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8323"/>
      </w:tblGrid>
      <w:tr w:rsidR="007E3013" w:rsidRPr="004E251E" w14:paraId="194582ED" w14:textId="77777777" w:rsidTr="00E14987">
        <w:trPr>
          <w:trHeight w:val="2834"/>
        </w:trPr>
        <w:tc>
          <w:tcPr>
            <w:tcW w:w="3119" w:type="dxa"/>
            <w:shd w:val="clear" w:color="auto" w:fill="0F243E" w:themeFill="text2" w:themeFillShade="80"/>
          </w:tcPr>
          <w:p w14:paraId="443CC8A1" w14:textId="77777777" w:rsidR="00686DF1" w:rsidRPr="00F64290" w:rsidRDefault="00686DF1" w:rsidP="00E14987">
            <w:pPr>
              <w:ind w:right="-315"/>
              <w:rPr>
                <w:rFonts w:cstheme="minorHAnsi"/>
                <w:lang w:val="el-GR"/>
              </w:rPr>
            </w:pPr>
            <w:bookmarkStart w:id="0" w:name="_Hlk95745292"/>
            <w:bookmarkEnd w:id="0"/>
          </w:p>
          <w:p w14:paraId="218670DC" w14:textId="0E7EF070" w:rsidR="00686DF1" w:rsidRDefault="00CF2E8A" w:rsidP="0010115C">
            <w:pPr>
              <w:rPr>
                <w:rFonts w:cstheme="minorHAnsi"/>
              </w:rPr>
            </w:pPr>
            <w:r>
              <w:rPr>
                <w:rFonts w:cstheme="minorHAnsi"/>
                <w:lang w:val="el-GR"/>
              </w:rPr>
              <w:t>Υιοθέτηση</w:t>
            </w:r>
            <w:r w:rsidR="00A90F70">
              <w:rPr>
                <w:rFonts w:cstheme="minorHAnsi"/>
              </w:rPr>
              <w:t xml:space="preserve">: </w:t>
            </w:r>
            <w:r w:rsidR="00EC7CD3">
              <w:rPr>
                <w:rFonts w:cstheme="minorHAnsi"/>
              </w:rPr>
              <w:t xml:space="preserve">9 </w:t>
            </w:r>
            <w:r w:rsidR="007E3013">
              <w:rPr>
                <w:rFonts w:cstheme="minorHAnsi"/>
                <w:lang w:val="el-GR"/>
              </w:rPr>
              <w:t>Ιουνίου</w:t>
            </w:r>
            <w:r w:rsidR="00EC7CD3">
              <w:rPr>
                <w:rFonts w:cstheme="minorHAnsi"/>
              </w:rPr>
              <w:t xml:space="preserve"> 2023</w:t>
            </w:r>
          </w:p>
          <w:p w14:paraId="09095607" w14:textId="41787E29" w:rsidR="0065150F" w:rsidRPr="0065150F" w:rsidRDefault="0065150F" w:rsidP="0010115C">
            <w:pPr>
              <w:rPr>
                <w:rFonts w:cstheme="minorHAnsi"/>
                <w:lang w:val="el-GR"/>
              </w:rPr>
            </w:pPr>
            <w:r>
              <w:rPr>
                <w:rFonts w:cstheme="minorHAnsi"/>
                <w:lang w:val="el-GR"/>
              </w:rPr>
              <w:t>Δημοσίευση: 2 Οκτωβρίου 2023</w:t>
            </w:r>
          </w:p>
          <w:p w14:paraId="420E8CDE" w14:textId="77777777" w:rsidR="00EC7CD3" w:rsidRPr="004E251E" w:rsidRDefault="00EC7CD3" w:rsidP="0010115C">
            <w:pPr>
              <w:rPr>
                <w:rFonts w:cstheme="minorHAnsi"/>
              </w:rPr>
            </w:pPr>
          </w:p>
          <w:p w14:paraId="3DA4722D" w14:textId="77777777" w:rsidR="00686DF1" w:rsidRPr="004E251E" w:rsidRDefault="00686DF1" w:rsidP="0010115C">
            <w:pPr>
              <w:rPr>
                <w:rFonts w:cstheme="minorHAnsi"/>
              </w:rPr>
            </w:pPr>
          </w:p>
          <w:p w14:paraId="68BD0269" w14:textId="77777777" w:rsidR="00886A0C" w:rsidRPr="004E251E" w:rsidRDefault="00886A0C" w:rsidP="0010115C">
            <w:pPr>
              <w:rPr>
                <w:rFonts w:cstheme="minorHAnsi"/>
              </w:rPr>
            </w:pPr>
          </w:p>
          <w:p w14:paraId="36125CB9" w14:textId="77777777" w:rsidR="00686DF1" w:rsidRPr="004E251E" w:rsidRDefault="00686DF1" w:rsidP="0010115C">
            <w:pPr>
              <w:rPr>
                <w:rFonts w:cstheme="minorHAnsi"/>
              </w:rPr>
            </w:pPr>
          </w:p>
          <w:p w14:paraId="797BF23B" w14:textId="77777777" w:rsidR="00886A0C" w:rsidRPr="004E251E" w:rsidRDefault="00886A0C" w:rsidP="0010115C">
            <w:pPr>
              <w:rPr>
                <w:rFonts w:cstheme="minorHAnsi"/>
              </w:rPr>
            </w:pPr>
          </w:p>
          <w:p w14:paraId="2308B726" w14:textId="77777777" w:rsidR="00886A0C" w:rsidRPr="004E251E" w:rsidRDefault="00886A0C" w:rsidP="0010115C">
            <w:pPr>
              <w:rPr>
                <w:rFonts w:cstheme="minorHAnsi"/>
              </w:rPr>
            </w:pPr>
          </w:p>
          <w:p w14:paraId="2066EE12" w14:textId="77777777" w:rsidR="00686DF1" w:rsidRPr="004E251E" w:rsidRDefault="00686DF1" w:rsidP="0010115C">
            <w:pPr>
              <w:rPr>
                <w:rFonts w:cstheme="minorHAnsi"/>
              </w:rPr>
            </w:pPr>
          </w:p>
        </w:tc>
        <w:tc>
          <w:tcPr>
            <w:tcW w:w="8323" w:type="dxa"/>
            <w:vMerge w:val="restart"/>
            <w:shd w:val="clear" w:color="auto" w:fill="365F91" w:themeFill="accent1" w:themeFillShade="BF"/>
          </w:tcPr>
          <w:p w14:paraId="27C7E409" w14:textId="77777777" w:rsidR="00686DF1" w:rsidRPr="00871911" w:rsidRDefault="00686DF1" w:rsidP="0010115C">
            <w:pPr>
              <w:ind w:left="459" w:right="876"/>
              <w:jc w:val="right"/>
              <w:rPr>
                <w:rFonts w:cstheme="minorHAnsi"/>
                <w:b/>
                <w:sz w:val="52"/>
                <w:szCs w:val="32"/>
                <w:lang w:val="el-GR"/>
              </w:rPr>
            </w:pPr>
          </w:p>
          <w:p w14:paraId="7D2B762E" w14:textId="46275B53" w:rsidR="002262F7" w:rsidRPr="00871911" w:rsidRDefault="00B3351E" w:rsidP="00B3351E">
            <w:pPr>
              <w:ind w:left="459" w:right="734"/>
              <w:jc w:val="center"/>
              <w:rPr>
                <w:rFonts w:eastAsiaTheme="minorEastAsia"/>
                <w:b/>
                <w:bCs/>
                <w:color w:val="FFFFFF" w:themeColor="background1"/>
                <w:szCs w:val="34"/>
                <w:lang w:val="el-GR" w:eastAsia="zh-CN"/>
              </w:rPr>
            </w:pPr>
            <w:r>
              <w:rPr>
                <w:rFonts w:eastAsiaTheme="minorEastAsia"/>
                <w:b/>
                <w:bCs/>
                <w:color w:val="FFFFFF" w:themeColor="background1"/>
                <w:szCs w:val="34"/>
                <w:lang w:val="el-GR" w:eastAsia="zh-CN"/>
              </w:rPr>
              <w:t xml:space="preserve">                                                                                             Δημόσια</w:t>
            </w:r>
          </w:p>
          <w:p w14:paraId="3A83E94A" w14:textId="6A29C968" w:rsidR="00886A0C" w:rsidRPr="00871911" w:rsidRDefault="00FB38AB" w:rsidP="0010115C">
            <w:pPr>
              <w:ind w:left="459" w:right="734"/>
              <w:jc w:val="right"/>
              <w:rPr>
                <w:rFonts w:eastAsiaTheme="minorEastAsia"/>
                <w:color w:val="FFFFFF" w:themeColor="background1"/>
                <w:szCs w:val="34"/>
                <w:lang w:val="el-GR" w:eastAsia="zh-CN"/>
              </w:rPr>
            </w:pPr>
            <w:proofErr w:type="spellStart"/>
            <w:r w:rsidRPr="002262F7">
              <w:rPr>
                <w:rFonts w:eastAsiaTheme="minorEastAsia"/>
                <w:color w:val="FFFFFF" w:themeColor="background1"/>
                <w:szCs w:val="34"/>
                <w:lang w:eastAsia="zh-CN"/>
              </w:rPr>
              <w:t>GrecoEval</w:t>
            </w:r>
            <w:proofErr w:type="spellEnd"/>
            <w:r w:rsidRPr="00871911">
              <w:rPr>
                <w:rFonts w:eastAsiaTheme="minorEastAsia"/>
                <w:color w:val="FFFFFF" w:themeColor="background1"/>
                <w:szCs w:val="34"/>
                <w:lang w:val="el-GR" w:eastAsia="zh-CN"/>
              </w:rPr>
              <w:t>5</w:t>
            </w:r>
            <w:proofErr w:type="gramStart"/>
            <w:r w:rsidRPr="002262F7">
              <w:rPr>
                <w:rFonts w:eastAsiaTheme="minorEastAsia"/>
                <w:color w:val="FFFFFF" w:themeColor="background1"/>
                <w:szCs w:val="34"/>
                <w:lang w:eastAsia="zh-CN"/>
              </w:rPr>
              <w:t>Rep</w:t>
            </w:r>
            <w:r w:rsidRPr="00871911">
              <w:rPr>
                <w:rFonts w:eastAsiaTheme="minorEastAsia"/>
                <w:color w:val="FFFFFF" w:themeColor="background1"/>
                <w:szCs w:val="34"/>
                <w:lang w:val="el-GR" w:eastAsia="zh-CN"/>
              </w:rPr>
              <w:t>(</w:t>
            </w:r>
            <w:proofErr w:type="gramEnd"/>
            <w:r w:rsidR="003C4268" w:rsidRPr="00871911">
              <w:rPr>
                <w:rFonts w:eastAsiaTheme="minorEastAsia"/>
                <w:color w:val="FFFFFF" w:themeColor="background1"/>
                <w:szCs w:val="34"/>
                <w:lang w:val="el-GR" w:eastAsia="zh-CN"/>
              </w:rPr>
              <w:t>2022</w:t>
            </w:r>
            <w:r w:rsidRPr="00871911">
              <w:rPr>
                <w:rFonts w:eastAsiaTheme="minorEastAsia"/>
                <w:color w:val="FFFFFF" w:themeColor="background1"/>
                <w:szCs w:val="34"/>
                <w:lang w:val="el-GR" w:eastAsia="zh-CN"/>
              </w:rPr>
              <w:t>)</w:t>
            </w:r>
            <w:r w:rsidR="00124B2F" w:rsidRPr="00871911">
              <w:rPr>
                <w:rFonts w:eastAsiaTheme="minorEastAsia"/>
                <w:color w:val="FFFFFF" w:themeColor="background1"/>
                <w:szCs w:val="34"/>
                <w:lang w:val="el-GR" w:eastAsia="zh-CN"/>
              </w:rPr>
              <w:t>6</w:t>
            </w:r>
          </w:p>
          <w:p w14:paraId="71998250" w14:textId="30BE3619" w:rsidR="00FB38AB" w:rsidRPr="00871911" w:rsidRDefault="00FB38AB" w:rsidP="0010115C">
            <w:pPr>
              <w:ind w:left="459" w:right="734"/>
              <w:jc w:val="right"/>
              <w:rPr>
                <w:rFonts w:eastAsiaTheme="minorEastAsia"/>
                <w:color w:val="FFFFFF" w:themeColor="background1"/>
                <w:szCs w:val="28"/>
                <w:lang w:val="el-GR" w:eastAsia="zh-CN"/>
              </w:rPr>
            </w:pPr>
          </w:p>
          <w:p w14:paraId="0C2E1894" w14:textId="5F71A1C8" w:rsidR="002262F7" w:rsidRPr="00871911" w:rsidRDefault="002262F7" w:rsidP="0010115C">
            <w:pPr>
              <w:ind w:left="459" w:right="734"/>
              <w:jc w:val="right"/>
              <w:rPr>
                <w:rFonts w:eastAsiaTheme="minorEastAsia"/>
                <w:color w:val="FFFFFF" w:themeColor="background1"/>
                <w:szCs w:val="28"/>
                <w:lang w:val="el-GR" w:eastAsia="zh-CN"/>
              </w:rPr>
            </w:pPr>
          </w:p>
          <w:p w14:paraId="25586274" w14:textId="77777777" w:rsidR="002262F7" w:rsidRPr="00871911" w:rsidRDefault="002262F7" w:rsidP="0010115C">
            <w:pPr>
              <w:ind w:left="459" w:right="734"/>
              <w:jc w:val="right"/>
              <w:rPr>
                <w:rFonts w:eastAsiaTheme="minorEastAsia"/>
                <w:color w:val="FFFFFF" w:themeColor="background1"/>
                <w:szCs w:val="28"/>
                <w:lang w:val="el-GR" w:eastAsia="zh-CN"/>
              </w:rPr>
            </w:pPr>
          </w:p>
          <w:p w14:paraId="29292D60" w14:textId="2C71B53F" w:rsidR="00686DF1" w:rsidRPr="00871911" w:rsidRDefault="007E3013" w:rsidP="0010115C">
            <w:pPr>
              <w:ind w:left="459" w:right="734"/>
              <w:jc w:val="right"/>
              <w:rPr>
                <w:rFonts w:cstheme="minorHAnsi"/>
                <w:i/>
                <w:color w:val="FFFFFF" w:themeColor="background1"/>
                <w:sz w:val="36"/>
                <w:szCs w:val="28"/>
                <w:lang w:val="el-GR"/>
              </w:rPr>
            </w:pPr>
            <w:r>
              <w:rPr>
                <w:rFonts w:cstheme="minorHAnsi"/>
                <w:b/>
                <w:color w:val="FFFFFF" w:themeColor="background1"/>
                <w:sz w:val="48"/>
                <w:szCs w:val="32"/>
                <w:lang w:val="el-GR"/>
              </w:rPr>
              <w:t>ΠΕΜΠΤΟΣ</w:t>
            </w:r>
            <w:r w:rsidRPr="00871911">
              <w:rPr>
                <w:rFonts w:cstheme="minorHAnsi"/>
                <w:b/>
                <w:color w:val="FFFFFF" w:themeColor="background1"/>
                <w:sz w:val="48"/>
                <w:szCs w:val="32"/>
                <w:lang w:val="el-GR"/>
              </w:rPr>
              <w:t xml:space="preserve"> </w:t>
            </w:r>
            <w:r>
              <w:rPr>
                <w:rFonts w:cstheme="minorHAnsi"/>
                <w:b/>
                <w:color w:val="FFFFFF" w:themeColor="background1"/>
                <w:sz w:val="48"/>
                <w:szCs w:val="32"/>
                <w:lang w:val="el-GR"/>
              </w:rPr>
              <w:t>ΓΥΡΟΣ</w:t>
            </w:r>
            <w:r w:rsidRPr="00871911">
              <w:rPr>
                <w:rFonts w:cstheme="minorHAnsi"/>
                <w:b/>
                <w:color w:val="FFFFFF" w:themeColor="background1"/>
                <w:sz w:val="48"/>
                <w:szCs w:val="32"/>
                <w:lang w:val="el-GR"/>
              </w:rPr>
              <w:t xml:space="preserve"> </w:t>
            </w:r>
            <w:r>
              <w:rPr>
                <w:rFonts w:cstheme="minorHAnsi"/>
                <w:b/>
                <w:color w:val="FFFFFF" w:themeColor="background1"/>
                <w:sz w:val="48"/>
                <w:szCs w:val="32"/>
                <w:lang w:val="el-GR"/>
              </w:rPr>
              <w:t>ΑΞΙΟΛΟΓΗΣΗΣ</w:t>
            </w:r>
          </w:p>
          <w:p w14:paraId="4F217F0E" w14:textId="346C3B1B" w:rsidR="00697907" w:rsidRPr="007E3013" w:rsidRDefault="00B14C20" w:rsidP="0010115C">
            <w:pPr>
              <w:ind w:left="459" w:right="734"/>
              <w:jc w:val="right"/>
              <w:rPr>
                <w:rFonts w:cstheme="minorHAnsi"/>
                <w:i/>
                <w:color w:val="FFFFFF" w:themeColor="background1"/>
                <w:sz w:val="36"/>
                <w:szCs w:val="28"/>
                <w:lang w:val="el-GR"/>
              </w:rPr>
            </w:pPr>
            <w:r>
              <w:rPr>
                <w:rFonts w:eastAsiaTheme="minorEastAsia"/>
                <w:color w:val="FFFFFF" w:themeColor="background1"/>
                <w:sz w:val="28"/>
                <w:szCs w:val="34"/>
                <w:lang w:val="el-GR" w:eastAsia="zh-CN"/>
              </w:rPr>
              <w:t xml:space="preserve">Πρόληψη </w:t>
            </w:r>
            <w:r w:rsidR="00432F14">
              <w:rPr>
                <w:rFonts w:eastAsiaTheme="minorEastAsia"/>
                <w:color w:val="FFFFFF" w:themeColor="background1"/>
                <w:sz w:val="28"/>
                <w:szCs w:val="34"/>
                <w:lang w:val="el-GR" w:eastAsia="zh-CN"/>
              </w:rPr>
              <w:t>τη</w:t>
            </w:r>
            <w:r>
              <w:rPr>
                <w:rFonts w:eastAsiaTheme="minorEastAsia"/>
                <w:color w:val="FFFFFF" w:themeColor="background1"/>
                <w:sz w:val="28"/>
                <w:szCs w:val="34"/>
                <w:lang w:val="el-GR" w:eastAsia="zh-CN"/>
              </w:rPr>
              <w:t>ς</w:t>
            </w:r>
            <w:r w:rsidR="00432F14">
              <w:rPr>
                <w:rFonts w:eastAsiaTheme="minorEastAsia"/>
                <w:color w:val="FFFFFF" w:themeColor="background1"/>
                <w:sz w:val="28"/>
                <w:szCs w:val="34"/>
                <w:lang w:val="el-GR" w:eastAsia="zh-CN"/>
              </w:rPr>
              <w:t xml:space="preserve"> διαφθορά</w:t>
            </w:r>
            <w:r>
              <w:rPr>
                <w:rFonts w:eastAsiaTheme="minorEastAsia"/>
                <w:color w:val="FFFFFF" w:themeColor="background1"/>
                <w:sz w:val="28"/>
                <w:szCs w:val="34"/>
                <w:lang w:val="el-GR" w:eastAsia="zh-CN"/>
              </w:rPr>
              <w:t>ς</w:t>
            </w:r>
            <w:r w:rsidR="00432F14">
              <w:rPr>
                <w:rFonts w:eastAsiaTheme="minorEastAsia"/>
                <w:color w:val="FFFFFF" w:themeColor="background1"/>
                <w:sz w:val="28"/>
                <w:szCs w:val="34"/>
                <w:lang w:val="el-GR" w:eastAsia="zh-CN"/>
              </w:rPr>
              <w:t xml:space="preserve"> </w:t>
            </w:r>
            <w:r w:rsidR="007E3013">
              <w:rPr>
                <w:rFonts w:eastAsiaTheme="minorEastAsia"/>
                <w:color w:val="FFFFFF" w:themeColor="background1"/>
                <w:sz w:val="28"/>
                <w:szCs w:val="34"/>
                <w:lang w:val="el-GR" w:eastAsia="zh-CN"/>
              </w:rPr>
              <w:t xml:space="preserve">και </w:t>
            </w:r>
            <w:r>
              <w:rPr>
                <w:rFonts w:eastAsiaTheme="minorEastAsia"/>
                <w:color w:val="FFFFFF" w:themeColor="background1"/>
                <w:sz w:val="28"/>
                <w:szCs w:val="34"/>
                <w:lang w:val="el-GR" w:eastAsia="zh-CN"/>
              </w:rPr>
              <w:t>προώθηση της</w:t>
            </w:r>
            <w:r w:rsidR="00432F14">
              <w:rPr>
                <w:rFonts w:eastAsiaTheme="minorEastAsia"/>
                <w:color w:val="FFFFFF" w:themeColor="background1"/>
                <w:sz w:val="28"/>
                <w:szCs w:val="34"/>
                <w:lang w:val="el-GR" w:eastAsia="zh-CN"/>
              </w:rPr>
              <w:t xml:space="preserve"> ακεραιότητα</w:t>
            </w:r>
            <w:r>
              <w:rPr>
                <w:rFonts w:eastAsiaTheme="minorEastAsia"/>
                <w:color w:val="FFFFFF" w:themeColor="background1"/>
                <w:sz w:val="28"/>
                <w:szCs w:val="34"/>
                <w:lang w:val="el-GR" w:eastAsia="zh-CN"/>
              </w:rPr>
              <w:t>ς</w:t>
            </w:r>
            <w:r w:rsidR="00432F14">
              <w:rPr>
                <w:rFonts w:eastAsiaTheme="minorEastAsia"/>
                <w:color w:val="FFFFFF" w:themeColor="background1"/>
                <w:sz w:val="28"/>
                <w:szCs w:val="34"/>
                <w:lang w:val="el-GR" w:eastAsia="zh-CN"/>
              </w:rPr>
              <w:t xml:space="preserve">  </w:t>
            </w:r>
            <w:r w:rsidR="007E3013">
              <w:rPr>
                <w:rFonts w:eastAsiaTheme="minorEastAsia"/>
                <w:color w:val="FFFFFF" w:themeColor="background1"/>
                <w:sz w:val="28"/>
                <w:szCs w:val="34"/>
                <w:lang w:val="el-GR" w:eastAsia="zh-CN"/>
              </w:rPr>
              <w:t>σ</w:t>
            </w:r>
            <w:r w:rsidR="00432F14">
              <w:rPr>
                <w:rFonts w:eastAsiaTheme="minorEastAsia"/>
                <w:color w:val="FFFFFF" w:themeColor="background1"/>
                <w:sz w:val="28"/>
                <w:szCs w:val="34"/>
                <w:lang w:val="el-GR" w:eastAsia="zh-CN"/>
              </w:rPr>
              <w:t>τις</w:t>
            </w:r>
            <w:r w:rsidR="007E3013">
              <w:rPr>
                <w:rFonts w:eastAsiaTheme="minorEastAsia"/>
                <w:color w:val="FFFFFF" w:themeColor="background1"/>
                <w:sz w:val="28"/>
                <w:szCs w:val="34"/>
                <w:lang w:val="el-GR" w:eastAsia="zh-CN"/>
              </w:rPr>
              <w:t xml:space="preserve"> κεντρικές κυβερνήσεις</w:t>
            </w:r>
            <w:r w:rsidR="00683683" w:rsidRPr="007E3013">
              <w:rPr>
                <w:rFonts w:eastAsiaTheme="minorEastAsia"/>
                <w:color w:val="FFFFFF" w:themeColor="background1"/>
                <w:sz w:val="28"/>
                <w:szCs w:val="34"/>
                <w:lang w:val="el-GR" w:eastAsia="zh-CN"/>
              </w:rPr>
              <w:t xml:space="preserve"> (</w:t>
            </w:r>
            <w:r w:rsidR="00432F14">
              <w:rPr>
                <w:rFonts w:eastAsiaTheme="minorEastAsia"/>
                <w:color w:val="FFFFFF" w:themeColor="background1"/>
                <w:sz w:val="28"/>
                <w:szCs w:val="34"/>
                <w:lang w:val="el-GR" w:eastAsia="zh-CN"/>
              </w:rPr>
              <w:t xml:space="preserve">ανώτατες </w:t>
            </w:r>
            <w:r w:rsidR="007E3013">
              <w:rPr>
                <w:rFonts w:eastAsiaTheme="minorEastAsia"/>
                <w:color w:val="FFFFFF" w:themeColor="background1"/>
                <w:sz w:val="28"/>
                <w:szCs w:val="34"/>
                <w:lang w:val="el-GR" w:eastAsia="zh-CN"/>
              </w:rPr>
              <w:t>εκτελεστικές</w:t>
            </w:r>
            <w:r>
              <w:rPr>
                <w:rFonts w:eastAsiaTheme="minorEastAsia"/>
                <w:color w:val="FFFFFF" w:themeColor="background1"/>
                <w:sz w:val="28"/>
                <w:szCs w:val="34"/>
                <w:lang w:val="el-GR" w:eastAsia="zh-CN"/>
              </w:rPr>
              <w:t xml:space="preserve"> αρμοδιότητες</w:t>
            </w:r>
            <w:r w:rsidR="00683683" w:rsidRPr="007E3013">
              <w:rPr>
                <w:rFonts w:eastAsiaTheme="minorEastAsia"/>
                <w:color w:val="FFFFFF" w:themeColor="background1"/>
                <w:sz w:val="28"/>
                <w:szCs w:val="34"/>
                <w:lang w:val="el-GR" w:eastAsia="zh-CN"/>
              </w:rPr>
              <w:t xml:space="preserve">) </w:t>
            </w:r>
            <w:r w:rsidR="007E3013">
              <w:rPr>
                <w:rFonts w:eastAsiaTheme="minorEastAsia"/>
                <w:color w:val="FFFFFF" w:themeColor="background1"/>
                <w:sz w:val="28"/>
                <w:szCs w:val="34"/>
                <w:lang w:val="el-GR" w:eastAsia="zh-CN"/>
              </w:rPr>
              <w:t xml:space="preserve">και </w:t>
            </w:r>
            <w:r w:rsidR="00A75FF4">
              <w:rPr>
                <w:rFonts w:eastAsiaTheme="minorEastAsia"/>
                <w:color w:val="FFFFFF" w:themeColor="background1"/>
                <w:sz w:val="28"/>
                <w:szCs w:val="34"/>
                <w:lang w:val="el-GR" w:eastAsia="zh-CN"/>
              </w:rPr>
              <w:t xml:space="preserve">στα </w:t>
            </w:r>
            <w:r>
              <w:rPr>
                <w:rFonts w:eastAsiaTheme="minorEastAsia"/>
                <w:color w:val="FFFFFF" w:themeColor="background1"/>
                <w:sz w:val="28"/>
                <w:szCs w:val="34"/>
                <w:lang w:val="el-GR" w:eastAsia="zh-CN"/>
              </w:rPr>
              <w:t xml:space="preserve">όργανα </w:t>
            </w:r>
            <w:r w:rsidR="00A75FF4">
              <w:rPr>
                <w:rFonts w:eastAsiaTheme="minorEastAsia"/>
                <w:color w:val="FFFFFF" w:themeColor="background1"/>
                <w:sz w:val="28"/>
                <w:szCs w:val="34"/>
                <w:lang w:val="el-GR" w:eastAsia="zh-CN"/>
              </w:rPr>
              <w:t xml:space="preserve">επιβολής </w:t>
            </w:r>
            <w:r w:rsidR="007E3013">
              <w:rPr>
                <w:rFonts w:eastAsiaTheme="minorEastAsia"/>
                <w:color w:val="FFFFFF" w:themeColor="background1"/>
                <w:sz w:val="28"/>
                <w:szCs w:val="34"/>
                <w:lang w:val="el-GR" w:eastAsia="zh-CN"/>
              </w:rPr>
              <w:t>του νόμου</w:t>
            </w:r>
          </w:p>
          <w:p w14:paraId="53140CB5" w14:textId="77777777" w:rsidR="00697B65" w:rsidRPr="007E3013" w:rsidRDefault="00697B65" w:rsidP="0010115C">
            <w:pPr>
              <w:ind w:left="459" w:right="734"/>
              <w:jc w:val="right"/>
              <w:rPr>
                <w:rFonts w:cstheme="minorHAnsi"/>
                <w:i/>
                <w:color w:val="FFFFFF" w:themeColor="background1"/>
                <w:sz w:val="36"/>
                <w:szCs w:val="28"/>
                <w:lang w:val="el-GR"/>
              </w:rPr>
            </w:pPr>
          </w:p>
          <w:p w14:paraId="433866AD" w14:textId="77777777" w:rsidR="00683683" w:rsidRPr="007E3013" w:rsidRDefault="00683683" w:rsidP="0010115C">
            <w:pPr>
              <w:ind w:left="459" w:right="734"/>
              <w:jc w:val="right"/>
              <w:rPr>
                <w:rFonts w:cstheme="minorHAnsi"/>
                <w:i/>
                <w:color w:val="FFFFFF" w:themeColor="background1"/>
                <w:sz w:val="36"/>
                <w:szCs w:val="28"/>
                <w:lang w:val="el-GR"/>
              </w:rPr>
            </w:pPr>
          </w:p>
          <w:p w14:paraId="456515CD" w14:textId="3EAD6F5A" w:rsidR="00686DF1" w:rsidRPr="004E251E" w:rsidRDefault="007E3013" w:rsidP="0010115C">
            <w:pPr>
              <w:ind w:left="459" w:right="734"/>
              <w:jc w:val="right"/>
              <w:rPr>
                <w:rFonts w:cstheme="minorHAnsi"/>
                <w:b/>
                <w:color w:val="FFFF99"/>
                <w:sz w:val="48"/>
                <w:szCs w:val="32"/>
              </w:rPr>
            </w:pPr>
            <w:r>
              <w:rPr>
                <w:rFonts w:cstheme="minorHAnsi"/>
                <w:b/>
                <w:color w:val="FFFFFF" w:themeColor="background1"/>
                <w:sz w:val="48"/>
                <w:szCs w:val="32"/>
                <w:lang w:val="el-GR"/>
              </w:rPr>
              <w:t>ΕΚΘΕΣΗ ΑΞΙΟΛΟΓΗΣΗΣ</w:t>
            </w:r>
          </w:p>
          <w:p w14:paraId="520227EC" w14:textId="77777777" w:rsidR="00697907" w:rsidRPr="004E251E" w:rsidRDefault="00697907" w:rsidP="0010115C">
            <w:pPr>
              <w:ind w:left="459" w:right="734"/>
              <w:jc w:val="right"/>
              <w:rPr>
                <w:rFonts w:cstheme="minorHAnsi"/>
                <w:b/>
                <w:color w:val="FFFFFF" w:themeColor="background1"/>
                <w:sz w:val="48"/>
                <w:szCs w:val="32"/>
              </w:rPr>
            </w:pPr>
          </w:p>
          <w:p w14:paraId="37C26965" w14:textId="77777777" w:rsidR="00764AB6" w:rsidRPr="004E251E" w:rsidRDefault="00764AB6" w:rsidP="0010115C">
            <w:pPr>
              <w:ind w:left="459" w:right="734"/>
              <w:jc w:val="right"/>
              <w:rPr>
                <w:rFonts w:cstheme="minorHAnsi"/>
                <w:b/>
                <w:color w:val="FFFFFF" w:themeColor="background1"/>
                <w:sz w:val="48"/>
                <w:szCs w:val="32"/>
              </w:rPr>
            </w:pPr>
          </w:p>
          <w:p w14:paraId="3852074E" w14:textId="5A1EEA7D" w:rsidR="00686DF1" w:rsidRPr="002262F7" w:rsidRDefault="007E3013" w:rsidP="0010115C">
            <w:pPr>
              <w:ind w:left="459" w:right="734"/>
              <w:jc w:val="right"/>
              <w:rPr>
                <w:rFonts w:cstheme="minorHAnsi"/>
                <w:b/>
                <w:color w:val="FBD4B4" w:themeColor="accent6" w:themeTint="66"/>
                <w:sz w:val="96"/>
                <w:szCs w:val="28"/>
              </w:rPr>
            </w:pPr>
            <w:r>
              <w:rPr>
                <w:rFonts w:cstheme="minorHAnsi"/>
                <w:b/>
                <w:color w:val="FBD4B4" w:themeColor="accent6" w:themeTint="66"/>
                <w:sz w:val="96"/>
                <w:szCs w:val="28"/>
                <w:lang w:val="el-GR"/>
              </w:rPr>
              <w:t>ΚΥΠΡΟΣ</w:t>
            </w:r>
          </w:p>
          <w:p w14:paraId="3DEF1D58" w14:textId="77777777" w:rsidR="00686DF1" w:rsidRPr="004E251E" w:rsidRDefault="00686DF1" w:rsidP="006737E9">
            <w:pPr>
              <w:ind w:left="459" w:right="734"/>
              <w:jc w:val="right"/>
              <w:rPr>
                <w:rFonts w:cstheme="minorHAnsi"/>
              </w:rPr>
            </w:pPr>
          </w:p>
        </w:tc>
      </w:tr>
      <w:tr w:rsidR="007E3013" w:rsidRPr="004E251E" w14:paraId="7F715202" w14:textId="77777777" w:rsidTr="00E14987">
        <w:trPr>
          <w:trHeight w:val="2852"/>
        </w:trPr>
        <w:tc>
          <w:tcPr>
            <w:tcW w:w="3119" w:type="dxa"/>
            <w:shd w:val="clear" w:color="auto" w:fill="17365D" w:themeFill="text2" w:themeFillShade="BF"/>
          </w:tcPr>
          <w:p w14:paraId="1ABC7C4A" w14:textId="77777777" w:rsidR="00686DF1" w:rsidRPr="004E251E" w:rsidRDefault="00686DF1" w:rsidP="0010115C">
            <w:pPr>
              <w:rPr>
                <w:rFonts w:cstheme="minorHAnsi"/>
              </w:rPr>
            </w:pPr>
          </w:p>
          <w:p w14:paraId="4BF8F395" w14:textId="77777777" w:rsidR="00686DF1" w:rsidRPr="004E251E" w:rsidRDefault="00686DF1" w:rsidP="0010115C">
            <w:pPr>
              <w:rPr>
                <w:rFonts w:cstheme="minorHAnsi"/>
              </w:rPr>
            </w:pPr>
          </w:p>
          <w:p w14:paraId="28A566A9" w14:textId="77777777" w:rsidR="00686DF1" w:rsidRPr="004E251E" w:rsidRDefault="00686DF1" w:rsidP="0010115C">
            <w:pPr>
              <w:rPr>
                <w:rFonts w:cstheme="minorHAnsi"/>
              </w:rPr>
            </w:pPr>
          </w:p>
          <w:p w14:paraId="6C601877" w14:textId="77777777" w:rsidR="00686DF1" w:rsidRPr="004E251E" w:rsidRDefault="00686DF1" w:rsidP="0010115C">
            <w:pPr>
              <w:rPr>
                <w:rFonts w:cstheme="minorHAnsi"/>
              </w:rPr>
            </w:pPr>
          </w:p>
          <w:p w14:paraId="3D977A7A" w14:textId="77777777" w:rsidR="00686DF1" w:rsidRPr="004E251E" w:rsidRDefault="00686DF1" w:rsidP="0010115C">
            <w:pPr>
              <w:rPr>
                <w:rFonts w:cstheme="minorHAnsi"/>
              </w:rPr>
            </w:pPr>
          </w:p>
          <w:p w14:paraId="77426DDD" w14:textId="77777777" w:rsidR="00886A0C" w:rsidRPr="004E251E" w:rsidRDefault="00886A0C" w:rsidP="0010115C">
            <w:pPr>
              <w:rPr>
                <w:rFonts w:cstheme="minorHAnsi"/>
              </w:rPr>
            </w:pPr>
          </w:p>
          <w:p w14:paraId="4A7DA56E" w14:textId="77777777" w:rsidR="00886A0C" w:rsidRPr="004E251E" w:rsidRDefault="00886A0C" w:rsidP="0010115C">
            <w:pPr>
              <w:rPr>
                <w:rFonts w:cstheme="minorHAnsi"/>
              </w:rPr>
            </w:pPr>
          </w:p>
          <w:p w14:paraId="51404766" w14:textId="77777777" w:rsidR="00686DF1" w:rsidRPr="004E251E" w:rsidRDefault="00686DF1" w:rsidP="0010115C">
            <w:pPr>
              <w:rPr>
                <w:rFonts w:cstheme="minorHAnsi"/>
              </w:rPr>
            </w:pPr>
          </w:p>
          <w:p w14:paraId="29FFF71D" w14:textId="77777777" w:rsidR="00686DF1" w:rsidRPr="004E251E" w:rsidRDefault="00686DF1" w:rsidP="0010115C">
            <w:pPr>
              <w:rPr>
                <w:rFonts w:cstheme="minorHAnsi"/>
              </w:rPr>
            </w:pPr>
          </w:p>
          <w:p w14:paraId="5BB7CBF4" w14:textId="77777777" w:rsidR="00686DF1" w:rsidRPr="004E251E" w:rsidRDefault="00686DF1" w:rsidP="0010115C">
            <w:pPr>
              <w:rPr>
                <w:rFonts w:cstheme="minorHAnsi"/>
              </w:rPr>
            </w:pPr>
          </w:p>
        </w:tc>
        <w:tc>
          <w:tcPr>
            <w:tcW w:w="8323" w:type="dxa"/>
            <w:vMerge/>
            <w:shd w:val="clear" w:color="auto" w:fill="365F91" w:themeFill="accent1" w:themeFillShade="BF"/>
          </w:tcPr>
          <w:p w14:paraId="3518473A" w14:textId="77777777" w:rsidR="00686DF1" w:rsidRPr="004E251E" w:rsidRDefault="00686DF1" w:rsidP="0010115C">
            <w:pPr>
              <w:ind w:left="459" w:right="876"/>
              <w:rPr>
                <w:rFonts w:cstheme="minorHAnsi"/>
              </w:rPr>
            </w:pPr>
          </w:p>
        </w:tc>
      </w:tr>
      <w:tr w:rsidR="007E3013" w:rsidRPr="004E251E" w14:paraId="6E126659" w14:textId="77777777" w:rsidTr="00E14987">
        <w:trPr>
          <w:trHeight w:val="2862"/>
        </w:trPr>
        <w:tc>
          <w:tcPr>
            <w:tcW w:w="3119" w:type="dxa"/>
            <w:shd w:val="clear" w:color="auto" w:fill="244061" w:themeFill="accent1" w:themeFillShade="80"/>
          </w:tcPr>
          <w:p w14:paraId="3964240B" w14:textId="77777777" w:rsidR="00686DF1" w:rsidRPr="004E251E" w:rsidRDefault="00686DF1" w:rsidP="0010115C">
            <w:pPr>
              <w:rPr>
                <w:rFonts w:cstheme="minorHAnsi"/>
              </w:rPr>
            </w:pPr>
          </w:p>
        </w:tc>
        <w:tc>
          <w:tcPr>
            <w:tcW w:w="8323" w:type="dxa"/>
            <w:vMerge/>
            <w:shd w:val="clear" w:color="auto" w:fill="365F91" w:themeFill="accent1" w:themeFillShade="BF"/>
          </w:tcPr>
          <w:p w14:paraId="51C783A6" w14:textId="77777777" w:rsidR="00686DF1" w:rsidRPr="004E251E" w:rsidRDefault="00686DF1" w:rsidP="0010115C">
            <w:pPr>
              <w:ind w:left="459" w:right="876"/>
              <w:rPr>
                <w:rFonts w:cstheme="minorHAnsi"/>
              </w:rPr>
            </w:pPr>
          </w:p>
        </w:tc>
      </w:tr>
      <w:tr w:rsidR="008D5658" w:rsidRPr="004E251E" w14:paraId="15996DF7" w14:textId="77777777" w:rsidTr="00E14987">
        <w:tc>
          <w:tcPr>
            <w:tcW w:w="11442" w:type="dxa"/>
            <w:gridSpan w:val="2"/>
            <w:shd w:val="clear" w:color="auto" w:fill="DBE5F1" w:themeFill="accent1" w:themeFillTint="33"/>
          </w:tcPr>
          <w:p w14:paraId="52ED4583" w14:textId="77777777" w:rsidR="008D5658" w:rsidRPr="004E251E" w:rsidRDefault="00697907" w:rsidP="0010115C">
            <w:pPr>
              <w:ind w:left="459"/>
              <w:rPr>
                <w:rFonts w:cstheme="minorHAnsi"/>
              </w:rPr>
            </w:pPr>
            <w:r w:rsidRPr="004E251E">
              <w:rPr>
                <w:noProof/>
                <w:lang w:val="en-US"/>
              </w:rPr>
              <w:drawing>
                <wp:anchor distT="0" distB="0" distL="114300" distR="114300" simplePos="0" relativeHeight="251656704" behindDoc="0" locked="0" layoutInCell="1" allowOverlap="1" wp14:anchorId="38CFD682" wp14:editId="186511F2">
                  <wp:simplePos x="0" y="0"/>
                  <wp:positionH relativeFrom="column">
                    <wp:posOffset>-78740</wp:posOffset>
                  </wp:positionH>
                  <wp:positionV relativeFrom="paragraph">
                    <wp:posOffset>7307</wp:posOffset>
                  </wp:positionV>
                  <wp:extent cx="7356143" cy="1867115"/>
                  <wp:effectExtent l="0" t="0" r="0" b="0"/>
                  <wp:wrapNone/>
                  <wp:docPr id="1" name="Picture 1" descr="C:\Users\pincemaille\AppData\Local\Microsoft\Windows\Temporary Internet Files\Content.Outlook\KAEAU5KC\shutterstock_5248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AppData\Local\Microsoft\Windows\Temporary Internet Files\Content.Outlook\KAEAU5KC\shutterstock_524851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6143" cy="1867115"/>
                          </a:xfrm>
                          <a:prstGeom prst="rect">
                            <a:avLst/>
                          </a:prstGeom>
                          <a:noFill/>
                          <a:ln>
                            <a:noFill/>
                          </a:ln>
                        </pic:spPr>
                      </pic:pic>
                    </a:graphicData>
                  </a:graphic>
                </wp:anchor>
              </w:drawing>
            </w:r>
          </w:p>
          <w:p w14:paraId="7390A30E" w14:textId="77777777" w:rsidR="003B0DF5" w:rsidRPr="004E251E" w:rsidRDefault="003B0DF5" w:rsidP="0010115C">
            <w:pPr>
              <w:ind w:left="459"/>
              <w:rPr>
                <w:rFonts w:cstheme="minorHAnsi"/>
              </w:rPr>
            </w:pPr>
          </w:p>
          <w:p w14:paraId="0ECC4294" w14:textId="77777777" w:rsidR="003B0DF5" w:rsidRPr="004E251E" w:rsidRDefault="003B0DF5" w:rsidP="0010115C">
            <w:pPr>
              <w:ind w:left="459"/>
              <w:rPr>
                <w:rFonts w:cstheme="minorHAnsi"/>
              </w:rPr>
            </w:pPr>
          </w:p>
          <w:p w14:paraId="4D22F039" w14:textId="77777777" w:rsidR="003B0DF5" w:rsidRPr="004E251E" w:rsidRDefault="003B0DF5" w:rsidP="0010115C">
            <w:pPr>
              <w:ind w:left="459"/>
              <w:rPr>
                <w:rFonts w:cstheme="minorHAnsi"/>
              </w:rPr>
            </w:pPr>
          </w:p>
          <w:p w14:paraId="506686FC" w14:textId="77777777" w:rsidR="003B0DF5" w:rsidRPr="004E251E" w:rsidRDefault="003B0DF5" w:rsidP="0010115C">
            <w:pPr>
              <w:ind w:left="459"/>
              <w:rPr>
                <w:rFonts w:cstheme="minorHAnsi"/>
              </w:rPr>
            </w:pPr>
          </w:p>
          <w:p w14:paraId="085547F1" w14:textId="77777777" w:rsidR="003B0DF5" w:rsidRPr="004E251E" w:rsidRDefault="003B0DF5" w:rsidP="0010115C">
            <w:pPr>
              <w:ind w:left="459"/>
              <w:rPr>
                <w:rFonts w:cstheme="minorHAnsi"/>
              </w:rPr>
            </w:pPr>
          </w:p>
          <w:p w14:paraId="4AB5AC96" w14:textId="77777777" w:rsidR="003B0DF5" w:rsidRPr="004E251E" w:rsidRDefault="003B0DF5" w:rsidP="0010115C">
            <w:pPr>
              <w:ind w:left="459"/>
              <w:rPr>
                <w:rFonts w:cstheme="minorHAnsi"/>
              </w:rPr>
            </w:pPr>
          </w:p>
          <w:p w14:paraId="36AACDA2" w14:textId="77777777" w:rsidR="003B0DF5" w:rsidRPr="004E251E" w:rsidRDefault="003B0DF5" w:rsidP="0010115C">
            <w:pPr>
              <w:ind w:left="459"/>
              <w:rPr>
                <w:rFonts w:cstheme="minorHAnsi"/>
              </w:rPr>
            </w:pPr>
          </w:p>
          <w:p w14:paraId="519FA335" w14:textId="77777777" w:rsidR="003B0DF5" w:rsidRPr="004E251E" w:rsidRDefault="003B0DF5" w:rsidP="0010115C">
            <w:pPr>
              <w:ind w:left="459"/>
              <w:rPr>
                <w:rFonts w:cstheme="minorHAnsi"/>
              </w:rPr>
            </w:pPr>
          </w:p>
          <w:p w14:paraId="7444FC8C" w14:textId="77777777" w:rsidR="003B0DF5" w:rsidRPr="004E251E" w:rsidRDefault="003B0DF5" w:rsidP="0010115C">
            <w:pPr>
              <w:ind w:left="459"/>
              <w:rPr>
                <w:rFonts w:cstheme="minorHAnsi"/>
              </w:rPr>
            </w:pPr>
          </w:p>
        </w:tc>
      </w:tr>
      <w:tr w:rsidR="007E3013" w:rsidRPr="004E251E" w14:paraId="75046AFC" w14:textId="77777777" w:rsidTr="00E14987">
        <w:tc>
          <w:tcPr>
            <w:tcW w:w="3119" w:type="dxa"/>
          </w:tcPr>
          <w:p w14:paraId="3A1C4DCF" w14:textId="77777777" w:rsidR="006D6988" w:rsidRPr="004E251E" w:rsidRDefault="006D6988" w:rsidP="0010115C">
            <w:pPr>
              <w:rPr>
                <w:rFonts w:cstheme="minorHAnsi"/>
              </w:rPr>
            </w:pPr>
          </w:p>
        </w:tc>
        <w:tc>
          <w:tcPr>
            <w:tcW w:w="8323" w:type="dxa"/>
            <w:shd w:val="clear" w:color="auto" w:fill="auto"/>
          </w:tcPr>
          <w:p w14:paraId="6AE1D710" w14:textId="77777777" w:rsidR="006D6988" w:rsidRPr="004E251E" w:rsidRDefault="006D6988" w:rsidP="0010115C">
            <w:pPr>
              <w:ind w:left="459" w:right="876" w:firstLine="317"/>
              <w:rPr>
                <w:rFonts w:cstheme="minorHAnsi"/>
              </w:rPr>
            </w:pPr>
          </w:p>
        </w:tc>
      </w:tr>
      <w:tr w:rsidR="007E3013" w:rsidRPr="00522AD3" w14:paraId="0E29E56F" w14:textId="77777777" w:rsidTr="00E14987">
        <w:tc>
          <w:tcPr>
            <w:tcW w:w="3119" w:type="dxa"/>
            <w:tcBorders>
              <w:right w:val="dashed" w:sz="4" w:space="0" w:color="auto"/>
            </w:tcBorders>
          </w:tcPr>
          <w:p w14:paraId="45892E39" w14:textId="77777777" w:rsidR="00D46E81" w:rsidRPr="004E251E" w:rsidRDefault="00D46E81" w:rsidP="0010115C">
            <w:pPr>
              <w:rPr>
                <w:rFonts w:cstheme="minorHAnsi"/>
              </w:rPr>
            </w:pPr>
          </w:p>
          <w:p w14:paraId="3ABF111B" w14:textId="77777777" w:rsidR="00D46E81" w:rsidRPr="004E251E" w:rsidRDefault="00D46E81" w:rsidP="0010115C">
            <w:pPr>
              <w:rPr>
                <w:rFonts w:cstheme="minorHAnsi"/>
              </w:rPr>
            </w:pPr>
          </w:p>
          <w:p w14:paraId="4F000ED3" w14:textId="77777777" w:rsidR="00D46E81" w:rsidRPr="004E251E" w:rsidRDefault="00D46E81" w:rsidP="0010115C">
            <w:pPr>
              <w:rPr>
                <w:rFonts w:cstheme="minorHAnsi"/>
              </w:rPr>
            </w:pPr>
          </w:p>
          <w:p w14:paraId="5045A292" w14:textId="77777777" w:rsidR="00D46E81" w:rsidRPr="004E251E" w:rsidRDefault="00D46E81" w:rsidP="0010115C">
            <w:pPr>
              <w:rPr>
                <w:rFonts w:cstheme="minorHAnsi"/>
              </w:rPr>
            </w:pPr>
          </w:p>
          <w:p w14:paraId="1A7AA6CA" w14:textId="77777777" w:rsidR="003B0DF5" w:rsidRPr="004E251E" w:rsidRDefault="003B0DF5" w:rsidP="0010115C">
            <w:pPr>
              <w:rPr>
                <w:rFonts w:cstheme="minorHAnsi"/>
              </w:rPr>
            </w:pPr>
          </w:p>
          <w:p w14:paraId="6E5D4E80" w14:textId="77777777" w:rsidR="00D46E81" w:rsidRPr="004E251E" w:rsidRDefault="00D46E81" w:rsidP="0010115C">
            <w:pPr>
              <w:rPr>
                <w:rFonts w:cstheme="minorHAnsi"/>
              </w:rPr>
            </w:pPr>
          </w:p>
          <w:p w14:paraId="0C996A68" w14:textId="77777777" w:rsidR="00D46E81" w:rsidRPr="004E251E" w:rsidRDefault="00D46E81" w:rsidP="0010115C">
            <w:pPr>
              <w:rPr>
                <w:rFonts w:cstheme="minorHAnsi"/>
              </w:rPr>
            </w:pPr>
          </w:p>
          <w:p w14:paraId="7493CC74" w14:textId="77777777" w:rsidR="00D46E81" w:rsidRPr="004E251E" w:rsidRDefault="00D46E81" w:rsidP="0010115C">
            <w:pPr>
              <w:rPr>
                <w:rFonts w:cstheme="minorHAnsi"/>
              </w:rPr>
            </w:pPr>
          </w:p>
          <w:p w14:paraId="65177294" w14:textId="77777777" w:rsidR="00D46E81" w:rsidRPr="004E251E" w:rsidRDefault="00D46E81" w:rsidP="0010115C">
            <w:pPr>
              <w:rPr>
                <w:rFonts w:cstheme="minorHAnsi"/>
              </w:rPr>
            </w:pPr>
          </w:p>
        </w:tc>
        <w:tc>
          <w:tcPr>
            <w:tcW w:w="8323" w:type="dxa"/>
            <w:tcBorders>
              <w:left w:val="dashed" w:sz="4" w:space="0" w:color="auto"/>
            </w:tcBorders>
            <w:shd w:val="clear" w:color="auto" w:fill="auto"/>
          </w:tcPr>
          <w:p w14:paraId="4F937C18" w14:textId="77777777" w:rsidR="00D46E81" w:rsidRPr="007E3013" w:rsidRDefault="00D46E81" w:rsidP="0010115C">
            <w:pPr>
              <w:ind w:left="459" w:right="876"/>
              <w:rPr>
                <w:rFonts w:cstheme="minorHAnsi"/>
                <w:lang w:val="el-GR"/>
              </w:rPr>
            </w:pPr>
          </w:p>
          <w:p w14:paraId="680C86DF" w14:textId="77777777" w:rsidR="00894D59" w:rsidRPr="007E3013" w:rsidRDefault="00894D59" w:rsidP="0010115C">
            <w:pPr>
              <w:ind w:left="459" w:right="876" w:firstLine="317"/>
              <w:rPr>
                <w:rFonts w:cstheme="minorHAnsi"/>
                <w:sz w:val="28"/>
                <w:szCs w:val="28"/>
                <w:lang w:val="el-GR"/>
              </w:rPr>
            </w:pPr>
          </w:p>
          <w:p w14:paraId="439F1744" w14:textId="77777777" w:rsidR="006B5B9C" w:rsidRPr="007E3013" w:rsidRDefault="006B5B9C" w:rsidP="0010115C">
            <w:pPr>
              <w:ind w:left="459" w:right="876" w:firstLine="317"/>
              <w:rPr>
                <w:rFonts w:cstheme="minorHAnsi"/>
                <w:sz w:val="28"/>
                <w:szCs w:val="28"/>
                <w:lang w:val="el-GR"/>
              </w:rPr>
            </w:pPr>
          </w:p>
          <w:p w14:paraId="494C6804" w14:textId="77777777" w:rsidR="00DB1C06" w:rsidRPr="007E3013" w:rsidRDefault="00DB1C06" w:rsidP="0010115C">
            <w:pPr>
              <w:ind w:left="459" w:right="876" w:firstLine="317"/>
              <w:rPr>
                <w:rFonts w:cstheme="minorHAnsi"/>
                <w:sz w:val="28"/>
                <w:szCs w:val="28"/>
                <w:lang w:val="el-GR"/>
              </w:rPr>
            </w:pPr>
          </w:p>
          <w:p w14:paraId="133F32E7" w14:textId="37244EF4" w:rsidR="00764AB6" w:rsidRPr="007E3013" w:rsidRDefault="00432F14" w:rsidP="0010115C">
            <w:pPr>
              <w:ind w:left="459" w:right="734" w:firstLine="317"/>
              <w:jc w:val="right"/>
              <w:rPr>
                <w:rFonts w:cstheme="minorHAnsi"/>
                <w:sz w:val="28"/>
                <w:szCs w:val="28"/>
                <w:lang w:val="el-GR"/>
              </w:rPr>
            </w:pPr>
            <w:r>
              <w:rPr>
                <w:rFonts w:cstheme="minorHAnsi"/>
                <w:sz w:val="28"/>
                <w:szCs w:val="28"/>
                <w:lang w:val="el-GR"/>
              </w:rPr>
              <w:t xml:space="preserve">Υιοθετήθηκε </w:t>
            </w:r>
            <w:r w:rsidR="007E3013">
              <w:rPr>
                <w:rFonts w:cstheme="minorHAnsi"/>
                <w:sz w:val="28"/>
                <w:szCs w:val="28"/>
                <w:lang w:val="el-GR"/>
              </w:rPr>
              <w:t>από την</w:t>
            </w:r>
            <w:r w:rsidR="00683683" w:rsidRPr="007E3013">
              <w:rPr>
                <w:rFonts w:cstheme="minorHAnsi"/>
                <w:sz w:val="28"/>
                <w:szCs w:val="28"/>
                <w:lang w:val="el-GR"/>
              </w:rPr>
              <w:t xml:space="preserve"> </w:t>
            </w:r>
            <w:r w:rsidR="00764AB6" w:rsidRPr="004E251E">
              <w:rPr>
                <w:rFonts w:cstheme="minorHAnsi"/>
                <w:sz w:val="28"/>
                <w:szCs w:val="28"/>
              </w:rPr>
              <w:t>GRECO</w:t>
            </w:r>
          </w:p>
          <w:p w14:paraId="7A908C66" w14:textId="371709F6" w:rsidR="005A26E9" w:rsidRPr="007E3013" w:rsidRDefault="007E3013" w:rsidP="0010115C">
            <w:pPr>
              <w:ind w:left="459" w:right="734" w:firstLine="317"/>
              <w:jc w:val="right"/>
              <w:rPr>
                <w:rFonts w:cstheme="minorHAnsi"/>
                <w:sz w:val="20"/>
                <w:lang w:val="el-GR"/>
              </w:rPr>
            </w:pPr>
            <w:r>
              <w:rPr>
                <w:rFonts w:cstheme="minorHAnsi"/>
                <w:sz w:val="28"/>
                <w:szCs w:val="28"/>
                <w:lang w:val="el-GR"/>
              </w:rPr>
              <w:t>στην</w:t>
            </w:r>
            <w:r w:rsidR="00683683" w:rsidRPr="007E3013">
              <w:rPr>
                <w:rFonts w:cstheme="minorHAnsi"/>
                <w:sz w:val="28"/>
                <w:szCs w:val="28"/>
                <w:lang w:val="el-GR"/>
              </w:rPr>
              <w:t xml:space="preserve"> </w:t>
            </w:r>
            <w:r w:rsidR="00124B2F" w:rsidRPr="007E3013">
              <w:rPr>
                <w:rFonts w:cstheme="minorHAnsi"/>
                <w:sz w:val="28"/>
                <w:szCs w:val="28"/>
                <w:lang w:val="el-GR"/>
              </w:rPr>
              <w:t>94</w:t>
            </w:r>
            <w:r w:rsidRPr="007E3013">
              <w:rPr>
                <w:rFonts w:cstheme="minorHAnsi"/>
                <w:sz w:val="28"/>
                <w:szCs w:val="28"/>
                <w:vertAlign w:val="superscript"/>
                <w:lang w:val="el-GR"/>
              </w:rPr>
              <w:t>η</w:t>
            </w:r>
            <w:r>
              <w:rPr>
                <w:rFonts w:cstheme="minorHAnsi"/>
                <w:sz w:val="28"/>
                <w:szCs w:val="28"/>
                <w:lang w:val="el-GR"/>
              </w:rPr>
              <w:t xml:space="preserve"> Ολομέλεια</w:t>
            </w:r>
            <w:r w:rsidR="00683683" w:rsidRPr="007E3013">
              <w:rPr>
                <w:rFonts w:cstheme="minorHAnsi"/>
                <w:sz w:val="28"/>
                <w:szCs w:val="28"/>
                <w:lang w:val="el-GR"/>
              </w:rPr>
              <w:t xml:space="preserve"> (</w:t>
            </w:r>
            <w:r>
              <w:rPr>
                <w:rFonts w:cstheme="minorHAnsi"/>
                <w:sz w:val="28"/>
                <w:szCs w:val="28"/>
                <w:lang w:val="el-GR"/>
              </w:rPr>
              <w:t>Στρασβούργο</w:t>
            </w:r>
            <w:r w:rsidR="00683683" w:rsidRPr="007E3013">
              <w:rPr>
                <w:rFonts w:cstheme="minorHAnsi"/>
                <w:sz w:val="28"/>
                <w:szCs w:val="28"/>
                <w:lang w:val="el-GR"/>
              </w:rPr>
              <w:t xml:space="preserve">, </w:t>
            </w:r>
            <w:r w:rsidR="00124B2F" w:rsidRPr="007E3013">
              <w:rPr>
                <w:rFonts w:cstheme="minorHAnsi"/>
                <w:sz w:val="28"/>
                <w:szCs w:val="28"/>
                <w:lang w:val="el-GR"/>
              </w:rPr>
              <w:t xml:space="preserve">5-9 </w:t>
            </w:r>
            <w:r>
              <w:rPr>
                <w:rFonts w:cstheme="minorHAnsi"/>
                <w:sz w:val="28"/>
                <w:szCs w:val="28"/>
                <w:lang w:val="el-GR"/>
              </w:rPr>
              <w:t>Ιουνίου</w:t>
            </w:r>
            <w:r w:rsidR="00124B2F" w:rsidRPr="007E3013">
              <w:rPr>
                <w:rFonts w:cstheme="minorHAnsi"/>
                <w:sz w:val="28"/>
                <w:szCs w:val="28"/>
                <w:lang w:val="el-GR"/>
              </w:rPr>
              <w:t xml:space="preserve"> 2023</w:t>
            </w:r>
            <w:r w:rsidR="00683683" w:rsidRPr="007E3013">
              <w:rPr>
                <w:rFonts w:cstheme="minorHAnsi"/>
                <w:sz w:val="28"/>
                <w:szCs w:val="28"/>
                <w:lang w:val="el-GR"/>
              </w:rPr>
              <w:t>)</w:t>
            </w:r>
          </w:p>
          <w:p w14:paraId="16672602" w14:textId="77777777" w:rsidR="002E2112" w:rsidRPr="007E3013" w:rsidRDefault="002E2112" w:rsidP="0010115C">
            <w:pPr>
              <w:ind w:left="459" w:right="876" w:firstLine="317"/>
              <w:rPr>
                <w:rFonts w:cstheme="minorHAnsi"/>
                <w:lang w:val="el-GR"/>
              </w:rPr>
            </w:pPr>
          </w:p>
        </w:tc>
      </w:tr>
    </w:tbl>
    <w:p w14:paraId="78538A78" w14:textId="77777777" w:rsidR="00D46E81" w:rsidRPr="007E3013" w:rsidRDefault="006D5909" w:rsidP="0010115C">
      <w:pPr>
        <w:tabs>
          <w:tab w:val="left" w:pos="10773"/>
        </w:tabs>
        <w:rPr>
          <w:rFonts w:cstheme="minorHAnsi"/>
          <w:lang w:val="el-GR"/>
        </w:rPr>
      </w:pPr>
      <w:r w:rsidRPr="004E251E">
        <w:rPr>
          <w:b/>
          <w:noProof/>
          <w:sz w:val="32"/>
          <w:szCs w:val="18"/>
          <w:lang w:val="en-US"/>
        </w:rPr>
        <w:drawing>
          <wp:anchor distT="0" distB="0" distL="114300" distR="114300" simplePos="0" relativeHeight="251657728" behindDoc="1" locked="0" layoutInCell="1" allowOverlap="1" wp14:anchorId="786E26C9" wp14:editId="34D2DDDD">
            <wp:simplePos x="0" y="0"/>
            <wp:positionH relativeFrom="margin">
              <wp:posOffset>2994660</wp:posOffset>
            </wp:positionH>
            <wp:positionV relativeFrom="paragraph">
              <wp:posOffset>36830</wp:posOffset>
            </wp:positionV>
            <wp:extent cx="4286250" cy="1581150"/>
            <wp:effectExtent l="0" t="0" r="0" b="0"/>
            <wp:wrapNone/>
            <wp:docPr id="6" name="Picture 6" descr="C:\Users\pincemaille\Pictures\COE-logo-and-GRECO-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Pictures\COE-logo-and-GRECO-450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1581150"/>
                    </a:xfrm>
                    <a:prstGeom prst="rect">
                      <a:avLst/>
                    </a:prstGeom>
                    <a:noFill/>
                    <a:ln>
                      <a:noFill/>
                    </a:ln>
                  </pic:spPr>
                </pic:pic>
              </a:graphicData>
            </a:graphic>
          </wp:anchor>
        </w:drawing>
      </w:r>
      <w:r w:rsidR="00D46E81" w:rsidRPr="007E3013">
        <w:rPr>
          <w:rFonts w:cstheme="minorHAnsi"/>
          <w:lang w:val="el-GR"/>
        </w:rPr>
        <w:br w:type="page"/>
      </w:r>
    </w:p>
    <w:p w14:paraId="37F411CF" w14:textId="77777777" w:rsidR="005F619A" w:rsidRPr="007E3013" w:rsidRDefault="005F619A" w:rsidP="0010115C">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ind w:left="284" w:right="243"/>
        <w:jc w:val="center"/>
        <w:rPr>
          <w:rFonts w:asciiTheme="minorHAnsi" w:hAnsiTheme="minorHAnsi"/>
          <w:color w:val="0F243E" w:themeColor="text2" w:themeShade="80"/>
          <w:sz w:val="22"/>
          <w:szCs w:val="30"/>
          <w:lang w:val="el-GR"/>
        </w:rPr>
        <w:sectPr w:rsidR="005F619A" w:rsidRPr="007E3013">
          <w:footerReference w:type="default" r:id="rId10"/>
          <w:pgSz w:w="11906" w:h="16838" w:code="9"/>
          <w:pgMar w:top="142" w:right="232" w:bottom="21" w:left="232" w:header="567" w:footer="0" w:gutter="0"/>
          <w:cols w:space="708"/>
          <w:titlePg/>
          <w:docGrid w:linePitch="360"/>
        </w:sectPr>
      </w:pPr>
    </w:p>
    <w:bookmarkStart w:id="1" w:name="_Toc345583901" w:displacedByCustomXml="next"/>
    <w:bookmarkStart w:id="2" w:name="_Toc345583978" w:displacedByCustomXml="next"/>
    <w:bookmarkStart w:id="3" w:name="_Toc348617111" w:displacedByCustomXml="next"/>
    <w:sdt>
      <w:sdtPr>
        <w:rPr>
          <w:rFonts w:ascii="Calibri" w:eastAsia="Times New Roman" w:hAnsi="Calibri" w:cstheme="minorHAnsi"/>
          <w:i/>
          <w:iCs/>
          <w:noProof/>
          <w:sz w:val="20"/>
          <w:szCs w:val="20"/>
          <w:lang w:eastAsia="fr-FR"/>
        </w:rPr>
        <w:id w:val="-1046760254"/>
        <w:docPartObj>
          <w:docPartGallery w:val="Table of Contents"/>
          <w:docPartUnique/>
        </w:docPartObj>
      </w:sdtPr>
      <w:sdtContent>
        <w:p w14:paraId="295C018D" w14:textId="79DC6AFD" w:rsidR="00FB38AB" w:rsidRPr="007E3013" w:rsidRDefault="007E3013" w:rsidP="0010115C">
          <w:pPr>
            <w:ind w:right="423"/>
            <w:jc w:val="center"/>
            <w:rPr>
              <w:rFonts w:eastAsia="Times New Roman"/>
              <w:b/>
              <w:noProof/>
              <w:snapToGrid w:val="0"/>
              <w:sz w:val="20"/>
              <w:szCs w:val="20"/>
              <w:lang w:val="el-GR" w:eastAsia="fr-FR"/>
            </w:rPr>
          </w:pPr>
          <w:r>
            <w:rPr>
              <w:rFonts w:eastAsia="Times New Roman"/>
              <w:b/>
              <w:noProof/>
              <w:snapToGrid w:val="0"/>
              <w:sz w:val="20"/>
              <w:szCs w:val="20"/>
              <w:lang w:val="el-GR" w:eastAsia="fr-FR"/>
            </w:rPr>
            <w:t>ΠΙΝΑΚΑΣ ΠΕΡΙΕΧΟΜΕΝΩΝ</w:t>
          </w:r>
        </w:p>
        <w:p w14:paraId="49B43F69" w14:textId="77777777" w:rsidR="00FB38AB" w:rsidRPr="004E251E" w:rsidRDefault="00FB38AB" w:rsidP="0010115C">
          <w:pPr>
            <w:tabs>
              <w:tab w:val="left" w:pos="709"/>
            </w:tabs>
            <w:jc w:val="center"/>
            <w:rPr>
              <w:rFonts w:cstheme="minorHAnsi"/>
              <w:sz w:val="20"/>
              <w:szCs w:val="20"/>
            </w:rPr>
          </w:pPr>
        </w:p>
        <w:p w14:paraId="71E6BE21" w14:textId="1999E789" w:rsidR="00707A64" w:rsidRDefault="002C554C">
          <w:pPr>
            <w:pStyle w:val="TOC1"/>
            <w:rPr>
              <w:rFonts w:asciiTheme="minorHAnsi" w:eastAsiaTheme="minorEastAsia" w:hAnsiTheme="minorHAnsi" w:cstheme="minorBidi"/>
              <w:b w:val="0"/>
              <w:bCs w:val="0"/>
              <w:caps w:val="0"/>
              <w:noProof/>
              <w:sz w:val="22"/>
              <w:szCs w:val="22"/>
              <w:lang w:val="fr-FR"/>
            </w:rPr>
          </w:pPr>
          <w:r w:rsidRPr="004E251E">
            <w:rPr>
              <w:rFonts w:asciiTheme="minorHAnsi" w:hAnsiTheme="minorHAnsi" w:cstheme="minorHAnsi"/>
            </w:rPr>
            <w:fldChar w:fldCharType="begin"/>
          </w:r>
          <w:r w:rsidR="00FB38AB" w:rsidRPr="004E251E">
            <w:rPr>
              <w:rFonts w:asciiTheme="minorHAnsi" w:hAnsiTheme="minorHAnsi" w:cstheme="minorHAnsi"/>
            </w:rPr>
            <w:instrText xml:space="preserve"> TOC \o "1-3" \h \z \u </w:instrText>
          </w:r>
          <w:r w:rsidRPr="004E251E">
            <w:rPr>
              <w:rFonts w:asciiTheme="minorHAnsi" w:hAnsiTheme="minorHAnsi" w:cstheme="minorHAnsi"/>
            </w:rPr>
            <w:fldChar w:fldCharType="separate"/>
          </w:r>
          <w:hyperlink w:anchor="_Toc136879334" w:history="1">
            <w:r w:rsidR="00707A64" w:rsidRPr="00CD7BC7">
              <w:rPr>
                <w:rStyle w:val="Hyperlink"/>
                <w:noProof/>
              </w:rPr>
              <w:t>I.</w:t>
            </w:r>
            <w:r w:rsidR="00707A64">
              <w:rPr>
                <w:rFonts w:asciiTheme="minorHAnsi" w:eastAsiaTheme="minorEastAsia" w:hAnsiTheme="minorHAnsi" w:cstheme="minorBidi"/>
                <w:b w:val="0"/>
                <w:bCs w:val="0"/>
                <w:caps w:val="0"/>
                <w:noProof/>
                <w:sz w:val="22"/>
                <w:szCs w:val="22"/>
                <w:lang w:val="fr-FR"/>
              </w:rPr>
              <w:tab/>
            </w:r>
            <w:r w:rsidR="00432F14" w:rsidRPr="002B7C4B">
              <w:rPr>
                <w:rStyle w:val="Hyperlink"/>
              </w:rPr>
              <w:t xml:space="preserve">ΠΕΡΙΛΗΨΗ ΚΥΡΙΟΤΕΡΩΝ </w:t>
            </w:r>
            <w:r w:rsidR="00432F14">
              <w:rPr>
                <w:rStyle w:val="Hyperlink"/>
                <w:noProof/>
                <w:lang w:val="el-GR"/>
              </w:rPr>
              <w:t>ΣΗΜΕΙΩΝ</w:t>
            </w:r>
            <w:r w:rsidR="00707A64">
              <w:rPr>
                <w:noProof/>
                <w:webHidden/>
              </w:rPr>
              <w:tab/>
            </w:r>
            <w:r w:rsidR="00707A64">
              <w:rPr>
                <w:noProof/>
                <w:webHidden/>
              </w:rPr>
              <w:fldChar w:fldCharType="begin"/>
            </w:r>
            <w:r w:rsidR="00707A64">
              <w:rPr>
                <w:noProof/>
                <w:webHidden/>
              </w:rPr>
              <w:instrText xml:space="preserve"> PAGEREF _Toc136879334 \h </w:instrText>
            </w:r>
            <w:r w:rsidR="00707A64">
              <w:rPr>
                <w:noProof/>
                <w:webHidden/>
              </w:rPr>
            </w:r>
            <w:r w:rsidR="00707A64">
              <w:rPr>
                <w:noProof/>
                <w:webHidden/>
              </w:rPr>
              <w:fldChar w:fldCharType="separate"/>
            </w:r>
            <w:r w:rsidR="00522AD3">
              <w:rPr>
                <w:noProof/>
                <w:webHidden/>
              </w:rPr>
              <w:t>4</w:t>
            </w:r>
            <w:r w:rsidR="00707A64">
              <w:rPr>
                <w:noProof/>
                <w:webHidden/>
              </w:rPr>
              <w:fldChar w:fldCharType="end"/>
            </w:r>
          </w:hyperlink>
        </w:p>
        <w:p w14:paraId="3C18F4F8" w14:textId="2BF8F896" w:rsidR="00707A64" w:rsidRDefault="00000000">
          <w:pPr>
            <w:pStyle w:val="TOC1"/>
            <w:rPr>
              <w:rFonts w:asciiTheme="minorHAnsi" w:eastAsiaTheme="minorEastAsia" w:hAnsiTheme="minorHAnsi" w:cstheme="minorBidi"/>
              <w:b w:val="0"/>
              <w:bCs w:val="0"/>
              <w:caps w:val="0"/>
              <w:noProof/>
              <w:sz w:val="22"/>
              <w:szCs w:val="22"/>
              <w:lang w:val="fr-FR"/>
            </w:rPr>
          </w:pPr>
          <w:hyperlink w:anchor="_Toc136879335" w:history="1">
            <w:r w:rsidR="00707A64" w:rsidRPr="00CD7BC7">
              <w:rPr>
                <w:rStyle w:val="Hyperlink"/>
                <w:rFonts w:cstheme="minorHAnsi"/>
                <w:noProof/>
              </w:rPr>
              <w:t>II.</w:t>
            </w:r>
            <w:r w:rsidR="00707A64">
              <w:rPr>
                <w:rFonts w:asciiTheme="minorHAnsi" w:eastAsiaTheme="minorEastAsia" w:hAnsiTheme="minorHAnsi" w:cstheme="minorBidi"/>
                <w:b w:val="0"/>
                <w:bCs w:val="0"/>
                <w:caps w:val="0"/>
                <w:noProof/>
                <w:sz w:val="22"/>
                <w:szCs w:val="22"/>
                <w:lang w:val="fr-FR"/>
              </w:rPr>
              <w:tab/>
            </w:r>
            <w:r w:rsidR="007E3013">
              <w:rPr>
                <w:rStyle w:val="Hyperlink"/>
                <w:rFonts w:cstheme="minorHAnsi"/>
                <w:noProof/>
                <w:lang w:val="el-GR"/>
              </w:rPr>
              <w:t>ΕΙΣΑΓΩΓΗ ΚΑΙ ΜΕΘΟΔΟΛΟΓΙΑ</w:t>
            </w:r>
            <w:r w:rsidR="00707A64">
              <w:rPr>
                <w:noProof/>
                <w:webHidden/>
              </w:rPr>
              <w:tab/>
            </w:r>
            <w:r w:rsidR="00707A64">
              <w:rPr>
                <w:noProof/>
                <w:webHidden/>
              </w:rPr>
              <w:fldChar w:fldCharType="begin"/>
            </w:r>
            <w:r w:rsidR="00707A64">
              <w:rPr>
                <w:noProof/>
                <w:webHidden/>
              </w:rPr>
              <w:instrText xml:space="preserve"> PAGEREF _Toc136879335 \h </w:instrText>
            </w:r>
            <w:r w:rsidR="00707A64">
              <w:rPr>
                <w:noProof/>
                <w:webHidden/>
              </w:rPr>
            </w:r>
            <w:r w:rsidR="00707A64">
              <w:rPr>
                <w:noProof/>
                <w:webHidden/>
              </w:rPr>
              <w:fldChar w:fldCharType="separate"/>
            </w:r>
            <w:r w:rsidR="00522AD3">
              <w:rPr>
                <w:noProof/>
                <w:webHidden/>
              </w:rPr>
              <w:t>7</w:t>
            </w:r>
            <w:r w:rsidR="00707A64">
              <w:rPr>
                <w:noProof/>
                <w:webHidden/>
              </w:rPr>
              <w:fldChar w:fldCharType="end"/>
            </w:r>
          </w:hyperlink>
        </w:p>
        <w:p w14:paraId="247AA709" w14:textId="0EA15C9A" w:rsidR="00707A64" w:rsidRDefault="00000000">
          <w:pPr>
            <w:pStyle w:val="TOC1"/>
            <w:rPr>
              <w:rFonts w:asciiTheme="minorHAnsi" w:eastAsiaTheme="minorEastAsia" w:hAnsiTheme="minorHAnsi" w:cstheme="minorBidi"/>
              <w:b w:val="0"/>
              <w:bCs w:val="0"/>
              <w:caps w:val="0"/>
              <w:noProof/>
              <w:sz w:val="22"/>
              <w:szCs w:val="22"/>
              <w:lang w:val="fr-FR"/>
            </w:rPr>
          </w:pPr>
          <w:hyperlink w:anchor="_Toc136879336" w:history="1">
            <w:r w:rsidR="00707A64" w:rsidRPr="00CD7BC7">
              <w:rPr>
                <w:rStyle w:val="Hyperlink"/>
                <w:noProof/>
              </w:rPr>
              <w:t>III.</w:t>
            </w:r>
            <w:r w:rsidR="00707A64">
              <w:rPr>
                <w:rFonts w:asciiTheme="minorHAnsi" w:eastAsiaTheme="minorEastAsia" w:hAnsiTheme="minorHAnsi" w:cstheme="minorBidi"/>
                <w:b w:val="0"/>
                <w:bCs w:val="0"/>
                <w:caps w:val="0"/>
                <w:noProof/>
                <w:sz w:val="22"/>
                <w:szCs w:val="22"/>
                <w:lang w:val="fr-FR"/>
              </w:rPr>
              <w:tab/>
            </w:r>
            <w:r w:rsidR="007E3013">
              <w:rPr>
                <w:rStyle w:val="Hyperlink"/>
                <w:noProof/>
                <w:lang w:val="el-GR"/>
              </w:rPr>
              <w:t>πλαισιο</w:t>
            </w:r>
            <w:r w:rsidR="00707A64">
              <w:rPr>
                <w:noProof/>
                <w:webHidden/>
              </w:rPr>
              <w:tab/>
            </w:r>
            <w:r w:rsidR="00707A64">
              <w:rPr>
                <w:noProof/>
                <w:webHidden/>
              </w:rPr>
              <w:fldChar w:fldCharType="begin"/>
            </w:r>
            <w:r w:rsidR="00707A64">
              <w:rPr>
                <w:noProof/>
                <w:webHidden/>
              </w:rPr>
              <w:instrText xml:space="preserve"> PAGEREF _Toc136879336 \h </w:instrText>
            </w:r>
            <w:r w:rsidR="00707A64">
              <w:rPr>
                <w:noProof/>
                <w:webHidden/>
              </w:rPr>
            </w:r>
            <w:r w:rsidR="00707A64">
              <w:rPr>
                <w:noProof/>
                <w:webHidden/>
              </w:rPr>
              <w:fldChar w:fldCharType="separate"/>
            </w:r>
            <w:r w:rsidR="00522AD3">
              <w:rPr>
                <w:noProof/>
                <w:webHidden/>
              </w:rPr>
              <w:t>9</w:t>
            </w:r>
            <w:r w:rsidR="00707A64">
              <w:rPr>
                <w:noProof/>
                <w:webHidden/>
              </w:rPr>
              <w:fldChar w:fldCharType="end"/>
            </w:r>
          </w:hyperlink>
        </w:p>
        <w:p w14:paraId="1066CF0D" w14:textId="0B7C82CB" w:rsidR="00707A64" w:rsidRDefault="00000000">
          <w:pPr>
            <w:pStyle w:val="TOC1"/>
            <w:rPr>
              <w:rFonts w:asciiTheme="minorHAnsi" w:eastAsiaTheme="minorEastAsia" w:hAnsiTheme="minorHAnsi" w:cstheme="minorBidi"/>
              <w:b w:val="0"/>
              <w:bCs w:val="0"/>
              <w:caps w:val="0"/>
              <w:noProof/>
              <w:sz w:val="22"/>
              <w:szCs w:val="22"/>
              <w:lang w:val="fr-FR"/>
            </w:rPr>
          </w:pPr>
          <w:hyperlink w:anchor="_Toc136879337" w:history="1">
            <w:r w:rsidR="00707A64" w:rsidRPr="00CD7BC7">
              <w:rPr>
                <w:rStyle w:val="Hyperlink"/>
                <w:noProof/>
              </w:rPr>
              <w:t xml:space="preserve">IV. </w:t>
            </w:r>
            <w:r w:rsidR="00707A64">
              <w:rPr>
                <w:rFonts w:asciiTheme="minorHAnsi" w:eastAsiaTheme="minorEastAsia" w:hAnsiTheme="minorHAnsi" w:cstheme="minorBidi"/>
                <w:b w:val="0"/>
                <w:bCs w:val="0"/>
                <w:caps w:val="0"/>
                <w:noProof/>
                <w:sz w:val="22"/>
                <w:szCs w:val="22"/>
                <w:lang w:val="fr-FR"/>
              </w:rPr>
              <w:tab/>
            </w:r>
            <w:r w:rsidR="00B14C20">
              <w:rPr>
                <w:rStyle w:val="Hyperlink"/>
                <w:lang w:val="el-GR"/>
              </w:rPr>
              <w:t xml:space="preserve">προληψη </w:t>
            </w:r>
            <w:r w:rsidR="007E3013">
              <w:rPr>
                <w:rStyle w:val="Hyperlink"/>
                <w:noProof/>
                <w:lang w:val="el-GR"/>
              </w:rPr>
              <w:t xml:space="preserve">διαφθορασ </w:t>
            </w:r>
            <w:r w:rsidR="00432F14">
              <w:rPr>
                <w:rStyle w:val="Hyperlink"/>
                <w:noProof/>
                <w:lang w:val="el-GR"/>
              </w:rPr>
              <w:t xml:space="preserve">στις </w:t>
            </w:r>
            <w:r w:rsidR="007E3013">
              <w:rPr>
                <w:rStyle w:val="Hyperlink"/>
                <w:noProof/>
                <w:lang w:val="el-GR"/>
              </w:rPr>
              <w:t>κεντρικεσ κυβερνησεισ</w:t>
            </w:r>
            <w:r w:rsidR="00707A64" w:rsidRPr="00CD7BC7">
              <w:rPr>
                <w:rStyle w:val="Hyperlink"/>
                <w:noProof/>
              </w:rPr>
              <w:t xml:space="preserve"> (</w:t>
            </w:r>
            <w:r w:rsidR="00432F14">
              <w:rPr>
                <w:rStyle w:val="Hyperlink"/>
                <w:noProof/>
                <w:lang w:val="el-GR"/>
              </w:rPr>
              <w:t xml:space="preserve">ΑΝΩΤΑΤΕΣ </w:t>
            </w:r>
            <w:r w:rsidR="007E3013">
              <w:rPr>
                <w:rStyle w:val="Hyperlink"/>
                <w:noProof/>
                <w:lang w:val="el-GR"/>
              </w:rPr>
              <w:t>εκτελεστικες</w:t>
            </w:r>
            <w:r w:rsidR="00B14C20">
              <w:rPr>
                <w:rStyle w:val="Hyperlink"/>
                <w:noProof/>
                <w:lang w:val="el-GR"/>
              </w:rPr>
              <w:t xml:space="preserve"> αρμοδιοτητεσ</w:t>
            </w:r>
            <w:r w:rsidR="00707A64" w:rsidRPr="00CD7BC7">
              <w:rPr>
                <w:rStyle w:val="Hyperlink"/>
                <w:noProof/>
              </w:rPr>
              <w:t>)</w:t>
            </w:r>
            <w:r w:rsidR="00707A64">
              <w:rPr>
                <w:noProof/>
                <w:webHidden/>
              </w:rPr>
              <w:tab/>
            </w:r>
            <w:r w:rsidR="00707A64">
              <w:rPr>
                <w:noProof/>
                <w:webHidden/>
              </w:rPr>
              <w:fldChar w:fldCharType="begin"/>
            </w:r>
            <w:r w:rsidR="00707A64">
              <w:rPr>
                <w:noProof/>
                <w:webHidden/>
              </w:rPr>
              <w:instrText xml:space="preserve"> PAGEREF _Toc136879337 \h </w:instrText>
            </w:r>
            <w:r w:rsidR="00707A64">
              <w:rPr>
                <w:noProof/>
                <w:webHidden/>
              </w:rPr>
            </w:r>
            <w:r w:rsidR="00707A64">
              <w:rPr>
                <w:noProof/>
                <w:webHidden/>
              </w:rPr>
              <w:fldChar w:fldCharType="separate"/>
            </w:r>
            <w:r w:rsidR="00522AD3">
              <w:rPr>
                <w:noProof/>
                <w:webHidden/>
              </w:rPr>
              <w:t>11</w:t>
            </w:r>
            <w:r w:rsidR="00707A64">
              <w:rPr>
                <w:noProof/>
                <w:webHidden/>
              </w:rPr>
              <w:fldChar w:fldCharType="end"/>
            </w:r>
          </w:hyperlink>
        </w:p>
        <w:p w14:paraId="5321E3D6" w14:textId="4FFE86E7" w:rsidR="00707A64" w:rsidRPr="002B7C4B" w:rsidRDefault="00000000">
          <w:pPr>
            <w:pStyle w:val="TOC2"/>
            <w:rPr>
              <w:rStyle w:val="Hyperlink"/>
              <w:rFonts w:cstheme="minorHAnsi"/>
            </w:rPr>
          </w:pPr>
          <w:hyperlink w:anchor="_Toc136879338" w:history="1">
            <w:r w:rsidR="004C0CBB" w:rsidRPr="002B7C4B">
              <w:rPr>
                <w:rStyle w:val="Hyperlink"/>
                <w:rFonts w:cstheme="minorHAnsi"/>
                <w:noProof/>
              </w:rPr>
              <w:t>σ</w:t>
            </w:r>
            <w:r w:rsidR="00707A64" w:rsidRPr="00CD7BC7">
              <w:rPr>
                <w:rStyle w:val="Hyperlink"/>
                <w:rFonts w:cstheme="minorHAnsi"/>
                <w:noProof/>
              </w:rPr>
              <w:t>y</w:t>
            </w:r>
            <w:r w:rsidR="00856187" w:rsidRPr="002B7C4B">
              <w:rPr>
                <w:rStyle w:val="Hyperlink"/>
                <w:rFonts w:cstheme="minorHAnsi"/>
                <w:noProof/>
              </w:rPr>
              <w:t xml:space="preserve">στημα διακυβερνησησ και </w:t>
            </w:r>
            <w:r w:rsidR="00432F14" w:rsidRPr="002B7C4B">
              <w:rPr>
                <w:rStyle w:val="Hyperlink"/>
                <w:rFonts w:cstheme="minorHAnsi"/>
                <w:noProof/>
              </w:rPr>
              <w:t xml:space="preserve">ΑΝΩΤΑΤΕΣ </w:t>
            </w:r>
            <w:r w:rsidR="004C0CBB" w:rsidRPr="002B7C4B">
              <w:rPr>
                <w:rStyle w:val="Hyperlink"/>
                <w:rFonts w:cstheme="minorHAnsi"/>
                <w:noProof/>
              </w:rPr>
              <w:t>εκτελεστικες</w:t>
            </w:r>
            <w:r w:rsidR="00B14C20" w:rsidRPr="002B7C4B">
              <w:rPr>
                <w:rStyle w:val="Hyperlink"/>
                <w:rFonts w:cstheme="minorHAnsi"/>
                <w:noProof/>
              </w:rPr>
              <w:t xml:space="preserve"> αρμοδιοτητεσ</w:t>
            </w:r>
            <w:r w:rsidR="00707A64" w:rsidRPr="002B7C4B">
              <w:rPr>
                <w:rStyle w:val="Hyperlink"/>
                <w:rFonts w:cstheme="minorHAnsi"/>
                <w:webHidden/>
              </w:rPr>
              <w:tab/>
            </w:r>
            <w:r w:rsidR="00707A64" w:rsidRPr="002B7C4B">
              <w:rPr>
                <w:rStyle w:val="Hyperlink"/>
                <w:rFonts w:cstheme="minorHAnsi"/>
                <w:webHidden/>
              </w:rPr>
              <w:fldChar w:fldCharType="begin"/>
            </w:r>
            <w:r w:rsidR="00707A64" w:rsidRPr="002B7C4B">
              <w:rPr>
                <w:rStyle w:val="Hyperlink"/>
                <w:rFonts w:cstheme="minorHAnsi"/>
                <w:webHidden/>
              </w:rPr>
              <w:instrText xml:space="preserve"> PAGEREF _Toc136879338 \h </w:instrText>
            </w:r>
            <w:r w:rsidR="00707A64" w:rsidRPr="002B7C4B">
              <w:rPr>
                <w:rStyle w:val="Hyperlink"/>
                <w:rFonts w:cstheme="minorHAnsi"/>
                <w:webHidden/>
              </w:rPr>
            </w:r>
            <w:r w:rsidR="00707A64" w:rsidRPr="002B7C4B">
              <w:rPr>
                <w:rStyle w:val="Hyperlink"/>
                <w:rFonts w:cstheme="minorHAnsi"/>
                <w:webHidden/>
              </w:rPr>
              <w:fldChar w:fldCharType="separate"/>
            </w:r>
            <w:r w:rsidR="00522AD3">
              <w:rPr>
                <w:rStyle w:val="Hyperlink"/>
                <w:rFonts w:cstheme="minorHAnsi"/>
                <w:noProof/>
                <w:webHidden/>
              </w:rPr>
              <w:t>11</w:t>
            </w:r>
            <w:r w:rsidR="00707A64" w:rsidRPr="002B7C4B">
              <w:rPr>
                <w:rStyle w:val="Hyperlink"/>
                <w:rFonts w:cstheme="minorHAnsi"/>
                <w:webHidden/>
              </w:rPr>
              <w:fldChar w:fldCharType="end"/>
            </w:r>
          </w:hyperlink>
        </w:p>
        <w:p w14:paraId="562E78D5" w14:textId="3A7DE223" w:rsidR="00707A64" w:rsidRDefault="00000000">
          <w:pPr>
            <w:pStyle w:val="TOC3"/>
            <w:rPr>
              <w:rFonts w:asciiTheme="minorHAnsi" w:eastAsiaTheme="minorEastAsia" w:hAnsiTheme="minorHAnsi" w:cstheme="minorBidi"/>
              <w:i w:val="0"/>
              <w:iCs w:val="0"/>
              <w:sz w:val="22"/>
              <w:szCs w:val="22"/>
              <w:lang w:val="fr-FR"/>
            </w:rPr>
          </w:pPr>
          <w:hyperlink w:anchor="_Toc136879339" w:history="1">
            <w:r w:rsidR="004C0CBB">
              <w:rPr>
                <w:rStyle w:val="Hyperlink"/>
                <w:lang w:val="el-GR"/>
              </w:rPr>
              <w:t>Ο Πρόεδρος</w:t>
            </w:r>
            <w:r w:rsidR="00707A64">
              <w:rPr>
                <w:webHidden/>
              </w:rPr>
              <w:tab/>
            </w:r>
            <w:r w:rsidR="00707A64">
              <w:rPr>
                <w:webHidden/>
              </w:rPr>
              <w:fldChar w:fldCharType="begin"/>
            </w:r>
            <w:r w:rsidR="00707A64">
              <w:rPr>
                <w:webHidden/>
              </w:rPr>
              <w:instrText xml:space="preserve"> PAGEREF _Toc136879339 \h </w:instrText>
            </w:r>
            <w:r w:rsidR="00707A64">
              <w:rPr>
                <w:webHidden/>
              </w:rPr>
            </w:r>
            <w:r w:rsidR="00707A64">
              <w:rPr>
                <w:webHidden/>
              </w:rPr>
              <w:fldChar w:fldCharType="separate"/>
            </w:r>
            <w:r w:rsidR="00522AD3">
              <w:rPr>
                <w:webHidden/>
              </w:rPr>
              <w:t>12</w:t>
            </w:r>
            <w:r w:rsidR="00707A64">
              <w:rPr>
                <w:webHidden/>
              </w:rPr>
              <w:fldChar w:fldCharType="end"/>
            </w:r>
          </w:hyperlink>
        </w:p>
        <w:p w14:paraId="4FDE7964" w14:textId="1C1A7612" w:rsidR="00707A64" w:rsidRDefault="00000000">
          <w:pPr>
            <w:pStyle w:val="TOC3"/>
            <w:rPr>
              <w:rFonts w:asciiTheme="minorHAnsi" w:eastAsiaTheme="minorEastAsia" w:hAnsiTheme="minorHAnsi" w:cstheme="minorBidi"/>
              <w:i w:val="0"/>
              <w:iCs w:val="0"/>
              <w:sz w:val="22"/>
              <w:szCs w:val="22"/>
              <w:lang w:val="fr-FR"/>
            </w:rPr>
          </w:pPr>
          <w:hyperlink w:anchor="_Toc136879340" w:history="1">
            <w:r w:rsidR="004C0CBB">
              <w:rPr>
                <w:rStyle w:val="Hyperlink"/>
                <w:lang w:val="el-GR"/>
              </w:rPr>
              <w:t>Η Κυβέρνηση</w:t>
            </w:r>
            <w:r w:rsidR="00707A64">
              <w:rPr>
                <w:webHidden/>
              </w:rPr>
              <w:tab/>
            </w:r>
            <w:r w:rsidR="00707A64">
              <w:rPr>
                <w:webHidden/>
              </w:rPr>
              <w:fldChar w:fldCharType="begin"/>
            </w:r>
            <w:r w:rsidR="00707A64">
              <w:rPr>
                <w:webHidden/>
              </w:rPr>
              <w:instrText xml:space="preserve"> PAGEREF _Toc136879340 \h </w:instrText>
            </w:r>
            <w:r w:rsidR="00707A64">
              <w:rPr>
                <w:webHidden/>
              </w:rPr>
            </w:r>
            <w:r w:rsidR="00707A64">
              <w:rPr>
                <w:webHidden/>
              </w:rPr>
              <w:fldChar w:fldCharType="separate"/>
            </w:r>
            <w:r w:rsidR="00522AD3">
              <w:rPr>
                <w:webHidden/>
              </w:rPr>
              <w:t>14</w:t>
            </w:r>
            <w:r w:rsidR="00707A64">
              <w:rPr>
                <w:webHidden/>
              </w:rPr>
              <w:fldChar w:fldCharType="end"/>
            </w:r>
          </w:hyperlink>
        </w:p>
        <w:p w14:paraId="24E3CE64" w14:textId="5CDC1D0E" w:rsidR="00707A64" w:rsidRDefault="00000000">
          <w:pPr>
            <w:pStyle w:val="TOC3"/>
            <w:rPr>
              <w:rFonts w:asciiTheme="minorHAnsi" w:eastAsiaTheme="minorEastAsia" w:hAnsiTheme="minorHAnsi" w:cstheme="minorBidi"/>
              <w:i w:val="0"/>
              <w:iCs w:val="0"/>
              <w:sz w:val="22"/>
              <w:szCs w:val="22"/>
              <w:lang w:val="fr-FR"/>
            </w:rPr>
          </w:pPr>
          <w:hyperlink w:anchor="_Toc136879341" w:history="1">
            <w:r w:rsidR="00856187">
              <w:rPr>
                <w:rStyle w:val="Hyperlink"/>
                <w:lang w:val="el-GR"/>
              </w:rPr>
              <w:t xml:space="preserve">Άλλα άτομα που εξασκούν </w:t>
            </w:r>
            <w:r w:rsidR="00432F14">
              <w:rPr>
                <w:rStyle w:val="Hyperlink"/>
                <w:lang w:val="el-GR"/>
              </w:rPr>
              <w:t>ανώτατα εκτελεστικά καθήκοντα</w:t>
            </w:r>
            <w:r w:rsidR="00707A64">
              <w:rPr>
                <w:webHidden/>
              </w:rPr>
              <w:tab/>
            </w:r>
            <w:r w:rsidR="00707A64">
              <w:rPr>
                <w:webHidden/>
              </w:rPr>
              <w:fldChar w:fldCharType="begin"/>
            </w:r>
            <w:r w:rsidR="00707A64">
              <w:rPr>
                <w:webHidden/>
              </w:rPr>
              <w:instrText xml:space="preserve"> PAGEREF _Toc136879341 \h </w:instrText>
            </w:r>
            <w:r w:rsidR="00707A64">
              <w:rPr>
                <w:webHidden/>
              </w:rPr>
            </w:r>
            <w:r w:rsidR="00707A64">
              <w:rPr>
                <w:webHidden/>
              </w:rPr>
              <w:fldChar w:fldCharType="separate"/>
            </w:r>
            <w:r w:rsidR="00522AD3">
              <w:rPr>
                <w:webHidden/>
              </w:rPr>
              <w:t>16</w:t>
            </w:r>
            <w:r w:rsidR="00707A64">
              <w:rPr>
                <w:webHidden/>
              </w:rPr>
              <w:fldChar w:fldCharType="end"/>
            </w:r>
          </w:hyperlink>
        </w:p>
        <w:p w14:paraId="52719CBB" w14:textId="3652B2EC" w:rsidR="00707A64" w:rsidRDefault="00000000">
          <w:pPr>
            <w:pStyle w:val="TOC3"/>
            <w:rPr>
              <w:rFonts w:asciiTheme="minorHAnsi" w:eastAsiaTheme="minorEastAsia" w:hAnsiTheme="minorHAnsi" w:cstheme="minorBidi"/>
              <w:i w:val="0"/>
              <w:iCs w:val="0"/>
              <w:sz w:val="22"/>
              <w:szCs w:val="22"/>
              <w:lang w:val="fr-FR"/>
            </w:rPr>
          </w:pPr>
          <w:hyperlink w:anchor="_Toc136879342" w:history="1">
            <w:r w:rsidR="004C0CBB">
              <w:rPr>
                <w:rStyle w:val="Hyperlink"/>
                <w:lang w:val="el-GR"/>
              </w:rPr>
              <w:t>Αμοιβή ατόμων</w:t>
            </w:r>
            <w:r w:rsidR="00707A64" w:rsidRPr="00CD7BC7">
              <w:rPr>
                <w:rStyle w:val="Hyperlink"/>
              </w:rPr>
              <w:t xml:space="preserve"> </w:t>
            </w:r>
            <w:r w:rsidR="004C0CBB">
              <w:rPr>
                <w:rStyle w:val="Hyperlink"/>
                <w:lang w:val="el-GR"/>
              </w:rPr>
              <w:t xml:space="preserve">με </w:t>
            </w:r>
            <w:r w:rsidR="00432F14">
              <w:rPr>
                <w:rStyle w:val="Hyperlink"/>
                <w:lang w:val="el-GR"/>
              </w:rPr>
              <w:t xml:space="preserve">ανώτατα εκτελεστικά καθήκοντα </w:t>
            </w:r>
            <w:r w:rsidR="00707A64">
              <w:rPr>
                <w:webHidden/>
              </w:rPr>
              <w:tab/>
            </w:r>
            <w:r w:rsidR="00707A64">
              <w:rPr>
                <w:webHidden/>
              </w:rPr>
              <w:fldChar w:fldCharType="begin"/>
            </w:r>
            <w:r w:rsidR="00707A64">
              <w:rPr>
                <w:webHidden/>
              </w:rPr>
              <w:instrText xml:space="preserve"> PAGEREF _Toc136879342 \h </w:instrText>
            </w:r>
            <w:r w:rsidR="00707A64">
              <w:rPr>
                <w:webHidden/>
              </w:rPr>
            </w:r>
            <w:r w:rsidR="00707A64">
              <w:rPr>
                <w:webHidden/>
              </w:rPr>
              <w:fldChar w:fldCharType="separate"/>
            </w:r>
            <w:r w:rsidR="00522AD3">
              <w:rPr>
                <w:webHidden/>
              </w:rPr>
              <w:t>19</w:t>
            </w:r>
            <w:r w:rsidR="00707A64">
              <w:rPr>
                <w:webHidden/>
              </w:rPr>
              <w:fldChar w:fldCharType="end"/>
            </w:r>
          </w:hyperlink>
        </w:p>
        <w:p w14:paraId="6B9699EF" w14:textId="271A2237" w:rsidR="00707A64" w:rsidRDefault="00000000">
          <w:pPr>
            <w:pStyle w:val="TOC3"/>
            <w:rPr>
              <w:rFonts w:asciiTheme="minorHAnsi" w:eastAsiaTheme="minorEastAsia" w:hAnsiTheme="minorHAnsi" w:cstheme="minorBidi"/>
              <w:i w:val="0"/>
              <w:iCs w:val="0"/>
              <w:sz w:val="22"/>
              <w:szCs w:val="22"/>
              <w:lang w:val="fr-FR"/>
            </w:rPr>
          </w:pPr>
          <w:hyperlink w:anchor="_Toc136879343" w:history="1">
            <w:r w:rsidR="004C0CBB">
              <w:rPr>
                <w:rStyle w:val="Hyperlink"/>
                <w:lang w:val="el-GR"/>
              </w:rPr>
              <w:t xml:space="preserve">Πολιτική ακεραιότητας και </w:t>
            </w:r>
            <w:r w:rsidR="00432F14">
              <w:rPr>
                <w:rStyle w:val="Hyperlink"/>
                <w:lang w:val="el-GR"/>
              </w:rPr>
              <w:t xml:space="preserve">κατοπολέμησης </w:t>
            </w:r>
            <w:r w:rsidR="004C0CBB">
              <w:rPr>
                <w:rStyle w:val="Hyperlink"/>
                <w:lang w:val="el-GR"/>
              </w:rPr>
              <w:t>της διαφθοράς</w:t>
            </w:r>
            <w:r w:rsidR="00707A64">
              <w:rPr>
                <w:webHidden/>
              </w:rPr>
              <w:tab/>
            </w:r>
            <w:r w:rsidR="00707A64">
              <w:rPr>
                <w:webHidden/>
              </w:rPr>
              <w:fldChar w:fldCharType="begin"/>
            </w:r>
            <w:r w:rsidR="00707A64">
              <w:rPr>
                <w:webHidden/>
              </w:rPr>
              <w:instrText xml:space="preserve"> PAGEREF _Toc136879343 \h </w:instrText>
            </w:r>
            <w:r w:rsidR="00707A64">
              <w:rPr>
                <w:webHidden/>
              </w:rPr>
            </w:r>
            <w:r w:rsidR="00707A64">
              <w:rPr>
                <w:webHidden/>
              </w:rPr>
              <w:fldChar w:fldCharType="separate"/>
            </w:r>
            <w:r w:rsidR="00522AD3">
              <w:rPr>
                <w:webHidden/>
              </w:rPr>
              <w:t>20</w:t>
            </w:r>
            <w:r w:rsidR="00707A64">
              <w:rPr>
                <w:webHidden/>
              </w:rPr>
              <w:fldChar w:fldCharType="end"/>
            </w:r>
          </w:hyperlink>
        </w:p>
        <w:p w14:paraId="0B9C442A" w14:textId="6E4EC8EF" w:rsidR="00707A64" w:rsidRDefault="00000000">
          <w:pPr>
            <w:pStyle w:val="TOC3"/>
            <w:rPr>
              <w:rFonts w:asciiTheme="minorHAnsi" w:eastAsiaTheme="minorEastAsia" w:hAnsiTheme="minorHAnsi" w:cstheme="minorBidi"/>
              <w:i w:val="0"/>
              <w:iCs w:val="0"/>
              <w:sz w:val="22"/>
              <w:szCs w:val="22"/>
              <w:lang w:val="fr-FR"/>
            </w:rPr>
          </w:pPr>
          <w:hyperlink w:anchor="_Toc136879344" w:history="1">
            <w:r w:rsidR="001F785A">
              <w:rPr>
                <w:rStyle w:val="Hyperlink"/>
                <w:lang w:val="el-GR"/>
              </w:rPr>
              <w:t>Αρχές</w:t>
            </w:r>
            <w:r w:rsidR="004C0CBB">
              <w:rPr>
                <w:rStyle w:val="Hyperlink"/>
                <w:lang w:val="el-GR"/>
              </w:rPr>
              <w:t xml:space="preserve"> </w:t>
            </w:r>
            <w:r w:rsidR="001F785A">
              <w:rPr>
                <w:rStyle w:val="Hyperlink"/>
                <w:lang w:val="el-GR"/>
              </w:rPr>
              <w:t xml:space="preserve">δεοντολογίας </w:t>
            </w:r>
            <w:r w:rsidR="004C0CBB">
              <w:rPr>
                <w:rStyle w:val="Hyperlink"/>
                <w:lang w:val="el-GR"/>
              </w:rPr>
              <w:t>και κανόνες συμπεριφοράς</w:t>
            </w:r>
            <w:r w:rsidR="00707A64">
              <w:rPr>
                <w:webHidden/>
              </w:rPr>
              <w:tab/>
            </w:r>
            <w:r w:rsidR="00707A64">
              <w:rPr>
                <w:webHidden/>
              </w:rPr>
              <w:fldChar w:fldCharType="begin"/>
            </w:r>
            <w:r w:rsidR="00707A64">
              <w:rPr>
                <w:webHidden/>
              </w:rPr>
              <w:instrText xml:space="preserve"> PAGEREF _Toc136879344 \h </w:instrText>
            </w:r>
            <w:r w:rsidR="00707A64">
              <w:rPr>
                <w:webHidden/>
              </w:rPr>
            </w:r>
            <w:r w:rsidR="00707A64">
              <w:rPr>
                <w:webHidden/>
              </w:rPr>
              <w:fldChar w:fldCharType="separate"/>
            </w:r>
            <w:r w:rsidR="00522AD3">
              <w:rPr>
                <w:webHidden/>
              </w:rPr>
              <w:t>21</w:t>
            </w:r>
            <w:r w:rsidR="00707A64">
              <w:rPr>
                <w:webHidden/>
              </w:rPr>
              <w:fldChar w:fldCharType="end"/>
            </w:r>
          </w:hyperlink>
        </w:p>
        <w:p w14:paraId="04EFA6C0" w14:textId="37DCF8AB" w:rsidR="00707A64" w:rsidRDefault="00000000">
          <w:pPr>
            <w:pStyle w:val="TOC3"/>
            <w:rPr>
              <w:rFonts w:asciiTheme="minorHAnsi" w:eastAsiaTheme="minorEastAsia" w:hAnsiTheme="minorHAnsi" w:cstheme="minorBidi"/>
              <w:i w:val="0"/>
              <w:iCs w:val="0"/>
              <w:sz w:val="22"/>
              <w:szCs w:val="22"/>
              <w:lang w:val="fr-FR"/>
            </w:rPr>
          </w:pPr>
          <w:hyperlink w:anchor="_Toc136879345" w:history="1">
            <w:r w:rsidR="004C0CBB">
              <w:rPr>
                <w:rStyle w:val="Hyperlink"/>
                <w:lang w:val="el-GR"/>
              </w:rPr>
              <w:t>Ευαισθητοποίηση</w:t>
            </w:r>
            <w:r w:rsidR="00707A64">
              <w:rPr>
                <w:webHidden/>
              </w:rPr>
              <w:tab/>
            </w:r>
            <w:r w:rsidR="00707A64">
              <w:rPr>
                <w:webHidden/>
              </w:rPr>
              <w:fldChar w:fldCharType="begin"/>
            </w:r>
            <w:r w:rsidR="00707A64">
              <w:rPr>
                <w:webHidden/>
              </w:rPr>
              <w:instrText xml:space="preserve"> PAGEREF _Toc136879345 \h </w:instrText>
            </w:r>
            <w:r w:rsidR="00707A64">
              <w:rPr>
                <w:webHidden/>
              </w:rPr>
            </w:r>
            <w:r w:rsidR="00707A64">
              <w:rPr>
                <w:webHidden/>
              </w:rPr>
              <w:fldChar w:fldCharType="separate"/>
            </w:r>
            <w:r w:rsidR="00522AD3">
              <w:rPr>
                <w:webHidden/>
              </w:rPr>
              <w:t>22</w:t>
            </w:r>
            <w:r w:rsidR="00707A64">
              <w:rPr>
                <w:webHidden/>
              </w:rPr>
              <w:fldChar w:fldCharType="end"/>
            </w:r>
          </w:hyperlink>
        </w:p>
        <w:p w14:paraId="78DCBCA8" w14:textId="34510C35" w:rsidR="00707A64" w:rsidRDefault="00000000">
          <w:pPr>
            <w:pStyle w:val="TOC2"/>
            <w:rPr>
              <w:rFonts w:asciiTheme="minorHAnsi" w:eastAsiaTheme="minorEastAsia" w:hAnsiTheme="minorHAnsi" w:cstheme="minorBidi"/>
              <w:smallCaps w:val="0"/>
              <w:noProof/>
              <w:sz w:val="22"/>
              <w:szCs w:val="22"/>
              <w:lang w:val="fr-FR"/>
            </w:rPr>
          </w:pPr>
          <w:hyperlink w:anchor="_Toc136879346" w:history="1">
            <w:r w:rsidR="004C0CBB">
              <w:rPr>
                <w:rStyle w:val="Hyperlink"/>
                <w:rFonts w:cstheme="minorHAnsi"/>
                <w:noProof/>
              </w:rPr>
              <w:t>ΔΙΑΦΑΝΕΙΑ ΚΑΙ ΕΠΙΒΛΕΨΗ ΕΚΤΕΛΕΣΤΙΚΩΝ ΔΡΑΣΤΗΡΙΟΤΗΤΩΝ ΤΗΣ ΚΕΝΤΡΙΚΗΣ ΚΥΒΕΡΝΗΣΗΣ</w:t>
            </w:r>
            <w:r w:rsidR="00707A64" w:rsidRPr="004C0CBB">
              <w:rPr>
                <w:noProof/>
                <w:webHidden/>
                <w:lang w:val="el-GR"/>
              </w:rPr>
              <w:tab/>
            </w:r>
            <w:r w:rsidR="00707A64">
              <w:rPr>
                <w:noProof/>
                <w:webHidden/>
              </w:rPr>
              <w:fldChar w:fldCharType="begin"/>
            </w:r>
            <w:r w:rsidR="00707A64" w:rsidRPr="004C0CBB">
              <w:rPr>
                <w:noProof/>
                <w:webHidden/>
                <w:lang w:val="el-GR"/>
              </w:rPr>
              <w:instrText xml:space="preserve"> </w:instrText>
            </w:r>
            <w:r w:rsidR="00707A64">
              <w:rPr>
                <w:noProof/>
                <w:webHidden/>
              </w:rPr>
              <w:instrText>PAGEREF</w:instrText>
            </w:r>
            <w:r w:rsidR="00707A64" w:rsidRPr="004C0CBB">
              <w:rPr>
                <w:noProof/>
                <w:webHidden/>
                <w:lang w:val="el-GR"/>
              </w:rPr>
              <w:instrText xml:space="preserve"> _</w:instrText>
            </w:r>
            <w:r w:rsidR="00707A64">
              <w:rPr>
                <w:noProof/>
                <w:webHidden/>
              </w:rPr>
              <w:instrText>Toc</w:instrText>
            </w:r>
            <w:r w:rsidR="00707A64" w:rsidRPr="004C0CBB">
              <w:rPr>
                <w:noProof/>
                <w:webHidden/>
                <w:lang w:val="el-GR"/>
              </w:rPr>
              <w:instrText>136879346 \</w:instrText>
            </w:r>
            <w:r w:rsidR="00707A64">
              <w:rPr>
                <w:noProof/>
                <w:webHidden/>
              </w:rPr>
              <w:instrText>h</w:instrText>
            </w:r>
            <w:r w:rsidR="00707A64" w:rsidRPr="004C0CBB">
              <w:rPr>
                <w:noProof/>
                <w:webHidden/>
                <w:lang w:val="el-GR"/>
              </w:rPr>
              <w:instrText xml:space="preserve"> </w:instrText>
            </w:r>
            <w:r w:rsidR="00707A64">
              <w:rPr>
                <w:noProof/>
                <w:webHidden/>
              </w:rPr>
            </w:r>
            <w:r w:rsidR="00707A64">
              <w:rPr>
                <w:noProof/>
                <w:webHidden/>
              </w:rPr>
              <w:fldChar w:fldCharType="separate"/>
            </w:r>
            <w:r w:rsidR="00522AD3">
              <w:rPr>
                <w:noProof/>
                <w:webHidden/>
                <w:lang w:val="el-GR"/>
              </w:rPr>
              <w:t>23</w:t>
            </w:r>
            <w:r w:rsidR="00707A64">
              <w:rPr>
                <w:noProof/>
                <w:webHidden/>
              </w:rPr>
              <w:fldChar w:fldCharType="end"/>
            </w:r>
          </w:hyperlink>
        </w:p>
        <w:p w14:paraId="473E7FFA" w14:textId="61E31C0F" w:rsidR="00707A64" w:rsidRDefault="00000000">
          <w:pPr>
            <w:pStyle w:val="TOC3"/>
            <w:rPr>
              <w:rFonts w:asciiTheme="minorHAnsi" w:eastAsiaTheme="minorEastAsia" w:hAnsiTheme="minorHAnsi" w:cstheme="minorBidi"/>
              <w:i w:val="0"/>
              <w:iCs w:val="0"/>
              <w:sz w:val="22"/>
              <w:szCs w:val="22"/>
              <w:lang w:val="fr-FR"/>
            </w:rPr>
          </w:pPr>
          <w:hyperlink w:anchor="_Toc136879347" w:history="1">
            <w:r w:rsidR="004C0CBB">
              <w:rPr>
                <w:rStyle w:val="Hyperlink"/>
                <w:lang w:val="el-GR"/>
              </w:rPr>
              <w:t>Πρόσβαση σε πληροφορίες</w:t>
            </w:r>
            <w:r w:rsidR="00707A64">
              <w:rPr>
                <w:webHidden/>
              </w:rPr>
              <w:tab/>
            </w:r>
            <w:r w:rsidR="00707A64">
              <w:rPr>
                <w:webHidden/>
              </w:rPr>
              <w:fldChar w:fldCharType="begin"/>
            </w:r>
            <w:r w:rsidR="00707A64">
              <w:rPr>
                <w:webHidden/>
              </w:rPr>
              <w:instrText xml:space="preserve"> PAGEREF _Toc136879347 \h </w:instrText>
            </w:r>
            <w:r w:rsidR="00707A64">
              <w:rPr>
                <w:webHidden/>
              </w:rPr>
            </w:r>
            <w:r w:rsidR="00707A64">
              <w:rPr>
                <w:webHidden/>
              </w:rPr>
              <w:fldChar w:fldCharType="separate"/>
            </w:r>
            <w:r w:rsidR="00522AD3">
              <w:rPr>
                <w:webHidden/>
              </w:rPr>
              <w:t>23</w:t>
            </w:r>
            <w:r w:rsidR="00707A64">
              <w:rPr>
                <w:webHidden/>
              </w:rPr>
              <w:fldChar w:fldCharType="end"/>
            </w:r>
          </w:hyperlink>
        </w:p>
        <w:p w14:paraId="43C078E8" w14:textId="18E51272" w:rsidR="00707A64" w:rsidRDefault="00000000">
          <w:pPr>
            <w:pStyle w:val="TOC3"/>
            <w:rPr>
              <w:rFonts w:asciiTheme="minorHAnsi" w:eastAsiaTheme="minorEastAsia" w:hAnsiTheme="minorHAnsi" w:cstheme="minorBidi"/>
              <w:i w:val="0"/>
              <w:iCs w:val="0"/>
              <w:sz w:val="22"/>
              <w:szCs w:val="22"/>
              <w:lang w:val="fr-FR"/>
            </w:rPr>
          </w:pPr>
          <w:hyperlink w:anchor="_Toc136879348" w:history="1">
            <w:r w:rsidR="004C0CBB">
              <w:rPr>
                <w:rStyle w:val="Hyperlink"/>
                <w:lang w:val="el-GR"/>
              </w:rPr>
              <w:t>Διαφάνεια της νομοθετικής διαδικασίας</w:t>
            </w:r>
            <w:r w:rsidR="00707A64">
              <w:rPr>
                <w:webHidden/>
              </w:rPr>
              <w:tab/>
            </w:r>
            <w:r w:rsidR="00707A64">
              <w:rPr>
                <w:webHidden/>
              </w:rPr>
              <w:fldChar w:fldCharType="begin"/>
            </w:r>
            <w:r w:rsidR="00707A64">
              <w:rPr>
                <w:webHidden/>
              </w:rPr>
              <w:instrText xml:space="preserve"> PAGEREF _Toc136879348 \h </w:instrText>
            </w:r>
            <w:r w:rsidR="00707A64">
              <w:rPr>
                <w:webHidden/>
              </w:rPr>
            </w:r>
            <w:r w:rsidR="00707A64">
              <w:rPr>
                <w:webHidden/>
              </w:rPr>
              <w:fldChar w:fldCharType="separate"/>
            </w:r>
            <w:r w:rsidR="00522AD3">
              <w:rPr>
                <w:webHidden/>
              </w:rPr>
              <w:t>26</w:t>
            </w:r>
            <w:r w:rsidR="00707A64">
              <w:rPr>
                <w:webHidden/>
              </w:rPr>
              <w:fldChar w:fldCharType="end"/>
            </w:r>
          </w:hyperlink>
        </w:p>
        <w:p w14:paraId="49EB2303" w14:textId="794BA132" w:rsidR="00707A64" w:rsidRDefault="00000000">
          <w:pPr>
            <w:pStyle w:val="TOC3"/>
            <w:rPr>
              <w:rFonts w:asciiTheme="minorHAnsi" w:eastAsiaTheme="minorEastAsia" w:hAnsiTheme="minorHAnsi" w:cstheme="minorBidi"/>
              <w:i w:val="0"/>
              <w:iCs w:val="0"/>
              <w:sz w:val="22"/>
              <w:szCs w:val="22"/>
              <w:lang w:val="fr-FR"/>
            </w:rPr>
          </w:pPr>
          <w:hyperlink w:anchor="_Toc136879349" w:history="1">
            <w:r w:rsidR="00AE10BC">
              <w:rPr>
                <w:rStyle w:val="Hyperlink"/>
                <w:lang w:val="el-GR"/>
              </w:rPr>
              <w:t>Τρίτα μέρη και λομπιστές</w:t>
            </w:r>
            <w:r w:rsidR="00707A64">
              <w:rPr>
                <w:webHidden/>
              </w:rPr>
              <w:tab/>
            </w:r>
            <w:r w:rsidR="00707A64">
              <w:rPr>
                <w:webHidden/>
              </w:rPr>
              <w:fldChar w:fldCharType="begin"/>
            </w:r>
            <w:r w:rsidR="00707A64">
              <w:rPr>
                <w:webHidden/>
              </w:rPr>
              <w:instrText xml:space="preserve"> PAGEREF _Toc136879349 \h </w:instrText>
            </w:r>
            <w:r w:rsidR="00707A64">
              <w:rPr>
                <w:webHidden/>
              </w:rPr>
            </w:r>
            <w:r w:rsidR="00707A64">
              <w:rPr>
                <w:webHidden/>
              </w:rPr>
              <w:fldChar w:fldCharType="separate"/>
            </w:r>
            <w:r w:rsidR="00522AD3">
              <w:rPr>
                <w:webHidden/>
              </w:rPr>
              <w:t>27</w:t>
            </w:r>
            <w:r w:rsidR="00707A64">
              <w:rPr>
                <w:webHidden/>
              </w:rPr>
              <w:fldChar w:fldCharType="end"/>
            </w:r>
          </w:hyperlink>
        </w:p>
        <w:p w14:paraId="5CAB15E9" w14:textId="2B1AD285" w:rsidR="00707A64" w:rsidRDefault="00000000">
          <w:pPr>
            <w:pStyle w:val="TOC3"/>
            <w:rPr>
              <w:rFonts w:asciiTheme="minorHAnsi" w:eastAsiaTheme="minorEastAsia" w:hAnsiTheme="minorHAnsi" w:cstheme="minorBidi"/>
              <w:i w:val="0"/>
              <w:iCs w:val="0"/>
              <w:sz w:val="22"/>
              <w:szCs w:val="22"/>
              <w:lang w:val="fr-FR"/>
            </w:rPr>
          </w:pPr>
          <w:hyperlink w:anchor="_Toc136879350" w:history="1">
            <w:r w:rsidR="00AE10BC">
              <w:rPr>
                <w:rStyle w:val="Hyperlink"/>
                <w:lang w:val="el-GR"/>
              </w:rPr>
              <w:t>Μηχανισμοί ελέγχου</w:t>
            </w:r>
            <w:r w:rsidR="00707A64">
              <w:rPr>
                <w:webHidden/>
              </w:rPr>
              <w:tab/>
            </w:r>
            <w:r w:rsidR="00707A64">
              <w:rPr>
                <w:webHidden/>
              </w:rPr>
              <w:fldChar w:fldCharType="begin"/>
            </w:r>
            <w:r w:rsidR="00707A64">
              <w:rPr>
                <w:webHidden/>
              </w:rPr>
              <w:instrText xml:space="preserve"> PAGEREF _Toc136879350 \h </w:instrText>
            </w:r>
            <w:r w:rsidR="00707A64">
              <w:rPr>
                <w:webHidden/>
              </w:rPr>
            </w:r>
            <w:r w:rsidR="00707A64">
              <w:rPr>
                <w:webHidden/>
              </w:rPr>
              <w:fldChar w:fldCharType="separate"/>
            </w:r>
            <w:r w:rsidR="00522AD3">
              <w:rPr>
                <w:webHidden/>
              </w:rPr>
              <w:t>28</w:t>
            </w:r>
            <w:r w:rsidR="00707A64">
              <w:rPr>
                <w:webHidden/>
              </w:rPr>
              <w:fldChar w:fldCharType="end"/>
            </w:r>
          </w:hyperlink>
        </w:p>
        <w:p w14:paraId="2A747419" w14:textId="225AAD08" w:rsidR="00707A64" w:rsidRDefault="00AE10BC">
          <w:pPr>
            <w:pStyle w:val="TOC2"/>
            <w:rPr>
              <w:rFonts w:asciiTheme="minorHAnsi" w:eastAsiaTheme="minorEastAsia" w:hAnsiTheme="minorHAnsi" w:cstheme="minorBidi"/>
              <w:smallCaps w:val="0"/>
              <w:noProof/>
              <w:sz w:val="22"/>
              <w:szCs w:val="22"/>
              <w:lang w:val="fr-FR"/>
            </w:rPr>
          </w:pPr>
          <w:r>
            <w:rPr>
              <w:lang w:val="el-GR"/>
            </w:rPr>
            <w:t>ΣΥΓΚΡΟΥΣΗ ΣΥΜΦΕΡΟΝΤΩΝ</w:t>
          </w:r>
          <w:hyperlink w:anchor="_Toc136879351" w:history="1">
            <w:r w:rsidR="00707A64">
              <w:rPr>
                <w:noProof/>
                <w:webHidden/>
              </w:rPr>
              <w:tab/>
            </w:r>
            <w:r w:rsidR="00707A64">
              <w:rPr>
                <w:noProof/>
                <w:webHidden/>
              </w:rPr>
              <w:fldChar w:fldCharType="begin"/>
            </w:r>
            <w:r w:rsidR="00707A64">
              <w:rPr>
                <w:noProof/>
                <w:webHidden/>
              </w:rPr>
              <w:instrText xml:space="preserve"> PAGEREF _Toc136879351 \h </w:instrText>
            </w:r>
            <w:r w:rsidR="00707A64">
              <w:rPr>
                <w:noProof/>
                <w:webHidden/>
              </w:rPr>
            </w:r>
            <w:r w:rsidR="00707A64">
              <w:rPr>
                <w:noProof/>
                <w:webHidden/>
              </w:rPr>
              <w:fldChar w:fldCharType="separate"/>
            </w:r>
            <w:r w:rsidR="00522AD3">
              <w:rPr>
                <w:noProof/>
                <w:webHidden/>
              </w:rPr>
              <w:t>33</w:t>
            </w:r>
            <w:r w:rsidR="00707A64">
              <w:rPr>
                <w:noProof/>
                <w:webHidden/>
              </w:rPr>
              <w:fldChar w:fldCharType="end"/>
            </w:r>
          </w:hyperlink>
        </w:p>
        <w:p w14:paraId="50969E80" w14:textId="7E64B6B1" w:rsidR="00707A64" w:rsidRDefault="00000000">
          <w:pPr>
            <w:pStyle w:val="TOC2"/>
            <w:rPr>
              <w:rFonts w:asciiTheme="minorHAnsi" w:eastAsiaTheme="minorEastAsia" w:hAnsiTheme="minorHAnsi" w:cstheme="minorBidi"/>
              <w:smallCaps w:val="0"/>
              <w:noProof/>
              <w:sz w:val="22"/>
              <w:szCs w:val="22"/>
              <w:lang w:val="fr-FR"/>
            </w:rPr>
          </w:pPr>
          <w:hyperlink w:anchor="_Toc136879352" w:history="1">
            <w:r w:rsidR="00AE10BC">
              <w:rPr>
                <w:rStyle w:val="Hyperlink"/>
                <w:rFonts w:cstheme="minorHAnsi"/>
                <w:noProof/>
                <w:lang w:val="el-GR"/>
              </w:rPr>
              <w:t xml:space="preserve">ΑΠΑΓΟΡΕΥΣΗ Ή ΠΕΡΙΟΡΙΣΜΟΣ </w:t>
            </w:r>
            <w:r w:rsidR="001F785A">
              <w:rPr>
                <w:rStyle w:val="Hyperlink"/>
                <w:rFonts w:cstheme="minorHAnsi"/>
                <w:noProof/>
                <w:lang w:val="el-GR"/>
              </w:rPr>
              <w:t xml:space="preserve">ΟΡΙΣΜΕΝΩΝ </w:t>
            </w:r>
            <w:r w:rsidR="00AE10BC">
              <w:rPr>
                <w:rStyle w:val="Hyperlink"/>
                <w:rFonts w:cstheme="minorHAnsi"/>
                <w:noProof/>
                <w:lang w:val="el-GR"/>
              </w:rPr>
              <w:t>ΔΡΑΣΤΗΡΙΟΤΗΤΩΝ</w:t>
            </w:r>
            <w:r w:rsidR="00707A64">
              <w:rPr>
                <w:noProof/>
                <w:webHidden/>
              </w:rPr>
              <w:tab/>
            </w:r>
            <w:r w:rsidR="00707A64">
              <w:rPr>
                <w:noProof/>
                <w:webHidden/>
              </w:rPr>
              <w:fldChar w:fldCharType="begin"/>
            </w:r>
            <w:r w:rsidR="00707A64">
              <w:rPr>
                <w:noProof/>
                <w:webHidden/>
              </w:rPr>
              <w:instrText xml:space="preserve"> PAGEREF _Toc136879352 \h </w:instrText>
            </w:r>
            <w:r w:rsidR="00707A64">
              <w:rPr>
                <w:noProof/>
                <w:webHidden/>
              </w:rPr>
            </w:r>
            <w:r w:rsidR="00707A64">
              <w:rPr>
                <w:noProof/>
                <w:webHidden/>
              </w:rPr>
              <w:fldChar w:fldCharType="separate"/>
            </w:r>
            <w:r w:rsidR="00522AD3">
              <w:rPr>
                <w:noProof/>
                <w:webHidden/>
              </w:rPr>
              <w:t>35</w:t>
            </w:r>
            <w:r w:rsidR="00707A64">
              <w:rPr>
                <w:noProof/>
                <w:webHidden/>
              </w:rPr>
              <w:fldChar w:fldCharType="end"/>
            </w:r>
          </w:hyperlink>
        </w:p>
        <w:p w14:paraId="3D4B6FEA" w14:textId="36246DF5" w:rsidR="00707A64" w:rsidRDefault="00000000">
          <w:pPr>
            <w:pStyle w:val="TOC3"/>
            <w:rPr>
              <w:rFonts w:asciiTheme="minorHAnsi" w:eastAsiaTheme="minorEastAsia" w:hAnsiTheme="minorHAnsi" w:cstheme="minorBidi"/>
              <w:i w:val="0"/>
              <w:iCs w:val="0"/>
              <w:sz w:val="22"/>
              <w:szCs w:val="22"/>
              <w:lang w:val="fr-FR"/>
            </w:rPr>
          </w:pPr>
          <w:hyperlink w:anchor="_Toc136879353" w:history="1">
            <w:r w:rsidR="00AE10BC">
              <w:rPr>
                <w:rStyle w:val="Hyperlink"/>
                <w:lang w:val="el-GR"/>
              </w:rPr>
              <w:t>Ασυμβατότητες</w:t>
            </w:r>
            <w:r w:rsidR="00707A64" w:rsidRPr="00CD7BC7">
              <w:rPr>
                <w:rStyle w:val="Hyperlink"/>
              </w:rPr>
              <w:t xml:space="preserve">, </w:t>
            </w:r>
            <w:r w:rsidR="00AE10BC">
              <w:rPr>
                <w:rStyle w:val="Hyperlink"/>
                <w:lang w:val="el-GR"/>
              </w:rPr>
              <w:t>εξωτερικές δραστηριότητες και οικονομικά συμφέροντα</w:t>
            </w:r>
            <w:r w:rsidR="00707A64">
              <w:rPr>
                <w:webHidden/>
              </w:rPr>
              <w:tab/>
            </w:r>
            <w:r w:rsidR="00707A64">
              <w:rPr>
                <w:webHidden/>
              </w:rPr>
              <w:fldChar w:fldCharType="begin"/>
            </w:r>
            <w:r w:rsidR="00707A64">
              <w:rPr>
                <w:webHidden/>
              </w:rPr>
              <w:instrText xml:space="preserve"> PAGEREF _Toc136879353 \h </w:instrText>
            </w:r>
            <w:r w:rsidR="00707A64">
              <w:rPr>
                <w:webHidden/>
              </w:rPr>
            </w:r>
            <w:r w:rsidR="00707A64">
              <w:rPr>
                <w:webHidden/>
              </w:rPr>
              <w:fldChar w:fldCharType="separate"/>
            </w:r>
            <w:r w:rsidR="00522AD3">
              <w:rPr>
                <w:webHidden/>
              </w:rPr>
              <w:t>35</w:t>
            </w:r>
            <w:r w:rsidR="00707A64">
              <w:rPr>
                <w:webHidden/>
              </w:rPr>
              <w:fldChar w:fldCharType="end"/>
            </w:r>
          </w:hyperlink>
        </w:p>
        <w:p w14:paraId="12112E91" w14:textId="0DF23F90" w:rsidR="00707A64" w:rsidRDefault="00000000">
          <w:pPr>
            <w:pStyle w:val="TOC3"/>
            <w:rPr>
              <w:rFonts w:asciiTheme="minorHAnsi" w:eastAsiaTheme="minorEastAsia" w:hAnsiTheme="minorHAnsi" w:cstheme="minorBidi"/>
              <w:i w:val="0"/>
              <w:iCs w:val="0"/>
              <w:sz w:val="22"/>
              <w:szCs w:val="22"/>
              <w:lang w:val="fr-FR"/>
            </w:rPr>
          </w:pPr>
          <w:hyperlink w:anchor="_Toc136879354" w:history="1">
            <w:r w:rsidR="00AE10BC">
              <w:rPr>
                <w:rStyle w:val="Hyperlink"/>
                <w:lang w:val="el-GR"/>
              </w:rPr>
              <w:t>Συμβόλαια με κρατικές αρχές</w:t>
            </w:r>
            <w:r w:rsidR="00707A64">
              <w:rPr>
                <w:webHidden/>
              </w:rPr>
              <w:tab/>
            </w:r>
            <w:r w:rsidR="00707A64">
              <w:rPr>
                <w:webHidden/>
              </w:rPr>
              <w:fldChar w:fldCharType="begin"/>
            </w:r>
            <w:r w:rsidR="00707A64">
              <w:rPr>
                <w:webHidden/>
              </w:rPr>
              <w:instrText xml:space="preserve"> PAGEREF _Toc136879354 \h </w:instrText>
            </w:r>
            <w:r w:rsidR="00707A64">
              <w:rPr>
                <w:webHidden/>
              </w:rPr>
            </w:r>
            <w:r w:rsidR="00707A64">
              <w:rPr>
                <w:webHidden/>
              </w:rPr>
              <w:fldChar w:fldCharType="separate"/>
            </w:r>
            <w:r w:rsidR="00522AD3">
              <w:rPr>
                <w:webHidden/>
              </w:rPr>
              <w:t>36</w:t>
            </w:r>
            <w:r w:rsidR="00707A64">
              <w:rPr>
                <w:webHidden/>
              </w:rPr>
              <w:fldChar w:fldCharType="end"/>
            </w:r>
          </w:hyperlink>
        </w:p>
        <w:p w14:paraId="383419E3" w14:textId="5B270A4F" w:rsidR="00707A64" w:rsidRDefault="00000000">
          <w:pPr>
            <w:pStyle w:val="TOC3"/>
            <w:rPr>
              <w:rFonts w:asciiTheme="minorHAnsi" w:eastAsiaTheme="minorEastAsia" w:hAnsiTheme="minorHAnsi" w:cstheme="minorBidi"/>
              <w:i w:val="0"/>
              <w:iCs w:val="0"/>
              <w:sz w:val="22"/>
              <w:szCs w:val="22"/>
              <w:lang w:val="fr-FR"/>
            </w:rPr>
          </w:pPr>
          <w:hyperlink w:anchor="_Toc136879355" w:history="1">
            <w:r w:rsidR="00AE10BC">
              <w:rPr>
                <w:rStyle w:val="Hyperlink"/>
                <w:lang w:val="el-GR"/>
              </w:rPr>
              <w:t>Δώρα</w:t>
            </w:r>
            <w:r w:rsidR="00707A64">
              <w:rPr>
                <w:webHidden/>
              </w:rPr>
              <w:tab/>
            </w:r>
            <w:r w:rsidR="00707A64">
              <w:rPr>
                <w:webHidden/>
              </w:rPr>
              <w:fldChar w:fldCharType="begin"/>
            </w:r>
            <w:r w:rsidR="00707A64">
              <w:rPr>
                <w:webHidden/>
              </w:rPr>
              <w:instrText xml:space="preserve"> PAGEREF _Toc136879355 \h </w:instrText>
            </w:r>
            <w:r w:rsidR="00707A64">
              <w:rPr>
                <w:webHidden/>
              </w:rPr>
            </w:r>
            <w:r w:rsidR="00707A64">
              <w:rPr>
                <w:webHidden/>
              </w:rPr>
              <w:fldChar w:fldCharType="separate"/>
            </w:r>
            <w:r w:rsidR="00522AD3">
              <w:rPr>
                <w:webHidden/>
              </w:rPr>
              <w:t>36</w:t>
            </w:r>
            <w:r w:rsidR="00707A64">
              <w:rPr>
                <w:webHidden/>
              </w:rPr>
              <w:fldChar w:fldCharType="end"/>
            </w:r>
          </w:hyperlink>
        </w:p>
        <w:p w14:paraId="41D1EF8F" w14:textId="7B8698A8" w:rsidR="00707A64" w:rsidRDefault="00000000">
          <w:pPr>
            <w:pStyle w:val="TOC3"/>
            <w:rPr>
              <w:rFonts w:asciiTheme="minorHAnsi" w:eastAsiaTheme="minorEastAsia" w:hAnsiTheme="minorHAnsi" w:cstheme="minorBidi"/>
              <w:i w:val="0"/>
              <w:iCs w:val="0"/>
              <w:sz w:val="22"/>
              <w:szCs w:val="22"/>
              <w:lang w:val="fr-FR"/>
            </w:rPr>
          </w:pPr>
          <w:hyperlink w:anchor="_Toc136879356" w:history="1">
            <w:r w:rsidR="00AE10BC">
              <w:rPr>
                <w:rStyle w:val="Hyperlink"/>
                <w:lang w:val="el-GR"/>
              </w:rPr>
              <w:t>Κατάχρηση</w:t>
            </w:r>
            <w:r w:rsidR="00AE10BC">
              <w:rPr>
                <w:rStyle w:val="Hyperlink"/>
                <w:lang w:val="en-US"/>
              </w:rPr>
              <w:t xml:space="preserve"> </w:t>
            </w:r>
            <w:r w:rsidR="00AE10BC">
              <w:rPr>
                <w:rStyle w:val="Hyperlink"/>
                <w:lang w:val="el-GR"/>
              </w:rPr>
              <w:t>δημοσίων πόρων</w:t>
            </w:r>
            <w:r w:rsidR="00707A64">
              <w:rPr>
                <w:webHidden/>
              </w:rPr>
              <w:tab/>
            </w:r>
            <w:r w:rsidR="00707A64">
              <w:rPr>
                <w:webHidden/>
              </w:rPr>
              <w:fldChar w:fldCharType="begin"/>
            </w:r>
            <w:r w:rsidR="00707A64">
              <w:rPr>
                <w:webHidden/>
              </w:rPr>
              <w:instrText xml:space="preserve"> PAGEREF _Toc136879356 \h </w:instrText>
            </w:r>
            <w:r w:rsidR="00707A64">
              <w:rPr>
                <w:webHidden/>
              </w:rPr>
            </w:r>
            <w:r w:rsidR="00707A64">
              <w:rPr>
                <w:webHidden/>
              </w:rPr>
              <w:fldChar w:fldCharType="separate"/>
            </w:r>
            <w:r w:rsidR="00522AD3">
              <w:rPr>
                <w:webHidden/>
              </w:rPr>
              <w:t>37</w:t>
            </w:r>
            <w:r w:rsidR="00707A64">
              <w:rPr>
                <w:webHidden/>
              </w:rPr>
              <w:fldChar w:fldCharType="end"/>
            </w:r>
          </w:hyperlink>
        </w:p>
        <w:p w14:paraId="2DE00F7A" w14:textId="667EB56B" w:rsidR="00707A64" w:rsidRDefault="00000000">
          <w:pPr>
            <w:pStyle w:val="TOC3"/>
            <w:rPr>
              <w:rFonts w:asciiTheme="minorHAnsi" w:eastAsiaTheme="minorEastAsia" w:hAnsiTheme="minorHAnsi" w:cstheme="minorBidi"/>
              <w:i w:val="0"/>
              <w:iCs w:val="0"/>
              <w:sz w:val="22"/>
              <w:szCs w:val="22"/>
              <w:lang w:val="fr-FR"/>
            </w:rPr>
          </w:pPr>
          <w:hyperlink w:anchor="_Toc136879357" w:history="1">
            <w:r w:rsidR="00AE10BC">
              <w:rPr>
                <w:rStyle w:val="Hyperlink"/>
                <w:lang w:val="el-GR"/>
              </w:rPr>
              <w:t>Κατάχρηση εμπιστευτικών πληροφοριών</w:t>
            </w:r>
            <w:r w:rsidR="00707A64">
              <w:rPr>
                <w:webHidden/>
              </w:rPr>
              <w:tab/>
            </w:r>
            <w:r w:rsidR="00707A64">
              <w:rPr>
                <w:webHidden/>
              </w:rPr>
              <w:fldChar w:fldCharType="begin"/>
            </w:r>
            <w:r w:rsidR="00707A64">
              <w:rPr>
                <w:webHidden/>
              </w:rPr>
              <w:instrText xml:space="preserve"> PAGEREF _Toc136879357 \h </w:instrText>
            </w:r>
            <w:r w:rsidR="00707A64">
              <w:rPr>
                <w:webHidden/>
              </w:rPr>
            </w:r>
            <w:r w:rsidR="00707A64">
              <w:rPr>
                <w:webHidden/>
              </w:rPr>
              <w:fldChar w:fldCharType="separate"/>
            </w:r>
            <w:r w:rsidR="00522AD3">
              <w:rPr>
                <w:webHidden/>
              </w:rPr>
              <w:t>37</w:t>
            </w:r>
            <w:r w:rsidR="00707A64">
              <w:rPr>
                <w:webHidden/>
              </w:rPr>
              <w:fldChar w:fldCharType="end"/>
            </w:r>
          </w:hyperlink>
        </w:p>
        <w:p w14:paraId="07BE7C96" w14:textId="53AD50F8" w:rsidR="00707A64" w:rsidRDefault="00000000">
          <w:pPr>
            <w:pStyle w:val="TOC3"/>
            <w:rPr>
              <w:rFonts w:asciiTheme="minorHAnsi" w:eastAsiaTheme="minorEastAsia" w:hAnsiTheme="minorHAnsi" w:cstheme="minorBidi"/>
              <w:i w:val="0"/>
              <w:iCs w:val="0"/>
              <w:sz w:val="22"/>
              <w:szCs w:val="22"/>
              <w:lang w:val="fr-FR"/>
            </w:rPr>
          </w:pPr>
          <w:hyperlink w:anchor="_Toc136879358" w:history="1">
            <w:r w:rsidR="00AE10BC">
              <w:rPr>
                <w:rStyle w:val="Hyperlink"/>
                <w:lang w:val="el-GR"/>
              </w:rPr>
              <w:t>Περιορισμοί μετά την εργοδότηση</w:t>
            </w:r>
            <w:r w:rsidR="00707A64">
              <w:rPr>
                <w:webHidden/>
              </w:rPr>
              <w:tab/>
            </w:r>
            <w:r w:rsidR="00707A64">
              <w:rPr>
                <w:webHidden/>
              </w:rPr>
              <w:fldChar w:fldCharType="begin"/>
            </w:r>
            <w:r w:rsidR="00707A64">
              <w:rPr>
                <w:webHidden/>
              </w:rPr>
              <w:instrText xml:space="preserve"> PAGEREF _Toc136879358 \h </w:instrText>
            </w:r>
            <w:r w:rsidR="00707A64">
              <w:rPr>
                <w:webHidden/>
              </w:rPr>
            </w:r>
            <w:r w:rsidR="00707A64">
              <w:rPr>
                <w:webHidden/>
              </w:rPr>
              <w:fldChar w:fldCharType="separate"/>
            </w:r>
            <w:r w:rsidR="00522AD3">
              <w:rPr>
                <w:webHidden/>
              </w:rPr>
              <w:t>38</w:t>
            </w:r>
            <w:r w:rsidR="00707A64">
              <w:rPr>
                <w:webHidden/>
              </w:rPr>
              <w:fldChar w:fldCharType="end"/>
            </w:r>
          </w:hyperlink>
        </w:p>
        <w:p w14:paraId="31BE41FD" w14:textId="43A05F14" w:rsidR="00707A64" w:rsidRDefault="00000000">
          <w:pPr>
            <w:pStyle w:val="TOC2"/>
            <w:rPr>
              <w:rFonts w:asciiTheme="minorHAnsi" w:eastAsiaTheme="minorEastAsia" w:hAnsiTheme="minorHAnsi" w:cstheme="minorBidi"/>
              <w:smallCaps w:val="0"/>
              <w:noProof/>
              <w:sz w:val="22"/>
              <w:szCs w:val="22"/>
              <w:lang w:val="fr-FR"/>
            </w:rPr>
          </w:pPr>
          <w:hyperlink w:anchor="_Toc136879359" w:history="1">
            <w:r w:rsidR="00AE10BC" w:rsidRPr="002B7C4B">
              <w:rPr>
                <w:lang w:val="el-GR"/>
              </w:rPr>
              <w:t xml:space="preserve">δηλωση περιουσιακων στοιχειων, εισοδηματοσ, </w:t>
            </w:r>
            <w:r w:rsidR="00AE10BC" w:rsidRPr="002B7C4B">
              <w:t>υποχρεωσεων και συμφεροντων</w:t>
            </w:r>
            <w:r w:rsidR="00707A64">
              <w:rPr>
                <w:noProof/>
                <w:webHidden/>
              </w:rPr>
              <w:tab/>
            </w:r>
            <w:r w:rsidR="00707A64">
              <w:rPr>
                <w:noProof/>
                <w:webHidden/>
              </w:rPr>
              <w:fldChar w:fldCharType="begin"/>
            </w:r>
            <w:r w:rsidR="00707A64">
              <w:rPr>
                <w:noProof/>
                <w:webHidden/>
              </w:rPr>
              <w:instrText xml:space="preserve"> PAGEREF _Toc136879359 \h </w:instrText>
            </w:r>
            <w:r w:rsidR="00707A64">
              <w:rPr>
                <w:noProof/>
                <w:webHidden/>
              </w:rPr>
            </w:r>
            <w:r w:rsidR="00707A64">
              <w:rPr>
                <w:noProof/>
                <w:webHidden/>
              </w:rPr>
              <w:fldChar w:fldCharType="separate"/>
            </w:r>
            <w:r w:rsidR="00522AD3">
              <w:rPr>
                <w:noProof/>
                <w:webHidden/>
              </w:rPr>
              <w:t>40</w:t>
            </w:r>
            <w:r w:rsidR="00707A64">
              <w:rPr>
                <w:noProof/>
                <w:webHidden/>
              </w:rPr>
              <w:fldChar w:fldCharType="end"/>
            </w:r>
          </w:hyperlink>
        </w:p>
        <w:p w14:paraId="6AF642ED" w14:textId="28AC19C7" w:rsidR="00707A64" w:rsidRDefault="00000000">
          <w:pPr>
            <w:pStyle w:val="TOC3"/>
            <w:rPr>
              <w:rFonts w:asciiTheme="minorHAnsi" w:eastAsiaTheme="minorEastAsia" w:hAnsiTheme="minorHAnsi" w:cstheme="minorBidi"/>
              <w:i w:val="0"/>
              <w:iCs w:val="0"/>
              <w:sz w:val="22"/>
              <w:szCs w:val="22"/>
              <w:lang w:val="fr-FR"/>
            </w:rPr>
          </w:pPr>
          <w:hyperlink w:anchor="_Toc136879360" w:history="1">
            <w:r w:rsidR="00AE10BC">
              <w:rPr>
                <w:rStyle w:val="Hyperlink"/>
                <w:lang w:val="el-GR"/>
              </w:rPr>
              <w:t>Απαιτήσεις</w:t>
            </w:r>
            <w:r w:rsidR="001F785A">
              <w:rPr>
                <w:rStyle w:val="Hyperlink"/>
                <w:lang w:val="el-GR"/>
              </w:rPr>
              <w:t xml:space="preserve"> δήλωσης</w:t>
            </w:r>
            <w:r w:rsidR="00707A64">
              <w:rPr>
                <w:webHidden/>
              </w:rPr>
              <w:tab/>
            </w:r>
            <w:r w:rsidR="00707A64">
              <w:rPr>
                <w:webHidden/>
              </w:rPr>
              <w:fldChar w:fldCharType="begin"/>
            </w:r>
            <w:r w:rsidR="00707A64">
              <w:rPr>
                <w:webHidden/>
              </w:rPr>
              <w:instrText xml:space="preserve"> PAGEREF _Toc136879360 \h </w:instrText>
            </w:r>
            <w:r w:rsidR="00707A64">
              <w:rPr>
                <w:webHidden/>
              </w:rPr>
            </w:r>
            <w:r w:rsidR="00707A64">
              <w:rPr>
                <w:webHidden/>
              </w:rPr>
              <w:fldChar w:fldCharType="separate"/>
            </w:r>
            <w:r w:rsidR="00522AD3">
              <w:rPr>
                <w:webHidden/>
              </w:rPr>
              <w:t>40</w:t>
            </w:r>
            <w:r w:rsidR="00707A64">
              <w:rPr>
                <w:webHidden/>
              </w:rPr>
              <w:fldChar w:fldCharType="end"/>
            </w:r>
          </w:hyperlink>
        </w:p>
        <w:p w14:paraId="04726AE6" w14:textId="70F1A694" w:rsidR="00707A64" w:rsidRDefault="00FF4ADE">
          <w:pPr>
            <w:pStyle w:val="TOC2"/>
            <w:rPr>
              <w:rFonts w:asciiTheme="minorHAnsi" w:eastAsiaTheme="minorEastAsia" w:hAnsiTheme="minorHAnsi" w:cstheme="minorBidi"/>
              <w:smallCaps w:val="0"/>
              <w:noProof/>
              <w:sz w:val="22"/>
              <w:szCs w:val="22"/>
              <w:lang w:val="fr-FR"/>
            </w:rPr>
          </w:pPr>
          <w:r>
            <w:rPr>
              <w:lang w:val="el-GR"/>
            </w:rPr>
            <w:t>λογοδοσια και μηχανισμοι επιβολησ</w:t>
          </w:r>
          <w:hyperlink w:anchor="_Toc136879361" w:history="1">
            <w:r>
              <w:rPr>
                <w:rStyle w:val="Hyperlink"/>
                <w:rFonts w:cstheme="minorHAnsi"/>
                <w:noProof/>
              </w:rPr>
              <w:t xml:space="preserve"> </w:t>
            </w:r>
            <w:r w:rsidR="00707A64">
              <w:rPr>
                <w:noProof/>
                <w:webHidden/>
              </w:rPr>
              <w:tab/>
            </w:r>
            <w:r w:rsidR="00707A64">
              <w:rPr>
                <w:noProof/>
                <w:webHidden/>
              </w:rPr>
              <w:fldChar w:fldCharType="begin"/>
            </w:r>
            <w:r w:rsidR="00707A64">
              <w:rPr>
                <w:noProof/>
                <w:webHidden/>
              </w:rPr>
              <w:instrText xml:space="preserve"> PAGEREF _Toc136879361 \h </w:instrText>
            </w:r>
            <w:r w:rsidR="00707A64">
              <w:rPr>
                <w:noProof/>
                <w:webHidden/>
              </w:rPr>
            </w:r>
            <w:r w:rsidR="00707A64">
              <w:rPr>
                <w:noProof/>
                <w:webHidden/>
              </w:rPr>
              <w:fldChar w:fldCharType="separate"/>
            </w:r>
            <w:r w:rsidR="00522AD3">
              <w:rPr>
                <w:noProof/>
                <w:webHidden/>
              </w:rPr>
              <w:t>42</w:t>
            </w:r>
            <w:r w:rsidR="00707A64">
              <w:rPr>
                <w:noProof/>
                <w:webHidden/>
              </w:rPr>
              <w:fldChar w:fldCharType="end"/>
            </w:r>
          </w:hyperlink>
        </w:p>
        <w:p w14:paraId="347BA324" w14:textId="1A5BDF9C" w:rsidR="00707A64" w:rsidRDefault="00000000">
          <w:pPr>
            <w:pStyle w:val="TOC3"/>
            <w:rPr>
              <w:rFonts w:asciiTheme="minorHAnsi" w:eastAsiaTheme="minorEastAsia" w:hAnsiTheme="minorHAnsi" w:cstheme="minorBidi"/>
              <w:i w:val="0"/>
              <w:iCs w:val="0"/>
              <w:sz w:val="22"/>
              <w:szCs w:val="22"/>
              <w:lang w:val="fr-FR"/>
            </w:rPr>
          </w:pPr>
          <w:hyperlink w:anchor="_Toc136879362" w:history="1">
            <w:r w:rsidR="00FF4ADE">
              <w:rPr>
                <w:rStyle w:val="Hyperlink"/>
                <w:lang w:val="el-GR"/>
              </w:rPr>
              <w:t>Μη ποινικοί μηχανισμοί λογοδοσίας</w:t>
            </w:r>
            <w:r w:rsidR="00707A64">
              <w:rPr>
                <w:webHidden/>
              </w:rPr>
              <w:tab/>
            </w:r>
            <w:r w:rsidR="00707A64">
              <w:rPr>
                <w:webHidden/>
              </w:rPr>
              <w:fldChar w:fldCharType="begin"/>
            </w:r>
            <w:r w:rsidR="00707A64">
              <w:rPr>
                <w:webHidden/>
              </w:rPr>
              <w:instrText xml:space="preserve"> PAGEREF _Toc136879362 \h </w:instrText>
            </w:r>
            <w:r w:rsidR="00707A64">
              <w:rPr>
                <w:webHidden/>
              </w:rPr>
            </w:r>
            <w:r w:rsidR="00707A64">
              <w:rPr>
                <w:webHidden/>
              </w:rPr>
              <w:fldChar w:fldCharType="separate"/>
            </w:r>
            <w:r w:rsidR="00522AD3">
              <w:rPr>
                <w:webHidden/>
              </w:rPr>
              <w:t>42</w:t>
            </w:r>
            <w:r w:rsidR="00707A64">
              <w:rPr>
                <w:webHidden/>
              </w:rPr>
              <w:fldChar w:fldCharType="end"/>
            </w:r>
          </w:hyperlink>
        </w:p>
        <w:p w14:paraId="062E6EA7" w14:textId="38E80A1C" w:rsidR="00707A64" w:rsidRDefault="00000000">
          <w:pPr>
            <w:pStyle w:val="TOC3"/>
            <w:rPr>
              <w:rFonts w:asciiTheme="minorHAnsi" w:eastAsiaTheme="minorEastAsia" w:hAnsiTheme="minorHAnsi" w:cstheme="minorBidi"/>
              <w:i w:val="0"/>
              <w:iCs w:val="0"/>
              <w:sz w:val="22"/>
              <w:szCs w:val="22"/>
              <w:lang w:val="fr-FR"/>
            </w:rPr>
          </w:pPr>
          <w:hyperlink w:anchor="_Toc136879363" w:history="1">
            <w:r w:rsidR="00FF4ADE">
              <w:rPr>
                <w:rStyle w:val="Hyperlink"/>
                <w:lang w:val="el-GR"/>
              </w:rPr>
              <w:t>Ποινικές διαδικασίες και ασυλίες</w:t>
            </w:r>
            <w:r w:rsidR="00707A64">
              <w:rPr>
                <w:webHidden/>
              </w:rPr>
              <w:tab/>
            </w:r>
            <w:r w:rsidR="00707A64">
              <w:rPr>
                <w:webHidden/>
              </w:rPr>
              <w:fldChar w:fldCharType="begin"/>
            </w:r>
            <w:r w:rsidR="00707A64">
              <w:rPr>
                <w:webHidden/>
              </w:rPr>
              <w:instrText xml:space="preserve"> PAGEREF _Toc136879363 \h </w:instrText>
            </w:r>
            <w:r w:rsidR="00707A64">
              <w:rPr>
                <w:webHidden/>
              </w:rPr>
            </w:r>
            <w:r w:rsidR="00707A64">
              <w:rPr>
                <w:webHidden/>
              </w:rPr>
              <w:fldChar w:fldCharType="separate"/>
            </w:r>
            <w:r w:rsidR="00522AD3">
              <w:rPr>
                <w:webHidden/>
              </w:rPr>
              <w:t>46</w:t>
            </w:r>
            <w:r w:rsidR="00707A64">
              <w:rPr>
                <w:webHidden/>
              </w:rPr>
              <w:fldChar w:fldCharType="end"/>
            </w:r>
          </w:hyperlink>
        </w:p>
        <w:p w14:paraId="3E57B697" w14:textId="6898FD4A" w:rsidR="00707A64" w:rsidRDefault="00000000">
          <w:pPr>
            <w:pStyle w:val="TOC1"/>
            <w:rPr>
              <w:rFonts w:asciiTheme="minorHAnsi" w:eastAsiaTheme="minorEastAsia" w:hAnsiTheme="minorHAnsi" w:cstheme="minorBidi"/>
              <w:b w:val="0"/>
              <w:bCs w:val="0"/>
              <w:caps w:val="0"/>
              <w:noProof/>
              <w:sz w:val="22"/>
              <w:szCs w:val="22"/>
              <w:lang w:val="fr-FR"/>
            </w:rPr>
          </w:pPr>
          <w:hyperlink w:anchor="_Toc136879364" w:history="1">
            <w:r w:rsidR="00707A64" w:rsidRPr="00CD7BC7">
              <w:rPr>
                <w:rStyle w:val="Hyperlink"/>
                <w:noProof/>
              </w:rPr>
              <w:t>V.</w:t>
            </w:r>
            <w:r w:rsidR="00707A64">
              <w:rPr>
                <w:rFonts w:asciiTheme="minorHAnsi" w:eastAsiaTheme="minorEastAsia" w:hAnsiTheme="minorHAnsi" w:cstheme="minorBidi"/>
                <w:b w:val="0"/>
                <w:bCs w:val="0"/>
                <w:caps w:val="0"/>
                <w:noProof/>
                <w:sz w:val="22"/>
                <w:szCs w:val="22"/>
                <w:lang w:val="fr-FR"/>
              </w:rPr>
              <w:tab/>
            </w:r>
            <w:r w:rsidR="00B14C20">
              <w:rPr>
                <w:rStyle w:val="Hyperlink"/>
                <w:lang w:val="el-GR"/>
              </w:rPr>
              <w:t xml:space="preserve">ΠΡΟΛΗΨΗ </w:t>
            </w:r>
            <w:r w:rsidR="00FF4ADE">
              <w:rPr>
                <w:rStyle w:val="Hyperlink"/>
                <w:noProof/>
                <w:lang w:val="el-GR"/>
              </w:rPr>
              <w:t>ΔΙΑΦΘΟΡΑς</w:t>
            </w:r>
            <w:r w:rsidR="00707A64" w:rsidRPr="00CD7BC7">
              <w:rPr>
                <w:rStyle w:val="Hyperlink"/>
                <w:noProof/>
              </w:rPr>
              <w:t xml:space="preserve"> </w:t>
            </w:r>
            <w:r w:rsidR="00A75FF4">
              <w:rPr>
                <w:rStyle w:val="Hyperlink"/>
                <w:noProof/>
                <w:lang w:val="el-GR"/>
              </w:rPr>
              <w:t xml:space="preserve">ΣΤΑ </w:t>
            </w:r>
            <w:r w:rsidR="00B14C20">
              <w:rPr>
                <w:rStyle w:val="Hyperlink"/>
                <w:noProof/>
                <w:lang w:val="el-GR"/>
              </w:rPr>
              <w:t xml:space="preserve">ΟΡΓΑΝΑ </w:t>
            </w:r>
            <w:r w:rsidR="00FF4ADE">
              <w:rPr>
                <w:rStyle w:val="Hyperlink"/>
                <w:noProof/>
                <w:lang w:val="el-GR"/>
              </w:rPr>
              <w:t>ΕΠΙΒΟΛΗΣ ΤΟΥ ΝΟΜΟΥ</w:t>
            </w:r>
            <w:r w:rsidR="00707A64">
              <w:rPr>
                <w:noProof/>
                <w:webHidden/>
              </w:rPr>
              <w:tab/>
            </w:r>
            <w:r w:rsidR="00707A64">
              <w:rPr>
                <w:noProof/>
                <w:webHidden/>
              </w:rPr>
              <w:fldChar w:fldCharType="begin"/>
            </w:r>
            <w:r w:rsidR="00707A64">
              <w:rPr>
                <w:noProof/>
                <w:webHidden/>
              </w:rPr>
              <w:instrText xml:space="preserve"> PAGEREF _Toc136879364 \h </w:instrText>
            </w:r>
            <w:r w:rsidR="00707A64">
              <w:rPr>
                <w:noProof/>
                <w:webHidden/>
              </w:rPr>
            </w:r>
            <w:r w:rsidR="00707A64">
              <w:rPr>
                <w:noProof/>
                <w:webHidden/>
              </w:rPr>
              <w:fldChar w:fldCharType="separate"/>
            </w:r>
            <w:r w:rsidR="00522AD3">
              <w:rPr>
                <w:noProof/>
                <w:webHidden/>
              </w:rPr>
              <w:t>48</w:t>
            </w:r>
            <w:r w:rsidR="00707A64">
              <w:rPr>
                <w:noProof/>
                <w:webHidden/>
              </w:rPr>
              <w:fldChar w:fldCharType="end"/>
            </w:r>
          </w:hyperlink>
        </w:p>
        <w:p w14:paraId="460481FE" w14:textId="5A3C5385" w:rsidR="00707A64" w:rsidRDefault="00000000">
          <w:pPr>
            <w:pStyle w:val="TOC2"/>
            <w:rPr>
              <w:rFonts w:asciiTheme="minorHAnsi" w:eastAsiaTheme="minorEastAsia" w:hAnsiTheme="minorHAnsi" w:cstheme="minorBidi"/>
              <w:smallCaps w:val="0"/>
              <w:noProof/>
              <w:sz w:val="22"/>
              <w:szCs w:val="22"/>
              <w:lang w:val="fr-FR"/>
            </w:rPr>
          </w:pPr>
          <w:hyperlink w:anchor="_Toc136879365" w:history="1">
            <w:r w:rsidR="00707A64" w:rsidRPr="00CD7BC7">
              <w:rPr>
                <w:rStyle w:val="Hyperlink"/>
                <w:noProof/>
              </w:rPr>
              <w:t>O</w:t>
            </w:r>
            <w:r w:rsidR="00FF4ADE">
              <w:rPr>
                <w:rStyle w:val="Hyperlink"/>
                <w:noProof/>
                <w:lang w:val="el-GR"/>
              </w:rPr>
              <w:t>ΡΓΑΝΩΣΗ ΚΑΙ ΛΟΓΟΔΟΣΙΑ ΑΡΧΩΝ ΕΠΙΒΟΛΗΣ ΤΟΥ ΝΟΜΟΥ/ ΑΣΤΥΝΟΜΙΚΩΝ ΑΡΧΩΝ</w:t>
            </w:r>
            <w:r w:rsidR="00707A64">
              <w:rPr>
                <w:noProof/>
                <w:webHidden/>
              </w:rPr>
              <w:tab/>
            </w:r>
            <w:r w:rsidR="00707A64">
              <w:rPr>
                <w:noProof/>
                <w:webHidden/>
              </w:rPr>
              <w:fldChar w:fldCharType="begin"/>
            </w:r>
            <w:r w:rsidR="00707A64">
              <w:rPr>
                <w:noProof/>
                <w:webHidden/>
              </w:rPr>
              <w:instrText xml:space="preserve"> PAGEREF _Toc136879365 \h </w:instrText>
            </w:r>
            <w:r w:rsidR="00707A64">
              <w:rPr>
                <w:noProof/>
                <w:webHidden/>
              </w:rPr>
            </w:r>
            <w:r w:rsidR="00707A64">
              <w:rPr>
                <w:noProof/>
                <w:webHidden/>
              </w:rPr>
              <w:fldChar w:fldCharType="separate"/>
            </w:r>
            <w:r w:rsidR="00522AD3">
              <w:rPr>
                <w:noProof/>
                <w:webHidden/>
              </w:rPr>
              <w:t>48</w:t>
            </w:r>
            <w:r w:rsidR="00707A64">
              <w:rPr>
                <w:noProof/>
                <w:webHidden/>
              </w:rPr>
              <w:fldChar w:fldCharType="end"/>
            </w:r>
          </w:hyperlink>
        </w:p>
        <w:p w14:paraId="35FBBD86" w14:textId="242179C4" w:rsidR="00707A64" w:rsidRDefault="00000000">
          <w:pPr>
            <w:pStyle w:val="TOC3"/>
            <w:rPr>
              <w:rFonts w:asciiTheme="minorHAnsi" w:eastAsiaTheme="minorEastAsia" w:hAnsiTheme="minorHAnsi" w:cstheme="minorBidi"/>
              <w:i w:val="0"/>
              <w:iCs w:val="0"/>
              <w:sz w:val="22"/>
              <w:szCs w:val="22"/>
              <w:lang w:val="fr-FR"/>
            </w:rPr>
          </w:pPr>
          <w:hyperlink w:anchor="_Toc136879366" w:history="1">
            <w:r w:rsidR="00FF4ADE">
              <w:rPr>
                <w:rStyle w:val="Hyperlink"/>
              </w:rPr>
              <w:t>E</w:t>
            </w:r>
            <w:r w:rsidR="00FF4ADE">
              <w:rPr>
                <w:rStyle w:val="Hyperlink"/>
                <w:lang w:val="el-GR"/>
              </w:rPr>
              <w:t>πισκόπηση διάφορων αρχών επιβολής του νόμου</w:t>
            </w:r>
            <w:r w:rsidR="00707A64">
              <w:rPr>
                <w:webHidden/>
              </w:rPr>
              <w:tab/>
            </w:r>
            <w:r w:rsidR="00707A64">
              <w:rPr>
                <w:webHidden/>
              </w:rPr>
              <w:fldChar w:fldCharType="begin"/>
            </w:r>
            <w:r w:rsidR="00707A64">
              <w:rPr>
                <w:webHidden/>
              </w:rPr>
              <w:instrText xml:space="preserve"> PAGEREF _Toc136879366 \h </w:instrText>
            </w:r>
            <w:r w:rsidR="00707A64">
              <w:rPr>
                <w:webHidden/>
              </w:rPr>
            </w:r>
            <w:r w:rsidR="00707A64">
              <w:rPr>
                <w:webHidden/>
              </w:rPr>
              <w:fldChar w:fldCharType="separate"/>
            </w:r>
            <w:r w:rsidR="00522AD3">
              <w:rPr>
                <w:webHidden/>
              </w:rPr>
              <w:t>48</w:t>
            </w:r>
            <w:r w:rsidR="00707A64">
              <w:rPr>
                <w:webHidden/>
              </w:rPr>
              <w:fldChar w:fldCharType="end"/>
            </w:r>
          </w:hyperlink>
        </w:p>
        <w:p w14:paraId="15A285C3" w14:textId="14900630" w:rsidR="00707A64" w:rsidRDefault="00000000">
          <w:pPr>
            <w:pStyle w:val="TOC3"/>
            <w:rPr>
              <w:rFonts w:asciiTheme="minorHAnsi" w:eastAsiaTheme="minorEastAsia" w:hAnsiTheme="minorHAnsi" w:cstheme="minorBidi"/>
              <w:i w:val="0"/>
              <w:iCs w:val="0"/>
              <w:sz w:val="22"/>
              <w:szCs w:val="22"/>
              <w:lang w:val="fr-FR"/>
            </w:rPr>
          </w:pPr>
          <w:hyperlink w:anchor="_Toc136879367" w:history="1">
            <w:r w:rsidR="00FF4ADE">
              <w:rPr>
                <w:rStyle w:val="Hyperlink"/>
                <w:lang w:val="el-GR"/>
              </w:rPr>
              <w:t>Πρόσβαση σε πληροφορίες</w:t>
            </w:r>
            <w:r w:rsidR="00707A64">
              <w:rPr>
                <w:webHidden/>
              </w:rPr>
              <w:tab/>
            </w:r>
            <w:r w:rsidR="00707A64">
              <w:rPr>
                <w:webHidden/>
              </w:rPr>
              <w:fldChar w:fldCharType="begin"/>
            </w:r>
            <w:r w:rsidR="00707A64">
              <w:rPr>
                <w:webHidden/>
              </w:rPr>
              <w:instrText xml:space="preserve"> PAGEREF _Toc136879367 \h </w:instrText>
            </w:r>
            <w:r w:rsidR="00707A64">
              <w:rPr>
                <w:webHidden/>
              </w:rPr>
            </w:r>
            <w:r w:rsidR="00707A64">
              <w:rPr>
                <w:webHidden/>
              </w:rPr>
              <w:fldChar w:fldCharType="separate"/>
            </w:r>
            <w:r w:rsidR="00522AD3">
              <w:rPr>
                <w:webHidden/>
              </w:rPr>
              <w:t>51</w:t>
            </w:r>
            <w:r w:rsidR="00707A64">
              <w:rPr>
                <w:webHidden/>
              </w:rPr>
              <w:fldChar w:fldCharType="end"/>
            </w:r>
          </w:hyperlink>
        </w:p>
        <w:p w14:paraId="16F259A4" w14:textId="585FD134" w:rsidR="00707A64" w:rsidRDefault="00000000">
          <w:pPr>
            <w:pStyle w:val="TOC3"/>
            <w:rPr>
              <w:rFonts w:asciiTheme="minorHAnsi" w:eastAsiaTheme="minorEastAsia" w:hAnsiTheme="minorHAnsi" w:cstheme="minorBidi"/>
              <w:i w:val="0"/>
              <w:iCs w:val="0"/>
              <w:sz w:val="22"/>
              <w:szCs w:val="22"/>
              <w:lang w:val="fr-FR"/>
            </w:rPr>
          </w:pPr>
          <w:hyperlink w:anchor="_Toc136879368" w:history="1">
            <w:r w:rsidR="00FF4ADE">
              <w:rPr>
                <w:rStyle w:val="Hyperlink"/>
                <w:lang w:val="el-GR"/>
              </w:rPr>
              <w:t>Εμπιστοσύνη του κοινού στις αρχές επιβολής του νόμου</w:t>
            </w:r>
            <w:r w:rsidR="00707A64">
              <w:rPr>
                <w:webHidden/>
              </w:rPr>
              <w:tab/>
            </w:r>
            <w:r w:rsidR="00707A64">
              <w:rPr>
                <w:webHidden/>
              </w:rPr>
              <w:fldChar w:fldCharType="begin"/>
            </w:r>
            <w:r w:rsidR="00707A64">
              <w:rPr>
                <w:webHidden/>
              </w:rPr>
              <w:instrText xml:space="preserve"> PAGEREF _Toc136879368 \h </w:instrText>
            </w:r>
            <w:r w:rsidR="00707A64">
              <w:rPr>
                <w:webHidden/>
              </w:rPr>
            </w:r>
            <w:r w:rsidR="00707A64">
              <w:rPr>
                <w:webHidden/>
              </w:rPr>
              <w:fldChar w:fldCharType="separate"/>
            </w:r>
            <w:r w:rsidR="00522AD3">
              <w:rPr>
                <w:webHidden/>
              </w:rPr>
              <w:t>52</w:t>
            </w:r>
            <w:r w:rsidR="00707A64">
              <w:rPr>
                <w:webHidden/>
              </w:rPr>
              <w:fldChar w:fldCharType="end"/>
            </w:r>
          </w:hyperlink>
        </w:p>
        <w:p w14:paraId="6A65AD36" w14:textId="15D852F2" w:rsidR="00707A64" w:rsidRDefault="00000000">
          <w:pPr>
            <w:pStyle w:val="TOC3"/>
            <w:rPr>
              <w:rFonts w:asciiTheme="minorHAnsi" w:eastAsiaTheme="minorEastAsia" w:hAnsiTheme="minorHAnsi" w:cstheme="minorBidi"/>
              <w:i w:val="0"/>
              <w:iCs w:val="0"/>
              <w:sz w:val="22"/>
              <w:szCs w:val="22"/>
              <w:lang w:val="fr-FR"/>
            </w:rPr>
          </w:pPr>
          <w:hyperlink w:anchor="_Toc136879369" w:history="1">
            <w:r w:rsidR="00FF4ADE">
              <w:rPr>
                <w:rStyle w:val="Hyperlink"/>
                <w:lang w:val="el-GR"/>
              </w:rPr>
              <w:t>Συντεχνίες και επαγγελματικές οργανώσεις</w:t>
            </w:r>
            <w:r w:rsidR="00707A64">
              <w:rPr>
                <w:webHidden/>
              </w:rPr>
              <w:tab/>
            </w:r>
            <w:r w:rsidR="00707A64">
              <w:rPr>
                <w:webHidden/>
              </w:rPr>
              <w:fldChar w:fldCharType="begin"/>
            </w:r>
            <w:r w:rsidR="00707A64">
              <w:rPr>
                <w:webHidden/>
              </w:rPr>
              <w:instrText xml:space="preserve"> PAGEREF _Toc136879369 \h </w:instrText>
            </w:r>
            <w:r w:rsidR="00707A64">
              <w:rPr>
                <w:webHidden/>
              </w:rPr>
            </w:r>
            <w:r w:rsidR="00707A64">
              <w:rPr>
                <w:webHidden/>
              </w:rPr>
              <w:fldChar w:fldCharType="separate"/>
            </w:r>
            <w:r w:rsidR="00522AD3">
              <w:rPr>
                <w:webHidden/>
              </w:rPr>
              <w:t>52</w:t>
            </w:r>
            <w:r w:rsidR="00707A64">
              <w:rPr>
                <w:webHidden/>
              </w:rPr>
              <w:fldChar w:fldCharType="end"/>
            </w:r>
          </w:hyperlink>
        </w:p>
        <w:p w14:paraId="59B2D924" w14:textId="2EDAFB0A" w:rsidR="00707A64" w:rsidRDefault="00522AD3">
          <w:pPr>
            <w:pStyle w:val="TOC2"/>
            <w:rPr>
              <w:rFonts w:asciiTheme="minorHAnsi" w:eastAsiaTheme="minorEastAsia" w:hAnsiTheme="minorHAnsi" w:cstheme="minorBidi"/>
              <w:smallCaps w:val="0"/>
              <w:noProof/>
              <w:sz w:val="22"/>
              <w:szCs w:val="22"/>
              <w:lang w:val="fr-FR"/>
            </w:rPr>
          </w:pPr>
          <w:r>
            <w:t xml:space="preserve">      </w:t>
          </w:r>
          <w:hyperlink w:anchor="_Toc136879370" w:history="1">
            <w:r w:rsidR="00FF4ADE">
              <w:rPr>
                <w:rStyle w:val="Hyperlink"/>
                <w:rFonts w:cstheme="minorHAnsi"/>
                <w:noProof/>
                <w:lang w:val="el-GR"/>
              </w:rPr>
              <w:t>πολιτικη ακ</w:t>
            </w:r>
            <w:r w:rsidR="00856187">
              <w:rPr>
                <w:rStyle w:val="Hyperlink"/>
                <w:rFonts w:cstheme="minorHAnsi"/>
                <w:noProof/>
                <w:lang w:val="el-GR"/>
              </w:rPr>
              <w:t>ε</w:t>
            </w:r>
            <w:r w:rsidR="00FF4ADE">
              <w:rPr>
                <w:rStyle w:val="Hyperlink"/>
                <w:rFonts w:cstheme="minorHAnsi"/>
                <w:noProof/>
                <w:lang w:val="el-GR"/>
              </w:rPr>
              <w:t>ραιοτητασ και εναντιον της διαφθορασ</w:t>
            </w:r>
            <w:r w:rsidR="00707A64">
              <w:rPr>
                <w:noProof/>
                <w:webHidden/>
              </w:rPr>
              <w:tab/>
            </w:r>
            <w:r w:rsidR="00707A64">
              <w:rPr>
                <w:noProof/>
                <w:webHidden/>
              </w:rPr>
              <w:fldChar w:fldCharType="begin"/>
            </w:r>
            <w:r w:rsidR="00707A64">
              <w:rPr>
                <w:noProof/>
                <w:webHidden/>
              </w:rPr>
              <w:instrText xml:space="preserve"> PAGEREF _Toc136879370 \h </w:instrText>
            </w:r>
            <w:r w:rsidR="00707A64">
              <w:rPr>
                <w:noProof/>
                <w:webHidden/>
              </w:rPr>
            </w:r>
            <w:r w:rsidR="00707A64">
              <w:rPr>
                <w:noProof/>
                <w:webHidden/>
              </w:rPr>
              <w:fldChar w:fldCharType="separate"/>
            </w:r>
            <w:r>
              <w:rPr>
                <w:noProof/>
                <w:webHidden/>
              </w:rPr>
              <w:t>53</w:t>
            </w:r>
            <w:r w:rsidR="00707A64">
              <w:rPr>
                <w:noProof/>
                <w:webHidden/>
              </w:rPr>
              <w:fldChar w:fldCharType="end"/>
            </w:r>
          </w:hyperlink>
        </w:p>
        <w:p w14:paraId="3D4122D4" w14:textId="3AB42F9B" w:rsidR="00707A64" w:rsidRDefault="00000000">
          <w:pPr>
            <w:pStyle w:val="TOC3"/>
            <w:rPr>
              <w:rFonts w:asciiTheme="minorHAnsi" w:eastAsiaTheme="minorEastAsia" w:hAnsiTheme="minorHAnsi" w:cstheme="minorBidi"/>
              <w:i w:val="0"/>
              <w:iCs w:val="0"/>
              <w:sz w:val="22"/>
              <w:szCs w:val="22"/>
              <w:lang w:val="fr-FR"/>
            </w:rPr>
          </w:pPr>
          <w:hyperlink w:anchor="_Toc136879371" w:history="1">
            <w:r w:rsidR="00FF4ADE">
              <w:rPr>
                <w:rStyle w:val="Hyperlink"/>
                <w:lang w:val="el-GR"/>
              </w:rPr>
              <w:t>Πολιτική, προγραμματισμός και</w:t>
            </w:r>
            <w:r w:rsidR="00F31337">
              <w:rPr>
                <w:rStyle w:val="Hyperlink"/>
                <w:lang w:val="el-GR"/>
              </w:rPr>
              <w:t xml:space="preserve"> μέτρα διαχείρησης κινδύνου</w:t>
            </w:r>
            <w:r w:rsidR="00707A64" w:rsidRPr="00CD7BC7">
              <w:rPr>
                <w:rStyle w:val="Hyperlink"/>
              </w:rPr>
              <w:t xml:space="preserve"> </w:t>
            </w:r>
            <w:r w:rsidR="00F31337">
              <w:rPr>
                <w:rStyle w:val="Hyperlink"/>
                <w:lang w:val="el-GR"/>
              </w:rPr>
              <w:t>για τομείς</w:t>
            </w:r>
            <w:r w:rsidR="00F31337">
              <w:rPr>
                <w:rStyle w:val="Hyperlink"/>
                <w:lang w:val="en-US"/>
              </w:rPr>
              <w:t xml:space="preserve"> </w:t>
            </w:r>
            <w:r w:rsidR="00F31337">
              <w:rPr>
                <w:rStyle w:val="Hyperlink"/>
                <w:lang w:val="el-GR"/>
              </w:rPr>
              <w:t>επιρρεπ</w:t>
            </w:r>
            <w:r w:rsidR="00871911">
              <w:rPr>
                <w:rStyle w:val="Hyperlink"/>
                <w:lang w:val="el-GR"/>
              </w:rPr>
              <w:t>εί</w:t>
            </w:r>
            <w:r w:rsidR="00F31337">
              <w:rPr>
                <w:rStyle w:val="Hyperlink"/>
                <w:lang w:val="el-GR"/>
              </w:rPr>
              <w:t>ς στην διαφθορά</w:t>
            </w:r>
            <w:r w:rsidR="00707A64">
              <w:rPr>
                <w:webHidden/>
              </w:rPr>
              <w:tab/>
            </w:r>
            <w:r w:rsidR="00707A64">
              <w:rPr>
                <w:webHidden/>
              </w:rPr>
              <w:fldChar w:fldCharType="begin"/>
            </w:r>
            <w:r w:rsidR="00707A64">
              <w:rPr>
                <w:webHidden/>
              </w:rPr>
              <w:instrText xml:space="preserve"> PAGEREF _Toc136879371 \h </w:instrText>
            </w:r>
            <w:r w:rsidR="00707A64">
              <w:rPr>
                <w:webHidden/>
              </w:rPr>
            </w:r>
            <w:r w:rsidR="00707A64">
              <w:rPr>
                <w:webHidden/>
              </w:rPr>
              <w:fldChar w:fldCharType="separate"/>
            </w:r>
            <w:r w:rsidR="00522AD3">
              <w:rPr>
                <w:webHidden/>
              </w:rPr>
              <w:t>53</w:t>
            </w:r>
            <w:r w:rsidR="00707A64">
              <w:rPr>
                <w:webHidden/>
              </w:rPr>
              <w:fldChar w:fldCharType="end"/>
            </w:r>
          </w:hyperlink>
        </w:p>
        <w:p w14:paraId="06E1F650" w14:textId="7FE1BF07" w:rsidR="00707A64" w:rsidRDefault="00000000">
          <w:pPr>
            <w:pStyle w:val="TOC3"/>
            <w:rPr>
              <w:rFonts w:asciiTheme="minorHAnsi" w:eastAsiaTheme="minorEastAsia" w:hAnsiTheme="minorHAnsi" w:cstheme="minorBidi"/>
              <w:i w:val="0"/>
              <w:iCs w:val="0"/>
              <w:sz w:val="22"/>
              <w:szCs w:val="22"/>
              <w:lang w:val="fr-FR"/>
            </w:rPr>
          </w:pPr>
          <w:hyperlink w:anchor="_Toc136879372" w:history="1">
            <w:r w:rsidR="00D3450E">
              <w:rPr>
                <w:rStyle w:val="Hyperlink"/>
                <w:lang w:val="el-GR"/>
              </w:rPr>
              <w:t>Χ</w:t>
            </w:r>
            <w:r w:rsidR="00F31337">
              <w:rPr>
                <w:rStyle w:val="Hyperlink"/>
                <w:lang w:val="el-GR"/>
              </w:rPr>
              <w:t>ειρισμός</w:t>
            </w:r>
            <w:r w:rsidR="00F31337">
              <w:rPr>
                <w:rStyle w:val="Hyperlink"/>
                <w:lang w:val="en-US"/>
              </w:rPr>
              <w:t xml:space="preserve"> </w:t>
            </w:r>
            <w:r w:rsidR="00F31337">
              <w:rPr>
                <w:rStyle w:val="Hyperlink"/>
                <w:lang w:val="el-GR"/>
              </w:rPr>
              <w:t>μυστικών επιχειρήσεων</w:t>
            </w:r>
            <w:r w:rsidR="00707A64" w:rsidRPr="00CD7BC7">
              <w:rPr>
                <w:rStyle w:val="Hyperlink"/>
              </w:rPr>
              <w:t xml:space="preserve"> </w:t>
            </w:r>
            <w:r w:rsidR="00F31337">
              <w:rPr>
                <w:rStyle w:val="Hyperlink"/>
                <w:lang w:val="el-GR"/>
              </w:rPr>
              <w:t>και επαφή με πληροφοριοδότες και μάρτυρες</w:t>
            </w:r>
            <w:r w:rsidR="00707A64">
              <w:rPr>
                <w:webHidden/>
              </w:rPr>
              <w:tab/>
            </w:r>
            <w:r w:rsidR="00707A64">
              <w:rPr>
                <w:webHidden/>
              </w:rPr>
              <w:fldChar w:fldCharType="begin"/>
            </w:r>
            <w:r w:rsidR="00707A64">
              <w:rPr>
                <w:webHidden/>
              </w:rPr>
              <w:instrText xml:space="preserve"> PAGEREF _Toc136879372 \h </w:instrText>
            </w:r>
            <w:r w:rsidR="00707A64">
              <w:rPr>
                <w:webHidden/>
              </w:rPr>
            </w:r>
            <w:r w:rsidR="00707A64">
              <w:rPr>
                <w:webHidden/>
              </w:rPr>
              <w:fldChar w:fldCharType="separate"/>
            </w:r>
            <w:r w:rsidR="00522AD3">
              <w:rPr>
                <w:webHidden/>
              </w:rPr>
              <w:t>55</w:t>
            </w:r>
            <w:r w:rsidR="00707A64">
              <w:rPr>
                <w:webHidden/>
              </w:rPr>
              <w:fldChar w:fldCharType="end"/>
            </w:r>
          </w:hyperlink>
        </w:p>
        <w:p w14:paraId="25B2FFA1" w14:textId="16CC9577" w:rsidR="00707A64" w:rsidRDefault="00000000">
          <w:pPr>
            <w:pStyle w:val="TOC3"/>
            <w:rPr>
              <w:rFonts w:asciiTheme="minorHAnsi" w:eastAsiaTheme="minorEastAsia" w:hAnsiTheme="minorHAnsi" w:cstheme="minorBidi"/>
              <w:i w:val="0"/>
              <w:iCs w:val="0"/>
              <w:sz w:val="22"/>
              <w:szCs w:val="22"/>
              <w:lang w:val="fr-FR"/>
            </w:rPr>
          </w:pPr>
          <w:hyperlink w:anchor="_Toc136879373" w:history="1">
            <w:r w:rsidR="00F31337">
              <w:rPr>
                <w:rStyle w:val="Hyperlink"/>
                <w:lang w:val="el-GR"/>
              </w:rPr>
              <w:t>Κώδικας ηθικής, συμβουλή</w:t>
            </w:r>
            <w:r w:rsidR="00707A64" w:rsidRPr="00CD7BC7">
              <w:rPr>
                <w:rStyle w:val="Hyperlink"/>
              </w:rPr>
              <w:t xml:space="preserve">, </w:t>
            </w:r>
            <w:r w:rsidR="00F31337">
              <w:rPr>
                <w:rStyle w:val="Hyperlink"/>
                <w:lang w:val="el-GR"/>
              </w:rPr>
              <w:t>εκπαίδευση και ευαισθητοποίη</w:t>
            </w:r>
            <w:r w:rsidR="00D3450E">
              <w:rPr>
                <w:rStyle w:val="Hyperlink"/>
                <w:lang w:val="el-GR"/>
              </w:rPr>
              <w:t>ση</w:t>
            </w:r>
            <w:r w:rsidR="00F31337">
              <w:rPr>
                <w:rStyle w:val="Hyperlink"/>
                <w:lang w:val="el-GR"/>
              </w:rPr>
              <w:t xml:space="preserve"> για την ακεραιότητα</w:t>
            </w:r>
            <w:r w:rsidR="00707A64">
              <w:rPr>
                <w:webHidden/>
              </w:rPr>
              <w:tab/>
            </w:r>
            <w:r w:rsidR="00707A64">
              <w:rPr>
                <w:webHidden/>
              </w:rPr>
              <w:fldChar w:fldCharType="begin"/>
            </w:r>
            <w:r w:rsidR="00707A64">
              <w:rPr>
                <w:webHidden/>
              </w:rPr>
              <w:instrText xml:space="preserve"> PAGEREF _Toc136879373 \h </w:instrText>
            </w:r>
            <w:r w:rsidR="00707A64">
              <w:rPr>
                <w:webHidden/>
              </w:rPr>
            </w:r>
            <w:r w:rsidR="00707A64">
              <w:rPr>
                <w:webHidden/>
              </w:rPr>
              <w:fldChar w:fldCharType="separate"/>
            </w:r>
            <w:r w:rsidR="00522AD3">
              <w:rPr>
                <w:webHidden/>
              </w:rPr>
              <w:t>55</w:t>
            </w:r>
            <w:r w:rsidR="00707A64">
              <w:rPr>
                <w:webHidden/>
              </w:rPr>
              <w:fldChar w:fldCharType="end"/>
            </w:r>
          </w:hyperlink>
        </w:p>
        <w:p w14:paraId="5F058F8A" w14:textId="1C50110E" w:rsidR="00707A64" w:rsidRDefault="00000000">
          <w:pPr>
            <w:pStyle w:val="TOC2"/>
            <w:rPr>
              <w:rFonts w:asciiTheme="minorHAnsi" w:eastAsiaTheme="minorEastAsia" w:hAnsiTheme="minorHAnsi" w:cstheme="minorBidi"/>
              <w:smallCaps w:val="0"/>
              <w:noProof/>
              <w:sz w:val="22"/>
              <w:szCs w:val="22"/>
              <w:lang w:val="fr-FR"/>
            </w:rPr>
          </w:pPr>
          <w:hyperlink w:anchor="_Toc136879374" w:history="1">
            <w:r w:rsidR="00F31337">
              <w:rPr>
                <w:rStyle w:val="Hyperlink"/>
                <w:rFonts w:cstheme="minorHAnsi"/>
                <w:noProof/>
                <w:lang w:val="el-GR"/>
              </w:rPr>
              <w:t>ΠΡΟΣΛΗΨΗ, ΣΤΑΔΙΟΔΡΟΜΙΑ ΚΑΙ ΟΡΟΙ ΥΠΗΡΕΣΙΑΣ</w:t>
            </w:r>
            <w:r w:rsidR="00707A64">
              <w:rPr>
                <w:noProof/>
                <w:webHidden/>
              </w:rPr>
              <w:tab/>
            </w:r>
            <w:r w:rsidR="00707A64">
              <w:rPr>
                <w:noProof/>
                <w:webHidden/>
              </w:rPr>
              <w:fldChar w:fldCharType="begin"/>
            </w:r>
            <w:r w:rsidR="00707A64">
              <w:rPr>
                <w:noProof/>
                <w:webHidden/>
              </w:rPr>
              <w:instrText xml:space="preserve"> PAGEREF _Toc136879374 \h </w:instrText>
            </w:r>
            <w:r w:rsidR="00707A64">
              <w:rPr>
                <w:noProof/>
                <w:webHidden/>
              </w:rPr>
            </w:r>
            <w:r w:rsidR="00707A64">
              <w:rPr>
                <w:noProof/>
                <w:webHidden/>
              </w:rPr>
              <w:fldChar w:fldCharType="separate"/>
            </w:r>
            <w:r w:rsidR="00522AD3">
              <w:rPr>
                <w:noProof/>
                <w:webHidden/>
              </w:rPr>
              <w:t>57</w:t>
            </w:r>
            <w:r w:rsidR="00707A64">
              <w:rPr>
                <w:noProof/>
                <w:webHidden/>
              </w:rPr>
              <w:fldChar w:fldCharType="end"/>
            </w:r>
          </w:hyperlink>
        </w:p>
        <w:p w14:paraId="736088FB" w14:textId="27E17EBD" w:rsidR="00707A64" w:rsidRDefault="00F31337">
          <w:pPr>
            <w:pStyle w:val="TOC3"/>
            <w:rPr>
              <w:rFonts w:asciiTheme="minorHAnsi" w:eastAsiaTheme="minorEastAsia" w:hAnsiTheme="minorHAnsi" w:cstheme="minorBidi"/>
              <w:i w:val="0"/>
              <w:iCs w:val="0"/>
              <w:sz w:val="22"/>
              <w:szCs w:val="22"/>
              <w:lang w:val="fr-FR"/>
            </w:rPr>
          </w:pPr>
          <w:r>
            <w:rPr>
              <w:lang w:val="el-GR"/>
            </w:rPr>
            <w:t>Απαιτήσεις πρόσληψης και διαδικασία διορισμού</w:t>
          </w:r>
          <w:hyperlink w:anchor="_Toc136879375" w:history="1">
            <w:r w:rsidR="00707A64" w:rsidRPr="00F31337">
              <w:rPr>
                <w:webHidden/>
                <w:lang w:val="el-GR"/>
              </w:rPr>
              <w:tab/>
            </w:r>
            <w:r w:rsidR="00707A64">
              <w:rPr>
                <w:webHidden/>
              </w:rPr>
              <w:fldChar w:fldCharType="begin"/>
            </w:r>
            <w:r w:rsidR="00707A64" w:rsidRPr="00F31337">
              <w:rPr>
                <w:webHidden/>
                <w:lang w:val="el-GR"/>
              </w:rPr>
              <w:instrText xml:space="preserve"> </w:instrText>
            </w:r>
            <w:r w:rsidR="00707A64">
              <w:rPr>
                <w:webHidden/>
              </w:rPr>
              <w:instrText>PAGEREF</w:instrText>
            </w:r>
            <w:r w:rsidR="00707A64" w:rsidRPr="00F31337">
              <w:rPr>
                <w:webHidden/>
                <w:lang w:val="el-GR"/>
              </w:rPr>
              <w:instrText xml:space="preserve"> _</w:instrText>
            </w:r>
            <w:r w:rsidR="00707A64">
              <w:rPr>
                <w:webHidden/>
              </w:rPr>
              <w:instrText>Toc</w:instrText>
            </w:r>
            <w:r w:rsidR="00707A64" w:rsidRPr="00F31337">
              <w:rPr>
                <w:webHidden/>
                <w:lang w:val="el-GR"/>
              </w:rPr>
              <w:instrText>136879375 \</w:instrText>
            </w:r>
            <w:r w:rsidR="00707A64">
              <w:rPr>
                <w:webHidden/>
              </w:rPr>
              <w:instrText>h</w:instrText>
            </w:r>
            <w:r w:rsidR="00707A64" w:rsidRPr="00F31337">
              <w:rPr>
                <w:webHidden/>
                <w:lang w:val="el-GR"/>
              </w:rPr>
              <w:instrText xml:space="preserve"> </w:instrText>
            </w:r>
            <w:r w:rsidR="00707A64">
              <w:rPr>
                <w:webHidden/>
              </w:rPr>
            </w:r>
            <w:r w:rsidR="00707A64">
              <w:rPr>
                <w:webHidden/>
              </w:rPr>
              <w:fldChar w:fldCharType="separate"/>
            </w:r>
            <w:r w:rsidR="00522AD3">
              <w:rPr>
                <w:webHidden/>
                <w:lang w:val="el-GR"/>
              </w:rPr>
              <w:t>57</w:t>
            </w:r>
            <w:r w:rsidR="00707A64">
              <w:rPr>
                <w:webHidden/>
              </w:rPr>
              <w:fldChar w:fldCharType="end"/>
            </w:r>
          </w:hyperlink>
        </w:p>
        <w:p w14:paraId="5973FBF2" w14:textId="5C878588" w:rsidR="00707A64" w:rsidRDefault="00000000">
          <w:pPr>
            <w:pStyle w:val="TOC3"/>
            <w:rPr>
              <w:rFonts w:asciiTheme="minorHAnsi" w:eastAsiaTheme="minorEastAsia" w:hAnsiTheme="minorHAnsi" w:cstheme="minorBidi"/>
              <w:i w:val="0"/>
              <w:iCs w:val="0"/>
              <w:sz w:val="22"/>
              <w:szCs w:val="22"/>
              <w:lang w:val="fr-FR"/>
            </w:rPr>
          </w:pPr>
          <w:hyperlink w:anchor="_Toc136879376" w:history="1">
            <w:r w:rsidR="00F31337">
              <w:rPr>
                <w:rStyle w:val="Hyperlink"/>
                <w:lang w:val="el-GR"/>
              </w:rPr>
              <w:t>Αξιολόγηση επίδοσης και προαγωγή σε ψηλότερο βαθμό</w:t>
            </w:r>
            <w:r w:rsidR="00707A64" w:rsidRPr="00F31337">
              <w:rPr>
                <w:rStyle w:val="Hyperlink"/>
                <w:lang w:val="el-GR"/>
              </w:rPr>
              <w:t xml:space="preserve">, </w:t>
            </w:r>
            <w:r w:rsidR="00F31337">
              <w:rPr>
                <w:rStyle w:val="Hyperlink"/>
                <w:lang w:val="el-GR"/>
              </w:rPr>
              <w:t>μεταβιβάσεις</w:t>
            </w:r>
            <w:r w:rsidR="00707A64" w:rsidRPr="00F31337">
              <w:rPr>
                <w:rStyle w:val="Hyperlink"/>
                <w:lang w:val="el-GR"/>
              </w:rPr>
              <w:t xml:space="preserve">, </w:t>
            </w:r>
            <w:r w:rsidR="00F31337">
              <w:rPr>
                <w:rStyle w:val="Hyperlink"/>
                <w:lang w:val="el-GR"/>
              </w:rPr>
              <w:t xml:space="preserve">εκ περιτροπής </w:t>
            </w:r>
            <w:r w:rsidR="00871911">
              <w:rPr>
                <w:rStyle w:val="Hyperlink"/>
                <w:lang w:val="el-GR"/>
              </w:rPr>
              <w:t xml:space="preserve">υπηρεσία </w:t>
            </w:r>
            <w:r w:rsidR="00F31337">
              <w:rPr>
                <w:rStyle w:val="Hyperlink"/>
                <w:lang w:val="el-GR"/>
              </w:rPr>
              <w:t>και τερματισμός υπηρεσίας</w:t>
            </w:r>
            <w:r w:rsidR="00707A64" w:rsidRPr="00F31337">
              <w:rPr>
                <w:webHidden/>
                <w:lang w:val="el-GR"/>
              </w:rPr>
              <w:tab/>
            </w:r>
            <w:r w:rsidR="00707A64">
              <w:rPr>
                <w:webHidden/>
              </w:rPr>
              <w:fldChar w:fldCharType="begin"/>
            </w:r>
            <w:r w:rsidR="00707A64" w:rsidRPr="00F31337">
              <w:rPr>
                <w:webHidden/>
                <w:lang w:val="el-GR"/>
              </w:rPr>
              <w:instrText xml:space="preserve"> </w:instrText>
            </w:r>
            <w:r w:rsidR="00707A64">
              <w:rPr>
                <w:webHidden/>
              </w:rPr>
              <w:instrText>PAGEREF</w:instrText>
            </w:r>
            <w:r w:rsidR="00707A64" w:rsidRPr="00F31337">
              <w:rPr>
                <w:webHidden/>
                <w:lang w:val="el-GR"/>
              </w:rPr>
              <w:instrText xml:space="preserve"> _</w:instrText>
            </w:r>
            <w:r w:rsidR="00707A64">
              <w:rPr>
                <w:webHidden/>
              </w:rPr>
              <w:instrText>Toc</w:instrText>
            </w:r>
            <w:r w:rsidR="00707A64" w:rsidRPr="00F31337">
              <w:rPr>
                <w:webHidden/>
                <w:lang w:val="el-GR"/>
              </w:rPr>
              <w:instrText>136879376 \</w:instrText>
            </w:r>
            <w:r w:rsidR="00707A64">
              <w:rPr>
                <w:webHidden/>
              </w:rPr>
              <w:instrText>h</w:instrText>
            </w:r>
            <w:r w:rsidR="00707A64" w:rsidRPr="00F31337">
              <w:rPr>
                <w:webHidden/>
                <w:lang w:val="el-GR"/>
              </w:rPr>
              <w:instrText xml:space="preserve"> </w:instrText>
            </w:r>
            <w:r w:rsidR="00707A64">
              <w:rPr>
                <w:webHidden/>
              </w:rPr>
            </w:r>
            <w:r w:rsidR="00707A64">
              <w:rPr>
                <w:webHidden/>
              </w:rPr>
              <w:fldChar w:fldCharType="separate"/>
            </w:r>
            <w:r w:rsidR="00522AD3">
              <w:rPr>
                <w:webHidden/>
                <w:lang w:val="el-GR"/>
              </w:rPr>
              <w:t>58</w:t>
            </w:r>
            <w:r w:rsidR="00707A64">
              <w:rPr>
                <w:webHidden/>
              </w:rPr>
              <w:fldChar w:fldCharType="end"/>
            </w:r>
          </w:hyperlink>
        </w:p>
        <w:p w14:paraId="51954902" w14:textId="55352B08" w:rsidR="00707A64" w:rsidRDefault="00000000">
          <w:pPr>
            <w:pStyle w:val="TOC3"/>
            <w:rPr>
              <w:rFonts w:asciiTheme="minorHAnsi" w:eastAsiaTheme="minorEastAsia" w:hAnsiTheme="minorHAnsi" w:cstheme="minorBidi"/>
              <w:i w:val="0"/>
              <w:iCs w:val="0"/>
              <w:sz w:val="22"/>
              <w:szCs w:val="22"/>
              <w:lang w:val="fr-FR"/>
            </w:rPr>
          </w:pPr>
          <w:hyperlink w:anchor="_Toc136879377" w:history="1">
            <w:r w:rsidR="00F31337">
              <w:rPr>
                <w:rStyle w:val="Hyperlink"/>
                <w:lang w:val="el-GR"/>
              </w:rPr>
              <w:t xml:space="preserve">Μισθοί και </w:t>
            </w:r>
            <w:r w:rsidR="000748DC">
              <w:rPr>
                <w:rStyle w:val="Hyperlink"/>
                <w:lang w:val="el-GR"/>
              </w:rPr>
              <w:t>οφελήματα</w:t>
            </w:r>
            <w:r w:rsidR="00707A64">
              <w:rPr>
                <w:webHidden/>
              </w:rPr>
              <w:tab/>
            </w:r>
            <w:r w:rsidR="00707A64">
              <w:rPr>
                <w:webHidden/>
              </w:rPr>
              <w:fldChar w:fldCharType="begin"/>
            </w:r>
            <w:r w:rsidR="00707A64">
              <w:rPr>
                <w:webHidden/>
              </w:rPr>
              <w:instrText xml:space="preserve"> PAGEREF _Toc136879377 \h </w:instrText>
            </w:r>
            <w:r w:rsidR="00707A64">
              <w:rPr>
                <w:webHidden/>
              </w:rPr>
            </w:r>
            <w:r w:rsidR="00707A64">
              <w:rPr>
                <w:webHidden/>
              </w:rPr>
              <w:fldChar w:fldCharType="separate"/>
            </w:r>
            <w:r w:rsidR="00522AD3">
              <w:rPr>
                <w:webHidden/>
              </w:rPr>
              <w:t>61</w:t>
            </w:r>
            <w:r w:rsidR="00707A64">
              <w:rPr>
                <w:webHidden/>
              </w:rPr>
              <w:fldChar w:fldCharType="end"/>
            </w:r>
          </w:hyperlink>
        </w:p>
        <w:p w14:paraId="671EA040" w14:textId="40337F73" w:rsidR="00707A64" w:rsidRDefault="00000000">
          <w:pPr>
            <w:pStyle w:val="TOC2"/>
            <w:rPr>
              <w:rFonts w:asciiTheme="minorHAnsi" w:eastAsiaTheme="minorEastAsia" w:hAnsiTheme="minorHAnsi" w:cstheme="minorBidi"/>
              <w:smallCaps w:val="0"/>
              <w:noProof/>
              <w:sz w:val="22"/>
              <w:szCs w:val="22"/>
              <w:lang w:val="fr-FR"/>
            </w:rPr>
          </w:pPr>
          <w:hyperlink w:anchor="_Toc136879378" w:history="1">
            <w:r w:rsidR="000748DC">
              <w:rPr>
                <w:rStyle w:val="Hyperlink"/>
                <w:rFonts w:cstheme="minorHAnsi"/>
                <w:noProof/>
                <w:lang w:val="el-GR"/>
              </w:rPr>
              <w:t>ΣΥΓΚΡ</w:t>
            </w:r>
            <w:r w:rsidR="00D3450E">
              <w:rPr>
                <w:rStyle w:val="Hyperlink"/>
                <w:rFonts w:cstheme="minorHAnsi"/>
                <w:noProof/>
                <w:lang w:val="el-GR"/>
              </w:rPr>
              <w:t>ΟΥΣΕΙΣ ΣΥΜΦΕΡΟΝΤΩΝ, ΑΠΑΓΟΡΕΥΣΕΙΣ</w:t>
            </w:r>
            <w:r w:rsidR="000748DC">
              <w:rPr>
                <w:rStyle w:val="Hyperlink"/>
                <w:rFonts w:cstheme="minorHAnsi"/>
                <w:noProof/>
                <w:lang w:val="el-GR"/>
              </w:rPr>
              <w:t xml:space="preserve"> ΚΑΙ ΠΕΡΙΟΡΙΣΜΟ</w:t>
            </w:r>
            <w:r w:rsidR="00871911">
              <w:rPr>
                <w:rStyle w:val="Hyperlink"/>
                <w:rFonts w:cstheme="minorHAnsi"/>
                <w:noProof/>
                <w:lang w:val="el-GR"/>
              </w:rPr>
              <w:t>Ι</w:t>
            </w:r>
            <w:r w:rsidR="00707A64">
              <w:rPr>
                <w:noProof/>
                <w:webHidden/>
              </w:rPr>
              <w:tab/>
            </w:r>
            <w:r w:rsidR="00707A64">
              <w:rPr>
                <w:noProof/>
                <w:webHidden/>
              </w:rPr>
              <w:fldChar w:fldCharType="begin"/>
            </w:r>
            <w:r w:rsidR="00707A64">
              <w:rPr>
                <w:noProof/>
                <w:webHidden/>
              </w:rPr>
              <w:instrText xml:space="preserve"> PAGEREF _Toc136879378 \h </w:instrText>
            </w:r>
            <w:r w:rsidR="00707A64">
              <w:rPr>
                <w:noProof/>
                <w:webHidden/>
              </w:rPr>
            </w:r>
            <w:r w:rsidR="00707A64">
              <w:rPr>
                <w:noProof/>
                <w:webHidden/>
              </w:rPr>
              <w:fldChar w:fldCharType="separate"/>
            </w:r>
            <w:r w:rsidR="00522AD3">
              <w:rPr>
                <w:noProof/>
                <w:webHidden/>
              </w:rPr>
              <w:t>62</w:t>
            </w:r>
            <w:r w:rsidR="00707A64">
              <w:rPr>
                <w:noProof/>
                <w:webHidden/>
              </w:rPr>
              <w:fldChar w:fldCharType="end"/>
            </w:r>
          </w:hyperlink>
        </w:p>
        <w:p w14:paraId="1CF69EE1" w14:textId="19146613" w:rsidR="00707A64" w:rsidRDefault="00000000">
          <w:pPr>
            <w:pStyle w:val="TOC3"/>
            <w:rPr>
              <w:rFonts w:asciiTheme="minorHAnsi" w:eastAsiaTheme="minorEastAsia" w:hAnsiTheme="minorHAnsi" w:cstheme="minorBidi"/>
              <w:i w:val="0"/>
              <w:iCs w:val="0"/>
              <w:sz w:val="22"/>
              <w:szCs w:val="22"/>
              <w:lang w:val="fr-FR"/>
            </w:rPr>
          </w:pPr>
          <w:hyperlink w:anchor="_Toc136879379" w:history="1">
            <w:r w:rsidR="000748DC">
              <w:rPr>
                <w:rStyle w:val="Hyperlink"/>
                <w:lang w:val="el-GR"/>
              </w:rPr>
              <w:t>Ασυμβατότητες</w:t>
            </w:r>
            <w:r w:rsidR="00707A64" w:rsidRPr="00CD7BC7">
              <w:rPr>
                <w:rStyle w:val="Hyperlink"/>
              </w:rPr>
              <w:t xml:space="preserve">, </w:t>
            </w:r>
            <w:r w:rsidR="000748DC">
              <w:rPr>
                <w:rStyle w:val="Hyperlink"/>
                <w:lang w:val="el-GR"/>
              </w:rPr>
              <w:t>εξωτερικές δραστηριότητες</w:t>
            </w:r>
            <w:r w:rsidR="00707A64" w:rsidRPr="00CD7BC7">
              <w:rPr>
                <w:rStyle w:val="Hyperlink"/>
              </w:rPr>
              <w:t xml:space="preserve"> </w:t>
            </w:r>
            <w:r w:rsidR="00856187">
              <w:rPr>
                <w:rStyle w:val="Hyperlink"/>
                <w:lang w:val="el-GR"/>
              </w:rPr>
              <w:t>και περιορισμοί μετά</w:t>
            </w:r>
            <w:r w:rsidR="000748DC">
              <w:rPr>
                <w:rStyle w:val="Hyperlink"/>
                <w:lang w:val="el-GR"/>
              </w:rPr>
              <w:t xml:space="preserve"> την εργοδότηση</w:t>
            </w:r>
            <w:r w:rsidR="00707A64">
              <w:rPr>
                <w:webHidden/>
              </w:rPr>
              <w:tab/>
            </w:r>
            <w:r w:rsidR="00707A64">
              <w:rPr>
                <w:webHidden/>
              </w:rPr>
              <w:fldChar w:fldCharType="begin"/>
            </w:r>
            <w:r w:rsidR="00707A64">
              <w:rPr>
                <w:webHidden/>
              </w:rPr>
              <w:instrText xml:space="preserve"> PAGEREF _Toc136879379 \h </w:instrText>
            </w:r>
            <w:r w:rsidR="00707A64">
              <w:rPr>
                <w:webHidden/>
              </w:rPr>
            </w:r>
            <w:r w:rsidR="00707A64">
              <w:rPr>
                <w:webHidden/>
              </w:rPr>
              <w:fldChar w:fldCharType="separate"/>
            </w:r>
            <w:r w:rsidR="00522AD3">
              <w:rPr>
                <w:webHidden/>
              </w:rPr>
              <w:t>62</w:t>
            </w:r>
            <w:r w:rsidR="00707A64">
              <w:rPr>
                <w:webHidden/>
              </w:rPr>
              <w:fldChar w:fldCharType="end"/>
            </w:r>
          </w:hyperlink>
        </w:p>
        <w:p w14:paraId="3C39D93B" w14:textId="1B706F2B" w:rsidR="00707A64" w:rsidRDefault="00000000">
          <w:pPr>
            <w:pStyle w:val="TOC3"/>
            <w:rPr>
              <w:rFonts w:asciiTheme="minorHAnsi" w:eastAsiaTheme="minorEastAsia" w:hAnsiTheme="minorHAnsi" w:cstheme="minorBidi"/>
              <w:i w:val="0"/>
              <w:iCs w:val="0"/>
              <w:sz w:val="22"/>
              <w:szCs w:val="22"/>
              <w:lang w:val="fr-FR"/>
            </w:rPr>
          </w:pPr>
          <w:hyperlink w:anchor="_Toc136879380" w:history="1">
            <w:r w:rsidR="00D3450E">
              <w:rPr>
                <w:rStyle w:val="Hyperlink"/>
                <w:lang w:val="el-GR"/>
              </w:rPr>
              <w:t>Α</w:t>
            </w:r>
            <w:r w:rsidR="000748DC">
              <w:rPr>
                <w:rStyle w:val="Hyperlink"/>
                <w:lang w:val="el-GR"/>
              </w:rPr>
              <w:t>πόρριψη και συνηθισμένη απ</w:t>
            </w:r>
            <w:r w:rsidR="00871911">
              <w:rPr>
                <w:rStyle w:val="Hyperlink"/>
                <w:lang w:val="el-GR"/>
              </w:rPr>
              <w:t>οχώρη</w:t>
            </w:r>
            <w:r w:rsidR="000748DC">
              <w:rPr>
                <w:rStyle w:val="Hyperlink"/>
                <w:lang w:val="el-GR"/>
              </w:rPr>
              <w:t>ση</w:t>
            </w:r>
            <w:r w:rsidR="00707A64">
              <w:rPr>
                <w:webHidden/>
              </w:rPr>
              <w:tab/>
            </w:r>
            <w:r w:rsidR="00707A64">
              <w:rPr>
                <w:webHidden/>
              </w:rPr>
              <w:fldChar w:fldCharType="begin"/>
            </w:r>
            <w:r w:rsidR="00707A64">
              <w:rPr>
                <w:webHidden/>
              </w:rPr>
              <w:instrText xml:space="preserve"> PAGEREF _Toc136879380 \h </w:instrText>
            </w:r>
            <w:r w:rsidR="00707A64">
              <w:rPr>
                <w:webHidden/>
              </w:rPr>
            </w:r>
            <w:r w:rsidR="00707A64">
              <w:rPr>
                <w:webHidden/>
              </w:rPr>
              <w:fldChar w:fldCharType="separate"/>
            </w:r>
            <w:r w:rsidR="00522AD3">
              <w:rPr>
                <w:webHidden/>
              </w:rPr>
              <w:t>63</w:t>
            </w:r>
            <w:r w:rsidR="00707A64">
              <w:rPr>
                <w:webHidden/>
              </w:rPr>
              <w:fldChar w:fldCharType="end"/>
            </w:r>
          </w:hyperlink>
        </w:p>
        <w:p w14:paraId="124F8ED1" w14:textId="496CDDC2" w:rsidR="00707A64" w:rsidRDefault="00000000">
          <w:pPr>
            <w:pStyle w:val="TOC3"/>
            <w:rPr>
              <w:rFonts w:asciiTheme="minorHAnsi" w:eastAsiaTheme="minorEastAsia" w:hAnsiTheme="minorHAnsi" w:cstheme="minorBidi"/>
              <w:i w:val="0"/>
              <w:iCs w:val="0"/>
              <w:sz w:val="22"/>
              <w:szCs w:val="22"/>
              <w:lang w:val="fr-FR"/>
            </w:rPr>
          </w:pPr>
          <w:hyperlink w:anchor="_Toc136879381" w:history="1">
            <w:r w:rsidR="000748DC">
              <w:rPr>
                <w:rStyle w:val="Hyperlink"/>
                <w:lang w:val="el-GR"/>
              </w:rPr>
              <w:t>Δώρα</w:t>
            </w:r>
            <w:r w:rsidR="00707A64">
              <w:rPr>
                <w:webHidden/>
              </w:rPr>
              <w:tab/>
            </w:r>
            <w:r w:rsidR="00707A64">
              <w:rPr>
                <w:webHidden/>
              </w:rPr>
              <w:fldChar w:fldCharType="begin"/>
            </w:r>
            <w:r w:rsidR="00707A64">
              <w:rPr>
                <w:webHidden/>
              </w:rPr>
              <w:instrText xml:space="preserve"> PAGEREF _Toc136879381 \h </w:instrText>
            </w:r>
            <w:r w:rsidR="00707A64">
              <w:rPr>
                <w:webHidden/>
              </w:rPr>
              <w:fldChar w:fldCharType="separate"/>
            </w:r>
            <w:r w:rsidR="00522AD3">
              <w:rPr>
                <w:b/>
                <w:bCs/>
                <w:webHidden/>
                <w:lang w:val="en-US"/>
              </w:rPr>
              <w:t>Error! Bookmark not defined.</w:t>
            </w:r>
            <w:r w:rsidR="00707A64">
              <w:rPr>
                <w:webHidden/>
              </w:rPr>
              <w:fldChar w:fldCharType="end"/>
            </w:r>
          </w:hyperlink>
        </w:p>
        <w:p w14:paraId="1126AE5D" w14:textId="1B968F3F" w:rsidR="00707A64" w:rsidRDefault="00000000">
          <w:pPr>
            <w:pStyle w:val="TOC3"/>
            <w:rPr>
              <w:rFonts w:asciiTheme="minorHAnsi" w:eastAsiaTheme="minorEastAsia" w:hAnsiTheme="minorHAnsi" w:cstheme="minorBidi"/>
              <w:i w:val="0"/>
              <w:iCs w:val="0"/>
              <w:sz w:val="22"/>
              <w:szCs w:val="22"/>
              <w:lang w:val="fr-FR"/>
            </w:rPr>
          </w:pPr>
          <w:hyperlink w:anchor="_Toc136879382" w:history="1">
            <w:r w:rsidR="000748DC">
              <w:rPr>
                <w:rStyle w:val="Hyperlink"/>
                <w:lang w:val="el-GR"/>
              </w:rPr>
              <w:t>Κατάχρηση δημοσίων πόρων</w:t>
            </w:r>
            <w:r w:rsidR="00707A64">
              <w:rPr>
                <w:webHidden/>
              </w:rPr>
              <w:tab/>
            </w:r>
            <w:r w:rsidR="00707A64">
              <w:rPr>
                <w:webHidden/>
              </w:rPr>
              <w:fldChar w:fldCharType="begin"/>
            </w:r>
            <w:r w:rsidR="00707A64">
              <w:rPr>
                <w:webHidden/>
              </w:rPr>
              <w:instrText xml:space="preserve"> PAGEREF _Toc136879382 \h </w:instrText>
            </w:r>
            <w:r w:rsidR="00707A64">
              <w:rPr>
                <w:webHidden/>
              </w:rPr>
            </w:r>
            <w:r w:rsidR="00707A64">
              <w:rPr>
                <w:webHidden/>
              </w:rPr>
              <w:fldChar w:fldCharType="separate"/>
            </w:r>
            <w:r w:rsidR="00522AD3">
              <w:rPr>
                <w:webHidden/>
              </w:rPr>
              <w:t>64</w:t>
            </w:r>
            <w:r w:rsidR="00707A64">
              <w:rPr>
                <w:webHidden/>
              </w:rPr>
              <w:fldChar w:fldCharType="end"/>
            </w:r>
          </w:hyperlink>
        </w:p>
        <w:p w14:paraId="13FBCF60" w14:textId="3EFC08CD" w:rsidR="00707A64" w:rsidRDefault="00000000">
          <w:pPr>
            <w:pStyle w:val="TOC3"/>
            <w:rPr>
              <w:rFonts w:asciiTheme="minorHAnsi" w:eastAsiaTheme="minorEastAsia" w:hAnsiTheme="minorHAnsi" w:cstheme="minorBidi"/>
              <w:i w:val="0"/>
              <w:iCs w:val="0"/>
              <w:sz w:val="22"/>
              <w:szCs w:val="22"/>
              <w:lang w:val="fr-FR"/>
            </w:rPr>
          </w:pPr>
          <w:hyperlink w:anchor="_Toc136879383" w:history="1">
            <w:r w:rsidR="000748DC">
              <w:rPr>
                <w:rStyle w:val="Hyperlink"/>
                <w:lang w:val="el-GR"/>
              </w:rPr>
              <w:t>Κατάχρηση εμπιστευ</w:t>
            </w:r>
            <w:r w:rsidR="00871911">
              <w:rPr>
                <w:rStyle w:val="Hyperlink"/>
                <w:lang w:val="el-GR"/>
              </w:rPr>
              <w:t>τ</w:t>
            </w:r>
            <w:r w:rsidR="000748DC">
              <w:rPr>
                <w:rStyle w:val="Hyperlink"/>
                <w:lang w:val="el-GR"/>
              </w:rPr>
              <w:t>ικών πληροφοριών</w:t>
            </w:r>
            <w:r w:rsidR="00707A64">
              <w:rPr>
                <w:webHidden/>
              </w:rPr>
              <w:tab/>
            </w:r>
            <w:r w:rsidR="00707A64">
              <w:rPr>
                <w:webHidden/>
              </w:rPr>
              <w:fldChar w:fldCharType="begin"/>
            </w:r>
            <w:r w:rsidR="00707A64">
              <w:rPr>
                <w:webHidden/>
              </w:rPr>
              <w:instrText xml:space="preserve"> PAGEREF _Toc136879383 \h </w:instrText>
            </w:r>
            <w:r w:rsidR="00707A64">
              <w:rPr>
                <w:webHidden/>
              </w:rPr>
            </w:r>
            <w:r w:rsidR="00707A64">
              <w:rPr>
                <w:webHidden/>
              </w:rPr>
              <w:fldChar w:fldCharType="separate"/>
            </w:r>
            <w:r w:rsidR="00522AD3">
              <w:rPr>
                <w:webHidden/>
              </w:rPr>
              <w:t>64</w:t>
            </w:r>
            <w:r w:rsidR="00707A64">
              <w:rPr>
                <w:webHidden/>
              </w:rPr>
              <w:fldChar w:fldCharType="end"/>
            </w:r>
          </w:hyperlink>
        </w:p>
        <w:p w14:paraId="3E4F4215" w14:textId="6D74B6FA" w:rsidR="00707A64" w:rsidRDefault="00000000">
          <w:pPr>
            <w:pStyle w:val="TOC2"/>
            <w:rPr>
              <w:rFonts w:asciiTheme="minorHAnsi" w:eastAsiaTheme="minorEastAsia" w:hAnsiTheme="minorHAnsi" w:cstheme="minorBidi"/>
              <w:smallCaps w:val="0"/>
              <w:noProof/>
              <w:sz w:val="22"/>
              <w:szCs w:val="22"/>
              <w:lang w:val="fr-FR"/>
            </w:rPr>
          </w:pPr>
          <w:hyperlink w:anchor="_Toc136879384" w:history="1">
            <w:r w:rsidR="000748DC">
              <w:rPr>
                <w:rStyle w:val="Hyperlink"/>
                <w:rFonts w:cstheme="minorHAnsi"/>
                <w:noProof/>
                <w:lang w:val="el-GR"/>
              </w:rPr>
              <w:t>ΔΗΛΩΣΗ ΠΕΡΙΟΥΣΙΑΚΩΝ ΣΤΟΙΧΕΙΩΝ, ΕΙΣΟΔΗΜΑΤΟΣ, ΥΠΟΧΡΕΩΣΕΩΝ ΚΑΙ ΣΥΜΦΕΡΟΝΤΩΝ</w:t>
            </w:r>
            <w:r w:rsidR="00707A64">
              <w:rPr>
                <w:noProof/>
                <w:webHidden/>
              </w:rPr>
              <w:tab/>
            </w:r>
            <w:r w:rsidR="00707A64">
              <w:rPr>
                <w:noProof/>
                <w:webHidden/>
              </w:rPr>
              <w:fldChar w:fldCharType="begin"/>
            </w:r>
            <w:r w:rsidR="00707A64">
              <w:rPr>
                <w:noProof/>
                <w:webHidden/>
              </w:rPr>
              <w:instrText xml:space="preserve"> PAGEREF _Toc136879384 \h </w:instrText>
            </w:r>
            <w:r w:rsidR="00707A64">
              <w:rPr>
                <w:noProof/>
                <w:webHidden/>
              </w:rPr>
            </w:r>
            <w:r w:rsidR="00707A64">
              <w:rPr>
                <w:noProof/>
                <w:webHidden/>
              </w:rPr>
              <w:fldChar w:fldCharType="separate"/>
            </w:r>
            <w:r w:rsidR="00522AD3">
              <w:rPr>
                <w:noProof/>
                <w:webHidden/>
              </w:rPr>
              <w:t>64</w:t>
            </w:r>
            <w:r w:rsidR="00707A64">
              <w:rPr>
                <w:noProof/>
                <w:webHidden/>
              </w:rPr>
              <w:fldChar w:fldCharType="end"/>
            </w:r>
          </w:hyperlink>
        </w:p>
        <w:p w14:paraId="01A6FFEA" w14:textId="5BFA3C5C" w:rsidR="00707A64" w:rsidRDefault="00000000">
          <w:pPr>
            <w:pStyle w:val="TOC2"/>
            <w:rPr>
              <w:rFonts w:asciiTheme="minorHAnsi" w:eastAsiaTheme="minorEastAsia" w:hAnsiTheme="minorHAnsi" w:cstheme="minorBidi"/>
              <w:smallCaps w:val="0"/>
              <w:noProof/>
              <w:sz w:val="22"/>
              <w:szCs w:val="22"/>
              <w:lang w:val="fr-FR"/>
            </w:rPr>
          </w:pPr>
          <w:hyperlink w:anchor="_Toc136879385" w:history="1">
            <w:r w:rsidR="00856187">
              <w:rPr>
                <w:rStyle w:val="Hyperlink"/>
                <w:rFonts w:cstheme="minorHAnsi"/>
                <w:noProof/>
                <w:lang w:val="el-GR"/>
              </w:rPr>
              <w:t>ΕΣΩΤΕΡΙΚΗ ΕΠΙΣΚΟΠΗΣΗ</w:t>
            </w:r>
            <w:r w:rsidR="00707A64">
              <w:rPr>
                <w:noProof/>
                <w:webHidden/>
              </w:rPr>
              <w:tab/>
            </w:r>
            <w:r w:rsidR="00707A64">
              <w:rPr>
                <w:noProof/>
                <w:webHidden/>
              </w:rPr>
              <w:fldChar w:fldCharType="begin"/>
            </w:r>
            <w:r w:rsidR="00707A64">
              <w:rPr>
                <w:noProof/>
                <w:webHidden/>
              </w:rPr>
              <w:instrText xml:space="preserve"> PAGEREF _Toc136879385 \h </w:instrText>
            </w:r>
            <w:r w:rsidR="00707A64">
              <w:rPr>
                <w:noProof/>
                <w:webHidden/>
              </w:rPr>
            </w:r>
            <w:r w:rsidR="00707A64">
              <w:rPr>
                <w:noProof/>
                <w:webHidden/>
              </w:rPr>
              <w:fldChar w:fldCharType="separate"/>
            </w:r>
            <w:r w:rsidR="00522AD3">
              <w:rPr>
                <w:noProof/>
                <w:webHidden/>
              </w:rPr>
              <w:t>65</w:t>
            </w:r>
            <w:r w:rsidR="00707A64">
              <w:rPr>
                <w:noProof/>
                <w:webHidden/>
              </w:rPr>
              <w:fldChar w:fldCharType="end"/>
            </w:r>
          </w:hyperlink>
        </w:p>
        <w:p w14:paraId="7EB47724" w14:textId="2533670D" w:rsidR="00707A64" w:rsidRDefault="00000000">
          <w:pPr>
            <w:pStyle w:val="TOC2"/>
            <w:rPr>
              <w:rFonts w:asciiTheme="minorHAnsi" w:eastAsiaTheme="minorEastAsia" w:hAnsiTheme="minorHAnsi" w:cstheme="minorBidi"/>
              <w:smallCaps w:val="0"/>
              <w:noProof/>
              <w:sz w:val="22"/>
              <w:szCs w:val="22"/>
              <w:lang w:val="fr-FR"/>
            </w:rPr>
          </w:pPr>
          <w:hyperlink w:anchor="_Toc136879386" w:history="1">
            <w:r w:rsidR="00707A64" w:rsidRPr="00CD7BC7">
              <w:rPr>
                <w:rStyle w:val="Hyperlink"/>
                <w:rFonts w:cstheme="minorHAnsi"/>
                <w:noProof/>
              </w:rPr>
              <w:t>E</w:t>
            </w:r>
            <w:r w:rsidR="00856187">
              <w:rPr>
                <w:rStyle w:val="Hyperlink"/>
                <w:rFonts w:cstheme="minorHAnsi"/>
                <w:noProof/>
                <w:lang w:val="el-GR"/>
              </w:rPr>
              <w:t>ΞΩΤΕΡΙΚΗ ΕΠΙΣΚΟΠΗΣΗ</w:t>
            </w:r>
            <w:r w:rsidR="00707A64">
              <w:rPr>
                <w:noProof/>
                <w:webHidden/>
              </w:rPr>
              <w:tab/>
            </w:r>
            <w:r w:rsidR="00707A64">
              <w:rPr>
                <w:noProof/>
                <w:webHidden/>
              </w:rPr>
              <w:fldChar w:fldCharType="begin"/>
            </w:r>
            <w:r w:rsidR="00707A64">
              <w:rPr>
                <w:noProof/>
                <w:webHidden/>
              </w:rPr>
              <w:instrText xml:space="preserve"> PAGEREF _Toc136879386 \h </w:instrText>
            </w:r>
            <w:r w:rsidR="00707A64">
              <w:rPr>
                <w:noProof/>
                <w:webHidden/>
              </w:rPr>
            </w:r>
            <w:r w:rsidR="00707A64">
              <w:rPr>
                <w:noProof/>
                <w:webHidden/>
              </w:rPr>
              <w:fldChar w:fldCharType="separate"/>
            </w:r>
            <w:r w:rsidR="00522AD3">
              <w:rPr>
                <w:noProof/>
                <w:webHidden/>
              </w:rPr>
              <w:t>68</w:t>
            </w:r>
            <w:r w:rsidR="00707A64">
              <w:rPr>
                <w:noProof/>
                <w:webHidden/>
              </w:rPr>
              <w:fldChar w:fldCharType="end"/>
            </w:r>
          </w:hyperlink>
        </w:p>
        <w:p w14:paraId="6C4B96B0" w14:textId="22038E91" w:rsidR="00707A64" w:rsidRDefault="00000000">
          <w:pPr>
            <w:pStyle w:val="TOC2"/>
            <w:rPr>
              <w:rFonts w:asciiTheme="minorHAnsi" w:eastAsiaTheme="minorEastAsia" w:hAnsiTheme="minorHAnsi" w:cstheme="minorBidi"/>
              <w:smallCaps w:val="0"/>
              <w:noProof/>
              <w:sz w:val="22"/>
              <w:szCs w:val="22"/>
              <w:lang w:val="fr-FR"/>
            </w:rPr>
          </w:pPr>
          <w:hyperlink w:anchor="_Toc136879387" w:history="1">
            <w:r w:rsidR="000748DC">
              <w:rPr>
                <w:rStyle w:val="Hyperlink"/>
                <w:rFonts w:cstheme="minorHAnsi"/>
                <w:noProof/>
                <w:lang w:val="el-GR"/>
              </w:rPr>
              <w:t>ΔΙΑΔΙΚΑΣΙΕΣ ΘΕΡΑΠΕΙΑΣ ΓΙΑ ΤΟ ΓΕΝΙΚΟ ΚΟΙΝΟ</w:t>
            </w:r>
            <w:r w:rsidR="00707A64">
              <w:rPr>
                <w:noProof/>
                <w:webHidden/>
              </w:rPr>
              <w:tab/>
            </w:r>
            <w:r w:rsidR="00707A64">
              <w:rPr>
                <w:noProof/>
                <w:webHidden/>
              </w:rPr>
              <w:fldChar w:fldCharType="begin"/>
            </w:r>
            <w:r w:rsidR="00707A64">
              <w:rPr>
                <w:noProof/>
                <w:webHidden/>
              </w:rPr>
              <w:instrText xml:space="preserve"> PAGEREF _Toc136879387 \h </w:instrText>
            </w:r>
            <w:r w:rsidR="00707A64">
              <w:rPr>
                <w:noProof/>
                <w:webHidden/>
              </w:rPr>
            </w:r>
            <w:r w:rsidR="00707A64">
              <w:rPr>
                <w:noProof/>
                <w:webHidden/>
              </w:rPr>
              <w:fldChar w:fldCharType="separate"/>
            </w:r>
            <w:r w:rsidR="00522AD3">
              <w:rPr>
                <w:noProof/>
                <w:webHidden/>
              </w:rPr>
              <w:t>69</w:t>
            </w:r>
            <w:r w:rsidR="00707A64">
              <w:rPr>
                <w:noProof/>
                <w:webHidden/>
              </w:rPr>
              <w:fldChar w:fldCharType="end"/>
            </w:r>
          </w:hyperlink>
        </w:p>
        <w:p w14:paraId="2AE0D7FF" w14:textId="5B12EC1F" w:rsidR="00707A64" w:rsidRDefault="00000000">
          <w:pPr>
            <w:pStyle w:val="TOC2"/>
            <w:rPr>
              <w:rFonts w:asciiTheme="minorHAnsi" w:eastAsiaTheme="minorEastAsia" w:hAnsiTheme="minorHAnsi" w:cstheme="minorBidi"/>
              <w:smallCaps w:val="0"/>
              <w:noProof/>
              <w:sz w:val="22"/>
              <w:szCs w:val="22"/>
              <w:lang w:val="fr-FR"/>
            </w:rPr>
          </w:pPr>
          <w:hyperlink w:anchor="_Toc136879388" w:history="1">
            <w:r w:rsidR="000748DC">
              <w:rPr>
                <w:rStyle w:val="Hyperlink"/>
                <w:rFonts w:cstheme="minorHAnsi"/>
                <w:noProof/>
                <w:lang w:val="el-GR"/>
              </w:rPr>
              <w:t>ΚΑΤΑΓΓΕΛΙΑ ΥΠΟΧΡΕΩΣΕΩΝ</w:t>
            </w:r>
            <w:r w:rsidR="00707A64" w:rsidRPr="00CD7BC7">
              <w:rPr>
                <w:rStyle w:val="Hyperlink"/>
                <w:rFonts w:cstheme="minorHAnsi"/>
                <w:noProof/>
              </w:rPr>
              <w:t xml:space="preserve"> </w:t>
            </w:r>
            <w:r w:rsidR="000748DC">
              <w:rPr>
                <w:rStyle w:val="Hyperlink"/>
                <w:rFonts w:cstheme="minorHAnsi"/>
                <w:noProof/>
                <w:lang w:val="el-GR"/>
              </w:rPr>
              <w:t>ΚΑΙ</w:t>
            </w:r>
            <w:r w:rsidR="00707A64" w:rsidRPr="00CD7BC7">
              <w:rPr>
                <w:rStyle w:val="Hyperlink"/>
                <w:rFonts w:cstheme="minorHAnsi"/>
                <w:noProof/>
              </w:rPr>
              <w:t xml:space="preserve"> </w:t>
            </w:r>
            <w:r w:rsidR="000748DC">
              <w:rPr>
                <w:rStyle w:val="Hyperlink"/>
                <w:rFonts w:cstheme="minorHAnsi"/>
                <w:noProof/>
                <w:lang w:val="el-GR"/>
              </w:rPr>
              <w:t>ΠΡΟΣΤΑΣΙΑ ΠΛΗΡΟΦΟΡΙΟΔΟΤΩΝ</w:t>
            </w:r>
            <w:r w:rsidR="00707A64">
              <w:rPr>
                <w:noProof/>
                <w:webHidden/>
              </w:rPr>
              <w:tab/>
            </w:r>
            <w:r w:rsidR="00707A64">
              <w:rPr>
                <w:noProof/>
                <w:webHidden/>
              </w:rPr>
              <w:fldChar w:fldCharType="begin"/>
            </w:r>
            <w:r w:rsidR="00707A64">
              <w:rPr>
                <w:noProof/>
                <w:webHidden/>
              </w:rPr>
              <w:instrText xml:space="preserve"> PAGEREF _Toc136879388 \h </w:instrText>
            </w:r>
            <w:r w:rsidR="00707A64">
              <w:rPr>
                <w:noProof/>
                <w:webHidden/>
              </w:rPr>
            </w:r>
            <w:r w:rsidR="00707A64">
              <w:rPr>
                <w:noProof/>
                <w:webHidden/>
              </w:rPr>
              <w:fldChar w:fldCharType="separate"/>
            </w:r>
            <w:r w:rsidR="00522AD3">
              <w:rPr>
                <w:noProof/>
                <w:webHidden/>
              </w:rPr>
              <w:t>70</w:t>
            </w:r>
            <w:r w:rsidR="00707A64">
              <w:rPr>
                <w:noProof/>
                <w:webHidden/>
              </w:rPr>
              <w:fldChar w:fldCharType="end"/>
            </w:r>
          </w:hyperlink>
        </w:p>
        <w:p w14:paraId="0ECB276F" w14:textId="18EF9404" w:rsidR="00707A64" w:rsidRDefault="00000000">
          <w:pPr>
            <w:pStyle w:val="TOC2"/>
            <w:rPr>
              <w:rFonts w:asciiTheme="minorHAnsi" w:eastAsiaTheme="minorEastAsia" w:hAnsiTheme="minorHAnsi" w:cstheme="minorBidi"/>
              <w:smallCaps w:val="0"/>
              <w:noProof/>
              <w:sz w:val="22"/>
              <w:szCs w:val="22"/>
              <w:lang w:val="fr-FR"/>
            </w:rPr>
          </w:pPr>
          <w:hyperlink w:anchor="_Toc136879389" w:history="1">
            <w:r w:rsidR="00707A64" w:rsidRPr="00CD7BC7">
              <w:rPr>
                <w:rStyle w:val="Hyperlink"/>
                <w:rFonts w:cstheme="minorHAnsi"/>
                <w:noProof/>
              </w:rPr>
              <w:t>E</w:t>
            </w:r>
            <w:r w:rsidR="003869FC">
              <w:rPr>
                <w:rStyle w:val="Hyperlink"/>
                <w:rFonts w:cstheme="minorHAnsi"/>
                <w:noProof/>
                <w:lang w:val="el-GR"/>
              </w:rPr>
              <w:t>ΠΙΒΟΛΗ ΚΑΙ ΜΕΤΡΑ</w:t>
            </w:r>
            <w:r w:rsidR="00707A64">
              <w:rPr>
                <w:noProof/>
                <w:webHidden/>
              </w:rPr>
              <w:tab/>
            </w:r>
            <w:r w:rsidR="00707A64">
              <w:rPr>
                <w:noProof/>
                <w:webHidden/>
              </w:rPr>
              <w:fldChar w:fldCharType="begin"/>
            </w:r>
            <w:r w:rsidR="00707A64">
              <w:rPr>
                <w:noProof/>
                <w:webHidden/>
              </w:rPr>
              <w:instrText xml:space="preserve"> PAGEREF _Toc136879389 \h </w:instrText>
            </w:r>
            <w:r w:rsidR="00707A64">
              <w:rPr>
                <w:noProof/>
                <w:webHidden/>
              </w:rPr>
            </w:r>
            <w:r w:rsidR="00707A64">
              <w:rPr>
                <w:noProof/>
                <w:webHidden/>
              </w:rPr>
              <w:fldChar w:fldCharType="separate"/>
            </w:r>
            <w:r w:rsidR="00522AD3">
              <w:rPr>
                <w:noProof/>
                <w:webHidden/>
              </w:rPr>
              <w:t>73</w:t>
            </w:r>
            <w:r w:rsidR="00707A64">
              <w:rPr>
                <w:noProof/>
                <w:webHidden/>
              </w:rPr>
              <w:fldChar w:fldCharType="end"/>
            </w:r>
          </w:hyperlink>
        </w:p>
        <w:p w14:paraId="22B47FFA" w14:textId="48674F3D" w:rsidR="00707A64" w:rsidRDefault="003869FC">
          <w:pPr>
            <w:pStyle w:val="TOC3"/>
            <w:rPr>
              <w:rFonts w:asciiTheme="minorHAnsi" w:eastAsiaTheme="minorEastAsia" w:hAnsiTheme="minorHAnsi" w:cstheme="minorBidi"/>
              <w:i w:val="0"/>
              <w:iCs w:val="0"/>
              <w:sz w:val="22"/>
              <w:szCs w:val="22"/>
              <w:lang w:val="fr-FR"/>
            </w:rPr>
          </w:pPr>
          <w:r>
            <w:rPr>
              <w:lang w:val="el-GR"/>
            </w:rPr>
            <w:t>Πειθαρχική διαδικασία</w:t>
          </w:r>
          <w:hyperlink w:anchor="_Toc136879390" w:history="1">
            <w:r w:rsidR="00707A64">
              <w:rPr>
                <w:webHidden/>
              </w:rPr>
              <w:tab/>
            </w:r>
            <w:r w:rsidR="00707A64">
              <w:rPr>
                <w:webHidden/>
              </w:rPr>
              <w:fldChar w:fldCharType="begin"/>
            </w:r>
            <w:r w:rsidR="00707A64">
              <w:rPr>
                <w:webHidden/>
              </w:rPr>
              <w:instrText xml:space="preserve"> PAGEREF _Toc136879390 \h </w:instrText>
            </w:r>
            <w:r w:rsidR="00707A64">
              <w:rPr>
                <w:webHidden/>
              </w:rPr>
            </w:r>
            <w:r w:rsidR="00707A64">
              <w:rPr>
                <w:webHidden/>
              </w:rPr>
              <w:fldChar w:fldCharType="separate"/>
            </w:r>
            <w:r w:rsidR="00522AD3">
              <w:rPr>
                <w:webHidden/>
              </w:rPr>
              <w:t>73</w:t>
            </w:r>
            <w:r w:rsidR="00707A64">
              <w:rPr>
                <w:webHidden/>
              </w:rPr>
              <w:fldChar w:fldCharType="end"/>
            </w:r>
          </w:hyperlink>
        </w:p>
        <w:p w14:paraId="019E6B92" w14:textId="42AFFB62" w:rsidR="00707A64" w:rsidRDefault="00000000">
          <w:pPr>
            <w:pStyle w:val="TOC3"/>
            <w:rPr>
              <w:rFonts w:asciiTheme="minorHAnsi" w:eastAsiaTheme="minorEastAsia" w:hAnsiTheme="minorHAnsi" w:cstheme="minorBidi"/>
              <w:i w:val="0"/>
              <w:iCs w:val="0"/>
              <w:sz w:val="22"/>
              <w:szCs w:val="22"/>
              <w:lang w:val="fr-FR"/>
            </w:rPr>
          </w:pPr>
          <w:hyperlink w:anchor="_Toc136879391" w:history="1">
            <w:r w:rsidR="003869FC">
              <w:rPr>
                <w:lang w:val="el-GR"/>
              </w:rPr>
              <w:t>Π</w:t>
            </w:r>
            <w:r w:rsidR="003869FC">
              <w:rPr>
                <w:rStyle w:val="Hyperlink"/>
                <w:lang w:val="el-GR"/>
              </w:rPr>
              <w:t>οινική διαδικασία</w:t>
            </w:r>
            <w:r w:rsidR="00707A64">
              <w:rPr>
                <w:webHidden/>
              </w:rPr>
              <w:tab/>
            </w:r>
            <w:r w:rsidR="00707A64">
              <w:rPr>
                <w:webHidden/>
              </w:rPr>
              <w:fldChar w:fldCharType="begin"/>
            </w:r>
            <w:r w:rsidR="00707A64">
              <w:rPr>
                <w:webHidden/>
              </w:rPr>
              <w:instrText xml:space="preserve"> PAGEREF _Toc136879391 \h </w:instrText>
            </w:r>
            <w:r w:rsidR="00707A64">
              <w:rPr>
                <w:webHidden/>
              </w:rPr>
            </w:r>
            <w:r w:rsidR="00707A64">
              <w:rPr>
                <w:webHidden/>
              </w:rPr>
              <w:fldChar w:fldCharType="separate"/>
            </w:r>
            <w:r w:rsidR="00522AD3">
              <w:rPr>
                <w:webHidden/>
              </w:rPr>
              <w:t>75</w:t>
            </w:r>
            <w:r w:rsidR="00707A64">
              <w:rPr>
                <w:webHidden/>
              </w:rPr>
              <w:fldChar w:fldCharType="end"/>
            </w:r>
          </w:hyperlink>
        </w:p>
        <w:p w14:paraId="35917A09" w14:textId="16FE2397" w:rsidR="00707A64" w:rsidRDefault="00000000">
          <w:pPr>
            <w:pStyle w:val="TOC1"/>
            <w:rPr>
              <w:rFonts w:asciiTheme="minorHAnsi" w:eastAsiaTheme="minorEastAsia" w:hAnsiTheme="minorHAnsi" w:cstheme="minorBidi"/>
              <w:b w:val="0"/>
              <w:bCs w:val="0"/>
              <w:caps w:val="0"/>
              <w:noProof/>
              <w:sz w:val="22"/>
              <w:szCs w:val="22"/>
              <w:lang w:val="fr-FR"/>
            </w:rPr>
          </w:pPr>
          <w:hyperlink w:anchor="_Toc136879392" w:history="1">
            <w:r w:rsidR="00707A64" w:rsidRPr="00CD7BC7">
              <w:rPr>
                <w:rStyle w:val="Hyperlink"/>
                <w:rFonts w:cstheme="minorHAnsi"/>
                <w:noProof/>
              </w:rPr>
              <w:t>VI.</w:t>
            </w:r>
            <w:r w:rsidR="00707A64">
              <w:rPr>
                <w:rFonts w:asciiTheme="minorHAnsi" w:eastAsiaTheme="minorEastAsia" w:hAnsiTheme="minorHAnsi" w:cstheme="minorBidi"/>
                <w:b w:val="0"/>
                <w:bCs w:val="0"/>
                <w:caps w:val="0"/>
                <w:noProof/>
                <w:sz w:val="22"/>
                <w:szCs w:val="22"/>
                <w:lang w:val="fr-FR"/>
              </w:rPr>
              <w:tab/>
            </w:r>
            <w:r w:rsidR="003869FC">
              <w:rPr>
                <w:rStyle w:val="Hyperlink"/>
                <w:rFonts w:cstheme="minorHAnsi"/>
                <w:noProof/>
                <w:lang w:val="el-GR"/>
              </w:rPr>
              <w:t>συστασεισ και παρακολουθηση</w:t>
            </w:r>
            <w:r w:rsidR="00707A64">
              <w:rPr>
                <w:noProof/>
                <w:webHidden/>
              </w:rPr>
              <w:tab/>
            </w:r>
            <w:r w:rsidR="00707A64">
              <w:rPr>
                <w:noProof/>
                <w:webHidden/>
              </w:rPr>
              <w:fldChar w:fldCharType="begin"/>
            </w:r>
            <w:r w:rsidR="00707A64">
              <w:rPr>
                <w:noProof/>
                <w:webHidden/>
              </w:rPr>
              <w:instrText xml:space="preserve"> PAGEREF _Toc136879392 \h </w:instrText>
            </w:r>
            <w:r w:rsidR="00707A64">
              <w:rPr>
                <w:noProof/>
                <w:webHidden/>
              </w:rPr>
            </w:r>
            <w:r w:rsidR="00707A64">
              <w:rPr>
                <w:noProof/>
                <w:webHidden/>
              </w:rPr>
              <w:fldChar w:fldCharType="separate"/>
            </w:r>
            <w:r w:rsidR="00522AD3">
              <w:rPr>
                <w:noProof/>
                <w:webHidden/>
              </w:rPr>
              <w:t>77</w:t>
            </w:r>
            <w:r w:rsidR="00707A64">
              <w:rPr>
                <w:noProof/>
                <w:webHidden/>
              </w:rPr>
              <w:fldChar w:fldCharType="end"/>
            </w:r>
          </w:hyperlink>
        </w:p>
        <w:p w14:paraId="29037560" w14:textId="19FD1E78" w:rsidR="00707A64" w:rsidRDefault="00707A64">
          <w:pPr>
            <w:pStyle w:val="TOC1"/>
            <w:rPr>
              <w:rFonts w:asciiTheme="minorHAnsi" w:eastAsiaTheme="minorEastAsia" w:hAnsiTheme="minorHAnsi" w:cstheme="minorBidi"/>
              <w:b w:val="0"/>
              <w:bCs w:val="0"/>
              <w:caps w:val="0"/>
              <w:noProof/>
              <w:sz w:val="22"/>
              <w:szCs w:val="22"/>
              <w:lang w:val="fr-FR"/>
            </w:rPr>
          </w:pPr>
        </w:p>
        <w:p w14:paraId="2175E7F8" w14:textId="04BABB78" w:rsidR="00FB38AB" w:rsidRPr="004E251E" w:rsidRDefault="002C554C" w:rsidP="00C561B9">
          <w:pPr>
            <w:pStyle w:val="TOC3"/>
          </w:pPr>
          <w:r w:rsidRPr="004E251E">
            <w:fldChar w:fldCharType="end"/>
          </w:r>
        </w:p>
      </w:sdtContent>
    </w:sdt>
    <w:bookmarkEnd w:id="3"/>
    <w:bookmarkEnd w:id="2"/>
    <w:bookmarkEnd w:id="1"/>
    <w:p w14:paraId="4350E245" w14:textId="77777777" w:rsidR="00FB38AB" w:rsidRPr="004E251E" w:rsidRDefault="00FB38AB" w:rsidP="0010115C">
      <w:pPr>
        <w:tabs>
          <w:tab w:val="left" w:pos="709"/>
        </w:tabs>
        <w:rPr>
          <w:rFonts w:eastAsia="Times New Roman"/>
          <w:b/>
          <w:bCs/>
          <w:sz w:val="20"/>
          <w:szCs w:val="20"/>
          <w:lang w:eastAsia="fr-FR"/>
        </w:rPr>
      </w:pPr>
      <w:r w:rsidRPr="004E251E">
        <w:rPr>
          <w:sz w:val="20"/>
          <w:szCs w:val="20"/>
        </w:rPr>
        <w:br w:type="page"/>
      </w:r>
    </w:p>
    <w:p w14:paraId="0EF1849C" w14:textId="390C8751" w:rsidR="00A5147D" w:rsidRPr="00871911" w:rsidRDefault="00A5147D" w:rsidP="00A5147D">
      <w:pPr>
        <w:pStyle w:val="Heading1"/>
        <w:tabs>
          <w:tab w:val="left" w:pos="709"/>
        </w:tabs>
        <w:spacing w:before="0"/>
        <w:rPr>
          <w:rFonts w:asciiTheme="minorHAnsi" w:hAnsiTheme="minorHAnsi"/>
          <w:color w:val="auto"/>
          <w:sz w:val="24"/>
          <w:szCs w:val="24"/>
          <w:lang w:val="el-GR"/>
        </w:rPr>
      </w:pPr>
      <w:bookmarkStart w:id="4" w:name="_Toc136879334"/>
      <w:bookmarkStart w:id="5" w:name="_Toc342554299"/>
      <w:bookmarkStart w:id="6" w:name="_Toc342640974"/>
      <w:r w:rsidRPr="004E251E">
        <w:rPr>
          <w:rFonts w:asciiTheme="minorHAnsi" w:hAnsiTheme="minorHAnsi"/>
          <w:color w:val="auto"/>
          <w:sz w:val="24"/>
          <w:szCs w:val="24"/>
        </w:rPr>
        <w:lastRenderedPageBreak/>
        <w:t>I.</w:t>
      </w:r>
      <w:r w:rsidRPr="004E251E">
        <w:rPr>
          <w:rFonts w:asciiTheme="minorHAnsi" w:hAnsiTheme="minorHAnsi"/>
          <w:color w:val="auto"/>
          <w:sz w:val="24"/>
          <w:szCs w:val="24"/>
        </w:rPr>
        <w:tab/>
      </w:r>
      <w:r w:rsidR="00A75FF4">
        <w:rPr>
          <w:rFonts w:asciiTheme="minorHAnsi" w:hAnsiTheme="minorHAnsi"/>
          <w:color w:val="auto"/>
          <w:sz w:val="24"/>
          <w:szCs w:val="24"/>
          <w:u w:val="single"/>
          <w:lang w:val="el-GR"/>
        </w:rPr>
        <w:t xml:space="preserve">ΠΕΡΙΛΗΨΗ ΚΥΡΙΟΤΕΡΩΝ ΣΗΜΕΙΩΝ </w:t>
      </w:r>
      <w:bookmarkEnd w:id="4"/>
    </w:p>
    <w:p w14:paraId="62791602" w14:textId="77777777" w:rsidR="00A5147D" w:rsidRPr="004E251E" w:rsidRDefault="00A5147D" w:rsidP="00A5147D">
      <w:pPr>
        <w:tabs>
          <w:tab w:val="left" w:pos="709"/>
        </w:tabs>
        <w:rPr>
          <w:rFonts w:cstheme="minorHAnsi"/>
          <w:color w:val="000000"/>
          <w:sz w:val="24"/>
          <w:szCs w:val="24"/>
        </w:rPr>
      </w:pPr>
    </w:p>
    <w:p w14:paraId="5A4E338D" w14:textId="4CBE88F4" w:rsidR="00A5147D" w:rsidRPr="00850BF3" w:rsidRDefault="00871911" w:rsidP="00A5147D">
      <w:pPr>
        <w:numPr>
          <w:ilvl w:val="0"/>
          <w:numId w:val="1"/>
        </w:numPr>
        <w:tabs>
          <w:tab w:val="left" w:pos="709"/>
        </w:tabs>
        <w:ind w:left="0" w:firstLine="0"/>
        <w:rPr>
          <w:rFonts w:cstheme="minorHAnsi"/>
          <w:color w:val="000000"/>
          <w:sz w:val="24"/>
          <w:szCs w:val="24"/>
          <w:lang w:val="el-GR"/>
        </w:rPr>
      </w:pPr>
      <w:bookmarkStart w:id="7" w:name="_Hlk94868002"/>
      <w:bookmarkStart w:id="8" w:name="_Toc329187446"/>
      <w:r>
        <w:rPr>
          <w:rFonts w:cstheme="minorHAnsi"/>
          <w:color w:val="000000"/>
          <w:sz w:val="24"/>
          <w:szCs w:val="24"/>
          <w:lang w:val="el-GR"/>
        </w:rPr>
        <w:t>Η</w:t>
      </w:r>
      <w:r w:rsidRPr="00871911">
        <w:rPr>
          <w:rFonts w:cstheme="minorHAnsi"/>
          <w:color w:val="000000"/>
          <w:sz w:val="24"/>
          <w:szCs w:val="24"/>
          <w:lang w:val="el-GR"/>
        </w:rPr>
        <w:t xml:space="preserve"> </w:t>
      </w:r>
      <w:r>
        <w:rPr>
          <w:rFonts w:cstheme="minorHAnsi"/>
          <w:color w:val="000000"/>
          <w:sz w:val="24"/>
          <w:szCs w:val="24"/>
          <w:lang w:val="el-GR"/>
        </w:rPr>
        <w:t>έκθεση</w:t>
      </w:r>
      <w:r w:rsidRPr="00871911">
        <w:rPr>
          <w:rFonts w:cstheme="minorHAnsi"/>
          <w:color w:val="000000"/>
          <w:sz w:val="24"/>
          <w:szCs w:val="24"/>
          <w:lang w:val="el-GR"/>
        </w:rPr>
        <w:t xml:space="preserve"> </w:t>
      </w:r>
      <w:r>
        <w:rPr>
          <w:rFonts w:cstheme="minorHAnsi"/>
          <w:color w:val="000000"/>
          <w:sz w:val="24"/>
          <w:szCs w:val="24"/>
          <w:lang w:val="el-GR"/>
        </w:rPr>
        <w:t>αυτή</w:t>
      </w:r>
      <w:r w:rsidRPr="00871911">
        <w:rPr>
          <w:rFonts w:cstheme="minorHAnsi"/>
          <w:color w:val="000000"/>
          <w:sz w:val="24"/>
          <w:szCs w:val="24"/>
          <w:lang w:val="el-GR"/>
        </w:rPr>
        <w:t xml:space="preserve"> </w:t>
      </w:r>
      <w:r>
        <w:rPr>
          <w:rFonts w:cstheme="minorHAnsi"/>
          <w:color w:val="000000"/>
          <w:sz w:val="24"/>
          <w:szCs w:val="24"/>
          <w:lang w:val="el-GR"/>
        </w:rPr>
        <w:t>αξιολογεί</w:t>
      </w:r>
      <w:r w:rsidRPr="00871911">
        <w:rPr>
          <w:rFonts w:cstheme="minorHAnsi"/>
          <w:color w:val="000000"/>
          <w:sz w:val="24"/>
          <w:szCs w:val="24"/>
          <w:lang w:val="el-GR"/>
        </w:rPr>
        <w:t xml:space="preserve"> </w:t>
      </w:r>
      <w:r>
        <w:rPr>
          <w:rFonts w:cstheme="minorHAnsi"/>
          <w:color w:val="000000"/>
          <w:sz w:val="24"/>
          <w:szCs w:val="24"/>
          <w:lang w:val="el-GR"/>
        </w:rPr>
        <w:t>την</w:t>
      </w:r>
      <w:r w:rsidRPr="00871911">
        <w:rPr>
          <w:rFonts w:cstheme="minorHAnsi"/>
          <w:color w:val="000000"/>
          <w:sz w:val="24"/>
          <w:szCs w:val="24"/>
          <w:lang w:val="el-GR"/>
        </w:rPr>
        <w:t xml:space="preserve"> </w:t>
      </w:r>
      <w:r>
        <w:rPr>
          <w:rFonts w:cstheme="minorHAnsi"/>
          <w:color w:val="000000"/>
          <w:sz w:val="24"/>
          <w:szCs w:val="24"/>
          <w:lang w:val="el-GR"/>
        </w:rPr>
        <w:t>αποτελεσματικότητα</w:t>
      </w:r>
      <w:r w:rsidRPr="00871911">
        <w:rPr>
          <w:rFonts w:cstheme="minorHAnsi"/>
          <w:color w:val="000000"/>
          <w:sz w:val="24"/>
          <w:szCs w:val="24"/>
          <w:lang w:val="el-GR"/>
        </w:rPr>
        <w:t xml:space="preserve"> </w:t>
      </w:r>
      <w:r>
        <w:rPr>
          <w:rFonts w:cstheme="minorHAnsi"/>
          <w:color w:val="000000"/>
          <w:sz w:val="24"/>
          <w:szCs w:val="24"/>
          <w:lang w:val="el-GR"/>
        </w:rPr>
        <w:t>του</w:t>
      </w:r>
      <w:r w:rsidRPr="00871911">
        <w:rPr>
          <w:rFonts w:cstheme="minorHAnsi"/>
          <w:color w:val="000000"/>
          <w:sz w:val="24"/>
          <w:szCs w:val="24"/>
          <w:lang w:val="el-GR"/>
        </w:rPr>
        <w:t xml:space="preserve"> </w:t>
      </w:r>
      <w:r>
        <w:rPr>
          <w:rFonts w:cstheme="minorHAnsi"/>
          <w:color w:val="000000"/>
          <w:sz w:val="24"/>
          <w:szCs w:val="24"/>
          <w:lang w:val="el-GR"/>
        </w:rPr>
        <w:t>πλαισίου</w:t>
      </w:r>
      <w:r w:rsidRPr="00871911">
        <w:rPr>
          <w:rFonts w:cstheme="minorHAnsi"/>
          <w:color w:val="000000"/>
          <w:sz w:val="24"/>
          <w:szCs w:val="24"/>
          <w:lang w:val="el-GR"/>
        </w:rPr>
        <w:t xml:space="preserve"> </w:t>
      </w:r>
      <w:r>
        <w:rPr>
          <w:rFonts w:cstheme="minorHAnsi"/>
          <w:color w:val="000000"/>
          <w:sz w:val="24"/>
          <w:szCs w:val="24"/>
          <w:lang w:val="el-GR"/>
        </w:rPr>
        <w:t>που</w:t>
      </w:r>
      <w:r w:rsidRPr="00871911">
        <w:rPr>
          <w:rFonts w:cstheme="minorHAnsi"/>
          <w:color w:val="000000"/>
          <w:sz w:val="24"/>
          <w:szCs w:val="24"/>
          <w:lang w:val="el-GR"/>
        </w:rPr>
        <w:t xml:space="preserve"> </w:t>
      </w:r>
      <w:r>
        <w:rPr>
          <w:rFonts w:cstheme="minorHAnsi"/>
          <w:color w:val="000000"/>
          <w:sz w:val="24"/>
          <w:szCs w:val="24"/>
          <w:lang w:val="el-GR"/>
        </w:rPr>
        <w:t>υπάρχει</w:t>
      </w:r>
      <w:r w:rsidRPr="00871911">
        <w:rPr>
          <w:rFonts w:cstheme="minorHAnsi"/>
          <w:color w:val="000000"/>
          <w:sz w:val="24"/>
          <w:szCs w:val="24"/>
          <w:lang w:val="el-GR"/>
        </w:rPr>
        <w:t xml:space="preserve"> </w:t>
      </w:r>
      <w:r>
        <w:rPr>
          <w:rFonts w:cstheme="minorHAnsi"/>
          <w:color w:val="000000"/>
          <w:sz w:val="24"/>
          <w:szCs w:val="24"/>
          <w:lang w:val="el-GR"/>
        </w:rPr>
        <w:t>στην</w:t>
      </w:r>
      <w:r w:rsidRPr="00871911">
        <w:rPr>
          <w:rFonts w:cstheme="minorHAnsi"/>
          <w:color w:val="000000"/>
          <w:sz w:val="24"/>
          <w:szCs w:val="24"/>
          <w:lang w:val="el-GR"/>
        </w:rPr>
        <w:t xml:space="preserve"> </w:t>
      </w:r>
      <w:r>
        <w:rPr>
          <w:rFonts w:cstheme="minorHAnsi"/>
          <w:color w:val="000000"/>
          <w:sz w:val="24"/>
          <w:szCs w:val="24"/>
          <w:lang w:val="el-GR"/>
        </w:rPr>
        <w:t>Κύπρο</w:t>
      </w:r>
      <w:r w:rsidR="00A5147D" w:rsidRPr="00871911">
        <w:rPr>
          <w:rFonts w:cstheme="minorHAnsi"/>
          <w:color w:val="000000"/>
          <w:sz w:val="24"/>
          <w:szCs w:val="24"/>
          <w:lang w:val="el-GR"/>
        </w:rPr>
        <w:t xml:space="preserve"> </w:t>
      </w:r>
      <w:r>
        <w:rPr>
          <w:rFonts w:cstheme="minorHAnsi"/>
          <w:color w:val="000000"/>
          <w:sz w:val="24"/>
          <w:szCs w:val="24"/>
          <w:lang w:val="el-GR"/>
        </w:rPr>
        <w:t>για</w:t>
      </w:r>
      <w:r w:rsidRPr="00871911">
        <w:rPr>
          <w:rFonts w:cstheme="minorHAnsi"/>
          <w:color w:val="000000"/>
          <w:sz w:val="24"/>
          <w:szCs w:val="24"/>
          <w:lang w:val="el-GR"/>
        </w:rPr>
        <w:t xml:space="preserve"> </w:t>
      </w:r>
      <w:r>
        <w:rPr>
          <w:rFonts w:cstheme="minorHAnsi"/>
          <w:color w:val="000000"/>
          <w:sz w:val="24"/>
          <w:szCs w:val="24"/>
          <w:lang w:val="el-GR"/>
        </w:rPr>
        <w:t>την</w:t>
      </w:r>
      <w:r w:rsidRPr="00871911">
        <w:rPr>
          <w:rFonts w:cstheme="minorHAnsi"/>
          <w:color w:val="000000"/>
          <w:sz w:val="24"/>
          <w:szCs w:val="24"/>
          <w:lang w:val="el-GR"/>
        </w:rPr>
        <w:t xml:space="preserve"> </w:t>
      </w:r>
      <w:r w:rsidR="00F27FF2">
        <w:rPr>
          <w:rFonts w:cstheme="minorHAnsi"/>
          <w:color w:val="000000"/>
          <w:sz w:val="24"/>
          <w:szCs w:val="24"/>
          <w:lang w:val="el-GR"/>
        </w:rPr>
        <w:t xml:space="preserve">πρόληψη </w:t>
      </w:r>
      <w:r>
        <w:rPr>
          <w:rFonts w:cstheme="minorHAnsi"/>
          <w:color w:val="000000"/>
          <w:sz w:val="24"/>
          <w:szCs w:val="24"/>
          <w:lang w:val="el-GR"/>
        </w:rPr>
        <w:t>της</w:t>
      </w:r>
      <w:r w:rsidRPr="00871911">
        <w:rPr>
          <w:rFonts w:cstheme="minorHAnsi"/>
          <w:color w:val="000000"/>
          <w:sz w:val="24"/>
          <w:szCs w:val="24"/>
          <w:lang w:val="el-GR"/>
        </w:rPr>
        <w:t xml:space="preserve"> </w:t>
      </w:r>
      <w:r>
        <w:rPr>
          <w:rFonts w:cstheme="minorHAnsi"/>
          <w:color w:val="000000"/>
          <w:sz w:val="24"/>
          <w:szCs w:val="24"/>
          <w:lang w:val="el-GR"/>
        </w:rPr>
        <w:t>διαφθοράς</w:t>
      </w:r>
      <w:r w:rsidR="00A5147D" w:rsidRPr="00871911">
        <w:rPr>
          <w:rFonts w:cstheme="minorHAnsi"/>
          <w:color w:val="000000"/>
          <w:sz w:val="24"/>
          <w:szCs w:val="24"/>
          <w:lang w:val="el-GR"/>
        </w:rPr>
        <w:t xml:space="preserve"> </w:t>
      </w:r>
      <w:r>
        <w:rPr>
          <w:rFonts w:cstheme="minorHAnsi"/>
          <w:color w:val="000000"/>
          <w:sz w:val="24"/>
          <w:szCs w:val="24"/>
          <w:lang w:val="el-GR"/>
        </w:rPr>
        <w:t>ανάμεσα σ</w:t>
      </w:r>
      <w:r w:rsidR="00B0023B">
        <w:rPr>
          <w:rFonts w:cstheme="minorHAnsi"/>
          <w:color w:val="000000"/>
          <w:sz w:val="24"/>
          <w:szCs w:val="24"/>
          <w:lang w:val="el-GR"/>
        </w:rPr>
        <w:t>τα</w:t>
      </w:r>
      <w:r>
        <w:rPr>
          <w:rFonts w:cstheme="minorHAnsi"/>
          <w:color w:val="000000"/>
          <w:sz w:val="24"/>
          <w:szCs w:val="24"/>
          <w:lang w:val="el-GR"/>
        </w:rPr>
        <w:t xml:space="preserve"> άτομα </w:t>
      </w:r>
      <w:r w:rsidR="00B0023B">
        <w:rPr>
          <w:rFonts w:cstheme="minorHAnsi"/>
          <w:color w:val="000000"/>
          <w:sz w:val="24"/>
          <w:szCs w:val="24"/>
          <w:lang w:val="el-GR"/>
        </w:rPr>
        <w:t xml:space="preserve">τα οποία ασκούν ανώτατα εκτελεστικά καθήκοντα </w:t>
      </w:r>
      <w:r w:rsidR="00850BF3">
        <w:rPr>
          <w:rFonts w:cstheme="minorHAnsi"/>
          <w:color w:val="000000"/>
          <w:sz w:val="24"/>
          <w:szCs w:val="24"/>
          <w:lang w:val="el-GR"/>
        </w:rPr>
        <w:t>(</w:t>
      </w:r>
      <w:r w:rsidR="00B0023B">
        <w:rPr>
          <w:rFonts w:cstheme="minorHAnsi"/>
          <w:color w:val="000000"/>
          <w:sz w:val="24"/>
          <w:szCs w:val="24"/>
          <w:lang w:val="en-US"/>
        </w:rPr>
        <w:t>PTEFs</w:t>
      </w:r>
      <w:r w:rsidR="00850BF3">
        <w:rPr>
          <w:rFonts w:cstheme="minorHAnsi"/>
          <w:color w:val="000000"/>
          <w:sz w:val="24"/>
          <w:szCs w:val="24"/>
          <w:lang w:val="el-GR"/>
        </w:rPr>
        <w:t xml:space="preserve">) </w:t>
      </w:r>
      <w:r w:rsidR="00BD5EB5">
        <w:rPr>
          <w:rFonts w:cstheme="minorHAnsi"/>
          <w:color w:val="000000"/>
          <w:sz w:val="24"/>
          <w:szCs w:val="24"/>
          <w:lang w:val="el-GR"/>
        </w:rPr>
        <w:t xml:space="preserve">και </w:t>
      </w:r>
      <w:r w:rsidR="00B0023B">
        <w:rPr>
          <w:rFonts w:cstheme="minorHAnsi"/>
          <w:color w:val="000000"/>
          <w:sz w:val="24"/>
          <w:szCs w:val="24"/>
          <w:lang w:val="el-GR"/>
        </w:rPr>
        <w:t xml:space="preserve">στους </w:t>
      </w:r>
      <w:r w:rsidR="00850BF3">
        <w:rPr>
          <w:rFonts w:cstheme="minorHAnsi"/>
          <w:color w:val="000000"/>
          <w:sz w:val="24"/>
          <w:szCs w:val="24"/>
          <w:lang w:val="el-GR"/>
        </w:rPr>
        <w:t>αξιωματούχους επιβολής του νόμου (</w:t>
      </w:r>
      <w:r w:rsidR="00B0023B">
        <w:rPr>
          <w:rFonts w:cstheme="minorHAnsi"/>
          <w:color w:val="000000"/>
          <w:sz w:val="24"/>
          <w:szCs w:val="24"/>
          <w:lang w:val="en-US"/>
        </w:rPr>
        <w:t>LEO</w:t>
      </w:r>
      <w:r w:rsidR="00850BF3">
        <w:rPr>
          <w:rFonts w:cstheme="minorHAnsi"/>
          <w:color w:val="000000"/>
          <w:sz w:val="24"/>
          <w:szCs w:val="24"/>
          <w:lang w:val="el-GR"/>
        </w:rPr>
        <w:t>)</w:t>
      </w:r>
      <w:r w:rsidR="00A5147D" w:rsidRPr="00871911">
        <w:rPr>
          <w:rFonts w:cstheme="minorHAnsi"/>
          <w:color w:val="000000"/>
          <w:sz w:val="24"/>
          <w:szCs w:val="24"/>
          <w:lang w:val="el-GR"/>
        </w:rPr>
        <w:t xml:space="preserve">. </w:t>
      </w:r>
      <w:r w:rsidR="00850BF3">
        <w:rPr>
          <w:rFonts w:cstheme="minorHAnsi"/>
          <w:color w:val="000000"/>
          <w:sz w:val="24"/>
          <w:szCs w:val="24"/>
          <w:lang w:val="el-GR"/>
        </w:rPr>
        <w:t>Έχει</w:t>
      </w:r>
      <w:r w:rsidR="00850BF3" w:rsidRPr="00850BF3">
        <w:rPr>
          <w:rFonts w:cstheme="minorHAnsi"/>
          <w:color w:val="000000"/>
          <w:sz w:val="24"/>
          <w:szCs w:val="24"/>
          <w:lang w:val="el-GR"/>
        </w:rPr>
        <w:t xml:space="preserve"> </w:t>
      </w:r>
      <w:r w:rsidR="00850BF3">
        <w:rPr>
          <w:rFonts w:cstheme="minorHAnsi"/>
          <w:color w:val="000000"/>
          <w:sz w:val="24"/>
          <w:szCs w:val="24"/>
          <w:lang w:val="el-GR"/>
        </w:rPr>
        <w:t>σκοπό</w:t>
      </w:r>
      <w:r w:rsidR="00850BF3" w:rsidRPr="00850BF3">
        <w:rPr>
          <w:rFonts w:cstheme="minorHAnsi"/>
          <w:color w:val="000000"/>
          <w:sz w:val="24"/>
          <w:szCs w:val="24"/>
          <w:lang w:val="el-GR"/>
        </w:rPr>
        <w:t xml:space="preserve"> </w:t>
      </w:r>
      <w:r w:rsidR="00850BF3">
        <w:rPr>
          <w:rFonts w:cstheme="minorHAnsi"/>
          <w:color w:val="000000"/>
          <w:sz w:val="24"/>
          <w:szCs w:val="24"/>
          <w:lang w:val="el-GR"/>
        </w:rPr>
        <w:t>την</w:t>
      </w:r>
      <w:r w:rsidR="00850BF3" w:rsidRPr="00850BF3">
        <w:rPr>
          <w:rFonts w:cstheme="minorHAnsi"/>
          <w:color w:val="000000"/>
          <w:sz w:val="24"/>
          <w:szCs w:val="24"/>
          <w:lang w:val="el-GR"/>
        </w:rPr>
        <w:t xml:space="preserve"> </w:t>
      </w:r>
      <w:r w:rsidR="00B0023B" w:rsidRPr="002B7C4B">
        <w:rPr>
          <w:rFonts w:cstheme="minorHAnsi"/>
          <w:color w:val="000000"/>
          <w:sz w:val="24"/>
          <w:szCs w:val="24"/>
          <w:lang w:val="el-GR"/>
        </w:rPr>
        <w:t>υπο</w:t>
      </w:r>
      <w:r w:rsidR="00850BF3">
        <w:rPr>
          <w:rFonts w:cstheme="minorHAnsi"/>
          <w:color w:val="000000"/>
          <w:sz w:val="24"/>
          <w:szCs w:val="24"/>
          <w:lang w:val="el-GR"/>
        </w:rPr>
        <w:t>στήριξη</w:t>
      </w:r>
      <w:r w:rsidR="00850BF3" w:rsidRPr="00850BF3">
        <w:rPr>
          <w:rFonts w:cstheme="minorHAnsi"/>
          <w:color w:val="000000"/>
          <w:sz w:val="24"/>
          <w:szCs w:val="24"/>
          <w:lang w:val="el-GR"/>
        </w:rPr>
        <w:t xml:space="preserve"> </w:t>
      </w:r>
      <w:r w:rsidR="00850BF3">
        <w:rPr>
          <w:rFonts w:cstheme="minorHAnsi"/>
          <w:color w:val="000000"/>
          <w:sz w:val="24"/>
          <w:szCs w:val="24"/>
          <w:lang w:val="el-GR"/>
        </w:rPr>
        <w:t>της</w:t>
      </w:r>
      <w:r w:rsidR="00850BF3" w:rsidRPr="00850BF3">
        <w:rPr>
          <w:rFonts w:cstheme="minorHAnsi"/>
          <w:color w:val="000000"/>
          <w:sz w:val="24"/>
          <w:szCs w:val="24"/>
          <w:lang w:val="el-GR"/>
        </w:rPr>
        <w:t xml:space="preserve"> </w:t>
      </w:r>
      <w:r w:rsidR="00850BF3">
        <w:rPr>
          <w:rFonts w:cstheme="minorHAnsi"/>
          <w:color w:val="000000"/>
          <w:sz w:val="24"/>
          <w:szCs w:val="24"/>
          <w:lang w:val="el-GR"/>
        </w:rPr>
        <w:t>χώρας</w:t>
      </w:r>
      <w:r w:rsidR="00850BF3" w:rsidRPr="00850BF3">
        <w:rPr>
          <w:rFonts w:cstheme="minorHAnsi"/>
          <w:color w:val="000000"/>
          <w:sz w:val="24"/>
          <w:szCs w:val="24"/>
          <w:lang w:val="el-GR"/>
        </w:rPr>
        <w:t xml:space="preserve"> </w:t>
      </w:r>
      <w:r w:rsidR="00B0023B">
        <w:rPr>
          <w:rFonts w:cstheme="minorHAnsi"/>
          <w:color w:val="000000"/>
          <w:sz w:val="24"/>
          <w:szCs w:val="24"/>
          <w:lang w:val="el-GR"/>
        </w:rPr>
        <w:t xml:space="preserve">στην </w:t>
      </w:r>
      <w:r w:rsidR="00850BF3">
        <w:rPr>
          <w:rFonts w:cstheme="minorHAnsi"/>
          <w:color w:val="000000"/>
          <w:sz w:val="24"/>
          <w:szCs w:val="24"/>
          <w:lang w:val="el-GR"/>
        </w:rPr>
        <w:t>ενίσχυση</w:t>
      </w:r>
      <w:r w:rsidR="00850BF3" w:rsidRPr="00850BF3">
        <w:rPr>
          <w:rFonts w:cstheme="minorHAnsi"/>
          <w:color w:val="000000"/>
          <w:sz w:val="24"/>
          <w:szCs w:val="24"/>
          <w:lang w:val="el-GR"/>
        </w:rPr>
        <w:t xml:space="preserve"> </w:t>
      </w:r>
      <w:r w:rsidR="00850BF3">
        <w:rPr>
          <w:rFonts w:cstheme="minorHAnsi"/>
          <w:color w:val="000000"/>
          <w:sz w:val="24"/>
          <w:szCs w:val="24"/>
          <w:lang w:val="el-GR"/>
        </w:rPr>
        <w:t>της</w:t>
      </w:r>
      <w:r w:rsidR="00850BF3" w:rsidRPr="00850BF3">
        <w:rPr>
          <w:rFonts w:cstheme="minorHAnsi"/>
          <w:color w:val="000000"/>
          <w:sz w:val="24"/>
          <w:szCs w:val="24"/>
          <w:lang w:val="el-GR"/>
        </w:rPr>
        <w:t xml:space="preserve"> </w:t>
      </w:r>
      <w:r w:rsidR="00850BF3">
        <w:rPr>
          <w:rFonts w:cstheme="minorHAnsi"/>
          <w:color w:val="000000"/>
          <w:sz w:val="24"/>
          <w:szCs w:val="24"/>
          <w:lang w:val="el-GR"/>
        </w:rPr>
        <w:t>διαφάνειας</w:t>
      </w:r>
      <w:r w:rsidR="00A5147D" w:rsidRPr="00850BF3">
        <w:rPr>
          <w:rFonts w:cstheme="minorHAnsi"/>
          <w:color w:val="000000"/>
          <w:sz w:val="24"/>
          <w:szCs w:val="24"/>
          <w:lang w:val="el-GR"/>
        </w:rPr>
        <w:t xml:space="preserve">, </w:t>
      </w:r>
      <w:r w:rsidR="00850BF3">
        <w:rPr>
          <w:rFonts w:cstheme="minorHAnsi"/>
          <w:color w:val="000000"/>
          <w:sz w:val="24"/>
          <w:szCs w:val="24"/>
          <w:lang w:val="el-GR"/>
        </w:rPr>
        <w:t>της ακεραιότητας</w:t>
      </w:r>
      <w:r w:rsidR="00A5147D" w:rsidRPr="00850BF3">
        <w:rPr>
          <w:rFonts w:cstheme="minorHAnsi"/>
          <w:color w:val="000000"/>
          <w:sz w:val="24"/>
          <w:szCs w:val="24"/>
          <w:lang w:val="el-GR"/>
        </w:rPr>
        <w:t xml:space="preserve">, </w:t>
      </w:r>
      <w:r w:rsidR="00850BF3">
        <w:rPr>
          <w:rFonts w:cstheme="minorHAnsi"/>
          <w:color w:val="000000"/>
          <w:sz w:val="24"/>
          <w:szCs w:val="24"/>
          <w:lang w:val="el-GR"/>
        </w:rPr>
        <w:t>και της λογοδοσίας στη δημόσια ζωή</w:t>
      </w:r>
      <w:r w:rsidR="00A5147D" w:rsidRPr="00850BF3">
        <w:rPr>
          <w:rFonts w:cstheme="minorHAnsi"/>
          <w:color w:val="000000"/>
          <w:sz w:val="24"/>
          <w:szCs w:val="24"/>
          <w:lang w:val="el-GR"/>
        </w:rPr>
        <w:t xml:space="preserve">, </w:t>
      </w:r>
      <w:r w:rsidR="00850BF3">
        <w:rPr>
          <w:rFonts w:cstheme="minorHAnsi"/>
          <w:color w:val="000000"/>
          <w:sz w:val="24"/>
          <w:szCs w:val="24"/>
          <w:lang w:val="el-GR"/>
        </w:rPr>
        <w:t xml:space="preserve">ευθυγραμμισμένη με τα πρότυπα της </w:t>
      </w:r>
      <w:r w:rsidR="00A5147D" w:rsidRPr="00B95983">
        <w:rPr>
          <w:rFonts w:cstheme="minorHAnsi"/>
          <w:color w:val="000000"/>
          <w:sz w:val="24"/>
          <w:szCs w:val="24"/>
        </w:rPr>
        <w:t>GRECO</w:t>
      </w:r>
      <w:r w:rsidR="00A5147D" w:rsidRPr="00850BF3">
        <w:rPr>
          <w:rFonts w:cstheme="minorHAnsi"/>
          <w:color w:val="000000"/>
          <w:sz w:val="24"/>
          <w:szCs w:val="24"/>
          <w:lang w:val="el-GR"/>
        </w:rPr>
        <w:t xml:space="preserve">. </w:t>
      </w:r>
    </w:p>
    <w:p w14:paraId="051C867D" w14:textId="77777777" w:rsidR="00A5147D" w:rsidRPr="00850BF3" w:rsidRDefault="00A5147D" w:rsidP="00A5147D">
      <w:pPr>
        <w:tabs>
          <w:tab w:val="left" w:pos="709"/>
        </w:tabs>
        <w:rPr>
          <w:rFonts w:cstheme="minorHAnsi"/>
          <w:color w:val="000000"/>
          <w:sz w:val="24"/>
          <w:szCs w:val="24"/>
          <w:lang w:val="el-GR"/>
        </w:rPr>
      </w:pPr>
    </w:p>
    <w:p w14:paraId="326009DB" w14:textId="47262423" w:rsidR="00A5147D" w:rsidRPr="00485A05" w:rsidRDefault="00850BF3" w:rsidP="00A5147D">
      <w:pPr>
        <w:numPr>
          <w:ilvl w:val="0"/>
          <w:numId w:val="1"/>
        </w:numPr>
        <w:tabs>
          <w:tab w:val="left" w:pos="709"/>
        </w:tabs>
        <w:ind w:left="0" w:firstLine="0"/>
        <w:rPr>
          <w:rFonts w:cstheme="minorHAnsi"/>
          <w:color w:val="000000"/>
          <w:sz w:val="24"/>
          <w:szCs w:val="24"/>
          <w:lang w:val="el-GR"/>
        </w:rPr>
      </w:pPr>
      <w:r>
        <w:rPr>
          <w:rFonts w:cstheme="minorHAnsi"/>
          <w:color w:val="000000"/>
          <w:sz w:val="24"/>
          <w:szCs w:val="24"/>
          <w:lang w:val="el-GR"/>
        </w:rPr>
        <w:t>Η</w:t>
      </w:r>
      <w:r w:rsidRPr="00850BF3">
        <w:rPr>
          <w:rFonts w:cstheme="minorHAnsi"/>
          <w:color w:val="000000"/>
          <w:sz w:val="24"/>
          <w:szCs w:val="24"/>
          <w:lang w:val="el-GR"/>
        </w:rPr>
        <w:t xml:space="preserve"> </w:t>
      </w:r>
      <w:r>
        <w:rPr>
          <w:rFonts w:cstheme="minorHAnsi"/>
          <w:color w:val="000000"/>
          <w:sz w:val="24"/>
          <w:szCs w:val="24"/>
          <w:lang w:val="el-GR"/>
        </w:rPr>
        <w:t>διαφθορά</w:t>
      </w:r>
      <w:r w:rsidRPr="00850BF3">
        <w:rPr>
          <w:rFonts w:cstheme="minorHAnsi"/>
          <w:color w:val="000000"/>
          <w:sz w:val="24"/>
          <w:szCs w:val="24"/>
          <w:lang w:val="el-GR"/>
        </w:rPr>
        <w:t xml:space="preserve"> </w:t>
      </w:r>
      <w:r w:rsidR="00973266">
        <w:rPr>
          <w:rFonts w:cstheme="minorHAnsi"/>
          <w:color w:val="000000"/>
          <w:sz w:val="24"/>
          <w:szCs w:val="24"/>
          <w:lang w:val="el-GR"/>
        </w:rPr>
        <w:t>αποτελεί</w:t>
      </w:r>
      <w:r w:rsidR="00F27FF2">
        <w:rPr>
          <w:rFonts w:cstheme="minorHAnsi"/>
          <w:color w:val="000000"/>
          <w:sz w:val="24"/>
          <w:szCs w:val="24"/>
          <w:lang w:val="el-GR"/>
        </w:rPr>
        <w:t xml:space="preserve"> σοβαρό ζήτημα </w:t>
      </w:r>
      <w:r>
        <w:rPr>
          <w:rFonts w:cstheme="minorHAnsi"/>
          <w:color w:val="000000"/>
          <w:sz w:val="24"/>
          <w:szCs w:val="24"/>
          <w:lang w:val="el-GR"/>
        </w:rPr>
        <w:t>για</w:t>
      </w:r>
      <w:r w:rsidRPr="00850BF3">
        <w:rPr>
          <w:rFonts w:cstheme="minorHAnsi"/>
          <w:color w:val="000000"/>
          <w:sz w:val="24"/>
          <w:szCs w:val="24"/>
          <w:lang w:val="el-GR"/>
        </w:rPr>
        <w:t xml:space="preserve"> </w:t>
      </w:r>
      <w:r>
        <w:rPr>
          <w:rFonts w:cstheme="minorHAnsi"/>
          <w:color w:val="000000"/>
          <w:sz w:val="24"/>
          <w:szCs w:val="24"/>
          <w:lang w:val="el-GR"/>
        </w:rPr>
        <w:t>τον</w:t>
      </w:r>
      <w:r w:rsidRPr="00850BF3">
        <w:rPr>
          <w:rFonts w:cstheme="minorHAnsi"/>
          <w:color w:val="000000"/>
          <w:sz w:val="24"/>
          <w:szCs w:val="24"/>
          <w:lang w:val="el-GR"/>
        </w:rPr>
        <w:t xml:space="preserve"> </w:t>
      </w:r>
      <w:r>
        <w:rPr>
          <w:rFonts w:cstheme="minorHAnsi"/>
          <w:color w:val="000000"/>
          <w:sz w:val="24"/>
          <w:szCs w:val="24"/>
          <w:lang w:val="el-GR"/>
        </w:rPr>
        <w:t>κόσμο</w:t>
      </w:r>
      <w:r w:rsidRPr="00850BF3">
        <w:rPr>
          <w:rFonts w:cstheme="minorHAnsi"/>
          <w:color w:val="000000"/>
          <w:sz w:val="24"/>
          <w:szCs w:val="24"/>
          <w:lang w:val="el-GR"/>
        </w:rPr>
        <w:t xml:space="preserve"> </w:t>
      </w:r>
      <w:r>
        <w:rPr>
          <w:rFonts w:cstheme="minorHAnsi"/>
          <w:color w:val="000000"/>
          <w:sz w:val="24"/>
          <w:szCs w:val="24"/>
          <w:lang w:val="el-GR"/>
        </w:rPr>
        <w:t>στην</w:t>
      </w:r>
      <w:r w:rsidRPr="00850BF3">
        <w:rPr>
          <w:rFonts w:cstheme="minorHAnsi"/>
          <w:color w:val="000000"/>
          <w:sz w:val="24"/>
          <w:szCs w:val="24"/>
          <w:lang w:val="el-GR"/>
        </w:rPr>
        <w:t xml:space="preserve"> </w:t>
      </w:r>
      <w:r>
        <w:rPr>
          <w:rFonts w:cstheme="minorHAnsi"/>
          <w:color w:val="000000"/>
          <w:sz w:val="24"/>
          <w:szCs w:val="24"/>
          <w:lang w:val="el-GR"/>
        </w:rPr>
        <w:t>Κύπρο</w:t>
      </w:r>
      <w:r w:rsidR="00A5147D" w:rsidRPr="00850BF3">
        <w:rPr>
          <w:rFonts w:cstheme="minorHAnsi"/>
          <w:color w:val="000000"/>
          <w:sz w:val="24"/>
          <w:szCs w:val="24"/>
          <w:lang w:val="el-GR"/>
        </w:rPr>
        <w:t xml:space="preserve">: </w:t>
      </w:r>
      <w:r w:rsidR="006944FC" w:rsidRPr="00850BF3">
        <w:rPr>
          <w:rFonts w:cstheme="minorHAnsi"/>
          <w:color w:val="000000"/>
          <w:sz w:val="24"/>
          <w:szCs w:val="24"/>
          <w:lang w:val="el-GR"/>
        </w:rPr>
        <w:t>94</w:t>
      </w:r>
      <w:r w:rsidR="00A5147D" w:rsidRPr="00850BF3">
        <w:rPr>
          <w:rFonts w:cstheme="minorHAnsi"/>
          <w:color w:val="000000"/>
          <w:sz w:val="24"/>
          <w:szCs w:val="24"/>
          <w:lang w:val="el-GR"/>
        </w:rPr>
        <w:t xml:space="preserve">% </w:t>
      </w:r>
      <w:r>
        <w:rPr>
          <w:rFonts w:cstheme="minorHAnsi"/>
          <w:color w:val="000000"/>
          <w:sz w:val="24"/>
          <w:szCs w:val="24"/>
          <w:lang w:val="el-GR"/>
        </w:rPr>
        <w:t>θεωρούν ότι η διαφθορά</w:t>
      </w:r>
      <w:r w:rsidR="006944FC" w:rsidRPr="00850BF3">
        <w:rPr>
          <w:rFonts w:cstheme="minorHAnsi"/>
          <w:color w:val="000000"/>
          <w:sz w:val="24"/>
          <w:szCs w:val="24"/>
          <w:lang w:val="el-GR"/>
        </w:rPr>
        <w:t xml:space="preserve"> </w:t>
      </w:r>
      <w:r>
        <w:rPr>
          <w:rFonts w:cstheme="minorHAnsi"/>
          <w:color w:val="000000"/>
          <w:sz w:val="24"/>
          <w:szCs w:val="24"/>
          <w:lang w:val="el-GR"/>
        </w:rPr>
        <w:t>είναι</w:t>
      </w:r>
      <w:r w:rsidR="006944FC" w:rsidRPr="00850BF3">
        <w:rPr>
          <w:rFonts w:cstheme="minorHAnsi"/>
          <w:color w:val="000000"/>
          <w:sz w:val="24"/>
          <w:szCs w:val="24"/>
          <w:lang w:val="el-GR"/>
        </w:rPr>
        <w:t xml:space="preserve"> </w:t>
      </w:r>
      <w:r>
        <w:rPr>
          <w:rFonts w:cstheme="minorHAnsi"/>
          <w:color w:val="000000"/>
          <w:sz w:val="24"/>
          <w:szCs w:val="24"/>
          <w:lang w:val="el-GR"/>
        </w:rPr>
        <w:t>διαδεδομένη στην χώρα</w:t>
      </w:r>
      <w:r w:rsidR="006944FC" w:rsidRPr="00850BF3">
        <w:rPr>
          <w:rFonts w:cstheme="minorHAnsi"/>
          <w:color w:val="000000"/>
          <w:sz w:val="24"/>
          <w:szCs w:val="24"/>
          <w:lang w:val="el-GR"/>
        </w:rPr>
        <w:t xml:space="preserve"> (</w:t>
      </w:r>
      <w:r>
        <w:rPr>
          <w:rFonts w:cstheme="minorHAnsi"/>
          <w:color w:val="000000"/>
          <w:sz w:val="24"/>
          <w:szCs w:val="24"/>
          <w:lang w:val="el-GR"/>
        </w:rPr>
        <w:t>ο μέσο</w:t>
      </w:r>
      <w:r w:rsidR="00BD5EB5">
        <w:rPr>
          <w:rFonts w:cstheme="minorHAnsi"/>
          <w:color w:val="000000"/>
          <w:sz w:val="24"/>
          <w:szCs w:val="24"/>
          <w:lang w:val="el-GR"/>
        </w:rPr>
        <w:t>ς</w:t>
      </w:r>
      <w:r>
        <w:rPr>
          <w:rFonts w:cstheme="minorHAnsi"/>
          <w:color w:val="000000"/>
          <w:sz w:val="24"/>
          <w:szCs w:val="24"/>
          <w:lang w:val="el-GR"/>
        </w:rPr>
        <w:t xml:space="preserve"> όρο</w:t>
      </w:r>
      <w:r w:rsidR="00BD5EB5">
        <w:rPr>
          <w:rFonts w:cstheme="minorHAnsi"/>
          <w:color w:val="000000"/>
          <w:sz w:val="24"/>
          <w:szCs w:val="24"/>
          <w:lang w:val="el-GR"/>
        </w:rPr>
        <w:t>ς</w:t>
      </w:r>
      <w:r>
        <w:rPr>
          <w:rFonts w:cstheme="minorHAnsi"/>
          <w:color w:val="000000"/>
          <w:sz w:val="24"/>
          <w:szCs w:val="24"/>
          <w:lang w:val="el-GR"/>
        </w:rPr>
        <w:t xml:space="preserve"> στην ΕΕ</w:t>
      </w:r>
      <w:r w:rsidR="006944FC" w:rsidRPr="00850BF3">
        <w:rPr>
          <w:rFonts w:cstheme="minorHAnsi"/>
          <w:color w:val="000000"/>
          <w:sz w:val="24"/>
          <w:szCs w:val="24"/>
          <w:lang w:val="el-GR"/>
        </w:rPr>
        <w:t>: 68%)</w:t>
      </w:r>
      <w:r w:rsidR="006944FC" w:rsidRPr="00B95983">
        <w:rPr>
          <w:rStyle w:val="FootnoteReference"/>
          <w:rFonts w:cstheme="minorHAnsi"/>
          <w:color w:val="000000"/>
          <w:sz w:val="24"/>
          <w:szCs w:val="24"/>
        </w:rPr>
        <w:footnoteReference w:id="1"/>
      </w:r>
      <w:r w:rsidR="00A5147D" w:rsidRPr="00850BF3">
        <w:rPr>
          <w:rFonts w:cstheme="minorHAnsi"/>
          <w:color w:val="000000"/>
          <w:sz w:val="24"/>
          <w:szCs w:val="24"/>
          <w:lang w:val="el-GR"/>
        </w:rPr>
        <w:t xml:space="preserve">. </w:t>
      </w:r>
      <w:r>
        <w:rPr>
          <w:rFonts w:cstheme="minorHAnsi"/>
          <w:color w:val="000000"/>
          <w:sz w:val="24"/>
          <w:szCs w:val="24"/>
          <w:lang w:val="el-GR"/>
        </w:rPr>
        <w:t>Η</w:t>
      </w:r>
      <w:r w:rsidRPr="00850BF3">
        <w:rPr>
          <w:rFonts w:cstheme="minorHAnsi"/>
          <w:color w:val="000000"/>
          <w:sz w:val="24"/>
          <w:szCs w:val="24"/>
          <w:lang w:val="el-GR"/>
        </w:rPr>
        <w:t xml:space="preserve"> </w:t>
      </w:r>
      <w:r>
        <w:rPr>
          <w:rFonts w:cstheme="minorHAnsi"/>
          <w:color w:val="000000"/>
          <w:sz w:val="24"/>
          <w:szCs w:val="24"/>
          <w:lang w:val="el-GR"/>
        </w:rPr>
        <w:t>αντίληψη</w:t>
      </w:r>
      <w:r w:rsidRPr="00850BF3">
        <w:rPr>
          <w:rFonts w:cstheme="minorHAnsi"/>
          <w:color w:val="000000"/>
          <w:sz w:val="24"/>
          <w:szCs w:val="24"/>
          <w:lang w:val="el-GR"/>
        </w:rPr>
        <w:t xml:space="preserve"> </w:t>
      </w:r>
      <w:r>
        <w:rPr>
          <w:rFonts w:cstheme="minorHAnsi"/>
          <w:color w:val="000000"/>
          <w:sz w:val="24"/>
          <w:szCs w:val="24"/>
          <w:lang w:val="el-GR"/>
        </w:rPr>
        <w:t>αυτή</w:t>
      </w:r>
      <w:r w:rsidR="00A5147D" w:rsidRPr="00850BF3">
        <w:rPr>
          <w:rFonts w:cstheme="minorHAnsi"/>
          <w:color w:val="000000"/>
          <w:sz w:val="24"/>
          <w:szCs w:val="24"/>
          <w:lang w:val="el-GR"/>
        </w:rPr>
        <w:t xml:space="preserve"> </w:t>
      </w:r>
      <w:r>
        <w:rPr>
          <w:rFonts w:cstheme="minorHAnsi"/>
          <w:color w:val="000000"/>
          <w:sz w:val="24"/>
          <w:szCs w:val="24"/>
          <w:lang w:val="el-GR"/>
        </w:rPr>
        <w:t>έχει</w:t>
      </w:r>
      <w:r w:rsidRPr="00850BF3">
        <w:rPr>
          <w:rFonts w:cstheme="minorHAnsi"/>
          <w:color w:val="000000"/>
          <w:sz w:val="24"/>
          <w:szCs w:val="24"/>
          <w:lang w:val="el-GR"/>
        </w:rPr>
        <w:t xml:space="preserve"> </w:t>
      </w:r>
      <w:r>
        <w:rPr>
          <w:rFonts w:cstheme="minorHAnsi"/>
          <w:color w:val="000000"/>
          <w:sz w:val="24"/>
          <w:szCs w:val="24"/>
          <w:lang w:val="el-GR"/>
        </w:rPr>
        <w:t>αναπτυχθεί</w:t>
      </w:r>
      <w:r w:rsidRPr="00850BF3">
        <w:rPr>
          <w:rFonts w:cstheme="minorHAnsi"/>
          <w:color w:val="000000"/>
          <w:sz w:val="24"/>
          <w:szCs w:val="24"/>
          <w:lang w:val="el-GR"/>
        </w:rPr>
        <w:t xml:space="preserve"> </w:t>
      </w:r>
      <w:r>
        <w:rPr>
          <w:rFonts w:cstheme="minorHAnsi"/>
          <w:color w:val="000000"/>
          <w:sz w:val="24"/>
          <w:szCs w:val="24"/>
          <w:lang w:val="el-GR"/>
        </w:rPr>
        <w:t>τα</w:t>
      </w:r>
      <w:r w:rsidRPr="00850BF3">
        <w:rPr>
          <w:rFonts w:cstheme="minorHAnsi"/>
          <w:color w:val="000000"/>
          <w:sz w:val="24"/>
          <w:szCs w:val="24"/>
          <w:lang w:val="el-GR"/>
        </w:rPr>
        <w:t xml:space="preserve"> </w:t>
      </w:r>
      <w:r>
        <w:rPr>
          <w:rFonts w:cstheme="minorHAnsi"/>
          <w:color w:val="000000"/>
          <w:sz w:val="24"/>
          <w:szCs w:val="24"/>
          <w:lang w:val="el-GR"/>
        </w:rPr>
        <w:t>τελευταία</w:t>
      </w:r>
      <w:r w:rsidRPr="00850BF3">
        <w:rPr>
          <w:rFonts w:cstheme="minorHAnsi"/>
          <w:color w:val="000000"/>
          <w:sz w:val="24"/>
          <w:szCs w:val="24"/>
          <w:lang w:val="el-GR"/>
        </w:rPr>
        <w:t xml:space="preserve"> </w:t>
      </w:r>
      <w:r>
        <w:rPr>
          <w:rFonts w:cstheme="minorHAnsi"/>
          <w:color w:val="000000"/>
          <w:sz w:val="24"/>
          <w:szCs w:val="24"/>
          <w:lang w:val="el-GR"/>
        </w:rPr>
        <w:t>χρόνια</w:t>
      </w:r>
      <w:r w:rsidR="00A5147D" w:rsidRPr="00850BF3">
        <w:rPr>
          <w:rFonts w:cstheme="minorHAnsi"/>
          <w:color w:val="000000"/>
          <w:sz w:val="24"/>
          <w:szCs w:val="24"/>
          <w:lang w:val="el-GR"/>
        </w:rPr>
        <w:t xml:space="preserve"> </w:t>
      </w:r>
      <w:r>
        <w:rPr>
          <w:rFonts w:cstheme="minorHAnsi"/>
          <w:color w:val="000000"/>
          <w:sz w:val="24"/>
          <w:szCs w:val="24"/>
          <w:lang w:val="el-GR"/>
        </w:rPr>
        <w:t>από</w:t>
      </w:r>
      <w:r w:rsidRPr="00850BF3">
        <w:rPr>
          <w:rFonts w:cstheme="minorHAnsi"/>
          <w:color w:val="000000"/>
          <w:sz w:val="24"/>
          <w:szCs w:val="24"/>
          <w:lang w:val="el-GR"/>
        </w:rPr>
        <w:t xml:space="preserve"> </w:t>
      </w:r>
      <w:r>
        <w:rPr>
          <w:rFonts w:cstheme="minorHAnsi"/>
          <w:color w:val="000000"/>
          <w:sz w:val="24"/>
          <w:szCs w:val="24"/>
          <w:lang w:val="el-GR"/>
        </w:rPr>
        <w:t>το</w:t>
      </w:r>
      <w:r w:rsidRPr="00850BF3">
        <w:rPr>
          <w:rFonts w:cstheme="minorHAnsi"/>
          <w:color w:val="000000"/>
          <w:sz w:val="24"/>
          <w:szCs w:val="24"/>
          <w:lang w:val="el-GR"/>
        </w:rPr>
        <w:t xml:space="preserve"> </w:t>
      </w:r>
      <w:r>
        <w:rPr>
          <w:rFonts w:cstheme="minorHAnsi"/>
          <w:color w:val="000000"/>
          <w:sz w:val="24"/>
          <w:szCs w:val="24"/>
          <w:lang w:val="el-GR"/>
        </w:rPr>
        <w:t>αμφιλεγόμενο πρόγραμμα</w:t>
      </w:r>
      <w:r w:rsidRPr="00850BF3">
        <w:rPr>
          <w:rFonts w:cstheme="minorHAnsi"/>
          <w:color w:val="000000"/>
          <w:sz w:val="24"/>
          <w:szCs w:val="24"/>
          <w:lang w:val="el-GR"/>
        </w:rPr>
        <w:t xml:space="preserve"> </w:t>
      </w:r>
      <w:r>
        <w:rPr>
          <w:rFonts w:cstheme="minorHAnsi"/>
          <w:color w:val="000000"/>
          <w:sz w:val="24"/>
          <w:szCs w:val="24"/>
          <w:lang w:val="el-GR"/>
        </w:rPr>
        <w:t>των</w:t>
      </w:r>
      <w:r w:rsidRPr="00850BF3">
        <w:rPr>
          <w:rFonts w:cstheme="minorHAnsi"/>
          <w:color w:val="000000"/>
          <w:sz w:val="24"/>
          <w:szCs w:val="24"/>
          <w:lang w:val="el-GR"/>
        </w:rPr>
        <w:t xml:space="preserve"> «</w:t>
      </w:r>
      <w:r>
        <w:rPr>
          <w:rFonts w:cstheme="minorHAnsi"/>
          <w:color w:val="000000"/>
          <w:sz w:val="24"/>
          <w:szCs w:val="24"/>
          <w:lang w:val="el-GR"/>
        </w:rPr>
        <w:t>χρυσών</w:t>
      </w:r>
      <w:r w:rsidRPr="00850BF3">
        <w:rPr>
          <w:rFonts w:cstheme="minorHAnsi"/>
          <w:color w:val="000000"/>
          <w:sz w:val="24"/>
          <w:szCs w:val="24"/>
          <w:lang w:val="el-GR"/>
        </w:rPr>
        <w:t xml:space="preserve"> </w:t>
      </w:r>
      <w:r>
        <w:rPr>
          <w:rFonts w:cstheme="minorHAnsi"/>
          <w:color w:val="000000"/>
          <w:sz w:val="24"/>
          <w:szCs w:val="24"/>
          <w:lang w:val="el-GR"/>
        </w:rPr>
        <w:t>διαβατηρίων</w:t>
      </w:r>
      <w:r w:rsidRPr="00850BF3">
        <w:rPr>
          <w:rFonts w:cstheme="minorHAnsi"/>
          <w:color w:val="000000"/>
          <w:sz w:val="24"/>
          <w:szCs w:val="24"/>
          <w:lang w:val="el-GR"/>
        </w:rPr>
        <w:t>»</w:t>
      </w:r>
      <w:r>
        <w:rPr>
          <w:rFonts w:cstheme="minorHAnsi"/>
          <w:color w:val="000000"/>
          <w:sz w:val="24"/>
          <w:szCs w:val="24"/>
          <w:lang w:val="el-GR"/>
        </w:rPr>
        <w:t xml:space="preserve"> </w:t>
      </w:r>
      <w:r w:rsidR="00A5147D" w:rsidRPr="00850BF3">
        <w:rPr>
          <w:rFonts w:cstheme="minorHAnsi"/>
          <w:color w:val="000000"/>
          <w:sz w:val="24"/>
          <w:szCs w:val="24"/>
          <w:lang w:val="el-GR"/>
        </w:rPr>
        <w:t>(</w:t>
      </w:r>
      <w:r>
        <w:rPr>
          <w:rFonts w:cstheme="minorHAnsi"/>
          <w:color w:val="000000"/>
          <w:sz w:val="24"/>
          <w:szCs w:val="24"/>
          <w:lang w:val="el-GR"/>
        </w:rPr>
        <w:t>την παροχή υπηκοότητας</w:t>
      </w:r>
      <w:r w:rsidR="00A5147D" w:rsidRPr="00850BF3">
        <w:rPr>
          <w:rFonts w:cstheme="minorHAnsi"/>
          <w:color w:val="000000"/>
          <w:sz w:val="24"/>
          <w:szCs w:val="24"/>
          <w:lang w:val="el-GR"/>
        </w:rPr>
        <w:t xml:space="preserve"> </w:t>
      </w:r>
      <w:r>
        <w:rPr>
          <w:rFonts w:cstheme="minorHAnsi"/>
          <w:color w:val="000000"/>
          <w:sz w:val="24"/>
          <w:szCs w:val="24"/>
          <w:lang w:val="el-GR"/>
        </w:rPr>
        <w:t xml:space="preserve">σε </w:t>
      </w:r>
      <w:proofErr w:type="spellStart"/>
      <w:r>
        <w:rPr>
          <w:rFonts w:cstheme="minorHAnsi"/>
          <w:color w:val="000000"/>
          <w:sz w:val="24"/>
          <w:szCs w:val="24"/>
          <w:lang w:val="el-GR"/>
        </w:rPr>
        <w:t>αιτητές</w:t>
      </w:r>
      <w:proofErr w:type="spellEnd"/>
      <w:r w:rsidR="00A5147D" w:rsidRPr="00850BF3">
        <w:rPr>
          <w:rFonts w:cstheme="minorHAnsi"/>
          <w:color w:val="000000"/>
          <w:sz w:val="24"/>
          <w:szCs w:val="24"/>
          <w:lang w:val="el-GR"/>
        </w:rPr>
        <w:t xml:space="preserve"> </w:t>
      </w:r>
      <w:r>
        <w:rPr>
          <w:rFonts w:cstheme="minorHAnsi"/>
          <w:color w:val="000000"/>
          <w:sz w:val="24"/>
          <w:szCs w:val="24"/>
          <w:lang w:val="el-GR"/>
        </w:rPr>
        <w:t>για μια ελάχιστη επένδυση</w:t>
      </w:r>
      <w:r w:rsidR="00A5147D" w:rsidRPr="00850BF3">
        <w:rPr>
          <w:rFonts w:cstheme="minorHAnsi"/>
          <w:color w:val="000000"/>
          <w:sz w:val="24"/>
          <w:szCs w:val="24"/>
          <w:lang w:val="el-GR"/>
        </w:rPr>
        <w:t xml:space="preserve"> 2</w:t>
      </w:r>
      <w:r>
        <w:rPr>
          <w:rFonts w:cstheme="minorHAnsi"/>
          <w:color w:val="000000"/>
          <w:sz w:val="24"/>
          <w:szCs w:val="24"/>
          <w:lang w:val="el-GR"/>
        </w:rPr>
        <w:t xml:space="preserve"> εκατομμυρίων</w:t>
      </w:r>
      <w:r w:rsidR="00A5147D" w:rsidRPr="00850BF3">
        <w:rPr>
          <w:rFonts w:cstheme="minorHAnsi"/>
          <w:color w:val="000000"/>
          <w:sz w:val="24"/>
          <w:szCs w:val="24"/>
          <w:lang w:val="el-GR"/>
        </w:rPr>
        <w:t xml:space="preserve"> </w:t>
      </w:r>
      <w:r>
        <w:rPr>
          <w:rFonts w:cstheme="minorHAnsi"/>
          <w:color w:val="000000"/>
          <w:sz w:val="24"/>
          <w:szCs w:val="24"/>
          <w:lang w:val="el-GR"/>
        </w:rPr>
        <w:t>ΕΥΡΩ</w:t>
      </w:r>
      <w:r w:rsidR="00A5147D" w:rsidRPr="00850BF3">
        <w:rPr>
          <w:rFonts w:cstheme="minorHAnsi"/>
          <w:color w:val="000000"/>
          <w:sz w:val="24"/>
          <w:szCs w:val="24"/>
          <w:lang w:val="el-GR"/>
        </w:rPr>
        <w:t>)</w:t>
      </w:r>
      <w:r w:rsidR="006944FC" w:rsidRPr="00850BF3">
        <w:rPr>
          <w:rFonts w:cstheme="minorHAnsi"/>
          <w:color w:val="000000"/>
          <w:sz w:val="24"/>
          <w:szCs w:val="24"/>
          <w:lang w:val="el-GR"/>
        </w:rPr>
        <w:t xml:space="preserve">, </w:t>
      </w:r>
      <w:r>
        <w:rPr>
          <w:rFonts w:cstheme="minorHAnsi"/>
          <w:color w:val="000000"/>
          <w:sz w:val="24"/>
          <w:szCs w:val="24"/>
          <w:lang w:val="el-GR"/>
        </w:rPr>
        <w:t>το οποίο</w:t>
      </w:r>
      <w:r w:rsidR="009C6899" w:rsidRPr="009C6899">
        <w:rPr>
          <w:rFonts w:cstheme="minorHAnsi"/>
          <w:color w:val="000000"/>
          <w:sz w:val="24"/>
          <w:szCs w:val="24"/>
          <w:lang w:val="el-GR"/>
        </w:rPr>
        <w:t xml:space="preserve"> </w:t>
      </w:r>
      <w:r w:rsidR="009C6899">
        <w:rPr>
          <w:rFonts w:cstheme="minorHAnsi"/>
          <w:color w:val="000000"/>
          <w:sz w:val="24"/>
          <w:szCs w:val="24"/>
          <w:lang w:val="el-GR"/>
        </w:rPr>
        <w:t>καταργήθηκε την</w:t>
      </w:r>
      <w:r w:rsidR="006944FC" w:rsidRPr="00850BF3">
        <w:rPr>
          <w:rFonts w:cstheme="minorHAnsi"/>
          <w:color w:val="000000"/>
          <w:sz w:val="24"/>
          <w:szCs w:val="24"/>
          <w:lang w:val="el-GR"/>
        </w:rPr>
        <w:t xml:space="preserve"> 1</w:t>
      </w:r>
      <w:r w:rsidR="009C6899" w:rsidRPr="009C6899">
        <w:rPr>
          <w:rFonts w:cstheme="minorHAnsi"/>
          <w:color w:val="000000"/>
          <w:sz w:val="24"/>
          <w:szCs w:val="24"/>
          <w:vertAlign w:val="superscript"/>
          <w:lang w:val="el-GR"/>
        </w:rPr>
        <w:t>η</w:t>
      </w:r>
      <w:r w:rsidR="009C6899">
        <w:rPr>
          <w:rFonts w:cstheme="minorHAnsi"/>
          <w:color w:val="000000"/>
          <w:sz w:val="24"/>
          <w:szCs w:val="24"/>
          <w:lang w:val="el-GR"/>
        </w:rPr>
        <w:t xml:space="preserve"> </w:t>
      </w:r>
      <w:r w:rsidR="006944FC" w:rsidRPr="00B95983">
        <w:rPr>
          <w:rFonts w:cstheme="minorHAnsi"/>
          <w:color w:val="000000"/>
          <w:sz w:val="24"/>
          <w:szCs w:val="24"/>
        </w:rPr>
        <w:t>N</w:t>
      </w:r>
      <w:proofErr w:type="spellStart"/>
      <w:r w:rsidR="009C6899">
        <w:rPr>
          <w:rFonts w:cstheme="minorHAnsi"/>
          <w:color w:val="000000"/>
          <w:sz w:val="24"/>
          <w:szCs w:val="24"/>
          <w:lang w:val="el-GR"/>
        </w:rPr>
        <w:t>οεμβρίου</w:t>
      </w:r>
      <w:proofErr w:type="spellEnd"/>
      <w:r w:rsidR="006944FC" w:rsidRPr="00850BF3">
        <w:rPr>
          <w:rFonts w:cstheme="minorHAnsi"/>
          <w:color w:val="000000"/>
          <w:sz w:val="24"/>
          <w:szCs w:val="24"/>
          <w:lang w:val="el-GR"/>
        </w:rPr>
        <w:t xml:space="preserve"> 2020.  </w:t>
      </w:r>
      <w:r w:rsidR="009C6899">
        <w:rPr>
          <w:rFonts w:cstheme="minorHAnsi"/>
          <w:color w:val="000000"/>
          <w:sz w:val="24"/>
          <w:szCs w:val="24"/>
          <w:lang w:val="el-GR"/>
        </w:rPr>
        <w:t>Ως</w:t>
      </w:r>
      <w:r w:rsidR="00093122" w:rsidRPr="002B7C4B">
        <w:rPr>
          <w:rFonts w:cstheme="minorHAnsi"/>
          <w:color w:val="000000"/>
          <w:sz w:val="24"/>
          <w:szCs w:val="24"/>
          <w:lang w:val="el-GR"/>
        </w:rPr>
        <w:t xml:space="preserve"> </w:t>
      </w:r>
      <w:r w:rsidR="00093122">
        <w:rPr>
          <w:rFonts w:cstheme="minorHAnsi"/>
          <w:color w:val="000000"/>
          <w:sz w:val="24"/>
          <w:szCs w:val="24"/>
          <w:lang w:val="el-GR"/>
        </w:rPr>
        <w:t>απάντηση</w:t>
      </w:r>
      <w:r w:rsidR="009C6899" w:rsidRPr="009C6899">
        <w:rPr>
          <w:rFonts w:cstheme="minorHAnsi"/>
          <w:color w:val="000000"/>
          <w:sz w:val="24"/>
          <w:szCs w:val="24"/>
          <w:lang w:val="el-GR"/>
        </w:rPr>
        <w:t xml:space="preserve">, </w:t>
      </w:r>
      <w:r w:rsidR="009C6899">
        <w:rPr>
          <w:rFonts w:cstheme="minorHAnsi"/>
          <w:color w:val="000000"/>
          <w:sz w:val="24"/>
          <w:szCs w:val="24"/>
          <w:lang w:val="el-GR"/>
        </w:rPr>
        <w:t>αναπτύχθηκε</w:t>
      </w:r>
      <w:r w:rsidR="009C6899" w:rsidRPr="009C6899">
        <w:rPr>
          <w:rFonts w:cstheme="minorHAnsi"/>
          <w:color w:val="000000"/>
          <w:sz w:val="24"/>
          <w:szCs w:val="24"/>
          <w:lang w:val="el-GR"/>
        </w:rPr>
        <w:t xml:space="preserve"> </w:t>
      </w:r>
      <w:r w:rsidR="009C6899">
        <w:rPr>
          <w:rFonts w:cstheme="minorHAnsi"/>
          <w:color w:val="000000"/>
          <w:sz w:val="24"/>
          <w:szCs w:val="24"/>
          <w:lang w:val="el-GR"/>
        </w:rPr>
        <w:t>ένα</w:t>
      </w:r>
      <w:r w:rsidR="009C6899" w:rsidRPr="009C6899">
        <w:rPr>
          <w:rFonts w:cstheme="minorHAnsi"/>
          <w:color w:val="000000"/>
          <w:sz w:val="24"/>
          <w:szCs w:val="24"/>
          <w:lang w:val="el-GR"/>
        </w:rPr>
        <w:t xml:space="preserve"> </w:t>
      </w:r>
      <w:r w:rsidR="009C6899">
        <w:rPr>
          <w:rFonts w:cstheme="minorHAnsi"/>
          <w:color w:val="000000"/>
          <w:sz w:val="24"/>
          <w:szCs w:val="24"/>
          <w:lang w:val="el-GR"/>
        </w:rPr>
        <w:t>σχέδιο</w:t>
      </w:r>
      <w:r w:rsidR="009C6899" w:rsidRPr="009C6899">
        <w:rPr>
          <w:rFonts w:cstheme="minorHAnsi"/>
          <w:color w:val="000000"/>
          <w:sz w:val="24"/>
          <w:szCs w:val="24"/>
          <w:lang w:val="el-GR"/>
        </w:rPr>
        <w:t xml:space="preserve"> </w:t>
      </w:r>
      <w:r w:rsidR="009C6899">
        <w:rPr>
          <w:rFonts w:cstheme="minorHAnsi"/>
          <w:color w:val="000000"/>
          <w:sz w:val="24"/>
          <w:szCs w:val="24"/>
          <w:lang w:val="el-GR"/>
        </w:rPr>
        <w:t>δράσης</w:t>
      </w:r>
      <w:r w:rsidR="009C6899" w:rsidRPr="009C6899">
        <w:rPr>
          <w:rFonts w:cstheme="minorHAnsi"/>
          <w:color w:val="000000"/>
          <w:sz w:val="24"/>
          <w:szCs w:val="24"/>
          <w:lang w:val="el-GR"/>
        </w:rPr>
        <w:t xml:space="preserve"> </w:t>
      </w:r>
      <w:r w:rsidR="009C6899">
        <w:rPr>
          <w:rFonts w:cstheme="minorHAnsi"/>
          <w:color w:val="000000"/>
          <w:sz w:val="24"/>
          <w:szCs w:val="24"/>
          <w:lang w:val="el-GR"/>
        </w:rPr>
        <w:t>εναντίον</w:t>
      </w:r>
      <w:r w:rsidR="009C6899" w:rsidRPr="009C6899">
        <w:rPr>
          <w:rFonts w:cstheme="minorHAnsi"/>
          <w:color w:val="000000"/>
          <w:sz w:val="24"/>
          <w:szCs w:val="24"/>
          <w:lang w:val="el-GR"/>
        </w:rPr>
        <w:t xml:space="preserve"> </w:t>
      </w:r>
      <w:r w:rsidR="009C6899">
        <w:rPr>
          <w:rFonts w:cstheme="minorHAnsi"/>
          <w:color w:val="000000"/>
          <w:sz w:val="24"/>
          <w:szCs w:val="24"/>
          <w:lang w:val="el-GR"/>
        </w:rPr>
        <w:t>της</w:t>
      </w:r>
      <w:r w:rsidR="009C6899" w:rsidRPr="009C6899">
        <w:rPr>
          <w:rFonts w:cstheme="minorHAnsi"/>
          <w:color w:val="000000"/>
          <w:sz w:val="24"/>
          <w:szCs w:val="24"/>
          <w:lang w:val="el-GR"/>
        </w:rPr>
        <w:t xml:space="preserve"> </w:t>
      </w:r>
      <w:r w:rsidR="009C6899">
        <w:rPr>
          <w:rFonts w:cstheme="minorHAnsi"/>
          <w:color w:val="000000"/>
          <w:sz w:val="24"/>
          <w:szCs w:val="24"/>
          <w:lang w:val="el-GR"/>
        </w:rPr>
        <w:t>διαφθοράς</w:t>
      </w:r>
      <w:r w:rsidR="00D53A43" w:rsidRPr="009C6899">
        <w:rPr>
          <w:rFonts w:cstheme="minorHAnsi"/>
          <w:color w:val="000000"/>
          <w:sz w:val="24"/>
          <w:szCs w:val="24"/>
          <w:lang w:val="el-GR"/>
        </w:rPr>
        <w:t xml:space="preserve"> </w:t>
      </w:r>
      <w:r w:rsidR="009C6899">
        <w:rPr>
          <w:rFonts w:cstheme="minorHAnsi"/>
          <w:color w:val="000000"/>
          <w:sz w:val="24"/>
          <w:szCs w:val="24"/>
          <w:lang w:val="el-GR"/>
        </w:rPr>
        <w:t>για</w:t>
      </w:r>
      <w:r w:rsidR="009C6899" w:rsidRPr="009C6899">
        <w:rPr>
          <w:rFonts w:cstheme="minorHAnsi"/>
          <w:color w:val="000000"/>
          <w:sz w:val="24"/>
          <w:szCs w:val="24"/>
          <w:lang w:val="el-GR"/>
        </w:rPr>
        <w:t xml:space="preserve"> </w:t>
      </w:r>
      <w:r w:rsidR="009C6899">
        <w:rPr>
          <w:rFonts w:cstheme="minorHAnsi"/>
          <w:color w:val="000000"/>
          <w:sz w:val="24"/>
          <w:szCs w:val="24"/>
          <w:lang w:val="el-GR"/>
        </w:rPr>
        <w:t>την</w:t>
      </w:r>
      <w:r w:rsidR="009C6899" w:rsidRPr="009C6899">
        <w:rPr>
          <w:rFonts w:cstheme="minorHAnsi"/>
          <w:color w:val="000000"/>
          <w:sz w:val="24"/>
          <w:szCs w:val="24"/>
          <w:lang w:val="el-GR"/>
        </w:rPr>
        <w:t xml:space="preserve"> </w:t>
      </w:r>
      <w:r w:rsidR="009C6899">
        <w:rPr>
          <w:rFonts w:cstheme="minorHAnsi"/>
          <w:color w:val="000000"/>
          <w:sz w:val="24"/>
          <w:szCs w:val="24"/>
          <w:lang w:val="el-GR"/>
        </w:rPr>
        <w:t>περίοδο</w:t>
      </w:r>
      <w:r w:rsidR="00A5147D" w:rsidRPr="009C6899">
        <w:rPr>
          <w:rFonts w:cstheme="minorHAnsi"/>
          <w:color w:val="000000"/>
          <w:sz w:val="24"/>
          <w:szCs w:val="24"/>
          <w:lang w:val="el-GR"/>
        </w:rPr>
        <w:t xml:space="preserve"> 2021-2026</w:t>
      </w:r>
      <w:r w:rsidR="00D53A43" w:rsidRPr="009C6899">
        <w:rPr>
          <w:rFonts w:cstheme="minorHAnsi"/>
          <w:color w:val="000000"/>
          <w:sz w:val="24"/>
          <w:szCs w:val="24"/>
          <w:lang w:val="el-GR"/>
        </w:rPr>
        <w:t xml:space="preserve"> </w:t>
      </w:r>
      <w:r w:rsidR="009C6899">
        <w:rPr>
          <w:rFonts w:cstheme="minorHAnsi"/>
          <w:color w:val="000000"/>
          <w:sz w:val="24"/>
          <w:szCs w:val="24"/>
          <w:lang w:val="el-GR"/>
        </w:rPr>
        <w:t xml:space="preserve">και έχει εισαχθεί </w:t>
      </w:r>
      <w:r w:rsidR="00093122">
        <w:rPr>
          <w:rFonts w:cstheme="minorHAnsi"/>
          <w:color w:val="000000"/>
          <w:sz w:val="24"/>
          <w:szCs w:val="24"/>
          <w:lang w:val="el-GR"/>
        </w:rPr>
        <w:t xml:space="preserve">ήδη </w:t>
      </w:r>
      <w:r w:rsidR="009C6899">
        <w:rPr>
          <w:rFonts w:cstheme="minorHAnsi"/>
          <w:color w:val="000000"/>
          <w:sz w:val="24"/>
          <w:szCs w:val="24"/>
          <w:lang w:val="el-GR"/>
        </w:rPr>
        <w:t>ένας αριθμός</w:t>
      </w:r>
      <w:r w:rsidR="00D53A43" w:rsidRPr="009C6899">
        <w:rPr>
          <w:rFonts w:cstheme="minorHAnsi"/>
          <w:color w:val="000000"/>
          <w:sz w:val="24"/>
          <w:szCs w:val="24"/>
          <w:lang w:val="el-GR"/>
        </w:rPr>
        <w:t xml:space="preserve"> </w:t>
      </w:r>
      <w:r w:rsidR="009C6899">
        <w:rPr>
          <w:rFonts w:cstheme="minorHAnsi"/>
          <w:color w:val="000000"/>
          <w:sz w:val="24"/>
          <w:szCs w:val="24"/>
          <w:lang w:val="el-GR"/>
        </w:rPr>
        <w:t>μέτρων εναντίον της διαφθοράς</w:t>
      </w:r>
      <w:r w:rsidR="00A5147D" w:rsidRPr="009C6899">
        <w:rPr>
          <w:rFonts w:cstheme="minorHAnsi"/>
          <w:color w:val="000000"/>
          <w:sz w:val="24"/>
          <w:szCs w:val="24"/>
          <w:lang w:val="el-GR"/>
        </w:rPr>
        <w:t xml:space="preserve">. </w:t>
      </w:r>
      <w:r w:rsidR="009C6899">
        <w:rPr>
          <w:rFonts w:cstheme="minorHAnsi"/>
          <w:color w:val="000000"/>
          <w:sz w:val="24"/>
          <w:szCs w:val="24"/>
          <w:lang w:val="el-GR"/>
        </w:rPr>
        <w:t>Το</w:t>
      </w:r>
      <w:r w:rsidR="00A5147D" w:rsidRPr="009C6899">
        <w:rPr>
          <w:rFonts w:cstheme="minorHAnsi"/>
          <w:color w:val="000000"/>
          <w:sz w:val="24"/>
          <w:szCs w:val="24"/>
          <w:lang w:val="el-GR"/>
        </w:rPr>
        <w:t xml:space="preserve"> 2022, </w:t>
      </w:r>
      <w:r w:rsidR="009C6899">
        <w:rPr>
          <w:rFonts w:cstheme="minorHAnsi"/>
          <w:color w:val="000000"/>
          <w:sz w:val="24"/>
          <w:szCs w:val="24"/>
          <w:lang w:val="el-GR"/>
        </w:rPr>
        <w:t>υιοθετήθηκαν</w:t>
      </w:r>
      <w:r w:rsidR="009C6899" w:rsidRPr="009C6899">
        <w:rPr>
          <w:rFonts w:cstheme="minorHAnsi"/>
          <w:color w:val="000000"/>
          <w:sz w:val="24"/>
          <w:szCs w:val="24"/>
          <w:lang w:val="el-GR"/>
        </w:rPr>
        <w:t xml:space="preserve"> </w:t>
      </w:r>
      <w:r w:rsidR="009C6899">
        <w:rPr>
          <w:rFonts w:cstheme="minorHAnsi"/>
          <w:color w:val="000000"/>
          <w:sz w:val="24"/>
          <w:szCs w:val="24"/>
          <w:lang w:val="el-GR"/>
        </w:rPr>
        <w:t>τρεις</w:t>
      </w:r>
      <w:r w:rsidR="009C6899" w:rsidRPr="009C6899">
        <w:rPr>
          <w:rFonts w:cstheme="minorHAnsi"/>
          <w:color w:val="000000"/>
          <w:sz w:val="24"/>
          <w:szCs w:val="24"/>
          <w:lang w:val="el-GR"/>
        </w:rPr>
        <w:t xml:space="preserve"> </w:t>
      </w:r>
      <w:r w:rsidR="009C6899">
        <w:rPr>
          <w:rFonts w:cstheme="minorHAnsi"/>
          <w:color w:val="000000"/>
          <w:sz w:val="24"/>
          <w:szCs w:val="24"/>
          <w:lang w:val="el-GR"/>
        </w:rPr>
        <w:t>βασικοί</w:t>
      </w:r>
      <w:r w:rsidR="009C6899" w:rsidRPr="009C6899">
        <w:rPr>
          <w:rFonts w:cstheme="minorHAnsi"/>
          <w:color w:val="000000"/>
          <w:sz w:val="24"/>
          <w:szCs w:val="24"/>
          <w:lang w:val="el-GR"/>
        </w:rPr>
        <w:t xml:space="preserve"> </w:t>
      </w:r>
      <w:r w:rsidR="009C6899">
        <w:rPr>
          <w:rFonts w:cstheme="minorHAnsi"/>
          <w:color w:val="000000"/>
          <w:sz w:val="24"/>
          <w:szCs w:val="24"/>
          <w:lang w:val="el-GR"/>
        </w:rPr>
        <w:t>νόμοι</w:t>
      </w:r>
      <w:r w:rsidR="004B1219" w:rsidRPr="009C6899">
        <w:rPr>
          <w:rFonts w:cstheme="minorHAnsi"/>
          <w:color w:val="000000"/>
          <w:sz w:val="24"/>
          <w:szCs w:val="24"/>
          <w:lang w:val="el-GR"/>
        </w:rPr>
        <w:t>:</w:t>
      </w:r>
      <w:r w:rsidR="00A5147D" w:rsidRPr="009C6899">
        <w:rPr>
          <w:rFonts w:cstheme="minorHAnsi"/>
          <w:color w:val="000000"/>
          <w:sz w:val="24"/>
          <w:szCs w:val="24"/>
          <w:lang w:val="el-GR"/>
        </w:rPr>
        <w:t xml:space="preserve"> </w:t>
      </w:r>
      <w:r w:rsidR="00DF65EA">
        <w:rPr>
          <w:rFonts w:cstheme="minorHAnsi"/>
          <w:color w:val="000000"/>
          <w:sz w:val="24"/>
          <w:szCs w:val="24"/>
          <w:lang w:val="el-GR"/>
        </w:rPr>
        <w:t xml:space="preserve">για τη σύσταση </w:t>
      </w:r>
      <w:r w:rsidR="009C6899">
        <w:rPr>
          <w:rFonts w:cstheme="minorHAnsi"/>
          <w:color w:val="000000"/>
          <w:sz w:val="24"/>
          <w:szCs w:val="24"/>
          <w:lang w:val="el-GR"/>
        </w:rPr>
        <w:t>Αρχή</w:t>
      </w:r>
      <w:r w:rsidR="00DF65EA">
        <w:rPr>
          <w:rFonts w:cstheme="minorHAnsi"/>
          <w:color w:val="000000"/>
          <w:sz w:val="24"/>
          <w:szCs w:val="24"/>
          <w:lang w:val="el-GR"/>
        </w:rPr>
        <w:t>ς</w:t>
      </w:r>
      <w:r w:rsidR="009C6899" w:rsidRPr="009C6899">
        <w:rPr>
          <w:rFonts w:cstheme="minorHAnsi"/>
          <w:color w:val="000000"/>
          <w:sz w:val="24"/>
          <w:szCs w:val="24"/>
          <w:lang w:val="el-GR"/>
        </w:rPr>
        <w:t xml:space="preserve"> </w:t>
      </w:r>
      <w:r w:rsidR="006910E5">
        <w:rPr>
          <w:rFonts w:cstheme="minorHAnsi"/>
          <w:color w:val="000000"/>
          <w:sz w:val="24"/>
          <w:szCs w:val="24"/>
          <w:lang w:val="el-GR"/>
        </w:rPr>
        <w:t>κατά</w:t>
      </w:r>
      <w:r w:rsidR="009C6899" w:rsidRPr="009C6899">
        <w:rPr>
          <w:rFonts w:cstheme="minorHAnsi"/>
          <w:color w:val="000000"/>
          <w:sz w:val="24"/>
          <w:szCs w:val="24"/>
          <w:lang w:val="el-GR"/>
        </w:rPr>
        <w:t xml:space="preserve"> </w:t>
      </w:r>
      <w:r w:rsidR="009C6899">
        <w:rPr>
          <w:rFonts w:cstheme="minorHAnsi"/>
          <w:color w:val="000000"/>
          <w:sz w:val="24"/>
          <w:szCs w:val="24"/>
          <w:lang w:val="el-GR"/>
        </w:rPr>
        <w:t>της</w:t>
      </w:r>
      <w:r w:rsidR="009C6899" w:rsidRPr="009C6899">
        <w:rPr>
          <w:rFonts w:cstheme="minorHAnsi"/>
          <w:color w:val="000000"/>
          <w:sz w:val="24"/>
          <w:szCs w:val="24"/>
          <w:lang w:val="el-GR"/>
        </w:rPr>
        <w:t xml:space="preserve"> </w:t>
      </w:r>
      <w:r w:rsidR="009C6899">
        <w:rPr>
          <w:rFonts w:cstheme="minorHAnsi"/>
          <w:color w:val="000000"/>
          <w:sz w:val="24"/>
          <w:szCs w:val="24"/>
          <w:lang w:val="el-GR"/>
        </w:rPr>
        <w:t>Διαφθοράς</w:t>
      </w:r>
      <w:r w:rsidR="00A5147D" w:rsidRPr="009C6899">
        <w:rPr>
          <w:rFonts w:cstheme="minorHAnsi"/>
          <w:color w:val="000000"/>
          <w:sz w:val="24"/>
          <w:szCs w:val="24"/>
          <w:lang w:val="el-GR"/>
        </w:rPr>
        <w:t xml:space="preserve"> (</w:t>
      </w:r>
      <w:r w:rsidR="009C6899">
        <w:rPr>
          <w:rFonts w:cstheme="minorHAnsi"/>
          <w:color w:val="000000"/>
          <w:sz w:val="24"/>
          <w:szCs w:val="24"/>
          <w:lang w:val="el-GR"/>
        </w:rPr>
        <w:t>που έχει λειτουργήσει πρόσφατα</w:t>
      </w:r>
      <w:r w:rsidR="00A5147D" w:rsidRPr="009C6899">
        <w:rPr>
          <w:rFonts w:cstheme="minorHAnsi"/>
          <w:color w:val="000000"/>
          <w:sz w:val="24"/>
          <w:szCs w:val="24"/>
          <w:lang w:val="el-GR"/>
        </w:rPr>
        <w:t xml:space="preserve">), </w:t>
      </w:r>
      <w:r w:rsidR="00093122">
        <w:rPr>
          <w:rFonts w:cstheme="minorHAnsi"/>
          <w:color w:val="000000"/>
          <w:sz w:val="24"/>
          <w:szCs w:val="24"/>
          <w:lang w:val="el-GR"/>
        </w:rPr>
        <w:t xml:space="preserve">την </w:t>
      </w:r>
      <w:r w:rsidR="00DF65EA">
        <w:rPr>
          <w:rFonts w:cstheme="minorHAnsi"/>
          <w:color w:val="000000"/>
          <w:sz w:val="24"/>
          <w:szCs w:val="24"/>
          <w:lang w:val="el-GR"/>
        </w:rPr>
        <w:t xml:space="preserve">προστασία των </w:t>
      </w:r>
      <w:r w:rsidR="009C6899">
        <w:rPr>
          <w:rFonts w:cstheme="minorHAnsi"/>
          <w:color w:val="000000"/>
          <w:sz w:val="24"/>
          <w:szCs w:val="24"/>
          <w:lang w:val="el-GR"/>
        </w:rPr>
        <w:t>πληροφοριοδ</w:t>
      </w:r>
      <w:r w:rsidR="00DF65EA">
        <w:rPr>
          <w:rFonts w:cstheme="minorHAnsi"/>
          <w:color w:val="000000"/>
          <w:sz w:val="24"/>
          <w:szCs w:val="24"/>
          <w:lang w:val="el-GR"/>
        </w:rPr>
        <w:t>οτών</w:t>
      </w:r>
      <w:r w:rsidR="00A5147D" w:rsidRPr="009C6899">
        <w:rPr>
          <w:rFonts w:cstheme="minorHAnsi"/>
          <w:color w:val="000000"/>
          <w:sz w:val="24"/>
          <w:szCs w:val="24"/>
          <w:lang w:val="el-GR"/>
        </w:rPr>
        <w:t xml:space="preserve">, </w:t>
      </w:r>
      <w:r w:rsidR="009C6899">
        <w:rPr>
          <w:rFonts w:cstheme="minorHAnsi"/>
          <w:color w:val="000000"/>
          <w:sz w:val="24"/>
          <w:szCs w:val="24"/>
          <w:lang w:val="el-GR"/>
        </w:rPr>
        <w:t>και</w:t>
      </w:r>
      <w:r w:rsidR="00093122">
        <w:rPr>
          <w:rFonts w:cstheme="minorHAnsi"/>
          <w:color w:val="000000"/>
          <w:sz w:val="24"/>
          <w:szCs w:val="24"/>
          <w:lang w:val="el-GR"/>
        </w:rPr>
        <w:t xml:space="preserve"> τη</w:t>
      </w:r>
      <w:r w:rsidR="00DF65EA">
        <w:rPr>
          <w:rFonts w:cstheme="minorHAnsi"/>
          <w:color w:val="000000"/>
          <w:sz w:val="24"/>
          <w:szCs w:val="24"/>
          <w:lang w:val="el-GR"/>
        </w:rPr>
        <w:t xml:space="preserve"> ρ</w:t>
      </w:r>
      <w:r w:rsidR="00093122">
        <w:rPr>
          <w:rFonts w:cstheme="minorHAnsi"/>
          <w:color w:val="000000"/>
          <w:sz w:val="24"/>
          <w:szCs w:val="24"/>
          <w:lang w:val="el-GR"/>
        </w:rPr>
        <w:t>ύθμιση</w:t>
      </w:r>
      <w:r w:rsidR="00DF65EA">
        <w:rPr>
          <w:rFonts w:cstheme="minorHAnsi"/>
          <w:color w:val="000000"/>
          <w:sz w:val="24"/>
          <w:szCs w:val="24"/>
          <w:lang w:val="el-GR"/>
        </w:rPr>
        <w:t xml:space="preserve"> του </w:t>
      </w:r>
      <w:proofErr w:type="spellStart"/>
      <w:r w:rsidR="00DF65EA">
        <w:rPr>
          <w:rFonts w:cstheme="minorHAnsi"/>
          <w:color w:val="000000"/>
          <w:sz w:val="24"/>
          <w:szCs w:val="24"/>
          <w:lang w:val="el-GR"/>
        </w:rPr>
        <w:t>λόμπυ</w:t>
      </w:r>
      <w:proofErr w:type="spellEnd"/>
      <w:r w:rsidR="00A5147D" w:rsidRPr="009C6899">
        <w:rPr>
          <w:rFonts w:cstheme="minorHAnsi"/>
          <w:color w:val="000000"/>
          <w:sz w:val="24"/>
          <w:szCs w:val="24"/>
          <w:lang w:val="el-GR"/>
        </w:rPr>
        <w:t xml:space="preserve">. </w:t>
      </w:r>
      <w:r w:rsidR="009C6899">
        <w:rPr>
          <w:rFonts w:cstheme="minorHAnsi"/>
          <w:color w:val="000000"/>
          <w:sz w:val="24"/>
          <w:szCs w:val="24"/>
          <w:lang w:val="el-GR"/>
        </w:rPr>
        <w:t>Επιπρόσθετα</w:t>
      </w:r>
      <w:r w:rsidR="00A5147D" w:rsidRPr="009C6899">
        <w:rPr>
          <w:rFonts w:cstheme="minorHAnsi"/>
          <w:color w:val="000000"/>
          <w:sz w:val="24"/>
          <w:szCs w:val="24"/>
          <w:lang w:val="el-GR"/>
        </w:rPr>
        <w:t xml:space="preserve">, </w:t>
      </w:r>
      <w:r w:rsidR="009C6899">
        <w:rPr>
          <w:rFonts w:cstheme="minorHAnsi"/>
          <w:color w:val="000000"/>
          <w:sz w:val="24"/>
          <w:szCs w:val="24"/>
          <w:lang w:val="el-GR"/>
        </w:rPr>
        <w:t>αυξημένοι</w:t>
      </w:r>
      <w:r w:rsidR="009C6899" w:rsidRPr="009C6899">
        <w:rPr>
          <w:rFonts w:cstheme="minorHAnsi"/>
          <w:color w:val="000000"/>
          <w:sz w:val="24"/>
          <w:szCs w:val="24"/>
          <w:lang w:val="el-GR"/>
        </w:rPr>
        <w:t xml:space="preserve"> </w:t>
      </w:r>
      <w:r w:rsidR="009C6899">
        <w:rPr>
          <w:rFonts w:cstheme="minorHAnsi"/>
          <w:color w:val="000000"/>
          <w:sz w:val="24"/>
          <w:szCs w:val="24"/>
          <w:lang w:val="el-GR"/>
        </w:rPr>
        <w:t>πόροι</w:t>
      </w:r>
      <w:r w:rsidR="009C6899" w:rsidRPr="009C6899">
        <w:rPr>
          <w:rFonts w:cstheme="minorHAnsi"/>
          <w:color w:val="000000"/>
          <w:sz w:val="24"/>
          <w:szCs w:val="24"/>
          <w:lang w:val="el-GR"/>
        </w:rPr>
        <w:t xml:space="preserve"> </w:t>
      </w:r>
      <w:r w:rsidR="009C6899">
        <w:rPr>
          <w:rFonts w:cstheme="minorHAnsi"/>
          <w:color w:val="000000"/>
          <w:sz w:val="24"/>
          <w:szCs w:val="24"/>
          <w:lang w:val="el-GR"/>
        </w:rPr>
        <w:t>έχουν</w:t>
      </w:r>
      <w:r w:rsidR="00A5147D" w:rsidRPr="009C6899">
        <w:rPr>
          <w:rFonts w:cstheme="minorHAnsi"/>
          <w:color w:val="000000"/>
          <w:sz w:val="24"/>
          <w:szCs w:val="24"/>
          <w:lang w:val="el-GR"/>
        </w:rPr>
        <w:t xml:space="preserve"> </w:t>
      </w:r>
      <w:r w:rsidR="009C6899">
        <w:rPr>
          <w:rFonts w:cstheme="minorHAnsi"/>
          <w:color w:val="000000"/>
          <w:sz w:val="24"/>
          <w:szCs w:val="24"/>
          <w:lang w:val="el-GR"/>
        </w:rPr>
        <w:t>καταν</w:t>
      </w:r>
      <w:r w:rsidR="00BD5EB5">
        <w:rPr>
          <w:rFonts w:cstheme="minorHAnsi"/>
          <w:color w:val="000000"/>
          <w:sz w:val="24"/>
          <w:szCs w:val="24"/>
          <w:lang w:val="el-GR"/>
        </w:rPr>
        <w:t>ε</w:t>
      </w:r>
      <w:r w:rsidR="009C6899">
        <w:rPr>
          <w:rFonts w:cstheme="minorHAnsi"/>
          <w:color w:val="000000"/>
          <w:sz w:val="24"/>
          <w:szCs w:val="24"/>
          <w:lang w:val="el-GR"/>
        </w:rPr>
        <w:t>μηθεί</w:t>
      </w:r>
      <w:r w:rsidR="009C6899" w:rsidRPr="009C6899">
        <w:rPr>
          <w:rFonts w:cstheme="minorHAnsi"/>
          <w:color w:val="000000"/>
          <w:sz w:val="24"/>
          <w:szCs w:val="24"/>
          <w:lang w:val="el-GR"/>
        </w:rPr>
        <w:t xml:space="preserve"> </w:t>
      </w:r>
      <w:r w:rsidR="009C6899">
        <w:rPr>
          <w:rFonts w:cstheme="minorHAnsi"/>
          <w:color w:val="000000"/>
          <w:sz w:val="24"/>
          <w:szCs w:val="24"/>
          <w:lang w:val="el-GR"/>
        </w:rPr>
        <w:t>σε</w:t>
      </w:r>
      <w:r w:rsidR="009C6899" w:rsidRPr="009C6899">
        <w:rPr>
          <w:rFonts w:cstheme="minorHAnsi"/>
          <w:color w:val="000000"/>
          <w:sz w:val="24"/>
          <w:szCs w:val="24"/>
          <w:lang w:val="el-GR"/>
        </w:rPr>
        <w:t xml:space="preserve"> </w:t>
      </w:r>
      <w:r w:rsidR="009C6899">
        <w:rPr>
          <w:rFonts w:cstheme="minorHAnsi"/>
          <w:color w:val="000000"/>
          <w:sz w:val="24"/>
          <w:szCs w:val="24"/>
          <w:lang w:val="el-GR"/>
        </w:rPr>
        <w:t>μονάδες</w:t>
      </w:r>
      <w:r w:rsidR="009C6899" w:rsidRPr="009C6899">
        <w:rPr>
          <w:rFonts w:cstheme="minorHAnsi"/>
          <w:color w:val="000000"/>
          <w:sz w:val="24"/>
          <w:szCs w:val="24"/>
          <w:lang w:val="el-GR"/>
        </w:rPr>
        <w:t xml:space="preserve"> </w:t>
      </w:r>
      <w:r w:rsidR="009C6899">
        <w:rPr>
          <w:rFonts w:cstheme="minorHAnsi"/>
          <w:color w:val="000000"/>
          <w:sz w:val="24"/>
          <w:szCs w:val="24"/>
          <w:lang w:val="el-GR"/>
        </w:rPr>
        <w:t>ελέγχου</w:t>
      </w:r>
      <w:r w:rsidR="00A5147D" w:rsidRPr="009C6899">
        <w:rPr>
          <w:rFonts w:cstheme="minorHAnsi"/>
          <w:color w:val="000000"/>
          <w:sz w:val="24"/>
          <w:szCs w:val="24"/>
          <w:lang w:val="el-GR"/>
        </w:rPr>
        <w:t xml:space="preserve"> (</w:t>
      </w:r>
      <w:r w:rsidR="009C6899">
        <w:rPr>
          <w:rFonts w:cstheme="minorHAnsi"/>
          <w:color w:val="000000"/>
          <w:sz w:val="24"/>
          <w:szCs w:val="24"/>
          <w:lang w:val="el-GR"/>
        </w:rPr>
        <w:t>εσωτερικός έλεγχος</w:t>
      </w:r>
      <w:r w:rsidR="00A5147D" w:rsidRPr="009C6899">
        <w:rPr>
          <w:rFonts w:cstheme="minorHAnsi"/>
          <w:color w:val="000000"/>
          <w:sz w:val="24"/>
          <w:szCs w:val="24"/>
          <w:lang w:val="el-GR"/>
        </w:rPr>
        <w:t xml:space="preserve">) </w:t>
      </w:r>
      <w:r w:rsidR="009C6899">
        <w:rPr>
          <w:rFonts w:cstheme="minorHAnsi"/>
          <w:color w:val="000000"/>
          <w:sz w:val="24"/>
          <w:szCs w:val="24"/>
          <w:lang w:val="el-GR"/>
        </w:rPr>
        <w:t>δημοσίων</w:t>
      </w:r>
      <w:r w:rsidR="00FB3418">
        <w:rPr>
          <w:rFonts w:cstheme="minorHAnsi"/>
          <w:color w:val="000000"/>
          <w:sz w:val="24"/>
          <w:szCs w:val="24"/>
          <w:lang w:val="el-GR"/>
        </w:rPr>
        <w:t xml:space="preserve"> φορέων</w:t>
      </w:r>
      <w:r w:rsidR="00A5147D" w:rsidRPr="009C6899">
        <w:rPr>
          <w:rFonts w:cstheme="minorHAnsi"/>
          <w:color w:val="000000"/>
          <w:sz w:val="24"/>
          <w:szCs w:val="24"/>
          <w:lang w:val="el-GR"/>
        </w:rPr>
        <w:t xml:space="preserve">. </w:t>
      </w:r>
      <w:r w:rsidR="00485A05">
        <w:rPr>
          <w:rFonts w:cstheme="minorHAnsi"/>
          <w:color w:val="000000"/>
          <w:sz w:val="24"/>
          <w:szCs w:val="24"/>
          <w:lang w:val="el-GR"/>
        </w:rPr>
        <w:t>Το</w:t>
      </w:r>
      <w:r w:rsidR="00485A05" w:rsidRPr="00485A05">
        <w:rPr>
          <w:rFonts w:cstheme="minorHAnsi"/>
          <w:color w:val="000000"/>
          <w:sz w:val="24"/>
          <w:szCs w:val="24"/>
          <w:lang w:val="el-GR"/>
        </w:rPr>
        <w:t xml:space="preserve"> </w:t>
      </w:r>
      <w:r w:rsidR="00485A05">
        <w:rPr>
          <w:rFonts w:cstheme="minorHAnsi"/>
          <w:color w:val="000000"/>
          <w:sz w:val="24"/>
          <w:szCs w:val="24"/>
          <w:lang w:val="el-GR"/>
        </w:rPr>
        <w:t>Γενικό</w:t>
      </w:r>
      <w:r w:rsidR="00485A05" w:rsidRPr="00485A05">
        <w:rPr>
          <w:rFonts w:cstheme="minorHAnsi"/>
          <w:color w:val="000000"/>
          <w:sz w:val="24"/>
          <w:szCs w:val="24"/>
          <w:lang w:val="el-GR"/>
        </w:rPr>
        <w:t xml:space="preserve"> </w:t>
      </w:r>
      <w:r w:rsidR="00485A05">
        <w:rPr>
          <w:rFonts w:cstheme="minorHAnsi"/>
          <w:color w:val="000000"/>
          <w:sz w:val="24"/>
          <w:szCs w:val="24"/>
          <w:lang w:val="el-GR"/>
        </w:rPr>
        <w:t>Λογιστήριο</w:t>
      </w:r>
      <w:r w:rsidR="00485A05" w:rsidRPr="00485A05">
        <w:rPr>
          <w:rFonts w:cstheme="minorHAnsi"/>
          <w:color w:val="000000"/>
          <w:sz w:val="24"/>
          <w:szCs w:val="24"/>
          <w:lang w:val="el-GR"/>
        </w:rPr>
        <w:t xml:space="preserve"> </w:t>
      </w:r>
      <w:r w:rsidR="00485A05">
        <w:rPr>
          <w:rFonts w:cstheme="minorHAnsi"/>
          <w:color w:val="000000"/>
          <w:sz w:val="24"/>
          <w:szCs w:val="24"/>
          <w:lang w:val="el-GR"/>
        </w:rPr>
        <w:t>της</w:t>
      </w:r>
      <w:r w:rsidR="00485A05" w:rsidRPr="00485A05">
        <w:rPr>
          <w:rFonts w:cstheme="minorHAnsi"/>
          <w:color w:val="000000"/>
          <w:sz w:val="24"/>
          <w:szCs w:val="24"/>
          <w:lang w:val="el-GR"/>
        </w:rPr>
        <w:t xml:space="preserve"> </w:t>
      </w:r>
      <w:r w:rsidR="00485A05">
        <w:rPr>
          <w:rFonts w:cstheme="minorHAnsi"/>
          <w:color w:val="000000"/>
          <w:sz w:val="24"/>
          <w:szCs w:val="24"/>
          <w:lang w:val="el-GR"/>
        </w:rPr>
        <w:t>Δημοκρατίας</w:t>
      </w:r>
      <w:r w:rsidR="00A5147D" w:rsidRPr="00485A05">
        <w:rPr>
          <w:rFonts w:cstheme="minorHAnsi"/>
          <w:color w:val="000000"/>
          <w:sz w:val="24"/>
          <w:szCs w:val="24"/>
          <w:lang w:val="el-GR"/>
        </w:rPr>
        <w:t xml:space="preserve"> </w:t>
      </w:r>
      <w:r w:rsidR="00485A05">
        <w:rPr>
          <w:rFonts w:cstheme="minorHAnsi"/>
          <w:color w:val="000000"/>
          <w:sz w:val="24"/>
          <w:szCs w:val="24"/>
          <w:lang w:val="el-GR"/>
        </w:rPr>
        <w:t>επίσης</w:t>
      </w:r>
      <w:r w:rsidR="00485A05" w:rsidRPr="00485A05">
        <w:rPr>
          <w:rFonts w:cstheme="minorHAnsi"/>
          <w:color w:val="000000"/>
          <w:sz w:val="24"/>
          <w:szCs w:val="24"/>
          <w:lang w:val="el-GR"/>
        </w:rPr>
        <w:t xml:space="preserve"> </w:t>
      </w:r>
      <w:r w:rsidR="00485A05">
        <w:rPr>
          <w:rFonts w:cstheme="minorHAnsi"/>
          <w:color w:val="000000"/>
          <w:sz w:val="24"/>
          <w:szCs w:val="24"/>
          <w:lang w:val="el-GR"/>
        </w:rPr>
        <w:t>έχει</w:t>
      </w:r>
      <w:r w:rsidR="00485A05" w:rsidRPr="00485A05">
        <w:rPr>
          <w:rFonts w:cstheme="minorHAnsi"/>
          <w:color w:val="000000"/>
          <w:sz w:val="24"/>
          <w:szCs w:val="24"/>
          <w:lang w:val="el-GR"/>
        </w:rPr>
        <w:t xml:space="preserve"> </w:t>
      </w:r>
      <w:r w:rsidR="00485A05">
        <w:rPr>
          <w:rFonts w:cstheme="minorHAnsi"/>
          <w:color w:val="000000"/>
          <w:sz w:val="24"/>
          <w:szCs w:val="24"/>
          <w:lang w:val="el-GR"/>
        </w:rPr>
        <w:t>εφαρμόσει</w:t>
      </w:r>
      <w:r w:rsidR="00485A05" w:rsidRPr="00485A05">
        <w:rPr>
          <w:rFonts w:cstheme="minorHAnsi"/>
          <w:color w:val="000000"/>
          <w:sz w:val="24"/>
          <w:szCs w:val="24"/>
          <w:lang w:val="el-GR"/>
        </w:rPr>
        <w:t xml:space="preserve"> </w:t>
      </w:r>
      <w:r w:rsidR="00485A05">
        <w:rPr>
          <w:rFonts w:cstheme="minorHAnsi"/>
          <w:color w:val="000000"/>
          <w:sz w:val="24"/>
          <w:szCs w:val="24"/>
          <w:lang w:val="el-GR"/>
        </w:rPr>
        <w:t>θετικά</w:t>
      </w:r>
      <w:r w:rsidR="00485A05" w:rsidRPr="00485A05">
        <w:rPr>
          <w:rFonts w:cstheme="minorHAnsi"/>
          <w:color w:val="000000"/>
          <w:sz w:val="24"/>
          <w:szCs w:val="24"/>
          <w:lang w:val="el-GR"/>
        </w:rPr>
        <w:t xml:space="preserve"> </w:t>
      </w:r>
      <w:r w:rsidR="00485A05">
        <w:rPr>
          <w:rFonts w:cstheme="minorHAnsi"/>
          <w:color w:val="000000"/>
          <w:sz w:val="24"/>
          <w:szCs w:val="24"/>
          <w:lang w:val="el-GR"/>
        </w:rPr>
        <w:t xml:space="preserve">μέτρα για </w:t>
      </w:r>
      <w:r w:rsidR="00DF65EA">
        <w:rPr>
          <w:rFonts w:cstheme="minorHAnsi"/>
          <w:color w:val="000000"/>
          <w:sz w:val="24"/>
          <w:szCs w:val="24"/>
          <w:lang w:val="el-GR"/>
        </w:rPr>
        <w:t xml:space="preserve">διασφάλιση </w:t>
      </w:r>
      <w:r w:rsidR="00485A05">
        <w:rPr>
          <w:rFonts w:cstheme="minorHAnsi"/>
          <w:color w:val="000000"/>
          <w:sz w:val="24"/>
          <w:szCs w:val="24"/>
          <w:lang w:val="el-GR"/>
        </w:rPr>
        <w:t>υγιούς και διαφανής οικονομικής διαχείρ</w:t>
      </w:r>
      <w:r w:rsidR="00093122">
        <w:rPr>
          <w:rFonts w:cstheme="minorHAnsi"/>
          <w:color w:val="000000"/>
          <w:sz w:val="24"/>
          <w:szCs w:val="24"/>
          <w:lang w:val="el-GR"/>
        </w:rPr>
        <w:t>ι</w:t>
      </w:r>
      <w:r w:rsidR="00485A05">
        <w:rPr>
          <w:rFonts w:cstheme="minorHAnsi"/>
          <w:color w:val="000000"/>
          <w:sz w:val="24"/>
          <w:szCs w:val="24"/>
          <w:lang w:val="el-GR"/>
        </w:rPr>
        <w:t>σης</w:t>
      </w:r>
      <w:r w:rsidR="00A5147D" w:rsidRPr="00485A05">
        <w:rPr>
          <w:rFonts w:cstheme="minorHAnsi"/>
          <w:color w:val="000000"/>
          <w:sz w:val="24"/>
          <w:szCs w:val="24"/>
          <w:lang w:val="el-GR"/>
        </w:rPr>
        <w:t xml:space="preserve">. </w:t>
      </w:r>
      <w:r w:rsidR="00485A05">
        <w:rPr>
          <w:rFonts w:cstheme="minorHAnsi"/>
          <w:color w:val="000000"/>
          <w:sz w:val="24"/>
          <w:szCs w:val="24"/>
          <w:lang w:val="el-GR"/>
        </w:rPr>
        <w:t>Επιπλέον</w:t>
      </w:r>
      <w:r w:rsidR="00A5147D" w:rsidRPr="00485A05">
        <w:rPr>
          <w:rFonts w:cstheme="minorHAnsi"/>
          <w:color w:val="000000"/>
          <w:sz w:val="24"/>
          <w:szCs w:val="24"/>
          <w:lang w:val="el-GR"/>
        </w:rPr>
        <w:t xml:space="preserve">, </w:t>
      </w:r>
      <w:r w:rsidR="00485A05">
        <w:rPr>
          <w:rFonts w:cstheme="minorHAnsi"/>
          <w:color w:val="000000"/>
          <w:sz w:val="24"/>
          <w:szCs w:val="24"/>
          <w:lang w:val="el-GR"/>
        </w:rPr>
        <w:t>ο</w:t>
      </w:r>
      <w:r w:rsidR="00485A05" w:rsidRPr="00485A05">
        <w:rPr>
          <w:rFonts w:cstheme="minorHAnsi"/>
          <w:color w:val="000000"/>
          <w:sz w:val="24"/>
          <w:szCs w:val="24"/>
          <w:lang w:val="el-GR"/>
        </w:rPr>
        <w:t xml:space="preserve"> </w:t>
      </w:r>
      <w:r w:rsidR="00485A05">
        <w:rPr>
          <w:rFonts w:cstheme="minorHAnsi"/>
          <w:color w:val="000000"/>
          <w:sz w:val="24"/>
          <w:szCs w:val="24"/>
          <w:lang w:val="el-GR"/>
        </w:rPr>
        <w:t>Γενικός</w:t>
      </w:r>
      <w:r w:rsidR="00485A05" w:rsidRPr="00485A05">
        <w:rPr>
          <w:rFonts w:cstheme="minorHAnsi"/>
          <w:color w:val="000000"/>
          <w:sz w:val="24"/>
          <w:szCs w:val="24"/>
          <w:lang w:val="el-GR"/>
        </w:rPr>
        <w:t xml:space="preserve"> </w:t>
      </w:r>
      <w:r w:rsidR="00485A05">
        <w:rPr>
          <w:rFonts w:cstheme="minorHAnsi"/>
          <w:color w:val="000000"/>
          <w:sz w:val="24"/>
          <w:szCs w:val="24"/>
          <w:lang w:val="el-GR"/>
        </w:rPr>
        <w:t>Ελεγκτής</w:t>
      </w:r>
      <w:r w:rsidR="00485A05" w:rsidRPr="00485A05">
        <w:rPr>
          <w:rFonts w:cstheme="minorHAnsi"/>
          <w:color w:val="000000"/>
          <w:sz w:val="24"/>
          <w:szCs w:val="24"/>
          <w:lang w:val="el-GR"/>
        </w:rPr>
        <w:t xml:space="preserve"> </w:t>
      </w:r>
      <w:r w:rsidR="00485A05">
        <w:rPr>
          <w:rFonts w:cstheme="minorHAnsi"/>
          <w:color w:val="000000"/>
          <w:sz w:val="24"/>
          <w:szCs w:val="24"/>
          <w:lang w:val="el-GR"/>
        </w:rPr>
        <w:t>έχει</w:t>
      </w:r>
      <w:r w:rsidR="00485A05" w:rsidRPr="00485A05">
        <w:rPr>
          <w:rFonts w:cstheme="minorHAnsi"/>
          <w:color w:val="000000"/>
          <w:sz w:val="24"/>
          <w:szCs w:val="24"/>
          <w:lang w:val="el-GR"/>
        </w:rPr>
        <w:t xml:space="preserve"> </w:t>
      </w:r>
      <w:r w:rsidR="00485A05">
        <w:rPr>
          <w:rFonts w:cstheme="minorHAnsi"/>
          <w:color w:val="000000"/>
          <w:sz w:val="24"/>
          <w:szCs w:val="24"/>
          <w:lang w:val="el-GR"/>
        </w:rPr>
        <w:t>επιδείξει</w:t>
      </w:r>
      <w:r w:rsidR="00485A05" w:rsidRPr="00485A05">
        <w:rPr>
          <w:rFonts w:cstheme="minorHAnsi"/>
          <w:color w:val="000000"/>
          <w:sz w:val="24"/>
          <w:szCs w:val="24"/>
          <w:lang w:val="el-GR"/>
        </w:rPr>
        <w:t xml:space="preserve"> </w:t>
      </w:r>
      <w:r w:rsidR="00485A05">
        <w:rPr>
          <w:rFonts w:cstheme="minorHAnsi"/>
          <w:color w:val="000000"/>
          <w:sz w:val="24"/>
          <w:szCs w:val="24"/>
          <w:lang w:val="el-GR"/>
        </w:rPr>
        <w:t>ένα</w:t>
      </w:r>
      <w:r w:rsidR="00485A05" w:rsidRPr="00485A05">
        <w:rPr>
          <w:rFonts w:cstheme="minorHAnsi"/>
          <w:color w:val="000000"/>
          <w:sz w:val="24"/>
          <w:szCs w:val="24"/>
          <w:lang w:val="el-GR"/>
        </w:rPr>
        <w:t xml:space="preserve"> </w:t>
      </w:r>
      <w:r w:rsidR="00485A05">
        <w:rPr>
          <w:rFonts w:cstheme="minorHAnsi"/>
          <w:color w:val="000000"/>
          <w:sz w:val="24"/>
          <w:szCs w:val="24"/>
          <w:lang w:val="el-GR"/>
        </w:rPr>
        <w:t>κρίσιμο</w:t>
      </w:r>
      <w:r w:rsidR="00485A05" w:rsidRPr="00485A05">
        <w:rPr>
          <w:rFonts w:cstheme="minorHAnsi"/>
          <w:color w:val="000000"/>
          <w:sz w:val="24"/>
          <w:szCs w:val="24"/>
          <w:lang w:val="el-GR"/>
        </w:rPr>
        <w:t xml:space="preserve"> </w:t>
      </w:r>
      <w:r w:rsidR="00485A05">
        <w:rPr>
          <w:rFonts w:cstheme="minorHAnsi"/>
          <w:color w:val="000000"/>
          <w:sz w:val="24"/>
          <w:szCs w:val="24"/>
          <w:lang w:val="el-GR"/>
        </w:rPr>
        <w:t>ρόλο</w:t>
      </w:r>
      <w:r w:rsidR="00485A05" w:rsidRPr="00485A05">
        <w:rPr>
          <w:rFonts w:cstheme="minorHAnsi"/>
          <w:color w:val="000000"/>
          <w:sz w:val="24"/>
          <w:szCs w:val="24"/>
          <w:lang w:val="el-GR"/>
        </w:rPr>
        <w:t xml:space="preserve"> </w:t>
      </w:r>
      <w:r w:rsidR="00485A05">
        <w:rPr>
          <w:rFonts w:cstheme="minorHAnsi"/>
          <w:color w:val="000000"/>
          <w:sz w:val="24"/>
          <w:szCs w:val="24"/>
          <w:lang w:val="el-GR"/>
        </w:rPr>
        <w:t>ως</w:t>
      </w:r>
      <w:r w:rsidR="00485A05" w:rsidRPr="00485A05">
        <w:rPr>
          <w:rFonts w:cstheme="minorHAnsi"/>
          <w:color w:val="000000"/>
          <w:sz w:val="24"/>
          <w:szCs w:val="24"/>
          <w:lang w:val="el-GR"/>
        </w:rPr>
        <w:t xml:space="preserve"> </w:t>
      </w:r>
      <w:r w:rsidR="00485A05">
        <w:rPr>
          <w:rFonts w:cstheme="minorHAnsi"/>
          <w:color w:val="000000"/>
          <w:sz w:val="24"/>
          <w:szCs w:val="24"/>
          <w:lang w:val="el-GR"/>
        </w:rPr>
        <w:t>ένα</w:t>
      </w:r>
      <w:r w:rsidR="00A60538">
        <w:rPr>
          <w:rFonts w:cstheme="minorHAnsi"/>
          <w:color w:val="000000"/>
          <w:sz w:val="24"/>
          <w:szCs w:val="24"/>
          <w:lang w:val="el-GR"/>
        </w:rPr>
        <w:t>ς</w:t>
      </w:r>
      <w:r w:rsidR="00485A05" w:rsidRPr="00485A05">
        <w:rPr>
          <w:rFonts w:cstheme="minorHAnsi"/>
          <w:color w:val="000000"/>
          <w:sz w:val="24"/>
          <w:szCs w:val="24"/>
          <w:lang w:val="el-GR"/>
        </w:rPr>
        <w:t xml:space="preserve"> </w:t>
      </w:r>
      <w:r w:rsidR="00485A05">
        <w:rPr>
          <w:rFonts w:cstheme="minorHAnsi"/>
          <w:color w:val="000000"/>
          <w:sz w:val="24"/>
          <w:szCs w:val="24"/>
          <w:lang w:val="el-GR"/>
        </w:rPr>
        <w:t>εξωτερικός</w:t>
      </w:r>
      <w:r w:rsidR="00485A05" w:rsidRPr="00485A05">
        <w:rPr>
          <w:rFonts w:cstheme="minorHAnsi"/>
          <w:color w:val="000000"/>
          <w:sz w:val="24"/>
          <w:szCs w:val="24"/>
          <w:lang w:val="el-GR"/>
        </w:rPr>
        <w:t xml:space="preserve"> </w:t>
      </w:r>
      <w:r w:rsidR="00485A05">
        <w:rPr>
          <w:rFonts w:cstheme="minorHAnsi"/>
          <w:color w:val="000000"/>
          <w:sz w:val="24"/>
          <w:szCs w:val="24"/>
          <w:lang w:val="el-GR"/>
        </w:rPr>
        <w:t>ελεγκτής των δημοσίων υπηρεσιών</w:t>
      </w:r>
      <w:r w:rsidR="00A5147D" w:rsidRPr="00485A05">
        <w:rPr>
          <w:sz w:val="24"/>
          <w:szCs w:val="24"/>
          <w:lang w:val="el-GR"/>
        </w:rPr>
        <w:t xml:space="preserve">. </w:t>
      </w:r>
    </w:p>
    <w:p w14:paraId="2966E2FD" w14:textId="77777777" w:rsidR="00A5147D" w:rsidRPr="00485A05" w:rsidRDefault="00A5147D" w:rsidP="00A5147D">
      <w:pPr>
        <w:pStyle w:val="ListParagraph"/>
        <w:rPr>
          <w:rFonts w:cstheme="minorHAnsi"/>
          <w:color w:val="000000"/>
          <w:sz w:val="24"/>
          <w:szCs w:val="24"/>
          <w:lang w:val="el-GR"/>
        </w:rPr>
      </w:pPr>
    </w:p>
    <w:p w14:paraId="6B1EC1E0" w14:textId="414746F0" w:rsidR="00A5147D" w:rsidRPr="00392288" w:rsidRDefault="00485A05" w:rsidP="00A5147D">
      <w:pPr>
        <w:numPr>
          <w:ilvl w:val="0"/>
          <w:numId w:val="1"/>
        </w:numPr>
        <w:tabs>
          <w:tab w:val="left" w:pos="709"/>
        </w:tabs>
        <w:ind w:left="0" w:firstLine="0"/>
        <w:rPr>
          <w:rFonts w:cstheme="minorHAnsi"/>
          <w:color w:val="000000"/>
          <w:sz w:val="24"/>
          <w:szCs w:val="24"/>
          <w:lang w:val="el-GR"/>
        </w:rPr>
      </w:pPr>
      <w:r>
        <w:rPr>
          <w:rFonts w:cstheme="minorHAnsi"/>
          <w:color w:val="000000"/>
          <w:sz w:val="24"/>
          <w:szCs w:val="24"/>
          <w:lang w:val="el-GR"/>
        </w:rPr>
        <w:t>Ενώ</w:t>
      </w:r>
      <w:r w:rsidRPr="00F9688B">
        <w:rPr>
          <w:rFonts w:cstheme="minorHAnsi"/>
          <w:color w:val="000000"/>
          <w:sz w:val="24"/>
          <w:szCs w:val="24"/>
          <w:lang w:val="el-GR"/>
        </w:rPr>
        <w:t xml:space="preserve"> </w:t>
      </w:r>
      <w:r>
        <w:rPr>
          <w:rFonts w:cstheme="minorHAnsi"/>
          <w:color w:val="000000"/>
          <w:sz w:val="24"/>
          <w:szCs w:val="24"/>
          <w:lang w:val="el-GR"/>
        </w:rPr>
        <w:t>η</w:t>
      </w:r>
      <w:r w:rsidRPr="00F9688B">
        <w:rPr>
          <w:rFonts w:cstheme="minorHAnsi"/>
          <w:color w:val="000000"/>
          <w:sz w:val="24"/>
          <w:szCs w:val="24"/>
          <w:lang w:val="el-GR"/>
        </w:rPr>
        <w:t xml:space="preserve"> </w:t>
      </w:r>
      <w:r>
        <w:rPr>
          <w:rFonts w:cstheme="minorHAnsi"/>
          <w:color w:val="000000"/>
          <w:sz w:val="24"/>
          <w:szCs w:val="24"/>
          <w:lang w:val="el-GR"/>
        </w:rPr>
        <w:t>νομοθεσία</w:t>
      </w:r>
      <w:r w:rsidRPr="00F9688B">
        <w:rPr>
          <w:rFonts w:cstheme="minorHAnsi"/>
          <w:color w:val="000000"/>
          <w:sz w:val="24"/>
          <w:szCs w:val="24"/>
          <w:lang w:val="el-GR"/>
        </w:rPr>
        <w:t xml:space="preserve">, </w:t>
      </w:r>
      <w:r w:rsidR="00DF65EA">
        <w:rPr>
          <w:rFonts w:cstheme="minorHAnsi"/>
          <w:color w:val="000000"/>
          <w:sz w:val="24"/>
          <w:szCs w:val="24"/>
          <w:lang w:val="el-GR"/>
        </w:rPr>
        <w:t>ως έχει καταγραφεί</w:t>
      </w:r>
      <w:r w:rsidRPr="00F9688B">
        <w:rPr>
          <w:rFonts w:cstheme="minorHAnsi"/>
          <w:color w:val="000000"/>
          <w:sz w:val="24"/>
          <w:szCs w:val="24"/>
          <w:lang w:val="el-GR"/>
        </w:rPr>
        <w:t xml:space="preserve">, </w:t>
      </w:r>
      <w:r>
        <w:rPr>
          <w:rFonts w:cstheme="minorHAnsi"/>
          <w:color w:val="000000"/>
          <w:sz w:val="24"/>
          <w:szCs w:val="24"/>
          <w:lang w:val="el-GR"/>
        </w:rPr>
        <w:t>έχει</w:t>
      </w:r>
      <w:r w:rsidRPr="00F9688B">
        <w:rPr>
          <w:rFonts w:cstheme="minorHAnsi"/>
          <w:color w:val="000000"/>
          <w:sz w:val="24"/>
          <w:szCs w:val="24"/>
          <w:lang w:val="el-GR"/>
        </w:rPr>
        <w:t xml:space="preserve"> </w:t>
      </w:r>
      <w:r>
        <w:rPr>
          <w:rFonts w:cstheme="minorHAnsi"/>
          <w:color w:val="000000"/>
          <w:sz w:val="24"/>
          <w:szCs w:val="24"/>
          <w:lang w:val="el-GR"/>
        </w:rPr>
        <w:t>κάποια</w:t>
      </w:r>
      <w:r w:rsidRPr="00F9688B">
        <w:rPr>
          <w:rFonts w:cstheme="minorHAnsi"/>
          <w:color w:val="000000"/>
          <w:sz w:val="24"/>
          <w:szCs w:val="24"/>
          <w:lang w:val="el-GR"/>
        </w:rPr>
        <w:t xml:space="preserve"> </w:t>
      </w:r>
      <w:r>
        <w:rPr>
          <w:rFonts w:cstheme="minorHAnsi"/>
          <w:color w:val="000000"/>
          <w:sz w:val="24"/>
          <w:szCs w:val="24"/>
          <w:lang w:val="el-GR"/>
        </w:rPr>
        <w:t>δυνατά</w:t>
      </w:r>
      <w:r w:rsidRPr="00F9688B">
        <w:rPr>
          <w:rFonts w:cstheme="minorHAnsi"/>
          <w:color w:val="000000"/>
          <w:sz w:val="24"/>
          <w:szCs w:val="24"/>
          <w:lang w:val="el-GR"/>
        </w:rPr>
        <w:t xml:space="preserve"> </w:t>
      </w:r>
      <w:r>
        <w:rPr>
          <w:rFonts w:cstheme="minorHAnsi"/>
          <w:color w:val="000000"/>
          <w:sz w:val="24"/>
          <w:szCs w:val="24"/>
          <w:lang w:val="el-GR"/>
        </w:rPr>
        <w:t>χαρακτηριστικά</w:t>
      </w:r>
      <w:r w:rsidR="00336B15" w:rsidRPr="00F9688B">
        <w:rPr>
          <w:rFonts w:cstheme="minorHAnsi"/>
          <w:color w:val="000000"/>
          <w:sz w:val="24"/>
          <w:szCs w:val="24"/>
          <w:lang w:val="el-GR"/>
        </w:rPr>
        <w:t xml:space="preserve">, </w:t>
      </w:r>
      <w:r>
        <w:rPr>
          <w:rFonts w:cstheme="minorHAnsi"/>
          <w:color w:val="000000"/>
          <w:sz w:val="24"/>
          <w:szCs w:val="24"/>
          <w:lang w:val="el-GR"/>
        </w:rPr>
        <w:t>η</w:t>
      </w:r>
      <w:r w:rsidRPr="00F9688B">
        <w:rPr>
          <w:rFonts w:cstheme="minorHAnsi"/>
          <w:color w:val="000000"/>
          <w:sz w:val="24"/>
          <w:szCs w:val="24"/>
          <w:lang w:val="el-GR"/>
        </w:rPr>
        <w:t xml:space="preserve"> </w:t>
      </w:r>
      <w:r>
        <w:rPr>
          <w:rFonts w:cstheme="minorHAnsi"/>
          <w:color w:val="000000"/>
          <w:sz w:val="24"/>
          <w:szCs w:val="24"/>
          <w:lang w:val="el-GR"/>
        </w:rPr>
        <w:t>αποτελεσματικότητα</w:t>
      </w:r>
      <w:r w:rsidRPr="00F9688B">
        <w:rPr>
          <w:rFonts w:cstheme="minorHAnsi"/>
          <w:color w:val="000000"/>
          <w:sz w:val="24"/>
          <w:szCs w:val="24"/>
          <w:lang w:val="el-GR"/>
        </w:rPr>
        <w:t xml:space="preserve"> </w:t>
      </w:r>
      <w:r>
        <w:rPr>
          <w:rFonts w:cstheme="minorHAnsi"/>
          <w:color w:val="000000"/>
          <w:sz w:val="24"/>
          <w:szCs w:val="24"/>
          <w:lang w:val="el-GR"/>
        </w:rPr>
        <w:t>της</w:t>
      </w:r>
      <w:r w:rsidRPr="00F9688B">
        <w:rPr>
          <w:rFonts w:cstheme="minorHAnsi"/>
          <w:color w:val="000000"/>
          <w:sz w:val="24"/>
          <w:szCs w:val="24"/>
          <w:lang w:val="el-GR"/>
        </w:rPr>
        <w:t xml:space="preserve"> </w:t>
      </w:r>
      <w:r w:rsidR="00093122">
        <w:rPr>
          <w:rFonts w:cstheme="minorHAnsi"/>
          <w:color w:val="000000"/>
          <w:sz w:val="24"/>
          <w:szCs w:val="24"/>
          <w:lang w:val="el-GR"/>
        </w:rPr>
        <w:t xml:space="preserve">τίθεται σε κίνδυνο </w:t>
      </w:r>
      <w:r>
        <w:rPr>
          <w:rFonts w:cstheme="minorHAnsi"/>
          <w:color w:val="000000"/>
          <w:sz w:val="24"/>
          <w:szCs w:val="24"/>
          <w:lang w:val="el-GR"/>
        </w:rPr>
        <w:t>από</w:t>
      </w:r>
      <w:r w:rsidRPr="00F9688B">
        <w:rPr>
          <w:rFonts w:cstheme="minorHAnsi"/>
          <w:color w:val="000000"/>
          <w:sz w:val="24"/>
          <w:szCs w:val="24"/>
          <w:lang w:val="el-GR"/>
        </w:rPr>
        <w:t xml:space="preserve"> </w:t>
      </w:r>
      <w:r>
        <w:rPr>
          <w:rFonts w:cstheme="minorHAnsi"/>
          <w:color w:val="000000"/>
          <w:sz w:val="24"/>
          <w:szCs w:val="24"/>
          <w:lang w:val="el-GR"/>
        </w:rPr>
        <w:t>θεσμικά</w:t>
      </w:r>
      <w:r w:rsidR="00DF65EA">
        <w:rPr>
          <w:rFonts w:cstheme="minorHAnsi"/>
          <w:color w:val="000000"/>
          <w:sz w:val="24"/>
          <w:szCs w:val="24"/>
          <w:lang w:val="el-GR"/>
        </w:rPr>
        <w:t xml:space="preserve"> ελαττώματα</w:t>
      </w:r>
      <w:r w:rsidRPr="00F9688B">
        <w:rPr>
          <w:rFonts w:cstheme="minorHAnsi"/>
          <w:color w:val="000000"/>
          <w:sz w:val="24"/>
          <w:szCs w:val="24"/>
          <w:lang w:val="el-GR"/>
        </w:rPr>
        <w:t xml:space="preserve">, </w:t>
      </w:r>
      <w:r>
        <w:rPr>
          <w:rFonts w:cstheme="minorHAnsi"/>
          <w:color w:val="000000"/>
          <w:sz w:val="24"/>
          <w:szCs w:val="24"/>
          <w:lang w:val="el-GR"/>
        </w:rPr>
        <w:t>συμπεριλαμβανομένου</w:t>
      </w:r>
      <w:r w:rsidRPr="00F9688B">
        <w:rPr>
          <w:rFonts w:cstheme="minorHAnsi"/>
          <w:color w:val="000000"/>
          <w:sz w:val="24"/>
          <w:szCs w:val="24"/>
          <w:lang w:val="el-GR"/>
        </w:rPr>
        <w:t xml:space="preserve"> </w:t>
      </w:r>
      <w:r w:rsidR="004769E8" w:rsidRPr="002B7C4B">
        <w:rPr>
          <w:rFonts w:cstheme="minorHAnsi"/>
          <w:color w:val="000000"/>
          <w:sz w:val="24"/>
          <w:szCs w:val="24"/>
          <w:lang w:val="el-GR"/>
        </w:rPr>
        <w:t xml:space="preserve"> </w:t>
      </w:r>
      <w:r w:rsidR="004769E8">
        <w:rPr>
          <w:rFonts w:cstheme="minorHAnsi"/>
          <w:color w:val="000000"/>
          <w:sz w:val="24"/>
          <w:szCs w:val="24"/>
          <w:lang w:val="el-GR"/>
        </w:rPr>
        <w:t xml:space="preserve">της πληθώρας </w:t>
      </w:r>
      <w:r>
        <w:rPr>
          <w:rFonts w:cstheme="minorHAnsi"/>
          <w:color w:val="000000"/>
          <w:sz w:val="24"/>
          <w:szCs w:val="24"/>
          <w:lang w:val="el-GR"/>
        </w:rPr>
        <w:t>των</w:t>
      </w:r>
      <w:r w:rsidRPr="00F9688B">
        <w:rPr>
          <w:rFonts w:cstheme="minorHAnsi"/>
          <w:color w:val="000000"/>
          <w:sz w:val="24"/>
          <w:szCs w:val="24"/>
          <w:lang w:val="el-GR"/>
        </w:rPr>
        <w:t xml:space="preserve"> </w:t>
      </w:r>
      <w:r>
        <w:rPr>
          <w:rFonts w:cstheme="minorHAnsi"/>
          <w:color w:val="000000"/>
          <w:sz w:val="24"/>
          <w:szCs w:val="24"/>
          <w:lang w:val="el-GR"/>
        </w:rPr>
        <w:t>επιτροπών</w:t>
      </w:r>
      <w:r w:rsidRPr="00F9688B">
        <w:rPr>
          <w:rFonts w:cstheme="minorHAnsi"/>
          <w:color w:val="000000"/>
          <w:sz w:val="24"/>
          <w:szCs w:val="24"/>
          <w:lang w:val="el-GR"/>
        </w:rPr>
        <w:t xml:space="preserve"> </w:t>
      </w:r>
      <w:r>
        <w:rPr>
          <w:rFonts w:cstheme="minorHAnsi"/>
          <w:color w:val="000000"/>
          <w:sz w:val="24"/>
          <w:szCs w:val="24"/>
          <w:lang w:val="el-GR"/>
        </w:rPr>
        <w:t>με</w:t>
      </w:r>
      <w:r w:rsidRPr="00F9688B">
        <w:rPr>
          <w:rFonts w:cstheme="minorHAnsi"/>
          <w:color w:val="000000"/>
          <w:sz w:val="24"/>
          <w:szCs w:val="24"/>
          <w:lang w:val="el-GR"/>
        </w:rPr>
        <w:t xml:space="preserve"> </w:t>
      </w:r>
      <w:r>
        <w:rPr>
          <w:rFonts w:cstheme="minorHAnsi"/>
          <w:color w:val="000000"/>
          <w:sz w:val="24"/>
          <w:szCs w:val="24"/>
          <w:lang w:val="el-GR"/>
        </w:rPr>
        <w:t>λίγ</w:t>
      </w:r>
      <w:r w:rsidR="00F9688B">
        <w:rPr>
          <w:rFonts w:cstheme="minorHAnsi"/>
          <w:color w:val="000000"/>
          <w:sz w:val="24"/>
          <w:szCs w:val="24"/>
          <w:lang w:val="el-GR"/>
        </w:rPr>
        <w:t>ο συντονισμό</w:t>
      </w:r>
      <w:r w:rsidR="00A5147D" w:rsidRPr="00F9688B">
        <w:rPr>
          <w:rFonts w:cstheme="minorHAnsi"/>
          <w:color w:val="000000"/>
          <w:sz w:val="24"/>
          <w:szCs w:val="24"/>
          <w:lang w:val="el-GR"/>
        </w:rPr>
        <w:t xml:space="preserve">, </w:t>
      </w:r>
      <w:r w:rsidR="00F9688B">
        <w:rPr>
          <w:rFonts w:cstheme="minorHAnsi"/>
          <w:color w:val="000000"/>
          <w:sz w:val="24"/>
          <w:szCs w:val="24"/>
          <w:lang w:val="el-GR"/>
        </w:rPr>
        <w:t xml:space="preserve">της έλλειψης </w:t>
      </w:r>
      <w:r w:rsidR="00A60538">
        <w:rPr>
          <w:rFonts w:cstheme="minorHAnsi"/>
          <w:color w:val="000000"/>
          <w:sz w:val="24"/>
          <w:szCs w:val="24"/>
          <w:lang w:val="el-GR"/>
        </w:rPr>
        <w:t>επ</w:t>
      </w:r>
      <w:r w:rsidR="00F9688B">
        <w:rPr>
          <w:rFonts w:cstheme="minorHAnsi"/>
          <w:color w:val="000000"/>
          <w:sz w:val="24"/>
          <w:szCs w:val="24"/>
          <w:lang w:val="el-GR"/>
        </w:rPr>
        <w:t>αρκών πόρων</w:t>
      </w:r>
      <w:r w:rsidR="00A5147D" w:rsidRPr="00F9688B">
        <w:rPr>
          <w:rFonts w:cstheme="minorHAnsi"/>
          <w:color w:val="000000"/>
          <w:sz w:val="24"/>
          <w:szCs w:val="24"/>
          <w:lang w:val="el-GR"/>
        </w:rPr>
        <w:t xml:space="preserve">, </w:t>
      </w:r>
      <w:r w:rsidR="00F9688B">
        <w:rPr>
          <w:rFonts w:cstheme="minorHAnsi"/>
          <w:color w:val="000000"/>
          <w:sz w:val="24"/>
          <w:szCs w:val="24"/>
          <w:lang w:val="el-GR"/>
        </w:rPr>
        <w:t>τεχνογνωσίας και εξουσίας</w:t>
      </w:r>
      <w:r w:rsidR="00A5147D" w:rsidRPr="00F9688B">
        <w:rPr>
          <w:rFonts w:cstheme="minorHAnsi"/>
          <w:color w:val="000000"/>
          <w:sz w:val="24"/>
          <w:szCs w:val="24"/>
          <w:lang w:val="el-GR"/>
        </w:rPr>
        <w:t xml:space="preserve">, </w:t>
      </w:r>
      <w:r w:rsidR="004769E8">
        <w:rPr>
          <w:rFonts w:cstheme="minorHAnsi"/>
          <w:color w:val="000000"/>
          <w:sz w:val="24"/>
          <w:szCs w:val="24"/>
          <w:lang w:val="el-GR"/>
        </w:rPr>
        <w:t>τ</w:t>
      </w:r>
      <w:r w:rsidR="00F9688B">
        <w:rPr>
          <w:rFonts w:cstheme="minorHAnsi"/>
          <w:color w:val="000000"/>
          <w:sz w:val="24"/>
          <w:szCs w:val="24"/>
          <w:lang w:val="el-GR"/>
        </w:rPr>
        <w:t>η</w:t>
      </w:r>
      <w:r w:rsidR="004769E8">
        <w:rPr>
          <w:rFonts w:cstheme="minorHAnsi"/>
          <w:color w:val="000000"/>
          <w:sz w:val="24"/>
          <w:szCs w:val="24"/>
          <w:lang w:val="el-GR"/>
        </w:rPr>
        <w:t>ς</w:t>
      </w:r>
      <w:r w:rsidR="00F9688B">
        <w:rPr>
          <w:rFonts w:cstheme="minorHAnsi"/>
          <w:color w:val="000000"/>
          <w:sz w:val="24"/>
          <w:szCs w:val="24"/>
          <w:lang w:val="el-GR"/>
        </w:rPr>
        <w:t xml:space="preserve"> έλλειψη</w:t>
      </w:r>
      <w:r w:rsidR="004769E8">
        <w:rPr>
          <w:rFonts w:cstheme="minorHAnsi"/>
          <w:color w:val="000000"/>
          <w:sz w:val="24"/>
          <w:szCs w:val="24"/>
          <w:lang w:val="el-GR"/>
        </w:rPr>
        <w:t>ς</w:t>
      </w:r>
      <w:r w:rsidR="00F9688B">
        <w:rPr>
          <w:rFonts w:cstheme="minorHAnsi"/>
          <w:color w:val="000000"/>
          <w:sz w:val="24"/>
          <w:szCs w:val="24"/>
          <w:lang w:val="el-GR"/>
        </w:rPr>
        <w:t xml:space="preserve"> ανεξαρτησίας</w:t>
      </w:r>
      <w:r w:rsidR="004B1219" w:rsidRPr="00F9688B">
        <w:rPr>
          <w:rFonts w:cstheme="minorHAnsi"/>
          <w:color w:val="000000"/>
          <w:sz w:val="24"/>
          <w:szCs w:val="24"/>
          <w:lang w:val="el-GR"/>
        </w:rPr>
        <w:t xml:space="preserve">, </w:t>
      </w:r>
      <w:r w:rsidR="00F9688B">
        <w:rPr>
          <w:rFonts w:cstheme="minorHAnsi"/>
          <w:color w:val="000000"/>
          <w:sz w:val="24"/>
          <w:szCs w:val="24"/>
          <w:lang w:val="el-GR"/>
        </w:rPr>
        <w:t xml:space="preserve">καθώς επίσης και </w:t>
      </w:r>
      <w:r w:rsidR="004769E8">
        <w:rPr>
          <w:rFonts w:cstheme="minorHAnsi"/>
          <w:color w:val="000000"/>
          <w:sz w:val="24"/>
          <w:szCs w:val="24"/>
          <w:lang w:val="el-GR"/>
        </w:rPr>
        <w:t>τ</w:t>
      </w:r>
      <w:r w:rsidR="00F9688B">
        <w:rPr>
          <w:rFonts w:cstheme="minorHAnsi"/>
          <w:color w:val="000000"/>
          <w:sz w:val="24"/>
          <w:szCs w:val="24"/>
          <w:lang w:val="el-GR"/>
        </w:rPr>
        <w:t>η</w:t>
      </w:r>
      <w:r w:rsidR="004769E8">
        <w:rPr>
          <w:rFonts w:cstheme="minorHAnsi"/>
          <w:color w:val="000000"/>
          <w:sz w:val="24"/>
          <w:szCs w:val="24"/>
          <w:lang w:val="el-GR"/>
        </w:rPr>
        <w:t>ς</w:t>
      </w:r>
      <w:r w:rsidR="00F9688B">
        <w:rPr>
          <w:rFonts w:cstheme="minorHAnsi"/>
          <w:color w:val="000000"/>
          <w:sz w:val="24"/>
          <w:szCs w:val="24"/>
          <w:lang w:val="el-GR"/>
        </w:rPr>
        <w:t xml:space="preserve"> έλλειψη</w:t>
      </w:r>
      <w:r w:rsidR="004769E8">
        <w:rPr>
          <w:rFonts w:cstheme="minorHAnsi"/>
          <w:color w:val="000000"/>
          <w:sz w:val="24"/>
          <w:szCs w:val="24"/>
          <w:lang w:val="el-GR"/>
        </w:rPr>
        <w:t>ς</w:t>
      </w:r>
      <w:r w:rsidR="00F9688B">
        <w:rPr>
          <w:rFonts w:cstheme="minorHAnsi"/>
          <w:color w:val="000000"/>
          <w:sz w:val="24"/>
          <w:szCs w:val="24"/>
          <w:lang w:val="el-GR"/>
        </w:rPr>
        <w:t xml:space="preserve"> αποτελεσματικής συνεργασ</w:t>
      </w:r>
      <w:r w:rsidR="00A60538">
        <w:rPr>
          <w:rFonts w:cstheme="minorHAnsi"/>
          <w:color w:val="000000"/>
          <w:sz w:val="24"/>
          <w:szCs w:val="24"/>
          <w:lang w:val="el-GR"/>
        </w:rPr>
        <w:t>ί</w:t>
      </w:r>
      <w:r w:rsidR="00F9688B">
        <w:rPr>
          <w:rFonts w:cstheme="minorHAnsi"/>
          <w:color w:val="000000"/>
          <w:sz w:val="24"/>
          <w:szCs w:val="24"/>
          <w:lang w:val="el-GR"/>
        </w:rPr>
        <w:t>ας</w:t>
      </w:r>
      <w:r w:rsidR="00702DE3" w:rsidRPr="00F9688B">
        <w:rPr>
          <w:rFonts w:cstheme="minorHAnsi"/>
          <w:color w:val="000000"/>
          <w:sz w:val="24"/>
          <w:szCs w:val="24"/>
          <w:lang w:val="el-GR"/>
        </w:rPr>
        <w:t xml:space="preserve"> </w:t>
      </w:r>
      <w:r w:rsidR="00F9688B">
        <w:rPr>
          <w:rFonts w:cstheme="minorHAnsi"/>
          <w:color w:val="000000"/>
          <w:sz w:val="24"/>
          <w:szCs w:val="24"/>
          <w:lang w:val="el-GR"/>
        </w:rPr>
        <w:t>και μηχανισμών ελέγχου</w:t>
      </w:r>
      <w:r w:rsidR="004769E8">
        <w:rPr>
          <w:rFonts w:cstheme="minorHAnsi"/>
          <w:color w:val="000000"/>
          <w:sz w:val="24"/>
          <w:szCs w:val="24"/>
          <w:lang w:val="el-GR"/>
        </w:rPr>
        <w:t xml:space="preserve"> και αντίβαρου</w:t>
      </w:r>
      <w:r w:rsidR="00A5147D" w:rsidRPr="00F9688B">
        <w:rPr>
          <w:rFonts w:cstheme="minorHAnsi"/>
          <w:color w:val="000000"/>
          <w:sz w:val="24"/>
          <w:szCs w:val="24"/>
          <w:lang w:val="el-GR"/>
        </w:rPr>
        <w:t xml:space="preserve">. </w:t>
      </w:r>
      <w:r w:rsidR="00026805">
        <w:rPr>
          <w:rFonts w:cstheme="minorHAnsi"/>
          <w:color w:val="000000"/>
          <w:sz w:val="24"/>
          <w:szCs w:val="24"/>
          <w:lang w:val="el-GR"/>
        </w:rPr>
        <w:t>Η</w:t>
      </w:r>
      <w:r w:rsidR="00026805" w:rsidRPr="00026805">
        <w:rPr>
          <w:rFonts w:cstheme="minorHAnsi"/>
          <w:color w:val="000000"/>
          <w:sz w:val="24"/>
          <w:szCs w:val="24"/>
          <w:lang w:val="el-GR"/>
        </w:rPr>
        <w:t xml:space="preserve"> </w:t>
      </w:r>
      <w:r w:rsidR="00026805">
        <w:rPr>
          <w:rFonts w:cstheme="minorHAnsi"/>
          <w:color w:val="000000"/>
          <w:sz w:val="24"/>
          <w:szCs w:val="24"/>
          <w:lang w:val="el-GR"/>
        </w:rPr>
        <w:t>Κύπρος</w:t>
      </w:r>
      <w:r w:rsidR="00026805" w:rsidRPr="00026805">
        <w:rPr>
          <w:rFonts w:cstheme="minorHAnsi"/>
          <w:color w:val="000000"/>
          <w:sz w:val="24"/>
          <w:szCs w:val="24"/>
          <w:lang w:val="el-GR"/>
        </w:rPr>
        <w:t xml:space="preserve"> </w:t>
      </w:r>
      <w:r w:rsidR="00026805">
        <w:rPr>
          <w:rFonts w:cstheme="minorHAnsi"/>
          <w:color w:val="000000"/>
          <w:sz w:val="24"/>
          <w:szCs w:val="24"/>
          <w:lang w:val="el-GR"/>
        </w:rPr>
        <w:t>χρειάζεται</w:t>
      </w:r>
      <w:r w:rsidR="00026805" w:rsidRPr="00026805">
        <w:rPr>
          <w:rFonts w:cstheme="minorHAnsi"/>
          <w:color w:val="000000"/>
          <w:sz w:val="24"/>
          <w:szCs w:val="24"/>
          <w:lang w:val="el-GR"/>
        </w:rPr>
        <w:t xml:space="preserve"> </w:t>
      </w:r>
      <w:r w:rsidR="00026805">
        <w:rPr>
          <w:rFonts w:cstheme="minorHAnsi"/>
          <w:color w:val="000000"/>
          <w:sz w:val="24"/>
          <w:szCs w:val="24"/>
          <w:lang w:val="el-GR"/>
        </w:rPr>
        <w:t>ένα</w:t>
      </w:r>
      <w:r w:rsidR="00026805" w:rsidRPr="00026805">
        <w:rPr>
          <w:rFonts w:cstheme="minorHAnsi"/>
          <w:color w:val="000000"/>
          <w:sz w:val="24"/>
          <w:szCs w:val="24"/>
          <w:lang w:val="el-GR"/>
        </w:rPr>
        <w:t xml:space="preserve"> </w:t>
      </w:r>
      <w:r w:rsidR="00026805">
        <w:rPr>
          <w:rFonts w:cstheme="minorHAnsi"/>
          <w:color w:val="000000"/>
          <w:sz w:val="24"/>
          <w:szCs w:val="24"/>
          <w:lang w:val="el-GR"/>
        </w:rPr>
        <w:t>πιο</w:t>
      </w:r>
      <w:r w:rsidR="00026805" w:rsidRPr="00026805">
        <w:rPr>
          <w:rFonts w:cstheme="minorHAnsi"/>
          <w:color w:val="000000"/>
          <w:sz w:val="24"/>
          <w:szCs w:val="24"/>
          <w:lang w:val="el-GR"/>
        </w:rPr>
        <w:t xml:space="preserve"> </w:t>
      </w:r>
      <w:r w:rsidR="00026805">
        <w:rPr>
          <w:rFonts w:cstheme="minorHAnsi"/>
          <w:color w:val="000000"/>
          <w:sz w:val="24"/>
          <w:szCs w:val="24"/>
          <w:lang w:val="el-GR"/>
        </w:rPr>
        <w:t>δυνατό</w:t>
      </w:r>
      <w:r w:rsidR="00026805" w:rsidRPr="00026805">
        <w:rPr>
          <w:rFonts w:cstheme="minorHAnsi"/>
          <w:color w:val="000000"/>
          <w:sz w:val="24"/>
          <w:szCs w:val="24"/>
          <w:lang w:val="el-GR"/>
        </w:rPr>
        <w:t xml:space="preserve"> </w:t>
      </w:r>
      <w:r w:rsidR="00026805">
        <w:rPr>
          <w:rFonts w:cstheme="minorHAnsi"/>
          <w:color w:val="000000"/>
          <w:sz w:val="24"/>
          <w:szCs w:val="24"/>
          <w:lang w:val="el-GR"/>
        </w:rPr>
        <w:t>σύστημα</w:t>
      </w:r>
      <w:r w:rsidR="00026805" w:rsidRPr="00026805">
        <w:rPr>
          <w:rFonts w:cstheme="minorHAnsi"/>
          <w:color w:val="000000"/>
          <w:sz w:val="24"/>
          <w:szCs w:val="24"/>
          <w:lang w:val="el-GR"/>
        </w:rPr>
        <w:t xml:space="preserve"> </w:t>
      </w:r>
      <w:r w:rsidR="00026805">
        <w:rPr>
          <w:rFonts w:cstheme="minorHAnsi"/>
          <w:color w:val="000000"/>
          <w:sz w:val="24"/>
          <w:szCs w:val="24"/>
          <w:lang w:val="el-GR"/>
        </w:rPr>
        <w:t>λογοδοσίας</w:t>
      </w:r>
      <w:r w:rsidR="00026805" w:rsidRPr="00026805">
        <w:rPr>
          <w:rFonts w:cstheme="minorHAnsi"/>
          <w:color w:val="000000"/>
          <w:sz w:val="24"/>
          <w:szCs w:val="24"/>
          <w:lang w:val="el-GR"/>
        </w:rPr>
        <w:t xml:space="preserve"> </w:t>
      </w:r>
      <w:r w:rsidR="00026805">
        <w:rPr>
          <w:rFonts w:cstheme="minorHAnsi"/>
          <w:color w:val="000000"/>
          <w:sz w:val="24"/>
          <w:szCs w:val="24"/>
          <w:lang w:val="el-GR"/>
        </w:rPr>
        <w:t>στην</w:t>
      </w:r>
      <w:r w:rsidR="00026805" w:rsidRPr="00026805">
        <w:rPr>
          <w:rFonts w:cstheme="minorHAnsi"/>
          <w:color w:val="000000"/>
          <w:sz w:val="24"/>
          <w:szCs w:val="24"/>
          <w:lang w:val="el-GR"/>
        </w:rPr>
        <w:t xml:space="preserve"> </w:t>
      </w:r>
      <w:r w:rsidR="00026805">
        <w:rPr>
          <w:rFonts w:cstheme="minorHAnsi"/>
          <w:color w:val="000000"/>
          <w:sz w:val="24"/>
          <w:szCs w:val="24"/>
          <w:lang w:val="el-GR"/>
        </w:rPr>
        <w:t>κυβέρνηση</w:t>
      </w:r>
      <w:r w:rsidR="00A5147D" w:rsidRPr="00026805">
        <w:rPr>
          <w:rFonts w:cstheme="minorHAnsi"/>
          <w:color w:val="000000"/>
          <w:sz w:val="24"/>
          <w:szCs w:val="24"/>
          <w:lang w:val="el-GR"/>
        </w:rPr>
        <w:t xml:space="preserve"> </w:t>
      </w:r>
      <w:r w:rsidR="00026805">
        <w:rPr>
          <w:rFonts w:cstheme="minorHAnsi"/>
          <w:color w:val="000000"/>
          <w:sz w:val="24"/>
          <w:szCs w:val="24"/>
          <w:lang w:val="el-GR"/>
        </w:rPr>
        <w:t>για αποτροπή κινδύνων</w:t>
      </w:r>
      <w:r w:rsidR="00026805" w:rsidRPr="00026805">
        <w:rPr>
          <w:rFonts w:cstheme="minorHAnsi"/>
          <w:color w:val="000000"/>
          <w:sz w:val="24"/>
          <w:szCs w:val="24"/>
          <w:lang w:val="el-GR"/>
        </w:rPr>
        <w:t xml:space="preserve"> </w:t>
      </w:r>
      <w:r w:rsidR="004769E8">
        <w:rPr>
          <w:rFonts w:cstheme="minorHAnsi"/>
          <w:color w:val="000000"/>
          <w:sz w:val="24"/>
          <w:szCs w:val="24"/>
          <w:lang w:val="el-GR"/>
        </w:rPr>
        <w:t xml:space="preserve">αθέμιτης </w:t>
      </w:r>
      <w:r w:rsidR="00026805">
        <w:rPr>
          <w:rFonts w:cstheme="minorHAnsi"/>
          <w:color w:val="000000"/>
          <w:sz w:val="24"/>
          <w:szCs w:val="24"/>
          <w:lang w:val="el-GR"/>
        </w:rPr>
        <w:t>επιρρο</w:t>
      </w:r>
      <w:r w:rsidR="004769E8">
        <w:rPr>
          <w:rFonts w:cstheme="minorHAnsi"/>
          <w:color w:val="000000"/>
          <w:sz w:val="24"/>
          <w:szCs w:val="24"/>
          <w:lang w:val="el-GR"/>
        </w:rPr>
        <w:t>ής</w:t>
      </w:r>
      <w:r w:rsidR="00A5147D" w:rsidRPr="00026805">
        <w:rPr>
          <w:rFonts w:cstheme="minorHAnsi"/>
          <w:color w:val="000000"/>
          <w:sz w:val="24"/>
          <w:szCs w:val="24"/>
          <w:lang w:val="el-GR"/>
        </w:rPr>
        <w:t xml:space="preserve">. </w:t>
      </w:r>
      <w:r w:rsidR="00026805">
        <w:rPr>
          <w:rFonts w:cstheme="minorHAnsi"/>
          <w:color w:val="000000"/>
          <w:sz w:val="24"/>
          <w:szCs w:val="24"/>
          <w:lang w:val="el-GR"/>
        </w:rPr>
        <w:t>Επιπρόσθετα</w:t>
      </w:r>
      <w:r w:rsidR="00026805" w:rsidRPr="00026805">
        <w:rPr>
          <w:rFonts w:cstheme="minorHAnsi"/>
          <w:color w:val="000000"/>
          <w:sz w:val="24"/>
          <w:szCs w:val="24"/>
          <w:lang w:val="el-GR"/>
        </w:rPr>
        <w:t xml:space="preserve"> </w:t>
      </w:r>
      <w:r w:rsidR="00026805">
        <w:rPr>
          <w:rFonts w:cstheme="minorHAnsi"/>
          <w:color w:val="000000"/>
          <w:sz w:val="24"/>
          <w:szCs w:val="24"/>
          <w:lang w:val="el-GR"/>
        </w:rPr>
        <w:t>μέτρα</w:t>
      </w:r>
      <w:r w:rsidR="00026805" w:rsidRPr="00026805">
        <w:rPr>
          <w:rFonts w:cstheme="minorHAnsi"/>
          <w:color w:val="000000"/>
          <w:sz w:val="24"/>
          <w:szCs w:val="24"/>
          <w:lang w:val="el-GR"/>
        </w:rPr>
        <w:t xml:space="preserve"> </w:t>
      </w:r>
      <w:r w:rsidR="00026805">
        <w:rPr>
          <w:rFonts w:cstheme="minorHAnsi"/>
          <w:color w:val="000000"/>
          <w:sz w:val="24"/>
          <w:szCs w:val="24"/>
          <w:lang w:val="el-GR"/>
        </w:rPr>
        <w:t>είναι</w:t>
      </w:r>
      <w:r w:rsidR="00026805" w:rsidRPr="00026805">
        <w:rPr>
          <w:rFonts w:cstheme="minorHAnsi"/>
          <w:color w:val="000000"/>
          <w:sz w:val="24"/>
          <w:szCs w:val="24"/>
          <w:lang w:val="el-GR"/>
        </w:rPr>
        <w:t xml:space="preserve"> </w:t>
      </w:r>
      <w:r w:rsidR="00026805">
        <w:rPr>
          <w:rFonts w:cstheme="minorHAnsi"/>
          <w:color w:val="000000"/>
          <w:sz w:val="24"/>
          <w:szCs w:val="24"/>
          <w:lang w:val="el-GR"/>
        </w:rPr>
        <w:t>επίσης</w:t>
      </w:r>
      <w:r w:rsidR="00026805" w:rsidRPr="00026805">
        <w:rPr>
          <w:rFonts w:cstheme="minorHAnsi"/>
          <w:color w:val="000000"/>
          <w:sz w:val="24"/>
          <w:szCs w:val="24"/>
          <w:lang w:val="el-GR"/>
        </w:rPr>
        <w:t xml:space="preserve"> </w:t>
      </w:r>
      <w:r w:rsidR="00026805">
        <w:rPr>
          <w:rFonts w:cstheme="minorHAnsi"/>
          <w:color w:val="000000"/>
          <w:sz w:val="24"/>
          <w:szCs w:val="24"/>
          <w:lang w:val="el-GR"/>
        </w:rPr>
        <w:t>απαραίτητα αναφορικά με την πρόσβαση σε πληροφορίες</w:t>
      </w:r>
      <w:r w:rsidR="00A5147D" w:rsidRPr="00026805">
        <w:rPr>
          <w:rFonts w:cstheme="minorHAnsi"/>
          <w:color w:val="000000"/>
          <w:sz w:val="24"/>
          <w:szCs w:val="24"/>
          <w:lang w:val="el-GR"/>
        </w:rPr>
        <w:t xml:space="preserve">. </w:t>
      </w:r>
      <w:r w:rsidR="00026805">
        <w:rPr>
          <w:rFonts w:cstheme="minorHAnsi"/>
          <w:color w:val="000000"/>
          <w:sz w:val="24"/>
          <w:szCs w:val="24"/>
          <w:lang w:val="el-GR"/>
        </w:rPr>
        <w:t>Ενώ</w:t>
      </w:r>
      <w:r w:rsidR="00026805" w:rsidRPr="00026805">
        <w:rPr>
          <w:rFonts w:cstheme="minorHAnsi"/>
          <w:color w:val="000000"/>
          <w:sz w:val="24"/>
          <w:szCs w:val="24"/>
          <w:lang w:val="el-GR"/>
        </w:rPr>
        <w:t xml:space="preserve"> </w:t>
      </w:r>
      <w:r w:rsidR="00026805">
        <w:rPr>
          <w:rFonts w:cstheme="minorHAnsi"/>
          <w:color w:val="000000"/>
          <w:sz w:val="24"/>
          <w:szCs w:val="24"/>
          <w:lang w:val="el-GR"/>
        </w:rPr>
        <w:t>η</w:t>
      </w:r>
      <w:r w:rsidR="00026805" w:rsidRPr="00026805">
        <w:rPr>
          <w:rFonts w:cstheme="minorHAnsi"/>
          <w:color w:val="000000"/>
          <w:sz w:val="24"/>
          <w:szCs w:val="24"/>
          <w:lang w:val="el-GR"/>
        </w:rPr>
        <w:t xml:space="preserve"> </w:t>
      </w:r>
      <w:r w:rsidR="00026805">
        <w:rPr>
          <w:rFonts w:cstheme="minorHAnsi"/>
          <w:color w:val="000000"/>
          <w:sz w:val="24"/>
          <w:szCs w:val="24"/>
          <w:lang w:val="el-GR"/>
        </w:rPr>
        <w:t>Κύπρος</w:t>
      </w:r>
      <w:r w:rsidR="00026805" w:rsidRPr="00026805">
        <w:rPr>
          <w:rFonts w:cstheme="minorHAnsi"/>
          <w:color w:val="000000"/>
          <w:sz w:val="24"/>
          <w:szCs w:val="24"/>
          <w:lang w:val="el-GR"/>
        </w:rPr>
        <w:t xml:space="preserve"> </w:t>
      </w:r>
      <w:r w:rsidR="00026805">
        <w:rPr>
          <w:rFonts w:cstheme="minorHAnsi"/>
          <w:color w:val="000000"/>
          <w:sz w:val="24"/>
          <w:szCs w:val="24"/>
          <w:lang w:val="el-GR"/>
        </w:rPr>
        <w:t>έχει</w:t>
      </w:r>
      <w:r w:rsidR="00026805" w:rsidRPr="00026805">
        <w:rPr>
          <w:rFonts w:cstheme="minorHAnsi"/>
          <w:color w:val="000000"/>
          <w:sz w:val="24"/>
          <w:szCs w:val="24"/>
          <w:lang w:val="el-GR"/>
        </w:rPr>
        <w:t xml:space="preserve"> </w:t>
      </w:r>
      <w:r w:rsidR="00310F4E">
        <w:rPr>
          <w:rFonts w:cstheme="minorHAnsi"/>
          <w:color w:val="000000"/>
          <w:sz w:val="24"/>
          <w:szCs w:val="24"/>
          <w:lang w:val="el-GR"/>
        </w:rPr>
        <w:t xml:space="preserve">πλέον </w:t>
      </w:r>
      <w:r w:rsidR="00AA3C16">
        <w:rPr>
          <w:rFonts w:cstheme="minorHAnsi"/>
          <w:color w:val="000000"/>
          <w:sz w:val="24"/>
          <w:szCs w:val="24"/>
          <w:lang w:val="el-GR"/>
        </w:rPr>
        <w:t xml:space="preserve">ειδικό Νόμο </w:t>
      </w:r>
      <w:r w:rsidR="006713C1">
        <w:rPr>
          <w:rFonts w:cstheme="minorHAnsi"/>
          <w:color w:val="000000"/>
          <w:sz w:val="24"/>
          <w:szCs w:val="24"/>
          <w:lang w:val="el-GR"/>
        </w:rPr>
        <w:t xml:space="preserve">για </w:t>
      </w:r>
      <w:r w:rsidR="00AA3C16">
        <w:rPr>
          <w:rFonts w:cstheme="minorHAnsi"/>
          <w:color w:val="000000"/>
          <w:sz w:val="24"/>
          <w:szCs w:val="24"/>
          <w:lang w:val="el-GR"/>
        </w:rPr>
        <w:t xml:space="preserve">το Δικαίωμα </w:t>
      </w:r>
      <w:r w:rsidR="006713C1">
        <w:rPr>
          <w:rFonts w:cstheme="minorHAnsi"/>
          <w:color w:val="000000"/>
          <w:sz w:val="24"/>
          <w:szCs w:val="24"/>
          <w:lang w:val="el-GR"/>
        </w:rPr>
        <w:t xml:space="preserve">Πρόσβασης σε </w:t>
      </w:r>
      <w:r w:rsidR="00026805">
        <w:rPr>
          <w:rFonts w:cstheme="minorHAnsi"/>
          <w:color w:val="000000"/>
          <w:sz w:val="24"/>
          <w:szCs w:val="24"/>
          <w:lang w:val="el-GR"/>
        </w:rPr>
        <w:t>Πληροφορ</w:t>
      </w:r>
      <w:r w:rsidR="006713C1">
        <w:rPr>
          <w:rFonts w:cstheme="minorHAnsi"/>
          <w:color w:val="000000"/>
          <w:sz w:val="24"/>
          <w:szCs w:val="24"/>
          <w:lang w:val="el-GR"/>
        </w:rPr>
        <w:t>ίες</w:t>
      </w:r>
      <w:r w:rsidR="00026805" w:rsidRPr="00026805">
        <w:rPr>
          <w:rFonts w:cstheme="minorHAnsi"/>
          <w:color w:val="000000"/>
          <w:sz w:val="24"/>
          <w:szCs w:val="24"/>
          <w:lang w:val="el-GR"/>
        </w:rPr>
        <w:t xml:space="preserve"> </w:t>
      </w:r>
      <w:r w:rsidR="00A5147D" w:rsidRPr="00026805">
        <w:rPr>
          <w:rFonts w:cstheme="minorHAnsi"/>
          <w:color w:val="000000"/>
          <w:sz w:val="24"/>
          <w:szCs w:val="24"/>
          <w:lang w:val="el-GR"/>
        </w:rPr>
        <w:t>(</w:t>
      </w:r>
      <w:r w:rsidR="00026805">
        <w:rPr>
          <w:rFonts w:cstheme="minorHAnsi"/>
          <w:color w:val="000000"/>
          <w:sz w:val="24"/>
          <w:szCs w:val="24"/>
          <w:lang w:val="el-GR"/>
        </w:rPr>
        <w:t>από</w:t>
      </w:r>
      <w:r w:rsidR="00026805" w:rsidRPr="00026805">
        <w:rPr>
          <w:rFonts w:cstheme="minorHAnsi"/>
          <w:color w:val="000000"/>
          <w:sz w:val="24"/>
          <w:szCs w:val="24"/>
          <w:lang w:val="el-GR"/>
        </w:rPr>
        <w:t xml:space="preserve"> </w:t>
      </w:r>
      <w:r w:rsidR="00026805">
        <w:rPr>
          <w:rFonts w:cstheme="minorHAnsi"/>
          <w:color w:val="000000"/>
          <w:sz w:val="24"/>
          <w:szCs w:val="24"/>
          <w:lang w:val="el-GR"/>
        </w:rPr>
        <w:t>το</w:t>
      </w:r>
      <w:r w:rsidR="00A5147D" w:rsidRPr="00026805">
        <w:rPr>
          <w:rFonts w:cstheme="minorHAnsi"/>
          <w:color w:val="000000"/>
          <w:sz w:val="24"/>
          <w:szCs w:val="24"/>
          <w:lang w:val="el-GR"/>
        </w:rPr>
        <w:t xml:space="preserve"> 2017, </w:t>
      </w:r>
      <w:r w:rsidR="00026805">
        <w:rPr>
          <w:rFonts w:cstheme="minorHAnsi"/>
          <w:color w:val="000000"/>
          <w:sz w:val="24"/>
          <w:szCs w:val="24"/>
          <w:lang w:val="el-GR"/>
        </w:rPr>
        <w:t>όπως</w:t>
      </w:r>
      <w:r w:rsidR="00026805" w:rsidRPr="00026805">
        <w:rPr>
          <w:rFonts w:cstheme="minorHAnsi"/>
          <w:color w:val="000000"/>
          <w:sz w:val="24"/>
          <w:szCs w:val="24"/>
          <w:lang w:val="el-GR"/>
        </w:rPr>
        <w:t xml:space="preserve"> </w:t>
      </w:r>
      <w:r w:rsidR="00026805">
        <w:rPr>
          <w:rFonts w:cstheme="minorHAnsi"/>
          <w:color w:val="000000"/>
          <w:sz w:val="24"/>
          <w:szCs w:val="24"/>
          <w:lang w:val="el-GR"/>
        </w:rPr>
        <w:t>αυτός</w:t>
      </w:r>
      <w:r w:rsidR="00026805" w:rsidRPr="00026805">
        <w:rPr>
          <w:rFonts w:cstheme="minorHAnsi"/>
          <w:color w:val="000000"/>
          <w:sz w:val="24"/>
          <w:szCs w:val="24"/>
          <w:lang w:val="el-GR"/>
        </w:rPr>
        <w:t xml:space="preserve"> </w:t>
      </w:r>
      <w:r w:rsidR="00026805">
        <w:rPr>
          <w:rFonts w:cstheme="minorHAnsi"/>
          <w:color w:val="000000"/>
          <w:sz w:val="24"/>
          <w:szCs w:val="24"/>
          <w:lang w:val="el-GR"/>
        </w:rPr>
        <w:t xml:space="preserve">τροποποιήθηκε το </w:t>
      </w:r>
      <w:r w:rsidR="00A5147D" w:rsidRPr="00026805">
        <w:rPr>
          <w:rFonts w:cstheme="minorHAnsi"/>
          <w:color w:val="000000"/>
          <w:sz w:val="24"/>
          <w:szCs w:val="24"/>
          <w:lang w:val="el-GR"/>
        </w:rPr>
        <w:t>2020)</w:t>
      </w:r>
      <w:r w:rsidR="006944FC" w:rsidRPr="00026805">
        <w:rPr>
          <w:rFonts w:cstheme="minorHAnsi"/>
          <w:color w:val="000000"/>
          <w:sz w:val="24"/>
          <w:szCs w:val="24"/>
          <w:lang w:val="el-GR"/>
        </w:rPr>
        <w:t xml:space="preserve"> </w:t>
      </w:r>
      <w:r w:rsidR="00AA3C16">
        <w:rPr>
          <w:rFonts w:cstheme="minorHAnsi"/>
          <w:color w:val="000000"/>
          <w:sz w:val="24"/>
          <w:szCs w:val="24"/>
          <w:lang w:val="el-GR"/>
        </w:rPr>
        <w:t xml:space="preserve"> όπως και </w:t>
      </w:r>
      <w:r w:rsidR="00392288">
        <w:rPr>
          <w:rFonts w:cstheme="minorHAnsi"/>
          <w:color w:val="000000"/>
          <w:sz w:val="24"/>
          <w:szCs w:val="24"/>
          <w:lang w:val="el-GR"/>
        </w:rPr>
        <w:t xml:space="preserve">Νόμο </w:t>
      </w:r>
      <w:r w:rsidR="00310F4E">
        <w:rPr>
          <w:rFonts w:cstheme="minorHAnsi"/>
          <w:color w:val="000000"/>
          <w:sz w:val="24"/>
          <w:szCs w:val="24"/>
          <w:lang w:val="el-GR"/>
        </w:rPr>
        <w:t xml:space="preserve">για τα Ανοικτά </w:t>
      </w:r>
      <w:r w:rsidR="00392288">
        <w:rPr>
          <w:rFonts w:cstheme="minorHAnsi"/>
          <w:color w:val="000000"/>
          <w:sz w:val="24"/>
          <w:szCs w:val="24"/>
          <w:lang w:val="el-GR"/>
        </w:rPr>
        <w:t>Δεδομέν</w:t>
      </w:r>
      <w:r w:rsidR="00310F4E">
        <w:rPr>
          <w:rFonts w:cstheme="minorHAnsi"/>
          <w:color w:val="000000"/>
          <w:sz w:val="24"/>
          <w:szCs w:val="24"/>
          <w:lang w:val="el-GR"/>
        </w:rPr>
        <w:t>α</w:t>
      </w:r>
      <w:r w:rsidR="007A7EB7" w:rsidRPr="00026805">
        <w:rPr>
          <w:rFonts w:cstheme="minorHAnsi"/>
          <w:color w:val="000000"/>
          <w:sz w:val="24"/>
          <w:szCs w:val="24"/>
          <w:lang w:val="el-GR"/>
        </w:rPr>
        <w:t xml:space="preserve">, </w:t>
      </w:r>
      <w:r w:rsidR="00093122">
        <w:rPr>
          <w:rFonts w:cstheme="minorHAnsi"/>
          <w:color w:val="000000"/>
          <w:sz w:val="24"/>
          <w:szCs w:val="24"/>
          <w:lang w:val="el-GR"/>
        </w:rPr>
        <w:t xml:space="preserve">εντούτοις </w:t>
      </w:r>
      <w:r w:rsidR="00310F4E">
        <w:rPr>
          <w:rFonts w:cstheme="minorHAnsi"/>
          <w:color w:val="000000"/>
          <w:sz w:val="24"/>
          <w:szCs w:val="24"/>
          <w:lang w:val="el-GR"/>
        </w:rPr>
        <w:t xml:space="preserve">στη δημόσια διοίκηση </w:t>
      </w:r>
      <w:r w:rsidR="00A60538">
        <w:rPr>
          <w:rFonts w:cstheme="minorHAnsi"/>
          <w:color w:val="000000"/>
          <w:sz w:val="24"/>
          <w:szCs w:val="24"/>
          <w:lang w:val="el-GR"/>
        </w:rPr>
        <w:t xml:space="preserve">δεν έχει </w:t>
      </w:r>
      <w:r w:rsidR="00AA3C16">
        <w:rPr>
          <w:rFonts w:cstheme="minorHAnsi"/>
          <w:color w:val="000000"/>
          <w:sz w:val="24"/>
          <w:szCs w:val="24"/>
          <w:lang w:val="el-GR"/>
        </w:rPr>
        <w:t>εμπεδωθεί</w:t>
      </w:r>
      <w:r w:rsidR="00093122" w:rsidRPr="00093122">
        <w:rPr>
          <w:rFonts w:cstheme="minorHAnsi"/>
          <w:color w:val="000000"/>
          <w:sz w:val="24"/>
          <w:szCs w:val="24"/>
          <w:lang w:val="el-GR"/>
        </w:rPr>
        <w:t xml:space="preserve"> </w:t>
      </w:r>
      <w:r w:rsidR="00093122">
        <w:rPr>
          <w:rFonts w:cstheme="minorHAnsi"/>
          <w:color w:val="000000"/>
          <w:sz w:val="24"/>
          <w:szCs w:val="24"/>
          <w:lang w:val="el-GR"/>
        </w:rPr>
        <w:t xml:space="preserve">ακόμη </w:t>
      </w:r>
      <w:r w:rsidR="00310F4E" w:rsidRPr="002B7C4B">
        <w:rPr>
          <w:rFonts w:cstheme="minorHAnsi"/>
          <w:color w:val="000000"/>
          <w:sz w:val="24"/>
          <w:szCs w:val="24"/>
          <w:lang w:val="el-GR"/>
        </w:rPr>
        <w:t xml:space="preserve"> </w:t>
      </w:r>
      <w:r w:rsidR="00392288">
        <w:rPr>
          <w:rFonts w:cstheme="minorHAnsi"/>
          <w:color w:val="000000"/>
          <w:sz w:val="24"/>
          <w:szCs w:val="24"/>
          <w:lang w:val="el-GR"/>
        </w:rPr>
        <w:t xml:space="preserve">μια κουλτούρα </w:t>
      </w:r>
      <w:r w:rsidR="00310F4E">
        <w:rPr>
          <w:rFonts w:cstheme="minorHAnsi"/>
          <w:color w:val="000000"/>
          <w:sz w:val="24"/>
          <w:szCs w:val="24"/>
          <w:lang w:val="el-GR"/>
        </w:rPr>
        <w:t>πρόσβασης</w:t>
      </w:r>
      <w:r w:rsidR="00A5147D" w:rsidRPr="00026805">
        <w:rPr>
          <w:rFonts w:cstheme="minorHAnsi"/>
          <w:color w:val="000000"/>
          <w:sz w:val="24"/>
          <w:szCs w:val="24"/>
          <w:lang w:val="el-GR"/>
        </w:rPr>
        <w:t>.</w:t>
      </w:r>
      <w:r w:rsidR="004B1219" w:rsidRPr="00026805">
        <w:rPr>
          <w:rFonts w:cstheme="minorHAnsi"/>
          <w:color w:val="000000"/>
          <w:sz w:val="24"/>
          <w:szCs w:val="24"/>
          <w:lang w:val="el-GR"/>
        </w:rPr>
        <w:t xml:space="preserve"> </w:t>
      </w:r>
      <w:r w:rsidR="00392288">
        <w:rPr>
          <w:rFonts w:cstheme="minorHAnsi"/>
          <w:color w:val="000000"/>
          <w:sz w:val="24"/>
          <w:szCs w:val="24"/>
          <w:lang w:val="el-GR"/>
        </w:rPr>
        <w:t>Οι</w:t>
      </w:r>
      <w:r w:rsidR="00392288" w:rsidRPr="00392288">
        <w:rPr>
          <w:rFonts w:cstheme="minorHAnsi"/>
          <w:color w:val="000000"/>
          <w:sz w:val="24"/>
          <w:szCs w:val="24"/>
          <w:lang w:val="el-GR"/>
        </w:rPr>
        <w:t xml:space="preserve"> </w:t>
      </w:r>
      <w:r w:rsidR="00310F4E">
        <w:rPr>
          <w:rFonts w:cstheme="minorHAnsi"/>
          <w:color w:val="000000"/>
          <w:sz w:val="24"/>
          <w:szCs w:val="24"/>
          <w:lang w:val="el-GR"/>
        </w:rPr>
        <w:t xml:space="preserve">καθυστερήσεις </w:t>
      </w:r>
      <w:r w:rsidR="00392288">
        <w:rPr>
          <w:rFonts w:cstheme="minorHAnsi"/>
          <w:color w:val="000000"/>
          <w:sz w:val="24"/>
          <w:szCs w:val="24"/>
          <w:lang w:val="el-GR"/>
        </w:rPr>
        <w:t>στην</w:t>
      </w:r>
      <w:r w:rsidR="00392288" w:rsidRPr="00392288">
        <w:rPr>
          <w:rFonts w:cstheme="minorHAnsi"/>
          <w:color w:val="000000"/>
          <w:sz w:val="24"/>
          <w:szCs w:val="24"/>
          <w:lang w:val="el-GR"/>
        </w:rPr>
        <w:t xml:space="preserve"> </w:t>
      </w:r>
      <w:r w:rsidR="00392288">
        <w:rPr>
          <w:rFonts w:cstheme="minorHAnsi"/>
          <w:color w:val="000000"/>
          <w:sz w:val="24"/>
          <w:szCs w:val="24"/>
          <w:lang w:val="el-GR"/>
        </w:rPr>
        <w:t>ανταπόκριση</w:t>
      </w:r>
      <w:r w:rsidR="00392288" w:rsidRPr="00392288">
        <w:rPr>
          <w:rFonts w:cstheme="minorHAnsi"/>
          <w:color w:val="000000"/>
          <w:sz w:val="24"/>
          <w:szCs w:val="24"/>
          <w:lang w:val="el-GR"/>
        </w:rPr>
        <w:t xml:space="preserve"> </w:t>
      </w:r>
      <w:r w:rsidR="00392288">
        <w:rPr>
          <w:rFonts w:cstheme="minorHAnsi"/>
          <w:color w:val="000000"/>
          <w:sz w:val="24"/>
          <w:szCs w:val="24"/>
          <w:lang w:val="el-GR"/>
        </w:rPr>
        <w:t>είν</w:t>
      </w:r>
      <w:r w:rsidR="00A60538">
        <w:rPr>
          <w:rFonts w:cstheme="minorHAnsi"/>
          <w:color w:val="000000"/>
          <w:sz w:val="24"/>
          <w:szCs w:val="24"/>
          <w:lang w:val="el-GR"/>
        </w:rPr>
        <w:t>α</w:t>
      </w:r>
      <w:r w:rsidR="00392288">
        <w:rPr>
          <w:rFonts w:cstheme="minorHAnsi"/>
          <w:color w:val="000000"/>
          <w:sz w:val="24"/>
          <w:szCs w:val="24"/>
          <w:lang w:val="el-GR"/>
        </w:rPr>
        <w:t>ι</w:t>
      </w:r>
      <w:r w:rsidR="00392288" w:rsidRPr="00392288">
        <w:rPr>
          <w:rFonts w:cstheme="minorHAnsi"/>
          <w:color w:val="000000"/>
          <w:sz w:val="24"/>
          <w:szCs w:val="24"/>
          <w:lang w:val="el-GR"/>
        </w:rPr>
        <w:t xml:space="preserve"> </w:t>
      </w:r>
      <w:r w:rsidR="00392288">
        <w:rPr>
          <w:rFonts w:cstheme="minorHAnsi"/>
          <w:color w:val="000000"/>
          <w:sz w:val="24"/>
          <w:szCs w:val="24"/>
          <w:lang w:val="el-GR"/>
        </w:rPr>
        <w:t>συχνές</w:t>
      </w:r>
      <w:r w:rsidR="00392288" w:rsidRPr="00392288">
        <w:rPr>
          <w:rFonts w:cstheme="minorHAnsi"/>
          <w:color w:val="000000"/>
          <w:sz w:val="24"/>
          <w:szCs w:val="24"/>
          <w:lang w:val="el-GR"/>
        </w:rPr>
        <w:t xml:space="preserve"> </w:t>
      </w:r>
      <w:r w:rsidR="00392288">
        <w:rPr>
          <w:rFonts w:cstheme="minorHAnsi"/>
          <w:color w:val="000000"/>
          <w:sz w:val="24"/>
          <w:szCs w:val="24"/>
          <w:lang w:val="el-GR"/>
        </w:rPr>
        <w:t>και</w:t>
      </w:r>
      <w:r w:rsidR="00392288" w:rsidRPr="00392288">
        <w:rPr>
          <w:rFonts w:cstheme="minorHAnsi"/>
          <w:color w:val="000000"/>
          <w:sz w:val="24"/>
          <w:szCs w:val="24"/>
          <w:lang w:val="el-GR"/>
        </w:rPr>
        <w:t xml:space="preserve"> </w:t>
      </w:r>
      <w:r w:rsidR="00392288">
        <w:rPr>
          <w:rFonts w:cstheme="minorHAnsi"/>
          <w:color w:val="000000"/>
          <w:sz w:val="24"/>
          <w:szCs w:val="24"/>
          <w:lang w:val="el-GR"/>
        </w:rPr>
        <w:t>οι</w:t>
      </w:r>
      <w:r w:rsidR="00392288" w:rsidRPr="00392288">
        <w:rPr>
          <w:rFonts w:cstheme="minorHAnsi"/>
          <w:color w:val="000000"/>
          <w:sz w:val="24"/>
          <w:szCs w:val="24"/>
          <w:lang w:val="el-GR"/>
        </w:rPr>
        <w:t xml:space="preserve"> </w:t>
      </w:r>
      <w:r w:rsidR="00392288">
        <w:rPr>
          <w:rFonts w:cstheme="minorHAnsi"/>
          <w:color w:val="000000"/>
          <w:sz w:val="24"/>
          <w:szCs w:val="24"/>
          <w:lang w:val="el-GR"/>
        </w:rPr>
        <w:t>εξαιρέσεις στην πρόσβαση</w:t>
      </w:r>
      <w:r w:rsidR="00A5147D" w:rsidRPr="00392288">
        <w:rPr>
          <w:rFonts w:cstheme="minorHAnsi"/>
          <w:color w:val="000000"/>
          <w:sz w:val="24"/>
          <w:szCs w:val="24"/>
          <w:lang w:val="el-GR"/>
        </w:rPr>
        <w:t xml:space="preserve"> </w:t>
      </w:r>
      <w:r w:rsidR="00392288">
        <w:rPr>
          <w:rFonts w:cstheme="minorHAnsi"/>
          <w:color w:val="000000"/>
          <w:sz w:val="24"/>
          <w:szCs w:val="24"/>
          <w:lang w:val="el-GR"/>
        </w:rPr>
        <w:t>ερμην</w:t>
      </w:r>
      <w:r w:rsidR="00A60538">
        <w:rPr>
          <w:rFonts w:cstheme="minorHAnsi"/>
          <w:color w:val="000000"/>
          <w:sz w:val="24"/>
          <w:szCs w:val="24"/>
          <w:lang w:val="el-GR"/>
        </w:rPr>
        <w:t>εύ</w:t>
      </w:r>
      <w:r w:rsidR="00392288">
        <w:rPr>
          <w:rFonts w:cstheme="minorHAnsi"/>
          <w:color w:val="000000"/>
          <w:sz w:val="24"/>
          <w:szCs w:val="24"/>
          <w:lang w:val="el-GR"/>
        </w:rPr>
        <w:t>ονται</w:t>
      </w:r>
      <w:r w:rsidR="00093122">
        <w:rPr>
          <w:rFonts w:cstheme="minorHAnsi"/>
          <w:color w:val="000000"/>
          <w:sz w:val="24"/>
          <w:szCs w:val="24"/>
          <w:lang w:val="el-GR"/>
        </w:rPr>
        <w:t xml:space="preserve"> διασταλτικά</w:t>
      </w:r>
      <w:r w:rsidR="00A5147D" w:rsidRPr="00392288">
        <w:rPr>
          <w:rFonts w:cstheme="minorHAnsi"/>
          <w:color w:val="000000"/>
          <w:sz w:val="24"/>
          <w:szCs w:val="24"/>
          <w:lang w:val="el-GR"/>
        </w:rPr>
        <w:t xml:space="preserve">. </w:t>
      </w:r>
      <w:r w:rsidR="00392288">
        <w:rPr>
          <w:rFonts w:cstheme="minorHAnsi"/>
          <w:color w:val="000000"/>
          <w:sz w:val="24"/>
          <w:szCs w:val="24"/>
          <w:lang w:val="el-GR"/>
        </w:rPr>
        <w:t>Αναφορικά</w:t>
      </w:r>
      <w:r w:rsidR="00392288" w:rsidRPr="00392288">
        <w:rPr>
          <w:rFonts w:cstheme="minorHAnsi"/>
          <w:color w:val="000000"/>
          <w:sz w:val="24"/>
          <w:szCs w:val="24"/>
          <w:lang w:val="el-GR"/>
        </w:rPr>
        <w:t xml:space="preserve"> </w:t>
      </w:r>
      <w:r w:rsidR="00392288">
        <w:rPr>
          <w:rFonts w:cstheme="minorHAnsi"/>
          <w:color w:val="000000"/>
          <w:sz w:val="24"/>
          <w:szCs w:val="24"/>
          <w:lang w:val="el-GR"/>
        </w:rPr>
        <w:t>με</w:t>
      </w:r>
      <w:r w:rsidR="00392288" w:rsidRPr="00392288">
        <w:rPr>
          <w:rFonts w:cstheme="minorHAnsi"/>
          <w:color w:val="000000"/>
          <w:sz w:val="24"/>
          <w:szCs w:val="24"/>
          <w:lang w:val="el-GR"/>
        </w:rPr>
        <w:t xml:space="preserve"> </w:t>
      </w:r>
      <w:r w:rsidR="00392288">
        <w:rPr>
          <w:rFonts w:cstheme="minorHAnsi"/>
          <w:color w:val="000000"/>
          <w:sz w:val="24"/>
          <w:szCs w:val="24"/>
          <w:lang w:val="el-GR"/>
        </w:rPr>
        <w:t>τη</w:t>
      </w:r>
      <w:r w:rsidR="00392288" w:rsidRPr="00392288">
        <w:rPr>
          <w:rFonts w:cstheme="minorHAnsi"/>
          <w:color w:val="000000"/>
          <w:sz w:val="24"/>
          <w:szCs w:val="24"/>
          <w:lang w:val="el-GR"/>
        </w:rPr>
        <w:t xml:space="preserve"> </w:t>
      </w:r>
      <w:r w:rsidR="00392288">
        <w:rPr>
          <w:rFonts w:cstheme="minorHAnsi"/>
          <w:color w:val="000000"/>
          <w:sz w:val="24"/>
          <w:szCs w:val="24"/>
          <w:lang w:val="el-GR"/>
        </w:rPr>
        <w:t>δημόσια</w:t>
      </w:r>
      <w:r w:rsidR="00392288" w:rsidRPr="00392288">
        <w:rPr>
          <w:rFonts w:cstheme="minorHAnsi"/>
          <w:color w:val="000000"/>
          <w:sz w:val="24"/>
          <w:szCs w:val="24"/>
          <w:lang w:val="el-GR"/>
        </w:rPr>
        <w:t xml:space="preserve"> </w:t>
      </w:r>
      <w:r w:rsidR="00392288">
        <w:rPr>
          <w:rFonts w:cstheme="minorHAnsi"/>
          <w:color w:val="000000"/>
          <w:sz w:val="24"/>
          <w:szCs w:val="24"/>
          <w:lang w:val="el-GR"/>
        </w:rPr>
        <w:t>διαβούλευση</w:t>
      </w:r>
      <w:r w:rsidR="00A5147D" w:rsidRPr="00392288">
        <w:rPr>
          <w:rFonts w:cstheme="minorHAnsi"/>
          <w:color w:val="000000"/>
          <w:sz w:val="24"/>
          <w:szCs w:val="24"/>
          <w:lang w:val="el-GR"/>
        </w:rPr>
        <w:t xml:space="preserve">, </w:t>
      </w:r>
      <w:r w:rsidR="00310F4E">
        <w:rPr>
          <w:rFonts w:cstheme="minorHAnsi"/>
          <w:color w:val="000000"/>
          <w:sz w:val="24"/>
          <w:szCs w:val="24"/>
          <w:lang w:val="el-GR"/>
        </w:rPr>
        <w:t xml:space="preserve">πρόσφατα </w:t>
      </w:r>
      <w:r w:rsidR="00392288">
        <w:rPr>
          <w:rFonts w:cstheme="minorHAnsi"/>
          <w:color w:val="000000"/>
          <w:sz w:val="24"/>
          <w:szCs w:val="24"/>
          <w:lang w:val="el-GR"/>
        </w:rPr>
        <w:t>έχει</w:t>
      </w:r>
      <w:r w:rsidR="00392288" w:rsidRPr="00392288">
        <w:rPr>
          <w:rFonts w:cstheme="minorHAnsi"/>
          <w:color w:val="000000"/>
          <w:sz w:val="24"/>
          <w:szCs w:val="24"/>
          <w:lang w:val="el-GR"/>
        </w:rPr>
        <w:t xml:space="preserve"> </w:t>
      </w:r>
      <w:r w:rsidR="00310F4E">
        <w:rPr>
          <w:rFonts w:cstheme="minorHAnsi"/>
          <w:color w:val="000000"/>
          <w:sz w:val="24"/>
          <w:szCs w:val="24"/>
          <w:lang w:val="el-GR"/>
        </w:rPr>
        <w:t xml:space="preserve">λάβει χώρα </w:t>
      </w:r>
      <w:r w:rsidR="00392288">
        <w:rPr>
          <w:rFonts w:cstheme="minorHAnsi"/>
          <w:color w:val="000000"/>
          <w:sz w:val="24"/>
          <w:szCs w:val="24"/>
          <w:lang w:val="el-GR"/>
        </w:rPr>
        <w:t>μια αξιοσημείωτη αναβάθμιση του συστήματος</w:t>
      </w:r>
      <w:r w:rsidR="00A5147D" w:rsidRPr="00392288">
        <w:rPr>
          <w:rFonts w:cstheme="minorHAnsi"/>
          <w:color w:val="000000"/>
          <w:sz w:val="24"/>
          <w:szCs w:val="24"/>
          <w:lang w:val="el-GR"/>
        </w:rPr>
        <w:t xml:space="preserve">. </w:t>
      </w:r>
      <w:r w:rsidR="00392288">
        <w:rPr>
          <w:rFonts w:cstheme="minorHAnsi"/>
          <w:color w:val="000000"/>
          <w:sz w:val="24"/>
          <w:szCs w:val="24"/>
          <w:lang w:val="el-GR"/>
        </w:rPr>
        <w:t>Θα</w:t>
      </w:r>
      <w:r w:rsidR="00392288" w:rsidRPr="00392288">
        <w:rPr>
          <w:rFonts w:cstheme="minorHAnsi"/>
          <w:color w:val="000000"/>
          <w:sz w:val="24"/>
          <w:szCs w:val="24"/>
          <w:lang w:val="el-GR"/>
        </w:rPr>
        <w:t xml:space="preserve"> </w:t>
      </w:r>
      <w:r w:rsidR="00392288">
        <w:rPr>
          <w:rFonts w:cstheme="minorHAnsi"/>
          <w:color w:val="000000"/>
          <w:sz w:val="24"/>
          <w:szCs w:val="24"/>
          <w:lang w:val="el-GR"/>
        </w:rPr>
        <w:t>είναι</w:t>
      </w:r>
      <w:r w:rsidR="00392288" w:rsidRPr="00392288">
        <w:rPr>
          <w:rFonts w:cstheme="minorHAnsi"/>
          <w:color w:val="000000"/>
          <w:sz w:val="24"/>
          <w:szCs w:val="24"/>
          <w:lang w:val="el-GR"/>
        </w:rPr>
        <w:t xml:space="preserve"> </w:t>
      </w:r>
      <w:r w:rsidR="00392288">
        <w:rPr>
          <w:rFonts w:cstheme="minorHAnsi"/>
          <w:color w:val="000000"/>
          <w:sz w:val="24"/>
          <w:szCs w:val="24"/>
          <w:lang w:val="el-GR"/>
        </w:rPr>
        <w:t>σημαντικό</w:t>
      </w:r>
      <w:r w:rsidR="00392288" w:rsidRPr="00392288">
        <w:rPr>
          <w:rFonts w:cstheme="minorHAnsi"/>
          <w:color w:val="000000"/>
          <w:sz w:val="24"/>
          <w:szCs w:val="24"/>
          <w:lang w:val="el-GR"/>
        </w:rPr>
        <w:t xml:space="preserve"> </w:t>
      </w:r>
      <w:r w:rsidR="00310F4E">
        <w:rPr>
          <w:rFonts w:cstheme="minorHAnsi"/>
          <w:color w:val="000000"/>
          <w:sz w:val="24"/>
          <w:szCs w:val="24"/>
          <w:lang w:val="el-GR"/>
        </w:rPr>
        <w:t>από</w:t>
      </w:r>
      <w:r w:rsidR="00C16113">
        <w:rPr>
          <w:rFonts w:cstheme="minorHAnsi"/>
          <w:color w:val="000000"/>
          <w:sz w:val="24"/>
          <w:szCs w:val="24"/>
          <w:lang w:val="el-GR"/>
        </w:rPr>
        <w:t xml:space="preserve"> </w:t>
      </w:r>
      <w:r w:rsidR="00310F4E">
        <w:rPr>
          <w:rFonts w:cstheme="minorHAnsi"/>
          <w:color w:val="000000"/>
          <w:sz w:val="24"/>
          <w:szCs w:val="24"/>
          <w:lang w:val="el-GR"/>
        </w:rPr>
        <w:t>τούδε και</w:t>
      </w:r>
      <w:r w:rsidR="00310F4E" w:rsidRPr="00392288">
        <w:rPr>
          <w:rFonts w:cstheme="minorHAnsi"/>
          <w:color w:val="000000"/>
          <w:sz w:val="24"/>
          <w:szCs w:val="24"/>
          <w:lang w:val="el-GR"/>
        </w:rPr>
        <w:t xml:space="preserve"> </w:t>
      </w:r>
      <w:r w:rsidR="00310F4E">
        <w:rPr>
          <w:rFonts w:cstheme="minorHAnsi"/>
          <w:color w:val="000000"/>
          <w:sz w:val="24"/>
          <w:szCs w:val="24"/>
          <w:lang w:val="el-GR"/>
        </w:rPr>
        <w:t>στο</w:t>
      </w:r>
      <w:r w:rsidR="00310F4E" w:rsidRPr="00392288">
        <w:rPr>
          <w:rFonts w:cstheme="minorHAnsi"/>
          <w:color w:val="000000"/>
          <w:sz w:val="24"/>
          <w:szCs w:val="24"/>
          <w:lang w:val="el-GR"/>
        </w:rPr>
        <w:t xml:space="preserve"> </w:t>
      </w:r>
      <w:r w:rsidR="00310F4E">
        <w:rPr>
          <w:rFonts w:cstheme="minorHAnsi"/>
          <w:color w:val="000000"/>
          <w:sz w:val="24"/>
          <w:szCs w:val="24"/>
          <w:lang w:val="el-GR"/>
        </w:rPr>
        <w:t xml:space="preserve">εξής </w:t>
      </w:r>
      <w:r w:rsidR="00392288">
        <w:rPr>
          <w:rFonts w:cstheme="minorHAnsi"/>
          <w:color w:val="000000"/>
          <w:sz w:val="24"/>
          <w:szCs w:val="24"/>
          <w:lang w:val="el-GR"/>
        </w:rPr>
        <w:t>να</w:t>
      </w:r>
      <w:r w:rsidR="00392288" w:rsidRPr="00392288">
        <w:rPr>
          <w:rFonts w:cstheme="minorHAnsi"/>
          <w:color w:val="000000"/>
          <w:sz w:val="24"/>
          <w:szCs w:val="24"/>
          <w:lang w:val="el-GR"/>
        </w:rPr>
        <w:t xml:space="preserve"> </w:t>
      </w:r>
      <w:r w:rsidR="00392288">
        <w:rPr>
          <w:rFonts w:cstheme="minorHAnsi"/>
          <w:color w:val="000000"/>
          <w:sz w:val="24"/>
          <w:szCs w:val="24"/>
          <w:lang w:val="el-GR"/>
        </w:rPr>
        <w:t>παρακολουθ</w:t>
      </w:r>
      <w:r w:rsidR="00310F4E">
        <w:rPr>
          <w:rFonts w:cstheme="minorHAnsi"/>
          <w:color w:val="000000"/>
          <w:sz w:val="24"/>
          <w:szCs w:val="24"/>
          <w:lang w:val="el-GR"/>
        </w:rPr>
        <w:t xml:space="preserve">είται </w:t>
      </w:r>
      <w:r w:rsidR="00392288">
        <w:rPr>
          <w:rFonts w:cstheme="minorHAnsi"/>
          <w:color w:val="000000"/>
          <w:sz w:val="24"/>
          <w:szCs w:val="24"/>
          <w:lang w:val="el-GR"/>
        </w:rPr>
        <w:t>η</w:t>
      </w:r>
      <w:r w:rsidR="00392288" w:rsidRPr="00392288">
        <w:rPr>
          <w:rFonts w:cstheme="minorHAnsi"/>
          <w:color w:val="000000"/>
          <w:sz w:val="24"/>
          <w:szCs w:val="24"/>
          <w:lang w:val="el-GR"/>
        </w:rPr>
        <w:t xml:space="preserve"> </w:t>
      </w:r>
      <w:r w:rsidR="00392288">
        <w:rPr>
          <w:rFonts w:cstheme="minorHAnsi"/>
          <w:color w:val="000000"/>
          <w:sz w:val="24"/>
          <w:szCs w:val="24"/>
          <w:lang w:val="el-GR"/>
        </w:rPr>
        <w:t>ποιότητα</w:t>
      </w:r>
      <w:r w:rsidR="00392288" w:rsidRPr="00392288">
        <w:rPr>
          <w:rFonts w:cstheme="minorHAnsi"/>
          <w:color w:val="000000"/>
          <w:sz w:val="24"/>
          <w:szCs w:val="24"/>
          <w:lang w:val="el-GR"/>
        </w:rPr>
        <w:t xml:space="preserve"> </w:t>
      </w:r>
      <w:r w:rsidR="00392288">
        <w:rPr>
          <w:rFonts w:cstheme="minorHAnsi"/>
          <w:color w:val="000000"/>
          <w:sz w:val="24"/>
          <w:szCs w:val="24"/>
          <w:lang w:val="el-GR"/>
        </w:rPr>
        <w:t>των</w:t>
      </w:r>
      <w:r w:rsidR="00392288" w:rsidRPr="00392288">
        <w:rPr>
          <w:rFonts w:cstheme="minorHAnsi"/>
          <w:color w:val="000000"/>
          <w:sz w:val="24"/>
          <w:szCs w:val="24"/>
          <w:lang w:val="el-GR"/>
        </w:rPr>
        <w:t xml:space="preserve"> </w:t>
      </w:r>
      <w:r w:rsidR="00392288">
        <w:rPr>
          <w:rFonts w:cstheme="minorHAnsi"/>
          <w:color w:val="000000"/>
          <w:sz w:val="24"/>
          <w:szCs w:val="24"/>
          <w:lang w:val="el-GR"/>
        </w:rPr>
        <w:t>διαδικασιών</w:t>
      </w:r>
      <w:r w:rsidR="00392288" w:rsidRPr="00392288">
        <w:rPr>
          <w:rFonts w:cstheme="minorHAnsi"/>
          <w:color w:val="000000"/>
          <w:sz w:val="24"/>
          <w:szCs w:val="24"/>
          <w:lang w:val="el-GR"/>
        </w:rPr>
        <w:t xml:space="preserve"> </w:t>
      </w:r>
      <w:r w:rsidR="00392288">
        <w:rPr>
          <w:rFonts w:cstheme="minorHAnsi"/>
          <w:color w:val="000000"/>
          <w:sz w:val="24"/>
          <w:szCs w:val="24"/>
          <w:lang w:val="el-GR"/>
        </w:rPr>
        <w:t>διαβούλευσης</w:t>
      </w:r>
      <w:r w:rsidR="00310F4E">
        <w:rPr>
          <w:rFonts w:cstheme="minorHAnsi"/>
          <w:color w:val="000000"/>
          <w:sz w:val="24"/>
          <w:szCs w:val="24"/>
          <w:lang w:val="el-GR"/>
        </w:rPr>
        <w:t xml:space="preserve"> για τη διασφάλιση της </w:t>
      </w:r>
      <w:r w:rsidR="00392288">
        <w:rPr>
          <w:rFonts w:cstheme="minorHAnsi"/>
          <w:color w:val="000000"/>
          <w:sz w:val="24"/>
          <w:szCs w:val="24"/>
          <w:lang w:val="el-GR"/>
        </w:rPr>
        <w:t>σχετικής και έγκαιρης εμπλοκής</w:t>
      </w:r>
      <w:r w:rsidR="00392288" w:rsidRPr="00392288">
        <w:rPr>
          <w:rFonts w:cstheme="minorHAnsi"/>
          <w:color w:val="000000"/>
          <w:sz w:val="24"/>
          <w:szCs w:val="24"/>
          <w:lang w:val="el-GR"/>
        </w:rPr>
        <w:t xml:space="preserve"> </w:t>
      </w:r>
      <w:r w:rsidR="00392288">
        <w:rPr>
          <w:rFonts w:cstheme="minorHAnsi"/>
          <w:color w:val="000000"/>
          <w:sz w:val="24"/>
          <w:szCs w:val="24"/>
          <w:lang w:val="el-GR"/>
        </w:rPr>
        <w:t xml:space="preserve">των ενδιαφερομένων μερών στην </w:t>
      </w:r>
      <w:r w:rsidR="00C16113">
        <w:rPr>
          <w:rFonts w:cstheme="minorHAnsi"/>
          <w:color w:val="000000"/>
          <w:sz w:val="24"/>
          <w:szCs w:val="24"/>
          <w:lang w:val="el-GR"/>
        </w:rPr>
        <w:t>πολιτική/ρυθμιστική ανάπτυξη.</w:t>
      </w:r>
    </w:p>
    <w:p w14:paraId="16009089" w14:textId="77777777" w:rsidR="00A5147D" w:rsidRPr="00392288" w:rsidRDefault="00A5147D" w:rsidP="00A5147D">
      <w:pPr>
        <w:tabs>
          <w:tab w:val="left" w:pos="709"/>
        </w:tabs>
        <w:rPr>
          <w:rFonts w:cstheme="minorHAnsi"/>
          <w:color w:val="000000"/>
          <w:sz w:val="24"/>
          <w:szCs w:val="24"/>
          <w:lang w:val="el-GR"/>
        </w:rPr>
      </w:pPr>
    </w:p>
    <w:p w14:paraId="2EB58973" w14:textId="2C582A10" w:rsidR="00A5147D" w:rsidRPr="00BB06D0" w:rsidRDefault="0050412F" w:rsidP="002B7C4B">
      <w:pPr>
        <w:numPr>
          <w:ilvl w:val="0"/>
          <w:numId w:val="1"/>
        </w:numPr>
        <w:tabs>
          <w:tab w:val="left" w:pos="709"/>
        </w:tabs>
        <w:spacing w:before="240"/>
        <w:ind w:left="0" w:firstLine="0"/>
        <w:rPr>
          <w:rFonts w:cstheme="minorHAnsi"/>
          <w:color w:val="000000"/>
          <w:sz w:val="24"/>
          <w:szCs w:val="24"/>
          <w:lang w:val="el-GR"/>
        </w:rPr>
      </w:pPr>
      <w:bookmarkStart w:id="9" w:name="_Hlk101633776"/>
      <w:bookmarkEnd w:id="7"/>
      <w:r>
        <w:rPr>
          <w:rFonts w:cstheme="minorHAnsi"/>
          <w:color w:val="000000"/>
          <w:sz w:val="24"/>
          <w:szCs w:val="24"/>
        </w:rPr>
        <w:t>H</w:t>
      </w:r>
      <w:r w:rsidRPr="0050412F">
        <w:rPr>
          <w:rFonts w:cstheme="minorHAnsi"/>
          <w:color w:val="000000"/>
          <w:sz w:val="24"/>
          <w:szCs w:val="24"/>
          <w:lang w:val="el-GR"/>
        </w:rPr>
        <w:t xml:space="preserve"> </w:t>
      </w:r>
      <w:r>
        <w:rPr>
          <w:rFonts w:cstheme="minorHAnsi"/>
          <w:color w:val="000000"/>
          <w:sz w:val="24"/>
          <w:szCs w:val="24"/>
        </w:rPr>
        <w:t>K</w:t>
      </w:r>
      <w:proofErr w:type="spellStart"/>
      <w:r>
        <w:rPr>
          <w:rFonts w:cstheme="minorHAnsi"/>
          <w:color w:val="000000"/>
          <w:sz w:val="24"/>
          <w:szCs w:val="24"/>
          <w:lang w:val="el-GR"/>
        </w:rPr>
        <w:t>ύπρος</w:t>
      </w:r>
      <w:proofErr w:type="spellEnd"/>
      <w:r>
        <w:rPr>
          <w:rFonts w:cstheme="minorHAnsi"/>
          <w:color w:val="000000"/>
          <w:sz w:val="24"/>
          <w:szCs w:val="24"/>
          <w:lang w:val="el-GR"/>
        </w:rPr>
        <w:t xml:space="preserve"> έχει προεδρικό σύστημα</w:t>
      </w:r>
      <w:r w:rsidR="00A5147D" w:rsidRPr="0050412F">
        <w:rPr>
          <w:rFonts w:cstheme="minorHAnsi"/>
          <w:color w:val="000000"/>
          <w:sz w:val="24"/>
          <w:szCs w:val="24"/>
          <w:lang w:val="el-GR"/>
        </w:rPr>
        <w:t>.</w:t>
      </w:r>
      <w:r w:rsidR="00C16113">
        <w:rPr>
          <w:rFonts w:cstheme="minorHAnsi"/>
          <w:color w:val="000000"/>
          <w:sz w:val="24"/>
          <w:szCs w:val="24"/>
          <w:lang w:val="el-GR"/>
        </w:rPr>
        <w:t xml:space="preserve"> Επομένως</w:t>
      </w:r>
      <w:r w:rsidR="00A5147D" w:rsidRPr="0050412F">
        <w:rPr>
          <w:rFonts w:cstheme="minorHAnsi"/>
          <w:color w:val="000000"/>
          <w:sz w:val="24"/>
          <w:szCs w:val="24"/>
          <w:lang w:val="el-GR"/>
        </w:rPr>
        <w:t xml:space="preserve">, </w:t>
      </w:r>
      <w:r>
        <w:rPr>
          <w:rFonts w:cstheme="minorHAnsi"/>
          <w:color w:val="000000"/>
          <w:sz w:val="24"/>
          <w:szCs w:val="24"/>
          <w:lang w:val="el-GR"/>
        </w:rPr>
        <w:t>ο</w:t>
      </w:r>
      <w:r w:rsidRPr="0050412F">
        <w:rPr>
          <w:rFonts w:cstheme="minorHAnsi"/>
          <w:color w:val="000000"/>
          <w:sz w:val="24"/>
          <w:szCs w:val="24"/>
          <w:lang w:val="el-GR"/>
        </w:rPr>
        <w:t xml:space="preserve"> </w:t>
      </w:r>
      <w:r>
        <w:rPr>
          <w:rFonts w:cstheme="minorHAnsi"/>
          <w:color w:val="000000"/>
          <w:sz w:val="24"/>
          <w:szCs w:val="24"/>
          <w:lang w:val="el-GR"/>
        </w:rPr>
        <w:t>Πρόεδρος</w:t>
      </w:r>
      <w:r w:rsidR="00A5147D" w:rsidRPr="0050412F">
        <w:rPr>
          <w:rFonts w:cstheme="minorHAnsi"/>
          <w:color w:val="000000"/>
          <w:sz w:val="24"/>
          <w:szCs w:val="24"/>
          <w:lang w:val="el-GR"/>
        </w:rPr>
        <w:t xml:space="preserve"> </w:t>
      </w:r>
      <w:r>
        <w:rPr>
          <w:rFonts w:cstheme="minorHAnsi"/>
          <w:color w:val="000000"/>
          <w:sz w:val="24"/>
          <w:szCs w:val="24"/>
          <w:lang w:val="el-GR"/>
        </w:rPr>
        <w:t>είναι</w:t>
      </w:r>
      <w:r w:rsidRPr="0050412F">
        <w:rPr>
          <w:rFonts w:cstheme="minorHAnsi"/>
          <w:color w:val="000000"/>
          <w:sz w:val="24"/>
          <w:szCs w:val="24"/>
          <w:lang w:val="el-GR"/>
        </w:rPr>
        <w:t xml:space="preserve"> </w:t>
      </w:r>
      <w:r w:rsidR="00C16113">
        <w:rPr>
          <w:rFonts w:cstheme="minorHAnsi"/>
          <w:color w:val="000000"/>
          <w:sz w:val="24"/>
          <w:szCs w:val="24"/>
          <w:lang w:val="el-GR"/>
        </w:rPr>
        <w:t xml:space="preserve">περιβεβλημένος </w:t>
      </w:r>
      <w:r>
        <w:rPr>
          <w:rFonts w:cstheme="minorHAnsi"/>
          <w:color w:val="000000"/>
          <w:sz w:val="24"/>
          <w:szCs w:val="24"/>
          <w:lang w:val="el-GR"/>
        </w:rPr>
        <w:t>με</w:t>
      </w:r>
      <w:r w:rsidRPr="0050412F">
        <w:rPr>
          <w:rFonts w:cstheme="minorHAnsi"/>
          <w:color w:val="000000"/>
          <w:sz w:val="24"/>
          <w:szCs w:val="24"/>
          <w:lang w:val="el-GR"/>
        </w:rPr>
        <w:t xml:space="preserve"> </w:t>
      </w:r>
      <w:r w:rsidR="00C16113">
        <w:rPr>
          <w:rFonts w:cstheme="minorHAnsi"/>
          <w:color w:val="000000"/>
          <w:sz w:val="24"/>
          <w:szCs w:val="24"/>
          <w:lang w:val="el-GR"/>
        </w:rPr>
        <w:t xml:space="preserve">ευρείες </w:t>
      </w:r>
      <w:r>
        <w:rPr>
          <w:rFonts w:cstheme="minorHAnsi"/>
          <w:color w:val="000000"/>
          <w:sz w:val="24"/>
          <w:szCs w:val="24"/>
          <w:lang w:val="el-GR"/>
        </w:rPr>
        <w:t>εκτελεστικές</w:t>
      </w:r>
      <w:r w:rsidRPr="0050412F">
        <w:rPr>
          <w:rFonts w:cstheme="minorHAnsi"/>
          <w:color w:val="000000"/>
          <w:sz w:val="24"/>
          <w:szCs w:val="24"/>
          <w:lang w:val="el-GR"/>
        </w:rPr>
        <w:t xml:space="preserve"> </w:t>
      </w:r>
      <w:r>
        <w:rPr>
          <w:rFonts w:cstheme="minorHAnsi"/>
          <w:color w:val="000000"/>
          <w:sz w:val="24"/>
          <w:szCs w:val="24"/>
          <w:lang w:val="el-GR"/>
        </w:rPr>
        <w:t>εξουσίες</w:t>
      </w:r>
      <w:r w:rsidR="00A5147D" w:rsidRPr="0050412F">
        <w:rPr>
          <w:rFonts w:cstheme="minorHAnsi"/>
          <w:color w:val="000000"/>
          <w:sz w:val="24"/>
          <w:szCs w:val="24"/>
          <w:lang w:val="el-GR"/>
        </w:rPr>
        <w:t xml:space="preserve"> </w:t>
      </w:r>
      <w:r>
        <w:rPr>
          <w:rFonts w:cstheme="minorHAnsi"/>
          <w:color w:val="000000"/>
          <w:sz w:val="24"/>
          <w:szCs w:val="24"/>
          <w:lang w:val="el-GR"/>
        </w:rPr>
        <w:t xml:space="preserve">και </w:t>
      </w:r>
      <w:r w:rsidR="00C16113">
        <w:rPr>
          <w:rFonts w:cstheme="minorHAnsi"/>
          <w:color w:val="000000"/>
          <w:sz w:val="24"/>
          <w:szCs w:val="24"/>
          <w:lang w:val="el-GR"/>
        </w:rPr>
        <w:t xml:space="preserve">συνεπώς </w:t>
      </w:r>
      <w:r w:rsidR="009E4AC7">
        <w:rPr>
          <w:rFonts w:cstheme="minorHAnsi"/>
          <w:color w:val="000000"/>
          <w:sz w:val="24"/>
          <w:szCs w:val="24"/>
          <w:lang w:val="el-GR"/>
        </w:rPr>
        <w:t xml:space="preserve">θεωρείται </w:t>
      </w:r>
      <w:r w:rsidR="00C16113">
        <w:rPr>
          <w:rFonts w:cstheme="minorHAnsi"/>
          <w:color w:val="000000"/>
          <w:sz w:val="24"/>
          <w:szCs w:val="24"/>
          <w:lang w:val="el-GR"/>
        </w:rPr>
        <w:t>για τους σκοπούς της έκθεσης</w:t>
      </w:r>
      <w:r w:rsidR="00C16113" w:rsidDel="00C16113">
        <w:rPr>
          <w:rFonts w:cstheme="minorHAnsi"/>
          <w:color w:val="000000"/>
          <w:sz w:val="24"/>
          <w:szCs w:val="24"/>
          <w:lang w:val="el-GR"/>
        </w:rPr>
        <w:t xml:space="preserve"> </w:t>
      </w:r>
      <w:r>
        <w:rPr>
          <w:rFonts w:cstheme="minorHAnsi"/>
          <w:color w:val="000000"/>
          <w:sz w:val="24"/>
          <w:szCs w:val="24"/>
          <w:lang w:val="el-GR"/>
        </w:rPr>
        <w:t xml:space="preserve">ως </w:t>
      </w:r>
      <w:r w:rsidR="00C16113">
        <w:rPr>
          <w:rFonts w:cstheme="minorHAnsi"/>
          <w:color w:val="000000"/>
          <w:sz w:val="24"/>
          <w:szCs w:val="24"/>
          <w:lang w:val="en-US"/>
        </w:rPr>
        <w:t>PTEF</w:t>
      </w:r>
      <w:r w:rsidR="00A5147D" w:rsidRPr="0050412F">
        <w:rPr>
          <w:rFonts w:cstheme="minorHAnsi"/>
          <w:color w:val="000000"/>
          <w:sz w:val="24"/>
          <w:szCs w:val="24"/>
          <w:lang w:val="el-GR"/>
        </w:rPr>
        <w:t xml:space="preserve">. </w:t>
      </w:r>
      <w:r>
        <w:rPr>
          <w:rFonts w:cstheme="minorHAnsi"/>
          <w:color w:val="000000"/>
          <w:sz w:val="24"/>
          <w:szCs w:val="24"/>
          <w:lang w:val="el-GR"/>
        </w:rPr>
        <w:t>Δεν</w:t>
      </w:r>
      <w:r w:rsidRPr="00BD5EB5">
        <w:rPr>
          <w:rFonts w:cstheme="minorHAnsi"/>
          <w:color w:val="000000"/>
          <w:sz w:val="24"/>
          <w:szCs w:val="24"/>
          <w:lang w:val="el-GR"/>
        </w:rPr>
        <w:t xml:space="preserve"> </w:t>
      </w:r>
      <w:r>
        <w:rPr>
          <w:rFonts w:cstheme="minorHAnsi"/>
          <w:color w:val="000000"/>
          <w:sz w:val="24"/>
          <w:szCs w:val="24"/>
          <w:lang w:val="el-GR"/>
        </w:rPr>
        <w:t>υπάρχει</w:t>
      </w:r>
      <w:r w:rsidRPr="00BD5EB5">
        <w:rPr>
          <w:rFonts w:cstheme="minorHAnsi"/>
          <w:color w:val="000000"/>
          <w:sz w:val="24"/>
          <w:szCs w:val="24"/>
          <w:lang w:val="el-GR"/>
        </w:rPr>
        <w:t xml:space="preserve"> </w:t>
      </w:r>
      <w:r>
        <w:rPr>
          <w:rFonts w:cstheme="minorHAnsi"/>
          <w:color w:val="000000"/>
          <w:sz w:val="24"/>
          <w:szCs w:val="24"/>
          <w:lang w:val="el-GR"/>
        </w:rPr>
        <w:t>σύστημα</w:t>
      </w:r>
      <w:r w:rsidR="00A5147D" w:rsidRPr="00BD5EB5">
        <w:rPr>
          <w:rFonts w:cstheme="minorHAnsi"/>
          <w:color w:val="000000"/>
          <w:sz w:val="24"/>
          <w:szCs w:val="24"/>
          <w:lang w:val="el-GR"/>
        </w:rPr>
        <w:t xml:space="preserve"> </w:t>
      </w:r>
      <w:r>
        <w:rPr>
          <w:rFonts w:cstheme="minorHAnsi"/>
          <w:color w:val="000000"/>
          <w:sz w:val="24"/>
          <w:szCs w:val="24"/>
          <w:lang w:val="el-GR"/>
        </w:rPr>
        <w:t>για</w:t>
      </w:r>
      <w:r w:rsidRPr="00BD5EB5">
        <w:rPr>
          <w:rFonts w:cstheme="minorHAnsi"/>
          <w:color w:val="000000"/>
          <w:sz w:val="24"/>
          <w:szCs w:val="24"/>
          <w:lang w:val="el-GR"/>
        </w:rPr>
        <w:t xml:space="preserve"> </w:t>
      </w:r>
      <w:r>
        <w:rPr>
          <w:rFonts w:cstheme="minorHAnsi"/>
          <w:color w:val="000000"/>
          <w:sz w:val="24"/>
          <w:szCs w:val="24"/>
          <w:lang w:val="el-GR"/>
        </w:rPr>
        <w:t>ανάλυση</w:t>
      </w:r>
      <w:r w:rsidR="009E4AC7" w:rsidRPr="009E4AC7">
        <w:rPr>
          <w:rFonts w:cstheme="minorHAnsi"/>
          <w:color w:val="000000"/>
          <w:sz w:val="24"/>
          <w:szCs w:val="24"/>
          <w:lang w:val="el-GR"/>
        </w:rPr>
        <w:t xml:space="preserve"> </w:t>
      </w:r>
      <w:r>
        <w:rPr>
          <w:rFonts w:cstheme="minorHAnsi"/>
          <w:color w:val="000000"/>
          <w:sz w:val="24"/>
          <w:szCs w:val="24"/>
          <w:lang w:val="el-GR"/>
        </w:rPr>
        <w:t>των</w:t>
      </w:r>
      <w:r w:rsidRPr="00BD5EB5">
        <w:rPr>
          <w:rFonts w:cstheme="minorHAnsi"/>
          <w:color w:val="000000"/>
          <w:sz w:val="24"/>
          <w:szCs w:val="24"/>
          <w:lang w:val="el-GR"/>
        </w:rPr>
        <w:t xml:space="preserve"> </w:t>
      </w:r>
      <w:r w:rsidR="009E4AC7">
        <w:rPr>
          <w:rFonts w:cstheme="minorHAnsi"/>
          <w:color w:val="000000"/>
          <w:sz w:val="24"/>
          <w:szCs w:val="24"/>
          <w:lang w:val="el-GR"/>
        </w:rPr>
        <w:t xml:space="preserve">σημαντικών </w:t>
      </w:r>
      <w:r>
        <w:rPr>
          <w:rFonts w:cstheme="minorHAnsi"/>
          <w:color w:val="000000"/>
          <w:sz w:val="24"/>
          <w:szCs w:val="24"/>
          <w:lang w:val="el-GR"/>
        </w:rPr>
        <w:t>παραγόντων</w:t>
      </w:r>
      <w:r w:rsidRPr="00BD5EB5">
        <w:rPr>
          <w:rFonts w:cstheme="minorHAnsi"/>
          <w:color w:val="000000"/>
          <w:sz w:val="24"/>
          <w:szCs w:val="24"/>
          <w:lang w:val="el-GR"/>
        </w:rPr>
        <w:t xml:space="preserve"> </w:t>
      </w:r>
      <w:r w:rsidR="009E4AC7">
        <w:rPr>
          <w:rFonts w:cstheme="minorHAnsi"/>
          <w:color w:val="000000"/>
          <w:sz w:val="24"/>
          <w:szCs w:val="24"/>
          <w:lang w:val="el-GR"/>
        </w:rPr>
        <w:t xml:space="preserve">ρίσκου </w:t>
      </w:r>
      <w:r>
        <w:rPr>
          <w:rFonts w:cstheme="minorHAnsi"/>
          <w:color w:val="000000"/>
          <w:sz w:val="24"/>
          <w:szCs w:val="24"/>
          <w:lang w:val="el-GR"/>
        </w:rPr>
        <w:t>διαφθοράς</w:t>
      </w:r>
      <w:r w:rsidR="00A5147D" w:rsidRPr="00BD5EB5">
        <w:rPr>
          <w:rFonts w:cstheme="minorHAnsi"/>
          <w:color w:val="000000"/>
          <w:sz w:val="24"/>
          <w:szCs w:val="24"/>
          <w:lang w:val="el-GR"/>
        </w:rPr>
        <w:t xml:space="preserve"> </w:t>
      </w:r>
      <w:r>
        <w:rPr>
          <w:rFonts w:cstheme="minorHAnsi"/>
          <w:color w:val="000000"/>
          <w:sz w:val="24"/>
          <w:szCs w:val="24"/>
          <w:lang w:val="el-GR"/>
        </w:rPr>
        <w:t>που</w:t>
      </w:r>
      <w:r w:rsidRPr="00BD5EB5">
        <w:rPr>
          <w:rFonts w:cstheme="minorHAnsi"/>
          <w:color w:val="000000"/>
          <w:sz w:val="24"/>
          <w:szCs w:val="24"/>
          <w:lang w:val="el-GR"/>
        </w:rPr>
        <w:t xml:space="preserve"> </w:t>
      </w:r>
      <w:r w:rsidR="00BD5EB5">
        <w:rPr>
          <w:rFonts w:cstheme="minorHAnsi"/>
          <w:color w:val="000000"/>
          <w:sz w:val="24"/>
          <w:szCs w:val="24"/>
          <w:lang w:val="el-GR"/>
        </w:rPr>
        <w:t xml:space="preserve">αντιμετωπίζουν οι </w:t>
      </w:r>
      <w:r w:rsidR="009E4AC7">
        <w:rPr>
          <w:rFonts w:cstheme="minorHAnsi"/>
          <w:color w:val="000000"/>
          <w:sz w:val="24"/>
          <w:szCs w:val="24"/>
          <w:lang w:val="en-US"/>
        </w:rPr>
        <w:t>PTEFs</w:t>
      </w:r>
      <w:r w:rsidR="00224297" w:rsidRPr="00224297">
        <w:rPr>
          <w:rFonts w:cstheme="minorHAnsi"/>
          <w:color w:val="000000"/>
          <w:sz w:val="24"/>
          <w:szCs w:val="24"/>
          <w:lang w:val="el-GR"/>
        </w:rPr>
        <w:t xml:space="preserve"> </w:t>
      </w:r>
      <w:r w:rsidR="00224297">
        <w:rPr>
          <w:rFonts w:cstheme="minorHAnsi"/>
          <w:color w:val="000000"/>
          <w:sz w:val="24"/>
          <w:szCs w:val="24"/>
          <w:lang w:val="el-GR"/>
        </w:rPr>
        <w:t>με τρόπο</w:t>
      </w:r>
      <w:r w:rsidR="00224297" w:rsidRPr="00BD5EB5">
        <w:rPr>
          <w:rFonts w:cstheme="minorHAnsi"/>
          <w:color w:val="000000"/>
          <w:sz w:val="24"/>
          <w:szCs w:val="24"/>
          <w:lang w:val="el-GR"/>
        </w:rPr>
        <w:t xml:space="preserve"> </w:t>
      </w:r>
      <w:r w:rsidR="00224297">
        <w:rPr>
          <w:rFonts w:cstheme="minorHAnsi"/>
          <w:color w:val="000000"/>
          <w:sz w:val="24"/>
          <w:szCs w:val="24"/>
          <w:lang w:val="el-GR"/>
        </w:rPr>
        <w:t xml:space="preserve">στρατηγικό </w:t>
      </w:r>
      <w:r w:rsidR="00A5147D" w:rsidRPr="00BD5EB5">
        <w:rPr>
          <w:rFonts w:cstheme="minorHAnsi"/>
          <w:color w:val="000000"/>
          <w:sz w:val="24"/>
          <w:szCs w:val="24"/>
          <w:lang w:val="el-GR"/>
        </w:rPr>
        <w:t xml:space="preserve">, </w:t>
      </w:r>
      <w:r w:rsidR="00BD5EB5">
        <w:rPr>
          <w:rFonts w:cstheme="minorHAnsi"/>
          <w:color w:val="000000"/>
          <w:sz w:val="24"/>
          <w:szCs w:val="24"/>
          <w:lang w:val="el-GR"/>
        </w:rPr>
        <w:t xml:space="preserve">ούτε </w:t>
      </w:r>
      <w:r w:rsidR="00A60538">
        <w:rPr>
          <w:rFonts w:cstheme="minorHAnsi"/>
          <w:color w:val="000000"/>
          <w:sz w:val="24"/>
          <w:szCs w:val="24"/>
          <w:lang w:val="el-GR"/>
        </w:rPr>
        <w:t xml:space="preserve">για </w:t>
      </w:r>
      <w:r w:rsidR="009E4AC7">
        <w:rPr>
          <w:rFonts w:cstheme="minorHAnsi"/>
          <w:color w:val="000000"/>
          <w:sz w:val="24"/>
          <w:szCs w:val="24"/>
          <w:lang w:val="el-GR"/>
        </w:rPr>
        <w:t xml:space="preserve">την υποβολή των </w:t>
      </w:r>
      <w:r w:rsidR="009E4AC7">
        <w:rPr>
          <w:rFonts w:cstheme="minorHAnsi"/>
          <w:color w:val="000000"/>
          <w:sz w:val="24"/>
          <w:szCs w:val="24"/>
          <w:lang w:val="en-US"/>
        </w:rPr>
        <w:t>PTEFs</w:t>
      </w:r>
      <w:r w:rsidR="009E4AC7" w:rsidRPr="002B7C4B">
        <w:rPr>
          <w:rFonts w:cstheme="minorHAnsi"/>
          <w:color w:val="000000"/>
          <w:sz w:val="24"/>
          <w:szCs w:val="24"/>
          <w:lang w:val="el-GR"/>
        </w:rPr>
        <w:t xml:space="preserve"> </w:t>
      </w:r>
      <w:r w:rsidR="00BD5EB5">
        <w:rPr>
          <w:rFonts w:cstheme="minorHAnsi"/>
          <w:color w:val="000000"/>
          <w:sz w:val="24"/>
          <w:szCs w:val="24"/>
          <w:lang w:val="el-GR"/>
        </w:rPr>
        <w:t xml:space="preserve">σε ελέγχους </w:t>
      </w:r>
      <w:r w:rsidR="009E4AC7">
        <w:rPr>
          <w:rFonts w:cstheme="minorHAnsi"/>
          <w:color w:val="000000"/>
          <w:sz w:val="24"/>
          <w:szCs w:val="24"/>
          <w:lang w:val="el-GR"/>
        </w:rPr>
        <w:t>για το υπόβαθρο ακεραιότητας</w:t>
      </w:r>
      <w:r w:rsidR="007E5D13" w:rsidRPr="007E5D13">
        <w:rPr>
          <w:rFonts w:cstheme="minorHAnsi"/>
          <w:color w:val="000000"/>
          <w:sz w:val="24"/>
          <w:szCs w:val="24"/>
          <w:lang w:val="el-GR"/>
        </w:rPr>
        <w:t xml:space="preserve"> </w:t>
      </w:r>
      <w:r w:rsidR="007E5D13">
        <w:rPr>
          <w:rFonts w:cstheme="minorHAnsi"/>
          <w:color w:val="000000"/>
          <w:sz w:val="24"/>
          <w:szCs w:val="24"/>
          <w:lang w:val="el-GR"/>
        </w:rPr>
        <w:t>πριν από τον διορισμό τους</w:t>
      </w:r>
      <w:r w:rsidR="00A5147D" w:rsidRPr="00BD5EB5">
        <w:rPr>
          <w:rFonts w:cstheme="minorHAnsi"/>
          <w:color w:val="000000"/>
          <w:sz w:val="24"/>
          <w:szCs w:val="24"/>
          <w:lang w:val="el-GR"/>
        </w:rPr>
        <w:t xml:space="preserve">. </w:t>
      </w:r>
      <w:r w:rsidR="00BD5EB5">
        <w:rPr>
          <w:rFonts w:cstheme="minorHAnsi"/>
          <w:color w:val="000000"/>
          <w:sz w:val="24"/>
          <w:szCs w:val="24"/>
          <w:lang w:val="el-GR"/>
        </w:rPr>
        <w:t>Ενώ</w:t>
      </w:r>
      <w:r w:rsidR="00BD5EB5" w:rsidRPr="00BD5EB5">
        <w:rPr>
          <w:rFonts w:cstheme="minorHAnsi"/>
          <w:color w:val="000000"/>
          <w:sz w:val="24"/>
          <w:szCs w:val="24"/>
          <w:lang w:val="el-GR"/>
        </w:rPr>
        <w:t xml:space="preserve"> </w:t>
      </w:r>
      <w:r w:rsidR="00BD5EB5">
        <w:rPr>
          <w:rFonts w:cstheme="minorHAnsi"/>
          <w:color w:val="000000"/>
          <w:sz w:val="24"/>
          <w:szCs w:val="24"/>
          <w:lang w:val="el-GR"/>
        </w:rPr>
        <w:t>υπάρχει</w:t>
      </w:r>
      <w:r w:rsidR="00BD5EB5" w:rsidRPr="00BD5EB5">
        <w:rPr>
          <w:rFonts w:cstheme="minorHAnsi"/>
          <w:color w:val="000000"/>
          <w:sz w:val="24"/>
          <w:szCs w:val="24"/>
          <w:lang w:val="el-GR"/>
        </w:rPr>
        <w:t xml:space="preserve"> </w:t>
      </w:r>
      <w:r w:rsidR="007E5D13">
        <w:rPr>
          <w:rFonts w:cstheme="minorHAnsi"/>
          <w:color w:val="000000"/>
          <w:sz w:val="24"/>
          <w:szCs w:val="24"/>
          <w:lang w:val="el-GR"/>
        </w:rPr>
        <w:t xml:space="preserve">Χάρτα Δεοντολογίας </w:t>
      </w:r>
      <w:r w:rsidR="00BD5EB5">
        <w:rPr>
          <w:rFonts w:cstheme="minorHAnsi"/>
          <w:color w:val="000000"/>
          <w:sz w:val="24"/>
          <w:szCs w:val="24"/>
          <w:lang w:val="el-GR"/>
        </w:rPr>
        <w:t>που</w:t>
      </w:r>
      <w:r w:rsidR="00BD5EB5" w:rsidRPr="00BD5EB5">
        <w:rPr>
          <w:rFonts w:cstheme="minorHAnsi"/>
          <w:color w:val="000000"/>
          <w:sz w:val="24"/>
          <w:szCs w:val="24"/>
          <w:lang w:val="el-GR"/>
        </w:rPr>
        <w:t xml:space="preserve"> </w:t>
      </w:r>
      <w:r w:rsidR="00BD5EB5">
        <w:rPr>
          <w:rFonts w:cstheme="minorHAnsi"/>
          <w:color w:val="000000"/>
          <w:sz w:val="24"/>
          <w:szCs w:val="24"/>
          <w:lang w:val="el-GR"/>
        </w:rPr>
        <w:t>οι</w:t>
      </w:r>
      <w:r w:rsidR="00BD5EB5" w:rsidRPr="00BD5EB5">
        <w:rPr>
          <w:rFonts w:cstheme="minorHAnsi"/>
          <w:color w:val="000000"/>
          <w:sz w:val="24"/>
          <w:szCs w:val="24"/>
          <w:lang w:val="el-GR"/>
        </w:rPr>
        <w:t xml:space="preserve"> </w:t>
      </w:r>
      <w:r w:rsidR="007E5D13">
        <w:rPr>
          <w:rFonts w:cstheme="minorHAnsi"/>
          <w:color w:val="000000"/>
          <w:sz w:val="24"/>
          <w:szCs w:val="24"/>
          <w:lang w:val="en-US"/>
        </w:rPr>
        <w:t>PTEFs</w:t>
      </w:r>
      <w:r w:rsidR="007E5D13" w:rsidRPr="002B7C4B">
        <w:rPr>
          <w:rFonts w:cstheme="minorHAnsi"/>
          <w:color w:val="000000"/>
          <w:sz w:val="24"/>
          <w:szCs w:val="24"/>
          <w:lang w:val="el-GR"/>
        </w:rPr>
        <w:t xml:space="preserve"> </w:t>
      </w:r>
      <w:r w:rsidR="00A5147D" w:rsidRPr="00BD5EB5">
        <w:rPr>
          <w:rFonts w:cstheme="minorHAnsi"/>
          <w:color w:val="000000"/>
          <w:sz w:val="24"/>
          <w:szCs w:val="24"/>
          <w:lang w:val="el-GR"/>
        </w:rPr>
        <w:t>(</w:t>
      </w:r>
      <w:r w:rsidR="00BD5EB5">
        <w:rPr>
          <w:rFonts w:cstheme="minorHAnsi"/>
          <w:color w:val="000000"/>
          <w:sz w:val="24"/>
          <w:szCs w:val="24"/>
          <w:lang w:val="el-GR"/>
        </w:rPr>
        <w:t>όχι</w:t>
      </w:r>
      <w:r w:rsidR="00BD5EB5" w:rsidRPr="00BD5EB5">
        <w:rPr>
          <w:rFonts w:cstheme="minorHAnsi"/>
          <w:color w:val="000000"/>
          <w:sz w:val="24"/>
          <w:szCs w:val="24"/>
          <w:lang w:val="el-GR"/>
        </w:rPr>
        <w:t xml:space="preserve"> </w:t>
      </w:r>
      <w:r w:rsidR="00BD5EB5">
        <w:rPr>
          <w:rFonts w:cstheme="minorHAnsi"/>
          <w:color w:val="000000"/>
          <w:sz w:val="24"/>
          <w:szCs w:val="24"/>
          <w:lang w:val="el-GR"/>
        </w:rPr>
        <w:t>ο</w:t>
      </w:r>
      <w:r w:rsidR="00BD5EB5" w:rsidRPr="00BD5EB5">
        <w:rPr>
          <w:rFonts w:cstheme="minorHAnsi"/>
          <w:color w:val="000000"/>
          <w:sz w:val="24"/>
          <w:szCs w:val="24"/>
          <w:lang w:val="el-GR"/>
        </w:rPr>
        <w:t xml:space="preserve"> </w:t>
      </w:r>
      <w:r w:rsidR="00BD5EB5">
        <w:rPr>
          <w:rFonts w:cstheme="minorHAnsi"/>
          <w:color w:val="000000"/>
          <w:sz w:val="24"/>
          <w:szCs w:val="24"/>
          <w:lang w:val="el-GR"/>
        </w:rPr>
        <w:t>Πρόεδρος</w:t>
      </w:r>
      <w:r w:rsidR="00A5147D" w:rsidRPr="00BD5EB5">
        <w:rPr>
          <w:rFonts w:cstheme="minorHAnsi"/>
          <w:color w:val="000000"/>
          <w:sz w:val="24"/>
          <w:szCs w:val="24"/>
          <w:lang w:val="el-GR"/>
        </w:rPr>
        <w:t xml:space="preserve">) </w:t>
      </w:r>
      <w:r w:rsidR="00BD5EB5">
        <w:rPr>
          <w:rFonts w:cstheme="minorHAnsi"/>
          <w:color w:val="000000"/>
          <w:sz w:val="24"/>
          <w:szCs w:val="24"/>
          <w:lang w:val="el-GR"/>
        </w:rPr>
        <w:t>υπογράφουν</w:t>
      </w:r>
      <w:r w:rsidR="00BD5EB5" w:rsidRPr="00BD5EB5">
        <w:rPr>
          <w:rFonts w:cstheme="minorHAnsi"/>
          <w:color w:val="000000"/>
          <w:sz w:val="24"/>
          <w:szCs w:val="24"/>
          <w:lang w:val="el-GR"/>
        </w:rPr>
        <w:t xml:space="preserve"> </w:t>
      </w:r>
      <w:r w:rsidR="00BD5EB5">
        <w:rPr>
          <w:rFonts w:cstheme="minorHAnsi"/>
          <w:color w:val="000000"/>
          <w:sz w:val="24"/>
          <w:szCs w:val="24"/>
          <w:lang w:val="el-GR"/>
        </w:rPr>
        <w:t>και</w:t>
      </w:r>
      <w:r w:rsidR="00BD5EB5" w:rsidRPr="00BD5EB5">
        <w:rPr>
          <w:rFonts w:cstheme="minorHAnsi"/>
          <w:color w:val="000000"/>
          <w:sz w:val="24"/>
          <w:szCs w:val="24"/>
          <w:lang w:val="el-GR"/>
        </w:rPr>
        <w:t xml:space="preserve"> </w:t>
      </w:r>
      <w:r w:rsidR="00BD5EB5">
        <w:rPr>
          <w:rFonts w:cstheme="minorHAnsi"/>
          <w:color w:val="000000"/>
          <w:sz w:val="24"/>
          <w:szCs w:val="24"/>
          <w:lang w:val="el-GR"/>
        </w:rPr>
        <w:t>ορκίζονται</w:t>
      </w:r>
      <w:r w:rsidR="00BD5EB5" w:rsidRPr="00BD5EB5">
        <w:rPr>
          <w:rFonts w:cstheme="minorHAnsi"/>
          <w:color w:val="000000"/>
          <w:sz w:val="24"/>
          <w:szCs w:val="24"/>
          <w:lang w:val="el-GR"/>
        </w:rPr>
        <w:t xml:space="preserve"> </w:t>
      </w:r>
      <w:r w:rsidR="00BD5EB5">
        <w:rPr>
          <w:rFonts w:cstheme="minorHAnsi"/>
          <w:color w:val="000000"/>
          <w:sz w:val="24"/>
          <w:szCs w:val="24"/>
          <w:lang w:val="el-GR"/>
        </w:rPr>
        <w:t>κατά</w:t>
      </w:r>
      <w:r w:rsidR="00BD5EB5" w:rsidRPr="00BD5EB5">
        <w:rPr>
          <w:rFonts w:cstheme="minorHAnsi"/>
          <w:color w:val="000000"/>
          <w:sz w:val="24"/>
          <w:szCs w:val="24"/>
          <w:lang w:val="el-GR"/>
        </w:rPr>
        <w:t xml:space="preserve"> </w:t>
      </w:r>
      <w:r w:rsidR="00BD5EB5">
        <w:rPr>
          <w:rFonts w:cstheme="minorHAnsi"/>
          <w:color w:val="000000"/>
          <w:sz w:val="24"/>
          <w:szCs w:val="24"/>
          <w:lang w:val="el-GR"/>
        </w:rPr>
        <w:t>τον</w:t>
      </w:r>
      <w:r w:rsidR="00BD5EB5" w:rsidRPr="00BD5EB5">
        <w:rPr>
          <w:rFonts w:cstheme="minorHAnsi"/>
          <w:color w:val="000000"/>
          <w:sz w:val="24"/>
          <w:szCs w:val="24"/>
          <w:lang w:val="el-GR"/>
        </w:rPr>
        <w:t xml:space="preserve"> </w:t>
      </w:r>
      <w:r w:rsidR="00BD5EB5">
        <w:rPr>
          <w:rFonts w:cstheme="minorHAnsi"/>
          <w:color w:val="000000"/>
          <w:sz w:val="24"/>
          <w:szCs w:val="24"/>
          <w:lang w:val="el-GR"/>
        </w:rPr>
        <w:t>διορισμό</w:t>
      </w:r>
      <w:r w:rsidR="00A5147D" w:rsidRPr="00BD5EB5">
        <w:rPr>
          <w:rFonts w:cstheme="minorHAnsi"/>
          <w:color w:val="000000"/>
          <w:sz w:val="24"/>
          <w:szCs w:val="24"/>
          <w:lang w:val="el-GR"/>
        </w:rPr>
        <w:t xml:space="preserve">, </w:t>
      </w:r>
      <w:r w:rsidR="00BD5EB5">
        <w:rPr>
          <w:rFonts w:cstheme="minorHAnsi"/>
          <w:color w:val="000000"/>
          <w:sz w:val="24"/>
          <w:szCs w:val="24"/>
          <w:lang w:val="el-GR"/>
        </w:rPr>
        <w:t>αυτή</w:t>
      </w:r>
      <w:r w:rsidR="00BD5EB5" w:rsidRPr="00BD5EB5">
        <w:rPr>
          <w:rFonts w:cstheme="minorHAnsi"/>
          <w:color w:val="000000"/>
          <w:sz w:val="24"/>
          <w:szCs w:val="24"/>
          <w:lang w:val="el-GR"/>
        </w:rPr>
        <w:t xml:space="preserve"> </w:t>
      </w:r>
      <w:r w:rsidR="00BD5EB5">
        <w:rPr>
          <w:rFonts w:cstheme="minorHAnsi"/>
          <w:color w:val="000000"/>
          <w:sz w:val="24"/>
          <w:szCs w:val="24"/>
          <w:lang w:val="el-GR"/>
        </w:rPr>
        <w:t>είναι</w:t>
      </w:r>
      <w:r w:rsidR="00BD5EB5" w:rsidRPr="00BD5EB5">
        <w:rPr>
          <w:rFonts w:cstheme="minorHAnsi"/>
          <w:color w:val="000000"/>
          <w:sz w:val="24"/>
          <w:szCs w:val="24"/>
          <w:lang w:val="el-GR"/>
        </w:rPr>
        <w:t xml:space="preserve"> </w:t>
      </w:r>
      <w:r w:rsidR="007E5D13">
        <w:rPr>
          <w:rFonts w:cstheme="minorHAnsi"/>
          <w:color w:val="000000"/>
          <w:sz w:val="24"/>
          <w:szCs w:val="24"/>
          <w:lang w:val="el-GR"/>
        </w:rPr>
        <w:t xml:space="preserve">περισσότερο </w:t>
      </w:r>
      <w:r w:rsidR="00BD5EB5">
        <w:rPr>
          <w:rFonts w:cstheme="minorHAnsi"/>
          <w:color w:val="000000"/>
          <w:sz w:val="24"/>
          <w:szCs w:val="24"/>
          <w:lang w:val="el-GR"/>
        </w:rPr>
        <w:t>μια</w:t>
      </w:r>
      <w:r w:rsidR="00BD5EB5" w:rsidRPr="00BD5EB5">
        <w:rPr>
          <w:rFonts w:cstheme="minorHAnsi"/>
          <w:color w:val="000000"/>
          <w:sz w:val="24"/>
          <w:szCs w:val="24"/>
          <w:lang w:val="el-GR"/>
        </w:rPr>
        <w:t xml:space="preserve"> </w:t>
      </w:r>
      <w:r w:rsidR="00BD5EB5">
        <w:rPr>
          <w:rFonts w:cstheme="minorHAnsi"/>
          <w:color w:val="000000"/>
          <w:sz w:val="24"/>
          <w:szCs w:val="24"/>
          <w:lang w:val="el-GR"/>
        </w:rPr>
        <w:t>δήλωση</w:t>
      </w:r>
      <w:r w:rsidR="00BD5EB5" w:rsidRPr="00BD5EB5">
        <w:rPr>
          <w:rFonts w:cstheme="minorHAnsi"/>
          <w:color w:val="000000"/>
          <w:sz w:val="24"/>
          <w:szCs w:val="24"/>
          <w:lang w:val="el-GR"/>
        </w:rPr>
        <w:t xml:space="preserve"> </w:t>
      </w:r>
      <w:r w:rsidR="00BD5EB5">
        <w:rPr>
          <w:rFonts w:cstheme="minorHAnsi"/>
          <w:color w:val="000000"/>
          <w:sz w:val="24"/>
          <w:szCs w:val="24"/>
          <w:lang w:val="el-GR"/>
        </w:rPr>
        <w:t>αρχών</w:t>
      </w:r>
      <w:r w:rsidR="00A60538">
        <w:rPr>
          <w:rFonts w:cstheme="minorHAnsi"/>
          <w:color w:val="000000"/>
          <w:sz w:val="24"/>
          <w:szCs w:val="24"/>
          <w:lang w:val="el-GR"/>
        </w:rPr>
        <w:t>,</w:t>
      </w:r>
      <w:r w:rsidR="00A5147D" w:rsidRPr="00BD5EB5">
        <w:rPr>
          <w:rFonts w:cstheme="minorHAnsi"/>
          <w:color w:val="000000"/>
          <w:sz w:val="24"/>
          <w:szCs w:val="24"/>
          <w:lang w:val="el-GR"/>
        </w:rPr>
        <w:t xml:space="preserve"> </w:t>
      </w:r>
      <w:r w:rsidR="00BD5EB5">
        <w:rPr>
          <w:rFonts w:cstheme="minorHAnsi"/>
          <w:color w:val="000000"/>
          <w:sz w:val="24"/>
          <w:szCs w:val="24"/>
          <w:lang w:val="el-GR"/>
        </w:rPr>
        <w:t xml:space="preserve">παρά ένα </w:t>
      </w:r>
      <w:r w:rsidR="007E5D13">
        <w:rPr>
          <w:rFonts w:cstheme="minorHAnsi"/>
          <w:color w:val="000000"/>
          <w:sz w:val="24"/>
          <w:szCs w:val="24"/>
          <w:lang w:val="el-GR"/>
        </w:rPr>
        <w:t xml:space="preserve">πλήρες </w:t>
      </w:r>
      <w:r w:rsidR="00BD5EB5">
        <w:rPr>
          <w:rFonts w:cstheme="minorHAnsi"/>
          <w:color w:val="000000"/>
          <w:sz w:val="24"/>
          <w:szCs w:val="24"/>
          <w:lang w:val="el-GR"/>
        </w:rPr>
        <w:t xml:space="preserve">σύστημα </w:t>
      </w:r>
      <w:r w:rsidR="007E5D13">
        <w:rPr>
          <w:rFonts w:cstheme="minorHAnsi"/>
          <w:color w:val="000000"/>
          <w:sz w:val="24"/>
          <w:szCs w:val="24"/>
          <w:lang w:val="el-GR"/>
        </w:rPr>
        <w:t xml:space="preserve">δεοντολογίας </w:t>
      </w:r>
      <w:r w:rsidR="007E5D13" w:rsidRPr="002B7C4B">
        <w:rPr>
          <w:rFonts w:cstheme="minorHAnsi"/>
          <w:color w:val="000000"/>
          <w:sz w:val="24"/>
          <w:szCs w:val="24"/>
          <w:lang w:val="el-GR"/>
        </w:rPr>
        <w:t xml:space="preserve"> </w:t>
      </w:r>
      <w:r w:rsidR="007E5D13">
        <w:rPr>
          <w:rFonts w:cstheme="minorHAnsi"/>
          <w:color w:val="000000"/>
          <w:sz w:val="24"/>
          <w:szCs w:val="24"/>
          <w:lang w:val="el-GR"/>
        </w:rPr>
        <w:t>προς συμμόρφωση</w:t>
      </w:r>
      <w:r w:rsidR="004B1219" w:rsidRPr="00BD5EB5">
        <w:rPr>
          <w:rFonts w:cstheme="minorHAnsi"/>
          <w:color w:val="000000"/>
          <w:sz w:val="24"/>
          <w:szCs w:val="24"/>
          <w:lang w:val="el-GR"/>
        </w:rPr>
        <w:t xml:space="preserve"> </w:t>
      </w:r>
      <w:r w:rsidR="007E5D13">
        <w:rPr>
          <w:rFonts w:cstheme="minorHAnsi"/>
          <w:color w:val="000000"/>
          <w:sz w:val="24"/>
          <w:szCs w:val="24"/>
          <w:lang w:val="el-GR"/>
        </w:rPr>
        <w:t xml:space="preserve">το οποίο </w:t>
      </w:r>
      <w:r w:rsidR="00BD5EB5">
        <w:rPr>
          <w:rFonts w:cstheme="minorHAnsi"/>
          <w:color w:val="000000"/>
          <w:sz w:val="24"/>
          <w:szCs w:val="24"/>
          <w:lang w:val="el-GR"/>
        </w:rPr>
        <w:t xml:space="preserve">θα </w:t>
      </w:r>
      <w:r w:rsidR="00173912">
        <w:rPr>
          <w:rFonts w:cstheme="minorHAnsi"/>
          <w:color w:val="000000"/>
          <w:sz w:val="24"/>
          <w:szCs w:val="24"/>
          <w:lang w:val="el-GR"/>
        </w:rPr>
        <w:t xml:space="preserve">επέφερε </w:t>
      </w:r>
      <w:r w:rsidR="007E5D13">
        <w:rPr>
          <w:rFonts w:cstheme="minorHAnsi"/>
          <w:color w:val="000000"/>
          <w:sz w:val="24"/>
          <w:szCs w:val="24"/>
          <w:lang w:val="el-GR"/>
        </w:rPr>
        <w:t>ε</w:t>
      </w:r>
      <w:r w:rsidR="00BD5EB5">
        <w:rPr>
          <w:rFonts w:cstheme="minorHAnsi"/>
          <w:color w:val="000000"/>
          <w:sz w:val="24"/>
          <w:szCs w:val="24"/>
          <w:lang w:val="el-GR"/>
        </w:rPr>
        <w:t>πιπτώσεις σ</w:t>
      </w:r>
      <w:r w:rsidR="005E7AC8">
        <w:rPr>
          <w:rFonts w:cstheme="minorHAnsi"/>
          <w:color w:val="000000"/>
          <w:sz w:val="24"/>
          <w:szCs w:val="24"/>
          <w:lang w:val="el-GR"/>
        </w:rPr>
        <w:t>τις</w:t>
      </w:r>
      <w:r w:rsidR="00BD5EB5">
        <w:rPr>
          <w:rFonts w:cstheme="minorHAnsi"/>
          <w:color w:val="000000"/>
          <w:sz w:val="24"/>
          <w:szCs w:val="24"/>
          <w:lang w:val="el-GR"/>
        </w:rPr>
        <w:t xml:space="preserve"> </w:t>
      </w:r>
      <w:r w:rsidR="00973266">
        <w:rPr>
          <w:rFonts w:cstheme="minorHAnsi"/>
          <w:color w:val="000000"/>
          <w:sz w:val="24"/>
          <w:szCs w:val="24"/>
          <w:lang w:val="el-GR"/>
        </w:rPr>
        <w:t>περιπτώσεις</w:t>
      </w:r>
      <w:r w:rsidR="005E7AC8">
        <w:rPr>
          <w:rFonts w:cstheme="minorHAnsi"/>
          <w:color w:val="000000"/>
          <w:sz w:val="24"/>
          <w:szCs w:val="24"/>
          <w:lang w:val="el-GR"/>
        </w:rPr>
        <w:t xml:space="preserve"> παραβάσεων</w:t>
      </w:r>
      <w:r w:rsidR="004B1219" w:rsidRPr="00BD5EB5">
        <w:rPr>
          <w:rFonts w:cstheme="minorHAnsi"/>
          <w:color w:val="000000"/>
          <w:sz w:val="24"/>
          <w:szCs w:val="24"/>
          <w:lang w:val="el-GR"/>
        </w:rPr>
        <w:t>.</w:t>
      </w:r>
      <w:r w:rsidR="00A5147D" w:rsidRPr="00BD5EB5">
        <w:rPr>
          <w:rFonts w:cstheme="minorHAnsi"/>
          <w:color w:val="000000"/>
          <w:sz w:val="24"/>
          <w:szCs w:val="24"/>
          <w:lang w:val="el-GR"/>
        </w:rPr>
        <w:t xml:space="preserve"> </w:t>
      </w:r>
      <w:r w:rsidR="00A60538">
        <w:rPr>
          <w:rFonts w:cstheme="minorHAnsi"/>
          <w:color w:val="000000"/>
          <w:sz w:val="24"/>
          <w:szCs w:val="24"/>
          <w:lang w:val="el-GR"/>
        </w:rPr>
        <w:t>Όλοι</w:t>
      </w:r>
      <w:r w:rsidR="00A60538" w:rsidRPr="00A60538">
        <w:rPr>
          <w:rFonts w:cstheme="minorHAnsi"/>
          <w:color w:val="000000"/>
          <w:sz w:val="24"/>
          <w:szCs w:val="24"/>
          <w:lang w:val="el-GR"/>
        </w:rPr>
        <w:t xml:space="preserve"> </w:t>
      </w:r>
      <w:r w:rsidR="00A60538">
        <w:rPr>
          <w:rFonts w:cstheme="minorHAnsi"/>
          <w:color w:val="000000"/>
          <w:sz w:val="24"/>
          <w:szCs w:val="24"/>
          <w:lang w:val="el-GR"/>
        </w:rPr>
        <w:t>οι</w:t>
      </w:r>
      <w:r w:rsidR="00A60538" w:rsidRPr="00A60538">
        <w:rPr>
          <w:rFonts w:cstheme="minorHAnsi"/>
          <w:color w:val="000000"/>
          <w:sz w:val="24"/>
          <w:szCs w:val="24"/>
          <w:lang w:val="el-GR"/>
        </w:rPr>
        <w:t xml:space="preserve"> </w:t>
      </w:r>
      <w:r w:rsidR="007E5D13">
        <w:rPr>
          <w:rFonts w:cstheme="minorHAnsi"/>
          <w:color w:val="000000"/>
          <w:sz w:val="24"/>
          <w:szCs w:val="24"/>
          <w:lang w:val="en-US"/>
        </w:rPr>
        <w:t>PTEFs</w:t>
      </w:r>
      <w:r w:rsidR="007E5D13" w:rsidRPr="002B7C4B">
        <w:rPr>
          <w:rFonts w:cstheme="minorHAnsi"/>
          <w:color w:val="000000"/>
          <w:sz w:val="24"/>
          <w:szCs w:val="24"/>
          <w:lang w:val="el-GR"/>
        </w:rPr>
        <w:t xml:space="preserve"> </w:t>
      </w:r>
      <w:r w:rsidR="00A60538">
        <w:rPr>
          <w:rFonts w:cstheme="minorHAnsi"/>
          <w:color w:val="000000"/>
          <w:sz w:val="24"/>
          <w:szCs w:val="24"/>
          <w:lang w:val="el-GR"/>
        </w:rPr>
        <w:lastRenderedPageBreak/>
        <w:t>θα</w:t>
      </w:r>
      <w:r w:rsidR="00A60538" w:rsidRPr="00A60538">
        <w:rPr>
          <w:rFonts w:cstheme="minorHAnsi"/>
          <w:color w:val="000000"/>
          <w:sz w:val="24"/>
          <w:szCs w:val="24"/>
          <w:lang w:val="el-GR"/>
        </w:rPr>
        <w:t xml:space="preserve"> </w:t>
      </w:r>
      <w:r w:rsidR="00A60538">
        <w:rPr>
          <w:rFonts w:cstheme="minorHAnsi"/>
          <w:color w:val="000000"/>
          <w:sz w:val="24"/>
          <w:szCs w:val="24"/>
          <w:lang w:val="el-GR"/>
        </w:rPr>
        <w:t>μπορούσαν</w:t>
      </w:r>
      <w:r w:rsidR="00A60538" w:rsidRPr="00A60538">
        <w:rPr>
          <w:rFonts w:cstheme="minorHAnsi"/>
          <w:color w:val="000000"/>
          <w:sz w:val="24"/>
          <w:szCs w:val="24"/>
          <w:lang w:val="el-GR"/>
        </w:rPr>
        <w:t xml:space="preserve"> </w:t>
      </w:r>
      <w:r w:rsidR="00A60538">
        <w:rPr>
          <w:rFonts w:cstheme="minorHAnsi"/>
          <w:color w:val="000000"/>
          <w:sz w:val="24"/>
          <w:szCs w:val="24"/>
          <w:lang w:val="el-GR"/>
        </w:rPr>
        <w:t>να</w:t>
      </w:r>
      <w:r w:rsidR="00A60538" w:rsidRPr="00A60538">
        <w:rPr>
          <w:rFonts w:cstheme="minorHAnsi"/>
          <w:color w:val="000000"/>
          <w:sz w:val="24"/>
          <w:szCs w:val="24"/>
          <w:lang w:val="el-GR"/>
        </w:rPr>
        <w:t xml:space="preserve"> </w:t>
      </w:r>
      <w:r w:rsidR="00A60538">
        <w:rPr>
          <w:rFonts w:cstheme="minorHAnsi"/>
          <w:color w:val="000000"/>
          <w:sz w:val="24"/>
          <w:szCs w:val="24"/>
          <w:lang w:val="el-GR"/>
        </w:rPr>
        <w:t>επωφεληθούν</w:t>
      </w:r>
      <w:r w:rsidR="00A60538" w:rsidRPr="00A60538">
        <w:rPr>
          <w:rFonts w:cstheme="minorHAnsi"/>
          <w:color w:val="000000"/>
          <w:sz w:val="24"/>
          <w:szCs w:val="24"/>
          <w:lang w:val="el-GR"/>
        </w:rPr>
        <w:t xml:space="preserve"> </w:t>
      </w:r>
      <w:r w:rsidR="00A60538">
        <w:rPr>
          <w:rFonts w:cstheme="minorHAnsi"/>
          <w:color w:val="000000"/>
          <w:sz w:val="24"/>
          <w:szCs w:val="24"/>
          <w:lang w:val="el-GR"/>
        </w:rPr>
        <w:t>από</w:t>
      </w:r>
      <w:r w:rsidR="007E5D13">
        <w:rPr>
          <w:rFonts w:cstheme="minorHAnsi"/>
          <w:color w:val="000000"/>
          <w:sz w:val="24"/>
          <w:szCs w:val="24"/>
          <w:lang w:val="el-GR"/>
        </w:rPr>
        <w:t xml:space="preserve"> ειδικούς </w:t>
      </w:r>
      <w:r w:rsidR="00A60538">
        <w:rPr>
          <w:rFonts w:cstheme="minorHAnsi"/>
          <w:color w:val="000000"/>
          <w:sz w:val="24"/>
          <w:szCs w:val="24"/>
          <w:lang w:val="el-GR"/>
        </w:rPr>
        <w:t>μηχανισμούς</w:t>
      </w:r>
      <w:r w:rsidR="00A5147D" w:rsidRPr="00A60538">
        <w:rPr>
          <w:rFonts w:cstheme="minorHAnsi"/>
          <w:color w:val="000000"/>
          <w:sz w:val="24"/>
          <w:szCs w:val="24"/>
          <w:lang w:val="el-GR"/>
        </w:rPr>
        <w:t xml:space="preserve"> </w:t>
      </w:r>
      <w:r w:rsidR="00A60538">
        <w:rPr>
          <w:rFonts w:cstheme="minorHAnsi"/>
          <w:color w:val="000000"/>
          <w:sz w:val="24"/>
          <w:szCs w:val="24"/>
          <w:lang w:val="el-GR"/>
        </w:rPr>
        <w:t>για</w:t>
      </w:r>
      <w:r w:rsidR="00A60538" w:rsidRPr="00A60538">
        <w:rPr>
          <w:rFonts w:cstheme="minorHAnsi"/>
          <w:color w:val="000000"/>
          <w:sz w:val="24"/>
          <w:szCs w:val="24"/>
          <w:lang w:val="el-GR"/>
        </w:rPr>
        <w:t xml:space="preserve"> </w:t>
      </w:r>
      <w:r w:rsidR="00A60538">
        <w:rPr>
          <w:rFonts w:cstheme="minorHAnsi"/>
          <w:color w:val="000000"/>
          <w:sz w:val="24"/>
          <w:szCs w:val="24"/>
          <w:lang w:val="el-GR"/>
        </w:rPr>
        <w:t>την</w:t>
      </w:r>
      <w:r w:rsidR="00A60538" w:rsidRPr="00A60538">
        <w:rPr>
          <w:rFonts w:cstheme="minorHAnsi"/>
          <w:color w:val="000000"/>
          <w:sz w:val="24"/>
          <w:szCs w:val="24"/>
          <w:lang w:val="el-GR"/>
        </w:rPr>
        <w:t xml:space="preserve"> </w:t>
      </w:r>
      <w:r w:rsidR="00A60538">
        <w:rPr>
          <w:rFonts w:cstheme="minorHAnsi"/>
          <w:color w:val="000000"/>
          <w:sz w:val="24"/>
          <w:szCs w:val="24"/>
          <w:lang w:val="el-GR"/>
        </w:rPr>
        <w:t>προώθηση</w:t>
      </w:r>
      <w:r w:rsidR="00A60538" w:rsidRPr="00A60538">
        <w:rPr>
          <w:rFonts w:cstheme="minorHAnsi"/>
          <w:color w:val="000000"/>
          <w:sz w:val="24"/>
          <w:szCs w:val="24"/>
          <w:lang w:val="el-GR"/>
        </w:rPr>
        <w:t xml:space="preserve"> </w:t>
      </w:r>
      <w:r w:rsidR="00A60538">
        <w:rPr>
          <w:rFonts w:cstheme="minorHAnsi"/>
          <w:color w:val="000000"/>
          <w:sz w:val="24"/>
          <w:szCs w:val="24"/>
          <w:lang w:val="el-GR"/>
        </w:rPr>
        <w:t>και</w:t>
      </w:r>
      <w:r w:rsidR="00A60538" w:rsidRPr="00A60538">
        <w:rPr>
          <w:rFonts w:cstheme="minorHAnsi"/>
          <w:color w:val="000000"/>
          <w:sz w:val="24"/>
          <w:szCs w:val="24"/>
          <w:lang w:val="el-GR"/>
        </w:rPr>
        <w:t xml:space="preserve"> </w:t>
      </w:r>
      <w:r w:rsidR="00A60538">
        <w:rPr>
          <w:rFonts w:cstheme="minorHAnsi"/>
          <w:color w:val="000000"/>
          <w:sz w:val="24"/>
          <w:szCs w:val="24"/>
          <w:lang w:val="el-GR"/>
        </w:rPr>
        <w:t>την</w:t>
      </w:r>
      <w:r w:rsidR="00A60538" w:rsidRPr="00A60538">
        <w:rPr>
          <w:rFonts w:cstheme="minorHAnsi"/>
          <w:color w:val="000000"/>
          <w:sz w:val="24"/>
          <w:szCs w:val="24"/>
          <w:lang w:val="el-GR"/>
        </w:rPr>
        <w:t xml:space="preserve"> </w:t>
      </w:r>
      <w:r w:rsidR="007E5D13">
        <w:rPr>
          <w:rFonts w:cstheme="minorHAnsi"/>
          <w:color w:val="000000"/>
          <w:sz w:val="24"/>
          <w:szCs w:val="24"/>
          <w:lang w:val="el-GR"/>
        </w:rPr>
        <w:t xml:space="preserve">ανάπτυξη </w:t>
      </w:r>
      <w:r w:rsidR="00071F64">
        <w:rPr>
          <w:rFonts w:cstheme="minorHAnsi"/>
          <w:color w:val="000000"/>
          <w:sz w:val="24"/>
          <w:szCs w:val="24"/>
          <w:lang w:val="el-GR"/>
        </w:rPr>
        <w:t>επίγνωσης</w:t>
      </w:r>
      <w:r w:rsidR="005E7AC8">
        <w:rPr>
          <w:rFonts w:cstheme="minorHAnsi"/>
          <w:color w:val="000000"/>
          <w:sz w:val="24"/>
          <w:szCs w:val="24"/>
          <w:lang w:val="el-GR"/>
        </w:rPr>
        <w:t xml:space="preserve"> σε </w:t>
      </w:r>
      <w:r w:rsidR="00A60538">
        <w:rPr>
          <w:rFonts w:cstheme="minorHAnsi"/>
          <w:color w:val="000000"/>
          <w:sz w:val="24"/>
          <w:szCs w:val="24"/>
          <w:lang w:val="el-GR"/>
        </w:rPr>
        <w:t>θέματα ακεραιότητας</w:t>
      </w:r>
      <w:r w:rsidR="00A5147D" w:rsidRPr="00A60538">
        <w:rPr>
          <w:rFonts w:cstheme="minorHAnsi"/>
          <w:color w:val="000000"/>
          <w:sz w:val="24"/>
          <w:szCs w:val="24"/>
          <w:lang w:val="el-GR"/>
        </w:rPr>
        <w:t xml:space="preserve"> (</w:t>
      </w:r>
      <w:r w:rsidR="00A60538">
        <w:rPr>
          <w:rFonts w:cstheme="minorHAnsi"/>
          <w:color w:val="000000"/>
          <w:sz w:val="24"/>
          <w:szCs w:val="24"/>
          <w:lang w:val="el-GR"/>
        </w:rPr>
        <w:t>συμπεριλαμβανομένης της εμπιστευτικής συμβουλής</w:t>
      </w:r>
      <w:r w:rsidR="00A5147D" w:rsidRPr="00A60538">
        <w:rPr>
          <w:rFonts w:cstheme="minorHAnsi"/>
          <w:color w:val="000000"/>
          <w:sz w:val="24"/>
          <w:szCs w:val="24"/>
          <w:lang w:val="el-GR"/>
        </w:rPr>
        <w:t xml:space="preserve">), </w:t>
      </w:r>
      <w:r w:rsidR="00A60538">
        <w:rPr>
          <w:rFonts w:cstheme="minorHAnsi"/>
          <w:color w:val="000000"/>
          <w:sz w:val="24"/>
          <w:szCs w:val="24"/>
          <w:lang w:val="el-GR"/>
        </w:rPr>
        <w:t>καθώς επίσης και</w:t>
      </w:r>
      <w:r w:rsidR="005E7AC8">
        <w:rPr>
          <w:rFonts w:cstheme="minorHAnsi"/>
          <w:color w:val="000000"/>
          <w:sz w:val="24"/>
          <w:szCs w:val="24"/>
          <w:lang w:val="el-GR"/>
        </w:rPr>
        <w:t xml:space="preserve"> από </w:t>
      </w:r>
      <w:r w:rsidR="00173912">
        <w:rPr>
          <w:rFonts w:cstheme="minorHAnsi"/>
          <w:color w:val="000000"/>
          <w:sz w:val="24"/>
          <w:szCs w:val="24"/>
          <w:lang w:val="el-GR"/>
        </w:rPr>
        <w:t xml:space="preserve">την ενταξιακή </w:t>
      </w:r>
      <w:r w:rsidR="00A60538">
        <w:rPr>
          <w:rFonts w:cstheme="minorHAnsi"/>
          <w:color w:val="000000"/>
          <w:sz w:val="24"/>
          <w:szCs w:val="24"/>
          <w:lang w:val="el-GR"/>
        </w:rPr>
        <w:t xml:space="preserve">και </w:t>
      </w:r>
      <w:proofErr w:type="spellStart"/>
      <w:r w:rsidR="00A60538">
        <w:rPr>
          <w:rFonts w:cstheme="minorHAnsi"/>
          <w:color w:val="000000"/>
          <w:sz w:val="24"/>
          <w:szCs w:val="24"/>
          <w:lang w:val="el-GR"/>
        </w:rPr>
        <w:t>ενδο</w:t>
      </w:r>
      <w:r w:rsidR="0018745A">
        <w:rPr>
          <w:rFonts w:cstheme="minorHAnsi"/>
          <w:color w:val="000000"/>
          <w:sz w:val="24"/>
          <w:szCs w:val="24"/>
          <w:lang w:val="el-GR"/>
        </w:rPr>
        <w:t>ϋ</w:t>
      </w:r>
      <w:r w:rsidR="00A60538">
        <w:rPr>
          <w:rFonts w:cstheme="minorHAnsi"/>
          <w:color w:val="000000"/>
          <w:sz w:val="24"/>
          <w:szCs w:val="24"/>
          <w:lang w:val="el-GR"/>
        </w:rPr>
        <w:t>πηρεσιακή</w:t>
      </w:r>
      <w:proofErr w:type="spellEnd"/>
      <w:r w:rsidR="00E90CC8">
        <w:rPr>
          <w:rFonts w:cstheme="minorHAnsi"/>
          <w:color w:val="000000"/>
          <w:sz w:val="24"/>
          <w:szCs w:val="24"/>
          <w:lang w:val="el-GR"/>
        </w:rPr>
        <w:t xml:space="preserve"> επιμόρφωση</w:t>
      </w:r>
      <w:r w:rsidR="00A5147D" w:rsidRPr="00A60538">
        <w:rPr>
          <w:rFonts w:cstheme="minorHAnsi"/>
          <w:color w:val="000000"/>
          <w:sz w:val="24"/>
          <w:szCs w:val="24"/>
          <w:lang w:val="el-GR"/>
        </w:rPr>
        <w:t xml:space="preserve">. </w:t>
      </w:r>
      <w:r w:rsidR="00A60538">
        <w:rPr>
          <w:rFonts w:cstheme="minorHAnsi"/>
          <w:color w:val="000000"/>
          <w:sz w:val="24"/>
          <w:szCs w:val="24"/>
          <w:lang w:val="el-GR"/>
        </w:rPr>
        <w:t>Το</w:t>
      </w:r>
      <w:r w:rsidR="00A60538" w:rsidRPr="00A60538">
        <w:rPr>
          <w:rFonts w:cstheme="minorHAnsi"/>
          <w:color w:val="000000"/>
          <w:sz w:val="24"/>
          <w:szCs w:val="24"/>
          <w:lang w:val="el-GR"/>
        </w:rPr>
        <w:t xml:space="preserve"> </w:t>
      </w:r>
      <w:r w:rsidR="00A60538">
        <w:rPr>
          <w:rFonts w:cstheme="minorHAnsi"/>
          <w:color w:val="000000"/>
          <w:sz w:val="24"/>
          <w:szCs w:val="24"/>
          <w:lang w:val="el-GR"/>
        </w:rPr>
        <w:t>θέμα</w:t>
      </w:r>
      <w:r w:rsidR="00A60538" w:rsidRPr="00A60538">
        <w:rPr>
          <w:rFonts w:cstheme="minorHAnsi"/>
          <w:color w:val="000000"/>
          <w:sz w:val="24"/>
          <w:szCs w:val="24"/>
          <w:lang w:val="el-GR"/>
        </w:rPr>
        <w:t xml:space="preserve"> </w:t>
      </w:r>
      <w:r w:rsidR="00A60538">
        <w:rPr>
          <w:rFonts w:cstheme="minorHAnsi"/>
          <w:color w:val="000000"/>
          <w:sz w:val="24"/>
          <w:szCs w:val="24"/>
          <w:lang w:val="el-GR"/>
        </w:rPr>
        <w:t>της</w:t>
      </w:r>
      <w:r w:rsidR="00A60538" w:rsidRPr="00A60538">
        <w:rPr>
          <w:rFonts w:cstheme="minorHAnsi"/>
          <w:color w:val="000000"/>
          <w:sz w:val="24"/>
          <w:szCs w:val="24"/>
          <w:lang w:val="el-GR"/>
        </w:rPr>
        <w:t xml:space="preserve"> </w:t>
      </w:r>
      <w:r w:rsidR="00A60538">
        <w:rPr>
          <w:rFonts w:cstheme="minorHAnsi"/>
          <w:color w:val="000000"/>
          <w:sz w:val="24"/>
          <w:szCs w:val="24"/>
          <w:lang w:val="el-GR"/>
        </w:rPr>
        <w:t>σύγκρουσης</w:t>
      </w:r>
      <w:r w:rsidR="00A60538" w:rsidRPr="00A60538">
        <w:rPr>
          <w:rFonts w:cstheme="minorHAnsi"/>
          <w:color w:val="000000"/>
          <w:sz w:val="24"/>
          <w:szCs w:val="24"/>
          <w:lang w:val="el-GR"/>
        </w:rPr>
        <w:t xml:space="preserve"> </w:t>
      </w:r>
      <w:r w:rsidR="00A60538">
        <w:rPr>
          <w:rFonts w:cstheme="minorHAnsi"/>
          <w:color w:val="000000"/>
          <w:sz w:val="24"/>
          <w:szCs w:val="24"/>
          <w:lang w:val="el-GR"/>
        </w:rPr>
        <w:t>συμφερόντων</w:t>
      </w:r>
      <w:r w:rsidR="00A5147D" w:rsidRPr="00A60538">
        <w:rPr>
          <w:rFonts w:cstheme="minorHAnsi"/>
          <w:color w:val="000000"/>
          <w:sz w:val="24"/>
          <w:szCs w:val="24"/>
          <w:lang w:val="el-GR"/>
        </w:rPr>
        <w:t xml:space="preserve">, </w:t>
      </w:r>
      <w:r w:rsidR="00E90CC8">
        <w:rPr>
          <w:rFonts w:cstheme="minorHAnsi"/>
          <w:color w:val="000000"/>
          <w:sz w:val="24"/>
          <w:szCs w:val="24"/>
          <w:lang w:val="el-GR"/>
        </w:rPr>
        <w:t xml:space="preserve">τόσο </w:t>
      </w:r>
      <w:r w:rsidR="00A60538">
        <w:rPr>
          <w:rFonts w:cstheme="minorHAnsi"/>
          <w:color w:val="000000"/>
          <w:sz w:val="24"/>
          <w:szCs w:val="24"/>
          <w:lang w:val="el-GR"/>
        </w:rPr>
        <w:t>σε</w:t>
      </w:r>
      <w:r w:rsidR="00A60538" w:rsidRPr="00A60538">
        <w:rPr>
          <w:rFonts w:cstheme="minorHAnsi"/>
          <w:color w:val="000000"/>
          <w:sz w:val="24"/>
          <w:szCs w:val="24"/>
          <w:lang w:val="el-GR"/>
        </w:rPr>
        <w:t xml:space="preserve"> </w:t>
      </w:r>
      <w:r w:rsidR="00A60538">
        <w:rPr>
          <w:rFonts w:cstheme="minorHAnsi"/>
          <w:color w:val="000000"/>
          <w:sz w:val="24"/>
          <w:szCs w:val="24"/>
          <w:lang w:val="el-GR"/>
        </w:rPr>
        <w:t>σχέση</w:t>
      </w:r>
      <w:r w:rsidR="00A60538" w:rsidRPr="00A60538">
        <w:rPr>
          <w:rFonts w:cstheme="minorHAnsi"/>
          <w:color w:val="000000"/>
          <w:sz w:val="24"/>
          <w:szCs w:val="24"/>
          <w:lang w:val="el-GR"/>
        </w:rPr>
        <w:t xml:space="preserve"> </w:t>
      </w:r>
      <w:r w:rsidR="00A60538">
        <w:rPr>
          <w:rFonts w:cstheme="minorHAnsi"/>
          <w:color w:val="000000"/>
          <w:sz w:val="24"/>
          <w:szCs w:val="24"/>
          <w:lang w:val="el-GR"/>
        </w:rPr>
        <w:t>με</w:t>
      </w:r>
      <w:r w:rsidR="00A60538" w:rsidRPr="00A60538">
        <w:rPr>
          <w:rFonts w:cstheme="minorHAnsi"/>
          <w:color w:val="000000"/>
          <w:sz w:val="24"/>
          <w:szCs w:val="24"/>
          <w:lang w:val="el-GR"/>
        </w:rPr>
        <w:t xml:space="preserve"> </w:t>
      </w:r>
      <w:r w:rsidR="00A60538">
        <w:rPr>
          <w:rFonts w:cstheme="minorHAnsi"/>
          <w:color w:val="000000"/>
          <w:sz w:val="24"/>
          <w:szCs w:val="24"/>
          <w:lang w:val="el-GR"/>
        </w:rPr>
        <w:t>τις</w:t>
      </w:r>
      <w:r w:rsidR="00A60538" w:rsidRPr="00A60538">
        <w:rPr>
          <w:rFonts w:cstheme="minorHAnsi"/>
          <w:color w:val="000000"/>
          <w:sz w:val="24"/>
          <w:szCs w:val="24"/>
          <w:lang w:val="el-GR"/>
        </w:rPr>
        <w:t xml:space="preserve"> </w:t>
      </w:r>
      <w:r w:rsidR="00A60538">
        <w:rPr>
          <w:rFonts w:cstheme="minorHAnsi"/>
          <w:color w:val="000000"/>
          <w:sz w:val="24"/>
          <w:szCs w:val="24"/>
          <w:lang w:val="el-GR"/>
        </w:rPr>
        <w:t>περιστρεφόμενες</w:t>
      </w:r>
      <w:r w:rsidR="00A60538" w:rsidRPr="00A60538">
        <w:rPr>
          <w:rFonts w:cstheme="minorHAnsi"/>
          <w:color w:val="000000"/>
          <w:sz w:val="24"/>
          <w:szCs w:val="24"/>
          <w:lang w:val="el-GR"/>
        </w:rPr>
        <w:t xml:space="preserve"> </w:t>
      </w:r>
      <w:r w:rsidR="00A60538">
        <w:rPr>
          <w:rFonts w:cstheme="minorHAnsi"/>
          <w:color w:val="000000"/>
          <w:sz w:val="24"/>
          <w:szCs w:val="24"/>
          <w:lang w:val="el-GR"/>
        </w:rPr>
        <w:t>πόρτες</w:t>
      </w:r>
      <w:r w:rsidR="00E90CC8">
        <w:rPr>
          <w:rFonts w:cstheme="minorHAnsi"/>
          <w:color w:val="000000"/>
          <w:sz w:val="24"/>
          <w:szCs w:val="24"/>
          <w:lang w:val="el-GR"/>
        </w:rPr>
        <w:t xml:space="preserve"> (μεταπήδηση στον ιδιωτικό τομέα)</w:t>
      </w:r>
      <w:r w:rsidR="00A5147D" w:rsidRPr="00A60538">
        <w:rPr>
          <w:rFonts w:cstheme="minorHAnsi"/>
          <w:color w:val="000000"/>
          <w:sz w:val="24"/>
          <w:szCs w:val="24"/>
          <w:lang w:val="el-GR"/>
        </w:rPr>
        <w:t xml:space="preserve">, </w:t>
      </w:r>
      <w:r w:rsidR="00A60538">
        <w:rPr>
          <w:rFonts w:cstheme="minorHAnsi"/>
          <w:color w:val="000000"/>
          <w:sz w:val="24"/>
          <w:szCs w:val="24"/>
          <w:lang w:val="el-GR"/>
        </w:rPr>
        <w:t>είναι μια ει</w:t>
      </w:r>
      <w:r w:rsidR="0018745A">
        <w:rPr>
          <w:rFonts w:cstheme="minorHAnsi"/>
          <w:color w:val="000000"/>
          <w:sz w:val="24"/>
          <w:szCs w:val="24"/>
          <w:lang w:val="el-GR"/>
        </w:rPr>
        <w:t>δ</w:t>
      </w:r>
      <w:r w:rsidR="00A60538">
        <w:rPr>
          <w:rFonts w:cstheme="minorHAnsi"/>
          <w:color w:val="000000"/>
          <w:sz w:val="24"/>
          <w:szCs w:val="24"/>
          <w:lang w:val="el-GR"/>
        </w:rPr>
        <w:t>ική πρόκληση στην Κύπρο</w:t>
      </w:r>
      <w:r w:rsidR="004B1219" w:rsidRPr="00A60538">
        <w:rPr>
          <w:rFonts w:cstheme="minorHAnsi"/>
          <w:color w:val="000000"/>
          <w:sz w:val="24"/>
          <w:szCs w:val="24"/>
          <w:lang w:val="el-GR"/>
        </w:rPr>
        <w:t xml:space="preserve">, </w:t>
      </w:r>
      <w:r w:rsidR="00E90CC8">
        <w:rPr>
          <w:rFonts w:cstheme="minorHAnsi"/>
          <w:color w:val="000000"/>
          <w:sz w:val="24"/>
          <w:szCs w:val="24"/>
          <w:lang w:val="el-GR"/>
        </w:rPr>
        <w:t xml:space="preserve">εντούτοις </w:t>
      </w:r>
      <w:r w:rsidR="0018619E">
        <w:rPr>
          <w:rFonts w:cstheme="minorHAnsi"/>
          <w:color w:val="000000"/>
          <w:sz w:val="24"/>
          <w:szCs w:val="24"/>
          <w:lang w:val="el-GR"/>
        </w:rPr>
        <w:t xml:space="preserve">η </w:t>
      </w:r>
      <w:r w:rsidR="00E90CC8">
        <w:rPr>
          <w:rFonts w:cstheme="minorHAnsi"/>
          <w:color w:val="000000"/>
          <w:sz w:val="24"/>
          <w:szCs w:val="24"/>
          <w:lang w:val="el-GR"/>
        </w:rPr>
        <w:t xml:space="preserve">αντιμετώπιση </w:t>
      </w:r>
      <w:r w:rsidR="0018619E">
        <w:rPr>
          <w:rFonts w:cstheme="minorHAnsi"/>
          <w:color w:val="000000"/>
          <w:sz w:val="24"/>
          <w:szCs w:val="24"/>
          <w:lang w:val="el-GR"/>
        </w:rPr>
        <w:t xml:space="preserve">της είναι </w:t>
      </w:r>
      <w:r w:rsidR="00BF1250">
        <w:rPr>
          <w:rFonts w:cstheme="minorHAnsi"/>
          <w:color w:val="000000"/>
          <w:sz w:val="24"/>
          <w:szCs w:val="24"/>
          <w:lang w:val="el-GR"/>
        </w:rPr>
        <w:t xml:space="preserve">περιορισμένου </w:t>
      </w:r>
      <w:r w:rsidR="00071F64">
        <w:rPr>
          <w:rFonts w:cstheme="minorHAnsi"/>
          <w:color w:val="000000"/>
          <w:sz w:val="24"/>
          <w:szCs w:val="24"/>
          <w:lang w:val="el-GR"/>
        </w:rPr>
        <w:t>εύρους</w:t>
      </w:r>
      <w:r w:rsidR="00BF1250">
        <w:rPr>
          <w:rFonts w:cstheme="minorHAnsi"/>
          <w:color w:val="000000"/>
          <w:sz w:val="24"/>
          <w:szCs w:val="24"/>
          <w:lang w:val="el-GR"/>
        </w:rPr>
        <w:t xml:space="preserve"> </w:t>
      </w:r>
      <w:r w:rsidR="0018619E">
        <w:rPr>
          <w:rFonts w:cstheme="minorHAnsi"/>
          <w:color w:val="000000"/>
          <w:sz w:val="24"/>
          <w:szCs w:val="24"/>
          <w:lang w:val="el-GR"/>
        </w:rPr>
        <w:t>και,</w:t>
      </w:r>
      <w:r w:rsidR="00A5147D" w:rsidRPr="00A60538">
        <w:rPr>
          <w:rFonts w:cstheme="minorHAnsi"/>
          <w:color w:val="000000"/>
          <w:sz w:val="24"/>
          <w:szCs w:val="24"/>
          <w:lang w:val="el-GR"/>
        </w:rPr>
        <w:t xml:space="preserve"> </w:t>
      </w:r>
      <w:r w:rsidR="0018619E">
        <w:rPr>
          <w:rFonts w:cstheme="minorHAnsi"/>
          <w:color w:val="000000"/>
          <w:sz w:val="24"/>
          <w:szCs w:val="24"/>
          <w:lang w:val="el-GR"/>
        </w:rPr>
        <w:t>μέχρι πολύ πρόσφατα,</w:t>
      </w:r>
      <w:r w:rsidR="00A5147D" w:rsidRPr="00A60538">
        <w:rPr>
          <w:rFonts w:cstheme="minorHAnsi"/>
          <w:color w:val="000000"/>
          <w:sz w:val="24"/>
          <w:szCs w:val="24"/>
          <w:lang w:val="el-GR"/>
        </w:rPr>
        <w:t xml:space="preserve"> </w:t>
      </w:r>
      <w:r w:rsidR="0018619E">
        <w:rPr>
          <w:rFonts w:cstheme="minorHAnsi"/>
          <w:color w:val="000000"/>
          <w:sz w:val="24"/>
          <w:szCs w:val="24"/>
          <w:lang w:val="el-GR"/>
        </w:rPr>
        <w:t>περιοριζόταν σε μια λίστα ασυμβατοτήτων</w:t>
      </w:r>
      <w:r w:rsidR="00A5147D" w:rsidRPr="00A60538">
        <w:rPr>
          <w:rFonts w:cstheme="minorHAnsi"/>
          <w:color w:val="000000"/>
          <w:sz w:val="24"/>
          <w:szCs w:val="24"/>
          <w:lang w:val="el-GR"/>
        </w:rPr>
        <w:t xml:space="preserve">. </w:t>
      </w:r>
      <w:r w:rsidR="0018619E">
        <w:rPr>
          <w:rFonts w:cstheme="minorHAnsi"/>
          <w:color w:val="000000"/>
          <w:sz w:val="24"/>
          <w:szCs w:val="24"/>
          <w:lang w:val="el-GR"/>
        </w:rPr>
        <w:t>Ένα</w:t>
      </w:r>
      <w:r w:rsidR="0018619E" w:rsidRPr="0018619E">
        <w:rPr>
          <w:rFonts w:cstheme="minorHAnsi"/>
          <w:color w:val="000000"/>
          <w:sz w:val="24"/>
          <w:szCs w:val="24"/>
          <w:lang w:val="el-GR"/>
        </w:rPr>
        <w:t xml:space="preserve"> </w:t>
      </w:r>
      <w:r w:rsidR="00BF1250">
        <w:rPr>
          <w:rFonts w:cstheme="minorHAnsi"/>
          <w:color w:val="000000"/>
          <w:sz w:val="24"/>
          <w:szCs w:val="24"/>
          <w:lang w:val="el-GR"/>
        </w:rPr>
        <w:t xml:space="preserve">νέο στοιχείο </w:t>
      </w:r>
      <w:r w:rsidR="0018619E">
        <w:rPr>
          <w:rFonts w:cstheme="minorHAnsi"/>
          <w:color w:val="000000"/>
          <w:sz w:val="24"/>
          <w:szCs w:val="24"/>
          <w:lang w:val="el-GR"/>
        </w:rPr>
        <w:t>που</w:t>
      </w:r>
      <w:r w:rsidR="0018619E" w:rsidRPr="0018619E">
        <w:rPr>
          <w:rFonts w:cstheme="minorHAnsi"/>
          <w:color w:val="000000"/>
          <w:sz w:val="24"/>
          <w:szCs w:val="24"/>
          <w:lang w:val="el-GR"/>
        </w:rPr>
        <w:t xml:space="preserve"> </w:t>
      </w:r>
      <w:r w:rsidR="0018619E">
        <w:rPr>
          <w:rFonts w:cstheme="minorHAnsi"/>
          <w:color w:val="000000"/>
          <w:sz w:val="24"/>
          <w:szCs w:val="24"/>
          <w:lang w:val="el-GR"/>
        </w:rPr>
        <w:t>έχει</w:t>
      </w:r>
      <w:r w:rsidR="0018619E" w:rsidRPr="0018619E">
        <w:rPr>
          <w:rFonts w:cstheme="minorHAnsi"/>
          <w:color w:val="000000"/>
          <w:sz w:val="24"/>
          <w:szCs w:val="24"/>
          <w:lang w:val="el-GR"/>
        </w:rPr>
        <w:t xml:space="preserve"> </w:t>
      </w:r>
      <w:r w:rsidR="0018619E">
        <w:rPr>
          <w:rFonts w:cstheme="minorHAnsi"/>
          <w:color w:val="000000"/>
          <w:sz w:val="24"/>
          <w:szCs w:val="24"/>
          <w:lang w:val="el-GR"/>
        </w:rPr>
        <w:t>εισαχθεί</w:t>
      </w:r>
      <w:r w:rsidR="0018619E" w:rsidRPr="0018619E">
        <w:rPr>
          <w:rFonts w:cstheme="minorHAnsi"/>
          <w:color w:val="000000"/>
          <w:sz w:val="24"/>
          <w:szCs w:val="24"/>
          <w:lang w:val="el-GR"/>
        </w:rPr>
        <w:t xml:space="preserve"> </w:t>
      </w:r>
      <w:r w:rsidR="0018619E">
        <w:rPr>
          <w:rFonts w:cstheme="minorHAnsi"/>
          <w:color w:val="000000"/>
          <w:sz w:val="24"/>
          <w:szCs w:val="24"/>
          <w:lang w:val="el-GR"/>
        </w:rPr>
        <w:t>είναι</w:t>
      </w:r>
      <w:r w:rsidR="0018619E" w:rsidRPr="0018619E">
        <w:rPr>
          <w:rFonts w:cstheme="minorHAnsi"/>
          <w:color w:val="000000"/>
          <w:sz w:val="24"/>
          <w:szCs w:val="24"/>
          <w:lang w:val="el-GR"/>
        </w:rPr>
        <w:t xml:space="preserve"> </w:t>
      </w:r>
      <w:r w:rsidR="0018619E">
        <w:rPr>
          <w:rFonts w:cstheme="minorHAnsi"/>
          <w:color w:val="000000"/>
          <w:sz w:val="24"/>
          <w:szCs w:val="24"/>
          <w:lang w:val="el-GR"/>
        </w:rPr>
        <w:t>η</w:t>
      </w:r>
      <w:r w:rsidR="0018619E" w:rsidRPr="0018619E">
        <w:rPr>
          <w:rFonts w:cstheme="minorHAnsi"/>
          <w:color w:val="000000"/>
          <w:sz w:val="24"/>
          <w:szCs w:val="24"/>
          <w:lang w:val="el-GR"/>
        </w:rPr>
        <w:t xml:space="preserve"> </w:t>
      </w:r>
      <w:r w:rsidR="0018619E">
        <w:rPr>
          <w:rFonts w:cstheme="minorHAnsi"/>
          <w:color w:val="000000"/>
          <w:sz w:val="24"/>
          <w:szCs w:val="24"/>
          <w:lang w:val="el-GR"/>
        </w:rPr>
        <w:t>υποχρέωση</w:t>
      </w:r>
      <w:r w:rsidR="0018619E" w:rsidRPr="0018619E">
        <w:rPr>
          <w:rFonts w:cstheme="minorHAnsi"/>
          <w:color w:val="000000"/>
          <w:sz w:val="24"/>
          <w:szCs w:val="24"/>
          <w:lang w:val="el-GR"/>
        </w:rPr>
        <w:t xml:space="preserve"> </w:t>
      </w:r>
      <w:r w:rsidR="0018745A" w:rsidRPr="004E251E">
        <w:rPr>
          <w:rFonts w:cstheme="minorHAnsi"/>
          <w:sz w:val="24"/>
          <w:szCs w:val="24"/>
        </w:rPr>
        <w:t>ad</w:t>
      </w:r>
      <w:r w:rsidR="0018745A" w:rsidRPr="0018619E">
        <w:rPr>
          <w:rFonts w:cstheme="minorHAnsi"/>
          <w:sz w:val="24"/>
          <w:szCs w:val="24"/>
          <w:lang w:val="el-GR"/>
        </w:rPr>
        <w:t>-</w:t>
      </w:r>
      <w:r w:rsidR="0018745A" w:rsidRPr="004E251E">
        <w:rPr>
          <w:rFonts w:cstheme="minorHAnsi"/>
          <w:sz w:val="24"/>
          <w:szCs w:val="24"/>
        </w:rPr>
        <w:t>hoc</w:t>
      </w:r>
      <w:r w:rsidR="0018745A">
        <w:rPr>
          <w:rFonts w:cstheme="minorHAnsi"/>
          <w:color w:val="000000"/>
          <w:sz w:val="24"/>
          <w:szCs w:val="24"/>
          <w:lang w:val="el-GR"/>
        </w:rPr>
        <w:t xml:space="preserve"> </w:t>
      </w:r>
      <w:r w:rsidR="0018619E">
        <w:rPr>
          <w:rFonts w:cstheme="minorHAnsi"/>
          <w:color w:val="000000"/>
          <w:sz w:val="24"/>
          <w:szCs w:val="24"/>
          <w:lang w:val="el-GR"/>
        </w:rPr>
        <w:t>δήλωσης</w:t>
      </w:r>
      <w:r w:rsidR="0018619E" w:rsidRPr="0018619E">
        <w:rPr>
          <w:rFonts w:cstheme="minorHAnsi"/>
          <w:color w:val="000000"/>
          <w:sz w:val="24"/>
          <w:szCs w:val="24"/>
          <w:lang w:val="el-GR"/>
        </w:rPr>
        <w:t xml:space="preserve"> </w:t>
      </w:r>
      <w:r w:rsidR="0018619E">
        <w:rPr>
          <w:rFonts w:cstheme="minorHAnsi"/>
          <w:sz w:val="24"/>
          <w:szCs w:val="24"/>
          <w:lang w:val="el-GR"/>
        </w:rPr>
        <w:t>όταν</w:t>
      </w:r>
      <w:r w:rsidR="0018619E" w:rsidRPr="0018619E">
        <w:rPr>
          <w:rFonts w:cstheme="minorHAnsi"/>
          <w:sz w:val="24"/>
          <w:szCs w:val="24"/>
          <w:lang w:val="el-GR"/>
        </w:rPr>
        <w:t xml:space="preserve"> </w:t>
      </w:r>
      <w:r w:rsidR="0018619E">
        <w:rPr>
          <w:rFonts w:cstheme="minorHAnsi"/>
          <w:sz w:val="24"/>
          <w:szCs w:val="24"/>
          <w:lang w:val="el-GR"/>
        </w:rPr>
        <w:t>προκύπ</w:t>
      </w:r>
      <w:r w:rsidR="0018745A">
        <w:rPr>
          <w:rFonts w:cstheme="minorHAnsi"/>
          <w:sz w:val="24"/>
          <w:szCs w:val="24"/>
          <w:lang w:val="el-GR"/>
        </w:rPr>
        <w:t>τ</w:t>
      </w:r>
      <w:r w:rsidR="0018619E">
        <w:rPr>
          <w:rFonts w:cstheme="minorHAnsi"/>
          <w:sz w:val="24"/>
          <w:szCs w:val="24"/>
          <w:lang w:val="el-GR"/>
        </w:rPr>
        <w:t>ουν</w:t>
      </w:r>
      <w:r w:rsidR="0018619E" w:rsidRPr="0018619E">
        <w:rPr>
          <w:rFonts w:cstheme="minorHAnsi"/>
          <w:sz w:val="24"/>
          <w:szCs w:val="24"/>
          <w:lang w:val="el-GR"/>
        </w:rPr>
        <w:t xml:space="preserve"> </w:t>
      </w:r>
      <w:r w:rsidR="0018619E">
        <w:rPr>
          <w:rFonts w:cstheme="minorHAnsi"/>
          <w:sz w:val="24"/>
          <w:szCs w:val="24"/>
          <w:lang w:val="el-GR"/>
        </w:rPr>
        <w:t>καταστάσεις</w:t>
      </w:r>
      <w:r w:rsidR="0018619E" w:rsidRPr="0018619E">
        <w:rPr>
          <w:rFonts w:cstheme="minorHAnsi"/>
          <w:sz w:val="24"/>
          <w:szCs w:val="24"/>
          <w:lang w:val="el-GR"/>
        </w:rPr>
        <w:t xml:space="preserve"> </w:t>
      </w:r>
      <w:r w:rsidR="0018619E">
        <w:rPr>
          <w:rFonts w:cstheme="minorHAnsi"/>
          <w:sz w:val="24"/>
          <w:szCs w:val="24"/>
          <w:lang w:val="el-GR"/>
        </w:rPr>
        <w:t>σύγκρουσης</w:t>
      </w:r>
      <w:r w:rsidR="00A5147D" w:rsidRPr="0018619E">
        <w:rPr>
          <w:rFonts w:cstheme="minorHAnsi"/>
          <w:sz w:val="24"/>
          <w:szCs w:val="24"/>
          <w:lang w:val="el-GR"/>
        </w:rPr>
        <w:t xml:space="preserve"> </w:t>
      </w:r>
      <w:r w:rsidR="0018619E">
        <w:rPr>
          <w:rFonts w:cstheme="minorHAnsi"/>
          <w:sz w:val="24"/>
          <w:szCs w:val="24"/>
          <w:lang w:val="el-GR"/>
        </w:rPr>
        <w:t>μεταξύ</w:t>
      </w:r>
      <w:r w:rsidR="0018619E" w:rsidRPr="0018619E">
        <w:rPr>
          <w:rFonts w:cstheme="minorHAnsi"/>
          <w:sz w:val="24"/>
          <w:szCs w:val="24"/>
          <w:lang w:val="el-GR"/>
        </w:rPr>
        <w:t xml:space="preserve"> </w:t>
      </w:r>
      <w:r w:rsidR="0018619E">
        <w:rPr>
          <w:rFonts w:cstheme="minorHAnsi"/>
          <w:sz w:val="24"/>
          <w:szCs w:val="24"/>
          <w:lang w:val="el-GR"/>
        </w:rPr>
        <w:t>ιδι</w:t>
      </w:r>
      <w:r w:rsidR="0018745A">
        <w:rPr>
          <w:rFonts w:cstheme="minorHAnsi"/>
          <w:sz w:val="24"/>
          <w:szCs w:val="24"/>
          <w:lang w:val="el-GR"/>
        </w:rPr>
        <w:t>ω</w:t>
      </w:r>
      <w:r w:rsidR="0018619E">
        <w:rPr>
          <w:rFonts w:cstheme="minorHAnsi"/>
          <w:sz w:val="24"/>
          <w:szCs w:val="24"/>
          <w:lang w:val="el-GR"/>
        </w:rPr>
        <w:t>τικών</w:t>
      </w:r>
      <w:r w:rsidR="0018619E" w:rsidRPr="0018619E">
        <w:rPr>
          <w:rFonts w:cstheme="minorHAnsi"/>
          <w:sz w:val="24"/>
          <w:szCs w:val="24"/>
          <w:lang w:val="el-GR"/>
        </w:rPr>
        <w:t xml:space="preserve"> </w:t>
      </w:r>
      <w:r w:rsidR="0018619E">
        <w:rPr>
          <w:rFonts w:cstheme="minorHAnsi"/>
          <w:sz w:val="24"/>
          <w:szCs w:val="24"/>
          <w:lang w:val="el-GR"/>
        </w:rPr>
        <w:t>συμφερόντων και</w:t>
      </w:r>
      <w:r w:rsidR="00A5147D" w:rsidRPr="0018619E">
        <w:rPr>
          <w:rFonts w:cstheme="minorHAnsi"/>
          <w:sz w:val="24"/>
          <w:szCs w:val="24"/>
          <w:lang w:val="el-GR"/>
        </w:rPr>
        <w:t xml:space="preserve"> </w:t>
      </w:r>
      <w:r w:rsidR="00BF1250">
        <w:rPr>
          <w:rFonts w:cstheme="minorHAnsi"/>
          <w:sz w:val="24"/>
          <w:szCs w:val="24"/>
          <w:lang w:val="el-GR"/>
        </w:rPr>
        <w:t xml:space="preserve">υπηρεσιακών </w:t>
      </w:r>
      <w:r w:rsidR="0018619E">
        <w:rPr>
          <w:rFonts w:cstheme="minorHAnsi"/>
          <w:sz w:val="24"/>
          <w:szCs w:val="24"/>
          <w:lang w:val="el-GR"/>
        </w:rPr>
        <w:t>καθηκόντων</w:t>
      </w:r>
      <w:r w:rsidR="00A8104D" w:rsidRPr="0018619E">
        <w:rPr>
          <w:rFonts w:cstheme="minorHAnsi"/>
          <w:sz w:val="24"/>
          <w:szCs w:val="24"/>
          <w:lang w:val="el-GR"/>
        </w:rPr>
        <w:t xml:space="preserve">, </w:t>
      </w:r>
      <w:r w:rsidR="0018619E">
        <w:rPr>
          <w:rFonts w:cstheme="minorHAnsi"/>
          <w:sz w:val="24"/>
          <w:szCs w:val="24"/>
          <w:lang w:val="el-GR"/>
        </w:rPr>
        <w:t xml:space="preserve">όπως </w:t>
      </w:r>
      <w:r w:rsidR="00BF1250">
        <w:rPr>
          <w:rFonts w:cstheme="minorHAnsi"/>
          <w:sz w:val="24"/>
          <w:szCs w:val="24"/>
          <w:lang w:val="el-GR"/>
        </w:rPr>
        <w:t xml:space="preserve">προνοείται </w:t>
      </w:r>
      <w:r w:rsidR="0018619E">
        <w:rPr>
          <w:rFonts w:cstheme="minorHAnsi"/>
          <w:sz w:val="24"/>
          <w:szCs w:val="24"/>
          <w:lang w:val="el-GR"/>
        </w:rPr>
        <w:t>στον Νόμο</w:t>
      </w:r>
      <w:r w:rsidR="00A8104D" w:rsidRPr="0018619E">
        <w:rPr>
          <w:rFonts w:cstheme="minorHAnsi"/>
          <w:sz w:val="24"/>
          <w:szCs w:val="24"/>
          <w:lang w:val="el-GR"/>
        </w:rPr>
        <w:t xml:space="preserve"> 20(</w:t>
      </w:r>
      <w:r w:rsidR="00A8104D" w:rsidRPr="004E251E">
        <w:rPr>
          <w:rFonts w:cstheme="minorHAnsi"/>
          <w:sz w:val="24"/>
          <w:szCs w:val="24"/>
        </w:rPr>
        <w:t>I</w:t>
      </w:r>
      <w:r w:rsidR="00A8104D" w:rsidRPr="0018619E">
        <w:rPr>
          <w:rFonts w:cstheme="minorHAnsi"/>
          <w:sz w:val="24"/>
          <w:szCs w:val="24"/>
          <w:lang w:val="el-GR"/>
        </w:rPr>
        <w:t xml:space="preserve">)/2022 </w:t>
      </w:r>
      <w:r w:rsidR="0018619E">
        <w:rPr>
          <w:rFonts w:cstheme="minorHAnsi"/>
          <w:sz w:val="24"/>
          <w:szCs w:val="24"/>
          <w:lang w:val="el-GR"/>
        </w:rPr>
        <w:t xml:space="preserve">περί Διαφάνειας </w:t>
      </w:r>
      <w:r w:rsidR="00BF1250">
        <w:rPr>
          <w:rFonts w:cstheme="minorHAnsi"/>
          <w:sz w:val="24"/>
          <w:szCs w:val="24"/>
          <w:lang w:val="el-GR"/>
        </w:rPr>
        <w:t>στις Διαδικασίες</w:t>
      </w:r>
      <w:r w:rsidR="0018619E">
        <w:rPr>
          <w:rFonts w:cstheme="minorHAnsi"/>
          <w:sz w:val="24"/>
          <w:szCs w:val="24"/>
          <w:lang w:val="el-GR"/>
        </w:rPr>
        <w:t xml:space="preserve"> Λήψη</w:t>
      </w:r>
      <w:r w:rsidR="00BF1250">
        <w:rPr>
          <w:rFonts w:cstheme="minorHAnsi"/>
          <w:sz w:val="24"/>
          <w:szCs w:val="24"/>
          <w:lang w:val="el-GR"/>
        </w:rPr>
        <w:t>ς</w:t>
      </w:r>
      <w:r w:rsidR="0018619E">
        <w:rPr>
          <w:rFonts w:cstheme="minorHAnsi"/>
          <w:sz w:val="24"/>
          <w:szCs w:val="24"/>
          <w:lang w:val="el-GR"/>
        </w:rPr>
        <w:t xml:space="preserve"> Αποφάσεων στο Δημόσιο και Συναφ</w:t>
      </w:r>
      <w:r w:rsidR="00BF1250">
        <w:rPr>
          <w:rFonts w:cstheme="minorHAnsi"/>
          <w:sz w:val="24"/>
          <w:szCs w:val="24"/>
          <w:lang w:val="el-GR"/>
        </w:rPr>
        <w:t>ών</w:t>
      </w:r>
      <w:r w:rsidR="0018619E">
        <w:rPr>
          <w:rFonts w:cstheme="minorHAnsi"/>
          <w:sz w:val="24"/>
          <w:szCs w:val="24"/>
          <w:lang w:val="el-GR"/>
        </w:rPr>
        <w:t xml:space="preserve"> Θ</w:t>
      </w:r>
      <w:r w:rsidR="00BF1250">
        <w:rPr>
          <w:rFonts w:cstheme="minorHAnsi"/>
          <w:sz w:val="24"/>
          <w:szCs w:val="24"/>
          <w:lang w:val="el-GR"/>
        </w:rPr>
        <w:t>ε</w:t>
      </w:r>
      <w:r w:rsidR="0018619E">
        <w:rPr>
          <w:rFonts w:cstheme="minorHAnsi"/>
          <w:sz w:val="24"/>
          <w:szCs w:val="24"/>
          <w:lang w:val="el-GR"/>
        </w:rPr>
        <w:t>μ</w:t>
      </w:r>
      <w:r w:rsidR="00BF1250">
        <w:rPr>
          <w:rFonts w:cstheme="minorHAnsi"/>
          <w:sz w:val="24"/>
          <w:szCs w:val="24"/>
          <w:lang w:val="el-GR"/>
        </w:rPr>
        <w:t>άτων</w:t>
      </w:r>
      <w:r w:rsidR="00A8104D" w:rsidRPr="0018619E">
        <w:rPr>
          <w:rFonts w:cstheme="minorHAnsi"/>
          <w:sz w:val="24"/>
          <w:szCs w:val="24"/>
          <w:lang w:val="el-GR"/>
        </w:rPr>
        <w:t xml:space="preserve"> </w:t>
      </w:r>
      <w:r w:rsidR="0018619E">
        <w:rPr>
          <w:rFonts w:cstheme="minorHAnsi"/>
          <w:sz w:val="24"/>
          <w:szCs w:val="24"/>
          <w:lang w:val="el-GR"/>
        </w:rPr>
        <w:t xml:space="preserve">και </w:t>
      </w:r>
      <w:r w:rsidR="00BF1250">
        <w:rPr>
          <w:rFonts w:cstheme="minorHAnsi"/>
          <w:sz w:val="24"/>
          <w:szCs w:val="24"/>
          <w:lang w:val="el-GR"/>
        </w:rPr>
        <w:t>σ</w:t>
      </w:r>
      <w:r w:rsidR="0018619E">
        <w:rPr>
          <w:rFonts w:cstheme="minorHAnsi"/>
          <w:sz w:val="24"/>
          <w:szCs w:val="24"/>
          <w:lang w:val="el-GR"/>
        </w:rPr>
        <w:t>τους σχετικούς Κανονισμούς του</w:t>
      </w:r>
      <w:r w:rsidR="00A8104D" w:rsidRPr="0018619E">
        <w:rPr>
          <w:rFonts w:cstheme="minorHAnsi"/>
          <w:sz w:val="24"/>
          <w:szCs w:val="24"/>
          <w:lang w:val="el-GR"/>
        </w:rPr>
        <w:t xml:space="preserve"> 2023</w:t>
      </w:r>
      <w:r w:rsidR="00A5147D" w:rsidRPr="0018619E">
        <w:rPr>
          <w:rFonts w:cstheme="minorHAnsi"/>
          <w:sz w:val="24"/>
          <w:szCs w:val="24"/>
          <w:lang w:val="el-GR"/>
        </w:rPr>
        <w:t xml:space="preserve">. </w:t>
      </w:r>
      <w:r w:rsidR="0018619E">
        <w:rPr>
          <w:rFonts w:cstheme="minorHAnsi"/>
          <w:sz w:val="24"/>
          <w:szCs w:val="24"/>
          <w:lang w:val="el-GR"/>
        </w:rPr>
        <w:t>Π</w:t>
      </w:r>
      <w:r w:rsidR="00BF1250">
        <w:rPr>
          <w:rFonts w:cstheme="minorHAnsi"/>
          <w:sz w:val="24"/>
          <w:szCs w:val="24"/>
          <w:lang w:val="el-GR"/>
        </w:rPr>
        <w:t xml:space="preserve">ρέπει να γίνουν πολύ </w:t>
      </w:r>
      <w:r w:rsidR="0018619E">
        <w:rPr>
          <w:rFonts w:cstheme="minorHAnsi"/>
          <w:sz w:val="24"/>
          <w:szCs w:val="24"/>
          <w:lang w:val="el-GR"/>
        </w:rPr>
        <w:t>περισσότερα</w:t>
      </w:r>
      <w:r w:rsidR="0018619E" w:rsidRPr="0018619E">
        <w:rPr>
          <w:rFonts w:cstheme="minorHAnsi"/>
          <w:sz w:val="24"/>
          <w:szCs w:val="24"/>
          <w:lang w:val="el-GR"/>
        </w:rPr>
        <w:t xml:space="preserve"> </w:t>
      </w:r>
      <w:r w:rsidR="0018619E">
        <w:rPr>
          <w:rFonts w:cstheme="minorHAnsi"/>
          <w:color w:val="000000"/>
          <w:sz w:val="24"/>
          <w:szCs w:val="24"/>
          <w:lang w:val="el-GR"/>
        </w:rPr>
        <w:t>αναφορικά</w:t>
      </w:r>
      <w:r w:rsidR="0018619E" w:rsidRPr="0018619E">
        <w:rPr>
          <w:rFonts w:cstheme="minorHAnsi"/>
          <w:color w:val="000000"/>
          <w:sz w:val="24"/>
          <w:szCs w:val="24"/>
          <w:lang w:val="el-GR"/>
        </w:rPr>
        <w:t xml:space="preserve"> </w:t>
      </w:r>
      <w:r w:rsidR="0018619E">
        <w:rPr>
          <w:rFonts w:cstheme="minorHAnsi"/>
          <w:color w:val="000000"/>
          <w:sz w:val="24"/>
          <w:szCs w:val="24"/>
          <w:lang w:val="el-GR"/>
        </w:rPr>
        <w:t>με</w:t>
      </w:r>
      <w:r w:rsidR="0018619E" w:rsidRPr="0018619E">
        <w:rPr>
          <w:rFonts w:cstheme="minorHAnsi"/>
          <w:color w:val="000000"/>
          <w:sz w:val="24"/>
          <w:szCs w:val="24"/>
          <w:lang w:val="el-GR"/>
        </w:rPr>
        <w:t xml:space="preserve"> </w:t>
      </w:r>
      <w:r w:rsidR="0018745A">
        <w:rPr>
          <w:rFonts w:cstheme="minorHAnsi"/>
          <w:color w:val="000000"/>
          <w:sz w:val="24"/>
          <w:szCs w:val="24"/>
          <w:lang w:val="el-GR"/>
        </w:rPr>
        <w:t xml:space="preserve">την </w:t>
      </w:r>
      <w:r w:rsidR="0018619E">
        <w:rPr>
          <w:rFonts w:cstheme="minorHAnsi"/>
          <w:color w:val="000000"/>
          <w:sz w:val="24"/>
          <w:szCs w:val="24"/>
          <w:lang w:val="el-GR"/>
        </w:rPr>
        <w:t>αποκάλ</w:t>
      </w:r>
      <w:r w:rsidR="00BF1250">
        <w:rPr>
          <w:rFonts w:cstheme="minorHAnsi"/>
          <w:color w:val="000000"/>
          <w:sz w:val="24"/>
          <w:szCs w:val="24"/>
          <w:lang w:val="el-GR"/>
        </w:rPr>
        <w:t>υ</w:t>
      </w:r>
      <w:r w:rsidR="0018619E">
        <w:rPr>
          <w:rFonts w:cstheme="minorHAnsi"/>
          <w:color w:val="000000"/>
          <w:sz w:val="24"/>
          <w:szCs w:val="24"/>
          <w:lang w:val="el-GR"/>
        </w:rPr>
        <w:t>ψη</w:t>
      </w:r>
      <w:r w:rsidR="0018619E" w:rsidRPr="0018619E">
        <w:rPr>
          <w:rFonts w:cstheme="minorHAnsi"/>
          <w:color w:val="000000"/>
          <w:sz w:val="24"/>
          <w:szCs w:val="24"/>
          <w:lang w:val="el-GR"/>
        </w:rPr>
        <w:t xml:space="preserve"> </w:t>
      </w:r>
      <w:r w:rsidR="0018619E">
        <w:rPr>
          <w:rFonts w:cstheme="minorHAnsi"/>
          <w:color w:val="000000"/>
          <w:sz w:val="24"/>
          <w:szCs w:val="24"/>
          <w:lang w:val="el-GR"/>
        </w:rPr>
        <w:t>περιουσιακών</w:t>
      </w:r>
      <w:r w:rsidR="0018619E" w:rsidRPr="0018619E">
        <w:rPr>
          <w:rFonts w:cstheme="minorHAnsi"/>
          <w:color w:val="000000"/>
          <w:sz w:val="24"/>
          <w:szCs w:val="24"/>
          <w:lang w:val="el-GR"/>
        </w:rPr>
        <w:t xml:space="preserve"> </w:t>
      </w:r>
      <w:r w:rsidR="0018619E">
        <w:rPr>
          <w:rFonts w:cstheme="minorHAnsi"/>
          <w:color w:val="000000"/>
          <w:sz w:val="24"/>
          <w:szCs w:val="24"/>
          <w:lang w:val="el-GR"/>
        </w:rPr>
        <w:t>στοιχείων</w:t>
      </w:r>
      <w:r w:rsidR="00A5147D" w:rsidRPr="0018619E">
        <w:rPr>
          <w:rFonts w:cstheme="minorHAnsi"/>
          <w:color w:val="000000"/>
          <w:sz w:val="24"/>
          <w:szCs w:val="24"/>
          <w:lang w:val="el-GR"/>
        </w:rPr>
        <w:t xml:space="preserve">, </w:t>
      </w:r>
      <w:r w:rsidR="0018619E">
        <w:rPr>
          <w:rFonts w:cstheme="minorHAnsi"/>
          <w:color w:val="000000"/>
          <w:sz w:val="24"/>
          <w:szCs w:val="24"/>
          <w:lang w:val="el-GR"/>
        </w:rPr>
        <w:t>ειδικότερα</w:t>
      </w:r>
      <w:r w:rsidR="00A5147D" w:rsidRPr="0018619E">
        <w:rPr>
          <w:rFonts w:cstheme="minorHAnsi"/>
          <w:color w:val="000000"/>
          <w:sz w:val="24"/>
          <w:szCs w:val="24"/>
          <w:lang w:val="el-GR"/>
        </w:rPr>
        <w:t xml:space="preserve">, </w:t>
      </w:r>
      <w:r w:rsidR="0018619E">
        <w:rPr>
          <w:rFonts w:cstheme="minorHAnsi"/>
          <w:color w:val="000000"/>
          <w:sz w:val="24"/>
          <w:szCs w:val="24"/>
          <w:lang w:val="el-GR"/>
        </w:rPr>
        <w:t>για</w:t>
      </w:r>
      <w:r w:rsidR="00BF1250">
        <w:rPr>
          <w:rFonts w:cstheme="minorHAnsi"/>
          <w:color w:val="000000"/>
          <w:sz w:val="24"/>
          <w:szCs w:val="24"/>
          <w:lang w:val="el-GR"/>
        </w:rPr>
        <w:t xml:space="preserve"> την</w:t>
      </w:r>
      <w:r w:rsidR="0018619E">
        <w:rPr>
          <w:rFonts w:cstheme="minorHAnsi"/>
          <w:color w:val="000000"/>
          <w:sz w:val="24"/>
          <w:szCs w:val="24"/>
          <w:lang w:val="el-GR"/>
        </w:rPr>
        <w:t xml:space="preserve"> ενίσχυση των </w:t>
      </w:r>
      <w:r w:rsidR="00BB06D0">
        <w:rPr>
          <w:rFonts w:cstheme="minorHAnsi"/>
          <w:color w:val="000000"/>
          <w:sz w:val="24"/>
          <w:szCs w:val="24"/>
          <w:lang w:val="el-GR"/>
        </w:rPr>
        <w:t xml:space="preserve">αντίστοιχων μηχανισμών </w:t>
      </w:r>
      <w:r w:rsidR="00093122">
        <w:rPr>
          <w:rFonts w:cstheme="minorHAnsi"/>
          <w:color w:val="000000"/>
          <w:sz w:val="24"/>
          <w:szCs w:val="24"/>
          <w:lang w:val="el-GR"/>
        </w:rPr>
        <w:t xml:space="preserve">εποπτείας </w:t>
      </w:r>
      <w:r w:rsidR="00BB06D0">
        <w:rPr>
          <w:rFonts w:cstheme="minorHAnsi"/>
          <w:color w:val="000000"/>
          <w:sz w:val="24"/>
          <w:szCs w:val="24"/>
          <w:lang w:val="el-GR"/>
        </w:rPr>
        <w:t>και επιβολής</w:t>
      </w:r>
      <w:r w:rsidR="00A5147D" w:rsidRPr="0018619E">
        <w:rPr>
          <w:rFonts w:cstheme="minorHAnsi"/>
          <w:color w:val="000000"/>
          <w:sz w:val="24"/>
          <w:szCs w:val="24"/>
          <w:lang w:val="el-GR"/>
        </w:rPr>
        <w:t xml:space="preserve">. </w:t>
      </w:r>
      <w:r w:rsidR="00BB06D0">
        <w:rPr>
          <w:rFonts w:cstheme="minorHAnsi"/>
          <w:color w:val="000000"/>
          <w:sz w:val="24"/>
          <w:szCs w:val="24"/>
          <w:lang w:val="el-GR"/>
        </w:rPr>
        <w:t>Η</w:t>
      </w:r>
      <w:r w:rsidR="00BB06D0" w:rsidRPr="00BB06D0">
        <w:rPr>
          <w:rFonts w:cstheme="minorHAnsi"/>
          <w:color w:val="000000"/>
          <w:sz w:val="24"/>
          <w:szCs w:val="24"/>
          <w:lang w:val="el-GR"/>
        </w:rPr>
        <w:t xml:space="preserve"> </w:t>
      </w:r>
      <w:r w:rsidR="00BB06D0">
        <w:rPr>
          <w:rFonts w:cstheme="minorHAnsi"/>
          <w:color w:val="000000"/>
          <w:sz w:val="24"/>
          <w:szCs w:val="24"/>
          <w:lang w:val="el-GR"/>
        </w:rPr>
        <w:t>εισαγωγή</w:t>
      </w:r>
      <w:r w:rsidR="00BB06D0" w:rsidRPr="00BB06D0">
        <w:rPr>
          <w:rFonts w:cstheme="minorHAnsi"/>
          <w:color w:val="000000"/>
          <w:sz w:val="24"/>
          <w:szCs w:val="24"/>
          <w:lang w:val="el-GR"/>
        </w:rPr>
        <w:t xml:space="preserve"> </w:t>
      </w:r>
      <w:r w:rsidR="00BB06D0">
        <w:rPr>
          <w:rFonts w:cstheme="minorHAnsi"/>
          <w:color w:val="000000"/>
          <w:sz w:val="24"/>
          <w:szCs w:val="24"/>
          <w:lang w:val="el-GR"/>
        </w:rPr>
        <w:t>νομοθεσίας</w:t>
      </w:r>
      <w:r w:rsidR="00BB06D0" w:rsidRPr="00BB06D0">
        <w:rPr>
          <w:rFonts w:cstheme="minorHAnsi"/>
          <w:color w:val="000000"/>
          <w:sz w:val="24"/>
          <w:szCs w:val="24"/>
          <w:lang w:val="el-GR"/>
        </w:rPr>
        <w:t xml:space="preserve"> </w:t>
      </w:r>
      <w:r w:rsidR="00BB06D0">
        <w:rPr>
          <w:rFonts w:cstheme="minorHAnsi"/>
          <w:color w:val="000000"/>
          <w:sz w:val="24"/>
          <w:szCs w:val="24"/>
          <w:lang w:val="el-GR"/>
        </w:rPr>
        <w:t>για</w:t>
      </w:r>
      <w:r w:rsidR="00BB06D0" w:rsidRPr="00BB06D0">
        <w:rPr>
          <w:rFonts w:cstheme="minorHAnsi"/>
          <w:color w:val="000000"/>
          <w:sz w:val="24"/>
          <w:szCs w:val="24"/>
          <w:lang w:val="el-GR"/>
        </w:rPr>
        <w:t xml:space="preserve"> </w:t>
      </w:r>
      <w:r w:rsidR="00BB06D0">
        <w:rPr>
          <w:rFonts w:cstheme="minorHAnsi"/>
          <w:color w:val="000000"/>
          <w:sz w:val="24"/>
          <w:szCs w:val="24"/>
          <w:lang w:val="el-GR"/>
        </w:rPr>
        <w:t>το</w:t>
      </w:r>
      <w:r w:rsidR="00BB06D0" w:rsidRPr="00BB06D0">
        <w:rPr>
          <w:rFonts w:cstheme="minorHAnsi"/>
          <w:color w:val="000000"/>
          <w:sz w:val="24"/>
          <w:szCs w:val="24"/>
          <w:lang w:val="el-GR"/>
        </w:rPr>
        <w:t xml:space="preserve"> </w:t>
      </w:r>
      <w:proofErr w:type="spellStart"/>
      <w:r w:rsidR="00BB06D0">
        <w:rPr>
          <w:rFonts w:cstheme="minorHAnsi"/>
          <w:color w:val="000000"/>
          <w:sz w:val="24"/>
          <w:szCs w:val="24"/>
          <w:lang w:val="el-GR"/>
        </w:rPr>
        <w:t>λόμπυ</w:t>
      </w:r>
      <w:proofErr w:type="spellEnd"/>
      <w:r w:rsidR="00A5147D" w:rsidRPr="00BB06D0">
        <w:rPr>
          <w:rFonts w:cstheme="minorHAnsi"/>
          <w:color w:val="000000"/>
          <w:sz w:val="24"/>
          <w:szCs w:val="24"/>
          <w:lang w:val="el-GR"/>
        </w:rPr>
        <w:t xml:space="preserve"> </w:t>
      </w:r>
      <w:r w:rsidR="00BB06D0">
        <w:rPr>
          <w:rFonts w:cstheme="minorHAnsi"/>
          <w:color w:val="000000"/>
          <w:sz w:val="24"/>
          <w:szCs w:val="24"/>
          <w:lang w:val="el-GR"/>
        </w:rPr>
        <w:t>είναι</w:t>
      </w:r>
      <w:r w:rsidR="00BB06D0" w:rsidRPr="00BB06D0">
        <w:rPr>
          <w:rFonts w:cstheme="minorHAnsi"/>
          <w:color w:val="000000"/>
          <w:sz w:val="24"/>
          <w:szCs w:val="24"/>
          <w:lang w:val="el-GR"/>
        </w:rPr>
        <w:t xml:space="preserve"> </w:t>
      </w:r>
      <w:r w:rsidR="00BB06D0">
        <w:rPr>
          <w:rFonts w:cstheme="minorHAnsi"/>
          <w:color w:val="000000"/>
          <w:sz w:val="24"/>
          <w:szCs w:val="24"/>
          <w:lang w:val="el-GR"/>
        </w:rPr>
        <w:t>μια</w:t>
      </w:r>
      <w:r w:rsidR="00BB06D0" w:rsidRPr="00BB06D0">
        <w:rPr>
          <w:rFonts w:cstheme="minorHAnsi"/>
          <w:color w:val="000000"/>
          <w:sz w:val="24"/>
          <w:szCs w:val="24"/>
          <w:lang w:val="el-GR"/>
        </w:rPr>
        <w:t xml:space="preserve"> </w:t>
      </w:r>
      <w:r w:rsidR="00BB06D0">
        <w:rPr>
          <w:rFonts w:cstheme="minorHAnsi"/>
          <w:color w:val="000000"/>
          <w:sz w:val="24"/>
          <w:szCs w:val="24"/>
          <w:lang w:val="el-GR"/>
        </w:rPr>
        <w:t>ενθαρρυντική</w:t>
      </w:r>
      <w:r w:rsidR="00BB06D0" w:rsidRPr="00BB06D0">
        <w:rPr>
          <w:rFonts w:cstheme="minorHAnsi"/>
          <w:color w:val="000000"/>
          <w:sz w:val="24"/>
          <w:szCs w:val="24"/>
          <w:lang w:val="el-GR"/>
        </w:rPr>
        <w:t xml:space="preserve"> </w:t>
      </w:r>
      <w:r w:rsidR="00BB06D0">
        <w:rPr>
          <w:rFonts w:cstheme="minorHAnsi"/>
          <w:color w:val="000000"/>
          <w:sz w:val="24"/>
          <w:szCs w:val="24"/>
          <w:lang w:val="el-GR"/>
        </w:rPr>
        <w:t>εξέλιξη</w:t>
      </w:r>
      <w:r w:rsidR="00A5147D" w:rsidRPr="00BB06D0">
        <w:rPr>
          <w:rFonts w:cstheme="minorHAnsi"/>
          <w:color w:val="000000"/>
          <w:sz w:val="24"/>
          <w:szCs w:val="24"/>
          <w:lang w:val="el-GR"/>
        </w:rPr>
        <w:t xml:space="preserve">, </w:t>
      </w:r>
      <w:r w:rsidR="00BB06D0">
        <w:rPr>
          <w:rFonts w:cstheme="minorHAnsi"/>
          <w:color w:val="000000"/>
          <w:sz w:val="24"/>
          <w:szCs w:val="24"/>
          <w:lang w:val="el-GR"/>
        </w:rPr>
        <w:t>ωστόσο</w:t>
      </w:r>
      <w:r w:rsidR="00BB06D0" w:rsidRPr="00BB06D0">
        <w:rPr>
          <w:rFonts w:cstheme="minorHAnsi"/>
          <w:color w:val="000000"/>
          <w:sz w:val="24"/>
          <w:szCs w:val="24"/>
          <w:lang w:val="el-GR"/>
        </w:rPr>
        <w:t xml:space="preserve"> </w:t>
      </w:r>
      <w:r w:rsidR="0018745A">
        <w:rPr>
          <w:rFonts w:cstheme="minorHAnsi"/>
          <w:color w:val="000000"/>
          <w:sz w:val="24"/>
          <w:szCs w:val="24"/>
          <w:lang w:val="el-GR"/>
        </w:rPr>
        <w:t xml:space="preserve">αυτή </w:t>
      </w:r>
      <w:r w:rsidR="00BB06D0">
        <w:rPr>
          <w:rFonts w:cstheme="minorHAnsi"/>
          <w:color w:val="000000"/>
          <w:sz w:val="24"/>
          <w:szCs w:val="24"/>
          <w:lang w:val="el-GR"/>
        </w:rPr>
        <w:t>πρέπει</w:t>
      </w:r>
      <w:r w:rsidR="00BB06D0" w:rsidRPr="00BB06D0">
        <w:rPr>
          <w:rFonts w:cstheme="minorHAnsi"/>
          <w:color w:val="000000"/>
          <w:sz w:val="24"/>
          <w:szCs w:val="24"/>
          <w:lang w:val="el-GR"/>
        </w:rPr>
        <w:t xml:space="preserve"> </w:t>
      </w:r>
      <w:r w:rsidR="00BB06D0">
        <w:rPr>
          <w:rFonts w:cstheme="minorHAnsi"/>
          <w:color w:val="000000"/>
          <w:sz w:val="24"/>
          <w:szCs w:val="24"/>
          <w:lang w:val="el-GR"/>
        </w:rPr>
        <w:t>να</w:t>
      </w:r>
      <w:r w:rsidR="00BB06D0" w:rsidRPr="00BB06D0">
        <w:rPr>
          <w:rFonts w:cstheme="minorHAnsi"/>
          <w:color w:val="000000"/>
          <w:sz w:val="24"/>
          <w:szCs w:val="24"/>
          <w:lang w:val="el-GR"/>
        </w:rPr>
        <w:t xml:space="preserve"> </w:t>
      </w:r>
      <w:r w:rsidR="00BB06D0">
        <w:rPr>
          <w:rFonts w:cstheme="minorHAnsi"/>
          <w:color w:val="000000"/>
          <w:sz w:val="24"/>
          <w:szCs w:val="24"/>
          <w:lang w:val="el-GR"/>
        </w:rPr>
        <w:t>συνοδεύεται</w:t>
      </w:r>
      <w:r w:rsidR="00A5147D" w:rsidRPr="00BB06D0">
        <w:rPr>
          <w:rFonts w:cstheme="minorHAnsi"/>
          <w:color w:val="000000"/>
          <w:sz w:val="24"/>
          <w:szCs w:val="24"/>
          <w:lang w:val="el-GR"/>
        </w:rPr>
        <w:t xml:space="preserve"> </w:t>
      </w:r>
      <w:r w:rsidR="00BB06D0">
        <w:rPr>
          <w:rFonts w:cstheme="minorHAnsi"/>
          <w:color w:val="000000"/>
          <w:sz w:val="24"/>
          <w:szCs w:val="24"/>
          <w:lang w:val="el-GR"/>
        </w:rPr>
        <w:t>με</w:t>
      </w:r>
      <w:r w:rsidR="00BB06D0" w:rsidRPr="00BB06D0">
        <w:rPr>
          <w:rFonts w:cstheme="minorHAnsi"/>
          <w:color w:val="000000"/>
          <w:sz w:val="24"/>
          <w:szCs w:val="24"/>
          <w:lang w:val="el-GR"/>
        </w:rPr>
        <w:t xml:space="preserve"> </w:t>
      </w:r>
      <w:proofErr w:type="spellStart"/>
      <w:r w:rsidR="00BB06D0">
        <w:rPr>
          <w:rFonts w:cstheme="minorHAnsi"/>
          <w:color w:val="000000"/>
          <w:sz w:val="24"/>
          <w:szCs w:val="24"/>
          <w:lang w:val="el-GR"/>
        </w:rPr>
        <w:t>στοχευμένη</w:t>
      </w:r>
      <w:proofErr w:type="spellEnd"/>
      <w:r w:rsidR="00BB06D0" w:rsidRPr="00BB06D0">
        <w:rPr>
          <w:rFonts w:cstheme="minorHAnsi"/>
          <w:color w:val="000000"/>
          <w:sz w:val="24"/>
          <w:szCs w:val="24"/>
          <w:lang w:val="el-GR"/>
        </w:rPr>
        <w:t xml:space="preserve"> </w:t>
      </w:r>
      <w:r w:rsidR="00BB06D0">
        <w:rPr>
          <w:rFonts w:cstheme="minorHAnsi"/>
          <w:color w:val="000000"/>
          <w:sz w:val="24"/>
          <w:szCs w:val="24"/>
          <w:lang w:val="el-GR"/>
        </w:rPr>
        <w:t xml:space="preserve">καθοδήγηση για τους </w:t>
      </w:r>
      <w:r w:rsidR="00093122">
        <w:rPr>
          <w:rFonts w:cstheme="minorHAnsi"/>
          <w:color w:val="000000"/>
          <w:sz w:val="24"/>
          <w:szCs w:val="24"/>
          <w:lang w:val="en-US"/>
        </w:rPr>
        <w:t>PTEFs</w:t>
      </w:r>
      <w:r w:rsidR="00093122" w:rsidRPr="002B7C4B">
        <w:rPr>
          <w:rFonts w:cstheme="minorHAnsi"/>
          <w:color w:val="000000"/>
          <w:sz w:val="24"/>
          <w:szCs w:val="24"/>
          <w:lang w:val="el-GR"/>
        </w:rPr>
        <w:t xml:space="preserve"> </w:t>
      </w:r>
      <w:r w:rsidR="00BB06D0">
        <w:rPr>
          <w:rFonts w:cstheme="minorHAnsi"/>
          <w:color w:val="000000"/>
          <w:sz w:val="24"/>
          <w:szCs w:val="24"/>
          <w:lang w:val="el-GR"/>
        </w:rPr>
        <w:t xml:space="preserve">για τα αντίστοιχα πρότυπα </w:t>
      </w:r>
      <w:r w:rsidR="007E527B">
        <w:rPr>
          <w:rFonts w:cstheme="minorHAnsi"/>
          <w:color w:val="000000"/>
          <w:sz w:val="24"/>
          <w:szCs w:val="24"/>
          <w:lang w:val="el-GR"/>
        </w:rPr>
        <w:t>συμπεριφοράς</w:t>
      </w:r>
      <w:r w:rsidR="00A5147D" w:rsidRPr="00BB06D0">
        <w:rPr>
          <w:rFonts w:cstheme="minorHAnsi"/>
          <w:color w:val="000000"/>
          <w:sz w:val="24"/>
          <w:szCs w:val="24"/>
          <w:lang w:val="el-GR"/>
        </w:rPr>
        <w:t xml:space="preserve"> </w:t>
      </w:r>
      <w:r w:rsidR="00BB06D0">
        <w:rPr>
          <w:rFonts w:cstheme="minorHAnsi"/>
          <w:color w:val="000000"/>
          <w:sz w:val="24"/>
          <w:szCs w:val="24"/>
          <w:lang w:val="el-GR"/>
        </w:rPr>
        <w:t xml:space="preserve">αναφορικά με τις σχέσεις τους με </w:t>
      </w:r>
      <w:proofErr w:type="spellStart"/>
      <w:r w:rsidR="00BB06D0">
        <w:rPr>
          <w:rFonts w:cstheme="minorHAnsi"/>
          <w:color w:val="000000"/>
          <w:sz w:val="24"/>
          <w:szCs w:val="24"/>
          <w:lang w:val="el-GR"/>
        </w:rPr>
        <w:t>λομπ</w:t>
      </w:r>
      <w:r w:rsidR="00071F64">
        <w:rPr>
          <w:rFonts w:cstheme="minorHAnsi"/>
          <w:color w:val="000000"/>
          <w:sz w:val="24"/>
          <w:szCs w:val="24"/>
          <w:lang w:val="el-GR"/>
        </w:rPr>
        <w:t>ί</w:t>
      </w:r>
      <w:r w:rsidR="00BB06D0">
        <w:rPr>
          <w:rFonts w:cstheme="minorHAnsi"/>
          <w:color w:val="000000"/>
          <w:sz w:val="24"/>
          <w:szCs w:val="24"/>
          <w:lang w:val="el-GR"/>
        </w:rPr>
        <w:t>στ</w:t>
      </w:r>
      <w:r w:rsidR="00071F64">
        <w:rPr>
          <w:rFonts w:cstheme="minorHAnsi"/>
          <w:color w:val="000000"/>
          <w:sz w:val="24"/>
          <w:szCs w:val="24"/>
          <w:lang w:val="el-GR"/>
        </w:rPr>
        <w:t>ε</w:t>
      </w:r>
      <w:r w:rsidR="00BB06D0">
        <w:rPr>
          <w:rFonts w:cstheme="minorHAnsi"/>
          <w:color w:val="000000"/>
          <w:sz w:val="24"/>
          <w:szCs w:val="24"/>
          <w:lang w:val="el-GR"/>
        </w:rPr>
        <w:t>ς</w:t>
      </w:r>
      <w:proofErr w:type="spellEnd"/>
      <w:r w:rsidR="00BB06D0">
        <w:rPr>
          <w:rFonts w:cstheme="minorHAnsi"/>
          <w:color w:val="000000"/>
          <w:sz w:val="24"/>
          <w:szCs w:val="24"/>
          <w:lang w:val="el-GR"/>
        </w:rPr>
        <w:t xml:space="preserve"> και τρίτα μέρη</w:t>
      </w:r>
      <w:r w:rsidR="00A5147D" w:rsidRPr="00BB06D0">
        <w:rPr>
          <w:rFonts w:cstheme="minorHAnsi"/>
          <w:color w:val="000000"/>
          <w:sz w:val="24"/>
          <w:szCs w:val="24"/>
          <w:lang w:val="el-GR"/>
        </w:rPr>
        <w:t xml:space="preserve">, </w:t>
      </w:r>
      <w:r w:rsidR="00224297">
        <w:rPr>
          <w:rFonts w:cstheme="minorHAnsi"/>
          <w:color w:val="000000"/>
          <w:sz w:val="24"/>
          <w:szCs w:val="24"/>
          <w:lang w:val="el-GR"/>
        </w:rPr>
        <w:t xml:space="preserve">συμπεριλαμβάνοντας </w:t>
      </w:r>
      <w:r w:rsidR="00242679">
        <w:rPr>
          <w:rFonts w:cstheme="minorHAnsi"/>
          <w:color w:val="000000"/>
          <w:sz w:val="24"/>
          <w:szCs w:val="24"/>
          <w:lang w:val="el-GR"/>
        </w:rPr>
        <w:t xml:space="preserve">και </w:t>
      </w:r>
      <w:r w:rsidR="00224297">
        <w:rPr>
          <w:rFonts w:cstheme="minorHAnsi"/>
          <w:color w:val="000000"/>
          <w:sz w:val="24"/>
          <w:szCs w:val="24"/>
          <w:lang w:val="el-GR"/>
        </w:rPr>
        <w:t>τις</w:t>
      </w:r>
      <w:r w:rsidR="00BB06D0">
        <w:rPr>
          <w:rFonts w:cstheme="minorHAnsi"/>
          <w:color w:val="000000"/>
          <w:sz w:val="24"/>
          <w:szCs w:val="24"/>
          <w:lang w:val="el-GR"/>
        </w:rPr>
        <w:t xml:space="preserve"> </w:t>
      </w:r>
      <w:r w:rsidR="00224297">
        <w:rPr>
          <w:rFonts w:cstheme="minorHAnsi"/>
          <w:color w:val="000000"/>
          <w:sz w:val="24"/>
          <w:szCs w:val="24"/>
          <w:lang w:val="el-GR"/>
        </w:rPr>
        <w:t>ανεπίσημες επαφ</w:t>
      </w:r>
      <w:r w:rsidR="00242679">
        <w:rPr>
          <w:rFonts w:cstheme="minorHAnsi"/>
          <w:color w:val="000000"/>
          <w:sz w:val="24"/>
          <w:szCs w:val="24"/>
          <w:lang w:val="el-GR"/>
        </w:rPr>
        <w:t>ές</w:t>
      </w:r>
      <w:r w:rsidR="00A5147D" w:rsidRPr="00BB06D0">
        <w:rPr>
          <w:rFonts w:cstheme="minorHAnsi"/>
          <w:color w:val="000000"/>
          <w:sz w:val="24"/>
          <w:szCs w:val="24"/>
          <w:lang w:val="el-GR"/>
        </w:rPr>
        <w:t>.</w:t>
      </w:r>
    </w:p>
    <w:p w14:paraId="0566C4AB" w14:textId="77777777" w:rsidR="00A5147D" w:rsidRPr="00BB06D0" w:rsidRDefault="00A5147D" w:rsidP="00A5147D">
      <w:pPr>
        <w:tabs>
          <w:tab w:val="left" w:pos="709"/>
        </w:tabs>
        <w:rPr>
          <w:rFonts w:cstheme="minorHAnsi"/>
          <w:color w:val="000000"/>
          <w:sz w:val="24"/>
          <w:szCs w:val="24"/>
          <w:lang w:val="el-GR"/>
        </w:rPr>
      </w:pPr>
    </w:p>
    <w:p w14:paraId="529376F6" w14:textId="3779605B" w:rsidR="00A5147D" w:rsidRPr="00071F64" w:rsidRDefault="00BB06D0" w:rsidP="0020754C">
      <w:pPr>
        <w:numPr>
          <w:ilvl w:val="0"/>
          <w:numId w:val="1"/>
        </w:numPr>
        <w:tabs>
          <w:tab w:val="left" w:pos="709"/>
        </w:tabs>
        <w:ind w:left="0" w:firstLine="0"/>
        <w:rPr>
          <w:rFonts w:cstheme="minorHAnsi"/>
          <w:color w:val="000000"/>
          <w:sz w:val="24"/>
          <w:szCs w:val="24"/>
          <w:lang w:val="el-GR"/>
        </w:rPr>
      </w:pPr>
      <w:r>
        <w:rPr>
          <w:rFonts w:cstheme="minorHAnsi"/>
          <w:color w:val="000000"/>
          <w:sz w:val="24"/>
          <w:szCs w:val="24"/>
          <w:lang w:val="el-GR"/>
        </w:rPr>
        <w:t>Όσο</w:t>
      </w:r>
      <w:r w:rsidR="00744EEE">
        <w:rPr>
          <w:rFonts w:cstheme="minorHAnsi"/>
          <w:color w:val="000000"/>
          <w:sz w:val="24"/>
          <w:szCs w:val="24"/>
          <w:lang w:val="el-GR"/>
        </w:rPr>
        <w:t>ν αφορά</w:t>
      </w:r>
      <w:r w:rsidR="00071F64">
        <w:rPr>
          <w:rFonts w:cstheme="minorHAnsi"/>
          <w:color w:val="000000"/>
          <w:sz w:val="24"/>
          <w:szCs w:val="24"/>
          <w:lang w:val="el-GR"/>
        </w:rPr>
        <w:t xml:space="preserve"> </w:t>
      </w:r>
      <w:r w:rsidRPr="0020754C">
        <w:rPr>
          <w:rFonts w:cstheme="minorHAnsi"/>
          <w:color w:val="000000"/>
          <w:sz w:val="24"/>
          <w:szCs w:val="24"/>
          <w:lang w:val="el-GR"/>
        </w:rPr>
        <w:t>την επιβολή του νόμου</w:t>
      </w:r>
      <w:r w:rsidR="00A5147D" w:rsidRPr="0020754C">
        <w:rPr>
          <w:rFonts w:cstheme="minorHAnsi"/>
          <w:color w:val="000000"/>
          <w:sz w:val="24"/>
          <w:szCs w:val="24"/>
          <w:lang w:val="el-GR"/>
        </w:rPr>
        <w:t xml:space="preserve">, </w:t>
      </w:r>
      <w:r w:rsidRPr="0020754C">
        <w:rPr>
          <w:rFonts w:cstheme="minorHAnsi"/>
          <w:color w:val="000000"/>
          <w:sz w:val="24"/>
          <w:szCs w:val="24"/>
          <w:lang w:val="el-GR"/>
        </w:rPr>
        <w:t xml:space="preserve">η έκθεση </w:t>
      </w:r>
      <w:r w:rsidR="00744EEE" w:rsidRPr="00071F64">
        <w:rPr>
          <w:rFonts w:cstheme="minorHAnsi"/>
          <w:color w:val="000000"/>
          <w:sz w:val="24"/>
          <w:szCs w:val="24"/>
          <w:lang w:val="el-GR"/>
        </w:rPr>
        <w:t xml:space="preserve">επικεντρώνεται </w:t>
      </w:r>
      <w:r w:rsidRPr="00071F64">
        <w:rPr>
          <w:rFonts w:cstheme="minorHAnsi"/>
          <w:color w:val="000000"/>
          <w:sz w:val="24"/>
          <w:szCs w:val="24"/>
          <w:lang w:val="el-GR"/>
        </w:rPr>
        <w:t xml:space="preserve">στην </w:t>
      </w:r>
      <w:r w:rsidR="00071F64">
        <w:rPr>
          <w:rFonts w:cstheme="minorHAnsi"/>
          <w:color w:val="000000"/>
          <w:sz w:val="24"/>
          <w:szCs w:val="24"/>
          <w:lang w:val="el-GR"/>
        </w:rPr>
        <w:t>Αστυνομία</w:t>
      </w:r>
      <w:r w:rsidRPr="0020754C">
        <w:rPr>
          <w:rFonts w:cstheme="minorHAnsi"/>
          <w:color w:val="000000"/>
          <w:sz w:val="24"/>
          <w:szCs w:val="24"/>
          <w:lang w:val="el-GR"/>
        </w:rPr>
        <w:t xml:space="preserve">, όντας το μεγαλύτερο σώμα επιβολής </w:t>
      </w:r>
      <w:r w:rsidR="0018745A" w:rsidRPr="0020754C">
        <w:rPr>
          <w:rFonts w:cstheme="minorHAnsi"/>
          <w:color w:val="000000"/>
          <w:sz w:val="24"/>
          <w:szCs w:val="24"/>
          <w:lang w:val="el-GR"/>
        </w:rPr>
        <w:t xml:space="preserve">του </w:t>
      </w:r>
      <w:r w:rsidRPr="0020754C">
        <w:rPr>
          <w:rFonts w:cstheme="minorHAnsi"/>
          <w:color w:val="000000"/>
          <w:sz w:val="24"/>
          <w:szCs w:val="24"/>
          <w:lang w:val="el-GR"/>
        </w:rPr>
        <w:t>νόμου στην Κύπρο</w:t>
      </w:r>
      <w:r w:rsidR="00744EEE" w:rsidRPr="00071F64">
        <w:rPr>
          <w:rFonts w:cstheme="minorHAnsi"/>
          <w:color w:val="000000"/>
          <w:sz w:val="24"/>
          <w:szCs w:val="24"/>
          <w:lang w:val="el-GR"/>
        </w:rPr>
        <w:t>, το οποίο</w:t>
      </w:r>
      <w:r w:rsidRPr="00071F64">
        <w:rPr>
          <w:rFonts w:cstheme="minorHAnsi"/>
          <w:color w:val="000000"/>
          <w:sz w:val="24"/>
          <w:szCs w:val="24"/>
          <w:lang w:val="el-GR"/>
        </w:rPr>
        <w:t xml:space="preserve"> </w:t>
      </w:r>
      <w:r w:rsidR="00973266" w:rsidRPr="00071F64">
        <w:rPr>
          <w:rFonts w:cstheme="minorHAnsi"/>
          <w:color w:val="000000"/>
          <w:sz w:val="24"/>
          <w:szCs w:val="24"/>
          <w:lang w:val="el-GR"/>
        </w:rPr>
        <w:t>εκτελεί</w:t>
      </w:r>
      <w:r w:rsidRPr="00071F64">
        <w:rPr>
          <w:rFonts w:cstheme="minorHAnsi"/>
          <w:color w:val="000000"/>
          <w:sz w:val="24"/>
          <w:szCs w:val="24"/>
          <w:lang w:val="el-GR"/>
        </w:rPr>
        <w:t xml:space="preserve"> τις κύριες λειτουργίες επιβολής του νόμου</w:t>
      </w:r>
      <w:r w:rsidR="003D123D" w:rsidRPr="00071F64">
        <w:rPr>
          <w:rFonts w:cstheme="minorHAnsi"/>
          <w:color w:val="000000"/>
          <w:sz w:val="24"/>
          <w:szCs w:val="24"/>
          <w:lang w:val="el-GR"/>
        </w:rPr>
        <w:t>, όπως αυτές απορρέουν από</w:t>
      </w:r>
      <w:r w:rsidRPr="00071F64">
        <w:rPr>
          <w:rFonts w:cstheme="minorHAnsi"/>
          <w:color w:val="000000"/>
          <w:sz w:val="24"/>
          <w:szCs w:val="24"/>
          <w:lang w:val="el-GR"/>
        </w:rPr>
        <w:t xml:space="preserve"> την εθνική νομοθεσία</w:t>
      </w:r>
      <w:r w:rsidR="00A5147D" w:rsidRPr="00071F64">
        <w:rPr>
          <w:rFonts w:cstheme="minorHAnsi"/>
          <w:color w:val="000000"/>
          <w:sz w:val="24"/>
          <w:szCs w:val="24"/>
          <w:lang w:val="el-GR"/>
        </w:rPr>
        <w:t xml:space="preserve">. </w:t>
      </w:r>
      <w:r w:rsidRPr="00071F64">
        <w:rPr>
          <w:rFonts w:cstheme="minorHAnsi"/>
          <w:color w:val="000000"/>
          <w:sz w:val="24"/>
          <w:szCs w:val="24"/>
          <w:lang w:val="el-GR"/>
        </w:rPr>
        <w:t xml:space="preserve">Το επίπεδο εμπιστοσύνης στην </w:t>
      </w:r>
      <w:r w:rsidR="00973266" w:rsidRPr="00071F64">
        <w:rPr>
          <w:rFonts w:cstheme="minorHAnsi"/>
          <w:color w:val="000000"/>
          <w:sz w:val="24"/>
          <w:szCs w:val="24"/>
          <w:lang w:val="el-GR"/>
        </w:rPr>
        <w:t>Αστυνομία</w:t>
      </w:r>
      <w:r w:rsidRPr="00071F64">
        <w:rPr>
          <w:rFonts w:cstheme="minorHAnsi"/>
          <w:color w:val="000000"/>
          <w:sz w:val="24"/>
          <w:szCs w:val="24"/>
          <w:lang w:val="el-GR"/>
        </w:rPr>
        <w:t xml:space="preserve"> είναι πιο χαμηλό απ’</w:t>
      </w:r>
      <w:r w:rsidR="00973266">
        <w:rPr>
          <w:rFonts w:cstheme="minorHAnsi"/>
          <w:color w:val="000000"/>
          <w:sz w:val="24"/>
          <w:szCs w:val="24"/>
          <w:lang w:val="el-GR"/>
        </w:rPr>
        <w:t xml:space="preserve"> </w:t>
      </w:r>
      <w:r w:rsidRPr="00071F64">
        <w:rPr>
          <w:rFonts w:cstheme="minorHAnsi"/>
          <w:color w:val="000000"/>
          <w:sz w:val="24"/>
          <w:szCs w:val="24"/>
          <w:lang w:val="el-GR"/>
        </w:rPr>
        <w:t xml:space="preserve">αυτό </w:t>
      </w:r>
      <w:r w:rsidR="003D123D" w:rsidRPr="00071F64">
        <w:rPr>
          <w:rFonts w:cstheme="minorHAnsi"/>
          <w:color w:val="000000"/>
          <w:sz w:val="24"/>
          <w:szCs w:val="24"/>
          <w:lang w:val="el-GR"/>
        </w:rPr>
        <w:t xml:space="preserve">που </w:t>
      </w:r>
      <w:r w:rsidR="00071F64" w:rsidRPr="00071F64">
        <w:rPr>
          <w:rFonts w:cstheme="minorHAnsi"/>
          <w:color w:val="000000"/>
          <w:sz w:val="24"/>
          <w:szCs w:val="24"/>
          <w:lang w:val="el-GR"/>
        </w:rPr>
        <w:t>επιδεικνύεται</w:t>
      </w:r>
      <w:r w:rsidR="003D123D" w:rsidRPr="00071F64">
        <w:rPr>
          <w:rFonts w:cstheme="minorHAnsi"/>
          <w:color w:val="000000"/>
          <w:sz w:val="24"/>
          <w:szCs w:val="24"/>
          <w:lang w:val="el-GR"/>
        </w:rPr>
        <w:t xml:space="preserve"> σε</w:t>
      </w:r>
      <w:r w:rsidRPr="00071F64">
        <w:rPr>
          <w:rFonts w:cstheme="minorHAnsi"/>
          <w:color w:val="000000"/>
          <w:sz w:val="24"/>
          <w:szCs w:val="24"/>
          <w:lang w:val="el-GR"/>
        </w:rPr>
        <w:t xml:space="preserve"> πολλά άλλα μέλη της ΕΕ</w:t>
      </w:r>
      <w:r w:rsidR="00A5147D" w:rsidRPr="00071F64">
        <w:rPr>
          <w:rFonts w:cstheme="minorHAnsi"/>
          <w:color w:val="000000"/>
          <w:sz w:val="24"/>
          <w:szCs w:val="24"/>
          <w:lang w:val="el-GR"/>
        </w:rPr>
        <w:t xml:space="preserve">, </w:t>
      </w:r>
      <w:r w:rsidR="003D123D" w:rsidRPr="00071F64">
        <w:rPr>
          <w:rFonts w:cstheme="minorHAnsi"/>
          <w:color w:val="000000"/>
          <w:sz w:val="24"/>
          <w:szCs w:val="24"/>
          <w:lang w:val="el-GR"/>
        </w:rPr>
        <w:t xml:space="preserve">γεγονός </w:t>
      </w:r>
      <w:r w:rsidRPr="00071F64">
        <w:rPr>
          <w:rFonts w:cstheme="minorHAnsi"/>
          <w:color w:val="000000"/>
          <w:sz w:val="24"/>
          <w:szCs w:val="24"/>
          <w:lang w:val="el-GR"/>
        </w:rPr>
        <w:t>που απαιτεί ουσι</w:t>
      </w:r>
      <w:r w:rsidR="0018745A" w:rsidRPr="00071F64">
        <w:rPr>
          <w:rFonts w:cstheme="minorHAnsi"/>
          <w:color w:val="000000"/>
          <w:sz w:val="24"/>
          <w:szCs w:val="24"/>
          <w:lang w:val="el-GR"/>
        </w:rPr>
        <w:t>α</w:t>
      </w:r>
      <w:r w:rsidRPr="00071F64">
        <w:rPr>
          <w:rFonts w:cstheme="minorHAnsi"/>
          <w:color w:val="000000"/>
          <w:sz w:val="24"/>
          <w:szCs w:val="24"/>
          <w:lang w:val="el-GR"/>
        </w:rPr>
        <w:t>στικές βελτιώσεις</w:t>
      </w:r>
      <w:r w:rsidR="00A5147D" w:rsidRPr="00071F64">
        <w:rPr>
          <w:rFonts w:cstheme="minorHAnsi"/>
          <w:color w:val="000000"/>
          <w:sz w:val="24"/>
          <w:szCs w:val="24"/>
          <w:lang w:val="el-GR"/>
        </w:rPr>
        <w:t xml:space="preserve">. </w:t>
      </w:r>
      <w:r w:rsidRPr="00071F64">
        <w:rPr>
          <w:rFonts w:cstheme="minorHAnsi"/>
          <w:color w:val="000000"/>
          <w:sz w:val="24"/>
          <w:szCs w:val="24"/>
          <w:lang w:val="el-GR"/>
        </w:rPr>
        <w:t>Δεν υπάρχει</w:t>
      </w:r>
      <w:r w:rsidR="00F5334E" w:rsidRPr="00071F64">
        <w:rPr>
          <w:rFonts w:cstheme="minorHAnsi"/>
          <w:color w:val="000000"/>
          <w:sz w:val="24"/>
          <w:szCs w:val="24"/>
          <w:lang w:val="el-GR"/>
        </w:rPr>
        <w:t xml:space="preserve"> αξιολόγηση κινδύνου ακεραιότητας</w:t>
      </w:r>
      <w:r w:rsidR="00A5147D" w:rsidRPr="00071F64">
        <w:rPr>
          <w:rFonts w:cstheme="minorHAnsi"/>
          <w:sz w:val="24"/>
          <w:szCs w:val="24"/>
          <w:lang w:val="el-GR"/>
        </w:rPr>
        <w:t xml:space="preserve">, </w:t>
      </w:r>
      <w:r w:rsidR="00F5334E" w:rsidRPr="00071F64">
        <w:rPr>
          <w:rFonts w:cstheme="minorHAnsi"/>
          <w:sz w:val="24"/>
          <w:szCs w:val="24"/>
          <w:lang w:val="el-GR"/>
        </w:rPr>
        <w:t xml:space="preserve">ούτε </w:t>
      </w:r>
      <w:r w:rsidR="00813692" w:rsidRPr="00071F64">
        <w:rPr>
          <w:rFonts w:cstheme="minorHAnsi"/>
          <w:sz w:val="24"/>
          <w:szCs w:val="24"/>
          <w:lang w:val="el-GR"/>
        </w:rPr>
        <w:t xml:space="preserve">καταγραφή </w:t>
      </w:r>
      <w:r w:rsidR="00F5334E" w:rsidRPr="00071F64">
        <w:rPr>
          <w:rFonts w:cstheme="minorHAnsi"/>
          <w:sz w:val="24"/>
          <w:szCs w:val="24"/>
          <w:lang w:val="el-GR"/>
        </w:rPr>
        <w:t>δεδομένων</w:t>
      </w:r>
      <w:r w:rsidR="00A5147D" w:rsidRPr="00071F64">
        <w:rPr>
          <w:rFonts w:cstheme="minorHAnsi"/>
          <w:sz w:val="24"/>
          <w:szCs w:val="24"/>
          <w:lang w:val="el-GR"/>
        </w:rPr>
        <w:t xml:space="preserve"> </w:t>
      </w:r>
      <w:r w:rsidR="00F5334E" w:rsidRPr="00071F64">
        <w:rPr>
          <w:rFonts w:cstheme="minorHAnsi"/>
          <w:sz w:val="24"/>
          <w:szCs w:val="24"/>
          <w:lang w:val="el-GR"/>
        </w:rPr>
        <w:t>που θα βοηθούσε στον εντοπισμό τρωτών σημείων</w:t>
      </w:r>
      <w:r w:rsidR="00A5147D" w:rsidRPr="00071F64">
        <w:rPr>
          <w:rFonts w:cstheme="minorHAnsi"/>
          <w:sz w:val="24"/>
          <w:szCs w:val="24"/>
          <w:lang w:val="el-GR"/>
        </w:rPr>
        <w:t xml:space="preserve"> </w:t>
      </w:r>
      <w:r w:rsidR="00F5334E" w:rsidRPr="00071F64">
        <w:rPr>
          <w:rFonts w:cstheme="minorHAnsi"/>
          <w:sz w:val="24"/>
          <w:szCs w:val="24"/>
          <w:lang w:val="el-GR"/>
        </w:rPr>
        <w:t xml:space="preserve">εντός της </w:t>
      </w:r>
      <w:r w:rsidR="00813692" w:rsidRPr="00071F64">
        <w:rPr>
          <w:rFonts w:cstheme="minorHAnsi"/>
          <w:sz w:val="24"/>
          <w:szCs w:val="24"/>
          <w:lang w:val="el-GR"/>
        </w:rPr>
        <w:t>Δ</w:t>
      </w:r>
      <w:r w:rsidR="00F5334E" w:rsidRPr="00071F64">
        <w:rPr>
          <w:rFonts w:cstheme="minorHAnsi"/>
          <w:sz w:val="24"/>
          <w:szCs w:val="24"/>
          <w:lang w:val="el-GR"/>
        </w:rPr>
        <w:t>ύναμης</w:t>
      </w:r>
      <w:r w:rsidR="00A5147D" w:rsidRPr="00071F64">
        <w:rPr>
          <w:rFonts w:cstheme="minorHAnsi"/>
          <w:sz w:val="24"/>
          <w:szCs w:val="24"/>
          <w:lang w:val="el-GR"/>
        </w:rPr>
        <w:t xml:space="preserve"> </w:t>
      </w:r>
      <w:r w:rsidR="00F5334E" w:rsidRPr="00071F64">
        <w:rPr>
          <w:rFonts w:cstheme="minorHAnsi"/>
          <w:sz w:val="24"/>
          <w:szCs w:val="24"/>
          <w:lang w:val="el-GR"/>
        </w:rPr>
        <w:t xml:space="preserve">ούτως ώστε αυτά να μπορούν να </w:t>
      </w:r>
      <w:r w:rsidR="00813692" w:rsidRPr="00071F64">
        <w:rPr>
          <w:rFonts w:cstheme="minorHAnsi"/>
          <w:sz w:val="24"/>
          <w:szCs w:val="24"/>
          <w:lang w:val="el-GR"/>
        </w:rPr>
        <w:t>τύχουν διαχείρισης</w:t>
      </w:r>
      <w:r w:rsidR="00F5334E" w:rsidRPr="00071F64">
        <w:rPr>
          <w:rFonts w:cstheme="minorHAnsi"/>
          <w:sz w:val="24"/>
          <w:szCs w:val="24"/>
          <w:lang w:val="el-GR"/>
        </w:rPr>
        <w:t xml:space="preserve"> ή να μετριασθούν</w:t>
      </w:r>
      <w:r w:rsidR="00A5147D" w:rsidRPr="00071F64">
        <w:rPr>
          <w:rFonts w:cstheme="minorHAnsi"/>
          <w:sz w:val="24"/>
          <w:szCs w:val="24"/>
          <w:lang w:val="el-GR"/>
        </w:rPr>
        <w:t xml:space="preserve">. </w:t>
      </w:r>
      <w:r w:rsidR="00F5334E" w:rsidRPr="00071F64">
        <w:rPr>
          <w:rFonts w:cstheme="minorHAnsi"/>
          <w:sz w:val="24"/>
          <w:szCs w:val="24"/>
          <w:lang w:val="el-GR"/>
        </w:rPr>
        <w:t>Περισσότερα μπορούν να γίνουν για ενίσχυση των διαδικασιών αξιολόγησης</w:t>
      </w:r>
      <w:r w:rsidR="00A5147D" w:rsidRPr="00071F64">
        <w:rPr>
          <w:rFonts w:cstheme="minorHAnsi"/>
          <w:sz w:val="24"/>
          <w:szCs w:val="24"/>
          <w:lang w:val="el-GR"/>
        </w:rPr>
        <w:t xml:space="preserve">, </w:t>
      </w:r>
      <w:r w:rsidR="00F5334E" w:rsidRPr="00071F64">
        <w:rPr>
          <w:rFonts w:cstheme="minorHAnsi"/>
          <w:sz w:val="24"/>
          <w:szCs w:val="24"/>
          <w:lang w:val="el-GR"/>
        </w:rPr>
        <w:t>τόσο κατά την πρόσληψη</w:t>
      </w:r>
      <w:r w:rsidR="00813692" w:rsidRPr="00071F64">
        <w:rPr>
          <w:rFonts w:cstheme="minorHAnsi"/>
          <w:sz w:val="24"/>
          <w:szCs w:val="24"/>
          <w:lang w:val="el-GR"/>
        </w:rPr>
        <w:t>,</w:t>
      </w:r>
      <w:r w:rsidR="00F5334E" w:rsidRPr="00071F64">
        <w:rPr>
          <w:rFonts w:cstheme="minorHAnsi"/>
          <w:sz w:val="24"/>
          <w:szCs w:val="24"/>
          <w:lang w:val="el-GR"/>
        </w:rPr>
        <w:t xml:space="preserve"> όσο και σε τακτά </w:t>
      </w:r>
      <w:r w:rsidR="0018745A" w:rsidRPr="00071F64">
        <w:rPr>
          <w:rFonts w:cstheme="minorHAnsi"/>
          <w:sz w:val="24"/>
          <w:szCs w:val="24"/>
          <w:lang w:val="el-GR"/>
        </w:rPr>
        <w:t xml:space="preserve">χρονικά </w:t>
      </w:r>
      <w:r w:rsidR="00F5334E" w:rsidRPr="00071F64">
        <w:rPr>
          <w:rFonts w:cstheme="minorHAnsi"/>
          <w:sz w:val="24"/>
          <w:szCs w:val="24"/>
          <w:lang w:val="el-GR"/>
        </w:rPr>
        <w:t>διαστήματα</w:t>
      </w:r>
      <w:r w:rsidR="00A5147D" w:rsidRPr="00071F64">
        <w:rPr>
          <w:rFonts w:cstheme="minorHAnsi"/>
          <w:sz w:val="24"/>
          <w:szCs w:val="24"/>
          <w:lang w:val="el-GR"/>
        </w:rPr>
        <w:t xml:space="preserve"> </w:t>
      </w:r>
      <w:r w:rsidR="00F5334E" w:rsidRPr="00071F64">
        <w:rPr>
          <w:rFonts w:cstheme="minorHAnsi"/>
          <w:sz w:val="24"/>
          <w:szCs w:val="24"/>
          <w:lang w:val="el-GR"/>
        </w:rPr>
        <w:t>κατά την διάρκεια της σταδιοδρομίας των αστυνομικών</w:t>
      </w:r>
      <w:r w:rsidR="00A5147D" w:rsidRPr="00071F64">
        <w:rPr>
          <w:rFonts w:cstheme="minorHAnsi"/>
          <w:sz w:val="24"/>
          <w:szCs w:val="24"/>
          <w:lang w:val="el-GR"/>
        </w:rPr>
        <w:t xml:space="preserve">. </w:t>
      </w:r>
      <w:r w:rsidR="00F5334E" w:rsidRPr="00071F64">
        <w:rPr>
          <w:rFonts w:cstheme="minorHAnsi"/>
          <w:sz w:val="24"/>
          <w:szCs w:val="24"/>
          <w:lang w:val="el-GR"/>
        </w:rPr>
        <w:t>Παρομοίως</w:t>
      </w:r>
      <w:r w:rsidR="00A5147D" w:rsidRPr="00071F64">
        <w:rPr>
          <w:rFonts w:cstheme="minorHAnsi"/>
          <w:sz w:val="24"/>
          <w:szCs w:val="24"/>
          <w:lang w:val="el-GR"/>
        </w:rPr>
        <w:t xml:space="preserve">, </w:t>
      </w:r>
      <w:r w:rsidR="00F5334E" w:rsidRPr="00071F64">
        <w:rPr>
          <w:rFonts w:cstheme="minorHAnsi"/>
          <w:sz w:val="24"/>
          <w:szCs w:val="24"/>
          <w:lang w:val="el-GR"/>
        </w:rPr>
        <w:t>μπορ</w:t>
      </w:r>
      <w:r w:rsidR="0018745A" w:rsidRPr="00071F64">
        <w:rPr>
          <w:rFonts w:cstheme="minorHAnsi"/>
          <w:sz w:val="24"/>
          <w:szCs w:val="24"/>
          <w:lang w:val="el-GR"/>
        </w:rPr>
        <w:t>ούν</w:t>
      </w:r>
      <w:r w:rsidR="00F5334E" w:rsidRPr="00071F64">
        <w:rPr>
          <w:rFonts w:cstheme="minorHAnsi"/>
          <w:sz w:val="24"/>
          <w:szCs w:val="24"/>
          <w:lang w:val="el-GR"/>
        </w:rPr>
        <w:t xml:space="preserve"> να ακολουθ</w:t>
      </w:r>
      <w:r w:rsidR="0018745A" w:rsidRPr="00071F64">
        <w:rPr>
          <w:rFonts w:cstheme="minorHAnsi"/>
          <w:sz w:val="24"/>
          <w:szCs w:val="24"/>
          <w:lang w:val="el-GR"/>
        </w:rPr>
        <w:t>ηθού</w:t>
      </w:r>
      <w:r w:rsidR="00F5334E" w:rsidRPr="00071F64">
        <w:rPr>
          <w:rFonts w:cstheme="minorHAnsi"/>
          <w:sz w:val="24"/>
          <w:szCs w:val="24"/>
          <w:lang w:val="el-GR"/>
        </w:rPr>
        <w:t>ν επιπρόσθετες ενέργειες</w:t>
      </w:r>
      <w:r w:rsidR="00A5147D" w:rsidRPr="00071F64">
        <w:rPr>
          <w:rFonts w:cstheme="minorHAnsi"/>
          <w:color w:val="000000"/>
          <w:sz w:val="24"/>
          <w:szCs w:val="24"/>
          <w:lang w:val="el-GR"/>
        </w:rPr>
        <w:t xml:space="preserve"> </w:t>
      </w:r>
      <w:r w:rsidR="00F5334E" w:rsidRPr="00071F64">
        <w:rPr>
          <w:rFonts w:cstheme="minorHAnsi"/>
          <w:color w:val="000000"/>
          <w:sz w:val="24"/>
          <w:szCs w:val="24"/>
          <w:lang w:val="el-GR"/>
        </w:rPr>
        <w:t>για την παροχή πρακτικής εκπαίδευσης για την  ακεραιότητα</w:t>
      </w:r>
      <w:r w:rsidR="00A5147D" w:rsidRPr="00071F64">
        <w:rPr>
          <w:rFonts w:cstheme="minorHAnsi"/>
          <w:color w:val="000000"/>
          <w:sz w:val="24"/>
          <w:szCs w:val="24"/>
          <w:lang w:val="el-GR"/>
        </w:rPr>
        <w:t xml:space="preserve">, </w:t>
      </w:r>
      <w:r w:rsidR="00F5334E" w:rsidRPr="00071F64">
        <w:rPr>
          <w:rFonts w:cstheme="minorHAnsi"/>
          <w:color w:val="000000"/>
          <w:sz w:val="24"/>
          <w:szCs w:val="24"/>
          <w:lang w:val="el-GR"/>
        </w:rPr>
        <w:t>όχι μόνο σε επίπεδο εισόδου</w:t>
      </w:r>
      <w:r w:rsidR="00A5147D" w:rsidRPr="00071F64">
        <w:rPr>
          <w:rFonts w:cstheme="minorHAnsi"/>
          <w:color w:val="000000"/>
          <w:sz w:val="24"/>
          <w:szCs w:val="24"/>
          <w:lang w:val="el-GR"/>
        </w:rPr>
        <w:t xml:space="preserve">, </w:t>
      </w:r>
      <w:r w:rsidR="00F5334E" w:rsidRPr="00071F64">
        <w:rPr>
          <w:rFonts w:cstheme="minorHAnsi"/>
          <w:color w:val="000000"/>
          <w:sz w:val="24"/>
          <w:szCs w:val="24"/>
          <w:lang w:val="el-GR"/>
        </w:rPr>
        <w:t>αλλά επίσης</w:t>
      </w:r>
      <w:r w:rsidR="00A5147D" w:rsidRPr="00071F64">
        <w:rPr>
          <w:rFonts w:cstheme="minorHAnsi"/>
          <w:color w:val="000000"/>
          <w:sz w:val="24"/>
          <w:szCs w:val="24"/>
          <w:lang w:val="el-GR"/>
        </w:rPr>
        <w:t xml:space="preserve">, </w:t>
      </w:r>
      <w:r w:rsidR="00F5334E" w:rsidRPr="00071F64">
        <w:rPr>
          <w:rFonts w:cstheme="minorHAnsi"/>
          <w:color w:val="000000"/>
          <w:sz w:val="24"/>
          <w:szCs w:val="24"/>
          <w:lang w:val="el-GR"/>
        </w:rPr>
        <w:t>και ειδικότερα</w:t>
      </w:r>
      <w:r w:rsidR="00A5147D" w:rsidRPr="00071F64">
        <w:rPr>
          <w:rFonts w:cstheme="minorHAnsi"/>
          <w:color w:val="000000"/>
          <w:sz w:val="24"/>
          <w:szCs w:val="24"/>
          <w:lang w:val="el-GR"/>
        </w:rPr>
        <w:t xml:space="preserve">, </w:t>
      </w:r>
      <w:r w:rsidR="00F5334E" w:rsidRPr="00071F64">
        <w:rPr>
          <w:rFonts w:cstheme="minorHAnsi"/>
          <w:color w:val="000000"/>
          <w:sz w:val="24"/>
          <w:szCs w:val="24"/>
          <w:lang w:val="el-GR"/>
        </w:rPr>
        <w:t>σε ανωτέρους αξιωματ</w:t>
      </w:r>
      <w:r w:rsidR="00813692" w:rsidRPr="00071F64">
        <w:rPr>
          <w:rFonts w:cstheme="minorHAnsi"/>
          <w:color w:val="000000"/>
          <w:sz w:val="24"/>
          <w:szCs w:val="24"/>
          <w:lang w:val="el-GR"/>
        </w:rPr>
        <w:t>ικούς</w:t>
      </w:r>
      <w:r w:rsidR="00A5147D" w:rsidRPr="00071F64">
        <w:rPr>
          <w:rFonts w:cstheme="minorHAnsi"/>
          <w:color w:val="000000"/>
          <w:sz w:val="24"/>
          <w:szCs w:val="24"/>
          <w:lang w:val="el-GR"/>
        </w:rPr>
        <w:t xml:space="preserve"> </w:t>
      </w:r>
      <w:r w:rsidR="00F5334E" w:rsidRPr="00071F64">
        <w:rPr>
          <w:rFonts w:cstheme="minorHAnsi"/>
          <w:color w:val="000000"/>
          <w:sz w:val="24"/>
          <w:szCs w:val="24"/>
          <w:lang w:val="el-GR"/>
        </w:rPr>
        <w:t xml:space="preserve">σε τακτά </w:t>
      </w:r>
      <w:r w:rsidR="0018745A" w:rsidRPr="00071F64">
        <w:rPr>
          <w:rFonts w:cstheme="minorHAnsi"/>
          <w:color w:val="000000"/>
          <w:sz w:val="24"/>
          <w:szCs w:val="24"/>
          <w:lang w:val="el-GR"/>
        </w:rPr>
        <w:t xml:space="preserve">χρονικά </w:t>
      </w:r>
      <w:r w:rsidR="00F5334E" w:rsidRPr="00071F64">
        <w:rPr>
          <w:rFonts w:cstheme="minorHAnsi"/>
          <w:color w:val="000000"/>
          <w:sz w:val="24"/>
          <w:szCs w:val="24"/>
          <w:lang w:val="el-GR"/>
        </w:rPr>
        <w:t>διαστήματα</w:t>
      </w:r>
      <w:r w:rsidR="00A5147D" w:rsidRPr="00071F64">
        <w:rPr>
          <w:rFonts w:cstheme="minorHAnsi"/>
          <w:color w:val="000000"/>
          <w:sz w:val="24"/>
          <w:szCs w:val="24"/>
          <w:lang w:val="el-GR"/>
        </w:rPr>
        <w:t xml:space="preserve">, </w:t>
      </w:r>
      <w:r w:rsidR="00F5334E" w:rsidRPr="00071F64">
        <w:rPr>
          <w:rFonts w:cstheme="minorHAnsi"/>
          <w:color w:val="000000"/>
          <w:sz w:val="24"/>
          <w:szCs w:val="24"/>
          <w:lang w:val="el-GR"/>
        </w:rPr>
        <w:t>καθώς επίσης σε ευάλω</w:t>
      </w:r>
      <w:r w:rsidR="00D554B6" w:rsidRPr="00071F64">
        <w:rPr>
          <w:rFonts w:cstheme="minorHAnsi"/>
          <w:color w:val="000000"/>
          <w:sz w:val="24"/>
          <w:szCs w:val="24"/>
          <w:lang w:val="el-GR"/>
        </w:rPr>
        <w:t>τους τομείς</w:t>
      </w:r>
      <w:r w:rsidR="00A5147D" w:rsidRPr="00071F64">
        <w:rPr>
          <w:rFonts w:cstheme="minorHAnsi"/>
          <w:color w:val="000000"/>
          <w:sz w:val="24"/>
          <w:szCs w:val="24"/>
          <w:lang w:val="el-GR"/>
        </w:rPr>
        <w:t xml:space="preserve">. </w:t>
      </w:r>
      <w:r w:rsidR="00D554B6" w:rsidRPr="00071F64">
        <w:rPr>
          <w:rFonts w:cstheme="minorHAnsi"/>
          <w:color w:val="000000"/>
          <w:sz w:val="24"/>
          <w:szCs w:val="24"/>
          <w:lang w:val="el-GR"/>
        </w:rPr>
        <w:t>Επιπλέον</w:t>
      </w:r>
      <w:r w:rsidR="00A5147D" w:rsidRPr="00071F64">
        <w:rPr>
          <w:rFonts w:cstheme="minorHAnsi"/>
          <w:color w:val="000000"/>
          <w:sz w:val="24"/>
          <w:szCs w:val="24"/>
          <w:lang w:val="el-GR"/>
        </w:rPr>
        <w:t xml:space="preserve">, </w:t>
      </w:r>
      <w:r w:rsidR="00D554B6" w:rsidRPr="00071F64">
        <w:rPr>
          <w:rFonts w:cstheme="minorHAnsi"/>
          <w:color w:val="000000"/>
          <w:sz w:val="24"/>
          <w:szCs w:val="24"/>
          <w:lang w:val="el-GR"/>
        </w:rPr>
        <w:t>ο διαθέσιμος μηχανισμός</w:t>
      </w:r>
      <w:r w:rsidR="00A5147D" w:rsidRPr="00071F64">
        <w:rPr>
          <w:rFonts w:cstheme="minorHAnsi"/>
          <w:color w:val="000000"/>
          <w:sz w:val="24"/>
          <w:szCs w:val="24"/>
          <w:lang w:val="el-GR"/>
        </w:rPr>
        <w:t xml:space="preserve"> </w:t>
      </w:r>
      <w:r w:rsidR="00D554B6" w:rsidRPr="00071F64">
        <w:rPr>
          <w:rFonts w:cstheme="minorHAnsi"/>
          <w:color w:val="000000"/>
          <w:sz w:val="24"/>
          <w:szCs w:val="24"/>
          <w:lang w:val="el-GR"/>
        </w:rPr>
        <w:t>για την παροχή εμπιστευτικής συμβουλής</w:t>
      </w:r>
      <w:r w:rsidR="00A5147D" w:rsidRPr="00071F64">
        <w:rPr>
          <w:rFonts w:cstheme="minorHAnsi"/>
          <w:color w:val="000000"/>
          <w:sz w:val="24"/>
          <w:szCs w:val="24"/>
          <w:lang w:val="el-GR"/>
        </w:rPr>
        <w:t xml:space="preserve"> </w:t>
      </w:r>
      <w:r w:rsidR="00D554B6" w:rsidRPr="00071F64">
        <w:rPr>
          <w:rFonts w:cstheme="minorHAnsi"/>
          <w:color w:val="000000"/>
          <w:sz w:val="24"/>
          <w:szCs w:val="24"/>
          <w:lang w:val="el-GR"/>
        </w:rPr>
        <w:t>σε αστυνομικούς</w:t>
      </w:r>
      <w:r w:rsidR="00A5147D" w:rsidRPr="00071F64">
        <w:rPr>
          <w:rFonts w:cstheme="minorHAnsi"/>
          <w:color w:val="000000"/>
          <w:sz w:val="24"/>
          <w:szCs w:val="24"/>
          <w:lang w:val="el-GR"/>
        </w:rPr>
        <w:t xml:space="preserve"> </w:t>
      </w:r>
      <w:r w:rsidR="00D554B6" w:rsidRPr="00071F64">
        <w:rPr>
          <w:rFonts w:cstheme="minorHAnsi"/>
          <w:color w:val="000000"/>
          <w:sz w:val="24"/>
          <w:szCs w:val="24"/>
          <w:lang w:val="el-GR"/>
        </w:rPr>
        <w:t>πάνω σε θέματα ηθικής και ακεραιότητας</w:t>
      </w:r>
      <w:r w:rsidR="00A5147D" w:rsidRPr="00071F64">
        <w:rPr>
          <w:rFonts w:cstheme="minorHAnsi"/>
          <w:color w:val="000000"/>
          <w:sz w:val="24"/>
          <w:szCs w:val="24"/>
          <w:lang w:val="el-GR"/>
        </w:rPr>
        <w:t xml:space="preserve"> </w:t>
      </w:r>
      <w:r w:rsidR="00D554B6" w:rsidRPr="00071F64">
        <w:rPr>
          <w:rFonts w:cstheme="minorHAnsi"/>
          <w:color w:val="000000"/>
          <w:sz w:val="24"/>
          <w:szCs w:val="24"/>
          <w:lang w:val="el-GR"/>
        </w:rPr>
        <w:t>πρέπει να ενισχυθεί</w:t>
      </w:r>
      <w:r w:rsidR="00A5147D" w:rsidRPr="00071F64">
        <w:rPr>
          <w:rFonts w:cstheme="minorHAnsi"/>
          <w:color w:val="000000"/>
          <w:sz w:val="24"/>
          <w:szCs w:val="24"/>
          <w:lang w:val="el-GR"/>
        </w:rPr>
        <w:t>.</w:t>
      </w:r>
    </w:p>
    <w:p w14:paraId="7E47A6F6" w14:textId="77777777" w:rsidR="00A5147D" w:rsidRPr="00D554B6" w:rsidRDefault="00A5147D" w:rsidP="00A5147D">
      <w:pPr>
        <w:tabs>
          <w:tab w:val="left" w:pos="709"/>
        </w:tabs>
        <w:rPr>
          <w:rFonts w:cstheme="minorHAnsi"/>
          <w:color w:val="000000"/>
          <w:sz w:val="24"/>
          <w:szCs w:val="24"/>
          <w:lang w:val="el-GR"/>
        </w:rPr>
      </w:pPr>
    </w:p>
    <w:p w14:paraId="1DDD2547" w14:textId="3B0ACB8B" w:rsidR="00A5147D" w:rsidRPr="00500D23" w:rsidRDefault="00D554B6" w:rsidP="00A5147D">
      <w:pPr>
        <w:numPr>
          <w:ilvl w:val="0"/>
          <w:numId w:val="1"/>
        </w:numPr>
        <w:tabs>
          <w:tab w:val="left" w:pos="709"/>
        </w:tabs>
        <w:ind w:left="0" w:firstLine="0"/>
        <w:rPr>
          <w:rFonts w:cstheme="minorHAnsi"/>
          <w:color w:val="000000"/>
          <w:sz w:val="24"/>
          <w:szCs w:val="24"/>
          <w:lang w:val="el-GR"/>
        </w:rPr>
      </w:pPr>
      <w:proofErr w:type="spellStart"/>
      <w:r>
        <w:rPr>
          <w:rFonts w:cstheme="minorHAnsi"/>
          <w:color w:val="000000"/>
          <w:sz w:val="24"/>
          <w:szCs w:val="24"/>
          <w:lang w:val="el-GR"/>
        </w:rPr>
        <w:t>Στοχευμένα</w:t>
      </w:r>
      <w:proofErr w:type="spellEnd"/>
      <w:r w:rsidRPr="00D554B6">
        <w:rPr>
          <w:rFonts w:cstheme="minorHAnsi"/>
          <w:color w:val="000000"/>
          <w:sz w:val="24"/>
          <w:szCs w:val="24"/>
          <w:lang w:val="el-GR"/>
        </w:rPr>
        <w:t xml:space="preserve"> </w:t>
      </w:r>
      <w:r>
        <w:rPr>
          <w:rFonts w:cstheme="minorHAnsi"/>
          <w:color w:val="000000"/>
          <w:sz w:val="24"/>
          <w:szCs w:val="24"/>
          <w:lang w:val="el-GR"/>
        </w:rPr>
        <w:t>μέτρα</w:t>
      </w:r>
      <w:r w:rsidRPr="00D554B6">
        <w:rPr>
          <w:rFonts w:cstheme="minorHAnsi"/>
          <w:color w:val="000000"/>
          <w:sz w:val="24"/>
          <w:szCs w:val="24"/>
          <w:lang w:val="el-GR"/>
        </w:rPr>
        <w:t xml:space="preserve"> </w:t>
      </w:r>
      <w:r>
        <w:rPr>
          <w:rFonts w:cstheme="minorHAnsi"/>
          <w:color w:val="000000"/>
          <w:sz w:val="24"/>
          <w:szCs w:val="24"/>
          <w:lang w:val="el-GR"/>
        </w:rPr>
        <w:t>πρέπει</w:t>
      </w:r>
      <w:r w:rsidRPr="00D554B6">
        <w:rPr>
          <w:rFonts w:cstheme="minorHAnsi"/>
          <w:color w:val="000000"/>
          <w:sz w:val="24"/>
          <w:szCs w:val="24"/>
          <w:lang w:val="el-GR"/>
        </w:rPr>
        <w:t xml:space="preserve"> </w:t>
      </w:r>
      <w:r>
        <w:rPr>
          <w:rFonts w:cstheme="minorHAnsi"/>
          <w:color w:val="000000"/>
          <w:sz w:val="24"/>
          <w:szCs w:val="24"/>
          <w:lang w:val="el-GR"/>
        </w:rPr>
        <w:t>να</w:t>
      </w:r>
      <w:r w:rsidRPr="00D554B6">
        <w:rPr>
          <w:rFonts w:cstheme="minorHAnsi"/>
          <w:color w:val="000000"/>
          <w:sz w:val="24"/>
          <w:szCs w:val="24"/>
          <w:lang w:val="el-GR"/>
        </w:rPr>
        <w:t xml:space="preserve"> </w:t>
      </w:r>
      <w:r>
        <w:rPr>
          <w:rFonts w:cstheme="minorHAnsi"/>
          <w:color w:val="000000"/>
          <w:sz w:val="24"/>
          <w:szCs w:val="24"/>
          <w:lang w:val="el-GR"/>
        </w:rPr>
        <w:t>εισαχθούν</w:t>
      </w:r>
      <w:r w:rsidRPr="00D554B6">
        <w:rPr>
          <w:rFonts w:cstheme="minorHAnsi"/>
          <w:color w:val="000000"/>
          <w:sz w:val="24"/>
          <w:szCs w:val="24"/>
          <w:lang w:val="el-GR"/>
        </w:rPr>
        <w:t xml:space="preserve"> </w:t>
      </w:r>
      <w:r>
        <w:rPr>
          <w:rFonts w:cstheme="minorHAnsi"/>
          <w:color w:val="000000"/>
          <w:sz w:val="24"/>
          <w:szCs w:val="24"/>
          <w:lang w:val="el-GR"/>
        </w:rPr>
        <w:t>για</w:t>
      </w:r>
      <w:r w:rsidRPr="00D554B6">
        <w:rPr>
          <w:rFonts w:cstheme="minorHAnsi"/>
          <w:color w:val="000000"/>
          <w:sz w:val="24"/>
          <w:szCs w:val="24"/>
          <w:lang w:val="el-GR"/>
        </w:rPr>
        <w:t xml:space="preserve"> </w:t>
      </w:r>
      <w:r>
        <w:rPr>
          <w:rFonts w:cstheme="minorHAnsi"/>
          <w:color w:val="000000"/>
          <w:sz w:val="24"/>
          <w:szCs w:val="24"/>
          <w:lang w:val="el-GR"/>
        </w:rPr>
        <w:t>ενίσχυση</w:t>
      </w:r>
      <w:r w:rsidRPr="00D554B6">
        <w:rPr>
          <w:rFonts w:cstheme="minorHAnsi"/>
          <w:color w:val="000000"/>
          <w:sz w:val="24"/>
          <w:szCs w:val="24"/>
          <w:lang w:val="el-GR"/>
        </w:rPr>
        <w:t xml:space="preserve"> </w:t>
      </w:r>
      <w:r>
        <w:rPr>
          <w:rFonts w:cstheme="minorHAnsi"/>
          <w:color w:val="000000"/>
          <w:sz w:val="24"/>
          <w:szCs w:val="24"/>
          <w:lang w:val="el-GR"/>
        </w:rPr>
        <w:t>της</w:t>
      </w:r>
      <w:r w:rsidRPr="00D554B6">
        <w:rPr>
          <w:rFonts w:cstheme="minorHAnsi"/>
          <w:color w:val="000000"/>
          <w:sz w:val="24"/>
          <w:szCs w:val="24"/>
          <w:lang w:val="el-GR"/>
        </w:rPr>
        <w:t xml:space="preserve"> </w:t>
      </w:r>
      <w:r>
        <w:rPr>
          <w:rFonts w:cstheme="minorHAnsi"/>
          <w:color w:val="000000"/>
          <w:sz w:val="24"/>
          <w:szCs w:val="24"/>
          <w:lang w:val="el-GR"/>
        </w:rPr>
        <w:t>αντικειμενικότητας</w:t>
      </w:r>
      <w:r w:rsidR="00A5147D" w:rsidRPr="00D554B6">
        <w:rPr>
          <w:rFonts w:cstheme="minorHAnsi"/>
          <w:color w:val="000000"/>
          <w:sz w:val="24"/>
          <w:szCs w:val="24"/>
          <w:lang w:val="el-GR"/>
        </w:rPr>
        <w:t xml:space="preserve"> (</w:t>
      </w:r>
      <w:r>
        <w:rPr>
          <w:rFonts w:cstheme="minorHAnsi"/>
          <w:color w:val="000000"/>
          <w:sz w:val="24"/>
          <w:szCs w:val="24"/>
          <w:lang w:val="el-GR"/>
        </w:rPr>
        <w:t>μέσω</w:t>
      </w:r>
      <w:r w:rsidRPr="00D554B6">
        <w:rPr>
          <w:rFonts w:cstheme="minorHAnsi"/>
          <w:color w:val="000000"/>
          <w:sz w:val="24"/>
          <w:szCs w:val="24"/>
          <w:lang w:val="el-GR"/>
        </w:rPr>
        <w:t xml:space="preserve"> </w:t>
      </w:r>
      <w:r>
        <w:rPr>
          <w:rFonts w:cstheme="minorHAnsi"/>
          <w:color w:val="000000"/>
          <w:sz w:val="24"/>
          <w:szCs w:val="24"/>
          <w:lang w:val="el-GR"/>
        </w:rPr>
        <w:t>μετρήσιμων</w:t>
      </w:r>
      <w:r w:rsidRPr="00D554B6">
        <w:rPr>
          <w:rFonts w:cstheme="minorHAnsi"/>
          <w:color w:val="000000"/>
          <w:sz w:val="24"/>
          <w:szCs w:val="24"/>
          <w:lang w:val="el-GR"/>
        </w:rPr>
        <w:t xml:space="preserve"> </w:t>
      </w:r>
      <w:r>
        <w:rPr>
          <w:rFonts w:cstheme="minorHAnsi"/>
          <w:color w:val="000000"/>
          <w:sz w:val="24"/>
          <w:szCs w:val="24"/>
          <w:lang w:val="el-GR"/>
        </w:rPr>
        <w:t>κριτηρίων</w:t>
      </w:r>
      <w:r w:rsidR="00A5147D" w:rsidRPr="00D554B6">
        <w:rPr>
          <w:rFonts w:cstheme="minorHAnsi"/>
          <w:color w:val="000000"/>
          <w:sz w:val="24"/>
          <w:szCs w:val="24"/>
          <w:lang w:val="el-GR"/>
        </w:rPr>
        <w:t xml:space="preserve">) </w:t>
      </w:r>
      <w:r>
        <w:rPr>
          <w:rFonts w:cstheme="minorHAnsi"/>
          <w:color w:val="000000"/>
          <w:sz w:val="24"/>
          <w:szCs w:val="24"/>
          <w:lang w:val="el-GR"/>
        </w:rPr>
        <w:t>και της διαφάνειας των αποφάσεων</w:t>
      </w:r>
      <w:r w:rsidR="00A5147D" w:rsidRPr="00D554B6">
        <w:rPr>
          <w:rFonts w:cstheme="minorHAnsi"/>
          <w:color w:val="000000"/>
          <w:sz w:val="24"/>
          <w:szCs w:val="24"/>
          <w:lang w:val="el-GR"/>
        </w:rPr>
        <w:t xml:space="preserve"> </w:t>
      </w:r>
      <w:r>
        <w:rPr>
          <w:rFonts w:cstheme="minorHAnsi"/>
          <w:color w:val="000000"/>
          <w:sz w:val="24"/>
          <w:szCs w:val="24"/>
          <w:lang w:val="el-GR"/>
        </w:rPr>
        <w:t>αναφορικά με την επιλογή των αξιωματικών για πιο ψηλές βαθμίδες</w:t>
      </w:r>
      <w:r w:rsidR="00A5147D" w:rsidRPr="00D554B6">
        <w:rPr>
          <w:rFonts w:cstheme="minorHAnsi"/>
          <w:color w:val="000000"/>
          <w:sz w:val="24"/>
          <w:szCs w:val="24"/>
          <w:lang w:val="el-GR"/>
        </w:rPr>
        <w:t xml:space="preserve">, </w:t>
      </w:r>
      <w:r>
        <w:rPr>
          <w:rFonts w:cstheme="minorHAnsi"/>
          <w:color w:val="000000"/>
          <w:sz w:val="24"/>
          <w:szCs w:val="24"/>
          <w:lang w:val="el-GR"/>
        </w:rPr>
        <w:t>προαγωγές</w:t>
      </w:r>
      <w:r w:rsidR="00A5147D" w:rsidRPr="00D554B6">
        <w:rPr>
          <w:rFonts w:cstheme="minorHAnsi"/>
          <w:color w:val="000000"/>
          <w:sz w:val="24"/>
          <w:szCs w:val="24"/>
          <w:lang w:val="el-GR"/>
        </w:rPr>
        <w:t xml:space="preserve">, </w:t>
      </w:r>
      <w:r>
        <w:rPr>
          <w:rFonts w:cstheme="minorHAnsi"/>
          <w:color w:val="000000"/>
          <w:sz w:val="24"/>
          <w:szCs w:val="24"/>
          <w:lang w:val="el-GR"/>
        </w:rPr>
        <w:t>και</w:t>
      </w:r>
      <w:r w:rsidR="00A5147D" w:rsidRPr="00D554B6">
        <w:rPr>
          <w:rFonts w:cstheme="minorHAnsi"/>
          <w:color w:val="000000"/>
          <w:sz w:val="24"/>
          <w:szCs w:val="24"/>
          <w:lang w:val="el-GR"/>
        </w:rPr>
        <w:t xml:space="preserve"> </w:t>
      </w:r>
      <w:r>
        <w:rPr>
          <w:rFonts w:cstheme="minorHAnsi"/>
          <w:color w:val="000000"/>
          <w:sz w:val="24"/>
          <w:szCs w:val="24"/>
          <w:lang w:val="el-GR"/>
        </w:rPr>
        <w:t>μεταθέσεις</w:t>
      </w:r>
      <w:r w:rsidR="00A5147D" w:rsidRPr="00D554B6">
        <w:rPr>
          <w:rFonts w:cstheme="minorHAnsi"/>
          <w:color w:val="000000"/>
          <w:sz w:val="24"/>
          <w:szCs w:val="24"/>
          <w:lang w:val="el-GR"/>
        </w:rPr>
        <w:t xml:space="preserve">. </w:t>
      </w:r>
      <w:r>
        <w:rPr>
          <w:rFonts w:cstheme="minorHAnsi"/>
          <w:color w:val="000000"/>
          <w:sz w:val="24"/>
          <w:szCs w:val="24"/>
          <w:lang w:val="el-GR"/>
        </w:rPr>
        <w:t>Αυτό</w:t>
      </w:r>
      <w:r w:rsidRPr="00D554B6">
        <w:rPr>
          <w:rFonts w:cstheme="minorHAnsi"/>
          <w:color w:val="000000"/>
          <w:sz w:val="24"/>
          <w:szCs w:val="24"/>
          <w:lang w:val="el-GR"/>
        </w:rPr>
        <w:t xml:space="preserve"> </w:t>
      </w:r>
      <w:r>
        <w:rPr>
          <w:rFonts w:cstheme="minorHAnsi"/>
          <w:color w:val="000000"/>
          <w:sz w:val="24"/>
          <w:szCs w:val="24"/>
          <w:lang w:val="el-GR"/>
        </w:rPr>
        <w:t>ισχύει</w:t>
      </w:r>
      <w:r w:rsidRPr="00D554B6">
        <w:rPr>
          <w:rFonts w:cstheme="minorHAnsi"/>
          <w:color w:val="000000"/>
          <w:sz w:val="24"/>
          <w:szCs w:val="24"/>
          <w:lang w:val="el-GR"/>
        </w:rPr>
        <w:t xml:space="preserve"> </w:t>
      </w:r>
      <w:r>
        <w:rPr>
          <w:rFonts w:cstheme="minorHAnsi"/>
          <w:color w:val="000000"/>
          <w:sz w:val="24"/>
          <w:szCs w:val="24"/>
          <w:lang w:val="el-GR"/>
        </w:rPr>
        <w:t>επίσης</w:t>
      </w:r>
      <w:r w:rsidRPr="00D554B6">
        <w:rPr>
          <w:rFonts w:cstheme="minorHAnsi"/>
          <w:color w:val="000000"/>
          <w:sz w:val="24"/>
          <w:szCs w:val="24"/>
          <w:lang w:val="el-GR"/>
        </w:rPr>
        <w:t xml:space="preserve"> </w:t>
      </w:r>
      <w:r>
        <w:rPr>
          <w:rFonts w:cstheme="minorHAnsi"/>
          <w:color w:val="000000"/>
          <w:sz w:val="24"/>
          <w:szCs w:val="24"/>
          <w:lang w:val="el-GR"/>
        </w:rPr>
        <w:t>σε</w:t>
      </w:r>
      <w:r w:rsidRPr="00D554B6">
        <w:rPr>
          <w:rFonts w:cstheme="minorHAnsi"/>
          <w:color w:val="000000"/>
          <w:sz w:val="24"/>
          <w:szCs w:val="24"/>
          <w:lang w:val="el-GR"/>
        </w:rPr>
        <w:t xml:space="preserve"> </w:t>
      </w:r>
      <w:r>
        <w:rPr>
          <w:rFonts w:cstheme="minorHAnsi"/>
          <w:color w:val="000000"/>
          <w:sz w:val="24"/>
          <w:szCs w:val="24"/>
          <w:lang w:val="el-GR"/>
        </w:rPr>
        <w:t>σχέση</w:t>
      </w:r>
      <w:r w:rsidRPr="00D554B6">
        <w:rPr>
          <w:rFonts w:cstheme="minorHAnsi"/>
          <w:color w:val="000000"/>
          <w:sz w:val="24"/>
          <w:szCs w:val="24"/>
          <w:lang w:val="el-GR"/>
        </w:rPr>
        <w:t xml:space="preserve"> </w:t>
      </w:r>
      <w:r>
        <w:rPr>
          <w:rFonts w:cstheme="minorHAnsi"/>
          <w:color w:val="000000"/>
          <w:sz w:val="24"/>
          <w:szCs w:val="24"/>
          <w:lang w:val="el-GR"/>
        </w:rPr>
        <w:t>με</w:t>
      </w:r>
      <w:r w:rsidRPr="00D554B6">
        <w:rPr>
          <w:rFonts w:cstheme="minorHAnsi"/>
          <w:color w:val="000000"/>
          <w:sz w:val="24"/>
          <w:szCs w:val="24"/>
          <w:lang w:val="el-GR"/>
        </w:rPr>
        <w:t xml:space="preserve"> </w:t>
      </w:r>
      <w:r>
        <w:rPr>
          <w:rFonts w:cstheme="minorHAnsi"/>
          <w:color w:val="000000"/>
          <w:sz w:val="24"/>
          <w:szCs w:val="24"/>
          <w:lang w:val="el-GR"/>
        </w:rPr>
        <w:t>τον</w:t>
      </w:r>
      <w:r w:rsidRPr="00D554B6">
        <w:rPr>
          <w:rFonts w:cstheme="minorHAnsi"/>
          <w:color w:val="000000"/>
          <w:sz w:val="24"/>
          <w:szCs w:val="24"/>
          <w:lang w:val="el-GR"/>
        </w:rPr>
        <w:t xml:space="preserve"> </w:t>
      </w:r>
      <w:r>
        <w:rPr>
          <w:rFonts w:cstheme="minorHAnsi"/>
          <w:color w:val="000000"/>
          <w:sz w:val="24"/>
          <w:szCs w:val="24"/>
          <w:lang w:val="el-GR"/>
        </w:rPr>
        <w:t>διορισμό</w:t>
      </w:r>
      <w:r w:rsidR="00A5147D" w:rsidRPr="00D554B6">
        <w:rPr>
          <w:rFonts w:cstheme="minorHAnsi"/>
          <w:color w:val="000000"/>
          <w:sz w:val="24"/>
          <w:szCs w:val="24"/>
          <w:lang w:val="el-GR"/>
        </w:rPr>
        <w:t xml:space="preserve"> </w:t>
      </w:r>
      <w:r>
        <w:rPr>
          <w:rFonts w:cstheme="minorHAnsi"/>
          <w:color w:val="000000"/>
          <w:sz w:val="24"/>
          <w:szCs w:val="24"/>
          <w:lang w:val="el-GR"/>
        </w:rPr>
        <w:t>και</w:t>
      </w:r>
      <w:r w:rsidRPr="00D554B6">
        <w:rPr>
          <w:rFonts w:cstheme="minorHAnsi"/>
          <w:color w:val="000000"/>
          <w:sz w:val="24"/>
          <w:szCs w:val="24"/>
          <w:lang w:val="el-GR"/>
        </w:rPr>
        <w:t xml:space="preserve"> </w:t>
      </w:r>
      <w:r>
        <w:rPr>
          <w:rFonts w:cstheme="minorHAnsi"/>
          <w:color w:val="000000"/>
          <w:sz w:val="24"/>
          <w:szCs w:val="24"/>
          <w:lang w:val="el-GR"/>
        </w:rPr>
        <w:t>την</w:t>
      </w:r>
      <w:r w:rsidRPr="00D554B6">
        <w:rPr>
          <w:rFonts w:cstheme="minorHAnsi"/>
          <w:color w:val="000000"/>
          <w:sz w:val="24"/>
          <w:szCs w:val="24"/>
          <w:lang w:val="el-GR"/>
        </w:rPr>
        <w:t xml:space="preserve"> </w:t>
      </w:r>
      <w:r>
        <w:rPr>
          <w:rFonts w:cstheme="minorHAnsi"/>
          <w:color w:val="000000"/>
          <w:sz w:val="24"/>
          <w:szCs w:val="24"/>
          <w:lang w:val="el-GR"/>
        </w:rPr>
        <w:t>παύση</w:t>
      </w:r>
      <w:r w:rsidRPr="00D554B6">
        <w:rPr>
          <w:rFonts w:cstheme="minorHAnsi"/>
          <w:color w:val="000000"/>
          <w:sz w:val="24"/>
          <w:szCs w:val="24"/>
          <w:lang w:val="el-GR"/>
        </w:rPr>
        <w:t xml:space="preserve"> </w:t>
      </w:r>
      <w:r>
        <w:rPr>
          <w:rFonts w:cstheme="minorHAnsi"/>
          <w:color w:val="000000"/>
          <w:sz w:val="24"/>
          <w:szCs w:val="24"/>
          <w:lang w:val="el-GR"/>
        </w:rPr>
        <w:t>του</w:t>
      </w:r>
      <w:r w:rsidRPr="00D554B6">
        <w:rPr>
          <w:rFonts w:cstheme="minorHAnsi"/>
          <w:color w:val="000000"/>
          <w:sz w:val="24"/>
          <w:szCs w:val="24"/>
          <w:lang w:val="el-GR"/>
        </w:rPr>
        <w:t xml:space="preserve"> </w:t>
      </w:r>
      <w:r>
        <w:rPr>
          <w:rFonts w:cstheme="minorHAnsi"/>
          <w:color w:val="000000"/>
          <w:sz w:val="24"/>
          <w:szCs w:val="24"/>
          <w:lang w:val="el-GR"/>
        </w:rPr>
        <w:t>Αρχηγού</w:t>
      </w:r>
      <w:r w:rsidRPr="00D554B6">
        <w:rPr>
          <w:rFonts w:cstheme="minorHAnsi"/>
          <w:color w:val="000000"/>
          <w:sz w:val="24"/>
          <w:szCs w:val="24"/>
          <w:lang w:val="el-GR"/>
        </w:rPr>
        <w:t xml:space="preserve"> </w:t>
      </w:r>
      <w:r>
        <w:rPr>
          <w:rFonts w:cstheme="minorHAnsi"/>
          <w:color w:val="000000"/>
          <w:sz w:val="24"/>
          <w:szCs w:val="24"/>
          <w:lang w:val="el-GR"/>
        </w:rPr>
        <w:t>και</w:t>
      </w:r>
      <w:r w:rsidRPr="00D554B6">
        <w:rPr>
          <w:rFonts w:cstheme="minorHAnsi"/>
          <w:color w:val="000000"/>
          <w:sz w:val="24"/>
          <w:szCs w:val="24"/>
          <w:lang w:val="el-GR"/>
        </w:rPr>
        <w:t xml:space="preserve"> </w:t>
      </w:r>
      <w:r>
        <w:rPr>
          <w:rFonts w:cstheme="minorHAnsi"/>
          <w:color w:val="000000"/>
          <w:sz w:val="24"/>
          <w:szCs w:val="24"/>
          <w:lang w:val="el-GR"/>
        </w:rPr>
        <w:t>του</w:t>
      </w:r>
      <w:r w:rsidRPr="00D554B6">
        <w:rPr>
          <w:rFonts w:cstheme="minorHAnsi"/>
          <w:color w:val="000000"/>
          <w:sz w:val="24"/>
          <w:szCs w:val="24"/>
          <w:lang w:val="el-GR"/>
        </w:rPr>
        <w:t xml:space="preserve"> </w:t>
      </w:r>
      <w:r>
        <w:rPr>
          <w:rFonts w:cstheme="minorHAnsi"/>
          <w:color w:val="000000"/>
          <w:sz w:val="24"/>
          <w:szCs w:val="24"/>
          <w:lang w:val="el-GR"/>
        </w:rPr>
        <w:t>Βοηθού</w:t>
      </w:r>
      <w:r w:rsidRPr="00D554B6">
        <w:rPr>
          <w:rFonts w:cstheme="minorHAnsi"/>
          <w:color w:val="000000"/>
          <w:sz w:val="24"/>
          <w:szCs w:val="24"/>
          <w:lang w:val="el-GR"/>
        </w:rPr>
        <w:t xml:space="preserve"> </w:t>
      </w:r>
      <w:r>
        <w:rPr>
          <w:rFonts w:cstheme="minorHAnsi"/>
          <w:color w:val="000000"/>
          <w:sz w:val="24"/>
          <w:szCs w:val="24"/>
          <w:lang w:val="el-GR"/>
        </w:rPr>
        <w:t>Αρχηγού</w:t>
      </w:r>
      <w:r w:rsidR="00A5147D" w:rsidRPr="00D554B6">
        <w:rPr>
          <w:rFonts w:cstheme="minorHAnsi"/>
          <w:color w:val="000000"/>
          <w:sz w:val="24"/>
          <w:szCs w:val="24"/>
          <w:lang w:val="el-GR"/>
        </w:rPr>
        <w:t xml:space="preserve"> </w:t>
      </w:r>
      <w:r>
        <w:rPr>
          <w:rFonts w:cstheme="minorHAnsi"/>
          <w:color w:val="000000"/>
          <w:sz w:val="24"/>
          <w:szCs w:val="24"/>
          <w:lang w:val="el-GR"/>
        </w:rPr>
        <w:t>της</w:t>
      </w:r>
      <w:r w:rsidRPr="00D554B6">
        <w:rPr>
          <w:rFonts w:cstheme="minorHAnsi"/>
          <w:color w:val="000000"/>
          <w:sz w:val="24"/>
          <w:szCs w:val="24"/>
          <w:lang w:val="el-GR"/>
        </w:rPr>
        <w:t xml:space="preserve"> </w:t>
      </w:r>
      <w:r w:rsidR="009C4E34">
        <w:rPr>
          <w:rFonts w:cstheme="minorHAnsi"/>
          <w:color w:val="000000"/>
          <w:sz w:val="24"/>
          <w:szCs w:val="24"/>
          <w:lang w:val="el-GR"/>
        </w:rPr>
        <w:t>Αστυνομία</w:t>
      </w:r>
      <w:r>
        <w:rPr>
          <w:rFonts w:cstheme="minorHAnsi"/>
          <w:color w:val="000000"/>
          <w:sz w:val="24"/>
          <w:szCs w:val="24"/>
          <w:lang w:val="el-GR"/>
        </w:rPr>
        <w:t>ς</w:t>
      </w:r>
      <w:r w:rsidR="00A5147D" w:rsidRPr="00D554B6">
        <w:rPr>
          <w:rFonts w:cstheme="minorHAnsi"/>
          <w:color w:val="000000"/>
          <w:sz w:val="24"/>
          <w:szCs w:val="24"/>
          <w:lang w:val="el-GR"/>
        </w:rPr>
        <w:t xml:space="preserve"> (</w:t>
      </w:r>
      <w:r>
        <w:rPr>
          <w:rFonts w:cstheme="minorHAnsi"/>
          <w:color w:val="000000"/>
          <w:sz w:val="24"/>
          <w:szCs w:val="24"/>
          <w:lang w:val="el-GR"/>
        </w:rPr>
        <w:t>στο παρόν στάδιο το Σύνταγμα αναφέρ</w:t>
      </w:r>
      <w:r w:rsidR="0018745A">
        <w:rPr>
          <w:rFonts w:cstheme="minorHAnsi"/>
          <w:color w:val="000000"/>
          <w:sz w:val="24"/>
          <w:szCs w:val="24"/>
          <w:lang w:val="el-GR"/>
        </w:rPr>
        <w:t>ε</w:t>
      </w:r>
      <w:r>
        <w:rPr>
          <w:rFonts w:cstheme="minorHAnsi"/>
          <w:color w:val="000000"/>
          <w:sz w:val="24"/>
          <w:szCs w:val="24"/>
          <w:lang w:val="el-GR"/>
        </w:rPr>
        <w:t>ι ότι</w:t>
      </w:r>
      <w:r w:rsidR="00A5147D" w:rsidRPr="00D554B6">
        <w:rPr>
          <w:rFonts w:cstheme="minorHAnsi"/>
          <w:color w:val="000000"/>
          <w:sz w:val="24"/>
          <w:szCs w:val="24"/>
          <w:lang w:val="el-GR"/>
        </w:rPr>
        <w:t xml:space="preserve"> </w:t>
      </w:r>
      <w:r>
        <w:rPr>
          <w:rFonts w:cstheme="minorHAnsi"/>
          <w:color w:val="000000"/>
          <w:sz w:val="24"/>
          <w:szCs w:val="24"/>
          <w:lang w:val="el-GR"/>
        </w:rPr>
        <w:t>αυτοί διορίζονται από τον Πρόεδρο</w:t>
      </w:r>
      <w:r w:rsidR="00A5147D" w:rsidRPr="00D554B6">
        <w:rPr>
          <w:rFonts w:cstheme="minorHAnsi"/>
          <w:color w:val="000000"/>
          <w:sz w:val="24"/>
          <w:szCs w:val="24"/>
          <w:lang w:val="el-GR"/>
        </w:rPr>
        <w:t xml:space="preserve"> </w:t>
      </w:r>
      <w:r>
        <w:rPr>
          <w:rFonts w:cstheme="minorHAnsi"/>
          <w:color w:val="000000"/>
          <w:sz w:val="24"/>
          <w:szCs w:val="24"/>
          <w:lang w:val="el-GR"/>
        </w:rPr>
        <w:t>χωρίς διευκρινίζοντας οποιαδήποτε περισσότερη λεπτομέρεια</w:t>
      </w:r>
      <w:r w:rsidR="00A5147D" w:rsidRPr="00D554B6">
        <w:rPr>
          <w:rFonts w:cstheme="minorHAnsi"/>
          <w:color w:val="000000"/>
          <w:sz w:val="24"/>
          <w:szCs w:val="24"/>
          <w:lang w:val="el-GR"/>
        </w:rPr>
        <w:t xml:space="preserve">). </w:t>
      </w:r>
      <w:r>
        <w:rPr>
          <w:rFonts w:cstheme="minorHAnsi"/>
          <w:color w:val="000000"/>
          <w:sz w:val="24"/>
          <w:szCs w:val="24"/>
          <w:lang w:val="el-GR"/>
        </w:rPr>
        <w:t>Υπάρχει</w:t>
      </w:r>
      <w:r w:rsidRPr="00004A01">
        <w:rPr>
          <w:rFonts w:cstheme="minorHAnsi"/>
          <w:color w:val="000000"/>
          <w:sz w:val="24"/>
          <w:szCs w:val="24"/>
          <w:lang w:val="el-GR"/>
        </w:rPr>
        <w:t xml:space="preserve"> </w:t>
      </w:r>
      <w:r>
        <w:rPr>
          <w:rFonts w:cstheme="minorHAnsi"/>
          <w:color w:val="000000"/>
          <w:sz w:val="24"/>
          <w:szCs w:val="24"/>
          <w:lang w:val="el-GR"/>
        </w:rPr>
        <w:t>ένα</w:t>
      </w:r>
      <w:r w:rsidRPr="00004A01">
        <w:rPr>
          <w:rFonts w:cstheme="minorHAnsi"/>
          <w:color w:val="000000"/>
          <w:sz w:val="24"/>
          <w:szCs w:val="24"/>
          <w:lang w:val="el-GR"/>
        </w:rPr>
        <w:t xml:space="preserve"> </w:t>
      </w:r>
      <w:r>
        <w:rPr>
          <w:rFonts w:cstheme="minorHAnsi"/>
          <w:color w:val="000000"/>
          <w:sz w:val="24"/>
          <w:szCs w:val="24"/>
          <w:lang w:val="el-GR"/>
        </w:rPr>
        <w:t>ποσοστό</w:t>
      </w:r>
      <w:r w:rsidRPr="00004A01">
        <w:rPr>
          <w:rFonts w:cstheme="minorHAnsi"/>
          <w:color w:val="000000"/>
          <w:sz w:val="24"/>
          <w:szCs w:val="24"/>
          <w:lang w:val="el-GR"/>
        </w:rPr>
        <w:t xml:space="preserve"> 25% </w:t>
      </w:r>
      <w:r w:rsidR="0018745A">
        <w:rPr>
          <w:rFonts w:cstheme="minorHAnsi"/>
          <w:color w:val="000000"/>
          <w:sz w:val="24"/>
          <w:szCs w:val="24"/>
          <w:lang w:val="el-GR"/>
        </w:rPr>
        <w:t>γυναικών</w:t>
      </w:r>
      <w:r w:rsidRPr="00004A01">
        <w:rPr>
          <w:rFonts w:cstheme="minorHAnsi"/>
          <w:color w:val="000000"/>
          <w:sz w:val="24"/>
          <w:szCs w:val="24"/>
          <w:lang w:val="el-GR"/>
        </w:rPr>
        <w:t xml:space="preserve"> </w:t>
      </w:r>
      <w:r>
        <w:rPr>
          <w:rFonts w:cstheme="minorHAnsi"/>
          <w:color w:val="000000"/>
          <w:sz w:val="24"/>
          <w:szCs w:val="24"/>
          <w:lang w:val="el-GR"/>
        </w:rPr>
        <w:t>στην</w:t>
      </w:r>
      <w:r w:rsidRPr="00004A01">
        <w:rPr>
          <w:rFonts w:cstheme="minorHAnsi"/>
          <w:color w:val="000000"/>
          <w:sz w:val="24"/>
          <w:szCs w:val="24"/>
          <w:lang w:val="el-GR"/>
        </w:rPr>
        <w:t xml:space="preserve"> </w:t>
      </w:r>
      <w:r w:rsidR="009C4E34">
        <w:rPr>
          <w:rFonts w:cstheme="minorHAnsi"/>
          <w:color w:val="000000"/>
          <w:sz w:val="24"/>
          <w:szCs w:val="24"/>
          <w:lang w:val="el-GR"/>
        </w:rPr>
        <w:t>Αστυνομία</w:t>
      </w:r>
      <w:r w:rsidR="00A5147D" w:rsidRPr="00004A01">
        <w:rPr>
          <w:rFonts w:cstheme="minorHAnsi"/>
          <w:color w:val="000000"/>
          <w:sz w:val="24"/>
          <w:szCs w:val="24"/>
          <w:lang w:val="el-GR"/>
        </w:rPr>
        <w:t xml:space="preserve">, </w:t>
      </w:r>
      <w:r>
        <w:rPr>
          <w:rFonts w:cstheme="minorHAnsi"/>
          <w:color w:val="000000"/>
          <w:sz w:val="24"/>
          <w:szCs w:val="24"/>
          <w:lang w:val="el-GR"/>
        </w:rPr>
        <w:t>που</w:t>
      </w:r>
      <w:r w:rsidRPr="00004A01">
        <w:rPr>
          <w:rFonts w:cstheme="minorHAnsi"/>
          <w:color w:val="000000"/>
          <w:sz w:val="24"/>
          <w:szCs w:val="24"/>
          <w:lang w:val="el-GR"/>
        </w:rPr>
        <w:t xml:space="preserve"> </w:t>
      </w:r>
      <w:r w:rsidR="00004A01">
        <w:rPr>
          <w:rFonts w:cstheme="minorHAnsi"/>
          <w:color w:val="000000"/>
          <w:sz w:val="24"/>
          <w:szCs w:val="24"/>
          <w:lang w:val="el-GR"/>
        </w:rPr>
        <w:t>χαμηλώνει δραστικά</w:t>
      </w:r>
      <w:r w:rsidR="00500D23">
        <w:rPr>
          <w:rFonts w:cstheme="minorHAnsi"/>
          <w:color w:val="000000"/>
          <w:sz w:val="24"/>
          <w:szCs w:val="24"/>
          <w:lang w:val="el-GR"/>
        </w:rPr>
        <w:t xml:space="preserve"> στις πιο ψηλές βαθμ</w:t>
      </w:r>
      <w:r w:rsidR="0018745A">
        <w:rPr>
          <w:rFonts w:cstheme="minorHAnsi"/>
          <w:color w:val="000000"/>
          <w:sz w:val="24"/>
          <w:szCs w:val="24"/>
          <w:lang w:val="el-GR"/>
        </w:rPr>
        <w:t>ί</w:t>
      </w:r>
      <w:r w:rsidR="00500D23">
        <w:rPr>
          <w:rFonts w:cstheme="minorHAnsi"/>
          <w:color w:val="000000"/>
          <w:sz w:val="24"/>
          <w:szCs w:val="24"/>
          <w:lang w:val="el-GR"/>
        </w:rPr>
        <w:t>δες</w:t>
      </w:r>
      <w:r w:rsidR="00A5147D" w:rsidRPr="00004A01">
        <w:rPr>
          <w:rFonts w:cstheme="minorHAnsi"/>
          <w:color w:val="000000"/>
          <w:sz w:val="24"/>
          <w:szCs w:val="24"/>
          <w:lang w:val="el-GR"/>
        </w:rPr>
        <w:t xml:space="preserve">. </w:t>
      </w:r>
      <w:r w:rsidR="00500D23">
        <w:rPr>
          <w:rFonts w:cstheme="minorHAnsi"/>
          <w:color w:val="000000"/>
          <w:sz w:val="24"/>
          <w:szCs w:val="24"/>
          <w:lang w:val="el-GR"/>
        </w:rPr>
        <w:t>Πρέπει</w:t>
      </w:r>
      <w:r w:rsidR="00500D23" w:rsidRPr="00500D23">
        <w:rPr>
          <w:rFonts w:cstheme="minorHAnsi"/>
          <w:color w:val="000000"/>
          <w:sz w:val="24"/>
          <w:szCs w:val="24"/>
          <w:lang w:val="el-GR"/>
        </w:rPr>
        <w:t xml:space="preserve"> </w:t>
      </w:r>
      <w:r w:rsidR="00500D23">
        <w:rPr>
          <w:rFonts w:cstheme="minorHAnsi"/>
          <w:color w:val="000000"/>
          <w:sz w:val="24"/>
          <w:szCs w:val="24"/>
          <w:lang w:val="el-GR"/>
        </w:rPr>
        <w:t>να</w:t>
      </w:r>
      <w:r w:rsidR="00500D23" w:rsidRPr="00500D23">
        <w:rPr>
          <w:rFonts w:cstheme="minorHAnsi"/>
          <w:color w:val="000000"/>
          <w:sz w:val="24"/>
          <w:szCs w:val="24"/>
          <w:lang w:val="el-GR"/>
        </w:rPr>
        <w:t xml:space="preserve"> </w:t>
      </w:r>
      <w:r w:rsidR="00500D23">
        <w:rPr>
          <w:rFonts w:cstheme="minorHAnsi"/>
          <w:color w:val="000000"/>
          <w:sz w:val="24"/>
          <w:szCs w:val="24"/>
          <w:lang w:val="el-GR"/>
        </w:rPr>
        <w:t>ληφθούν</w:t>
      </w:r>
      <w:r w:rsidR="00500D23" w:rsidRPr="00500D23">
        <w:rPr>
          <w:rFonts w:cstheme="minorHAnsi"/>
          <w:color w:val="000000"/>
          <w:sz w:val="24"/>
          <w:szCs w:val="24"/>
          <w:lang w:val="el-GR"/>
        </w:rPr>
        <w:t xml:space="preserve"> </w:t>
      </w:r>
      <w:r w:rsidR="00500D23">
        <w:rPr>
          <w:rFonts w:cstheme="minorHAnsi"/>
          <w:color w:val="000000"/>
          <w:sz w:val="24"/>
          <w:szCs w:val="24"/>
          <w:lang w:val="el-GR"/>
        </w:rPr>
        <w:t>μέτρα</w:t>
      </w:r>
      <w:r w:rsidR="00A5147D" w:rsidRPr="00500D23">
        <w:rPr>
          <w:rFonts w:cstheme="minorHAnsi"/>
          <w:color w:val="000000"/>
          <w:sz w:val="24"/>
          <w:szCs w:val="24"/>
          <w:lang w:val="el-GR"/>
        </w:rPr>
        <w:t xml:space="preserve"> </w:t>
      </w:r>
      <w:r w:rsidR="00500D23">
        <w:rPr>
          <w:rFonts w:cstheme="minorHAnsi"/>
          <w:color w:val="000000"/>
          <w:sz w:val="24"/>
          <w:szCs w:val="24"/>
          <w:lang w:val="el-GR"/>
        </w:rPr>
        <w:t>για</w:t>
      </w:r>
      <w:r w:rsidR="00500D23" w:rsidRPr="00500D23">
        <w:rPr>
          <w:rFonts w:cstheme="minorHAnsi"/>
          <w:color w:val="000000"/>
          <w:sz w:val="24"/>
          <w:szCs w:val="24"/>
          <w:lang w:val="el-GR"/>
        </w:rPr>
        <w:t xml:space="preserve"> </w:t>
      </w:r>
      <w:r w:rsidR="00500D23">
        <w:rPr>
          <w:rFonts w:cstheme="minorHAnsi"/>
          <w:color w:val="000000"/>
          <w:sz w:val="24"/>
          <w:szCs w:val="24"/>
          <w:lang w:val="el-GR"/>
        </w:rPr>
        <w:t>ενίσχυση</w:t>
      </w:r>
      <w:r w:rsidR="00500D23" w:rsidRPr="00500D23">
        <w:rPr>
          <w:rFonts w:cstheme="minorHAnsi"/>
          <w:color w:val="000000"/>
          <w:sz w:val="24"/>
          <w:szCs w:val="24"/>
          <w:lang w:val="el-GR"/>
        </w:rPr>
        <w:t xml:space="preserve"> </w:t>
      </w:r>
      <w:r w:rsidR="00500D23">
        <w:rPr>
          <w:rFonts w:cstheme="minorHAnsi"/>
          <w:color w:val="000000"/>
          <w:sz w:val="24"/>
          <w:szCs w:val="24"/>
          <w:lang w:val="el-GR"/>
        </w:rPr>
        <w:t>της</w:t>
      </w:r>
      <w:r w:rsidR="00500D23" w:rsidRPr="00500D23">
        <w:rPr>
          <w:rFonts w:cstheme="minorHAnsi"/>
          <w:color w:val="000000"/>
          <w:sz w:val="24"/>
          <w:szCs w:val="24"/>
          <w:lang w:val="el-GR"/>
        </w:rPr>
        <w:t xml:space="preserve"> </w:t>
      </w:r>
      <w:r w:rsidR="00500D23">
        <w:rPr>
          <w:rFonts w:cstheme="minorHAnsi"/>
          <w:color w:val="000000"/>
          <w:sz w:val="24"/>
          <w:szCs w:val="24"/>
          <w:lang w:val="el-GR"/>
        </w:rPr>
        <w:t>αντιπροσώπευσης</w:t>
      </w:r>
      <w:r w:rsidR="00500D23" w:rsidRPr="00500D23">
        <w:rPr>
          <w:rFonts w:cstheme="minorHAnsi"/>
          <w:color w:val="000000"/>
          <w:sz w:val="24"/>
          <w:szCs w:val="24"/>
          <w:lang w:val="el-GR"/>
        </w:rPr>
        <w:t xml:space="preserve"> </w:t>
      </w:r>
      <w:r w:rsidR="00500D23">
        <w:rPr>
          <w:rFonts w:cstheme="minorHAnsi"/>
          <w:color w:val="000000"/>
          <w:sz w:val="24"/>
          <w:szCs w:val="24"/>
          <w:lang w:val="el-GR"/>
        </w:rPr>
        <w:t>των</w:t>
      </w:r>
      <w:r w:rsidR="00500D23" w:rsidRPr="00500D23">
        <w:rPr>
          <w:rFonts w:cstheme="minorHAnsi"/>
          <w:color w:val="000000"/>
          <w:sz w:val="24"/>
          <w:szCs w:val="24"/>
          <w:lang w:val="el-GR"/>
        </w:rPr>
        <w:t xml:space="preserve"> </w:t>
      </w:r>
      <w:r w:rsidR="00500D23">
        <w:rPr>
          <w:rFonts w:cstheme="minorHAnsi"/>
          <w:color w:val="000000"/>
          <w:sz w:val="24"/>
          <w:szCs w:val="24"/>
          <w:lang w:val="el-GR"/>
        </w:rPr>
        <w:t>γυναικών</w:t>
      </w:r>
      <w:r w:rsidR="00500D23" w:rsidRPr="00500D23">
        <w:rPr>
          <w:rFonts w:cstheme="minorHAnsi"/>
          <w:color w:val="000000"/>
          <w:sz w:val="24"/>
          <w:szCs w:val="24"/>
          <w:lang w:val="el-GR"/>
        </w:rPr>
        <w:t xml:space="preserve"> </w:t>
      </w:r>
      <w:r w:rsidR="00500D23">
        <w:rPr>
          <w:rFonts w:cstheme="minorHAnsi"/>
          <w:color w:val="000000"/>
          <w:sz w:val="24"/>
          <w:szCs w:val="24"/>
          <w:lang w:val="el-GR"/>
        </w:rPr>
        <w:t>σε</w:t>
      </w:r>
      <w:r w:rsidR="00500D23" w:rsidRPr="00500D23">
        <w:rPr>
          <w:rFonts w:cstheme="minorHAnsi"/>
          <w:color w:val="000000"/>
          <w:sz w:val="24"/>
          <w:szCs w:val="24"/>
          <w:lang w:val="el-GR"/>
        </w:rPr>
        <w:t xml:space="preserve"> </w:t>
      </w:r>
      <w:r w:rsidR="00500D23">
        <w:rPr>
          <w:rFonts w:cstheme="minorHAnsi"/>
          <w:color w:val="000000"/>
          <w:sz w:val="24"/>
          <w:szCs w:val="24"/>
          <w:lang w:val="el-GR"/>
        </w:rPr>
        <w:t xml:space="preserve">όλες τις βαθμίδες στην </w:t>
      </w:r>
      <w:r w:rsidR="009C4E34">
        <w:rPr>
          <w:rFonts w:cstheme="minorHAnsi"/>
          <w:color w:val="000000"/>
          <w:sz w:val="24"/>
          <w:szCs w:val="24"/>
          <w:lang w:val="el-GR"/>
        </w:rPr>
        <w:t>Αστυνομία</w:t>
      </w:r>
      <w:r w:rsidR="00A5147D" w:rsidRPr="00500D23">
        <w:rPr>
          <w:rFonts w:cstheme="minorHAnsi"/>
          <w:color w:val="000000"/>
          <w:sz w:val="24"/>
          <w:szCs w:val="24"/>
          <w:lang w:val="el-GR"/>
        </w:rPr>
        <w:t xml:space="preserve"> </w:t>
      </w:r>
      <w:r w:rsidR="00500D23">
        <w:rPr>
          <w:rFonts w:cstheme="minorHAnsi"/>
          <w:color w:val="000000"/>
          <w:sz w:val="24"/>
          <w:szCs w:val="24"/>
          <w:lang w:val="el-GR"/>
        </w:rPr>
        <w:t xml:space="preserve">ως μέρος της πρόσληψης και των εσωτερικών μετακινήσεων σταδιοδρομίας προς τα </w:t>
      </w:r>
      <w:r w:rsidR="00813692">
        <w:rPr>
          <w:rFonts w:cstheme="minorHAnsi"/>
          <w:color w:val="000000"/>
          <w:sz w:val="24"/>
          <w:szCs w:val="24"/>
          <w:lang w:val="el-GR"/>
        </w:rPr>
        <w:t>ανώτερα στρώματα</w:t>
      </w:r>
      <w:r w:rsidR="00196B8C">
        <w:rPr>
          <w:rFonts w:cstheme="minorHAnsi"/>
          <w:color w:val="000000"/>
          <w:sz w:val="24"/>
          <w:szCs w:val="24"/>
          <w:lang w:val="el-GR"/>
        </w:rPr>
        <w:t>.</w:t>
      </w:r>
    </w:p>
    <w:p w14:paraId="47EBDCA6" w14:textId="77777777" w:rsidR="00A5147D" w:rsidRPr="00500D23" w:rsidRDefault="00A5147D" w:rsidP="00A5147D">
      <w:pPr>
        <w:pStyle w:val="ListParagraph"/>
        <w:rPr>
          <w:rFonts w:cstheme="minorHAnsi"/>
          <w:color w:val="000000"/>
          <w:sz w:val="24"/>
          <w:szCs w:val="24"/>
          <w:lang w:val="el-GR"/>
        </w:rPr>
      </w:pPr>
    </w:p>
    <w:p w14:paraId="3E7CAD90" w14:textId="3D91DFAA" w:rsidR="00A5147D" w:rsidRPr="005E6559" w:rsidRDefault="00196B8C" w:rsidP="00AE66AA">
      <w:pPr>
        <w:numPr>
          <w:ilvl w:val="0"/>
          <w:numId w:val="1"/>
        </w:numPr>
        <w:tabs>
          <w:tab w:val="left" w:pos="709"/>
        </w:tabs>
        <w:ind w:left="0" w:firstLine="0"/>
        <w:rPr>
          <w:rFonts w:cstheme="minorHAnsi"/>
          <w:color w:val="000000"/>
          <w:sz w:val="24"/>
          <w:szCs w:val="24"/>
          <w:lang w:val="el-GR"/>
        </w:rPr>
      </w:pPr>
      <w:r>
        <w:rPr>
          <w:rFonts w:cstheme="minorHAnsi"/>
          <w:color w:val="000000"/>
          <w:sz w:val="24"/>
          <w:szCs w:val="24"/>
          <w:lang w:val="el-GR"/>
        </w:rPr>
        <w:t>Το</w:t>
      </w:r>
      <w:r w:rsidRPr="00196B8C">
        <w:rPr>
          <w:rFonts w:cstheme="minorHAnsi"/>
          <w:color w:val="000000"/>
          <w:sz w:val="24"/>
          <w:szCs w:val="24"/>
          <w:lang w:val="el-GR"/>
        </w:rPr>
        <w:t xml:space="preserve"> </w:t>
      </w:r>
      <w:r>
        <w:rPr>
          <w:rFonts w:cstheme="minorHAnsi"/>
          <w:color w:val="000000"/>
          <w:sz w:val="24"/>
          <w:szCs w:val="24"/>
          <w:lang w:val="el-GR"/>
        </w:rPr>
        <w:t>πλαίσιο</w:t>
      </w:r>
      <w:r w:rsidRPr="00196B8C">
        <w:rPr>
          <w:rFonts w:cstheme="minorHAnsi"/>
          <w:color w:val="000000"/>
          <w:sz w:val="24"/>
          <w:szCs w:val="24"/>
          <w:lang w:val="el-GR"/>
        </w:rPr>
        <w:t xml:space="preserve"> </w:t>
      </w:r>
      <w:r>
        <w:rPr>
          <w:rFonts w:cstheme="minorHAnsi"/>
          <w:color w:val="000000"/>
          <w:sz w:val="24"/>
          <w:szCs w:val="24"/>
          <w:lang w:val="el-GR"/>
        </w:rPr>
        <w:t>της</w:t>
      </w:r>
      <w:r w:rsidRPr="00196B8C">
        <w:rPr>
          <w:rFonts w:cstheme="minorHAnsi"/>
          <w:color w:val="000000"/>
          <w:sz w:val="24"/>
          <w:szCs w:val="24"/>
          <w:lang w:val="el-GR"/>
        </w:rPr>
        <w:t xml:space="preserve"> </w:t>
      </w:r>
      <w:r>
        <w:rPr>
          <w:rFonts w:cstheme="minorHAnsi"/>
          <w:color w:val="000000"/>
          <w:sz w:val="24"/>
          <w:szCs w:val="24"/>
          <w:lang w:val="el-GR"/>
        </w:rPr>
        <w:t>επισκόπησης</w:t>
      </w:r>
      <w:r w:rsidRPr="00196B8C">
        <w:rPr>
          <w:rFonts w:cstheme="minorHAnsi"/>
          <w:color w:val="000000"/>
          <w:sz w:val="24"/>
          <w:szCs w:val="24"/>
          <w:lang w:val="el-GR"/>
        </w:rPr>
        <w:t xml:space="preserve"> </w:t>
      </w:r>
      <w:r>
        <w:rPr>
          <w:rFonts w:cstheme="minorHAnsi"/>
          <w:color w:val="000000"/>
          <w:sz w:val="24"/>
          <w:szCs w:val="24"/>
          <w:lang w:val="el-GR"/>
        </w:rPr>
        <w:t>και</w:t>
      </w:r>
      <w:r w:rsidRPr="00196B8C">
        <w:rPr>
          <w:rFonts w:cstheme="minorHAnsi"/>
          <w:color w:val="000000"/>
          <w:sz w:val="24"/>
          <w:szCs w:val="24"/>
          <w:lang w:val="el-GR"/>
        </w:rPr>
        <w:t xml:space="preserve"> </w:t>
      </w:r>
      <w:r>
        <w:rPr>
          <w:rFonts w:cstheme="minorHAnsi"/>
          <w:color w:val="000000"/>
          <w:sz w:val="24"/>
          <w:szCs w:val="24"/>
          <w:lang w:val="el-GR"/>
        </w:rPr>
        <w:t>της</w:t>
      </w:r>
      <w:r w:rsidRPr="00196B8C">
        <w:rPr>
          <w:rFonts w:cstheme="minorHAnsi"/>
          <w:color w:val="000000"/>
          <w:sz w:val="24"/>
          <w:szCs w:val="24"/>
          <w:lang w:val="el-GR"/>
        </w:rPr>
        <w:t xml:space="preserve"> </w:t>
      </w:r>
      <w:r>
        <w:rPr>
          <w:rFonts w:cstheme="minorHAnsi"/>
          <w:color w:val="000000"/>
          <w:sz w:val="24"/>
          <w:szCs w:val="24"/>
          <w:lang w:val="el-GR"/>
        </w:rPr>
        <w:t>λογοδοσίας</w:t>
      </w:r>
      <w:r w:rsidRPr="00196B8C">
        <w:rPr>
          <w:rFonts w:cstheme="minorHAnsi"/>
          <w:color w:val="000000"/>
          <w:sz w:val="24"/>
          <w:szCs w:val="24"/>
          <w:lang w:val="el-GR"/>
        </w:rPr>
        <w:t xml:space="preserve"> </w:t>
      </w:r>
      <w:r>
        <w:rPr>
          <w:rFonts w:cstheme="minorHAnsi"/>
          <w:color w:val="000000"/>
          <w:sz w:val="24"/>
          <w:szCs w:val="24"/>
          <w:lang w:val="el-GR"/>
        </w:rPr>
        <w:t>της</w:t>
      </w:r>
      <w:r w:rsidRPr="00196B8C">
        <w:rPr>
          <w:rFonts w:cstheme="minorHAnsi"/>
          <w:color w:val="000000"/>
          <w:sz w:val="24"/>
          <w:szCs w:val="24"/>
          <w:lang w:val="el-GR"/>
        </w:rPr>
        <w:t xml:space="preserve"> </w:t>
      </w:r>
      <w:r w:rsidR="009C4E34">
        <w:rPr>
          <w:rFonts w:cstheme="minorHAnsi"/>
          <w:color w:val="000000"/>
          <w:sz w:val="24"/>
          <w:szCs w:val="24"/>
          <w:lang w:val="el-GR"/>
        </w:rPr>
        <w:t>Αστυνομία</w:t>
      </w:r>
      <w:r>
        <w:rPr>
          <w:rFonts w:cstheme="minorHAnsi"/>
          <w:color w:val="000000"/>
          <w:sz w:val="24"/>
          <w:szCs w:val="24"/>
          <w:lang w:val="el-GR"/>
        </w:rPr>
        <w:t>ς</w:t>
      </w:r>
      <w:r w:rsidRPr="00196B8C">
        <w:rPr>
          <w:rFonts w:cstheme="minorHAnsi"/>
          <w:color w:val="000000"/>
          <w:sz w:val="24"/>
          <w:szCs w:val="24"/>
          <w:lang w:val="el-GR"/>
        </w:rPr>
        <w:t xml:space="preserve"> </w:t>
      </w:r>
      <w:r>
        <w:rPr>
          <w:rFonts w:cstheme="minorHAnsi"/>
          <w:color w:val="000000"/>
          <w:sz w:val="24"/>
          <w:szCs w:val="24"/>
          <w:lang w:val="el-GR"/>
        </w:rPr>
        <w:t>θα</w:t>
      </w:r>
      <w:r w:rsidRPr="00196B8C">
        <w:rPr>
          <w:rFonts w:cstheme="minorHAnsi"/>
          <w:color w:val="000000"/>
          <w:sz w:val="24"/>
          <w:szCs w:val="24"/>
          <w:lang w:val="el-GR"/>
        </w:rPr>
        <w:t xml:space="preserve"> </w:t>
      </w:r>
      <w:r>
        <w:rPr>
          <w:rFonts w:cstheme="minorHAnsi"/>
          <w:color w:val="000000"/>
          <w:sz w:val="24"/>
          <w:szCs w:val="24"/>
          <w:lang w:val="el-GR"/>
        </w:rPr>
        <w:t xml:space="preserve">επωφελείτο από τον </w:t>
      </w:r>
      <w:proofErr w:type="spellStart"/>
      <w:r>
        <w:rPr>
          <w:rFonts w:cstheme="minorHAnsi"/>
          <w:color w:val="000000"/>
          <w:sz w:val="24"/>
          <w:szCs w:val="24"/>
          <w:lang w:val="el-GR"/>
        </w:rPr>
        <w:t>εξορθολογισμό</w:t>
      </w:r>
      <w:proofErr w:type="spellEnd"/>
      <w:r>
        <w:rPr>
          <w:rFonts w:cstheme="minorHAnsi"/>
          <w:color w:val="000000"/>
          <w:sz w:val="24"/>
          <w:szCs w:val="24"/>
          <w:lang w:val="el-GR"/>
        </w:rPr>
        <w:t xml:space="preserve"> και τις ξεκάθαρες κατευθυντήριες γραμμές/πρωτόκολλα</w:t>
      </w:r>
      <w:r w:rsidR="00A5147D" w:rsidRPr="00196B8C">
        <w:rPr>
          <w:rFonts w:cstheme="minorHAnsi"/>
          <w:color w:val="000000"/>
          <w:sz w:val="24"/>
          <w:szCs w:val="24"/>
          <w:lang w:val="el-GR"/>
        </w:rPr>
        <w:t xml:space="preserve"> </w:t>
      </w:r>
      <w:r>
        <w:rPr>
          <w:rFonts w:cstheme="minorHAnsi"/>
          <w:color w:val="000000"/>
          <w:sz w:val="24"/>
          <w:szCs w:val="24"/>
          <w:lang w:val="el-GR"/>
        </w:rPr>
        <w:t>στην λειτουργία και τον συντονισμό τους</w:t>
      </w:r>
      <w:r w:rsidR="00A5147D" w:rsidRPr="00196B8C">
        <w:rPr>
          <w:rFonts w:cstheme="minorHAnsi"/>
          <w:color w:val="000000"/>
          <w:sz w:val="24"/>
          <w:szCs w:val="24"/>
          <w:lang w:val="el-GR"/>
        </w:rPr>
        <w:t xml:space="preserve">. </w:t>
      </w:r>
      <w:r>
        <w:rPr>
          <w:rFonts w:cstheme="minorHAnsi"/>
          <w:color w:val="000000"/>
          <w:sz w:val="24"/>
          <w:szCs w:val="24"/>
          <w:lang w:val="el-GR"/>
        </w:rPr>
        <w:t>Το</w:t>
      </w:r>
      <w:r w:rsidRPr="00196B8C">
        <w:rPr>
          <w:rFonts w:cstheme="minorHAnsi"/>
          <w:color w:val="000000"/>
          <w:sz w:val="24"/>
          <w:szCs w:val="24"/>
          <w:lang w:val="el-GR"/>
        </w:rPr>
        <w:t xml:space="preserve"> </w:t>
      </w:r>
      <w:r>
        <w:rPr>
          <w:rFonts w:cstheme="minorHAnsi"/>
          <w:color w:val="000000"/>
          <w:sz w:val="24"/>
          <w:szCs w:val="24"/>
          <w:lang w:val="el-GR"/>
        </w:rPr>
        <w:t>σύστημα</w:t>
      </w:r>
      <w:r w:rsidRPr="00196B8C">
        <w:rPr>
          <w:rFonts w:cstheme="minorHAnsi"/>
          <w:color w:val="000000"/>
          <w:sz w:val="24"/>
          <w:szCs w:val="24"/>
          <w:lang w:val="el-GR"/>
        </w:rPr>
        <w:t xml:space="preserve"> </w:t>
      </w:r>
      <w:r>
        <w:rPr>
          <w:rFonts w:cstheme="minorHAnsi"/>
          <w:color w:val="000000"/>
          <w:sz w:val="24"/>
          <w:szCs w:val="24"/>
          <w:lang w:val="el-GR"/>
        </w:rPr>
        <w:t>των</w:t>
      </w:r>
      <w:r w:rsidRPr="00196B8C">
        <w:rPr>
          <w:rFonts w:cstheme="minorHAnsi"/>
          <w:color w:val="000000"/>
          <w:sz w:val="24"/>
          <w:szCs w:val="24"/>
          <w:lang w:val="el-GR"/>
        </w:rPr>
        <w:t xml:space="preserve"> </w:t>
      </w:r>
      <w:r>
        <w:rPr>
          <w:rFonts w:cstheme="minorHAnsi"/>
          <w:color w:val="000000"/>
          <w:sz w:val="24"/>
          <w:szCs w:val="24"/>
          <w:lang w:val="el-GR"/>
        </w:rPr>
        <w:t>δημοσίων</w:t>
      </w:r>
      <w:r w:rsidRPr="00196B8C">
        <w:rPr>
          <w:rFonts w:cstheme="minorHAnsi"/>
          <w:color w:val="000000"/>
          <w:sz w:val="24"/>
          <w:szCs w:val="24"/>
          <w:lang w:val="el-GR"/>
        </w:rPr>
        <w:t xml:space="preserve"> </w:t>
      </w:r>
      <w:r>
        <w:rPr>
          <w:rFonts w:cstheme="minorHAnsi"/>
          <w:color w:val="000000"/>
          <w:sz w:val="24"/>
          <w:szCs w:val="24"/>
          <w:lang w:val="el-GR"/>
        </w:rPr>
        <w:t>παραπόνων</w:t>
      </w:r>
      <w:r w:rsidRPr="00196B8C">
        <w:rPr>
          <w:rFonts w:cstheme="minorHAnsi"/>
          <w:color w:val="000000"/>
          <w:sz w:val="24"/>
          <w:szCs w:val="24"/>
          <w:lang w:val="el-GR"/>
        </w:rPr>
        <w:t xml:space="preserve"> </w:t>
      </w:r>
      <w:r>
        <w:rPr>
          <w:rFonts w:cstheme="minorHAnsi"/>
          <w:color w:val="000000"/>
          <w:sz w:val="24"/>
          <w:szCs w:val="24"/>
          <w:lang w:val="el-GR"/>
        </w:rPr>
        <w:t>είναι</w:t>
      </w:r>
      <w:r w:rsidRPr="00196B8C">
        <w:rPr>
          <w:rFonts w:cstheme="minorHAnsi"/>
          <w:color w:val="000000"/>
          <w:sz w:val="24"/>
          <w:szCs w:val="24"/>
          <w:lang w:val="el-GR"/>
        </w:rPr>
        <w:t xml:space="preserve"> </w:t>
      </w:r>
      <w:r>
        <w:rPr>
          <w:rFonts w:cstheme="minorHAnsi"/>
          <w:color w:val="000000"/>
          <w:sz w:val="24"/>
          <w:szCs w:val="24"/>
          <w:lang w:val="el-GR"/>
        </w:rPr>
        <w:t>κάπως</w:t>
      </w:r>
      <w:r w:rsidRPr="00196B8C">
        <w:rPr>
          <w:rFonts w:cstheme="minorHAnsi"/>
          <w:color w:val="000000"/>
          <w:sz w:val="24"/>
          <w:szCs w:val="24"/>
          <w:lang w:val="el-GR"/>
        </w:rPr>
        <w:t xml:space="preserve"> </w:t>
      </w:r>
      <w:r>
        <w:rPr>
          <w:rFonts w:cstheme="minorHAnsi"/>
          <w:color w:val="000000"/>
          <w:sz w:val="24"/>
          <w:szCs w:val="24"/>
          <w:lang w:val="el-GR"/>
        </w:rPr>
        <w:t>πολύπλοκο</w:t>
      </w:r>
      <w:r w:rsidR="0016084B" w:rsidRPr="00196B8C">
        <w:rPr>
          <w:rFonts w:cstheme="minorHAnsi"/>
          <w:color w:val="000000"/>
          <w:sz w:val="24"/>
          <w:szCs w:val="24"/>
          <w:lang w:val="el-GR"/>
        </w:rPr>
        <w:t>,</w:t>
      </w:r>
      <w:r w:rsidR="00A5147D" w:rsidRPr="00196B8C">
        <w:rPr>
          <w:rFonts w:cstheme="minorHAnsi"/>
          <w:color w:val="000000"/>
          <w:sz w:val="24"/>
          <w:szCs w:val="24"/>
          <w:lang w:val="el-GR"/>
        </w:rPr>
        <w:t xml:space="preserve"> </w:t>
      </w:r>
      <w:r>
        <w:rPr>
          <w:rFonts w:cstheme="minorHAnsi"/>
          <w:color w:val="000000"/>
          <w:sz w:val="24"/>
          <w:szCs w:val="24"/>
          <w:lang w:val="el-GR"/>
        </w:rPr>
        <w:t>με</w:t>
      </w:r>
      <w:r w:rsidRPr="00196B8C">
        <w:rPr>
          <w:rFonts w:cstheme="minorHAnsi"/>
          <w:color w:val="000000"/>
          <w:sz w:val="24"/>
          <w:szCs w:val="24"/>
          <w:lang w:val="el-GR"/>
        </w:rPr>
        <w:t xml:space="preserve"> </w:t>
      </w:r>
      <w:r>
        <w:rPr>
          <w:rFonts w:cstheme="minorHAnsi"/>
          <w:color w:val="000000"/>
          <w:sz w:val="24"/>
          <w:szCs w:val="24"/>
          <w:lang w:val="el-GR"/>
        </w:rPr>
        <w:t>πολλά</w:t>
      </w:r>
      <w:r w:rsidRPr="00196B8C">
        <w:rPr>
          <w:rFonts w:cstheme="minorHAnsi"/>
          <w:color w:val="000000"/>
          <w:sz w:val="24"/>
          <w:szCs w:val="24"/>
          <w:lang w:val="el-GR"/>
        </w:rPr>
        <w:t xml:space="preserve"> </w:t>
      </w:r>
      <w:r>
        <w:rPr>
          <w:rFonts w:cstheme="minorHAnsi"/>
          <w:color w:val="000000"/>
          <w:sz w:val="24"/>
          <w:szCs w:val="24"/>
          <w:lang w:val="el-GR"/>
        </w:rPr>
        <w:t>σημεία</w:t>
      </w:r>
      <w:r w:rsidRPr="00196B8C">
        <w:rPr>
          <w:rFonts w:cstheme="minorHAnsi"/>
          <w:color w:val="000000"/>
          <w:sz w:val="24"/>
          <w:szCs w:val="24"/>
          <w:lang w:val="el-GR"/>
        </w:rPr>
        <w:t xml:space="preserve"> </w:t>
      </w:r>
      <w:r>
        <w:rPr>
          <w:rFonts w:cstheme="minorHAnsi"/>
          <w:color w:val="000000"/>
          <w:sz w:val="24"/>
          <w:szCs w:val="24"/>
          <w:lang w:val="el-GR"/>
        </w:rPr>
        <w:t>εισόδου</w:t>
      </w:r>
      <w:r w:rsidR="00A5147D" w:rsidRPr="00196B8C">
        <w:rPr>
          <w:rFonts w:cstheme="minorHAnsi"/>
          <w:color w:val="000000"/>
          <w:sz w:val="24"/>
          <w:szCs w:val="24"/>
          <w:lang w:val="el-GR"/>
        </w:rPr>
        <w:t>,</w:t>
      </w:r>
      <w:r w:rsidR="0016084B" w:rsidRPr="00196B8C">
        <w:rPr>
          <w:rFonts w:cstheme="minorHAnsi"/>
          <w:color w:val="000000"/>
          <w:sz w:val="24"/>
          <w:szCs w:val="24"/>
          <w:lang w:val="el-GR"/>
        </w:rPr>
        <w:t xml:space="preserve"> </w:t>
      </w:r>
      <w:r>
        <w:rPr>
          <w:rFonts w:cstheme="minorHAnsi"/>
          <w:color w:val="000000"/>
          <w:sz w:val="24"/>
          <w:szCs w:val="24"/>
          <w:lang w:val="el-GR"/>
        </w:rPr>
        <w:t>και</w:t>
      </w:r>
      <w:r w:rsidRPr="00196B8C">
        <w:rPr>
          <w:rFonts w:cstheme="minorHAnsi"/>
          <w:color w:val="000000"/>
          <w:sz w:val="24"/>
          <w:szCs w:val="24"/>
          <w:lang w:val="el-GR"/>
        </w:rPr>
        <w:t xml:space="preserve"> </w:t>
      </w:r>
      <w:r>
        <w:rPr>
          <w:rFonts w:cstheme="minorHAnsi"/>
          <w:color w:val="000000"/>
          <w:sz w:val="24"/>
          <w:szCs w:val="24"/>
          <w:lang w:val="el-GR"/>
        </w:rPr>
        <w:t>υποφέρει</w:t>
      </w:r>
      <w:r w:rsidRPr="00196B8C">
        <w:rPr>
          <w:rFonts w:cstheme="minorHAnsi"/>
          <w:color w:val="000000"/>
          <w:sz w:val="24"/>
          <w:szCs w:val="24"/>
          <w:lang w:val="el-GR"/>
        </w:rPr>
        <w:t xml:space="preserve"> </w:t>
      </w:r>
      <w:r>
        <w:rPr>
          <w:rFonts w:cstheme="minorHAnsi"/>
          <w:color w:val="000000"/>
          <w:sz w:val="24"/>
          <w:szCs w:val="24"/>
          <w:lang w:val="el-GR"/>
        </w:rPr>
        <w:t>από</w:t>
      </w:r>
      <w:r w:rsidRPr="00196B8C">
        <w:rPr>
          <w:rFonts w:cstheme="minorHAnsi"/>
          <w:color w:val="000000"/>
          <w:sz w:val="24"/>
          <w:szCs w:val="24"/>
          <w:lang w:val="el-GR"/>
        </w:rPr>
        <w:t xml:space="preserve"> </w:t>
      </w:r>
      <w:r>
        <w:rPr>
          <w:rFonts w:cstheme="minorHAnsi"/>
          <w:color w:val="000000"/>
          <w:sz w:val="24"/>
          <w:szCs w:val="24"/>
          <w:lang w:val="el-GR"/>
        </w:rPr>
        <w:t>την</w:t>
      </w:r>
      <w:r w:rsidRPr="00196B8C">
        <w:rPr>
          <w:rFonts w:cstheme="minorHAnsi"/>
          <w:color w:val="000000"/>
          <w:sz w:val="24"/>
          <w:szCs w:val="24"/>
          <w:lang w:val="el-GR"/>
        </w:rPr>
        <w:t xml:space="preserve"> </w:t>
      </w:r>
      <w:r>
        <w:rPr>
          <w:rFonts w:cstheme="minorHAnsi"/>
          <w:color w:val="000000"/>
          <w:sz w:val="24"/>
          <w:szCs w:val="24"/>
          <w:lang w:val="el-GR"/>
        </w:rPr>
        <w:t>έλλειψη</w:t>
      </w:r>
      <w:r w:rsidRPr="00196B8C">
        <w:rPr>
          <w:rFonts w:cstheme="minorHAnsi"/>
          <w:color w:val="000000"/>
          <w:sz w:val="24"/>
          <w:szCs w:val="24"/>
          <w:lang w:val="el-GR"/>
        </w:rPr>
        <w:t xml:space="preserve"> </w:t>
      </w:r>
      <w:r>
        <w:rPr>
          <w:rFonts w:cstheme="minorHAnsi"/>
          <w:color w:val="000000"/>
          <w:sz w:val="24"/>
          <w:szCs w:val="24"/>
          <w:lang w:val="el-GR"/>
        </w:rPr>
        <w:t>δομημένου</w:t>
      </w:r>
      <w:r w:rsidRPr="00196B8C">
        <w:rPr>
          <w:rFonts w:cstheme="minorHAnsi"/>
          <w:color w:val="000000"/>
          <w:sz w:val="24"/>
          <w:szCs w:val="24"/>
          <w:lang w:val="el-GR"/>
        </w:rPr>
        <w:t xml:space="preserve"> </w:t>
      </w:r>
      <w:r>
        <w:rPr>
          <w:rFonts w:cstheme="minorHAnsi"/>
          <w:color w:val="000000"/>
          <w:sz w:val="24"/>
          <w:szCs w:val="24"/>
          <w:lang w:val="el-GR"/>
        </w:rPr>
        <w:t>συντονισμού</w:t>
      </w:r>
      <w:r w:rsidR="00A5147D" w:rsidRPr="00196B8C">
        <w:rPr>
          <w:rFonts w:cstheme="minorHAnsi"/>
          <w:color w:val="000000"/>
          <w:sz w:val="24"/>
          <w:szCs w:val="24"/>
          <w:lang w:val="el-GR"/>
        </w:rPr>
        <w:t xml:space="preserve"> </w:t>
      </w:r>
      <w:r>
        <w:rPr>
          <w:rFonts w:cstheme="minorHAnsi"/>
          <w:color w:val="000000"/>
          <w:sz w:val="24"/>
          <w:szCs w:val="24"/>
          <w:lang w:val="el-GR"/>
        </w:rPr>
        <w:t>μεταξύ των αρμοδίων αρχών</w:t>
      </w:r>
      <w:r w:rsidR="0016084B" w:rsidRPr="00196B8C">
        <w:rPr>
          <w:rFonts w:cstheme="minorHAnsi"/>
          <w:color w:val="000000"/>
          <w:sz w:val="24"/>
          <w:szCs w:val="24"/>
          <w:lang w:val="el-GR"/>
        </w:rPr>
        <w:t xml:space="preserve">, </w:t>
      </w:r>
      <w:r>
        <w:rPr>
          <w:rFonts w:cstheme="minorHAnsi"/>
          <w:color w:val="000000"/>
          <w:sz w:val="24"/>
          <w:szCs w:val="24"/>
          <w:lang w:val="el-GR"/>
        </w:rPr>
        <w:t>και την απουσία τυποποιημένων διαδικασιών</w:t>
      </w:r>
      <w:r w:rsidR="0016084B" w:rsidRPr="00196B8C">
        <w:rPr>
          <w:rFonts w:cstheme="minorHAnsi"/>
          <w:color w:val="000000"/>
          <w:sz w:val="24"/>
          <w:szCs w:val="24"/>
          <w:lang w:val="el-GR"/>
        </w:rPr>
        <w:t xml:space="preserve">, </w:t>
      </w:r>
      <w:r>
        <w:rPr>
          <w:rFonts w:cstheme="minorHAnsi"/>
          <w:color w:val="000000"/>
          <w:sz w:val="24"/>
          <w:szCs w:val="24"/>
          <w:lang w:val="el-GR"/>
        </w:rPr>
        <w:t xml:space="preserve">με κάθε αρχή να ακολουθεί </w:t>
      </w:r>
      <w:r>
        <w:rPr>
          <w:rFonts w:cstheme="minorHAnsi"/>
          <w:color w:val="000000"/>
          <w:sz w:val="24"/>
          <w:szCs w:val="24"/>
          <w:lang w:val="el-GR"/>
        </w:rPr>
        <w:lastRenderedPageBreak/>
        <w:t>τις δικές της εσωτερικές διαδικασίες</w:t>
      </w:r>
      <w:r w:rsidR="00A5147D" w:rsidRPr="00196B8C">
        <w:rPr>
          <w:rFonts w:cstheme="minorHAnsi"/>
          <w:color w:val="000000"/>
          <w:sz w:val="24"/>
          <w:szCs w:val="24"/>
          <w:lang w:val="el-GR"/>
        </w:rPr>
        <w:t xml:space="preserve"> </w:t>
      </w:r>
      <w:r>
        <w:rPr>
          <w:rFonts w:cstheme="minorHAnsi"/>
          <w:color w:val="000000"/>
          <w:sz w:val="24"/>
          <w:szCs w:val="24"/>
          <w:lang w:val="el-GR"/>
        </w:rPr>
        <w:t xml:space="preserve">όταν </w:t>
      </w:r>
      <w:r w:rsidR="00973266">
        <w:rPr>
          <w:rFonts w:cstheme="minorHAnsi"/>
          <w:color w:val="000000"/>
          <w:sz w:val="24"/>
          <w:szCs w:val="24"/>
          <w:lang w:val="el-GR"/>
        </w:rPr>
        <w:t>χειρίζεται</w:t>
      </w:r>
      <w:r>
        <w:rPr>
          <w:rFonts w:cstheme="minorHAnsi"/>
          <w:color w:val="000000"/>
          <w:sz w:val="24"/>
          <w:szCs w:val="24"/>
          <w:lang w:val="el-GR"/>
        </w:rPr>
        <w:t xml:space="preserve"> τα παράπονα</w:t>
      </w:r>
      <w:r w:rsidR="00A5147D" w:rsidRPr="00196B8C">
        <w:rPr>
          <w:rFonts w:cstheme="minorHAnsi"/>
          <w:color w:val="000000"/>
          <w:sz w:val="24"/>
          <w:szCs w:val="24"/>
          <w:lang w:val="el-GR"/>
        </w:rPr>
        <w:t xml:space="preserve">. </w:t>
      </w:r>
      <w:r>
        <w:rPr>
          <w:rFonts w:cstheme="minorHAnsi"/>
          <w:color w:val="000000"/>
          <w:sz w:val="24"/>
          <w:szCs w:val="24"/>
          <w:lang w:val="el-GR"/>
        </w:rPr>
        <w:t>Αυτό</w:t>
      </w:r>
      <w:r w:rsidRPr="0018745A">
        <w:rPr>
          <w:rFonts w:cstheme="minorHAnsi"/>
          <w:color w:val="000000"/>
          <w:sz w:val="24"/>
          <w:szCs w:val="24"/>
          <w:lang w:val="el-GR"/>
        </w:rPr>
        <w:t xml:space="preserve">, </w:t>
      </w:r>
      <w:r>
        <w:rPr>
          <w:rFonts w:cstheme="minorHAnsi"/>
          <w:color w:val="000000"/>
          <w:sz w:val="24"/>
          <w:szCs w:val="24"/>
          <w:lang w:val="el-GR"/>
        </w:rPr>
        <w:t>στην</w:t>
      </w:r>
      <w:r w:rsidRPr="0018745A">
        <w:rPr>
          <w:rFonts w:cstheme="minorHAnsi"/>
          <w:color w:val="000000"/>
          <w:sz w:val="24"/>
          <w:szCs w:val="24"/>
          <w:lang w:val="el-GR"/>
        </w:rPr>
        <w:t xml:space="preserve"> </w:t>
      </w:r>
      <w:r>
        <w:rPr>
          <w:rFonts w:cstheme="minorHAnsi"/>
          <w:color w:val="000000"/>
          <w:sz w:val="24"/>
          <w:szCs w:val="24"/>
          <w:lang w:val="el-GR"/>
        </w:rPr>
        <w:t>σειρά</w:t>
      </w:r>
      <w:r w:rsidRPr="0018745A">
        <w:rPr>
          <w:rFonts w:cstheme="minorHAnsi"/>
          <w:color w:val="000000"/>
          <w:sz w:val="24"/>
          <w:szCs w:val="24"/>
          <w:lang w:val="el-GR"/>
        </w:rPr>
        <w:t xml:space="preserve"> </w:t>
      </w:r>
      <w:r>
        <w:rPr>
          <w:rFonts w:cstheme="minorHAnsi"/>
          <w:color w:val="000000"/>
          <w:sz w:val="24"/>
          <w:szCs w:val="24"/>
          <w:lang w:val="el-GR"/>
        </w:rPr>
        <w:t>του</w:t>
      </w:r>
      <w:r w:rsidRPr="0018745A">
        <w:rPr>
          <w:rFonts w:cstheme="minorHAnsi"/>
          <w:color w:val="000000"/>
          <w:sz w:val="24"/>
          <w:szCs w:val="24"/>
          <w:lang w:val="el-GR"/>
        </w:rPr>
        <w:t xml:space="preserve">, </w:t>
      </w:r>
      <w:r>
        <w:rPr>
          <w:rFonts w:cstheme="minorHAnsi"/>
          <w:color w:val="000000"/>
          <w:sz w:val="24"/>
          <w:szCs w:val="24"/>
          <w:lang w:val="el-GR"/>
        </w:rPr>
        <w:t>εμποδίζει</w:t>
      </w:r>
      <w:r w:rsidRPr="0018745A">
        <w:rPr>
          <w:rFonts w:cstheme="minorHAnsi"/>
          <w:color w:val="000000"/>
          <w:sz w:val="24"/>
          <w:szCs w:val="24"/>
          <w:lang w:val="el-GR"/>
        </w:rPr>
        <w:t xml:space="preserve"> </w:t>
      </w:r>
      <w:r>
        <w:rPr>
          <w:rFonts w:cstheme="minorHAnsi"/>
          <w:color w:val="000000"/>
          <w:sz w:val="24"/>
          <w:szCs w:val="24"/>
          <w:lang w:val="el-GR"/>
        </w:rPr>
        <w:t>την</w:t>
      </w:r>
      <w:r w:rsidRPr="0018745A">
        <w:rPr>
          <w:rFonts w:cstheme="minorHAnsi"/>
          <w:color w:val="000000"/>
          <w:sz w:val="24"/>
          <w:szCs w:val="24"/>
          <w:lang w:val="el-GR"/>
        </w:rPr>
        <w:t xml:space="preserve"> </w:t>
      </w:r>
      <w:r>
        <w:rPr>
          <w:rFonts w:cstheme="minorHAnsi"/>
          <w:color w:val="000000"/>
          <w:sz w:val="24"/>
          <w:szCs w:val="24"/>
          <w:lang w:val="el-GR"/>
        </w:rPr>
        <w:t>αποτελεσματικότητα</w:t>
      </w:r>
      <w:r w:rsidRPr="0018745A">
        <w:rPr>
          <w:rFonts w:cstheme="minorHAnsi"/>
          <w:color w:val="000000"/>
          <w:sz w:val="24"/>
          <w:szCs w:val="24"/>
          <w:lang w:val="el-GR"/>
        </w:rPr>
        <w:t xml:space="preserve"> </w:t>
      </w:r>
      <w:r>
        <w:rPr>
          <w:rFonts w:cstheme="minorHAnsi"/>
          <w:color w:val="000000"/>
          <w:sz w:val="24"/>
          <w:szCs w:val="24"/>
          <w:lang w:val="el-GR"/>
        </w:rPr>
        <w:t>του</w:t>
      </w:r>
      <w:r w:rsidRPr="0018745A">
        <w:rPr>
          <w:rFonts w:cstheme="minorHAnsi"/>
          <w:color w:val="000000"/>
          <w:sz w:val="24"/>
          <w:szCs w:val="24"/>
          <w:lang w:val="el-GR"/>
        </w:rPr>
        <w:t xml:space="preserve"> </w:t>
      </w:r>
      <w:r>
        <w:rPr>
          <w:rFonts w:cstheme="minorHAnsi"/>
          <w:color w:val="000000"/>
          <w:sz w:val="24"/>
          <w:szCs w:val="24"/>
          <w:lang w:val="el-GR"/>
        </w:rPr>
        <w:t>συστήματος</w:t>
      </w:r>
      <w:r w:rsidR="0016084B" w:rsidRPr="0018745A">
        <w:rPr>
          <w:rFonts w:cstheme="minorHAnsi"/>
          <w:color w:val="000000"/>
          <w:sz w:val="24"/>
          <w:szCs w:val="24"/>
          <w:lang w:val="el-GR"/>
        </w:rPr>
        <w:t xml:space="preserve"> </w:t>
      </w:r>
      <w:r>
        <w:rPr>
          <w:rFonts w:cstheme="minorHAnsi"/>
          <w:color w:val="000000"/>
          <w:sz w:val="24"/>
          <w:szCs w:val="24"/>
          <w:lang w:val="el-GR"/>
        </w:rPr>
        <w:t xml:space="preserve">και </w:t>
      </w:r>
      <w:r w:rsidR="0018745A">
        <w:rPr>
          <w:rFonts w:cstheme="minorHAnsi"/>
          <w:color w:val="000000"/>
          <w:sz w:val="24"/>
          <w:szCs w:val="24"/>
          <w:lang w:val="el-GR"/>
        </w:rPr>
        <w:t>επ</w:t>
      </w:r>
      <w:r w:rsidR="00813692">
        <w:rPr>
          <w:rFonts w:cstheme="minorHAnsi"/>
          <w:color w:val="000000"/>
          <w:sz w:val="24"/>
          <w:szCs w:val="24"/>
          <w:lang w:val="el-GR"/>
        </w:rPr>
        <w:t xml:space="preserve">ηρεάζει </w:t>
      </w:r>
      <w:r w:rsidR="0018745A">
        <w:rPr>
          <w:rFonts w:cstheme="minorHAnsi"/>
          <w:color w:val="000000"/>
          <w:sz w:val="24"/>
          <w:szCs w:val="24"/>
          <w:lang w:val="el-GR"/>
        </w:rPr>
        <w:t>την λογοδοσία</w:t>
      </w:r>
      <w:r w:rsidR="00A5147D" w:rsidRPr="0018745A">
        <w:rPr>
          <w:rFonts w:cstheme="minorHAnsi"/>
          <w:color w:val="000000"/>
          <w:sz w:val="24"/>
          <w:szCs w:val="24"/>
          <w:lang w:val="el-GR"/>
        </w:rPr>
        <w:t xml:space="preserve">. </w:t>
      </w:r>
      <w:r w:rsidR="0018745A">
        <w:rPr>
          <w:rFonts w:cstheme="minorHAnsi"/>
          <w:color w:val="000000"/>
          <w:sz w:val="24"/>
          <w:szCs w:val="24"/>
          <w:lang w:val="el-GR"/>
        </w:rPr>
        <w:t>Χρειάζεται</w:t>
      </w:r>
      <w:r w:rsidR="0018745A" w:rsidRPr="005E6559">
        <w:rPr>
          <w:rFonts w:cstheme="minorHAnsi"/>
          <w:color w:val="000000"/>
          <w:sz w:val="24"/>
          <w:szCs w:val="24"/>
          <w:lang w:val="el-GR"/>
        </w:rPr>
        <w:t xml:space="preserve"> </w:t>
      </w:r>
      <w:r w:rsidR="0018745A">
        <w:rPr>
          <w:rFonts w:cstheme="minorHAnsi"/>
          <w:color w:val="000000"/>
          <w:sz w:val="24"/>
          <w:szCs w:val="24"/>
          <w:lang w:val="el-GR"/>
        </w:rPr>
        <w:t>να</w:t>
      </w:r>
      <w:r w:rsidR="0018745A" w:rsidRPr="005E6559">
        <w:rPr>
          <w:rFonts w:cstheme="minorHAnsi"/>
          <w:color w:val="000000"/>
          <w:sz w:val="24"/>
          <w:szCs w:val="24"/>
          <w:lang w:val="el-GR"/>
        </w:rPr>
        <w:t xml:space="preserve"> </w:t>
      </w:r>
      <w:r w:rsidR="0018745A">
        <w:rPr>
          <w:rFonts w:cstheme="minorHAnsi"/>
          <w:color w:val="000000"/>
          <w:sz w:val="24"/>
          <w:szCs w:val="24"/>
          <w:lang w:val="el-GR"/>
        </w:rPr>
        <w:t>υπάρξει</w:t>
      </w:r>
      <w:r w:rsidR="0018745A" w:rsidRPr="005E6559">
        <w:rPr>
          <w:rFonts w:cstheme="minorHAnsi"/>
          <w:color w:val="000000"/>
          <w:sz w:val="24"/>
          <w:szCs w:val="24"/>
          <w:lang w:val="el-GR"/>
        </w:rPr>
        <w:t xml:space="preserve"> </w:t>
      </w:r>
      <w:r w:rsidR="0018745A">
        <w:rPr>
          <w:rFonts w:cstheme="minorHAnsi"/>
          <w:color w:val="000000"/>
          <w:sz w:val="24"/>
          <w:szCs w:val="24"/>
          <w:lang w:val="el-GR"/>
        </w:rPr>
        <w:t>μια</w:t>
      </w:r>
      <w:r w:rsidR="0018745A" w:rsidRPr="005E6559">
        <w:rPr>
          <w:rFonts w:cstheme="minorHAnsi"/>
          <w:color w:val="000000"/>
          <w:sz w:val="24"/>
          <w:szCs w:val="24"/>
          <w:lang w:val="el-GR"/>
        </w:rPr>
        <w:t xml:space="preserve"> </w:t>
      </w:r>
      <w:r w:rsidR="0018745A">
        <w:rPr>
          <w:rFonts w:cstheme="minorHAnsi"/>
          <w:color w:val="000000"/>
          <w:sz w:val="24"/>
          <w:szCs w:val="24"/>
          <w:lang w:val="el-GR"/>
        </w:rPr>
        <w:t>ολιστική</w:t>
      </w:r>
      <w:r w:rsidR="0018745A" w:rsidRPr="005E6559">
        <w:rPr>
          <w:rFonts w:cstheme="minorHAnsi"/>
          <w:color w:val="000000"/>
          <w:sz w:val="24"/>
          <w:szCs w:val="24"/>
          <w:lang w:val="el-GR"/>
        </w:rPr>
        <w:t xml:space="preserve"> </w:t>
      </w:r>
      <w:r w:rsidR="0018745A">
        <w:rPr>
          <w:rFonts w:cstheme="minorHAnsi"/>
          <w:color w:val="000000"/>
          <w:sz w:val="24"/>
          <w:szCs w:val="24"/>
          <w:lang w:val="el-GR"/>
        </w:rPr>
        <w:t>αναθεώρηση</w:t>
      </w:r>
      <w:r w:rsidR="005E6559" w:rsidRPr="005E6559">
        <w:rPr>
          <w:rFonts w:cstheme="minorHAnsi"/>
          <w:color w:val="000000"/>
          <w:sz w:val="24"/>
          <w:szCs w:val="24"/>
          <w:lang w:val="el-GR"/>
        </w:rPr>
        <w:t xml:space="preserve"> </w:t>
      </w:r>
      <w:r w:rsidR="005E6559">
        <w:rPr>
          <w:rFonts w:cstheme="minorHAnsi"/>
          <w:color w:val="000000"/>
          <w:sz w:val="24"/>
          <w:szCs w:val="24"/>
          <w:lang w:val="el-GR"/>
        </w:rPr>
        <w:t>για</w:t>
      </w:r>
      <w:r w:rsidR="005E6559" w:rsidRPr="005E6559">
        <w:rPr>
          <w:rFonts w:cstheme="minorHAnsi"/>
          <w:color w:val="000000"/>
          <w:sz w:val="24"/>
          <w:szCs w:val="24"/>
          <w:lang w:val="el-GR"/>
        </w:rPr>
        <w:t xml:space="preserve"> </w:t>
      </w:r>
      <w:r w:rsidR="005E6559">
        <w:rPr>
          <w:rFonts w:cstheme="minorHAnsi"/>
          <w:color w:val="000000"/>
          <w:sz w:val="24"/>
          <w:szCs w:val="24"/>
          <w:lang w:val="el-GR"/>
        </w:rPr>
        <w:t>το</w:t>
      </w:r>
      <w:r w:rsidR="005E6559" w:rsidRPr="005E6559">
        <w:rPr>
          <w:rFonts w:cstheme="minorHAnsi"/>
          <w:color w:val="000000"/>
          <w:sz w:val="24"/>
          <w:szCs w:val="24"/>
          <w:lang w:val="el-GR"/>
        </w:rPr>
        <w:t xml:space="preserve"> </w:t>
      </w:r>
      <w:r w:rsidR="005E6559">
        <w:rPr>
          <w:rFonts w:cstheme="minorHAnsi"/>
          <w:color w:val="000000"/>
          <w:sz w:val="24"/>
          <w:szCs w:val="24"/>
          <w:lang w:val="el-GR"/>
        </w:rPr>
        <w:t>πώς</w:t>
      </w:r>
      <w:r w:rsidR="005E6559" w:rsidRPr="005E6559">
        <w:rPr>
          <w:rFonts w:cstheme="minorHAnsi"/>
          <w:color w:val="000000"/>
          <w:sz w:val="24"/>
          <w:szCs w:val="24"/>
          <w:lang w:val="el-GR"/>
        </w:rPr>
        <w:t xml:space="preserve"> </w:t>
      </w:r>
      <w:r w:rsidR="005E6559">
        <w:rPr>
          <w:rFonts w:cstheme="minorHAnsi"/>
          <w:color w:val="000000"/>
          <w:sz w:val="24"/>
          <w:szCs w:val="24"/>
          <w:lang w:val="el-GR"/>
        </w:rPr>
        <w:t>υποβάλλονται</w:t>
      </w:r>
      <w:r w:rsidR="005E6559" w:rsidRPr="005E6559">
        <w:rPr>
          <w:rFonts w:cstheme="minorHAnsi"/>
          <w:color w:val="000000"/>
          <w:sz w:val="24"/>
          <w:szCs w:val="24"/>
          <w:lang w:val="el-GR"/>
        </w:rPr>
        <w:t xml:space="preserve"> </w:t>
      </w:r>
      <w:r w:rsidR="00813692">
        <w:rPr>
          <w:rFonts w:cstheme="minorHAnsi"/>
          <w:color w:val="000000"/>
          <w:sz w:val="24"/>
          <w:szCs w:val="24"/>
          <w:lang w:val="el-GR"/>
        </w:rPr>
        <w:t>τα</w:t>
      </w:r>
      <w:r w:rsidR="00813692" w:rsidRPr="005E6559">
        <w:rPr>
          <w:rFonts w:cstheme="minorHAnsi"/>
          <w:color w:val="000000"/>
          <w:sz w:val="24"/>
          <w:szCs w:val="24"/>
          <w:lang w:val="el-GR"/>
        </w:rPr>
        <w:t xml:space="preserve"> </w:t>
      </w:r>
      <w:r w:rsidR="00813692">
        <w:rPr>
          <w:rFonts w:cstheme="minorHAnsi"/>
          <w:color w:val="000000"/>
          <w:sz w:val="24"/>
          <w:szCs w:val="24"/>
          <w:lang w:val="el-GR"/>
        </w:rPr>
        <w:t xml:space="preserve">παράπονα  </w:t>
      </w:r>
      <w:r w:rsidR="005E6559">
        <w:rPr>
          <w:rFonts w:cstheme="minorHAnsi"/>
          <w:color w:val="000000"/>
          <w:sz w:val="24"/>
          <w:szCs w:val="24"/>
          <w:lang w:val="el-GR"/>
        </w:rPr>
        <w:t>και</w:t>
      </w:r>
      <w:r w:rsidR="005E6559" w:rsidRPr="005E6559">
        <w:rPr>
          <w:rFonts w:cstheme="minorHAnsi"/>
          <w:color w:val="000000"/>
          <w:sz w:val="24"/>
          <w:szCs w:val="24"/>
          <w:lang w:val="el-GR"/>
        </w:rPr>
        <w:t xml:space="preserve"> </w:t>
      </w:r>
      <w:r w:rsidR="00813692">
        <w:rPr>
          <w:rFonts w:cstheme="minorHAnsi"/>
          <w:color w:val="000000"/>
          <w:sz w:val="24"/>
          <w:szCs w:val="24"/>
          <w:lang w:val="el-GR"/>
        </w:rPr>
        <w:t xml:space="preserve">πως αυτά τυγχάνουν </w:t>
      </w:r>
      <w:r w:rsidR="00973266">
        <w:rPr>
          <w:rFonts w:cstheme="minorHAnsi"/>
          <w:color w:val="000000"/>
          <w:sz w:val="24"/>
          <w:szCs w:val="24"/>
          <w:lang w:val="el-GR"/>
        </w:rPr>
        <w:t>επεξεργασίας</w:t>
      </w:r>
      <w:r w:rsidR="0016084B" w:rsidRPr="005E6559">
        <w:rPr>
          <w:rFonts w:cstheme="minorHAnsi"/>
          <w:sz w:val="24"/>
          <w:szCs w:val="24"/>
          <w:lang w:val="el-GR"/>
        </w:rPr>
        <w:t xml:space="preserve">, </w:t>
      </w:r>
      <w:r w:rsidR="005E6559">
        <w:rPr>
          <w:rFonts w:cstheme="minorHAnsi"/>
          <w:sz w:val="24"/>
          <w:szCs w:val="24"/>
          <w:lang w:val="el-GR"/>
        </w:rPr>
        <w:t xml:space="preserve">καθώς επίσης και </w:t>
      </w:r>
      <w:r w:rsidR="00973266">
        <w:rPr>
          <w:rFonts w:cstheme="minorHAnsi"/>
          <w:sz w:val="24"/>
          <w:szCs w:val="24"/>
          <w:lang w:val="el-GR"/>
        </w:rPr>
        <w:t>διαφάνεια</w:t>
      </w:r>
      <w:r w:rsidR="005E6559">
        <w:rPr>
          <w:rFonts w:cstheme="minorHAnsi"/>
          <w:sz w:val="24"/>
          <w:szCs w:val="24"/>
          <w:lang w:val="el-GR"/>
        </w:rPr>
        <w:t xml:space="preserve"> και λογοδοσία</w:t>
      </w:r>
      <w:r w:rsidR="00A5147D" w:rsidRPr="005E6559">
        <w:rPr>
          <w:rFonts w:cstheme="minorHAnsi"/>
          <w:sz w:val="24"/>
          <w:szCs w:val="24"/>
          <w:lang w:val="el-GR"/>
        </w:rPr>
        <w:t xml:space="preserve"> </w:t>
      </w:r>
      <w:r w:rsidR="00813692">
        <w:rPr>
          <w:rFonts w:cstheme="minorHAnsi"/>
          <w:sz w:val="24"/>
          <w:szCs w:val="24"/>
          <w:lang w:val="el-GR"/>
        </w:rPr>
        <w:t xml:space="preserve">σε ότι </w:t>
      </w:r>
      <w:r w:rsidR="00973266">
        <w:rPr>
          <w:rFonts w:cstheme="minorHAnsi"/>
          <w:sz w:val="24"/>
          <w:szCs w:val="24"/>
          <w:lang w:val="el-GR"/>
        </w:rPr>
        <w:t>αφορά</w:t>
      </w:r>
      <w:r w:rsidR="00813692">
        <w:rPr>
          <w:rFonts w:cstheme="minorHAnsi"/>
          <w:sz w:val="24"/>
          <w:szCs w:val="24"/>
          <w:lang w:val="el-GR"/>
        </w:rPr>
        <w:t xml:space="preserve"> τον τρόπο χειρισμού τους</w:t>
      </w:r>
      <w:r w:rsidR="00A5147D" w:rsidRPr="005E6559">
        <w:rPr>
          <w:rFonts w:cstheme="minorHAnsi"/>
          <w:sz w:val="24"/>
          <w:szCs w:val="24"/>
          <w:lang w:val="el-GR"/>
        </w:rPr>
        <w:t xml:space="preserve">. </w:t>
      </w:r>
      <w:r w:rsidR="005E6559">
        <w:rPr>
          <w:rFonts w:cstheme="minorHAnsi"/>
          <w:sz w:val="24"/>
          <w:szCs w:val="24"/>
          <w:lang w:val="el-GR"/>
        </w:rPr>
        <w:t>Χρειάζ</w:t>
      </w:r>
      <w:r w:rsidR="00813692">
        <w:rPr>
          <w:rFonts w:cstheme="minorHAnsi"/>
          <w:sz w:val="24"/>
          <w:szCs w:val="24"/>
          <w:lang w:val="el-GR"/>
        </w:rPr>
        <w:t>ε</w:t>
      </w:r>
      <w:r w:rsidR="005E6559">
        <w:rPr>
          <w:rFonts w:cstheme="minorHAnsi"/>
          <w:sz w:val="24"/>
          <w:szCs w:val="24"/>
          <w:lang w:val="el-GR"/>
        </w:rPr>
        <w:t>ται</w:t>
      </w:r>
      <w:r w:rsidR="005E6559" w:rsidRPr="009A7774">
        <w:rPr>
          <w:rFonts w:cstheme="minorHAnsi"/>
          <w:sz w:val="24"/>
          <w:szCs w:val="24"/>
          <w:lang w:val="el-GR"/>
        </w:rPr>
        <w:t xml:space="preserve"> </w:t>
      </w:r>
      <w:r w:rsidR="005E6559">
        <w:rPr>
          <w:rFonts w:cstheme="minorHAnsi"/>
          <w:sz w:val="24"/>
          <w:szCs w:val="24"/>
          <w:lang w:val="el-GR"/>
        </w:rPr>
        <w:t>καλύτερος</w:t>
      </w:r>
      <w:r w:rsidR="005E6559" w:rsidRPr="009A7774">
        <w:rPr>
          <w:rFonts w:cstheme="minorHAnsi"/>
          <w:sz w:val="24"/>
          <w:szCs w:val="24"/>
          <w:lang w:val="el-GR"/>
        </w:rPr>
        <w:t xml:space="preserve"> </w:t>
      </w:r>
      <w:r w:rsidR="00813692">
        <w:rPr>
          <w:rFonts w:cstheme="minorHAnsi"/>
          <w:sz w:val="24"/>
          <w:szCs w:val="24"/>
          <w:lang w:val="el-GR"/>
        </w:rPr>
        <w:t xml:space="preserve">τρόπος </w:t>
      </w:r>
      <w:r w:rsidR="005E6559">
        <w:rPr>
          <w:rFonts w:cstheme="minorHAnsi"/>
          <w:sz w:val="24"/>
          <w:szCs w:val="24"/>
          <w:lang w:val="el-GR"/>
        </w:rPr>
        <w:t>εντοπισμ</w:t>
      </w:r>
      <w:r w:rsidR="00813692">
        <w:rPr>
          <w:rFonts w:cstheme="minorHAnsi"/>
          <w:sz w:val="24"/>
          <w:szCs w:val="24"/>
          <w:lang w:val="el-GR"/>
        </w:rPr>
        <w:t>ού</w:t>
      </w:r>
      <w:r w:rsidR="005E6559" w:rsidRPr="009A7774">
        <w:rPr>
          <w:rFonts w:cstheme="minorHAnsi"/>
          <w:sz w:val="24"/>
          <w:szCs w:val="24"/>
          <w:lang w:val="el-GR"/>
        </w:rPr>
        <w:t xml:space="preserve"> </w:t>
      </w:r>
      <w:r w:rsidR="005E6559">
        <w:rPr>
          <w:rFonts w:cstheme="minorHAnsi"/>
          <w:sz w:val="24"/>
          <w:szCs w:val="24"/>
          <w:lang w:val="el-GR"/>
        </w:rPr>
        <w:t>και</w:t>
      </w:r>
      <w:r w:rsidR="00813692">
        <w:rPr>
          <w:rFonts w:cstheme="minorHAnsi"/>
          <w:sz w:val="24"/>
          <w:szCs w:val="24"/>
          <w:lang w:val="el-GR"/>
        </w:rPr>
        <w:t xml:space="preserve"> τήρηση </w:t>
      </w:r>
      <w:r w:rsidR="005E6559">
        <w:rPr>
          <w:rFonts w:cstheme="minorHAnsi"/>
          <w:sz w:val="24"/>
          <w:szCs w:val="24"/>
          <w:lang w:val="el-GR"/>
        </w:rPr>
        <w:t>στατιστικ</w:t>
      </w:r>
      <w:r w:rsidR="00813692">
        <w:rPr>
          <w:rFonts w:cstheme="minorHAnsi"/>
          <w:sz w:val="24"/>
          <w:szCs w:val="24"/>
          <w:lang w:val="el-GR"/>
        </w:rPr>
        <w:t>ών</w:t>
      </w:r>
      <w:r w:rsidR="00A5147D" w:rsidRPr="009A7774">
        <w:rPr>
          <w:rFonts w:cstheme="minorHAnsi"/>
          <w:sz w:val="24"/>
          <w:szCs w:val="24"/>
          <w:lang w:val="el-GR"/>
        </w:rPr>
        <w:t>.</w:t>
      </w:r>
      <w:r w:rsidR="00A5147D" w:rsidRPr="009A7774">
        <w:rPr>
          <w:rFonts w:cstheme="minorHAnsi"/>
          <w:color w:val="000000"/>
          <w:sz w:val="24"/>
          <w:szCs w:val="24"/>
          <w:lang w:val="el-GR"/>
        </w:rPr>
        <w:t xml:space="preserve"> </w:t>
      </w:r>
      <w:r w:rsidR="005E6559">
        <w:rPr>
          <w:rFonts w:cstheme="minorHAnsi"/>
          <w:color w:val="000000"/>
          <w:sz w:val="24"/>
          <w:szCs w:val="24"/>
          <w:lang w:val="el-GR"/>
        </w:rPr>
        <w:t>Μπορούν</w:t>
      </w:r>
      <w:r w:rsidR="005E6559" w:rsidRPr="005E6559">
        <w:rPr>
          <w:rFonts w:cstheme="minorHAnsi"/>
          <w:color w:val="000000"/>
          <w:sz w:val="24"/>
          <w:szCs w:val="24"/>
          <w:lang w:val="el-GR"/>
        </w:rPr>
        <w:t xml:space="preserve"> </w:t>
      </w:r>
      <w:r w:rsidR="005E6559">
        <w:rPr>
          <w:rFonts w:cstheme="minorHAnsi"/>
          <w:color w:val="000000"/>
          <w:sz w:val="24"/>
          <w:szCs w:val="24"/>
          <w:lang w:val="el-GR"/>
        </w:rPr>
        <w:t>να</w:t>
      </w:r>
      <w:r w:rsidR="005E6559" w:rsidRPr="005E6559">
        <w:rPr>
          <w:rFonts w:cstheme="minorHAnsi"/>
          <w:color w:val="000000"/>
          <w:sz w:val="24"/>
          <w:szCs w:val="24"/>
          <w:lang w:val="el-GR"/>
        </w:rPr>
        <w:t xml:space="preserve"> </w:t>
      </w:r>
      <w:r w:rsidR="005E6559">
        <w:rPr>
          <w:rFonts w:cstheme="minorHAnsi"/>
          <w:color w:val="000000"/>
          <w:sz w:val="24"/>
          <w:szCs w:val="24"/>
          <w:lang w:val="el-GR"/>
        </w:rPr>
        <w:t>γίνουν</w:t>
      </w:r>
      <w:r w:rsidR="005E6559" w:rsidRPr="005E6559">
        <w:rPr>
          <w:rFonts w:cstheme="minorHAnsi"/>
          <w:color w:val="000000"/>
          <w:sz w:val="24"/>
          <w:szCs w:val="24"/>
          <w:lang w:val="el-GR"/>
        </w:rPr>
        <w:t xml:space="preserve"> </w:t>
      </w:r>
      <w:r w:rsidR="005E6559">
        <w:rPr>
          <w:rFonts w:cstheme="minorHAnsi"/>
          <w:color w:val="000000"/>
          <w:sz w:val="24"/>
          <w:szCs w:val="24"/>
          <w:lang w:val="el-GR"/>
        </w:rPr>
        <w:t>και</w:t>
      </w:r>
      <w:r w:rsidR="005E6559" w:rsidRPr="005E6559">
        <w:rPr>
          <w:rFonts w:cstheme="minorHAnsi"/>
          <w:color w:val="000000"/>
          <w:sz w:val="24"/>
          <w:szCs w:val="24"/>
          <w:lang w:val="el-GR"/>
        </w:rPr>
        <w:t xml:space="preserve"> </w:t>
      </w:r>
      <w:r w:rsidR="005E6559">
        <w:rPr>
          <w:rFonts w:cstheme="minorHAnsi"/>
          <w:color w:val="000000"/>
          <w:sz w:val="24"/>
          <w:szCs w:val="24"/>
          <w:lang w:val="el-GR"/>
        </w:rPr>
        <w:t>περαιτέρω</w:t>
      </w:r>
      <w:r w:rsidR="005E6559" w:rsidRPr="005E6559">
        <w:rPr>
          <w:rFonts w:cstheme="minorHAnsi"/>
          <w:color w:val="000000"/>
          <w:sz w:val="24"/>
          <w:szCs w:val="24"/>
          <w:lang w:val="el-GR"/>
        </w:rPr>
        <w:t xml:space="preserve"> </w:t>
      </w:r>
      <w:r w:rsidR="005E6559">
        <w:rPr>
          <w:rFonts w:cstheme="minorHAnsi"/>
          <w:color w:val="000000"/>
          <w:sz w:val="24"/>
          <w:szCs w:val="24"/>
          <w:lang w:val="el-GR"/>
        </w:rPr>
        <w:t>βελτιώσεις</w:t>
      </w:r>
      <w:r w:rsidR="00A5147D" w:rsidRPr="005E6559">
        <w:rPr>
          <w:rFonts w:cstheme="minorHAnsi"/>
          <w:color w:val="000000"/>
          <w:sz w:val="24"/>
          <w:szCs w:val="24"/>
          <w:lang w:val="el-GR"/>
        </w:rPr>
        <w:t xml:space="preserve"> </w:t>
      </w:r>
      <w:r w:rsidR="005E6559">
        <w:rPr>
          <w:rFonts w:cstheme="minorHAnsi"/>
          <w:color w:val="000000"/>
          <w:sz w:val="24"/>
          <w:szCs w:val="24"/>
          <w:lang w:val="el-GR"/>
        </w:rPr>
        <w:t>στο</w:t>
      </w:r>
      <w:r w:rsidR="005E6559" w:rsidRPr="005E6559">
        <w:rPr>
          <w:rFonts w:cstheme="minorHAnsi"/>
          <w:color w:val="000000"/>
          <w:sz w:val="24"/>
          <w:szCs w:val="24"/>
          <w:lang w:val="el-GR"/>
        </w:rPr>
        <w:t xml:space="preserve"> </w:t>
      </w:r>
      <w:r w:rsidR="005E6559">
        <w:rPr>
          <w:rFonts w:cstheme="minorHAnsi"/>
          <w:color w:val="000000"/>
          <w:sz w:val="24"/>
          <w:szCs w:val="24"/>
          <w:lang w:val="el-GR"/>
        </w:rPr>
        <w:t>παρόν</w:t>
      </w:r>
      <w:r w:rsidR="005E6559" w:rsidRPr="005E6559">
        <w:rPr>
          <w:rFonts w:cstheme="minorHAnsi"/>
          <w:color w:val="000000"/>
          <w:sz w:val="24"/>
          <w:szCs w:val="24"/>
          <w:lang w:val="el-GR"/>
        </w:rPr>
        <w:t xml:space="preserve"> </w:t>
      </w:r>
      <w:r w:rsidR="005E6559">
        <w:rPr>
          <w:rFonts w:cstheme="minorHAnsi"/>
          <w:color w:val="000000"/>
          <w:sz w:val="24"/>
          <w:szCs w:val="24"/>
          <w:lang w:val="el-GR"/>
        </w:rPr>
        <w:t>πειθαρχικό</w:t>
      </w:r>
      <w:r w:rsidR="005E6559" w:rsidRPr="005E6559">
        <w:rPr>
          <w:rFonts w:cstheme="minorHAnsi"/>
          <w:color w:val="000000"/>
          <w:sz w:val="24"/>
          <w:szCs w:val="24"/>
          <w:lang w:val="el-GR"/>
        </w:rPr>
        <w:t xml:space="preserve"> </w:t>
      </w:r>
      <w:r w:rsidR="005E6559">
        <w:rPr>
          <w:rFonts w:cstheme="minorHAnsi"/>
          <w:color w:val="000000"/>
          <w:sz w:val="24"/>
          <w:szCs w:val="24"/>
          <w:lang w:val="el-GR"/>
        </w:rPr>
        <w:t>σύστημα</w:t>
      </w:r>
      <w:r w:rsidR="005E6559" w:rsidRPr="005E6559">
        <w:rPr>
          <w:rFonts w:cstheme="minorHAnsi"/>
          <w:color w:val="000000"/>
          <w:sz w:val="24"/>
          <w:szCs w:val="24"/>
          <w:lang w:val="el-GR"/>
        </w:rPr>
        <w:t xml:space="preserve"> </w:t>
      </w:r>
      <w:r w:rsidR="005E6559">
        <w:rPr>
          <w:rFonts w:cstheme="minorHAnsi"/>
          <w:color w:val="000000"/>
          <w:sz w:val="24"/>
          <w:szCs w:val="24"/>
          <w:lang w:val="el-GR"/>
        </w:rPr>
        <w:t>της</w:t>
      </w:r>
      <w:r w:rsidR="005E6559" w:rsidRPr="005E6559">
        <w:rPr>
          <w:rFonts w:cstheme="minorHAnsi"/>
          <w:color w:val="000000"/>
          <w:sz w:val="24"/>
          <w:szCs w:val="24"/>
          <w:lang w:val="el-GR"/>
        </w:rPr>
        <w:t xml:space="preserve"> </w:t>
      </w:r>
      <w:r w:rsidR="009C4E34">
        <w:rPr>
          <w:rFonts w:cstheme="minorHAnsi"/>
          <w:color w:val="000000"/>
          <w:sz w:val="24"/>
          <w:szCs w:val="24"/>
          <w:lang w:val="el-GR"/>
        </w:rPr>
        <w:t>Αστυνομία</w:t>
      </w:r>
      <w:r w:rsidR="005E6559">
        <w:rPr>
          <w:rFonts w:cstheme="minorHAnsi"/>
          <w:color w:val="000000"/>
          <w:sz w:val="24"/>
          <w:szCs w:val="24"/>
          <w:lang w:val="el-GR"/>
        </w:rPr>
        <w:t>ς</w:t>
      </w:r>
      <w:r w:rsidR="00A5147D" w:rsidRPr="005E6559">
        <w:rPr>
          <w:rFonts w:cstheme="minorHAnsi"/>
          <w:color w:val="000000"/>
          <w:sz w:val="24"/>
          <w:szCs w:val="24"/>
          <w:lang w:val="el-GR"/>
        </w:rPr>
        <w:t xml:space="preserve"> </w:t>
      </w:r>
      <w:r w:rsidR="005E6559">
        <w:rPr>
          <w:rFonts w:cstheme="minorHAnsi"/>
          <w:color w:val="000000"/>
          <w:sz w:val="24"/>
          <w:szCs w:val="24"/>
          <w:lang w:val="el-GR"/>
        </w:rPr>
        <w:t>για</w:t>
      </w:r>
      <w:r w:rsidR="005E6559" w:rsidRPr="005E6559">
        <w:rPr>
          <w:rFonts w:cstheme="minorHAnsi"/>
          <w:color w:val="000000"/>
          <w:sz w:val="24"/>
          <w:szCs w:val="24"/>
          <w:lang w:val="el-GR"/>
        </w:rPr>
        <w:t xml:space="preserve"> </w:t>
      </w:r>
      <w:r w:rsidR="005E6559">
        <w:rPr>
          <w:rFonts w:cstheme="minorHAnsi"/>
          <w:color w:val="000000"/>
          <w:sz w:val="24"/>
          <w:szCs w:val="24"/>
          <w:lang w:val="el-GR"/>
        </w:rPr>
        <w:t>καλύτερη</w:t>
      </w:r>
      <w:r w:rsidR="005E6559" w:rsidRPr="005E6559">
        <w:rPr>
          <w:rFonts w:cstheme="minorHAnsi"/>
          <w:color w:val="000000"/>
          <w:sz w:val="24"/>
          <w:szCs w:val="24"/>
          <w:lang w:val="el-GR"/>
        </w:rPr>
        <w:t xml:space="preserve"> </w:t>
      </w:r>
      <w:r w:rsidR="005E6559">
        <w:rPr>
          <w:rFonts w:cstheme="minorHAnsi"/>
          <w:color w:val="000000"/>
          <w:sz w:val="24"/>
          <w:szCs w:val="24"/>
          <w:lang w:val="el-GR"/>
        </w:rPr>
        <w:t>εξασφάλιση</w:t>
      </w:r>
      <w:r w:rsidR="005E6559" w:rsidRPr="005E6559">
        <w:rPr>
          <w:rFonts w:cstheme="minorHAnsi"/>
          <w:color w:val="000000"/>
          <w:sz w:val="24"/>
          <w:szCs w:val="24"/>
          <w:lang w:val="el-GR"/>
        </w:rPr>
        <w:t xml:space="preserve"> </w:t>
      </w:r>
      <w:r w:rsidR="005E6559">
        <w:rPr>
          <w:rFonts w:cstheme="minorHAnsi"/>
          <w:color w:val="000000"/>
          <w:sz w:val="24"/>
          <w:szCs w:val="24"/>
          <w:lang w:val="el-GR"/>
        </w:rPr>
        <w:t>ώστε</w:t>
      </w:r>
      <w:r w:rsidR="005E6559" w:rsidRPr="005E6559">
        <w:rPr>
          <w:rFonts w:cstheme="minorHAnsi"/>
          <w:color w:val="000000"/>
          <w:sz w:val="24"/>
          <w:szCs w:val="24"/>
          <w:lang w:val="el-GR"/>
        </w:rPr>
        <w:t xml:space="preserve"> </w:t>
      </w:r>
      <w:r w:rsidR="005E6559">
        <w:rPr>
          <w:rFonts w:cstheme="minorHAnsi"/>
          <w:color w:val="000000"/>
          <w:sz w:val="24"/>
          <w:szCs w:val="24"/>
          <w:lang w:val="el-GR"/>
        </w:rPr>
        <w:t>αποφάσεις</w:t>
      </w:r>
      <w:r w:rsidR="005E6559" w:rsidRPr="005E6559">
        <w:rPr>
          <w:rFonts w:cstheme="minorHAnsi"/>
          <w:color w:val="000000"/>
          <w:sz w:val="24"/>
          <w:szCs w:val="24"/>
          <w:lang w:val="el-GR"/>
        </w:rPr>
        <w:t xml:space="preserve"> </w:t>
      </w:r>
      <w:r w:rsidR="005E6559">
        <w:rPr>
          <w:rFonts w:cstheme="minorHAnsi"/>
          <w:color w:val="000000"/>
          <w:sz w:val="24"/>
          <w:szCs w:val="24"/>
          <w:lang w:val="el-GR"/>
        </w:rPr>
        <w:t>για</w:t>
      </w:r>
      <w:r w:rsidR="005E6559" w:rsidRPr="005E6559">
        <w:rPr>
          <w:rFonts w:cstheme="minorHAnsi"/>
          <w:color w:val="000000"/>
          <w:sz w:val="24"/>
          <w:szCs w:val="24"/>
          <w:lang w:val="el-GR"/>
        </w:rPr>
        <w:t xml:space="preserve"> </w:t>
      </w:r>
      <w:r w:rsidR="005E6559">
        <w:rPr>
          <w:rFonts w:cstheme="minorHAnsi"/>
          <w:color w:val="000000"/>
          <w:sz w:val="24"/>
          <w:szCs w:val="24"/>
          <w:lang w:val="el-GR"/>
        </w:rPr>
        <w:t>υποθέσεις</w:t>
      </w:r>
      <w:r w:rsidR="005E6559" w:rsidRPr="005E6559">
        <w:rPr>
          <w:rFonts w:cstheme="minorHAnsi"/>
          <w:color w:val="000000"/>
          <w:sz w:val="24"/>
          <w:szCs w:val="24"/>
          <w:lang w:val="el-GR"/>
        </w:rPr>
        <w:t xml:space="preserve"> </w:t>
      </w:r>
      <w:r w:rsidR="005E6559">
        <w:rPr>
          <w:rFonts w:cstheme="minorHAnsi"/>
          <w:color w:val="000000"/>
          <w:sz w:val="24"/>
          <w:szCs w:val="24"/>
          <w:lang w:val="el-GR"/>
        </w:rPr>
        <w:t>λαμβάνονται</w:t>
      </w:r>
      <w:r w:rsidR="00A5147D" w:rsidRPr="005E6559">
        <w:rPr>
          <w:rFonts w:cstheme="minorHAnsi"/>
          <w:color w:val="000000"/>
          <w:sz w:val="24"/>
          <w:szCs w:val="24"/>
          <w:lang w:val="el-GR"/>
        </w:rPr>
        <w:t xml:space="preserve"> </w:t>
      </w:r>
      <w:r w:rsidR="005E6559">
        <w:rPr>
          <w:rFonts w:cstheme="minorHAnsi"/>
          <w:color w:val="000000"/>
          <w:sz w:val="24"/>
          <w:szCs w:val="24"/>
          <w:lang w:val="el-GR"/>
        </w:rPr>
        <w:t>έγκαιρα και ότι</w:t>
      </w:r>
      <w:r w:rsidR="005E6559" w:rsidRPr="005E6559">
        <w:rPr>
          <w:rFonts w:cstheme="minorHAnsi"/>
          <w:color w:val="000000"/>
          <w:sz w:val="24"/>
          <w:szCs w:val="24"/>
          <w:lang w:val="el-GR"/>
        </w:rPr>
        <w:t xml:space="preserve"> </w:t>
      </w:r>
      <w:r w:rsidR="005E6559">
        <w:rPr>
          <w:rFonts w:cstheme="minorHAnsi"/>
          <w:color w:val="000000"/>
          <w:sz w:val="24"/>
          <w:szCs w:val="24"/>
          <w:lang w:val="el-GR"/>
        </w:rPr>
        <w:t>η ανάρμοστη συμπεριφορά τιμωρείται αποτελεσματικά</w:t>
      </w:r>
      <w:r w:rsidR="00A5147D" w:rsidRPr="005E6559">
        <w:rPr>
          <w:rFonts w:cstheme="minorHAnsi"/>
          <w:color w:val="000000"/>
          <w:sz w:val="24"/>
          <w:szCs w:val="24"/>
          <w:lang w:val="el-GR"/>
        </w:rPr>
        <w:t>.</w:t>
      </w:r>
      <w:r w:rsidR="00AE66AA" w:rsidRPr="005E6559">
        <w:rPr>
          <w:rFonts w:ascii="Calibri" w:hAnsi="Calibri" w:cs="Calibri"/>
          <w:sz w:val="24"/>
          <w:szCs w:val="24"/>
          <w:lang w:val="el-GR"/>
        </w:rPr>
        <w:t xml:space="preserve"> </w:t>
      </w:r>
      <w:r w:rsidR="005E6559">
        <w:rPr>
          <w:rFonts w:ascii="Calibri" w:hAnsi="Calibri" w:cs="Calibri"/>
          <w:sz w:val="24"/>
          <w:szCs w:val="24"/>
          <w:lang w:val="el-GR"/>
        </w:rPr>
        <w:t>Η</w:t>
      </w:r>
      <w:r w:rsidR="005E6559" w:rsidRPr="005E6559">
        <w:rPr>
          <w:rFonts w:ascii="Calibri" w:hAnsi="Calibri" w:cs="Calibri"/>
          <w:sz w:val="24"/>
          <w:szCs w:val="24"/>
          <w:lang w:val="el-GR"/>
        </w:rPr>
        <w:t xml:space="preserve"> </w:t>
      </w:r>
      <w:r w:rsidR="005E6559">
        <w:rPr>
          <w:rFonts w:ascii="Calibri" w:hAnsi="Calibri" w:cs="Calibri"/>
          <w:sz w:val="24"/>
          <w:szCs w:val="24"/>
          <w:lang w:val="el-GR"/>
        </w:rPr>
        <w:t>υιοθέτηση</w:t>
      </w:r>
      <w:r w:rsidR="005E6559" w:rsidRPr="005E6559">
        <w:rPr>
          <w:rFonts w:ascii="Calibri" w:hAnsi="Calibri" w:cs="Calibri"/>
          <w:sz w:val="24"/>
          <w:szCs w:val="24"/>
          <w:lang w:val="el-GR"/>
        </w:rPr>
        <w:t xml:space="preserve"> </w:t>
      </w:r>
      <w:r w:rsidR="005E6559">
        <w:rPr>
          <w:rFonts w:ascii="Calibri" w:hAnsi="Calibri" w:cs="Calibri"/>
          <w:sz w:val="24"/>
          <w:szCs w:val="24"/>
          <w:lang w:val="el-GR"/>
        </w:rPr>
        <w:t>ενός</w:t>
      </w:r>
      <w:r w:rsidR="005E6559" w:rsidRPr="005E6559">
        <w:rPr>
          <w:rFonts w:ascii="Calibri" w:hAnsi="Calibri" w:cs="Calibri"/>
          <w:sz w:val="24"/>
          <w:szCs w:val="24"/>
          <w:lang w:val="el-GR"/>
        </w:rPr>
        <w:t xml:space="preserve"> </w:t>
      </w:r>
      <w:r w:rsidR="005E6559">
        <w:rPr>
          <w:rFonts w:ascii="Calibri" w:hAnsi="Calibri" w:cs="Calibri"/>
          <w:sz w:val="24"/>
          <w:szCs w:val="24"/>
          <w:lang w:val="el-GR"/>
        </w:rPr>
        <w:t>ειδικού</w:t>
      </w:r>
      <w:r w:rsidR="005E6559" w:rsidRPr="005E6559">
        <w:rPr>
          <w:rFonts w:ascii="Calibri" w:hAnsi="Calibri" w:cs="Calibri"/>
          <w:sz w:val="24"/>
          <w:szCs w:val="24"/>
          <w:lang w:val="el-GR"/>
        </w:rPr>
        <w:t xml:space="preserve"> </w:t>
      </w:r>
      <w:r w:rsidR="005E6559">
        <w:rPr>
          <w:rFonts w:ascii="Calibri" w:hAnsi="Calibri" w:cs="Calibri"/>
          <w:sz w:val="24"/>
          <w:szCs w:val="24"/>
          <w:lang w:val="el-GR"/>
        </w:rPr>
        <w:t>Νόμου</w:t>
      </w:r>
      <w:r w:rsidR="00973266">
        <w:rPr>
          <w:rFonts w:ascii="Calibri" w:hAnsi="Calibri" w:cs="Calibri"/>
          <w:sz w:val="24"/>
          <w:szCs w:val="24"/>
          <w:lang w:val="el-GR"/>
        </w:rPr>
        <w:t xml:space="preserve"> για</w:t>
      </w:r>
      <w:r w:rsidR="005E6559" w:rsidRPr="005E6559">
        <w:rPr>
          <w:rFonts w:ascii="Calibri" w:hAnsi="Calibri" w:cs="Calibri"/>
          <w:sz w:val="24"/>
          <w:szCs w:val="24"/>
          <w:lang w:val="el-GR"/>
        </w:rPr>
        <w:t xml:space="preserve"> </w:t>
      </w:r>
      <w:r w:rsidR="005E6559">
        <w:rPr>
          <w:rFonts w:ascii="Calibri" w:hAnsi="Calibri" w:cs="Calibri"/>
          <w:sz w:val="24"/>
          <w:szCs w:val="24"/>
          <w:lang w:val="el-GR"/>
        </w:rPr>
        <w:t>Πληροφοριοδότ</w:t>
      </w:r>
      <w:r w:rsidR="00973266">
        <w:rPr>
          <w:rFonts w:ascii="Calibri" w:hAnsi="Calibri" w:cs="Calibri"/>
          <w:sz w:val="24"/>
          <w:szCs w:val="24"/>
          <w:lang w:val="el-GR"/>
        </w:rPr>
        <w:t>ε</w:t>
      </w:r>
      <w:r w:rsidR="005E6559">
        <w:rPr>
          <w:rFonts w:ascii="Calibri" w:hAnsi="Calibri" w:cs="Calibri"/>
          <w:sz w:val="24"/>
          <w:szCs w:val="24"/>
          <w:lang w:val="el-GR"/>
        </w:rPr>
        <w:t>ς</w:t>
      </w:r>
      <w:r w:rsidR="005E6559" w:rsidRPr="005E6559">
        <w:rPr>
          <w:rFonts w:ascii="Calibri" w:hAnsi="Calibri" w:cs="Calibri"/>
          <w:sz w:val="24"/>
          <w:szCs w:val="24"/>
          <w:lang w:val="el-GR"/>
        </w:rPr>
        <w:t xml:space="preserve"> </w:t>
      </w:r>
      <w:r w:rsidR="005E6559">
        <w:rPr>
          <w:rFonts w:ascii="Calibri" w:hAnsi="Calibri" w:cs="Calibri"/>
          <w:sz w:val="24"/>
          <w:szCs w:val="24"/>
          <w:lang w:val="el-GR"/>
        </w:rPr>
        <w:t>στις</w:t>
      </w:r>
      <w:r w:rsidR="005E6559" w:rsidRPr="005E6559">
        <w:rPr>
          <w:rFonts w:ascii="Calibri" w:hAnsi="Calibri" w:cs="Calibri"/>
          <w:sz w:val="24"/>
          <w:szCs w:val="24"/>
          <w:lang w:val="el-GR"/>
        </w:rPr>
        <w:t xml:space="preserve"> </w:t>
      </w:r>
      <w:r w:rsidR="005E6559">
        <w:rPr>
          <w:rFonts w:ascii="Calibri" w:hAnsi="Calibri" w:cs="Calibri"/>
          <w:sz w:val="24"/>
          <w:szCs w:val="24"/>
          <w:lang w:val="el-GR"/>
        </w:rPr>
        <w:t>αρχές</w:t>
      </w:r>
      <w:r w:rsidR="005E6559" w:rsidRPr="005E6559">
        <w:rPr>
          <w:rFonts w:ascii="Calibri" w:hAnsi="Calibri" w:cs="Calibri"/>
          <w:sz w:val="24"/>
          <w:szCs w:val="24"/>
          <w:lang w:val="el-GR"/>
        </w:rPr>
        <w:t xml:space="preserve"> </w:t>
      </w:r>
      <w:r w:rsidR="005E6559">
        <w:rPr>
          <w:rFonts w:ascii="Calibri" w:hAnsi="Calibri" w:cs="Calibri"/>
          <w:sz w:val="24"/>
          <w:szCs w:val="24"/>
          <w:lang w:val="el-GR"/>
        </w:rPr>
        <w:t>του</w:t>
      </w:r>
      <w:r w:rsidR="005E6559" w:rsidRPr="005E6559">
        <w:rPr>
          <w:rFonts w:ascii="Calibri" w:hAnsi="Calibri" w:cs="Calibri"/>
          <w:sz w:val="24"/>
          <w:szCs w:val="24"/>
          <w:lang w:val="el-GR"/>
        </w:rPr>
        <w:t xml:space="preserve"> 2022</w:t>
      </w:r>
      <w:r w:rsidR="00AE66AA" w:rsidRPr="005E6559">
        <w:rPr>
          <w:rFonts w:ascii="Calibri" w:hAnsi="Calibri" w:cs="Calibri"/>
          <w:sz w:val="24"/>
          <w:szCs w:val="24"/>
          <w:lang w:val="el-GR"/>
        </w:rPr>
        <w:t xml:space="preserve"> </w:t>
      </w:r>
      <w:r w:rsidR="005E6559">
        <w:rPr>
          <w:rFonts w:ascii="Calibri" w:hAnsi="Calibri" w:cs="Calibri"/>
          <w:sz w:val="24"/>
          <w:szCs w:val="24"/>
          <w:lang w:val="el-GR"/>
        </w:rPr>
        <w:t>είναι</w:t>
      </w:r>
      <w:r w:rsidR="005E6559" w:rsidRPr="005E6559">
        <w:rPr>
          <w:rFonts w:ascii="Calibri" w:hAnsi="Calibri" w:cs="Calibri"/>
          <w:sz w:val="24"/>
          <w:szCs w:val="24"/>
          <w:lang w:val="el-GR"/>
        </w:rPr>
        <w:t xml:space="preserve"> </w:t>
      </w:r>
      <w:r w:rsidR="005E6559">
        <w:rPr>
          <w:rFonts w:ascii="Calibri" w:hAnsi="Calibri" w:cs="Calibri"/>
          <w:sz w:val="24"/>
          <w:szCs w:val="24"/>
          <w:lang w:val="el-GR"/>
        </w:rPr>
        <w:t>μια</w:t>
      </w:r>
      <w:r w:rsidR="005E6559" w:rsidRPr="005E6559">
        <w:rPr>
          <w:rFonts w:ascii="Calibri" w:hAnsi="Calibri" w:cs="Calibri"/>
          <w:sz w:val="24"/>
          <w:szCs w:val="24"/>
          <w:lang w:val="el-GR"/>
        </w:rPr>
        <w:t xml:space="preserve"> </w:t>
      </w:r>
      <w:r w:rsidR="005E6559">
        <w:rPr>
          <w:rFonts w:ascii="Calibri" w:hAnsi="Calibri" w:cs="Calibri"/>
          <w:sz w:val="24"/>
          <w:szCs w:val="24"/>
          <w:lang w:val="el-GR"/>
        </w:rPr>
        <w:t>ευχάριστη</w:t>
      </w:r>
      <w:r w:rsidR="005E6559" w:rsidRPr="005E6559">
        <w:rPr>
          <w:rFonts w:ascii="Calibri" w:hAnsi="Calibri" w:cs="Calibri"/>
          <w:sz w:val="24"/>
          <w:szCs w:val="24"/>
          <w:lang w:val="el-GR"/>
        </w:rPr>
        <w:t xml:space="preserve"> </w:t>
      </w:r>
      <w:r w:rsidR="005E6559">
        <w:rPr>
          <w:rFonts w:ascii="Calibri" w:hAnsi="Calibri" w:cs="Calibri"/>
          <w:sz w:val="24"/>
          <w:szCs w:val="24"/>
          <w:lang w:val="el-GR"/>
        </w:rPr>
        <w:t>εξέλιξη</w:t>
      </w:r>
      <w:r w:rsidR="00AE66AA" w:rsidRPr="005E6559">
        <w:rPr>
          <w:rFonts w:ascii="Calibri" w:hAnsi="Calibri" w:cs="Calibri"/>
          <w:sz w:val="24"/>
          <w:szCs w:val="24"/>
          <w:lang w:val="el-GR"/>
        </w:rPr>
        <w:t xml:space="preserve">, </w:t>
      </w:r>
      <w:r w:rsidR="005E6559">
        <w:rPr>
          <w:rFonts w:ascii="Calibri" w:hAnsi="Calibri" w:cs="Calibri"/>
          <w:sz w:val="24"/>
          <w:szCs w:val="24"/>
          <w:lang w:val="el-GR"/>
        </w:rPr>
        <w:t>και</w:t>
      </w:r>
      <w:r w:rsidR="005E6559" w:rsidRPr="005E6559">
        <w:rPr>
          <w:rFonts w:ascii="Calibri" w:hAnsi="Calibri" w:cs="Calibri"/>
          <w:sz w:val="24"/>
          <w:szCs w:val="24"/>
          <w:lang w:val="el-GR"/>
        </w:rPr>
        <w:t xml:space="preserve"> </w:t>
      </w:r>
      <w:r w:rsidR="005E6559">
        <w:rPr>
          <w:rFonts w:ascii="Calibri" w:hAnsi="Calibri" w:cs="Calibri"/>
          <w:sz w:val="24"/>
          <w:szCs w:val="24"/>
          <w:lang w:val="el-GR"/>
        </w:rPr>
        <w:t>το</w:t>
      </w:r>
      <w:r w:rsidR="005E6559" w:rsidRPr="005E6559">
        <w:rPr>
          <w:rFonts w:ascii="Calibri" w:hAnsi="Calibri" w:cs="Calibri"/>
          <w:sz w:val="24"/>
          <w:szCs w:val="24"/>
          <w:lang w:val="el-GR"/>
        </w:rPr>
        <w:t xml:space="preserve"> </w:t>
      </w:r>
      <w:r w:rsidR="00C53528">
        <w:rPr>
          <w:rFonts w:ascii="Calibri" w:hAnsi="Calibri" w:cs="Calibri"/>
          <w:sz w:val="24"/>
          <w:szCs w:val="24"/>
          <w:lang w:val="el-GR"/>
        </w:rPr>
        <w:t>ίδ</w:t>
      </w:r>
      <w:r w:rsidR="005E6559">
        <w:rPr>
          <w:rFonts w:ascii="Calibri" w:hAnsi="Calibri" w:cs="Calibri"/>
          <w:sz w:val="24"/>
          <w:szCs w:val="24"/>
          <w:lang w:val="el-GR"/>
        </w:rPr>
        <w:t>ιο</w:t>
      </w:r>
      <w:r w:rsidR="005E6559" w:rsidRPr="005E6559">
        <w:rPr>
          <w:rFonts w:ascii="Calibri" w:hAnsi="Calibri" w:cs="Calibri"/>
          <w:sz w:val="24"/>
          <w:szCs w:val="24"/>
          <w:lang w:val="el-GR"/>
        </w:rPr>
        <w:t xml:space="preserve"> </w:t>
      </w:r>
      <w:r w:rsidR="005E6559">
        <w:rPr>
          <w:rFonts w:ascii="Calibri" w:hAnsi="Calibri" w:cs="Calibri"/>
          <w:sz w:val="24"/>
          <w:szCs w:val="24"/>
          <w:lang w:val="el-GR"/>
        </w:rPr>
        <w:t>ισχύει</w:t>
      </w:r>
      <w:r w:rsidR="005E6559" w:rsidRPr="005E6559">
        <w:rPr>
          <w:rFonts w:ascii="Calibri" w:hAnsi="Calibri" w:cs="Calibri"/>
          <w:sz w:val="24"/>
          <w:szCs w:val="24"/>
          <w:lang w:val="el-GR"/>
        </w:rPr>
        <w:t xml:space="preserve"> </w:t>
      </w:r>
      <w:r w:rsidR="005E6559">
        <w:rPr>
          <w:rFonts w:ascii="Calibri" w:hAnsi="Calibri" w:cs="Calibri"/>
          <w:sz w:val="24"/>
          <w:szCs w:val="24"/>
          <w:lang w:val="el-GR"/>
        </w:rPr>
        <w:t>για</w:t>
      </w:r>
      <w:r w:rsidR="005E6559" w:rsidRPr="005E6559">
        <w:rPr>
          <w:rFonts w:ascii="Calibri" w:hAnsi="Calibri" w:cs="Calibri"/>
          <w:sz w:val="24"/>
          <w:szCs w:val="24"/>
          <w:lang w:val="el-GR"/>
        </w:rPr>
        <w:t xml:space="preserve"> </w:t>
      </w:r>
      <w:r w:rsidR="005E6559">
        <w:rPr>
          <w:rFonts w:ascii="Calibri" w:hAnsi="Calibri" w:cs="Calibri"/>
          <w:sz w:val="24"/>
          <w:szCs w:val="24"/>
          <w:lang w:val="el-GR"/>
        </w:rPr>
        <w:t>αρκετά</w:t>
      </w:r>
      <w:r w:rsidR="005E6559" w:rsidRPr="005E6559">
        <w:rPr>
          <w:rFonts w:ascii="Calibri" w:hAnsi="Calibri" w:cs="Calibri"/>
          <w:sz w:val="24"/>
          <w:szCs w:val="24"/>
          <w:lang w:val="el-GR"/>
        </w:rPr>
        <w:t xml:space="preserve"> </w:t>
      </w:r>
      <w:r w:rsidR="005E6559">
        <w:rPr>
          <w:rFonts w:ascii="Calibri" w:hAnsi="Calibri" w:cs="Calibri"/>
          <w:sz w:val="24"/>
          <w:szCs w:val="24"/>
          <w:lang w:val="el-GR"/>
        </w:rPr>
        <w:t>μέτρα</w:t>
      </w:r>
      <w:r w:rsidR="005E6559" w:rsidRPr="005E6559">
        <w:rPr>
          <w:rFonts w:ascii="Calibri" w:hAnsi="Calibri" w:cs="Calibri"/>
          <w:sz w:val="24"/>
          <w:szCs w:val="24"/>
          <w:lang w:val="el-GR"/>
        </w:rPr>
        <w:t xml:space="preserve"> </w:t>
      </w:r>
      <w:r w:rsidR="005E6559">
        <w:rPr>
          <w:rFonts w:ascii="Calibri" w:hAnsi="Calibri" w:cs="Calibri"/>
          <w:sz w:val="24"/>
          <w:szCs w:val="24"/>
          <w:lang w:val="el-GR"/>
        </w:rPr>
        <w:t>ευαισθητοποίησης</w:t>
      </w:r>
      <w:r w:rsidR="005E6559" w:rsidRPr="005E6559">
        <w:rPr>
          <w:rFonts w:ascii="Calibri" w:hAnsi="Calibri" w:cs="Calibri"/>
          <w:sz w:val="24"/>
          <w:szCs w:val="24"/>
          <w:lang w:val="el-GR"/>
        </w:rPr>
        <w:t xml:space="preserve"> </w:t>
      </w:r>
      <w:r w:rsidR="005E6559">
        <w:rPr>
          <w:rFonts w:ascii="Calibri" w:hAnsi="Calibri" w:cs="Calibri"/>
          <w:sz w:val="24"/>
          <w:szCs w:val="24"/>
          <w:lang w:val="el-GR"/>
        </w:rPr>
        <w:t>και</w:t>
      </w:r>
      <w:r w:rsidR="005E6559" w:rsidRPr="005E6559">
        <w:rPr>
          <w:rFonts w:ascii="Calibri" w:hAnsi="Calibri" w:cs="Calibri"/>
          <w:sz w:val="24"/>
          <w:szCs w:val="24"/>
          <w:lang w:val="el-GR"/>
        </w:rPr>
        <w:t xml:space="preserve"> </w:t>
      </w:r>
      <w:r w:rsidR="005E6559">
        <w:rPr>
          <w:rFonts w:ascii="Calibri" w:hAnsi="Calibri" w:cs="Calibri"/>
          <w:sz w:val="24"/>
          <w:szCs w:val="24"/>
          <w:lang w:val="el-GR"/>
        </w:rPr>
        <w:t>εφαρμογής</w:t>
      </w:r>
      <w:r w:rsidR="00AE66AA" w:rsidRPr="005E6559">
        <w:rPr>
          <w:rFonts w:ascii="Calibri" w:hAnsi="Calibri" w:cs="Calibri"/>
          <w:sz w:val="24"/>
          <w:szCs w:val="24"/>
          <w:lang w:val="el-GR"/>
        </w:rPr>
        <w:t xml:space="preserve"> </w:t>
      </w:r>
      <w:r w:rsidR="005E6559">
        <w:rPr>
          <w:rFonts w:ascii="Calibri" w:hAnsi="Calibri" w:cs="Calibri"/>
          <w:sz w:val="24"/>
          <w:szCs w:val="24"/>
          <w:lang w:val="el-GR"/>
        </w:rPr>
        <w:t>που</w:t>
      </w:r>
      <w:r w:rsidR="005E6559" w:rsidRPr="005E6559">
        <w:rPr>
          <w:rFonts w:ascii="Calibri" w:hAnsi="Calibri" w:cs="Calibri"/>
          <w:sz w:val="24"/>
          <w:szCs w:val="24"/>
          <w:lang w:val="el-GR"/>
        </w:rPr>
        <w:t xml:space="preserve"> </w:t>
      </w:r>
      <w:r w:rsidR="005E6559">
        <w:rPr>
          <w:rFonts w:ascii="Calibri" w:hAnsi="Calibri" w:cs="Calibri"/>
          <w:sz w:val="24"/>
          <w:szCs w:val="24"/>
          <w:lang w:val="el-GR"/>
        </w:rPr>
        <w:t>ανέπτυξε το Υπουργείο Δικαιοσύνης και Δημοσίας Τάξης</w:t>
      </w:r>
      <w:r w:rsidR="00AE66AA" w:rsidRPr="005E6559">
        <w:rPr>
          <w:rFonts w:ascii="Calibri" w:hAnsi="Calibri" w:cs="Calibri"/>
          <w:sz w:val="24"/>
          <w:szCs w:val="24"/>
          <w:lang w:val="el-GR"/>
        </w:rPr>
        <w:t xml:space="preserve"> </w:t>
      </w:r>
      <w:r w:rsidR="005E6559">
        <w:rPr>
          <w:rFonts w:ascii="Calibri" w:hAnsi="Calibri" w:cs="Calibri"/>
          <w:sz w:val="24"/>
          <w:szCs w:val="24"/>
          <w:lang w:val="el-GR"/>
        </w:rPr>
        <w:t xml:space="preserve">και η </w:t>
      </w:r>
      <w:r w:rsidR="009C4E34">
        <w:rPr>
          <w:rFonts w:ascii="Calibri" w:hAnsi="Calibri" w:cs="Calibri"/>
          <w:sz w:val="24"/>
          <w:szCs w:val="24"/>
          <w:lang w:val="el-GR"/>
        </w:rPr>
        <w:t>Αστυνομία</w:t>
      </w:r>
      <w:r w:rsidR="005E6559">
        <w:rPr>
          <w:rFonts w:ascii="Calibri" w:hAnsi="Calibri" w:cs="Calibri"/>
          <w:sz w:val="24"/>
          <w:szCs w:val="24"/>
          <w:lang w:val="el-GR"/>
        </w:rPr>
        <w:t xml:space="preserve"> η ίδια</w:t>
      </w:r>
      <w:r w:rsidR="00AE66AA" w:rsidRPr="005E6559">
        <w:rPr>
          <w:rFonts w:ascii="Calibri" w:hAnsi="Calibri" w:cs="Calibri"/>
          <w:sz w:val="24"/>
          <w:szCs w:val="24"/>
          <w:lang w:val="el-GR"/>
        </w:rPr>
        <w:t xml:space="preserve">, </w:t>
      </w:r>
      <w:r w:rsidR="005E6559">
        <w:rPr>
          <w:rFonts w:ascii="Calibri" w:hAnsi="Calibri" w:cs="Calibri"/>
          <w:sz w:val="24"/>
          <w:szCs w:val="24"/>
          <w:lang w:val="el-GR"/>
        </w:rPr>
        <w:t xml:space="preserve">ωστόσο </w:t>
      </w:r>
      <w:r w:rsidR="00973266">
        <w:rPr>
          <w:rFonts w:ascii="Calibri" w:hAnsi="Calibri" w:cs="Calibri"/>
          <w:sz w:val="24"/>
          <w:szCs w:val="24"/>
          <w:lang w:val="el-GR"/>
        </w:rPr>
        <w:t>φαίνεται</w:t>
      </w:r>
      <w:r w:rsidR="005E6559">
        <w:rPr>
          <w:rFonts w:ascii="Calibri" w:hAnsi="Calibri" w:cs="Calibri"/>
          <w:sz w:val="24"/>
          <w:szCs w:val="24"/>
          <w:lang w:val="el-GR"/>
        </w:rPr>
        <w:t xml:space="preserve"> ότι είναι απαραίτητη</w:t>
      </w:r>
      <w:r w:rsidR="00C53528">
        <w:rPr>
          <w:rFonts w:ascii="Calibri" w:hAnsi="Calibri" w:cs="Calibri"/>
          <w:sz w:val="24"/>
          <w:szCs w:val="24"/>
          <w:lang w:val="el-GR"/>
        </w:rPr>
        <w:t xml:space="preserve"> η </w:t>
      </w:r>
      <w:r w:rsidR="00973266">
        <w:rPr>
          <w:rFonts w:ascii="Calibri" w:hAnsi="Calibri" w:cs="Calibri"/>
          <w:sz w:val="24"/>
          <w:szCs w:val="24"/>
          <w:lang w:val="el-GR"/>
        </w:rPr>
        <w:t>επιπρόσθετη</w:t>
      </w:r>
      <w:r w:rsidR="00C53528">
        <w:rPr>
          <w:rFonts w:ascii="Calibri" w:hAnsi="Calibri" w:cs="Calibri"/>
          <w:sz w:val="24"/>
          <w:szCs w:val="24"/>
          <w:lang w:val="el-GR"/>
        </w:rPr>
        <w:t xml:space="preserve"> δράση</w:t>
      </w:r>
      <w:r w:rsidR="00AE66AA" w:rsidRPr="005E6559">
        <w:rPr>
          <w:rFonts w:ascii="Calibri" w:hAnsi="Calibri" w:cs="Calibri"/>
          <w:sz w:val="24"/>
          <w:szCs w:val="24"/>
          <w:lang w:val="el-GR"/>
        </w:rPr>
        <w:t xml:space="preserve"> </w:t>
      </w:r>
      <w:r w:rsidR="00C53528">
        <w:rPr>
          <w:rFonts w:ascii="Calibri" w:hAnsi="Calibri" w:cs="Calibri"/>
          <w:sz w:val="24"/>
          <w:szCs w:val="24"/>
          <w:lang w:val="el-GR"/>
        </w:rPr>
        <w:t>για να επιτρέψει αποτελεσματικά τους αστυνομικούς να μιλήσουν με ένα ασφαλή τρόπο</w:t>
      </w:r>
      <w:r w:rsidR="00A5147D" w:rsidRPr="005E6559">
        <w:rPr>
          <w:rFonts w:cstheme="minorHAnsi"/>
          <w:sz w:val="24"/>
          <w:szCs w:val="24"/>
          <w:lang w:val="el-GR"/>
        </w:rPr>
        <w:t>.</w:t>
      </w:r>
      <w:bookmarkStart w:id="10" w:name="_Toc117264336"/>
      <w:bookmarkStart w:id="11" w:name="_Toc110430321"/>
      <w:bookmarkEnd w:id="8"/>
      <w:bookmarkEnd w:id="9"/>
      <w:r w:rsidR="00475763" w:rsidRPr="005E6559">
        <w:rPr>
          <w:rFonts w:cstheme="minorHAnsi"/>
          <w:sz w:val="24"/>
          <w:szCs w:val="24"/>
          <w:lang w:val="el-GR"/>
        </w:rPr>
        <w:t xml:space="preserve"> </w:t>
      </w:r>
    </w:p>
    <w:p w14:paraId="501B3E4F" w14:textId="77777777" w:rsidR="00A5147D" w:rsidRPr="005E6559" w:rsidRDefault="00A5147D" w:rsidP="00A5147D">
      <w:pPr>
        <w:rPr>
          <w:rFonts w:eastAsiaTheme="majorEastAsia" w:cstheme="minorHAnsi"/>
          <w:b/>
          <w:bCs/>
          <w:sz w:val="24"/>
          <w:szCs w:val="24"/>
          <w:lang w:val="el-GR"/>
        </w:rPr>
      </w:pPr>
      <w:r w:rsidRPr="005E6559">
        <w:rPr>
          <w:rFonts w:cstheme="minorHAnsi"/>
          <w:sz w:val="24"/>
          <w:szCs w:val="24"/>
          <w:lang w:val="el-GR"/>
        </w:rPr>
        <w:br w:type="page"/>
      </w:r>
    </w:p>
    <w:p w14:paraId="4032441A" w14:textId="5455A2F3" w:rsidR="00A5147D" w:rsidRPr="004E251E" w:rsidRDefault="00A5147D" w:rsidP="00A5147D">
      <w:pPr>
        <w:pStyle w:val="Heading1"/>
        <w:keepNext w:val="0"/>
        <w:keepLines w:val="0"/>
        <w:tabs>
          <w:tab w:val="left" w:pos="709"/>
        </w:tabs>
        <w:spacing w:before="0"/>
        <w:rPr>
          <w:rFonts w:asciiTheme="minorHAnsi" w:hAnsiTheme="minorHAnsi" w:cstheme="minorHAnsi"/>
          <w:color w:val="auto"/>
          <w:sz w:val="24"/>
          <w:szCs w:val="24"/>
        </w:rPr>
      </w:pPr>
      <w:bookmarkStart w:id="12" w:name="_Toc136879335"/>
      <w:r w:rsidRPr="004E251E">
        <w:rPr>
          <w:rFonts w:asciiTheme="minorHAnsi" w:hAnsiTheme="minorHAnsi" w:cstheme="minorHAnsi"/>
          <w:color w:val="auto"/>
          <w:sz w:val="24"/>
          <w:szCs w:val="24"/>
        </w:rPr>
        <w:lastRenderedPageBreak/>
        <w:t>II.</w:t>
      </w:r>
      <w:r w:rsidRPr="004E251E">
        <w:rPr>
          <w:rFonts w:asciiTheme="minorHAnsi" w:hAnsiTheme="minorHAnsi" w:cstheme="minorHAnsi"/>
          <w:color w:val="auto"/>
          <w:sz w:val="24"/>
          <w:szCs w:val="24"/>
        </w:rPr>
        <w:tab/>
      </w:r>
      <w:r w:rsidR="00C53528">
        <w:rPr>
          <w:rFonts w:asciiTheme="minorHAnsi" w:hAnsiTheme="minorHAnsi" w:cstheme="minorHAnsi"/>
          <w:color w:val="auto"/>
          <w:sz w:val="24"/>
          <w:szCs w:val="24"/>
          <w:u w:val="single"/>
          <w:lang w:val="el-GR"/>
        </w:rPr>
        <w:t>ΕΙΣΑΓΩΓΗ</w:t>
      </w:r>
      <w:r w:rsidR="00C53528" w:rsidRPr="00C53528">
        <w:rPr>
          <w:rFonts w:asciiTheme="minorHAnsi" w:hAnsiTheme="minorHAnsi" w:cstheme="minorHAnsi"/>
          <w:color w:val="auto"/>
          <w:sz w:val="24"/>
          <w:szCs w:val="24"/>
          <w:u w:val="single"/>
          <w:lang w:val="en-US"/>
        </w:rPr>
        <w:t xml:space="preserve"> </w:t>
      </w:r>
      <w:r w:rsidR="00C53528">
        <w:rPr>
          <w:rFonts w:asciiTheme="minorHAnsi" w:hAnsiTheme="minorHAnsi" w:cstheme="minorHAnsi"/>
          <w:color w:val="auto"/>
          <w:sz w:val="24"/>
          <w:szCs w:val="24"/>
          <w:u w:val="single"/>
          <w:lang w:val="el-GR"/>
        </w:rPr>
        <w:t>ΚΑΙ</w:t>
      </w:r>
      <w:r w:rsidR="00C53528" w:rsidRPr="00C53528">
        <w:rPr>
          <w:rFonts w:asciiTheme="minorHAnsi" w:hAnsiTheme="minorHAnsi" w:cstheme="minorHAnsi"/>
          <w:color w:val="auto"/>
          <w:sz w:val="24"/>
          <w:szCs w:val="24"/>
          <w:u w:val="single"/>
          <w:lang w:val="en-US"/>
        </w:rPr>
        <w:t xml:space="preserve"> </w:t>
      </w:r>
      <w:r w:rsidR="00C53528">
        <w:rPr>
          <w:rFonts w:asciiTheme="minorHAnsi" w:hAnsiTheme="minorHAnsi" w:cstheme="minorHAnsi"/>
          <w:color w:val="auto"/>
          <w:sz w:val="24"/>
          <w:szCs w:val="24"/>
          <w:u w:val="single"/>
          <w:lang w:val="el-GR"/>
        </w:rPr>
        <w:t>ΜΕΘΟΔΟΛΟΓΙΑ</w:t>
      </w:r>
      <w:bookmarkEnd w:id="10"/>
      <w:bookmarkEnd w:id="12"/>
    </w:p>
    <w:p w14:paraId="636B6665" w14:textId="77777777" w:rsidR="00A5147D" w:rsidRPr="004E251E" w:rsidRDefault="00A5147D" w:rsidP="00A5147D"/>
    <w:p w14:paraId="2A441F70" w14:textId="4033B8E8" w:rsidR="00A5147D" w:rsidRPr="00C53528" w:rsidRDefault="00C53528"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Η</w:t>
      </w:r>
      <w:r w:rsidRPr="00C53528">
        <w:rPr>
          <w:rFonts w:cstheme="minorHAnsi"/>
          <w:sz w:val="24"/>
          <w:szCs w:val="24"/>
          <w:lang w:val="el-GR"/>
        </w:rPr>
        <w:t xml:space="preserve"> </w:t>
      </w:r>
      <w:r>
        <w:rPr>
          <w:rFonts w:cstheme="minorHAnsi"/>
          <w:sz w:val="24"/>
          <w:szCs w:val="24"/>
          <w:lang w:val="el-GR"/>
        </w:rPr>
        <w:t>Κύπρος</w:t>
      </w:r>
      <w:r w:rsidRPr="00C53528">
        <w:rPr>
          <w:rFonts w:cstheme="minorHAnsi"/>
          <w:sz w:val="24"/>
          <w:szCs w:val="24"/>
          <w:lang w:val="el-GR"/>
        </w:rPr>
        <w:t xml:space="preserve"> </w:t>
      </w:r>
      <w:r>
        <w:rPr>
          <w:rFonts w:cstheme="minorHAnsi"/>
          <w:sz w:val="24"/>
          <w:szCs w:val="24"/>
          <w:lang w:val="el-GR"/>
        </w:rPr>
        <w:t>εντάχθηκε</w:t>
      </w:r>
      <w:r w:rsidRPr="00C53528">
        <w:rPr>
          <w:rFonts w:cstheme="minorHAnsi"/>
          <w:sz w:val="24"/>
          <w:szCs w:val="24"/>
          <w:lang w:val="el-GR"/>
        </w:rPr>
        <w:t xml:space="preserve"> </w:t>
      </w:r>
      <w:r>
        <w:rPr>
          <w:rFonts w:cstheme="minorHAnsi"/>
          <w:sz w:val="24"/>
          <w:szCs w:val="24"/>
          <w:lang w:val="el-GR"/>
        </w:rPr>
        <w:t>στην</w:t>
      </w:r>
      <w:r w:rsidR="00A5147D" w:rsidRPr="00C53528">
        <w:rPr>
          <w:rFonts w:cstheme="minorHAnsi"/>
          <w:sz w:val="24"/>
          <w:szCs w:val="24"/>
          <w:lang w:val="el-GR"/>
        </w:rPr>
        <w:t xml:space="preserve"> </w:t>
      </w:r>
      <w:r w:rsidR="00A5147D" w:rsidRPr="004E251E">
        <w:rPr>
          <w:rFonts w:cstheme="minorHAnsi"/>
          <w:sz w:val="24"/>
          <w:szCs w:val="24"/>
        </w:rPr>
        <w:t>GRECO</w:t>
      </w:r>
      <w:r w:rsidR="00A5147D" w:rsidRPr="00C53528">
        <w:rPr>
          <w:rFonts w:cstheme="minorHAnsi"/>
          <w:sz w:val="24"/>
          <w:szCs w:val="24"/>
          <w:lang w:val="el-GR"/>
        </w:rPr>
        <w:t xml:space="preserve"> </w:t>
      </w:r>
      <w:r>
        <w:rPr>
          <w:rFonts w:cstheme="minorHAnsi"/>
          <w:sz w:val="24"/>
          <w:szCs w:val="24"/>
          <w:lang w:val="el-GR"/>
        </w:rPr>
        <w:t>τον</w:t>
      </w:r>
      <w:r w:rsidRPr="00C53528">
        <w:rPr>
          <w:rFonts w:cstheme="minorHAnsi"/>
          <w:sz w:val="24"/>
          <w:szCs w:val="24"/>
          <w:lang w:val="el-GR"/>
        </w:rPr>
        <w:t xml:space="preserve"> </w:t>
      </w:r>
      <w:r>
        <w:rPr>
          <w:rFonts w:cstheme="minorHAnsi"/>
          <w:sz w:val="24"/>
          <w:szCs w:val="24"/>
          <w:lang w:val="el-GR"/>
        </w:rPr>
        <w:t>Μάϊο</w:t>
      </w:r>
      <w:r w:rsidR="00A5147D" w:rsidRPr="00C53528">
        <w:rPr>
          <w:rFonts w:cstheme="minorHAnsi"/>
          <w:sz w:val="24"/>
          <w:szCs w:val="24"/>
          <w:lang w:val="el-GR"/>
        </w:rPr>
        <w:t xml:space="preserve"> </w:t>
      </w:r>
      <w:r>
        <w:rPr>
          <w:rFonts w:cstheme="minorHAnsi"/>
          <w:sz w:val="24"/>
          <w:szCs w:val="24"/>
          <w:lang w:val="el-GR"/>
        </w:rPr>
        <w:t>του</w:t>
      </w:r>
      <w:r w:rsidRPr="00C53528">
        <w:rPr>
          <w:rFonts w:cstheme="minorHAnsi"/>
          <w:sz w:val="24"/>
          <w:szCs w:val="24"/>
          <w:lang w:val="el-GR"/>
        </w:rPr>
        <w:t xml:space="preserve"> </w:t>
      </w:r>
      <w:r w:rsidR="00A5147D" w:rsidRPr="00C53528">
        <w:rPr>
          <w:rFonts w:cstheme="minorHAnsi"/>
          <w:sz w:val="24"/>
          <w:szCs w:val="24"/>
          <w:lang w:val="el-GR"/>
        </w:rPr>
        <w:t xml:space="preserve">1999 </w:t>
      </w:r>
      <w:r>
        <w:rPr>
          <w:rFonts w:cstheme="minorHAnsi"/>
          <w:sz w:val="24"/>
          <w:szCs w:val="24"/>
          <w:lang w:val="el-GR"/>
        </w:rPr>
        <w:t>και</w:t>
      </w:r>
      <w:r w:rsidRPr="00C53528">
        <w:rPr>
          <w:rFonts w:cstheme="minorHAnsi"/>
          <w:sz w:val="24"/>
          <w:szCs w:val="24"/>
          <w:lang w:val="el-GR"/>
        </w:rPr>
        <w:t xml:space="preserve"> </w:t>
      </w:r>
      <w:r>
        <w:rPr>
          <w:rFonts w:cstheme="minorHAnsi"/>
          <w:sz w:val="24"/>
          <w:szCs w:val="24"/>
          <w:lang w:val="el-GR"/>
        </w:rPr>
        <w:t>έχει</w:t>
      </w:r>
      <w:r w:rsidRPr="00C53528">
        <w:rPr>
          <w:rFonts w:cstheme="minorHAnsi"/>
          <w:sz w:val="24"/>
          <w:szCs w:val="24"/>
          <w:lang w:val="el-GR"/>
        </w:rPr>
        <w:t xml:space="preserve"> </w:t>
      </w:r>
      <w:r>
        <w:rPr>
          <w:rFonts w:cstheme="minorHAnsi"/>
          <w:sz w:val="24"/>
          <w:szCs w:val="24"/>
          <w:lang w:val="el-GR"/>
        </w:rPr>
        <w:t>αξιολογηθεί</w:t>
      </w:r>
      <w:r w:rsidRPr="00C53528">
        <w:rPr>
          <w:rFonts w:cstheme="minorHAnsi"/>
          <w:sz w:val="24"/>
          <w:szCs w:val="24"/>
          <w:lang w:val="el-GR"/>
        </w:rPr>
        <w:t xml:space="preserve"> </w:t>
      </w:r>
      <w:r w:rsidR="00242679">
        <w:rPr>
          <w:rFonts w:cstheme="minorHAnsi"/>
          <w:sz w:val="24"/>
          <w:szCs w:val="24"/>
          <w:lang w:val="el-GR"/>
        </w:rPr>
        <w:t xml:space="preserve"> εντός του πλαισίου </w:t>
      </w:r>
      <w:r>
        <w:rPr>
          <w:rFonts w:cstheme="minorHAnsi"/>
          <w:sz w:val="24"/>
          <w:szCs w:val="24"/>
          <w:lang w:val="el-GR"/>
        </w:rPr>
        <w:t>των</w:t>
      </w:r>
      <w:r w:rsidRPr="00C53528">
        <w:rPr>
          <w:rFonts w:cstheme="minorHAnsi"/>
          <w:sz w:val="24"/>
          <w:szCs w:val="24"/>
          <w:lang w:val="el-GR"/>
        </w:rPr>
        <w:t xml:space="preserve"> </w:t>
      </w:r>
      <w:r>
        <w:rPr>
          <w:rFonts w:cstheme="minorHAnsi"/>
          <w:sz w:val="24"/>
          <w:szCs w:val="24"/>
          <w:lang w:val="el-GR"/>
        </w:rPr>
        <w:t>Γύρων</w:t>
      </w:r>
      <w:r w:rsidRPr="00C53528">
        <w:rPr>
          <w:rFonts w:cstheme="minorHAnsi"/>
          <w:sz w:val="24"/>
          <w:szCs w:val="24"/>
          <w:lang w:val="el-GR"/>
        </w:rPr>
        <w:t xml:space="preserve"> </w:t>
      </w:r>
      <w:r>
        <w:rPr>
          <w:rFonts w:cstheme="minorHAnsi"/>
          <w:sz w:val="24"/>
          <w:szCs w:val="24"/>
          <w:lang w:val="el-GR"/>
        </w:rPr>
        <w:t>Αξιολόγησης</w:t>
      </w:r>
      <w:r w:rsidRPr="00C53528">
        <w:rPr>
          <w:rFonts w:cstheme="minorHAnsi"/>
          <w:sz w:val="24"/>
          <w:szCs w:val="24"/>
          <w:lang w:val="el-GR"/>
        </w:rPr>
        <w:t xml:space="preserve"> </w:t>
      </w:r>
      <w:r>
        <w:rPr>
          <w:rFonts w:cstheme="minorHAnsi"/>
          <w:sz w:val="24"/>
          <w:szCs w:val="24"/>
          <w:lang w:val="el-GR"/>
        </w:rPr>
        <w:t>της</w:t>
      </w:r>
      <w:r w:rsidRPr="00C53528">
        <w:rPr>
          <w:rFonts w:cstheme="minorHAnsi"/>
          <w:sz w:val="24"/>
          <w:szCs w:val="24"/>
          <w:lang w:val="el-GR"/>
        </w:rPr>
        <w:t xml:space="preserve"> </w:t>
      </w:r>
      <w:r>
        <w:rPr>
          <w:rFonts w:cstheme="minorHAnsi"/>
          <w:sz w:val="24"/>
          <w:szCs w:val="24"/>
        </w:rPr>
        <w:t>GRECO</w:t>
      </w:r>
      <w:r w:rsidR="000213B0">
        <w:rPr>
          <w:rFonts w:cstheme="minorHAnsi"/>
          <w:sz w:val="24"/>
          <w:szCs w:val="24"/>
          <w:lang w:val="el-GR"/>
        </w:rPr>
        <w:t>,</w:t>
      </w:r>
      <w:r w:rsidR="00A5147D" w:rsidRPr="00C53528">
        <w:rPr>
          <w:rFonts w:cstheme="minorHAnsi"/>
          <w:sz w:val="24"/>
          <w:szCs w:val="24"/>
          <w:lang w:val="el-GR"/>
        </w:rPr>
        <w:t xml:space="preserve"> </w:t>
      </w:r>
      <w:r w:rsidR="000213B0">
        <w:rPr>
          <w:rFonts w:cstheme="minorHAnsi"/>
          <w:sz w:val="24"/>
          <w:szCs w:val="24"/>
          <w:lang w:val="el-GR"/>
        </w:rPr>
        <w:t>το</w:t>
      </w:r>
      <w:r w:rsidR="00242679">
        <w:rPr>
          <w:rFonts w:cstheme="minorHAnsi"/>
          <w:sz w:val="24"/>
          <w:szCs w:val="24"/>
          <w:lang w:val="el-GR"/>
        </w:rPr>
        <w:t>υ</w:t>
      </w:r>
      <w:r w:rsidR="000213B0">
        <w:rPr>
          <w:rFonts w:cstheme="minorHAnsi"/>
          <w:sz w:val="24"/>
          <w:szCs w:val="24"/>
          <w:lang w:val="el-GR"/>
        </w:rPr>
        <w:t xml:space="preserve"> </w:t>
      </w:r>
      <w:r>
        <w:rPr>
          <w:rFonts w:cstheme="minorHAnsi"/>
          <w:sz w:val="24"/>
          <w:szCs w:val="24"/>
          <w:lang w:val="el-GR"/>
        </w:rPr>
        <w:t>Πρώτο</w:t>
      </w:r>
      <w:r w:rsidR="00242679">
        <w:rPr>
          <w:rFonts w:cstheme="minorHAnsi"/>
          <w:sz w:val="24"/>
          <w:szCs w:val="24"/>
          <w:lang w:val="el-GR"/>
        </w:rPr>
        <w:t>υ</w:t>
      </w:r>
      <w:r w:rsidR="00A5147D" w:rsidRPr="00C53528">
        <w:rPr>
          <w:rFonts w:cstheme="minorHAnsi"/>
          <w:sz w:val="24"/>
          <w:szCs w:val="24"/>
          <w:lang w:val="el-GR"/>
        </w:rPr>
        <w:t xml:space="preserve"> (</w:t>
      </w:r>
      <w:r>
        <w:rPr>
          <w:rFonts w:cstheme="minorHAnsi"/>
          <w:sz w:val="24"/>
          <w:szCs w:val="24"/>
          <w:lang w:val="el-GR"/>
        </w:rPr>
        <w:t>Δεκέμβρ</w:t>
      </w:r>
      <w:r w:rsidR="00242679">
        <w:rPr>
          <w:rFonts w:cstheme="minorHAnsi"/>
          <w:sz w:val="24"/>
          <w:szCs w:val="24"/>
          <w:lang w:val="el-GR"/>
        </w:rPr>
        <w:t>ιος</w:t>
      </w:r>
      <w:r w:rsidR="00A5147D" w:rsidRPr="00C53528">
        <w:rPr>
          <w:rFonts w:cstheme="minorHAnsi"/>
          <w:sz w:val="24"/>
          <w:szCs w:val="24"/>
          <w:lang w:val="el-GR"/>
        </w:rPr>
        <w:t xml:space="preserve"> 2000), </w:t>
      </w:r>
      <w:r w:rsidR="000213B0">
        <w:rPr>
          <w:rFonts w:cstheme="minorHAnsi"/>
          <w:sz w:val="24"/>
          <w:szCs w:val="24"/>
          <w:lang w:val="el-GR"/>
        </w:rPr>
        <w:t>το</w:t>
      </w:r>
      <w:r w:rsidR="00242679">
        <w:rPr>
          <w:rFonts w:cstheme="minorHAnsi"/>
          <w:sz w:val="24"/>
          <w:szCs w:val="24"/>
          <w:lang w:val="el-GR"/>
        </w:rPr>
        <w:t>υ</w:t>
      </w:r>
      <w:r w:rsidR="000213B0">
        <w:rPr>
          <w:rFonts w:cstheme="minorHAnsi"/>
          <w:sz w:val="24"/>
          <w:szCs w:val="24"/>
          <w:lang w:val="el-GR"/>
        </w:rPr>
        <w:t xml:space="preserve"> </w:t>
      </w:r>
      <w:r>
        <w:rPr>
          <w:rFonts w:cstheme="minorHAnsi"/>
          <w:sz w:val="24"/>
          <w:szCs w:val="24"/>
          <w:lang w:val="el-GR"/>
        </w:rPr>
        <w:t>Δεύτερο</w:t>
      </w:r>
      <w:r w:rsidR="00242679">
        <w:rPr>
          <w:rFonts w:cstheme="minorHAnsi"/>
          <w:sz w:val="24"/>
          <w:szCs w:val="24"/>
          <w:lang w:val="el-GR"/>
        </w:rPr>
        <w:t>υ</w:t>
      </w:r>
      <w:r w:rsidR="00A5147D" w:rsidRPr="00C53528">
        <w:rPr>
          <w:rFonts w:cstheme="minorHAnsi"/>
          <w:sz w:val="24"/>
          <w:szCs w:val="24"/>
          <w:lang w:val="el-GR"/>
        </w:rPr>
        <w:t xml:space="preserve"> (</w:t>
      </w:r>
      <w:r w:rsidR="00A5147D" w:rsidRPr="004E251E">
        <w:rPr>
          <w:rFonts w:cstheme="minorHAnsi"/>
          <w:sz w:val="24"/>
          <w:szCs w:val="24"/>
        </w:rPr>
        <w:t>M</w:t>
      </w:r>
      <w:r>
        <w:rPr>
          <w:rFonts w:cstheme="minorHAnsi"/>
          <w:sz w:val="24"/>
          <w:szCs w:val="24"/>
          <w:lang w:val="el-GR"/>
        </w:rPr>
        <w:t>άρτιο</w:t>
      </w:r>
      <w:r w:rsidR="00242679">
        <w:rPr>
          <w:rFonts w:cstheme="minorHAnsi"/>
          <w:sz w:val="24"/>
          <w:szCs w:val="24"/>
          <w:lang w:val="el-GR"/>
        </w:rPr>
        <w:t xml:space="preserve">ς </w:t>
      </w:r>
      <w:r w:rsidR="00A5147D" w:rsidRPr="00C53528">
        <w:rPr>
          <w:rFonts w:cstheme="minorHAnsi"/>
          <w:sz w:val="24"/>
          <w:szCs w:val="24"/>
          <w:lang w:val="el-GR"/>
        </w:rPr>
        <w:t xml:space="preserve">2005), </w:t>
      </w:r>
      <w:r w:rsidR="000213B0">
        <w:rPr>
          <w:rFonts w:cstheme="minorHAnsi"/>
          <w:sz w:val="24"/>
          <w:szCs w:val="24"/>
          <w:lang w:val="el-GR"/>
        </w:rPr>
        <w:t>το</w:t>
      </w:r>
      <w:r w:rsidR="00242679">
        <w:rPr>
          <w:rFonts w:cstheme="minorHAnsi"/>
          <w:sz w:val="24"/>
          <w:szCs w:val="24"/>
          <w:lang w:val="el-GR"/>
        </w:rPr>
        <w:t>υ</w:t>
      </w:r>
      <w:r w:rsidR="000213B0">
        <w:rPr>
          <w:rFonts w:cstheme="minorHAnsi"/>
          <w:sz w:val="24"/>
          <w:szCs w:val="24"/>
          <w:lang w:val="el-GR"/>
        </w:rPr>
        <w:t xml:space="preserve"> </w:t>
      </w:r>
      <w:r>
        <w:rPr>
          <w:rFonts w:cstheme="minorHAnsi"/>
          <w:sz w:val="24"/>
          <w:szCs w:val="24"/>
          <w:lang w:val="el-GR"/>
        </w:rPr>
        <w:t>Τρίτο</w:t>
      </w:r>
      <w:r w:rsidR="00242679">
        <w:rPr>
          <w:rFonts w:cstheme="minorHAnsi"/>
          <w:sz w:val="24"/>
          <w:szCs w:val="24"/>
          <w:lang w:val="el-GR"/>
        </w:rPr>
        <w:t>υ</w:t>
      </w:r>
      <w:r w:rsidR="00A5147D" w:rsidRPr="00C53528">
        <w:rPr>
          <w:rFonts w:cstheme="minorHAnsi"/>
          <w:sz w:val="24"/>
          <w:szCs w:val="24"/>
          <w:lang w:val="el-GR"/>
        </w:rPr>
        <w:t xml:space="preserve"> (</w:t>
      </w:r>
      <w:r>
        <w:rPr>
          <w:rFonts w:cstheme="minorHAnsi"/>
          <w:sz w:val="24"/>
          <w:szCs w:val="24"/>
          <w:lang w:val="el-GR"/>
        </w:rPr>
        <w:t>Οκτώβριο</w:t>
      </w:r>
      <w:r w:rsidR="00242679">
        <w:rPr>
          <w:rFonts w:cstheme="minorHAnsi"/>
          <w:sz w:val="24"/>
          <w:szCs w:val="24"/>
          <w:lang w:val="el-GR"/>
        </w:rPr>
        <w:t>ς</w:t>
      </w:r>
      <w:r>
        <w:rPr>
          <w:rFonts w:cstheme="minorHAnsi"/>
          <w:sz w:val="24"/>
          <w:szCs w:val="24"/>
          <w:lang w:val="el-GR"/>
        </w:rPr>
        <w:t xml:space="preserve"> </w:t>
      </w:r>
      <w:r w:rsidR="00A5147D" w:rsidRPr="00C53528">
        <w:rPr>
          <w:rFonts w:cstheme="minorHAnsi"/>
          <w:sz w:val="24"/>
          <w:szCs w:val="24"/>
          <w:lang w:val="el-GR"/>
        </w:rPr>
        <w:t xml:space="preserve">2010) </w:t>
      </w:r>
      <w:r>
        <w:rPr>
          <w:rFonts w:cstheme="minorHAnsi"/>
          <w:sz w:val="24"/>
          <w:szCs w:val="24"/>
          <w:lang w:val="el-GR"/>
        </w:rPr>
        <w:t xml:space="preserve">και </w:t>
      </w:r>
      <w:r w:rsidR="000213B0">
        <w:rPr>
          <w:rFonts w:cstheme="minorHAnsi"/>
          <w:sz w:val="24"/>
          <w:szCs w:val="24"/>
          <w:lang w:val="el-GR"/>
        </w:rPr>
        <w:t>το</w:t>
      </w:r>
      <w:r w:rsidR="00242679">
        <w:rPr>
          <w:rFonts w:cstheme="minorHAnsi"/>
          <w:sz w:val="24"/>
          <w:szCs w:val="24"/>
          <w:lang w:val="el-GR"/>
        </w:rPr>
        <w:t>υ</w:t>
      </w:r>
      <w:r w:rsidR="000213B0">
        <w:rPr>
          <w:rFonts w:cstheme="minorHAnsi"/>
          <w:sz w:val="24"/>
          <w:szCs w:val="24"/>
          <w:lang w:val="el-GR"/>
        </w:rPr>
        <w:t xml:space="preserve"> </w:t>
      </w:r>
      <w:r>
        <w:rPr>
          <w:rFonts w:cstheme="minorHAnsi"/>
          <w:sz w:val="24"/>
          <w:szCs w:val="24"/>
          <w:lang w:val="el-GR"/>
        </w:rPr>
        <w:t>Τέταρτο</w:t>
      </w:r>
      <w:r w:rsidR="00242679">
        <w:rPr>
          <w:rFonts w:cstheme="minorHAnsi"/>
          <w:sz w:val="24"/>
          <w:szCs w:val="24"/>
          <w:lang w:val="el-GR"/>
        </w:rPr>
        <w:t>υ</w:t>
      </w:r>
      <w:r w:rsidR="00A5147D" w:rsidRPr="00C53528">
        <w:rPr>
          <w:rFonts w:cstheme="minorHAnsi"/>
          <w:sz w:val="24"/>
          <w:szCs w:val="24"/>
          <w:lang w:val="el-GR"/>
        </w:rPr>
        <w:t xml:space="preserve"> (</w:t>
      </w:r>
      <w:r>
        <w:rPr>
          <w:rFonts w:cstheme="minorHAnsi"/>
          <w:sz w:val="24"/>
          <w:szCs w:val="24"/>
          <w:lang w:val="el-GR"/>
        </w:rPr>
        <w:t>Νοέμβριο</w:t>
      </w:r>
      <w:r w:rsidR="00242679">
        <w:rPr>
          <w:rFonts w:cstheme="minorHAnsi"/>
          <w:sz w:val="24"/>
          <w:szCs w:val="24"/>
          <w:lang w:val="el-GR"/>
        </w:rPr>
        <w:t>ς</w:t>
      </w:r>
      <w:r>
        <w:rPr>
          <w:rFonts w:cstheme="minorHAnsi"/>
          <w:sz w:val="24"/>
          <w:szCs w:val="24"/>
          <w:lang w:val="el-GR"/>
        </w:rPr>
        <w:t xml:space="preserve"> </w:t>
      </w:r>
      <w:r w:rsidR="00A5147D" w:rsidRPr="00C53528">
        <w:rPr>
          <w:rFonts w:cstheme="minorHAnsi"/>
          <w:sz w:val="24"/>
          <w:szCs w:val="24"/>
          <w:lang w:val="el-GR"/>
        </w:rPr>
        <w:t xml:space="preserve">2014). </w:t>
      </w:r>
      <w:r>
        <w:rPr>
          <w:rFonts w:cstheme="minorHAnsi"/>
          <w:sz w:val="24"/>
          <w:szCs w:val="24"/>
          <w:lang w:val="el-GR"/>
        </w:rPr>
        <w:t>Οι</w:t>
      </w:r>
      <w:r w:rsidRPr="00C53528">
        <w:rPr>
          <w:rFonts w:cstheme="minorHAnsi"/>
          <w:sz w:val="24"/>
          <w:szCs w:val="24"/>
          <w:lang w:val="el-GR"/>
        </w:rPr>
        <w:t xml:space="preserve"> </w:t>
      </w:r>
      <w:r>
        <w:rPr>
          <w:rFonts w:cstheme="minorHAnsi"/>
          <w:sz w:val="24"/>
          <w:szCs w:val="24"/>
          <w:lang w:val="el-GR"/>
        </w:rPr>
        <w:t>Εκθέσεις</w:t>
      </w:r>
      <w:r w:rsidRPr="00C53528">
        <w:rPr>
          <w:rFonts w:cstheme="minorHAnsi"/>
          <w:sz w:val="24"/>
          <w:szCs w:val="24"/>
          <w:lang w:val="el-GR"/>
        </w:rPr>
        <w:t xml:space="preserve"> </w:t>
      </w:r>
      <w:r>
        <w:rPr>
          <w:rFonts w:cstheme="minorHAnsi"/>
          <w:sz w:val="24"/>
          <w:szCs w:val="24"/>
          <w:lang w:val="el-GR"/>
        </w:rPr>
        <w:t>Αξιολόγησης</w:t>
      </w:r>
      <w:r w:rsidRPr="00C53528">
        <w:rPr>
          <w:rFonts w:cstheme="minorHAnsi"/>
          <w:sz w:val="24"/>
          <w:szCs w:val="24"/>
          <w:lang w:val="el-GR"/>
        </w:rPr>
        <w:t xml:space="preserve"> </w:t>
      </w:r>
      <w:r>
        <w:rPr>
          <w:rFonts w:cstheme="minorHAnsi"/>
          <w:sz w:val="24"/>
          <w:szCs w:val="24"/>
          <w:lang w:val="el-GR"/>
        </w:rPr>
        <w:t>που</w:t>
      </w:r>
      <w:r w:rsidRPr="00C53528">
        <w:rPr>
          <w:rFonts w:cstheme="minorHAnsi"/>
          <w:sz w:val="24"/>
          <w:szCs w:val="24"/>
          <w:lang w:val="el-GR"/>
        </w:rPr>
        <w:t xml:space="preserve"> </w:t>
      </w:r>
      <w:r>
        <w:rPr>
          <w:rFonts w:cstheme="minorHAnsi"/>
          <w:sz w:val="24"/>
          <w:szCs w:val="24"/>
          <w:lang w:val="el-GR"/>
        </w:rPr>
        <w:t>ακολούθησαν</w:t>
      </w:r>
      <w:r w:rsidR="00A5147D" w:rsidRPr="00C53528">
        <w:rPr>
          <w:rFonts w:cstheme="minorHAnsi"/>
          <w:sz w:val="24"/>
          <w:szCs w:val="24"/>
          <w:lang w:val="el-GR"/>
        </w:rPr>
        <w:t xml:space="preserve">, </w:t>
      </w:r>
      <w:r>
        <w:rPr>
          <w:rFonts w:cstheme="minorHAnsi"/>
          <w:sz w:val="24"/>
          <w:szCs w:val="24"/>
          <w:lang w:val="el-GR"/>
        </w:rPr>
        <w:t>καθώς</w:t>
      </w:r>
      <w:r w:rsidRPr="00C53528">
        <w:rPr>
          <w:rFonts w:cstheme="minorHAnsi"/>
          <w:sz w:val="24"/>
          <w:szCs w:val="24"/>
          <w:lang w:val="el-GR"/>
        </w:rPr>
        <w:t xml:space="preserve"> </w:t>
      </w:r>
      <w:r>
        <w:rPr>
          <w:rFonts w:cstheme="minorHAnsi"/>
          <w:sz w:val="24"/>
          <w:szCs w:val="24"/>
          <w:lang w:val="el-GR"/>
        </w:rPr>
        <w:t>επίσης</w:t>
      </w:r>
      <w:r w:rsidRPr="00C53528">
        <w:rPr>
          <w:rFonts w:cstheme="minorHAnsi"/>
          <w:sz w:val="24"/>
          <w:szCs w:val="24"/>
          <w:lang w:val="el-GR"/>
        </w:rPr>
        <w:t xml:space="preserve"> </w:t>
      </w:r>
      <w:r>
        <w:rPr>
          <w:rFonts w:cstheme="minorHAnsi"/>
          <w:sz w:val="24"/>
          <w:szCs w:val="24"/>
          <w:lang w:val="el-GR"/>
        </w:rPr>
        <w:t>και</w:t>
      </w:r>
      <w:r w:rsidRPr="00C53528">
        <w:rPr>
          <w:rFonts w:cstheme="minorHAnsi"/>
          <w:sz w:val="24"/>
          <w:szCs w:val="24"/>
          <w:lang w:val="el-GR"/>
        </w:rPr>
        <w:t xml:space="preserve"> </w:t>
      </w:r>
      <w:r>
        <w:rPr>
          <w:rFonts w:cstheme="minorHAnsi"/>
          <w:sz w:val="24"/>
          <w:szCs w:val="24"/>
          <w:lang w:val="el-GR"/>
        </w:rPr>
        <w:t>οι</w:t>
      </w:r>
      <w:r w:rsidRPr="00C53528">
        <w:rPr>
          <w:rFonts w:cstheme="minorHAnsi"/>
          <w:sz w:val="24"/>
          <w:szCs w:val="24"/>
          <w:lang w:val="el-GR"/>
        </w:rPr>
        <w:t xml:space="preserve"> </w:t>
      </w:r>
      <w:r>
        <w:rPr>
          <w:rFonts w:cstheme="minorHAnsi"/>
          <w:sz w:val="24"/>
          <w:szCs w:val="24"/>
          <w:lang w:val="el-GR"/>
        </w:rPr>
        <w:t>μεταγενέστερες Εκθέσεις</w:t>
      </w:r>
      <w:r w:rsidRPr="00C53528">
        <w:rPr>
          <w:rFonts w:cstheme="minorHAnsi"/>
          <w:sz w:val="24"/>
          <w:szCs w:val="24"/>
          <w:lang w:val="el-GR"/>
        </w:rPr>
        <w:t xml:space="preserve"> </w:t>
      </w:r>
      <w:r>
        <w:rPr>
          <w:rFonts w:cstheme="minorHAnsi"/>
          <w:sz w:val="24"/>
          <w:szCs w:val="24"/>
          <w:lang w:val="el-GR"/>
        </w:rPr>
        <w:t>Συμμόρφωσης</w:t>
      </w:r>
      <w:r w:rsidR="00A5147D" w:rsidRPr="00C53528">
        <w:rPr>
          <w:rFonts w:cstheme="minorHAnsi"/>
          <w:sz w:val="24"/>
          <w:szCs w:val="24"/>
          <w:lang w:val="el-GR"/>
        </w:rPr>
        <w:t xml:space="preserve">, </w:t>
      </w:r>
      <w:r>
        <w:rPr>
          <w:rFonts w:cstheme="minorHAnsi"/>
          <w:sz w:val="24"/>
          <w:szCs w:val="24"/>
          <w:lang w:val="el-GR"/>
        </w:rPr>
        <w:t>είναι διαθέσιμες στην ιστοσελίδα της</w:t>
      </w:r>
      <w:r w:rsidR="00A5147D" w:rsidRPr="00C53528">
        <w:rPr>
          <w:rFonts w:cstheme="minorHAnsi"/>
          <w:sz w:val="24"/>
          <w:szCs w:val="24"/>
          <w:lang w:val="el-GR"/>
        </w:rPr>
        <w:t xml:space="preserve"> </w:t>
      </w:r>
      <w:r w:rsidR="00A5147D" w:rsidRPr="004E251E">
        <w:rPr>
          <w:rFonts w:cstheme="minorHAnsi"/>
          <w:sz w:val="24"/>
          <w:szCs w:val="24"/>
        </w:rPr>
        <w:t>GRECO</w:t>
      </w:r>
      <w:r w:rsidR="00242679">
        <w:rPr>
          <w:rFonts w:cstheme="minorHAnsi"/>
          <w:sz w:val="24"/>
          <w:szCs w:val="24"/>
          <w:lang w:val="el-GR"/>
        </w:rPr>
        <w:t xml:space="preserve"> </w:t>
      </w:r>
      <w:r w:rsidR="00A5147D" w:rsidRPr="00C53528">
        <w:rPr>
          <w:rFonts w:cstheme="minorHAnsi"/>
          <w:sz w:val="24"/>
          <w:szCs w:val="24"/>
          <w:lang w:val="el-GR"/>
        </w:rPr>
        <w:t xml:space="preserve"> </w:t>
      </w:r>
      <w:r w:rsidR="00A5147D" w:rsidRPr="00740E08">
        <w:rPr>
          <w:rFonts w:cstheme="minorHAnsi"/>
          <w:color w:val="000000" w:themeColor="text1"/>
          <w:sz w:val="24"/>
          <w:szCs w:val="24"/>
          <w:lang w:val="el-GR"/>
        </w:rPr>
        <w:t>(</w:t>
      </w:r>
      <w:hyperlink r:id="rId11" w:history="1">
        <w:r w:rsidR="00A5147D" w:rsidRPr="00740E08">
          <w:rPr>
            <w:rStyle w:val="Hyperlink"/>
            <w:rFonts w:cstheme="minorHAnsi"/>
            <w:color w:val="000000" w:themeColor="text1"/>
            <w:sz w:val="24"/>
            <w:szCs w:val="24"/>
          </w:rPr>
          <w:t>www</w:t>
        </w:r>
        <w:r w:rsidR="00A5147D" w:rsidRPr="00740E08">
          <w:rPr>
            <w:rStyle w:val="Hyperlink"/>
            <w:rFonts w:cstheme="minorHAnsi"/>
            <w:color w:val="000000" w:themeColor="text1"/>
            <w:sz w:val="24"/>
            <w:szCs w:val="24"/>
            <w:lang w:val="el-GR"/>
          </w:rPr>
          <w:t>.</w:t>
        </w:r>
        <w:proofErr w:type="spellStart"/>
        <w:r w:rsidR="00A5147D" w:rsidRPr="00740E08">
          <w:rPr>
            <w:rStyle w:val="Hyperlink"/>
            <w:rFonts w:cstheme="minorHAnsi"/>
            <w:color w:val="000000" w:themeColor="text1"/>
            <w:sz w:val="24"/>
            <w:szCs w:val="24"/>
          </w:rPr>
          <w:t>coe</w:t>
        </w:r>
        <w:proofErr w:type="spellEnd"/>
        <w:r w:rsidR="00A5147D" w:rsidRPr="00740E08">
          <w:rPr>
            <w:rStyle w:val="Hyperlink"/>
            <w:rFonts w:cstheme="minorHAnsi"/>
            <w:color w:val="000000" w:themeColor="text1"/>
            <w:sz w:val="24"/>
            <w:szCs w:val="24"/>
            <w:lang w:val="el-GR"/>
          </w:rPr>
          <w:t>.</w:t>
        </w:r>
        <w:r w:rsidR="00A5147D" w:rsidRPr="00740E08">
          <w:rPr>
            <w:rStyle w:val="Hyperlink"/>
            <w:rFonts w:cstheme="minorHAnsi"/>
            <w:color w:val="000000" w:themeColor="text1"/>
            <w:sz w:val="24"/>
            <w:szCs w:val="24"/>
          </w:rPr>
          <w:t>int</w:t>
        </w:r>
        <w:r w:rsidR="00A5147D" w:rsidRPr="00740E08">
          <w:rPr>
            <w:rStyle w:val="Hyperlink"/>
            <w:rFonts w:cstheme="minorHAnsi"/>
            <w:color w:val="000000" w:themeColor="text1"/>
            <w:sz w:val="24"/>
            <w:szCs w:val="24"/>
            <w:lang w:val="el-GR"/>
          </w:rPr>
          <w:t>/</w:t>
        </w:r>
        <w:proofErr w:type="spellStart"/>
        <w:r w:rsidR="00A5147D" w:rsidRPr="00740E08">
          <w:rPr>
            <w:rStyle w:val="Hyperlink"/>
            <w:rFonts w:cstheme="minorHAnsi"/>
            <w:color w:val="000000" w:themeColor="text1"/>
            <w:sz w:val="24"/>
            <w:szCs w:val="24"/>
          </w:rPr>
          <w:t>greco</w:t>
        </w:r>
        <w:proofErr w:type="spellEnd"/>
      </w:hyperlink>
      <w:r w:rsidR="00A5147D" w:rsidRPr="00C53528">
        <w:rPr>
          <w:rFonts w:cstheme="minorHAnsi"/>
          <w:sz w:val="24"/>
          <w:szCs w:val="24"/>
          <w:lang w:val="el-GR"/>
        </w:rPr>
        <w:t xml:space="preserve">). </w:t>
      </w:r>
      <w:r w:rsidR="00242679">
        <w:rPr>
          <w:rFonts w:cstheme="minorHAnsi"/>
          <w:sz w:val="24"/>
          <w:szCs w:val="24"/>
          <w:lang w:val="el-GR"/>
        </w:rPr>
        <w:t xml:space="preserve">Αυτός είναι ο </w:t>
      </w:r>
      <w:r>
        <w:rPr>
          <w:rFonts w:cstheme="minorHAnsi"/>
          <w:sz w:val="24"/>
          <w:szCs w:val="24"/>
          <w:lang w:val="el-GR"/>
        </w:rPr>
        <w:t>Πέμπτος</w:t>
      </w:r>
      <w:r w:rsidRPr="00C53528">
        <w:rPr>
          <w:rFonts w:cstheme="minorHAnsi"/>
          <w:sz w:val="24"/>
          <w:szCs w:val="24"/>
          <w:lang w:val="el-GR"/>
        </w:rPr>
        <w:t xml:space="preserve"> </w:t>
      </w:r>
      <w:r>
        <w:rPr>
          <w:rFonts w:cstheme="minorHAnsi"/>
          <w:sz w:val="24"/>
          <w:szCs w:val="24"/>
          <w:lang w:val="el-GR"/>
        </w:rPr>
        <w:t>Γύρος</w:t>
      </w:r>
      <w:r w:rsidRPr="00C53528">
        <w:rPr>
          <w:rFonts w:cstheme="minorHAnsi"/>
          <w:sz w:val="24"/>
          <w:szCs w:val="24"/>
          <w:lang w:val="el-GR"/>
        </w:rPr>
        <w:t xml:space="preserve"> </w:t>
      </w:r>
      <w:r>
        <w:rPr>
          <w:rFonts w:cstheme="minorHAnsi"/>
          <w:sz w:val="24"/>
          <w:szCs w:val="24"/>
          <w:lang w:val="el-GR"/>
        </w:rPr>
        <w:t>Αξιολόγησης</w:t>
      </w:r>
      <w:r w:rsidRPr="00C53528">
        <w:rPr>
          <w:rFonts w:cstheme="minorHAnsi"/>
          <w:sz w:val="24"/>
          <w:szCs w:val="24"/>
          <w:lang w:val="el-GR"/>
        </w:rPr>
        <w:t xml:space="preserve"> </w:t>
      </w:r>
      <w:r w:rsidR="00242679">
        <w:rPr>
          <w:rFonts w:cstheme="minorHAnsi"/>
          <w:sz w:val="24"/>
          <w:szCs w:val="24"/>
          <w:lang w:val="el-GR"/>
        </w:rPr>
        <w:t xml:space="preserve">ο οποίος </w:t>
      </w:r>
      <w:r>
        <w:rPr>
          <w:rFonts w:cstheme="minorHAnsi"/>
          <w:sz w:val="24"/>
          <w:szCs w:val="24"/>
          <w:lang w:val="el-GR"/>
        </w:rPr>
        <w:t>ξεκίνησε την</w:t>
      </w:r>
      <w:r w:rsidR="00A5147D" w:rsidRPr="00C53528">
        <w:rPr>
          <w:rFonts w:cstheme="minorHAnsi"/>
          <w:sz w:val="24"/>
          <w:szCs w:val="24"/>
          <w:lang w:val="el-GR"/>
        </w:rPr>
        <w:t xml:space="preserve"> 1</w:t>
      </w:r>
      <w:r w:rsidRPr="00C53528">
        <w:rPr>
          <w:rFonts w:cstheme="minorHAnsi"/>
          <w:sz w:val="24"/>
          <w:szCs w:val="24"/>
          <w:vertAlign w:val="superscript"/>
          <w:lang w:val="el-GR"/>
        </w:rPr>
        <w:t>η</w:t>
      </w:r>
      <w:r>
        <w:rPr>
          <w:rFonts w:cstheme="minorHAnsi"/>
          <w:sz w:val="24"/>
          <w:szCs w:val="24"/>
          <w:lang w:val="el-GR"/>
        </w:rPr>
        <w:t xml:space="preserve"> Ιανουαρίου</w:t>
      </w:r>
      <w:r w:rsidR="00A5147D" w:rsidRPr="00C53528">
        <w:rPr>
          <w:rFonts w:cstheme="minorHAnsi"/>
          <w:sz w:val="24"/>
          <w:szCs w:val="24"/>
          <w:lang w:val="el-GR"/>
        </w:rPr>
        <w:t xml:space="preserve"> 2017.</w:t>
      </w:r>
      <w:r w:rsidR="00A5147D" w:rsidRPr="004E251E">
        <w:rPr>
          <w:rStyle w:val="FootnoteReference"/>
          <w:rFonts w:cstheme="minorHAnsi"/>
          <w:sz w:val="24"/>
          <w:szCs w:val="24"/>
        </w:rPr>
        <w:footnoteReference w:id="2"/>
      </w:r>
    </w:p>
    <w:p w14:paraId="1276D100" w14:textId="77777777" w:rsidR="00A5147D" w:rsidRPr="00C53528" w:rsidRDefault="00A5147D" w:rsidP="00A5147D">
      <w:pPr>
        <w:tabs>
          <w:tab w:val="left" w:pos="709"/>
        </w:tabs>
        <w:rPr>
          <w:rFonts w:cstheme="minorHAnsi"/>
          <w:sz w:val="24"/>
          <w:szCs w:val="24"/>
          <w:lang w:val="el-GR"/>
        </w:rPr>
      </w:pPr>
    </w:p>
    <w:p w14:paraId="733CA126" w14:textId="79417B5F" w:rsidR="00A5147D" w:rsidRPr="008450F9" w:rsidRDefault="00C53528"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Ο</w:t>
      </w:r>
      <w:r w:rsidRPr="00BD42EF">
        <w:rPr>
          <w:rFonts w:cstheme="minorHAnsi"/>
          <w:sz w:val="24"/>
          <w:szCs w:val="24"/>
          <w:lang w:val="el-GR"/>
        </w:rPr>
        <w:t xml:space="preserve"> </w:t>
      </w:r>
      <w:r>
        <w:rPr>
          <w:rFonts w:cstheme="minorHAnsi"/>
          <w:sz w:val="24"/>
          <w:szCs w:val="24"/>
          <w:lang w:val="el-GR"/>
        </w:rPr>
        <w:t>σκοπός</w:t>
      </w:r>
      <w:r w:rsidRPr="00BD42EF">
        <w:rPr>
          <w:rFonts w:cstheme="minorHAnsi"/>
          <w:sz w:val="24"/>
          <w:szCs w:val="24"/>
          <w:lang w:val="el-GR"/>
        </w:rPr>
        <w:t xml:space="preserve"> </w:t>
      </w:r>
      <w:r>
        <w:rPr>
          <w:rFonts w:cstheme="minorHAnsi"/>
          <w:sz w:val="24"/>
          <w:szCs w:val="24"/>
          <w:lang w:val="el-GR"/>
        </w:rPr>
        <w:t>της</w:t>
      </w:r>
      <w:r w:rsidRPr="00BD42EF">
        <w:rPr>
          <w:rFonts w:cstheme="minorHAnsi"/>
          <w:sz w:val="24"/>
          <w:szCs w:val="24"/>
          <w:lang w:val="el-GR"/>
        </w:rPr>
        <w:t xml:space="preserve"> </w:t>
      </w:r>
      <w:r>
        <w:rPr>
          <w:rFonts w:cstheme="minorHAnsi"/>
          <w:sz w:val="24"/>
          <w:szCs w:val="24"/>
          <w:lang w:val="el-GR"/>
        </w:rPr>
        <w:t>έκθεσης</w:t>
      </w:r>
      <w:r w:rsidRPr="00BD42EF">
        <w:rPr>
          <w:rFonts w:cstheme="minorHAnsi"/>
          <w:sz w:val="24"/>
          <w:szCs w:val="24"/>
          <w:lang w:val="el-GR"/>
        </w:rPr>
        <w:t xml:space="preserve"> </w:t>
      </w:r>
      <w:r>
        <w:rPr>
          <w:rFonts w:cstheme="minorHAnsi"/>
          <w:sz w:val="24"/>
          <w:szCs w:val="24"/>
          <w:lang w:val="el-GR"/>
        </w:rPr>
        <w:t>αυτής</w:t>
      </w:r>
      <w:r w:rsidRPr="00BD42EF">
        <w:rPr>
          <w:rFonts w:cstheme="minorHAnsi"/>
          <w:sz w:val="24"/>
          <w:szCs w:val="24"/>
          <w:lang w:val="el-GR"/>
        </w:rPr>
        <w:t xml:space="preserve"> </w:t>
      </w:r>
      <w:r>
        <w:rPr>
          <w:rFonts w:cstheme="minorHAnsi"/>
          <w:sz w:val="24"/>
          <w:szCs w:val="24"/>
          <w:lang w:val="el-GR"/>
        </w:rPr>
        <w:t>είναι</w:t>
      </w:r>
      <w:r w:rsidRPr="00BD42EF">
        <w:rPr>
          <w:rFonts w:cstheme="minorHAnsi"/>
          <w:sz w:val="24"/>
          <w:szCs w:val="24"/>
          <w:lang w:val="el-GR"/>
        </w:rPr>
        <w:t xml:space="preserve"> </w:t>
      </w:r>
      <w:r>
        <w:rPr>
          <w:rFonts w:cstheme="minorHAnsi"/>
          <w:sz w:val="24"/>
          <w:szCs w:val="24"/>
          <w:lang w:val="el-GR"/>
        </w:rPr>
        <w:t>να</w:t>
      </w:r>
      <w:r w:rsidRPr="00BD42EF">
        <w:rPr>
          <w:rFonts w:cstheme="minorHAnsi"/>
          <w:sz w:val="24"/>
          <w:szCs w:val="24"/>
          <w:lang w:val="el-GR"/>
        </w:rPr>
        <w:t xml:space="preserve"> </w:t>
      </w:r>
      <w:r>
        <w:rPr>
          <w:rFonts w:cstheme="minorHAnsi"/>
          <w:sz w:val="24"/>
          <w:szCs w:val="24"/>
          <w:lang w:val="el-GR"/>
        </w:rPr>
        <w:t>αξιολογήσει</w:t>
      </w:r>
      <w:r w:rsidRPr="00BD42EF">
        <w:rPr>
          <w:rFonts w:cstheme="minorHAnsi"/>
          <w:sz w:val="24"/>
          <w:szCs w:val="24"/>
          <w:lang w:val="el-GR"/>
        </w:rPr>
        <w:t xml:space="preserve"> </w:t>
      </w:r>
      <w:r>
        <w:rPr>
          <w:rFonts w:cstheme="minorHAnsi"/>
          <w:sz w:val="24"/>
          <w:szCs w:val="24"/>
          <w:lang w:val="el-GR"/>
        </w:rPr>
        <w:t>την</w:t>
      </w:r>
      <w:r w:rsidRPr="00BD42EF">
        <w:rPr>
          <w:rFonts w:cstheme="minorHAnsi"/>
          <w:sz w:val="24"/>
          <w:szCs w:val="24"/>
          <w:lang w:val="el-GR"/>
        </w:rPr>
        <w:t xml:space="preserve"> </w:t>
      </w:r>
      <w:r>
        <w:rPr>
          <w:rFonts w:cstheme="minorHAnsi"/>
          <w:sz w:val="24"/>
          <w:szCs w:val="24"/>
          <w:lang w:val="el-GR"/>
        </w:rPr>
        <w:t>αποτελεσματικότητα</w:t>
      </w:r>
      <w:r w:rsidR="00BD42EF" w:rsidRPr="00BD42EF">
        <w:rPr>
          <w:rFonts w:cstheme="minorHAnsi"/>
          <w:sz w:val="24"/>
          <w:szCs w:val="24"/>
          <w:lang w:val="el-GR"/>
        </w:rPr>
        <w:t xml:space="preserve"> </w:t>
      </w:r>
      <w:r w:rsidR="00BD42EF">
        <w:rPr>
          <w:rFonts w:cstheme="minorHAnsi"/>
          <w:sz w:val="24"/>
          <w:szCs w:val="24"/>
          <w:lang w:val="el-GR"/>
        </w:rPr>
        <w:t>των</w:t>
      </w:r>
      <w:r w:rsidR="00BD42EF" w:rsidRPr="00BD42EF">
        <w:rPr>
          <w:rFonts w:cstheme="minorHAnsi"/>
          <w:sz w:val="24"/>
          <w:szCs w:val="24"/>
          <w:lang w:val="el-GR"/>
        </w:rPr>
        <w:t xml:space="preserve"> </w:t>
      </w:r>
      <w:r w:rsidR="00BD42EF">
        <w:rPr>
          <w:rFonts w:cstheme="minorHAnsi"/>
          <w:sz w:val="24"/>
          <w:szCs w:val="24"/>
          <w:lang w:val="el-GR"/>
        </w:rPr>
        <w:t>μέτρων</w:t>
      </w:r>
      <w:r w:rsidR="00BD42EF" w:rsidRPr="00BD42EF">
        <w:rPr>
          <w:rFonts w:cstheme="minorHAnsi"/>
          <w:sz w:val="24"/>
          <w:szCs w:val="24"/>
          <w:lang w:val="el-GR"/>
        </w:rPr>
        <w:t xml:space="preserve"> </w:t>
      </w:r>
      <w:r w:rsidR="00BD42EF">
        <w:rPr>
          <w:rFonts w:cstheme="minorHAnsi"/>
          <w:sz w:val="24"/>
          <w:szCs w:val="24"/>
          <w:lang w:val="el-GR"/>
        </w:rPr>
        <w:t>που</w:t>
      </w:r>
      <w:r w:rsidR="00BD42EF" w:rsidRPr="00BD42EF">
        <w:rPr>
          <w:rFonts w:cstheme="minorHAnsi"/>
          <w:sz w:val="24"/>
          <w:szCs w:val="24"/>
          <w:lang w:val="el-GR"/>
        </w:rPr>
        <w:t xml:space="preserve"> </w:t>
      </w:r>
      <w:r w:rsidR="00BD42EF">
        <w:rPr>
          <w:rFonts w:cstheme="minorHAnsi"/>
          <w:sz w:val="24"/>
          <w:szCs w:val="24"/>
          <w:lang w:val="el-GR"/>
        </w:rPr>
        <w:t>υιοθετήθηκαν</w:t>
      </w:r>
      <w:r w:rsidR="00BD42EF" w:rsidRPr="00BD42EF">
        <w:rPr>
          <w:rFonts w:cstheme="minorHAnsi"/>
          <w:sz w:val="24"/>
          <w:szCs w:val="24"/>
          <w:lang w:val="el-GR"/>
        </w:rPr>
        <w:t xml:space="preserve"> </w:t>
      </w:r>
      <w:r w:rsidR="00BD42EF">
        <w:rPr>
          <w:rFonts w:cstheme="minorHAnsi"/>
          <w:sz w:val="24"/>
          <w:szCs w:val="24"/>
          <w:lang w:val="el-GR"/>
        </w:rPr>
        <w:t>από</w:t>
      </w:r>
      <w:r w:rsidR="00BD42EF" w:rsidRPr="00BD42EF">
        <w:rPr>
          <w:rFonts w:cstheme="minorHAnsi"/>
          <w:sz w:val="24"/>
          <w:szCs w:val="24"/>
          <w:lang w:val="el-GR"/>
        </w:rPr>
        <w:t xml:space="preserve"> </w:t>
      </w:r>
      <w:r w:rsidR="00BD42EF">
        <w:rPr>
          <w:rFonts w:cstheme="minorHAnsi"/>
          <w:sz w:val="24"/>
          <w:szCs w:val="24"/>
          <w:lang w:val="el-GR"/>
        </w:rPr>
        <w:t>τις</w:t>
      </w:r>
      <w:r w:rsidR="00BD42EF" w:rsidRPr="00BD42EF">
        <w:rPr>
          <w:rFonts w:cstheme="minorHAnsi"/>
          <w:sz w:val="24"/>
          <w:szCs w:val="24"/>
          <w:lang w:val="el-GR"/>
        </w:rPr>
        <w:t xml:space="preserve"> </w:t>
      </w:r>
      <w:r w:rsidR="00BD42EF">
        <w:rPr>
          <w:rFonts w:cstheme="minorHAnsi"/>
          <w:sz w:val="24"/>
          <w:szCs w:val="24"/>
          <w:lang w:val="el-GR"/>
        </w:rPr>
        <w:t>αρχές</w:t>
      </w:r>
      <w:r w:rsidR="00BD42EF" w:rsidRPr="00BD42EF">
        <w:rPr>
          <w:rFonts w:cstheme="minorHAnsi"/>
          <w:sz w:val="24"/>
          <w:szCs w:val="24"/>
          <w:lang w:val="el-GR"/>
        </w:rPr>
        <w:t xml:space="preserve"> </w:t>
      </w:r>
      <w:r w:rsidR="00BD42EF">
        <w:rPr>
          <w:rFonts w:cstheme="minorHAnsi"/>
          <w:sz w:val="24"/>
          <w:szCs w:val="24"/>
          <w:lang w:val="el-GR"/>
        </w:rPr>
        <w:t>της</w:t>
      </w:r>
      <w:r w:rsidR="00BD42EF" w:rsidRPr="00BD42EF">
        <w:rPr>
          <w:rFonts w:cstheme="minorHAnsi"/>
          <w:sz w:val="24"/>
          <w:szCs w:val="24"/>
          <w:lang w:val="el-GR"/>
        </w:rPr>
        <w:t xml:space="preserve"> </w:t>
      </w:r>
      <w:r w:rsidR="00BD42EF">
        <w:rPr>
          <w:rFonts w:cstheme="minorHAnsi"/>
          <w:sz w:val="24"/>
          <w:szCs w:val="24"/>
          <w:lang w:val="el-GR"/>
        </w:rPr>
        <w:t>Κύπρου</w:t>
      </w:r>
      <w:r w:rsidR="00A5147D" w:rsidRPr="00BD42EF">
        <w:rPr>
          <w:rFonts w:cstheme="minorHAnsi"/>
          <w:sz w:val="24"/>
          <w:szCs w:val="24"/>
          <w:lang w:val="el-GR"/>
        </w:rPr>
        <w:t xml:space="preserve"> </w:t>
      </w:r>
      <w:r w:rsidR="00BD42EF">
        <w:rPr>
          <w:rFonts w:cstheme="minorHAnsi"/>
          <w:sz w:val="24"/>
          <w:szCs w:val="24"/>
          <w:lang w:val="el-GR"/>
        </w:rPr>
        <w:t xml:space="preserve">για την </w:t>
      </w:r>
      <w:r w:rsidR="00F27FF2">
        <w:rPr>
          <w:rFonts w:cstheme="minorHAnsi"/>
          <w:sz w:val="24"/>
          <w:szCs w:val="24"/>
          <w:lang w:val="el-GR"/>
        </w:rPr>
        <w:t xml:space="preserve">πρόληψη </w:t>
      </w:r>
      <w:r w:rsidR="00BD42EF">
        <w:rPr>
          <w:rFonts w:cstheme="minorHAnsi"/>
          <w:sz w:val="24"/>
          <w:szCs w:val="24"/>
          <w:lang w:val="el-GR"/>
        </w:rPr>
        <w:t>της διαφθοράς</w:t>
      </w:r>
      <w:r w:rsidR="00A5147D" w:rsidRPr="00BD42EF">
        <w:rPr>
          <w:rFonts w:cstheme="minorHAnsi"/>
          <w:sz w:val="24"/>
          <w:szCs w:val="24"/>
          <w:lang w:val="el-GR"/>
        </w:rPr>
        <w:t xml:space="preserve"> </w:t>
      </w:r>
      <w:r w:rsidR="00BD42EF">
        <w:rPr>
          <w:rFonts w:cstheme="minorHAnsi"/>
          <w:sz w:val="24"/>
          <w:szCs w:val="24"/>
          <w:lang w:val="el-GR"/>
        </w:rPr>
        <w:t>και την προώθηση της ακεραιότητας στις κεντρικές κυβερνήσεις</w:t>
      </w:r>
      <w:r w:rsidR="00A5147D" w:rsidRPr="00BD42EF">
        <w:rPr>
          <w:rFonts w:cstheme="minorHAnsi"/>
          <w:sz w:val="24"/>
          <w:szCs w:val="24"/>
          <w:lang w:val="el-GR"/>
        </w:rPr>
        <w:t xml:space="preserve"> (</w:t>
      </w:r>
      <w:r w:rsidR="00242679">
        <w:rPr>
          <w:rFonts w:cstheme="minorHAnsi"/>
          <w:sz w:val="24"/>
          <w:szCs w:val="24"/>
          <w:lang w:val="el-GR"/>
        </w:rPr>
        <w:t>ανώτατες</w:t>
      </w:r>
      <w:r w:rsidR="00F27FF2">
        <w:rPr>
          <w:rFonts w:cstheme="minorHAnsi"/>
          <w:sz w:val="24"/>
          <w:szCs w:val="24"/>
          <w:lang w:val="el-GR"/>
        </w:rPr>
        <w:t xml:space="preserve"> </w:t>
      </w:r>
      <w:r w:rsidR="00BD42EF">
        <w:rPr>
          <w:rFonts w:cstheme="minorHAnsi"/>
          <w:sz w:val="24"/>
          <w:szCs w:val="24"/>
          <w:lang w:val="el-GR"/>
        </w:rPr>
        <w:t>εκτελεστικές</w:t>
      </w:r>
      <w:r w:rsidR="00F27FF2">
        <w:rPr>
          <w:rFonts w:cstheme="minorHAnsi"/>
          <w:sz w:val="24"/>
          <w:szCs w:val="24"/>
          <w:lang w:val="el-GR"/>
        </w:rPr>
        <w:t xml:space="preserve"> αρμοδιότητες </w:t>
      </w:r>
      <w:r w:rsidR="00A5147D" w:rsidRPr="00BD42EF">
        <w:rPr>
          <w:rFonts w:cstheme="minorHAnsi"/>
          <w:sz w:val="24"/>
          <w:szCs w:val="24"/>
          <w:lang w:val="el-GR"/>
        </w:rPr>
        <w:t xml:space="preserve">) </w:t>
      </w:r>
      <w:r w:rsidR="00BD42EF">
        <w:rPr>
          <w:rFonts w:cstheme="minorHAnsi"/>
          <w:sz w:val="24"/>
          <w:szCs w:val="24"/>
          <w:lang w:val="el-GR"/>
        </w:rPr>
        <w:t xml:space="preserve">και </w:t>
      </w:r>
      <w:r w:rsidR="00F27FF2">
        <w:rPr>
          <w:rFonts w:cstheme="minorHAnsi"/>
          <w:sz w:val="24"/>
          <w:szCs w:val="24"/>
          <w:lang w:val="el-GR"/>
        </w:rPr>
        <w:t xml:space="preserve">όργανα </w:t>
      </w:r>
      <w:r w:rsidR="00BD42EF">
        <w:rPr>
          <w:rFonts w:cstheme="minorHAnsi"/>
          <w:sz w:val="24"/>
          <w:szCs w:val="24"/>
          <w:lang w:val="el-GR"/>
        </w:rPr>
        <w:t>επιβολής του νόμου</w:t>
      </w:r>
      <w:r w:rsidR="00A5147D" w:rsidRPr="00BD42EF">
        <w:rPr>
          <w:rFonts w:cstheme="minorHAnsi"/>
          <w:sz w:val="24"/>
          <w:szCs w:val="24"/>
          <w:lang w:val="el-GR"/>
        </w:rPr>
        <w:t xml:space="preserve">. </w:t>
      </w:r>
      <w:r w:rsidR="00BD42EF">
        <w:rPr>
          <w:rFonts w:cstheme="minorHAnsi"/>
          <w:sz w:val="24"/>
          <w:szCs w:val="24"/>
          <w:lang w:val="el-GR"/>
        </w:rPr>
        <w:t>Η</w:t>
      </w:r>
      <w:r w:rsidR="00BD42EF" w:rsidRPr="00BD42EF">
        <w:rPr>
          <w:rFonts w:cstheme="minorHAnsi"/>
          <w:sz w:val="24"/>
          <w:szCs w:val="24"/>
          <w:lang w:val="el-GR"/>
        </w:rPr>
        <w:t xml:space="preserve"> </w:t>
      </w:r>
      <w:r w:rsidR="00BD42EF">
        <w:rPr>
          <w:rFonts w:cstheme="minorHAnsi"/>
          <w:sz w:val="24"/>
          <w:szCs w:val="24"/>
          <w:lang w:val="el-GR"/>
        </w:rPr>
        <w:t>έκθεση</w:t>
      </w:r>
      <w:r w:rsidR="00BD42EF" w:rsidRPr="00BD42EF">
        <w:rPr>
          <w:rFonts w:cstheme="minorHAnsi"/>
          <w:sz w:val="24"/>
          <w:szCs w:val="24"/>
          <w:lang w:val="el-GR"/>
        </w:rPr>
        <w:t xml:space="preserve"> </w:t>
      </w:r>
      <w:r w:rsidR="00BD42EF">
        <w:rPr>
          <w:rFonts w:cstheme="minorHAnsi"/>
          <w:sz w:val="24"/>
          <w:szCs w:val="24"/>
          <w:lang w:val="el-GR"/>
        </w:rPr>
        <w:t>περιέχει</w:t>
      </w:r>
      <w:r w:rsidR="00BD42EF" w:rsidRPr="00BD42EF">
        <w:rPr>
          <w:rFonts w:cstheme="minorHAnsi"/>
          <w:sz w:val="24"/>
          <w:szCs w:val="24"/>
          <w:lang w:val="el-GR"/>
        </w:rPr>
        <w:t xml:space="preserve"> </w:t>
      </w:r>
      <w:r w:rsidR="00BD42EF">
        <w:rPr>
          <w:rFonts w:cstheme="minorHAnsi"/>
          <w:sz w:val="24"/>
          <w:szCs w:val="24"/>
          <w:lang w:val="el-GR"/>
        </w:rPr>
        <w:t>μια</w:t>
      </w:r>
      <w:r w:rsidR="00BD42EF" w:rsidRPr="00BD42EF">
        <w:rPr>
          <w:rFonts w:cstheme="minorHAnsi"/>
          <w:sz w:val="24"/>
          <w:szCs w:val="24"/>
          <w:lang w:val="el-GR"/>
        </w:rPr>
        <w:t xml:space="preserve"> </w:t>
      </w:r>
      <w:r w:rsidR="00BD42EF">
        <w:rPr>
          <w:rFonts w:cstheme="minorHAnsi"/>
          <w:sz w:val="24"/>
          <w:szCs w:val="24"/>
          <w:lang w:val="el-GR"/>
        </w:rPr>
        <w:t>κρ</w:t>
      </w:r>
      <w:r w:rsidR="00242679">
        <w:rPr>
          <w:rFonts w:cstheme="minorHAnsi"/>
          <w:sz w:val="24"/>
          <w:szCs w:val="24"/>
          <w:lang w:val="el-GR"/>
        </w:rPr>
        <w:t>ι</w:t>
      </w:r>
      <w:r w:rsidR="00BD42EF">
        <w:rPr>
          <w:rFonts w:cstheme="minorHAnsi"/>
          <w:sz w:val="24"/>
          <w:szCs w:val="24"/>
          <w:lang w:val="el-GR"/>
        </w:rPr>
        <w:t>τική</w:t>
      </w:r>
      <w:r w:rsidR="00BD42EF" w:rsidRPr="00BD42EF">
        <w:rPr>
          <w:rFonts w:cstheme="minorHAnsi"/>
          <w:sz w:val="24"/>
          <w:szCs w:val="24"/>
          <w:lang w:val="el-GR"/>
        </w:rPr>
        <w:t xml:space="preserve"> </w:t>
      </w:r>
      <w:r w:rsidR="00BD42EF">
        <w:rPr>
          <w:rFonts w:cstheme="minorHAnsi"/>
          <w:sz w:val="24"/>
          <w:szCs w:val="24"/>
          <w:lang w:val="el-GR"/>
        </w:rPr>
        <w:t>ανάλυση</w:t>
      </w:r>
      <w:r w:rsidR="00BD42EF" w:rsidRPr="00BD42EF">
        <w:rPr>
          <w:rFonts w:cstheme="minorHAnsi"/>
          <w:sz w:val="24"/>
          <w:szCs w:val="24"/>
          <w:lang w:val="el-GR"/>
        </w:rPr>
        <w:t xml:space="preserve"> </w:t>
      </w:r>
      <w:r w:rsidR="00BD42EF">
        <w:rPr>
          <w:rFonts w:cstheme="minorHAnsi"/>
          <w:sz w:val="24"/>
          <w:szCs w:val="24"/>
          <w:lang w:val="el-GR"/>
        </w:rPr>
        <w:t>της</w:t>
      </w:r>
      <w:r w:rsidR="00BD42EF" w:rsidRPr="00BD42EF">
        <w:rPr>
          <w:rFonts w:cstheme="minorHAnsi"/>
          <w:sz w:val="24"/>
          <w:szCs w:val="24"/>
          <w:lang w:val="el-GR"/>
        </w:rPr>
        <w:t xml:space="preserve"> </w:t>
      </w:r>
      <w:r w:rsidR="00BD42EF">
        <w:rPr>
          <w:rFonts w:cstheme="minorHAnsi"/>
          <w:sz w:val="24"/>
          <w:szCs w:val="24"/>
          <w:lang w:val="el-GR"/>
        </w:rPr>
        <w:t>κατάστασης</w:t>
      </w:r>
      <w:r w:rsidR="00A5147D" w:rsidRPr="00BD42EF">
        <w:rPr>
          <w:rFonts w:cstheme="minorHAnsi"/>
          <w:sz w:val="24"/>
          <w:szCs w:val="24"/>
          <w:lang w:val="el-GR"/>
        </w:rPr>
        <w:t xml:space="preserve">, </w:t>
      </w:r>
      <w:r w:rsidR="00BD42EF">
        <w:rPr>
          <w:rFonts w:cstheme="minorHAnsi"/>
          <w:sz w:val="24"/>
          <w:szCs w:val="24"/>
          <w:lang w:val="el-GR"/>
        </w:rPr>
        <w:t>αντανακλώντας</w:t>
      </w:r>
      <w:r w:rsidR="00BD42EF" w:rsidRPr="00BD42EF">
        <w:rPr>
          <w:rFonts w:cstheme="minorHAnsi"/>
          <w:sz w:val="24"/>
          <w:szCs w:val="24"/>
          <w:lang w:val="el-GR"/>
        </w:rPr>
        <w:t xml:space="preserve"> </w:t>
      </w:r>
      <w:r w:rsidR="00BD42EF">
        <w:rPr>
          <w:rFonts w:cstheme="minorHAnsi"/>
          <w:sz w:val="24"/>
          <w:szCs w:val="24"/>
          <w:lang w:val="el-GR"/>
        </w:rPr>
        <w:t>τις</w:t>
      </w:r>
      <w:r w:rsidR="00BD42EF" w:rsidRPr="00BD42EF">
        <w:rPr>
          <w:rFonts w:cstheme="minorHAnsi"/>
          <w:sz w:val="24"/>
          <w:szCs w:val="24"/>
          <w:lang w:val="el-GR"/>
        </w:rPr>
        <w:t xml:space="preserve"> </w:t>
      </w:r>
      <w:r w:rsidR="00BD42EF">
        <w:rPr>
          <w:rFonts w:cstheme="minorHAnsi"/>
          <w:sz w:val="24"/>
          <w:szCs w:val="24"/>
          <w:lang w:val="el-GR"/>
        </w:rPr>
        <w:t>προσπάθειες που γίνονται</w:t>
      </w:r>
      <w:r w:rsidR="00A5147D" w:rsidRPr="00BD42EF">
        <w:rPr>
          <w:rFonts w:cstheme="minorHAnsi"/>
          <w:sz w:val="24"/>
          <w:szCs w:val="24"/>
          <w:lang w:val="el-GR"/>
        </w:rPr>
        <w:t xml:space="preserve"> </w:t>
      </w:r>
      <w:r w:rsidR="00BD42EF">
        <w:rPr>
          <w:rFonts w:cstheme="minorHAnsi"/>
          <w:sz w:val="24"/>
          <w:szCs w:val="24"/>
          <w:lang w:val="el-GR"/>
        </w:rPr>
        <w:t>από τους παράγοντες που εμπλέκονται και τα επιτευχθέντα αποτελέσματα</w:t>
      </w:r>
      <w:r w:rsidR="00A5147D" w:rsidRPr="00BD42EF">
        <w:rPr>
          <w:rFonts w:cstheme="minorHAnsi"/>
          <w:sz w:val="24"/>
          <w:szCs w:val="24"/>
          <w:lang w:val="el-GR"/>
        </w:rPr>
        <w:t xml:space="preserve">. </w:t>
      </w:r>
      <w:r w:rsidR="00BD42EF">
        <w:rPr>
          <w:rFonts w:cstheme="minorHAnsi"/>
          <w:sz w:val="24"/>
          <w:szCs w:val="24"/>
          <w:lang w:val="el-GR"/>
        </w:rPr>
        <w:t>Εντοπίζει</w:t>
      </w:r>
      <w:r w:rsidR="00BD42EF" w:rsidRPr="009A7774">
        <w:rPr>
          <w:rFonts w:cstheme="minorHAnsi"/>
          <w:sz w:val="24"/>
          <w:szCs w:val="24"/>
          <w:lang w:val="el-GR"/>
        </w:rPr>
        <w:t xml:space="preserve"> </w:t>
      </w:r>
      <w:r w:rsidR="00FB3418">
        <w:rPr>
          <w:rFonts w:cstheme="minorHAnsi"/>
          <w:sz w:val="24"/>
          <w:szCs w:val="24"/>
          <w:lang w:val="el-GR"/>
        </w:rPr>
        <w:t xml:space="preserve">πιθανές </w:t>
      </w:r>
      <w:r w:rsidR="00BD42EF">
        <w:rPr>
          <w:rFonts w:cstheme="minorHAnsi"/>
          <w:sz w:val="24"/>
          <w:szCs w:val="24"/>
          <w:lang w:val="el-GR"/>
        </w:rPr>
        <w:t>ελλείψεις</w:t>
      </w:r>
      <w:r w:rsidR="00BD42EF" w:rsidRPr="009A7774">
        <w:rPr>
          <w:rFonts w:cstheme="minorHAnsi"/>
          <w:sz w:val="24"/>
          <w:szCs w:val="24"/>
          <w:lang w:val="el-GR"/>
        </w:rPr>
        <w:t xml:space="preserve"> </w:t>
      </w:r>
      <w:r w:rsidR="00BD42EF">
        <w:rPr>
          <w:rFonts w:cstheme="minorHAnsi"/>
          <w:sz w:val="24"/>
          <w:szCs w:val="24"/>
          <w:lang w:val="el-GR"/>
        </w:rPr>
        <w:t>και</w:t>
      </w:r>
      <w:r w:rsidR="00BD42EF" w:rsidRPr="009A7774">
        <w:rPr>
          <w:rFonts w:cstheme="minorHAnsi"/>
          <w:sz w:val="24"/>
          <w:szCs w:val="24"/>
          <w:lang w:val="el-GR"/>
        </w:rPr>
        <w:t xml:space="preserve"> </w:t>
      </w:r>
      <w:r w:rsidR="00BD42EF">
        <w:rPr>
          <w:rFonts w:cstheme="minorHAnsi"/>
          <w:sz w:val="24"/>
          <w:szCs w:val="24"/>
          <w:lang w:val="el-GR"/>
        </w:rPr>
        <w:t>κάνει</w:t>
      </w:r>
      <w:r w:rsidR="00BD42EF" w:rsidRPr="009A7774">
        <w:rPr>
          <w:rFonts w:cstheme="minorHAnsi"/>
          <w:sz w:val="24"/>
          <w:szCs w:val="24"/>
          <w:lang w:val="el-GR"/>
        </w:rPr>
        <w:t xml:space="preserve"> </w:t>
      </w:r>
      <w:r w:rsidR="00BD42EF">
        <w:rPr>
          <w:rFonts w:cstheme="minorHAnsi"/>
          <w:sz w:val="24"/>
          <w:szCs w:val="24"/>
          <w:lang w:val="el-GR"/>
        </w:rPr>
        <w:t>εισηγήσεις</w:t>
      </w:r>
      <w:r w:rsidR="00BD42EF" w:rsidRPr="009A7774">
        <w:rPr>
          <w:rFonts w:cstheme="minorHAnsi"/>
          <w:sz w:val="24"/>
          <w:szCs w:val="24"/>
          <w:lang w:val="el-GR"/>
        </w:rPr>
        <w:t xml:space="preserve"> </w:t>
      </w:r>
      <w:r w:rsidR="00BD42EF">
        <w:rPr>
          <w:rFonts w:cstheme="minorHAnsi"/>
          <w:sz w:val="24"/>
          <w:szCs w:val="24"/>
          <w:lang w:val="el-GR"/>
        </w:rPr>
        <w:t>για</w:t>
      </w:r>
      <w:r w:rsidR="00BD42EF" w:rsidRPr="009A7774">
        <w:rPr>
          <w:rFonts w:cstheme="minorHAnsi"/>
          <w:sz w:val="24"/>
          <w:szCs w:val="24"/>
          <w:lang w:val="el-GR"/>
        </w:rPr>
        <w:t xml:space="preserve"> </w:t>
      </w:r>
      <w:r w:rsidR="00BD42EF">
        <w:rPr>
          <w:rFonts w:cstheme="minorHAnsi"/>
          <w:sz w:val="24"/>
          <w:szCs w:val="24"/>
          <w:lang w:val="el-GR"/>
        </w:rPr>
        <w:t>βελτίωση</w:t>
      </w:r>
      <w:r w:rsidR="00A5147D" w:rsidRPr="009A7774">
        <w:rPr>
          <w:rFonts w:cstheme="minorHAnsi"/>
          <w:sz w:val="24"/>
          <w:szCs w:val="24"/>
          <w:lang w:val="el-GR"/>
        </w:rPr>
        <w:t xml:space="preserve">. </w:t>
      </w:r>
      <w:r w:rsidR="00BD42EF">
        <w:rPr>
          <w:rFonts w:cstheme="minorHAnsi"/>
          <w:sz w:val="24"/>
          <w:szCs w:val="24"/>
          <w:lang w:val="el-GR"/>
        </w:rPr>
        <w:t>Σύμφωνα</w:t>
      </w:r>
      <w:r w:rsidR="00BD42EF" w:rsidRPr="008450F9">
        <w:rPr>
          <w:rFonts w:cstheme="minorHAnsi"/>
          <w:sz w:val="24"/>
          <w:szCs w:val="24"/>
          <w:lang w:val="el-GR"/>
        </w:rPr>
        <w:t xml:space="preserve"> </w:t>
      </w:r>
      <w:r w:rsidR="00BD42EF">
        <w:rPr>
          <w:rFonts w:cstheme="minorHAnsi"/>
          <w:sz w:val="24"/>
          <w:szCs w:val="24"/>
          <w:lang w:val="el-GR"/>
        </w:rPr>
        <w:t>με</w:t>
      </w:r>
      <w:r w:rsidR="00BD42EF" w:rsidRPr="008450F9">
        <w:rPr>
          <w:rFonts w:cstheme="minorHAnsi"/>
          <w:sz w:val="24"/>
          <w:szCs w:val="24"/>
          <w:lang w:val="el-GR"/>
        </w:rPr>
        <w:t xml:space="preserve"> </w:t>
      </w:r>
      <w:r w:rsidR="00BD42EF">
        <w:rPr>
          <w:rFonts w:cstheme="minorHAnsi"/>
          <w:sz w:val="24"/>
          <w:szCs w:val="24"/>
          <w:lang w:val="el-GR"/>
        </w:rPr>
        <w:t>την</w:t>
      </w:r>
      <w:r w:rsidR="00BD42EF" w:rsidRPr="008450F9">
        <w:rPr>
          <w:rFonts w:cstheme="minorHAnsi"/>
          <w:sz w:val="24"/>
          <w:szCs w:val="24"/>
          <w:lang w:val="el-GR"/>
        </w:rPr>
        <w:t xml:space="preserve"> </w:t>
      </w:r>
      <w:r w:rsidR="00BD42EF">
        <w:rPr>
          <w:rFonts w:cstheme="minorHAnsi"/>
          <w:sz w:val="24"/>
          <w:szCs w:val="24"/>
          <w:lang w:val="el-GR"/>
        </w:rPr>
        <w:t>πρακτική</w:t>
      </w:r>
      <w:r w:rsidR="00BD42EF" w:rsidRPr="008450F9">
        <w:rPr>
          <w:rFonts w:cstheme="minorHAnsi"/>
          <w:sz w:val="24"/>
          <w:szCs w:val="24"/>
          <w:lang w:val="el-GR"/>
        </w:rPr>
        <w:t xml:space="preserve"> </w:t>
      </w:r>
      <w:r w:rsidR="00BD42EF">
        <w:rPr>
          <w:rFonts w:cstheme="minorHAnsi"/>
          <w:sz w:val="24"/>
          <w:szCs w:val="24"/>
          <w:lang w:val="el-GR"/>
        </w:rPr>
        <w:t>της</w:t>
      </w:r>
      <w:r w:rsidR="00A5147D" w:rsidRPr="008450F9">
        <w:rPr>
          <w:rFonts w:cstheme="minorHAnsi"/>
          <w:sz w:val="24"/>
          <w:szCs w:val="24"/>
          <w:lang w:val="el-GR"/>
        </w:rPr>
        <w:t xml:space="preserve"> </w:t>
      </w:r>
      <w:r w:rsidR="00A5147D" w:rsidRPr="004E251E">
        <w:rPr>
          <w:rFonts w:cstheme="minorHAnsi"/>
          <w:sz w:val="24"/>
          <w:szCs w:val="24"/>
        </w:rPr>
        <w:t>GRECO</w:t>
      </w:r>
      <w:r w:rsidR="00A5147D" w:rsidRPr="008450F9">
        <w:rPr>
          <w:rFonts w:cstheme="minorHAnsi"/>
          <w:sz w:val="24"/>
          <w:szCs w:val="24"/>
          <w:lang w:val="el-GR"/>
        </w:rPr>
        <w:t xml:space="preserve">, </w:t>
      </w:r>
      <w:r w:rsidR="00BD42EF">
        <w:rPr>
          <w:rFonts w:cstheme="minorHAnsi"/>
          <w:sz w:val="24"/>
          <w:szCs w:val="24"/>
          <w:lang w:val="el-GR"/>
        </w:rPr>
        <w:t>οι</w:t>
      </w:r>
      <w:r w:rsidR="00BD42EF" w:rsidRPr="008450F9">
        <w:rPr>
          <w:rFonts w:cstheme="minorHAnsi"/>
          <w:sz w:val="24"/>
          <w:szCs w:val="24"/>
          <w:lang w:val="el-GR"/>
        </w:rPr>
        <w:t xml:space="preserve"> </w:t>
      </w:r>
      <w:r w:rsidR="00BD42EF">
        <w:rPr>
          <w:rFonts w:cstheme="minorHAnsi"/>
          <w:sz w:val="24"/>
          <w:szCs w:val="24"/>
          <w:lang w:val="el-GR"/>
        </w:rPr>
        <w:t>εισηγήσεις</w:t>
      </w:r>
      <w:r w:rsidR="00BD42EF" w:rsidRPr="008450F9">
        <w:rPr>
          <w:rFonts w:cstheme="minorHAnsi"/>
          <w:sz w:val="24"/>
          <w:szCs w:val="24"/>
          <w:lang w:val="el-GR"/>
        </w:rPr>
        <w:t xml:space="preserve"> </w:t>
      </w:r>
      <w:r w:rsidR="00BD42EF">
        <w:rPr>
          <w:rFonts w:cstheme="minorHAnsi"/>
          <w:sz w:val="24"/>
          <w:szCs w:val="24"/>
          <w:lang w:val="el-GR"/>
        </w:rPr>
        <w:t>απευθύνονται</w:t>
      </w:r>
      <w:r w:rsidR="00A5147D" w:rsidRPr="008450F9">
        <w:rPr>
          <w:rFonts w:cstheme="minorHAnsi"/>
          <w:sz w:val="24"/>
          <w:szCs w:val="24"/>
          <w:lang w:val="el-GR"/>
        </w:rPr>
        <w:t xml:space="preserve">, </w:t>
      </w:r>
      <w:r w:rsidR="00BD42EF">
        <w:rPr>
          <w:rFonts w:cstheme="minorHAnsi"/>
          <w:sz w:val="24"/>
          <w:szCs w:val="24"/>
          <w:lang w:val="el-GR"/>
        </w:rPr>
        <w:t>μέσω</w:t>
      </w:r>
      <w:r w:rsidR="00BD42EF" w:rsidRPr="008450F9">
        <w:rPr>
          <w:rFonts w:cstheme="minorHAnsi"/>
          <w:sz w:val="24"/>
          <w:szCs w:val="24"/>
          <w:lang w:val="el-GR"/>
        </w:rPr>
        <w:t xml:space="preserve"> </w:t>
      </w:r>
      <w:r w:rsidR="00BD42EF">
        <w:rPr>
          <w:rFonts w:cstheme="minorHAnsi"/>
          <w:sz w:val="24"/>
          <w:szCs w:val="24"/>
          <w:lang w:val="el-GR"/>
        </w:rPr>
        <w:t>του</w:t>
      </w:r>
      <w:r w:rsidR="00BD42EF" w:rsidRPr="008450F9">
        <w:rPr>
          <w:rFonts w:cstheme="minorHAnsi"/>
          <w:sz w:val="24"/>
          <w:szCs w:val="24"/>
          <w:lang w:val="el-GR"/>
        </w:rPr>
        <w:t xml:space="preserve"> </w:t>
      </w:r>
      <w:r w:rsidR="00BD42EF">
        <w:rPr>
          <w:rFonts w:cstheme="minorHAnsi"/>
          <w:sz w:val="24"/>
          <w:szCs w:val="24"/>
          <w:lang w:val="el-GR"/>
        </w:rPr>
        <w:t>Επικεφαλής</w:t>
      </w:r>
      <w:r w:rsidR="00BD42EF" w:rsidRPr="008450F9">
        <w:rPr>
          <w:rFonts w:cstheme="minorHAnsi"/>
          <w:sz w:val="24"/>
          <w:szCs w:val="24"/>
          <w:lang w:val="el-GR"/>
        </w:rPr>
        <w:t xml:space="preserve"> </w:t>
      </w:r>
      <w:r w:rsidR="00BD42EF">
        <w:rPr>
          <w:rFonts w:cstheme="minorHAnsi"/>
          <w:sz w:val="24"/>
          <w:szCs w:val="24"/>
          <w:lang w:val="el-GR"/>
        </w:rPr>
        <w:t>της</w:t>
      </w:r>
      <w:r w:rsidR="00BD42EF" w:rsidRPr="008450F9">
        <w:rPr>
          <w:rFonts w:cstheme="minorHAnsi"/>
          <w:sz w:val="24"/>
          <w:szCs w:val="24"/>
          <w:lang w:val="el-GR"/>
        </w:rPr>
        <w:t xml:space="preserve"> </w:t>
      </w:r>
      <w:r w:rsidR="00BD42EF">
        <w:rPr>
          <w:rFonts w:cstheme="minorHAnsi"/>
          <w:sz w:val="24"/>
          <w:szCs w:val="24"/>
          <w:lang w:val="el-GR"/>
        </w:rPr>
        <w:t>αντιπροσωπείας</w:t>
      </w:r>
      <w:r w:rsidR="00BD42EF" w:rsidRPr="008450F9">
        <w:rPr>
          <w:rFonts w:cstheme="minorHAnsi"/>
          <w:sz w:val="24"/>
          <w:szCs w:val="24"/>
          <w:lang w:val="el-GR"/>
        </w:rPr>
        <w:t xml:space="preserve"> </w:t>
      </w:r>
      <w:r w:rsidR="00BD42EF">
        <w:rPr>
          <w:rFonts w:cstheme="minorHAnsi"/>
          <w:sz w:val="24"/>
          <w:szCs w:val="24"/>
          <w:lang w:val="el-GR"/>
        </w:rPr>
        <w:t>της</w:t>
      </w:r>
      <w:r w:rsidR="00A5147D" w:rsidRPr="008450F9">
        <w:rPr>
          <w:rFonts w:cstheme="minorHAnsi"/>
          <w:sz w:val="24"/>
          <w:szCs w:val="24"/>
          <w:lang w:val="el-GR"/>
        </w:rPr>
        <w:t xml:space="preserve"> </w:t>
      </w:r>
      <w:r w:rsidR="00A5147D" w:rsidRPr="004E251E">
        <w:rPr>
          <w:rFonts w:cstheme="minorHAnsi"/>
          <w:sz w:val="24"/>
          <w:szCs w:val="24"/>
        </w:rPr>
        <w:t>GRECO</w:t>
      </w:r>
      <w:r w:rsidR="00A5147D" w:rsidRPr="008450F9">
        <w:rPr>
          <w:rFonts w:cstheme="minorHAnsi"/>
          <w:sz w:val="24"/>
          <w:szCs w:val="24"/>
          <w:lang w:val="el-GR"/>
        </w:rPr>
        <w:t xml:space="preserve">, </w:t>
      </w:r>
      <w:r w:rsidR="00BD42EF">
        <w:rPr>
          <w:rFonts w:cstheme="minorHAnsi"/>
          <w:sz w:val="24"/>
          <w:szCs w:val="24"/>
          <w:lang w:val="el-GR"/>
        </w:rPr>
        <w:t>στις</w:t>
      </w:r>
      <w:r w:rsidR="00BD42EF" w:rsidRPr="008450F9">
        <w:rPr>
          <w:rFonts w:cstheme="minorHAnsi"/>
          <w:sz w:val="24"/>
          <w:szCs w:val="24"/>
          <w:lang w:val="el-GR"/>
        </w:rPr>
        <w:t xml:space="preserve"> </w:t>
      </w:r>
      <w:r w:rsidR="00BD42EF">
        <w:rPr>
          <w:rFonts w:cstheme="minorHAnsi"/>
          <w:sz w:val="24"/>
          <w:szCs w:val="24"/>
          <w:lang w:val="el-GR"/>
        </w:rPr>
        <w:t>αρχές</w:t>
      </w:r>
      <w:r w:rsidR="00BD42EF" w:rsidRPr="008450F9">
        <w:rPr>
          <w:rFonts w:cstheme="minorHAnsi"/>
          <w:sz w:val="24"/>
          <w:szCs w:val="24"/>
          <w:lang w:val="el-GR"/>
        </w:rPr>
        <w:t xml:space="preserve"> </w:t>
      </w:r>
      <w:r w:rsidR="00BD42EF">
        <w:rPr>
          <w:rFonts w:cstheme="minorHAnsi"/>
          <w:sz w:val="24"/>
          <w:szCs w:val="24"/>
          <w:lang w:val="el-GR"/>
        </w:rPr>
        <w:t>της</w:t>
      </w:r>
      <w:r w:rsidR="00BD42EF" w:rsidRPr="008450F9">
        <w:rPr>
          <w:rFonts w:cstheme="minorHAnsi"/>
          <w:sz w:val="24"/>
          <w:szCs w:val="24"/>
          <w:lang w:val="el-GR"/>
        </w:rPr>
        <w:t xml:space="preserve"> </w:t>
      </w:r>
      <w:r w:rsidR="00BD42EF">
        <w:rPr>
          <w:rFonts w:cstheme="minorHAnsi"/>
          <w:sz w:val="24"/>
          <w:szCs w:val="24"/>
          <w:lang w:val="el-GR"/>
        </w:rPr>
        <w:t>Κύπρου</w:t>
      </w:r>
      <w:r w:rsidR="00A5147D" w:rsidRPr="008450F9">
        <w:rPr>
          <w:rFonts w:cstheme="minorHAnsi"/>
          <w:sz w:val="24"/>
          <w:szCs w:val="24"/>
          <w:lang w:val="el-GR"/>
        </w:rPr>
        <w:t xml:space="preserve">, </w:t>
      </w:r>
      <w:r w:rsidR="00FB3418">
        <w:rPr>
          <w:rFonts w:cstheme="minorHAnsi"/>
          <w:sz w:val="24"/>
          <w:szCs w:val="24"/>
          <w:lang w:val="el-GR"/>
        </w:rPr>
        <w:t xml:space="preserve">οι οποίες καθορίζουν </w:t>
      </w:r>
      <w:r w:rsidR="00BD42EF">
        <w:rPr>
          <w:rFonts w:cstheme="minorHAnsi"/>
          <w:sz w:val="24"/>
          <w:szCs w:val="24"/>
          <w:lang w:val="el-GR"/>
        </w:rPr>
        <w:t>τ</w:t>
      </w:r>
      <w:r w:rsidR="00FB3418">
        <w:rPr>
          <w:rFonts w:cstheme="minorHAnsi"/>
          <w:sz w:val="24"/>
          <w:szCs w:val="24"/>
          <w:lang w:val="el-GR"/>
        </w:rPr>
        <w:t>ους</w:t>
      </w:r>
      <w:r w:rsidR="00BD42EF" w:rsidRPr="008450F9">
        <w:rPr>
          <w:rFonts w:cstheme="minorHAnsi"/>
          <w:sz w:val="24"/>
          <w:szCs w:val="24"/>
          <w:lang w:val="el-GR"/>
        </w:rPr>
        <w:t xml:space="preserve"> </w:t>
      </w:r>
      <w:r w:rsidR="00BD42EF">
        <w:rPr>
          <w:rFonts w:cstheme="minorHAnsi"/>
          <w:sz w:val="24"/>
          <w:szCs w:val="24"/>
          <w:lang w:val="el-GR"/>
        </w:rPr>
        <w:t>εθνικ</w:t>
      </w:r>
      <w:r w:rsidR="00FB3418">
        <w:rPr>
          <w:rFonts w:cstheme="minorHAnsi"/>
          <w:sz w:val="24"/>
          <w:szCs w:val="24"/>
          <w:lang w:val="el-GR"/>
        </w:rPr>
        <w:t>ούς</w:t>
      </w:r>
      <w:r w:rsidR="00BD42EF" w:rsidRPr="008450F9">
        <w:rPr>
          <w:rFonts w:cstheme="minorHAnsi"/>
          <w:sz w:val="24"/>
          <w:szCs w:val="24"/>
          <w:lang w:val="el-GR"/>
        </w:rPr>
        <w:t xml:space="preserve"> </w:t>
      </w:r>
      <w:r w:rsidR="00FB3418">
        <w:rPr>
          <w:rFonts w:cstheme="minorHAnsi"/>
          <w:sz w:val="24"/>
          <w:szCs w:val="24"/>
          <w:lang w:val="el-GR"/>
        </w:rPr>
        <w:t>φορείς</w:t>
      </w:r>
      <w:r w:rsidR="00BD42EF" w:rsidRPr="008450F9">
        <w:rPr>
          <w:rFonts w:cstheme="minorHAnsi"/>
          <w:sz w:val="24"/>
          <w:szCs w:val="24"/>
          <w:lang w:val="el-GR"/>
        </w:rPr>
        <w:t>/</w:t>
      </w:r>
      <w:r w:rsidR="00FB3418">
        <w:rPr>
          <w:rFonts w:cstheme="minorHAnsi"/>
          <w:sz w:val="24"/>
          <w:szCs w:val="24"/>
          <w:lang w:val="el-GR"/>
        </w:rPr>
        <w:t>σώματα</w:t>
      </w:r>
      <w:r w:rsidR="00A5147D" w:rsidRPr="008450F9">
        <w:rPr>
          <w:rFonts w:cstheme="minorHAnsi"/>
          <w:sz w:val="24"/>
          <w:szCs w:val="24"/>
          <w:lang w:val="el-GR"/>
        </w:rPr>
        <w:t xml:space="preserve"> </w:t>
      </w:r>
      <w:r w:rsidR="008450F9">
        <w:rPr>
          <w:rFonts w:cstheme="minorHAnsi"/>
          <w:sz w:val="24"/>
          <w:szCs w:val="24"/>
          <w:lang w:val="el-GR"/>
        </w:rPr>
        <w:t>που θα είναι υπεύθυνα</w:t>
      </w:r>
      <w:r w:rsidR="00A5147D" w:rsidRPr="008450F9">
        <w:rPr>
          <w:rFonts w:cstheme="minorHAnsi"/>
          <w:sz w:val="24"/>
          <w:szCs w:val="24"/>
          <w:lang w:val="el-GR"/>
        </w:rPr>
        <w:t xml:space="preserve"> </w:t>
      </w:r>
      <w:r w:rsidR="008450F9">
        <w:rPr>
          <w:rFonts w:cstheme="minorHAnsi"/>
          <w:sz w:val="24"/>
          <w:szCs w:val="24"/>
          <w:lang w:val="el-GR"/>
        </w:rPr>
        <w:t xml:space="preserve">για να προβούν </w:t>
      </w:r>
      <w:r w:rsidR="00FB3418">
        <w:rPr>
          <w:rFonts w:cstheme="minorHAnsi"/>
          <w:sz w:val="24"/>
          <w:szCs w:val="24"/>
          <w:lang w:val="el-GR"/>
        </w:rPr>
        <w:t xml:space="preserve">στην </w:t>
      </w:r>
      <w:r w:rsidR="008450F9">
        <w:rPr>
          <w:rFonts w:cstheme="minorHAnsi"/>
          <w:sz w:val="24"/>
          <w:szCs w:val="24"/>
          <w:lang w:val="el-GR"/>
        </w:rPr>
        <w:t>απαραίτητ</w:t>
      </w:r>
      <w:r w:rsidR="00FB3418">
        <w:rPr>
          <w:rFonts w:cstheme="minorHAnsi"/>
          <w:sz w:val="24"/>
          <w:szCs w:val="24"/>
          <w:lang w:val="el-GR"/>
        </w:rPr>
        <w:t>η δράση</w:t>
      </w:r>
      <w:r w:rsidR="00A5147D" w:rsidRPr="008450F9">
        <w:rPr>
          <w:rFonts w:cstheme="minorHAnsi"/>
          <w:sz w:val="24"/>
          <w:szCs w:val="24"/>
          <w:lang w:val="el-GR"/>
        </w:rPr>
        <w:t xml:space="preserve">. </w:t>
      </w:r>
      <w:r w:rsidR="008450F9">
        <w:rPr>
          <w:rFonts w:cstheme="minorHAnsi"/>
          <w:sz w:val="24"/>
          <w:szCs w:val="24"/>
          <w:lang w:val="el-GR"/>
        </w:rPr>
        <w:t>Εντός</w:t>
      </w:r>
      <w:r w:rsidR="008450F9" w:rsidRPr="008450F9">
        <w:rPr>
          <w:rFonts w:cstheme="minorHAnsi"/>
          <w:sz w:val="24"/>
          <w:szCs w:val="24"/>
          <w:lang w:val="el-GR"/>
        </w:rPr>
        <w:t xml:space="preserve"> 18 </w:t>
      </w:r>
      <w:r w:rsidR="008450F9">
        <w:rPr>
          <w:rFonts w:cstheme="minorHAnsi"/>
          <w:sz w:val="24"/>
          <w:szCs w:val="24"/>
          <w:lang w:val="el-GR"/>
        </w:rPr>
        <w:t>μηνών</w:t>
      </w:r>
      <w:r w:rsidR="00A5147D" w:rsidRPr="008450F9">
        <w:rPr>
          <w:rFonts w:cstheme="minorHAnsi"/>
          <w:sz w:val="24"/>
          <w:szCs w:val="24"/>
          <w:lang w:val="el-GR"/>
        </w:rPr>
        <w:t xml:space="preserve"> </w:t>
      </w:r>
      <w:r w:rsidR="008450F9">
        <w:rPr>
          <w:rFonts w:cstheme="minorHAnsi"/>
          <w:sz w:val="24"/>
          <w:szCs w:val="24"/>
          <w:lang w:val="el-GR"/>
        </w:rPr>
        <w:t>μετά</w:t>
      </w:r>
      <w:r w:rsidR="008450F9" w:rsidRPr="008450F9">
        <w:rPr>
          <w:rFonts w:cstheme="minorHAnsi"/>
          <w:sz w:val="24"/>
          <w:szCs w:val="24"/>
          <w:lang w:val="el-GR"/>
        </w:rPr>
        <w:t xml:space="preserve"> </w:t>
      </w:r>
      <w:r w:rsidR="008450F9">
        <w:rPr>
          <w:rFonts w:cstheme="minorHAnsi"/>
          <w:sz w:val="24"/>
          <w:szCs w:val="24"/>
          <w:lang w:val="el-GR"/>
        </w:rPr>
        <w:t>την</w:t>
      </w:r>
      <w:r w:rsidR="008450F9" w:rsidRPr="008450F9">
        <w:rPr>
          <w:rFonts w:cstheme="minorHAnsi"/>
          <w:sz w:val="24"/>
          <w:szCs w:val="24"/>
          <w:lang w:val="el-GR"/>
        </w:rPr>
        <w:t xml:space="preserve"> </w:t>
      </w:r>
      <w:r w:rsidR="008450F9">
        <w:rPr>
          <w:rFonts w:cstheme="minorHAnsi"/>
          <w:sz w:val="24"/>
          <w:szCs w:val="24"/>
          <w:lang w:val="el-GR"/>
        </w:rPr>
        <w:t>υιοθέτηση</w:t>
      </w:r>
      <w:r w:rsidR="008450F9" w:rsidRPr="008450F9">
        <w:rPr>
          <w:rFonts w:cstheme="minorHAnsi"/>
          <w:sz w:val="24"/>
          <w:szCs w:val="24"/>
          <w:lang w:val="el-GR"/>
        </w:rPr>
        <w:t xml:space="preserve"> </w:t>
      </w:r>
      <w:r w:rsidR="008450F9">
        <w:rPr>
          <w:rFonts w:cstheme="minorHAnsi"/>
          <w:sz w:val="24"/>
          <w:szCs w:val="24"/>
          <w:lang w:val="el-GR"/>
        </w:rPr>
        <w:t>της</w:t>
      </w:r>
      <w:r w:rsidR="008450F9" w:rsidRPr="008450F9">
        <w:rPr>
          <w:rFonts w:cstheme="minorHAnsi"/>
          <w:sz w:val="24"/>
          <w:szCs w:val="24"/>
          <w:lang w:val="el-GR"/>
        </w:rPr>
        <w:t xml:space="preserve"> </w:t>
      </w:r>
      <w:r w:rsidR="008450F9">
        <w:rPr>
          <w:rFonts w:cstheme="minorHAnsi"/>
          <w:sz w:val="24"/>
          <w:szCs w:val="24"/>
          <w:lang w:val="el-GR"/>
        </w:rPr>
        <w:t>έκθεσης</w:t>
      </w:r>
      <w:r w:rsidR="008450F9" w:rsidRPr="008450F9">
        <w:rPr>
          <w:rFonts w:cstheme="minorHAnsi"/>
          <w:sz w:val="24"/>
          <w:szCs w:val="24"/>
          <w:lang w:val="el-GR"/>
        </w:rPr>
        <w:t xml:space="preserve"> </w:t>
      </w:r>
      <w:r w:rsidR="008450F9">
        <w:rPr>
          <w:rFonts w:cstheme="minorHAnsi"/>
          <w:sz w:val="24"/>
          <w:szCs w:val="24"/>
          <w:lang w:val="el-GR"/>
        </w:rPr>
        <w:t>αυτής</w:t>
      </w:r>
      <w:r w:rsidR="00A5147D" w:rsidRPr="008450F9">
        <w:rPr>
          <w:rFonts w:cstheme="minorHAnsi"/>
          <w:sz w:val="24"/>
          <w:szCs w:val="24"/>
          <w:lang w:val="el-GR"/>
        </w:rPr>
        <w:t xml:space="preserve">, </w:t>
      </w:r>
      <w:r w:rsidR="008450F9">
        <w:rPr>
          <w:rFonts w:cstheme="minorHAnsi"/>
          <w:sz w:val="24"/>
          <w:szCs w:val="24"/>
          <w:lang w:val="el-GR"/>
        </w:rPr>
        <w:t>η</w:t>
      </w:r>
      <w:r w:rsidR="008450F9" w:rsidRPr="008450F9">
        <w:rPr>
          <w:rFonts w:cstheme="minorHAnsi"/>
          <w:sz w:val="24"/>
          <w:szCs w:val="24"/>
          <w:lang w:val="el-GR"/>
        </w:rPr>
        <w:t xml:space="preserve"> </w:t>
      </w:r>
      <w:r w:rsidR="008450F9">
        <w:rPr>
          <w:rFonts w:cstheme="minorHAnsi"/>
          <w:sz w:val="24"/>
          <w:szCs w:val="24"/>
          <w:lang w:val="el-GR"/>
        </w:rPr>
        <w:t>Κύπρος</w:t>
      </w:r>
      <w:r w:rsidR="008450F9" w:rsidRPr="008450F9">
        <w:rPr>
          <w:rFonts w:cstheme="minorHAnsi"/>
          <w:sz w:val="24"/>
          <w:szCs w:val="24"/>
          <w:lang w:val="el-GR"/>
        </w:rPr>
        <w:t xml:space="preserve"> </w:t>
      </w:r>
      <w:r w:rsidR="008450F9">
        <w:rPr>
          <w:rFonts w:cstheme="minorHAnsi"/>
          <w:sz w:val="24"/>
          <w:szCs w:val="24"/>
          <w:lang w:val="el-GR"/>
        </w:rPr>
        <w:t>θα</w:t>
      </w:r>
      <w:r w:rsidR="00A5147D" w:rsidRPr="008450F9">
        <w:rPr>
          <w:rFonts w:cstheme="minorHAnsi"/>
          <w:sz w:val="24"/>
          <w:szCs w:val="24"/>
          <w:lang w:val="el-GR"/>
        </w:rPr>
        <w:t xml:space="preserve"> </w:t>
      </w:r>
      <w:r w:rsidR="008450F9">
        <w:rPr>
          <w:rFonts w:cstheme="minorHAnsi"/>
          <w:sz w:val="24"/>
          <w:szCs w:val="24"/>
          <w:lang w:val="el-GR"/>
        </w:rPr>
        <w:t>δώσει αναφορά</w:t>
      </w:r>
      <w:r w:rsidR="00A5147D" w:rsidRPr="008450F9">
        <w:rPr>
          <w:rFonts w:cstheme="minorHAnsi"/>
          <w:sz w:val="24"/>
          <w:szCs w:val="24"/>
          <w:lang w:val="el-GR"/>
        </w:rPr>
        <w:t xml:space="preserve"> </w:t>
      </w:r>
      <w:r w:rsidR="008450F9">
        <w:rPr>
          <w:rFonts w:cstheme="minorHAnsi"/>
          <w:sz w:val="24"/>
          <w:szCs w:val="24"/>
          <w:lang w:val="el-GR"/>
        </w:rPr>
        <w:t>για τις ενέργειες που</w:t>
      </w:r>
      <w:r w:rsidR="00FB3418">
        <w:rPr>
          <w:rFonts w:cstheme="minorHAnsi"/>
          <w:sz w:val="24"/>
          <w:szCs w:val="24"/>
          <w:lang w:val="el-GR"/>
        </w:rPr>
        <w:t xml:space="preserve"> έλαβε </w:t>
      </w:r>
      <w:r w:rsidR="00973266">
        <w:rPr>
          <w:rFonts w:cstheme="minorHAnsi"/>
          <w:sz w:val="24"/>
          <w:szCs w:val="24"/>
          <w:lang w:val="el-GR"/>
        </w:rPr>
        <w:t>ανταποκρινόμενη</w:t>
      </w:r>
      <w:r w:rsidR="00FB3418">
        <w:rPr>
          <w:rFonts w:cstheme="minorHAnsi"/>
          <w:sz w:val="24"/>
          <w:szCs w:val="24"/>
          <w:lang w:val="el-GR"/>
        </w:rPr>
        <w:t xml:space="preserve"> στις </w:t>
      </w:r>
      <w:r w:rsidR="008450F9">
        <w:rPr>
          <w:rFonts w:cstheme="minorHAnsi"/>
          <w:sz w:val="24"/>
          <w:szCs w:val="24"/>
          <w:lang w:val="el-GR"/>
        </w:rPr>
        <w:t>εισηγήσε</w:t>
      </w:r>
      <w:r w:rsidR="00FB3418">
        <w:rPr>
          <w:rFonts w:cstheme="minorHAnsi"/>
          <w:sz w:val="24"/>
          <w:szCs w:val="24"/>
          <w:lang w:val="el-GR"/>
        </w:rPr>
        <w:t>ις</w:t>
      </w:r>
      <w:r w:rsidR="008450F9">
        <w:rPr>
          <w:rFonts w:cstheme="minorHAnsi"/>
          <w:sz w:val="24"/>
          <w:szCs w:val="24"/>
          <w:lang w:val="el-GR"/>
        </w:rPr>
        <w:t xml:space="preserve"> της</w:t>
      </w:r>
      <w:r w:rsidR="00A5147D" w:rsidRPr="008450F9">
        <w:rPr>
          <w:rFonts w:cstheme="minorHAnsi"/>
          <w:sz w:val="24"/>
          <w:szCs w:val="24"/>
          <w:lang w:val="el-GR"/>
        </w:rPr>
        <w:t xml:space="preserve"> </w:t>
      </w:r>
      <w:r w:rsidR="00A5147D" w:rsidRPr="004E251E">
        <w:rPr>
          <w:rFonts w:cstheme="minorHAnsi"/>
          <w:sz w:val="24"/>
          <w:szCs w:val="24"/>
        </w:rPr>
        <w:t>GRECO</w:t>
      </w:r>
      <w:r w:rsidR="00A5147D" w:rsidRPr="008450F9">
        <w:rPr>
          <w:rFonts w:cstheme="minorHAnsi"/>
          <w:sz w:val="24"/>
          <w:szCs w:val="24"/>
          <w:lang w:val="el-GR"/>
        </w:rPr>
        <w:t xml:space="preserve">. </w:t>
      </w:r>
    </w:p>
    <w:p w14:paraId="77FF18D3" w14:textId="77777777" w:rsidR="00A5147D" w:rsidRPr="008450F9" w:rsidRDefault="00A5147D" w:rsidP="00A5147D">
      <w:pPr>
        <w:rPr>
          <w:rFonts w:cstheme="minorHAnsi"/>
          <w:sz w:val="24"/>
          <w:szCs w:val="24"/>
          <w:lang w:val="el-GR"/>
        </w:rPr>
      </w:pPr>
    </w:p>
    <w:p w14:paraId="106857C2" w14:textId="2D8F0EE0" w:rsidR="00A5147D" w:rsidRPr="001B28E6" w:rsidRDefault="008450F9"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Για</w:t>
      </w:r>
      <w:r w:rsidRPr="008450F9">
        <w:rPr>
          <w:rFonts w:cstheme="minorHAnsi"/>
          <w:sz w:val="24"/>
          <w:szCs w:val="24"/>
          <w:lang w:val="el-GR"/>
        </w:rPr>
        <w:t xml:space="preserve"> </w:t>
      </w:r>
      <w:r>
        <w:rPr>
          <w:rFonts w:cstheme="minorHAnsi"/>
          <w:sz w:val="24"/>
          <w:szCs w:val="24"/>
          <w:lang w:val="el-GR"/>
        </w:rPr>
        <w:t>να</w:t>
      </w:r>
      <w:r w:rsidRPr="008450F9">
        <w:rPr>
          <w:rFonts w:cstheme="minorHAnsi"/>
          <w:sz w:val="24"/>
          <w:szCs w:val="24"/>
          <w:lang w:val="el-GR"/>
        </w:rPr>
        <w:t xml:space="preserve"> </w:t>
      </w:r>
      <w:r>
        <w:rPr>
          <w:rFonts w:cstheme="minorHAnsi"/>
          <w:sz w:val="24"/>
          <w:szCs w:val="24"/>
          <w:lang w:val="el-GR"/>
        </w:rPr>
        <w:t>ετοιμάσει</w:t>
      </w:r>
      <w:r w:rsidRPr="008450F9">
        <w:rPr>
          <w:rFonts w:cstheme="minorHAnsi"/>
          <w:sz w:val="24"/>
          <w:szCs w:val="24"/>
          <w:lang w:val="el-GR"/>
        </w:rPr>
        <w:t xml:space="preserve"> </w:t>
      </w:r>
      <w:r>
        <w:rPr>
          <w:rFonts w:cstheme="minorHAnsi"/>
          <w:sz w:val="24"/>
          <w:szCs w:val="24"/>
          <w:lang w:val="el-GR"/>
        </w:rPr>
        <w:t>την</w:t>
      </w:r>
      <w:r w:rsidRPr="008450F9">
        <w:rPr>
          <w:rFonts w:cstheme="minorHAnsi"/>
          <w:sz w:val="24"/>
          <w:szCs w:val="24"/>
          <w:lang w:val="el-GR"/>
        </w:rPr>
        <w:t xml:space="preserve"> </w:t>
      </w:r>
      <w:r>
        <w:rPr>
          <w:rFonts w:cstheme="minorHAnsi"/>
          <w:sz w:val="24"/>
          <w:szCs w:val="24"/>
          <w:lang w:val="el-GR"/>
        </w:rPr>
        <w:t>έκθεση</w:t>
      </w:r>
      <w:r w:rsidRPr="008450F9">
        <w:rPr>
          <w:rFonts w:cstheme="minorHAnsi"/>
          <w:sz w:val="24"/>
          <w:szCs w:val="24"/>
          <w:lang w:val="el-GR"/>
        </w:rPr>
        <w:t xml:space="preserve"> </w:t>
      </w:r>
      <w:r>
        <w:rPr>
          <w:rFonts w:cstheme="minorHAnsi"/>
          <w:sz w:val="24"/>
          <w:szCs w:val="24"/>
          <w:lang w:val="el-GR"/>
        </w:rPr>
        <w:t>αυτή</w:t>
      </w:r>
      <w:r w:rsidR="00A5147D" w:rsidRPr="008450F9">
        <w:rPr>
          <w:rFonts w:cstheme="minorHAnsi"/>
          <w:sz w:val="24"/>
          <w:szCs w:val="24"/>
          <w:lang w:val="el-GR"/>
        </w:rPr>
        <w:t xml:space="preserve">, </w:t>
      </w:r>
      <w:r>
        <w:rPr>
          <w:rFonts w:cstheme="minorHAnsi"/>
          <w:sz w:val="24"/>
          <w:szCs w:val="24"/>
          <w:lang w:val="el-GR"/>
        </w:rPr>
        <w:t>μια</w:t>
      </w:r>
      <w:r w:rsidRPr="008450F9">
        <w:rPr>
          <w:rFonts w:cstheme="minorHAnsi"/>
          <w:sz w:val="24"/>
          <w:szCs w:val="24"/>
          <w:lang w:val="el-GR"/>
        </w:rPr>
        <w:t xml:space="preserve"> </w:t>
      </w:r>
      <w:r>
        <w:rPr>
          <w:rFonts w:cstheme="minorHAnsi"/>
          <w:sz w:val="24"/>
          <w:szCs w:val="24"/>
          <w:lang w:val="el-GR"/>
        </w:rPr>
        <w:t>ομάδα</w:t>
      </w:r>
      <w:r w:rsidRPr="008450F9">
        <w:rPr>
          <w:rFonts w:cstheme="minorHAnsi"/>
          <w:sz w:val="24"/>
          <w:szCs w:val="24"/>
          <w:lang w:val="el-GR"/>
        </w:rPr>
        <w:t xml:space="preserve"> </w:t>
      </w:r>
      <w:r>
        <w:rPr>
          <w:rFonts w:cstheme="minorHAnsi"/>
          <w:sz w:val="24"/>
          <w:szCs w:val="24"/>
          <w:lang w:val="el-GR"/>
        </w:rPr>
        <w:t>αξιολόγησης</w:t>
      </w:r>
      <w:r w:rsidRPr="008450F9">
        <w:rPr>
          <w:rFonts w:cstheme="minorHAnsi"/>
          <w:sz w:val="24"/>
          <w:szCs w:val="24"/>
          <w:lang w:val="el-GR"/>
        </w:rPr>
        <w:t xml:space="preserve"> </w:t>
      </w:r>
      <w:r>
        <w:rPr>
          <w:rFonts w:cstheme="minorHAnsi"/>
          <w:sz w:val="24"/>
          <w:szCs w:val="24"/>
          <w:lang w:val="el-GR"/>
        </w:rPr>
        <w:t>της</w:t>
      </w:r>
      <w:r w:rsidR="00A5147D" w:rsidRPr="008450F9">
        <w:rPr>
          <w:rFonts w:cstheme="minorHAnsi"/>
          <w:sz w:val="24"/>
          <w:szCs w:val="24"/>
          <w:lang w:val="el-GR"/>
        </w:rPr>
        <w:t xml:space="preserve"> </w:t>
      </w:r>
      <w:r w:rsidR="00A5147D" w:rsidRPr="004E251E">
        <w:rPr>
          <w:rFonts w:cstheme="minorHAnsi"/>
          <w:sz w:val="24"/>
          <w:szCs w:val="24"/>
        </w:rPr>
        <w:t>GRECO</w:t>
      </w:r>
      <w:r w:rsidR="00A5147D" w:rsidRPr="008450F9">
        <w:rPr>
          <w:rFonts w:cstheme="minorHAnsi"/>
          <w:sz w:val="24"/>
          <w:szCs w:val="24"/>
          <w:lang w:val="el-GR"/>
        </w:rPr>
        <w:t xml:space="preserve"> (</w:t>
      </w:r>
      <w:r>
        <w:rPr>
          <w:rFonts w:cstheme="minorHAnsi"/>
          <w:sz w:val="24"/>
          <w:szCs w:val="24"/>
          <w:lang w:val="el-GR"/>
        </w:rPr>
        <w:t>στο</w:t>
      </w:r>
      <w:r w:rsidRPr="008450F9">
        <w:rPr>
          <w:rFonts w:cstheme="minorHAnsi"/>
          <w:sz w:val="24"/>
          <w:szCs w:val="24"/>
          <w:lang w:val="el-GR"/>
        </w:rPr>
        <w:t xml:space="preserve"> </w:t>
      </w:r>
      <w:r>
        <w:rPr>
          <w:rFonts w:cstheme="minorHAnsi"/>
          <w:sz w:val="24"/>
          <w:szCs w:val="24"/>
          <w:lang w:val="el-GR"/>
        </w:rPr>
        <w:t>εξής</w:t>
      </w:r>
      <w:r w:rsidRPr="008450F9">
        <w:rPr>
          <w:rFonts w:cstheme="minorHAnsi"/>
          <w:sz w:val="24"/>
          <w:szCs w:val="24"/>
          <w:lang w:val="el-GR"/>
        </w:rPr>
        <w:t xml:space="preserve"> </w:t>
      </w:r>
      <w:r>
        <w:rPr>
          <w:rFonts w:cstheme="minorHAnsi"/>
          <w:sz w:val="24"/>
          <w:szCs w:val="24"/>
          <w:lang w:val="el-GR"/>
        </w:rPr>
        <w:t>αναφερόμεν</w:t>
      </w:r>
      <w:r w:rsidR="00FB3418">
        <w:rPr>
          <w:rFonts w:cstheme="minorHAnsi"/>
          <w:sz w:val="24"/>
          <w:szCs w:val="24"/>
          <w:lang w:val="el-GR"/>
        </w:rPr>
        <w:t>η</w:t>
      </w:r>
      <w:r w:rsidRPr="008450F9">
        <w:rPr>
          <w:rFonts w:cstheme="minorHAnsi"/>
          <w:sz w:val="24"/>
          <w:szCs w:val="24"/>
          <w:lang w:val="el-GR"/>
        </w:rPr>
        <w:t xml:space="preserve"> </w:t>
      </w:r>
      <w:r>
        <w:rPr>
          <w:rFonts w:cstheme="minorHAnsi"/>
          <w:sz w:val="24"/>
          <w:szCs w:val="24"/>
          <w:lang w:val="el-GR"/>
        </w:rPr>
        <w:t>ως</w:t>
      </w:r>
      <w:r w:rsidR="00A5147D" w:rsidRPr="008450F9">
        <w:rPr>
          <w:rFonts w:cstheme="minorHAnsi"/>
          <w:sz w:val="24"/>
          <w:szCs w:val="24"/>
          <w:lang w:val="el-GR"/>
        </w:rPr>
        <w:t xml:space="preserve"> “</w:t>
      </w:r>
      <w:r w:rsidR="00A5147D" w:rsidRPr="004E251E">
        <w:rPr>
          <w:rFonts w:cstheme="minorHAnsi"/>
          <w:sz w:val="24"/>
          <w:szCs w:val="24"/>
        </w:rPr>
        <w:t>GET</w:t>
      </w:r>
      <w:r w:rsidR="00A5147D" w:rsidRPr="008450F9">
        <w:rPr>
          <w:rFonts w:cstheme="minorHAnsi"/>
          <w:sz w:val="24"/>
          <w:szCs w:val="24"/>
          <w:lang w:val="el-GR"/>
        </w:rPr>
        <w:t xml:space="preserve">”), </w:t>
      </w:r>
      <w:r>
        <w:rPr>
          <w:rFonts w:cstheme="minorHAnsi"/>
          <w:sz w:val="24"/>
          <w:szCs w:val="24"/>
          <w:lang w:val="el-GR"/>
        </w:rPr>
        <w:t>διεξήγαγε</w:t>
      </w:r>
      <w:r w:rsidRPr="008450F9">
        <w:rPr>
          <w:rFonts w:cstheme="minorHAnsi"/>
          <w:sz w:val="24"/>
          <w:szCs w:val="24"/>
          <w:lang w:val="el-GR"/>
        </w:rPr>
        <w:t xml:space="preserve"> </w:t>
      </w:r>
      <w:r>
        <w:rPr>
          <w:rFonts w:cstheme="minorHAnsi"/>
          <w:sz w:val="24"/>
          <w:szCs w:val="24"/>
          <w:lang w:val="el-GR"/>
        </w:rPr>
        <w:t>μια</w:t>
      </w:r>
      <w:r w:rsidRPr="008450F9">
        <w:rPr>
          <w:rFonts w:cstheme="minorHAnsi"/>
          <w:sz w:val="24"/>
          <w:szCs w:val="24"/>
          <w:lang w:val="el-GR"/>
        </w:rPr>
        <w:t xml:space="preserve"> </w:t>
      </w:r>
      <w:r>
        <w:rPr>
          <w:rFonts w:cstheme="minorHAnsi"/>
          <w:sz w:val="24"/>
          <w:szCs w:val="24"/>
          <w:lang w:val="el-GR"/>
        </w:rPr>
        <w:t>επιτόπου</w:t>
      </w:r>
      <w:r w:rsidRPr="008450F9">
        <w:rPr>
          <w:rFonts w:cstheme="minorHAnsi"/>
          <w:sz w:val="24"/>
          <w:szCs w:val="24"/>
          <w:lang w:val="el-GR"/>
        </w:rPr>
        <w:t xml:space="preserve"> </w:t>
      </w:r>
      <w:r>
        <w:rPr>
          <w:rFonts w:cstheme="minorHAnsi"/>
          <w:sz w:val="24"/>
          <w:szCs w:val="24"/>
          <w:lang w:val="el-GR"/>
        </w:rPr>
        <w:t>επίσκεψη</w:t>
      </w:r>
      <w:r w:rsidR="00A5147D" w:rsidRPr="008450F9">
        <w:rPr>
          <w:rFonts w:cstheme="minorHAnsi"/>
          <w:sz w:val="24"/>
          <w:szCs w:val="24"/>
          <w:lang w:val="el-GR"/>
        </w:rPr>
        <w:t xml:space="preserve"> </w:t>
      </w:r>
      <w:r>
        <w:rPr>
          <w:rFonts w:cstheme="minorHAnsi"/>
          <w:sz w:val="24"/>
          <w:szCs w:val="24"/>
          <w:lang w:val="el-GR"/>
        </w:rPr>
        <w:t>στην</w:t>
      </w:r>
      <w:r w:rsidRPr="008450F9">
        <w:rPr>
          <w:rFonts w:cstheme="minorHAnsi"/>
          <w:sz w:val="24"/>
          <w:szCs w:val="24"/>
          <w:lang w:val="el-GR"/>
        </w:rPr>
        <w:t xml:space="preserve"> </w:t>
      </w:r>
      <w:r>
        <w:rPr>
          <w:rFonts w:cstheme="minorHAnsi"/>
          <w:sz w:val="24"/>
          <w:szCs w:val="24"/>
          <w:lang w:val="el-GR"/>
        </w:rPr>
        <w:t>Λευκωσία</w:t>
      </w:r>
      <w:r w:rsidR="00A5147D" w:rsidRPr="008450F9">
        <w:rPr>
          <w:rFonts w:cstheme="minorHAnsi"/>
          <w:sz w:val="24"/>
          <w:szCs w:val="24"/>
          <w:lang w:val="el-GR"/>
        </w:rPr>
        <w:t xml:space="preserve"> </w:t>
      </w:r>
      <w:r>
        <w:rPr>
          <w:rFonts w:cstheme="minorHAnsi"/>
          <w:sz w:val="24"/>
          <w:szCs w:val="24"/>
          <w:lang w:val="el-GR"/>
        </w:rPr>
        <w:t>από τις</w:t>
      </w:r>
      <w:r w:rsidR="00A5147D" w:rsidRPr="008450F9">
        <w:rPr>
          <w:rFonts w:cstheme="minorHAnsi"/>
          <w:sz w:val="24"/>
          <w:szCs w:val="24"/>
          <w:lang w:val="el-GR"/>
        </w:rPr>
        <w:t xml:space="preserve"> 12 </w:t>
      </w:r>
      <w:r>
        <w:rPr>
          <w:rFonts w:cstheme="minorHAnsi"/>
          <w:sz w:val="24"/>
          <w:szCs w:val="24"/>
          <w:lang w:val="el-GR"/>
        </w:rPr>
        <w:t>μέχρι τις</w:t>
      </w:r>
      <w:r w:rsidR="00A5147D" w:rsidRPr="008450F9">
        <w:rPr>
          <w:rFonts w:cstheme="minorHAnsi"/>
          <w:sz w:val="24"/>
          <w:szCs w:val="24"/>
          <w:lang w:val="el-GR"/>
        </w:rPr>
        <w:t xml:space="preserve"> 16 </w:t>
      </w:r>
      <w:r>
        <w:rPr>
          <w:rFonts w:cstheme="minorHAnsi"/>
          <w:sz w:val="24"/>
          <w:szCs w:val="24"/>
          <w:lang w:val="el-GR"/>
        </w:rPr>
        <w:t>Δεκεμβρίου</w:t>
      </w:r>
      <w:r w:rsidR="00A5147D" w:rsidRPr="008450F9">
        <w:rPr>
          <w:rFonts w:cstheme="minorHAnsi"/>
          <w:sz w:val="24"/>
          <w:szCs w:val="24"/>
          <w:lang w:val="el-GR"/>
        </w:rPr>
        <w:t xml:space="preserve"> 2022, </w:t>
      </w:r>
      <w:r>
        <w:rPr>
          <w:rFonts w:cstheme="minorHAnsi"/>
          <w:sz w:val="24"/>
          <w:szCs w:val="24"/>
          <w:lang w:val="el-GR"/>
        </w:rPr>
        <w:t>και</w:t>
      </w:r>
      <w:r w:rsidR="00A5147D" w:rsidRPr="008450F9">
        <w:rPr>
          <w:rFonts w:cstheme="minorHAnsi"/>
          <w:sz w:val="24"/>
          <w:szCs w:val="24"/>
          <w:lang w:val="el-GR"/>
        </w:rPr>
        <w:t xml:space="preserve"> </w:t>
      </w:r>
      <w:r>
        <w:rPr>
          <w:rFonts w:cstheme="minorHAnsi"/>
          <w:sz w:val="24"/>
          <w:szCs w:val="24"/>
          <w:lang w:val="el-GR"/>
        </w:rPr>
        <w:t xml:space="preserve">έγινε αναφορά στις </w:t>
      </w:r>
      <w:r w:rsidR="00FB3418">
        <w:rPr>
          <w:rFonts w:cstheme="minorHAnsi"/>
          <w:sz w:val="24"/>
          <w:szCs w:val="24"/>
          <w:lang w:val="el-GR"/>
        </w:rPr>
        <w:t xml:space="preserve">απαντήσεις </w:t>
      </w:r>
      <w:r>
        <w:rPr>
          <w:rFonts w:cstheme="minorHAnsi"/>
          <w:sz w:val="24"/>
          <w:szCs w:val="24"/>
          <w:lang w:val="el-GR"/>
        </w:rPr>
        <w:t>της Κύπρου</w:t>
      </w:r>
      <w:r w:rsidR="00A5147D" w:rsidRPr="008450F9">
        <w:rPr>
          <w:rFonts w:cstheme="minorHAnsi"/>
          <w:sz w:val="24"/>
          <w:szCs w:val="24"/>
          <w:lang w:val="el-GR"/>
        </w:rPr>
        <w:t xml:space="preserve"> </w:t>
      </w:r>
      <w:r>
        <w:rPr>
          <w:rFonts w:cstheme="minorHAnsi"/>
          <w:sz w:val="24"/>
          <w:szCs w:val="24"/>
          <w:lang w:val="el-GR"/>
        </w:rPr>
        <w:t>στο Ερωτηματολόγιο Αξιολόγησης</w:t>
      </w:r>
      <w:r w:rsidR="00A5147D" w:rsidRPr="008450F9">
        <w:rPr>
          <w:rFonts w:cstheme="minorHAnsi"/>
          <w:sz w:val="24"/>
          <w:szCs w:val="24"/>
          <w:lang w:val="el-GR"/>
        </w:rPr>
        <w:t xml:space="preserve"> (</w:t>
      </w:r>
      <w:r w:rsidR="00A5147D" w:rsidRPr="004E251E">
        <w:rPr>
          <w:rFonts w:cstheme="minorHAnsi"/>
          <w:bCs/>
          <w:sz w:val="24"/>
          <w:szCs w:val="24"/>
        </w:rPr>
        <w:t>Greco</w:t>
      </w:r>
      <w:r w:rsidR="00A5147D" w:rsidRPr="008450F9">
        <w:rPr>
          <w:rFonts w:cstheme="minorHAnsi"/>
          <w:bCs/>
          <w:sz w:val="24"/>
          <w:szCs w:val="24"/>
          <w:lang w:val="el-GR"/>
        </w:rPr>
        <w:t>(2016)19</w:t>
      </w:r>
      <w:r w:rsidR="00A5147D" w:rsidRPr="008450F9">
        <w:rPr>
          <w:rFonts w:cstheme="minorHAnsi"/>
          <w:sz w:val="24"/>
          <w:szCs w:val="24"/>
          <w:lang w:val="el-GR"/>
        </w:rPr>
        <w:t xml:space="preserve">), </w:t>
      </w:r>
      <w:r>
        <w:rPr>
          <w:rFonts w:cstheme="minorHAnsi"/>
          <w:sz w:val="24"/>
          <w:szCs w:val="24"/>
          <w:lang w:val="el-GR"/>
        </w:rPr>
        <w:t xml:space="preserve">καθώς επίσης και </w:t>
      </w:r>
      <w:r w:rsidR="004C54C2">
        <w:rPr>
          <w:rFonts w:cstheme="minorHAnsi"/>
          <w:sz w:val="24"/>
          <w:szCs w:val="24"/>
          <w:lang w:val="el-GR"/>
        </w:rPr>
        <w:t xml:space="preserve">σε </w:t>
      </w:r>
      <w:r>
        <w:rPr>
          <w:rFonts w:cstheme="minorHAnsi"/>
          <w:sz w:val="24"/>
          <w:szCs w:val="24"/>
          <w:lang w:val="el-GR"/>
        </w:rPr>
        <w:t>άλλες πληροφορίες που λήφθηκαν</w:t>
      </w:r>
      <w:r w:rsidR="00A5147D" w:rsidRPr="008450F9">
        <w:rPr>
          <w:rFonts w:cstheme="minorHAnsi"/>
          <w:sz w:val="24"/>
          <w:szCs w:val="24"/>
          <w:lang w:val="el-GR"/>
        </w:rPr>
        <w:t xml:space="preserve">, </w:t>
      </w:r>
      <w:r>
        <w:rPr>
          <w:rFonts w:cstheme="minorHAnsi"/>
          <w:sz w:val="24"/>
          <w:szCs w:val="24"/>
          <w:lang w:val="el-GR"/>
        </w:rPr>
        <w:t>από την κοινωνία των πολιτών</w:t>
      </w:r>
      <w:r w:rsidR="004C54C2" w:rsidRPr="004C54C2">
        <w:rPr>
          <w:rFonts w:cstheme="minorHAnsi"/>
          <w:sz w:val="24"/>
          <w:szCs w:val="24"/>
          <w:lang w:val="el-GR"/>
        </w:rPr>
        <w:t xml:space="preserve"> </w:t>
      </w:r>
      <w:r w:rsidR="004C54C2">
        <w:rPr>
          <w:rFonts w:cstheme="minorHAnsi"/>
          <w:sz w:val="24"/>
          <w:szCs w:val="24"/>
          <w:lang w:val="el-GR"/>
        </w:rPr>
        <w:t xml:space="preserve">συμπεριλαμβανομένων. </w:t>
      </w:r>
      <w:r w:rsidR="00A5147D" w:rsidRPr="008450F9">
        <w:rPr>
          <w:rFonts w:cstheme="minorHAnsi"/>
          <w:sz w:val="24"/>
          <w:szCs w:val="24"/>
          <w:lang w:val="el-GR"/>
        </w:rPr>
        <w:t xml:space="preserve"> </w:t>
      </w:r>
      <w:r>
        <w:rPr>
          <w:rFonts w:cstheme="minorHAnsi"/>
          <w:sz w:val="24"/>
          <w:szCs w:val="24"/>
          <w:lang w:val="el-GR"/>
        </w:rPr>
        <w:t>Η</w:t>
      </w:r>
      <w:r w:rsidR="00A5147D" w:rsidRPr="001B28E6">
        <w:rPr>
          <w:rFonts w:cstheme="minorHAnsi"/>
          <w:sz w:val="24"/>
          <w:szCs w:val="24"/>
          <w:lang w:val="el-GR"/>
        </w:rPr>
        <w:t xml:space="preserve"> </w:t>
      </w:r>
      <w:r w:rsidR="00A5147D" w:rsidRPr="004E251E">
        <w:rPr>
          <w:rFonts w:cstheme="minorHAnsi"/>
          <w:sz w:val="24"/>
          <w:szCs w:val="24"/>
        </w:rPr>
        <w:t>GET</w:t>
      </w:r>
      <w:r w:rsidR="00A5147D" w:rsidRPr="001B28E6">
        <w:rPr>
          <w:rFonts w:cstheme="minorHAnsi"/>
          <w:sz w:val="24"/>
          <w:szCs w:val="24"/>
          <w:lang w:val="el-GR"/>
        </w:rPr>
        <w:t xml:space="preserve"> </w:t>
      </w:r>
      <w:r>
        <w:rPr>
          <w:rFonts w:cstheme="minorHAnsi"/>
          <w:sz w:val="24"/>
          <w:szCs w:val="24"/>
          <w:lang w:val="el-GR"/>
        </w:rPr>
        <w:t>αποτελείτο</w:t>
      </w:r>
      <w:r w:rsidRPr="001B28E6">
        <w:rPr>
          <w:rFonts w:cstheme="minorHAnsi"/>
          <w:sz w:val="24"/>
          <w:szCs w:val="24"/>
          <w:lang w:val="el-GR"/>
        </w:rPr>
        <w:t xml:space="preserve"> </w:t>
      </w:r>
      <w:r>
        <w:rPr>
          <w:rFonts w:cstheme="minorHAnsi"/>
          <w:sz w:val="24"/>
          <w:szCs w:val="24"/>
          <w:lang w:val="el-GR"/>
        </w:rPr>
        <w:t>από</w:t>
      </w:r>
      <w:r w:rsidRPr="001B28E6">
        <w:rPr>
          <w:rFonts w:cstheme="minorHAnsi"/>
          <w:sz w:val="24"/>
          <w:szCs w:val="24"/>
          <w:lang w:val="el-GR"/>
        </w:rPr>
        <w:t xml:space="preserve"> </w:t>
      </w:r>
      <w:r>
        <w:rPr>
          <w:rFonts w:cstheme="minorHAnsi"/>
          <w:sz w:val="24"/>
          <w:szCs w:val="24"/>
          <w:lang w:val="el-GR"/>
        </w:rPr>
        <w:t>τον</w:t>
      </w:r>
      <w:r w:rsidRPr="001B28E6">
        <w:rPr>
          <w:rFonts w:cstheme="minorHAnsi"/>
          <w:sz w:val="24"/>
          <w:szCs w:val="24"/>
          <w:lang w:val="el-GR"/>
        </w:rPr>
        <w:t xml:space="preserve"> </w:t>
      </w:r>
      <w:r>
        <w:rPr>
          <w:rFonts w:cstheme="minorHAnsi"/>
          <w:sz w:val="24"/>
          <w:szCs w:val="24"/>
          <w:lang w:val="el-GR"/>
        </w:rPr>
        <w:t>κ</w:t>
      </w:r>
      <w:r w:rsidRPr="001B28E6">
        <w:rPr>
          <w:rFonts w:cstheme="minorHAnsi"/>
          <w:sz w:val="24"/>
          <w:szCs w:val="24"/>
          <w:lang w:val="el-GR"/>
        </w:rPr>
        <w:t>.</w:t>
      </w:r>
      <w:r w:rsidR="00A5147D" w:rsidRPr="004E251E">
        <w:rPr>
          <w:rFonts w:cstheme="minorHAnsi"/>
          <w:sz w:val="24"/>
          <w:szCs w:val="24"/>
        </w:rPr>
        <w:t> Oddur</w:t>
      </w:r>
      <w:r w:rsidR="00A5147D" w:rsidRPr="001B28E6">
        <w:rPr>
          <w:rFonts w:cstheme="minorHAnsi"/>
          <w:sz w:val="24"/>
          <w:szCs w:val="24"/>
          <w:lang w:val="el-GR"/>
        </w:rPr>
        <w:t xml:space="preserve"> </w:t>
      </w:r>
      <w:proofErr w:type="spellStart"/>
      <w:r w:rsidR="00A5147D" w:rsidRPr="004E251E">
        <w:rPr>
          <w:rFonts w:cstheme="minorHAnsi"/>
          <w:sz w:val="24"/>
          <w:szCs w:val="24"/>
        </w:rPr>
        <w:t>Thorri</w:t>
      </w:r>
      <w:proofErr w:type="spellEnd"/>
      <w:r w:rsidR="00A5147D" w:rsidRPr="001B28E6">
        <w:rPr>
          <w:rFonts w:cstheme="minorHAnsi"/>
          <w:sz w:val="24"/>
          <w:szCs w:val="24"/>
          <w:lang w:val="el-GR"/>
        </w:rPr>
        <w:t xml:space="preserve"> </w:t>
      </w:r>
      <w:r w:rsidR="00A5147D" w:rsidRPr="004E251E">
        <w:rPr>
          <w:rFonts w:cstheme="minorHAnsi"/>
          <w:sz w:val="24"/>
          <w:szCs w:val="24"/>
        </w:rPr>
        <w:t>VIDARSSON</w:t>
      </w:r>
      <w:r w:rsidR="00A5147D" w:rsidRPr="001B28E6">
        <w:rPr>
          <w:rFonts w:cstheme="minorHAnsi"/>
          <w:sz w:val="24"/>
          <w:szCs w:val="24"/>
          <w:lang w:val="el-GR"/>
        </w:rPr>
        <w:t xml:space="preserve">, </w:t>
      </w:r>
      <w:r w:rsidR="000213B0">
        <w:rPr>
          <w:rFonts w:cstheme="minorHAnsi"/>
          <w:sz w:val="24"/>
          <w:szCs w:val="24"/>
          <w:lang w:val="el-GR"/>
        </w:rPr>
        <w:t>Ν</w:t>
      </w:r>
      <w:r>
        <w:rPr>
          <w:rFonts w:cstheme="minorHAnsi"/>
          <w:sz w:val="24"/>
          <w:szCs w:val="24"/>
          <w:lang w:val="el-GR"/>
        </w:rPr>
        <w:t>ο</w:t>
      </w:r>
      <w:r w:rsidR="000213B0">
        <w:rPr>
          <w:rFonts w:cstheme="minorHAnsi"/>
          <w:sz w:val="24"/>
          <w:szCs w:val="24"/>
          <w:lang w:val="el-GR"/>
        </w:rPr>
        <w:t>μ</w:t>
      </w:r>
      <w:r>
        <w:rPr>
          <w:rFonts w:cstheme="minorHAnsi"/>
          <w:sz w:val="24"/>
          <w:szCs w:val="24"/>
          <w:lang w:val="el-GR"/>
        </w:rPr>
        <w:t>ικό</w:t>
      </w:r>
      <w:r w:rsidRPr="001B28E6">
        <w:rPr>
          <w:rFonts w:cstheme="minorHAnsi"/>
          <w:sz w:val="24"/>
          <w:szCs w:val="24"/>
          <w:lang w:val="el-GR"/>
        </w:rPr>
        <w:t xml:space="preserve"> </w:t>
      </w:r>
      <w:r>
        <w:rPr>
          <w:rFonts w:cstheme="minorHAnsi"/>
          <w:sz w:val="24"/>
          <w:szCs w:val="24"/>
          <w:lang w:val="el-GR"/>
        </w:rPr>
        <w:t>Σύμβουλο</w:t>
      </w:r>
      <w:r w:rsidR="00A5147D" w:rsidRPr="001B28E6">
        <w:rPr>
          <w:rFonts w:cstheme="minorHAnsi"/>
          <w:sz w:val="24"/>
          <w:szCs w:val="24"/>
          <w:lang w:val="el-GR"/>
        </w:rPr>
        <w:t xml:space="preserve">, </w:t>
      </w:r>
      <w:r w:rsidR="006617B3">
        <w:rPr>
          <w:rFonts w:cstheme="minorHAnsi"/>
          <w:sz w:val="24"/>
          <w:szCs w:val="24"/>
          <w:lang w:val="el-GR"/>
        </w:rPr>
        <w:t>Επίτροπο</w:t>
      </w:r>
      <w:r w:rsidR="006617B3" w:rsidRPr="001B28E6">
        <w:rPr>
          <w:rFonts w:cstheme="minorHAnsi"/>
          <w:sz w:val="24"/>
          <w:szCs w:val="24"/>
          <w:lang w:val="el-GR"/>
        </w:rPr>
        <w:t xml:space="preserve"> </w:t>
      </w:r>
      <w:r w:rsidR="006617B3">
        <w:rPr>
          <w:rFonts w:cstheme="minorHAnsi"/>
          <w:sz w:val="24"/>
          <w:szCs w:val="24"/>
          <w:lang w:val="el-GR"/>
        </w:rPr>
        <w:t>Διοίκησης</w:t>
      </w:r>
      <w:r w:rsidR="006617B3" w:rsidRPr="001B28E6">
        <w:rPr>
          <w:rFonts w:cstheme="minorHAnsi"/>
          <w:sz w:val="24"/>
          <w:szCs w:val="24"/>
          <w:lang w:val="el-GR"/>
        </w:rPr>
        <w:t xml:space="preserve"> </w:t>
      </w:r>
      <w:proofErr w:type="spellStart"/>
      <w:r w:rsidR="00A5147D" w:rsidRPr="004E251E">
        <w:rPr>
          <w:rFonts w:cstheme="minorHAnsi"/>
          <w:sz w:val="24"/>
          <w:szCs w:val="24"/>
        </w:rPr>
        <w:t>Althingi</w:t>
      </w:r>
      <w:proofErr w:type="spellEnd"/>
      <w:r w:rsidR="00A5147D" w:rsidRPr="001B28E6">
        <w:rPr>
          <w:rFonts w:cstheme="minorHAnsi"/>
          <w:sz w:val="24"/>
          <w:szCs w:val="24"/>
          <w:lang w:val="el-GR"/>
        </w:rPr>
        <w:t xml:space="preserve"> (</w:t>
      </w:r>
      <w:r w:rsidR="006617B3">
        <w:rPr>
          <w:rFonts w:cstheme="minorHAnsi"/>
          <w:sz w:val="24"/>
          <w:szCs w:val="24"/>
          <w:lang w:val="el-GR"/>
        </w:rPr>
        <w:t>Ισλανδία</w:t>
      </w:r>
      <w:r w:rsidR="00A5147D" w:rsidRPr="001B28E6">
        <w:rPr>
          <w:rFonts w:cstheme="minorHAnsi"/>
          <w:sz w:val="24"/>
          <w:szCs w:val="24"/>
          <w:lang w:val="el-GR"/>
        </w:rPr>
        <w:t xml:space="preserve">), </w:t>
      </w:r>
      <w:r w:rsidR="001B28E6">
        <w:rPr>
          <w:rFonts w:cstheme="minorHAnsi"/>
          <w:sz w:val="24"/>
          <w:szCs w:val="24"/>
          <w:lang w:val="el-GR"/>
        </w:rPr>
        <w:t>τον</w:t>
      </w:r>
      <w:r w:rsidR="001B28E6" w:rsidRPr="001B28E6">
        <w:rPr>
          <w:rFonts w:cstheme="minorHAnsi"/>
          <w:sz w:val="24"/>
          <w:szCs w:val="24"/>
          <w:lang w:val="el-GR"/>
        </w:rPr>
        <w:t xml:space="preserve"> </w:t>
      </w:r>
      <w:r w:rsidR="001B28E6">
        <w:rPr>
          <w:rFonts w:cstheme="minorHAnsi"/>
          <w:sz w:val="24"/>
          <w:szCs w:val="24"/>
          <w:lang w:val="el-GR"/>
        </w:rPr>
        <w:t>κ</w:t>
      </w:r>
      <w:r w:rsidR="001B28E6" w:rsidRPr="001B28E6">
        <w:rPr>
          <w:rFonts w:cstheme="minorHAnsi"/>
          <w:sz w:val="24"/>
          <w:szCs w:val="24"/>
          <w:lang w:val="el-GR"/>
        </w:rPr>
        <w:t>.</w:t>
      </w:r>
      <w:r w:rsidR="00A5147D" w:rsidRPr="001B28E6">
        <w:rPr>
          <w:rFonts w:cstheme="minorHAnsi"/>
          <w:sz w:val="24"/>
          <w:szCs w:val="24"/>
          <w:lang w:val="el-GR"/>
        </w:rPr>
        <w:t xml:space="preserve"> </w:t>
      </w:r>
      <w:r w:rsidR="00A5147D" w:rsidRPr="004E251E">
        <w:rPr>
          <w:rFonts w:cstheme="minorHAnsi"/>
          <w:sz w:val="24"/>
          <w:szCs w:val="24"/>
        </w:rPr>
        <w:t>Vladimir</w:t>
      </w:r>
      <w:r w:rsidR="00A5147D" w:rsidRPr="001B28E6">
        <w:rPr>
          <w:rFonts w:cstheme="minorHAnsi"/>
          <w:sz w:val="24"/>
          <w:szCs w:val="24"/>
          <w:lang w:val="el-GR"/>
        </w:rPr>
        <w:t xml:space="preserve"> </w:t>
      </w:r>
      <w:r w:rsidR="00A5147D" w:rsidRPr="004E251E">
        <w:rPr>
          <w:rFonts w:cstheme="minorHAnsi"/>
          <w:sz w:val="24"/>
          <w:szCs w:val="24"/>
        </w:rPr>
        <w:t>GEORGIEV</w:t>
      </w:r>
      <w:r w:rsidR="00A5147D" w:rsidRPr="001B28E6">
        <w:rPr>
          <w:rFonts w:cstheme="minorHAnsi"/>
          <w:sz w:val="24"/>
          <w:szCs w:val="24"/>
          <w:lang w:val="el-GR"/>
        </w:rPr>
        <w:t xml:space="preserve">, </w:t>
      </w:r>
      <w:r w:rsidR="001B28E6">
        <w:rPr>
          <w:rFonts w:cstheme="minorHAnsi"/>
          <w:sz w:val="24"/>
          <w:szCs w:val="24"/>
          <w:lang w:val="el-GR"/>
        </w:rPr>
        <w:t>Επίτροπο</w:t>
      </w:r>
      <w:r w:rsidR="00A5147D" w:rsidRPr="001B28E6">
        <w:rPr>
          <w:rFonts w:cstheme="minorHAnsi"/>
          <w:sz w:val="24"/>
          <w:szCs w:val="24"/>
          <w:lang w:val="el-GR"/>
        </w:rPr>
        <w:t xml:space="preserve">, </w:t>
      </w:r>
      <w:r w:rsidR="001B28E6">
        <w:rPr>
          <w:rFonts w:cstheme="minorHAnsi"/>
          <w:sz w:val="24"/>
          <w:szCs w:val="24"/>
          <w:lang w:val="el-GR"/>
        </w:rPr>
        <w:t>Κρατική</w:t>
      </w:r>
      <w:r w:rsidR="001B28E6" w:rsidRPr="001B28E6">
        <w:rPr>
          <w:rFonts w:cstheme="minorHAnsi"/>
          <w:sz w:val="24"/>
          <w:szCs w:val="24"/>
          <w:lang w:val="el-GR"/>
        </w:rPr>
        <w:t xml:space="preserve"> </w:t>
      </w:r>
      <w:r w:rsidR="001B28E6">
        <w:rPr>
          <w:rFonts w:cstheme="minorHAnsi"/>
          <w:sz w:val="24"/>
          <w:szCs w:val="24"/>
          <w:lang w:val="el-GR"/>
        </w:rPr>
        <w:t>Επιτροπή</w:t>
      </w:r>
      <w:r w:rsidR="00A5147D" w:rsidRPr="001B28E6">
        <w:rPr>
          <w:rFonts w:cstheme="minorHAnsi"/>
          <w:sz w:val="24"/>
          <w:szCs w:val="24"/>
          <w:lang w:val="el-GR"/>
        </w:rPr>
        <w:t xml:space="preserve"> </w:t>
      </w:r>
      <w:r w:rsidR="001B28E6">
        <w:rPr>
          <w:rFonts w:cstheme="minorHAnsi"/>
          <w:sz w:val="24"/>
          <w:szCs w:val="24"/>
          <w:lang w:val="el-GR"/>
        </w:rPr>
        <w:t>για</w:t>
      </w:r>
      <w:r w:rsidR="001B28E6" w:rsidRPr="001B28E6">
        <w:rPr>
          <w:rFonts w:cstheme="minorHAnsi"/>
          <w:sz w:val="24"/>
          <w:szCs w:val="24"/>
          <w:lang w:val="el-GR"/>
        </w:rPr>
        <w:t xml:space="preserve"> </w:t>
      </w:r>
      <w:r w:rsidR="001B28E6">
        <w:rPr>
          <w:rFonts w:cstheme="minorHAnsi"/>
          <w:sz w:val="24"/>
          <w:szCs w:val="24"/>
          <w:lang w:val="el-GR"/>
        </w:rPr>
        <w:t>την</w:t>
      </w:r>
      <w:r w:rsidR="001B28E6" w:rsidRPr="001B28E6">
        <w:rPr>
          <w:rFonts w:cstheme="minorHAnsi"/>
          <w:sz w:val="24"/>
          <w:szCs w:val="24"/>
          <w:lang w:val="el-GR"/>
        </w:rPr>
        <w:t xml:space="preserve"> </w:t>
      </w:r>
      <w:r w:rsidR="00F27FF2">
        <w:rPr>
          <w:rFonts w:cstheme="minorHAnsi"/>
          <w:sz w:val="24"/>
          <w:szCs w:val="24"/>
          <w:lang w:val="el-GR"/>
        </w:rPr>
        <w:t xml:space="preserve">Πρόληψη </w:t>
      </w:r>
      <w:r w:rsidR="001B28E6">
        <w:rPr>
          <w:rFonts w:cstheme="minorHAnsi"/>
          <w:sz w:val="24"/>
          <w:szCs w:val="24"/>
          <w:lang w:val="el-GR"/>
        </w:rPr>
        <w:t>της</w:t>
      </w:r>
      <w:r w:rsidR="001B28E6" w:rsidRPr="001B28E6">
        <w:rPr>
          <w:rFonts w:cstheme="minorHAnsi"/>
          <w:sz w:val="24"/>
          <w:szCs w:val="24"/>
          <w:lang w:val="el-GR"/>
        </w:rPr>
        <w:t xml:space="preserve"> </w:t>
      </w:r>
      <w:r w:rsidR="001B28E6">
        <w:rPr>
          <w:rFonts w:cstheme="minorHAnsi"/>
          <w:sz w:val="24"/>
          <w:szCs w:val="24"/>
          <w:lang w:val="el-GR"/>
        </w:rPr>
        <w:t>Διαφθοράς</w:t>
      </w:r>
      <w:r w:rsidR="00A5147D" w:rsidRPr="001B28E6">
        <w:rPr>
          <w:rFonts w:cstheme="minorHAnsi"/>
          <w:sz w:val="24"/>
          <w:szCs w:val="24"/>
          <w:lang w:val="el-GR"/>
        </w:rPr>
        <w:t xml:space="preserve"> (</w:t>
      </w:r>
      <w:r w:rsidR="001B28E6">
        <w:rPr>
          <w:rFonts w:cstheme="minorHAnsi"/>
          <w:sz w:val="24"/>
          <w:szCs w:val="24"/>
          <w:lang w:val="el-GR"/>
        </w:rPr>
        <w:t>Βόρεια</w:t>
      </w:r>
      <w:r w:rsidR="001B28E6" w:rsidRPr="001B28E6">
        <w:rPr>
          <w:rFonts w:cstheme="minorHAnsi"/>
          <w:sz w:val="24"/>
          <w:szCs w:val="24"/>
          <w:lang w:val="el-GR"/>
        </w:rPr>
        <w:t xml:space="preserve"> </w:t>
      </w:r>
      <w:r w:rsidR="001B28E6">
        <w:rPr>
          <w:rFonts w:cstheme="minorHAnsi"/>
          <w:sz w:val="24"/>
          <w:szCs w:val="24"/>
          <w:lang w:val="el-GR"/>
        </w:rPr>
        <w:t>Μακεδονία</w:t>
      </w:r>
      <w:r w:rsidR="00A5147D" w:rsidRPr="001B28E6">
        <w:rPr>
          <w:rFonts w:cstheme="minorHAnsi"/>
          <w:sz w:val="24"/>
          <w:szCs w:val="24"/>
          <w:lang w:val="el-GR"/>
        </w:rPr>
        <w:t xml:space="preserve">), </w:t>
      </w:r>
      <w:r w:rsidR="001B28E6">
        <w:rPr>
          <w:rFonts w:cstheme="minorHAnsi"/>
          <w:sz w:val="24"/>
          <w:szCs w:val="24"/>
          <w:lang w:val="el-GR"/>
        </w:rPr>
        <w:t>τον κ</w:t>
      </w:r>
      <w:r w:rsidR="001B28E6" w:rsidRPr="001B28E6">
        <w:rPr>
          <w:rFonts w:cstheme="minorHAnsi"/>
          <w:sz w:val="24"/>
          <w:szCs w:val="24"/>
          <w:lang w:val="el-GR"/>
        </w:rPr>
        <w:t>.</w:t>
      </w:r>
      <w:r w:rsidR="00A5147D" w:rsidRPr="001B28E6">
        <w:rPr>
          <w:rFonts w:cstheme="minorHAnsi"/>
          <w:sz w:val="24"/>
          <w:szCs w:val="24"/>
          <w:lang w:val="el-GR"/>
        </w:rPr>
        <w:t xml:space="preserve"> </w:t>
      </w:r>
      <w:r w:rsidR="00A5147D" w:rsidRPr="004E251E">
        <w:rPr>
          <w:rFonts w:cstheme="minorHAnsi"/>
          <w:sz w:val="24"/>
          <w:szCs w:val="24"/>
        </w:rPr>
        <w:t>Mihaita</w:t>
      </w:r>
      <w:r w:rsidR="00A5147D" w:rsidRPr="001B28E6">
        <w:rPr>
          <w:rFonts w:cstheme="minorHAnsi"/>
          <w:sz w:val="24"/>
          <w:szCs w:val="24"/>
          <w:lang w:val="el-GR"/>
        </w:rPr>
        <w:t xml:space="preserve"> </w:t>
      </w:r>
      <w:r w:rsidR="00A5147D" w:rsidRPr="004E251E">
        <w:rPr>
          <w:rFonts w:cstheme="minorHAnsi"/>
          <w:sz w:val="24"/>
          <w:szCs w:val="24"/>
        </w:rPr>
        <w:t>Traian</w:t>
      </w:r>
      <w:r w:rsidR="00A5147D" w:rsidRPr="001B28E6">
        <w:rPr>
          <w:rFonts w:cstheme="minorHAnsi"/>
          <w:sz w:val="24"/>
          <w:szCs w:val="24"/>
          <w:lang w:val="el-GR"/>
        </w:rPr>
        <w:t xml:space="preserve"> </w:t>
      </w:r>
      <w:r w:rsidR="00A5147D" w:rsidRPr="004E251E">
        <w:rPr>
          <w:rFonts w:cstheme="minorHAnsi"/>
          <w:sz w:val="24"/>
          <w:szCs w:val="24"/>
        </w:rPr>
        <w:t>BARLICI</w:t>
      </w:r>
      <w:r w:rsidR="00A5147D" w:rsidRPr="001B28E6">
        <w:rPr>
          <w:rFonts w:cstheme="minorHAnsi"/>
          <w:sz w:val="24"/>
          <w:szCs w:val="24"/>
          <w:lang w:val="el-GR"/>
        </w:rPr>
        <w:t xml:space="preserve">, </w:t>
      </w:r>
      <w:r w:rsidR="000213B0">
        <w:rPr>
          <w:rFonts w:cstheme="minorHAnsi"/>
          <w:sz w:val="24"/>
          <w:szCs w:val="24"/>
          <w:lang w:val="el-GR"/>
        </w:rPr>
        <w:t>Διευθυντή</w:t>
      </w:r>
      <w:r w:rsidR="001B28E6" w:rsidRPr="001B28E6">
        <w:rPr>
          <w:rFonts w:cstheme="minorHAnsi"/>
          <w:sz w:val="24"/>
          <w:szCs w:val="24"/>
          <w:lang w:val="el-GR"/>
        </w:rPr>
        <w:t xml:space="preserve"> </w:t>
      </w:r>
      <w:r w:rsidR="001B28E6">
        <w:rPr>
          <w:rFonts w:cstheme="minorHAnsi"/>
          <w:sz w:val="24"/>
          <w:szCs w:val="24"/>
          <w:lang w:val="el-GR"/>
        </w:rPr>
        <w:t>της</w:t>
      </w:r>
      <w:r w:rsidR="001B28E6" w:rsidRPr="001B28E6">
        <w:rPr>
          <w:rFonts w:cstheme="minorHAnsi"/>
          <w:sz w:val="24"/>
          <w:szCs w:val="24"/>
          <w:lang w:val="el-GR"/>
        </w:rPr>
        <w:t xml:space="preserve"> </w:t>
      </w:r>
      <w:r w:rsidR="001B28E6">
        <w:rPr>
          <w:rFonts w:cstheme="minorHAnsi"/>
          <w:sz w:val="24"/>
          <w:szCs w:val="24"/>
          <w:lang w:val="el-GR"/>
        </w:rPr>
        <w:t>Διεύθυνσης</w:t>
      </w:r>
      <w:r w:rsidR="001B28E6" w:rsidRPr="001B28E6">
        <w:rPr>
          <w:rFonts w:cstheme="minorHAnsi"/>
          <w:sz w:val="24"/>
          <w:szCs w:val="24"/>
          <w:lang w:val="el-GR"/>
        </w:rPr>
        <w:t xml:space="preserve"> </w:t>
      </w:r>
      <w:r w:rsidR="001B28E6">
        <w:rPr>
          <w:rFonts w:cstheme="minorHAnsi"/>
          <w:sz w:val="24"/>
          <w:szCs w:val="24"/>
          <w:lang w:val="el-GR"/>
        </w:rPr>
        <w:t>Πρόληψης</w:t>
      </w:r>
      <w:r w:rsidR="00A5147D" w:rsidRPr="001B28E6">
        <w:rPr>
          <w:rFonts w:cstheme="minorHAnsi"/>
          <w:color w:val="000000"/>
          <w:sz w:val="24"/>
          <w:szCs w:val="24"/>
          <w:shd w:val="clear" w:color="auto" w:fill="FFFFFF"/>
          <w:lang w:val="el-GR"/>
        </w:rPr>
        <w:t xml:space="preserve">, </w:t>
      </w:r>
      <w:r w:rsidR="001B28E6">
        <w:rPr>
          <w:rFonts w:cstheme="minorHAnsi"/>
          <w:color w:val="000000"/>
          <w:sz w:val="24"/>
          <w:szCs w:val="24"/>
          <w:shd w:val="clear" w:color="auto" w:fill="FFFFFF"/>
          <w:lang w:val="el-GR"/>
        </w:rPr>
        <w:t>Γενική Διεύθυνση για την καταπολέμηση της Διαφθοράς</w:t>
      </w:r>
      <w:r w:rsidR="00A5147D" w:rsidRPr="001B28E6">
        <w:rPr>
          <w:rFonts w:cstheme="minorHAnsi"/>
          <w:color w:val="000000"/>
          <w:sz w:val="24"/>
          <w:szCs w:val="24"/>
          <w:shd w:val="clear" w:color="auto" w:fill="FFFFFF"/>
          <w:lang w:val="el-GR"/>
        </w:rPr>
        <w:t xml:space="preserve"> (</w:t>
      </w:r>
      <w:r w:rsidR="00A5147D" w:rsidRPr="004E251E">
        <w:rPr>
          <w:rFonts w:cstheme="minorHAnsi"/>
          <w:color w:val="000000"/>
          <w:sz w:val="24"/>
          <w:szCs w:val="24"/>
          <w:shd w:val="clear" w:color="auto" w:fill="FFFFFF"/>
        </w:rPr>
        <w:t>DGA</w:t>
      </w:r>
      <w:r w:rsidR="00A5147D" w:rsidRPr="001B28E6">
        <w:rPr>
          <w:rFonts w:cstheme="minorHAnsi"/>
          <w:color w:val="000000"/>
          <w:sz w:val="24"/>
          <w:szCs w:val="24"/>
          <w:shd w:val="clear" w:color="auto" w:fill="FFFFFF"/>
          <w:lang w:val="el-GR"/>
        </w:rPr>
        <w:t xml:space="preserve">), </w:t>
      </w:r>
      <w:r w:rsidR="001B28E6">
        <w:rPr>
          <w:rFonts w:cstheme="minorHAnsi"/>
          <w:color w:val="000000"/>
          <w:sz w:val="24"/>
          <w:szCs w:val="24"/>
          <w:shd w:val="clear" w:color="auto" w:fill="FFFFFF"/>
          <w:lang w:val="el-GR"/>
        </w:rPr>
        <w:t>Υπουργείο Εσωτερικών Υποθέσεων</w:t>
      </w:r>
      <w:r w:rsidR="00A5147D" w:rsidRPr="001B28E6">
        <w:rPr>
          <w:rFonts w:cstheme="minorHAnsi"/>
          <w:sz w:val="24"/>
          <w:szCs w:val="24"/>
          <w:lang w:val="el-GR"/>
        </w:rPr>
        <w:t xml:space="preserve"> (</w:t>
      </w:r>
      <w:r w:rsidR="001B28E6">
        <w:rPr>
          <w:rFonts w:cstheme="minorHAnsi"/>
          <w:sz w:val="24"/>
          <w:szCs w:val="24"/>
          <w:lang w:val="el-GR"/>
        </w:rPr>
        <w:t>Ρουμανία</w:t>
      </w:r>
      <w:r w:rsidR="00A5147D" w:rsidRPr="001B28E6">
        <w:rPr>
          <w:rFonts w:cstheme="minorHAnsi"/>
          <w:sz w:val="24"/>
          <w:szCs w:val="24"/>
          <w:lang w:val="el-GR"/>
        </w:rPr>
        <w:t xml:space="preserve">) </w:t>
      </w:r>
      <w:r w:rsidR="001B28E6">
        <w:rPr>
          <w:rFonts w:cstheme="minorHAnsi"/>
          <w:sz w:val="24"/>
          <w:szCs w:val="24"/>
          <w:lang w:val="el-GR"/>
        </w:rPr>
        <w:t>και</w:t>
      </w:r>
      <w:r w:rsidR="00A5147D" w:rsidRPr="001B28E6">
        <w:rPr>
          <w:rFonts w:cstheme="minorHAnsi"/>
          <w:sz w:val="24"/>
          <w:szCs w:val="24"/>
          <w:lang w:val="el-GR"/>
        </w:rPr>
        <w:t xml:space="preserve"> </w:t>
      </w:r>
      <w:r w:rsidR="001B28E6">
        <w:rPr>
          <w:rFonts w:cstheme="minorHAnsi"/>
          <w:sz w:val="24"/>
          <w:szCs w:val="24"/>
          <w:lang w:val="el-GR"/>
        </w:rPr>
        <w:t>την κα.</w:t>
      </w:r>
      <w:r w:rsidR="00A5147D" w:rsidRPr="001B28E6">
        <w:rPr>
          <w:rFonts w:cstheme="minorHAnsi"/>
          <w:bCs/>
          <w:sz w:val="24"/>
          <w:szCs w:val="24"/>
          <w:lang w:val="el-GR"/>
        </w:rPr>
        <w:t xml:space="preserve"> </w:t>
      </w:r>
      <w:r w:rsidR="00A5147D" w:rsidRPr="004E251E">
        <w:rPr>
          <w:rFonts w:cstheme="minorHAnsi"/>
          <w:bCs/>
          <w:sz w:val="24"/>
          <w:szCs w:val="24"/>
        </w:rPr>
        <w:t>Michelle</w:t>
      </w:r>
      <w:r w:rsidR="00A5147D" w:rsidRPr="001B28E6">
        <w:rPr>
          <w:rFonts w:cstheme="minorHAnsi"/>
          <w:bCs/>
          <w:sz w:val="24"/>
          <w:szCs w:val="24"/>
          <w:lang w:val="el-GR"/>
        </w:rPr>
        <w:t xml:space="preserve"> </w:t>
      </w:r>
      <w:r w:rsidR="00A5147D" w:rsidRPr="004E251E">
        <w:rPr>
          <w:rFonts w:cstheme="minorHAnsi"/>
          <w:bCs/>
          <w:sz w:val="24"/>
          <w:szCs w:val="24"/>
        </w:rPr>
        <w:t>MORALES</w:t>
      </w:r>
      <w:r w:rsidR="00A5147D" w:rsidRPr="001B28E6">
        <w:rPr>
          <w:rFonts w:cstheme="minorHAnsi"/>
          <w:bCs/>
          <w:sz w:val="24"/>
          <w:szCs w:val="24"/>
          <w:lang w:val="el-GR"/>
        </w:rPr>
        <w:t xml:space="preserve">, </w:t>
      </w:r>
      <w:r w:rsidR="001B28E6">
        <w:rPr>
          <w:rFonts w:cstheme="minorHAnsi"/>
          <w:bCs/>
          <w:sz w:val="24"/>
          <w:szCs w:val="24"/>
          <w:lang w:val="el-GR"/>
        </w:rPr>
        <w:t>Αναπληρωτή</w:t>
      </w:r>
      <w:r w:rsidR="001B28E6" w:rsidRPr="001B28E6">
        <w:rPr>
          <w:rFonts w:cstheme="minorHAnsi"/>
          <w:bCs/>
          <w:sz w:val="24"/>
          <w:szCs w:val="24"/>
          <w:lang w:val="el-GR"/>
        </w:rPr>
        <w:t xml:space="preserve"> </w:t>
      </w:r>
      <w:r w:rsidR="001B28E6">
        <w:rPr>
          <w:rFonts w:cstheme="minorHAnsi"/>
          <w:bCs/>
          <w:sz w:val="24"/>
          <w:szCs w:val="24"/>
          <w:lang w:val="el-GR"/>
        </w:rPr>
        <w:t>Διευθύντρια</w:t>
      </w:r>
      <w:r w:rsidR="00A5147D" w:rsidRPr="001B28E6">
        <w:rPr>
          <w:rFonts w:cstheme="minorHAnsi"/>
          <w:bCs/>
          <w:sz w:val="24"/>
          <w:szCs w:val="24"/>
          <w:lang w:val="el-GR"/>
        </w:rPr>
        <w:t xml:space="preserve">, </w:t>
      </w:r>
      <w:r w:rsidR="001B28E6">
        <w:rPr>
          <w:rFonts w:cstheme="minorHAnsi"/>
          <w:bCs/>
          <w:sz w:val="24"/>
          <w:szCs w:val="24"/>
          <w:lang w:val="el-GR"/>
        </w:rPr>
        <w:t>Γραφείο</w:t>
      </w:r>
      <w:r w:rsidR="001B28E6" w:rsidRPr="001B28E6">
        <w:rPr>
          <w:rFonts w:cstheme="minorHAnsi"/>
          <w:bCs/>
          <w:sz w:val="24"/>
          <w:szCs w:val="24"/>
          <w:lang w:val="el-GR"/>
        </w:rPr>
        <w:t xml:space="preserve"> </w:t>
      </w:r>
      <w:r w:rsidR="001B28E6">
        <w:rPr>
          <w:rFonts w:cstheme="minorHAnsi"/>
          <w:bCs/>
          <w:sz w:val="24"/>
          <w:szCs w:val="24"/>
          <w:lang w:val="el-GR"/>
        </w:rPr>
        <w:t>Πολιτικής</w:t>
      </w:r>
      <w:r w:rsidR="001B28E6" w:rsidRPr="001B28E6">
        <w:rPr>
          <w:rFonts w:cstheme="minorHAnsi"/>
          <w:bCs/>
          <w:sz w:val="24"/>
          <w:szCs w:val="24"/>
          <w:lang w:val="el-GR"/>
        </w:rPr>
        <w:t xml:space="preserve"> </w:t>
      </w:r>
      <w:r w:rsidR="001B28E6">
        <w:rPr>
          <w:rFonts w:cstheme="minorHAnsi"/>
          <w:bCs/>
          <w:sz w:val="24"/>
          <w:szCs w:val="24"/>
          <w:lang w:val="el-GR"/>
        </w:rPr>
        <w:t>και</w:t>
      </w:r>
      <w:r w:rsidR="001B28E6" w:rsidRPr="001B28E6">
        <w:rPr>
          <w:rFonts w:cstheme="minorHAnsi"/>
          <w:bCs/>
          <w:sz w:val="24"/>
          <w:szCs w:val="24"/>
          <w:lang w:val="el-GR"/>
        </w:rPr>
        <w:t xml:space="preserve"> </w:t>
      </w:r>
      <w:r w:rsidR="001B28E6">
        <w:rPr>
          <w:rFonts w:cstheme="minorHAnsi"/>
          <w:bCs/>
          <w:sz w:val="24"/>
          <w:szCs w:val="24"/>
          <w:lang w:val="el-GR"/>
        </w:rPr>
        <w:t>Νομοθεσίας</w:t>
      </w:r>
      <w:r w:rsidR="00A5147D" w:rsidRPr="001B28E6">
        <w:rPr>
          <w:rFonts w:cstheme="minorHAnsi"/>
          <w:bCs/>
          <w:sz w:val="24"/>
          <w:szCs w:val="24"/>
          <w:lang w:val="el-GR"/>
        </w:rPr>
        <w:t xml:space="preserve">, </w:t>
      </w:r>
      <w:r w:rsidR="001B28E6">
        <w:rPr>
          <w:rFonts w:cstheme="minorHAnsi"/>
          <w:bCs/>
          <w:sz w:val="24"/>
          <w:szCs w:val="24"/>
          <w:lang w:val="el-GR"/>
        </w:rPr>
        <w:t>Υπουργείο Δικαιοσύνης</w:t>
      </w:r>
      <w:r w:rsidR="00A5147D" w:rsidRPr="001B28E6">
        <w:rPr>
          <w:rFonts w:cstheme="minorHAnsi"/>
          <w:bCs/>
          <w:sz w:val="24"/>
          <w:szCs w:val="24"/>
          <w:lang w:val="el-GR"/>
        </w:rPr>
        <w:t xml:space="preserve"> (</w:t>
      </w:r>
      <w:r w:rsidR="001B28E6">
        <w:rPr>
          <w:rFonts w:cstheme="minorHAnsi"/>
          <w:bCs/>
          <w:sz w:val="24"/>
          <w:szCs w:val="24"/>
          <w:lang w:val="el-GR"/>
        </w:rPr>
        <w:t>ΗΠΑ</w:t>
      </w:r>
      <w:r w:rsidR="00A5147D" w:rsidRPr="001B28E6">
        <w:rPr>
          <w:rFonts w:cstheme="minorHAnsi"/>
          <w:bCs/>
          <w:sz w:val="24"/>
          <w:szCs w:val="24"/>
          <w:lang w:val="el-GR"/>
        </w:rPr>
        <w:t>)</w:t>
      </w:r>
      <w:r w:rsidR="00A5147D" w:rsidRPr="001B28E6">
        <w:rPr>
          <w:rFonts w:cstheme="minorHAnsi"/>
          <w:sz w:val="24"/>
          <w:szCs w:val="24"/>
          <w:lang w:val="el-GR"/>
        </w:rPr>
        <w:t xml:space="preserve">. </w:t>
      </w:r>
      <w:r w:rsidR="001B28E6">
        <w:rPr>
          <w:rFonts w:cstheme="minorHAnsi"/>
          <w:sz w:val="24"/>
          <w:szCs w:val="24"/>
          <w:lang w:val="el-GR"/>
        </w:rPr>
        <w:t>Η</w:t>
      </w:r>
      <w:r w:rsidR="00A5147D" w:rsidRPr="001B28E6">
        <w:rPr>
          <w:rFonts w:cstheme="minorHAnsi"/>
          <w:sz w:val="24"/>
          <w:szCs w:val="24"/>
          <w:lang w:val="el-GR"/>
        </w:rPr>
        <w:t xml:space="preserve"> </w:t>
      </w:r>
      <w:r w:rsidR="00A5147D" w:rsidRPr="004E251E">
        <w:rPr>
          <w:rFonts w:cstheme="minorHAnsi"/>
          <w:sz w:val="24"/>
          <w:szCs w:val="24"/>
        </w:rPr>
        <w:t>GET</w:t>
      </w:r>
      <w:r w:rsidR="00A5147D" w:rsidRPr="001B28E6">
        <w:rPr>
          <w:rFonts w:cstheme="minorHAnsi"/>
          <w:sz w:val="24"/>
          <w:szCs w:val="24"/>
          <w:lang w:val="el-GR"/>
        </w:rPr>
        <w:t xml:space="preserve"> </w:t>
      </w:r>
      <w:r w:rsidR="004C54C2">
        <w:rPr>
          <w:rFonts w:cstheme="minorHAnsi"/>
          <w:sz w:val="24"/>
          <w:szCs w:val="24"/>
          <w:lang w:val="el-GR"/>
        </w:rPr>
        <w:t xml:space="preserve">υποστηριζόταν </w:t>
      </w:r>
      <w:r w:rsidR="001B28E6">
        <w:rPr>
          <w:rFonts w:cstheme="minorHAnsi"/>
          <w:sz w:val="24"/>
          <w:szCs w:val="24"/>
          <w:lang w:val="el-GR"/>
        </w:rPr>
        <w:t>από</w:t>
      </w:r>
      <w:r w:rsidR="001B28E6" w:rsidRPr="001B28E6">
        <w:rPr>
          <w:rFonts w:cstheme="minorHAnsi"/>
          <w:sz w:val="24"/>
          <w:szCs w:val="24"/>
          <w:lang w:val="el-GR"/>
        </w:rPr>
        <w:t xml:space="preserve"> </w:t>
      </w:r>
      <w:r w:rsidR="001B28E6">
        <w:rPr>
          <w:rFonts w:cstheme="minorHAnsi"/>
          <w:sz w:val="24"/>
          <w:szCs w:val="24"/>
          <w:lang w:val="el-GR"/>
        </w:rPr>
        <w:t>την κα</w:t>
      </w:r>
      <w:r w:rsidR="001B28E6" w:rsidRPr="001B28E6">
        <w:rPr>
          <w:rFonts w:cstheme="minorHAnsi"/>
          <w:sz w:val="24"/>
          <w:szCs w:val="24"/>
          <w:lang w:val="el-GR"/>
        </w:rPr>
        <w:t>.</w:t>
      </w:r>
      <w:r w:rsidR="00A5147D" w:rsidRPr="001B28E6">
        <w:rPr>
          <w:rFonts w:cstheme="minorHAnsi"/>
          <w:sz w:val="24"/>
          <w:szCs w:val="24"/>
          <w:lang w:val="el-GR"/>
        </w:rPr>
        <w:t xml:space="preserve"> </w:t>
      </w:r>
      <w:r w:rsidR="00A5147D" w:rsidRPr="004E251E">
        <w:rPr>
          <w:rFonts w:cstheme="minorHAnsi"/>
          <w:sz w:val="24"/>
          <w:szCs w:val="24"/>
        </w:rPr>
        <w:t>Laura</w:t>
      </w:r>
      <w:r w:rsidR="00A5147D" w:rsidRPr="001B28E6">
        <w:rPr>
          <w:rFonts w:cstheme="minorHAnsi"/>
          <w:sz w:val="24"/>
          <w:szCs w:val="24"/>
          <w:lang w:val="el-GR"/>
        </w:rPr>
        <w:t xml:space="preserve"> </w:t>
      </w:r>
      <w:r w:rsidR="00A5147D" w:rsidRPr="004E251E">
        <w:rPr>
          <w:rFonts w:cstheme="minorHAnsi"/>
          <w:sz w:val="24"/>
          <w:szCs w:val="24"/>
        </w:rPr>
        <w:t>SANZ</w:t>
      </w:r>
      <w:r w:rsidR="00A5147D" w:rsidRPr="001B28E6">
        <w:rPr>
          <w:rFonts w:cstheme="minorHAnsi"/>
          <w:sz w:val="24"/>
          <w:szCs w:val="24"/>
          <w:lang w:val="el-GR"/>
        </w:rPr>
        <w:t>-</w:t>
      </w:r>
      <w:r w:rsidR="00A5147D" w:rsidRPr="004E251E">
        <w:rPr>
          <w:rFonts w:cstheme="minorHAnsi"/>
          <w:sz w:val="24"/>
          <w:szCs w:val="24"/>
        </w:rPr>
        <w:t>LEVIA</w:t>
      </w:r>
      <w:r w:rsidR="00A5147D" w:rsidRPr="001B28E6">
        <w:rPr>
          <w:rFonts w:cstheme="minorHAnsi"/>
          <w:sz w:val="24"/>
          <w:szCs w:val="24"/>
          <w:lang w:val="el-GR"/>
        </w:rPr>
        <w:t xml:space="preserve"> </w:t>
      </w:r>
      <w:r w:rsidR="001B28E6">
        <w:rPr>
          <w:rFonts w:cstheme="minorHAnsi"/>
          <w:sz w:val="24"/>
          <w:szCs w:val="24"/>
          <w:lang w:val="el-GR"/>
        </w:rPr>
        <w:t>και την κα.</w:t>
      </w:r>
      <w:r w:rsidR="00A5147D" w:rsidRPr="001B28E6">
        <w:rPr>
          <w:rFonts w:cstheme="minorHAnsi"/>
          <w:sz w:val="24"/>
          <w:szCs w:val="24"/>
          <w:lang w:val="el-GR"/>
        </w:rPr>
        <w:t xml:space="preserve"> </w:t>
      </w:r>
      <w:r w:rsidR="00A5147D" w:rsidRPr="004E251E">
        <w:rPr>
          <w:rFonts w:cstheme="minorHAnsi"/>
          <w:sz w:val="24"/>
          <w:szCs w:val="24"/>
        </w:rPr>
        <w:t>Tanja</w:t>
      </w:r>
      <w:r w:rsidR="00A5147D" w:rsidRPr="001B28E6">
        <w:rPr>
          <w:rFonts w:cstheme="minorHAnsi"/>
          <w:sz w:val="24"/>
          <w:szCs w:val="24"/>
          <w:lang w:val="el-GR"/>
        </w:rPr>
        <w:t xml:space="preserve"> </w:t>
      </w:r>
      <w:r w:rsidR="00A5147D" w:rsidRPr="004E251E">
        <w:rPr>
          <w:rFonts w:cstheme="minorHAnsi"/>
          <w:sz w:val="24"/>
          <w:szCs w:val="24"/>
        </w:rPr>
        <w:t>GERWIEN</w:t>
      </w:r>
      <w:r w:rsidR="00A5147D" w:rsidRPr="001B28E6">
        <w:rPr>
          <w:rFonts w:cstheme="minorHAnsi"/>
          <w:sz w:val="24"/>
          <w:szCs w:val="24"/>
          <w:lang w:val="el-GR"/>
        </w:rPr>
        <w:t xml:space="preserve"> </w:t>
      </w:r>
      <w:r w:rsidR="001B28E6">
        <w:rPr>
          <w:rFonts w:cstheme="minorHAnsi"/>
          <w:sz w:val="24"/>
          <w:szCs w:val="24"/>
          <w:lang w:val="el-GR"/>
        </w:rPr>
        <w:t>από την Γραμματεία της</w:t>
      </w:r>
      <w:r w:rsidR="00A5147D" w:rsidRPr="001B28E6">
        <w:rPr>
          <w:rFonts w:cstheme="minorHAnsi"/>
          <w:sz w:val="24"/>
          <w:szCs w:val="24"/>
          <w:lang w:val="el-GR"/>
        </w:rPr>
        <w:t xml:space="preserve"> </w:t>
      </w:r>
      <w:r w:rsidR="00A5147D" w:rsidRPr="004E251E">
        <w:rPr>
          <w:rFonts w:cstheme="minorHAnsi"/>
          <w:sz w:val="24"/>
          <w:szCs w:val="24"/>
        </w:rPr>
        <w:t>GRECO</w:t>
      </w:r>
      <w:r w:rsidR="00A5147D" w:rsidRPr="001B28E6">
        <w:rPr>
          <w:rFonts w:cstheme="minorHAnsi"/>
          <w:sz w:val="24"/>
          <w:szCs w:val="24"/>
          <w:lang w:val="el-GR"/>
        </w:rPr>
        <w:t>.</w:t>
      </w:r>
    </w:p>
    <w:p w14:paraId="0DFB5FC2" w14:textId="77777777" w:rsidR="00A5147D" w:rsidRPr="001B28E6" w:rsidRDefault="00A5147D" w:rsidP="00A5147D">
      <w:pPr>
        <w:pStyle w:val="ListParagraph"/>
        <w:rPr>
          <w:rFonts w:cstheme="minorHAnsi"/>
          <w:sz w:val="24"/>
          <w:szCs w:val="24"/>
          <w:lang w:val="el-GR"/>
        </w:rPr>
      </w:pPr>
    </w:p>
    <w:p w14:paraId="7F954461" w14:textId="36A9C188" w:rsidR="00A5147D" w:rsidRPr="00973162" w:rsidRDefault="001B28E6"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Η</w:t>
      </w:r>
      <w:r w:rsidR="00A5147D" w:rsidRPr="00F62A2D">
        <w:rPr>
          <w:rFonts w:cstheme="minorHAnsi"/>
          <w:sz w:val="24"/>
          <w:szCs w:val="24"/>
          <w:lang w:val="el-GR"/>
        </w:rPr>
        <w:t xml:space="preserve"> </w:t>
      </w:r>
      <w:r w:rsidR="00A5147D" w:rsidRPr="00B95983">
        <w:rPr>
          <w:rFonts w:cstheme="minorHAnsi"/>
          <w:sz w:val="24"/>
          <w:szCs w:val="24"/>
        </w:rPr>
        <w:t>GET</w:t>
      </w:r>
      <w:r w:rsidR="00A5147D" w:rsidRPr="00F62A2D">
        <w:rPr>
          <w:rFonts w:cstheme="minorHAnsi"/>
          <w:sz w:val="24"/>
          <w:szCs w:val="24"/>
          <w:lang w:val="el-GR"/>
        </w:rPr>
        <w:t xml:space="preserve"> </w:t>
      </w:r>
      <w:r>
        <w:rPr>
          <w:rFonts w:cstheme="minorHAnsi"/>
          <w:sz w:val="24"/>
          <w:szCs w:val="24"/>
          <w:lang w:val="el-GR"/>
        </w:rPr>
        <w:t>συναντήθηκε</w:t>
      </w:r>
      <w:r w:rsidRPr="00F62A2D">
        <w:rPr>
          <w:rFonts w:cstheme="minorHAnsi"/>
          <w:sz w:val="24"/>
          <w:szCs w:val="24"/>
          <w:lang w:val="el-GR"/>
        </w:rPr>
        <w:t xml:space="preserve"> </w:t>
      </w:r>
      <w:r>
        <w:rPr>
          <w:rFonts w:cstheme="minorHAnsi"/>
          <w:sz w:val="24"/>
          <w:szCs w:val="24"/>
          <w:lang w:val="el-GR"/>
        </w:rPr>
        <w:t>με</w:t>
      </w:r>
      <w:r w:rsidRPr="00F62A2D">
        <w:rPr>
          <w:rFonts w:cstheme="minorHAnsi"/>
          <w:sz w:val="24"/>
          <w:szCs w:val="24"/>
          <w:lang w:val="el-GR"/>
        </w:rPr>
        <w:t xml:space="preserve"> </w:t>
      </w:r>
      <w:r>
        <w:rPr>
          <w:rFonts w:cstheme="minorHAnsi"/>
          <w:sz w:val="24"/>
          <w:szCs w:val="24"/>
          <w:lang w:val="el-GR"/>
        </w:rPr>
        <w:t>αντιπροσώπους</w:t>
      </w:r>
      <w:r w:rsidRPr="00F62A2D">
        <w:rPr>
          <w:rFonts w:cstheme="minorHAnsi"/>
          <w:sz w:val="24"/>
          <w:szCs w:val="24"/>
          <w:lang w:val="el-GR"/>
        </w:rPr>
        <w:t xml:space="preserve"> </w:t>
      </w:r>
      <w:r>
        <w:rPr>
          <w:rFonts w:cstheme="minorHAnsi"/>
          <w:sz w:val="24"/>
          <w:szCs w:val="24"/>
          <w:lang w:val="el-GR"/>
        </w:rPr>
        <w:t>από</w:t>
      </w:r>
      <w:r w:rsidRPr="00F62A2D">
        <w:rPr>
          <w:rFonts w:cstheme="minorHAnsi"/>
          <w:sz w:val="24"/>
          <w:szCs w:val="24"/>
          <w:lang w:val="el-GR"/>
        </w:rPr>
        <w:t xml:space="preserve"> </w:t>
      </w:r>
      <w:r>
        <w:rPr>
          <w:rFonts w:cstheme="minorHAnsi"/>
          <w:sz w:val="24"/>
          <w:szCs w:val="24"/>
          <w:lang w:val="el-GR"/>
        </w:rPr>
        <w:t>το</w:t>
      </w:r>
      <w:r w:rsidRPr="00F62A2D">
        <w:rPr>
          <w:rFonts w:cstheme="minorHAnsi"/>
          <w:sz w:val="24"/>
          <w:szCs w:val="24"/>
          <w:lang w:val="el-GR"/>
        </w:rPr>
        <w:t xml:space="preserve"> </w:t>
      </w:r>
      <w:r>
        <w:rPr>
          <w:rFonts w:cstheme="minorHAnsi"/>
          <w:sz w:val="24"/>
          <w:szCs w:val="24"/>
          <w:lang w:val="el-GR"/>
        </w:rPr>
        <w:t>Γραφείο</w:t>
      </w:r>
      <w:r w:rsidRPr="00F62A2D">
        <w:rPr>
          <w:rFonts w:cstheme="minorHAnsi"/>
          <w:sz w:val="24"/>
          <w:szCs w:val="24"/>
          <w:lang w:val="el-GR"/>
        </w:rPr>
        <w:t xml:space="preserve"> </w:t>
      </w:r>
      <w:r>
        <w:rPr>
          <w:rFonts w:cstheme="minorHAnsi"/>
          <w:sz w:val="24"/>
          <w:szCs w:val="24"/>
          <w:lang w:val="el-GR"/>
        </w:rPr>
        <w:t>του</w:t>
      </w:r>
      <w:r w:rsidRPr="00F62A2D">
        <w:rPr>
          <w:rFonts w:cstheme="minorHAnsi"/>
          <w:sz w:val="24"/>
          <w:szCs w:val="24"/>
          <w:lang w:val="el-GR"/>
        </w:rPr>
        <w:t xml:space="preserve"> </w:t>
      </w:r>
      <w:r>
        <w:rPr>
          <w:rFonts w:cstheme="minorHAnsi"/>
          <w:sz w:val="24"/>
          <w:szCs w:val="24"/>
          <w:lang w:val="el-GR"/>
        </w:rPr>
        <w:t>τέως</w:t>
      </w:r>
      <w:r w:rsidRPr="00F62A2D">
        <w:rPr>
          <w:rFonts w:cstheme="minorHAnsi"/>
          <w:sz w:val="24"/>
          <w:szCs w:val="24"/>
          <w:lang w:val="el-GR"/>
        </w:rPr>
        <w:t xml:space="preserve"> </w:t>
      </w:r>
      <w:r>
        <w:rPr>
          <w:rFonts w:cstheme="minorHAnsi"/>
          <w:sz w:val="24"/>
          <w:szCs w:val="24"/>
          <w:lang w:val="el-GR"/>
        </w:rPr>
        <w:t>Προέδρου</w:t>
      </w:r>
      <w:r w:rsidRPr="00F62A2D">
        <w:rPr>
          <w:rFonts w:cstheme="minorHAnsi"/>
          <w:sz w:val="24"/>
          <w:szCs w:val="24"/>
          <w:lang w:val="el-GR"/>
        </w:rPr>
        <w:t xml:space="preserve"> </w:t>
      </w:r>
      <w:r>
        <w:rPr>
          <w:rFonts w:cstheme="minorHAnsi"/>
          <w:sz w:val="24"/>
          <w:szCs w:val="24"/>
          <w:lang w:val="el-GR"/>
        </w:rPr>
        <w:t>της</w:t>
      </w:r>
      <w:r w:rsidRPr="00F62A2D">
        <w:rPr>
          <w:rFonts w:cstheme="minorHAnsi"/>
          <w:sz w:val="24"/>
          <w:szCs w:val="24"/>
          <w:lang w:val="el-GR"/>
        </w:rPr>
        <w:t xml:space="preserve"> </w:t>
      </w:r>
      <w:r>
        <w:rPr>
          <w:rFonts w:cstheme="minorHAnsi"/>
          <w:sz w:val="24"/>
          <w:szCs w:val="24"/>
          <w:lang w:val="el-GR"/>
        </w:rPr>
        <w:t>Κυπριακής</w:t>
      </w:r>
      <w:r w:rsidRPr="00F62A2D">
        <w:rPr>
          <w:rFonts w:cstheme="minorHAnsi"/>
          <w:sz w:val="24"/>
          <w:szCs w:val="24"/>
          <w:lang w:val="el-GR"/>
        </w:rPr>
        <w:t xml:space="preserve"> </w:t>
      </w:r>
      <w:r>
        <w:rPr>
          <w:rFonts w:cstheme="minorHAnsi"/>
          <w:sz w:val="24"/>
          <w:szCs w:val="24"/>
          <w:lang w:val="el-GR"/>
        </w:rPr>
        <w:t>Δημοκρατίας</w:t>
      </w:r>
      <w:r w:rsidR="00A5147D" w:rsidRPr="00F62A2D">
        <w:rPr>
          <w:rFonts w:cstheme="minorHAnsi"/>
          <w:sz w:val="24"/>
          <w:szCs w:val="24"/>
          <w:lang w:val="el-GR"/>
        </w:rPr>
        <w:t xml:space="preserve">, </w:t>
      </w:r>
      <w:r>
        <w:rPr>
          <w:rFonts w:cstheme="minorHAnsi"/>
          <w:sz w:val="24"/>
          <w:szCs w:val="24"/>
          <w:lang w:val="el-GR"/>
        </w:rPr>
        <w:t>του</w:t>
      </w:r>
      <w:r w:rsidRPr="00F62A2D">
        <w:rPr>
          <w:rFonts w:cstheme="minorHAnsi"/>
          <w:sz w:val="24"/>
          <w:szCs w:val="24"/>
          <w:lang w:val="el-GR"/>
        </w:rPr>
        <w:t xml:space="preserve"> </w:t>
      </w:r>
      <w:r w:rsidR="004C54C2">
        <w:rPr>
          <w:rFonts w:cstheme="minorHAnsi"/>
          <w:sz w:val="24"/>
          <w:szCs w:val="24"/>
          <w:lang w:val="el-GR"/>
        </w:rPr>
        <w:t xml:space="preserve">προηγούμενου </w:t>
      </w:r>
      <w:r>
        <w:rPr>
          <w:rFonts w:cstheme="minorHAnsi"/>
          <w:sz w:val="24"/>
          <w:szCs w:val="24"/>
          <w:lang w:val="el-GR"/>
        </w:rPr>
        <w:t>Υπουργικού</w:t>
      </w:r>
      <w:r w:rsidRPr="00F62A2D">
        <w:rPr>
          <w:rFonts w:cstheme="minorHAnsi"/>
          <w:sz w:val="24"/>
          <w:szCs w:val="24"/>
          <w:lang w:val="el-GR"/>
        </w:rPr>
        <w:t xml:space="preserve"> </w:t>
      </w:r>
      <w:r>
        <w:rPr>
          <w:rFonts w:cstheme="minorHAnsi"/>
          <w:sz w:val="24"/>
          <w:szCs w:val="24"/>
          <w:lang w:val="el-GR"/>
        </w:rPr>
        <w:t>Συμβουλίου</w:t>
      </w:r>
      <w:r w:rsidR="00A5147D" w:rsidRPr="00F62A2D">
        <w:rPr>
          <w:rFonts w:cstheme="minorHAnsi"/>
          <w:sz w:val="24"/>
          <w:szCs w:val="24"/>
          <w:lang w:val="el-GR"/>
        </w:rPr>
        <w:t>,</w:t>
      </w:r>
      <w:r w:rsidR="00A8104D" w:rsidRPr="00F62A2D">
        <w:rPr>
          <w:rFonts w:cstheme="minorHAnsi"/>
          <w:sz w:val="24"/>
          <w:szCs w:val="24"/>
          <w:lang w:val="el-GR"/>
        </w:rPr>
        <w:t xml:space="preserve"> </w:t>
      </w:r>
      <w:r>
        <w:rPr>
          <w:rFonts w:cstheme="minorHAnsi"/>
          <w:sz w:val="24"/>
          <w:szCs w:val="24"/>
          <w:lang w:val="el-GR"/>
        </w:rPr>
        <w:t>τον</w:t>
      </w:r>
      <w:r w:rsidRPr="00F62A2D">
        <w:rPr>
          <w:rFonts w:cstheme="minorHAnsi"/>
          <w:sz w:val="24"/>
          <w:szCs w:val="24"/>
          <w:lang w:val="el-GR"/>
        </w:rPr>
        <w:t xml:space="preserve"> </w:t>
      </w:r>
      <w:r>
        <w:rPr>
          <w:rFonts w:cstheme="minorHAnsi"/>
          <w:sz w:val="24"/>
          <w:szCs w:val="24"/>
          <w:lang w:val="el-GR"/>
        </w:rPr>
        <w:t>τέως</w:t>
      </w:r>
      <w:r w:rsidRPr="00F62A2D">
        <w:rPr>
          <w:rFonts w:cstheme="minorHAnsi"/>
          <w:sz w:val="24"/>
          <w:szCs w:val="24"/>
          <w:lang w:val="el-GR"/>
        </w:rPr>
        <w:t xml:space="preserve"> </w:t>
      </w:r>
      <w:r>
        <w:rPr>
          <w:rFonts w:cstheme="minorHAnsi"/>
          <w:sz w:val="24"/>
          <w:szCs w:val="24"/>
          <w:lang w:val="el-GR"/>
        </w:rPr>
        <w:t>Γραμματέα</w:t>
      </w:r>
      <w:r w:rsidRPr="00F62A2D">
        <w:rPr>
          <w:rFonts w:cstheme="minorHAnsi"/>
          <w:sz w:val="24"/>
          <w:szCs w:val="24"/>
          <w:lang w:val="el-GR"/>
        </w:rPr>
        <w:t xml:space="preserve"> </w:t>
      </w:r>
      <w:r>
        <w:rPr>
          <w:rFonts w:cstheme="minorHAnsi"/>
          <w:sz w:val="24"/>
          <w:szCs w:val="24"/>
          <w:lang w:val="el-GR"/>
        </w:rPr>
        <w:t>του</w:t>
      </w:r>
      <w:r w:rsidRPr="00F62A2D">
        <w:rPr>
          <w:rFonts w:cstheme="minorHAnsi"/>
          <w:sz w:val="24"/>
          <w:szCs w:val="24"/>
          <w:lang w:val="el-GR"/>
        </w:rPr>
        <w:t xml:space="preserve"> </w:t>
      </w:r>
      <w:r>
        <w:rPr>
          <w:rFonts w:cstheme="minorHAnsi"/>
          <w:sz w:val="24"/>
          <w:szCs w:val="24"/>
          <w:lang w:val="el-GR"/>
        </w:rPr>
        <w:t>Υπουργικού</w:t>
      </w:r>
      <w:r w:rsidRPr="00F62A2D">
        <w:rPr>
          <w:rFonts w:cstheme="minorHAnsi"/>
          <w:sz w:val="24"/>
          <w:szCs w:val="24"/>
          <w:lang w:val="el-GR"/>
        </w:rPr>
        <w:t xml:space="preserve"> </w:t>
      </w:r>
      <w:r>
        <w:rPr>
          <w:rFonts w:cstheme="minorHAnsi"/>
          <w:sz w:val="24"/>
          <w:szCs w:val="24"/>
          <w:lang w:val="el-GR"/>
        </w:rPr>
        <w:t>Συμβουλίου</w:t>
      </w:r>
      <w:r w:rsidR="00A8104D" w:rsidRPr="00F62A2D">
        <w:rPr>
          <w:rFonts w:cstheme="minorHAnsi"/>
          <w:sz w:val="24"/>
          <w:szCs w:val="24"/>
          <w:lang w:val="el-GR"/>
        </w:rPr>
        <w:t>,</w:t>
      </w:r>
      <w:r w:rsidR="00A5147D" w:rsidRPr="00F62A2D">
        <w:rPr>
          <w:rFonts w:cstheme="minorHAnsi"/>
          <w:sz w:val="24"/>
          <w:szCs w:val="24"/>
          <w:lang w:val="el-GR"/>
        </w:rPr>
        <w:t xml:space="preserve"> </w:t>
      </w:r>
      <w:r>
        <w:rPr>
          <w:rFonts w:cstheme="minorHAnsi"/>
          <w:sz w:val="24"/>
          <w:szCs w:val="24"/>
          <w:lang w:val="el-GR"/>
        </w:rPr>
        <w:t>τον</w:t>
      </w:r>
      <w:r w:rsidRPr="00F62A2D">
        <w:rPr>
          <w:rFonts w:cstheme="minorHAnsi"/>
          <w:sz w:val="24"/>
          <w:szCs w:val="24"/>
          <w:lang w:val="el-GR"/>
        </w:rPr>
        <w:t xml:space="preserve"> </w:t>
      </w:r>
      <w:r>
        <w:rPr>
          <w:rFonts w:cstheme="minorHAnsi"/>
          <w:sz w:val="24"/>
          <w:szCs w:val="24"/>
          <w:lang w:val="el-GR"/>
        </w:rPr>
        <w:t>τέως</w:t>
      </w:r>
      <w:r w:rsidRPr="00F62A2D">
        <w:rPr>
          <w:rFonts w:cstheme="minorHAnsi"/>
          <w:sz w:val="24"/>
          <w:szCs w:val="24"/>
          <w:lang w:val="el-GR"/>
        </w:rPr>
        <w:t xml:space="preserve"> </w:t>
      </w:r>
      <w:r>
        <w:rPr>
          <w:rFonts w:cstheme="minorHAnsi"/>
          <w:sz w:val="24"/>
          <w:szCs w:val="24"/>
          <w:lang w:val="el-GR"/>
        </w:rPr>
        <w:t>Υπουργό</w:t>
      </w:r>
      <w:r w:rsidRPr="00F62A2D">
        <w:rPr>
          <w:rFonts w:cstheme="minorHAnsi"/>
          <w:sz w:val="24"/>
          <w:szCs w:val="24"/>
          <w:lang w:val="el-GR"/>
        </w:rPr>
        <w:t xml:space="preserve"> </w:t>
      </w:r>
      <w:r>
        <w:rPr>
          <w:rFonts w:cstheme="minorHAnsi"/>
          <w:sz w:val="24"/>
          <w:szCs w:val="24"/>
          <w:lang w:val="el-GR"/>
        </w:rPr>
        <w:t>Δικαιοσύνης</w:t>
      </w:r>
      <w:r w:rsidRPr="00F62A2D">
        <w:rPr>
          <w:rFonts w:cstheme="minorHAnsi"/>
          <w:sz w:val="24"/>
          <w:szCs w:val="24"/>
          <w:lang w:val="el-GR"/>
        </w:rPr>
        <w:t xml:space="preserve"> </w:t>
      </w:r>
      <w:r>
        <w:rPr>
          <w:rFonts w:cstheme="minorHAnsi"/>
          <w:sz w:val="24"/>
          <w:szCs w:val="24"/>
          <w:lang w:val="el-GR"/>
        </w:rPr>
        <w:t>και</w:t>
      </w:r>
      <w:r w:rsidRPr="00F62A2D">
        <w:rPr>
          <w:rFonts w:cstheme="minorHAnsi"/>
          <w:sz w:val="24"/>
          <w:szCs w:val="24"/>
          <w:lang w:val="el-GR"/>
        </w:rPr>
        <w:t xml:space="preserve"> </w:t>
      </w:r>
      <w:r>
        <w:rPr>
          <w:rFonts w:cstheme="minorHAnsi"/>
          <w:sz w:val="24"/>
          <w:szCs w:val="24"/>
          <w:lang w:val="el-GR"/>
        </w:rPr>
        <w:t>Δημοσίας</w:t>
      </w:r>
      <w:r w:rsidRPr="00F62A2D">
        <w:rPr>
          <w:rFonts w:cstheme="minorHAnsi"/>
          <w:sz w:val="24"/>
          <w:szCs w:val="24"/>
          <w:lang w:val="el-GR"/>
        </w:rPr>
        <w:t xml:space="preserve"> </w:t>
      </w:r>
      <w:r w:rsidR="006B2283">
        <w:rPr>
          <w:rFonts w:cstheme="minorHAnsi"/>
          <w:sz w:val="24"/>
          <w:szCs w:val="24"/>
          <w:lang w:val="el-GR"/>
        </w:rPr>
        <w:t>Τάξης</w:t>
      </w:r>
      <w:r w:rsidR="00A5147D" w:rsidRPr="00F62A2D">
        <w:rPr>
          <w:rFonts w:cstheme="minorHAnsi"/>
          <w:sz w:val="24"/>
          <w:szCs w:val="24"/>
          <w:lang w:val="el-GR"/>
        </w:rPr>
        <w:t xml:space="preserve">, </w:t>
      </w:r>
      <w:r>
        <w:rPr>
          <w:rFonts w:cstheme="minorHAnsi"/>
          <w:sz w:val="24"/>
          <w:szCs w:val="24"/>
          <w:lang w:val="el-GR"/>
        </w:rPr>
        <w:t>τον</w:t>
      </w:r>
      <w:r w:rsidRPr="00F62A2D">
        <w:rPr>
          <w:rFonts w:cstheme="minorHAnsi"/>
          <w:sz w:val="24"/>
          <w:szCs w:val="24"/>
          <w:lang w:val="el-GR"/>
        </w:rPr>
        <w:t xml:space="preserve"> </w:t>
      </w:r>
      <w:r>
        <w:rPr>
          <w:rFonts w:cstheme="minorHAnsi"/>
          <w:sz w:val="24"/>
          <w:szCs w:val="24"/>
          <w:lang w:val="el-GR"/>
        </w:rPr>
        <w:t>Γενικό</w:t>
      </w:r>
      <w:r w:rsidRPr="00F62A2D">
        <w:rPr>
          <w:rFonts w:cstheme="minorHAnsi"/>
          <w:sz w:val="24"/>
          <w:szCs w:val="24"/>
          <w:lang w:val="el-GR"/>
        </w:rPr>
        <w:t xml:space="preserve"> </w:t>
      </w:r>
      <w:r>
        <w:rPr>
          <w:rFonts w:cstheme="minorHAnsi"/>
          <w:sz w:val="24"/>
          <w:szCs w:val="24"/>
          <w:lang w:val="el-GR"/>
        </w:rPr>
        <w:t>Εισαγγελέα</w:t>
      </w:r>
      <w:r w:rsidR="00A5147D" w:rsidRPr="00F62A2D">
        <w:rPr>
          <w:rFonts w:cstheme="minorHAnsi"/>
          <w:sz w:val="24"/>
          <w:szCs w:val="24"/>
          <w:lang w:val="el-GR"/>
        </w:rPr>
        <w:t xml:space="preserve">, </w:t>
      </w:r>
      <w:r>
        <w:rPr>
          <w:rFonts w:cstheme="minorHAnsi"/>
          <w:sz w:val="24"/>
          <w:szCs w:val="24"/>
          <w:lang w:val="el-GR"/>
        </w:rPr>
        <w:t>τον</w:t>
      </w:r>
      <w:r w:rsidRPr="00F62A2D">
        <w:rPr>
          <w:rFonts w:cstheme="minorHAnsi"/>
          <w:sz w:val="24"/>
          <w:szCs w:val="24"/>
          <w:lang w:val="el-GR"/>
        </w:rPr>
        <w:t xml:space="preserve"> </w:t>
      </w:r>
      <w:r>
        <w:rPr>
          <w:rFonts w:cstheme="minorHAnsi"/>
          <w:sz w:val="24"/>
          <w:szCs w:val="24"/>
          <w:lang w:val="el-GR"/>
        </w:rPr>
        <w:t>Γενικό</w:t>
      </w:r>
      <w:r w:rsidRPr="00F62A2D">
        <w:rPr>
          <w:rFonts w:cstheme="minorHAnsi"/>
          <w:sz w:val="24"/>
          <w:szCs w:val="24"/>
          <w:lang w:val="el-GR"/>
        </w:rPr>
        <w:t xml:space="preserve"> </w:t>
      </w:r>
      <w:r>
        <w:rPr>
          <w:rFonts w:cstheme="minorHAnsi"/>
          <w:sz w:val="24"/>
          <w:szCs w:val="24"/>
          <w:lang w:val="el-GR"/>
        </w:rPr>
        <w:t>Ελεγκτή</w:t>
      </w:r>
      <w:r w:rsidR="00A5147D" w:rsidRPr="00F62A2D">
        <w:rPr>
          <w:rFonts w:cstheme="minorHAnsi"/>
          <w:sz w:val="24"/>
          <w:szCs w:val="24"/>
          <w:lang w:val="el-GR"/>
        </w:rPr>
        <w:t xml:space="preserve">, </w:t>
      </w:r>
      <w:r w:rsidR="00F62A2D">
        <w:rPr>
          <w:rFonts w:cstheme="minorHAnsi"/>
          <w:sz w:val="24"/>
          <w:szCs w:val="24"/>
          <w:lang w:val="el-GR"/>
        </w:rPr>
        <w:t>τον</w:t>
      </w:r>
      <w:r w:rsidR="00F62A2D" w:rsidRPr="00F62A2D">
        <w:rPr>
          <w:rFonts w:cstheme="minorHAnsi"/>
          <w:sz w:val="24"/>
          <w:szCs w:val="24"/>
          <w:lang w:val="el-GR"/>
        </w:rPr>
        <w:t xml:space="preserve"> </w:t>
      </w:r>
      <w:r w:rsidR="00F62A2D">
        <w:rPr>
          <w:rFonts w:cstheme="minorHAnsi"/>
          <w:sz w:val="24"/>
          <w:szCs w:val="24"/>
          <w:lang w:val="el-GR"/>
        </w:rPr>
        <w:t>Επίτροπο</w:t>
      </w:r>
      <w:r w:rsidR="00F62A2D" w:rsidRPr="00F62A2D">
        <w:rPr>
          <w:rFonts w:cstheme="minorHAnsi"/>
          <w:sz w:val="24"/>
          <w:szCs w:val="24"/>
          <w:lang w:val="el-GR"/>
        </w:rPr>
        <w:t xml:space="preserve"> </w:t>
      </w:r>
      <w:r w:rsidR="00F62A2D">
        <w:rPr>
          <w:rFonts w:cstheme="minorHAnsi"/>
          <w:sz w:val="24"/>
          <w:szCs w:val="24"/>
          <w:lang w:val="el-GR"/>
        </w:rPr>
        <w:t>Πληροφοριών</w:t>
      </w:r>
      <w:r w:rsidR="00F62A2D" w:rsidRPr="00F62A2D">
        <w:rPr>
          <w:rFonts w:cstheme="minorHAnsi"/>
          <w:sz w:val="24"/>
          <w:szCs w:val="24"/>
          <w:lang w:val="el-GR"/>
        </w:rPr>
        <w:t xml:space="preserve"> </w:t>
      </w:r>
      <w:r w:rsidR="00F62A2D">
        <w:rPr>
          <w:rFonts w:cstheme="minorHAnsi"/>
          <w:sz w:val="24"/>
          <w:szCs w:val="24"/>
          <w:lang w:val="el-GR"/>
        </w:rPr>
        <w:t>και</w:t>
      </w:r>
      <w:r w:rsidR="00F62A2D" w:rsidRPr="00F62A2D">
        <w:rPr>
          <w:rFonts w:cstheme="minorHAnsi"/>
          <w:sz w:val="24"/>
          <w:szCs w:val="24"/>
          <w:lang w:val="el-GR"/>
        </w:rPr>
        <w:t xml:space="preserve"> </w:t>
      </w:r>
      <w:r w:rsidR="00F62A2D">
        <w:rPr>
          <w:rFonts w:cstheme="minorHAnsi"/>
          <w:sz w:val="24"/>
          <w:szCs w:val="24"/>
          <w:lang w:val="el-GR"/>
        </w:rPr>
        <w:t>Προστασίας</w:t>
      </w:r>
      <w:r w:rsidR="00F62A2D" w:rsidRPr="00F62A2D">
        <w:rPr>
          <w:rFonts w:cstheme="minorHAnsi"/>
          <w:sz w:val="24"/>
          <w:szCs w:val="24"/>
          <w:lang w:val="el-GR"/>
        </w:rPr>
        <w:t xml:space="preserve"> </w:t>
      </w:r>
      <w:r w:rsidR="00F62A2D">
        <w:rPr>
          <w:rFonts w:cstheme="minorHAnsi"/>
          <w:sz w:val="24"/>
          <w:szCs w:val="24"/>
          <w:lang w:val="el-GR"/>
        </w:rPr>
        <w:t>Δεδομένων</w:t>
      </w:r>
      <w:r w:rsidR="00A5147D" w:rsidRPr="00F62A2D">
        <w:rPr>
          <w:rFonts w:cstheme="minorHAnsi"/>
          <w:sz w:val="24"/>
          <w:szCs w:val="24"/>
          <w:lang w:val="el-GR"/>
        </w:rPr>
        <w:t xml:space="preserve">, </w:t>
      </w:r>
      <w:r w:rsidR="00F62A2D">
        <w:rPr>
          <w:rFonts w:cstheme="minorHAnsi"/>
          <w:sz w:val="24"/>
          <w:szCs w:val="24"/>
          <w:lang w:val="el-GR"/>
        </w:rPr>
        <w:t>την Αρχή Καταπο</w:t>
      </w:r>
      <w:r w:rsidR="00973162">
        <w:rPr>
          <w:rFonts w:cstheme="minorHAnsi"/>
          <w:sz w:val="24"/>
          <w:szCs w:val="24"/>
          <w:lang w:val="el-GR"/>
        </w:rPr>
        <w:t>λέ</w:t>
      </w:r>
      <w:r w:rsidR="00F62A2D">
        <w:rPr>
          <w:rFonts w:cstheme="minorHAnsi"/>
          <w:sz w:val="24"/>
          <w:szCs w:val="24"/>
          <w:lang w:val="el-GR"/>
        </w:rPr>
        <w:t>μησης της Διαφθοράς</w:t>
      </w:r>
      <w:r w:rsidR="00A5147D" w:rsidRPr="00F62A2D">
        <w:rPr>
          <w:rFonts w:cstheme="minorHAnsi"/>
          <w:sz w:val="24"/>
          <w:szCs w:val="24"/>
          <w:lang w:val="el-GR"/>
        </w:rPr>
        <w:t xml:space="preserve">, </w:t>
      </w:r>
      <w:r w:rsidR="00F62A2D">
        <w:rPr>
          <w:rFonts w:cstheme="minorHAnsi"/>
          <w:sz w:val="24"/>
          <w:szCs w:val="24"/>
          <w:lang w:val="el-GR"/>
        </w:rPr>
        <w:t>την Επίτροπο Διοίκησης</w:t>
      </w:r>
      <w:r w:rsidR="00A5147D" w:rsidRPr="00F62A2D">
        <w:rPr>
          <w:rFonts w:cstheme="minorHAnsi"/>
          <w:sz w:val="24"/>
          <w:szCs w:val="24"/>
          <w:lang w:val="el-GR"/>
        </w:rPr>
        <w:t xml:space="preserve">, </w:t>
      </w:r>
      <w:r w:rsidR="00F62A2D">
        <w:rPr>
          <w:rFonts w:cstheme="minorHAnsi"/>
          <w:sz w:val="24"/>
          <w:szCs w:val="24"/>
          <w:lang w:val="el-GR"/>
        </w:rPr>
        <w:t>την Επιτροπή Διερεύνηση</w:t>
      </w:r>
      <w:r w:rsidR="004C54C2">
        <w:rPr>
          <w:rFonts w:cstheme="minorHAnsi"/>
          <w:sz w:val="24"/>
          <w:szCs w:val="24"/>
          <w:lang w:val="el-GR"/>
        </w:rPr>
        <w:t>ς</w:t>
      </w:r>
      <w:r w:rsidR="00A5147D" w:rsidRPr="00F62A2D">
        <w:rPr>
          <w:rFonts w:cstheme="minorHAnsi"/>
          <w:sz w:val="24"/>
          <w:szCs w:val="24"/>
          <w:lang w:val="el-GR"/>
        </w:rPr>
        <w:t xml:space="preserve"> </w:t>
      </w:r>
      <w:r w:rsidR="004C54C2">
        <w:rPr>
          <w:rFonts w:cstheme="minorHAnsi"/>
          <w:sz w:val="24"/>
          <w:szCs w:val="24"/>
          <w:lang w:val="el-GR"/>
        </w:rPr>
        <w:t>Ασυμβίβαστου</w:t>
      </w:r>
      <w:r w:rsidR="00A5147D" w:rsidRPr="00F62A2D">
        <w:rPr>
          <w:rFonts w:cstheme="minorHAnsi"/>
          <w:sz w:val="24"/>
          <w:szCs w:val="24"/>
          <w:lang w:val="el-GR"/>
        </w:rPr>
        <w:t xml:space="preserve">, </w:t>
      </w:r>
      <w:r w:rsidR="00F62A2D">
        <w:rPr>
          <w:rFonts w:cstheme="minorHAnsi"/>
          <w:sz w:val="24"/>
          <w:szCs w:val="24"/>
          <w:lang w:val="el-GR"/>
        </w:rPr>
        <w:t>την Ανεξάρτητη Ειδική Επιτροπή</w:t>
      </w:r>
      <w:r w:rsidR="00A5147D" w:rsidRPr="00F62A2D">
        <w:rPr>
          <w:rFonts w:cstheme="minorHAnsi"/>
          <w:sz w:val="24"/>
          <w:szCs w:val="24"/>
          <w:lang w:val="el-GR"/>
        </w:rPr>
        <w:t xml:space="preserve">, </w:t>
      </w:r>
      <w:r w:rsidR="00791805">
        <w:rPr>
          <w:rFonts w:cstheme="minorHAnsi"/>
          <w:sz w:val="24"/>
          <w:szCs w:val="24"/>
          <w:lang w:val="el-GR"/>
        </w:rPr>
        <w:t>την Ειδική Επιτροπή για τη Δήλωση και Εξέταση</w:t>
      </w:r>
      <w:r w:rsidR="00A5147D" w:rsidRPr="00F62A2D">
        <w:rPr>
          <w:rFonts w:cstheme="minorHAnsi"/>
          <w:sz w:val="24"/>
          <w:szCs w:val="24"/>
          <w:lang w:val="el-GR"/>
        </w:rPr>
        <w:t xml:space="preserve"> </w:t>
      </w:r>
      <w:r w:rsidR="00791805">
        <w:rPr>
          <w:rFonts w:cstheme="minorHAnsi"/>
          <w:sz w:val="24"/>
          <w:szCs w:val="24"/>
          <w:lang w:val="el-GR"/>
        </w:rPr>
        <w:t>Οικονομικών Συμφερόντων</w:t>
      </w:r>
      <w:r w:rsidR="00A5147D" w:rsidRPr="00F62A2D">
        <w:rPr>
          <w:rFonts w:cstheme="minorHAnsi"/>
          <w:sz w:val="24"/>
          <w:szCs w:val="24"/>
          <w:lang w:val="el-GR"/>
        </w:rPr>
        <w:t xml:space="preserve">, </w:t>
      </w:r>
      <w:r w:rsidR="00791805">
        <w:rPr>
          <w:rFonts w:cstheme="minorHAnsi"/>
          <w:sz w:val="24"/>
          <w:szCs w:val="24"/>
          <w:lang w:val="el-GR"/>
        </w:rPr>
        <w:t>το Συμβούλιο Δήλωσης Περιουσιακών Στοιχείων</w:t>
      </w:r>
      <w:r w:rsidR="00A5147D" w:rsidRPr="00F62A2D">
        <w:rPr>
          <w:rFonts w:cstheme="minorHAnsi"/>
          <w:sz w:val="24"/>
          <w:szCs w:val="24"/>
          <w:lang w:val="el-GR"/>
        </w:rPr>
        <w:t xml:space="preserve">, </w:t>
      </w:r>
      <w:r w:rsidR="008E7B10">
        <w:rPr>
          <w:rFonts w:cstheme="minorHAnsi"/>
          <w:sz w:val="24"/>
          <w:szCs w:val="24"/>
          <w:lang w:val="el-GR"/>
        </w:rPr>
        <w:t xml:space="preserve">Υπηρεσία </w:t>
      </w:r>
      <w:r w:rsidR="00791805">
        <w:rPr>
          <w:rFonts w:cstheme="minorHAnsi"/>
          <w:sz w:val="24"/>
          <w:szCs w:val="24"/>
          <w:lang w:val="el-GR"/>
        </w:rPr>
        <w:t>Εσωτερικ</w:t>
      </w:r>
      <w:r w:rsidR="008E7B10">
        <w:rPr>
          <w:rFonts w:cstheme="minorHAnsi"/>
          <w:sz w:val="24"/>
          <w:szCs w:val="24"/>
          <w:lang w:val="el-GR"/>
        </w:rPr>
        <w:t>ού</w:t>
      </w:r>
      <w:r w:rsidR="00791805">
        <w:rPr>
          <w:rFonts w:cstheme="minorHAnsi"/>
          <w:sz w:val="24"/>
          <w:szCs w:val="24"/>
          <w:lang w:val="el-GR"/>
        </w:rPr>
        <w:t xml:space="preserve"> </w:t>
      </w:r>
      <w:r w:rsidR="008E7B10">
        <w:rPr>
          <w:rFonts w:cstheme="minorHAnsi"/>
          <w:sz w:val="24"/>
          <w:szCs w:val="24"/>
          <w:lang w:val="el-GR"/>
        </w:rPr>
        <w:t>Ε</w:t>
      </w:r>
      <w:r w:rsidR="00791805">
        <w:rPr>
          <w:rFonts w:cstheme="minorHAnsi"/>
          <w:sz w:val="24"/>
          <w:szCs w:val="24"/>
          <w:lang w:val="el-GR"/>
        </w:rPr>
        <w:t>λ</w:t>
      </w:r>
      <w:r w:rsidR="008E7B10">
        <w:rPr>
          <w:rFonts w:cstheme="minorHAnsi"/>
          <w:sz w:val="24"/>
          <w:szCs w:val="24"/>
          <w:lang w:val="el-GR"/>
        </w:rPr>
        <w:t>έ</w:t>
      </w:r>
      <w:r w:rsidR="00791805">
        <w:rPr>
          <w:rFonts w:cstheme="minorHAnsi"/>
          <w:sz w:val="24"/>
          <w:szCs w:val="24"/>
          <w:lang w:val="el-GR"/>
        </w:rPr>
        <w:t>γχο</w:t>
      </w:r>
      <w:r w:rsidR="008E7B10">
        <w:rPr>
          <w:rFonts w:cstheme="minorHAnsi"/>
          <w:sz w:val="24"/>
          <w:szCs w:val="24"/>
          <w:lang w:val="el-GR"/>
        </w:rPr>
        <w:t>υ</w:t>
      </w:r>
      <w:r w:rsidR="00A5147D" w:rsidRPr="00F62A2D">
        <w:rPr>
          <w:rFonts w:cstheme="minorHAnsi"/>
          <w:sz w:val="24"/>
          <w:szCs w:val="24"/>
          <w:lang w:val="el-GR"/>
        </w:rPr>
        <w:t xml:space="preserve">, </w:t>
      </w:r>
      <w:r w:rsidR="00791805">
        <w:rPr>
          <w:rFonts w:cstheme="minorHAnsi"/>
          <w:sz w:val="24"/>
          <w:szCs w:val="24"/>
          <w:lang w:val="el-GR"/>
        </w:rPr>
        <w:t>τη Γενική Λογίστρια και άλλους αντιπρο</w:t>
      </w:r>
      <w:r w:rsidR="00973162">
        <w:rPr>
          <w:rFonts w:cstheme="minorHAnsi"/>
          <w:sz w:val="24"/>
          <w:szCs w:val="24"/>
          <w:lang w:val="el-GR"/>
        </w:rPr>
        <w:t>σ</w:t>
      </w:r>
      <w:r w:rsidR="00791805">
        <w:rPr>
          <w:rFonts w:cstheme="minorHAnsi"/>
          <w:sz w:val="24"/>
          <w:szCs w:val="24"/>
          <w:lang w:val="el-GR"/>
        </w:rPr>
        <w:t>ώπους του Υπουργείου Οικονομικών</w:t>
      </w:r>
      <w:r w:rsidR="008D4057">
        <w:rPr>
          <w:rStyle w:val="FootnoteReference"/>
          <w:rFonts w:cstheme="minorHAnsi"/>
          <w:sz w:val="24"/>
          <w:szCs w:val="24"/>
        </w:rPr>
        <w:footnoteReference w:id="3"/>
      </w:r>
      <w:r w:rsidR="00A5147D" w:rsidRPr="00F62A2D">
        <w:rPr>
          <w:rFonts w:cstheme="minorHAnsi"/>
          <w:sz w:val="24"/>
          <w:szCs w:val="24"/>
          <w:lang w:val="el-GR"/>
        </w:rPr>
        <w:t xml:space="preserve">. </w:t>
      </w:r>
      <w:r w:rsidR="00791805">
        <w:rPr>
          <w:rFonts w:cstheme="minorHAnsi"/>
          <w:sz w:val="24"/>
          <w:szCs w:val="24"/>
          <w:lang w:val="el-GR"/>
        </w:rPr>
        <w:t>Συναντήθηκε</w:t>
      </w:r>
      <w:r w:rsidR="00791805" w:rsidRPr="00791805">
        <w:rPr>
          <w:rFonts w:cstheme="minorHAnsi"/>
          <w:sz w:val="24"/>
          <w:szCs w:val="24"/>
          <w:lang w:val="el-GR"/>
        </w:rPr>
        <w:t xml:space="preserve"> </w:t>
      </w:r>
      <w:r w:rsidR="00791805">
        <w:rPr>
          <w:rFonts w:cstheme="minorHAnsi"/>
          <w:sz w:val="24"/>
          <w:szCs w:val="24"/>
          <w:lang w:val="el-GR"/>
        </w:rPr>
        <w:t>επίσης</w:t>
      </w:r>
      <w:r w:rsidR="00791805" w:rsidRPr="00791805">
        <w:rPr>
          <w:rFonts w:cstheme="minorHAnsi"/>
          <w:sz w:val="24"/>
          <w:szCs w:val="24"/>
          <w:lang w:val="el-GR"/>
        </w:rPr>
        <w:t xml:space="preserve"> </w:t>
      </w:r>
      <w:r w:rsidR="00791805">
        <w:rPr>
          <w:rFonts w:cstheme="minorHAnsi"/>
          <w:sz w:val="24"/>
          <w:szCs w:val="24"/>
          <w:lang w:val="el-GR"/>
        </w:rPr>
        <w:t>με</w:t>
      </w:r>
      <w:r w:rsidR="00791805" w:rsidRPr="00791805">
        <w:rPr>
          <w:rFonts w:cstheme="minorHAnsi"/>
          <w:sz w:val="24"/>
          <w:szCs w:val="24"/>
          <w:lang w:val="el-GR"/>
        </w:rPr>
        <w:t xml:space="preserve"> </w:t>
      </w:r>
      <w:r w:rsidR="00791805">
        <w:rPr>
          <w:rFonts w:cstheme="minorHAnsi"/>
          <w:sz w:val="24"/>
          <w:szCs w:val="24"/>
          <w:lang w:val="el-GR"/>
        </w:rPr>
        <w:t>μέλη</w:t>
      </w:r>
      <w:r w:rsidR="00791805" w:rsidRPr="00791805">
        <w:rPr>
          <w:rFonts w:cstheme="minorHAnsi"/>
          <w:sz w:val="24"/>
          <w:szCs w:val="24"/>
          <w:lang w:val="el-GR"/>
        </w:rPr>
        <w:t xml:space="preserve"> </w:t>
      </w:r>
      <w:r w:rsidR="00791805">
        <w:rPr>
          <w:rFonts w:cstheme="minorHAnsi"/>
          <w:sz w:val="24"/>
          <w:szCs w:val="24"/>
          <w:lang w:val="el-GR"/>
        </w:rPr>
        <w:t>της</w:t>
      </w:r>
      <w:r w:rsidR="00791805" w:rsidRPr="00791805">
        <w:rPr>
          <w:rFonts w:cstheme="minorHAnsi"/>
          <w:sz w:val="24"/>
          <w:szCs w:val="24"/>
          <w:lang w:val="el-GR"/>
        </w:rPr>
        <w:t xml:space="preserve"> </w:t>
      </w:r>
      <w:r w:rsidR="009C4E34">
        <w:rPr>
          <w:rFonts w:cstheme="minorHAnsi"/>
          <w:sz w:val="24"/>
          <w:szCs w:val="24"/>
          <w:lang w:val="el-GR"/>
        </w:rPr>
        <w:t>Αστυνομία</w:t>
      </w:r>
      <w:r w:rsidR="00791805">
        <w:rPr>
          <w:rFonts w:cstheme="minorHAnsi"/>
          <w:sz w:val="24"/>
          <w:szCs w:val="24"/>
          <w:lang w:val="el-GR"/>
        </w:rPr>
        <w:t>ς</w:t>
      </w:r>
      <w:r w:rsidR="00A5147D" w:rsidRPr="00791805">
        <w:rPr>
          <w:rFonts w:cstheme="minorHAnsi"/>
          <w:sz w:val="24"/>
          <w:szCs w:val="24"/>
          <w:lang w:val="el-GR"/>
        </w:rPr>
        <w:t xml:space="preserve">, </w:t>
      </w:r>
      <w:r w:rsidR="00791805">
        <w:rPr>
          <w:rFonts w:cstheme="minorHAnsi"/>
          <w:sz w:val="24"/>
          <w:szCs w:val="24"/>
          <w:lang w:val="el-GR"/>
        </w:rPr>
        <w:t>συμπεριλαμβανομέ</w:t>
      </w:r>
      <w:r w:rsidR="003F42CF">
        <w:rPr>
          <w:rFonts w:cstheme="minorHAnsi"/>
          <w:sz w:val="24"/>
          <w:szCs w:val="24"/>
          <w:lang w:val="el-GR"/>
        </w:rPr>
        <w:t>νων</w:t>
      </w:r>
      <w:r w:rsidR="00791805" w:rsidRPr="00791805">
        <w:rPr>
          <w:rFonts w:cstheme="minorHAnsi"/>
          <w:sz w:val="24"/>
          <w:szCs w:val="24"/>
          <w:lang w:val="el-GR"/>
        </w:rPr>
        <w:t xml:space="preserve"> </w:t>
      </w:r>
      <w:r w:rsidR="00791805">
        <w:rPr>
          <w:rFonts w:cstheme="minorHAnsi"/>
          <w:sz w:val="24"/>
          <w:szCs w:val="24"/>
          <w:lang w:val="el-GR"/>
        </w:rPr>
        <w:t>αντιπροσώπων</w:t>
      </w:r>
      <w:r w:rsidR="00791805" w:rsidRPr="00791805">
        <w:rPr>
          <w:rFonts w:cstheme="minorHAnsi"/>
          <w:sz w:val="24"/>
          <w:szCs w:val="24"/>
          <w:lang w:val="el-GR"/>
        </w:rPr>
        <w:t xml:space="preserve"> </w:t>
      </w:r>
      <w:r w:rsidR="00791805">
        <w:rPr>
          <w:rFonts w:cstheme="minorHAnsi"/>
          <w:sz w:val="24"/>
          <w:szCs w:val="24"/>
          <w:lang w:val="el-GR"/>
        </w:rPr>
        <w:t>από</w:t>
      </w:r>
      <w:r w:rsidR="00791805" w:rsidRPr="00791805">
        <w:rPr>
          <w:rFonts w:cstheme="minorHAnsi"/>
          <w:sz w:val="24"/>
          <w:szCs w:val="24"/>
          <w:lang w:val="el-GR"/>
        </w:rPr>
        <w:t xml:space="preserve"> </w:t>
      </w:r>
      <w:r w:rsidR="00791805">
        <w:rPr>
          <w:rFonts w:cstheme="minorHAnsi"/>
          <w:sz w:val="24"/>
          <w:szCs w:val="24"/>
          <w:lang w:val="el-GR"/>
        </w:rPr>
        <w:t>την</w:t>
      </w:r>
      <w:r w:rsidR="00791805" w:rsidRPr="00791805">
        <w:rPr>
          <w:rFonts w:cstheme="minorHAnsi"/>
          <w:sz w:val="24"/>
          <w:szCs w:val="24"/>
          <w:lang w:val="el-GR"/>
        </w:rPr>
        <w:t xml:space="preserve"> </w:t>
      </w:r>
      <w:r w:rsidR="00791805">
        <w:rPr>
          <w:rFonts w:cstheme="minorHAnsi"/>
          <w:sz w:val="24"/>
          <w:szCs w:val="24"/>
          <w:lang w:val="el-GR"/>
        </w:rPr>
        <w:t>Διεύθυνση</w:t>
      </w:r>
      <w:r w:rsidR="00791805" w:rsidRPr="00791805">
        <w:rPr>
          <w:rFonts w:cstheme="minorHAnsi"/>
          <w:sz w:val="24"/>
          <w:szCs w:val="24"/>
          <w:lang w:val="el-GR"/>
        </w:rPr>
        <w:t xml:space="preserve"> </w:t>
      </w:r>
      <w:r w:rsidR="00791805">
        <w:rPr>
          <w:rFonts w:cstheme="minorHAnsi"/>
          <w:sz w:val="24"/>
          <w:szCs w:val="24"/>
          <w:lang w:val="el-GR"/>
        </w:rPr>
        <w:t>Επαγγελματικών</w:t>
      </w:r>
      <w:r w:rsidR="00791805" w:rsidRPr="00791805">
        <w:rPr>
          <w:rFonts w:cstheme="minorHAnsi"/>
          <w:sz w:val="24"/>
          <w:szCs w:val="24"/>
          <w:lang w:val="el-GR"/>
        </w:rPr>
        <w:t xml:space="preserve"> </w:t>
      </w:r>
      <w:r w:rsidR="00791805">
        <w:rPr>
          <w:rFonts w:cstheme="minorHAnsi"/>
          <w:sz w:val="24"/>
          <w:szCs w:val="24"/>
          <w:lang w:val="el-GR"/>
        </w:rPr>
        <w:t>Προτύπων</w:t>
      </w:r>
      <w:r w:rsidR="00791805" w:rsidRPr="00791805">
        <w:rPr>
          <w:rFonts w:cstheme="minorHAnsi"/>
          <w:sz w:val="24"/>
          <w:szCs w:val="24"/>
          <w:lang w:val="el-GR"/>
        </w:rPr>
        <w:t xml:space="preserve"> </w:t>
      </w:r>
      <w:r w:rsidR="00791805">
        <w:rPr>
          <w:rFonts w:cstheme="minorHAnsi"/>
          <w:sz w:val="24"/>
          <w:szCs w:val="24"/>
          <w:lang w:val="el-GR"/>
        </w:rPr>
        <w:t>και</w:t>
      </w:r>
      <w:r w:rsidR="00791805" w:rsidRPr="00791805">
        <w:rPr>
          <w:rFonts w:cstheme="minorHAnsi"/>
          <w:sz w:val="24"/>
          <w:szCs w:val="24"/>
          <w:lang w:val="el-GR"/>
        </w:rPr>
        <w:t xml:space="preserve"> </w:t>
      </w:r>
      <w:r w:rsidR="00791805">
        <w:rPr>
          <w:rFonts w:cstheme="minorHAnsi"/>
          <w:sz w:val="24"/>
          <w:szCs w:val="24"/>
          <w:lang w:val="el-GR"/>
        </w:rPr>
        <w:lastRenderedPageBreak/>
        <w:t>Επιθεώρησης</w:t>
      </w:r>
      <w:r w:rsidR="00A5147D" w:rsidRPr="00791805">
        <w:rPr>
          <w:rFonts w:cstheme="minorHAnsi"/>
          <w:sz w:val="24"/>
          <w:szCs w:val="24"/>
          <w:lang w:val="el-GR"/>
        </w:rPr>
        <w:t xml:space="preserve">, </w:t>
      </w:r>
      <w:r w:rsidR="00791805">
        <w:rPr>
          <w:rFonts w:cstheme="minorHAnsi"/>
          <w:sz w:val="24"/>
          <w:szCs w:val="24"/>
          <w:lang w:val="el-GR"/>
        </w:rPr>
        <w:t xml:space="preserve">την Υπηρεσία Εσωτερικών Υποθέσεων της </w:t>
      </w:r>
      <w:r w:rsidR="009C4E34">
        <w:rPr>
          <w:rFonts w:cstheme="minorHAnsi"/>
          <w:sz w:val="24"/>
          <w:szCs w:val="24"/>
          <w:lang w:val="el-GR"/>
        </w:rPr>
        <w:t>Αστυνομία</w:t>
      </w:r>
      <w:r w:rsidR="00791805">
        <w:rPr>
          <w:rFonts w:cstheme="minorHAnsi"/>
          <w:sz w:val="24"/>
          <w:szCs w:val="24"/>
          <w:lang w:val="el-GR"/>
        </w:rPr>
        <w:t>ς</w:t>
      </w:r>
      <w:r w:rsidR="00A5147D" w:rsidRPr="00791805">
        <w:rPr>
          <w:rFonts w:cstheme="minorHAnsi"/>
          <w:sz w:val="24"/>
          <w:szCs w:val="24"/>
          <w:lang w:val="el-GR"/>
        </w:rPr>
        <w:t xml:space="preserve">, </w:t>
      </w:r>
      <w:r w:rsidR="00791805">
        <w:rPr>
          <w:rFonts w:cstheme="minorHAnsi"/>
          <w:sz w:val="24"/>
          <w:szCs w:val="24"/>
          <w:lang w:val="el-GR"/>
        </w:rPr>
        <w:t>την Αστυνομική Ακαδημία</w:t>
      </w:r>
      <w:r w:rsidR="00A5147D" w:rsidRPr="00791805">
        <w:rPr>
          <w:rFonts w:cstheme="minorHAnsi"/>
          <w:sz w:val="24"/>
          <w:szCs w:val="24"/>
          <w:lang w:val="el-GR"/>
        </w:rPr>
        <w:t xml:space="preserve">, </w:t>
      </w:r>
      <w:r w:rsidR="00973162">
        <w:rPr>
          <w:rFonts w:cstheme="minorHAnsi"/>
          <w:sz w:val="24"/>
          <w:szCs w:val="24"/>
          <w:lang w:val="el-GR"/>
        </w:rPr>
        <w:t xml:space="preserve">το Τμήμα Διαχείρισης και Ανθρωπίνου Δυναμικού της </w:t>
      </w:r>
      <w:r w:rsidR="009C4E34">
        <w:rPr>
          <w:rFonts w:cstheme="minorHAnsi"/>
          <w:sz w:val="24"/>
          <w:szCs w:val="24"/>
          <w:lang w:val="el-GR"/>
        </w:rPr>
        <w:t>Αστυνομία</w:t>
      </w:r>
      <w:r w:rsidR="00973162">
        <w:rPr>
          <w:rFonts w:cstheme="minorHAnsi"/>
          <w:sz w:val="24"/>
          <w:szCs w:val="24"/>
          <w:lang w:val="el-GR"/>
        </w:rPr>
        <w:t>ς</w:t>
      </w:r>
      <w:r w:rsidR="00A5147D" w:rsidRPr="00791805">
        <w:rPr>
          <w:rFonts w:cstheme="minorHAnsi"/>
          <w:sz w:val="24"/>
          <w:szCs w:val="24"/>
          <w:lang w:val="el-GR"/>
        </w:rPr>
        <w:t xml:space="preserve">.  </w:t>
      </w:r>
      <w:r w:rsidR="00973162">
        <w:rPr>
          <w:rFonts w:cstheme="minorHAnsi"/>
          <w:sz w:val="24"/>
          <w:szCs w:val="24"/>
          <w:lang w:val="el-GR"/>
        </w:rPr>
        <w:t>Η</w:t>
      </w:r>
      <w:r w:rsidR="00A5147D" w:rsidRPr="00973162">
        <w:rPr>
          <w:rFonts w:cstheme="minorHAnsi"/>
          <w:sz w:val="24"/>
          <w:szCs w:val="24"/>
          <w:lang w:val="el-GR"/>
        </w:rPr>
        <w:t xml:space="preserve"> </w:t>
      </w:r>
      <w:r w:rsidR="00A5147D" w:rsidRPr="004E251E">
        <w:rPr>
          <w:rFonts w:cstheme="minorHAnsi"/>
          <w:sz w:val="24"/>
          <w:szCs w:val="24"/>
        </w:rPr>
        <w:t>GET</w:t>
      </w:r>
      <w:r w:rsidR="00A5147D" w:rsidRPr="00973162">
        <w:rPr>
          <w:rFonts w:cstheme="minorHAnsi"/>
          <w:sz w:val="24"/>
          <w:szCs w:val="24"/>
          <w:lang w:val="el-GR"/>
        </w:rPr>
        <w:t xml:space="preserve"> </w:t>
      </w:r>
      <w:r w:rsidR="00973162">
        <w:rPr>
          <w:rFonts w:cstheme="minorHAnsi"/>
          <w:sz w:val="24"/>
          <w:szCs w:val="24"/>
          <w:lang w:val="el-GR"/>
        </w:rPr>
        <w:t>συναντήθηκε</w:t>
      </w:r>
      <w:r w:rsidR="00973162" w:rsidRPr="00973162">
        <w:rPr>
          <w:rFonts w:cstheme="minorHAnsi"/>
          <w:sz w:val="24"/>
          <w:szCs w:val="24"/>
          <w:lang w:val="el-GR"/>
        </w:rPr>
        <w:t xml:space="preserve"> </w:t>
      </w:r>
      <w:r w:rsidR="00973162">
        <w:rPr>
          <w:rFonts w:cstheme="minorHAnsi"/>
          <w:sz w:val="24"/>
          <w:szCs w:val="24"/>
          <w:lang w:val="el-GR"/>
        </w:rPr>
        <w:t>επίσης</w:t>
      </w:r>
      <w:r w:rsidR="00A5147D" w:rsidRPr="00973162">
        <w:rPr>
          <w:rFonts w:cstheme="minorHAnsi"/>
          <w:sz w:val="24"/>
          <w:szCs w:val="24"/>
          <w:lang w:val="el-GR"/>
        </w:rPr>
        <w:t xml:space="preserve"> </w:t>
      </w:r>
      <w:r w:rsidR="00973162">
        <w:rPr>
          <w:rFonts w:cstheme="minorHAnsi"/>
          <w:sz w:val="24"/>
          <w:szCs w:val="24"/>
          <w:lang w:val="el-GR"/>
        </w:rPr>
        <w:t>με</w:t>
      </w:r>
      <w:r w:rsidR="00973162" w:rsidRPr="00973162">
        <w:rPr>
          <w:rFonts w:cstheme="minorHAnsi"/>
          <w:sz w:val="24"/>
          <w:szCs w:val="24"/>
          <w:lang w:val="el-GR"/>
        </w:rPr>
        <w:t xml:space="preserve"> </w:t>
      </w:r>
      <w:r w:rsidR="00973162">
        <w:rPr>
          <w:rFonts w:cstheme="minorHAnsi"/>
          <w:sz w:val="24"/>
          <w:szCs w:val="24"/>
          <w:lang w:val="el-GR"/>
        </w:rPr>
        <w:t>την</w:t>
      </w:r>
      <w:r w:rsidR="00973162" w:rsidRPr="00973162">
        <w:rPr>
          <w:rFonts w:cstheme="minorHAnsi"/>
          <w:sz w:val="24"/>
          <w:szCs w:val="24"/>
          <w:lang w:val="el-GR"/>
        </w:rPr>
        <w:t xml:space="preserve"> </w:t>
      </w:r>
      <w:r w:rsidR="00973162">
        <w:rPr>
          <w:rFonts w:cstheme="minorHAnsi"/>
          <w:sz w:val="24"/>
          <w:szCs w:val="24"/>
          <w:lang w:val="el-GR"/>
        </w:rPr>
        <w:t>Αρχή</w:t>
      </w:r>
      <w:r w:rsidR="00973162" w:rsidRPr="00973162">
        <w:rPr>
          <w:rFonts w:cstheme="minorHAnsi"/>
          <w:sz w:val="24"/>
          <w:szCs w:val="24"/>
          <w:lang w:val="el-GR"/>
        </w:rPr>
        <w:t xml:space="preserve"> </w:t>
      </w:r>
      <w:r w:rsidR="00973162">
        <w:rPr>
          <w:rFonts w:cstheme="minorHAnsi"/>
          <w:sz w:val="24"/>
          <w:szCs w:val="24"/>
          <w:lang w:val="el-GR"/>
        </w:rPr>
        <w:t>Διερεύνησης</w:t>
      </w:r>
      <w:r w:rsidR="00973162" w:rsidRPr="00973162">
        <w:rPr>
          <w:rFonts w:cstheme="minorHAnsi"/>
          <w:sz w:val="24"/>
          <w:szCs w:val="24"/>
          <w:lang w:val="el-GR"/>
        </w:rPr>
        <w:t xml:space="preserve"> </w:t>
      </w:r>
      <w:r w:rsidR="00973162">
        <w:rPr>
          <w:rFonts w:cstheme="minorHAnsi"/>
          <w:sz w:val="24"/>
          <w:szCs w:val="24"/>
          <w:lang w:val="el-GR"/>
        </w:rPr>
        <w:t>Παραπόνων</w:t>
      </w:r>
      <w:r w:rsidR="00973162" w:rsidRPr="00973162">
        <w:rPr>
          <w:rFonts w:cstheme="minorHAnsi"/>
          <w:sz w:val="24"/>
          <w:szCs w:val="24"/>
          <w:lang w:val="el-GR"/>
        </w:rPr>
        <w:t xml:space="preserve"> </w:t>
      </w:r>
      <w:r w:rsidR="00973162">
        <w:rPr>
          <w:rFonts w:cstheme="minorHAnsi"/>
          <w:sz w:val="24"/>
          <w:szCs w:val="24"/>
          <w:lang w:val="el-GR"/>
        </w:rPr>
        <w:t>εναντίον</w:t>
      </w:r>
      <w:r w:rsidR="00973162" w:rsidRPr="00973162">
        <w:rPr>
          <w:rFonts w:cstheme="minorHAnsi"/>
          <w:sz w:val="24"/>
          <w:szCs w:val="24"/>
          <w:lang w:val="el-GR"/>
        </w:rPr>
        <w:t xml:space="preserve"> </w:t>
      </w:r>
      <w:r w:rsidR="00973162">
        <w:rPr>
          <w:rFonts w:cstheme="minorHAnsi"/>
          <w:sz w:val="24"/>
          <w:szCs w:val="24"/>
          <w:lang w:val="el-GR"/>
        </w:rPr>
        <w:t>της</w:t>
      </w:r>
      <w:r w:rsidR="00973162" w:rsidRPr="00973162">
        <w:rPr>
          <w:rFonts w:cstheme="minorHAnsi"/>
          <w:sz w:val="24"/>
          <w:szCs w:val="24"/>
          <w:lang w:val="el-GR"/>
        </w:rPr>
        <w:t xml:space="preserve"> </w:t>
      </w:r>
      <w:r w:rsidR="009C4E34">
        <w:rPr>
          <w:rFonts w:cstheme="minorHAnsi"/>
          <w:sz w:val="24"/>
          <w:szCs w:val="24"/>
          <w:lang w:val="el-GR"/>
        </w:rPr>
        <w:t>Αστυνομία</w:t>
      </w:r>
      <w:r w:rsidR="00973162">
        <w:rPr>
          <w:rFonts w:cstheme="minorHAnsi"/>
          <w:sz w:val="24"/>
          <w:szCs w:val="24"/>
          <w:lang w:val="el-GR"/>
        </w:rPr>
        <w:t>ς</w:t>
      </w:r>
      <w:r w:rsidR="00A5147D" w:rsidRPr="00973162">
        <w:rPr>
          <w:rFonts w:cstheme="minorHAnsi"/>
          <w:sz w:val="24"/>
          <w:szCs w:val="24"/>
          <w:lang w:val="el-GR"/>
        </w:rPr>
        <w:t xml:space="preserve">, </w:t>
      </w:r>
      <w:r w:rsidR="00973162">
        <w:rPr>
          <w:rFonts w:cstheme="minorHAnsi"/>
          <w:sz w:val="24"/>
          <w:szCs w:val="24"/>
          <w:lang w:val="el-GR"/>
        </w:rPr>
        <w:t xml:space="preserve">και με συνδέσμους/συντεχνίες της </w:t>
      </w:r>
      <w:r w:rsidR="009C4E34">
        <w:rPr>
          <w:rFonts w:cstheme="minorHAnsi"/>
          <w:sz w:val="24"/>
          <w:szCs w:val="24"/>
          <w:lang w:val="el-GR"/>
        </w:rPr>
        <w:t>Αστυνομία</w:t>
      </w:r>
      <w:r w:rsidR="00973162">
        <w:rPr>
          <w:rFonts w:cstheme="minorHAnsi"/>
          <w:sz w:val="24"/>
          <w:szCs w:val="24"/>
          <w:lang w:val="el-GR"/>
        </w:rPr>
        <w:t>ς</w:t>
      </w:r>
      <w:r w:rsidR="00A5147D" w:rsidRPr="00973162">
        <w:rPr>
          <w:rFonts w:cstheme="minorHAnsi"/>
          <w:sz w:val="24"/>
          <w:szCs w:val="24"/>
          <w:lang w:val="el-GR"/>
        </w:rPr>
        <w:t xml:space="preserve">. </w:t>
      </w:r>
      <w:r w:rsidR="00973162">
        <w:rPr>
          <w:rFonts w:cstheme="minorHAnsi"/>
          <w:sz w:val="24"/>
          <w:szCs w:val="24"/>
          <w:lang w:val="el-GR"/>
        </w:rPr>
        <w:t>Τέλος</w:t>
      </w:r>
      <w:r w:rsidR="00A5147D" w:rsidRPr="00973162">
        <w:rPr>
          <w:rFonts w:cstheme="minorHAnsi"/>
          <w:sz w:val="24"/>
          <w:szCs w:val="24"/>
          <w:lang w:val="el-GR"/>
        </w:rPr>
        <w:t xml:space="preserve">, </w:t>
      </w:r>
      <w:r w:rsidR="00973162">
        <w:rPr>
          <w:rFonts w:cstheme="minorHAnsi"/>
          <w:sz w:val="24"/>
          <w:szCs w:val="24"/>
          <w:lang w:val="el-GR"/>
        </w:rPr>
        <w:t>η</w:t>
      </w:r>
      <w:r w:rsidR="00A5147D" w:rsidRPr="00973162">
        <w:rPr>
          <w:rFonts w:cstheme="minorHAnsi"/>
          <w:sz w:val="24"/>
          <w:szCs w:val="24"/>
          <w:lang w:val="el-GR"/>
        </w:rPr>
        <w:t xml:space="preserve"> </w:t>
      </w:r>
      <w:r w:rsidR="00A5147D" w:rsidRPr="004E251E">
        <w:rPr>
          <w:rFonts w:cstheme="minorHAnsi"/>
          <w:sz w:val="24"/>
          <w:szCs w:val="24"/>
        </w:rPr>
        <w:t>GET</w:t>
      </w:r>
      <w:r w:rsidR="00A5147D" w:rsidRPr="00973162">
        <w:rPr>
          <w:rFonts w:cstheme="minorHAnsi"/>
          <w:sz w:val="24"/>
          <w:szCs w:val="24"/>
          <w:lang w:val="el-GR"/>
        </w:rPr>
        <w:t xml:space="preserve"> </w:t>
      </w:r>
      <w:r w:rsidR="00973162">
        <w:rPr>
          <w:rFonts w:cstheme="minorHAnsi"/>
          <w:sz w:val="24"/>
          <w:szCs w:val="24"/>
          <w:lang w:val="el-GR"/>
        </w:rPr>
        <w:t>συναντήθηκε</w:t>
      </w:r>
      <w:r w:rsidR="00973162" w:rsidRPr="00973162">
        <w:rPr>
          <w:rFonts w:cstheme="minorHAnsi"/>
          <w:sz w:val="24"/>
          <w:szCs w:val="24"/>
          <w:lang w:val="el-GR"/>
        </w:rPr>
        <w:t xml:space="preserve"> </w:t>
      </w:r>
      <w:r w:rsidR="00973162">
        <w:rPr>
          <w:rFonts w:cstheme="minorHAnsi"/>
          <w:sz w:val="24"/>
          <w:szCs w:val="24"/>
          <w:lang w:val="el-GR"/>
        </w:rPr>
        <w:t>με</w:t>
      </w:r>
      <w:r w:rsidR="00973162" w:rsidRPr="00973162">
        <w:rPr>
          <w:rFonts w:cstheme="minorHAnsi"/>
          <w:sz w:val="24"/>
          <w:szCs w:val="24"/>
          <w:lang w:val="el-GR"/>
        </w:rPr>
        <w:t xml:space="preserve"> </w:t>
      </w:r>
      <w:r w:rsidR="00973162">
        <w:rPr>
          <w:rFonts w:cstheme="minorHAnsi"/>
          <w:sz w:val="24"/>
          <w:szCs w:val="24"/>
          <w:lang w:val="el-GR"/>
        </w:rPr>
        <w:t>αντιπροσώπους</w:t>
      </w:r>
      <w:r w:rsidR="00973162" w:rsidRPr="00973162">
        <w:rPr>
          <w:rFonts w:cstheme="minorHAnsi"/>
          <w:sz w:val="24"/>
          <w:szCs w:val="24"/>
          <w:lang w:val="el-GR"/>
        </w:rPr>
        <w:t xml:space="preserve"> </w:t>
      </w:r>
      <w:r w:rsidR="00973162">
        <w:rPr>
          <w:rFonts w:cstheme="minorHAnsi"/>
          <w:sz w:val="24"/>
          <w:szCs w:val="24"/>
          <w:lang w:val="el-GR"/>
        </w:rPr>
        <w:t>των</w:t>
      </w:r>
      <w:r w:rsidR="00973162" w:rsidRPr="00973162">
        <w:rPr>
          <w:rFonts w:cstheme="minorHAnsi"/>
          <w:sz w:val="24"/>
          <w:szCs w:val="24"/>
          <w:lang w:val="el-GR"/>
        </w:rPr>
        <w:t xml:space="preserve"> </w:t>
      </w:r>
      <w:r w:rsidR="00973162">
        <w:rPr>
          <w:rFonts w:cstheme="minorHAnsi"/>
          <w:sz w:val="24"/>
          <w:szCs w:val="24"/>
          <w:lang w:val="el-GR"/>
        </w:rPr>
        <w:t>μέσων</w:t>
      </w:r>
      <w:r w:rsidR="00973162" w:rsidRPr="00973162">
        <w:rPr>
          <w:rFonts w:cstheme="minorHAnsi"/>
          <w:sz w:val="24"/>
          <w:szCs w:val="24"/>
          <w:lang w:val="el-GR"/>
        </w:rPr>
        <w:t xml:space="preserve"> </w:t>
      </w:r>
      <w:r w:rsidR="00973162">
        <w:rPr>
          <w:rFonts w:cstheme="minorHAnsi"/>
          <w:sz w:val="24"/>
          <w:szCs w:val="24"/>
          <w:lang w:val="el-GR"/>
        </w:rPr>
        <w:t>ενημέρωσης</w:t>
      </w:r>
      <w:r w:rsidR="00A5147D" w:rsidRPr="00973162">
        <w:rPr>
          <w:rFonts w:cstheme="minorHAnsi"/>
          <w:sz w:val="24"/>
          <w:szCs w:val="24"/>
          <w:lang w:val="el-GR"/>
        </w:rPr>
        <w:t xml:space="preserve"> </w:t>
      </w:r>
      <w:r w:rsidR="00973162">
        <w:rPr>
          <w:rFonts w:cstheme="minorHAnsi"/>
          <w:sz w:val="24"/>
          <w:szCs w:val="24"/>
          <w:lang w:val="el-GR"/>
        </w:rPr>
        <w:t>καθώς επίσης και με ΜΚΟ</w:t>
      </w:r>
      <w:r w:rsidR="00A5147D" w:rsidRPr="00973162">
        <w:rPr>
          <w:rFonts w:cstheme="minorHAnsi"/>
          <w:sz w:val="24"/>
          <w:szCs w:val="24"/>
          <w:lang w:val="el-GR"/>
        </w:rPr>
        <w:t xml:space="preserve">, </w:t>
      </w:r>
      <w:r w:rsidR="00973162">
        <w:rPr>
          <w:rFonts w:cstheme="minorHAnsi"/>
          <w:sz w:val="24"/>
          <w:szCs w:val="24"/>
          <w:lang w:val="el-GR"/>
        </w:rPr>
        <w:t>ιδιαίτερα</w:t>
      </w:r>
      <w:r w:rsidR="00A5147D" w:rsidRPr="00973162">
        <w:rPr>
          <w:rFonts w:cstheme="minorHAnsi"/>
          <w:sz w:val="24"/>
          <w:szCs w:val="24"/>
          <w:lang w:val="el-GR"/>
        </w:rPr>
        <w:t xml:space="preserve">, </w:t>
      </w:r>
      <w:r w:rsidR="00973162">
        <w:rPr>
          <w:rFonts w:cstheme="minorHAnsi"/>
          <w:sz w:val="24"/>
          <w:szCs w:val="24"/>
          <w:lang w:val="el-GR"/>
        </w:rPr>
        <w:t xml:space="preserve">την </w:t>
      </w:r>
      <w:r w:rsidR="00A5147D" w:rsidRPr="004E251E">
        <w:rPr>
          <w:rFonts w:cstheme="minorHAnsi"/>
          <w:sz w:val="24"/>
          <w:szCs w:val="24"/>
        </w:rPr>
        <w:t>Cyprus</w:t>
      </w:r>
      <w:r w:rsidR="00A5147D" w:rsidRPr="00973162">
        <w:rPr>
          <w:rFonts w:cstheme="minorHAnsi"/>
          <w:sz w:val="24"/>
          <w:szCs w:val="24"/>
          <w:lang w:val="el-GR"/>
        </w:rPr>
        <w:t xml:space="preserve"> </w:t>
      </w:r>
      <w:r w:rsidR="00A5147D" w:rsidRPr="004E251E">
        <w:rPr>
          <w:rFonts w:cstheme="minorHAnsi"/>
          <w:sz w:val="24"/>
          <w:szCs w:val="24"/>
        </w:rPr>
        <w:t>Integrity</w:t>
      </w:r>
      <w:r w:rsidR="00A5147D" w:rsidRPr="00973162">
        <w:rPr>
          <w:rFonts w:cstheme="minorHAnsi"/>
          <w:sz w:val="24"/>
          <w:szCs w:val="24"/>
          <w:lang w:val="el-GR"/>
        </w:rPr>
        <w:t xml:space="preserve"> </w:t>
      </w:r>
      <w:r w:rsidR="00A5147D" w:rsidRPr="004E251E">
        <w:rPr>
          <w:rFonts w:cstheme="minorHAnsi"/>
          <w:sz w:val="24"/>
          <w:szCs w:val="24"/>
        </w:rPr>
        <w:t>Forum</w:t>
      </w:r>
      <w:r w:rsidR="00973162">
        <w:rPr>
          <w:rFonts w:cstheme="minorHAnsi"/>
          <w:sz w:val="24"/>
          <w:szCs w:val="24"/>
          <w:lang w:val="el-GR"/>
        </w:rPr>
        <w:t xml:space="preserve"> (Φόρουμ Ακεραιότητας Κύπρου)</w:t>
      </w:r>
      <w:r w:rsidR="00A5147D" w:rsidRPr="00973162">
        <w:rPr>
          <w:rFonts w:cstheme="minorHAnsi"/>
          <w:sz w:val="24"/>
          <w:szCs w:val="24"/>
          <w:lang w:val="el-GR"/>
        </w:rPr>
        <w:t xml:space="preserve">, </w:t>
      </w:r>
      <w:r w:rsidR="00973162">
        <w:rPr>
          <w:rFonts w:cstheme="minorHAnsi"/>
          <w:sz w:val="24"/>
          <w:szCs w:val="24"/>
          <w:lang w:val="el-GR"/>
        </w:rPr>
        <w:t xml:space="preserve">την </w:t>
      </w:r>
      <w:r w:rsidR="00A5147D" w:rsidRPr="004E251E">
        <w:rPr>
          <w:rFonts w:cstheme="minorHAnsi"/>
          <w:sz w:val="24"/>
          <w:szCs w:val="24"/>
        </w:rPr>
        <w:t>Transparency</w:t>
      </w:r>
      <w:r w:rsidR="00A5147D" w:rsidRPr="00973162">
        <w:rPr>
          <w:rFonts w:cstheme="minorHAnsi"/>
          <w:sz w:val="24"/>
          <w:szCs w:val="24"/>
          <w:lang w:val="el-GR"/>
        </w:rPr>
        <w:t xml:space="preserve"> </w:t>
      </w:r>
      <w:r w:rsidR="00A5147D" w:rsidRPr="004E251E">
        <w:rPr>
          <w:rFonts w:cstheme="minorHAnsi"/>
          <w:sz w:val="24"/>
          <w:szCs w:val="24"/>
        </w:rPr>
        <w:t>Now</w:t>
      </w:r>
      <w:r w:rsidR="00973162">
        <w:rPr>
          <w:rFonts w:cstheme="minorHAnsi"/>
          <w:sz w:val="24"/>
          <w:szCs w:val="24"/>
          <w:lang w:val="el-GR"/>
        </w:rPr>
        <w:t xml:space="preserve"> (Διαφάνεια Τώρα)</w:t>
      </w:r>
      <w:r w:rsidR="00A5147D" w:rsidRPr="00973162">
        <w:rPr>
          <w:rFonts w:cstheme="minorHAnsi"/>
          <w:sz w:val="24"/>
          <w:szCs w:val="24"/>
          <w:lang w:val="el-GR"/>
        </w:rPr>
        <w:t xml:space="preserve"> </w:t>
      </w:r>
      <w:r w:rsidR="003F42CF">
        <w:rPr>
          <w:rFonts w:cstheme="minorHAnsi"/>
          <w:sz w:val="24"/>
          <w:szCs w:val="24"/>
          <w:lang w:val="el-GR"/>
        </w:rPr>
        <w:t xml:space="preserve">και </w:t>
      </w:r>
      <w:r w:rsidR="00973162">
        <w:rPr>
          <w:rFonts w:cstheme="minorHAnsi"/>
          <w:sz w:val="24"/>
          <w:szCs w:val="24"/>
          <w:lang w:val="el-GR"/>
        </w:rPr>
        <w:t xml:space="preserve">την </w:t>
      </w:r>
      <w:proofErr w:type="spellStart"/>
      <w:r w:rsidR="00A5147D" w:rsidRPr="004E251E">
        <w:rPr>
          <w:rFonts w:cstheme="minorHAnsi"/>
          <w:sz w:val="24"/>
          <w:szCs w:val="24"/>
        </w:rPr>
        <w:t>Fimonoi</w:t>
      </w:r>
      <w:proofErr w:type="spellEnd"/>
      <w:r w:rsidR="00A5147D" w:rsidRPr="00973162">
        <w:rPr>
          <w:rFonts w:cstheme="minorHAnsi"/>
          <w:sz w:val="24"/>
          <w:szCs w:val="24"/>
          <w:lang w:val="el-GR"/>
        </w:rPr>
        <w:t xml:space="preserve"> </w:t>
      </w:r>
      <w:r w:rsidR="00A5147D" w:rsidRPr="004E251E">
        <w:rPr>
          <w:rFonts w:cstheme="minorHAnsi"/>
          <w:sz w:val="24"/>
          <w:szCs w:val="24"/>
        </w:rPr>
        <w:t>Cyprus</w:t>
      </w:r>
      <w:r w:rsidR="00A5147D" w:rsidRPr="00973162">
        <w:rPr>
          <w:rFonts w:cstheme="minorHAnsi"/>
          <w:sz w:val="24"/>
          <w:szCs w:val="24"/>
          <w:lang w:val="el-GR"/>
        </w:rPr>
        <w:t xml:space="preserve">. </w:t>
      </w:r>
    </w:p>
    <w:p w14:paraId="242BBD33" w14:textId="77777777" w:rsidR="00A5147D" w:rsidRPr="00973162" w:rsidRDefault="00A5147D" w:rsidP="00A5147D">
      <w:pPr>
        <w:rPr>
          <w:rFonts w:ascii="Calibri" w:eastAsiaTheme="majorEastAsia" w:hAnsi="Calibri" w:cs="Calibri"/>
          <w:b/>
          <w:bCs/>
          <w:sz w:val="24"/>
          <w:szCs w:val="24"/>
          <w:lang w:val="el-GR"/>
        </w:rPr>
      </w:pPr>
      <w:bookmarkStart w:id="13" w:name="_Toc342554247"/>
      <w:bookmarkStart w:id="14" w:name="_Toc342640922"/>
      <w:bookmarkStart w:id="15" w:name="_Toc117264337"/>
      <w:r w:rsidRPr="00973162">
        <w:rPr>
          <w:rFonts w:ascii="Calibri" w:hAnsi="Calibri" w:cs="Calibri"/>
          <w:sz w:val="24"/>
          <w:szCs w:val="24"/>
          <w:lang w:val="el-GR"/>
        </w:rPr>
        <w:br w:type="page"/>
      </w:r>
    </w:p>
    <w:p w14:paraId="3D060BDE" w14:textId="4BE60F73" w:rsidR="00A5147D" w:rsidRPr="004E251E" w:rsidRDefault="00A5147D" w:rsidP="00A5147D">
      <w:pPr>
        <w:pStyle w:val="Heading1"/>
        <w:keepNext w:val="0"/>
        <w:keepLines w:val="0"/>
        <w:tabs>
          <w:tab w:val="left" w:pos="709"/>
        </w:tabs>
        <w:spacing w:before="0"/>
        <w:rPr>
          <w:rFonts w:ascii="Calibri" w:hAnsi="Calibri" w:cs="Calibri"/>
          <w:color w:val="auto"/>
          <w:sz w:val="24"/>
          <w:szCs w:val="24"/>
          <w:u w:val="single"/>
        </w:rPr>
      </w:pPr>
      <w:bookmarkStart w:id="16" w:name="_Toc136879336"/>
      <w:r w:rsidRPr="004E251E">
        <w:rPr>
          <w:rFonts w:ascii="Calibri" w:hAnsi="Calibri" w:cs="Calibri"/>
          <w:color w:val="auto"/>
          <w:sz w:val="24"/>
          <w:szCs w:val="24"/>
        </w:rPr>
        <w:lastRenderedPageBreak/>
        <w:t>III.</w:t>
      </w:r>
      <w:r w:rsidRPr="004E251E">
        <w:rPr>
          <w:rFonts w:ascii="Calibri" w:hAnsi="Calibri" w:cs="Calibri"/>
          <w:color w:val="auto"/>
          <w:sz w:val="24"/>
          <w:szCs w:val="24"/>
        </w:rPr>
        <w:tab/>
      </w:r>
      <w:r w:rsidR="00F00A90">
        <w:rPr>
          <w:rFonts w:ascii="Calibri" w:hAnsi="Calibri" w:cs="Calibri"/>
          <w:color w:val="auto"/>
          <w:sz w:val="24"/>
          <w:szCs w:val="24"/>
          <w:u w:val="single"/>
          <w:lang w:val="el-GR"/>
        </w:rPr>
        <w:t>ΠΛΑΙΣΙΟ</w:t>
      </w:r>
      <w:bookmarkEnd w:id="13"/>
      <w:bookmarkEnd w:id="14"/>
      <w:bookmarkEnd w:id="15"/>
      <w:bookmarkEnd w:id="16"/>
      <w:r w:rsidRPr="004E251E">
        <w:rPr>
          <w:rFonts w:ascii="Calibri" w:hAnsi="Calibri" w:cs="Calibri"/>
          <w:color w:val="auto"/>
          <w:sz w:val="24"/>
          <w:szCs w:val="24"/>
          <w:u w:val="single"/>
        </w:rPr>
        <w:t xml:space="preserve"> </w:t>
      </w:r>
    </w:p>
    <w:p w14:paraId="2C022249" w14:textId="77777777" w:rsidR="00A5147D" w:rsidRPr="004E251E" w:rsidRDefault="00A5147D" w:rsidP="00A5147D"/>
    <w:p w14:paraId="68EA0DCE" w14:textId="3D265A1C" w:rsidR="00A5147D" w:rsidRPr="00F00A90" w:rsidRDefault="00F00A90"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Η</w:t>
      </w:r>
      <w:r w:rsidRPr="00F00A90">
        <w:rPr>
          <w:rFonts w:cstheme="minorHAnsi"/>
          <w:sz w:val="24"/>
          <w:szCs w:val="24"/>
          <w:lang w:val="el-GR"/>
        </w:rPr>
        <w:t xml:space="preserve"> </w:t>
      </w:r>
      <w:r>
        <w:rPr>
          <w:rFonts w:cstheme="minorHAnsi"/>
          <w:sz w:val="24"/>
          <w:szCs w:val="24"/>
          <w:lang w:val="el-GR"/>
        </w:rPr>
        <w:t>Κύπρος</w:t>
      </w:r>
      <w:r w:rsidRPr="00F00A90">
        <w:rPr>
          <w:rFonts w:cstheme="minorHAnsi"/>
          <w:sz w:val="24"/>
          <w:szCs w:val="24"/>
          <w:lang w:val="el-GR"/>
        </w:rPr>
        <w:t xml:space="preserve"> </w:t>
      </w:r>
      <w:r>
        <w:rPr>
          <w:rFonts w:cstheme="minorHAnsi"/>
          <w:sz w:val="24"/>
          <w:szCs w:val="24"/>
          <w:lang w:val="el-GR"/>
        </w:rPr>
        <w:t>είναι</w:t>
      </w:r>
      <w:r w:rsidRPr="00F00A90">
        <w:rPr>
          <w:rFonts w:cstheme="minorHAnsi"/>
          <w:sz w:val="24"/>
          <w:szCs w:val="24"/>
          <w:lang w:val="el-GR"/>
        </w:rPr>
        <w:t xml:space="preserve"> </w:t>
      </w:r>
      <w:r>
        <w:rPr>
          <w:rFonts w:cstheme="minorHAnsi"/>
          <w:sz w:val="24"/>
          <w:szCs w:val="24"/>
          <w:lang w:val="el-GR"/>
        </w:rPr>
        <w:t>ένα</w:t>
      </w:r>
      <w:r w:rsidRPr="00F00A90">
        <w:rPr>
          <w:rFonts w:cstheme="minorHAnsi"/>
          <w:sz w:val="24"/>
          <w:szCs w:val="24"/>
          <w:lang w:val="el-GR"/>
        </w:rPr>
        <w:t xml:space="preserve"> </w:t>
      </w:r>
      <w:r>
        <w:rPr>
          <w:rFonts w:cstheme="minorHAnsi"/>
          <w:sz w:val="24"/>
          <w:szCs w:val="24"/>
          <w:lang w:val="el-GR"/>
        </w:rPr>
        <w:t>από</w:t>
      </w:r>
      <w:r w:rsidRPr="00F00A90">
        <w:rPr>
          <w:rFonts w:cstheme="minorHAnsi"/>
          <w:sz w:val="24"/>
          <w:szCs w:val="24"/>
          <w:lang w:val="el-GR"/>
        </w:rPr>
        <w:t xml:space="preserve"> </w:t>
      </w:r>
      <w:r>
        <w:rPr>
          <w:rFonts w:cstheme="minorHAnsi"/>
          <w:sz w:val="24"/>
          <w:szCs w:val="24"/>
          <w:lang w:val="el-GR"/>
        </w:rPr>
        <w:t>τα</w:t>
      </w:r>
      <w:r w:rsidRPr="00F00A90">
        <w:rPr>
          <w:rFonts w:cstheme="minorHAnsi"/>
          <w:sz w:val="24"/>
          <w:szCs w:val="24"/>
          <w:lang w:val="el-GR"/>
        </w:rPr>
        <w:t xml:space="preserve"> </w:t>
      </w:r>
      <w:r>
        <w:rPr>
          <w:rFonts w:cstheme="minorHAnsi"/>
          <w:sz w:val="24"/>
          <w:szCs w:val="24"/>
          <w:lang w:val="el-GR"/>
        </w:rPr>
        <w:t>ιδρυτικά</w:t>
      </w:r>
      <w:r w:rsidRPr="00F00A90">
        <w:rPr>
          <w:rFonts w:cstheme="minorHAnsi"/>
          <w:sz w:val="24"/>
          <w:szCs w:val="24"/>
          <w:lang w:val="el-GR"/>
        </w:rPr>
        <w:t xml:space="preserve"> </w:t>
      </w:r>
      <w:r>
        <w:rPr>
          <w:rFonts w:cstheme="minorHAnsi"/>
          <w:sz w:val="24"/>
          <w:szCs w:val="24"/>
          <w:lang w:val="el-GR"/>
        </w:rPr>
        <w:t>μέλη της</w:t>
      </w:r>
      <w:r w:rsidR="00A5147D" w:rsidRPr="00F00A90">
        <w:rPr>
          <w:rFonts w:cstheme="minorHAnsi"/>
          <w:sz w:val="24"/>
          <w:szCs w:val="24"/>
          <w:lang w:val="el-GR"/>
        </w:rPr>
        <w:t xml:space="preserve"> </w:t>
      </w:r>
      <w:r w:rsidR="00A5147D" w:rsidRPr="004E251E">
        <w:rPr>
          <w:rFonts w:cstheme="minorHAnsi"/>
          <w:sz w:val="24"/>
          <w:szCs w:val="24"/>
        </w:rPr>
        <w:t>GRECO</w:t>
      </w:r>
      <w:r w:rsidR="00A5147D" w:rsidRPr="00F00A90">
        <w:rPr>
          <w:rFonts w:cstheme="minorHAnsi"/>
          <w:sz w:val="24"/>
          <w:szCs w:val="24"/>
          <w:lang w:val="el-GR"/>
        </w:rPr>
        <w:t xml:space="preserve">, </w:t>
      </w:r>
      <w:r>
        <w:rPr>
          <w:rFonts w:cstheme="minorHAnsi"/>
          <w:sz w:val="24"/>
          <w:szCs w:val="24"/>
          <w:lang w:val="el-GR"/>
        </w:rPr>
        <w:t xml:space="preserve">όντας μέλος από την </w:t>
      </w:r>
      <w:r w:rsidR="00A5147D" w:rsidRPr="00F00A90">
        <w:rPr>
          <w:rFonts w:cstheme="minorHAnsi"/>
          <w:sz w:val="24"/>
          <w:szCs w:val="24"/>
          <w:lang w:val="el-GR"/>
        </w:rPr>
        <w:t>1</w:t>
      </w:r>
      <w:r w:rsidRPr="00F00A90">
        <w:rPr>
          <w:rFonts w:cstheme="minorHAnsi"/>
          <w:sz w:val="24"/>
          <w:szCs w:val="24"/>
          <w:vertAlign w:val="superscript"/>
          <w:lang w:val="el-GR"/>
        </w:rPr>
        <w:t>η</w:t>
      </w:r>
      <w:r>
        <w:rPr>
          <w:rFonts w:cstheme="minorHAnsi"/>
          <w:sz w:val="24"/>
          <w:szCs w:val="24"/>
          <w:lang w:val="el-GR"/>
        </w:rPr>
        <w:t xml:space="preserve"> </w:t>
      </w:r>
      <w:r w:rsidR="00A5147D" w:rsidRPr="004E251E">
        <w:rPr>
          <w:rFonts w:cstheme="minorHAnsi"/>
          <w:sz w:val="24"/>
          <w:szCs w:val="24"/>
        </w:rPr>
        <w:t>M</w:t>
      </w:r>
      <w:proofErr w:type="spellStart"/>
      <w:r>
        <w:rPr>
          <w:rFonts w:cstheme="minorHAnsi"/>
          <w:sz w:val="24"/>
          <w:szCs w:val="24"/>
          <w:lang w:val="el-GR"/>
        </w:rPr>
        <w:t>αΐου</w:t>
      </w:r>
      <w:proofErr w:type="spellEnd"/>
      <w:r w:rsidR="00A5147D" w:rsidRPr="004E251E">
        <w:rPr>
          <w:rFonts w:cstheme="minorHAnsi"/>
          <w:sz w:val="24"/>
          <w:szCs w:val="24"/>
        </w:rPr>
        <w:t> </w:t>
      </w:r>
      <w:r w:rsidR="00A5147D" w:rsidRPr="00F00A90">
        <w:rPr>
          <w:rFonts w:cstheme="minorHAnsi"/>
          <w:sz w:val="24"/>
          <w:szCs w:val="24"/>
          <w:lang w:val="el-GR"/>
        </w:rPr>
        <w:t xml:space="preserve">1999. </w:t>
      </w:r>
      <w:r>
        <w:rPr>
          <w:rFonts w:cstheme="minorHAnsi"/>
          <w:sz w:val="24"/>
          <w:szCs w:val="24"/>
          <w:lang w:val="el-GR"/>
        </w:rPr>
        <w:t>Από</w:t>
      </w:r>
      <w:r w:rsidRPr="00F00A90">
        <w:rPr>
          <w:rFonts w:cstheme="minorHAnsi"/>
          <w:sz w:val="24"/>
          <w:szCs w:val="24"/>
          <w:lang w:val="el-GR"/>
        </w:rPr>
        <w:t xml:space="preserve"> </w:t>
      </w:r>
      <w:r>
        <w:rPr>
          <w:rFonts w:cstheme="minorHAnsi"/>
          <w:sz w:val="24"/>
          <w:szCs w:val="24"/>
          <w:lang w:val="el-GR"/>
        </w:rPr>
        <w:t>τότε</w:t>
      </w:r>
      <w:r w:rsidR="00A5147D" w:rsidRPr="00F00A90">
        <w:rPr>
          <w:rFonts w:cstheme="minorHAnsi"/>
          <w:sz w:val="24"/>
          <w:szCs w:val="24"/>
          <w:lang w:val="el-GR"/>
        </w:rPr>
        <w:t xml:space="preserve">, </w:t>
      </w:r>
      <w:r>
        <w:rPr>
          <w:rFonts w:cstheme="minorHAnsi"/>
          <w:sz w:val="24"/>
          <w:szCs w:val="24"/>
          <w:lang w:val="el-GR"/>
        </w:rPr>
        <w:t>ήταν</w:t>
      </w:r>
      <w:r w:rsidRPr="00F00A90">
        <w:rPr>
          <w:rFonts w:cstheme="minorHAnsi"/>
          <w:sz w:val="24"/>
          <w:szCs w:val="24"/>
          <w:lang w:val="el-GR"/>
        </w:rPr>
        <w:t xml:space="preserve"> </w:t>
      </w:r>
      <w:r>
        <w:rPr>
          <w:rFonts w:cstheme="minorHAnsi"/>
          <w:sz w:val="24"/>
          <w:szCs w:val="24"/>
          <w:lang w:val="el-GR"/>
        </w:rPr>
        <w:t>αντικείμενο</w:t>
      </w:r>
      <w:r w:rsidRPr="00F00A90">
        <w:rPr>
          <w:rFonts w:cstheme="minorHAnsi"/>
          <w:sz w:val="24"/>
          <w:szCs w:val="24"/>
          <w:lang w:val="el-GR"/>
        </w:rPr>
        <w:t xml:space="preserve"> </w:t>
      </w:r>
      <w:r>
        <w:rPr>
          <w:rFonts w:cstheme="minorHAnsi"/>
          <w:sz w:val="24"/>
          <w:szCs w:val="24"/>
          <w:lang w:val="el-GR"/>
        </w:rPr>
        <w:t>τεσσάρων</w:t>
      </w:r>
      <w:r w:rsidRPr="00F00A90">
        <w:rPr>
          <w:rFonts w:cstheme="minorHAnsi"/>
          <w:sz w:val="24"/>
          <w:szCs w:val="24"/>
          <w:lang w:val="el-GR"/>
        </w:rPr>
        <w:t xml:space="preserve"> </w:t>
      </w:r>
      <w:r>
        <w:rPr>
          <w:rFonts w:cstheme="minorHAnsi"/>
          <w:sz w:val="24"/>
          <w:szCs w:val="24"/>
          <w:lang w:val="el-GR"/>
        </w:rPr>
        <w:t>γύρων</w:t>
      </w:r>
      <w:r w:rsidRPr="00F00A90">
        <w:rPr>
          <w:rFonts w:cstheme="minorHAnsi"/>
          <w:sz w:val="24"/>
          <w:szCs w:val="24"/>
          <w:lang w:val="el-GR"/>
        </w:rPr>
        <w:t xml:space="preserve"> </w:t>
      </w:r>
      <w:r>
        <w:rPr>
          <w:rFonts w:cstheme="minorHAnsi"/>
          <w:sz w:val="24"/>
          <w:szCs w:val="24"/>
          <w:lang w:val="el-GR"/>
        </w:rPr>
        <w:t>αξιολόγησης</w:t>
      </w:r>
      <w:r w:rsidR="00873D17">
        <w:rPr>
          <w:rFonts w:cstheme="minorHAnsi"/>
          <w:sz w:val="24"/>
          <w:szCs w:val="24"/>
          <w:lang w:val="el-GR"/>
        </w:rPr>
        <w:t>,</w:t>
      </w:r>
      <w:r w:rsidR="00A5147D" w:rsidRPr="00F00A90">
        <w:rPr>
          <w:rFonts w:cstheme="minorHAnsi"/>
          <w:sz w:val="24"/>
          <w:szCs w:val="24"/>
          <w:lang w:val="el-GR"/>
        </w:rPr>
        <w:t xml:space="preserve"> </w:t>
      </w:r>
      <w:r>
        <w:rPr>
          <w:rFonts w:cstheme="minorHAnsi"/>
          <w:sz w:val="24"/>
          <w:szCs w:val="24"/>
          <w:lang w:val="el-GR"/>
        </w:rPr>
        <w:t>εστιάζοντας</w:t>
      </w:r>
      <w:r w:rsidRPr="00F00A90">
        <w:rPr>
          <w:rFonts w:cstheme="minorHAnsi"/>
          <w:sz w:val="24"/>
          <w:szCs w:val="24"/>
          <w:lang w:val="el-GR"/>
        </w:rPr>
        <w:t xml:space="preserve"> </w:t>
      </w:r>
      <w:r>
        <w:rPr>
          <w:rFonts w:cstheme="minorHAnsi"/>
          <w:sz w:val="24"/>
          <w:szCs w:val="24"/>
          <w:lang w:val="el-GR"/>
        </w:rPr>
        <w:t>πάνω</w:t>
      </w:r>
      <w:r w:rsidRPr="00F00A90">
        <w:rPr>
          <w:rFonts w:cstheme="minorHAnsi"/>
          <w:sz w:val="24"/>
          <w:szCs w:val="24"/>
          <w:lang w:val="el-GR"/>
        </w:rPr>
        <w:t xml:space="preserve"> </w:t>
      </w:r>
      <w:r>
        <w:rPr>
          <w:rFonts w:cstheme="minorHAnsi"/>
          <w:sz w:val="24"/>
          <w:szCs w:val="24"/>
          <w:lang w:val="el-GR"/>
        </w:rPr>
        <w:t>σε</w:t>
      </w:r>
      <w:r w:rsidRPr="00F00A90">
        <w:rPr>
          <w:rFonts w:cstheme="minorHAnsi"/>
          <w:sz w:val="24"/>
          <w:szCs w:val="24"/>
          <w:lang w:val="el-GR"/>
        </w:rPr>
        <w:t xml:space="preserve"> </w:t>
      </w:r>
      <w:r>
        <w:rPr>
          <w:rFonts w:cstheme="minorHAnsi"/>
          <w:sz w:val="24"/>
          <w:szCs w:val="24"/>
          <w:lang w:val="el-GR"/>
        </w:rPr>
        <w:t>διάφορα</w:t>
      </w:r>
      <w:r w:rsidRPr="00F00A90">
        <w:rPr>
          <w:rFonts w:cstheme="minorHAnsi"/>
          <w:sz w:val="24"/>
          <w:szCs w:val="24"/>
          <w:lang w:val="el-GR"/>
        </w:rPr>
        <w:t xml:space="preserve"> </w:t>
      </w:r>
      <w:r>
        <w:rPr>
          <w:rFonts w:cstheme="minorHAnsi"/>
          <w:sz w:val="24"/>
          <w:szCs w:val="24"/>
          <w:lang w:val="el-GR"/>
        </w:rPr>
        <w:t>θέματα</w:t>
      </w:r>
      <w:r w:rsidR="00A5147D" w:rsidRPr="00F00A90">
        <w:rPr>
          <w:rFonts w:cstheme="minorHAnsi"/>
          <w:sz w:val="24"/>
          <w:szCs w:val="24"/>
          <w:lang w:val="el-GR"/>
        </w:rPr>
        <w:t xml:space="preserve"> </w:t>
      </w:r>
      <w:r>
        <w:rPr>
          <w:rFonts w:cstheme="minorHAnsi"/>
          <w:sz w:val="24"/>
          <w:szCs w:val="24"/>
          <w:lang w:val="el-GR"/>
        </w:rPr>
        <w:t>που συνδέονται με την πρόληψη και την καταπολέμηση της διαφθοράς</w:t>
      </w:r>
      <w:r w:rsidR="00A5147D" w:rsidRPr="00F00A90">
        <w:rPr>
          <w:rFonts w:cstheme="minorHAnsi"/>
          <w:sz w:val="24"/>
          <w:szCs w:val="24"/>
          <w:lang w:val="el-GR"/>
        </w:rPr>
        <w:t>.</w:t>
      </w:r>
      <w:r w:rsidR="00A5147D" w:rsidRPr="004E251E">
        <w:rPr>
          <w:rStyle w:val="FootnoteReference"/>
          <w:rFonts w:cstheme="minorHAnsi"/>
          <w:sz w:val="24"/>
          <w:szCs w:val="24"/>
        </w:rPr>
        <w:footnoteReference w:id="4"/>
      </w:r>
      <w:r w:rsidR="00A5147D" w:rsidRPr="00F00A90">
        <w:rPr>
          <w:rFonts w:cstheme="minorHAnsi"/>
          <w:sz w:val="24"/>
          <w:szCs w:val="24"/>
          <w:lang w:val="el-GR"/>
        </w:rPr>
        <w:t xml:space="preserve"> </w:t>
      </w:r>
      <w:r>
        <w:rPr>
          <w:rFonts w:cstheme="minorHAnsi"/>
          <w:sz w:val="24"/>
          <w:szCs w:val="24"/>
          <w:lang w:val="el-GR"/>
        </w:rPr>
        <w:t>Συνοπτικά</w:t>
      </w:r>
      <w:r w:rsidR="00A5147D" w:rsidRPr="00F00A90">
        <w:rPr>
          <w:rFonts w:cstheme="minorHAnsi"/>
          <w:sz w:val="24"/>
          <w:szCs w:val="24"/>
          <w:lang w:val="el-GR"/>
        </w:rPr>
        <w:t xml:space="preserve">, 80% </w:t>
      </w:r>
      <w:r>
        <w:rPr>
          <w:rFonts w:cstheme="minorHAnsi"/>
          <w:sz w:val="24"/>
          <w:szCs w:val="24"/>
          <w:lang w:val="el-GR"/>
        </w:rPr>
        <w:t>των</w:t>
      </w:r>
      <w:r w:rsidRPr="00F00A90">
        <w:rPr>
          <w:rFonts w:cstheme="minorHAnsi"/>
          <w:sz w:val="24"/>
          <w:szCs w:val="24"/>
          <w:lang w:val="el-GR"/>
        </w:rPr>
        <w:t xml:space="preserve"> </w:t>
      </w:r>
      <w:r>
        <w:rPr>
          <w:rFonts w:cstheme="minorHAnsi"/>
          <w:sz w:val="24"/>
          <w:szCs w:val="24"/>
          <w:lang w:val="el-GR"/>
        </w:rPr>
        <w:t>συστάσεων</w:t>
      </w:r>
      <w:r w:rsidRPr="00F00A90">
        <w:rPr>
          <w:rFonts w:cstheme="minorHAnsi"/>
          <w:sz w:val="24"/>
          <w:szCs w:val="24"/>
          <w:lang w:val="el-GR"/>
        </w:rPr>
        <w:t xml:space="preserve"> </w:t>
      </w:r>
      <w:r>
        <w:rPr>
          <w:rFonts w:cstheme="minorHAnsi"/>
          <w:sz w:val="24"/>
          <w:szCs w:val="24"/>
          <w:lang w:val="el-GR"/>
        </w:rPr>
        <w:t>εφαρμόσθηκαν</w:t>
      </w:r>
      <w:r w:rsidRPr="00F00A90">
        <w:rPr>
          <w:rFonts w:cstheme="minorHAnsi"/>
          <w:sz w:val="24"/>
          <w:szCs w:val="24"/>
          <w:lang w:val="el-GR"/>
        </w:rPr>
        <w:t xml:space="preserve"> </w:t>
      </w:r>
      <w:r>
        <w:rPr>
          <w:rFonts w:cstheme="minorHAnsi"/>
          <w:sz w:val="24"/>
          <w:szCs w:val="24"/>
          <w:lang w:val="el-GR"/>
        </w:rPr>
        <w:t>ικανοποιητικά</w:t>
      </w:r>
      <w:r w:rsidRPr="00F00A90">
        <w:rPr>
          <w:rFonts w:cstheme="minorHAnsi"/>
          <w:sz w:val="24"/>
          <w:szCs w:val="24"/>
          <w:lang w:val="el-GR"/>
        </w:rPr>
        <w:t xml:space="preserve"> </w:t>
      </w:r>
      <w:r>
        <w:rPr>
          <w:rFonts w:cstheme="minorHAnsi"/>
          <w:sz w:val="24"/>
          <w:szCs w:val="24"/>
          <w:lang w:val="el-GR"/>
        </w:rPr>
        <w:t>στον</w:t>
      </w:r>
      <w:r w:rsidRPr="00F00A90">
        <w:rPr>
          <w:rFonts w:cstheme="minorHAnsi"/>
          <w:sz w:val="24"/>
          <w:szCs w:val="24"/>
          <w:lang w:val="el-GR"/>
        </w:rPr>
        <w:t xml:space="preserve"> </w:t>
      </w:r>
      <w:r>
        <w:rPr>
          <w:rFonts w:cstheme="minorHAnsi"/>
          <w:sz w:val="24"/>
          <w:szCs w:val="24"/>
          <w:lang w:val="el-GR"/>
        </w:rPr>
        <w:t>Πρώτο</w:t>
      </w:r>
      <w:r w:rsidRPr="00F00A90">
        <w:rPr>
          <w:rFonts w:cstheme="minorHAnsi"/>
          <w:sz w:val="24"/>
          <w:szCs w:val="24"/>
          <w:lang w:val="el-GR"/>
        </w:rPr>
        <w:t xml:space="preserve"> </w:t>
      </w:r>
      <w:r>
        <w:rPr>
          <w:rFonts w:cstheme="minorHAnsi"/>
          <w:sz w:val="24"/>
          <w:szCs w:val="24"/>
          <w:lang w:val="el-GR"/>
        </w:rPr>
        <w:t>Γύρο</w:t>
      </w:r>
      <w:r w:rsidRPr="00F00A90">
        <w:rPr>
          <w:rFonts w:cstheme="minorHAnsi"/>
          <w:sz w:val="24"/>
          <w:szCs w:val="24"/>
          <w:lang w:val="el-GR"/>
        </w:rPr>
        <w:t xml:space="preserve"> </w:t>
      </w:r>
      <w:r>
        <w:rPr>
          <w:rFonts w:cstheme="minorHAnsi"/>
          <w:sz w:val="24"/>
          <w:szCs w:val="24"/>
          <w:lang w:val="el-GR"/>
        </w:rPr>
        <w:t>Αξιολόγησης</w:t>
      </w:r>
      <w:r w:rsidR="00A5147D" w:rsidRPr="00F00A90">
        <w:rPr>
          <w:rFonts w:cstheme="minorHAnsi"/>
          <w:sz w:val="24"/>
          <w:szCs w:val="24"/>
          <w:lang w:val="el-GR"/>
        </w:rPr>
        <w:t xml:space="preserve">, 60% </w:t>
      </w:r>
      <w:r>
        <w:rPr>
          <w:rFonts w:cstheme="minorHAnsi"/>
          <w:sz w:val="24"/>
          <w:szCs w:val="24"/>
          <w:lang w:val="el-GR"/>
        </w:rPr>
        <w:t>στον Δεύτερο Γύρο Αξιολόγησης</w:t>
      </w:r>
      <w:r w:rsidR="00A5147D" w:rsidRPr="00F00A90">
        <w:rPr>
          <w:rFonts w:cstheme="minorHAnsi"/>
          <w:sz w:val="24"/>
          <w:szCs w:val="24"/>
          <w:lang w:val="el-GR"/>
        </w:rPr>
        <w:t xml:space="preserve">, </w:t>
      </w:r>
      <w:r>
        <w:rPr>
          <w:rFonts w:cstheme="minorHAnsi"/>
          <w:sz w:val="24"/>
          <w:szCs w:val="24"/>
          <w:lang w:val="el-GR"/>
        </w:rPr>
        <w:t>και</w:t>
      </w:r>
      <w:r w:rsidR="00A5147D" w:rsidRPr="00F00A90">
        <w:rPr>
          <w:rFonts w:cstheme="minorHAnsi"/>
          <w:sz w:val="24"/>
          <w:szCs w:val="24"/>
          <w:lang w:val="el-GR"/>
        </w:rPr>
        <w:t xml:space="preserve"> 87% </w:t>
      </w:r>
      <w:r>
        <w:rPr>
          <w:rFonts w:cstheme="minorHAnsi"/>
          <w:sz w:val="24"/>
          <w:szCs w:val="24"/>
          <w:lang w:val="el-GR"/>
        </w:rPr>
        <w:t>στον Τρίτο Γύρο Αξιολόγησης</w:t>
      </w:r>
      <w:r w:rsidR="00A5147D" w:rsidRPr="00F00A90">
        <w:rPr>
          <w:rFonts w:cstheme="minorHAnsi"/>
          <w:sz w:val="24"/>
          <w:szCs w:val="24"/>
          <w:lang w:val="el-GR"/>
        </w:rPr>
        <w:t xml:space="preserve">. </w:t>
      </w:r>
      <w:r>
        <w:rPr>
          <w:rFonts w:cstheme="minorHAnsi"/>
          <w:sz w:val="24"/>
          <w:szCs w:val="24"/>
          <w:lang w:val="el-GR"/>
        </w:rPr>
        <w:t>Στον</w:t>
      </w:r>
      <w:r w:rsidRPr="00F00A90">
        <w:rPr>
          <w:rFonts w:cstheme="minorHAnsi"/>
          <w:sz w:val="24"/>
          <w:szCs w:val="24"/>
          <w:lang w:val="el-GR"/>
        </w:rPr>
        <w:t xml:space="preserve"> </w:t>
      </w:r>
      <w:r>
        <w:rPr>
          <w:rFonts w:cstheme="minorHAnsi"/>
          <w:sz w:val="24"/>
          <w:szCs w:val="24"/>
          <w:lang w:val="el-GR"/>
        </w:rPr>
        <w:t>Τέταρτο</w:t>
      </w:r>
      <w:r w:rsidRPr="00F00A90">
        <w:rPr>
          <w:rFonts w:cstheme="minorHAnsi"/>
          <w:sz w:val="24"/>
          <w:szCs w:val="24"/>
          <w:lang w:val="el-GR"/>
        </w:rPr>
        <w:t xml:space="preserve"> </w:t>
      </w:r>
      <w:r>
        <w:rPr>
          <w:rFonts w:cstheme="minorHAnsi"/>
          <w:sz w:val="24"/>
          <w:szCs w:val="24"/>
          <w:lang w:val="el-GR"/>
        </w:rPr>
        <w:t>Γύρο</w:t>
      </w:r>
      <w:r w:rsidRPr="00F00A90">
        <w:rPr>
          <w:rFonts w:cstheme="minorHAnsi"/>
          <w:sz w:val="24"/>
          <w:szCs w:val="24"/>
          <w:lang w:val="el-GR"/>
        </w:rPr>
        <w:t xml:space="preserve"> </w:t>
      </w:r>
      <w:r>
        <w:rPr>
          <w:rFonts w:cstheme="minorHAnsi"/>
          <w:sz w:val="24"/>
          <w:szCs w:val="24"/>
          <w:lang w:val="el-GR"/>
        </w:rPr>
        <w:t>Αξιολόγησης</w:t>
      </w:r>
      <w:r w:rsidR="00A5147D" w:rsidRPr="00F00A90">
        <w:rPr>
          <w:rFonts w:cstheme="minorHAnsi"/>
          <w:sz w:val="24"/>
          <w:szCs w:val="24"/>
          <w:lang w:val="el-GR"/>
        </w:rPr>
        <w:t xml:space="preserve">, </w:t>
      </w:r>
      <w:r>
        <w:rPr>
          <w:rFonts w:cstheme="minorHAnsi"/>
          <w:sz w:val="24"/>
          <w:szCs w:val="24"/>
          <w:lang w:val="el-GR"/>
        </w:rPr>
        <w:t>που</w:t>
      </w:r>
      <w:r w:rsidRPr="00F00A90">
        <w:rPr>
          <w:rFonts w:cstheme="minorHAnsi"/>
          <w:sz w:val="24"/>
          <w:szCs w:val="24"/>
          <w:lang w:val="el-GR"/>
        </w:rPr>
        <w:t xml:space="preserve"> </w:t>
      </w:r>
      <w:r>
        <w:rPr>
          <w:rFonts w:cstheme="minorHAnsi"/>
          <w:sz w:val="24"/>
          <w:szCs w:val="24"/>
          <w:lang w:val="el-GR"/>
        </w:rPr>
        <w:t>ασχολείτο</w:t>
      </w:r>
      <w:r w:rsidRPr="00F00A90">
        <w:rPr>
          <w:rFonts w:cstheme="minorHAnsi"/>
          <w:sz w:val="24"/>
          <w:szCs w:val="24"/>
          <w:lang w:val="el-GR"/>
        </w:rPr>
        <w:t xml:space="preserve"> </w:t>
      </w:r>
      <w:r>
        <w:rPr>
          <w:rFonts w:cstheme="minorHAnsi"/>
          <w:sz w:val="24"/>
          <w:szCs w:val="24"/>
          <w:lang w:val="el-GR"/>
        </w:rPr>
        <w:t>με</w:t>
      </w:r>
      <w:r w:rsidRPr="00F00A90">
        <w:rPr>
          <w:rFonts w:cstheme="minorHAnsi"/>
          <w:sz w:val="24"/>
          <w:szCs w:val="24"/>
          <w:lang w:val="el-GR"/>
        </w:rPr>
        <w:t xml:space="preserve"> </w:t>
      </w:r>
      <w:r>
        <w:rPr>
          <w:rFonts w:cstheme="minorHAnsi"/>
          <w:sz w:val="24"/>
          <w:szCs w:val="24"/>
          <w:lang w:val="el-GR"/>
        </w:rPr>
        <w:t>την</w:t>
      </w:r>
      <w:r w:rsidRPr="00F00A90">
        <w:rPr>
          <w:rFonts w:cstheme="minorHAnsi"/>
          <w:sz w:val="24"/>
          <w:szCs w:val="24"/>
          <w:lang w:val="el-GR"/>
        </w:rPr>
        <w:t xml:space="preserve"> </w:t>
      </w:r>
      <w:r>
        <w:rPr>
          <w:rFonts w:cstheme="minorHAnsi"/>
          <w:sz w:val="24"/>
          <w:szCs w:val="24"/>
          <w:lang w:val="el-GR"/>
        </w:rPr>
        <w:t>πρόληψη</w:t>
      </w:r>
      <w:r w:rsidRPr="00F00A90">
        <w:rPr>
          <w:rFonts w:cstheme="minorHAnsi"/>
          <w:sz w:val="24"/>
          <w:szCs w:val="24"/>
          <w:lang w:val="el-GR"/>
        </w:rPr>
        <w:t xml:space="preserve"> </w:t>
      </w:r>
      <w:r>
        <w:rPr>
          <w:rFonts w:cstheme="minorHAnsi"/>
          <w:sz w:val="24"/>
          <w:szCs w:val="24"/>
          <w:lang w:val="el-GR"/>
        </w:rPr>
        <w:t>της</w:t>
      </w:r>
      <w:r w:rsidRPr="00F00A90">
        <w:rPr>
          <w:rFonts w:cstheme="minorHAnsi"/>
          <w:sz w:val="24"/>
          <w:szCs w:val="24"/>
          <w:lang w:val="el-GR"/>
        </w:rPr>
        <w:t xml:space="preserve"> </w:t>
      </w:r>
      <w:r>
        <w:rPr>
          <w:rFonts w:cstheme="minorHAnsi"/>
          <w:sz w:val="24"/>
          <w:szCs w:val="24"/>
          <w:lang w:val="el-GR"/>
        </w:rPr>
        <w:t>διαφθοράς</w:t>
      </w:r>
      <w:r w:rsidRPr="00F00A90">
        <w:rPr>
          <w:rFonts w:cstheme="minorHAnsi"/>
          <w:sz w:val="24"/>
          <w:szCs w:val="24"/>
          <w:lang w:val="el-GR"/>
        </w:rPr>
        <w:t xml:space="preserve"> </w:t>
      </w:r>
      <w:r>
        <w:rPr>
          <w:rFonts w:cstheme="minorHAnsi"/>
          <w:sz w:val="24"/>
          <w:szCs w:val="24"/>
          <w:lang w:val="el-GR"/>
        </w:rPr>
        <w:t>σε</w:t>
      </w:r>
      <w:r w:rsidRPr="00F00A90">
        <w:rPr>
          <w:rFonts w:cstheme="minorHAnsi"/>
          <w:sz w:val="24"/>
          <w:szCs w:val="24"/>
          <w:lang w:val="el-GR"/>
        </w:rPr>
        <w:t xml:space="preserve"> </w:t>
      </w:r>
      <w:r>
        <w:rPr>
          <w:rFonts w:cstheme="minorHAnsi"/>
          <w:sz w:val="24"/>
          <w:szCs w:val="24"/>
          <w:lang w:val="el-GR"/>
        </w:rPr>
        <w:t>σχέση</w:t>
      </w:r>
      <w:r w:rsidRPr="00F00A90">
        <w:rPr>
          <w:rFonts w:cstheme="minorHAnsi"/>
          <w:sz w:val="24"/>
          <w:szCs w:val="24"/>
          <w:lang w:val="el-GR"/>
        </w:rPr>
        <w:t xml:space="preserve"> </w:t>
      </w:r>
      <w:r>
        <w:rPr>
          <w:rFonts w:cstheme="minorHAnsi"/>
          <w:sz w:val="24"/>
          <w:szCs w:val="24"/>
          <w:lang w:val="el-GR"/>
        </w:rPr>
        <w:t>με</w:t>
      </w:r>
      <w:r w:rsidRPr="00F00A90">
        <w:rPr>
          <w:rFonts w:cstheme="minorHAnsi"/>
          <w:sz w:val="24"/>
          <w:szCs w:val="24"/>
          <w:lang w:val="el-GR"/>
        </w:rPr>
        <w:t xml:space="preserve"> </w:t>
      </w:r>
      <w:r>
        <w:rPr>
          <w:rFonts w:cstheme="minorHAnsi"/>
          <w:sz w:val="24"/>
          <w:szCs w:val="24"/>
          <w:lang w:val="el-GR"/>
        </w:rPr>
        <w:t>τους</w:t>
      </w:r>
      <w:r w:rsidRPr="00F00A90">
        <w:rPr>
          <w:rFonts w:cstheme="minorHAnsi"/>
          <w:sz w:val="24"/>
          <w:szCs w:val="24"/>
          <w:lang w:val="el-GR"/>
        </w:rPr>
        <w:t xml:space="preserve"> </w:t>
      </w:r>
      <w:r>
        <w:rPr>
          <w:rFonts w:cstheme="minorHAnsi"/>
          <w:sz w:val="24"/>
          <w:szCs w:val="24"/>
          <w:lang w:val="el-GR"/>
        </w:rPr>
        <w:t>βουλευτές</w:t>
      </w:r>
      <w:r w:rsidRPr="00F00A90">
        <w:rPr>
          <w:rFonts w:cstheme="minorHAnsi"/>
          <w:sz w:val="24"/>
          <w:szCs w:val="24"/>
          <w:lang w:val="el-GR"/>
        </w:rPr>
        <w:t xml:space="preserve">, </w:t>
      </w:r>
      <w:r>
        <w:rPr>
          <w:rFonts w:cstheme="minorHAnsi"/>
          <w:sz w:val="24"/>
          <w:szCs w:val="24"/>
          <w:lang w:val="el-GR"/>
        </w:rPr>
        <w:t>τους</w:t>
      </w:r>
      <w:r w:rsidRPr="00F00A90">
        <w:rPr>
          <w:rFonts w:cstheme="minorHAnsi"/>
          <w:sz w:val="24"/>
          <w:szCs w:val="24"/>
          <w:lang w:val="el-GR"/>
        </w:rPr>
        <w:t xml:space="preserve"> </w:t>
      </w:r>
      <w:r>
        <w:rPr>
          <w:rFonts w:cstheme="minorHAnsi"/>
          <w:sz w:val="24"/>
          <w:szCs w:val="24"/>
          <w:lang w:val="el-GR"/>
        </w:rPr>
        <w:t>δικαστές</w:t>
      </w:r>
      <w:r w:rsidRPr="00F00A90">
        <w:rPr>
          <w:rFonts w:cstheme="minorHAnsi"/>
          <w:sz w:val="24"/>
          <w:szCs w:val="24"/>
          <w:lang w:val="el-GR"/>
        </w:rPr>
        <w:t xml:space="preserve"> </w:t>
      </w:r>
      <w:r>
        <w:rPr>
          <w:rFonts w:cstheme="minorHAnsi"/>
          <w:sz w:val="24"/>
          <w:szCs w:val="24"/>
          <w:lang w:val="el-GR"/>
        </w:rPr>
        <w:t>και</w:t>
      </w:r>
      <w:r w:rsidRPr="00F00A90">
        <w:rPr>
          <w:rFonts w:cstheme="minorHAnsi"/>
          <w:sz w:val="24"/>
          <w:szCs w:val="24"/>
          <w:lang w:val="el-GR"/>
        </w:rPr>
        <w:t xml:space="preserve"> </w:t>
      </w:r>
      <w:r>
        <w:rPr>
          <w:rFonts w:cstheme="minorHAnsi"/>
          <w:sz w:val="24"/>
          <w:szCs w:val="24"/>
          <w:lang w:val="el-GR"/>
        </w:rPr>
        <w:t>τους</w:t>
      </w:r>
      <w:r w:rsidRPr="00F00A90">
        <w:rPr>
          <w:rFonts w:cstheme="minorHAnsi"/>
          <w:sz w:val="24"/>
          <w:szCs w:val="24"/>
          <w:lang w:val="el-GR"/>
        </w:rPr>
        <w:t xml:space="preserve"> </w:t>
      </w:r>
      <w:r>
        <w:rPr>
          <w:rFonts w:cstheme="minorHAnsi"/>
          <w:sz w:val="24"/>
          <w:szCs w:val="24"/>
          <w:lang w:val="el-GR"/>
        </w:rPr>
        <w:t>εισαγγελείς</w:t>
      </w:r>
      <w:r w:rsidR="00A5147D" w:rsidRPr="00F00A90">
        <w:rPr>
          <w:rFonts w:cstheme="minorHAnsi"/>
          <w:sz w:val="24"/>
          <w:szCs w:val="24"/>
          <w:lang w:val="el-GR"/>
        </w:rPr>
        <w:t xml:space="preserve">, 56% </w:t>
      </w:r>
      <w:r>
        <w:rPr>
          <w:rFonts w:cstheme="minorHAnsi"/>
          <w:sz w:val="24"/>
          <w:szCs w:val="24"/>
          <w:lang w:val="el-GR"/>
        </w:rPr>
        <w:t>από τις συστάσεις έχουν εφαρμοσθεί πλήρως</w:t>
      </w:r>
      <w:r w:rsidR="00A5147D" w:rsidRPr="00F00A90">
        <w:rPr>
          <w:rFonts w:cstheme="minorHAnsi"/>
          <w:sz w:val="24"/>
          <w:szCs w:val="24"/>
          <w:lang w:val="el-GR"/>
        </w:rPr>
        <w:t xml:space="preserve">, 37% </w:t>
      </w:r>
      <w:r>
        <w:rPr>
          <w:rFonts w:cstheme="minorHAnsi"/>
          <w:sz w:val="24"/>
          <w:szCs w:val="24"/>
          <w:lang w:val="el-GR"/>
        </w:rPr>
        <w:t>έχουν εφαρμοσθεί μερικώς και</w:t>
      </w:r>
      <w:r w:rsidR="00A5147D" w:rsidRPr="00F00A90">
        <w:rPr>
          <w:rFonts w:cstheme="minorHAnsi"/>
          <w:sz w:val="24"/>
          <w:szCs w:val="24"/>
          <w:lang w:val="el-GR"/>
        </w:rPr>
        <w:t xml:space="preserve"> 6% </w:t>
      </w:r>
      <w:r>
        <w:rPr>
          <w:rFonts w:cstheme="minorHAnsi"/>
          <w:sz w:val="24"/>
          <w:szCs w:val="24"/>
          <w:lang w:val="el-GR"/>
        </w:rPr>
        <w:t>δεν έχουν εφαρμοσθεί μέχρι τώρα</w:t>
      </w:r>
      <w:r w:rsidR="00A5147D" w:rsidRPr="00F00A90">
        <w:rPr>
          <w:rFonts w:cstheme="minorHAnsi"/>
          <w:sz w:val="24"/>
          <w:szCs w:val="24"/>
          <w:lang w:val="el-GR"/>
        </w:rPr>
        <w:t xml:space="preserve">. </w:t>
      </w:r>
      <w:r>
        <w:rPr>
          <w:rFonts w:cstheme="minorHAnsi"/>
          <w:sz w:val="24"/>
          <w:szCs w:val="24"/>
          <w:lang w:val="el-GR"/>
        </w:rPr>
        <w:t>Η</w:t>
      </w:r>
      <w:r w:rsidRPr="00F00A90">
        <w:rPr>
          <w:rFonts w:cstheme="minorHAnsi"/>
          <w:sz w:val="24"/>
          <w:szCs w:val="24"/>
          <w:lang w:val="el-GR"/>
        </w:rPr>
        <w:t xml:space="preserve"> </w:t>
      </w:r>
      <w:r>
        <w:rPr>
          <w:rFonts w:cstheme="minorHAnsi"/>
          <w:sz w:val="24"/>
          <w:szCs w:val="24"/>
          <w:lang w:val="el-GR"/>
        </w:rPr>
        <w:t>διαδικασία</w:t>
      </w:r>
      <w:r w:rsidRPr="00F00A90">
        <w:rPr>
          <w:rFonts w:cstheme="minorHAnsi"/>
          <w:sz w:val="24"/>
          <w:szCs w:val="24"/>
          <w:lang w:val="el-GR"/>
        </w:rPr>
        <w:t xml:space="preserve"> </w:t>
      </w:r>
      <w:r>
        <w:rPr>
          <w:rFonts w:cstheme="minorHAnsi"/>
          <w:sz w:val="24"/>
          <w:szCs w:val="24"/>
          <w:lang w:val="el-GR"/>
        </w:rPr>
        <w:t>συμμόρφωσης</w:t>
      </w:r>
      <w:r w:rsidRPr="00F00A90">
        <w:rPr>
          <w:rFonts w:cstheme="minorHAnsi"/>
          <w:sz w:val="24"/>
          <w:szCs w:val="24"/>
          <w:lang w:val="el-GR"/>
        </w:rPr>
        <w:t xml:space="preserve"> </w:t>
      </w:r>
      <w:r>
        <w:rPr>
          <w:rFonts w:cstheme="minorHAnsi"/>
          <w:sz w:val="24"/>
          <w:szCs w:val="24"/>
          <w:lang w:val="el-GR"/>
        </w:rPr>
        <w:t>υπό</w:t>
      </w:r>
      <w:r w:rsidRPr="00F00A90">
        <w:rPr>
          <w:rFonts w:cstheme="minorHAnsi"/>
          <w:sz w:val="24"/>
          <w:szCs w:val="24"/>
          <w:lang w:val="el-GR"/>
        </w:rPr>
        <w:t xml:space="preserve"> </w:t>
      </w:r>
      <w:r>
        <w:rPr>
          <w:rFonts w:cstheme="minorHAnsi"/>
          <w:sz w:val="24"/>
          <w:szCs w:val="24"/>
          <w:lang w:val="el-GR"/>
        </w:rPr>
        <w:t>τον</w:t>
      </w:r>
      <w:r w:rsidRPr="00F00A90">
        <w:rPr>
          <w:rFonts w:cstheme="minorHAnsi"/>
          <w:sz w:val="24"/>
          <w:szCs w:val="24"/>
          <w:lang w:val="el-GR"/>
        </w:rPr>
        <w:t xml:space="preserve"> </w:t>
      </w:r>
      <w:r>
        <w:rPr>
          <w:rFonts w:cstheme="minorHAnsi"/>
          <w:sz w:val="24"/>
          <w:szCs w:val="24"/>
          <w:lang w:val="el-GR"/>
        </w:rPr>
        <w:t>γύρο</w:t>
      </w:r>
      <w:r w:rsidRPr="00F00A90">
        <w:rPr>
          <w:rFonts w:cstheme="minorHAnsi"/>
          <w:sz w:val="24"/>
          <w:szCs w:val="24"/>
          <w:lang w:val="el-GR"/>
        </w:rPr>
        <w:t xml:space="preserve"> </w:t>
      </w:r>
      <w:r>
        <w:rPr>
          <w:rFonts w:cstheme="minorHAnsi"/>
          <w:sz w:val="24"/>
          <w:szCs w:val="24"/>
          <w:lang w:val="el-GR"/>
        </w:rPr>
        <w:t>εκείνο</w:t>
      </w:r>
      <w:r w:rsidRPr="00F00A90">
        <w:rPr>
          <w:rFonts w:cstheme="minorHAnsi"/>
          <w:sz w:val="24"/>
          <w:szCs w:val="24"/>
          <w:lang w:val="el-GR"/>
        </w:rPr>
        <w:t xml:space="preserve"> </w:t>
      </w:r>
      <w:r>
        <w:rPr>
          <w:rFonts w:cstheme="minorHAnsi"/>
          <w:sz w:val="24"/>
          <w:szCs w:val="24"/>
          <w:lang w:val="el-GR"/>
        </w:rPr>
        <w:t>είναι</w:t>
      </w:r>
      <w:r w:rsidRPr="00F00A90">
        <w:rPr>
          <w:rFonts w:cstheme="minorHAnsi"/>
          <w:sz w:val="24"/>
          <w:szCs w:val="24"/>
          <w:lang w:val="el-GR"/>
        </w:rPr>
        <w:t xml:space="preserve"> </w:t>
      </w:r>
      <w:r>
        <w:rPr>
          <w:rFonts w:cstheme="minorHAnsi"/>
          <w:sz w:val="24"/>
          <w:szCs w:val="24"/>
          <w:lang w:val="el-GR"/>
        </w:rPr>
        <w:t>ακόμα σε εξέλιξη</w:t>
      </w:r>
      <w:r w:rsidR="00A5147D" w:rsidRPr="00F00A90">
        <w:rPr>
          <w:rFonts w:cstheme="minorHAnsi"/>
          <w:sz w:val="24"/>
          <w:szCs w:val="24"/>
          <w:lang w:val="el-GR"/>
        </w:rPr>
        <w:t>.</w:t>
      </w:r>
      <w:r w:rsidR="00A5147D" w:rsidRPr="004E251E">
        <w:rPr>
          <w:rStyle w:val="FootnoteReference"/>
          <w:rFonts w:cstheme="minorHAnsi"/>
          <w:sz w:val="24"/>
          <w:szCs w:val="24"/>
        </w:rPr>
        <w:footnoteReference w:id="5"/>
      </w:r>
    </w:p>
    <w:p w14:paraId="76207605" w14:textId="77777777" w:rsidR="00A5147D" w:rsidRPr="00F00A90" w:rsidRDefault="00A5147D" w:rsidP="00A5147D">
      <w:pPr>
        <w:tabs>
          <w:tab w:val="left" w:pos="709"/>
        </w:tabs>
        <w:rPr>
          <w:rFonts w:cstheme="minorHAnsi"/>
          <w:sz w:val="24"/>
          <w:szCs w:val="24"/>
          <w:lang w:val="el-GR"/>
        </w:rPr>
      </w:pPr>
    </w:p>
    <w:p w14:paraId="565C8404" w14:textId="63DE51D0" w:rsidR="00A5147D" w:rsidRPr="003166FF" w:rsidRDefault="00F00A90" w:rsidP="00A5147D">
      <w:pPr>
        <w:pStyle w:val="ListParagraph"/>
        <w:numPr>
          <w:ilvl w:val="0"/>
          <w:numId w:val="1"/>
        </w:numPr>
        <w:tabs>
          <w:tab w:val="clear" w:pos="6095"/>
        </w:tabs>
        <w:ind w:left="0" w:firstLine="0"/>
        <w:rPr>
          <w:rFonts w:cstheme="minorHAnsi"/>
          <w:sz w:val="24"/>
          <w:szCs w:val="24"/>
          <w:lang w:val="el-GR"/>
        </w:rPr>
      </w:pPr>
      <w:r>
        <w:rPr>
          <w:rFonts w:cstheme="minorHAnsi"/>
          <w:sz w:val="24"/>
          <w:szCs w:val="24"/>
          <w:lang w:val="el-GR"/>
        </w:rPr>
        <w:t>Η</w:t>
      </w:r>
      <w:r w:rsidRPr="00F00A90">
        <w:rPr>
          <w:rFonts w:cstheme="minorHAnsi"/>
          <w:sz w:val="24"/>
          <w:szCs w:val="24"/>
          <w:lang w:val="el-GR"/>
        </w:rPr>
        <w:t xml:space="preserve"> </w:t>
      </w:r>
      <w:r>
        <w:rPr>
          <w:rFonts w:cstheme="minorHAnsi"/>
          <w:sz w:val="24"/>
          <w:szCs w:val="24"/>
          <w:lang w:val="el-GR"/>
        </w:rPr>
        <w:t>γενική</w:t>
      </w:r>
      <w:r w:rsidRPr="00F00A90">
        <w:rPr>
          <w:rFonts w:cstheme="minorHAnsi"/>
          <w:sz w:val="24"/>
          <w:szCs w:val="24"/>
          <w:lang w:val="el-GR"/>
        </w:rPr>
        <w:t xml:space="preserve"> </w:t>
      </w:r>
      <w:r>
        <w:rPr>
          <w:rFonts w:cstheme="minorHAnsi"/>
          <w:sz w:val="24"/>
          <w:szCs w:val="24"/>
          <w:lang w:val="el-GR"/>
        </w:rPr>
        <w:t>αντίληψη</w:t>
      </w:r>
      <w:r w:rsidRPr="00F00A90">
        <w:rPr>
          <w:rFonts w:cstheme="minorHAnsi"/>
          <w:sz w:val="24"/>
          <w:szCs w:val="24"/>
          <w:lang w:val="el-GR"/>
        </w:rPr>
        <w:t xml:space="preserve"> </w:t>
      </w:r>
      <w:r>
        <w:rPr>
          <w:rFonts w:cstheme="minorHAnsi"/>
          <w:sz w:val="24"/>
          <w:szCs w:val="24"/>
          <w:lang w:val="el-GR"/>
        </w:rPr>
        <w:t>είναι</w:t>
      </w:r>
      <w:r w:rsidRPr="00F00A90">
        <w:rPr>
          <w:rFonts w:cstheme="minorHAnsi"/>
          <w:sz w:val="24"/>
          <w:szCs w:val="24"/>
          <w:lang w:val="el-GR"/>
        </w:rPr>
        <w:t xml:space="preserve"> </w:t>
      </w:r>
      <w:r>
        <w:rPr>
          <w:rFonts w:cstheme="minorHAnsi"/>
          <w:sz w:val="24"/>
          <w:szCs w:val="24"/>
          <w:lang w:val="el-GR"/>
        </w:rPr>
        <w:t>ότι</w:t>
      </w:r>
      <w:r w:rsidRPr="00F00A90">
        <w:rPr>
          <w:rFonts w:cstheme="minorHAnsi"/>
          <w:sz w:val="24"/>
          <w:szCs w:val="24"/>
          <w:lang w:val="el-GR"/>
        </w:rPr>
        <w:t xml:space="preserve"> </w:t>
      </w:r>
      <w:r>
        <w:rPr>
          <w:rFonts w:cstheme="minorHAnsi"/>
          <w:sz w:val="24"/>
          <w:szCs w:val="24"/>
          <w:lang w:val="el-GR"/>
        </w:rPr>
        <w:t>το</w:t>
      </w:r>
      <w:r w:rsidRPr="00F00A90">
        <w:rPr>
          <w:rFonts w:cstheme="minorHAnsi"/>
          <w:sz w:val="24"/>
          <w:szCs w:val="24"/>
          <w:lang w:val="el-GR"/>
        </w:rPr>
        <w:t xml:space="preserve"> </w:t>
      </w:r>
      <w:r>
        <w:rPr>
          <w:rFonts w:cstheme="minorHAnsi"/>
          <w:sz w:val="24"/>
          <w:szCs w:val="24"/>
          <w:lang w:val="el-GR"/>
        </w:rPr>
        <w:t>επίπεδο</w:t>
      </w:r>
      <w:r w:rsidRPr="00F00A90">
        <w:rPr>
          <w:rFonts w:cstheme="minorHAnsi"/>
          <w:sz w:val="24"/>
          <w:szCs w:val="24"/>
          <w:lang w:val="el-GR"/>
        </w:rPr>
        <w:t xml:space="preserve"> </w:t>
      </w:r>
      <w:r>
        <w:rPr>
          <w:rFonts w:cstheme="minorHAnsi"/>
          <w:sz w:val="24"/>
          <w:szCs w:val="24"/>
          <w:lang w:val="el-GR"/>
        </w:rPr>
        <w:t>διαφθοράς</w:t>
      </w:r>
      <w:r w:rsidR="00A5147D" w:rsidRPr="00F00A90">
        <w:rPr>
          <w:rFonts w:cstheme="minorHAnsi"/>
          <w:sz w:val="24"/>
          <w:szCs w:val="24"/>
          <w:lang w:val="el-GR"/>
        </w:rPr>
        <w:t xml:space="preserve"> </w:t>
      </w:r>
      <w:r>
        <w:rPr>
          <w:rFonts w:cstheme="minorHAnsi"/>
          <w:sz w:val="24"/>
          <w:szCs w:val="24"/>
          <w:lang w:val="el-GR"/>
        </w:rPr>
        <w:t>στην Κύπρο παραμένει ψηλό</w:t>
      </w:r>
      <w:r w:rsidR="00A5147D" w:rsidRPr="00F00A90">
        <w:rPr>
          <w:rFonts w:cstheme="minorHAnsi"/>
          <w:sz w:val="24"/>
          <w:szCs w:val="24"/>
          <w:lang w:val="el-GR"/>
        </w:rPr>
        <w:t xml:space="preserve">. </w:t>
      </w:r>
      <w:r w:rsidR="003166FF">
        <w:rPr>
          <w:rFonts w:cstheme="minorHAnsi"/>
          <w:sz w:val="24"/>
          <w:szCs w:val="24"/>
          <w:lang w:val="el-GR"/>
        </w:rPr>
        <w:t>Σύμφωνα</w:t>
      </w:r>
      <w:r w:rsidR="003166FF" w:rsidRPr="003166FF">
        <w:rPr>
          <w:rFonts w:cstheme="minorHAnsi"/>
          <w:sz w:val="24"/>
          <w:szCs w:val="24"/>
          <w:lang w:val="el-GR"/>
        </w:rPr>
        <w:t xml:space="preserve"> </w:t>
      </w:r>
      <w:r w:rsidR="003166FF">
        <w:rPr>
          <w:rFonts w:cstheme="minorHAnsi"/>
          <w:sz w:val="24"/>
          <w:szCs w:val="24"/>
          <w:lang w:val="el-GR"/>
        </w:rPr>
        <w:t>με</w:t>
      </w:r>
      <w:r w:rsidR="003166FF" w:rsidRPr="003166FF">
        <w:rPr>
          <w:rFonts w:cstheme="minorHAnsi"/>
          <w:sz w:val="24"/>
          <w:szCs w:val="24"/>
          <w:lang w:val="el-GR"/>
        </w:rPr>
        <w:t xml:space="preserve"> </w:t>
      </w:r>
      <w:r w:rsidR="003166FF">
        <w:rPr>
          <w:rFonts w:cstheme="minorHAnsi"/>
          <w:sz w:val="24"/>
          <w:szCs w:val="24"/>
          <w:lang w:val="el-GR"/>
        </w:rPr>
        <w:t>τον</w:t>
      </w:r>
      <w:r w:rsidR="003166FF" w:rsidRPr="003166FF">
        <w:rPr>
          <w:rFonts w:cstheme="minorHAnsi"/>
          <w:sz w:val="24"/>
          <w:szCs w:val="24"/>
          <w:lang w:val="el-GR"/>
        </w:rPr>
        <w:t xml:space="preserve"> </w:t>
      </w:r>
      <w:r w:rsidR="003166FF">
        <w:rPr>
          <w:rFonts w:cstheme="minorHAnsi"/>
          <w:sz w:val="24"/>
          <w:szCs w:val="24"/>
          <w:lang w:val="el-GR"/>
        </w:rPr>
        <w:t>Δείκτη</w:t>
      </w:r>
      <w:r w:rsidR="003166FF" w:rsidRPr="003166FF">
        <w:rPr>
          <w:rFonts w:cstheme="minorHAnsi"/>
          <w:sz w:val="24"/>
          <w:szCs w:val="24"/>
          <w:lang w:val="el-GR"/>
        </w:rPr>
        <w:t xml:space="preserve"> </w:t>
      </w:r>
      <w:r w:rsidR="003166FF">
        <w:rPr>
          <w:rFonts w:cstheme="minorHAnsi"/>
          <w:sz w:val="24"/>
          <w:szCs w:val="24"/>
          <w:lang w:val="el-GR"/>
        </w:rPr>
        <w:t>Αντίληψης</w:t>
      </w:r>
      <w:r w:rsidR="003166FF" w:rsidRPr="003166FF">
        <w:rPr>
          <w:rFonts w:cstheme="minorHAnsi"/>
          <w:sz w:val="24"/>
          <w:szCs w:val="24"/>
          <w:lang w:val="el-GR"/>
        </w:rPr>
        <w:t xml:space="preserve"> </w:t>
      </w:r>
      <w:r w:rsidR="003166FF">
        <w:rPr>
          <w:rFonts w:cstheme="minorHAnsi"/>
          <w:sz w:val="24"/>
          <w:szCs w:val="24"/>
          <w:lang w:val="el-GR"/>
        </w:rPr>
        <w:t>της</w:t>
      </w:r>
      <w:r w:rsidR="003166FF" w:rsidRPr="003166FF">
        <w:rPr>
          <w:rFonts w:cstheme="minorHAnsi"/>
          <w:sz w:val="24"/>
          <w:szCs w:val="24"/>
          <w:lang w:val="el-GR"/>
        </w:rPr>
        <w:t xml:space="preserve"> </w:t>
      </w:r>
      <w:r w:rsidR="003166FF">
        <w:rPr>
          <w:rFonts w:cstheme="minorHAnsi"/>
          <w:sz w:val="24"/>
          <w:szCs w:val="24"/>
          <w:lang w:val="el-GR"/>
        </w:rPr>
        <w:t>Διαφθοράς</w:t>
      </w:r>
      <w:r w:rsidR="00A5147D" w:rsidRPr="003166FF">
        <w:rPr>
          <w:rFonts w:cstheme="minorHAnsi"/>
          <w:sz w:val="24"/>
          <w:szCs w:val="24"/>
          <w:lang w:val="el-GR"/>
        </w:rPr>
        <w:t xml:space="preserve">, </w:t>
      </w:r>
      <w:r w:rsidR="003166FF">
        <w:rPr>
          <w:rFonts w:cstheme="minorHAnsi"/>
          <w:sz w:val="24"/>
          <w:szCs w:val="24"/>
          <w:lang w:val="el-GR"/>
        </w:rPr>
        <w:t>που</w:t>
      </w:r>
      <w:r w:rsidR="003166FF" w:rsidRPr="003166FF">
        <w:rPr>
          <w:rFonts w:cstheme="minorHAnsi"/>
          <w:sz w:val="24"/>
          <w:szCs w:val="24"/>
          <w:lang w:val="el-GR"/>
        </w:rPr>
        <w:t xml:space="preserve"> </w:t>
      </w:r>
      <w:r w:rsidR="003166FF">
        <w:rPr>
          <w:rFonts w:cstheme="minorHAnsi"/>
          <w:sz w:val="24"/>
          <w:szCs w:val="24"/>
          <w:lang w:val="el-GR"/>
        </w:rPr>
        <w:t>δημοσιεύθηκε</w:t>
      </w:r>
      <w:r w:rsidR="003166FF" w:rsidRPr="003166FF">
        <w:rPr>
          <w:rFonts w:cstheme="minorHAnsi"/>
          <w:sz w:val="24"/>
          <w:szCs w:val="24"/>
          <w:lang w:val="el-GR"/>
        </w:rPr>
        <w:t xml:space="preserve"> </w:t>
      </w:r>
      <w:r w:rsidR="003166FF">
        <w:rPr>
          <w:rFonts w:cstheme="minorHAnsi"/>
          <w:sz w:val="24"/>
          <w:szCs w:val="24"/>
          <w:lang w:val="el-GR"/>
        </w:rPr>
        <w:t>από</w:t>
      </w:r>
      <w:r w:rsidR="003166FF" w:rsidRPr="003166FF">
        <w:rPr>
          <w:rFonts w:cstheme="minorHAnsi"/>
          <w:sz w:val="24"/>
          <w:szCs w:val="24"/>
          <w:lang w:val="el-GR"/>
        </w:rPr>
        <w:t xml:space="preserve"> </w:t>
      </w:r>
      <w:r w:rsidR="003166FF">
        <w:rPr>
          <w:rFonts w:cstheme="minorHAnsi"/>
          <w:sz w:val="24"/>
          <w:szCs w:val="24"/>
          <w:lang w:val="el-GR"/>
        </w:rPr>
        <w:t>την</w:t>
      </w:r>
      <w:r w:rsidR="00A5147D" w:rsidRPr="003166FF">
        <w:rPr>
          <w:rFonts w:cstheme="minorHAnsi"/>
          <w:sz w:val="24"/>
          <w:szCs w:val="24"/>
          <w:lang w:val="el-GR"/>
        </w:rPr>
        <w:t xml:space="preserve"> </w:t>
      </w:r>
      <w:r w:rsidR="00A5147D" w:rsidRPr="004E251E">
        <w:rPr>
          <w:rFonts w:cstheme="minorHAnsi"/>
          <w:sz w:val="24"/>
          <w:szCs w:val="24"/>
        </w:rPr>
        <w:t>Transparency</w:t>
      </w:r>
      <w:r w:rsidR="00A5147D" w:rsidRPr="003166FF">
        <w:rPr>
          <w:rFonts w:cstheme="minorHAnsi"/>
          <w:sz w:val="24"/>
          <w:szCs w:val="24"/>
          <w:lang w:val="el-GR"/>
        </w:rPr>
        <w:t xml:space="preserve"> </w:t>
      </w:r>
      <w:r w:rsidR="00A5147D" w:rsidRPr="004E251E">
        <w:rPr>
          <w:rFonts w:cstheme="minorHAnsi"/>
          <w:sz w:val="24"/>
          <w:szCs w:val="24"/>
        </w:rPr>
        <w:t>International</w:t>
      </w:r>
      <w:r w:rsidR="00A5147D" w:rsidRPr="003166FF">
        <w:rPr>
          <w:rFonts w:cstheme="minorHAnsi"/>
          <w:sz w:val="24"/>
          <w:szCs w:val="24"/>
          <w:lang w:val="el-GR"/>
        </w:rPr>
        <w:t xml:space="preserve"> (</w:t>
      </w:r>
      <w:r w:rsidR="00A5147D" w:rsidRPr="004E251E">
        <w:rPr>
          <w:rFonts w:cstheme="minorHAnsi"/>
          <w:sz w:val="24"/>
          <w:szCs w:val="24"/>
        </w:rPr>
        <w:t>CPI</w:t>
      </w:r>
      <w:r w:rsidR="00A5147D" w:rsidRPr="003166FF">
        <w:rPr>
          <w:rFonts w:cstheme="minorHAnsi"/>
          <w:sz w:val="24"/>
          <w:szCs w:val="24"/>
          <w:lang w:val="el-GR"/>
        </w:rPr>
        <w:t>)</w:t>
      </w:r>
      <w:r w:rsidR="003166FF" w:rsidRPr="003166FF">
        <w:rPr>
          <w:rFonts w:cstheme="minorHAnsi"/>
          <w:sz w:val="24"/>
          <w:szCs w:val="24"/>
          <w:lang w:val="el-GR"/>
        </w:rPr>
        <w:t xml:space="preserve"> /</w:t>
      </w:r>
      <w:r w:rsidR="003166FF">
        <w:rPr>
          <w:rFonts w:cstheme="minorHAnsi"/>
          <w:sz w:val="24"/>
          <w:szCs w:val="24"/>
          <w:lang w:val="el-GR"/>
        </w:rPr>
        <w:t>Διεθνή</w:t>
      </w:r>
      <w:r w:rsidR="003166FF" w:rsidRPr="003166FF">
        <w:rPr>
          <w:rFonts w:cstheme="minorHAnsi"/>
          <w:sz w:val="24"/>
          <w:szCs w:val="24"/>
          <w:lang w:val="el-GR"/>
        </w:rPr>
        <w:t xml:space="preserve"> </w:t>
      </w:r>
      <w:r w:rsidR="003166FF">
        <w:rPr>
          <w:rFonts w:cstheme="minorHAnsi"/>
          <w:sz w:val="24"/>
          <w:szCs w:val="24"/>
          <w:lang w:val="el-GR"/>
        </w:rPr>
        <w:t>Διαφάνεια</w:t>
      </w:r>
      <w:r w:rsidR="003166FF" w:rsidRPr="003166FF">
        <w:rPr>
          <w:rFonts w:cstheme="minorHAnsi"/>
          <w:sz w:val="24"/>
          <w:szCs w:val="24"/>
          <w:lang w:val="el-GR"/>
        </w:rPr>
        <w:t>/</w:t>
      </w:r>
      <w:r w:rsidR="00A5147D" w:rsidRPr="003166FF">
        <w:rPr>
          <w:rFonts w:cstheme="minorHAnsi"/>
          <w:sz w:val="24"/>
          <w:szCs w:val="24"/>
          <w:lang w:val="el-GR"/>
        </w:rPr>
        <w:t xml:space="preserve">, </w:t>
      </w:r>
      <w:r w:rsidR="003166FF">
        <w:rPr>
          <w:rFonts w:cstheme="minorHAnsi"/>
          <w:sz w:val="24"/>
          <w:szCs w:val="24"/>
          <w:lang w:val="el-GR"/>
        </w:rPr>
        <w:t>η</w:t>
      </w:r>
      <w:r w:rsidR="003166FF" w:rsidRPr="003166FF">
        <w:rPr>
          <w:rFonts w:cstheme="minorHAnsi"/>
          <w:sz w:val="24"/>
          <w:szCs w:val="24"/>
          <w:lang w:val="el-GR"/>
        </w:rPr>
        <w:t xml:space="preserve"> </w:t>
      </w:r>
      <w:r w:rsidR="003166FF">
        <w:rPr>
          <w:rFonts w:cstheme="minorHAnsi"/>
          <w:sz w:val="24"/>
          <w:szCs w:val="24"/>
          <w:lang w:val="el-GR"/>
        </w:rPr>
        <w:t>Κύπρος</w:t>
      </w:r>
      <w:r w:rsidR="003166FF" w:rsidRPr="003166FF">
        <w:rPr>
          <w:rFonts w:cstheme="minorHAnsi"/>
          <w:sz w:val="24"/>
          <w:szCs w:val="24"/>
          <w:lang w:val="el-GR"/>
        </w:rPr>
        <w:t xml:space="preserve"> </w:t>
      </w:r>
      <w:r w:rsidR="003166FF">
        <w:rPr>
          <w:rFonts w:cstheme="minorHAnsi"/>
          <w:sz w:val="24"/>
          <w:szCs w:val="24"/>
          <w:lang w:val="el-GR"/>
        </w:rPr>
        <w:t>κατατάχθηκε</w:t>
      </w:r>
      <w:r w:rsidR="003166FF" w:rsidRPr="003166FF">
        <w:rPr>
          <w:rFonts w:cstheme="minorHAnsi"/>
          <w:sz w:val="24"/>
          <w:szCs w:val="24"/>
          <w:lang w:val="el-GR"/>
        </w:rPr>
        <w:t xml:space="preserve"> </w:t>
      </w:r>
      <w:r w:rsidR="0037799E" w:rsidRPr="003166FF">
        <w:rPr>
          <w:rFonts w:cstheme="minorHAnsi"/>
          <w:sz w:val="24"/>
          <w:szCs w:val="24"/>
          <w:lang w:val="el-GR"/>
        </w:rPr>
        <w:t>51</w:t>
      </w:r>
      <w:r w:rsidR="003166FF" w:rsidRPr="003166FF">
        <w:rPr>
          <w:rFonts w:cstheme="minorHAnsi"/>
          <w:sz w:val="24"/>
          <w:szCs w:val="24"/>
          <w:vertAlign w:val="superscript"/>
          <w:lang w:val="el-GR"/>
        </w:rPr>
        <w:t>η</w:t>
      </w:r>
      <w:r w:rsidR="003166FF" w:rsidRPr="003166FF">
        <w:rPr>
          <w:rFonts w:cstheme="minorHAnsi"/>
          <w:sz w:val="24"/>
          <w:szCs w:val="24"/>
          <w:lang w:val="el-GR"/>
        </w:rPr>
        <w:t xml:space="preserve"> </w:t>
      </w:r>
      <w:r w:rsidR="003166FF">
        <w:rPr>
          <w:rFonts w:cstheme="minorHAnsi"/>
          <w:sz w:val="24"/>
          <w:szCs w:val="24"/>
          <w:lang w:val="el-GR"/>
        </w:rPr>
        <w:t>από</w:t>
      </w:r>
      <w:r w:rsidR="00A5147D" w:rsidRPr="003166FF">
        <w:rPr>
          <w:rFonts w:cstheme="minorHAnsi"/>
          <w:color w:val="FF0000"/>
          <w:sz w:val="24"/>
          <w:szCs w:val="24"/>
          <w:lang w:val="el-GR"/>
        </w:rPr>
        <w:t xml:space="preserve"> </w:t>
      </w:r>
      <w:r w:rsidR="00A5147D" w:rsidRPr="003166FF">
        <w:rPr>
          <w:rFonts w:cstheme="minorHAnsi"/>
          <w:sz w:val="24"/>
          <w:szCs w:val="24"/>
          <w:lang w:val="el-GR"/>
        </w:rPr>
        <w:t xml:space="preserve">180 </w:t>
      </w:r>
      <w:r w:rsidR="003166FF">
        <w:rPr>
          <w:rFonts w:cstheme="minorHAnsi"/>
          <w:sz w:val="24"/>
          <w:szCs w:val="24"/>
          <w:lang w:val="el-GR"/>
        </w:rPr>
        <w:t>χώρες</w:t>
      </w:r>
      <w:r w:rsidR="00A5147D" w:rsidRPr="003166FF">
        <w:rPr>
          <w:rFonts w:cstheme="minorHAnsi"/>
          <w:sz w:val="24"/>
          <w:szCs w:val="24"/>
          <w:lang w:val="el-GR"/>
        </w:rPr>
        <w:t xml:space="preserve"> </w:t>
      </w:r>
      <w:r w:rsidR="003166FF">
        <w:rPr>
          <w:rFonts w:cstheme="minorHAnsi"/>
          <w:sz w:val="24"/>
          <w:szCs w:val="24"/>
          <w:lang w:val="el-GR"/>
        </w:rPr>
        <w:t>και</w:t>
      </w:r>
      <w:r w:rsidR="003166FF" w:rsidRPr="003166FF">
        <w:rPr>
          <w:rFonts w:cstheme="minorHAnsi"/>
          <w:sz w:val="24"/>
          <w:szCs w:val="24"/>
          <w:lang w:val="el-GR"/>
        </w:rPr>
        <w:t xml:space="preserve"> </w:t>
      </w:r>
      <w:r w:rsidR="003166FF">
        <w:rPr>
          <w:rFonts w:cstheme="minorHAnsi"/>
          <w:sz w:val="24"/>
          <w:szCs w:val="24"/>
          <w:lang w:val="el-GR"/>
        </w:rPr>
        <w:t>είχε</w:t>
      </w:r>
      <w:r w:rsidR="003166FF" w:rsidRPr="003166FF">
        <w:rPr>
          <w:rFonts w:cstheme="minorHAnsi"/>
          <w:sz w:val="24"/>
          <w:szCs w:val="24"/>
          <w:lang w:val="el-GR"/>
        </w:rPr>
        <w:t xml:space="preserve"> </w:t>
      </w:r>
      <w:r w:rsidR="003166FF">
        <w:rPr>
          <w:rFonts w:cstheme="minorHAnsi"/>
          <w:sz w:val="24"/>
          <w:szCs w:val="24"/>
          <w:lang w:val="el-GR"/>
        </w:rPr>
        <w:t>τον</w:t>
      </w:r>
      <w:r w:rsidR="003166FF" w:rsidRPr="003166FF">
        <w:rPr>
          <w:rFonts w:cstheme="minorHAnsi"/>
          <w:sz w:val="24"/>
          <w:szCs w:val="24"/>
          <w:lang w:val="el-GR"/>
        </w:rPr>
        <w:t xml:space="preserve"> </w:t>
      </w:r>
      <w:r w:rsidR="003166FF">
        <w:rPr>
          <w:rFonts w:cstheme="minorHAnsi"/>
          <w:sz w:val="24"/>
          <w:szCs w:val="24"/>
          <w:lang w:val="el-GR"/>
        </w:rPr>
        <w:t>βαθμό</w:t>
      </w:r>
      <w:r w:rsidR="003166FF" w:rsidRPr="003166FF">
        <w:rPr>
          <w:rFonts w:cstheme="minorHAnsi"/>
          <w:sz w:val="24"/>
          <w:szCs w:val="24"/>
          <w:lang w:val="el-GR"/>
        </w:rPr>
        <w:t xml:space="preserve"> </w:t>
      </w:r>
      <w:r w:rsidR="003166FF">
        <w:rPr>
          <w:rFonts w:cstheme="minorHAnsi"/>
          <w:sz w:val="24"/>
          <w:szCs w:val="24"/>
          <w:lang w:val="el-GR"/>
        </w:rPr>
        <w:t>των</w:t>
      </w:r>
      <w:r w:rsidR="003166FF" w:rsidRPr="003166FF">
        <w:rPr>
          <w:rFonts w:cstheme="minorHAnsi"/>
          <w:sz w:val="24"/>
          <w:szCs w:val="24"/>
          <w:lang w:val="el-GR"/>
        </w:rPr>
        <w:t xml:space="preserve"> </w:t>
      </w:r>
      <w:r w:rsidR="00A5147D" w:rsidRPr="003166FF">
        <w:rPr>
          <w:rFonts w:cstheme="minorHAnsi"/>
          <w:sz w:val="24"/>
          <w:szCs w:val="24"/>
          <w:lang w:val="el-GR"/>
        </w:rPr>
        <w:t>5</w:t>
      </w:r>
      <w:r w:rsidR="0037799E" w:rsidRPr="003166FF">
        <w:rPr>
          <w:rFonts w:cstheme="minorHAnsi"/>
          <w:sz w:val="24"/>
          <w:szCs w:val="24"/>
          <w:lang w:val="el-GR"/>
        </w:rPr>
        <w:t>2</w:t>
      </w:r>
      <w:r w:rsidR="00A5147D" w:rsidRPr="003166FF">
        <w:rPr>
          <w:rFonts w:cstheme="minorHAnsi"/>
          <w:sz w:val="24"/>
          <w:szCs w:val="24"/>
          <w:lang w:val="el-GR"/>
        </w:rPr>
        <w:t xml:space="preserve"> (</w:t>
      </w:r>
      <w:r w:rsidR="003166FF">
        <w:rPr>
          <w:rFonts w:cstheme="minorHAnsi"/>
          <w:sz w:val="24"/>
          <w:szCs w:val="24"/>
          <w:lang w:val="el-GR"/>
        </w:rPr>
        <w:t>από</w:t>
      </w:r>
      <w:r w:rsidR="003166FF" w:rsidRPr="003166FF">
        <w:rPr>
          <w:rFonts w:cstheme="minorHAnsi"/>
          <w:sz w:val="24"/>
          <w:szCs w:val="24"/>
          <w:lang w:val="el-GR"/>
        </w:rPr>
        <w:t xml:space="preserve"> </w:t>
      </w:r>
      <w:r w:rsidR="003166FF">
        <w:rPr>
          <w:rFonts w:cstheme="minorHAnsi"/>
          <w:sz w:val="24"/>
          <w:szCs w:val="24"/>
          <w:lang w:val="el-GR"/>
        </w:rPr>
        <w:t xml:space="preserve">ένα σύνολο βαθμού των </w:t>
      </w:r>
      <w:r w:rsidR="00A5147D" w:rsidRPr="003166FF">
        <w:rPr>
          <w:rFonts w:cstheme="minorHAnsi"/>
          <w:sz w:val="24"/>
          <w:szCs w:val="24"/>
          <w:lang w:val="el-GR"/>
        </w:rPr>
        <w:t xml:space="preserve">100 – </w:t>
      </w:r>
      <w:r w:rsidR="003166FF">
        <w:rPr>
          <w:rFonts w:cstheme="minorHAnsi"/>
          <w:sz w:val="24"/>
          <w:szCs w:val="24"/>
          <w:lang w:val="el-GR"/>
        </w:rPr>
        <w:t>όπου το</w:t>
      </w:r>
      <w:r w:rsidR="00A5147D" w:rsidRPr="003166FF">
        <w:rPr>
          <w:rFonts w:cstheme="minorHAnsi"/>
          <w:sz w:val="24"/>
          <w:szCs w:val="24"/>
          <w:lang w:val="el-GR"/>
        </w:rPr>
        <w:t xml:space="preserve"> 0 </w:t>
      </w:r>
      <w:r w:rsidR="003166FF">
        <w:rPr>
          <w:rFonts w:cstheme="minorHAnsi"/>
          <w:sz w:val="24"/>
          <w:szCs w:val="24"/>
          <w:lang w:val="el-GR"/>
        </w:rPr>
        <w:t>αντιστοιχεί σε χώρες όπου</w:t>
      </w:r>
      <w:r w:rsidR="00A5147D" w:rsidRPr="003166FF">
        <w:rPr>
          <w:rFonts w:cstheme="minorHAnsi"/>
          <w:sz w:val="24"/>
          <w:szCs w:val="24"/>
          <w:lang w:val="el-GR"/>
        </w:rPr>
        <w:t xml:space="preserve"> </w:t>
      </w:r>
      <w:r w:rsidR="003166FF">
        <w:rPr>
          <w:rFonts w:cstheme="minorHAnsi"/>
          <w:sz w:val="24"/>
          <w:szCs w:val="24"/>
          <w:lang w:val="el-GR"/>
        </w:rPr>
        <w:t>υπάρχει ένα ψηλό επίπεδο διαφθοράς</w:t>
      </w:r>
      <w:r w:rsidR="00A5147D" w:rsidRPr="003166FF">
        <w:rPr>
          <w:rFonts w:cstheme="minorHAnsi"/>
          <w:sz w:val="24"/>
          <w:szCs w:val="24"/>
          <w:lang w:val="el-GR"/>
        </w:rPr>
        <w:t xml:space="preserve"> </w:t>
      </w:r>
      <w:r w:rsidR="003166FF">
        <w:rPr>
          <w:rFonts w:cstheme="minorHAnsi"/>
          <w:sz w:val="24"/>
          <w:szCs w:val="24"/>
          <w:lang w:val="el-GR"/>
        </w:rPr>
        <w:t>και</w:t>
      </w:r>
      <w:r w:rsidR="00A5147D" w:rsidRPr="003166FF">
        <w:rPr>
          <w:rFonts w:cstheme="minorHAnsi"/>
          <w:sz w:val="24"/>
          <w:szCs w:val="24"/>
          <w:lang w:val="el-GR"/>
        </w:rPr>
        <w:t xml:space="preserve"> </w:t>
      </w:r>
      <w:r w:rsidR="003166FF">
        <w:rPr>
          <w:rFonts w:cstheme="minorHAnsi"/>
          <w:sz w:val="24"/>
          <w:szCs w:val="24"/>
          <w:lang w:val="el-GR"/>
        </w:rPr>
        <w:t xml:space="preserve">το </w:t>
      </w:r>
      <w:r w:rsidR="00A5147D" w:rsidRPr="003166FF">
        <w:rPr>
          <w:rFonts w:cstheme="minorHAnsi"/>
          <w:sz w:val="24"/>
          <w:szCs w:val="24"/>
          <w:lang w:val="el-GR"/>
        </w:rPr>
        <w:t xml:space="preserve">100 </w:t>
      </w:r>
      <w:r w:rsidR="003166FF">
        <w:rPr>
          <w:rFonts w:cstheme="minorHAnsi"/>
          <w:sz w:val="24"/>
          <w:szCs w:val="24"/>
          <w:lang w:val="el-GR"/>
        </w:rPr>
        <w:t>σε χώρες με ένα χαμηλό επίπεδο διαφθοράς</w:t>
      </w:r>
      <w:r w:rsidR="00A5147D" w:rsidRPr="003166FF">
        <w:rPr>
          <w:rFonts w:cstheme="minorHAnsi"/>
          <w:sz w:val="24"/>
          <w:szCs w:val="24"/>
          <w:lang w:val="el-GR"/>
        </w:rPr>
        <w:t xml:space="preserve">). </w:t>
      </w:r>
      <w:r w:rsidR="003166FF">
        <w:rPr>
          <w:rFonts w:cstheme="minorHAnsi"/>
          <w:sz w:val="24"/>
          <w:szCs w:val="24"/>
          <w:lang w:val="el-GR"/>
        </w:rPr>
        <w:t>Αυτή</w:t>
      </w:r>
      <w:r w:rsidR="003166FF" w:rsidRPr="003166FF">
        <w:rPr>
          <w:rFonts w:cstheme="minorHAnsi"/>
          <w:sz w:val="24"/>
          <w:szCs w:val="24"/>
          <w:lang w:val="el-GR"/>
        </w:rPr>
        <w:t xml:space="preserve"> </w:t>
      </w:r>
      <w:r w:rsidR="003166FF">
        <w:rPr>
          <w:rFonts w:cstheme="minorHAnsi"/>
          <w:sz w:val="24"/>
          <w:szCs w:val="24"/>
          <w:lang w:val="el-GR"/>
        </w:rPr>
        <w:t>η</w:t>
      </w:r>
      <w:r w:rsidR="003166FF" w:rsidRPr="003166FF">
        <w:rPr>
          <w:rFonts w:cstheme="minorHAnsi"/>
          <w:sz w:val="24"/>
          <w:szCs w:val="24"/>
          <w:lang w:val="el-GR"/>
        </w:rPr>
        <w:t xml:space="preserve"> </w:t>
      </w:r>
      <w:r w:rsidR="003166FF">
        <w:rPr>
          <w:rFonts w:cstheme="minorHAnsi"/>
          <w:sz w:val="24"/>
          <w:szCs w:val="24"/>
          <w:lang w:val="el-GR"/>
        </w:rPr>
        <w:t>αντίληψη</w:t>
      </w:r>
      <w:r w:rsidR="003166FF" w:rsidRPr="003166FF">
        <w:rPr>
          <w:rFonts w:cstheme="minorHAnsi"/>
          <w:sz w:val="24"/>
          <w:szCs w:val="24"/>
          <w:lang w:val="el-GR"/>
        </w:rPr>
        <w:t xml:space="preserve"> </w:t>
      </w:r>
      <w:r w:rsidR="003166FF">
        <w:rPr>
          <w:rFonts w:cstheme="minorHAnsi"/>
          <w:sz w:val="24"/>
          <w:szCs w:val="24"/>
          <w:lang w:val="el-GR"/>
        </w:rPr>
        <w:t>έχει</w:t>
      </w:r>
      <w:r w:rsidR="003166FF" w:rsidRPr="003166FF">
        <w:rPr>
          <w:rFonts w:cstheme="minorHAnsi"/>
          <w:sz w:val="24"/>
          <w:szCs w:val="24"/>
          <w:lang w:val="el-GR"/>
        </w:rPr>
        <w:t xml:space="preserve"> </w:t>
      </w:r>
      <w:r w:rsidR="003166FF">
        <w:rPr>
          <w:rFonts w:cstheme="minorHAnsi"/>
          <w:sz w:val="24"/>
          <w:szCs w:val="24"/>
          <w:lang w:val="el-GR"/>
        </w:rPr>
        <w:t>επιδεινωθεί</w:t>
      </w:r>
      <w:r w:rsidR="003166FF" w:rsidRPr="003166FF">
        <w:rPr>
          <w:rFonts w:cstheme="minorHAnsi"/>
          <w:sz w:val="24"/>
          <w:szCs w:val="24"/>
          <w:lang w:val="el-GR"/>
        </w:rPr>
        <w:t xml:space="preserve"> </w:t>
      </w:r>
      <w:r w:rsidR="003166FF">
        <w:rPr>
          <w:rFonts w:cstheme="minorHAnsi"/>
          <w:sz w:val="24"/>
          <w:szCs w:val="24"/>
          <w:lang w:val="el-GR"/>
        </w:rPr>
        <w:t>κατά</w:t>
      </w:r>
      <w:r w:rsidR="003166FF" w:rsidRPr="003166FF">
        <w:rPr>
          <w:rFonts w:cstheme="minorHAnsi"/>
          <w:sz w:val="24"/>
          <w:szCs w:val="24"/>
          <w:lang w:val="el-GR"/>
        </w:rPr>
        <w:t xml:space="preserve"> </w:t>
      </w:r>
      <w:r w:rsidR="003166FF">
        <w:rPr>
          <w:rFonts w:cstheme="minorHAnsi"/>
          <w:sz w:val="24"/>
          <w:szCs w:val="24"/>
          <w:lang w:val="el-GR"/>
        </w:rPr>
        <w:t>τα</w:t>
      </w:r>
      <w:r w:rsidR="003166FF" w:rsidRPr="003166FF">
        <w:rPr>
          <w:rFonts w:cstheme="minorHAnsi"/>
          <w:sz w:val="24"/>
          <w:szCs w:val="24"/>
          <w:lang w:val="el-GR"/>
        </w:rPr>
        <w:t xml:space="preserve"> </w:t>
      </w:r>
      <w:r w:rsidR="003166FF">
        <w:rPr>
          <w:rFonts w:cstheme="minorHAnsi"/>
          <w:sz w:val="24"/>
          <w:szCs w:val="24"/>
          <w:lang w:val="el-GR"/>
        </w:rPr>
        <w:t>τελευταία</w:t>
      </w:r>
      <w:r w:rsidR="003166FF" w:rsidRPr="003166FF">
        <w:rPr>
          <w:rFonts w:cstheme="minorHAnsi"/>
          <w:sz w:val="24"/>
          <w:szCs w:val="24"/>
          <w:lang w:val="el-GR"/>
        </w:rPr>
        <w:t xml:space="preserve"> </w:t>
      </w:r>
      <w:r w:rsidR="003166FF">
        <w:rPr>
          <w:rFonts w:cstheme="minorHAnsi"/>
          <w:sz w:val="24"/>
          <w:szCs w:val="24"/>
          <w:lang w:val="el-GR"/>
        </w:rPr>
        <w:t>πέντε</w:t>
      </w:r>
      <w:r w:rsidR="003166FF" w:rsidRPr="003166FF">
        <w:rPr>
          <w:rFonts w:cstheme="minorHAnsi"/>
          <w:sz w:val="24"/>
          <w:szCs w:val="24"/>
          <w:lang w:val="el-GR"/>
        </w:rPr>
        <w:t xml:space="preserve"> </w:t>
      </w:r>
      <w:r w:rsidR="003166FF">
        <w:rPr>
          <w:rFonts w:cstheme="minorHAnsi"/>
          <w:sz w:val="24"/>
          <w:szCs w:val="24"/>
          <w:lang w:val="el-GR"/>
        </w:rPr>
        <w:t>χρόνια</w:t>
      </w:r>
      <w:r w:rsidR="00D13E00" w:rsidRPr="003166FF">
        <w:rPr>
          <w:rFonts w:cstheme="minorHAnsi"/>
          <w:sz w:val="24"/>
          <w:szCs w:val="24"/>
          <w:lang w:val="el-GR"/>
        </w:rPr>
        <w:t>.</w:t>
      </w:r>
      <w:r w:rsidR="0037799E">
        <w:rPr>
          <w:rStyle w:val="FootnoteReference"/>
          <w:rFonts w:cstheme="minorHAnsi"/>
          <w:sz w:val="24"/>
          <w:szCs w:val="24"/>
        </w:rPr>
        <w:footnoteReference w:id="6"/>
      </w:r>
      <w:r w:rsidR="00A5147D" w:rsidRPr="003166FF">
        <w:rPr>
          <w:rFonts w:cstheme="minorHAnsi"/>
          <w:sz w:val="24"/>
          <w:szCs w:val="24"/>
          <w:lang w:val="el-GR"/>
        </w:rPr>
        <w:t xml:space="preserve"> </w:t>
      </w:r>
    </w:p>
    <w:p w14:paraId="3641845E" w14:textId="2E2234C3" w:rsidR="00A5147D" w:rsidRPr="003166FF" w:rsidRDefault="00A5147D" w:rsidP="00A5147D">
      <w:pPr>
        <w:rPr>
          <w:rFonts w:cstheme="minorHAnsi"/>
          <w:sz w:val="24"/>
          <w:szCs w:val="24"/>
          <w:lang w:val="el-GR"/>
        </w:rPr>
      </w:pPr>
    </w:p>
    <w:p w14:paraId="0A7FC7BE" w14:textId="6E95CD4A" w:rsidR="00A5147D" w:rsidRPr="00067A23" w:rsidRDefault="003166FF" w:rsidP="00A5147D">
      <w:pPr>
        <w:pStyle w:val="ListParagraph"/>
        <w:numPr>
          <w:ilvl w:val="0"/>
          <w:numId w:val="1"/>
        </w:numPr>
        <w:tabs>
          <w:tab w:val="clear" w:pos="6095"/>
        </w:tabs>
        <w:ind w:left="0" w:firstLine="0"/>
        <w:rPr>
          <w:rFonts w:cstheme="minorHAnsi"/>
          <w:sz w:val="24"/>
          <w:szCs w:val="24"/>
          <w:lang w:val="el-GR"/>
        </w:rPr>
      </w:pPr>
      <w:r>
        <w:rPr>
          <w:rFonts w:cstheme="minorHAnsi"/>
          <w:sz w:val="24"/>
          <w:szCs w:val="24"/>
          <w:lang w:val="el-GR"/>
        </w:rPr>
        <w:t>Σύμφωνα</w:t>
      </w:r>
      <w:r w:rsidRPr="003166FF">
        <w:rPr>
          <w:rFonts w:cstheme="minorHAnsi"/>
          <w:sz w:val="24"/>
          <w:szCs w:val="24"/>
          <w:lang w:val="el-GR"/>
        </w:rPr>
        <w:t xml:space="preserve"> </w:t>
      </w:r>
      <w:r>
        <w:rPr>
          <w:rFonts w:cstheme="minorHAnsi"/>
          <w:sz w:val="24"/>
          <w:szCs w:val="24"/>
          <w:lang w:val="el-GR"/>
        </w:rPr>
        <w:t>με</w:t>
      </w:r>
      <w:r w:rsidRPr="003166FF">
        <w:rPr>
          <w:rFonts w:cstheme="minorHAnsi"/>
          <w:sz w:val="24"/>
          <w:szCs w:val="24"/>
          <w:lang w:val="el-GR"/>
        </w:rPr>
        <w:t xml:space="preserve"> </w:t>
      </w:r>
      <w:r>
        <w:rPr>
          <w:rFonts w:cstheme="minorHAnsi"/>
          <w:sz w:val="24"/>
          <w:szCs w:val="24"/>
          <w:lang w:val="el-GR"/>
        </w:rPr>
        <w:t>το</w:t>
      </w:r>
      <w:r w:rsidR="00A5147D" w:rsidRPr="003166FF">
        <w:rPr>
          <w:rFonts w:cstheme="minorHAnsi"/>
          <w:sz w:val="24"/>
          <w:szCs w:val="24"/>
          <w:lang w:val="el-GR"/>
        </w:rPr>
        <w:t xml:space="preserve"> </w:t>
      </w:r>
      <w:hyperlink r:id="rId12" w:history="1">
        <w:r w:rsidR="00A5147D" w:rsidRPr="003166FF">
          <w:rPr>
            <w:rStyle w:val="Hyperlink"/>
            <w:rFonts w:cstheme="minorHAnsi"/>
            <w:color w:val="000000" w:themeColor="text1"/>
            <w:sz w:val="24"/>
            <w:szCs w:val="24"/>
            <w:lang w:val="el-GR"/>
          </w:rPr>
          <w:t xml:space="preserve">2022 </w:t>
        </w:r>
        <w:r w:rsidR="00A5147D" w:rsidRPr="003166FF">
          <w:rPr>
            <w:rStyle w:val="Hyperlink"/>
            <w:rFonts w:cstheme="minorHAnsi"/>
            <w:color w:val="000000" w:themeColor="text1"/>
            <w:sz w:val="24"/>
            <w:szCs w:val="24"/>
          </w:rPr>
          <w:t>Special</w:t>
        </w:r>
        <w:r w:rsidR="00A5147D" w:rsidRPr="003166FF">
          <w:rPr>
            <w:rStyle w:val="Hyperlink"/>
            <w:rFonts w:cstheme="minorHAnsi"/>
            <w:color w:val="000000" w:themeColor="text1"/>
            <w:sz w:val="24"/>
            <w:szCs w:val="24"/>
            <w:lang w:val="el-GR"/>
          </w:rPr>
          <w:t xml:space="preserve"> </w:t>
        </w:r>
        <w:r w:rsidR="00A5147D" w:rsidRPr="003166FF">
          <w:rPr>
            <w:rStyle w:val="Hyperlink"/>
            <w:rFonts w:cstheme="minorHAnsi"/>
            <w:color w:val="000000" w:themeColor="text1"/>
            <w:sz w:val="24"/>
            <w:szCs w:val="24"/>
          </w:rPr>
          <w:t>Eurobarometer</w:t>
        </w:r>
        <w:r w:rsidR="00A5147D" w:rsidRPr="003166FF">
          <w:rPr>
            <w:rStyle w:val="Hyperlink"/>
            <w:rFonts w:cstheme="minorHAnsi"/>
            <w:color w:val="000000" w:themeColor="text1"/>
            <w:sz w:val="24"/>
            <w:szCs w:val="24"/>
            <w:lang w:val="el-GR"/>
          </w:rPr>
          <w:t xml:space="preserve"> </w:t>
        </w:r>
        <w:r w:rsidR="00A5147D" w:rsidRPr="003166FF">
          <w:rPr>
            <w:rStyle w:val="Hyperlink"/>
            <w:rFonts w:cstheme="minorHAnsi"/>
            <w:color w:val="000000" w:themeColor="text1"/>
            <w:sz w:val="24"/>
            <w:szCs w:val="24"/>
          </w:rPr>
          <w:t>on</w:t>
        </w:r>
        <w:r w:rsidR="00A5147D" w:rsidRPr="003166FF">
          <w:rPr>
            <w:rStyle w:val="Hyperlink"/>
            <w:rFonts w:cstheme="minorHAnsi"/>
            <w:color w:val="000000" w:themeColor="text1"/>
            <w:sz w:val="24"/>
            <w:szCs w:val="24"/>
            <w:lang w:val="el-GR"/>
          </w:rPr>
          <w:t xml:space="preserve"> </w:t>
        </w:r>
        <w:r w:rsidR="00A5147D" w:rsidRPr="003166FF">
          <w:rPr>
            <w:rStyle w:val="Hyperlink"/>
            <w:rFonts w:cstheme="minorHAnsi"/>
            <w:color w:val="000000" w:themeColor="text1"/>
            <w:sz w:val="24"/>
            <w:szCs w:val="24"/>
          </w:rPr>
          <w:t>Corruption</w:t>
        </w:r>
      </w:hyperlink>
      <w:r w:rsidR="00A5147D" w:rsidRPr="003166FF">
        <w:rPr>
          <w:rFonts w:cstheme="minorHAnsi"/>
          <w:sz w:val="24"/>
          <w:szCs w:val="24"/>
          <w:lang w:val="el-GR"/>
        </w:rPr>
        <w:t xml:space="preserve">, </w:t>
      </w:r>
      <w:bookmarkStart w:id="17" w:name="_Hlk117276676"/>
      <w:r w:rsidR="00A5147D" w:rsidRPr="003166FF">
        <w:rPr>
          <w:rFonts w:cstheme="minorHAnsi"/>
          <w:sz w:val="24"/>
          <w:szCs w:val="24"/>
          <w:lang w:val="el-GR"/>
        </w:rPr>
        <w:t xml:space="preserve">94% </w:t>
      </w:r>
      <w:r>
        <w:rPr>
          <w:rFonts w:cstheme="minorHAnsi"/>
          <w:sz w:val="24"/>
          <w:szCs w:val="24"/>
          <w:lang w:val="el-GR"/>
        </w:rPr>
        <w:t>από</w:t>
      </w:r>
      <w:r w:rsidRPr="003166FF">
        <w:rPr>
          <w:rFonts w:cstheme="minorHAnsi"/>
          <w:sz w:val="24"/>
          <w:szCs w:val="24"/>
          <w:lang w:val="el-GR"/>
        </w:rPr>
        <w:t xml:space="preserve"> </w:t>
      </w:r>
      <w:r>
        <w:rPr>
          <w:rFonts w:cstheme="minorHAnsi"/>
          <w:sz w:val="24"/>
          <w:szCs w:val="24"/>
          <w:lang w:val="el-GR"/>
        </w:rPr>
        <w:t>τους</w:t>
      </w:r>
      <w:r w:rsidRPr="003166FF">
        <w:rPr>
          <w:rFonts w:cstheme="minorHAnsi"/>
          <w:sz w:val="24"/>
          <w:szCs w:val="24"/>
          <w:lang w:val="el-GR"/>
        </w:rPr>
        <w:t xml:space="preserve"> </w:t>
      </w:r>
      <w:r>
        <w:rPr>
          <w:rFonts w:cstheme="minorHAnsi"/>
          <w:sz w:val="24"/>
          <w:szCs w:val="24"/>
          <w:lang w:val="el-GR"/>
        </w:rPr>
        <w:t>αποκρινόμενους</w:t>
      </w:r>
      <w:r w:rsidR="00A5147D" w:rsidRPr="003166FF">
        <w:rPr>
          <w:rFonts w:cstheme="minorHAnsi"/>
          <w:sz w:val="24"/>
          <w:szCs w:val="24"/>
          <w:lang w:val="el-GR"/>
        </w:rPr>
        <w:t xml:space="preserve"> </w:t>
      </w:r>
      <w:r>
        <w:rPr>
          <w:rFonts w:cstheme="minorHAnsi"/>
          <w:sz w:val="24"/>
          <w:szCs w:val="24"/>
          <w:lang w:val="el-GR"/>
        </w:rPr>
        <w:t>θεωρούν</w:t>
      </w:r>
      <w:r w:rsidRPr="003166FF">
        <w:rPr>
          <w:rFonts w:cstheme="minorHAnsi"/>
          <w:sz w:val="24"/>
          <w:szCs w:val="24"/>
          <w:lang w:val="el-GR"/>
        </w:rPr>
        <w:t xml:space="preserve"> </w:t>
      </w:r>
      <w:r>
        <w:rPr>
          <w:rFonts w:cstheme="minorHAnsi"/>
          <w:sz w:val="24"/>
          <w:szCs w:val="24"/>
          <w:lang w:val="el-GR"/>
        </w:rPr>
        <w:t>ότι</w:t>
      </w:r>
      <w:r w:rsidRPr="003166FF">
        <w:rPr>
          <w:rFonts w:cstheme="minorHAnsi"/>
          <w:sz w:val="24"/>
          <w:szCs w:val="24"/>
          <w:lang w:val="el-GR"/>
        </w:rPr>
        <w:t xml:space="preserve"> </w:t>
      </w:r>
      <w:r>
        <w:rPr>
          <w:rFonts w:cstheme="minorHAnsi"/>
          <w:sz w:val="24"/>
          <w:szCs w:val="24"/>
          <w:lang w:val="el-GR"/>
        </w:rPr>
        <w:t>η</w:t>
      </w:r>
      <w:r w:rsidRPr="003166FF">
        <w:rPr>
          <w:rFonts w:cstheme="minorHAnsi"/>
          <w:sz w:val="24"/>
          <w:szCs w:val="24"/>
          <w:lang w:val="el-GR"/>
        </w:rPr>
        <w:t xml:space="preserve"> </w:t>
      </w:r>
      <w:r>
        <w:rPr>
          <w:rFonts w:cstheme="minorHAnsi"/>
          <w:sz w:val="24"/>
          <w:szCs w:val="24"/>
          <w:lang w:val="el-GR"/>
        </w:rPr>
        <w:t>διαφθορά</w:t>
      </w:r>
      <w:r w:rsidRPr="003166FF">
        <w:rPr>
          <w:rFonts w:cstheme="minorHAnsi"/>
          <w:sz w:val="24"/>
          <w:szCs w:val="24"/>
          <w:lang w:val="el-GR"/>
        </w:rPr>
        <w:t xml:space="preserve"> </w:t>
      </w:r>
      <w:r>
        <w:rPr>
          <w:rFonts w:cstheme="minorHAnsi"/>
          <w:sz w:val="24"/>
          <w:szCs w:val="24"/>
          <w:lang w:val="el-GR"/>
        </w:rPr>
        <w:t>είναι</w:t>
      </w:r>
      <w:r w:rsidRPr="003166FF">
        <w:rPr>
          <w:rFonts w:cstheme="minorHAnsi"/>
          <w:sz w:val="24"/>
          <w:szCs w:val="24"/>
          <w:lang w:val="el-GR"/>
        </w:rPr>
        <w:t xml:space="preserve"> </w:t>
      </w:r>
      <w:r>
        <w:rPr>
          <w:rFonts w:cstheme="minorHAnsi"/>
          <w:sz w:val="24"/>
          <w:szCs w:val="24"/>
          <w:lang w:val="el-GR"/>
        </w:rPr>
        <w:t>διαδεδομένη</w:t>
      </w:r>
      <w:r w:rsidRPr="003166FF">
        <w:rPr>
          <w:rFonts w:cstheme="minorHAnsi"/>
          <w:sz w:val="24"/>
          <w:szCs w:val="24"/>
          <w:lang w:val="el-GR"/>
        </w:rPr>
        <w:t xml:space="preserve"> </w:t>
      </w:r>
      <w:r>
        <w:rPr>
          <w:rFonts w:cstheme="minorHAnsi"/>
          <w:sz w:val="24"/>
          <w:szCs w:val="24"/>
          <w:lang w:val="el-GR"/>
        </w:rPr>
        <w:t>στην</w:t>
      </w:r>
      <w:r w:rsidRPr="003166FF">
        <w:rPr>
          <w:rFonts w:cstheme="minorHAnsi"/>
          <w:sz w:val="24"/>
          <w:szCs w:val="24"/>
          <w:lang w:val="el-GR"/>
        </w:rPr>
        <w:t xml:space="preserve"> </w:t>
      </w:r>
      <w:r>
        <w:rPr>
          <w:rFonts w:cstheme="minorHAnsi"/>
          <w:sz w:val="24"/>
          <w:szCs w:val="24"/>
          <w:lang w:val="el-GR"/>
        </w:rPr>
        <w:t>Κύπρο</w:t>
      </w:r>
      <w:r w:rsidR="00A5147D" w:rsidRPr="003166FF">
        <w:rPr>
          <w:rFonts w:cstheme="minorHAnsi"/>
          <w:sz w:val="24"/>
          <w:szCs w:val="24"/>
          <w:lang w:val="el-GR"/>
        </w:rPr>
        <w:t xml:space="preserve"> (</w:t>
      </w:r>
      <w:r>
        <w:rPr>
          <w:rFonts w:cstheme="minorHAnsi"/>
          <w:sz w:val="24"/>
          <w:szCs w:val="24"/>
          <w:lang w:val="el-GR"/>
        </w:rPr>
        <w:t>μέσος</w:t>
      </w:r>
      <w:r w:rsidRPr="003166FF">
        <w:rPr>
          <w:rFonts w:cstheme="minorHAnsi"/>
          <w:sz w:val="24"/>
          <w:szCs w:val="24"/>
          <w:lang w:val="el-GR"/>
        </w:rPr>
        <w:t xml:space="preserve"> </w:t>
      </w:r>
      <w:r>
        <w:rPr>
          <w:rFonts w:cstheme="minorHAnsi"/>
          <w:sz w:val="24"/>
          <w:szCs w:val="24"/>
          <w:lang w:val="el-GR"/>
        </w:rPr>
        <w:t>όρος στην ΕΕ</w:t>
      </w:r>
      <w:r w:rsidR="00A5147D" w:rsidRPr="003166FF">
        <w:rPr>
          <w:rFonts w:cstheme="minorHAnsi"/>
          <w:sz w:val="24"/>
          <w:szCs w:val="24"/>
          <w:lang w:val="el-GR"/>
        </w:rPr>
        <w:t xml:space="preserve">: 68%) </w:t>
      </w:r>
      <w:r>
        <w:rPr>
          <w:rFonts w:cstheme="minorHAnsi"/>
          <w:sz w:val="24"/>
          <w:szCs w:val="24"/>
          <w:lang w:val="el-GR"/>
        </w:rPr>
        <w:t>και</w:t>
      </w:r>
      <w:r w:rsidR="00A5147D" w:rsidRPr="003166FF">
        <w:rPr>
          <w:rFonts w:cstheme="minorHAnsi"/>
          <w:sz w:val="24"/>
          <w:szCs w:val="24"/>
          <w:lang w:val="el-GR"/>
        </w:rPr>
        <w:t xml:space="preserve"> 57% </w:t>
      </w:r>
      <w:r>
        <w:rPr>
          <w:rFonts w:cstheme="minorHAnsi"/>
          <w:sz w:val="24"/>
          <w:szCs w:val="24"/>
          <w:lang w:val="el-GR"/>
        </w:rPr>
        <w:t>από τους αποκρινόμενους</w:t>
      </w:r>
      <w:r w:rsidR="00A5147D" w:rsidRPr="003166FF">
        <w:rPr>
          <w:rFonts w:cstheme="minorHAnsi"/>
          <w:sz w:val="24"/>
          <w:szCs w:val="24"/>
          <w:lang w:val="el-GR"/>
        </w:rPr>
        <w:t xml:space="preserve"> </w:t>
      </w:r>
      <w:r>
        <w:rPr>
          <w:rFonts w:cstheme="minorHAnsi"/>
          <w:sz w:val="24"/>
          <w:szCs w:val="24"/>
          <w:lang w:val="el-GR"/>
        </w:rPr>
        <w:t>νιώθουν ότι έχουν επηρεασθεί προσωπικά από την διαφθορά</w:t>
      </w:r>
      <w:r w:rsidR="00A5147D" w:rsidRPr="003166FF">
        <w:rPr>
          <w:rFonts w:cstheme="minorHAnsi"/>
          <w:sz w:val="24"/>
          <w:szCs w:val="24"/>
          <w:lang w:val="el-GR"/>
        </w:rPr>
        <w:t xml:space="preserve"> </w:t>
      </w:r>
      <w:r>
        <w:rPr>
          <w:rFonts w:cstheme="minorHAnsi"/>
          <w:sz w:val="24"/>
          <w:szCs w:val="24"/>
          <w:lang w:val="el-GR"/>
        </w:rPr>
        <w:t>στην προσωπική τους ζωή</w:t>
      </w:r>
      <w:r w:rsidR="00A5147D" w:rsidRPr="003166FF">
        <w:rPr>
          <w:rFonts w:cstheme="minorHAnsi"/>
          <w:sz w:val="24"/>
          <w:szCs w:val="24"/>
          <w:lang w:val="el-GR"/>
        </w:rPr>
        <w:t xml:space="preserve"> (</w:t>
      </w:r>
      <w:r>
        <w:rPr>
          <w:rFonts w:cstheme="minorHAnsi"/>
          <w:sz w:val="24"/>
          <w:szCs w:val="24"/>
          <w:lang w:val="el-GR"/>
        </w:rPr>
        <w:t>μέσος όρος ΕΕ</w:t>
      </w:r>
      <w:r w:rsidR="00A5147D" w:rsidRPr="003166FF">
        <w:rPr>
          <w:rFonts w:cstheme="minorHAnsi"/>
          <w:sz w:val="24"/>
          <w:szCs w:val="24"/>
          <w:lang w:val="el-GR"/>
        </w:rPr>
        <w:t xml:space="preserve">: 24%). </w:t>
      </w:r>
      <w:r>
        <w:rPr>
          <w:rFonts w:cstheme="minorHAnsi"/>
          <w:sz w:val="24"/>
          <w:szCs w:val="24"/>
          <w:lang w:val="el-GR"/>
        </w:rPr>
        <w:t>Επιπλέον</w:t>
      </w:r>
      <w:r w:rsidR="00A5147D" w:rsidRPr="003166FF">
        <w:rPr>
          <w:rFonts w:cstheme="minorHAnsi"/>
          <w:sz w:val="24"/>
          <w:szCs w:val="24"/>
          <w:lang w:val="el-GR"/>
        </w:rPr>
        <w:t xml:space="preserve">, 70% </w:t>
      </w:r>
      <w:r>
        <w:rPr>
          <w:rFonts w:cstheme="minorHAnsi"/>
          <w:sz w:val="24"/>
          <w:szCs w:val="24"/>
          <w:lang w:val="el-GR"/>
        </w:rPr>
        <w:t>από</w:t>
      </w:r>
      <w:r w:rsidRPr="003166FF">
        <w:rPr>
          <w:rFonts w:cstheme="minorHAnsi"/>
          <w:sz w:val="24"/>
          <w:szCs w:val="24"/>
          <w:lang w:val="el-GR"/>
        </w:rPr>
        <w:t xml:space="preserve"> </w:t>
      </w:r>
      <w:r>
        <w:rPr>
          <w:rFonts w:cstheme="minorHAnsi"/>
          <w:sz w:val="24"/>
          <w:szCs w:val="24"/>
          <w:lang w:val="el-GR"/>
        </w:rPr>
        <w:t>τους</w:t>
      </w:r>
      <w:r w:rsidRPr="003166FF">
        <w:rPr>
          <w:rFonts w:cstheme="minorHAnsi"/>
          <w:sz w:val="24"/>
          <w:szCs w:val="24"/>
          <w:lang w:val="el-GR"/>
        </w:rPr>
        <w:t xml:space="preserve"> </w:t>
      </w:r>
      <w:r>
        <w:rPr>
          <w:rFonts w:cstheme="minorHAnsi"/>
          <w:sz w:val="24"/>
          <w:szCs w:val="24"/>
          <w:lang w:val="el-GR"/>
        </w:rPr>
        <w:t>αποκρινόμενους</w:t>
      </w:r>
      <w:r w:rsidR="00A5147D" w:rsidRPr="003166FF">
        <w:rPr>
          <w:rFonts w:cstheme="minorHAnsi"/>
          <w:sz w:val="24"/>
          <w:szCs w:val="24"/>
          <w:lang w:val="el-GR"/>
        </w:rPr>
        <w:t xml:space="preserve"> </w:t>
      </w:r>
      <w:r>
        <w:rPr>
          <w:rFonts w:cstheme="minorHAnsi"/>
          <w:sz w:val="24"/>
          <w:szCs w:val="24"/>
          <w:lang w:val="el-GR"/>
        </w:rPr>
        <w:t>πιστεύουν</w:t>
      </w:r>
      <w:r w:rsidRPr="003166FF">
        <w:rPr>
          <w:rFonts w:cstheme="minorHAnsi"/>
          <w:sz w:val="24"/>
          <w:szCs w:val="24"/>
          <w:lang w:val="el-GR"/>
        </w:rPr>
        <w:t xml:space="preserve"> </w:t>
      </w:r>
      <w:r>
        <w:rPr>
          <w:rFonts w:cstheme="minorHAnsi"/>
          <w:sz w:val="24"/>
          <w:szCs w:val="24"/>
          <w:lang w:val="el-GR"/>
        </w:rPr>
        <w:t>ότι η διαφθορά</w:t>
      </w:r>
      <w:r w:rsidR="00A5147D" w:rsidRPr="003166FF">
        <w:rPr>
          <w:rFonts w:cstheme="minorHAnsi"/>
          <w:sz w:val="24"/>
          <w:szCs w:val="24"/>
          <w:lang w:val="el-GR"/>
        </w:rPr>
        <w:t xml:space="preserve"> </w:t>
      </w:r>
      <w:r>
        <w:rPr>
          <w:rFonts w:cstheme="minorHAnsi"/>
          <w:sz w:val="24"/>
          <w:szCs w:val="24"/>
          <w:lang w:val="el-GR"/>
        </w:rPr>
        <w:t>είναι διαδεδομένη</w:t>
      </w:r>
      <w:r w:rsidR="00A5147D" w:rsidRPr="003166FF">
        <w:rPr>
          <w:rFonts w:cstheme="minorHAnsi"/>
          <w:sz w:val="24"/>
          <w:szCs w:val="24"/>
          <w:lang w:val="el-GR"/>
        </w:rPr>
        <w:t xml:space="preserve"> </w:t>
      </w:r>
      <w:r>
        <w:rPr>
          <w:rFonts w:cstheme="minorHAnsi"/>
          <w:sz w:val="24"/>
          <w:szCs w:val="24"/>
          <w:lang w:val="el-GR"/>
        </w:rPr>
        <w:t>ανάμεσα στους πολιτικούς</w:t>
      </w:r>
      <w:r w:rsidR="00A5147D" w:rsidRPr="003166FF">
        <w:rPr>
          <w:rFonts w:cstheme="minorHAnsi"/>
          <w:sz w:val="24"/>
          <w:szCs w:val="24"/>
          <w:lang w:val="el-GR"/>
        </w:rPr>
        <w:t xml:space="preserve"> (</w:t>
      </w:r>
      <w:r>
        <w:rPr>
          <w:rFonts w:cstheme="minorHAnsi"/>
          <w:sz w:val="24"/>
          <w:szCs w:val="24"/>
          <w:lang w:val="el-GR"/>
        </w:rPr>
        <w:t>μέσος όρος ΕΕ</w:t>
      </w:r>
      <w:r w:rsidR="00A5147D" w:rsidRPr="003166FF">
        <w:rPr>
          <w:rFonts w:cstheme="minorHAnsi"/>
          <w:sz w:val="24"/>
          <w:szCs w:val="24"/>
          <w:lang w:val="el-GR"/>
        </w:rPr>
        <w:t xml:space="preserve">: 58%). </w:t>
      </w:r>
      <w:r>
        <w:rPr>
          <w:rFonts w:cstheme="minorHAnsi"/>
          <w:sz w:val="24"/>
          <w:szCs w:val="24"/>
          <w:lang w:val="el-GR"/>
        </w:rPr>
        <w:t>Μια</w:t>
      </w:r>
      <w:r w:rsidRPr="00067A23">
        <w:rPr>
          <w:rFonts w:cstheme="minorHAnsi"/>
          <w:sz w:val="24"/>
          <w:szCs w:val="24"/>
          <w:lang w:val="el-GR"/>
        </w:rPr>
        <w:t xml:space="preserve"> </w:t>
      </w:r>
      <w:r>
        <w:rPr>
          <w:rFonts w:cstheme="minorHAnsi"/>
          <w:sz w:val="24"/>
          <w:szCs w:val="24"/>
          <w:lang w:val="el-GR"/>
        </w:rPr>
        <w:t>μεγάλη</w:t>
      </w:r>
      <w:r w:rsidRPr="00067A23">
        <w:rPr>
          <w:rFonts w:cstheme="minorHAnsi"/>
          <w:sz w:val="24"/>
          <w:szCs w:val="24"/>
          <w:lang w:val="el-GR"/>
        </w:rPr>
        <w:t xml:space="preserve"> </w:t>
      </w:r>
      <w:r>
        <w:rPr>
          <w:rFonts w:cstheme="minorHAnsi"/>
          <w:sz w:val="24"/>
          <w:szCs w:val="24"/>
          <w:lang w:val="el-GR"/>
        </w:rPr>
        <w:t>πλειοψηφία</w:t>
      </w:r>
      <w:r w:rsidR="00A5147D" w:rsidRPr="00067A23">
        <w:rPr>
          <w:rFonts w:cstheme="minorHAnsi"/>
          <w:sz w:val="24"/>
          <w:szCs w:val="24"/>
          <w:lang w:val="el-GR"/>
        </w:rPr>
        <w:t xml:space="preserve"> (86%) </w:t>
      </w:r>
      <w:r>
        <w:rPr>
          <w:rFonts w:cstheme="minorHAnsi"/>
          <w:sz w:val="24"/>
          <w:szCs w:val="24"/>
          <w:lang w:val="el-GR"/>
        </w:rPr>
        <w:t>από</w:t>
      </w:r>
      <w:r w:rsidRPr="00067A23">
        <w:rPr>
          <w:rFonts w:cstheme="minorHAnsi"/>
          <w:sz w:val="24"/>
          <w:szCs w:val="24"/>
          <w:lang w:val="el-GR"/>
        </w:rPr>
        <w:t xml:space="preserve"> </w:t>
      </w:r>
      <w:r>
        <w:rPr>
          <w:rFonts w:cstheme="minorHAnsi"/>
          <w:sz w:val="24"/>
          <w:szCs w:val="24"/>
          <w:lang w:val="el-GR"/>
        </w:rPr>
        <w:t>τους</w:t>
      </w:r>
      <w:r w:rsidRPr="00067A23">
        <w:rPr>
          <w:rFonts w:cstheme="minorHAnsi"/>
          <w:sz w:val="24"/>
          <w:szCs w:val="24"/>
          <w:lang w:val="el-GR"/>
        </w:rPr>
        <w:t xml:space="preserve"> </w:t>
      </w:r>
      <w:r>
        <w:rPr>
          <w:rFonts w:cstheme="minorHAnsi"/>
          <w:sz w:val="24"/>
          <w:szCs w:val="24"/>
          <w:lang w:val="el-GR"/>
        </w:rPr>
        <w:t>αποκρινόμενους</w:t>
      </w:r>
      <w:r w:rsidR="00A5147D" w:rsidRPr="00067A23">
        <w:rPr>
          <w:rFonts w:cstheme="minorHAnsi"/>
          <w:sz w:val="24"/>
          <w:szCs w:val="24"/>
          <w:lang w:val="el-GR"/>
        </w:rPr>
        <w:t xml:space="preserve"> </w:t>
      </w:r>
      <w:r>
        <w:rPr>
          <w:rFonts w:cstheme="minorHAnsi"/>
          <w:sz w:val="24"/>
          <w:szCs w:val="24"/>
          <w:lang w:val="el-GR"/>
        </w:rPr>
        <w:t>πιστεύουν</w:t>
      </w:r>
      <w:r w:rsidRPr="00067A23">
        <w:rPr>
          <w:rFonts w:cstheme="minorHAnsi"/>
          <w:sz w:val="24"/>
          <w:szCs w:val="24"/>
          <w:lang w:val="el-GR"/>
        </w:rPr>
        <w:t xml:space="preserve"> </w:t>
      </w:r>
      <w:r>
        <w:rPr>
          <w:rFonts w:cstheme="minorHAnsi"/>
          <w:sz w:val="24"/>
          <w:szCs w:val="24"/>
          <w:lang w:val="el-GR"/>
        </w:rPr>
        <w:t>ότι</w:t>
      </w:r>
      <w:r w:rsidR="00A5147D" w:rsidRPr="00067A23">
        <w:rPr>
          <w:rFonts w:cstheme="minorHAnsi"/>
          <w:sz w:val="24"/>
          <w:szCs w:val="24"/>
          <w:lang w:val="el-GR"/>
        </w:rPr>
        <w:t xml:space="preserve"> </w:t>
      </w:r>
      <w:r w:rsidR="00067A23">
        <w:rPr>
          <w:rFonts w:cstheme="minorHAnsi"/>
          <w:sz w:val="24"/>
          <w:szCs w:val="24"/>
          <w:lang w:val="el-GR"/>
        </w:rPr>
        <w:t>η</w:t>
      </w:r>
      <w:r w:rsidR="00067A23" w:rsidRPr="00067A23">
        <w:rPr>
          <w:rFonts w:cstheme="minorHAnsi"/>
          <w:sz w:val="24"/>
          <w:szCs w:val="24"/>
          <w:lang w:val="el-GR"/>
        </w:rPr>
        <w:t xml:space="preserve"> </w:t>
      </w:r>
      <w:r w:rsidR="00067A23">
        <w:rPr>
          <w:rFonts w:cstheme="minorHAnsi"/>
          <w:sz w:val="24"/>
          <w:szCs w:val="24"/>
          <w:lang w:val="el-GR"/>
        </w:rPr>
        <w:t>χρήση</w:t>
      </w:r>
      <w:r w:rsidR="00067A23" w:rsidRPr="00067A23">
        <w:rPr>
          <w:rFonts w:cstheme="minorHAnsi"/>
          <w:sz w:val="24"/>
          <w:szCs w:val="24"/>
          <w:lang w:val="el-GR"/>
        </w:rPr>
        <w:t xml:space="preserve"> </w:t>
      </w:r>
      <w:r w:rsidR="00067A23">
        <w:rPr>
          <w:rFonts w:cstheme="minorHAnsi"/>
          <w:sz w:val="24"/>
          <w:szCs w:val="24"/>
          <w:lang w:val="el-GR"/>
        </w:rPr>
        <w:t>διασυνδέσεων</w:t>
      </w:r>
      <w:r w:rsidR="00A5147D" w:rsidRPr="00067A23">
        <w:rPr>
          <w:rFonts w:cstheme="minorHAnsi"/>
          <w:sz w:val="24"/>
          <w:szCs w:val="24"/>
          <w:lang w:val="el-GR"/>
        </w:rPr>
        <w:t xml:space="preserve"> </w:t>
      </w:r>
      <w:r w:rsidR="00067A23">
        <w:rPr>
          <w:rFonts w:cstheme="minorHAnsi"/>
          <w:sz w:val="24"/>
          <w:szCs w:val="24"/>
          <w:lang w:val="el-GR"/>
        </w:rPr>
        <w:t>είναι</w:t>
      </w:r>
      <w:r w:rsidR="00067A23" w:rsidRPr="00067A23">
        <w:rPr>
          <w:rFonts w:cstheme="minorHAnsi"/>
          <w:sz w:val="24"/>
          <w:szCs w:val="24"/>
          <w:lang w:val="el-GR"/>
        </w:rPr>
        <w:t xml:space="preserve"> </w:t>
      </w:r>
      <w:r w:rsidR="00067A23">
        <w:rPr>
          <w:rFonts w:cstheme="minorHAnsi"/>
          <w:sz w:val="24"/>
          <w:szCs w:val="24"/>
          <w:lang w:val="el-GR"/>
        </w:rPr>
        <w:t>ο</w:t>
      </w:r>
      <w:r w:rsidR="00067A23" w:rsidRPr="00067A23">
        <w:rPr>
          <w:rFonts w:cstheme="minorHAnsi"/>
          <w:sz w:val="24"/>
          <w:szCs w:val="24"/>
          <w:lang w:val="el-GR"/>
        </w:rPr>
        <w:t xml:space="preserve"> </w:t>
      </w:r>
      <w:r w:rsidR="00067A23">
        <w:rPr>
          <w:rFonts w:cstheme="minorHAnsi"/>
          <w:sz w:val="24"/>
          <w:szCs w:val="24"/>
          <w:lang w:val="el-GR"/>
        </w:rPr>
        <w:t>καλύτερος</w:t>
      </w:r>
      <w:r w:rsidR="00067A23" w:rsidRPr="00067A23">
        <w:rPr>
          <w:rFonts w:cstheme="minorHAnsi"/>
          <w:sz w:val="24"/>
          <w:szCs w:val="24"/>
          <w:lang w:val="el-GR"/>
        </w:rPr>
        <w:t xml:space="preserve"> </w:t>
      </w:r>
      <w:r w:rsidR="00067A23">
        <w:rPr>
          <w:rFonts w:cstheme="minorHAnsi"/>
          <w:sz w:val="24"/>
          <w:szCs w:val="24"/>
          <w:lang w:val="el-GR"/>
        </w:rPr>
        <w:t>τρόπος</w:t>
      </w:r>
      <w:r w:rsidR="00A5147D" w:rsidRPr="00067A23">
        <w:rPr>
          <w:rFonts w:cstheme="minorHAnsi"/>
          <w:sz w:val="24"/>
          <w:szCs w:val="24"/>
          <w:lang w:val="el-GR"/>
        </w:rPr>
        <w:t xml:space="preserve"> </w:t>
      </w:r>
      <w:r w:rsidR="00067A23">
        <w:rPr>
          <w:rFonts w:cstheme="minorHAnsi"/>
          <w:sz w:val="24"/>
          <w:szCs w:val="24"/>
          <w:lang w:val="el-GR"/>
        </w:rPr>
        <w:t>για να</w:t>
      </w:r>
      <w:r w:rsidR="00067A23" w:rsidRPr="00067A23">
        <w:rPr>
          <w:rFonts w:cstheme="minorHAnsi"/>
          <w:sz w:val="24"/>
          <w:szCs w:val="24"/>
          <w:lang w:val="el-GR"/>
        </w:rPr>
        <w:t xml:space="preserve"> </w:t>
      </w:r>
      <w:r w:rsidR="00067A23">
        <w:rPr>
          <w:rFonts w:cstheme="minorHAnsi"/>
          <w:sz w:val="24"/>
          <w:szCs w:val="24"/>
          <w:lang w:val="el-GR"/>
        </w:rPr>
        <w:t>εξασφαλίσεις κάποιες δημόσιες υπηρεσίες</w:t>
      </w:r>
      <w:r w:rsidR="00A5147D" w:rsidRPr="00067A23">
        <w:rPr>
          <w:rFonts w:cstheme="minorHAnsi"/>
          <w:sz w:val="24"/>
          <w:szCs w:val="24"/>
          <w:lang w:val="el-GR"/>
        </w:rPr>
        <w:t xml:space="preserve"> (</w:t>
      </w:r>
      <w:r w:rsidR="00067A23">
        <w:rPr>
          <w:rFonts w:cstheme="minorHAnsi"/>
          <w:sz w:val="24"/>
          <w:szCs w:val="24"/>
          <w:lang w:val="el-GR"/>
        </w:rPr>
        <w:t>μέσος όρος ΕΕ</w:t>
      </w:r>
      <w:r w:rsidR="00A5147D" w:rsidRPr="00067A23">
        <w:rPr>
          <w:rFonts w:cstheme="minorHAnsi"/>
          <w:sz w:val="24"/>
          <w:szCs w:val="24"/>
          <w:lang w:val="el-GR"/>
        </w:rPr>
        <w:t xml:space="preserve">: 53%) </w:t>
      </w:r>
      <w:r w:rsidR="00067A23">
        <w:rPr>
          <w:rFonts w:cstheme="minorHAnsi"/>
          <w:sz w:val="24"/>
          <w:szCs w:val="24"/>
          <w:lang w:val="el-GR"/>
        </w:rPr>
        <w:t>και</w:t>
      </w:r>
      <w:r w:rsidR="00A5147D" w:rsidRPr="00067A23">
        <w:rPr>
          <w:rFonts w:cstheme="minorHAnsi"/>
          <w:sz w:val="24"/>
          <w:szCs w:val="24"/>
          <w:lang w:val="el-GR"/>
        </w:rPr>
        <w:t xml:space="preserve"> 93% </w:t>
      </w:r>
      <w:r w:rsidR="00067A23">
        <w:rPr>
          <w:rFonts w:cstheme="minorHAnsi"/>
          <w:sz w:val="24"/>
          <w:szCs w:val="24"/>
          <w:lang w:val="el-GR"/>
        </w:rPr>
        <w:t>νομίζουν ότι οι πολύ στενές σχέσεις μεταξύ το</w:t>
      </w:r>
      <w:r w:rsidR="004E258C">
        <w:rPr>
          <w:rFonts w:cstheme="minorHAnsi"/>
          <w:sz w:val="24"/>
          <w:szCs w:val="24"/>
          <w:lang w:val="el-GR"/>
        </w:rPr>
        <w:t>υ</w:t>
      </w:r>
      <w:r w:rsidR="00067A23">
        <w:rPr>
          <w:rFonts w:cstheme="minorHAnsi"/>
          <w:sz w:val="24"/>
          <w:szCs w:val="24"/>
          <w:lang w:val="el-GR"/>
        </w:rPr>
        <w:t xml:space="preserve"> </w:t>
      </w:r>
      <w:proofErr w:type="spellStart"/>
      <w:r w:rsidR="00067A23">
        <w:rPr>
          <w:rFonts w:cstheme="minorHAnsi"/>
          <w:sz w:val="24"/>
          <w:szCs w:val="24"/>
          <w:lang w:val="el-GR"/>
        </w:rPr>
        <w:t>επιχειρείν</w:t>
      </w:r>
      <w:proofErr w:type="spellEnd"/>
      <w:r w:rsidR="00067A23">
        <w:rPr>
          <w:rFonts w:cstheme="minorHAnsi"/>
          <w:sz w:val="24"/>
          <w:szCs w:val="24"/>
          <w:lang w:val="el-GR"/>
        </w:rPr>
        <w:t xml:space="preserve"> και τη</w:t>
      </w:r>
      <w:r w:rsidR="004E258C">
        <w:rPr>
          <w:rFonts w:cstheme="minorHAnsi"/>
          <w:sz w:val="24"/>
          <w:szCs w:val="24"/>
          <w:lang w:val="el-GR"/>
        </w:rPr>
        <w:t>ς</w:t>
      </w:r>
      <w:r w:rsidR="00067A23">
        <w:rPr>
          <w:rFonts w:cstheme="minorHAnsi"/>
          <w:sz w:val="24"/>
          <w:szCs w:val="24"/>
          <w:lang w:val="el-GR"/>
        </w:rPr>
        <w:t xml:space="preserve"> πολιτική</w:t>
      </w:r>
      <w:r w:rsidR="004E258C">
        <w:rPr>
          <w:rFonts w:cstheme="minorHAnsi"/>
          <w:sz w:val="24"/>
          <w:szCs w:val="24"/>
          <w:lang w:val="el-GR"/>
        </w:rPr>
        <w:t>ς</w:t>
      </w:r>
      <w:r w:rsidR="00067A23">
        <w:rPr>
          <w:rFonts w:cstheme="minorHAnsi"/>
          <w:sz w:val="24"/>
          <w:szCs w:val="24"/>
          <w:lang w:val="el-GR"/>
        </w:rPr>
        <w:t xml:space="preserve"> οδηγούν στη διαφθορά</w:t>
      </w:r>
      <w:r w:rsidR="00A5147D" w:rsidRPr="00067A23">
        <w:rPr>
          <w:rFonts w:cstheme="minorHAnsi"/>
          <w:sz w:val="24"/>
          <w:szCs w:val="24"/>
          <w:lang w:val="el-GR"/>
        </w:rPr>
        <w:t xml:space="preserve"> (</w:t>
      </w:r>
      <w:r w:rsidR="00067A23">
        <w:rPr>
          <w:rFonts w:cstheme="minorHAnsi"/>
          <w:sz w:val="24"/>
          <w:szCs w:val="24"/>
          <w:lang w:val="el-GR"/>
        </w:rPr>
        <w:t xml:space="preserve">μέσος όρος </w:t>
      </w:r>
      <w:r w:rsidR="00A5147D" w:rsidRPr="004E251E">
        <w:rPr>
          <w:rFonts w:cstheme="minorHAnsi"/>
          <w:sz w:val="24"/>
          <w:szCs w:val="24"/>
        </w:rPr>
        <w:t>E</w:t>
      </w:r>
      <w:r w:rsidR="00067A23">
        <w:rPr>
          <w:rFonts w:cstheme="minorHAnsi"/>
          <w:sz w:val="24"/>
          <w:szCs w:val="24"/>
          <w:lang w:val="el-GR"/>
        </w:rPr>
        <w:t>Ε</w:t>
      </w:r>
      <w:r w:rsidR="00A5147D" w:rsidRPr="00067A23">
        <w:rPr>
          <w:rFonts w:cstheme="minorHAnsi"/>
          <w:sz w:val="24"/>
          <w:szCs w:val="24"/>
          <w:lang w:val="el-GR"/>
        </w:rPr>
        <w:t xml:space="preserve">: 77%). </w:t>
      </w:r>
    </w:p>
    <w:bookmarkEnd w:id="17"/>
    <w:p w14:paraId="631E8356" w14:textId="77777777" w:rsidR="00A5147D" w:rsidRPr="00067A23" w:rsidRDefault="00A5147D" w:rsidP="00A5147D">
      <w:pPr>
        <w:pStyle w:val="ListParagraph"/>
        <w:rPr>
          <w:rFonts w:cstheme="minorHAnsi"/>
          <w:sz w:val="24"/>
          <w:szCs w:val="24"/>
          <w:lang w:val="el-GR"/>
        </w:rPr>
      </w:pPr>
    </w:p>
    <w:p w14:paraId="24A166BE" w14:textId="6EF824AB" w:rsidR="00A5147D" w:rsidRPr="009B78E2" w:rsidRDefault="00067A23" w:rsidP="00A5147D">
      <w:pPr>
        <w:pStyle w:val="ListParagraph"/>
        <w:numPr>
          <w:ilvl w:val="0"/>
          <w:numId w:val="1"/>
        </w:numPr>
        <w:tabs>
          <w:tab w:val="clear" w:pos="6095"/>
        </w:tabs>
        <w:ind w:left="57" w:firstLine="0"/>
        <w:rPr>
          <w:rFonts w:cstheme="minorHAnsi"/>
          <w:b/>
          <w:bCs/>
          <w:color w:val="000000" w:themeColor="text1"/>
          <w:sz w:val="24"/>
          <w:szCs w:val="24"/>
          <w:lang w:val="el-GR"/>
        </w:rPr>
      </w:pPr>
      <w:r>
        <w:rPr>
          <w:rFonts w:cstheme="minorHAnsi"/>
          <w:sz w:val="24"/>
          <w:szCs w:val="24"/>
          <w:lang w:val="el-GR"/>
        </w:rPr>
        <w:t>Το</w:t>
      </w:r>
      <w:r w:rsidRPr="00067A23">
        <w:rPr>
          <w:rFonts w:cstheme="minorHAnsi"/>
          <w:sz w:val="24"/>
          <w:szCs w:val="24"/>
          <w:lang w:val="el-GR"/>
        </w:rPr>
        <w:t xml:space="preserve"> </w:t>
      </w:r>
      <w:r>
        <w:rPr>
          <w:rFonts w:cstheme="minorHAnsi"/>
          <w:sz w:val="24"/>
          <w:szCs w:val="24"/>
          <w:lang w:val="el-GR"/>
        </w:rPr>
        <w:t>ούτω</w:t>
      </w:r>
      <w:r w:rsidRPr="00067A23">
        <w:rPr>
          <w:rFonts w:cstheme="minorHAnsi"/>
          <w:sz w:val="24"/>
          <w:szCs w:val="24"/>
          <w:lang w:val="el-GR"/>
        </w:rPr>
        <w:t xml:space="preserve"> </w:t>
      </w:r>
      <w:r>
        <w:rPr>
          <w:rFonts w:cstheme="minorHAnsi"/>
          <w:sz w:val="24"/>
          <w:szCs w:val="24"/>
          <w:lang w:val="el-GR"/>
        </w:rPr>
        <w:t>καλούμενο</w:t>
      </w:r>
      <w:r w:rsidRPr="00067A23">
        <w:rPr>
          <w:rFonts w:cstheme="minorHAnsi"/>
          <w:sz w:val="24"/>
          <w:szCs w:val="24"/>
          <w:lang w:val="el-GR"/>
        </w:rPr>
        <w:t xml:space="preserve"> </w:t>
      </w:r>
      <w:r>
        <w:rPr>
          <w:rFonts w:cstheme="minorHAnsi"/>
          <w:sz w:val="24"/>
          <w:szCs w:val="24"/>
          <w:lang w:val="el-GR"/>
        </w:rPr>
        <w:t>σκάνδαλο</w:t>
      </w:r>
      <w:r w:rsidRPr="00067A23">
        <w:rPr>
          <w:rFonts w:cstheme="minorHAnsi"/>
          <w:sz w:val="24"/>
          <w:szCs w:val="24"/>
          <w:lang w:val="el-GR"/>
        </w:rPr>
        <w:t xml:space="preserve"> </w:t>
      </w:r>
      <w:r>
        <w:rPr>
          <w:rFonts w:cstheme="minorHAnsi"/>
          <w:sz w:val="24"/>
          <w:szCs w:val="24"/>
          <w:lang w:val="el-GR"/>
        </w:rPr>
        <w:t>των</w:t>
      </w:r>
      <w:r w:rsidRPr="00067A23">
        <w:rPr>
          <w:rFonts w:cstheme="minorHAnsi"/>
          <w:sz w:val="24"/>
          <w:szCs w:val="24"/>
          <w:lang w:val="el-GR"/>
        </w:rPr>
        <w:t xml:space="preserve"> «</w:t>
      </w:r>
      <w:r>
        <w:rPr>
          <w:rFonts w:cstheme="minorHAnsi"/>
          <w:sz w:val="24"/>
          <w:szCs w:val="24"/>
          <w:lang w:val="el-GR"/>
        </w:rPr>
        <w:t>χρυσών</w:t>
      </w:r>
      <w:r w:rsidRPr="00067A23">
        <w:rPr>
          <w:rFonts w:cstheme="minorHAnsi"/>
          <w:sz w:val="24"/>
          <w:szCs w:val="24"/>
          <w:lang w:val="el-GR"/>
        </w:rPr>
        <w:t xml:space="preserve"> </w:t>
      </w:r>
      <w:r>
        <w:rPr>
          <w:rFonts w:cstheme="minorHAnsi"/>
          <w:sz w:val="24"/>
          <w:szCs w:val="24"/>
          <w:lang w:val="el-GR"/>
        </w:rPr>
        <w:t>διαβατηρίων</w:t>
      </w:r>
      <w:r w:rsidRPr="00067A23">
        <w:rPr>
          <w:rFonts w:cstheme="minorHAnsi"/>
          <w:sz w:val="24"/>
          <w:szCs w:val="24"/>
          <w:lang w:val="el-GR"/>
        </w:rPr>
        <w:t>»</w:t>
      </w:r>
      <w:r w:rsidR="00A5147D" w:rsidRPr="00B95983">
        <w:rPr>
          <w:rStyle w:val="FootnoteReference"/>
          <w:rFonts w:cstheme="minorHAnsi"/>
          <w:sz w:val="24"/>
          <w:szCs w:val="24"/>
        </w:rPr>
        <w:footnoteReference w:id="7"/>
      </w:r>
      <w:r w:rsidR="00A5147D" w:rsidRPr="00067A23">
        <w:rPr>
          <w:rFonts w:cstheme="minorHAnsi"/>
          <w:sz w:val="24"/>
          <w:szCs w:val="24"/>
          <w:lang w:val="el-GR"/>
        </w:rPr>
        <w:t xml:space="preserve"> </w:t>
      </w:r>
      <w:r>
        <w:rPr>
          <w:rFonts w:cstheme="minorHAnsi"/>
          <w:sz w:val="24"/>
          <w:szCs w:val="24"/>
          <w:lang w:val="el-GR"/>
        </w:rPr>
        <w:t>προκάλεσε</w:t>
      </w:r>
      <w:r w:rsidRPr="00067A23">
        <w:rPr>
          <w:rFonts w:cstheme="minorHAnsi"/>
          <w:sz w:val="24"/>
          <w:szCs w:val="24"/>
          <w:lang w:val="el-GR"/>
        </w:rPr>
        <w:t xml:space="preserve"> </w:t>
      </w:r>
      <w:r>
        <w:rPr>
          <w:rFonts w:cstheme="minorHAnsi"/>
          <w:sz w:val="24"/>
          <w:szCs w:val="24"/>
          <w:lang w:val="el-GR"/>
        </w:rPr>
        <w:t>μια</w:t>
      </w:r>
      <w:r w:rsidRPr="00067A23">
        <w:rPr>
          <w:rFonts w:cstheme="minorHAnsi"/>
          <w:sz w:val="24"/>
          <w:szCs w:val="24"/>
          <w:lang w:val="el-GR"/>
        </w:rPr>
        <w:t xml:space="preserve"> </w:t>
      </w:r>
      <w:r>
        <w:rPr>
          <w:rFonts w:cstheme="minorHAnsi"/>
          <w:sz w:val="24"/>
          <w:szCs w:val="24"/>
          <w:lang w:val="el-GR"/>
        </w:rPr>
        <w:t>διαδικασία</w:t>
      </w:r>
      <w:r w:rsidRPr="00067A23">
        <w:rPr>
          <w:rFonts w:cstheme="minorHAnsi"/>
          <w:sz w:val="24"/>
          <w:szCs w:val="24"/>
          <w:lang w:val="el-GR"/>
        </w:rPr>
        <w:t xml:space="preserve"> </w:t>
      </w:r>
      <w:r>
        <w:rPr>
          <w:rFonts w:cstheme="minorHAnsi"/>
          <w:sz w:val="24"/>
          <w:szCs w:val="24"/>
          <w:lang w:val="el-GR"/>
        </w:rPr>
        <w:t xml:space="preserve">επί </w:t>
      </w:r>
      <w:proofErr w:type="spellStart"/>
      <w:r>
        <w:rPr>
          <w:rFonts w:cstheme="minorHAnsi"/>
          <w:sz w:val="24"/>
          <w:szCs w:val="24"/>
          <w:lang w:val="el-GR"/>
        </w:rPr>
        <w:t>παραβάσει</w:t>
      </w:r>
      <w:proofErr w:type="spellEnd"/>
      <w:r w:rsidR="00A5147D" w:rsidRPr="00067A23">
        <w:rPr>
          <w:rFonts w:cstheme="minorHAnsi"/>
          <w:sz w:val="24"/>
          <w:szCs w:val="24"/>
          <w:lang w:val="el-GR"/>
        </w:rPr>
        <w:t xml:space="preserve"> </w:t>
      </w:r>
      <w:r>
        <w:rPr>
          <w:rFonts w:cstheme="minorHAnsi"/>
          <w:sz w:val="24"/>
          <w:szCs w:val="24"/>
          <w:lang w:val="el-GR"/>
        </w:rPr>
        <w:t>της Ευρωπαϊκής Επιτροπής που αφορά την Κύπρο</w:t>
      </w:r>
      <w:r w:rsidR="00EF0546" w:rsidRPr="00B95983">
        <w:rPr>
          <w:rStyle w:val="FootnoteReference"/>
          <w:rFonts w:cstheme="minorHAnsi"/>
          <w:sz w:val="24"/>
          <w:szCs w:val="24"/>
        </w:rPr>
        <w:footnoteReference w:id="8"/>
      </w:r>
      <w:r w:rsidR="00A5147D" w:rsidRPr="00067A23">
        <w:rPr>
          <w:rFonts w:cstheme="minorHAnsi"/>
          <w:sz w:val="24"/>
          <w:szCs w:val="24"/>
          <w:lang w:val="el-GR"/>
        </w:rPr>
        <w:t>.</w:t>
      </w:r>
      <w:r w:rsidR="00EF0546" w:rsidRPr="00067A23">
        <w:rPr>
          <w:rFonts w:cstheme="minorHAnsi"/>
          <w:sz w:val="24"/>
          <w:szCs w:val="24"/>
          <w:lang w:val="el-GR"/>
        </w:rPr>
        <w:t xml:space="preserve"> </w:t>
      </w:r>
      <w:r w:rsidR="009A7774">
        <w:rPr>
          <w:rFonts w:cstheme="minorHAnsi"/>
          <w:sz w:val="24"/>
          <w:szCs w:val="24"/>
          <w:lang w:val="en-US"/>
        </w:rPr>
        <w:t>T</w:t>
      </w:r>
      <w:r w:rsidR="009A7774">
        <w:rPr>
          <w:rFonts w:cstheme="minorHAnsi"/>
          <w:sz w:val="24"/>
          <w:szCs w:val="24"/>
          <w:lang w:val="el-GR"/>
        </w:rPr>
        <w:t>ο</w:t>
      </w:r>
      <w:r w:rsidR="009A7774" w:rsidRPr="00DC0770">
        <w:rPr>
          <w:rFonts w:cstheme="minorHAnsi"/>
          <w:sz w:val="24"/>
          <w:szCs w:val="24"/>
          <w:lang w:val="el-GR"/>
        </w:rPr>
        <w:t xml:space="preserve"> </w:t>
      </w:r>
      <w:r w:rsidR="009A7774">
        <w:rPr>
          <w:rFonts w:cstheme="minorHAnsi"/>
          <w:sz w:val="24"/>
          <w:szCs w:val="24"/>
          <w:lang w:val="el-GR"/>
        </w:rPr>
        <w:lastRenderedPageBreak/>
        <w:t>πρόγραμμα</w:t>
      </w:r>
      <w:r w:rsidR="009A7774" w:rsidRPr="00DC0770">
        <w:rPr>
          <w:rFonts w:cstheme="minorHAnsi"/>
          <w:sz w:val="24"/>
          <w:szCs w:val="24"/>
          <w:lang w:val="el-GR"/>
        </w:rPr>
        <w:t xml:space="preserve"> </w:t>
      </w:r>
      <w:r w:rsidR="009A7774">
        <w:rPr>
          <w:rFonts w:cstheme="minorHAnsi"/>
          <w:sz w:val="24"/>
          <w:szCs w:val="24"/>
          <w:lang w:val="el-GR"/>
        </w:rPr>
        <w:t>υπηκοότητας</w:t>
      </w:r>
      <w:r w:rsidR="009A7774" w:rsidRPr="00DC0770">
        <w:rPr>
          <w:rFonts w:cstheme="minorHAnsi"/>
          <w:sz w:val="24"/>
          <w:szCs w:val="24"/>
          <w:lang w:val="el-GR"/>
        </w:rPr>
        <w:t xml:space="preserve"> </w:t>
      </w:r>
      <w:r w:rsidR="009A7774">
        <w:rPr>
          <w:rFonts w:cstheme="minorHAnsi"/>
          <w:sz w:val="24"/>
          <w:szCs w:val="24"/>
          <w:lang w:val="el-GR"/>
        </w:rPr>
        <w:t>επενδυτών</w:t>
      </w:r>
      <w:r w:rsidR="009A7774" w:rsidRPr="00DC0770">
        <w:rPr>
          <w:rFonts w:cstheme="minorHAnsi"/>
          <w:sz w:val="24"/>
          <w:szCs w:val="24"/>
          <w:lang w:val="el-GR"/>
        </w:rPr>
        <w:t xml:space="preserve"> </w:t>
      </w:r>
      <w:r w:rsidR="009A7774">
        <w:rPr>
          <w:rFonts w:cstheme="minorHAnsi"/>
          <w:sz w:val="24"/>
          <w:szCs w:val="24"/>
          <w:lang w:val="el-GR"/>
        </w:rPr>
        <w:t>καταργήθηκε</w:t>
      </w:r>
      <w:r w:rsidR="00BD0EBF">
        <w:rPr>
          <w:rFonts w:cstheme="minorHAnsi"/>
          <w:sz w:val="24"/>
          <w:szCs w:val="24"/>
          <w:lang w:val="el-GR"/>
        </w:rPr>
        <w:t xml:space="preserve"> σταδιακά</w:t>
      </w:r>
      <w:r w:rsidR="009A7774" w:rsidRPr="00DC0770">
        <w:rPr>
          <w:rFonts w:cstheme="minorHAnsi"/>
          <w:sz w:val="24"/>
          <w:szCs w:val="24"/>
          <w:lang w:val="el-GR"/>
        </w:rPr>
        <w:t xml:space="preserve"> </w:t>
      </w:r>
      <w:r w:rsidR="009A7774">
        <w:rPr>
          <w:rFonts w:cstheme="minorHAnsi"/>
          <w:sz w:val="24"/>
          <w:szCs w:val="24"/>
          <w:lang w:val="el-GR"/>
        </w:rPr>
        <w:t>την</w:t>
      </w:r>
      <w:r w:rsidR="009A7774" w:rsidRPr="00DC0770">
        <w:rPr>
          <w:rFonts w:cstheme="minorHAnsi"/>
          <w:sz w:val="24"/>
          <w:szCs w:val="24"/>
          <w:lang w:val="el-GR"/>
        </w:rPr>
        <w:t xml:space="preserve"> </w:t>
      </w:r>
      <w:r w:rsidR="00EF0546" w:rsidRPr="00DC0770">
        <w:rPr>
          <w:rFonts w:cstheme="minorHAnsi"/>
          <w:lang w:val="el-GR"/>
        </w:rPr>
        <w:t>1</w:t>
      </w:r>
      <w:r w:rsidR="009A7774" w:rsidRPr="009A7774">
        <w:rPr>
          <w:rFonts w:cstheme="minorHAnsi"/>
          <w:vertAlign w:val="superscript"/>
          <w:lang w:val="el-GR"/>
        </w:rPr>
        <w:t>η</w:t>
      </w:r>
      <w:r w:rsidR="009A7774" w:rsidRPr="00DC0770">
        <w:rPr>
          <w:rFonts w:cstheme="minorHAnsi"/>
          <w:lang w:val="el-GR"/>
        </w:rPr>
        <w:t xml:space="preserve"> </w:t>
      </w:r>
      <w:r w:rsidR="009A7774">
        <w:rPr>
          <w:rFonts w:cstheme="minorHAnsi"/>
          <w:lang w:val="el-GR"/>
        </w:rPr>
        <w:t>Νοεμβρίου</w:t>
      </w:r>
      <w:r w:rsidR="00EF0546" w:rsidRPr="00DC0770">
        <w:rPr>
          <w:rFonts w:cstheme="minorHAnsi"/>
          <w:lang w:val="el-GR"/>
        </w:rPr>
        <w:t xml:space="preserve"> 2020.</w:t>
      </w:r>
      <w:r w:rsidR="00A5147D" w:rsidRPr="00DC0770">
        <w:rPr>
          <w:rFonts w:cstheme="minorHAnsi"/>
          <w:sz w:val="24"/>
          <w:szCs w:val="24"/>
          <w:lang w:val="el-GR"/>
        </w:rPr>
        <w:t xml:space="preserve"> </w:t>
      </w:r>
      <w:r w:rsidR="009A7774">
        <w:rPr>
          <w:rFonts w:cstheme="minorHAnsi"/>
          <w:sz w:val="24"/>
          <w:szCs w:val="24"/>
          <w:lang w:val="el-GR"/>
        </w:rPr>
        <w:t>Έχουν</w:t>
      </w:r>
      <w:r w:rsidR="009A7774" w:rsidRPr="009A7774">
        <w:rPr>
          <w:rFonts w:cstheme="minorHAnsi"/>
          <w:sz w:val="24"/>
          <w:szCs w:val="24"/>
          <w:lang w:val="el-GR"/>
        </w:rPr>
        <w:t xml:space="preserve"> </w:t>
      </w:r>
      <w:r w:rsidR="009A7774">
        <w:rPr>
          <w:rFonts w:cstheme="minorHAnsi"/>
          <w:sz w:val="24"/>
          <w:szCs w:val="24"/>
          <w:lang w:val="el-GR"/>
        </w:rPr>
        <w:t>πραγματοποιηθεί</w:t>
      </w:r>
      <w:r w:rsidR="009A7774" w:rsidRPr="009A7774">
        <w:rPr>
          <w:rFonts w:cstheme="minorHAnsi"/>
          <w:sz w:val="24"/>
          <w:szCs w:val="24"/>
          <w:lang w:val="el-GR"/>
        </w:rPr>
        <w:t xml:space="preserve"> </w:t>
      </w:r>
      <w:r w:rsidR="009A7774">
        <w:rPr>
          <w:rFonts w:cstheme="minorHAnsi"/>
          <w:sz w:val="24"/>
          <w:szCs w:val="24"/>
          <w:lang w:val="el-GR"/>
        </w:rPr>
        <w:t>αρκετές</w:t>
      </w:r>
      <w:r w:rsidR="009A7774" w:rsidRPr="009A7774">
        <w:rPr>
          <w:rFonts w:cstheme="minorHAnsi"/>
          <w:sz w:val="24"/>
          <w:szCs w:val="24"/>
          <w:lang w:val="el-GR"/>
        </w:rPr>
        <w:t xml:space="preserve"> </w:t>
      </w:r>
      <w:r w:rsidR="009A7774">
        <w:rPr>
          <w:rFonts w:cstheme="minorHAnsi"/>
          <w:sz w:val="24"/>
          <w:szCs w:val="24"/>
          <w:lang w:val="el-GR"/>
        </w:rPr>
        <w:t>εσωτερικές</w:t>
      </w:r>
      <w:r w:rsidR="009A7774" w:rsidRPr="009A7774">
        <w:rPr>
          <w:rFonts w:cstheme="minorHAnsi"/>
          <w:sz w:val="24"/>
          <w:szCs w:val="24"/>
          <w:lang w:val="el-GR"/>
        </w:rPr>
        <w:t xml:space="preserve"> </w:t>
      </w:r>
      <w:r w:rsidR="009A7774">
        <w:rPr>
          <w:rFonts w:cstheme="minorHAnsi"/>
          <w:sz w:val="24"/>
          <w:szCs w:val="24"/>
          <w:lang w:val="el-GR"/>
        </w:rPr>
        <w:t>έρευνες</w:t>
      </w:r>
      <w:r w:rsidR="00A5147D" w:rsidRPr="009A7774">
        <w:rPr>
          <w:rFonts w:cstheme="minorHAnsi"/>
          <w:sz w:val="24"/>
          <w:szCs w:val="24"/>
          <w:lang w:val="el-GR"/>
        </w:rPr>
        <w:t xml:space="preserve"> </w:t>
      </w:r>
      <w:r w:rsidR="009A7774">
        <w:rPr>
          <w:rFonts w:cstheme="minorHAnsi"/>
          <w:sz w:val="24"/>
          <w:szCs w:val="24"/>
          <w:lang w:val="el-GR"/>
        </w:rPr>
        <w:t>γι</w:t>
      </w:r>
      <w:r w:rsidR="009A7774" w:rsidRPr="009A7774">
        <w:rPr>
          <w:rFonts w:cstheme="minorHAnsi"/>
          <w:sz w:val="24"/>
          <w:szCs w:val="24"/>
          <w:lang w:val="el-GR"/>
        </w:rPr>
        <w:t>’</w:t>
      </w:r>
      <w:r w:rsidR="00973266">
        <w:rPr>
          <w:rFonts w:cstheme="minorHAnsi"/>
          <w:sz w:val="24"/>
          <w:szCs w:val="24"/>
          <w:lang w:val="el-GR"/>
        </w:rPr>
        <w:t xml:space="preserve"> </w:t>
      </w:r>
      <w:r w:rsidR="009A7774">
        <w:rPr>
          <w:rFonts w:cstheme="minorHAnsi"/>
          <w:sz w:val="24"/>
          <w:szCs w:val="24"/>
          <w:lang w:val="el-GR"/>
        </w:rPr>
        <w:t>αυτό</w:t>
      </w:r>
      <w:r w:rsidR="00EF0546" w:rsidRPr="009A7774">
        <w:rPr>
          <w:rFonts w:cstheme="minorHAnsi"/>
          <w:sz w:val="24"/>
          <w:szCs w:val="24"/>
          <w:lang w:val="el-GR"/>
        </w:rPr>
        <w:t xml:space="preserve">: </w:t>
      </w:r>
      <w:r w:rsidR="009A7774">
        <w:rPr>
          <w:rFonts w:cstheme="minorHAnsi"/>
          <w:sz w:val="24"/>
          <w:szCs w:val="24"/>
          <w:lang w:val="el-GR"/>
        </w:rPr>
        <w:t>αυτές</w:t>
      </w:r>
      <w:r w:rsidR="009A7774" w:rsidRPr="009A7774">
        <w:rPr>
          <w:rFonts w:cstheme="minorHAnsi"/>
          <w:sz w:val="24"/>
          <w:szCs w:val="24"/>
          <w:lang w:val="el-GR"/>
        </w:rPr>
        <w:t xml:space="preserve"> </w:t>
      </w:r>
      <w:r w:rsidR="009A7774">
        <w:rPr>
          <w:rFonts w:cstheme="minorHAnsi"/>
          <w:sz w:val="24"/>
          <w:szCs w:val="24"/>
          <w:lang w:val="el-GR"/>
        </w:rPr>
        <w:t>έχουν</w:t>
      </w:r>
      <w:r w:rsidR="009A7774" w:rsidRPr="009A7774">
        <w:rPr>
          <w:rFonts w:cstheme="minorHAnsi"/>
          <w:sz w:val="24"/>
          <w:szCs w:val="24"/>
          <w:lang w:val="el-GR"/>
        </w:rPr>
        <w:t xml:space="preserve"> </w:t>
      </w:r>
      <w:r w:rsidR="009A7774">
        <w:rPr>
          <w:rFonts w:cstheme="minorHAnsi"/>
          <w:sz w:val="24"/>
          <w:szCs w:val="24"/>
          <w:lang w:val="el-GR"/>
        </w:rPr>
        <w:t>καθιερώσει</w:t>
      </w:r>
      <w:r w:rsidR="009A7774" w:rsidRPr="009A7774">
        <w:rPr>
          <w:rFonts w:cstheme="minorHAnsi"/>
          <w:sz w:val="24"/>
          <w:szCs w:val="24"/>
          <w:lang w:val="el-GR"/>
        </w:rPr>
        <w:t xml:space="preserve"> </w:t>
      </w:r>
      <w:r w:rsidR="009A7774">
        <w:rPr>
          <w:rFonts w:cstheme="minorHAnsi"/>
          <w:sz w:val="24"/>
          <w:szCs w:val="24"/>
          <w:lang w:val="el-GR"/>
        </w:rPr>
        <w:t>ότι</w:t>
      </w:r>
      <w:r w:rsidR="009A7774" w:rsidRPr="009A7774">
        <w:rPr>
          <w:rFonts w:cstheme="minorHAnsi"/>
          <w:sz w:val="24"/>
          <w:szCs w:val="24"/>
          <w:lang w:val="el-GR"/>
        </w:rPr>
        <w:t xml:space="preserve"> </w:t>
      </w:r>
      <w:r w:rsidR="009A7774">
        <w:rPr>
          <w:rFonts w:cstheme="minorHAnsi"/>
          <w:sz w:val="24"/>
          <w:szCs w:val="24"/>
          <w:lang w:val="el-GR"/>
        </w:rPr>
        <w:t>πάνω</w:t>
      </w:r>
      <w:r w:rsidR="009A7774" w:rsidRPr="009A7774">
        <w:rPr>
          <w:rFonts w:cstheme="minorHAnsi"/>
          <w:sz w:val="24"/>
          <w:szCs w:val="24"/>
          <w:lang w:val="el-GR"/>
        </w:rPr>
        <w:t xml:space="preserve"> </w:t>
      </w:r>
      <w:r w:rsidR="009A7774">
        <w:rPr>
          <w:rFonts w:cstheme="minorHAnsi"/>
          <w:sz w:val="24"/>
          <w:szCs w:val="24"/>
          <w:lang w:val="el-GR"/>
        </w:rPr>
        <w:t>από</w:t>
      </w:r>
      <w:r w:rsidR="009A7774" w:rsidRPr="009A7774">
        <w:rPr>
          <w:rFonts w:cstheme="minorHAnsi"/>
          <w:sz w:val="24"/>
          <w:szCs w:val="24"/>
          <w:lang w:val="el-GR"/>
        </w:rPr>
        <w:t xml:space="preserve"> </w:t>
      </w:r>
      <w:r w:rsidR="00A5147D" w:rsidRPr="009A7774">
        <w:rPr>
          <w:rFonts w:cstheme="minorHAnsi"/>
          <w:color w:val="000000" w:themeColor="text1"/>
          <w:sz w:val="24"/>
          <w:szCs w:val="24"/>
          <w:lang w:val="el-GR"/>
        </w:rPr>
        <w:t>53%</w:t>
      </w:r>
      <w:r w:rsidR="00991107" w:rsidRPr="009A7774">
        <w:rPr>
          <w:rFonts w:cstheme="minorHAnsi"/>
          <w:color w:val="000000" w:themeColor="text1"/>
          <w:sz w:val="24"/>
          <w:szCs w:val="24"/>
          <w:lang w:val="el-GR"/>
        </w:rPr>
        <w:t xml:space="preserve"> </w:t>
      </w:r>
      <w:r w:rsidR="009A7774">
        <w:rPr>
          <w:rFonts w:cstheme="minorHAnsi"/>
          <w:color w:val="000000" w:themeColor="text1"/>
          <w:sz w:val="24"/>
          <w:szCs w:val="24"/>
          <w:lang w:val="el-GR"/>
        </w:rPr>
        <w:t>των</w:t>
      </w:r>
      <w:r w:rsidR="009A7774" w:rsidRPr="009A7774">
        <w:rPr>
          <w:rFonts w:cstheme="minorHAnsi"/>
          <w:color w:val="000000" w:themeColor="text1"/>
          <w:sz w:val="24"/>
          <w:szCs w:val="24"/>
          <w:lang w:val="el-GR"/>
        </w:rPr>
        <w:t xml:space="preserve"> </w:t>
      </w:r>
      <w:r w:rsidR="009A7774">
        <w:rPr>
          <w:rFonts w:cstheme="minorHAnsi"/>
          <w:color w:val="000000" w:themeColor="text1"/>
          <w:sz w:val="24"/>
          <w:szCs w:val="24"/>
          <w:lang w:val="el-GR"/>
        </w:rPr>
        <w:t>ατόμων</w:t>
      </w:r>
      <w:r w:rsidR="009A7774" w:rsidRPr="009A7774">
        <w:rPr>
          <w:rFonts w:cstheme="minorHAnsi"/>
          <w:color w:val="000000" w:themeColor="text1"/>
          <w:sz w:val="24"/>
          <w:szCs w:val="24"/>
          <w:lang w:val="el-GR"/>
        </w:rPr>
        <w:t xml:space="preserve"> </w:t>
      </w:r>
      <w:r w:rsidR="009A7774">
        <w:rPr>
          <w:rFonts w:cstheme="minorHAnsi"/>
          <w:color w:val="000000" w:themeColor="text1"/>
          <w:sz w:val="24"/>
          <w:szCs w:val="24"/>
          <w:lang w:val="el-GR"/>
        </w:rPr>
        <w:t>που</w:t>
      </w:r>
      <w:r w:rsidR="009A7774" w:rsidRPr="009A7774">
        <w:rPr>
          <w:rFonts w:cstheme="minorHAnsi"/>
          <w:color w:val="000000" w:themeColor="text1"/>
          <w:sz w:val="24"/>
          <w:szCs w:val="24"/>
          <w:lang w:val="el-GR"/>
        </w:rPr>
        <w:t xml:space="preserve"> </w:t>
      </w:r>
      <w:r w:rsidR="009A7774">
        <w:rPr>
          <w:rFonts w:cstheme="minorHAnsi"/>
          <w:color w:val="000000" w:themeColor="text1"/>
          <w:sz w:val="24"/>
          <w:szCs w:val="24"/>
          <w:lang w:val="el-GR"/>
        </w:rPr>
        <w:t>κατάφεραν</w:t>
      </w:r>
      <w:r w:rsidR="009A7774" w:rsidRPr="009A7774">
        <w:rPr>
          <w:rFonts w:cstheme="minorHAnsi"/>
          <w:color w:val="000000" w:themeColor="text1"/>
          <w:sz w:val="24"/>
          <w:szCs w:val="24"/>
          <w:lang w:val="el-GR"/>
        </w:rPr>
        <w:t xml:space="preserve"> </w:t>
      </w:r>
      <w:r w:rsidR="009A7774">
        <w:rPr>
          <w:rFonts w:cstheme="minorHAnsi"/>
          <w:color w:val="000000" w:themeColor="text1"/>
          <w:sz w:val="24"/>
          <w:szCs w:val="24"/>
          <w:lang w:val="el-GR"/>
        </w:rPr>
        <w:t>να</w:t>
      </w:r>
      <w:r w:rsidR="009A7774" w:rsidRPr="009A7774">
        <w:rPr>
          <w:rFonts w:cstheme="minorHAnsi"/>
          <w:color w:val="000000" w:themeColor="text1"/>
          <w:sz w:val="24"/>
          <w:szCs w:val="24"/>
          <w:lang w:val="el-GR"/>
        </w:rPr>
        <w:t xml:space="preserve"> </w:t>
      </w:r>
      <w:r w:rsidR="009A7774">
        <w:rPr>
          <w:rFonts w:cstheme="minorHAnsi"/>
          <w:color w:val="000000" w:themeColor="text1"/>
          <w:sz w:val="24"/>
          <w:szCs w:val="24"/>
          <w:lang w:val="el-GR"/>
        </w:rPr>
        <w:t>αποκτήσουν</w:t>
      </w:r>
      <w:r w:rsidR="009A7774" w:rsidRPr="009A7774">
        <w:rPr>
          <w:rFonts w:cstheme="minorHAnsi"/>
          <w:color w:val="000000" w:themeColor="text1"/>
          <w:sz w:val="24"/>
          <w:szCs w:val="24"/>
          <w:lang w:val="el-GR"/>
        </w:rPr>
        <w:t xml:space="preserve"> </w:t>
      </w:r>
      <w:r w:rsidR="009A7774">
        <w:rPr>
          <w:rFonts w:cstheme="minorHAnsi"/>
          <w:color w:val="000000" w:themeColor="text1"/>
          <w:sz w:val="24"/>
          <w:szCs w:val="24"/>
          <w:lang w:val="el-GR"/>
        </w:rPr>
        <w:t>υπηκοότητα</w:t>
      </w:r>
      <w:r w:rsidR="00991107" w:rsidRPr="009A7774">
        <w:rPr>
          <w:rFonts w:cs="Calibri"/>
          <w:color w:val="000000"/>
          <w:sz w:val="24"/>
          <w:szCs w:val="24"/>
          <w:lang w:val="el-GR"/>
        </w:rPr>
        <w:t xml:space="preserve">, </w:t>
      </w:r>
      <w:r w:rsidR="009A7774">
        <w:rPr>
          <w:rFonts w:cs="Calibri"/>
          <w:color w:val="000000"/>
          <w:sz w:val="24"/>
          <w:szCs w:val="24"/>
          <w:lang w:val="el-GR"/>
        </w:rPr>
        <w:t>οι</w:t>
      </w:r>
      <w:r w:rsidR="009A7774" w:rsidRPr="009A7774">
        <w:rPr>
          <w:rFonts w:cs="Calibri"/>
          <w:color w:val="000000"/>
          <w:sz w:val="24"/>
          <w:szCs w:val="24"/>
          <w:lang w:val="el-GR"/>
        </w:rPr>
        <w:t xml:space="preserve"> </w:t>
      </w:r>
      <w:r w:rsidR="009A7774">
        <w:rPr>
          <w:rFonts w:cs="Calibri"/>
          <w:color w:val="000000"/>
          <w:sz w:val="24"/>
          <w:szCs w:val="24"/>
          <w:lang w:val="el-GR"/>
        </w:rPr>
        <w:t>πιο</w:t>
      </w:r>
      <w:r w:rsidR="009A7774" w:rsidRPr="009A7774">
        <w:rPr>
          <w:rFonts w:cs="Calibri"/>
          <w:color w:val="000000"/>
          <w:sz w:val="24"/>
          <w:szCs w:val="24"/>
          <w:lang w:val="el-GR"/>
        </w:rPr>
        <w:t xml:space="preserve"> </w:t>
      </w:r>
      <w:r w:rsidR="009A7774">
        <w:rPr>
          <w:rFonts w:cs="Calibri"/>
          <w:color w:val="000000"/>
          <w:sz w:val="24"/>
          <w:szCs w:val="24"/>
          <w:lang w:val="el-GR"/>
        </w:rPr>
        <w:t>πολλοί</w:t>
      </w:r>
      <w:r w:rsidR="009A7774" w:rsidRPr="009A7774">
        <w:rPr>
          <w:rFonts w:cs="Calibri"/>
          <w:color w:val="000000"/>
          <w:sz w:val="24"/>
          <w:szCs w:val="24"/>
          <w:lang w:val="el-GR"/>
        </w:rPr>
        <w:t xml:space="preserve"> </w:t>
      </w:r>
      <w:r w:rsidR="009A7774">
        <w:rPr>
          <w:rFonts w:cs="Calibri"/>
          <w:color w:val="000000"/>
          <w:sz w:val="24"/>
          <w:szCs w:val="24"/>
          <w:lang w:val="el-GR"/>
        </w:rPr>
        <w:t>εξαρτώμενοι</w:t>
      </w:r>
      <w:r w:rsidR="009A7774" w:rsidRPr="009A7774">
        <w:rPr>
          <w:rFonts w:cs="Calibri"/>
          <w:color w:val="000000"/>
          <w:sz w:val="24"/>
          <w:szCs w:val="24"/>
          <w:lang w:val="el-GR"/>
        </w:rPr>
        <w:t xml:space="preserve"> </w:t>
      </w:r>
      <w:r w:rsidR="009A7774">
        <w:rPr>
          <w:rFonts w:cs="Calibri"/>
          <w:color w:val="000000"/>
          <w:sz w:val="24"/>
          <w:szCs w:val="24"/>
          <w:lang w:val="el-GR"/>
        </w:rPr>
        <w:t>και</w:t>
      </w:r>
      <w:r w:rsidR="009A7774" w:rsidRPr="009A7774">
        <w:rPr>
          <w:rFonts w:cs="Calibri"/>
          <w:color w:val="000000"/>
          <w:sz w:val="24"/>
          <w:szCs w:val="24"/>
          <w:lang w:val="el-GR"/>
        </w:rPr>
        <w:t xml:space="preserve"> </w:t>
      </w:r>
      <w:r w:rsidR="009A7774">
        <w:rPr>
          <w:rFonts w:cs="Calibri"/>
          <w:color w:val="000000"/>
          <w:sz w:val="24"/>
          <w:szCs w:val="24"/>
          <w:lang w:val="el-GR"/>
        </w:rPr>
        <w:t>αξιωματούχοι</w:t>
      </w:r>
      <w:r w:rsidR="009A7774" w:rsidRPr="009A7774">
        <w:rPr>
          <w:rFonts w:cs="Calibri"/>
          <w:color w:val="000000"/>
          <w:sz w:val="24"/>
          <w:szCs w:val="24"/>
          <w:lang w:val="el-GR"/>
        </w:rPr>
        <w:t xml:space="preserve"> </w:t>
      </w:r>
      <w:r w:rsidR="009A7774">
        <w:rPr>
          <w:rFonts w:cs="Calibri"/>
          <w:color w:val="000000"/>
          <w:sz w:val="24"/>
          <w:szCs w:val="24"/>
          <w:lang w:val="el-GR"/>
        </w:rPr>
        <w:t>εταιρειών</w:t>
      </w:r>
      <w:r w:rsidR="00991107" w:rsidRPr="009A7774">
        <w:rPr>
          <w:rFonts w:cs="Calibri"/>
          <w:color w:val="000000"/>
          <w:sz w:val="24"/>
          <w:szCs w:val="24"/>
          <w:lang w:val="el-GR"/>
        </w:rPr>
        <w:t xml:space="preserve"> </w:t>
      </w:r>
      <w:r w:rsidR="009A7774">
        <w:rPr>
          <w:rFonts w:cs="Calibri"/>
          <w:color w:val="000000"/>
          <w:sz w:val="24"/>
          <w:szCs w:val="24"/>
          <w:lang w:val="el-GR"/>
        </w:rPr>
        <w:t>για</w:t>
      </w:r>
      <w:r w:rsidR="009A7774" w:rsidRPr="009A7774">
        <w:rPr>
          <w:rFonts w:cs="Calibri"/>
          <w:color w:val="000000"/>
          <w:sz w:val="24"/>
          <w:szCs w:val="24"/>
          <w:lang w:val="el-GR"/>
        </w:rPr>
        <w:t xml:space="preserve"> </w:t>
      </w:r>
      <w:r w:rsidR="009A7774">
        <w:rPr>
          <w:rFonts w:cs="Calibri"/>
          <w:color w:val="000000"/>
          <w:sz w:val="24"/>
          <w:szCs w:val="24"/>
          <w:lang w:val="el-GR"/>
        </w:rPr>
        <w:t>τους</w:t>
      </w:r>
      <w:r w:rsidR="009A7774" w:rsidRPr="009A7774">
        <w:rPr>
          <w:rFonts w:cs="Calibri"/>
          <w:color w:val="000000"/>
          <w:sz w:val="24"/>
          <w:szCs w:val="24"/>
          <w:lang w:val="el-GR"/>
        </w:rPr>
        <w:t xml:space="preserve"> </w:t>
      </w:r>
      <w:r w:rsidR="009A7774">
        <w:rPr>
          <w:rFonts w:cs="Calibri"/>
          <w:color w:val="000000"/>
          <w:sz w:val="24"/>
          <w:szCs w:val="24"/>
          <w:lang w:val="el-GR"/>
        </w:rPr>
        <w:t>οποίους</w:t>
      </w:r>
      <w:r w:rsidR="00991107" w:rsidRPr="009A7774">
        <w:rPr>
          <w:rFonts w:cs="Calibri"/>
          <w:color w:val="000000"/>
          <w:sz w:val="24"/>
          <w:szCs w:val="24"/>
          <w:lang w:val="el-GR"/>
        </w:rPr>
        <w:t xml:space="preserve"> </w:t>
      </w:r>
      <w:r w:rsidR="009A7774">
        <w:rPr>
          <w:rFonts w:cs="Calibri"/>
          <w:color w:val="000000"/>
          <w:sz w:val="24"/>
          <w:szCs w:val="24"/>
          <w:lang w:val="el-GR"/>
        </w:rPr>
        <w:t>δεν</w:t>
      </w:r>
      <w:r w:rsidR="009A7774" w:rsidRPr="009A7774">
        <w:rPr>
          <w:rFonts w:cs="Calibri"/>
          <w:color w:val="000000"/>
          <w:sz w:val="24"/>
          <w:szCs w:val="24"/>
          <w:lang w:val="el-GR"/>
        </w:rPr>
        <w:t xml:space="preserve"> </w:t>
      </w:r>
      <w:r w:rsidR="009A7774">
        <w:rPr>
          <w:rFonts w:cs="Calibri"/>
          <w:color w:val="000000"/>
          <w:sz w:val="24"/>
          <w:szCs w:val="24"/>
          <w:lang w:val="el-GR"/>
        </w:rPr>
        <w:t>υπήρχε</w:t>
      </w:r>
      <w:r w:rsidR="009A7774" w:rsidRPr="009A7774">
        <w:rPr>
          <w:rFonts w:cs="Calibri"/>
          <w:color w:val="000000"/>
          <w:sz w:val="24"/>
          <w:szCs w:val="24"/>
          <w:lang w:val="el-GR"/>
        </w:rPr>
        <w:t xml:space="preserve"> </w:t>
      </w:r>
      <w:r w:rsidR="009A7774">
        <w:rPr>
          <w:rFonts w:cs="Calibri"/>
          <w:color w:val="000000"/>
          <w:sz w:val="24"/>
          <w:szCs w:val="24"/>
          <w:lang w:val="el-GR"/>
        </w:rPr>
        <w:t>συγκεκριμένος</w:t>
      </w:r>
      <w:r w:rsidR="009A7774" w:rsidRPr="009A7774">
        <w:rPr>
          <w:rFonts w:cs="Calibri"/>
          <w:color w:val="000000"/>
          <w:sz w:val="24"/>
          <w:szCs w:val="24"/>
          <w:lang w:val="el-GR"/>
        </w:rPr>
        <w:t xml:space="preserve"> </w:t>
      </w:r>
      <w:r w:rsidR="009A7774">
        <w:rPr>
          <w:rFonts w:cs="Calibri"/>
          <w:color w:val="000000"/>
          <w:sz w:val="24"/>
          <w:szCs w:val="24"/>
          <w:lang w:val="el-GR"/>
        </w:rPr>
        <w:t>όρος</w:t>
      </w:r>
      <w:r w:rsidR="009A7774" w:rsidRPr="009A7774">
        <w:rPr>
          <w:rFonts w:cs="Calibri"/>
          <w:color w:val="000000"/>
          <w:sz w:val="24"/>
          <w:szCs w:val="24"/>
          <w:lang w:val="el-GR"/>
        </w:rPr>
        <w:t xml:space="preserve"> </w:t>
      </w:r>
      <w:r w:rsidR="009A7774">
        <w:rPr>
          <w:rFonts w:cs="Calibri"/>
          <w:color w:val="000000"/>
          <w:sz w:val="24"/>
          <w:szCs w:val="24"/>
          <w:lang w:val="el-GR"/>
        </w:rPr>
        <w:t>στον</w:t>
      </w:r>
      <w:r w:rsidR="009A7774" w:rsidRPr="009A7774">
        <w:rPr>
          <w:rFonts w:cs="Calibri"/>
          <w:color w:val="000000"/>
          <w:sz w:val="24"/>
          <w:szCs w:val="24"/>
          <w:lang w:val="el-GR"/>
        </w:rPr>
        <w:t xml:space="preserve"> </w:t>
      </w:r>
      <w:r w:rsidR="009A7774">
        <w:rPr>
          <w:rFonts w:cs="Calibri"/>
          <w:color w:val="000000"/>
          <w:sz w:val="24"/>
          <w:szCs w:val="24"/>
          <w:lang w:val="el-GR"/>
        </w:rPr>
        <w:t>νόμο</w:t>
      </w:r>
      <w:r w:rsidR="009A7774" w:rsidRPr="009A7774">
        <w:rPr>
          <w:rFonts w:cs="Calibri"/>
          <w:color w:val="000000"/>
          <w:sz w:val="24"/>
          <w:szCs w:val="24"/>
          <w:lang w:val="el-GR"/>
        </w:rPr>
        <w:t xml:space="preserve"> </w:t>
      </w:r>
      <w:r w:rsidR="009A7774">
        <w:rPr>
          <w:rFonts w:cs="Calibri"/>
          <w:color w:val="000000"/>
          <w:sz w:val="24"/>
          <w:szCs w:val="24"/>
          <w:lang w:val="el-GR"/>
        </w:rPr>
        <w:t>που</w:t>
      </w:r>
      <w:r w:rsidR="009A7774" w:rsidRPr="009A7774">
        <w:rPr>
          <w:rFonts w:cs="Calibri"/>
          <w:color w:val="000000"/>
          <w:sz w:val="24"/>
          <w:szCs w:val="24"/>
          <w:lang w:val="el-GR"/>
        </w:rPr>
        <w:t xml:space="preserve"> </w:t>
      </w:r>
      <w:r w:rsidR="009A7774">
        <w:rPr>
          <w:rFonts w:cs="Calibri"/>
          <w:color w:val="000000"/>
          <w:sz w:val="24"/>
          <w:szCs w:val="24"/>
          <w:lang w:val="el-GR"/>
        </w:rPr>
        <w:t>εξουσιοδοτούσε</w:t>
      </w:r>
      <w:r w:rsidR="009A7774" w:rsidRPr="009A7774">
        <w:rPr>
          <w:rFonts w:cs="Calibri"/>
          <w:color w:val="000000"/>
          <w:sz w:val="24"/>
          <w:szCs w:val="24"/>
          <w:lang w:val="el-GR"/>
        </w:rPr>
        <w:t xml:space="preserve"> </w:t>
      </w:r>
      <w:r w:rsidR="009A7774">
        <w:rPr>
          <w:rFonts w:cs="Calibri"/>
          <w:color w:val="000000"/>
          <w:sz w:val="24"/>
          <w:szCs w:val="24"/>
          <w:lang w:val="el-GR"/>
        </w:rPr>
        <w:t>την</w:t>
      </w:r>
      <w:r w:rsidR="009A7774" w:rsidRPr="009A7774">
        <w:rPr>
          <w:rFonts w:cs="Calibri"/>
          <w:color w:val="000000"/>
          <w:sz w:val="24"/>
          <w:szCs w:val="24"/>
          <w:lang w:val="el-GR"/>
        </w:rPr>
        <w:t xml:space="preserve"> </w:t>
      </w:r>
      <w:r w:rsidR="009A7774">
        <w:rPr>
          <w:rFonts w:cs="Calibri"/>
          <w:color w:val="000000"/>
          <w:sz w:val="24"/>
          <w:szCs w:val="24"/>
          <w:lang w:val="el-GR"/>
        </w:rPr>
        <w:t>υπηκοότητα τους</w:t>
      </w:r>
      <w:r w:rsidR="00991107" w:rsidRPr="009A7774">
        <w:rPr>
          <w:rFonts w:cs="Calibri"/>
          <w:color w:val="000000"/>
          <w:sz w:val="24"/>
          <w:szCs w:val="24"/>
          <w:lang w:val="el-GR"/>
        </w:rPr>
        <w:t xml:space="preserve">, </w:t>
      </w:r>
      <w:r w:rsidR="009A7774">
        <w:rPr>
          <w:rFonts w:cs="Calibri"/>
          <w:color w:val="000000"/>
          <w:sz w:val="24"/>
          <w:szCs w:val="24"/>
          <w:lang w:val="el-GR"/>
        </w:rPr>
        <w:t>απόκτησαν υπηκοότητα έστω κι αν δεν</w:t>
      </w:r>
      <w:r w:rsidR="009B78E2">
        <w:rPr>
          <w:rFonts w:cs="Calibri"/>
          <w:color w:val="000000"/>
          <w:sz w:val="24"/>
          <w:szCs w:val="24"/>
          <w:lang w:val="el-GR"/>
        </w:rPr>
        <w:t xml:space="preserve"> </w:t>
      </w:r>
      <w:r w:rsidR="00BB1740">
        <w:rPr>
          <w:rFonts w:cs="Calibri"/>
          <w:color w:val="000000"/>
          <w:sz w:val="24"/>
          <w:szCs w:val="24"/>
          <w:lang w:val="el-GR"/>
        </w:rPr>
        <w:t xml:space="preserve">ενέπιπταν </w:t>
      </w:r>
      <w:r w:rsidR="009B78E2">
        <w:rPr>
          <w:rFonts w:cs="Calibri"/>
          <w:color w:val="000000"/>
          <w:sz w:val="24"/>
          <w:szCs w:val="24"/>
          <w:lang w:val="el-GR"/>
        </w:rPr>
        <w:t xml:space="preserve">ακριβώς εντός του </w:t>
      </w:r>
      <w:r w:rsidR="00BB1740">
        <w:rPr>
          <w:rFonts w:cs="Calibri"/>
          <w:color w:val="000000"/>
          <w:sz w:val="24"/>
          <w:szCs w:val="24"/>
          <w:lang w:val="el-GR"/>
        </w:rPr>
        <w:t xml:space="preserve">πεδίου </w:t>
      </w:r>
      <w:r w:rsidR="009B78E2">
        <w:rPr>
          <w:rFonts w:cs="Calibri"/>
          <w:color w:val="000000"/>
          <w:sz w:val="24"/>
          <w:szCs w:val="24"/>
          <w:lang w:val="el-GR"/>
        </w:rPr>
        <w:t>του νομικού πλαισίου</w:t>
      </w:r>
      <w:r w:rsidR="00991107" w:rsidRPr="009A7774">
        <w:rPr>
          <w:rFonts w:cs="Calibri"/>
          <w:color w:val="000000"/>
          <w:sz w:val="24"/>
          <w:szCs w:val="24"/>
          <w:lang w:val="el-GR"/>
        </w:rPr>
        <w:t xml:space="preserve"> </w:t>
      </w:r>
      <w:r w:rsidR="009B78E2">
        <w:rPr>
          <w:rFonts w:cs="Calibri"/>
          <w:color w:val="000000"/>
          <w:sz w:val="24"/>
          <w:szCs w:val="24"/>
          <w:lang w:val="el-GR"/>
        </w:rPr>
        <w:t>του προγράμματος</w:t>
      </w:r>
      <w:r w:rsidR="00991107" w:rsidRPr="009A7774">
        <w:rPr>
          <w:rFonts w:cs="Calibri"/>
          <w:color w:val="000000"/>
          <w:sz w:val="24"/>
          <w:szCs w:val="24"/>
          <w:lang w:val="el-GR"/>
        </w:rPr>
        <w:t xml:space="preserve"> (</w:t>
      </w:r>
      <w:r w:rsidR="00991107">
        <w:rPr>
          <w:rFonts w:cs="Calibri"/>
          <w:color w:val="000000"/>
          <w:sz w:val="24"/>
          <w:szCs w:val="24"/>
        </w:rPr>
        <w:t>CIP</w:t>
      </w:r>
      <w:r w:rsidR="00991107" w:rsidRPr="009A7774">
        <w:rPr>
          <w:rFonts w:cs="Calibri"/>
          <w:color w:val="000000"/>
          <w:sz w:val="24"/>
          <w:szCs w:val="24"/>
          <w:lang w:val="el-GR"/>
        </w:rPr>
        <w:t xml:space="preserve">) </w:t>
      </w:r>
      <w:r w:rsidR="009B78E2">
        <w:rPr>
          <w:rFonts w:cs="Calibri"/>
          <w:color w:val="000000"/>
          <w:sz w:val="24"/>
          <w:szCs w:val="24"/>
          <w:lang w:val="el-GR"/>
        </w:rPr>
        <w:t>–</w:t>
      </w:r>
      <w:r w:rsidR="00991107" w:rsidRPr="009A7774">
        <w:rPr>
          <w:rFonts w:cs="Calibri"/>
          <w:color w:val="000000"/>
          <w:sz w:val="24"/>
          <w:szCs w:val="24"/>
          <w:lang w:val="el-GR"/>
        </w:rPr>
        <w:t xml:space="preserve"> </w:t>
      </w:r>
      <w:r w:rsidR="009B78E2">
        <w:rPr>
          <w:rFonts w:cs="Calibri"/>
          <w:color w:val="000000"/>
          <w:sz w:val="24"/>
          <w:szCs w:val="24"/>
          <w:lang w:val="el-GR"/>
        </w:rPr>
        <w:t>όπως καταργήθηκε</w:t>
      </w:r>
      <w:r w:rsidR="00991107" w:rsidRPr="009A7774">
        <w:rPr>
          <w:rFonts w:cs="Calibri"/>
          <w:color w:val="000000"/>
          <w:sz w:val="24"/>
          <w:szCs w:val="24"/>
          <w:lang w:val="el-GR"/>
        </w:rPr>
        <w:t xml:space="preserve">. </w:t>
      </w:r>
      <w:bookmarkStart w:id="18" w:name="_Toc117264338"/>
      <w:r w:rsidR="009B78E2">
        <w:rPr>
          <w:rFonts w:cs="Calibri"/>
          <w:color w:val="000000"/>
          <w:sz w:val="24"/>
          <w:szCs w:val="24"/>
          <w:lang w:val="el-GR"/>
        </w:rPr>
        <w:t>Εναντίον μια</w:t>
      </w:r>
      <w:r w:rsidR="00BB1740">
        <w:rPr>
          <w:rFonts w:cs="Calibri"/>
          <w:color w:val="000000"/>
          <w:sz w:val="24"/>
          <w:szCs w:val="24"/>
          <w:lang w:val="el-GR"/>
        </w:rPr>
        <w:t>ς</w:t>
      </w:r>
      <w:r w:rsidR="009B78E2" w:rsidRPr="009B78E2">
        <w:rPr>
          <w:rFonts w:cs="Calibri"/>
          <w:color w:val="000000"/>
          <w:sz w:val="24"/>
          <w:szCs w:val="24"/>
          <w:lang w:val="el-GR"/>
        </w:rPr>
        <w:t xml:space="preserve"> </w:t>
      </w:r>
      <w:r w:rsidR="009B78E2">
        <w:rPr>
          <w:rFonts w:cs="Calibri"/>
          <w:color w:val="000000"/>
          <w:sz w:val="24"/>
          <w:szCs w:val="24"/>
          <w:lang w:val="el-GR"/>
        </w:rPr>
        <w:t>απόφασης</w:t>
      </w:r>
      <w:r w:rsidR="009B78E2" w:rsidRPr="009B78E2">
        <w:rPr>
          <w:rFonts w:cs="Calibri"/>
          <w:color w:val="000000"/>
          <w:sz w:val="24"/>
          <w:szCs w:val="24"/>
          <w:lang w:val="el-GR"/>
        </w:rPr>
        <w:t xml:space="preserve"> </w:t>
      </w:r>
      <w:r w:rsidR="009B78E2">
        <w:rPr>
          <w:rFonts w:cs="Calibri"/>
          <w:color w:val="000000"/>
          <w:sz w:val="24"/>
          <w:szCs w:val="24"/>
          <w:lang w:val="el-GR"/>
        </w:rPr>
        <w:t>ενός</w:t>
      </w:r>
      <w:r w:rsidR="009B78E2" w:rsidRPr="009B78E2">
        <w:rPr>
          <w:rFonts w:cs="Calibri"/>
          <w:color w:val="000000"/>
          <w:sz w:val="24"/>
          <w:szCs w:val="24"/>
          <w:lang w:val="el-GR"/>
        </w:rPr>
        <w:t xml:space="preserve"> </w:t>
      </w:r>
      <w:r w:rsidR="009B78E2">
        <w:rPr>
          <w:rFonts w:cs="Calibri"/>
          <w:color w:val="000000"/>
          <w:sz w:val="24"/>
          <w:szCs w:val="24"/>
          <w:lang w:val="el-GR"/>
        </w:rPr>
        <w:t>Δικαστηρίου</w:t>
      </w:r>
      <w:r w:rsidR="00A5147D" w:rsidRPr="009B78E2">
        <w:rPr>
          <w:rFonts w:cstheme="minorHAnsi"/>
          <w:color w:val="000000" w:themeColor="text1"/>
          <w:sz w:val="24"/>
          <w:szCs w:val="24"/>
          <w:lang w:val="el-GR"/>
        </w:rPr>
        <w:t xml:space="preserve"> (</w:t>
      </w:r>
      <w:r w:rsidR="009B78E2">
        <w:rPr>
          <w:rFonts w:cstheme="minorHAnsi"/>
          <w:color w:val="000000" w:themeColor="text1"/>
          <w:sz w:val="24"/>
          <w:szCs w:val="24"/>
          <w:lang w:val="el-GR"/>
        </w:rPr>
        <w:t>του</w:t>
      </w:r>
      <w:r w:rsidR="009B78E2" w:rsidRPr="009B78E2">
        <w:rPr>
          <w:rFonts w:cstheme="minorHAnsi"/>
          <w:color w:val="000000" w:themeColor="text1"/>
          <w:sz w:val="24"/>
          <w:szCs w:val="24"/>
          <w:lang w:val="el-GR"/>
        </w:rPr>
        <w:t xml:space="preserve"> </w:t>
      </w:r>
      <w:r w:rsidR="009B78E2">
        <w:rPr>
          <w:rFonts w:cstheme="minorHAnsi"/>
          <w:color w:val="000000" w:themeColor="text1"/>
          <w:sz w:val="24"/>
          <w:szCs w:val="24"/>
          <w:lang w:val="el-GR"/>
        </w:rPr>
        <w:t>Μόνιμου</w:t>
      </w:r>
      <w:r w:rsidR="009B78E2" w:rsidRPr="009B78E2">
        <w:rPr>
          <w:rFonts w:cstheme="minorHAnsi"/>
          <w:color w:val="000000" w:themeColor="text1"/>
          <w:sz w:val="24"/>
          <w:szCs w:val="24"/>
          <w:lang w:val="el-GR"/>
        </w:rPr>
        <w:t xml:space="preserve"> </w:t>
      </w:r>
      <w:r w:rsidR="009B78E2">
        <w:rPr>
          <w:rFonts w:cstheme="minorHAnsi"/>
          <w:color w:val="000000" w:themeColor="text1"/>
          <w:sz w:val="24"/>
          <w:szCs w:val="24"/>
          <w:lang w:val="el-GR"/>
        </w:rPr>
        <w:t>Κακουργιοδικείου</w:t>
      </w:r>
      <w:r w:rsidR="009B78E2" w:rsidRPr="009B78E2">
        <w:rPr>
          <w:rFonts w:cstheme="minorHAnsi"/>
          <w:color w:val="000000" w:themeColor="text1"/>
          <w:sz w:val="24"/>
          <w:szCs w:val="24"/>
          <w:lang w:val="el-GR"/>
        </w:rPr>
        <w:t xml:space="preserve"> </w:t>
      </w:r>
      <w:r w:rsidR="009B78E2">
        <w:rPr>
          <w:rFonts w:cstheme="minorHAnsi"/>
          <w:color w:val="000000" w:themeColor="text1"/>
          <w:sz w:val="24"/>
          <w:szCs w:val="24"/>
          <w:lang w:val="el-GR"/>
        </w:rPr>
        <w:t>Λάρνακας</w:t>
      </w:r>
      <w:r w:rsidR="00A5147D" w:rsidRPr="009B78E2">
        <w:rPr>
          <w:rFonts w:cstheme="minorHAnsi"/>
          <w:color w:val="000000" w:themeColor="text1"/>
          <w:sz w:val="24"/>
          <w:szCs w:val="24"/>
          <w:lang w:val="el-GR"/>
        </w:rPr>
        <w:t xml:space="preserve">) </w:t>
      </w:r>
      <w:r w:rsidR="009B78E2">
        <w:rPr>
          <w:rFonts w:cstheme="minorHAnsi"/>
          <w:color w:val="000000" w:themeColor="text1"/>
          <w:sz w:val="24"/>
          <w:szCs w:val="24"/>
          <w:lang w:val="el-GR"/>
        </w:rPr>
        <w:t>της</w:t>
      </w:r>
      <w:r w:rsidR="00A5147D" w:rsidRPr="009B78E2">
        <w:rPr>
          <w:rFonts w:cstheme="minorHAnsi"/>
          <w:color w:val="000000" w:themeColor="text1"/>
          <w:sz w:val="24"/>
          <w:szCs w:val="24"/>
          <w:lang w:val="el-GR"/>
        </w:rPr>
        <w:t xml:space="preserve"> 4</w:t>
      </w:r>
      <w:r w:rsidR="009B78E2" w:rsidRPr="009B78E2">
        <w:rPr>
          <w:rFonts w:cstheme="minorHAnsi"/>
          <w:color w:val="000000" w:themeColor="text1"/>
          <w:sz w:val="24"/>
          <w:szCs w:val="24"/>
          <w:vertAlign w:val="superscript"/>
          <w:lang w:val="el-GR"/>
        </w:rPr>
        <w:t>ης</w:t>
      </w:r>
      <w:r w:rsidR="009B78E2" w:rsidRPr="009B78E2">
        <w:rPr>
          <w:rFonts w:cstheme="minorHAnsi"/>
          <w:color w:val="000000" w:themeColor="text1"/>
          <w:sz w:val="24"/>
          <w:szCs w:val="24"/>
          <w:lang w:val="el-GR"/>
        </w:rPr>
        <w:t xml:space="preserve"> </w:t>
      </w:r>
      <w:r w:rsidR="00973266">
        <w:rPr>
          <w:rFonts w:cstheme="minorHAnsi"/>
          <w:color w:val="000000" w:themeColor="text1"/>
          <w:sz w:val="24"/>
          <w:szCs w:val="24"/>
          <w:lang w:val="el-GR"/>
        </w:rPr>
        <w:t>Νοεμβρίου</w:t>
      </w:r>
      <w:r w:rsidR="00A5147D" w:rsidRPr="009B78E2">
        <w:rPr>
          <w:rFonts w:cstheme="minorHAnsi"/>
          <w:color w:val="000000" w:themeColor="text1"/>
          <w:sz w:val="24"/>
          <w:szCs w:val="24"/>
          <w:lang w:val="el-GR"/>
        </w:rPr>
        <w:t xml:space="preserve"> 2022, </w:t>
      </w:r>
      <w:r w:rsidR="009B78E2">
        <w:rPr>
          <w:rFonts w:cstheme="minorHAnsi"/>
          <w:color w:val="000000" w:themeColor="text1"/>
          <w:sz w:val="24"/>
          <w:szCs w:val="24"/>
          <w:lang w:val="el-GR"/>
        </w:rPr>
        <w:t>που</w:t>
      </w:r>
      <w:r w:rsidR="009B78E2" w:rsidRPr="009B78E2">
        <w:rPr>
          <w:rFonts w:cstheme="minorHAnsi"/>
          <w:color w:val="000000" w:themeColor="text1"/>
          <w:sz w:val="24"/>
          <w:szCs w:val="24"/>
          <w:lang w:val="el-GR"/>
        </w:rPr>
        <w:t xml:space="preserve"> </w:t>
      </w:r>
      <w:r w:rsidR="009B78E2">
        <w:rPr>
          <w:rFonts w:cstheme="minorHAnsi"/>
          <w:color w:val="000000" w:themeColor="text1"/>
          <w:sz w:val="24"/>
          <w:szCs w:val="24"/>
          <w:lang w:val="el-GR"/>
        </w:rPr>
        <w:t>αθώωσε</w:t>
      </w:r>
      <w:r w:rsidR="009B78E2" w:rsidRPr="009B78E2">
        <w:rPr>
          <w:rFonts w:cstheme="minorHAnsi"/>
          <w:color w:val="000000" w:themeColor="text1"/>
          <w:sz w:val="24"/>
          <w:szCs w:val="24"/>
          <w:lang w:val="el-GR"/>
        </w:rPr>
        <w:t xml:space="preserve"> </w:t>
      </w:r>
      <w:r w:rsidR="009B78E2">
        <w:rPr>
          <w:rFonts w:cstheme="minorHAnsi"/>
          <w:color w:val="000000" w:themeColor="text1"/>
          <w:sz w:val="24"/>
          <w:szCs w:val="24"/>
          <w:lang w:val="el-GR"/>
        </w:rPr>
        <w:t>όλους</w:t>
      </w:r>
      <w:r w:rsidR="009B78E2" w:rsidRPr="009B78E2">
        <w:rPr>
          <w:rFonts w:cstheme="minorHAnsi"/>
          <w:color w:val="000000" w:themeColor="text1"/>
          <w:sz w:val="24"/>
          <w:szCs w:val="24"/>
          <w:lang w:val="el-GR"/>
        </w:rPr>
        <w:t xml:space="preserve"> </w:t>
      </w:r>
      <w:r w:rsidR="009B78E2">
        <w:rPr>
          <w:rFonts w:cstheme="minorHAnsi"/>
          <w:color w:val="000000" w:themeColor="text1"/>
          <w:sz w:val="24"/>
          <w:szCs w:val="24"/>
          <w:lang w:val="el-GR"/>
        </w:rPr>
        <w:t>τους</w:t>
      </w:r>
      <w:r w:rsidR="009B78E2" w:rsidRPr="009B78E2">
        <w:rPr>
          <w:rFonts w:cstheme="minorHAnsi"/>
          <w:color w:val="000000" w:themeColor="text1"/>
          <w:sz w:val="24"/>
          <w:szCs w:val="24"/>
          <w:lang w:val="el-GR"/>
        </w:rPr>
        <w:t xml:space="preserve"> </w:t>
      </w:r>
      <w:r w:rsidR="009B78E2">
        <w:rPr>
          <w:rFonts w:cstheme="minorHAnsi"/>
          <w:color w:val="000000" w:themeColor="text1"/>
          <w:sz w:val="24"/>
          <w:szCs w:val="24"/>
          <w:lang w:val="el-GR"/>
        </w:rPr>
        <w:t>ξένους</w:t>
      </w:r>
      <w:r w:rsidR="009B78E2" w:rsidRPr="009B78E2">
        <w:rPr>
          <w:rFonts w:cstheme="minorHAnsi"/>
          <w:color w:val="000000" w:themeColor="text1"/>
          <w:sz w:val="24"/>
          <w:szCs w:val="24"/>
          <w:lang w:val="el-GR"/>
        </w:rPr>
        <w:t xml:space="preserve"> </w:t>
      </w:r>
      <w:r w:rsidR="009B78E2">
        <w:rPr>
          <w:rFonts w:cstheme="minorHAnsi"/>
          <w:color w:val="000000" w:themeColor="text1"/>
          <w:sz w:val="24"/>
          <w:szCs w:val="24"/>
          <w:lang w:val="el-GR"/>
        </w:rPr>
        <w:t>επενδυτές</w:t>
      </w:r>
      <w:r w:rsidR="00A5147D" w:rsidRPr="009B78E2">
        <w:rPr>
          <w:rFonts w:cstheme="minorHAnsi"/>
          <w:color w:val="000000" w:themeColor="text1"/>
          <w:sz w:val="24"/>
          <w:szCs w:val="24"/>
          <w:lang w:val="el-GR"/>
        </w:rPr>
        <w:t xml:space="preserve">, </w:t>
      </w:r>
      <w:r w:rsidR="009B78E2">
        <w:rPr>
          <w:rFonts w:cstheme="minorHAnsi"/>
          <w:color w:val="000000" w:themeColor="text1"/>
          <w:sz w:val="24"/>
          <w:szCs w:val="24"/>
          <w:lang w:val="el-GR"/>
        </w:rPr>
        <w:t xml:space="preserve">ασκήθηκε έφεση από την Νομική Υπηρεσία της Δημοκρατίας στις </w:t>
      </w:r>
      <w:r w:rsidR="00A5147D" w:rsidRPr="009B78E2">
        <w:rPr>
          <w:rFonts w:cstheme="minorHAnsi"/>
          <w:color w:val="000000" w:themeColor="text1"/>
          <w:sz w:val="24"/>
          <w:szCs w:val="24"/>
          <w:lang w:val="el-GR"/>
        </w:rPr>
        <w:t>18</w:t>
      </w:r>
      <w:r w:rsidR="00EF0546">
        <w:rPr>
          <w:rFonts w:cstheme="minorHAnsi"/>
          <w:color w:val="000000" w:themeColor="text1"/>
          <w:sz w:val="24"/>
          <w:szCs w:val="24"/>
        </w:rPr>
        <w:t> </w:t>
      </w:r>
      <w:r w:rsidR="00973266">
        <w:rPr>
          <w:rFonts w:cstheme="minorHAnsi"/>
          <w:color w:val="000000" w:themeColor="text1"/>
          <w:sz w:val="24"/>
          <w:szCs w:val="24"/>
          <w:lang w:val="el-GR"/>
        </w:rPr>
        <w:t>Νοεμβρίου</w:t>
      </w:r>
      <w:r w:rsidR="00A5147D" w:rsidRPr="009B78E2">
        <w:rPr>
          <w:rFonts w:cstheme="minorHAnsi"/>
          <w:color w:val="000000" w:themeColor="text1"/>
          <w:sz w:val="24"/>
          <w:szCs w:val="24"/>
          <w:lang w:val="el-GR"/>
        </w:rPr>
        <w:t xml:space="preserve"> 2022</w:t>
      </w:r>
      <w:r w:rsidR="00EF0546" w:rsidRPr="009B78E2">
        <w:rPr>
          <w:rFonts w:cstheme="minorHAnsi"/>
          <w:color w:val="000000" w:themeColor="text1"/>
          <w:sz w:val="24"/>
          <w:szCs w:val="24"/>
          <w:lang w:val="el-GR"/>
        </w:rPr>
        <w:t xml:space="preserve"> </w:t>
      </w:r>
      <w:r w:rsidR="009B78E2">
        <w:rPr>
          <w:rFonts w:cstheme="minorHAnsi"/>
          <w:color w:val="000000" w:themeColor="text1"/>
          <w:sz w:val="24"/>
          <w:szCs w:val="24"/>
          <w:lang w:val="el-GR"/>
        </w:rPr>
        <w:t>και η έφεση εκκρεμεί ακόμη</w:t>
      </w:r>
      <w:r w:rsidR="00A5147D" w:rsidRPr="009B78E2">
        <w:rPr>
          <w:rFonts w:cstheme="minorHAnsi"/>
          <w:color w:val="000000" w:themeColor="text1"/>
          <w:sz w:val="24"/>
          <w:szCs w:val="24"/>
          <w:lang w:val="el-GR"/>
        </w:rPr>
        <w:t>.</w:t>
      </w:r>
    </w:p>
    <w:p w14:paraId="5EEF3B19" w14:textId="77777777" w:rsidR="00A5147D" w:rsidRPr="009B78E2" w:rsidRDefault="00A5147D" w:rsidP="00A5147D">
      <w:pPr>
        <w:rPr>
          <w:rFonts w:cstheme="minorHAnsi"/>
          <w:b/>
          <w:bCs/>
          <w:color w:val="000000" w:themeColor="text1"/>
          <w:sz w:val="24"/>
          <w:szCs w:val="24"/>
          <w:lang w:val="el-GR"/>
        </w:rPr>
      </w:pPr>
    </w:p>
    <w:p w14:paraId="1ABB1124" w14:textId="77777777" w:rsidR="00A5147D" w:rsidRPr="009B78E2" w:rsidRDefault="00A5147D" w:rsidP="00A5147D">
      <w:pPr>
        <w:pStyle w:val="Heading1"/>
        <w:tabs>
          <w:tab w:val="left" w:pos="284"/>
        </w:tabs>
        <w:spacing w:before="0"/>
        <w:ind w:left="426" w:hanging="369"/>
        <w:rPr>
          <w:rFonts w:ascii="Calibri" w:hAnsi="Calibri" w:cs="Calibri"/>
          <w:color w:val="auto"/>
          <w:sz w:val="24"/>
          <w:szCs w:val="24"/>
          <w:lang w:val="el-GR"/>
        </w:rPr>
      </w:pPr>
    </w:p>
    <w:p w14:paraId="158D4A81" w14:textId="77777777" w:rsidR="00A5147D" w:rsidRPr="009B78E2" w:rsidRDefault="00A5147D" w:rsidP="00A5147D">
      <w:pPr>
        <w:rPr>
          <w:rFonts w:ascii="Calibri" w:eastAsiaTheme="majorEastAsia" w:hAnsi="Calibri" w:cs="Calibri"/>
          <w:b/>
          <w:bCs/>
          <w:sz w:val="24"/>
          <w:szCs w:val="24"/>
          <w:lang w:val="el-GR"/>
        </w:rPr>
      </w:pPr>
      <w:r w:rsidRPr="009B78E2">
        <w:rPr>
          <w:rFonts w:ascii="Calibri" w:hAnsi="Calibri" w:cs="Calibri"/>
          <w:sz w:val="24"/>
          <w:szCs w:val="24"/>
          <w:lang w:val="el-GR"/>
        </w:rPr>
        <w:br w:type="page"/>
      </w:r>
    </w:p>
    <w:p w14:paraId="686FE1B8" w14:textId="0703A61C" w:rsidR="00A5147D" w:rsidRPr="009B78E2" w:rsidRDefault="00A5147D" w:rsidP="00A5147D">
      <w:pPr>
        <w:pStyle w:val="Heading1"/>
        <w:tabs>
          <w:tab w:val="left" w:pos="284"/>
        </w:tabs>
        <w:spacing w:before="0"/>
        <w:ind w:left="426" w:hanging="369"/>
        <w:rPr>
          <w:rFonts w:ascii="Calibri" w:hAnsi="Calibri" w:cs="Calibri"/>
          <w:color w:val="auto"/>
          <w:sz w:val="24"/>
          <w:szCs w:val="24"/>
          <w:lang w:val="el-GR"/>
        </w:rPr>
      </w:pPr>
      <w:bookmarkStart w:id="19" w:name="_Toc136879337"/>
      <w:r w:rsidRPr="004E251E">
        <w:rPr>
          <w:rFonts w:ascii="Calibri" w:hAnsi="Calibri" w:cs="Calibri"/>
          <w:color w:val="auto"/>
          <w:sz w:val="24"/>
          <w:szCs w:val="24"/>
        </w:rPr>
        <w:lastRenderedPageBreak/>
        <w:t>IV</w:t>
      </w:r>
      <w:r w:rsidRPr="00DC0770">
        <w:rPr>
          <w:rFonts w:ascii="Calibri" w:hAnsi="Calibri" w:cs="Calibri"/>
          <w:color w:val="auto"/>
          <w:sz w:val="24"/>
          <w:szCs w:val="24"/>
          <w:lang w:val="el-GR"/>
        </w:rPr>
        <w:t xml:space="preserve">. </w:t>
      </w:r>
      <w:r w:rsidRPr="00DC0770">
        <w:rPr>
          <w:rFonts w:ascii="Calibri" w:hAnsi="Calibri" w:cs="Calibri"/>
          <w:color w:val="auto"/>
          <w:sz w:val="24"/>
          <w:szCs w:val="24"/>
          <w:lang w:val="el-GR"/>
        </w:rPr>
        <w:tab/>
      </w:r>
      <w:r w:rsidR="00F27FF2">
        <w:rPr>
          <w:rFonts w:ascii="Calibri" w:hAnsi="Calibri" w:cs="Calibri"/>
          <w:color w:val="auto"/>
          <w:sz w:val="24"/>
          <w:szCs w:val="24"/>
          <w:u w:val="single"/>
          <w:lang w:val="el-GR"/>
        </w:rPr>
        <w:t xml:space="preserve">ΠΡΟΛΗΨΗ </w:t>
      </w:r>
      <w:r w:rsidR="009B78E2">
        <w:rPr>
          <w:rFonts w:ascii="Calibri" w:hAnsi="Calibri" w:cs="Calibri"/>
          <w:color w:val="auto"/>
          <w:sz w:val="24"/>
          <w:szCs w:val="24"/>
          <w:u w:val="single"/>
          <w:lang w:val="el-GR"/>
        </w:rPr>
        <w:t>ΔΙΑΦΘΟΡΑΣ Σ</w:t>
      </w:r>
      <w:r w:rsidR="00BD0EBF">
        <w:rPr>
          <w:rFonts w:ascii="Calibri" w:hAnsi="Calibri" w:cs="Calibri"/>
          <w:color w:val="auto"/>
          <w:sz w:val="24"/>
          <w:szCs w:val="24"/>
          <w:u w:val="single"/>
          <w:lang w:val="el-GR"/>
        </w:rPr>
        <w:t>ΤΙΣ</w:t>
      </w:r>
      <w:r w:rsidR="009B78E2">
        <w:rPr>
          <w:rFonts w:ascii="Calibri" w:hAnsi="Calibri" w:cs="Calibri"/>
          <w:color w:val="auto"/>
          <w:sz w:val="24"/>
          <w:szCs w:val="24"/>
          <w:u w:val="single"/>
          <w:lang w:val="el-GR"/>
        </w:rPr>
        <w:t xml:space="preserve"> ΚΕΝΤΡΙΚΕ</w:t>
      </w:r>
      <w:r w:rsidR="006725E6">
        <w:rPr>
          <w:rFonts w:ascii="Calibri" w:hAnsi="Calibri" w:cs="Calibri"/>
          <w:color w:val="auto"/>
          <w:sz w:val="24"/>
          <w:szCs w:val="24"/>
          <w:u w:val="single"/>
          <w:lang w:val="el-GR"/>
        </w:rPr>
        <w:t>Σ</w:t>
      </w:r>
      <w:r w:rsidR="009B78E2">
        <w:rPr>
          <w:rFonts w:ascii="Calibri" w:hAnsi="Calibri" w:cs="Calibri"/>
          <w:color w:val="auto"/>
          <w:sz w:val="24"/>
          <w:szCs w:val="24"/>
          <w:u w:val="single"/>
          <w:lang w:val="el-GR"/>
        </w:rPr>
        <w:t xml:space="preserve"> ΚΥΒΕΡΝΗΣΕΙΣ</w:t>
      </w:r>
      <w:r w:rsidRPr="009B78E2">
        <w:rPr>
          <w:rFonts w:ascii="Calibri" w:hAnsi="Calibri" w:cs="Calibri"/>
          <w:color w:val="auto"/>
          <w:sz w:val="24"/>
          <w:szCs w:val="24"/>
          <w:u w:val="single"/>
          <w:lang w:val="el-GR"/>
        </w:rPr>
        <w:t xml:space="preserve"> (</w:t>
      </w:r>
      <w:r w:rsidR="00BD0EBF">
        <w:rPr>
          <w:rFonts w:ascii="Calibri" w:hAnsi="Calibri" w:cs="Calibri"/>
          <w:color w:val="auto"/>
          <w:sz w:val="24"/>
          <w:szCs w:val="24"/>
          <w:u w:val="single"/>
          <w:lang w:val="el-GR"/>
        </w:rPr>
        <w:t xml:space="preserve">ΑΝΩΤΑΤΕΣ </w:t>
      </w:r>
      <w:r w:rsidR="009B78E2">
        <w:rPr>
          <w:rFonts w:ascii="Calibri" w:hAnsi="Calibri" w:cs="Calibri"/>
          <w:color w:val="auto"/>
          <w:sz w:val="24"/>
          <w:szCs w:val="24"/>
          <w:u w:val="single"/>
          <w:lang w:val="el-GR"/>
        </w:rPr>
        <w:t>ΕΚΤΕΛΕΣΤΙΚΕΣ</w:t>
      </w:r>
      <w:r w:rsidR="00F27FF2">
        <w:rPr>
          <w:rFonts w:ascii="Calibri" w:hAnsi="Calibri" w:cs="Calibri"/>
          <w:color w:val="auto"/>
          <w:sz w:val="24"/>
          <w:szCs w:val="24"/>
          <w:u w:val="single"/>
          <w:lang w:val="el-GR"/>
        </w:rPr>
        <w:t xml:space="preserve"> ΑΡΜΟΔΙΟΤΗΤΕΣ</w:t>
      </w:r>
      <w:r w:rsidRPr="009B78E2">
        <w:rPr>
          <w:rFonts w:ascii="Calibri" w:hAnsi="Calibri" w:cs="Calibri"/>
          <w:color w:val="auto"/>
          <w:sz w:val="24"/>
          <w:szCs w:val="24"/>
          <w:u w:val="single"/>
          <w:lang w:val="el-GR"/>
        </w:rPr>
        <w:t>)</w:t>
      </w:r>
      <w:bookmarkEnd w:id="18"/>
      <w:bookmarkEnd w:id="19"/>
    </w:p>
    <w:p w14:paraId="27334C27" w14:textId="77777777" w:rsidR="00A5147D" w:rsidRPr="009B78E2" w:rsidRDefault="00A5147D" w:rsidP="00A5147D">
      <w:pPr>
        <w:rPr>
          <w:lang w:val="el-GR"/>
        </w:rPr>
      </w:pPr>
      <w:bookmarkStart w:id="20" w:name="_Toc479580427"/>
      <w:bookmarkStart w:id="21" w:name="_Toc342554250"/>
      <w:bookmarkStart w:id="22" w:name="_Toc342640925"/>
    </w:p>
    <w:p w14:paraId="75FD34C1" w14:textId="745E1CD8" w:rsidR="00A5147D" w:rsidRPr="009B78E2" w:rsidRDefault="009B78E2" w:rsidP="00A5147D">
      <w:pPr>
        <w:pStyle w:val="Heading2"/>
        <w:keepNext w:val="0"/>
        <w:keepLines w:val="0"/>
        <w:tabs>
          <w:tab w:val="left" w:pos="709"/>
        </w:tabs>
        <w:spacing w:before="0"/>
        <w:rPr>
          <w:rFonts w:asciiTheme="minorHAnsi" w:hAnsiTheme="minorHAnsi" w:cstheme="minorHAnsi"/>
          <w:b w:val="0"/>
          <w:bCs w:val="0"/>
          <w:color w:val="auto"/>
          <w:sz w:val="24"/>
          <w:szCs w:val="24"/>
          <w:u w:val="single"/>
          <w:lang w:val="el-GR"/>
        </w:rPr>
      </w:pPr>
      <w:bookmarkStart w:id="23" w:name="_Toc117264339"/>
      <w:bookmarkStart w:id="24" w:name="_Toc136879338"/>
      <w:r>
        <w:rPr>
          <w:rFonts w:asciiTheme="minorHAnsi" w:hAnsiTheme="minorHAnsi" w:cstheme="minorHAnsi"/>
          <w:b w:val="0"/>
          <w:bCs w:val="0"/>
          <w:color w:val="auto"/>
          <w:sz w:val="24"/>
          <w:szCs w:val="24"/>
          <w:u w:val="single"/>
          <w:lang w:val="el-GR"/>
        </w:rPr>
        <w:t>Σύστημα</w:t>
      </w:r>
      <w:r w:rsidRPr="009B78E2">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κυβέρνησης</w:t>
      </w:r>
      <w:r w:rsidRPr="009B78E2">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και</w:t>
      </w:r>
      <w:r w:rsidRPr="009B78E2">
        <w:rPr>
          <w:rFonts w:asciiTheme="minorHAnsi" w:hAnsiTheme="minorHAnsi" w:cstheme="minorHAnsi"/>
          <w:b w:val="0"/>
          <w:bCs w:val="0"/>
          <w:color w:val="auto"/>
          <w:sz w:val="24"/>
          <w:szCs w:val="24"/>
          <w:u w:val="single"/>
          <w:lang w:val="el-GR"/>
        </w:rPr>
        <w:t xml:space="preserve"> </w:t>
      </w:r>
      <w:r w:rsidR="00BD0EBF">
        <w:rPr>
          <w:rFonts w:asciiTheme="minorHAnsi" w:hAnsiTheme="minorHAnsi" w:cstheme="minorHAnsi"/>
          <w:b w:val="0"/>
          <w:bCs w:val="0"/>
          <w:color w:val="auto"/>
          <w:sz w:val="24"/>
          <w:szCs w:val="24"/>
          <w:u w:val="single"/>
          <w:lang w:val="el-GR"/>
        </w:rPr>
        <w:t xml:space="preserve">ανώτατες </w:t>
      </w:r>
      <w:bookmarkEnd w:id="23"/>
      <w:bookmarkEnd w:id="24"/>
      <w:r w:rsidR="00B14C20">
        <w:rPr>
          <w:rFonts w:asciiTheme="minorHAnsi" w:hAnsiTheme="minorHAnsi" w:cstheme="minorHAnsi"/>
          <w:b w:val="0"/>
          <w:bCs w:val="0"/>
          <w:color w:val="auto"/>
          <w:sz w:val="24"/>
          <w:szCs w:val="24"/>
          <w:u w:val="single"/>
          <w:lang w:val="el-GR"/>
        </w:rPr>
        <w:t>εκτελεστικές αρμοδιότητες</w:t>
      </w:r>
    </w:p>
    <w:p w14:paraId="0DDDBFFC" w14:textId="77777777" w:rsidR="00A5147D" w:rsidRPr="009B78E2" w:rsidRDefault="00A5147D" w:rsidP="00A5147D">
      <w:pPr>
        <w:rPr>
          <w:lang w:val="el-GR"/>
        </w:rPr>
      </w:pPr>
    </w:p>
    <w:p w14:paraId="0F1AE15E" w14:textId="71A7C466" w:rsidR="00A5147D" w:rsidRPr="006725E6" w:rsidRDefault="009B78E2" w:rsidP="00A5147D">
      <w:pPr>
        <w:numPr>
          <w:ilvl w:val="0"/>
          <w:numId w:val="1"/>
        </w:numPr>
        <w:tabs>
          <w:tab w:val="clear" w:pos="6095"/>
          <w:tab w:val="left" w:pos="709"/>
        </w:tabs>
        <w:ind w:left="0" w:firstLine="0"/>
        <w:rPr>
          <w:rFonts w:cstheme="minorHAnsi"/>
          <w:sz w:val="24"/>
          <w:szCs w:val="24"/>
          <w:lang w:val="el-GR"/>
        </w:rPr>
      </w:pPr>
      <w:r>
        <w:rPr>
          <w:rFonts w:eastAsia="Times New Roman" w:cstheme="minorHAnsi"/>
          <w:color w:val="000000"/>
          <w:sz w:val="24"/>
          <w:szCs w:val="24"/>
          <w:lang w:val="el-GR" w:eastAsia="fr-FR"/>
        </w:rPr>
        <w:t>Η</w:t>
      </w:r>
      <w:r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Κύπρος</w:t>
      </w:r>
      <w:r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είναι</w:t>
      </w:r>
      <w:r w:rsidRPr="006725E6">
        <w:rPr>
          <w:rFonts w:eastAsia="Times New Roman" w:cstheme="minorHAnsi"/>
          <w:color w:val="000000"/>
          <w:sz w:val="24"/>
          <w:szCs w:val="24"/>
          <w:lang w:val="el-GR" w:eastAsia="fr-FR"/>
        </w:rPr>
        <w:t xml:space="preserve"> </w:t>
      </w:r>
      <w:r w:rsidR="00F27FF2">
        <w:rPr>
          <w:rFonts w:eastAsia="Times New Roman" w:cstheme="minorHAnsi"/>
          <w:color w:val="000000"/>
          <w:sz w:val="24"/>
          <w:szCs w:val="24"/>
          <w:lang w:val="el-GR" w:eastAsia="fr-FR"/>
        </w:rPr>
        <w:t>Δ</w:t>
      </w:r>
      <w:r>
        <w:rPr>
          <w:rFonts w:eastAsia="Times New Roman" w:cstheme="minorHAnsi"/>
          <w:color w:val="000000"/>
          <w:sz w:val="24"/>
          <w:szCs w:val="24"/>
          <w:lang w:val="el-GR" w:eastAsia="fr-FR"/>
        </w:rPr>
        <w:t>ημοκρατία</w:t>
      </w:r>
      <w:r w:rsidR="004E7DC7">
        <w:rPr>
          <w:rFonts w:eastAsia="Times New Roman" w:cstheme="minorHAnsi"/>
          <w:color w:val="000000"/>
          <w:sz w:val="24"/>
          <w:szCs w:val="24"/>
          <w:lang w:val="el-GR" w:eastAsia="fr-FR"/>
        </w:rPr>
        <w:t>,</w:t>
      </w:r>
      <w:r w:rsidR="006725E6">
        <w:rPr>
          <w:rFonts w:eastAsia="Times New Roman" w:cstheme="minorHAnsi"/>
          <w:color w:val="000000"/>
          <w:sz w:val="24"/>
          <w:szCs w:val="24"/>
          <w:lang w:val="el-GR" w:eastAsia="fr-FR"/>
        </w:rPr>
        <w:t xml:space="preserve"> </w:t>
      </w:r>
      <w:r w:rsidR="00F27FF2">
        <w:rPr>
          <w:rFonts w:eastAsia="Times New Roman" w:cstheme="minorHAnsi"/>
          <w:color w:val="000000"/>
          <w:sz w:val="24"/>
          <w:szCs w:val="24"/>
          <w:u w:val="single"/>
          <w:lang w:val="el-GR" w:eastAsia="fr-FR"/>
        </w:rPr>
        <w:t>Π</w:t>
      </w:r>
      <w:r w:rsidR="006725E6" w:rsidRPr="006725E6">
        <w:rPr>
          <w:rFonts w:eastAsia="Times New Roman" w:cstheme="minorHAnsi"/>
          <w:color w:val="000000"/>
          <w:sz w:val="24"/>
          <w:szCs w:val="24"/>
          <w:u w:val="single"/>
          <w:lang w:val="el-GR" w:eastAsia="fr-FR"/>
        </w:rPr>
        <w:t>ροεδ</w:t>
      </w:r>
      <w:r w:rsidR="006725E6">
        <w:rPr>
          <w:rFonts w:eastAsia="Times New Roman" w:cstheme="minorHAnsi"/>
          <w:color w:val="000000"/>
          <w:sz w:val="24"/>
          <w:szCs w:val="24"/>
          <w:u w:val="single"/>
          <w:lang w:val="el-GR" w:eastAsia="fr-FR"/>
        </w:rPr>
        <w:t>ρ</w:t>
      </w:r>
      <w:r w:rsidR="006725E6" w:rsidRPr="006725E6">
        <w:rPr>
          <w:rFonts w:eastAsia="Times New Roman" w:cstheme="minorHAnsi"/>
          <w:color w:val="000000"/>
          <w:sz w:val="24"/>
          <w:szCs w:val="24"/>
          <w:u w:val="single"/>
          <w:lang w:val="el-GR" w:eastAsia="fr-FR"/>
        </w:rPr>
        <w:t xml:space="preserve">ική </w:t>
      </w:r>
      <w:r w:rsidR="00F27FF2">
        <w:rPr>
          <w:rFonts w:eastAsia="Times New Roman" w:cstheme="minorHAnsi"/>
          <w:color w:val="000000"/>
          <w:sz w:val="24"/>
          <w:szCs w:val="24"/>
          <w:u w:val="single"/>
          <w:lang w:val="el-GR" w:eastAsia="fr-FR"/>
        </w:rPr>
        <w:t>Δ</w:t>
      </w:r>
      <w:r w:rsidR="006725E6" w:rsidRPr="006725E6">
        <w:rPr>
          <w:rFonts w:eastAsia="Times New Roman" w:cstheme="minorHAnsi"/>
          <w:color w:val="000000"/>
          <w:sz w:val="24"/>
          <w:szCs w:val="24"/>
          <w:u w:val="single"/>
          <w:lang w:val="el-GR" w:eastAsia="fr-FR"/>
        </w:rPr>
        <w:t>ημοκρατία</w:t>
      </w:r>
      <w:r w:rsidR="00A5147D"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που συστάθηκε το</w:t>
      </w:r>
      <w:r w:rsidR="00A5147D" w:rsidRPr="006725E6">
        <w:rPr>
          <w:rFonts w:eastAsia="Times New Roman" w:cstheme="minorHAnsi"/>
          <w:color w:val="000000"/>
          <w:sz w:val="24"/>
          <w:szCs w:val="24"/>
          <w:lang w:val="el-GR" w:eastAsia="fr-FR"/>
        </w:rPr>
        <w:t xml:space="preserve"> 1960. </w:t>
      </w:r>
      <w:r w:rsidR="006725E6">
        <w:rPr>
          <w:rFonts w:eastAsia="Times New Roman" w:cstheme="minorHAnsi"/>
          <w:color w:val="000000"/>
          <w:sz w:val="24"/>
          <w:szCs w:val="24"/>
          <w:lang w:val="el-GR" w:eastAsia="fr-FR"/>
        </w:rPr>
        <w:t>Έχει</w:t>
      </w:r>
      <w:r w:rsidR="006725E6"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ένα</w:t>
      </w:r>
      <w:r w:rsidR="006725E6"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γραπτό</w:t>
      </w:r>
      <w:r w:rsidR="006725E6"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σύνταγμα</w:t>
      </w:r>
      <w:r w:rsidR="00A5147D"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που</w:t>
      </w:r>
      <w:r w:rsidR="006725E6"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προβλέπει</w:t>
      </w:r>
      <w:r w:rsidR="006725E6"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ένα</w:t>
      </w:r>
      <w:r w:rsidR="006725E6"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σύστημα</w:t>
      </w:r>
      <w:r w:rsidR="006725E6"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Κυβέρνησης</w:t>
      </w:r>
      <w:r w:rsidR="006725E6"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βασισμένο</w:t>
      </w:r>
      <w:r w:rsidR="006725E6"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σε</w:t>
      </w:r>
      <w:r w:rsidR="006725E6"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ένα</w:t>
      </w:r>
      <w:r w:rsidR="006725E6"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διαχωρισμό εξουσιών μεταξύ της νομοθετικής, της εκτελεστικής και της δικαστικής εξουσίας</w:t>
      </w:r>
      <w:r w:rsidR="00A5147D"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Η</w:t>
      </w:r>
      <w:r w:rsidR="006725E6"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εκτελεστική</w:t>
      </w:r>
      <w:r w:rsidR="006725E6"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εξουσία</w:t>
      </w:r>
      <w:r w:rsidR="006725E6"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είναι</w:t>
      </w:r>
      <w:r w:rsidR="006725E6" w:rsidRPr="006725E6">
        <w:rPr>
          <w:rFonts w:eastAsia="Times New Roman" w:cstheme="minorHAnsi"/>
          <w:color w:val="000000"/>
          <w:sz w:val="24"/>
          <w:szCs w:val="24"/>
          <w:lang w:val="el-GR" w:eastAsia="fr-FR"/>
        </w:rPr>
        <w:t xml:space="preserve"> </w:t>
      </w:r>
      <w:r w:rsidR="00E95FF4">
        <w:rPr>
          <w:rFonts w:eastAsia="Times New Roman" w:cstheme="minorHAnsi"/>
          <w:color w:val="000000"/>
          <w:sz w:val="24"/>
          <w:szCs w:val="24"/>
          <w:lang w:val="el-GR" w:eastAsia="fr-FR"/>
        </w:rPr>
        <w:t xml:space="preserve">ανατεθειμένη </w:t>
      </w:r>
      <w:r w:rsidR="006725E6">
        <w:rPr>
          <w:rFonts w:eastAsia="Times New Roman" w:cstheme="minorHAnsi"/>
          <w:color w:val="000000"/>
          <w:sz w:val="24"/>
          <w:szCs w:val="24"/>
          <w:lang w:val="el-GR" w:eastAsia="fr-FR"/>
        </w:rPr>
        <w:t>στον</w:t>
      </w:r>
      <w:r w:rsidR="006725E6"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Πρόεδρο</w:t>
      </w:r>
      <w:r w:rsidR="006725E6"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της</w:t>
      </w:r>
      <w:r w:rsidR="006725E6" w:rsidRPr="006725E6">
        <w:rPr>
          <w:rFonts w:eastAsia="Times New Roman" w:cstheme="minorHAnsi"/>
          <w:color w:val="000000"/>
          <w:sz w:val="24"/>
          <w:szCs w:val="24"/>
          <w:lang w:val="el-GR" w:eastAsia="fr-FR"/>
        </w:rPr>
        <w:t xml:space="preserve"> </w:t>
      </w:r>
      <w:r w:rsidR="006725E6">
        <w:rPr>
          <w:rFonts w:eastAsia="Times New Roman" w:cstheme="minorHAnsi"/>
          <w:color w:val="000000"/>
          <w:sz w:val="24"/>
          <w:szCs w:val="24"/>
          <w:lang w:val="el-GR" w:eastAsia="fr-FR"/>
        </w:rPr>
        <w:t xml:space="preserve">Δημοκρατίας και </w:t>
      </w:r>
      <w:r w:rsidR="00E95FF4">
        <w:rPr>
          <w:rFonts w:eastAsia="Times New Roman" w:cstheme="minorHAnsi"/>
          <w:color w:val="000000"/>
          <w:sz w:val="24"/>
          <w:szCs w:val="24"/>
          <w:lang w:val="el-GR" w:eastAsia="fr-FR"/>
        </w:rPr>
        <w:t>σ</w:t>
      </w:r>
      <w:r w:rsidR="006725E6">
        <w:rPr>
          <w:rFonts w:eastAsia="Times New Roman" w:cstheme="minorHAnsi"/>
          <w:color w:val="000000"/>
          <w:sz w:val="24"/>
          <w:szCs w:val="24"/>
          <w:lang w:val="el-GR" w:eastAsia="fr-FR"/>
        </w:rPr>
        <w:t>το Υπουργικό Συμβούλιο</w:t>
      </w:r>
      <w:r w:rsidR="00A5147D" w:rsidRPr="006725E6">
        <w:rPr>
          <w:rFonts w:cstheme="minorHAnsi"/>
          <w:sz w:val="24"/>
          <w:szCs w:val="24"/>
          <w:lang w:val="el-GR"/>
        </w:rPr>
        <w:t>.</w:t>
      </w:r>
      <w:r w:rsidR="00A5147D" w:rsidRPr="004E251E">
        <w:rPr>
          <w:rStyle w:val="FootnoteReference"/>
          <w:rFonts w:cstheme="minorHAnsi"/>
          <w:sz w:val="24"/>
          <w:szCs w:val="24"/>
        </w:rPr>
        <w:footnoteReference w:id="9"/>
      </w:r>
      <w:r w:rsidR="00A5147D" w:rsidRPr="006725E6">
        <w:rPr>
          <w:rFonts w:cstheme="minorHAnsi"/>
          <w:sz w:val="24"/>
          <w:szCs w:val="24"/>
          <w:lang w:val="el-GR"/>
        </w:rPr>
        <w:t xml:space="preserve"> </w:t>
      </w:r>
      <w:r w:rsidR="006725E6">
        <w:rPr>
          <w:rFonts w:cstheme="minorHAnsi"/>
          <w:sz w:val="24"/>
          <w:szCs w:val="24"/>
          <w:lang w:val="el-GR"/>
        </w:rPr>
        <w:t>Η</w:t>
      </w:r>
      <w:r w:rsidR="006725E6" w:rsidRPr="006725E6">
        <w:rPr>
          <w:rFonts w:cstheme="minorHAnsi"/>
          <w:sz w:val="24"/>
          <w:szCs w:val="24"/>
          <w:lang w:val="el-GR"/>
        </w:rPr>
        <w:t xml:space="preserve"> </w:t>
      </w:r>
      <w:r w:rsidR="006725E6">
        <w:rPr>
          <w:rFonts w:cstheme="minorHAnsi"/>
          <w:sz w:val="24"/>
          <w:szCs w:val="24"/>
          <w:lang w:val="el-GR"/>
        </w:rPr>
        <w:t>νομοθετική</w:t>
      </w:r>
      <w:r w:rsidR="006725E6" w:rsidRPr="006725E6">
        <w:rPr>
          <w:rFonts w:cstheme="minorHAnsi"/>
          <w:sz w:val="24"/>
          <w:szCs w:val="24"/>
          <w:lang w:val="el-GR"/>
        </w:rPr>
        <w:t xml:space="preserve"> </w:t>
      </w:r>
      <w:r w:rsidR="006725E6">
        <w:rPr>
          <w:rFonts w:cstheme="minorHAnsi"/>
          <w:sz w:val="24"/>
          <w:szCs w:val="24"/>
          <w:lang w:val="el-GR"/>
        </w:rPr>
        <w:t>εξουσία</w:t>
      </w:r>
      <w:r w:rsidR="006725E6" w:rsidRPr="006725E6">
        <w:rPr>
          <w:rFonts w:cstheme="minorHAnsi"/>
          <w:sz w:val="24"/>
          <w:szCs w:val="24"/>
          <w:lang w:val="el-GR"/>
        </w:rPr>
        <w:t xml:space="preserve"> </w:t>
      </w:r>
      <w:r w:rsidR="006725E6">
        <w:rPr>
          <w:rFonts w:cstheme="minorHAnsi"/>
          <w:sz w:val="24"/>
          <w:szCs w:val="24"/>
          <w:lang w:val="el-GR"/>
        </w:rPr>
        <w:t>είναι</w:t>
      </w:r>
      <w:r w:rsidR="006725E6" w:rsidRPr="006725E6">
        <w:rPr>
          <w:rFonts w:cstheme="minorHAnsi"/>
          <w:sz w:val="24"/>
          <w:szCs w:val="24"/>
          <w:lang w:val="el-GR"/>
        </w:rPr>
        <w:t xml:space="preserve"> </w:t>
      </w:r>
      <w:r w:rsidR="00E95FF4">
        <w:rPr>
          <w:rFonts w:cstheme="minorHAnsi"/>
          <w:sz w:val="24"/>
          <w:szCs w:val="24"/>
          <w:lang w:val="el-GR"/>
        </w:rPr>
        <w:t xml:space="preserve">ανατεθειμένη </w:t>
      </w:r>
      <w:r w:rsidR="006725E6">
        <w:rPr>
          <w:rFonts w:cstheme="minorHAnsi"/>
          <w:sz w:val="24"/>
          <w:szCs w:val="24"/>
          <w:lang w:val="el-GR"/>
        </w:rPr>
        <w:t>τόσο</w:t>
      </w:r>
      <w:r w:rsidR="006725E6" w:rsidRPr="006725E6">
        <w:rPr>
          <w:rFonts w:cstheme="minorHAnsi"/>
          <w:sz w:val="24"/>
          <w:szCs w:val="24"/>
          <w:lang w:val="el-GR"/>
        </w:rPr>
        <w:t xml:space="preserve"> </w:t>
      </w:r>
      <w:r w:rsidR="006725E6">
        <w:rPr>
          <w:rFonts w:cstheme="minorHAnsi"/>
          <w:sz w:val="24"/>
          <w:szCs w:val="24"/>
          <w:lang w:val="el-GR"/>
        </w:rPr>
        <w:t>στην</w:t>
      </w:r>
      <w:r w:rsidR="006725E6" w:rsidRPr="006725E6">
        <w:rPr>
          <w:rFonts w:cstheme="minorHAnsi"/>
          <w:sz w:val="24"/>
          <w:szCs w:val="24"/>
          <w:lang w:val="el-GR"/>
        </w:rPr>
        <w:t xml:space="preserve"> </w:t>
      </w:r>
      <w:r w:rsidR="006725E6">
        <w:rPr>
          <w:rFonts w:cstheme="minorHAnsi"/>
          <w:sz w:val="24"/>
          <w:szCs w:val="24"/>
          <w:lang w:val="el-GR"/>
        </w:rPr>
        <w:t xml:space="preserve">Κυβέρνηση </w:t>
      </w:r>
      <w:r w:rsidR="004E7DC7">
        <w:rPr>
          <w:rFonts w:cstheme="minorHAnsi"/>
          <w:sz w:val="24"/>
          <w:szCs w:val="24"/>
          <w:lang w:val="el-GR"/>
        </w:rPr>
        <w:t xml:space="preserve">όσο </w:t>
      </w:r>
      <w:r w:rsidR="006725E6">
        <w:rPr>
          <w:rFonts w:cstheme="minorHAnsi"/>
          <w:sz w:val="24"/>
          <w:szCs w:val="24"/>
          <w:lang w:val="el-GR"/>
        </w:rPr>
        <w:t>και</w:t>
      </w:r>
      <w:r w:rsidR="004E7DC7">
        <w:rPr>
          <w:rFonts w:cstheme="minorHAnsi"/>
          <w:sz w:val="24"/>
          <w:szCs w:val="24"/>
          <w:lang w:val="el-GR"/>
        </w:rPr>
        <w:t xml:space="preserve"> </w:t>
      </w:r>
      <w:r w:rsidR="006725E6">
        <w:rPr>
          <w:rFonts w:cstheme="minorHAnsi"/>
          <w:sz w:val="24"/>
          <w:szCs w:val="24"/>
          <w:lang w:val="el-GR"/>
        </w:rPr>
        <w:t>την Βουλή των Αντιπροσώπων</w:t>
      </w:r>
      <w:r w:rsidR="00A5147D" w:rsidRPr="006725E6">
        <w:rPr>
          <w:rFonts w:cstheme="minorHAnsi"/>
          <w:sz w:val="24"/>
          <w:szCs w:val="24"/>
          <w:lang w:val="el-GR"/>
        </w:rPr>
        <w:t xml:space="preserve"> (</w:t>
      </w:r>
      <w:r w:rsidR="006725E6">
        <w:rPr>
          <w:rFonts w:cstheme="minorHAnsi"/>
          <w:sz w:val="24"/>
          <w:szCs w:val="24"/>
          <w:lang w:val="el-GR"/>
        </w:rPr>
        <w:t>Βουλή</w:t>
      </w:r>
      <w:r w:rsidR="00A5147D" w:rsidRPr="006725E6">
        <w:rPr>
          <w:rFonts w:cstheme="minorHAnsi"/>
          <w:sz w:val="24"/>
          <w:szCs w:val="24"/>
          <w:lang w:val="el-GR"/>
        </w:rPr>
        <w:t>).</w:t>
      </w:r>
      <w:r w:rsidR="00A5147D" w:rsidRPr="004E251E">
        <w:rPr>
          <w:rStyle w:val="FootnoteReference"/>
          <w:rFonts w:cstheme="minorHAnsi"/>
          <w:sz w:val="24"/>
          <w:szCs w:val="24"/>
        </w:rPr>
        <w:footnoteReference w:id="10"/>
      </w:r>
      <w:r w:rsidR="00A5147D" w:rsidRPr="006725E6">
        <w:rPr>
          <w:rFonts w:cstheme="minorHAnsi"/>
          <w:sz w:val="24"/>
          <w:szCs w:val="24"/>
          <w:lang w:val="el-GR"/>
        </w:rPr>
        <w:t xml:space="preserve"> </w:t>
      </w:r>
      <w:r w:rsidR="006725E6">
        <w:rPr>
          <w:rFonts w:cstheme="minorHAnsi"/>
          <w:sz w:val="24"/>
          <w:szCs w:val="24"/>
          <w:lang w:val="el-GR"/>
        </w:rPr>
        <w:t>Η</w:t>
      </w:r>
      <w:r w:rsidR="006725E6" w:rsidRPr="006725E6">
        <w:rPr>
          <w:rFonts w:cstheme="minorHAnsi"/>
          <w:sz w:val="24"/>
          <w:szCs w:val="24"/>
          <w:lang w:val="el-GR"/>
        </w:rPr>
        <w:t xml:space="preserve"> </w:t>
      </w:r>
      <w:r w:rsidR="006725E6">
        <w:rPr>
          <w:rFonts w:cstheme="minorHAnsi"/>
          <w:sz w:val="24"/>
          <w:szCs w:val="24"/>
          <w:lang w:val="el-GR"/>
        </w:rPr>
        <w:t>δικαστική</w:t>
      </w:r>
      <w:r w:rsidR="006725E6" w:rsidRPr="006725E6">
        <w:rPr>
          <w:rFonts w:cstheme="minorHAnsi"/>
          <w:sz w:val="24"/>
          <w:szCs w:val="24"/>
          <w:lang w:val="el-GR"/>
        </w:rPr>
        <w:t xml:space="preserve"> </w:t>
      </w:r>
      <w:r w:rsidR="006725E6">
        <w:rPr>
          <w:rFonts w:cstheme="minorHAnsi"/>
          <w:sz w:val="24"/>
          <w:szCs w:val="24"/>
          <w:lang w:val="el-GR"/>
        </w:rPr>
        <w:t>εξουσία</w:t>
      </w:r>
      <w:r w:rsidR="006725E6" w:rsidRPr="006725E6">
        <w:rPr>
          <w:rFonts w:cstheme="minorHAnsi"/>
          <w:sz w:val="24"/>
          <w:szCs w:val="24"/>
          <w:lang w:val="el-GR"/>
        </w:rPr>
        <w:t xml:space="preserve"> </w:t>
      </w:r>
      <w:r w:rsidR="006725E6">
        <w:rPr>
          <w:rFonts w:cstheme="minorHAnsi"/>
          <w:sz w:val="24"/>
          <w:szCs w:val="24"/>
          <w:lang w:val="el-GR"/>
        </w:rPr>
        <w:t>εξασκείται</w:t>
      </w:r>
      <w:r w:rsidR="006725E6" w:rsidRPr="006725E6">
        <w:rPr>
          <w:rFonts w:cstheme="minorHAnsi"/>
          <w:sz w:val="24"/>
          <w:szCs w:val="24"/>
          <w:lang w:val="el-GR"/>
        </w:rPr>
        <w:t xml:space="preserve"> </w:t>
      </w:r>
      <w:r w:rsidR="006725E6">
        <w:rPr>
          <w:rFonts w:cstheme="minorHAnsi"/>
          <w:sz w:val="24"/>
          <w:szCs w:val="24"/>
          <w:lang w:val="el-GR"/>
        </w:rPr>
        <w:t>από</w:t>
      </w:r>
      <w:r w:rsidR="006725E6" w:rsidRPr="006725E6">
        <w:rPr>
          <w:rFonts w:cstheme="minorHAnsi"/>
          <w:sz w:val="24"/>
          <w:szCs w:val="24"/>
          <w:lang w:val="el-GR"/>
        </w:rPr>
        <w:t xml:space="preserve"> </w:t>
      </w:r>
      <w:r w:rsidR="006725E6">
        <w:rPr>
          <w:rFonts w:cstheme="minorHAnsi"/>
          <w:sz w:val="24"/>
          <w:szCs w:val="24"/>
          <w:lang w:val="el-GR"/>
        </w:rPr>
        <w:t>τα</w:t>
      </w:r>
      <w:r w:rsidR="006725E6" w:rsidRPr="006725E6">
        <w:rPr>
          <w:rFonts w:cstheme="minorHAnsi"/>
          <w:sz w:val="24"/>
          <w:szCs w:val="24"/>
          <w:lang w:val="el-GR"/>
        </w:rPr>
        <w:t xml:space="preserve"> </w:t>
      </w:r>
      <w:r w:rsidR="006725E6">
        <w:rPr>
          <w:rFonts w:cstheme="minorHAnsi"/>
          <w:sz w:val="24"/>
          <w:szCs w:val="24"/>
          <w:lang w:val="el-GR"/>
        </w:rPr>
        <w:t>δικαστήρια</w:t>
      </w:r>
      <w:r w:rsidR="00A5147D" w:rsidRPr="006725E6">
        <w:rPr>
          <w:rFonts w:cstheme="minorHAnsi"/>
          <w:color w:val="202124"/>
          <w:sz w:val="24"/>
          <w:szCs w:val="24"/>
          <w:shd w:val="clear" w:color="auto" w:fill="FFFFFF"/>
          <w:lang w:val="el-GR"/>
        </w:rPr>
        <w:t xml:space="preserve">, </w:t>
      </w:r>
      <w:r w:rsidR="006725E6">
        <w:rPr>
          <w:rFonts w:cstheme="minorHAnsi"/>
          <w:color w:val="202124"/>
          <w:sz w:val="24"/>
          <w:szCs w:val="24"/>
          <w:shd w:val="clear" w:color="auto" w:fill="FFFFFF"/>
          <w:lang w:val="el-GR"/>
        </w:rPr>
        <w:t>όπως προβλέπεται από το Σύνταγμα και τον νόμο</w:t>
      </w:r>
      <w:r w:rsidR="00DC564B" w:rsidRPr="006725E6">
        <w:rPr>
          <w:rFonts w:cstheme="minorHAnsi"/>
          <w:color w:val="202124"/>
          <w:sz w:val="24"/>
          <w:szCs w:val="24"/>
          <w:shd w:val="clear" w:color="auto" w:fill="FFFFFF"/>
          <w:lang w:val="el-GR"/>
        </w:rPr>
        <w:t xml:space="preserve"> (</w:t>
      </w:r>
      <w:r w:rsidR="006725E6">
        <w:rPr>
          <w:rFonts w:cstheme="minorHAnsi"/>
          <w:color w:val="202124"/>
          <w:sz w:val="24"/>
          <w:szCs w:val="24"/>
          <w:shd w:val="clear" w:color="auto" w:fill="FFFFFF"/>
          <w:lang w:val="el-GR"/>
        </w:rPr>
        <w:t>βλέπε επίσης την παράγραφο</w:t>
      </w:r>
      <w:r w:rsidR="00DC564B" w:rsidRPr="006725E6">
        <w:rPr>
          <w:rFonts w:cstheme="minorHAnsi"/>
          <w:color w:val="202124"/>
          <w:sz w:val="24"/>
          <w:szCs w:val="24"/>
          <w:shd w:val="clear" w:color="auto" w:fill="FFFFFF"/>
          <w:lang w:val="el-GR"/>
        </w:rPr>
        <w:t xml:space="preserve"> </w:t>
      </w:r>
      <w:r w:rsidR="004A3418">
        <w:rPr>
          <w:rFonts w:cstheme="minorHAnsi"/>
          <w:color w:val="202124"/>
          <w:sz w:val="24"/>
          <w:szCs w:val="24"/>
          <w:highlight w:val="yellow"/>
          <w:shd w:val="clear" w:color="auto" w:fill="FFFFFF"/>
        </w:rPr>
        <w:fldChar w:fldCharType="begin"/>
      </w:r>
      <w:r w:rsidR="004A3418" w:rsidRPr="006725E6">
        <w:rPr>
          <w:rFonts w:cstheme="minorHAnsi"/>
          <w:color w:val="202124"/>
          <w:sz w:val="24"/>
          <w:szCs w:val="24"/>
          <w:shd w:val="clear" w:color="auto" w:fill="FFFFFF"/>
          <w:lang w:val="el-GR"/>
        </w:rPr>
        <w:instrText xml:space="preserve"> </w:instrText>
      </w:r>
      <w:r w:rsidR="004A3418">
        <w:rPr>
          <w:rFonts w:cstheme="minorHAnsi"/>
          <w:color w:val="202124"/>
          <w:sz w:val="24"/>
          <w:szCs w:val="24"/>
          <w:shd w:val="clear" w:color="auto" w:fill="FFFFFF"/>
        </w:rPr>
        <w:instrText>REF</w:instrText>
      </w:r>
      <w:r w:rsidR="004A3418" w:rsidRPr="006725E6">
        <w:rPr>
          <w:rFonts w:cstheme="minorHAnsi"/>
          <w:color w:val="202124"/>
          <w:sz w:val="24"/>
          <w:szCs w:val="24"/>
          <w:shd w:val="clear" w:color="auto" w:fill="FFFFFF"/>
          <w:lang w:val="el-GR"/>
        </w:rPr>
        <w:instrText xml:space="preserve"> _</w:instrText>
      </w:r>
      <w:r w:rsidR="004A3418">
        <w:rPr>
          <w:rFonts w:cstheme="minorHAnsi"/>
          <w:color w:val="202124"/>
          <w:sz w:val="24"/>
          <w:szCs w:val="24"/>
          <w:shd w:val="clear" w:color="auto" w:fill="FFFFFF"/>
        </w:rPr>
        <w:instrText>Ref</w:instrText>
      </w:r>
      <w:r w:rsidR="004A3418" w:rsidRPr="006725E6">
        <w:rPr>
          <w:rFonts w:cstheme="minorHAnsi"/>
          <w:color w:val="202124"/>
          <w:sz w:val="24"/>
          <w:szCs w:val="24"/>
          <w:shd w:val="clear" w:color="auto" w:fill="FFFFFF"/>
          <w:lang w:val="el-GR"/>
        </w:rPr>
        <w:instrText>137452761 \</w:instrText>
      </w:r>
      <w:r w:rsidR="004A3418">
        <w:rPr>
          <w:rFonts w:cstheme="minorHAnsi"/>
          <w:color w:val="202124"/>
          <w:sz w:val="24"/>
          <w:szCs w:val="24"/>
          <w:shd w:val="clear" w:color="auto" w:fill="FFFFFF"/>
        </w:rPr>
        <w:instrText>r</w:instrText>
      </w:r>
      <w:r w:rsidR="004A3418" w:rsidRPr="006725E6">
        <w:rPr>
          <w:rFonts w:cstheme="minorHAnsi"/>
          <w:color w:val="202124"/>
          <w:sz w:val="24"/>
          <w:szCs w:val="24"/>
          <w:shd w:val="clear" w:color="auto" w:fill="FFFFFF"/>
          <w:lang w:val="el-GR"/>
        </w:rPr>
        <w:instrText xml:space="preserve"> \</w:instrText>
      </w:r>
      <w:r w:rsidR="004A3418">
        <w:rPr>
          <w:rFonts w:cstheme="minorHAnsi"/>
          <w:color w:val="202124"/>
          <w:sz w:val="24"/>
          <w:szCs w:val="24"/>
          <w:shd w:val="clear" w:color="auto" w:fill="FFFFFF"/>
        </w:rPr>
        <w:instrText>h</w:instrText>
      </w:r>
      <w:r w:rsidR="004A3418" w:rsidRPr="006725E6">
        <w:rPr>
          <w:rFonts w:cstheme="minorHAnsi"/>
          <w:color w:val="202124"/>
          <w:sz w:val="24"/>
          <w:szCs w:val="24"/>
          <w:shd w:val="clear" w:color="auto" w:fill="FFFFFF"/>
          <w:lang w:val="el-GR"/>
        </w:rPr>
        <w:instrText xml:space="preserve"> </w:instrText>
      </w:r>
      <w:r w:rsidR="004A3418">
        <w:rPr>
          <w:rFonts w:cstheme="minorHAnsi"/>
          <w:color w:val="202124"/>
          <w:sz w:val="24"/>
          <w:szCs w:val="24"/>
          <w:highlight w:val="yellow"/>
          <w:shd w:val="clear" w:color="auto" w:fill="FFFFFF"/>
        </w:rPr>
      </w:r>
      <w:r w:rsidR="004A3418">
        <w:rPr>
          <w:rFonts w:cstheme="minorHAnsi"/>
          <w:color w:val="202124"/>
          <w:sz w:val="24"/>
          <w:szCs w:val="24"/>
          <w:highlight w:val="yellow"/>
          <w:shd w:val="clear" w:color="auto" w:fill="FFFFFF"/>
        </w:rPr>
        <w:fldChar w:fldCharType="separate"/>
      </w:r>
      <w:r w:rsidR="00522AD3">
        <w:rPr>
          <w:rFonts w:cstheme="minorHAnsi"/>
          <w:color w:val="202124"/>
          <w:sz w:val="24"/>
          <w:szCs w:val="24"/>
          <w:shd w:val="clear" w:color="auto" w:fill="FFFFFF"/>
          <w:cs/>
          <w:lang w:val="el-GR"/>
        </w:rPr>
        <w:t>‎</w:t>
      </w:r>
      <w:r w:rsidR="00522AD3">
        <w:rPr>
          <w:rFonts w:cstheme="minorHAnsi"/>
          <w:color w:val="202124"/>
          <w:sz w:val="24"/>
          <w:szCs w:val="24"/>
          <w:shd w:val="clear" w:color="auto" w:fill="FFFFFF"/>
          <w:lang w:val="el-GR"/>
        </w:rPr>
        <w:t>21</w:t>
      </w:r>
      <w:r w:rsidR="004A3418">
        <w:rPr>
          <w:rFonts w:cstheme="minorHAnsi"/>
          <w:color w:val="202124"/>
          <w:sz w:val="24"/>
          <w:szCs w:val="24"/>
          <w:highlight w:val="yellow"/>
          <w:shd w:val="clear" w:color="auto" w:fill="FFFFFF"/>
        </w:rPr>
        <w:fldChar w:fldCharType="end"/>
      </w:r>
      <w:r w:rsidR="00DC564B" w:rsidRPr="006725E6">
        <w:rPr>
          <w:rFonts w:cstheme="minorHAnsi"/>
          <w:color w:val="202124"/>
          <w:sz w:val="24"/>
          <w:szCs w:val="24"/>
          <w:shd w:val="clear" w:color="auto" w:fill="FFFFFF"/>
          <w:lang w:val="el-GR"/>
        </w:rPr>
        <w:t>)</w:t>
      </w:r>
      <w:r w:rsidR="00A5147D" w:rsidRPr="006725E6">
        <w:rPr>
          <w:rFonts w:cstheme="minorHAnsi"/>
          <w:sz w:val="24"/>
          <w:szCs w:val="24"/>
          <w:lang w:val="el-GR"/>
        </w:rPr>
        <w:t>.</w:t>
      </w:r>
    </w:p>
    <w:p w14:paraId="15449D2E" w14:textId="77777777" w:rsidR="00A5147D" w:rsidRPr="006725E6" w:rsidRDefault="00A5147D" w:rsidP="00A5147D">
      <w:pPr>
        <w:rPr>
          <w:rFonts w:cstheme="minorHAnsi"/>
          <w:sz w:val="24"/>
          <w:szCs w:val="24"/>
          <w:lang w:val="el-GR"/>
        </w:rPr>
      </w:pPr>
    </w:p>
    <w:p w14:paraId="044EB2E0" w14:textId="42BE2789" w:rsidR="00A5147D" w:rsidRPr="00D25C96" w:rsidRDefault="006725E6" w:rsidP="00A5147D">
      <w:pPr>
        <w:numPr>
          <w:ilvl w:val="0"/>
          <w:numId w:val="1"/>
        </w:numPr>
        <w:tabs>
          <w:tab w:val="clear" w:pos="6095"/>
          <w:tab w:val="left" w:pos="709"/>
        </w:tabs>
        <w:ind w:left="0" w:firstLine="0"/>
        <w:rPr>
          <w:rFonts w:cstheme="minorHAnsi"/>
          <w:sz w:val="24"/>
          <w:szCs w:val="24"/>
          <w:lang w:val="el-GR"/>
        </w:rPr>
      </w:pPr>
      <w:r>
        <w:rPr>
          <w:rFonts w:eastAsia="Times New Roman" w:cstheme="minorHAnsi"/>
          <w:color w:val="000000"/>
          <w:sz w:val="24"/>
          <w:szCs w:val="24"/>
          <w:lang w:val="el-GR" w:eastAsia="fr-FR"/>
        </w:rPr>
        <w:t>Οι</w:t>
      </w:r>
      <w:r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πιο</w:t>
      </w:r>
      <w:r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πάνω</w:t>
      </w:r>
      <w:r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διευθετήσεις</w:t>
      </w:r>
      <w:r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ήταν</w:t>
      </w:r>
      <w:r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αποτέλεσμα</w:t>
      </w:r>
      <w:r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ιστορικών</w:t>
      </w:r>
      <w:r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γεγονότων</w:t>
      </w:r>
      <w:r w:rsidR="00A5147D"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που</w:t>
      </w:r>
      <w:r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έχουν συμβεί μετά την επικύρωση</w:t>
      </w:r>
      <w:r w:rsidR="00A5147D"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 xml:space="preserve">του Συντάγματος της Κύπρου του </w:t>
      </w:r>
      <w:r w:rsidR="00A5147D" w:rsidRPr="006725E6">
        <w:rPr>
          <w:rFonts w:eastAsia="Times New Roman" w:cstheme="minorHAnsi"/>
          <w:color w:val="000000"/>
          <w:sz w:val="24"/>
          <w:szCs w:val="24"/>
          <w:lang w:val="el-GR" w:eastAsia="fr-FR"/>
        </w:rPr>
        <w:t xml:space="preserve">1960. </w:t>
      </w:r>
      <w:r>
        <w:rPr>
          <w:rFonts w:eastAsia="Times New Roman" w:cstheme="minorHAnsi"/>
          <w:color w:val="000000"/>
          <w:sz w:val="24"/>
          <w:szCs w:val="24"/>
          <w:lang w:val="el-GR" w:eastAsia="fr-FR"/>
        </w:rPr>
        <w:t>Το</w:t>
      </w:r>
      <w:r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Σύνταγμα</w:t>
      </w:r>
      <w:r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καθιέρωσε</w:t>
      </w:r>
      <w:r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την</w:t>
      </w:r>
      <w:r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ανεξαρτησία</w:t>
      </w:r>
      <w:r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της</w:t>
      </w:r>
      <w:r w:rsidRPr="006725E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Κύπρου</w:t>
      </w:r>
      <w:r w:rsidR="00A5147D" w:rsidRPr="006725E6">
        <w:rPr>
          <w:rFonts w:eastAsia="Times New Roman" w:cstheme="minorHAnsi"/>
          <w:color w:val="000000"/>
          <w:sz w:val="24"/>
          <w:szCs w:val="24"/>
          <w:lang w:val="el-GR" w:eastAsia="fr-FR"/>
        </w:rPr>
        <w:t xml:space="preserve"> </w:t>
      </w:r>
      <w:r w:rsidR="00F27FF2">
        <w:rPr>
          <w:rFonts w:eastAsia="Times New Roman" w:cstheme="minorHAnsi"/>
          <w:color w:val="000000"/>
          <w:sz w:val="24"/>
          <w:szCs w:val="24"/>
          <w:lang w:val="el-GR" w:eastAsia="fr-FR"/>
        </w:rPr>
        <w:t xml:space="preserve">κατόπιν </w:t>
      </w:r>
      <w:r>
        <w:rPr>
          <w:rFonts w:eastAsia="Times New Roman" w:cstheme="minorHAnsi"/>
          <w:color w:val="000000"/>
          <w:sz w:val="24"/>
          <w:szCs w:val="24"/>
          <w:lang w:val="el-GR" w:eastAsia="fr-FR"/>
        </w:rPr>
        <w:t>τ</w:t>
      </w:r>
      <w:r w:rsidR="00F27FF2">
        <w:rPr>
          <w:rFonts w:eastAsia="Times New Roman" w:cstheme="minorHAnsi"/>
          <w:color w:val="000000"/>
          <w:sz w:val="24"/>
          <w:szCs w:val="24"/>
          <w:lang w:val="el-GR" w:eastAsia="fr-FR"/>
        </w:rPr>
        <w:t xml:space="preserve">ων </w:t>
      </w:r>
      <w:r>
        <w:rPr>
          <w:rFonts w:eastAsia="Times New Roman" w:cstheme="minorHAnsi"/>
          <w:color w:val="000000"/>
          <w:sz w:val="24"/>
          <w:szCs w:val="24"/>
          <w:lang w:val="el-GR" w:eastAsia="fr-FR"/>
        </w:rPr>
        <w:t>Συμφωνι</w:t>
      </w:r>
      <w:r w:rsidR="00F27FF2">
        <w:rPr>
          <w:rFonts w:eastAsia="Times New Roman" w:cstheme="minorHAnsi"/>
          <w:color w:val="000000"/>
          <w:sz w:val="24"/>
          <w:szCs w:val="24"/>
          <w:lang w:val="el-GR" w:eastAsia="fr-FR"/>
        </w:rPr>
        <w:t>ών</w:t>
      </w:r>
      <w:r>
        <w:rPr>
          <w:rFonts w:eastAsia="Times New Roman" w:cstheme="minorHAnsi"/>
          <w:color w:val="000000"/>
          <w:sz w:val="24"/>
          <w:szCs w:val="24"/>
          <w:lang w:val="el-GR" w:eastAsia="fr-FR"/>
        </w:rPr>
        <w:t xml:space="preserve"> Λονδίνου και Ζυρίχης</w:t>
      </w:r>
      <w:r w:rsidR="00A5147D" w:rsidRPr="006725E6">
        <w:rPr>
          <w:rFonts w:cstheme="minorHAnsi"/>
          <w:sz w:val="24"/>
          <w:szCs w:val="24"/>
          <w:lang w:val="el-GR"/>
        </w:rPr>
        <w:t xml:space="preserve"> </w:t>
      </w:r>
      <w:bookmarkStart w:id="26" w:name="_Hlk133918574"/>
      <w:r>
        <w:rPr>
          <w:rFonts w:cstheme="minorHAnsi"/>
          <w:sz w:val="24"/>
          <w:szCs w:val="24"/>
          <w:lang w:val="el-GR"/>
        </w:rPr>
        <w:t>μεταξύ της Τουρκίας, της Ελλάδας, του Ηνωμένου Βασιλείου</w:t>
      </w:r>
      <w:bookmarkEnd w:id="26"/>
      <w:r w:rsidR="00A5147D" w:rsidRPr="006725E6">
        <w:rPr>
          <w:rFonts w:cstheme="minorHAnsi"/>
          <w:sz w:val="24"/>
          <w:szCs w:val="24"/>
          <w:lang w:val="el-GR"/>
        </w:rPr>
        <w:t xml:space="preserve"> </w:t>
      </w:r>
      <w:r>
        <w:rPr>
          <w:rFonts w:cstheme="minorHAnsi"/>
          <w:sz w:val="24"/>
          <w:szCs w:val="24"/>
          <w:lang w:val="el-GR"/>
        </w:rPr>
        <w:t xml:space="preserve">και </w:t>
      </w:r>
      <w:r w:rsidR="004E7DC7">
        <w:rPr>
          <w:rFonts w:cstheme="minorHAnsi"/>
          <w:sz w:val="24"/>
          <w:szCs w:val="24"/>
          <w:lang w:val="el-GR"/>
        </w:rPr>
        <w:t xml:space="preserve">των </w:t>
      </w:r>
      <w:r w:rsidR="00D25C96">
        <w:rPr>
          <w:rFonts w:cstheme="minorHAnsi"/>
          <w:sz w:val="24"/>
          <w:szCs w:val="24"/>
          <w:lang w:val="el-GR"/>
        </w:rPr>
        <w:t xml:space="preserve">ηγετών </w:t>
      </w:r>
      <w:r w:rsidR="004E7DC7">
        <w:rPr>
          <w:rFonts w:cstheme="minorHAnsi"/>
          <w:sz w:val="24"/>
          <w:szCs w:val="24"/>
          <w:lang w:val="el-GR"/>
        </w:rPr>
        <w:t xml:space="preserve">των </w:t>
      </w:r>
      <w:r w:rsidR="00D25C96">
        <w:rPr>
          <w:rFonts w:cstheme="minorHAnsi"/>
          <w:sz w:val="24"/>
          <w:szCs w:val="24"/>
          <w:lang w:val="el-GR"/>
        </w:rPr>
        <w:t>Κυπριακών κοινοτήτων</w:t>
      </w:r>
      <w:r w:rsidR="00A5147D" w:rsidRPr="006725E6">
        <w:rPr>
          <w:rFonts w:cstheme="minorHAnsi"/>
          <w:sz w:val="24"/>
          <w:szCs w:val="24"/>
          <w:lang w:val="el-GR"/>
        </w:rPr>
        <w:t xml:space="preserve">. </w:t>
      </w:r>
      <w:r w:rsidR="00D25C96">
        <w:rPr>
          <w:rFonts w:cstheme="minorHAnsi"/>
          <w:sz w:val="24"/>
          <w:szCs w:val="24"/>
          <w:lang w:val="el-GR"/>
        </w:rPr>
        <w:t>Ο</w:t>
      </w:r>
      <w:r w:rsidR="00D25C96" w:rsidRPr="00D25C96">
        <w:rPr>
          <w:rFonts w:cstheme="minorHAnsi"/>
          <w:sz w:val="24"/>
          <w:szCs w:val="24"/>
          <w:lang w:val="el-GR"/>
        </w:rPr>
        <w:t xml:space="preserve"> </w:t>
      </w:r>
      <w:r w:rsidR="00D25C96">
        <w:rPr>
          <w:rFonts w:cstheme="minorHAnsi"/>
          <w:sz w:val="24"/>
          <w:szCs w:val="24"/>
          <w:lang w:val="el-GR"/>
        </w:rPr>
        <w:t>Κυπριακός</w:t>
      </w:r>
      <w:r w:rsidR="00D25C96" w:rsidRPr="00D25C96">
        <w:rPr>
          <w:rFonts w:cstheme="minorHAnsi"/>
          <w:sz w:val="24"/>
          <w:szCs w:val="24"/>
          <w:lang w:val="el-GR"/>
        </w:rPr>
        <w:t xml:space="preserve"> </w:t>
      </w:r>
      <w:r w:rsidR="00D25C96">
        <w:rPr>
          <w:rFonts w:cstheme="minorHAnsi"/>
          <w:sz w:val="24"/>
          <w:szCs w:val="24"/>
          <w:lang w:val="el-GR"/>
        </w:rPr>
        <w:t>λαός</w:t>
      </w:r>
      <w:r w:rsidR="00D25C96" w:rsidRPr="00D25C96">
        <w:rPr>
          <w:rFonts w:cstheme="minorHAnsi"/>
          <w:sz w:val="24"/>
          <w:szCs w:val="24"/>
          <w:lang w:val="el-GR"/>
        </w:rPr>
        <w:t xml:space="preserve"> </w:t>
      </w:r>
      <w:r w:rsidR="00D25C96">
        <w:rPr>
          <w:rFonts w:cstheme="minorHAnsi"/>
          <w:sz w:val="24"/>
          <w:szCs w:val="24"/>
          <w:lang w:val="el-GR"/>
        </w:rPr>
        <w:t>χωρίστηκε</w:t>
      </w:r>
      <w:r w:rsidR="00D25C96" w:rsidRPr="00D25C96">
        <w:rPr>
          <w:rFonts w:cstheme="minorHAnsi"/>
          <w:sz w:val="24"/>
          <w:szCs w:val="24"/>
          <w:lang w:val="el-GR"/>
        </w:rPr>
        <w:t xml:space="preserve"> </w:t>
      </w:r>
      <w:r w:rsidR="00D25C96">
        <w:rPr>
          <w:rFonts w:cstheme="minorHAnsi"/>
          <w:sz w:val="24"/>
          <w:szCs w:val="24"/>
          <w:lang w:val="el-GR"/>
        </w:rPr>
        <w:t>σε</w:t>
      </w:r>
      <w:r w:rsidR="00D25C96" w:rsidRPr="00D25C96">
        <w:rPr>
          <w:rFonts w:cstheme="minorHAnsi"/>
          <w:sz w:val="24"/>
          <w:szCs w:val="24"/>
          <w:lang w:val="el-GR"/>
        </w:rPr>
        <w:t xml:space="preserve"> </w:t>
      </w:r>
      <w:r w:rsidR="00D25C96">
        <w:rPr>
          <w:rFonts w:cstheme="minorHAnsi"/>
          <w:sz w:val="24"/>
          <w:szCs w:val="24"/>
          <w:lang w:val="el-GR"/>
        </w:rPr>
        <w:t>δύο</w:t>
      </w:r>
      <w:r w:rsidR="00D25C96" w:rsidRPr="00D25C96">
        <w:rPr>
          <w:rFonts w:cstheme="minorHAnsi"/>
          <w:sz w:val="24"/>
          <w:szCs w:val="24"/>
          <w:lang w:val="el-GR"/>
        </w:rPr>
        <w:t xml:space="preserve"> </w:t>
      </w:r>
      <w:r w:rsidR="00D25C96">
        <w:rPr>
          <w:rFonts w:cstheme="minorHAnsi"/>
          <w:sz w:val="24"/>
          <w:szCs w:val="24"/>
          <w:lang w:val="el-GR"/>
        </w:rPr>
        <w:t>κοινότητες</w:t>
      </w:r>
      <w:r w:rsidR="00A5147D" w:rsidRPr="00D25C96">
        <w:rPr>
          <w:rFonts w:cstheme="minorHAnsi"/>
          <w:sz w:val="24"/>
          <w:szCs w:val="24"/>
          <w:lang w:val="el-GR"/>
        </w:rPr>
        <w:t xml:space="preserve">, </w:t>
      </w:r>
      <w:r w:rsidR="00D25C96">
        <w:rPr>
          <w:rFonts w:cstheme="minorHAnsi"/>
          <w:sz w:val="24"/>
          <w:szCs w:val="24"/>
          <w:lang w:val="el-GR"/>
        </w:rPr>
        <w:t>σύμφωνα με την εθνική καταγωγή</w:t>
      </w:r>
      <w:r w:rsidR="00A5147D" w:rsidRPr="00D25C96">
        <w:rPr>
          <w:rFonts w:cstheme="minorHAnsi"/>
          <w:sz w:val="24"/>
          <w:szCs w:val="24"/>
          <w:lang w:val="el-GR"/>
        </w:rPr>
        <w:t xml:space="preserve">. </w:t>
      </w:r>
      <w:r w:rsidR="00D25C96">
        <w:rPr>
          <w:rFonts w:cstheme="minorHAnsi"/>
          <w:sz w:val="24"/>
          <w:szCs w:val="24"/>
          <w:lang w:val="el-GR"/>
        </w:rPr>
        <w:t>Ο</w:t>
      </w:r>
      <w:r w:rsidR="00D25C96" w:rsidRPr="00D25C96">
        <w:rPr>
          <w:rFonts w:cstheme="minorHAnsi"/>
          <w:sz w:val="24"/>
          <w:szCs w:val="24"/>
          <w:lang w:val="el-GR"/>
        </w:rPr>
        <w:t xml:space="preserve"> </w:t>
      </w:r>
      <w:r w:rsidR="00D25C96">
        <w:rPr>
          <w:rFonts w:cstheme="minorHAnsi"/>
          <w:sz w:val="24"/>
          <w:szCs w:val="24"/>
          <w:lang w:val="el-GR"/>
        </w:rPr>
        <w:t>σκοπός</w:t>
      </w:r>
      <w:r w:rsidR="00D25C96" w:rsidRPr="00D25C96">
        <w:rPr>
          <w:rFonts w:cstheme="minorHAnsi"/>
          <w:sz w:val="24"/>
          <w:szCs w:val="24"/>
          <w:lang w:val="el-GR"/>
        </w:rPr>
        <w:t xml:space="preserve"> </w:t>
      </w:r>
      <w:r w:rsidR="00D25C96">
        <w:rPr>
          <w:rFonts w:cstheme="minorHAnsi"/>
          <w:sz w:val="24"/>
          <w:szCs w:val="24"/>
          <w:lang w:val="el-GR"/>
        </w:rPr>
        <w:t>ήταν</w:t>
      </w:r>
      <w:r w:rsidR="00D25C96" w:rsidRPr="00D25C96">
        <w:rPr>
          <w:rFonts w:cstheme="minorHAnsi"/>
          <w:sz w:val="24"/>
          <w:szCs w:val="24"/>
          <w:lang w:val="el-GR"/>
        </w:rPr>
        <w:t xml:space="preserve"> </w:t>
      </w:r>
      <w:r w:rsidR="00D25C96">
        <w:rPr>
          <w:rFonts w:cstheme="minorHAnsi"/>
          <w:sz w:val="24"/>
          <w:szCs w:val="24"/>
          <w:lang w:val="el-GR"/>
        </w:rPr>
        <w:t>για</w:t>
      </w:r>
      <w:r w:rsidR="00D25C96" w:rsidRPr="00D25C96">
        <w:rPr>
          <w:rFonts w:cstheme="minorHAnsi"/>
          <w:sz w:val="24"/>
          <w:szCs w:val="24"/>
          <w:lang w:val="el-GR"/>
        </w:rPr>
        <w:t xml:space="preserve"> </w:t>
      </w:r>
      <w:r w:rsidR="00D25C96">
        <w:rPr>
          <w:rFonts w:cstheme="minorHAnsi"/>
          <w:sz w:val="24"/>
          <w:szCs w:val="24"/>
          <w:lang w:val="el-GR"/>
        </w:rPr>
        <w:t>να</w:t>
      </w:r>
      <w:r w:rsidR="00D25C96" w:rsidRPr="00D25C96">
        <w:rPr>
          <w:rFonts w:cstheme="minorHAnsi"/>
          <w:sz w:val="24"/>
          <w:szCs w:val="24"/>
          <w:lang w:val="el-GR"/>
        </w:rPr>
        <w:t xml:space="preserve"> </w:t>
      </w:r>
      <w:r w:rsidR="00D25C96">
        <w:rPr>
          <w:rFonts w:cstheme="minorHAnsi"/>
          <w:sz w:val="24"/>
          <w:szCs w:val="24"/>
          <w:lang w:val="el-GR"/>
        </w:rPr>
        <w:t>ισοζυγισθούν</w:t>
      </w:r>
      <w:r w:rsidR="00D25C96" w:rsidRPr="00D25C96">
        <w:rPr>
          <w:rFonts w:cstheme="minorHAnsi"/>
          <w:sz w:val="24"/>
          <w:szCs w:val="24"/>
          <w:lang w:val="el-GR"/>
        </w:rPr>
        <w:t xml:space="preserve"> </w:t>
      </w:r>
      <w:r w:rsidR="00D25C96">
        <w:rPr>
          <w:rFonts w:cstheme="minorHAnsi"/>
          <w:sz w:val="24"/>
          <w:szCs w:val="24"/>
          <w:lang w:val="el-GR"/>
        </w:rPr>
        <w:t>τα</w:t>
      </w:r>
      <w:r w:rsidR="00D25C96" w:rsidRPr="00D25C96">
        <w:rPr>
          <w:rFonts w:cstheme="minorHAnsi"/>
          <w:sz w:val="24"/>
          <w:szCs w:val="24"/>
          <w:lang w:val="el-GR"/>
        </w:rPr>
        <w:t xml:space="preserve"> </w:t>
      </w:r>
      <w:r w:rsidR="00D25C96">
        <w:rPr>
          <w:rFonts w:cstheme="minorHAnsi"/>
          <w:sz w:val="24"/>
          <w:szCs w:val="24"/>
          <w:lang w:val="el-GR"/>
        </w:rPr>
        <w:t>δικαιώματα</w:t>
      </w:r>
      <w:r w:rsidR="00D25C96" w:rsidRPr="00D25C96">
        <w:rPr>
          <w:rFonts w:cstheme="minorHAnsi"/>
          <w:sz w:val="24"/>
          <w:szCs w:val="24"/>
          <w:lang w:val="el-GR"/>
        </w:rPr>
        <w:t xml:space="preserve"> </w:t>
      </w:r>
      <w:r w:rsidR="00D25C96">
        <w:rPr>
          <w:rFonts w:cstheme="minorHAnsi"/>
          <w:sz w:val="24"/>
          <w:szCs w:val="24"/>
          <w:lang w:val="el-GR"/>
        </w:rPr>
        <w:t>και</w:t>
      </w:r>
      <w:r w:rsidR="00D25C96" w:rsidRPr="00D25C96">
        <w:rPr>
          <w:rFonts w:cstheme="minorHAnsi"/>
          <w:sz w:val="24"/>
          <w:szCs w:val="24"/>
          <w:lang w:val="el-GR"/>
        </w:rPr>
        <w:t xml:space="preserve"> </w:t>
      </w:r>
      <w:r w:rsidR="00D25C96">
        <w:rPr>
          <w:rFonts w:cstheme="minorHAnsi"/>
          <w:sz w:val="24"/>
          <w:szCs w:val="24"/>
          <w:lang w:val="el-GR"/>
        </w:rPr>
        <w:t>τα</w:t>
      </w:r>
      <w:r w:rsidR="00D25C96" w:rsidRPr="00D25C96">
        <w:rPr>
          <w:rFonts w:cstheme="minorHAnsi"/>
          <w:sz w:val="24"/>
          <w:szCs w:val="24"/>
          <w:lang w:val="el-GR"/>
        </w:rPr>
        <w:t xml:space="preserve"> </w:t>
      </w:r>
      <w:r w:rsidR="00D25C96">
        <w:rPr>
          <w:rFonts w:cstheme="minorHAnsi"/>
          <w:sz w:val="24"/>
          <w:szCs w:val="24"/>
          <w:lang w:val="el-GR"/>
        </w:rPr>
        <w:t>συμφέροντα</w:t>
      </w:r>
      <w:r w:rsidR="00D25C96" w:rsidRPr="00D25C96">
        <w:rPr>
          <w:rFonts w:cstheme="minorHAnsi"/>
          <w:sz w:val="24"/>
          <w:szCs w:val="24"/>
          <w:lang w:val="el-GR"/>
        </w:rPr>
        <w:t xml:space="preserve"> </w:t>
      </w:r>
      <w:r w:rsidR="00D25C96">
        <w:rPr>
          <w:rFonts w:cstheme="minorHAnsi"/>
          <w:sz w:val="24"/>
          <w:szCs w:val="24"/>
          <w:lang w:val="el-GR"/>
        </w:rPr>
        <w:t>και</w:t>
      </w:r>
      <w:r w:rsidR="00D25C96" w:rsidRPr="00D25C96">
        <w:rPr>
          <w:rFonts w:cstheme="minorHAnsi"/>
          <w:sz w:val="24"/>
          <w:szCs w:val="24"/>
          <w:lang w:val="el-GR"/>
        </w:rPr>
        <w:t xml:space="preserve"> </w:t>
      </w:r>
      <w:r w:rsidR="00D25C96">
        <w:rPr>
          <w:rFonts w:cstheme="minorHAnsi"/>
          <w:sz w:val="24"/>
          <w:szCs w:val="24"/>
          <w:lang w:val="el-GR"/>
        </w:rPr>
        <w:t>των</w:t>
      </w:r>
      <w:r w:rsidR="00D25C96" w:rsidRPr="00D25C96">
        <w:rPr>
          <w:rFonts w:cstheme="minorHAnsi"/>
          <w:sz w:val="24"/>
          <w:szCs w:val="24"/>
          <w:lang w:val="el-GR"/>
        </w:rPr>
        <w:t xml:space="preserve"> </w:t>
      </w:r>
      <w:r w:rsidR="00D25C96">
        <w:rPr>
          <w:rFonts w:cstheme="minorHAnsi"/>
          <w:sz w:val="24"/>
          <w:szCs w:val="24"/>
          <w:lang w:val="el-GR"/>
        </w:rPr>
        <w:t>δύο</w:t>
      </w:r>
      <w:r w:rsidR="00D25C96" w:rsidRPr="00D25C96">
        <w:rPr>
          <w:rFonts w:cstheme="minorHAnsi"/>
          <w:sz w:val="24"/>
          <w:szCs w:val="24"/>
          <w:lang w:val="el-GR"/>
        </w:rPr>
        <w:t xml:space="preserve"> </w:t>
      </w:r>
      <w:r w:rsidR="00D25C96">
        <w:rPr>
          <w:rFonts w:cstheme="minorHAnsi"/>
          <w:sz w:val="24"/>
          <w:szCs w:val="24"/>
          <w:lang w:val="el-GR"/>
        </w:rPr>
        <w:t>κοινοτήτων</w:t>
      </w:r>
      <w:r w:rsidR="00A5147D" w:rsidRPr="00D25C96">
        <w:rPr>
          <w:rFonts w:cstheme="minorHAnsi"/>
          <w:sz w:val="24"/>
          <w:szCs w:val="24"/>
          <w:lang w:val="el-GR"/>
        </w:rPr>
        <w:t xml:space="preserve">, </w:t>
      </w:r>
      <w:r w:rsidR="00D25C96">
        <w:rPr>
          <w:rFonts w:cstheme="minorHAnsi"/>
          <w:sz w:val="24"/>
          <w:szCs w:val="24"/>
          <w:lang w:val="el-GR"/>
        </w:rPr>
        <w:t>ιδιαίτερα παρέχοντας ένα σύστημα</w:t>
      </w:r>
      <w:r w:rsidR="00A5147D" w:rsidRPr="00D25C96">
        <w:rPr>
          <w:rFonts w:cstheme="minorHAnsi"/>
          <w:sz w:val="24"/>
          <w:szCs w:val="24"/>
          <w:lang w:val="el-GR"/>
        </w:rPr>
        <w:t xml:space="preserve"> </w:t>
      </w:r>
      <w:r w:rsidR="00D25C96">
        <w:rPr>
          <w:rFonts w:cstheme="minorHAnsi"/>
          <w:sz w:val="24"/>
          <w:szCs w:val="24"/>
          <w:lang w:val="el-GR"/>
        </w:rPr>
        <w:t>μικτής αντιπροσώπευσης σε κρατικούς θεσμούς</w:t>
      </w:r>
      <w:r w:rsidR="00A5147D" w:rsidRPr="00D25C96">
        <w:rPr>
          <w:rFonts w:cstheme="minorHAnsi"/>
          <w:sz w:val="24"/>
          <w:szCs w:val="24"/>
          <w:lang w:val="el-GR"/>
        </w:rPr>
        <w:t>.</w:t>
      </w:r>
      <w:r w:rsidR="00A5147D" w:rsidRPr="00B95983">
        <w:rPr>
          <w:rStyle w:val="FootnoteReference"/>
          <w:rFonts w:cstheme="minorHAnsi"/>
          <w:sz w:val="24"/>
          <w:szCs w:val="24"/>
        </w:rPr>
        <w:footnoteReference w:id="11"/>
      </w:r>
      <w:r w:rsidR="00A5147D" w:rsidRPr="00D25C96">
        <w:rPr>
          <w:rFonts w:cstheme="minorHAnsi"/>
          <w:sz w:val="24"/>
          <w:szCs w:val="24"/>
          <w:lang w:val="el-GR"/>
        </w:rPr>
        <w:t xml:space="preserve"> </w:t>
      </w:r>
      <w:r w:rsidR="00D25C96">
        <w:rPr>
          <w:rFonts w:cstheme="minorHAnsi"/>
          <w:sz w:val="24"/>
          <w:szCs w:val="24"/>
          <w:lang w:val="el-GR"/>
        </w:rPr>
        <w:t>Το</w:t>
      </w:r>
      <w:r w:rsidR="00D25C96" w:rsidRPr="00D25C96">
        <w:rPr>
          <w:rFonts w:cstheme="minorHAnsi"/>
          <w:sz w:val="24"/>
          <w:szCs w:val="24"/>
          <w:lang w:val="el-GR"/>
        </w:rPr>
        <w:t xml:space="preserve"> </w:t>
      </w:r>
      <w:r w:rsidR="00D25C96">
        <w:rPr>
          <w:rFonts w:cstheme="minorHAnsi"/>
          <w:sz w:val="24"/>
          <w:szCs w:val="24"/>
          <w:lang w:val="el-GR"/>
        </w:rPr>
        <w:t>Σύνταγμα</w:t>
      </w:r>
      <w:r w:rsidR="00D25C96" w:rsidRPr="00D25C96">
        <w:rPr>
          <w:rFonts w:cstheme="minorHAnsi"/>
          <w:sz w:val="24"/>
          <w:szCs w:val="24"/>
          <w:lang w:val="el-GR"/>
        </w:rPr>
        <w:t xml:space="preserve">, </w:t>
      </w:r>
      <w:r w:rsidR="00D25C96">
        <w:rPr>
          <w:rFonts w:cstheme="minorHAnsi"/>
          <w:sz w:val="24"/>
          <w:szCs w:val="24"/>
          <w:lang w:val="el-GR"/>
        </w:rPr>
        <w:t>επομένως</w:t>
      </w:r>
      <w:r w:rsidR="00D25C96" w:rsidRPr="00D25C96">
        <w:rPr>
          <w:rFonts w:cstheme="minorHAnsi"/>
          <w:sz w:val="24"/>
          <w:szCs w:val="24"/>
          <w:lang w:val="el-GR"/>
        </w:rPr>
        <w:t xml:space="preserve">, </w:t>
      </w:r>
      <w:r w:rsidR="004E7DC7">
        <w:rPr>
          <w:rFonts w:cstheme="minorHAnsi"/>
          <w:sz w:val="24"/>
          <w:szCs w:val="24"/>
          <w:lang w:val="el-GR"/>
        </w:rPr>
        <w:t>προβλέπει</w:t>
      </w:r>
      <w:r w:rsidR="00D25C96" w:rsidRPr="00D25C96">
        <w:rPr>
          <w:rFonts w:cstheme="minorHAnsi"/>
          <w:sz w:val="24"/>
          <w:szCs w:val="24"/>
          <w:lang w:val="el-GR"/>
        </w:rPr>
        <w:t xml:space="preserve"> </w:t>
      </w:r>
      <w:r w:rsidR="00D25C96">
        <w:rPr>
          <w:rFonts w:cstheme="minorHAnsi"/>
          <w:sz w:val="24"/>
          <w:szCs w:val="24"/>
          <w:lang w:val="el-GR"/>
        </w:rPr>
        <w:t>ένα</w:t>
      </w:r>
      <w:r w:rsidR="00D25C96" w:rsidRPr="00D25C96">
        <w:rPr>
          <w:rFonts w:cstheme="minorHAnsi"/>
          <w:sz w:val="24"/>
          <w:szCs w:val="24"/>
          <w:lang w:val="el-GR"/>
        </w:rPr>
        <w:t xml:space="preserve"> </w:t>
      </w:r>
      <w:r w:rsidR="00D25C96">
        <w:rPr>
          <w:rFonts w:cstheme="minorHAnsi"/>
          <w:sz w:val="24"/>
          <w:szCs w:val="24"/>
          <w:lang w:val="el-GR"/>
        </w:rPr>
        <w:t>Ελληνοκύπριο</w:t>
      </w:r>
      <w:r w:rsidR="00D25C96" w:rsidRPr="00D25C96">
        <w:rPr>
          <w:rFonts w:cstheme="minorHAnsi"/>
          <w:sz w:val="24"/>
          <w:szCs w:val="24"/>
          <w:lang w:val="el-GR"/>
        </w:rPr>
        <w:t xml:space="preserve"> </w:t>
      </w:r>
      <w:r w:rsidR="00D25C96">
        <w:rPr>
          <w:rFonts w:cstheme="minorHAnsi"/>
          <w:sz w:val="24"/>
          <w:szCs w:val="24"/>
          <w:lang w:val="el-GR"/>
        </w:rPr>
        <w:t>Πρόεδρο</w:t>
      </w:r>
      <w:r w:rsidR="00D25C96" w:rsidRPr="00D25C96">
        <w:rPr>
          <w:rFonts w:cstheme="minorHAnsi"/>
          <w:sz w:val="24"/>
          <w:szCs w:val="24"/>
          <w:lang w:val="el-GR"/>
        </w:rPr>
        <w:t xml:space="preserve"> </w:t>
      </w:r>
      <w:r w:rsidR="00D25C96">
        <w:rPr>
          <w:rFonts w:cstheme="minorHAnsi"/>
          <w:sz w:val="24"/>
          <w:szCs w:val="24"/>
          <w:lang w:val="el-GR"/>
        </w:rPr>
        <w:t>και</w:t>
      </w:r>
      <w:r w:rsidR="00D25C96" w:rsidRPr="00D25C96">
        <w:rPr>
          <w:rFonts w:cstheme="minorHAnsi"/>
          <w:sz w:val="24"/>
          <w:szCs w:val="24"/>
          <w:lang w:val="el-GR"/>
        </w:rPr>
        <w:t xml:space="preserve"> </w:t>
      </w:r>
      <w:r w:rsidR="00D25C96">
        <w:rPr>
          <w:rFonts w:cstheme="minorHAnsi"/>
          <w:sz w:val="24"/>
          <w:szCs w:val="24"/>
          <w:lang w:val="el-GR"/>
        </w:rPr>
        <w:t>ένα</w:t>
      </w:r>
      <w:r w:rsidR="00D25C96" w:rsidRPr="00D25C96">
        <w:rPr>
          <w:rFonts w:cstheme="minorHAnsi"/>
          <w:sz w:val="24"/>
          <w:szCs w:val="24"/>
          <w:lang w:val="el-GR"/>
        </w:rPr>
        <w:t xml:space="preserve"> </w:t>
      </w:r>
      <w:r w:rsidR="00D25C96">
        <w:rPr>
          <w:rFonts w:cstheme="minorHAnsi"/>
          <w:sz w:val="24"/>
          <w:szCs w:val="24"/>
          <w:lang w:val="el-GR"/>
        </w:rPr>
        <w:t>Τουρκοκύπριο</w:t>
      </w:r>
      <w:r w:rsidR="00D25C96" w:rsidRPr="00D25C96">
        <w:rPr>
          <w:rFonts w:cstheme="minorHAnsi"/>
          <w:sz w:val="24"/>
          <w:szCs w:val="24"/>
          <w:lang w:val="el-GR"/>
        </w:rPr>
        <w:t xml:space="preserve"> </w:t>
      </w:r>
      <w:r w:rsidR="00D25C96">
        <w:rPr>
          <w:rFonts w:cstheme="minorHAnsi"/>
          <w:sz w:val="24"/>
          <w:szCs w:val="24"/>
          <w:lang w:val="el-GR"/>
        </w:rPr>
        <w:t>Αντιπρόεδρο</w:t>
      </w:r>
      <w:r w:rsidR="00A5147D" w:rsidRPr="00D25C96">
        <w:rPr>
          <w:rFonts w:eastAsia="Times New Roman" w:cstheme="minorHAnsi"/>
          <w:color w:val="000000"/>
          <w:sz w:val="24"/>
          <w:szCs w:val="24"/>
          <w:lang w:val="el-GR" w:eastAsia="fr-FR"/>
        </w:rPr>
        <w:t xml:space="preserve">, </w:t>
      </w:r>
      <w:r w:rsidR="00D25C96">
        <w:rPr>
          <w:rFonts w:eastAsia="Times New Roman" w:cstheme="minorHAnsi"/>
          <w:color w:val="000000"/>
          <w:sz w:val="24"/>
          <w:szCs w:val="24"/>
          <w:lang w:val="el-GR" w:eastAsia="fr-FR"/>
        </w:rPr>
        <w:t xml:space="preserve">που </w:t>
      </w:r>
      <w:r w:rsidR="004E7DC7">
        <w:rPr>
          <w:rFonts w:eastAsia="Times New Roman" w:cstheme="minorHAnsi"/>
          <w:color w:val="000000"/>
          <w:sz w:val="24"/>
          <w:szCs w:val="24"/>
          <w:lang w:val="el-GR" w:eastAsia="fr-FR"/>
        </w:rPr>
        <w:t>εκλέγονται από τις</w:t>
      </w:r>
      <w:r w:rsidR="00D25C96">
        <w:rPr>
          <w:rFonts w:eastAsia="Times New Roman" w:cstheme="minorHAnsi"/>
          <w:color w:val="000000"/>
          <w:sz w:val="24"/>
          <w:szCs w:val="24"/>
          <w:lang w:val="el-GR" w:eastAsia="fr-FR"/>
        </w:rPr>
        <w:t xml:space="preserve"> Ελληνικές και τ</w:t>
      </w:r>
      <w:r w:rsidR="004E7DC7">
        <w:rPr>
          <w:rFonts w:eastAsia="Times New Roman" w:cstheme="minorHAnsi"/>
          <w:color w:val="000000"/>
          <w:sz w:val="24"/>
          <w:szCs w:val="24"/>
          <w:lang w:val="el-GR" w:eastAsia="fr-FR"/>
        </w:rPr>
        <w:t>ις</w:t>
      </w:r>
      <w:r w:rsidR="00D25C96">
        <w:rPr>
          <w:rFonts w:eastAsia="Times New Roman" w:cstheme="minorHAnsi"/>
          <w:color w:val="000000"/>
          <w:sz w:val="24"/>
          <w:szCs w:val="24"/>
          <w:lang w:val="el-GR" w:eastAsia="fr-FR"/>
        </w:rPr>
        <w:t xml:space="preserve"> Τουρκικές κοινότητες της Κύπρου, αντίστοιχα</w:t>
      </w:r>
      <w:r w:rsidR="00A5147D" w:rsidRPr="00D25C96">
        <w:rPr>
          <w:rFonts w:eastAsia="Times New Roman" w:cstheme="minorHAnsi"/>
          <w:color w:val="000000"/>
          <w:sz w:val="24"/>
          <w:szCs w:val="24"/>
          <w:lang w:val="el-GR" w:eastAsia="fr-FR"/>
        </w:rPr>
        <w:t>.</w:t>
      </w:r>
      <w:r w:rsidR="00A5147D" w:rsidRPr="00B95983">
        <w:rPr>
          <w:rStyle w:val="FootnoteReference"/>
          <w:rFonts w:eastAsia="Times New Roman" w:cstheme="minorHAnsi"/>
          <w:color w:val="000000"/>
          <w:sz w:val="24"/>
          <w:szCs w:val="24"/>
          <w:lang w:eastAsia="fr-FR"/>
        </w:rPr>
        <w:footnoteReference w:id="12"/>
      </w:r>
      <w:r w:rsidR="00A5147D" w:rsidRPr="00D25C96">
        <w:rPr>
          <w:rFonts w:eastAsia="Times New Roman" w:cstheme="minorHAnsi"/>
          <w:color w:val="000000"/>
          <w:sz w:val="24"/>
          <w:szCs w:val="24"/>
          <w:lang w:val="el-GR" w:eastAsia="fr-FR"/>
        </w:rPr>
        <w:t xml:space="preserve"> </w:t>
      </w:r>
    </w:p>
    <w:p w14:paraId="5A30E196" w14:textId="77777777" w:rsidR="00A5147D" w:rsidRPr="00D25C96" w:rsidRDefault="00A5147D" w:rsidP="00A5147D">
      <w:pPr>
        <w:rPr>
          <w:rFonts w:ascii="Arial" w:hAnsi="Arial" w:cs="Arial"/>
          <w:color w:val="000000"/>
          <w:sz w:val="21"/>
          <w:szCs w:val="21"/>
          <w:shd w:val="clear" w:color="auto" w:fill="FFFFFF"/>
          <w:lang w:val="el-GR"/>
        </w:rPr>
      </w:pPr>
    </w:p>
    <w:p w14:paraId="204B29C3" w14:textId="4C3E5968" w:rsidR="00A5147D" w:rsidRPr="00D25C96" w:rsidRDefault="00D25C96" w:rsidP="00A5147D">
      <w:pPr>
        <w:numPr>
          <w:ilvl w:val="0"/>
          <w:numId w:val="1"/>
        </w:numPr>
        <w:tabs>
          <w:tab w:val="clear" w:pos="6095"/>
          <w:tab w:val="left" w:pos="709"/>
        </w:tabs>
        <w:autoSpaceDE w:val="0"/>
        <w:autoSpaceDN w:val="0"/>
        <w:adjustRightInd w:val="0"/>
        <w:ind w:left="0" w:firstLine="0"/>
        <w:rPr>
          <w:rFonts w:eastAsia="Times New Roman" w:cstheme="minorHAnsi"/>
          <w:color w:val="000000"/>
          <w:sz w:val="24"/>
          <w:szCs w:val="24"/>
          <w:lang w:val="el-GR" w:eastAsia="fr-FR"/>
        </w:rPr>
      </w:pPr>
      <w:r>
        <w:rPr>
          <w:rFonts w:eastAsia="Times New Roman" w:cstheme="minorHAnsi"/>
          <w:color w:val="000000"/>
          <w:sz w:val="24"/>
          <w:szCs w:val="24"/>
          <w:lang w:val="el-GR" w:eastAsia="fr-FR"/>
        </w:rPr>
        <w:t>Ωστόσο</w:t>
      </w:r>
      <w:r w:rsidR="00A5147D" w:rsidRPr="00D25C96">
        <w:rPr>
          <w:rFonts w:eastAsia="Times New Roman" w:cstheme="minorHAnsi"/>
          <w:color w:val="000000"/>
          <w:sz w:val="24"/>
          <w:szCs w:val="24"/>
          <w:lang w:val="el-GR" w:eastAsia="fr-FR"/>
        </w:rPr>
        <w:t xml:space="preserve">, </w:t>
      </w:r>
      <w:bookmarkStart w:id="27" w:name="_Hlk124841552"/>
      <w:r>
        <w:rPr>
          <w:rFonts w:eastAsia="Times New Roman" w:cstheme="minorHAnsi"/>
          <w:color w:val="000000"/>
          <w:sz w:val="24"/>
          <w:szCs w:val="24"/>
          <w:lang w:val="el-GR" w:eastAsia="fr-FR"/>
        </w:rPr>
        <w:t>το</w:t>
      </w:r>
      <w:r w:rsidR="00A5147D" w:rsidRPr="00D25C96">
        <w:rPr>
          <w:rFonts w:eastAsia="Times New Roman" w:cstheme="minorHAnsi"/>
          <w:color w:val="000000"/>
          <w:sz w:val="24"/>
          <w:szCs w:val="24"/>
          <w:lang w:val="el-GR" w:eastAsia="fr-FR"/>
        </w:rPr>
        <w:t xml:space="preserve"> 1964, </w:t>
      </w:r>
      <w:r>
        <w:rPr>
          <w:rFonts w:eastAsia="Times New Roman" w:cstheme="minorHAnsi"/>
          <w:color w:val="000000"/>
          <w:sz w:val="24"/>
          <w:szCs w:val="24"/>
          <w:lang w:val="el-GR" w:eastAsia="fr-FR"/>
        </w:rPr>
        <w:t>κατόπιν</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διακοινοτικών</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διαταραχών</w:t>
      </w:r>
      <w:bookmarkEnd w:id="27"/>
      <w:r w:rsidR="00A5147D"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ο</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Τουρκοκύπριος</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Αντιπρόεδρος</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αποχώρησε</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από</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την</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Κυβέρνηση</w:t>
      </w:r>
      <w:r w:rsidR="00A5147D"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μαζί με όλους τους Τουρκοκύπριους υπουργούς</w:t>
      </w:r>
      <w:r w:rsidR="00A5147D" w:rsidRPr="00F27FF2">
        <w:rPr>
          <w:rFonts w:eastAsia="Times New Roman" w:cstheme="minorHAnsi"/>
          <w:color w:val="000000"/>
          <w:sz w:val="24"/>
          <w:szCs w:val="24"/>
          <w:lang w:val="el-GR" w:eastAsia="fr-FR"/>
        </w:rPr>
        <w:t xml:space="preserve">, </w:t>
      </w:r>
      <w:r w:rsidRPr="00F27FF2">
        <w:rPr>
          <w:rFonts w:eastAsia="Times New Roman" w:cstheme="minorHAnsi"/>
          <w:color w:val="000000"/>
          <w:sz w:val="24"/>
          <w:szCs w:val="24"/>
          <w:lang w:val="el-GR" w:eastAsia="fr-FR"/>
        </w:rPr>
        <w:t>βουλευτές</w:t>
      </w:r>
      <w:r w:rsidR="00A5147D" w:rsidRPr="00F27FF2">
        <w:rPr>
          <w:rFonts w:eastAsia="Times New Roman" w:cstheme="minorHAnsi"/>
          <w:color w:val="000000"/>
          <w:sz w:val="24"/>
          <w:szCs w:val="24"/>
          <w:lang w:val="el-GR" w:eastAsia="fr-FR"/>
        </w:rPr>
        <w:t>,</w:t>
      </w:r>
      <w:r w:rsidR="00A5147D"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αξιωματούχους</w:t>
      </w:r>
      <w:r w:rsidR="00A5147D"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και προσωπικό, καθώς επίσης και</w:t>
      </w:r>
      <w:r w:rsidR="00A5147D"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τους δικαστές</w:t>
      </w:r>
      <w:r w:rsidR="00A5147D"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Ακολούθησε</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συνταγματική</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κρίση</w:t>
      </w:r>
      <w:r w:rsidR="00A5147D"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και</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από</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τότε</w:t>
      </w:r>
      <w:r w:rsidR="00A5147D"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το</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Σύνταγμα</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του</w:t>
      </w:r>
      <w:r w:rsidRPr="00D25C96">
        <w:rPr>
          <w:rFonts w:eastAsia="Times New Roman" w:cstheme="minorHAnsi"/>
          <w:color w:val="000000"/>
          <w:sz w:val="24"/>
          <w:szCs w:val="24"/>
          <w:lang w:val="el-GR" w:eastAsia="fr-FR"/>
        </w:rPr>
        <w:t xml:space="preserve"> </w:t>
      </w:r>
      <w:r w:rsidR="00A5147D" w:rsidRPr="00D25C96">
        <w:rPr>
          <w:rFonts w:eastAsia="Times New Roman" w:cstheme="minorHAnsi"/>
          <w:color w:val="000000"/>
          <w:sz w:val="24"/>
          <w:szCs w:val="24"/>
          <w:lang w:val="el-GR" w:eastAsia="fr-FR"/>
        </w:rPr>
        <w:t xml:space="preserve">1960 </w:t>
      </w:r>
      <w:r>
        <w:rPr>
          <w:rFonts w:eastAsia="Times New Roman" w:cstheme="minorHAnsi"/>
          <w:color w:val="000000"/>
          <w:sz w:val="24"/>
          <w:szCs w:val="24"/>
          <w:lang w:val="el-GR" w:eastAsia="fr-FR"/>
        </w:rPr>
        <w:t>έχει</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εφαρμοσθεί</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με</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ένα</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πραγματιστικό</w:t>
      </w:r>
      <w:r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τρόπο</w:t>
      </w:r>
      <w:r w:rsidR="00A5147D"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σύμφωνα με το Δίκαιο της Ανάγκης</w:t>
      </w:r>
      <w:r w:rsidR="00A5147D" w:rsidRPr="00D25C96">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με μόνο τους Ελληνοκύπριους σε κρατικούς θεσμούς</w:t>
      </w:r>
      <w:r w:rsidR="00A5147D" w:rsidRPr="00D25C96">
        <w:rPr>
          <w:rFonts w:eastAsia="Times New Roman" w:cstheme="minorHAnsi"/>
          <w:color w:val="000000"/>
          <w:sz w:val="24"/>
          <w:szCs w:val="24"/>
          <w:lang w:val="el-GR" w:eastAsia="fr-FR"/>
        </w:rPr>
        <w:t>.</w:t>
      </w:r>
      <w:r w:rsidR="00A5147D" w:rsidRPr="00B95983">
        <w:rPr>
          <w:rStyle w:val="FootnoteReference"/>
          <w:rFonts w:eastAsia="Times New Roman" w:cstheme="minorHAnsi"/>
          <w:color w:val="000000"/>
          <w:sz w:val="24"/>
          <w:szCs w:val="24"/>
          <w:lang w:eastAsia="fr-FR"/>
        </w:rPr>
        <w:footnoteReference w:id="13"/>
      </w:r>
      <w:r w:rsidR="00A5147D" w:rsidRPr="00D25C96">
        <w:rPr>
          <w:rFonts w:eastAsia="Times New Roman" w:cstheme="minorHAnsi"/>
          <w:color w:val="000000"/>
          <w:sz w:val="24"/>
          <w:szCs w:val="24"/>
          <w:lang w:val="el-GR" w:eastAsia="fr-FR"/>
        </w:rPr>
        <w:t xml:space="preserve"> </w:t>
      </w:r>
    </w:p>
    <w:p w14:paraId="7E8DD163" w14:textId="77777777" w:rsidR="00A5147D" w:rsidRPr="00D25C96" w:rsidRDefault="00A5147D" w:rsidP="00A5147D">
      <w:pPr>
        <w:pStyle w:val="ListParagraph"/>
        <w:rPr>
          <w:rFonts w:eastAsia="Times New Roman" w:cstheme="minorHAnsi"/>
          <w:color w:val="000000"/>
          <w:sz w:val="24"/>
          <w:szCs w:val="24"/>
          <w:lang w:val="el-GR" w:eastAsia="fr-FR"/>
        </w:rPr>
      </w:pPr>
    </w:p>
    <w:p w14:paraId="21A6C1F8" w14:textId="21BEC56D" w:rsidR="00A5147D" w:rsidRPr="005F58AE" w:rsidRDefault="005F58AE" w:rsidP="00A5147D">
      <w:pPr>
        <w:numPr>
          <w:ilvl w:val="0"/>
          <w:numId w:val="1"/>
        </w:numPr>
        <w:tabs>
          <w:tab w:val="clear" w:pos="6095"/>
          <w:tab w:val="left" w:pos="709"/>
        </w:tabs>
        <w:autoSpaceDE w:val="0"/>
        <w:autoSpaceDN w:val="0"/>
        <w:adjustRightInd w:val="0"/>
        <w:ind w:left="0" w:firstLine="0"/>
        <w:rPr>
          <w:rFonts w:eastAsia="Times New Roman" w:cstheme="minorHAnsi"/>
          <w:color w:val="000000"/>
          <w:sz w:val="24"/>
          <w:szCs w:val="24"/>
          <w:lang w:val="el-GR" w:eastAsia="fr-FR"/>
        </w:rPr>
      </w:pPr>
      <w:r>
        <w:rPr>
          <w:rFonts w:eastAsia="Times New Roman" w:cstheme="minorHAnsi"/>
          <w:color w:val="000000"/>
          <w:sz w:val="24"/>
          <w:szCs w:val="24"/>
          <w:lang w:val="el-GR" w:eastAsia="fr-FR"/>
        </w:rPr>
        <w:t>Αυτό</w:t>
      </w:r>
      <w:r w:rsidRPr="005F58AE">
        <w:rPr>
          <w:rFonts w:eastAsia="Times New Roman" w:cstheme="minorHAnsi"/>
          <w:color w:val="000000"/>
          <w:sz w:val="24"/>
          <w:szCs w:val="24"/>
          <w:lang w:val="el-GR" w:eastAsia="fr-FR"/>
        </w:rPr>
        <w:t xml:space="preserve"> </w:t>
      </w:r>
      <w:r w:rsidR="006B2283">
        <w:rPr>
          <w:rFonts w:eastAsia="Times New Roman" w:cstheme="minorHAnsi"/>
          <w:color w:val="000000"/>
          <w:sz w:val="24"/>
          <w:szCs w:val="24"/>
          <w:lang w:val="el-GR" w:eastAsia="fr-FR"/>
        </w:rPr>
        <w:t>είχε</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επιπτώσεις</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στους</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εκτελεστικούς</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νομοθετικούς</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και</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δικαστικούς</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κλάδους της εξουσίας</w:t>
      </w:r>
      <w:r w:rsidR="00A5147D"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Σε</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σχέση</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με</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την</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εκτελεστική</w:t>
      </w:r>
      <w:r w:rsidR="00A5147D"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η</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θέση</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του</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Αντιπροέδρου</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της</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Δημοκρατίας</w:t>
      </w:r>
      <w:r w:rsidR="00A5147D" w:rsidRPr="005F58AE">
        <w:rPr>
          <w:rFonts w:eastAsia="Times New Roman" w:cstheme="minorHAnsi"/>
          <w:color w:val="000000"/>
          <w:sz w:val="24"/>
          <w:szCs w:val="24"/>
          <w:lang w:val="el-GR" w:eastAsia="fr-FR"/>
        </w:rPr>
        <w:t xml:space="preserve"> – </w:t>
      </w:r>
      <w:r>
        <w:rPr>
          <w:rFonts w:eastAsia="Times New Roman" w:cstheme="minorHAnsi"/>
          <w:color w:val="000000"/>
          <w:sz w:val="24"/>
          <w:szCs w:val="24"/>
          <w:lang w:val="el-GR" w:eastAsia="fr-FR"/>
        </w:rPr>
        <w:t>που</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προορίζεται</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για</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ένα Τουρκοκύπριο Αντ</w:t>
      </w:r>
      <w:r w:rsidR="000D4938">
        <w:rPr>
          <w:rFonts w:eastAsia="Times New Roman" w:cstheme="minorHAnsi"/>
          <w:color w:val="000000"/>
          <w:sz w:val="24"/>
          <w:szCs w:val="24"/>
          <w:lang w:val="el-GR" w:eastAsia="fr-FR"/>
        </w:rPr>
        <w:t>ι</w:t>
      </w:r>
      <w:r>
        <w:rPr>
          <w:rFonts w:eastAsia="Times New Roman" w:cstheme="minorHAnsi"/>
          <w:color w:val="000000"/>
          <w:sz w:val="24"/>
          <w:szCs w:val="24"/>
          <w:lang w:val="el-GR" w:eastAsia="fr-FR"/>
        </w:rPr>
        <w:t>πρόεδρο</w:t>
      </w:r>
      <w:r w:rsidR="00A5147D" w:rsidRPr="005F58AE">
        <w:rPr>
          <w:rFonts w:eastAsia="Times New Roman" w:cstheme="minorHAnsi"/>
          <w:color w:val="000000"/>
          <w:sz w:val="24"/>
          <w:szCs w:val="24"/>
          <w:lang w:val="el-GR" w:eastAsia="fr-FR"/>
        </w:rPr>
        <w:t xml:space="preserve"> – </w:t>
      </w:r>
      <w:r>
        <w:rPr>
          <w:rFonts w:eastAsia="Times New Roman" w:cstheme="minorHAnsi"/>
          <w:color w:val="000000"/>
          <w:sz w:val="24"/>
          <w:szCs w:val="24"/>
          <w:lang w:val="el-GR" w:eastAsia="fr-FR"/>
        </w:rPr>
        <w:t xml:space="preserve">είναι κενή από το </w:t>
      </w:r>
      <w:r w:rsidR="00A5147D" w:rsidRPr="005F58AE">
        <w:rPr>
          <w:rFonts w:eastAsia="Times New Roman" w:cstheme="minorHAnsi"/>
          <w:color w:val="000000"/>
          <w:sz w:val="24"/>
          <w:szCs w:val="24"/>
          <w:lang w:val="el-GR" w:eastAsia="fr-FR"/>
        </w:rPr>
        <w:t xml:space="preserve">1964 </w:t>
      </w:r>
      <w:r>
        <w:rPr>
          <w:rFonts w:eastAsia="Times New Roman" w:cstheme="minorHAnsi"/>
          <w:color w:val="000000"/>
          <w:sz w:val="24"/>
          <w:szCs w:val="24"/>
          <w:lang w:val="el-GR" w:eastAsia="fr-FR"/>
        </w:rPr>
        <w:t>και επομένως δεν καλύπτεται από την έκθεση αυτή</w:t>
      </w:r>
      <w:r w:rsidR="00A5147D" w:rsidRPr="005F58AE">
        <w:rPr>
          <w:rFonts w:eastAsia="Times New Roman" w:cstheme="minorHAnsi"/>
          <w:color w:val="000000"/>
          <w:sz w:val="24"/>
          <w:szCs w:val="24"/>
          <w:lang w:val="el-GR" w:eastAsia="fr-FR"/>
        </w:rPr>
        <w:t xml:space="preserve">. </w:t>
      </w:r>
      <w:bookmarkStart w:id="28" w:name="_Hlk132887403"/>
      <w:r>
        <w:rPr>
          <w:rFonts w:eastAsia="Times New Roman" w:cstheme="minorHAnsi"/>
          <w:color w:val="000000"/>
          <w:sz w:val="24"/>
          <w:szCs w:val="24"/>
          <w:lang w:val="el-GR" w:eastAsia="fr-FR"/>
        </w:rPr>
        <w:t>Αυτό</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είχε</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σαν</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αποτέλεσμα</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ο</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Πρόεδρος</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της</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Δημοκρατίας</w:t>
      </w:r>
      <w:r w:rsidR="00A5147D"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να</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εξασκεί</w:t>
      </w:r>
      <w:r w:rsidR="007B4890" w:rsidRPr="005F58AE">
        <w:rPr>
          <w:rFonts w:eastAsia="Times New Roman" w:cstheme="minorHAnsi"/>
          <w:color w:val="000000"/>
          <w:sz w:val="24"/>
          <w:szCs w:val="24"/>
          <w:lang w:val="el-GR" w:eastAsia="fr-FR"/>
        </w:rPr>
        <w:t>,</w:t>
      </w:r>
      <w:r w:rsidR="00401434"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όχι</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μόνο</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τις</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εξουσίες</w:t>
      </w:r>
      <w:r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που</w:t>
      </w:r>
      <w:r w:rsidRPr="005F58AE">
        <w:rPr>
          <w:rFonts w:eastAsia="Times New Roman" w:cstheme="minorHAnsi"/>
          <w:color w:val="000000"/>
          <w:sz w:val="24"/>
          <w:szCs w:val="24"/>
          <w:lang w:val="el-GR" w:eastAsia="fr-FR"/>
        </w:rPr>
        <w:t xml:space="preserve"> </w:t>
      </w:r>
      <w:r w:rsidR="00E95FF4">
        <w:rPr>
          <w:rFonts w:eastAsia="Times New Roman" w:cstheme="minorHAnsi"/>
          <w:color w:val="000000"/>
          <w:sz w:val="24"/>
          <w:szCs w:val="24"/>
          <w:lang w:val="el-GR" w:eastAsia="fr-FR"/>
        </w:rPr>
        <w:t xml:space="preserve">ανατίθενται </w:t>
      </w:r>
      <w:proofErr w:type="spellStart"/>
      <w:r>
        <w:rPr>
          <w:rFonts w:eastAsia="Times New Roman" w:cstheme="minorHAnsi"/>
          <w:color w:val="000000"/>
          <w:sz w:val="24"/>
          <w:szCs w:val="24"/>
          <w:lang w:val="el-GR" w:eastAsia="fr-FR"/>
        </w:rPr>
        <w:t>σ</w:t>
      </w:r>
      <w:r w:rsidRPr="005F58AE">
        <w:rPr>
          <w:rFonts w:eastAsia="Times New Roman" w:cstheme="minorHAnsi"/>
          <w:color w:val="000000"/>
          <w:sz w:val="24"/>
          <w:szCs w:val="24"/>
          <w:lang w:val="el-GR" w:eastAsia="fr-FR"/>
        </w:rPr>
        <w:t>’</w:t>
      </w:r>
      <w:r>
        <w:rPr>
          <w:rFonts w:eastAsia="Times New Roman" w:cstheme="minorHAnsi"/>
          <w:color w:val="000000"/>
          <w:sz w:val="24"/>
          <w:szCs w:val="24"/>
          <w:lang w:val="el-GR" w:eastAsia="fr-FR"/>
        </w:rPr>
        <w:t>αυτόν</w:t>
      </w:r>
      <w:proofErr w:type="spellEnd"/>
      <w:r>
        <w:rPr>
          <w:rFonts w:eastAsia="Times New Roman" w:cstheme="minorHAnsi"/>
          <w:color w:val="000000"/>
          <w:sz w:val="24"/>
          <w:szCs w:val="24"/>
          <w:lang w:val="el-GR" w:eastAsia="fr-FR"/>
        </w:rPr>
        <w:t>/ην</w:t>
      </w:r>
      <w:r w:rsidR="007B4890" w:rsidRPr="005F58AE">
        <w:rPr>
          <w:rFonts w:eastAsia="Times New Roman" w:cstheme="minorHAnsi"/>
          <w:color w:val="000000"/>
          <w:sz w:val="24"/>
          <w:szCs w:val="24"/>
          <w:lang w:val="el-GR" w:eastAsia="fr-FR"/>
        </w:rPr>
        <w:t>,</w:t>
      </w:r>
      <w:r w:rsidR="00401434"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αλλά και τις προηγούμενες από κοινού εξουσίες, που μοιρ</w:t>
      </w:r>
      <w:r w:rsidR="004E7DC7">
        <w:rPr>
          <w:rFonts w:eastAsia="Times New Roman" w:cstheme="minorHAnsi"/>
          <w:color w:val="000000"/>
          <w:sz w:val="24"/>
          <w:szCs w:val="24"/>
          <w:lang w:val="el-GR" w:eastAsia="fr-FR"/>
        </w:rPr>
        <w:t>α</w:t>
      </w:r>
      <w:r>
        <w:rPr>
          <w:rFonts w:eastAsia="Times New Roman" w:cstheme="minorHAnsi"/>
          <w:color w:val="000000"/>
          <w:sz w:val="24"/>
          <w:szCs w:val="24"/>
          <w:lang w:val="el-GR" w:eastAsia="fr-FR"/>
        </w:rPr>
        <w:t>ζ</w:t>
      </w:r>
      <w:r w:rsidR="004E7DC7">
        <w:rPr>
          <w:rFonts w:eastAsia="Times New Roman" w:cstheme="minorHAnsi"/>
          <w:color w:val="000000"/>
          <w:sz w:val="24"/>
          <w:szCs w:val="24"/>
          <w:lang w:val="el-GR" w:eastAsia="fr-FR"/>
        </w:rPr>
        <w:t>ό</w:t>
      </w:r>
      <w:r>
        <w:rPr>
          <w:rFonts w:eastAsia="Times New Roman" w:cstheme="minorHAnsi"/>
          <w:color w:val="000000"/>
          <w:sz w:val="24"/>
          <w:szCs w:val="24"/>
          <w:lang w:val="el-GR" w:eastAsia="fr-FR"/>
        </w:rPr>
        <w:t>ταν με τον Αντι</w:t>
      </w:r>
      <w:r w:rsidR="006B2283">
        <w:rPr>
          <w:rFonts w:eastAsia="Times New Roman" w:cstheme="minorHAnsi"/>
          <w:color w:val="000000"/>
          <w:sz w:val="24"/>
          <w:szCs w:val="24"/>
          <w:lang w:val="el-GR" w:eastAsia="fr-FR"/>
        </w:rPr>
        <w:t>π</w:t>
      </w:r>
      <w:r>
        <w:rPr>
          <w:rFonts w:eastAsia="Times New Roman" w:cstheme="minorHAnsi"/>
          <w:color w:val="000000"/>
          <w:sz w:val="24"/>
          <w:szCs w:val="24"/>
          <w:lang w:val="el-GR" w:eastAsia="fr-FR"/>
        </w:rPr>
        <w:t>ρόεδρο</w:t>
      </w:r>
      <w:r w:rsidR="00A5147D" w:rsidRPr="005F58AE">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μόνος/η του/της</w:t>
      </w:r>
      <w:r w:rsidR="00A5147D" w:rsidRPr="005F58AE">
        <w:rPr>
          <w:rFonts w:eastAsia="Times New Roman" w:cstheme="minorHAnsi"/>
          <w:color w:val="000000"/>
          <w:sz w:val="24"/>
          <w:szCs w:val="24"/>
          <w:lang w:val="el-GR" w:eastAsia="fr-FR"/>
        </w:rPr>
        <w:t xml:space="preserve">. </w:t>
      </w:r>
      <w:bookmarkEnd w:id="28"/>
    </w:p>
    <w:p w14:paraId="156C1C71" w14:textId="77777777" w:rsidR="00A5147D" w:rsidRPr="005F58AE" w:rsidRDefault="00A5147D" w:rsidP="00A5147D">
      <w:pPr>
        <w:pStyle w:val="ListParagraph"/>
        <w:rPr>
          <w:rFonts w:eastAsia="Times New Roman" w:cstheme="minorHAnsi"/>
          <w:color w:val="000000"/>
          <w:sz w:val="24"/>
          <w:szCs w:val="24"/>
          <w:lang w:val="el-GR" w:eastAsia="fr-FR"/>
        </w:rPr>
      </w:pPr>
    </w:p>
    <w:p w14:paraId="6F8BCA41" w14:textId="189A2681" w:rsidR="00A5147D" w:rsidRPr="00DC0770" w:rsidRDefault="005F58AE" w:rsidP="00A5147D">
      <w:pPr>
        <w:numPr>
          <w:ilvl w:val="0"/>
          <w:numId w:val="1"/>
        </w:numPr>
        <w:tabs>
          <w:tab w:val="clear" w:pos="6095"/>
          <w:tab w:val="left" w:pos="709"/>
        </w:tabs>
        <w:autoSpaceDE w:val="0"/>
        <w:autoSpaceDN w:val="0"/>
        <w:adjustRightInd w:val="0"/>
        <w:ind w:left="0" w:firstLine="0"/>
        <w:rPr>
          <w:rFonts w:eastAsia="Times New Roman" w:cstheme="minorHAnsi"/>
          <w:color w:val="000000"/>
          <w:sz w:val="24"/>
          <w:szCs w:val="24"/>
          <w:lang w:val="el-GR" w:eastAsia="fr-FR"/>
        </w:rPr>
      </w:pPr>
      <w:r>
        <w:rPr>
          <w:rFonts w:eastAsia="Times New Roman" w:cstheme="minorHAnsi"/>
          <w:color w:val="000000"/>
          <w:sz w:val="24"/>
          <w:szCs w:val="24"/>
          <w:lang w:val="el-GR" w:eastAsia="fr-FR"/>
        </w:rPr>
        <w:t>Σε</w:t>
      </w:r>
      <w:r w:rsidRPr="00A65A41">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σχέση</w:t>
      </w:r>
      <w:r w:rsidRPr="00A65A41">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με</w:t>
      </w:r>
      <w:r w:rsidRPr="00A65A41">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την</w:t>
      </w:r>
      <w:r w:rsidRPr="00A65A41">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νομοθετική</w:t>
      </w:r>
      <w:r w:rsidRPr="00A65A41">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εξουσία</w:t>
      </w:r>
      <w:r w:rsidR="00A5147D" w:rsidRPr="00A65A41">
        <w:rPr>
          <w:rFonts w:eastAsia="Times New Roman" w:cstheme="minorHAnsi"/>
          <w:color w:val="000000"/>
          <w:sz w:val="24"/>
          <w:szCs w:val="24"/>
          <w:lang w:val="el-GR" w:eastAsia="fr-FR"/>
        </w:rPr>
        <w:t>,</w:t>
      </w:r>
      <w:r w:rsidR="00A5147D" w:rsidRPr="00A65A41">
        <w:rPr>
          <w:rFonts w:cstheme="minorHAnsi"/>
          <w:color w:val="000000"/>
          <w:sz w:val="24"/>
          <w:szCs w:val="24"/>
          <w:lang w:val="el-GR"/>
        </w:rPr>
        <w:t xml:space="preserve"> </w:t>
      </w:r>
      <w:r>
        <w:rPr>
          <w:rFonts w:cstheme="minorHAnsi"/>
          <w:color w:val="000000"/>
          <w:sz w:val="24"/>
          <w:szCs w:val="24"/>
          <w:lang w:val="el-GR"/>
        </w:rPr>
        <w:t>το</w:t>
      </w:r>
      <w:r w:rsidRPr="00A65A41">
        <w:rPr>
          <w:rFonts w:cstheme="minorHAnsi"/>
          <w:color w:val="000000"/>
          <w:sz w:val="24"/>
          <w:szCs w:val="24"/>
          <w:lang w:val="el-GR"/>
        </w:rPr>
        <w:t xml:space="preserve"> </w:t>
      </w:r>
      <w:r>
        <w:rPr>
          <w:rFonts w:cstheme="minorHAnsi"/>
          <w:color w:val="000000"/>
          <w:sz w:val="24"/>
          <w:szCs w:val="24"/>
          <w:lang w:val="el-GR"/>
        </w:rPr>
        <w:t>Σύνταγμα</w:t>
      </w:r>
      <w:r w:rsidRPr="00A65A41">
        <w:rPr>
          <w:rFonts w:cstheme="minorHAnsi"/>
          <w:color w:val="000000"/>
          <w:sz w:val="24"/>
          <w:szCs w:val="24"/>
          <w:lang w:val="el-GR"/>
        </w:rPr>
        <w:t xml:space="preserve"> </w:t>
      </w:r>
      <w:r>
        <w:rPr>
          <w:rFonts w:cstheme="minorHAnsi"/>
          <w:color w:val="000000"/>
          <w:sz w:val="24"/>
          <w:szCs w:val="24"/>
          <w:lang w:val="el-GR"/>
        </w:rPr>
        <w:t>προβλέπει</w:t>
      </w:r>
      <w:r w:rsidR="00A5147D" w:rsidRPr="00A65A41">
        <w:rPr>
          <w:rFonts w:cstheme="minorHAnsi"/>
          <w:sz w:val="24"/>
          <w:szCs w:val="24"/>
          <w:lang w:val="el-GR"/>
        </w:rPr>
        <w:t xml:space="preserve"> </w:t>
      </w:r>
      <w:r>
        <w:rPr>
          <w:rFonts w:cstheme="minorHAnsi"/>
          <w:sz w:val="24"/>
          <w:szCs w:val="24"/>
          <w:lang w:val="el-GR"/>
        </w:rPr>
        <w:t>δύο</w:t>
      </w:r>
      <w:r w:rsidRPr="00A65A41">
        <w:rPr>
          <w:rFonts w:cstheme="minorHAnsi"/>
          <w:sz w:val="24"/>
          <w:szCs w:val="24"/>
          <w:lang w:val="el-GR"/>
        </w:rPr>
        <w:t xml:space="preserve"> </w:t>
      </w:r>
      <w:r>
        <w:rPr>
          <w:rFonts w:cstheme="minorHAnsi"/>
          <w:sz w:val="24"/>
          <w:szCs w:val="24"/>
          <w:lang w:val="el-GR"/>
        </w:rPr>
        <w:t>κοινοτικ</w:t>
      </w:r>
      <w:r w:rsidR="00A65A41">
        <w:rPr>
          <w:rFonts w:cstheme="minorHAnsi"/>
          <w:sz w:val="24"/>
          <w:szCs w:val="24"/>
          <w:lang w:val="el-GR"/>
        </w:rPr>
        <w:t>ές</w:t>
      </w:r>
      <w:r w:rsidRPr="00A65A41">
        <w:rPr>
          <w:rFonts w:cstheme="minorHAnsi"/>
          <w:sz w:val="24"/>
          <w:szCs w:val="24"/>
          <w:lang w:val="el-GR"/>
        </w:rPr>
        <w:t xml:space="preserve"> </w:t>
      </w:r>
      <w:r w:rsidR="00A65A41">
        <w:rPr>
          <w:rFonts w:cstheme="minorHAnsi"/>
          <w:sz w:val="24"/>
          <w:szCs w:val="24"/>
          <w:lang w:val="el-GR"/>
        </w:rPr>
        <w:t>συνελεύσεις</w:t>
      </w:r>
      <w:r w:rsidR="00A5147D" w:rsidRPr="00A65A41">
        <w:rPr>
          <w:rFonts w:cstheme="minorHAnsi"/>
          <w:sz w:val="24"/>
          <w:szCs w:val="24"/>
          <w:lang w:val="el-GR"/>
        </w:rPr>
        <w:t xml:space="preserve">, </w:t>
      </w:r>
      <w:r w:rsidR="00A65A41">
        <w:rPr>
          <w:rFonts w:cstheme="minorHAnsi"/>
          <w:sz w:val="24"/>
          <w:szCs w:val="24"/>
          <w:lang w:val="el-GR"/>
        </w:rPr>
        <w:t>μια</w:t>
      </w:r>
      <w:r w:rsidRPr="00A65A41">
        <w:rPr>
          <w:rFonts w:cstheme="minorHAnsi"/>
          <w:sz w:val="24"/>
          <w:szCs w:val="24"/>
          <w:lang w:val="el-GR"/>
        </w:rPr>
        <w:t xml:space="preserve"> </w:t>
      </w:r>
      <w:r>
        <w:rPr>
          <w:rFonts w:cstheme="minorHAnsi"/>
          <w:sz w:val="24"/>
          <w:szCs w:val="24"/>
          <w:lang w:val="el-GR"/>
        </w:rPr>
        <w:t>Ελληνικ</w:t>
      </w:r>
      <w:r w:rsidR="00A65A41">
        <w:rPr>
          <w:rFonts w:cstheme="minorHAnsi"/>
          <w:sz w:val="24"/>
          <w:szCs w:val="24"/>
          <w:lang w:val="el-GR"/>
        </w:rPr>
        <w:t>ή</w:t>
      </w:r>
      <w:r w:rsidRPr="00A65A41">
        <w:rPr>
          <w:rFonts w:cstheme="minorHAnsi"/>
          <w:sz w:val="24"/>
          <w:szCs w:val="24"/>
          <w:lang w:val="el-GR"/>
        </w:rPr>
        <w:t xml:space="preserve"> </w:t>
      </w:r>
      <w:r>
        <w:rPr>
          <w:rFonts w:cstheme="minorHAnsi"/>
          <w:sz w:val="24"/>
          <w:szCs w:val="24"/>
          <w:lang w:val="el-GR"/>
        </w:rPr>
        <w:t>Κοινοτικ</w:t>
      </w:r>
      <w:r w:rsidR="00A65A41">
        <w:rPr>
          <w:rFonts w:cstheme="minorHAnsi"/>
          <w:sz w:val="24"/>
          <w:szCs w:val="24"/>
          <w:lang w:val="el-GR"/>
        </w:rPr>
        <w:t>ή</w:t>
      </w:r>
      <w:r w:rsidR="00A5147D" w:rsidRPr="00A65A41">
        <w:rPr>
          <w:rFonts w:cstheme="minorHAnsi"/>
          <w:sz w:val="24"/>
          <w:szCs w:val="24"/>
          <w:lang w:val="el-GR"/>
        </w:rPr>
        <w:t xml:space="preserve"> </w:t>
      </w:r>
      <w:r w:rsidR="00A65A41">
        <w:rPr>
          <w:rFonts w:cstheme="minorHAnsi"/>
          <w:sz w:val="24"/>
          <w:szCs w:val="24"/>
          <w:lang w:val="el-GR"/>
        </w:rPr>
        <w:t>Συνέλευση</w:t>
      </w:r>
      <w:r w:rsidR="00A65A41" w:rsidRPr="00A65A41">
        <w:rPr>
          <w:rFonts w:cstheme="minorHAnsi"/>
          <w:sz w:val="24"/>
          <w:szCs w:val="24"/>
          <w:lang w:val="el-GR"/>
        </w:rPr>
        <w:t xml:space="preserve"> </w:t>
      </w:r>
      <w:r w:rsidR="00A65A41">
        <w:rPr>
          <w:rFonts w:cstheme="minorHAnsi"/>
          <w:sz w:val="24"/>
          <w:szCs w:val="24"/>
          <w:lang w:val="el-GR"/>
        </w:rPr>
        <w:t>και</w:t>
      </w:r>
      <w:r w:rsidR="00A65A41" w:rsidRPr="00A65A41">
        <w:rPr>
          <w:rFonts w:cstheme="minorHAnsi"/>
          <w:sz w:val="24"/>
          <w:szCs w:val="24"/>
          <w:lang w:val="el-GR"/>
        </w:rPr>
        <w:t xml:space="preserve"> </w:t>
      </w:r>
      <w:r w:rsidR="00A65A41">
        <w:rPr>
          <w:rFonts w:cstheme="minorHAnsi"/>
          <w:sz w:val="24"/>
          <w:szCs w:val="24"/>
          <w:lang w:val="el-GR"/>
        </w:rPr>
        <w:t>μια</w:t>
      </w:r>
      <w:r w:rsidR="00A65A41" w:rsidRPr="00A65A41">
        <w:rPr>
          <w:rFonts w:cstheme="minorHAnsi"/>
          <w:sz w:val="24"/>
          <w:szCs w:val="24"/>
          <w:lang w:val="el-GR"/>
        </w:rPr>
        <w:t xml:space="preserve"> </w:t>
      </w:r>
      <w:r w:rsidR="00A65A41">
        <w:rPr>
          <w:rFonts w:cstheme="minorHAnsi"/>
          <w:sz w:val="24"/>
          <w:szCs w:val="24"/>
          <w:lang w:val="el-GR"/>
        </w:rPr>
        <w:t>Τουρκική</w:t>
      </w:r>
      <w:r w:rsidR="00A65A41" w:rsidRPr="00A65A41">
        <w:rPr>
          <w:rFonts w:cstheme="minorHAnsi"/>
          <w:sz w:val="24"/>
          <w:szCs w:val="24"/>
          <w:lang w:val="el-GR"/>
        </w:rPr>
        <w:t xml:space="preserve"> </w:t>
      </w:r>
      <w:r w:rsidR="00A65A41">
        <w:rPr>
          <w:rFonts w:cstheme="minorHAnsi"/>
          <w:sz w:val="24"/>
          <w:szCs w:val="24"/>
          <w:lang w:val="el-GR"/>
        </w:rPr>
        <w:t>Κοινοτική</w:t>
      </w:r>
      <w:r w:rsidR="00A65A41" w:rsidRPr="00A65A41">
        <w:rPr>
          <w:rFonts w:cstheme="minorHAnsi"/>
          <w:sz w:val="24"/>
          <w:szCs w:val="24"/>
          <w:lang w:val="el-GR"/>
        </w:rPr>
        <w:t xml:space="preserve"> </w:t>
      </w:r>
      <w:r w:rsidR="00A65A41">
        <w:rPr>
          <w:rFonts w:cstheme="minorHAnsi"/>
          <w:sz w:val="24"/>
          <w:szCs w:val="24"/>
          <w:lang w:val="el-GR"/>
        </w:rPr>
        <w:t>Συνέλευση</w:t>
      </w:r>
      <w:r w:rsidR="00A5147D" w:rsidRPr="00A65A41">
        <w:rPr>
          <w:rFonts w:cstheme="minorHAnsi"/>
          <w:sz w:val="24"/>
          <w:szCs w:val="24"/>
          <w:lang w:val="el-GR"/>
        </w:rPr>
        <w:t xml:space="preserve">, </w:t>
      </w:r>
      <w:r w:rsidR="00A65A41">
        <w:rPr>
          <w:rFonts w:cstheme="minorHAnsi"/>
          <w:sz w:val="24"/>
          <w:szCs w:val="24"/>
          <w:lang w:val="el-GR"/>
        </w:rPr>
        <w:t>που</w:t>
      </w:r>
      <w:r w:rsidR="00A65A41" w:rsidRPr="00A65A41">
        <w:rPr>
          <w:rFonts w:cstheme="minorHAnsi"/>
          <w:sz w:val="24"/>
          <w:szCs w:val="24"/>
          <w:lang w:val="el-GR"/>
        </w:rPr>
        <w:t xml:space="preserve"> </w:t>
      </w:r>
      <w:r w:rsidR="00A65A41">
        <w:rPr>
          <w:rFonts w:cstheme="minorHAnsi"/>
          <w:sz w:val="24"/>
          <w:szCs w:val="24"/>
          <w:lang w:val="el-GR"/>
        </w:rPr>
        <w:t>έχουν</w:t>
      </w:r>
      <w:r w:rsidR="00A65A41" w:rsidRPr="00A65A41">
        <w:rPr>
          <w:rFonts w:cstheme="minorHAnsi"/>
          <w:sz w:val="24"/>
          <w:szCs w:val="24"/>
          <w:lang w:val="el-GR"/>
        </w:rPr>
        <w:t xml:space="preserve"> </w:t>
      </w:r>
      <w:r w:rsidR="00A65A41">
        <w:rPr>
          <w:rFonts w:cstheme="minorHAnsi"/>
          <w:sz w:val="24"/>
          <w:szCs w:val="24"/>
          <w:lang w:val="el-GR"/>
        </w:rPr>
        <w:t>νομοθετική</w:t>
      </w:r>
      <w:r w:rsidR="00A65A41" w:rsidRPr="00A65A41">
        <w:rPr>
          <w:rFonts w:cstheme="minorHAnsi"/>
          <w:sz w:val="24"/>
          <w:szCs w:val="24"/>
          <w:lang w:val="el-GR"/>
        </w:rPr>
        <w:t xml:space="preserve"> </w:t>
      </w:r>
      <w:r w:rsidR="00A65A41">
        <w:rPr>
          <w:rFonts w:cstheme="minorHAnsi"/>
          <w:sz w:val="24"/>
          <w:szCs w:val="24"/>
          <w:lang w:val="el-GR"/>
        </w:rPr>
        <w:t>εξουσία</w:t>
      </w:r>
      <w:r w:rsidR="00A5147D" w:rsidRPr="00A65A41">
        <w:rPr>
          <w:rFonts w:cstheme="minorHAnsi"/>
          <w:sz w:val="24"/>
          <w:szCs w:val="24"/>
          <w:lang w:val="el-GR"/>
        </w:rPr>
        <w:t xml:space="preserve"> </w:t>
      </w:r>
      <w:r w:rsidR="00A65A41">
        <w:rPr>
          <w:rFonts w:cstheme="minorHAnsi"/>
          <w:sz w:val="24"/>
          <w:szCs w:val="24"/>
          <w:lang w:val="el-GR"/>
        </w:rPr>
        <w:t>σε</w:t>
      </w:r>
      <w:r w:rsidR="00A65A41" w:rsidRPr="00A65A41">
        <w:rPr>
          <w:rFonts w:cstheme="minorHAnsi"/>
          <w:sz w:val="24"/>
          <w:szCs w:val="24"/>
          <w:lang w:val="el-GR"/>
        </w:rPr>
        <w:t xml:space="preserve"> </w:t>
      </w:r>
      <w:r w:rsidR="00A65A41">
        <w:rPr>
          <w:rFonts w:cstheme="minorHAnsi"/>
          <w:sz w:val="24"/>
          <w:szCs w:val="24"/>
          <w:lang w:val="el-GR"/>
        </w:rPr>
        <w:t>εκπαιδευτικά, πολιτιστικά</w:t>
      </w:r>
      <w:r w:rsidR="00A5147D" w:rsidRPr="00A65A41">
        <w:rPr>
          <w:rFonts w:cstheme="minorHAnsi"/>
          <w:sz w:val="24"/>
          <w:szCs w:val="24"/>
          <w:lang w:val="el-GR"/>
        </w:rPr>
        <w:t xml:space="preserve">, </w:t>
      </w:r>
      <w:r w:rsidR="00A65A41">
        <w:rPr>
          <w:rFonts w:cstheme="minorHAnsi"/>
          <w:sz w:val="24"/>
          <w:szCs w:val="24"/>
          <w:lang w:val="el-GR"/>
        </w:rPr>
        <w:t>θρησκευτικά και άλλα θέματα</w:t>
      </w:r>
      <w:r w:rsidR="00A5147D" w:rsidRPr="00A65A41">
        <w:rPr>
          <w:rFonts w:cstheme="minorHAnsi"/>
          <w:sz w:val="24"/>
          <w:szCs w:val="24"/>
          <w:lang w:val="el-GR"/>
        </w:rPr>
        <w:t xml:space="preserve"> </w:t>
      </w:r>
      <w:r w:rsidR="00A65A41">
        <w:rPr>
          <w:rFonts w:cstheme="minorHAnsi"/>
          <w:sz w:val="24"/>
          <w:szCs w:val="24"/>
          <w:lang w:val="el-GR"/>
        </w:rPr>
        <w:t>καθαρά κοινοτικής φύσης</w:t>
      </w:r>
      <w:r w:rsidR="00A5147D" w:rsidRPr="00A65A41">
        <w:rPr>
          <w:rFonts w:cstheme="minorHAnsi"/>
          <w:sz w:val="24"/>
          <w:szCs w:val="24"/>
          <w:lang w:val="el-GR"/>
        </w:rPr>
        <w:t xml:space="preserve">, </w:t>
      </w:r>
      <w:r w:rsidR="00A65A41">
        <w:rPr>
          <w:rFonts w:cstheme="minorHAnsi"/>
          <w:sz w:val="24"/>
          <w:szCs w:val="24"/>
          <w:lang w:val="el-GR"/>
        </w:rPr>
        <w:t>καθώς επίσης και προσωπικής κατάστασης</w:t>
      </w:r>
      <w:r w:rsidR="00A5147D" w:rsidRPr="00A65A41">
        <w:rPr>
          <w:rFonts w:cstheme="minorHAnsi"/>
          <w:sz w:val="24"/>
          <w:szCs w:val="24"/>
          <w:lang w:val="el-GR"/>
        </w:rPr>
        <w:t>,</w:t>
      </w:r>
      <w:r w:rsidR="00A5147D" w:rsidRPr="004E251E">
        <w:rPr>
          <w:rStyle w:val="FootnoteReference"/>
          <w:rFonts w:cstheme="minorHAnsi"/>
          <w:sz w:val="24"/>
          <w:szCs w:val="24"/>
        </w:rPr>
        <w:footnoteReference w:id="14"/>
      </w:r>
      <w:r w:rsidR="00A5147D" w:rsidRPr="00A65A41">
        <w:rPr>
          <w:rFonts w:cstheme="minorHAnsi"/>
          <w:sz w:val="24"/>
          <w:szCs w:val="24"/>
          <w:lang w:val="el-GR"/>
        </w:rPr>
        <w:t xml:space="preserve"> </w:t>
      </w:r>
      <w:r w:rsidR="00A65A41">
        <w:rPr>
          <w:rFonts w:cstheme="minorHAnsi"/>
          <w:sz w:val="24"/>
          <w:szCs w:val="24"/>
          <w:lang w:val="el-GR"/>
        </w:rPr>
        <w:t xml:space="preserve">και </w:t>
      </w:r>
      <w:r w:rsidR="004E7DC7">
        <w:rPr>
          <w:rFonts w:cstheme="minorHAnsi"/>
          <w:sz w:val="24"/>
          <w:szCs w:val="24"/>
          <w:lang w:val="el-GR"/>
        </w:rPr>
        <w:t>η Βουλή</w:t>
      </w:r>
      <w:r w:rsidR="00A65A41">
        <w:rPr>
          <w:rFonts w:cstheme="minorHAnsi"/>
          <w:sz w:val="24"/>
          <w:szCs w:val="24"/>
          <w:lang w:val="el-GR"/>
        </w:rPr>
        <w:t xml:space="preserve"> των </w:t>
      </w:r>
      <w:r w:rsidR="00A65A41">
        <w:rPr>
          <w:rFonts w:cstheme="minorHAnsi"/>
          <w:sz w:val="24"/>
          <w:szCs w:val="24"/>
          <w:lang w:val="el-GR"/>
        </w:rPr>
        <w:lastRenderedPageBreak/>
        <w:t>Αντιπροσώπων</w:t>
      </w:r>
      <w:r w:rsidR="00A5147D" w:rsidRPr="00A65A41">
        <w:rPr>
          <w:rFonts w:cstheme="minorHAnsi"/>
          <w:sz w:val="24"/>
          <w:szCs w:val="24"/>
          <w:lang w:val="el-GR"/>
        </w:rPr>
        <w:t xml:space="preserve">, </w:t>
      </w:r>
      <w:r w:rsidR="00A65A41">
        <w:rPr>
          <w:rFonts w:cstheme="minorHAnsi"/>
          <w:sz w:val="24"/>
          <w:szCs w:val="24"/>
          <w:lang w:val="el-GR"/>
        </w:rPr>
        <w:t>που έχει νομοθετική εξουσία</w:t>
      </w:r>
      <w:r w:rsidR="00A5147D" w:rsidRPr="00A65A41">
        <w:rPr>
          <w:rFonts w:cstheme="minorHAnsi"/>
          <w:sz w:val="24"/>
          <w:szCs w:val="24"/>
          <w:lang w:val="el-GR"/>
        </w:rPr>
        <w:t xml:space="preserve"> </w:t>
      </w:r>
      <w:r w:rsidR="00A65A41">
        <w:rPr>
          <w:rFonts w:cstheme="minorHAnsi"/>
          <w:sz w:val="24"/>
          <w:szCs w:val="24"/>
          <w:lang w:val="el-GR"/>
        </w:rPr>
        <w:t>σε όλα τα θέματα εκτός από αυτά που είναι ρητά</w:t>
      </w:r>
      <w:r w:rsidR="00A5147D" w:rsidRPr="00A65A41">
        <w:rPr>
          <w:rFonts w:cstheme="minorHAnsi"/>
          <w:color w:val="000000"/>
          <w:sz w:val="24"/>
          <w:szCs w:val="24"/>
          <w:lang w:val="el-GR"/>
        </w:rPr>
        <w:t xml:space="preserve"> </w:t>
      </w:r>
      <w:r w:rsidR="00A65A41">
        <w:rPr>
          <w:rFonts w:cstheme="minorHAnsi"/>
          <w:color w:val="000000"/>
          <w:sz w:val="24"/>
          <w:szCs w:val="24"/>
          <w:lang w:val="el-GR"/>
        </w:rPr>
        <w:t>επιφυλαγμένα για τις Κοινοτικές Συνελεύσεις</w:t>
      </w:r>
      <w:r w:rsidR="00A5147D" w:rsidRPr="004E251E">
        <w:rPr>
          <w:rStyle w:val="FootnoteReference"/>
          <w:rFonts w:cstheme="minorHAnsi"/>
          <w:sz w:val="24"/>
          <w:szCs w:val="24"/>
        </w:rPr>
        <w:footnoteReference w:id="15"/>
      </w:r>
      <w:r w:rsidR="00A5147D" w:rsidRPr="00A65A41">
        <w:rPr>
          <w:rFonts w:cstheme="minorHAnsi"/>
          <w:color w:val="000000"/>
          <w:sz w:val="24"/>
          <w:szCs w:val="24"/>
          <w:lang w:val="el-GR"/>
        </w:rPr>
        <w:t>.</w:t>
      </w:r>
      <w:r w:rsidR="00A5147D" w:rsidRPr="00A65A41">
        <w:rPr>
          <w:rFonts w:cstheme="minorHAnsi"/>
          <w:sz w:val="24"/>
          <w:szCs w:val="24"/>
          <w:lang w:val="el-GR"/>
        </w:rPr>
        <w:t xml:space="preserve"> </w:t>
      </w:r>
      <w:r w:rsidR="00DC0770">
        <w:rPr>
          <w:rFonts w:cstheme="minorHAnsi"/>
          <w:sz w:val="24"/>
          <w:szCs w:val="24"/>
          <w:lang w:val="el-GR"/>
        </w:rPr>
        <w:t>Ωστόσο</w:t>
      </w:r>
      <w:r w:rsidR="00A5147D" w:rsidRPr="00DC0770">
        <w:rPr>
          <w:rFonts w:cstheme="minorHAnsi"/>
          <w:sz w:val="24"/>
          <w:szCs w:val="24"/>
          <w:lang w:val="el-GR"/>
        </w:rPr>
        <w:t xml:space="preserve">, </w:t>
      </w:r>
      <w:r w:rsidR="00DC0770">
        <w:rPr>
          <w:rFonts w:cstheme="minorHAnsi"/>
          <w:sz w:val="24"/>
          <w:szCs w:val="24"/>
          <w:lang w:val="el-GR"/>
        </w:rPr>
        <w:t>μετά</w:t>
      </w:r>
      <w:r w:rsidR="00DC0770" w:rsidRPr="00DC0770">
        <w:rPr>
          <w:rFonts w:cstheme="minorHAnsi"/>
          <w:sz w:val="24"/>
          <w:szCs w:val="24"/>
          <w:lang w:val="el-GR"/>
        </w:rPr>
        <w:t xml:space="preserve"> </w:t>
      </w:r>
      <w:r w:rsidR="00DC0770">
        <w:rPr>
          <w:rFonts w:cstheme="minorHAnsi"/>
          <w:sz w:val="24"/>
          <w:szCs w:val="24"/>
          <w:lang w:val="el-GR"/>
        </w:rPr>
        <w:t>τις</w:t>
      </w:r>
      <w:r w:rsidR="00DC0770" w:rsidRPr="00DC0770">
        <w:rPr>
          <w:rFonts w:cstheme="minorHAnsi"/>
          <w:sz w:val="24"/>
          <w:szCs w:val="24"/>
          <w:lang w:val="el-GR"/>
        </w:rPr>
        <w:t xml:space="preserve"> </w:t>
      </w:r>
      <w:r w:rsidR="00DC0770">
        <w:rPr>
          <w:rFonts w:cstheme="minorHAnsi"/>
          <w:sz w:val="24"/>
          <w:szCs w:val="24"/>
          <w:lang w:val="el-GR"/>
        </w:rPr>
        <w:t>διακοινοτικές</w:t>
      </w:r>
      <w:r w:rsidR="00DC0770" w:rsidRPr="00DC0770">
        <w:rPr>
          <w:rFonts w:cstheme="minorHAnsi"/>
          <w:sz w:val="24"/>
          <w:szCs w:val="24"/>
          <w:lang w:val="el-GR"/>
        </w:rPr>
        <w:t xml:space="preserve"> </w:t>
      </w:r>
      <w:r w:rsidR="00DC0770">
        <w:rPr>
          <w:rFonts w:cstheme="minorHAnsi"/>
          <w:sz w:val="24"/>
          <w:szCs w:val="24"/>
          <w:lang w:val="el-GR"/>
        </w:rPr>
        <w:t>διαταραχές</w:t>
      </w:r>
      <w:r w:rsidR="00A5147D" w:rsidRPr="00DC0770">
        <w:rPr>
          <w:rFonts w:cstheme="minorHAnsi"/>
          <w:sz w:val="24"/>
          <w:szCs w:val="24"/>
          <w:lang w:val="el-GR"/>
        </w:rPr>
        <w:t xml:space="preserve">, </w:t>
      </w:r>
      <w:r w:rsidR="000D4938">
        <w:rPr>
          <w:rFonts w:cstheme="minorHAnsi"/>
          <w:sz w:val="24"/>
          <w:szCs w:val="24"/>
          <w:lang w:val="el-GR"/>
        </w:rPr>
        <w:t xml:space="preserve">τα Ελληνικά </w:t>
      </w:r>
      <w:r w:rsidR="00DC0770">
        <w:rPr>
          <w:rFonts w:cstheme="minorHAnsi"/>
          <w:sz w:val="24"/>
          <w:szCs w:val="24"/>
          <w:lang w:val="el-GR"/>
        </w:rPr>
        <w:t>μέλη</w:t>
      </w:r>
      <w:r w:rsidR="00DC0770" w:rsidRPr="00DC0770">
        <w:rPr>
          <w:rFonts w:cstheme="minorHAnsi"/>
          <w:sz w:val="24"/>
          <w:szCs w:val="24"/>
          <w:lang w:val="el-GR"/>
        </w:rPr>
        <w:t xml:space="preserve"> </w:t>
      </w:r>
      <w:r w:rsidR="00DC0770">
        <w:rPr>
          <w:rFonts w:cstheme="minorHAnsi"/>
          <w:sz w:val="24"/>
          <w:szCs w:val="24"/>
          <w:lang w:val="el-GR"/>
        </w:rPr>
        <w:t>της</w:t>
      </w:r>
      <w:r w:rsidR="00DC0770" w:rsidRPr="00DC0770">
        <w:rPr>
          <w:rFonts w:cstheme="minorHAnsi"/>
          <w:sz w:val="24"/>
          <w:szCs w:val="24"/>
          <w:lang w:val="el-GR"/>
        </w:rPr>
        <w:t xml:space="preserve"> </w:t>
      </w:r>
      <w:r w:rsidR="00DC0770">
        <w:rPr>
          <w:rFonts w:cstheme="minorHAnsi"/>
          <w:sz w:val="24"/>
          <w:szCs w:val="24"/>
          <w:lang w:val="el-GR"/>
        </w:rPr>
        <w:t>Βουλής</w:t>
      </w:r>
      <w:r w:rsidR="00DC0770" w:rsidRPr="00DC0770">
        <w:rPr>
          <w:rFonts w:cstheme="minorHAnsi"/>
          <w:sz w:val="24"/>
          <w:szCs w:val="24"/>
          <w:lang w:val="el-GR"/>
        </w:rPr>
        <w:t xml:space="preserve"> </w:t>
      </w:r>
      <w:r w:rsidR="00DC0770">
        <w:rPr>
          <w:rFonts w:cstheme="minorHAnsi"/>
          <w:sz w:val="24"/>
          <w:szCs w:val="24"/>
          <w:lang w:val="el-GR"/>
        </w:rPr>
        <w:t>των</w:t>
      </w:r>
      <w:r w:rsidR="00DC0770" w:rsidRPr="00DC0770">
        <w:rPr>
          <w:rFonts w:cstheme="minorHAnsi"/>
          <w:sz w:val="24"/>
          <w:szCs w:val="24"/>
          <w:lang w:val="el-GR"/>
        </w:rPr>
        <w:t xml:space="preserve"> </w:t>
      </w:r>
      <w:r w:rsidR="00DC0770">
        <w:rPr>
          <w:rFonts w:cstheme="minorHAnsi"/>
          <w:sz w:val="24"/>
          <w:szCs w:val="24"/>
          <w:lang w:val="el-GR"/>
        </w:rPr>
        <w:t>Αντιπροσώπων</w:t>
      </w:r>
      <w:r w:rsidR="00A5147D" w:rsidRPr="004E251E">
        <w:rPr>
          <w:rFonts w:cstheme="minorHAnsi"/>
          <w:color w:val="000000"/>
          <w:sz w:val="24"/>
          <w:szCs w:val="24"/>
          <w:shd w:val="clear" w:color="auto" w:fill="FFFFFF"/>
        </w:rPr>
        <w:t> </w:t>
      </w:r>
      <w:r w:rsidR="008A10F0">
        <w:rPr>
          <w:rFonts w:cstheme="minorHAnsi"/>
          <w:color w:val="000000"/>
          <w:sz w:val="24"/>
          <w:szCs w:val="24"/>
          <w:shd w:val="clear" w:color="auto" w:fill="FFFFFF"/>
          <w:lang w:val="el-GR"/>
        </w:rPr>
        <w:t>θέσπισαν</w:t>
      </w:r>
      <w:r w:rsidR="00DC0770" w:rsidRPr="00DC0770">
        <w:rPr>
          <w:rFonts w:cstheme="minorHAnsi"/>
          <w:color w:val="000000"/>
          <w:sz w:val="24"/>
          <w:szCs w:val="24"/>
          <w:shd w:val="clear" w:color="auto" w:fill="FFFFFF"/>
          <w:lang w:val="el-GR"/>
        </w:rPr>
        <w:t xml:space="preserve"> </w:t>
      </w:r>
      <w:r w:rsidR="00DC0770">
        <w:rPr>
          <w:rFonts w:cstheme="minorHAnsi"/>
          <w:color w:val="000000"/>
          <w:sz w:val="24"/>
          <w:szCs w:val="24"/>
          <w:shd w:val="clear" w:color="auto" w:fill="FFFFFF"/>
          <w:lang w:val="el-GR"/>
        </w:rPr>
        <w:t>ένα</w:t>
      </w:r>
      <w:r w:rsidR="00DC0770" w:rsidRPr="00DC0770">
        <w:rPr>
          <w:rFonts w:cstheme="minorHAnsi"/>
          <w:color w:val="000000"/>
          <w:sz w:val="24"/>
          <w:szCs w:val="24"/>
          <w:shd w:val="clear" w:color="auto" w:fill="FFFFFF"/>
          <w:lang w:val="el-GR"/>
        </w:rPr>
        <w:t xml:space="preserve"> </w:t>
      </w:r>
      <w:r w:rsidR="00DC0770">
        <w:rPr>
          <w:rFonts w:cstheme="minorHAnsi"/>
          <w:color w:val="000000"/>
          <w:sz w:val="24"/>
          <w:szCs w:val="24"/>
          <w:shd w:val="clear" w:color="auto" w:fill="FFFFFF"/>
          <w:lang w:val="el-GR"/>
        </w:rPr>
        <w:t>νόμο καταργώντας την Ελληνική Κοινοτική Συνέλευση</w:t>
      </w:r>
      <w:r w:rsidR="00A5147D" w:rsidRPr="00DC0770">
        <w:rPr>
          <w:rFonts w:cstheme="minorHAnsi"/>
          <w:color w:val="000000"/>
          <w:sz w:val="24"/>
          <w:szCs w:val="24"/>
          <w:shd w:val="clear" w:color="auto" w:fill="FFFFFF"/>
          <w:lang w:val="el-GR"/>
        </w:rPr>
        <w:t xml:space="preserve"> </w:t>
      </w:r>
      <w:r w:rsidR="00DC0770">
        <w:rPr>
          <w:rFonts w:cstheme="minorHAnsi"/>
          <w:color w:val="000000"/>
          <w:sz w:val="24"/>
          <w:szCs w:val="24"/>
          <w:shd w:val="clear" w:color="auto" w:fill="FFFFFF"/>
          <w:lang w:val="el-GR"/>
        </w:rPr>
        <w:t>και μετέφερα</w:t>
      </w:r>
      <w:r w:rsidR="008A10F0">
        <w:rPr>
          <w:rFonts w:cstheme="minorHAnsi"/>
          <w:color w:val="000000"/>
          <w:sz w:val="24"/>
          <w:szCs w:val="24"/>
          <w:shd w:val="clear" w:color="auto" w:fill="FFFFFF"/>
          <w:lang w:val="el-GR"/>
        </w:rPr>
        <w:t>ν</w:t>
      </w:r>
      <w:r w:rsidR="00DC0770">
        <w:rPr>
          <w:rFonts w:cstheme="minorHAnsi"/>
          <w:color w:val="000000"/>
          <w:sz w:val="24"/>
          <w:szCs w:val="24"/>
          <w:shd w:val="clear" w:color="auto" w:fill="FFFFFF"/>
          <w:lang w:val="el-GR"/>
        </w:rPr>
        <w:t xml:space="preserve"> τις ευθύνες της</w:t>
      </w:r>
      <w:r w:rsidR="00A5147D" w:rsidRPr="00DC0770">
        <w:rPr>
          <w:rFonts w:cstheme="minorHAnsi"/>
          <w:color w:val="000000"/>
          <w:sz w:val="24"/>
          <w:szCs w:val="24"/>
          <w:shd w:val="clear" w:color="auto" w:fill="FFFFFF"/>
          <w:lang w:val="el-GR"/>
        </w:rPr>
        <w:t xml:space="preserve"> </w:t>
      </w:r>
      <w:r w:rsidR="00DC0770">
        <w:rPr>
          <w:rFonts w:cstheme="minorHAnsi"/>
          <w:color w:val="000000"/>
          <w:sz w:val="24"/>
          <w:szCs w:val="24"/>
          <w:shd w:val="clear" w:color="auto" w:fill="FFFFFF"/>
          <w:lang w:val="el-GR"/>
        </w:rPr>
        <w:t>στην Βουλή των Αντιπροσώπων</w:t>
      </w:r>
      <w:r w:rsidR="00A5147D" w:rsidRPr="00DC0770">
        <w:rPr>
          <w:rFonts w:cstheme="minorHAnsi"/>
          <w:color w:val="000000"/>
          <w:sz w:val="24"/>
          <w:szCs w:val="24"/>
          <w:shd w:val="clear" w:color="auto" w:fill="FFFFFF"/>
          <w:lang w:val="el-GR"/>
        </w:rPr>
        <w:t>.</w:t>
      </w:r>
      <w:r w:rsidR="00A5147D"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Το</w:t>
      </w:r>
      <w:r w:rsidR="00A5147D" w:rsidRPr="00DC0770">
        <w:rPr>
          <w:rFonts w:cstheme="minorHAnsi"/>
          <w:color w:val="000000"/>
          <w:sz w:val="24"/>
          <w:szCs w:val="24"/>
          <w:bdr w:val="none" w:sz="0" w:space="0" w:color="auto" w:frame="1"/>
          <w:shd w:val="clear" w:color="auto" w:fill="FFFFFF"/>
          <w:lang w:val="el-GR"/>
        </w:rPr>
        <w:t xml:space="preserve"> 1967, </w:t>
      </w:r>
      <w:r w:rsidR="00DC0770">
        <w:rPr>
          <w:rFonts w:cstheme="minorHAnsi"/>
          <w:color w:val="000000"/>
          <w:sz w:val="24"/>
          <w:szCs w:val="24"/>
          <w:bdr w:val="none" w:sz="0" w:space="0" w:color="auto" w:frame="1"/>
          <w:shd w:val="clear" w:color="auto" w:fill="FFFFFF"/>
          <w:lang w:val="el-GR"/>
        </w:rPr>
        <w:t>μέλη</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της</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Τουρκικής</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συνέλευσης</w:t>
      </w:r>
      <w:r w:rsidR="00A5147D"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ενώθηκαν</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με</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τα</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πρώην</w:t>
      </w:r>
      <w:r w:rsidR="000D4938">
        <w:rPr>
          <w:rFonts w:cstheme="minorHAnsi"/>
          <w:color w:val="000000"/>
          <w:sz w:val="24"/>
          <w:szCs w:val="24"/>
          <w:bdr w:val="none" w:sz="0" w:space="0" w:color="auto" w:frame="1"/>
          <w:shd w:val="clear" w:color="auto" w:fill="FFFFFF"/>
          <w:lang w:val="el-GR"/>
        </w:rPr>
        <w:t xml:space="preserve"> Τουρκικά</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μέλη</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της</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Βουλής</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των</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Αντιπροσώπων</w:t>
      </w:r>
      <w:r w:rsidR="00A5147D"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για να ιδρύσουν μια νέα Τουρκοκυπριακή Νομοθετική Συνέλευση</w:t>
      </w:r>
      <w:r w:rsidR="00A5147D"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Ωστόσο</w:t>
      </w:r>
      <w:r w:rsidR="00A5147D"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αν</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και</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αυτή</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η</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συνέλευση</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δεν</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διαλύθηκε</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ποτέ</w:t>
      </w:r>
      <w:r w:rsidR="00A5147D"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δεν εξάσκησε ποτέ τις εξουσίες της</w:t>
      </w:r>
      <w:r w:rsidR="00A5147D" w:rsidRPr="00DC0770">
        <w:rPr>
          <w:rFonts w:cstheme="minorHAnsi"/>
          <w:color w:val="000000"/>
          <w:sz w:val="24"/>
          <w:szCs w:val="24"/>
          <w:bdr w:val="none" w:sz="0" w:space="0" w:color="auto" w:frame="1"/>
          <w:shd w:val="clear" w:color="auto" w:fill="FFFFFF"/>
          <w:lang w:val="el-GR"/>
        </w:rPr>
        <w:t>.</w:t>
      </w:r>
      <w:r w:rsidR="00A5147D" w:rsidRPr="004E251E">
        <w:rPr>
          <w:rStyle w:val="FootnoteReference"/>
          <w:rFonts w:cstheme="minorHAnsi"/>
          <w:color w:val="000000"/>
          <w:sz w:val="24"/>
          <w:szCs w:val="24"/>
          <w:bdr w:val="none" w:sz="0" w:space="0" w:color="auto" w:frame="1"/>
          <w:shd w:val="clear" w:color="auto" w:fill="FFFFFF"/>
        </w:rPr>
        <w:footnoteReference w:id="16"/>
      </w:r>
      <w:r w:rsidR="00606DF6"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Αυτό</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σημαίνει</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ότι</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η</w:t>
      </w:r>
      <w:r w:rsidR="00DC0770" w:rsidRPr="00DC0770">
        <w:rPr>
          <w:rFonts w:cstheme="minorHAnsi"/>
          <w:color w:val="000000"/>
          <w:sz w:val="24"/>
          <w:szCs w:val="24"/>
          <w:bdr w:val="none" w:sz="0" w:space="0" w:color="auto" w:frame="1"/>
          <w:shd w:val="clear" w:color="auto" w:fill="FFFFFF"/>
          <w:lang w:val="el-GR"/>
        </w:rPr>
        <w:t xml:space="preserve"> </w:t>
      </w:r>
      <w:r w:rsidR="00D12C90">
        <w:rPr>
          <w:rFonts w:cstheme="minorHAnsi"/>
          <w:color w:val="000000"/>
          <w:sz w:val="24"/>
          <w:szCs w:val="24"/>
          <w:bdr w:val="none" w:sz="0" w:space="0" w:color="auto" w:frame="1"/>
          <w:shd w:val="clear" w:color="auto" w:fill="FFFFFF"/>
          <w:lang w:val="el-GR"/>
        </w:rPr>
        <w:t>Βουλή</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των</w:t>
      </w:r>
      <w:r w:rsidR="00DC0770" w:rsidRPr="00DC0770">
        <w:rPr>
          <w:rFonts w:cstheme="minorHAnsi"/>
          <w:color w:val="000000"/>
          <w:sz w:val="24"/>
          <w:szCs w:val="24"/>
          <w:bdr w:val="none" w:sz="0" w:space="0" w:color="auto" w:frame="1"/>
          <w:shd w:val="clear" w:color="auto" w:fill="FFFFFF"/>
          <w:lang w:val="el-GR"/>
        </w:rPr>
        <w:t xml:space="preserve"> </w:t>
      </w:r>
      <w:r w:rsidR="00DC0770">
        <w:rPr>
          <w:rFonts w:cstheme="minorHAnsi"/>
          <w:color w:val="000000"/>
          <w:sz w:val="24"/>
          <w:szCs w:val="24"/>
          <w:bdr w:val="none" w:sz="0" w:space="0" w:color="auto" w:frame="1"/>
          <w:shd w:val="clear" w:color="auto" w:fill="FFFFFF"/>
          <w:lang w:val="el-GR"/>
        </w:rPr>
        <w:t xml:space="preserve">Αντιπροσώπων, ως αποτέλεσμα, </w:t>
      </w:r>
      <w:r w:rsidR="00D12C90">
        <w:rPr>
          <w:rFonts w:cstheme="minorHAnsi"/>
          <w:color w:val="000000"/>
          <w:sz w:val="24"/>
          <w:szCs w:val="24"/>
          <w:bdr w:val="none" w:sz="0" w:space="0" w:color="auto" w:frame="1"/>
          <w:shd w:val="clear" w:color="auto" w:fill="FFFFFF"/>
          <w:lang w:val="el-GR"/>
        </w:rPr>
        <w:t>αποτελείται από ένα σώμα.</w:t>
      </w:r>
      <w:r w:rsidR="00A5147D" w:rsidRPr="004E251E">
        <w:rPr>
          <w:rStyle w:val="FootnoteReference"/>
          <w:rFonts w:cstheme="minorHAnsi"/>
          <w:sz w:val="24"/>
          <w:szCs w:val="24"/>
        </w:rPr>
        <w:footnoteReference w:id="17"/>
      </w:r>
      <w:r w:rsidR="00A5147D" w:rsidRPr="00DC0770">
        <w:rPr>
          <w:rFonts w:cstheme="minorHAnsi"/>
          <w:sz w:val="24"/>
          <w:szCs w:val="24"/>
          <w:lang w:val="el-GR"/>
        </w:rPr>
        <w:t xml:space="preserve"> </w:t>
      </w:r>
    </w:p>
    <w:p w14:paraId="60DB0A16" w14:textId="77777777" w:rsidR="00A5147D" w:rsidRPr="00DC0770" w:rsidRDefault="00A5147D" w:rsidP="00A5147D">
      <w:pPr>
        <w:pStyle w:val="ListParagraph"/>
        <w:rPr>
          <w:rFonts w:cstheme="minorHAnsi"/>
          <w:sz w:val="24"/>
          <w:szCs w:val="24"/>
          <w:lang w:val="el-GR"/>
        </w:rPr>
      </w:pPr>
    </w:p>
    <w:p w14:paraId="4E1ECC2D" w14:textId="373B4683" w:rsidR="00A5147D" w:rsidRPr="002A353D" w:rsidRDefault="00DC0770" w:rsidP="00A5147D">
      <w:pPr>
        <w:numPr>
          <w:ilvl w:val="0"/>
          <w:numId w:val="1"/>
        </w:numPr>
        <w:tabs>
          <w:tab w:val="clear" w:pos="6095"/>
          <w:tab w:val="left" w:pos="709"/>
        </w:tabs>
        <w:autoSpaceDE w:val="0"/>
        <w:autoSpaceDN w:val="0"/>
        <w:adjustRightInd w:val="0"/>
        <w:ind w:left="0" w:firstLine="0"/>
        <w:rPr>
          <w:rFonts w:eastAsia="Times New Roman" w:cstheme="minorHAnsi"/>
          <w:color w:val="000000"/>
          <w:sz w:val="24"/>
          <w:szCs w:val="24"/>
          <w:lang w:val="el-GR" w:eastAsia="fr-FR"/>
        </w:rPr>
      </w:pPr>
      <w:bookmarkStart w:id="29" w:name="_Ref137452761"/>
      <w:r>
        <w:rPr>
          <w:rFonts w:cstheme="minorHAnsi"/>
          <w:sz w:val="24"/>
          <w:szCs w:val="24"/>
          <w:lang w:val="el-GR"/>
        </w:rPr>
        <w:t>Σε</w:t>
      </w:r>
      <w:r w:rsidRPr="00DC0770">
        <w:rPr>
          <w:rFonts w:cstheme="minorHAnsi"/>
          <w:sz w:val="24"/>
          <w:szCs w:val="24"/>
          <w:lang w:val="el-GR"/>
        </w:rPr>
        <w:t xml:space="preserve"> </w:t>
      </w:r>
      <w:r>
        <w:rPr>
          <w:rFonts w:cstheme="minorHAnsi"/>
          <w:sz w:val="24"/>
          <w:szCs w:val="24"/>
          <w:lang w:val="el-GR"/>
        </w:rPr>
        <w:t>σχέση</w:t>
      </w:r>
      <w:r w:rsidRPr="00DC0770">
        <w:rPr>
          <w:rFonts w:cstheme="minorHAnsi"/>
          <w:sz w:val="24"/>
          <w:szCs w:val="24"/>
          <w:lang w:val="el-GR"/>
        </w:rPr>
        <w:t xml:space="preserve"> </w:t>
      </w:r>
      <w:r>
        <w:rPr>
          <w:rFonts w:cstheme="minorHAnsi"/>
          <w:sz w:val="24"/>
          <w:szCs w:val="24"/>
          <w:lang w:val="el-GR"/>
        </w:rPr>
        <w:t>με</w:t>
      </w:r>
      <w:r w:rsidRPr="00DC0770">
        <w:rPr>
          <w:rFonts w:cstheme="minorHAnsi"/>
          <w:sz w:val="24"/>
          <w:szCs w:val="24"/>
          <w:lang w:val="el-GR"/>
        </w:rPr>
        <w:t xml:space="preserve"> </w:t>
      </w:r>
      <w:r>
        <w:rPr>
          <w:rFonts w:cstheme="minorHAnsi"/>
          <w:sz w:val="24"/>
          <w:szCs w:val="24"/>
          <w:lang w:val="el-GR"/>
        </w:rPr>
        <w:t>την</w:t>
      </w:r>
      <w:r w:rsidRPr="00DC0770">
        <w:rPr>
          <w:rFonts w:cstheme="minorHAnsi"/>
          <w:sz w:val="24"/>
          <w:szCs w:val="24"/>
          <w:lang w:val="el-GR"/>
        </w:rPr>
        <w:t xml:space="preserve"> </w:t>
      </w:r>
      <w:r>
        <w:rPr>
          <w:rFonts w:cstheme="minorHAnsi"/>
          <w:sz w:val="24"/>
          <w:szCs w:val="24"/>
          <w:lang w:val="el-GR"/>
        </w:rPr>
        <w:t>δικαστική</w:t>
      </w:r>
      <w:r w:rsidRPr="00DC0770">
        <w:rPr>
          <w:rFonts w:cstheme="minorHAnsi"/>
          <w:sz w:val="24"/>
          <w:szCs w:val="24"/>
          <w:lang w:val="el-GR"/>
        </w:rPr>
        <w:t xml:space="preserve"> </w:t>
      </w:r>
      <w:r>
        <w:rPr>
          <w:rFonts w:cstheme="minorHAnsi"/>
          <w:sz w:val="24"/>
          <w:szCs w:val="24"/>
          <w:lang w:val="el-GR"/>
        </w:rPr>
        <w:t>εξουσία</w:t>
      </w:r>
      <w:r w:rsidR="00A5147D" w:rsidRPr="00DC0770">
        <w:rPr>
          <w:rFonts w:cstheme="minorHAnsi"/>
          <w:sz w:val="24"/>
          <w:szCs w:val="24"/>
          <w:lang w:val="el-GR"/>
        </w:rPr>
        <w:t xml:space="preserve">, </w:t>
      </w:r>
      <w:r>
        <w:rPr>
          <w:rFonts w:cstheme="minorHAnsi"/>
          <w:sz w:val="24"/>
          <w:szCs w:val="24"/>
          <w:lang w:val="el-GR"/>
        </w:rPr>
        <w:t>ένα</w:t>
      </w:r>
      <w:r w:rsidRPr="00DC0770">
        <w:rPr>
          <w:rFonts w:cstheme="minorHAnsi"/>
          <w:sz w:val="24"/>
          <w:szCs w:val="24"/>
          <w:lang w:val="el-GR"/>
        </w:rPr>
        <w:t xml:space="preserve"> </w:t>
      </w:r>
      <w:r>
        <w:rPr>
          <w:rFonts w:cstheme="minorHAnsi"/>
          <w:sz w:val="24"/>
          <w:szCs w:val="24"/>
          <w:lang w:val="el-GR"/>
        </w:rPr>
        <w:t>Ανώτατο</w:t>
      </w:r>
      <w:r w:rsidRPr="00DC0770">
        <w:rPr>
          <w:rFonts w:cstheme="minorHAnsi"/>
          <w:sz w:val="24"/>
          <w:szCs w:val="24"/>
          <w:lang w:val="el-GR"/>
        </w:rPr>
        <w:t xml:space="preserve"> </w:t>
      </w:r>
      <w:r>
        <w:rPr>
          <w:rFonts w:cstheme="minorHAnsi"/>
          <w:sz w:val="24"/>
          <w:szCs w:val="24"/>
          <w:lang w:val="el-GR"/>
        </w:rPr>
        <w:t>Δικαστήριο</w:t>
      </w:r>
      <w:r w:rsidRPr="00DC0770">
        <w:rPr>
          <w:rFonts w:cstheme="minorHAnsi"/>
          <w:sz w:val="24"/>
          <w:szCs w:val="24"/>
          <w:lang w:val="el-GR"/>
        </w:rPr>
        <w:t xml:space="preserve"> </w:t>
      </w:r>
      <w:r>
        <w:rPr>
          <w:rFonts w:cstheme="minorHAnsi"/>
          <w:sz w:val="24"/>
          <w:szCs w:val="24"/>
          <w:lang w:val="el-GR"/>
        </w:rPr>
        <w:t>ιδρύθηκε</w:t>
      </w:r>
      <w:r w:rsidRPr="00DC0770">
        <w:rPr>
          <w:rFonts w:cstheme="minorHAnsi"/>
          <w:sz w:val="24"/>
          <w:szCs w:val="24"/>
          <w:lang w:val="el-GR"/>
        </w:rPr>
        <w:t xml:space="preserve"> </w:t>
      </w:r>
      <w:r>
        <w:rPr>
          <w:rFonts w:cstheme="minorHAnsi"/>
          <w:sz w:val="24"/>
          <w:szCs w:val="24"/>
          <w:lang w:val="el-GR"/>
        </w:rPr>
        <w:t>το</w:t>
      </w:r>
      <w:r w:rsidR="00A5147D" w:rsidRPr="00DC0770">
        <w:rPr>
          <w:rFonts w:cstheme="minorHAnsi"/>
          <w:sz w:val="24"/>
          <w:szCs w:val="24"/>
          <w:lang w:val="el-GR"/>
        </w:rPr>
        <w:t xml:space="preserve"> 1964, </w:t>
      </w:r>
      <w:proofErr w:type="spellStart"/>
      <w:r>
        <w:rPr>
          <w:rFonts w:cstheme="minorHAnsi"/>
          <w:sz w:val="24"/>
          <w:szCs w:val="24"/>
          <w:lang w:val="el-GR"/>
        </w:rPr>
        <w:t>αντικαταστώντας</w:t>
      </w:r>
      <w:proofErr w:type="spellEnd"/>
      <w:r w:rsidRPr="00DC0770">
        <w:rPr>
          <w:rFonts w:cstheme="minorHAnsi"/>
          <w:sz w:val="24"/>
          <w:szCs w:val="24"/>
          <w:lang w:val="el-GR"/>
        </w:rPr>
        <w:t xml:space="preserve"> </w:t>
      </w:r>
      <w:r>
        <w:rPr>
          <w:rFonts w:cstheme="minorHAnsi"/>
          <w:sz w:val="24"/>
          <w:szCs w:val="24"/>
          <w:lang w:val="el-GR"/>
        </w:rPr>
        <w:t>το</w:t>
      </w:r>
      <w:r w:rsidRPr="00DC0770">
        <w:rPr>
          <w:rFonts w:cstheme="minorHAnsi"/>
          <w:sz w:val="24"/>
          <w:szCs w:val="24"/>
          <w:lang w:val="el-GR"/>
        </w:rPr>
        <w:t xml:space="preserve"> </w:t>
      </w:r>
      <w:r>
        <w:rPr>
          <w:rFonts w:cstheme="minorHAnsi"/>
          <w:sz w:val="24"/>
          <w:szCs w:val="24"/>
          <w:lang w:val="el-GR"/>
        </w:rPr>
        <w:t>Ανώτατο</w:t>
      </w:r>
      <w:r w:rsidRPr="00DC0770">
        <w:rPr>
          <w:rFonts w:cstheme="minorHAnsi"/>
          <w:sz w:val="24"/>
          <w:szCs w:val="24"/>
          <w:lang w:val="el-GR"/>
        </w:rPr>
        <w:t xml:space="preserve"> </w:t>
      </w:r>
      <w:r>
        <w:rPr>
          <w:rFonts w:cstheme="minorHAnsi"/>
          <w:sz w:val="24"/>
          <w:szCs w:val="24"/>
          <w:lang w:val="el-GR"/>
        </w:rPr>
        <w:t>Συνταγματικό</w:t>
      </w:r>
      <w:r w:rsidRPr="00DC0770">
        <w:rPr>
          <w:rFonts w:cstheme="minorHAnsi"/>
          <w:sz w:val="24"/>
          <w:szCs w:val="24"/>
          <w:lang w:val="el-GR"/>
        </w:rPr>
        <w:t xml:space="preserve"> </w:t>
      </w:r>
      <w:r>
        <w:rPr>
          <w:rFonts w:cstheme="minorHAnsi"/>
          <w:sz w:val="24"/>
          <w:szCs w:val="24"/>
          <w:lang w:val="el-GR"/>
        </w:rPr>
        <w:t>Δικαστήριο</w:t>
      </w:r>
      <w:r w:rsidR="00A5147D" w:rsidRPr="00DC0770">
        <w:rPr>
          <w:rFonts w:cstheme="minorHAnsi"/>
          <w:sz w:val="24"/>
          <w:szCs w:val="24"/>
          <w:lang w:val="el-GR"/>
        </w:rPr>
        <w:t xml:space="preserve"> </w:t>
      </w:r>
      <w:r>
        <w:rPr>
          <w:rFonts w:cstheme="minorHAnsi"/>
          <w:sz w:val="24"/>
          <w:szCs w:val="24"/>
          <w:lang w:val="el-GR"/>
        </w:rPr>
        <w:t xml:space="preserve">και το Ανώτατο Δικαστήριο ως ένα νέο </w:t>
      </w:r>
      <w:r w:rsidR="002A353D">
        <w:rPr>
          <w:rFonts w:cstheme="minorHAnsi"/>
          <w:sz w:val="24"/>
          <w:szCs w:val="24"/>
          <w:lang w:val="el-GR"/>
        </w:rPr>
        <w:t>ενιαίο δικαστήριο</w:t>
      </w:r>
      <w:r w:rsidR="00A5147D" w:rsidRPr="00DC0770">
        <w:rPr>
          <w:rFonts w:cstheme="minorHAnsi"/>
          <w:sz w:val="24"/>
          <w:szCs w:val="24"/>
          <w:lang w:val="el-GR"/>
        </w:rPr>
        <w:t xml:space="preserve">, </w:t>
      </w:r>
      <w:r w:rsidR="002A353D">
        <w:rPr>
          <w:rFonts w:cstheme="minorHAnsi"/>
          <w:sz w:val="24"/>
          <w:szCs w:val="24"/>
          <w:lang w:val="el-GR"/>
        </w:rPr>
        <w:t>αντιπροσωπεύοντας την ψηλότερη δικαστική αρχή στην χώρα</w:t>
      </w:r>
      <w:r w:rsidR="00A5147D" w:rsidRPr="00DC0770">
        <w:rPr>
          <w:rFonts w:cstheme="minorHAnsi"/>
          <w:sz w:val="24"/>
          <w:szCs w:val="24"/>
          <w:lang w:val="el-GR"/>
        </w:rPr>
        <w:t>.</w:t>
      </w:r>
      <w:r w:rsidR="00A5147D" w:rsidRPr="00B95983">
        <w:rPr>
          <w:rStyle w:val="FootnoteReference"/>
          <w:rFonts w:cstheme="minorHAnsi"/>
          <w:sz w:val="24"/>
          <w:szCs w:val="24"/>
        </w:rPr>
        <w:footnoteReference w:id="18"/>
      </w:r>
      <w:r w:rsidR="00401434" w:rsidRPr="00DC0770">
        <w:rPr>
          <w:rFonts w:cstheme="minorHAnsi"/>
          <w:sz w:val="24"/>
          <w:szCs w:val="24"/>
          <w:lang w:val="el-GR"/>
        </w:rPr>
        <w:t xml:space="preserve"> </w:t>
      </w:r>
      <w:bookmarkStart w:id="30" w:name="_Hlk132887438"/>
      <w:r w:rsidR="002A353D">
        <w:rPr>
          <w:rFonts w:cstheme="minorHAnsi"/>
          <w:sz w:val="24"/>
          <w:szCs w:val="24"/>
          <w:lang w:val="el-GR"/>
        </w:rPr>
        <w:t>Η</w:t>
      </w:r>
      <w:r w:rsidR="002A353D" w:rsidRPr="002A353D">
        <w:rPr>
          <w:rFonts w:cstheme="minorHAnsi"/>
          <w:sz w:val="24"/>
          <w:szCs w:val="24"/>
          <w:lang w:val="el-GR"/>
        </w:rPr>
        <w:t xml:space="preserve"> </w:t>
      </w:r>
      <w:r w:rsidR="002A353D">
        <w:rPr>
          <w:rFonts w:cstheme="minorHAnsi"/>
          <w:sz w:val="24"/>
          <w:szCs w:val="24"/>
          <w:lang w:val="el-GR"/>
        </w:rPr>
        <w:t>κατάσταση</w:t>
      </w:r>
      <w:r w:rsidR="002A353D" w:rsidRPr="002A353D">
        <w:rPr>
          <w:rFonts w:cstheme="minorHAnsi"/>
          <w:sz w:val="24"/>
          <w:szCs w:val="24"/>
          <w:lang w:val="el-GR"/>
        </w:rPr>
        <w:t xml:space="preserve"> </w:t>
      </w:r>
      <w:r w:rsidR="002A353D">
        <w:rPr>
          <w:rFonts w:cstheme="minorHAnsi"/>
          <w:sz w:val="24"/>
          <w:szCs w:val="24"/>
          <w:lang w:val="el-GR"/>
        </w:rPr>
        <w:t>έχει</w:t>
      </w:r>
      <w:r w:rsidR="002A353D" w:rsidRPr="002A353D">
        <w:rPr>
          <w:rFonts w:cstheme="minorHAnsi"/>
          <w:sz w:val="24"/>
          <w:szCs w:val="24"/>
          <w:lang w:val="el-GR"/>
        </w:rPr>
        <w:t xml:space="preserve"> </w:t>
      </w:r>
      <w:r w:rsidR="002A353D">
        <w:rPr>
          <w:rFonts w:cstheme="minorHAnsi"/>
          <w:sz w:val="24"/>
          <w:szCs w:val="24"/>
          <w:lang w:val="el-GR"/>
        </w:rPr>
        <w:t>αλλάξει</w:t>
      </w:r>
      <w:r w:rsidR="002A353D" w:rsidRPr="002A353D">
        <w:rPr>
          <w:rFonts w:cstheme="minorHAnsi"/>
          <w:sz w:val="24"/>
          <w:szCs w:val="24"/>
          <w:lang w:val="el-GR"/>
        </w:rPr>
        <w:t xml:space="preserve"> </w:t>
      </w:r>
      <w:r w:rsidR="002A353D">
        <w:rPr>
          <w:rFonts w:cstheme="minorHAnsi"/>
          <w:sz w:val="24"/>
          <w:szCs w:val="24"/>
          <w:lang w:val="el-GR"/>
        </w:rPr>
        <w:t>πρόσφατα</w:t>
      </w:r>
      <w:r w:rsidR="00401434" w:rsidRPr="002A353D">
        <w:rPr>
          <w:rFonts w:cs="Calibri"/>
          <w:sz w:val="24"/>
          <w:szCs w:val="24"/>
          <w:lang w:val="el-GR"/>
        </w:rPr>
        <w:t xml:space="preserve"> </w:t>
      </w:r>
      <w:r w:rsidR="002A353D">
        <w:rPr>
          <w:rFonts w:cs="Calibri"/>
          <w:sz w:val="24"/>
          <w:szCs w:val="24"/>
          <w:lang w:val="el-GR"/>
        </w:rPr>
        <w:t>με</w:t>
      </w:r>
      <w:r w:rsidR="002A353D" w:rsidRPr="002A353D">
        <w:rPr>
          <w:rFonts w:cs="Calibri"/>
          <w:sz w:val="24"/>
          <w:szCs w:val="24"/>
          <w:lang w:val="el-GR"/>
        </w:rPr>
        <w:t xml:space="preserve"> </w:t>
      </w:r>
      <w:r w:rsidR="002A353D">
        <w:rPr>
          <w:rFonts w:cs="Calibri"/>
          <w:sz w:val="24"/>
          <w:szCs w:val="24"/>
          <w:lang w:val="el-GR"/>
        </w:rPr>
        <w:t>την</w:t>
      </w:r>
      <w:r w:rsidR="002A353D" w:rsidRPr="002A353D">
        <w:rPr>
          <w:rFonts w:cs="Calibri"/>
          <w:sz w:val="24"/>
          <w:szCs w:val="24"/>
          <w:lang w:val="el-GR"/>
        </w:rPr>
        <w:t xml:space="preserve"> </w:t>
      </w:r>
      <w:r w:rsidR="002A353D">
        <w:rPr>
          <w:rFonts w:cs="Calibri"/>
          <w:sz w:val="24"/>
          <w:szCs w:val="24"/>
          <w:lang w:val="el-GR"/>
        </w:rPr>
        <w:t>μεταρρύθμιση</w:t>
      </w:r>
      <w:r w:rsidR="002A353D" w:rsidRPr="002A353D">
        <w:rPr>
          <w:rFonts w:cs="Calibri"/>
          <w:sz w:val="24"/>
          <w:szCs w:val="24"/>
          <w:lang w:val="el-GR"/>
        </w:rPr>
        <w:t xml:space="preserve"> </w:t>
      </w:r>
      <w:r w:rsidR="002A353D">
        <w:rPr>
          <w:rFonts w:cs="Calibri"/>
          <w:sz w:val="24"/>
          <w:szCs w:val="24"/>
          <w:lang w:val="el-GR"/>
        </w:rPr>
        <w:t>στη</w:t>
      </w:r>
      <w:r w:rsidR="002A353D" w:rsidRPr="002A353D">
        <w:rPr>
          <w:rFonts w:cs="Calibri"/>
          <w:sz w:val="24"/>
          <w:szCs w:val="24"/>
          <w:lang w:val="el-GR"/>
        </w:rPr>
        <w:t xml:space="preserve"> </w:t>
      </w:r>
      <w:r w:rsidR="002A353D">
        <w:rPr>
          <w:rFonts w:cs="Calibri"/>
          <w:sz w:val="24"/>
          <w:szCs w:val="24"/>
          <w:lang w:val="el-GR"/>
        </w:rPr>
        <w:t>δικαστική</w:t>
      </w:r>
      <w:r w:rsidR="002A353D" w:rsidRPr="002A353D">
        <w:rPr>
          <w:rFonts w:cs="Calibri"/>
          <w:sz w:val="24"/>
          <w:szCs w:val="24"/>
          <w:lang w:val="el-GR"/>
        </w:rPr>
        <w:t xml:space="preserve"> </w:t>
      </w:r>
      <w:r w:rsidR="002A353D">
        <w:rPr>
          <w:rFonts w:cs="Calibri"/>
          <w:sz w:val="24"/>
          <w:szCs w:val="24"/>
          <w:lang w:val="el-GR"/>
        </w:rPr>
        <w:t>εξουσία</w:t>
      </w:r>
      <w:r w:rsidR="00401434" w:rsidRPr="002A353D">
        <w:rPr>
          <w:rFonts w:cs="Calibri"/>
          <w:sz w:val="24"/>
          <w:szCs w:val="24"/>
          <w:lang w:val="el-GR"/>
        </w:rPr>
        <w:t xml:space="preserve"> </w:t>
      </w:r>
      <w:r w:rsidR="002A353D">
        <w:rPr>
          <w:rFonts w:cs="Calibri"/>
          <w:sz w:val="24"/>
          <w:szCs w:val="24"/>
          <w:lang w:val="el-GR"/>
        </w:rPr>
        <w:t>όπου</w:t>
      </w:r>
      <w:r w:rsidR="002A353D" w:rsidRPr="002A353D">
        <w:rPr>
          <w:rFonts w:cs="Calibri"/>
          <w:sz w:val="24"/>
          <w:szCs w:val="24"/>
          <w:lang w:val="el-GR"/>
        </w:rPr>
        <w:t xml:space="preserve"> </w:t>
      </w:r>
      <w:r w:rsidR="002A353D">
        <w:rPr>
          <w:rFonts w:cs="Calibri"/>
          <w:sz w:val="24"/>
          <w:szCs w:val="24"/>
          <w:lang w:val="el-GR"/>
        </w:rPr>
        <w:t>οι</w:t>
      </w:r>
      <w:r w:rsidR="002A353D" w:rsidRPr="002A353D">
        <w:rPr>
          <w:rFonts w:cs="Calibri"/>
          <w:sz w:val="24"/>
          <w:szCs w:val="24"/>
          <w:lang w:val="el-GR"/>
        </w:rPr>
        <w:t xml:space="preserve"> </w:t>
      </w:r>
      <w:r w:rsidR="002A353D">
        <w:rPr>
          <w:rFonts w:cs="Calibri"/>
          <w:sz w:val="24"/>
          <w:szCs w:val="24"/>
          <w:lang w:val="el-GR"/>
        </w:rPr>
        <w:t>νόμοι</w:t>
      </w:r>
      <w:r w:rsidR="002A353D" w:rsidRPr="002A353D">
        <w:rPr>
          <w:rFonts w:cs="Calibri"/>
          <w:sz w:val="24"/>
          <w:szCs w:val="24"/>
          <w:lang w:val="el-GR"/>
        </w:rPr>
        <w:t xml:space="preserve"> </w:t>
      </w:r>
      <w:r w:rsidR="002A353D">
        <w:rPr>
          <w:rFonts w:cs="Calibri"/>
          <w:sz w:val="24"/>
          <w:szCs w:val="24"/>
          <w:lang w:val="el-GR"/>
        </w:rPr>
        <w:t>έχουν</w:t>
      </w:r>
      <w:r w:rsidR="002A353D" w:rsidRPr="002A353D">
        <w:rPr>
          <w:rFonts w:cs="Calibri"/>
          <w:sz w:val="24"/>
          <w:szCs w:val="24"/>
          <w:lang w:val="el-GR"/>
        </w:rPr>
        <w:t xml:space="preserve"> </w:t>
      </w:r>
      <w:r w:rsidR="002A353D">
        <w:rPr>
          <w:rFonts w:cs="Calibri"/>
          <w:sz w:val="24"/>
          <w:szCs w:val="24"/>
          <w:lang w:val="el-GR"/>
        </w:rPr>
        <w:t>θεσπισθεί</w:t>
      </w:r>
      <w:r w:rsidR="00401434" w:rsidRPr="002A353D">
        <w:rPr>
          <w:rFonts w:cs="Calibri"/>
          <w:sz w:val="24"/>
          <w:szCs w:val="24"/>
          <w:lang w:val="el-GR"/>
        </w:rPr>
        <w:t xml:space="preserve"> (</w:t>
      </w:r>
      <w:proofErr w:type="spellStart"/>
      <w:r w:rsidR="00401434" w:rsidRPr="00B95983">
        <w:rPr>
          <w:rFonts w:cs="Calibri"/>
          <w:sz w:val="24"/>
          <w:szCs w:val="24"/>
        </w:rPr>
        <w:t>i</w:t>
      </w:r>
      <w:proofErr w:type="spellEnd"/>
      <w:r w:rsidR="00401434" w:rsidRPr="002A353D">
        <w:rPr>
          <w:rFonts w:cs="Calibri"/>
          <w:sz w:val="24"/>
          <w:szCs w:val="24"/>
          <w:lang w:val="el-GR"/>
        </w:rPr>
        <w:t xml:space="preserve">) </w:t>
      </w:r>
      <w:r w:rsidR="002A353D">
        <w:rPr>
          <w:rFonts w:cs="Calibri"/>
          <w:sz w:val="24"/>
          <w:szCs w:val="24"/>
          <w:lang w:val="el-GR"/>
        </w:rPr>
        <w:t>ιδρύοντας</w:t>
      </w:r>
      <w:r w:rsidR="002A353D" w:rsidRPr="002A353D">
        <w:rPr>
          <w:rFonts w:cs="Calibri"/>
          <w:sz w:val="24"/>
          <w:szCs w:val="24"/>
          <w:lang w:val="el-GR"/>
        </w:rPr>
        <w:t xml:space="preserve"> </w:t>
      </w:r>
      <w:r w:rsidR="002A353D">
        <w:rPr>
          <w:rFonts w:cs="Calibri"/>
          <w:sz w:val="24"/>
          <w:szCs w:val="24"/>
          <w:lang w:val="el-GR"/>
        </w:rPr>
        <w:t>ένα</w:t>
      </w:r>
      <w:r w:rsidR="002A353D" w:rsidRPr="002A353D">
        <w:rPr>
          <w:rFonts w:cs="Calibri"/>
          <w:sz w:val="24"/>
          <w:szCs w:val="24"/>
          <w:lang w:val="el-GR"/>
        </w:rPr>
        <w:t xml:space="preserve"> </w:t>
      </w:r>
      <w:r w:rsidR="002A353D">
        <w:rPr>
          <w:rFonts w:cs="Calibri"/>
          <w:sz w:val="24"/>
          <w:szCs w:val="24"/>
          <w:lang w:val="el-GR"/>
        </w:rPr>
        <w:t>Δικαστήριο</w:t>
      </w:r>
      <w:r w:rsidR="002A353D" w:rsidRPr="002A353D">
        <w:rPr>
          <w:rFonts w:cs="Calibri"/>
          <w:sz w:val="24"/>
          <w:szCs w:val="24"/>
          <w:lang w:val="el-GR"/>
        </w:rPr>
        <w:t xml:space="preserve"> </w:t>
      </w:r>
      <w:r w:rsidR="002A353D">
        <w:rPr>
          <w:rFonts w:cs="Calibri"/>
          <w:sz w:val="24"/>
          <w:szCs w:val="24"/>
          <w:lang w:val="el-GR"/>
        </w:rPr>
        <w:t>Εφέσεων</w:t>
      </w:r>
      <w:r w:rsidR="00401434" w:rsidRPr="002A353D">
        <w:rPr>
          <w:rFonts w:cs="Calibri"/>
          <w:sz w:val="24"/>
          <w:szCs w:val="24"/>
          <w:lang w:val="el-GR"/>
        </w:rPr>
        <w:t xml:space="preserve"> </w:t>
      </w:r>
      <w:r w:rsidR="002A353D">
        <w:rPr>
          <w:rFonts w:cs="Calibri"/>
          <w:sz w:val="24"/>
          <w:szCs w:val="24"/>
          <w:lang w:val="el-GR"/>
        </w:rPr>
        <w:t>που</w:t>
      </w:r>
      <w:r w:rsidR="002A353D" w:rsidRPr="002A353D">
        <w:rPr>
          <w:rFonts w:cs="Calibri"/>
          <w:sz w:val="24"/>
          <w:szCs w:val="24"/>
          <w:lang w:val="el-GR"/>
        </w:rPr>
        <w:t xml:space="preserve"> </w:t>
      </w:r>
      <w:r w:rsidR="002A353D">
        <w:rPr>
          <w:rFonts w:cs="Calibri"/>
          <w:sz w:val="24"/>
          <w:szCs w:val="24"/>
          <w:lang w:val="el-GR"/>
        </w:rPr>
        <w:t>ασχολείται</w:t>
      </w:r>
      <w:r w:rsidR="002A353D" w:rsidRPr="002A353D">
        <w:rPr>
          <w:rFonts w:cs="Calibri"/>
          <w:sz w:val="24"/>
          <w:szCs w:val="24"/>
          <w:lang w:val="el-GR"/>
        </w:rPr>
        <w:t xml:space="preserve"> </w:t>
      </w:r>
      <w:r w:rsidR="002A353D">
        <w:rPr>
          <w:rFonts w:cs="Calibri"/>
          <w:sz w:val="24"/>
          <w:szCs w:val="24"/>
          <w:lang w:val="el-GR"/>
        </w:rPr>
        <w:t>με</w:t>
      </w:r>
      <w:r w:rsidR="002A353D" w:rsidRPr="002A353D">
        <w:rPr>
          <w:rFonts w:cs="Calibri"/>
          <w:sz w:val="24"/>
          <w:szCs w:val="24"/>
          <w:lang w:val="el-GR"/>
        </w:rPr>
        <w:t xml:space="preserve"> </w:t>
      </w:r>
      <w:r w:rsidR="002A353D">
        <w:rPr>
          <w:rFonts w:cs="Calibri"/>
          <w:sz w:val="24"/>
          <w:szCs w:val="24"/>
          <w:lang w:val="el-GR"/>
        </w:rPr>
        <w:t>πολιτικές</w:t>
      </w:r>
      <w:r w:rsidR="002A353D" w:rsidRPr="002A353D">
        <w:rPr>
          <w:rFonts w:cs="Calibri"/>
          <w:sz w:val="24"/>
          <w:szCs w:val="24"/>
          <w:lang w:val="el-GR"/>
        </w:rPr>
        <w:t xml:space="preserve">, </w:t>
      </w:r>
      <w:r w:rsidR="002A353D">
        <w:rPr>
          <w:rFonts w:cs="Calibri"/>
          <w:sz w:val="24"/>
          <w:szCs w:val="24"/>
          <w:lang w:val="el-GR"/>
        </w:rPr>
        <w:t>ποινικές</w:t>
      </w:r>
      <w:r w:rsidR="002A353D" w:rsidRPr="002A353D">
        <w:rPr>
          <w:rFonts w:cs="Calibri"/>
          <w:sz w:val="24"/>
          <w:szCs w:val="24"/>
          <w:lang w:val="el-GR"/>
        </w:rPr>
        <w:t xml:space="preserve"> </w:t>
      </w:r>
      <w:r w:rsidR="002A353D">
        <w:rPr>
          <w:rFonts w:cs="Calibri"/>
          <w:sz w:val="24"/>
          <w:szCs w:val="24"/>
          <w:lang w:val="el-GR"/>
        </w:rPr>
        <w:t>και</w:t>
      </w:r>
      <w:r w:rsidR="002A353D" w:rsidRPr="002A353D">
        <w:rPr>
          <w:rFonts w:cs="Calibri"/>
          <w:sz w:val="24"/>
          <w:szCs w:val="24"/>
          <w:lang w:val="el-GR"/>
        </w:rPr>
        <w:t xml:space="preserve"> </w:t>
      </w:r>
      <w:r w:rsidR="002A353D">
        <w:rPr>
          <w:rFonts w:cs="Calibri"/>
          <w:sz w:val="24"/>
          <w:szCs w:val="24"/>
          <w:lang w:val="el-GR"/>
        </w:rPr>
        <w:t>διοικητικές</w:t>
      </w:r>
      <w:r w:rsidR="002A353D" w:rsidRPr="002A353D">
        <w:rPr>
          <w:rFonts w:cs="Calibri"/>
          <w:sz w:val="24"/>
          <w:szCs w:val="24"/>
          <w:lang w:val="el-GR"/>
        </w:rPr>
        <w:t xml:space="preserve"> </w:t>
      </w:r>
      <w:r w:rsidR="009D72CD">
        <w:rPr>
          <w:rFonts w:cs="Calibri"/>
          <w:sz w:val="24"/>
          <w:szCs w:val="24"/>
          <w:lang w:val="el-GR"/>
        </w:rPr>
        <w:t xml:space="preserve">δευτεροβάθμιες </w:t>
      </w:r>
      <w:r w:rsidR="002A353D">
        <w:rPr>
          <w:rFonts w:cs="Calibri"/>
          <w:sz w:val="24"/>
          <w:szCs w:val="24"/>
          <w:lang w:val="el-GR"/>
        </w:rPr>
        <w:t>υποθέσεις</w:t>
      </w:r>
      <w:r w:rsidR="009D72CD">
        <w:rPr>
          <w:rFonts w:cs="Calibri"/>
          <w:sz w:val="24"/>
          <w:szCs w:val="24"/>
          <w:lang w:val="el-GR"/>
        </w:rPr>
        <w:t xml:space="preserve"> </w:t>
      </w:r>
      <w:r w:rsidR="00401434" w:rsidRPr="002A353D">
        <w:rPr>
          <w:rFonts w:cs="Calibri"/>
          <w:sz w:val="24"/>
          <w:szCs w:val="24"/>
          <w:lang w:val="el-GR"/>
        </w:rPr>
        <w:t xml:space="preserve">(16 </w:t>
      </w:r>
      <w:r w:rsidR="002A353D">
        <w:rPr>
          <w:rFonts w:cs="Calibri"/>
          <w:sz w:val="24"/>
          <w:szCs w:val="24"/>
          <w:lang w:val="el-GR"/>
        </w:rPr>
        <w:t>δικαστές</w:t>
      </w:r>
      <w:r w:rsidR="00401434" w:rsidRPr="002A353D">
        <w:rPr>
          <w:rFonts w:cs="Calibri"/>
          <w:sz w:val="24"/>
          <w:szCs w:val="24"/>
          <w:lang w:val="el-GR"/>
        </w:rPr>
        <w:t xml:space="preserve">) </w:t>
      </w:r>
      <w:r w:rsidR="002A353D">
        <w:rPr>
          <w:rFonts w:cs="Calibri"/>
          <w:sz w:val="24"/>
          <w:szCs w:val="24"/>
          <w:lang w:val="el-GR"/>
        </w:rPr>
        <w:t>και</w:t>
      </w:r>
      <w:r w:rsidR="00401434" w:rsidRPr="002A353D">
        <w:rPr>
          <w:rFonts w:cs="Calibri"/>
          <w:sz w:val="24"/>
          <w:szCs w:val="24"/>
          <w:lang w:val="el-GR"/>
        </w:rPr>
        <w:t xml:space="preserve"> (</w:t>
      </w:r>
      <w:r w:rsidR="00401434" w:rsidRPr="00B95983">
        <w:rPr>
          <w:rFonts w:cs="Calibri"/>
          <w:sz w:val="24"/>
          <w:szCs w:val="24"/>
        </w:rPr>
        <w:t>ii</w:t>
      </w:r>
      <w:r w:rsidR="00401434" w:rsidRPr="002A353D">
        <w:rPr>
          <w:rFonts w:cs="Calibri"/>
          <w:sz w:val="24"/>
          <w:szCs w:val="24"/>
          <w:lang w:val="el-GR"/>
        </w:rPr>
        <w:t xml:space="preserve">) </w:t>
      </w:r>
      <w:r w:rsidR="002A353D">
        <w:rPr>
          <w:rFonts w:cs="Calibri"/>
          <w:sz w:val="24"/>
          <w:szCs w:val="24"/>
          <w:lang w:val="el-GR"/>
        </w:rPr>
        <w:t xml:space="preserve">προβλέποντας την λειτουργία του </w:t>
      </w:r>
      <w:proofErr w:type="spellStart"/>
      <w:r w:rsidR="002A353D">
        <w:rPr>
          <w:rFonts w:cs="Calibri"/>
          <w:sz w:val="24"/>
          <w:szCs w:val="24"/>
          <w:lang w:val="el-GR"/>
        </w:rPr>
        <w:t>Αν</w:t>
      </w:r>
      <w:r w:rsidR="009D72CD">
        <w:rPr>
          <w:rFonts w:cs="Calibri"/>
          <w:sz w:val="24"/>
          <w:szCs w:val="24"/>
          <w:lang w:val="el-GR"/>
        </w:rPr>
        <w:t>ω</w:t>
      </w:r>
      <w:r w:rsidR="002A353D">
        <w:rPr>
          <w:rFonts w:cs="Calibri"/>
          <w:sz w:val="24"/>
          <w:szCs w:val="24"/>
          <w:lang w:val="el-GR"/>
        </w:rPr>
        <w:t>τ</w:t>
      </w:r>
      <w:r w:rsidR="009D72CD">
        <w:rPr>
          <w:rFonts w:cs="Calibri"/>
          <w:sz w:val="24"/>
          <w:szCs w:val="24"/>
          <w:lang w:val="el-GR"/>
        </w:rPr>
        <w:t>ά</w:t>
      </w:r>
      <w:r w:rsidR="002A353D">
        <w:rPr>
          <w:rFonts w:cs="Calibri"/>
          <w:sz w:val="24"/>
          <w:szCs w:val="24"/>
          <w:lang w:val="el-GR"/>
        </w:rPr>
        <w:t>του</w:t>
      </w:r>
      <w:proofErr w:type="spellEnd"/>
      <w:r w:rsidR="002A353D">
        <w:rPr>
          <w:rFonts w:cs="Calibri"/>
          <w:sz w:val="24"/>
          <w:szCs w:val="24"/>
          <w:lang w:val="el-GR"/>
        </w:rPr>
        <w:t xml:space="preserve"> Συνταγματικού Δικαστηρίου</w:t>
      </w:r>
      <w:r w:rsidR="00401434" w:rsidRPr="002A353D">
        <w:rPr>
          <w:rFonts w:cs="Calibri"/>
          <w:sz w:val="24"/>
          <w:szCs w:val="24"/>
          <w:lang w:val="el-GR"/>
        </w:rPr>
        <w:t xml:space="preserve"> (</w:t>
      </w:r>
      <w:r w:rsidR="002A353D">
        <w:rPr>
          <w:rFonts w:cs="Calibri"/>
          <w:sz w:val="24"/>
          <w:szCs w:val="24"/>
          <w:lang w:val="el-GR"/>
        </w:rPr>
        <w:t>που αποτελείται από εννέα δικαστές</w:t>
      </w:r>
      <w:r w:rsidR="00401434" w:rsidRPr="002A353D">
        <w:rPr>
          <w:rFonts w:cs="Calibri"/>
          <w:sz w:val="24"/>
          <w:szCs w:val="24"/>
          <w:lang w:val="el-GR"/>
        </w:rPr>
        <w:t xml:space="preserve">) </w:t>
      </w:r>
      <w:r w:rsidR="002A353D">
        <w:rPr>
          <w:rFonts w:cs="Calibri"/>
          <w:sz w:val="24"/>
          <w:szCs w:val="24"/>
          <w:lang w:val="el-GR"/>
        </w:rPr>
        <w:t xml:space="preserve">και του </w:t>
      </w:r>
      <w:proofErr w:type="spellStart"/>
      <w:r w:rsidR="002A353D">
        <w:rPr>
          <w:rFonts w:cs="Calibri"/>
          <w:sz w:val="24"/>
          <w:szCs w:val="24"/>
          <w:lang w:val="el-GR"/>
        </w:rPr>
        <w:t>Ανωτάτου</w:t>
      </w:r>
      <w:proofErr w:type="spellEnd"/>
      <w:r w:rsidR="002A353D">
        <w:rPr>
          <w:rFonts w:cs="Calibri"/>
          <w:sz w:val="24"/>
          <w:szCs w:val="24"/>
          <w:lang w:val="el-GR"/>
        </w:rPr>
        <w:t xml:space="preserve"> Δικαστηρίου</w:t>
      </w:r>
      <w:r w:rsidR="00401434" w:rsidRPr="002A353D">
        <w:rPr>
          <w:rFonts w:cs="Calibri"/>
          <w:sz w:val="24"/>
          <w:szCs w:val="24"/>
          <w:lang w:val="el-GR"/>
        </w:rPr>
        <w:t xml:space="preserve"> (</w:t>
      </w:r>
      <w:r w:rsidR="002A353D">
        <w:rPr>
          <w:rFonts w:cs="Calibri"/>
          <w:sz w:val="24"/>
          <w:szCs w:val="24"/>
          <w:lang w:val="el-GR"/>
        </w:rPr>
        <w:t>που αποτελείται από επτά δικαστές</w:t>
      </w:r>
      <w:r w:rsidR="00401434" w:rsidRPr="002A353D">
        <w:rPr>
          <w:rFonts w:cs="Calibri"/>
          <w:sz w:val="24"/>
          <w:szCs w:val="24"/>
          <w:lang w:val="el-GR"/>
        </w:rPr>
        <w:t xml:space="preserve">), </w:t>
      </w:r>
      <w:r w:rsidR="002A353D">
        <w:rPr>
          <w:rFonts w:cs="Calibri"/>
          <w:sz w:val="24"/>
          <w:szCs w:val="24"/>
          <w:lang w:val="el-GR"/>
        </w:rPr>
        <w:t>παρέχοντας μια επιπρόσθετη τριτοβάθμια δικαιοδοσία</w:t>
      </w:r>
      <w:r w:rsidR="00401434" w:rsidRPr="002A353D">
        <w:rPr>
          <w:rFonts w:cs="Calibri"/>
          <w:sz w:val="24"/>
          <w:szCs w:val="24"/>
          <w:lang w:val="el-GR"/>
        </w:rPr>
        <w:t xml:space="preserve"> </w:t>
      </w:r>
      <w:r w:rsidR="002A353D">
        <w:rPr>
          <w:rFonts w:cs="Calibri"/>
          <w:sz w:val="24"/>
          <w:szCs w:val="24"/>
          <w:lang w:val="el-GR"/>
        </w:rPr>
        <w:t>στα δύο αυτά δικαστήρια</w:t>
      </w:r>
      <w:r w:rsidR="00401434" w:rsidRPr="002A353D">
        <w:rPr>
          <w:rFonts w:cs="Calibri"/>
          <w:sz w:val="24"/>
          <w:szCs w:val="24"/>
          <w:lang w:val="el-GR"/>
        </w:rPr>
        <w:t xml:space="preserve">. </w:t>
      </w:r>
      <w:r w:rsidR="002A353D">
        <w:rPr>
          <w:rFonts w:cs="Calibri"/>
          <w:sz w:val="24"/>
          <w:szCs w:val="24"/>
          <w:lang w:val="el-GR"/>
        </w:rPr>
        <w:t>Αυτά</w:t>
      </w:r>
      <w:r w:rsidR="002A353D" w:rsidRPr="002A353D">
        <w:rPr>
          <w:rFonts w:cs="Calibri"/>
          <w:sz w:val="24"/>
          <w:szCs w:val="24"/>
          <w:lang w:val="el-GR"/>
        </w:rPr>
        <w:t xml:space="preserve"> </w:t>
      </w:r>
      <w:r w:rsidR="002A353D">
        <w:rPr>
          <w:rFonts w:cs="Calibri"/>
          <w:sz w:val="24"/>
          <w:szCs w:val="24"/>
          <w:lang w:val="el-GR"/>
        </w:rPr>
        <w:t>τα</w:t>
      </w:r>
      <w:r w:rsidR="002A353D" w:rsidRPr="002A353D">
        <w:rPr>
          <w:rFonts w:cs="Calibri"/>
          <w:sz w:val="24"/>
          <w:szCs w:val="24"/>
          <w:lang w:val="el-GR"/>
        </w:rPr>
        <w:t xml:space="preserve"> </w:t>
      </w:r>
      <w:r w:rsidR="002A353D">
        <w:rPr>
          <w:rFonts w:cs="Calibri"/>
          <w:sz w:val="24"/>
          <w:szCs w:val="24"/>
          <w:lang w:val="el-GR"/>
        </w:rPr>
        <w:t>δικαστήρια</w:t>
      </w:r>
      <w:r w:rsidR="00401434" w:rsidRPr="002A353D">
        <w:rPr>
          <w:rFonts w:cs="Calibri"/>
          <w:sz w:val="24"/>
          <w:szCs w:val="24"/>
          <w:lang w:val="el-GR"/>
        </w:rPr>
        <w:t xml:space="preserve"> </w:t>
      </w:r>
      <w:r w:rsidR="002A353D">
        <w:rPr>
          <w:rFonts w:cs="Calibri"/>
          <w:sz w:val="24"/>
          <w:szCs w:val="24"/>
          <w:lang w:val="el-GR"/>
        </w:rPr>
        <w:t>θα</w:t>
      </w:r>
      <w:r w:rsidR="002A353D" w:rsidRPr="002A353D">
        <w:rPr>
          <w:rFonts w:cs="Calibri"/>
          <w:sz w:val="24"/>
          <w:szCs w:val="24"/>
          <w:lang w:val="el-GR"/>
        </w:rPr>
        <w:t xml:space="preserve"> </w:t>
      </w:r>
      <w:r w:rsidR="002A353D">
        <w:rPr>
          <w:rFonts w:cs="Calibri"/>
          <w:sz w:val="24"/>
          <w:szCs w:val="24"/>
          <w:lang w:val="el-GR"/>
        </w:rPr>
        <w:t>λειτουργήσουν</w:t>
      </w:r>
      <w:r w:rsidR="002A353D" w:rsidRPr="002A353D">
        <w:rPr>
          <w:rFonts w:cs="Calibri"/>
          <w:sz w:val="24"/>
          <w:szCs w:val="24"/>
          <w:lang w:val="el-GR"/>
        </w:rPr>
        <w:t xml:space="preserve"> </w:t>
      </w:r>
      <w:r w:rsidR="002A353D">
        <w:rPr>
          <w:rFonts w:cs="Calibri"/>
          <w:sz w:val="24"/>
          <w:szCs w:val="24"/>
          <w:lang w:val="el-GR"/>
        </w:rPr>
        <w:t xml:space="preserve">από την </w:t>
      </w:r>
      <w:r w:rsidR="00401434" w:rsidRPr="002A353D">
        <w:rPr>
          <w:rFonts w:cs="Calibri"/>
          <w:sz w:val="24"/>
          <w:szCs w:val="24"/>
          <w:lang w:val="el-GR"/>
        </w:rPr>
        <w:t>1</w:t>
      </w:r>
      <w:r w:rsidR="002A353D" w:rsidRPr="002A353D">
        <w:rPr>
          <w:rFonts w:cs="Calibri"/>
          <w:sz w:val="24"/>
          <w:szCs w:val="24"/>
          <w:vertAlign w:val="superscript"/>
          <w:lang w:val="el-GR"/>
        </w:rPr>
        <w:t>η</w:t>
      </w:r>
      <w:r w:rsidR="002A353D">
        <w:rPr>
          <w:rFonts w:cs="Calibri"/>
          <w:sz w:val="24"/>
          <w:szCs w:val="24"/>
          <w:lang w:val="el-GR"/>
        </w:rPr>
        <w:t xml:space="preserve"> Ιουλίου</w:t>
      </w:r>
      <w:r w:rsidR="00401434" w:rsidRPr="00DC564B">
        <w:rPr>
          <w:rFonts w:cs="Calibri"/>
          <w:sz w:val="24"/>
          <w:szCs w:val="24"/>
        </w:rPr>
        <w:t> </w:t>
      </w:r>
      <w:r w:rsidR="00401434" w:rsidRPr="002A353D">
        <w:rPr>
          <w:rFonts w:cs="Calibri"/>
          <w:sz w:val="24"/>
          <w:szCs w:val="24"/>
          <w:lang w:val="el-GR"/>
        </w:rPr>
        <w:t>202</w:t>
      </w:r>
      <w:bookmarkEnd w:id="30"/>
      <w:r w:rsidR="00DC564B" w:rsidRPr="002A353D">
        <w:rPr>
          <w:rFonts w:cs="Calibri"/>
          <w:sz w:val="24"/>
          <w:szCs w:val="24"/>
          <w:lang w:val="el-GR"/>
        </w:rPr>
        <w:t xml:space="preserve">3 </w:t>
      </w:r>
      <w:r w:rsidR="00DC564B" w:rsidRPr="002A353D">
        <w:rPr>
          <w:rFonts w:cstheme="minorHAnsi"/>
          <w:sz w:val="24"/>
          <w:szCs w:val="24"/>
          <w:lang w:val="el-GR"/>
        </w:rPr>
        <w:t>(17</w:t>
      </w:r>
      <w:r w:rsidR="002A353D" w:rsidRPr="002A353D">
        <w:rPr>
          <w:rFonts w:cstheme="minorHAnsi"/>
          <w:sz w:val="24"/>
          <w:szCs w:val="24"/>
          <w:vertAlign w:val="superscript"/>
          <w:lang w:val="el-GR"/>
        </w:rPr>
        <w:t>η</w:t>
      </w:r>
      <w:r w:rsidR="002A353D">
        <w:rPr>
          <w:rFonts w:cstheme="minorHAnsi"/>
          <w:sz w:val="24"/>
          <w:szCs w:val="24"/>
          <w:lang w:val="el-GR"/>
        </w:rPr>
        <w:t xml:space="preserve"> Συνταγματική Τροποποίηση</w:t>
      </w:r>
      <w:r w:rsidR="00DC564B" w:rsidRPr="002A353D">
        <w:rPr>
          <w:rFonts w:cstheme="minorHAnsi"/>
          <w:sz w:val="24"/>
          <w:szCs w:val="24"/>
          <w:lang w:val="el-GR"/>
        </w:rPr>
        <w:t xml:space="preserve">, </w:t>
      </w:r>
      <w:r w:rsidR="002A353D">
        <w:rPr>
          <w:rFonts w:cstheme="minorHAnsi"/>
          <w:sz w:val="24"/>
          <w:szCs w:val="24"/>
          <w:lang w:val="el-GR"/>
        </w:rPr>
        <w:t>Νόμοι</w:t>
      </w:r>
      <w:r w:rsidR="00DC564B" w:rsidRPr="002A353D">
        <w:rPr>
          <w:rFonts w:cstheme="minorHAnsi"/>
          <w:sz w:val="24"/>
          <w:szCs w:val="24"/>
          <w:lang w:val="el-GR"/>
        </w:rPr>
        <w:t xml:space="preserve"> 145(</w:t>
      </w:r>
      <w:r w:rsidR="00DC564B" w:rsidRPr="00DC564B">
        <w:rPr>
          <w:rFonts w:cstheme="minorHAnsi"/>
          <w:sz w:val="24"/>
          <w:szCs w:val="24"/>
        </w:rPr>
        <w:t>I</w:t>
      </w:r>
      <w:r w:rsidR="00DC564B" w:rsidRPr="002A353D">
        <w:rPr>
          <w:rFonts w:cstheme="minorHAnsi"/>
          <w:sz w:val="24"/>
          <w:szCs w:val="24"/>
          <w:lang w:val="el-GR"/>
        </w:rPr>
        <w:t>)/2022, 146(</w:t>
      </w:r>
      <w:r w:rsidR="00DC564B" w:rsidRPr="00DC564B">
        <w:rPr>
          <w:rFonts w:cstheme="minorHAnsi"/>
          <w:sz w:val="24"/>
          <w:szCs w:val="24"/>
        </w:rPr>
        <w:t>I</w:t>
      </w:r>
      <w:r w:rsidR="00DC564B" w:rsidRPr="002A353D">
        <w:rPr>
          <w:rFonts w:cstheme="minorHAnsi"/>
          <w:sz w:val="24"/>
          <w:szCs w:val="24"/>
          <w:lang w:val="el-GR"/>
        </w:rPr>
        <w:t xml:space="preserve">)/2022 </w:t>
      </w:r>
      <w:r w:rsidR="002A353D">
        <w:rPr>
          <w:rFonts w:cstheme="minorHAnsi"/>
          <w:sz w:val="24"/>
          <w:szCs w:val="24"/>
          <w:lang w:val="el-GR"/>
        </w:rPr>
        <w:t>και</w:t>
      </w:r>
      <w:r w:rsidR="00DC564B" w:rsidRPr="002A353D">
        <w:rPr>
          <w:rFonts w:cstheme="minorHAnsi"/>
          <w:sz w:val="24"/>
          <w:szCs w:val="24"/>
          <w:lang w:val="el-GR"/>
        </w:rPr>
        <w:t xml:space="preserve"> 222(</w:t>
      </w:r>
      <w:r w:rsidR="00DC564B" w:rsidRPr="00DC564B">
        <w:rPr>
          <w:rFonts w:cstheme="minorHAnsi"/>
          <w:sz w:val="24"/>
          <w:szCs w:val="24"/>
        </w:rPr>
        <w:t>I</w:t>
      </w:r>
      <w:r w:rsidR="00DC564B" w:rsidRPr="002A353D">
        <w:rPr>
          <w:rFonts w:cstheme="minorHAnsi"/>
          <w:sz w:val="24"/>
          <w:szCs w:val="24"/>
          <w:lang w:val="el-GR"/>
        </w:rPr>
        <w:t>)/2022).</w:t>
      </w:r>
      <w:bookmarkEnd w:id="29"/>
      <w:r w:rsidR="00DC564B" w:rsidRPr="002A353D">
        <w:rPr>
          <w:rFonts w:cstheme="minorHAnsi"/>
          <w:lang w:val="el-GR"/>
        </w:rPr>
        <w:t xml:space="preserve"> </w:t>
      </w:r>
    </w:p>
    <w:p w14:paraId="0E8BC08E" w14:textId="77777777" w:rsidR="00A5147D" w:rsidRPr="002A353D" w:rsidRDefault="00A5147D" w:rsidP="00A5147D">
      <w:pPr>
        <w:rPr>
          <w:rFonts w:cstheme="minorHAnsi"/>
          <w:sz w:val="24"/>
          <w:szCs w:val="24"/>
          <w:lang w:val="el-GR"/>
        </w:rPr>
      </w:pPr>
    </w:p>
    <w:p w14:paraId="2266B1C6" w14:textId="1E7FB8ED" w:rsidR="00A5147D" w:rsidRPr="004E251E" w:rsidRDefault="002A353D" w:rsidP="00A5147D">
      <w:pPr>
        <w:pStyle w:val="Heading3"/>
        <w:spacing w:before="0"/>
        <w:rPr>
          <w:rFonts w:asciiTheme="minorHAnsi" w:hAnsiTheme="minorHAnsi" w:cstheme="minorHAnsi"/>
          <w:b w:val="0"/>
          <w:bCs w:val="0"/>
          <w:i/>
          <w:iCs/>
          <w:color w:val="auto"/>
          <w:sz w:val="24"/>
          <w:szCs w:val="24"/>
        </w:rPr>
      </w:pPr>
      <w:bookmarkStart w:id="31" w:name="_Toc117264340"/>
      <w:bookmarkStart w:id="32" w:name="_Toc136879339"/>
      <w:r>
        <w:rPr>
          <w:rFonts w:asciiTheme="minorHAnsi" w:hAnsiTheme="minorHAnsi" w:cstheme="minorHAnsi"/>
          <w:b w:val="0"/>
          <w:bCs w:val="0"/>
          <w:i/>
          <w:iCs/>
          <w:color w:val="auto"/>
          <w:sz w:val="24"/>
          <w:szCs w:val="24"/>
          <w:lang w:val="el-GR"/>
        </w:rPr>
        <w:t>Ο Πρόεδρος</w:t>
      </w:r>
      <w:bookmarkEnd w:id="31"/>
      <w:bookmarkEnd w:id="32"/>
      <w:r w:rsidR="00A5147D" w:rsidRPr="004E251E">
        <w:rPr>
          <w:rFonts w:asciiTheme="minorHAnsi" w:hAnsiTheme="minorHAnsi" w:cstheme="minorHAnsi"/>
          <w:b w:val="0"/>
          <w:bCs w:val="0"/>
          <w:i/>
          <w:iCs/>
          <w:color w:val="auto"/>
          <w:sz w:val="24"/>
          <w:szCs w:val="24"/>
        </w:rPr>
        <w:t xml:space="preserve"> </w:t>
      </w:r>
    </w:p>
    <w:p w14:paraId="58BEB685" w14:textId="77777777" w:rsidR="00A5147D" w:rsidRPr="004E251E" w:rsidRDefault="00A5147D" w:rsidP="00A5147D"/>
    <w:p w14:paraId="276CF1FF" w14:textId="3137AE0D" w:rsidR="00A5147D" w:rsidRPr="00EB2D7E" w:rsidRDefault="00A5147D" w:rsidP="00A5147D">
      <w:pPr>
        <w:numPr>
          <w:ilvl w:val="0"/>
          <w:numId w:val="1"/>
        </w:numPr>
        <w:tabs>
          <w:tab w:val="clear" w:pos="6095"/>
          <w:tab w:val="left" w:pos="709"/>
        </w:tabs>
        <w:autoSpaceDE w:val="0"/>
        <w:autoSpaceDN w:val="0"/>
        <w:adjustRightInd w:val="0"/>
        <w:ind w:left="0" w:firstLine="0"/>
        <w:rPr>
          <w:rFonts w:cstheme="minorHAnsi"/>
          <w:sz w:val="24"/>
          <w:szCs w:val="24"/>
          <w:lang w:val="el-GR"/>
        </w:rPr>
      </w:pPr>
      <w:r w:rsidRPr="004E251E">
        <w:rPr>
          <w:rFonts w:ascii="Arial" w:eastAsia="Times New Roman" w:hAnsi="Arial" w:cs="Arial"/>
          <w:color w:val="000000"/>
          <w:sz w:val="20"/>
          <w:szCs w:val="20"/>
          <w:lang w:eastAsia="fr-FR"/>
        </w:rPr>
        <w:t> </w:t>
      </w:r>
      <w:r w:rsidR="002A353D">
        <w:rPr>
          <w:rFonts w:ascii="Arial" w:eastAsia="Times New Roman" w:hAnsi="Arial" w:cs="Arial"/>
          <w:color w:val="000000"/>
          <w:sz w:val="20"/>
          <w:szCs w:val="20"/>
          <w:lang w:val="el-GR" w:eastAsia="fr-FR"/>
        </w:rPr>
        <w:t>Ο</w:t>
      </w:r>
      <w:r w:rsidRPr="002A353D">
        <w:rPr>
          <w:rFonts w:cstheme="minorHAnsi"/>
          <w:sz w:val="24"/>
          <w:szCs w:val="24"/>
          <w:lang w:val="el-GR"/>
        </w:rPr>
        <w:t xml:space="preserve"> </w:t>
      </w:r>
      <w:r w:rsidR="002A353D">
        <w:rPr>
          <w:rFonts w:cstheme="minorHAnsi"/>
          <w:sz w:val="24"/>
          <w:szCs w:val="24"/>
          <w:u w:val="single"/>
          <w:lang w:val="el-GR"/>
        </w:rPr>
        <w:t>Πρόεδρος</w:t>
      </w:r>
      <w:r w:rsidRPr="002A353D">
        <w:rPr>
          <w:rFonts w:cstheme="minorHAnsi"/>
          <w:sz w:val="24"/>
          <w:szCs w:val="24"/>
          <w:lang w:val="el-GR"/>
        </w:rPr>
        <w:t xml:space="preserve"> </w:t>
      </w:r>
      <w:r w:rsidR="002A353D">
        <w:rPr>
          <w:rFonts w:cstheme="minorHAnsi"/>
          <w:sz w:val="24"/>
          <w:szCs w:val="24"/>
          <w:lang w:val="el-GR"/>
        </w:rPr>
        <w:t>είναι</w:t>
      </w:r>
      <w:r w:rsidR="002A353D" w:rsidRPr="002A353D">
        <w:rPr>
          <w:rFonts w:cstheme="minorHAnsi"/>
          <w:sz w:val="24"/>
          <w:szCs w:val="24"/>
          <w:lang w:val="el-GR"/>
        </w:rPr>
        <w:t xml:space="preserve"> </w:t>
      </w:r>
      <w:r w:rsidR="002A353D">
        <w:rPr>
          <w:rFonts w:cstheme="minorHAnsi"/>
          <w:sz w:val="24"/>
          <w:szCs w:val="24"/>
          <w:lang w:val="el-GR"/>
        </w:rPr>
        <w:t>και</w:t>
      </w:r>
      <w:r w:rsidR="002A353D" w:rsidRPr="002A353D">
        <w:rPr>
          <w:rFonts w:cstheme="minorHAnsi"/>
          <w:sz w:val="24"/>
          <w:szCs w:val="24"/>
          <w:lang w:val="el-GR"/>
        </w:rPr>
        <w:t xml:space="preserve"> </w:t>
      </w:r>
      <w:r w:rsidR="002A353D">
        <w:rPr>
          <w:rFonts w:cstheme="minorHAnsi"/>
          <w:sz w:val="24"/>
          <w:szCs w:val="24"/>
          <w:lang w:val="el-GR"/>
        </w:rPr>
        <w:t>ο</w:t>
      </w:r>
      <w:r w:rsidR="002A353D" w:rsidRPr="002A353D">
        <w:rPr>
          <w:rFonts w:cstheme="minorHAnsi"/>
          <w:sz w:val="24"/>
          <w:szCs w:val="24"/>
          <w:lang w:val="el-GR"/>
        </w:rPr>
        <w:t xml:space="preserve"> </w:t>
      </w:r>
      <w:r w:rsidR="002A353D">
        <w:rPr>
          <w:rFonts w:cstheme="minorHAnsi"/>
          <w:sz w:val="24"/>
          <w:szCs w:val="24"/>
          <w:lang w:val="el-GR"/>
        </w:rPr>
        <w:t>Αρχηγός</w:t>
      </w:r>
      <w:r w:rsidR="002A353D" w:rsidRPr="002A353D">
        <w:rPr>
          <w:rFonts w:cstheme="minorHAnsi"/>
          <w:sz w:val="24"/>
          <w:szCs w:val="24"/>
          <w:lang w:val="el-GR"/>
        </w:rPr>
        <w:t xml:space="preserve"> </w:t>
      </w:r>
      <w:r w:rsidR="002A353D">
        <w:rPr>
          <w:rFonts w:cstheme="minorHAnsi"/>
          <w:sz w:val="24"/>
          <w:szCs w:val="24"/>
          <w:lang w:val="el-GR"/>
        </w:rPr>
        <w:t>του</w:t>
      </w:r>
      <w:r w:rsidR="002A353D" w:rsidRPr="002A353D">
        <w:rPr>
          <w:rFonts w:cstheme="minorHAnsi"/>
          <w:sz w:val="24"/>
          <w:szCs w:val="24"/>
          <w:lang w:val="el-GR"/>
        </w:rPr>
        <w:t xml:space="preserve"> </w:t>
      </w:r>
      <w:r w:rsidR="002A353D">
        <w:rPr>
          <w:rFonts w:cstheme="minorHAnsi"/>
          <w:sz w:val="24"/>
          <w:szCs w:val="24"/>
          <w:lang w:val="el-GR"/>
        </w:rPr>
        <w:t>Κράτο</w:t>
      </w:r>
      <w:r w:rsidR="00F751A6">
        <w:rPr>
          <w:rFonts w:cstheme="minorHAnsi"/>
          <w:sz w:val="24"/>
          <w:szCs w:val="24"/>
          <w:lang w:val="el-GR"/>
        </w:rPr>
        <w:t>υ</w:t>
      </w:r>
      <w:r w:rsidR="002A353D">
        <w:rPr>
          <w:rFonts w:cstheme="minorHAnsi"/>
          <w:sz w:val="24"/>
          <w:szCs w:val="24"/>
          <w:lang w:val="el-GR"/>
        </w:rPr>
        <w:t>ς</w:t>
      </w:r>
      <w:r w:rsidR="009D72CD">
        <w:rPr>
          <w:rFonts w:cstheme="minorHAnsi"/>
          <w:sz w:val="24"/>
          <w:szCs w:val="24"/>
          <w:lang w:val="el-GR"/>
        </w:rPr>
        <w:t>,</w:t>
      </w:r>
      <w:r w:rsidRPr="002A353D">
        <w:rPr>
          <w:rFonts w:cstheme="minorHAnsi"/>
          <w:sz w:val="24"/>
          <w:szCs w:val="24"/>
          <w:lang w:val="el-GR"/>
        </w:rPr>
        <w:t xml:space="preserve"> </w:t>
      </w:r>
      <w:r w:rsidR="002A353D">
        <w:rPr>
          <w:rFonts w:cstheme="minorHAnsi"/>
          <w:sz w:val="24"/>
          <w:szCs w:val="24"/>
          <w:lang w:val="el-GR"/>
        </w:rPr>
        <w:t>και</w:t>
      </w:r>
      <w:r w:rsidR="002A353D" w:rsidRPr="002A353D">
        <w:rPr>
          <w:rFonts w:cstheme="minorHAnsi"/>
          <w:sz w:val="24"/>
          <w:szCs w:val="24"/>
          <w:lang w:val="el-GR"/>
        </w:rPr>
        <w:t xml:space="preserve"> </w:t>
      </w:r>
      <w:r w:rsidR="002A353D">
        <w:rPr>
          <w:rFonts w:cstheme="minorHAnsi"/>
          <w:sz w:val="24"/>
          <w:szCs w:val="24"/>
          <w:lang w:val="el-GR"/>
        </w:rPr>
        <w:t>της</w:t>
      </w:r>
      <w:r w:rsidR="002A353D" w:rsidRPr="002A353D">
        <w:rPr>
          <w:rFonts w:cstheme="minorHAnsi"/>
          <w:sz w:val="24"/>
          <w:szCs w:val="24"/>
          <w:lang w:val="el-GR"/>
        </w:rPr>
        <w:t xml:space="preserve"> </w:t>
      </w:r>
      <w:r w:rsidR="002A353D">
        <w:rPr>
          <w:rFonts w:cstheme="minorHAnsi"/>
          <w:sz w:val="24"/>
          <w:szCs w:val="24"/>
          <w:lang w:val="el-GR"/>
        </w:rPr>
        <w:t>Κυβέρνησης</w:t>
      </w:r>
      <w:r w:rsidRPr="002A353D">
        <w:rPr>
          <w:rFonts w:cstheme="minorHAnsi"/>
          <w:sz w:val="24"/>
          <w:szCs w:val="24"/>
          <w:lang w:val="el-GR"/>
        </w:rPr>
        <w:t xml:space="preserve"> </w:t>
      </w:r>
      <w:r w:rsidR="002A353D">
        <w:rPr>
          <w:rFonts w:cstheme="minorHAnsi"/>
          <w:sz w:val="24"/>
          <w:szCs w:val="24"/>
          <w:lang w:val="el-GR"/>
        </w:rPr>
        <w:t>και αντιπροσωπεύει το Κράτος σε όλες τις επίσημες λειτουργίες</w:t>
      </w:r>
      <w:r w:rsidRPr="002A353D">
        <w:rPr>
          <w:rFonts w:cstheme="minorHAnsi"/>
          <w:sz w:val="24"/>
          <w:szCs w:val="24"/>
          <w:lang w:val="el-GR"/>
        </w:rPr>
        <w:t>.</w:t>
      </w:r>
      <w:r w:rsidRPr="004E251E">
        <w:rPr>
          <w:rStyle w:val="FootnoteReference"/>
          <w:rFonts w:cstheme="minorHAnsi"/>
          <w:sz w:val="24"/>
          <w:szCs w:val="24"/>
        </w:rPr>
        <w:footnoteReference w:id="19"/>
      </w:r>
      <w:r w:rsidRPr="002A353D">
        <w:rPr>
          <w:rFonts w:cstheme="minorHAnsi"/>
          <w:sz w:val="24"/>
          <w:szCs w:val="24"/>
          <w:lang w:val="el-GR"/>
        </w:rPr>
        <w:t xml:space="preserve"> </w:t>
      </w:r>
      <w:r w:rsidR="002A353D">
        <w:rPr>
          <w:rFonts w:cstheme="minorHAnsi"/>
          <w:sz w:val="24"/>
          <w:szCs w:val="24"/>
          <w:lang w:val="el-GR"/>
        </w:rPr>
        <w:t>Αυτός</w:t>
      </w:r>
      <w:r w:rsidR="002A353D" w:rsidRPr="002A353D">
        <w:rPr>
          <w:rFonts w:cstheme="minorHAnsi"/>
          <w:sz w:val="24"/>
          <w:szCs w:val="24"/>
          <w:lang w:val="el-GR"/>
        </w:rPr>
        <w:t>/</w:t>
      </w:r>
      <w:r w:rsidR="002A353D">
        <w:rPr>
          <w:rFonts w:cstheme="minorHAnsi"/>
          <w:sz w:val="24"/>
          <w:szCs w:val="24"/>
          <w:lang w:val="el-GR"/>
        </w:rPr>
        <w:t>ή</w:t>
      </w:r>
      <w:r w:rsidR="002A353D" w:rsidRPr="002A353D">
        <w:rPr>
          <w:rFonts w:cstheme="minorHAnsi"/>
          <w:sz w:val="24"/>
          <w:szCs w:val="24"/>
          <w:lang w:val="el-GR"/>
        </w:rPr>
        <w:t xml:space="preserve"> </w:t>
      </w:r>
      <w:r w:rsidR="002A353D">
        <w:rPr>
          <w:rFonts w:cstheme="minorHAnsi"/>
          <w:sz w:val="24"/>
          <w:szCs w:val="24"/>
          <w:lang w:val="el-GR"/>
        </w:rPr>
        <w:t>εκλέγεται</w:t>
      </w:r>
      <w:r w:rsidRPr="002A353D">
        <w:rPr>
          <w:rFonts w:cstheme="minorHAnsi"/>
          <w:sz w:val="24"/>
          <w:szCs w:val="24"/>
          <w:lang w:val="el-GR"/>
        </w:rPr>
        <w:t xml:space="preserve"> </w:t>
      </w:r>
      <w:r w:rsidR="002A353D">
        <w:rPr>
          <w:rFonts w:cstheme="minorHAnsi"/>
          <w:sz w:val="24"/>
          <w:szCs w:val="24"/>
          <w:lang w:val="el-GR"/>
        </w:rPr>
        <w:t>με</w:t>
      </w:r>
      <w:r w:rsidR="002A353D" w:rsidRPr="002A353D">
        <w:rPr>
          <w:rFonts w:cstheme="minorHAnsi"/>
          <w:sz w:val="24"/>
          <w:szCs w:val="24"/>
          <w:lang w:val="el-GR"/>
        </w:rPr>
        <w:t xml:space="preserve"> </w:t>
      </w:r>
      <w:r w:rsidR="002A353D">
        <w:rPr>
          <w:rFonts w:cstheme="minorHAnsi"/>
          <w:sz w:val="24"/>
          <w:szCs w:val="24"/>
          <w:lang w:val="el-GR"/>
        </w:rPr>
        <w:t>άμεση</w:t>
      </w:r>
      <w:r w:rsidR="002A353D" w:rsidRPr="002A353D">
        <w:rPr>
          <w:rFonts w:cstheme="minorHAnsi"/>
          <w:sz w:val="24"/>
          <w:szCs w:val="24"/>
          <w:lang w:val="el-GR"/>
        </w:rPr>
        <w:t xml:space="preserve">, </w:t>
      </w:r>
      <w:r w:rsidR="002A353D">
        <w:rPr>
          <w:rFonts w:cstheme="minorHAnsi"/>
          <w:sz w:val="24"/>
          <w:szCs w:val="24"/>
          <w:lang w:val="el-GR"/>
        </w:rPr>
        <w:t>καθολική</w:t>
      </w:r>
      <w:r w:rsidR="002A353D" w:rsidRPr="002A353D">
        <w:rPr>
          <w:rFonts w:cstheme="minorHAnsi"/>
          <w:sz w:val="24"/>
          <w:szCs w:val="24"/>
          <w:lang w:val="el-GR"/>
        </w:rPr>
        <w:t xml:space="preserve">, </w:t>
      </w:r>
      <w:r w:rsidR="002A353D">
        <w:rPr>
          <w:rFonts w:cstheme="minorHAnsi"/>
          <w:sz w:val="24"/>
          <w:szCs w:val="24"/>
          <w:lang w:val="el-GR"/>
        </w:rPr>
        <w:t>μυστική</w:t>
      </w:r>
      <w:r w:rsidR="002A353D" w:rsidRPr="002A353D">
        <w:rPr>
          <w:rFonts w:cstheme="minorHAnsi"/>
          <w:sz w:val="24"/>
          <w:szCs w:val="24"/>
          <w:lang w:val="el-GR"/>
        </w:rPr>
        <w:t xml:space="preserve"> </w:t>
      </w:r>
      <w:r w:rsidR="002A353D">
        <w:rPr>
          <w:rFonts w:cstheme="minorHAnsi"/>
          <w:sz w:val="24"/>
          <w:szCs w:val="24"/>
          <w:lang w:val="el-GR"/>
        </w:rPr>
        <w:t>ψηφοφορία</w:t>
      </w:r>
      <w:r w:rsidRPr="002A353D">
        <w:rPr>
          <w:rFonts w:cstheme="minorHAnsi"/>
          <w:sz w:val="24"/>
          <w:szCs w:val="24"/>
          <w:lang w:val="el-GR"/>
        </w:rPr>
        <w:t xml:space="preserve">, </w:t>
      </w:r>
      <w:r w:rsidR="002A353D">
        <w:rPr>
          <w:rFonts w:cstheme="minorHAnsi"/>
          <w:sz w:val="24"/>
          <w:szCs w:val="24"/>
          <w:lang w:val="el-GR"/>
        </w:rPr>
        <w:t>και έχει μια θητεία πέντε χρόνων</w:t>
      </w:r>
      <w:r w:rsidRPr="002A353D">
        <w:rPr>
          <w:rFonts w:cstheme="minorHAnsi"/>
          <w:sz w:val="24"/>
          <w:szCs w:val="24"/>
          <w:lang w:val="el-GR"/>
        </w:rPr>
        <w:t xml:space="preserve">. </w:t>
      </w:r>
      <w:bookmarkStart w:id="33" w:name="_Hlk132887461"/>
      <w:bookmarkStart w:id="34" w:name="_Hlk132887480"/>
      <w:r w:rsidR="002A353D">
        <w:rPr>
          <w:rFonts w:cstheme="minorHAnsi"/>
          <w:sz w:val="24"/>
          <w:szCs w:val="24"/>
          <w:lang w:val="el-GR"/>
        </w:rPr>
        <w:t>Μέχρι</w:t>
      </w:r>
      <w:r w:rsidR="002A353D" w:rsidRPr="00CA31B8">
        <w:rPr>
          <w:rFonts w:cstheme="minorHAnsi"/>
          <w:sz w:val="24"/>
          <w:szCs w:val="24"/>
          <w:lang w:val="el-GR"/>
        </w:rPr>
        <w:t xml:space="preserve"> </w:t>
      </w:r>
      <w:r w:rsidR="002A353D">
        <w:rPr>
          <w:rFonts w:cstheme="minorHAnsi"/>
          <w:sz w:val="24"/>
          <w:szCs w:val="24"/>
          <w:lang w:val="el-GR"/>
        </w:rPr>
        <w:t>πρόσφατα</w:t>
      </w:r>
      <w:r w:rsidR="00401434" w:rsidRPr="00CA31B8">
        <w:rPr>
          <w:rFonts w:cstheme="minorHAnsi"/>
          <w:sz w:val="24"/>
          <w:szCs w:val="24"/>
          <w:lang w:val="el-GR"/>
        </w:rPr>
        <w:t xml:space="preserve">, </w:t>
      </w:r>
      <w:r w:rsidR="00CA31B8">
        <w:rPr>
          <w:rFonts w:cstheme="minorHAnsi"/>
          <w:sz w:val="24"/>
          <w:szCs w:val="24"/>
          <w:lang w:val="el-GR"/>
        </w:rPr>
        <w:t>δεν</w:t>
      </w:r>
      <w:r w:rsidR="00CA31B8" w:rsidRPr="00CA31B8">
        <w:rPr>
          <w:rFonts w:cstheme="minorHAnsi"/>
          <w:sz w:val="24"/>
          <w:szCs w:val="24"/>
          <w:lang w:val="el-GR"/>
        </w:rPr>
        <w:t xml:space="preserve"> </w:t>
      </w:r>
      <w:r w:rsidR="00CA31B8">
        <w:rPr>
          <w:rFonts w:cstheme="minorHAnsi"/>
          <w:sz w:val="24"/>
          <w:szCs w:val="24"/>
          <w:lang w:val="el-GR"/>
        </w:rPr>
        <w:t>υπήρχαν</w:t>
      </w:r>
      <w:r w:rsidR="00CA31B8" w:rsidRPr="00CA31B8">
        <w:rPr>
          <w:rFonts w:cstheme="minorHAnsi"/>
          <w:sz w:val="24"/>
          <w:szCs w:val="24"/>
          <w:lang w:val="el-GR"/>
        </w:rPr>
        <w:t xml:space="preserve"> </w:t>
      </w:r>
      <w:r w:rsidR="00CA31B8">
        <w:rPr>
          <w:rFonts w:cstheme="minorHAnsi"/>
          <w:sz w:val="24"/>
          <w:szCs w:val="24"/>
          <w:lang w:val="el-GR"/>
        </w:rPr>
        <w:t>περιορισμοί</w:t>
      </w:r>
      <w:r w:rsidR="00CA31B8" w:rsidRPr="00CA31B8">
        <w:rPr>
          <w:rFonts w:cstheme="minorHAnsi"/>
          <w:sz w:val="24"/>
          <w:szCs w:val="24"/>
          <w:lang w:val="el-GR"/>
        </w:rPr>
        <w:t xml:space="preserve"> </w:t>
      </w:r>
      <w:r w:rsidR="00CA31B8">
        <w:rPr>
          <w:rFonts w:cstheme="minorHAnsi"/>
          <w:sz w:val="24"/>
          <w:szCs w:val="24"/>
          <w:lang w:val="el-GR"/>
        </w:rPr>
        <w:t>θητειών</w:t>
      </w:r>
      <w:r w:rsidRPr="00CA31B8">
        <w:rPr>
          <w:rFonts w:cstheme="minorHAnsi"/>
          <w:color w:val="000000"/>
          <w:sz w:val="24"/>
          <w:szCs w:val="24"/>
          <w:shd w:val="clear" w:color="auto" w:fill="FFFFFF"/>
          <w:lang w:val="el-GR"/>
        </w:rPr>
        <w:t xml:space="preserve"> </w:t>
      </w:r>
      <w:r w:rsidR="00CA31B8">
        <w:rPr>
          <w:rFonts w:cstheme="minorHAnsi"/>
          <w:color w:val="000000"/>
          <w:sz w:val="24"/>
          <w:szCs w:val="24"/>
          <w:shd w:val="clear" w:color="auto" w:fill="FFFFFF"/>
          <w:lang w:val="el-GR"/>
        </w:rPr>
        <w:t>που</w:t>
      </w:r>
      <w:r w:rsidR="00CA31B8" w:rsidRPr="00CA31B8">
        <w:rPr>
          <w:rFonts w:cstheme="minorHAnsi"/>
          <w:color w:val="000000"/>
          <w:sz w:val="24"/>
          <w:szCs w:val="24"/>
          <w:shd w:val="clear" w:color="auto" w:fill="FFFFFF"/>
          <w:lang w:val="el-GR"/>
        </w:rPr>
        <w:t xml:space="preserve"> </w:t>
      </w:r>
      <w:r w:rsidR="00CA31B8">
        <w:rPr>
          <w:rFonts w:cstheme="minorHAnsi"/>
          <w:color w:val="000000"/>
          <w:sz w:val="24"/>
          <w:szCs w:val="24"/>
          <w:shd w:val="clear" w:color="auto" w:fill="FFFFFF"/>
          <w:lang w:val="el-GR"/>
        </w:rPr>
        <w:t>προβλέποντα</w:t>
      </w:r>
      <w:r w:rsidR="009D72CD">
        <w:rPr>
          <w:rFonts w:cstheme="minorHAnsi"/>
          <w:color w:val="000000"/>
          <w:sz w:val="24"/>
          <w:szCs w:val="24"/>
          <w:shd w:val="clear" w:color="auto" w:fill="FFFFFF"/>
          <w:lang w:val="el-GR"/>
        </w:rPr>
        <w:t>ν</w:t>
      </w:r>
      <w:r w:rsidR="00CA31B8" w:rsidRPr="00CA31B8">
        <w:rPr>
          <w:rFonts w:cstheme="minorHAnsi"/>
          <w:color w:val="000000"/>
          <w:sz w:val="24"/>
          <w:szCs w:val="24"/>
          <w:shd w:val="clear" w:color="auto" w:fill="FFFFFF"/>
          <w:lang w:val="el-GR"/>
        </w:rPr>
        <w:t xml:space="preserve"> </w:t>
      </w:r>
      <w:r w:rsidR="00CA31B8">
        <w:rPr>
          <w:rFonts w:cstheme="minorHAnsi"/>
          <w:color w:val="000000"/>
          <w:sz w:val="24"/>
          <w:szCs w:val="24"/>
          <w:shd w:val="clear" w:color="auto" w:fill="FFFFFF"/>
          <w:lang w:val="el-GR"/>
        </w:rPr>
        <w:t>σύμφωνα</w:t>
      </w:r>
      <w:r w:rsidR="00CA31B8" w:rsidRPr="00CA31B8">
        <w:rPr>
          <w:rFonts w:cstheme="minorHAnsi"/>
          <w:color w:val="000000"/>
          <w:sz w:val="24"/>
          <w:szCs w:val="24"/>
          <w:shd w:val="clear" w:color="auto" w:fill="FFFFFF"/>
          <w:lang w:val="el-GR"/>
        </w:rPr>
        <w:t xml:space="preserve"> </w:t>
      </w:r>
      <w:r w:rsidR="00CA31B8">
        <w:rPr>
          <w:rFonts w:cstheme="minorHAnsi"/>
          <w:color w:val="000000"/>
          <w:sz w:val="24"/>
          <w:szCs w:val="24"/>
          <w:shd w:val="clear" w:color="auto" w:fill="FFFFFF"/>
          <w:lang w:val="el-GR"/>
        </w:rPr>
        <w:t>με το Σύνταγμα για το αξίωμα του Προέδρου</w:t>
      </w:r>
      <w:bookmarkEnd w:id="33"/>
      <w:bookmarkEnd w:id="34"/>
      <w:r w:rsidRPr="00CA31B8">
        <w:rPr>
          <w:rFonts w:cstheme="minorHAnsi"/>
          <w:sz w:val="24"/>
          <w:szCs w:val="24"/>
          <w:lang w:val="el-GR"/>
        </w:rPr>
        <w:t>.</w:t>
      </w:r>
      <w:r w:rsidRPr="00B95983">
        <w:rPr>
          <w:rStyle w:val="FootnoteReference"/>
          <w:rFonts w:cstheme="minorHAnsi"/>
          <w:sz w:val="24"/>
          <w:szCs w:val="24"/>
        </w:rPr>
        <w:footnoteReference w:id="20"/>
      </w:r>
      <w:r w:rsidRPr="00CA31B8">
        <w:rPr>
          <w:rFonts w:cstheme="minorHAnsi"/>
          <w:sz w:val="24"/>
          <w:szCs w:val="24"/>
          <w:lang w:val="el-GR"/>
        </w:rPr>
        <w:t xml:space="preserve"> </w:t>
      </w:r>
      <w:bookmarkStart w:id="35" w:name="_Hlk132887498"/>
      <w:r w:rsidR="00CA31B8">
        <w:rPr>
          <w:rFonts w:cstheme="minorHAnsi"/>
          <w:sz w:val="24"/>
          <w:szCs w:val="24"/>
          <w:lang w:val="el-GR"/>
        </w:rPr>
        <w:t>Η</w:t>
      </w:r>
      <w:r w:rsidR="00CA31B8" w:rsidRPr="00CA31B8">
        <w:rPr>
          <w:rFonts w:cstheme="minorHAnsi"/>
          <w:sz w:val="24"/>
          <w:szCs w:val="24"/>
          <w:lang w:val="el-GR"/>
        </w:rPr>
        <w:t xml:space="preserve"> </w:t>
      </w:r>
      <w:r w:rsidR="0020754C">
        <w:rPr>
          <w:rFonts w:cstheme="minorHAnsi"/>
          <w:sz w:val="24"/>
          <w:szCs w:val="24"/>
          <w:lang w:val="el-GR"/>
        </w:rPr>
        <w:t>Δ</w:t>
      </w:r>
      <w:r w:rsidR="006B2283">
        <w:rPr>
          <w:rFonts w:cstheme="minorHAnsi"/>
          <w:sz w:val="24"/>
          <w:szCs w:val="24"/>
          <w:lang w:val="el-GR"/>
        </w:rPr>
        <w:t xml:space="preserve">έκατη </w:t>
      </w:r>
      <w:r w:rsidR="0020754C">
        <w:rPr>
          <w:rFonts w:cstheme="minorHAnsi"/>
          <w:sz w:val="24"/>
          <w:szCs w:val="24"/>
          <w:lang w:val="el-GR"/>
        </w:rPr>
        <w:t>Τ</w:t>
      </w:r>
      <w:r w:rsidR="00CA31B8">
        <w:rPr>
          <w:rFonts w:cstheme="minorHAnsi"/>
          <w:sz w:val="24"/>
          <w:szCs w:val="24"/>
          <w:lang w:val="el-GR"/>
        </w:rPr>
        <w:t>ρίτη</w:t>
      </w:r>
      <w:r w:rsidR="00CA31B8" w:rsidRPr="00CA31B8">
        <w:rPr>
          <w:rFonts w:cstheme="minorHAnsi"/>
          <w:sz w:val="24"/>
          <w:szCs w:val="24"/>
          <w:lang w:val="el-GR"/>
        </w:rPr>
        <w:t xml:space="preserve"> </w:t>
      </w:r>
      <w:r w:rsidR="00CA31B8">
        <w:rPr>
          <w:rFonts w:cstheme="minorHAnsi"/>
          <w:sz w:val="24"/>
          <w:szCs w:val="24"/>
          <w:lang w:val="el-GR"/>
        </w:rPr>
        <w:t>Συνταγματική</w:t>
      </w:r>
      <w:r w:rsidR="00CA31B8" w:rsidRPr="00CA31B8">
        <w:rPr>
          <w:rFonts w:cstheme="minorHAnsi"/>
          <w:sz w:val="24"/>
          <w:szCs w:val="24"/>
          <w:lang w:val="el-GR"/>
        </w:rPr>
        <w:t xml:space="preserve"> </w:t>
      </w:r>
      <w:r w:rsidR="00CA31B8">
        <w:rPr>
          <w:rFonts w:cstheme="minorHAnsi"/>
          <w:sz w:val="24"/>
          <w:szCs w:val="24"/>
          <w:lang w:val="el-GR"/>
        </w:rPr>
        <w:t>τροποποίηση</w:t>
      </w:r>
      <w:r w:rsidR="00401434" w:rsidRPr="00CA31B8">
        <w:rPr>
          <w:rFonts w:cs="Calibri"/>
          <w:sz w:val="24"/>
          <w:szCs w:val="24"/>
          <w:lang w:val="el-GR"/>
        </w:rPr>
        <w:t xml:space="preserve">, </w:t>
      </w:r>
      <w:r w:rsidR="00CA31B8">
        <w:rPr>
          <w:rFonts w:cs="Calibri"/>
          <w:sz w:val="24"/>
          <w:szCs w:val="24"/>
          <w:lang w:val="el-GR"/>
        </w:rPr>
        <w:t>που</w:t>
      </w:r>
      <w:r w:rsidR="00CA31B8" w:rsidRPr="00CA31B8">
        <w:rPr>
          <w:rFonts w:cs="Calibri"/>
          <w:sz w:val="24"/>
          <w:szCs w:val="24"/>
          <w:lang w:val="el-GR"/>
        </w:rPr>
        <w:t xml:space="preserve"> </w:t>
      </w:r>
      <w:r w:rsidR="00CA31B8">
        <w:rPr>
          <w:rFonts w:cs="Calibri"/>
          <w:sz w:val="24"/>
          <w:szCs w:val="24"/>
          <w:lang w:val="el-GR"/>
        </w:rPr>
        <w:t>δημοσιεύθηκε</w:t>
      </w:r>
      <w:r w:rsidR="00CA31B8" w:rsidRPr="00CA31B8">
        <w:rPr>
          <w:rFonts w:cs="Calibri"/>
          <w:sz w:val="24"/>
          <w:szCs w:val="24"/>
          <w:lang w:val="el-GR"/>
        </w:rPr>
        <w:t xml:space="preserve"> </w:t>
      </w:r>
      <w:r w:rsidR="00CA31B8">
        <w:rPr>
          <w:rFonts w:cs="Calibri"/>
          <w:sz w:val="24"/>
          <w:szCs w:val="24"/>
          <w:lang w:val="el-GR"/>
        </w:rPr>
        <w:t>στις</w:t>
      </w:r>
      <w:r w:rsidR="00401434" w:rsidRPr="00CA31B8">
        <w:rPr>
          <w:rFonts w:cs="Calibri"/>
          <w:sz w:val="24"/>
          <w:szCs w:val="24"/>
          <w:lang w:val="el-GR"/>
        </w:rPr>
        <w:t xml:space="preserve"> 16 </w:t>
      </w:r>
      <w:r w:rsidR="00CA31B8">
        <w:rPr>
          <w:rFonts w:cs="Calibri"/>
          <w:sz w:val="24"/>
          <w:szCs w:val="24"/>
          <w:lang w:val="el-GR"/>
        </w:rPr>
        <w:t>Δεκεμβρίου</w:t>
      </w:r>
      <w:r w:rsidR="00401434" w:rsidRPr="00CA31B8">
        <w:rPr>
          <w:rFonts w:cs="Calibri"/>
          <w:sz w:val="24"/>
          <w:szCs w:val="24"/>
          <w:lang w:val="el-GR"/>
        </w:rPr>
        <w:t xml:space="preserve"> 2019, </w:t>
      </w:r>
      <w:r w:rsidR="00CA31B8">
        <w:rPr>
          <w:rFonts w:cs="Calibri"/>
          <w:sz w:val="24"/>
          <w:szCs w:val="24"/>
          <w:lang w:val="el-GR"/>
        </w:rPr>
        <w:t>προβλέπει</w:t>
      </w:r>
      <w:r w:rsidR="00CA31B8" w:rsidRPr="00CA31B8">
        <w:rPr>
          <w:rFonts w:cs="Calibri"/>
          <w:sz w:val="24"/>
          <w:szCs w:val="24"/>
          <w:lang w:val="el-GR"/>
        </w:rPr>
        <w:t xml:space="preserve"> </w:t>
      </w:r>
      <w:r w:rsidR="00CA31B8">
        <w:rPr>
          <w:rFonts w:cs="Calibri"/>
          <w:sz w:val="24"/>
          <w:szCs w:val="24"/>
          <w:lang w:val="el-GR"/>
        </w:rPr>
        <w:t>τώρα</w:t>
      </w:r>
      <w:r w:rsidR="00CA31B8" w:rsidRPr="00CA31B8">
        <w:rPr>
          <w:rFonts w:cs="Calibri"/>
          <w:sz w:val="24"/>
          <w:szCs w:val="24"/>
          <w:lang w:val="el-GR"/>
        </w:rPr>
        <w:t xml:space="preserve"> </w:t>
      </w:r>
      <w:r w:rsidR="00CA31B8">
        <w:rPr>
          <w:rFonts w:cs="Calibri"/>
          <w:sz w:val="24"/>
          <w:szCs w:val="24"/>
          <w:lang w:val="el-GR"/>
        </w:rPr>
        <w:t>ότι</w:t>
      </w:r>
      <w:r w:rsidR="00CA31B8" w:rsidRPr="00CA31B8">
        <w:rPr>
          <w:rFonts w:cs="Calibri"/>
          <w:sz w:val="24"/>
          <w:szCs w:val="24"/>
          <w:lang w:val="el-GR"/>
        </w:rPr>
        <w:t xml:space="preserve"> </w:t>
      </w:r>
      <w:r w:rsidR="00CA31B8">
        <w:rPr>
          <w:rFonts w:cs="Calibri"/>
          <w:sz w:val="24"/>
          <w:szCs w:val="24"/>
          <w:lang w:val="el-GR"/>
        </w:rPr>
        <w:t>ένα</w:t>
      </w:r>
      <w:r w:rsidR="00CA31B8" w:rsidRPr="00CA31B8">
        <w:rPr>
          <w:rFonts w:cs="Calibri"/>
          <w:sz w:val="24"/>
          <w:szCs w:val="24"/>
          <w:lang w:val="el-GR"/>
        </w:rPr>
        <w:t xml:space="preserve"> </w:t>
      </w:r>
      <w:r w:rsidR="00CA31B8">
        <w:rPr>
          <w:rFonts w:cs="Calibri"/>
          <w:sz w:val="24"/>
          <w:szCs w:val="24"/>
          <w:lang w:val="el-GR"/>
        </w:rPr>
        <w:t>άτομο</w:t>
      </w:r>
      <w:r w:rsidR="00CA31B8" w:rsidRPr="00CA31B8">
        <w:rPr>
          <w:rFonts w:cs="Calibri"/>
          <w:sz w:val="24"/>
          <w:szCs w:val="24"/>
          <w:lang w:val="el-GR"/>
        </w:rPr>
        <w:t xml:space="preserve"> </w:t>
      </w:r>
      <w:r w:rsidR="006B2283">
        <w:rPr>
          <w:rFonts w:cs="Calibri"/>
          <w:sz w:val="24"/>
          <w:szCs w:val="24"/>
          <w:lang w:val="el-GR"/>
        </w:rPr>
        <w:t xml:space="preserve">δύναται </w:t>
      </w:r>
      <w:r w:rsidR="00CA31B8">
        <w:rPr>
          <w:rFonts w:cs="Calibri"/>
          <w:sz w:val="24"/>
          <w:szCs w:val="24"/>
          <w:lang w:val="el-GR"/>
        </w:rPr>
        <w:t>να</w:t>
      </w:r>
      <w:r w:rsidR="00CA31B8" w:rsidRPr="00CA31B8">
        <w:rPr>
          <w:rFonts w:cs="Calibri"/>
          <w:sz w:val="24"/>
          <w:szCs w:val="24"/>
          <w:lang w:val="el-GR"/>
        </w:rPr>
        <w:t xml:space="preserve"> </w:t>
      </w:r>
      <w:r w:rsidR="00CA31B8">
        <w:rPr>
          <w:rFonts w:cs="Calibri"/>
          <w:sz w:val="24"/>
          <w:szCs w:val="24"/>
          <w:lang w:val="el-GR"/>
        </w:rPr>
        <w:t>είναι</w:t>
      </w:r>
      <w:r w:rsidR="00CA31B8" w:rsidRPr="00CA31B8">
        <w:rPr>
          <w:rFonts w:cs="Calibri"/>
          <w:sz w:val="24"/>
          <w:szCs w:val="24"/>
          <w:lang w:val="el-GR"/>
        </w:rPr>
        <w:t xml:space="preserve"> </w:t>
      </w:r>
      <w:r w:rsidR="00CA31B8">
        <w:rPr>
          <w:rFonts w:cs="Calibri"/>
          <w:sz w:val="24"/>
          <w:szCs w:val="24"/>
          <w:lang w:val="el-GR"/>
        </w:rPr>
        <w:t>υποψήφιος</w:t>
      </w:r>
      <w:r w:rsidR="00401434" w:rsidRPr="00CA31B8">
        <w:rPr>
          <w:rFonts w:cs="Calibri"/>
          <w:sz w:val="24"/>
          <w:szCs w:val="24"/>
          <w:lang w:val="el-GR"/>
        </w:rPr>
        <w:t xml:space="preserve"> </w:t>
      </w:r>
      <w:r w:rsidR="00CA31B8">
        <w:rPr>
          <w:rFonts w:cs="Calibri"/>
          <w:sz w:val="24"/>
          <w:szCs w:val="24"/>
          <w:lang w:val="el-GR"/>
        </w:rPr>
        <w:t>για την εκλογή ως Πρόεδρος ή Αντι</w:t>
      </w:r>
      <w:r w:rsidR="006B2283">
        <w:rPr>
          <w:rFonts w:cs="Calibri"/>
          <w:sz w:val="24"/>
          <w:szCs w:val="24"/>
          <w:lang w:val="el-GR"/>
        </w:rPr>
        <w:t>π</w:t>
      </w:r>
      <w:r w:rsidR="00CA31B8">
        <w:rPr>
          <w:rFonts w:cs="Calibri"/>
          <w:sz w:val="24"/>
          <w:szCs w:val="24"/>
          <w:lang w:val="el-GR"/>
        </w:rPr>
        <w:t>ρόεδρος της Δημοκρατίας</w:t>
      </w:r>
      <w:r w:rsidR="00401434" w:rsidRPr="00CA31B8">
        <w:rPr>
          <w:rFonts w:cs="Calibri"/>
          <w:sz w:val="24"/>
          <w:szCs w:val="24"/>
          <w:lang w:val="el-GR"/>
        </w:rPr>
        <w:t xml:space="preserve"> </w:t>
      </w:r>
      <w:r w:rsidR="00CA31B8">
        <w:rPr>
          <w:rFonts w:cs="Calibri"/>
          <w:sz w:val="24"/>
          <w:szCs w:val="24"/>
          <w:lang w:val="el-GR"/>
        </w:rPr>
        <w:t>αν αυτός/ή δεν έχει υπηρετήσει διαδοχικά</w:t>
      </w:r>
      <w:r w:rsidR="00D95B91" w:rsidRPr="00CA31B8">
        <w:rPr>
          <w:rFonts w:cs="Calibri"/>
          <w:sz w:val="24"/>
          <w:szCs w:val="24"/>
          <w:lang w:val="el-GR"/>
        </w:rPr>
        <w:t xml:space="preserve"> </w:t>
      </w:r>
      <w:r w:rsidR="00CA31B8">
        <w:rPr>
          <w:rFonts w:cs="Calibri"/>
          <w:sz w:val="24"/>
          <w:szCs w:val="24"/>
          <w:lang w:val="el-GR"/>
        </w:rPr>
        <w:t>στο αξίωμα αυτό</w:t>
      </w:r>
      <w:r w:rsidR="00D95B91" w:rsidRPr="00CA31B8">
        <w:rPr>
          <w:rFonts w:cs="Calibri"/>
          <w:sz w:val="24"/>
          <w:szCs w:val="24"/>
          <w:lang w:val="el-GR"/>
        </w:rPr>
        <w:t xml:space="preserve"> </w:t>
      </w:r>
      <w:r w:rsidR="009D72CD">
        <w:rPr>
          <w:rFonts w:cs="Calibri"/>
          <w:sz w:val="24"/>
          <w:szCs w:val="24"/>
          <w:lang w:val="el-GR"/>
        </w:rPr>
        <w:t xml:space="preserve">για τις δύο </w:t>
      </w:r>
      <w:r w:rsidR="006B2283">
        <w:rPr>
          <w:rFonts w:cs="Calibri"/>
          <w:sz w:val="24"/>
          <w:szCs w:val="24"/>
          <w:lang w:val="el-GR"/>
        </w:rPr>
        <w:t xml:space="preserve">αμέσως </w:t>
      </w:r>
      <w:r w:rsidR="00CA31B8">
        <w:rPr>
          <w:rFonts w:cs="Calibri"/>
          <w:sz w:val="24"/>
          <w:szCs w:val="24"/>
          <w:lang w:val="el-GR"/>
        </w:rPr>
        <w:t>προηγούμενες θητείες</w:t>
      </w:r>
      <w:r w:rsidR="00401434" w:rsidRPr="00CA31B8">
        <w:rPr>
          <w:rFonts w:cs="Calibri"/>
          <w:sz w:val="24"/>
          <w:szCs w:val="24"/>
          <w:lang w:val="el-GR"/>
        </w:rPr>
        <w:t xml:space="preserve">. </w:t>
      </w:r>
      <w:bookmarkStart w:id="36" w:name="_Hlk132887522"/>
      <w:bookmarkEnd w:id="35"/>
      <w:r w:rsidR="00EB2D7E">
        <w:rPr>
          <w:rFonts w:cs="Calibri"/>
          <w:sz w:val="24"/>
          <w:szCs w:val="24"/>
          <w:lang w:val="el-GR"/>
        </w:rPr>
        <w:t>Οι</w:t>
      </w:r>
      <w:r w:rsidR="00EB2D7E" w:rsidRPr="00EB2D7E">
        <w:rPr>
          <w:rFonts w:cs="Calibri"/>
          <w:sz w:val="24"/>
          <w:szCs w:val="24"/>
          <w:lang w:val="el-GR"/>
        </w:rPr>
        <w:t xml:space="preserve"> </w:t>
      </w:r>
      <w:r w:rsidR="00EB2D7E">
        <w:rPr>
          <w:rFonts w:cs="Calibri"/>
          <w:sz w:val="24"/>
          <w:szCs w:val="24"/>
          <w:lang w:val="el-GR"/>
        </w:rPr>
        <w:t>εξουσίες</w:t>
      </w:r>
      <w:r w:rsidR="00EB2D7E" w:rsidRPr="00EB2D7E">
        <w:rPr>
          <w:rFonts w:cs="Calibri"/>
          <w:sz w:val="24"/>
          <w:szCs w:val="24"/>
          <w:lang w:val="el-GR"/>
        </w:rPr>
        <w:t xml:space="preserve"> </w:t>
      </w:r>
      <w:r w:rsidR="00EB2D7E">
        <w:rPr>
          <w:rFonts w:cs="Calibri"/>
          <w:sz w:val="24"/>
          <w:szCs w:val="24"/>
          <w:lang w:val="el-GR"/>
        </w:rPr>
        <w:t>και</w:t>
      </w:r>
      <w:r w:rsidR="00EB2D7E" w:rsidRPr="00EB2D7E">
        <w:rPr>
          <w:rFonts w:cs="Calibri"/>
          <w:sz w:val="24"/>
          <w:szCs w:val="24"/>
          <w:lang w:val="el-GR"/>
        </w:rPr>
        <w:t xml:space="preserve"> </w:t>
      </w:r>
      <w:r w:rsidR="00EB2D7E">
        <w:rPr>
          <w:rFonts w:cs="Calibri"/>
          <w:sz w:val="24"/>
          <w:szCs w:val="24"/>
          <w:lang w:val="el-GR"/>
        </w:rPr>
        <w:t>τα</w:t>
      </w:r>
      <w:r w:rsidR="00EB2D7E" w:rsidRPr="00EB2D7E">
        <w:rPr>
          <w:rFonts w:cs="Calibri"/>
          <w:sz w:val="24"/>
          <w:szCs w:val="24"/>
          <w:lang w:val="el-GR"/>
        </w:rPr>
        <w:t xml:space="preserve"> </w:t>
      </w:r>
      <w:r w:rsidR="00EB2D7E">
        <w:rPr>
          <w:rFonts w:cs="Calibri"/>
          <w:sz w:val="24"/>
          <w:szCs w:val="24"/>
          <w:lang w:val="el-GR"/>
        </w:rPr>
        <w:t>καθήκοντα</w:t>
      </w:r>
      <w:r w:rsidR="00EB2D7E" w:rsidRPr="00EB2D7E">
        <w:rPr>
          <w:rFonts w:cs="Calibri"/>
          <w:sz w:val="24"/>
          <w:szCs w:val="24"/>
          <w:lang w:val="el-GR"/>
        </w:rPr>
        <w:t xml:space="preserve"> </w:t>
      </w:r>
      <w:r w:rsidR="00EB2D7E">
        <w:rPr>
          <w:rFonts w:cs="Calibri"/>
          <w:sz w:val="24"/>
          <w:szCs w:val="24"/>
          <w:lang w:val="el-GR"/>
        </w:rPr>
        <w:t>που</w:t>
      </w:r>
      <w:r w:rsidR="00EB2D7E" w:rsidRPr="00EB2D7E">
        <w:rPr>
          <w:rFonts w:cs="Calibri"/>
          <w:sz w:val="24"/>
          <w:szCs w:val="24"/>
          <w:lang w:val="el-GR"/>
        </w:rPr>
        <w:t xml:space="preserve"> </w:t>
      </w:r>
      <w:r w:rsidR="00EB2D7E">
        <w:rPr>
          <w:rFonts w:cs="Calibri"/>
          <w:sz w:val="24"/>
          <w:szCs w:val="24"/>
          <w:lang w:val="el-GR"/>
        </w:rPr>
        <w:t>ορίζονται</w:t>
      </w:r>
      <w:r w:rsidR="00EB2D7E" w:rsidRPr="00EB2D7E">
        <w:rPr>
          <w:rFonts w:cs="Calibri"/>
          <w:sz w:val="24"/>
          <w:szCs w:val="24"/>
          <w:lang w:val="el-GR"/>
        </w:rPr>
        <w:t xml:space="preserve"> </w:t>
      </w:r>
      <w:r w:rsidR="00EB2D7E">
        <w:rPr>
          <w:rFonts w:cs="Calibri"/>
          <w:sz w:val="24"/>
          <w:szCs w:val="24"/>
          <w:lang w:val="el-GR"/>
        </w:rPr>
        <w:t>πιο</w:t>
      </w:r>
      <w:r w:rsidR="00EB2D7E" w:rsidRPr="00EB2D7E">
        <w:rPr>
          <w:rFonts w:cs="Calibri"/>
          <w:sz w:val="24"/>
          <w:szCs w:val="24"/>
          <w:lang w:val="el-GR"/>
        </w:rPr>
        <w:t xml:space="preserve"> </w:t>
      </w:r>
      <w:r w:rsidR="00EB2D7E">
        <w:rPr>
          <w:rFonts w:cs="Calibri"/>
          <w:sz w:val="24"/>
          <w:szCs w:val="24"/>
          <w:lang w:val="el-GR"/>
        </w:rPr>
        <w:t>κάτω</w:t>
      </w:r>
      <w:r w:rsidR="00401434" w:rsidRPr="00EB2D7E">
        <w:rPr>
          <w:rFonts w:cstheme="minorHAnsi"/>
          <w:sz w:val="24"/>
          <w:szCs w:val="24"/>
          <w:lang w:val="el-GR"/>
        </w:rPr>
        <w:t xml:space="preserve">, </w:t>
      </w:r>
      <w:r w:rsidR="00EB2D7E">
        <w:rPr>
          <w:rFonts w:cstheme="minorHAnsi"/>
          <w:sz w:val="24"/>
          <w:szCs w:val="24"/>
          <w:lang w:val="el-GR"/>
        </w:rPr>
        <w:t>για</w:t>
      </w:r>
      <w:r w:rsidR="00EB2D7E" w:rsidRPr="00EB2D7E">
        <w:rPr>
          <w:rFonts w:cstheme="minorHAnsi"/>
          <w:sz w:val="24"/>
          <w:szCs w:val="24"/>
          <w:lang w:val="el-GR"/>
        </w:rPr>
        <w:t xml:space="preserve"> </w:t>
      </w:r>
      <w:r w:rsidR="00EB2D7E">
        <w:rPr>
          <w:rFonts w:cstheme="minorHAnsi"/>
          <w:sz w:val="24"/>
          <w:szCs w:val="24"/>
          <w:lang w:val="el-GR"/>
        </w:rPr>
        <w:t>τους</w:t>
      </w:r>
      <w:r w:rsidR="00EB2D7E" w:rsidRPr="00EB2D7E">
        <w:rPr>
          <w:rFonts w:cstheme="minorHAnsi"/>
          <w:sz w:val="24"/>
          <w:szCs w:val="24"/>
          <w:lang w:val="el-GR"/>
        </w:rPr>
        <w:t xml:space="preserve"> </w:t>
      </w:r>
      <w:r w:rsidR="00EB2D7E">
        <w:rPr>
          <w:rFonts w:cstheme="minorHAnsi"/>
          <w:sz w:val="24"/>
          <w:szCs w:val="24"/>
          <w:lang w:val="el-GR"/>
        </w:rPr>
        <w:t>λόγους</w:t>
      </w:r>
      <w:r w:rsidR="00EB2D7E" w:rsidRPr="00EB2D7E">
        <w:rPr>
          <w:rFonts w:cstheme="minorHAnsi"/>
          <w:sz w:val="24"/>
          <w:szCs w:val="24"/>
          <w:lang w:val="el-GR"/>
        </w:rPr>
        <w:t xml:space="preserve"> </w:t>
      </w:r>
      <w:r w:rsidR="00EB2D7E">
        <w:rPr>
          <w:rFonts w:cstheme="minorHAnsi"/>
          <w:sz w:val="24"/>
          <w:szCs w:val="24"/>
          <w:lang w:val="el-GR"/>
        </w:rPr>
        <w:t>που</w:t>
      </w:r>
      <w:r w:rsidR="00EB2D7E" w:rsidRPr="00EB2D7E">
        <w:rPr>
          <w:rFonts w:cstheme="minorHAnsi"/>
          <w:sz w:val="24"/>
          <w:szCs w:val="24"/>
          <w:lang w:val="el-GR"/>
        </w:rPr>
        <w:t xml:space="preserve"> </w:t>
      </w:r>
      <w:r w:rsidR="00EB2D7E">
        <w:rPr>
          <w:rFonts w:cstheme="minorHAnsi"/>
          <w:sz w:val="24"/>
          <w:szCs w:val="24"/>
          <w:lang w:val="el-GR"/>
        </w:rPr>
        <w:t>εξηγούνται</w:t>
      </w:r>
      <w:r w:rsidR="00EB2D7E" w:rsidRPr="00EB2D7E">
        <w:rPr>
          <w:rFonts w:cstheme="minorHAnsi"/>
          <w:sz w:val="24"/>
          <w:szCs w:val="24"/>
          <w:lang w:val="el-GR"/>
        </w:rPr>
        <w:t xml:space="preserve"> </w:t>
      </w:r>
      <w:r w:rsidR="00EB2D7E">
        <w:rPr>
          <w:rFonts w:cstheme="minorHAnsi"/>
          <w:sz w:val="24"/>
          <w:szCs w:val="24"/>
          <w:lang w:val="el-GR"/>
        </w:rPr>
        <w:t>πιο</w:t>
      </w:r>
      <w:r w:rsidR="00EB2D7E" w:rsidRPr="00EB2D7E">
        <w:rPr>
          <w:rFonts w:cstheme="minorHAnsi"/>
          <w:sz w:val="24"/>
          <w:szCs w:val="24"/>
          <w:lang w:val="el-GR"/>
        </w:rPr>
        <w:t xml:space="preserve"> </w:t>
      </w:r>
      <w:r w:rsidR="00EB2D7E">
        <w:rPr>
          <w:rFonts w:cstheme="minorHAnsi"/>
          <w:sz w:val="24"/>
          <w:szCs w:val="24"/>
          <w:lang w:val="el-GR"/>
        </w:rPr>
        <w:t>πάνω</w:t>
      </w:r>
      <w:r w:rsidR="00401434" w:rsidRPr="00EB2D7E">
        <w:rPr>
          <w:rFonts w:cstheme="minorHAnsi"/>
          <w:sz w:val="24"/>
          <w:szCs w:val="24"/>
          <w:lang w:val="el-GR"/>
        </w:rPr>
        <w:t>,</w:t>
      </w:r>
      <w:r w:rsidRPr="00EB2D7E">
        <w:rPr>
          <w:rFonts w:cstheme="minorHAnsi"/>
          <w:sz w:val="24"/>
          <w:szCs w:val="24"/>
          <w:lang w:val="el-GR"/>
        </w:rPr>
        <w:t xml:space="preserve"> </w:t>
      </w:r>
      <w:r w:rsidR="006B2283">
        <w:rPr>
          <w:rFonts w:cstheme="minorHAnsi"/>
          <w:sz w:val="24"/>
          <w:szCs w:val="24"/>
          <w:lang w:val="el-GR"/>
        </w:rPr>
        <w:t>ασκούνται</w:t>
      </w:r>
      <w:r w:rsidR="00EB2D7E">
        <w:rPr>
          <w:rFonts w:cstheme="minorHAnsi"/>
          <w:sz w:val="24"/>
          <w:szCs w:val="24"/>
          <w:lang w:val="el-GR"/>
        </w:rPr>
        <w:t xml:space="preserve"> τώρα μόνο από τον Πρόεδρο της Δημοκρατίας</w:t>
      </w:r>
      <w:r w:rsidRPr="00EB2D7E">
        <w:rPr>
          <w:rFonts w:cstheme="minorHAnsi"/>
          <w:sz w:val="24"/>
          <w:szCs w:val="24"/>
          <w:lang w:val="el-GR"/>
        </w:rPr>
        <w:t xml:space="preserve">, </w:t>
      </w:r>
      <w:r w:rsidR="00EB2D7E">
        <w:rPr>
          <w:rFonts w:cstheme="minorHAnsi"/>
          <w:sz w:val="24"/>
          <w:szCs w:val="24"/>
          <w:lang w:val="el-GR"/>
        </w:rPr>
        <w:t>χωρίς το αντιστάθμισμα ενός Αντι</w:t>
      </w:r>
      <w:r w:rsidR="00D0409C">
        <w:rPr>
          <w:rFonts w:cstheme="minorHAnsi"/>
          <w:sz w:val="24"/>
          <w:szCs w:val="24"/>
          <w:lang w:val="el-GR"/>
        </w:rPr>
        <w:t>π</w:t>
      </w:r>
      <w:r w:rsidR="00EB2D7E">
        <w:rPr>
          <w:rFonts w:cstheme="minorHAnsi"/>
          <w:sz w:val="24"/>
          <w:szCs w:val="24"/>
          <w:lang w:val="el-GR"/>
        </w:rPr>
        <w:t>ροέδρου</w:t>
      </w:r>
      <w:r w:rsidRPr="00EB2D7E">
        <w:rPr>
          <w:rFonts w:cstheme="minorHAnsi"/>
          <w:sz w:val="24"/>
          <w:szCs w:val="24"/>
          <w:lang w:val="el-GR"/>
        </w:rPr>
        <w:t xml:space="preserve">. </w:t>
      </w:r>
      <w:bookmarkEnd w:id="36"/>
    </w:p>
    <w:p w14:paraId="198C89C6" w14:textId="77777777" w:rsidR="00A5147D" w:rsidRPr="00EB2D7E" w:rsidRDefault="00A5147D" w:rsidP="00A5147D">
      <w:pPr>
        <w:autoSpaceDE w:val="0"/>
        <w:autoSpaceDN w:val="0"/>
        <w:adjustRightInd w:val="0"/>
        <w:rPr>
          <w:rFonts w:cstheme="minorHAnsi"/>
          <w:sz w:val="24"/>
          <w:szCs w:val="24"/>
          <w:lang w:val="el-GR"/>
        </w:rPr>
      </w:pPr>
    </w:p>
    <w:p w14:paraId="3F8E2501" w14:textId="224CF3AB" w:rsidR="00A5147D" w:rsidRPr="00EB2D7E" w:rsidRDefault="00EB2D7E" w:rsidP="00A5147D">
      <w:pPr>
        <w:numPr>
          <w:ilvl w:val="0"/>
          <w:numId w:val="1"/>
        </w:numPr>
        <w:tabs>
          <w:tab w:val="clear" w:pos="6095"/>
          <w:tab w:val="left" w:pos="709"/>
        </w:tabs>
        <w:autoSpaceDE w:val="0"/>
        <w:autoSpaceDN w:val="0"/>
        <w:adjustRightInd w:val="0"/>
        <w:ind w:left="0" w:firstLine="0"/>
        <w:rPr>
          <w:rFonts w:cstheme="minorHAnsi"/>
          <w:sz w:val="24"/>
          <w:szCs w:val="24"/>
          <w:lang w:val="el-GR"/>
        </w:rPr>
      </w:pPr>
      <w:r>
        <w:rPr>
          <w:rFonts w:cstheme="minorHAnsi"/>
          <w:sz w:val="24"/>
          <w:szCs w:val="24"/>
          <w:lang w:val="el-GR"/>
        </w:rPr>
        <w:t>Ο</w:t>
      </w:r>
      <w:r w:rsidRPr="00EB2D7E">
        <w:rPr>
          <w:rFonts w:cstheme="minorHAnsi"/>
          <w:sz w:val="24"/>
          <w:szCs w:val="24"/>
          <w:lang w:val="el-GR"/>
        </w:rPr>
        <w:t xml:space="preserve"> </w:t>
      </w:r>
      <w:r>
        <w:rPr>
          <w:rFonts w:cstheme="minorHAnsi"/>
          <w:sz w:val="24"/>
          <w:szCs w:val="24"/>
          <w:lang w:val="el-GR"/>
        </w:rPr>
        <w:t>Πρόεδρος</w:t>
      </w:r>
      <w:r w:rsidRPr="00EB2D7E">
        <w:rPr>
          <w:rFonts w:cstheme="minorHAnsi"/>
          <w:sz w:val="24"/>
          <w:szCs w:val="24"/>
          <w:lang w:val="el-GR"/>
        </w:rPr>
        <w:t xml:space="preserve"> </w:t>
      </w:r>
      <w:r>
        <w:rPr>
          <w:rFonts w:cstheme="minorHAnsi"/>
          <w:sz w:val="24"/>
          <w:szCs w:val="24"/>
          <w:lang w:val="el-GR"/>
        </w:rPr>
        <w:t>έχει</w:t>
      </w:r>
      <w:r w:rsidRPr="00EB2D7E">
        <w:rPr>
          <w:rFonts w:cstheme="minorHAnsi"/>
          <w:sz w:val="24"/>
          <w:szCs w:val="24"/>
          <w:lang w:val="el-GR"/>
        </w:rPr>
        <w:t xml:space="preserve"> </w:t>
      </w:r>
      <w:r>
        <w:rPr>
          <w:rFonts w:cstheme="minorHAnsi"/>
          <w:sz w:val="24"/>
          <w:szCs w:val="24"/>
          <w:lang w:val="el-GR"/>
        </w:rPr>
        <w:t>το</w:t>
      </w:r>
      <w:r w:rsidRPr="00EB2D7E">
        <w:rPr>
          <w:rFonts w:cstheme="minorHAnsi"/>
          <w:sz w:val="24"/>
          <w:szCs w:val="24"/>
          <w:lang w:val="el-GR"/>
        </w:rPr>
        <w:t xml:space="preserve"> </w:t>
      </w:r>
      <w:r>
        <w:rPr>
          <w:rFonts w:cstheme="minorHAnsi"/>
          <w:sz w:val="24"/>
          <w:szCs w:val="24"/>
          <w:lang w:val="el-GR"/>
        </w:rPr>
        <w:t>δικαίωμα</w:t>
      </w:r>
      <w:r w:rsidRPr="00EB2D7E">
        <w:rPr>
          <w:rFonts w:cstheme="minorHAnsi"/>
          <w:sz w:val="24"/>
          <w:szCs w:val="24"/>
          <w:lang w:val="el-GR"/>
        </w:rPr>
        <w:t xml:space="preserve"> </w:t>
      </w:r>
      <w:r>
        <w:rPr>
          <w:rFonts w:cstheme="minorHAnsi"/>
          <w:sz w:val="24"/>
          <w:szCs w:val="24"/>
          <w:lang w:val="el-GR"/>
        </w:rPr>
        <w:t>να</w:t>
      </w:r>
      <w:r w:rsidRPr="00EB2D7E">
        <w:rPr>
          <w:rFonts w:cstheme="minorHAnsi"/>
          <w:sz w:val="24"/>
          <w:szCs w:val="24"/>
          <w:lang w:val="el-GR"/>
        </w:rPr>
        <w:t xml:space="preserve"> </w:t>
      </w:r>
      <w:r>
        <w:rPr>
          <w:rFonts w:cstheme="minorHAnsi"/>
          <w:sz w:val="24"/>
          <w:szCs w:val="24"/>
          <w:lang w:val="el-GR"/>
        </w:rPr>
        <w:t>ορίσει</w:t>
      </w:r>
      <w:r w:rsidRPr="00EB2D7E">
        <w:rPr>
          <w:rFonts w:cstheme="minorHAnsi"/>
          <w:sz w:val="24"/>
          <w:szCs w:val="24"/>
          <w:lang w:val="el-GR"/>
        </w:rPr>
        <w:t xml:space="preserve"> </w:t>
      </w:r>
      <w:r>
        <w:rPr>
          <w:rFonts w:cstheme="minorHAnsi"/>
          <w:sz w:val="24"/>
          <w:szCs w:val="24"/>
          <w:lang w:val="el-GR"/>
        </w:rPr>
        <w:t>και</w:t>
      </w:r>
      <w:r w:rsidRPr="00EB2D7E">
        <w:rPr>
          <w:rFonts w:cstheme="minorHAnsi"/>
          <w:sz w:val="24"/>
          <w:szCs w:val="24"/>
          <w:lang w:val="el-GR"/>
        </w:rPr>
        <w:t xml:space="preserve"> </w:t>
      </w:r>
      <w:r>
        <w:rPr>
          <w:rFonts w:cstheme="minorHAnsi"/>
          <w:sz w:val="24"/>
          <w:szCs w:val="24"/>
          <w:lang w:val="el-GR"/>
        </w:rPr>
        <w:t>να</w:t>
      </w:r>
      <w:r w:rsidRPr="00EB2D7E">
        <w:rPr>
          <w:rFonts w:cstheme="minorHAnsi"/>
          <w:sz w:val="24"/>
          <w:szCs w:val="24"/>
          <w:lang w:val="el-GR"/>
        </w:rPr>
        <w:t xml:space="preserve"> </w:t>
      </w:r>
      <w:r>
        <w:rPr>
          <w:rFonts w:cstheme="minorHAnsi"/>
          <w:sz w:val="24"/>
          <w:szCs w:val="24"/>
          <w:lang w:val="el-GR"/>
        </w:rPr>
        <w:t>παύσει</w:t>
      </w:r>
      <w:r w:rsidRPr="00EB2D7E">
        <w:rPr>
          <w:rFonts w:cstheme="minorHAnsi"/>
          <w:sz w:val="24"/>
          <w:szCs w:val="24"/>
          <w:lang w:val="el-GR"/>
        </w:rPr>
        <w:t xml:space="preserve"> </w:t>
      </w:r>
      <w:r>
        <w:rPr>
          <w:rFonts w:cstheme="minorHAnsi"/>
          <w:sz w:val="24"/>
          <w:szCs w:val="24"/>
          <w:lang w:val="el-GR"/>
        </w:rPr>
        <w:t>τον</w:t>
      </w:r>
      <w:r w:rsidRPr="00EB2D7E">
        <w:rPr>
          <w:rFonts w:cstheme="minorHAnsi"/>
          <w:sz w:val="24"/>
          <w:szCs w:val="24"/>
          <w:lang w:val="el-GR"/>
        </w:rPr>
        <w:t xml:space="preserve"> </w:t>
      </w:r>
      <w:r>
        <w:rPr>
          <w:rFonts w:cstheme="minorHAnsi"/>
          <w:sz w:val="24"/>
          <w:szCs w:val="24"/>
          <w:lang w:val="el-GR"/>
        </w:rPr>
        <w:t>διορισμό</w:t>
      </w:r>
      <w:r w:rsidRPr="00EB2D7E">
        <w:rPr>
          <w:rFonts w:cstheme="minorHAnsi"/>
          <w:sz w:val="24"/>
          <w:szCs w:val="24"/>
          <w:lang w:val="el-GR"/>
        </w:rPr>
        <w:t xml:space="preserve"> </w:t>
      </w:r>
      <w:r>
        <w:rPr>
          <w:rFonts w:cstheme="minorHAnsi"/>
          <w:sz w:val="24"/>
          <w:szCs w:val="24"/>
          <w:lang w:val="el-GR"/>
        </w:rPr>
        <w:t>Ελλήνων</w:t>
      </w:r>
      <w:r w:rsidRPr="00EB2D7E">
        <w:rPr>
          <w:rFonts w:cstheme="minorHAnsi"/>
          <w:sz w:val="24"/>
          <w:szCs w:val="24"/>
          <w:lang w:val="el-GR"/>
        </w:rPr>
        <w:t xml:space="preserve"> </w:t>
      </w:r>
      <w:r>
        <w:rPr>
          <w:rFonts w:cstheme="minorHAnsi"/>
          <w:sz w:val="24"/>
          <w:szCs w:val="24"/>
          <w:lang w:val="el-GR"/>
        </w:rPr>
        <w:t>Υπουργών</w:t>
      </w:r>
      <w:r w:rsidR="00A5147D" w:rsidRPr="00EB2D7E">
        <w:rPr>
          <w:rFonts w:cstheme="minorHAnsi"/>
          <w:sz w:val="24"/>
          <w:szCs w:val="24"/>
          <w:lang w:val="el-GR"/>
        </w:rPr>
        <w:t xml:space="preserve">. </w:t>
      </w:r>
      <w:r>
        <w:rPr>
          <w:rFonts w:cstheme="minorHAnsi"/>
          <w:sz w:val="24"/>
          <w:szCs w:val="24"/>
          <w:lang w:val="el-GR"/>
        </w:rPr>
        <w:t>Σε</w:t>
      </w:r>
      <w:r w:rsidRPr="00EB2D7E">
        <w:rPr>
          <w:rFonts w:cstheme="minorHAnsi"/>
          <w:sz w:val="24"/>
          <w:szCs w:val="24"/>
          <w:lang w:val="el-GR"/>
        </w:rPr>
        <w:t xml:space="preserve"> </w:t>
      </w:r>
      <w:r>
        <w:rPr>
          <w:rFonts w:cstheme="minorHAnsi"/>
          <w:sz w:val="24"/>
          <w:szCs w:val="24"/>
          <w:lang w:val="el-GR"/>
        </w:rPr>
        <w:t>σχέση</w:t>
      </w:r>
      <w:r w:rsidRPr="00EB2D7E">
        <w:rPr>
          <w:rFonts w:cstheme="minorHAnsi"/>
          <w:sz w:val="24"/>
          <w:szCs w:val="24"/>
          <w:lang w:val="el-GR"/>
        </w:rPr>
        <w:t xml:space="preserve"> </w:t>
      </w:r>
      <w:r>
        <w:rPr>
          <w:rFonts w:cstheme="minorHAnsi"/>
          <w:sz w:val="24"/>
          <w:szCs w:val="24"/>
          <w:lang w:val="el-GR"/>
        </w:rPr>
        <w:t>με</w:t>
      </w:r>
      <w:r w:rsidRPr="00EB2D7E">
        <w:rPr>
          <w:rFonts w:cstheme="minorHAnsi"/>
          <w:sz w:val="24"/>
          <w:szCs w:val="24"/>
          <w:lang w:val="el-GR"/>
        </w:rPr>
        <w:t xml:space="preserve"> </w:t>
      </w:r>
      <w:r>
        <w:rPr>
          <w:rFonts w:cstheme="minorHAnsi"/>
          <w:sz w:val="24"/>
          <w:szCs w:val="24"/>
          <w:lang w:val="el-GR"/>
        </w:rPr>
        <w:t>το</w:t>
      </w:r>
      <w:r w:rsidRPr="00EB2D7E">
        <w:rPr>
          <w:rFonts w:cstheme="minorHAnsi"/>
          <w:sz w:val="24"/>
          <w:szCs w:val="24"/>
          <w:lang w:val="el-GR"/>
        </w:rPr>
        <w:t xml:space="preserve"> </w:t>
      </w:r>
      <w:r>
        <w:rPr>
          <w:rFonts w:cstheme="minorHAnsi"/>
          <w:sz w:val="24"/>
          <w:szCs w:val="24"/>
          <w:lang w:val="el-GR"/>
        </w:rPr>
        <w:t>Υπουργικό</w:t>
      </w:r>
      <w:r w:rsidRPr="00EB2D7E">
        <w:rPr>
          <w:rFonts w:cstheme="minorHAnsi"/>
          <w:sz w:val="24"/>
          <w:szCs w:val="24"/>
          <w:lang w:val="el-GR"/>
        </w:rPr>
        <w:t xml:space="preserve"> </w:t>
      </w:r>
      <w:r>
        <w:rPr>
          <w:rFonts w:cstheme="minorHAnsi"/>
          <w:sz w:val="24"/>
          <w:szCs w:val="24"/>
          <w:lang w:val="el-GR"/>
        </w:rPr>
        <w:t>Συμβούλιο</w:t>
      </w:r>
      <w:r w:rsidR="00A5147D" w:rsidRPr="00EB2D7E">
        <w:rPr>
          <w:rFonts w:cstheme="minorHAnsi"/>
          <w:sz w:val="24"/>
          <w:szCs w:val="24"/>
          <w:lang w:val="el-GR"/>
        </w:rPr>
        <w:t xml:space="preserve">, </w:t>
      </w:r>
      <w:r>
        <w:rPr>
          <w:rFonts w:cstheme="minorHAnsi"/>
          <w:sz w:val="24"/>
          <w:szCs w:val="24"/>
          <w:lang w:val="el-GR"/>
        </w:rPr>
        <w:t>ο</w:t>
      </w:r>
      <w:r w:rsidRPr="00EB2D7E">
        <w:rPr>
          <w:rFonts w:cstheme="minorHAnsi"/>
          <w:sz w:val="24"/>
          <w:szCs w:val="24"/>
          <w:lang w:val="el-GR"/>
        </w:rPr>
        <w:t xml:space="preserve"> </w:t>
      </w:r>
      <w:r>
        <w:rPr>
          <w:rFonts w:cstheme="minorHAnsi"/>
          <w:sz w:val="24"/>
          <w:szCs w:val="24"/>
          <w:lang w:val="el-GR"/>
        </w:rPr>
        <w:t>Πρόεδρος</w:t>
      </w:r>
      <w:r w:rsidRPr="00EB2D7E">
        <w:rPr>
          <w:rFonts w:cstheme="minorHAnsi"/>
          <w:sz w:val="24"/>
          <w:szCs w:val="24"/>
          <w:lang w:val="el-GR"/>
        </w:rPr>
        <w:t xml:space="preserve"> </w:t>
      </w:r>
      <w:r>
        <w:rPr>
          <w:rFonts w:cstheme="minorHAnsi"/>
          <w:sz w:val="24"/>
          <w:szCs w:val="24"/>
          <w:lang w:val="el-GR"/>
        </w:rPr>
        <w:t>προσκαλεί</w:t>
      </w:r>
      <w:r w:rsidRPr="00EB2D7E">
        <w:rPr>
          <w:rFonts w:cstheme="minorHAnsi"/>
          <w:sz w:val="24"/>
          <w:szCs w:val="24"/>
          <w:lang w:val="el-GR"/>
        </w:rPr>
        <w:t xml:space="preserve"> </w:t>
      </w:r>
      <w:r>
        <w:rPr>
          <w:rFonts w:cstheme="minorHAnsi"/>
          <w:sz w:val="24"/>
          <w:szCs w:val="24"/>
          <w:lang w:val="el-GR"/>
        </w:rPr>
        <w:t>τις</w:t>
      </w:r>
      <w:r w:rsidRPr="00EB2D7E">
        <w:rPr>
          <w:rFonts w:cstheme="minorHAnsi"/>
          <w:sz w:val="24"/>
          <w:szCs w:val="24"/>
          <w:lang w:val="el-GR"/>
        </w:rPr>
        <w:t xml:space="preserve"> </w:t>
      </w:r>
      <w:r>
        <w:rPr>
          <w:rFonts w:cstheme="minorHAnsi"/>
          <w:sz w:val="24"/>
          <w:szCs w:val="24"/>
          <w:lang w:val="el-GR"/>
        </w:rPr>
        <w:t>συνεδρίες</w:t>
      </w:r>
      <w:r w:rsidRPr="00EB2D7E">
        <w:rPr>
          <w:rFonts w:cstheme="minorHAnsi"/>
          <w:sz w:val="24"/>
          <w:szCs w:val="24"/>
          <w:lang w:val="el-GR"/>
        </w:rPr>
        <w:t xml:space="preserve"> </w:t>
      </w:r>
      <w:r>
        <w:rPr>
          <w:rFonts w:cstheme="minorHAnsi"/>
          <w:sz w:val="24"/>
          <w:szCs w:val="24"/>
          <w:lang w:val="el-GR"/>
        </w:rPr>
        <w:t>του</w:t>
      </w:r>
      <w:r w:rsidRPr="00EB2D7E">
        <w:rPr>
          <w:rFonts w:cstheme="minorHAnsi"/>
          <w:sz w:val="24"/>
          <w:szCs w:val="24"/>
          <w:lang w:val="el-GR"/>
        </w:rPr>
        <w:t xml:space="preserve"> </w:t>
      </w:r>
      <w:r>
        <w:rPr>
          <w:rFonts w:cstheme="minorHAnsi"/>
          <w:sz w:val="24"/>
          <w:szCs w:val="24"/>
          <w:lang w:val="el-GR"/>
        </w:rPr>
        <w:t>και</w:t>
      </w:r>
      <w:r w:rsidRPr="00EB2D7E">
        <w:rPr>
          <w:rFonts w:cstheme="minorHAnsi"/>
          <w:sz w:val="24"/>
          <w:szCs w:val="24"/>
          <w:lang w:val="el-GR"/>
        </w:rPr>
        <w:t xml:space="preserve"> </w:t>
      </w:r>
      <w:r>
        <w:rPr>
          <w:rFonts w:cstheme="minorHAnsi"/>
          <w:sz w:val="24"/>
          <w:szCs w:val="24"/>
          <w:lang w:val="el-GR"/>
        </w:rPr>
        <w:t>τις</w:t>
      </w:r>
      <w:r w:rsidRPr="00EB2D7E">
        <w:rPr>
          <w:rFonts w:cstheme="minorHAnsi"/>
          <w:sz w:val="24"/>
          <w:szCs w:val="24"/>
          <w:lang w:val="el-GR"/>
        </w:rPr>
        <w:t xml:space="preserve"> </w:t>
      </w:r>
      <w:r>
        <w:rPr>
          <w:rFonts w:cstheme="minorHAnsi"/>
          <w:sz w:val="24"/>
          <w:szCs w:val="24"/>
          <w:lang w:val="el-GR"/>
        </w:rPr>
        <w:t>προεδρεύει</w:t>
      </w:r>
      <w:r w:rsidR="00A5147D" w:rsidRPr="00EB2D7E">
        <w:rPr>
          <w:rFonts w:cstheme="minorHAnsi"/>
          <w:sz w:val="24"/>
          <w:szCs w:val="24"/>
          <w:lang w:val="el-GR"/>
        </w:rPr>
        <w:t xml:space="preserve">, </w:t>
      </w:r>
      <w:r>
        <w:rPr>
          <w:rFonts w:cstheme="minorHAnsi"/>
          <w:sz w:val="24"/>
          <w:szCs w:val="24"/>
          <w:lang w:val="el-GR"/>
        </w:rPr>
        <w:t>συμμετέχει στις συζητήσεις</w:t>
      </w:r>
      <w:r w:rsidR="00A5147D" w:rsidRPr="00EB2D7E">
        <w:rPr>
          <w:rFonts w:cstheme="minorHAnsi"/>
          <w:sz w:val="24"/>
          <w:szCs w:val="24"/>
          <w:lang w:val="el-GR"/>
        </w:rPr>
        <w:t xml:space="preserve"> </w:t>
      </w:r>
      <w:r>
        <w:rPr>
          <w:rFonts w:cstheme="minorHAnsi"/>
          <w:sz w:val="24"/>
          <w:szCs w:val="24"/>
          <w:lang w:val="el-GR"/>
        </w:rPr>
        <w:t>χωρίς να έχει το δικαίωμα να ψηφίζει</w:t>
      </w:r>
      <w:r w:rsidR="00A5147D" w:rsidRPr="00EB2D7E">
        <w:rPr>
          <w:rFonts w:cstheme="minorHAnsi"/>
          <w:sz w:val="24"/>
          <w:szCs w:val="24"/>
          <w:lang w:val="el-GR"/>
        </w:rPr>
        <w:t xml:space="preserve"> </w:t>
      </w:r>
      <w:r>
        <w:rPr>
          <w:rFonts w:cstheme="minorHAnsi"/>
          <w:sz w:val="24"/>
          <w:szCs w:val="24"/>
          <w:lang w:val="el-GR"/>
        </w:rPr>
        <w:t>και</w:t>
      </w:r>
      <w:r w:rsidR="00A5147D" w:rsidRPr="00EB2D7E">
        <w:rPr>
          <w:rFonts w:cstheme="minorHAnsi"/>
          <w:sz w:val="24"/>
          <w:szCs w:val="24"/>
          <w:lang w:val="el-GR"/>
        </w:rPr>
        <w:t xml:space="preserve"> </w:t>
      </w:r>
      <w:r>
        <w:rPr>
          <w:rFonts w:cstheme="minorHAnsi"/>
          <w:sz w:val="24"/>
          <w:szCs w:val="24"/>
          <w:lang w:val="el-GR"/>
        </w:rPr>
        <w:t>ετοιμάζει την ημερησία διάταξη για τις συνεδρίες αυτές</w:t>
      </w:r>
      <w:r w:rsidR="00A5147D" w:rsidRPr="00EB2D7E">
        <w:rPr>
          <w:rFonts w:cstheme="minorHAnsi"/>
          <w:sz w:val="24"/>
          <w:szCs w:val="24"/>
          <w:lang w:val="el-GR"/>
        </w:rPr>
        <w:t xml:space="preserve">. </w:t>
      </w:r>
      <w:r>
        <w:rPr>
          <w:rFonts w:cstheme="minorHAnsi"/>
          <w:sz w:val="24"/>
          <w:szCs w:val="24"/>
          <w:lang w:val="el-GR"/>
        </w:rPr>
        <w:t>Αυτός</w:t>
      </w:r>
      <w:r w:rsidRPr="00EB2D7E">
        <w:rPr>
          <w:rFonts w:cstheme="minorHAnsi"/>
          <w:sz w:val="24"/>
          <w:szCs w:val="24"/>
          <w:lang w:val="el-GR"/>
        </w:rPr>
        <w:t>/</w:t>
      </w:r>
      <w:r>
        <w:rPr>
          <w:rFonts w:cstheme="minorHAnsi"/>
          <w:sz w:val="24"/>
          <w:szCs w:val="24"/>
          <w:lang w:val="el-GR"/>
        </w:rPr>
        <w:t>ή</w:t>
      </w:r>
      <w:r w:rsidRPr="00EB2D7E">
        <w:rPr>
          <w:rFonts w:cstheme="minorHAnsi"/>
          <w:sz w:val="24"/>
          <w:szCs w:val="24"/>
          <w:lang w:val="el-GR"/>
        </w:rPr>
        <w:t xml:space="preserve"> </w:t>
      </w:r>
      <w:r>
        <w:rPr>
          <w:rFonts w:cstheme="minorHAnsi"/>
          <w:sz w:val="24"/>
          <w:szCs w:val="24"/>
          <w:lang w:val="el-GR"/>
        </w:rPr>
        <w:t>έχει</w:t>
      </w:r>
      <w:r w:rsidRPr="00EB2D7E">
        <w:rPr>
          <w:rFonts w:cstheme="minorHAnsi"/>
          <w:sz w:val="24"/>
          <w:szCs w:val="24"/>
          <w:lang w:val="el-GR"/>
        </w:rPr>
        <w:t xml:space="preserve"> </w:t>
      </w:r>
      <w:r>
        <w:rPr>
          <w:rFonts w:cstheme="minorHAnsi"/>
          <w:sz w:val="24"/>
          <w:szCs w:val="24"/>
          <w:lang w:val="el-GR"/>
        </w:rPr>
        <w:t>το</w:t>
      </w:r>
      <w:r w:rsidRPr="00EB2D7E">
        <w:rPr>
          <w:rFonts w:cstheme="minorHAnsi"/>
          <w:sz w:val="24"/>
          <w:szCs w:val="24"/>
          <w:lang w:val="el-GR"/>
        </w:rPr>
        <w:t xml:space="preserve"> </w:t>
      </w:r>
      <w:r w:rsidRPr="00EB2D7E">
        <w:rPr>
          <w:rFonts w:cstheme="minorHAnsi"/>
          <w:i/>
          <w:sz w:val="24"/>
          <w:szCs w:val="24"/>
          <w:lang w:val="el-GR"/>
        </w:rPr>
        <w:t>δικαίω</w:t>
      </w:r>
      <w:r>
        <w:rPr>
          <w:rFonts w:cstheme="minorHAnsi"/>
          <w:i/>
          <w:sz w:val="24"/>
          <w:szCs w:val="24"/>
          <w:lang w:val="el-GR"/>
        </w:rPr>
        <w:t>μα</w:t>
      </w:r>
      <w:r w:rsidRPr="00EB2D7E">
        <w:rPr>
          <w:rFonts w:cstheme="minorHAnsi"/>
          <w:i/>
          <w:sz w:val="24"/>
          <w:szCs w:val="24"/>
          <w:lang w:val="el-GR"/>
        </w:rPr>
        <w:t xml:space="preserve"> </w:t>
      </w:r>
      <w:r>
        <w:rPr>
          <w:rFonts w:cstheme="minorHAnsi"/>
          <w:i/>
          <w:sz w:val="24"/>
          <w:szCs w:val="24"/>
          <w:lang w:val="el-GR"/>
        </w:rPr>
        <w:t>του</w:t>
      </w:r>
      <w:r w:rsidRPr="00EB2D7E">
        <w:rPr>
          <w:rFonts w:cstheme="minorHAnsi"/>
          <w:i/>
          <w:sz w:val="24"/>
          <w:szCs w:val="24"/>
          <w:lang w:val="el-GR"/>
        </w:rPr>
        <w:t xml:space="preserve"> </w:t>
      </w:r>
      <w:r>
        <w:rPr>
          <w:rFonts w:cstheme="minorHAnsi"/>
          <w:i/>
          <w:sz w:val="24"/>
          <w:szCs w:val="24"/>
          <w:lang w:val="el-GR"/>
        </w:rPr>
        <w:t>τελικού</w:t>
      </w:r>
      <w:r w:rsidRPr="00EB2D7E">
        <w:rPr>
          <w:rFonts w:cstheme="minorHAnsi"/>
          <w:i/>
          <w:sz w:val="24"/>
          <w:szCs w:val="24"/>
          <w:lang w:val="el-GR"/>
        </w:rPr>
        <w:t xml:space="preserve"> </w:t>
      </w:r>
      <w:r>
        <w:rPr>
          <w:rFonts w:cstheme="minorHAnsi"/>
          <w:i/>
          <w:sz w:val="24"/>
          <w:szCs w:val="24"/>
          <w:lang w:val="el-GR"/>
        </w:rPr>
        <w:t>βέτο</w:t>
      </w:r>
      <w:r w:rsidR="00A5147D" w:rsidRPr="00EB2D7E">
        <w:rPr>
          <w:rFonts w:cstheme="minorHAnsi"/>
          <w:sz w:val="24"/>
          <w:szCs w:val="24"/>
          <w:lang w:val="el-GR"/>
        </w:rPr>
        <w:t xml:space="preserve"> </w:t>
      </w:r>
      <w:r>
        <w:rPr>
          <w:rFonts w:cstheme="minorHAnsi"/>
          <w:sz w:val="24"/>
          <w:szCs w:val="24"/>
          <w:lang w:val="el-GR"/>
        </w:rPr>
        <w:t>πάνω</w:t>
      </w:r>
      <w:r w:rsidRPr="00EB2D7E">
        <w:rPr>
          <w:rFonts w:cstheme="minorHAnsi"/>
          <w:sz w:val="24"/>
          <w:szCs w:val="24"/>
          <w:lang w:val="el-GR"/>
        </w:rPr>
        <w:t xml:space="preserve"> </w:t>
      </w:r>
      <w:r>
        <w:rPr>
          <w:rFonts w:cstheme="minorHAnsi"/>
          <w:sz w:val="24"/>
          <w:szCs w:val="24"/>
          <w:lang w:val="el-GR"/>
        </w:rPr>
        <w:t>σε</w:t>
      </w:r>
      <w:r w:rsidRPr="00EB2D7E">
        <w:rPr>
          <w:rFonts w:cstheme="minorHAnsi"/>
          <w:sz w:val="24"/>
          <w:szCs w:val="24"/>
          <w:lang w:val="el-GR"/>
        </w:rPr>
        <w:t xml:space="preserve"> </w:t>
      </w:r>
      <w:r>
        <w:rPr>
          <w:rFonts w:cstheme="minorHAnsi"/>
          <w:sz w:val="24"/>
          <w:szCs w:val="24"/>
          <w:lang w:val="el-GR"/>
        </w:rPr>
        <w:t>αποφάσεις</w:t>
      </w:r>
      <w:r w:rsidRPr="00EB2D7E">
        <w:rPr>
          <w:rFonts w:cstheme="minorHAnsi"/>
          <w:sz w:val="24"/>
          <w:szCs w:val="24"/>
          <w:lang w:val="el-GR"/>
        </w:rPr>
        <w:t xml:space="preserve"> </w:t>
      </w:r>
      <w:r>
        <w:rPr>
          <w:rFonts w:cstheme="minorHAnsi"/>
          <w:sz w:val="24"/>
          <w:szCs w:val="24"/>
          <w:lang w:val="el-GR"/>
        </w:rPr>
        <w:t>του</w:t>
      </w:r>
      <w:r w:rsidRPr="00EB2D7E">
        <w:rPr>
          <w:rFonts w:cstheme="minorHAnsi"/>
          <w:sz w:val="24"/>
          <w:szCs w:val="24"/>
          <w:lang w:val="el-GR"/>
        </w:rPr>
        <w:t xml:space="preserve"> </w:t>
      </w:r>
      <w:r>
        <w:rPr>
          <w:rFonts w:cstheme="minorHAnsi"/>
          <w:sz w:val="24"/>
          <w:szCs w:val="24"/>
          <w:lang w:val="el-GR"/>
        </w:rPr>
        <w:t>Υπουργικού</w:t>
      </w:r>
      <w:r w:rsidRPr="00EB2D7E">
        <w:rPr>
          <w:rFonts w:cstheme="minorHAnsi"/>
          <w:sz w:val="24"/>
          <w:szCs w:val="24"/>
          <w:lang w:val="el-GR"/>
        </w:rPr>
        <w:t xml:space="preserve"> </w:t>
      </w:r>
      <w:r>
        <w:rPr>
          <w:rFonts w:cstheme="minorHAnsi"/>
          <w:sz w:val="24"/>
          <w:szCs w:val="24"/>
          <w:lang w:val="el-GR"/>
        </w:rPr>
        <w:t>Συμβουλίου</w:t>
      </w:r>
      <w:r w:rsidR="00A5147D" w:rsidRPr="00EB2D7E">
        <w:rPr>
          <w:rFonts w:cstheme="minorHAnsi"/>
          <w:sz w:val="24"/>
          <w:szCs w:val="24"/>
          <w:lang w:val="el-GR"/>
        </w:rPr>
        <w:t xml:space="preserve"> </w:t>
      </w:r>
      <w:r>
        <w:rPr>
          <w:rFonts w:cstheme="minorHAnsi"/>
          <w:sz w:val="24"/>
          <w:szCs w:val="24"/>
          <w:lang w:val="el-GR"/>
        </w:rPr>
        <w:t>που</w:t>
      </w:r>
      <w:r w:rsidRPr="00EB2D7E">
        <w:rPr>
          <w:rFonts w:cstheme="minorHAnsi"/>
          <w:sz w:val="24"/>
          <w:szCs w:val="24"/>
          <w:lang w:val="el-GR"/>
        </w:rPr>
        <w:t xml:space="preserve"> </w:t>
      </w:r>
      <w:r>
        <w:rPr>
          <w:rFonts w:cstheme="minorHAnsi"/>
          <w:sz w:val="24"/>
          <w:szCs w:val="24"/>
          <w:lang w:val="el-GR"/>
        </w:rPr>
        <w:t>αφορούν</w:t>
      </w:r>
      <w:r w:rsidRPr="00EB2D7E">
        <w:rPr>
          <w:rFonts w:cstheme="minorHAnsi"/>
          <w:sz w:val="24"/>
          <w:szCs w:val="24"/>
          <w:lang w:val="el-GR"/>
        </w:rPr>
        <w:t xml:space="preserve"> </w:t>
      </w:r>
      <w:r>
        <w:rPr>
          <w:rFonts w:cstheme="minorHAnsi"/>
          <w:sz w:val="24"/>
          <w:szCs w:val="24"/>
          <w:lang w:val="el-GR"/>
        </w:rPr>
        <w:t xml:space="preserve">εξωτερικές </w:t>
      </w:r>
      <w:r>
        <w:rPr>
          <w:rFonts w:cstheme="minorHAnsi"/>
          <w:sz w:val="24"/>
          <w:szCs w:val="24"/>
          <w:lang w:val="el-GR"/>
        </w:rPr>
        <w:lastRenderedPageBreak/>
        <w:t>υποθέσεις</w:t>
      </w:r>
      <w:r w:rsidR="00A5147D" w:rsidRPr="00EB2D7E">
        <w:rPr>
          <w:rFonts w:cstheme="minorHAnsi"/>
          <w:sz w:val="24"/>
          <w:szCs w:val="24"/>
          <w:lang w:val="el-GR"/>
        </w:rPr>
        <w:t xml:space="preserve">, </w:t>
      </w:r>
      <w:r>
        <w:rPr>
          <w:rFonts w:cstheme="minorHAnsi"/>
          <w:sz w:val="24"/>
          <w:szCs w:val="24"/>
          <w:lang w:val="el-GR"/>
        </w:rPr>
        <w:t>την άμυνα ή την ασφάλεια</w:t>
      </w:r>
      <w:r w:rsidR="00A5147D" w:rsidRPr="00EB2D7E">
        <w:rPr>
          <w:rFonts w:cstheme="minorHAnsi"/>
          <w:sz w:val="24"/>
          <w:szCs w:val="24"/>
          <w:lang w:val="el-GR"/>
        </w:rPr>
        <w:t xml:space="preserve"> </w:t>
      </w:r>
      <w:r>
        <w:rPr>
          <w:rFonts w:cstheme="minorHAnsi"/>
          <w:sz w:val="24"/>
          <w:szCs w:val="24"/>
          <w:lang w:val="el-GR"/>
        </w:rPr>
        <w:t xml:space="preserve">και το δικαίωμα </w:t>
      </w:r>
      <w:r w:rsidR="00D0409C">
        <w:rPr>
          <w:rFonts w:cstheme="minorHAnsi"/>
          <w:sz w:val="24"/>
          <w:szCs w:val="24"/>
          <w:lang w:val="el-GR"/>
        </w:rPr>
        <w:t xml:space="preserve">αναπομπής </w:t>
      </w:r>
      <w:r>
        <w:rPr>
          <w:rFonts w:cstheme="minorHAnsi"/>
          <w:sz w:val="24"/>
          <w:szCs w:val="24"/>
          <w:lang w:val="el-GR"/>
        </w:rPr>
        <w:t>των αποφάσεων του Υπουργικού Συμβουλίου</w:t>
      </w:r>
      <w:r w:rsidR="00A5147D" w:rsidRPr="00EB2D7E">
        <w:rPr>
          <w:rFonts w:cstheme="minorHAnsi"/>
          <w:sz w:val="24"/>
          <w:szCs w:val="24"/>
          <w:lang w:val="el-GR"/>
        </w:rPr>
        <w:t>.</w:t>
      </w:r>
      <w:r w:rsidR="00A5147D" w:rsidRPr="004E251E">
        <w:rPr>
          <w:rStyle w:val="FootnoteReference"/>
          <w:rFonts w:cstheme="minorHAnsi"/>
          <w:sz w:val="24"/>
          <w:szCs w:val="24"/>
        </w:rPr>
        <w:footnoteReference w:id="21"/>
      </w:r>
      <w:r w:rsidR="00A5147D" w:rsidRPr="00EB2D7E">
        <w:rPr>
          <w:rFonts w:cstheme="minorHAnsi"/>
          <w:sz w:val="24"/>
          <w:szCs w:val="24"/>
          <w:lang w:val="el-GR"/>
        </w:rPr>
        <w:t xml:space="preserve"> </w:t>
      </w:r>
    </w:p>
    <w:p w14:paraId="4B2E7A6B" w14:textId="77777777" w:rsidR="00A5147D" w:rsidRPr="00EB2D7E" w:rsidRDefault="00A5147D" w:rsidP="00A5147D">
      <w:pPr>
        <w:tabs>
          <w:tab w:val="left" w:pos="709"/>
        </w:tabs>
        <w:autoSpaceDE w:val="0"/>
        <w:autoSpaceDN w:val="0"/>
        <w:adjustRightInd w:val="0"/>
        <w:rPr>
          <w:rFonts w:cstheme="minorHAnsi"/>
          <w:sz w:val="24"/>
          <w:szCs w:val="24"/>
          <w:lang w:val="el-GR"/>
        </w:rPr>
      </w:pPr>
    </w:p>
    <w:p w14:paraId="511B39A8" w14:textId="620DB545" w:rsidR="00A5147D" w:rsidRPr="00AB0D35" w:rsidRDefault="00AB0D35" w:rsidP="00A5147D">
      <w:pPr>
        <w:numPr>
          <w:ilvl w:val="0"/>
          <w:numId w:val="1"/>
        </w:numPr>
        <w:tabs>
          <w:tab w:val="clear" w:pos="6095"/>
          <w:tab w:val="left" w:pos="709"/>
        </w:tabs>
        <w:autoSpaceDE w:val="0"/>
        <w:autoSpaceDN w:val="0"/>
        <w:adjustRightInd w:val="0"/>
        <w:ind w:left="0" w:firstLine="0"/>
        <w:rPr>
          <w:rFonts w:cstheme="minorHAnsi"/>
          <w:sz w:val="24"/>
          <w:szCs w:val="24"/>
          <w:lang w:val="el-GR"/>
        </w:rPr>
      </w:pPr>
      <w:r>
        <w:rPr>
          <w:rFonts w:cstheme="minorHAnsi"/>
          <w:sz w:val="24"/>
          <w:szCs w:val="24"/>
          <w:lang w:val="el-GR"/>
        </w:rPr>
        <w:t>Σε</w:t>
      </w:r>
      <w:r w:rsidRPr="00AB0D35">
        <w:rPr>
          <w:rFonts w:cstheme="minorHAnsi"/>
          <w:sz w:val="24"/>
          <w:szCs w:val="24"/>
          <w:lang w:val="el-GR"/>
        </w:rPr>
        <w:t xml:space="preserve"> </w:t>
      </w:r>
      <w:r>
        <w:rPr>
          <w:rFonts w:cstheme="minorHAnsi"/>
          <w:sz w:val="24"/>
          <w:szCs w:val="24"/>
          <w:lang w:val="el-GR"/>
        </w:rPr>
        <w:t>σχέση</w:t>
      </w:r>
      <w:r w:rsidRPr="00AB0D35">
        <w:rPr>
          <w:rFonts w:cstheme="minorHAnsi"/>
          <w:sz w:val="24"/>
          <w:szCs w:val="24"/>
          <w:lang w:val="el-GR"/>
        </w:rPr>
        <w:t xml:space="preserve"> </w:t>
      </w:r>
      <w:r>
        <w:rPr>
          <w:rFonts w:cstheme="minorHAnsi"/>
          <w:sz w:val="24"/>
          <w:szCs w:val="24"/>
          <w:lang w:val="el-GR"/>
        </w:rPr>
        <w:t>με</w:t>
      </w:r>
      <w:r w:rsidRPr="00AB0D35">
        <w:rPr>
          <w:rFonts w:cstheme="minorHAnsi"/>
          <w:sz w:val="24"/>
          <w:szCs w:val="24"/>
          <w:lang w:val="el-GR"/>
        </w:rPr>
        <w:t xml:space="preserve"> </w:t>
      </w:r>
      <w:r>
        <w:rPr>
          <w:rFonts w:cstheme="minorHAnsi"/>
          <w:sz w:val="24"/>
          <w:szCs w:val="24"/>
          <w:lang w:val="el-GR"/>
        </w:rPr>
        <w:t>την</w:t>
      </w:r>
      <w:r w:rsidRPr="00AB0D35">
        <w:rPr>
          <w:rFonts w:cstheme="minorHAnsi"/>
          <w:sz w:val="24"/>
          <w:szCs w:val="24"/>
          <w:lang w:val="el-GR"/>
        </w:rPr>
        <w:t xml:space="preserve"> </w:t>
      </w:r>
      <w:r>
        <w:rPr>
          <w:rFonts w:cstheme="minorHAnsi"/>
          <w:sz w:val="24"/>
          <w:szCs w:val="24"/>
          <w:lang w:val="el-GR"/>
        </w:rPr>
        <w:t>Βουλή</w:t>
      </w:r>
      <w:r w:rsidR="00A5147D" w:rsidRPr="00AB0D35">
        <w:rPr>
          <w:rFonts w:cstheme="minorHAnsi"/>
          <w:sz w:val="24"/>
          <w:szCs w:val="24"/>
          <w:lang w:val="el-GR"/>
        </w:rPr>
        <w:t xml:space="preserve">, </w:t>
      </w:r>
      <w:r>
        <w:rPr>
          <w:rFonts w:cstheme="minorHAnsi"/>
          <w:sz w:val="24"/>
          <w:szCs w:val="24"/>
          <w:lang w:val="el-GR"/>
        </w:rPr>
        <w:t>ο</w:t>
      </w:r>
      <w:r w:rsidRPr="00AB0D35">
        <w:rPr>
          <w:rFonts w:cstheme="minorHAnsi"/>
          <w:sz w:val="24"/>
          <w:szCs w:val="24"/>
          <w:lang w:val="el-GR"/>
        </w:rPr>
        <w:t xml:space="preserve"> </w:t>
      </w:r>
      <w:r>
        <w:rPr>
          <w:rFonts w:cstheme="minorHAnsi"/>
          <w:sz w:val="24"/>
          <w:szCs w:val="24"/>
          <w:lang w:val="el-GR"/>
        </w:rPr>
        <w:t>Πρόεδρος</w:t>
      </w:r>
      <w:r w:rsidRPr="00AB0D35">
        <w:rPr>
          <w:rFonts w:cstheme="minorHAnsi"/>
          <w:sz w:val="24"/>
          <w:szCs w:val="24"/>
          <w:lang w:val="el-GR"/>
        </w:rPr>
        <w:t xml:space="preserve"> </w:t>
      </w:r>
      <w:r w:rsidRPr="0059636F">
        <w:rPr>
          <w:rFonts w:cstheme="minorHAnsi"/>
          <w:sz w:val="24"/>
          <w:szCs w:val="24"/>
          <w:lang w:val="el-GR"/>
        </w:rPr>
        <w:t xml:space="preserve">έχει το </w:t>
      </w:r>
      <w:r w:rsidRPr="002B7C4B">
        <w:rPr>
          <w:rFonts w:cstheme="minorHAnsi"/>
          <w:sz w:val="24"/>
          <w:szCs w:val="24"/>
          <w:lang w:val="el-GR"/>
        </w:rPr>
        <w:t>δικαίωμα τελικού βέτο</w:t>
      </w:r>
      <w:r w:rsidR="00A5147D" w:rsidRPr="00AB0D35">
        <w:rPr>
          <w:rFonts w:cstheme="minorHAnsi"/>
          <w:sz w:val="24"/>
          <w:szCs w:val="24"/>
          <w:lang w:val="el-GR"/>
        </w:rPr>
        <w:t xml:space="preserve"> </w:t>
      </w:r>
      <w:r>
        <w:rPr>
          <w:rFonts w:cstheme="minorHAnsi"/>
          <w:sz w:val="24"/>
          <w:szCs w:val="24"/>
          <w:lang w:val="el-GR"/>
        </w:rPr>
        <w:t>σε νόμους ή αποφάσεις που αφορούν τις εξωτερικές υποθέσεις</w:t>
      </w:r>
      <w:r w:rsidR="00A5147D" w:rsidRPr="00AB0D35">
        <w:rPr>
          <w:rFonts w:cstheme="minorHAnsi"/>
          <w:sz w:val="24"/>
          <w:szCs w:val="24"/>
          <w:lang w:val="el-GR"/>
        </w:rPr>
        <w:t xml:space="preserve">, </w:t>
      </w:r>
      <w:r>
        <w:rPr>
          <w:rFonts w:cstheme="minorHAnsi"/>
          <w:sz w:val="24"/>
          <w:szCs w:val="24"/>
          <w:lang w:val="el-GR"/>
        </w:rPr>
        <w:t>την άμυνα ή την ασφάλεια</w:t>
      </w:r>
      <w:r w:rsidR="00A5147D" w:rsidRPr="00AB0D35">
        <w:rPr>
          <w:rFonts w:cstheme="minorHAnsi"/>
          <w:sz w:val="24"/>
          <w:szCs w:val="24"/>
          <w:lang w:val="el-GR"/>
        </w:rPr>
        <w:t xml:space="preserve">.  </w:t>
      </w:r>
      <w:r>
        <w:rPr>
          <w:rFonts w:cstheme="minorHAnsi"/>
          <w:sz w:val="24"/>
          <w:szCs w:val="24"/>
          <w:lang w:val="el-GR"/>
        </w:rPr>
        <w:t>Ο</w:t>
      </w:r>
      <w:r w:rsidRPr="00AB0D35">
        <w:rPr>
          <w:rFonts w:cstheme="minorHAnsi"/>
          <w:sz w:val="24"/>
          <w:szCs w:val="24"/>
          <w:lang w:val="el-GR"/>
        </w:rPr>
        <w:t xml:space="preserve"> </w:t>
      </w:r>
      <w:r>
        <w:rPr>
          <w:rFonts w:cstheme="minorHAnsi"/>
          <w:sz w:val="24"/>
          <w:szCs w:val="24"/>
          <w:lang w:val="el-GR"/>
        </w:rPr>
        <w:t>Πρόεδρος</w:t>
      </w:r>
      <w:r w:rsidRPr="00AB0D35">
        <w:rPr>
          <w:rFonts w:cstheme="minorHAnsi"/>
          <w:sz w:val="24"/>
          <w:szCs w:val="24"/>
          <w:lang w:val="el-GR"/>
        </w:rPr>
        <w:t xml:space="preserve"> </w:t>
      </w:r>
      <w:r>
        <w:rPr>
          <w:rFonts w:cstheme="minorHAnsi"/>
          <w:sz w:val="24"/>
          <w:szCs w:val="24"/>
          <w:lang w:val="el-GR"/>
        </w:rPr>
        <w:t>έχει</w:t>
      </w:r>
      <w:r w:rsidRPr="00AB0D35">
        <w:rPr>
          <w:rFonts w:cstheme="minorHAnsi"/>
          <w:sz w:val="24"/>
          <w:szCs w:val="24"/>
          <w:lang w:val="el-GR"/>
        </w:rPr>
        <w:t xml:space="preserve"> </w:t>
      </w:r>
      <w:r w:rsidRPr="0059636F">
        <w:rPr>
          <w:rFonts w:cstheme="minorHAnsi"/>
          <w:sz w:val="24"/>
          <w:szCs w:val="24"/>
          <w:lang w:val="el-GR"/>
        </w:rPr>
        <w:t xml:space="preserve">το </w:t>
      </w:r>
      <w:r w:rsidRPr="002B7C4B">
        <w:rPr>
          <w:rFonts w:cstheme="minorHAnsi"/>
          <w:sz w:val="24"/>
          <w:szCs w:val="24"/>
          <w:lang w:val="el-GR"/>
        </w:rPr>
        <w:t xml:space="preserve">δικαίωμα </w:t>
      </w:r>
      <w:r w:rsidR="00D0409C" w:rsidRPr="002B7C4B">
        <w:rPr>
          <w:rFonts w:cstheme="minorHAnsi"/>
          <w:sz w:val="24"/>
          <w:szCs w:val="24"/>
          <w:lang w:val="el-GR"/>
        </w:rPr>
        <w:t>αναπομπής</w:t>
      </w:r>
      <w:r w:rsidR="00D0409C">
        <w:rPr>
          <w:rFonts w:cstheme="minorHAnsi"/>
          <w:i/>
          <w:sz w:val="24"/>
          <w:szCs w:val="24"/>
          <w:lang w:val="el-GR"/>
        </w:rPr>
        <w:t xml:space="preserve"> </w:t>
      </w:r>
      <w:r>
        <w:rPr>
          <w:rFonts w:eastAsia="Times New Roman" w:cstheme="minorHAnsi"/>
          <w:sz w:val="24"/>
          <w:szCs w:val="24"/>
          <w:lang w:val="el-GR" w:eastAsia="fr-FR"/>
        </w:rPr>
        <w:t>στην</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Βουλή</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για</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την</w:t>
      </w:r>
      <w:r w:rsidRPr="00AB0D35">
        <w:rPr>
          <w:rFonts w:eastAsia="Times New Roman" w:cstheme="minorHAnsi"/>
          <w:sz w:val="24"/>
          <w:szCs w:val="24"/>
          <w:lang w:val="el-GR" w:eastAsia="fr-FR"/>
        </w:rPr>
        <w:t xml:space="preserve"> </w:t>
      </w:r>
      <w:r w:rsidR="00ED14DD">
        <w:rPr>
          <w:rFonts w:eastAsia="Times New Roman" w:cstheme="minorHAnsi"/>
          <w:sz w:val="24"/>
          <w:szCs w:val="24"/>
          <w:lang w:val="el-GR" w:eastAsia="fr-FR"/>
        </w:rPr>
        <w:t xml:space="preserve">επανεξέταση </w:t>
      </w:r>
      <w:r>
        <w:rPr>
          <w:rFonts w:eastAsia="Times New Roman" w:cstheme="minorHAnsi"/>
          <w:sz w:val="24"/>
          <w:szCs w:val="24"/>
          <w:lang w:val="el-GR" w:eastAsia="fr-FR"/>
        </w:rPr>
        <w:t>οποιουδήποτε νόμου</w:t>
      </w:r>
      <w:r w:rsidR="00A5147D"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απόφασης</w:t>
      </w:r>
      <w:r w:rsidR="00A5147D"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ή οποιουδήποτε μέρους αυτού/ης</w:t>
      </w:r>
      <w:r w:rsidR="00A5147D"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Για</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την</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υιοθέτηση</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του</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προϋπολογισμού</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από</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την</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Βουλή</w:t>
      </w:r>
      <w:r w:rsidR="00A5147D"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ο</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Πρόεδρος</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μπορεί</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επίσης</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να</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εξασκήσει</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το</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δικαίωμα</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του</w:t>
      </w:r>
      <w:r w:rsidRPr="00AB0D35">
        <w:rPr>
          <w:rFonts w:eastAsia="Times New Roman" w:cstheme="minorHAnsi"/>
          <w:sz w:val="24"/>
          <w:szCs w:val="24"/>
          <w:lang w:val="el-GR" w:eastAsia="fr-FR"/>
        </w:rPr>
        <w:t>/</w:t>
      </w:r>
      <w:r>
        <w:rPr>
          <w:rFonts w:eastAsia="Times New Roman" w:cstheme="minorHAnsi"/>
          <w:sz w:val="24"/>
          <w:szCs w:val="24"/>
          <w:lang w:val="el-GR" w:eastAsia="fr-FR"/>
        </w:rPr>
        <w:t>της</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για</w:t>
      </w:r>
      <w:r w:rsidRPr="00AB0D35">
        <w:rPr>
          <w:rFonts w:eastAsia="Times New Roman" w:cstheme="minorHAnsi"/>
          <w:sz w:val="24"/>
          <w:szCs w:val="24"/>
          <w:lang w:val="el-GR" w:eastAsia="fr-FR"/>
        </w:rPr>
        <w:t xml:space="preserve"> </w:t>
      </w:r>
      <w:r w:rsidR="00D0409C">
        <w:rPr>
          <w:rFonts w:eastAsia="Times New Roman" w:cstheme="minorHAnsi"/>
          <w:sz w:val="24"/>
          <w:szCs w:val="24"/>
          <w:lang w:val="el-GR" w:eastAsia="fr-FR"/>
        </w:rPr>
        <w:t xml:space="preserve">αναπομπή </w:t>
      </w:r>
      <w:r>
        <w:rPr>
          <w:rFonts w:eastAsia="Times New Roman" w:cstheme="minorHAnsi"/>
          <w:sz w:val="24"/>
          <w:szCs w:val="24"/>
          <w:lang w:val="el-GR" w:eastAsia="fr-FR"/>
        </w:rPr>
        <w:t>στην Βουλή</w:t>
      </w:r>
      <w:r w:rsidR="00A5147D"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με την αιτιολογία ότι</w:t>
      </w:r>
      <w:r w:rsidR="00A5147D"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κατά την κρίση του/της</w:t>
      </w:r>
      <w:r w:rsidR="00A5147D"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υπάρχει διάκριση</w:t>
      </w:r>
      <w:r w:rsidR="00A5147D"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Αν</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η</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Βουλή</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επιμείνει</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στην</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απόφαση</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της</w:t>
      </w:r>
      <w:r w:rsidR="00A5147D"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ο</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Πρόεδρος</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είναι</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υποχρεωμένος</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να</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θεσπίσει</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τον</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νόμο</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ή</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την</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απόφαση</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ή</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τον</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προϋπολογισμό</w:t>
      </w:r>
      <w:r w:rsidR="00A5147D"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ανάλογα</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με</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την</w:t>
      </w:r>
      <w:r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περίπτωση</w:t>
      </w:r>
      <w:r w:rsidR="00A5147D"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εντός της χρονικής προθεσμίας που έχει καθορισθεί</w:t>
      </w:r>
      <w:r w:rsidR="00A5147D"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για την θέσπιση των νόμων και αποφάσεων της Βουλής</w:t>
      </w:r>
      <w:r w:rsidR="00A5147D" w:rsidRPr="00AB0D35">
        <w:rPr>
          <w:rFonts w:eastAsia="Times New Roman" w:cstheme="minorHAnsi"/>
          <w:sz w:val="24"/>
          <w:szCs w:val="24"/>
          <w:lang w:val="el-GR" w:eastAsia="fr-FR"/>
        </w:rPr>
        <w:t xml:space="preserve"> </w:t>
      </w:r>
      <w:r>
        <w:rPr>
          <w:rFonts w:eastAsia="Times New Roman" w:cstheme="minorHAnsi"/>
          <w:sz w:val="24"/>
          <w:szCs w:val="24"/>
          <w:lang w:val="el-GR" w:eastAsia="fr-FR"/>
        </w:rPr>
        <w:t>δημοσιεύοντας ένα τέτοιο νόμο ή απόφαση ή προ</w:t>
      </w:r>
      <w:r w:rsidR="00D548A1">
        <w:rPr>
          <w:rFonts w:eastAsia="Times New Roman" w:cstheme="minorHAnsi"/>
          <w:sz w:val="24"/>
          <w:szCs w:val="24"/>
          <w:lang w:val="el-GR" w:eastAsia="fr-FR"/>
        </w:rPr>
        <w:t>ϋ</w:t>
      </w:r>
      <w:r>
        <w:rPr>
          <w:rFonts w:eastAsia="Times New Roman" w:cstheme="minorHAnsi"/>
          <w:sz w:val="24"/>
          <w:szCs w:val="24"/>
          <w:lang w:val="el-GR" w:eastAsia="fr-FR"/>
        </w:rPr>
        <w:t>πολογισμό</w:t>
      </w:r>
      <w:r w:rsidR="00A5147D" w:rsidRPr="00AB0D35">
        <w:rPr>
          <w:rFonts w:eastAsia="Times New Roman" w:cstheme="minorHAnsi"/>
          <w:sz w:val="24"/>
          <w:szCs w:val="24"/>
          <w:lang w:val="el-GR" w:eastAsia="fr-FR"/>
        </w:rPr>
        <w:t xml:space="preserve"> </w:t>
      </w:r>
      <w:r>
        <w:rPr>
          <w:rFonts w:eastAsia="Times New Roman" w:cstheme="minorHAnsi"/>
          <w:sz w:val="24"/>
          <w:szCs w:val="24"/>
          <w:lang w:val="el-GR" w:eastAsia="fr-FR"/>
        </w:rPr>
        <w:t>στην Επίσημη Εφημερίδα της Δημοκρατίας</w:t>
      </w:r>
      <w:r w:rsidR="00A5147D" w:rsidRPr="00AB0D35">
        <w:rPr>
          <w:rFonts w:eastAsia="Times New Roman" w:cstheme="minorHAnsi"/>
          <w:sz w:val="24"/>
          <w:szCs w:val="24"/>
          <w:lang w:val="el-GR" w:eastAsia="fr-FR"/>
        </w:rPr>
        <w:t>.</w:t>
      </w:r>
      <w:r w:rsidR="00A5147D" w:rsidRPr="004E251E">
        <w:rPr>
          <w:rStyle w:val="FootnoteReference"/>
          <w:rFonts w:eastAsia="Times New Roman" w:cstheme="minorHAnsi"/>
          <w:sz w:val="24"/>
          <w:szCs w:val="24"/>
          <w:lang w:eastAsia="fr-FR"/>
        </w:rPr>
        <w:footnoteReference w:id="22"/>
      </w:r>
    </w:p>
    <w:p w14:paraId="1C7FB342" w14:textId="77777777" w:rsidR="00A5147D" w:rsidRPr="00AB0D35" w:rsidRDefault="00A5147D" w:rsidP="00A5147D">
      <w:pPr>
        <w:autoSpaceDE w:val="0"/>
        <w:autoSpaceDN w:val="0"/>
        <w:adjustRightInd w:val="0"/>
        <w:rPr>
          <w:rFonts w:cstheme="minorHAnsi"/>
          <w:sz w:val="24"/>
          <w:szCs w:val="24"/>
          <w:lang w:val="el-GR"/>
        </w:rPr>
      </w:pPr>
    </w:p>
    <w:p w14:paraId="6A0C9A8E" w14:textId="02320DBF" w:rsidR="00A5147D" w:rsidRPr="00636CF7" w:rsidRDefault="00AB0D35" w:rsidP="00A5147D">
      <w:pPr>
        <w:numPr>
          <w:ilvl w:val="0"/>
          <w:numId w:val="1"/>
        </w:numPr>
        <w:tabs>
          <w:tab w:val="clear" w:pos="6095"/>
          <w:tab w:val="left" w:pos="709"/>
        </w:tabs>
        <w:autoSpaceDE w:val="0"/>
        <w:autoSpaceDN w:val="0"/>
        <w:adjustRightInd w:val="0"/>
        <w:ind w:left="0" w:firstLine="0"/>
        <w:rPr>
          <w:rFonts w:cstheme="minorHAnsi"/>
          <w:sz w:val="24"/>
          <w:szCs w:val="24"/>
          <w:lang w:val="el-GR"/>
        </w:rPr>
      </w:pPr>
      <w:r>
        <w:rPr>
          <w:rFonts w:eastAsia="Times New Roman" w:cstheme="minorHAnsi"/>
          <w:sz w:val="24"/>
          <w:szCs w:val="24"/>
          <w:lang w:val="el-GR" w:eastAsia="fr-FR"/>
        </w:rPr>
        <w:t>Ο</w:t>
      </w:r>
      <w:r w:rsidRPr="00636CF7">
        <w:rPr>
          <w:rFonts w:eastAsia="Times New Roman" w:cstheme="minorHAnsi"/>
          <w:sz w:val="24"/>
          <w:szCs w:val="24"/>
          <w:lang w:val="el-GR" w:eastAsia="fr-FR"/>
        </w:rPr>
        <w:t xml:space="preserve"> </w:t>
      </w:r>
      <w:r>
        <w:rPr>
          <w:rFonts w:eastAsia="Times New Roman" w:cstheme="minorHAnsi"/>
          <w:sz w:val="24"/>
          <w:szCs w:val="24"/>
          <w:lang w:val="el-GR" w:eastAsia="fr-FR"/>
        </w:rPr>
        <w:t>Πρόεδρος</w:t>
      </w:r>
      <w:r w:rsidRPr="00636CF7">
        <w:rPr>
          <w:rFonts w:eastAsia="Times New Roman" w:cstheme="minorHAnsi"/>
          <w:sz w:val="24"/>
          <w:szCs w:val="24"/>
          <w:lang w:val="el-GR" w:eastAsia="fr-FR"/>
        </w:rPr>
        <w:t xml:space="preserve"> </w:t>
      </w:r>
      <w:r>
        <w:rPr>
          <w:rFonts w:eastAsia="Times New Roman" w:cstheme="minorHAnsi"/>
          <w:sz w:val="24"/>
          <w:szCs w:val="24"/>
          <w:lang w:val="el-GR" w:eastAsia="fr-FR"/>
        </w:rPr>
        <w:t>έχει</w:t>
      </w:r>
      <w:r w:rsidRPr="00636CF7">
        <w:rPr>
          <w:rFonts w:eastAsia="Times New Roman" w:cstheme="minorHAnsi"/>
          <w:sz w:val="24"/>
          <w:szCs w:val="24"/>
          <w:lang w:val="el-GR" w:eastAsia="fr-FR"/>
        </w:rPr>
        <w:t xml:space="preserve"> </w:t>
      </w:r>
      <w:r>
        <w:rPr>
          <w:rFonts w:eastAsia="Times New Roman" w:cstheme="minorHAnsi"/>
          <w:sz w:val="24"/>
          <w:szCs w:val="24"/>
          <w:lang w:val="el-GR" w:eastAsia="fr-FR"/>
        </w:rPr>
        <w:t>επίσης</w:t>
      </w:r>
      <w:r w:rsidRPr="00636CF7">
        <w:rPr>
          <w:rFonts w:eastAsia="Times New Roman" w:cstheme="minorHAnsi"/>
          <w:sz w:val="24"/>
          <w:szCs w:val="24"/>
          <w:lang w:val="el-GR" w:eastAsia="fr-FR"/>
        </w:rPr>
        <w:t xml:space="preserve"> </w:t>
      </w:r>
      <w:r>
        <w:rPr>
          <w:rFonts w:eastAsia="Times New Roman" w:cstheme="minorHAnsi"/>
          <w:sz w:val="24"/>
          <w:szCs w:val="24"/>
          <w:lang w:val="el-GR" w:eastAsia="fr-FR"/>
        </w:rPr>
        <w:t>το</w:t>
      </w:r>
      <w:r w:rsidRPr="00636CF7">
        <w:rPr>
          <w:rFonts w:eastAsia="Times New Roman" w:cstheme="minorHAnsi"/>
          <w:sz w:val="24"/>
          <w:szCs w:val="24"/>
          <w:lang w:val="el-GR" w:eastAsia="fr-FR"/>
        </w:rPr>
        <w:t xml:space="preserve"> </w:t>
      </w:r>
      <w:r w:rsidRPr="002B7C4B">
        <w:rPr>
          <w:rFonts w:eastAsia="Times New Roman" w:cstheme="minorHAnsi"/>
          <w:sz w:val="24"/>
          <w:szCs w:val="24"/>
          <w:lang w:val="el-GR" w:eastAsia="fr-FR"/>
        </w:rPr>
        <w:t>δικαίωμα</w:t>
      </w:r>
      <w:r w:rsidR="00636CF7" w:rsidRPr="002B7C4B">
        <w:rPr>
          <w:rFonts w:eastAsia="Times New Roman" w:cstheme="minorHAnsi"/>
          <w:sz w:val="24"/>
          <w:szCs w:val="24"/>
          <w:lang w:val="el-GR" w:eastAsia="fr-FR"/>
        </w:rPr>
        <w:t xml:space="preserve"> </w:t>
      </w:r>
      <w:r w:rsidR="0059636F">
        <w:rPr>
          <w:rFonts w:eastAsia="Times New Roman" w:cstheme="minorHAnsi"/>
          <w:sz w:val="24"/>
          <w:szCs w:val="24"/>
          <w:lang w:val="el-GR" w:eastAsia="fr-FR"/>
        </w:rPr>
        <w:t xml:space="preserve">προσφυγής </w:t>
      </w:r>
      <w:r w:rsidR="00636CF7">
        <w:rPr>
          <w:rFonts w:eastAsia="Times New Roman" w:cstheme="minorHAnsi"/>
          <w:sz w:val="24"/>
          <w:szCs w:val="24"/>
          <w:lang w:val="el-GR" w:eastAsia="fr-FR"/>
        </w:rPr>
        <w:t>στο</w:t>
      </w:r>
      <w:r w:rsidR="00636CF7" w:rsidRPr="00636CF7">
        <w:rPr>
          <w:rFonts w:eastAsia="Times New Roman" w:cstheme="minorHAnsi"/>
          <w:sz w:val="24"/>
          <w:szCs w:val="24"/>
          <w:lang w:val="el-GR" w:eastAsia="fr-FR"/>
        </w:rPr>
        <w:t xml:space="preserve"> </w:t>
      </w:r>
      <w:r w:rsidR="00636CF7">
        <w:rPr>
          <w:rFonts w:eastAsia="Times New Roman" w:cstheme="minorHAnsi"/>
          <w:sz w:val="24"/>
          <w:szCs w:val="24"/>
          <w:lang w:val="el-GR" w:eastAsia="fr-FR"/>
        </w:rPr>
        <w:t>Ανώτατο</w:t>
      </w:r>
      <w:r w:rsidR="00636CF7" w:rsidRPr="00636CF7">
        <w:rPr>
          <w:rFonts w:eastAsia="Times New Roman" w:cstheme="minorHAnsi"/>
          <w:sz w:val="24"/>
          <w:szCs w:val="24"/>
          <w:lang w:val="el-GR" w:eastAsia="fr-FR"/>
        </w:rPr>
        <w:t xml:space="preserve"> </w:t>
      </w:r>
      <w:r w:rsidR="00636CF7">
        <w:rPr>
          <w:rFonts w:eastAsia="Times New Roman" w:cstheme="minorHAnsi"/>
          <w:sz w:val="24"/>
          <w:szCs w:val="24"/>
          <w:lang w:val="el-GR" w:eastAsia="fr-FR"/>
        </w:rPr>
        <w:t>Δικαστήριο</w:t>
      </w:r>
      <w:r w:rsidR="00636CF7" w:rsidRPr="00636CF7">
        <w:rPr>
          <w:rFonts w:eastAsia="Times New Roman" w:cstheme="minorHAnsi"/>
          <w:sz w:val="24"/>
          <w:szCs w:val="24"/>
          <w:lang w:val="el-GR" w:eastAsia="fr-FR"/>
        </w:rPr>
        <w:t xml:space="preserve"> </w:t>
      </w:r>
      <w:r w:rsidR="00636CF7">
        <w:rPr>
          <w:rFonts w:eastAsia="Times New Roman" w:cstheme="minorHAnsi"/>
          <w:sz w:val="24"/>
          <w:szCs w:val="24"/>
          <w:lang w:val="el-GR" w:eastAsia="fr-FR"/>
        </w:rPr>
        <w:t>με</w:t>
      </w:r>
      <w:r w:rsidR="00636CF7" w:rsidRPr="00636CF7">
        <w:rPr>
          <w:rFonts w:eastAsia="Times New Roman" w:cstheme="minorHAnsi"/>
          <w:sz w:val="24"/>
          <w:szCs w:val="24"/>
          <w:lang w:val="el-GR" w:eastAsia="fr-FR"/>
        </w:rPr>
        <w:t xml:space="preserve"> </w:t>
      </w:r>
      <w:r w:rsidR="00636CF7">
        <w:rPr>
          <w:rFonts w:eastAsia="Times New Roman" w:cstheme="minorHAnsi"/>
          <w:sz w:val="24"/>
          <w:szCs w:val="24"/>
          <w:lang w:val="el-GR" w:eastAsia="fr-FR"/>
        </w:rPr>
        <w:t>την</w:t>
      </w:r>
      <w:r w:rsidR="00636CF7" w:rsidRPr="00636CF7">
        <w:rPr>
          <w:rFonts w:eastAsia="Times New Roman" w:cstheme="minorHAnsi"/>
          <w:sz w:val="24"/>
          <w:szCs w:val="24"/>
          <w:lang w:val="el-GR" w:eastAsia="fr-FR"/>
        </w:rPr>
        <w:t xml:space="preserve"> </w:t>
      </w:r>
      <w:r w:rsidR="00636CF7">
        <w:rPr>
          <w:rFonts w:eastAsia="Times New Roman" w:cstheme="minorHAnsi"/>
          <w:sz w:val="24"/>
          <w:szCs w:val="24"/>
          <w:lang w:val="el-GR" w:eastAsia="fr-FR"/>
        </w:rPr>
        <w:t>αιτιολογία</w:t>
      </w:r>
      <w:r w:rsidR="00A5147D" w:rsidRPr="00636CF7">
        <w:rPr>
          <w:rFonts w:cstheme="minorHAnsi"/>
          <w:sz w:val="24"/>
          <w:szCs w:val="24"/>
          <w:lang w:val="el-GR"/>
        </w:rPr>
        <w:t xml:space="preserve"> </w:t>
      </w:r>
      <w:r w:rsidR="00636CF7">
        <w:rPr>
          <w:rFonts w:cstheme="minorHAnsi"/>
          <w:sz w:val="24"/>
          <w:szCs w:val="24"/>
          <w:lang w:val="el-GR"/>
        </w:rPr>
        <w:t>ότι</w:t>
      </w:r>
      <w:r w:rsidR="00636CF7" w:rsidRPr="00636CF7">
        <w:rPr>
          <w:rFonts w:cstheme="minorHAnsi"/>
          <w:sz w:val="24"/>
          <w:szCs w:val="24"/>
          <w:lang w:val="el-GR"/>
        </w:rPr>
        <w:t xml:space="preserve"> </w:t>
      </w:r>
      <w:r w:rsidR="00636CF7">
        <w:rPr>
          <w:rFonts w:cstheme="minorHAnsi"/>
          <w:sz w:val="24"/>
          <w:szCs w:val="24"/>
          <w:lang w:val="el-GR"/>
        </w:rPr>
        <w:t>οποιοσδήποτε</w:t>
      </w:r>
      <w:r w:rsidR="00636CF7" w:rsidRPr="00636CF7">
        <w:rPr>
          <w:rFonts w:cstheme="minorHAnsi"/>
          <w:sz w:val="24"/>
          <w:szCs w:val="24"/>
          <w:lang w:val="el-GR"/>
        </w:rPr>
        <w:t xml:space="preserve"> </w:t>
      </w:r>
      <w:r w:rsidR="00636CF7">
        <w:rPr>
          <w:rFonts w:cstheme="minorHAnsi"/>
          <w:sz w:val="24"/>
          <w:szCs w:val="24"/>
          <w:lang w:val="el-GR"/>
        </w:rPr>
        <w:t>νόμος ή απόφαση της Βουλής</w:t>
      </w:r>
      <w:r w:rsidR="00A5147D" w:rsidRPr="00636CF7">
        <w:rPr>
          <w:rFonts w:cstheme="minorHAnsi"/>
          <w:sz w:val="24"/>
          <w:szCs w:val="24"/>
          <w:lang w:val="el-GR"/>
        </w:rPr>
        <w:t xml:space="preserve">, </w:t>
      </w:r>
      <w:r w:rsidR="00636CF7">
        <w:rPr>
          <w:rFonts w:cstheme="minorHAnsi"/>
          <w:sz w:val="24"/>
          <w:szCs w:val="24"/>
          <w:lang w:val="el-GR"/>
        </w:rPr>
        <w:t>ή οποιαδήποτε πρόνοια αυτού/ης</w:t>
      </w:r>
      <w:r w:rsidR="00A5147D" w:rsidRPr="00636CF7">
        <w:rPr>
          <w:rFonts w:cstheme="minorHAnsi"/>
          <w:sz w:val="24"/>
          <w:szCs w:val="24"/>
          <w:lang w:val="el-GR"/>
        </w:rPr>
        <w:t xml:space="preserve">, </w:t>
      </w:r>
      <w:r w:rsidR="00636CF7">
        <w:rPr>
          <w:rFonts w:cstheme="minorHAnsi"/>
          <w:sz w:val="24"/>
          <w:szCs w:val="24"/>
          <w:lang w:val="el-GR"/>
        </w:rPr>
        <w:t xml:space="preserve">κάνει διακρίσεις </w:t>
      </w:r>
      <w:r w:rsidR="005F4608">
        <w:rPr>
          <w:rFonts w:cstheme="minorHAnsi"/>
          <w:sz w:val="24"/>
          <w:szCs w:val="24"/>
          <w:lang w:val="el-GR"/>
        </w:rPr>
        <w:t xml:space="preserve">εις βάρος </w:t>
      </w:r>
      <w:r w:rsidR="00636CF7">
        <w:rPr>
          <w:rFonts w:cstheme="minorHAnsi"/>
          <w:sz w:val="24"/>
          <w:szCs w:val="24"/>
          <w:lang w:val="el-GR"/>
        </w:rPr>
        <w:t xml:space="preserve">μιας εκ των δύο (Ελληνική/Τουρκική) </w:t>
      </w:r>
      <w:r w:rsidR="00D548A1">
        <w:rPr>
          <w:rFonts w:cstheme="minorHAnsi"/>
          <w:sz w:val="24"/>
          <w:szCs w:val="24"/>
          <w:lang w:val="el-GR"/>
        </w:rPr>
        <w:t>Κ</w:t>
      </w:r>
      <w:r w:rsidR="00636CF7">
        <w:rPr>
          <w:rFonts w:cstheme="minorHAnsi"/>
          <w:sz w:val="24"/>
          <w:szCs w:val="24"/>
          <w:lang w:val="el-GR"/>
        </w:rPr>
        <w:t>οινοτήτων</w:t>
      </w:r>
      <w:r w:rsidR="00A5147D" w:rsidRPr="00636CF7">
        <w:rPr>
          <w:rFonts w:cstheme="minorHAnsi"/>
          <w:sz w:val="24"/>
          <w:szCs w:val="24"/>
          <w:lang w:val="el-GR"/>
        </w:rPr>
        <w:t>.</w:t>
      </w:r>
      <w:r w:rsidR="00A5147D" w:rsidRPr="004E251E">
        <w:rPr>
          <w:rStyle w:val="FootnoteReference"/>
          <w:rFonts w:cstheme="minorHAnsi"/>
          <w:sz w:val="24"/>
          <w:szCs w:val="24"/>
        </w:rPr>
        <w:footnoteReference w:id="23"/>
      </w:r>
      <w:r w:rsidR="00A5147D" w:rsidRPr="00636CF7">
        <w:rPr>
          <w:rFonts w:cstheme="minorHAnsi"/>
          <w:sz w:val="24"/>
          <w:szCs w:val="24"/>
          <w:lang w:val="el-GR"/>
        </w:rPr>
        <w:t xml:space="preserve"> </w:t>
      </w:r>
      <w:r w:rsidR="00636CF7">
        <w:rPr>
          <w:rFonts w:cstheme="minorHAnsi"/>
          <w:sz w:val="24"/>
          <w:szCs w:val="24"/>
          <w:lang w:val="el-GR"/>
        </w:rPr>
        <w:t>Ο</w:t>
      </w:r>
      <w:r w:rsidR="00636CF7" w:rsidRPr="00636CF7">
        <w:rPr>
          <w:rFonts w:cstheme="minorHAnsi"/>
          <w:sz w:val="24"/>
          <w:szCs w:val="24"/>
          <w:lang w:val="el-GR"/>
        </w:rPr>
        <w:t xml:space="preserve"> </w:t>
      </w:r>
      <w:r w:rsidR="00636CF7">
        <w:rPr>
          <w:rFonts w:cstheme="minorHAnsi"/>
          <w:sz w:val="24"/>
          <w:szCs w:val="24"/>
          <w:lang w:val="el-GR"/>
        </w:rPr>
        <w:t>Πρόεδρος</w:t>
      </w:r>
      <w:r w:rsidR="00636CF7" w:rsidRPr="00636CF7">
        <w:rPr>
          <w:rFonts w:cstheme="minorHAnsi"/>
          <w:sz w:val="24"/>
          <w:szCs w:val="24"/>
          <w:lang w:val="el-GR"/>
        </w:rPr>
        <w:t xml:space="preserve"> </w:t>
      </w:r>
      <w:r w:rsidR="00636CF7">
        <w:rPr>
          <w:rFonts w:cstheme="minorHAnsi"/>
          <w:sz w:val="24"/>
          <w:szCs w:val="24"/>
          <w:lang w:val="el-GR"/>
        </w:rPr>
        <w:t>μπορεί</w:t>
      </w:r>
      <w:r w:rsidR="00636CF7" w:rsidRPr="00636CF7">
        <w:rPr>
          <w:rFonts w:cstheme="minorHAnsi"/>
          <w:sz w:val="24"/>
          <w:szCs w:val="24"/>
          <w:lang w:val="el-GR"/>
        </w:rPr>
        <w:t xml:space="preserve"> </w:t>
      </w:r>
      <w:r w:rsidR="00636CF7">
        <w:rPr>
          <w:rFonts w:cstheme="minorHAnsi"/>
          <w:sz w:val="24"/>
          <w:szCs w:val="24"/>
          <w:lang w:val="el-GR"/>
        </w:rPr>
        <w:t>επίσης</w:t>
      </w:r>
      <w:r w:rsidR="00636CF7" w:rsidRPr="00636CF7">
        <w:rPr>
          <w:rFonts w:cstheme="minorHAnsi"/>
          <w:sz w:val="24"/>
          <w:szCs w:val="24"/>
          <w:lang w:val="el-GR"/>
        </w:rPr>
        <w:t xml:space="preserve"> </w:t>
      </w:r>
      <w:r w:rsidR="00636CF7">
        <w:rPr>
          <w:rFonts w:cstheme="minorHAnsi"/>
          <w:sz w:val="24"/>
          <w:szCs w:val="24"/>
          <w:lang w:val="el-GR"/>
        </w:rPr>
        <w:t>να</w:t>
      </w:r>
      <w:r w:rsidR="00636CF7" w:rsidRPr="00636CF7">
        <w:rPr>
          <w:rFonts w:cstheme="minorHAnsi"/>
          <w:sz w:val="24"/>
          <w:szCs w:val="24"/>
          <w:lang w:val="el-GR"/>
        </w:rPr>
        <w:t xml:space="preserve"> </w:t>
      </w:r>
      <w:r w:rsidR="00636CF7">
        <w:rPr>
          <w:rFonts w:cstheme="minorHAnsi"/>
          <w:sz w:val="24"/>
          <w:szCs w:val="24"/>
          <w:lang w:val="el-GR"/>
        </w:rPr>
        <w:t>αποταθεί</w:t>
      </w:r>
      <w:r w:rsidR="00636CF7" w:rsidRPr="00636CF7">
        <w:rPr>
          <w:rFonts w:cstheme="minorHAnsi"/>
          <w:sz w:val="24"/>
          <w:szCs w:val="24"/>
          <w:lang w:val="el-GR"/>
        </w:rPr>
        <w:t xml:space="preserve"> </w:t>
      </w:r>
      <w:r w:rsidR="00636CF7">
        <w:rPr>
          <w:rFonts w:cstheme="minorHAnsi"/>
          <w:sz w:val="24"/>
          <w:szCs w:val="24"/>
          <w:lang w:val="el-GR"/>
        </w:rPr>
        <w:t>στο</w:t>
      </w:r>
      <w:r w:rsidR="00636CF7" w:rsidRPr="00636CF7">
        <w:rPr>
          <w:rFonts w:cstheme="minorHAnsi"/>
          <w:sz w:val="24"/>
          <w:szCs w:val="24"/>
          <w:lang w:val="el-GR"/>
        </w:rPr>
        <w:t xml:space="preserve"> </w:t>
      </w:r>
      <w:r w:rsidR="00636CF7">
        <w:rPr>
          <w:rFonts w:cstheme="minorHAnsi"/>
          <w:sz w:val="24"/>
          <w:szCs w:val="24"/>
          <w:lang w:val="el-GR"/>
        </w:rPr>
        <w:t>Ανώτατο</w:t>
      </w:r>
      <w:r w:rsidR="00636CF7" w:rsidRPr="00636CF7">
        <w:rPr>
          <w:rFonts w:cstheme="minorHAnsi"/>
          <w:sz w:val="24"/>
          <w:szCs w:val="24"/>
          <w:lang w:val="el-GR"/>
        </w:rPr>
        <w:t xml:space="preserve"> </w:t>
      </w:r>
      <w:r w:rsidR="00636CF7">
        <w:rPr>
          <w:rFonts w:cstheme="minorHAnsi"/>
          <w:sz w:val="24"/>
          <w:szCs w:val="24"/>
          <w:lang w:val="el-GR"/>
        </w:rPr>
        <w:t>Δικαστήριο</w:t>
      </w:r>
      <w:r w:rsidR="00A5147D" w:rsidRPr="00636CF7">
        <w:rPr>
          <w:rFonts w:cstheme="minorHAnsi"/>
          <w:sz w:val="24"/>
          <w:szCs w:val="24"/>
          <w:lang w:val="el-GR"/>
        </w:rPr>
        <w:t xml:space="preserve"> </w:t>
      </w:r>
      <w:r w:rsidR="00636CF7">
        <w:rPr>
          <w:rFonts w:cstheme="minorHAnsi"/>
          <w:sz w:val="24"/>
          <w:szCs w:val="24"/>
          <w:lang w:val="el-GR"/>
        </w:rPr>
        <w:t>όπου</w:t>
      </w:r>
      <w:r w:rsidR="00636CF7" w:rsidRPr="00636CF7">
        <w:rPr>
          <w:rFonts w:cstheme="minorHAnsi"/>
          <w:sz w:val="24"/>
          <w:szCs w:val="24"/>
          <w:lang w:val="el-GR"/>
        </w:rPr>
        <w:t xml:space="preserve"> </w:t>
      </w:r>
      <w:r w:rsidR="00636CF7">
        <w:rPr>
          <w:rFonts w:cstheme="minorHAnsi"/>
          <w:sz w:val="24"/>
          <w:szCs w:val="24"/>
          <w:lang w:val="el-GR"/>
        </w:rPr>
        <w:t>η</w:t>
      </w:r>
      <w:r w:rsidR="00636CF7" w:rsidRPr="00636CF7">
        <w:rPr>
          <w:rFonts w:cstheme="minorHAnsi"/>
          <w:sz w:val="24"/>
          <w:szCs w:val="24"/>
          <w:lang w:val="el-GR"/>
        </w:rPr>
        <w:t xml:space="preserve"> </w:t>
      </w:r>
      <w:r w:rsidR="00636CF7">
        <w:rPr>
          <w:rFonts w:cstheme="minorHAnsi"/>
          <w:sz w:val="24"/>
          <w:szCs w:val="24"/>
          <w:lang w:val="el-GR"/>
        </w:rPr>
        <w:t>υιοθέτηση</w:t>
      </w:r>
      <w:r w:rsidR="00636CF7" w:rsidRPr="00636CF7">
        <w:rPr>
          <w:rFonts w:cstheme="minorHAnsi"/>
          <w:sz w:val="24"/>
          <w:szCs w:val="24"/>
          <w:lang w:val="el-GR"/>
        </w:rPr>
        <w:t xml:space="preserve"> </w:t>
      </w:r>
      <w:r w:rsidR="00636CF7">
        <w:rPr>
          <w:rFonts w:cstheme="minorHAnsi"/>
          <w:sz w:val="24"/>
          <w:szCs w:val="24"/>
          <w:lang w:val="el-GR"/>
        </w:rPr>
        <w:t>του</w:t>
      </w:r>
      <w:r w:rsidR="00636CF7" w:rsidRPr="00636CF7">
        <w:rPr>
          <w:rFonts w:cstheme="minorHAnsi"/>
          <w:sz w:val="24"/>
          <w:szCs w:val="24"/>
          <w:lang w:val="el-GR"/>
        </w:rPr>
        <w:t xml:space="preserve"> </w:t>
      </w:r>
      <w:r w:rsidR="00636CF7">
        <w:rPr>
          <w:rFonts w:cstheme="minorHAnsi"/>
          <w:sz w:val="24"/>
          <w:szCs w:val="24"/>
          <w:lang w:val="el-GR"/>
        </w:rPr>
        <w:t>προϋπολογισμού</w:t>
      </w:r>
      <w:r w:rsidR="00636CF7" w:rsidRPr="00636CF7">
        <w:rPr>
          <w:rFonts w:cstheme="minorHAnsi"/>
          <w:sz w:val="24"/>
          <w:szCs w:val="24"/>
          <w:lang w:val="el-GR"/>
        </w:rPr>
        <w:t xml:space="preserve"> </w:t>
      </w:r>
      <w:r w:rsidR="00636CF7">
        <w:rPr>
          <w:rFonts w:cstheme="minorHAnsi"/>
          <w:sz w:val="24"/>
          <w:szCs w:val="24"/>
          <w:lang w:val="el-GR"/>
        </w:rPr>
        <w:t>από</w:t>
      </w:r>
      <w:r w:rsidR="00636CF7" w:rsidRPr="00636CF7">
        <w:rPr>
          <w:rFonts w:cstheme="minorHAnsi"/>
          <w:sz w:val="24"/>
          <w:szCs w:val="24"/>
          <w:lang w:val="el-GR"/>
        </w:rPr>
        <w:t xml:space="preserve"> </w:t>
      </w:r>
      <w:r w:rsidR="00636CF7">
        <w:rPr>
          <w:rFonts w:cstheme="minorHAnsi"/>
          <w:sz w:val="24"/>
          <w:szCs w:val="24"/>
          <w:lang w:val="el-GR"/>
        </w:rPr>
        <w:t>την</w:t>
      </w:r>
      <w:r w:rsidR="00636CF7" w:rsidRPr="00636CF7">
        <w:rPr>
          <w:rFonts w:cstheme="minorHAnsi"/>
          <w:sz w:val="24"/>
          <w:szCs w:val="24"/>
          <w:lang w:val="el-GR"/>
        </w:rPr>
        <w:t xml:space="preserve"> </w:t>
      </w:r>
      <w:r w:rsidR="00636CF7">
        <w:rPr>
          <w:rFonts w:cstheme="minorHAnsi"/>
          <w:sz w:val="24"/>
          <w:szCs w:val="24"/>
          <w:lang w:val="el-GR"/>
        </w:rPr>
        <w:t>Βουλή</w:t>
      </w:r>
      <w:r w:rsidR="00A5147D" w:rsidRPr="00636CF7">
        <w:rPr>
          <w:rFonts w:cstheme="minorHAnsi"/>
          <w:sz w:val="24"/>
          <w:szCs w:val="24"/>
          <w:lang w:val="el-GR"/>
        </w:rPr>
        <w:t xml:space="preserve"> </w:t>
      </w:r>
      <w:r w:rsidR="00636CF7">
        <w:rPr>
          <w:rFonts w:cstheme="minorHAnsi"/>
          <w:sz w:val="24"/>
          <w:szCs w:val="24"/>
          <w:lang w:val="el-GR"/>
        </w:rPr>
        <w:t>έχει</w:t>
      </w:r>
      <w:r w:rsidR="00636CF7" w:rsidRPr="00636CF7">
        <w:rPr>
          <w:rFonts w:cstheme="minorHAnsi"/>
          <w:sz w:val="24"/>
          <w:szCs w:val="24"/>
          <w:lang w:val="el-GR"/>
        </w:rPr>
        <w:t xml:space="preserve"> </w:t>
      </w:r>
      <w:r w:rsidR="00914FF7">
        <w:rPr>
          <w:rFonts w:cstheme="minorHAnsi"/>
          <w:sz w:val="24"/>
          <w:szCs w:val="24"/>
          <w:lang w:val="el-GR"/>
        </w:rPr>
        <w:t xml:space="preserve">αναπεμφθεί </w:t>
      </w:r>
      <w:r w:rsidR="00636CF7">
        <w:rPr>
          <w:rFonts w:cstheme="minorHAnsi"/>
          <w:sz w:val="24"/>
          <w:szCs w:val="24"/>
          <w:lang w:val="el-GR"/>
        </w:rPr>
        <w:t>στην</w:t>
      </w:r>
      <w:r w:rsidR="00636CF7" w:rsidRPr="00636CF7">
        <w:rPr>
          <w:rFonts w:cstheme="minorHAnsi"/>
          <w:sz w:val="24"/>
          <w:szCs w:val="24"/>
          <w:lang w:val="el-GR"/>
        </w:rPr>
        <w:t xml:space="preserve"> </w:t>
      </w:r>
      <w:r w:rsidR="00636CF7">
        <w:rPr>
          <w:rFonts w:cstheme="minorHAnsi"/>
          <w:sz w:val="24"/>
          <w:szCs w:val="24"/>
          <w:lang w:val="el-GR"/>
        </w:rPr>
        <w:t>Βουλή</w:t>
      </w:r>
      <w:r w:rsidR="00636CF7" w:rsidRPr="00636CF7">
        <w:rPr>
          <w:rFonts w:cstheme="minorHAnsi"/>
          <w:sz w:val="24"/>
          <w:szCs w:val="24"/>
          <w:lang w:val="el-GR"/>
        </w:rPr>
        <w:t xml:space="preserve"> </w:t>
      </w:r>
      <w:r w:rsidR="00636CF7">
        <w:rPr>
          <w:rFonts w:cstheme="minorHAnsi"/>
          <w:sz w:val="24"/>
          <w:szCs w:val="24"/>
          <w:lang w:val="el-GR"/>
        </w:rPr>
        <w:t>από</w:t>
      </w:r>
      <w:r w:rsidR="00636CF7" w:rsidRPr="00636CF7">
        <w:rPr>
          <w:rFonts w:cstheme="minorHAnsi"/>
          <w:sz w:val="24"/>
          <w:szCs w:val="24"/>
          <w:lang w:val="el-GR"/>
        </w:rPr>
        <w:t xml:space="preserve"> </w:t>
      </w:r>
      <w:r w:rsidR="00636CF7">
        <w:rPr>
          <w:rFonts w:cstheme="minorHAnsi"/>
          <w:sz w:val="24"/>
          <w:szCs w:val="24"/>
          <w:lang w:val="el-GR"/>
        </w:rPr>
        <w:t>τον</w:t>
      </w:r>
      <w:r w:rsidR="00636CF7" w:rsidRPr="00636CF7">
        <w:rPr>
          <w:rFonts w:cstheme="minorHAnsi"/>
          <w:sz w:val="24"/>
          <w:szCs w:val="24"/>
          <w:lang w:val="el-GR"/>
        </w:rPr>
        <w:t xml:space="preserve"> </w:t>
      </w:r>
      <w:r w:rsidR="00636CF7">
        <w:rPr>
          <w:rFonts w:cstheme="minorHAnsi"/>
          <w:sz w:val="24"/>
          <w:szCs w:val="24"/>
          <w:lang w:val="el-GR"/>
        </w:rPr>
        <w:t>Πρόεδρο</w:t>
      </w:r>
      <w:r w:rsidR="00A5147D" w:rsidRPr="00636CF7">
        <w:rPr>
          <w:rFonts w:cstheme="minorHAnsi"/>
          <w:sz w:val="24"/>
          <w:szCs w:val="24"/>
          <w:lang w:val="el-GR"/>
        </w:rPr>
        <w:t xml:space="preserve"> </w:t>
      </w:r>
      <w:r w:rsidR="00636CF7">
        <w:rPr>
          <w:rFonts w:cstheme="minorHAnsi"/>
          <w:sz w:val="24"/>
          <w:szCs w:val="24"/>
          <w:lang w:val="el-GR"/>
        </w:rPr>
        <w:t>με την αιτιολογία ότι</w:t>
      </w:r>
      <w:r w:rsidR="00A5147D" w:rsidRPr="00636CF7">
        <w:rPr>
          <w:rFonts w:cstheme="minorHAnsi"/>
          <w:sz w:val="24"/>
          <w:szCs w:val="24"/>
          <w:lang w:val="el-GR"/>
        </w:rPr>
        <w:t xml:space="preserve"> </w:t>
      </w:r>
      <w:r w:rsidR="00636CF7">
        <w:rPr>
          <w:rFonts w:cstheme="minorHAnsi"/>
          <w:sz w:val="24"/>
          <w:szCs w:val="24"/>
          <w:lang w:val="el-GR"/>
        </w:rPr>
        <w:t>κατά την κρίση του/ης</w:t>
      </w:r>
      <w:r w:rsidR="00914FF7">
        <w:rPr>
          <w:rFonts w:cstheme="minorHAnsi"/>
          <w:sz w:val="24"/>
          <w:szCs w:val="24"/>
          <w:lang w:val="el-GR"/>
        </w:rPr>
        <w:t xml:space="preserve"> προκύπτει διάκριση</w:t>
      </w:r>
      <w:r w:rsidR="00A5147D" w:rsidRPr="00636CF7">
        <w:rPr>
          <w:rFonts w:cstheme="minorHAnsi"/>
          <w:sz w:val="24"/>
          <w:szCs w:val="24"/>
          <w:lang w:val="el-GR"/>
        </w:rPr>
        <w:t xml:space="preserve">, </w:t>
      </w:r>
      <w:r w:rsidR="00636CF7">
        <w:rPr>
          <w:rFonts w:cstheme="minorHAnsi"/>
          <w:sz w:val="24"/>
          <w:szCs w:val="24"/>
          <w:lang w:val="el-GR"/>
        </w:rPr>
        <w:t>και η Βουλή έχει επιμείνει στην απόφαση της</w:t>
      </w:r>
      <w:r w:rsidR="00A5147D" w:rsidRPr="00636CF7">
        <w:rPr>
          <w:rFonts w:cstheme="minorHAnsi"/>
          <w:sz w:val="24"/>
          <w:szCs w:val="24"/>
          <w:lang w:val="el-GR"/>
        </w:rPr>
        <w:t>.</w:t>
      </w:r>
      <w:r w:rsidR="00A5147D" w:rsidRPr="004E251E">
        <w:rPr>
          <w:rStyle w:val="FootnoteReference"/>
          <w:rFonts w:cstheme="minorHAnsi"/>
          <w:sz w:val="24"/>
          <w:szCs w:val="24"/>
        </w:rPr>
        <w:footnoteReference w:id="24"/>
      </w:r>
      <w:r w:rsidR="00A5147D" w:rsidRPr="00636CF7">
        <w:rPr>
          <w:rFonts w:cstheme="minorHAnsi"/>
          <w:sz w:val="24"/>
          <w:szCs w:val="24"/>
          <w:lang w:val="el-GR"/>
        </w:rPr>
        <w:t xml:space="preserve"> </w:t>
      </w:r>
    </w:p>
    <w:p w14:paraId="0092208B" w14:textId="77777777" w:rsidR="00A5147D" w:rsidRPr="00636CF7" w:rsidRDefault="00A5147D" w:rsidP="00A5147D">
      <w:pPr>
        <w:tabs>
          <w:tab w:val="left" w:pos="709"/>
        </w:tabs>
        <w:autoSpaceDE w:val="0"/>
        <w:autoSpaceDN w:val="0"/>
        <w:adjustRightInd w:val="0"/>
        <w:rPr>
          <w:rFonts w:cstheme="minorHAnsi"/>
          <w:sz w:val="24"/>
          <w:szCs w:val="24"/>
          <w:lang w:val="el-GR"/>
        </w:rPr>
      </w:pPr>
    </w:p>
    <w:p w14:paraId="00F717A4" w14:textId="371D4CB1" w:rsidR="00A5147D" w:rsidRPr="00BF69B8" w:rsidRDefault="00636CF7" w:rsidP="00A5147D">
      <w:pPr>
        <w:numPr>
          <w:ilvl w:val="0"/>
          <w:numId w:val="1"/>
        </w:numPr>
        <w:tabs>
          <w:tab w:val="clear" w:pos="6095"/>
          <w:tab w:val="left" w:pos="709"/>
        </w:tabs>
        <w:autoSpaceDE w:val="0"/>
        <w:autoSpaceDN w:val="0"/>
        <w:adjustRightInd w:val="0"/>
        <w:ind w:left="0" w:firstLine="0"/>
        <w:rPr>
          <w:rFonts w:cstheme="minorHAnsi"/>
          <w:sz w:val="24"/>
          <w:szCs w:val="24"/>
          <w:lang w:val="el-GR"/>
        </w:rPr>
      </w:pPr>
      <w:r>
        <w:rPr>
          <w:rFonts w:cstheme="minorHAnsi"/>
          <w:sz w:val="24"/>
          <w:szCs w:val="24"/>
          <w:lang w:val="el-GR"/>
        </w:rPr>
        <w:t>Ο</w:t>
      </w:r>
      <w:r w:rsidRPr="00636CF7">
        <w:rPr>
          <w:rFonts w:cstheme="minorHAnsi"/>
          <w:sz w:val="24"/>
          <w:szCs w:val="24"/>
          <w:lang w:val="el-GR"/>
        </w:rPr>
        <w:t xml:space="preserve"> </w:t>
      </w:r>
      <w:r>
        <w:rPr>
          <w:rFonts w:cstheme="minorHAnsi"/>
          <w:sz w:val="24"/>
          <w:szCs w:val="24"/>
          <w:lang w:val="el-GR"/>
        </w:rPr>
        <w:t>Πρόεδρος</w:t>
      </w:r>
      <w:r w:rsidRPr="00636CF7">
        <w:rPr>
          <w:rFonts w:cstheme="minorHAnsi"/>
          <w:sz w:val="24"/>
          <w:szCs w:val="24"/>
          <w:lang w:val="el-GR"/>
        </w:rPr>
        <w:t xml:space="preserve"> </w:t>
      </w:r>
      <w:r>
        <w:rPr>
          <w:rFonts w:cstheme="minorHAnsi"/>
          <w:sz w:val="24"/>
          <w:szCs w:val="24"/>
          <w:lang w:val="el-GR"/>
        </w:rPr>
        <w:t>έχει</w:t>
      </w:r>
      <w:r w:rsidRPr="00636CF7">
        <w:rPr>
          <w:rFonts w:cstheme="minorHAnsi"/>
          <w:sz w:val="24"/>
          <w:szCs w:val="24"/>
          <w:lang w:val="el-GR"/>
        </w:rPr>
        <w:t xml:space="preserve"> </w:t>
      </w:r>
      <w:r>
        <w:rPr>
          <w:rFonts w:cstheme="minorHAnsi"/>
          <w:sz w:val="24"/>
          <w:szCs w:val="24"/>
          <w:lang w:val="el-GR"/>
        </w:rPr>
        <w:t>επίσης</w:t>
      </w:r>
      <w:r w:rsidRPr="00636CF7">
        <w:rPr>
          <w:rFonts w:cstheme="minorHAnsi"/>
          <w:sz w:val="24"/>
          <w:szCs w:val="24"/>
          <w:lang w:val="el-GR"/>
        </w:rPr>
        <w:t xml:space="preserve"> </w:t>
      </w:r>
      <w:r>
        <w:rPr>
          <w:rFonts w:cstheme="minorHAnsi"/>
          <w:sz w:val="24"/>
          <w:szCs w:val="24"/>
          <w:lang w:val="el-GR"/>
        </w:rPr>
        <w:t>το</w:t>
      </w:r>
      <w:r w:rsidRPr="00636CF7">
        <w:rPr>
          <w:rFonts w:cstheme="minorHAnsi"/>
          <w:sz w:val="24"/>
          <w:szCs w:val="24"/>
          <w:lang w:val="el-GR"/>
        </w:rPr>
        <w:t xml:space="preserve"> </w:t>
      </w:r>
      <w:r w:rsidRPr="002B7C4B">
        <w:rPr>
          <w:rFonts w:cstheme="minorHAnsi"/>
          <w:sz w:val="24"/>
          <w:szCs w:val="24"/>
          <w:lang w:val="el-GR"/>
        </w:rPr>
        <w:t xml:space="preserve">δικαίωμα </w:t>
      </w:r>
      <w:r w:rsidR="0059636F" w:rsidRPr="002B7C4B">
        <w:rPr>
          <w:rFonts w:cstheme="minorHAnsi"/>
          <w:sz w:val="24"/>
          <w:szCs w:val="24"/>
          <w:lang w:val="el-GR"/>
        </w:rPr>
        <w:t>αναφοράς</w:t>
      </w:r>
      <w:r w:rsidR="0059636F">
        <w:rPr>
          <w:rFonts w:cstheme="minorHAnsi"/>
          <w:i/>
          <w:sz w:val="24"/>
          <w:szCs w:val="24"/>
          <w:lang w:val="el-GR"/>
        </w:rPr>
        <w:t xml:space="preserve"> </w:t>
      </w:r>
      <w:r>
        <w:rPr>
          <w:rFonts w:cstheme="minorHAnsi"/>
          <w:sz w:val="24"/>
          <w:szCs w:val="24"/>
          <w:lang w:val="el-GR"/>
        </w:rPr>
        <w:t>στο</w:t>
      </w:r>
      <w:r w:rsidRPr="00636CF7">
        <w:rPr>
          <w:rFonts w:cstheme="minorHAnsi"/>
          <w:sz w:val="24"/>
          <w:szCs w:val="24"/>
          <w:lang w:val="el-GR"/>
        </w:rPr>
        <w:t xml:space="preserve"> </w:t>
      </w:r>
      <w:r>
        <w:rPr>
          <w:rFonts w:cstheme="minorHAnsi"/>
          <w:sz w:val="24"/>
          <w:szCs w:val="24"/>
          <w:lang w:val="el-GR"/>
        </w:rPr>
        <w:t>Ανώτατο</w:t>
      </w:r>
      <w:r w:rsidRPr="00636CF7">
        <w:rPr>
          <w:rFonts w:cstheme="minorHAnsi"/>
          <w:sz w:val="24"/>
          <w:szCs w:val="24"/>
          <w:lang w:val="el-GR"/>
        </w:rPr>
        <w:t xml:space="preserve"> </w:t>
      </w:r>
      <w:r>
        <w:rPr>
          <w:rFonts w:cstheme="minorHAnsi"/>
          <w:sz w:val="24"/>
          <w:szCs w:val="24"/>
          <w:lang w:val="el-GR"/>
        </w:rPr>
        <w:t>Δικαστήριο</w:t>
      </w:r>
      <w:r w:rsidR="00A5147D" w:rsidRPr="00636CF7">
        <w:rPr>
          <w:rFonts w:cstheme="minorHAnsi"/>
          <w:sz w:val="24"/>
          <w:szCs w:val="24"/>
          <w:lang w:val="el-GR"/>
        </w:rPr>
        <w:t xml:space="preserve"> </w:t>
      </w:r>
      <w:r>
        <w:rPr>
          <w:rFonts w:cstheme="minorHAnsi"/>
          <w:sz w:val="24"/>
          <w:szCs w:val="24"/>
          <w:lang w:val="el-GR"/>
        </w:rPr>
        <w:t>σε</w:t>
      </w:r>
      <w:r w:rsidRPr="00636CF7">
        <w:rPr>
          <w:rFonts w:cstheme="minorHAnsi"/>
          <w:sz w:val="24"/>
          <w:szCs w:val="24"/>
          <w:lang w:val="el-GR"/>
        </w:rPr>
        <w:t xml:space="preserve"> </w:t>
      </w:r>
      <w:r>
        <w:rPr>
          <w:rFonts w:cstheme="minorHAnsi"/>
          <w:sz w:val="24"/>
          <w:szCs w:val="24"/>
          <w:lang w:val="el-GR"/>
        </w:rPr>
        <w:t>οποιοδήποτε</w:t>
      </w:r>
      <w:r w:rsidRPr="00636CF7">
        <w:rPr>
          <w:rFonts w:cstheme="minorHAnsi"/>
          <w:sz w:val="24"/>
          <w:szCs w:val="24"/>
          <w:lang w:val="el-GR"/>
        </w:rPr>
        <w:t xml:space="preserve"> </w:t>
      </w:r>
      <w:r>
        <w:rPr>
          <w:rFonts w:cstheme="minorHAnsi"/>
          <w:sz w:val="24"/>
          <w:szCs w:val="24"/>
          <w:lang w:val="el-GR"/>
        </w:rPr>
        <w:t>χρόνο</w:t>
      </w:r>
      <w:r w:rsidRPr="00636CF7">
        <w:rPr>
          <w:rFonts w:cstheme="minorHAnsi"/>
          <w:sz w:val="24"/>
          <w:szCs w:val="24"/>
          <w:lang w:val="el-GR"/>
        </w:rPr>
        <w:t xml:space="preserve"> </w:t>
      </w:r>
      <w:r>
        <w:rPr>
          <w:rFonts w:cstheme="minorHAnsi"/>
          <w:sz w:val="24"/>
          <w:szCs w:val="24"/>
          <w:lang w:val="el-GR"/>
        </w:rPr>
        <w:t>πριν</w:t>
      </w:r>
      <w:r w:rsidRPr="00636CF7">
        <w:rPr>
          <w:rFonts w:cstheme="minorHAnsi"/>
          <w:sz w:val="24"/>
          <w:szCs w:val="24"/>
          <w:lang w:val="el-GR"/>
        </w:rPr>
        <w:t xml:space="preserve"> </w:t>
      </w:r>
      <w:r>
        <w:rPr>
          <w:rFonts w:cstheme="minorHAnsi"/>
          <w:sz w:val="24"/>
          <w:szCs w:val="24"/>
          <w:lang w:val="el-GR"/>
        </w:rPr>
        <w:t>την</w:t>
      </w:r>
      <w:r w:rsidRPr="00636CF7">
        <w:rPr>
          <w:rFonts w:cstheme="minorHAnsi"/>
          <w:sz w:val="24"/>
          <w:szCs w:val="24"/>
          <w:lang w:val="el-GR"/>
        </w:rPr>
        <w:t xml:space="preserve"> </w:t>
      </w:r>
      <w:r>
        <w:rPr>
          <w:rFonts w:cstheme="minorHAnsi"/>
          <w:sz w:val="24"/>
          <w:szCs w:val="24"/>
          <w:lang w:val="el-GR"/>
        </w:rPr>
        <w:t>θέσπιση</w:t>
      </w:r>
      <w:r w:rsidRPr="00636CF7">
        <w:rPr>
          <w:rFonts w:cstheme="minorHAnsi"/>
          <w:sz w:val="24"/>
          <w:szCs w:val="24"/>
          <w:lang w:val="el-GR"/>
        </w:rPr>
        <w:t xml:space="preserve"> </w:t>
      </w:r>
      <w:r>
        <w:rPr>
          <w:rFonts w:cstheme="minorHAnsi"/>
          <w:sz w:val="24"/>
          <w:szCs w:val="24"/>
          <w:lang w:val="el-GR"/>
        </w:rPr>
        <w:t>οποιουδήποτε</w:t>
      </w:r>
      <w:r w:rsidRPr="00636CF7">
        <w:rPr>
          <w:rFonts w:cstheme="minorHAnsi"/>
          <w:sz w:val="24"/>
          <w:szCs w:val="24"/>
          <w:lang w:val="el-GR"/>
        </w:rPr>
        <w:t xml:space="preserve"> </w:t>
      </w:r>
      <w:r>
        <w:rPr>
          <w:rFonts w:cstheme="minorHAnsi"/>
          <w:sz w:val="24"/>
          <w:szCs w:val="24"/>
          <w:lang w:val="el-GR"/>
        </w:rPr>
        <w:t>νόμου</w:t>
      </w:r>
      <w:r w:rsidR="00A5147D" w:rsidRPr="00636CF7">
        <w:rPr>
          <w:rFonts w:cstheme="minorHAnsi"/>
          <w:sz w:val="24"/>
          <w:szCs w:val="24"/>
          <w:lang w:val="el-GR"/>
        </w:rPr>
        <w:t xml:space="preserve"> </w:t>
      </w:r>
      <w:r>
        <w:rPr>
          <w:rFonts w:cstheme="minorHAnsi"/>
          <w:sz w:val="24"/>
          <w:szCs w:val="24"/>
          <w:lang w:val="el-GR"/>
        </w:rPr>
        <w:t>που</w:t>
      </w:r>
      <w:r w:rsidRPr="00636CF7">
        <w:rPr>
          <w:rFonts w:cstheme="minorHAnsi"/>
          <w:sz w:val="24"/>
          <w:szCs w:val="24"/>
          <w:lang w:val="el-GR"/>
        </w:rPr>
        <w:t xml:space="preserve"> </w:t>
      </w:r>
      <w:r>
        <w:rPr>
          <w:rFonts w:cstheme="minorHAnsi"/>
          <w:sz w:val="24"/>
          <w:szCs w:val="24"/>
          <w:lang w:val="el-GR"/>
        </w:rPr>
        <w:t>επιβάλλει</w:t>
      </w:r>
      <w:r w:rsidRPr="00636CF7">
        <w:rPr>
          <w:rFonts w:cstheme="minorHAnsi"/>
          <w:sz w:val="24"/>
          <w:szCs w:val="24"/>
          <w:lang w:val="el-GR"/>
        </w:rPr>
        <w:t xml:space="preserve"> </w:t>
      </w:r>
      <w:r>
        <w:rPr>
          <w:rFonts w:cstheme="minorHAnsi"/>
          <w:sz w:val="24"/>
          <w:szCs w:val="24"/>
          <w:lang w:val="el-GR"/>
        </w:rPr>
        <w:t>διατυπώσεις</w:t>
      </w:r>
      <w:r w:rsidR="00A5147D" w:rsidRPr="00636CF7">
        <w:rPr>
          <w:rFonts w:cstheme="minorHAnsi"/>
          <w:sz w:val="24"/>
          <w:szCs w:val="24"/>
          <w:lang w:val="el-GR"/>
        </w:rPr>
        <w:t xml:space="preserve">, </w:t>
      </w:r>
      <w:r>
        <w:rPr>
          <w:rFonts w:cstheme="minorHAnsi"/>
          <w:sz w:val="24"/>
          <w:szCs w:val="24"/>
          <w:lang w:val="el-GR"/>
        </w:rPr>
        <w:t>όρους</w:t>
      </w:r>
      <w:r w:rsidRPr="00636CF7">
        <w:rPr>
          <w:rFonts w:cstheme="minorHAnsi"/>
          <w:sz w:val="24"/>
          <w:szCs w:val="24"/>
          <w:lang w:val="el-GR"/>
        </w:rPr>
        <w:t xml:space="preserve"> </w:t>
      </w:r>
      <w:r>
        <w:rPr>
          <w:rFonts w:cstheme="minorHAnsi"/>
          <w:sz w:val="24"/>
          <w:szCs w:val="24"/>
          <w:lang w:val="el-GR"/>
        </w:rPr>
        <w:t>ή</w:t>
      </w:r>
      <w:r w:rsidRPr="00636CF7">
        <w:rPr>
          <w:rFonts w:cstheme="minorHAnsi"/>
          <w:sz w:val="24"/>
          <w:szCs w:val="24"/>
          <w:lang w:val="el-GR"/>
        </w:rPr>
        <w:t xml:space="preserve"> </w:t>
      </w:r>
      <w:r>
        <w:rPr>
          <w:rFonts w:cstheme="minorHAnsi"/>
          <w:sz w:val="24"/>
          <w:szCs w:val="24"/>
          <w:lang w:val="el-GR"/>
        </w:rPr>
        <w:t>περιορισμούς</w:t>
      </w:r>
      <w:r w:rsidR="00A5147D" w:rsidRPr="00636CF7">
        <w:rPr>
          <w:rFonts w:cstheme="minorHAnsi"/>
          <w:sz w:val="24"/>
          <w:szCs w:val="24"/>
          <w:lang w:val="el-GR"/>
        </w:rPr>
        <w:t xml:space="preserve"> </w:t>
      </w:r>
      <w:r>
        <w:rPr>
          <w:rFonts w:cstheme="minorHAnsi"/>
          <w:sz w:val="24"/>
          <w:szCs w:val="24"/>
          <w:lang w:val="el-GR"/>
        </w:rPr>
        <w:t>πάνω στο δικαίωμα</w:t>
      </w:r>
      <w:r w:rsidR="0059636F">
        <w:rPr>
          <w:rFonts w:cstheme="minorHAnsi"/>
          <w:sz w:val="24"/>
          <w:szCs w:val="24"/>
          <w:lang w:val="el-GR"/>
        </w:rPr>
        <w:t xml:space="preserve"> του </w:t>
      </w:r>
      <w:proofErr w:type="spellStart"/>
      <w:r w:rsidR="0059636F">
        <w:rPr>
          <w:rFonts w:cstheme="minorHAnsi"/>
          <w:sz w:val="24"/>
          <w:szCs w:val="24"/>
          <w:lang w:val="el-GR"/>
        </w:rPr>
        <w:t>επιχειρείν</w:t>
      </w:r>
      <w:proofErr w:type="spellEnd"/>
      <w:r w:rsidR="00A5147D" w:rsidRPr="00636CF7">
        <w:rPr>
          <w:rFonts w:cstheme="minorHAnsi"/>
          <w:sz w:val="24"/>
          <w:szCs w:val="24"/>
          <w:lang w:val="el-GR"/>
        </w:rPr>
        <w:t xml:space="preserve">, </w:t>
      </w:r>
      <w:r>
        <w:rPr>
          <w:rFonts w:cstheme="minorHAnsi"/>
          <w:sz w:val="24"/>
          <w:szCs w:val="24"/>
          <w:lang w:val="el-GR"/>
        </w:rPr>
        <w:t xml:space="preserve">για </w:t>
      </w:r>
      <w:r w:rsidR="0059636F">
        <w:rPr>
          <w:rFonts w:cstheme="minorHAnsi"/>
          <w:sz w:val="24"/>
          <w:szCs w:val="24"/>
          <w:lang w:val="el-GR"/>
        </w:rPr>
        <w:t xml:space="preserve">να γνωματεύσει </w:t>
      </w:r>
      <w:r w:rsidR="005F4608">
        <w:rPr>
          <w:rFonts w:cstheme="minorHAnsi"/>
          <w:sz w:val="24"/>
          <w:szCs w:val="24"/>
          <w:lang w:val="el-GR"/>
        </w:rPr>
        <w:t xml:space="preserve">κατά πόσον </w:t>
      </w:r>
      <w:r>
        <w:rPr>
          <w:rFonts w:cstheme="minorHAnsi"/>
          <w:sz w:val="24"/>
          <w:szCs w:val="24"/>
          <w:lang w:val="el-GR"/>
        </w:rPr>
        <w:t xml:space="preserve">ο νόμος είναι </w:t>
      </w:r>
      <w:r w:rsidR="00BF69B8">
        <w:rPr>
          <w:rFonts w:cstheme="minorHAnsi"/>
          <w:sz w:val="24"/>
          <w:szCs w:val="24"/>
          <w:lang w:val="el-GR"/>
        </w:rPr>
        <w:t xml:space="preserve">ή δεν είναι </w:t>
      </w:r>
      <w:r>
        <w:rPr>
          <w:rFonts w:cstheme="minorHAnsi"/>
          <w:sz w:val="24"/>
          <w:szCs w:val="24"/>
          <w:lang w:val="el-GR"/>
        </w:rPr>
        <w:t xml:space="preserve">προς το δημόσιο συμφέρον, </w:t>
      </w:r>
      <w:r w:rsidR="00BF69B8">
        <w:rPr>
          <w:rFonts w:cstheme="minorHAnsi"/>
          <w:sz w:val="24"/>
          <w:szCs w:val="24"/>
          <w:lang w:val="el-GR"/>
        </w:rPr>
        <w:t>ή εναντίον των συμφερόντων της Κοινότητας του/ης.</w:t>
      </w:r>
      <w:r w:rsidR="00A5147D" w:rsidRPr="009018FD">
        <w:rPr>
          <w:rStyle w:val="FootnoteReference"/>
          <w:rFonts w:cstheme="minorHAnsi"/>
          <w:sz w:val="24"/>
          <w:szCs w:val="24"/>
        </w:rPr>
        <w:footnoteReference w:id="25"/>
      </w:r>
      <w:r w:rsidR="00A5147D" w:rsidRPr="00BF69B8">
        <w:rPr>
          <w:rFonts w:cstheme="minorHAnsi"/>
          <w:sz w:val="24"/>
          <w:szCs w:val="24"/>
          <w:lang w:val="el-GR"/>
        </w:rPr>
        <w:t xml:space="preserve"> </w:t>
      </w:r>
      <w:r w:rsidR="00BF69B8">
        <w:rPr>
          <w:rFonts w:cstheme="minorHAnsi"/>
          <w:sz w:val="24"/>
          <w:szCs w:val="24"/>
          <w:lang w:val="el-GR"/>
        </w:rPr>
        <w:t>Η</w:t>
      </w:r>
      <w:r w:rsidR="00BF69B8" w:rsidRPr="00BF69B8">
        <w:rPr>
          <w:rFonts w:cstheme="minorHAnsi"/>
          <w:sz w:val="24"/>
          <w:szCs w:val="24"/>
          <w:lang w:val="el-GR"/>
        </w:rPr>
        <w:t xml:space="preserve"> </w:t>
      </w:r>
      <w:r w:rsidR="00BF69B8">
        <w:rPr>
          <w:rFonts w:cstheme="minorHAnsi"/>
          <w:sz w:val="24"/>
          <w:szCs w:val="24"/>
          <w:lang w:val="el-GR"/>
        </w:rPr>
        <w:t>Πέμπτη</w:t>
      </w:r>
      <w:r w:rsidR="00BF69B8" w:rsidRPr="00BF69B8">
        <w:rPr>
          <w:rFonts w:cstheme="minorHAnsi"/>
          <w:sz w:val="24"/>
          <w:szCs w:val="24"/>
          <w:lang w:val="el-GR"/>
        </w:rPr>
        <w:t xml:space="preserve"> </w:t>
      </w:r>
      <w:r w:rsidR="00BF69B8">
        <w:rPr>
          <w:rFonts w:cstheme="minorHAnsi"/>
          <w:sz w:val="24"/>
          <w:szCs w:val="24"/>
          <w:lang w:val="el-GR"/>
        </w:rPr>
        <w:t>Τροποποίηση</w:t>
      </w:r>
      <w:r w:rsidR="00BF69B8" w:rsidRPr="00BF69B8">
        <w:rPr>
          <w:rFonts w:cstheme="minorHAnsi"/>
          <w:sz w:val="24"/>
          <w:szCs w:val="24"/>
          <w:lang w:val="el-GR"/>
        </w:rPr>
        <w:t xml:space="preserve"> </w:t>
      </w:r>
      <w:r w:rsidR="00BF69B8">
        <w:rPr>
          <w:rFonts w:cstheme="minorHAnsi"/>
          <w:sz w:val="24"/>
          <w:szCs w:val="24"/>
          <w:lang w:val="el-GR"/>
        </w:rPr>
        <w:t>του</w:t>
      </w:r>
      <w:r w:rsidR="00BF69B8" w:rsidRPr="00BF69B8">
        <w:rPr>
          <w:rFonts w:cstheme="minorHAnsi"/>
          <w:sz w:val="24"/>
          <w:szCs w:val="24"/>
          <w:lang w:val="el-GR"/>
        </w:rPr>
        <w:t xml:space="preserve"> </w:t>
      </w:r>
      <w:r w:rsidR="00BF69B8">
        <w:rPr>
          <w:rFonts w:cstheme="minorHAnsi"/>
          <w:sz w:val="24"/>
          <w:szCs w:val="24"/>
          <w:lang w:val="el-GR"/>
        </w:rPr>
        <w:t>Συντάγματος</w:t>
      </w:r>
      <w:r w:rsidR="00BF69B8" w:rsidRPr="00BF69B8">
        <w:rPr>
          <w:rFonts w:cstheme="minorHAnsi"/>
          <w:sz w:val="24"/>
          <w:szCs w:val="24"/>
          <w:lang w:val="el-GR"/>
        </w:rPr>
        <w:t xml:space="preserve"> </w:t>
      </w:r>
      <w:r w:rsidR="00BF69B8">
        <w:rPr>
          <w:rFonts w:cstheme="minorHAnsi"/>
          <w:sz w:val="24"/>
          <w:szCs w:val="24"/>
          <w:lang w:val="el-GR"/>
        </w:rPr>
        <w:t>της</w:t>
      </w:r>
      <w:r w:rsidR="00BF69B8" w:rsidRPr="00BF69B8">
        <w:rPr>
          <w:rFonts w:cstheme="minorHAnsi"/>
          <w:sz w:val="24"/>
          <w:szCs w:val="24"/>
          <w:lang w:val="el-GR"/>
        </w:rPr>
        <w:t xml:space="preserve"> </w:t>
      </w:r>
      <w:r w:rsidR="00BF69B8">
        <w:rPr>
          <w:rFonts w:cstheme="minorHAnsi"/>
          <w:sz w:val="24"/>
          <w:szCs w:val="24"/>
          <w:lang w:val="el-GR"/>
        </w:rPr>
        <w:t>Κύπρου</w:t>
      </w:r>
      <w:r w:rsidR="00A5147D" w:rsidRPr="00BF69B8">
        <w:rPr>
          <w:rFonts w:cstheme="minorHAnsi"/>
          <w:sz w:val="24"/>
          <w:szCs w:val="24"/>
          <w:lang w:val="el-GR"/>
        </w:rPr>
        <w:t xml:space="preserve"> </w:t>
      </w:r>
      <w:r w:rsidR="00BF69B8">
        <w:rPr>
          <w:rFonts w:cstheme="minorHAnsi"/>
          <w:sz w:val="24"/>
          <w:szCs w:val="24"/>
          <w:lang w:val="el-GR"/>
        </w:rPr>
        <w:t>προέκτεινε</w:t>
      </w:r>
      <w:r w:rsidR="00BF69B8" w:rsidRPr="00BF69B8">
        <w:rPr>
          <w:rFonts w:cstheme="minorHAnsi"/>
          <w:sz w:val="24"/>
          <w:szCs w:val="24"/>
          <w:lang w:val="el-GR"/>
        </w:rPr>
        <w:t xml:space="preserve"> </w:t>
      </w:r>
      <w:r w:rsidR="00BF69B8">
        <w:rPr>
          <w:rFonts w:cstheme="minorHAnsi"/>
          <w:sz w:val="24"/>
          <w:szCs w:val="24"/>
          <w:lang w:val="el-GR"/>
        </w:rPr>
        <w:t>την</w:t>
      </w:r>
      <w:r w:rsidR="00BF69B8" w:rsidRPr="00BF69B8">
        <w:rPr>
          <w:rFonts w:cstheme="minorHAnsi"/>
          <w:sz w:val="24"/>
          <w:szCs w:val="24"/>
          <w:lang w:val="el-GR"/>
        </w:rPr>
        <w:t xml:space="preserve"> </w:t>
      </w:r>
      <w:r w:rsidR="00BF69B8">
        <w:rPr>
          <w:rFonts w:cstheme="minorHAnsi"/>
          <w:sz w:val="24"/>
          <w:szCs w:val="24"/>
          <w:lang w:val="el-GR"/>
        </w:rPr>
        <w:t>εξουσία</w:t>
      </w:r>
      <w:r w:rsidR="00BF69B8" w:rsidRPr="00BF69B8">
        <w:rPr>
          <w:rFonts w:cstheme="minorHAnsi"/>
          <w:sz w:val="24"/>
          <w:szCs w:val="24"/>
          <w:lang w:val="el-GR"/>
        </w:rPr>
        <w:t xml:space="preserve"> </w:t>
      </w:r>
      <w:r w:rsidR="00BF69B8">
        <w:rPr>
          <w:rFonts w:cstheme="minorHAnsi"/>
          <w:sz w:val="24"/>
          <w:szCs w:val="24"/>
          <w:lang w:val="el-GR"/>
        </w:rPr>
        <w:t>αυτή</w:t>
      </w:r>
      <w:r w:rsidR="00BF69B8" w:rsidRPr="00BF69B8">
        <w:rPr>
          <w:rFonts w:cstheme="minorHAnsi"/>
          <w:sz w:val="24"/>
          <w:szCs w:val="24"/>
          <w:lang w:val="el-GR"/>
        </w:rPr>
        <w:t xml:space="preserve"> </w:t>
      </w:r>
      <w:r w:rsidR="00BF69B8">
        <w:rPr>
          <w:rFonts w:cstheme="minorHAnsi"/>
          <w:sz w:val="24"/>
          <w:szCs w:val="24"/>
          <w:lang w:val="el-GR"/>
        </w:rPr>
        <w:t>για</w:t>
      </w:r>
      <w:r w:rsidR="00BF69B8" w:rsidRPr="00BF69B8">
        <w:rPr>
          <w:rFonts w:cstheme="minorHAnsi"/>
          <w:sz w:val="24"/>
          <w:szCs w:val="24"/>
          <w:lang w:val="el-GR"/>
        </w:rPr>
        <w:t xml:space="preserve"> </w:t>
      </w:r>
      <w:r w:rsidR="00BF69B8">
        <w:rPr>
          <w:rFonts w:cstheme="minorHAnsi"/>
          <w:sz w:val="24"/>
          <w:szCs w:val="24"/>
          <w:lang w:val="el-GR"/>
        </w:rPr>
        <w:t>να</w:t>
      </w:r>
      <w:r w:rsidR="00BF69B8" w:rsidRPr="00BF69B8">
        <w:rPr>
          <w:rFonts w:cstheme="minorHAnsi"/>
          <w:sz w:val="24"/>
          <w:szCs w:val="24"/>
          <w:lang w:val="el-GR"/>
        </w:rPr>
        <w:t xml:space="preserve"> </w:t>
      </w:r>
      <w:r w:rsidR="00BF69B8">
        <w:rPr>
          <w:rFonts w:cstheme="minorHAnsi"/>
          <w:sz w:val="24"/>
          <w:szCs w:val="24"/>
          <w:lang w:val="el-GR"/>
        </w:rPr>
        <w:t>καλύψει</w:t>
      </w:r>
      <w:r w:rsidR="00A5147D" w:rsidRPr="00BF69B8">
        <w:rPr>
          <w:rFonts w:cstheme="minorHAnsi"/>
          <w:sz w:val="24"/>
          <w:szCs w:val="24"/>
          <w:shd w:val="clear" w:color="auto" w:fill="FCFCFC"/>
          <w:lang w:val="el-GR"/>
        </w:rPr>
        <w:t xml:space="preserve"> </w:t>
      </w:r>
      <w:r w:rsidR="00BF69B8">
        <w:rPr>
          <w:rFonts w:cstheme="minorHAnsi"/>
          <w:sz w:val="24"/>
          <w:szCs w:val="24"/>
          <w:shd w:val="clear" w:color="auto" w:fill="FCFCFC"/>
          <w:lang w:val="el-GR"/>
        </w:rPr>
        <w:t>τη</w:t>
      </w:r>
      <w:r w:rsidR="0059636F">
        <w:rPr>
          <w:rFonts w:cstheme="minorHAnsi"/>
          <w:sz w:val="24"/>
          <w:szCs w:val="24"/>
          <w:shd w:val="clear" w:color="auto" w:fill="FCFCFC"/>
          <w:lang w:val="el-GR"/>
        </w:rPr>
        <w:t xml:space="preserve"> συμβατότητα </w:t>
      </w:r>
      <w:r w:rsidR="00BF69B8">
        <w:rPr>
          <w:rFonts w:cstheme="minorHAnsi"/>
          <w:sz w:val="24"/>
          <w:szCs w:val="24"/>
          <w:shd w:val="clear" w:color="auto" w:fill="FCFCFC"/>
          <w:lang w:val="el-GR"/>
        </w:rPr>
        <w:t>ενός νόμου ή απόφασης της Βουλής των Αντιπροσώπων με το</w:t>
      </w:r>
      <w:r w:rsidR="00F27FF2">
        <w:rPr>
          <w:rFonts w:cstheme="minorHAnsi"/>
          <w:sz w:val="24"/>
          <w:szCs w:val="24"/>
          <w:shd w:val="clear" w:color="auto" w:fill="FCFCFC"/>
          <w:lang w:val="el-GR"/>
        </w:rPr>
        <w:t xml:space="preserve"> </w:t>
      </w:r>
      <w:proofErr w:type="spellStart"/>
      <w:r w:rsidR="00F27FF2">
        <w:rPr>
          <w:rFonts w:cstheme="minorHAnsi"/>
          <w:sz w:val="24"/>
          <w:szCs w:val="24"/>
          <w:shd w:val="clear" w:color="auto" w:fill="FCFCFC"/>
          <w:lang w:val="el-GR"/>
        </w:rPr>
        <w:t>Ενωσιακό</w:t>
      </w:r>
      <w:proofErr w:type="spellEnd"/>
      <w:r w:rsidR="00F27FF2">
        <w:rPr>
          <w:rFonts w:cstheme="minorHAnsi"/>
          <w:sz w:val="24"/>
          <w:szCs w:val="24"/>
          <w:shd w:val="clear" w:color="auto" w:fill="FCFCFC"/>
          <w:lang w:val="el-GR"/>
        </w:rPr>
        <w:t xml:space="preserve"> δίκαιο</w:t>
      </w:r>
      <w:r w:rsidR="00A5147D" w:rsidRPr="00BF69B8">
        <w:rPr>
          <w:rFonts w:cstheme="minorHAnsi"/>
          <w:sz w:val="24"/>
          <w:szCs w:val="24"/>
          <w:shd w:val="clear" w:color="auto" w:fill="FCFCFC"/>
          <w:lang w:val="el-GR"/>
        </w:rPr>
        <w:t>.</w:t>
      </w:r>
      <w:r w:rsidR="00A5147D" w:rsidRPr="009018FD">
        <w:rPr>
          <w:rStyle w:val="FootnoteReference"/>
          <w:rFonts w:cstheme="minorHAnsi"/>
          <w:sz w:val="24"/>
          <w:szCs w:val="24"/>
          <w:shd w:val="clear" w:color="auto" w:fill="FCFCFC"/>
        </w:rPr>
        <w:footnoteReference w:id="26"/>
      </w:r>
      <w:r w:rsidR="00A5147D" w:rsidRPr="00BF69B8">
        <w:rPr>
          <w:rFonts w:cstheme="minorHAnsi"/>
          <w:sz w:val="24"/>
          <w:szCs w:val="24"/>
          <w:shd w:val="clear" w:color="auto" w:fill="FCFCFC"/>
          <w:lang w:val="el-GR"/>
        </w:rPr>
        <w:t xml:space="preserve"> </w:t>
      </w:r>
    </w:p>
    <w:p w14:paraId="2252A953" w14:textId="77777777" w:rsidR="00A5147D" w:rsidRPr="00BF69B8" w:rsidRDefault="00A5147D" w:rsidP="00A5147D">
      <w:pPr>
        <w:autoSpaceDE w:val="0"/>
        <w:autoSpaceDN w:val="0"/>
        <w:adjustRightInd w:val="0"/>
        <w:rPr>
          <w:rFonts w:cstheme="minorHAnsi"/>
          <w:sz w:val="24"/>
          <w:szCs w:val="24"/>
          <w:lang w:val="el-GR"/>
        </w:rPr>
      </w:pPr>
    </w:p>
    <w:p w14:paraId="5836A3B6" w14:textId="3F9C9B80" w:rsidR="00A5147D" w:rsidRPr="00BF69B8" w:rsidRDefault="00BF69B8" w:rsidP="00A5147D">
      <w:pPr>
        <w:pStyle w:val="ListParagraph"/>
        <w:numPr>
          <w:ilvl w:val="0"/>
          <w:numId w:val="1"/>
        </w:numPr>
        <w:tabs>
          <w:tab w:val="clear" w:pos="6095"/>
        </w:tabs>
        <w:ind w:left="0" w:firstLine="0"/>
        <w:rPr>
          <w:rFonts w:eastAsia="Times New Roman" w:cstheme="minorHAnsi"/>
          <w:sz w:val="24"/>
          <w:szCs w:val="24"/>
          <w:lang w:val="el-GR" w:eastAsia="fr-FR"/>
        </w:rPr>
      </w:pPr>
      <w:r>
        <w:rPr>
          <w:rFonts w:cstheme="minorHAnsi"/>
          <w:sz w:val="24"/>
          <w:szCs w:val="24"/>
          <w:lang w:val="el-GR"/>
        </w:rPr>
        <w:t>Ο</w:t>
      </w:r>
      <w:r w:rsidRPr="00BF69B8">
        <w:rPr>
          <w:rFonts w:cstheme="minorHAnsi"/>
          <w:sz w:val="24"/>
          <w:szCs w:val="24"/>
          <w:lang w:val="el-GR"/>
        </w:rPr>
        <w:t xml:space="preserve"> </w:t>
      </w:r>
      <w:r>
        <w:rPr>
          <w:rFonts w:cstheme="minorHAnsi"/>
          <w:sz w:val="24"/>
          <w:szCs w:val="24"/>
          <w:lang w:val="el-GR"/>
        </w:rPr>
        <w:t>Πρόεδρος</w:t>
      </w:r>
      <w:r w:rsidRPr="00BF69B8">
        <w:rPr>
          <w:rFonts w:cstheme="minorHAnsi"/>
          <w:sz w:val="24"/>
          <w:szCs w:val="24"/>
          <w:lang w:val="el-GR"/>
        </w:rPr>
        <w:t xml:space="preserve"> </w:t>
      </w:r>
      <w:r>
        <w:rPr>
          <w:rFonts w:cstheme="minorHAnsi"/>
          <w:sz w:val="24"/>
          <w:szCs w:val="24"/>
          <w:lang w:val="el-GR"/>
        </w:rPr>
        <w:t>μπορεί</w:t>
      </w:r>
      <w:r w:rsidRPr="00BF69B8">
        <w:rPr>
          <w:rFonts w:cstheme="minorHAnsi"/>
          <w:sz w:val="24"/>
          <w:szCs w:val="24"/>
          <w:lang w:val="el-GR"/>
        </w:rPr>
        <w:t xml:space="preserve"> </w:t>
      </w:r>
      <w:r>
        <w:rPr>
          <w:rFonts w:cstheme="minorHAnsi"/>
          <w:sz w:val="24"/>
          <w:szCs w:val="24"/>
          <w:lang w:val="el-GR"/>
        </w:rPr>
        <w:t>να</w:t>
      </w:r>
      <w:r w:rsidRPr="00BF69B8">
        <w:rPr>
          <w:rFonts w:cstheme="minorHAnsi"/>
          <w:sz w:val="24"/>
          <w:szCs w:val="24"/>
          <w:lang w:val="el-GR"/>
        </w:rPr>
        <w:t xml:space="preserve"> </w:t>
      </w:r>
      <w:r>
        <w:rPr>
          <w:rFonts w:cstheme="minorHAnsi"/>
          <w:sz w:val="24"/>
          <w:szCs w:val="24"/>
          <w:lang w:val="el-GR"/>
        </w:rPr>
        <w:t>απευθυνθεί</w:t>
      </w:r>
      <w:r w:rsidRPr="00BF69B8">
        <w:rPr>
          <w:rFonts w:cstheme="minorHAnsi"/>
          <w:sz w:val="24"/>
          <w:szCs w:val="24"/>
          <w:lang w:val="el-GR"/>
        </w:rPr>
        <w:t xml:space="preserve"> </w:t>
      </w:r>
      <w:r>
        <w:rPr>
          <w:rFonts w:cstheme="minorHAnsi"/>
          <w:sz w:val="24"/>
          <w:szCs w:val="24"/>
          <w:lang w:val="el-GR"/>
        </w:rPr>
        <w:t>ή</w:t>
      </w:r>
      <w:r w:rsidRPr="00BF69B8">
        <w:rPr>
          <w:rFonts w:cstheme="minorHAnsi"/>
          <w:sz w:val="24"/>
          <w:szCs w:val="24"/>
          <w:lang w:val="el-GR"/>
        </w:rPr>
        <w:t xml:space="preserve"> </w:t>
      </w:r>
      <w:r>
        <w:rPr>
          <w:rFonts w:cstheme="minorHAnsi"/>
          <w:sz w:val="24"/>
          <w:szCs w:val="24"/>
          <w:lang w:val="el-GR"/>
        </w:rPr>
        <w:t>να</w:t>
      </w:r>
      <w:r w:rsidRPr="00BF69B8">
        <w:rPr>
          <w:rFonts w:cstheme="minorHAnsi"/>
          <w:sz w:val="24"/>
          <w:szCs w:val="24"/>
          <w:lang w:val="el-GR"/>
        </w:rPr>
        <w:t xml:space="preserve"> </w:t>
      </w:r>
      <w:r w:rsidR="005F4608">
        <w:rPr>
          <w:rFonts w:cstheme="minorHAnsi"/>
          <w:sz w:val="24"/>
          <w:szCs w:val="24"/>
          <w:lang w:val="el-GR"/>
        </w:rPr>
        <w:t xml:space="preserve">μεταφέρει </w:t>
      </w:r>
      <w:r>
        <w:rPr>
          <w:rFonts w:cstheme="minorHAnsi"/>
          <w:sz w:val="24"/>
          <w:szCs w:val="24"/>
          <w:lang w:val="el-GR"/>
        </w:rPr>
        <w:t>τις</w:t>
      </w:r>
      <w:r w:rsidRPr="00BF69B8">
        <w:rPr>
          <w:rFonts w:cstheme="minorHAnsi"/>
          <w:sz w:val="24"/>
          <w:szCs w:val="24"/>
          <w:lang w:val="el-GR"/>
        </w:rPr>
        <w:t xml:space="preserve"> </w:t>
      </w:r>
      <w:r>
        <w:rPr>
          <w:rFonts w:cstheme="minorHAnsi"/>
          <w:sz w:val="24"/>
          <w:szCs w:val="24"/>
          <w:lang w:val="el-GR"/>
        </w:rPr>
        <w:t>απόψεις</w:t>
      </w:r>
      <w:r w:rsidRPr="00BF69B8">
        <w:rPr>
          <w:rFonts w:cstheme="minorHAnsi"/>
          <w:sz w:val="24"/>
          <w:szCs w:val="24"/>
          <w:lang w:val="el-GR"/>
        </w:rPr>
        <w:t xml:space="preserve"> </w:t>
      </w:r>
      <w:r>
        <w:rPr>
          <w:rFonts w:cstheme="minorHAnsi"/>
          <w:sz w:val="24"/>
          <w:szCs w:val="24"/>
          <w:lang w:val="el-GR"/>
        </w:rPr>
        <w:t>του</w:t>
      </w:r>
      <w:r w:rsidRPr="00BF69B8">
        <w:rPr>
          <w:rFonts w:cstheme="minorHAnsi"/>
          <w:sz w:val="24"/>
          <w:szCs w:val="24"/>
          <w:lang w:val="el-GR"/>
        </w:rPr>
        <w:t>/</w:t>
      </w:r>
      <w:r>
        <w:rPr>
          <w:rFonts w:cstheme="minorHAnsi"/>
          <w:sz w:val="24"/>
          <w:szCs w:val="24"/>
          <w:lang w:val="el-GR"/>
        </w:rPr>
        <w:t>ης</w:t>
      </w:r>
      <w:r w:rsidRPr="00BF69B8">
        <w:rPr>
          <w:rFonts w:cstheme="minorHAnsi"/>
          <w:sz w:val="24"/>
          <w:szCs w:val="24"/>
          <w:lang w:val="el-GR"/>
        </w:rPr>
        <w:t xml:space="preserve"> </w:t>
      </w:r>
      <w:r>
        <w:rPr>
          <w:rFonts w:cstheme="minorHAnsi"/>
          <w:sz w:val="24"/>
          <w:szCs w:val="24"/>
          <w:lang w:val="el-GR"/>
        </w:rPr>
        <w:t>στην</w:t>
      </w:r>
      <w:r w:rsidRPr="00BF69B8">
        <w:rPr>
          <w:rFonts w:cstheme="minorHAnsi"/>
          <w:sz w:val="24"/>
          <w:szCs w:val="24"/>
          <w:lang w:val="el-GR"/>
        </w:rPr>
        <w:t xml:space="preserve"> </w:t>
      </w:r>
      <w:r>
        <w:rPr>
          <w:rFonts w:cstheme="minorHAnsi"/>
          <w:sz w:val="24"/>
          <w:szCs w:val="24"/>
          <w:lang w:val="el-GR"/>
        </w:rPr>
        <w:t>Βουλή</w:t>
      </w:r>
      <w:r w:rsidRPr="00BF69B8">
        <w:rPr>
          <w:rFonts w:cstheme="minorHAnsi"/>
          <w:sz w:val="24"/>
          <w:szCs w:val="24"/>
          <w:lang w:val="el-GR"/>
        </w:rPr>
        <w:t xml:space="preserve"> </w:t>
      </w:r>
      <w:r>
        <w:rPr>
          <w:rFonts w:cstheme="minorHAnsi"/>
          <w:sz w:val="24"/>
          <w:szCs w:val="24"/>
          <w:lang w:val="el-GR"/>
        </w:rPr>
        <w:t>των</w:t>
      </w:r>
      <w:r w:rsidRPr="00BF69B8">
        <w:rPr>
          <w:rFonts w:cstheme="minorHAnsi"/>
          <w:sz w:val="24"/>
          <w:szCs w:val="24"/>
          <w:lang w:val="el-GR"/>
        </w:rPr>
        <w:t xml:space="preserve"> </w:t>
      </w:r>
      <w:r>
        <w:rPr>
          <w:rFonts w:cstheme="minorHAnsi"/>
          <w:sz w:val="24"/>
          <w:szCs w:val="24"/>
          <w:lang w:val="el-GR"/>
        </w:rPr>
        <w:t>Αντιπροσώπων</w:t>
      </w:r>
      <w:r w:rsidR="00A5147D" w:rsidRPr="00BF69B8">
        <w:rPr>
          <w:rFonts w:cstheme="minorHAnsi"/>
          <w:sz w:val="24"/>
          <w:szCs w:val="24"/>
          <w:lang w:val="el-GR"/>
        </w:rPr>
        <w:t xml:space="preserve"> </w:t>
      </w:r>
      <w:r>
        <w:rPr>
          <w:rFonts w:cstheme="minorHAnsi"/>
          <w:sz w:val="24"/>
          <w:szCs w:val="24"/>
          <w:lang w:val="el-GR"/>
        </w:rPr>
        <w:t>με μήνυμα μέσω των υπουργών</w:t>
      </w:r>
      <w:r w:rsidR="00A5147D" w:rsidRPr="00BF69B8">
        <w:rPr>
          <w:rFonts w:cstheme="minorHAnsi"/>
          <w:sz w:val="24"/>
          <w:szCs w:val="24"/>
          <w:lang w:val="el-GR"/>
        </w:rPr>
        <w:t xml:space="preserve">. </w:t>
      </w:r>
      <w:r>
        <w:rPr>
          <w:rFonts w:cstheme="minorHAnsi"/>
          <w:sz w:val="24"/>
          <w:szCs w:val="24"/>
          <w:lang w:val="el-GR"/>
        </w:rPr>
        <w:t>Επίσης</w:t>
      </w:r>
      <w:r w:rsidRPr="00BF69B8">
        <w:rPr>
          <w:rFonts w:cstheme="minorHAnsi"/>
          <w:sz w:val="24"/>
          <w:szCs w:val="24"/>
          <w:lang w:val="el-GR"/>
        </w:rPr>
        <w:t xml:space="preserve">, </w:t>
      </w:r>
      <w:r>
        <w:rPr>
          <w:rFonts w:cstheme="minorHAnsi"/>
          <w:sz w:val="24"/>
          <w:szCs w:val="24"/>
          <w:lang w:val="el-GR"/>
        </w:rPr>
        <w:t>αυτός</w:t>
      </w:r>
      <w:r w:rsidRPr="00BF69B8">
        <w:rPr>
          <w:rFonts w:cstheme="minorHAnsi"/>
          <w:sz w:val="24"/>
          <w:szCs w:val="24"/>
          <w:lang w:val="el-GR"/>
        </w:rPr>
        <w:t>/</w:t>
      </w:r>
      <w:r>
        <w:rPr>
          <w:rFonts w:cstheme="minorHAnsi"/>
          <w:sz w:val="24"/>
          <w:szCs w:val="24"/>
          <w:lang w:val="el-GR"/>
        </w:rPr>
        <w:t>ή</w:t>
      </w:r>
      <w:r w:rsidRPr="00BF69B8">
        <w:rPr>
          <w:rFonts w:cstheme="minorHAnsi"/>
          <w:sz w:val="24"/>
          <w:szCs w:val="24"/>
          <w:lang w:val="el-GR"/>
        </w:rPr>
        <w:t xml:space="preserve">, </w:t>
      </w:r>
      <w:r>
        <w:rPr>
          <w:rFonts w:cstheme="minorHAnsi"/>
          <w:sz w:val="24"/>
          <w:szCs w:val="24"/>
          <w:lang w:val="el-GR"/>
        </w:rPr>
        <w:t>με</w:t>
      </w:r>
      <w:r w:rsidRPr="00BF69B8">
        <w:rPr>
          <w:rFonts w:cstheme="minorHAnsi"/>
          <w:sz w:val="24"/>
          <w:szCs w:val="24"/>
          <w:lang w:val="el-GR"/>
        </w:rPr>
        <w:t xml:space="preserve"> </w:t>
      </w:r>
      <w:r>
        <w:rPr>
          <w:rFonts w:cstheme="minorHAnsi"/>
          <w:sz w:val="24"/>
          <w:szCs w:val="24"/>
          <w:lang w:val="el-GR"/>
        </w:rPr>
        <w:t>ομόφωνη</w:t>
      </w:r>
      <w:r w:rsidRPr="00BF69B8">
        <w:rPr>
          <w:rFonts w:cstheme="minorHAnsi"/>
          <w:sz w:val="24"/>
          <w:szCs w:val="24"/>
          <w:lang w:val="el-GR"/>
        </w:rPr>
        <w:t xml:space="preserve"> </w:t>
      </w:r>
      <w:r>
        <w:rPr>
          <w:rFonts w:cstheme="minorHAnsi"/>
          <w:sz w:val="24"/>
          <w:szCs w:val="24"/>
          <w:lang w:val="el-GR"/>
        </w:rPr>
        <w:t>σύσταση</w:t>
      </w:r>
      <w:r w:rsidRPr="00BF69B8">
        <w:rPr>
          <w:rFonts w:cstheme="minorHAnsi"/>
          <w:sz w:val="24"/>
          <w:szCs w:val="24"/>
          <w:lang w:val="el-GR"/>
        </w:rPr>
        <w:t xml:space="preserve"> </w:t>
      </w:r>
      <w:r>
        <w:rPr>
          <w:rFonts w:cstheme="minorHAnsi"/>
          <w:sz w:val="24"/>
          <w:szCs w:val="24"/>
          <w:lang w:val="el-GR"/>
        </w:rPr>
        <w:t>του</w:t>
      </w:r>
      <w:r w:rsidRPr="00BF69B8">
        <w:rPr>
          <w:rFonts w:cstheme="minorHAnsi"/>
          <w:sz w:val="24"/>
          <w:szCs w:val="24"/>
          <w:lang w:val="el-GR"/>
        </w:rPr>
        <w:t xml:space="preserve"> </w:t>
      </w:r>
      <w:r>
        <w:rPr>
          <w:rFonts w:cstheme="minorHAnsi"/>
          <w:sz w:val="24"/>
          <w:szCs w:val="24"/>
          <w:lang w:val="el-GR"/>
        </w:rPr>
        <w:t>Γενικού</w:t>
      </w:r>
      <w:r w:rsidRPr="00BF69B8">
        <w:rPr>
          <w:rFonts w:cstheme="minorHAnsi"/>
          <w:sz w:val="24"/>
          <w:szCs w:val="24"/>
          <w:lang w:val="el-GR"/>
        </w:rPr>
        <w:t xml:space="preserve"> </w:t>
      </w:r>
      <w:r>
        <w:rPr>
          <w:rFonts w:cstheme="minorHAnsi"/>
          <w:sz w:val="24"/>
          <w:szCs w:val="24"/>
          <w:lang w:val="el-GR"/>
        </w:rPr>
        <w:t>Εισαγγελέα</w:t>
      </w:r>
      <w:r w:rsidRPr="00BF69B8">
        <w:rPr>
          <w:rFonts w:cstheme="minorHAnsi"/>
          <w:sz w:val="24"/>
          <w:szCs w:val="24"/>
          <w:lang w:val="el-GR"/>
        </w:rPr>
        <w:t xml:space="preserve"> </w:t>
      </w:r>
      <w:r>
        <w:rPr>
          <w:rFonts w:cstheme="minorHAnsi"/>
          <w:sz w:val="24"/>
          <w:szCs w:val="24"/>
          <w:lang w:val="el-GR"/>
        </w:rPr>
        <w:t>και</w:t>
      </w:r>
      <w:r w:rsidRPr="00BF69B8">
        <w:rPr>
          <w:rFonts w:cstheme="minorHAnsi"/>
          <w:sz w:val="24"/>
          <w:szCs w:val="24"/>
          <w:lang w:val="el-GR"/>
        </w:rPr>
        <w:t xml:space="preserve"> </w:t>
      </w:r>
      <w:r>
        <w:rPr>
          <w:rFonts w:cstheme="minorHAnsi"/>
          <w:sz w:val="24"/>
          <w:szCs w:val="24"/>
          <w:lang w:val="el-GR"/>
        </w:rPr>
        <w:t>του</w:t>
      </w:r>
      <w:r w:rsidRPr="00BF69B8">
        <w:rPr>
          <w:rFonts w:cstheme="minorHAnsi"/>
          <w:sz w:val="24"/>
          <w:szCs w:val="24"/>
          <w:lang w:val="el-GR"/>
        </w:rPr>
        <w:t xml:space="preserve"> </w:t>
      </w:r>
      <w:r>
        <w:rPr>
          <w:rFonts w:cstheme="minorHAnsi"/>
          <w:sz w:val="24"/>
          <w:szCs w:val="24"/>
          <w:lang w:val="el-GR"/>
        </w:rPr>
        <w:t>Βοηθού</w:t>
      </w:r>
      <w:r w:rsidRPr="00BF69B8">
        <w:rPr>
          <w:rFonts w:cstheme="minorHAnsi"/>
          <w:sz w:val="24"/>
          <w:szCs w:val="24"/>
          <w:lang w:val="el-GR"/>
        </w:rPr>
        <w:t xml:space="preserve"> </w:t>
      </w:r>
      <w:r>
        <w:rPr>
          <w:rFonts w:cstheme="minorHAnsi"/>
          <w:sz w:val="24"/>
          <w:szCs w:val="24"/>
          <w:lang w:val="el-GR"/>
        </w:rPr>
        <w:t>Γενικού</w:t>
      </w:r>
      <w:r w:rsidRPr="00BF69B8">
        <w:rPr>
          <w:rFonts w:cstheme="minorHAnsi"/>
          <w:sz w:val="24"/>
          <w:szCs w:val="24"/>
          <w:lang w:val="el-GR"/>
        </w:rPr>
        <w:t xml:space="preserve"> </w:t>
      </w:r>
      <w:r>
        <w:rPr>
          <w:rFonts w:cstheme="minorHAnsi"/>
          <w:sz w:val="24"/>
          <w:szCs w:val="24"/>
          <w:lang w:val="el-GR"/>
        </w:rPr>
        <w:t>Εισαγγελέα</w:t>
      </w:r>
      <w:r w:rsidRPr="00BF69B8">
        <w:rPr>
          <w:rFonts w:cstheme="minorHAnsi"/>
          <w:sz w:val="24"/>
          <w:szCs w:val="24"/>
          <w:lang w:val="el-GR"/>
        </w:rPr>
        <w:t xml:space="preserve"> </w:t>
      </w:r>
      <w:r>
        <w:rPr>
          <w:rFonts w:cstheme="minorHAnsi"/>
          <w:sz w:val="24"/>
          <w:szCs w:val="24"/>
          <w:lang w:val="el-GR"/>
        </w:rPr>
        <w:t>της</w:t>
      </w:r>
      <w:r w:rsidRPr="00BF69B8">
        <w:rPr>
          <w:rFonts w:cstheme="minorHAnsi"/>
          <w:sz w:val="24"/>
          <w:szCs w:val="24"/>
          <w:lang w:val="el-GR"/>
        </w:rPr>
        <w:t xml:space="preserve"> </w:t>
      </w:r>
      <w:r>
        <w:rPr>
          <w:rFonts w:cstheme="minorHAnsi"/>
          <w:sz w:val="24"/>
          <w:szCs w:val="24"/>
          <w:lang w:val="el-GR"/>
        </w:rPr>
        <w:t>Δημοκρατίας</w:t>
      </w:r>
      <w:r w:rsidRPr="00BF69B8">
        <w:rPr>
          <w:rFonts w:cstheme="minorHAnsi"/>
          <w:sz w:val="24"/>
          <w:szCs w:val="24"/>
          <w:lang w:val="el-GR"/>
        </w:rPr>
        <w:t>,</w:t>
      </w:r>
      <w:r>
        <w:rPr>
          <w:rFonts w:cstheme="minorHAnsi"/>
          <w:sz w:val="24"/>
          <w:szCs w:val="24"/>
          <w:lang w:val="el-GR"/>
        </w:rPr>
        <w:t xml:space="preserve"> </w:t>
      </w:r>
      <w:r w:rsidR="005F4608">
        <w:rPr>
          <w:rFonts w:cstheme="minorHAnsi"/>
          <w:sz w:val="24"/>
          <w:szCs w:val="24"/>
          <w:lang w:val="el-GR"/>
        </w:rPr>
        <w:t>μειώνει</w:t>
      </w:r>
      <w:r>
        <w:rPr>
          <w:rFonts w:cstheme="minorHAnsi"/>
          <w:sz w:val="24"/>
          <w:szCs w:val="24"/>
          <w:lang w:val="el-GR"/>
        </w:rPr>
        <w:t xml:space="preserve">, </w:t>
      </w:r>
      <w:r w:rsidR="005F4608">
        <w:rPr>
          <w:rFonts w:cstheme="minorHAnsi"/>
          <w:sz w:val="24"/>
          <w:szCs w:val="24"/>
          <w:lang w:val="el-GR"/>
        </w:rPr>
        <w:t>αναστέλλει</w:t>
      </w:r>
      <w:r>
        <w:rPr>
          <w:rFonts w:cstheme="minorHAnsi"/>
          <w:sz w:val="24"/>
          <w:szCs w:val="24"/>
          <w:lang w:val="el-GR"/>
        </w:rPr>
        <w:t>, ή μετατρέπει μια ποινή</w:t>
      </w:r>
      <w:r w:rsidR="00A5147D" w:rsidRPr="00BF69B8">
        <w:rPr>
          <w:rFonts w:eastAsia="Times New Roman" w:cstheme="minorHAnsi"/>
          <w:sz w:val="24"/>
          <w:szCs w:val="24"/>
          <w:lang w:val="el-GR" w:eastAsia="fr-FR"/>
        </w:rPr>
        <w:t xml:space="preserve"> </w:t>
      </w:r>
      <w:r>
        <w:rPr>
          <w:rFonts w:eastAsia="Times New Roman" w:cstheme="minorHAnsi"/>
          <w:sz w:val="24"/>
          <w:szCs w:val="24"/>
          <w:lang w:val="el-GR" w:eastAsia="fr-FR"/>
        </w:rPr>
        <w:t>που έχει αποφασ</w:t>
      </w:r>
      <w:r w:rsidR="00D73CB0">
        <w:rPr>
          <w:rFonts w:eastAsia="Times New Roman" w:cstheme="minorHAnsi"/>
          <w:sz w:val="24"/>
          <w:szCs w:val="24"/>
          <w:lang w:val="el-GR" w:eastAsia="fr-FR"/>
        </w:rPr>
        <w:t>ίσ</w:t>
      </w:r>
      <w:r>
        <w:rPr>
          <w:rFonts w:eastAsia="Times New Roman" w:cstheme="minorHAnsi"/>
          <w:sz w:val="24"/>
          <w:szCs w:val="24"/>
          <w:lang w:val="el-GR" w:eastAsia="fr-FR"/>
        </w:rPr>
        <w:t>ει ένα δικαστήριο στην Δημοκρατία</w:t>
      </w:r>
      <w:r w:rsidR="00A5147D" w:rsidRPr="00BF69B8">
        <w:rPr>
          <w:rFonts w:eastAsia="Times New Roman" w:cstheme="minorHAnsi"/>
          <w:sz w:val="24"/>
          <w:szCs w:val="24"/>
          <w:lang w:val="el-GR" w:eastAsia="fr-FR"/>
        </w:rPr>
        <w:t xml:space="preserve"> </w:t>
      </w:r>
      <w:r>
        <w:rPr>
          <w:rFonts w:eastAsia="Times New Roman" w:cstheme="minorHAnsi"/>
          <w:sz w:val="24"/>
          <w:szCs w:val="24"/>
          <w:lang w:val="el-GR" w:eastAsia="fr-FR"/>
        </w:rPr>
        <w:t>σε όλες τις άλλες περιπτώσεις</w:t>
      </w:r>
      <w:r w:rsidR="00A5147D" w:rsidRPr="00BF69B8">
        <w:rPr>
          <w:rFonts w:eastAsia="Times New Roman" w:cstheme="minorHAnsi"/>
          <w:sz w:val="24"/>
          <w:szCs w:val="24"/>
          <w:lang w:val="el-GR" w:eastAsia="fr-FR"/>
        </w:rPr>
        <w:t>.</w:t>
      </w:r>
      <w:r w:rsidR="00A5147D" w:rsidRPr="004E251E">
        <w:rPr>
          <w:rStyle w:val="FootnoteReference"/>
          <w:rFonts w:eastAsia="Times New Roman" w:cstheme="minorHAnsi"/>
          <w:sz w:val="24"/>
          <w:szCs w:val="24"/>
          <w:lang w:eastAsia="fr-FR"/>
        </w:rPr>
        <w:footnoteReference w:id="27"/>
      </w:r>
      <w:r w:rsidR="00A5147D" w:rsidRPr="00BF69B8">
        <w:rPr>
          <w:rFonts w:eastAsia="Times New Roman" w:cstheme="minorHAnsi"/>
          <w:sz w:val="24"/>
          <w:szCs w:val="24"/>
          <w:lang w:val="el-GR" w:eastAsia="fr-FR"/>
        </w:rPr>
        <w:t xml:space="preserve"> </w:t>
      </w:r>
      <w:r>
        <w:rPr>
          <w:rFonts w:eastAsia="Times New Roman" w:cstheme="minorHAnsi"/>
          <w:sz w:val="24"/>
          <w:szCs w:val="24"/>
          <w:lang w:val="el-GR" w:eastAsia="fr-FR"/>
        </w:rPr>
        <w:t>Πριν</w:t>
      </w:r>
      <w:r w:rsidRPr="00BF69B8">
        <w:rPr>
          <w:rFonts w:eastAsia="Times New Roman" w:cstheme="minorHAnsi"/>
          <w:sz w:val="24"/>
          <w:szCs w:val="24"/>
          <w:lang w:val="el-GR" w:eastAsia="fr-FR"/>
        </w:rPr>
        <w:t xml:space="preserve"> </w:t>
      </w:r>
      <w:r>
        <w:rPr>
          <w:rFonts w:eastAsia="Times New Roman" w:cstheme="minorHAnsi"/>
          <w:sz w:val="24"/>
          <w:szCs w:val="24"/>
          <w:lang w:val="el-GR" w:eastAsia="fr-FR"/>
        </w:rPr>
        <w:t>την</w:t>
      </w:r>
      <w:r w:rsidRPr="00BF69B8">
        <w:rPr>
          <w:rFonts w:eastAsia="Times New Roman" w:cstheme="minorHAnsi"/>
          <w:sz w:val="24"/>
          <w:szCs w:val="24"/>
          <w:lang w:val="el-GR" w:eastAsia="fr-FR"/>
        </w:rPr>
        <w:t xml:space="preserve"> </w:t>
      </w:r>
      <w:r>
        <w:rPr>
          <w:rFonts w:eastAsia="Times New Roman" w:cstheme="minorHAnsi"/>
          <w:sz w:val="24"/>
          <w:szCs w:val="24"/>
          <w:lang w:val="el-GR" w:eastAsia="fr-FR"/>
        </w:rPr>
        <w:t>εισαγωγή</w:t>
      </w:r>
      <w:r w:rsidRPr="00BF69B8">
        <w:rPr>
          <w:rFonts w:eastAsia="Times New Roman" w:cstheme="minorHAnsi"/>
          <w:sz w:val="24"/>
          <w:szCs w:val="24"/>
          <w:lang w:val="el-GR" w:eastAsia="fr-FR"/>
        </w:rPr>
        <w:t xml:space="preserve"> </w:t>
      </w:r>
      <w:r>
        <w:rPr>
          <w:rFonts w:eastAsia="Times New Roman" w:cstheme="minorHAnsi"/>
          <w:sz w:val="24"/>
          <w:szCs w:val="24"/>
          <w:lang w:val="el-GR" w:eastAsia="fr-FR"/>
        </w:rPr>
        <w:t>της</w:t>
      </w:r>
      <w:r w:rsidRPr="00BF69B8">
        <w:rPr>
          <w:rFonts w:eastAsia="Times New Roman" w:cstheme="minorHAnsi"/>
          <w:sz w:val="24"/>
          <w:szCs w:val="24"/>
          <w:lang w:val="el-GR" w:eastAsia="fr-FR"/>
        </w:rPr>
        <w:t xml:space="preserve"> </w:t>
      </w:r>
      <w:r>
        <w:rPr>
          <w:rFonts w:eastAsia="Times New Roman" w:cstheme="minorHAnsi"/>
          <w:sz w:val="24"/>
          <w:szCs w:val="24"/>
          <w:lang w:val="el-GR" w:eastAsia="fr-FR"/>
        </w:rPr>
        <w:t>Δέκατης</w:t>
      </w:r>
      <w:r w:rsidRPr="00BF69B8">
        <w:rPr>
          <w:rFonts w:eastAsia="Times New Roman" w:cstheme="minorHAnsi"/>
          <w:sz w:val="24"/>
          <w:szCs w:val="24"/>
          <w:lang w:val="el-GR" w:eastAsia="fr-FR"/>
        </w:rPr>
        <w:t xml:space="preserve"> </w:t>
      </w:r>
      <w:r>
        <w:rPr>
          <w:rFonts w:eastAsia="Times New Roman" w:cstheme="minorHAnsi"/>
          <w:sz w:val="24"/>
          <w:szCs w:val="24"/>
          <w:lang w:val="el-GR" w:eastAsia="fr-FR"/>
        </w:rPr>
        <w:t>Συνταγματικής</w:t>
      </w:r>
      <w:r w:rsidRPr="00BF69B8">
        <w:rPr>
          <w:rFonts w:eastAsia="Times New Roman" w:cstheme="minorHAnsi"/>
          <w:sz w:val="24"/>
          <w:szCs w:val="24"/>
          <w:lang w:val="el-GR" w:eastAsia="fr-FR"/>
        </w:rPr>
        <w:t xml:space="preserve"> </w:t>
      </w:r>
      <w:r>
        <w:rPr>
          <w:rFonts w:eastAsia="Times New Roman" w:cstheme="minorHAnsi"/>
          <w:sz w:val="24"/>
          <w:szCs w:val="24"/>
          <w:lang w:val="el-GR" w:eastAsia="fr-FR"/>
        </w:rPr>
        <w:t>Τροποποίησης</w:t>
      </w:r>
      <w:r w:rsidRPr="00BF69B8">
        <w:rPr>
          <w:rFonts w:eastAsia="Times New Roman" w:cstheme="minorHAnsi"/>
          <w:sz w:val="24"/>
          <w:szCs w:val="24"/>
          <w:lang w:val="el-GR" w:eastAsia="fr-FR"/>
        </w:rPr>
        <w:t xml:space="preserve"> </w:t>
      </w:r>
      <w:r>
        <w:rPr>
          <w:rFonts w:eastAsia="Times New Roman" w:cstheme="minorHAnsi"/>
          <w:sz w:val="24"/>
          <w:szCs w:val="24"/>
          <w:lang w:val="el-GR" w:eastAsia="fr-FR"/>
        </w:rPr>
        <w:t>στις</w:t>
      </w:r>
      <w:r w:rsidR="00A5147D" w:rsidRPr="00BF69B8">
        <w:rPr>
          <w:rFonts w:cstheme="minorHAnsi"/>
          <w:sz w:val="24"/>
          <w:szCs w:val="24"/>
          <w:lang w:val="el-GR"/>
        </w:rPr>
        <w:t xml:space="preserve"> 16 </w:t>
      </w:r>
      <w:r>
        <w:rPr>
          <w:rFonts w:cstheme="minorHAnsi"/>
          <w:sz w:val="24"/>
          <w:szCs w:val="24"/>
          <w:lang w:val="el-GR"/>
        </w:rPr>
        <w:t>Σεπτεμβρίου</w:t>
      </w:r>
      <w:r w:rsidRPr="00BF69B8">
        <w:rPr>
          <w:rFonts w:cstheme="minorHAnsi"/>
          <w:sz w:val="24"/>
          <w:szCs w:val="24"/>
          <w:lang w:val="el-GR"/>
        </w:rPr>
        <w:t xml:space="preserve"> 2016, </w:t>
      </w:r>
      <w:r w:rsidR="007B5B25">
        <w:rPr>
          <w:rFonts w:cstheme="minorHAnsi"/>
          <w:sz w:val="24"/>
          <w:szCs w:val="24"/>
          <w:lang w:val="el-GR"/>
        </w:rPr>
        <w:t xml:space="preserve">για κατάργηση </w:t>
      </w:r>
      <w:r>
        <w:rPr>
          <w:rFonts w:cstheme="minorHAnsi"/>
          <w:sz w:val="24"/>
          <w:szCs w:val="24"/>
          <w:lang w:val="el-GR"/>
        </w:rPr>
        <w:t>τη</w:t>
      </w:r>
      <w:r w:rsidR="007B5B25">
        <w:rPr>
          <w:rFonts w:cstheme="minorHAnsi"/>
          <w:sz w:val="24"/>
          <w:szCs w:val="24"/>
          <w:lang w:val="el-GR"/>
        </w:rPr>
        <w:t>ς</w:t>
      </w:r>
      <w:r>
        <w:rPr>
          <w:rFonts w:cstheme="minorHAnsi"/>
          <w:sz w:val="24"/>
          <w:szCs w:val="24"/>
          <w:lang w:val="el-GR"/>
        </w:rPr>
        <w:t xml:space="preserve"> θανατική</w:t>
      </w:r>
      <w:r w:rsidR="007B5B25">
        <w:rPr>
          <w:rFonts w:cstheme="minorHAnsi"/>
          <w:sz w:val="24"/>
          <w:szCs w:val="24"/>
          <w:lang w:val="el-GR"/>
        </w:rPr>
        <w:t>ς</w:t>
      </w:r>
      <w:r>
        <w:rPr>
          <w:rFonts w:cstheme="minorHAnsi"/>
          <w:sz w:val="24"/>
          <w:szCs w:val="24"/>
          <w:lang w:val="el-GR"/>
        </w:rPr>
        <w:t xml:space="preserve"> ποινή</w:t>
      </w:r>
      <w:r w:rsidR="007B5B25">
        <w:rPr>
          <w:rFonts w:cstheme="minorHAnsi"/>
          <w:sz w:val="24"/>
          <w:szCs w:val="24"/>
          <w:lang w:val="el-GR"/>
        </w:rPr>
        <w:t>ς</w:t>
      </w:r>
      <w:r w:rsidR="00A5147D" w:rsidRPr="00BF69B8">
        <w:rPr>
          <w:rFonts w:cstheme="minorHAnsi"/>
          <w:sz w:val="24"/>
          <w:szCs w:val="24"/>
          <w:lang w:val="el-GR"/>
        </w:rPr>
        <w:t xml:space="preserve">, </w:t>
      </w:r>
      <w:r>
        <w:rPr>
          <w:rFonts w:cstheme="minorHAnsi"/>
          <w:sz w:val="24"/>
          <w:szCs w:val="24"/>
          <w:lang w:val="el-GR"/>
        </w:rPr>
        <w:t>ο Πρόεδρος</w:t>
      </w:r>
      <w:r w:rsidR="00D548A1">
        <w:rPr>
          <w:rFonts w:cstheme="minorHAnsi"/>
          <w:sz w:val="24"/>
          <w:szCs w:val="24"/>
          <w:lang w:val="el-GR"/>
        </w:rPr>
        <w:t xml:space="preserve"> είχε το προνόμιο </w:t>
      </w:r>
      <w:r w:rsidR="006B2283">
        <w:rPr>
          <w:rFonts w:cstheme="minorHAnsi"/>
          <w:sz w:val="24"/>
          <w:szCs w:val="24"/>
          <w:lang w:val="el-GR"/>
        </w:rPr>
        <w:t xml:space="preserve">απονομής </w:t>
      </w:r>
      <w:r w:rsidR="00D548A1">
        <w:rPr>
          <w:rFonts w:cstheme="minorHAnsi"/>
          <w:sz w:val="24"/>
          <w:szCs w:val="24"/>
          <w:lang w:val="el-GR"/>
        </w:rPr>
        <w:t>χάριτος σε</w:t>
      </w:r>
      <w:r w:rsidR="00A5147D" w:rsidRPr="00BF69B8">
        <w:rPr>
          <w:rFonts w:cstheme="minorHAnsi"/>
          <w:sz w:val="24"/>
          <w:szCs w:val="24"/>
          <w:lang w:val="el-GR"/>
        </w:rPr>
        <w:t xml:space="preserve"> </w:t>
      </w:r>
      <w:r w:rsidR="0020754C">
        <w:rPr>
          <w:rFonts w:cstheme="minorHAnsi"/>
          <w:sz w:val="24"/>
          <w:szCs w:val="24"/>
          <w:lang w:val="el-GR"/>
        </w:rPr>
        <w:t xml:space="preserve">τέτοιες </w:t>
      </w:r>
      <w:r w:rsidR="00D548A1">
        <w:rPr>
          <w:rFonts w:cstheme="minorHAnsi"/>
          <w:sz w:val="24"/>
          <w:szCs w:val="24"/>
          <w:lang w:val="el-GR"/>
        </w:rPr>
        <w:t>υποθέσεις</w:t>
      </w:r>
      <w:r w:rsidR="00A5147D" w:rsidRPr="00BF69B8">
        <w:rPr>
          <w:rFonts w:cstheme="minorHAnsi"/>
          <w:sz w:val="24"/>
          <w:szCs w:val="24"/>
          <w:lang w:val="el-GR"/>
        </w:rPr>
        <w:t>.</w:t>
      </w:r>
    </w:p>
    <w:p w14:paraId="43336468" w14:textId="77777777" w:rsidR="00A5147D" w:rsidRPr="00BF69B8" w:rsidRDefault="00A5147D" w:rsidP="00A5147D">
      <w:pPr>
        <w:pStyle w:val="ListParagraph"/>
        <w:rPr>
          <w:rFonts w:ascii="Calibri" w:hAnsi="Calibri" w:cs="Calibri"/>
          <w:color w:val="000000"/>
          <w:sz w:val="24"/>
          <w:szCs w:val="24"/>
          <w:lang w:val="el-GR"/>
        </w:rPr>
      </w:pPr>
    </w:p>
    <w:p w14:paraId="259FBF80" w14:textId="08BE619C" w:rsidR="00A5147D" w:rsidRPr="006D011A" w:rsidRDefault="006D011A" w:rsidP="00A5147D">
      <w:pPr>
        <w:pStyle w:val="ListParagraph"/>
        <w:numPr>
          <w:ilvl w:val="0"/>
          <w:numId w:val="1"/>
        </w:numPr>
        <w:tabs>
          <w:tab w:val="clear" w:pos="6095"/>
        </w:tabs>
        <w:autoSpaceDE w:val="0"/>
        <w:autoSpaceDN w:val="0"/>
        <w:adjustRightInd w:val="0"/>
        <w:ind w:left="0" w:firstLine="0"/>
        <w:rPr>
          <w:rFonts w:ascii="Calibri" w:hAnsi="Calibri" w:cs="Calibri"/>
          <w:color w:val="000000"/>
          <w:sz w:val="24"/>
          <w:szCs w:val="24"/>
          <w:lang w:val="el-GR"/>
        </w:rPr>
      </w:pPr>
      <w:r>
        <w:rPr>
          <w:rFonts w:ascii="Calibri" w:hAnsi="Calibri" w:cs="Calibri"/>
          <w:color w:val="000000"/>
          <w:sz w:val="24"/>
          <w:szCs w:val="24"/>
          <w:lang w:val="el-GR"/>
        </w:rPr>
        <w:t>Η</w:t>
      </w:r>
      <w:r w:rsidRPr="006D011A">
        <w:rPr>
          <w:rFonts w:ascii="Calibri" w:hAnsi="Calibri" w:cs="Calibri"/>
          <w:color w:val="000000"/>
          <w:sz w:val="24"/>
          <w:szCs w:val="24"/>
          <w:lang w:val="el-GR"/>
        </w:rPr>
        <w:t xml:space="preserve"> </w:t>
      </w:r>
      <w:r w:rsidR="00A5147D" w:rsidRPr="004E251E">
        <w:rPr>
          <w:rFonts w:ascii="Calibri" w:hAnsi="Calibri" w:cs="Calibri"/>
          <w:color w:val="000000"/>
          <w:sz w:val="24"/>
          <w:szCs w:val="24"/>
        </w:rPr>
        <w:t>GRECO</w:t>
      </w:r>
      <w:r w:rsidR="00A5147D" w:rsidRPr="006D011A">
        <w:rPr>
          <w:rFonts w:ascii="Calibri" w:hAnsi="Calibri" w:cs="Calibri"/>
          <w:color w:val="000000"/>
          <w:sz w:val="24"/>
          <w:szCs w:val="24"/>
          <w:lang w:val="el-GR"/>
        </w:rPr>
        <w:t xml:space="preserve"> </w:t>
      </w:r>
      <w:r>
        <w:rPr>
          <w:rFonts w:ascii="Calibri" w:hAnsi="Calibri" w:cs="Calibri"/>
          <w:color w:val="000000"/>
          <w:sz w:val="24"/>
          <w:szCs w:val="24"/>
          <w:lang w:val="el-GR"/>
        </w:rPr>
        <w:t>σ</w:t>
      </w:r>
      <w:r w:rsidR="003B41ED">
        <w:rPr>
          <w:rFonts w:ascii="Calibri" w:hAnsi="Calibri" w:cs="Calibri"/>
          <w:color w:val="000000"/>
          <w:sz w:val="24"/>
          <w:szCs w:val="24"/>
          <w:lang w:val="el-GR"/>
        </w:rPr>
        <w:t>υ</w:t>
      </w:r>
      <w:r>
        <w:rPr>
          <w:rFonts w:ascii="Calibri" w:hAnsi="Calibri" w:cs="Calibri"/>
          <w:color w:val="000000"/>
          <w:sz w:val="24"/>
          <w:szCs w:val="24"/>
          <w:lang w:val="el-GR"/>
        </w:rPr>
        <w:t>μφώνησε</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ότι</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ο</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αρχηγός</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του</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Κράτους</w:t>
      </w:r>
      <w:r w:rsidR="00A5147D" w:rsidRPr="006D011A">
        <w:rPr>
          <w:rFonts w:ascii="Calibri" w:hAnsi="Calibri" w:cs="Calibri"/>
          <w:color w:val="000000"/>
          <w:sz w:val="24"/>
          <w:szCs w:val="24"/>
          <w:lang w:val="el-GR"/>
        </w:rPr>
        <w:t xml:space="preserve"> </w:t>
      </w:r>
      <w:r>
        <w:rPr>
          <w:rFonts w:ascii="Calibri" w:hAnsi="Calibri" w:cs="Calibri"/>
          <w:color w:val="000000"/>
          <w:sz w:val="24"/>
          <w:szCs w:val="24"/>
          <w:lang w:val="el-GR"/>
        </w:rPr>
        <w:t>θα</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καλυπτόταν</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από</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τον</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Πέμπτο</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Γύρο</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Αξιολόγησης</w:t>
      </w:r>
      <w:r w:rsidR="00A5147D" w:rsidRPr="006D011A">
        <w:rPr>
          <w:rFonts w:ascii="Calibri" w:hAnsi="Calibri" w:cs="Calibri"/>
          <w:color w:val="000000"/>
          <w:sz w:val="24"/>
          <w:szCs w:val="24"/>
          <w:lang w:val="el-GR"/>
        </w:rPr>
        <w:t xml:space="preserve"> </w:t>
      </w:r>
      <w:r>
        <w:rPr>
          <w:rFonts w:ascii="Calibri" w:hAnsi="Calibri" w:cs="Calibri"/>
          <w:color w:val="000000"/>
          <w:sz w:val="24"/>
          <w:szCs w:val="24"/>
          <w:lang w:val="el-GR"/>
        </w:rPr>
        <w:t>υπό</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τις</w:t>
      </w:r>
      <w:r w:rsidRPr="006D011A">
        <w:rPr>
          <w:rFonts w:ascii="Calibri" w:hAnsi="Calibri" w:cs="Calibri"/>
          <w:color w:val="000000"/>
          <w:sz w:val="24"/>
          <w:szCs w:val="24"/>
          <w:lang w:val="el-GR"/>
        </w:rPr>
        <w:t xml:space="preserve"> </w:t>
      </w:r>
      <w:r w:rsidR="00A5147D" w:rsidRPr="006D011A">
        <w:rPr>
          <w:rFonts w:ascii="Calibri" w:hAnsi="Calibri" w:cs="Calibri"/>
          <w:color w:val="000000"/>
          <w:sz w:val="24"/>
          <w:szCs w:val="24"/>
          <w:lang w:val="el-GR"/>
        </w:rPr>
        <w:t>"</w:t>
      </w:r>
      <w:r w:rsidR="007B5B25">
        <w:rPr>
          <w:rFonts w:ascii="Calibri" w:hAnsi="Calibri" w:cs="Calibri"/>
          <w:color w:val="000000"/>
          <w:sz w:val="24"/>
          <w:szCs w:val="24"/>
          <w:lang w:val="el-GR"/>
        </w:rPr>
        <w:t>ανώτατες</w:t>
      </w:r>
      <w:r w:rsidRPr="006D011A">
        <w:rPr>
          <w:rFonts w:ascii="Calibri" w:hAnsi="Calibri" w:cs="Calibri"/>
          <w:color w:val="000000"/>
          <w:sz w:val="24"/>
          <w:szCs w:val="24"/>
          <w:lang w:val="el-GR"/>
        </w:rPr>
        <w:t xml:space="preserve"> </w:t>
      </w:r>
      <w:r w:rsidR="00B14C20">
        <w:rPr>
          <w:rFonts w:ascii="Calibri" w:hAnsi="Calibri" w:cs="Calibri"/>
          <w:color w:val="000000"/>
          <w:sz w:val="24"/>
          <w:szCs w:val="24"/>
          <w:lang w:val="el-GR"/>
        </w:rPr>
        <w:t>εκτελεστικές αρμοδιότητες</w:t>
      </w:r>
      <w:r w:rsidR="006B2283">
        <w:rPr>
          <w:rFonts w:ascii="Calibri" w:hAnsi="Calibri" w:cs="Calibri"/>
          <w:color w:val="000000"/>
          <w:sz w:val="24"/>
          <w:szCs w:val="24"/>
          <w:lang w:val="el-GR"/>
        </w:rPr>
        <w:t xml:space="preserve"> </w:t>
      </w:r>
      <w:r>
        <w:rPr>
          <w:rFonts w:ascii="Calibri" w:hAnsi="Calibri" w:cs="Calibri"/>
          <w:color w:val="000000"/>
          <w:sz w:val="24"/>
          <w:szCs w:val="24"/>
          <w:lang w:val="el-GR"/>
        </w:rPr>
        <w:t>της</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κεντρικής</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κυβέρνησης</w:t>
      </w:r>
      <w:r w:rsidR="00A5147D" w:rsidRPr="006D011A">
        <w:rPr>
          <w:rFonts w:ascii="Calibri" w:hAnsi="Calibri" w:cs="Calibri"/>
          <w:color w:val="000000"/>
          <w:sz w:val="24"/>
          <w:szCs w:val="24"/>
          <w:lang w:val="el-GR"/>
        </w:rPr>
        <w:t xml:space="preserve">" </w:t>
      </w:r>
      <w:r w:rsidR="007B5B25">
        <w:rPr>
          <w:rFonts w:ascii="Calibri" w:hAnsi="Calibri" w:cs="Calibri"/>
          <w:color w:val="000000"/>
          <w:sz w:val="24"/>
          <w:szCs w:val="24"/>
          <w:lang w:val="el-GR"/>
        </w:rPr>
        <w:t xml:space="preserve">στην περίπτωση που </w:t>
      </w:r>
      <w:r>
        <w:rPr>
          <w:rFonts w:ascii="Calibri" w:hAnsi="Calibri" w:cs="Calibri"/>
          <w:color w:val="000000"/>
          <w:sz w:val="24"/>
          <w:szCs w:val="24"/>
          <w:lang w:val="el-GR"/>
        </w:rPr>
        <w:t>εκείνο το</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άτομο</w:t>
      </w:r>
      <w:r w:rsidR="00A5147D" w:rsidRPr="006D011A">
        <w:rPr>
          <w:rFonts w:ascii="Calibri" w:hAnsi="Calibri" w:cs="Calibri"/>
          <w:color w:val="000000"/>
          <w:sz w:val="24"/>
          <w:szCs w:val="24"/>
          <w:lang w:val="el-GR"/>
        </w:rPr>
        <w:t xml:space="preserve"> </w:t>
      </w:r>
      <w:r>
        <w:rPr>
          <w:rFonts w:ascii="Calibri" w:hAnsi="Calibri" w:cs="Calibri"/>
          <w:color w:val="000000"/>
          <w:sz w:val="24"/>
          <w:szCs w:val="24"/>
          <w:lang w:val="el-GR"/>
        </w:rPr>
        <w:t>συμμετέχει ενεργά</w:t>
      </w:r>
      <w:r w:rsidR="00A5147D" w:rsidRPr="006D011A">
        <w:rPr>
          <w:rFonts w:ascii="Calibri" w:hAnsi="Calibri" w:cs="Calibri"/>
          <w:color w:val="000000"/>
          <w:sz w:val="24"/>
          <w:szCs w:val="24"/>
          <w:lang w:val="el-GR"/>
        </w:rPr>
        <w:t xml:space="preserve"> </w:t>
      </w:r>
      <w:r>
        <w:rPr>
          <w:rFonts w:ascii="Calibri" w:hAnsi="Calibri" w:cs="Calibri"/>
          <w:color w:val="000000"/>
          <w:sz w:val="24"/>
          <w:szCs w:val="24"/>
          <w:lang w:val="el-GR"/>
        </w:rPr>
        <w:t>σε τακτική βάση στην ανάπτυξη</w:t>
      </w:r>
      <w:r w:rsidR="00A5147D" w:rsidRPr="006D011A">
        <w:rPr>
          <w:rFonts w:ascii="Calibri" w:hAnsi="Calibri" w:cs="Calibri"/>
          <w:color w:val="000000"/>
          <w:sz w:val="24"/>
          <w:szCs w:val="24"/>
          <w:lang w:val="el-GR"/>
        </w:rPr>
        <w:t xml:space="preserve"> </w:t>
      </w:r>
      <w:r>
        <w:rPr>
          <w:rFonts w:ascii="Calibri" w:hAnsi="Calibri" w:cs="Calibri"/>
          <w:color w:val="000000"/>
          <w:sz w:val="24"/>
          <w:szCs w:val="24"/>
          <w:lang w:val="el-GR"/>
        </w:rPr>
        <w:t>και</w:t>
      </w:r>
      <w:r w:rsidR="00A5147D" w:rsidRPr="006D011A">
        <w:rPr>
          <w:rFonts w:ascii="Calibri" w:hAnsi="Calibri" w:cs="Calibri"/>
          <w:color w:val="000000"/>
          <w:sz w:val="24"/>
          <w:szCs w:val="24"/>
          <w:lang w:val="el-GR"/>
        </w:rPr>
        <w:t>/</w:t>
      </w:r>
      <w:r>
        <w:rPr>
          <w:rFonts w:ascii="Calibri" w:hAnsi="Calibri" w:cs="Calibri"/>
          <w:color w:val="000000"/>
          <w:sz w:val="24"/>
          <w:szCs w:val="24"/>
          <w:lang w:val="el-GR"/>
        </w:rPr>
        <w:t xml:space="preserve">ή την εκτέλεση κυβερνητικών </w:t>
      </w:r>
      <w:r w:rsidR="0020754C">
        <w:rPr>
          <w:rFonts w:ascii="Calibri" w:hAnsi="Calibri" w:cs="Calibri"/>
          <w:color w:val="000000"/>
          <w:sz w:val="24"/>
          <w:szCs w:val="24"/>
          <w:lang w:val="el-GR"/>
        </w:rPr>
        <w:t xml:space="preserve">αρμοδιοτήτων </w:t>
      </w:r>
      <w:r>
        <w:rPr>
          <w:rFonts w:ascii="Calibri" w:hAnsi="Calibri" w:cs="Calibri"/>
          <w:color w:val="000000"/>
          <w:sz w:val="24"/>
          <w:szCs w:val="24"/>
          <w:lang w:val="el-GR"/>
        </w:rPr>
        <w:t>ή συμβουλεύει την Κυβέρνηση</w:t>
      </w:r>
      <w:r w:rsidR="00A5147D" w:rsidRPr="006D011A">
        <w:rPr>
          <w:rFonts w:ascii="Calibri" w:hAnsi="Calibri" w:cs="Calibri"/>
          <w:color w:val="000000"/>
          <w:sz w:val="24"/>
          <w:szCs w:val="24"/>
          <w:lang w:val="el-GR"/>
        </w:rPr>
        <w:t xml:space="preserve"> </w:t>
      </w:r>
      <w:r>
        <w:rPr>
          <w:rFonts w:ascii="Calibri" w:hAnsi="Calibri" w:cs="Calibri"/>
          <w:color w:val="000000"/>
          <w:sz w:val="24"/>
          <w:szCs w:val="24"/>
          <w:lang w:val="el-GR"/>
        </w:rPr>
        <w:t>πάνω σε τέτοιες</w:t>
      </w:r>
      <w:r w:rsidR="0020754C">
        <w:rPr>
          <w:rFonts w:ascii="Calibri" w:hAnsi="Calibri" w:cs="Calibri"/>
          <w:color w:val="000000"/>
          <w:sz w:val="24"/>
          <w:szCs w:val="24"/>
          <w:lang w:val="el-GR"/>
        </w:rPr>
        <w:t xml:space="preserve"> </w:t>
      </w:r>
      <w:r w:rsidR="0020754C">
        <w:rPr>
          <w:rFonts w:ascii="Calibri" w:hAnsi="Calibri" w:cs="Calibri"/>
          <w:color w:val="000000"/>
          <w:sz w:val="24"/>
          <w:szCs w:val="24"/>
          <w:lang w:val="el-GR"/>
        </w:rPr>
        <w:lastRenderedPageBreak/>
        <w:t>αρμοδιότητες</w:t>
      </w:r>
      <w:r w:rsidR="00A5147D" w:rsidRPr="006D011A">
        <w:rPr>
          <w:rFonts w:ascii="Calibri" w:hAnsi="Calibri" w:cs="Calibri"/>
          <w:color w:val="000000"/>
          <w:sz w:val="24"/>
          <w:szCs w:val="24"/>
          <w:lang w:val="el-GR"/>
        </w:rPr>
        <w:t xml:space="preserve">. </w:t>
      </w:r>
      <w:r>
        <w:rPr>
          <w:rFonts w:ascii="Calibri" w:hAnsi="Calibri" w:cs="Calibri"/>
          <w:color w:val="000000"/>
          <w:sz w:val="24"/>
          <w:szCs w:val="24"/>
          <w:lang w:val="el-GR"/>
        </w:rPr>
        <w:t>Αυτές</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μπορούν</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να</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περιλαμβάνουν</w:t>
      </w:r>
      <w:r w:rsidR="00A5147D" w:rsidRPr="006D011A">
        <w:rPr>
          <w:rFonts w:ascii="Calibri" w:hAnsi="Calibri" w:cs="Calibri"/>
          <w:color w:val="000000"/>
          <w:sz w:val="24"/>
          <w:szCs w:val="24"/>
          <w:lang w:val="el-GR"/>
        </w:rPr>
        <w:t xml:space="preserve"> </w:t>
      </w:r>
      <w:r>
        <w:rPr>
          <w:rFonts w:ascii="Calibri" w:hAnsi="Calibri" w:cs="Calibri"/>
          <w:color w:val="000000"/>
          <w:sz w:val="24"/>
          <w:szCs w:val="24"/>
          <w:lang w:val="el-GR"/>
        </w:rPr>
        <w:t>τον</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καθορισμό</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και</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την</w:t>
      </w:r>
      <w:r w:rsidRPr="006D011A">
        <w:rPr>
          <w:rFonts w:ascii="Calibri" w:hAnsi="Calibri" w:cs="Calibri"/>
          <w:color w:val="000000"/>
          <w:sz w:val="24"/>
          <w:szCs w:val="24"/>
          <w:lang w:val="el-GR"/>
        </w:rPr>
        <w:t xml:space="preserve"> </w:t>
      </w:r>
      <w:r w:rsidR="003B41ED">
        <w:rPr>
          <w:rFonts w:ascii="Calibri" w:hAnsi="Calibri" w:cs="Calibri"/>
          <w:color w:val="000000"/>
          <w:sz w:val="24"/>
          <w:szCs w:val="24"/>
          <w:lang w:val="el-GR"/>
        </w:rPr>
        <w:t>υλοποίηση</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πολιτικών</w:t>
      </w:r>
      <w:r w:rsidR="00A5147D" w:rsidRPr="006D011A">
        <w:rPr>
          <w:rFonts w:ascii="Calibri" w:hAnsi="Calibri" w:cs="Calibri"/>
          <w:color w:val="000000"/>
          <w:sz w:val="24"/>
          <w:szCs w:val="24"/>
          <w:lang w:val="el-GR"/>
        </w:rPr>
        <w:t xml:space="preserve">, </w:t>
      </w:r>
      <w:r>
        <w:rPr>
          <w:rFonts w:ascii="Calibri" w:hAnsi="Calibri" w:cs="Calibri"/>
          <w:color w:val="000000"/>
          <w:sz w:val="24"/>
          <w:szCs w:val="24"/>
          <w:lang w:val="el-GR"/>
        </w:rPr>
        <w:t>την</w:t>
      </w:r>
      <w:r w:rsidRPr="006D011A">
        <w:rPr>
          <w:rFonts w:ascii="Calibri" w:hAnsi="Calibri" w:cs="Calibri"/>
          <w:color w:val="000000"/>
          <w:sz w:val="24"/>
          <w:szCs w:val="24"/>
          <w:lang w:val="el-GR"/>
        </w:rPr>
        <w:t xml:space="preserve"> </w:t>
      </w:r>
      <w:r w:rsidR="007B5B25">
        <w:rPr>
          <w:rFonts w:ascii="Calibri" w:hAnsi="Calibri" w:cs="Calibri"/>
          <w:color w:val="000000"/>
          <w:sz w:val="24"/>
          <w:szCs w:val="24"/>
          <w:lang w:val="el-GR"/>
        </w:rPr>
        <w:t xml:space="preserve">εφαρμογή </w:t>
      </w:r>
      <w:r>
        <w:rPr>
          <w:rFonts w:ascii="Calibri" w:hAnsi="Calibri" w:cs="Calibri"/>
          <w:color w:val="000000"/>
          <w:sz w:val="24"/>
          <w:szCs w:val="24"/>
          <w:lang w:val="el-GR"/>
        </w:rPr>
        <w:t>νόμων</w:t>
      </w:r>
      <w:r w:rsidR="00A5147D" w:rsidRPr="006D011A">
        <w:rPr>
          <w:rFonts w:ascii="Calibri" w:hAnsi="Calibri" w:cs="Calibri"/>
          <w:color w:val="000000"/>
          <w:sz w:val="24"/>
          <w:szCs w:val="24"/>
          <w:lang w:val="el-GR"/>
        </w:rPr>
        <w:t xml:space="preserve">, </w:t>
      </w:r>
      <w:r>
        <w:rPr>
          <w:rFonts w:ascii="Calibri" w:hAnsi="Calibri" w:cs="Calibri"/>
          <w:color w:val="000000"/>
          <w:sz w:val="24"/>
          <w:szCs w:val="24"/>
          <w:lang w:val="el-GR"/>
        </w:rPr>
        <w:t>την</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πρόταση</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και</w:t>
      </w:r>
      <w:r w:rsidRPr="006D011A">
        <w:rPr>
          <w:rFonts w:ascii="Calibri" w:hAnsi="Calibri" w:cs="Calibri"/>
          <w:color w:val="000000"/>
          <w:sz w:val="24"/>
          <w:szCs w:val="24"/>
          <w:lang w:val="el-GR"/>
        </w:rPr>
        <w:t>/</w:t>
      </w:r>
      <w:r>
        <w:rPr>
          <w:rFonts w:ascii="Calibri" w:hAnsi="Calibri" w:cs="Calibri"/>
          <w:color w:val="000000"/>
          <w:sz w:val="24"/>
          <w:szCs w:val="24"/>
          <w:lang w:val="el-GR"/>
        </w:rPr>
        <w:t>ή</w:t>
      </w:r>
      <w:r w:rsidRPr="006D011A">
        <w:rPr>
          <w:rFonts w:ascii="Calibri" w:hAnsi="Calibri" w:cs="Calibri"/>
          <w:color w:val="000000"/>
          <w:sz w:val="24"/>
          <w:szCs w:val="24"/>
          <w:lang w:val="el-GR"/>
        </w:rPr>
        <w:t xml:space="preserve"> </w:t>
      </w:r>
      <w:r w:rsidR="003B41ED">
        <w:rPr>
          <w:rFonts w:ascii="Calibri" w:hAnsi="Calibri" w:cs="Calibri"/>
          <w:color w:val="000000"/>
          <w:sz w:val="24"/>
          <w:szCs w:val="24"/>
          <w:lang w:val="el-GR"/>
        </w:rPr>
        <w:t xml:space="preserve">υλοποίηση </w:t>
      </w:r>
      <w:r>
        <w:rPr>
          <w:rFonts w:ascii="Calibri" w:hAnsi="Calibri" w:cs="Calibri"/>
          <w:color w:val="000000"/>
          <w:sz w:val="24"/>
          <w:szCs w:val="24"/>
          <w:lang w:val="el-GR"/>
        </w:rPr>
        <w:t>νομοθεσίας</w:t>
      </w:r>
      <w:r w:rsidR="00A5147D" w:rsidRPr="006D011A">
        <w:rPr>
          <w:rFonts w:ascii="Calibri" w:hAnsi="Calibri" w:cs="Calibri"/>
          <w:color w:val="000000"/>
          <w:sz w:val="24"/>
          <w:szCs w:val="24"/>
          <w:lang w:val="el-GR"/>
        </w:rPr>
        <w:t xml:space="preserve">, </w:t>
      </w:r>
      <w:r>
        <w:rPr>
          <w:rFonts w:ascii="Calibri" w:hAnsi="Calibri" w:cs="Calibri"/>
          <w:color w:val="000000"/>
          <w:sz w:val="24"/>
          <w:szCs w:val="24"/>
          <w:lang w:val="el-GR"/>
        </w:rPr>
        <w:t>την</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υιοθέτηση</w:t>
      </w:r>
      <w:r w:rsidRPr="006D011A">
        <w:rPr>
          <w:rFonts w:ascii="Calibri" w:hAnsi="Calibri" w:cs="Calibri"/>
          <w:color w:val="000000"/>
          <w:sz w:val="24"/>
          <w:szCs w:val="24"/>
          <w:lang w:val="el-GR"/>
        </w:rPr>
        <w:t xml:space="preserve"> </w:t>
      </w:r>
      <w:r>
        <w:rPr>
          <w:rFonts w:ascii="Calibri" w:hAnsi="Calibri" w:cs="Calibri"/>
          <w:color w:val="000000"/>
          <w:sz w:val="24"/>
          <w:szCs w:val="24"/>
          <w:lang w:val="el-GR"/>
        </w:rPr>
        <w:t>και</w:t>
      </w:r>
      <w:r w:rsidRPr="006D011A">
        <w:rPr>
          <w:rFonts w:ascii="Calibri" w:hAnsi="Calibri" w:cs="Calibri"/>
          <w:color w:val="000000"/>
          <w:sz w:val="24"/>
          <w:szCs w:val="24"/>
          <w:lang w:val="el-GR"/>
        </w:rPr>
        <w:t xml:space="preserve"> </w:t>
      </w:r>
      <w:r w:rsidR="003B41ED">
        <w:rPr>
          <w:rFonts w:ascii="Calibri" w:hAnsi="Calibri" w:cs="Calibri"/>
          <w:color w:val="000000"/>
          <w:sz w:val="24"/>
          <w:szCs w:val="24"/>
          <w:lang w:val="el-GR"/>
        </w:rPr>
        <w:t>υλοποίηση</w:t>
      </w:r>
      <w:r>
        <w:rPr>
          <w:rFonts w:ascii="Calibri" w:hAnsi="Calibri" w:cs="Calibri"/>
          <w:color w:val="000000"/>
          <w:sz w:val="24"/>
          <w:szCs w:val="24"/>
          <w:lang w:val="el-GR"/>
        </w:rPr>
        <w:t xml:space="preserve"> κανονισμών/κανονιστικών διαταγμάτων</w:t>
      </w:r>
      <w:r w:rsidR="00A5147D" w:rsidRPr="006D011A">
        <w:rPr>
          <w:rFonts w:ascii="Calibri" w:hAnsi="Calibri" w:cs="Calibri"/>
          <w:color w:val="000000"/>
          <w:sz w:val="24"/>
          <w:szCs w:val="24"/>
          <w:lang w:val="el-GR"/>
        </w:rPr>
        <w:t xml:space="preserve">, </w:t>
      </w:r>
      <w:r>
        <w:rPr>
          <w:rFonts w:ascii="Calibri" w:hAnsi="Calibri" w:cs="Calibri"/>
          <w:color w:val="000000"/>
          <w:sz w:val="24"/>
          <w:szCs w:val="24"/>
          <w:lang w:val="el-GR"/>
        </w:rPr>
        <w:t xml:space="preserve">τη λήψη αποφάσεων πάνω σε Κυβερνητικές δαπάνες και λήψη αποφάσεων για τον διορισμό ατόμων </w:t>
      </w:r>
      <w:r w:rsidR="007B5B25">
        <w:rPr>
          <w:rFonts w:ascii="Calibri" w:hAnsi="Calibri" w:cs="Calibri"/>
          <w:color w:val="000000"/>
          <w:sz w:val="24"/>
          <w:szCs w:val="24"/>
          <w:lang w:val="el-GR"/>
        </w:rPr>
        <w:t xml:space="preserve">σχετικά με ανώτατες </w:t>
      </w:r>
      <w:r>
        <w:rPr>
          <w:rFonts w:ascii="Calibri" w:hAnsi="Calibri" w:cs="Calibri"/>
          <w:color w:val="000000"/>
          <w:sz w:val="24"/>
          <w:szCs w:val="24"/>
          <w:lang w:val="el-GR"/>
        </w:rPr>
        <w:t>εκτελεστικές</w:t>
      </w:r>
      <w:r w:rsidR="0020754C">
        <w:rPr>
          <w:rFonts w:ascii="Calibri" w:hAnsi="Calibri" w:cs="Calibri"/>
          <w:color w:val="000000"/>
          <w:sz w:val="24"/>
          <w:szCs w:val="24"/>
          <w:lang w:val="el-GR"/>
        </w:rPr>
        <w:t xml:space="preserve"> αρμοδιότητες</w:t>
      </w:r>
      <w:r w:rsidR="00A5147D" w:rsidRPr="006D011A">
        <w:rPr>
          <w:rFonts w:ascii="Calibri" w:hAnsi="Calibri" w:cs="Calibri"/>
          <w:color w:val="000000"/>
          <w:sz w:val="24"/>
          <w:szCs w:val="24"/>
          <w:lang w:val="el-GR"/>
        </w:rPr>
        <w:t xml:space="preserve">. </w:t>
      </w:r>
    </w:p>
    <w:p w14:paraId="7C82638B" w14:textId="77777777" w:rsidR="00A5147D" w:rsidRPr="006D011A" w:rsidRDefault="00A5147D" w:rsidP="00A5147D">
      <w:pPr>
        <w:pStyle w:val="ListParagraph"/>
        <w:rPr>
          <w:rFonts w:ascii="Calibri" w:hAnsi="Calibri" w:cs="Calibri"/>
          <w:color w:val="000000"/>
          <w:sz w:val="24"/>
          <w:szCs w:val="24"/>
          <w:lang w:val="el-GR"/>
        </w:rPr>
      </w:pPr>
    </w:p>
    <w:p w14:paraId="3131C7BA" w14:textId="6041A4B5" w:rsidR="00A5147D" w:rsidRPr="004B2893" w:rsidRDefault="006D011A" w:rsidP="00A5147D">
      <w:pPr>
        <w:pStyle w:val="ListParagraph"/>
        <w:numPr>
          <w:ilvl w:val="0"/>
          <w:numId w:val="1"/>
        </w:numPr>
        <w:tabs>
          <w:tab w:val="clear" w:pos="6095"/>
        </w:tabs>
        <w:autoSpaceDE w:val="0"/>
        <w:autoSpaceDN w:val="0"/>
        <w:adjustRightInd w:val="0"/>
        <w:ind w:left="0" w:firstLine="0"/>
        <w:rPr>
          <w:rFonts w:ascii="Calibri" w:hAnsi="Calibri" w:cs="Calibri"/>
          <w:color w:val="000000"/>
          <w:sz w:val="24"/>
          <w:szCs w:val="24"/>
          <w:lang w:val="el-GR"/>
        </w:rPr>
      </w:pPr>
      <w:r>
        <w:rPr>
          <w:rFonts w:ascii="Calibri" w:hAnsi="Calibri" w:cs="Calibri"/>
          <w:sz w:val="24"/>
          <w:szCs w:val="24"/>
          <w:lang w:val="el-GR"/>
        </w:rPr>
        <w:t>Σημειώνεται</w:t>
      </w:r>
      <w:r w:rsidRPr="006D011A">
        <w:rPr>
          <w:rFonts w:ascii="Calibri" w:hAnsi="Calibri" w:cs="Calibri"/>
          <w:sz w:val="24"/>
          <w:szCs w:val="24"/>
          <w:lang w:val="el-GR"/>
        </w:rPr>
        <w:t xml:space="preserve"> </w:t>
      </w:r>
      <w:r>
        <w:rPr>
          <w:rFonts w:ascii="Calibri" w:hAnsi="Calibri" w:cs="Calibri"/>
          <w:sz w:val="24"/>
          <w:szCs w:val="24"/>
          <w:lang w:val="el-GR"/>
        </w:rPr>
        <w:t>ότι</w:t>
      </w:r>
      <w:r w:rsidRPr="006D011A">
        <w:rPr>
          <w:rFonts w:ascii="Calibri" w:hAnsi="Calibri" w:cs="Calibri"/>
          <w:sz w:val="24"/>
          <w:szCs w:val="24"/>
          <w:lang w:val="el-GR"/>
        </w:rPr>
        <w:t xml:space="preserve"> </w:t>
      </w:r>
      <w:r>
        <w:rPr>
          <w:rFonts w:ascii="Calibri" w:hAnsi="Calibri" w:cs="Calibri"/>
          <w:sz w:val="24"/>
          <w:szCs w:val="24"/>
          <w:lang w:val="el-GR"/>
        </w:rPr>
        <w:t>ο</w:t>
      </w:r>
      <w:r w:rsidRPr="006D011A">
        <w:rPr>
          <w:rFonts w:ascii="Calibri" w:hAnsi="Calibri" w:cs="Calibri"/>
          <w:sz w:val="24"/>
          <w:szCs w:val="24"/>
          <w:lang w:val="el-GR"/>
        </w:rPr>
        <w:t xml:space="preserve"> </w:t>
      </w:r>
      <w:r>
        <w:rPr>
          <w:rFonts w:ascii="Calibri" w:hAnsi="Calibri" w:cs="Calibri"/>
          <w:sz w:val="24"/>
          <w:szCs w:val="24"/>
          <w:lang w:val="el-GR"/>
        </w:rPr>
        <w:t>Πρόεδρος</w:t>
      </w:r>
      <w:r w:rsidRPr="006D011A">
        <w:rPr>
          <w:rFonts w:ascii="Calibri" w:hAnsi="Calibri" w:cs="Calibri"/>
          <w:sz w:val="24"/>
          <w:szCs w:val="24"/>
          <w:lang w:val="el-GR"/>
        </w:rPr>
        <w:t xml:space="preserve"> </w:t>
      </w:r>
      <w:r>
        <w:rPr>
          <w:rFonts w:ascii="Calibri" w:hAnsi="Calibri" w:cs="Calibri"/>
          <w:sz w:val="24"/>
          <w:szCs w:val="24"/>
          <w:lang w:val="el-GR"/>
        </w:rPr>
        <w:t>της</w:t>
      </w:r>
      <w:r w:rsidRPr="006D011A">
        <w:rPr>
          <w:rFonts w:ascii="Calibri" w:hAnsi="Calibri" w:cs="Calibri"/>
          <w:sz w:val="24"/>
          <w:szCs w:val="24"/>
          <w:lang w:val="el-GR"/>
        </w:rPr>
        <w:t xml:space="preserve"> </w:t>
      </w:r>
      <w:r>
        <w:rPr>
          <w:rFonts w:ascii="Calibri" w:hAnsi="Calibri" w:cs="Calibri"/>
          <w:sz w:val="24"/>
          <w:szCs w:val="24"/>
          <w:lang w:val="el-GR"/>
        </w:rPr>
        <w:t>Κυπριακής</w:t>
      </w:r>
      <w:r w:rsidRPr="006D011A">
        <w:rPr>
          <w:rFonts w:ascii="Calibri" w:hAnsi="Calibri" w:cs="Calibri"/>
          <w:sz w:val="24"/>
          <w:szCs w:val="24"/>
          <w:lang w:val="el-GR"/>
        </w:rPr>
        <w:t xml:space="preserve"> </w:t>
      </w:r>
      <w:r>
        <w:rPr>
          <w:rFonts w:ascii="Calibri" w:hAnsi="Calibri" w:cs="Calibri"/>
          <w:sz w:val="24"/>
          <w:szCs w:val="24"/>
          <w:lang w:val="el-GR"/>
        </w:rPr>
        <w:t>Δημοκρατίας</w:t>
      </w:r>
      <w:r w:rsidR="00A5147D" w:rsidRPr="006D011A">
        <w:rPr>
          <w:rFonts w:cstheme="minorHAnsi"/>
          <w:sz w:val="24"/>
          <w:szCs w:val="24"/>
          <w:lang w:val="el-GR"/>
        </w:rPr>
        <w:t xml:space="preserve"> </w:t>
      </w:r>
      <w:r w:rsidR="00ED14DD">
        <w:rPr>
          <w:rFonts w:cstheme="minorHAnsi"/>
          <w:sz w:val="24"/>
          <w:szCs w:val="24"/>
          <w:lang w:val="el-GR"/>
        </w:rPr>
        <w:t xml:space="preserve">έχει </w:t>
      </w:r>
      <w:r>
        <w:rPr>
          <w:rFonts w:cstheme="minorHAnsi"/>
          <w:sz w:val="24"/>
          <w:szCs w:val="24"/>
          <w:lang w:val="el-GR"/>
        </w:rPr>
        <w:t>ευρείες</w:t>
      </w:r>
      <w:r w:rsidRPr="006D011A">
        <w:rPr>
          <w:rFonts w:cstheme="minorHAnsi"/>
          <w:sz w:val="24"/>
          <w:szCs w:val="24"/>
          <w:lang w:val="el-GR"/>
        </w:rPr>
        <w:t xml:space="preserve"> </w:t>
      </w:r>
      <w:r>
        <w:rPr>
          <w:rFonts w:cstheme="minorHAnsi"/>
          <w:sz w:val="24"/>
          <w:szCs w:val="24"/>
          <w:lang w:val="el-GR"/>
        </w:rPr>
        <w:t>εκτελεστικές</w:t>
      </w:r>
      <w:r w:rsidRPr="006D011A">
        <w:rPr>
          <w:rFonts w:cstheme="minorHAnsi"/>
          <w:sz w:val="24"/>
          <w:szCs w:val="24"/>
          <w:lang w:val="el-GR"/>
        </w:rPr>
        <w:t xml:space="preserve"> </w:t>
      </w:r>
      <w:r>
        <w:rPr>
          <w:rFonts w:cstheme="minorHAnsi"/>
          <w:sz w:val="24"/>
          <w:szCs w:val="24"/>
          <w:lang w:val="el-GR"/>
        </w:rPr>
        <w:t>εξουσίες</w:t>
      </w:r>
      <w:r w:rsidRPr="006D011A">
        <w:rPr>
          <w:rFonts w:cstheme="minorHAnsi"/>
          <w:sz w:val="24"/>
          <w:szCs w:val="24"/>
          <w:lang w:val="el-GR"/>
        </w:rPr>
        <w:t xml:space="preserve"> </w:t>
      </w:r>
      <w:r>
        <w:rPr>
          <w:rFonts w:cstheme="minorHAnsi"/>
          <w:sz w:val="24"/>
          <w:szCs w:val="24"/>
          <w:lang w:val="el-GR"/>
        </w:rPr>
        <w:t>επειδή</w:t>
      </w:r>
      <w:r w:rsidRPr="006D011A">
        <w:rPr>
          <w:rFonts w:cstheme="minorHAnsi"/>
          <w:sz w:val="24"/>
          <w:szCs w:val="24"/>
          <w:lang w:val="el-GR"/>
        </w:rPr>
        <w:t xml:space="preserve"> </w:t>
      </w:r>
      <w:r>
        <w:rPr>
          <w:rFonts w:cstheme="minorHAnsi"/>
          <w:sz w:val="24"/>
          <w:szCs w:val="24"/>
          <w:lang w:val="el-GR"/>
        </w:rPr>
        <w:t>αυτός</w:t>
      </w:r>
      <w:r w:rsidRPr="006D011A">
        <w:rPr>
          <w:rFonts w:cstheme="minorHAnsi"/>
          <w:sz w:val="24"/>
          <w:szCs w:val="24"/>
          <w:lang w:val="el-GR"/>
        </w:rPr>
        <w:t>/</w:t>
      </w:r>
      <w:r>
        <w:rPr>
          <w:rFonts w:cstheme="minorHAnsi"/>
          <w:sz w:val="24"/>
          <w:szCs w:val="24"/>
          <w:lang w:val="el-GR"/>
        </w:rPr>
        <w:t>η</w:t>
      </w:r>
      <w:r w:rsidRPr="006D011A">
        <w:rPr>
          <w:rFonts w:cstheme="minorHAnsi"/>
          <w:sz w:val="24"/>
          <w:szCs w:val="24"/>
          <w:lang w:val="el-GR"/>
        </w:rPr>
        <w:t xml:space="preserve"> </w:t>
      </w:r>
      <w:r>
        <w:rPr>
          <w:rFonts w:cstheme="minorHAnsi"/>
          <w:sz w:val="24"/>
          <w:szCs w:val="24"/>
          <w:lang w:val="el-GR"/>
        </w:rPr>
        <w:t>δεν</w:t>
      </w:r>
      <w:r w:rsidRPr="006D011A">
        <w:rPr>
          <w:rFonts w:cstheme="minorHAnsi"/>
          <w:sz w:val="24"/>
          <w:szCs w:val="24"/>
          <w:lang w:val="el-GR"/>
        </w:rPr>
        <w:t xml:space="preserve"> </w:t>
      </w:r>
      <w:r>
        <w:rPr>
          <w:rFonts w:cstheme="minorHAnsi"/>
          <w:sz w:val="24"/>
          <w:szCs w:val="24"/>
          <w:lang w:val="el-GR"/>
        </w:rPr>
        <w:t>είναι</w:t>
      </w:r>
      <w:r w:rsidRPr="006D011A">
        <w:rPr>
          <w:rFonts w:cstheme="minorHAnsi"/>
          <w:sz w:val="24"/>
          <w:szCs w:val="24"/>
          <w:lang w:val="el-GR"/>
        </w:rPr>
        <w:t xml:space="preserve"> </w:t>
      </w:r>
      <w:r>
        <w:rPr>
          <w:rFonts w:cstheme="minorHAnsi"/>
          <w:sz w:val="24"/>
          <w:szCs w:val="24"/>
          <w:lang w:val="el-GR"/>
        </w:rPr>
        <w:t>μόνο</w:t>
      </w:r>
      <w:r w:rsidRPr="006D011A">
        <w:rPr>
          <w:rFonts w:cstheme="minorHAnsi"/>
          <w:sz w:val="24"/>
          <w:szCs w:val="24"/>
          <w:lang w:val="el-GR"/>
        </w:rPr>
        <w:t xml:space="preserve"> </w:t>
      </w:r>
      <w:r>
        <w:rPr>
          <w:rFonts w:cstheme="minorHAnsi"/>
          <w:sz w:val="24"/>
          <w:szCs w:val="24"/>
          <w:lang w:val="el-GR"/>
        </w:rPr>
        <w:t>ο</w:t>
      </w:r>
      <w:r w:rsidRPr="006D011A">
        <w:rPr>
          <w:rFonts w:cstheme="minorHAnsi"/>
          <w:sz w:val="24"/>
          <w:szCs w:val="24"/>
          <w:lang w:val="el-GR"/>
        </w:rPr>
        <w:t xml:space="preserve"> </w:t>
      </w:r>
      <w:r>
        <w:rPr>
          <w:rFonts w:cstheme="minorHAnsi"/>
          <w:sz w:val="24"/>
          <w:szCs w:val="24"/>
          <w:lang w:val="el-GR"/>
        </w:rPr>
        <w:t>Αρχηγός του Κράτους</w:t>
      </w:r>
      <w:r w:rsidR="00A5147D" w:rsidRPr="006D011A">
        <w:rPr>
          <w:rFonts w:cstheme="minorHAnsi"/>
          <w:sz w:val="24"/>
          <w:szCs w:val="24"/>
          <w:lang w:val="el-GR"/>
        </w:rPr>
        <w:t xml:space="preserve">, </w:t>
      </w:r>
      <w:r>
        <w:rPr>
          <w:rFonts w:cstheme="minorHAnsi"/>
          <w:sz w:val="24"/>
          <w:szCs w:val="24"/>
          <w:lang w:val="el-GR"/>
        </w:rPr>
        <w:t xml:space="preserve">εξασκώντας </w:t>
      </w:r>
      <w:r w:rsidR="004B2893">
        <w:rPr>
          <w:rFonts w:cstheme="minorHAnsi"/>
          <w:sz w:val="24"/>
          <w:szCs w:val="24"/>
          <w:lang w:val="el-GR"/>
        </w:rPr>
        <w:t>μόνο τελετουργικές λειτουργίες</w:t>
      </w:r>
      <w:r w:rsidR="00A5147D" w:rsidRPr="006D011A">
        <w:rPr>
          <w:rFonts w:cstheme="minorHAnsi"/>
          <w:sz w:val="24"/>
          <w:szCs w:val="24"/>
          <w:lang w:val="el-GR"/>
        </w:rPr>
        <w:t xml:space="preserve">, </w:t>
      </w:r>
      <w:r w:rsidR="004B2893">
        <w:rPr>
          <w:rFonts w:cstheme="minorHAnsi"/>
          <w:sz w:val="24"/>
          <w:szCs w:val="24"/>
          <w:lang w:val="el-GR"/>
        </w:rPr>
        <w:t>αλλά είναι επίσης ο Αρχηγός της Κυβέρνησης</w:t>
      </w:r>
      <w:r w:rsidR="00A5147D" w:rsidRPr="006D011A">
        <w:rPr>
          <w:rFonts w:cstheme="minorHAnsi"/>
          <w:sz w:val="24"/>
          <w:szCs w:val="24"/>
          <w:lang w:val="el-GR"/>
        </w:rPr>
        <w:t xml:space="preserve">, </w:t>
      </w:r>
      <w:r w:rsidR="004B2893">
        <w:rPr>
          <w:rFonts w:cstheme="minorHAnsi"/>
          <w:sz w:val="24"/>
          <w:szCs w:val="24"/>
          <w:lang w:val="el-GR"/>
        </w:rPr>
        <w:t>εμπλεκόμενος στην εξάσκηση εκτελεστικών εξουσιών</w:t>
      </w:r>
      <w:r w:rsidR="00A5147D" w:rsidRPr="006D011A">
        <w:rPr>
          <w:rFonts w:cstheme="minorHAnsi"/>
          <w:i/>
          <w:iCs/>
          <w:sz w:val="24"/>
          <w:szCs w:val="24"/>
          <w:lang w:val="el-GR"/>
        </w:rPr>
        <w:t xml:space="preserve">. </w:t>
      </w:r>
      <w:r w:rsidR="004B2893">
        <w:rPr>
          <w:rFonts w:cstheme="minorHAnsi"/>
          <w:iCs/>
          <w:sz w:val="24"/>
          <w:szCs w:val="24"/>
          <w:lang w:val="el-GR"/>
        </w:rPr>
        <w:t>Σε</w:t>
      </w:r>
      <w:r w:rsidR="004B2893" w:rsidRPr="004B2893">
        <w:rPr>
          <w:rFonts w:cstheme="minorHAnsi"/>
          <w:iCs/>
          <w:sz w:val="24"/>
          <w:szCs w:val="24"/>
          <w:lang w:val="el-GR"/>
        </w:rPr>
        <w:t xml:space="preserve"> </w:t>
      </w:r>
      <w:r w:rsidR="004B2893">
        <w:rPr>
          <w:rFonts w:cstheme="minorHAnsi"/>
          <w:iCs/>
          <w:sz w:val="24"/>
          <w:szCs w:val="24"/>
          <w:lang w:val="el-GR"/>
        </w:rPr>
        <w:t>σχέση</w:t>
      </w:r>
      <w:r w:rsidR="004B2893" w:rsidRPr="004B2893">
        <w:rPr>
          <w:rFonts w:cstheme="minorHAnsi"/>
          <w:iCs/>
          <w:sz w:val="24"/>
          <w:szCs w:val="24"/>
          <w:lang w:val="el-GR"/>
        </w:rPr>
        <w:t xml:space="preserve"> </w:t>
      </w:r>
      <w:r w:rsidR="004B2893">
        <w:rPr>
          <w:rFonts w:cstheme="minorHAnsi"/>
          <w:iCs/>
          <w:sz w:val="24"/>
          <w:szCs w:val="24"/>
          <w:lang w:val="el-GR"/>
        </w:rPr>
        <w:t>με</w:t>
      </w:r>
      <w:r w:rsidR="004B2893" w:rsidRPr="004B2893">
        <w:rPr>
          <w:rFonts w:cstheme="minorHAnsi"/>
          <w:iCs/>
          <w:sz w:val="24"/>
          <w:szCs w:val="24"/>
          <w:lang w:val="el-GR"/>
        </w:rPr>
        <w:t xml:space="preserve"> </w:t>
      </w:r>
      <w:r w:rsidR="004B2893">
        <w:rPr>
          <w:rFonts w:cstheme="minorHAnsi"/>
          <w:iCs/>
          <w:sz w:val="24"/>
          <w:szCs w:val="24"/>
          <w:lang w:val="el-GR"/>
        </w:rPr>
        <w:t>το</w:t>
      </w:r>
      <w:r w:rsidR="004B2893" w:rsidRPr="004B2893">
        <w:rPr>
          <w:rFonts w:cstheme="minorHAnsi"/>
          <w:iCs/>
          <w:sz w:val="24"/>
          <w:szCs w:val="24"/>
          <w:lang w:val="el-GR"/>
        </w:rPr>
        <w:t xml:space="preserve"> </w:t>
      </w:r>
      <w:r w:rsidR="004B2893">
        <w:rPr>
          <w:rFonts w:cstheme="minorHAnsi"/>
          <w:iCs/>
          <w:sz w:val="24"/>
          <w:szCs w:val="24"/>
          <w:lang w:val="el-GR"/>
        </w:rPr>
        <w:t>Υπουργικό</w:t>
      </w:r>
      <w:r w:rsidR="004B2893" w:rsidRPr="004B2893">
        <w:rPr>
          <w:rFonts w:cstheme="minorHAnsi"/>
          <w:iCs/>
          <w:sz w:val="24"/>
          <w:szCs w:val="24"/>
          <w:lang w:val="el-GR"/>
        </w:rPr>
        <w:t xml:space="preserve"> </w:t>
      </w:r>
      <w:r w:rsidR="004B2893">
        <w:rPr>
          <w:rFonts w:cstheme="minorHAnsi"/>
          <w:iCs/>
          <w:sz w:val="24"/>
          <w:szCs w:val="24"/>
          <w:lang w:val="el-GR"/>
        </w:rPr>
        <w:t>Συμβούλιο</w:t>
      </w:r>
      <w:r w:rsidR="00A5147D" w:rsidRPr="004B2893">
        <w:rPr>
          <w:rFonts w:cstheme="minorHAnsi"/>
          <w:sz w:val="24"/>
          <w:szCs w:val="24"/>
          <w:lang w:val="el-GR"/>
        </w:rPr>
        <w:t xml:space="preserve">, </w:t>
      </w:r>
      <w:r w:rsidR="004B2893">
        <w:rPr>
          <w:rFonts w:cstheme="minorHAnsi"/>
          <w:sz w:val="24"/>
          <w:szCs w:val="24"/>
          <w:lang w:val="el-GR"/>
        </w:rPr>
        <w:t>ο</w:t>
      </w:r>
      <w:r w:rsidR="004B2893" w:rsidRPr="004B2893">
        <w:rPr>
          <w:rFonts w:cstheme="minorHAnsi"/>
          <w:sz w:val="24"/>
          <w:szCs w:val="24"/>
          <w:lang w:val="el-GR"/>
        </w:rPr>
        <w:t xml:space="preserve"> </w:t>
      </w:r>
      <w:r w:rsidR="004B2893">
        <w:rPr>
          <w:rFonts w:cstheme="minorHAnsi"/>
          <w:sz w:val="24"/>
          <w:szCs w:val="24"/>
          <w:lang w:val="el-GR"/>
        </w:rPr>
        <w:t>Πρόεδρος</w:t>
      </w:r>
      <w:r w:rsidR="004B2893" w:rsidRPr="004B2893">
        <w:rPr>
          <w:rFonts w:cstheme="minorHAnsi"/>
          <w:sz w:val="24"/>
          <w:szCs w:val="24"/>
          <w:lang w:val="el-GR"/>
        </w:rPr>
        <w:t xml:space="preserve"> </w:t>
      </w:r>
      <w:r w:rsidR="004B2893">
        <w:rPr>
          <w:rFonts w:cstheme="minorHAnsi"/>
          <w:sz w:val="24"/>
          <w:szCs w:val="24"/>
          <w:lang w:val="el-GR"/>
        </w:rPr>
        <w:t>έχει</w:t>
      </w:r>
      <w:r w:rsidR="004B2893" w:rsidRPr="004B2893">
        <w:rPr>
          <w:rFonts w:cstheme="minorHAnsi"/>
          <w:sz w:val="24"/>
          <w:szCs w:val="24"/>
          <w:lang w:val="el-GR"/>
        </w:rPr>
        <w:t xml:space="preserve"> </w:t>
      </w:r>
      <w:r w:rsidR="004B2893">
        <w:rPr>
          <w:rFonts w:cstheme="minorHAnsi"/>
          <w:sz w:val="24"/>
          <w:szCs w:val="24"/>
          <w:lang w:val="el-GR"/>
        </w:rPr>
        <w:t>ένα</w:t>
      </w:r>
      <w:r w:rsidR="004B2893" w:rsidRPr="004B2893">
        <w:rPr>
          <w:rFonts w:cstheme="minorHAnsi"/>
          <w:sz w:val="24"/>
          <w:szCs w:val="24"/>
          <w:lang w:val="el-GR"/>
        </w:rPr>
        <w:t xml:space="preserve"> </w:t>
      </w:r>
      <w:r w:rsidR="004B2893">
        <w:rPr>
          <w:rFonts w:cstheme="minorHAnsi"/>
          <w:sz w:val="24"/>
          <w:szCs w:val="24"/>
          <w:lang w:val="el-GR"/>
        </w:rPr>
        <w:t>ενεργό</w:t>
      </w:r>
      <w:r w:rsidR="004B2893" w:rsidRPr="004B2893">
        <w:rPr>
          <w:rFonts w:cstheme="minorHAnsi"/>
          <w:sz w:val="24"/>
          <w:szCs w:val="24"/>
          <w:lang w:val="el-GR"/>
        </w:rPr>
        <w:t xml:space="preserve"> </w:t>
      </w:r>
      <w:r w:rsidR="004B2893">
        <w:rPr>
          <w:rFonts w:cstheme="minorHAnsi"/>
          <w:sz w:val="24"/>
          <w:szCs w:val="24"/>
          <w:lang w:val="el-GR"/>
        </w:rPr>
        <w:t>ρόλο</w:t>
      </w:r>
      <w:r w:rsidR="004B2893" w:rsidRPr="004B2893">
        <w:rPr>
          <w:rFonts w:cstheme="minorHAnsi"/>
          <w:sz w:val="24"/>
          <w:szCs w:val="24"/>
          <w:lang w:val="el-GR"/>
        </w:rPr>
        <w:t xml:space="preserve"> </w:t>
      </w:r>
      <w:r w:rsidR="004B2893">
        <w:rPr>
          <w:rFonts w:cstheme="minorHAnsi"/>
          <w:sz w:val="24"/>
          <w:szCs w:val="24"/>
          <w:lang w:val="el-GR"/>
        </w:rPr>
        <w:t>στον</w:t>
      </w:r>
      <w:r w:rsidR="004B2893" w:rsidRPr="004B2893">
        <w:rPr>
          <w:rFonts w:cstheme="minorHAnsi"/>
          <w:sz w:val="24"/>
          <w:szCs w:val="24"/>
          <w:lang w:val="el-GR"/>
        </w:rPr>
        <w:t xml:space="preserve"> </w:t>
      </w:r>
      <w:r w:rsidR="004B2893">
        <w:rPr>
          <w:rFonts w:cstheme="minorHAnsi"/>
          <w:sz w:val="24"/>
          <w:szCs w:val="24"/>
          <w:lang w:val="el-GR"/>
        </w:rPr>
        <w:t>διορισμό</w:t>
      </w:r>
      <w:r w:rsidR="00A5147D" w:rsidRPr="004B2893">
        <w:rPr>
          <w:rFonts w:cstheme="minorHAnsi"/>
          <w:sz w:val="24"/>
          <w:szCs w:val="24"/>
          <w:lang w:val="el-GR"/>
        </w:rPr>
        <w:t xml:space="preserve"> </w:t>
      </w:r>
      <w:r w:rsidR="004B2893">
        <w:rPr>
          <w:rFonts w:cstheme="minorHAnsi"/>
          <w:sz w:val="24"/>
          <w:szCs w:val="24"/>
          <w:lang w:val="el-GR"/>
        </w:rPr>
        <w:t>και</w:t>
      </w:r>
      <w:r w:rsidR="004B2893" w:rsidRPr="004B2893">
        <w:rPr>
          <w:rFonts w:cstheme="minorHAnsi"/>
          <w:sz w:val="24"/>
          <w:szCs w:val="24"/>
          <w:lang w:val="el-GR"/>
        </w:rPr>
        <w:t xml:space="preserve"> </w:t>
      </w:r>
      <w:r w:rsidR="004B2893">
        <w:rPr>
          <w:rFonts w:cstheme="minorHAnsi"/>
          <w:sz w:val="24"/>
          <w:szCs w:val="24"/>
          <w:lang w:val="el-GR"/>
        </w:rPr>
        <w:t>παύση</w:t>
      </w:r>
      <w:r w:rsidR="004B2893" w:rsidRPr="004B2893">
        <w:rPr>
          <w:rFonts w:cstheme="minorHAnsi"/>
          <w:sz w:val="24"/>
          <w:szCs w:val="24"/>
          <w:lang w:val="el-GR"/>
        </w:rPr>
        <w:t xml:space="preserve"> </w:t>
      </w:r>
      <w:r w:rsidR="004B2893">
        <w:rPr>
          <w:rFonts w:cstheme="minorHAnsi"/>
          <w:sz w:val="24"/>
          <w:szCs w:val="24"/>
          <w:lang w:val="el-GR"/>
        </w:rPr>
        <w:t>των</w:t>
      </w:r>
      <w:r w:rsidR="004B2893" w:rsidRPr="004B2893">
        <w:rPr>
          <w:rFonts w:cstheme="minorHAnsi"/>
          <w:sz w:val="24"/>
          <w:szCs w:val="24"/>
          <w:lang w:val="el-GR"/>
        </w:rPr>
        <w:t xml:space="preserve"> </w:t>
      </w:r>
      <w:r w:rsidR="004B2893">
        <w:rPr>
          <w:rFonts w:cstheme="minorHAnsi"/>
          <w:sz w:val="24"/>
          <w:szCs w:val="24"/>
          <w:lang w:val="el-GR"/>
        </w:rPr>
        <w:t>υπουργών</w:t>
      </w:r>
      <w:r w:rsidR="00A5147D" w:rsidRPr="004B2893">
        <w:rPr>
          <w:rFonts w:cstheme="minorHAnsi"/>
          <w:sz w:val="24"/>
          <w:szCs w:val="24"/>
          <w:lang w:val="el-GR"/>
        </w:rPr>
        <w:t xml:space="preserve">, </w:t>
      </w:r>
      <w:r w:rsidR="004B2893">
        <w:rPr>
          <w:rFonts w:cstheme="minorHAnsi"/>
          <w:sz w:val="24"/>
          <w:szCs w:val="24"/>
          <w:lang w:val="el-GR"/>
        </w:rPr>
        <w:t>δικ</w:t>
      </w:r>
      <w:r w:rsidR="003B41ED">
        <w:rPr>
          <w:rFonts w:cstheme="minorHAnsi"/>
          <w:sz w:val="24"/>
          <w:szCs w:val="24"/>
          <w:lang w:val="el-GR"/>
        </w:rPr>
        <w:t>α</w:t>
      </w:r>
      <w:r w:rsidR="004B2893">
        <w:rPr>
          <w:rFonts w:cstheme="minorHAnsi"/>
          <w:sz w:val="24"/>
          <w:szCs w:val="24"/>
          <w:lang w:val="el-GR"/>
        </w:rPr>
        <w:t>ίωμα</w:t>
      </w:r>
      <w:r w:rsidR="004B2893" w:rsidRPr="004B2893">
        <w:rPr>
          <w:rFonts w:cstheme="minorHAnsi"/>
          <w:sz w:val="24"/>
          <w:szCs w:val="24"/>
          <w:lang w:val="el-GR"/>
        </w:rPr>
        <w:t xml:space="preserve"> </w:t>
      </w:r>
      <w:r w:rsidR="004B2893">
        <w:rPr>
          <w:rFonts w:cstheme="minorHAnsi"/>
          <w:sz w:val="24"/>
          <w:szCs w:val="24"/>
          <w:lang w:val="el-GR"/>
        </w:rPr>
        <w:t>τελικού βέτο</w:t>
      </w:r>
      <w:r w:rsidR="00A5147D" w:rsidRPr="004B2893">
        <w:rPr>
          <w:rFonts w:cstheme="minorHAnsi"/>
          <w:sz w:val="24"/>
          <w:szCs w:val="24"/>
          <w:lang w:val="el-GR"/>
        </w:rPr>
        <w:t xml:space="preserve"> </w:t>
      </w:r>
      <w:r w:rsidR="004B2893">
        <w:rPr>
          <w:rFonts w:cstheme="minorHAnsi"/>
          <w:sz w:val="24"/>
          <w:szCs w:val="24"/>
          <w:lang w:val="el-GR"/>
        </w:rPr>
        <w:t>στις αποφάσεις του</w:t>
      </w:r>
      <w:r w:rsidR="00A5147D" w:rsidRPr="004B2893">
        <w:rPr>
          <w:rFonts w:cstheme="minorHAnsi"/>
          <w:sz w:val="24"/>
          <w:szCs w:val="24"/>
          <w:lang w:val="el-GR"/>
        </w:rPr>
        <w:t xml:space="preserve"> </w:t>
      </w:r>
      <w:r w:rsidR="004B2893">
        <w:rPr>
          <w:rFonts w:cstheme="minorHAnsi"/>
          <w:sz w:val="24"/>
          <w:szCs w:val="24"/>
          <w:lang w:val="el-GR"/>
        </w:rPr>
        <w:t>που αφορούν τις εξωτερικές υποθέσεις</w:t>
      </w:r>
      <w:r w:rsidR="00A5147D" w:rsidRPr="004B2893">
        <w:rPr>
          <w:rFonts w:cstheme="minorHAnsi"/>
          <w:sz w:val="24"/>
          <w:szCs w:val="24"/>
          <w:lang w:val="el-GR"/>
        </w:rPr>
        <w:t xml:space="preserve">, </w:t>
      </w:r>
      <w:r w:rsidR="004B2893">
        <w:rPr>
          <w:rFonts w:cstheme="minorHAnsi"/>
          <w:sz w:val="24"/>
          <w:szCs w:val="24"/>
          <w:lang w:val="el-GR"/>
        </w:rPr>
        <w:t>την άμυνα</w:t>
      </w:r>
      <w:r w:rsidR="00A5147D" w:rsidRPr="004B2893">
        <w:rPr>
          <w:rFonts w:cstheme="minorHAnsi"/>
          <w:sz w:val="24"/>
          <w:szCs w:val="24"/>
          <w:lang w:val="el-GR"/>
        </w:rPr>
        <w:t xml:space="preserve">, </w:t>
      </w:r>
      <w:r w:rsidR="004B2893">
        <w:rPr>
          <w:rFonts w:cstheme="minorHAnsi"/>
          <w:sz w:val="24"/>
          <w:szCs w:val="24"/>
          <w:lang w:val="el-GR"/>
        </w:rPr>
        <w:t xml:space="preserve">την ασφάλεια, καθώς επίσης και δικαίωμα </w:t>
      </w:r>
      <w:r w:rsidR="00ED14DD">
        <w:rPr>
          <w:rFonts w:cstheme="minorHAnsi"/>
          <w:sz w:val="24"/>
          <w:szCs w:val="24"/>
          <w:lang w:val="el-GR"/>
        </w:rPr>
        <w:t xml:space="preserve">αναπομπής </w:t>
      </w:r>
      <w:r w:rsidR="004B2893">
        <w:rPr>
          <w:rFonts w:cstheme="minorHAnsi"/>
          <w:sz w:val="24"/>
          <w:szCs w:val="24"/>
          <w:lang w:val="el-GR"/>
        </w:rPr>
        <w:t>των αποφάσεων του</w:t>
      </w:r>
      <w:r w:rsidR="00A5147D" w:rsidRPr="004B2893">
        <w:rPr>
          <w:rFonts w:cstheme="minorHAnsi"/>
          <w:sz w:val="24"/>
          <w:szCs w:val="24"/>
          <w:lang w:val="el-GR"/>
        </w:rPr>
        <w:t xml:space="preserve">. </w:t>
      </w:r>
      <w:r w:rsidR="004B2893">
        <w:rPr>
          <w:rFonts w:cstheme="minorHAnsi"/>
          <w:sz w:val="24"/>
          <w:szCs w:val="24"/>
          <w:lang w:val="el-GR"/>
        </w:rPr>
        <w:t>Σε</w:t>
      </w:r>
      <w:r w:rsidR="004B2893" w:rsidRPr="004B2893">
        <w:rPr>
          <w:rFonts w:cstheme="minorHAnsi"/>
          <w:sz w:val="24"/>
          <w:szCs w:val="24"/>
          <w:lang w:val="el-GR"/>
        </w:rPr>
        <w:t xml:space="preserve"> </w:t>
      </w:r>
      <w:r w:rsidR="004B2893">
        <w:rPr>
          <w:rFonts w:cstheme="minorHAnsi"/>
          <w:sz w:val="24"/>
          <w:szCs w:val="24"/>
          <w:lang w:val="el-GR"/>
        </w:rPr>
        <w:t>σχέση</w:t>
      </w:r>
      <w:r w:rsidR="004B2893" w:rsidRPr="004B2893">
        <w:rPr>
          <w:rFonts w:cstheme="minorHAnsi"/>
          <w:sz w:val="24"/>
          <w:szCs w:val="24"/>
          <w:lang w:val="el-GR"/>
        </w:rPr>
        <w:t xml:space="preserve"> </w:t>
      </w:r>
      <w:r w:rsidR="004B2893">
        <w:rPr>
          <w:rFonts w:cstheme="minorHAnsi"/>
          <w:sz w:val="24"/>
          <w:szCs w:val="24"/>
          <w:lang w:val="el-GR"/>
        </w:rPr>
        <w:t>με</w:t>
      </w:r>
      <w:r w:rsidR="004B2893" w:rsidRPr="004B2893">
        <w:rPr>
          <w:rFonts w:cstheme="minorHAnsi"/>
          <w:sz w:val="24"/>
          <w:szCs w:val="24"/>
          <w:lang w:val="el-GR"/>
        </w:rPr>
        <w:t xml:space="preserve"> </w:t>
      </w:r>
      <w:r w:rsidR="004B2893">
        <w:rPr>
          <w:rFonts w:cstheme="minorHAnsi"/>
          <w:sz w:val="24"/>
          <w:szCs w:val="24"/>
          <w:lang w:val="el-GR"/>
        </w:rPr>
        <w:t>την</w:t>
      </w:r>
      <w:r w:rsidR="004B2893" w:rsidRPr="004B2893">
        <w:rPr>
          <w:rFonts w:cstheme="minorHAnsi"/>
          <w:sz w:val="24"/>
          <w:szCs w:val="24"/>
          <w:lang w:val="el-GR"/>
        </w:rPr>
        <w:t xml:space="preserve"> </w:t>
      </w:r>
      <w:r w:rsidR="004B2893">
        <w:rPr>
          <w:rFonts w:cstheme="minorHAnsi"/>
          <w:sz w:val="24"/>
          <w:szCs w:val="24"/>
          <w:lang w:val="el-GR"/>
        </w:rPr>
        <w:t>Βουλή</w:t>
      </w:r>
      <w:r w:rsidR="00A5147D" w:rsidRPr="004B2893">
        <w:rPr>
          <w:rFonts w:cstheme="minorHAnsi"/>
          <w:sz w:val="24"/>
          <w:szCs w:val="24"/>
          <w:lang w:val="el-GR"/>
        </w:rPr>
        <w:t xml:space="preserve">, </w:t>
      </w:r>
      <w:r w:rsidR="004B2893">
        <w:rPr>
          <w:rFonts w:cstheme="minorHAnsi"/>
          <w:sz w:val="24"/>
          <w:szCs w:val="24"/>
          <w:lang w:val="el-GR"/>
        </w:rPr>
        <w:t>ο</w:t>
      </w:r>
      <w:r w:rsidR="004B2893" w:rsidRPr="004B2893">
        <w:rPr>
          <w:rFonts w:cstheme="minorHAnsi"/>
          <w:sz w:val="24"/>
          <w:szCs w:val="24"/>
          <w:lang w:val="el-GR"/>
        </w:rPr>
        <w:t xml:space="preserve"> </w:t>
      </w:r>
      <w:r w:rsidR="004B2893">
        <w:rPr>
          <w:rFonts w:cstheme="minorHAnsi"/>
          <w:sz w:val="24"/>
          <w:szCs w:val="24"/>
          <w:lang w:val="el-GR"/>
        </w:rPr>
        <w:t>Πρόεδρος</w:t>
      </w:r>
      <w:r w:rsidR="004B2893" w:rsidRPr="004B2893">
        <w:rPr>
          <w:rFonts w:cstheme="minorHAnsi"/>
          <w:sz w:val="24"/>
          <w:szCs w:val="24"/>
          <w:lang w:val="el-GR"/>
        </w:rPr>
        <w:t xml:space="preserve"> </w:t>
      </w:r>
      <w:r w:rsidR="004B2893">
        <w:rPr>
          <w:rFonts w:cstheme="minorHAnsi"/>
          <w:sz w:val="24"/>
          <w:szCs w:val="24"/>
          <w:lang w:val="el-GR"/>
        </w:rPr>
        <w:t>έχει</w:t>
      </w:r>
      <w:r w:rsidR="004B2893" w:rsidRPr="004B2893">
        <w:rPr>
          <w:rFonts w:cstheme="minorHAnsi"/>
          <w:sz w:val="24"/>
          <w:szCs w:val="24"/>
          <w:lang w:val="el-GR"/>
        </w:rPr>
        <w:t xml:space="preserve"> </w:t>
      </w:r>
      <w:r w:rsidR="004B2893">
        <w:rPr>
          <w:rFonts w:cstheme="minorHAnsi"/>
          <w:sz w:val="24"/>
          <w:szCs w:val="24"/>
          <w:lang w:val="el-GR"/>
        </w:rPr>
        <w:t>το</w:t>
      </w:r>
      <w:r w:rsidR="004B2893" w:rsidRPr="004B2893">
        <w:rPr>
          <w:rFonts w:cstheme="minorHAnsi"/>
          <w:sz w:val="24"/>
          <w:szCs w:val="24"/>
          <w:lang w:val="el-GR"/>
        </w:rPr>
        <w:t xml:space="preserve"> </w:t>
      </w:r>
      <w:r w:rsidR="004B2893">
        <w:rPr>
          <w:rFonts w:cstheme="minorHAnsi"/>
          <w:sz w:val="24"/>
          <w:szCs w:val="24"/>
          <w:lang w:val="el-GR"/>
        </w:rPr>
        <w:t>δικαίωμα</w:t>
      </w:r>
      <w:r w:rsidR="004B2893" w:rsidRPr="004B2893">
        <w:rPr>
          <w:rFonts w:cstheme="minorHAnsi"/>
          <w:sz w:val="24"/>
          <w:szCs w:val="24"/>
          <w:lang w:val="el-GR"/>
        </w:rPr>
        <w:t xml:space="preserve"> </w:t>
      </w:r>
      <w:r w:rsidR="004B2893">
        <w:rPr>
          <w:rFonts w:cstheme="minorHAnsi"/>
          <w:sz w:val="24"/>
          <w:szCs w:val="24"/>
          <w:lang w:val="el-GR"/>
        </w:rPr>
        <w:t>του</w:t>
      </w:r>
      <w:r w:rsidR="004B2893" w:rsidRPr="004B2893">
        <w:rPr>
          <w:rFonts w:cstheme="minorHAnsi"/>
          <w:sz w:val="24"/>
          <w:szCs w:val="24"/>
          <w:lang w:val="el-GR"/>
        </w:rPr>
        <w:t xml:space="preserve"> </w:t>
      </w:r>
      <w:r w:rsidR="004B2893">
        <w:rPr>
          <w:rFonts w:cstheme="minorHAnsi"/>
          <w:sz w:val="24"/>
          <w:szCs w:val="24"/>
          <w:lang w:val="el-GR"/>
        </w:rPr>
        <w:t>τελικού</w:t>
      </w:r>
      <w:r w:rsidR="004B2893" w:rsidRPr="004B2893">
        <w:rPr>
          <w:rFonts w:cstheme="minorHAnsi"/>
          <w:sz w:val="24"/>
          <w:szCs w:val="24"/>
          <w:lang w:val="el-GR"/>
        </w:rPr>
        <w:t xml:space="preserve"> </w:t>
      </w:r>
      <w:r w:rsidR="004B2893">
        <w:rPr>
          <w:rFonts w:cstheme="minorHAnsi"/>
          <w:sz w:val="24"/>
          <w:szCs w:val="24"/>
          <w:lang w:val="el-GR"/>
        </w:rPr>
        <w:t>βέτο</w:t>
      </w:r>
      <w:r w:rsidR="00A5147D" w:rsidRPr="004B2893">
        <w:rPr>
          <w:rFonts w:cstheme="minorHAnsi"/>
          <w:sz w:val="24"/>
          <w:szCs w:val="24"/>
          <w:lang w:val="el-GR"/>
        </w:rPr>
        <w:t xml:space="preserve"> </w:t>
      </w:r>
      <w:r w:rsidR="004B2893">
        <w:rPr>
          <w:rFonts w:cstheme="minorHAnsi"/>
          <w:sz w:val="24"/>
          <w:szCs w:val="24"/>
          <w:lang w:val="el-GR"/>
        </w:rPr>
        <w:t>σε</w:t>
      </w:r>
      <w:r w:rsidR="004B2893" w:rsidRPr="004B2893">
        <w:rPr>
          <w:rFonts w:cstheme="minorHAnsi"/>
          <w:sz w:val="24"/>
          <w:szCs w:val="24"/>
          <w:lang w:val="el-GR"/>
        </w:rPr>
        <w:t xml:space="preserve"> </w:t>
      </w:r>
      <w:r w:rsidR="004B2893">
        <w:rPr>
          <w:rFonts w:cstheme="minorHAnsi"/>
          <w:sz w:val="24"/>
          <w:szCs w:val="24"/>
          <w:lang w:val="el-GR"/>
        </w:rPr>
        <w:t>νόμους</w:t>
      </w:r>
      <w:r w:rsidR="004B2893" w:rsidRPr="004B2893">
        <w:rPr>
          <w:rFonts w:cstheme="minorHAnsi"/>
          <w:sz w:val="24"/>
          <w:szCs w:val="24"/>
          <w:lang w:val="el-GR"/>
        </w:rPr>
        <w:t xml:space="preserve"> </w:t>
      </w:r>
      <w:r w:rsidR="004B2893">
        <w:rPr>
          <w:rFonts w:cstheme="minorHAnsi"/>
          <w:sz w:val="24"/>
          <w:szCs w:val="24"/>
          <w:lang w:val="el-GR"/>
        </w:rPr>
        <w:t>ή</w:t>
      </w:r>
      <w:r w:rsidR="004B2893" w:rsidRPr="004B2893">
        <w:rPr>
          <w:rFonts w:cstheme="minorHAnsi"/>
          <w:sz w:val="24"/>
          <w:szCs w:val="24"/>
          <w:lang w:val="el-GR"/>
        </w:rPr>
        <w:t xml:space="preserve"> </w:t>
      </w:r>
      <w:r w:rsidR="004B2893">
        <w:rPr>
          <w:rFonts w:cstheme="minorHAnsi"/>
          <w:sz w:val="24"/>
          <w:szCs w:val="24"/>
          <w:lang w:val="el-GR"/>
        </w:rPr>
        <w:t>αποφάσεις</w:t>
      </w:r>
      <w:r w:rsidR="00A5147D" w:rsidRPr="004B2893">
        <w:rPr>
          <w:rFonts w:cstheme="minorHAnsi"/>
          <w:sz w:val="24"/>
          <w:szCs w:val="24"/>
          <w:lang w:val="el-GR"/>
        </w:rPr>
        <w:t xml:space="preserve"> </w:t>
      </w:r>
      <w:r w:rsidR="004B2893">
        <w:rPr>
          <w:rFonts w:cstheme="minorHAnsi"/>
          <w:sz w:val="24"/>
          <w:szCs w:val="24"/>
          <w:lang w:val="el-GR"/>
        </w:rPr>
        <w:t>αναφορικά</w:t>
      </w:r>
      <w:r w:rsidR="004B2893" w:rsidRPr="004B2893">
        <w:rPr>
          <w:rFonts w:cstheme="minorHAnsi"/>
          <w:sz w:val="24"/>
          <w:szCs w:val="24"/>
          <w:lang w:val="el-GR"/>
        </w:rPr>
        <w:t xml:space="preserve"> </w:t>
      </w:r>
      <w:r w:rsidR="004B2893">
        <w:rPr>
          <w:rFonts w:cstheme="minorHAnsi"/>
          <w:sz w:val="24"/>
          <w:szCs w:val="24"/>
          <w:lang w:val="el-GR"/>
        </w:rPr>
        <w:t>με</w:t>
      </w:r>
      <w:r w:rsidR="004B2893" w:rsidRPr="004B2893">
        <w:rPr>
          <w:rFonts w:cstheme="minorHAnsi"/>
          <w:sz w:val="24"/>
          <w:szCs w:val="24"/>
          <w:lang w:val="el-GR"/>
        </w:rPr>
        <w:t xml:space="preserve"> </w:t>
      </w:r>
      <w:r w:rsidR="004B2893">
        <w:rPr>
          <w:rFonts w:cstheme="minorHAnsi"/>
          <w:sz w:val="24"/>
          <w:szCs w:val="24"/>
          <w:lang w:val="el-GR"/>
        </w:rPr>
        <w:t>τις</w:t>
      </w:r>
      <w:r w:rsidR="004B2893" w:rsidRPr="004B2893">
        <w:rPr>
          <w:rFonts w:cstheme="minorHAnsi"/>
          <w:sz w:val="24"/>
          <w:szCs w:val="24"/>
          <w:lang w:val="el-GR"/>
        </w:rPr>
        <w:t xml:space="preserve"> </w:t>
      </w:r>
      <w:r w:rsidR="004B2893">
        <w:rPr>
          <w:rFonts w:cstheme="minorHAnsi"/>
          <w:sz w:val="24"/>
          <w:szCs w:val="24"/>
          <w:lang w:val="el-GR"/>
        </w:rPr>
        <w:t>εξωτερικές</w:t>
      </w:r>
      <w:r w:rsidR="004B2893" w:rsidRPr="004B2893">
        <w:rPr>
          <w:rFonts w:cstheme="minorHAnsi"/>
          <w:sz w:val="24"/>
          <w:szCs w:val="24"/>
          <w:lang w:val="el-GR"/>
        </w:rPr>
        <w:t xml:space="preserve"> </w:t>
      </w:r>
      <w:r w:rsidR="004B2893">
        <w:rPr>
          <w:rFonts w:cstheme="minorHAnsi"/>
          <w:sz w:val="24"/>
          <w:szCs w:val="24"/>
          <w:lang w:val="el-GR"/>
        </w:rPr>
        <w:t>υποθέσεις, την άμυνα ή την ασφάλεια</w:t>
      </w:r>
      <w:r w:rsidR="00A5147D" w:rsidRPr="004B2893">
        <w:rPr>
          <w:rFonts w:cstheme="minorHAnsi"/>
          <w:sz w:val="24"/>
          <w:szCs w:val="24"/>
          <w:lang w:val="el-GR"/>
        </w:rPr>
        <w:t xml:space="preserve"> </w:t>
      </w:r>
      <w:r w:rsidR="004B2893">
        <w:rPr>
          <w:rFonts w:cstheme="minorHAnsi"/>
          <w:sz w:val="24"/>
          <w:szCs w:val="24"/>
          <w:lang w:val="el-GR"/>
        </w:rPr>
        <w:t xml:space="preserve">και ένα δικαίωμα </w:t>
      </w:r>
      <w:r w:rsidR="00ED14DD">
        <w:rPr>
          <w:rFonts w:cstheme="minorHAnsi"/>
          <w:sz w:val="24"/>
          <w:szCs w:val="24"/>
          <w:lang w:val="el-GR"/>
        </w:rPr>
        <w:t xml:space="preserve">αναπομπής </w:t>
      </w:r>
      <w:r w:rsidR="004B2893">
        <w:rPr>
          <w:rFonts w:eastAsia="Times New Roman" w:cstheme="minorHAnsi"/>
          <w:sz w:val="24"/>
          <w:szCs w:val="24"/>
          <w:lang w:val="el-GR" w:eastAsia="fr-FR"/>
        </w:rPr>
        <w:t xml:space="preserve">για την </w:t>
      </w:r>
      <w:r w:rsidR="00ED14DD">
        <w:rPr>
          <w:rFonts w:eastAsia="Times New Roman" w:cstheme="minorHAnsi"/>
          <w:sz w:val="24"/>
          <w:szCs w:val="24"/>
          <w:lang w:val="el-GR" w:eastAsia="fr-FR"/>
        </w:rPr>
        <w:t xml:space="preserve">επανεξέταση </w:t>
      </w:r>
      <w:r w:rsidR="004B2893">
        <w:rPr>
          <w:rFonts w:eastAsia="Times New Roman" w:cstheme="minorHAnsi"/>
          <w:sz w:val="24"/>
          <w:szCs w:val="24"/>
          <w:lang w:val="el-GR" w:eastAsia="fr-FR"/>
        </w:rPr>
        <w:t>οποιουδήποτε νόμου</w:t>
      </w:r>
      <w:r w:rsidR="00A5147D" w:rsidRPr="004B2893">
        <w:rPr>
          <w:rFonts w:eastAsia="Times New Roman" w:cstheme="minorHAnsi"/>
          <w:sz w:val="24"/>
          <w:szCs w:val="24"/>
          <w:lang w:val="el-GR" w:eastAsia="fr-FR"/>
        </w:rPr>
        <w:t xml:space="preserve">, </w:t>
      </w:r>
      <w:r w:rsidR="004B2893">
        <w:rPr>
          <w:rFonts w:eastAsia="Times New Roman" w:cstheme="minorHAnsi"/>
          <w:sz w:val="24"/>
          <w:szCs w:val="24"/>
          <w:lang w:val="el-GR" w:eastAsia="fr-FR"/>
        </w:rPr>
        <w:t>απόφασης</w:t>
      </w:r>
      <w:r w:rsidR="00A5147D" w:rsidRPr="004B2893">
        <w:rPr>
          <w:rFonts w:eastAsia="Times New Roman" w:cstheme="minorHAnsi"/>
          <w:sz w:val="24"/>
          <w:szCs w:val="24"/>
          <w:lang w:val="el-GR" w:eastAsia="fr-FR"/>
        </w:rPr>
        <w:t xml:space="preserve">, </w:t>
      </w:r>
      <w:r w:rsidR="004B2893">
        <w:rPr>
          <w:rFonts w:eastAsia="Times New Roman" w:cstheme="minorHAnsi"/>
          <w:sz w:val="24"/>
          <w:szCs w:val="24"/>
          <w:lang w:val="el-GR" w:eastAsia="fr-FR"/>
        </w:rPr>
        <w:t>ή οποιουδήποτε μέρους αυτού/</w:t>
      </w:r>
      <w:proofErr w:type="spellStart"/>
      <w:r w:rsidR="004B2893">
        <w:rPr>
          <w:rFonts w:eastAsia="Times New Roman" w:cstheme="minorHAnsi"/>
          <w:sz w:val="24"/>
          <w:szCs w:val="24"/>
          <w:lang w:val="el-GR" w:eastAsia="fr-FR"/>
        </w:rPr>
        <w:t>ής</w:t>
      </w:r>
      <w:proofErr w:type="spellEnd"/>
      <w:r w:rsidR="00A5147D" w:rsidRPr="004B2893">
        <w:rPr>
          <w:rFonts w:eastAsia="Times New Roman" w:cstheme="minorHAnsi"/>
          <w:sz w:val="24"/>
          <w:szCs w:val="24"/>
          <w:lang w:val="el-GR" w:eastAsia="fr-FR"/>
        </w:rPr>
        <w:t xml:space="preserve">. </w:t>
      </w:r>
      <w:r w:rsidR="004B2893">
        <w:rPr>
          <w:rFonts w:eastAsia="Times New Roman" w:cstheme="minorHAnsi"/>
          <w:sz w:val="24"/>
          <w:szCs w:val="24"/>
          <w:lang w:val="el-GR" w:eastAsia="fr-FR"/>
        </w:rPr>
        <w:t>Εν</w:t>
      </w:r>
      <w:r w:rsidR="004B2893" w:rsidRPr="004B2893">
        <w:rPr>
          <w:rFonts w:eastAsia="Times New Roman" w:cstheme="minorHAnsi"/>
          <w:sz w:val="24"/>
          <w:szCs w:val="24"/>
          <w:lang w:val="el-GR" w:eastAsia="fr-FR"/>
        </w:rPr>
        <w:t xml:space="preserve"> </w:t>
      </w:r>
      <w:r w:rsidR="004B2893">
        <w:rPr>
          <w:rFonts w:eastAsia="Times New Roman" w:cstheme="minorHAnsi"/>
          <w:sz w:val="24"/>
          <w:szCs w:val="24"/>
          <w:lang w:val="el-GR" w:eastAsia="fr-FR"/>
        </w:rPr>
        <w:t>όψ</w:t>
      </w:r>
      <w:r w:rsidR="00ED14DD">
        <w:rPr>
          <w:rFonts w:eastAsia="Times New Roman" w:cstheme="minorHAnsi"/>
          <w:sz w:val="24"/>
          <w:szCs w:val="24"/>
          <w:lang w:val="el-GR" w:eastAsia="fr-FR"/>
        </w:rPr>
        <w:t>ει</w:t>
      </w:r>
      <w:r w:rsidR="004B2893" w:rsidRPr="004B2893">
        <w:rPr>
          <w:rFonts w:eastAsia="Times New Roman" w:cstheme="minorHAnsi"/>
          <w:sz w:val="24"/>
          <w:szCs w:val="24"/>
          <w:lang w:val="el-GR" w:eastAsia="fr-FR"/>
        </w:rPr>
        <w:t xml:space="preserve"> </w:t>
      </w:r>
      <w:r w:rsidR="004B2893">
        <w:rPr>
          <w:rFonts w:eastAsia="Times New Roman" w:cstheme="minorHAnsi"/>
          <w:sz w:val="24"/>
          <w:szCs w:val="24"/>
          <w:lang w:val="el-GR" w:eastAsia="fr-FR"/>
        </w:rPr>
        <w:t>των</w:t>
      </w:r>
      <w:r w:rsidR="004B2893" w:rsidRPr="004B2893">
        <w:rPr>
          <w:rFonts w:eastAsia="Times New Roman" w:cstheme="minorHAnsi"/>
          <w:sz w:val="24"/>
          <w:szCs w:val="24"/>
          <w:lang w:val="el-GR" w:eastAsia="fr-FR"/>
        </w:rPr>
        <w:t xml:space="preserve"> </w:t>
      </w:r>
      <w:r w:rsidR="004B2893">
        <w:rPr>
          <w:rFonts w:eastAsia="Times New Roman" w:cstheme="minorHAnsi"/>
          <w:sz w:val="24"/>
          <w:szCs w:val="24"/>
          <w:lang w:val="el-GR" w:eastAsia="fr-FR"/>
        </w:rPr>
        <w:t>προαναφερθέντων</w:t>
      </w:r>
      <w:r w:rsidR="00A5147D" w:rsidRPr="004B2893">
        <w:rPr>
          <w:rFonts w:cstheme="minorHAnsi"/>
          <w:sz w:val="24"/>
          <w:szCs w:val="24"/>
          <w:lang w:val="el-GR"/>
        </w:rPr>
        <w:t xml:space="preserve">, </w:t>
      </w:r>
      <w:r w:rsidR="004B2893">
        <w:rPr>
          <w:rFonts w:cstheme="minorHAnsi"/>
          <w:sz w:val="24"/>
          <w:szCs w:val="24"/>
          <w:lang w:val="el-GR"/>
        </w:rPr>
        <w:t>ο</w:t>
      </w:r>
      <w:r w:rsidR="004B2893" w:rsidRPr="004B2893">
        <w:rPr>
          <w:rFonts w:cstheme="minorHAnsi"/>
          <w:sz w:val="24"/>
          <w:szCs w:val="24"/>
          <w:lang w:val="el-GR"/>
        </w:rPr>
        <w:t xml:space="preserve"> </w:t>
      </w:r>
      <w:r w:rsidR="004B2893">
        <w:rPr>
          <w:rFonts w:cstheme="minorHAnsi"/>
          <w:sz w:val="24"/>
          <w:szCs w:val="24"/>
          <w:lang w:val="el-GR"/>
        </w:rPr>
        <w:t>Πρόεδρος</w:t>
      </w:r>
      <w:r w:rsidR="004B2893" w:rsidRPr="004B2893">
        <w:rPr>
          <w:rFonts w:cstheme="minorHAnsi"/>
          <w:sz w:val="24"/>
          <w:szCs w:val="24"/>
          <w:lang w:val="el-GR"/>
        </w:rPr>
        <w:t xml:space="preserve"> </w:t>
      </w:r>
      <w:r w:rsidR="004B2893">
        <w:rPr>
          <w:rFonts w:cstheme="minorHAnsi"/>
          <w:sz w:val="24"/>
          <w:szCs w:val="24"/>
          <w:lang w:val="el-GR"/>
        </w:rPr>
        <w:t>της</w:t>
      </w:r>
      <w:r w:rsidR="004B2893" w:rsidRPr="004B2893">
        <w:rPr>
          <w:rFonts w:cstheme="minorHAnsi"/>
          <w:sz w:val="24"/>
          <w:szCs w:val="24"/>
          <w:lang w:val="el-GR"/>
        </w:rPr>
        <w:t xml:space="preserve"> </w:t>
      </w:r>
      <w:r w:rsidR="004B2893">
        <w:rPr>
          <w:rFonts w:cstheme="minorHAnsi"/>
          <w:sz w:val="24"/>
          <w:szCs w:val="24"/>
          <w:lang w:val="el-GR"/>
        </w:rPr>
        <w:t>Κυπριακής</w:t>
      </w:r>
      <w:r w:rsidR="004B2893" w:rsidRPr="004B2893">
        <w:rPr>
          <w:rFonts w:cstheme="minorHAnsi"/>
          <w:sz w:val="24"/>
          <w:szCs w:val="24"/>
          <w:lang w:val="el-GR"/>
        </w:rPr>
        <w:t xml:space="preserve"> </w:t>
      </w:r>
      <w:r w:rsidR="004B2893">
        <w:rPr>
          <w:rFonts w:cstheme="minorHAnsi"/>
          <w:sz w:val="24"/>
          <w:szCs w:val="24"/>
          <w:lang w:val="el-GR"/>
        </w:rPr>
        <w:t>Δημοκρατίας</w:t>
      </w:r>
      <w:r w:rsidR="004B2893" w:rsidRPr="004B2893">
        <w:rPr>
          <w:rFonts w:cstheme="minorHAnsi"/>
          <w:sz w:val="24"/>
          <w:szCs w:val="24"/>
          <w:lang w:val="el-GR"/>
        </w:rPr>
        <w:t xml:space="preserve"> </w:t>
      </w:r>
      <w:r w:rsidR="004B2893">
        <w:rPr>
          <w:rFonts w:cstheme="minorHAnsi"/>
          <w:sz w:val="24"/>
          <w:szCs w:val="24"/>
          <w:lang w:val="el-GR"/>
        </w:rPr>
        <w:t>θεωρείται</w:t>
      </w:r>
      <w:r w:rsidR="004B2893" w:rsidRPr="004B2893">
        <w:rPr>
          <w:rFonts w:cstheme="minorHAnsi"/>
          <w:sz w:val="24"/>
          <w:szCs w:val="24"/>
          <w:lang w:val="el-GR"/>
        </w:rPr>
        <w:t xml:space="preserve"> </w:t>
      </w:r>
      <w:r w:rsidR="004B2893">
        <w:rPr>
          <w:rFonts w:cstheme="minorHAnsi"/>
          <w:sz w:val="24"/>
          <w:szCs w:val="24"/>
          <w:lang w:val="el-GR"/>
        </w:rPr>
        <w:t>ότι</w:t>
      </w:r>
      <w:r w:rsidR="004B2893" w:rsidRPr="004B2893">
        <w:rPr>
          <w:rFonts w:cstheme="minorHAnsi"/>
          <w:sz w:val="24"/>
          <w:szCs w:val="24"/>
          <w:lang w:val="el-GR"/>
        </w:rPr>
        <w:t xml:space="preserve"> </w:t>
      </w:r>
      <w:r w:rsidR="004B2893">
        <w:rPr>
          <w:rFonts w:cstheme="minorHAnsi"/>
          <w:sz w:val="24"/>
          <w:szCs w:val="24"/>
          <w:lang w:val="el-GR"/>
        </w:rPr>
        <w:t xml:space="preserve">ασκεί </w:t>
      </w:r>
      <w:r w:rsidR="00ED14DD">
        <w:rPr>
          <w:rFonts w:cstheme="minorHAnsi"/>
          <w:sz w:val="24"/>
          <w:szCs w:val="24"/>
          <w:lang w:val="el-GR"/>
        </w:rPr>
        <w:t xml:space="preserve">ανώτατα </w:t>
      </w:r>
      <w:r w:rsidR="004B2893">
        <w:rPr>
          <w:rFonts w:cstheme="minorHAnsi"/>
          <w:sz w:val="24"/>
          <w:szCs w:val="24"/>
          <w:lang w:val="el-GR"/>
        </w:rPr>
        <w:t>εκτελεστικ</w:t>
      </w:r>
      <w:r w:rsidR="00ED14DD">
        <w:rPr>
          <w:rFonts w:cstheme="minorHAnsi"/>
          <w:sz w:val="24"/>
          <w:szCs w:val="24"/>
          <w:lang w:val="el-GR"/>
        </w:rPr>
        <w:t>ά</w:t>
      </w:r>
      <w:r w:rsidR="004B2893">
        <w:rPr>
          <w:rFonts w:cstheme="minorHAnsi"/>
          <w:sz w:val="24"/>
          <w:szCs w:val="24"/>
          <w:lang w:val="el-GR"/>
        </w:rPr>
        <w:t xml:space="preserve"> </w:t>
      </w:r>
      <w:r w:rsidR="00ED14DD">
        <w:rPr>
          <w:rFonts w:cstheme="minorHAnsi"/>
          <w:sz w:val="24"/>
          <w:szCs w:val="24"/>
          <w:lang w:val="el-GR"/>
        </w:rPr>
        <w:t xml:space="preserve">καθήκοντα </w:t>
      </w:r>
      <w:r w:rsidR="004B2893">
        <w:rPr>
          <w:rFonts w:cstheme="minorHAnsi"/>
          <w:sz w:val="24"/>
          <w:szCs w:val="24"/>
          <w:lang w:val="el-GR"/>
        </w:rPr>
        <w:t>εντός της σημασίας της έκθεσης αυτής</w:t>
      </w:r>
      <w:r w:rsidR="00A5147D" w:rsidRPr="004B2893">
        <w:rPr>
          <w:rFonts w:cstheme="minorHAnsi"/>
          <w:sz w:val="24"/>
          <w:szCs w:val="24"/>
          <w:lang w:val="el-GR"/>
        </w:rPr>
        <w:t xml:space="preserve">. </w:t>
      </w:r>
    </w:p>
    <w:p w14:paraId="5DC80AB4" w14:textId="77777777" w:rsidR="00A5147D" w:rsidRPr="004B2893" w:rsidRDefault="00A5147D" w:rsidP="00A5147D">
      <w:pPr>
        <w:pStyle w:val="ListParagraph"/>
        <w:rPr>
          <w:rFonts w:ascii="Calibri" w:hAnsi="Calibri" w:cs="Calibri"/>
          <w:color w:val="000000"/>
          <w:sz w:val="24"/>
          <w:szCs w:val="24"/>
          <w:lang w:val="el-GR"/>
        </w:rPr>
      </w:pPr>
    </w:p>
    <w:p w14:paraId="5E4F76F4" w14:textId="4C0858F9" w:rsidR="00A5147D" w:rsidRPr="00DB3E92" w:rsidRDefault="004B2893" w:rsidP="00A5147D">
      <w:pPr>
        <w:pStyle w:val="ListParagraph"/>
        <w:numPr>
          <w:ilvl w:val="0"/>
          <w:numId w:val="1"/>
        </w:numPr>
        <w:tabs>
          <w:tab w:val="clear" w:pos="6095"/>
        </w:tabs>
        <w:autoSpaceDE w:val="0"/>
        <w:autoSpaceDN w:val="0"/>
        <w:adjustRightInd w:val="0"/>
        <w:ind w:left="0" w:firstLine="0"/>
        <w:rPr>
          <w:rFonts w:ascii="Calibri" w:hAnsi="Calibri" w:cs="Calibri"/>
          <w:color w:val="000000"/>
          <w:sz w:val="24"/>
          <w:szCs w:val="24"/>
          <w:lang w:val="el-GR"/>
        </w:rPr>
      </w:pPr>
      <w:r>
        <w:rPr>
          <w:rFonts w:cstheme="minorHAnsi"/>
          <w:sz w:val="24"/>
          <w:szCs w:val="24"/>
          <w:lang w:val="el-GR"/>
        </w:rPr>
        <w:t>Η</w:t>
      </w:r>
      <w:r w:rsidRPr="00DB3E92">
        <w:rPr>
          <w:rFonts w:cstheme="minorHAnsi"/>
          <w:sz w:val="24"/>
          <w:szCs w:val="24"/>
          <w:lang w:val="el-GR"/>
        </w:rPr>
        <w:t xml:space="preserve"> </w:t>
      </w:r>
      <w:r>
        <w:rPr>
          <w:rFonts w:cstheme="minorHAnsi"/>
          <w:sz w:val="24"/>
          <w:szCs w:val="24"/>
          <w:lang w:val="el-GR"/>
        </w:rPr>
        <w:t>ασυνήθιστη</w:t>
      </w:r>
      <w:r w:rsidRPr="00DB3E92">
        <w:rPr>
          <w:rFonts w:cstheme="minorHAnsi"/>
          <w:sz w:val="24"/>
          <w:szCs w:val="24"/>
          <w:lang w:val="el-GR"/>
        </w:rPr>
        <w:t xml:space="preserve"> </w:t>
      </w:r>
      <w:r>
        <w:rPr>
          <w:rFonts w:cstheme="minorHAnsi"/>
          <w:sz w:val="24"/>
          <w:szCs w:val="24"/>
          <w:lang w:val="el-GR"/>
        </w:rPr>
        <w:t>κατάσταση</w:t>
      </w:r>
      <w:r w:rsidRPr="00DB3E92">
        <w:rPr>
          <w:rFonts w:cstheme="minorHAnsi"/>
          <w:sz w:val="24"/>
          <w:szCs w:val="24"/>
          <w:lang w:val="el-GR"/>
        </w:rPr>
        <w:t xml:space="preserve"> </w:t>
      </w:r>
      <w:r>
        <w:rPr>
          <w:rFonts w:cstheme="minorHAnsi"/>
          <w:sz w:val="24"/>
          <w:szCs w:val="24"/>
          <w:lang w:val="el-GR"/>
        </w:rPr>
        <w:t>που</w:t>
      </w:r>
      <w:r w:rsidRPr="00DB3E92">
        <w:rPr>
          <w:rFonts w:cstheme="minorHAnsi"/>
          <w:sz w:val="24"/>
          <w:szCs w:val="24"/>
          <w:lang w:val="el-GR"/>
        </w:rPr>
        <w:t xml:space="preserve"> </w:t>
      </w:r>
      <w:r>
        <w:rPr>
          <w:rFonts w:cstheme="minorHAnsi"/>
          <w:sz w:val="24"/>
          <w:szCs w:val="24"/>
          <w:lang w:val="el-GR"/>
        </w:rPr>
        <w:t>προέκυψε</w:t>
      </w:r>
      <w:r w:rsidRPr="00DB3E92">
        <w:rPr>
          <w:rFonts w:cstheme="minorHAnsi"/>
          <w:sz w:val="24"/>
          <w:szCs w:val="24"/>
          <w:lang w:val="el-GR"/>
        </w:rPr>
        <w:t xml:space="preserve"> </w:t>
      </w:r>
      <w:r>
        <w:rPr>
          <w:rFonts w:cstheme="minorHAnsi"/>
          <w:sz w:val="24"/>
          <w:szCs w:val="24"/>
          <w:lang w:val="el-GR"/>
        </w:rPr>
        <w:t>από</w:t>
      </w:r>
      <w:r w:rsidRPr="00DB3E92">
        <w:rPr>
          <w:rFonts w:cstheme="minorHAnsi"/>
          <w:sz w:val="24"/>
          <w:szCs w:val="24"/>
          <w:lang w:val="el-GR"/>
        </w:rPr>
        <w:t xml:space="preserve"> </w:t>
      </w:r>
      <w:r>
        <w:rPr>
          <w:rFonts w:cstheme="minorHAnsi"/>
          <w:sz w:val="24"/>
          <w:szCs w:val="24"/>
          <w:lang w:val="el-GR"/>
        </w:rPr>
        <w:t>τη</w:t>
      </w:r>
      <w:r w:rsidRPr="00DB3E92">
        <w:rPr>
          <w:rFonts w:cstheme="minorHAnsi"/>
          <w:sz w:val="24"/>
          <w:szCs w:val="24"/>
          <w:lang w:val="el-GR"/>
        </w:rPr>
        <w:t xml:space="preserve"> </w:t>
      </w:r>
      <w:r>
        <w:rPr>
          <w:rFonts w:cstheme="minorHAnsi"/>
          <w:sz w:val="24"/>
          <w:szCs w:val="24"/>
          <w:lang w:val="el-GR"/>
        </w:rPr>
        <w:t>συνταγματική</w:t>
      </w:r>
      <w:r w:rsidRPr="00DB3E92">
        <w:rPr>
          <w:rFonts w:cstheme="minorHAnsi"/>
          <w:sz w:val="24"/>
          <w:szCs w:val="24"/>
          <w:lang w:val="el-GR"/>
        </w:rPr>
        <w:t xml:space="preserve"> </w:t>
      </w:r>
      <w:r>
        <w:rPr>
          <w:rFonts w:cstheme="minorHAnsi"/>
          <w:sz w:val="24"/>
          <w:szCs w:val="24"/>
          <w:lang w:val="el-GR"/>
        </w:rPr>
        <w:t>κρίση</w:t>
      </w:r>
      <w:r w:rsidRPr="00DB3E92">
        <w:rPr>
          <w:rFonts w:cstheme="minorHAnsi"/>
          <w:sz w:val="24"/>
          <w:szCs w:val="24"/>
          <w:lang w:val="el-GR"/>
        </w:rPr>
        <w:t xml:space="preserve"> </w:t>
      </w:r>
      <w:r>
        <w:rPr>
          <w:rFonts w:cstheme="minorHAnsi"/>
          <w:sz w:val="24"/>
          <w:szCs w:val="24"/>
          <w:lang w:val="el-GR"/>
        </w:rPr>
        <w:t>του</w:t>
      </w:r>
      <w:r w:rsidR="00A5147D" w:rsidRPr="00DB3E92">
        <w:rPr>
          <w:rFonts w:cstheme="minorHAnsi"/>
          <w:sz w:val="24"/>
          <w:szCs w:val="24"/>
          <w:lang w:val="el-GR"/>
        </w:rPr>
        <w:t xml:space="preserve"> 1964 </w:t>
      </w:r>
      <w:r>
        <w:rPr>
          <w:rFonts w:cstheme="minorHAnsi"/>
          <w:sz w:val="24"/>
          <w:szCs w:val="24"/>
          <w:lang w:val="el-GR"/>
        </w:rPr>
        <w:t>και</w:t>
      </w:r>
      <w:r w:rsidRPr="00DB3E92">
        <w:rPr>
          <w:rFonts w:cstheme="minorHAnsi"/>
          <w:sz w:val="24"/>
          <w:szCs w:val="24"/>
          <w:lang w:val="el-GR"/>
        </w:rPr>
        <w:t xml:space="preserve"> </w:t>
      </w:r>
      <w:r>
        <w:rPr>
          <w:rFonts w:cstheme="minorHAnsi"/>
          <w:sz w:val="24"/>
          <w:szCs w:val="24"/>
          <w:lang w:val="el-GR"/>
        </w:rPr>
        <w:t>η</w:t>
      </w:r>
      <w:r w:rsidR="00DB3E92" w:rsidRPr="00DB3E92">
        <w:rPr>
          <w:rFonts w:cstheme="minorHAnsi"/>
          <w:sz w:val="24"/>
          <w:szCs w:val="24"/>
          <w:lang w:val="el-GR"/>
        </w:rPr>
        <w:t xml:space="preserve"> </w:t>
      </w:r>
      <w:r w:rsidR="00DB3E92">
        <w:rPr>
          <w:rFonts w:cstheme="minorHAnsi"/>
          <w:sz w:val="24"/>
          <w:szCs w:val="24"/>
          <w:lang w:val="el-GR"/>
        </w:rPr>
        <w:t>επακόλουθη</w:t>
      </w:r>
      <w:r w:rsidR="00DB3E92" w:rsidRPr="00DB3E92">
        <w:rPr>
          <w:rFonts w:cstheme="minorHAnsi"/>
          <w:sz w:val="24"/>
          <w:szCs w:val="24"/>
          <w:lang w:val="el-GR"/>
        </w:rPr>
        <w:t xml:space="preserve"> </w:t>
      </w:r>
      <w:r w:rsidR="00DB3E92">
        <w:rPr>
          <w:rFonts w:cstheme="minorHAnsi"/>
          <w:sz w:val="24"/>
          <w:szCs w:val="24"/>
          <w:lang w:val="el-GR"/>
        </w:rPr>
        <w:t>εφαρμογή</w:t>
      </w:r>
      <w:r w:rsidR="00DB3E92" w:rsidRPr="00DB3E92">
        <w:rPr>
          <w:rFonts w:cstheme="minorHAnsi"/>
          <w:sz w:val="24"/>
          <w:szCs w:val="24"/>
          <w:lang w:val="el-GR"/>
        </w:rPr>
        <w:t xml:space="preserve"> </w:t>
      </w:r>
      <w:r w:rsidR="00DB3E92">
        <w:rPr>
          <w:rFonts w:cstheme="minorHAnsi"/>
          <w:sz w:val="24"/>
          <w:szCs w:val="24"/>
          <w:lang w:val="el-GR"/>
        </w:rPr>
        <w:t>του</w:t>
      </w:r>
      <w:r w:rsidR="00DB3E92" w:rsidRPr="00DB3E92">
        <w:rPr>
          <w:rFonts w:cstheme="minorHAnsi"/>
          <w:sz w:val="24"/>
          <w:szCs w:val="24"/>
          <w:lang w:val="el-GR"/>
        </w:rPr>
        <w:t xml:space="preserve"> </w:t>
      </w:r>
      <w:r w:rsidR="00DB3E92">
        <w:rPr>
          <w:rFonts w:cstheme="minorHAnsi"/>
          <w:sz w:val="24"/>
          <w:szCs w:val="24"/>
          <w:lang w:val="el-GR"/>
        </w:rPr>
        <w:t>Δικαίου</w:t>
      </w:r>
      <w:r w:rsidR="00DB3E92" w:rsidRPr="00DB3E92">
        <w:rPr>
          <w:rFonts w:cstheme="minorHAnsi"/>
          <w:sz w:val="24"/>
          <w:szCs w:val="24"/>
          <w:lang w:val="el-GR"/>
        </w:rPr>
        <w:t xml:space="preserve"> </w:t>
      </w:r>
      <w:r w:rsidR="00DB3E92">
        <w:rPr>
          <w:rFonts w:cstheme="minorHAnsi"/>
          <w:sz w:val="24"/>
          <w:szCs w:val="24"/>
          <w:lang w:val="el-GR"/>
        </w:rPr>
        <w:t>της</w:t>
      </w:r>
      <w:r w:rsidR="00DB3E92" w:rsidRPr="00DB3E92">
        <w:rPr>
          <w:rFonts w:cstheme="minorHAnsi"/>
          <w:sz w:val="24"/>
          <w:szCs w:val="24"/>
          <w:lang w:val="el-GR"/>
        </w:rPr>
        <w:t xml:space="preserve"> </w:t>
      </w:r>
      <w:r w:rsidR="00DB3E92">
        <w:rPr>
          <w:rFonts w:cstheme="minorHAnsi"/>
          <w:sz w:val="24"/>
          <w:szCs w:val="24"/>
          <w:lang w:val="el-GR"/>
        </w:rPr>
        <w:t>Ανάγκης</w:t>
      </w:r>
      <w:r w:rsidR="00A5147D" w:rsidRPr="00DB3E92">
        <w:rPr>
          <w:rFonts w:cstheme="minorHAnsi"/>
          <w:sz w:val="24"/>
          <w:szCs w:val="24"/>
          <w:lang w:val="el-GR"/>
        </w:rPr>
        <w:t xml:space="preserve"> </w:t>
      </w:r>
      <w:r w:rsidR="00DB3E92">
        <w:rPr>
          <w:rFonts w:cstheme="minorHAnsi"/>
          <w:sz w:val="24"/>
          <w:szCs w:val="24"/>
          <w:lang w:val="el-GR"/>
        </w:rPr>
        <w:t>είναι</w:t>
      </w:r>
      <w:r w:rsidR="00DB3E92" w:rsidRPr="00DB3E92">
        <w:rPr>
          <w:rFonts w:cstheme="minorHAnsi"/>
          <w:sz w:val="24"/>
          <w:szCs w:val="24"/>
          <w:lang w:val="el-GR"/>
        </w:rPr>
        <w:t xml:space="preserve"> </w:t>
      </w:r>
      <w:r w:rsidR="00DB3E92">
        <w:rPr>
          <w:rFonts w:cstheme="minorHAnsi"/>
          <w:sz w:val="24"/>
          <w:szCs w:val="24"/>
          <w:lang w:val="el-GR"/>
        </w:rPr>
        <w:t>ότι</w:t>
      </w:r>
      <w:r w:rsidR="00DB3E92" w:rsidRPr="00DB3E92">
        <w:rPr>
          <w:rFonts w:cstheme="minorHAnsi"/>
          <w:sz w:val="24"/>
          <w:szCs w:val="24"/>
          <w:lang w:val="el-GR"/>
        </w:rPr>
        <w:t xml:space="preserve"> </w:t>
      </w:r>
      <w:r w:rsidR="00DB3E92">
        <w:rPr>
          <w:rFonts w:cstheme="minorHAnsi"/>
          <w:sz w:val="24"/>
          <w:szCs w:val="24"/>
          <w:lang w:val="el-GR"/>
        </w:rPr>
        <w:t>οι</w:t>
      </w:r>
      <w:r w:rsidR="00DB3E92" w:rsidRPr="00DB3E92">
        <w:rPr>
          <w:rFonts w:cstheme="minorHAnsi"/>
          <w:sz w:val="24"/>
          <w:szCs w:val="24"/>
          <w:lang w:val="el-GR"/>
        </w:rPr>
        <w:t xml:space="preserve"> </w:t>
      </w:r>
      <w:r w:rsidR="00DB3E92">
        <w:rPr>
          <w:rFonts w:cstheme="minorHAnsi"/>
          <w:sz w:val="24"/>
          <w:szCs w:val="24"/>
          <w:lang w:val="el-GR"/>
        </w:rPr>
        <w:t>εξουσίες του Προέδρου της Κυπριακής Δημοκρατίας</w:t>
      </w:r>
      <w:r w:rsidR="00A5147D" w:rsidRPr="00DB3E92">
        <w:rPr>
          <w:rFonts w:cstheme="minorHAnsi"/>
          <w:sz w:val="24"/>
          <w:szCs w:val="24"/>
          <w:lang w:val="el-GR"/>
        </w:rPr>
        <w:t xml:space="preserve"> </w:t>
      </w:r>
      <w:r w:rsidR="00DB3E92">
        <w:rPr>
          <w:rFonts w:cstheme="minorHAnsi"/>
          <w:sz w:val="24"/>
          <w:szCs w:val="24"/>
          <w:lang w:val="el-GR"/>
        </w:rPr>
        <w:t>και αυτές του Αντι</w:t>
      </w:r>
      <w:r w:rsidR="00ED14DD">
        <w:rPr>
          <w:rFonts w:cstheme="minorHAnsi"/>
          <w:sz w:val="24"/>
          <w:szCs w:val="24"/>
          <w:lang w:val="el-GR"/>
        </w:rPr>
        <w:t>π</w:t>
      </w:r>
      <w:r w:rsidR="00DB3E92">
        <w:rPr>
          <w:rFonts w:cstheme="minorHAnsi"/>
          <w:sz w:val="24"/>
          <w:szCs w:val="24"/>
          <w:lang w:val="el-GR"/>
        </w:rPr>
        <w:t>ροέδρου έχουν αποτελεσματικά</w:t>
      </w:r>
      <w:r w:rsidR="00A5147D" w:rsidRPr="00DB3E92">
        <w:rPr>
          <w:rFonts w:cstheme="minorHAnsi"/>
          <w:sz w:val="24"/>
          <w:szCs w:val="24"/>
          <w:lang w:val="el-GR"/>
        </w:rPr>
        <w:t xml:space="preserve"> </w:t>
      </w:r>
      <w:r w:rsidR="00DB3E92">
        <w:rPr>
          <w:rFonts w:cstheme="minorHAnsi"/>
          <w:sz w:val="24"/>
          <w:szCs w:val="24"/>
          <w:lang w:val="el-GR"/>
        </w:rPr>
        <w:t>συγχωνευτεί υπό τις ε</w:t>
      </w:r>
      <w:r w:rsidR="003B41ED">
        <w:rPr>
          <w:rFonts w:cstheme="minorHAnsi"/>
          <w:sz w:val="24"/>
          <w:szCs w:val="24"/>
          <w:lang w:val="el-GR"/>
        </w:rPr>
        <w:t>ξ</w:t>
      </w:r>
      <w:r w:rsidR="00DB3E92">
        <w:rPr>
          <w:rFonts w:cstheme="minorHAnsi"/>
          <w:sz w:val="24"/>
          <w:szCs w:val="24"/>
          <w:lang w:val="el-GR"/>
        </w:rPr>
        <w:t>ουσίες του Προέδρου</w:t>
      </w:r>
      <w:r w:rsidR="00A5147D" w:rsidRPr="00DB3E92">
        <w:rPr>
          <w:rFonts w:cstheme="minorHAnsi"/>
          <w:sz w:val="24"/>
          <w:szCs w:val="24"/>
          <w:lang w:val="el-GR"/>
        </w:rPr>
        <w:t xml:space="preserve">. </w:t>
      </w:r>
      <w:r w:rsidR="00DB3E92">
        <w:rPr>
          <w:rFonts w:cstheme="minorHAnsi"/>
          <w:sz w:val="24"/>
          <w:szCs w:val="24"/>
          <w:lang w:val="el-GR"/>
        </w:rPr>
        <w:t>Αυτό</w:t>
      </w:r>
      <w:r w:rsidR="00DB3E92" w:rsidRPr="00DB3E92">
        <w:rPr>
          <w:rFonts w:cstheme="minorHAnsi"/>
          <w:sz w:val="24"/>
          <w:szCs w:val="24"/>
          <w:lang w:val="el-GR"/>
        </w:rPr>
        <w:t xml:space="preserve"> </w:t>
      </w:r>
      <w:r w:rsidR="00DB3E92">
        <w:rPr>
          <w:rFonts w:cstheme="minorHAnsi"/>
          <w:sz w:val="24"/>
          <w:szCs w:val="24"/>
          <w:lang w:val="el-GR"/>
        </w:rPr>
        <w:t>παρέχει</w:t>
      </w:r>
      <w:r w:rsidR="00DB3E92" w:rsidRPr="00DB3E92">
        <w:rPr>
          <w:rFonts w:cstheme="minorHAnsi"/>
          <w:sz w:val="24"/>
          <w:szCs w:val="24"/>
          <w:lang w:val="el-GR"/>
        </w:rPr>
        <w:t xml:space="preserve"> </w:t>
      </w:r>
      <w:r w:rsidR="00DB3E92">
        <w:rPr>
          <w:rFonts w:cstheme="minorHAnsi"/>
          <w:sz w:val="24"/>
          <w:szCs w:val="24"/>
          <w:lang w:val="el-GR"/>
        </w:rPr>
        <w:t>στον</w:t>
      </w:r>
      <w:r w:rsidR="00DB3E92" w:rsidRPr="00DB3E92">
        <w:rPr>
          <w:rFonts w:cstheme="minorHAnsi"/>
          <w:sz w:val="24"/>
          <w:szCs w:val="24"/>
          <w:lang w:val="el-GR"/>
        </w:rPr>
        <w:t xml:space="preserve"> </w:t>
      </w:r>
      <w:r w:rsidR="00DB3E92">
        <w:rPr>
          <w:rFonts w:cstheme="minorHAnsi"/>
          <w:sz w:val="24"/>
          <w:szCs w:val="24"/>
          <w:lang w:val="el-GR"/>
        </w:rPr>
        <w:t>Πρόεδρο</w:t>
      </w:r>
      <w:r w:rsidR="00DB3E92" w:rsidRPr="00DB3E92">
        <w:rPr>
          <w:rFonts w:cstheme="minorHAnsi"/>
          <w:sz w:val="24"/>
          <w:szCs w:val="24"/>
          <w:lang w:val="el-GR"/>
        </w:rPr>
        <w:t xml:space="preserve"> </w:t>
      </w:r>
      <w:r w:rsidR="00DB3E92">
        <w:rPr>
          <w:rFonts w:cstheme="minorHAnsi"/>
          <w:sz w:val="24"/>
          <w:szCs w:val="24"/>
          <w:lang w:val="el-GR"/>
        </w:rPr>
        <w:t>σημαντικές</w:t>
      </w:r>
      <w:r w:rsidR="00DB3E92" w:rsidRPr="00DB3E92">
        <w:rPr>
          <w:rFonts w:cstheme="minorHAnsi"/>
          <w:sz w:val="24"/>
          <w:szCs w:val="24"/>
          <w:lang w:val="el-GR"/>
        </w:rPr>
        <w:t xml:space="preserve"> </w:t>
      </w:r>
      <w:r w:rsidR="00DB3E92">
        <w:rPr>
          <w:rFonts w:cstheme="minorHAnsi"/>
          <w:sz w:val="24"/>
          <w:szCs w:val="24"/>
          <w:lang w:val="el-GR"/>
        </w:rPr>
        <w:t>εξουσίες</w:t>
      </w:r>
      <w:r w:rsidR="00A5147D" w:rsidRPr="00DB3E92">
        <w:rPr>
          <w:rFonts w:cstheme="minorHAnsi"/>
          <w:sz w:val="24"/>
          <w:szCs w:val="24"/>
          <w:lang w:val="el-GR"/>
        </w:rPr>
        <w:t xml:space="preserve">, </w:t>
      </w:r>
      <w:r w:rsidR="00DB3E92">
        <w:rPr>
          <w:rFonts w:cstheme="minorHAnsi"/>
          <w:sz w:val="24"/>
          <w:szCs w:val="24"/>
          <w:lang w:val="el-GR"/>
        </w:rPr>
        <w:t xml:space="preserve">που τον/ην θέτει σε μια </w:t>
      </w:r>
      <w:r w:rsidR="00973266">
        <w:rPr>
          <w:rFonts w:cstheme="minorHAnsi"/>
          <w:sz w:val="24"/>
          <w:szCs w:val="24"/>
          <w:lang w:val="el-GR"/>
        </w:rPr>
        <w:t>θέση</w:t>
      </w:r>
      <w:r w:rsidR="00DB3E92">
        <w:rPr>
          <w:rFonts w:cstheme="minorHAnsi"/>
          <w:sz w:val="24"/>
          <w:szCs w:val="24"/>
          <w:lang w:val="el-GR"/>
        </w:rPr>
        <w:t xml:space="preserve"> κυριαρχίας</w:t>
      </w:r>
      <w:r w:rsidR="00A5147D" w:rsidRPr="00DB3E92">
        <w:rPr>
          <w:rFonts w:cstheme="minorHAnsi"/>
          <w:sz w:val="24"/>
          <w:szCs w:val="24"/>
          <w:lang w:val="el-GR"/>
        </w:rPr>
        <w:t xml:space="preserve">. </w:t>
      </w:r>
      <w:r w:rsidR="00DB3E92">
        <w:rPr>
          <w:rFonts w:cstheme="minorHAnsi"/>
          <w:sz w:val="24"/>
          <w:szCs w:val="24"/>
          <w:lang w:val="el-GR"/>
        </w:rPr>
        <w:t>Αυτό</w:t>
      </w:r>
      <w:r w:rsidR="00DB3E92" w:rsidRPr="00DB3E92">
        <w:rPr>
          <w:rFonts w:cstheme="minorHAnsi"/>
          <w:sz w:val="24"/>
          <w:szCs w:val="24"/>
          <w:lang w:val="el-GR"/>
        </w:rPr>
        <w:t xml:space="preserve"> </w:t>
      </w:r>
      <w:r w:rsidR="00DB3E92">
        <w:rPr>
          <w:rFonts w:cstheme="minorHAnsi"/>
          <w:sz w:val="24"/>
          <w:szCs w:val="24"/>
          <w:lang w:val="el-GR"/>
        </w:rPr>
        <w:t>απαιτεί</w:t>
      </w:r>
      <w:r w:rsidR="00DB3E92" w:rsidRPr="00DB3E92">
        <w:rPr>
          <w:rFonts w:cstheme="minorHAnsi"/>
          <w:sz w:val="24"/>
          <w:szCs w:val="24"/>
          <w:lang w:val="el-GR"/>
        </w:rPr>
        <w:t xml:space="preserve"> </w:t>
      </w:r>
      <w:r w:rsidR="00DB3E92">
        <w:rPr>
          <w:rFonts w:cstheme="minorHAnsi"/>
          <w:sz w:val="24"/>
          <w:szCs w:val="24"/>
          <w:lang w:val="el-GR"/>
        </w:rPr>
        <w:t>ένα</w:t>
      </w:r>
      <w:r w:rsidR="00DB3E92" w:rsidRPr="00DB3E92">
        <w:rPr>
          <w:rFonts w:cstheme="minorHAnsi"/>
          <w:sz w:val="24"/>
          <w:szCs w:val="24"/>
          <w:lang w:val="el-GR"/>
        </w:rPr>
        <w:t xml:space="preserve"> </w:t>
      </w:r>
      <w:r w:rsidR="00DB3E92">
        <w:rPr>
          <w:rFonts w:cstheme="minorHAnsi"/>
          <w:sz w:val="24"/>
          <w:szCs w:val="24"/>
          <w:lang w:val="el-GR"/>
        </w:rPr>
        <w:t>αποτελεσματικό</w:t>
      </w:r>
      <w:r w:rsidR="00DB3E92" w:rsidRPr="00DB3E92">
        <w:rPr>
          <w:rFonts w:cstheme="minorHAnsi"/>
          <w:sz w:val="24"/>
          <w:szCs w:val="24"/>
          <w:lang w:val="el-GR"/>
        </w:rPr>
        <w:t xml:space="preserve"> </w:t>
      </w:r>
      <w:r w:rsidR="00DB3E92">
        <w:rPr>
          <w:rFonts w:cstheme="minorHAnsi"/>
          <w:sz w:val="24"/>
          <w:szCs w:val="24"/>
          <w:lang w:val="el-GR"/>
        </w:rPr>
        <w:t>σύστημα</w:t>
      </w:r>
      <w:r w:rsidR="00A5147D" w:rsidRPr="00DB3E92">
        <w:rPr>
          <w:rFonts w:cstheme="minorHAnsi"/>
          <w:sz w:val="24"/>
          <w:szCs w:val="24"/>
          <w:lang w:val="el-GR"/>
        </w:rPr>
        <w:t xml:space="preserve"> </w:t>
      </w:r>
      <w:r w:rsidR="00DB3E92">
        <w:rPr>
          <w:rFonts w:cstheme="minorHAnsi"/>
          <w:sz w:val="24"/>
          <w:szCs w:val="24"/>
          <w:lang w:val="el-GR"/>
        </w:rPr>
        <w:t>ελέγχων</w:t>
      </w:r>
      <w:r w:rsidR="00DB3E92" w:rsidRPr="00DB3E92">
        <w:rPr>
          <w:rFonts w:cstheme="minorHAnsi"/>
          <w:sz w:val="24"/>
          <w:szCs w:val="24"/>
          <w:lang w:val="el-GR"/>
        </w:rPr>
        <w:t xml:space="preserve"> </w:t>
      </w:r>
      <w:r w:rsidR="00DB3E92">
        <w:rPr>
          <w:rFonts w:cstheme="minorHAnsi"/>
          <w:sz w:val="24"/>
          <w:szCs w:val="24"/>
          <w:lang w:val="el-GR"/>
        </w:rPr>
        <w:t>και</w:t>
      </w:r>
      <w:r w:rsidR="00DB3E92" w:rsidRPr="00DB3E92">
        <w:rPr>
          <w:rFonts w:cstheme="minorHAnsi"/>
          <w:sz w:val="24"/>
          <w:szCs w:val="24"/>
          <w:lang w:val="el-GR"/>
        </w:rPr>
        <w:t xml:space="preserve"> </w:t>
      </w:r>
      <w:r w:rsidR="00DB3E92">
        <w:rPr>
          <w:rFonts w:cstheme="minorHAnsi"/>
          <w:sz w:val="24"/>
          <w:szCs w:val="24"/>
          <w:lang w:val="el-GR"/>
        </w:rPr>
        <w:t>ισοζυγ</w:t>
      </w:r>
      <w:r w:rsidR="003B41ED">
        <w:rPr>
          <w:rFonts w:cstheme="minorHAnsi"/>
          <w:sz w:val="24"/>
          <w:szCs w:val="24"/>
          <w:lang w:val="el-GR"/>
        </w:rPr>
        <w:t>ιώ</w:t>
      </w:r>
      <w:r w:rsidR="00DB3E92">
        <w:rPr>
          <w:rFonts w:cstheme="minorHAnsi"/>
          <w:sz w:val="24"/>
          <w:szCs w:val="24"/>
          <w:lang w:val="el-GR"/>
        </w:rPr>
        <w:t>ν</w:t>
      </w:r>
      <w:r w:rsidR="00DB3E92" w:rsidRPr="00DB3E92">
        <w:rPr>
          <w:rFonts w:cstheme="minorHAnsi"/>
          <w:sz w:val="24"/>
          <w:szCs w:val="24"/>
          <w:lang w:val="el-GR"/>
        </w:rPr>
        <w:t xml:space="preserve"> </w:t>
      </w:r>
      <w:r w:rsidR="005579E1">
        <w:rPr>
          <w:rFonts w:cstheme="minorHAnsi"/>
          <w:sz w:val="24"/>
          <w:szCs w:val="24"/>
          <w:lang w:val="el-GR"/>
        </w:rPr>
        <w:t xml:space="preserve">το οποίο θα επιτρέπει λογοδοσία για τον Πρόεδρο </w:t>
      </w:r>
      <w:r w:rsidR="00A5147D" w:rsidRPr="00DB3E92">
        <w:rPr>
          <w:rFonts w:cstheme="minorHAnsi"/>
          <w:sz w:val="24"/>
          <w:szCs w:val="24"/>
          <w:lang w:val="el-GR"/>
        </w:rPr>
        <w:t>(</w:t>
      </w:r>
      <w:r w:rsidR="00DB3E92">
        <w:rPr>
          <w:rFonts w:cstheme="minorHAnsi"/>
          <w:sz w:val="24"/>
          <w:szCs w:val="24"/>
          <w:lang w:val="el-GR"/>
        </w:rPr>
        <w:t>βλέπε επίσης</w:t>
      </w:r>
      <w:r w:rsidR="00A5147D" w:rsidRPr="00DB3E92">
        <w:rPr>
          <w:rFonts w:cstheme="minorHAnsi"/>
          <w:sz w:val="24"/>
          <w:szCs w:val="24"/>
          <w:lang w:val="el-GR"/>
        </w:rPr>
        <w:t xml:space="preserve"> </w:t>
      </w:r>
      <w:r w:rsidR="00DB3E92">
        <w:rPr>
          <w:rFonts w:cstheme="minorHAnsi"/>
          <w:sz w:val="24"/>
          <w:szCs w:val="24"/>
          <w:lang w:val="el-GR"/>
        </w:rPr>
        <w:t xml:space="preserve">την ενότητα για την επισκόπηση και </w:t>
      </w:r>
      <w:r w:rsidR="005579E1">
        <w:rPr>
          <w:rFonts w:cstheme="minorHAnsi"/>
          <w:sz w:val="24"/>
          <w:szCs w:val="24"/>
          <w:lang w:val="el-GR"/>
        </w:rPr>
        <w:t>τους μηχανισμούς επιβολής</w:t>
      </w:r>
      <w:r w:rsidR="00A5147D" w:rsidRPr="00DB3E92">
        <w:rPr>
          <w:rFonts w:cstheme="minorHAnsi"/>
          <w:sz w:val="24"/>
          <w:szCs w:val="24"/>
          <w:lang w:val="el-GR"/>
        </w:rPr>
        <w:t xml:space="preserve">). </w:t>
      </w:r>
      <w:r w:rsidR="00DB3E92">
        <w:rPr>
          <w:rFonts w:cstheme="minorHAnsi"/>
          <w:sz w:val="24"/>
          <w:szCs w:val="24"/>
          <w:lang w:val="el-GR"/>
        </w:rPr>
        <w:t>Η</w:t>
      </w:r>
      <w:r w:rsidR="00A5147D" w:rsidRPr="00DB3E92">
        <w:rPr>
          <w:rFonts w:cstheme="minorHAnsi"/>
          <w:sz w:val="24"/>
          <w:szCs w:val="24"/>
          <w:lang w:val="el-GR"/>
        </w:rPr>
        <w:t xml:space="preserve"> </w:t>
      </w:r>
      <w:r w:rsidR="00A5147D" w:rsidRPr="004E251E">
        <w:rPr>
          <w:rFonts w:cstheme="minorHAnsi"/>
          <w:sz w:val="24"/>
          <w:szCs w:val="24"/>
        </w:rPr>
        <w:t>GET</w:t>
      </w:r>
      <w:r w:rsidR="00A5147D" w:rsidRPr="00DB3E92">
        <w:rPr>
          <w:rFonts w:cstheme="minorHAnsi"/>
          <w:sz w:val="24"/>
          <w:szCs w:val="24"/>
          <w:lang w:val="el-GR"/>
        </w:rPr>
        <w:t xml:space="preserve"> </w:t>
      </w:r>
      <w:r w:rsidR="00DB3E92">
        <w:rPr>
          <w:rFonts w:cstheme="minorHAnsi"/>
          <w:sz w:val="24"/>
          <w:szCs w:val="24"/>
          <w:lang w:val="el-GR"/>
        </w:rPr>
        <w:t>πιστεύει</w:t>
      </w:r>
      <w:r w:rsidR="00DB3E92" w:rsidRPr="00DB3E92">
        <w:rPr>
          <w:rFonts w:cstheme="minorHAnsi"/>
          <w:sz w:val="24"/>
          <w:szCs w:val="24"/>
          <w:lang w:val="el-GR"/>
        </w:rPr>
        <w:t xml:space="preserve"> </w:t>
      </w:r>
      <w:r w:rsidR="00DB3E92">
        <w:rPr>
          <w:rFonts w:cstheme="minorHAnsi"/>
          <w:sz w:val="24"/>
          <w:szCs w:val="24"/>
          <w:lang w:val="el-GR"/>
        </w:rPr>
        <w:t>ότι</w:t>
      </w:r>
      <w:r w:rsidR="00DB3E92" w:rsidRPr="00DB3E92">
        <w:rPr>
          <w:rFonts w:cstheme="minorHAnsi"/>
          <w:sz w:val="24"/>
          <w:szCs w:val="24"/>
          <w:lang w:val="el-GR"/>
        </w:rPr>
        <w:t xml:space="preserve"> </w:t>
      </w:r>
      <w:r w:rsidR="00DB3E92">
        <w:rPr>
          <w:rFonts w:cstheme="minorHAnsi"/>
          <w:sz w:val="24"/>
          <w:szCs w:val="24"/>
          <w:lang w:val="el-GR"/>
        </w:rPr>
        <w:t>οι</w:t>
      </w:r>
      <w:r w:rsidR="00DB3E92" w:rsidRPr="00DB3E92">
        <w:rPr>
          <w:rFonts w:cstheme="minorHAnsi"/>
          <w:sz w:val="24"/>
          <w:szCs w:val="24"/>
          <w:lang w:val="el-GR"/>
        </w:rPr>
        <w:t xml:space="preserve"> </w:t>
      </w:r>
      <w:r w:rsidR="00DB3E92">
        <w:rPr>
          <w:rFonts w:cstheme="minorHAnsi"/>
          <w:sz w:val="24"/>
          <w:szCs w:val="24"/>
          <w:lang w:val="el-GR"/>
        </w:rPr>
        <w:t>συστάσεις</w:t>
      </w:r>
      <w:r w:rsidR="00DB3E92" w:rsidRPr="00DB3E92">
        <w:rPr>
          <w:rFonts w:cstheme="minorHAnsi"/>
          <w:sz w:val="24"/>
          <w:szCs w:val="24"/>
          <w:lang w:val="el-GR"/>
        </w:rPr>
        <w:t xml:space="preserve"> </w:t>
      </w:r>
      <w:r w:rsidR="00DB3E92">
        <w:rPr>
          <w:rFonts w:cstheme="minorHAnsi"/>
          <w:sz w:val="24"/>
          <w:szCs w:val="24"/>
          <w:lang w:val="el-GR"/>
        </w:rPr>
        <w:t>που</w:t>
      </w:r>
      <w:r w:rsidR="00DB3E92" w:rsidRPr="00DB3E92">
        <w:rPr>
          <w:rFonts w:cstheme="minorHAnsi"/>
          <w:sz w:val="24"/>
          <w:szCs w:val="24"/>
          <w:lang w:val="el-GR"/>
        </w:rPr>
        <w:t xml:space="preserve"> </w:t>
      </w:r>
      <w:r w:rsidR="00DB3E92">
        <w:rPr>
          <w:rFonts w:cstheme="minorHAnsi"/>
          <w:sz w:val="24"/>
          <w:szCs w:val="24"/>
          <w:lang w:val="el-GR"/>
        </w:rPr>
        <w:t>πε</w:t>
      </w:r>
      <w:r w:rsidR="003B41ED">
        <w:rPr>
          <w:rFonts w:cstheme="minorHAnsi"/>
          <w:sz w:val="24"/>
          <w:szCs w:val="24"/>
          <w:lang w:val="el-GR"/>
        </w:rPr>
        <w:t>ρ</w:t>
      </w:r>
      <w:r w:rsidR="00DB3E92">
        <w:rPr>
          <w:rFonts w:cstheme="minorHAnsi"/>
          <w:sz w:val="24"/>
          <w:szCs w:val="24"/>
          <w:lang w:val="el-GR"/>
        </w:rPr>
        <w:t>ιλαμβάνονται</w:t>
      </w:r>
      <w:r w:rsidR="00DB3E92" w:rsidRPr="00DB3E92">
        <w:rPr>
          <w:rFonts w:cstheme="minorHAnsi"/>
          <w:sz w:val="24"/>
          <w:szCs w:val="24"/>
          <w:lang w:val="el-GR"/>
        </w:rPr>
        <w:t xml:space="preserve"> </w:t>
      </w:r>
      <w:r w:rsidR="00DB3E92">
        <w:rPr>
          <w:rFonts w:cstheme="minorHAnsi"/>
          <w:sz w:val="24"/>
          <w:szCs w:val="24"/>
          <w:lang w:val="el-GR"/>
        </w:rPr>
        <w:t>στην</w:t>
      </w:r>
      <w:r w:rsidR="00DB3E92" w:rsidRPr="00DB3E92">
        <w:rPr>
          <w:rFonts w:cstheme="minorHAnsi"/>
          <w:sz w:val="24"/>
          <w:szCs w:val="24"/>
          <w:lang w:val="el-GR"/>
        </w:rPr>
        <w:t xml:space="preserve"> </w:t>
      </w:r>
      <w:r w:rsidR="007F5FAE">
        <w:rPr>
          <w:rFonts w:cstheme="minorHAnsi"/>
          <w:sz w:val="24"/>
          <w:szCs w:val="24"/>
          <w:lang w:val="el-GR"/>
        </w:rPr>
        <w:t xml:space="preserve">έκθεση </w:t>
      </w:r>
      <w:r w:rsidR="00DB3E92">
        <w:rPr>
          <w:rFonts w:cstheme="minorHAnsi"/>
          <w:sz w:val="24"/>
          <w:szCs w:val="24"/>
          <w:lang w:val="el-GR"/>
        </w:rPr>
        <w:t>αυτή</w:t>
      </w:r>
      <w:r w:rsidR="00A5147D" w:rsidRPr="00DB3E92">
        <w:rPr>
          <w:rFonts w:cstheme="minorHAnsi"/>
          <w:sz w:val="24"/>
          <w:szCs w:val="24"/>
          <w:lang w:val="el-GR"/>
        </w:rPr>
        <w:t xml:space="preserve"> </w:t>
      </w:r>
      <w:r w:rsidR="003B41ED">
        <w:rPr>
          <w:rFonts w:cstheme="minorHAnsi"/>
          <w:sz w:val="24"/>
          <w:szCs w:val="24"/>
          <w:lang w:val="el-GR"/>
        </w:rPr>
        <w:t>θα ενισχύσουν</w:t>
      </w:r>
      <w:r w:rsidR="00DB3E92">
        <w:rPr>
          <w:rFonts w:cstheme="minorHAnsi"/>
          <w:sz w:val="24"/>
          <w:szCs w:val="24"/>
          <w:lang w:val="el-GR"/>
        </w:rPr>
        <w:t xml:space="preserve"> </w:t>
      </w:r>
      <w:r w:rsidR="00973266">
        <w:rPr>
          <w:rFonts w:cstheme="minorHAnsi"/>
          <w:sz w:val="24"/>
          <w:szCs w:val="24"/>
          <w:lang w:val="el-GR"/>
        </w:rPr>
        <w:t>περαιτέρω</w:t>
      </w:r>
      <w:r w:rsidR="00DB3E92">
        <w:rPr>
          <w:rFonts w:cstheme="minorHAnsi"/>
          <w:sz w:val="24"/>
          <w:szCs w:val="24"/>
          <w:lang w:val="el-GR"/>
        </w:rPr>
        <w:t xml:space="preserve"> το παρόν σύστημα</w:t>
      </w:r>
      <w:r w:rsidR="00A5147D" w:rsidRPr="00DB3E92">
        <w:rPr>
          <w:rFonts w:cstheme="minorHAnsi"/>
          <w:sz w:val="24"/>
          <w:szCs w:val="24"/>
          <w:lang w:val="el-GR"/>
        </w:rPr>
        <w:t xml:space="preserve">.  </w:t>
      </w:r>
    </w:p>
    <w:p w14:paraId="29934722" w14:textId="77777777" w:rsidR="00A5147D" w:rsidRPr="00DB3E92" w:rsidRDefault="00A5147D" w:rsidP="00A5147D">
      <w:pPr>
        <w:tabs>
          <w:tab w:val="left" w:pos="709"/>
        </w:tabs>
        <w:rPr>
          <w:rFonts w:cs="Calibri"/>
          <w:sz w:val="24"/>
          <w:szCs w:val="24"/>
          <w:lang w:val="el-GR"/>
        </w:rPr>
      </w:pPr>
    </w:p>
    <w:p w14:paraId="121CAAB0" w14:textId="2E09CDD3" w:rsidR="00A5147D" w:rsidRPr="004E251E" w:rsidRDefault="00DB3E92" w:rsidP="00A5147D">
      <w:pPr>
        <w:pStyle w:val="Heading3"/>
        <w:spacing w:before="0"/>
        <w:rPr>
          <w:rFonts w:asciiTheme="minorHAnsi" w:hAnsiTheme="minorHAnsi" w:cstheme="minorHAnsi"/>
          <w:b w:val="0"/>
          <w:bCs w:val="0"/>
          <w:i/>
          <w:iCs/>
          <w:color w:val="auto"/>
          <w:sz w:val="24"/>
          <w:szCs w:val="24"/>
        </w:rPr>
      </w:pPr>
      <w:bookmarkStart w:id="37" w:name="_Toc136879340"/>
      <w:r>
        <w:rPr>
          <w:rFonts w:asciiTheme="minorHAnsi" w:hAnsiTheme="minorHAnsi" w:cstheme="minorHAnsi"/>
          <w:b w:val="0"/>
          <w:bCs w:val="0"/>
          <w:i/>
          <w:iCs/>
          <w:color w:val="auto"/>
          <w:sz w:val="24"/>
          <w:szCs w:val="24"/>
          <w:lang w:val="el-GR"/>
        </w:rPr>
        <w:t>Η Κυβέρνηση</w:t>
      </w:r>
      <w:bookmarkEnd w:id="37"/>
      <w:r w:rsidR="00A5147D" w:rsidRPr="004E251E">
        <w:rPr>
          <w:rFonts w:asciiTheme="minorHAnsi" w:hAnsiTheme="minorHAnsi" w:cstheme="minorHAnsi"/>
          <w:b w:val="0"/>
          <w:bCs w:val="0"/>
          <w:i/>
          <w:iCs/>
          <w:color w:val="auto"/>
          <w:sz w:val="24"/>
          <w:szCs w:val="24"/>
        </w:rPr>
        <w:t xml:space="preserve"> </w:t>
      </w:r>
    </w:p>
    <w:p w14:paraId="70CCD26A" w14:textId="77777777" w:rsidR="00A5147D" w:rsidRPr="004E251E" w:rsidRDefault="00A5147D" w:rsidP="00A5147D">
      <w:pPr>
        <w:keepNext/>
        <w:tabs>
          <w:tab w:val="left" w:pos="709"/>
        </w:tabs>
        <w:rPr>
          <w:rFonts w:eastAsia="Times New Roman" w:cstheme="minorHAnsi"/>
          <w:b/>
          <w:bCs/>
          <w:sz w:val="24"/>
          <w:szCs w:val="24"/>
          <w:lang w:eastAsia="fr-FR"/>
        </w:rPr>
      </w:pPr>
    </w:p>
    <w:p w14:paraId="7CB11A59" w14:textId="73689FE3" w:rsidR="00A5147D" w:rsidRPr="00355C37" w:rsidRDefault="00DB3E92" w:rsidP="00A5147D">
      <w:pPr>
        <w:keepNext/>
        <w:numPr>
          <w:ilvl w:val="0"/>
          <w:numId w:val="1"/>
        </w:numPr>
        <w:tabs>
          <w:tab w:val="clear" w:pos="6095"/>
          <w:tab w:val="left" w:pos="709"/>
        </w:tabs>
        <w:ind w:left="0" w:firstLine="0"/>
        <w:rPr>
          <w:rFonts w:cstheme="minorHAnsi"/>
          <w:sz w:val="24"/>
          <w:szCs w:val="24"/>
          <w:lang w:val="el-GR"/>
        </w:rPr>
      </w:pPr>
      <w:r>
        <w:rPr>
          <w:rFonts w:cs="Calibri"/>
          <w:sz w:val="24"/>
          <w:szCs w:val="24"/>
          <w:lang w:val="el-GR"/>
        </w:rPr>
        <w:t>Το</w:t>
      </w:r>
      <w:r w:rsidR="00A5147D" w:rsidRPr="00DB3E92">
        <w:rPr>
          <w:rFonts w:cs="Calibri"/>
          <w:sz w:val="24"/>
          <w:szCs w:val="24"/>
          <w:lang w:val="el-GR"/>
        </w:rPr>
        <w:t xml:space="preserve"> </w:t>
      </w:r>
      <w:r>
        <w:rPr>
          <w:rFonts w:cs="Calibri"/>
          <w:sz w:val="24"/>
          <w:szCs w:val="24"/>
          <w:u w:val="single"/>
          <w:lang w:val="el-GR"/>
        </w:rPr>
        <w:t>Υπουργικό</w:t>
      </w:r>
      <w:r w:rsidRPr="00DB3E92">
        <w:rPr>
          <w:rFonts w:cs="Calibri"/>
          <w:sz w:val="24"/>
          <w:szCs w:val="24"/>
          <w:u w:val="single"/>
          <w:lang w:val="el-GR"/>
        </w:rPr>
        <w:t xml:space="preserve"> </w:t>
      </w:r>
      <w:r>
        <w:rPr>
          <w:rFonts w:cs="Calibri"/>
          <w:sz w:val="24"/>
          <w:szCs w:val="24"/>
          <w:u w:val="single"/>
          <w:lang w:val="el-GR"/>
        </w:rPr>
        <w:t>Συμβούλιο</w:t>
      </w:r>
      <w:r w:rsidR="00A5147D" w:rsidRPr="00DB3E92">
        <w:rPr>
          <w:rFonts w:cs="Calibri"/>
          <w:sz w:val="24"/>
          <w:szCs w:val="24"/>
          <w:lang w:val="el-GR"/>
        </w:rPr>
        <w:t xml:space="preserve"> </w:t>
      </w:r>
      <w:r>
        <w:rPr>
          <w:rFonts w:cs="Calibri"/>
          <w:sz w:val="24"/>
          <w:szCs w:val="24"/>
          <w:lang w:val="el-GR"/>
        </w:rPr>
        <w:t>ασκεί</w:t>
      </w:r>
      <w:r w:rsidRPr="00DB3E92">
        <w:rPr>
          <w:rFonts w:cs="Calibri"/>
          <w:sz w:val="24"/>
          <w:szCs w:val="24"/>
          <w:lang w:val="el-GR"/>
        </w:rPr>
        <w:t xml:space="preserve"> </w:t>
      </w:r>
      <w:r>
        <w:rPr>
          <w:rFonts w:cs="Calibri"/>
          <w:sz w:val="24"/>
          <w:szCs w:val="24"/>
          <w:lang w:val="el-GR"/>
        </w:rPr>
        <w:t>εκτελεστική</w:t>
      </w:r>
      <w:r w:rsidRPr="00DB3E92">
        <w:rPr>
          <w:rFonts w:cs="Calibri"/>
          <w:sz w:val="24"/>
          <w:szCs w:val="24"/>
          <w:lang w:val="el-GR"/>
        </w:rPr>
        <w:t xml:space="preserve"> </w:t>
      </w:r>
      <w:r>
        <w:rPr>
          <w:rFonts w:cs="Calibri"/>
          <w:sz w:val="24"/>
          <w:szCs w:val="24"/>
          <w:lang w:val="el-GR"/>
        </w:rPr>
        <w:t>εξουσία</w:t>
      </w:r>
      <w:r w:rsidR="00A5147D" w:rsidRPr="00DB3E92">
        <w:rPr>
          <w:rFonts w:cstheme="minorHAnsi"/>
          <w:sz w:val="24"/>
          <w:szCs w:val="24"/>
          <w:lang w:val="el-GR"/>
        </w:rPr>
        <w:t xml:space="preserve"> </w:t>
      </w:r>
      <w:r>
        <w:rPr>
          <w:rFonts w:cstheme="minorHAnsi"/>
          <w:sz w:val="24"/>
          <w:szCs w:val="24"/>
          <w:lang w:val="el-GR"/>
        </w:rPr>
        <w:t>σε</w:t>
      </w:r>
      <w:r w:rsidRPr="00DB3E92">
        <w:rPr>
          <w:rFonts w:cstheme="minorHAnsi"/>
          <w:sz w:val="24"/>
          <w:szCs w:val="24"/>
          <w:lang w:val="el-GR"/>
        </w:rPr>
        <w:t xml:space="preserve"> </w:t>
      </w:r>
      <w:r>
        <w:rPr>
          <w:rFonts w:cstheme="minorHAnsi"/>
          <w:sz w:val="24"/>
          <w:szCs w:val="24"/>
          <w:lang w:val="el-GR"/>
        </w:rPr>
        <w:t>όλα</w:t>
      </w:r>
      <w:r w:rsidRPr="00DB3E92">
        <w:rPr>
          <w:rFonts w:cstheme="minorHAnsi"/>
          <w:sz w:val="24"/>
          <w:szCs w:val="24"/>
          <w:lang w:val="el-GR"/>
        </w:rPr>
        <w:t xml:space="preserve"> </w:t>
      </w:r>
      <w:r>
        <w:rPr>
          <w:rFonts w:cstheme="minorHAnsi"/>
          <w:sz w:val="24"/>
          <w:szCs w:val="24"/>
          <w:lang w:val="el-GR"/>
        </w:rPr>
        <w:t>τα</w:t>
      </w:r>
      <w:r w:rsidRPr="00DB3E92">
        <w:rPr>
          <w:rFonts w:cstheme="minorHAnsi"/>
          <w:sz w:val="24"/>
          <w:szCs w:val="24"/>
          <w:lang w:val="el-GR"/>
        </w:rPr>
        <w:t xml:space="preserve"> </w:t>
      </w:r>
      <w:r>
        <w:rPr>
          <w:rFonts w:cstheme="minorHAnsi"/>
          <w:sz w:val="24"/>
          <w:szCs w:val="24"/>
          <w:lang w:val="el-GR"/>
        </w:rPr>
        <w:t>θέματα</w:t>
      </w:r>
      <w:r w:rsidR="00A5147D" w:rsidRPr="00DB3E92">
        <w:rPr>
          <w:rFonts w:cstheme="minorHAnsi"/>
          <w:sz w:val="24"/>
          <w:szCs w:val="24"/>
          <w:lang w:val="el-GR"/>
        </w:rPr>
        <w:t xml:space="preserve"> </w:t>
      </w:r>
      <w:r>
        <w:rPr>
          <w:rFonts w:cstheme="minorHAnsi"/>
          <w:sz w:val="24"/>
          <w:szCs w:val="24"/>
          <w:lang w:val="el-GR"/>
        </w:rPr>
        <w:t>εκτός</w:t>
      </w:r>
      <w:r w:rsidRPr="00DB3E92">
        <w:rPr>
          <w:rFonts w:cstheme="minorHAnsi"/>
          <w:sz w:val="24"/>
          <w:szCs w:val="24"/>
          <w:lang w:val="el-GR"/>
        </w:rPr>
        <w:t xml:space="preserve"> </w:t>
      </w:r>
      <w:r w:rsidR="003B41ED">
        <w:rPr>
          <w:rFonts w:cstheme="minorHAnsi"/>
          <w:sz w:val="24"/>
          <w:szCs w:val="24"/>
          <w:lang w:val="el-GR"/>
        </w:rPr>
        <w:t xml:space="preserve">από </w:t>
      </w:r>
      <w:r>
        <w:rPr>
          <w:rFonts w:cstheme="minorHAnsi"/>
          <w:sz w:val="24"/>
          <w:szCs w:val="24"/>
          <w:lang w:val="el-GR"/>
        </w:rPr>
        <w:t>αυτά</w:t>
      </w:r>
      <w:r w:rsidRPr="00DB3E92">
        <w:rPr>
          <w:rFonts w:cstheme="minorHAnsi"/>
          <w:sz w:val="24"/>
          <w:szCs w:val="24"/>
          <w:lang w:val="el-GR"/>
        </w:rPr>
        <w:t xml:space="preserve"> </w:t>
      </w:r>
      <w:r>
        <w:rPr>
          <w:rFonts w:cstheme="minorHAnsi"/>
          <w:sz w:val="24"/>
          <w:szCs w:val="24"/>
          <w:lang w:val="el-GR"/>
        </w:rPr>
        <w:t>που</w:t>
      </w:r>
      <w:r w:rsidRPr="00DB3E92">
        <w:rPr>
          <w:rFonts w:cstheme="minorHAnsi"/>
          <w:sz w:val="24"/>
          <w:szCs w:val="24"/>
          <w:lang w:val="el-GR"/>
        </w:rPr>
        <w:t xml:space="preserve"> </w:t>
      </w:r>
      <w:r w:rsidR="005579E1">
        <w:rPr>
          <w:rFonts w:cstheme="minorHAnsi"/>
          <w:sz w:val="24"/>
          <w:szCs w:val="24"/>
          <w:lang w:val="el-GR"/>
        </w:rPr>
        <w:t xml:space="preserve">διαφυλάσσονται </w:t>
      </w:r>
      <w:r>
        <w:rPr>
          <w:rFonts w:cstheme="minorHAnsi"/>
          <w:sz w:val="24"/>
          <w:szCs w:val="24"/>
          <w:lang w:val="el-GR"/>
        </w:rPr>
        <w:t>ρητά</w:t>
      </w:r>
      <w:r w:rsidRPr="00DB3E92">
        <w:rPr>
          <w:rFonts w:cstheme="minorHAnsi"/>
          <w:sz w:val="24"/>
          <w:szCs w:val="24"/>
          <w:lang w:val="el-GR"/>
        </w:rPr>
        <w:t xml:space="preserve"> </w:t>
      </w:r>
      <w:r>
        <w:rPr>
          <w:rFonts w:cstheme="minorHAnsi"/>
          <w:sz w:val="24"/>
          <w:szCs w:val="24"/>
          <w:lang w:val="el-GR"/>
        </w:rPr>
        <w:t>για</w:t>
      </w:r>
      <w:r w:rsidRPr="00DB3E92">
        <w:rPr>
          <w:rFonts w:cstheme="minorHAnsi"/>
          <w:sz w:val="24"/>
          <w:szCs w:val="24"/>
          <w:lang w:val="el-GR"/>
        </w:rPr>
        <w:t xml:space="preserve"> </w:t>
      </w:r>
      <w:r>
        <w:rPr>
          <w:rFonts w:cstheme="minorHAnsi"/>
          <w:sz w:val="24"/>
          <w:szCs w:val="24"/>
          <w:lang w:val="el-GR"/>
        </w:rPr>
        <w:t>τον</w:t>
      </w:r>
      <w:r w:rsidRPr="00DB3E92">
        <w:rPr>
          <w:rFonts w:cstheme="minorHAnsi"/>
          <w:sz w:val="24"/>
          <w:szCs w:val="24"/>
          <w:lang w:val="el-GR"/>
        </w:rPr>
        <w:t xml:space="preserve"> </w:t>
      </w:r>
      <w:r>
        <w:rPr>
          <w:rFonts w:cstheme="minorHAnsi"/>
          <w:sz w:val="24"/>
          <w:szCs w:val="24"/>
          <w:lang w:val="el-GR"/>
        </w:rPr>
        <w:t>Πρόεδρο</w:t>
      </w:r>
      <w:r w:rsidRPr="00DB3E92">
        <w:rPr>
          <w:rFonts w:cstheme="minorHAnsi"/>
          <w:sz w:val="24"/>
          <w:szCs w:val="24"/>
          <w:lang w:val="el-GR"/>
        </w:rPr>
        <w:t xml:space="preserve"> </w:t>
      </w:r>
      <w:r>
        <w:rPr>
          <w:rFonts w:cstheme="minorHAnsi"/>
          <w:sz w:val="24"/>
          <w:szCs w:val="24"/>
          <w:lang w:val="el-GR"/>
        </w:rPr>
        <w:t>της</w:t>
      </w:r>
      <w:r w:rsidRPr="00DB3E92">
        <w:rPr>
          <w:rFonts w:cstheme="minorHAnsi"/>
          <w:sz w:val="24"/>
          <w:szCs w:val="24"/>
          <w:lang w:val="el-GR"/>
        </w:rPr>
        <w:t xml:space="preserve"> </w:t>
      </w:r>
      <w:r>
        <w:rPr>
          <w:rFonts w:cstheme="minorHAnsi"/>
          <w:sz w:val="24"/>
          <w:szCs w:val="24"/>
          <w:lang w:val="el-GR"/>
        </w:rPr>
        <w:t>Δημοκρατίας</w:t>
      </w:r>
      <w:r w:rsidR="00A5147D" w:rsidRPr="00DB3E92">
        <w:rPr>
          <w:rFonts w:cstheme="minorHAnsi"/>
          <w:sz w:val="24"/>
          <w:szCs w:val="24"/>
          <w:lang w:val="el-GR"/>
        </w:rPr>
        <w:t>.</w:t>
      </w:r>
      <w:r w:rsidR="00A5147D" w:rsidRPr="004E251E">
        <w:rPr>
          <w:rStyle w:val="FootnoteReference"/>
          <w:rFonts w:cstheme="minorHAnsi"/>
          <w:sz w:val="24"/>
          <w:szCs w:val="24"/>
        </w:rPr>
        <w:footnoteReference w:id="28"/>
      </w:r>
      <w:r w:rsidR="00A5147D" w:rsidRPr="00DB3E92">
        <w:rPr>
          <w:rFonts w:cstheme="minorHAnsi"/>
          <w:sz w:val="24"/>
          <w:szCs w:val="24"/>
          <w:lang w:val="el-GR"/>
        </w:rPr>
        <w:t xml:space="preserve"> </w:t>
      </w:r>
      <w:r>
        <w:rPr>
          <w:rFonts w:cstheme="minorHAnsi"/>
          <w:sz w:val="24"/>
          <w:szCs w:val="24"/>
          <w:lang w:val="el-GR"/>
        </w:rPr>
        <w:t>Αυτό</w:t>
      </w:r>
      <w:r w:rsidRPr="00730027">
        <w:rPr>
          <w:rFonts w:cstheme="minorHAnsi"/>
          <w:sz w:val="24"/>
          <w:szCs w:val="24"/>
          <w:lang w:val="el-GR"/>
        </w:rPr>
        <w:t xml:space="preserve"> </w:t>
      </w:r>
      <w:r>
        <w:rPr>
          <w:rFonts w:cstheme="minorHAnsi"/>
          <w:sz w:val="24"/>
          <w:szCs w:val="24"/>
          <w:lang w:val="el-GR"/>
        </w:rPr>
        <w:t>συμπεριλαμβάνει</w:t>
      </w:r>
      <w:r w:rsidRPr="00730027">
        <w:rPr>
          <w:rFonts w:cstheme="minorHAnsi"/>
          <w:sz w:val="24"/>
          <w:szCs w:val="24"/>
          <w:lang w:val="el-GR"/>
        </w:rPr>
        <w:t xml:space="preserve"> </w:t>
      </w:r>
      <w:r>
        <w:rPr>
          <w:rFonts w:cstheme="minorHAnsi"/>
          <w:sz w:val="24"/>
          <w:szCs w:val="24"/>
          <w:lang w:val="el-GR"/>
        </w:rPr>
        <w:t>τη</w:t>
      </w:r>
      <w:r w:rsidRPr="00730027">
        <w:rPr>
          <w:rFonts w:cstheme="minorHAnsi"/>
          <w:sz w:val="24"/>
          <w:szCs w:val="24"/>
          <w:lang w:val="el-GR"/>
        </w:rPr>
        <w:t xml:space="preserve"> </w:t>
      </w:r>
      <w:r>
        <w:rPr>
          <w:rFonts w:cstheme="minorHAnsi"/>
          <w:sz w:val="24"/>
          <w:szCs w:val="24"/>
          <w:lang w:val="el-GR"/>
        </w:rPr>
        <w:t>γενική</w:t>
      </w:r>
      <w:r w:rsidRPr="00730027">
        <w:rPr>
          <w:rFonts w:cstheme="minorHAnsi"/>
          <w:sz w:val="24"/>
          <w:szCs w:val="24"/>
          <w:lang w:val="el-GR"/>
        </w:rPr>
        <w:t xml:space="preserve"> </w:t>
      </w:r>
      <w:r w:rsidR="005579E1">
        <w:rPr>
          <w:rFonts w:cstheme="minorHAnsi"/>
          <w:sz w:val="24"/>
          <w:szCs w:val="24"/>
          <w:lang w:val="el-GR"/>
        </w:rPr>
        <w:t xml:space="preserve">διεύθυνση </w:t>
      </w:r>
      <w:r>
        <w:rPr>
          <w:rFonts w:cstheme="minorHAnsi"/>
          <w:sz w:val="24"/>
          <w:szCs w:val="24"/>
          <w:lang w:val="el-GR"/>
        </w:rPr>
        <w:t>και</w:t>
      </w:r>
      <w:r w:rsidR="005579E1">
        <w:rPr>
          <w:rFonts w:cstheme="minorHAnsi"/>
          <w:sz w:val="24"/>
          <w:szCs w:val="24"/>
          <w:lang w:val="el-GR"/>
        </w:rPr>
        <w:t xml:space="preserve"> τον </w:t>
      </w:r>
      <w:r w:rsidRPr="00730027">
        <w:rPr>
          <w:rFonts w:cstheme="minorHAnsi"/>
          <w:sz w:val="24"/>
          <w:szCs w:val="24"/>
          <w:lang w:val="el-GR"/>
        </w:rPr>
        <w:t xml:space="preserve"> </w:t>
      </w:r>
      <w:r>
        <w:rPr>
          <w:rFonts w:cstheme="minorHAnsi"/>
          <w:sz w:val="24"/>
          <w:szCs w:val="24"/>
          <w:lang w:val="el-GR"/>
        </w:rPr>
        <w:t>έλεγχο</w:t>
      </w:r>
      <w:r w:rsidR="00730027" w:rsidRPr="00730027">
        <w:rPr>
          <w:rFonts w:cstheme="minorHAnsi"/>
          <w:sz w:val="24"/>
          <w:szCs w:val="24"/>
          <w:lang w:val="el-GR"/>
        </w:rPr>
        <w:t xml:space="preserve"> </w:t>
      </w:r>
      <w:r w:rsidR="00730027">
        <w:rPr>
          <w:rFonts w:cstheme="minorHAnsi"/>
          <w:sz w:val="24"/>
          <w:szCs w:val="24"/>
          <w:lang w:val="el-GR"/>
        </w:rPr>
        <w:t>της</w:t>
      </w:r>
      <w:r w:rsidR="00730027" w:rsidRPr="00730027">
        <w:rPr>
          <w:rFonts w:cstheme="minorHAnsi"/>
          <w:sz w:val="24"/>
          <w:szCs w:val="24"/>
          <w:lang w:val="el-GR"/>
        </w:rPr>
        <w:t xml:space="preserve"> </w:t>
      </w:r>
      <w:r w:rsidR="00730027">
        <w:rPr>
          <w:rFonts w:cstheme="minorHAnsi"/>
          <w:sz w:val="24"/>
          <w:szCs w:val="24"/>
          <w:lang w:val="el-GR"/>
        </w:rPr>
        <w:t>Κυβέρνησης</w:t>
      </w:r>
      <w:r w:rsidR="00A5147D" w:rsidRPr="00730027">
        <w:rPr>
          <w:rFonts w:cstheme="minorHAnsi"/>
          <w:sz w:val="24"/>
          <w:szCs w:val="24"/>
          <w:lang w:val="el-GR"/>
        </w:rPr>
        <w:t xml:space="preserve"> </w:t>
      </w:r>
      <w:r w:rsidR="00730027">
        <w:rPr>
          <w:rFonts w:cstheme="minorHAnsi"/>
          <w:sz w:val="24"/>
          <w:szCs w:val="24"/>
          <w:lang w:val="el-GR"/>
        </w:rPr>
        <w:t>και</w:t>
      </w:r>
      <w:r w:rsidR="00730027" w:rsidRPr="00730027">
        <w:rPr>
          <w:rFonts w:cstheme="minorHAnsi"/>
          <w:sz w:val="24"/>
          <w:szCs w:val="24"/>
          <w:lang w:val="el-GR"/>
        </w:rPr>
        <w:t xml:space="preserve"> </w:t>
      </w:r>
      <w:r w:rsidR="00730027">
        <w:rPr>
          <w:rFonts w:cstheme="minorHAnsi"/>
          <w:sz w:val="24"/>
          <w:szCs w:val="24"/>
          <w:lang w:val="el-GR"/>
        </w:rPr>
        <w:t>τη</w:t>
      </w:r>
      <w:r w:rsidR="005579E1">
        <w:rPr>
          <w:rFonts w:cstheme="minorHAnsi"/>
          <w:sz w:val="24"/>
          <w:szCs w:val="24"/>
          <w:lang w:val="el-GR"/>
        </w:rPr>
        <w:t xml:space="preserve"> διεύθυνση </w:t>
      </w:r>
      <w:r w:rsidR="00730027">
        <w:rPr>
          <w:rFonts w:cstheme="minorHAnsi"/>
          <w:sz w:val="24"/>
          <w:szCs w:val="24"/>
          <w:lang w:val="el-GR"/>
        </w:rPr>
        <w:t>της</w:t>
      </w:r>
      <w:r w:rsidR="00730027" w:rsidRPr="00730027">
        <w:rPr>
          <w:rFonts w:cstheme="minorHAnsi"/>
          <w:sz w:val="24"/>
          <w:szCs w:val="24"/>
          <w:lang w:val="el-GR"/>
        </w:rPr>
        <w:t xml:space="preserve"> </w:t>
      </w:r>
      <w:r w:rsidR="00730027">
        <w:rPr>
          <w:rFonts w:cstheme="minorHAnsi"/>
          <w:sz w:val="24"/>
          <w:szCs w:val="24"/>
          <w:lang w:val="el-GR"/>
        </w:rPr>
        <w:t>γενικής</w:t>
      </w:r>
      <w:r w:rsidR="00730027" w:rsidRPr="00730027">
        <w:rPr>
          <w:rFonts w:cstheme="minorHAnsi"/>
          <w:sz w:val="24"/>
          <w:szCs w:val="24"/>
          <w:lang w:val="el-GR"/>
        </w:rPr>
        <w:t xml:space="preserve"> </w:t>
      </w:r>
      <w:r w:rsidR="00730027">
        <w:rPr>
          <w:rFonts w:cstheme="minorHAnsi"/>
          <w:sz w:val="24"/>
          <w:szCs w:val="24"/>
          <w:lang w:val="el-GR"/>
        </w:rPr>
        <w:t>πολιτικής</w:t>
      </w:r>
      <w:r w:rsidR="00730027" w:rsidRPr="00730027">
        <w:rPr>
          <w:rFonts w:cstheme="minorHAnsi"/>
          <w:sz w:val="24"/>
          <w:szCs w:val="24"/>
          <w:lang w:val="el-GR"/>
        </w:rPr>
        <w:t>,</w:t>
      </w:r>
      <w:r w:rsidR="00A5147D" w:rsidRPr="00730027">
        <w:rPr>
          <w:rFonts w:cstheme="minorHAnsi"/>
          <w:sz w:val="24"/>
          <w:szCs w:val="24"/>
          <w:lang w:val="el-GR"/>
        </w:rPr>
        <w:t xml:space="preserve"> </w:t>
      </w:r>
      <w:r w:rsidR="00730027">
        <w:rPr>
          <w:rFonts w:cstheme="minorHAnsi"/>
          <w:sz w:val="24"/>
          <w:szCs w:val="24"/>
          <w:lang w:val="el-GR"/>
        </w:rPr>
        <w:t>εξωτερική</w:t>
      </w:r>
      <w:r w:rsidR="005579E1">
        <w:rPr>
          <w:rFonts w:cstheme="minorHAnsi"/>
          <w:sz w:val="24"/>
          <w:szCs w:val="24"/>
          <w:lang w:val="el-GR"/>
        </w:rPr>
        <w:t>ς</w:t>
      </w:r>
      <w:r w:rsidR="00730027" w:rsidRPr="00730027">
        <w:rPr>
          <w:rFonts w:cstheme="minorHAnsi"/>
          <w:sz w:val="24"/>
          <w:szCs w:val="24"/>
          <w:lang w:val="el-GR"/>
        </w:rPr>
        <w:t xml:space="preserve"> </w:t>
      </w:r>
      <w:r w:rsidR="00730027">
        <w:rPr>
          <w:rFonts w:cstheme="minorHAnsi"/>
          <w:sz w:val="24"/>
          <w:szCs w:val="24"/>
          <w:lang w:val="el-GR"/>
        </w:rPr>
        <w:t>πολιτική</w:t>
      </w:r>
      <w:r w:rsidR="003B41ED">
        <w:rPr>
          <w:rFonts w:cstheme="minorHAnsi"/>
          <w:sz w:val="24"/>
          <w:szCs w:val="24"/>
          <w:lang w:val="el-GR"/>
        </w:rPr>
        <w:t>ς</w:t>
      </w:r>
      <w:r w:rsidR="00730027" w:rsidRPr="00730027">
        <w:rPr>
          <w:rFonts w:cstheme="minorHAnsi"/>
          <w:sz w:val="24"/>
          <w:szCs w:val="24"/>
          <w:lang w:val="el-GR"/>
        </w:rPr>
        <w:t xml:space="preserve">, </w:t>
      </w:r>
      <w:r w:rsidR="00730027">
        <w:rPr>
          <w:rFonts w:cstheme="minorHAnsi"/>
          <w:sz w:val="24"/>
          <w:szCs w:val="24"/>
          <w:lang w:val="el-GR"/>
        </w:rPr>
        <w:t>άμυνα</w:t>
      </w:r>
      <w:r w:rsidR="003B41ED">
        <w:rPr>
          <w:rFonts w:cstheme="minorHAnsi"/>
          <w:sz w:val="24"/>
          <w:szCs w:val="24"/>
          <w:lang w:val="el-GR"/>
        </w:rPr>
        <w:t>ς</w:t>
      </w:r>
      <w:r w:rsidR="00730027" w:rsidRPr="00730027">
        <w:rPr>
          <w:rFonts w:cstheme="minorHAnsi"/>
          <w:sz w:val="24"/>
          <w:szCs w:val="24"/>
          <w:lang w:val="el-GR"/>
        </w:rPr>
        <w:t xml:space="preserve"> </w:t>
      </w:r>
      <w:r w:rsidR="00730027">
        <w:rPr>
          <w:rFonts w:cstheme="minorHAnsi"/>
          <w:sz w:val="24"/>
          <w:szCs w:val="24"/>
          <w:lang w:val="el-GR"/>
        </w:rPr>
        <w:t>και</w:t>
      </w:r>
      <w:r w:rsidR="00730027" w:rsidRPr="00730027">
        <w:rPr>
          <w:rFonts w:cstheme="minorHAnsi"/>
          <w:sz w:val="24"/>
          <w:szCs w:val="24"/>
          <w:lang w:val="el-GR"/>
        </w:rPr>
        <w:t xml:space="preserve"> </w:t>
      </w:r>
      <w:r w:rsidR="00730027">
        <w:rPr>
          <w:rFonts w:cstheme="minorHAnsi"/>
          <w:sz w:val="24"/>
          <w:szCs w:val="24"/>
          <w:lang w:val="el-GR"/>
        </w:rPr>
        <w:t>ασφάλεια</w:t>
      </w:r>
      <w:r w:rsidR="003B41ED">
        <w:rPr>
          <w:rFonts w:cstheme="minorHAnsi"/>
          <w:sz w:val="24"/>
          <w:szCs w:val="24"/>
          <w:lang w:val="el-GR"/>
        </w:rPr>
        <w:t>ς</w:t>
      </w:r>
      <w:r w:rsidR="00730027" w:rsidRPr="00730027">
        <w:rPr>
          <w:rFonts w:cstheme="minorHAnsi"/>
          <w:sz w:val="24"/>
          <w:szCs w:val="24"/>
          <w:lang w:val="el-GR"/>
        </w:rPr>
        <w:t>,</w:t>
      </w:r>
      <w:r w:rsidR="00A5147D" w:rsidRPr="00730027">
        <w:rPr>
          <w:rFonts w:cstheme="minorHAnsi"/>
          <w:sz w:val="24"/>
          <w:szCs w:val="24"/>
          <w:lang w:val="el-GR"/>
        </w:rPr>
        <w:t xml:space="preserve"> </w:t>
      </w:r>
      <w:r w:rsidR="00730027">
        <w:rPr>
          <w:rFonts w:cstheme="minorHAnsi"/>
          <w:sz w:val="24"/>
          <w:szCs w:val="24"/>
          <w:lang w:val="el-GR"/>
        </w:rPr>
        <w:t>συντονισμός</w:t>
      </w:r>
      <w:r w:rsidR="00730027" w:rsidRPr="00730027">
        <w:rPr>
          <w:rFonts w:cstheme="minorHAnsi"/>
          <w:sz w:val="24"/>
          <w:szCs w:val="24"/>
          <w:lang w:val="el-GR"/>
        </w:rPr>
        <w:t xml:space="preserve"> </w:t>
      </w:r>
      <w:r w:rsidR="00730027">
        <w:rPr>
          <w:rFonts w:cstheme="minorHAnsi"/>
          <w:sz w:val="24"/>
          <w:szCs w:val="24"/>
          <w:lang w:val="el-GR"/>
        </w:rPr>
        <w:t>και</w:t>
      </w:r>
      <w:r w:rsidR="00730027" w:rsidRPr="00730027">
        <w:rPr>
          <w:rFonts w:cstheme="minorHAnsi"/>
          <w:sz w:val="24"/>
          <w:szCs w:val="24"/>
          <w:lang w:val="el-GR"/>
        </w:rPr>
        <w:t xml:space="preserve"> </w:t>
      </w:r>
      <w:r w:rsidR="00B36A1B">
        <w:rPr>
          <w:rFonts w:cstheme="minorHAnsi"/>
          <w:sz w:val="24"/>
          <w:szCs w:val="24"/>
          <w:lang w:val="el-GR"/>
        </w:rPr>
        <w:t xml:space="preserve">εποπτεία </w:t>
      </w:r>
      <w:r w:rsidR="00730027">
        <w:rPr>
          <w:rFonts w:cstheme="minorHAnsi"/>
          <w:sz w:val="24"/>
          <w:szCs w:val="24"/>
          <w:lang w:val="el-GR"/>
        </w:rPr>
        <w:t>της</w:t>
      </w:r>
      <w:r w:rsidR="00730027" w:rsidRPr="00730027">
        <w:rPr>
          <w:rFonts w:cstheme="minorHAnsi"/>
          <w:sz w:val="24"/>
          <w:szCs w:val="24"/>
          <w:lang w:val="el-GR"/>
        </w:rPr>
        <w:t xml:space="preserve"> </w:t>
      </w:r>
      <w:r w:rsidR="00730027">
        <w:rPr>
          <w:rFonts w:cstheme="minorHAnsi"/>
          <w:sz w:val="24"/>
          <w:szCs w:val="24"/>
          <w:lang w:val="el-GR"/>
        </w:rPr>
        <w:t>δημόσιας</w:t>
      </w:r>
      <w:r w:rsidR="00730027" w:rsidRPr="00730027">
        <w:rPr>
          <w:rFonts w:cstheme="minorHAnsi"/>
          <w:sz w:val="24"/>
          <w:szCs w:val="24"/>
          <w:lang w:val="el-GR"/>
        </w:rPr>
        <w:t xml:space="preserve"> </w:t>
      </w:r>
      <w:r w:rsidR="00730027">
        <w:rPr>
          <w:rFonts w:cstheme="minorHAnsi"/>
          <w:sz w:val="24"/>
          <w:szCs w:val="24"/>
          <w:lang w:val="el-GR"/>
        </w:rPr>
        <w:t>υπηρεσίας</w:t>
      </w:r>
      <w:r w:rsidR="00730027" w:rsidRPr="00730027">
        <w:rPr>
          <w:rFonts w:cstheme="minorHAnsi"/>
          <w:sz w:val="24"/>
          <w:szCs w:val="24"/>
          <w:lang w:val="el-GR"/>
        </w:rPr>
        <w:t xml:space="preserve">, </w:t>
      </w:r>
      <w:r w:rsidR="00B36A1B">
        <w:rPr>
          <w:rFonts w:cstheme="minorHAnsi"/>
          <w:sz w:val="24"/>
          <w:szCs w:val="24"/>
          <w:lang w:val="el-GR"/>
        </w:rPr>
        <w:t>εποπτεία</w:t>
      </w:r>
      <w:r w:rsidR="00730027" w:rsidRPr="00730027">
        <w:rPr>
          <w:rFonts w:cstheme="minorHAnsi"/>
          <w:sz w:val="24"/>
          <w:szCs w:val="24"/>
          <w:lang w:val="el-GR"/>
        </w:rPr>
        <w:t>/</w:t>
      </w:r>
      <w:r w:rsidR="00730027">
        <w:rPr>
          <w:rFonts w:cstheme="minorHAnsi"/>
          <w:sz w:val="24"/>
          <w:szCs w:val="24"/>
          <w:lang w:val="el-GR"/>
        </w:rPr>
        <w:t>διαχείρ</w:t>
      </w:r>
      <w:r w:rsidR="005579E1">
        <w:rPr>
          <w:rFonts w:cstheme="minorHAnsi"/>
          <w:sz w:val="24"/>
          <w:szCs w:val="24"/>
          <w:lang w:val="el-GR"/>
        </w:rPr>
        <w:t>ι</w:t>
      </w:r>
      <w:r w:rsidR="00730027">
        <w:rPr>
          <w:rFonts w:cstheme="minorHAnsi"/>
          <w:sz w:val="24"/>
          <w:szCs w:val="24"/>
          <w:lang w:val="el-GR"/>
        </w:rPr>
        <w:t>ση</w:t>
      </w:r>
      <w:r w:rsidR="00A5147D" w:rsidRPr="00730027">
        <w:rPr>
          <w:rFonts w:cstheme="minorHAnsi"/>
          <w:sz w:val="24"/>
          <w:szCs w:val="24"/>
          <w:lang w:val="el-GR"/>
        </w:rPr>
        <w:t xml:space="preserve"> </w:t>
      </w:r>
      <w:r w:rsidR="003B41ED">
        <w:rPr>
          <w:rFonts w:cstheme="minorHAnsi"/>
          <w:sz w:val="24"/>
          <w:szCs w:val="24"/>
          <w:lang w:val="el-GR"/>
        </w:rPr>
        <w:t xml:space="preserve">της </w:t>
      </w:r>
      <w:r w:rsidR="00730027">
        <w:rPr>
          <w:rFonts w:cstheme="minorHAnsi"/>
          <w:sz w:val="24"/>
          <w:szCs w:val="24"/>
          <w:lang w:val="el-GR"/>
        </w:rPr>
        <w:t>κρατικής</w:t>
      </w:r>
      <w:r w:rsidR="00730027" w:rsidRPr="00730027">
        <w:rPr>
          <w:rFonts w:cstheme="minorHAnsi"/>
          <w:sz w:val="24"/>
          <w:szCs w:val="24"/>
          <w:lang w:val="el-GR"/>
        </w:rPr>
        <w:t xml:space="preserve"> </w:t>
      </w:r>
      <w:r w:rsidR="00730027">
        <w:rPr>
          <w:rFonts w:cstheme="minorHAnsi"/>
          <w:sz w:val="24"/>
          <w:szCs w:val="24"/>
          <w:lang w:val="el-GR"/>
        </w:rPr>
        <w:t>περιουσίας</w:t>
      </w:r>
      <w:r w:rsidR="00A5147D" w:rsidRPr="00730027">
        <w:rPr>
          <w:rFonts w:cstheme="minorHAnsi"/>
          <w:sz w:val="24"/>
          <w:szCs w:val="24"/>
          <w:lang w:val="el-GR"/>
        </w:rPr>
        <w:t xml:space="preserve"> </w:t>
      </w:r>
      <w:r w:rsidR="00730027">
        <w:rPr>
          <w:rFonts w:cstheme="minorHAnsi"/>
          <w:sz w:val="24"/>
          <w:szCs w:val="24"/>
          <w:lang w:val="el-GR"/>
        </w:rPr>
        <w:t>σύμφωνα με το Σύνταγμα και τον νόμο,</w:t>
      </w:r>
      <w:r w:rsidR="00A5147D" w:rsidRPr="00730027">
        <w:rPr>
          <w:rFonts w:cstheme="minorHAnsi"/>
          <w:sz w:val="24"/>
          <w:szCs w:val="24"/>
          <w:lang w:val="el-GR"/>
        </w:rPr>
        <w:t xml:space="preserve"> </w:t>
      </w:r>
      <w:r w:rsidR="00B36A1B">
        <w:rPr>
          <w:rFonts w:cstheme="minorHAnsi"/>
          <w:sz w:val="24"/>
          <w:szCs w:val="24"/>
          <w:lang w:val="el-GR"/>
        </w:rPr>
        <w:t xml:space="preserve">επεξεργασία </w:t>
      </w:r>
      <w:r w:rsidR="00730027">
        <w:rPr>
          <w:rFonts w:cstheme="minorHAnsi"/>
          <w:sz w:val="24"/>
          <w:szCs w:val="24"/>
          <w:lang w:val="el-GR"/>
        </w:rPr>
        <w:t>νομοσχεδίων</w:t>
      </w:r>
      <w:r w:rsidR="00A5147D" w:rsidRPr="00730027">
        <w:rPr>
          <w:rFonts w:cstheme="minorHAnsi"/>
          <w:sz w:val="24"/>
          <w:szCs w:val="24"/>
          <w:lang w:val="el-GR"/>
        </w:rPr>
        <w:t xml:space="preserve"> </w:t>
      </w:r>
      <w:r w:rsidR="00730027">
        <w:rPr>
          <w:rFonts w:cstheme="minorHAnsi"/>
          <w:sz w:val="24"/>
          <w:szCs w:val="24"/>
          <w:lang w:val="el-GR"/>
        </w:rPr>
        <w:t xml:space="preserve">που </w:t>
      </w:r>
      <w:r w:rsidR="00F27FF2">
        <w:rPr>
          <w:rFonts w:cstheme="minorHAnsi"/>
          <w:sz w:val="24"/>
          <w:szCs w:val="24"/>
          <w:lang w:val="el-GR"/>
        </w:rPr>
        <w:t xml:space="preserve">κατατίθενται </w:t>
      </w:r>
      <w:r w:rsidR="00730027">
        <w:rPr>
          <w:rFonts w:cstheme="minorHAnsi"/>
          <w:sz w:val="24"/>
          <w:szCs w:val="24"/>
          <w:lang w:val="el-GR"/>
        </w:rPr>
        <w:t>στη Βουλή</w:t>
      </w:r>
      <w:r w:rsidR="00A5147D" w:rsidRPr="00730027">
        <w:rPr>
          <w:rFonts w:cstheme="minorHAnsi"/>
          <w:sz w:val="24"/>
          <w:szCs w:val="24"/>
          <w:lang w:val="el-GR"/>
        </w:rPr>
        <w:t xml:space="preserve"> </w:t>
      </w:r>
      <w:r w:rsidR="00730027">
        <w:rPr>
          <w:rFonts w:cstheme="minorHAnsi"/>
          <w:sz w:val="24"/>
          <w:szCs w:val="24"/>
          <w:lang w:val="el-GR"/>
        </w:rPr>
        <w:t>από ένα υπουργό, ετοιμασία ενός διατάγματος</w:t>
      </w:r>
      <w:r w:rsidR="00A5147D" w:rsidRPr="00730027">
        <w:rPr>
          <w:rFonts w:cstheme="minorHAnsi"/>
          <w:sz w:val="24"/>
          <w:szCs w:val="24"/>
          <w:lang w:val="el-GR"/>
        </w:rPr>
        <w:t xml:space="preserve"> </w:t>
      </w:r>
      <w:r w:rsidR="00730027">
        <w:rPr>
          <w:rFonts w:cstheme="minorHAnsi"/>
          <w:sz w:val="24"/>
          <w:szCs w:val="24"/>
          <w:lang w:val="el-GR"/>
        </w:rPr>
        <w:t>ή κανονισμού</w:t>
      </w:r>
      <w:r w:rsidR="00A5147D" w:rsidRPr="00730027">
        <w:rPr>
          <w:rFonts w:cstheme="minorHAnsi"/>
          <w:sz w:val="24"/>
          <w:szCs w:val="24"/>
          <w:lang w:val="el-GR"/>
        </w:rPr>
        <w:t xml:space="preserve"> </w:t>
      </w:r>
      <w:r w:rsidR="00730027">
        <w:rPr>
          <w:rFonts w:cstheme="minorHAnsi"/>
          <w:sz w:val="24"/>
          <w:szCs w:val="24"/>
          <w:lang w:val="el-GR"/>
        </w:rPr>
        <w:t xml:space="preserve">για την εφαρμογή νόμων και </w:t>
      </w:r>
      <w:r w:rsidR="00B60243">
        <w:rPr>
          <w:rFonts w:cstheme="minorHAnsi"/>
          <w:sz w:val="24"/>
          <w:szCs w:val="24"/>
          <w:lang w:val="el-GR"/>
        </w:rPr>
        <w:t xml:space="preserve">επεξεργασία </w:t>
      </w:r>
      <w:r w:rsidR="00730027">
        <w:rPr>
          <w:rFonts w:cstheme="minorHAnsi"/>
          <w:sz w:val="24"/>
          <w:szCs w:val="24"/>
          <w:lang w:val="el-GR"/>
        </w:rPr>
        <w:t>του Κρατικού προϋπολογισμού</w:t>
      </w:r>
      <w:r w:rsidR="00A5147D" w:rsidRPr="00730027">
        <w:rPr>
          <w:rFonts w:cstheme="minorHAnsi"/>
          <w:sz w:val="24"/>
          <w:szCs w:val="24"/>
          <w:lang w:val="el-GR"/>
        </w:rPr>
        <w:t xml:space="preserve"> </w:t>
      </w:r>
      <w:r w:rsidR="00730027">
        <w:rPr>
          <w:rFonts w:cstheme="minorHAnsi"/>
          <w:sz w:val="24"/>
          <w:szCs w:val="24"/>
          <w:lang w:val="el-GR"/>
        </w:rPr>
        <w:t xml:space="preserve">που θα </w:t>
      </w:r>
      <w:r w:rsidR="00B60243">
        <w:rPr>
          <w:rFonts w:cstheme="minorHAnsi"/>
          <w:sz w:val="24"/>
          <w:szCs w:val="24"/>
          <w:lang w:val="el-GR"/>
        </w:rPr>
        <w:t xml:space="preserve">κατατεθεί </w:t>
      </w:r>
      <w:r w:rsidR="00730027">
        <w:rPr>
          <w:rFonts w:cstheme="minorHAnsi"/>
          <w:sz w:val="24"/>
          <w:szCs w:val="24"/>
          <w:lang w:val="el-GR"/>
        </w:rPr>
        <w:t>στη Βουλή</w:t>
      </w:r>
      <w:r w:rsidR="00A5147D" w:rsidRPr="00730027">
        <w:rPr>
          <w:rFonts w:cstheme="minorHAnsi"/>
          <w:sz w:val="24"/>
          <w:szCs w:val="24"/>
          <w:lang w:val="el-GR"/>
        </w:rPr>
        <w:t xml:space="preserve">. </w:t>
      </w:r>
      <w:bookmarkStart w:id="38" w:name="_Hlk132887581"/>
      <w:r w:rsidR="00730027">
        <w:rPr>
          <w:rFonts w:cstheme="minorHAnsi"/>
          <w:sz w:val="24"/>
          <w:szCs w:val="24"/>
          <w:lang w:val="el-GR"/>
        </w:rPr>
        <w:t>Ο</w:t>
      </w:r>
      <w:r w:rsidR="00283321" w:rsidRPr="00096F7E">
        <w:rPr>
          <w:rFonts w:cs="Calibri"/>
          <w:sz w:val="24"/>
          <w:szCs w:val="24"/>
          <w:lang w:val="el-GR"/>
        </w:rPr>
        <w:t xml:space="preserve"> </w:t>
      </w:r>
      <w:r w:rsidR="00730027">
        <w:rPr>
          <w:rFonts w:cs="Calibri"/>
          <w:sz w:val="24"/>
          <w:szCs w:val="24"/>
          <w:u w:val="single"/>
          <w:lang w:val="el-GR"/>
        </w:rPr>
        <w:t>Γραμματέας</w:t>
      </w:r>
      <w:r w:rsidR="00730027" w:rsidRPr="00096F7E">
        <w:rPr>
          <w:rFonts w:cs="Calibri"/>
          <w:sz w:val="24"/>
          <w:szCs w:val="24"/>
          <w:u w:val="single"/>
          <w:lang w:val="el-GR"/>
        </w:rPr>
        <w:t xml:space="preserve"> </w:t>
      </w:r>
      <w:r w:rsidR="00730027">
        <w:rPr>
          <w:rFonts w:cs="Calibri"/>
          <w:sz w:val="24"/>
          <w:szCs w:val="24"/>
          <w:u w:val="single"/>
          <w:lang w:val="el-GR"/>
        </w:rPr>
        <w:t>του</w:t>
      </w:r>
      <w:r w:rsidR="00730027" w:rsidRPr="00096F7E">
        <w:rPr>
          <w:rFonts w:cs="Calibri"/>
          <w:sz w:val="24"/>
          <w:szCs w:val="24"/>
          <w:u w:val="single"/>
          <w:lang w:val="el-GR"/>
        </w:rPr>
        <w:t xml:space="preserve"> </w:t>
      </w:r>
      <w:r w:rsidR="00730027">
        <w:rPr>
          <w:rFonts w:cs="Calibri"/>
          <w:sz w:val="24"/>
          <w:szCs w:val="24"/>
          <w:u w:val="single"/>
          <w:lang w:val="el-GR"/>
        </w:rPr>
        <w:t>Υπουργικού</w:t>
      </w:r>
      <w:r w:rsidR="00730027" w:rsidRPr="00096F7E">
        <w:rPr>
          <w:rFonts w:cs="Calibri"/>
          <w:sz w:val="24"/>
          <w:szCs w:val="24"/>
          <w:u w:val="single"/>
          <w:lang w:val="el-GR"/>
        </w:rPr>
        <w:t xml:space="preserve"> </w:t>
      </w:r>
      <w:r w:rsidR="00730027">
        <w:rPr>
          <w:rFonts w:cs="Calibri"/>
          <w:sz w:val="24"/>
          <w:szCs w:val="24"/>
          <w:u w:val="single"/>
          <w:lang w:val="el-GR"/>
        </w:rPr>
        <w:t>Συμβουλίου</w:t>
      </w:r>
      <w:r w:rsidR="00283321" w:rsidRPr="00096F7E">
        <w:rPr>
          <w:rFonts w:cs="Calibri"/>
          <w:sz w:val="24"/>
          <w:szCs w:val="24"/>
          <w:u w:val="single"/>
          <w:lang w:val="el-GR"/>
        </w:rPr>
        <w:t>,</w:t>
      </w:r>
      <w:r w:rsidR="00283321" w:rsidRPr="00096F7E">
        <w:rPr>
          <w:rFonts w:cs="Calibri"/>
          <w:sz w:val="24"/>
          <w:szCs w:val="24"/>
          <w:lang w:val="el-GR"/>
        </w:rPr>
        <w:t xml:space="preserve"> </w:t>
      </w:r>
      <w:r w:rsidR="00730027">
        <w:rPr>
          <w:rFonts w:cs="Calibri"/>
          <w:sz w:val="24"/>
          <w:szCs w:val="24"/>
          <w:lang w:val="el-GR"/>
        </w:rPr>
        <w:t>σύμφωνα</w:t>
      </w:r>
      <w:r w:rsidR="00730027" w:rsidRPr="00096F7E">
        <w:rPr>
          <w:rFonts w:cs="Calibri"/>
          <w:sz w:val="24"/>
          <w:szCs w:val="24"/>
          <w:lang w:val="el-GR"/>
        </w:rPr>
        <w:t xml:space="preserve"> </w:t>
      </w:r>
      <w:r w:rsidR="00730027">
        <w:rPr>
          <w:rFonts w:cs="Calibri"/>
          <w:sz w:val="24"/>
          <w:szCs w:val="24"/>
          <w:lang w:val="el-GR"/>
        </w:rPr>
        <w:t>με</w:t>
      </w:r>
      <w:r w:rsidR="00730027" w:rsidRPr="00096F7E">
        <w:rPr>
          <w:rFonts w:cs="Calibri"/>
          <w:sz w:val="24"/>
          <w:szCs w:val="24"/>
          <w:lang w:val="el-GR"/>
        </w:rPr>
        <w:t xml:space="preserve"> </w:t>
      </w:r>
      <w:r w:rsidR="00730027">
        <w:rPr>
          <w:rFonts w:cs="Calibri"/>
          <w:sz w:val="24"/>
          <w:szCs w:val="24"/>
          <w:lang w:val="el-GR"/>
        </w:rPr>
        <w:t>το</w:t>
      </w:r>
      <w:r w:rsidR="00730027" w:rsidRPr="00096F7E">
        <w:rPr>
          <w:rFonts w:cs="Calibri"/>
          <w:sz w:val="24"/>
          <w:szCs w:val="24"/>
          <w:lang w:val="el-GR"/>
        </w:rPr>
        <w:t xml:space="preserve"> </w:t>
      </w:r>
      <w:r w:rsidR="00730027">
        <w:rPr>
          <w:rFonts w:cs="Calibri"/>
          <w:sz w:val="24"/>
          <w:szCs w:val="24"/>
          <w:lang w:val="el-GR"/>
        </w:rPr>
        <w:t>Άρθρο</w:t>
      </w:r>
      <w:r w:rsidR="00283321" w:rsidRPr="00096F7E">
        <w:rPr>
          <w:rFonts w:cs="Calibri"/>
          <w:sz w:val="24"/>
          <w:szCs w:val="24"/>
          <w:lang w:val="el-GR"/>
        </w:rPr>
        <w:t xml:space="preserve"> 60 </w:t>
      </w:r>
      <w:r w:rsidR="00730027">
        <w:rPr>
          <w:rFonts w:cs="Calibri"/>
          <w:sz w:val="24"/>
          <w:szCs w:val="24"/>
          <w:lang w:val="el-GR"/>
        </w:rPr>
        <w:t>του</w:t>
      </w:r>
      <w:r w:rsidR="00730027" w:rsidRPr="00096F7E">
        <w:rPr>
          <w:rFonts w:cs="Calibri"/>
          <w:sz w:val="24"/>
          <w:szCs w:val="24"/>
          <w:lang w:val="el-GR"/>
        </w:rPr>
        <w:t xml:space="preserve"> </w:t>
      </w:r>
      <w:r w:rsidR="00730027">
        <w:rPr>
          <w:rFonts w:cs="Calibri"/>
          <w:sz w:val="24"/>
          <w:szCs w:val="24"/>
          <w:lang w:val="el-GR"/>
        </w:rPr>
        <w:t>Συντάγματος</w:t>
      </w:r>
      <w:r w:rsidR="00283321" w:rsidRPr="00096F7E">
        <w:rPr>
          <w:rFonts w:cs="Calibri"/>
          <w:sz w:val="24"/>
          <w:szCs w:val="24"/>
          <w:lang w:val="el-GR"/>
        </w:rPr>
        <w:t xml:space="preserve">, </w:t>
      </w:r>
      <w:r w:rsidR="00730027">
        <w:rPr>
          <w:rFonts w:cs="Calibri"/>
          <w:sz w:val="24"/>
          <w:szCs w:val="24"/>
          <w:lang w:val="el-GR"/>
        </w:rPr>
        <w:t>είναι</w:t>
      </w:r>
      <w:r w:rsidR="00730027" w:rsidRPr="00096F7E">
        <w:rPr>
          <w:rFonts w:cs="Calibri"/>
          <w:sz w:val="24"/>
          <w:szCs w:val="24"/>
          <w:lang w:val="el-GR"/>
        </w:rPr>
        <w:t xml:space="preserve"> </w:t>
      </w:r>
      <w:r w:rsidR="00730027">
        <w:rPr>
          <w:rFonts w:cs="Calibri"/>
          <w:sz w:val="24"/>
          <w:szCs w:val="24"/>
          <w:lang w:val="el-GR"/>
        </w:rPr>
        <w:t>υπεύθυνος</w:t>
      </w:r>
      <w:r w:rsidR="00730027" w:rsidRPr="00096F7E">
        <w:rPr>
          <w:rFonts w:cs="Calibri"/>
          <w:sz w:val="24"/>
          <w:szCs w:val="24"/>
          <w:lang w:val="el-GR"/>
        </w:rPr>
        <w:t xml:space="preserve"> </w:t>
      </w:r>
      <w:r w:rsidR="00730027">
        <w:rPr>
          <w:rFonts w:cs="Calibri"/>
          <w:sz w:val="24"/>
          <w:szCs w:val="24"/>
          <w:lang w:val="el-GR"/>
        </w:rPr>
        <w:t>του</w:t>
      </w:r>
      <w:r w:rsidR="00730027" w:rsidRPr="00096F7E">
        <w:rPr>
          <w:rFonts w:cs="Calibri"/>
          <w:sz w:val="24"/>
          <w:szCs w:val="24"/>
          <w:lang w:val="el-GR"/>
        </w:rPr>
        <w:t xml:space="preserve"> </w:t>
      </w:r>
      <w:r w:rsidR="00730027">
        <w:rPr>
          <w:rFonts w:cs="Calibri"/>
          <w:sz w:val="24"/>
          <w:szCs w:val="24"/>
          <w:lang w:val="el-GR"/>
        </w:rPr>
        <w:t>Γραφείου</w:t>
      </w:r>
      <w:r w:rsidR="00730027" w:rsidRPr="00096F7E">
        <w:rPr>
          <w:rFonts w:cs="Calibri"/>
          <w:sz w:val="24"/>
          <w:szCs w:val="24"/>
          <w:lang w:val="el-GR"/>
        </w:rPr>
        <w:t xml:space="preserve"> </w:t>
      </w:r>
      <w:r w:rsidR="00730027">
        <w:rPr>
          <w:rFonts w:cs="Calibri"/>
          <w:sz w:val="24"/>
          <w:szCs w:val="24"/>
          <w:lang w:val="el-GR"/>
        </w:rPr>
        <w:t>του</w:t>
      </w:r>
      <w:r w:rsidR="00730027" w:rsidRPr="00096F7E">
        <w:rPr>
          <w:rFonts w:cs="Calibri"/>
          <w:sz w:val="24"/>
          <w:szCs w:val="24"/>
          <w:lang w:val="el-GR"/>
        </w:rPr>
        <w:t xml:space="preserve"> </w:t>
      </w:r>
      <w:r w:rsidR="00730027">
        <w:rPr>
          <w:rFonts w:cs="Calibri"/>
          <w:sz w:val="24"/>
          <w:szCs w:val="24"/>
          <w:lang w:val="el-GR"/>
        </w:rPr>
        <w:t>Υπουργικού</w:t>
      </w:r>
      <w:r w:rsidR="00730027" w:rsidRPr="00096F7E">
        <w:rPr>
          <w:rFonts w:cs="Calibri"/>
          <w:sz w:val="24"/>
          <w:szCs w:val="24"/>
          <w:lang w:val="el-GR"/>
        </w:rPr>
        <w:t xml:space="preserve"> </w:t>
      </w:r>
      <w:r w:rsidR="00730027">
        <w:rPr>
          <w:rFonts w:cs="Calibri"/>
          <w:sz w:val="24"/>
          <w:szCs w:val="24"/>
          <w:lang w:val="el-GR"/>
        </w:rPr>
        <w:t>Συμβουλίου</w:t>
      </w:r>
      <w:r w:rsidR="00283321" w:rsidRPr="00096F7E">
        <w:rPr>
          <w:rFonts w:cs="Calibri"/>
          <w:sz w:val="24"/>
          <w:szCs w:val="24"/>
          <w:lang w:val="el-GR"/>
        </w:rPr>
        <w:t xml:space="preserve"> </w:t>
      </w:r>
      <w:r w:rsidR="00730027">
        <w:rPr>
          <w:rFonts w:cs="Calibri"/>
          <w:sz w:val="24"/>
          <w:szCs w:val="24"/>
          <w:lang w:val="el-GR"/>
        </w:rPr>
        <w:t>και</w:t>
      </w:r>
      <w:r w:rsidR="00B60243">
        <w:rPr>
          <w:rFonts w:cs="Calibri"/>
          <w:sz w:val="24"/>
          <w:szCs w:val="24"/>
          <w:lang w:val="el-GR"/>
        </w:rPr>
        <w:t>,</w:t>
      </w:r>
      <w:r w:rsidR="00730027" w:rsidRPr="00096F7E">
        <w:rPr>
          <w:rFonts w:cs="Calibri"/>
          <w:sz w:val="24"/>
          <w:szCs w:val="24"/>
          <w:lang w:val="el-GR"/>
        </w:rPr>
        <w:t xml:space="preserve"> </w:t>
      </w:r>
      <w:r w:rsidR="00730027">
        <w:rPr>
          <w:rFonts w:cs="Calibri"/>
          <w:sz w:val="24"/>
          <w:szCs w:val="24"/>
          <w:lang w:val="el-GR"/>
        </w:rPr>
        <w:t>σύμφωνα</w:t>
      </w:r>
      <w:r w:rsidR="00730027" w:rsidRPr="00096F7E">
        <w:rPr>
          <w:rFonts w:cs="Calibri"/>
          <w:sz w:val="24"/>
          <w:szCs w:val="24"/>
          <w:lang w:val="el-GR"/>
        </w:rPr>
        <w:t xml:space="preserve"> </w:t>
      </w:r>
      <w:r w:rsidR="00730027">
        <w:rPr>
          <w:rFonts w:cs="Calibri"/>
          <w:sz w:val="24"/>
          <w:szCs w:val="24"/>
          <w:lang w:val="el-GR"/>
        </w:rPr>
        <w:t>με</w:t>
      </w:r>
      <w:r w:rsidR="00730027" w:rsidRPr="00096F7E">
        <w:rPr>
          <w:rFonts w:cs="Calibri"/>
          <w:sz w:val="24"/>
          <w:szCs w:val="24"/>
          <w:lang w:val="el-GR"/>
        </w:rPr>
        <w:t xml:space="preserve"> </w:t>
      </w:r>
      <w:r w:rsidR="00730027">
        <w:rPr>
          <w:rFonts w:cs="Calibri"/>
          <w:sz w:val="24"/>
          <w:szCs w:val="24"/>
          <w:lang w:val="el-GR"/>
        </w:rPr>
        <w:t>οποιεσδήποτε</w:t>
      </w:r>
      <w:r w:rsidR="00730027" w:rsidRPr="00096F7E">
        <w:rPr>
          <w:rFonts w:cs="Calibri"/>
          <w:sz w:val="24"/>
          <w:szCs w:val="24"/>
          <w:lang w:val="el-GR"/>
        </w:rPr>
        <w:t xml:space="preserve"> </w:t>
      </w:r>
      <w:r w:rsidR="00730027">
        <w:rPr>
          <w:rFonts w:cs="Calibri"/>
          <w:sz w:val="24"/>
          <w:szCs w:val="24"/>
          <w:lang w:val="el-GR"/>
        </w:rPr>
        <w:t>οδηγίες</w:t>
      </w:r>
      <w:r w:rsidR="00730027" w:rsidRPr="00096F7E">
        <w:rPr>
          <w:rFonts w:cs="Calibri"/>
          <w:sz w:val="24"/>
          <w:szCs w:val="24"/>
          <w:lang w:val="el-GR"/>
        </w:rPr>
        <w:t xml:space="preserve"> </w:t>
      </w:r>
      <w:r w:rsidR="00730027">
        <w:rPr>
          <w:rFonts w:cs="Calibri"/>
          <w:sz w:val="24"/>
          <w:szCs w:val="24"/>
          <w:lang w:val="el-GR"/>
        </w:rPr>
        <w:t>που</w:t>
      </w:r>
      <w:r w:rsidR="00730027" w:rsidRPr="00096F7E">
        <w:rPr>
          <w:rFonts w:cs="Calibri"/>
          <w:sz w:val="24"/>
          <w:szCs w:val="24"/>
          <w:lang w:val="el-GR"/>
        </w:rPr>
        <w:t xml:space="preserve"> </w:t>
      </w:r>
      <w:r w:rsidR="00730027">
        <w:rPr>
          <w:rFonts w:cs="Calibri"/>
          <w:sz w:val="24"/>
          <w:szCs w:val="24"/>
          <w:lang w:val="el-GR"/>
        </w:rPr>
        <w:t>μπορεί</w:t>
      </w:r>
      <w:r w:rsidR="00730027" w:rsidRPr="00096F7E">
        <w:rPr>
          <w:rFonts w:cs="Calibri"/>
          <w:sz w:val="24"/>
          <w:szCs w:val="24"/>
          <w:lang w:val="el-GR"/>
        </w:rPr>
        <w:t xml:space="preserve"> </w:t>
      </w:r>
      <w:r w:rsidR="00730027">
        <w:rPr>
          <w:rFonts w:cs="Calibri"/>
          <w:sz w:val="24"/>
          <w:szCs w:val="24"/>
          <w:lang w:val="el-GR"/>
        </w:rPr>
        <w:t>να</w:t>
      </w:r>
      <w:r w:rsidR="00730027" w:rsidRPr="00096F7E">
        <w:rPr>
          <w:rFonts w:cs="Calibri"/>
          <w:sz w:val="24"/>
          <w:szCs w:val="24"/>
          <w:lang w:val="el-GR"/>
        </w:rPr>
        <w:t xml:space="preserve"> </w:t>
      </w:r>
      <w:r w:rsidR="00973266">
        <w:rPr>
          <w:rFonts w:cs="Calibri"/>
          <w:sz w:val="24"/>
          <w:szCs w:val="24"/>
          <w:lang w:val="el-GR"/>
        </w:rPr>
        <w:t>δοθούν</w:t>
      </w:r>
      <w:r w:rsidR="00730027" w:rsidRPr="00096F7E">
        <w:rPr>
          <w:rFonts w:cs="Calibri"/>
          <w:sz w:val="24"/>
          <w:szCs w:val="24"/>
          <w:lang w:val="el-GR"/>
        </w:rPr>
        <w:t xml:space="preserve"> </w:t>
      </w:r>
      <w:proofErr w:type="spellStart"/>
      <w:r w:rsidR="00730027">
        <w:rPr>
          <w:rFonts w:cs="Calibri"/>
          <w:sz w:val="24"/>
          <w:szCs w:val="24"/>
          <w:lang w:val="el-GR"/>
        </w:rPr>
        <w:t>σ</w:t>
      </w:r>
      <w:r w:rsidR="00730027" w:rsidRPr="00096F7E">
        <w:rPr>
          <w:rFonts w:cs="Calibri"/>
          <w:sz w:val="24"/>
          <w:szCs w:val="24"/>
          <w:lang w:val="el-GR"/>
        </w:rPr>
        <w:t>’</w:t>
      </w:r>
      <w:r w:rsidR="00730027">
        <w:rPr>
          <w:rFonts w:cs="Calibri"/>
          <w:sz w:val="24"/>
          <w:szCs w:val="24"/>
          <w:lang w:val="el-GR"/>
        </w:rPr>
        <w:t>αυτό</w:t>
      </w:r>
      <w:proofErr w:type="spellEnd"/>
      <w:r w:rsidR="00730027" w:rsidRPr="00096F7E">
        <w:rPr>
          <w:rFonts w:cs="Calibri"/>
          <w:sz w:val="24"/>
          <w:szCs w:val="24"/>
          <w:lang w:val="el-GR"/>
        </w:rPr>
        <w:t>/</w:t>
      </w:r>
      <w:r w:rsidR="00730027">
        <w:rPr>
          <w:rFonts w:cs="Calibri"/>
          <w:sz w:val="24"/>
          <w:szCs w:val="24"/>
          <w:lang w:val="el-GR"/>
        </w:rPr>
        <w:t>ην</w:t>
      </w:r>
      <w:r w:rsidR="00096F7E" w:rsidRPr="00096F7E">
        <w:rPr>
          <w:rFonts w:cs="Calibri"/>
          <w:sz w:val="24"/>
          <w:szCs w:val="24"/>
          <w:lang w:val="el-GR"/>
        </w:rPr>
        <w:t xml:space="preserve"> </w:t>
      </w:r>
      <w:r w:rsidR="00096F7E">
        <w:rPr>
          <w:rFonts w:cs="Calibri"/>
          <w:sz w:val="24"/>
          <w:szCs w:val="24"/>
          <w:lang w:val="el-GR"/>
        </w:rPr>
        <w:t>από</w:t>
      </w:r>
      <w:r w:rsidR="00096F7E" w:rsidRPr="00096F7E">
        <w:rPr>
          <w:rFonts w:cs="Calibri"/>
          <w:sz w:val="24"/>
          <w:szCs w:val="24"/>
          <w:lang w:val="el-GR"/>
        </w:rPr>
        <w:t xml:space="preserve"> </w:t>
      </w:r>
      <w:r w:rsidR="00096F7E">
        <w:rPr>
          <w:rFonts w:cs="Calibri"/>
          <w:sz w:val="24"/>
          <w:szCs w:val="24"/>
          <w:lang w:val="el-GR"/>
        </w:rPr>
        <w:t>το</w:t>
      </w:r>
      <w:r w:rsidR="00096F7E" w:rsidRPr="00096F7E">
        <w:rPr>
          <w:rFonts w:cs="Calibri"/>
          <w:sz w:val="24"/>
          <w:szCs w:val="24"/>
          <w:lang w:val="el-GR"/>
        </w:rPr>
        <w:t xml:space="preserve"> </w:t>
      </w:r>
      <w:r w:rsidR="00096F7E">
        <w:rPr>
          <w:rFonts w:cs="Calibri"/>
          <w:sz w:val="24"/>
          <w:szCs w:val="24"/>
          <w:lang w:val="el-GR"/>
        </w:rPr>
        <w:t>Υπουργικό</w:t>
      </w:r>
      <w:r w:rsidR="00096F7E" w:rsidRPr="00096F7E">
        <w:rPr>
          <w:rFonts w:cs="Calibri"/>
          <w:sz w:val="24"/>
          <w:szCs w:val="24"/>
          <w:lang w:val="el-GR"/>
        </w:rPr>
        <w:t xml:space="preserve"> </w:t>
      </w:r>
      <w:r w:rsidR="00096F7E">
        <w:rPr>
          <w:rFonts w:cs="Calibri"/>
          <w:sz w:val="24"/>
          <w:szCs w:val="24"/>
          <w:lang w:val="el-GR"/>
        </w:rPr>
        <w:t>Συμβούλιο</w:t>
      </w:r>
      <w:r w:rsidR="00B60243">
        <w:rPr>
          <w:rFonts w:cs="Calibri"/>
          <w:sz w:val="24"/>
          <w:szCs w:val="24"/>
          <w:lang w:val="el-GR"/>
        </w:rPr>
        <w:t>, παρίσταται</w:t>
      </w:r>
      <w:r w:rsidR="00096F7E">
        <w:rPr>
          <w:rFonts w:cs="Calibri"/>
          <w:sz w:val="24"/>
          <w:szCs w:val="24"/>
          <w:lang w:val="el-GR"/>
        </w:rPr>
        <w:t xml:space="preserve"> στις συνεδρίες του και </w:t>
      </w:r>
      <w:r w:rsidR="00B60243">
        <w:rPr>
          <w:rFonts w:cs="Calibri"/>
          <w:sz w:val="24"/>
          <w:szCs w:val="24"/>
          <w:lang w:val="el-GR"/>
        </w:rPr>
        <w:t xml:space="preserve">τηρεί </w:t>
      </w:r>
      <w:r w:rsidR="00096F7E">
        <w:rPr>
          <w:rFonts w:cs="Calibri"/>
          <w:sz w:val="24"/>
          <w:szCs w:val="24"/>
          <w:lang w:val="el-GR"/>
        </w:rPr>
        <w:t>τα πρακτικά</w:t>
      </w:r>
      <w:r w:rsidR="00283321" w:rsidRPr="00096F7E">
        <w:rPr>
          <w:rFonts w:cs="Calibri"/>
          <w:sz w:val="24"/>
          <w:szCs w:val="24"/>
          <w:lang w:val="el-GR"/>
        </w:rPr>
        <w:t xml:space="preserve">, </w:t>
      </w:r>
      <w:r w:rsidR="00B60243">
        <w:rPr>
          <w:rFonts w:cs="Calibri"/>
          <w:sz w:val="24"/>
          <w:szCs w:val="24"/>
          <w:lang w:val="el-GR"/>
        </w:rPr>
        <w:t xml:space="preserve">διαβιβάζει </w:t>
      </w:r>
      <w:r w:rsidR="00096F7E">
        <w:rPr>
          <w:rFonts w:cs="Calibri"/>
          <w:sz w:val="24"/>
          <w:szCs w:val="24"/>
          <w:lang w:val="el-GR"/>
        </w:rPr>
        <w:t>την απόφαση του Υπουργικού Συμβουλίου</w:t>
      </w:r>
      <w:r w:rsidR="00283321" w:rsidRPr="00096F7E">
        <w:rPr>
          <w:rFonts w:cs="Calibri"/>
          <w:sz w:val="24"/>
          <w:szCs w:val="24"/>
          <w:lang w:val="el-GR"/>
        </w:rPr>
        <w:t xml:space="preserve"> </w:t>
      </w:r>
      <w:r w:rsidR="00096F7E">
        <w:rPr>
          <w:rFonts w:cs="Calibri"/>
          <w:sz w:val="24"/>
          <w:szCs w:val="24"/>
          <w:lang w:val="el-GR"/>
        </w:rPr>
        <w:t>στο κατάλληλο όργανο ή αρχή</w:t>
      </w:r>
      <w:r w:rsidR="00283321" w:rsidRPr="00096F7E">
        <w:rPr>
          <w:rFonts w:cs="Calibri"/>
          <w:sz w:val="24"/>
          <w:szCs w:val="24"/>
          <w:lang w:val="el-GR"/>
        </w:rPr>
        <w:t xml:space="preserve"> </w:t>
      </w:r>
      <w:r w:rsidR="00096F7E">
        <w:rPr>
          <w:rFonts w:cs="Calibri"/>
          <w:sz w:val="24"/>
          <w:szCs w:val="24"/>
          <w:lang w:val="el-GR"/>
        </w:rPr>
        <w:t>ή άτομο</w:t>
      </w:r>
      <w:r w:rsidR="00283321" w:rsidRPr="00096F7E">
        <w:rPr>
          <w:rFonts w:cs="Calibri"/>
          <w:sz w:val="24"/>
          <w:szCs w:val="24"/>
          <w:lang w:val="el-GR"/>
        </w:rPr>
        <w:t xml:space="preserve"> </w:t>
      </w:r>
      <w:r w:rsidR="00096F7E">
        <w:rPr>
          <w:rFonts w:cs="Calibri"/>
          <w:sz w:val="24"/>
          <w:szCs w:val="24"/>
          <w:lang w:val="el-GR"/>
        </w:rPr>
        <w:t xml:space="preserve">και </w:t>
      </w:r>
      <w:r w:rsidR="00B60243">
        <w:rPr>
          <w:rFonts w:cs="Calibri"/>
          <w:sz w:val="24"/>
          <w:szCs w:val="24"/>
          <w:lang w:val="el-GR"/>
        </w:rPr>
        <w:t xml:space="preserve">παρακολουθεί </w:t>
      </w:r>
      <w:r w:rsidR="00096F7E">
        <w:rPr>
          <w:rFonts w:cs="Calibri"/>
          <w:sz w:val="24"/>
          <w:szCs w:val="24"/>
          <w:lang w:val="el-GR"/>
        </w:rPr>
        <w:t>την υλοποίηση των Αποφάσεων του Υπουργικού Συμβουλίου</w:t>
      </w:r>
      <w:r w:rsidR="00283321" w:rsidRPr="00096F7E">
        <w:rPr>
          <w:rFonts w:cs="Calibri"/>
          <w:sz w:val="24"/>
          <w:szCs w:val="24"/>
          <w:lang w:val="el-GR"/>
        </w:rPr>
        <w:t xml:space="preserve">. </w:t>
      </w:r>
      <w:r w:rsidR="00B60243">
        <w:rPr>
          <w:rFonts w:cs="Calibri"/>
          <w:sz w:val="24"/>
          <w:szCs w:val="24"/>
          <w:lang w:val="el-GR"/>
        </w:rPr>
        <w:t xml:space="preserve">Ο/Η Γραμματέας του Υπουργικού Συμβουλίου </w:t>
      </w:r>
      <w:r w:rsidR="00096F7E">
        <w:rPr>
          <w:rFonts w:cs="Calibri"/>
          <w:sz w:val="24"/>
          <w:szCs w:val="24"/>
          <w:lang w:val="el-GR"/>
        </w:rPr>
        <w:t>είναι δημόσιος υπάλληλος</w:t>
      </w:r>
      <w:r w:rsidR="00283321" w:rsidRPr="00355C37">
        <w:rPr>
          <w:rFonts w:cs="Calibri"/>
          <w:sz w:val="24"/>
          <w:szCs w:val="24"/>
          <w:lang w:val="el-GR"/>
        </w:rPr>
        <w:t xml:space="preserve">. </w:t>
      </w:r>
      <w:bookmarkEnd w:id="38"/>
    </w:p>
    <w:p w14:paraId="314CD3A0" w14:textId="77777777" w:rsidR="00A5147D" w:rsidRPr="00355C37" w:rsidRDefault="00A5147D" w:rsidP="00A5147D">
      <w:pPr>
        <w:rPr>
          <w:rFonts w:cstheme="minorHAnsi"/>
          <w:sz w:val="24"/>
          <w:szCs w:val="24"/>
          <w:lang w:val="el-GR"/>
        </w:rPr>
      </w:pPr>
    </w:p>
    <w:p w14:paraId="6B5F6E60" w14:textId="6A34496A" w:rsidR="00A5147D" w:rsidRPr="00CF55A4" w:rsidRDefault="00BC5127"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Αποφάσεις</w:t>
      </w:r>
      <w:r w:rsidRPr="00BC5127">
        <w:rPr>
          <w:rFonts w:cstheme="minorHAnsi"/>
          <w:sz w:val="24"/>
          <w:szCs w:val="24"/>
          <w:lang w:val="el-GR"/>
        </w:rPr>
        <w:t xml:space="preserve"> </w:t>
      </w:r>
      <w:r>
        <w:rPr>
          <w:rFonts w:cstheme="minorHAnsi"/>
          <w:sz w:val="24"/>
          <w:szCs w:val="24"/>
          <w:lang w:val="el-GR"/>
        </w:rPr>
        <w:t>από</w:t>
      </w:r>
      <w:r w:rsidRPr="00BC5127">
        <w:rPr>
          <w:rFonts w:cstheme="minorHAnsi"/>
          <w:sz w:val="24"/>
          <w:szCs w:val="24"/>
          <w:lang w:val="el-GR"/>
        </w:rPr>
        <w:t xml:space="preserve"> </w:t>
      </w:r>
      <w:r>
        <w:rPr>
          <w:rFonts w:cstheme="minorHAnsi"/>
          <w:sz w:val="24"/>
          <w:szCs w:val="24"/>
          <w:lang w:val="el-GR"/>
        </w:rPr>
        <w:t>το</w:t>
      </w:r>
      <w:r w:rsidRPr="00BC5127">
        <w:rPr>
          <w:rFonts w:cstheme="minorHAnsi"/>
          <w:sz w:val="24"/>
          <w:szCs w:val="24"/>
          <w:lang w:val="el-GR"/>
        </w:rPr>
        <w:t xml:space="preserve"> </w:t>
      </w:r>
      <w:r>
        <w:rPr>
          <w:rFonts w:cstheme="minorHAnsi"/>
          <w:sz w:val="24"/>
          <w:szCs w:val="24"/>
          <w:lang w:val="el-GR"/>
        </w:rPr>
        <w:t>Υπουργικό</w:t>
      </w:r>
      <w:r w:rsidRPr="00BC5127">
        <w:rPr>
          <w:rFonts w:cstheme="minorHAnsi"/>
          <w:sz w:val="24"/>
          <w:szCs w:val="24"/>
          <w:lang w:val="el-GR"/>
        </w:rPr>
        <w:t xml:space="preserve"> </w:t>
      </w:r>
      <w:r>
        <w:rPr>
          <w:rFonts w:cstheme="minorHAnsi"/>
          <w:sz w:val="24"/>
          <w:szCs w:val="24"/>
          <w:lang w:val="el-GR"/>
        </w:rPr>
        <w:t>Συμβούλιο</w:t>
      </w:r>
      <w:r w:rsidRPr="00BC5127">
        <w:rPr>
          <w:rFonts w:cstheme="minorHAnsi"/>
          <w:sz w:val="24"/>
          <w:szCs w:val="24"/>
          <w:lang w:val="el-GR"/>
        </w:rPr>
        <w:t xml:space="preserve"> </w:t>
      </w:r>
      <w:r>
        <w:rPr>
          <w:rFonts w:cstheme="minorHAnsi"/>
          <w:sz w:val="24"/>
          <w:szCs w:val="24"/>
          <w:lang w:val="el-GR"/>
        </w:rPr>
        <w:t>λαμβάνονται</w:t>
      </w:r>
      <w:r w:rsidRPr="00BC5127">
        <w:rPr>
          <w:rFonts w:cstheme="minorHAnsi"/>
          <w:sz w:val="24"/>
          <w:szCs w:val="24"/>
          <w:lang w:val="el-GR"/>
        </w:rPr>
        <w:t xml:space="preserve"> </w:t>
      </w:r>
      <w:r>
        <w:rPr>
          <w:rFonts w:cstheme="minorHAnsi"/>
          <w:sz w:val="24"/>
          <w:szCs w:val="24"/>
          <w:lang w:val="el-GR"/>
        </w:rPr>
        <w:t>με</w:t>
      </w:r>
      <w:r w:rsidRPr="00BC5127">
        <w:rPr>
          <w:rFonts w:cstheme="minorHAnsi"/>
          <w:sz w:val="24"/>
          <w:szCs w:val="24"/>
          <w:lang w:val="el-GR"/>
        </w:rPr>
        <w:t xml:space="preserve"> </w:t>
      </w:r>
      <w:r>
        <w:rPr>
          <w:rFonts w:cstheme="minorHAnsi"/>
          <w:sz w:val="24"/>
          <w:szCs w:val="24"/>
          <w:lang w:val="el-GR"/>
        </w:rPr>
        <w:t>απόλυτη</w:t>
      </w:r>
      <w:r w:rsidRPr="00BC5127">
        <w:rPr>
          <w:rFonts w:cstheme="minorHAnsi"/>
          <w:sz w:val="24"/>
          <w:szCs w:val="24"/>
          <w:lang w:val="el-GR"/>
        </w:rPr>
        <w:t xml:space="preserve"> </w:t>
      </w:r>
      <w:r>
        <w:rPr>
          <w:rFonts w:cstheme="minorHAnsi"/>
          <w:sz w:val="24"/>
          <w:szCs w:val="24"/>
          <w:lang w:val="el-GR"/>
        </w:rPr>
        <w:t>πλειοψηφία</w:t>
      </w:r>
      <w:r w:rsidR="00A5147D" w:rsidRPr="00BC5127">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και</w:t>
      </w:r>
      <w:r w:rsidRPr="00BC5127">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τίθενται</w:t>
      </w:r>
      <w:r w:rsidRPr="00BC5127">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άμεσα σε ισχύ</w:t>
      </w:r>
      <w:r w:rsidR="00401434" w:rsidRPr="00BC5127">
        <w:rPr>
          <w:rFonts w:eastAsia="Times New Roman" w:cstheme="minorHAnsi"/>
          <w:color w:val="000000"/>
          <w:sz w:val="24"/>
          <w:szCs w:val="24"/>
          <w:lang w:val="el-GR" w:eastAsia="fr-FR"/>
        </w:rPr>
        <w:t xml:space="preserve">, </w:t>
      </w:r>
      <w:bookmarkStart w:id="39" w:name="_Hlk132887613"/>
      <w:r>
        <w:rPr>
          <w:rFonts w:eastAsia="Times New Roman" w:cstheme="minorHAnsi"/>
          <w:color w:val="000000"/>
          <w:sz w:val="24"/>
          <w:szCs w:val="24"/>
          <w:lang w:val="el-GR" w:eastAsia="fr-FR"/>
        </w:rPr>
        <w:t>εκτός αν δηλώνεται αλλιώς</w:t>
      </w:r>
      <w:r w:rsidR="00401434" w:rsidRPr="00BC5127">
        <w:rPr>
          <w:rFonts w:eastAsia="Times New Roman" w:cstheme="minorHAnsi"/>
          <w:color w:val="000000"/>
          <w:sz w:val="24"/>
          <w:szCs w:val="24"/>
          <w:lang w:val="el-GR" w:eastAsia="fr-FR"/>
        </w:rPr>
        <w:t>,</w:t>
      </w:r>
      <w:r w:rsidR="00A5147D" w:rsidRPr="00BC5127">
        <w:rPr>
          <w:rFonts w:eastAsia="Times New Roman" w:cstheme="minorHAnsi"/>
          <w:color w:val="000000"/>
          <w:sz w:val="24"/>
          <w:szCs w:val="24"/>
          <w:lang w:val="el-GR" w:eastAsia="fr-FR"/>
        </w:rPr>
        <w:t xml:space="preserve"> </w:t>
      </w:r>
      <w:bookmarkEnd w:id="39"/>
      <w:r>
        <w:rPr>
          <w:rFonts w:eastAsia="Times New Roman" w:cstheme="minorHAnsi"/>
          <w:color w:val="000000"/>
          <w:sz w:val="24"/>
          <w:szCs w:val="24"/>
          <w:lang w:val="el-GR" w:eastAsia="fr-FR"/>
        </w:rPr>
        <w:t xml:space="preserve">μόλις δημοσιευθούν στην Επίσημη </w:t>
      </w:r>
      <w:r>
        <w:rPr>
          <w:rFonts w:eastAsia="Times New Roman" w:cstheme="minorHAnsi"/>
          <w:color w:val="000000"/>
          <w:sz w:val="24"/>
          <w:szCs w:val="24"/>
          <w:lang w:val="el-GR" w:eastAsia="fr-FR"/>
        </w:rPr>
        <w:lastRenderedPageBreak/>
        <w:t>Εφημερίδα</w:t>
      </w:r>
      <w:r w:rsidR="00A5147D" w:rsidRPr="00BC5127">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Κάθε</w:t>
      </w:r>
      <w:r w:rsidRPr="00BC5127">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απόφαση</w:t>
      </w:r>
      <w:r w:rsidRPr="00BC5127">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που</w:t>
      </w:r>
      <w:r w:rsidRPr="00BC5127">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λαμβάνεται</w:t>
      </w:r>
      <w:r w:rsidRPr="00BC5127">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από</w:t>
      </w:r>
      <w:r w:rsidRPr="00BC5127">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το</w:t>
      </w:r>
      <w:r w:rsidRPr="00BC5127">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Υπουργικό</w:t>
      </w:r>
      <w:r w:rsidRPr="00BC5127">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Συμβούλιο</w:t>
      </w:r>
      <w:r w:rsidR="00A5147D" w:rsidRPr="00BC5127">
        <w:rPr>
          <w:rFonts w:eastAsia="Times New Roman" w:cstheme="minorHAnsi"/>
          <w:sz w:val="24"/>
          <w:szCs w:val="24"/>
          <w:lang w:val="el-GR" w:eastAsia="fr-FR"/>
        </w:rPr>
        <w:t xml:space="preserve"> </w:t>
      </w:r>
      <w:r w:rsidR="00B60243">
        <w:rPr>
          <w:rFonts w:eastAsia="Times New Roman" w:cstheme="minorHAnsi"/>
          <w:sz w:val="24"/>
          <w:szCs w:val="24"/>
          <w:lang w:val="el-GR" w:eastAsia="fr-FR"/>
        </w:rPr>
        <w:t xml:space="preserve">διαβιβάζεται </w:t>
      </w:r>
      <w:r>
        <w:rPr>
          <w:rFonts w:eastAsia="Times New Roman" w:cstheme="minorHAnsi"/>
          <w:sz w:val="24"/>
          <w:szCs w:val="24"/>
          <w:lang w:val="el-GR" w:eastAsia="fr-FR"/>
        </w:rPr>
        <w:t>άμεσα</w:t>
      </w:r>
      <w:r w:rsidRPr="00BC5127">
        <w:rPr>
          <w:rFonts w:eastAsia="Times New Roman" w:cstheme="minorHAnsi"/>
          <w:sz w:val="24"/>
          <w:szCs w:val="24"/>
          <w:lang w:val="el-GR" w:eastAsia="fr-FR"/>
        </w:rPr>
        <w:t xml:space="preserve"> </w:t>
      </w:r>
      <w:r>
        <w:rPr>
          <w:rFonts w:eastAsia="Times New Roman" w:cstheme="minorHAnsi"/>
          <w:sz w:val="24"/>
          <w:szCs w:val="24"/>
          <w:lang w:val="el-GR" w:eastAsia="fr-FR"/>
        </w:rPr>
        <w:t>στο</w:t>
      </w:r>
      <w:r w:rsidRPr="00BC5127">
        <w:rPr>
          <w:rFonts w:eastAsia="Times New Roman" w:cstheme="minorHAnsi"/>
          <w:sz w:val="24"/>
          <w:szCs w:val="24"/>
          <w:lang w:val="el-GR" w:eastAsia="fr-FR"/>
        </w:rPr>
        <w:t xml:space="preserve"> </w:t>
      </w:r>
      <w:r>
        <w:rPr>
          <w:rFonts w:eastAsia="Times New Roman" w:cstheme="minorHAnsi"/>
          <w:sz w:val="24"/>
          <w:szCs w:val="24"/>
          <w:lang w:val="el-GR" w:eastAsia="fr-FR"/>
        </w:rPr>
        <w:t>Γραφείο</w:t>
      </w:r>
      <w:r w:rsidRPr="00BC5127">
        <w:rPr>
          <w:rFonts w:eastAsia="Times New Roman" w:cstheme="minorHAnsi"/>
          <w:sz w:val="24"/>
          <w:szCs w:val="24"/>
          <w:lang w:val="el-GR" w:eastAsia="fr-FR"/>
        </w:rPr>
        <w:t xml:space="preserve"> </w:t>
      </w:r>
      <w:r>
        <w:rPr>
          <w:rFonts w:eastAsia="Times New Roman" w:cstheme="minorHAnsi"/>
          <w:sz w:val="24"/>
          <w:szCs w:val="24"/>
          <w:lang w:val="el-GR" w:eastAsia="fr-FR"/>
        </w:rPr>
        <w:t>του</w:t>
      </w:r>
      <w:r w:rsidRPr="00BC5127">
        <w:rPr>
          <w:rFonts w:eastAsia="Times New Roman" w:cstheme="minorHAnsi"/>
          <w:sz w:val="24"/>
          <w:szCs w:val="24"/>
          <w:lang w:val="el-GR" w:eastAsia="fr-FR"/>
        </w:rPr>
        <w:t xml:space="preserve"> </w:t>
      </w:r>
      <w:r>
        <w:rPr>
          <w:rFonts w:eastAsia="Times New Roman" w:cstheme="minorHAnsi"/>
          <w:sz w:val="24"/>
          <w:szCs w:val="24"/>
          <w:lang w:val="el-GR" w:eastAsia="fr-FR"/>
        </w:rPr>
        <w:t>Πρόεδρου</w:t>
      </w:r>
      <w:r w:rsidR="00A5147D" w:rsidRPr="00BC5127">
        <w:rPr>
          <w:rFonts w:eastAsia="Times New Roman" w:cstheme="minorHAnsi"/>
          <w:sz w:val="24"/>
          <w:szCs w:val="24"/>
          <w:lang w:val="el-GR" w:eastAsia="fr-FR"/>
        </w:rPr>
        <w:t xml:space="preserve">, </w:t>
      </w:r>
      <w:r>
        <w:rPr>
          <w:rFonts w:eastAsia="Times New Roman" w:cstheme="minorHAnsi"/>
          <w:sz w:val="24"/>
          <w:szCs w:val="24"/>
          <w:lang w:val="el-GR" w:eastAsia="fr-FR"/>
        </w:rPr>
        <w:t xml:space="preserve">που έχει το δικαίωμα να </w:t>
      </w:r>
      <w:r w:rsidR="007D2AE6">
        <w:rPr>
          <w:rFonts w:eastAsia="Times New Roman" w:cstheme="minorHAnsi"/>
          <w:sz w:val="24"/>
          <w:szCs w:val="24"/>
          <w:lang w:val="el-GR" w:eastAsia="fr-FR"/>
        </w:rPr>
        <w:t xml:space="preserve">αναπέμψει </w:t>
      </w:r>
      <w:r>
        <w:rPr>
          <w:rFonts w:eastAsia="Times New Roman" w:cstheme="minorHAnsi"/>
          <w:sz w:val="24"/>
          <w:szCs w:val="24"/>
          <w:lang w:val="el-GR" w:eastAsia="fr-FR"/>
        </w:rPr>
        <w:t>την απόφαση στο Υπουργικό Συμβούλιο</w:t>
      </w:r>
      <w:r w:rsidR="007D2AE6">
        <w:rPr>
          <w:rFonts w:eastAsia="Times New Roman" w:cstheme="minorHAnsi"/>
          <w:sz w:val="24"/>
          <w:szCs w:val="24"/>
          <w:lang w:val="el-GR" w:eastAsia="fr-FR"/>
        </w:rPr>
        <w:t xml:space="preserve"> προς επανεξέταση</w:t>
      </w:r>
      <w:r w:rsidR="00A5147D" w:rsidRPr="00BC5127">
        <w:rPr>
          <w:rFonts w:eastAsia="Times New Roman" w:cstheme="minorHAnsi"/>
          <w:sz w:val="24"/>
          <w:szCs w:val="24"/>
          <w:lang w:val="el-GR" w:eastAsia="fr-FR"/>
        </w:rPr>
        <w:t xml:space="preserve">. </w:t>
      </w:r>
      <w:r>
        <w:rPr>
          <w:rFonts w:eastAsia="Times New Roman" w:cstheme="minorHAnsi"/>
          <w:sz w:val="24"/>
          <w:szCs w:val="24"/>
          <w:lang w:val="el-GR" w:eastAsia="fr-FR"/>
        </w:rPr>
        <w:t>Αν</w:t>
      </w:r>
      <w:r w:rsidRPr="00053E50">
        <w:rPr>
          <w:rFonts w:eastAsia="Times New Roman" w:cstheme="minorHAnsi"/>
          <w:sz w:val="24"/>
          <w:szCs w:val="24"/>
          <w:lang w:val="el-GR" w:eastAsia="fr-FR"/>
        </w:rPr>
        <w:t xml:space="preserve"> </w:t>
      </w:r>
      <w:r>
        <w:rPr>
          <w:rFonts w:eastAsia="Times New Roman" w:cstheme="minorHAnsi"/>
          <w:sz w:val="24"/>
          <w:szCs w:val="24"/>
          <w:lang w:val="el-GR" w:eastAsia="fr-FR"/>
        </w:rPr>
        <w:t>το</w:t>
      </w:r>
      <w:r w:rsidRPr="00053E50">
        <w:rPr>
          <w:rFonts w:eastAsia="Times New Roman" w:cstheme="minorHAnsi"/>
          <w:sz w:val="24"/>
          <w:szCs w:val="24"/>
          <w:lang w:val="el-GR" w:eastAsia="fr-FR"/>
        </w:rPr>
        <w:t xml:space="preserve"> </w:t>
      </w:r>
      <w:r w:rsidR="007D2AE6">
        <w:rPr>
          <w:rFonts w:eastAsia="Times New Roman" w:cstheme="minorHAnsi"/>
          <w:sz w:val="24"/>
          <w:szCs w:val="24"/>
          <w:lang w:val="el-GR" w:eastAsia="fr-FR"/>
        </w:rPr>
        <w:t xml:space="preserve">Υπουργικό </w:t>
      </w:r>
      <w:r>
        <w:rPr>
          <w:rFonts w:eastAsia="Times New Roman" w:cstheme="minorHAnsi"/>
          <w:sz w:val="24"/>
          <w:szCs w:val="24"/>
          <w:lang w:val="el-GR" w:eastAsia="fr-FR"/>
        </w:rPr>
        <w:t>Συμβούλιο</w:t>
      </w:r>
      <w:r w:rsidRPr="00053E50">
        <w:rPr>
          <w:rFonts w:eastAsia="Times New Roman" w:cstheme="minorHAnsi"/>
          <w:sz w:val="24"/>
          <w:szCs w:val="24"/>
          <w:lang w:val="el-GR" w:eastAsia="fr-FR"/>
        </w:rPr>
        <w:t xml:space="preserve"> </w:t>
      </w:r>
      <w:r>
        <w:rPr>
          <w:rFonts w:eastAsia="Times New Roman" w:cstheme="minorHAnsi"/>
          <w:sz w:val="24"/>
          <w:szCs w:val="24"/>
          <w:lang w:val="el-GR" w:eastAsia="fr-FR"/>
        </w:rPr>
        <w:t>επιμένει</w:t>
      </w:r>
      <w:r w:rsidRPr="00053E50">
        <w:rPr>
          <w:rFonts w:eastAsia="Times New Roman" w:cstheme="minorHAnsi"/>
          <w:sz w:val="24"/>
          <w:szCs w:val="24"/>
          <w:lang w:val="el-GR" w:eastAsia="fr-FR"/>
        </w:rPr>
        <w:t xml:space="preserve"> </w:t>
      </w:r>
      <w:r>
        <w:rPr>
          <w:rFonts w:eastAsia="Times New Roman" w:cstheme="minorHAnsi"/>
          <w:sz w:val="24"/>
          <w:szCs w:val="24"/>
          <w:lang w:val="el-GR" w:eastAsia="fr-FR"/>
        </w:rPr>
        <w:t>στην</w:t>
      </w:r>
      <w:r w:rsidRPr="00053E50">
        <w:rPr>
          <w:rFonts w:eastAsia="Times New Roman" w:cstheme="minorHAnsi"/>
          <w:sz w:val="24"/>
          <w:szCs w:val="24"/>
          <w:lang w:val="el-GR" w:eastAsia="fr-FR"/>
        </w:rPr>
        <w:t xml:space="preserve"> </w:t>
      </w:r>
      <w:r>
        <w:rPr>
          <w:rFonts w:eastAsia="Times New Roman" w:cstheme="minorHAnsi"/>
          <w:sz w:val="24"/>
          <w:szCs w:val="24"/>
          <w:lang w:val="el-GR" w:eastAsia="fr-FR"/>
        </w:rPr>
        <w:t>απόφαση</w:t>
      </w:r>
      <w:r w:rsidRPr="00053E50">
        <w:rPr>
          <w:rFonts w:eastAsia="Times New Roman" w:cstheme="minorHAnsi"/>
          <w:sz w:val="24"/>
          <w:szCs w:val="24"/>
          <w:lang w:val="el-GR" w:eastAsia="fr-FR"/>
        </w:rPr>
        <w:t xml:space="preserve"> </w:t>
      </w:r>
      <w:r>
        <w:rPr>
          <w:rFonts w:eastAsia="Times New Roman" w:cstheme="minorHAnsi"/>
          <w:sz w:val="24"/>
          <w:szCs w:val="24"/>
          <w:lang w:val="el-GR" w:eastAsia="fr-FR"/>
        </w:rPr>
        <w:t>του</w:t>
      </w:r>
      <w:r w:rsidR="00A5147D" w:rsidRPr="00053E50">
        <w:rPr>
          <w:rFonts w:eastAsia="Times New Roman" w:cstheme="minorHAnsi"/>
          <w:sz w:val="24"/>
          <w:szCs w:val="24"/>
          <w:lang w:val="el-GR" w:eastAsia="fr-FR"/>
        </w:rPr>
        <w:t xml:space="preserve">, </w:t>
      </w:r>
      <w:r>
        <w:rPr>
          <w:rFonts w:eastAsia="Times New Roman" w:cstheme="minorHAnsi"/>
          <w:sz w:val="24"/>
          <w:szCs w:val="24"/>
          <w:lang w:val="el-GR" w:eastAsia="fr-FR"/>
        </w:rPr>
        <w:t>τότε</w:t>
      </w:r>
      <w:r w:rsidRPr="00053E50">
        <w:rPr>
          <w:rFonts w:eastAsia="Times New Roman" w:cstheme="minorHAnsi"/>
          <w:sz w:val="24"/>
          <w:szCs w:val="24"/>
          <w:lang w:val="el-GR" w:eastAsia="fr-FR"/>
        </w:rPr>
        <w:t xml:space="preserve"> </w:t>
      </w:r>
      <w:r>
        <w:rPr>
          <w:rFonts w:eastAsia="Times New Roman" w:cstheme="minorHAnsi"/>
          <w:sz w:val="24"/>
          <w:szCs w:val="24"/>
          <w:lang w:val="el-GR" w:eastAsia="fr-FR"/>
        </w:rPr>
        <w:t>ο</w:t>
      </w:r>
      <w:r w:rsidRPr="00053E50">
        <w:rPr>
          <w:rFonts w:eastAsia="Times New Roman" w:cstheme="minorHAnsi"/>
          <w:sz w:val="24"/>
          <w:szCs w:val="24"/>
          <w:lang w:val="el-GR" w:eastAsia="fr-FR"/>
        </w:rPr>
        <w:t xml:space="preserve"> </w:t>
      </w:r>
      <w:r>
        <w:rPr>
          <w:rFonts w:eastAsia="Times New Roman" w:cstheme="minorHAnsi"/>
          <w:sz w:val="24"/>
          <w:szCs w:val="24"/>
          <w:lang w:val="el-GR" w:eastAsia="fr-FR"/>
        </w:rPr>
        <w:t>Πρόεδρος</w:t>
      </w:r>
      <w:r w:rsidRPr="00053E50">
        <w:rPr>
          <w:rFonts w:eastAsia="Times New Roman" w:cstheme="minorHAnsi"/>
          <w:sz w:val="24"/>
          <w:szCs w:val="24"/>
          <w:lang w:val="el-GR" w:eastAsia="fr-FR"/>
        </w:rPr>
        <w:t xml:space="preserve"> </w:t>
      </w:r>
      <w:r>
        <w:rPr>
          <w:rFonts w:eastAsia="Times New Roman" w:cstheme="minorHAnsi"/>
          <w:sz w:val="24"/>
          <w:szCs w:val="24"/>
          <w:lang w:val="el-GR" w:eastAsia="fr-FR"/>
        </w:rPr>
        <w:t>πρέπει</w:t>
      </w:r>
      <w:r w:rsidRPr="00053E50">
        <w:rPr>
          <w:rFonts w:eastAsia="Times New Roman" w:cstheme="minorHAnsi"/>
          <w:sz w:val="24"/>
          <w:szCs w:val="24"/>
          <w:lang w:val="el-GR" w:eastAsia="fr-FR"/>
        </w:rPr>
        <w:t xml:space="preserve"> </w:t>
      </w:r>
      <w:r>
        <w:rPr>
          <w:rFonts w:eastAsia="Times New Roman" w:cstheme="minorHAnsi"/>
          <w:sz w:val="24"/>
          <w:szCs w:val="24"/>
          <w:lang w:val="el-GR" w:eastAsia="fr-FR"/>
        </w:rPr>
        <w:t>να</w:t>
      </w:r>
      <w:r w:rsidRPr="00053E50">
        <w:rPr>
          <w:rFonts w:eastAsia="Times New Roman" w:cstheme="minorHAnsi"/>
          <w:sz w:val="24"/>
          <w:szCs w:val="24"/>
          <w:lang w:val="el-GR" w:eastAsia="fr-FR"/>
        </w:rPr>
        <w:t xml:space="preserve"> </w:t>
      </w:r>
      <w:r w:rsidR="007D2AE6">
        <w:rPr>
          <w:rFonts w:eastAsia="Times New Roman" w:cstheme="minorHAnsi"/>
          <w:sz w:val="24"/>
          <w:szCs w:val="24"/>
          <w:lang w:val="el-GR" w:eastAsia="fr-FR"/>
        </w:rPr>
        <w:t xml:space="preserve">εκδώσει </w:t>
      </w:r>
      <w:r>
        <w:rPr>
          <w:rFonts w:eastAsia="Times New Roman" w:cstheme="minorHAnsi"/>
          <w:sz w:val="24"/>
          <w:szCs w:val="24"/>
          <w:lang w:val="el-GR" w:eastAsia="fr-FR"/>
        </w:rPr>
        <w:t>την</w:t>
      </w:r>
      <w:r w:rsidRPr="00053E50">
        <w:rPr>
          <w:rFonts w:eastAsia="Times New Roman" w:cstheme="minorHAnsi"/>
          <w:sz w:val="24"/>
          <w:szCs w:val="24"/>
          <w:lang w:val="el-GR" w:eastAsia="fr-FR"/>
        </w:rPr>
        <w:t xml:space="preserve"> </w:t>
      </w:r>
      <w:r>
        <w:rPr>
          <w:rFonts w:eastAsia="Times New Roman" w:cstheme="minorHAnsi"/>
          <w:sz w:val="24"/>
          <w:szCs w:val="24"/>
          <w:lang w:val="el-GR" w:eastAsia="fr-FR"/>
        </w:rPr>
        <w:t>απόφαση</w:t>
      </w:r>
      <w:r w:rsidR="00053E50">
        <w:rPr>
          <w:rFonts w:eastAsia="Times New Roman" w:cstheme="minorHAnsi"/>
          <w:sz w:val="24"/>
          <w:szCs w:val="24"/>
          <w:lang w:val="el-GR" w:eastAsia="fr-FR"/>
        </w:rPr>
        <w:t xml:space="preserve"> σε περίπτωση που η άσκηση </w:t>
      </w:r>
      <w:r w:rsidR="00053E50" w:rsidRPr="00973266">
        <w:rPr>
          <w:rFonts w:eastAsia="Times New Roman" w:cstheme="minorHAnsi"/>
          <w:sz w:val="24"/>
          <w:szCs w:val="24"/>
          <w:lang w:val="el-GR" w:eastAsia="fr-FR"/>
        </w:rPr>
        <w:t xml:space="preserve">του δικαιώματος </w:t>
      </w:r>
      <w:r w:rsidR="00973266" w:rsidRPr="00973266">
        <w:rPr>
          <w:rFonts w:eastAsia="Times New Roman" w:cstheme="minorHAnsi"/>
          <w:sz w:val="24"/>
          <w:szCs w:val="24"/>
          <w:lang w:val="el-GR" w:eastAsia="fr-FR"/>
        </w:rPr>
        <w:t>αναπομπής</w:t>
      </w:r>
      <w:r w:rsidR="007D2AE6">
        <w:rPr>
          <w:rFonts w:eastAsia="Times New Roman" w:cstheme="minorHAnsi"/>
          <w:i/>
          <w:sz w:val="24"/>
          <w:szCs w:val="24"/>
          <w:lang w:val="el-GR" w:eastAsia="fr-FR"/>
        </w:rPr>
        <w:t xml:space="preserve"> </w:t>
      </w:r>
      <w:r w:rsidR="00053E50">
        <w:rPr>
          <w:rFonts w:eastAsia="Times New Roman" w:cstheme="minorHAnsi"/>
          <w:sz w:val="24"/>
          <w:szCs w:val="24"/>
          <w:lang w:val="el-GR" w:eastAsia="fr-FR"/>
        </w:rPr>
        <w:t xml:space="preserve">δεν εμποδίζει τον Πρόεδρο από την άσκηση του </w:t>
      </w:r>
      <w:r w:rsidR="00053E50">
        <w:rPr>
          <w:rFonts w:eastAsia="Times New Roman" w:cstheme="minorHAnsi"/>
          <w:i/>
          <w:sz w:val="24"/>
          <w:szCs w:val="24"/>
          <w:lang w:val="el-GR" w:eastAsia="fr-FR"/>
        </w:rPr>
        <w:t>δικαιώματος του βέτο</w:t>
      </w:r>
      <w:r w:rsidR="00A5147D"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Ο</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Πρόεδρος</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έχει</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το</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δικαίωμα</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του</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βέτο</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σε</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σχέση</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με</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αποφάσεις</w:t>
      </w:r>
      <w:r w:rsidR="00A5147D"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που σχετίζονται με εξωτερικές υποθέσεις, θέματα άμυνας ή ασφάλειας</w:t>
      </w:r>
      <w:r w:rsidR="00A5147D"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Αν</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η</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απόφαση</w:t>
      </w:r>
      <w:r w:rsidR="00053E50" w:rsidRPr="00053E50">
        <w:rPr>
          <w:rFonts w:eastAsia="Times New Roman" w:cstheme="minorHAnsi"/>
          <w:sz w:val="24"/>
          <w:szCs w:val="24"/>
          <w:lang w:val="el-GR" w:eastAsia="fr-FR"/>
        </w:rPr>
        <w:t xml:space="preserve"> </w:t>
      </w:r>
      <w:r w:rsidR="007D2AE6">
        <w:rPr>
          <w:rFonts w:eastAsia="Times New Roman" w:cstheme="minorHAnsi"/>
          <w:sz w:val="24"/>
          <w:szCs w:val="24"/>
          <w:lang w:val="el-GR" w:eastAsia="fr-FR"/>
        </w:rPr>
        <w:t xml:space="preserve">είναι εκτελεστή </w:t>
      </w:r>
      <w:r w:rsidR="00053E50">
        <w:rPr>
          <w:rFonts w:eastAsia="Times New Roman" w:cstheme="minorHAnsi"/>
          <w:sz w:val="24"/>
          <w:szCs w:val="24"/>
          <w:lang w:val="el-GR" w:eastAsia="fr-FR"/>
        </w:rPr>
        <w:t>και</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δεν</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έχει</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ασκηθεί</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δικαίωμα</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του</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βέτο</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ή</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της</w:t>
      </w:r>
      <w:r w:rsidR="007D2AE6">
        <w:rPr>
          <w:rFonts w:eastAsia="Times New Roman" w:cstheme="minorHAnsi"/>
          <w:sz w:val="24"/>
          <w:szCs w:val="24"/>
          <w:lang w:val="el-GR" w:eastAsia="fr-FR"/>
        </w:rPr>
        <w:t xml:space="preserve"> αναπομπής</w:t>
      </w:r>
      <w:r w:rsidR="00A5147D"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τότε</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η</w:t>
      </w:r>
      <w:r w:rsidR="00053E50" w:rsidRPr="00053E50">
        <w:rPr>
          <w:rFonts w:eastAsia="Times New Roman" w:cstheme="minorHAnsi"/>
          <w:sz w:val="24"/>
          <w:szCs w:val="24"/>
          <w:lang w:val="el-GR" w:eastAsia="fr-FR"/>
        </w:rPr>
        <w:t xml:space="preserve"> </w:t>
      </w:r>
      <w:r w:rsidR="00053E50">
        <w:rPr>
          <w:rFonts w:eastAsia="Times New Roman" w:cstheme="minorHAnsi"/>
          <w:sz w:val="24"/>
          <w:szCs w:val="24"/>
          <w:lang w:val="el-GR" w:eastAsia="fr-FR"/>
        </w:rPr>
        <w:t xml:space="preserve">απόφαση </w:t>
      </w:r>
      <w:r w:rsidR="007D2AE6">
        <w:rPr>
          <w:rFonts w:eastAsia="Times New Roman" w:cstheme="minorHAnsi"/>
          <w:sz w:val="24"/>
          <w:szCs w:val="24"/>
          <w:lang w:val="el-GR" w:eastAsia="fr-FR"/>
        </w:rPr>
        <w:t xml:space="preserve">εκδίδεται </w:t>
      </w:r>
      <w:r w:rsidR="00053E50">
        <w:rPr>
          <w:rFonts w:eastAsia="Times New Roman" w:cstheme="minorHAnsi"/>
          <w:sz w:val="24"/>
          <w:szCs w:val="24"/>
          <w:lang w:val="el-GR" w:eastAsia="fr-FR"/>
        </w:rPr>
        <w:t xml:space="preserve">από </w:t>
      </w:r>
      <w:r w:rsidR="00CF55A4">
        <w:rPr>
          <w:rFonts w:eastAsia="Times New Roman" w:cstheme="minorHAnsi"/>
          <w:sz w:val="24"/>
          <w:szCs w:val="24"/>
          <w:lang w:val="el-GR" w:eastAsia="fr-FR"/>
        </w:rPr>
        <w:t>τον Πρόεδρο</w:t>
      </w:r>
      <w:r w:rsidR="00A5147D" w:rsidRPr="00053E50">
        <w:rPr>
          <w:rFonts w:eastAsia="Times New Roman" w:cstheme="minorHAnsi"/>
          <w:sz w:val="24"/>
          <w:szCs w:val="24"/>
          <w:lang w:val="el-GR" w:eastAsia="fr-FR"/>
        </w:rPr>
        <w:t xml:space="preserve"> </w:t>
      </w:r>
      <w:r w:rsidR="00CF55A4">
        <w:rPr>
          <w:rFonts w:eastAsia="Times New Roman" w:cstheme="minorHAnsi"/>
          <w:sz w:val="24"/>
          <w:szCs w:val="24"/>
          <w:lang w:val="el-GR" w:eastAsia="fr-FR"/>
        </w:rPr>
        <w:t>μεσώ της δημοσίευσης της στην Επίσημη Εφημερίδα</w:t>
      </w:r>
      <w:r w:rsidR="00A5147D" w:rsidRPr="00053E50">
        <w:rPr>
          <w:rFonts w:eastAsia="Times New Roman" w:cstheme="minorHAnsi"/>
          <w:sz w:val="24"/>
          <w:szCs w:val="24"/>
          <w:lang w:val="el-GR" w:eastAsia="fr-FR"/>
        </w:rPr>
        <w:t>.</w:t>
      </w:r>
      <w:r w:rsidR="00A5147D" w:rsidRPr="004E251E">
        <w:rPr>
          <w:rStyle w:val="FootnoteReference"/>
          <w:rFonts w:eastAsia="Times New Roman" w:cstheme="minorHAnsi"/>
          <w:sz w:val="24"/>
          <w:szCs w:val="24"/>
          <w:lang w:eastAsia="fr-FR"/>
        </w:rPr>
        <w:footnoteReference w:id="29"/>
      </w:r>
      <w:r w:rsidR="00A5147D" w:rsidRPr="00053E50">
        <w:rPr>
          <w:rFonts w:eastAsia="Times New Roman" w:cstheme="minorHAnsi"/>
          <w:sz w:val="24"/>
          <w:szCs w:val="24"/>
          <w:lang w:val="el-GR" w:eastAsia="fr-FR"/>
        </w:rPr>
        <w:t xml:space="preserve"> </w:t>
      </w:r>
      <w:r w:rsidR="00CF55A4">
        <w:rPr>
          <w:rFonts w:eastAsia="Times New Roman" w:cstheme="minorHAnsi"/>
          <w:sz w:val="24"/>
          <w:szCs w:val="24"/>
          <w:lang w:val="el-GR" w:eastAsia="fr-FR"/>
        </w:rPr>
        <w:t>Μέλη</w:t>
      </w:r>
      <w:r w:rsidR="00CF55A4" w:rsidRPr="00CF55A4">
        <w:rPr>
          <w:rFonts w:eastAsia="Times New Roman" w:cstheme="minorHAnsi"/>
          <w:sz w:val="24"/>
          <w:szCs w:val="24"/>
          <w:lang w:val="el-GR" w:eastAsia="fr-FR"/>
        </w:rPr>
        <w:t xml:space="preserve"> </w:t>
      </w:r>
      <w:r w:rsidR="00CF55A4">
        <w:rPr>
          <w:rFonts w:eastAsia="Times New Roman" w:cstheme="minorHAnsi"/>
          <w:sz w:val="24"/>
          <w:szCs w:val="24"/>
          <w:lang w:val="el-GR" w:eastAsia="fr-FR"/>
        </w:rPr>
        <w:t>του</w:t>
      </w:r>
      <w:r w:rsidR="00CF55A4" w:rsidRPr="00CF55A4">
        <w:rPr>
          <w:rFonts w:eastAsia="Times New Roman" w:cstheme="minorHAnsi"/>
          <w:sz w:val="24"/>
          <w:szCs w:val="24"/>
          <w:lang w:val="el-GR" w:eastAsia="fr-FR"/>
        </w:rPr>
        <w:t xml:space="preserve"> </w:t>
      </w:r>
      <w:r w:rsidR="00CF55A4">
        <w:rPr>
          <w:rFonts w:eastAsia="Times New Roman" w:cstheme="minorHAnsi"/>
          <w:sz w:val="24"/>
          <w:szCs w:val="24"/>
          <w:lang w:val="el-GR" w:eastAsia="fr-FR"/>
        </w:rPr>
        <w:t>Υπουργικού</w:t>
      </w:r>
      <w:r w:rsidR="00CF55A4" w:rsidRPr="00CF55A4">
        <w:rPr>
          <w:rFonts w:eastAsia="Times New Roman" w:cstheme="minorHAnsi"/>
          <w:sz w:val="24"/>
          <w:szCs w:val="24"/>
          <w:lang w:val="el-GR" w:eastAsia="fr-FR"/>
        </w:rPr>
        <w:t xml:space="preserve"> </w:t>
      </w:r>
      <w:r w:rsidR="00CF55A4">
        <w:rPr>
          <w:rFonts w:eastAsia="Times New Roman" w:cstheme="minorHAnsi"/>
          <w:sz w:val="24"/>
          <w:szCs w:val="24"/>
          <w:lang w:val="el-GR" w:eastAsia="fr-FR"/>
        </w:rPr>
        <w:t>Συμβουλίου</w:t>
      </w:r>
      <w:r w:rsidR="00CF55A4" w:rsidRPr="00CF55A4">
        <w:rPr>
          <w:rFonts w:eastAsia="Times New Roman" w:cstheme="minorHAnsi"/>
          <w:sz w:val="24"/>
          <w:szCs w:val="24"/>
          <w:lang w:val="el-GR" w:eastAsia="fr-FR"/>
        </w:rPr>
        <w:t xml:space="preserve"> </w:t>
      </w:r>
      <w:r w:rsidR="00CF55A4">
        <w:rPr>
          <w:rFonts w:eastAsia="Times New Roman" w:cstheme="minorHAnsi"/>
          <w:sz w:val="24"/>
          <w:szCs w:val="24"/>
          <w:lang w:val="el-GR" w:eastAsia="fr-FR"/>
        </w:rPr>
        <w:t>είναι</w:t>
      </w:r>
      <w:r w:rsidR="00CF55A4" w:rsidRPr="00CF55A4">
        <w:rPr>
          <w:rFonts w:eastAsia="Times New Roman" w:cstheme="minorHAnsi"/>
          <w:sz w:val="24"/>
          <w:szCs w:val="24"/>
          <w:lang w:val="el-GR" w:eastAsia="fr-FR"/>
        </w:rPr>
        <w:t xml:space="preserve"> </w:t>
      </w:r>
      <w:r w:rsidR="00CF55A4">
        <w:rPr>
          <w:rFonts w:eastAsia="Times New Roman" w:cstheme="minorHAnsi"/>
          <w:sz w:val="24"/>
          <w:szCs w:val="24"/>
          <w:lang w:val="el-GR" w:eastAsia="fr-FR"/>
        </w:rPr>
        <w:t>υπουργοί</w:t>
      </w:r>
      <w:r w:rsidR="00CF55A4" w:rsidRPr="00CF55A4">
        <w:rPr>
          <w:rFonts w:eastAsia="Times New Roman" w:cstheme="minorHAnsi"/>
          <w:sz w:val="24"/>
          <w:szCs w:val="24"/>
          <w:lang w:val="el-GR" w:eastAsia="fr-FR"/>
        </w:rPr>
        <w:t xml:space="preserve"> </w:t>
      </w:r>
      <w:r w:rsidR="00CF55A4">
        <w:rPr>
          <w:rFonts w:eastAsia="Times New Roman" w:cstheme="minorHAnsi"/>
          <w:sz w:val="24"/>
          <w:szCs w:val="24"/>
          <w:lang w:val="el-GR" w:eastAsia="fr-FR"/>
        </w:rPr>
        <w:t>διορισμένοι</w:t>
      </w:r>
      <w:r w:rsidR="00CF55A4" w:rsidRPr="00CF55A4">
        <w:rPr>
          <w:rFonts w:eastAsia="Times New Roman" w:cstheme="minorHAnsi"/>
          <w:sz w:val="24"/>
          <w:szCs w:val="24"/>
          <w:lang w:val="el-GR" w:eastAsia="fr-FR"/>
        </w:rPr>
        <w:t xml:space="preserve"> </w:t>
      </w:r>
      <w:r w:rsidR="00CF55A4">
        <w:rPr>
          <w:rFonts w:eastAsia="Times New Roman" w:cstheme="minorHAnsi"/>
          <w:sz w:val="24"/>
          <w:szCs w:val="24"/>
          <w:lang w:val="el-GR" w:eastAsia="fr-FR"/>
        </w:rPr>
        <w:t>από τον Πρόεδρο</w:t>
      </w:r>
      <w:r w:rsidR="00702DE3" w:rsidRPr="00CF55A4">
        <w:rPr>
          <w:rFonts w:eastAsia="Times New Roman" w:cstheme="minorHAnsi"/>
          <w:sz w:val="24"/>
          <w:szCs w:val="24"/>
          <w:lang w:val="el-GR" w:eastAsia="fr-FR"/>
        </w:rPr>
        <w:t xml:space="preserve">. </w:t>
      </w:r>
    </w:p>
    <w:p w14:paraId="471A3D21" w14:textId="77777777" w:rsidR="00A5147D" w:rsidRPr="00CF55A4" w:rsidRDefault="00A5147D" w:rsidP="00A5147D">
      <w:pPr>
        <w:widowControl w:val="0"/>
        <w:rPr>
          <w:rFonts w:cstheme="minorHAnsi"/>
          <w:sz w:val="24"/>
          <w:szCs w:val="24"/>
          <w:lang w:val="el-GR"/>
        </w:rPr>
      </w:pPr>
    </w:p>
    <w:p w14:paraId="54A7F653" w14:textId="57698AB5" w:rsidR="00A5147D" w:rsidRPr="007D243C" w:rsidRDefault="00CF55A4" w:rsidP="00A5147D">
      <w:pPr>
        <w:widowControl w:val="0"/>
        <w:numPr>
          <w:ilvl w:val="0"/>
          <w:numId w:val="1"/>
        </w:numPr>
        <w:tabs>
          <w:tab w:val="clear" w:pos="6095"/>
          <w:tab w:val="left" w:pos="709"/>
        </w:tabs>
        <w:ind w:left="0" w:firstLine="0"/>
        <w:rPr>
          <w:rFonts w:cstheme="minorHAnsi"/>
          <w:sz w:val="24"/>
          <w:szCs w:val="24"/>
          <w:lang w:val="el-GR"/>
        </w:rPr>
      </w:pPr>
      <w:r w:rsidRPr="00CF55A4">
        <w:rPr>
          <w:rFonts w:cstheme="minorHAnsi"/>
          <w:sz w:val="24"/>
          <w:szCs w:val="24"/>
          <w:lang w:val="el-GR"/>
        </w:rPr>
        <w:t xml:space="preserve">Οι </w:t>
      </w:r>
      <w:r>
        <w:rPr>
          <w:rFonts w:cstheme="minorHAnsi"/>
          <w:sz w:val="24"/>
          <w:szCs w:val="24"/>
          <w:u w:val="single"/>
          <w:lang w:val="el-GR"/>
        </w:rPr>
        <w:t>Υπουργοί</w:t>
      </w:r>
      <w:r w:rsidR="00A5147D" w:rsidRPr="00CF55A4">
        <w:rPr>
          <w:rFonts w:cstheme="minorHAnsi"/>
          <w:sz w:val="24"/>
          <w:szCs w:val="24"/>
          <w:lang w:val="el-GR"/>
        </w:rPr>
        <w:t xml:space="preserve"> </w:t>
      </w:r>
      <w:r>
        <w:rPr>
          <w:rFonts w:cstheme="minorHAnsi"/>
          <w:sz w:val="24"/>
          <w:szCs w:val="24"/>
          <w:lang w:val="el-GR"/>
        </w:rPr>
        <w:t>είναι οι επικεφαλής των υπουργείων τους</w:t>
      </w:r>
      <w:r w:rsidR="00A5147D" w:rsidRPr="00CF55A4">
        <w:rPr>
          <w:rFonts w:cstheme="minorHAnsi"/>
          <w:sz w:val="24"/>
          <w:szCs w:val="24"/>
          <w:lang w:val="el-GR"/>
        </w:rPr>
        <w:t xml:space="preserve">. </w:t>
      </w:r>
      <w:r>
        <w:rPr>
          <w:rFonts w:cstheme="minorHAnsi"/>
          <w:sz w:val="24"/>
          <w:szCs w:val="24"/>
          <w:lang w:val="el-GR"/>
        </w:rPr>
        <w:t>Οι</w:t>
      </w:r>
      <w:r w:rsidRPr="00CF55A4">
        <w:rPr>
          <w:rFonts w:cstheme="minorHAnsi"/>
          <w:sz w:val="24"/>
          <w:szCs w:val="24"/>
          <w:lang w:val="el-GR"/>
        </w:rPr>
        <w:t xml:space="preserve"> </w:t>
      </w:r>
      <w:r>
        <w:rPr>
          <w:rFonts w:cstheme="minorHAnsi"/>
          <w:sz w:val="24"/>
          <w:szCs w:val="24"/>
          <w:lang w:val="el-GR"/>
        </w:rPr>
        <w:t>εκτελεστικές</w:t>
      </w:r>
      <w:r w:rsidRPr="00CF55A4">
        <w:rPr>
          <w:rFonts w:cstheme="minorHAnsi"/>
          <w:sz w:val="24"/>
          <w:szCs w:val="24"/>
          <w:lang w:val="el-GR"/>
        </w:rPr>
        <w:t xml:space="preserve"> </w:t>
      </w:r>
      <w:r>
        <w:rPr>
          <w:rFonts w:cstheme="minorHAnsi"/>
          <w:sz w:val="24"/>
          <w:szCs w:val="24"/>
          <w:lang w:val="el-GR"/>
        </w:rPr>
        <w:t>εξουσίες</w:t>
      </w:r>
      <w:r w:rsidRPr="00CF55A4">
        <w:rPr>
          <w:rFonts w:cstheme="minorHAnsi"/>
          <w:sz w:val="24"/>
          <w:szCs w:val="24"/>
          <w:lang w:val="el-GR"/>
        </w:rPr>
        <w:t xml:space="preserve"> </w:t>
      </w:r>
      <w:r>
        <w:rPr>
          <w:rFonts w:cstheme="minorHAnsi"/>
          <w:sz w:val="24"/>
          <w:szCs w:val="24"/>
          <w:lang w:val="el-GR"/>
        </w:rPr>
        <w:t>τους</w:t>
      </w:r>
      <w:r w:rsidR="00A5147D" w:rsidRPr="00CF55A4">
        <w:rPr>
          <w:rFonts w:cstheme="minorHAnsi"/>
          <w:sz w:val="24"/>
          <w:szCs w:val="24"/>
          <w:lang w:val="el-GR"/>
        </w:rPr>
        <w:t xml:space="preserve"> </w:t>
      </w:r>
      <w:r>
        <w:rPr>
          <w:rFonts w:cstheme="minorHAnsi"/>
          <w:sz w:val="24"/>
          <w:szCs w:val="24"/>
          <w:lang w:val="el-GR"/>
        </w:rPr>
        <w:t>είναι</w:t>
      </w:r>
      <w:r w:rsidRPr="00CF55A4">
        <w:rPr>
          <w:rFonts w:cstheme="minorHAnsi"/>
          <w:sz w:val="24"/>
          <w:szCs w:val="24"/>
          <w:lang w:val="el-GR"/>
        </w:rPr>
        <w:t xml:space="preserve"> </w:t>
      </w:r>
      <w:r>
        <w:rPr>
          <w:rFonts w:cstheme="minorHAnsi"/>
          <w:sz w:val="24"/>
          <w:szCs w:val="24"/>
          <w:lang w:val="el-GR"/>
        </w:rPr>
        <w:t>περιορισμένες</w:t>
      </w:r>
      <w:r w:rsidRPr="00CF55A4">
        <w:rPr>
          <w:rFonts w:cstheme="minorHAnsi"/>
          <w:sz w:val="24"/>
          <w:szCs w:val="24"/>
          <w:lang w:val="el-GR"/>
        </w:rPr>
        <w:t xml:space="preserve"> </w:t>
      </w:r>
      <w:proofErr w:type="spellStart"/>
      <w:r>
        <w:rPr>
          <w:rFonts w:cstheme="minorHAnsi"/>
          <w:sz w:val="24"/>
          <w:szCs w:val="24"/>
          <w:lang w:val="el-GR"/>
        </w:rPr>
        <w:t>σ</w:t>
      </w:r>
      <w:r w:rsidRPr="00CF55A4">
        <w:rPr>
          <w:rFonts w:cstheme="minorHAnsi"/>
          <w:sz w:val="24"/>
          <w:szCs w:val="24"/>
          <w:lang w:val="el-GR"/>
        </w:rPr>
        <w:t>’</w:t>
      </w:r>
      <w:r>
        <w:rPr>
          <w:rFonts w:cstheme="minorHAnsi"/>
          <w:sz w:val="24"/>
          <w:szCs w:val="24"/>
          <w:lang w:val="el-GR"/>
        </w:rPr>
        <w:t>αυτές</w:t>
      </w:r>
      <w:proofErr w:type="spellEnd"/>
      <w:r w:rsidRPr="00CF55A4">
        <w:rPr>
          <w:rFonts w:cstheme="minorHAnsi"/>
          <w:sz w:val="24"/>
          <w:szCs w:val="24"/>
          <w:lang w:val="el-GR"/>
        </w:rPr>
        <w:t xml:space="preserve"> </w:t>
      </w:r>
      <w:r>
        <w:rPr>
          <w:rFonts w:cstheme="minorHAnsi"/>
          <w:sz w:val="24"/>
          <w:szCs w:val="24"/>
          <w:lang w:val="el-GR"/>
        </w:rPr>
        <w:t>που</w:t>
      </w:r>
      <w:r w:rsidRPr="00CF55A4">
        <w:rPr>
          <w:rFonts w:cstheme="minorHAnsi"/>
          <w:sz w:val="24"/>
          <w:szCs w:val="24"/>
          <w:lang w:val="el-GR"/>
        </w:rPr>
        <w:t xml:space="preserve"> </w:t>
      </w:r>
      <w:r>
        <w:rPr>
          <w:rFonts w:cstheme="minorHAnsi"/>
          <w:sz w:val="24"/>
          <w:szCs w:val="24"/>
          <w:lang w:val="el-GR"/>
        </w:rPr>
        <w:t>δεν</w:t>
      </w:r>
      <w:r w:rsidRPr="00CF55A4">
        <w:rPr>
          <w:rFonts w:cstheme="minorHAnsi"/>
          <w:sz w:val="24"/>
          <w:szCs w:val="24"/>
          <w:lang w:val="el-GR"/>
        </w:rPr>
        <w:t xml:space="preserve"> </w:t>
      </w:r>
      <w:r>
        <w:rPr>
          <w:rFonts w:cstheme="minorHAnsi"/>
          <w:sz w:val="24"/>
          <w:szCs w:val="24"/>
          <w:lang w:val="el-GR"/>
        </w:rPr>
        <w:t>είναι</w:t>
      </w:r>
      <w:r w:rsidRPr="00CF55A4">
        <w:rPr>
          <w:rFonts w:cstheme="minorHAnsi"/>
          <w:sz w:val="24"/>
          <w:szCs w:val="24"/>
          <w:lang w:val="el-GR"/>
        </w:rPr>
        <w:t xml:space="preserve"> </w:t>
      </w:r>
      <w:r>
        <w:rPr>
          <w:rFonts w:cstheme="minorHAnsi"/>
          <w:sz w:val="24"/>
          <w:szCs w:val="24"/>
          <w:lang w:val="el-GR"/>
        </w:rPr>
        <w:t>ρητά</w:t>
      </w:r>
      <w:r w:rsidRPr="00CF55A4">
        <w:rPr>
          <w:rFonts w:cstheme="minorHAnsi"/>
          <w:sz w:val="24"/>
          <w:szCs w:val="24"/>
          <w:lang w:val="el-GR"/>
        </w:rPr>
        <w:t xml:space="preserve"> </w:t>
      </w:r>
      <w:r w:rsidR="007D2AE6">
        <w:rPr>
          <w:rFonts w:cstheme="minorHAnsi"/>
          <w:sz w:val="24"/>
          <w:szCs w:val="24"/>
          <w:lang w:val="el-GR"/>
        </w:rPr>
        <w:t xml:space="preserve">διαφυλαγμένες </w:t>
      </w:r>
      <w:r>
        <w:rPr>
          <w:rFonts w:cstheme="minorHAnsi"/>
          <w:sz w:val="24"/>
          <w:szCs w:val="24"/>
          <w:lang w:val="el-GR"/>
        </w:rPr>
        <w:t>για</w:t>
      </w:r>
      <w:r w:rsidRPr="00CF55A4">
        <w:rPr>
          <w:rFonts w:cstheme="minorHAnsi"/>
          <w:sz w:val="24"/>
          <w:szCs w:val="24"/>
          <w:lang w:val="el-GR"/>
        </w:rPr>
        <w:t xml:space="preserve"> </w:t>
      </w:r>
      <w:r>
        <w:rPr>
          <w:rFonts w:cstheme="minorHAnsi"/>
          <w:sz w:val="24"/>
          <w:szCs w:val="24"/>
          <w:lang w:val="el-GR"/>
        </w:rPr>
        <w:t>τον</w:t>
      </w:r>
      <w:r w:rsidRPr="00CF55A4">
        <w:rPr>
          <w:rFonts w:cstheme="minorHAnsi"/>
          <w:sz w:val="24"/>
          <w:szCs w:val="24"/>
          <w:lang w:val="el-GR"/>
        </w:rPr>
        <w:t xml:space="preserve"> </w:t>
      </w:r>
      <w:r>
        <w:rPr>
          <w:rFonts w:cstheme="minorHAnsi"/>
          <w:sz w:val="24"/>
          <w:szCs w:val="24"/>
          <w:lang w:val="el-GR"/>
        </w:rPr>
        <w:t>Πρόεδρο</w:t>
      </w:r>
      <w:r w:rsidRPr="00CF55A4">
        <w:rPr>
          <w:rFonts w:cstheme="minorHAnsi"/>
          <w:sz w:val="24"/>
          <w:szCs w:val="24"/>
          <w:lang w:val="el-GR"/>
        </w:rPr>
        <w:t xml:space="preserve"> </w:t>
      </w:r>
      <w:r>
        <w:rPr>
          <w:rFonts w:cstheme="minorHAnsi"/>
          <w:sz w:val="24"/>
          <w:szCs w:val="24"/>
          <w:lang w:val="el-GR"/>
        </w:rPr>
        <w:t>ή</w:t>
      </w:r>
      <w:r w:rsidRPr="00CF55A4">
        <w:rPr>
          <w:rFonts w:cstheme="minorHAnsi"/>
          <w:sz w:val="24"/>
          <w:szCs w:val="24"/>
          <w:lang w:val="el-GR"/>
        </w:rPr>
        <w:t xml:space="preserve"> </w:t>
      </w:r>
      <w:r>
        <w:rPr>
          <w:rFonts w:cstheme="minorHAnsi"/>
          <w:sz w:val="24"/>
          <w:szCs w:val="24"/>
          <w:lang w:val="el-GR"/>
        </w:rPr>
        <w:t>το</w:t>
      </w:r>
      <w:r w:rsidRPr="00CF55A4">
        <w:rPr>
          <w:rFonts w:cstheme="minorHAnsi"/>
          <w:sz w:val="24"/>
          <w:szCs w:val="24"/>
          <w:lang w:val="el-GR"/>
        </w:rPr>
        <w:t xml:space="preserve"> </w:t>
      </w:r>
      <w:r>
        <w:rPr>
          <w:rFonts w:cstheme="minorHAnsi"/>
          <w:sz w:val="24"/>
          <w:szCs w:val="24"/>
          <w:lang w:val="el-GR"/>
        </w:rPr>
        <w:t>Υπουργικό Συμβούλιο</w:t>
      </w:r>
      <w:r w:rsidR="00A5147D" w:rsidRPr="00CF55A4">
        <w:rPr>
          <w:rFonts w:cstheme="minorHAnsi"/>
          <w:sz w:val="24"/>
          <w:szCs w:val="24"/>
          <w:lang w:val="el-GR"/>
        </w:rPr>
        <w:t xml:space="preserve"> </w:t>
      </w:r>
      <w:r w:rsidR="0009334D">
        <w:rPr>
          <w:rFonts w:cstheme="minorHAnsi"/>
          <w:sz w:val="24"/>
          <w:szCs w:val="24"/>
          <w:lang w:val="el-GR"/>
        </w:rPr>
        <w:t>σύμφωνα με</w:t>
      </w:r>
      <w:r>
        <w:rPr>
          <w:rFonts w:cstheme="minorHAnsi"/>
          <w:sz w:val="24"/>
          <w:szCs w:val="24"/>
          <w:lang w:val="el-GR"/>
        </w:rPr>
        <w:t xml:space="preserve"> το Σύνταγμα</w:t>
      </w:r>
      <w:r w:rsidR="00A5147D" w:rsidRPr="00CF55A4">
        <w:rPr>
          <w:rFonts w:cstheme="minorHAnsi"/>
          <w:sz w:val="24"/>
          <w:szCs w:val="24"/>
          <w:lang w:val="el-GR"/>
        </w:rPr>
        <w:t>.</w:t>
      </w:r>
      <w:r w:rsidR="00A5147D" w:rsidRPr="004E251E">
        <w:rPr>
          <w:rStyle w:val="FootnoteReference"/>
          <w:rFonts w:cstheme="minorHAnsi"/>
          <w:sz w:val="24"/>
          <w:szCs w:val="24"/>
        </w:rPr>
        <w:footnoteReference w:id="30"/>
      </w:r>
      <w:r w:rsidR="00A5147D" w:rsidRPr="00CF55A4">
        <w:rPr>
          <w:rFonts w:cstheme="minorHAnsi"/>
          <w:sz w:val="24"/>
          <w:szCs w:val="24"/>
          <w:lang w:val="el-GR"/>
        </w:rPr>
        <w:t xml:space="preserve"> </w:t>
      </w:r>
      <w:r>
        <w:rPr>
          <w:rFonts w:cstheme="minorHAnsi"/>
          <w:sz w:val="24"/>
          <w:szCs w:val="24"/>
          <w:lang w:val="el-GR"/>
        </w:rPr>
        <w:t>Αυτές</w:t>
      </w:r>
      <w:r w:rsidRPr="007D243C">
        <w:rPr>
          <w:rFonts w:cstheme="minorHAnsi"/>
          <w:sz w:val="24"/>
          <w:szCs w:val="24"/>
          <w:lang w:val="el-GR"/>
        </w:rPr>
        <w:t xml:space="preserve"> </w:t>
      </w:r>
      <w:r>
        <w:rPr>
          <w:rFonts w:cstheme="minorHAnsi"/>
          <w:sz w:val="24"/>
          <w:szCs w:val="24"/>
          <w:lang w:val="el-GR"/>
        </w:rPr>
        <w:t>συμπεριλαμβάνουν</w:t>
      </w:r>
      <w:r w:rsidR="00A5147D" w:rsidRPr="007D243C">
        <w:rPr>
          <w:rFonts w:cstheme="minorHAnsi"/>
          <w:sz w:val="24"/>
          <w:szCs w:val="24"/>
          <w:lang w:val="el-GR"/>
        </w:rPr>
        <w:t xml:space="preserve">: </w:t>
      </w:r>
      <w:r w:rsidR="007D2AE6">
        <w:rPr>
          <w:rFonts w:cstheme="minorHAnsi"/>
          <w:sz w:val="24"/>
          <w:szCs w:val="24"/>
          <w:lang w:val="el-GR"/>
        </w:rPr>
        <w:t>τ</w:t>
      </w:r>
      <w:r>
        <w:rPr>
          <w:rFonts w:cstheme="minorHAnsi"/>
          <w:sz w:val="24"/>
          <w:szCs w:val="24"/>
          <w:lang w:val="el-GR"/>
        </w:rPr>
        <w:t>η</w:t>
      </w:r>
      <w:r w:rsidR="007D2AE6">
        <w:rPr>
          <w:rFonts w:cstheme="minorHAnsi"/>
          <w:sz w:val="24"/>
          <w:szCs w:val="24"/>
          <w:lang w:val="el-GR"/>
        </w:rPr>
        <w:t>ν</w:t>
      </w:r>
      <w:r w:rsidRPr="007D243C">
        <w:rPr>
          <w:rFonts w:cstheme="minorHAnsi"/>
          <w:sz w:val="24"/>
          <w:szCs w:val="24"/>
          <w:lang w:val="el-GR"/>
        </w:rPr>
        <w:t xml:space="preserve"> </w:t>
      </w:r>
      <w:r>
        <w:rPr>
          <w:rFonts w:cstheme="minorHAnsi"/>
          <w:sz w:val="24"/>
          <w:szCs w:val="24"/>
          <w:lang w:val="el-GR"/>
        </w:rPr>
        <w:t>εκτέλεση</w:t>
      </w:r>
      <w:r w:rsidRPr="007D243C">
        <w:rPr>
          <w:rFonts w:cstheme="minorHAnsi"/>
          <w:sz w:val="24"/>
          <w:szCs w:val="24"/>
          <w:lang w:val="el-GR"/>
        </w:rPr>
        <w:t xml:space="preserve"> </w:t>
      </w:r>
      <w:r>
        <w:rPr>
          <w:rFonts w:cstheme="minorHAnsi"/>
          <w:sz w:val="24"/>
          <w:szCs w:val="24"/>
          <w:lang w:val="el-GR"/>
        </w:rPr>
        <w:t>των</w:t>
      </w:r>
      <w:r w:rsidRPr="007D243C">
        <w:rPr>
          <w:rFonts w:cstheme="minorHAnsi"/>
          <w:sz w:val="24"/>
          <w:szCs w:val="24"/>
          <w:lang w:val="el-GR"/>
        </w:rPr>
        <w:t xml:space="preserve"> </w:t>
      </w:r>
      <w:r>
        <w:rPr>
          <w:rFonts w:cstheme="minorHAnsi"/>
          <w:sz w:val="24"/>
          <w:szCs w:val="24"/>
          <w:lang w:val="el-GR"/>
        </w:rPr>
        <w:t>νόμων</w:t>
      </w:r>
      <w:r w:rsidR="00704556">
        <w:rPr>
          <w:rFonts w:cstheme="minorHAnsi"/>
          <w:sz w:val="24"/>
          <w:szCs w:val="24"/>
          <w:lang w:val="el-GR"/>
        </w:rPr>
        <w:t>,</w:t>
      </w:r>
      <w:r w:rsidRPr="007D243C">
        <w:rPr>
          <w:rFonts w:cstheme="minorHAnsi"/>
          <w:sz w:val="24"/>
          <w:szCs w:val="24"/>
          <w:lang w:val="el-GR"/>
        </w:rPr>
        <w:t xml:space="preserve"> </w:t>
      </w:r>
      <w:r>
        <w:rPr>
          <w:rFonts w:cstheme="minorHAnsi"/>
          <w:sz w:val="24"/>
          <w:szCs w:val="24"/>
          <w:lang w:val="el-GR"/>
        </w:rPr>
        <w:t>και</w:t>
      </w:r>
      <w:r w:rsidRPr="007D243C">
        <w:rPr>
          <w:rFonts w:cstheme="minorHAnsi"/>
          <w:sz w:val="24"/>
          <w:szCs w:val="24"/>
          <w:lang w:val="el-GR"/>
        </w:rPr>
        <w:t xml:space="preserve"> </w:t>
      </w:r>
      <w:r w:rsidR="00704556">
        <w:rPr>
          <w:rFonts w:cstheme="minorHAnsi"/>
          <w:sz w:val="24"/>
          <w:szCs w:val="24"/>
          <w:lang w:val="el-GR"/>
        </w:rPr>
        <w:t>τ</w:t>
      </w:r>
      <w:r>
        <w:rPr>
          <w:rFonts w:cstheme="minorHAnsi"/>
          <w:sz w:val="24"/>
          <w:szCs w:val="24"/>
          <w:lang w:val="el-GR"/>
        </w:rPr>
        <w:t>η</w:t>
      </w:r>
      <w:r w:rsidRPr="007D243C">
        <w:rPr>
          <w:rFonts w:cstheme="minorHAnsi"/>
          <w:sz w:val="24"/>
          <w:szCs w:val="24"/>
          <w:lang w:val="el-GR"/>
        </w:rPr>
        <w:t xml:space="preserve"> </w:t>
      </w:r>
      <w:r w:rsidR="00704556">
        <w:rPr>
          <w:rFonts w:cstheme="minorHAnsi"/>
          <w:sz w:val="24"/>
          <w:szCs w:val="24"/>
          <w:lang w:val="el-GR"/>
        </w:rPr>
        <w:t xml:space="preserve">διοίκηση </w:t>
      </w:r>
      <w:r>
        <w:rPr>
          <w:rFonts w:cstheme="minorHAnsi"/>
          <w:sz w:val="24"/>
          <w:szCs w:val="24"/>
          <w:lang w:val="el-GR"/>
        </w:rPr>
        <w:t>για</w:t>
      </w:r>
      <w:r w:rsidRPr="007D243C">
        <w:rPr>
          <w:rFonts w:cstheme="minorHAnsi"/>
          <w:sz w:val="24"/>
          <w:szCs w:val="24"/>
          <w:lang w:val="el-GR"/>
        </w:rPr>
        <w:t xml:space="preserve"> </w:t>
      </w:r>
      <w:r>
        <w:rPr>
          <w:rFonts w:cstheme="minorHAnsi"/>
          <w:sz w:val="24"/>
          <w:szCs w:val="24"/>
          <w:lang w:val="el-GR"/>
        </w:rPr>
        <w:t>όλα</w:t>
      </w:r>
      <w:r w:rsidRPr="007D243C">
        <w:rPr>
          <w:rFonts w:cstheme="minorHAnsi"/>
          <w:sz w:val="24"/>
          <w:szCs w:val="24"/>
          <w:lang w:val="el-GR"/>
        </w:rPr>
        <w:t xml:space="preserve"> </w:t>
      </w:r>
      <w:r>
        <w:rPr>
          <w:rFonts w:cstheme="minorHAnsi"/>
          <w:sz w:val="24"/>
          <w:szCs w:val="24"/>
          <w:lang w:val="el-GR"/>
        </w:rPr>
        <w:t>τα</w:t>
      </w:r>
      <w:r w:rsidRPr="007D243C">
        <w:rPr>
          <w:rFonts w:cstheme="minorHAnsi"/>
          <w:sz w:val="24"/>
          <w:szCs w:val="24"/>
          <w:lang w:val="el-GR"/>
        </w:rPr>
        <w:t xml:space="preserve"> </w:t>
      </w:r>
      <w:r>
        <w:rPr>
          <w:rFonts w:cstheme="minorHAnsi"/>
          <w:sz w:val="24"/>
          <w:szCs w:val="24"/>
          <w:lang w:val="el-GR"/>
        </w:rPr>
        <w:t>θέματα</w:t>
      </w:r>
      <w:r w:rsidRPr="007D243C">
        <w:rPr>
          <w:rFonts w:cstheme="minorHAnsi"/>
          <w:sz w:val="24"/>
          <w:szCs w:val="24"/>
          <w:lang w:val="el-GR"/>
        </w:rPr>
        <w:t xml:space="preserve"> </w:t>
      </w:r>
      <w:r>
        <w:rPr>
          <w:rFonts w:cstheme="minorHAnsi"/>
          <w:sz w:val="24"/>
          <w:szCs w:val="24"/>
          <w:lang w:val="el-GR"/>
        </w:rPr>
        <w:t>και</w:t>
      </w:r>
      <w:r w:rsidRPr="007D243C">
        <w:rPr>
          <w:rFonts w:cstheme="minorHAnsi"/>
          <w:sz w:val="24"/>
          <w:szCs w:val="24"/>
          <w:lang w:val="el-GR"/>
        </w:rPr>
        <w:t xml:space="preserve"> </w:t>
      </w:r>
      <w:r>
        <w:rPr>
          <w:rFonts w:cstheme="minorHAnsi"/>
          <w:sz w:val="24"/>
          <w:szCs w:val="24"/>
          <w:lang w:val="el-GR"/>
        </w:rPr>
        <w:t>υποθέσεις</w:t>
      </w:r>
      <w:r w:rsidRPr="007D243C">
        <w:rPr>
          <w:rFonts w:cstheme="minorHAnsi"/>
          <w:sz w:val="24"/>
          <w:szCs w:val="24"/>
          <w:lang w:val="el-GR"/>
        </w:rPr>
        <w:t xml:space="preserve"> </w:t>
      </w:r>
      <w:r>
        <w:rPr>
          <w:rFonts w:cstheme="minorHAnsi"/>
          <w:sz w:val="24"/>
          <w:szCs w:val="24"/>
          <w:lang w:val="el-GR"/>
        </w:rPr>
        <w:t>που</w:t>
      </w:r>
      <w:r w:rsidRPr="007D243C">
        <w:rPr>
          <w:rFonts w:cstheme="minorHAnsi"/>
          <w:sz w:val="24"/>
          <w:szCs w:val="24"/>
          <w:lang w:val="el-GR"/>
        </w:rPr>
        <w:t xml:space="preserve"> </w:t>
      </w:r>
      <w:r w:rsidR="00704556">
        <w:rPr>
          <w:rFonts w:cstheme="minorHAnsi"/>
          <w:sz w:val="24"/>
          <w:szCs w:val="24"/>
          <w:lang w:val="el-GR"/>
        </w:rPr>
        <w:t>εμπίπτουν σ</w:t>
      </w:r>
      <w:r>
        <w:rPr>
          <w:rFonts w:cstheme="minorHAnsi"/>
          <w:sz w:val="24"/>
          <w:szCs w:val="24"/>
          <w:lang w:val="el-GR"/>
        </w:rPr>
        <w:t>το</w:t>
      </w:r>
      <w:r w:rsidRPr="007D243C">
        <w:rPr>
          <w:rFonts w:cstheme="minorHAnsi"/>
          <w:sz w:val="24"/>
          <w:szCs w:val="24"/>
          <w:lang w:val="el-GR"/>
        </w:rPr>
        <w:t xml:space="preserve"> </w:t>
      </w:r>
      <w:r>
        <w:rPr>
          <w:rFonts w:cstheme="minorHAnsi"/>
          <w:sz w:val="24"/>
          <w:szCs w:val="24"/>
          <w:lang w:val="el-GR"/>
        </w:rPr>
        <w:t>πεδίο</w:t>
      </w:r>
      <w:r w:rsidRPr="007D243C">
        <w:rPr>
          <w:rFonts w:cstheme="minorHAnsi"/>
          <w:sz w:val="24"/>
          <w:szCs w:val="24"/>
          <w:lang w:val="el-GR"/>
        </w:rPr>
        <w:t xml:space="preserve"> </w:t>
      </w:r>
      <w:r>
        <w:rPr>
          <w:rFonts w:cstheme="minorHAnsi"/>
          <w:sz w:val="24"/>
          <w:szCs w:val="24"/>
          <w:lang w:val="el-GR"/>
        </w:rPr>
        <w:t>των</w:t>
      </w:r>
      <w:r w:rsidRPr="007D243C">
        <w:rPr>
          <w:rFonts w:cstheme="minorHAnsi"/>
          <w:sz w:val="24"/>
          <w:szCs w:val="24"/>
          <w:lang w:val="el-GR"/>
        </w:rPr>
        <w:t xml:space="preserve"> </w:t>
      </w:r>
      <w:r>
        <w:rPr>
          <w:rFonts w:cstheme="minorHAnsi"/>
          <w:sz w:val="24"/>
          <w:szCs w:val="24"/>
          <w:lang w:val="el-GR"/>
        </w:rPr>
        <w:t>υπουργείων</w:t>
      </w:r>
      <w:r w:rsidRPr="007D243C">
        <w:rPr>
          <w:rFonts w:cstheme="minorHAnsi"/>
          <w:sz w:val="24"/>
          <w:szCs w:val="24"/>
          <w:lang w:val="el-GR"/>
        </w:rPr>
        <w:t xml:space="preserve"> </w:t>
      </w:r>
      <w:r>
        <w:rPr>
          <w:rFonts w:cstheme="minorHAnsi"/>
          <w:sz w:val="24"/>
          <w:szCs w:val="24"/>
          <w:lang w:val="el-GR"/>
        </w:rPr>
        <w:t>τους</w:t>
      </w:r>
      <w:r w:rsidRPr="007D243C">
        <w:rPr>
          <w:rFonts w:cstheme="minorHAnsi"/>
          <w:sz w:val="24"/>
          <w:szCs w:val="24"/>
          <w:lang w:val="el-GR"/>
        </w:rPr>
        <w:t>,</w:t>
      </w:r>
      <w:r w:rsidR="00A5147D" w:rsidRPr="007D243C">
        <w:rPr>
          <w:rFonts w:cstheme="minorHAnsi"/>
          <w:sz w:val="24"/>
          <w:szCs w:val="24"/>
          <w:lang w:val="el-GR"/>
        </w:rPr>
        <w:t xml:space="preserve"> </w:t>
      </w:r>
      <w:r w:rsidR="00704556">
        <w:rPr>
          <w:rFonts w:cstheme="minorHAnsi"/>
          <w:sz w:val="24"/>
          <w:szCs w:val="24"/>
          <w:lang w:val="el-GR"/>
        </w:rPr>
        <w:t>τ</w:t>
      </w:r>
      <w:r>
        <w:rPr>
          <w:rFonts w:cstheme="minorHAnsi"/>
          <w:sz w:val="24"/>
          <w:szCs w:val="24"/>
          <w:lang w:val="el-GR"/>
        </w:rPr>
        <w:t>η</w:t>
      </w:r>
      <w:r w:rsidRPr="007D243C">
        <w:rPr>
          <w:rFonts w:cstheme="minorHAnsi"/>
          <w:sz w:val="24"/>
          <w:szCs w:val="24"/>
          <w:lang w:val="el-GR"/>
        </w:rPr>
        <w:t xml:space="preserve"> </w:t>
      </w:r>
      <w:r w:rsidR="00704556">
        <w:rPr>
          <w:rFonts w:cstheme="minorHAnsi"/>
          <w:sz w:val="24"/>
          <w:szCs w:val="24"/>
          <w:lang w:val="el-GR"/>
        </w:rPr>
        <w:t xml:space="preserve">σύνταξη </w:t>
      </w:r>
      <w:r>
        <w:rPr>
          <w:rFonts w:cstheme="minorHAnsi"/>
          <w:sz w:val="24"/>
          <w:szCs w:val="24"/>
          <w:lang w:val="el-GR"/>
        </w:rPr>
        <w:t>διαταγμάτων</w:t>
      </w:r>
      <w:r w:rsidRPr="007D243C">
        <w:rPr>
          <w:rFonts w:cstheme="minorHAnsi"/>
          <w:sz w:val="24"/>
          <w:szCs w:val="24"/>
          <w:lang w:val="el-GR"/>
        </w:rPr>
        <w:t xml:space="preserve"> </w:t>
      </w:r>
      <w:r>
        <w:rPr>
          <w:rFonts w:cstheme="minorHAnsi"/>
          <w:sz w:val="24"/>
          <w:szCs w:val="24"/>
          <w:lang w:val="el-GR"/>
        </w:rPr>
        <w:t>ή</w:t>
      </w:r>
      <w:r w:rsidRPr="007D243C">
        <w:rPr>
          <w:rFonts w:cstheme="minorHAnsi"/>
          <w:sz w:val="24"/>
          <w:szCs w:val="24"/>
          <w:lang w:val="el-GR"/>
        </w:rPr>
        <w:t xml:space="preserve"> </w:t>
      </w:r>
      <w:r>
        <w:rPr>
          <w:rFonts w:cstheme="minorHAnsi"/>
          <w:sz w:val="24"/>
          <w:szCs w:val="24"/>
          <w:lang w:val="el-GR"/>
        </w:rPr>
        <w:t>κανονισμών</w:t>
      </w:r>
      <w:r w:rsidR="00A5147D" w:rsidRPr="007D243C">
        <w:rPr>
          <w:rFonts w:cstheme="minorHAnsi"/>
          <w:sz w:val="24"/>
          <w:szCs w:val="24"/>
          <w:lang w:val="el-GR"/>
        </w:rPr>
        <w:t xml:space="preserve"> </w:t>
      </w:r>
      <w:r>
        <w:rPr>
          <w:rFonts w:cstheme="minorHAnsi"/>
          <w:sz w:val="24"/>
          <w:szCs w:val="24"/>
          <w:lang w:val="el-GR"/>
        </w:rPr>
        <w:t>που</w:t>
      </w:r>
      <w:r w:rsidRPr="007D243C">
        <w:rPr>
          <w:rFonts w:cstheme="minorHAnsi"/>
          <w:sz w:val="24"/>
          <w:szCs w:val="24"/>
          <w:lang w:val="el-GR"/>
        </w:rPr>
        <w:t xml:space="preserve"> </w:t>
      </w:r>
      <w:r>
        <w:rPr>
          <w:rFonts w:cstheme="minorHAnsi"/>
          <w:sz w:val="24"/>
          <w:szCs w:val="24"/>
          <w:lang w:val="el-GR"/>
        </w:rPr>
        <w:t>αφορούν</w:t>
      </w:r>
      <w:r w:rsidRPr="007D243C">
        <w:rPr>
          <w:rFonts w:cstheme="minorHAnsi"/>
          <w:sz w:val="24"/>
          <w:szCs w:val="24"/>
          <w:lang w:val="el-GR"/>
        </w:rPr>
        <w:t xml:space="preserve"> </w:t>
      </w:r>
      <w:r>
        <w:rPr>
          <w:rFonts w:cstheme="minorHAnsi"/>
          <w:sz w:val="24"/>
          <w:szCs w:val="24"/>
          <w:lang w:val="el-GR"/>
        </w:rPr>
        <w:t>τα</w:t>
      </w:r>
      <w:r w:rsidRPr="007D243C">
        <w:rPr>
          <w:rFonts w:cstheme="minorHAnsi"/>
          <w:sz w:val="24"/>
          <w:szCs w:val="24"/>
          <w:lang w:val="el-GR"/>
        </w:rPr>
        <w:t xml:space="preserve"> </w:t>
      </w:r>
      <w:r>
        <w:rPr>
          <w:rFonts w:cstheme="minorHAnsi"/>
          <w:sz w:val="24"/>
          <w:szCs w:val="24"/>
          <w:lang w:val="el-GR"/>
        </w:rPr>
        <w:t>υπουργεία</w:t>
      </w:r>
      <w:r w:rsidRPr="007D243C">
        <w:rPr>
          <w:rFonts w:cstheme="minorHAnsi"/>
          <w:sz w:val="24"/>
          <w:szCs w:val="24"/>
          <w:lang w:val="el-GR"/>
        </w:rPr>
        <w:t xml:space="preserve"> </w:t>
      </w:r>
      <w:r>
        <w:rPr>
          <w:rFonts w:cstheme="minorHAnsi"/>
          <w:sz w:val="24"/>
          <w:szCs w:val="24"/>
          <w:lang w:val="el-GR"/>
        </w:rPr>
        <w:t>τους</w:t>
      </w:r>
      <w:r w:rsidR="00A5147D" w:rsidRPr="007D243C">
        <w:rPr>
          <w:rFonts w:cstheme="minorHAnsi"/>
          <w:sz w:val="24"/>
          <w:szCs w:val="24"/>
          <w:lang w:val="el-GR"/>
        </w:rPr>
        <w:t xml:space="preserve"> </w:t>
      </w:r>
      <w:r>
        <w:rPr>
          <w:rFonts w:cstheme="minorHAnsi"/>
          <w:sz w:val="24"/>
          <w:szCs w:val="24"/>
          <w:lang w:val="el-GR"/>
        </w:rPr>
        <w:t>για</w:t>
      </w:r>
      <w:r w:rsidRPr="007D243C">
        <w:rPr>
          <w:rFonts w:cstheme="minorHAnsi"/>
          <w:sz w:val="24"/>
          <w:szCs w:val="24"/>
          <w:lang w:val="el-GR"/>
        </w:rPr>
        <w:t xml:space="preserve"> </w:t>
      </w:r>
      <w:r>
        <w:rPr>
          <w:rFonts w:cstheme="minorHAnsi"/>
          <w:sz w:val="24"/>
          <w:szCs w:val="24"/>
          <w:lang w:val="el-GR"/>
        </w:rPr>
        <w:t>υποβολή</w:t>
      </w:r>
      <w:r w:rsidRPr="007D243C">
        <w:rPr>
          <w:rFonts w:cstheme="minorHAnsi"/>
          <w:sz w:val="24"/>
          <w:szCs w:val="24"/>
          <w:lang w:val="el-GR"/>
        </w:rPr>
        <w:t xml:space="preserve"> </w:t>
      </w:r>
      <w:r>
        <w:rPr>
          <w:rFonts w:cstheme="minorHAnsi"/>
          <w:sz w:val="24"/>
          <w:szCs w:val="24"/>
          <w:lang w:val="el-GR"/>
        </w:rPr>
        <w:t>στο</w:t>
      </w:r>
      <w:r w:rsidRPr="007D243C">
        <w:rPr>
          <w:rFonts w:cstheme="minorHAnsi"/>
          <w:sz w:val="24"/>
          <w:szCs w:val="24"/>
          <w:lang w:val="el-GR"/>
        </w:rPr>
        <w:t xml:space="preserve"> </w:t>
      </w:r>
      <w:r>
        <w:rPr>
          <w:rFonts w:cstheme="minorHAnsi"/>
          <w:sz w:val="24"/>
          <w:szCs w:val="24"/>
          <w:lang w:val="el-GR"/>
        </w:rPr>
        <w:t>Υπουργικό</w:t>
      </w:r>
      <w:r w:rsidRPr="007D243C">
        <w:rPr>
          <w:rFonts w:cstheme="minorHAnsi"/>
          <w:sz w:val="24"/>
          <w:szCs w:val="24"/>
          <w:lang w:val="el-GR"/>
        </w:rPr>
        <w:t xml:space="preserve"> </w:t>
      </w:r>
      <w:r>
        <w:rPr>
          <w:rFonts w:cstheme="minorHAnsi"/>
          <w:sz w:val="24"/>
          <w:szCs w:val="24"/>
          <w:lang w:val="el-GR"/>
        </w:rPr>
        <w:t>Συμβούλιο</w:t>
      </w:r>
      <w:r w:rsidRPr="007D243C">
        <w:rPr>
          <w:rFonts w:cstheme="minorHAnsi"/>
          <w:sz w:val="24"/>
          <w:szCs w:val="24"/>
          <w:lang w:val="el-GR"/>
        </w:rPr>
        <w:t>,</w:t>
      </w:r>
      <w:r w:rsidR="00A5147D" w:rsidRPr="007D243C">
        <w:rPr>
          <w:rFonts w:cstheme="minorHAnsi"/>
          <w:sz w:val="24"/>
          <w:szCs w:val="24"/>
          <w:lang w:val="el-GR"/>
        </w:rPr>
        <w:t xml:space="preserve"> </w:t>
      </w:r>
      <w:r w:rsidR="00A16D46">
        <w:rPr>
          <w:rFonts w:cstheme="minorHAnsi"/>
          <w:sz w:val="24"/>
          <w:szCs w:val="24"/>
          <w:lang w:val="el-GR"/>
        </w:rPr>
        <w:t xml:space="preserve">την </w:t>
      </w:r>
      <w:r>
        <w:rPr>
          <w:rFonts w:cstheme="minorHAnsi"/>
          <w:sz w:val="24"/>
          <w:szCs w:val="24"/>
          <w:lang w:val="el-GR"/>
        </w:rPr>
        <w:t>έκδοση</w:t>
      </w:r>
      <w:r w:rsidRPr="007D243C">
        <w:rPr>
          <w:rFonts w:cstheme="minorHAnsi"/>
          <w:sz w:val="24"/>
          <w:szCs w:val="24"/>
          <w:lang w:val="el-GR"/>
        </w:rPr>
        <w:t xml:space="preserve"> </w:t>
      </w:r>
      <w:r w:rsidR="00A16D46">
        <w:rPr>
          <w:rFonts w:cstheme="minorHAnsi"/>
          <w:sz w:val="24"/>
          <w:szCs w:val="24"/>
          <w:lang w:val="el-GR"/>
        </w:rPr>
        <w:t xml:space="preserve">διαταγών </w:t>
      </w:r>
      <w:r w:rsidR="007D243C">
        <w:rPr>
          <w:rFonts w:cstheme="minorHAnsi"/>
          <w:sz w:val="24"/>
          <w:szCs w:val="24"/>
          <w:lang w:val="el-GR"/>
        </w:rPr>
        <w:t>και</w:t>
      </w:r>
      <w:r w:rsidR="007D243C" w:rsidRPr="007D243C">
        <w:rPr>
          <w:rFonts w:cstheme="minorHAnsi"/>
          <w:sz w:val="24"/>
          <w:szCs w:val="24"/>
          <w:lang w:val="el-GR"/>
        </w:rPr>
        <w:t xml:space="preserve"> </w:t>
      </w:r>
      <w:r w:rsidR="007D243C">
        <w:rPr>
          <w:rFonts w:cstheme="minorHAnsi"/>
          <w:sz w:val="24"/>
          <w:szCs w:val="24"/>
          <w:lang w:val="el-GR"/>
        </w:rPr>
        <w:t>γενικών οδηγιών</w:t>
      </w:r>
      <w:r w:rsidR="00A5147D" w:rsidRPr="007D243C">
        <w:rPr>
          <w:rFonts w:cstheme="minorHAnsi"/>
          <w:sz w:val="24"/>
          <w:szCs w:val="24"/>
          <w:lang w:val="el-GR"/>
        </w:rPr>
        <w:t xml:space="preserve"> </w:t>
      </w:r>
      <w:r w:rsidR="007D243C">
        <w:rPr>
          <w:rFonts w:cstheme="minorHAnsi"/>
          <w:sz w:val="24"/>
          <w:szCs w:val="24"/>
          <w:lang w:val="el-GR"/>
        </w:rPr>
        <w:t xml:space="preserve">για την </w:t>
      </w:r>
      <w:r w:rsidR="00A16D46">
        <w:rPr>
          <w:rFonts w:cstheme="minorHAnsi"/>
          <w:sz w:val="24"/>
          <w:szCs w:val="24"/>
          <w:lang w:val="el-GR"/>
        </w:rPr>
        <w:t xml:space="preserve">εκτέλεση </w:t>
      </w:r>
      <w:r w:rsidR="007D243C">
        <w:rPr>
          <w:rFonts w:cstheme="minorHAnsi"/>
          <w:sz w:val="24"/>
          <w:szCs w:val="24"/>
          <w:lang w:val="el-GR"/>
        </w:rPr>
        <w:t>οποιουδήποτε νόμου</w:t>
      </w:r>
      <w:r w:rsidR="00A5147D" w:rsidRPr="007D243C">
        <w:rPr>
          <w:rFonts w:cstheme="minorHAnsi"/>
          <w:sz w:val="24"/>
          <w:szCs w:val="24"/>
          <w:lang w:val="el-GR"/>
        </w:rPr>
        <w:t xml:space="preserve"> </w:t>
      </w:r>
      <w:r w:rsidR="007D243C">
        <w:rPr>
          <w:rFonts w:cstheme="minorHAnsi"/>
          <w:sz w:val="24"/>
          <w:szCs w:val="24"/>
          <w:lang w:val="el-GR"/>
        </w:rPr>
        <w:t xml:space="preserve">που </w:t>
      </w:r>
      <w:r w:rsidR="00A16D46">
        <w:rPr>
          <w:rFonts w:cstheme="minorHAnsi"/>
          <w:sz w:val="24"/>
          <w:szCs w:val="24"/>
          <w:lang w:val="el-GR"/>
        </w:rPr>
        <w:t xml:space="preserve">αφορά </w:t>
      </w:r>
      <w:r w:rsidR="007D243C">
        <w:rPr>
          <w:rFonts w:cstheme="minorHAnsi"/>
          <w:sz w:val="24"/>
          <w:szCs w:val="24"/>
          <w:lang w:val="el-GR"/>
        </w:rPr>
        <w:t>τα υπουργεία τους</w:t>
      </w:r>
      <w:r w:rsidR="00A5147D" w:rsidRPr="007D243C">
        <w:rPr>
          <w:rFonts w:cstheme="minorHAnsi"/>
          <w:sz w:val="24"/>
          <w:szCs w:val="24"/>
          <w:lang w:val="el-GR"/>
        </w:rPr>
        <w:t xml:space="preserve"> </w:t>
      </w:r>
      <w:r w:rsidR="007D243C">
        <w:rPr>
          <w:rFonts w:cstheme="minorHAnsi"/>
          <w:sz w:val="24"/>
          <w:szCs w:val="24"/>
          <w:lang w:val="el-GR"/>
        </w:rPr>
        <w:t>και οποιουδήποτε διατάγματος ή κανονισμού</w:t>
      </w:r>
      <w:r w:rsidR="00A5147D" w:rsidRPr="007D243C">
        <w:rPr>
          <w:rFonts w:cstheme="minorHAnsi"/>
          <w:sz w:val="24"/>
          <w:szCs w:val="24"/>
          <w:lang w:val="el-GR"/>
        </w:rPr>
        <w:t xml:space="preserve"> </w:t>
      </w:r>
      <w:r w:rsidR="007D243C">
        <w:rPr>
          <w:rFonts w:cstheme="minorHAnsi"/>
          <w:sz w:val="24"/>
          <w:szCs w:val="24"/>
          <w:lang w:val="el-GR"/>
        </w:rPr>
        <w:t>υπό τον νόμο εκείνο</w:t>
      </w:r>
      <w:r w:rsidR="00A5147D" w:rsidRPr="007D243C">
        <w:rPr>
          <w:rFonts w:cstheme="minorHAnsi"/>
          <w:sz w:val="24"/>
          <w:szCs w:val="24"/>
          <w:lang w:val="el-GR"/>
        </w:rPr>
        <w:t xml:space="preserve"> </w:t>
      </w:r>
      <w:r w:rsidR="007D243C">
        <w:rPr>
          <w:rFonts w:cstheme="minorHAnsi"/>
          <w:sz w:val="24"/>
          <w:szCs w:val="24"/>
          <w:lang w:val="el-GR"/>
        </w:rPr>
        <w:t xml:space="preserve">και </w:t>
      </w:r>
      <w:r w:rsidR="00A16D46">
        <w:rPr>
          <w:rFonts w:cstheme="minorHAnsi"/>
          <w:sz w:val="24"/>
          <w:szCs w:val="24"/>
          <w:lang w:val="el-GR"/>
        </w:rPr>
        <w:t xml:space="preserve">την προπαρασκευή  </w:t>
      </w:r>
      <w:r w:rsidR="007D243C">
        <w:rPr>
          <w:rFonts w:cstheme="minorHAnsi"/>
          <w:sz w:val="24"/>
          <w:szCs w:val="24"/>
          <w:lang w:val="el-GR"/>
        </w:rPr>
        <w:t>για υποβολή στο Υπουργικό Συμβούλιο</w:t>
      </w:r>
      <w:r w:rsidR="00A5147D" w:rsidRPr="007D243C">
        <w:rPr>
          <w:rFonts w:cstheme="minorHAnsi"/>
          <w:sz w:val="24"/>
          <w:szCs w:val="24"/>
          <w:lang w:val="el-GR"/>
        </w:rPr>
        <w:t xml:space="preserve"> </w:t>
      </w:r>
      <w:r w:rsidR="007D243C">
        <w:rPr>
          <w:rFonts w:cstheme="minorHAnsi"/>
          <w:sz w:val="24"/>
          <w:szCs w:val="24"/>
          <w:lang w:val="el-GR"/>
        </w:rPr>
        <w:t xml:space="preserve">του </w:t>
      </w:r>
      <w:r w:rsidR="00A16D46">
        <w:rPr>
          <w:rFonts w:cstheme="minorHAnsi"/>
          <w:sz w:val="24"/>
          <w:szCs w:val="24"/>
          <w:lang w:val="el-GR"/>
        </w:rPr>
        <w:t xml:space="preserve">τμήματος </w:t>
      </w:r>
      <w:r w:rsidR="007D243C">
        <w:rPr>
          <w:rFonts w:cstheme="minorHAnsi"/>
          <w:sz w:val="24"/>
          <w:szCs w:val="24"/>
          <w:lang w:val="el-GR"/>
        </w:rPr>
        <w:t>του Κρατικού προϋπολογισμού</w:t>
      </w:r>
      <w:r w:rsidR="00A5147D" w:rsidRPr="007D243C">
        <w:rPr>
          <w:rFonts w:cstheme="minorHAnsi"/>
          <w:sz w:val="24"/>
          <w:szCs w:val="24"/>
          <w:lang w:val="el-GR"/>
        </w:rPr>
        <w:t xml:space="preserve"> </w:t>
      </w:r>
      <w:r w:rsidR="007D243C">
        <w:rPr>
          <w:rFonts w:cstheme="minorHAnsi"/>
          <w:sz w:val="24"/>
          <w:szCs w:val="24"/>
          <w:lang w:val="el-GR"/>
        </w:rPr>
        <w:t>που σχετίζεται με τα αντίστοιχα υπουργεία τους</w:t>
      </w:r>
      <w:r w:rsidR="00A5147D" w:rsidRPr="007D243C">
        <w:rPr>
          <w:rFonts w:cstheme="minorHAnsi"/>
          <w:sz w:val="24"/>
          <w:szCs w:val="24"/>
          <w:lang w:val="el-GR"/>
        </w:rPr>
        <w:t xml:space="preserve">. </w:t>
      </w:r>
    </w:p>
    <w:p w14:paraId="4AA1B81A" w14:textId="77777777" w:rsidR="00A5147D" w:rsidRPr="007D243C" w:rsidRDefault="00A5147D" w:rsidP="00A5147D">
      <w:pPr>
        <w:rPr>
          <w:rFonts w:cstheme="minorHAnsi"/>
          <w:sz w:val="24"/>
          <w:szCs w:val="24"/>
          <w:lang w:val="el-GR"/>
        </w:rPr>
      </w:pPr>
    </w:p>
    <w:p w14:paraId="39209124" w14:textId="2FFC9B9F" w:rsidR="00A5147D" w:rsidRPr="00D65F75" w:rsidRDefault="007D243C" w:rsidP="00A5147D">
      <w:pPr>
        <w:numPr>
          <w:ilvl w:val="0"/>
          <w:numId w:val="1"/>
        </w:numPr>
        <w:tabs>
          <w:tab w:val="clear" w:pos="6095"/>
          <w:tab w:val="left" w:pos="709"/>
        </w:tabs>
        <w:ind w:left="0" w:firstLine="0"/>
        <w:rPr>
          <w:rFonts w:cstheme="minorHAnsi"/>
          <w:sz w:val="24"/>
          <w:szCs w:val="24"/>
          <w:lang w:val="el-GR"/>
        </w:rPr>
      </w:pPr>
      <w:r>
        <w:rPr>
          <w:rFonts w:eastAsia="Times New Roman" w:cstheme="minorHAnsi"/>
          <w:sz w:val="24"/>
          <w:szCs w:val="24"/>
          <w:lang w:val="el-GR" w:eastAsia="fr-FR"/>
        </w:rPr>
        <w:t>Η</w:t>
      </w:r>
      <w:r w:rsidRPr="007D243C">
        <w:rPr>
          <w:rFonts w:eastAsia="Times New Roman" w:cstheme="minorHAnsi"/>
          <w:sz w:val="24"/>
          <w:szCs w:val="24"/>
          <w:lang w:val="el-GR" w:eastAsia="fr-FR"/>
        </w:rPr>
        <w:t xml:space="preserve"> </w:t>
      </w:r>
      <w:r>
        <w:rPr>
          <w:rFonts w:eastAsia="Times New Roman" w:cstheme="minorHAnsi"/>
          <w:sz w:val="24"/>
          <w:szCs w:val="24"/>
          <w:lang w:val="el-GR" w:eastAsia="fr-FR"/>
        </w:rPr>
        <w:t>θέση</w:t>
      </w:r>
      <w:r w:rsidRPr="007D243C">
        <w:rPr>
          <w:rFonts w:eastAsia="Times New Roman" w:cstheme="minorHAnsi"/>
          <w:sz w:val="24"/>
          <w:szCs w:val="24"/>
          <w:lang w:val="el-GR" w:eastAsia="fr-FR"/>
        </w:rPr>
        <w:t xml:space="preserve"> </w:t>
      </w:r>
      <w:r>
        <w:rPr>
          <w:rFonts w:eastAsia="Times New Roman" w:cstheme="minorHAnsi"/>
          <w:sz w:val="24"/>
          <w:szCs w:val="24"/>
          <w:lang w:val="el-GR" w:eastAsia="fr-FR"/>
        </w:rPr>
        <w:t>του</w:t>
      </w:r>
      <w:r w:rsidR="00A5147D" w:rsidRPr="007D243C">
        <w:rPr>
          <w:rFonts w:eastAsia="Times New Roman" w:cstheme="minorHAnsi"/>
          <w:sz w:val="24"/>
          <w:szCs w:val="24"/>
          <w:lang w:val="el-GR" w:eastAsia="fr-FR"/>
        </w:rPr>
        <w:t xml:space="preserve"> </w:t>
      </w:r>
      <w:r>
        <w:rPr>
          <w:rFonts w:eastAsia="Times New Roman" w:cstheme="minorHAnsi"/>
          <w:sz w:val="24"/>
          <w:szCs w:val="24"/>
          <w:u w:val="single"/>
          <w:lang w:val="el-GR" w:eastAsia="fr-FR"/>
        </w:rPr>
        <w:t>Υφυπουργού</w:t>
      </w:r>
      <w:r w:rsidR="00A5147D" w:rsidRPr="007D243C">
        <w:rPr>
          <w:rFonts w:eastAsia="Times New Roman" w:cstheme="minorHAnsi"/>
          <w:sz w:val="24"/>
          <w:szCs w:val="24"/>
          <w:u w:val="single"/>
          <w:lang w:val="el-GR" w:eastAsia="fr-FR"/>
        </w:rPr>
        <w:t xml:space="preserve"> </w:t>
      </w:r>
      <w:r>
        <w:rPr>
          <w:rFonts w:eastAsia="Times New Roman" w:cstheme="minorHAnsi"/>
          <w:sz w:val="24"/>
          <w:szCs w:val="24"/>
          <w:u w:val="single"/>
          <w:lang w:val="el-GR" w:eastAsia="fr-FR"/>
        </w:rPr>
        <w:t>παρά</w:t>
      </w:r>
      <w:r w:rsidRPr="007D243C">
        <w:rPr>
          <w:rFonts w:eastAsia="Times New Roman" w:cstheme="minorHAnsi"/>
          <w:sz w:val="24"/>
          <w:szCs w:val="24"/>
          <w:u w:val="single"/>
          <w:lang w:val="el-GR" w:eastAsia="fr-FR"/>
        </w:rPr>
        <w:t xml:space="preserve"> </w:t>
      </w:r>
      <w:r>
        <w:rPr>
          <w:rFonts w:eastAsia="Times New Roman" w:cstheme="minorHAnsi"/>
          <w:sz w:val="24"/>
          <w:szCs w:val="24"/>
          <w:u w:val="single"/>
          <w:lang w:val="el-GR" w:eastAsia="fr-FR"/>
        </w:rPr>
        <w:t>τω</w:t>
      </w:r>
      <w:r w:rsidRPr="007D243C">
        <w:rPr>
          <w:rFonts w:eastAsia="Times New Roman" w:cstheme="minorHAnsi"/>
          <w:sz w:val="24"/>
          <w:szCs w:val="24"/>
          <w:u w:val="single"/>
          <w:lang w:val="el-GR" w:eastAsia="fr-FR"/>
        </w:rPr>
        <w:t xml:space="preserve"> </w:t>
      </w:r>
      <w:proofErr w:type="spellStart"/>
      <w:r>
        <w:rPr>
          <w:rFonts w:eastAsia="Times New Roman" w:cstheme="minorHAnsi"/>
          <w:sz w:val="24"/>
          <w:szCs w:val="24"/>
          <w:u w:val="single"/>
          <w:lang w:val="el-GR" w:eastAsia="fr-FR"/>
        </w:rPr>
        <w:t>Προέδρω</w:t>
      </w:r>
      <w:proofErr w:type="spellEnd"/>
      <w:r w:rsidRPr="007D243C">
        <w:rPr>
          <w:rFonts w:eastAsia="Times New Roman" w:cstheme="minorHAnsi"/>
          <w:sz w:val="24"/>
          <w:szCs w:val="24"/>
          <w:u w:val="single"/>
          <w:lang w:val="el-GR" w:eastAsia="fr-FR"/>
        </w:rPr>
        <w:t xml:space="preserve"> </w:t>
      </w:r>
      <w:r>
        <w:rPr>
          <w:rFonts w:eastAsia="Times New Roman" w:cstheme="minorHAnsi"/>
          <w:sz w:val="24"/>
          <w:szCs w:val="24"/>
          <w:u w:val="single"/>
          <w:lang w:val="el-GR" w:eastAsia="fr-FR"/>
        </w:rPr>
        <w:t>της</w:t>
      </w:r>
      <w:r w:rsidRPr="007D243C">
        <w:rPr>
          <w:rFonts w:eastAsia="Times New Roman" w:cstheme="minorHAnsi"/>
          <w:sz w:val="24"/>
          <w:szCs w:val="24"/>
          <w:u w:val="single"/>
          <w:lang w:val="el-GR" w:eastAsia="fr-FR"/>
        </w:rPr>
        <w:t xml:space="preserve"> </w:t>
      </w:r>
      <w:r>
        <w:rPr>
          <w:rFonts w:eastAsia="Times New Roman" w:cstheme="minorHAnsi"/>
          <w:sz w:val="24"/>
          <w:szCs w:val="24"/>
          <w:u w:val="single"/>
          <w:lang w:val="el-GR" w:eastAsia="fr-FR"/>
        </w:rPr>
        <w:t>Δημοκρατίας</w:t>
      </w:r>
      <w:r w:rsidR="00A5147D" w:rsidRPr="007D243C">
        <w:rPr>
          <w:rFonts w:eastAsia="Times New Roman" w:cstheme="minorHAnsi"/>
          <w:b/>
          <w:bCs/>
          <w:color w:val="FF0000"/>
          <w:sz w:val="24"/>
          <w:szCs w:val="24"/>
          <w:lang w:val="el-GR" w:eastAsia="fr-FR"/>
        </w:rPr>
        <w:t xml:space="preserve"> </w:t>
      </w:r>
      <w:r w:rsidRPr="007D243C">
        <w:rPr>
          <w:rFonts w:eastAsia="Times New Roman" w:cstheme="minorHAnsi"/>
          <w:sz w:val="24"/>
          <w:szCs w:val="24"/>
          <w:lang w:val="el-GR" w:eastAsia="fr-FR"/>
        </w:rPr>
        <w:t>καθιερ</w:t>
      </w:r>
      <w:r>
        <w:rPr>
          <w:rFonts w:eastAsia="Times New Roman" w:cstheme="minorHAnsi"/>
          <w:sz w:val="24"/>
          <w:szCs w:val="24"/>
          <w:lang w:val="el-GR" w:eastAsia="fr-FR"/>
        </w:rPr>
        <w:t>ώθηκε</w:t>
      </w:r>
      <w:r w:rsidRPr="007D243C">
        <w:rPr>
          <w:rFonts w:eastAsia="Times New Roman" w:cstheme="minorHAnsi"/>
          <w:sz w:val="24"/>
          <w:szCs w:val="24"/>
          <w:lang w:val="el-GR" w:eastAsia="fr-FR"/>
        </w:rPr>
        <w:t xml:space="preserve"> </w:t>
      </w:r>
      <w:r>
        <w:rPr>
          <w:rFonts w:eastAsia="Times New Roman" w:cstheme="minorHAnsi"/>
          <w:sz w:val="24"/>
          <w:szCs w:val="24"/>
          <w:lang w:val="el-GR" w:eastAsia="fr-FR"/>
        </w:rPr>
        <w:t>με</w:t>
      </w:r>
      <w:r w:rsidRPr="007D243C">
        <w:rPr>
          <w:rFonts w:eastAsia="Times New Roman" w:cstheme="minorHAnsi"/>
          <w:sz w:val="24"/>
          <w:szCs w:val="24"/>
          <w:lang w:val="el-GR" w:eastAsia="fr-FR"/>
        </w:rPr>
        <w:t xml:space="preserve"> </w:t>
      </w:r>
      <w:r>
        <w:rPr>
          <w:rFonts w:eastAsia="Times New Roman" w:cstheme="minorHAnsi"/>
          <w:sz w:val="24"/>
          <w:szCs w:val="24"/>
          <w:lang w:val="el-GR" w:eastAsia="fr-FR"/>
        </w:rPr>
        <w:t>νόμο</w:t>
      </w:r>
      <w:r w:rsidR="00A5147D" w:rsidRPr="004E251E">
        <w:rPr>
          <w:rFonts w:eastAsia="Times New Roman" w:cstheme="minorHAnsi"/>
          <w:sz w:val="24"/>
          <w:szCs w:val="24"/>
          <w:vertAlign w:val="superscript"/>
          <w:lang w:eastAsia="fr-FR"/>
        </w:rPr>
        <w:footnoteReference w:id="31"/>
      </w:r>
      <w:r w:rsidR="00A5147D" w:rsidRPr="007D243C">
        <w:rPr>
          <w:rFonts w:eastAsia="Times New Roman" w:cstheme="minorHAnsi"/>
          <w:sz w:val="24"/>
          <w:szCs w:val="24"/>
          <w:vertAlign w:val="superscript"/>
          <w:lang w:val="el-GR" w:eastAsia="fr-FR"/>
        </w:rPr>
        <w:t xml:space="preserve"> </w:t>
      </w:r>
      <w:r>
        <w:rPr>
          <w:rFonts w:eastAsia="Times New Roman" w:cstheme="minorHAnsi"/>
          <w:sz w:val="24"/>
          <w:szCs w:val="24"/>
          <w:lang w:val="el-GR" w:eastAsia="fr-FR"/>
        </w:rPr>
        <w:t>το</w:t>
      </w:r>
      <w:r w:rsidR="00A5147D" w:rsidRPr="007D243C">
        <w:rPr>
          <w:rFonts w:eastAsia="Times New Roman" w:cstheme="minorHAnsi"/>
          <w:sz w:val="24"/>
          <w:szCs w:val="24"/>
          <w:lang w:val="el-GR" w:eastAsia="fr-FR"/>
        </w:rPr>
        <w:t xml:space="preserve"> 1960 </w:t>
      </w:r>
      <w:r>
        <w:rPr>
          <w:rFonts w:eastAsia="Times New Roman" w:cstheme="minorHAnsi"/>
          <w:sz w:val="24"/>
          <w:szCs w:val="24"/>
          <w:lang w:val="el-GR" w:eastAsia="fr-FR"/>
        </w:rPr>
        <w:t>και αυτός/ή διορίζεται από τον Πρόεδρο</w:t>
      </w:r>
      <w:r w:rsidR="00A5147D" w:rsidRPr="007D243C">
        <w:rPr>
          <w:rFonts w:eastAsia="Times New Roman" w:cstheme="minorHAnsi"/>
          <w:sz w:val="24"/>
          <w:szCs w:val="24"/>
          <w:lang w:val="el-GR" w:eastAsia="fr-FR"/>
        </w:rPr>
        <w:t xml:space="preserve">. </w:t>
      </w:r>
      <w:r>
        <w:rPr>
          <w:rFonts w:eastAsia="Times New Roman" w:cstheme="minorHAnsi"/>
          <w:sz w:val="24"/>
          <w:szCs w:val="24"/>
          <w:lang w:val="el-GR" w:eastAsia="fr-FR"/>
        </w:rPr>
        <w:t>Οι</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αρμοδιότητες</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και</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ευθύνες</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του</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Υφυπουργού</w:t>
      </w:r>
      <w:r w:rsidR="00A5147D"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συμπεριλαμβάνουν</w:t>
      </w:r>
      <w:r w:rsidR="00A5147D"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τον</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συντονισμό</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μεταξύ</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υπουργείων</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σε</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οριζόντια</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θέματα</w:t>
      </w:r>
      <w:r w:rsidR="00A5147D"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ιδιαίτερα</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σε</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παράγοντες</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που</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μπορεί</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να</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δημιουργήσουν</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καθυστερήσεις</w:t>
      </w:r>
      <w:r w:rsidR="00A5147D"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ή</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που</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είναι</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θέματα</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προτεραιότητας</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για</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την</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Κυβέρνηση</w:t>
      </w:r>
      <w:r w:rsidR="00A5147D"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και</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τον</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Πρόεδρο</w:t>
      </w:r>
      <w:r w:rsidRPr="00D65F75">
        <w:rPr>
          <w:rFonts w:eastAsia="Times New Roman" w:cstheme="minorHAnsi"/>
          <w:sz w:val="24"/>
          <w:szCs w:val="24"/>
          <w:lang w:val="el-GR" w:eastAsia="fr-FR"/>
        </w:rPr>
        <w:t>,</w:t>
      </w:r>
      <w:r w:rsidR="00A5147D"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τον</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συν</w:t>
      </w:r>
      <w:r w:rsidR="00A16D46">
        <w:rPr>
          <w:rFonts w:eastAsia="Times New Roman" w:cstheme="minorHAnsi"/>
          <w:sz w:val="24"/>
          <w:szCs w:val="24"/>
          <w:lang w:val="el-GR" w:eastAsia="fr-FR"/>
        </w:rPr>
        <w:t>τ</w:t>
      </w:r>
      <w:r>
        <w:rPr>
          <w:rFonts w:eastAsia="Times New Roman" w:cstheme="minorHAnsi"/>
          <w:sz w:val="24"/>
          <w:szCs w:val="24"/>
          <w:lang w:val="el-GR" w:eastAsia="fr-FR"/>
        </w:rPr>
        <w:t>ονισμό</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και</w:t>
      </w:r>
      <w:r w:rsidRPr="00D65F75">
        <w:rPr>
          <w:rFonts w:eastAsia="Times New Roman" w:cstheme="minorHAnsi"/>
          <w:sz w:val="24"/>
          <w:szCs w:val="24"/>
          <w:lang w:val="el-GR" w:eastAsia="fr-FR"/>
        </w:rPr>
        <w:t xml:space="preserve"> </w:t>
      </w:r>
      <w:r>
        <w:rPr>
          <w:rFonts w:eastAsia="Times New Roman" w:cstheme="minorHAnsi"/>
          <w:sz w:val="24"/>
          <w:szCs w:val="24"/>
          <w:lang w:val="el-GR" w:eastAsia="fr-FR"/>
        </w:rPr>
        <w:t>παρακολούθηση</w:t>
      </w:r>
      <w:r w:rsidR="00D65F75"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της</w:t>
      </w:r>
      <w:r w:rsidR="00D65F75"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υλοποίησης</w:t>
      </w:r>
      <w:r w:rsidR="00D65F75"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των</w:t>
      </w:r>
      <w:r w:rsidR="00D65F75"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Κυβερνητικών</w:t>
      </w:r>
      <w:r w:rsidR="00D65F75"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πολιτικών</w:t>
      </w:r>
      <w:r w:rsidR="00A5147D"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σε</w:t>
      </w:r>
      <w:r w:rsidR="00D65F75"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συνεργασία</w:t>
      </w:r>
      <w:r w:rsidR="00D65F75"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με</w:t>
      </w:r>
      <w:r w:rsidR="00D65F75"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τον</w:t>
      </w:r>
      <w:r w:rsidR="00D65F75"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Γραμματέα</w:t>
      </w:r>
      <w:r w:rsidR="00D65F75"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του</w:t>
      </w:r>
      <w:r w:rsidR="00D65F75"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Υπουργικού</w:t>
      </w:r>
      <w:r w:rsidR="00D65F75"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Συμβουλίου</w:t>
      </w:r>
      <w:r w:rsidR="00D65F75" w:rsidRPr="00D65F75">
        <w:rPr>
          <w:rFonts w:eastAsia="Times New Roman" w:cstheme="minorHAnsi"/>
          <w:sz w:val="24"/>
          <w:szCs w:val="24"/>
          <w:lang w:val="el-GR" w:eastAsia="fr-FR"/>
        </w:rPr>
        <w:t>,</w:t>
      </w:r>
      <w:r w:rsidR="00A5147D" w:rsidRPr="00D65F75">
        <w:rPr>
          <w:rFonts w:cstheme="minorHAnsi"/>
          <w:sz w:val="24"/>
          <w:szCs w:val="24"/>
          <w:lang w:val="el-GR"/>
        </w:rPr>
        <w:t xml:space="preserve"> </w:t>
      </w:r>
      <w:r w:rsidR="00D65F75">
        <w:rPr>
          <w:rFonts w:cstheme="minorHAnsi"/>
          <w:sz w:val="24"/>
          <w:szCs w:val="24"/>
          <w:lang w:val="el-GR"/>
        </w:rPr>
        <w:t>συνάντηση</w:t>
      </w:r>
      <w:r w:rsidR="00D65F75" w:rsidRPr="00D65F75">
        <w:rPr>
          <w:rFonts w:cstheme="minorHAnsi"/>
          <w:sz w:val="24"/>
          <w:szCs w:val="24"/>
          <w:lang w:val="el-GR"/>
        </w:rPr>
        <w:t xml:space="preserve"> </w:t>
      </w:r>
      <w:r w:rsidR="00D65F75">
        <w:rPr>
          <w:rFonts w:cstheme="minorHAnsi"/>
          <w:sz w:val="24"/>
          <w:szCs w:val="24"/>
          <w:lang w:val="el-GR"/>
        </w:rPr>
        <w:t>με</w:t>
      </w:r>
      <w:r w:rsidR="00D65F75" w:rsidRPr="00D65F75">
        <w:rPr>
          <w:rFonts w:cstheme="minorHAnsi"/>
          <w:sz w:val="24"/>
          <w:szCs w:val="24"/>
          <w:lang w:val="el-GR"/>
        </w:rPr>
        <w:t xml:space="preserve"> </w:t>
      </w:r>
      <w:r w:rsidR="00D65F75">
        <w:rPr>
          <w:rFonts w:cstheme="minorHAnsi"/>
          <w:sz w:val="24"/>
          <w:szCs w:val="24"/>
          <w:lang w:val="el-GR"/>
        </w:rPr>
        <w:t>αντιπροσώπους</w:t>
      </w:r>
      <w:r w:rsidR="00D65F75" w:rsidRPr="00D65F75">
        <w:rPr>
          <w:rFonts w:cstheme="minorHAnsi"/>
          <w:sz w:val="24"/>
          <w:szCs w:val="24"/>
          <w:lang w:val="el-GR"/>
        </w:rPr>
        <w:t xml:space="preserve"> </w:t>
      </w:r>
      <w:r w:rsidR="00D65F75">
        <w:rPr>
          <w:rFonts w:cstheme="minorHAnsi"/>
          <w:sz w:val="24"/>
          <w:szCs w:val="24"/>
          <w:lang w:val="el-GR"/>
        </w:rPr>
        <w:t>διεθνών</w:t>
      </w:r>
      <w:r w:rsidR="00D65F75" w:rsidRPr="00D65F75">
        <w:rPr>
          <w:rFonts w:cstheme="minorHAnsi"/>
          <w:sz w:val="24"/>
          <w:szCs w:val="24"/>
          <w:lang w:val="el-GR"/>
        </w:rPr>
        <w:t xml:space="preserve"> </w:t>
      </w:r>
      <w:r w:rsidR="00D65F75">
        <w:rPr>
          <w:rFonts w:cstheme="minorHAnsi"/>
          <w:sz w:val="24"/>
          <w:szCs w:val="24"/>
          <w:lang w:val="el-GR"/>
        </w:rPr>
        <w:t>οργανισμών</w:t>
      </w:r>
      <w:r w:rsidR="00A5147D"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πρεσβευτές</w:t>
      </w:r>
      <w:r w:rsidR="00D65F75"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κλπ</w:t>
      </w:r>
      <w:r w:rsidR="00A5147D"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πάνω</w:t>
      </w:r>
      <w:r w:rsidR="00D65F75"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σε</w:t>
      </w:r>
      <w:r w:rsidR="00D65F75"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συγκεκριμένα</w:t>
      </w:r>
      <w:r w:rsidR="00D65F75"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ζητήματα πολιτικής,</w:t>
      </w:r>
      <w:r w:rsidR="00A5147D" w:rsidRPr="00D65F75">
        <w:rPr>
          <w:rFonts w:cstheme="minorHAnsi"/>
          <w:sz w:val="24"/>
          <w:szCs w:val="24"/>
          <w:lang w:val="el-GR"/>
        </w:rPr>
        <w:t xml:space="preserve"> </w:t>
      </w:r>
      <w:r w:rsidR="00D65F75">
        <w:rPr>
          <w:rFonts w:cstheme="minorHAnsi"/>
          <w:sz w:val="24"/>
          <w:szCs w:val="24"/>
          <w:lang w:val="el-GR"/>
        </w:rPr>
        <w:t>συνάντηση με οργανωμένα σ</w:t>
      </w:r>
      <w:r w:rsidR="0009334D">
        <w:rPr>
          <w:rFonts w:cstheme="minorHAnsi"/>
          <w:sz w:val="24"/>
          <w:szCs w:val="24"/>
          <w:lang w:val="el-GR"/>
        </w:rPr>
        <w:t>ύνολ</w:t>
      </w:r>
      <w:r w:rsidR="00D65F75">
        <w:rPr>
          <w:rFonts w:cstheme="minorHAnsi"/>
          <w:sz w:val="24"/>
          <w:szCs w:val="24"/>
          <w:lang w:val="el-GR"/>
        </w:rPr>
        <w:t>α στην παρουσία του Προέδρου ή εκ μέρους του/ης,</w:t>
      </w:r>
      <w:r w:rsidR="00A5147D" w:rsidRPr="00D65F75">
        <w:rPr>
          <w:rFonts w:cstheme="minorHAnsi"/>
          <w:sz w:val="24"/>
          <w:szCs w:val="24"/>
          <w:lang w:val="el-GR"/>
        </w:rPr>
        <w:t xml:space="preserve"> </w:t>
      </w:r>
      <w:r w:rsidR="00AD34DE">
        <w:rPr>
          <w:rFonts w:cstheme="minorHAnsi"/>
          <w:sz w:val="24"/>
          <w:szCs w:val="24"/>
          <w:lang w:val="el-GR"/>
        </w:rPr>
        <w:t xml:space="preserve">να συνοδεύει </w:t>
      </w:r>
      <w:r w:rsidR="00D65F75">
        <w:rPr>
          <w:rFonts w:cstheme="minorHAnsi"/>
          <w:sz w:val="24"/>
          <w:szCs w:val="24"/>
          <w:lang w:val="el-GR"/>
        </w:rPr>
        <w:t xml:space="preserve">τον Πρόεδρο ή </w:t>
      </w:r>
      <w:r w:rsidR="00AD34DE">
        <w:rPr>
          <w:rFonts w:cstheme="minorHAnsi"/>
          <w:sz w:val="24"/>
          <w:szCs w:val="24"/>
          <w:lang w:val="el-GR"/>
        </w:rPr>
        <w:t xml:space="preserve">να </w:t>
      </w:r>
      <w:r w:rsidR="00D65F75">
        <w:rPr>
          <w:rFonts w:cstheme="minorHAnsi"/>
          <w:sz w:val="24"/>
          <w:szCs w:val="24"/>
          <w:lang w:val="el-GR"/>
        </w:rPr>
        <w:t>τον/ην</w:t>
      </w:r>
      <w:r w:rsidR="00AD34DE">
        <w:rPr>
          <w:rFonts w:cstheme="minorHAnsi"/>
          <w:sz w:val="24"/>
          <w:szCs w:val="24"/>
          <w:lang w:val="el-GR"/>
        </w:rPr>
        <w:t xml:space="preserve"> αντιπροσωπεύει</w:t>
      </w:r>
      <w:r w:rsidR="00D65F75">
        <w:rPr>
          <w:rFonts w:cstheme="minorHAnsi"/>
          <w:sz w:val="24"/>
          <w:szCs w:val="24"/>
          <w:lang w:val="el-GR"/>
        </w:rPr>
        <w:t xml:space="preserve"> σε καθήκοντα και/ή εκδηλώσεις</w:t>
      </w:r>
      <w:r w:rsidR="00A5147D"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όταν ανατίθενται</w:t>
      </w:r>
      <w:r w:rsidR="00A5147D" w:rsidRPr="00D65F75">
        <w:rPr>
          <w:rFonts w:eastAsia="Times New Roman" w:cstheme="minorHAnsi"/>
          <w:sz w:val="24"/>
          <w:szCs w:val="24"/>
          <w:lang w:val="el-GR" w:eastAsia="fr-FR"/>
        </w:rPr>
        <w:t xml:space="preserve">, </w:t>
      </w:r>
      <w:r w:rsidR="00457F4E">
        <w:rPr>
          <w:rFonts w:eastAsia="Times New Roman" w:cstheme="minorHAnsi"/>
          <w:sz w:val="24"/>
          <w:szCs w:val="24"/>
          <w:lang w:val="el-GR" w:eastAsia="fr-FR"/>
        </w:rPr>
        <w:t xml:space="preserve">στο εσωτερικό </w:t>
      </w:r>
      <w:r w:rsidR="00D65F75">
        <w:rPr>
          <w:rFonts w:eastAsia="Times New Roman" w:cstheme="minorHAnsi"/>
          <w:sz w:val="24"/>
          <w:szCs w:val="24"/>
          <w:lang w:val="el-GR" w:eastAsia="fr-FR"/>
        </w:rPr>
        <w:t>ή στο εξωτερικό,</w:t>
      </w:r>
      <w:r w:rsidR="00A5147D"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προωθώντας συγκεκριμένα</w:t>
      </w:r>
      <w:r w:rsidR="00A5147D"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στρατηγικά έργα</w:t>
      </w:r>
      <w:r w:rsidR="00A5147D"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 xml:space="preserve">με τομείς προτεραιότητας, </w:t>
      </w:r>
      <w:r w:rsidR="00457F4E">
        <w:rPr>
          <w:rFonts w:eastAsia="Times New Roman" w:cstheme="minorHAnsi"/>
          <w:sz w:val="24"/>
          <w:szCs w:val="24"/>
          <w:lang w:val="el-GR" w:eastAsia="fr-FR"/>
        </w:rPr>
        <w:t xml:space="preserve">την </w:t>
      </w:r>
      <w:r w:rsidR="00D65F75">
        <w:rPr>
          <w:rFonts w:eastAsia="Times New Roman" w:cstheme="minorHAnsi"/>
          <w:sz w:val="24"/>
          <w:szCs w:val="24"/>
          <w:lang w:val="el-GR" w:eastAsia="fr-FR"/>
        </w:rPr>
        <w:t>πολιτική επίβλεψη</w:t>
      </w:r>
      <w:r w:rsidR="00A5147D" w:rsidRPr="00D65F75">
        <w:rPr>
          <w:rFonts w:eastAsia="Times New Roman" w:cstheme="minorHAnsi"/>
          <w:sz w:val="24"/>
          <w:szCs w:val="24"/>
          <w:lang w:val="el-GR" w:eastAsia="fr-FR"/>
        </w:rPr>
        <w:t xml:space="preserve">, </w:t>
      </w:r>
      <w:r w:rsidR="00D65F75">
        <w:rPr>
          <w:rFonts w:eastAsia="Times New Roman" w:cstheme="minorHAnsi"/>
          <w:sz w:val="24"/>
          <w:szCs w:val="24"/>
          <w:lang w:val="el-GR" w:eastAsia="fr-FR"/>
        </w:rPr>
        <w:t xml:space="preserve">σε συνεργασία με τον </w:t>
      </w:r>
      <w:r w:rsidR="00973266">
        <w:rPr>
          <w:rFonts w:eastAsia="Times New Roman" w:cstheme="minorHAnsi"/>
          <w:sz w:val="24"/>
          <w:szCs w:val="24"/>
          <w:lang w:val="el-GR" w:eastAsia="fr-FR"/>
        </w:rPr>
        <w:t>Προϊστάμενο</w:t>
      </w:r>
      <w:r w:rsidR="00457F4E">
        <w:rPr>
          <w:rFonts w:eastAsia="Times New Roman" w:cstheme="minorHAnsi"/>
          <w:sz w:val="24"/>
          <w:szCs w:val="24"/>
          <w:lang w:val="el-GR" w:eastAsia="fr-FR"/>
        </w:rPr>
        <w:t xml:space="preserve"> </w:t>
      </w:r>
      <w:r w:rsidR="00D65F75">
        <w:rPr>
          <w:rFonts w:eastAsia="Times New Roman" w:cstheme="minorHAnsi"/>
          <w:sz w:val="24"/>
          <w:szCs w:val="24"/>
          <w:lang w:val="el-GR" w:eastAsia="fr-FR"/>
        </w:rPr>
        <w:t>της Διοίκησης της Προεδρίας</w:t>
      </w:r>
      <w:r w:rsidR="00457F4E">
        <w:rPr>
          <w:rFonts w:eastAsia="Times New Roman" w:cstheme="minorHAnsi"/>
          <w:sz w:val="24"/>
          <w:szCs w:val="24"/>
          <w:lang w:val="el-GR" w:eastAsia="fr-FR"/>
        </w:rPr>
        <w:t xml:space="preserve"> </w:t>
      </w:r>
      <w:r w:rsidR="0009334D">
        <w:rPr>
          <w:rFonts w:eastAsia="Times New Roman" w:cstheme="minorHAnsi"/>
          <w:sz w:val="24"/>
          <w:szCs w:val="24"/>
          <w:lang w:val="el-GR" w:eastAsia="fr-FR"/>
        </w:rPr>
        <w:t>το</w:t>
      </w:r>
      <w:r w:rsidR="00457F4E">
        <w:rPr>
          <w:rFonts w:eastAsia="Times New Roman" w:cstheme="minorHAnsi"/>
          <w:sz w:val="24"/>
          <w:szCs w:val="24"/>
          <w:lang w:val="el-GR" w:eastAsia="fr-FR"/>
        </w:rPr>
        <w:t>υ</w:t>
      </w:r>
      <w:r w:rsidR="0009334D">
        <w:rPr>
          <w:rFonts w:eastAsia="Times New Roman" w:cstheme="minorHAnsi"/>
          <w:sz w:val="24"/>
          <w:szCs w:val="24"/>
          <w:lang w:val="el-GR" w:eastAsia="fr-FR"/>
        </w:rPr>
        <w:t xml:space="preserve"> προσωπικ</w:t>
      </w:r>
      <w:r w:rsidR="00457F4E">
        <w:rPr>
          <w:rFonts w:eastAsia="Times New Roman" w:cstheme="minorHAnsi"/>
          <w:sz w:val="24"/>
          <w:szCs w:val="24"/>
          <w:lang w:val="el-GR" w:eastAsia="fr-FR"/>
        </w:rPr>
        <w:t>ού</w:t>
      </w:r>
      <w:r w:rsidR="0009334D">
        <w:rPr>
          <w:rFonts w:eastAsia="Times New Roman" w:cstheme="minorHAnsi"/>
          <w:sz w:val="24"/>
          <w:szCs w:val="24"/>
          <w:lang w:val="el-GR" w:eastAsia="fr-FR"/>
        </w:rPr>
        <w:t xml:space="preserve"> που υπηρετεί </w:t>
      </w:r>
      <w:r w:rsidR="00457F4E">
        <w:rPr>
          <w:rFonts w:eastAsia="Times New Roman" w:cstheme="minorHAnsi"/>
          <w:sz w:val="24"/>
          <w:szCs w:val="24"/>
          <w:lang w:val="el-GR" w:eastAsia="fr-FR"/>
        </w:rPr>
        <w:t>σ</w:t>
      </w:r>
      <w:r w:rsidR="0009334D">
        <w:rPr>
          <w:rFonts w:eastAsia="Times New Roman" w:cstheme="minorHAnsi"/>
          <w:sz w:val="24"/>
          <w:szCs w:val="24"/>
          <w:lang w:val="el-GR" w:eastAsia="fr-FR"/>
        </w:rPr>
        <w:t>την Προεδρία</w:t>
      </w:r>
      <w:r w:rsidR="00A5147D" w:rsidRPr="00D65F75">
        <w:rPr>
          <w:rFonts w:eastAsia="Times New Roman" w:cstheme="minorHAnsi"/>
          <w:sz w:val="24"/>
          <w:szCs w:val="24"/>
          <w:lang w:val="el-GR" w:eastAsia="fr-FR"/>
        </w:rPr>
        <w:t xml:space="preserve"> </w:t>
      </w:r>
      <w:r w:rsidR="0009334D">
        <w:rPr>
          <w:rFonts w:eastAsia="Times New Roman" w:cstheme="minorHAnsi"/>
          <w:sz w:val="24"/>
          <w:szCs w:val="24"/>
          <w:lang w:val="el-GR" w:eastAsia="fr-FR"/>
        </w:rPr>
        <w:t xml:space="preserve">και </w:t>
      </w:r>
      <w:r w:rsidR="00457F4E">
        <w:rPr>
          <w:rFonts w:eastAsia="Times New Roman" w:cstheme="minorHAnsi"/>
          <w:sz w:val="24"/>
          <w:szCs w:val="24"/>
          <w:lang w:val="el-GR" w:eastAsia="fr-FR"/>
        </w:rPr>
        <w:t>σ</w:t>
      </w:r>
      <w:r w:rsidR="0009334D">
        <w:rPr>
          <w:rFonts w:eastAsia="Times New Roman" w:cstheme="minorHAnsi"/>
          <w:sz w:val="24"/>
          <w:szCs w:val="24"/>
          <w:lang w:val="el-GR" w:eastAsia="fr-FR"/>
        </w:rPr>
        <w:t>το Προεδρικό Μέγαρο και οποιαδήποτε άλλα ειδικά καθήκοντα</w:t>
      </w:r>
      <w:r w:rsidR="00A5147D" w:rsidRPr="00D65F75">
        <w:rPr>
          <w:rFonts w:eastAsia="Times New Roman" w:cstheme="minorHAnsi"/>
          <w:sz w:val="24"/>
          <w:szCs w:val="24"/>
          <w:lang w:val="el-GR" w:eastAsia="fr-FR"/>
        </w:rPr>
        <w:t xml:space="preserve"> </w:t>
      </w:r>
      <w:r w:rsidR="0009334D">
        <w:rPr>
          <w:rFonts w:eastAsia="Times New Roman" w:cstheme="minorHAnsi"/>
          <w:sz w:val="24"/>
          <w:szCs w:val="24"/>
          <w:lang w:val="el-GR" w:eastAsia="fr-FR"/>
        </w:rPr>
        <w:t xml:space="preserve">που ανατίθενται </w:t>
      </w:r>
      <w:proofErr w:type="spellStart"/>
      <w:r w:rsidR="0009334D">
        <w:rPr>
          <w:rFonts w:eastAsia="Times New Roman" w:cstheme="minorHAnsi"/>
          <w:sz w:val="24"/>
          <w:szCs w:val="24"/>
          <w:lang w:val="el-GR" w:eastAsia="fr-FR"/>
        </w:rPr>
        <w:t>σ’αυτόν</w:t>
      </w:r>
      <w:proofErr w:type="spellEnd"/>
      <w:r w:rsidR="0009334D">
        <w:rPr>
          <w:rFonts w:eastAsia="Times New Roman" w:cstheme="minorHAnsi"/>
          <w:sz w:val="24"/>
          <w:szCs w:val="24"/>
          <w:lang w:val="el-GR" w:eastAsia="fr-FR"/>
        </w:rPr>
        <w:t>/ην από τον Πρόεδρο</w:t>
      </w:r>
      <w:r w:rsidR="00A5147D" w:rsidRPr="00D65F75">
        <w:rPr>
          <w:rFonts w:ascii="Ebrima" w:eastAsia="Times New Roman" w:hAnsi="Ebrima" w:cs="Calibri"/>
          <w:sz w:val="20"/>
          <w:szCs w:val="20"/>
          <w:lang w:val="el-GR" w:eastAsia="fr-FR"/>
        </w:rPr>
        <w:t xml:space="preserve">. </w:t>
      </w:r>
    </w:p>
    <w:p w14:paraId="316CE7CC" w14:textId="77777777" w:rsidR="00A5147D" w:rsidRPr="00D65F75" w:rsidRDefault="00A5147D" w:rsidP="00A5147D">
      <w:pPr>
        <w:rPr>
          <w:rFonts w:cstheme="minorHAnsi"/>
          <w:sz w:val="24"/>
          <w:szCs w:val="24"/>
          <w:lang w:val="el-GR"/>
        </w:rPr>
      </w:pPr>
    </w:p>
    <w:p w14:paraId="3A054F28" w14:textId="1B15F9E5" w:rsidR="00A5147D" w:rsidRPr="00FB7225" w:rsidRDefault="00FB7225"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Ένας</w:t>
      </w:r>
      <w:r w:rsidRPr="00FB7225">
        <w:rPr>
          <w:rFonts w:cstheme="minorHAnsi"/>
          <w:sz w:val="24"/>
          <w:szCs w:val="24"/>
          <w:lang w:val="el-GR"/>
        </w:rPr>
        <w:t>/</w:t>
      </w:r>
      <w:r>
        <w:rPr>
          <w:rFonts w:cstheme="minorHAnsi"/>
          <w:sz w:val="24"/>
          <w:szCs w:val="24"/>
          <w:lang w:val="el-GR"/>
        </w:rPr>
        <w:t>μια</w:t>
      </w:r>
      <w:r w:rsidR="00A5147D" w:rsidRPr="00FB7225">
        <w:rPr>
          <w:rFonts w:cstheme="minorHAnsi"/>
          <w:sz w:val="24"/>
          <w:szCs w:val="24"/>
          <w:lang w:val="el-GR"/>
        </w:rPr>
        <w:t xml:space="preserve"> </w:t>
      </w:r>
      <w:r>
        <w:rPr>
          <w:rFonts w:cstheme="minorHAnsi"/>
          <w:sz w:val="24"/>
          <w:szCs w:val="24"/>
          <w:u w:val="single"/>
          <w:lang w:val="el-GR"/>
        </w:rPr>
        <w:t>Υφυπουργός</w:t>
      </w:r>
      <w:r w:rsidR="00A5147D" w:rsidRPr="00FB7225">
        <w:rPr>
          <w:rFonts w:cstheme="minorHAnsi"/>
          <w:sz w:val="24"/>
          <w:szCs w:val="24"/>
          <w:lang w:val="el-GR"/>
        </w:rPr>
        <w:t xml:space="preserve"> </w:t>
      </w:r>
      <w:r>
        <w:rPr>
          <w:rFonts w:cstheme="minorHAnsi"/>
          <w:sz w:val="24"/>
          <w:szCs w:val="24"/>
          <w:lang w:val="el-GR"/>
        </w:rPr>
        <w:t>είναι</w:t>
      </w:r>
      <w:r w:rsidRPr="00FB7225">
        <w:rPr>
          <w:rFonts w:cstheme="minorHAnsi"/>
          <w:sz w:val="24"/>
          <w:szCs w:val="24"/>
          <w:lang w:val="el-GR"/>
        </w:rPr>
        <w:t xml:space="preserve"> </w:t>
      </w:r>
      <w:r>
        <w:rPr>
          <w:rFonts w:cstheme="minorHAnsi"/>
          <w:sz w:val="24"/>
          <w:szCs w:val="24"/>
          <w:lang w:val="el-GR"/>
        </w:rPr>
        <w:t>Επικεφαλής</w:t>
      </w:r>
      <w:r w:rsidRPr="00FB7225">
        <w:rPr>
          <w:rFonts w:cstheme="minorHAnsi"/>
          <w:sz w:val="24"/>
          <w:szCs w:val="24"/>
          <w:lang w:val="el-GR"/>
        </w:rPr>
        <w:t xml:space="preserve"> </w:t>
      </w:r>
      <w:r>
        <w:rPr>
          <w:rFonts w:cstheme="minorHAnsi"/>
          <w:sz w:val="24"/>
          <w:szCs w:val="24"/>
          <w:lang w:val="el-GR"/>
        </w:rPr>
        <w:t>του</w:t>
      </w:r>
      <w:r w:rsidRPr="00FB7225">
        <w:rPr>
          <w:rFonts w:cstheme="minorHAnsi"/>
          <w:sz w:val="24"/>
          <w:szCs w:val="24"/>
          <w:lang w:val="el-GR"/>
        </w:rPr>
        <w:t xml:space="preserve"> </w:t>
      </w:r>
      <w:r>
        <w:rPr>
          <w:rFonts w:cstheme="minorHAnsi"/>
          <w:sz w:val="24"/>
          <w:szCs w:val="24"/>
          <w:lang w:val="el-GR"/>
        </w:rPr>
        <w:t>Υφυπουργείου</w:t>
      </w:r>
      <w:r w:rsidRPr="00FB7225">
        <w:rPr>
          <w:rFonts w:cstheme="minorHAnsi"/>
          <w:sz w:val="24"/>
          <w:szCs w:val="24"/>
          <w:lang w:val="el-GR"/>
        </w:rPr>
        <w:t xml:space="preserve"> </w:t>
      </w:r>
      <w:r>
        <w:rPr>
          <w:rFonts w:cstheme="minorHAnsi"/>
          <w:sz w:val="24"/>
          <w:szCs w:val="24"/>
          <w:lang w:val="el-GR"/>
        </w:rPr>
        <w:t>του</w:t>
      </w:r>
      <w:r w:rsidRPr="00FB7225">
        <w:rPr>
          <w:rFonts w:cstheme="minorHAnsi"/>
          <w:sz w:val="24"/>
          <w:szCs w:val="24"/>
          <w:lang w:val="el-GR"/>
        </w:rPr>
        <w:t>/</w:t>
      </w:r>
      <w:r>
        <w:rPr>
          <w:rFonts w:cstheme="minorHAnsi"/>
          <w:sz w:val="24"/>
          <w:szCs w:val="24"/>
          <w:lang w:val="el-GR"/>
        </w:rPr>
        <w:t>ης</w:t>
      </w:r>
      <w:r w:rsidRPr="00FB7225">
        <w:rPr>
          <w:rFonts w:cstheme="minorHAnsi"/>
          <w:sz w:val="24"/>
          <w:szCs w:val="24"/>
          <w:lang w:val="el-GR"/>
        </w:rPr>
        <w:t xml:space="preserve"> </w:t>
      </w:r>
      <w:r>
        <w:rPr>
          <w:rFonts w:cstheme="minorHAnsi"/>
          <w:sz w:val="24"/>
          <w:szCs w:val="24"/>
          <w:lang w:val="el-GR"/>
        </w:rPr>
        <w:t>και</w:t>
      </w:r>
      <w:r w:rsidRPr="00FB7225">
        <w:rPr>
          <w:rFonts w:cstheme="minorHAnsi"/>
          <w:sz w:val="24"/>
          <w:szCs w:val="24"/>
          <w:lang w:val="el-GR"/>
        </w:rPr>
        <w:t xml:space="preserve"> </w:t>
      </w:r>
      <w:r>
        <w:rPr>
          <w:rFonts w:cstheme="minorHAnsi"/>
          <w:sz w:val="24"/>
          <w:szCs w:val="24"/>
          <w:lang w:val="el-GR"/>
        </w:rPr>
        <w:t>κατέχει</w:t>
      </w:r>
      <w:r w:rsidR="00A5147D" w:rsidRPr="00FB7225">
        <w:rPr>
          <w:rFonts w:cstheme="minorHAnsi"/>
          <w:sz w:val="24"/>
          <w:szCs w:val="24"/>
          <w:lang w:val="el-GR"/>
        </w:rPr>
        <w:t xml:space="preserve"> </w:t>
      </w:r>
      <w:proofErr w:type="spellStart"/>
      <w:r>
        <w:rPr>
          <w:rFonts w:cstheme="minorHAnsi"/>
          <w:sz w:val="24"/>
          <w:szCs w:val="24"/>
          <w:lang w:val="el-GR"/>
        </w:rPr>
        <w:t>οιονεί</w:t>
      </w:r>
      <w:proofErr w:type="spellEnd"/>
      <w:r>
        <w:rPr>
          <w:rFonts w:cstheme="minorHAnsi"/>
          <w:sz w:val="24"/>
          <w:szCs w:val="24"/>
          <w:lang w:val="el-GR"/>
        </w:rPr>
        <w:t xml:space="preserve"> εκτελεστικές εξουσίες</w:t>
      </w:r>
      <w:r w:rsidR="00457F4E">
        <w:rPr>
          <w:rFonts w:cstheme="minorHAnsi"/>
          <w:sz w:val="24"/>
          <w:szCs w:val="24"/>
          <w:lang w:val="el-GR"/>
        </w:rPr>
        <w:t>,</w:t>
      </w:r>
      <w:r w:rsidR="00A5147D" w:rsidRPr="00FB7225">
        <w:rPr>
          <w:rFonts w:cstheme="minorHAnsi"/>
          <w:sz w:val="24"/>
          <w:szCs w:val="24"/>
          <w:lang w:val="el-GR"/>
        </w:rPr>
        <w:t xml:space="preserve"> </w:t>
      </w:r>
      <w:r>
        <w:rPr>
          <w:rFonts w:cstheme="minorHAnsi"/>
          <w:sz w:val="24"/>
          <w:szCs w:val="24"/>
          <w:lang w:val="el-GR"/>
        </w:rPr>
        <w:t>αυτός/ή διορίζεται από τον Πρόεδρο</w:t>
      </w:r>
      <w:r w:rsidR="00A5147D" w:rsidRPr="004E251E">
        <w:rPr>
          <w:rStyle w:val="FootnoteReference"/>
          <w:rFonts w:cstheme="minorHAnsi"/>
          <w:sz w:val="24"/>
          <w:szCs w:val="24"/>
        </w:rPr>
        <w:footnoteReference w:id="32"/>
      </w:r>
      <w:r w:rsidR="00A5147D" w:rsidRPr="00FB7225">
        <w:rPr>
          <w:rFonts w:cstheme="minorHAnsi"/>
          <w:sz w:val="24"/>
          <w:szCs w:val="24"/>
          <w:lang w:val="el-GR"/>
        </w:rPr>
        <w:t xml:space="preserve">. </w:t>
      </w:r>
      <w:r>
        <w:rPr>
          <w:rFonts w:cstheme="minorHAnsi"/>
          <w:sz w:val="24"/>
          <w:szCs w:val="24"/>
          <w:lang w:val="el-GR"/>
        </w:rPr>
        <w:t>Τα</w:t>
      </w:r>
      <w:r w:rsidRPr="00FB7225">
        <w:rPr>
          <w:rFonts w:cstheme="minorHAnsi"/>
          <w:sz w:val="24"/>
          <w:szCs w:val="24"/>
          <w:lang w:val="el-GR"/>
        </w:rPr>
        <w:t xml:space="preserve"> </w:t>
      </w:r>
      <w:r>
        <w:rPr>
          <w:rFonts w:cstheme="minorHAnsi"/>
          <w:sz w:val="24"/>
          <w:szCs w:val="24"/>
          <w:lang w:val="el-GR"/>
        </w:rPr>
        <w:t>καθήκοντα</w:t>
      </w:r>
      <w:r w:rsidRPr="00FB7225">
        <w:rPr>
          <w:rFonts w:cstheme="minorHAnsi"/>
          <w:sz w:val="24"/>
          <w:szCs w:val="24"/>
          <w:lang w:val="el-GR"/>
        </w:rPr>
        <w:t xml:space="preserve"> </w:t>
      </w:r>
      <w:r>
        <w:rPr>
          <w:rFonts w:cstheme="minorHAnsi"/>
          <w:sz w:val="24"/>
          <w:szCs w:val="24"/>
          <w:lang w:val="el-GR"/>
        </w:rPr>
        <w:t>του</w:t>
      </w:r>
      <w:r w:rsidRPr="00FB7225">
        <w:rPr>
          <w:rFonts w:cstheme="minorHAnsi"/>
          <w:sz w:val="24"/>
          <w:szCs w:val="24"/>
          <w:lang w:val="el-GR"/>
        </w:rPr>
        <w:t>/</w:t>
      </w:r>
      <w:r>
        <w:rPr>
          <w:rFonts w:cstheme="minorHAnsi"/>
          <w:sz w:val="24"/>
          <w:szCs w:val="24"/>
          <w:lang w:val="el-GR"/>
        </w:rPr>
        <w:t>ης</w:t>
      </w:r>
      <w:r w:rsidR="00A5147D" w:rsidRPr="00FB7225">
        <w:rPr>
          <w:rFonts w:cstheme="minorHAnsi"/>
          <w:sz w:val="24"/>
          <w:szCs w:val="24"/>
          <w:lang w:val="el-GR"/>
        </w:rPr>
        <w:t xml:space="preserve"> </w:t>
      </w:r>
      <w:r>
        <w:rPr>
          <w:rFonts w:cstheme="minorHAnsi"/>
          <w:sz w:val="24"/>
          <w:szCs w:val="24"/>
          <w:lang w:val="el-GR"/>
        </w:rPr>
        <w:t>συμπεριλαμβάνουν</w:t>
      </w:r>
      <w:r w:rsidRPr="00FB7225">
        <w:rPr>
          <w:rFonts w:cstheme="minorHAnsi"/>
          <w:sz w:val="24"/>
          <w:szCs w:val="24"/>
          <w:lang w:val="el-GR"/>
        </w:rPr>
        <w:t xml:space="preserve"> </w:t>
      </w:r>
      <w:r>
        <w:rPr>
          <w:rFonts w:cstheme="minorHAnsi"/>
          <w:sz w:val="24"/>
          <w:szCs w:val="24"/>
          <w:lang w:val="el-GR"/>
        </w:rPr>
        <w:t>την</w:t>
      </w:r>
      <w:r w:rsidRPr="00FB7225">
        <w:rPr>
          <w:rFonts w:cstheme="minorHAnsi"/>
          <w:sz w:val="24"/>
          <w:szCs w:val="24"/>
          <w:lang w:val="el-GR"/>
        </w:rPr>
        <w:t xml:space="preserve"> </w:t>
      </w:r>
      <w:r>
        <w:rPr>
          <w:rFonts w:cstheme="minorHAnsi"/>
          <w:sz w:val="24"/>
          <w:szCs w:val="24"/>
          <w:lang w:val="el-GR"/>
        </w:rPr>
        <w:t>επίβλεψη</w:t>
      </w:r>
      <w:r w:rsidRPr="00FB7225">
        <w:rPr>
          <w:rFonts w:cstheme="minorHAnsi"/>
          <w:sz w:val="24"/>
          <w:szCs w:val="24"/>
          <w:lang w:val="el-GR"/>
        </w:rPr>
        <w:t xml:space="preserve"> </w:t>
      </w:r>
      <w:r>
        <w:rPr>
          <w:rFonts w:cstheme="minorHAnsi"/>
          <w:sz w:val="24"/>
          <w:szCs w:val="24"/>
          <w:lang w:val="el-GR"/>
        </w:rPr>
        <w:t>του</w:t>
      </w:r>
      <w:r w:rsidRPr="00FB7225">
        <w:rPr>
          <w:rFonts w:cstheme="minorHAnsi"/>
          <w:sz w:val="24"/>
          <w:szCs w:val="24"/>
          <w:lang w:val="el-GR"/>
        </w:rPr>
        <w:t xml:space="preserve"> </w:t>
      </w:r>
      <w:r>
        <w:rPr>
          <w:rFonts w:cstheme="minorHAnsi"/>
          <w:sz w:val="24"/>
          <w:szCs w:val="24"/>
          <w:lang w:val="el-GR"/>
        </w:rPr>
        <w:t>Υφυπουργείου</w:t>
      </w:r>
      <w:r w:rsidRPr="00FB7225">
        <w:rPr>
          <w:rFonts w:cstheme="minorHAnsi"/>
          <w:sz w:val="24"/>
          <w:szCs w:val="24"/>
          <w:lang w:val="el-GR"/>
        </w:rPr>
        <w:t xml:space="preserve">, </w:t>
      </w:r>
      <w:r>
        <w:rPr>
          <w:rFonts w:cstheme="minorHAnsi"/>
          <w:sz w:val="24"/>
          <w:szCs w:val="24"/>
          <w:lang w:val="el-GR"/>
        </w:rPr>
        <w:t>την</w:t>
      </w:r>
      <w:r w:rsidRPr="00FB7225">
        <w:rPr>
          <w:rFonts w:cstheme="minorHAnsi"/>
          <w:sz w:val="24"/>
          <w:szCs w:val="24"/>
          <w:lang w:val="el-GR"/>
        </w:rPr>
        <w:t xml:space="preserve"> </w:t>
      </w:r>
      <w:r>
        <w:rPr>
          <w:rFonts w:cstheme="minorHAnsi"/>
          <w:sz w:val="24"/>
          <w:szCs w:val="24"/>
          <w:lang w:val="el-GR"/>
        </w:rPr>
        <w:t>εκπροσώπηση</w:t>
      </w:r>
      <w:r w:rsidRPr="00FB7225">
        <w:rPr>
          <w:rFonts w:cstheme="minorHAnsi"/>
          <w:sz w:val="24"/>
          <w:szCs w:val="24"/>
          <w:lang w:val="el-GR"/>
        </w:rPr>
        <w:t xml:space="preserve"> </w:t>
      </w:r>
      <w:r>
        <w:rPr>
          <w:rFonts w:cstheme="minorHAnsi"/>
          <w:sz w:val="24"/>
          <w:szCs w:val="24"/>
          <w:lang w:val="el-GR"/>
        </w:rPr>
        <w:t>του</w:t>
      </w:r>
      <w:r w:rsidRPr="00FB7225">
        <w:rPr>
          <w:rFonts w:cstheme="minorHAnsi"/>
          <w:sz w:val="24"/>
          <w:szCs w:val="24"/>
          <w:lang w:val="el-GR"/>
        </w:rPr>
        <w:t xml:space="preserve"> </w:t>
      </w:r>
      <w:r>
        <w:rPr>
          <w:rFonts w:cstheme="minorHAnsi"/>
          <w:sz w:val="24"/>
          <w:szCs w:val="24"/>
          <w:lang w:val="el-GR"/>
        </w:rPr>
        <w:t>Κράτους</w:t>
      </w:r>
      <w:r w:rsidRPr="00FB7225">
        <w:rPr>
          <w:rFonts w:cstheme="minorHAnsi"/>
          <w:sz w:val="24"/>
          <w:szCs w:val="24"/>
          <w:lang w:val="el-GR"/>
        </w:rPr>
        <w:t xml:space="preserve"> </w:t>
      </w:r>
      <w:r>
        <w:rPr>
          <w:rFonts w:cstheme="minorHAnsi"/>
          <w:sz w:val="24"/>
          <w:szCs w:val="24"/>
          <w:lang w:val="el-GR"/>
        </w:rPr>
        <w:t>σε</w:t>
      </w:r>
      <w:r w:rsidRPr="00FB7225">
        <w:rPr>
          <w:rFonts w:cstheme="minorHAnsi"/>
          <w:sz w:val="24"/>
          <w:szCs w:val="24"/>
          <w:lang w:val="el-GR"/>
        </w:rPr>
        <w:t xml:space="preserve"> </w:t>
      </w:r>
      <w:r>
        <w:rPr>
          <w:rFonts w:cstheme="minorHAnsi"/>
          <w:sz w:val="24"/>
          <w:szCs w:val="24"/>
          <w:lang w:val="el-GR"/>
        </w:rPr>
        <w:t>όργανα</w:t>
      </w:r>
      <w:r w:rsidRPr="00FB7225">
        <w:rPr>
          <w:rFonts w:cstheme="minorHAnsi"/>
          <w:sz w:val="24"/>
          <w:szCs w:val="24"/>
          <w:lang w:val="el-GR"/>
        </w:rPr>
        <w:t xml:space="preserve"> </w:t>
      </w:r>
      <w:r>
        <w:rPr>
          <w:rFonts w:cstheme="minorHAnsi"/>
          <w:sz w:val="24"/>
          <w:szCs w:val="24"/>
          <w:lang w:val="el-GR"/>
        </w:rPr>
        <w:t>της</w:t>
      </w:r>
      <w:r w:rsidRPr="00FB7225">
        <w:rPr>
          <w:rFonts w:cstheme="minorHAnsi"/>
          <w:sz w:val="24"/>
          <w:szCs w:val="24"/>
          <w:lang w:val="el-GR"/>
        </w:rPr>
        <w:t xml:space="preserve"> </w:t>
      </w:r>
      <w:r>
        <w:rPr>
          <w:rFonts w:cstheme="minorHAnsi"/>
          <w:sz w:val="24"/>
          <w:szCs w:val="24"/>
          <w:lang w:val="el-GR"/>
        </w:rPr>
        <w:t>ΕΕ</w:t>
      </w:r>
      <w:r w:rsidRPr="00FB7225">
        <w:rPr>
          <w:rFonts w:cstheme="minorHAnsi"/>
          <w:sz w:val="24"/>
          <w:szCs w:val="24"/>
          <w:lang w:val="el-GR"/>
        </w:rPr>
        <w:t xml:space="preserve"> </w:t>
      </w:r>
      <w:r>
        <w:rPr>
          <w:rFonts w:cstheme="minorHAnsi"/>
          <w:sz w:val="24"/>
          <w:szCs w:val="24"/>
          <w:lang w:val="el-GR"/>
        </w:rPr>
        <w:t>ή</w:t>
      </w:r>
      <w:r w:rsidRPr="00FB7225">
        <w:rPr>
          <w:rFonts w:cstheme="minorHAnsi"/>
          <w:sz w:val="24"/>
          <w:szCs w:val="24"/>
          <w:lang w:val="el-GR"/>
        </w:rPr>
        <w:t xml:space="preserve"> </w:t>
      </w:r>
      <w:r w:rsidR="00CD4F7A">
        <w:rPr>
          <w:rFonts w:cstheme="minorHAnsi"/>
          <w:sz w:val="24"/>
          <w:szCs w:val="24"/>
          <w:lang w:val="el-GR"/>
        </w:rPr>
        <w:t xml:space="preserve">σε </w:t>
      </w:r>
      <w:proofErr w:type="spellStart"/>
      <w:r>
        <w:rPr>
          <w:rFonts w:cstheme="minorHAnsi"/>
          <w:sz w:val="24"/>
          <w:szCs w:val="24"/>
          <w:lang w:val="el-GR"/>
        </w:rPr>
        <w:t>οποι</w:t>
      </w:r>
      <w:proofErr w:type="spellEnd"/>
      <w:r w:rsidR="00254FDB">
        <w:rPr>
          <w:rFonts w:cstheme="minorHAnsi"/>
          <w:sz w:val="24"/>
          <w:szCs w:val="24"/>
          <w:lang w:val="en-US"/>
        </w:rPr>
        <w:t>o</w:t>
      </w:r>
      <w:proofErr w:type="spellStart"/>
      <w:r>
        <w:rPr>
          <w:rFonts w:cstheme="minorHAnsi"/>
          <w:sz w:val="24"/>
          <w:szCs w:val="24"/>
          <w:lang w:val="el-GR"/>
        </w:rPr>
        <w:t>δήποτε</w:t>
      </w:r>
      <w:proofErr w:type="spellEnd"/>
      <w:r w:rsidRPr="00FB7225">
        <w:rPr>
          <w:rFonts w:cstheme="minorHAnsi"/>
          <w:sz w:val="24"/>
          <w:szCs w:val="24"/>
          <w:lang w:val="el-GR"/>
        </w:rPr>
        <w:t xml:space="preserve"> </w:t>
      </w:r>
      <w:r>
        <w:rPr>
          <w:rFonts w:cstheme="minorHAnsi"/>
          <w:sz w:val="24"/>
          <w:szCs w:val="24"/>
          <w:lang w:val="el-GR"/>
        </w:rPr>
        <w:t>διεθνή</w:t>
      </w:r>
      <w:r w:rsidRPr="00FB7225">
        <w:rPr>
          <w:rFonts w:cstheme="minorHAnsi"/>
          <w:sz w:val="24"/>
          <w:szCs w:val="24"/>
          <w:lang w:val="el-GR"/>
        </w:rPr>
        <w:t xml:space="preserve"> </w:t>
      </w:r>
      <w:r>
        <w:rPr>
          <w:rFonts w:cstheme="minorHAnsi"/>
          <w:sz w:val="24"/>
          <w:szCs w:val="24"/>
          <w:lang w:val="el-GR"/>
        </w:rPr>
        <w:t>οργανισμό</w:t>
      </w:r>
      <w:r w:rsidR="00CD4F7A">
        <w:rPr>
          <w:rFonts w:cstheme="minorHAnsi"/>
          <w:sz w:val="24"/>
          <w:szCs w:val="24"/>
          <w:lang w:val="el-GR"/>
        </w:rPr>
        <w:t>,</w:t>
      </w:r>
      <w:r w:rsidR="00A5147D" w:rsidRPr="00FB7225">
        <w:rPr>
          <w:rFonts w:cstheme="minorHAnsi"/>
          <w:sz w:val="24"/>
          <w:szCs w:val="24"/>
          <w:lang w:val="el-GR"/>
        </w:rPr>
        <w:t xml:space="preserve"> </w:t>
      </w:r>
      <w:r>
        <w:rPr>
          <w:rFonts w:cstheme="minorHAnsi"/>
          <w:sz w:val="24"/>
          <w:szCs w:val="24"/>
          <w:lang w:val="el-GR"/>
        </w:rPr>
        <w:t>την</w:t>
      </w:r>
      <w:r w:rsidRPr="00FB7225">
        <w:rPr>
          <w:rFonts w:cstheme="minorHAnsi"/>
          <w:sz w:val="24"/>
          <w:szCs w:val="24"/>
          <w:lang w:val="el-GR"/>
        </w:rPr>
        <w:t xml:space="preserve"> </w:t>
      </w:r>
      <w:r>
        <w:rPr>
          <w:rFonts w:cstheme="minorHAnsi"/>
          <w:sz w:val="24"/>
          <w:szCs w:val="24"/>
          <w:lang w:val="el-GR"/>
        </w:rPr>
        <w:t>ανάπτυξη</w:t>
      </w:r>
      <w:r w:rsidRPr="00FB7225">
        <w:rPr>
          <w:rFonts w:cstheme="minorHAnsi"/>
          <w:sz w:val="24"/>
          <w:szCs w:val="24"/>
          <w:lang w:val="el-GR"/>
        </w:rPr>
        <w:t xml:space="preserve"> </w:t>
      </w:r>
      <w:r>
        <w:rPr>
          <w:rFonts w:cstheme="minorHAnsi"/>
          <w:sz w:val="24"/>
          <w:szCs w:val="24"/>
          <w:lang w:val="el-GR"/>
        </w:rPr>
        <w:t>διεθνικών</w:t>
      </w:r>
      <w:r w:rsidRPr="00FB7225">
        <w:rPr>
          <w:rFonts w:cstheme="minorHAnsi"/>
          <w:sz w:val="24"/>
          <w:szCs w:val="24"/>
          <w:lang w:val="el-GR"/>
        </w:rPr>
        <w:t xml:space="preserve"> </w:t>
      </w:r>
      <w:r>
        <w:rPr>
          <w:rFonts w:cstheme="minorHAnsi"/>
          <w:sz w:val="24"/>
          <w:szCs w:val="24"/>
          <w:lang w:val="el-GR"/>
        </w:rPr>
        <w:t>σχέσεων</w:t>
      </w:r>
      <w:r w:rsidRPr="00FB7225">
        <w:rPr>
          <w:rFonts w:cstheme="minorHAnsi"/>
          <w:sz w:val="24"/>
          <w:szCs w:val="24"/>
          <w:lang w:val="el-GR"/>
        </w:rPr>
        <w:t>,</w:t>
      </w:r>
      <w:r w:rsidR="00A5147D" w:rsidRPr="00FB7225">
        <w:rPr>
          <w:rFonts w:eastAsia="Times New Roman" w:cstheme="minorHAnsi"/>
          <w:sz w:val="24"/>
          <w:szCs w:val="24"/>
          <w:lang w:val="el-GR" w:eastAsia="fr-FR"/>
        </w:rPr>
        <w:t xml:space="preserve"> </w:t>
      </w:r>
      <w:r>
        <w:rPr>
          <w:rFonts w:eastAsia="Times New Roman" w:cstheme="minorHAnsi"/>
          <w:sz w:val="24"/>
          <w:szCs w:val="24"/>
          <w:lang w:val="el-GR" w:eastAsia="fr-FR"/>
        </w:rPr>
        <w:t>τη</w:t>
      </w:r>
      <w:r w:rsidRPr="00FB7225">
        <w:rPr>
          <w:rFonts w:eastAsia="Times New Roman" w:cstheme="minorHAnsi"/>
          <w:sz w:val="24"/>
          <w:szCs w:val="24"/>
          <w:lang w:val="el-GR" w:eastAsia="fr-FR"/>
        </w:rPr>
        <w:t xml:space="preserve"> </w:t>
      </w:r>
      <w:r>
        <w:rPr>
          <w:rFonts w:eastAsia="Times New Roman" w:cstheme="minorHAnsi"/>
          <w:sz w:val="24"/>
          <w:szCs w:val="24"/>
          <w:lang w:val="el-GR" w:eastAsia="fr-FR"/>
        </w:rPr>
        <w:t>διαχείρ</w:t>
      </w:r>
      <w:r w:rsidR="00CD4F7A">
        <w:rPr>
          <w:rFonts w:eastAsia="Times New Roman" w:cstheme="minorHAnsi"/>
          <w:sz w:val="24"/>
          <w:szCs w:val="24"/>
          <w:lang w:val="el-GR" w:eastAsia="fr-FR"/>
        </w:rPr>
        <w:t>ι</w:t>
      </w:r>
      <w:r>
        <w:rPr>
          <w:rFonts w:eastAsia="Times New Roman" w:cstheme="minorHAnsi"/>
          <w:sz w:val="24"/>
          <w:szCs w:val="24"/>
          <w:lang w:val="el-GR" w:eastAsia="fr-FR"/>
        </w:rPr>
        <w:t>ση</w:t>
      </w:r>
      <w:r w:rsidRPr="00FB7225">
        <w:rPr>
          <w:rFonts w:eastAsia="Times New Roman" w:cstheme="minorHAnsi"/>
          <w:sz w:val="24"/>
          <w:szCs w:val="24"/>
          <w:lang w:val="el-GR" w:eastAsia="fr-FR"/>
        </w:rPr>
        <w:t xml:space="preserve"> </w:t>
      </w:r>
      <w:r>
        <w:rPr>
          <w:rFonts w:eastAsia="Times New Roman" w:cstheme="minorHAnsi"/>
          <w:sz w:val="24"/>
          <w:szCs w:val="24"/>
          <w:lang w:val="el-GR" w:eastAsia="fr-FR"/>
        </w:rPr>
        <w:t>θεμάτων</w:t>
      </w:r>
      <w:r w:rsidRPr="00FB7225">
        <w:rPr>
          <w:rFonts w:eastAsia="Times New Roman" w:cstheme="minorHAnsi"/>
          <w:sz w:val="24"/>
          <w:szCs w:val="24"/>
          <w:lang w:val="el-GR" w:eastAsia="fr-FR"/>
        </w:rPr>
        <w:t xml:space="preserve"> </w:t>
      </w:r>
      <w:r>
        <w:rPr>
          <w:rFonts w:eastAsia="Times New Roman" w:cstheme="minorHAnsi"/>
          <w:sz w:val="24"/>
          <w:szCs w:val="24"/>
          <w:lang w:val="el-GR" w:eastAsia="fr-FR"/>
        </w:rPr>
        <w:t>που</w:t>
      </w:r>
      <w:r w:rsidRPr="00FB7225">
        <w:rPr>
          <w:rFonts w:eastAsia="Times New Roman" w:cstheme="minorHAnsi"/>
          <w:sz w:val="24"/>
          <w:szCs w:val="24"/>
          <w:lang w:val="el-GR" w:eastAsia="fr-FR"/>
        </w:rPr>
        <w:t xml:space="preserve"> </w:t>
      </w:r>
      <w:r>
        <w:rPr>
          <w:rFonts w:eastAsia="Times New Roman" w:cstheme="minorHAnsi"/>
          <w:sz w:val="24"/>
          <w:szCs w:val="24"/>
          <w:lang w:val="el-GR" w:eastAsia="fr-FR"/>
        </w:rPr>
        <w:t>αφορούν τις εξουσίες</w:t>
      </w:r>
      <w:r w:rsidR="00A5147D" w:rsidRPr="00FB7225">
        <w:rPr>
          <w:rFonts w:eastAsia="Times New Roman" w:cstheme="minorHAnsi"/>
          <w:sz w:val="24"/>
          <w:szCs w:val="24"/>
          <w:lang w:val="el-GR" w:eastAsia="fr-FR"/>
        </w:rPr>
        <w:t>/</w:t>
      </w:r>
      <w:r>
        <w:rPr>
          <w:rFonts w:eastAsia="Times New Roman" w:cstheme="minorHAnsi"/>
          <w:sz w:val="24"/>
          <w:szCs w:val="24"/>
          <w:lang w:val="el-GR" w:eastAsia="fr-FR"/>
        </w:rPr>
        <w:t>ευθύνες</w:t>
      </w:r>
      <w:r w:rsidR="00A5147D" w:rsidRPr="00FB7225">
        <w:rPr>
          <w:rFonts w:eastAsia="Times New Roman" w:cstheme="minorHAnsi"/>
          <w:sz w:val="24"/>
          <w:szCs w:val="24"/>
          <w:lang w:val="el-GR" w:eastAsia="fr-FR"/>
        </w:rPr>
        <w:t xml:space="preserve"> </w:t>
      </w:r>
      <w:r>
        <w:rPr>
          <w:rFonts w:eastAsia="Times New Roman" w:cstheme="minorHAnsi"/>
          <w:sz w:val="24"/>
          <w:szCs w:val="24"/>
          <w:lang w:val="el-GR" w:eastAsia="fr-FR"/>
        </w:rPr>
        <w:t xml:space="preserve">που </w:t>
      </w:r>
      <w:r w:rsidR="00CD4F7A">
        <w:rPr>
          <w:rFonts w:eastAsia="Times New Roman" w:cstheme="minorHAnsi"/>
          <w:sz w:val="24"/>
          <w:szCs w:val="24"/>
          <w:lang w:val="el-GR" w:eastAsia="fr-FR"/>
        </w:rPr>
        <w:t xml:space="preserve">ανατίθενται </w:t>
      </w:r>
      <w:r>
        <w:rPr>
          <w:rFonts w:eastAsia="Times New Roman" w:cstheme="minorHAnsi"/>
          <w:sz w:val="24"/>
          <w:szCs w:val="24"/>
          <w:lang w:val="el-GR" w:eastAsia="fr-FR"/>
        </w:rPr>
        <w:t>στο Υφυπουργείο</w:t>
      </w:r>
      <w:r w:rsidR="00A5147D" w:rsidRPr="00FB7225">
        <w:rPr>
          <w:rFonts w:eastAsia="Times New Roman" w:cstheme="minorHAnsi"/>
          <w:sz w:val="24"/>
          <w:szCs w:val="24"/>
          <w:lang w:val="el-GR" w:eastAsia="fr-FR"/>
        </w:rPr>
        <w:t xml:space="preserve"> </w:t>
      </w:r>
      <w:r w:rsidR="002D04E6">
        <w:rPr>
          <w:rFonts w:eastAsia="Times New Roman" w:cstheme="minorHAnsi"/>
          <w:sz w:val="24"/>
          <w:szCs w:val="24"/>
          <w:lang w:val="el-GR" w:eastAsia="fr-FR"/>
        </w:rPr>
        <w:lastRenderedPageBreak/>
        <w:t>και ετοιμασία νομοσχεδίων</w:t>
      </w:r>
      <w:r w:rsidR="00A5147D" w:rsidRPr="00FB7225">
        <w:rPr>
          <w:rFonts w:eastAsia="Times New Roman" w:cstheme="minorHAnsi"/>
          <w:sz w:val="24"/>
          <w:szCs w:val="24"/>
          <w:lang w:val="el-GR" w:eastAsia="fr-FR"/>
        </w:rPr>
        <w:t xml:space="preserve">, </w:t>
      </w:r>
      <w:r w:rsidR="002D04E6">
        <w:rPr>
          <w:rFonts w:eastAsia="Times New Roman" w:cstheme="minorHAnsi"/>
          <w:sz w:val="24"/>
          <w:szCs w:val="24"/>
          <w:lang w:val="el-GR" w:eastAsia="fr-FR"/>
        </w:rPr>
        <w:t>διαταγμάτων</w:t>
      </w:r>
      <w:r w:rsidR="00A5147D" w:rsidRPr="00FB7225">
        <w:rPr>
          <w:rFonts w:eastAsia="Times New Roman" w:cstheme="minorHAnsi"/>
          <w:sz w:val="24"/>
          <w:szCs w:val="24"/>
          <w:lang w:val="el-GR" w:eastAsia="fr-FR"/>
        </w:rPr>
        <w:t xml:space="preserve"> </w:t>
      </w:r>
      <w:r w:rsidR="002D04E6">
        <w:rPr>
          <w:rFonts w:eastAsia="Times New Roman" w:cstheme="minorHAnsi"/>
          <w:sz w:val="24"/>
          <w:szCs w:val="24"/>
          <w:lang w:val="el-GR" w:eastAsia="fr-FR"/>
        </w:rPr>
        <w:t>κλπ</w:t>
      </w:r>
      <w:r w:rsidR="00A5147D" w:rsidRPr="00FB7225">
        <w:rPr>
          <w:rFonts w:eastAsia="Times New Roman" w:cstheme="minorHAnsi"/>
          <w:sz w:val="24"/>
          <w:szCs w:val="24"/>
          <w:lang w:val="el-GR" w:eastAsia="fr-FR"/>
        </w:rPr>
        <w:t xml:space="preserve">. </w:t>
      </w:r>
      <w:r w:rsidR="002D04E6">
        <w:rPr>
          <w:rFonts w:eastAsia="Times New Roman" w:cstheme="minorHAnsi"/>
          <w:sz w:val="24"/>
          <w:szCs w:val="24"/>
          <w:lang w:val="el-GR" w:eastAsia="fr-FR"/>
        </w:rPr>
        <w:t>που αφορούν τις εξουσίες</w:t>
      </w:r>
      <w:r w:rsidR="00A5147D" w:rsidRPr="00FB7225">
        <w:rPr>
          <w:rFonts w:eastAsia="Times New Roman" w:cstheme="minorHAnsi"/>
          <w:sz w:val="24"/>
          <w:szCs w:val="24"/>
          <w:lang w:val="el-GR" w:eastAsia="fr-FR"/>
        </w:rPr>
        <w:t>/</w:t>
      </w:r>
      <w:r w:rsidR="002D04E6">
        <w:rPr>
          <w:rFonts w:eastAsia="Times New Roman" w:cstheme="minorHAnsi"/>
          <w:sz w:val="24"/>
          <w:szCs w:val="24"/>
          <w:lang w:val="el-GR" w:eastAsia="fr-FR"/>
        </w:rPr>
        <w:t>ευθύνες</w:t>
      </w:r>
      <w:r w:rsidR="00CD4F7A">
        <w:rPr>
          <w:rFonts w:eastAsia="Times New Roman" w:cstheme="minorHAnsi"/>
          <w:sz w:val="24"/>
          <w:szCs w:val="24"/>
          <w:lang w:val="el-GR" w:eastAsia="fr-FR"/>
        </w:rPr>
        <w:t xml:space="preserve"> (του Υφυπουργείου), τα οποία </w:t>
      </w:r>
      <w:r w:rsidR="002D04E6">
        <w:rPr>
          <w:rFonts w:eastAsia="Times New Roman" w:cstheme="minorHAnsi"/>
          <w:sz w:val="24"/>
          <w:szCs w:val="24"/>
          <w:lang w:val="el-GR" w:eastAsia="fr-FR"/>
        </w:rPr>
        <w:t>ακολούθως υποβάλλονται στον αντίστοιχο υπουργό</w:t>
      </w:r>
      <w:r w:rsidR="00A5147D" w:rsidRPr="00FB7225">
        <w:rPr>
          <w:rFonts w:cstheme="minorHAnsi"/>
          <w:sz w:val="24"/>
          <w:szCs w:val="24"/>
          <w:lang w:val="el-GR"/>
        </w:rPr>
        <w:t xml:space="preserve">, </w:t>
      </w:r>
      <w:r w:rsidR="00CD4F7A">
        <w:rPr>
          <w:rFonts w:cstheme="minorHAnsi"/>
          <w:sz w:val="24"/>
          <w:szCs w:val="24"/>
          <w:lang w:val="el-GR"/>
        </w:rPr>
        <w:t xml:space="preserve"> ο οποίος με την </w:t>
      </w:r>
      <w:r w:rsidR="002D04E6">
        <w:rPr>
          <w:rFonts w:cstheme="minorHAnsi"/>
          <w:sz w:val="24"/>
          <w:szCs w:val="24"/>
          <w:lang w:val="el-GR"/>
        </w:rPr>
        <w:t>σειρά του</w:t>
      </w:r>
      <w:r w:rsidR="002D38FD" w:rsidRPr="002D38FD">
        <w:rPr>
          <w:rFonts w:cstheme="minorHAnsi"/>
          <w:sz w:val="24"/>
          <w:szCs w:val="24"/>
          <w:lang w:val="el-GR"/>
        </w:rPr>
        <w:t>,</w:t>
      </w:r>
      <w:r w:rsidR="002D04E6">
        <w:rPr>
          <w:rFonts w:cstheme="minorHAnsi"/>
          <w:sz w:val="24"/>
          <w:szCs w:val="24"/>
          <w:lang w:val="el-GR"/>
        </w:rPr>
        <w:t xml:space="preserve"> τα υποβάλλει στο Υπουργικό Συμβούλιο</w:t>
      </w:r>
      <w:r w:rsidR="00A5147D" w:rsidRPr="00FB7225">
        <w:rPr>
          <w:rFonts w:eastAsia="Times New Roman" w:cstheme="minorHAnsi"/>
          <w:sz w:val="24"/>
          <w:szCs w:val="24"/>
          <w:lang w:val="el-GR" w:eastAsia="fr-FR"/>
        </w:rPr>
        <w:t xml:space="preserve">. </w:t>
      </w:r>
    </w:p>
    <w:p w14:paraId="78BA8765" w14:textId="77777777" w:rsidR="00A5147D" w:rsidRPr="00FB7225" w:rsidRDefault="00A5147D" w:rsidP="00A5147D">
      <w:pPr>
        <w:pStyle w:val="ListParagraph"/>
        <w:rPr>
          <w:rFonts w:cstheme="minorHAnsi"/>
          <w:sz w:val="24"/>
          <w:szCs w:val="24"/>
          <w:lang w:val="el-GR"/>
        </w:rPr>
      </w:pPr>
    </w:p>
    <w:p w14:paraId="26E9340A" w14:textId="65D1A375" w:rsidR="00A5147D" w:rsidRPr="00B361E8" w:rsidRDefault="002D04E6" w:rsidP="00A5147D">
      <w:pPr>
        <w:numPr>
          <w:ilvl w:val="0"/>
          <w:numId w:val="1"/>
        </w:numPr>
        <w:tabs>
          <w:tab w:val="left" w:pos="709"/>
        </w:tabs>
        <w:ind w:left="0" w:firstLine="0"/>
        <w:rPr>
          <w:rFonts w:cstheme="minorHAnsi"/>
          <w:sz w:val="24"/>
          <w:szCs w:val="24"/>
          <w:lang w:val="el-GR"/>
        </w:rPr>
      </w:pPr>
      <w:bookmarkStart w:id="40" w:name="_Hlk132887897"/>
      <w:r>
        <w:rPr>
          <w:rFonts w:cstheme="minorHAnsi"/>
          <w:sz w:val="24"/>
          <w:szCs w:val="24"/>
          <w:lang w:val="el-GR"/>
        </w:rPr>
        <w:t>Η</w:t>
      </w:r>
      <w:r w:rsidRPr="002D04E6">
        <w:rPr>
          <w:rFonts w:cstheme="minorHAnsi"/>
          <w:sz w:val="24"/>
          <w:szCs w:val="24"/>
          <w:lang w:val="el-GR"/>
        </w:rPr>
        <w:t xml:space="preserve"> </w:t>
      </w:r>
      <w:r>
        <w:rPr>
          <w:rFonts w:cstheme="minorHAnsi"/>
          <w:sz w:val="24"/>
          <w:szCs w:val="24"/>
          <w:lang w:val="el-GR"/>
        </w:rPr>
        <w:t>Κύπρος</w:t>
      </w:r>
      <w:r w:rsidR="00D95B91" w:rsidRPr="002D04E6">
        <w:rPr>
          <w:rFonts w:cstheme="minorHAnsi"/>
          <w:sz w:val="24"/>
          <w:szCs w:val="24"/>
          <w:lang w:val="el-GR"/>
        </w:rPr>
        <w:t>,</w:t>
      </w:r>
      <w:r w:rsidR="00A5147D" w:rsidRPr="002D04E6">
        <w:rPr>
          <w:rFonts w:cstheme="minorHAnsi"/>
          <w:sz w:val="24"/>
          <w:szCs w:val="24"/>
          <w:lang w:val="el-GR"/>
        </w:rPr>
        <w:t xml:space="preserve"> </w:t>
      </w:r>
      <w:r w:rsidR="00F27FF2">
        <w:rPr>
          <w:rFonts w:cstheme="minorHAnsi"/>
          <w:sz w:val="24"/>
          <w:szCs w:val="24"/>
          <w:lang w:val="el-GR"/>
        </w:rPr>
        <w:t xml:space="preserve">υπό </w:t>
      </w:r>
      <w:r>
        <w:rPr>
          <w:rFonts w:cstheme="minorHAnsi"/>
          <w:sz w:val="24"/>
          <w:szCs w:val="24"/>
          <w:lang w:val="el-GR"/>
        </w:rPr>
        <w:t>νέα</w:t>
      </w:r>
      <w:r w:rsidRPr="002D04E6">
        <w:rPr>
          <w:rFonts w:cstheme="minorHAnsi"/>
          <w:sz w:val="24"/>
          <w:szCs w:val="24"/>
          <w:lang w:val="el-GR"/>
        </w:rPr>
        <w:t xml:space="preserve"> </w:t>
      </w:r>
      <w:r>
        <w:rPr>
          <w:rFonts w:cstheme="minorHAnsi"/>
          <w:sz w:val="24"/>
          <w:szCs w:val="24"/>
          <w:lang w:val="el-GR"/>
        </w:rPr>
        <w:t>κυβέρνηση</w:t>
      </w:r>
      <w:r w:rsidR="00F27FF2">
        <w:rPr>
          <w:rFonts w:cstheme="minorHAnsi"/>
          <w:sz w:val="24"/>
          <w:szCs w:val="24"/>
          <w:lang w:val="el-GR"/>
        </w:rPr>
        <w:t xml:space="preserve"> τώρα</w:t>
      </w:r>
      <w:r w:rsidR="00D95B91" w:rsidRPr="002D04E6">
        <w:rPr>
          <w:rFonts w:cstheme="minorHAnsi"/>
          <w:sz w:val="24"/>
          <w:szCs w:val="24"/>
          <w:lang w:val="el-GR"/>
        </w:rPr>
        <w:t>,</w:t>
      </w:r>
      <w:r w:rsidR="001628C9" w:rsidRPr="002D04E6">
        <w:rPr>
          <w:rFonts w:cstheme="minorHAnsi"/>
          <w:sz w:val="24"/>
          <w:szCs w:val="24"/>
          <w:lang w:val="el-GR"/>
        </w:rPr>
        <w:t xml:space="preserve"> </w:t>
      </w:r>
      <w:bookmarkEnd w:id="40"/>
      <w:r>
        <w:rPr>
          <w:rFonts w:cstheme="minorHAnsi"/>
          <w:sz w:val="24"/>
          <w:szCs w:val="24"/>
          <w:lang w:val="el-GR"/>
        </w:rPr>
        <w:t>έχει έντεκα υπουργ</w:t>
      </w:r>
      <w:r w:rsidR="0020754C">
        <w:rPr>
          <w:rFonts w:cstheme="minorHAnsi"/>
          <w:sz w:val="24"/>
          <w:szCs w:val="24"/>
          <w:lang w:val="el-GR"/>
        </w:rPr>
        <w:t>ούς</w:t>
      </w:r>
      <w:r w:rsidR="00A5147D" w:rsidRPr="00B95983">
        <w:rPr>
          <w:rStyle w:val="FootnoteReference"/>
          <w:rFonts w:cstheme="minorHAnsi"/>
          <w:sz w:val="24"/>
          <w:szCs w:val="24"/>
        </w:rPr>
        <w:footnoteReference w:id="33"/>
      </w:r>
      <w:r w:rsidR="00A5147D" w:rsidRPr="002D04E6">
        <w:rPr>
          <w:rFonts w:cstheme="minorHAnsi"/>
          <w:sz w:val="24"/>
          <w:szCs w:val="24"/>
          <w:lang w:val="el-GR"/>
        </w:rPr>
        <w:t xml:space="preserve"> </w:t>
      </w:r>
      <w:r>
        <w:rPr>
          <w:rFonts w:cstheme="minorHAnsi"/>
          <w:sz w:val="24"/>
          <w:szCs w:val="24"/>
          <w:lang w:val="el-GR"/>
        </w:rPr>
        <w:t>και έξι υφυπουργ</w:t>
      </w:r>
      <w:r w:rsidR="0020754C">
        <w:rPr>
          <w:rFonts w:cstheme="minorHAnsi"/>
          <w:sz w:val="24"/>
          <w:szCs w:val="24"/>
          <w:lang w:val="el-GR"/>
        </w:rPr>
        <w:t>ούς</w:t>
      </w:r>
      <w:r w:rsidR="00A5147D" w:rsidRPr="00B95983">
        <w:rPr>
          <w:rStyle w:val="FootnoteReference"/>
          <w:rFonts w:cstheme="minorHAnsi"/>
          <w:sz w:val="24"/>
          <w:szCs w:val="24"/>
        </w:rPr>
        <w:footnoteReference w:id="34"/>
      </w:r>
      <w:r w:rsidR="00A5147D" w:rsidRPr="002D04E6">
        <w:rPr>
          <w:rFonts w:cstheme="minorHAnsi"/>
          <w:sz w:val="24"/>
          <w:szCs w:val="24"/>
          <w:lang w:val="el-GR"/>
        </w:rPr>
        <w:t xml:space="preserve">. </w:t>
      </w:r>
      <w:r>
        <w:rPr>
          <w:rFonts w:cstheme="minorHAnsi"/>
          <w:sz w:val="24"/>
          <w:szCs w:val="24"/>
          <w:lang w:val="el-GR"/>
        </w:rPr>
        <w:t>Σ</w:t>
      </w:r>
      <w:r w:rsidRPr="002D04E6">
        <w:rPr>
          <w:rFonts w:cstheme="minorHAnsi"/>
          <w:sz w:val="24"/>
          <w:szCs w:val="24"/>
          <w:lang w:val="el-GR"/>
        </w:rPr>
        <w:t>’</w:t>
      </w:r>
      <w:r w:rsidR="0020754C">
        <w:rPr>
          <w:rFonts w:cstheme="minorHAnsi"/>
          <w:sz w:val="24"/>
          <w:szCs w:val="24"/>
          <w:lang w:val="el-GR"/>
        </w:rPr>
        <w:t xml:space="preserve"> </w:t>
      </w:r>
      <w:r>
        <w:rPr>
          <w:rFonts w:cstheme="minorHAnsi"/>
          <w:sz w:val="24"/>
          <w:szCs w:val="24"/>
          <w:lang w:val="el-GR"/>
        </w:rPr>
        <w:t>αυτές</w:t>
      </w:r>
      <w:r w:rsidRPr="002D04E6">
        <w:rPr>
          <w:rFonts w:cstheme="minorHAnsi"/>
          <w:sz w:val="24"/>
          <w:szCs w:val="24"/>
          <w:lang w:val="el-GR"/>
        </w:rPr>
        <w:t xml:space="preserve"> </w:t>
      </w:r>
      <w:r>
        <w:rPr>
          <w:rFonts w:cstheme="minorHAnsi"/>
          <w:sz w:val="24"/>
          <w:szCs w:val="24"/>
          <w:lang w:val="el-GR"/>
        </w:rPr>
        <w:t>τις</w:t>
      </w:r>
      <w:r w:rsidRPr="002D04E6">
        <w:rPr>
          <w:rFonts w:cstheme="minorHAnsi"/>
          <w:sz w:val="24"/>
          <w:szCs w:val="24"/>
          <w:lang w:val="el-GR"/>
        </w:rPr>
        <w:t xml:space="preserve"> </w:t>
      </w:r>
      <w:r>
        <w:rPr>
          <w:rFonts w:cstheme="minorHAnsi"/>
          <w:sz w:val="24"/>
          <w:szCs w:val="24"/>
          <w:lang w:val="el-GR"/>
        </w:rPr>
        <w:t>δομές</w:t>
      </w:r>
      <w:r w:rsidR="00A5147D" w:rsidRPr="002D04E6">
        <w:rPr>
          <w:rFonts w:cstheme="minorHAnsi"/>
          <w:sz w:val="24"/>
          <w:szCs w:val="24"/>
          <w:lang w:val="el-GR"/>
        </w:rPr>
        <w:t xml:space="preserve">, </w:t>
      </w:r>
      <w:r>
        <w:rPr>
          <w:rFonts w:cstheme="minorHAnsi"/>
          <w:sz w:val="24"/>
          <w:szCs w:val="24"/>
          <w:lang w:val="el-GR"/>
        </w:rPr>
        <w:t>υπάρχουν</w:t>
      </w:r>
      <w:r w:rsidRPr="002D04E6">
        <w:rPr>
          <w:rFonts w:cstheme="minorHAnsi"/>
          <w:sz w:val="24"/>
          <w:szCs w:val="24"/>
          <w:lang w:val="el-GR"/>
        </w:rPr>
        <w:t xml:space="preserve"> </w:t>
      </w:r>
      <w:r>
        <w:rPr>
          <w:rFonts w:cstheme="minorHAnsi"/>
          <w:sz w:val="24"/>
          <w:szCs w:val="24"/>
          <w:lang w:val="el-GR"/>
        </w:rPr>
        <w:t>τρεις</w:t>
      </w:r>
      <w:r w:rsidRPr="002D04E6">
        <w:rPr>
          <w:rFonts w:cstheme="minorHAnsi"/>
          <w:sz w:val="24"/>
          <w:szCs w:val="24"/>
          <w:lang w:val="el-GR"/>
        </w:rPr>
        <w:t xml:space="preserve"> </w:t>
      </w:r>
      <w:r>
        <w:rPr>
          <w:rFonts w:cstheme="minorHAnsi"/>
          <w:sz w:val="24"/>
          <w:szCs w:val="24"/>
          <w:lang w:val="el-GR"/>
        </w:rPr>
        <w:t>γυναίκες</w:t>
      </w:r>
      <w:r w:rsidRPr="002D04E6">
        <w:rPr>
          <w:rFonts w:cstheme="minorHAnsi"/>
          <w:sz w:val="24"/>
          <w:szCs w:val="24"/>
          <w:lang w:val="el-GR"/>
        </w:rPr>
        <w:t xml:space="preserve"> </w:t>
      </w:r>
      <w:r>
        <w:rPr>
          <w:rFonts w:cstheme="minorHAnsi"/>
          <w:sz w:val="24"/>
          <w:szCs w:val="24"/>
          <w:lang w:val="el-GR"/>
        </w:rPr>
        <w:t>και</w:t>
      </w:r>
      <w:r w:rsidRPr="002D04E6">
        <w:rPr>
          <w:rFonts w:cstheme="minorHAnsi"/>
          <w:sz w:val="24"/>
          <w:szCs w:val="24"/>
          <w:lang w:val="el-GR"/>
        </w:rPr>
        <w:t xml:space="preserve"> </w:t>
      </w:r>
      <w:r>
        <w:rPr>
          <w:rFonts w:cstheme="minorHAnsi"/>
          <w:sz w:val="24"/>
          <w:szCs w:val="24"/>
          <w:lang w:val="el-GR"/>
        </w:rPr>
        <w:t>οκτώ</w:t>
      </w:r>
      <w:r w:rsidRPr="002D04E6">
        <w:rPr>
          <w:rFonts w:cstheme="minorHAnsi"/>
          <w:sz w:val="24"/>
          <w:szCs w:val="24"/>
          <w:lang w:val="el-GR"/>
        </w:rPr>
        <w:t xml:space="preserve"> </w:t>
      </w:r>
      <w:r>
        <w:rPr>
          <w:rFonts w:cstheme="minorHAnsi"/>
          <w:sz w:val="24"/>
          <w:szCs w:val="24"/>
          <w:lang w:val="el-GR"/>
        </w:rPr>
        <w:t>άντρες</w:t>
      </w:r>
      <w:r w:rsidRPr="002D04E6">
        <w:rPr>
          <w:rFonts w:cstheme="minorHAnsi"/>
          <w:sz w:val="24"/>
          <w:szCs w:val="24"/>
          <w:lang w:val="el-GR"/>
        </w:rPr>
        <w:t xml:space="preserve"> </w:t>
      </w:r>
      <w:r>
        <w:rPr>
          <w:rFonts w:cstheme="minorHAnsi"/>
          <w:sz w:val="24"/>
          <w:szCs w:val="24"/>
          <w:lang w:val="el-GR"/>
        </w:rPr>
        <w:t>υπουργοί</w:t>
      </w:r>
      <w:r w:rsidR="00A5147D" w:rsidRPr="002D04E6">
        <w:rPr>
          <w:rFonts w:cstheme="minorHAnsi"/>
          <w:sz w:val="24"/>
          <w:szCs w:val="24"/>
          <w:lang w:val="el-GR"/>
        </w:rPr>
        <w:t xml:space="preserve">, </w:t>
      </w:r>
      <w:r>
        <w:rPr>
          <w:rFonts w:cstheme="minorHAnsi"/>
          <w:sz w:val="24"/>
          <w:szCs w:val="24"/>
          <w:lang w:val="el-GR"/>
        </w:rPr>
        <w:t>και τρεις γυναίκες και τρεις άντρες υφυπουργοί</w:t>
      </w:r>
      <w:r w:rsidR="00A5147D" w:rsidRPr="002D04E6">
        <w:rPr>
          <w:rFonts w:cstheme="minorHAnsi"/>
          <w:sz w:val="24"/>
          <w:szCs w:val="24"/>
          <w:lang w:val="el-GR"/>
        </w:rPr>
        <w:t xml:space="preserve">, </w:t>
      </w:r>
      <w:r>
        <w:rPr>
          <w:rFonts w:cstheme="minorHAnsi"/>
          <w:sz w:val="24"/>
          <w:szCs w:val="24"/>
          <w:lang w:val="el-GR"/>
        </w:rPr>
        <w:t>αντίστοιχα</w:t>
      </w:r>
      <w:r w:rsidR="00A5147D" w:rsidRPr="002D04E6">
        <w:rPr>
          <w:rFonts w:cstheme="minorHAnsi"/>
          <w:sz w:val="24"/>
          <w:szCs w:val="24"/>
          <w:lang w:val="el-GR"/>
        </w:rPr>
        <w:t xml:space="preserve">. </w:t>
      </w:r>
      <w:r>
        <w:rPr>
          <w:rFonts w:cstheme="minorHAnsi"/>
          <w:sz w:val="24"/>
          <w:szCs w:val="24"/>
          <w:lang w:val="el-GR"/>
        </w:rPr>
        <w:t>Επομένως</w:t>
      </w:r>
      <w:r w:rsidR="00A5147D" w:rsidRPr="00B361E8">
        <w:rPr>
          <w:rFonts w:cstheme="minorHAnsi"/>
          <w:sz w:val="24"/>
          <w:szCs w:val="24"/>
          <w:lang w:val="el-GR"/>
        </w:rPr>
        <w:t xml:space="preserve">, </w:t>
      </w:r>
      <w:r>
        <w:rPr>
          <w:rFonts w:cstheme="minorHAnsi"/>
          <w:sz w:val="24"/>
          <w:szCs w:val="24"/>
          <w:lang w:val="el-GR"/>
        </w:rPr>
        <w:t>η</w:t>
      </w:r>
      <w:r w:rsidRPr="00B361E8">
        <w:rPr>
          <w:rFonts w:cstheme="minorHAnsi"/>
          <w:sz w:val="24"/>
          <w:szCs w:val="24"/>
          <w:lang w:val="el-GR"/>
        </w:rPr>
        <w:t xml:space="preserve"> </w:t>
      </w:r>
      <w:r>
        <w:rPr>
          <w:rFonts w:cstheme="minorHAnsi"/>
          <w:sz w:val="24"/>
          <w:szCs w:val="24"/>
          <w:lang w:val="el-GR"/>
        </w:rPr>
        <w:t>γυναικεία</w:t>
      </w:r>
      <w:r w:rsidRPr="00B361E8">
        <w:rPr>
          <w:rFonts w:cstheme="minorHAnsi"/>
          <w:sz w:val="24"/>
          <w:szCs w:val="24"/>
          <w:lang w:val="el-GR"/>
        </w:rPr>
        <w:t xml:space="preserve"> </w:t>
      </w:r>
      <w:r>
        <w:rPr>
          <w:rFonts w:cstheme="minorHAnsi"/>
          <w:sz w:val="24"/>
          <w:szCs w:val="24"/>
          <w:lang w:val="el-GR"/>
        </w:rPr>
        <w:t>εκπροσώπηση</w:t>
      </w:r>
      <w:r w:rsidRPr="00B361E8">
        <w:rPr>
          <w:rFonts w:cstheme="minorHAnsi"/>
          <w:sz w:val="24"/>
          <w:szCs w:val="24"/>
          <w:lang w:val="el-GR"/>
        </w:rPr>
        <w:t xml:space="preserve"> </w:t>
      </w:r>
      <w:r>
        <w:rPr>
          <w:rFonts w:cstheme="minorHAnsi"/>
          <w:sz w:val="24"/>
          <w:szCs w:val="24"/>
          <w:lang w:val="el-GR"/>
        </w:rPr>
        <w:t>στ</w:t>
      </w:r>
      <w:r w:rsidR="00B361E8">
        <w:rPr>
          <w:rFonts w:cstheme="minorHAnsi"/>
          <w:sz w:val="24"/>
          <w:szCs w:val="24"/>
          <w:lang w:val="el-GR"/>
        </w:rPr>
        <w:t>ις</w:t>
      </w:r>
      <w:r w:rsidR="00B361E8" w:rsidRPr="00B361E8">
        <w:rPr>
          <w:rFonts w:cstheme="minorHAnsi"/>
          <w:sz w:val="24"/>
          <w:szCs w:val="24"/>
          <w:lang w:val="el-GR"/>
        </w:rPr>
        <w:t xml:space="preserve"> </w:t>
      </w:r>
      <w:r>
        <w:rPr>
          <w:rFonts w:cstheme="minorHAnsi"/>
          <w:sz w:val="24"/>
          <w:szCs w:val="24"/>
          <w:lang w:val="el-GR"/>
        </w:rPr>
        <w:t>προαναφερθείσ</w:t>
      </w:r>
      <w:r w:rsidR="00B361E8">
        <w:rPr>
          <w:rFonts w:cstheme="minorHAnsi"/>
          <w:sz w:val="24"/>
          <w:szCs w:val="24"/>
          <w:lang w:val="el-GR"/>
        </w:rPr>
        <w:t>ες</w:t>
      </w:r>
      <w:r w:rsidR="00B361E8" w:rsidRPr="00B361E8">
        <w:rPr>
          <w:rFonts w:cstheme="minorHAnsi"/>
          <w:sz w:val="24"/>
          <w:szCs w:val="24"/>
          <w:lang w:val="el-GR"/>
        </w:rPr>
        <w:t xml:space="preserve"> </w:t>
      </w:r>
      <w:r w:rsidR="00F04FD6">
        <w:rPr>
          <w:rFonts w:cstheme="minorHAnsi"/>
          <w:sz w:val="24"/>
          <w:szCs w:val="24"/>
          <w:lang w:val="el-GR"/>
        </w:rPr>
        <w:t xml:space="preserve">ανώτατες </w:t>
      </w:r>
      <w:r w:rsidR="00B361E8">
        <w:rPr>
          <w:rFonts w:cstheme="minorHAnsi"/>
          <w:sz w:val="24"/>
          <w:szCs w:val="24"/>
          <w:lang w:val="el-GR"/>
        </w:rPr>
        <w:t>κυβερνητικές</w:t>
      </w:r>
      <w:r w:rsidR="00B361E8" w:rsidRPr="00B361E8">
        <w:rPr>
          <w:rFonts w:cstheme="minorHAnsi"/>
          <w:sz w:val="24"/>
          <w:szCs w:val="24"/>
          <w:lang w:val="el-GR"/>
        </w:rPr>
        <w:t xml:space="preserve"> </w:t>
      </w:r>
      <w:r w:rsidR="00B361E8">
        <w:rPr>
          <w:rFonts w:cstheme="minorHAnsi"/>
          <w:sz w:val="24"/>
          <w:szCs w:val="24"/>
          <w:lang w:val="el-GR"/>
        </w:rPr>
        <w:t>θέσεις</w:t>
      </w:r>
      <w:r w:rsidR="00B361E8" w:rsidRPr="00B361E8">
        <w:rPr>
          <w:rFonts w:cstheme="minorHAnsi"/>
          <w:sz w:val="24"/>
          <w:szCs w:val="24"/>
          <w:lang w:val="el-GR"/>
        </w:rPr>
        <w:t xml:space="preserve"> </w:t>
      </w:r>
      <w:r w:rsidR="00A5147D" w:rsidRPr="00B361E8">
        <w:rPr>
          <w:rFonts w:cstheme="minorHAnsi"/>
          <w:sz w:val="24"/>
          <w:szCs w:val="24"/>
          <w:lang w:val="el-GR"/>
        </w:rPr>
        <w:t xml:space="preserve"> </w:t>
      </w:r>
      <w:r w:rsidR="00B361E8">
        <w:rPr>
          <w:rFonts w:cstheme="minorHAnsi"/>
          <w:sz w:val="24"/>
          <w:szCs w:val="24"/>
          <w:lang w:val="el-GR"/>
        </w:rPr>
        <w:t>είναι</w:t>
      </w:r>
      <w:r w:rsidR="00A5147D" w:rsidRPr="00B361E8">
        <w:rPr>
          <w:rFonts w:cstheme="minorHAnsi"/>
          <w:sz w:val="24"/>
          <w:szCs w:val="24"/>
          <w:lang w:val="el-GR"/>
        </w:rPr>
        <w:t xml:space="preserve"> </w:t>
      </w:r>
      <w:r w:rsidR="001628C9" w:rsidRPr="00B361E8">
        <w:rPr>
          <w:rFonts w:cstheme="minorHAnsi"/>
          <w:sz w:val="24"/>
          <w:szCs w:val="24"/>
          <w:lang w:val="el-GR"/>
        </w:rPr>
        <w:t>35%</w:t>
      </w:r>
      <w:r w:rsidR="00B361E8">
        <w:rPr>
          <w:rFonts w:cstheme="minorHAnsi"/>
          <w:sz w:val="24"/>
          <w:szCs w:val="24"/>
          <w:lang w:val="el-GR"/>
        </w:rPr>
        <w:t>.</w:t>
      </w:r>
      <w:r w:rsidR="00A5147D" w:rsidRPr="00B361E8">
        <w:rPr>
          <w:rFonts w:cstheme="minorHAnsi"/>
          <w:sz w:val="24"/>
          <w:szCs w:val="24"/>
          <w:lang w:val="el-GR"/>
        </w:rPr>
        <w:t xml:space="preserve">  </w:t>
      </w:r>
      <w:r w:rsidR="00B361E8">
        <w:rPr>
          <w:rFonts w:cstheme="minorHAnsi"/>
          <w:sz w:val="24"/>
          <w:szCs w:val="24"/>
          <w:lang w:val="el-GR"/>
        </w:rPr>
        <w:t>Σε</w:t>
      </w:r>
      <w:r w:rsidR="00B361E8" w:rsidRPr="00B361E8">
        <w:rPr>
          <w:rFonts w:cstheme="minorHAnsi"/>
          <w:sz w:val="24"/>
          <w:szCs w:val="24"/>
          <w:lang w:val="el-GR"/>
        </w:rPr>
        <w:t xml:space="preserve"> </w:t>
      </w:r>
      <w:r w:rsidR="00B361E8">
        <w:rPr>
          <w:rFonts w:cstheme="minorHAnsi"/>
          <w:sz w:val="24"/>
          <w:szCs w:val="24"/>
          <w:lang w:val="el-GR"/>
        </w:rPr>
        <w:t>σχέση</w:t>
      </w:r>
      <w:r w:rsidR="00B361E8" w:rsidRPr="00B361E8">
        <w:rPr>
          <w:rFonts w:cstheme="minorHAnsi"/>
          <w:sz w:val="24"/>
          <w:szCs w:val="24"/>
          <w:lang w:val="el-GR"/>
        </w:rPr>
        <w:t xml:space="preserve"> </w:t>
      </w:r>
      <w:r w:rsidR="0020754C">
        <w:rPr>
          <w:rFonts w:cstheme="minorHAnsi"/>
          <w:sz w:val="24"/>
          <w:szCs w:val="24"/>
          <w:lang w:val="el-GR"/>
        </w:rPr>
        <w:t>μ</w:t>
      </w:r>
      <w:r w:rsidR="0020754C" w:rsidRPr="00B361E8">
        <w:rPr>
          <w:rFonts w:cstheme="minorHAnsi"/>
          <w:sz w:val="24"/>
          <w:szCs w:val="24"/>
          <w:lang w:val="el-GR"/>
        </w:rPr>
        <w:t xml:space="preserve"> </w:t>
      </w:r>
      <w:r w:rsidR="0020754C">
        <w:rPr>
          <w:rFonts w:cstheme="minorHAnsi"/>
          <w:sz w:val="24"/>
          <w:szCs w:val="24"/>
          <w:lang w:val="el-GR"/>
        </w:rPr>
        <w:t>’αυτό</w:t>
      </w:r>
      <w:r w:rsidR="00A5147D" w:rsidRPr="00B361E8">
        <w:rPr>
          <w:rFonts w:ascii="Calibri" w:hAnsi="Calibri" w:cs="Calibri"/>
          <w:color w:val="000000"/>
          <w:sz w:val="24"/>
          <w:szCs w:val="24"/>
          <w:lang w:val="el-GR"/>
        </w:rPr>
        <w:t xml:space="preserve">, </w:t>
      </w:r>
      <w:r w:rsidR="00B361E8">
        <w:rPr>
          <w:rFonts w:ascii="Calibri" w:hAnsi="Calibri" w:cs="Calibri"/>
          <w:color w:val="000000"/>
          <w:sz w:val="24"/>
          <w:szCs w:val="24"/>
          <w:lang w:val="el-GR"/>
        </w:rPr>
        <w:t>η</w:t>
      </w:r>
      <w:r w:rsidR="00A5147D" w:rsidRPr="00B361E8">
        <w:rPr>
          <w:rFonts w:ascii="Calibri" w:hAnsi="Calibri" w:cs="Calibri"/>
          <w:color w:val="000000"/>
          <w:sz w:val="24"/>
          <w:szCs w:val="24"/>
          <w:lang w:val="el-GR"/>
        </w:rPr>
        <w:t xml:space="preserve"> </w:t>
      </w:r>
      <w:r w:rsidR="00A5147D" w:rsidRPr="004E251E">
        <w:rPr>
          <w:rFonts w:ascii="Calibri" w:hAnsi="Calibri" w:cs="Calibri"/>
          <w:color w:val="000000"/>
          <w:sz w:val="24"/>
          <w:szCs w:val="24"/>
        </w:rPr>
        <w:t>GET</w:t>
      </w:r>
      <w:r w:rsidR="00A5147D" w:rsidRPr="00B361E8">
        <w:rPr>
          <w:rFonts w:ascii="Calibri" w:hAnsi="Calibri" w:cs="Calibri"/>
          <w:color w:val="000000"/>
          <w:sz w:val="24"/>
          <w:szCs w:val="24"/>
          <w:lang w:val="el-GR"/>
        </w:rPr>
        <w:t xml:space="preserve"> </w:t>
      </w:r>
      <w:r w:rsidR="00B361E8">
        <w:rPr>
          <w:rFonts w:ascii="Calibri" w:hAnsi="Calibri" w:cs="Calibri"/>
          <w:color w:val="000000"/>
          <w:sz w:val="24"/>
          <w:szCs w:val="24"/>
          <w:lang w:val="el-GR"/>
        </w:rPr>
        <w:t>καλεί</w:t>
      </w:r>
      <w:r w:rsidR="00B361E8" w:rsidRPr="00B361E8">
        <w:rPr>
          <w:rFonts w:ascii="Calibri" w:hAnsi="Calibri" w:cs="Calibri"/>
          <w:color w:val="000000"/>
          <w:sz w:val="24"/>
          <w:szCs w:val="24"/>
          <w:lang w:val="el-GR"/>
        </w:rPr>
        <w:t xml:space="preserve"> </w:t>
      </w:r>
      <w:r w:rsidR="00B361E8">
        <w:rPr>
          <w:rFonts w:ascii="Calibri" w:hAnsi="Calibri" w:cs="Calibri"/>
          <w:color w:val="000000"/>
          <w:sz w:val="24"/>
          <w:szCs w:val="24"/>
          <w:lang w:val="el-GR"/>
        </w:rPr>
        <w:t>την</w:t>
      </w:r>
      <w:r w:rsidR="00B361E8" w:rsidRPr="00B361E8">
        <w:rPr>
          <w:rFonts w:ascii="Calibri" w:hAnsi="Calibri" w:cs="Calibri"/>
          <w:color w:val="000000"/>
          <w:sz w:val="24"/>
          <w:szCs w:val="24"/>
          <w:lang w:val="el-GR"/>
        </w:rPr>
        <w:t xml:space="preserve"> </w:t>
      </w:r>
      <w:r w:rsidR="00B361E8">
        <w:rPr>
          <w:rFonts w:ascii="Calibri" w:hAnsi="Calibri" w:cs="Calibri"/>
          <w:color w:val="000000"/>
          <w:sz w:val="24"/>
          <w:szCs w:val="24"/>
          <w:lang w:val="el-GR"/>
        </w:rPr>
        <w:t>προσοχή</w:t>
      </w:r>
      <w:r w:rsidR="00B361E8" w:rsidRPr="00B361E8">
        <w:rPr>
          <w:rFonts w:ascii="Calibri" w:hAnsi="Calibri" w:cs="Calibri"/>
          <w:color w:val="000000"/>
          <w:sz w:val="24"/>
          <w:szCs w:val="24"/>
          <w:lang w:val="el-GR"/>
        </w:rPr>
        <w:t xml:space="preserve"> </w:t>
      </w:r>
      <w:r w:rsidR="00B361E8">
        <w:rPr>
          <w:rFonts w:ascii="Calibri" w:hAnsi="Calibri" w:cs="Calibri"/>
          <w:color w:val="000000"/>
          <w:sz w:val="24"/>
          <w:szCs w:val="24"/>
          <w:lang w:val="el-GR"/>
        </w:rPr>
        <w:t>των</w:t>
      </w:r>
      <w:r w:rsidR="00B361E8" w:rsidRPr="00B361E8">
        <w:rPr>
          <w:rFonts w:ascii="Calibri" w:hAnsi="Calibri" w:cs="Calibri"/>
          <w:color w:val="000000"/>
          <w:sz w:val="24"/>
          <w:szCs w:val="24"/>
          <w:lang w:val="el-GR"/>
        </w:rPr>
        <w:t xml:space="preserve"> </w:t>
      </w:r>
      <w:r w:rsidR="00B361E8">
        <w:rPr>
          <w:rFonts w:ascii="Calibri" w:hAnsi="Calibri" w:cs="Calibri"/>
          <w:color w:val="000000"/>
          <w:sz w:val="24"/>
          <w:szCs w:val="24"/>
          <w:lang w:val="el-GR"/>
        </w:rPr>
        <w:t>αρχών</w:t>
      </w:r>
      <w:r w:rsidR="00B361E8" w:rsidRPr="00B361E8">
        <w:rPr>
          <w:rFonts w:ascii="Calibri" w:hAnsi="Calibri" w:cs="Calibri"/>
          <w:color w:val="000000"/>
          <w:sz w:val="24"/>
          <w:szCs w:val="24"/>
          <w:lang w:val="el-GR"/>
        </w:rPr>
        <w:t xml:space="preserve"> </w:t>
      </w:r>
      <w:r w:rsidR="00B361E8">
        <w:rPr>
          <w:rFonts w:ascii="Calibri" w:hAnsi="Calibri" w:cs="Calibri"/>
          <w:color w:val="000000"/>
          <w:sz w:val="24"/>
          <w:szCs w:val="24"/>
          <w:lang w:val="el-GR"/>
        </w:rPr>
        <w:t>της</w:t>
      </w:r>
      <w:r w:rsidR="00B361E8" w:rsidRPr="00B361E8">
        <w:rPr>
          <w:rFonts w:ascii="Calibri" w:hAnsi="Calibri" w:cs="Calibri"/>
          <w:color w:val="000000"/>
          <w:sz w:val="24"/>
          <w:szCs w:val="24"/>
          <w:lang w:val="el-GR"/>
        </w:rPr>
        <w:t xml:space="preserve"> </w:t>
      </w:r>
      <w:r w:rsidR="00B361E8">
        <w:rPr>
          <w:rFonts w:ascii="Calibri" w:hAnsi="Calibri" w:cs="Calibri"/>
          <w:color w:val="000000"/>
          <w:sz w:val="24"/>
          <w:szCs w:val="24"/>
          <w:lang w:val="el-GR"/>
        </w:rPr>
        <w:t>Κύπρου</w:t>
      </w:r>
      <w:r w:rsidR="00A5147D" w:rsidRPr="00B361E8">
        <w:rPr>
          <w:rFonts w:ascii="Calibri" w:hAnsi="Calibri" w:cs="Calibri"/>
          <w:color w:val="000000"/>
          <w:sz w:val="24"/>
          <w:szCs w:val="24"/>
          <w:lang w:val="el-GR"/>
        </w:rPr>
        <w:t xml:space="preserve"> </w:t>
      </w:r>
      <w:r w:rsidR="00B361E8">
        <w:rPr>
          <w:rFonts w:ascii="Calibri" w:hAnsi="Calibri" w:cs="Calibri"/>
          <w:color w:val="000000"/>
          <w:sz w:val="24"/>
          <w:szCs w:val="24"/>
          <w:lang w:val="el-GR"/>
        </w:rPr>
        <w:t>στη</w:t>
      </w:r>
      <w:r w:rsidR="00A5147D" w:rsidRPr="00B361E8">
        <w:rPr>
          <w:rFonts w:ascii="Calibri" w:hAnsi="Calibri" w:cs="Calibri"/>
          <w:color w:val="000000"/>
          <w:sz w:val="24"/>
          <w:szCs w:val="24"/>
          <w:lang w:val="el-GR"/>
        </w:rPr>
        <w:t xml:space="preserve"> </w:t>
      </w:r>
      <w:hyperlink r:id="rId13" w:history="1">
        <w:r w:rsidR="00B361E8">
          <w:rPr>
            <w:rStyle w:val="Hyperlink"/>
            <w:rFonts w:ascii="Calibri" w:hAnsi="Calibri" w:cs="Calibri"/>
            <w:color w:val="000000" w:themeColor="text1"/>
            <w:sz w:val="24"/>
            <w:szCs w:val="24"/>
            <w:lang w:val="el-GR"/>
          </w:rPr>
          <w:t>Σύσταση</w:t>
        </w:r>
        <w:r w:rsidR="00A5147D" w:rsidRPr="00B361E8">
          <w:rPr>
            <w:rStyle w:val="Hyperlink"/>
            <w:rFonts w:ascii="Calibri" w:hAnsi="Calibri" w:cs="Calibri"/>
            <w:color w:val="000000" w:themeColor="text1"/>
            <w:sz w:val="24"/>
            <w:szCs w:val="24"/>
            <w:lang w:val="el-GR"/>
          </w:rPr>
          <w:t xml:space="preserve"> </w:t>
        </w:r>
        <w:r w:rsidR="00A5147D" w:rsidRPr="00B361E8">
          <w:rPr>
            <w:rStyle w:val="Hyperlink"/>
            <w:rFonts w:ascii="Calibri" w:hAnsi="Calibri" w:cs="Calibri"/>
            <w:color w:val="000000" w:themeColor="text1"/>
            <w:sz w:val="24"/>
            <w:szCs w:val="24"/>
          </w:rPr>
          <w:t>Rec</w:t>
        </w:r>
        <w:r w:rsidR="00A5147D" w:rsidRPr="00B361E8">
          <w:rPr>
            <w:rStyle w:val="Hyperlink"/>
            <w:rFonts w:ascii="Calibri" w:hAnsi="Calibri" w:cs="Calibri"/>
            <w:color w:val="000000" w:themeColor="text1"/>
            <w:sz w:val="24"/>
            <w:szCs w:val="24"/>
            <w:lang w:val="el-GR"/>
          </w:rPr>
          <w:t xml:space="preserve">(2003)3 </w:t>
        </w:r>
        <w:r w:rsidR="00B361E8">
          <w:rPr>
            <w:rStyle w:val="Hyperlink"/>
            <w:rFonts w:ascii="Calibri" w:hAnsi="Calibri" w:cs="Calibri"/>
            <w:color w:val="000000" w:themeColor="text1"/>
            <w:sz w:val="24"/>
            <w:szCs w:val="24"/>
            <w:lang w:val="el-GR"/>
          </w:rPr>
          <w:t>της</w:t>
        </w:r>
        <w:r w:rsidR="00B361E8" w:rsidRPr="00B361E8">
          <w:rPr>
            <w:rStyle w:val="Hyperlink"/>
            <w:rFonts w:ascii="Calibri" w:hAnsi="Calibri" w:cs="Calibri"/>
            <w:color w:val="000000" w:themeColor="text1"/>
            <w:sz w:val="24"/>
            <w:szCs w:val="24"/>
            <w:lang w:val="el-GR"/>
          </w:rPr>
          <w:t xml:space="preserve"> </w:t>
        </w:r>
        <w:r w:rsidR="00B361E8">
          <w:rPr>
            <w:rStyle w:val="Hyperlink"/>
            <w:rFonts w:ascii="Calibri" w:hAnsi="Calibri" w:cs="Calibri"/>
            <w:color w:val="000000" w:themeColor="text1"/>
            <w:sz w:val="24"/>
            <w:szCs w:val="24"/>
            <w:lang w:val="el-GR"/>
          </w:rPr>
          <w:t>Επιτροπής</w:t>
        </w:r>
        <w:r w:rsidR="00B361E8" w:rsidRPr="00B361E8">
          <w:rPr>
            <w:rStyle w:val="Hyperlink"/>
            <w:rFonts w:ascii="Calibri" w:hAnsi="Calibri" w:cs="Calibri"/>
            <w:color w:val="000000" w:themeColor="text1"/>
            <w:sz w:val="24"/>
            <w:szCs w:val="24"/>
            <w:lang w:val="el-GR"/>
          </w:rPr>
          <w:t xml:space="preserve"> </w:t>
        </w:r>
        <w:r w:rsidR="00B361E8">
          <w:rPr>
            <w:rStyle w:val="Hyperlink"/>
            <w:rFonts w:ascii="Calibri" w:hAnsi="Calibri" w:cs="Calibri"/>
            <w:color w:val="000000" w:themeColor="text1"/>
            <w:sz w:val="24"/>
            <w:szCs w:val="24"/>
            <w:lang w:val="el-GR"/>
          </w:rPr>
          <w:t>Υπουργών</w:t>
        </w:r>
        <w:r w:rsidR="00B361E8" w:rsidRPr="00B361E8">
          <w:rPr>
            <w:rStyle w:val="Hyperlink"/>
            <w:rFonts w:ascii="Calibri" w:hAnsi="Calibri" w:cs="Calibri"/>
            <w:color w:val="000000" w:themeColor="text1"/>
            <w:sz w:val="24"/>
            <w:szCs w:val="24"/>
            <w:lang w:val="el-GR"/>
          </w:rPr>
          <w:t xml:space="preserve"> </w:t>
        </w:r>
        <w:r w:rsidR="00B361E8">
          <w:rPr>
            <w:rStyle w:val="Hyperlink"/>
            <w:rFonts w:ascii="Calibri" w:hAnsi="Calibri" w:cs="Calibri"/>
            <w:color w:val="000000" w:themeColor="text1"/>
            <w:sz w:val="24"/>
            <w:szCs w:val="24"/>
            <w:lang w:val="el-GR"/>
          </w:rPr>
          <w:t>του</w:t>
        </w:r>
        <w:r w:rsidR="00B361E8" w:rsidRPr="00B361E8">
          <w:rPr>
            <w:rStyle w:val="Hyperlink"/>
            <w:rFonts w:ascii="Calibri" w:hAnsi="Calibri" w:cs="Calibri"/>
            <w:color w:val="000000" w:themeColor="text1"/>
            <w:sz w:val="24"/>
            <w:szCs w:val="24"/>
            <w:lang w:val="el-GR"/>
          </w:rPr>
          <w:t xml:space="preserve"> </w:t>
        </w:r>
        <w:r w:rsidR="00B361E8">
          <w:rPr>
            <w:rStyle w:val="Hyperlink"/>
            <w:rFonts w:ascii="Calibri" w:hAnsi="Calibri" w:cs="Calibri"/>
            <w:color w:val="000000" w:themeColor="text1"/>
            <w:sz w:val="24"/>
            <w:szCs w:val="24"/>
            <w:lang w:val="el-GR"/>
          </w:rPr>
          <w:t>Συμβουλίου</w:t>
        </w:r>
        <w:r w:rsidR="00B361E8" w:rsidRPr="00B361E8">
          <w:rPr>
            <w:rStyle w:val="Hyperlink"/>
            <w:rFonts w:ascii="Calibri" w:hAnsi="Calibri" w:cs="Calibri"/>
            <w:color w:val="000000" w:themeColor="text1"/>
            <w:sz w:val="24"/>
            <w:szCs w:val="24"/>
            <w:lang w:val="el-GR"/>
          </w:rPr>
          <w:t xml:space="preserve"> </w:t>
        </w:r>
        <w:r w:rsidR="00B361E8">
          <w:rPr>
            <w:rStyle w:val="Hyperlink"/>
            <w:rFonts w:ascii="Calibri" w:hAnsi="Calibri" w:cs="Calibri"/>
            <w:color w:val="000000" w:themeColor="text1"/>
            <w:sz w:val="24"/>
            <w:szCs w:val="24"/>
            <w:lang w:val="el-GR"/>
          </w:rPr>
          <w:t>της</w:t>
        </w:r>
        <w:r w:rsidR="00B361E8" w:rsidRPr="00B361E8">
          <w:rPr>
            <w:rStyle w:val="Hyperlink"/>
            <w:rFonts w:ascii="Calibri" w:hAnsi="Calibri" w:cs="Calibri"/>
            <w:color w:val="000000" w:themeColor="text1"/>
            <w:sz w:val="24"/>
            <w:szCs w:val="24"/>
            <w:lang w:val="el-GR"/>
          </w:rPr>
          <w:t xml:space="preserve"> </w:t>
        </w:r>
        <w:r w:rsidR="00B361E8">
          <w:rPr>
            <w:rStyle w:val="Hyperlink"/>
            <w:rFonts w:ascii="Calibri" w:hAnsi="Calibri" w:cs="Calibri"/>
            <w:color w:val="000000" w:themeColor="text1"/>
            <w:sz w:val="24"/>
            <w:szCs w:val="24"/>
            <w:lang w:val="el-GR"/>
          </w:rPr>
          <w:t>Ευρώπης</w:t>
        </w:r>
        <w:r w:rsidR="00A5147D" w:rsidRPr="00B361E8">
          <w:rPr>
            <w:rStyle w:val="Hyperlink"/>
            <w:rFonts w:ascii="Calibri" w:hAnsi="Calibri" w:cs="Calibri"/>
            <w:color w:val="000000" w:themeColor="text1"/>
            <w:sz w:val="24"/>
            <w:szCs w:val="24"/>
            <w:lang w:val="el-GR"/>
          </w:rPr>
          <w:t xml:space="preserve"> </w:t>
        </w:r>
        <w:r w:rsidR="00B361E8">
          <w:rPr>
            <w:rStyle w:val="Hyperlink"/>
            <w:rFonts w:ascii="Calibri" w:hAnsi="Calibri" w:cs="Calibri"/>
            <w:color w:val="000000" w:themeColor="text1"/>
            <w:sz w:val="24"/>
            <w:szCs w:val="24"/>
            <w:lang w:val="el-GR"/>
          </w:rPr>
          <w:t>σε</w:t>
        </w:r>
        <w:r w:rsidR="00B361E8" w:rsidRPr="00B361E8">
          <w:rPr>
            <w:rStyle w:val="Hyperlink"/>
            <w:rFonts w:ascii="Calibri" w:hAnsi="Calibri" w:cs="Calibri"/>
            <w:color w:val="000000" w:themeColor="text1"/>
            <w:sz w:val="24"/>
            <w:szCs w:val="24"/>
            <w:lang w:val="el-GR"/>
          </w:rPr>
          <w:t xml:space="preserve"> </w:t>
        </w:r>
        <w:r w:rsidR="00B361E8">
          <w:rPr>
            <w:rStyle w:val="Hyperlink"/>
            <w:rFonts w:ascii="Calibri" w:hAnsi="Calibri" w:cs="Calibri"/>
            <w:color w:val="000000" w:themeColor="text1"/>
            <w:sz w:val="24"/>
            <w:szCs w:val="24"/>
            <w:lang w:val="el-GR"/>
          </w:rPr>
          <w:t>κράτη</w:t>
        </w:r>
        <w:r w:rsidR="00B361E8" w:rsidRPr="00B361E8">
          <w:rPr>
            <w:rStyle w:val="Hyperlink"/>
            <w:rFonts w:ascii="Calibri" w:hAnsi="Calibri" w:cs="Calibri"/>
            <w:color w:val="000000" w:themeColor="text1"/>
            <w:sz w:val="24"/>
            <w:szCs w:val="24"/>
            <w:lang w:val="el-GR"/>
          </w:rPr>
          <w:t xml:space="preserve"> </w:t>
        </w:r>
        <w:r w:rsidR="00B361E8">
          <w:rPr>
            <w:rStyle w:val="Hyperlink"/>
            <w:rFonts w:ascii="Calibri" w:hAnsi="Calibri" w:cs="Calibri"/>
            <w:color w:val="000000" w:themeColor="text1"/>
            <w:sz w:val="24"/>
            <w:szCs w:val="24"/>
            <w:lang w:val="el-GR"/>
          </w:rPr>
          <w:t>μέλη</w:t>
        </w:r>
        <w:r w:rsidR="00B361E8" w:rsidRPr="00B361E8">
          <w:rPr>
            <w:rStyle w:val="Hyperlink"/>
            <w:rFonts w:ascii="Calibri" w:hAnsi="Calibri" w:cs="Calibri"/>
            <w:color w:val="000000" w:themeColor="text1"/>
            <w:sz w:val="24"/>
            <w:szCs w:val="24"/>
            <w:lang w:val="el-GR"/>
          </w:rPr>
          <w:t xml:space="preserve"> </w:t>
        </w:r>
        <w:r w:rsidR="00B361E8">
          <w:rPr>
            <w:rStyle w:val="Hyperlink"/>
            <w:rFonts w:ascii="Calibri" w:hAnsi="Calibri" w:cs="Calibri"/>
            <w:color w:val="000000" w:themeColor="text1"/>
            <w:sz w:val="24"/>
            <w:szCs w:val="24"/>
            <w:lang w:val="el-GR"/>
          </w:rPr>
          <w:t>για</w:t>
        </w:r>
        <w:r w:rsidR="00B361E8" w:rsidRPr="00B361E8">
          <w:rPr>
            <w:rStyle w:val="Hyperlink"/>
            <w:rFonts w:ascii="Calibri" w:hAnsi="Calibri" w:cs="Calibri"/>
            <w:color w:val="000000" w:themeColor="text1"/>
            <w:sz w:val="24"/>
            <w:szCs w:val="24"/>
            <w:lang w:val="el-GR"/>
          </w:rPr>
          <w:t xml:space="preserve"> </w:t>
        </w:r>
        <w:r w:rsidR="00B361E8">
          <w:rPr>
            <w:rStyle w:val="Hyperlink"/>
            <w:rFonts w:ascii="Calibri" w:hAnsi="Calibri" w:cs="Calibri"/>
            <w:color w:val="000000" w:themeColor="text1"/>
            <w:sz w:val="24"/>
            <w:szCs w:val="24"/>
            <w:lang w:val="el-GR"/>
          </w:rPr>
          <w:t>την</w:t>
        </w:r>
        <w:r w:rsidR="00B361E8" w:rsidRPr="00B361E8">
          <w:rPr>
            <w:rStyle w:val="Hyperlink"/>
            <w:rFonts w:ascii="Calibri" w:hAnsi="Calibri" w:cs="Calibri"/>
            <w:color w:val="000000" w:themeColor="text1"/>
            <w:sz w:val="24"/>
            <w:szCs w:val="24"/>
            <w:lang w:val="el-GR"/>
          </w:rPr>
          <w:t xml:space="preserve"> </w:t>
        </w:r>
        <w:r w:rsidR="00B361E8">
          <w:rPr>
            <w:rStyle w:val="Hyperlink"/>
            <w:rFonts w:ascii="Calibri" w:hAnsi="Calibri" w:cs="Calibri"/>
            <w:color w:val="000000" w:themeColor="text1"/>
            <w:sz w:val="24"/>
            <w:szCs w:val="24"/>
            <w:lang w:val="el-GR"/>
          </w:rPr>
          <w:t>ισορροπημένη</w:t>
        </w:r>
        <w:r w:rsidR="00B361E8" w:rsidRPr="00B361E8">
          <w:rPr>
            <w:rStyle w:val="Hyperlink"/>
            <w:rFonts w:ascii="Calibri" w:hAnsi="Calibri" w:cs="Calibri"/>
            <w:color w:val="000000" w:themeColor="text1"/>
            <w:sz w:val="24"/>
            <w:szCs w:val="24"/>
            <w:lang w:val="el-GR"/>
          </w:rPr>
          <w:t xml:space="preserve"> </w:t>
        </w:r>
        <w:r w:rsidR="00B361E8">
          <w:rPr>
            <w:rStyle w:val="Hyperlink"/>
            <w:rFonts w:ascii="Calibri" w:hAnsi="Calibri" w:cs="Calibri"/>
            <w:color w:val="000000" w:themeColor="text1"/>
            <w:sz w:val="24"/>
            <w:szCs w:val="24"/>
            <w:lang w:val="el-GR"/>
          </w:rPr>
          <w:t>συμμετοχή</w:t>
        </w:r>
        <w:r w:rsidR="00B361E8" w:rsidRPr="00B361E8">
          <w:rPr>
            <w:rStyle w:val="Hyperlink"/>
            <w:rFonts w:ascii="Calibri" w:hAnsi="Calibri" w:cs="Calibri"/>
            <w:color w:val="000000" w:themeColor="text1"/>
            <w:sz w:val="24"/>
            <w:szCs w:val="24"/>
            <w:lang w:val="el-GR"/>
          </w:rPr>
          <w:t xml:space="preserve"> </w:t>
        </w:r>
        <w:r w:rsidR="00B361E8">
          <w:rPr>
            <w:rStyle w:val="Hyperlink"/>
            <w:rFonts w:ascii="Calibri" w:hAnsi="Calibri" w:cs="Calibri"/>
            <w:color w:val="000000" w:themeColor="text1"/>
            <w:sz w:val="24"/>
            <w:szCs w:val="24"/>
            <w:lang w:val="el-GR"/>
          </w:rPr>
          <w:t>γυναικών</w:t>
        </w:r>
        <w:r w:rsidR="00B361E8" w:rsidRPr="00B361E8">
          <w:rPr>
            <w:rStyle w:val="Hyperlink"/>
            <w:rFonts w:ascii="Calibri" w:hAnsi="Calibri" w:cs="Calibri"/>
            <w:color w:val="000000" w:themeColor="text1"/>
            <w:sz w:val="24"/>
            <w:szCs w:val="24"/>
            <w:lang w:val="el-GR"/>
          </w:rPr>
          <w:t xml:space="preserve"> </w:t>
        </w:r>
        <w:r w:rsidR="00B361E8">
          <w:rPr>
            <w:rStyle w:val="Hyperlink"/>
            <w:rFonts w:ascii="Calibri" w:hAnsi="Calibri" w:cs="Calibri"/>
            <w:color w:val="000000" w:themeColor="text1"/>
            <w:sz w:val="24"/>
            <w:szCs w:val="24"/>
            <w:lang w:val="el-GR"/>
          </w:rPr>
          <w:t>και</w:t>
        </w:r>
        <w:r w:rsidR="00B361E8" w:rsidRPr="00B361E8">
          <w:rPr>
            <w:rStyle w:val="Hyperlink"/>
            <w:rFonts w:ascii="Calibri" w:hAnsi="Calibri" w:cs="Calibri"/>
            <w:color w:val="000000" w:themeColor="text1"/>
            <w:sz w:val="24"/>
            <w:szCs w:val="24"/>
            <w:lang w:val="el-GR"/>
          </w:rPr>
          <w:t xml:space="preserve"> </w:t>
        </w:r>
        <w:r w:rsidR="00B361E8">
          <w:rPr>
            <w:rStyle w:val="Hyperlink"/>
            <w:rFonts w:ascii="Calibri" w:hAnsi="Calibri" w:cs="Calibri"/>
            <w:color w:val="000000" w:themeColor="text1"/>
            <w:sz w:val="24"/>
            <w:szCs w:val="24"/>
            <w:lang w:val="el-GR"/>
          </w:rPr>
          <w:t>αντρών στην λήψη πολιτικών και δημοσίων αποφάσεων</w:t>
        </w:r>
      </w:hyperlink>
      <w:r w:rsidR="00A5147D" w:rsidRPr="00B361E8">
        <w:rPr>
          <w:rFonts w:ascii="Calibri" w:hAnsi="Calibri" w:cs="Calibri"/>
          <w:color w:val="000000"/>
          <w:sz w:val="24"/>
          <w:szCs w:val="24"/>
          <w:lang w:val="el-GR"/>
        </w:rPr>
        <w:t xml:space="preserve">, </w:t>
      </w:r>
      <w:r w:rsidR="00B361E8">
        <w:rPr>
          <w:rFonts w:ascii="Calibri" w:hAnsi="Calibri" w:cs="Calibri"/>
          <w:color w:val="000000"/>
          <w:sz w:val="24"/>
          <w:szCs w:val="24"/>
          <w:lang w:val="el-GR"/>
        </w:rPr>
        <w:t xml:space="preserve">που </w:t>
      </w:r>
      <w:r w:rsidR="00F04FD6">
        <w:rPr>
          <w:rFonts w:ascii="Calibri" w:hAnsi="Calibri" w:cs="Calibri"/>
          <w:color w:val="000000"/>
          <w:sz w:val="24"/>
          <w:szCs w:val="24"/>
          <w:lang w:val="el-GR"/>
        </w:rPr>
        <w:t xml:space="preserve">σημειώνει </w:t>
      </w:r>
      <w:r w:rsidR="00B361E8">
        <w:rPr>
          <w:rFonts w:ascii="Calibri" w:hAnsi="Calibri" w:cs="Calibri"/>
          <w:color w:val="000000"/>
          <w:sz w:val="24"/>
          <w:szCs w:val="24"/>
          <w:lang w:val="el-GR"/>
        </w:rPr>
        <w:t>ότι η εκπροσώπηση είτε των γυναικών είτε των αντρών</w:t>
      </w:r>
      <w:r w:rsidR="00A5147D" w:rsidRPr="00B361E8">
        <w:rPr>
          <w:rFonts w:ascii="Calibri" w:hAnsi="Calibri" w:cs="Calibri"/>
          <w:color w:val="000000"/>
          <w:sz w:val="24"/>
          <w:szCs w:val="24"/>
          <w:lang w:val="el-GR"/>
        </w:rPr>
        <w:t xml:space="preserve"> </w:t>
      </w:r>
      <w:r w:rsidR="00B361E8">
        <w:rPr>
          <w:rFonts w:ascii="Calibri" w:hAnsi="Calibri" w:cs="Calibri"/>
          <w:color w:val="000000"/>
          <w:sz w:val="24"/>
          <w:szCs w:val="24"/>
          <w:lang w:val="el-GR"/>
        </w:rPr>
        <w:t>σε οποιοδήποτε όργανο λήψης αποφάσεων</w:t>
      </w:r>
      <w:r w:rsidR="00A5147D" w:rsidRPr="00B361E8">
        <w:rPr>
          <w:rFonts w:ascii="Calibri" w:hAnsi="Calibri" w:cs="Calibri"/>
          <w:color w:val="000000"/>
          <w:sz w:val="24"/>
          <w:szCs w:val="24"/>
          <w:lang w:val="el-GR"/>
        </w:rPr>
        <w:t xml:space="preserve"> </w:t>
      </w:r>
      <w:r w:rsidR="00B361E8">
        <w:rPr>
          <w:rFonts w:ascii="Calibri" w:hAnsi="Calibri" w:cs="Calibri"/>
          <w:color w:val="000000"/>
          <w:sz w:val="24"/>
          <w:szCs w:val="24"/>
          <w:lang w:val="el-GR"/>
        </w:rPr>
        <w:t>στην πολιτική ή δημόσια ζωή</w:t>
      </w:r>
      <w:r w:rsidR="00A5147D" w:rsidRPr="00B361E8">
        <w:rPr>
          <w:rFonts w:ascii="Calibri" w:hAnsi="Calibri" w:cs="Calibri"/>
          <w:color w:val="000000"/>
          <w:sz w:val="24"/>
          <w:szCs w:val="24"/>
          <w:lang w:val="el-GR"/>
        </w:rPr>
        <w:t xml:space="preserve"> </w:t>
      </w:r>
      <w:r w:rsidR="00B361E8">
        <w:rPr>
          <w:rFonts w:ascii="Calibri" w:hAnsi="Calibri" w:cs="Calibri"/>
          <w:color w:val="000000"/>
          <w:sz w:val="24"/>
          <w:szCs w:val="24"/>
          <w:lang w:val="el-GR"/>
        </w:rPr>
        <w:t xml:space="preserve">δεν πρέπει να </w:t>
      </w:r>
      <w:r w:rsidR="00391FED">
        <w:rPr>
          <w:rFonts w:ascii="Calibri" w:hAnsi="Calibri" w:cs="Calibri"/>
          <w:color w:val="000000"/>
          <w:sz w:val="24"/>
          <w:szCs w:val="24"/>
          <w:lang w:val="el-GR"/>
        </w:rPr>
        <w:t>είναι πιο κάτω από το</w:t>
      </w:r>
      <w:r w:rsidR="00A5147D" w:rsidRPr="004E251E">
        <w:rPr>
          <w:rFonts w:ascii="Calibri" w:hAnsi="Calibri" w:cs="Calibri"/>
          <w:color w:val="000000"/>
          <w:sz w:val="24"/>
          <w:szCs w:val="24"/>
        </w:rPr>
        <w:t> </w:t>
      </w:r>
      <w:r w:rsidR="00A5147D" w:rsidRPr="00B361E8">
        <w:rPr>
          <w:rFonts w:ascii="Calibri" w:hAnsi="Calibri" w:cs="Calibri"/>
          <w:color w:val="000000"/>
          <w:sz w:val="24"/>
          <w:szCs w:val="24"/>
          <w:lang w:val="el-GR"/>
        </w:rPr>
        <w:t xml:space="preserve">40%. </w:t>
      </w:r>
    </w:p>
    <w:p w14:paraId="5B7E3155" w14:textId="77777777" w:rsidR="00A5147D" w:rsidRPr="00B361E8" w:rsidRDefault="00A5147D" w:rsidP="00A5147D">
      <w:pPr>
        <w:rPr>
          <w:rFonts w:eastAsia="Times New Roman" w:cstheme="minorHAnsi"/>
          <w:sz w:val="24"/>
          <w:szCs w:val="24"/>
          <w:lang w:val="el-GR" w:eastAsia="fr-FR"/>
        </w:rPr>
      </w:pPr>
    </w:p>
    <w:p w14:paraId="13377195" w14:textId="1FCB4F70" w:rsidR="00A5147D" w:rsidRPr="00391FED" w:rsidRDefault="00391FED" w:rsidP="00A5147D">
      <w:pPr>
        <w:pStyle w:val="Heading3"/>
        <w:spacing w:before="0"/>
        <w:rPr>
          <w:rFonts w:asciiTheme="minorHAnsi" w:hAnsiTheme="minorHAnsi" w:cstheme="minorHAnsi"/>
          <w:b w:val="0"/>
          <w:bCs w:val="0"/>
          <w:i/>
          <w:iCs/>
          <w:color w:val="auto"/>
          <w:sz w:val="24"/>
          <w:szCs w:val="24"/>
          <w:lang w:val="el-GR"/>
        </w:rPr>
      </w:pPr>
      <w:bookmarkStart w:id="41" w:name="_Toc136879341"/>
      <w:r>
        <w:rPr>
          <w:rFonts w:asciiTheme="minorHAnsi" w:hAnsiTheme="minorHAnsi" w:cstheme="minorHAnsi"/>
          <w:b w:val="0"/>
          <w:bCs w:val="0"/>
          <w:i/>
          <w:iCs/>
          <w:color w:val="auto"/>
          <w:sz w:val="24"/>
          <w:szCs w:val="24"/>
          <w:lang w:val="el-GR"/>
        </w:rPr>
        <w:t>Άλλα</w:t>
      </w:r>
      <w:r w:rsidRPr="00391FED">
        <w:rPr>
          <w:rFonts w:asciiTheme="minorHAnsi" w:hAnsiTheme="minorHAnsi" w:cstheme="minorHAnsi"/>
          <w:b w:val="0"/>
          <w:bCs w:val="0"/>
          <w:i/>
          <w:iCs/>
          <w:color w:val="auto"/>
          <w:sz w:val="24"/>
          <w:szCs w:val="24"/>
          <w:lang w:val="el-GR"/>
        </w:rPr>
        <w:t xml:space="preserve"> </w:t>
      </w:r>
      <w:r>
        <w:rPr>
          <w:rFonts w:asciiTheme="minorHAnsi" w:hAnsiTheme="minorHAnsi" w:cstheme="minorHAnsi"/>
          <w:b w:val="0"/>
          <w:bCs w:val="0"/>
          <w:i/>
          <w:iCs/>
          <w:color w:val="auto"/>
          <w:sz w:val="24"/>
          <w:szCs w:val="24"/>
          <w:lang w:val="el-GR"/>
        </w:rPr>
        <w:t>άτομα</w:t>
      </w:r>
      <w:r w:rsidRPr="00391FED">
        <w:rPr>
          <w:rFonts w:asciiTheme="minorHAnsi" w:hAnsiTheme="minorHAnsi" w:cstheme="minorHAnsi"/>
          <w:b w:val="0"/>
          <w:bCs w:val="0"/>
          <w:i/>
          <w:iCs/>
          <w:color w:val="auto"/>
          <w:sz w:val="24"/>
          <w:szCs w:val="24"/>
          <w:lang w:val="el-GR"/>
        </w:rPr>
        <w:t xml:space="preserve"> </w:t>
      </w:r>
      <w:r>
        <w:rPr>
          <w:rFonts w:asciiTheme="minorHAnsi" w:hAnsiTheme="minorHAnsi" w:cstheme="minorHAnsi"/>
          <w:b w:val="0"/>
          <w:bCs w:val="0"/>
          <w:i/>
          <w:iCs/>
          <w:color w:val="auto"/>
          <w:sz w:val="24"/>
          <w:szCs w:val="24"/>
          <w:lang w:val="el-GR"/>
        </w:rPr>
        <w:t>που</w:t>
      </w:r>
      <w:r w:rsidRPr="00391FED">
        <w:rPr>
          <w:rFonts w:asciiTheme="minorHAnsi" w:hAnsiTheme="minorHAnsi" w:cstheme="minorHAnsi"/>
          <w:b w:val="0"/>
          <w:bCs w:val="0"/>
          <w:i/>
          <w:iCs/>
          <w:color w:val="auto"/>
          <w:sz w:val="24"/>
          <w:szCs w:val="24"/>
          <w:lang w:val="el-GR"/>
        </w:rPr>
        <w:t xml:space="preserve"> </w:t>
      </w:r>
      <w:r>
        <w:rPr>
          <w:rFonts w:asciiTheme="minorHAnsi" w:hAnsiTheme="minorHAnsi" w:cstheme="minorHAnsi"/>
          <w:b w:val="0"/>
          <w:bCs w:val="0"/>
          <w:i/>
          <w:iCs/>
          <w:color w:val="auto"/>
          <w:sz w:val="24"/>
          <w:szCs w:val="24"/>
          <w:lang w:val="el-GR"/>
        </w:rPr>
        <w:t>εξασκούν</w:t>
      </w:r>
      <w:r w:rsidRPr="00391FED">
        <w:rPr>
          <w:rFonts w:asciiTheme="minorHAnsi" w:hAnsiTheme="minorHAnsi" w:cstheme="minorHAnsi"/>
          <w:b w:val="0"/>
          <w:bCs w:val="0"/>
          <w:i/>
          <w:iCs/>
          <w:color w:val="auto"/>
          <w:sz w:val="24"/>
          <w:szCs w:val="24"/>
          <w:lang w:val="el-GR"/>
        </w:rPr>
        <w:t xml:space="preserve"> </w:t>
      </w:r>
      <w:r w:rsidR="00F04FD6">
        <w:rPr>
          <w:rFonts w:asciiTheme="minorHAnsi" w:hAnsiTheme="minorHAnsi" w:cstheme="minorHAnsi"/>
          <w:b w:val="0"/>
          <w:bCs w:val="0"/>
          <w:i/>
          <w:iCs/>
          <w:color w:val="auto"/>
          <w:sz w:val="24"/>
          <w:szCs w:val="24"/>
          <w:lang w:val="el-GR"/>
        </w:rPr>
        <w:t xml:space="preserve">ανώτατα </w:t>
      </w:r>
      <w:r>
        <w:rPr>
          <w:rFonts w:asciiTheme="minorHAnsi" w:hAnsiTheme="minorHAnsi" w:cstheme="minorHAnsi"/>
          <w:b w:val="0"/>
          <w:bCs w:val="0"/>
          <w:i/>
          <w:iCs/>
          <w:color w:val="auto"/>
          <w:sz w:val="24"/>
          <w:szCs w:val="24"/>
          <w:lang w:val="el-GR"/>
        </w:rPr>
        <w:t>εκτελεστικ</w:t>
      </w:r>
      <w:r w:rsidR="00F04FD6">
        <w:rPr>
          <w:rFonts w:asciiTheme="minorHAnsi" w:hAnsiTheme="minorHAnsi" w:cstheme="minorHAnsi"/>
          <w:b w:val="0"/>
          <w:bCs w:val="0"/>
          <w:i/>
          <w:iCs/>
          <w:color w:val="auto"/>
          <w:sz w:val="24"/>
          <w:szCs w:val="24"/>
          <w:lang w:val="el-GR"/>
        </w:rPr>
        <w:t>ά</w:t>
      </w:r>
      <w:r>
        <w:rPr>
          <w:rFonts w:asciiTheme="minorHAnsi" w:hAnsiTheme="minorHAnsi" w:cstheme="minorHAnsi"/>
          <w:b w:val="0"/>
          <w:bCs w:val="0"/>
          <w:i/>
          <w:iCs/>
          <w:color w:val="auto"/>
          <w:sz w:val="24"/>
          <w:szCs w:val="24"/>
          <w:lang w:val="el-GR"/>
        </w:rPr>
        <w:t xml:space="preserve"> </w:t>
      </w:r>
      <w:r w:rsidR="00F04FD6">
        <w:rPr>
          <w:rFonts w:asciiTheme="minorHAnsi" w:hAnsiTheme="minorHAnsi" w:cstheme="minorHAnsi"/>
          <w:b w:val="0"/>
          <w:bCs w:val="0"/>
          <w:i/>
          <w:iCs/>
          <w:color w:val="auto"/>
          <w:sz w:val="24"/>
          <w:szCs w:val="24"/>
          <w:lang w:val="el-GR"/>
        </w:rPr>
        <w:t>καθήκοντα</w:t>
      </w:r>
      <w:bookmarkEnd w:id="41"/>
    </w:p>
    <w:p w14:paraId="510D2397" w14:textId="77777777" w:rsidR="00A5147D" w:rsidRPr="00391FED" w:rsidRDefault="00A5147D" w:rsidP="00A5147D">
      <w:pPr>
        <w:tabs>
          <w:tab w:val="left" w:pos="709"/>
        </w:tabs>
        <w:rPr>
          <w:rFonts w:eastAsia="Times New Roman" w:cstheme="minorHAnsi"/>
          <w:sz w:val="24"/>
          <w:szCs w:val="24"/>
          <w:lang w:val="el-GR" w:eastAsia="fr-FR"/>
        </w:rPr>
      </w:pPr>
    </w:p>
    <w:p w14:paraId="001B361F" w14:textId="583BD7E0" w:rsidR="00A5147D" w:rsidRPr="0050179B" w:rsidRDefault="00391FED" w:rsidP="00A5147D">
      <w:pPr>
        <w:numPr>
          <w:ilvl w:val="0"/>
          <w:numId w:val="1"/>
        </w:numPr>
        <w:tabs>
          <w:tab w:val="clear" w:pos="6095"/>
          <w:tab w:val="left" w:pos="709"/>
        </w:tabs>
        <w:ind w:left="0" w:firstLine="0"/>
        <w:rPr>
          <w:rFonts w:eastAsia="Times New Roman" w:cstheme="minorHAnsi"/>
          <w:sz w:val="24"/>
          <w:szCs w:val="24"/>
          <w:lang w:val="el-GR" w:eastAsia="fr-FR"/>
        </w:rPr>
      </w:pPr>
      <w:r>
        <w:rPr>
          <w:rFonts w:eastAsia="Times New Roman" w:cstheme="minorHAnsi"/>
          <w:sz w:val="24"/>
          <w:szCs w:val="24"/>
          <w:lang w:val="el-GR" w:eastAsia="fr-FR"/>
        </w:rPr>
        <w:t>Ο</w:t>
      </w:r>
      <w:r w:rsidR="00A5147D" w:rsidRPr="00391FED">
        <w:rPr>
          <w:rFonts w:eastAsia="Times New Roman" w:cstheme="minorHAnsi"/>
          <w:sz w:val="24"/>
          <w:szCs w:val="24"/>
          <w:lang w:val="el-GR" w:eastAsia="fr-FR"/>
        </w:rPr>
        <w:t xml:space="preserve"> </w:t>
      </w:r>
      <w:r>
        <w:rPr>
          <w:rFonts w:eastAsia="Times New Roman" w:cstheme="minorHAnsi"/>
          <w:sz w:val="24"/>
          <w:szCs w:val="24"/>
          <w:u w:val="single"/>
          <w:lang w:val="el-GR" w:eastAsia="fr-FR"/>
        </w:rPr>
        <w:t>Κυβερνητικός</w:t>
      </w:r>
      <w:r w:rsidRPr="00391FED">
        <w:rPr>
          <w:rFonts w:eastAsia="Times New Roman" w:cstheme="minorHAnsi"/>
          <w:sz w:val="24"/>
          <w:szCs w:val="24"/>
          <w:u w:val="single"/>
          <w:lang w:val="el-GR" w:eastAsia="fr-FR"/>
        </w:rPr>
        <w:t xml:space="preserve"> </w:t>
      </w:r>
      <w:r>
        <w:rPr>
          <w:rFonts w:eastAsia="Times New Roman" w:cstheme="minorHAnsi"/>
          <w:sz w:val="24"/>
          <w:szCs w:val="24"/>
          <w:u w:val="single"/>
          <w:lang w:val="el-GR" w:eastAsia="fr-FR"/>
        </w:rPr>
        <w:t>Εκπρόσωπος</w:t>
      </w:r>
      <w:r w:rsidR="00A5147D" w:rsidRPr="00391FED">
        <w:rPr>
          <w:rFonts w:cstheme="minorHAnsi"/>
          <w:color w:val="000000"/>
          <w:sz w:val="24"/>
          <w:szCs w:val="24"/>
          <w:lang w:val="el-GR"/>
        </w:rPr>
        <w:t xml:space="preserve"> </w:t>
      </w:r>
      <w:r>
        <w:rPr>
          <w:rFonts w:cstheme="minorHAnsi"/>
          <w:color w:val="000000"/>
          <w:sz w:val="24"/>
          <w:szCs w:val="24"/>
          <w:lang w:val="el-GR"/>
        </w:rPr>
        <w:t>είναι</w:t>
      </w:r>
      <w:r w:rsidRPr="00391FED">
        <w:rPr>
          <w:rFonts w:cstheme="minorHAnsi"/>
          <w:color w:val="000000"/>
          <w:sz w:val="24"/>
          <w:szCs w:val="24"/>
          <w:lang w:val="el-GR"/>
        </w:rPr>
        <w:t xml:space="preserve"> </w:t>
      </w:r>
      <w:r>
        <w:rPr>
          <w:rFonts w:cstheme="minorHAnsi"/>
          <w:color w:val="000000"/>
          <w:sz w:val="24"/>
          <w:szCs w:val="24"/>
          <w:lang w:val="el-GR"/>
        </w:rPr>
        <w:t>ο</w:t>
      </w:r>
      <w:r w:rsidRPr="00391FED">
        <w:rPr>
          <w:rFonts w:cstheme="minorHAnsi"/>
          <w:color w:val="000000"/>
          <w:sz w:val="24"/>
          <w:szCs w:val="24"/>
          <w:lang w:val="el-GR"/>
        </w:rPr>
        <w:t xml:space="preserve"> </w:t>
      </w:r>
      <w:r>
        <w:rPr>
          <w:rFonts w:cstheme="minorHAnsi"/>
          <w:color w:val="000000"/>
          <w:sz w:val="24"/>
          <w:szCs w:val="24"/>
          <w:lang w:val="el-GR"/>
        </w:rPr>
        <w:t>πολιτικός</w:t>
      </w:r>
      <w:r w:rsidRPr="00391FED">
        <w:rPr>
          <w:rFonts w:cstheme="minorHAnsi"/>
          <w:color w:val="000000"/>
          <w:sz w:val="24"/>
          <w:szCs w:val="24"/>
          <w:lang w:val="el-GR"/>
        </w:rPr>
        <w:t xml:space="preserve"> </w:t>
      </w:r>
      <w:r>
        <w:rPr>
          <w:rFonts w:cstheme="minorHAnsi"/>
          <w:color w:val="000000"/>
          <w:sz w:val="24"/>
          <w:szCs w:val="24"/>
          <w:lang w:val="el-GR"/>
        </w:rPr>
        <w:t>επικεφαλής</w:t>
      </w:r>
      <w:r w:rsidRPr="00391FED">
        <w:rPr>
          <w:rFonts w:cstheme="minorHAnsi"/>
          <w:color w:val="000000"/>
          <w:sz w:val="24"/>
          <w:szCs w:val="24"/>
          <w:lang w:val="el-GR"/>
        </w:rPr>
        <w:t xml:space="preserve"> </w:t>
      </w:r>
      <w:r>
        <w:rPr>
          <w:rFonts w:cstheme="minorHAnsi"/>
          <w:color w:val="000000"/>
          <w:sz w:val="24"/>
          <w:szCs w:val="24"/>
          <w:lang w:val="el-GR"/>
        </w:rPr>
        <w:t>του</w:t>
      </w:r>
      <w:r w:rsidRPr="00391FED">
        <w:rPr>
          <w:rFonts w:cstheme="minorHAnsi"/>
          <w:color w:val="000000"/>
          <w:sz w:val="24"/>
          <w:szCs w:val="24"/>
          <w:lang w:val="el-GR"/>
        </w:rPr>
        <w:t xml:space="preserve"> </w:t>
      </w:r>
      <w:r>
        <w:rPr>
          <w:rFonts w:cstheme="minorHAnsi"/>
          <w:color w:val="000000"/>
          <w:sz w:val="24"/>
          <w:szCs w:val="24"/>
          <w:lang w:val="el-GR"/>
        </w:rPr>
        <w:t>Γραφείου</w:t>
      </w:r>
      <w:r w:rsidRPr="00391FED">
        <w:rPr>
          <w:rFonts w:cstheme="minorHAnsi"/>
          <w:color w:val="000000"/>
          <w:sz w:val="24"/>
          <w:szCs w:val="24"/>
          <w:lang w:val="el-GR"/>
        </w:rPr>
        <w:t xml:space="preserve"> </w:t>
      </w:r>
      <w:r>
        <w:rPr>
          <w:rFonts w:cstheme="minorHAnsi"/>
          <w:color w:val="000000"/>
          <w:sz w:val="24"/>
          <w:szCs w:val="24"/>
          <w:lang w:val="el-GR"/>
        </w:rPr>
        <w:t>Τύπου</w:t>
      </w:r>
      <w:r w:rsidRPr="00391FED">
        <w:rPr>
          <w:rFonts w:cstheme="minorHAnsi"/>
          <w:color w:val="000000"/>
          <w:sz w:val="24"/>
          <w:szCs w:val="24"/>
          <w:lang w:val="el-GR"/>
        </w:rPr>
        <w:t xml:space="preserve"> </w:t>
      </w:r>
      <w:r>
        <w:rPr>
          <w:rFonts w:cstheme="minorHAnsi"/>
          <w:color w:val="000000"/>
          <w:sz w:val="24"/>
          <w:szCs w:val="24"/>
          <w:lang w:val="el-GR"/>
        </w:rPr>
        <w:t>και</w:t>
      </w:r>
      <w:r w:rsidRPr="00391FED">
        <w:rPr>
          <w:rFonts w:cstheme="minorHAnsi"/>
          <w:color w:val="000000"/>
          <w:sz w:val="24"/>
          <w:szCs w:val="24"/>
          <w:lang w:val="el-GR"/>
        </w:rPr>
        <w:t xml:space="preserve"> </w:t>
      </w:r>
      <w:r>
        <w:rPr>
          <w:rFonts w:cstheme="minorHAnsi"/>
          <w:color w:val="000000"/>
          <w:sz w:val="24"/>
          <w:szCs w:val="24"/>
          <w:lang w:val="el-GR"/>
        </w:rPr>
        <w:t>Πληροφοριών</w:t>
      </w:r>
      <w:r w:rsidR="00A5147D" w:rsidRPr="00391FED">
        <w:rPr>
          <w:rFonts w:eastAsia="Times New Roman" w:cstheme="minorHAnsi"/>
          <w:sz w:val="24"/>
          <w:szCs w:val="24"/>
          <w:lang w:val="el-GR" w:eastAsia="fr-FR"/>
        </w:rPr>
        <w:t xml:space="preserve"> </w:t>
      </w:r>
      <w:r>
        <w:rPr>
          <w:rFonts w:eastAsia="Times New Roman" w:cstheme="minorHAnsi"/>
          <w:sz w:val="24"/>
          <w:szCs w:val="24"/>
          <w:lang w:val="el-GR" w:eastAsia="fr-FR"/>
        </w:rPr>
        <w:t>και του Γραφείου Τύπου του Προέδρου της Δημοκρατίας</w:t>
      </w:r>
      <w:r w:rsidR="00A5147D" w:rsidRPr="00391FED">
        <w:rPr>
          <w:rFonts w:eastAsia="Times New Roman" w:cstheme="minorHAnsi"/>
          <w:sz w:val="24"/>
          <w:szCs w:val="24"/>
          <w:lang w:val="el-GR" w:eastAsia="fr-FR"/>
        </w:rPr>
        <w:t xml:space="preserve">. </w:t>
      </w:r>
      <w:r>
        <w:rPr>
          <w:rFonts w:eastAsia="Times New Roman" w:cstheme="minorHAnsi"/>
          <w:sz w:val="24"/>
          <w:szCs w:val="24"/>
          <w:lang w:val="el-GR" w:eastAsia="fr-FR"/>
        </w:rPr>
        <w:t>Αυτός</w:t>
      </w:r>
      <w:r w:rsidRPr="00391FED">
        <w:rPr>
          <w:rFonts w:eastAsia="Times New Roman" w:cstheme="minorHAnsi"/>
          <w:sz w:val="24"/>
          <w:szCs w:val="24"/>
          <w:lang w:val="el-GR" w:eastAsia="fr-FR"/>
        </w:rPr>
        <w:t>/</w:t>
      </w:r>
      <w:r>
        <w:rPr>
          <w:rFonts w:eastAsia="Times New Roman" w:cstheme="minorHAnsi"/>
          <w:sz w:val="24"/>
          <w:szCs w:val="24"/>
          <w:lang w:val="el-GR" w:eastAsia="fr-FR"/>
        </w:rPr>
        <w:t>ή</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είναι</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υπεύθυνος</w:t>
      </w:r>
      <w:r w:rsidRPr="00391FED">
        <w:rPr>
          <w:rFonts w:eastAsia="Times New Roman" w:cstheme="minorHAnsi"/>
          <w:sz w:val="24"/>
          <w:szCs w:val="24"/>
          <w:lang w:val="el-GR" w:eastAsia="fr-FR"/>
        </w:rPr>
        <w:t>/</w:t>
      </w:r>
      <w:r>
        <w:rPr>
          <w:rFonts w:eastAsia="Times New Roman" w:cstheme="minorHAnsi"/>
          <w:sz w:val="24"/>
          <w:szCs w:val="24"/>
          <w:lang w:val="el-GR" w:eastAsia="fr-FR"/>
        </w:rPr>
        <w:t>η</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για</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όλα</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τα</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θέματα</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που</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σχετίζονται</w:t>
      </w:r>
      <w:r w:rsidR="00A5147D" w:rsidRPr="00391FED">
        <w:rPr>
          <w:rFonts w:eastAsia="Times New Roman" w:cstheme="minorHAnsi"/>
          <w:sz w:val="24"/>
          <w:szCs w:val="24"/>
          <w:lang w:val="el-GR" w:eastAsia="fr-FR"/>
        </w:rPr>
        <w:t xml:space="preserve"> </w:t>
      </w:r>
      <w:r>
        <w:rPr>
          <w:rFonts w:eastAsia="Times New Roman" w:cstheme="minorHAnsi"/>
          <w:sz w:val="24"/>
          <w:szCs w:val="24"/>
          <w:lang w:val="el-GR" w:eastAsia="fr-FR"/>
        </w:rPr>
        <w:t>με</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την</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επικοινωνία</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της</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Κυβερνητικής</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πολιτικής</w:t>
      </w:r>
      <w:r w:rsidR="00A5147D"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που</w:t>
      </w:r>
      <w:r w:rsidR="00A5147D" w:rsidRPr="00391FED">
        <w:rPr>
          <w:rFonts w:eastAsia="Times New Roman" w:cstheme="minorHAnsi"/>
          <w:sz w:val="24"/>
          <w:szCs w:val="24"/>
          <w:lang w:val="el-GR" w:eastAsia="fr-FR"/>
        </w:rPr>
        <w:t xml:space="preserve"> </w:t>
      </w:r>
      <w:r>
        <w:rPr>
          <w:rFonts w:eastAsia="Times New Roman" w:cstheme="minorHAnsi"/>
          <w:sz w:val="24"/>
          <w:szCs w:val="24"/>
          <w:lang w:val="el-GR" w:eastAsia="fr-FR"/>
        </w:rPr>
        <w:t>ο</w:t>
      </w:r>
      <w:r w:rsidRPr="00391FED">
        <w:rPr>
          <w:rFonts w:eastAsia="Times New Roman" w:cstheme="minorHAnsi"/>
          <w:sz w:val="24"/>
          <w:szCs w:val="24"/>
          <w:lang w:val="el-GR" w:eastAsia="fr-FR"/>
        </w:rPr>
        <w:t>/</w:t>
      </w:r>
      <w:r>
        <w:rPr>
          <w:rFonts w:eastAsia="Times New Roman" w:cstheme="minorHAnsi"/>
          <w:sz w:val="24"/>
          <w:szCs w:val="24"/>
          <w:lang w:val="el-GR" w:eastAsia="fr-FR"/>
        </w:rPr>
        <w:t>η</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ίδιος</w:t>
      </w:r>
      <w:r w:rsidRPr="00391FED">
        <w:rPr>
          <w:rFonts w:eastAsia="Times New Roman" w:cstheme="minorHAnsi"/>
          <w:sz w:val="24"/>
          <w:szCs w:val="24"/>
          <w:lang w:val="el-GR" w:eastAsia="fr-FR"/>
        </w:rPr>
        <w:t>/</w:t>
      </w:r>
      <w:r>
        <w:rPr>
          <w:rFonts w:eastAsia="Times New Roman" w:cstheme="minorHAnsi"/>
          <w:sz w:val="24"/>
          <w:szCs w:val="24"/>
          <w:lang w:val="el-GR" w:eastAsia="fr-FR"/>
        </w:rPr>
        <w:t>α</w:t>
      </w:r>
      <w:r w:rsidR="00A5147D" w:rsidRPr="00391FED">
        <w:rPr>
          <w:rFonts w:eastAsia="Times New Roman" w:cstheme="minorHAnsi"/>
          <w:sz w:val="24"/>
          <w:szCs w:val="24"/>
          <w:lang w:val="el-GR" w:eastAsia="fr-FR"/>
        </w:rPr>
        <w:t xml:space="preserve"> </w:t>
      </w:r>
      <w:r>
        <w:rPr>
          <w:rFonts w:eastAsia="Times New Roman" w:cstheme="minorHAnsi"/>
          <w:sz w:val="24"/>
          <w:szCs w:val="24"/>
          <w:lang w:val="el-GR" w:eastAsia="fr-FR"/>
        </w:rPr>
        <w:t>επιβλέπει</w:t>
      </w:r>
      <w:r w:rsidR="00A5147D"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σε</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συνεργασία</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με</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τα</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μέλη</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του</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Υπουργικού</w:t>
      </w:r>
      <w:r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Συμβουλίου</w:t>
      </w:r>
      <w:r w:rsidR="00A5147D"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τον Γραμματέα του Υπουργικού Συμβουλίου</w:t>
      </w:r>
      <w:r w:rsidR="00A5147D"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τον Διευθυντή του Γραφείου Τύπου</w:t>
      </w:r>
      <w:r w:rsidR="00A5147D"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του Προέδρου της Δημοκρατίας</w:t>
      </w:r>
      <w:r w:rsidR="00A5147D" w:rsidRPr="00391FED">
        <w:rPr>
          <w:rFonts w:eastAsia="Times New Roman" w:cstheme="minorHAnsi"/>
          <w:sz w:val="24"/>
          <w:szCs w:val="24"/>
          <w:lang w:val="el-GR" w:eastAsia="fr-FR"/>
        </w:rPr>
        <w:t xml:space="preserve"> </w:t>
      </w:r>
      <w:r>
        <w:rPr>
          <w:rFonts w:eastAsia="Times New Roman" w:cstheme="minorHAnsi"/>
          <w:sz w:val="24"/>
          <w:szCs w:val="24"/>
          <w:lang w:val="el-GR" w:eastAsia="fr-FR"/>
        </w:rPr>
        <w:t>και το προσωπικό</w:t>
      </w:r>
      <w:r w:rsidR="00A5147D" w:rsidRPr="00391FED">
        <w:rPr>
          <w:rFonts w:eastAsia="Times New Roman" w:cstheme="minorHAnsi"/>
          <w:sz w:val="24"/>
          <w:szCs w:val="24"/>
          <w:lang w:val="el-GR" w:eastAsia="fr-FR"/>
        </w:rPr>
        <w:t xml:space="preserve"> </w:t>
      </w:r>
      <w:r>
        <w:rPr>
          <w:rFonts w:eastAsia="Times New Roman" w:cstheme="minorHAnsi"/>
          <w:sz w:val="24"/>
          <w:szCs w:val="24"/>
          <w:lang w:val="el-GR" w:eastAsia="fr-FR"/>
        </w:rPr>
        <w:t>του Γραφείου Τύπου και Πληροφοριών</w:t>
      </w:r>
      <w:r w:rsidR="00A5147D" w:rsidRPr="00391FED">
        <w:rPr>
          <w:rFonts w:eastAsia="Times New Roman" w:cstheme="minorHAnsi"/>
          <w:sz w:val="24"/>
          <w:szCs w:val="24"/>
          <w:lang w:val="el-GR" w:eastAsia="fr-FR"/>
        </w:rPr>
        <w:t xml:space="preserve">. </w:t>
      </w:r>
      <w:r w:rsidR="000838D3">
        <w:rPr>
          <w:rFonts w:eastAsia="Times New Roman" w:cstheme="minorHAnsi"/>
          <w:sz w:val="24"/>
          <w:szCs w:val="24"/>
          <w:lang w:val="el-GR" w:eastAsia="fr-FR"/>
        </w:rPr>
        <w:t>Αυτός</w:t>
      </w:r>
      <w:r w:rsidR="000838D3" w:rsidRPr="000838D3">
        <w:rPr>
          <w:rFonts w:eastAsia="Times New Roman" w:cstheme="minorHAnsi"/>
          <w:sz w:val="24"/>
          <w:szCs w:val="24"/>
          <w:lang w:val="el-GR" w:eastAsia="fr-FR"/>
        </w:rPr>
        <w:t>/</w:t>
      </w:r>
      <w:r w:rsidR="000838D3">
        <w:rPr>
          <w:rFonts w:eastAsia="Times New Roman" w:cstheme="minorHAnsi"/>
          <w:sz w:val="24"/>
          <w:szCs w:val="24"/>
          <w:lang w:val="el-GR" w:eastAsia="fr-FR"/>
        </w:rPr>
        <w:t>ή</w:t>
      </w:r>
      <w:r w:rsidR="000838D3" w:rsidRPr="000838D3">
        <w:rPr>
          <w:rFonts w:eastAsia="Times New Roman" w:cstheme="minorHAnsi"/>
          <w:sz w:val="24"/>
          <w:szCs w:val="24"/>
          <w:lang w:val="el-GR" w:eastAsia="fr-FR"/>
        </w:rPr>
        <w:t xml:space="preserve"> </w:t>
      </w:r>
      <w:r w:rsidR="00F04FD6">
        <w:rPr>
          <w:rFonts w:eastAsia="Times New Roman" w:cstheme="minorHAnsi"/>
          <w:sz w:val="24"/>
          <w:szCs w:val="24"/>
          <w:lang w:val="el-GR" w:eastAsia="fr-FR"/>
        </w:rPr>
        <w:t xml:space="preserve">παρευρίσκεται </w:t>
      </w:r>
      <w:r w:rsidR="000838D3">
        <w:rPr>
          <w:rFonts w:eastAsia="Times New Roman" w:cstheme="minorHAnsi"/>
          <w:sz w:val="24"/>
          <w:szCs w:val="24"/>
          <w:lang w:val="el-GR" w:eastAsia="fr-FR"/>
        </w:rPr>
        <w:t>στις</w:t>
      </w:r>
      <w:r w:rsidR="000838D3" w:rsidRPr="000838D3">
        <w:rPr>
          <w:rFonts w:eastAsia="Times New Roman" w:cstheme="minorHAnsi"/>
          <w:sz w:val="24"/>
          <w:szCs w:val="24"/>
          <w:lang w:val="el-GR" w:eastAsia="fr-FR"/>
        </w:rPr>
        <w:t xml:space="preserve"> </w:t>
      </w:r>
      <w:r w:rsidR="000838D3">
        <w:rPr>
          <w:rFonts w:eastAsia="Times New Roman" w:cstheme="minorHAnsi"/>
          <w:sz w:val="24"/>
          <w:szCs w:val="24"/>
          <w:lang w:val="el-GR" w:eastAsia="fr-FR"/>
        </w:rPr>
        <w:t>συνεδριάσεις</w:t>
      </w:r>
      <w:r w:rsidR="000838D3" w:rsidRPr="000838D3">
        <w:rPr>
          <w:rFonts w:eastAsia="Times New Roman" w:cstheme="minorHAnsi"/>
          <w:sz w:val="24"/>
          <w:szCs w:val="24"/>
          <w:lang w:val="el-GR" w:eastAsia="fr-FR"/>
        </w:rPr>
        <w:t xml:space="preserve"> </w:t>
      </w:r>
      <w:r w:rsidR="000838D3">
        <w:rPr>
          <w:rFonts w:eastAsia="Times New Roman" w:cstheme="minorHAnsi"/>
          <w:sz w:val="24"/>
          <w:szCs w:val="24"/>
          <w:lang w:val="el-GR" w:eastAsia="fr-FR"/>
        </w:rPr>
        <w:t>του</w:t>
      </w:r>
      <w:r w:rsidR="000838D3" w:rsidRPr="000838D3">
        <w:rPr>
          <w:rFonts w:eastAsia="Times New Roman" w:cstheme="minorHAnsi"/>
          <w:sz w:val="24"/>
          <w:szCs w:val="24"/>
          <w:lang w:val="el-GR" w:eastAsia="fr-FR"/>
        </w:rPr>
        <w:t xml:space="preserve"> </w:t>
      </w:r>
      <w:r w:rsidR="000838D3">
        <w:rPr>
          <w:rFonts w:eastAsia="Times New Roman" w:cstheme="minorHAnsi"/>
          <w:sz w:val="24"/>
          <w:szCs w:val="24"/>
          <w:lang w:val="el-GR" w:eastAsia="fr-FR"/>
        </w:rPr>
        <w:t>Υπουργικού</w:t>
      </w:r>
      <w:r w:rsidR="000838D3" w:rsidRPr="000838D3">
        <w:rPr>
          <w:rFonts w:eastAsia="Times New Roman" w:cstheme="minorHAnsi"/>
          <w:sz w:val="24"/>
          <w:szCs w:val="24"/>
          <w:lang w:val="el-GR" w:eastAsia="fr-FR"/>
        </w:rPr>
        <w:t xml:space="preserve"> </w:t>
      </w:r>
      <w:r w:rsidR="000838D3">
        <w:rPr>
          <w:rFonts w:eastAsia="Times New Roman" w:cstheme="minorHAnsi"/>
          <w:sz w:val="24"/>
          <w:szCs w:val="24"/>
          <w:lang w:val="el-GR" w:eastAsia="fr-FR"/>
        </w:rPr>
        <w:t>Συμβουλίου</w:t>
      </w:r>
      <w:r w:rsidR="00A5147D" w:rsidRPr="000838D3">
        <w:rPr>
          <w:rFonts w:eastAsia="Times New Roman" w:cstheme="minorHAnsi"/>
          <w:sz w:val="24"/>
          <w:szCs w:val="24"/>
          <w:lang w:val="el-GR" w:eastAsia="fr-FR"/>
        </w:rPr>
        <w:t xml:space="preserve"> </w:t>
      </w:r>
      <w:r w:rsidR="000838D3">
        <w:rPr>
          <w:rFonts w:eastAsia="Times New Roman" w:cstheme="minorHAnsi"/>
          <w:sz w:val="24"/>
          <w:szCs w:val="24"/>
          <w:lang w:val="el-GR" w:eastAsia="fr-FR"/>
        </w:rPr>
        <w:t xml:space="preserve">για να μπορέσει να </w:t>
      </w:r>
      <w:r w:rsidR="0050179B">
        <w:rPr>
          <w:rFonts w:eastAsia="Times New Roman" w:cstheme="minorHAnsi"/>
          <w:sz w:val="24"/>
          <w:szCs w:val="24"/>
          <w:lang w:val="el-GR" w:eastAsia="fr-FR"/>
        </w:rPr>
        <w:t>επικοινωνήσει τις αποφάσεις του κατευθείαν και αποτελεσματικά</w:t>
      </w:r>
      <w:r w:rsidR="00A5147D" w:rsidRPr="000838D3">
        <w:rPr>
          <w:rFonts w:eastAsia="Times New Roman" w:cstheme="minorHAnsi"/>
          <w:sz w:val="24"/>
          <w:szCs w:val="24"/>
          <w:lang w:val="el-GR" w:eastAsia="fr-FR"/>
        </w:rPr>
        <w:t xml:space="preserve">. </w:t>
      </w:r>
      <w:r w:rsidR="0050179B">
        <w:rPr>
          <w:rFonts w:eastAsia="Times New Roman" w:cstheme="minorHAnsi"/>
          <w:sz w:val="24"/>
          <w:szCs w:val="24"/>
          <w:lang w:val="el-GR" w:eastAsia="fr-FR"/>
        </w:rPr>
        <w:t>Το</w:t>
      </w:r>
      <w:r w:rsidR="0050179B" w:rsidRPr="0050179B">
        <w:rPr>
          <w:rFonts w:eastAsia="Times New Roman" w:cstheme="minorHAnsi"/>
          <w:sz w:val="24"/>
          <w:szCs w:val="24"/>
          <w:lang w:val="el-GR" w:eastAsia="fr-FR"/>
        </w:rPr>
        <w:t xml:space="preserve"> </w:t>
      </w:r>
      <w:r w:rsidR="0050179B">
        <w:rPr>
          <w:rFonts w:eastAsia="Times New Roman" w:cstheme="minorHAnsi"/>
          <w:sz w:val="24"/>
          <w:szCs w:val="24"/>
          <w:lang w:val="el-GR" w:eastAsia="fr-FR"/>
        </w:rPr>
        <w:t>καθεστώς</w:t>
      </w:r>
      <w:r w:rsidR="0050179B" w:rsidRPr="0050179B">
        <w:rPr>
          <w:rFonts w:eastAsia="Times New Roman" w:cstheme="minorHAnsi"/>
          <w:sz w:val="24"/>
          <w:szCs w:val="24"/>
          <w:lang w:val="el-GR" w:eastAsia="fr-FR"/>
        </w:rPr>
        <w:t xml:space="preserve"> </w:t>
      </w:r>
      <w:r w:rsidR="0050179B">
        <w:rPr>
          <w:rFonts w:eastAsia="Times New Roman" w:cstheme="minorHAnsi"/>
          <w:sz w:val="24"/>
          <w:szCs w:val="24"/>
          <w:lang w:val="el-GR" w:eastAsia="fr-FR"/>
        </w:rPr>
        <w:t>του</w:t>
      </w:r>
      <w:r w:rsidR="0050179B" w:rsidRPr="0050179B">
        <w:rPr>
          <w:rFonts w:eastAsia="Times New Roman" w:cstheme="minorHAnsi"/>
          <w:sz w:val="24"/>
          <w:szCs w:val="24"/>
          <w:lang w:val="el-GR" w:eastAsia="fr-FR"/>
        </w:rPr>
        <w:t>/</w:t>
      </w:r>
      <w:r w:rsidR="0050179B">
        <w:rPr>
          <w:rFonts w:eastAsia="Times New Roman" w:cstheme="minorHAnsi"/>
          <w:sz w:val="24"/>
          <w:szCs w:val="24"/>
          <w:lang w:val="el-GR" w:eastAsia="fr-FR"/>
        </w:rPr>
        <w:t>ης</w:t>
      </w:r>
      <w:r w:rsidR="00A5147D" w:rsidRPr="0050179B">
        <w:rPr>
          <w:rFonts w:eastAsia="Times New Roman" w:cstheme="minorHAnsi"/>
          <w:sz w:val="24"/>
          <w:szCs w:val="24"/>
          <w:lang w:val="el-GR" w:eastAsia="fr-FR"/>
        </w:rPr>
        <w:t xml:space="preserve"> </w:t>
      </w:r>
      <w:r w:rsidR="0050179B">
        <w:rPr>
          <w:rFonts w:eastAsia="Times New Roman" w:cstheme="minorHAnsi"/>
          <w:sz w:val="24"/>
          <w:szCs w:val="24"/>
          <w:lang w:val="el-GR" w:eastAsia="fr-FR"/>
        </w:rPr>
        <w:t>είναι ισότιμο με αυτό ενός υπουργού</w:t>
      </w:r>
      <w:r w:rsidR="00A5147D" w:rsidRPr="0050179B">
        <w:rPr>
          <w:rFonts w:eastAsia="Times New Roman" w:cstheme="minorHAnsi"/>
          <w:sz w:val="24"/>
          <w:szCs w:val="24"/>
          <w:lang w:val="el-GR" w:eastAsia="fr-FR"/>
        </w:rPr>
        <w:t xml:space="preserve">. </w:t>
      </w:r>
      <w:r w:rsidR="0050179B">
        <w:rPr>
          <w:rFonts w:eastAsia="Times New Roman" w:cstheme="minorHAnsi"/>
          <w:sz w:val="24"/>
          <w:szCs w:val="24"/>
          <w:lang w:val="el-GR" w:eastAsia="fr-FR"/>
        </w:rPr>
        <w:t>Ο</w:t>
      </w:r>
      <w:r w:rsidR="0050179B" w:rsidRPr="0050179B">
        <w:rPr>
          <w:rFonts w:eastAsia="Times New Roman" w:cstheme="minorHAnsi"/>
          <w:sz w:val="24"/>
          <w:szCs w:val="24"/>
          <w:lang w:val="el-GR" w:eastAsia="fr-FR"/>
        </w:rPr>
        <w:t>/</w:t>
      </w:r>
      <w:r w:rsidR="0050179B">
        <w:rPr>
          <w:rFonts w:eastAsia="Times New Roman" w:cstheme="minorHAnsi"/>
          <w:sz w:val="24"/>
          <w:szCs w:val="24"/>
          <w:lang w:val="el-GR" w:eastAsia="fr-FR"/>
        </w:rPr>
        <w:t>η</w:t>
      </w:r>
      <w:r w:rsidR="00A5147D" w:rsidRPr="0050179B">
        <w:rPr>
          <w:rFonts w:cstheme="minorHAnsi"/>
          <w:sz w:val="24"/>
          <w:szCs w:val="24"/>
          <w:lang w:val="el-GR"/>
        </w:rPr>
        <w:t xml:space="preserve"> </w:t>
      </w:r>
      <w:r w:rsidR="0050179B">
        <w:rPr>
          <w:rFonts w:cstheme="minorHAnsi"/>
          <w:sz w:val="24"/>
          <w:szCs w:val="24"/>
          <w:u w:val="single"/>
          <w:lang w:val="el-GR"/>
        </w:rPr>
        <w:t>Βοηθός</w:t>
      </w:r>
      <w:r w:rsidR="0050179B" w:rsidRPr="0050179B">
        <w:rPr>
          <w:rFonts w:cstheme="minorHAnsi"/>
          <w:sz w:val="24"/>
          <w:szCs w:val="24"/>
          <w:u w:val="single"/>
          <w:lang w:val="el-GR"/>
        </w:rPr>
        <w:t xml:space="preserve"> </w:t>
      </w:r>
      <w:r w:rsidR="0050179B">
        <w:rPr>
          <w:rFonts w:cstheme="minorHAnsi"/>
          <w:sz w:val="24"/>
          <w:szCs w:val="24"/>
          <w:u w:val="single"/>
          <w:lang w:val="el-GR"/>
        </w:rPr>
        <w:t>Κυβερνητικός</w:t>
      </w:r>
      <w:r w:rsidR="0050179B" w:rsidRPr="0050179B">
        <w:rPr>
          <w:rFonts w:cstheme="minorHAnsi"/>
          <w:sz w:val="24"/>
          <w:szCs w:val="24"/>
          <w:u w:val="single"/>
          <w:lang w:val="el-GR"/>
        </w:rPr>
        <w:t xml:space="preserve"> </w:t>
      </w:r>
      <w:r w:rsidR="0050179B">
        <w:rPr>
          <w:rFonts w:cstheme="minorHAnsi"/>
          <w:sz w:val="24"/>
          <w:szCs w:val="24"/>
          <w:u w:val="single"/>
          <w:lang w:val="el-GR"/>
        </w:rPr>
        <w:t>Εκπρόσωπος</w:t>
      </w:r>
      <w:r w:rsidR="00A5147D" w:rsidRPr="0050179B">
        <w:rPr>
          <w:rFonts w:cstheme="minorHAnsi"/>
          <w:sz w:val="24"/>
          <w:szCs w:val="24"/>
          <w:lang w:val="el-GR"/>
        </w:rPr>
        <w:t xml:space="preserve"> </w:t>
      </w:r>
      <w:r w:rsidR="0050179B">
        <w:rPr>
          <w:rFonts w:cstheme="minorHAnsi"/>
          <w:sz w:val="24"/>
          <w:szCs w:val="24"/>
          <w:lang w:val="el-GR"/>
        </w:rPr>
        <w:t>εξασκεί</w:t>
      </w:r>
      <w:r w:rsidR="0050179B" w:rsidRPr="0050179B">
        <w:rPr>
          <w:rFonts w:cstheme="minorHAnsi"/>
          <w:sz w:val="24"/>
          <w:szCs w:val="24"/>
          <w:lang w:val="el-GR"/>
        </w:rPr>
        <w:t xml:space="preserve"> </w:t>
      </w:r>
      <w:r w:rsidR="0050179B">
        <w:rPr>
          <w:rFonts w:cstheme="minorHAnsi"/>
          <w:sz w:val="24"/>
          <w:szCs w:val="24"/>
          <w:lang w:val="el-GR"/>
        </w:rPr>
        <w:t>τις</w:t>
      </w:r>
      <w:r w:rsidR="0050179B" w:rsidRPr="0050179B">
        <w:rPr>
          <w:rFonts w:cstheme="minorHAnsi"/>
          <w:sz w:val="24"/>
          <w:szCs w:val="24"/>
          <w:lang w:val="el-GR"/>
        </w:rPr>
        <w:t xml:space="preserve"> </w:t>
      </w:r>
      <w:r w:rsidR="0050179B">
        <w:rPr>
          <w:rFonts w:cstheme="minorHAnsi"/>
          <w:sz w:val="24"/>
          <w:szCs w:val="24"/>
          <w:lang w:val="el-GR"/>
        </w:rPr>
        <w:t>ευθύνες</w:t>
      </w:r>
      <w:r w:rsidR="0050179B" w:rsidRPr="0050179B">
        <w:rPr>
          <w:rFonts w:cstheme="minorHAnsi"/>
          <w:sz w:val="24"/>
          <w:szCs w:val="24"/>
          <w:lang w:val="el-GR"/>
        </w:rPr>
        <w:t xml:space="preserve"> </w:t>
      </w:r>
      <w:r w:rsidR="0050179B">
        <w:rPr>
          <w:rFonts w:cstheme="minorHAnsi"/>
          <w:sz w:val="24"/>
          <w:szCs w:val="24"/>
          <w:lang w:val="el-GR"/>
        </w:rPr>
        <w:t>που</w:t>
      </w:r>
      <w:r w:rsidR="0050179B" w:rsidRPr="0050179B">
        <w:rPr>
          <w:rFonts w:cstheme="minorHAnsi"/>
          <w:sz w:val="24"/>
          <w:szCs w:val="24"/>
          <w:lang w:val="el-GR"/>
        </w:rPr>
        <w:t xml:space="preserve"> </w:t>
      </w:r>
      <w:r w:rsidR="0050179B">
        <w:rPr>
          <w:rFonts w:cstheme="minorHAnsi"/>
          <w:sz w:val="24"/>
          <w:szCs w:val="24"/>
          <w:lang w:val="el-GR"/>
        </w:rPr>
        <w:t>ανατίθενται</w:t>
      </w:r>
      <w:r w:rsidR="0050179B" w:rsidRPr="0050179B">
        <w:rPr>
          <w:rFonts w:cstheme="minorHAnsi"/>
          <w:sz w:val="24"/>
          <w:szCs w:val="24"/>
          <w:lang w:val="el-GR"/>
        </w:rPr>
        <w:t xml:space="preserve"> </w:t>
      </w:r>
      <w:proofErr w:type="spellStart"/>
      <w:r w:rsidR="0050179B">
        <w:rPr>
          <w:rFonts w:cstheme="minorHAnsi"/>
          <w:sz w:val="24"/>
          <w:szCs w:val="24"/>
          <w:lang w:val="el-GR"/>
        </w:rPr>
        <w:t>σ</w:t>
      </w:r>
      <w:r w:rsidR="0050179B" w:rsidRPr="0050179B">
        <w:rPr>
          <w:rFonts w:cstheme="minorHAnsi"/>
          <w:sz w:val="24"/>
          <w:szCs w:val="24"/>
          <w:lang w:val="el-GR"/>
        </w:rPr>
        <w:t>’</w:t>
      </w:r>
      <w:r w:rsidR="0050179B">
        <w:rPr>
          <w:rFonts w:cstheme="minorHAnsi"/>
          <w:sz w:val="24"/>
          <w:szCs w:val="24"/>
          <w:lang w:val="el-GR"/>
        </w:rPr>
        <w:t>αυτόν</w:t>
      </w:r>
      <w:proofErr w:type="spellEnd"/>
      <w:r w:rsidR="0050179B" w:rsidRPr="0050179B">
        <w:rPr>
          <w:rFonts w:cstheme="minorHAnsi"/>
          <w:sz w:val="24"/>
          <w:szCs w:val="24"/>
          <w:lang w:val="el-GR"/>
        </w:rPr>
        <w:t>/</w:t>
      </w:r>
      <w:r w:rsidR="0050179B">
        <w:rPr>
          <w:rFonts w:cstheme="minorHAnsi"/>
          <w:sz w:val="24"/>
          <w:szCs w:val="24"/>
          <w:lang w:val="el-GR"/>
        </w:rPr>
        <w:t>ην</w:t>
      </w:r>
      <w:r w:rsidR="00A5147D" w:rsidRPr="0050179B">
        <w:rPr>
          <w:rFonts w:eastAsia="Times New Roman" w:cstheme="minorHAnsi"/>
          <w:sz w:val="24"/>
          <w:szCs w:val="24"/>
          <w:lang w:val="el-GR" w:eastAsia="fr-FR"/>
        </w:rPr>
        <w:t xml:space="preserve"> </w:t>
      </w:r>
      <w:r w:rsidR="0050179B">
        <w:rPr>
          <w:rFonts w:eastAsia="Times New Roman" w:cstheme="minorHAnsi"/>
          <w:sz w:val="24"/>
          <w:szCs w:val="24"/>
          <w:lang w:val="el-GR" w:eastAsia="fr-FR"/>
        </w:rPr>
        <w:t>από τον Πρόεδρο και τον Κυβερνητικό Εκπρόσωπο</w:t>
      </w:r>
      <w:r w:rsidR="00A5147D" w:rsidRPr="0050179B">
        <w:rPr>
          <w:rFonts w:eastAsia="Times New Roman" w:cstheme="minorHAnsi"/>
          <w:sz w:val="24"/>
          <w:szCs w:val="24"/>
          <w:lang w:val="el-GR" w:eastAsia="fr-FR"/>
        </w:rPr>
        <w:t xml:space="preserve">, </w:t>
      </w:r>
      <w:r w:rsidR="0050179B">
        <w:rPr>
          <w:rFonts w:eastAsia="Times New Roman" w:cstheme="minorHAnsi"/>
          <w:sz w:val="24"/>
          <w:szCs w:val="24"/>
          <w:lang w:val="el-GR" w:eastAsia="fr-FR"/>
        </w:rPr>
        <w:t>στον/ην οποίο/α λογοδοτεί</w:t>
      </w:r>
      <w:r w:rsidR="00A5147D" w:rsidRPr="0050179B">
        <w:rPr>
          <w:rFonts w:eastAsia="Times New Roman" w:cstheme="minorHAnsi"/>
          <w:sz w:val="24"/>
          <w:szCs w:val="24"/>
          <w:lang w:val="el-GR" w:eastAsia="fr-FR"/>
        </w:rPr>
        <w:t>.</w:t>
      </w:r>
    </w:p>
    <w:p w14:paraId="2EF7E3B5" w14:textId="77777777" w:rsidR="00A5147D" w:rsidRPr="0050179B" w:rsidRDefault="00A5147D" w:rsidP="00A5147D">
      <w:pPr>
        <w:rPr>
          <w:rFonts w:cstheme="minorHAnsi"/>
          <w:sz w:val="24"/>
          <w:szCs w:val="24"/>
          <w:lang w:val="el-GR"/>
        </w:rPr>
      </w:pPr>
    </w:p>
    <w:p w14:paraId="76E7632E" w14:textId="3678A050" w:rsidR="00A5147D" w:rsidRPr="00312B73" w:rsidRDefault="0050179B"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Ο</w:t>
      </w:r>
      <w:r w:rsidRPr="0050179B">
        <w:rPr>
          <w:rFonts w:cstheme="minorHAnsi"/>
          <w:sz w:val="24"/>
          <w:szCs w:val="24"/>
          <w:lang w:val="el-GR"/>
        </w:rPr>
        <w:t>/</w:t>
      </w:r>
      <w:r>
        <w:rPr>
          <w:rFonts w:cstheme="minorHAnsi"/>
          <w:sz w:val="24"/>
          <w:szCs w:val="24"/>
          <w:lang w:val="el-GR"/>
        </w:rPr>
        <w:t>η</w:t>
      </w:r>
      <w:r w:rsidRPr="0050179B">
        <w:rPr>
          <w:rFonts w:cstheme="minorHAnsi"/>
          <w:sz w:val="24"/>
          <w:szCs w:val="24"/>
          <w:lang w:val="el-GR"/>
        </w:rPr>
        <w:t xml:space="preserve"> </w:t>
      </w:r>
      <w:r>
        <w:rPr>
          <w:rFonts w:cstheme="minorHAnsi"/>
          <w:sz w:val="24"/>
          <w:szCs w:val="24"/>
          <w:u w:val="single"/>
          <w:lang w:val="el-GR"/>
        </w:rPr>
        <w:t>Διευθυντής</w:t>
      </w:r>
      <w:r w:rsidRPr="0050179B">
        <w:rPr>
          <w:rFonts w:cstheme="minorHAnsi"/>
          <w:sz w:val="24"/>
          <w:szCs w:val="24"/>
          <w:u w:val="single"/>
          <w:lang w:val="el-GR"/>
        </w:rPr>
        <w:t>/</w:t>
      </w:r>
      <w:proofErr w:type="spellStart"/>
      <w:r>
        <w:rPr>
          <w:rFonts w:cstheme="minorHAnsi"/>
          <w:sz w:val="24"/>
          <w:szCs w:val="24"/>
          <w:u w:val="single"/>
          <w:lang w:val="el-GR"/>
        </w:rPr>
        <w:t>ρια</w:t>
      </w:r>
      <w:proofErr w:type="spellEnd"/>
      <w:r w:rsidRPr="0050179B">
        <w:rPr>
          <w:rFonts w:cstheme="minorHAnsi"/>
          <w:sz w:val="24"/>
          <w:szCs w:val="24"/>
          <w:u w:val="single"/>
          <w:lang w:val="el-GR"/>
        </w:rPr>
        <w:t xml:space="preserve"> </w:t>
      </w:r>
      <w:r>
        <w:rPr>
          <w:rFonts w:cstheme="minorHAnsi"/>
          <w:sz w:val="24"/>
          <w:szCs w:val="24"/>
          <w:u w:val="single"/>
          <w:lang w:val="el-GR"/>
        </w:rPr>
        <w:t>του</w:t>
      </w:r>
      <w:r w:rsidRPr="0050179B">
        <w:rPr>
          <w:rFonts w:cstheme="minorHAnsi"/>
          <w:sz w:val="24"/>
          <w:szCs w:val="24"/>
          <w:u w:val="single"/>
          <w:lang w:val="el-GR"/>
        </w:rPr>
        <w:t xml:space="preserve"> </w:t>
      </w:r>
      <w:r>
        <w:rPr>
          <w:rFonts w:cstheme="minorHAnsi"/>
          <w:sz w:val="24"/>
          <w:szCs w:val="24"/>
          <w:u w:val="single"/>
          <w:lang w:val="el-GR"/>
        </w:rPr>
        <w:t>Γραφείου</w:t>
      </w:r>
      <w:r w:rsidRPr="0050179B">
        <w:rPr>
          <w:rFonts w:cstheme="minorHAnsi"/>
          <w:sz w:val="24"/>
          <w:szCs w:val="24"/>
          <w:u w:val="single"/>
          <w:lang w:val="el-GR"/>
        </w:rPr>
        <w:t xml:space="preserve"> </w:t>
      </w:r>
      <w:r>
        <w:rPr>
          <w:rFonts w:cstheme="minorHAnsi"/>
          <w:sz w:val="24"/>
          <w:szCs w:val="24"/>
          <w:u w:val="single"/>
          <w:lang w:val="el-GR"/>
        </w:rPr>
        <w:t>του</w:t>
      </w:r>
      <w:r w:rsidRPr="0050179B">
        <w:rPr>
          <w:rFonts w:cstheme="minorHAnsi"/>
          <w:sz w:val="24"/>
          <w:szCs w:val="24"/>
          <w:u w:val="single"/>
          <w:lang w:val="el-GR"/>
        </w:rPr>
        <w:t xml:space="preserve"> </w:t>
      </w:r>
      <w:r>
        <w:rPr>
          <w:rFonts w:cstheme="minorHAnsi"/>
          <w:sz w:val="24"/>
          <w:szCs w:val="24"/>
          <w:u w:val="single"/>
          <w:lang w:val="el-GR"/>
        </w:rPr>
        <w:t>Προέδρου</w:t>
      </w:r>
      <w:r w:rsidR="00A5147D" w:rsidRPr="0050179B">
        <w:rPr>
          <w:rFonts w:cstheme="minorHAnsi"/>
          <w:sz w:val="24"/>
          <w:szCs w:val="24"/>
          <w:lang w:val="el-GR"/>
        </w:rPr>
        <w:t xml:space="preserve"> </w:t>
      </w:r>
      <w:bookmarkStart w:id="42" w:name="_Hlk132888031"/>
      <w:r w:rsidR="00432515">
        <w:rPr>
          <w:rFonts w:cstheme="minorHAnsi"/>
          <w:sz w:val="24"/>
          <w:szCs w:val="24"/>
          <w:lang w:val="el-GR"/>
        </w:rPr>
        <w:t xml:space="preserve">στην παρούσα φάση </w:t>
      </w:r>
      <w:r>
        <w:rPr>
          <w:rFonts w:cstheme="minorHAnsi"/>
          <w:sz w:val="24"/>
          <w:szCs w:val="24"/>
          <w:lang w:val="el-GR"/>
        </w:rPr>
        <w:t>είναι διορισμένος/η</w:t>
      </w:r>
      <w:r w:rsidR="00432515">
        <w:rPr>
          <w:rFonts w:cstheme="minorHAnsi"/>
          <w:sz w:val="24"/>
          <w:szCs w:val="24"/>
          <w:lang w:val="el-GR"/>
        </w:rPr>
        <w:t xml:space="preserve"> πολιτικά</w:t>
      </w:r>
      <w:r w:rsidR="001628C9" w:rsidRPr="0050179B">
        <w:rPr>
          <w:rFonts w:cstheme="minorHAnsi"/>
          <w:sz w:val="24"/>
          <w:szCs w:val="24"/>
          <w:lang w:val="el-GR"/>
        </w:rPr>
        <w:t xml:space="preserve">. </w:t>
      </w:r>
      <w:r>
        <w:rPr>
          <w:rFonts w:cstheme="minorHAnsi"/>
          <w:sz w:val="24"/>
          <w:szCs w:val="24"/>
          <w:lang w:val="el-GR"/>
        </w:rPr>
        <w:t>Ωστόσο</w:t>
      </w:r>
      <w:r w:rsidR="001628C9" w:rsidRPr="0050179B">
        <w:rPr>
          <w:rFonts w:cstheme="minorHAnsi"/>
          <w:sz w:val="24"/>
          <w:szCs w:val="24"/>
          <w:lang w:val="el-GR"/>
        </w:rPr>
        <w:t xml:space="preserve">, </w:t>
      </w:r>
      <w:r>
        <w:rPr>
          <w:rFonts w:cstheme="minorHAnsi"/>
          <w:sz w:val="24"/>
          <w:szCs w:val="24"/>
          <w:lang w:val="el-GR"/>
        </w:rPr>
        <w:t xml:space="preserve">η θέση </w:t>
      </w:r>
      <w:r w:rsidR="00432515">
        <w:rPr>
          <w:rFonts w:cstheme="minorHAnsi"/>
          <w:sz w:val="24"/>
          <w:szCs w:val="24"/>
          <w:lang w:val="el-GR"/>
        </w:rPr>
        <w:t xml:space="preserve">δύναται να πληρωθεί </w:t>
      </w:r>
      <w:r>
        <w:rPr>
          <w:rFonts w:cstheme="minorHAnsi"/>
          <w:sz w:val="24"/>
          <w:szCs w:val="24"/>
          <w:lang w:val="el-GR"/>
        </w:rPr>
        <w:t xml:space="preserve">μέσω απόσπασης ενός/μιας </w:t>
      </w:r>
      <w:r w:rsidR="0020754C">
        <w:rPr>
          <w:rFonts w:cstheme="minorHAnsi"/>
          <w:sz w:val="24"/>
          <w:szCs w:val="24"/>
          <w:lang w:val="el-GR"/>
        </w:rPr>
        <w:t>δημοσίου</w:t>
      </w:r>
      <w:r>
        <w:rPr>
          <w:rFonts w:cstheme="minorHAnsi"/>
          <w:sz w:val="24"/>
          <w:szCs w:val="24"/>
          <w:lang w:val="el-GR"/>
        </w:rPr>
        <w:t xml:space="preserve"> υπαλλήλου</w:t>
      </w:r>
      <w:r w:rsidR="001628C9" w:rsidRPr="0050179B">
        <w:rPr>
          <w:rFonts w:cstheme="minorHAnsi"/>
          <w:sz w:val="24"/>
          <w:szCs w:val="24"/>
          <w:lang w:val="el-GR"/>
        </w:rPr>
        <w:t xml:space="preserve">. </w:t>
      </w:r>
      <w:bookmarkEnd w:id="42"/>
      <w:r>
        <w:rPr>
          <w:rFonts w:cstheme="minorHAnsi"/>
          <w:sz w:val="24"/>
          <w:szCs w:val="24"/>
          <w:lang w:val="el-GR"/>
        </w:rPr>
        <w:t>Ο</w:t>
      </w:r>
      <w:r w:rsidRPr="0050179B">
        <w:rPr>
          <w:rFonts w:cstheme="minorHAnsi"/>
          <w:sz w:val="24"/>
          <w:szCs w:val="24"/>
          <w:lang w:val="el-GR"/>
        </w:rPr>
        <w:t>/</w:t>
      </w:r>
      <w:r>
        <w:rPr>
          <w:rFonts w:cstheme="minorHAnsi"/>
          <w:sz w:val="24"/>
          <w:szCs w:val="24"/>
          <w:lang w:val="el-GR"/>
        </w:rPr>
        <w:t>Η</w:t>
      </w:r>
      <w:r w:rsidRPr="0050179B">
        <w:rPr>
          <w:rFonts w:cstheme="minorHAnsi"/>
          <w:sz w:val="24"/>
          <w:szCs w:val="24"/>
          <w:lang w:val="el-GR"/>
        </w:rPr>
        <w:t xml:space="preserve"> </w:t>
      </w:r>
      <w:r>
        <w:rPr>
          <w:rFonts w:cstheme="minorHAnsi"/>
          <w:sz w:val="24"/>
          <w:szCs w:val="24"/>
          <w:lang w:val="el-GR"/>
        </w:rPr>
        <w:t>Διευθυντής</w:t>
      </w:r>
      <w:r w:rsidRPr="0050179B">
        <w:rPr>
          <w:rFonts w:cstheme="minorHAnsi"/>
          <w:sz w:val="24"/>
          <w:szCs w:val="24"/>
          <w:lang w:val="el-GR"/>
        </w:rPr>
        <w:t>/</w:t>
      </w:r>
      <w:proofErr w:type="spellStart"/>
      <w:r>
        <w:rPr>
          <w:rFonts w:cstheme="minorHAnsi"/>
          <w:sz w:val="24"/>
          <w:szCs w:val="24"/>
          <w:lang w:val="el-GR"/>
        </w:rPr>
        <w:t>ρια</w:t>
      </w:r>
      <w:proofErr w:type="spellEnd"/>
      <w:r w:rsidR="00A5147D" w:rsidRPr="0050179B">
        <w:rPr>
          <w:rFonts w:cstheme="minorHAnsi"/>
          <w:sz w:val="24"/>
          <w:szCs w:val="24"/>
          <w:lang w:val="el-GR"/>
        </w:rPr>
        <w:t xml:space="preserve"> </w:t>
      </w:r>
      <w:r>
        <w:rPr>
          <w:rFonts w:cstheme="minorHAnsi"/>
          <w:sz w:val="24"/>
          <w:szCs w:val="24"/>
          <w:lang w:val="el-GR"/>
        </w:rPr>
        <w:t>υπογράφει</w:t>
      </w:r>
      <w:r w:rsidRPr="0050179B">
        <w:rPr>
          <w:rFonts w:cstheme="minorHAnsi"/>
          <w:sz w:val="24"/>
          <w:szCs w:val="24"/>
          <w:lang w:val="el-GR"/>
        </w:rPr>
        <w:t xml:space="preserve"> </w:t>
      </w:r>
      <w:r w:rsidR="00F27FF2">
        <w:rPr>
          <w:rFonts w:cstheme="minorHAnsi"/>
          <w:sz w:val="24"/>
          <w:szCs w:val="24"/>
          <w:lang w:val="el-GR"/>
        </w:rPr>
        <w:t>Χ</w:t>
      </w:r>
      <w:r w:rsidR="00432515">
        <w:rPr>
          <w:rFonts w:cstheme="minorHAnsi"/>
          <w:sz w:val="24"/>
          <w:szCs w:val="24"/>
          <w:lang w:val="el-GR"/>
        </w:rPr>
        <w:t xml:space="preserve">άρτα δεοντολογίας κατά τον </w:t>
      </w:r>
      <w:r>
        <w:rPr>
          <w:rFonts w:cstheme="minorHAnsi"/>
          <w:sz w:val="24"/>
          <w:szCs w:val="24"/>
          <w:lang w:val="el-GR"/>
        </w:rPr>
        <w:t>διορισμ</w:t>
      </w:r>
      <w:r w:rsidR="00432515">
        <w:rPr>
          <w:rFonts w:cstheme="minorHAnsi"/>
          <w:sz w:val="24"/>
          <w:szCs w:val="24"/>
          <w:lang w:val="el-GR"/>
        </w:rPr>
        <w:t>ό</w:t>
      </w:r>
      <w:r w:rsidR="00A5147D" w:rsidRPr="0050179B">
        <w:rPr>
          <w:rFonts w:cstheme="minorHAnsi"/>
          <w:sz w:val="24"/>
          <w:szCs w:val="24"/>
          <w:lang w:val="el-GR"/>
        </w:rPr>
        <w:t xml:space="preserve">. </w:t>
      </w:r>
      <w:r>
        <w:rPr>
          <w:rFonts w:cstheme="minorHAnsi"/>
          <w:sz w:val="24"/>
          <w:szCs w:val="24"/>
          <w:lang w:val="el-GR"/>
        </w:rPr>
        <w:t>Οι</w:t>
      </w:r>
      <w:r w:rsidRPr="00312B73">
        <w:rPr>
          <w:rFonts w:cstheme="minorHAnsi"/>
          <w:sz w:val="24"/>
          <w:szCs w:val="24"/>
          <w:lang w:val="el-GR"/>
        </w:rPr>
        <w:t xml:space="preserve"> </w:t>
      </w:r>
      <w:r>
        <w:rPr>
          <w:rFonts w:cstheme="minorHAnsi"/>
          <w:sz w:val="24"/>
          <w:szCs w:val="24"/>
          <w:lang w:val="el-GR"/>
        </w:rPr>
        <w:t>ευθύνες</w:t>
      </w:r>
      <w:r w:rsidRPr="00312B73">
        <w:rPr>
          <w:rFonts w:cstheme="minorHAnsi"/>
          <w:sz w:val="24"/>
          <w:szCs w:val="24"/>
          <w:lang w:val="el-GR"/>
        </w:rPr>
        <w:t xml:space="preserve"> </w:t>
      </w:r>
      <w:r>
        <w:rPr>
          <w:rFonts w:cstheme="minorHAnsi"/>
          <w:sz w:val="24"/>
          <w:szCs w:val="24"/>
          <w:lang w:val="el-GR"/>
        </w:rPr>
        <w:t>του</w:t>
      </w:r>
      <w:r w:rsidRPr="00312B73">
        <w:rPr>
          <w:rFonts w:cstheme="minorHAnsi"/>
          <w:sz w:val="24"/>
          <w:szCs w:val="24"/>
          <w:lang w:val="el-GR"/>
        </w:rPr>
        <w:t>/</w:t>
      </w:r>
      <w:r>
        <w:rPr>
          <w:rFonts w:cstheme="minorHAnsi"/>
          <w:sz w:val="24"/>
          <w:szCs w:val="24"/>
          <w:lang w:val="el-GR"/>
        </w:rPr>
        <w:t>ης</w:t>
      </w:r>
      <w:r w:rsidR="00A5147D" w:rsidRPr="00312B73">
        <w:rPr>
          <w:rFonts w:cstheme="minorHAnsi"/>
          <w:sz w:val="24"/>
          <w:szCs w:val="24"/>
          <w:lang w:val="el-GR"/>
        </w:rPr>
        <w:t xml:space="preserve"> </w:t>
      </w:r>
      <w:r w:rsidR="00432515">
        <w:rPr>
          <w:rFonts w:cstheme="minorHAnsi"/>
          <w:sz w:val="24"/>
          <w:szCs w:val="24"/>
          <w:lang w:val="el-GR"/>
        </w:rPr>
        <w:t xml:space="preserve">καθορίζονται </w:t>
      </w:r>
      <w:r w:rsidR="00312B73">
        <w:rPr>
          <w:rFonts w:cstheme="minorHAnsi"/>
          <w:sz w:val="24"/>
          <w:szCs w:val="24"/>
          <w:lang w:val="el-GR"/>
        </w:rPr>
        <w:t>στην</w:t>
      </w:r>
      <w:r w:rsidR="00312B73" w:rsidRPr="00312B73">
        <w:rPr>
          <w:rFonts w:cstheme="minorHAnsi"/>
          <w:sz w:val="24"/>
          <w:szCs w:val="24"/>
          <w:lang w:val="el-GR"/>
        </w:rPr>
        <w:t xml:space="preserve"> </w:t>
      </w:r>
      <w:r w:rsidR="00312B73">
        <w:rPr>
          <w:rFonts w:cstheme="minorHAnsi"/>
          <w:sz w:val="24"/>
          <w:szCs w:val="24"/>
          <w:lang w:val="el-GR"/>
        </w:rPr>
        <w:t>επισ</w:t>
      </w:r>
      <w:r w:rsidR="002D38FD">
        <w:rPr>
          <w:rFonts w:cstheme="minorHAnsi"/>
          <w:sz w:val="24"/>
          <w:szCs w:val="24"/>
          <w:lang w:val="el-GR"/>
        </w:rPr>
        <w:t>τ</w:t>
      </w:r>
      <w:r w:rsidR="00312B73">
        <w:rPr>
          <w:rFonts w:cstheme="minorHAnsi"/>
          <w:sz w:val="24"/>
          <w:szCs w:val="24"/>
          <w:lang w:val="el-GR"/>
        </w:rPr>
        <w:t>ολή</w:t>
      </w:r>
      <w:r w:rsidR="00312B73" w:rsidRPr="00312B73">
        <w:rPr>
          <w:rFonts w:cstheme="minorHAnsi"/>
          <w:sz w:val="24"/>
          <w:szCs w:val="24"/>
          <w:lang w:val="el-GR"/>
        </w:rPr>
        <w:t xml:space="preserve"> </w:t>
      </w:r>
      <w:r w:rsidR="00312B73">
        <w:rPr>
          <w:rFonts w:cstheme="minorHAnsi"/>
          <w:sz w:val="24"/>
          <w:szCs w:val="24"/>
          <w:lang w:val="el-GR"/>
        </w:rPr>
        <w:t>διορισμού του/ης</w:t>
      </w:r>
      <w:r w:rsidR="00A5147D" w:rsidRPr="00312B73">
        <w:rPr>
          <w:rFonts w:cstheme="minorHAnsi"/>
          <w:sz w:val="24"/>
          <w:szCs w:val="24"/>
          <w:lang w:val="el-GR"/>
        </w:rPr>
        <w:t xml:space="preserve"> </w:t>
      </w:r>
      <w:r w:rsidR="00432515">
        <w:rPr>
          <w:rFonts w:cstheme="minorHAnsi"/>
          <w:sz w:val="24"/>
          <w:szCs w:val="24"/>
          <w:lang w:val="el-GR"/>
        </w:rPr>
        <w:t xml:space="preserve">η οποία είναι </w:t>
      </w:r>
      <w:r w:rsidR="00312B73">
        <w:rPr>
          <w:rFonts w:cstheme="minorHAnsi"/>
          <w:sz w:val="24"/>
          <w:szCs w:val="24"/>
          <w:lang w:val="el-GR"/>
        </w:rPr>
        <w:t>υπογραμμένη από τον Πρόεδρο της Δημοκρατίας</w:t>
      </w:r>
      <w:r w:rsidR="00A5147D" w:rsidRPr="00312B73">
        <w:rPr>
          <w:rFonts w:cstheme="minorHAnsi"/>
          <w:sz w:val="24"/>
          <w:szCs w:val="24"/>
          <w:lang w:val="el-GR"/>
        </w:rPr>
        <w:t xml:space="preserve">. </w:t>
      </w:r>
      <w:r w:rsidR="00312B73">
        <w:rPr>
          <w:rFonts w:cstheme="minorHAnsi"/>
          <w:sz w:val="24"/>
          <w:szCs w:val="24"/>
          <w:lang w:val="el-GR"/>
        </w:rPr>
        <w:t>Αυτές</w:t>
      </w:r>
      <w:r w:rsidR="00312B73" w:rsidRPr="00312B73">
        <w:rPr>
          <w:rFonts w:cstheme="minorHAnsi"/>
          <w:sz w:val="24"/>
          <w:szCs w:val="24"/>
          <w:lang w:val="el-GR"/>
        </w:rPr>
        <w:t xml:space="preserve"> </w:t>
      </w:r>
      <w:r w:rsidR="00312B73">
        <w:rPr>
          <w:rFonts w:cstheme="minorHAnsi"/>
          <w:sz w:val="24"/>
          <w:szCs w:val="24"/>
          <w:lang w:val="el-GR"/>
        </w:rPr>
        <w:t>περιλαμβάνουν</w:t>
      </w:r>
      <w:r w:rsidR="00A5147D" w:rsidRPr="00312B73">
        <w:rPr>
          <w:rFonts w:cstheme="minorHAnsi"/>
          <w:sz w:val="24"/>
          <w:szCs w:val="24"/>
          <w:lang w:val="el-GR"/>
        </w:rPr>
        <w:t xml:space="preserve"> </w:t>
      </w:r>
      <w:r w:rsidR="00312B73">
        <w:rPr>
          <w:rFonts w:cstheme="minorHAnsi"/>
          <w:sz w:val="24"/>
          <w:szCs w:val="24"/>
          <w:lang w:val="el-GR"/>
        </w:rPr>
        <w:t>τον</w:t>
      </w:r>
      <w:r w:rsidR="00312B73" w:rsidRPr="00312B73">
        <w:rPr>
          <w:rFonts w:cstheme="minorHAnsi"/>
          <w:sz w:val="24"/>
          <w:szCs w:val="24"/>
          <w:lang w:val="el-GR"/>
        </w:rPr>
        <w:t xml:space="preserve"> </w:t>
      </w:r>
      <w:r w:rsidR="00312B73">
        <w:rPr>
          <w:rFonts w:cstheme="minorHAnsi"/>
          <w:sz w:val="24"/>
          <w:szCs w:val="24"/>
          <w:lang w:val="el-GR"/>
        </w:rPr>
        <w:t>συντονισμό</w:t>
      </w:r>
      <w:r w:rsidR="00A5147D" w:rsidRPr="00312B73">
        <w:rPr>
          <w:rFonts w:cstheme="minorHAnsi"/>
          <w:sz w:val="24"/>
          <w:szCs w:val="24"/>
          <w:lang w:val="el-GR"/>
        </w:rPr>
        <w:t xml:space="preserve"> </w:t>
      </w:r>
      <w:r w:rsidR="00312B73">
        <w:rPr>
          <w:rFonts w:cstheme="minorHAnsi"/>
          <w:sz w:val="24"/>
          <w:szCs w:val="24"/>
          <w:lang w:val="el-GR"/>
        </w:rPr>
        <w:t>και</w:t>
      </w:r>
      <w:r w:rsidR="00312B73" w:rsidRPr="00312B73">
        <w:rPr>
          <w:rFonts w:cstheme="minorHAnsi"/>
          <w:sz w:val="24"/>
          <w:szCs w:val="24"/>
          <w:lang w:val="el-GR"/>
        </w:rPr>
        <w:t xml:space="preserve"> </w:t>
      </w:r>
      <w:r w:rsidR="00432515">
        <w:rPr>
          <w:rFonts w:cstheme="minorHAnsi"/>
          <w:sz w:val="24"/>
          <w:szCs w:val="24"/>
          <w:lang w:val="el-GR"/>
        </w:rPr>
        <w:t xml:space="preserve">την επίβλεψη </w:t>
      </w:r>
      <w:r w:rsidR="00312B73">
        <w:rPr>
          <w:rFonts w:cstheme="minorHAnsi"/>
          <w:sz w:val="24"/>
          <w:szCs w:val="24"/>
          <w:lang w:val="el-GR"/>
        </w:rPr>
        <w:t>της</w:t>
      </w:r>
      <w:r w:rsidR="00312B73" w:rsidRPr="00312B73">
        <w:rPr>
          <w:rFonts w:cstheme="minorHAnsi"/>
          <w:sz w:val="24"/>
          <w:szCs w:val="24"/>
          <w:lang w:val="el-GR"/>
        </w:rPr>
        <w:t xml:space="preserve"> </w:t>
      </w:r>
      <w:r w:rsidR="00432515">
        <w:rPr>
          <w:rFonts w:cstheme="minorHAnsi"/>
          <w:sz w:val="24"/>
          <w:szCs w:val="24"/>
          <w:lang w:val="el-GR"/>
        </w:rPr>
        <w:t>προ</w:t>
      </w:r>
      <w:r w:rsidR="00312B73">
        <w:rPr>
          <w:rFonts w:cstheme="minorHAnsi"/>
          <w:sz w:val="24"/>
          <w:szCs w:val="24"/>
          <w:lang w:val="el-GR"/>
        </w:rPr>
        <w:t>ετοιμασίας</w:t>
      </w:r>
      <w:r w:rsidR="00312B73" w:rsidRPr="00312B73">
        <w:rPr>
          <w:rFonts w:cstheme="minorHAnsi"/>
          <w:sz w:val="24"/>
          <w:szCs w:val="24"/>
          <w:lang w:val="el-GR"/>
        </w:rPr>
        <w:t xml:space="preserve"> </w:t>
      </w:r>
      <w:r w:rsidR="00312B73">
        <w:rPr>
          <w:rFonts w:cstheme="minorHAnsi"/>
          <w:sz w:val="24"/>
          <w:szCs w:val="24"/>
          <w:lang w:val="el-GR"/>
        </w:rPr>
        <w:t>των</w:t>
      </w:r>
      <w:r w:rsidR="00312B73" w:rsidRPr="00312B73">
        <w:rPr>
          <w:rFonts w:cstheme="minorHAnsi"/>
          <w:sz w:val="24"/>
          <w:szCs w:val="24"/>
          <w:lang w:val="el-GR"/>
        </w:rPr>
        <w:t xml:space="preserve"> </w:t>
      </w:r>
      <w:r w:rsidR="00432515">
        <w:rPr>
          <w:rFonts w:cstheme="minorHAnsi"/>
          <w:sz w:val="24"/>
          <w:szCs w:val="24"/>
          <w:lang w:val="el-GR"/>
        </w:rPr>
        <w:t xml:space="preserve">συναντήσεων </w:t>
      </w:r>
      <w:r w:rsidR="00312B73">
        <w:rPr>
          <w:rFonts w:cstheme="minorHAnsi"/>
          <w:sz w:val="24"/>
          <w:szCs w:val="24"/>
          <w:lang w:val="el-GR"/>
        </w:rPr>
        <w:t>του</w:t>
      </w:r>
      <w:r w:rsidR="00312B73" w:rsidRPr="00312B73">
        <w:rPr>
          <w:rFonts w:cstheme="minorHAnsi"/>
          <w:sz w:val="24"/>
          <w:szCs w:val="24"/>
          <w:lang w:val="el-GR"/>
        </w:rPr>
        <w:t xml:space="preserve"> </w:t>
      </w:r>
      <w:r w:rsidR="00312B73">
        <w:rPr>
          <w:rFonts w:cstheme="minorHAnsi"/>
          <w:sz w:val="24"/>
          <w:szCs w:val="24"/>
          <w:lang w:val="el-GR"/>
        </w:rPr>
        <w:t>Προέδρου</w:t>
      </w:r>
      <w:r w:rsidR="00312B73" w:rsidRPr="00312B73">
        <w:rPr>
          <w:rFonts w:cstheme="minorHAnsi"/>
          <w:sz w:val="24"/>
          <w:szCs w:val="24"/>
          <w:lang w:val="el-GR"/>
        </w:rPr>
        <w:t xml:space="preserve"> </w:t>
      </w:r>
      <w:r w:rsidR="00312B73">
        <w:rPr>
          <w:rFonts w:cstheme="minorHAnsi"/>
          <w:sz w:val="24"/>
          <w:szCs w:val="24"/>
          <w:lang w:val="el-GR"/>
        </w:rPr>
        <w:t>της</w:t>
      </w:r>
      <w:r w:rsidR="00312B73" w:rsidRPr="00312B73">
        <w:rPr>
          <w:rFonts w:cstheme="minorHAnsi"/>
          <w:sz w:val="24"/>
          <w:szCs w:val="24"/>
          <w:lang w:val="el-GR"/>
        </w:rPr>
        <w:t xml:space="preserve"> </w:t>
      </w:r>
      <w:r w:rsidR="00312B73">
        <w:rPr>
          <w:rFonts w:cstheme="minorHAnsi"/>
          <w:sz w:val="24"/>
          <w:szCs w:val="24"/>
          <w:lang w:val="el-GR"/>
        </w:rPr>
        <w:t>Δημοκρατίας</w:t>
      </w:r>
      <w:r w:rsidR="00312B73" w:rsidRPr="00312B73">
        <w:rPr>
          <w:rFonts w:cstheme="minorHAnsi"/>
          <w:sz w:val="24"/>
          <w:szCs w:val="24"/>
          <w:lang w:val="el-GR"/>
        </w:rPr>
        <w:t>,</w:t>
      </w:r>
      <w:r w:rsidR="00A5147D" w:rsidRPr="00312B73">
        <w:rPr>
          <w:rFonts w:cstheme="minorHAnsi"/>
          <w:sz w:val="24"/>
          <w:szCs w:val="24"/>
          <w:lang w:val="el-GR"/>
        </w:rPr>
        <w:t xml:space="preserve"> </w:t>
      </w:r>
      <w:r w:rsidR="00312B73">
        <w:rPr>
          <w:rFonts w:cstheme="minorHAnsi"/>
          <w:sz w:val="24"/>
          <w:szCs w:val="24"/>
          <w:lang w:val="el-GR"/>
        </w:rPr>
        <w:t>τον</w:t>
      </w:r>
      <w:r w:rsidR="00312B73" w:rsidRPr="00312B73">
        <w:rPr>
          <w:rFonts w:cstheme="minorHAnsi"/>
          <w:sz w:val="24"/>
          <w:szCs w:val="24"/>
          <w:lang w:val="el-GR"/>
        </w:rPr>
        <w:t xml:space="preserve"> </w:t>
      </w:r>
      <w:r w:rsidR="00312B73">
        <w:rPr>
          <w:rFonts w:cstheme="minorHAnsi"/>
          <w:sz w:val="24"/>
          <w:szCs w:val="24"/>
          <w:lang w:val="el-GR"/>
        </w:rPr>
        <w:t>συντονισμό</w:t>
      </w:r>
      <w:r w:rsidR="00312B73" w:rsidRPr="00312B73">
        <w:rPr>
          <w:rFonts w:cstheme="minorHAnsi"/>
          <w:sz w:val="24"/>
          <w:szCs w:val="24"/>
          <w:lang w:val="el-GR"/>
        </w:rPr>
        <w:t xml:space="preserve"> </w:t>
      </w:r>
      <w:r w:rsidR="00312B73">
        <w:rPr>
          <w:rFonts w:cstheme="minorHAnsi"/>
          <w:sz w:val="24"/>
          <w:szCs w:val="24"/>
          <w:lang w:val="el-GR"/>
        </w:rPr>
        <w:t>και</w:t>
      </w:r>
      <w:r w:rsidR="00432515">
        <w:rPr>
          <w:rFonts w:cstheme="minorHAnsi"/>
          <w:sz w:val="24"/>
          <w:szCs w:val="24"/>
          <w:lang w:val="el-GR"/>
        </w:rPr>
        <w:t xml:space="preserve"> τη</w:t>
      </w:r>
      <w:r w:rsidR="00312B73" w:rsidRPr="00312B73">
        <w:rPr>
          <w:rFonts w:cstheme="minorHAnsi"/>
          <w:sz w:val="24"/>
          <w:szCs w:val="24"/>
          <w:lang w:val="el-GR"/>
        </w:rPr>
        <w:t xml:space="preserve"> </w:t>
      </w:r>
      <w:r w:rsidR="00312B73">
        <w:rPr>
          <w:rFonts w:cstheme="minorHAnsi"/>
          <w:sz w:val="24"/>
          <w:szCs w:val="24"/>
          <w:lang w:val="el-GR"/>
        </w:rPr>
        <w:t>συνεργασία</w:t>
      </w:r>
      <w:r w:rsidR="00312B73" w:rsidRPr="00312B73">
        <w:rPr>
          <w:rFonts w:cstheme="minorHAnsi"/>
          <w:sz w:val="24"/>
          <w:szCs w:val="24"/>
          <w:lang w:val="el-GR"/>
        </w:rPr>
        <w:t xml:space="preserve"> </w:t>
      </w:r>
      <w:r w:rsidR="00312B73">
        <w:rPr>
          <w:rFonts w:cstheme="minorHAnsi"/>
          <w:sz w:val="24"/>
          <w:szCs w:val="24"/>
          <w:lang w:val="el-GR"/>
        </w:rPr>
        <w:t>με</w:t>
      </w:r>
      <w:r w:rsidR="00312B73" w:rsidRPr="00312B73">
        <w:rPr>
          <w:rFonts w:cstheme="minorHAnsi"/>
          <w:sz w:val="24"/>
          <w:szCs w:val="24"/>
          <w:lang w:val="el-GR"/>
        </w:rPr>
        <w:t xml:space="preserve"> </w:t>
      </w:r>
      <w:r w:rsidR="00312B73">
        <w:rPr>
          <w:rFonts w:cstheme="minorHAnsi"/>
          <w:sz w:val="24"/>
          <w:szCs w:val="24"/>
          <w:lang w:val="el-GR"/>
        </w:rPr>
        <w:t>το</w:t>
      </w:r>
      <w:r w:rsidR="00312B73" w:rsidRPr="00312B73">
        <w:rPr>
          <w:rFonts w:cstheme="minorHAnsi"/>
          <w:sz w:val="24"/>
          <w:szCs w:val="24"/>
          <w:lang w:val="el-GR"/>
        </w:rPr>
        <w:t xml:space="preserve"> </w:t>
      </w:r>
      <w:r w:rsidR="00312B73">
        <w:rPr>
          <w:rFonts w:cstheme="minorHAnsi"/>
          <w:sz w:val="24"/>
          <w:szCs w:val="24"/>
          <w:lang w:val="el-GR"/>
        </w:rPr>
        <w:t>Γραφείο</w:t>
      </w:r>
      <w:r w:rsidR="00A5147D" w:rsidRPr="00312B73">
        <w:rPr>
          <w:rFonts w:cstheme="minorHAnsi"/>
          <w:sz w:val="24"/>
          <w:szCs w:val="24"/>
          <w:lang w:val="el-GR"/>
        </w:rPr>
        <w:t xml:space="preserve"> </w:t>
      </w:r>
      <w:r w:rsidR="00312B73">
        <w:rPr>
          <w:rFonts w:cstheme="minorHAnsi"/>
          <w:sz w:val="24"/>
          <w:szCs w:val="24"/>
          <w:lang w:val="el-GR"/>
        </w:rPr>
        <w:t>του</w:t>
      </w:r>
      <w:r w:rsidR="00312B73" w:rsidRPr="00312B73">
        <w:rPr>
          <w:rFonts w:cstheme="minorHAnsi"/>
          <w:sz w:val="24"/>
          <w:szCs w:val="24"/>
          <w:lang w:val="el-GR"/>
        </w:rPr>
        <w:t xml:space="preserve"> </w:t>
      </w:r>
      <w:r w:rsidR="00312B73">
        <w:rPr>
          <w:rFonts w:cstheme="minorHAnsi"/>
          <w:sz w:val="24"/>
          <w:szCs w:val="24"/>
          <w:lang w:val="el-GR"/>
        </w:rPr>
        <w:t>Κυβερνητικού</w:t>
      </w:r>
      <w:r w:rsidR="00312B73" w:rsidRPr="00312B73">
        <w:rPr>
          <w:rFonts w:cstheme="minorHAnsi"/>
          <w:sz w:val="24"/>
          <w:szCs w:val="24"/>
          <w:lang w:val="el-GR"/>
        </w:rPr>
        <w:t xml:space="preserve"> </w:t>
      </w:r>
      <w:r w:rsidR="00312B73">
        <w:rPr>
          <w:rFonts w:cstheme="minorHAnsi"/>
          <w:sz w:val="24"/>
          <w:szCs w:val="24"/>
          <w:lang w:val="el-GR"/>
        </w:rPr>
        <w:t>Εκπροσώπου</w:t>
      </w:r>
      <w:r w:rsidR="00312B73" w:rsidRPr="00312B73">
        <w:rPr>
          <w:rFonts w:cstheme="minorHAnsi"/>
          <w:sz w:val="24"/>
          <w:szCs w:val="24"/>
          <w:lang w:val="el-GR"/>
        </w:rPr>
        <w:t xml:space="preserve"> </w:t>
      </w:r>
      <w:r w:rsidR="00312B73">
        <w:rPr>
          <w:rFonts w:cstheme="minorHAnsi"/>
          <w:sz w:val="24"/>
          <w:szCs w:val="24"/>
          <w:lang w:val="el-GR"/>
        </w:rPr>
        <w:t>και</w:t>
      </w:r>
      <w:r w:rsidR="00312B73" w:rsidRPr="00312B73">
        <w:rPr>
          <w:rFonts w:cstheme="minorHAnsi"/>
          <w:sz w:val="24"/>
          <w:szCs w:val="24"/>
          <w:lang w:val="el-GR"/>
        </w:rPr>
        <w:t xml:space="preserve"> </w:t>
      </w:r>
      <w:r w:rsidR="00312B73">
        <w:rPr>
          <w:rFonts w:cstheme="minorHAnsi"/>
          <w:sz w:val="24"/>
          <w:szCs w:val="24"/>
          <w:lang w:val="el-GR"/>
        </w:rPr>
        <w:t>του</w:t>
      </w:r>
      <w:r w:rsidR="00312B73" w:rsidRPr="00312B73">
        <w:rPr>
          <w:rFonts w:cstheme="minorHAnsi"/>
          <w:sz w:val="24"/>
          <w:szCs w:val="24"/>
          <w:lang w:val="el-GR"/>
        </w:rPr>
        <w:t xml:space="preserve"> </w:t>
      </w:r>
      <w:r w:rsidR="00312B73">
        <w:rPr>
          <w:rFonts w:cstheme="minorHAnsi"/>
          <w:sz w:val="24"/>
          <w:szCs w:val="24"/>
          <w:lang w:val="el-GR"/>
        </w:rPr>
        <w:t>Γραφείου</w:t>
      </w:r>
      <w:r w:rsidR="00312B73" w:rsidRPr="00312B73">
        <w:rPr>
          <w:rFonts w:cstheme="minorHAnsi"/>
          <w:sz w:val="24"/>
          <w:szCs w:val="24"/>
          <w:lang w:val="el-GR"/>
        </w:rPr>
        <w:t xml:space="preserve"> </w:t>
      </w:r>
      <w:r w:rsidR="00312B73">
        <w:rPr>
          <w:rFonts w:cstheme="minorHAnsi"/>
          <w:sz w:val="24"/>
          <w:szCs w:val="24"/>
          <w:lang w:val="el-GR"/>
        </w:rPr>
        <w:t>Τύπου</w:t>
      </w:r>
      <w:r w:rsidR="00A5147D" w:rsidRPr="00312B73">
        <w:rPr>
          <w:rFonts w:cstheme="minorHAnsi"/>
          <w:sz w:val="24"/>
          <w:szCs w:val="24"/>
          <w:lang w:val="el-GR"/>
        </w:rPr>
        <w:t xml:space="preserve"> </w:t>
      </w:r>
      <w:r w:rsidR="00312B73">
        <w:rPr>
          <w:rFonts w:cstheme="minorHAnsi"/>
          <w:sz w:val="24"/>
          <w:szCs w:val="24"/>
          <w:lang w:val="el-GR"/>
        </w:rPr>
        <w:t>στην</w:t>
      </w:r>
      <w:r w:rsidR="00312B73" w:rsidRPr="00312B73">
        <w:rPr>
          <w:rFonts w:cstheme="minorHAnsi"/>
          <w:sz w:val="24"/>
          <w:szCs w:val="24"/>
          <w:lang w:val="el-GR"/>
        </w:rPr>
        <w:t xml:space="preserve"> </w:t>
      </w:r>
      <w:r w:rsidR="00312B73">
        <w:rPr>
          <w:rFonts w:cstheme="minorHAnsi"/>
          <w:sz w:val="24"/>
          <w:szCs w:val="24"/>
          <w:lang w:val="el-GR"/>
        </w:rPr>
        <w:t>ετοιμασία</w:t>
      </w:r>
      <w:r w:rsidR="00312B73" w:rsidRPr="00312B73">
        <w:rPr>
          <w:rFonts w:cstheme="minorHAnsi"/>
          <w:sz w:val="24"/>
          <w:szCs w:val="24"/>
          <w:lang w:val="el-GR"/>
        </w:rPr>
        <w:t xml:space="preserve"> </w:t>
      </w:r>
      <w:r w:rsidR="00312B73">
        <w:rPr>
          <w:rFonts w:cstheme="minorHAnsi"/>
          <w:sz w:val="24"/>
          <w:szCs w:val="24"/>
          <w:lang w:val="el-GR"/>
        </w:rPr>
        <w:t>ομιλιών</w:t>
      </w:r>
      <w:r w:rsidR="00A5147D" w:rsidRPr="00312B73">
        <w:rPr>
          <w:rFonts w:cstheme="minorHAnsi"/>
          <w:sz w:val="24"/>
          <w:szCs w:val="24"/>
          <w:lang w:val="el-GR"/>
        </w:rPr>
        <w:t xml:space="preserve"> </w:t>
      </w:r>
      <w:r w:rsidR="00312B73">
        <w:rPr>
          <w:rFonts w:cstheme="minorHAnsi"/>
          <w:sz w:val="24"/>
          <w:szCs w:val="24"/>
          <w:lang w:val="el-GR"/>
        </w:rPr>
        <w:t>που</w:t>
      </w:r>
      <w:r w:rsidR="00312B73" w:rsidRPr="00312B73">
        <w:rPr>
          <w:rFonts w:cstheme="minorHAnsi"/>
          <w:sz w:val="24"/>
          <w:szCs w:val="24"/>
          <w:lang w:val="el-GR"/>
        </w:rPr>
        <w:t xml:space="preserve"> </w:t>
      </w:r>
      <w:r w:rsidR="00312B73">
        <w:rPr>
          <w:rFonts w:cstheme="minorHAnsi"/>
          <w:sz w:val="24"/>
          <w:szCs w:val="24"/>
          <w:lang w:val="el-GR"/>
        </w:rPr>
        <w:t>σχετίζονται με τις δραστηριότητες του Προέδρου,</w:t>
      </w:r>
      <w:r w:rsidR="00A5147D" w:rsidRPr="00312B73">
        <w:rPr>
          <w:rFonts w:cstheme="minorHAnsi"/>
          <w:sz w:val="24"/>
          <w:szCs w:val="24"/>
          <w:lang w:val="el-GR"/>
        </w:rPr>
        <w:t xml:space="preserve"> </w:t>
      </w:r>
      <w:r w:rsidR="00FA2FDF">
        <w:rPr>
          <w:rFonts w:cstheme="minorHAnsi"/>
          <w:sz w:val="24"/>
          <w:szCs w:val="24"/>
          <w:lang w:val="el-GR"/>
        </w:rPr>
        <w:t>να εκτελεί χρέη συνδέσμου με αντιπροσώπους διεθνών οργανισμών</w:t>
      </w:r>
      <w:r w:rsidR="00A5147D" w:rsidRPr="00312B73">
        <w:rPr>
          <w:rFonts w:cstheme="minorHAnsi"/>
          <w:sz w:val="24"/>
          <w:szCs w:val="24"/>
          <w:lang w:val="el-GR"/>
        </w:rPr>
        <w:t xml:space="preserve">, </w:t>
      </w:r>
      <w:r w:rsidR="00FA2FDF">
        <w:rPr>
          <w:rFonts w:cstheme="minorHAnsi"/>
          <w:sz w:val="24"/>
          <w:szCs w:val="24"/>
          <w:lang w:val="el-GR"/>
        </w:rPr>
        <w:t>πρεσβευτές</w:t>
      </w:r>
      <w:r w:rsidR="00A5147D" w:rsidRPr="00312B73">
        <w:rPr>
          <w:rFonts w:cstheme="minorHAnsi"/>
          <w:sz w:val="24"/>
          <w:szCs w:val="24"/>
          <w:lang w:val="el-GR"/>
        </w:rPr>
        <w:t xml:space="preserve"> </w:t>
      </w:r>
      <w:r w:rsidR="00FA2FDF">
        <w:rPr>
          <w:rFonts w:cstheme="minorHAnsi"/>
          <w:sz w:val="24"/>
          <w:szCs w:val="24"/>
          <w:lang w:val="el-GR"/>
        </w:rPr>
        <w:t>κλπ</w:t>
      </w:r>
      <w:r w:rsidR="00A5147D" w:rsidRPr="00312B73">
        <w:rPr>
          <w:rFonts w:cstheme="minorHAnsi"/>
          <w:sz w:val="24"/>
          <w:szCs w:val="24"/>
          <w:lang w:val="el-GR"/>
        </w:rPr>
        <w:t xml:space="preserve">. </w:t>
      </w:r>
      <w:r w:rsidR="00FA2FDF">
        <w:rPr>
          <w:rFonts w:cstheme="minorHAnsi"/>
          <w:sz w:val="24"/>
          <w:szCs w:val="24"/>
          <w:lang w:val="el-GR"/>
        </w:rPr>
        <w:t>σε συγκεκριμένα θέματα πολιτικής,</w:t>
      </w:r>
      <w:r w:rsidR="00A5147D" w:rsidRPr="00312B73">
        <w:rPr>
          <w:rFonts w:cstheme="minorHAnsi"/>
          <w:sz w:val="24"/>
          <w:szCs w:val="24"/>
          <w:lang w:val="el-GR"/>
        </w:rPr>
        <w:t xml:space="preserve"> </w:t>
      </w:r>
      <w:r w:rsidR="00FA2FDF">
        <w:rPr>
          <w:rFonts w:cstheme="minorHAnsi"/>
          <w:sz w:val="24"/>
          <w:szCs w:val="24"/>
          <w:lang w:val="el-GR"/>
        </w:rPr>
        <w:t>να πραγματοποιεί συναντήσεις με κοινωνικά και οικονομικά σύνολα</w:t>
      </w:r>
      <w:r w:rsidR="00A5147D" w:rsidRPr="00312B73">
        <w:rPr>
          <w:rFonts w:cstheme="minorHAnsi"/>
          <w:sz w:val="24"/>
          <w:szCs w:val="24"/>
          <w:lang w:val="el-GR"/>
        </w:rPr>
        <w:t xml:space="preserve"> </w:t>
      </w:r>
      <w:r w:rsidR="00FA2FDF">
        <w:rPr>
          <w:rFonts w:cstheme="minorHAnsi"/>
          <w:sz w:val="24"/>
          <w:szCs w:val="24"/>
          <w:lang w:val="el-GR"/>
        </w:rPr>
        <w:t>εκ μέρους του Πρ</w:t>
      </w:r>
      <w:r w:rsidR="00840C91">
        <w:rPr>
          <w:rFonts w:cstheme="minorHAnsi"/>
          <w:sz w:val="24"/>
          <w:szCs w:val="24"/>
          <w:lang w:val="el-GR"/>
        </w:rPr>
        <w:t>οέ</w:t>
      </w:r>
      <w:r w:rsidR="00FA2FDF">
        <w:rPr>
          <w:rFonts w:cstheme="minorHAnsi"/>
          <w:sz w:val="24"/>
          <w:szCs w:val="24"/>
          <w:lang w:val="el-GR"/>
        </w:rPr>
        <w:t>δρου</w:t>
      </w:r>
      <w:r w:rsidR="00A5147D" w:rsidRPr="00312B73">
        <w:rPr>
          <w:rFonts w:cstheme="minorHAnsi"/>
          <w:sz w:val="24"/>
          <w:szCs w:val="24"/>
          <w:lang w:val="el-GR"/>
        </w:rPr>
        <w:t xml:space="preserve"> </w:t>
      </w:r>
      <w:r w:rsidR="00FA2FDF">
        <w:rPr>
          <w:rFonts w:cstheme="minorHAnsi"/>
          <w:sz w:val="24"/>
          <w:szCs w:val="24"/>
          <w:lang w:val="el-GR"/>
        </w:rPr>
        <w:t>και να συνοδεύει τον τελευταίο</w:t>
      </w:r>
      <w:r w:rsidR="00A5147D" w:rsidRPr="00312B73">
        <w:rPr>
          <w:rFonts w:cstheme="minorHAnsi"/>
          <w:sz w:val="24"/>
          <w:szCs w:val="24"/>
          <w:lang w:val="el-GR"/>
        </w:rPr>
        <w:t xml:space="preserve"> </w:t>
      </w:r>
      <w:r w:rsidR="00FA2FDF">
        <w:rPr>
          <w:rFonts w:cstheme="minorHAnsi"/>
          <w:sz w:val="24"/>
          <w:szCs w:val="24"/>
          <w:lang w:val="el-GR"/>
        </w:rPr>
        <w:t>σε επίσημες συναντήσεις</w:t>
      </w:r>
      <w:r w:rsidR="00A5147D" w:rsidRPr="00312B73">
        <w:rPr>
          <w:rFonts w:cstheme="minorHAnsi"/>
          <w:sz w:val="24"/>
          <w:szCs w:val="24"/>
          <w:lang w:val="el-GR"/>
        </w:rPr>
        <w:t xml:space="preserve"> </w:t>
      </w:r>
      <w:r w:rsidR="00FA2FDF">
        <w:rPr>
          <w:rFonts w:cstheme="minorHAnsi"/>
          <w:sz w:val="24"/>
          <w:szCs w:val="24"/>
          <w:lang w:val="el-GR"/>
        </w:rPr>
        <w:t>εντός και εκτός της επικράτειας της Κύπρου</w:t>
      </w:r>
      <w:r w:rsidR="00A5147D" w:rsidRPr="00312B73">
        <w:rPr>
          <w:rFonts w:cstheme="minorHAnsi"/>
          <w:sz w:val="24"/>
          <w:szCs w:val="24"/>
          <w:lang w:val="el-GR"/>
        </w:rPr>
        <w:t xml:space="preserve">. </w:t>
      </w:r>
    </w:p>
    <w:p w14:paraId="25D4CE6E" w14:textId="77777777" w:rsidR="00A5147D" w:rsidRPr="00312B73" w:rsidRDefault="00A5147D" w:rsidP="00A5147D">
      <w:pPr>
        <w:tabs>
          <w:tab w:val="left" w:pos="709"/>
        </w:tabs>
        <w:rPr>
          <w:rFonts w:cstheme="minorHAnsi"/>
          <w:sz w:val="24"/>
          <w:szCs w:val="24"/>
          <w:lang w:val="el-GR"/>
        </w:rPr>
      </w:pPr>
    </w:p>
    <w:p w14:paraId="4C676527" w14:textId="11D8BB7A" w:rsidR="00A5147D" w:rsidRPr="00FA2FDF" w:rsidRDefault="00FA2FDF" w:rsidP="00CF2E8A">
      <w:pPr>
        <w:numPr>
          <w:ilvl w:val="0"/>
          <w:numId w:val="1"/>
        </w:numPr>
        <w:tabs>
          <w:tab w:val="clear" w:pos="6095"/>
          <w:tab w:val="left" w:pos="709"/>
        </w:tabs>
        <w:ind w:left="0" w:firstLine="0"/>
        <w:rPr>
          <w:rFonts w:cstheme="minorHAnsi"/>
          <w:sz w:val="24"/>
          <w:szCs w:val="24"/>
          <w:lang w:val="el-GR"/>
        </w:rPr>
      </w:pPr>
      <w:r>
        <w:rPr>
          <w:rFonts w:eastAsia="Calibri" w:cstheme="minorHAnsi"/>
          <w:sz w:val="24"/>
          <w:szCs w:val="24"/>
          <w:lang w:val="el-GR"/>
        </w:rPr>
        <w:t>Ο</w:t>
      </w:r>
      <w:r w:rsidRPr="00FA2FDF">
        <w:rPr>
          <w:rFonts w:eastAsia="Calibri" w:cstheme="minorHAnsi"/>
          <w:sz w:val="24"/>
          <w:szCs w:val="24"/>
          <w:lang w:val="el-GR"/>
        </w:rPr>
        <w:t>/</w:t>
      </w:r>
      <w:r>
        <w:rPr>
          <w:rFonts w:eastAsia="Calibri" w:cstheme="minorHAnsi"/>
          <w:sz w:val="24"/>
          <w:szCs w:val="24"/>
          <w:lang w:val="el-GR"/>
        </w:rPr>
        <w:t>Η</w:t>
      </w:r>
      <w:r w:rsidR="00A5147D" w:rsidRPr="00FA2FDF">
        <w:rPr>
          <w:rFonts w:eastAsia="Calibri" w:cstheme="minorHAnsi"/>
          <w:sz w:val="24"/>
          <w:szCs w:val="24"/>
          <w:lang w:val="el-GR"/>
        </w:rPr>
        <w:t xml:space="preserve"> </w:t>
      </w:r>
      <w:r>
        <w:rPr>
          <w:rFonts w:eastAsia="Calibri" w:cstheme="minorHAnsi"/>
          <w:sz w:val="24"/>
          <w:szCs w:val="24"/>
          <w:u w:val="single"/>
          <w:lang w:val="el-GR"/>
        </w:rPr>
        <w:t>Διευθυντής</w:t>
      </w:r>
      <w:r w:rsidRPr="00FA2FDF">
        <w:rPr>
          <w:rFonts w:eastAsia="Calibri" w:cstheme="minorHAnsi"/>
          <w:sz w:val="24"/>
          <w:szCs w:val="24"/>
          <w:u w:val="single"/>
          <w:lang w:val="el-GR"/>
        </w:rPr>
        <w:t>/</w:t>
      </w:r>
      <w:proofErr w:type="spellStart"/>
      <w:r>
        <w:rPr>
          <w:rFonts w:eastAsia="Calibri" w:cstheme="minorHAnsi"/>
          <w:sz w:val="24"/>
          <w:szCs w:val="24"/>
          <w:u w:val="single"/>
          <w:lang w:val="el-GR"/>
        </w:rPr>
        <w:t>ρια</w:t>
      </w:r>
      <w:proofErr w:type="spellEnd"/>
      <w:r w:rsidRPr="00FA2FDF">
        <w:rPr>
          <w:rFonts w:eastAsia="Calibri" w:cstheme="minorHAnsi"/>
          <w:sz w:val="24"/>
          <w:szCs w:val="24"/>
          <w:u w:val="single"/>
          <w:lang w:val="el-GR"/>
        </w:rPr>
        <w:t xml:space="preserve"> </w:t>
      </w:r>
      <w:r>
        <w:rPr>
          <w:rFonts w:eastAsia="Calibri" w:cstheme="minorHAnsi"/>
          <w:sz w:val="24"/>
          <w:szCs w:val="24"/>
          <w:u w:val="single"/>
          <w:lang w:val="el-GR"/>
        </w:rPr>
        <w:t>του</w:t>
      </w:r>
      <w:r w:rsidRPr="00FA2FDF">
        <w:rPr>
          <w:rFonts w:eastAsia="Calibri" w:cstheme="minorHAnsi"/>
          <w:sz w:val="24"/>
          <w:szCs w:val="24"/>
          <w:u w:val="single"/>
          <w:lang w:val="el-GR"/>
        </w:rPr>
        <w:t xml:space="preserve"> </w:t>
      </w:r>
      <w:r>
        <w:rPr>
          <w:rFonts w:eastAsia="Calibri" w:cstheme="minorHAnsi"/>
          <w:sz w:val="24"/>
          <w:szCs w:val="24"/>
          <w:u w:val="single"/>
          <w:lang w:val="el-GR"/>
        </w:rPr>
        <w:t>Γραφείου</w:t>
      </w:r>
      <w:r w:rsidRPr="00FA2FDF">
        <w:rPr>
          <w:rFonts w:eastAsia="Calibri" w:cstheme="minorHAnsi"/>
          <w:sz w:val="24"/>
          <w:szCs w:val="24"/>
          <w:u w:val="single"/>
          <w:lang w:val="el-GR"/>
        </w:rPr>
        <w:t xml:space="preserve"> </w:t>
      </w:r>
      <w:r>
        <w:rPr>
          <w:rFonts w:eastAsia="Calibri" w:cstheme="minorHAnsi"/>
          <w:sz w:val="24"/>
          <w:szCs w:val="24"/>
          <w:u w:val="single"/>
          <w:lang w:val="el-GR"/>
        </w:rPr>
        <w:t>Τύπου</w:t>
      </w:r>
      <w:r w:rsidRPr="00FA2FDF">
        <w:rPr>
          <w:rFonts w:eastAsia="Calibri" w:cstheme="minorHAnsi"/>
          <w:sz w:val="24"/>
          <w:szCs w:val="24"/>
          <w:u w:val="single"/>
          <w:lang w:val="el-GR"/>
        </w:rPr>
        <w:t xml:space="preserve"> </w:t>
      </w:r>
      <w:r>
        <w:rPr>
          <w:rFonts w:eastAsia="Calibri" w:cstheme="minorHAnsi"/>
          <w:sz w:val="24"/>
          <w:szCs w:val="24"/>
          <w:u w:val="single"/>
          <w:lang w:val="el-GR"/>
        </w:rPr>
        <w:t>του</w:t>
      </w:r>
      <w:r w:rsidRPr="00FA2FDF">
        <w:rPr>
          <w:rFonts w:eastAsia="Calibri" w:cstheme="minorHAnsi"/>
          <w:sz w:val="24"/>
          <w:szCs w:val="24"/>
          <w:u w:val="single"/>
          <w:lang w:val="el-GR"/>
        </w:rPr>
        <w:t xml:space="preserve"> </w:t>
      </w:r>
      <w:r>
        <w:rPr>
          <w:rFonts w:eastAsia="Calibri" w:cstheme="minorHAnsi"/>
          <w:sz w:val="24"/>
          <w:szCs w:val="24"/>
          <w:u w:val="single"/>
          <w:lang w:val="el-GR"/>
        </w:rPr>
        <w:t>Προέδρου</w:t>
      </w:r>
      <w:r w:rsidR="00A5147D" w:rsidRPr="00FA2FDF">
        <w:rPr>
          <w:rFonts w:eastAsia="Calibri" w:cstheme="minorHAnsi"/>
          <w:sz w:val="24"/>
          <w:szCs w:val="24"/>
          <w:lang w:val="el-GR"/>
        </w:rPr>
        <w:t xml:space="preserve"> </w:t>
      </w:r>
      <w:r>
        <w:rPr>
          <w:rFonts w:eastAsia="Calibri" w:cstheme="minorHAnsi"/>
          <w:sz w:val="24"/>
          <w:szCs w:val="24"/>
          <w:lang w:val="el-GR"/>
        </w:rPr>
        <w:t>υπογράφει</w:t>
      </w:r>
      <w:r w:rsidRPr="00FA2FDF">
        <w:rPr>
          <w:rFonts w:eastAsia="Calibri" w:cstheme="minorHAnsi"/>
          <w:sz w:val="24"/>
          <w:szCs w:val="24"/>
          <w:lang w:val="el-GR"/>
        </w:rPr>
        <w:t xml:space="preserve"> </w:t>
      </w:r>
      <w:r w:rsidR="0020754C">
        <w:rPr>
          <w:rFonts w:eastAsia="Calibri" w:cstheme="minorHAnsi"/>
          <w:sz w:val="24"/>
          <w:szCs w:val="24"/>
          <w:lang w:val="el-GR"/>
        </w:rPr>
        <w:t>Χ</w:t>
      </w:r>
      <w:r>
        <w:rPr>
          <w:rFonts w:eastAsia="Calibri" w:cstheme="minorHAnsi"/>
          <w:sz w:val="24"/>
          <w:szCs w:val="24"/>
          <w:lang w:val="el-GR"/>
        </w:rPr>
        <w:t>άρτ</w:t>
      </w:r>
      <w:r w:rsidR="0020754C">
        <w:rPr>
          <w:rFonts w:eastAsia="Calibri" w:cstheme="minorHAnsi"/>
          <w:sz w:val="24"/>
          <w:szCs w:val="24"/>
          <w:lang w:val="el-GR"/>
        </w:rPr>
        <w:t>α</w:t>
      </w:r>
      <w:r w:rsidRPr="00FA2FDF">
        <w:rPr>
          <w:rFonts w:eastAsia="Calibri" w:cstheme="minorHAnsi"/>
          <w:sz w:val="24"/>
          <w:szCs w:val="24"/>
          <w:lang w:val="el-GR"/>
        </w:rPr>
        <w:t xml:space="preserve"> </w:t>
      </w:r>
      <w:r w:rsidR="0020754C">
        <w:rPr>
          <w:rFonts w:eastAsia="Calibri" w:cstheme="minorHAnsi"/>
          <w:sz w:val="24"/>
          <w:szCs w:val="24"/>
          <w:lang w:val="el-GR"/>
        </w:rPr>
        <w:t xml:space="preserve">Δεοντολογίας </w:t>
      </w:r>
      <w:r>
        <w:rPr>
          <w:rFonts w:eastAsia="Calibri" w:cstheme="minorHAnsi"/>
          <w:sz w:val="24"/>
          <w:szCs w:val="24"/>
          <w:lang w:val="el-GR"/>
        </w:rPr>
        <w:t>κατόπιν</w:t>
      </w:r>
      <w:r w:rsidRPr="00FA2FDF">
        <w:rPr>
          <w:rFonts w:eastAsia="Calibri" w:cstheme="minorHAnsi"/>
          <w:sz w:val="24"/>
          <w:szCs w:val="24"/>
          <w:lang w:val="el-GR"/>
        </w:rPr>
        <w:t xml:space="preserve"> </w:t>
      </w:r>
      <w:r>
        <w:rPr>
          <w:rFonts w:eastAsia="Calibri" w:cstheme="minorHAnsi"/>
          <w:sz w:val="24"/>
          <w:szCs w:val="24"/>
          <w:lang w:val="el-GR"/>
        </w:rPr>
        <w:t>διορισμού</w:t>
      </w:r>
      <w:r w:rsidR="00DA6430" w:rsidRPr="00FA2FDF">
        <w:rPr>
          <w:rFonts w:eastAsia="Calibri" w:cstheme="minorHAnsi"/>
          <w:sz w:val="24"/>
          <w:szCs w:val="24"/>
          <w:lang w:val="el-GR"/>
        </w:rPr>
        <w:t>,</w:t>
      </w:r>
      <w:r w:rsidR="00A5147D" w:rsidRPr="00FA2FDF">
        <w:rPr>
          <w:rFonts w:eastAsia="Calibri" w:cstheme="minorHAnsi"/>
          <w:sz w:val="24"/>
          <w:szCs w:val="24"/>
          <w:lang w:val="el-GR"/>
        </w:rPr>
        <w:t xml:space="preserve"> </w:t>
      </w:r>
      <w:r>
        <w:rPr>
          <w:rFonts w:eastAsia="Calibri" w:cstheme="minorHAnsi"/>
          <w:sz w:val="24"/>
          <w:szCs w:val="24"/>
          <w:lang w:val="el-GR"/>
        </w:rPr>
        <w:t>και</w:t>
      </w:r>
      <w:r w:rsidRPr="00FA2FDF">
        <w:rPr>
          <w:rFonts w:eastAsia="Calibri" w:cstheme="minorHAnsi"/>
          <w:sz w:val="24"/>
          <w:szCs w:val="24"/>
          <w:lang w:val="el-GR"/>
        </w:rPr>
        <w:t xml:space="preserve"> </w:t>
      </w:r>
      <w:r>
        <w:rPr>
          <w:rFonts w:eastAsia="Calibri" w:cstheme="minorHAnsi"/>
          <w:sz w:val="24"/>
          <w:szCs w:val="24"/>
          <w:lang w:val="el-GR"/>
        </w:rPr>
        <w:t xml:space="preserve">εξασκεί τις ευθύνες που ορίζονται στην επιστολή </w:t>
      </w:r>
      <w:r>
        <w:rPr>
          <w:rFonts w:eastAsia="Calibri" w:cstheme="minorHAnsi"/>
          <w:sz w:val="24"/>
          <w:szCs w:val="24"/>
          <w:lang w:val="el-GR"/>
        </w:rPr>
        <w:lastRenderedPageBreak/>
        <w:t>διορισμού του/ης</w:t>
      </w:r>
      <w:r w:rsidR="00A5147D" w:rsidRPr="00FA2FDF">
        <w:rPr>
          <w:rFonts w:eastAsia="Calibri" w:cstheme="minorHAnsi"/>
          <w:sz w:val="24"/>
          <w:szCs w:val="24"/>
          <w:lang w:val="el-GR"/>
        </w:rPr>
        <w:t xml:space="preserve"> </w:t>
      </w:r>
      <w:r>
        <w:rPr>
          <w:rFonts w:eastAsia="Calibri" w:cstheme="minorHAnsi"/>
          <w:sz w:val="24"/>
          <w:szCs w:val="24"/>
          <w:lang w:val="el-GR"/>
        </w:rPr>
        <w:t>υπογραμμένη από τον Πρόεδρο της Δημοκρατίας</w:t>
      </w:r>
      <w:r w:rsidR="00A5147D" w:rsidRPr="00FA2FDF">
        <w:rPr>
          <w:rFonts w:eastAsia="Calibri" w:cstheme="minorHAnsi"/>
          <w:sz w:val="24"/>
          <w:szCs w:val="24"/>
          <w:lang w:val="el-GR"/>
        </w:rPr>
        <w:t xml:space="preserve">. </w:t>
      </w:r>
      <w:r>
        <w:rPr>
          <w:rFonts w:eastAsia="Calibri" w:cstheme="minorHAnsi"/>
          <w:sz w:val="24"/>
          <w:szCs w:val="24"/>
          <w:lang w:val="el-GR"/>
        </w:rPr>
        <w:t>Οι</w:t>
      </w:r>
      <w:r w:rsidRPr="00FA2FDF">
        <w:rPr>
          <w:rFonts w:eastAsia="Calibri" w:cstheme="minorHAnsi"/>
          <w:sz w:val="24"/>
          <w:szCs w:val="24"/>
          <w:lang w:val="el-GR"/>
        </w:rPr>
        <w:t xml:space="preserve"> </w:t>
      </w:r>
      <w:r>
        <w:rPr>
          <w:rFonts w:eastAsia="Calibri" w:cstheme="minorHAnsi"/>
          <w:sz w:val="24"/>
          <w:szCs w:val="24"/>
          <w:lang w:val="el-GR"/>
        </w:rPr>
        <w:t>ευθύνες</w:t>
      </w:r>
      <w:r w:rsidRPr="00FA2FDF">
        <w:rPr>
          <w:rFonts w:eastAsia="Calibri" w:cstheme="minorHAnsi"/>
          <w:sz w:val="24"/>
          <w:szCs w:val="24"/>
          <w:lang w:val="el-GR"/>
        </w:rPr>
        <w:t xml:space="preserve"> </w:t>
      </w:r>
      <w:r>
        <w:rPr>
          <w:rFonts w:eastAsia="Calibri" w:cstheme="minorHAnsi"/>
          <w:sz w:val="24"/>
          <w:szCs w:val="24"/>
          <w:lang w:val="el-GR"/>
        </w:rPr>
        <w:t>είναι</w:t>
      </w:r>
      <w:r w:rsidRPr="00FA2FDF">
        <w:rPr>
          <w:rFonts w:eastAsia="Calibri" w:cstheme="minorHAnsi"/>
          <w:sz w:val="24"/>
          <w:szCs w:val="24"/>
          <w:lang w:val="el-GR"/>
        </w:rPr>
        <w:t xml:space="preserve"> </w:t>
      </w:r>
      <w:r>
        <w:rPr>
          <w:rFonts w:eastAsia="Calibri" w:cstheme="minorHAnsi"/>
          <w:sz w:val="24"/>
          <w:szCs w:val="24"/>
          <w:lang w:val="el-GR"/>
        </w:rPr>
        <w:t>αυτές</w:t>
      </w:r>
      <w:r w:rsidRPr="00FA2FDF">
        <w:rPr>
          <w:rFonts w:eastAsia="Calibri" w:cstheme="minorHAnsi"/>
          <w:sz w:val="24"/>
          <w:szCs w:val="24"/>
          <w:lang w:val="el-GR"/>
        </w:rPr>
        <w:t xml:space="preserve"> </w:t>
      </w:r>
      <w:r>
        <w:rPr>
          <w:rFonts w:eastAsia="Calibri" w:cstheme="minorHAnsi"/>
          <w:sz w:val="24"/>
          <w:szCs w:val="24"/>
          <w:lang w:val="el-GR"/>
        </w:rPr>
        <w:t>του</w:t>
      </w:r>
      <w:r w:rsidR="00A5147D" w:rsidRPr="00FA2FDF">
        <w:rPr>
          <w:rFonts w:eastAsia="Calibri" w:cstheme="minorHAnsi"/>
          <w:sz w:val="24"/>
          <w:szCs w:val="24"/>
          <w:lang w:val="el-GR"/>
        </w:rPr>
        <w:t xml:space="preserve"> </w:t>
      </w:r>
      <w:r>
        <w:rPr>
          <w:rFonts w:eastAsia="Calibri" w:cstheme="minorHAnsi"/>
          <w:sz w:val="24"/>
          <w:szCs w:val="24"/>
          <w:lang w:val="el-GR"/>
        </w:rPr>
        <w:t>Λειτουργού</w:t>
      </w:r>
      <w:r w:rsidRPr="00FA2FDF">
        <w:rPr>
          <w:rFonts w:eastAsia="Calibri" w:cstheme="minorHAnsi"/>
          <w:sz w:val="24"/>
          <w:szCs w:val="24"/>
          <w:lang w:val="el-GR"/>
        </w:rPr>
        <w:t xml:space="preserve"> </w:t>
      </w:r>
      <w:r>
        <w:rPr>
          <w:rFonts w:eastAsia="Calibri" w:cstheme="minorHAnsi"/>
          <w:sz w:val="24"/>
          <w:szCs w:val="24"/>
          <w:lang w:val="el-GR"/>
        </w:rPr>
        <w:t>Σχέσεων</w:t>
      </w:r>
      <w:r w:rsidRPr="00FA2FDF">
        <w:rPr>
          <w:rFonts w:eastAsia="Calibri" w:cstheme="minorHAnsi"/>
          <w:sz w:val="24"/>
          <w:szCs w:val="24"/>
          <w:lang w:val="el-GR"/>
        </w:rPr>
        <w:t xml:space="preserve"> </w:t>
      </w:r>
      <w:r>
        <w:rPr>
          <w:rFonts w:eastAsia="Calibri" w:cstheme="minorHAnsi"/>
          <w:sz w:val="24"/>
          <w:szCs w:val="24"/>
          <w:lang w:val="el-GR"/>
        </w:rPr>
        <w:t>Μέσων</w:t>
      </w:r>
      <w:r w:rsidRPr="00FA2FDF">
        <w:rPr>
          <w:rFonts w:eastAsia="Calibri" w:cstheme="minorHAnsi"/>
          <w:sz w:val="24"/>
          <w:szCs w:val="24"/>
          <w:lang w:val="el-GR"/>
        </w:rPr>
        <w:t xml:space="preserve"> </w:t>
      </w:r>
      <w:r>
        <w:rPr>
          <w:rFonts w:eastAsia="Calibri" w:cstheme="minorHAnsi"/>
          <w:sz w:val="24"/>
          <w:szCs w:val="24"/>
          <w:lang w:val="el-GR"/>
        </w:rPr>
        <w:t>Ενημέρωσης</w:t>
      </w:r>
      <w:r w:rsidR="00A5147D" w:rsidRPr="00FA2FDF">
        <w:rPr>
          <w:rFonts w:eastAsia="Calibri" w:cstheme="minorHAnsi"/>
          <w:sz w:val="24"/>
          <w:szCs w:val="24"/>
          <w:lang w:val="el-GR"/>
        </w:rPr>
        <w:t xml:space="preserve"> </w:t>
      </w:r>
      <w:r>
        <w:rPr>
          <w:rFonts w:eastAsia="Calibri" w:cstheme="minorHAnsi"/>
          <w:sz w:val="24"/>
          <w:szCs w:val="24"/>
          <w:lang w:val="el-GR"/>
        </w:rPr>
        <w:t>και</w:t>
      </w:r>
      <w:r w:rsidRPr="00FA2FDF">
        <w:rPr>
          <w:rFonts w:eastAsia="Calibri" w:cstheme="minorHAnsi"/>
          <w:sz w:val="24"/>
          <w:szCs w:val="24"/>
          <w:lang w:val="el-GR"/>
        </w:rPr>
        <w:t xml:space="preserve"> </w:t>
      </w:r>
      <w:r>
        <w:rPr>
          <w:rFonts w:eastAsia="Calibri" w:cstheme="minorHAnsi"/>
          <w:sz w:val="24"/>
          <w:szCs w:val="24"/>
          <w:lang w:val="el-GR"/>
        </w:rPr>
        <w:t>συμπεριλαμβάνουν</w:t>
      </w:r>
      <w:r w:rsidR="00A5147D" w:rsidRPr="00FA2FDF">
        <w:rPr>
          <w:rFonts w:eastAsia="Calibri" w:cstheme="minorHAnsi"/>
          <w:sz w:val="24"/>
          <w:szCs w:val="24"/>
          <w:lang w:val="el-GR"/>
        </w:rPr>
        <w:t xml:space="preserve"> </w:t>
      </w:r>
      <w:r>
        <w:rPr>
          <w:rFonts w:eastAsia="Calibri" w:cstheme="minorHAnsi"/>
          <w:sz w:val="24"/>
          <w:szCs w:val="24"/>
          <w:lang w:val="el-GR"/>
        </w:rPr>
        <w:t>την</w:t>
      </w:r>
      <w:r w:rsidRPr="00FA2FDF">
        <w:rPr>
          <w:rFonts w:eastAsia="Calibri" w:cstheme="minorHAnsi"/>
          <w:sz w:val="24"/>
          <w:szCs w:val="24"/>
          <w:lang w:val="el-GR"/>
        </w:rPr>
        <w:t xml:space="preserve"> </w:t>
      </w:r>
      <w:r>
        <w:rPr>
          <w:rFonts w:eastAsia="Calibri" w:cstheme="minorHAnsi"/>
          <w:sz w:val="24"/>
          <w:szCs w:val="24"/>
          <w:lang w:val="el-GR"/>
        </w:rPr>
        <w:t>επισκόπηση</w:t>
      </w:r>
      <w:r w:rsidRPr="00FA2FDF">
        <w:rPr>
          <w:rFonts w:eastAsia="Calibri" w:cstheme="minorHAnsi"/>
          <w:sz w:val="24"/>
          <w:szCs w:val="24"/>
          <w:lang w:val="el-GR"/>
        </w:rPr>
        <w:t xml:space="preserve"> </w:t>
      </w:r>
      <w:r>
        <w:rPr>
          <w:rFonts w:eastAsia="Calibri" w:cstheme="minorHAnsi"/>
          <w:sz w:val="24"/>
          <w:szCs w:val="24"/>
          <w:lang w:val="el-GR"/>
        </w:rPr>
        <w:t>του</w:t>
      </w:r>
      <w:r w:rsidRPr="00FA2FDF">
        <w:rPr>
          <w:rFonts w:eastAsia="Calibri" w:cstheme="minorHAnsi"/>
          <w:sz w:val="24"/>
          <w:szCs w:val="24"/>
          <w:lang w:val="el-GR"/>
        </w:rPr>
        <w:t xml:space="preserve"> </w:t>
      </w:r>
      <w:r>
        <w:rPr>
          <w:rFonts w:eastAsia="Calibri" w:cstheme="minorHAnsi"/>
          <w:sz w:val="24"/>
          <w:szCs w:val="24"/>
          <w:lang w:val="el-GR"/>
        </w:rPr>
        <w:t>τύπου</w:t>
      </w:r>
      <w:r w:rsidR="00A5147D" w:rsidRPr="00FA2FDF">
        <w:rPr>
          <w:rFonts w:eastAsia="Calibri" w:cstheme="minorHAnsi"/>
          <w:sz w:val="24"/>
          <w:szCs w:val="24"/>
          <w:lang w:val="el-GR"/>
        </w:rPr>
        <w:t xml:space="preserve"> </w:t>
      </w:r>
      <w:r>
        <w:rPr>
          <w:rFonts w:eastAsia="Calibri" w:cstheme="minorHAnsi"/>
          <w:sz w:val="24"/>
          <w:szCs w:val="24"/>
          <w:lang w:val="el-GR"/>
        </w:rPr>
        <w:t>και</w:t>
      </w:r>
      <w:r w:rsidRPr="00FA2FDF">
        <w:rPr>
          <w:rFonts w:eastAsia="Calibri" w:cstheme="minorHAnsi"/>
          <w:sz w:val="24"/>
          <w:szCs w:val="24"/>
          <w:lang w:val="el-GR"/>
        </w:rPr>
        <w:t xml:space="preserve"> </w:t>
      </w:r>
      <w:r>
        <w:rPr>
          <w:rFonts w:eastAsia="Calibri" w:cstheme="minorHAnsi"/>
          <w:sz w:val="24"/>
          <w:szCs w:val="24"/>
          <w:lang w:val="el-GR"/>
        </w:rPr>
        <w:t>ενημέρωση</w:t>
      </w:r>
      <w:r w:rsidRPr="00FA2FDF">
        <w:rPr>
          <w:rFonts w:eastAsia="Calibri" w:cstheme="minorHAnsi"/>
          <w:sz w:val="24"/>
          <w:szCs w:val="24"/>
          <w:lang w:val="el-GR"/>
        </w:rPr>
        <w:t xml:space="preserve"> </w:t>
      </w:r>
      <w:r>
        <w:rPr>
          <w:rFonts w:eastAsia="Calibri" w:cstheme="minorHAnsi"/>
          <w:sz w:val="24"/>
          <w:szCs w:val="24"/>
          <w:lang w:val="el-GR"/>
        </w:rPr>
        <w:t>του</w:t>
      </w:r>
      <w:r w:rsidRPr="00FA2FDF">
        <w:rPr>
          <w:rFonts w:eastAsia="Calibri" w:cstheme="minorHAnsi"/>
          <w:sz w:val="24"/>
          <w:szCs w:val="24"/>
          <w:lang w:val="el-GR"/>
        </w:rPr>
        <w:t xml:space="preserve"> </w:t>
      </w:r>
      <w:r>
        <w:rPr>
          <w:rFonts w:eastAsia="Calibri" w:cstheme="minorHAnsi"/>
          <w:sz w:val="24"/>
          <w:szCs w:val="24"/>
          <w:lang w:val="el-GR"/>
        </w:rPr>
        <w:t>Πρ</w:t>
      </w:r>
      <w:r w:rsidR="00840C91">
        <w:rPr>
          <w:rFonts w:eastAsia="Calibri" w:cstheme="minorHAnsi"/>
          <w:sz w:val="24"/>
          <w:szCs w:val="24"/>
          <w:lang w:val="el-GR"/>
        </w:rPr>
        <w:t>οέ</w:t>
      </w:r>
      <w:r>
        <w:rPr>
          <w:rFonts w:eastAsia="Calibri" w:cstheme="minorHAnsi"/>
          <w:sz w:val="24"/>
          <w:szCs w:val="24"/>
          <w:lang w:val="el-GR"/>
        </w:rPr>
        <w:t>δρου</w:t>
      </w:r>
      <w:r w:rsidRPr="00FA2FDF">
        <w:rPr>
          <w:rFonts w:eastAsia="Calibri" w:cstheme="minorHAnsi"/>
          <w:sz w:val="24"/>
          <w:szCs w:val="24"/>
          <w:lang w:val="el-GR"/>
        </w:rPr>
        <w:t>,</w:t>
      </w:r>
      <w:r w:rsidR="00A5147D" w:rsidRPr="00FA2FDF">
        <w:rPr>
          <w:rFonts w:eastAsia="Calibri" w:cstheme="minorHAnsi"/>
          <w:sz w:val="24"/>
          <w:szCs w:val="24"/>
          <w:lang w:val="el-GR"/>
        </w:rPr>
        <w:t xml:space="preserve"> </w:t>
      </w:r>
      <w:r>
        <w:rPr>
          <w:rFonts w:eastAsia="Calibri" w:cstheme="minorHAnsi"/>
          <w:sz w:val="24"/>
          <w:szCs w:val="24"/>
          <w:lang w:val="el-GR"/>
        </w:rPr>
        <w:t>την</w:t>
      </w:r>
      <w:r w:rsidRPr="00FA2FDF">
        <w:rPr>
          <w:rFonts w:eastAsia="Calibri" w:cstheme="minorHAnsi"/>
          <w:sz w:val="24"/>
          <w:szCs w:val="24"/>
          <w:lang w:val="el-GR"/>
        </w:rPr>
        <w:t xml:space="preserve"> </w:t>
      </w:r>
      <w:r>
        <w:rPr>
          <w:rFonts w:eastAsia="Calibri" w:cstheme="minorHAnsi"/>
          <w:sz w:val="24"/>
          <w:szCs w:val="24"/>
          <w:lang w:val="el-GR"/>
        </w:rPr>
        <w:t>σύνταξη</w:t>
      </w:r>
      <w:r w:rsidRPr="00FA2FDF">
        <w:rPr>
          <w:rFonts w:eastAsia="Calibri" w:cstheme="minorHAnsi"/>
          <w:sz w:val="24"/>
          <w:szCs w:val="24"/>
          <w:lang w:val="el-GR"/>
        </w:rPr>
        <w:t xml:space="preserve"> </w:t>
      </w:r>
      <w:r>
        <w:rPr>
          <w:rFonts w:eastAsia="Calibri" w:cstheme="minorHAnsi"/>
          <w:sz w:val="24"/>
          <w:szCs w:val="24"/>
          <w:lang w:val="el-GR"/>
        </w:rPr>
        <w:t>των</w:t>
      </w:r>
      <w:r w:rsidRPr="00FA2FDF">
        <w:rPr>
          <w:rFonts w:eastAsia="Calibri" w:cstheme="minorHAnsi"/>
          <w:sz w:val="24"/>
          <w:szCs w:val="24"/>
          <w:lang w:val="el-GR"/>
        </w:rPr>
        <w:t xml:space="preserve"> </w:t>
      </w:r>
      <w:r>
        <w:rPr>
          <w:rFonts w:eastAsia="Calibri" w:cstheme="minorHAnsi"/>
          <w:sz w:val="24"/>
          <w:szCs w:val="24"/>
          <w:lang w:val="el-GR"/>
        </w:rPr>
        <w:t>ομιλιών</w:t>
      </w:r>
      <w:r w:rsidRPr="00FA2FDF">
        <w:rPr>
          <w:rFonts w:eastAsia="Calibri" w:cstheme="minorHAnsi"/>
          <w:sz w:val="24"/>
          <w:szCs w:val="24"/>
          <w:lang w:val="el-GR"/>
        </w:rPr>
        <w:t xml:space="preserve"> </w:t>
      </w:r>
      <w:r>
        <w:rPr>
          <w:rFonts w:eastAsia="Calibri" w:cstheme="minorHAnsi"/>
          <w:sz w:val="24"/>
          <w:szCs w:val="24"/>
          <w:lang w:val="el-GR"/>
        </w:rPr>
        <w:t>του</w:t>
      </w:r>
      <w:r w:rsidRPr="00FA2FDF">
        <w:rPr>
          <w:rFonts w:eastAsia="Calibri" w:cstheme="minorHAnsi"/>
          <w:sz w:val="24"/>
          <w:szCs w:val="24"/>
          <w:lang w:val="el-GR"/>
        </w:rPr>
        <w:t xml:space="preserve"> </w:t>
      </w:r>
      <w:r>
        <w:rPr>
          <w:rFonts w:eastAsia="Calibri" w:cstheme="minorHAnsi"/>
          <w:sz w:val="24"/>
          <w:szCs w:val="24"/>
          <w:lang w:val="el-GR"/>
        </w:rPr>
        <w:t>Προέδρου</w:t>
      </w:r>
      <w:r w:rsidR="00A5147D" w:rsidRPr="00FA2FDF">
        <w:rPr>
          <w:rFonts w:eastAsia="Calibri" w:cstheme="minorHAnsi"/>
          <w:sz w:val="24"/>
          <w:szCs w:val="24"/>
          <w:lang w:val="el-GR"/>
        </w:rPr>
        <w:t xml:space="preserve"> </w:t>
      </w:r>
      <w:r>
        <w:rPr>
          <w:rFonts w:eastAsia="Calibri" w:cstheme="minorHAnsi"/>
          <w:sz w:val="24"/>
          <w:szCs w:val="24"/>
          <w:lang w:val="el-GR"/>
        </w:rPr>
        <w:t>πριν</w:t>
      </w:r>
      <w:r w:rsidRPr="00FA2FDF">
        <w:rPr>
          <w:rFonts w:eastAsia="Calibri" w:cstheme="minorHAnsi"/>
          <w:sz w:val="24"/>
          <w:szCs w:val="24"/>
          <w:lang w:val="el-GR"/>
        </w:rPr>
        <w:t xml:space="preserve"> </w:t>
      </w:r>
      <w:r>
        <w:rPr>
          <w:rFonts w:eastAsia="Calibri" w:cstheme="minorHAnsi"/>
          <w:sz w:val="24"/>
          <w:szCs w:val="24"/>
          <w:lang w:val="el-GR"/>
        </w:rPr>
        <w:t>τη</w:t>
      </w:r>
      <w:r w:rsidRPr="00FA2FDF">
        <w:rPr>
          <w:rFonts w:eastAsia="Calibri" w:cstheme="minorHAnsi"/>
          <w:sz w:val="24"/>
          <w:szCs w:val="24"/>
          <w:lang w:val="el-GR"/>
        </w:rPr>
        <w:t xml:space="preserve"> </w:t>
      </w:r>
      <w:r>
        <w:rPr>
          <w:rFonts w:eastAsia="Calibri" w:cstheme="minorHAnsi"/>
          <w:sz w:val="24"/>
          <w:szCs w:val="24"/>
          <w:lang w:val="el-GR"/>
        </w:rPr>
        <w:t>δημοσίε</w:t>
      </w:r>
      <w:r w:rsidR="00840C91">
        <w:rPr>
          <w:rFonts w:eastAsia="Calibri" w:cstheme="minorHAnsi"/>
          <w:sz w:val="24"/>
          <w:szCs w:val="24"/>
          <w:lang w:val="el-GR"/>
        </w:rPr>
        <w:t>υ</w:t>
      </w:r>
      <w:r>
        <w:rPr>
          <w:rFonts w:eastAsia="Calibri" w:cstheme="minorHAnsi"/>
          <w:sz w:val="24"/>
          <w:szCs w:val="24"/>
          <w:lang w:val="el-GR"/>
        </w:rPr>
        <w:t>ση</w:t>
      </w:r>
      <w:r w:rsidRPr="00FA2FDF">
        <w:rPr>
          <w:rFonts w:eastAsia="Calibri" w:cstheme="minorHAnsi"/>
          <w:sz w:val="24"/>
          <w:szCs w:val="24"/>
          <w:lang w:val="el-GR"/>
        </w:rPr>
        <w:t xml:space="preserve"> </w:t>
      </w:r>
      <w:r>
        <w:rPr>
          <w:rFonts w:eastAsia="Calibri" w:cstheme="minorHAnsi"/>
          <w:sz w:val="24"/>
          <w:szCs w:val="24"/>
          <w:lang w:val="el-GR"/>
        </w:rPr>
        <w:t>τους</w:t>
      </w:r>
      <w:r w:rsidRPr="00FA2FDF">
        <w:rPr>
          <w:rFonts w:eastAsia="Calibri" w:cstheme="minorHAnsi"/>
          <w:sz w:val="24"/>
          <w:szCs w:val="24"/>
          <w:lang w:val="el-GR"/>
        </w:rPr>
        <w:t>,</w:t>
      </w:r>
      <w:r w:rsidR="00A5147D" w:rsidRPr="00FA2FDF">
        <w:rPr>
          <w:rFonts w:eastAsia="Calibri" w:cstheme="minorHAnsi"/>
          <w:sz w:val="24"/>
          <w:szCs w:val="24"/>
          <w:lang w:val="el-GR"/>
        </w:rPr>
        <w:t xml:space="preserve"> </w:t>
      </w:r>
      <w:r>
        <w:rPr>
          <w:rFonts w:eastAsia="Calibri" w:cstheme="minorHAnsi"/>
          <w:sz w:val="24"/>
          <w:szCs w:val="24"/>
          <w:lang w:val="el-GR"/>
        </w:rPr>
        <w:t>τον</w:t>
      </w:r>
      <w:r w:rsidRPr="00FA2FDF">
        <w:rPr>
          <w:rFonts w:eastAsia="Calibri" w:cstheme="minorHAnsi"/>
          <w:sz w:val="24"/>
          <w:szCs w:val="24"/>
          <w:lang w:val="el-GR"/>
        </w:rPr>
        <w:t xml:space="preserve"> </w:t>
      </w:r>
      <w:r>
        <w:rPr>
          <w:rFonts w:eastAsia="Calibri" w:cstheme="minorHAnsi"/>
          <w:sz w:val="24"/>
          <w:szCs w:val="24"/>
          <w:lang w:val="el-GR"/>
        </w:rPr>
        <w:t>συντονισμό συνεντεύξεων</w:t>
      </w:r>
      <w:r w:rsidR="00A5147D" w:rsidRPr="00FA2FDF">
        <w:rPr>
          <w:rFonts w:eastAsia="Calibri" w:cstheme="minorHAnsi"/>
          <w:sz w:val="24"/>
          <w:szCs w:val="24"/>
          <w:lang w:val="el-GR"/>
        </w:rPr>
        <w:t xml:space="preserve">, </w:t>
      </w:r>
      <w:r w:rsidR="00840C91">
        <w:rPr>
          <w:rFonts w:eastAsia="Calibri" w:cstheme="minorHAnsi"/>
          <w:sz w:val="24"/>
          <w:szCs w:val="24"/>
          <w:lang w:val="el-GR"/>
        </w:rPr>
        <w:t>άρθρω</w:t>
      </w:r>
      <w:r>
        <w:rPr>
          <w:rFonts w:eastAsia="Calibri" w:cstheme="minorHAnsi"/>
          <w:sz w:val="24"/>
          <w:szCs w:val="24"/>
          <w:lang w:val="el-GR"/>
        </w:rPr>
        <w:t>ν και βίντεο μηνυμάτων,</w:t>
      </w:r>
      <w:r w:rsidR="00A5147D" w:rsidRPr="00FA2FDF">
        <w:rPr>
          <w:rFonts w:eastAsia="Calibri" w:cstheme="minorHAnsi"/>
          <w:sz w:val="24"/>
          <w:szCs w:val="24"/>
          <w:lang w:val="el-GR"/>
        </w:rPr>
        <w:t xml:space="preserve"> </w:t>
      </w:r>
      <w:r>
        <w:rPr>
          <w:rFonts w:eastAsia="Calibri" w:cstheme="minorHAnsi"/>
          <w:sz w:val="24"/>
          <w:szCs w:val="24"/>
          <w:lang w:val="el-GR"/>
        </w:rPr>
        <w:t xml:space="preserve">την ετοιμασία </w:t>
      </w:r>
      <w:r w:rsidR="00FE402F">
        <w:rPr>
          <w:rFonts w:eastAsia="Calibri" w:cstheme="minorHAnsi"/>
          <w:sz w:val="24"/>
          <w:szCs w:val="24"/>
          <w:lang w:val="el-GR"/>
        </w:rPr>
        <w:t>διασκέψεων τύπου και δηλώσεων</w:t>
      </w:r>
      <w:r w:rsidR="00A5147D" w:rsidRPr="00FA2FDF">
        <w:rPr>
          <w:rFonts w:eastAsia="Calibri" w:cstheme="minorHAnsi"/>
          <w:sz w:val="24"/>
          <w:szCs w:val="24"/>
          <w:lang w:val="el-GR"/>
        </w:rPr>
        <w:t xml:space="preserve">, </w:t>
      </w:r>
      <w:r w:rsidR="00FE402F">
        <w:rPr>
          <w:rFonts w:eastAsia="Calibri" w:cstheme="minorHAnsi"/>
          <w:sz w:val="24"/>
          <w:szCs w:val="24"/>
          <w:lang w:val="el-GR"/>
        </w:rPr>
        <w:t>μηνυμάτων</w:t>
      </w:r>
      <w:r w:rsidR="00A5147D" w:rsidRPr="00FA2FDF">
        <w:rPr>
          <w:rFonts w:eastAsia="Calibri" w:cstheme="minorHAnsi"/>
          <w:sz w:val="24"/>
          <w:szCs w:val="24"/>
          <w:lang w:val="el-GR"/>
        </w:rPr>
        <w:t xml:space="preserve"> </w:t>
      </w:r>
      <w:r w:rsidR="00FE402F">
        <w:rPr>
          <w:rFonts w:eastAsia="Calibri" w:cstheme="minorHAnsi"/>
          <w:sz w:val="24"/>
          <w:szCs w:val="24"/>
          <w:lang w:val="el-GR"/>
        </w:rPr>
        <w:t>κλπ</w:t>
      </w:r>
      <w:r w:rsidR="00A5147D" w:rsidRPr="00FA2FDF">
        <w:rPr>
          <w:rFonts w:eastAsia="Calibri" w:cstheme="minorHAnsi"/>
          <w:sz w:val="24"/>
          <w:szCs w:val="24"/>
          <w:lang w:val="el-GR"/>
        </w:rPr>
        <w:t xml:space="preserve">. </w:t>
      </w:r>
      <w:r w:rsidR="00FE402F">
        <w:rPr>
          <w:rFonts w:eastAsia="Calibri" w:cstheme="minorHAnsi"/>
          <w:sz w:val="24"/>
          <w:szCs w:val="24"/>
          <w:lang w:val="el-GR"/>
        </w:rPr>
        <w:t>του Προέδρου</w:t>
      </w:r>
      <w:r w:rsidR="00A5147D" w:rsidRPr="00FA2FDF">
        <w:rPr>
          <w:rFonts w:eastAsia="Calibri" w:cstheme="minorHAnsi"/>
          <w:sz w:val="24"/>
          <w:szCs w:val="24"/>
          <w:lang w:val="el-GR"/>
        </w:rPr>
        <w:t xml:space="preserve">, </w:t>
      </w:r>
      <w:r w:rsidR="00FE402F">
        <w:rPr>
          <w:rFonts w:eastAsia="Calibri" w:cstheme="minorHAnsi"/>
          <w:sz w:val="24"/>
          <w:szCs w:val="24"/>
          <w:lang w:val="el-GR"/>
        </w:rPr>
        <w:t xml:space="preserve">του Υφυπουργού παρά τω </w:t>
      </w:r>
      <w:proofErr w:type="spellStart"/>
      <w:r w:rsidR="00FE402F">
        <w:rPr>
          <w:rFonts w:eastAsia="Calibri" w:cstheme="minorHAnsi"/>
          <w:sz w:val="24"/>
          <w:szCs w:val="24"/>
          <w:lang w:val="el-GR"/>
        </w:rPr>
        <w:t>Προέδρω</w:t>
      </w:r>
      <w:proofErr w:type="spellEnd"/>
      <w:r w:rsidR="00A5147D" w:rsidRPr="00FA2FDF">
        <w:rPr>
          <w:rFonts w:eastAsia="Calibri" w:cstheme="minorHAnsi"/>
          <w:sz w:val="24"/>
          <w:szCs w:val="24"/>
          <w:lang w:val="el-GR"/>
        </w:rPr>
        <w:t xml:space="preserve">, </w:t>
      </w:r>
      <w:r w:rsidR="00FE402F">
        <w:rPr>
          <w:rFonts w:eastAsia="Calibri" w:cstheme="minorHAnsi"/>
          <w:sz w:val="24"/>
          <w:szCs w:val="24"/>
          <w:lang w:val="el-GR"/>
        </w:rPr>
        <w:t>του Κυβερνητικού Εκπροσώπου</w:t>
      </w:r>
      <w:r w:rsidR="00A5147D" w:rsidRPr="00FA2FDF">
        <w:rPr>
          <w:rFonts w:eastAsia="Calibri" w:cstheme="minorHAnsi"/>
          <w:sz w:val="24"/>
          <w:szCs w:val="24"/>
          <w:lang w:val="el-GR"/>
        </w:rPr>
        <w:t xml:space="preserve"> </w:t>
      </w:r>
      <w:r w:rsidR="00FE402F">
        <w:rPr>
          <w:rFonts w:eastAsia="Calibri" w:cstheme="minorHAnsi"/>
          <w:sz w:val="24"/>
          <w:szCs w:val="24"/>
          <w:lang w:val="el-GR"/>
        </w:rPr>
        <w:t>και την ενημέρωση των μέσων σε θέματα που σχετίζονται με τις δραστηριότητες του Προέδρου</w:t>
      </w:r>
      <w:r w:rsidR="00A5147D" w:rsidRPr="00FA2FDF">
        <w:rPr>
          <w:rFonts w:eastAsia="Calibri" w:cstheme="minorHAnsi"/>
          <w:sz w:val="24"/>
          <w:szCs w:val="24"/>
          <w:lang w:val="el-GR"/>
        </w:rPr>
        <w:t xml:space="preserve">. </w:t>
      </w:r>
    </w:p>
    <w:p w14:paraId="7E341518" w14:textId="77777777" w:rsidR="00DD29A2" w:rsidRPr="00FA2FDF" w:rsidRDefault="00DD29A2" w:rsidP="00DD29A2">
      <w:pPr>
        <w:tabs>
          <w:tab w:val="left" w:pos="709"/>
        </w:tabs>
        <w:rPr>
          <w:rFonts w:cstheme="minorHAnsi"/>
          <w:sz w:val="24"/>
          <w:szCs w:val="24"/>
          <w:lang w:val="el-GR"/>
        </w:rPr>
      </w:pPr>
    </w:p>
    <w:p w14:paraId="6411A043" w14:textId="429CF00B" w:rsidR="00A5147D" w:rsidRPr="00B51B1E" w:rsidRDefault="00FE402F" w:rsidP="00CF2E8A">
      <w:pPr>
        <w:numPr>
          <w:ilvl w:val="0"/>
          <w:numId w:val="1"/>
        </w:numPr>
        <w:tabs>
          <w:tab w:val="clear" w:pos="6095"/>
          <w:tab w:val="left" w:pos="709"/>
        </w:tabs>
        <w:ind w:left="0" w:firstLine="0"/>
        <w:rPr>
          <w:rFonts w:cstheme="minorHAnsi"/>
          <w:sz w:val="24"/>
          <w:szCs w:val="24"/>
          <w:lang w:val="el-GR"/>
        </w:rPr>
      </w:pPr>
      <w:bookmarkStart w:id="43" w:name="_Hlk132888042"/>
      <w:r>
        <w:rPr>
          <w:rFonts w:cstheme="minorHAnsi"/>
          <w:sz w:val="24"/>
          <w:szCs w:val="24"/>
          <w:lang w:val="el-GR"/>
        </w:rPr>
        <w:t>Ο</w:t>
      </w:r>
      <w:r w:rsidRPr="00FE402F">
        <w:rPr>
          <w:rFonts w:cstheme="minorHAnsi"/>
          <w:sz w:val="24"/>
          <w:szCs w:val="24"/>
          <w:lang w:val="el-GR"/>
        </w:rPr>
        <w:t xml:space="preserve"> </w:t>
      </w:r>
      <w:r w:rsidR="00840C91">
        <w:rPr>
          <w:rFonts w:cstheme="minorHAnsi"/>
          <w:sz w:val="24"/>
          <w:szCs w:val="24"/>
          <w:lang w:val="el-GR"/>
        </w:rPr>
        <w:t>Πρόεδρος</w:t>
      </w:r>
      <w:r w:rsidRPr="00FE402F">
        <w:rPr>
          <w:rFonts w:cstheme="minorHAnsi"/>
          <w:sz w:val="24"/>
          <w:szCs w:val="24"/>
          <w:lang w:val="el-GR"/>
        </w:rPr>
        <w:t xml:space="preserve"> </w:t>
      </w:r>
      <w:r>
        <w:rPr>
          <w:rFonts w:cstheme="minorHAnsi"/>
          <w:sz w:val="24"/>
          <w:szCs w:val="24"/>
          <w:lang w:val="el-GR"/>
        </w:rPr>
        <w:t>τη</w:t>
      </w:r>
      <w:r w:rsidR="0020754C">
        <w:rPr>
          <w:rFonts w:cstheme="minorHAnsi"/>
          <w:sz w:val="24"/>
          <w:szCs w:val="24"/>
          <w:lang w:val="el-GR"/>
        </w:rPr>
        <w:t>ς</w:t>
      </w:r>
      <w:r w:rsidRPr="00FE402F">
        <w:rPr>
          <w:rFonts w:cstheme="minorHAnsi"/>
          <w:sz w:val="24"/>
          <w:szCs w:val="24"/>
          <w:lang w:val="el-GR"/>
        </w:rPr>
        <w:t xml:space="preserve"> </w:t>
      </w:r>
      <w:r>
        <w:rPr>
          <w:rFonts w:cstheme="minorHAnsi"/>
          <w:sz w:val="24"/>
          <w:szCs w:val="24"/>
          <w:lang w:val="el-GR"/>
        </w:rPr>
        <w:t>Δημοκρατίας</w:t>
      </w:r>
      <w:r w:rsidR="00DD29A2" w:rsidRPr="00FE402F">
        <w:rPr>
          <w:rFonts w:cstheme="minorHAnsi"/>
          <w:sz w:val="24"/>
          <w:szCs w:val="24"/>
          <w:lang w:val="el-GR"/>
        </w:rPr>
        <w:t xml:space="preserve"> </w:t>
      </w:r>
      <w:r>
        <w:rPr>
          <w:rFonts w:cstheme="minorHAnsi"/>
          <w:sz w:val="24"/>
          <w:szCs w:val="24"/>
          <w:lang w:val="el-GR"/>
        </w:rPr>
        <w:t>έχει</w:t>
      </w:r>
      <w:r w:rsidRPr="00FE402F">
        <w:rPr>
          <w:rFonts w:cstheme="minorHAnsi"/>
          <w:sz w:val="24"/>
          <w:szCs w:val="24"/>
          <w:lang w:val="el-GR"/>
        </w:rPr>
        <w:t xml:space="preserve"> </w:t>
      </w:r>
      <w:r>
        <w:rPr>
          <w:rFonts w:cstheme="minorHAnsi"/>
          <w:sz w:val="24"/>
          <w:szCs w:val="24"/>
          <w:lang w:val="el-GR"/>
        </w:rPr>
        <w:t>το</w:t>
      </w:r>
      <w:r w:rsidRPr="00FE402F">
        <w:rPr>
          <w:rFonts w:cstheme="minorHAnsi"/>
          <w:sz w:val="24"/>
          <w:szCs w:val="24"/>
          <w:lang w:val="el-GR"/>
        </w:rPr>
        <w:t xml:space="preserve"> </w:t>
      </w:r>
      <w:r>
        <w:rPr>
          <w:rFonts w:cstheme="minorHAnsi"/>
          <w:sz w:val="24"/>
          <w:szCs w:val="24"/>
          <w:lang w:val="el-GR"/>
        </w:rPr>
        <w:t>δικαίωμα</w:t>
      </w:r>
      <w:r w:rsidRPr="00FE402F">
        <w:rPr>
          <w:rFonts w:cstheme="minorHAnsi"/>
          <w:sz w:val="24"/>
          <w:szCs w:val="24"/>
          <w:lang w:val="el-GR"/>
        </w:rPr>
        <w:t xml:space="preserve"> </w:t>
      </w:r>
      <w:r>
        <w:rPr>
          <w:rFonts w:cstheme="minorHAnsi"/>
          <w:sz w:val="24"/>
          <w:szCs w:val="24"/>
          <w:lang w:val="el-GR"/>
        </w:rPr>
        <w:t>να</w:t>
      </w:r>
      <w:r w:rsidRPr="00FE402F">
        <w:rPr>
          <w:rFonts w:cstheme="minorHAnsi"/>
          <w:sz w:val="24"/>
          <w:szCs w:val="24"/>
          <w:lang w:val="el-GR"/>
        </w:rPr>
        <w:t xml:space="preserve"> </w:t>
      </w:r>
      <w:r>
        <w:rPr>
          <w:rFonts w:cstheme="minorHAnsi"/>
          <w:sz w:val="24"/>
          <w:szCs w:val="24"/>
          <w:lang w:val="el-GR"/>
        </w:rPr>
        <w:t>διορίσει</w:t>
      </w:r>
      <w:r w:rsidR="00DD29A2" w:rsidRPr="00FE402F">
        <w:rPr>
          <w:rFonts w:cs="Calibri"/>
          <w:sz w:val="24"/>
          <w:szCs w:val="24"/>
          <w:lang w:val="el-GR"/>
        </w:rPr>
        <w:t xml:space="preserve"> </w:t>
      </w:r>
      <w:r>
        <w:rPr>
          <w:rFonts w:cs="Calibri"/>
          <w:sz w:val="24"/>
          <w:szCs w:val="24"/>
          <w:u w:val="single"/>
          <w:lang w:val="el-GR"/>
        </w:rPr>
        <w:t>συμβούλους</w:t>
      </w:r>
      <w:r w:rsidRPr="00FE402F">
        <w:rPr>
          <w:rFonts w:cs="Calibri"/>
          <w:sz w:val="24"/>
          <w:szCs w:val="24"/>
          <w:u w:val="single"/>
          <w:lang w:val="el-GR"/>
        </w:rPr>
        <w:t xml:space="preserve"> </w:t>
      </w:r>
      <w:r>
        <w:rPr>
          <w:rFonts w:cs="Calibri"/>
          <w:sz w:val="24"/>
          <w:szCs w:val="24"/>
          <w:u w:val="single"/>
          <w:lang w:val="el-GR"/>
        </w:rPr>
        <w:t>και</w:t>
      </w:r>
      <w:r w:rsidRPr="00FE402F">
        <w:rPr>
          <w:rFonts w:cs="Calibri"/>
          <w:sz w:val="24"/>
          <w:szCs w:val="24"/>
          <w:u w:val="single"/>
          <w:lang w:val="el-GR"/>
        </w:rPr>
        <w:t>/</w:t>
      </w:r>
      <w:r>
        <w:rPr>
          <w:rFonts w:cs="Calibri"/>
          <w:sz w:val="24"/>
          <w:szCs w:val="24"/>
          <w:u w:val="single"/>
          <w:lang w:val="el-GR"/>
        </w:rPr>
        <w:t>ή</w:t>
      </w:r>
      <w:r w:rsidR="00DD29A2" w:rsidRPr="00FE402F">
        <w:rPr>
          <w:rFonts w:cs="Calibri"/>
          <w:sz w:val="24"/>
          <w:szCs w:val="24"/>
          <w:u w:val="single"/>
          <w:lang w:val="el-GR"/>
        </w:rPr>
        <w:t xml:space="preserve"> </w:t>
      </w:r>
      <w:r>
        <w:rPr>
          <w:rFonts w:cs="Calibri"/>
          <w:sz w:val="24"/>
          <w:szCs w:val="24"/>
          <w:u w:val="single"/>
          <w:lang w:val="el-GR"/>
        </w:rPr>
        <w:t>συνεργάτες</w:t>
      </w:r>
      <w:r w:rsidR="00DD29A2" w:rsidRPr="00FE402F">
        <w:rPr>
          <w:rFonts w:cs="Calibri"/>
          <w:sz w:val="24"/>
          <w:szCs w:val="24"/>
          <w:lang w:val="el-GR"/>
        </w:rPr>
        <w:t xml:space="preserve">, </w:t>
      </w:r>
      <w:r>
        <w:rPr>
          <w:rFonts w:cs="Calibri"/>
          <w:sz w:val="24"/>
          <w:szCs w:val="24"/>
          <w:lang w:val="el-GR"/>
        </w:rPr>
        <w:t xml:space="preserve">σύμφωνα με το πεδίο της </w:t>
      </w:r>
      <w:r w:rsidR="00432515">
        <w:rPr>
          <w:rFonts w:cs="Calibri"/>
          <w:sz w:val="24"/>
          <w:szCs w:val="24"/>
          <w:lang w:val="el-GR"/>
        </w:rPr>
        <w:t xml:space="preserve">ειδικότητας </w:t>
      </w:r>
      <w:r>
        <w:rPr>
          <w:rFonts w:cs="Calibri"/>
          <w:sz w:val="24"/>
          <w:szCs w:val="24"/>
          <w:lang w:val="el-GR"/>
        </w:rPr>
        <w:t>τους</w:t>
      </w:r>
      <w:r w:rsidR="00DD29A2" w:rsidRPr="00FE402F">
        <w:rPr>
          <w:rFonts w:cstheme="minorHAnsi"/>
          <w:sz w:val="24"/>
          <w:szCs w:val="24"/>
          <w:lang w:val="el-GR"/>
        </w:rPr>
        <w:t xml:space="preserve">, </w:t>
      </w:r>
      <w:r>
        <w:rPr>
          <w:rFonts w:cstheme="minorHAnsi"/>
          <w:sz w:val="24"/>
          <w:szCs w:val="24"/>
          <w:lang w:val="el-GR"/>
        </w:rPr>
        <w:t>είτε</w:t>
      </w:r>
      <w:r w:rsidR="00432515">
        <w:rPr>
          <w:rFonts w:cstheme="minorHAnsi"/>
          <w:sz w:val="24"/>
          <w:szCs w:val="24"/>
          <w:lang w:val="el-GR"/>
        </w:rPr>
        <w:t xml:space="preserve"> έμμισθους </w:t>
      </w:r>
      <w:r>
        <w:rPr>
          <w:rFonts w:cs="Calibri"/>
          <w:sz w:val="24"/>
          <w:szCs w:val="24"/>
          <w:lang w:val="el-GR"/>
        </w:rPr>
        <w:t>είτε</w:t>
      </w:r>
      <w:r w:rsidR="00DD29A2" w:rsidRPr="00FE402F">
        <w:rPr>
          <w:rFonts w:cs="Calibri"/>
          <w:sz w:val="24"/>
          <w:szCs w:val="24"/>
          <w:lang w:val="el-GR"/>
        </w:rPr>
        <w:t xml:space="preserve"> </w:t>
      </w:r>
      <w:r w:rsidR="00DD29A2" w:rsidRPr="00B95983">
        <w:rPr>
          <w:rFonts w:cs="Calibri"/>
          <w:i/>
          <w:iCs/>
          <w:sz w:val="24"/>
          <w:szCs w:val="24"/>
        </w:rPr>
        <w:t>pro</w:t>
      </w:r>
      <w:r w:rsidR="00DD29A2" w:rsidRPr="00FE402F">
        <w:rPr>
          <w:rFonts w:cs="Calibri"/>
          <w:i/>
          <w:iCs/>
          <w:sz w:val="24"/>
          <w:szCs w:val="24"/>
          <w:lang w:val="el-GR"/>
        </w:rPr>
        <w:t xml:space="preserve"> </w:t>
      </w:r>
      <w:r w:rsidR="00DD29A2" w:rsidRPr="00B95983">
        <w:rPr>
          <w:rFonts w:cs="Calibri"/>
          <w:i/>
          <w:iCs/>
          <w:sz w:val="24"/>
          <w:szCs w:val="24"/>
        </w:rPr>
        <w:t>bono</w:t>
      </w:r>
      <w:r>
        <w:rPr>
          <w:rFonts w:cs="Calibri"/>
          <w:i/>
          <w:iCs/>
          <w:sz w:val="24"/>
          <w:szCs w:val="24"/>
          <w:lang w:val="el-GR"/>
        </w:rPr>
        <w:t xml:space="preserve"> (αμισθί)</w:t>
      </w:r>
      <w:r w:rsidR="00DD29A2" w:rsidRPr="00FE402F">
        <w:rPr>
          <w:rFonts w:cs="Calibri"/>
          <w:sz w:val="24"/>
          <w:szCs w:val="24"/>
          <w:lang w:val="el-GR"/>
        </w:rPr>
        <w:t xml:space="preserve">. </w:t>
      </w:r>
      <w:r>
        <w:rPr>
          <w:rFonts w:cs="Calibri"/>
          <w:sz w:val="24"/>
          <w:szCs w:val="24"/>
          <w:lang w:val="el-GR"/>
        </w:rPr>
        <w:t>Όλες</w:t>
      </w:r>
      <w:r w:rsidRPr="00FE402F">
        <w:rPr>
          <w:rFonts w:cs="Calibri"/>
          <w:sz w:val="24"/>
          <w:szCs w:val="24"/>
          <w:lang w:val="el-GR"/>
        </w:rPr>
        <w:t xml:space="preserve"> </w:t>
      </w:r>
      <w:r>
        <w:rPr>
          <w:rFonts w:cs="Calibri"/>
          <w:sz w:val="24"/>
          <w:szCs w:val="24"/>
          <w:lang w:val="el-GR"/>
        </w:rPr>
        <w:t>οι</w:t>
      </w:r>
      <w:r w:rsidRPr="00FE402F">
        <w:rPr>
          <w:rFonts w:cs="Calibri"/>
          <w:sz w:val="24"/>
          <w:szCs w:val="24"/>
          <w:lang w:val="el-GR"/>
        </w:rPr>
        <w:t xml:space="preserve"> </w:t>
      </w:r>
      <w:r>
        <w:rPr>
          <w:rFonts w:cs="Calibri"/>
          <w:sz w:val="24"/>
          <w:szCs w:val="24"/>
          <w:lang w:val="el-GR"/>
        </w:rPr>
        <w:t>υπηρεσίες</w:t>
      </w:r>
      <w:r w:rsidRPr="00FE402F">
        <w:rPr>
          <w:rFonts w:cs="Calibri"/>
          <w:sz w:val="24"/>
          <w:szCs w:val="24"/>
          <w:lang w:val="el-GR"/>
        </w:rPr>
        <w:t xml:space="preserve"> </w:t>
      </w:r>
      <w:r>
        <w:rPr>
          <w:rFonts w:cs="Calibri"/>
          <w:sz w:val="24"/>
          <w:szCs w:val="24"/>
          <w:lang w:val="el-GR"/>
        </w:rPr>
        <w:t>συμβούλων</w:t>
      </w:r>
      <w:r w:rsidRPr="00FE402F">
        <w:rPr>
          <w:rFonts w:cs="Calibri"/>
          <w:sz w:val="24"/>
          <w:szCs w:val="24"/>
          <w:lang w:val="el-GR"/>
        </w:rPr>
        <w:t xml:space="preserve"> </w:t>
      </w:r>
      <w:r>
        <w:rPr>
          <w:rFonts w:cs="Calibri"/>
          <w:sz w:val="24"/>
          <w:szCs w:val="24"/>
          <w:lang w:val="el-GR"/>
        </w:rPr>
        <w:t>και</w:t>
      </w:r>
      <w:r w:rsidRPr="00FE402F">
        <w:rPr>
          <w:rFonts w:cs="Calibri"/>
          <w:sz w:val="24"/>
          <w:szCs w:val="24"/>
          <w:lang w:val="el-GR"/>
        </w:rPr>
        <w:t xml:space="preserve"> </w:t>
      </w:r>
      <w:r>
        <w:rPr>
          <w:rFonts w:cs="Calibri"/>
          <w:sz w:val="24"/>
          <w:szCs w:val="24"/>
          <w:lang w:val="el-GR"/>
        </w:rPr>
        <w:t>συνεργατών</w:t>
      </w:r>
      <w:r w:rsidRPr="00FE402F">
        <w:rPr>
          <w:rFonts w:cs="Calibri"/>
          <w:sz w:val="24"/>
          <w:szCs w:val="24"/>
          <w:lang w:val="el-GR"/>
        </w:rPr>
        <w:t xml:space="preserve"> </w:t>
      </w:r>
      <w:r>
        <w:rPr>
          <w:rFonts w:cs="Calibri"/>
          <w:sz w:val="24"/>
          <w:szCs w:val="24"/>
          <w:lang w:val="el-GR"/>
        </w:rPr>
        <w:t>τερματίζονται</w:t>
      </w:r>
      <w:r w:rsidRPr="00FE402F">
        <w:rPr>
          <w:rFonts w:cs="Calibri"/>
          <w:sz w:val="24"/>
          <w:szCs w:val="24"/>
          <w:lang w:val="el-GR"/>
        </w:rPr>
        <w:t xml:space="preserve"> </w:t>
      </w:r>
      <w:r>
        <w:rPr>
          <w:rFonts w:cs="Calibri"/>
          <w:sz w:val="24"/>
          <w:szCs w:val="24"/>
          <w:lang w:val="el-GR"/>
        </w:rPr>
        <w:t>το</w:t>
      </w:r>
      <w:r w:rsidRPr="00FE402F">
        <w:rPr>
          <w:rFonts w:cs="Calibri"/>
          <w:sz w:val="24"/>
          <w:szCs w:val="24"/>
          <w:lang w:val="el-GR"/>
        </w:rPr>
        <w:t xml:space="preserve"> </w:t>
      </w:r>
      <w:r>
        <w:rPr>
          <w:rFonts w:cs="Calibri"/>
          <w:sz w:val="24"/>
          <w:szCs w:val="24"/>
          <w:lang w:val="el-GR"/>
        </w:rPr>
        <w:t>αργότερο</w:t>
      </w:r>
      <w:r w:rsidR="00DD29A2" w:rsidRPr="00FE402F">
        <w:rPr>
          <w:rFonts w:cs="Calibri"/>
          <w:sz w:val="24"/>
          <w:szCs w:val="24"/>
          <w:lang w:val="el-GR"/>
        </w:rPr>
        <w:t xml:space="preserve"> </w:t>
      </w:r>
      <w:r w:rsidR="00432515">
        <w:rPr>
          <w:rFonts w:cs="Calibri"/>
          <w:sz w:val="24"/>
          <w:szCs w:val="24"/>
          <w:lang w:val="el-GR"/>
        </w:rPr>
        <w:t xml:space="preserve">με τη λήξη της </w:t>
      </w:r>
      <w:r>
        <w:rPr>
          <w:rFonts w:cs="Calibri"/>
          <w:sz w:val="24"/>
          <w:szCs w:val="24"/>
          <w:lang w:val="el-GR"/>
        </w:rPr>
        <w:t>πενταετ</w:t>
      </w:r>
      <w:r w:rsidR="00432515">
        <w:rPr>
          <w:rFonts w:cs="Calibri"/>
          <w:sz w:val="24"/>
          <w:szCs w:val="24"/>
          <w:lang w:val="el-GR"/>
        </w:rPr>
        <w:t>ούς</w:t>
      </w:r>
      <w:r>
        <w:rPr>
          <w:rFonts w:cs="Calibri"/>
          <w:sz w:val="24"/>
          <w:szCs w:val="24"/>
          <w:lang w:val="el-GR"/>
        </w:rPr>
        <w:t xml:space="preserve"> θητεία</w:t>
      </w:r>
      <w:r w:rsidR="00432515">
        <w:rPr>
          <w:rFonts w:cs="Calibri"/>
          <w:sz w:val="24"/>
          <w:szCs w:val="24"/>
          <w:lang w:val="el-GR"/>
        </w:rPr>
        <w:t>ς</w:t>
      </w:r>
      <w:r>
        <w:rPr>
          <w:rFonts w:cs="Calibri"/>
          <w:sz w:val="24"/>
          <w:szCs w:val="24"/>
          <w:lang w:val="el-GR"/>
        </w:rPr>
        <w:t xml:space="preserve"> του Προέδρου της Δημοκρατίας</w:t>
      </w:r>
      <w:r w:rsidR="00DD29A2" w:rsidRPr="00FE402F">
        <w:rPr>
          <w:rFonts w:cs="Calibri"/>
          <w:sz w:val="24"/>
          <w:szCs w:val="24"/>
          <w:lang w:val="el-GR"/>
        </w:rPr>
        <w:t>.</w:t>
      </w:r>
      <w:r w:rsidR="00DD29A2" w:rsidRPr="00FE402F">
        <w:rPr>
          <w:rFonts w:cstheme="minorHAnsi"/>
          <w:sz w:val="24"/>
          <w:szCs w:val="24"/>
          <w:lang w:val="el-GR"/>
        </w:rPr>
        <w:t xml:space="preserve"> </w:t>
      </w:r>
      <w:r>
        <w:rPr>
          <w:rFonts w:cstheme="minorHAnsi"/>
          <w:sz w:val="24"/>
          <w:szCs w:val="24"/>
          <w:lang w:val="el-GR"/>
        </w:rPr>
        <w:t>Υπάρχουν</w:t>
      </w:r>
      <w:r w:rsidRPr="00FE402F">
        <w:rPr>
          <w:rFonts w:cstheme="minorHAnsi"/>
          <w:sz w:val="24"/>
          <w:szCs w:val="24"/>
          <w:lang w:val="el-GR"/>
        </w:rPr>
        <w:t xml:space="preserve"> </w:t>
      </w:r>
      <w:r w:rsidR="008D35D6">
        <w:rPr>
          <w:rFonts w:cstheme="minorHAnsi"/>
          <w:sz w:val="24"/>
          <w:szCs w:val="24"/>
          <w:lang w:val="el-GR"/>
        </w:rPr>
        <w:t>στην παρούσα φάση</w:t>
      </w:r>
      <w:r w:rsidR="009B2AF9">
        <w:rPr>
          <w:rFonts w:cstheme="minorHAnsi"/>
          <w:sz w:val="24"/>
          <w:szCs w:val="24"/>
          <w:lang w:val="el-GR"/>
        </w:rPr>
        <w:t xml:space="preserve"> </w:t>
      </w:r>
      <w:r>
        <w:rPr>
          <w:rFonts w:cstheme="minorHAnsi"/>
          <w:sz w:val="24"/>
          <w:szCs w:val="24"/>
          <w:lang w:val="el-GR"/>
        </w:rPr>
        <w:t>δύο</w:t>
      </w:r>
      <w:r w:rsidRPr="00FE402F">
        <w:rPr>
          <w:rFonts w:cstheme="minorHAnsi"/>
          <w:sz w:val="24"/>
          <w:szCs w:val="24"/>
          <w:lang w:val="el-GR"/>
        </w:rPr>
        <w:t xml:space="preserve"> </w:t>
      </w:r>
      <w:r>
        <w:rPr>
          <w:rFonts w:cstheme="minorHAnsi"/>
          <w:sz w:val="24"/>
          <w:szCs w:val="24"/>
          <w:lang w:val="el-GR"/>
        </w:rPr>
        <w:t>σύμβουλοι</w:t>
      </w:r>
      <w:r w:rsidRPr="00FE402F">
        <w:rPr>
          <w:rFonts w:cstheme="minorHAnsi"/>
          <w:sz w:val="24"/>
          <w:szCs w:val="24"/>
          <w:lang w:val="el-GR"/>
        </w:rPr>
        <w:t xml:space="preserve"> </w:t>
      </w:r>
      <w:r>
        <w:rPr>
          <w:rFonts w:cstheme="minorHAnsi"/>
          <w:sz w:val="24"/>
          <w:szCs w:val="24"/>
          <w:lang w:val="el-GR"/>
        </w:rPr>
        <w:t>του</w:t>
      </w:r>
      <w:r w:rsidRPr="00FE402F">
        <w:rPr>
          <w:rFonts w:cstheme="minorHAnsi"/>
          <w:sz w:val="24"/>
          <w:szCs w:val="24"/>
          <w:lang w:val="el-GR"/>
        </w:rPr>
        <w:t xml:space="preserve"> </w:t>
      </w:r>
      <w:r>
        <w:rPr>
          <w:rFonts w:cstheme="minorHAnsi"/>
          <w:sz w:val="24"/>
          <w:szCs w:val="24"/>
          <w:lang w:val="el-GR"/>
        </w:rPr>
        <w:t>Προέδρου</w:t>
      </w:r>
      <w:r w:rsidRPr="00FE402F">
        <w:rPr>
          <w:rFonts w:cstheme="minorHAnsi"/>
          <w:sz w:val="24"/>
          <w:szCs w:val="24"/>
          <w:lang w:val="el-GR"/>
        </w:rPr>
        <w:t xml:space="preserve"> </w:t>
      </w:r>
      <w:r>
        <w:rPr>
          <w:rFonts w:cstheme="minorHAnsi"/>
          <w:sz w:val="24"/>
          <w:szCs w:val="24"/>
          <w:lang w:val="el-GR"/>
        </w:rPr>
        <w:t>της</w:t>
      </w:r>
      <w:r w:rsidRPr="00FE402F">
        <w:rPr>
          <w:rFonts w:cstheme="minorHAnsi"/>
          <w:sz w:val="24"/>
          <w:szCs w:val="24"/>
          <w:lang w:val="el-GR"/>
        </w:rPr>
        <w:t xml:space="preserve"> </w:t>
      </w:r>
      <w:r>
        <w:rPr>
          <w:rFonts w:cstheme="minorHAnsi"/>
          <w:sz w:val="24"/>
          <w:szCs w:val="24"/>
          <w:lang w:val="el-GR"/>
        </w:rPr>
        <w:t>Δημοκρατίας</w:t>
      </w:r>
      <w:r w:rsidR="00DD29A2" w:rsidRPr="00FE402F">
        <w:rPr>
          <w:rFonts w:cstheme="minorHAnsi"/>
          <w:sz w:val="24"/>
          <w:szCs w:val="24"/>
          <w:lang w:val="el-GR"/>
        </w:rPr>
        <w:t xml:space="preserve"> </w:t>
      </w:r>
      <w:r>
        <w:rPr>
          <w:rFonts w:cstheme="minorHAnsi"/>
          <w:sz w:val="24"/>
          <w:szCs w:val="24"/>
          <w:lang w:val="el-GR"/>
        </w:rPr>
        <w:t>και</w:t>
      </w:r>
      <w:r w:rsidRPr="00FE402F">
        <w:rPr>
          <w:rFonts w:cstheme="minorHAnsi"/>
          <w:sz w:val="24"/>
          <w:szCs w:val="24"/>
          <w:lang w:val="el-GR"/>
        </w:rPr>
        <w:t xml:space="preserve"> </w:t>
      </w:r>
      <w:r>
        <w:rPr>
          <w:rFonts w:cstheme="minorHAnsi"/>
          <w:sz w:val="24"/>
          <w:szCs w:val="24"/>
          <w:lang w:val="el-GR"/>
        </w:rPr>
        <w:t>οι</w:t>
      </w:r>
      <w:r w:rsidRPr="00FE402F">
        <w:rPr>
          <w:rFonts w:cstheme="minorHAnsi"/>
          <w:sz w:val="24"/>
          <w:szCs w:val="24"/>
          <w:lang w:val="el-GR"/>
        </w:rPr>
        <w:t xml:space="preserve"> </w:t>
      </w:r>
      <w:r>
        <w:rPr>
          <w:rFonts w:cstheme="minorHAnsi"/>
          <w:sz w:val="24"/>
          <w:szCs w:val="24"/>
          <w:lang w:val="el-GR"/>
        </w:rPr>
        <w:t>υπηρεσίες</w:t>
      </w:r>
      <w:r w:rsidRPr="00FE402F">
        <w:rPr>
          <w:rFonts w:cstheme="minorHAnsi"/>
          <w:sz w:val="24"/>
          <w:szCs w:val="24"/>
          <w:lang w:val="el-GR"/>
        </w:rPr>
        <w:t xml:space="preserve"> </w:t>
      </w:r>
      <w:r>
        <w:rPr>
          <w:rFonts w:cstheme="minorHAnsi"/>
          <w:sz w:val="24"/>
          <w:szCs w:val="24"/>
          <w:lang w:val="el-GR"/>
        </w:rPr>
        <w:t>τους</w:t>
      </w:r>
      <w:r w:rsidRPr="00FE402F">
        <w:rPr>
          <w:rFonts w:cstheme="minorHAnsi"/>
          <w:sz w:val="24"/>
          <w:szCs w:val="24"/>
          <w:lang w:val="el-GR"/>
        </w:rPr>
        <w:t xml:space="preserve"> </w:t>
      </w:r>
      <w:r>
        <w:rPr>
          <w:rFonts w:cstheme="minorHAnsi"/>
          <w:sz w:val="24"/>
          <w:szCs w:val="24"/>
          <w:lang w:val="el-GR"/>
        </w:rPr>
        <w:t>δεν</w:t>
      </w:r>
      <w:r w:rsidRPr="00FE402F">
        <w:rPr>
          <w:rFonts w:cstheme="minorHAnsi"/>
          <w:sz w:val="24"/>
          <w:szCs w:val="24"/>
          <w:lang w:val="el-GR"/>
        </w:rPr>
        <w:t xml:space="preserve"> </w:t>
      </w:r>
      <w:r>
        <w:rPr>
          <w:rFonts w:cstheme="minorHAnsi"/>
          <w:sz w:val="24"/>
          <w:szCs w:val="24"/>
          <w:lang w:val="el-GR"/>
        </w:rPr>
        <w:t>συνεπάγονται καμιά αμοιβή</w:t>
      </w:r>
      <w:r w:rsidR="00DD29A2" w:rsidRPr="00FE402F">
        <w:rPr>
          <w:rFonts w:cs="Calibri"/>
          <w:sz w:val="24"/>
          <w:szCs w:val="24"/>
          <w:lang w:val="el-GR"/>
        </w:rPr>
        <w:t xml:space="preserve"> (</w:t>
      </w:r>
      <w:r>
        <w:rPr>
          <w:rFonts w:cs="Calibri"/>
          <w:sz w:val="24"/>
          <w:szCs w:val="24"/>
          <w:lang w:val="el-GR"/>
        </w:rPr>
        <w:t>ένας είναι Οικονομικός Σύμβουλος</w:t>
      </w:r>
      <w:r w:rsidR="00DD29A2" w:rsidRPr="00FE402F">
        <w:rPr>
          <w:rFonts w:cs="Calibri"/>
          <w:sz w:val="24"/>
          <w:szCs w:val="24"/>
          <w:lang w:val="el-GR"/>
        </w:rPr>
        <w:t xml:space="preserve"> </w:t>
      </w:r>
      <w:r>
        <w:rPr>
          <w:rFonts w:cs="Calibri"/>
          <w:sz w:val="24"/>
          <w:szCs w:val="24"/>
          <w:lang w:val="el-GR"/>
        </w:rPr>
        <w:t xml:space="preserve">και </w:t>
      </w:r>
      <w:r w:rsidR="00840C91">
        <w:rPr>
          <w:rFonts w:cs="Calibri"/>
          <w:sz w:val="24"/>
          <w:szCs w:val="24"/>
          <w:lang w:val="el-GR"/>
        </w:rPr>
        <w:t>ο</w:t>
      </w:r>
      <w:r>
        <w:rPr>
          <w:rFonts w:cs="Calibri"/>
          <w:sz w:val="24"/>
          <w:szCs w:val="24"/>
          <w:lang w:val="el-GR"/>
        </w:rPr>
        <w:t xml:space="preserve"> άλλος είναι σύμβουλος</w:t>
      </w:r>
      <w:r w:rsidR="00DD29A2" w:rsidRPr="00FE402F">
        <w:rPr>
          <w:rFonts w:cs="Calibri"/>
          <w:sz w:val="24"/>
          <w:szCs w:val="24"/>
          <w:lang w:val="el-GR"/>
        </w:rPr>
        <w:t xml:space="preserve"> </w:t>
      </w:r>
      <w:r>
        <w:rPr>
          <w:rFonts w:cs="Calibri"/>
          <w:sz w:val="24"/>
          <w:szCs w:val="24"/>
          <w:lang w:val="el-GR"/>
        </w:rPr>
        <w:t>Διαχείρ</w:t>
      </w:r>
      <w:r w:rsidR="009B2AF9">
        <w:rPr>
          <w:rFonts w:cs="Calibri"/>
          <w:sz w:val="24"/>
          <w:szCs w:val="24"/>
          <w:lang w:val="el-GR"/>
        </w:rPr>
        <w:t>ι</w:t>
      </w:r>
      <w:r>
        <w:rPr>
          <w:rFonts w:cs="Calibri"/>
          <w:sz w:val="24"/>
          <w:szCs w:val="24"/>
          <w:lang w:val="el-GR"/>
        </w:rPr>
        <w:t>σης Κρίσεων και</w:t>
      </w:r>
      <w:r w:rsidR="00DD29A2" w:rsidRPr="00FE402F">
        <w:rPr>
          <w:rFonts w:cs="Calibri"/>
          <w:sz w:val="24"/>
          <w:szCs w:val="24"/>
          <w:lang w:val="el-GR"/>
        </w:rPr>
        <w:t xml:space="preserve"> </w:t>
      </w:r>
      <w:r>
        <w:rPr>
          <w:rFonts w:cs="Calibri"/>
          <w:sz w:val="24"/>
          <w:szCs w:val="24"/>
          <w:lang w:val="el-GR"/>
        </w:rPr>
        <w:t>Πολιτική</w:t>
      </w:r>
      <w:r w:rsidR="00840C91">
        <w:rPr>
          <w:rFonts w:cs="Calibri"/>
          <w:sz w:val="24"/>
          <w:szCs w:val="24"/>
          <w:lang w:val="el-GR"/>
        </w:rPr>
        <w:t>ς</w:t>
      </w:r>
      <w:r>
        <w:rPr>
          <w:rFonts w:cs="Calibri"/>
          <w:sz w:val="24"/>
          <w:szCs w:val="24"/>
          <w:lang w:val="el-GR"/>
        </w:rPr>
        <w:t xml:space="preserve"> Προστασία</w:t>
      </w:r>
      <w:r w:rsidR="00840C91">
        <w:rPr>
          <w:rFonts w:cs="Calibri"/>
          <w:sz w:val="24"/>
          <w:szCs w:val="24"/>
          <w:lang w:val="el-GR"/>
        </w:rPr>
        <w:t>ς</w:t>
      </w:r>
      <w:r w:rsidR="00DD29A2" w:rsidRPr="00FE402F">
        <w:rPr>
          <w:rFonts w:cs="Calibri"/>
          <w:sz w:val="24"/>
          <w:szCs w:val="24"/>
          <w:lang w:val="el-GR"/>
        </w:rPr>
        <w:t xml:space="preserve">). </w:t>
      </w:r>
      <w:r w:rsidR="00B51B1E">
        <w:rPr>
          <w:rFonts w:cs="Calibri"/>
          <w:sz w:val="24"/>
          <w:szCs w:val="24"/>
          <w:lang w:val="el-GR"/>
        </w:rPr>
        <w:t>Στο</w:t>
      </w:r>
      <w:r w:rsidR="00B51B1E" w:rsidRPr="00B51B1E">
        <w:rPr>
          <w:rFonts w:cs="Calibri"/>
          <w:sz w:val="24"/>
          <w:szCs w:val="24"/>
          <w:lang w:val="el-GR"/>
        </w:rPr>
        <w:t xml:space="preserve"> </w:t>
      </w:r>
      <w:r w:rsidR="00B51B1E">
        <w:rPr>
          <w:rFonts w:cs="Calibri"/>
          <w:sz w:val="24"/>
          <w:szCs w:val="24"/>
          <w:lang w:val="el-GR"/>
        </w:rPr>
        <w:t>χρονικό</w:t>
      </w:r>
      <w:r w:rsidR="00B51B1E" w:rsidRPr="00B51B1E">
        <w:rPr>
          <w:rFonts w:cs="Calibri"/>
          <w:sz w:val="24"/>
          <w:szCs w:val="24"/>
          <w:lang w:val="el-GR"/>
        </w:rPr>
        <w:t xml:space="preserve"> </w:t>
      </w:r>
      <w:r w:rsidR="00B51B1E">
        <w:rPr>
          <w:rFonts w:cs="Calibri"/>
          <w:sz w:val="24"/>
          <w:szCs w:val="24"/>
          <w:lang w:val="el-GR"/>
        </w:rPr>
        <w:t>αυτό</w:t>
      </w:r>
      <w:r w:rsidR="009B2AF9" w:rsidRPr="009B2AF9">
        <w:rPr>
          <w:rFonts w:cs="Calibri"/>
          <w:sz w:val="24"/>
          <w:szCs w:val="24"/>
          <w:lang w:val="el-GR"/>
        </w:rPr>
        <w:t xml:space="preserve"> </w:t>
      </w:r>
      <w:r w:rsidR="009B2AF9">
        <w:rPr>
          <w:rFonts w:cs="Calibri"/>
          <w:sz w:val="24"/>
          <w:szCs w:val="24"/>
          <w:lang w:val="el-GR"/>
        </w:rPr>
        <w:t>σημείο,</w:t>
      </w:r>
      <w:r w:rsidR="00DD29A2" w:rsidRPr="00B51B1E">
        <w:rPr>
          <w:rFonts w:cs="Calibri"/>
          <w:sz w:val="24"/>
          <w:szCs w:val="24"/>
          <w:lang w:val="el-GR"/>
        </w:rPr>
        <w:t xml:space="preserve"> </w:t>
      </w:r>
      <w:r w:rsidR="00B51B1E">
        <w:rPr>
          <w:rFonts w:cs="Calibri"/>
          <w:sz w:val="24"/>
          <w:szCs w:val="24"/>
          <w:lang w:val="el-GR"/>
        </w:rPr>
        <w:t>υπάρχουν</w:t>
      </w:r>
      <w:r w:rsidR="00B51B1E" w:rsidRPr="00B51B1E">
        <w:rPr>
          <w:rFonts w:cs="Calibri"/>
          <w:sz w:val="24"/>
          <w:szCs w:val="24"/>
          <w:lang w:val="el-GR"/>
        </w:rPr>
        <w:t xml:space="preserve"> </w:t>
      </w:r>
      <w:r w:rsidR="00B51B1E">
        <w:rPr>
          <w:rFonts w:cs="Calibri"/>
          <w:sz w:val="24"/>
          <w:szCs w:val="24"/>
          <w:lang w:val="el-GR"/>
        </w:rPr>
        <w:t>επίσης</w:t>
      </w:r>
      <w:r w:rsidR="00B51B1E" w:rsidRPr="00B51B1E">
        <w:rPr>
          <w:rFonts w:cs="Calibri"/>
          <w:sz w:val="24"/>
          <w:szCs w:val="24"/>
          <w:lang w:val="el-GR"/>
        </w:rPr>
        <w:t xml:space="preserve"> </w:t>
      </w:r>
      <w:r w:rsidR="00B51B1E">
        <w:rPr>
          <w:rFonts w:cs="Calibri"/>
          <w:sz w:val="24"/>
          <w:szCs w:val="24"/>
          <w:lang w:val="el-GR"/>
        </w:rPr>
        <w:t>πέντε</w:t>
      </w:r>
      <w:r w:rsidR="00B51B1E" w:rsidRPr="00B51B1E">
        <w:rPr>
          <w:rFonts w:cs="Calibri"/>
          <w:sz w:val="24"/>
          <w:szCs w:val="24"/>
          <w:lang w:val="el-GR"/>
        </w:rPr>
        <w:t xml:space="preserve"> </w:t>
      </w:r>
      <w:r w:rsidR="00B51B1E">
        <w:rPr>
          <w:rFonts w:cs="Calibri"/>
          <w:sz w:val="24"/>
          <w:szCs w:val="24"/>
          <w:lang w:val="el-GR"/>
        </w:rPr>
        <w:t>συνεργάτες</w:t>
      </w:r>
      <w:r w:rsidR="00DD29A2" w:rsidRPr="00B51B1E">
        <w:rPr>
          <w:rFonts w:cs="Calibri"/>
          <w:sz w:val="24"/>
          <w:szCs w:val="24"/>
          <w:lang w:val="el-GR"/>
        </w:rPr>
        <w:t xml:space="preserve"> </w:t>
      </w:r>
      <w:r w:rsidR="00B51B1E">
        <w:rPr>
          <w:rFonts w:cs="Calibri"/>
          <w:sz w:val="24"/>
          <w:szCs w:val="24"/>
          <w:lang w:val="el-GR"/>
        </w:rPr>
        <w:t>που</w:t>
      </w:r>
      <w:r w:rsidR="00B51B1E" w:rsidRPr="00B51B1E">
        <w:rPr>
          <w:rFonts w:cs="Calibri"/>
          <w:sz w:val="24"/>
          <w:szCs w:val="24"/>
          <w:lang w:val="el-GR"/>
        </w:rPr>
        <w:t xml:space="preserve"> </w:t>
      </w:r>
      <w:r w:rsidR="00B51B1E">
        <w:rPr>
          <w:rFonts w:cs="Calibri"/>
          <w:sz w:val="24"/>
          <w:szCs w:val="24"/>
          <w:lang w:val="el-GR"/>
        </w:rPr>
        <w:t>παρέχουν υπηρεσίες</w:t>
      </w:r>
      <w:r w:rsidR="00DD29A2" w:rsidRPr="00B51B1E">
        <w:rPr>
          <w:rFonts w:cs="Calibri"/>
          <w:sz w:val="24"/>
          <w:szCs w:val="24"/>
          <w:lang w:val="el-GR"/>
        </w:rPr>
        <w:t xml:space="preserve"> </w:t>
      </w:r>
      <w:r w:rsidR="00B51B1E">
        <w:rPr>
          <w:rFonts w:cs="Calibri"/>
          <w:sz w:val="24"/>
          <w:szCs w:val="24"/>
          <w:lang w:val="el-GR"/>
        </w:rPr>
        <w:t xml:space="preserve">βάσει </w:t>
      </w:r>
      <w:r w:rsidR="009B2AF9">
        <w:rPr>
          <w:rFonts w:cs="Calibri"/>
          <w:sz w:val="24"/>
          <w:szCs w:val="24"/>
          <w:lang w:val="el-GR"/>
        </w:rPr>
        <w:t xml:space="preserve">τυποποιημένης </w:t>
      </w:r>
      <w:r w:rsidR="00B51B1E">
        <w:rPr>
          <w:rFonts w:cs="Calibri"/>
          <w:sz w:val="24"/>
          <w:szCs w:val="24"/>
          <w:lang w:val="el-GR"/>
        </w:rPr>
        <w:t>σύμβασης εργασίας</w:t>
      </w:r>
      <w:r w:rsidR="00DD29A2" w:rsidRPr="00B51B1E">
        <w:rPr>
          <w:rFonts w:cs="Calibri"/>
          <w:sz w:val="24"/>
          <w:szCs w:val="24"/>
          <w:lang w:val="el-GR"/>
        </w:rPr>
        <w:t xml:space="preserve">. </w:t>
      </w:r>
      <w:r w:rsidR="00B51B1E">
        <w:rPr>
          <w:rFonts w:cs="Calibri"/>
          <w:sz w:val="24"/>
          <w:szCs w:val="24"/>
          <w:lang w:val="el-GR"/>
        </w:rPr>
        <w:t>Ο</w:t>
      </w:r>
      <w:r w:rsidR="00B51B1E" w:rsidRPr="00B51B1E">
        <w:rPr>
          <w:rFonts w:cs="Calibri"/>
          <w:sz w:val="24"/>
          <w:szCs w:val="24"/>
          <w:lang w:val="el-GR"/>
        </w:rPr>
        <w:t xml:space="preserve"> </w:t>
      </w:r>
      <w:r w:rsidR="00B51B1E">
        <w:rPr>
          <w:rFonts w:cs="Calibri"/>
          <w:sz w:val="24"/>
          <w:szCs w:val="24"/>
          <w:lang w:val="el-GR"/>
        </w:rPr>
        <w:t>αριθμός</w:t>
      </w:r>
      <w:r w:rsidR="00B51B1E" w:rsidRPr="00B51B1E">
        <w:rPr>
          <w:rFonts w:cs="Calibri"/>
          <w:sz w:val="24"/>
          <w:szCs w:val="24"/>
          <w:lang w:val="el-GR"/>
        </w:rPr>
        <w:t xml:space="preserve"> </w:t>
      </w:r>
      <w:r w:rsidR="00B51B1E">
        <w:rPr>
          <w:rFonts w:cs="Calibri"/>
          <w:sz w:val="24"/>
          <w:szCs w:val="24"/>
          <w:lang w:val="el-GR"/>
        </w:rPr>
        <w:t>των</w:t>
      </w:r>
      <w:r w:rsidR="00B51B1E" w:rsidRPr="00B51B1E">
        <w:rPr>
          <w:rFonts w:cs="Calibri"/>
          <w:sz w:val="24"/>
          <w:szCs w:val="24"/>
          <w:lang w:val="el-GR"/>
        </w:rPr>
        <w:t xml:space="preserve"> </w:t>
      </w:r>
      <w:r w:rsidR="00B51B1E">
        <w:rPr>
          <w:rFonts w:cs="Calibri"/>
          <w:sz w:val="24"/>
          <w:szCs w:val="24"/>
          <w:lang w:val="el-GR"/>
        </w:rPr>
        <w:t>συνεργατών</w:t>
      </w:r>
      <w:r w:rsidR="00B51B1E" w:rsidRPr="00B51B1E">
        <w:rPr>
          <w:rFonts w:cs="Calibri"/>
          <w:sz w:val="24"/>
          <w:szCs w:val="24"/>
          <w:lang w:val="el-GR"/>
        </w:rPr>
        <w:t xml:space="preserve"> </w:t>
      </w:r>
      <w:r w:rsidR="00B51B1E">
        <w:rPr>
          <w:rFonts w:cs="Calibri"/>
          <w:sz w:val="24"/>
          <w:szCs w:val="24"/>
          <w:lang w:val="el-GR"/>
        </w:rPr>
        <w:t>μπορεί</w:t>
      </w:r>
      <w:r w:rsidR="00B51B1E" w:rsidRPr="00B51B1E">
        <w:rPr>
          <w:rFonts w:cs="Calibri"/>
          <w:sz w:val="24"/>
          <w:szCs w:val="24"/>
          <w:lang w:val="el-GR"/>
        </w:rPr>
        <w:t xml:space="preserve"> </w:t>
      </w:r>
      <w:r w:rsidR="00B51B1E">
        <w:rPr>
          <w:rFonts w:cs="Calibri"/>
          <w:sz w:val="24"/>
          <w:szCs w:val="24"/>
          <w:lang w:val="el-GR"/>
        </w:rPr>
        <w:t>να</w:t>
      </w:r>
      <w:r w:rsidR="00B51B1E" w:rsidRPr="00B51B1E">
        <w:rPr>
          <w:rFonts w:cs="Calibri"/>
          <w:sz w:val="24"/>
          <w:szCs w:val="24"/>
          <w:lang w:val="el-GR"/>
        </w:rPr>
        <w:t xml:space="preserve"> </w:t>
      </w:r>
      <w:r w:rsidR="00B51B1E">
        <w:rPr>
          <w:rFonts w:cs="Calibri"/>
          <w:sz w:val="24"/>
          <w:szCs w:val="24"/>
          <w:lang w:val="el-GR"/>
        </w:rPr>
        <w:t xml:space="preserve">αλλάξει </w:t>
      </w:r>
      <w:r w:rsidR="009B2AF9">
        <w:rPr>
          <w:rFonts w:cs="Calibri"/>
          <w:sz w:val="24"/>
          <w:szCs w:val="24"/>
          <w:lang w:val="el-GR"/>
        </w:rPr>
        <w:t>σταδιακά</w:t>
      </w:r>
      <w:r w:rsidR="009256BB" w:rsidRPr="00B51B1E">
        <w:rPr>
          <w:rFonts w:cs="Calibri"/>
          <w:sz w:val="24"/>
          <w:szCs w:val="24"/>
          <w:lang w:val="el-GR"/>
        </w:rPr>
        <w:t>.</w:t>
      </w:r>
    </w:p>
    <w:bookmarkEnd w:id="43"/>
    <w:p w14:paraId="1F868D61" w14:textId="77777777" w:rsidR="00DD29A2" w:rsidRPr="00B51B1E" w:rsidRDefault="00DD29A2" w:rsidP="00DD29A2">
      <w:pPr>
        <w:tabs>
          <w:tab w:val="left" w:pos="709"/>
        </w:tabs>
        <w:rPr>
          <w:rFonts w:cstheme="minorHAnsi"/>
          <w:sz w:val="24"/>
          <w:szCs w:val="24"/>
          <w:lang w:val="el-GR"/>
        </w:rPr>
      </w:pPr>
    </w:p>
    <w:p w14:paraId="133E04A2" w14:textId="353446A7" w:rsidR="00A5147D" w:rsidRPr="00FD36FB" w:rsidRDefault="00FD36FB"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Υπάρχουν</w:t>
      </w:r>
      <w:r w:rsidRPr="00FD36FB">
        <w:rPr>
          <w:rFonts w:cstheme="minorHAnsi"/>
          <w:sz w:val="24"/>
          <w:szCs w:val="24"/>
          <w:lang w:val="el-GR"/>
        </w:rPr>
        <w:t xml:space="preserve"> </w:t>
      </w:r>
      <w:r>
        <w:rPr>
          <w:rFonts w:cstheme="minorHAnsi"/>
          <w:sz w:val="24"/>
          <w:szCs w:val="24"/>
          <w:lang w:val="el-GR"/>
        </w:rPr>
        <w:t>τρεις</w:t>
      </w:r>
      <w:r w:rsidR="00721B0B" w:rsidRPr="00FD36FB">
        <w:rPr>
          <w:rFonts w:cstheme="minorHAnsi"/>
          <w:sz w:val="24"/>
          <w:szCs w:val="24"/>
          <w:lang w:val="el-GR"/>
        </w:rPr>
        <w:t xml:space="preserve"> </w:t>
      </w:r>
      <w:r>
        <w:rPr>
          <w:rFonts w:cstheme="minorHAnsi"/>
          <w:sz w:val="24"/>
          <w:szCs w:val="24"/>
          <w:u w:val="single"/>
          <w:lang w:val="el-GR"/>
        </w:rPr>
        <w:t>Επίτροποι</w:t>
      </w:r>
      <w:r w:rsidR="00A5147D" w:rsidRPr="00FD36FB">
        <w:rPr>
          <w:rFonts w:cstheme="minorHAnsi"/>
          <w:sz w:val="24"/>
          <w:szCs w:val="24"/>
          <w:lang w:val="el-GR"/>
        </w:rPr>
        <w:t xml:space="preserve">: </w:t>
      </w:r>
      <w:r>
        <w:rPr>
          <w:rFonts w:cstheme="minorHAnsi"/>
          <w:sz w:val="24"/>
          <w:szCs w:val="24"/>
          <w:lang w:val="el-GR"/>
        </w:rPr>
        <w:t>ένας</w:t>
      </w:r>
      <w:r w:rsidRPr="00FD36FB">
        <w:rPr>
          <w:rFonts w:cstheme="minorHAnsi"/>
          <w:sz w:val="24"/>
          <w:szCs w:val="24"/>
          <w:lang w:val="el-GR"/>
        </w:rPr>
        <w:t xml:space="preserve"> </w:t>
      </w:r>
      <w:r>
        <w:rPr>
          <w:rFonts w:cstheme="minorHAnsi"/>
          <w:sz w:val="24"/>
          <w:szCs w:val="24"/>
          <w:lang w:val="el-GR"/>
        </w:rPr>
        <w:t>Προεδρικός</w:t>
      </w:r>
      <w:r w:rsidRPr="00FD36FB">
        <w:rPr>
          <w:rFonts w:cstheme="minorHAnsi"/>
          <w:sz w:val="24"/>
          <w:szCs w:val="24"/>
          <w:lang w:val="el-GR"/>
        </w:rPr>
        <w:t xml:space="preserve"> </w:t>
      </w:r>
      <w:r>
        <w:rPr>
          <w:rFonts w:cstheme="minorHAnsi"/>
          <w:sz w:val="24"/>
          <w:szCs w:val="24"/>
          <w:lang w:val="el-GR"/>
        </w:rPr>
        <w:t>Επίτροπος</w:t>
      </w:r>
      <w:r w:rsidR="00A5147D" w:rsidRPr="00FD36FB">
        <w:rPr>
          <w:rFonts w:cstheme="minorHAnsi"/>
          <w:sz w:val="24"/>
          <w:szCs w:val="24"/>
          <w:lang w:val="el-GR"/>
        </w:rPr>
        <w:t xml:space="preserve">, </w:t>
      </w:r>
      <w:r>
        <w:rPr>
          <w:rFonts w:cstheme="minorHAnsi"/>
          <w:sz w:val="24"/>
          <w:szCs w:val="24"/>
          <w:lang w:val="el-GR"/>
        </w:rPr>
        <w:t>ένας</w:t>
      </w:r>
      <w:r w:rsidRPr="00FD36FB">
        <w:rPr>
          <w:rFonts w:cstheme="minorHAnsi"/>
          <w:sz w:val="24"/>
          <w:szCs w:val="24"/>
          <w:lang w:val="el-GR"/>
        </w:rPr>
        <w:t xml:space="preserve"> </w:t>
      </w:r>
      <w:r>
        <w:rPr>
          <w:rFonts w:cstheme="minorHAnsi"/>
          <w:sz w:val="24"/>
          <w:szCs w:val="24"/>
          <w:lang w:val="el-GR"/>
        </w:rPr>
        <w:t>Επίτροπος για το Περιβάλλον και ένας Επίτροπος</w:t>
      </w:r>
      <w:r w:rsidR="00A5147D" w:rsidRPr="00FD36FB">
        <w:rPr>
          <w:rFonts w:cstheme="minorHAnsi"/>
          <w:sz w:val="24"/>
          <w:szCs w:val="24"/>
          <w:lang w:val="el-GR"/>
        </w:rPr>
        <w:t xml:space="preserve"> </w:t>
      </w:r>
      <w:r w:rsidR="00840C91">
        <w:rPr>
          <w:rFonts w:cstheme="minorHAnsi"/>
          <w:sz w:val="24"/>
          <w:szCs w:val="24"/>
          <w:lang w:val="el-GR"/>
        </w:rPr>
        <w:t xml:space="preserve">για </w:t>
      </w:r>
      <w:r>
        <w:rPr>
          <w:rFonts w:cstheme="minorHAnsi"/>
          <w:sz w:val="24"/>
          <w:szCs w:val="24"/>
          <w:lang w:val="el-GR"/>
        </w:rPr>
        <w:t>την Ισότητα του Φύλου</w:t>
      </w:r>
      <w:r w:rsidR="00A5147D" w:rsidRPr="00FD36FB">
        <w:rPr>
          <w:rFonts w:cstheme="minorHAnsi"/>
          <w:sz w:val="24"/>
          <w:szCs w:val="24"/>
          <w:lang w:val="el-GR"/>
        </w:rPr>
        <w:t xml:space="preserve">. </w:t>
      </w:r>
      <w:r>
        <w:rPr>
          <w:rFonts w:cstheme="minorHAnsi"/>
          <w:sz w:val="24"/>
          <w:szCs w:val="24"/>
          <w:lang w:val="el-GR"/>
        </w:rPr>
        <w:t>Όλοι</w:t>
      </w:r>
      <w:r w:rsidRPr="00FD36FB">
        <w:rPr>
          <w:rFonts w:cstheme="minorHAnsi"/>
          <w:sz w:val="24"/>
          <w:szCs w:val="24"/>
          <w:lang w:val="el-GR"/>
        </w:rPr>
        <w:t xml:space="preserve"> </w:t>
      </w:r>
      <w:r>
        <w:rPr>
          <w:rFonts w:cstheme="minorHAnsi"/>
          <w:sz w:val="24"/>
          <w:szCs w:val="24"/>
          <w:lang w:val="el-GR"/>
        </w:rPr>
        <w:t>τους</w:t>
      </w:r>
      <w:r w:rsidRPr="00FD36FB">
        <w:rPr>
          <w:rFonts w:cstheme="minorHAnsi"/>
          <w:sz w:val="24"/>
          <w:szCs w:val="24"/>
          <w:lang w:val="el-GR"/>
        </w:rPr>
        <w:t xml:space="preserve"> </w:t>
      </w:r>
      <w:r>
        <w:rPr>
          <w:rFonts w:cstheme="minorHAnsi"/>
          <w:sz w:val="24"/>
          <w:szCs w:val="24"/>
          <w:lang w:val="el-GR"/>
        </w:rPr>
        <w:t>έχουν</w:t>
      </w:r>
      <w:r w:rsidRPr="00FD36FB">
        <w:rPr>
          <w:rFonts w:cstheme="minorHAnsi"/>
          <w:sz w:val="24"/>
          <w:szCs w:val="24"/>
          <w:lang w:val="el-GR"/>
        </w:rPr>
        <w:t xml:space="preserve"> </w:t>
      </w:r>
      <w:r>
        <w:rPr>
          <w:rFonts w:cstheme="minorHAnsi"/>
          <w:sz w:val="24"/>
          <w:szCs w:val="24"/>
          <w:lang w:val="el-GR"/>
        </w:rPr>
        <w:t>συγκεκριμένα</w:t>
      </w:r>
      <w:r w:rsidRPr="00FD36FB">
        <w:rPr>
          <w:rFonts w:cstheme="minorHAnsi"/>
          <w:sz w:val="24"/>
          <w:szCs w:val="24"/>
          <w:lang w:val="el-GR"/>
        </w:rPr>
        <w:t xml:space="preserve"> </w:t>
      </w:r>
      <w:r>
        <w:rPr>
          <w:rFonts w:cstheme="minorHAnsi"/>
          <w:sz w:val="24"/>
          <w:szCs w:val="24"/>
          <w:lang w:val="el-GR"/>
        </w:rPr>
        <w:t>καθήκοντα</w:t>
      </w:r>
      <w:r w:rsidRPr="00FD36FB">
        <w:rPr>
          <w:rFonts w:cstheme="minorHAnsi"/>
          <w:sz w:val="24"/>
          <w:szCs w:val="24"/>
          <w:lang w:val="el-GR"/>
        </w:rPr>
        <w:t xml:space="preserve"> </w:t>
      </w:r>
      <w:r>
        <w:rPr>
          <w:rFonts w:cstheme="minorHAnsi"/>
          <w:sz w:val="24"/>
          <w:szCs w:val="24"/>
          <w:lang w:val="el-GR"/>
        </w:rPr>
        <w:t>στ</w:t>
      </w:r>
      <w:r w:rsidR="00840C91">
        <w:rPr>
          <w:rFonts w:cstheme="minorHAnsi"/>
          <w:sz w:val="24"/>
          <w:szCs w:val="24"/>
          <w:lang w:val="el-GR"/>
        </w:rPr>
        <w:t>α</w:t>
      </w:r>
      <w:r w:rsidRPr="00FD36FB">
        <w:rPr>
          <w:rFonts w:cstheme="minorHAnsi"/>
          <w:sz w:val="24"/>
          <w:szCs w:val="24"/>
          <w:lang w:val="el-GR"/>
        </w:rPr>
        <w:t xml:space="preserve"> </w:t>
      </w:r>
      <w:r>
        <w:rPr>
          <w:rFonts w:cstheme="minorHAnsi"/>
          <w:sz w:val="24"/>
          <w:szCs w:val="24"/>
          <w:lang w:val="el-GR"/>
        </w:rPr>
        <w:t>πεδία</w:t>
      </w:r>
      <w:r w:rsidRPr="00FD36FB">
        <w:rPr>
          <w:rFonts w:cstheme="minorHAnsi"/>
          <w:sz w:val="24"/>
          <w:szCs w:val="24"/>
          <w:lang w:val="el-GR"/>
        </w:rPr>
        <w:t xml:space="preserve"> </w:t>
      </w:r>
      <w:r>
        <w:rPr>
          <w:rFonts w:cstheme="minorHAnsi"/>
          <w:sz w:val="24"/>
          <w:szCs w:val="24"/>
          <w:lang w:val="el-GR"/>
        </w:rPr>
        <w:t>τους</w:t>
      </w:r>
      <w:r w:rsidR="00A5147D" w:rsidRPr="00FD36FB">
        <w:rPr>
          <w:rFonts w:cstheme="minorHAnsi"/>
          <w:sz w:val="24"/>
          <w:szCs w:val="24"/>
          <w:lang w:val="el-GR"/>
        </w:rPr>
        <w:t xml:space="preserve"> </w:t>
      </w:r>
      <w:r>
        <w:rPr>
          <w:rFonts w:cstheme="minorHAnsi"/>
          <w:sz w:val="24"/>
          <w:szCs w:val="24"/>
          <w:lang w:val="el-GR"/>
        </w:rPr>
        <w:t>και</w:t>
      </w:r>
      <w:r w:rsidRPr="00FD36FB">
        <w:rPr>
          <w:rFonts w:cstheme="minorHAnsi"/>
          <w:sz w:val="24"/>
          <w:szCs w:val="24"/>
          <w:lang w:val="el-GR"/>
        </w:rPr>
        <w:t xml:space="preserve"> </w:t>
      </w:r>
      <w:r>
        <w:rPr>
          <w:rFonts w:cstheme="minorHAnsi"/>
          <w:sz w:val="24"/>
          <w:szCs w:val="24"/>
          <w:lang w:val="el-GR"/>
        </w:rPr>
        <w:t>ο</w:t>
      </w:r>
      <w:r w:rsidRPr="00FD36FB">
        <w:rPr>
          <w:rFonts w:cstheme="minorHAnsi"/>
          <w:sz w:val="24"/>
          <w:szCs w:val="24"/>
          <w:lang w:val="el-GR"/>
        </w:rPr>
        <w:t xml:space="preserve"> </w:t>
      </w:r>
      <w:r>
        <w:rPr>
          <w:rFonts w:cstheme="minorHAnsi"/>
          <w:sz w:val="24"/>
          <w:szCs w:val="24"/>
          <w:lang w:val="el-GR"/>
        </w:rPr>
        <w:t>Πρόεδρος</w:t>
      </w:r>
      <w:r w:rsidRPr="00FD36FB">
        <w:rPr>
          <w:rFonts w:cstheme="minorHAnsi"/>
          <w:sz w:val="24"/>
          <w:szCs w:val="24"/>
          <w:lang w:val="el-GR"/>
        </w:rPr>
        <w:t xml:space="preserve"> </w:t>
      </w:r>
      <w:r>
        <w:rPr>
          <w:rFonts w:cstheme="minorHAnsi"/>
          <w:sz w:val="24"/>
          <w:szCs w:val="24"/>
          <w:lang w:val="el-GR"/>
        </w:rPr>
        <w:t>και</w:t>
      </w:r>
      <w:r w:rsidR="00A5147D" w:rsidRPr="00FD36FB">
        <w:rPr>
          <w:rFonts w:cs="Calibri"/>
          <w:sz w:val="24"/>
          <w:szCs w:val="24"/>
          <w:lang w:val="el-GR"/>
        </w:rPr>
        <w:t>/</w:t>
      </w:r>
      <w:r>
        <w:rPr>
          <w:rFonts w:cs="Calibri"/>
          <w:sz w:val="24"/>
          <w:szCs w:val="24"/>
          <w:lang w:val="el-GR"/>
        </w:rPr>
        <w:t>ή</w:t>
      </w:r>
      <w:r w:rsidR="00A5147D" w:rsidRPr="00FD36FB">
        <w:rPr>
          <w:rFonts w:cs="Calibri"/>
          <w:sz w:val="24"/>
          <w:szCs w:val="24"/>
          <w:lang w:val="el-GR"/>
        </w:rPr>
        <w:t xml:space="preserve"> </w:t>
      </w:r>
      <w:r>
        <w:rPr>
          <w:rFonts w:cs="Calibri"/>
          <w:sz w:val="24"/>
          <w:szCs w:val="24"/>
          <w:lang w:val="el-GR"/>
        </w:rPr>
        <w:t>το</w:t>
      </w:r>
      <w:r w:rsidRPr="00FD36FB">
        <w:rPr>
          <w:rFonts w:cs="Calibri"/>
          <w:sz w:val="24"/>
          <w:szCs w:val="24"/>
          <w:lang w:val="el-GR"/>
        </w:rPr>
        <w:t xml:space="preserve"> </w:t>
      </w:r>
      <w:r>
        <w:rPr>
          <w:rFonts w:cs="Calibri"/>
          <w:sz w:val="24"/>
          <w:szCs w:val="24"/>
          <w:lang w:val="el-GR"/>
        </w:rPr>
        <w:t>Υπουργικό</w:t>
      </w:r>
      <w:r w:rsidRPr="00FD36FB">
        <w:rPr>
          <w:rFonts w:cs="Calibri"/>
          <w:sz w:val="24"/>
          <w:szCs w:val="24"/>
          <w:lang w:val="el-GR"/>
        </w:rPr>
        <w:t xml:space="preserve"> </w:t>
      </w:r>
      <w:r>
        <w:rPr>
          <w:rFonts w:cs="Calibri"/>
          <w:sz w:val="24"/>
          <w:szCs w:val="24"/>
          <w:lang w:val="el-GR"/>
        </w:rPr>
        <w:t>Συμβούλιο</w:t>
      </w:r>
      <w:r w:rsidR="00A5147D" w:rsidRPr="00FD36FB">
        <w:rPr>
          <w:rFonts w:cs="Calibri"/>
          <w:sz w:val="24"/>
          <w:szCs w:val="24"/>
          <w:lang w:val="el-GR"/>
        </w:rPr>
        <w:t xml:space="preserve"> </w:t>
      </w:r>
      <w:r>
        <w:rPr>
          <w:rFonts w:cs="Calibri"/>
          <w:sz w:val="24"/>
          <w:szCs w:val="24"/>
          <w:lang w:val="el-GR"/>
        </w:rPr>
        <w:t>έχουν το δικαίωμα</w:t>
      </w:r>
      <w:r w:rsidR="00A5147D" w:rsidRPr="00FD36FB">
        <w:rPr>
          <w:rFonts w:cstheme="minorHAnsi"/>
          <w:sz w:val="24"/>
          <w:szCs w:val="24"/>
          <w:lang w:val="el-GR"/>
        </w:rPr>
        <w:t xml:space="preserve"> </w:t>
      </w:r>
      <w:r>
        <w:rPr>
          <w:rFonts w:cstheme="minorHAnsi"/>
          <w:sz w:val="24"/>
          <w:szCs w:val="24"/>
          <w:lang w:val="el-GR"/>
        </w:rPr>
        <w:t>να τους αναθέσουν οποιοδήποτε άλλο καθήκον</w:t>
      </w:r>
      <w:r w:rsidR="00A5147D" w:rsidRPr="00FD36FB">
        <w:rPr>
          <w:rFonts w:cstheme="minorHAnsi"/>
          <w:sz w:val="24"/>
          <w:szCs w:val="24"/>
          <w:lang w:val="el-GR"/>
        </w:rPr>
        <w:t xml:space="preserve"> </w:t>
      </w:r>
      <w:r>
        <w:rPr>
          <w:rFonts w:cstheme="minorHAnsi"/>
          <w:sz w:val="24"/>
          <w:szCs w:val="24"/>
          <w:lang w:val="el-GR"/>
        </w:rPr>
        <w:t>που θεωρούν κατάλληλο</w:t>
      </w:r>
      <w:r w:rsidR="00A5147D" w:rsidRPr="00FD36FB">
        <w:rPr>
          <w:rFonts w:cstheme="minorHAnsi"/>
          <w:sz w:val="24"/>
          <w:szCs w:val="24"/>
          <w:lang w:val="el-GR"/>
        </w:rPr>
        <w:t xml:space="preserve">.  </w:t>
      </w:r>
      <w:r>
        <w:rPr>
          <w:rFonts w:cstheme="minorHAnsi"/>
          <w:sz w:val="24"/>
          <w:szCs w:val="24"/>
          <w:lang w:val="el-GR"/>
        </w:rPr>
        <w:t>Οι</w:t>
      </w:r>
      <w:r w:rsidRPr="00FD36FB">
        <w:rPr>
          <w:rFonts w:cstheme="minorHAnsi"/>
          <w:sz w:val="24"/>
          <w:szCs w:val="24"/>
          <w:lang w:val="el-GR"/>
        </w:rPr>
        <w:t xml:space="preserve"> </w:t>
      </w:r>
      <w:r>
        <w:rPr>
          <w:rFonts w:cstheme="minorHAnsi"/>
          <w:sz w:val="24"/>
          <w:szCs w:val="24"/>
          <w:lang w:val="el-GR"/>
        </w:rPr>
        <w:t>Επίτροποι</w:t>
      </w:r>
      <w:r w:rsidRPr="00FD36FB">
        <w:rPr>
          <w:rFonts w:cstheme="minorHAnsi"/>
          <w:sz w:val="24"/>
          <w:szCs w:val="24"/>
          <w:lang w:val="el-GR"/>
        </w:rPr>
        <w:t xml:space="preserve"> </w:t>
      </w:r>
      <w:r>
        <w:rPr>
          <w:rFonts w:cstheme="minorHAnsi"/>
          <w:sz w:val="24"/>
          <w:szCs w:val="24"/>
          <w:lang w:val="el-GR"/>
        </w:rPr>
        <w:t>διορίζονται</w:t>
      </w:r>
      <w:r w:rsidRPr="00FD36FB">
        <w:rPr>
          <w:rFonts w:cstheme="minorHAnsi"/>
          <w:sz w:val="24"/>
          <w:szCs w:val="24"/>
          <w:lang w:val="el-GR"/>
        </w:rPr>
        <w:t xml:space="preserve"> </w:t>
      </w:r>
      <w:r>
        <w:rPr>
          <w:rFonts w:cstheme="minorHAnsi"/>
          <w:sz w:val="24"/>
          <w:szCs w:val="24"/>
          <w:lang w:val="el-GR"/>
        </w:rPr>
        <w:t>από</w:t>
      </w:r>
      <w:r w:rsidRPr="00FD36FB">
        <w:rPr>
          <w:rFonts w:cstheme="minorHAnsi"/>
          <w:sz w:val="24"/>
          <w:szCs w:val="24"/>
          <w:lang w:val="el-GR"/>
        </w:rPr>
        <w:t xml:space="preserve"> </w:t>
      </w:r>
      <w:r>
        <w:rPr>
          <w:rFonts w:cstheme="minorHAnsi"/>
          <w:sz w:val="24"/>
          <w:szCs w:val="24"/>
          <w:lang w:val="el-GR"/>
        </w:rPr>
        <w:t>τον</w:t>
      </w:r>
      <w:r w:rsidRPr="00FD36FB">
        <w:rPr>
          <w:rFonts w:cstheme="minorHAnsi"/>
          <w:sz w:val="24"/>
          <w:szCs w:val="24"/>
          <w:lang w:val="el-GR"/>
        </w:rPr>
        <w:t xml:space="preserve"> </w:t>
      </w:r>
      <w:r>
        <w:rPr>
          <w:rFonts w:cstheme="minorHAnsi"/>
          <w:sz w:val="24"/>
          <w:szCs w:val="24"/>
          <w:lang w:val="el-GR"/>
        </w:rPr>
        <w:t>Πρόεδρο</w:t>
      </w:r>
      <w:r w:rsidRPr="00FD36FB">
        <w:rPr>
          <w:rFonts w:cstheme="minorHAnsi"/>
          <w:sz w:val="24"/>
          <w:szCs w:val="24"/>
          <w:lang w:val="el-GR"/>
        </w:rPr>
        <w:t xml:space="preserve"> </w:t>
      </w:r>
      <w:r>
        <w:rPr>
          <w:rFonts w:cstheme="minorHAnsi"/>
          <w:sz w:val="24"/>
          <w:szCs w:val="24"/>
          <w:lang w:val="el-GR"/>
        </w:rPr>
        <w:t>της</w:t>
      </w:r>
      <w:r w:rsidRPr="00FD36FB">
        <w:rPr>
          <w:rFonts w:cstheme="minorHAnsi"/>
          <w:sz w:val="24"/>
          <w:szCs w:val="24"/>
          <w:lang w:val="el-GR"/>
        </w:rPr>
        <w:t xml:space="preserve"> </w:t>
      </w:r>
      <w:r>
        <w:rPr>
          <w:rFonts w:cstheme="minorHAnsi"/>
          <w:sz w:val="24"/>
          <w:szCs w:val="24"/>
          <w:lang w:val="el-GR"/>
        </w:rPr>
        <w:t>Δημοκρατίας</w:t>
      </w:r>
      <w:r w:rsidR="00A5147D" w:rsidRPr="00FD36FB">
        <w:rPr>
          <w:rFonts w:cstheme="minorHAnsi"/>
          <w:sz w:val="24"/>
          <w:szCs w:val="24"/>
          <w:lang w:val="el-GR"/>
        </w:rPr>
        <w:t xml:space="preserve">, </w:t>
      </w:r>
      <w:r>
        <w:rPr>
          <w:rFonts w:cstheme="minorHAnsi"/>
          <w:sz w:val="24"/>
          <w:szCs w:val="24"/>
          <w:lang w:val="el-GR"/>
        </w:rPr>
        <w:t>σύμφωνα</w:t>
      </w:r>
      <w:r w:rsidRPr="00FD36FB">
        <w:rPr>
          <w:rFonts w:cstheme="minorHAnsi"/>
          <w:sz w:val="24"/>
          <w:szCs w:val="24"/>
          <w:lang w:val="el-GR"/>
        </w:rPr>
        <w:t xml:space="preserve"> </w:t>
      </w:r>
      <w:r>
        <w:rPr>
          <w:rFonts w:cstheme="minorHAnsi"/>
          <w:sz w:val="24"/>
          <w:szCs w:val="24"/>
          <w:lang w:val="el-GR"/>
        </w:rPr>
        <w:t>με</w:t>
      </w:r>
      <w:r w:rsidRPr="00FD36FB">
        <w:rPr>
          <w:rFonts w:cstheme="minorHAnsi"/>
          <w:sz w:val="24"/>
          <w:szCs w:val="24"/>
          <w:lang w:val="el-GR"/>
        </w:rPr>
        <w:t xml:space="preserve"> </w:t>
      </w:r>
      <w:r>
        <w:rPr>
          <w:rFonts w:cstheme="minorHAnsi"/>
          <w:sz w:val="24"/>
          <w:szCs w:val="24"/>
          <w:lang w:val="el-GR"/>
        </w:rPr>
        <w:t>μια</w:t>
      </w:r>
      <w:r w:rsidRPr="00FD36FB">
        <w:rPr>
          <w:rFonts w:cstheme="minorHAnsi"/>
          <w:sz w:val="24"/>
          <w:szCs w:val="24"/>
          <w:lang w:val="el-GR"/>
        </w:rPr>
        <w:t xml:space="preserve"> </w:t>
      </w:r>
      <w:r>
        <w:rPr>
          <w:rFonts w:cstheme="minorHAnsi"/>
          <w:sz w:val="24"/>
          <w:szCs w:val="24"/>
          <w:lang w:val="el-GR"/>
        </w:rPr>
        <w:t>Επίσημη</w:t>
      </w:r>
      <w:r w:rsidRPr="00FD36FB">
        <w:rPr>
          <w:rFonts w:cstheme="minorHAnsi"/>
          <w:sz w:val="24"/>
          <w:szCs w:val="24"/>
          <w:lang w:val="el-GR"/>
        </w:rPr>
        <w:t xml:space="preserve"> </w:t>
      </w:r>
      <w:r>
        <w:rPr>
          <w:rFonts w:cstheme="minorHAnsi"/>
          <w:sz w:val="24"/>
          <w:szCs w:val="24"/>
          <w:lang w:val="el-GR"/>
        </w:rPr>
        <w:t>Προεδρική</w:t>
      </w:r>
      <w:r w:rsidRPr="00FD36FB">
        <w:rPr>
          <w:rFonts w:cstheme="minorHAnsi"/>
          <w:sz w:val="24"/>
          <w:szCs w:val="24"/>
          <w:lang w:val="el-GR"/>
        </w:rPr>
        <w:t xml:space="preserve"> </w:t>
      </w:r>
      <w:r>
        <w:rPr>
          <w:rFonts w:cstheme="minorHAnsi"/>
          <w:sz w:val="24"/>
          <w:szCs w:val="24"/>
          <w:lang w:val="el-GR"/>
        </w:rPr>
        <w:t>Πράξη</w:t>
      </w:r>
      <w:r w:rsidR="00A5147D" w:rsidRPr="00FD36FB">
        <w:rPr>
          <w:rFonts w:cstheme="minorHAnsi"/>
          <w:sz w:val="24"/>
          <w:szCs w:val="24"/>
          <w:lang w:val="el-GR"/>
        </w:rPr>
        <w:t xml:space="preserve">, </w:t>
      </w:r>
      <w:r>
        <w:rPr>
          <w:rFonts w:cstheme="minorHAnsi"/>
          <w:sz w:val="24"/>
          <w:szCs w:val="24"/>
          <w:lang w:val="el-GR"/>
        </w:rPr>
        <w:t xml:space="preserve">που διατυπώνει τις ευθύνες τους και τους </w:t>
      </w:r>
      <w:r w:rsidR="009B2AF9">
        <w:rPr>
          <w:rFonts w:cstheme="minorHAnsi"/>
          <w:sz w:val="24"/>
          <w:szCs w:val="24"/>
          <w:lang w:val="el-GR"/>
        </w:rPr>
        <w:t xml:space="preserve">όρους του </w:t>
      </w:r>
      <w:r>
        <w:rPr>
          <w:rFonts w:cstheme="minorHAnsi"/>
          <w:sz w:val="24"/>
          <w:szCs w:val="24"/>
          <w:lang w:val="el-GR"/>
        </w:rPr>
        <w:t>διορισμού τους</w:t>
      </w:r>
      <w:r w:rsidR="00A5147D" w:rsidRPr="00FD36FB">
        <w:rPr>
          <w:rFonts w:cstheme="minorHAnsi"/>
          <w:sz w:val="24"/>
          <w:szCs w:val="24"/>
          <w:lang w:val="el-GR"/>
        </w:rPr>
        <w:t xml:space="preserve">. </w:t>
      </w:r>
      <w:r>
        <w:rPr>
          <w:rFonts w:cstheme="minorHAnsi"/>
          <w:sz w:val="24"/>
          <w:szCs w:val="24"/>
          <w:lang w:val="el-GR"/>
        </w:rPr>
        <w:t>Οι</w:t>
      </w:r>
      <w:r w:rsidRPr="00FD36FB">
        <w:rPr>
          <w:rFonts w:cstheme="minorHAnsi"/>
          <w:sz w:val="24"/>
          <w:szCs w:val="24"/>
          <w:lang w:val="el-GR"/>
        </w:rPr>
        <w:t xml:space="preserve"> </w:t>
      </w:r>
      <w:r>
        <w:rPr>
          <w:rFonts w:cstheme="minorHAnsi"/>
          <w:sz w:val="24"/>
          <w:szCs w:val="24"/>
          <w:lang w:val="el-GR"/>
        </w:rPr>
        <w:t>Επίτροποι</w:t>
      </w:r>
      <w:r w:rsidRPr="00FD36FB">
        <w:rPr>
          <w:rFonts w:cstheme="minorHAnsi"/>
          <w:sz w:val="24"/>
          <w:szCs w:val="24"/>
          <w:lang w:val="el-GR"/>
        </w:rPr>
        <w:t xml:space="preserve"> </w:t>
      </w:r>
      <w:r>
        <w:rPr>
          <w:rFonts w:cstheme="minorHAnsi"/>
          <w:sz w:val="24"/>
          <w:szCs w:val="24"/>
          <w:lang w:val="el-GR"/>
        </w:rPr>
        <w:t>υπογράφουν</w:t>
      </w:r>
      <w:r w:rsidRPr="00FD36FB">
        <w:rPr>
          <w:rFonts w:cstheme="minorHAnsi"/>
          <w:sz w:val="24"/>
          <w:szCs w:val="24"/>
          <w:lang w:val="el-GR"/>
        </w:rPr>
        <w:t xml:space="preserve"> </w:t>
      </w:r>
      <w:r w:rsidR="008D35D6">
        <w:rPr>
          <w:rFonts w:cstheme="minorHAnsi"/>
          <w:sz w:val="24"/>
          <w:szCs w:val="24"/>
          <w:lang w:val="el-GR"/>
        </w:rPr>
        <w:t>μια Χ</w:t>
      </w:r>
      <w:r w:rsidR="009B2AF9">
        <w:rPr>
          <w:rFonts w:cstheme="minorHAnsi"/>
          <w:sz w:val="24"/>
          <w:szCs w:val="24"/>
          <w:lang w:val="el-GR"/>
        </w:rPr>
        <w:t xml:space="preserve">άρτα δεοντολογίας </w:t>
      </w:r>
      <w:r>
        <w:rPr>
          <w:rFonts w:cstheme="minorHAnsi"/>
          <w:sz w:val="24"/>
          <w:szCs w:val="24"/>
          <w:lang w:val="el-GR"/>
        </w:rPr>
        <w:t>κατά τον διορισμό τους</w:t>
      </w:r>
      <w:r w:rsidR="00A90F70" w:rsidRPr="00FD36FB">
        <w:rPr>
          <w:rFonts w:cstheme="minorHAnsi"/>
          <w:sz w:val="24"/>
          <w:szCs w:val="24"/>
          <w:lang w:val="el-GR"/>
        </w:rPr>
        <w:t>.</w:t>
      </w:r>
      <w:r w:rsidR="00A5147D" w:rsidRPr="00FD36FB">
        <w:rPr>
          <w:rFonts w:cstheme="minorHAnsi"/>
          <w:sz w:val="24"/>
          <w:szCs w:val="24"/>
          <w:lang w:val="el-GR"/>
        </w:rPr>
        <w:t xml:space="preserve"> </w:t>
      </w:r>
      <w:r>
        <w:rPr>
          <w:rFonts w:cstheme="minorHAnsi"/>
          <w:sz w:val="24"/>
          <w:szCs w:val="24"/>
          <w:lang w:val="el-GR"/>
        </w:rPr>
        <w:t>Οι</w:t>
      </w:r>
      <w:r w:rsidRPr="00FD36FB">
        <w:rPr>
          <w:rFonts w:cstheme="minorHAnsi"/>
          <w:sz w:val="24"/>
          <w:szCs w:val="24"/>
          <w:lang w:val="el-GR"/>
        </w:rPr>
        <w:t xml:space="preserve"> </w:t>
      </w:r>
      <w:r>
        <w:rPr>
          <w:rFonts w:cstheme="minorHAnsi"/>
          <w:sz w:val="24"/>
          <w:szCs w:val="24"/>
          <w:lang w:val="el-GR"/>
        </w:rPr>
        <w:t>ευθύνες</w:t>
      </w:r>
      <w:r w:rsidRPr="00FD36FB">
        <w:rPr>
          <w:rFonts w:cstheme="minorHAnsi"/>
          <w:sz w:val="24"/>
          <w:szCs w:val="24"/>
          <w:lang w:val="el-GR"/>
        </w:rPr>
        <w:t xml:space="preserve"> </w:t>
      </w:r>
      <w:r>
        <w:rPr>
          <w:rFonts w:cstheme="minorHAnsi"/>
          <w:sz w:val="24"/>
          <w:szCs w:val="24"/>
          <w:lang w:val="el-GR"/>
        </w:rPr>
        <w:t>τους</w:t>
      </w:r>
      <w:r w:rsidRPr="00FD36FB">
        <w:rPr>
          <w:rFonts w:cstheme="minorHAnsi"/>
          <w:sz w:val="24"/>
          <w:szCs w:val="24"/>
          <w:lang w:val="el-GR"/>
        </w:rPr>
        <w:t xml:space="preserve"> </w:t>
      </w:r>
      <w:r w:rsidR="009B2AF9">
        <w:rPr>
          <w:rFonts w:cstheme="minorHAnsi"/>
          <w:sz w:val="24"/>
          <w:szCs w:val="24"/>
          <w:lang w:val="el-GR"/>
        </w:rPr>
        <w:t xml:space="preserve">αφορούν </w:t>
      </w:r>
      <w:r>
        <w:rPr>
          <w:rFonts w:cstheme="minorHAnsi"/>
          <w:sz w:val="24"/>
          <w:szCs w:val="24"/>
          <w:lang w:val="el-GR"/>
        </w:rPr>
        <w:t>κυρίως</w:t>
      </w:r>
      <w:r w:rsidRPr="00FD36FB">
        <w:rPr>
          <w:rFonts w:cstheme="minorHAnsi"/>
          <w:sz w:val="24"/>
          <w:szCs w:val="24"/>
          <w:lang w:val="el-GR"/>
        </w:rPr>
        <w:t xml:space="preserve"> </w:t>
      </w:r>
      <w:r>
        <w:rPr>
          <w:rFonts w:cstheme="minorHAnsi"/>
          <w:sz w:val="24"/>
          <w:szCs w:val="24"/>
          <w:lang w:val="el-GR"/>
        </w:rPr>
        <w:t>τον</w:t>
      </w:r>
      <w:r w:rsidRPr="00FD36FB">
        <w:rPr>
          <w:rFonts w:cstheme="minorHAnsi"/>
          <w:sz w:val="24"/>
          <w:szCs w:val="24"/>
          <w:lang w:val="el-GR"/>
        </w:rPr>
        <w:t xml:space="preserve"> </w:t>
      </w:r>
      <w:r>
        <w:rPr>
          <w:rFonts w:cstheme="minorHAnsi"/>
          <w:sz w:val="24"/>
          <w:szCs w:val="24"/>
          <w:lang w:val="el-GR"/>
        </w:rPr>
        <w:t>συντονισμό</w:t>
      </w:r>
      <w:r w:rsidRPr="00FD36FB">
        <w:rPr>
          <w:rFonts w:cstheme="minorHAnsi"/>
          <w:sz w:val="24"/>
          <w:szCs w:val="24"/>
          <w:lang w:val="el-GR"/>
        </w:rPr>
        <w:t xml:space="preserve"> </w:t>
      </w:r>
      <w:r>
        <w:rPr>
          <w:rFonts w:cstheme="minorHAnsi"/>
          <w:sz w:val="24"/>
          <w:szCs w:val="24"/>
          <w:lang w:val="el-GR"/>
        </w:rPr>
        <w:t>και</w:t>
      </w:r>
      <w:r w:rsidRPr="00FD36FB">
        <w:rPr>
          <w:rFonts w:cstheme="minorHAnsi"/>
          <w:sz w:val="24"/>
          <w:szCs w:val="24"/>
          <w:lang w:val="el-GR"/>
        </w:rPr>
        <w:t xml:space="preserve"> </w:t>
      </w:r>
      <w:r w:rsidR="009B2AF9">
        <w:rPr>
          <w:rFonts w:cstheme="minorHAnsi"/>
          <w:sz w:val="24"/>
          <w:szCs w:val="24"/>
          <w:lang w:val="el-GR"/>
        </w:rPr>
        <w:t xml:space="preserve">την </w:t>
      </w:r>
      <w:r>
        <w:rPr>
          <w:rFonts w:cstheme="minorHAnsi"/>
          <w:sz w:val="24"/>
          <w:szCs w:val="24"/>
          <w:lang w:val="el-GR"/>
        </w:rPr>
        <w:t>υλοποίηση</w:t>
      </w:r>
      <w:r w:rsidRPr="00FD36FB">
        <w:rPr>
          <w:rFonts w:cstheme="minorHAnsi"/>
          <w:sz w:val="24"/>
          <w:szCs w:val="24"/>
          <w:lang w:val="el-GR"/>
        </w:rPr>
        <w:t xml:space="preserve"> </w:t>
      </w:r>
      <w:r>
        <w:rPr>
          <w:rFonts w:cstheme="minorHAnsi"/>
          <w:sz w:val="24"/>
          <w:szCs w:val="24"/>
          <w:lang w:val="el-GR"/>
        </w:rPr>
        <w:t>της</w:t>
      </w:r>
      <w:r w:rsidRPr="00FD36FB">
        <w:rPr>
          <w:rFonts w:cstheme="minorHAnsi"/>
          <w:sz w:val="24"/>
          <w:szCs w:val="24"/>
          <w:lang w:val="el-GR"/>
        </w:rPr>
        <w:t xml:space="preserve"> </w:t>
      </w:r>
      <w:r>
        <w:rPr>
          <w:rFonts w:cstheme="minorHAnsi"/>
          <w:sz w:val="24"/>
          <w:szCs w:val="24"/>
          <w:lang w:val="el-GR"/>
        </w:rPr>
        <w:t>κυβερνητικής πολιτικής</w:t>
      </w:r>
      <w:r w:rsidR="00A5147D" w:rsidRPr="00FD36FB">
        <w:rPr>
          <w:rFonts w:cstheme="minorHAnsi"/>
          <w:sz w:val="24"/>
          <w:szCs w:val="24"/>
          <w:lang w:val="el-GR"/>
        </w:rPr>
        <w:t xml:space="preserve">. </w:t>
      </w:r>
    </w:p>
    <w:p w14:paraId="4D44699B" w14:textId="77777777" w:rsidR="00A5147D" w:rsidRPr="00FD36FB" w:rsidRDefault="00A5147D" w:rsidP="00A5147D">
      <w:pPr>
        <w:rPr>
          <w:rFonts w:cstheme="minorHAnsi"/>
          <w:sz w:val="24"/>
          <w:szCs w:val="24"/>
          <w:lang w:val="el-GR"/>
        </w:rPr>
      </w:pPr>
    </w:p>
    <w:p w14:paraId="54944656" w14:textId="1AE45AB9" w:rsidR="00A5147D" w:rsidRPr="009F7FEF" w:rsidRDefault="00FD36FB" w:rsidP="00A5147D">
      <w:pPr>
        <w:numPr>
          <w:ilvl w:val="0"/>
          <w:numId w:val="1"/>
        </w:numPr>
        <w:tabs>
          <w:tab w:val="clear" w:pos="6095"/>
          <w:tab w:val="left" w:pos="709"/>
        </w:tabs>
        <w:ind w:left="0" w:firstLine="0"/>
        <w:rPr>
          <w:rFonts w:ascii="Calibri" w:hAnsi="Calibri" w:cs="Calibri"/>
          <w:b/>
          <w:bCs/>
          <w:sz w:val="24"/>
          <w:szCs w:val="24"/>
          <w:lang w:val="el-GR"/>
        </w:rPr>
      </w:pPr>
      <w:r>
        <w:rPr>
          <w:rFonts w:eastAsia="Times New Roman" w:cstheme="minorHAnsi"/>
          <w:sz w:val="24"/>
          <w:szCs w:val="24"/>
          <w:lang w:val="el-GR" w:eastAsia="fr-FR"/>
        </w:rPr>
        <w:t>Μαζί</w:t>
      </w:r>
      <w:r w:rsidRPr="002F606F">
        <w:rPr>
          <w:rFonts w:eastAsia="Times New Roman" w:cstheme="minorHAnsi"/>
          <w:sz w:val="24"/>
          <w:szCs w:val="24"/>
          <w:lang w:val="el-GR" w:eastAsia="fr-FR"/>
        </w:rPr>
        <w:t xml:space="preserve"> </w:t>
      </w:r>
      <w:r>
        <w:rPr>
          <w:rFonts w:eastAsia="Times New Roman" w:cstheme="minorHAnsi"/>
          <w:sz w:val="24"/>
          <w:szCs w:val="24"/>
          <w:lang w:val="el-GR" w:eastAsia="fr-FR"/>
        </w:rPr>
        <w:t>με</w:t>
      </w:r>
      <w:r w:rsidRPr="002F606F">
        <w:rPr>
          <w:rFonts w:eastAsia="Times New Roman" w:cstheme="minorHAnsi"/>
          <w:sz w:val="24"/>
          <w:szCs w:val="24"/>
          <w:lang w:val="el-GR" w:eastAsia="fr-FR"/>
        </w:rPr>
        <w:t xml:space="preserve"> </w:t>
      </w:r>
      <w:r>
        <w:rPr>
          <w:rFonts w:eastAsia="Times New Roman" w:cstheme="minorHAnsi"/>
          <w:sz w:val="24"/>
          <w:szCs w:val="24"/>
          <w:lang w:val="el-GR" w:eastAsia="fr-FR"/>
        </w:rPr>
        <w:t>τα</w:t>
      </w:r>
      <w:r w:rsidRPr="002F606F">
        <w:rPr>
          <w:rFonts w:eastAsia="Times New Roman" w:cstheme="minorHAnsi"/>
          <w:sz w:val="24"/>
          <w:szCs w:val="24"/>
          <w:lang w:val="el-GR" w:eastAsia="fr-FR"/>
        </w:rPr>
        <w:t xml:space="preserve"> </w:t>
      </w:r>
      <w:r>
        <w:rPr>
          <w:rFonts w:eastAsia="Times New Roman" w:cstheme="minorHAnsi"/>
          <w:sz w:val="24"/>
          <w:szCs w:val="24"/>
          <w:lang w:val="el-GR" w:eastAsia="fr-FR"/>
        </w:rPr>
        <w:t>επίσημα</w:t>
      </w:r>
      <w:r w:rsidRPr="002F606F">
        <w:rPr>
          <w:rFonts w:eastAsia="Times New Roman" w:cstheme="minorHAnsi"/>
          <w:sz w:val="24"/>
          <w:szCs w:val="24"/>
          <w:lang w:val="el-GR" w:eastAsia="fr-FR"/>
        </w:rPr>
        <w:t xml:space="preserve"> </w:t>
      </w:r>
      <w:r>
        <w:rPr>
          <w:rFonts w:eastAsia="Times New Roman" w:cstheme="minorHAnsi"/>
          <w:sz w:val="24"/>
          <w:szCs w:val="24"/>
          <w:lang w:val="el-GR" w:eastAsia="fr-FR"/>
        </w:rPr>
        <w:t>μέλη</w:t>
      </w:r>
      <w:r w:rsidRPr="002F606F">
        <w:rPr>
          <w:rFonts w:eastAsia="Times New Roman" w:cstheme="minorHAnsi"/>
          <w:sz w:val="24"/>
          <w:szCs w:val="24"/>
          <w:lang w:val="el-GR" w:eastAsia="fr-FR"/>
        </w:rPr>
        <w:t xml:space="preserve"> </w:t>
      </w:r>
      <w:r>
        <w:rPr>
          <w:rFonts w:eastAsia="Times New Roman" w:cstheme="minorHAnsi"/>
          <w:sz w:val="24"/>
          <w:szCs w:val="24"/>
          <w:lang w:val="el-GR" w:eastAsia="fr-FR"/>
        </w:rPr>
        <w:t>της</w:t>
      </w:r>
      <w:r w:rsidRPr="002F606F">
        <w:rPr>
          <w:rFonts w:eastAsia="Times New Roman" w:cstheme="minorHAnsi"/>
          <w:sz w:val="24"/>
          <w:szCs w:val="24"/>
          <w:lang w:val="el-GR" w:eastAsia="fr-FR"/>
        </w:rPr>
        <w:t xml:space="preserve"> </w:t>
      </w:r>
      <w:r>
        <w:rPr>
          <w:rFonts w:eastAsia="Times New Roman" w:cstheme="minorHAnsi"/>
          <w:sz w:val="24"/>
          <w:szCs w:val="24"/>
          <w:lang w:val="el-GR" w:eastAsia="fr-FR"/>
        </w:rPr>
        <w:t>Κυβέρνησης</w:t>
      </w:r>
      <w:r w:rsidR="00A5147D" w:rsidRPr="002F606F">
        <w:rPr>
          <w:rFonts w:eastAsia="Times New Roman" w:cstheme="minorHAnsi"/>
          <w:sz w:val="24"/>
          <w:szCs w:val="24"/>
          <w:lang w:val="el-GR" w:eastAsia="fr-FR"/>
        </w:rPr>
        <w:t xml:space="preserve">, </w:t>
      </w:r>
      <w:r>
        <w:rPr>
          <w:rFonts w:eastAsia="Times New Roman" w:cstheme="minorHAnsi"/>
          <w:sz w:val="24"/>
          <w:szCs w:val="24"/>
          <w:lang w:val="el-GR" w:eastAsia="fr-FR"/>
        </w:rPr>
        <w:t>ο</w:t>
      </w:r>
      <w:r w:rsidR="00A5147D" w:rsidRPr="002F606F">
        <w:rPr>
          <w:rFonts w:eastAsia="Times New Roman" w:cstheme="minorHAnsi"/>
          <w:sz w:val="24"/>
          <w:szCs w:val="24"/>
          <w:lang w:val="el-GR" w:eastAsia="fr-FR"/>
        </w:rPr>
        <w:t xml:space="preserve"> </w:t>
      </w:r>
      <w:r>
        <w:rPr>
          <w:rFonts w:eastAsia="Times New Roman" w:cstheme="minorHAnsi"/>
          <w:i/>
          <w:iCs/>
          <w:sz w:val="24"/>
          <w:szCs w:val="24"/>
          <w:lang w:val="el-GR" w:eastAsia="fr-FR"/>
        </w:rPr>
        <w:t>Νόμος</w:t>
      </w:r>
      <w:r w:rsidRPr="002F606F">
        <w:rPr>
          <w:rFonts w:eastAsia="Times New Roman" w:cstheme="minorHAnsi"/>
          <w:i/>
          <w:iCs/>
          <w:sz w:val="24"/>
          <w:szCs w:val="24"/>
          <w:lang w:val="el-GR" w:eastAsia="fr-FR"/>
        </w:rPr>
        <w:t xml:space="preserve"> </w:t>
      </w:r>
      <w:r>
        <w:rPr>
          <w:rFonts w:eastAsia="Times New Roman" w:cstheme="minorHAnsi"/>
          <w:i/>
          <w:iCs/>
          <w:sz w:val="24"/>
          <w:szCs w:val="24"/>
          <w:lang w:val="el-GR" w:eastAsia="fr-FR"/>
        </w:rPr>
        <w:t>του</w:t>
      </w:r>
      <w:r w:rsidRPr="002F606F">
        <w:rPr>
          <w:rFonts w:eastAsia="Times New Roman" w:cstheme="minorHAnsi"/>
          <w:i/>
          <w:iCs/>
          <w:sz w:val="24"/>
          <w:szCs w:val="24"/>
          <w:lang w:val="el-GR" w:eastAsia="fr-FR"/>
        </w:rPr>
        <w:t xml:space="preserve"> </w:t>
      </w:r>
      <w:r>
        <w:rPr>
          <w:rFonts w:eastAsia="Times New Roman" w:cstheme="minorHAnsi"/>
          <w:i/>
          <w:iCs/>
          <w:sz w:val="24"/>
          <w:szCs w:val="24"/>
          <w:lang w:val="el-GR" w:eastAsia="fr-FR"/>
        </w:rPr>
        <w:t>Κρατικού</w:t>
      </w:r>
      <w:r w:rsidRPr="002F606F">
        <w:rPr>
          <w:rFonts w:eastAsia="Times New Roman" w:cstheme="minorHAnsi"/>
          <w:i/>
          <w:iCs/>
          <w:sz w:val="24"/>
          <w:szCs w:val="24"/>
          <w:lang w:val="el-GR" w:eastAsia="fr-FR"/>
        </w:rPr>
        <w:t xml:space="preserve"> </w:t>
      </w:r>
      <w:r>
        <w:rPr>
          <w:rFonts w:eastAsia="Times New Roman" w:cstheme="minorHAnsi"/>
          <w:i/>
          <w:iCs/>
          <w:sz w:val="24"/>
          <w:szCs w:val="24"/>
          <w:lang w:val="el-GR" w:eastAsia="fr-FR"/>
        </w:rPr>
        <w:t>Προϋπολογισμού</w:t>
      </w:r>
      <w:r w:rsidR="00A5147D" w:rsidRPr="002F606F">
        <w:rPr>
          <w:rFonts w:eastAsia="Times New Roman" w:cstheme="minorHAnsi"/>
          <w:sz w:val="24"/>
          <w:szCs w:val="24"/>
          <w:lang w:val="el-GR" w:eastAsia="fr-FR"/>
        </w:rPr>
        <w:t xml:space="preserve"> </w:t>
      </w:r>
      <w:r w:rsidR="002F606F">
        <w:rPr>
          <w:rFonts w:eastAsia="Times New Roman" w:cstheme="minorHAnsi"/>
          <w:sz w:val="24"/>
          <w:szCs w:val="24"/>
          <w:lang w:val="el-GR" w:eastAsia="fr-FR"/>
        </w:rPr>
        <w:t>προβλέπει</w:t>
      </w:r>
      <w:r w:rsidR="002F606F" w:rsidRPr="002F606F">
        <w:rPr>
          <w:rFonts w:eastAsia="Times New Roman" w:cstheme="minorHAnsi"/>
          <w:sz w:val="24"/>
          <w:szCs w:val="24"/>
          <w:lang w:val="el-GR" w:eastAsia="fr-FR"/>
        </w:rPr>
        <w:t xml:space="preserve"> </w:t>
      </w:r>
      <w:r w:rsidR="002F606F">
        <w:rPr>
          <w:rFonts w:eastAsia="Times New Roman" w:cstheme="minorHAnsi"/>
          <w:sz w:val="24"/>
          <w:szCs w:val="24"/>
          <w:lang w:val="el-GR" w:eastAsia="fr-FR"/>
        </w:rPr>
        <w:t>ότι</w:t>
      </w:r>
      <w:r w:rsidR="002F606F" w:rsidRPr="002F606F">
        <w:rPr>
          <w:rFonts w:eastAsia="Times New Roman" w:cstheme="minorHAnsi"/>
          <w:sz w:val="24"/>
          <w:szCs w:val="24"/>
          <w:lang w:val="el-GR" w:eastAsia="fr-FR"/>
        </w:rPr>
        <w:t xml:space="preserve"> </w:t>
      </w:r>
      <w:r w:rsidR="002F606F">
        <w:rPr>
          <w:rFonts w:eastAsia="Times New Roman" w:cstheme="minorHAnsi"/>
          <w:sz w:val="24"/>
          <w:szCs w:val="24"/>
          <w:lang w:val="el-GR" w:eastAsia="fr-FR"/>
        </w:rPr>
        <w:t>η</w:t>
      </w:r>
      <w:r w:rsidR="002F606F" w:rsidRPr="002F606F">
        <w:rPr>
          <w:rFonts w:eastAsia="Times New Roman" w:cstheme="minorHAnsi"/>
          <w:sz w:val="24"/>
          <w:szCs w:val="24"/>
          <w:lang w:val="el-GR" w:eastAsia="fr-FR"/>
        </w:rPr>
        <w:t xml:space="preserve"> </w:t>
      </w:r>
      <w:r w:rsidR="002F606F">
        <w:rPr>
          <w:rFonts w:eastAsia="Times New Roman" w:cstheme="minorHAnsi"/>
          <w:sz w:val="24"/>
          <w:szCs w:val="24"/>
          <w:lang w:val="el-GR" w:eastAsia="fr-FR"/>
        </w:rPr>
        <w:t>Κυβέρνηση</w:t>
      </w:r>
      <w:r w:rsidR="002F606F" w:rsidRPr="002F606F">
        <w:rPr>
          <w:rFonts w:eastAsia="Times New Roman" w:cstheme="minorHAnsi"/>
          <w:sz w:val="24"/>
          <w:szCs w:val="24"/>
          <w:lang w:val="el-GR" w:eastAsia="fr-FR"/>
        </w:rPr>
        <w:t xml:space="preserve"> </w:t>
      </w:r>
      <w:r w:rsidR="002F606F">
        <w:rPr>
          <w:rFonts w:eastAsia="Times New Roman" w:cstheme="minorHAnsi"/>
          <w:sz w:val="24"/>
          <w:szCs w:val="24"/>
          <w:lang w:val="el-GR" w:eastAsia="fr-FR"/>
        </w:rPr>
        <w:t>μπορεί</w:t>
      </w:r>
      <w:r w:rsidR="002F606F" w:rsidRPr="002F606F">
        <w:rPr>
          <w:rFonts w:eastAsia="Times New Roman" w:cstheme="minorHAnsi"/>
          <w:sz w:val="24"/>
          <w:szCs w:val="24"/>
          <w:lang w:val="el-GR" w:eastAsia="fr-FR"/>
        </w:rPr>
        <w:t xml:space="preserve"> </w:t>
      </w:r>
      <w:r w:rsidR="002F606F">
        <w:rPr>
          <w:rFonts w:eastAsia="Times New Roman" w:cstheme="minorHAnsi"/>
          <w:sz w:val="24"/>
          <w:szCs w:val="24"/>
          <w:lang w:val="el-GR" w:eastAsia="fr-FR"/>
        </w:rPr>
        <w:t>να</w:t>
      </w:r>
      <w:r w:rsidR="002F606F" w:rsidRPr="002F606F">
        <w:rPr>
          <w:rFonts w:eastAsia="Times New Roman" w:cstheme="minorHAnsi"/>
          <w:sz w:val="24"/>
          <w:szCs w:val="24"/>
          <w:lang w:val="el-GR" w:eastAsia="fr-FR"/>
        </w:rPr>
        <w:t xml:space="preserve"> </w:t>
      </w:r>
      <w:r w:rsidR="002F606F">
        <w:rPr>
          <w:rFonts w:eastAsia="Times New Roman" w:cstheme="minorHAnsi"/>
          <w:sz w:val="24"/>
          <w:szCs w:val="24"/>
          <w:lang w:val="el-GR" w:eastAsia="fr-FR"/>
        </w:rPr>
        <w:t>διορίσει άτομα</w:t>
      </w:r>
      <w:r w:rsidR="00A5147D" w:rsidRPr="002F606F">
        <w:rPr>
          <w:rFonts w:eastAsia="Times New Roman" w:cstheme="minorHAnsi"/>
          <w:sz w:val="24"/>
          <w:szCs w:val="24"/>
          <w:lang w:val="el-GR" w:eastAsia="fr-FR"/>
        </w:rPr>
        <w:t xml:space="preserve"> </w:t>
      </w:r>
      <w:r w:rsidR="002F606F">
        <w:rPr>
          <w:rFonts w:eastAsia="Times New Roman" w:cstheme="minorHAnsi"/>
          <w:sz w:val="24"/>
          <w:szCs w:val="24"/>
          <w:lang w:val="el-GR" w:eastAsia="fr-FR"/>
        </w:rPr>
        <w:t>ως</w:t>
      </w:r>
      <w:r w:rsidR="00A5147D" w:rsidRPr="002F606F">
        <w:rPr>
          <w:rFonts w:eastAsia="Times New Roman" w:cstheme="minorHAnsi"/>
          <w:sz w:val="24"/>
          <w:szCs w:val="24"/>
          <w:lang w:val="el-GR" w:eastAsia="fr-FR"/>
        </w:rPr>
        <w:t xml:space="preserve"> </w:t>
      </w:r>
      <w:r w:rsidR="002F606F">
        <w:rPr>
          <w:rFonts w:eastAsia="Times New Roman" w:cstheme="minorHAnsi"/>
          <w:sz w:val="24"/>
          <w:szCs w:val="24"/>
          <w:u w:val="single"/>
          <w:lang w:val="el-GR" w:eastAsia="fr-FR"/>
        </w:rPr>
        <w:t>συμβούλους</w:t>
      </w:r>
      <w:r w:rsidR="00955FCA" w:rsidRPr="002F606F">
        <w:rPr>
          <w:rFonts w:eastAsia="Times New Roman" w:cstheme="minorHAnsi"/>
          <w:sz w:val="24"/>
          <w:szCs w:val="24"/>
          <w:u w:val="single"/>
          <w:lang w:val="el-GR" w:eastAsia="fr-FR"/>
        </w:rPr>
        <w:t xml:space="preserve"> </w:t>
      </w:r>
      <w:r w:rsidR="002F606F">
        <w:rPr>
          <w:rFonts w:eastAsia="Times New Roman" w:cstheme="minorHAnsi"/>
          <w:sz w:val="24"/>
          <w:szCs w:val="24"/>
          <w:u w:val="single"/>
          <w:lang w:val="el-GR" w:eastAsia="fr-FR"/>
        </w:rPr>
        <w:t>και</w:t>
      </w:r>
      <w:r w:rsidR="00A5147D" w:rsidRPr="002F606F">
        <w:rPr>
          <w:rFonts w:eastAsia="Times New Roman" w:cstheme="minorHAnsi"/>
          <w:sz w:val="24"/>
          <w:szCs w:val="24"/>
          <w:u w:val="single"/>
          <w:lang w:val="el-GR" w:eastAsia="fr-FR"/>
        </w:rPr>
        <w:t xml:space="preserve"> </w:t>
      </w:r>
      <w:r w:rsidR="002F606F">
        <w:rPr>
          <w:rFonts w:eastAsia="Times New Roman" w:cstheme="minorHAnsi"/>
          <w:sz w:val="24"/>
          <w:szCs w:val="24"/>
          <w:u w:val="single"/>
          <w:lang w:val="el-GR" w:eastAsia="fr-FR"/>
        </w:rPr>
        <w:t>συνεργάτες</w:t>
      </w:r>
      <w:r w:rsidR="00955FCA" w:rsidRPr="002F606F">
        <w:rPr>
          <w:rFonts w:eastAsia="Times New Roman" w:cstheme="minorHAnsi"/>
          <w:sz w:val="24"/>
          <w:szCs w:val="24"/>
          <w:u w:val="single"/>
          <w:lang w:val="el-GR" w:eastAsia="fr-FR"/>
        </w:rPr>
        <w:t xml:space="preserve"> (</w:t>
      </w:r>
      <w:r w:rsidR="00955FCA" w:rsidRPr="00B95983">
        <w:rPr>
          <w:rFonts w:eastAsia="Times New Roman" w:cstheme="minorHAnsi"/>
          <w:sz w:val="24"/>
          <w:szCs w:val="24"/>
          <w:u w:val="single"/>
          <w:lang w:eastAsia="fr-FR"/>
        </w:rPr>
        <w:t>CPTA</w:t>
      </w:r>
      <w:r w:rsidR="009B2AF9">
        <w:rPr>
          <w:rFonts w:eastAsia="Times New Roman" w:cstheme="minorHAnsi"/>
          <w:sz w:val="24"/>
          <w:szCs w:val="24"/>
          <w:u w:val="single"/>
          <w:lang w:val="en-US" w:eastAsia="fr-FR"/>
        </w:rPr>
        <w:t>s</w:t>
      </w:r>
      <w:r w:rsidR="00955FCA" w:rsidRPr="002F606F">
        <w:rPr>
          <w:rFonts w:eastAsia="Times New Roman" w:cstheme="minorHAnsi"/>
          <w:sz w:val="24"/>
          <w:szCs w:val="24"/>
          <w:u w:val="single"/>
          <w:lang w:val="el-GR" w:eastAsia="fr-FR"/>
        </w:rPr>
        <w:t>)</w:t>
      </w:r>
      <w:r w:rsidR="009B2AF9" w:rsidRPr="002B7C4B">
        <w:rPr>
          <w:rFonts w:eastAsia="Times New Roman" w:cstheme="minorHAnsi"/>
          <w:sz w:val="24"/>
          <w:szCs w:val="24"/>
          <w:lang w:val="el-GR" w:eastAsia="fr-FR"/>
        </w:rPr>
        <w:t xml:space="preserve"> </w:t>
      </w:r>
      <w:r w:rsidR="009B2AF9">
        <w:rPr>
          <w:rFonts w:eastAsia="Times New Roman" w:cstheme="minorHAnsi"/>
          <w:sz w:val="24"/>
          <w:szCs w:val="24"/>
          <w:lang w:val="el-GR" w:eastAsia="fr-FR"/>
        </w:rPr>
        <w:t>με πολιτικό διορισμό</w:t>
      </w:r>
      <w:r w:rsidR="00955FCA" w:rsidRPr="002F606F">
        <w:rPr>
          <w:rFonts w:eastAsia="Times New Roman" w:cstheme="minorHAnsi"/>
          <w:sz w:val="24"/>
          <w:szCs w:val="24"/>
          <w:lang w:val="el-GR" w:eastAsia="fr-FR"/>
        </w:rPr>
        <w:t xml:space="preserve">, </w:t>
      </w:r>
      <w:r w:rsidR="002F606F">
        <w:rPr>
          <w:rFonts w:eastAsia="Times New Roman" w:cstheme="minorHAnsi"/>
          <w:sz w:val="24"/>
          <w:szCs w:val="24"/>
          <w:lang w:val="el-GR" w:eastAsia="fr-FR"/>
        </w:rPr>
        <w:t>μέσω πρόσληψης</w:t>
      </w:r>
      <w:r w:rsidR="00A5147D" w:rsidRPr="002F606F">
        <w:rPr>
          <w:rFonts w:eastAsia="Times New Roman" w:cstheme="minorHAnsi"/>
          <w:sz w:val="24"/>
          <w:szCs w:val="24"/>
          <w:lang w:val="el-GR" w:eastAsia="fr-FR"/>
        </w:rPr>
        <w:t xml:space="preserve"> </w:t>
      </w:r>
      <w:r w:rsidR="002F606F">
        <w:rPr>
          <w:rFonts w:eastAsia="Times New Roman" w:cstheme="minorHAnsi"/>
          <w:sz w:val="24"/>
          <w:szCs w:val="24"/>
          <w:lang w:val="el-GR" w:eastAsia="fr-FR"/>
        </w:rPr>
        <w:t>σύμφωνα με το ιδιωτικό δίκαιο</w:t>
      </w:r>
      <w:r w:rsidR="00A5147D" w:rsidRPr="002F606F">
        <w:rPr>
          <w:rFonts w:eastAsia="Times New Roman" w:cstheme="minorHAnsi"/>
          <w:sz w:val="24"/>
          <w:szCs w:val="24"/>
          <w:lang w:val="el-GR" w:eastAsia="fr-FR"/>
        </w:rPr>
        <w:t xml:space="preserve">. </w:t>
      </w:r>
      <w:r w:rsidR="002F606F">
        <w:rPr>
          <w:rFonts w:eastAsia="Times New Roman" w:cstheme="minorHAnsi"/>
          <w:sz w:val="24"/>
          <w:szCs w:val="24"/>
          <w:lang w:val="el-GR" w:eastAsia="fr-FR"/>
        </w:rPr>
        <w:t>Αυτά</w:t>
      </w:r>
      <w:r w:rsidR="002F606F" w:rsidRPr="004557A2">
        <w:rPr>
          <w:rFonts w:eastAsia="Times New Roman" w:cstheme="minorHAnsi"/>
          <w:sz w:val="24"/>
          <w:szCs w:val="24"/>
          <w:lang w:val="el-GR" w:eastAsia="fr-FR"/>
        </w:rPr>
        <w:t xml:space="preserve"> </w:t>
      </w:r>
      <w:r w:rsidR="002F606F">
        <w:rPr>
          <w:rFonts w:eastAsia="Times New Roman" w:cstheme="minorHAnsi"/>
          <w:sz w:val="24"/>
          <w:szCs w:val="24"/>
          <w:lang w:val="el-GR" w:eastAsia="fr-FR"/>
        </w:rPr>
        <w:t>τα</w:t>
      </w:r>
      <w:r w:rsidR="002F606F" w:rsidRPr="004557A2">
        <w:rPr>
          <w:rFonts w:eastAsia="Times New Roman" w:cstheme="minorHAnsi"/>
          <w:sz w:val="24"/>
          <w:szCs w:val="24"/>
          <w:lang w:val="el-GR" w:eastAsia="fr-FR"/>
        </w:rPr>
        <w:t xml:space="preserve"> </w:t>
      </w:r>
      <w:r w:rsidR="002F606F">
        <w:rPr>
          <w:rFonts w:eastAsia="Times New Roman" w:cstheme="minorHAnsi"/>
          <w:sz w:val="24"/>
          <w:szCs w:val="24"/>
          <w:lang w:val="el-GR" w:eastAsia="fr-FR"/>
        </w:rPr>
        <w:t>άτομα</w:t>
      </w:r>
      <w:r w:rsidR="00A5147D" w:rsidRPr="004557A2">
        <w:rPr>
          <w:rFonts w:eastAsia="Times New Roman" w:cstheme="minorHAnsi"/>
          <w:sz w:val="24"/>
          <w:szCs w:val="24"/>
          <w:lang w:val="el-GR" w:eastAsia="fr-FR"/>
        </w:rPr>
        <w:t xml:space="preserve"> </w:t>
      </w:r>
      <w:r w:rsidR="002F606F">
        <w:rPr>
          <w:rFonts w:eastAsia="Times New Roman" w:cstheme="minorHAnsi"/>
          <w:sz w:val="24"/>
          <w:szCs w:val="24"/>
          <w:lang w:val="el-GR" w:eastAsia="fr-FR"/>
        </w:rPr>
        <w:t>είναι</w:t>
      </w:r>
      <w:r w:rsidR="002F606F" w:rsidRPr="004557A2">
        <w:rPr>
          <w:rFonts w:eastAsia="Times New Roman" w:cstheme="minorHAnsi"/>
          <w:sz w:val="24"/>
          <w:szCs w:val="24"/>
          <w:lang w:val="el-GR" w:eastAsia="fr-FR"/>
        </w:rPr>
        <w:t xml:space="preserve"> </w:t>
      </w:r>
      <w:r w:rsidR="002F606F">
        <w:rPr>
          <w:rFonts w:eastAsia="Times New Roman" w:cstheme="minorHAnsi"/>
          <w:sz w:val="24"/>
          <w:szCs w:val="24"/>
          <w:lang w:val="el-GR" w:eastAsia="fr-FR"/>
        </w:rPr>
        <w:t>προσωπικό</w:t>
      </w:r>
      <w:r w:rsidR="009B2AF9">
        <w:rPr>
          <w:rFonts w:eastAsia="Times New Roman" w:cstheme="minorHAnsi"/>
          <w:sz w:val="24"/>
          <w:szCs w:val="24"/>
          <w:lang w:val="el-GR" w:eastAsia="fr-FR"/>
        </w:rPr>
        <w:t xml:space="preserve"> το οποίο διορίζεται προσωρινά</w:t>
      </w:r>
      <w:r w:rsidR="00A5147D" w:rsidRPr="004557A2">
        <w:rPr>
          <w:rFonts w:eastAsia="Times New Roman" w:cstheme="minorHAnsi"/>
          <w:sz w:val="24"/>
          <w:szCs w:val="24"/>
          <w:lang w:val="el-GR" w:eastAsia="fr-FR"/>
        </w:rPr>
        <w:t xml:space="preserve">. </w:t>
      </w:r>
      <w:r w:rsidR="002F606F">
        <w:rPr>
          <w:rFonts w:eastAsia="Times New Roman" w:cstheme="minorHAnsi"/>
          <w:sz w:val="24"/>
          <w:szCs w:val="24"/>
          <w:lang w:val="el-GR" w:eastAsia="fr-FR"/>
        </w:rPr>
        <w:t>Δεν</w:t>
      </w:r>
      <w:r w:rsidR="002F606F" w:rsidRPr="002F606F">
        <w:rPr>
          <w:rFonts w:eastAsia="Times New Roman" w:cstheme="minorHAnsi"/>
          <w:sz w:val="24"/>
          <w:szCs w:val="24"/>
          <w:lang w:val="el-GR" w:eastAsia="fr-FR"/>
        </w:rPr>
        <w:t xml:space="preserve"> </w:t>
      </w:r>
      <w:r w:rsidR="002F606F">
        <w:rPr>
          <w:rFonts w:eastAsia="Times New Roman" w:cstheme="minorHAnsi"/>
          <w:sz w:val="24"/>
          <w:szCs w:val="24"/>
          <w:lang w:val="el-GR" w:eastAsia="fr-FR"/>
        </w:rPr>
        <w:t>έχουν</w:t>
      </w:r>
      <w:r w:rsidR="002F606F" w:rsidRPr="002F606F">
        <w:rPr>
          <w:rFonts w:eastAsia="Times New Roman" w:cstheme="minorHAnsi"/>
          <w:sz w:val="24"/>
          <w:szCs w:val="24"/>
          <w:lang w:val="el-GR" w:eastAsia="fr-FR"/>
        </w:rPr>
        <w:t xml:space="preserve"> </w:t>
      </w:r>
      <w:r w:rsidR="002F606F">
        <w:rPr>
          <w:rFonts w:eastAsia="Times New Roman" w:cstheme="minorHAnsi"/>
          <w:sz w:val="24"/>
          <w:szCs w:val="24"/>
          <w:lang w:val="el-GR" w:eastAsia="fr-FR"/>
        </w:rPr>
        <w:t>όλοι</w:t>
      </w:r>
      <w:r w:rsidR="002F606F" w:rsidRPr="002F606F">
        <w:rPr>
          <w:rFonts w:eastAsia="Times New Roman" w:cstheme="minorHAnsi"/>
          <w:sz w:val="24"/>
          <w:szCs w:val="24"/>
          <w:lang w:val="el-GR" w:eastAsia="fr-FR"/>
        </w:rPr>
        <w:t xml:space="preserve"> </w:t>
      </w:r>
      <w:r w:rsidR="002F606F">
        <w:rPr>
          <w:rFonts w:eastAsia="Times New Roman" w:cstheme="minorHAnsi"/>
          <w:sz w:val="24"/>
          <w:szCs w:val="24"/>
          <w:lang w:val="el-GR" w:eastAsia="fr-FR"/>
        </w:rPr>
        <w:t>συμβουλευτικά</w:t>
      </w:r>
      <w:r w:rsidR="002F606F" w:rsidRPr="002F606F">
        <w:rPr>
          <w:rFonts w:eastAsia="Times New Roman" w:cstheme="minorHAnsi"/>
          <w:sz w:val="24"/>
          <w:szCs w:val="24"/>
          <w:lang w:val="el-GR" w:eastAsia="fr-FR"/>
        </w:rPr>
        <w:t xml:space="preserve"> </w:t>
      </w:r>
      <w:r w:rsidR="002F606F">
        <w:rPr>
          <w:rFonts w:eastAsia="Times New Roman" w:cstheme="minorHAnsi"/>
          <w:sz w:val="24"/>
          <w:szCs w:val="24"/>
          <w:lang w:val="el-GR" w:eastAsia="fr-FR"/>
        </w:rPr>
        <w:t>καθήκοντα</w:t>
      </w:r>
      <w:r w:rsidR="00991107" w:rsidRPr="002F606F">
        <w:rPr>
          <w:rFonts w:cstheme="minorHAnsi"/>
          <w:bCs/>
          <w:sz w:val="24"/>
          <w:szCs w:val="24"/>
          <w:lang w:val="el-GR"/>
        </w:rPr>
        <w:t xml:space="preserve">, </w:t>
      </w:r>
      <w:r w:rsidR="002F606F">
        <w:rPr>
          <w:rFonts w:cstheme="minorHAnsi"/>
          <w:bCs/>
          <w:sz w:val="24"/>
          <w:szCs w:val="24"/>
          <w:lang w:val="el-GR"/>
        </w:rPr>
        <w:t>μερικοί</w:t>
      </w:r>
      <w:r w:rsidR="00991107" w:rsidRPr="002F606F">
        <w:rPr>
          <w:rFonts w:cstheme="minorHAnsi"/>
          <w:bCs/>
          <w:sz w:val="24"/>
          <w:szCs w:val="24"/>
          <w:lang w:val="el-GR"/>
        </w:rPr>
        <w:t xml:space="preserve"> </w:t>
      </w:r>
      <w:r w:rsidR="00991107" w:rsidRPr="00A90F70">
        <w:rPr>
          <w:rFonts w:cstheme="minorHAnsi"/>
          <w:bCs/>
          <w:sz w:val="24"/>
          <w:szCs w:val="24"/>
        </w:rPr>
        <w:t>CPTA</w:t>
      </w:r>
      <w:r w:rsidR="009B2AF9">
        <w:rPr>
          <w:rFonts w:cstheme="minorHAnsi"/>
          <w:bCs/>
          <w:sz w:val="24"/>
          <w:szCs w:val="24"/>
          <w:lang w:val="en-US"/>
        </w:rPr>
        <w:t>s</w:t>
      </w:r>
      <w:r w:rsidR="00991107" w:rsidRPr="002F606F">
        <w:rPr>
          <w:rFonts w:cstheme="minorHAnsi"/>
          <w:bCs/>
          <w:sz w:val="24"/>
          <w:szCs w:val="24"/>
          <w:lang w:val="el-GR"/>
        </w:rPr>
        <w:t xml:space="preserve"> </w:t>
      </w:r>
      <w:r w:rsidR="002F606F">
        <w:rPr>
          <w:rFonts w:cstheme="minorHAnsi"/>
          <w:bCs/>
          <w:sz w:val="24"/>
          <w:szCs w:val="24"/>
          <w:lang w:val="el-GR"/>
        </w:rPr>
        <w:t>έχουν</w:t>
      </w:r>
      <w:r w:rsidR="002F606F" w:rsidRPr="002F606F">
        <w:rPr>
          <w:rFonts w:cstheme="minorHAnsi"/>
          <w:bCs/>
          <w:sz w:val="24"/>
          <w:szCs w:val="24"/>
          <w:lang w:val="el-GR"/>
        </w:rPr>
        <w:t xml:space="preserve"> </w:t>
      </w:r>
      <w:r w:rsidR="002F606F">
        <w:rPr>
          <w:rFonts w:cstheme="minorHAnsi"/>
          <w:bCs/>
          <w:sz w:val="24"/>
          <w:szCs w:val="24"/>
          <w:lang w:val="el-GR"/>
        </w:rPr>
        <w:t>απλά</w:t>
      </w:r>
      <w:r w:rsidR="002F606F" w:rsidRPr="002F606F">
        <w:rPr>
          <w:rFonts w:cstheme="minorHAnsi"/>
          <w:bCs/>
          <w:sz w:val="24"/>
          <w:szCs w:val="24"/>
          <w:lang w:val="el-GR"/>
        </w:rPr>
        <w:t xml:space="preserve"> </w:t>
      </w:r>
      <w:r w:rsidR="002F606F">
        <w:rPr>
          <w:rFonts w:cstheme="minorHAnsi"/>
          <w:bCs/>
          <w:sz w:val="24"/>
          <w:szCs w:val="24"/>
          <w:lang w:val="el-GR"/>
        </w:rPr>
        <w:t>γραμματειακά</w:t>
      </w:r>
      <w:r w:rsidR="00991107" w:rsidRPr="002F606F">
        <w:rPr>
          <w:rFonts w:cstheme="minorHAnsi"/>
          <w:bCs/>
          <w:sz w:val="24"/>
          <w:szCs w:val="24"/>
          <w:lang w:val="el-GR"/>
        </w:rPr>
        <w:t>/</w:t>
      </w:r>
      <w:r w:rsidR="002F606F">
        <w:rPr>
          <w:rFonts w:cstheme="minorHAnsi"/>
          <w:bCs/>
          <w:sz w:val="24"/>
          <w:szCs w:val="24"/>
          <w:lang w:val="el-GR"/>
        </w:rPr>
        <w:t>γραφειακά</w:t>
      </w:r>
      <w:r w:rsidR="002F606F" w:rsidRPr="002F606F">
        <w:rPr>
          <w:rFonts w:cstheme="minorHAnsi"/>
          <w:bCs/>
          <w:sz w:val="24"/>
          <w:szCs w:val="24"/>
          <w:lang w:val="el-GR"/>
        </w:rPr>
        <w:t xml:space="preserve"> </w:t>
      </w:r>
      <w:r w:rsidR="002F606F">
        <w:rPr>
          <w:rFonts w:cstheme="minorHAnsi"/>
          <w:bCs/>
          <w:sz w:val="24"/>
          <w:szCs w:val="24"/>
          <w:lang w:val="el-GR"/>
        </w:rPr>
        <w:t>καθήκοντα</w:t>
      </w:r>
      <w:r w:rsidR="00991107" w:rsidRPr="002F606F">
        <w:rPr>
          <w:rFonts w:cstheme="minorHAnsi"/>
          <w:bCs/>
          <w:sz w:val="24"/>
          <w:szCs w:val="24"/>
          <w:lang w:val="el-GR"/>
        </w:rPr>
        <w:t xml:space="preserve"> </w:t>
      </w:r>
      <w:r w:rsidR="002F606F">
        <w:rPr>
          <w:rFonts w:cstheme="minorHAnsi"/>
          <w:bCs/>
          <w:sz w:val="24"/>
          <w:szCs w:val="24"/>
          <w:lang w:val="el-GR"/>
        </w:rPr>
        <w:t>χωρίς κανένα πιθανό ρόλο στη διαμόρφωση πολιτικής</w:t>
      </w:r>
      <w:r w:rsidR="00991107" w:rsidRPr="002F606F">
        <w:rPr>
          <w:rFonts w:cstheme="minorHAnsi"/>
          <w:bCs/>
          <w:sz w:val="24"/>
          <w:szCs w:val="24"/>
          <w:lang w:val="el-GR"/>
        </w:rPr>
        <w:t>.</w:t>
      </w:r>
      <w:r w:rsidR="00991107" w:rsidRPr="002F606F">
        <w:rPr>
          <w:rFonts w:cstheme="minorHAnsi"/>
          <w:b/>
          <w:sz w:val="24"/>
          <w:szCs w:val="24"/>
          <w:lang w:val="el-GR"/>
        </w:rPr>
        <w:t xml:space="preserve"> </w:t>
      </w:r>
      <w:r w:rsidR="002F606F" w:rsidRPr="002F606F">
        <w:rPr>
          <w:rFonts w:cstheme="minorHAnsi"/>
          <w:sz w:val="24"/>
          <w:szCs w:val="24"/>
          <w:lang w:val="el-GR"/>
        </w:rPr>
        <w:t xml:space="preserve">Στο παρόν στάδιο </w:t>
      </w:r>
      <w:r w:rsidR="002F606F">
        <w:rPr>
          <w:rFonts w:cstheme="minorHAnsi"/>
          <w:sz w:val="24"/>
          <w:szCs w:val="24"/>
          <w:lang w:val="el-GR"/>
        </w:rPr>
        <w:t>δεν</w:t>
      </w:r>
      <w:r w:rsidR="002F606F" w:rsidRPr="002F606F">
        <w:rPr>
          <w:rFonts w:cstheme="minorHAnsi"/>
          <w:sz w:val="24"/>
          <w:szCs w:val="24"/>
          <w:lang w:val="el-GR"/>
        </w:rPr>
        <w:t xml:space="preserve"> </w:t>
      </w:r>
      <w:r w:rsidR="002F606F">
        <w:rPr>
          <w:rFonts w:cstheme="minorHAnsi"/>
          <w:sz w:val="24"/>
          <w:szCs w:val="24"/>
          <w:lang w:val="el-GR"/>
        </w:rPr>
        <w:t>υπάρχουν</w:t>
      </w:r>
      <w:r w:rsidR="002F606F" w:rsidRPr="002F606F">
        <w:rPr>
          <w:rFonts w:cstheme="minorHAnsi"/>
          <w:sz w:val="24"/>
          <w:szCs w:val="24"/>
          <w:lang w:val="el-GR"/>
        </w:rPr>
        <w:t xml:space="preserve"> </w:t>
      </w:r>
      <w:r w:rsidR="002F606F">
        <w:rPr>
          <w:rFonts w:cstheme="minorHAnsi"/>
          <w:sz w:val="24"/>
          <w:szCs w:val="24"/>
          <w:lang w:val="el-GR"/>
        </w:rPr>
        <w:t>συγκεκριμένα</w:t>
      </w:r>
      <w:r w:rsidR="002F606F" w:rsidRPr="002F606F">
        <w:rPr>
          <w:rFonts w:cstheme="minorHAnsi"/>
          <w:sz w:val="24"/>
          <w:szCs w:val="24"/>
          <w:lang w:val="el-GR"/>
        </w:rPr>
        <w:t xml:space="preserve"> </w:t>
      </w:r>
      <w:r w:rsidR="002F606F">
        <w:rPr>
          <w:rFonts w:cstheme="minorHAnsi"/>
          <w:sz w:val="24"/>
          <w:szCs w:val="24"/>
          <w:lang w:val="el-GR"/>
        </w:rPr>
        <w:t>κριτήρια</w:t>
      </w:r>
      <w:r w:rsidR="002F606F" w:rsidRPr="002F606F">
        <w:rPr>
          <w:rFonts w:cstheme="minorHAnsi"/>
          <w:sz w:val="24"/>
          <w:szCs w:val="24"/>
          <w:lang w:val="el-GR"/>
        </w:rPr>
        <w:t xml:space="preserve"> </w:t>
      </w:r>
      <w:r w:rsidR="002F606F">
        <w:rPr>
          <w:rFonts w:cstheme="minorHAnsi"/>
          <w:sz w:val="24"/>
          <w:szCs w:val="24"/>
          <w:lang w:val="el-GR"/>
        </w:rPr>
        <w:t>που</w:t>
      </w:r>
      <w:r w:rsidR="002F606F" w:rsidRPr="002F606F">
        <w:rPr>
          <w:rFonts w:cstheme="minorHAnsi"/>
          <w:sz w:val="24"/>
          <w:szCs w:val="24"/>
          <w:lang w:val="el-GR"/>
        </w:rPr>
        <w:t xml:space="preserve"> </w:t>
      </w:r>
      <w:r w:rsidR="002F606F">
        <w:rPr>
          <w:rFonts w:cstheme="minorHAnsi"/>
          <w:sz w:val="24"/>
          <w:szCs w:val="24"/>
          <w:lang w:val="el-GR"/>
        </w:rPr>
        <w:t>ισχύουν</w:t>
      </w:r>
      <w:r w:rsidR="002F606F" w:rsidRPr="002F606F">
        <w:rPr>
          <w:rFonts w:cstheme="minorHAnsi"/>
          <w:sz w:val="24"/>
          <w:szCs w:val="24"/>
          <w:lang w:val="el-GR"/>
        </w:rPr>
        <w:t xml:space="preserve"> </w:t>
      </w:r>
      <w:r w:rsidR="002F606F">
        <w:rPr>
          <w:rFonts w:cstheme="minorHAnsi"/>
          <w:sz w:val="24"/>
          <w:szCs w:val="24"/>
          <w:lang w:val="el-GR"/>
        </w:rPr>
        <w:t>για</w:t>
      </w:r>
      <w:r w:rsidR="002F606F" w:rsidRPr="002F606F">
        <w:rPr>
          <w:rFonts w:cstheme="minorHAnsi"/>
          <w:sz w:val="24"/>
          <w:szCs w:val="24"/>
          <w:lang w:val="el-GR"/>
        </w:rPr>
        <w:t xml:space="preserve"> </w:t>
      </w:r>
      <w:r w:rsidR="002F606F">
        <w:rPr>
          <w:rFonts w:cstheme="minorHAnsi"/>
          <w:sz w:val="24"/>
          <w:szCs w:val="24"/>
          <w:lang w:val="el-GR"/>
        </w:rPr>
        <w:t>την</w:t>
      </w:r>
      <w:r w:rsidR="002F606F" w:rsidRPr="002F606F">
        <w:rPr>
          <w:rFonts w:cstheme="minorHAnsi"/>
          <w:sz w:val="24"/>
          <w:szCs w:val="24"/>
          <w:lang w:val="el-GR"/>
        </w:rPr>
        <w:t xml:space="preserve"> </w:t>
      </w:r>
      <w:r w:rsidR="002F606F">
        <w:rPr>
          <w:rFonts w:cstheme="minorHAnsi"/>
          <w:sz w:val="24"/>
          <w:szCs w:val="24"/>
          <w:lang w:val="el-GR"/>
        </w:rPr>
        <w:t>πρόσληψη τους,</w:t>
      </w:r>
      <w:r w:rsidR="00955FCA" w:rsidRPr="002F606F">
        <w:rPr>
          <w:rFonts w:cstheme="minorHAnsi"/>
          <w:sz w:val="24"/>
          <w:szCs w:val="24"/>
          <w:lang w:val="el-GR"/>
        </w:rPr>
        <w:t xml:space="preserve"> </w:t>
      </w:r>
      <w:bookmarkStart w:id="44" w:name="_Hlk132888074"/>
      <w:r w:rsidR="002F606F">
        <w:rPr>
          <w:rFonts w:cstheme="minorHAnsi"/>
          <w:sz w:val="24"/>
          <w:szCs w:val="24"/>
          <w:lang w:val="el-GR"/>
        </w:rPr>
        <w:t>ωστό</w:t>
      </w:r>
      <w:r w:rsidR="009B2AF9">
        <w:rPr>
          <w:rFonts w:cstheme="minorHAnsi"/>
          <w:sz w:val="24"/>
          <w:szCs w:val="24"/>
          <w:lang w:val="el-GR"/>
        </w:rPr>
        <w:t>σ</w:t>
      </w:r>
      <w:r w:rsidR="002F606F">
        <w:rPr>
          <w:rFonts w:cstheme="minorHAnsi"/>
          <w:sz w:val="24"/>
          <w:szCs w:val="24"/>
          <w:lang w:val="el-GR"/>
        </w:rPr>
        <w:t>ο</w:t>
      </w:r>
      <w:r w:rsidR="00955FCA" w:rsidRPr="002F606F">
        <w:rPr>
          <w:rFonts w:cstheme="minorHAnsi"/>
          <w:sz w:val="24"/>
          <w:szCs w:val="24"/>
          <w:lang w:val="el-GR"/>
        </w:rPr>
        <w:t xml:space="preserve">, </w:t>
      </w:r>
      <w:r w:rsidR="002F606F">
        <w:rPr>
          <w:rFonts w:cstheme="minorHAnsi"/>
          <w:sz w:val="24"/>
          <w:szCs w:val="24"/>
          <w:lang w:val="el-GR"/>
        </w:rPr>
        <w:t>όλοι υπογράφουν</w:t>
      </w:r>
      <w:r w:rsidR="00955FCA" w:rsidRPr="002F606F">
        <w:rPr>
          <w:rFonts w:cstheme="minorHAnsi"/>
          <w:sz w:val="24"/>
          <w:szCs w:val="24"/>
          <w:lang w:val="el-GR"/>
        </w:rPr>
        <w:t xml:space="preserve"> </w:t>
      </w:r>
      <w:r w:rsidR="002F606F">
        <w:rPr>
          <w:rFonts w:cstheme="minorHAnsi"/>
          <w:sz w:val="24"/>
          <w:szCs w:val="24"/>
          <w:lang w:val="el-GR"/>
        </w:rPr>
        <w:t xml:space="preserve">μια </w:t>
      </w:r>
      <w:r w:rsidR="009B2AF9">
        <w:rPr>
          <w:rFonts w:cstheme="minorHAnsi"/>
          <w:sz w:val="24"/>
          <w:szCs w:val="24"/>
          <w:lang w:val="el-GR"/>
        </w:rPr>
        <w:t xml:space="preserve">τυποποιημένη </w:t>
      </w:r>
      <w:r w:rsidR="002F606F">
        <w:rPr>
          <w:rFonts w:cstheme="minorHAnsi"/>
          <w:sz w:val="24"/>
          <w:szCs w:val="24"/>
          <w:lang w:val="el-GR"/>
        </w:rPr>
        <w:t>σύμβαση εργασίας</w:t>
      </w:r>
      <w:r w:rsidR="00A5147D" w:rsidRPr="002F606F">
        <w:rPr>
          <w:rFonts w:cstheme="minorHAnsi"/>
          <w:sz w:val="24"/>
          <w:szCs w:val="24"/>
          <w:lang w:val="el-GR"/>
        </w:rPr>
        <w:t>.</w:t>
      </w:r>
      <w:r w:rsidR="00991107" w:rsidRPr="002F606F">
        <w:rPr>
          <w:rFonts w:cstheme="minorHAnsi"/>
          <w:sz w:val="24"/>
          <w:szCs w:val="24"/>
          <w:lang w:val="el-GR"/>
        </w:rPr>
        <w:t xml:space="preserve"> </w:t>
      </w:r>
      <w:r w:rsidR="002F606F">
        <w:rPr>
          <w:rFonts w:cstheme="minorHAnsi"/>
          <w:sz w:val="24"/>
          <w:szCs w:val="24"/>
          <w:lang w:val="el-GR"/>
        </w:rPr>
        <w:t>Η</w:t>
      </w:r>
      <w:r w:rsidR="00991107" w:rsidRPr="002F606F">
        <w:rPr>
          <w:rFonts w:cstheme="minorHAnsi"/>
          <w:sz w:val="24"/>
          <w:szCs w:val="24"/>
          <w:lang w:val="el-GR"/>
        </w:rPr>
        <w:t xml:space="preserve"> </w:t>
      </w:r>
      <w:r w:rsidR="00991107">
        <w:rPr>
          <w:rFonts w:cstheme="minorHAnsi"/>
          <w:sz w:val="24"/>
          <w:szCs w:val="24"/>
        </w:rPr>
        <w:t>GET</w:t>
      </w:r>
      <w:r w:rsidR="00991107" w:rsidRPr="002F606F">
        <w:rPr>
          <w:rFonts w:cstheme="minorHAnsi"/>
          <w:sz w:val="24"/>
          <w:szCs w:val="24"/>
          <w:lang w:val="el-GR"/>
        </w:rPr>
        <w:t xml:space="preserve"> </w:t>
      </w:r>
      <w:r w:rsidR="002F606F">
        <w:rPr>
          <w:rFonts w:cstheme="minorHAnsi"/>
          <w:sz w:val="24"/>
          <w:szCs w:val="24"/>
          <w:lang w:val="el-GR"/>
        </w:rPr>
        <w:t>θεωρεί</w:t>
      </w:r>
      <w:r w:rsidR="002F606F" w:rsidRPr="002F606F">
        <w:rPr>
          <w:rFonts w:cstheme="minorHAnsi"/>
          <w:sz w:val="24"/>
          <w:szCs w:val="24"/>
          <w:lang w:val="el-GR"/>
        </w:rPr>
        <w:t xml:space="preserve"> </w:t>
      </w:r>
      <w:r w:rsidR="002F606F">
        <w:rPr>
          <w:rFonts w:cstheme="minorHAnsi"/>
          <w:sz w:val="24"/>
          <w:szCs w:val="24"/>
          <w:lang w:val="el-GR"/>
        </w:rPr>
        <w:t>ότι</w:t>
      </w:r>
      <w:r w:rsidR="00991107" w:rsidRPr="002F606F">
        <w:rPr>
          <w:rFonts w:cstheme="minorHAnsi"/>
          <w:sz w:val="24"/>
          <w:szCs w:val="24"/>
          <w:lang w:val="el-GR"/>
        </w:rPr>
        <w:t xml:space="preserve"> </w:t>
      </w:r>
      <w:r w:rsidR="002F606F">
        <w:rPr>
          <w:rFonts w:cstheme="minorHAnsi"/>
          <w:sz w:val="24"/>
          <w:szCs w:val="24"/>
          <w:lang w:val="el-GR"/>
        </w:rPr>
        <w:t>θα</w:t>
      </w:r>
      <w:r w:rsidR="002F606F" w:rsidRPr="002F606F">
        <w:rPr>
          <w:rFonts w:cstheme="minorHAnsi"/>
          <w:sz w:val="24"/>
          <w:szCs w:val="24"/>
          <w:lang w:val="el-GR"/>
        </w:rPr>
        <w:t xml:space="preserve"> </w:t>
      </w:r>
      <w:r w:rsidR="002F606F">
        <w:rPr>
          <w:rFonts w:cstheme="minorHAnsi"/>
          <w:sz w:val="24"/>
          <w:szCs w:val="24"/>
          <w:lang w:val="el-GR"/>
        </w:rPr>
        <w:t>ήταν</w:t>
      </w:r>
      <w:r w:rsidR="002F606F" w:rsidRPr="002F606F">
        <w:rPr>
          <w:rFonts w:cstheme="minorHAnsi"/>
          <w:sz w:val="24"/>
          <w:szCs w:val="24"/>
          <w:lang w:val="el-GR"/>
        </w:rPr>
        <w:t xml:space="preserve"> </w:t>
      </w:r>
      <w:r w:rsidR="002F606F">
        <w:rPr>
          <w:rFonts w:cstheme="minorHAnsi"/>
          <w:sz w:val="24"/>
          <w:szCs w:val="24"/>
          <w:lang w:val="el-GR"/>
        </w:rPr>
        <w:t>σημαντικό</w:t>
      </w:r>
      <w:r w:rsidR="002F606F" w:rsidRPr="002F606F">
        <w:rPr>
          <w:rFonts w:cstheme="minorHAnsi"/>
          <w:sz w:val="24"/>
          <w:szCs w:val="24"/>
          <w:lang w:val="el-GR"/>
        </w:rPr>
        <w:t xml:space="preserve"> </w:t>
      </w:r>
      <w:r w:rsidR="002F606F">
        <w:rPr>
          <w:rFonts w:cstheme="minorHAnsi"/>
          <w:sz w:val="24"/>
          <w:szCs w:val="24"/>
          <w:lang w:val="el-GR"/>
        </w:rPr>
        <w:t>οι</w:t>
      </w:r>
      <w:r w:rsidR="002F606F" w:rsidRPr="002F606F">
        <w:rPr>
          <w:rFonts w:cstheme="minorHAnsi"/>
          <w:sz w:val="24"/>
          <w:szCs w:val="24"/>
          <w:lang w:val="el-GR"/>
        </w:rPr>
        <w:t xml:space="preserve"> </w:t>
      </w:r>
      <w:r w:rsidR="002F606F">
        <w:rPr>
          <w:rFonts w:cstheme="minorHAnsi"/>
          <w:sz w:val="24"/>
          <w:szCs w:val="24"/>
          <w:lang w:val="el-GR"/>
        </w:rPr>
        <w:t>σχετικές</w:t>
      </w:r>
      <w:r w:rsidR="002F606F" w:rsidRPr="002F606F">
        <w:rPr>
          <w:rFonts w:cstheme="minorHAnsi"/>
          <w:sz w:val="24"/>
          <w:szCs w:val="24"/>
          <w:lang w:val="el-GR"/>
        </w:rPr>
        <w:t xml:space="preserve"> </w:t>
      </w:r>
      <w:r w:rsidR="002F606F">
        <w:rPr>
          <w:rFonts w:cstheme="minorHAnsi"/>
          <w:sz w:val="24"/>
          <w:szCs w:val="24"/>
          <w:lang w:val="el-GR"/>
        </w:rPr>
        <w:t>συμβάσεις</w:t>
      </w:r>
      <w:r w:rsidR="002F606F" w:rsidRPr="002F606F">
        <w:rPr>
          <w:rFonts w:cstheme="minorHAnsi"/>
          <w:sz w:val="24"/>
          <w:szCs w:val="24"/>
          <w:lang w:val="el-GR"/>
        </w:rPr>
        <w:t xml:space="preserve"> </w:t>
      </w:r>
      <w:r w:rsidR="002F606F">
        <w:rPr>
          <w:rFonts w:cstheme="minorHAnsi"/>
          <w:sz w:val="24"/>
          <w:szCs w:val="24"/>
          <w:lang w:val="el-GR"/>
        </w:rPr>
        <w:t>εργασίας</w:t>
      </w:r>
      <w:r w:rsidR="002F606F" w:rsidRPr="002F606F">
        <w:rPr>
          <w:rFonts w:cstheme="minorHAnsi"/>
          <w:sz w:val="24"/>
          <w:szCs w:val="24"/>
          <w:lang w:val="el-GR"/>
        </w:rPr>
        <w:t xml:space="preserve"> </w:t>
      </w:r>
      <w:r w:rsidR="002F606F">
        <w:rPr>
          <w:rFonts w:cstheme="minorHAnsi"/>
          <w:sz w:val="24"/>
          <w:szCs w:val="24"/>
          <w:lang w:val="el-GR"/>
        </w:rPr>
        <w:t>να</w:t>
      </w:r>
      <w:r w:rsidR="002F606F" w:rsidRPr="002F606F">
        <w:rPr>
          <w:rFonts w:cstheme="minorHAnsi"/>
          <w:sz w:val="24"/>
          <w:szCs w:val="24"/>
          <w:lang w:val="el-GR"/>
        </w:rPr>
        <w:t xml:space="preserve"> </w:t>
      </w:r>
      <w:r w:rsidR="002F606F">
        <w:rPr>
          <w:rFonts w:cstheme="minorHAnsi"/>
          <w:sz w:val="24"/>
          <w:szCs w:val="24"/>
          <w:lang w:val="el-GR"/>
        </w:rPr>
        <w:t>περιέχουν κριτήρια και όρους για τ</w:t>
      </w:r>
      <w:r w:rsidR="009B2AF9">
        <w:rPr>
          <w:rFonts w:cstheme="minorHAnsi"/>
          <w:sz w:val="24"/>
          <w:szCs w:val="24"/>
          <w:lang w:val="el-GR"/>
        </w:rPr>
        <w:t xml:space="preserve">α καθήκοντα </w:t>
      </w:r>
      <w:r w:rsidR="002F606F">
        <w:rPr>
          <w:rFonts w:cstheme="minorHAnsi"/>
          <w:sz w:val="24"/>
          <w:szCs w:val="24"/>
          <w:lang w:val="el-GR"/>
        </w:rPr>
        <w:t xml:space="preserve">που πρέπει να </w:t>
      </w:r>
      <w:r w:rsidR="00D83CDC">
        <w:rPr>
          <w:rFonts w:cstheme="minorHAnsi"/>
          <w:sz w:val="24"/>
          <w:szCs w:val="24"/>
          <w:lang w:val="el-GR"/>
        </w:rPr>
        <w:t xml:space="preserve">εκτελεί ο </w:t>
      </w:r>
      <w:proofErr w:type="spellStart"/>
      <w:r w:rsidR="002F606F">
        <w:rPr>
          <w:rFonts w:cstheme="minorHAnsi"/>
          <w:sz w:val="24"/>
          <w:szCs w:val="24"/>
          <w:lang w:val="el-GR"/>
        </w:rPr>
        <w:t>εργοδοτούμενο</w:t>
      </w:r>
      <w:r w:rsidR="00D83CDC">
        <w:rPr>
          <w:rFonts w:cstheme="minorHAnsi"/>
          <w:sz w:val="24"/>
          <w:szCs w:val="24"/>
          <w:lang w:val="el-GR"/>
        </w:rPr>
        <w:t>ς</w:t>
      </w:r>
      <w:proofErr w:type="spellEnd"/>
      <w:r w:rsidR="00991107" w:rsidRPr="002F606F">
        <w:rPr>
          <w:rFonts w:cstheme="minorHAnsi"/>
          <w:sz w:val="24"/>
          <w:szCs w:val="24"/>
          <w:lang w:val="el-GR"/>
        </w:rPr>
        <w:t>.</w:t>
      </w:r>
      <w:r w:rsidR="009018FD">
        <w:rPr>
          <w:rStyle w:val="FootnoteReference"/>
          <w:rFonts w:cstheme="minorHAnsi"/>
          <w:sz w:val="24"/>
          <w:szCs w:val="24"/>
        </w:rPr>
        <w:footnoteReference w:id="35"/>
      </w:r>
      <w:r w:rsidR="00A5147D" w:rsidRPr="002F606F">
        <w:rPr>
          <w:rFonts w:cstheme="minorHAnsi"/>
          <w:b/>
          <w:bCs/>
          <w:sz w:val="24"/>
          <w:szCs w:val="24"/>
          <w:lang w:val="el-GR"/>
        </w:rPr>
        <w:t xml:space="preserve"> </w:t>
      </w:r>
      <w:r w:rsidR="002F606F" w:rsidRPr="002F606F">
        <w:rPr>
          <w:rFonts w:cstheme="minorHAnsi"/>
          <w:bCs/>
          <w:sz w:val="24"/>
          <w:szCs w:val="24"/>
          <w:lang w:val="el-GR"/>
        </w:rPr>
        <w:t>Στο</w:t>
      </w:r>
      <w:r w:rsidR="002F606F" w:rsidRPr="004557A2">
        <w:rPr>
          <w:rFonts w:cstheme="minorHAnsi"/>
          <w:bCs/>
          <w:sz w:val="24"/>
          <w:szCs w:val="24"/>
          <w:lang w:val="el-GR"/>
        </w:rPr>
        <w:t xml:space="preserve"> </w:t>
      </w:r>
      <w:r w:rsidR="002F606F" w:rsidRPr="002F606F">
        <w:rPr>
          <w:rFonts w:cstheme="minorHAnsi"/>
          <w:bCs/>
          <w:sz w:val="24"/>
          <w:szCs w:val="24"/>
          <w:lang w:val="el-GR"/>
        </w:rPr>
        <w:t>παρόν</w:t>
      </w:r>
      <w:r w:rsidR="002F606F" w:rsidRPr="004557A2">
        <w:rPr>
          <w:rFonts w:cstheme="minorHAnsi"/>
          <w:bCs/>
          <w:sz w:val="24"/>
          <w:szCs w:val="24"/>
          <w:lang w:val="el-GR"/>
        </w:rPr>
        <w:t xml:space="preserve"> </w:t>
      </w:r>
      <w:r w:rsidR="002F606F" w:rsidRPr="002F606F">
        <w:rPr>
          <w:rFonts w:cstheme="minorHAnsi"/>
          <w:bCs/>
          <w:sz w:val="24"/>
          <w:szCs w:val="24"/>
          <w:lang w:val="el-GR"/>
        </w:rPr>
        <w:t>στάδιο</w:t>
      </w:r>
      <w:r w:rsidR="00A5147D" w:rsidRPr="004557A2">
        <w:rPr>
          <w:rFonts w:ascii="Calibri" w:hAnsi="Calibri" w:cs="Calibri"/>
          <w:sz w:val="24"/>
          <w:szCs w:val="24"/>
          <w:lang w:val="el-GR"/>
        </w:rPr>
        <w:t xml:space="preserve">, </w:t>
      </w:r>
      <w:r w:rsidR="002F606F">
        <w:rPr>
          <w:rFonts w:ascii="Calibri" w:hAnsi="Calibri" w:cs="Calibri"/>
          <w:sz w:val="24"/>
          <w:szCs w:val="24"/>
          <w:lang w:val="el-GR"/>
        </w:rPr>
        <w:t>υπάρχουν</w:t>
      </w:r>
      <w:r w:rsidR="00A5147D" w:rsidRPr="004557A2">
        <w:rPr>
          <w:rFonts w:eastAsia="Times New Roman" w:cstheme="minorHAnsi"/>
          <w:sz w:val="24"/>
          <w:szCs w:val="24"/>
          <w:lang w:val="el-GR" w:eastAsia="fr-FR"/>
        </w:rPr>
        <w:t xml:space="preserve"> </w:t>
      </w:r>
      <w:r w:rsidR="00721B0B" w:rsidRPr="004557A2">
        <w:rPr>
          <w:rFonts w:eastAsia="Times New Roman" w:cstheme="minorHAnsi"/>
          <w:sz w:val="24"/>
          <w:szCs w:val="24"/>
          <w:lang w:val="el-GR" w:eastAsia="fr-FR"/>
        </w:rPr>
        <w:t xml:space="preserve">21 </w:t>
      </w:r>
      <w:r w:rsidR="00A5147D" w:rsidRPr="00B95983">
        <w:rPr>
          <w:rFonts w:eastAsia="Times New Roman" w:cstheme="minorHAnsi"/>
          <w:sz w:val="24"/>
          <w:szCs w:val="24"/>
          <w:lang w:eastAsia="fr-FR"/>
        </w:rPr>
        <w:t>CPTA</w:t>
      </w:r>
      <w:r w:rsidR="009B2AF9">
        <w:rPr>
          <w:rFonts w:eastAsia="Times New Roman" w:cstheme="minorHAnsi"/>
          <w:sz w:val="24"/>
          <w:szCs w:val="24"/>
          <w:lang w:val="en-US" w:eastAsia="fr-FR"/>
        </w:rPr>
        <w:t>s</w:t>
      </w:r>
      <w:r w:rsidR="00A5147D" w:rsidRPr="004557A2">
        <w:rPr>
          <w:rFonts w:eastAsia="Times New Roman" w:cstheme="minorHAnsi"/>
          <w:sz w:val="24"/>
          <w:szCs w:val="24"/>
          <w:lang w:val="el-GR" w:eastAsia="fr-FR"/>
        </w:rPr>
        <w:t xml:space="preserve">. </w:t>
      </w:r>
      <w:bookmarkEnd w:id="44"/>
      <w:r w:rsidR="00BA46E9">
        <w:rPr>
          <w:rFonts w:eastAsia="Times New Roman" w:cstheme="minorHAnsi"/>
          <w:sz w:val="24"/>
          <w:szCs w:val="24"/>
          <w:lang w:val="el-GR" w:eastAsia="fr-FR"/>
        </w:rPr>
        <w:t>Αυτοί</w:t>
      </w:r>
      <w:r w:rsidR="00BA46E9" w:rsidRPr="00BA46E9">
        <w:rPr>
          <w:rFonts w:eastAsia="Times New Roman" w:cstheme="minorHAnsi"/>
          <w:sz w:val="24"/>
          <w:szCs w:val="24"/>
          <w:lang w:val="el-GR" w:eastAsia="fr-FR"/>
        </w:rPr>
        <w:t xml:space="preserve"> </w:t>
      </w:r>
      <w:r w:rsidR="00BA46E9">
        <w:rPr>
          <w:rFonts w:eastAsia="Times New Roman" w:cstheme="minorHAnsi"/>
          <w:sz w:val="24"/>
          <w:szCs w:val="24"/>
          <w:lang w:val="el-GR" w:eastAsia="fr-FR"/>
        </w:rPr>
        <w:t>δίνουν</w:t>
      </w:r>
      <w:r w:rsidR="00BA46E9" w:rsidRPr="00BA46E9">
        <w:rPr>
          <w:rFonts w:eastAsia="Times New Roman" w:cstheme="minorHAnsi"/>
          <w:sz w:val="24"/>
          <w:szCs w:val="24"/>
          <w:lang w:val="el-GR" w:eastAsia="fr-FR"/>
        </w:rPr>
        <w:t xml:space="preserve"> </w:t>
      </w:r>
      <w:r w:rsidR="00D83CDC">
        <w:rPr>
          <w:rFonts w:eastAsia="Times New Roman" w:cstheme="minorHAnsi"/>
          <w:sz w:val="24"/>
          <w:szCs w:val="24"/>
          <w:lang w:val="el-GR" w:eastAsia="fr-FR"/>
        </w:rPr>
        <w:t xml:space="preserve">απευθείας </w:t>
      </w:r>
      <w:r w:rsidR="00BA46E9">
        <w:rPr>
          <w:rFonts w:eastAsia="Times New Roman" w:cstheme="minorHAnsi"/>
          <w:sz w:val="24"/>
          <w:szCs w:val="24"/>
          <w:lang w:val="el-GR" w:eastAsia="fr-FR"/>
        </w:rPr>
        <w:t>αναφορά</w:t>
      </w:r>
      <w:r w:rsidR="00A5147D" w:rsidRPr="00BA46E9">
        <w:rPr>
          <w:rFonts w:eastAsia="Times New Roman" w:cstheme="minorHAnsi"/>
          <w:sz w:val="24"/>
          <w:szCs w:val="24"/>
          <w:lang w:val="el-GR" w:eastAsia="fr-FR"/>
        </w:rPr>
        <w:t xml:space="preserve"> </w:t>
      </w:r>
      <w:r w:rsidR="00BA46E9">
        <w:rPr>
          <w:rFonts w:eastAsia="Times New Roman" w:cstheme="minorHAnsi"/>
          <w:sz w:val="24"/>
          <w:szCs w:val="24"/>
          <w:lang w:val="el-GR" w:eastAsia="fr-FR"/>
        </w:rPr>
        <w:t>στον</w:t>
      </w:r>
      <w:r w:rsidR="00BA46E9" w:rsidRPr="00BA46E9">
        <w:rPr>
          <w:rFonts w:eastAsia="Times New Roman" w:cstheme="minorHAnsi"/>
          <w:sz w:val="24"/>
          <w:szCs w:val="24"/>
          <w:lang w:val="el-GR" w:eastAsia="fr-FR"/>
        </w:rPr>
        <w:t xml:space="preserve"> </w:t>
      </w:r>
      <w:r w:rsidR="00D83CDC">
        <w:rPr>
          <w:rFonts w:eastAsia="Times New Roman" w:cstheme="minorHAnsi"/>
          <w:sz w:val="24"/>
          <w:szCs w:val="24"/>
          <w:lang w:val="el-GR" w:eastAsia="fr-FR"/>
        </w:rPr>
        <w:t xml:space="preserve">αξιωματούχο </w:t>
      </w:r>
      <w:r w:rsidR="00BA46E9">
        <w:rPr>
          <w:rFonts w:eastAsia="Times New Roman" w:cstheme="minorHAnsi"/>
          <w:sz w:val="24"/>
          <w:szCs w:val="24"/>
          <w:lang w:val="el-GR" w:eastAsia="fr-FR"/>
        </w:rPr>
        <w:t>με τον οποίο</w:t>
      </w:r>
      <w:r w:rsidR="00A5147D" w:rsidRPr="00BA46E9">
        <w:rPr>
          <w:rFonts w:eastAsia="Times New Roman" w:cstheme="minorHAnsi"/>
          <w:sz w:val="24"/>
          <w:szCs w:val="24"/>
          <w:lang w:val="el-GR" w:eastAsia="fr-FR"/>
        </w:rPr>
        <w:t xml:space="preserve"> </w:t>
      </w:r>
      <w:r w:rsidR="00BA46E9">
        <w:rPr>
          <w:rFonts w:eastAsia="Times New Roman" w:cstheme="minorHAnsi"/>
          <w:sz w:val="24"/>
          <w:szCs w:val="24"/>
          <w:lang w:val="el-GR" w:eastAsia="fr-FR"/>
        </w:rPr>
        <w:t>έχουν συμβατική σχέση</w:t>
      </w:r>
      <w:r w:rsidR="00A5147D" w:rsidRPr="00BA46E9">
        <w:rPr>
          <w:rFonts w:eastAsia="Times New Roman" w:cstheme="minorHAnsi"/>
          <w:sz w:val="24"/>
          <w:szCs w:val="24"/>
          <w:lang w:val="el-GR" w:eastAsia="fr-FR"/>
        </w:rPr>
        <w:t>.</w:t>
      </w:r>
      <w:r w:rsidR="009018FD" w:rsidRPr="00BA46E9">
        <w:rPr>
          <w:rFonts w:eastAsia="Times New Roman" w:cstheme="minorHAnsi"/>
          <w:sz w:val="24"/>
          <w:szCs w:val="24"/>
          <w:lang w:val="el-GR" w:eastAsia="fr-FR"/>
        </w:rPr>
        <w:t xml:space="preserve"> </w:t>
      </w:r>
      <w:r w:rsidR="009F7FEF">
        <w:rPr>
          <w:rFonts w:eastAsia="Times New Roman" w:cstheme="minorHAnsi"/>
          <w:sz w:val="24"/>
          <w:szCs w:val="24"/>
          <w:lang w:val="el-GR" w:eastAsia="fr-FR"/>
        </w:rPr>
        <w:t>Δεν</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αναμένεται</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ότι</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θα</w:t>
      </w:r>
      <w:r w:rsidR="009F7FEF" w:rsidRPr="009F7FEF">
        <w:rPr>
          <w:rFonts w:eastAsia="Times New Roman" w:cstheme="minorHAnsi"/>
          <w:sz w:val="24"/>
          <w:szCs w:val="24"/>
          <w:lang w:val="el-GR" w:eastAsia="fr-FR"/>
        </w:rPr>
        <w:t xml:space="preserve"> </w:t>
      </w:r>
      <w:r w:rsidR="00D83CDC">
        <w:rPr>
          <w:rFonts w:eastAsia="Times New Roman" w:cstheme="minorHAnsi"/>
          <w:sz w:val="24"/>
          <w:szCs w:val="24"/>
          <w:lang w:val="el-GR" w:eastAsia="fr-FR"/>
        </w:rPr>
        <w:t xml:space="preserve">παραμείνουν </w:t>
      </w:r>
      <w:r w:rsidR="009F7FEF">
        <w:rPr>
          <w:rFonts w:eastAsia="Times New Roman" w:cstheme="minorHAnsi"/>
          <w:sz w:val="24"/>
          <w:szCs w:val="24"/>
          <w:lang w:val="el-GR" w:eastAsia="fr-FR"/>
        </w:rPr>
        <w:t>στην</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υπηρεσία</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όταν</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ο</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αξιωματούχος</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που</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τους</w:t>
      </w:r>
      <w:r w:rsidR="009F7FEF" w:rsidRPr="009F7FEF">
        <w:rPr>
          <w:rFonts w:eastAsia="Times New Roman" w:cstheme="minorHAnsi"/>
          <w:sz w:val="24"/>
          <w:szCs w:val="24"/>
          <w:lang w:val="el-GR" w:eastAsia="fr-FR"/>
        </w:rPr>
        <w:t xml:space="preserve"> </w:t>
      </w:r>
      <w:proofErr w:type="spellStart"/>
      <w:r w:rsidR="009F7FEF">
        <w:rPr>
          <w:rFonts w:eastAsia="Times New Roman" w:cstheme="minorHAnsi"/>
          <w:sz w:val="24"/>
          <w:szCs w:val="24"/>
          <w:lang w:val="el-GR" w:eastAsia="fr-FR"/>
        </w:rPr>
        <w:t>εργοδότησε</w:t>
      </w:r>
      <w:proofErr w:type="spellEnd"/>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αποχωρ</w:t>
      </w:r>
      <w:r w:rsidR="00D83CDC">
        <w:rPr>
          <w:rFonts w:eastAsia="Times New Roman" w:cstheme="minorHAnsi"/>
          <w:sz w:val="24"/>
          <w:szCs w:val="24"/>
          <w:lang w:val="el-GR" w:eastAsia="fr-FR"/>
        </w:rPr>
        <w:t>ήσει</w:t>
      </w:r>
      <w:r w:rsidR="009F7FEF">
        <w:rPr>
          <w:rFonts w:eastAsia="Times New Roman" w:cstheme="minorHAnsi"/>
          <w:sz w:val="24"/>
          <w:szCs w:val="24"/>
          <w:lang w:val="el-GR" w:eastAsia="fr-FR"/>
        </w:rPr>
        <w:t>.</w:t>
      </w:r>
      <w:r w:rsidR="0015521E"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Μόνο</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μια</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τέτοια</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περίπτωση</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έχει</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προκύψει</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στην</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πράξη</w:t>
      </w:r>
      <w:r w:rsidR="00D83CDC">
        <w:rPr>
          <w:rFonts w:eastAsia="Times New Roman" w:cstheme="minorHAnsi"/>
          <w:sz w:val="24"/>
          <w:szCs w:val="24"/>
          <w:lang w:val="el-GR" w:eastAsia="fr-FR"/>
        </w:rPr>
        <w:t xml:space="preserve">, η οποία </w:t>
      </w:r>
      <w:r w:rsidR="009F7FEF">
        <w:rPr>
          <w:rFonts w:eastAsia="Times New Roman" w:cstheme="minorHAnsi"/>
          <w:sz w:val="24"/>
          <w:szCs w:val="24"/>
          <w:lang w:val="el-GR" w:eastAsia="fr-FR"/>
        </w:rPr>
        <w:t>στο</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παρόν</w:t>
      </w:r>
      <w:r w:rsidR="009F7FEF" w:rsidRPr="009F7FEF">
        <w:rPr>
          <w:rFonts w:eastAsia="Times New Roman" w:cstheme="minorHAnsi"/>
          <w:sz w:val="24"/>
          <w:szCs w:val="24"/>
          <w:lang w:val="el-GR" w:eastAsia="fr-FR"/>
        </w:rPr>
        <w:t xml:space="preserve"> </w:t>
      </w:r>
      <w:r w:rsidR="009F7FEF">
        <w:rPr>
          <w:rFonts w:eastAsia="Times New Roman" w:cstheme="minorHAnsi"/>
          <w:sz w:val="24"/>
          <w:szCs w:val="24"/>
          <w:lang w:val="el-GR" w:eastAsia="fr-FR"/>
        </w:rPr>
        <w:t>στάδιο αμφισβητείται στο δικαστήριο</w:t>
      </w:r>
      <w:r w:rsidR="009018FD" w:rsidRPr="009F7FEF">
        <w:rPr>
          <w:rFonts w:eastAsia="Times New Roman" w:cstheme="minorHAnsi"/>
          <w:sz w:val="24"/>
          <w:szCs w:val="24"/>
          <w:lang w:val="el-GR" w:eastAsia="fr-FR"/>
        </w:rPr>
        <w:t>.</w:t>
      </w:r>
      <w:r w:rsidR="00991107" w:rsidRPr="009F7FEF">
        <w:rPr>
          <w:rFonts w:cstheme="minorHAnsi"/>
          <w:b/>
          <w:lang w:val="el-GR"/>
        </w:rPr>
        <w:t xml:space="preserve"> </w:t>
      </w:r>
    </w:p>
    <w:p w14:paraId="575B21B7" w14:textId="77777777" w:rsidR="00A5147D" w:rsidRPr="009F7FEF" w:rsidRDefault="00A5147D" w:rsidP="00A5147D">
      <w:pPr>
        <w:pStyle w:val="ListParagraph"/>
        <w:rPr>
          <w:rFonts w:cstheme="minorHAnsi"/>
          <w:sz w:val="24"/>
          <w:szCs w:val="24"/>
          <w:lang w:val="el-GR"/>
        </w:rPr>
      </w:pPr>
    </w:p>
    <w:p w14:paraId="5E294677" w14:textId="06707101" w:rsidR="00A5147D" w:rsidRPr="00752F66" w:rsidRDefault="009F7FEF" w:rsidP="00A5147D">
      <w:pPr>
        <w:numPr>
          <w:ilvl w:val="0"/>
          <w:numId w:val="1"/>
        </w:numPr>
        <w:tabs>
          <w:tab w:val="clear" w:pos="6095"/>
          <w:tab w:val="left" w:pos="709"/>
        </w:tabs>
        <w:ind w:left="0" w:firstLine="0"/>
        <w:rPr>
          <w:rFonts w:ascii="Calibri" w:hAnsi="Calibri" w:cs="Calibri"/>
          <w:b/>
          <w:bCs/>
          <w:sz w:val="24"/>
          <w:szCs w:val="24"/>
          <w:lang w:val="el-GR"/>
        </w:rPr>
      </w:pPr>
      <w:r>
        <w:rPr>
          <w:rFonts w:cstheme="minorHAnsi"/>
          <w:sz w:val="24"/>
          <w:szCs w:val="24"/>
          <w:lang w:val="el-GR"/>
        </w:rPr>
        <w:t>Οι</w:t>
      </w:r>
      <w:r w:rsidRPr="009F7FEF">
        <w:rPr>
          <w:rFonts w:cstheme="minorHAnsi"/>
          <w:sz w:val="24"/>
          <w:szCs w:val="24"/>
          <w:lang w:val="el-GR"/>
        </w:rPr>
        <w:t xml:space="preserve"> </w:t>
      </w:r>
      <w:r>
        <w:rPr>
          <w:rFonts w:cstheme="minorHAnsi"/>
          <w:sz w:val="24"/>
          <w:szCs w:val="24"/>
          <w:lang w:val="el-GR"/>
        </w:rPr>
        <w:t>συμβάσεις</w:t>
      </w:r>
      <w:r w:rsidRPr="009F7FEF">
        <w:rPr>
          <w:rFonts w:cstheme="minorHAnsi"/>
          <w:sz w:val="24"/>
          <w:szCs w:val="24"/>
          <w:lang w:val="el-GR"/>
        </w:rPr>
        <w:t xml:space="preserve"> </w:t>
      </w:r>
      <w:r>
        <w:rPr>
          <w:rFonts w:cstheme="minorHAnsi"/>
          <w:sz w:val="24"/>
          <w:szCs w:val="24"/>
          <w:lang w:val="el-GR"/>
        </w:rPr>
        <w:t>των</w:t>
      </w:r>
      <w:r w:rsidRPr="009F7FEF">
        <w:rPr>
          <w:rFonts w:cstheme="minorHAnsi"/>
          <w:sz w:val="24"/>
          <w:szCs w:val="24"/>
          <w:lang w:val="el-GR"/>
        </w:rPr>
        <w:t xml:space="preserve"> </w:t>
      </w:r>
      <w:r w:rsidR="00A5147D" w:rsidRPr="004E251E">
        <w:rPr>
          <w:rFonts w:cstheme="minorHAnsi"/>
          <w:sz w:val="24"/>
          <w:szCs w:val="24"/>
        </w:rPr>
        <w:t>CPTA</w:t>
      </w:r>
      <w:r w:rsidR="006117AE">
        <w:rPr>
          <w:rFonts w:cstheme="minorHAnsi"/>
          <w:sz w:val="24"/>
          <w:szCs w:val="24"/>
          <w:lang w:val="en-US"/>
        </w:rPr>
        <w:t>s</w:t>
      </w:r>
      <w:r w:rsidRPr="009F7FEF">
        <w:rPr>
          <w:rFonts w:cstheme="minorHAnsi"/>
          <w:sz w:val="24"/>
          <w:szCs w:val="24"/>
          <w:lang w:val="el-GR"/>
        </w:rPr>
        <w:t xml:space="preserve"> </w:t>
      </w:r>
      <w:r>
        <w:rPr>
          <w:rFonts w:cstheme="minorHAnsi"/>
          <w:sz w:val="24"/>
          <w:szCs w:val="24"/>
          <w:lang w:val="el-GR"/>
        </w:rPr>
        <w:t>περιλαμβάνουν</w:t>
      </w:r>
      <w:r w:rsidRPr="009F7FEF">
        <w:rPr>
          <w:rFonts w:cstheme="minorHAnsi"/>
          <w:sz w:val="24"/>
          <w:szCs w:val="24"/>
          <w:lang w:val="el-GR"/>
        </w:rPr>
        <w:t xml:space="preserve"> </w:t>
      </w:r>
      <w:r>
        <w:rPr>
          <w:rFonts w:cstheme="minorHAnsi"/>
          <w:sz w:val="24"/>
          <w:szCs w:val="24"/>
          <w:lang w:val="el-GR"/>
        </w:rPr>
        <w:t>τους</w:t>
      </w:r>
      <w:r w:rsidRPr="009F7FEF">
        <w:rPr>
          <w:rFonts w:cstheme="minorHAnsi"/>
          <w:sz w:val="24"/>
          <w:szCs w:val="24"/>
          <w:lang w:val="el-GR"/>
        </w:rPr>
        <w:t xml:space="preserve"> </w:t>
      </w:r>
      <w:r>
        <w:rPr>
          <w:rFonts w:cstheme="minorHAnsi"/>
          <w:sz w:val="24"/>
          <w:szCs w:val="24"/>
          <w:lang w:val="el-GR"/>
        </w:rPr>
        <w:t>όρους</w:t>
      </w:r>
      <w:r w:rsidRPr="009F7FEF">
        <w:rPr>
          <w:rFonts w:cstheme="minorHAnsi"/>
          <w:sz w:val="24"/>
          <w:szCs w:val="24"/>
          <w:lang w:val="el-GR"/>
        </w:rPr>
        <w:t xml:space="preserve">, </w:t>
      </w:r>
      <w:r>
        <w:rPr>
          <w:rFonts w:cstheme="minorHAnsi"/>
          <w:sz w:val="24"/>
          <w:szCs w:val="24"/>
          <w:lang w:val="el-GR"/>
        </w:rPr>
        <w:t>κανόνες</w:t>
      </w:r>
      <w:r w:rsidRPr="009F7FEF">
        <w:rPr>
          <w:rFonts w:cstheme="minorHAnsi"/>
          <w:sz w:val="24"/>
          <w:szCs w:val="24"/>
          <w:lang w:val="el-GR"/>
        </w:rPr>
        <w:t xml:space="preserve"> </w:t>
      </w:r>
      <w:r>
        <w:rPr>
          <w:rFonts w:cstheme="minorHAnsi"/>
          <w:sz w:val="24"/>
          <w:szCs w:val="24"/>
          <w:lang w:val="el-GR"/>
        </w:rPr>
        <w:t>και</w:t>
      </w:r>
      <w:r w:rsidRPr="009F7FEF">
        <w:rPr>
          <w:rFonts w:cstheme="minorHAnsi"/>
          <w:sz w:val="24"/>
          <w:szCs w:val="24"/>
          <w:lang w:val="el-GR"/>
        </w:rPr>
        <w:t xml:space="preserve"> </w:t>
      </w:r>
      <w:r>
        <w:rPr>
          <w:rFonts w:cstheme="minorHAnsi"/>
          <w:sz w:val="24"/>
          <w:szCs w:val="24"/>
          <w:lang w:val="el-GR"/>
        </w:rPr>
        <w:t>καθήκοντα</w:t>
      </w:r>
      <w:r w:rsidRPr="009F7FEF">
        <w:rPr>
          <w:rFonts w:cstheme="minorHAnsi"/>
          <w:sz w:val="24"/>
          <w:szCs w:val="24"/>
          <w:lang w:val="el-GR"/>
        </w:rPr>
        <w:t xml:space="preserve"> </w:t>
      </w:r>
      <w:r>
        <w:rPr>
          <w:rFonts w:cstheme="minorHAnsi"/>
          <w:sz w:val="24"/>
          <w:szCs w:val="24"/>
          <w:lang w:val="el-GR"/>
        </w:rPr>
        <w:t>του</w:t>
      </w:r>
      <w:r w:rsidRPr="009F7FEF">
        <w:rPr>
          <w:rFonts w:cstheme="minorHAnsi"/>
          <w:sz w:val="24"/>
          <w:szCs w:val="24"/>
          <w:lang w:val="el-GR"/>
        </w:rPr>
        <w:t xml:space="preserve"> </w:t>
      </w:r>
      <w:r>
        <w:rPr>
          <w:rFonts w:cstheme="minorHAnsi"/>
          <w:sz w:val="24"/>
          <w:szCs w:val="24"/>
          <w:lang w:val="el-GR"/>
        </w:rPr>
        <w:t>διορισμού τους</w:t>
      </w:r>
      <w:r w:rsidR="00A5147D" w:rsidRPr="009F7FEF">
        <w:rPr>
          <w:rFonts w:cstheme="minorHAnsi"/>
          <w:sz w:val="24"/>
          <w:szCs w:val="24"/>
          <w:lang w:val="el-GR"/>
        </w:rPr>
        <w:t xml:space="preserve"> </w:t>
      </w:r>
      <w:r>
        <w:rPr>
          <w:rFonts w:cstheme="minorHAnsi"/>
          <w:sz w:val="24"/>
          <w:szCs w:val="24"/>
          <w:lang w:val="el-GR"/>
        </w:rPr>
        <w:t>και είναι βασισμένα</w:t>
      </w:r>
      <w:r w:rsidR="00A5147D" w:rsidRPr="009F7FEF">
        <w:rPr>
          <w:rFonts w:cstheme="minorHAnsi"/>
          <w:sz w:val="24"/>
          <w:szCs w:val="24"/>
          <w:lang w:val="el-GR"/>
        </w:rPr>
        <w:t xml:space="preserve"> </w:t>
      </w:r>
      <w:r>
        <w:rPr>
          <w:rFonts w:cstheme="minorHAnsi"/>
          <w:sz w:val="24"/>
          <w:szCs w:val="24"/>
          <w:lang w:val="el-GR"/>
        </w:rPr>
        <w:t xml:space="preserve">πάνω σε ένα πρότυπο που συμπεριλαμβάνεται στο </w:t>
      </w:r>
      <w:r w:rsidR="006117AE">
        <w:rPr>
          <w:rFonts w:cstheme="minorHAnsi"/>
          <w:sz w:val="24"/>
          <w:szCs w:val="24"/>
          <w:lang w:val="en-US"/>
        </w:rPr>
        <w:t>E</w:t>
      </w:r>
      <w:proofErr w:type="spellStart"/>
      <w:r w:rsidR="00973266">
        <w:rPr>
          <w:rFonts w:cstheme="minorHAnsi"/>
          <w:sz w:val="24"/>
          <w:szCs w:val="24"/>
          <w:lang w:val="el-GR"/>
        </w:rPr>
        <w:t>πεξηγηματικό</w:t>
      </w:r>
      <w:proofErr w:type="spellEnd"/>
      <w:r w:rsidR="006117AE">
        <w:rPr>
          <w:rFonts w:cstheme="minorHAnsi"/>
          <w:sz w:val="24"/>
          <w:szCs w:val="24"/>
          <w:lang w:val="el-GR"/>
        </w:rPr>
        <w:t xml:space="preserve"> </w:t>
      </w:r>
      <w:r>
        <w:rPr>
          <w:rFonts w:cstheme="minorHAnsi"/>
          <w:sz w:val="24"/>
          <w:szCs w:val="24"/>
          <w:lang w:val="el-GR"/>
        </w:rPr>
        <w:t>Υπόμνημα του Νόμου του Προϋπολογισμού</w:t>
      </w:r>
      <w:r w:rsidR="00A5147D" w:rsidRPr="009F7FEF">
        <w:rPr>
          <w:rFonts w:cstheme="minorHAnsi"/>
          <w:sz w:val="24"/>
          <w:szCs w:val="24"/>
          <w:lang w:val="el-GR"/>
        </w:rPr>
        <w:t xml:space="preserve">. </w:t>
      </w:r>
      <w:r>
        <w:rPr>
          <w:rFonts w:cstheme="minorHAnsi"/>
          <w:sz w:val="24"/>
          <w:szCs w:val="24"/>
          <w:lang w:val="el-GR"/>
        </w:rPr>
        <w:t>Η</w:t>
      </w:r>
      <w:r w:rsidRPr="009F7FEF">
        <w:rPr>
          <w:rFonts w:cstheme="minorHAnsi"/>
          <w:sz w:val="24"/>
          <w:szCs w:val="24"/>
          <w:lang w:val="el-GR"/>
        </w:rPr>
        <w:t xml:space="preserve"> </w:t>
      </w:r>
      <w:r>
        <w:rPr>
          <w:rFonts w:cstheme="minorHAnsi"/>
          <w:sz w:val="24"/>
          <w:szCs w:val="24"/>
          <w:lang w:val="el-GR"/>
        </w:rPr>
        <w:t>σύμβαση</w:t>
      </w:r>
      <w:r w:rsidRPr="009F7FEF">
        <w:rPr>
          <w:rFonts w:cstheme="minorHAnsi"/>
          <w:sz w:val="24"/>
          <w:szCs w:val="24"/>
          <w:lang w:val="el-GR"/>
        </w:rPr>
        <w:t xml:space="preserve"> </w:t>
      </w:r>
      <w:r>
        <w:rPr>
          <w:rFonts w:cstheme="minorHAnsi"/>
          <w:sz w:val="24"/>
          <w:szCs w:val="24"/>
          <w:lang w:val="el-GR"/>
        </w:rPr>
        <w:t>τερματίζεται</w:t>
      </w:r>
      <w:r w:rsidRPr="009F7FEF">
        <w:rPr>
          <w:rFonts w:cstheme="minorHAnsi"/>
          <w:sz w:val="24"/>
          <w:szCs w:val="24"/>
          <w:lang w:val="el-GR"/>
        </w:rPr>
        <w:t xml:space="preserve"> </w:t>
      </w:r>
      <w:r>
        <w:rPr>
          <w:rFonts w:cstheme="minorHAnsi"/>
          <w:sz w:val="24"/>
          <w:szCs w:val="24"/>
          <w:lang w:val="el-GR"/>
        </w:rPr>
        <w:t>με</w:t>
      </w:r>
      <w:r w:rsidRPr="009F7FEF">
        <w:rPr>
          <w:rFonts w:cstheme="minorHAnsi"/>
          <w:sz w:val="24"/>
          <w:szCs w:val="24"/>
          <w:lang w:val="el-GR"/>
        </w:rPr>
        <w:t xml:space="preserve"> </w:t>
      </w:r>
      <w:r>
        <w:rPr>
          <w:rFonts w:cstheme="minorHAnsi"/>
          <w:sz w:val="24"/>
          <w:szCs w:val="24"/>
          <w:lang w:val="el-GR"/>
        </w:rPr>
        <w:t>το</w:t>
      </w:r>
      <w:r w:rsidRPr="009F7FEF">
        <w:rPr>
          <w:rFonts w:cstheme="minorHAnsi"/>
          <w:sz w:val="24"/>
          <w:szCs w:val="24"/>
          <w:lang w:val="el-GR"/>
        </w:rPr>
        <w:t xml:space="preserve"> </w:t>
      </w:r>
      <w:r>
        <w:rPr>
          <w:rFonts w:cstheme="minorHAnsi"/>
          <w:sz w:val="24"/>
          <w:szCs w:val="24"/>
          <w:lang w:val="el-GR"/>
        </w:rPr>
        <w:t>τέλος</w:t>
      </w:r>
      <w:r w:rsidRPr="009F7FEF">
        <w:rPr>
          <w:rFonts w:cstheme="minorHAnsi"/>
          <w:sz w:val="24"/>
          <w:szCs w:val="24"/>
          <w:lang w:val="el-GR"/>
        </w:rPr>
        <w:t xml:space="preserve"> </w:t>
      </w:r>
      <w:r>
        <w:rPr>
          <w:rFonts w:cstheme="minorHAnsi"/>
          <w:sz w:val="24"/>
          <w:szCs w:val="24"/>
          <w:lang w:val="el-GR"/>
        </w:rPr>
        <w:t>της</w:t>
      </w:r>
      <w:r w:rsidRPr="009F7FEF">
        <w:rPr>
          <w:rFonts w:cstheme="minorHAnsi"/>
          <w:sz w:val="24"/>
          <w:szCs w:val="24"/>
          <w:lang w:val="el-GR"/>
        </w:rPr>
        <w:t xml:space="preserve"> </w:t>
      </w:r>
      <w:r>
        <w:rPr>
          <w:rFonts w:cstheme="minorHAnsi"/>
          <w:sz w:val="24"/>
          <w:szCs w:val="24"/>
          <w:lang w:val="el-GR"/>
        </w:rPr>
        <w:t>θητείας</w:t>
      </w:r>
      <w:r w:rsidRPr="009F7FEF">
        <w:rPr>
          <w:rFonts w:cstheme="minorHAnsi"/>
          <w:sz w:val="24"/>
          <w:szCs w:val="24"/>
          <w:lang w:val="el-GR"/>
        </w:rPr>
        <w:t xml:space="preserve"> </w:t>
      </w:r>
      <w:r>
        <w:rPr>
          <w:rFonts w:cstheme="minorHAnsi"/>
          <w:sz w:val="24"/>
          <w:szCs w:val="24"/>
          <w:lang w:val="el-GR"/>
        </w:rPr>
        <w:t>της</w:t>
      </w:r>
      <w:r w:rsidRPr="009F7FEF">
        <w:rPr>
          <w:rFonts w:cstheme="minorHAnsi"/>
          <w:sz w:val="24"/>
          <w:szCs w:val="24"/>
          <w:lang w:val="el-GR"/>
        </w:rPr>
        <w:t xml:space="preserve"> </w:t>
      </w:r>
      <w:r>
        <w:rPr>
          <w:rFonts w:cstheme="minorHAnsi"/>
          <w:sz w:val="24"/>
          <w:szCs w:val="24"/>
          <w:lang w:val="el-GR"/>
        </w:rPr>
        <w:t>Κυβέρνησης</w:t>
      </w:r>
      <w:r w:rsidRPr="009F7FEF">
        <w:rPr>
          <w:rFonts w:cstheme="minorHAnsi"/>
          <w:sz w:val="24"/>
          <w:szCs w:val="24"/>
          <w:lang w:val="el-GR"/>
        </w:rPr>
        <w:t xml:space="preserve"> </w:t>
      </w:r>
      <w:r>
        <w:rPr>
          <w:rFonts w:cstheme="minorHAnsi"/>
          <w:sz w:val="24"/>
          <w:szCs w:val="24"/>
          <w:lang w:val="el-GR"/>
        </w:rPr>
        <w:t>ή</w:t>
      </w:r>
      <w:r w:rsidR="006117AE">
        <w:rPr>
          <w:rFonts w:cstheme="minorHAnsi"/>
          <w:sz w:val="24"/>
          <w:szCs w:val="24"/>
          <w:lang w:val="el-GR"/>
        </w:rPr>
        <w:t xml:space="preserve"> με</w:t>
      </w:r>
      <w:r w:rsidRPr="009F7FEF">
        <w:rPr>
          <w:rFonts w:cstheme="minorHAnsi"/>
          <w:sz w:val="24"/>
          <w:szCs w:val="24"/>
          <w:lang w:val="el-GR"/>
        </w:rPr>
        <w:t xml:space="preserve"> </w:t>
      </w:r>
      <w:r>
        <w:rPr>
          <w:rFonts w:cstheme="minorHAnsi"/>
          <w:sz w:val="24"/>
          <w:szCs w:val="24"/>
          <w:lang w:val="el-GR"/>
        </w:rPr>
        <w:t>την</w:t>
      </w:r>
      <w:r w:rsidRPr="009F7FEF">
        <w:rPr>
          <w:rFonts w:cstheme="minorHAnsi"/>
          <w:sz w:val="24"/>
          <w:szCs w:val="24"/>
          <w:lang w:val="el-GR"/>
        </w:rPr>
        <w:t xml:space="preserve"> </w:t>
      </w:r>
      <w:r>
        <w:rPr>
          <w:rFonts w:cstheme="minorHAnsi"/>
          <w:sz w:val="24"/>
          <w:szCs w:val="24"/>
          <w:lang w:val="el-GR"/>
        </w:rPr>
        <w:t>παύση</w:t>
      </w:r>
      <w:r w:rsidRPr="009F7FEF">
        <w:rPr>
          <w:rFonts w:cstheme="minorHAnsi"/>
          <w:sz w:val="24"/>
          <w:szCs w:val="24"/>
          <w:lang w:val="el-GR"/>
        </w:rPr>
        <w:t xml:space="preserve"> </w:t>
      </w:r>
      <w:r>
        <w:rPr>
          <w:rFonts w:cstheme="minorHAnsi"/>
          <w:sz w:val="24"/>
          <w:szCs w:val="24"/>
          <w:lang w:val="el-GR"/>
        </w:rPr>
        <w:t>του</w:t>
      </w:r>
      <w:r w:rsidRPr="009F7FEF">
        <w:rPr>
          <w:rFonts w:cstheme="minorHAnsi"/>
          <w:sz w:val="24"/>
          <w:szCs w:val="24"/>
          <w:lang w:val="el-GR"/>
        </w:rPr>
        <w:t xml:space="preserve"> </w:t>
      </w:r>
      <w:r>
        <w:rPr>
          <w:rFonts w:cstheme="minorHAnsi"/>
          <w:sz w:val="24"/>
          <w:szCs w:val="24"/>
          <w:lang w:val="el-GR"/>
        </w:rPr>
        <w:t>μέλους</w:t>
      </w:r>
      <w:r w:rsidRPr="009F7FEF">
        <w:rPr>
          <w:rFonts w:cstheme="minorHAnsi"/>
          <w:sz w:val="24"/>
          <w:szCs w:val="24"/>
          <w:lang w:val="el-GR"/>
        </w:rPr>
        <w:t xml:space="preserve"> </w:t>
      </w:r>
      <w:r>
        <w:rPr>
          <w:rFonts w:cstheme="minorHAnsi"/>
          <w:sz w:val="24"/>
          <w:szCs w:val="24"/>
          <w:lang w:val="el-GR"/>
        </w:rPr>
        <w:t>της</w:t>
      </w:r>
      <w:r w:rsidRPr="009F7FEF">
        <w:rPr>
          <w:rFonts w:cstheme="minorHAnsi"/>
          <w:sz w:val="24"/>
          <w:szCs w:val="24"/>
          <w:lang w:val="el-GR"/>
        </w:rPr>
        <w:t xml:space="preserve"> </w:t>
      </w:r>
      <w:r>
        <w:rPr>
          <w:rFonts w:cstheme="minorHAnsi"/>
          <w:sz w:val="24"/>
          <w:szCs w:val="24"/>
          <w:lang w:val="el-GR"/>
        </w:rPr>
        <w:t>Κυβέρνησης</w:t>
      </w:r>
      <w:r w:rsidRPr="009F7FEF">
        <w:rPr>
          <w:rFonts w:cstheme="minorHAnsi"/>
          <w:sz w:val="24"/>
          <w:szCs w:val="24"/>
          <w:lang w:val="el-GR"/>
        </w:rPr>
        <w:t xml:space="preserve"> </w:t>
      </w:r>
      <w:r>
        <w:rPr>
          <w:rFonts w:cstheme="minorHAnsi"/>
          <w:sz w:val="24"/>
          <w:szCs w:val="24"/>
          <w:lang w:val="el-GR"/>
        </w:rPr>
        <w:t>που</w:t>
      </w:r>
      <w:r w:rsidRPr="009F7FEF">
        <w:rPr>
          <w:rFonts w:cstheme="minorHAnsi"/>
          <w:sz w:val="24"/>
          <w:szCs w:val="24"/>
          <w:lang w:val="el-GR"/>
        </w:rPr>
        <w:t xml:space="preserve"> </w:t>
      </w:r>
      <w:r>
        <w:rPr>
          <w:rFonts w:cstheme="minorHAnsi"/>
          <w:sz w:val="24"/>
          <w:szCs w:val="24"/>
          <w:lang w:val="el-GR"/>
        </w:rPr>
        <w:t>προσέλαβε τους</w:t>
      </w:r>
      <w:r w:rsidR="00A5147D" w:rsidRPr="009F7FEF">
        <w:rPr>
          <w:rFonts w:cstheme="minorHAnsi"/>
          <w:sz w:val="24"/>
          <w:lang w:val="el-GR"/>
        </w:rPr>
        <w:t xml:space="preserve"> </w:t>
      </w:r>
      <w:r w:rsidR="00A5147D" w:rsidRPr="004E251E">
        <w:rPr>
          <w:rFonts w:cstheme="minorHAnsi"/>
          <w:sz w:val="24"/>
        </w:rPr>
        <w:t>CPTA</w:t>
      </w:r>
      <w:r w:rsidR="006117AE">
        <w:rPr>
          <w:rFonts w:cstheme="minorHAnsi"/>
          <w:sz w:val="24"/>
          <w:lang w:val="en-US"/>
        </w:rPr>
        <w:t>s</w:t>
      </w:r>
      <w:r w:rsidR="00A5147D" w:rsidRPr="009F7FEF">
        <w:rPr>
          <w:rFonts w:cstheme="minorHAnsi"/>
          <w:sz w:val="24"/>
          <w:lang w:val="el-GR"/>
        </w:rPr>
        <w:t xml:space="preserve">, </w:t>
      </w:r>
      <w:r>
        <w:rPr>
          <w:rFonts w:cstheme="minorHAnsi"/>
          <w:sz w:val="24"/>
          <w:lang w:val="el-GR"/>
        </w:rPr>
        <w:t>ή νωρίτερα κατά την κρίση του μέλους της Κυβέρνησης</w:t>
      </w:r>
      <w:r w:rsidR="00A5147D" w:rsidRPr="009F7FEF">
        <w:rPr>
          <w:rFonts w:cstheme="minorHAnsi"/>
          <w:sz w:val="24"/>
          <w:lang w:val="el-GR"/>
        </w:rPr>
        <w:t>.</w:t>
      </w:r>
      <w:r w:rsidR="00A5147D" w:rsidRPr="009F7FEF">
        <w:rPr>
          <w:rFonts w:cstheme="minorHAnsi"/>
          <w:b/>
          <w:bCs/>
          <w:sz w:val="24"/>
          <w:szCs w:val="24"/>
          <w:lang w:val="el-GR"/>
        </w:rPr>
        <w:t xml:space="preserve"> </w:t>
      </w:r>
      <w:r>
        <w:rPr>
          <w:rFonts w:cstheme="minorHAnsi"/>
          <w:bCs/>
          <w:sz w:val="24"/>
          <w:szCs w:val="24"/>
          <w:lang w:val="el-GR"/>
        </w:rPr>
        <w:t>Τα</w:t>
      </w:r>
      <w:r w:rsidRPr="004557A2">
        <w:rPr>
          <w:rFonts w:cstheme="minorHAnsi"/>
          <w:bCs/>
          <w:sz w:val="24"/>
          <w:szCs w:val="24"/>
          <w:lang w:val="el-GR"/>
        </w:rPr>
        <w:t xml:space="preserve"> </w:t>
      </w:r>
      <w:r>
        <w:rPr>
          <w:rFonts w:cstheme="minorHAnsi"/>
          <w:bCs/>
          <w:sz w:val="24"/>
          <w:szCs w:val="24"/>
          <w:lang w:val="el-GR"/>
        </w:rPr>
        <w:lastRenderedPageBreak/>
        <w:t>βιογραφικά</w:t>
      </w:r>
      <w:r w:rsidRPr="004557A2">
        <w:rPr>
          <w:rFonts w:cstheme="minorHAnsi"/>
          <w:bCs/>
          <w:sz w:val="24"/>
          <w:szCs w:val="24"/>
          <w:lang w:val="el-GR"/>
        </w:rPr>
        <w:t xml:space="preserve"> </w:t>
      </w:r>
      <w:r>
        <w:rPr>
          <w:rFonts w:cstheme="minorHAnsi"/>
          <w:bCs/>
          <w:sz w:val="24"/>
          <w:szCs w:val="24"/>
          <w:lang w:val="el-GR"/>
        </w:rPr>
        <w:t>των</w:t>
      </w:r>
      <w:r w:rsidR="00A5147D" w:rsidRPr="004557A2">
        <w:rPr>
          <w:rFonts w:cstheme="minorHAnsi"/>
          <w:sz w:val="24"/>
          <w:szCs w:val="24"/>
          <w:lang w:val="el-GR"/>
        </w:rPr>
        <w:t xml:space="preserve"> </w:t>
      </w:r>
      <w:r w:rsidR="00A5147D" w:rsidRPr="004E251E">
        <w:rPr>
          <w:rFonts w:cstheme="minorHAnsi"/>
          <w:sz w:val="24"/>
          <w:szCs w:val="24"/>
        </w:rPr>
        <w:t>CPTA</w:t>
      </w:r>
      <w:r w:rsidR="006117AE">
        <w:rPr>
          <w:rFonts w:cstheme="minorHAnsi"/>
          <w:sz w:val="24"/>
          <w:szCs w:val="24"/>
        </w:rPr>
        <w:t>s</w:t>
      </w:r>
      <w:r w:rsidR="00A5147D" w:rsidRPr="004557A2">
        <w:rPr>
          <w:rFonts w:cstheme="minorHAnsi"/>
          <w:sz w:val="24"/>
          <w:szCs w:val="24"/>
          <w:lang w:val="el-GR"/>
        </w:rPr>
        <w:t xml:space="preserve"> </w:t>
      </w:r>
      <w:r>
        <w:rPr>
          <w:rFonts w:cstheme="minorHAnsi"/>
          <w:sz w:val="24"/>
          <w:szCs w:val="24"/>
          <w:lang w:val="el-GR"/>
        </w:rPr>
        <w:t>δεν</w:t>
      </w:r>
      <w:r w:rsidRPr="004557A2">
        <w:rPr>
          <w:rFonts w:cstheme="minorHAnsi"/>
          <w:sz w:val="24"/>
          <w:szCs w:val="24"/>
          <w:lang w:val="el-GR"/>
        </w:rPr>
        <w:t xml:space="preserve"> </w:t>
      </w:r>
      <w:r>
        <w:rPr>
          <w:rFonts w:cstheme="minorHAnsi"/>
          <w:sz w:val="24"/>
          <w:szCs w:val="24"/>
          <w:lang w:val="el-GR"/>
        </w:rPr>
        <w:t>δημοσιεύονται</w:t>
      </w:r>
      <w:r w:rsidR="00A5147D" w:rsidRPr="004557A2">
        <w:rPr>
          <w:rFonts w:cstheme="minorHAnsi"/>
          <w:sz w:val="24"/>
          <w:szCs w:val="24"/>
          <w:lang w:val="el-GR"/>
        </w:rPr>
        <w:t xml:space="preserve">. </w:t>
      </w:r>
      <w:r w:rsidR="00752F66">
        <w:rPr>
          <w:rFonts w:cstheme="minorHAnsi"/>
          <w:sz w:val="24"/>
          <w:szCs w:val="24"/>
          <w:lang w:val="el-GR"/>
        </w:rPr>
        <w:t>Ωστόσο</w:t>
      </w:r>
      <w:r w:rsidR="00A5147D" w:rsidRPr="00752F66">
        <w:rPr>
          <w:rFonts w:cstheme="minorHAnsi"/>
          <w:sz w:val="24"/>
          <w:szCs w:val="24"/>
          <w:lang w:val="el-GR"/>
        </w:rPr>
        <w:t xml:space="preserve">, </w:t>
      </w:r>
      <w:r w:rsidR="00752F66">
        <w:rPr>
          <w:rFonts w:cstheme="minorHAnsi"/>
          <w:sz w:val="24"/>
          <w:szCs w:val="24"/>
          <w:lang w:val="el-GR"/>
        </w:rPr>
        <w:t>η</w:t>
      </w:r>
      <w:r w:rsidR="00752F66" w:rsidRPr="00752F66">
        <w:rPr>
          <w:rFonts w:cstheme="minorHAnsi"/>
          <w:sz w:val="24"/>
          <w:szCs w:val="24"/>
          <w:lang w:val="el-GR"/>
        </w:rPr>
        <w:t xml:space="preserve"> </w:t>
      </w:r>
      <w:r w:rsidR="00752F66">
        <w:rPr>
          <w:rFonts w:cstheme="minorHAnsi"/>
          <w:sz w:val="24"/>
          <w:szCs w:val="24"/>
          <w:lang w:val="el-GR"/>
        </w:rPr>
        <w:t>Βουλή</w:t>
      </w:r>
      <w:r w:rsidR="00752F66" w:rsidRPr="00752F66">
        <w:rPr>
          <w:rFonts w:cstheme="minorHAnsi"/>
          <w:sz w:val="24"/>
          <w:szCs w:val="24"/>
          <w:lang w:val="el-GR"/>
        </w:rPr>
        <w:t xml:space="preserve"> </w:t>
      </w:r>
      <w:r w:rsidR="00752F66">
        <w:rPr>
          <w:rFonts w:cstheme="minorHAnsi"/>
          <w:sz w:val="24"/>
          <w:szCs w:val="24"/>
          <w:lang w:val="el-GR"/>
        </w:rPr>
        <w:t>των</w:t>
      </w:r>
      <w:r w:rsidR="00752F66" w:rsidRPr="00752F66">
        <w:rPr>
          <w:rFonts w:cstheme="minorHAnsi"/>
          <w:sz w:val="24"/>
          <w:szCs w:val="24"/>
          <w:lang w:val="el-GR"/>
        </w:rPr>
        <w:t xml:space="preserve"> </w:t>
      </w:r>
      <w:r w:rsidR="00752F66">
        <w:rPr>
          <w:rFonts w:cstheme="minorHAnsi"/>
          <w:sz w:val="24"/>
          <w:szCs w:val="24"/>
          <w:lang w:val="el-GR"/>
        </w:rPr>
        <w:t>Αντιπροσώπων</w:t>
      </w:r>
      <w:r w:rsidR="00752F66" w:rsidRPr="00752F66">
        <w:rPr>
          <w:rFonts w:cstheme="minorHAnsi"/>
          <w:sz w:val="24"/>
          <w:szCs w:val="24"/>
          <w:lang w:val="el-GR"/>
        </w:rPr>
        <w:t xml:space="preserve"> </w:t>
      </w:r>
      <w:r w:rsidR="00752F66">
        <w:rPr>
          <w:rFonts w:cstheme="minorHAnsi"/>
          <w:sz w:val="24"/>
          <w:szCs w:val="24"/>
          <w:lang w:val="el-GR"/>
        </w:rPr>
        <w:t>ενημερώνεται</w:t>
      </w:r>
      <w:r w:rsidR="00A5147D" w:rsidRPr="00752F66">
        <w:rPr>
          <w:rFonts w:cstheme="minorHAnsi"/>
          <w:sz w:val="24"/>
          <w:szCs w:val="24"/>
          <w:lang w:val="el-GR"/>
        </w:rPr>
        <w:t xml:space="preserve"> </w:t>
      </w:r>
      <w:r w:rsidR="00752F66">
        <w:rPr>
          <w:rFonts w:cstheme="minorHAnsi"/>
          <w:sz w:val="24"/>
          <w:szCs w:val="24"/>
          <w:lang w:val="el-GR"/>
        </w:rPr>
        <w:t>γραπτώς</w:t>
      </w:r>
      <w:r w:rsidR="00A5147D" w:rsidRPr="00752F66">
        <w:rPr>
          <w:rFonts w:cstheme="minorHAnsi"/>
          <w:sz w:val="24"/>
          <w:szCs w:val="24"/>
          <w:lang w:val="el-GR"/>
        </w:rPr>
        <w:t xml:space="preserve"> </w:t>
      </w:r>
      <w:r w:rsidR="00752F66">
        <w:rPr>
          <w:rFonts w:cstheme="minorHAnsi"/>
          <w:sz w:val="24"/>
          <w:szCs w:val="24"/>
          <w:lang w:val="el-GR"/>
        </w:rPr>
        <w:t xml:space="preserve">για το ακαδημαϊκό </w:t>
      </w:r>
      <w:r w:rsidR="006117AE">
        <w:rPr>
          <w:rFonts w:cstheme="minorHAnsi"/>
          <w:sz w:val="24"/>
          <w:szCs w:val="24"/>
          <w:lang w:val="el-GR"/>
        </w:rPr>
        <w:t xml:space="preserve">υπόβαθρο </w:t>
      </w:r>
      <w:r w:rsidR="00752F66">
        <w:rPr>
          <w:rFonts w:cstheme="minorHAnsi"/>
          <w:sz w:val="24"/>
          <w:szCs w:val="24"/>
          <w:lang w:val="el-GR"/>
        </w:rPr>
        <w:t>και τα καθήκοντα τους</w:t>
      </w:r>
      <w:r w:rsidR="00A5147D" w:rsidRPr="00752F66">
        <w:rPr>
          <w:rFonts w:cstheme="minorHAnsi"/>
          <w:sz w:val="24"/>
          <w:szCs w:val="24"/>
          <w:lang w:val="el-GR"/>
        </w:rPr>
        <w:t>.</w:t>
      </w:r>
    </w:p>
    <w:p w14:paraId="70812D07" w14:textId="77777777" w:rsidR="00A5147D" w:rsidRPr="00752F66" w:rsidRDefault="00A5147D" w:rsidP="00A5147D">
      <w:pPr>
        <w:pStyle w:val="ListParagraph"/>
        <w:rPr>
          <w:rFonts w:ascii="Calibri" w:hAnsi="Calibri" w:cs="Calibri"/>
          <w:b/>
          <w:bCs/>
          <w:sz w:val="24"/>
          <w:szCs w:val="24"/>
          <w:lang w:val="el-GR"/>
        </w:rPr>
      </w:pPr>
    </w:p>
    <w:p w14:paraId="0B8C0FB0" w14:textId="7C9D12DD" w:rsidR="00140B64" w:rsidRPr="00D816B7" w:rsidRDefault="00752F66" w:rsidP="00140B64">
      <w:pPr>
        <w:numPr>
          <w:ilvl w:val="0"/>
          <w:numId w:val="1"/>
        </w:numPr>
        <w:tabs>
          <w:tab w:val="left" w:pos="709"/>
        </w:tabs>
        <w:ind w:left="0" w:firstLine="0"/>
        <w:rPr>
          <w:rFonts w:cstheme="minorHAnsi"/>
          <w:sz w:val="24"/>
          <w:szCs w:val="24"/>
          <w:lang w:val="el-GR"/>
        </w:rPr>
      </w:pPr>
      <w:r>
        <w:rPr>
          <w:rFonts w:cstheme="minorHAnsi"/>
          <w:sz w:val="24"/>
          <w:szCs w:val="24"/>
          <w:lang w:val="el-GR"/>
        </w:rPr>
        <w:t>Κατά</w:t>
      </w:r>
      <w:r w:rsidRPr="00752F66">
        <w:rPr>
          <w:rFonts w:cstheme="minorHAnsi"/>
          <w:sz w:val="24"/>
          <w:szCs w:val="24"/>
          <w:lang w:val="el-GR"/>
        </w:rPr>
        <w:t xml:space="preserve"> </w:t>
      </w:r>
      <w:r>
        <w:rPr>
          <w:rFonts w:cstheme="minorHAnsi"/>
          <w:sz w:val="24"/>
          <w:szCs w:val="24"/>
          <w:lang w:val="el-GR"/>
        </w:rPr>
        <w:t>την</w:t>
      </w:r>
      <w:r w:rsidRPr="00752F66">
        <w:rPr>
          <w:rFonts w:cstheme="minorHAnsi"/>
          <w:sz w:val="24"/>
          <w:szCs w:val="24"/>
          <w:lang w:val="el-GR"/>
        </w:rPr>
        <w:t xml:space="preserve"> </w:t>
      </w:r>
      <w:r>
        <w:rPr>
          <w:rFonts w:cstheme="minorHAnsi"/>
          <w:sz w:val="24"/>
          <w:szCs w:val="24"/>
          <w:lang w:val="el-GR"/>
        </w:rPr>
        <w:t>επί</w:t>
      </w:r>
      <w:r w:rsidRPr="00752F66">
        <w:rPr>
          <w:rFonts w:cstheme="minorHAnsi"/>
          <w:sz w:val="24"/>
          <w:szCs w:val="24"/>
          <w:lang w:val="el-GR"/>
        </w:rPr>
        <w:t xml:space="preserve"> </w:t>
      </w:r>
      <w:r>
        <w:rPr>
          <w:rFonts w:cstheme="minorHAnsi"/>
          <w:sz w:val="24"/>
          <w:szCs w:val="24"/>
          <w:lang w:val="el-GR"/>
        </w:rPr>
        <w:t>τόπου</w:t>
      </w:r>
      <w:r w:rsidRPr="00752F66">
        <w:rPr>
          <w:rFonts w:cstheme="minorHAnsi"/>
          <w:sz w:val="24"/>
          <w:szCs w:val="24"/>
          <w:lang w:val="el-GR"/>
        </w:rPr>
        <w:t xml:space="preserve"> </w:t>
      </w:r>
      <w:r>
        <w:rPr>
          <w:rFonts w:cstheme="minorHAnsi"/>
          <w:sz w:val="24"/>
          <w:szCs w:val="24"/>
          <w:lang w:val="el-GR"/>
        </w:rPr>
        <w:t>επίσκεψη</w:t>
      </w:r>
      <w:r w:rsidRPr="00752F66">
        <w:rPr>
          <w:rFonts w:cstheme="minorHAnsi"/>
          <w:sz w:val="24"/>
          <w:szCs w:val="24"/>
          <w:lang w:val="el-GR"/>
        </w:rPr>
        <w:t xml:space="preserve">, </w:t>
      </w:r>
      <w:r>
        <w:rPr>
          <w:rFonts w:cstheme="minorHAnsi"/>
          <w:sz w:val="24"/>
          <w:szCs w:val="24"/>
          <w:lang w:val="el-GR"/>
        </w:rPr>
        <w:t>η</w:t>
      </w:r>
      <w:r w:rsidR="00A5147D" w:rsidRPr="00752F66">
        <w:rPr>
          <w:rFonts w:cstheme="minorHAnsi"/>
          <w:sz w:val="24"/>
          <w:szCs w:val="24"/>
          <w:lang w:val="el-GR"/>
        </w:rPr>
        <w:t xml:space="preserve"> </w:t>
      </w:r>
      <w:r w:rsidR="00A5147D" w:rsidRPr="004E251E">
        <w:rPr>
          <w:rFonts w:cstheme="minorHAnsi"/>
          <w:sz w:val="24"/>
          <w:szCs w:val="24"/>
        </w:rPr>
        <w:t>GET</w:t>
      </w:r>
      <w:r w:rsidR="00A5147D" w:rsidRPr="00752F66">
        <w:rPr>
          <w:rFonts w:cstheme="minorHAnsi"/>
          <w:sz w:val="24"/>
          <w:szCs w:val="24"/>
          <w:lang w:val="el-GR"/>
        </w:rPr>
        <w:t xml:space="preserve"> </w:t>
      </w:r>
      <w:r>
        <w:rPr>
          <w:rFonts w:cstheme="minorHAnsi"/>
          <w:sz w:val="24"/>
          <w:szCs w:val="24"/>
          <w:lang w:val="el-GR"/>
        </w:rPr>
        <w:t>συζήτησε</w:t>
      </w:r>
      <w:r w:rsidR="00A5147D" w:rsidRPr="00752F66">
        <w:rPr>
          <w:rFonts w:cstheme="minorHAnsi"/>
          <w:sz w:val="24"/>
          <w:szCs w:val="24"/>
          <w:lang w:val="el-GR"/>
        </w:rPr>
        <w:t xml:space="preserve"> </w:t>
      </w:r>
      <w:r>
        <w:rPr>
          <w:rFonts w:cstheme="minorHAnsi"/>
          <w:sz w:val="24"/>
          <w:szCs w:val="24"/>
          <w:lang w:val="el-GR"/>
        </w:rPr>
        <w:t>εκτενέστερα</w:t>
      </w:r>
      <w:r w:rsidRPr="00752F66">
        <w:rPr>
          <w:rFonts w:cstheme="minorHAnsi"/>
          <w:sz w:val="24"/>
          <w:szCs w:val="24"/>
          <w:lang w:val="el-GR"/>
        </w:rPr>
        <w:t xml:space="preserve"> </w:t>
      </w:r>
      <w:r>
        <w:rPr>
          <w:rFonts w:cstheme="minorHAnsi"/>
          <w:sz w:val="24"/>
          <w:szCs w:val="24"/>
          <w:lang w:val="el-GR"/>
        </w:rPr>
        <w:t>το</w:t>
      </w:r>
      <w:r w:rsidRPr="00752F66">
        <w:rPr>
          <w:rFonts w:cstheme="minorHAnsi"/>
          <w:sz w:val="24"/>
          <w:szCs w:val="24"/>
          <w:lang w:val="el-GR"/>
        </w:rPr>
        <w:t xml:space="preserve"> </w:t>
      </w:r>
      <w:r>
        <w:rPr>
          <w:rFonts w:cstheme="minorHAnsi"/>
          <w:sz w:val="24"/>
          <w:szCs w:val="24"/>
          <w:lang w:val="el-GR"/>
        </w:rPr>
        <w:t>καθεστώς</w:t>
      </w:r>
      <w:r w:rsidRPr="00752F66">
        <w:rPr>
          <w:rFonts w:cstheme="minorHAnsi"/>
          <w:sz w:val="24"/>
          <w:szCs w:val="24"/>
          <w:lang w:val="el-GR"/>
        </w:rPr>
        <w:t xml:space="preserve"> </w:t>
      </w:r>
      <w:r>
        <w:rPr>
          <w:rFonts w:cstheme="minorHAnsi"/>
          <w:sz w:val="24"/>
          <w:szCs w:val="24"/>
          <w:lang w:val="el-GR"/>
        </w:rPr>
        <w:t>των</w:t>
      </w:r>
      <w:r w:rsidRPr="00752F66">
        <w:rPr>
          <w:rFonts w:cstheme="minorHAnsi"/>
          <w:sz w:val="24"/>
          <w:szCs w:val="24"/>
          <w:lang w:val="el-GR"/>
        </w:rPr>
        <w:t xml:space="preserve"> </w:t>
      </w:r>
      <w:r>
        <w:rPr>
          <w:rFonts w:cstheme="minorHAnsi"/>
          <w:sz w:val="24"/>
          <w:szCs w:val="24"/>
          <w:lang w:val="el-GR"/>
        </w:rPr>
        <w:t>προαναφερθέντων κατηγοριών</w:t>
      </w:r>
      <w:r w:rsidR="00A5147D" w:rsidRPr="00752F66">
        <w:rPr>
          <w:rFonts w:cstheme="minorHAnsi"/>
          <w:sz w:val="24"/>
          <w:szCs w:val="24"/>
          <w:lang w:val="el-GR"/>
        </w:rPr>
        <w:t xml:space="preserve"> </w:t>
      </w:r>
      <w:r>
        <w:rPr>
          <w:rFonts w:cstheme="minorHAnsi"/>
          <w:sz w:val="24"/>
          <w:szCs w:val="24"/>
          <w:lang w:val="el-GR"/>
        </w:rPr>
        <w:t>των πολιτι</w:t>
      </w:r>
      <w:r w:rsidR="006117AE">
        <w:rPr>
          <w:rFonts w:cstheme="minorHAnsi"/>
          <w:sz w:val="24"/>
          <w:szCs w:val="24"/>
          <w:lang w:val="el-GR"/>
        </w:rPr>
        <w:t>κά</w:t>
      </w:r>
      <w:r>
        <w:rPr>
          <w:rFonts w:cstheme="minorHAnsi"/>
          <w:sz w:val="24"/>
          <w:szCs w:val="24"/>
          <w:lang w:val="el-GR"/>
        </w:rPr>
        <w:t xml:space="preserve"> διορισθέντων</w:t>
      </w:r>
      <w:r w:rsidR="00A5147D" w:rsidRPr="00752F66">
        <w:rPr>
          <w:rFonts w:cstheme="minorHAnsi"/>
          <w:sz w:val="24"/>
          <w:szCs w:val="24"/>
          <w:lang w:val="el-GR"/>
        </w:rPr>
        <w:t xml:space="preserve">. </w:t>
      </w:r>
      <w:r>
        <w:rPr>
          <w:rFonts w:cstheme="minorHAnsi"/>
          <w:sz w:val="24"/>
          <w:szCs w:val="24"/>
          <w:lang w:val="el-GR"/>
        </w:rPr>
        <w:t>Υπήρχε</w:t>
      </w:r>
      <w:r w:rsidRPr="00752F66">
        <w:rPr>
          <w:rFonts w:cstheme="minorHAnsi"/>
          <w:sz w:val="24"/>
          <w:szCs w:val="24"/>
          <w:lang w:val="el-GR"/>
        </w:rPr>
        <w:t xml:space="preserve"> </w:t>
      </w:r>
      <w:r>
        <w:rPr>
          <w:rFonts w:cstheme="minorHAnsi"/>
          <w:sz w:val="24"/>
          <w:szCs w:val="24"/>
          <w:lang w:val="el-GR"/>
        </w:rPr>
        <w:t>μια</w:t>
      </w:r>
      <w:r w:rsidRPr="00752F66">
        <w:rPr>
          <w:rFonts w:cstheme="minorHAnsi"/>
          <w:sz w:val="24"/>
          <w:szCs w:val="24"/>
          <w:lang w:val="el-GR"/>
        </w:rPr>
        <w:t xml:space="preserve"> </w:t>
      </w:r>
      <w:r>
        <w:rPr>
          <w:rFonts w:cstheme="minorHAnsi"/>
          <w:sz w:val="24"/>
          <w:szCs w:val="24"/>
          <w:lang w:val="el-GR"/>
        </w:rPr>
        <w:t>γενική</w:t>
      </w:r>
      <w:r w:rsidRPr="00752F66">
        <w:rPr>
          <w:rFonts w:cstheme="minorHAnsi"/>
          <w:sz w:val="24"/>
          <w:szCs w:val="24"/>
          <w:lang w:val="el-GR"/>
        </w:rPr>
        <w:t xml:space="preserve"> </w:t>
      </w:r>
      <w:r>
        <w:rPr>
          <w:rFonts w:cstheme="minorHAnsi"/>
          <w:sz w:val="24"/>
          <w:szCs w:val="24"/>
          <w:lang w:val="el-GR"/>
        </w:rPr>
        <w:t>συμφωνία</w:t>
      </w:r>
      <w:r w:rsidR="00A5147D" w:rsidRPr="00752F66">
        <w:rPr>
          <w:rFonts w:cstheme="minorHAnsi"/>
          <w:sz w:val="24"/>
          <w:szCs w:val="24"/>
          <w:lang w:val="el-GR"/>
        </w:rPr>
        <w:t xml:space="preserve"> </w:t>
      </w:r>
      <w:r>
        <w:rPr>
          <w:rFonts w:cstheme="minorHAnsi"/>
          <w:sz w:val="24"/>
          <w:szCs w:val="24"/>
          <w:lang w:val="el-GR"/>
        </w:rPr>
        <w:t>ότι</w:t>
      </w:r>
      <w:r w:rsidR="00A5147D" w:rsidRPr="00752F66">
        <w:rPr>
          <w:rFonts w:cstheme="minorHAnsi"/>
          <w:sz w:val="24"/>
          <w:szCs w:val="24"/>
          <w:lang w:val="el-GR"/>
        </w:rPr>
        <w:t xml:space="preserve">, </w:t>
      </w:r>
      <w:r>
        <w:rPr>
          <w:rFonts w:cstheme="minorHAnsi"/>
          <w:sz w:val="24"/>
          <w:szCs w:val="24"/>
          <w:lang w:val="el-GR"/>
        </w:rPr>
        <w:t>ενώ</w:t>
      </w:r>
      <w:r w:rsidR="006117AE">
        <w:rPr>
          <w:rFonts w:cstheme="minorHAnsi"/>
          <w:sz w:val="24"/>
          <w:szCs w:val="24"/>
          <w:lang w:val="el-GR"/>
        </w:rPr>
        <w:t xml:space="preserve"> πολιτικά </w:t>
      </w:r>
      <w:r w:rsidR="00280937">
        <w:rPr>
          <w:rFonts w:cstheme="minorHAnsi"/>
          <w:sz w:val="24"/>
          <w:szCs w:val="24"/>
          <w:lang w:val="el-GR"/>
        </w:rPr>
        <w:t xml:space="preserve">διοριζόμενα πρόσωπα </w:t>
      </w:r>
      <w:r>
        <w:rPr>
          <w:rFonts w:cstheme="minorHAnsi"/>
          <w:sz w:val="24"/>
          <w:szCs w:val="24"/>
          <w:lang w:val="el-GR"/>
        </w:rPr>
        <w:t>μπορ</w:t>
      </w:r>
      <w:r w:rsidR="006117AE">
        <w:rPr>
          <w:rFonts w:cstheme="minorHAnsi"/>
          <w:sz w:val="24"/>
          <w:szCs w:val="24"/>
          <w:lang w:val="el-GR"/>
        </w:rPr>
        <w:t>εί να μη</w:t>
      </w:r>
      <w:r w:rsidR="00280937">
        <w:rPr>
          <w:rFonts w:cstheme="minorHAnsi"/>
          <w:sz w:val="24"/>
          <w:szCs w:val="24"/>
          <w:lang w:val="el-GR"/>
        </w:rPr>
        <w:t>ν</w:t>
      </w:r>
      <w:r w:rsidR="006117AE">
        <w:rPr>
          <w:rFonts w:cstheme="minorHAnsi"/>
          <w:sz w:val="24"/>
          <w:szCs w:val="24"/>
          <w:lang w:val="el-GR"/>
        </w:rPr>
        <w:t xml:space="preserve"> </w:t>
      </w:r>
      <w:r w:rsidR="00280937">
        <w:rPr>
          <w:rFonts w:cstheme="minorHAnsi"/>
          <w:sz w:val="24"/>
          <w:szCs w:val="24"/>
          <w:lang w:val="el-GR"/>
        </w:rPr>
        <w:t xml:space="preserve">κατέχουν </w:t>
      </w:r>
      <w:r>
        <w:rPr>
          <w:rFonts w:cstheme="minorHAnsi"/>
          <w:sz w:val="24"/>
          <w:szCs w:val="24"/>
          <w:lang w:val="el-GR"/>
        </w:rPr>
        <w:t>εκτελεστικές</w:t>
      </w:r>
      <w:r w:rsidRPr="00752F66">
        <w:rPr>
          <w:rFonts w:cstheme="minorHAnsi"/>
          <w:sz w:val="24"/>
          <w:szCs w:val="24"/>
          <w:lang w:val="el-GR"/>
        </w:rPr>
        <w:t xml:space="preserve"> </w:t>
      </w:r>
      <w:r>
        <w:rPr>
          <w:rFonts w:cstheme="minorHAnsi"/>
          <w:sz w:val="24"/>
          <w:szCs w:val="24"/>
          <w:lang w:val="el-GR"/>
        </w:rPr>
        <w:t>εξουσίες</w:t>
      </w:r>
      <w:r w:rsidR="00A5147D" w:rsidRPr="00752F66">
        <w:rPr>
          <w:rFonts w:cstheme="minorHAnsi"/>
          <w:sz w:val="24"/>
          <w:szCs w:val="24"/>
          <w:lang w:val="el-GR"/>
        </w:rPr>
        <w:t xml:space="preserve"> </w:t>
      </w:r>
      <w:proofErr w:type="spellStart"/>
      <w:r w:rsidR="00A5147D" w:rsidRPr="004E251E">
        <w:rPr>
          <w:rFonts w:cstheme="minorHAnsi"/>
          <w:i/>
          <w:iCs/>
          <w:sz w:val="24"/>
          <w:szCs w:val="24"/>
        </w:rPr>
        <w:t>stricto</w:t>
      </w:r>
      <w:proofErr w:type="spellEnd"/>
      <w:r w:rsidR="00A5147D" w:rsidRPr="00752F66">
        <w:rPr>
          <w:rFonts w:cstheme="minorHAnsi"/>
          <w:i/>
          <w:iCs/>
          <w:sz w:val="24"/>
          <w:szCs w:val="24"/>
          <w:lang w:val="el-GR"/>
        </w:rPr>
        <w:t xml:space="preserve"> </w:t>
      </w:r>
      <w:proofErr w:type="spellStart"/>
      <w:r w:rsidR="00A5147D" w:rsidRPr="004E251E">
        <w:rPr>
          <w:rFonts w:cstheme="minorHAnsi"/>
          <w:i/>
          <w:iCs/>
          <w:sz w:val="24"/>
          <w:szCs w:val="24"/>
        </w:rPr>
        <w:t>sensu</w:t>
      </w:r>
      <w:proofErr w:type="spellEnd"/>
      <w:r w:rsidRPr="00752F66">
        <w:rPr>
          <w:rFonts w:cstheme="minorHAnsi"/>
          <w:i/>
          <w:iCs/>
          <w:sz w:val="24"/>
          <w:szCs w:val="24"/>
          <w:lang w:val="el-GR"/>
        </w:rPr>
        <w:t xml:space="preserve"> (</w:t>
      </w:r>
      <w:r w:rsidR="006117AE">
        <w:rPr>
          <w:rFonts w:cstheme="minorHAnsi"/>
          <w:i/>
          <w:iCs/>
          <w:sz w:val="24"/>
          <w:szCs w:val="24"/>
          <w:lang w:val="el-GR"/>
        </w:rPr>
        <w:t xml:space="preserve">υπό τη στενή </w:t>
      </w:r>
      <w:r>
        <w:rPr>
          <w:rFonts w:cstheme="minorHAnsi"/>
          <w:i/>
          <w:iCs/>
          <w:sz w:val="24"/>
          <w:szCs w:val="24"/>
          <w:lang w:val="el-GR"/>
        </w:rPr>
        <w:t>έννοια</w:t>
      </w:r>
      <w:r w:rsidRPr="00752F66">
        <w:rPr>
          <w:rFonts w:cstheme="minorHAnsi"/>
          <w:i/>
          <w:iCs/>
          <w:sz w:val="24"/>
          <w:szCs w:val="24"/>
          <w:lang w:val="el-GR"/>
        </w:rPr>
        <w:t>)</w:t>
      </w:r>
      <w:r w:rsidR="00A5147D" w:rsidRPr="00752F66">
        <w:rPr>
          <w:rFonts w:cstheme="minorHAnsi"/>
          <w:sz w:val="24"/>
          <w:szCs w:val="24"/>
          <w:lang w:val="el-GR"/>
        </w:rPr>
        <w:t xml:space="preserve">, </w:t>
      </w:r>
      <w:r>
        <w:rPr>
          <w:rFonts w:cstheme="minorHAnsi"/>
          <w:sz w:val="24"/>
          <w:szCs w:val="24"/>
          <w:lang w:val="el-GR"/>
        </w:rPr>
        <w:t>αυτοί</w:t>
      </w:r>
      <w:r w:rsidRPr="00752F66">
        <w:rPr>
          <w:rFonts w:cstheme="minorHAnsi"/>
          <w:sz w:val="24"/>
          <w:szCs w:val="24"/>
          <w:lang w:val="el-GR"/>
        </w:rPr>
        <w:t xml:space="preserve"> </w:t>
      </w:r>
      <w:r w:rsidR="00280937">
        <w:rPr>
          <w:rFonts w:cstheme="minorHAnsi"/>
          <w:sz w:val="24"/>
          <w:szCs w:val="24"/>
          <w:lang w:val="el-GR"/>
        </w:rPr>
        <w:t xml:space="preserve">ασκούν </w:t>
      </w:r>
      <w:r>
        <w:rPr>
          <w:rFonts w:cstheme="minorHAnsi"/>
          <w:sz w:val="24"/>
          <w:szCs w:val="24"/>
          <w:lang w:val="el-GR"/>
        </w:rPr>
        <w:t>εκτελεστικ</w:t>
      </w:r>
      <w:r w:rsidR="00280937">
        <w:rPr>
          <w:rFonts w:cstheme="minorHAnsi"/>
          <w:sz w:val="24"/>
          <w:szCs w:val="24"/>
          <w:lang w:val="el-GR"/>
        </w:rPr>
        <w:t>ά</w:t>
      </w:r>
      <w:r w:rsidR="006117AE">
        <w:rPr>
          <w:rFonts w:cstheme="minorHAnsi"/>
          <w:sz w:val="24"/>
          <w:szCs w:val="24"/>
          <w:lang w:val="el-GR"/>
        </w:rPr>
        <w:t xml:space="preserve"> καθήκοντα</w:t>
      </w:r>
      <w:r w:rsidR="00A5147D" w:rsidRPr="00752F66">
        <w:rPr>
          <w:rFonts w:cstheme="minorHAnsi"/>
          <w:sz w:val="24"/>
          <w:szCs w:val="24"/>
          <w:lang w:val="el-GR"/>
        </w:rPr>
        <w:t xml:space="preserve">, </w:t>
      </w:r>
      <w:r w:rsidR="006117AE">
        <w:rPr>
          <w:rFonts w:cstheme="minorHAnsi"/>
          <w:sz w:val="24"/>
          <w:szCs w:val="24"/>
          <w:lang w:val="el-GR"/>
        </w:rPr>
        <w:t xml:space="preserve">καθότι </w:t>
      </w:r>
      <w:r>
        <w:rPr>
          <w:rFonts w:cstheme="minorHAnsi"/>
          <w:sz w:val="24"/>
          <w:szCs w:val="24"/>
          <w:lang w:val="el-GR"/>
        </w:rPr>
        <w:t>είτε συμμετέχουν άμεσα</w:t>
      </w:r>
      <w:r w:rsidR="00A5147D" w:rsidRPr="00752F66">
        <w:rPr>
          <w:rFonts w:cstheme="minorHAnsi"/>
          <w:sz w:val="24"/>
          <w:szCs w:val="24"/>
          <w:lang w:val="el-GR"/>
        </w:rPr>
        <w:t xml:space="preserve"> </w:t>
      </w:r>
      <w:r>
        <w:rPr>
          <w:rFonts w:cstheme="minorHAnsi"/>
          <w:sz w:val="24"/>
          <w:szCs w:val="24"/>
          <w:lang w:val="el-GR"/>
        </w:rPr>
        <w:t>στη λήψη αποφάσεων</w:t>
      </w:r>
      <w:r w:rsidR="00A5147D" w:rsidRPr="00752F66">
        <w:rPr>
          <w:rFonts w:cstheme="minorHAnsi"/>
          <w:sz w:val="24"/>
          <w:szCs w:val="24"/>
          <w:lang w:val="el-GR"/>
        </w:rPr>
        <w:t xml:space="preserve"> </w:t>
      </w:r>
      <w:r>
        <w:rPr>
          <w:rFonts w:cstheme="minorHAnsi"/>
          <w:sz w:val="24"/>
          <w:szCs w:val="24"/>
          <w:lang w:val="el-GR"/>
        </w:rPr>
        <w:t>αναφορικά με δημόσιες πολιτικές</w:t>
      </w:r>
      <w:r w:rsidR="00A5147D" w:rsidRPr="00752F66">
        <w:rPr>
          <w:rFonts w:cstheme="minorHAnsi"/>
          <w:sz w:val="24"/>
          <w:szCs w:val="24"/>
          <w:lang w:val="el-GR"/>
        </w:rPr>
        <w:t xml:space="preserve"> </w:t>
      </w:r>
      <w:r>
        <w:rPr>
          <w:rFonts w:cstheme="minorHAnsi"/>
          <w:sz w:val="24"/>
          <w:szCs w:val="24"/>
          <w:lang w:val="el-GR"/>
        </w:rPr>
        <w:t xml:space="preserve">ή έχουν μια </w:t>
      </w:r>
      <w:r w:rsidR="00D816B7">
        <w:rPr>
          <w:rFonts w:cstheme="minorHAnsi"/>
          <w:sz w:val="24"/>
          <w:szCs w:val="24"/>
          <w:lang w:val="el-GR"/>
        </w:rPr>
        <w:t xml:space="preserve">καθοριστική </w:t>
      </w:r>
      <w:r>
        <w:rPr>
          <w:rFonts w:cstheme="minorHAnsi"/>
          <w:sz w:val="24"/>
          <w:szCs w:val="24"/>
          <w:lang w:val="el-GR"/>
        </w:rPr>
        <w:t>επιρροή</w:t>
      </w:r>
      <w:r w:rsidR="00A5147D" w:rsidRPr="00752F66">
        <w:rPr>
          <w:rFonts w:cstheme="minorHAnsi"/>
          <w:sz w:val="24"/>
          <w:szCs w:val="24"/>
          <w:lang w:val="el-GR"/>
        </w:rPr>
        <w:t xml:space="preserve"> </w:t>
      </w:r>
      <w:r w:rsidR="00D816B7">
        <w:rPr>
          <w:rFonts w:cstheme="minorHAnsi"/>
          <w:sz w:val="24"/>
          <w:szCs w:val="24"/>
          <w:lang w:val="el-GR"/>
        </w:rPr>
        <w:t>στην ανάπτ</w:t>
      </w:r>
      <w:r w:rsidR="00DB3ADB">
        <w:rPr>
          <w:rFonts w:cstheme="minorHAnsi"/>
          <w:sz w:val="24"/>
          <w:szCs w:val="24"/>
          <w:lang w:val="el-GR"/>
        </w:rPr>
        <w:t>υ</w:t>
      </w:r>
      <w:r w:rsidR="00D816B7">
        <w:rPr>
          <w:rFonts w:cstheme="minorHAnsi"/>
          <w:sz w:val="24"/>
          <w:szCs w:val="24"/>
          <w:lang w:val="el-GR"/>
        </w:rPr>
        <w:t>ξη τους</w:t>
      </w:r>
      <w:r w:rsidR="00A5147D" w:rsidRPr="00752F66">
        <w:rPr>
          <w:rFonts w:cstheme="minorHAnsi"/>
          <w:sz w:val="24"/>
          <w:szCs w:val="24"/>
          <w:lang w:val="el-GR"/>
        </w:rPr>
        <w:t xml:space="preserve">, </w:t>
      </w:r>
      <w:r w:rsidR="006117AE">
        <w:rPr>
          <w:rFonts w:cstheme="minorHAnsi"/>
          <w:sz w:val="24"/>
          <w:szCs w:val="24"/>
          <w:lang w:val="el-GR"/>
        </w:rPr>
        <w:t xml:space="preserve">ένεκα </w:t>
      </w:r>
      <w:r w:rsidR="00D816B7">
        <w:rPr>
          <w:rFonts w:cstheme="minorHAnsi"/>
          <w:sz w:val="24"/>
          <w:szCs w:val="24"/>
          <w:lang w:val="el-GR"/>
        </w:rPr>
        <w:t>της θέσης που κατέχουν</w:t>
      </w:r>
      <w:r w:rsidR="00A5147D" w:rsidRPr="00752F66">
        <w:rPr>
          <w:rFonts w:cstheme="minorHAnsi"/>
          <w:sz w:val="24"/>
          <w:szCs w:val="24"/>
          <w:lang w:val="el-GR"/>
        </w:rPr>
        <w:t>.</w:t>
      </w:r>
      <w:r w:rsidR="000C76CB" w:rsidRPr="00752F66">
        <w:rPr>
          <w:rFonts w:cstheme="minorHAnsi"/>
          <w:sz w:val="24"/>
          <w:szCs w:val="24"/>
          <w:lang w:val="el-GR"/>
        </w:rPr>
        <w:t xml:space="preserve"> </w:t>
      </w:r>
      <w:r w:rsidR="00D816B7">
        <w:rPr>
          <w:rFonts w:cstheme="minorHAnsi"/>
          <w:sz w:val="24"/>
          <w:szCs w:val="24"/>
          <w:lang w:val="el-GR"/>
        </w:rPr>
        <w:t>Επομένως</w:t>
      </w:r>
      <w:r w:rsidR="00A5147D" w:rsidRPr="00D816B7">
        <w:rPr>
          <w:rFonts w:cstheme="minorHAnsi"/>
          <w:sz w:val="24"/>
          <w:szCs w:val="24"/>
          <w:lang w:val="el-GR"/>
        </w:rPr>
        <w:t xml:space="preserve">, </w:t>
      </w:r>
      <w:r w:rsidR="00D816B7">
        <w:rPr>
          <w:rFonts w:cstheme="minorHAnsi"/>
          <w:sz w:val="24"/>
          <w:szCs w:val="24"/>
          <w:u w:val="single"/>
          <w:lang w:val="el-GR"/>
        </w:rPr>
        <w:t>τα</w:t>
      </w:r>
      <w:r w:rsidR="00D816B7" w:rsidRPr="00D816B7">
        <w:rPr>
          <w:rFonts w:cstheme="minorHAnsi"/>
          <w:sz w:val="24"/>
          <w:szCs w:val="24"/>
          <w:u w:val="single"/>
          <w:lang w:val="el-GR"/>
        </w:rPr>
        <w:t xml:space="preserve"> </w:t>
      </w:r>
      <w:r w:rsidR="00D816B7">
        <w:rPr>
          <w:rFonts w:cstheme="minorHAnsi"/>
          <w:sz w:val="24"/>
          <w:szCs w:val="24"/>
          <w:u w:val="single"/>
          <w:lang w:val="el-GR"/>
        </w:rPr>
        <w:t>ακόλουθα</w:t>
      </w:r>
      <w:r w:rsidR="00D816B7" w:rsidRPr="00D816B7">
        <w:rPr>
          <w:rFonts w:cstheme="minorHAnsi"/>
          <w:sz w:val="24"/>
          <w:szCs w:val="24"/>
          <w:u w:val="single"/>
          <w:lang w:val="el-GR"/>
        </w:rPr>
        <w:t xml:space="preserve"> </w:t>
      </w:r>
      <w:r w:rsidR="00D816B7">
        <w:rPr>
          <w:rFonts w:cstheme="minorHAnsi"/>
          <w:sz w:val="24"/>
          <w:szCs w:val="24"/>
          <w:u w:val="single"/>
          <w:lang w:val="el-GR"/>
        </w:rPr>
        <w:t>άτομα</w:t>
      </w:r>
      <w:r w:rsidR="00A5147D" w:rsidRPr="00D816B7">
        <w:rPr>
          <w:rFonts w:cstheme="minorHAnsi"/>
          <w:sz w:val="24"/>
          <w:szCs w:val="24"/>
          <w:u w:val="single"/>
          <w:lang w:val="el-GR"/>
        </w:rPr>
        <w:t xml:space="preserve"> </w:t>
      </w:r>
      <w:r w:rsidR="00D816B7">
        <w:rPr>
          <w:rFonts w:cstheme="minorHAnsi"/>
          <w:sz w:val="24"/>
          <w:szCs w:val="24"/>
          <w:u w:val="single"/>
          <w:lang w:val="el-GR"/>
        </w:rPr>
        <w:t>θεωρούνται</w:t>
      </w:r>
      <w:r w:rsidR="00D816B7" w:rsidRPr="00D816B7">
        <w:rPr>
          <w:rFonts w:cstheme="minorHAnsi"/>
          <w:sz w:val="24"/>
          <w:szCs w:val="24"/>
          <w:u w:val="single"/>
          <w:lang w:val="el-GR"/>
        </w:rPr>
        <w:t xml:space="preserve"> </w:t>
      </w:r>
      <w:r w:rsidR="00D816B7">
        <w:rPr>
          <w:rFonts w:cstheme="minorHAnsi"/>
          <w:sz w:val="24"/>
          <w:szCs w:val="24"/>
          <w:u w:val="single"/>
          <w:lang w:val="el-GR"/>
        </w:rPr>
        <w:t>ως</w:t>
      </w:r>
      <w:r w:rsidR="00A5147D" w:rsidRPr="00D816B7">
        <w:rPr>
          <w:rFonts w:cstheme="minorHAnsi"/>
          <w:sz w:val="24"/>
          <w:szCs w:val="24"/>
          <w:u w:val="single"/>
          <w:lang w:val="el-GR"/>
        </w:rPr>
        <w:t xml:space="preserve"> </w:t>
      </w:r>
      <w:r w:rsidR="00A5147D" w:rsidRPr="004E251E">
        <w:rPr>
          <w:rFonts w:cstheme="minorHAnsi"/>
          <w:sz w:val="24"/>
          <w:szCs w:val="24"/>
          <w:u w:val="single"/>
        </w:rPr>
        <w:t>PTEF</w:t>
      </w:r>
      <w:r w:rsidR="006117AE">
        <w:rPr>
          <w:rFonts w:cstheme="minorHAnsi"/>
          <w:sz w:val="24"/>
          <w:szCs w:val="24"/>
          <w:u w:val="single"/>
          <w:lang w:val="en-US"/>
        </w:rPr>
        <w:t>s</w:t>
      </w:r>
      <w:r w:rsidR="00A5147D" w:rsidRPr="00D816B7">
        <w:rPr>
          <w:rFonts w:cstheme="minorHAnsi"/>
          <w:sz w:val="24"/>
          <w:szCs w:val="24"/>
          <w:u w:val="single"/>
          <w:lang w:val="el-GR"/>
        </w:rPr>
        <w:t xml:space="preserve"> </w:t>
      </w:r>
      <w:r w:rsidR="00D816B7">
        <w:rPr>
          <w:rFonts w:cstheme="minorHAnsi"/>
          <w:sz w:val="24"/>
          <w:szCs w:val="24"/>
          <w:u w:val="single"/>
          <w:lang w:val="el-GR"/>
        </w:rPr>
        <w:t>υπό</w:t>
      </w:r>
      <w:r w:rsidR="00D816B7" w:rsidRPr="00D816B7">
        <w:rPr>
          <w:rFonts w:cstheme="minorHAnsi"/>
          <w:sz w:val="24"/>
          <w:szCs w:val="24"/>
          <w:u w:val="single"/>
          <w:lang w:val="el-GR"/>
        </w:rPr>
        <w:t xml:space="preserve"> </w:t>
      </w:r>
      <w:r w:rsidR="00D816B7">
        <w:rPr>
          <w:rFonts w:cstheme="minorHAnsi"/>
          <w:sz w:val="24"/>
          <w:szCs w:val="24"/>
          <w:u w:val="single"/>
          <w:lang w:val="el-GR"/>
        </w:rPr>
        <w:t>την</w:t>
      </w:r>
      <w:r w:rsidR="00D816B7" w:rsidRPr="00D816B7">
        <w:rPr>
          <w:rFonts w:cstheme="minorHAnsi"/>
          <w:sz w:val="24"/>
          <w:szCs w:val="24"/>
          <w:u w:val="single"/>
          <w:lang w:val="el-GR"/>
        </w:rPr>
        <w:t xml:space="preserve"> </w:t>
      </w:r>
      <w:r w:rsidR="00D816B7">
        <w:rPr>
          <w:rFonts w:cstheme="minorHAnsi"/>
          <w:sz w:val="24"/>
          <w:szCs w:val="24"/>
          <w:u w:val="single"/>
          <w:lang w:val="el-GR"/>
        </w:rPr>
        <w:t>έννοια</w:t>
      </w:r>
      <w:r w:rsidR="00D816B7" w:rsidRPr="00D816B7">
        <w:rPr>
          <w:rFonts w:cstheme="minorHAnsi"/>
          <w:sz w:val="24"/>
          <w:szCs w:val="24"/>
          <w:u w:val="single"/>
          <w:lang w:val="el-GR"/>
        </w:rPr>
        <w:t xml:space="preserve"> </w:t>
      </w:r>
      <w:r w:rsidR="00D816B7">
        <w:rPr>
          <w:rFonts w:cstheme="minorHAnsi"/>
          <w:sz w:val="24"/>
          <w:szCs w:val="24"/>
          <w:u w:val="single"/>
          <w:lang w:val="el-GR"/>
        </w:rPr>
        <w:t>της</w:t>
      </w:r>
      <w:r w:rsidR="00D816B7" w:rsidRPr="00D816B7">
        <w:rPr>
          <w:rFonts w:cstheme="minorHAnsi"/>
          <w:sz w:val="24"/>
          <w:szCs w:val="24"/>
          <w:u w:val="single"/>
          <w:lang w:val="el-GR"/>
        </w:rPr>
        <w:t xml:space="preserve"> </w:t>
      </w:r>
      <w:r w:rsidR="00D816B7">
        <w:rPr>
          <w:rFonts w:cstheme="minorHAnsi"/>
          <w:sz w:val="24"/>
          <w:szCs w:val="24"/>
          <w:u w:val="single"/>
          <w:lang w:val="el-GR"/>
        </w:rPr>
        <w:t>έκθεσης</w:t>
      </w:r>
      <w:r w:rsidR="00D816B7" w:rsidRPr="00D816B7">
        <w:rPr>
          <w:rFonts w:cstheme="minorHAnsi"/>
          <w:sz w:val="24"/>
          <w:szCs w:val="24"/>
          <w:u w:val="single"/>
          <w:lang w:val="el-GR"/>
        </w:rPr>
        <w:t xml:space="preserve"> </w:t>
      </w:r>
      <w:r w:rsidR="00D816B7">
        <w:rPr>
          <w:rFonts w:cstheme="minorHAnsi"/>
          <w:sz w:val="24"/>
          <w:szCs w:val="24"/>
          <w:u w:val="single"/>
          <w:lang w:val="el-GR"/>
        </w:rPr>
        <w:t>αυτής</w:t>
      </w:r>
      <w:r w:rsidR="00A5147D" w:rsidRPr="00D816B7">
        <w:rPr>
          <w:rFonts w:cstheme="minorHAnsi"/>
          <w:sz w:val="24"/>
          <w:szCs w:val="24"/>
          <w:u w:val="single"/>
          <w:lang w:val="el-GR"/>
        </w:rPr>
        <w:t xml:space="preserve">: </w:t>
      </w:r>
      <w:r w:rsidR="00D816B7">
        <w:rPr>
          <w:rFonts w:cstheme="minorHAnsi"/>
          <w:sz w:val="24"/>
          <w:szCs w:val="24"/>
          <w:u w:val="single"/>
          <w:lang w:val="el-GR"/>
        </w:rPr>
        <w:t>ο</w:t>
      </w:r>
      <w:r w:rsidR="00D816B7" w:rsidRPr="00D816B7">
        <w:rPr>
          <w:rFonts w:cstheme="minorHAnsi"/>
          <w:sz w:val="24"/>
          <w:szCs w:val="24"/>
          <w:u w:val="single"/>
          <w:lang w:val="el-GR"/>
        </w:rPr>
        <w:t xml:space="preserve"> </w:t>
      </w:r>
      <w:r w:rsidR="00D816B7">
        <w:rPr>
          <w:rFonts w:cstheme="minorHAnsi"/>
          <w:sz w:val="24"/>
          <w:szCs w:val="24"/>
          <w:u w:val="single"/>
          <w:lang w:val="el-GR"/>
        </w:rPr>
        <w:t>Πρόεδρος</w:t>
      </w:r>
      <w:r w:rsidR="00A5147D" w:rsidRPr="00D816B7">
        <w:rPr>
          <w:rFonts w:cstheme="minorHAnsi"/>
          <w:sz w:val="24"/>
          <w:szCs w:val="24"/>
          <w:u w:val="single"/>
          <w:lang w:val="el-GR"/>
        </w:rPr>
        <w:t xml:space="preserve">, </w:t>
      </w:r>
      <w:r w:rsidR="00DB3ADB">
        <w:rPr>
          <w:rFonts w:cstheme="minorHAnsi"/>
          <w:sz w:val="24"/>
          <w:szCs w:val="24"/>
          <w:u w:val="single"/>
          <w:lang w:val="el-GR"/>
        </w:rPr>
        <w:t xml:space="preserve">οι </w:t>
      </w:r>
      <w:r w:rsidR="00D816B7">
        <w:rPr>
          <w:rFonts w:cstheme="minorHAnsi"/>
          <w:sz w:val="24"/>
          <w:szCs w:val="24"/>
          <w:u w:val="single"/>
          <w:lang w:val="el-GR"/>
        </w:rPr>
        <w:t>υπουργοί</w:t>
      </w:r>
      <w:r w:rsidR="00D816B7" w:rsidRPr="00D816B7">
        <w:rPr>
          <w:rFonts w:cstheme="minorHAnsi"/>
          <w:sz w:val="24"/>
          <w:szCs w:val="24"/>
          <w:u w:val="single"/>
          <w:lang w:val="el-GR"/>
        </w:rPr>
        <w:t xml:space="preserve"> </w:t>
      </w:r>
      <w:r w:rsidR="00D816B7">
        <w:rPr>
          <w:rFonts w:cstheme="minorHAnsi"/>
          <w:sz w:val="24"/>
          <w:szCs w:val="24"/>
          <w:u w:val="single"/>
          <w:lang w:val="el-GR"/>
        </w:rPr>
        <w:t>και</w:t>
      </w:r>
      <w:r w:rsidR="00D816B7" w:rsidRPr="00D816B7">
        <w:rPr>
          <w:rFonts w:cstheme="minorHAnsi"/>
          <w:sz w:val="24"/>
          <w:szCs w:val="24"/>
          <w:u w:val="single"/>
          <w:lang w:val="el-GR"/>
        </w:rPr>
        <w:t xml:space="preserve"> </w:t>
      </w:r>
      <w:r w:rsidR="00D816B7">
        <w:rPr>
          <w:rFonts w:cstheme="minorHAnsi"/>
          <w:sz w:val="24"/>
          <w:szCs w:val="24"/>
          <w:u w:val="single"/>
          <w:lang w:val="el-GR"/>
        </w:rPr>
        <w:t>υφυπουργοί</w:t>
      </w:r>
      <w:r w:rsidR="00A5147D" w:rsidRPr="00D816B7">
        <w:rPr>
          <w:rFonts w:cstheme="minorHAnsi"/>
          <w:sz w:val="24"/>
          <w:szCs w:val="24"/>
          <w:u w:val="single"/>
          <w:lang w:val="el-GR"/>
        </w:rPr>
        <w:t xml:space="preserve">, </w:t>
      </w:r>
      <w:r w:rsidR="00D816B7">
        <w:rPr>
          <w:rFonts w:cstheme="minorHAnsi"/>
          <w:sz w:val="24"/>
          <w:szCs w:val="24"/>
          <w:u w:val="single"/>
          <w:lang w:val="el-GR"/>
        </w:rPr>
        <w:t>ο</w:t>
      </w:r>
      <w:r w:rsidR="00D816B7" w:rsidRPr="00D816B7">
        <w:rPr>
          <w:rFonts w:cstheme="minorHAnsi"/>
          <w:sz w:val="24"/>
          <w:szCs w:val="24"/>
          <w:u w:val="single"/>
          <w:lang w:val="el-GR"/>
        </w:rPr>
        <w:t xml:space="preserve"> </w:t>
      </w:r>
      <w:r w:rsidR="00D816B7">
        <w:rPr>
          <w:rFonts w:cstheme="minorHAnsi"/>
          <w:sz w:val="24"/>
          <w:szCs w:val="24"/>
          <w:u w:val="single"/>
          <w:lang w:val="el-GR"/>
        </w:rPr>
        <w:t>Γραμματέας</w:t>
      </w:r>
      <w:r w:rsidR="00D816B7" w:rsidRPr="00D816B7">
        <w:rPr>
          <w:rFonts w:cstheme="minorHAnsi"/>
          <w:sz w:val="24"/>
          <w:szCs w:val="24"/>
          <w:u w:val="single"/>
          <w:lang w:val="el-GR"/>
        </w:rPr>
        <w:t xml:space="preserve"> </w:t>
      </w:r>
      <w:r w:rsidR="00D816B7">
        <w:rPr>
          <w:rFonts w:cstheme="minorHAnsi"/>
          <w:sz w:val="24"/>
          <w:szCs w:val="24"/>
          <w:u w:val="single"/>
          <w:lang w:val="el-GR"/>
        </w:rPr>
        <w:t>του</w:t>
      </w:r>
      <w:r w:rsidR="00D816B7" w:rsidRPr="00D816B7">
        <w:rPr>
          <w:rFonts w:cstheme="minorHAnsi"/>
          <w:sz w:val="24"/>
          <w:szCs w:val="24"/>
          <w:u w:val="single"/>
          <w:lang w:val="el-GR"/>
        </w:rPr>
        <w:t xml:space="preserve"> </w:t>
      </w:r>
      <w:r w:rsidR="00D816B7">
        <w:rPr>
          <w:rFonts w:cstheme="minorHAnsi"/>
          <w:sz w:val="24"/>
          <w:szCs w:val="24"/>
          <w:u w:val="single"/>
          <w:lang w:val="el-GR"/>
        </w:rPr>
        <w:t>Υπουργικού</w:t>
      </w:r>
      <w:r w:rsidR="00D816B7" w:rsidRPr="00D816B7">
        <w:rPr>
          <w:rFonts w:cstheme="minorHAnsi"/>
          <w:sz w:val="24"/>
          <w:szCs w:val="24"/>
          <w:u w:val="single"/>
          <w:lang w:val="el-GR"/>
        </w:rPr>
        <w:t xml:space="preserve"> </w:t>
      </w:r>
      <w:r w:rsidR="00D816B7">
        <w:rPr>
          <w:rFonts w:cstheme="minorHAnsi"/>
          <w:sz w:val="24"/>
          <w:szCs w:val="24"/>
          <w:u w:val="single"/>
          <w:lang w:val="el-GR"/>
        </w:rPr>
        <w:t>Συμβουλίου</w:t>
      </w:r>
      <w:r w:rsidR="00DA6430" w:rsidRPr="00D816B7">
        <w:rPr>
          <w:rFonts w:cstheme="minorHAnsi"/>
          <w:sz w:val="24"/>
          <w:szCs w:val="24"/>
          <w:u w:val="single"/>
          <w:lang w:val="el-GR"/>
        </w:rPr>
        <w:t xml:space="preserve">, </w:t>
      </w:r>
      <w:r w:rsidR="00DB3ADB">
        <w:rPr>
          <w:rFonts w:cstheme="minorHAnsi"/>
          <w:sz w:val="24"/>
          <w:szCs w:val="24"/>
          <w:u w:val="single"/>
          <w:lang w:val="el-GR"/>
        </w:rPr>
        <w:t xml:space="preserve">οι </w:t>
      </w:r>
      <w:r w:rsidR="00D816B7">
        <w:rPr>
          <w:rFonts w:cstheme="minorHAnsi"/>
          <w:sz w:val="24"/>
          <w:szCs w:val="24"/>
          <w:u w:val="single"/>
          <w:lang w:val="el-GR"/>
        </w:rPr>
        <w:t>επίτροποι</w:t>
      </w:r>
      <w:r w:rsidR="00A5147D" w:rsidRPr="00D816B7">
        <w:rPr>
          <w:rFonts w:cstheme="minorHAnsi"/>
          <w:sz w:val="24"/>
          <w:szCs w:val="24"/>
          <w:u w:val="single"/>
          <w:lang w:val="el-GR"/>
        </w:rPr>
        <w:t xml:space="preserve">, </w:t>
      </w:r>
      <w:r w:rsidR="00D816B7">
        <w:rPr>
          <w:rFonts w:cstheme="minorHAnsi"/>
          <w:sz w:val="24"/>
          <w:szCs w:val="24"/>
          <w:u w:val="single"/>
          <w:lang w:val="el-GR"/>
        </w:rPr>
        <w:t>κυβερνητικοί</w:t>
      </w:r>
      <w:r w:rsidR="00D816B7" w:rsidRPr="00D816B7">
        <w:rPr>
          <w:rFonts w:cstheme="minorHAnsi"/>
          <w:sz w:val="24"/>
          <w:szCs w:val="24"/>
          <w:u w:val="single"/>
          <w:lang w:val="el-GR"/>
        </w:rPr>
        <w:t xml:space="preserve"> </w:t>
      </w:r>
      <w:r w:rsidR="00973266">
        <w:rPr>
          <w:rFonts w:cstheme="minorHAnsi"/>
          <w:sz w:val="24"/>
          <w:szCs w:val="24"/>
          <w:u w:val="single"/>
          <w:lang w:val="el-GR"/>
        </w:rPr>
        <w:t>εκπρόσωποι</w:t>
      </w:r>
      <w:r w:rsidR="00A5147D" w:rsidRPr="00D816B7">
        <w:rPr>
          <w:rFonts w:cstheme="minorHAnsi"/>
          <w:sz w:val="24"/>
          <w:szCs w:val="24"/>
          <w:u w:val="single"/>
          <w:lang w:val="el-GR"/>
        </w:rPr>
        <w:t xml:space="preserve"> </w:t>
      </w:r>
      <w:r w:rsidR="00D816B7">
        <w:rPr>
          <w:rFonts w:cstheme="minorHAnsi"/>
          <w:sz w:val="24"/>
          <w:szCs w:val="24"/>
          <w:u w:val="single"/>
          <w:lang w:val="el-GR"/>
        </w:rPr>
        <w:t>και</w:t>
      </w:r>
      <w:r w:rsidR="00A5147D" w:rsidRPr="00D816B7">
        <w:rPr>
          <w:rFonts w:cstheme="minorHAnsi"/>
          <w:sz w:val="24"/>
          <w:szCs w:val="24"/>
          <w:u w:val="single"/>
          <w:lang w:val="el-GR"/>
        </w:rPr>
        <w:t xml:space="preserve"> </w:t>
      </w:r>
      <w:r w:rsidR="00D816B7">
        <w:rPr>
          <w:rFonts w:cstheme="minorHAnsi"/>
          <w:sz w:val="24"/>
          <w:szCs w:val="24"/>
          <w:u w:val="single"/>
          <w:lang w:val="el-GR"/>
        </w:rPr>
        <w:t xml:space="preserve">βοηθοί </w:t>
      </w:r>
      <w:r w:rsidR="00973266">
        <w:rPr>
          <w:rFonts w:cstheme="minorHAnsi"/>
          <w:sz w:val="24"/>
          <w:szCs w:val="24"/>
          <w:u w:val="single"/>
          <w:lang w:val="el-GR"/>
        </w:rPr>
        <w:t>εκπρόσωποι</w:t>
      </w:r>
      <w:r w:rsidR="00A5147D" w:rsidRPr="00D816B7">
        <w:rPr>
          <w:rFonts w:cstheme="minorHAnsi"/>
          <w:sz w:val="24"/>
          <w:szCs w:val="24"/>
          <w:u w:val="single"/>
          <w:lang w:val="el-GR"/>
        </w:rPr>
        <w:t xml:space="preserve">, </w:t>
      </w:r>
      <w:r w:rsidR="00D816B7">
        <w:rPr>
          <w:rFonts w:cstheme="minorHAnsi"/>
          <w:sz w:val="24"/>
          <w:szCs w:val="24"/>
          <w:u w:val="single"/>
          <w:lang w:val="el-GR"/>
        </w:rPr>
        <w:t>ο διευθυντής του Γραφείου του Προέδρου</w:t>
      </w:r>
      <w:r w:rsidR="00A5147D" w:rsidRPr="00D816B7">
        <w:rPr>
          <w:rFonts w:cstheme="minorHAnsi"/>
          <w:sz w:val="24"/>
          <w:szCs w:val="24"/>
          <w:u w:val="single"/>
          <w:lang w:val="el-GR"/>
        </w:rPr>
        <w:t xml:space="preserve">, </w:t>
      </w:r>
      <w:r w:rsidR="00D816B7">
        <w:rPr>
          <w:rFonts w:cstheme="minorHAnsi"/>
          <w:sz w:val="24"/>
          <w:szCs w:val="24"/>
          <w:u w:val="single"/>
          <w:lang w:val="el-GR"/>
        </w:rPr>
        <w:t>ο διευθυντής του Γραφείου Τύπου του Προέδρου</w:t>
      </w:r>
      <w:r w:rsidR="00A5147D" w:rsidRPr="00D816B7">
        <w:rPr>
          <w:rFonts w:cstheme="minorHAnsi"/>
          <w:sz w:val="24"/>
          <w:szCs w:val="24"/>
          <w:u w:val="single"/>
          <w:lang w:val="el-GR"/>
        </w:rPr>
        <w:t>,</w:t>
      </w:r>
      <w:bookmarkStart w:id="45" w:name="_Hlk132888099"/>
      <w:r w:rsidR="00A5147D" w:rsidRPr="00D816B7">
        <w:rPr>
          <w:rFonts w:cstheme="minorHAnsi"/>
          <w:sz w:val="24"/>
          <w:szCs w:val="24"/>
          <w:u w:val="single"/>
          <w:lang w:val="el-GR"/>
        </w:rPr>
        <w:t xml:space="preserve"> </w:t>
      </w:r>
      <w:r w:rsidR="00DB3ADB">
        <w:rPr>
          <w:rFonts w:cstheme="minorHAnsi"/>
          <w:sz w:val="24"/>
          <w:szCs w:val="24"/>
          <w:u w:val="single"/>
          <w:lang w:val="el-GR"/>
        </w:rPr>
        <w:t xml:space="preserve">οι </w:t>
      </w:r>
      <w:r w:rsidR="00D816B7">
        <w:rPr>
          <w:rFonts w:cstheme="minorHAnsi"/>
          <w:sz w:val="24"/>
          <w:szCs w:val="24"/>
          <w:u w:val="single"/>
          <w:lang w:val="el-GR"/>
        </w:rPr>
        <w:t>σύμβουλοι του Προέδρου</w:t>
      </w:r>
      <w:r w:rsidR="00A5147D" w:rsidRPr="00D816B7">
        <w:rPr>
          <w:rFonts w:cstheme="minorHAnsi"/>
          <w:sz w:val="24"/>
          <w:szCs w:val="24"/>
          <w:u w:val="single"/>
          <w:lang w:val="el-GR"/>
        </w:rPr>
        <w:t xml:space="preserve"> </w:t>
      </w:r>
      <w:r w:rsidR="00D816B7">
        <w:rPr>
          <w:rFonts w:cstheme="minorHAnsi"/>
          <w:sz w:val="24"/>
          <w:szCs w:val="24"/>
          <w:u w:val="single"/>
          <w:lang w:val="el-GR"/>
        </w:rPr>
        <w:t>και</w:t>
      </w:r>
      <w:r w:rsidR="00A5147D" w:rsidRPr="00D816B7">
        <w:rPr>
          <w:rFonts w:cstheme="minorHAnsi"/>
          <w:sz w:val="24"/>
          <w:szCs w:val="24"/>
          <w:u w:val="single"/>
          <w:lang w:val="el-GR"/>
        </w:rPr>
        <w:t xml:space="preserve"> </w:t>
      </w:r>
      <w:r w:rsidR="006117AE">
        <w:rPr>
          <w:rFonts w:cstheme="minorHAnsi"/>
          <w:sz w:val="24"/>
          <w:szCs w:val="24"/>
          <w:u w:val="single"/>
          <w:lang w:val="el-GR"/>
        </w:rPr>
        <w:t xml:space="preserve">οι </w:t>
      </w:r>
      <w:r w:rsidR="00A5147D" w:rsidRPr="00B95983">
        <w:rPr>
          <w:rFonts w:cstheme="minorHAnsi"/>
          <w:sz w:val="24"/>
          <w:szCs w:val="24"/>
          <w:u w:val="single"/>
        </w:rPr>
        <w:t>CPTA</w:t>
      </w:r>
      <w:r w:rsidR="006117AE">
        <w:rPr>
          <w:rFonts w:cstheme="minorHAnsi"/>
          <w:sz w:val="24"/>
          <w:szCs w:val="24"/>
          <w:u w:val="single"/>
          <w:lang w:val="en-US"/>
        </w:rPr>
        <w:t>s</w:t>
      </w:r>
      <w:r w:rsidR="009018FD" w:rsidRPr="00D816B7">
        <w:rPr>
          <w:rFonts w:cstheme="minorHAnsi"/>
          <w:sz w:val="24"/>
          <w:szCs w:val="24"/>
          <w:u w:val="single"/>
          <w:lang w:val="el-GR"/>
        </w:rPr>
        <w:t xml:space="preserve"> </w:t>
      </w:r>
      <w:r w:rsidR="00D816B7">
        <w:rPr>
          <w:rFonts w:cstheme="minorHAnsi"/>
          <w:sz w:val="24"/>
          <w:szCs w:val="24"/>
          <w:u w:val="single"/>
          <w:lang w:val="el-GR"/>
        </w:rPr>
        <w:t>που προσλαμβάνονται κατά την κρίση της κεντρικής κυβέρνησης</w:t>
      </w:r>
      <w:r w:rsidR="009018FD" w:rsidRPr="00D816B7">
        <w:rPr>
          <w:rFonts w:cstheme="minorHAnsi"/>
          <w:sz w:val="24"/>
          <w:szCs w:val="24"/>
          <w:u w:val="single"/>
          <w:lang w:val="el-GR"/>
        </w:rPr>
        <w:t xml:space="preserve"> </w:t>
      </w:r>
      <w:r w:rsidR="00D816B7">
        <w:rPr>
          <w:rFonts w:cstheme="minorHAnsi"/>
          <w:sz w:val="24"/>
          <w:szCs w:val="24"/>
          <w:u w:val="single"/>
          <w:lang w:val="el-GR"/>
        </w:rPr>
        <w:t xml:space="preserve">για να </w:t>
      </w:r>
      <w:r w:rsidR="00280937" w:rsidRPr="002B7C4B">
        <w:rPr>
          <w:rFonts w:cstheme="minorHAnsi"/>
          <w:sz w:val="24"/>
          <w:szCs w:val="24"/>
          <w:u w:val="single"/>
          <w:lang w:val="el-GR"/>
        </w:rPr>
        <w:t xml:space="preserve"> </w:t>
      </w:r>
      <w:r w:rsidR="00280937">
        <w:rPr>
          <w:rFonts w:cstheme="minorHAnsi"/>
          <w:sz w:val="24"/>
          <w:szCs w:val="24"/>
          <w:u w:val="single"/>
          <w:lang w:val="el-GR"/>
        </w:rPr>
        <w:t xml:space="preserve">παρέχουν </w:t>
      </w:r>
      <w:r w:rsidR="00D816B7">
        <w:rPr>
          <w:rFonts w:cstheme="minorHAnsi"/>
          <w:sz w:val="24"/>
          <w:szCs w:val="24"/>
          <w:u w:val="single"/>
          <w:lang w:val="el-GR"/>
        </w:rPr>
        <w:t>συμβουλή</w:t>
      </w:r>
      <w:r w:rsidR="00A5147D" w:rsidRPr="00D816B7">
        <w:rPr>
          <w:rFonts w:cstheme="minorHAnsi"/>
          <w:sz w:val="24"/>
          <w:szCs w:val="24"/>
          <w:u w:val="single"/>
          <w:lang w:val="el-GR"/>
        </w:rPr>
        <w:t>.</w:t>
      </w:r>
      <w:bookmarkEnd w:id="45"/>
      <w:r w:rsidR="00140B64" w:rsidRPr="00D816B7">
        <w:rPr>
          <w:rFonts w:cstheme="minorHAnsi"/>
          <w:sz w:val="24"/>
          <w:szCs w:val="24"/>
          <w:u w:val="single"/>
          <w:lang w:val="el-GR"/>
        </w:rPr>
        <w:t xml:space="preserve"> </w:t>
      </w:r>
    </w:p>
    <w:p w14:paraId="48AEC4CB" w14:textId="77777777" w:rsidR="00A5147D" w:rsidRPr="00D816B7" w:rsidRDefault="00A5147D" w:rsidP="00A5147D">
      <w:pPr>
        <w:tabs>
          <w:tab w:val="left" w:pos="709"/>
        </w:tabs>
        <w:rPr>
          <w:rFonts w:cstheme="minorHAnsi"/>
          <w:sz w:val="24"/>
          <w:szCs w:val="24"/>
          <w:lang w:val="el-GR"/>
        </w:rPr>
      </w:pPr>
    </w:p>
    <w:p w14:paraId="73C07802" w14:textId="3A81D5CB" w:rsidR="00A5147D" w:rsidRPr="00035C8D" w:rsidRDefault="00D816B7" w:rsidP="00A5147D">
      <w:pPr>
        <w:numPr>
          <w:ilvl w:val="0"/>
          <w:numId w:val="1"/>
        </w:numPr>
        <w:tabs>
          <w:tab w:val="left" w:pos="709"/>
        </w:tabs>
        <w:ind w:left="0" w:firstLine="0"/>
        <w:rPr>
          <w:rFonts w:ascii="Calibri" w:hAnsi="Calibri" w:cs="Calibri"/>
          <w:sz w:val="24"/>
          <w:szCs w:val="24"/>
          <w:lang w:val="el-GR" w:eastAsia="fr-FR"/>
        </w:rPr>
      </w:pPr>
      <w:r>
        <w:rPr>
          <w:rFonts w:cstheme="minorHAnsi"/>
          <w:sz w:val="24"/>
          <w:szCs w:val="24"/>
          <w:lang w:val="el-GR"/>
        </w:rPr>
        <w:t>Η</w:t>
      </w:r>
      <w:r w:rsidR="00A5147D" w:rsidRPr="00D816B7">
        <w:rPr>
          <w:rFonts w:cstheme="minorHAnsi"/>
          <w:sz w:val="24"/>
          <w:szCs w:val="24"/>
          <w:lang w:val="el-GR"/>
        </w:rPr>
        <w:t xml:space="preserve"> </w:t>
      </w:r>
      <w:r w:rsidR="00A5147D" w:rsidRPr="004E251E">
        <w:rPr>
          <w:rFonts w:cstheme="minorHAnsi"/>
          <w:sz w:val="24"/>
          <w:szCs w:val="24"/>
        </w:rPr>
        <w:t>GET</w:t>
      </w:r>
      <w:r w:rsidR="00A5147D" w:rsidRPr="00D816B7">
        <w:rPr>
          <w:rFonts w:cstheme="minorHAnsi"/>
          <w:sz w:val="24"/>
          <w:szCs w:val="24"/>
          <w:lang w:val="el-GR"/>
        </w:rPr>
        <w:t xml:space="preserve"> </w:t>
      </w:r>
      <w:r>
        <w:rPr>
          <w:rFonts w:cstheme="minorHAnsi"/>
          <w:sz w:val="24"/>
          <w:szCs w:val="24"/>
          <w:lang w:val="el-GR"/>
        </w:rPr>
        <w:t>διαπίστωσε</w:t>
      </w:r>
      <w:r w:rsidRPr="00D816B7">
        <w:rPr>
          <w:rFonts w:cstheme="minorHAnsi"/>
          <w:sz w:val="24"/>
          <w:szCs w:val="24"/>
          <w:lang w:val="el-GR"/>
        </w:rPr>
        <w:t xml:space="preserve"> </w:t>
      </w:r>
      <w:r>
        <w:rPr>
          <w:rFonts w:cstheme="minorHAnsi"/>
          <w:sz w:val="24"/>
          <w:szCs w:val="24"/>
          <w:lang w:val="el-GR"/>
        </w:rPr>
        <w:t>ότι</w:t>
      </w:r>
      <w:r w:rsidRPr="00D816B7">
        <w:rPr>
          <w:rFonts w:cstheme="minorHAnsi"/>
          <w:sz w:val="24"/>
          <w:szCs w:val="24"/>
          <w:lang w:val="el-GR"/>
        </w:rPr>
        <w:t xml:space="preserve"> </w:t>
      </w:r>
      <w:r>
        <w:rPr>
          <w:rFonts w:cstheme="minorHAnsi"/>
          <w:sz w:val="24"/>
          <w:szCs w:val="24"/>
          <w:lang w:val="el-GR"/>
        </w:rPr>
        <w:t>το</w:t>
      </w:r>
      <w:r w:rsidRPr="00D816B7">
        <w:rPr>
          <w:rFonts w:cstheme="minorHAnsi"/>
          <w:sz w:val="24"/>
          <w:szCs w:val="24"/>
          <w:lang w:val="el-GR"/>
        </w:rPr>
        <w:t xml:space="preserve"> </w:t>
      </w:r>
      <w:r>
        <w:rPr>
          <w:rFonts w:cstheme="minorHAnsi"/>
          <w:sz w:val="24"/>
          <w:szCs w:val="24"/>
          <w:lang w:val="el-GR"/>
        </w:rPr>
        <w:t>εφαρμόσιμο</w:t>
      </w:r>
      <w:r w:rsidRPr="00D816B7">
        <w:rPr>
          <w:rFonts w:cstheme="minorHAnsi"/>
          <w:sz w:val="24"/>
          <w:szCs w:val="24"/>
          <w:lang w:val="el-GR"/>
        </w:rPr>
        <w:t xml:space="preserve"> </w:t>
      </w:r>
      <w:r>
        <w:rPr>
          <w:rFonts w:cstheme="minorHAnsi"/>
          <w:sz w:val="24"/>
          <w:szCs w:val="24"/>
          <w:lang w:val="el-GR"/>
        </w:rPr>
        <w:t>πλαίσιο</w:t>
      </w:r>
      <w:r w:rsidRPr="00D816B7">
        <w:rPr>
          <w:rFonts w:cstheme="minorHAnsi"/>
          <w:sz w:val="24"/>
          <w:szCs w:val="24"/>
          <w:lang w:val="el-GR"/>
        </w:rPr>
        <w:t xml:space="preserve"> </w:t>
      </w:r>
      <w:r>
        <w:rPr>
          <w:rFonts w:cstheme="minorHAnsi"/>
          <w:sz w:val="24"/>
          <w:szCs w:val="24"/>
          <w:lang w:val="el-GR"/>
        </w:rPr>
        <w:t>πρόληψης</w:t>
      </w:r>
      <w:r w:rsidRPr="00D816B7">
        <w:rPr>
          <w:rFonts w:cstheme="minorHAnsi"/>
          <w:sz w:val="24"/>
          <w:szCs w:val="24"/>
          <w:lang w:val="el-GR"/>
        </w:rPr>
        <w:t xml:space="preserve"> </w:t>
      </w:r>
      <w:r>
        <w:rPr>
          <w:rFonts w:cstheme="minorHAnsi"/>
          <w:sz w:val="24"/>
          <w:szCs w:val="24"/>
          <w:lang w:val="el-GR"/>
        </w:rPr>
        <w:t>της</w:t>
      </w:r>
      <w:r w:rsidRPr="00D816B7">
        <w:rPr>
          <w:rFonts w:cstheme="minorHAnsi"/>
          <w:sz w:val="24"/>
          <w:szCs w:val="24"/>
          <w:lang w:val="el-GR"/>
        </w:rPr>
        <w:t xml:space="preserve"> </w:t>
      </w:r>
      <w:r>
        <w:rPr>
          <w:rFonts w:cstheme="minorHAnsi"/>
          <w:sz w:val="24"/>
          <w:szCs w:val="24"/>
          <w:lang w:val="el-GR"/>
        </w:rPr>
        <w:t>διαφθοράς που ισχύει για τους</w:t>
      </w:r>
      <w:r w:rsidR="00A5147D" w:rsidRPr="00D816B7">
        <w:rPr>
          <w:rFonts w:cstheme="minorHAnsi"/>
          <w:sz w:val="24"/>
          <w:szCs w:val="24"/>
          <w:lang w:val="el-GR"/>
        </w:rPr>
        <w:t xml:space="preserve"> </w:t>
      </w:r>
      <w:r w:rsidR="00A5147D" w:rsidRPr="004E251E">
        <w:rPr>
          <w:rFonts w:cstheme="minorHAnsi"/>
          <w:sz w:val="24"/>
          <w:szCs w:val="24"/>
        </w:rPr>
        <w:t>PTEF</w:t>
      </w:r>
      <w:r w:rsidR="00B1778E">
        <w:rPr>
          <w:rFonts w:cstheme="minorHAnsi"/>
          <w:sz w:val="24"/>
          <w:szCs w:val="24"/>
          <w:lang w:val="en-US"/>
        </w:rPr>
        <w:t>s</w:t>
      </w:r>
      <w:r w:rsidR="00A347F0">
        <w:rPr>
          <w:rFonts w:cstheme="minorHAnsi"/>
          <w:sz w:val="24"/>
          <w:szCs w:val="24"/>
          <w:lang w:val="el-GR"/>
        </w:rPr>
        <w:t xml:space="preserve"> διαφέρει σε μεγάλο βαθμό</w:t>
      </w:r>
      <w:r w:rsidR="00A5147D" w:rsidRPr="00D816B7">
        <w:rPr>
          <w:rFonts w:cstheme="minorHAnsi"/>
          <w:sz w:val="24"/>
          <w:szCs w:val="24"/>
          <w:lang w:val="el-GR"/>
        </w:rPr>
        <w:t xml:space="preserve">. </w:t>
      </w:r>
      <w:r>
        <w:rPr>
          <w:rFonts w:cstheme="minorHAnsi"/>
          <w:sz w:val="24"/>
          <w:szCs w:val="24"/>
          <w:lang w:val="el-GR"/>
        </w:rPr>
        <w:t>Υπουργοί</w:t>
      </w:r>
      <w:r w:rsidRPr="00AE4C3B">
        <w:rPr>
          <w:rFonts w:cstheme="minorHAnsi"/>
          <w:sz w:val="24"/>
          <w:szCs w:val="24"/>
          <w:lang w:val="el-GR"/>
        </w:rPr>
        <w:t>/</w:t>
      </w:r>
      <w:r>
        <w:rPr>
          <w:rFonts w:cstheme="minorHAnsi"/>
          <w:sz w:val="24"/>
          <w:szCs w:val="24"/>
          <w:lang w:val="el-GR"/>
        </w:rPr>
        <w:t>υφυπουργοί</w:t>
      </w:r>
      <w:r w:rsidR="00A5147D" w:rsidRPr="00AE4C3B">
        <w:rPr>
          <w:rFonts w:cstheme="minorHAnsi"/>
          <w:sz w:val="24"/>
          <w:szCs w:val="24"/>
          <w:lang w:val="el-GR"/>
        </w:rPr>
        <w:t xml:space="preserve"> </w:t>
      </w:r>
      <w:r w:rsidR="00AE4C3B">
        <w:rPr>
          <w:rFonts w:cstheme="minorHAnsi"/>
          <w:sz w:val="24"/>
          <w:szCs w:val="24"/>
          <w:lang w:val="el-GR"/>
        </w:rPr>
        <w:t>δεσμεύονται</w:t>
      </w:r>
      <w:r w:rsidR="00AE4C3B" w:rsidRPr="00AE4C3B">
        <w:rPr>
          <w:rFonts w:cstheme="minorHAnsi"/>
          <w:sz w:val="24"/>
          <w:szCs w:val="24"/>
          <w:lang w:val="el-GR"/>
        </w:rPr>
        <w:t xml:space="preserve"> </w:t>
      </w:r>
      <w:r w:rsidR="00AE4C3B">
        <w:rPr>
          <w:rFonts w:cstheme="minorHAnsi"/>
          <w:sz w:val="24"/>
          <w:szCs w:val="24"/>
          <w:lang w:val="el-GR"/>
        </w:rPr>
        <w:t>με</w:t>
      </w:r>
      <w:r w:rsidR="00AE4C3B" w:rsidRPr="00AE4C3B">
        <w:rPr>
          <w:rFonts w:cstheme="minorHAnsi"/>
          <w:sz w:val="24"/>
          <w:szCs w:val="24"/>
          <w:lang w:val="el-GR"/>
        </w:rPr>
        <w:t xml:space="preserve"> </w:t>
      </w:r>
      <w:r w:rsidR="00AE4C3B">
        <w:rPr>
          <w:rFonts w:cstheme="minorHAnsi"/>
          <w:sz w:val="24"/>
          <w:szCs w:val="24"/>
          <w:lang w:val="el-GR"/>
        </w:rPr>
        <w:t>τις</w:t>
      </w:r>
      <w:r w:rsidR="00AE4C3B" w:rsidRPr="00AE4C3B">
        <w:rPr>
          <w:rFonts w:cstheme="minorHAnsi"/>
          <w:sz w:val="24"/>
          <w:szCs w:val="24"/>
          <w:lang w:val="el-GR"/>
        </w:rPr>
        <w:t xml:space="preserve"> </w:t>
      </w:r>
      <w:r w:rsidR="00AE4C3B">
        <w:rPr>
          <w:rFonts w:cstheme="minorHAnsi"/>
          <w:sz w:val="24"/>
          <w:szCs w:val="24"/>
          <w:lang w:val="el-GR"/>
        </w:rPr>
        <w:t>πιο</w:t>
      </w:r>
      <w:r w:rsidR="00AE4C3B" w:rsidRPr="00AE4C3B">
        <w:rPr>
          <w:rFonts w:cstheme="minorHAnsi"/>
          <w:sz w:val="24"/>
          <w:szCs w:val="24"/>
          <w:lang w:val="el-GR"/>
        </w:rPr>
        <w:t xml:space="preserve"> </w:t>
      </w:r>
      <w:r w:rsidR="00AE4C3B">
        <w:rPr>
          <w:rFonts w:cstheme="minorHAnsi"/>
          <w:sz w:val="24"/>
          <w:szCs w:val="24"/>
          <w:lang w:val="el-GR"/>
        </w:rPr>
        <w:t>αυστηρές</w:t>
      </w:r>
      <w:r w:rsidR="00AE4C3B" w:rsidRPr="00AE4C3B">
        <w:rPr>
          <w:rFonts w:cstheme="minorHAnsi"/>
          <w:sz w:val="24"/>
          <w:szCs w:val="24"/>
          <w:lang w:val="el-GR"/>
        </w:rPr>
        <w:t xml:space="preserve"> </w:t>
      </w:r>
      <w:r w:rsidR="00AE4C3B">
        <w:rPr>
          <w:rFonts w:cstheme="minorHAnsi"/>
          <w:sz w:val="24"/>
          <w:szCs w:val="24"/>
          <w:lang w:val="el-GR"/>
        </w:rPr>
        <w:t>απαιτήσεις</w:t>
      </w:r>
      <w:r w:rsidR="00A5147D" w:rsidRPr="00AE4C3B">
        <w:rPr>
          <w:rFonts w:cstheme="minorHAnsi"/>
          <w:sz w:val="24"/>
          <w:szCs w:val="24"/>
          <w:lang w:val="el-GR"/>
        </w:rPr>
        <w:t xml:space="preserve">, </w:t>
      </w:r>
      <w:r w:rsidR="00AE4C3B">
        <w:rPr>
          <w:rFonts w:cstheme="minorHAnsi"/>
          <w:sz w:val="24"/>
          <w:szCs w:val="24"/>
          <w:lang w:val="el-GR"/>
        </w:rPr>
        <w:t>ειδικότερα</w:t>
      </w:r>
      <w:r w:rsidR="00A5147D" w:rsidRPr="00AE4C3B">
        <w:rPr>
          <w:rFonts w:cstheme="minorHAnsi"/>
          <w:sz w:val="24"/>
          <w:szCs w:val="24"/>
          <w:lang w:val="el-GR"/>
        </w:rPr>
        <w:t xml:space="preserve"> </w:t>
      </w:r>
      <w:r w:rsidR="00AE4C3B">
        <w:rPr>
          <w:rFonts w:cstheme="minorHAnsi"/>
          <w:sz w:val="24"/>
          <w:szCs w:val="24"/>
          <w:lang w:val="el-GR"/>
        </w:rPr>
        <w:t>όσον αφορά</w:t>
      </w:r>
      <w:r w:rsidR="00A5147D" w:rsidRPr="00AE4C3B">
        <w:rPr>
          <w:rFonts w:cstheme="minorHAnsi"/>
          <w:sz w:val="24"/>
          <w:szCs w:val="24"/>
          <w:lang w:val="el-GR"/>
        </w:rPr>
        <w:t xml:space="preserve"> </w:t>
      </w:r>
      <w:r w:rsidR="00AE4C3B">
        <w:rPr>
          <w:rFonts w:cstheme="minorHAnsi"/>
          <w:sz w:val="24"/>
          <w:szCs w:val="24"/>
          <w:lang w:val="el-GR"/>
        </w:rPr>
        <w:t>την οικονομική αναφορά</w:t>
      </w:r>
      <w:r w:rsidR="00A5147D" w:rsidRPr="00AE4C3B">
        <w:rPr>
          <w:rFonts w:cstheme="minorHAnsi"/>
          <w:sz w:val="24"/>
          <w:szCs w:val="24"/>
          <w:lang w:val="el-GR"/>
        </w:rPr>
        <w:t xml:space="preserve">, </w:t>
      </w:r>
      <w:r w:rsidR="00A347F0">
        <w:rPr>
          <w:rFonts w:cstheme="minorHAnsi"/>
          <w:sz w:val="24"/>
          <w:szCs w:val="24"/>
          <w:lang w:val="el-GR"/>
        </w:rPr>
        <w:t xml:space="preserve">τις </w:t>
      </w:r>
      <w:r w:rsidR="00AE4C3B">
        <w:rPr>
          <w:rFonts w:cstheme="minorHAnsi"/>
          <w:sz w:val="24"/>
          <w:szCs w:val="24"/>
          <w:lang w:val="el-GR"/>
        </w:rPr>
        <w:t>ασυμβατότητες</w:t>
      </w:r>
      <w:r w:rsidR="00A5147D" w:rsidRPr="00AE4C3B">
        <w:rPr>
          <w:rFonts w:cstheme="minorHAnsi"/>
          <w:sz w:val="24"/>
          <w:szCs w:val="24"/>
          <w:lang w:val="el-GR"/>
        </w:rPr>
        <w:t xml:space="preserve"> </w:t>
      </w:r>
      <w:r w:rsidR="00AE4C3B">
        <w:rPr>
          <w:rFonts w:cstheme="minorHAnsi"/>
          <w:sz w:val="24"/>
          <w:szCs w:val="24"/>
          <w:lang w:val="el-GR"/>
        </w:rPr>
        <w:t xml:space="preserve">και </w:t>
      </w:r>
      <w:r w:rsidR="00A347F0">
        <w:rPr>
          <w:rFonts w:cstheme="minorHAnsi"/>
          <w:sz w:val="24"/>
          <w:szCs w:val="24"/>
          <w:lang w:val="el-GR"/>
        </w:rPr>
        <w:t>τις απαιτήσεις (για ανάληψη εργασίας)</w:t>
      </w:r>
      <w:r w:rsidR="00A347F0" w:rsidRPr="00A347F0">
        <w:rPr>
          <w:rFonts w:cstheme="minorHAnsi"/>
          <w:sz w:val="24"/>
          <w:szCs w:val="24"/>
          <w:lang w:val="el-GR"/>
        </w:rPr>
        <w:t xml:space="preserve"> </w:t>
      </w:r>
      <w:r w:rsidR="00A347F0">
        <w:rPr>
          <w:rFonts w:cstheme="minorHAnsi"/>
          <w:sz w:val="24"/>
          <w:szCs w:val="24"/>
          <w:lang w:val="el-GR"/>
        </w:rPr>
        <w:t xml:space="preserve">μετά την </w:t>
      </w:r>
      <w:proofErr w:type="spellStart"/>
      <w:r w:rsidR="00A347F0">
        <w:rPr>
          <w:rFonts w:cstheme="minorHAnsi"/>
          <w:sz w:val="24"/>
          <w:szCs w:val="24"/>
          <w:lang w:val="el-GR"/>
        </w:rPr>
        <w:t>εργοδότηση</w:t>
      </w:r>
      <w:proofErr w:type="spellEnd"/>
      <w:r w:rsidR="00A5147D" w:rsidRPr="00AE4C3B">
        <w:rPr>
          <w:rFonts w:cstheme="minorHAnsi"/>
          <w:sz w:val="24"/>
          <w:szCs w:val="24"/>
          <w:lang w:val="el-GR"/>
        </w:rPr>
        <w:t xml:space="preserve">. </w:t>
      </w:r>
      <w:r w:rsidR="00AE4C3B">
        <w:rPr>
          <w:rFonts w:cstheme="minorHAnsi"/>
          <w:sz w:val="24"/>
          <w:szCs w:val="24"/>
          <w:lang w:val="el-GR"/>
        </w:rPr>
        <w:t>Κάποιοι</w:t>
      </w:r>
      <w:r w:rsidR="00AE4C3B" w:rsidRPr="00AE4C3B">
        <w:rPr>
          <w:rFonts w:cstheme="minorHAnsi"/>
          <w:sz w:val="24"/>
          <w:szCs w:val="24"/>
          <w:lang w:val="el-GR"/>
        </w:rPr>
        <w:t xml:space="preserve"> </w:t>
      </w:r>
      <w:r w:rsidR="00A5147D" w:rsidRPr="004E251E">
        <w:rPr>
          <w:rFonts w:cstheme="minorHAnsi"/>
          <w:sz w:val="24"/>
          <w:szCs w:val="24"/>
        </w:rPr>
        <w:t>PTEF</w:t>
      </w:r>
      <w:r w:rsidR="00A347F0">
        <w:rPr>
          <w:rFonts w:cstheme="minorHAnsi"/>
          <w:sz w:val="24"/>
          <w:szCs w:val="24"/>
          <w:lang w:val="en-US"/>
        </w:rPr>
        <w:t>s</w:t>
      </w:r>
      <w:r w:rsidR="00A5147D" w:rsidRPr="00AE4C3B">
        <w:rPr>
          <w:rFonts w:cstheme="minorHAnsi"/>
          <w:sz w:val="24"/>
          <w:szCs w:val="24"/>
          <w:lang w:val="el-GR"/>
        </w:rPr>
        <w:t xml:space="preserve"> (</w:t>
      </w:r>
      <w:r w:rsidR="00AE4C3B">
        <w:rPr>
          <w:rFonts w:cstheme="minorHAnsi"/>
          <w:sz w:val="24"/>
          <w:szCs w:val="24"/>
          <w:lang w:val="el-GR"/>
        </w:rPr>
        <w:t>αυτοί</w:t>
      </w:r>
      <w:r w:rsidR="00AE4C3B" w:rsidRPr="00AE4C3B">
        <w:rPr>
          <w:rFonts w:cstheme="minorHAnsi"/>
          <w:sz w:val="24"/>
          <w:szCs w:val="24"/>
          <w:lang w:val="el-GR"/>
        </w:rPr>
        <w:t xml:space="preserve"> </w:t>
      </w:r>
      <w:r w:rsidR="00AE4C3B">
        <w:rPr>
          <w:rFonts w:cstheme="minorHAnsi"/>
          <w:sz w:val="24"/>
          <w:szCs w:val="24"/>
          <w:lang w:val="el-GR"/>
        </w:rPr>
        <w:t>που</w:t>
      </w:r>
      <w:r w:rsidR="00AE4C3B" w:rsidRPr="00AE4C3B">
        <w:rPr>
          <w:rFonts w:cstheme="minorHAnsi"/>
          <w:sz w:val="24"/>
          <w:szCs w:val="24"/>
          <w:lang w:val="el-GR"/>
        </w:rPr>
        <w:t xml:space="preserve"> </w:t>
      </w:r>
      <w:r w:rsidR="00AE4C3B">
        <w:rPr>
          <w:rFonts w:cstheme="minorHAnsi"/>
          <w:sz w:val="24"/>
          <w:szCs w:val="24"/>
          <w:lang w:val="el-GR"/>
        </w:rPr>
        <w:t>διορίζονται</w:t>
      </w:r>
      <w:r w:rsidR="00A5147D" w:rsidRPr="00AE4C3B">
        <w:rPr>
          <w:rFonts w:cstheme="minorHAnsi"/>
          <w:sz w:val="24"/>
          <w:szCs w:val="24"/>
          <w:lang w:val="el-GR"/>
        </w:rPr>
        <w:t xml:space="preserve"> </w:t>
      </w:r>
      <w:r w:rsidR="00AE4C3B">
        <w:rPr>
          <w:rFonts w:cstheme="minorHAnsi"/>
          <w:sz w:val="24"/>
          <w:szCs w:val="24"/>
          <w:lang w:val="el-GR"/>
        </w:rPr>
        <w:t>από</w:t>
      </w:r>
      <w:r w:rsidR="00AE4C3B" w:rsidRPr="00AE4C3B">
        <w:rPr>
          <w:rFonts w:cstheme="minorHAnsi"/>
          <w:sz w:val="24"/>
          <w:szCs w:val="24"/>
          <w:lang w:val="el-GR"/>
        </w:rPr>
        <w:t xml:space="preserve"> </w:t>
      </w:r>
      <w:r w:rsidR="00AE4C3B">
        <w:rPr>
          <w:rFonts w:cstheme="minorHAnsi"/>
          <w:sz w:val="24"/>
          <w:szCs w:val="24"/>
          <w:lang w:val="el-GR"/>
        </w:rPr>
        <w:t>τον</w:t>
      </w:r>
      <w:r w:rsidR="00AE4C3B" w:rsidRPr="00AE4C3B">
        <w:rPr>
          <w:rFonts w:cstheme="minorHAnsi"/>
          <w:sz w:val="24"/>
          <w:szCs w:val="24"/>
          <w:lang w:val="el-GR"/>
        </w:rPr>
        <w:t xml:space="preserve"> </w:t>
      </w:r>
      <w:r w:rsidR="00AE4C3B">
        <w:rPr>
          <w:rFonts w:cstheme="minorHAnsi"/>
          <w:sz w:val="24"/>
          <w:szCs w:val="24"/>
          <w:lang w:val="el-GR"/>
        </w:rPr>
        <w:t>Πρόεδρο</w:t>
      </w:r>
      <w:r w:rsidR="00A5147D" w:rsidRPr="00AE4C3B">
        <w:rPr>
          <w:rFonts w:cstheme="minorHAnsi"/>
          <w:sz w:val="24"/>
          <w:szCs w:val="24"/>
          <w:lang w:val="el-GR"/>
        </w:rPr>
        <w:t xml:space="preserve">) </w:t>
      </w:r>
      <w:r w:rsidR="00B1778E">
        <w:rPr>
          <w:rFonts w:cstheme="minorHAnsi"/>
          <w:sz w:val="24"/>
          <w:szCs w:val="24"/>
          <w:lang w:val="el-GR"/>
        </w:rPr>
        <w:t xml:space="preserve">καλύπτονται </w:t>
      </w:r>
      <w:r w:rsidR="00AE4C3B">
        <w:rPr>
          <w:rFonts w:cstheme="minorHAnsi"/>
          <w:sz w:val="24"/>
          <w:szCs w:val="24"/>
          <w:lang w:val="el-GR"/>
        </w:rPr>
        <w:t>από</w:t>
      </w:r>
      <w:r w:rsidR="00B1778E">
        <w:rPr>
          <w:rFonts w:cstheme="minorHAnsi"/>
          <w:sz w:val="24"/>
          <w:szCs w:val="24"/>
          <w:lang w:val="el-GR"/>
        </w:rPr>
        <w:t xml:space="preserve"> την Χάρτα Δεοντολογίας</w:t>
      </w:r>
      <w:r w:rsidR="00A5147D" w:rsidRPr="00AE4C3B">
        <w:rPr>
          <w:rFonts w:cstheme="minorHAnsi"/>
          <w:sz w:val="24"/>
          <w:szCs w:val="24"/>
          <w:lang w:val="el-GR"/>
        </w:rPr>
        <w:t xml:space="preserve">. </w:t>
      </w:r>
      <w:r w:rsidR="00AE4C3B">
        <w:rPr>
          <w:rFonts w:cstheme="minorHAnsi"/>
          <w:sz w:val="24"/>
          <w:szCs w:val="24"/>
          <w:lang w:val="el-GR"/>
        </w:rPr>
        <w:t>Οι</w:t>
      </w:r>
      <w:r w:rsidR="00AE4C3B" w:rsidRPr="00AE4C3B">
        <w:rPr>
          <w:rFonts w:cstheme="minorHAnsi"/>
          <w:sz w:val="24"/>
          <w:szCs w:val="24"/>
          <w:lang w:val="el-GR"/>
        </w:rPr>
        <w:t xml:space="preserve"> </w:t>
      </w:r>
      <w:r w:rsidR="00A5147D" w:rsidRPr="004E251E">
        <w:rPr>
          <w:rFonts w:cstheme="minorHAnsi"/>
          <w:sz w:val="24"/>
          <w:szCs w:val="24"/>
        </w:rPr>
        <w:t>CPTA</w:t>
      </w:r>
      <w:r w:rsidR="00B1778E">
        <w:rPr>
          <w:rFonts w:cstheme="minorHAnsi"/>
          <w:sz w:val="24"/>
          <w:szCs w:val="24"/>
        </w:rPr>
        <w:t>s</w:t>
      </w:r>
      <w:r w:rsidR="00A5147D" w:rsidRPr="00AE4C3B">
        <w:rPr>
          <w:rFonts w:cstheme="minorHAnsi"/>
          <w:sz w:val="24"/>
          <w:szCs w:val="24"/>
          <w:lang w:val="el-GR"/>
        </w:rPr>
        <w:t xml:space="preserve"> </w:t>
      </w:r>
      <w:r w:rsidR="00AE4C3B">
        <w:rPr>
          <w:rFonts w:cstheme="minorHAnsi"/>
          <w:sz w:val="24"/>
          <w:szCs w:val="24"/>
          <w:lang w:val="el-GR"/>
        </w:rPr>
        <w:t>υπογράφουν</w:t>
      </w:r>
      <w:r w:rsidR="00AE4C3B" w:rsidRPr="00AE4C3B">
        <w:rPr>
          <w:rFonts w:cstheme="minorHAnsi"/>
          <w:sz w:val="24"/>
          <w:szCs w:val="24"/>
          <w:lang w:val="el-GR"/>
        </w:rPr>
        <w:t xml:space="preserve"> </w:t>
      </w:r>
      <w:r w:rsidR="00AE4C3B">
        <w:rPr>
          <w:rFonts w:cstheme="minorHAnsi"/>
          <w:sz w:val="24"/>
          <w:szCs w:val="24"/>
          <w:lang w:val="el-GR"/>
        </w:rPr>
        <w:t>μια</w:t>
      </w:r>
      <w:r w:rsidR="00AE4C3B" w:rsidRPr="00AE4C3B">
        <w:rPr>
          <w:rFonts w:cstheme="minorHAnsi"/>
          <w:sz w:val="24"/>
          <w:szCs w:val="24"/>
          <w:lang w:val="el-GR"/>
        </w:rPr>
        <w:t xml:space="preserve"> </w:t>
      </w:r>
      <w:r w:rsidR="00B1778E">
        <w:rPr>
          <w:rFonts w:cstheme="minorHAnsi"/>
          <w:sz w:val="24"/>
          <w:szCs w:val="24"/>
          <w:lang w:val="el-GR"/>
        </w:rPr>
        <w:t xml:space="preserve">τυποποιημένη </w:t>
      </w:r>
      <w:r w:rsidR="00AE4C3B">
        <w:rPr>
          <w:rFonts w:cstheme="minorHAnsi"/>
          <w:sz w:val="24"/>
          <w:szCs w:val="24"/>
          <w:lang w:val="el-GR"/>
        </w:rPr>
        <w:t>σύμβαση</w:t>
      </w:r>
      <w:r w:rsidR="00AE4C3B" w:rsidRPr="00AE4C3B">
        <w:rPr>
          <w:rFonts w:cstheme="minorHAnsi"/>
          <w:sz w:val="24"/>
          <w:szCs w:val="24"/>
          <w:lang w:val="el-GR"/>
        </w:rPr>
        <w:t xml:space="preserve"> </w:t>
      </w:r>
      <w:r w:rsidR="00AE4C3B">
        <w:rPr>
          <w:rFonts w:cstheme="minorHAnsi"/>
          <w:sz w:val="24"/>
          <w:szCs w:val="24"/>
          <w:lang w:val="el-GR"/>
        </w:rPr>
        <w:t>εργασίας</w:t>
      </w:r>
      <w:r w:rsidR="00A5147D" w:rsidRPr="00AE4C3B">
        <w:rPr>
          <w:rFonts w:cstheme="minorHAnsi"/>
          <w:sz w:val="24"/>
          <w:szCs w:val="24"/>
          <w:lang w:val="el-GR"/>
        </w:rPr>
        <w:t xml:space="preserve">, </w:t>
      </w:r>
      <w:r w:rsidR="00AE4C3B">
        <w:rPr>
          <w:rFonts w:cstheme="minorHAnsi"/>
          <w:sz w:val="24"/>
          <w:szCs w:val="24"/>
          <w:lang w:val="el-GR"/>
        </w:rPr>
        <w:t>αλλά</w:t>
      </w:r>
      <w:r w:rsidR="00A5147D" w:rsidRPr="00AE4C3B">
        <w:rPr>
          <w:rFonts w:cstheme="minorHAnsi"/>
          <w:sz w:val="24"/>
          <w:szCs w:val="24"/>
          <w:lang w:val="el-GR"/>
        </w:rPr>
        <w:t xml:space="preserve"> </w:t>
      </w:r>
      <w:r w:rsidR="00AE4C3B">
        <w:rPr>
          <w:rFonts w:cstheme="minorHAnsi"/>
          <w:sz w:val="24"/>
          <w:szCs w:val="24"/>
          <w:lang w:val="el-GR"/>
        </w:rPr>
        <w:t>η</w:t>
      </w:r>
      <w:r w:rsidR="00AE4C3B" w:rsidRPr="00AE4C3B">
        <w:rPr>
          <w:rFonts w:cstheme="minorHAnsi"/>
          <w:sz w:val="24"/>
          <w:szCs w:val="24"/>
          <w:lang w:val="el-GR"/>
        </w:rPr>
        <w:t xml:space="preserve"> </w:t>
      </w:r>
      <w:r w:rsidR="00AE4C3B">
        <w:rPr>
          <w:rFonts w:cstheme="minorHAnsi"/>
          <w:sz w:val="24"/>
          <w:szCs w:val="24"/>
          <w:lang w:val="el-GR"/>
        </w:rPr>
        <w:t>σύμβαση</w:t>
      </w:r>
      <w:r w:rsidR="00AE4C3B" w:rsidRPr="00AE4C3B">
        <w:rPr>
          <w:rFonts w:cstheme="minorHAnsi"/>
          <w:sz w:val="24"/>
          <w:szCs w:val="24"/>
          <w:lang w:val="el-GR"/>
        </w:rPr>
        <w:t xml:space="preserve"> </w:t>
      </w:r>
      <w:r w:rsidR="00AE4C3B">
        <w:rPr>
          <w:rFonts w:cstheme="minorHAnsi"/>
          <w:sz w:val="24"/>
          <w:szCs w:val="24"/>
          <w:lang w:val="el-GR"/>
        </w:rPr>
        <w:t>αυτή</w:t>
      </w:r>
      <w:r w:rsidR="00A5147D" w:rsidRPr="00AE4C3B">
        <w:rPr>
          <w:rFonts w:cstheme="minorHAnsi"/>
          <w:sz w:val="24"/>
          <w:szCs w:val="24"/>
          <w:lang w:val="el-GR"/>
        </w:rPr>
        <w:t xml:space="preserve"> </w:t>
      </w:r>
      <w:r w:rsidR="00AE4C3B">
        <w:rPr>
          <w:rFonts w:cstheme="minorHAnsi"/>
          <w:sz w:val="24"/>
          <w:szCs w:val="24"/>
          <w:lang w:val="el-GR"/>
        </w:rPr>
        <w:t>δεν</w:t>
      </w:r>
      <w:r w:rsidR="00AE4C3B" w:rsidRPr="00AE4C3B">
        <w:rPr>
          <w:rFonts w:cstheme="minorHAnsi"/>
          <w:sz w:val="24"/>
          <w:szCs w:val="24"/>
          <w:lang w:val="el-GR"/>
        </w:rPr>
        <w:t xml:space="preserve"> </w:t>
      </w:r>
      <w:r w:rsidR="00AE4C3B">
        <w:rPr>
          <w:rFonts w:cstheme="minorHAnsi"/>
          <w:sz w:val="24"/>
          <w:szCs w:val="24"/>
          <w:lang w:val="el-GR"/>
        </w:rPr>
        <w:t>περιλαμβάνει</w:t>
      </w:r>
      <w:r w:rsidR="00A5147D" w:rsidRPr="00AE4C3B">
        <w:rPr>
          <w:rFonts w:cstheme="minorHAnsi"/>
          <w:sz w:val="24"/>
          <w:szCs w:val="24"/>
          <w:lang w:val="el-GR"/>
        </w:rPr>
        <w:t xml:space="preserve"> </w:t>
      </w:r>
      <w:r w:rsidR="00AE4C3B">
        <w:rPr>
          <w:rFonts w:cstheme="minorHAnsi"/>
          <w:sz w:val="24"/>
          <w:szCs w:val="24"/>
          <w:lang w:val="el-GR"/>
        </w:rPr>
        <w:t>οποιαδήποτε πρόνοια που σχετίζεται με την ακεραιότητα</w:t>
      </w:r>
      <w:r w:rsidR="00A5147D" w:rsidRPr="00AE4C3B">
        <w:rPr>
          <w:rFonts w:cstheme="minorHAnsi"/>
          <w:sz w:val="24"/>
          <w:szCs w:val="24"/>
          <w:lang w:val="el-GR"/>
        </w:rPr>
        <w:t xml:space="preserve">, </w:t>
      </w:r>
      <w:r w:rsidR="00AE4C3B">
        <w:rPr>
          <w:rFonts w:cstheme="minorHAnsi"/>
          <w:sz w:val="24"/>
          <w:szCs w:val="24"/>
          <w:lang w:val="el-GR"/>
        </w:rPr>
        <w:t>εκτός από το καθήκον της εμπιστευτικότητας</w:t>
      </w:r>
      <w:r w:rsidR="00A5147D" w:rsidRPr="00AE4C3B">
        <w:rPr>
          <w:rFonts w:cstheme="minorHAnsi"/>
          <w:sz w:val="24"/>
          <w:szCs w:val="24"/>
          <w:lang w:val="el-GR"/>
        </w:rPr>
        <w:t xml:space="preserve">. </w:t>
      </w:r>
      <w:r w:rsidR="00AE4C3B">
        <w:rPr>
          <w:rFonts w:cstheme="minorHAnsi"/>
          <w:sz w:val="24"/>
          <w:szCs w:val="24"/>
          <w:lang w:val="el-GR"/>
        </w:rPr>
        <w:t>Όσο</w:t>
      </w:r>
      <w:r w:rsidR="00AE4C3B" w:rsidRPr="00AE4C3B">
        <w:rPr>
          <w:rFonts w:cstheme="minorHAnsi"/>
          <w:sz w:val="24"/>
          <w:szCs w:val="24"/>
          <w:lang w:val="el-GR"/>
        </w:rPr>
        <w:t xml:space="preserve"> </w:t>
      </w:r>
      <w:r w:rsidR="00B1778E">
        <w:rPr>
          <w:rFonts w:cstheme="minorHAnsi"/>
          <w:sz w:val="24"/>
          <w:szCs w:val="24"/>
          <w:lang w:val="el-GR"/>
        </w:rPr>
        <w:t xml:space="preserve">αφορά </w:t>
      </w:r>
      <w:r w:rsidR="00AE4C3B">
        <w:rPr>
          <w:rFonts w:cstheme="minorHAnsi"/>
          <w:sz w:val="24"/>
          <w:szCs w:val="24"/>
          <w:lang w:val="el-GR"/>
        </w:rPr>
        <w:t>τη</w:t>
      </w:r>
      <w:r w:rsidR="00AE4C3B" w:rsidRPr="00AE4C3B">
        <w:rPr>
          <w:rFonts w:cstheme="minorHAnsi"/>
          <w:sz w:val="24"/>
          <w:szCs w:val="24"/>
          <w:lang w:val="el-GR"/>
        </w:rPr>
        <w:t xml:space="preserve"> </w:t>
      </w:r>
      <w:r w:rsidR="00B1778E">
        <w:rPr>
          <w:rFonts w:cstheme="minorHAnsi"/>
          <w:sz w:val="24"/>
          <w:szCs w:val="24"/>
          <w:lang w:val="el-GR"/>
        </w:rPr>
        <w:t xml:space="preserve">δημοσίευση </w:t>
      </w:r>
      <w:r w:rsidR="00AE4C3B">
        <w:rPr>
          <w:rFonts w:cstheme="minorHAnsi"/>
          <w:sz w:val="24"/>
          <w:szCs w:val="24"/>
          <w:lang w:val="el-GR"/>
        </w:rPr>
        <w:t>των</w:t>
      </w:r>
      <w:r w:rsidR="00AE4C3B" w:rsidRPr="00AE4C3B">
        <w:rPr>
          <w:rFonts w:cstheme="minorHAnsi"/>
          <w:sz w:val="24"/>
          <w:szCs w:val="24"/>
          <w:lang w:val="el-GR"/>
        </w:rPr>
        <w:t xml:space="preserve"> </w:t>
      </w:r>
      <w:r w:rsidR="00AE4C3B">
        <w:rPr>
          <w:rFonts w:cstheme="minorHAnsi"/>
          <w:sz w:val="24"/>
          <w:szCs w:val="24"/>
          <w:lang w:val="el-GR"/>
        </w:rPr>
        <w:t>μελών</w:t>
      </w:r>
      <w:r w:rsidR="00AE4C3B" w:rsidRPr="00AE4C3B">
        <w:rPr>
          <w:rFonts w:cstheme="minorHAnsi"/>
          <w:sz w:val="24"/>
          <w:szCs w:val="24"/>
          <w:lang w:val="el-GR"/>
        </w:rPr>
        <w:t xml:space="preserve"> </w:t>
      </w:r>
      <w:r w:rsidR="00AE4C3B">
        <w:rPr>
          <w:rFonts w:cstheme="minorHAnsi"/>
          <w:sz w:val="24"/>
          <w:szCs w:val="24"/>
          <w:lang w:val="el-GR"/>
        </w:rPr>
        <w:t>των</w:t>
      </w:r>
      <w:r w:rsidR="00AE4C3B" w:rsidRPr="00AE4C3B">
        <w:rPr>
          <w:rFonts w:cstheme="minorHAnsi"/>
          <w:sz w:val="24"/>
          <w:szCs w:val="24"/>
          <w:lang w:val="el-GR"/>
        </w:rPr>
        <w:t xml:space="preserve"> </w:t>
      </w:r>
      <w:r w:rsidR="00AE4C3B">
        <w:rPr>
          <w:rFonts w:cstheme="minorHAnsi"/>
          <w:sz w:val="24"/>
          <w:szCs w:val="24"/>
          <w:lang w:val="el-GR"/>
        </w:rPr>
        <w:t>πολιτικών</w:t>
      </w:r>
      <w:r w:rsidR="00AE4C3B" w:rsidRPr="00AE4C3B">
        <w:rPr>
          <w:rFonts w:cstheme="minorHAnsi"/>
          <w:sz w:val="24"/>
          <w:szCs w:val="24"/>
          <w:lang w:val="el-GR"/>
        </w:rPr>
        <w:t xml:space="preserve"> </w:t>
      </w:r>
      <w:r w:rsidR="00AE4C3B">
        <w:rPr>
          <w:rFonts w:cstheme="minorHAnsi"/>
          <w:sz w:val="24"/>
          <w:szCs w:val="24"/>
          <w:lang w:val="el-GR"/>
        </w:rPr>
        <w:t>συμβουλίων</w:t>
      </w:r>
      <w:r w:rsidR="00A5147D" w:rsidRPr="00AE4C3B">
        <w:rPr>
          <w:rFonts w:ascii="Calibri" w:hAnsi="Calibri" w:cs="Calibri"/>
          <w:sz w:val="24"/>
          <w:szCs w:val="24"/>
          <w:lang w:val="el-GR" w:eastAsia="fr-FR"/>
        </w:rPr>
        <w:t xml:space="preserve">, </w:t>
      </w:r>
      <w:r w:rsidR="00AE4C3B">
        <w:rPr>
          <w:rFonts w:ascii="Calibri" w:hAnsi="Calibri" w:cs="Calibri"/>
          <w:sz w:val="24"/>
          <w:szCs w:val="24"/>
          <w:lang w:val="el-GR" w:eastAsia="fr-FR"/>
        </w:rPr>
        <w:t>δεν</w:t>
      </w:r>
      <w:r w:rsidR="00AE4C3B" w:rsidRPr="00AE4C3B">
        <w:rPr>
          <w:rFonts w:ascii="Calibri" w:hAnsi="Calibri" w:cs="Calibri"/>
          <w:sz w:val="24"/>
          <w:szCs w:val="24"/>
          <w:lang w:val="el-GR" w:eastAsia="fr-FR"/>
        </w:rPr>
        <w:t xml:space="preserve"> </w:t>
      </w:r>
      <w:r w:rsidR="00AE4C3B">
        <w:rPr>
          <w:rFonts w:ascii="Calibri" w:hAnsi="Calibri" w:cs="Calibri"/>
          <w:sz w:val="24"/>
          <w:szCs w:val="24"/>
          <w:lang w:val="el-GR" w:eastAsia="fr-FR"/>
        </w:rPr>
        <w:t>είναι</w:t>
      </w:r>
      <w:r w:rsidR="00AE4C3B" w:rsidRPr="00AE4C3B">
        <w:rPr>
          <w:rFonts w:ascii="Calibri" w:hAnsi="Calibri" w:cs="Calibri"/>
          <w:sz w:val="24"/>
          <w:szCs w:val="24"/>
          <w:lang w:val="el-GR" w:eastAsia="fr-FR"/>
        </w:rPr>
        <w:t xml:space="preserve"> </w:t>
      </w:r>
      <w:r w:rsidR="00AE4C3B">
        <w:rPr>
          <w:rFonts w:ascii="Calibri" w:hAnsi="Calibri" w:cs="Calibri"/>
          <w:sz w:val="24"/>
          <w:szCs w:val="24"/>
          <w:lang w:val="el-GR" w:eastAsia="fr-FR"/>
        </w:rPr>
        <w:t xml:space="preserve">εύκολο για το </w:t>
      </w:r>
      <w:r w:rsidR="00B1778E">
        <w:rPr>
          <w:rFonts w:ascii="Calibri" w:hAnsi="Calibri" w:cs="Calibri"/>
          <w:sz w:val="24"/>
          <w:szCs w:val="24"/>
          <w:lang w:val="el-GR" w:eastAsia="fr-FR"/>
        </w:rPr>
        <w:t xml:space="preserve">ευρύ </w:t>
      </w:r>
      <w:r w:rsidR="00AE4C3B">
        <w:rPr>
          <w:rFonts w:ascii="Calibri" w:hAnsi="Calibri" w:cs="Calibri"/>
          <w:sz w:val="24"/>
          <w:szCs w:val="24"/>
          <w:lang w:val="el-GR" w:eastAsia="fr-FR"/>
        </w:rPr>
        <w:t>κοινό</w:t>
      </w:r>
      <w:r w:rsidR="00A5147D" w:rsidRPr="00AE4C3B">
        <w:rPr>
          <w:rFonts w:ascii="Calibri" w:hAnsi="Calibri" w:cs="Calibri"/>
          <w:sz w:val="24"/>
          <w:szCs w:val="24"/>
          <w:lang w:val="el-GR" w:eastAsia="fr-FR"/>
        </w:rPr>
        <w:t xml:space="preserve"> </w:t>
      </w:r>
      <w:r w:rsidR="00AE4C3B">
        <w:rPr>
          <w:rFonts w:ascii="Calibri" w:hAnsi="Calibri" w:cs="Calibri"/>
          <w:sz w:val="24"/>
          <w:szCs w:val="24"/>
          <w:lang w:val="el-GR" w:eastAsia="fr-FR"/>
        </w:rPr>
        <w:t>να αποκτήσ</w:t>
      </w:r>
      <w:r w:rsidR="00B1778E">
        <w:rPr>
          <w:rFonts w:ascii="Calibri" w:hAnsi="Calibri" w:cs="Calibri"/>
          <w:sz w:val="24"/>
          <w:szCs w:val="24"/>
          <w:lang w:val="el-GR" w:eastAsia="fr-FR"/>
        </w:rPr>
        <w:t>ει</w:t>
      </w:r>
      <w:r w:rsidR="00AE4C3B">
        <w:rPr>
          <w:rFonts w:ascii="Calibri" w:hAnsi="Calibri" w:cs="Calibri"/>
          <w:sz w:val="24"/>
          <w:szCs w:val="24"/>
          <w:lang w:val="el-GR" w:eastAsia="fr-FR"/>
        </w:rPr>
        <w:t xml:space="preserve"> μια ολιστική </w:t>
      </w:r>
      <w:r w:rsidR="00B1778E">
        <w:rPr>
          <w:rFonts w:ascii="Calibri" w:hAnsi="Calibri" w:cs="Calibri"/>
          <w:sz w:val="24"/>
          <w:szCs w:val="24"/>
          <w:lang w:val="el-GR" w:eastAsia="fr-FR"/>
        </w:rPr>
        <w:t xml:space="preserve">εικόνα </w:t>
      </w:r>
      <w:r w:rsidR="00AE4C3B">
        <w:rPr>
          <w:rFonts w:ascii="Calibri" w:hAnsi="Calibri" w:cs="Calibri"/>
          <w:sz w:val="24"/>
          <w:szCs w:val="24"/>
          <w:lang w:val="el-GR" w:eastAsia="fr-FR"/>
        </w:rPr>
        <w:t xml:space="preserve">των αριθμών τους και του συγκεκριμένου </w:t>
      </w:r>
      <w:r w:rsidR="00124209">
        <w:rPr>
          <w:rFonts w:ascii="Calibri" w:hAnsi="Calibri" w:cs="Calibri"/>
          <w:sz w:val="24"/>
          <w:szCs w:val="24"/>
          <w:lang w:val="el-GR" w:eastAsia="fr-FR"/>
        </w:rPr>
        <w:t>χαρτοφυλακίου</w:t>
      </w:r>
      <w:r w:rsidR="00B1778E">
        <w:rPr>
          <w:rFonts w:ascii="Calibri" w:hAnsi="Calibri" w:cs="Calibri"/>
          <w:sz w:val="24"/>
          <w:szCs w:val="24"/>
          <w:lang w:val="el-GR" w:eastAsia="fr-FR"/>
        </w:rPr>
        <w:t xml:space="preserve"> τους</w:t>
      </w:r>
      <w:r w:rsidR="00A5147D" w:rsidRPr="00AE4C3B">
        <w:rPr>
          <w:rFonts w:ascii="Calibri" w:hAnsi="Calibri" w:cs="Calibri"/>
          <w:sz w:val="24"/>
          <w:szCs w:val="24"/>
          <w:lang w:val="el-GR" w:eastAsia="fr-FR"/>
        </w:rPr>
        <w:t xml:space="preserve">. </w:t>
      </w:r>
      <w:r w:rsidR="00AE4C3B">
        <w:rPr>
          <w:rFonts w:ascii="Calibri" w:hAnsi="Calibri" w:cs="Calibri"/>
          <w:sz w:val="24"/>
          <w:szCs w:val="24"/>
          <w:lang w:val="el-GR" w:eastAsia="fr-FR"/>
        </w:rPr>
        <w:t>Μόνο</w:t>
      </w:r>
      <w:r w:rsidR="00AE4C3B" w:rsidRPr="00035C8D">
        <w:rPr>
          <w:rFonts w:ascii="Calibri" w:hAnsi="Calibri" w:cs="Calibri"/>
          <w:sz w:val="24"/>
          <w:szCs w:val="24"/>
          <w:lang w:val="el-GR" w:eastAsia="fr-FR"/>
        </w:rPr>
        <w:t xml:space="preserve"> </w:t>
      </w:r>
      <w:r w:rsidR="00AE4C3B">
        <w:rPr>
          <w:rFonts w:ascii="Calibri" w:hAnsi="Calibri" w:cs="Calibri"/>
          <w:sz w:val="24"/>
          <w:szCs w:val="24"/>
          <w:lang w:val="el-GR" w:eastAsia="fr-FR"/>
        </w:rPr>
        <w:t>το</w:t>
      </w:r>
      <w:r w:rsidR="00AE4C3B" w:rsidRPr="00035C8D">
        <w:rPr>
          <w:rFonts w:ascii="Calibri" w:hAnsi="Calibri" w:cs="Calibri"/>
          <w:sz w:val="24"/>
          <w:szCs w:val="24"/>
          <w:lang w:val="el-GR" w:eastAsia="fr-FR"/>
        </w:rPr>
        <w:t xml:space="preserve"> </w:t>
      </w:r>
      <w:r w:rsidR="00AE4C3B">
        <w:rPr>
          <w:rFonts w:ascii="Calibri" w:hAnsi="Calibri" w:cs="Calibri"/>
          <w:sz w:val="24"/>
          <w:szCs w:val="24"/>
          <w:lang w:val="el-GR" w:eastAsia="fr-FR"/>
        </w:rPr>
        <w:t>εύρος</w:t>
      </w:r>
      <w:r w:rsidR="00AE4C3B" w:rsidRPr="00035C8D">
        <w:rPr>
          <w:rFonts w:ascii="Calibri" w:hAnsi="Calibri" w:cs="Calibri"/>
          <w:sz w:val="24"/>
          <w:szCs w:val="24"/>
          <w:lang w:val="el-GR" w:eastAsia="fr-FR"/>
        </w:rPr>
        <w:t xml:space="preserve"> </w:t>
      </w:r>
      <w:r w:rsidR="00AE4C3B">
        <w:rPr>
          <w:rFonts w:ascii="Calibri" w:hAnsi="Calibri" w:cs="Calibri"/>
          <w:sz w:val="24"/>
          <w:szCs w:val="24"/>
          <w:lang w:val="el-GR" w:eastAsia="fr-FR"/>
        </w:rPr>
        <w:t>των</w:t>
      </w:r>
      <w:r w:rsidR="00AE4C3B" w:rsidRPr="00035C8D">
        <w:rPr>
          <w:rFonts w:ascii="Calibri" w:hAnsi="Calibri" w:cs="Calibri"/>
          <w:sz w:val="24"/>
          <w:szCs w:val="24"/>
          <w:lang w:val="el-GR" w:eastAsia="fr-FR"/>
        </w:rPr>
        <w:t xml:space="preserve"> </w:t>
      </w:r>
      <w:r w:rsidR="00AE4C3B">
        <w:rPr>
          <w:rFonts w:ascii="Calibri" w:hAnsi="Calibri" w:cs="Calibri"/>
          <w:sz w:val="24"/>
          <w:szCs w:val="24"/>
          <w:lang w:val="el-GR" w:eastAsia="fr-FR"/>
        </w:rPr>
        <w:t>μισθών</w:t>
      </w:r>
      <w:r w:rsidR="00A5147D" w:rsidRPr="00035C8D">
        <w:rPr>
          <w:rFonts w:ascii="Calibri" w:hAnsi="Calibri" w:cs="Calibri"/>
          <w:sz w:val="24"/>
          <w:szCs w:val="24"/>
          <w:lang w:val="el-GR" w:eastAsia="fr-FR"/>
        </w:rPr>
        <w:t xml:space="preserve"> </w:t>
      </w:r>
      <w:r w:rsidR="00B1778E">
        <w:rPr>
          <w:rFonts w:ascii="Calibri" w:hAnsi="Calibri" w:cs="Calibri"/>
          <w:sz w:val="24"/>
          <w:szCs w:val="24"/>
          <w:lang w:val="el-GR" w:eastAsia="fr-FR"/>
        </w:rPr>
        <w:t xml:space="preserve">ανά </w:t>
      </w:r>
      <w:r w:rsidR="00AE4C3B">
        <w:rPr>
          <w:rFonts w:ascii="Calibri" w:hAnsi="Calibri" w:cs="Calibri"/>
          <w:sz w:val="24"/>
          <w:szCs w:val="24"/>
          <w:lang w:val="el-GR" w:eastAsia="fr-FR"/>
        </w:rPr>
        <w:t>κατηγορία</w:t>
      </w:r>
      <w:r w:rsidR="00AE4C3B" w:rsidRPr="00035C8D">
        <w:rPr>
          <w:rFonts w:ascii="Calibri" w:hAnsi="Calibri" w:cs="Calibri"/>
          <w:sz w:val="24"/>
          <w:szCs w:val="24"/>
          <w:lang w:val="el-GR" w:eastAsia="fr-FR"/>
        </w:rPr>
        <w:t xml:space="preserve"> </w:t>
      </w:r>
      <w:r w:rsidR="00AE4C3B">
        <w:rPr>
          <w:rFonts w:ascii="Calibri" w:hAnsi="Calibri" w:cs="Calibri"/>
          <w:sz w:val="24"/>
          <w:szCs w:val="24"/>
          <w:lang w:val="el-GR" w:eastAsia="fr-FR"/>
        </w:rPr>
        <w:t>είναι</w:t>
      </w:r>
      <w:r w:rsidR="00AE4C3B" w:rsidRPr="00035C8D">
        <w:rPr>
          <w:rFonts w:ascii="Calibri" w:hAnsi="Calibri" w:cs="Calibri"/>
          <w:sz w:val="24"/>
          <w:szCs w:val="24"/>
          <w:lang w:val="el-GR" w:eastAsia="fr-FR"/>
        </w:rPr>
        <w:t xml:space="preserve"> </w:t>
      </w:r>
      <w:r w:rsidR="00B1778E">
        <w:rPr>
          <w:rFonts w:ascii="Calibri" w:hAnsi="Calibri" w:cs="Calibri"/>
          <w:sz w:val="24"/>
          <w:szCs w:val="24"/>
          <w:lang w:val="el-GR" w:eastAsia="fr-FR"/>
        </w:rPr>
        <w:t>δημοσιευμένο</w:t>
      </w:r>
      <w:r w:rsidR="00A5147D" w:rsidRPr="00035C8D">
        <w:rPr>
          <w:rFonts w:ascii="Calibri" w:hAnsi="Calibri" w:cs="Calibri"/>
          <w:sz w:val="24"/>
          <w:szCs w:val="24"/>
          <w:lang w:val="el-GR" w:eastAsia="fr-FR"/>
        </w:rPr>
        <w:t xml:space="preserve">. </w:t>
      </w:r>
      <w:r w:rsidR="00AE4C3B">
        <w:rPr>
          <w:rFonts w:ascii="Calibri" w:hAnsi="Calibri" w:cs="Calibri"/>
          <w:sz w:val="24"/>
          <w:szCs w:val="24"/>
          <w:lang w:val="el-GR" w:eastAsia="fr-FR"/>
        </w:rPr>
        <w:t>Οι</w:t>
      </w:r>
      <w:r w:rsidR="00AE4C3B" w:rsidRPr="00AE4C3B">
        <w:rPr>
          <w:rFonts w:ascii="Calibri" w:hAnsi="Calibri" w:cs="Calibri"/>
          <w:sz w:val="24"/>
          <w:szCs w:val="24"/>
          <w:lang w:val="el-GR" w:eastAsia="fr-FR"/>
        </w:rPr>
        <w:t xml:space="preserve"> </w:t>
      </w:r>
      <w:r w:rsidR="00B1778E">
        <w:rPr>
          <w:rFonts w:ascii="Calibri" w:hAnsi="Calibri" w:cs="Calibri"/>
          <w:sz w:val="24"/>
          <w:szCs w:val="24"/>
          <w:lang w:val="el-GR" w:eastAsia="fr-FR"/>
        </w:rPr>
        <w:t xml:space="preserve">δευτερεύουσες </w:t>
      </w:r>
      <w:r w:rsidR="00AE4C3B">
        <w:rPr>
          <w:rFonts w:ascii="Calibri" w:hAnsi="Calibri" w:cs="Calibri"/>
          <w:sz w:val="24"/>
          <w:szCs w:val="24"/>
          <w:lang w:val="el-GR" w:eastAsia="fr-FR"/>
        </w:rPr>
        <w:t>δραστηριότητες</w:t>
      </w:r>
      <w:r w:rsidR="00A5147D" w:rsidRPr="00AE4C3B">
        <w:rPr>
          <w:rFonts w:ascii="Calibri" w:hAnsi="Calibri" w:cs="Calibri"/>
          <w:sz w:val="24"/>
          <w:szCs w:val="24"/>
          <w:lang w:val="el-GR" w:eastAsia="fr-FR"/>
        </w:rPr>
        <w:t xml:space="preserve"> </w:t>
      </w:r>
      <w:r w:rsidR="00AE4C3B">
        <w:rPr>
          <w:rFonts w:ascii="Calibri" w:hAnsi="Calibri" w:cs="Calibri"/>
          <w:sz w:val="24"/>
          <w:szCs w:val="24"/>
          <w:lang w:val="el-GR" w:eastAsia="fr-FR"/>
        </w:rPr>
        <w:t>των</w:t>
      </w:r>
      <w:r w:rsidR="00AE4C3B" w:rsidRPr="00AE4C3B">
        <w:rPr>
          <w:rFonts w:ascii="Calibri" w:hAnsi="Calibri" w:cs="Calibri"/>
          <w:sz w:val="24"/>
          <w:szCs w:val="24"/>
          <w:lang w:val="el-GR" w:eastAsia="fr-FR"/>
        </w:rPr>
        <w:t xml:space="preserve"> </w:t>
      </w:r>
      <w:r w:rsidR="00AE4C3B">
        <w:rPr>
          <w:rFonts w:ascii="Calibri" w:hAnsi="Calibri" w:cs="Calibri"/>
          <w:sz w:val="24"/>
          <w:szCs w:val="24"/>
          <w:lang w:val="el-GR" w:eastAsia="fr-FR"/>
        </w:rPr>
        <w:t>μελών</w:t>
      </w:r>
      <w:r w:rsidR="00AE4C3B" w:rsidRPr="00AE4C3B">
        <w:rPr>
          <w:rFonts w:ascii="Calibri" w:hAnsi="Calibri" w:cs="Calibri"/>
          <w:sz w:val="24"/>
          <w:szCs w:val="24"/>
          <w:lang w:val="el-GR" w:eastAsia="fr-FR"/>
        </w:rPr>
        <w:t xml:space="preserve"> </w:t>
      </w:r>
      <w:r w:rsidR="00AE4C3B">
        <w:rPr>
          <w:rFonts w:ascii="Calibri" w:hAnsi="Calibri" w:cs="Calibri"/>
          <w:sz w:val="24"/>
          <w:szCs w:val="24"/>
          <w:lang w:val="el-GR" w:eastAsia="fr-FR"/>
        </w:rPr>
        <w:t>του</w:t>
      </w:r>
      <w:r w:rsidR="00AE4C3B" w:rsidRPr="00AE4C3B">
        <w:rPr>
          <w:rFonts w:ascii="Calibri" w:hAnsi="Calibri" w:cs="Calibri"/>
          <w:sz w:val="24"/>
          <w:szCs w:val="24"/>
          <w:lang w:val="el-GR" w:eastAsia="fr-FR"/>
        </w:rPr>
        <w:t xml:space="preserve"> </w:t>
      </w:r>
      <w:r w:rsidR="008D35D6">
        <w:rPr>
          <w:rFonts w:ascii="Calibri" w:hAnsi="Calibri" w:cs="Calibri"/>
          <w:sz w:val="24"/>
          <w:szCs w:val="24"/>
          <w:lang w:val="el-GR" w:eastAsia="fr-FR"/>
        </w:rPr>
        <w:t>Υ</w:t>
      </w:r>
      <w:r w:rsidR="00AE4C3B">
        <w:rPr>
          <w:rFonts w:ascii="Calibri" w:hAnsi="Calibri" w:cs="Calibri"/>
          <w:sz w:val="24"/>
          <w:szCs w:val="24"/>
          <w:lang w:val="el-GR" w:eastAsia="fr-FR"/>
        </w:rPr>
        <w:t>πουργικού</w:t>
      </w:r>
      <w:r w:rsidR="00AE4C3B" w:rsidRPr="00AE4C3B">
        <w:rPr>
          <w:rFonts w:ascii="Calibri" w:hAnsi="Calibri" w:cs="Calibri"/>
          <w:sz w:val="24"/>
          <w:szCs w:val="24"/>
          <w:lang w:val="el-GR" w:eastAsia="fr-FR"/>
        </w:rPr>
        <w:t xml:space="preserve"> </w:t>
      </w:r>
      <w:r w:rsidR="008D35D6">
        <w:rPr>
          <w:rFonts w:ascii="Calibri" w:hAnsi="Calibri" w:cs="Calibri"/>
          <w:sz w:val="24"/>
          <w:szCs w:val="24"/>
          <w:lang w:val="el-GR" w:eastAsia="fr-FR"/>
        </w:rPr>
        <w:t>Σ</w:t>
      </w:r>
      <w:r w:rsidR="00AE4C3B">
        <w:rPr>
          <w:rFonts w:ascii="Calibri" w:hAnsi="Calibri" w:cs="Calibri"/>
          <w:sz w:val="24"/>
          <w:szCs w:val="24"/>
          <w:lang w:val="el-GR" w:eastAsia="fr-FR"/>
        </w:rPr>
        <w:t>υμβουλίου</w:t>
      </w:r>
      <w:r w:rsidR="00A5147D" w:rsidRPr="00AE4C3B">
        <w:rPr>
          <w:rFonts w:ascii="Calibri" w:hAnsi="Calibri" w:cs="Calibri"/>
          <w:sz w:val="24"/>
          <w:szCs w:val="24"/>
          <w:lang w:val="el-GR" w:eastAsia="fr-FR"/>
        </w:rPr>
        <w:t xml:space="preserve"> (</w:t>
      </w:r>
      <w:r w:rsidR="00AE4C3B">
        <w:rPr>
          <w:rFonts w:ascii="Calibri" w:hAnsi="Calibri" w:cs="Calibri"/>
          <w:sz w:val="24"/>
          <w:szCs w:val="24"/>
          <w:lang w:val="el-GR" w:eastAsia="fr-FR"/>
        </w:rPr>
        <w:t>όταν</w:t>
      </w:r>
      <w:r w:rsidR="00AE4C3B" w:rsidRPr="00AE4C3B">
        <w:rPr>
          <w:rFonts w:ascii="Calibri" w:hAnsi="Calibri" w:cs="Calibri"/>
          <w:sz w:val="24"/>
          <w:szCs w:val="24"/>
          <w:lang w:val="el-GR" w:eastAsia="fr-FR"/>
        </w:rPr>
        <w:t xml:space="preserve"> </w:t>
      </w:r>
      <w:r w:rsidR="00AE4C3B">
        <w:rPr>
          <w:rFonts w:ascii="Calibri" w:hAnsi="Calibri" w:cs="Calibri"/>
          <w:sz w:val="24"/>
          <w:szCs w:val="24"/>
          <w:lang w:val="el-GR" w:eastAsia="fr-FR"/>
        </w:rPr>
        <w:t>εμπλέκονται σε τέτοιες δραστηριότητες</w:t>
      </w:r>
      <w:r w:rsidR="00A5147D" w:rsidRPr="00AE4C3B">
        <w:rPr>
          <w:rFonts w:ascii="Calibri" w:hAnsi="Calibri" w:cs="Calibri"/>
          <w:sz w:val="24"/>
          <w:szCs w:val="24"/>
          <w:lang w:val="el-GR" w:eastAsia="fr-FR"/>
        </w:rPr>
        <w:t xml:space="preserve">) </w:t>
      </w:r>
      <w:r w:rsidR="00AE4C3B">
        <w:rPr>
          <w:rFonts w:ascii="Calibri" w:hAnsi="Calibri" w:cs="Calibri"/>
          <w:sz w:val="24"/>
          <w:szCs w:val="24"/>
          <w:lang w:val="el-GR" w:eastAsia="fr-FR"/>
        </w:rPr>
        <w:t>δεν αποκαλύπτονται στο κοινό</w:t>
      </w:r>
      <w:r w:rsidR="00A5147D" w:rsidRPr="00AE4C3B">
        <w:rPr>
          <w:rFonts w:ascii="Calibri" w:hAnsi="Calibri" w:cs="Calibri"/>
          <w:sz w:val="24"/>
          <w:szCs w:val="24"/>
          <w:lang w:val="el-GR" w:eastAsia="fr-FR"/>
        </w:rPr>
        <w:t xml:space="preserve">. </w:t>
      </w:r>
      <w:r w:rsidR="00035C8D">
        <w:rPr>
          <w:rFonts w:ascii="Calibri" w:hAnsi="Calibri" w:cs="Calibri"/>
          <w:sz w:val="24"/>
          <w:szCs w:val="24"/>
          <w:lang w:val="el-GR" w:eastAsia="fr-FR"/>
        </w:rPr>
        <w:t>Είναι</w:t>
      </w:r>
      <w:r w:rsidR="00035C8D" w:rsidRPr="00035C8D">
        <w:rPr>
          <w:rFonts w:ascii="Calibri" w:hAnsi="Calibri" w:cs="Calibri"/>
          <w:sz w:val="24"/>
          <w:szCs w:val="24"/>
          <w:lang w:val="el-GR" w:eastAsia="fr-FR"/>
        </w:rPr>
        <w:t xml:space="preserve"> </w:t>
      </w:r>
      <w:r w:rsidR="00035C8D">
        <w:rPr>
          <w:rFonts w:ascii="Calibri" w:hAnsi="Calibri" w:cs="Calibri"/>
          <w:sz w:val="24"/>
          <w:szCs w:val="24"/>
          <w:lang w:val="el-GR" w:eastAsia="fr-FR"/>
        </w:rPr>
        <w:t>απαραίτητο</w:t>
      </w:r>
      <w:r w:rsidR="00035C8D" w:rsidRPr="00035C8D">
        <w:rPr>
          <w:rFonts w:ascii="Calibri" w:hAnsi="Calibri" w:cs="Calibri"/>
          <w:sz w:val="24"/>
          <w:szCs w:val="24"/>
          <w:lang w:val="el-GR" w:eastAsia="fr-FR"/>
        </w:rPr>
        <w:t xml:space="preserve"> </w:t>
      </w:r>
      <w:r w:rsidR="00035C8D">
        <w:rPr>
          <w:rFonts w:ascii="Calibri" w:hAnsi="Calibri" w:cs="Calibri"/>
          <w:sz w:val="24"/>
          <w:szCs w:val="24"/>
          <w:lang w:val="el-GR" w:eastAsia="fr-FR"/>
        </w:rPr>
        <w:t>όλοι</w:t>
      </w:r>
      <w:r w:rsidR="00035C8D" w:rsidRPr="00035C8D">
        <w:rPr>
          <w:rFonts w:ascii="Calibri" w:hAnsi="Calibri" w:cs="Calibri"/>
          <w:sz w:val="24"/>
          <w:szCs w:val="24"/>
          <w:lang w:val="el-GR" w:eastAsia="fr-FR"/>
        </w:rPr>
        <w:t xml:space="preserve"> </w:t>
      </w:r>
      <w:r w:rsidR="00035C8D">
        <w:rPr>
          <w:rFonts w:ascii="Calibri" w:hAnsi="Calibri" w:cs="Calibri"/>
          <w:sz w:val="24"/>
          <w:szCs w:val="24"/>
          <w:lang w:val="el-GR" w:eastAsia="fr-FR"/>
        </w:rPr>
        <w:t>οι</w:t>
      </w:r>
      <w:r w:rsidR="00A5147D" w:rsidRPr="00035C8D">
        <w:rPr>
          <w:rFonts w:ascii="Calibri" w:hAnsi="Calibri" w:cs="Calibri"/>
          <w:sz w:val="24"/>
          <w:szCs w:val="24"/>
          <w:lang w:val="el-GR" w:eastAsia="fr-FR"/>
        </w:rPr>
        <w:t xml:space="preserve"> </w:t>
      </w:r>
      <w:r w:rsidR="00A5147D" w:rsidRPr="004E251E">
        <w:rPr>
          <w:rFonts w:ascii="Calibri" w:hAnsi="Calibri" w:cs="Calibri"/>
          <w:sz w:val="24"/>
          <w:szCs w:val="24"/>
          <w:lang w:eastAsia="fr-FR"/>
        </w:rPr>
        <w:t>PTEF</w:t>
      </w:r>
      <w:r w:rsidR="00B1778E">
        <w:rPr>
          <w:rFonts w:ascii="Calibri" w:hAnsi="Calibri" w:cs="Calibri"/>
          <w:sz w:val="24"/>
          <w:szCs w:val="24"/>
          <w:lang w:val="en-US" w:eastAsia="fr-FR"/>
        </w:rPr>
        <w:t>s</w:t>
      </w:r>
      <w:r w:rsidR="00A5147D" w:rsidRPr="00035C8D">
        <w:rPr>
          <w:rFonts w:ascii="Calibri" w:hAnsi="Calibri" w:cs="Calibri"/>
          <w:sz w:val="24"/>
          <w:szCs w:val="24"/>
          <w:lang w:val="el-GR" w:eastAsia="fr-FR"/>
        </w:rPr>
        <w:t xml:space="preserve"> </w:t>
      </w:r>
      <w:r w:rsidR="00035C8D">
        <w:rPr>
          <w:rFonts w:ascii="Calibri" w:hAnsi="Calibri" w:cs="Calibri"/>
          <w:sz w:val="24"/>
          <w:szCs w:val="24"/>
          <w:lang w:val="el-GR" w:eastAsia="fr-FR"/>
        </w:rPr>
        <w:t>να</w:t>
      </w:r>
      <w:r w:rsidR="00035C8D" w:rsidRPr="00035C8D">
        <w:rPr>
          <w:rFonts w:ascii="Calibri" w:hAnsi="Calibri" w:cs="Calibri"/>
          <w:sz w:val="24"/>
          <w:szCs w:val="24"/>
          <w:lang w:val="el-GR" w:eastAsia="fr-FR"/>
        </w:rPr>
        <w:t xml:space="preserve"> </w:t>
      </w:r>
      <w:r w:rsidR="00B1778E">
        <w:rPr>
          <w:rFonts w:ascii="Calibri" w:hAnsi="Calibri" w:cs="Calibri"/>
          <w:sz w:val="24"/>
          <w:szCs w:val="24"/>
          <w:lang w:val="el-GR" w:eastAsia="fr-FR"/>
        </w:rPr>
        <w:t xml:space="preserve">τηρούν τα </w:t>
      </w:r>
      <w:r w:rsidR="00E366A0">
        <w:rPr>
          <w:rFonts w:ascii="Calibri" w:hAnsi="Calibri" w:cs="Calibri"/>
          <w:sz w:val="24"/>
          <w:szCs w:val="24"/>
          <w:lang w:val="el-GR" w:eastAsia="fr-FR"/>
        </w:rPr>
        <w:t xml:space="preserve">πιο ψηλά </w:t>
      </w:r>
      <w:r w:rsidR="00035C8D">
        <w:rPr>
          <w:rFonts w:ascii="Calibri" w:hAnsi="Calibri" w:cs="Calibri"/>
          <w:sz w:val="24"/>
          <w:szCs w:val="24"/>
          <w:lang w:val="el-GR" w:eastAsia="fr-FR"/>
        </w:rPr>
        <w:t>πρότυπα</w:t>
      </w:r>
      <w:r w:rsidR="00035C8D" w:rsidRPr="00035C8D">
        <w:rPr>
          <w:rFonts w:ascii="Calibri" w:hAnsi="Calibri" w:cs="Calibri"/>
          <w:sz w:val="24"/>
          <w:szCs w:val="24"/>
          <w:lang w:val="el-GR" w:eastAsia="fr-FR"/>
        </w:rPr>
        <w:t xml:space="preserve"> </w:t>
      </w:r>
      <w:r w:rsidR="00035C8D">
        <w:rPr>
          <w:rFonts w:ascii="Calibri" w:hAnsi="Calibri" w:cs="Calibri"/>
          <w:sz w:val="24"/>
          <w:szCs w:val="24"/>
          <w:lang w:val="el-GR" w:eastAsia="fr-FR"/>
        </w:rPr>
        <w:t>διαφάνειας</w:t>
      </w:r>
      <w:r w:rsidR="00A5147D" w:rsidRPr="00035C8D">
        <w:rPr>
          <w:rFonts w:ascii="Calibri" w:hAnsi="Calibri" w:cs="Calibri"/>
          <w:sz w:val="24"/>
          <w:szCs w:val="24"/>
          <w:lang w:val="el-GR" w:eastAsia="fr-FR"/>
        </w:rPr>
        <w:t xml:space="preserve">, </w:t>
      </w:r>
      <w:r w:rsidR="00035C8D">
        <w:rPr>
          <w:rFonts w:ascii="Calibri" w:hAnsi="Calibri" w:cs="Calibri"/>
          <w:sz w:val="24"/>
          <w:szCs w:val="24"/>
          <w:lang w:val="el-GR" w:eastAsia="fr-FR"/>
        </w:rPr>
        <w:t>ακεραιότητας</w:t>
      </w:r>
      <w:r w:rsidR="00A5147D" w:rsidRPr="00035C8D">
        <w:rPr>
          <w:rFonts w:ascii="Calibri" w:hAnsi="Calibri" w:cs="Calibri"/>
          <w:sz w:val="24"/>
          <w:szCs w:val="24"/>
          <w:lang w:val="el-GR" w:eastAsia="fr-FR"/>
        </w:rPr>
        <w:t xml:space="preserve">, </w:t>
      </w:r>
      <w:r w:rsidR="00035C8D">
        <w:rPr>
          <w:rFonts w:ascii="Calibri" w:hAnsi="Calibri" w:cs="Calibri"/>
          <w:sz w:val="24"/>
          <w:szCs w:val="24"/>
          <w:lang w:val="el-GR" w:eastAsia="fr-FR"/>
        </w:rPr>
        <w:t>και</w:t>
      </w:r>
      <w:r w:rsidR="00A5147D" w:rsidRPr="00035C8D">
        <w:rPr>
          <w:rFonts w:ascii="Calibri" w:hAnsi="Calibri" w:cs="Calibri"/>
          <w:sz w:val="24"/>
          <w:szCs w:val="24"/>
          <w:lang w:val="el-GR" w:eastAsia="fr-FR"/>
        </w:rPr>
        <w:t xml:space="preserve"> </w:t>
      </w:r>
      <w:r w:rsidR="00035C8D">
        <w:rPr>
          <w:rFonts w:ascii="Calibri" w:hAnsi="Calibri" w:cs="Calibri"/>
          <w:sz w:val="24"/>
          <w:szCs w:val="24"/>
          <w:lang w:val="el-GR" w:eastAsia="fr-FR"/>
        </w:rPr>
        <w:t>λογοδοσίας</w:t>
      </w:r>
      <w:r w:rsidR="00A5147D" w:rsidRPr="00035C8D">
        <w:rPr>
          <w:rFonts w:ascii="Calibri" w:hAnsi="Calibri" w:cs="Calibri"/>
          <w:sz w:val="24"/>
          <w:szCs w:val="24"/>
          <w:lang w:val="el-GR" w:eastAsia="fr-FR"/>
        </w:rPr>
        <w:t xml:space="preserve">. </w:t>
      </w:r>
      <w:r w:rsidR="00035C8D">
        <w:rPr>
          <w:rFonts w:ascii="Calibri" w:hAnsi="Calibri" w:cs="Calibri"/>
          <w:sz w:val="24"/>
          <w:szCs w:val="24"/>
          <w:lang w:val="el-GR" w:eastAsia="fr-FR"/>
        </w:rPr>
        <w:t xml:space="preserve"> </w:t>
      </w:r>
      <w:r w:rsidR="00035C8D" w:rsidRPr="00035C8D">
        <w:rPr>
          <w:rFonts w:ascii="Calibri" w:hAnsi="Calibri" w:cs="Calibri"/>
          <w:b/>
          <w:sz w:val="24"/>
          <w:szCs w:val="24"/>
          <w:lang w:val="el-GR" w:eastAsia="fr-FR"/>
        </w:rPr>
        <w:t xml:space="preserve">Η </w:t>
      </w:r>
      <w:r w:rsidR="00A5147D" w:rsidRPr="004E251E">
        <w:rPr>
          <w:rFonts w:ascii="Calibri" w:hAnsi="Calibri" w:cs="Calibri"/>
          <w:b/>
          <w:bCs/>
          <w:sz w:val="24"/>
          <w:szCs w:val="24"/>
          <w:lang w:eastAsia="fr-FR"/>
        </w:rPr>
        <w:t>GRECO</w:t>
      </w:r>
      <w:r w:rsidR="00A5147D" w:rsidRPr="00035C8D">
        <w:rPr>
          <w:rFonts w:ascii="Calibri" w:hAnsi="Calibri" w:cs="Calibri"/>
          <w:b/>
          <w:bCs/>
          <w:sz w:val="24"/>
          <w:szCs w:val="24"/>
          <w:lang w:val="el-GR" w:eastAsia="fr-FR"/>
        </w:rPr>
        <w:t xml:space="preserve"> </w:t>
      </w:r>
      <w:r w:rsidR="001B09F4">
        <w:rPr>
          <w:rFonts w:ascii="Calibri" w:hAnsi="Calibri" w:cs="Calibri"/>
          <w:b/>
          <w:bCs/>
          <w:sz w:val="24"/>
          <w:szCs w:val="24"/>
          <w:lang w:val="el-GR" w:eastAsia="fr-FR"/>
        </w:rPr>
        <w:t>συνιστά</w:t>
      </w:r>
      <w:r w:rsidR="00035C8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ότι</w:t>
      </w:r>
      <w:r w:rsidR="00A5147D" w:rsidRPr="00035C8D">
        <w:rPr>
          <w:rFonts w:ascii="Calibri" w:hAnsi="Calibri" w:cs="Calibri"/>
          <w:b/>
          <w:bCs/>
          <w:sz w:val="24"/>
          <w:szCs w:val="24"/>
          <w:lang w:val="el-GR" w:eastAsia="fr-FR"/>
        </w:rPr>
        <w:t xml:space="preserve"> (</w:t>
      </w:r>
      <w:proofErr w:type="spellStart"/>
      <w:r w:rsidR="00A5147D" w:rsidRPr="004E251E">
        <w:rPr>
          <w:rFonts w:ascii="Calibri" w:hAnsi="Calibri" w:cs="Calibri"/>
          <w:b/>
          <w:bCs/>
          <w:sz w:val="24"/>
          <w:szCs w:val="24"/>
          <w:lang w:eastAsia="fr-FR"/>
        </w:rPr>
        <w:t>i</w:t>
      </w:r>
      <w:proofErr w:type="spellEnd"/>
      <w:r w:rsidR="00A5147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οι</w:t>
      </w:r>
      <w:r w:rsidR="00035C8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απαιτήσεις</w:t>
      </w:r>
      <w:r w:rsidR="00035C8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ακεραιότητας</w:t>
      </w:r>
      <w:r w:rsidR="00035C8D" w:rsidRPr="00035C8D">
        <w:rPr>
          <w:rFonts w:ascii="Calibri" w:hAnsi="Calibri" w:cs="Calibri"/>
          <w:b/>
          <w:bCs/>
          <w:sz w:val="24"/>
          <w:szCs w:val="24"/>
          <w:lang w:val="el-GR" w:eastAsia="fr-FR"/>
        </w:rPr>
        <w:t xml:space="preserve"> </w:t>
      </w:r>
      <w:r w:rsidR="00E366A0">
        <w:rPr>
          <w:rFonts w:ascii="Calibri" w:hAnsi="Calibri" w:cs="Calibri"/>
          <w:b/>
          <w:bCs/>
          <w:sz w:val="24"/>
          <w:szCs w:val="24"/>
          <w:lang w:val="el-GR" w:eastAsia="fr-FR"/>
        </w:rPr>
        <w:t xml:space="preserve">για </w:t>
      </w:r>
      <w:r w:rsidR="00035C8D">
        <w:rPr>
          <w:rFonts w:ascii="Calibri" w:hAnsi="Calibri" w:cs="Calibri"/>
          <w:b/>
          <w:bCs/>
          <w:sz w:val="24"/>
          <w:szCs w:val="24"/>
          <w:lang w:val="el-GR" w:eastAsia="fr-FR"/>
        </w:rPr>
        <w:t>τ</w:t>
      </w:r>
      <w:r w:rsidR="00E366A0">
        <w:rPr>
          <w:rFonts w:ascii="Calibri" w:hAnsi="Calibri" w:cs="Calibri"/>
          <w:b/>
          <w:bCs/>
          <w:sz w:val="24"/>
          <w:szCs w:val="24"/>
          <w:lang w:val="el-GR" w:eastAsia="fr-FR"/>
        </w:rPr>
        <w:t>α</w:t>
      </w:r>
      <w:r w:rsidR="00035C8D" w:rsidRPr="00035C8D">
        <w:rPr>
          <w:rFonts w:ascii="Calibri" w:hAnsi="Calibri" w:cs="Calibri"/>
          <w:b/>
          <w:bCs/>
          <w:sz w:val="24"/>
          <w:szCs w:val="24"/>
          <w:lang w:val="el-GR" w:eastAsia="fr-FR"/>
        </w:rPr>
        <w:t xml:space="preserve"> </w:t>
      </w:r>
      <w:r w:rsidR="00E366A0">
        <w:rPr>
          <w:rFonts w:ascii="Calibri" w:hAnsi="Calibri" w:cs="Calibri"/>
          <w:b/>
          <w:bCs/>
          <w:sz w:val="24"/>
          <w:szCs w:val="24"/>
          <w:lang w:val="el-GR" w:eastAsia="fr-FR"/>
        </w:rPr>
        <w:t xml:space="preserve">άτομα </w:t>
      </w:r>
      <w:bookmarkStart w:id="46" w:name="_Hlk125559916"/>
      <w:r w:rsidR="00035C8D">
        <w:rPr>
          <w:rFonts w:ascii="Calibri" w:hAnsi="Calibri" w:cs="Calibri"/>
          <w:b/>
          <w:bCs/>
          <w:sz w:val="24"/>
          <w:szCs w:val="24"/>
          <w:lang w:val="el-GR" w:eastAsia="fr-FR"/>
        </w:rPr>
        <w:t>που</w:t>
      </w:r>
      <w:r w:rsidR="00035C8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προσλαμβάνονται</w:t>
      </w:r>
      <w:r w:rsidR="00035C8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κατά</w:t>
      </w:r>
      <w:r w:rsidR="00035C8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τη</w:t>
      </w:r>
      <w:r w:rsidR="00E366A0">
        <w:rPr>
          <w:rFonts w:ascii="Calibri" w:hAnsi="Calibri" w:cs="Calibri"/>
          <w:b/>
          <w:bCs/>
          <w:sz w:val="24"/>
          <w:szCs w:val="24"/>
          <w:lang w:val="el-GR" w:eastAsia="fr-FR"/>
        </w:rPr>
        <w:t xml:space="preserve"> διακριτική ευχέρεια </w:t>
      </w:r>
      <w:r w:rsidR="00035C8D">
        <w:rPr>
          <w:rFonts w:ascii="Calibri" w:hAnsi="Calibri" w:cs="Calibri"/>
          <w:b/>
          <w:bCs/>
          <w:sz w:val="24"/>
          <w:szCs w:val="24"/>
          <w:lang w:val="el-GR" w:eastAsia="fr-FR"/>
        </w:rPr>
        <w:t>της</w:t>
      </w:r>
      <w:r w:rsidR="00035C8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κεντρικής</w:t>
      </w:r>
      <w:r w:rsidR="00035C8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κυβέρνησης</w:t>
      </w:r>
      <w:r w:rsidR="00A5147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για</w:t>
      </w:r>
      <w:r w:rsidR="00035C8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να</w:t>
      </w:r>
      <w:r w:rsidR="00035C8D" w:rsidRPr="00035C8D">
        <w:rPr>
          <w:rFonts w:ascii="Calibri" w:hAnsi="Calibri" w:cs="Calibri"/>
          <w:b/>
          <w:bCs/>
          <w:sz w:val="24"/>
          <w:szCs w:val="24"/>
          <w:lang w:val="el-GR" w:eastAsia="fr-FR"/>
        </w:rPr>
        <w:t xml:space="preserve"> </w:t>
      </w:r>
      <w:r w:rsidR="00766BB8">
        <w:rPr>
          <w:rFonts w:ascii="Calibri" w:hAnsi="Calibri" w:cs="Calibri"/>
          <w:b/>
          <w:bCs/>
          <w:sz w:val="24"/>
          <w:szCs w:val="24"/>
          <w:lang w:val="el-GR" w:eastAsia="fr-FR"/>
        </w:rPr>
        <w:t xml:space="preserve">δίδουν </w:t>
      </w:r>
      <w:r w:rsidR="00035C8D">
        <w:rPr>
          <w:rFonts w:ascii="Calibri" w:hAnsi="Calibri" w:cs="Calibri"/>
          <w:b/>
          <w:bCs/>
          <w:sz w:val="24"/>
          <w:szCs w:val="24"/>
          <w:lang w:val="el-GR" w:eastAsia="fr-FR"/>
        </w:rPr>
        <w:t>συμβουλή</w:t>
      </w:r>
      <w:r w:rsidR="00A5147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σε</w:t>
      </w:r>
      <w:r w:rsidR="00A5147D" w:rsidRPr="00035C8D">
        <w:rPr>
          <w:rFonts w:ascii="Calibri" w:hAnsi="Calibri" w:cs="Calibri"/>
          <w:b/>
          <w:bCs/>
          <w:sz w:val="24"/>
          <w:szCs w:val="24"/>
          <w:lang w:val="el-GR" w:eastAsia="fr-FR"/>
        </w:rPr>
        <w:t xml:space="preserve"> </w:t>
      </w:r>
      <w:r w:rsidR="00E366A0">
        <w:rPr>
          <w:rFonts w:ascii="Calibri" w:hAnsi="Calibri" w:cs="Calibri"/>
          <w:b/>
          <w:bCs/>
          <w:sz w:val="24"/>
          <w:szCs w:val="24"/>
          <w:lang w:val="el-GR" w:eastAsia="fr-FR"/>
        </w:rPr>
        <w:t xml:space="preserve">πρόσωπα </w:t>
      </w:r>
      <w:r w:rsidR="00035C8D">
        <w:rPr>
          <w:rFonts w:ascii="Calibri" w:hAnsi="Calibri" w:cs="Calibri"/>
          <w:b/>
          <w:bCs/>
          <w:sz w:val="24"/>
          <w:szCs w:val="24"/>
          <w:lang w:val="el-GR" w:eastAsia="fr-FR"/>
        </w:rPr>
        <w:t>που</w:t>
      </w:r>
      <w:r w:rsidR="00035C8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τους</w:t>
      </w:r>
      <w:r w:rsidR="00035C8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έχουν</w:t>
      </w:r>
      <w:r w:rsidR="00035C8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ανατεθεί</w:t>
      </w:r>
      <w:r w:rsidR="00035C8D" w:rsidRPr="00035C8D">
        <w:rPr>
          <w:rFonts w:ascii="Calibri" w:hAnsi="Calibri" w:cs="Calibri"/>
          <w:b/>
          <w:bCs/>
          <w:sz w:val="24"/>
          <w:szCs w:val="24"/>
          <w:lang w:val="el-GR" w:eastAsia="fr-FR"/>
        </w:rPr>
        <w:t xml:space="preserve"> </w:t>
      </w:r>
      <w:r w:rsidR="00E366A0">
        <w:rPr>
          <w:rFonts w:ascii="Calibri" w:hAnsi="Calibri" w:cs="Calibri"/>
          <w:b/>
          <w:bCs/>
          <w:sz w:val="24"/>
          <w:szCs w:val="24"/>
          <w:lang w:val="el-GR" w:eastAsia="fr-FR"/>
        </w:rPr>
        <w:t xml:space="preserve">ανώτατα εκτελεστικά καθήκοντα </w:t>
      </w:r>
      <w:r w:rsidR="00035C8D">
        <w:rPr>
          <w:rFonts w:ascii="Calibri" w:hAnsi="Calibri" w:cs="Calibri"/>
          <w:b/>
          <w:bCs/>
          <w:sz w:val="24"/>
          <w:szCs w:val="24"/>
          <w:lang w:val="el-GR" w:eastAsia="fr-FR"/>
        </w:rPr>
        <w:t>ή</w:t>
      </w:r>
      <w:r w:rsidR="00035C8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για</w:t>
      </w:r>
      <w:r w:rsidR="00035C8D" w:rsidRPr="00035C8D">
        <w:rPr>
          <w:rFonts w:ascii="Calibri" w:hAnsi="Calibri" w:cs="Calibri"/>
          <w:b/>
          <w:bCs/>
          <w:sz w:val="24"/>
          <w:szCs w:val="24"/>
          <w:lang w:val="el-GR" w:eastAsia="fr-FR"/>
        </w:rPr>
        <w:t xml:space="preserve"> </w:t>
      </w:r>
      <w:r w:rsidR="00766BB8">
        <w:rPr>
          <w:rFonts w:ascii="Calibri" w:hAnsi="Calibri" w:cs="Calibri"/>
          <w:b/>
          <w:bCs/>
          <w:sz w:val="24"/>
          <w:szCs w:val="24"/>
          <w:lang w:val="el-GR" w:eastAsia="fr-FR"/>
        </w:rPr>
        <w:t xml:space="preserve">σκοπούς εκτέλεσης </w:t>
      </w:r>
      <w:r w:rsidR="00035C8D">
        <w:rPr>
          <w:rFonts w:ascii="Calibri" w:hAnsi="Calibri" w:cs="Calibri"/>
          <w:b/>
          <w:bCs/>
          <w:sz w:val="24"/>
          <w:szCs w:val="24"/>
          <w:lang w:val="el-GR" w:eastAsia="fr-FR"/>
        </w:rPr>
        <w:t>παρόμοι</w:t>
      </w:r>
      <w:r w:rsidR="00766BB8">
        <w:rPr>
          <w:rFonts w:ascii="Calibri" w:hAnsi="Calibri" w:cs="Calibri"/>
          <w:b/>
          <w:bCs/>
          <w:sz w:val="24"/>
          <w:szCs w:val="24"/>
          <w:lang w:val="el-GR" w:eastAsia="fr-FR"/>
        </w:rPr>
        <w:t>ων</w:t>
      </w:r>
      <w:r w:rsidR="00E366A0">
        <w:rPr>
          <w:rFonts w:ascii="Calibri" w:hAnsi="Calibri" w:cs="Calibri"/>
          <w:b/>
          <w:bCs/>
          <w:sz w:val="24"/>
          <w:szCs w:val="24"/>
          <w:lang w:val="el-GR" w:eastAsia="fr-FR"/>
        </w:rPr>
        <w:t xml:space="preserve"> </w:t>
      </w:r>
      <w:r w:rsidR="00766BB8">
        <w:rPr>
          <w:rFonts w:ascii="Calibri" w:hAnsi="Calibri" w:cs="Calibri"/>
          <w:b/>
          <w:bCs/>
          <w:sz w:val="24"/>
          <w:szCs w:val="24"/>
          <w:lang w:val="el-GR" w:eastAsia="fr-FR"/>
        </w:rPr>
        <w:t>καθηκόντων</w:t>
      </w:r>
      <w:r w:rsidR="00DB3ADB">
        <w:rPr>
          <w:rFonts w:ascii="Calibri" w:hAnsi="Calibri" w:cs="Calibri"/>
          <w:b/>
          <w:bCs/>
          <w:sz w:val="24"/>
          <w:szCs w:val="24"/>
          <w:lang w:val="el-GR" w:eastAsia="fr-FR"/>
        </w:rPr>
        <w:t>,</w:t>
      </w:r>
      <w:r w:rsidR="00A5147D" w:rsidRPr="00035C8D">
        <w:rPr>
          <w:rFonts w:ascii="Calibri" w:hAnsi="Calibri" w:cs="Calibri"/>
          <w:b/>
          <w:bCs/>
          <w:sz w:val="24"/>
          <w:szCs w:val="24"/>
          <w:lang w:val="el-GR" w:eastAsia="fr-FR"/>
        </w:rPr>
        <w:t xml:space="preserve"> </w:t>
      </w:r>
      <w:bookmarkEnd w:id="46"/>
      <w:r w:rsidR="00035C8D">
        <w:rPr>
          <w:rFonts w:ascii="Calibri" w:hAnsi="Calibri" w:cs="Calibri"/>
          <w:b/>
          <w:bCs/>
          <w:sz w:val="24"/>
          <w:szCs w:val="24"/>
          <w:lang w:val="el-GR" w:eastAsia="fr-FR"/>
        </w:rPr>
        <w:t>να</w:t>
      </w:r>
      <w:r w:rsidR="00035C8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ρυθμίζονται</w:t>
      </w:r>
      <w:r w:rsidR="00035C8D" w:rsidRPr="00035C8D">
        <w:rPr>
          <w:rFonts w:ascii="Calibri" w:hAnsi="Calibri" w:cs="Calibri"/>
          <w:b/>
          <w:bCs/>
          <w:sz w:val="24"/>
          <w:szCs w:val="24"/>
          <w:lang w:val="el-GR" w:eastAsia="fr-FR"/>
        </w:rPr>
        <w:t xml:space="preserve"> </w:t>
      </w:r>
      <w:r w:rsidR="00035C8D">
        <w:rPr>
          <w:rFonts w:ascii="Calibri" w:hAnsi="Calibri" w:cs="Calibri"/>
          <w:b/>
          <w:bCs/>
          <w:sz w:val="24"/>
          <w:szCs w:val="24"/>
          <w:lang w:val="el-GR" w:eastAsia="fr-FR"/>
        </w:rPr>
        <w:t>διεξοδικά</w:t>
      </w:r>
      <w:r w:rsidR="00A5147D" w:rsidRPr="00035C8D">
        <w:rPr>
          <w:rFonts w:ascii="Calibri" w:hAnsi="Calibri" w:cs="Calibri"/>
          <w:b/>
          <w:bCs/>
          <w:sz w:val="24"/>
          <w:szCs w:val="24"/>
          <w:lang w:val="el-GR" w:eastAsia="fr-FR"/>
        </w:rPr>
        <w:t xml:space="preserve">, </w:t>
      </w:r>
      <w:r w:rsidR="00766BB8">
        <w:rPr>
          <w:rFonts w:ascii="Calibri" w:hAnsi="Calibri" w:cs="Calibri"/>
          <w:b/>
          <w:bCs/>
          <w:sz w:val="24"/>
          <w:szCs w:val="24"/>
          <w:lang w:val="el-GR" w:eastAsia="fr-FR"/>
        </w:rPr>
        <w:t xml:space="preserve">περιλαμβανομένων </w:t>
      </w:r>
      <w:r w:rsidR="00310A6F">
        <w:rPr>
          <w:rFonts w:ascii="Calibri" w:hAnsi="Calibri" w:cs="Calibri"/>
          <w:b/>
          <w:bCs/>
          <w:sz w:val="24"/>
          <w:szCs w:val="24"/>
          <w:lang w:val="el-GR" w:eastAsia="fr-FR"/>
        </w:rPr>
        <w:t>όσο</w:t>
      </w:r>
      <w:r w:rsidR="00606DF3">
        <w:rPr>
          <w:rFonts w:ascii="Calibri" w:hAnsi="Calibri" w:cs="Calibri"/>
          <w:b/>
          <w:bCs/>
          <w:sz w:val="24"/>
          <w:szCs w:val="24"/>
          <w:lang w:val="el-GR" w:eastAsia="fr-FR"/>
        </w:rPr>
        <w:t xml:space="preserve"> αφορά </w:t>
      </w:r>
      <w:r w:rsidR="00035C8D">
        <w:rPr>
          <w:rFonts w:ascii="Calibri" w:hAnsi="Calibri" w:cs="Calibri"/>
          <w:b/>
          <w:bCs/>
          <w:sz w:val="24"/>
          <w:szCs w:val="24"/>
          <w:lang w:val="el-GR" w:eastAsia="fr-FR"/>
        </w:rPr>
        <w:t xml:space="preserve">κανόνες </w:t>
      </w:r>
      <w:r w:rsidR="007E527B">
        <w:rPr>
          <w:rFonts w:ascii="Calibri" w:hAnsi="Calibri" w:cs="Calibri"/>
          <w:b/>
          <w:bCs/>
          <w:sz w:val="24"/>
          <w:szCs w:val="24"/>
          <w:lang w:val="el-GR" w:eastAsia="fr-FR"/>
        </w:rPr>
        <w:t>συμπεριφοράς</w:t>
      </w:r>
      <w:r w:rsidR="00A5147D" w:rsidRPr="00035C8D">
        <w:rPr>
          <w:b/>
          <w:bCs/>
          <w:sz w:val="24"/>
          <w:szCs w:val="24"/>
          <w:lang w:val="el-GR"/>
        </w:rPr>
        <w:t xml:space="preserve">, </w:t>
      </w:r>
      <w:r w:rsidR="00035C8D">
        <w:rPr>
          <w:b/>
          <w:bCs/>
          <w:sz w:val="24"/>
          <w:szCs w:val="24"/>
          <w:lang w:val="el-GR"/>
        </w:rPr>
        <w:t>συγκρούσεις συμφερόντων</w:t>
      </w:r>
      <w:r w:rsidR="00A5147D" w:rsidRPr="00035C8D">
        <w:rPr>
          <w:b/>
          <w:bCs/>
          <w:sz w:val="24"/>
          <w:szCs w:val="24"/>
          <w:lang w:val="el-GR"/>
        </w:rPr>
        <w:t xml:space="preserve"> </w:t>
      </w:r>
      <w:r w:rsidR="00035C8D">
        <w:rPr>
          <w:b/>
          <w:bCs/>
          <w:sz w:val="24"/>
          <w:szCs w:val="24"/>
          <w:lang w:val="el-GR"/>
        </w:rPr>
        <w:t>και υποχρεώσεις οικονομικής αποκάλυψης,</w:t>
      </w:r>
      <w:r w:rsidR="00A5147D" w:rsidRPr="00035C8D">
        <w:rPr>
          <w:b/>
          <w:bCs/>
          <w:sz w:val="24"/>
          <w:szCs w:val="24"/>
          <w:lang w:val="el-GR"/>
        </w:rPr>
        <w:t xml:space="preserve"> </w:t>
      </w:r>
      <w:r w:rsidR="00035C8D">
        <w:rPr>
          <w:b/>
          <w:bCs/>
          <w:sz w:val="24"/>
          <w:szCs w:val="24"/>
          <w:lang w:val="el-GR"/>
        </w:rPr>
        <w:t>και</w:t>
      </w:r>
      <w:r w:rsidR="00A5147D" w:rsidRPr="00035C8D">
        <w:rPr>
          <w:b/>
          <w:bCs/>
          <w:sz w:val="24"/>
          <w:szCs w:val="24"/>
          <w:lang w:val="el-GR"/>
        </w:rPr>
        <w:t xml:space="preserve"> (</w:t>
      </w:r>
      <w:r w:rsidR="00A5147D" w:rsidRPr="004E251E">
        <w:rPr>
          <w:b/>
          <w:bCs/>
          <w:sz w:val="24"/>
          <w:szCs w:val="24"/>
        </w:rPr>
        <w:t>ii</w:t>
      </w:r>
      <w:r w:rsidR="00A5147D" w:rsidRPr="00035C8D">
        <w:rPr>
          <w:b/>
          <w:bCs/>
          <w:sz w:val="24"/>
          <w:szCs w:val="24"/>
          <w:lang w:val="el-GR"/>
        </w:rPr>
        <w:t xml:space="preserve">) </w:t>
      </w:r>
      <w:r w:rsidR="00035C8D">
        <w:rPr>
          <w:b/>
          <w:bCs/>
          <w:sz w:val="24"/>
          <w:szCs w:val="24"/>
          <w:lang w:val="el-GR"/>
        </w:rPr>
        <w:t>ότι τα ονόματα</w:t>
      </w:r>
      <w:r w:rsidR="00A5147D" w:rsidRPr="00035C8D">
        <w:rPr>
          <w:rFonts w:ascii="Calibri" w:hAnsi="Calibri" w:cs="Calibri"/>
          <w:b/>
          <w:bCs/>
          <w:sz w:val="24"/>
          <w:szCs w:val="24"/>
          <w:lang w:val="el-GR"/>
        </w:rPr>
        <w:t xml:space="preserve">, </w:t>
      </w:r>
      <w:r w:rsidR="00E366A0">
        <w:rPr>
          <w:rFonts w:ascii="Calibri" w:hAnsi="Calibri" w:cs="Calibri"/>
          <w:b/>
          <w:bCs/>
          <w:sz w:val="24"/>
          <w:szCs w:val="24"/>
          <w:lang w:val="el-GR"/>
        </w:rPr>
        <w:t xml:space="preserve">καθήκοντα </w:t>
      </w:r>
      <w:r w:rsidR="00035C8D">
        <w:rPr>
          <w:rFonts w:ascii="Calibri" w:hAnsi="Calibri" w:cs="Calibri"/>
          <w:b/>
          <w:bCs/>
          <w:sz w:val="24"/>
          <w:szCs w:val="24"/>
          <w:lang w:val="el-GR"/>
        </w:rPr>
        <w:t xml:space="preserve">και συμβατικά </w:t>
      </w:r>
      <w:r w:rsidR="00310A6F">
        <w:rPr>
          <w:rFonts w:ascii="Calibri" w:hAnsi="Calibri" w:cs="Calibri"/>
          <w:b/>
          <w:bCs/>
          <w:sz w:val="24"/>
          <w:szCs w:val="24"/>
          <w:lang w:val="el-GR"/>
        </w:rPr>
        <w:t>ωφελήματα</w:t>
      </w:r>
      <w:r w:rsidR="00A5147D" w:rsidRPr="00035C8D">
        <w:rPr>
          <w:rFonts w:ascii="Calibri" w:hAnsi="Calibri" w:cs="Calibri"/>
          <w:b/>
          <w:bCs/>
          <w:sz w:val="24"/>
          <w:szCs w:val="24"/>
          <w:lang w:val="el-GR"/>
        </w:rPr>
        <w:t xml:space="preserve"> (</w:t>
      </w:r>
      <w:r w:rsidR="00035C8D">
        <w:rPr>
          <w:rFonts w:ascii="Calibri" w:hAnsi="Calibri" w:cs="Calibri"/>
          <w:b/>
          <w:bCs/>
          <w:sz w:val="24"/>
          <w:szCs w:val="24"/>
          <w:lang w:val="el-GR"/>
        </w:rPr>
        <w:t>μισθοί κλπ</w:t>
      </w:r>
      <w:r w:rsidR="00A5147D" w:rsidRPr="00035C8D">
        <w:rPr>
          <w:rFonts w:ascii="Calibri" w:hAnsi="Calibri" w:cs="Calibri"/>
          <w:b/>
          <w:bCs/>
          <w:sz w:val="24"/>
          <w:szCs w:val="24"/>
          <w:lang w:val="el-GR"/>
        </w:rPr>
        <w:t xml:space="preserve">.) </w:t>
      </w:r>
      <w:r w:rsidR="00035C8D">
        <w:rPr>
          <w:rFonts w:ascii="Calibri" w:hAnsi="Calibri" w:cs="Calibri"/>
          <w:b/>
          <w:bCs/>
          <w:sz w:val="24"/>
          <w:szCs w:val="24"/>
          <w:lang w:val="el-GR"/>
        </w:rPr>
        <w:t>αυτών που προσλαμβάνονται για τις θέσεις αυτές</w:t>
      </w:r>
      <w:r w:rsidR="00A5147D" w:rsidRPr="00035C8D">
        <w:rPr>
          <w:rFonts w:ascii="Calibri" w:hAnsi="Calibri" w:cs="Calibri"/>
          <w:b/>
          <w:bCs/>
          <w:sz w:val="24"/>
          <w:szCs w:val="24"/>
          <w:lang w:val="el-GR"/>
        </w:rPr>
        <w:t xml:space="preserve"> </w:t>
      </w:r>
      <w:r w:rsidR="00606DF3">
        <w:rPr>
          <w:rFonts w:ascii="Calibri" w:hAnsi="Calibri" w:cs="Calibri"/>
          <w:b/>
          <w:bCs/>
          <w:sz w:val="24"/>
          <w:szCs w:val="24"/>
          <w:lang w:val="el-GR"/>
        </w:rPr>
        <w:t xml:space="preserve">να </w:t>
      </w:r>
      <w:r w:rsidR="00035C8D">
        <w:rPr>
          <w:rFonts w:ascii="Calibri" w:hAnsi="Calibri" w:cs="Calibri"/>
          <w:b/>
          <w:bCs/>
          <w:sz w:val="24"/>
          <w:szCs w:val="24"/>
          <w:lang w:val="el-GR"/>
        </w:rPr>
        <w:t xml:space="preserve">είναι εύκολα </w:t>
      </w:r>
      <w:proofErr w:type="spellStart"/>
      <w:r w:rsidR="00035C8D">
        <w:rPr>
          <w:rFonts w:ascii="Calibri" w:hAnsi="Calibri" w:cs="Calibri"/>
          <w:b/>
          <w:bCs/>
          <w:sz w:val="24"/>
          <w:szCs w:val="24"/>
          <w:lang w:val="el-GR"/>
        </w:rPr>
        <w:t>προσβάσιμα</w:t>
      </w:r>
      <w:proofErr w:type="spellEnd"/>
      <w:r w:rsidR="00A5147D" w:rsidRPr="00035C8D">
        <w:rPr>
          <w:rFonts w:ascii="Calibri" w:hAnsi="Calibri" w:cs="Calibri"/>
          <w:b/>
          <w:bCs/>
          <w:sz w:val="24"/>
          <w:szCs w:val="24"/>
          <w:lang w:val="el-GR"/>
        </w:rPr>
        <w:t xml:space="preserve"> </w:t>
      </w:r>
      <w:r w:rsidR="00035C8D">
        <w:rPr>
          <w:rFonts w:ascii="Calibri" w:hAnsi="Calibri" w:cs="Calibri"/>
          <w:b/>
          <w:bCs/>
          <w:sz w:val="24"/>
          <w:szCs w:val="24"/>
          <w:lang w:val="el-GR"/>
        </w:rPr>
        <w:t>διαδικτυακά</w:t>
      </w:r>
      <w:r w:rsidR="00A5147D" w:rsidRPr="00035C8D">
        <w:rPr>
          <w:rFonts w:ascii="Calibri" w:hAnsi="Calibri" w:cs="Calibri"/>
          <w:b/>
          <w:bCs/>
          <w:sz w:val="24"/>
          <w:szCs w:val="24"/>
          <w:lang w:val="el-GR"/>
        </w:rPr>
        <w:t xml:space="preserve"> </w:t>
      </w:r>
      <w:r w:rsidR="00DB3ADB">
        <w:rPr>
          <w:rFonts w:ascii="Calibri" w:hAnsi="Calibri" w:cs="Calibri"/>
          <w:b/>
          <w:bCs/>
          <w:sz w:val="24"/>
          <w:szCs w:val="24"/>
          <w:lang w:val="el-GR"/>
        </w:rPr>
        <w:t>και</w:t>
      </w:r>
      <w:r w:rsidR="00A5147D" w:rsidRPr="00035C8D">
        <w:rPr>
          <w:rFonts w:ascii="Calibri" w:hAnsi="Calibri" w:cs="Calibri"/>
          <w:b/>
          <w:bCs/>
          <w:sz w:val="24"/>
          <w:szCs w:val="24"/>
          <w:lang w:val="el-GR"/>
        </w:rPr>
        <w:t xml:space="preserve">, </w:t>
      </w:r>
      <w:r w:rsidR="00DB3ADB">
        <w:rPr>
          <w:rFonts w:ascii="Calibri" w:hAnsi="Calibri" w:cs="Calibri"/>
          <w:b/>
          <w:bCs/>
          <w:sz w:val="24"/>
          <w:szCs w:val="24"/>
          <w:lang w:val="el-GR"/>
        </w:rPr>
        <w:t xml:space="preserve">όταν πρόκειται για μερική </w:t>
      </w:r>
      <w:proofErr w:type="spellStart"/>
      <w:r w:rsidR="00E366A0">
        <w:rPr>
          <w:rFonts w:ascii="Calibri" w:hAnsi="Calibri" w:cs="Calibri"/>
          <w:b/>
          <w:bCs/>
          <w:sz w:val="24"/>
          <w:szCs w:val="24"/>
          <w:lang w:val="el-GR"/>
        </w:rPr>
        <w:t>εργοδότηση</w:t>
      </w:r>
      <w:proofErr w:type="spellEnd"/>
      <w:r w:rsidR="00A5147D" w:rsidRPr="00035C8D">
        <w:rPr>
          <w:rFonts w:ascii="Calibri" w:hAnsi="Calibri" w:cs="Calibri"/>
          <w:b/>
          <w:bCs/>
          <w:sz w:val="24"/>
          <w:szCs w:val="24"/>
          <w:lang w:val="el-GR"/>
        </w:rPr>
        <w:t>/</w:t>
      </w:r>
      <w:r w:rsidR="00A5147D" w:rsidRPr="004E251E">
        <w:rPr>
          <w:rFonts w:ascii="Calibri" w:hAnsi="Calibri" w:cs="Calibri"/>
          <w:b/>
          <w:bCs/>
          <w:i/>
          <w:iCs/>
          <w:sz w:val="24"/>
          <w:szCs w:val="24"/>
        </w:rPr>
        <w:t>ad</w:t>
      </w:r>
      <w:r w:rsidR="00A5147D" w:rsidRPr="00035C8D">
        <w:rPr>
          <w:rFonts w:ascii="Calibri" w:hAnsi="Calibri" w:cs="Calibri"/>
          <w:b/>
          <w:bCs/>
          <w:i/>
          <w:iCs/>
          <w:sz w:val="24"/>
          <w:szCs w:val="24"/>
          <w:lang w:val="el-GR"/>
        </w:rPr>
        <w:t xml:space="preserve"> </w:t>
      </w:r>
      <w:r w:rsidR="00A5147D" w:rsidRPr="004E251E">
        <w:rPr>
          <w:rFonts w:ascii="Calibri" w:hAnsi="Calibri" w:cs="Calibri"/>
          <w:b/>
          <w:bCs/>
          <w:i/>
          <w:iCs/>
          <w:sz w:val="24"/>
          <w:szCs w:val="24"/>
        </w:rPr>
        <w:t>hoc</w:t>
      </w:r>
      <w:r w:rsidR="00A5147D" w:rsidRPr="00035C8D">
        <w:rPr>
          <w:rFonts w:ascii="Calibri" w:hAnsi="Calibri" w:cs="Calibri"/>
          <w:b/>
          <w:bCs/>
          <w:sz w:val="24"/>
          <w:szCs w:val="24"/>
          <w:lang w:val="el-GR"/>
        </w:rPr>
        <w:t xml:space="preserve"> </w:t>
      </w:r>
      <w:r w:rsidR="00DB3ADB">
        <w:rPr>
          <w:rFonts w:ascii="Calibri" w:hAnsi="Calibri" w:cs="Calibri"/>
          <w:b/>
          <w:bCs/>
          <w:sz w:val="24"/>
          <w:szCs w:val="24"/>
          <w:lang w:val="el-GR"/>
        </w:rPr>
        <w:t>πρόσληψη</w:t>
      </w:r>
      <w:r w:rsidR="00A5147D" w:rsidRPr="00035C8D">
        <w:rPr>
          <w:rFonts w:ascii="Calibri" w:hAnsi="Calibri" w:cs="Calibri"/>
          <w:b/>
          <w:bCs/>
          <w:sz w:val="24"/>
          <w:szCs w:val="24"/>
          <w:lang w:val="el-GR"/>
        </w:rPr>
        <w:t xml:space="preserve">, </w:t>
      </w:r>
      <w:r w:rsidR="00E366A0">
        <w:rPr>
          <w:rFonts w:ascii="Calibri" w:hAnsi="Calibri" w:cs="Calibri"/>
          <w:b/>
          <w:bCs/>
          <w:sz w:val="24"/>
          <w:szCs w:val="24"/>
          <w:lang w:val="el-GR"/>
        </w:rPr>
        <w:t xml:space="preserve">να περιλαμβάνονται </w:t>
      </w:r>
      <w:r w:rsidR="00DB3ADB">
        <w:rPr>
          <w:rFonts w:ascii="Calibri" w:hAnsi="Calibri" w:cs="Calibri"/>
          <w:b/>
          <w:bCs/>
          <w:sz w:val="24"/>
          <w:szCs w:val="24"/>
          <w:lang w:val="el-GR"/>
        </w:rPr>
        <w:t>πληροφορίες για την κύρια απασχόληση/δραστηριότητες τους</w:t>
      </w:r>
      <w:bookmarkStart w:id="47" w:name="_Hlk80352870"/>
      <w:r w:rsidR="00A5147D" w:rsidRPr="00035C8D">
        <w:rPr>
          <w:b/>
          <w:bCs/>
          <w:sz w:val="24"/>
          <w:szCs w:val="24"/>
          <w:lang w:val="el-GR"/>
        </w:rPr>
        <w:t xml:space="preserve">. </w:t>
      </w:r>
    </w:p>
    <w:p w14:paraId="39C8E3E1" w14:textId="77777777" w:rsidR="00A5147D" w:rsidRPr="00035C8D" w:rsidRDefault="00A5147D" w:rsidP="00A5147D">
      <w:pPr>
        <w:tabs>
          <w:tab w:val="left" w:pos="709"/>
        </w:tabs>
        <w:rPr>
          <w:rFonts w:ascii="Calibri" w:hAnsi="Calibri" w:cs="Calibri"/>
          <w:sz w:val="24"/>
          <w:szCs w:val="24"/>
          <w:lang w:val="el-GR" w:eastAsia="fr-FR"/>
        </w:rPr>
      </w:pPr>
    </w:p>
    <w:p w14:paraId="6ADB1204" w14:textId="37AF1FC7" w:rsidR="00A5147D" w:rsidRPr="004557A2" w:rsidRDefault="004557A2" w:rsidP="00A5147D">
      <w:pPr>
        <w:numPr>
          <w:ilvl w:val="0"/>
          <w:numId w:val="1"/>
        </w:numPr>
        <w:tabs>
          <w:tab w:val="left" w:pos="709"/>
        </w:tabs>
        <w:ind w:left="0" w:firstLine="0"/>
        <w:rPr>
          <w:rFonts w:ascii="Calibri" w:hAnsi="Calibri" w:cs="Calibri"/>
          <w:sz w:val="24"/>
          <w:szCs w:val="24"/>
          <w:lang w:val="el-GR" w:eastAsia="fr-FR"/>
        </w:rPr>
      </w:pPr>
      <w:r>
        <w:rPr>
          <w:rFonts w:ascii="Calibri" w:hAnsi="Calibri" w:cs="Calibri"/>
          <w:sz w:val="24"/>
          <w:szCs w:val="24"/>
          <w:lang w:val="el-GR"/>
        </w:rPr>
        <w:t>Επιπλέον</w:t>
      </w:r>
      <w:r w:rsidR="00A5147D" w:rsidRPr="004557A2">
        <w:rPr>
          <w:rFonts w:ascii="Calibri" w:hAnsi="Calibri" w:cs="Calibri"/>
          <w:sz w:val="24"/>
          <w:szCs w:val="24"/>
          <w:lang w:val="el-GR"/>
        </w:rPr>
        <w:t xml:space="preserve">, </w:t>
      </w:r>
      <w:r>
        <w:rPr>
          <w:rFonts w:ascii="Calibri" w:hAnsi="Calibri" w:cs="Calibri"/>
          <w:sz w:val="24"/>
          <w:szCs w:val="24"/>
          <w:lang w:val="el-GR"/>
        </w:rPr>
        <w:t>η</w:t>
      </w:r>
      <w:r w:rsidR="00A5147D" w:rsidRPr="004557A2">
        <w:rPr>
          <w:rFonts w:ascii="Calibri" w:hAnsi="Calibri" w:cs="Calibri"/>
          <w:sz w:val="24"/>
          <w:szCs w:val="24"/>
          <w:lang w:val="el-GR"/>
        </w:rPr>
        <w:t xml:space="preserve"> </w:t>
      </w:r>
      <w:r w:rsidR="00A5147D" w:rsidRPr="004E251E">
        <w:rPr>
          <w:rFonts w:ascii="Calibri" w:hAnsi="Calibri" w:cs="Calibri"/>
          <w:sz w:val="24"/>
          <w:szCs w:val="24"/>
        </w:rPr>
        <w:t>GET</w:t>
      </w:r>
      <w:r w:rsidR="00A5147D" w:rsidRPr="004557A2">
        <w:rPr>
          <w:rFonts w:ascii="Calibri" w:hAnsi="Calibri" w:cs="Calibri"/>
          <w:sz w:val="24"/>
          <w:szCs w:val="24"/>
          <w:lang w:val="el-GR"/>
        </w:rPr>
        <w:t xml:space="preserve"> </w:t>
      </w:r>
      <w:r>
        <w:rPr>
          <w:rFonts w:ascii="Calibri" w:hAnsi="Calibri" w:cs="Calibri"/>
          <w:sz w:val="24"/>
          <w:szCs w:val="24"/>
          <w:lang w:val="el-GR"/>
        </w:rPr>
        <w:t>θεωρεί</w:t>
      </w:r>
      <w:r w:rsidRPr="004557A2">
        <w:rPr>
          <w:rFonts w:ascii="Calibri" w:hAnsi="Calibri" w:cs="Calibri"/>
          <w:sz w:val="24"/>
          <w:szCs w:val="24"/>
          <w:lang w:val="el-GR"/>
        </w:rPr>
        <w:t xml:space="preserve"> </w:t>
      </w:r>
      <w:r>
        <w:rPr>
          <w:rFonts w:ascii="Calibri" w:hAnsi="Calibri" w:cs="Calibri"/>
          <w:sz w:val="24"/>
          <w:szCs w:val="24"/>
          <w:lang w:val="el-GR"/>
        </w:rPr>
        <w:t>ότι</w:t>
      </w:r>
      <w:r w:rsidR="00A5147D" w:rsidRPr="004557A2">
        <w:rPr>
          <w:rFonts w:ascii="Calibri" w:hAnsi="Calibri" w:cs="Calibri"/>
          <w:sz w:val="24"/>
          <w:szCs w:val="24"/>
          <w:lang w:val="el-GR"/>
        </w:rPr>
        <w:t xml:space="preserve"> </w:t>
      </w:r>
      <w:r>
        <w:rPr>
          <w:rFonts w:ascii="Calibri" w:hAnsi="Calibri" w:cs="Calibri"/>
          <w:sz w:val="24"/>
          <w:szCs w:val="24"/>
          <w:lang w:val="el-GR"/>
        </w:rPr>
        <w:t>πρέπει</w:t>
      </w:r>
      <w:r w:rsidRPr="004557A2">
        <w:rPr>
          <w:rFonts w:ascii="Calibri" w:hAnsi="Calibri" w:cs="Calibri"/>
          <w:sz w:val="24"/>
          <w:szCs w:val="24"/>
          <w:lang w:val="el-GR"/>
        </w:rPr>
        <w:t xml:space="preserve"> </w:t>
      </w:r>
      <w:r>
        <w:rPr>
          <w:rFonts w:ascii="Calibri" w:hAnsi="Calibri" w:cs="Calibri"/>
          <w:sz w:val="24"/>
          <w:szCs w:val="24"/>
          <w:lang w:val="el-GR"/>
        </w:rPr>
        <w:t>να</w:t>
      </w:r>
      <w:r w:rsidRPr="004557A2">
        <w:rPr>
          <w:rFonts w:ascii="Calibri" w:hAnsi="Calibri" w:cs="Calibri"/>
          <w:sz w:val="24"/>
          <w:szCs w:val="24"/>
          <w:lang w:val="el-GR"/>
        </w:rPr>
        <w:t xml:space="preserve"> </w:t>
      </w:r>
      <w:r w:rsidR="00310A6F">
        <w:rPr>
          <w:rFonts w:ascii="Calibri" w:hAnsi="Calibri" w:cs="Calibri"/>
          <w:sz w:val="24"/>
          <w:szCs w:val="24"/>
          <w:lang w:val="el-GR"/>
        </w:rPr>
        <w:t>δοθεί</w:t>
      </w:r>
      <w:r w:rsidRPr="004557A2">
        <w:rPr>
          <w:rFonts w:ascii="Calibri" w:hAnsi="Calibri" w:cs="Calibri"/>
          <w:sz w:val="24"/>
          <w:szCs w:val="24"/>
          <w:lang w:val="el-GR"/>
        </w:rPr>
        <w:t xml:space="preserve"> </w:t>
      </w:r>
      <w:r>
        <w:rPr>
          <w:rFonts w:ascii="Calibri" w:hAnsi="Calibri" w:cs="Calibri"/>
          <w:sz w:val="24"/>
          <w:szCs w:val="24"/>
          <w:lang w:val="el-GR"/>
        </w:rPr>
        <w:t>περισσότερη</w:t>
      </w:r>
      <w:r w:rsidRPr="004557A2">
        <w:rPr>
          <w:rFonts w:ascii="Calibri" w:hAnsi="Calibri" w:cs="Calibri"/>
          <w:sz w:val="24"/>
          <w:szCs w:val="24"/>
          <w:lang w:val="el-GR"/>
        </w:rPr>
        <w:t xml:space="preserve"> </w:t>
      </w:r>
      <w:r>
        <w:rPr>
          <w:rFonts w:ascii="Calibri" w:hAnsi="Calibri" w:cs="Calibri"/>
          <w:sz w:val="24"/>
          <w:szCs w:val="24"/>
          <w:lang w:val="el-GR"/>
        </w:rPr>
        <w:t>προσοχή</w:t>
      </w:r>
      <w:r w:rsidRPr="004557A2">
        <w:rPr>
          <w:rFonts w:ascii="Calibri" w:hAnsi="Calibri" w:cs="Calibri"/>
          <w:sz w:val="24"/>
          <w:szCs w:val="24"/>
          <w:lang w:val="el-GR"/>
        </w:rPr>
        <w:t xml:space="preserve"> </w:t>
      </w:r>
      <w:r>
        <w:rPr>
          <w:rFonts w:ascii="Calibri" w:hAnsi="Calibri" w:cs="Calibri"/>
          <w:sz w:val="24"/>
          <w:szCs w:val="24"/>
          <w:lang w:val="el-GR"/>
        </w:rPr>
        <w:t>σε</w:t>
      </w:r>
      <w:r w:rsidRPr="004557A2">
        <w:rPr>
          <w:rFonts w:ascii="Calibri" w:hAnsi="Calibri" w:cs="Calibri"/>
          <w:sz w:val="24"/>
          <w:szCs w:val="24"/>
          <w:lang w:val="el-GR"/>
        </w:rPr>
        <w:t xml:space="preserve"> </w:t>
      </w:r>
      <w:r>
        <w:rPr>
          <w:rFonts w:ascii="Calibri" w:hAnsi="Calibri" w:cs="Calibri"/>
          <w:sz w:val="24"/>
          <w:szCs w:val="24"/>
          <w:lang w:val="el-GR"/>
        </w:rPr>
        <w:t>θέματα</w:t>
      </w:r>
      <w:r w:rsidRPr="004557A2">
        <w:rPr>
          <w:rFonts w:ascii="Calibri" w:hAnsi="Calibri" w:cs="Calibri"/>
          <w:sz w:val="24"/>
          <w:szCs w:val="24"/>
          <w:lang w:val="el-GR"/>
        </w:rPr>
        <w:t xml:space="preserve"> </w:t>
      </w:r>
      <w:r>
        <w:rPr>
          <w:rFonts w:ascii="Calibri" w:hAnsi="Calibri" w:cs="Calibri"/>
          <w:sz w:val="24"/>
          <w:szCs w:val="24"/>
          <w:lang w:val="el-GR"/>
        </w:rPr>
        <w:t>ακεραιότητα</w:t>
      </w:r>
      <w:r w:rsidR="00BC7FB3">
        <w:rPr>
          <w:rFonts w:ascii="Calibri" w:hAnsi="Calibri" w:cs="Calibri"/>
          <w:sz w:val="24"/>
          <w:szCs w:val="24"/>
          <w:lang w:val="el-GR"/>
        </w:rPr>
        <w:t>ς</w:t>
      </w:r>
      <w:r w:rsidR="00A5147D" w:rsidRPr="004557A2">
        <w:rPr>
          <w:rFonts w:ascii="Calibri" w:hAnsi="Calibri" w:cs="Calibri"/>
          <w:sz w:val="24"/>
          <w:szCs w:val="24"/>
          <w:lang w:val="el-GR"/>
        </w:rPr>
        <w:t xml:space="preserve"> </w:t>
      </w:r>
      <w:r>
        <w:rPr>
          <w:rFonts w:ascii="Calibri" w:hAnsi="Calibri" w:cs="Calibri"/>
          <w:sz w:val="24"/>
          <w:szCs w:val="24"/>
          <w:lang w:val="el-GR"/>
        </w:rPr>
        <w:t>ως</w:t>
      </w:r>
      <w:r w:rsidRPr="004557A2">
        <w:rPr>
          <w:rFonts w:ascii="Calibri" w:hAnsi="Calibri" w:cs="Calibri"/>
          <w:sz w:val="24"/>
          <w:szCs w:val="24"/>
          <w:lang w:val="el-GR"/>
        </w:rPr>
        <w:t xml:space="preserve"> </w:t>
      </w:r>
      <w:r>
        <w:rPr>
          <w:rFonts w:ascii="Calibri" w:hAnsi="Calibri" w:cs="Calibri"/>
          <w:sz w:val="24"/>
          <w:szCs w:val="24"/>
          <w:lang w:val="el-GR"/>
        </w:rPr>
        <w:t>μέρος</w:t>
      </w:r>
      <w:r w:rsidRPr="004557A2">
        <w:rPr>
          <w:rFonts w:ascii="Calibri" w:hAnsi="Calibri" w:cs="Calibri"/>
          <w:sz w:val="24"/>
          <w:szCs w:val="24"/>
          <w:lang w:val="el-GR"/>
        </w:rPr>
        <w:t xml:space="preserve"> </w:t>
      </w:r>
      <w:r>
        <w:rPr>
          <w:rFonts w:ascii="Calibri" w:hAnsi="Calibri" w:cs="Calibri"/>
          <w:sz w:val="24"/>
          <w:szCs w:val="24"/>
          <w:lang w:val="el-GR"/>
        </w:rPr>
        <w:t>της</w:t>
      </w:r>
      <w:r w:rsidRPr="004557A2">
        <w:rPr>
          <w:rFonts w:ascii="Calibri" w:hAnsi="Calibri" w:cs="Calibri"/>
          <w:sz w:val="24"/>
          <w:szCs w:val="24"/>
          <w:lang w:val="el-GR"/>
        </w:rPr>
        <w:t xml:space="preserve"> </w:t>
      </w:r>
      <w:r>
        <w:rPr>
          <w:rFonts w:ascii="Calibri" w:hAnsi="Calibri" w:cs="Calibri"/>
          <w:sz w:val="24"/>
          <w:szCs w:val="24"/>
          <w:lang w:val="el-GR"/>
        </w:rPr>
        <w:t>διαδικασίας</w:t>
      </w:r>
      <w:r w:rsidRPr="004557A2">
        <w:rPr>
          <w:rFonts w:ascii="Calibri" w:hAnsi="Calibri" w:cs="Calibri"/>
          <w:sz w:val="24"/>
          <w:szCs w:val="24"/>
          <w:lang w:val="el-GR"/>
        </w:rPr>
        <w:t xml:space="preserve"> </w:t>
      </w:r>
      <w:r>
        <w:rPr>
          <w:rFonts w:ascii="Calibri" w:hAnsi="Calibri" w:cs="Calibri"/>
          <w:sz w:val="24"/>
          <w:szCs w:val="24"/>
          <w:lang w:val="el-GR"/>
        </w:rPr>
        <w:t>διορισμού</w:t>
      </w:r>
      <w:r w:rsidRPr="004557A2">
        <w:rPr>
          <w:rFonts w:ascii="Calibri" w:hAnsi="Calibri" w:cs="Calibri"/>
          <w:sz w:val="24"/>
          <w:szCs w:val="24"/>
          <w:lang w:val="el-GR"/>
        </w:rPr>
        <w:t xml:space="preserve"> </w:t>
      </w:r>
      <w:r>
        <w:rPr>
          <w:rFonts w:ascii="Calibri" w:hAnsi="Calibri" w:cs="Calibri"/>
          <w:sz w:val="24"/>
          <w:szCs w:val="24"/>
          <w:lang w:val="el-GR"/>
        </w:rPr>
        <w:t>των</w:t>
      </w:r>
      <w:r w:rsidR="00A5147D" w:rsidRPr="004557A2">
        <w:rPr>
          <w:rFonts w:ascii="Calibri" w:hAnsi="Calibri" w:cs="Calibri"/>
          <w:sz w:val="24"/>
          <w:szCs w:val="24"/>
          <w:lang w:val="el-GR"/>
        </w:rPr>
        <w:t xml:space="preserve"> </w:t>
      </w:r>
      <w:r w:rsidR="008B08ED">
        <w:rPr>
          <w:rFonts w:ascii="Calibri" w:hAnsi="Calibri" w:cs="Calibri"/>
          <w:sz w:val="24"/>
          <w:szCs w:val="24"/>
          <w:lang w:val="en-US"/>
        </w:rPr>
        <w:t>PTEFs</w:t>
      </w:r>
      <w:r w:rsidR="008B08ED" w:rsidRPr="002B7C4B">
        <w:rPr>
          <w:rFonts w:ascii="Calibri" w:hAnsi="Calibri" w:cs="Calibri"/>
          <w:sz w:val="24"/>
          <w:szCs w:val="24"/>
          <w:lang w:val="el-GR"/>
        </w:rPr>
        <w:t xml:space="preserve"> </w:t>
      </w:r>
      <w:r w:rsidR="00A5147D" w:rsidRPr="004557A2">
        <w:rPr>
          <w:rFonts w:ascii="Calibri" w:hAnsi="Calibri" w:cs="Calibri"/>
          <w:sz w:val="24"/>
          <w:szCs w:val="24"/>
          <w:lang w:val="el-GR"/>
        </w:rPr>
        <w:t>(</w:t>
      </w:r>
      <w:r w:rsidR="008B08ED">
        <w:rPr>
          <w:rFonts w:ascii="Calibri" w:hAnsi="Calibri" w:cs="Calibri"/>
          <w:sz w:val="24"/>
          <w:szCs w:val="24"/>
          <w:lang w:val="el-GR"/>
        </w:rPr>
        <w:t xml:space="preserve">μια </w:t>
      </w:r>
      <w:r w:rsidR="008B08ED" w:rsidRPr="002B7C4B">
        <w:rPr>
          <w:rFonts w:ascii="Calibri" w:hAnsi="Calibri" w:cs="Calibri"/>
          <w:sz w:val="24"/>
          <w:szCs w:val="24"/>
          <w:lang w:val="el-GR"/>
        </w:rPr>
        <w:t>προϋπόθεση</w:t>
      </w:r>
      <w:r w:rsidR="008B08ED" w:rsidDel="008B08ED">
        <w:rPr>
          <w:rFonts w:ascii="Calibri" w:hAnsi="Calibri" w:cs="Calibri"/>
          <w:sz w:val="24"/>
          <w:szCs w:val="24"/>
          <w:lang w:val="el-GR"/>
        </w:rPr>
        <w:t xml:space="preserve"> </w:t>
      </w:r>
      <w:r>
        <w:rPr>
          <w:rFonts w:ascii="Calibri" w:hAnsi="Calibri" w:cs="Calibri"/>
          <w:sz w:val="24"/>
          <w:szCs w:val="24"/>
          <w:lang w:val="el-GR"/>
        </w:rPr>
        <w:t>που</w:t>
      </w:r>
      <w:r w:rsidRPr="004557A2">
        <w:rPr>
          <w:rFonts w:ascii="Calibri" w:hAnsi="Calibri" w:cs="Calibri"/>
          <w:sz w:val="24"/>
          <w:szCs w:val="24"/>
          <w:lang w:val="el-GR"/>
        </w:rPr>
        <w:t xml:space="preserve"> </w:t>
      </w:r>
      <w:r>
        <w:rPr>
          <w:rFonts w:ascii="Calibri" w:hAnsi="Calibri" w:cs="Calibri"/>
          <w:sz w:val="24"/>
          <w:szCs w:val="24"/>
          <w:lang w:val="el-GR"/>
        </w:rPr>
        <w:t>στο</w:t>
      </w:r>
      <w:r w:rsidRPr="004557A2">
        <w:rPr>
          <w:rFonts w:ascii="Calibri" w:hAnsi="Calibri" w:cs="Calibri"/>
          <w:sz w:val="24"/>
          <w:szCs w:val="24"/>
          <w:lang w:val="el-GR"/>
        </w:rPr>
        <w:t xml:space="preserve"> </w:t>
      </w:r>
      <w:r>
        <w:rPr>
          <w:rFonts w:ascii="Calibri" w:hAnsi="Calibri" w:cs="Calibri"/>
          <w:sz w:val="24"/>
          <w:szCs w:val="24"/>
          <w:lang w:val="el-GR"/>
        </w:rPr>
        <w:t>παρό</w:t>
      </w:r>
      <w:r w:rsidR="00BC7FB3">
        <w:rPr>
          <w:rFonts w:ascii="Calibri" w:hAnsi="Calibri" w:cs="Calibri"/>
          <w:sz w:val="24"/>
          <w:szCs w:val="24"/>
          <w:lang w:val="el-GR"/>
        </w:rPr>
        <w:t>ν</w:t>
      </w:r>
      <w:r w:rsidRPr="004557A2">
        <w:rPr>
          <w:rFonts w:ascii="Calibri" w:hAnsi="Calibri" w:cs="Calibri"/>
          <w:sz w:val="24"/>
          <w:szCs w:val="24"/>
          <w:lang w:val="el-GR"/>
        </w:rPr>
        <w:t xml:space="preserve"> </w:t>
      </w:r>
      <w:r>
        <w:rPr>
          <w:rFonts w:ascii="Calibri" w:hAnsi="Calibri" w:cs="Calibri"/>
          <w:sz w:val="24"/>
          <w:szCs w:val="24"/>
          <w:lang w:val="el-GR"/>
        </w:rPr>
        <w:t>στάδιο</w:t>
      </w:r>
      <w:r w:rsidRPr="004557A2">
        <w:rPr>
          <w:rFonts w:ascii="Calibri" w:hAnsi="Calibri" w:cs="Calibri"/>
          <w:sz w:val="24"/>
          <w:szCs w:val="24"/>
          <w:lang w:val="el-GR"/>
        </w:rPr>
        <w:t xml:space="preserve"> </w:t>
      </w:r>
      <w:r>
        <w:rPr>
          <w:rFonts w:ascii="Calibri" w:hAnsi="Calibri" w:cs="Calibri"/>
          <w:sz w:val="24"/>
          <w:szCs w:val="24"/>
          <w:lang w:val="el-GR"/>
        </w:rPr>
        <w:t>λείπει</w:t>
      </w:r>
      <w:r w:rsidR="00A5147D" w:rsidRPr="004557A2">
        <w:rPr>
          <w:rFonts w:ascii="Calibri" w:hAnsi="Calibri" w:cs="Calibri"/>
          <w:sz w:val="24"/>
          <w:szCs w:val="24"/>
          <w:lang w:val="el-GR"/>
        </w:rPr>
        <w:t xml:space="preserve">), </w:t>
      </w:r>
      <w:r>
        <w:rPr>
          <w:rFonts w:ascii="Calibri" w:hAnsi="Calibri" w:cs="Calibri"/>
          <w:sz w:val="24"/>
          <w:szCs w:val="24"/>
          <w:lang w:val="el-GR"/>
        </w:rPr>
        <w:t xml:space="preserve">για να αντιμετωπισθούν οποιαδήποτε </w:t>
      </w:r>
      <w:r w:rsidR="008B08ED">
        <w:rPr>
          <w:rFonts w:ascii="Calibri" w:hAnsi="Calibri" w:cs="Calibri"/>
          <w:sz w:val="24"/>
          <w:szCs w:val="24"/>
          <w:lang w:val="el-GR"/>
        </w:rPr>
        <w:t xml:space="preserve">ζητήματα </w:t>
      </w:r>
      <w:r>
        <w:rPr>
          <w:rFonts w:ascii="Calibri" w:hAnsi="Calibri" w:cs="Calibri"/>
          <w:sz w:val="24"/>
          <w:szCs w:val="24"/>
          <w:lang w:val="el-GR"/>
        </w:rPr>
        <w:t>που θα μπορούσαν να μετριάσουν</w:t>
      </w:r>
      <w:r w:rsidR="00A5147D" w:rsidRPr="004557A2">
        <w:rPr>
          <w:rFonts w:ascii="Calibri" w:hAnsi="Calibri" w:cs="Calibri"/>
          <w:sz w:val="24"/>
          <w:szCs w:val="24"/>
          <w:lang w:val="el-GR"/>
        </w:rPr>
        <w:t xml:space="preserve">, </w:t>
      </w:r>
      <w:r>
        <w:rPr>
          <w:rFonts w:ascii="Calibri" w:hAnsi="Calibri" w:cs="Calibri"/>
          <w:sz w:val="24"/>
          <w:szCs w:val="24"/>
          <w:lang w:val="el-GR"/>
        </w:rPr>
        <w:t xml:space="preserve">ή να </w:t>
      </w:r>
      <w:r w:rsidR="008B08ED">
        <w:rPr>
          <w:rFonts w:ascii="Calibri" w:hAnsi="Calibri" w:cs="Calibri"/>
          <w:sz w:val="24"/>
          <w:szCs w:val="24"/>
          <w:lang w:val="el-GR"/>
        </w:rPr>
        <w:t xml:space="preserve">εκληφθεί </w:t>
      </w:r>
      <w:r>
        <w:rPr>
          <w:rFonts w:ascii="Calibri" w:hAnsi="Calibri" w:cs="Calibri"/>
          <w:sz w:val="24"/>
          <w:szCs w:val="24"/>
          <w:lang w:val="el-GR"/>
        </w:rPr>
        <w:t>ότι μετριάζουν</w:t>
      </w:r>
      <w:r w:rsidR="00A5147D" w:rsidRPr="004557A2">
        <w:rPr>
          <w:rFonts w:ascii="Calibri" w:hAnsi="Calibri" w:cs="Calibri"/>
          <w:sz w:val="24"/>
          <w:szCs w:val="24"/>
          <w:lang w:val="el-GR"/>
        </w:rPr>
        <w:t xml:space="preserve">, </w:t>
      </w:r>
      <w:r>
        <w:rPr>
          <w:rFonts w:ascii="Calibri" w:hAnsi="Calibri" w:cs="Calibri"/>
          <w:sz w:val="24"/>
          <w:szCs w:val="24"/>
          <w:lang w:val="el-GR"/>
        </w:rPr>
        <w:t xml:space="preserve">την ικανότητα τους να εκτελούν </w:t>
      </w:r>
      <w:r w:rsidR="008B08ED">
        <w:rPr>
          <w:rFonts w:ascii="Calibri" w:hAnsi="Calibri" w:cs="Calibri"/>
          <w:sz w:val="24"/>
          <w:szCs w:val="24"/>
          <w:lang w:val="el-GR"/>
        </w:rPr>
        <w:t xml:space="preserve">τα </w:t>
      </w:r>
      <w:r>
        <w:rPr>
          <w:rFonts w:ascii="Calibri" w:hAnsi="Calibri" w:cs="Calibri"/>
          <w:sz w:val="24"/>
          <w:szCs w:val="24"/>
          <w:lang w:val="el-GR"/>
        </w:rPr>
        <w:t xml:space="preserve">δημόσια </w:t>
      </w:r>
      <w:r w:rsidR="008B08ED">
        <w:rPr>
          <w:rFonts w:ascii="Calibri" w:hAnsi="Calibri" w:cs="Calibri"/>
          <w:sz w:val="24"/>
          <w:szCs w:val="24"/>
          <w:lang w:val="el-GR"/>
        </w:rPr>
        <w:t xml:space="preserve">καθήκοντα τους </w:t>
      </w:r>
      <w:r>
        <w:rPr>
          <w:rFonts w:ascii="Calibri" w:hAnsi="Calibri" w:cs="Calibri"/>
          <w:sz w:val="24"/>
          <w:szCs w:val="24"/>
          <w:lang w:val="el-GR"/>
        </w:rPr>
        <w:t>με ένα αμερόληπτο τρόπο</w:t>
      </w:r>
      <w:r w:rsidR="00A5147D" w:rsidRPr="004557A2">
        <w:rPr>
          <w:rFonts w:ascii="Calibri" w:hAnsi="Calibri" w:cs="Calibri"/>
          <w:sz w:val="24"/>
          <w:szCs w:val="24"/>
          <w:lang w:val="el-GR"/>
        </w:rPr>
        <w:t xml:space="preserve">. </w:t>
      </w:r>
      <w:r w:rsidRPr="004557A2">
        <w:rPr>
          <w:rFonts w:ascii="Calibri" w:hAnsi="Calibri" w:cs="Calibri"/>
          <w:b/>
          <w:sz w:val="24"/>
          <w:szCs w:val="24"/>
          <w:lang w:val="el-GR"/>
        </w:rPr>
        <w:t xml:space="preserve">Η </w:t>
      </w:r>
      <w:r w:rsidR="00A5147D" w:rsidRPr="004E251E">
        <w:rPr>
          <w:rFonts w:ascii="Calibri" w:hAnsi="Calibri" w:cs="Calibri"/>
          <w:b/>
          <w:bCs/>
          <w:sz w:val="24"/>
          <w:szCs w:val="24"/>
        </w:rPr>
        <w:t>GRECO</w:t>
      </w:r>
      <w:r w:rsidR="00A5147D" w:rsidRPr="004557A2">
        <w:rPr>
          <w:rFonts w:ascii="Calibri" w:hAnsi="Calibri" w:cs="Calibri"/>
          <w:b/>
          <w:bCs/>
          <w:sz w:val="24"/>
          <w:szCs w:val="24"/>
          <w:lang w:val="el-GR"/>
        </w:rPr>
        <w:t xml:space="preserve"> </w:t>
      </w:r>
      <w:r w:rsidR="001B09F4">
        <w:rPr>
          <w:rFonts w:ascii="Calibri" w:hAnsi="Calibri" w:cs="Calibri"/>
          <w:b/>
          <w:bCs/>
          <w:sz w:val="24"/>
          <w:szCs w:val="24"/>
          <w:lang w:val="el-GR"/>
        </w:rPr>
        <w:t>συνιστά</w:t>
      </w:r>
      <w:r w:rsidRPr="004557A2">
        <w:rPr>
          <w:rFonts w:ascii="Calibri" w:hAnsi="Calibri" w:cs="Calibri"/>
          <w:b/>
          <w:bCs/>
          <w:sz w:val="24"/>
          <w:szCs w:val="24"/>
          <w:lang w:val="el-GR"/>
        </w:rPr>
        <w:t xml:space="preserve"> </w:t>
      </w:r>
      <w:r w:rsidR="00437DDD">
        <w:rPr>
          <w:rFonts w:ascii="Calibri" w:hAnsi="Calibri" w:cs="Calibri"/>
          <w:b/>
          <w:bCs/>
          <w:sz w:val="24"/>
          <w:szCs w:val="24"/>
          <w:lang w:val="el-GR"/>
        </w:rPr>
        <w:t xml:space="preserve">όπως </w:t>
      </w:r>
      <w:r>
        <w:rPr>
          <w:rFonts w:ascii="Calibri" w:hAnsi="Calibri" w:cs="Calibri"/>
          <w:b/>
          <w:bCs/>
          <w:sz w:val="24"/>
          <w:szCs w:val="24"/>
          <w:lang w:val="el-GR"/>
        </w:rPr>
        <w:t>άτομα</w:t>
      </w:r>
      <w:r w:rsidRPr="004557A2">
        <w:rPr>
          <w:rFonts w:ascii="Calibri" w:hAnsi="Calibri" w:cs="Calibri"/>
          <w:b/>
          <w:bCs/>
          <w:sz w:val="24"/>
          <w:szCs w:val="24"/>
          <w:lang w:val="el-GR"/>
        </w:rPr>
        <w:t xml:space="preserve"> </w:t>
      </w:r>
      <w:r>
        <w:rPr>
          <w:rFonts w:ascii="Calibri" w:hAnsi="Calibri" w:cs="Calibri"/>
          <w:b/>
          <w:bCs/>
          <w:sz w:val="24"/>
          <w:szCs w:val="24"/>
          <w:lang w:val="el-GR"/>
        </w:rPr>
        <w:t>που</w:t>
      </w:r>
      <w:r w:rsidRPr="004557A2">
        <w:rPr>
          <w:rFonts w:ascii="Calibri" w:hAnsi="Calibri" w:cs="Calibri"/>
          <w:b/>
          <w:bCs/>
          <w:sz w:val="24"/>
          <w:szCs w:val="24"/>
          <w:lang w:val="el-GR"/>
        </w:rPr>
        <w:t xml:space="preserve"> </w:t>
      </w:r>
      <w:r>
        <w:rPr>
          <w:rFonts w:ascii="Calibri" w:hAnsi="Calibri" w:cs="Calibri"/>
          <w:b/>
          <w:bCs/>
          <w:sz w:val="24"/>
          <w:szCs w:val="24"/>
          <w:lang w:val="el-GR"/>
        </w:rPr>
        <w:t>τους</w:t>
      </w:r>
      <w:r w:rsidRPr="004557A2">
        <w:rPr>
          <w:rFonts w:ascii="Calibri" w:hAnsi="Calibri" w:cs="Calibri"/>
          <w:b/>
          <w:bCs/>
          <w:sz w:val="24"/>
          <w:szCs w:val="24"/>
          <w:lang w:val="el-GR"/>
        </w:rPr>
        <w:t xml:space="preserve"> </w:t>
      </w:r>
      <w:r>
        <w:rPr>
          <w:rFonts w:ascii="Calibri" w:hAnsi="Calibri" w:cs="Calibri"/>
          <w:b/>
          <w:bCs/>
          <w:sz w:val="24"/>
          <w:szCs w:val="24"/>
          <w:lang w:val="el-GR"/>
        </w:rPr>
        <w:t>έχουν</w:t>
      </w:r>
      <w:r w:rsidRPr="004557A2">
        <w:rPr>
          <w:rFonts w:ascii="Calibri" w:hAnsi="Calibri" w:cs="Calibri"/>
          <w:b/>
          <w:bCs/>
          <w:sz w:val="24"/>
          <w:szCs w:val="24"/>
          <w:lang w:val="el-GR"/>
        </w:rPr>
        <w:t xml:space="preserve"> </w:t>
      </w:r>
      <w:r>
        <w:rPr>
          <w:rFonts w:ascii="Calibri" w:hAnsi="Calibri" w:cs="Calibri"/>
          <w:b/>
          <w:bCs/>
          <w:sz w:val="24"/>
          <w:szCs w:val="24"/>
          <w:lang w:val="el-GR"/>
        </w:rPr>
        <w:t>ανατεθεί</w:t>
      </w:r>
      <w:r w:rsidRPr="004557A2">
        <w:rPr>
          <w:rFonts w:ascii="Calibri" w:hAnsi="Calibri" w:cs="Calibri"/>
          <w:b/>
          <w:bCs/>
          <w:sz w:val="24"/>
          <w:szCs w:val="24"/>
          <w:lang w:val="el-GR"/>
        </w:rPr>
        <w:t xml:space="preserve"> </w:t>
      </w:r>
      <w:r w:rsidR="008B08ED">
        <w:rPr>
          <w:rFonts w:ascii="Calibri" w:hAnsi="Calibri" w:cs="Calibri"/>
          <w:b/>
          <w:bCs/>
          <w:sz w:val="24"/>
          <w:szCs w:val="24"/>
          <w:lang w:val="el-GR"/>
        </w:rPr>
        <w:t xml:space="preserve">ανώτατα </w:t>
      </w:r>
      <w:r>
        <w:rPr>
          <w:rFonts w:ascii="Calibri" w:hAnsi="Calibri" w:cs="Calibri"/>
          <w:b/>
          <w:bCs/>
          <w:sz w:val="24"/>
          <w:szCs w:val="24"/>
          <w:lang w:val="el-GR"/>
        </w:rPr>
        <w:t>εκτελεστικ</w:t>
      </w:r>
      <w:r w:rsidR="008B08ED">
        <w:rPr>
          <w:rFonts w:ascii="Calibri" w:hAnsi="Calibri" w:cs="Calibri"/>
          <w:b/>
          <w:bCs/>
          <w:sz w:val="24"/>
          <w:szCs w:val="24"/>
          <w:lang w:val="el-GR"/>
        </w:rPr>
        <w:t>ά</w:t>
      </w:r>
      <w:r w:rsidRPr="004557A2">
        <w:rPr>
          <w:rFonts w:ascii="Calibri" w:hAnsi="Calibri" w:cs="Calibri"/>
          <w:b/>
          <w:bCs/>
          <w:sz w:val="24"/>
          <w:szCs w:val="24"/>
          <w:lang w:val="el-GR"/>
        </w:rPr>
        <w:t xml:space="preserve"> </w:t>
      </w:r>
      <w:r w:rsidR="008B08ED">
        <w:rPr>
          <w:rFonts w:ascii="Calibri" w:hAnsi="Calibri" w:cs="Calibri"/>
          <w:b/>
          <w:bCs/>
          <w:sz w:val="24"/>
          <w:szCs w:val="24"/>
          <w:lang w:val="el-GR"/>
        </w:rPr>
        <w:t xml:space="preserve">καθήκοντα να </w:t>
      </w:r>
      <w:r>
        <w:rPr>
          <w:rFonts w:ascii="Calibri" w:hAnsi="Calibri" w:cs="Calibri"/>
          <w:b/>
          <w:bCs/>
          <w:sz w:val="24"/>
          <w:szCs w:val="24"/>
          <w:lang w:val="el-GR"/>
        </w:rPr>
        <w:t>υποβάλλονται</w:t>
      </w:r>
      <w:r w:rsidRPr="004557A2">
        <w:rPr>
          <w:rFonts w:ascii="Calibri" w:hAnsi="Calibri" w:cs="Calibri"/>
          <w:b/>
          <w:bCs/>
          <w:sz w:val="24"/>
          <w:szCs w:val="24"/>
          <w:lang w:val="el-GR"/>
        </w:rPr>
        <w:t xml:space="preserve"> </w:t>
      </w:r>
      <w:r>
        <w:rPr>
          <w:rFonts w:ascii="Calibri" w:hAnsi="Calibri" w:cs="Calibri"/>
          <w:b/>
          <w:bCs/>
          <w:sz w:val="24"/>
          <w:szCs w:val="24"/>
          <w:lang w:val="el-GR"/>
        </w:rPr>
        <w:t>σε</w:t>
      </w:r>
      <w:r w:rsidRPr="004557A2">
        <w:rPr>
          <w:rFonts w:ascii="Calibri" w:hAnsi="Calibri" w:cs="Calibri"/>
          <w:b/>
          <w:bCs/>
          <w:sz w:val="24"/>
          <w:szCs w:val="24"/>
          <w:lang w:val="el-GR"/>
        </w:rPr>
        <w:t xml:space="preserve"> </w:t>
      </w:r>
      <w:r>
        <w:rPr>
          <w:rFonts w:ascii="Calibri" w:hAnsi="Calibri" w:cs="Calibri"/>
          <w:b/>
          <w:bCs/>
          <w:sz w:val="24"/>
          <w:szCs w:val="24"/>
          <w:lang w:val="el-GR"/>
        </w:rPr>
        <w:t>έλεγχο ακεραιότητας</w:t>
      </w:r>
      <w:r w:rsidR="00A5147D" w:rsidRPr="004557A2">
        <w:rPr>
          <w:b/>
          <w:bCs/>
          <w:sz w:val="24"/>
          <w:szCs w:val="24"/>
          <w:lang w:val="el-GR"/>
        </w:rPr>
        <w:t xml:space="preserve"> </w:t>
      </w:r>
      <w:r>
        <w:rPr>
          <w:b/>
          <w:bCs/>
          <w:sz w:val="24"/>
          <w:szCs w:val="24"/>
          <w:lang w:val="el-GR"/>
        </w:rPr>
        <w:t>προτού ή αμέσως μετά τον διορισμό τους</w:t>
      </w:r>
      <w:r w:rsidR="00A5147D" w:rsidRPr="004557A2">
        <w:rPr>
          <w:b/>
          <w:bCs/>
          <w:sz w:val="24"/>
          <w:szCs w:val="24"/>
          <w:lang w:val="el-GR"/>
        </w:rPr>
        <w:t xml:space="preserve"> </w:t>
      </w:r>
      <w:r>
        <w:rPr>
          <w:b/>
          <w:bCs/>
          <w:sz w:val="24"/>
          <w:szCs w:val="24"/>
          <w:lang w:val="el-GR"/>
        </w:rPr>
        <w:t>για</w:t>
      </w:r>
      <w:r w:rsidR="008B08ED">
        <w:rPr>
          <w:b/>
          <w:bCs/>
          <w:sz w:val="24"/>
          <w:szCs w:val="24"/>
          <w:lang w:val="el-GR"/>
        </w:rPr>
        <w:t xml:space="preserve"> σκοπούς εντοπισμού και διαχείρισης</w:t>
      </w:r>
      <w:r>
        <w:rPr>
          <w:b/>
          <w:bCs/>
          <w:sz w:val="24"/>
          <w:szCs w:val="24"/>
          <w:lang w:val="el-GR"/>
        </w:rPr>
        <w:t xml:space="preserve"> πιθαν</w:t>
      </w:r>
      <w:r w:rsidR="008B08ED">
        <w:rPr>
          <w:b/>
          <w:bCs/>
          <w:sz w:val="24"/>
          <w:szCs w:val="24"/>
          <w:lang w:val="el-GR"/>
        </w:rPr>
        <w:t>ών</w:t>
      </w:r>
      <w:r>
        <w:rPr>
          <w:b/>
          <w:bCs/>
          <w:sz w:val="24"/>
          <w:szCs w:val="24"/>
          <w:lang w:val="el-GR"/>
        </w:rPr>
        <w:t xml:space="preserve"> συγκρούσε</w:t>
      </w:r>
      <w:r w:rsidR="008B08ED">
        <w:rPr>
          <w:b/>
          <w:bCs/>
          <w:sz w:val="24"/>
          <w:szCs w:val="24"/>
          <w:lang w:val="el-GR"/>
        </w:rPr>
        <w:t>ων</w:t>
      </w:r>
      <w:r>
        <w:rPr>
          <w:b/>
          <w:bCs/>
          <w:sz w:val="24"/>
          <w:szCs w:val="24"/>
          <w:lang w:val="el-GR"/>
        </w:rPr>
        <w:t xml:space="preserve"> συμφερόντων</w:t>
      </w:r>
      <w:r w:rsidR="00A5147D" w:rsidRPr="004557A2">
        <w:rPr>
          <w:b/>
          <w:bCs/>
          <w:sz w:val="24"/>
          <w:szCs w:val="24"/>
          <w:lang w:val="el-GR"/>
        </w:rPr>
        <w:t xml:space="preserve">. </w:t>
      </w:r>
    </w:p>
    <w:bookmarkEnd w:id="47"/>
    <w:p w14:paraId="714F1724" w14:textId="77777777" w:rsidR="00A5147D" w:rsidRPr="004557A2" w:rsidRDefault="00A5147D" w:rsidP="00A5147D">
      <w:pPr>
        <w:rPr>
          <w:rFonts w:cstheme="minorHAnsi"/>
          <w:sz w:val="24"/>
          <w:szCs w:val="24"/>
          <w:lang w:val="el-GR"/>
        </w:rPr>
      </w:pPr>
    </w:p>
    <w:p w14:paraId="0237AB4E" w14:textId="76C4A179" w:rsidR="00A5147D" w:rsidRPr="004557A2" w:rsidRDefault="004557A2" w:rsidP="00A5147D">
      <w:pPr>
        <w:pStyle w:val="Heading3"/>
        <w:spacing w:before="0"/>
        <w:rPr>
          <w:rFonts w:asciiTheme="minorHAnsi" w:hAnsiTheme="minorHAnsi" w:cstheme="minorHAnsi"/>
          <w:b w:val="0"/>
          <w:bCs w:val="0"/>
          <w:i/>
          <w:iCs/>
          <w:color w:val="auto"/>
          <w:sz w:val="24"/>
          <w:szCs w:val="24"/>
          <w:lang w:val="el-GR"/>
        </w:rPr>
      </w:pPr>
      <w:bookmarkStart w:id="48" w:name="_Toc117264344"/>
      <w:bookmarkStart w:id="49" w:name="_Toc136879342"/>
      <w:r>
        <w:rPr>
          <w:rFonts w:asciiTheme="minorHAnsi" w:hAnsiTheme="minorHAnsi" w:cstheme="minorHAnsi"/>
          <w:b w:val="0"/>
          <w:bCs w:val="0"/>
          <w:i/>
          <w:iCs/>
          <w:color w:val="auto"/>
          <w:sz w:val="24"/>
          <w:szCs w:val="24"/>
          <w:lang w:val="el-GR"/>
        </w:rPr>
        <w:lastRenderedPageBreak/>
        <w:t>Αμοιβή</w:t>
      </w:r>
      <w:r w:rsidRPr="004557A2">
        <w:rPr>
          <w:rFonts w:asciiTheme="minorHAnsi" w:hAnsiTheme="minorHAnsi" w:cstheme="minorHAnsi"/>
          <w:b w:val="0"/>
          <w:bCs w:val="0"/>
          <w:i/>
          <w:iCs/>
          <w:color w:val="auto"/>
          <w:sz w:val="24"/>
          <w:szCs w:val="24"/>
          <w:lang w:val="el-GR"/>
        </w:rPr>
        <w:t xml:space="preserve"> </w:t>
      </w:r>
      <w:r>
        <w:rPr>
          <w:rFonts w:asciiTheme="minorHAnsi" w:hAnsiTheme="minorHAnsi" w:cstheme="minorHAnsi"/>
          <w:b w:val="0"/>
          <w:bCs w:val="0"/>
          <w:i/>
          <w:iCs/>
          <w:color w:val="auto"/>
          <w:sz w:val="24"/>
          <w:szCs w:val="24"/>
          <w:lang w:val="el-GR"/>
        </w:rPr>
        <w:t>ατόμων</w:t>
      </w:r>
      <w:r w:rsidRPr="004557A2">
        <w:rPr>
          <w:rFonts w:asciiTheme="minorHAnsi" w:hAnsiTheme="minorHAnsi" w:cstheme="minorHAnsi"/>
          <w:b w:val="0"/>
          <w:bCs w:val="0"/>
          <w:i/>
          <w:iCs/>
          <w:color w:val="auto"/>
          <w:sz w:val="24"/>
          <w:szCs w:val="24"/>
          <w:lang w:val="el-GR"/>
        </w:rPr>
        <w:t xml:space="preserve"> </w:t>
      </w:r>
      <w:r>
        <w:rPr>
          <w:rFonts w:asciiTheme="minorHAnsi" w:hAnsiTheme="minorHAnsi" w:cstheme="minorHAnsi"/>
          <w:b w:val="0"/>
          <w:bCs w:val="0"/>
          <w:i/>
          <w:iCs/>
          <w:color w:val="auto"/>
          <w:sz w:val="24"/>
          <w:szCs w:val="24"/>
          <w:lang w:val="el-GR"/>
        </w:rPr>
        <w:t>με</w:t>
      </w:r>
      <w:r w:rsidRPr="004557A2">
        <w:rPr>
          <w:rFonts w:asciiTheme="minorHAnsi" w:hAnsiTheme="minorHAnsi" w:cstheme="minorHAnsi"/>
          <w:b w:val="0"/>
          <w:bCs w:val="0"/>
          <w:i/>
          <w:iCs/>
          <w:color w:val="auto"/>
          <w:sz w:val="24"/>
          <w:szCs w:val="24"/>
          <w:lang w:val="el-GR"/>
        </w:rPr>
        <w:t xml:space="preserve"> </w:t>
      </w:r>
      <w:r w:rsidR="00606DF3">
        <w:rPr>
          <w:rFonts w:asciiTheme="minorHAnsi" w:hAnsiTheme="minorHAnsi" w:cstheme="minorHAnsi"/>
          <w:b w:val="0"/>
          <w:bCs w:val="0"/>
          <w:i/>
          <w:iCs/>
          <w:color w:val="auto"/>
          <w:sz w:val="24"/>
          <w:szCs w:val="24"/>
          <w:lang w:val="el-GR"/>
        </w:rPr>
        <w:t xml:space="preserve">ανώτατα </w:t>
      </w:r>
      <w:r>
        <w:rPr>
          <w:rFonts w:asciiTheme="minorHAnsi" w:hAnsiTheme="minorHAnsi" w:cstheme="minorHAnsi"/>
          <w:b w:val="0"/>
          <w:bCs w:val="0"/>
          <w:i/>
          <w:iCs/>
          <w:color w:val="auto"/>
          <w:sz w:val="24"/>
          <w:szCs w:val="24"/>
          <w:lang w:val="el-GR"/>
        </w:rPr>
        <w:t>εκτελεστικ</w:t>
      </w:r>
      <w:r w:rsidR="00606DF3">
        <w:rPr>
          <w:rFonts w:asciiTheme="minorHAnsi" w:hAnsiTheme="minorHAnsi" w:cstheme="minorHAnsi"/>
          <w:b w:val="0"/>
          <w:bCs w:val="0"/>
          <w:i/>
          <w:iCs/>
          <w:color w:val="auto"/>
          <w:sz w:val="24"/>
          <w:szCs w:val="24"/>
          <w:lang w:val="el-GR"/>
        </w:rPr>
        <w:t>ά</w:t>
      </w:r>
      <w:r w:rsidRPr="004557A2">
        <w:rPr>
          <w:rFonts w:asciiTheme="minorHAnsi" w:hAnsiTheme="minorHAnsi" w:cstheme="minorHAnsi"/>
          <w:b w:val="0"/>
          <w:bCs w:val="0"/>
          <w:i/>
          <w:iCs/>
          <w:color w:val="auto"/>
          <w:sz w:val="24"/>
          <w:szCs w:val="24"/>
          <w:lang w:val="el-GR"/>
        </w:rPr>
        <w:t xml:space="preserve"> </w:t>
      </w:r>
      <w:r w:rsidR="00606DF3">
        <w:rPr>
          <w:rFonts w:asciiTheme="minorHAnsi" w:hAnsiTheme="minorHAnsi" w:cstheme="minorHAnsi"/>
          <w:b w:val="0"/>
          <w:bCs w:val="0"/>
          <w:i/>
          <w:iCs/>
          <w:color w:val="auto"/>
          <w:sz w:val="24"/>
          <w:szCs w:val="24"/>
          <w:lang w:val="el-GR"/>
        </w:rPr>
        <w:t xml:space="preserve">καθήκοντα </w:t>
      </w:r>
      <w:bookmarkEnd w:id="48"/>
      <w:bookmarkEnd w:id="49"/>
    </w:p>
    <w:p w14:paraId="2CB3801E" w14:textId="77777777" w:rsidR="00A5147D" w:rsidRPr="004557A2" w:rsidRDefault="00A5147D" w:rsidP="00A5147D">
      <w:pPr>
        <w:rPr>
          <w:lang w:val="el-GR"/>
        </w:rPr>
      </w:pPr>
    </w:p>
    <w:p w14:paraId="7D46BBE4" w14:textId="5AFE97EE" w:rsidR="00A5147D" w:rsidRPr="00932181" w:rsidRDefault="00932181" w:rsidP="00A5147D">
      <w:pPr>
        <w:numPr>
          <w:ilvl w:val="0"/>
          <w:numId w:val="1"/>
        </w:numPr>
        <w:tabs>
          <w:tab w:val="clear" w:pos="6095"/>
          <w:tab w:val="left" w:pos="709"/>
        </w:tabs>
        <w:ind w:left="0" w:firstLine="0"/>
        <w:rPr>
          <w:rFonts w:cstheme="minorHAnsi"/>
          <w:i/>
          <w:iCs/>
          <w:color w:val="FF0000"/>
          <w:sz w:val="24"/>
          <w:szCs w:val="24"/>
          <w:lang w:val="el-GR"/>
        </w:rPr>
      </w:pPr>
      <w:r>
        <w:rPr>
          <w:rFonts w:cstheme="minorHAnsi"/>
          <w:color w:val="000000"/>
          <w:sz w:val="24"/>
          <w:szCs w:val="24"/>
          <w:lang w:val="el-GR"/>
        </w:rPr>
        <w:t>Το</w:t>
      </w:r>
      <w:r w:rsidRPr="00932181">
        <w:rPr>
          <w:rFonts w:cstheme="minorHAnsi"/>
          <w:color w:val="000000"/>
          <w:sz w:val="24"/>
          <w:szCs w:val="24"/>
          <w:lang w:val="el-GR"/>
        </w:rPr>
        <w:t xml:space="preserve"> </w:t>
      </w:r>
      <w:r>
        <w:rPr>
          <w:rFonts w:cstheme="minorHAnsi"/>
          <w:color w:val="000000"/>
          <w:sz w:val="24"/>
          <w:szCs w:val="24"/>
          <w:lang w:val="el-GR"/>
        </w:rPr>
        <w:t>εύρος</w:t>
      </w:r>
      <w:r w:rsidRPr="00932181">
        <w:rPr>
          <w:rFonts w:cstheme="minorHAnsi"/>
          <w:color w:val="000000"/>
          <w:sz w:val="24"/>
          <w:szCs w:val="24"/>
          <w:lang w:val="el-GR"/>
        </w:rPr>
        <w:t xml:space="preserve"> </w:t>
      </w:r>
      <w:r>
        <w:rPr>
          <w:rFonts w:cstheme="minorHAnsi"/>
          <w:color w:val="000000"/>
          <w:sz w:val="24"/>
          <w:szCs w:val="24"/>
          <w:lang w:val="el-GR"/>
        </w:rPr>
        <w:t>των</w:t>
      </w:r>
      <w:r w:rsidRPr="00932181">
        <w:rPr>
          <w:rFonts w:cstheme="minorHAnsi"/>
          <w:color w:val="000000"/>
          <w:sz w:val="24"/>
          <w:szCs w:val="24"/>
          <w:lang w:val="el-GR"/>
        </w:rPr>
        <w:t xml:space="preserve"> </w:t>
      </w:r>
      <w:r>
        <w:rPr>
          <w:rFonts w:cstheme="minorHAnsi"/>
          <w:color w:val="000000"/>
          <w:sz w:val="24"/>
          <w:szCs w:val="24"/>
          <w:lang w:val="el-GR"/>
        </w:rPr>
        <w:t>μισθών</w:t>
      </w:r>
      <w:r w:rsidRPr="00932181">
        <w:rPr>
          <w:rFonts w:cstheme="minorHAnsi"/>
          <w:color w:val="000000"/>
          <w:sz w:val="24"/>
          <w:szCs w:val="24"/>
          <w:lang w:val="el-GR"/>
        </w:rPr>
        <w:t xml:space="preserve"> </w:t>
      </w:r>
      <w:r>
        <w:rPr>
          <w:rFonts w:cstheme="minorHAnsi"/>
          <w:color w:val="000000"/>
          <w:sz w:val="24"/>
          <w:szCs w:val="24"/>
          <w:lang w:val="el-GR"/>
        </w:rPr>
        <w:t>για</w:t>
      </w:r>
      <w:r w:rsidRPr="00932181">
        <w:rPr>
          <w:rFonts w:cstheme="minorHAnsi"/>
          <w:color w:val="000000"/>
          <w:sz w:val="24"/>
          <w:szCs w:val="24"/>
          <w:lang w:val="el-GR"/>
        </w:rPr>
        <w:t xml:space="preserve"> </w:t>
      </w:r>
      <w:r w:rsidR="00606DF3">
        <w:rPr>
          <w:rFonts w:cstheme="minorHAnsi"/>
          <w:color w:val="000000"/>
          <w:sz w:val="24"/>
          <w:szCs w:val="24"/>
          <w:lang w:val="el-GR"/>
        </w:rPr>
        <w:t xml:space="preserve">τους </w:t>
      </w:r>
      <w:r w:rsidR="00606DF3">
        <w:rPr>
          <w:rFonts w:cstheme="minorHAnsi"/>
          <w:color w:val="000000"/>
          <w:sz w:val="24"/>
          <w:szCs w:val="24"/>
          <w:lang w:val="en-US"/>
        </w:rPr>
        <w:t>PTEFs</w:t>
      </w:r>
      <w:r w:rsidR="00606DF3" w:rsidRPr="002B7C4B">
        <w:rPr>
          <w:rFonts w:cstheme="minorHAnsi"/>
          <w:color w:val="000000"/>
          <w:sz w:val="24"/>
          <w:szCs w:val="24"/>
          <w:lang w:val="el-GR"/>
        </w:rPr>
        <w:t xml:space="preserve"> </w:t>
      </w:r>
      <w:r>
        <w:rPr>
          <w:rFonts w:cstheme="minorHAnsi"/>
          <w:color w:val="000000"/>
          <w:sz w:val="24"/>
          <w:szCs w:val="24"/>
          <w:lang w:val="el-GR"/>
        </w:rPr>
        <w:t>έχει</w:t>
      </w:r>
      <w:r w:rsidRPr="00932181">
        <w:rPr>
          <w:rFonts w:cstheme="minorHAnsi"/>
          <w:color w:val="000000"/>
          <w:sz w:val="24"/>
          <w:szCs w:val="24"/>
          <w:lang w:val="el-GR"/>
        </w:rPr>
        <w:t xml:space="preserve"> </w:t>
      </w:r>
      <w:r>
        <w:rPr>
          <w:rFonts w:cstheme="minorHAnsi"/>
          <w:color w:val="000000"/>
          <w:sz w:val="24"/>
          <w:szCs w:val="24"/>
          <w:lang w:val="el-GR"/>
        </w:rPr>
        <w:t>ως</w:t>
      </w:r>
      <w:r w:rsidRPr="00932181">
        <w:rPr>
          <w:rFonts w:cstheme="minorHAnsi"/>
          <w:color w:val="000000"/>
          <w:sz w:val="24"/>
          <w:szCs w:val="24"/>
          <w:lang w:val="el-GR"/>
        </w:rPr>
        <w:t xml:space="preserve"> </w:t>
      </w:r>
      <w:r>
        <w:rPr>
          <w:rFonts w:cstheme="minorHAnsi"/>
          <w:color w:val="000000"/>
          <w:sz w:val="24"/>
          <w:szCs w:val="24"/>
          <w:lang w:val="el-GR"/>
        </w:rPr>
        <w:t>εξής</w:t>
      </w:r>
      <w:r w:rsidR="00A5147D" w:rsidRPr="00932181">
        <w:rPr>
          <w:rFonts w:cstheme="minorHAnsi"/>
          <w:color w:val="000000"/>
          <w:sz w:val="24"/>
          <w:szCs w:val="24"/>
          <w:lang w:val="el-GR"/>
        </w:rPr>
        <w:t xml:space="preserve"> (</w:t>
      </w:r>
      <w:r>
        <w:rPr>
          <w:rFonts w:cstheme="minorHAnsi"/>
          <w:color w:val="000000"/>
          <w:sz w:val="24"/>
          <w:szCs w:val="24"/>
          <w:lang w:val="el-GR"/>
        </w:rPr>
        <w:t>ο</w:t>
      </w:r>
      <w:r w:rsidRPr="00932181">
        <w:rPr>
          <w:rFonts w:cstheme="minorHAnsi"/>
          <w:color w:val="000000"/>
          <w:sz w:val="24"/>
          <w:szCs w:val="24"/>
          <w:lang w:val="el-GR"/>
        </w:rPr>
        <w:t xml:space="preserve"> </w:t>
      </w:r>
      <w:r>
        <w:rPr>
          <w:rFonts w:cstheme="minorHAnsi"/>
          <w:color w:val="000000"/>
          <w:sz w:val="24"/>
          <w:szCs w:val="24"/>
          <w:lang w:val="el-GR"/>
        </w:rPr>
        <w:t>μέσος</w:t>
      </w:r>
      <w:r w:rsidRPr="00932181">
        <w:rPr>
          <w:rFonts w:cstheme="minorHAnsi"/>
          <w:color w:val="000000"/>
          <w:sz w:val="24"/>
          <w:szCs w:val="24"/>
          <w:lang w:val="el-GR"/>
        </w:rPr>
        <w:t xml:space="preserve"> </w:t>
      </w:r>
      <w:r>
        <w:rPr>
          <w:rFonts w:cstheme="minorHAnsi"/>
          <w:color w:val="000000"/>
          <w:sz w:val="24"/>
          <w:szCs w:val="24"/>
          <w:lang w:val="el-GR"/>
        </w:rPr>
        <w:t>όρος ακάθαρτου μηνιαίου μισθού στην Κύπρο</w:t>
      </w:r>
      <w:r w:rsidR="00A5147D" w:rsidRPr="00932181">
        <w:rPr>
          <w:rFonts w:cstheme="minorHAnsi"/>
          <w:color w:val="000000"/>
          <w:sz w:val="24"/>
          <w:szCs w:val="24"/>
          <w:lang w:val="el-GR"/>
        </w:rPr>
        <w:t xml:space="preserve"> </w:t>
      </w:r>
      <w:r>
        <w:rPr>
          <w:rFonts w:cstheme="minorHAnsi"/>
          <w:color w:val="000000"/>
          <w:sz w:val="24"/>
          <w:szCs w:val="24"/>
          <w:lang w:val="el-GR"/>
        </w:rPr>
        <w:t>ανέρχεται περίπου στα</w:t>
      </w:r>
      <w:r w:rsidR="00A5147D" w:rsidRPr="00932181">
        <w:rPr>
          <w:rFonts w:cstheme="minorHAnsi"/>
          <w:color w:val="000000"/>
          <w:sz w:val="24"/>
          <w:szCs w:val="24"/>
          <w:lang w:val="el-GR"/>
        </w:rPr>
        <w:t xml:space="preserve"> € 2 160/</w:t>
      </w:r>
      <w:r>
        <w:rPr>
          <w:rFonts w:cstheme="minorHAnsi"/>
          <w:color w:val="000000"/>
          <w:sz w:val="24"/>
          <w:szCs w:val="24"/>
          <w:lang w:val="el-GR"/>
        </w:rPr>
        <w:t>τον μήνα</w:t>
      </w:r>
      <w:r w:rsidR="00A5147D" w:rsidRPr="00932181">
        <w:rPr>
          <w:rFonts w:cstheme="minorHAnsi"/>
          <w:color w:val="000000"/>
          <w:sz w:val="24"/>
          <w:szCs w:val="24"/>
          <w:lang w:val="el-GR"/>
        </w:rPr>
        <w:t>)</w:t>
      </w:r>
      <w:r w:rsidR="00A5147D" w:rsidRPr="00932181">
        <w:rPr>
          <w:rFonts w:ascii="Arial" w:hAnsi="Arial" w:cs="Arial"/>
          <w:shd w:val="clear" w:color="auto" w:fill="FFFFFF"/>
          <w:lang w:val="el-GR"/>
        </w:rPr>
        <w:t>:</w:t>
      </w:r>
    </w:p>
    <w:p w14:paraId="1DA30521" w14:textId="4CF9C1D3" w:rsidR="00A5147D" w:rsidRPr="00932181" w:rsidRDefault="00A5147D" w:rsidP="00A5147D">
      <w:pPr>
        <w:rPr>
          <w:rFonts w:cstheme="minorHAnsi"/>
          <w:sz w:val="24"/>
          <w:szCs w:val="24"/>
          <w:lang w:val="el-GR"/>
        </w:rPr>
      </w:pPr>
    </w:p>
    <w:p w14:paraId="248D9E69" w14:textId="77777777" w:rsidR="00E634DC" w:rsidRPr="00932181" w:rsidRDefault="00E634DC" w:rsidP="00A5147D">
      <w:pPr>
        <w:rPr>
          <w:rFonts w:cstheme="minorHAnsi"/>
          <w:sz w:val="24"/>
          <w:szCs w:val="24"/>
          <w:lang w:val="el-GR"/>
        </w:rPr>
      </w:pPr>
    </w:p>
    <w:tbl>
      <w:tblPr>
        <w:tblStyle w:val="TableGrid"/>
        <w:tblW w:w="0" w:type="auto"/>
        <w:tblLook w:val="04A0" w:firstRow="1" w:lastRow="0" w:firstColumn="1" w:lastColumn="0" w:noHBand="0" w:noVBand="1"/>
      </w:tblPr>
      <w:tblGrid>
        <w:gridCol w:w="5382"/>
        <w:gridCol w:w="3678"/>
      </w:tblGrid>
      <w:tr w:rsidR="00A5147D" w:rsidRPr="004E251E" w14:paraId="131F9530" w14:textId="77777777" w:rsidTr="00932181">
        <w:trPr>
          <w:tblHeader/>
        </w:trPr>
        <w:tc>
          <w:tcPr>
            <w:tcW w:w="5382" w:type="dxa"/>
            <w:shd w:val="clear" w:color="auto" w:fill="BFBFBF" w:themeFill="background1" w:themeFillShade="BF"/>
          </w:tcPr>
          <w:p w14:paraId="12087AAA" w14:textId="16189CF4" w:rsidR="00A5147D" w:rsidRPr="004E251E" w:rsidRDefault="00932181" w:rsidP="00932181">
            <w:pPr>
              <w:rPr>
                <w:rFonts w:cstheme="minorHAnsi"/>
                <w:b/>
                <w:bCs/>
                <w:sz w:val="24"/>
                <w:szCs w:val="24"/>
              </w:rPr>
            </w:pPr>
            <w:bookmarkStart w:id="50" w:name="_Hlk134465551"/>
            <w:r>
              <w:rPr>
                <w:rFonts w:cstheme="minorHAnsi"/>
                <w:b/>
                <w:bCs/>
                <w:sz w:val="24"/>
                <w:szCs w:val="24"/>
                <w:lang w:val="el-GR"/>
              </w:rPr>
              <w:t>Θέση</w:t>
            </w:r>
          </w:p>
        </w:tc>
        <w:tc>
          <w:tcPr>
            <w:tcW w:w="3678" w:type="dxa"/>
            <w:shd w:val="clear" w:color="auto" w:fill="BFBFBF" w:themeFill="background1" w:themeFillShade="BF"/>
          </w:tcPr>
          <w:p w14:paraId="6A567DA8" w14:textId="1D275CFC" w:rsidR="00A5147D" w:rsidRPr="004E251E" w:rsidRDefault="00932181" w:rsidP="00932181">
            <w:pPr>
              <w:rPr>
                <w:rFonts w:cstheme="minorHAnsi"/>
                <w:b/>
                <w:bCs/>
              </w:rPr>
            </w:pPr>
            <w:r>
              <w:rPr>
                <w:rFonts w:cstheme="minorHAnsi"/>
                <w:b/>
                <w:bCs/>
                <w:lang w:val="el-GR"/>
              </w:rPr>
              <w:t>Μισθός</w:t>
            </w:r>
          </w:p>
        </w:tc>
      </w:tr>
      <w:tr w:rsidR="00A5147D" w:rsidRPr="00B95983" w14:paraId="5871A7EF" w14:textId="77777777" w:rsidTr="00932181">
        <w:tc>
          <w:tcPr>
            <w:tcW w:w="5382" w:type="dxa"/>
          </w:tcPr>
          <w:p w14:paraId="3DAB0F48" w14:textId="295BB635" w:rsidR="00A5147D" w:rsidRPr="00B95983" w:rsidRDefault="00932181" w:rsidP="00932181">
            <w:pPr>
              <w:rPr>
                <w:rFonts w:cstheme="minorHAnsi"/>
              </w:rPr>
            </w:pPr>
            <w:r>
              <w:rPr>
                <w:rFonts w:cstheme="minorHAnsi"/>
                <w:lang w:val="el-GR"/>
              </w:rPr>
              <w:t>Πρόεδρος</w:t>
            </w:r>
            <w:r w:rsidR="00A5147D" w:rsidRPr="00B95983">
              <w:rPr>
                <w:rFonts w:cstheme="minorHAnsi"/>
              </w:rPr>
              <w:t xml:space="preserve"> </w:t>
            </w:r>
          </w:p>
        </w:tc>
        <w:tc>
          <w:tcPr>
            <w:tcW w:w="3678" w:type="dxa"/>
          </w:tcPr>
          <w:p w14:paraId="66760383" w14:textId="19FFFC06" w:rsidR="00A5147D" w:rsidRPr="00B95983" w:rsidRDefault="00A5147D" w:rsidP="00932181">
            <w:pPr>
              <w:rPr>
                <w:rFonts w:cstheme="minorHAnsi"/>
              </w:rPr>
            </w:pPr>
            <w:r w:rsidRPr="00B95983">
              <w:rPr>
                <w:rFonts w:cstheme="minorHAnsi"/>
              </w:rPr>
              <w:t>€13 </w:t>
            </w:r>
            <w:r w:rsidR="001C41D4" w:rsidRPr="00B95983">
              <w:rPr>
                <w:rFonts w:cstheme="minorHAnsi"/>
              </w:rPr>
              <w:t>680</w:t>
            </w:r>
            <w:r w:rsidRPr="00B95983">
              <w:rPr>
                <w:rFonts w:cstheme="minorHAnsi"/>
              </w:rPr>
              <w:t xml:space="preserve"> / </w:t>
            </w:r>
            <w:r w:rsidR="00932181">
              <w:rPr>
                <w:rFonts w:cstheme="minorHAnsi"/>
                <w:lang w:val="el-GR"/>
              </w:rPr>
              <w:t>τον μήνα</w:t>
            </w:r>
          </w:p>
        </w:tc>
      </w:tr>
      <w:tr w:rsidR="00A5147D" w:rsidRPr="00B95983" w14:paraId="5602F1F1" w14:textId="77777777" w:rsidTr="00932181">
        <w:tc>
          <w:tcPr>
            <w:tcW w:w="5382" w:type="dxa"/>
          </w:tcPr>
          <w:p w14:paraId="1B445285" w14:textId="65966335" w:rsidR="00A5147D" w:rsidRPr="00932181" w:rsidRDefault="00932181" w:rsidP="00CF2E8A">
            <w:pPr>
              <w:rPr>
                <w:rFonts w:cstheme="minorHAnsi"/>
                <w:lang w:val="el-GR"/>
              </w:rPr>
            </w:pPr>
            <w:r>
              <w:rPr>
                <w:rFonts w:cstheme="minorHAnsi"/>
                <w:lang w:val="el-GR"/>
              </w:rPr>
              <w:t>Υπουργός</w:t>
            </w:r>
          </w:p>
        </w:tc>
        <w:tc>
          <w:tcPr>
            <w:tcW w:w="3678" w:type="dxa"/>
          </w:tcPr>
          <w:p w14:paraId="271E71DD" w14:textId="3FA9FF95" w:rsidR="00A5147D" w:rsidRPr="00932181" w:rsidRDefault="00A5147D" w:rsidP="00CF2E8A">
            <w:pPr>
              <w:rPr>
                <w:rFonts w:cstheme="minorHAnsi"/>
                <w:lang w:val="el-GR"/>
              </w:rPr>
            </w:pPr>
            <w:r w:rsidRPr="00B95983">
              <w:rPr>
                <w:rFonts w:cstheme="minorHAnsi"/>
              </w:rPr>
              <w:t>€8 </w:t>
            </w:r>
            <w:r w:rsidR="001C41D4" w:rsidRPr="00B95983">
              <w:rPr>
                <w:rFonts w:cstheme="minorHAnsi"/>
              </w:rPr>
              <w:t>874</w:t>
            </w:r>
            <w:r w:rsidR="00932181">
              <w:rPr>
                <w:rFonts w:cstheme="minorHAnsi"/>
              </w:rPr>
              <w:t xml:space="preserve"> / </w:t>
            </w:r>
            <w:proofErr w:type="spellStart"/>
            <w:r w:rsidR="00932181">
              <w:rPr>
                <w:rFonts w:cstheme="minorHAnsi"/>
              </w:rPr>
              <w:t>τον</w:t>
            </w:r>
            <w:proofErr w:type="spellEnd"/>
            <w:r w:rsidR="00932181">
              <w:rPr>
                <w:rFonts w:cstheme="minorHAnsi"/>
              </w:rPr>
              <w:t xml:space="preserve"> μ</w:t>
            </w:r>
            <w:proofErr w:type="spellStart"/>
            <w:r w:rsidR="00932181">
              <w:rPr>
                <w:rFonts w:cstheme="minorHAnsi"/>
                <w:lang w:val="el-GR"/>
              </w:rPr>
              <w:t>ήνα</w:t>
            </w:r>
            <w:proofErr w:type="spellEnd"/>
          </w:p>
        </w:tc>
      </w:tr>
      <w:tr w:rsidR="00A5147D" w:rsidRPr="00B95983" w14:paraId="4D4D2151" w14:textId="77777777" w:rsidTr="00932181">
        <w:tc>
          <w:tcPr>
            <w:tcW w:w="5382" w:type="dxa"/>
          </w:tcPr>
          <w:p w14:paraId="4A088F67" w14:textId="35730DCE" w:rsidR="00A5147D" w:rsidRPr="00932181" w:rsidRDefault="00932181" w:rsidP="00CF2E8A">
            <w:pPr>
              <w:rPr>
                <w:rFonts w:cstheme="minorHAnsi"/>
                <w:lang w:val="el-GR"/>
              </w:rPr>
            </w:pPr>
            <w:r>
              <w:rPr>
                <w:rFonts w:cstheme="minorHAnsi"/>
                <w:lang w:val="el-GR"/>
              </w:rPr>
              <w:t>Υφυπουργός</w:t>
            </w:r>
          </w:p>
        </w:tc>
        <w:tc>
          <w:tcPr>
            <w:tcW w:w="3678" w:type="dxa"/>
          </w:tcPr>
          <w:p w14:paraId="45724EFD" w14:textId="7B65FE4E" w:rsidR="00A5147D" w:rsidRPr="00932181" w:rsidRDefault="001C41D4" w:rsidP="00CF2E8A">
            <w:pPr>
              <w:rPr>
                <w:rFonts w:cstheme="minorHAnsi"/>
                <w:lang w:val="el-GR"/>
              </w:rPr>
            </w:pPr>
            <w:r w:rsidRPr="00B95983">
              <w:rPr>
                <w:rFonts w:cstheme="minorHAnsi"/>
              </w:rPr>
              <w:t xml:space="preserve">€8 874 </w:t>
            </w:r>
            <w:r w:rsidR="00932181">
              <w:rPr>
                <w:rFonts w:cstheme="minorHAnsi"/>
              </w:rPr>
              <w:t xml:space="preserve">/ </w:t>
            </w:r>
            <w:proofErr w:type="spellStart"/>
            <w:r w:rsidR="00932181">
              <w:rPr>
                <w:rFonts w:cstheme="minorHAnsi"/>
              </w:rPr>
              <w:t>τον</w:t>
            </w:r>
            <w:proofErr w:type="spellEnd"/>
            <w:r w:rsidR="00932181">
              <w:rPr>
                <w:rFonts w:cstheme="minorHAnsi"/>
              </w:rPr>
              <w:t xml:space="preserve"> μ</w:t>
            </w:r>
            <w:proofErr w:type="spellStart"/>
            <w:r w:rsidR="00932181">
              <w:rPr>
                <w:rFonts w:cstheme="minorHAnsi"/>
                <w:lang w:val="el-GR"/>
              </w:rPr>
              <w:t>ήνα</w:t>
            </w:r>
            <w:proofErr w:type="spellEnd"/>
          </w:p>
        </w:tc>
      </w:tr>
      <w:tr w:rsidR="00A5147D" w:rsidRPr="00B95983" w14:paraId="1B2860D5" w14:textId="77777777" w:rsidTr="00932181">
        <w:tc>
          <w:tcPr>
            <w:tcW w:w="5382" w:type="dxa"/>
          </w:tcPr>
          <w:p w14:paraId="2303FF5D" w14:textId="404B6EBF" w:rsidR="00A5147D" w:rsidRPr="00B95983" w:rsidRDefault="00932181" w:rsidP="00932181">
            <w:pPr>
              <w:rPr>
                <w:rFonts w:cstheme="minorHAnsi"/>
              </w:rPr>
            </w:pPr>
            <w:r>
              <w:rPr>
                <w:rFonts w:cstheme="minorHAnsi"/>
                <w:lang w:val="el-GR"/>
              </w:rPr>
              <w:t>Κυβερνητικός Εκπρόσωπος</w:t>
            </w:r>
          </w:p>
        </w:tc>
        <w:tc>
          <w:tcPr>
            <w:tcW w:w="3678" w:type="dxa"/>
          </w:tcPr>
          <w:p w14:paraId="6B684B94" w14:textId="7218FD7D" w:rsidR="00A5147D" w:rsidRPr="00932181" w:rsidRDefault="001C41D4" w:rsidP="00CF2E8A">
            <w:pPr>
              <w:rPr>
                <w:rFonts w:cstheme="minorHAnsi"/>
                <w:lang w:val="el-GR"/>
              </w:rPr>
            </w:pPr>
            <w:r w:rsidRPr="00B95983">
              <w:rPr>
                <w:rFonts w:cstheme="minorHAnsi"/>
              </w:rPr>
              <w:t xml:space="preserve">€8 874 </w:t>
            </w:r>
            <w:r w:rsidR="00932181">
              <w:rPr>
                <w:rFonts w:cstheme="minorHAnsi"/>
              </w:rPr>
              <w:t xml:space="preserve">/ </w:t>
            </w:r>
            <w:proofErr w:type="spellStart"/>
            <w:r w:rsidR="00932181">
              <w:rPr>
                <w:rFonts w:cstheme="minorHAnsi"/>
              </w:rPr>
              <w:t>τον</w:t>
            </w:r>
            <w:proofErr w:type="spellEnd"/>
            <w:r w:rsidR="00932181">
              <w:rPr>
                <w:rFonts w:cstheme="minorHAnsi"/>
              </w:rPr>
              <w:t xml:space="preserve"> μ</w:t>
            </w:r>
            <w:proofErr w:type="spellStart"/>
            <w:r w:rsidR="00932181">
              <w:rPr>
                <w:rFonts w:cstheme="minorHAnsi"/>
                <w:lang w:val="el-GR"/>
              </w:rPr>
              <w:t>ήνα</w:t>
            </w:r>
            <w:proofErr w:type="spellEnd"/>
          </w:p>
        </w:tc>
      </w:tr>
      <w:tr w:rsidR="00A5147D" w:rsidRPr="00B95983" w14:paraId="3B7CC57D" w14:textId="77777777" w:rsidTr="00932181">
        <w:tc>
          <w:tcPr>
            <w:tcW w:w="5382" w:type="dxa"/>
          </w:tcPr>
          <w:p w14:paraId="77178CCA" w14:textId="7043632D" w:rsidR="00A5147D" w:rsidRPr="00932181" w:rsidRDefault="00932181" w:rsidP="00BC7FB3">
            <w:pPr>
              <w:rPr>
                <w:rFonts w:cstheme="minorHAnsi"/>
                <w:lang w:val="el-GR"/>
              </w:rPr>
            </w:pPr>
            <w:r>
              <w:rPr>
                <w:rFonts w:cstheme="minorHAnsi"/>
                <w:lang w:val="el-GR"/>
              </w:rPr>
              <w:t>Διευθυντής</w:t>
            </w:r>
            <w:r w:rsidRPr="00932181">
              <w:rPr>
                <w:rFonts w:cstheme="minorHAnsi"/>
                <w:lang w:val="el-GR"/>
              </w:rPr>
              <w:t xml:space="preserve"> </w:t>
            </w:r>
            <w:r>
              <w:rPr>
                <w:rFonts w:cstheme="minorHAnsi"/>
                <w:lang w:val="el-GR"/>
              </w:rPr>
              <w:t>του</w:t>
            </w:r>
            <w:r w:rsidRPr="00932181">
              <w:rPr>
                <w:rFonts w:cstheme="minorHAnsi"/>
                <w:lang w:val="el-GR"/>
              </w:rPr>
              <w:t xml:space="preserve"> </w:t>
            </w:r>
            <w:r>
              <w:rPr>
                <w:rFonts w:cstheme="minorHAnsi"/>
                <w:lang w:val="el-GR"/>
              </w:rPr>
              <w:t>Γραφείου</w:t>
            </w:r>
            <w:r w:rsidRPr="00932181">
              <w:rPr>
                <w:rFonts w:cstheme="minorHAnsi"/>
                <w:lang w:val="el-GR"/>
              </w:rPr>
              <w:t xml:space="preserve"> </w:t>
            </w:r>
            <w:r>
              <w:rPr>
                <w:rFonts w:cstheme="minorHAnsi"/>
                <w:lang w:val="el-GR"/>
              </w:rPr>
              <w:t>του</w:t>
            </w:r>
            <w:r w:rsidRPr="00932181">
              <w:rPr>
                <w:rFonts w:cstheme="minorHAnsi"/>
                <w:lang w:val="el-GR"/>
              </w:rPr>
              <w:t xml:space="preserve"> </w:t>
            </w:r>
            <w:r>
              <w:rPr>
                <w:rFonts w:cstheme="minorHAnsi"/>
                <w:lang w:val="el-GR"/>
              </w:rPr>
              <w:t>Πρ</w:t>
            </w:r>
            <w:r w:rsidR="00BC7FB3">
              <w:rPr>
                <w:rFonts w:cstheme="minorHAnsi"/>
                <w:lang w:val="el-GR"/>
              </w:rPr>
              <w:t>οέ</w:t>
            </w:r>
            <w:r>
              <w:rPr>
                <w:rFonts w:cstheme="minorHAnsi"/>
                <w:lang w:val="el-GR"/>
              </w:rPr>
              <w:t>δρου</w:t>
            </w:r>
            <w:r w:rsidRPr="00932181">
              <w:rPr>
                <w:rFonts w:cstheme="minorHAnsi"/>
                <w:lang w:val="el-GR"/>
              </w:rPr>
              <w:t xml:space="preserve"> </w:t>
            </w:r>
            <w:r>
              <w:rPr>
                <w:rFonts w:cstheme="minorHAnsi"/>
                <w:lang w:val="el-GR"/>
              </w:rPr>
              <w:t>της</w:t>
            </w:r>
            <w:r w:rsidRPr="00932181">
              <w:rPr>
                <w:rFonts w:cstheme="minorHAnsi"/>
                <w:lang w:val="el-GR"/>
              </w:rPr>
              <w:t xml:space="preserve"> </w:t>
            </w:r>
            <w:r>
              <w:rPr>
                <w:rFonts w:cstheme="minorHAnsi"/>
                <w:lang w:val="el-GR"/>
              </w:rPr>
              <w:t>Δημοκρατίας</w:t>
            </w:r>
          </w:p>
        </w:tc>
        <w:tc>
          <w:tcPr>
            <w:tcW w:w="3678" w:type="dxa"/>
          </w:tcPr>
          <w:p w14:paraId="5D81112D" w14:textId="7EC00CA1" w:rsidR="00A5147D" w:rsidRPr="00932181" w:rsidRDefault="001C41D4" w:rsidP="00CF2E8A">
            <w:pPr>
              <w:rPr>
                <w:rFonts w:cstheme="minorHAnsi"/>
                <w:lang w:val="el-GR"/>
              </w:rPr>
            </w:pPr>
            <w:r w:rsidRPr="00B95983">
              <w:rPr>
                <w:rFonts w:cstheme="minorHAnsi"/>
              </w:rPr>
              <w:t xml:space="preserve">€8 874 </w:t>
            </w:r>
            <w:r w:rsidR="00932181">
              <w:rPr>
                <w:rFonts w:cstheme="minorHAnsi"/>
              </w:rPr>
              <w:t xml:space="preserve">/ </w:t>
            </w:r>
            <w:proofErr w:type="spellStart"/>
            <w:r w:rsidR="00932181">
              <w:rPr>
                <w:rFonts w:cstheme="minorHAnsi"/>
              </w:rPr>
              <w:t>τον</w:t>
            </w:r>
            <w:proofErr w:type="spellEnd"/>
            <w:r w:rsidR="00932181">
              <w:rPr>
                <w:rFonts w:cstheme="minorHAnsi"/>
              </w:rPr>
              <w:t xml:space="preserve"> μ</w:t>
            </w:r>
            <w:proofErr w:type="spellStart"/>
            <w:r w:rsidR="00932181">
              <w:rPr>
                <w:rFonts w:cstheme="minorHAnsi"/>
                <w:lang w:val="el-GR"/>
              </w:rPr>
              <w:t>ήνα</w:t>
            </w:r>
            <w:proofErr w:type="spellEnd"/>
          </w:p>
        </w:tc>
      </w:tr>
      <w:tr w:rsidR="00A5147D" w:rsidRPr="00B95983" w14:paraId="4D6BD659" w14:textId="77777777" w:rsidTr="00932181">
        <w:tc>
          <w:tcPr>
            <w:tcW w:w="5382" w:type="dxa"/>
          </w:tcPr>
          <w:p w14:paraId="3CB11398" w14:textId="799026DD" w:rsidR="00A5147D" w:rsidRPr="00932181" w:rsidRDefault="00932181" w:rsidP="00932181">
            <w:pPr>
              <w:rPr>
                <w:rFonts w:cstheme="minorHAnsi"/>
                <w:lang w:val="el-GR"/>
              </w:rPr>
            </w:pPr>
            <w:r>
              <w:rPr>
                <w:rFonts w:eastAsia="Calibri" w:cstheme="minorHAnsi"/>
                <w:lang w:val="el-GR"/>
              </w:rPr>
              <w:t>Διευθυντής</w:t>
            </w:r>
            <w:r w:rsidRPr="00932181">
              <w:rPr>
                <w:rFonts w:eastAsia="Calibri" w:cstheme="minorHAnsi"/>
                <w:lang w:val="el-GR"/>
              </w:rPr>
              <w:t xml:space="preserve"> </w:t>
            </w:r>
            <w:r>
              <w:rPr>
                <w:rFonts w:eastAsia="Calibri" w:cstheme="minorHAnsi"/>
                <w:lang w:val="el-GR"/>
              </w:rPr>
              <w:t>του</w:t>
            </w:r>
            <w:r w:rsidRPr="00932181">
              <w:rPr>
                <w:rFonts w:eastAsia="Calibri" w:cstheme="minorHAnsi"/>
                <w:lang w:val="el-GR"/>
              </w:rPr>
              <w:t xml:space="preserve"> </w:t>
            </w:r>
            <w:r>
              <w:rPr>
                <w:rFonts w:eastAsia="Calibri" w:cstheme="minorHAnsi"/>
                <w:lang w:val="el-GR"/>
              </w:rPr>
              <w:t>Γραφείου</w:t>
            </w:r>
            <w:r w:rsidRPr="00932181">
              <w:rPr>
                <w:rFonts w:eastAsia="Calibri" w:cstheme="minorHAnsi"/>
                <w:lang w:val="el-GR"/>
              </w:rPr>
              <w:t xml:space="preserve"> </w:t>
            </w:r>
            <w:r>
              <w:rPr>
                <w:rFonts w:eastAsia="Calibri" w:cstheme="minorHAnsi"/>
                <w:lang w:val="el-GR"/>
              </w:rPr>
              <w:t>Τύπου</w:t>
            </w:r>
            <w:r w:rsidRPr="00932181">
              <w:rPr>
                <w:rFonts w:eastAsia="Calibri" w:cstheme="minorHAnsi"/>
                <w:lang w:val="el-GR"/>
              </w:rPr>
              <w:t xml:space="preserve"> </w:t>
            </w:r>
            <w:r>
              <w:rPr>
                <w:rFonts w:eastAsia="Calibri" w:cstheme="minorHAnsi"/>
                <w:lang w:val="el-GR"/>
              </w:rPr>
              <w:t>του</w:t>
            </w:r>
            <w:r w:rsidRPr="00932181">
              <w:rPr>
                <w:rFonts w:eastAsia="Calibri" w:cstheme="minorHAnsi"/>
                <w:lang w:val="el-GR"/>
              </w:rPr>
              <w:t xml:space="preserve"> </w:t>
            </w:r>
            <w:r>
              <w:rPr>
                <w:rFonts w:eastAsia="Calibri" w:cstheme="minorHAnsi"/>
                <w:lang w:val="el-GR"/>
              </w:rPr>
              <w:t>Προέδρου</w:t>
            </w:r>
            <w:r w:rsidRPr="00932181">
              <w:rPr>
                <w:rFonts w:eastAsia="Calibri" w:cstheme="minorHAnsi"/>
                <w:lang w:val="el-GR"/>
              </w:rPr>
              <w:t xml:space="preserve"> </w:t>
            </w:r>
            <w:r>
              <w:rPr>
                <w:rFonts w:eastAsia="Calibri" w:cstheme="minorHAnsi"/>
                <w:lang w:val="el-GR"/>
              </w:rPr>
              <w:t>της</w:t>
            </w:r>
            <w:r w:rsidRPr="00932181">
              <w:rPr>
                <w:rFonts w:eastAsia="Calibri" w:cstheme="minorHAnsi"/>
                <w:lang w:val="el-GR"/>
              </w:rPr>
              <w:t xml:space="preserve"> </w:t>
            </w:r>
            <w:r>
              <w:rPr>
                <w:rFonts w:eastAsia="Calibri" w:cstheme="minorHAnsi"/>
                <w:lang w:val="el-GR"/>
              </w:rPr>
              <w:t>Δημοκρατίας</w:t>
            </w:r>
          </w:p>
        </w:tc>
        <w:tc>
          <w:tcPr>
            <w:tcW w:w="3678" w:type="dxa"/>
          </w:tcPr>
          <w:p w14:paraId="7049771F" w14:textId="3F3897FD" w:rsidR="00A5147D" w:rsidRPr="00932181" w:rsidRDefault="00A5147D" w:rsidP="00CF2E8A">
            <w:pPr>
              <w:rPr>
                <w:rFonts w:cstheme="minorHAnsi"/>
                <w:lang w:val="el-GR"/>
              </w:rPr>
            </w:pPr>
            <w:r w:rsidRPr="00B95983">
              <w:rPr>
                <w:rFonts w:cs="Calibri"/>
              </w:rPr>
              <w:t>€4 </w:t>
            </w:r>
            <w:r w:rsidR="001C41D4" w:rsidRPr="00B95983">
              <w:rPr>
                <w:rFonts w:cs="Calibri"/>
              </w:rPr>
              <w:t>199</w:t>
            </w:r>
            <w:r w:rsidR="00932181">
              <w:rPr>
                <w:rFonts w:cs="Calibri"/>
              </w:rPr>
              <w:t xml:space="preserve"> / </w:t>
            </w:r>
            <w:proofErr w:type="spellStart"/>
            <w:r w:rsidR="00932181">
              <w:rPr>
                <w:rFonts w:cs="Calibri"/>
              </w:rPr>
              <w:t>τον</w:t>
            </w:r>
            <w:proofErr w:type="spellEnd"/>
            <w:r w:rsidR="00932181">
              <w:rPr>
                <w:rFonts w:cs="Calibri"/>
              </w:rPr>
              <w:t xml:space="preserve"> μ</w:t>
            </w:r>
            <w:proofErr w:type="spellStart"/>
            <w:r w:rsidR="00932181">
              <w:rPr>
                <w:rFonts w:cs="Calibri"/>
                <w:lang w:val="el-GR"/>
              </w:rPr>
              <w:t>ήνα</w:t>
            </w:r>
            <w:proofErr w:type="spellEnd"/>
          </w:p>
        </w:tc>
      </w:tr>
      <w:tr w:rsidR="00A5147D" w:rsidRPr="00B95983" w14:paraId="6B9E4F03" w14:textId="77777777" w:rsidTr="00932181">
        <w:tc>
          <w:tcPr>
            <w:tcW w:w="5382" w:type="dxa"/>
          </w:tcPr>
          <w:p w14:paraId="3044DE09" w14:textId="1D7C916D" w:rsidR="00A5147D" w:rsidRPr="00B95983" w:rsidRDefault="00932181" w:rsidP="00932181">
            <w:pPr>
              <w:rPr>
                <w:rFonts w:cstheme="minorHAnsi"/>
              </w:rPr>
            </w:pPr>
            <w:r>
              <w:rPr>
                <w:rFonts w:cstheme="minorHAnsi"/>
                <w:lang w:val="el-GR"/>
              </w:rPr>
              <w:t>Βοηθός Κυβερνητικός Εκπρόσωπος</w:t>
            </w:r>
            <w:r w:rsidR="00A5147D" w:rsidRPr="00B95983">
              <w:rPr>
                <w:rFonts w:cstheme="minorHAnsi"/>
              </w:rPr>
              <w:t xml:space="preserve"> </w:t>
            </w:r>
          </w:p>
        </w:tc>
        <w:tc>
          <w:tcPr>
            <w:tcW w:w="3678" w:type="dxa"/>
          </w:tcPr>
          <w:p w14:paraId="5D06DECD" w14:textId="523E5533" w:rsidR="00A5147D" w:rsidRPr="00932181" w:rsidRDefault="00A5147D" w:rsidP="00CF2E8A">
            <w:pPr>
              <w:rPr>
                <w:rFonts w:cstheme="minorHAnsi"/>
                <w:lang w:val="el-GR"/>
              </w:rPr>
            </w:pPr>
            <w:r w:rsidRPr="00B95983">
              <w:rPr>
                <w:rFonts w:cstheme="minorHAnsi"/>
              </w:rPr>
              <w:t>€</w:t>
            </w:r>
            <w:r w:rsidR="001C41D4" w:rsidRPr="00B95983">
              <w:rPr>
                <w:rFonts w:cstheme="minorHAnsi"/>
              </w:rPr>
              <w:t>5 022</w:t>
            </w:r>
            <w:r w:rsidR="00932181">
              <w:rPr>
                <w:rFonts w:cstheme="minorHAnsi"/>
              </w:rPr>
              <w:t xml:space="preserve"> / </w:t>
            </w:r>
            <w:proofErr w:type="spellStart"/>
            <w:r w:rsidR="00932181">
              <w:rPr>
                <w:rFonts w:cstheme="minorHAnsi"/>
              </w:rPr>
              <w:t>τον</w:t>
            </w:r>
            <w:proofErr w:type="spellEnd"/>
            <w:r w:rsidR="00932181">
              <w:rPr>
                <w:rFonts w:cstheme="minorHAnsi"/>
              </w:rPr>
              <w:t xml:space="preserve"> μ</w:t>
            </w:r>
            <w:proofErr w:type="spellStart"/>
            <w:r w:rsidR="00932181">
              <w:rPr>
                <w:rFonts w:cstheme="minorHAnsi"/>
                <w:lang w:val="el-GR"/>
              </w:rPr>
              <w:t>ήνα</w:t>
            </w:r>
            <w:proofErr w:type="spellEnd"/>
          </w:p>
        </w:tc>
      </w:tr>
      <w:tr w:rsidR="00A5147D" w:rsidRPr="00B95983" w14:paraId="1D88A279" w14:textId="77777777" w:rsidTr="00932181">
        <w:tc>
          <w:tcPr>
            <w:tcW w:w="5382" w:type="dxa"/>
          </w:tcPr>
          <w:p w14:paraId="334A1F8D" w14:textId="750D2CCC" w:rsidR="00A5147D" w:rsidRPr="00B95983" w:rsidRDefault="00932181" w:rsidP="00932181">
            <w:pPr>
              <w:rPr>
                <w:rFonts w:cstheme="minorHAnsi"/>
              </w:rPr>
            </w:pPr>
            <w:r>
              <w:rPr>
                <w:rFonts w:cstheme="minorHAnsi"/>
                <w:lang w:val="el-GR"/>
              </w:rPr>
              <w:t>Επίτροπος</w:t>
            </w:r>
          </w:p>
        </w:tc>
        <w:tc>
          <w:tcPr>
            <w:tcW w:w="3678" w:type="dxa"/>
          </w:tcPr>
          <w:p w14:paraId="3DA928A2" w14:textId="548C2FEB" w:rsidR="00A5147D" w:rsidRPr="00932181" w:rsidRDefault="00A5147D" w:rsidP="00CF2E8A">
            <w:pPr>
              <w:rPr>
                <w:rFonts w:cstheme="minorHAnsi"/>
                <w:lang w:val="el-GR"/>
              </w:rPr>
            </w:pPr>
            <w:r w:rsidRPr="00B95983">
              <w:rPr>
                <w:rFonts w:cstheme="minorHAnsi"/>
              </w:rPr>
              <w:t>€7 </w:t>
            </w:r>
            <w:r w:rsidR="001C41D4" w:rsidRPr="00B95983">
              <w:rPr>
                <w:rFonts w:cstheme="minorHAnsi"/>
              </w:rPr>
              <w:t>354</w:t>
            </w:r>
            <w:r w:rsidR="00932181">
              <w:rPr>
                <w:rFonts w:cstheme="minorHAnsi"/>
              </w:rPr>
              <w:t xml:space="preserve"> / </w:t>
            </w:r>
            <w:proofErr w:type="spellStart"/>
            <w:r w:rsidR="00932181">
              <w:rPr>
                <w:rFonts w:cstheme="minorHAnsi"/>
              </w:rPr>
              <w:t>τον</w:t>
            </w:r>
            <w:proofErr w:type="spellEnd"/>
            <w:r w:rsidR="00932181">
              <w:rPr>
                <w:rFonts w:cstheme="minorHAnsi"/>
              </w:rPr>
              <w:t xml:space="preserve"> μ</w:t>
            </w:r>
            <w:proofErr w:type="spellStart"/>
            <w:r w:rsidR="00932181">
              <w:rPr>
                <w:rFonts w:cstheme="minorHAnsi"/>
                <w:lang w:val="el-GR"/>
              </w:rPr>
              <w:t>ήνα</w:t>
            </w:r>
            <w:proofErr w:type="spellEnd"/>
          </w:p>
        </w:tc>
      </w:tr>
      <w:tr w:rsidR="00D77893" w:rsidRPr="00B95983" w14:paraId="233690E6" w14:textId="77777777" w:rsidTr="00932181">
        <w:tc>
          <w:tcPr>
            <w:tcW w:w="5382" w:type="dxa"/>
          </w:tcPr>
          <w:p w14:paraId="0EC1886A" w14:textId="2ECAF1CB" w:rsidR="00D77893" w:rsidRPr="00B95983" w:rsidRDefault="00932181" w:rsidP="00932181">
            <w:pPr>
              <w:rPr>
                <w:rFonts w:cstheme="minorHAnsi"/>
              </w:rPr>
            </w:pPr>
            <w:r>
              <w:rPr>
                <w:rFonts w:cstheme="minorHAnsi"/>
                <w:lang w:val="el-GR"/>
              </w:rPr>
              <w:t>Γραμματέας</w:t>
            </w:r>
            <w:r w:rsidRPr="00932181">
              <w:rPr>
                <w:rFonts w:cstheme="minorHAnsi"/>
                <w:lang w:val="en-US"/>
              </w:rPr>
              <w:t xml:space="preserve"> </w:t>
            </w:r>
            <w:r>
              <w:rPr>
                <w:rFonts w:cstheme="minorHAnsi"/>
                <w:lang w:val="el-GR"/>
              </w:rPr>
              <w:t>του</w:t>
            </w:r>
            <w:r w:rsidRPr="00932181">
              <w:rPr>
                <w:rFonts w:cstheme="minorHAnsi"/>
                <w:lang w:val="en-US"/>
              </w:rPr>
              <w:t xml:space="preserve"> </w:t>
            </w:r>
            <w:r>
              <w:rPr>
                <w:rFonts w:cstheme="minorHAnsi"/>
                <w:lang w:val="el-GR"/>
              </w:rPr>
              <w:t>Υπουργικού</w:t>
            </w:r>
            <w:r w:rsidRPr="00932181">
              <w:rPr>
                <w:rFonts w:cstheme="minorHAnsi"/>
                <w:lang w:val="en-US"/>
              </w:rPr>
              <w:t xml:space="preserve"> </w:t>
            </w:r>
            <w:r>
              <w:rPr>
                <w:rFonts w:cstheme="minorHAnsi"/>
                <w:lang w:val="el-GR"/>
              </w:rPr>
              <w:t>Συμβουλίου</w:t>
            </w:r>
            <w:r w:rsidR="00D77893">
              <w:rPr>
                <w:rFonts w:cstheme="minorHAnsi"/>
              </w:rPr>
              <w:t xml:space="preserve"> </w:t>
            </w:r>
          </w:p>
        </w:tc>
        <w:tc>
          <w:tcPr>
            <w:tcW w:w="3678" w:type="dxa"/>
          </w:tcPr>
          <w:p w14:paraId="319B05B4" w14:textId="32642C9E" w:rsidR="00D77893" w:rsidRPr="00932181" w:rsidRDefault="00D77893" w:rsidP="008812DB">
            <w:pPr>
              <w:spacing w:after="120"/>
              <w:rPr>
                <w:rFonts w:cs="Calibri"/>
                <w:lang w:val="el-GR"/>
              </w:rPr>
            </w:pPr>
            <w:r w:rsidRPr="00B95983">
              <w:rPr>
                <w:rFonts w:cstheme="minorHAnsi"/>
              </w:rPr>
              <w:t>€7 </w:t>
            </w:r>
            <w:r>
              <w:rPr>
                <w:rFonts w:cstheme="minorHAnsi"/>
              </w:rPr>
              <w:t xml:space="preserve">773 </w:t>
            </w:r>
            <w:r w:rsidR="00932181">
              <w:rPr>
                <w:rFonts w:cstheme="minorHAnsi"/>
              </w:rPr>
              <w:t xml:space="preserve">/ </w:t>
            </w:r>
            <w:proofErr w:type="spellStart"/>
            <w:r w:rsidR="00932181">
              <w:rPr>
                <w:rFonts w:cstheme="minorHAnsi"/>
              </w:rPr>
              <w:t>τον</w:t>
            </w:r>
            <w:proofErr w:type="spellEnd"/>
            <w:r w:rsidR="00932181">
              <w:rPr>
                <w:rFonts w:cstheme="minorHAnsi"/>
              </w:rPr>
              <w:t xml:space="preserve"> μ</w:t>
            </w:r>
            <w:proofErr w:type="spellStart"/>
            <w:r w:rsidR="00932181">
              <w:rPr>
                <w:rFonts w:cstheme="minorHAnsi"/>
                <w:lang w:val="el-GR"/>
              </w:rPr>
              <w:t>ήνα</w:t>
            </w:r>
            <w:proofErr w:type="spellEnd"/>
          </w:p>
        </w:tc>
      </w:tr>
      <w:tr w:rsidR="00A5147D" w:rsidRPr="00522AD3" w14:paraId="71C7CE3A" w14:textId="77777777" w:rsidTr="00932181">
        <w:tc>
          <w:tcPr>
            <w:tcW w:w="5382" w:type="dxa"/>
          </w:tcPr>
          <w:p w14:paraId="1DCDCAB6" w14:textId="6DD6D6C6" w:rsidR="00A5147D" w:rsidRPr="00932181" w:rsidRDefault="00D15BDB" w:rsidP="00E36091">
            <w:pPr>
              <w:rPr>
                <w:rFonts w:cstheme="minorHAnsi"/>
                <w:lang w:val="el-GR"/>
              </w:rPr>
            </w:pPr>
            <w:r>
              <w:rPr>
                <w:rFonts w:cstheme="minorHAnsi"/>
              </w:rPr>
              <w:t>CPTA</w:t>
            </w:r>
            <w:r w:rsidR="00606DF3">
              <w:rPr>
                <w:rFonts w:cstheme="minorHAnsi"/>
                <w:lang w:val="en-US"/>
              </w:rPr>
              <w:t>s</w:t>
            </w:r>
            <w:r w:rsidRPr="00932181">
              <w:rPr>
                <w:rFonts w:cstheme="minorHAnsi"/>
                <w:lang w:val="el-GR"/>
              </w:rPr>
              <w:t xml:space="preserve"> </w:t>
            </w:r>
            <w:r w:rsidR="00932181">
              <w:rPr>
                <w:rFonts w:cstheme="minorHAnsi"/>
                <w:lang w:val="el-GR"/>
              </w:rPr>
              <w:t>που</w:t>
            </w:r>
            <w:r w:rsidR="00932181" w:rsidRPr="00932181">
              <w:rPr>
                <w:rFonts w:cstheme="minorHAnsi"/>
                <w:lang w:val="el-GR"/>
              </w:rPr>
              <w:t xml:space="preserve"> </w:t>
            </w:r>
            <w:r w:rsidR="00932181">
              <w:rPr>
                <w:rFonts w:cstheme="minorHAnsi"/>
                <w:lang w:val="el-GR"/>
              </w:rPr>
              <w:t>προσλαμβάνονται</w:t>
            </w:r>
            <w:r w:rsidR="00932181" w:rsidRPr="00932181">
              <w:rPr>
                <w:rFonts w:cstheme="minorHAnsi"/>
                <w:lang w:val="el-GR"/>
              </w:rPr>
              <w:t xml:space="preserve"> </w:t>
            </w:r>
            <w:r w:rsidR="00932181">
              <w:rPr>
                <w:rFonts w:cstheme="minorHAnsi"/>
                <w:lang w:val="el-GR"/>
              </w:rPr>
              <w:t>κατά</w:t>
            </w:r>
            <w:r w:rsidR="00932181" w:rsidRPr="00932181">
              <w:rPr>
                <w:rFonts w:cstheme="minorHAnsi"/>
                <w:lang w:val="el-GR"/>
              </w:rPr>
              <w:t xml:space="preserve"> </w:t>
            </w:r>
            <w:r w:rsidR="00606DF3">
              <w:rPr>
                <w:rFonts w:cstheme="minorHAnsi"/>
                <w:lang w:val="el-GR"/>
              </w:rPr>
              <w:t xml:space="preserve">τη διακριτική ευχέρεια </w:t>
            </w:r>
            <w:r w:rsidR="00932181">
              <w:rPr>
                <w:rFonts w:cstheme="minorHAnsi"/>
                <w:lang w:val="el-GR"/>
              </w:rPr>
              <w:t xml:space="preserve">της κεντρικής κυβέρνησης για να </w:t>
            </w:r>
            <w:r w:rsidR="00606DF3">
              <w:rPr>
                <w:rFonts w:cstheme="minorHAnsi"/>
                <w:lang w:val="el-GR"/>
              </w:rPr>
              <w:t xml:space="preserve">παρέχουν </w:t>
            </w:r>
            <w:r w:rsidR="00932181">
              <w:rPr>
                <w:rFonts w:cstheme="minorHAnsi"/>
                <w:lang w:val="el-GR"/>
              </w:rPr>
              <w:t>συμβουλή</w:t>
            </w:r>
          </w:p>
        </w:tc>
        <w:tc>
          <w:tcPr>
            <w:tcW w:w="3678" w:type="dxa"/>
          </w:tcPr>
          <w:p w14:paraId="7AE657EB" w14:textId="3969446C" w:rsidR="008812DB" w:rsidRPr="00932181" w:rsidRDefault="001C41D4" w:rsidP="00932181">
            <w:pPr>
              <w:spacing w:after="120"/>
              <w:rPr>
                <w:rFonts w:cs="Calibri"/>
                <w:lang w:val="el-GR"/>
              </w:rPr>
            </w:pPr>
            <w:r w:rsidRPr="00932181">
              <w:rPr>
                <w:rFonts w:cs="Calibri"/>
                <w:lang w:val="el-GR"/>
              </w:rPr>
              <w:t>€2500</w:t>
            </w:r>
            <w:r w:rsidR="008812DB" w:rsidRPr="00932181">
              <w:rPr>
                <w:rFonts w:cs="Calibri"/>
                <w:lang w:val="el-GR"/>
              </w:rPr>
              <w:t xml:space="preserve"> /</w:t>
            </w:r>
            <w:r w:rsidRPr="00932181">
              <w:rPr>
                <w:rFonts w:cs="Calibri"/>
                <w:lang w:val="el-GR"/>
              </w:rPr>
              <w:t xml:space="preserve"> </w:t>
            </w:r>
            <w:r w:rsidR="00932181">
              <w:rPr>
                <w:rFonts w:cs="Calibri"/>
                <w:lang w:val="el-GR"/>
              </w:rPr>
              <w:t>μέσο</w:t>
            </w:r>
            <w:r w:rsidR="00932181" w:rsidRPr="00932181">
              <w:rPr>
                <w:rFonts w:cs="Calibri"/>
                <w:lang w:val="el-GR"/>
              </w:rPr>
              <w:t xml:space="preserve"> </w:t>
            </w:r>
            <w:r w:rsidR="00932181">
              <w:rPr>
                <w:rFonts w:cs="Calibri"/>
                <w:lang w:val="el-GR"/>
              </w:rPr>
              <w:t>ποσό</w:t>
            </w:r>
            <w:r w:rsidR="00932181" w:rsidRPr="00932181">
              <w:rPr>
                <w:rFonts w:cs="Calibri"/>
                <w:lang w:val="el-GR"/>
              </w:rPr>
              <w:t xml:space="preserve"> </w:t>
            </w:r>
            <w:r w:rsidR="00932181">
              <w:rPr>
                <w:rFonts w:cs="Calibri"/>
                <w:lang w:val="el-GR"/>
              </w:rPr>
              <w:t xml:space="preserve">υπηρεσιών που παρέχονται από κάθε </w:t>
            </w:r>
            <w:r w:rsidRPr="00B95983">
              <w:rPr>
                <w:rFonts w:cs="Calibri"/>
              </w:rPr>
              <w:t>CPTA</w:t>
            </w:r>
            <w:r w:rsidRPr="00932181">
              <w:rPr>
                <w:rFonts w:cs="Calibri"/>
                <w:lang w:val="el-GR"/>
              </w:rPr>
              <w:t>/</w:t>
            </w:r>
            <w:r w:rsidR="00932181">
              <w:rPr>
                <w:rFonts w:cs="Calibri"/>
                <w:lang w:val="el-GR"/>
              </w:rPr>
              <w:t>τον μήνα</w:t>
            </w:r>
          </w:p>
        </w:tc>
      </w:tr>
      <w:bookmarkEnd w:id="50"/>
    </w:tbl>
    <w:p w14:paraId="30EB4B95" w14:textId="77777777" w:rsidR="00A5147D" w:rsidRPr="00932181" w:rsidRDefault="00A5147D" w:rsidP="00A5147D">
      <w:pPr>
        <w:rPr>
          <w:rFonts w:cstheme="minorHAnsi"/>
          <w:sz w:val="24"/>
          <w:szCs w:val="24"/>
          <w:lang w:val="el-GR"/>
        </w:rPr>
      </w:pPr>
    </w:p>
    <w:p w14:paraId="4DBF4E79" w14:textId="4D634A92" w:rsidR="00A5147D" w:rsidRPr="00942C67" w:rsidRDefault="00494437" w:rsidP="00A5147D">
      <w:pPr>
        <w:numPr>
          <w:ilvl w:val="0"/>
          <w:numId w:val="1"/>
        </w:numPr>
        <w:tabs>
          <w:tab w:val="clear" w:pos="6095"/>
          <w:tab w:val="left" w:pos="709"/>
        </w:tabs>
        <w:ind w:left="0" w:firstLine="0"/>
        <w:rPr>
          <w:rFonts w:ascii="Calibri" w:hAnsi="Calibri" w:cs="Calibri"/>
          <w:sz w:val="24"/>
          <w:szCs w:val="24"/>
          <w:lang w:val="el-GR"/>
        </w:rPr>
      </w:pPr>
      <w:r>
        <w:rPr>
          <w:rFonts w:cstheme="minorHAnsi"/>
          <w:sz w:val="24"/>
          <w:szCs w:val="24"/>
          <w:lang w:val="el-GR"/>
        </w:rPr>
        <w:t>Οι</w:t>
      </w:r>
      <w:r w:rsidRPr="00494437">
        <w:rPr>
          <w:rFonts w:cstheme="minorHAnsi"/>
          <w:sz w:val="24"/>
          <w:szCs w:val="24"/>
          <w:lang w:val="el-GR"/>
        </w:rPr>
        <w:t xml:space="preserve"> </w:t>
      </w:r>
      <w:r>
        <w:rPr>
          <w:rFonts w:cstheme="minorHAnsi"/>
          <w:sz w:val="24"/>
          <w:szCs w:val="24"/>
          <w:lang w:val="el-GR"/>
        </w:rPr>
        <w:t>ετήσιοι</w:t>
      </w:r>
      <w:r w:rsidRPr="00494437">
        <w:rPr>
          <w:rFonts w:cstheme="minorHAnsi"/>
          <w:sz w:val="24"/>
          <w:szCs w:val="24"/>
          <w:lang w:val="el-GR"/>
        </w:rPr>
        <w:t xml:space="preserve"> </w:t>
      </w:r>
      <w:r>
        <w:rPr>
          <w:rFonts w:cstheme="minorHAnsi"/>
          <w:sz w:val="24"/>
          <w:szCs w:val="24"/>
          <w:lang w:val="el-GR"/>
        </w:rPr>
        <w:t>μισθοί</w:t>
      </w:r>
      <w:r w:rsidRPr="00494437">
        <w:rPr>
          <w:rFonts w:cstheme="minorHAnsi"/>
          <w:sz w:val="24"/>
          <w:szCs w:val="24"/>
          <w:lang w:val="el-GR"/>
        </w:rPr>
        <w:t xml:space="preserve"> </w:t>
      </w:r>
      <w:r>
        <w:rPr>
          <w:rFonts w:cstheme="minorHAnsi"/>
          <w:sz w:val="24"/>
          <w:szCs w:val="24"/>
          <w:lang w:val="el-GR"/>
        </w:rPr>
        <w:t>και</w:t>
      </w:r>
      <w:r w:rsidRPr="00494437">
        <w:rPr>
          <w:rFonts w:cstheme="minorHAnsi"/>
          <w:sz w:val="24"/>
          <w:szCs w:val="24"/>
          <w:lang w:val="el-GR"/>
        </w:rPr>
        <w:t xml:space="preserve"> </w:t>
      </w:r>
      <w:r>
        <w:rPr>
          <w:rFonts w:cstheme="minorHAnsi"/>
          <w:sz w:val="24"/>
          <w:szCs w:val="24"/>
          <w:lang w:val="el-GR"/>
        </w:rPr>
        <w:t>επιδόματα</w:t>
      </w:r>
      <w:r w:rsidRPr="00494437">
        <w:rPr>
          <w:rFonts w:cstheme="minorHAnsi"/>
          <w:sz w:val="24"/>
          <w:szCs w:val="24"/>
          <w:lang w:val="el-GR"/>
        </w:rPr>
        <w:t xml:space="preserve"> </w:t>
      </w:r>
      <w:r>
        <w:rPr>
          <w:rFonts w:cstheme="minorHAnsi"/>
          <w:sz w:val="24"/>
          <w:szCs w:val="24"/>
          <w:lang w:val="el-GR"/>
        </w:rPr>
        <w:t>όλων</w:t>
      </w:r>
      <w:r w:rsidRPr="00494437">
        <w:rPr>
          <w:rFonts w:cstheme="minorHAnsi"/>
          <w:sz w:val="24"/>
          <w:szCs w:val="24"/>
          <w:lang w:val="el-GR"/>
        </w:rPr>
        <w:t xml:space="preserve"> </w:t>
      </w:r>
      <w:r>
        <w:rPr>
          <w:rFonts w:cstheme="minorHAnsi"/>
          <w:sz w:val="24"/>
          <w:szCs w:val="24"/>
          <w:lang w:val="el-GR"/>
        </w:rPr>
        <w:t>των</w:t>
      </w:r>
      <w:r w:rsidRPr="00494437">
        <w:rPr>
          <w:rFonts w:cstheme="minorHAnsi"/>
          <w:sz w:val="24"/>
          <w:szCs w:val="24"/>
          <w:lang w:val="el-GR"/>
        </w:rPr>
        <w:t xml:space="preserve"> </w:t>
      </w:r>
      <w:r>
        <w:rPr>
          <w:rFonts w:cstheme="minorHAnsi"/>
          <w:sz w:val="24"/>
          <w:szCs w:val="24"/>
          <w:lang w:val="el-GR"/>
        </w:rPr>
        <w:t>δημοσίων</w:t>
      </w:r>
      <w:r w:rsidRPr="00494437">
        <w:rPr>
          <w:rFonts w:cstheme="minorHAnsi"/>
          <w:sz w:val="24"/>
          <w:szCs w:val="24"/>
          <w:lang w:val="el-GR"/>
        </w:rPr>
        <w:t xml:space="preserve"> </w:t>
      </w:r>
      <w:r>
        <w:rPr>
          <w:rFonts w:cstheme="minorHAnsi"/>
          <w:sz w:val="24"/>
          <w:szCs w:val="24"/>
          <w:lang w:val="el-GR"/>
        </w:rPr>
        <w:t>αξιωμάτων</w:t>
      </w:r>
      <w:r w:rsidR="00A5147D" w:rsidRPr="00494437">
        <w:rPr>
          <w:rFonts w:cstheme="minorHAnsi"/>
          <w:sz w:val="24"/>
          <w:szCs w:val="24"/>
          <w:lang w:val="el-GR"/>
        </w:rPr>
        <w:t xml:space="preserve"> </w:t>
      </w:r>
      <w:r>
        <w:rPr>
          <w:rFonts w:cstheme="minorHAnsi"/>
          <w:sz w:val="24"/>
          <w:szCs w:val="24"/>
          <w:lang w:val="el-GR"/>
        </w:rPr>
        <w:t>δημοσιεύονται</w:t>
      </w:r>
      <w:r w:rsidRPr="00494437">
        <w:rPr>
          <w:rFonts w:cstheme="minorHAnsi"/>
          <w:sz w:val="24"/>
          <w:szCs w:val="24"/>
          <w:lang w:val="el-GR"/>
        </w:rPr>
        <w:t xml:space="preserve"> </w:t>
      </w:r>
      <w:r>
        <w:rPr>
          <w:rFonts w:cstheme="minorHAnsi"/>
          <w:sz w:val="24"/>
          <w:szCs w:val="24"/>
          <w:lang w:val="el-GR"/>
        </w:rPr>
        <w:t>κάθε</w:t>
      </w:r>
      <w:r w:rsidRPr="00494437">
        <w:rPr>
          <w:rFonts w:cstheme="minorHAnsi"/>
          <w:sz w:val="24"/>
          <w:szCs w:val="24"/>
          <w:lang w:val="el-GR"/>
        </w:rPr>
        <w:t xml:space="preserve"> </w:t>
      </w:r>
      <w:r>
        <w:rPr>
          <w:rFonts w:cstheme="minorHAnsi"/>
          <w:sz w:val="24"/>
          <w:szCs w:val="24"/>
          <w:lang w:val="el-GR"/>
        </w:rPr>
        <w:t>χρόνο</w:t>
      </w:r>
      <w:r w:rsidR="00A5147D" w:rsidRPr="00494437">
        <w:rPr>
          <w:rFonts w:cstheme="minorHAnsi"/>
          <w:sz w:val="24"/>
          <w:szCs w:val="24"/>
          <w:lang w:val="el-GR"/>
        </w:rPr>
        <w:t xml:space="preserve"> </w:t>
      </w:r>
      <w:r>
        <w:rPr>
          <w:rFonts w:cstheme="minorHAnsi"/>
          <w:sz w:val="24"/>
          <w:szCs w:val="24"/>
          <w:lang w:val="el-GR"/>
        </w:rPr>
        <w:t>ως</w:t>
      </w:r>
      <w:r w:rsidRPr="00494437">
        <w:rPr>
          <w:rFonts w:cstheme="minorHAnsi"/>
          <w:sz w:val="24"/>
          <w:szCs w:val="24"/>
          <w:lang w:val="el-GR"/>
        </w:rPr>
        <w:t xml:space="preserve"> </w:t>
      </w:r>
      <w:r>
        <w:rPr>
          <w:rFonts w:cstheme="minorHAnsi"/>
          <w:sz w:val="24"/>
          <w:szCs w:val="24"/>
          <w:lang w:val="el-GR"/>
        </w:rPr>
        <w:t>μέρος</w:t>
      </w:r>
      <w:r w:rsidRPr="00494437">
        <w:rPr>
          <w:rFonts w:cstheme="minorHAnsi"/>
          <w:sz w:val="24"/>
          <w:szCs w:val="24"/>
          <w:lang w:val="el-GR"/>
        </w:rPr>
        <w:t xml:space="preserve"> </w:t>
      </w:r>
      <w:r>
        <w:rPr>
          <w:rFonts w:cstheme="minorHAnsi"/>
          <w:sz w:val="24"/>
          <w:szCs w:val="24"/>
          <w:lang w:val="el-GR"/>
        </w:rPr>
        <w:t>του</w:t>
      </w:r>
      <w:r w:rsidRPr="00494437">
        <w:rPr>
          <w:rFonts w:cstheme="minorHAnsi"/>
          <w:sz w:val="24"/>
          <w:szCs w:val="24"/>
          <w:lang w:val="el-GR"/>
        </w:rPr>
        <w:t xml:space="preserve"> </w:t>
      </w:r>
      <w:r>
        <w:rPr>
          <w:rFonts w:cstheme="minorHAnsi"/>
          <w:sz w:val="24"/>
          <w:szCs w:val="24"/>
          <w:lang w:val="el-GR"/>
        </w:rPr>
        <w:t>Βιβλίου</w:t>
      </w:r>
      <w:r w:rsidRPr="00494437">
        <w:rPr>
          <w:rFonts w:cstheme="minorHAnsi"/>
          <w:sz w:val="24"/>
          <w:szCs w:val="24"/>
          <w:lang w:val="el-GR"/>
        </w:rPr>
        <w:t xml:space="preserve"> </w:t>
      </w:r>
      <w:r>
        <w:rPr>
          <w:rFonts w:cstheme="minorHAnsi"/>
          <w:sz w:val="24"/>
          <w:szCs w:val="24"/>
          <w:lang w:val="el-GR"/>
        </w:rPr>
        <w:t>Προϋπολογισμού</w:t>
      </w:r>
      <w:r w:rsidR="00A5147D" w:rsidRPr="00494437">
        <w:rPr>
          <w:rFonts w:ascii="Calibri" w:hAnsi="Calibri" w:cs="Calibri"/>
          <w:sz w:val="24"/>
          <w:szCs w:val="24"/>
          <w:lang w:val="el-GR"/>
        </w:rPr>
        <w:t xml:space="preserve"> </w:t>
      </w:r>
      <w:r>
        <w:rPr>
          <w:rFonts w:ascii="Calibri" w:hAnsi="Calibri" w:cs="Calibri"/>
          <w:sz w:val="24"/>
          <w:szCs w:val="24"/>
          <w:lang w:val="el-GR"/>
        </w:rPr>
        <w:t>στο Παράρτημα</w:t>
      </w:r>
      <w:r w:rsidR="00A5147D" w:rsidRPr="00494437">
        <w:rPr>
          <w:rFonts w:ascii="Calibri" w:hAnsi="Calibri" w:cs="Calibri"/>
          <w:sz w:val="24"/>
          <w:szCs w:val="24"/>
          <w:lang w:val="el-GR"/>
        </w:rPr>
        <w:t xml:space="preserve"> </w:t>
      </w:r>
      <w:r>
        <w:rPr>
          <w:rFonts w:ascii="Calibri" w:hAnsi="Calibri" w:cs="Calibri"/>
          <w:sz w:val="24"/>
          <w:szCs w:val="24"/>
          <w:lang w:val="el-GR"/>
        </w:rPr>
        <w:t>με τίτλο</w:t>
      </w:r>
      <w:r w:rsidR="00A5147D" w:rsidRPr="00494437">
        <w:rPr>
          <w:rFonts w:ascii="Calibri" w:hAnsi="Calibri" w:cs="Calibri"/>
          <w:sz w:val="24"/>
          <w:szCs w:val="24"/>
          <w:lang w:val="el-GR"/>
        </w:rPr>
        <w:t xml:space="preserve"> “</w:t>
      </w:r>
      <w:r>
        <w:rPr>
          <w:rFonts w:ascii="Calibri" w:hAnsi="Calibri" w:cs="Calibri"/>
          <w:sz w:val="24"/>
          <w:szCs w:val="24"/>
          <w:lang w:val="el-GR"/>
        </w:rPr>
        <w:t>Μισθοί Αξιωμάτων</w:t>
      </w:r>
      <w:r w:rsidR="00A5147D" w:rsidRPr="00494437">
        <w:rPr>
          <w:rFonts w:ascii="Calibri" w:hAnsi="Calibri" w:cs="Calibri"/>
          <w:sz w:val="24"/>
          <w:szCs w:val="24"/>
          <w:lang w:val="el-GR"/>
        </w:rPr>
        <w:t xml:space="preserve">” </w:t>
      </w:r>
      <w:r>
        <w:rPr>
          <w:rFonts w:ascii="Calibri" w:hAnsi="Calibri" w:cs="Calibri"/>
          <w:sz w:val="24"/>
          <w:szCs w:val="24"/>
          <w:lang w:val="el-GR"/>
        </w:rPr>
        <w:t>και στο Παράρτημα</w:t>
      </w:r>
      <w:r w:rsidR="00A5147D" w:rsidRPr="00494437">
        <w:rPr>
          <w:rFonts w:ascii="Calibri" w:hAnsi="Calibri" w:cs="Calibri"/>
          <w:sz w:val="24"/>
          <w:szCs w:val="24"/>
          <w:lang w:val="el-GR"/>
        </w:rPr>
        <w:t xml:space="preserve"> 3</w:t>
      </w:r>
      <w:r w:rsidR="00A5147D" w:rsidRPr="004E251E">
        <w:rPr>
          <w:rFonts w:ascii="Calibri" w:hAnsi="Calibri" w:cs="Calibri"/>
          <w:sz w:val="24"/>
          <w:szCs w:val="24"/>
        </w:rPr>
        <w:t>A</w:t>
      </w:r>
      <w:r w:rsidR="00A5147D" w:rsidRPr="00494437">
        <w:rPr>
          <w:rFonts w:ascii="Calibri" w:hAnsi="Calibri" w:cs="Calibri"/>
          <w:sz w:val="24"/>
          <w:szCs w:val="24"/>
          <w:lang w:val="el-GR"/>
        </w:rPr>
        <w:t xml:space="preserve"> </w:t>
      </w:r>
      <w:r>
        <w:rPr>
          <w:rFonts w:ascii="Calibri" w:hAnsi="Calibri" w:cs="Calibri"/>
          <w:sz w:val="24"/>
          <w:szCs w:val="24"/>
          <w:lang w:val="el-GR"/>
        </w:rPr>
        <w:t>με τίτλο</w:t>
      </w:r>
      <w:r w:rsidR="00A5147D" w:rsidRPr="00494437">
        <w:rPr>
          <w:rFonts w:ascii="Calibri" w:hAnsi="Calibri" w:cs="Calibri"/>
          <w:sz w:val="24"/>
          <w:szCs w:val="24"/>
          <w:lang w:val="el-GR"/>
        </w:rPr>
        <w:t xml:space="preserve"> “</w:t>
      </w:r>
      <w:r>
        <w:rPr>
          <w:rFonts w:ascii="Calibri" w:hAnsi="Calibri" w:cs="Calibri"/>
          <w:sz w:val="24"/>
          <w:szCs w:val="24"/>
          <w:lang w:val="el-GR"/>
        </w:rPr>
        <w:t>Μισθοί Κρατικών Αξιωματούχων</w:t>
      </w:r>
      <w:r w:rsidR="00A5147D" w:rsidRPr="00494437">
        <w:rPr>
          <w:rFonts w:ascii="Calibri" w:hAnsi="Calibri" w:cs="Calibri"/>
          <w:sz w:val="24"/>
          <w:szCs w:val="24"/>
          <w:lang w:val="el-GR"/>
        </w:rPr>
        <w:t xml:space="preserve">” </w:t>
      </w:r>
      <w:r>
        <w:rPr>
          <w:rFonts w:ascii="Calibri" w:hAnsi="Calibri" w:cs="Calibri"/>
          <w:sz w:val="24"/>
          <w:szCs w:val="24"/>
          <w:lang w:val="el-GR"/>
        </w:rPr>
        <w:t>της Αιτιολογικής Έκθεσης</w:t>
      </w:r>
      <w:r w:rsidR="00A5147D" w:rsidRPr="00494437">
        <w:rPr>
          <w:rFonts w:ascii="Calibri" w:hAnsi="Calibri" w:cs="Calibri"/>
          <w:sz w:val="24"/>
          <w:szCs w:val="24"/>
          <w:lang w:val="el-GR"/>
        </w:rPr>
        <w:t xml:space="preserve">. </w:t>
      </w:r>
      <w:r w:rsidR="00942C67">
        <w:rPr>
          <w:rFonts w:ascii="Calibri" w:hAnsi="Calibri" w:cs="Calibri"/>
          <w:sz w:val="24"/>
          <w:szCs w:val="24"/>
          <w:lang w:val="el-GR"/>
        </w:rPr>
        <w:t>Σύμφωνα</w:t>
      </w:r>
      <w:r w:rsidR="00942C67" w:rsidRPr="00942C67">
        <w:rPr>
          <w:rFonts w:ascii="Calibri" w:hAnsi="Calibri" w:cs="Calibri"/>
          <w:sz w:val="24"/>
          <w:szCs w:val="24"/>
          <w:lang w:val="el-GR"/>
        </w:rPr>
        <w:t xml:space="preserve"> </w:t>
      </w:r>
      <w:r w:rsidR="00942C67">
        <w:rPr>
          <w:rFonts w:ascii="Calibri" w:hAnsi="Calibri" w:cs="Calibri"/>
          <w:sz w:val="24"/>
          <w:szCs w:val="24"/>
          <w:lang w:val="el-GR"/>
        </w:rPr>
        <w:t>με</w:t>
      </w:r>
      <w:r w:rsidR="00942C67" w:rsidRPr="00942C67">
        <w:rPr>
          <w:rFonts w:ascii="Calibri" w:hAnsi="Calibri" w:cs="Calibri"/>
          <w:sz w:val="24"/>
          <w:szCs w:val="24"/>
          <w:lang w:val="el-GR"/>
        </w:rPr>
        <w:t xml:space="preserve"> </w:t>
      </w:r>
      <w:r w:rsidR="00942C67">
        <w:rPr>
          <w:rFonts w:ascii="Calibri" w:hAnsi="Calibri" w:cs="Calibri"/>
          <w:sz w:val="24"/>
          <w:szCs w:val="24"/>
          <w:lang w:val="el-GR"/>
        </w:rPr>
        <w:t>την</w:t>
      </w:r>
      <w:r w:rsidR="00942C67" w:rsidRPr="00942C67">
        <w:rPr>
          <w:rFonts w:ascii="Calibri" w:hAnsi="Calibri" w:cs="Calibri"/>
          <w:sz w:val="24"/>
          <w:szCs w:val="24"/>
          <w:lang w:val="el-GR"/>
        </w:rPr>
        <w:t xml:space="preserve"> </w:t>
      </w:r>
      <w:r w:rsidR="00942C67">
        <w:rPr>
          <w:rFonts w:ascii="Calibri" w:hAnsi="Calibri" w:cs="Calibri"/>
          <w:sz w:val="24"/>
          <w:szCs w:val="24"/>
          <w:lang w:val="el-GR"/>
        </w:rPr>
        <w:t>Σημείωση</w:t>
      </w:r>
      <w:r w:rsidR="00A5147D" w:rsidRPr="00942C67">
        <w:rPr>
          <w:rFonts w:cstheme="minorHAnsi"/>
          <w:sz w:val="24"/>
          <w:szCs w:val="24"/>
          <w:lang w:val="el-GR"/>
        </w:rPr>
        <w:t xml:space="preserve"> </w:t>
      </w:r>
      <w:r w:rsidR="00371744">
        <w:rPr>
          <w:rFonts w:cstheme="minorHAnsi"/>
          <w:sz w:val="24"/>
          <w:szCs w:val="24"/>
          <w:lang w:val="el-GR"/>
        </w:rPr>
        <w:t xml:space="preserve">9 </w:t>
      </w:r>
      <w:r w:rsidR="00942C67">
        <w:rPr>
          <w:rFonts w:cstheme="minorHAnsi"/>
          <w:sz w:val="24"/>
          <w:szCs w:val="24"/>
          <w:lang w:val="el-GR"/>
        </w:rPr>
        <w:t>του</w:t>
      </w:r>
      <w:r w:rsidR="00A5147D" w:rsidRPr="00942C67">
        <w:rPr>
          <w:rFonts w:cstheme="minorHAnsi"/>
          <w:sz w:val="24"/>
          <w:szCs w:val="24"/>
          <w:lang w:val="el-GR"/>
        </w:rPr>
        <w:t xml:space="preserve"> </w:t>
      </w:r>
      <w:r w:rsidR="00942C67">
        <w:rPr>
          <w:rFonts w:cstheme="minorHAnsi"/>
          <w:sz w:val="24"/>
          <w:szCs w:val="24"/>
          <w:lang w:val="el-GR"/>
        </w:rPr>
        <w:t>Βιβλίου</w:t>
      </w:r>
      <w:r w:rsidR="00942C67" w:rsidRPr="00942C67">
        <w:rPr>
          <w:rFonts w:cstheme="minorHAnsi"/>
          <w:sz w:val="24"/>
          <w:szCs w:val="24"/>
          <w:lang w:val="el-GR"/>
        </w:rPr>
        <w:t xml:space="preserve"> </w:t>
      </w:r>
      <w:r w:rsidR="00942C67">
        <w:rPr>
          <w:rFonts w:cstheme="minorHAnsi"/>
          <w:sz w:val="24"/>
          <w:szCs w:val="24"/>
          <w:lang w:val="el-GR"/>
        </w:rPr>
        <w:t>Προϋπολογισμού</w:t>
      </w:r>
      <w:r w:rsidR="00A5147D" w:rsidRPr="00942C67">
        <w:rPr>
          <w:rFonts w:cstheme="minorHAnsi"/>
          <w:sz w:val="24"/>
          <w:szCs w:val="24"/>
          <w:lang w:val="el-GR"/>
        </w:rPr>
        <w:t xml:space="preserve">, </w:t>
      </w:r>
      <w:r w:rsidR="00942C67">
        <w:rPr>
          <w:rFonts w:cstheme="minorHAnsi"/>
          <w:sz w:val="24"/>
          <w:szCs w:val="24"/>
          <w:lang w:val="el-GR"/>
        </w:rPr>
        <w:t>όλες</w:t>
      </w:r>
      <w:r w:rsidR="00942C67" w:rsidRPr="00942C67">
        <w:rPr>
          <w:rFonts w:cstheme="minorHAnsi"/>
          <w:sz w:val="24"/>
          <w:szCs w:val="24"/>
          <w:lang w:val="el-GR"/>
        </w:rPr>
        <w:t xml:space="preserve"> </w:t>
      </w:r>
      <w:r w:rsidR="00942C67">
        <w:rPr>
          <w:rFonts w:cstheme="minorHAnsi"/>
          <w:sz w:val="24"/>
          <w:szCs w:val="24"/>
          <w:lang w:val="el-GR"/>
        </w:rPr>
        <w:t>οι</w:t>
      </w:r>
      <w:r w:rsidR="00942C67" w:rsidRPr="00942C67">
        <w:rPr>
          <w:rFonts w:cstheme="minorHAnsi"/>
          <w:sz w:val="24"/>
          <w:szCs w:val="24"/>
          <w:lang w:val="el-GR"/>
        </w:rPr>
        <w:t xml:space="preserve"> </w:t>
      </w:r>
      <w:r w:rsidR="00942C67">
        <w:rPr>
          <w:rFonts w:cstheme="minorHAnsi"/>
          <w:sz w:val="24"/>
          <w:szCs w:val="24"/>
          <w:lang w:val="el-GR"/>
        </w:rPr>
        <w:t>σχετικές</w:t>
      </w:r>
      <w:r w:rsidR="00942C67" w:rsidRPr="00942C67">
        <w:rPr>
          <w:rFonts w:cstheme="minorHAnsi"/>
          <w:sz w:val="24"/>
          <w:szCs w:val="24"/>
          <w:lang w:val="el-GR"/>
        </w:rPr>
        <w:t xml:space="preserve"> </w:t>
      </w:r>
      <w:r w:rsidR="00942C67">
        <w:rPr>
          <w:rFonts w:cstheme="minorHAnsi"/>
          <w:sz w:val="24"/>
          <w:szCs w:val="24"/>
          <w:lang w:val="el-GR"/>
        </w:rPr>
        <w:t>αμοιβές</w:t>
      </w:r>
      <w:r w:rsidR="00942C67" w:rsidRPr="00942C67">
        <w:rPr>
          <w:rFonts w:cstheme="minorHAnsi"/>
          <w:sz w:val="24"/>
          <w:szCs w:val="24"/>
          <w:lang w:val="el-GR"/>
        </w:rPr>
        <w:t xml:space="preserve"> </w:t>
      </w:r>
      <w:r w:rsidR="00942C67">
        <w:rPr>
          <w:rFonts w:cstheme="minorHAnsi"/>
          <w:sz w:val="24"/>
          <w:szCs w:val="24"/>
          <w:lang w:val="el-GR"/>
        </w:rPr>
        <w:t>που</w:t>
      </w:r>
      <w:r w:rsidR="00942C67" w:rsidRPr="00942C67">
        <w:rPr>
          <w:rFonts w:cstheme="minorHAnsi"/>
          <w:sz w:val="24"/>
          <w:szCs w:val="24"/>
          <w:lang w:val="el-GR"/>
        </w:rPr>
        <w:t xml:space="preserve"> </w:t>
      </w:r>
      <w:r w:rsidR="00942C67">
        <w:rPr>
          <w:rFonts w:cstheme="minorHAnsi"/>
          <w:sz w:val="24"/>
          <w:szCs w:val="24"/>
          <w:lang w:val="el-GR"/>
        </w:rPr>
        <w:t>αφορούν</w:t>
      </w:r>
      <w:r w:rsidR="00942C67" w:rsidRPr="00942C67">
        <w:rPr>
          <w:rFonts w:cstheme="minorHAnsi"/>
          <w:sz w:val="24"/>
          <w:szCs w:val="24"/>
          <w:lang w:val="el-GR"/>
        </w:rPr>
        <w:t xml:space="preserve"> </w:t>
      </w:r>
      <w:r w:rsidR="00942C67">
        <w:rPr>
          <w:rFonts w:cstheme="minorHAnsi"/>
          <w:sz w:val="24"/>
          <w:szCs w:val="24"/>
          <w:lang w:val="el-GR"/>
        </w:rPr>
        <w:t>Κρατικούς</w:t>
      </w:r>
      <w:r w:rsidR="00942C67" w:rsidRPr="00942C67">
        <w:rPr>
          <w:rFonts w:cstheme="minorHAnsi"/>
          <w:sz w:val="24"/>
          <w:szCs w:val="24"/>
          <w:lang w:val="el-GR"/>
        </w:rPr>
        <w:t xml:space="preserve"> </w:t>
      </w:r>
      <w:r w:rsidR="00942C67">
        <w:rPr>
          <w:rFonts w:cstheme="minorHAnsi"/>
          <w:sz w:val="24"/>
          <w:szCs w:val="24"/>
          <w:lang w:val="el-GR"/>
        </w:rPr>
        <w:t>αξιωματούχους</w:t>
      </w:r>
      <w:r w:rsidR="00A5147D" w:rsidRPr="00942C67">
        <w:rPr>
          <w:rFonts w:cstheme="minorHAnsi"/>
          <w:sz w:val="24"/>
          <w:szCs w:val="24"/>
          <w:lang w:val="el-GR"/>
        </w:rPr>
        <w:t xml:space="preserve"> </w:t>
      </w:r>
      <w:r w:rsidR="00942C67">
        <w:rPr>
          <w:rFonts w:cstheme="minorHAnsi"/>
          <w:sz w:val="24"/>
          <w:szCs w:val="24"/>
          <w:lang w:val="el-GR"/>
        </w:rPr>
        <w:t>και</w:t>
      </w:r>
      <w:r w:rsidR="00942C67" w:rsidRPr="00942C67">
        <w:rPr>
          <w:rFonts w:cstheme="minorHAnsi"/>
          <w:sz w:val="24"/>
          <w:szCs w:val="24"/>
          <w:lang w:val="el-GR"/>
        </w:rPr>
        <w:t xml:space="preserve"> </w:t>
      </w:r>
      <w:r w:rsidR="00942C67">
        <w:rPr>
          <w:rFonts w:cstheme="minorHAnsi"/>
          <w:sz w:val="24"/>
          <w:szCs w:val="24"/>
          <w:lang w:val="el-GR"/>
        </w:rPr>
        <w:t>Κρατικούς</w:t>
      </w:r>
      <w:r w:rsidR="00942C67" w:rsidRPr="00942C67">
        <w:rPr>
          <w:rFonts w:cstheme="minorHAnsi"/>
          <w:sz w:val="24"/>
          <w:szCs w:val="24"/>
          <w:lang w:val="el-GR"/>
        </w:rPr>
        <w:t xml:space="preserve"> </w:t>
      </w:r>
      <w:r w:rsidR="00942C67">
        <w:rPr>
          <w:rFonts w:cstheme="minorHAnsi"/>
          <w:sz w:val="24"/>
          <w:szCs w:val="24"/>
          <w:lang w:val="el-GR"/>
        </w:rPr>
        <w:t>λειτουργούς</w:t>
      </w:r>
      <w:r w:rsidR="00A5147D" w:rsidRPr="00942C67">
        <w:rPr>
          <w:rFonts w:cstheme="minorHAnsi"/>
          <w:sz w:val="24"/>
          <w:szCs w:val="24"/>
          <w:lang w:val="el-GR"/>
        </w:rPr>
        <w:t xml:space="preserve"> </w:t>
      </w:r>
      <w:r w:rsidR="00942C67">
        <w:rPr>
          <w:rFonts w:cstheme="minorHAnsi"/>
          <w:sz w:val="24"/>
          <w:szCs w:val="24"/>
          <w:lang w:val="el-GR"/>
        </w:rPr>
        <w:t>φαίνονται</w:t>
      </w:r>
      <w:r w:rsidR="00A5147D" w:rsidRPr="00942C67">
        <w:rPr>
          <w:rFonts w:cstheme="minorHAnsi"/>
          <w:sz w:val="24"/>
          <w:szCs w:val="24"/>
          <w:lang w:val="el-GR"/>
        </w:rPr>
        <w:t xml:space="preserve"> </w:t>
      </w:r>
      <w:r w:rsidR="00942C67">
        <w:rPr>
          <w:rFonts w:cstheme="minorHAnsi"/>
          <w:sz w:val="24"/>
          <w:szCs w:val="24"/>
          <w:lang w:val="el-GR"/>
        </w:rPr>
        <w:t>στο</w:t>
      </w:r>
      <w:r w:rsidR="00942C67" w:rsidRPr="00942C67">
        <w:rPr>
          <w:rFonts w:cstheme="minorHAnsi"/>
          <w:sz w:val="24"/>
          <w:szCs w:val="24"/>
          <w:lang w:val="el-GR"/>
        </w:rPr>
        <w:t xml:space="preserve"> </w:t>
      </w:r>
      <w:r w:rsidR="00942C67">
        <w:rPr>
          <w:rFonts w:cstheme="minorHAnsi"/>
          <w:sz w:val="24"/>
          <w:szCs w:val="24"/>
          <w:lang w:val="el-GR"/>
        </w:rPr>
        <w:t>Παράρτημα</w:t>
      </w:r>
      <w:r w:rsidR="00A5147D" w:rsidRPr="00942C67">
        <w:rPr>
          <w:rFonts w:cstheme="minorHAnsi"/>
          <w:sz w:val="24"/>
          <w:szCs w:val="24"/>
          <w:lang w:val="el-GR"/>
        </w:rPr>
        <w:t>-</w:t>
      </w:r>
      <w:r w:rsidR="00942C67">
        <w:rPr>
          <w:rFonts w:cstheme="minorHAnsi"/>
          <w:sz w:val="24"/>
          <w:szCs w:val="24"/>
          <w:lang w:val="el-GR"/>
        </w:rPr>
        <w:t>Μισθοί Αξιωμάτων, δηλαδή</w:t>
      </w:r>
      <w:r w:rsidR="00A5147D" w:rsidRPr="00942C67">
        <w:rPr>
          <w:rFonts w:cstheme="minorHAnsi"/>
          <w:sz w:val="24"/>
          <w:szCs w:val="24"/>
          <w:lang w:val="el-GR"/>
        </w:rPr>
        <w:t xml:space="preserve">, </w:t>
      </w:r>
      <w:r w:rsidR="00942C67">
        <w:rPr>
          <w:rFonts w:cstheme="minorHAnsi"/>
          <w:sz w:val="24"/>
          <w:szCs w:val="24"/>
          <w:lang w:val="el-GR"/>
        </w:rPr>
        <w:t>ο βασικός μισθός</w:t>
      </w:r>
      <w:r w:rsidR="00A5147D" w:rsidRPr="00942C67">
        <w:rPr>
          <w:rFonts w:cstheme="minorHAnsi"/>
          <w:sz w:val="24"/>
          <w:szCs w:val="24"/>
          <w:lang w:val="el-GR"/>
        </w:rPr>
        <w:t xml:space="preserve">, </w:t>
      </w:r>
      <w:r w:rsidR="00942C67">
        <w:rPr>
          <w:rFonts w:cstheme="minorHAnsi"/>
          <w:sz w:val="24"/>
          <w:szCs w:val="24"/>
          <w:lang w:val="el-GR"/>
        </w:rPr>
        <w:t>ο 13</w:t>
      </w:r>
      <w:r w:rsidR="00942C67" w:rsidRPr="00942C67">
        <w:rPr>
          <w:rFonts w:cstheme="minorHAnsi"/>
          <w:sz w:val="24"/>
          <w:szCs w:val="24"/>
          <w:vertAlign w:val="superscript"/>
          <w:lang w:val="el-GR"/>
        </w:rPr>
        <w:t>ος</w:t>
      </w:r>
      <w:r w:rsidR="00942C67">
        <w:rPr>
          <w:rFonts w:cstheme="minorHAnsi"/>
          <w:sz w:val="24"/>
          <w:szCs w:val="24"/>
          <w:lang w:val="el-GR"/>
        </w:rPr>
        <w:t xml:space="preserve"> μισθός</w:t>
      </w:r>
      <w:r w:rsidR="00A5147D" w:rsidRPr="00942C67">
        <w:rPr>
          <w:rFonts w:cstheme="minorHAnsi"/>
          <w:sz w:val="24"/>
          <w:szCs w:val="24"/>
          <w:lang w:val="el-GR"/>
        </w:rPr>
        <w:t xml:space="preserve">, </w:t>
      </w:r>
      <w:r w:rsidR="00942C67">
        <w:rPr>
          <w:rFonts w:cstheme="minorHAnsi"/>
          <w:sz w:val="24"/>
          <w:szCs w:val="24"/>
          <w:lang w:val="el-GR"/>
        </w:rPr>
        <w:t>το τιμαριθμικό επίδομα</w:t>
      </w:r>
      <w:r w:rsidR="00A5147D" w:rsidRPr="00942C67">
        <w:rPr>
          <w:rFonts w:cstheme="minorHAnsi"/>
          <w:sz w:val="24"/>
          <w:szCs w:val="24"/>
          <w:lang w:val="el-GR"/>
        </w:rPr>
        <w:t xml:space="preserve"> </w:t>
      </w:r>
      <w:r w:rsidR="00942C67">
        <w:rPr>
          <w:rFonts w:cstheme="minorHAnsi"/>
          <w:sz w:val="24"/>
          <w:szCs w:val="24"/>
          <w:lang w:val="el-GR"/>
        </w:rPr>
        <w:t>και</w:t>
      </w:r>
      <w:r w:rsidR="00A5147D" w:rsidRPr="00942C67">
        <w:rPr>
          <w:rFonts w:cstheme="minorHAnsi"/>
          <w:sz w:val="24"/>
          <w:szCs w:val="24"/>
          <w:lang w:val="el-GR"/>
        </w:rPr>
        <w:t xml:space="preserve"> </w:t>
      </w:r>
      <w:r w:rsidR="00942C67">
        <w:rPr>
          <w:rFonts w:cstheme="minorHAnsi"/>
          <w:sz w:val="24"/>
          <w:szCs w:val="24"/>
          <w:lang w:val="el-GR"/>
        </w:rPr>
        <w:t>πάγια επιδόματα</w:t>
      </w:r>
      <w:r w:rsidR="00A5147D" w:rsidRPr="00942C67">
        <w:rPr>
          <w:rFonts w:cstheme="minorHAnsi"/>
          <w:sz w:val="24"/>
          <w:szCs w:val="24"/>
          <w:lang w:val="el-GR"/>
        </w:rPr>
        <w:t xml:space="preserve"> (</w:t>
      </w:r>
      <w:r w:rsidR="00942C67">
        <w:rPr>
          <w:rFonts w:cstheme="minorHAnsi"/>
          <w:sz w:val="24"/>
          <w:szCs w:val="24"/>
          <w:lang w:val="el-GR"/>
        </w:rPr>
        <w:t>Επίδομα Εκπροσώπησης</w:t>
      </w:r>
      <w:r w:rsidR="00A5147D" w:rsidRPr="00942C67">
        <w:rPr>
          <w:rFonts w:cstheme="minorHAnsi"/>
          <w:sz w:val="24"/>
          <w:szCs w:val="24"/>
          <w:lang w:val="el-GR"/>
        </w:rPr>
        <w:t xml:space="preserve">, </w:t>
      </w:r>
      <w:r w:rsidR="00942C67">
        <w:rPr>
          <w:rFonts w:cstheme="minorHAnsi"/>
          <w:sz w:val="24"/>
          <w:szCs w:val="24"/>
          <w:lang w:val="el-GR"/>
        </w:rPr>
        <w:t>Επίδομα Παράστασης</w:t>
      </w:r>
      <w:r w:rsidR="00A5147D" w:rsidRPr="00942C67">
        <w:rPr>
          <w:rFonts w:cstheme="minorHAnsi"/>
          <w:sz w:val="24"/>
          <w:szCs w:val="24"/>
          <w:lang w:val="el-GR"/>
        </w:rPr>
        <w:t xml:space="preserve"> (</w:t>
      </w:r>
      <w:r w:rsidR="00942C67">
        <w:rPr>
          <w:rFonts w:cstheme="minorHAnsi"/>
          <w:sz w:val="24"/>
          <w:szCs w:val="24"/>
          <w:lang w:val="el-GR"/>
        </w:rPr>
        <w:t>αν υπάρχει</w:t>
      </w:r>
      <w:r w:rsidR="00A5147D" w:rsidRPr="00942C67">
        <w:rPr>
          <w:rFonts w:cstheme="minorHAnsi"/>
          <w:sz w:val="24"/>
          <w:szCs w:val="24"/>
          <w:lang w:val="el-GR"/>
        </w:rPr>
        <w:t xml:space="preserve">), </w:t>
      </w:r>
      <w:r w:rsidR="00942C67">
        <w:rPr>
          <w:rFonts w:cstheme="minorHAnsi"/>
          <w:sz w:val="24"/>
          <w:szCs w:val="24"/>
          <w:lang w:val="el-GR"/>
        </w:rPr>
        <w:t>Φιλοξενίας</w:t>
      </w:r>
      <w:r w:rsidR="00A5147D" w:rsidRPr="00942C67">
        <w:rPr>
          <w:rFonts w:cstheme="minorHAnsi"/>
          <w:sz w:val="24"/>
          <w:szCs w:val="24"/>
          <w:lang w:val="el-GR"/>
        </w:rPr>
        <w:t xml:space="preserve"> </w:t>
      </w:r>
      <w:r w:rsidR="00942C67">
        <w:rPr>
          <w:rFonts w:cstheme="minorHAnsi"/>
          <w:sz w:val="24"/>
          <w:szCs w:val="24"/>
          <w:lang w:val="el-GR"/>
        </w:rPr>
        <w:t>και Επίδομα για Γραμματειακές Υπηρεσίες</w:t>
      </w:r>
      <w:r w:rsidR="00A5147D" w:rsidRPr="00942C67">
        <w:rPr>
          <w:rFonts w:cstheme="minorHAnsi"/>
          <w:sz w:val="24"/>
          <w:szCs w:val="24"/>
          <w:lang w:val="el-GR"/>
        </w:rPr>
        <w:t>).</w:t>
      </w:r>
    </w:p>
    <w:p w14:paraId="3437FBBC" w14:textId="77777777" w:rsidR="003C6AF0" w:rsidRPr="00942C67" w:rsidRDefault="003C6AF0" w:rsidP="003C6AF0">
      <w:pPr>
        <w:tabs>
          <w:tab w:val="left" w:pos="709"/>
        </w:tabs>
        <w:rPr>
          <w:rFonts w:ascii="Calibri" w:hAnsi="Calibri" w:cs="Calibri"/>
          <w:sz w:val="24"/>
          <w:szCs w:val="24"/>
          <w:lang w:val="el-GR"/>
        </w:rPr>
      </w:pPr>
    </w:p>
    <w:p w14:paraId="02B98208" w14:textId="7F5CFA64" w:rsidR="003C6AF0" w:rsidRPr="00F16C2A" w:rsidRDefault="00942C67" w:rsidP="003C6AF0">
      <w:pPr>
        <w:numPr>
          <w:ilvl w:val="0"/>
          <w:numId w:val="1"/>
        </w:numPr>
        <w:tabs>
          <w:tab w:val="left" w:pos="709"/>
        </w:tabs>
        <w:ind w:left="0" w:firstLine="0"/>
        <w:rPr>
          <w:rFonts w:cs="Calibri"/>
          <w:sz w:val="24"/>
          <w:szCs w:val="24"/>
          <w:lang w:val="el-GR"/>
        </w:rPr>
      </w:pPr>
      <w:r>
        <w:rPr>
          <w:rFonts w:cstheme="minorHAnsi"/>
          <w:sz w:val="24"/>
          <w:szCs w:val="24"/>
          <w:lang w:val="el-GR"/>
        </w:rPr>
        <w:t>Όσον</w:t>
      </w:r>
      <w:r w:rsidRPr="00942C67">
        <w:rPr>
          <w:rFonts w:cstheme="minorHAnsi"/>
          <w:sz w:val="24"/>
          <w:szCs w:val="24"/>
          <w:lang w:val="el-GR"/>
        </w:rPr>
        <w:t xml:space="preserve"> </w:t>
      </w:r>
      <w:r>
        <w:rPr>
          <w:rFonts w:cstheme="minorHAnsi"/>
          <w:sz w:val="24"/>
          <w:szCs w:val="24"/>
          <w:lang w:val="el-GR"/>
        </w:rPr>
        <w:t>αφορά</w:t>
      </w:r>
      <w:r w:rsidRPr="00942C67">
        <w:rPr>
          <w:rFonts w:cstheme="minorHAnsi"/>
          <w:sz w:val="24"/>
          <w:szCs w:val="24"/>
          <w:lang w:val="el-GR"/>
        </w:rPr>
        <w:t xml:space="preserve"> </w:t>
      </w:r>
      <w:r>
        <w:rPr>
          <w:rFonts w:cstheme="minorHAnsi"/>
          <w:sz w:val="24"/>
          <w:szCs w:val="24"/>
          <w:lang w:val="el-GR"/>
        </w:rPr>
        <w:t>συνεργάτες</w:t>
      </w:r>
      <w:r w:rsidRPr="00942C67">
        <w:rPr>
          <w:rFonts w:cstheme="minorHAnsi"/>
          <w:sz w:val="24"/>
          <w:szCs w:val="24"/>
          <w:lang w:val="el-GR"/>
        </w:rPr>
        <w:t xml:space="preserve"> </w:t>
      </w:r>
      <w:r>
        <w:rPr>
          <w:rFonts w:cstheme="minorHAnsi"/>
          <w:sz w:val="24"/>
          <w:szCs w:val="24"/>
          <w:lang w:val="el-GR"/>
        </w:rPr>
        <w:t>των</w:t>
      </w:r>
      <w:r w:rsidRPr="00942C67">
        <w:rPr>
          <w:rFonts w:cstheme="minorHAnsi"/>
          <w:sz w:val="24"/>
          <w:szCs w:val="24"/>
          <w:lang w:val="el-GR"/>
        </w:rPr>
        <w:t xml:space="preserve"> </w:t>
      </w:r>
      <w:r>
        <w:rPr>
          <w:rFonts w:cstheme="minorHAnsi"/>
          <w:sz w:val="24"/>
          <w:szCs w:val="24"/>
          <w:lang w:val="el-GR"/>
        </w:rPr>
        <w:t>Υπουργών</w:t>
      </w:r>
      <w:r w:rsidR="003C6AF0" w:rsidRPr="00942C67">
        <w:rPr>
          <w:rFonts w:cs="Calibri"/>
          <w:sz w:val="24"/>
          <w:szCs w:val="24"/>
          <w:lang w:val="el-GR"/>
        </w:rPr>
        <w:t>/</w:t>
      </w:r>
      <w:r>
        <w:rPr>
          <w:rFonts w:cs="Calibri"/>
          <w:sz w:val="24"/>
          <w:szCs w:val="24"/>
          <w:lang w:val="el-GR"/>
        </w:rPr>
        <w:t>Υφυπουργών</w:t>
      </w:r>
      <w:r w:rsidR="003C6AF0" w:rsidRPr="00942C67">
        <w:rPr>
          <w:rFonts w:cstheme="minorHAnsi"/>
          <w:sz w:val="24"/>
          <w:szCs w:val="24"/>
          <w:lang w:val="el-GR"/>
        </w:rPr>
        <w:t xml:space="preserve">, </w:t>
      </w:r>
      <w:r>
        <w:rPr>
          <w:rFonts w:cstheme="minorHAnsi"/>
          <w:sz w:val="24"/>
          <w:szCs w:val="24"/>
          <w:lang w:val="el-GR"/>
        </w:rPr>
        <w:t>με</w:t>
      </w:r>
      <w:r w:rsidRPr="00942C67">
        <w:rPr>
          <w:rFonts w:cstheme="minorHAnsi"/>
          <w:sz w:val="24"/>
          <w:szCs w:val="24"/>
          <w:lang w:val="el-GR"/>
        </w:rPr>
        <w:t xml:space="preserve"> </w:t>
      </w:r>
      <w:r>
        <w:rPr>
          <w:rFonts w:cstheme="minorHAnsi"/>
          <w:sz w:val="24"/>
          <w:szCs w:val="24"/>
          <w:lang w:val="el-GR"/>
        </w:rPr>
        <w:t>βάση</w:t>
      </w:r>
      <w:r w:rsidRPr="00942C67">
        <w:rPr>
          <w:rFonts w:cstheme="minorHAnsi"/>
          <w:sz w:val="24"/>
          <w:szCs w:val="24"/>
          <w:lang w:val="el-GR"/>
        </w:rPr>
        <w:t xml:space="preserve"> </w:t>
      </w:r>
      <w:r>
        <w:rPr>
          <w:rFonts w:cstheme="minorHAnsi"/>
          <w:sz w:val="24"/>
          <w:szCs w:val="24"/>
          <w:lang w:val="el-GR"/>
        </w:rPr>
        <w:t>μια</w:t>
      </w:r>
      <w:r w:rsidRPr="00942C67">
        <w:rPr>
          <w:rFonts w:cstheme="minorHAnsi"/>
          <w:sz w:val="24"/>
          <w:szCs w:val="24"/>
          <w:lang w:val="el-GR"/>
        </w:rPr>
        <w:t xml:space="preserve"> </w:t>
      </w:r>
      <w:r>
        <w:rPr>
          <w:rFonts w:cstheme="minorHAnsi"/>
          <w:sz w:val="24"/>
          <w:szCs w:val="24"/>
          <w:lang w:val="el-GR"/>
        </w:rPr>
        <w:t>ανεπίσημη</w:t>
      </w:r>
      <w:r w:rsidRPr="00942C67">
        <w:rPr>
          <w:rFonts w:cstheme="minorHAnsi"/>
          <w:sz w:val="24"/>
          <w:szCs w:val="24"/>
          <w:lang w:val="el-GR"/>
        </w:rPr>
        <w:t xml:space="preserve"> </w:t>
      </w:r>
      <w:r>
        <w:rPr>
          <w:rFonts w:cstheme="minorHAnsi"/>
          <w:sz w:val="24"/>
          <w:szCs w:val="24"/>
          <w:lang w:val="el-GR"/>
        </w:rPr>
        <w:t>συμφωνία</w:t>
      </w:r>
      <w:r w:rsidRPr="00942C67">
        <w:rPr>
          <w:rFonts w:cstheme="minorHAnsi"/>
          <w:sz w:val="24"/>
          <w:szCs w:val="24"/>
          <w:lang w:val="el-GR"/>
        </w:rPr>
        <w:t xml:space="preserve"> </w:t>
      </w:r>
      <w:r>
        <w:rPr>
          <w:rFonts w:cstheme="minorHAnsi"/>
          <w:sz w:val="24"/>
          <w:szCs w:val="24"/>
          <w:lang w:val="el-GR"/>
        </w:rPr>
        <w:t>μεταξύ</w:t>
      </w:r>
      <w:r w:rsidRPr="00942C67">
        <w:rPr>
          <w:rFonts w:cstheme="minorHAnsi"/>
          <w:sz w:val="24"/>
          <w:szCs w:val="24"/>
          <w:lang w:val="el-GR"/>
        </w:rPr>
        <w:t xml:space="preserve"> </w:t>
      </w:r>
      <w:r>
        <w:rPr>
          <w:rFonts w:cstheme="minorHAnsi"/>
          <w:sz w:val="24"/>
          <w:szCs w:val="24"/>
          <w:lang w:val="el-GR"/>
        </w:rPr>
        <w:t>Βουλής</w:t>
      </w:r>
      <w:r w:rsidR="003C6AF0" w:rsidRPr="00942C67">
        <w:rPr>
          <w:rFonts w:cstheme="minorHAnsi"/>
          <w:sz w:val="24"/>
          <w:szCs w:val="24"/>
          <w:lang w:val="el-GR"/>
        </w:rPr>
        <w:t xml:space="preserve"> </w:t>
      </w:r>
      <w:r>
        <w:rPr>
          <w:rFonts w:cstheme="minorHAnsi"/>
          <w:sz w:val="24"/>
          <w:szCs w:val="24"/>
          <w:lang w:val="el-GR"/>
        </w:rPr>
        <w:t>και</w:t>
      </w:r>
      <w:r w:rsidRPr="00942C67">
        <w:rPr>
          <w:rFonts w:cstheme="minorHAnsi"/>
          <w:sz w:val="24"/>
          <w:szCs w:val="24"/>
          <w:lang w:val="el-GR"/>
        </w:rPr>
        <w:t xml:space="preserve"> </w:t>
      </w:r>
      <w:r>
        <w:rPr>
          <w:rFonts w:cstheme="minorHAnsi"/>
          <w:sz w:val="24"/>
          <w:szCs w:val="24"/>
          <w:lang w:val="el-GR"/>
        </w:rPr>
        <w:t>εκτελεστικής</w:t>
      </w:r>
      <w:r w:rsidRPr="00942C67">
        <w:rPr>
          <w:rFonts w:cstheme="minorHAnsi"/>
          <w:sz w:val="24"/>
          <w:szCs w:val="24"/>
          <w:lang w:val="el-GR"/>
        </w:rPr>
        <w:t xml:space="preserve"> </w:t>
      </w:r>
      <w:r>
        <w:rPr>
          <w:rFonts w:cstheme="minorHAnsi"/>
          <w:sz w:val="24"/>
          <w:szCs w:val="24"/>
          <w:lang w:val="el-GR"/>
        </w:rPr>
        <w:t>εξουσίας</w:t>
      </w:r>
      <w:r w:rsidR="003C6AF0" w:rsidRPr="00942C67">
        <w:rPr>
          <w:rFonts w:cstheme="minorHAnsi"/>
          <w:sz w:val="24"/>
          <w:szCs w:val="24"/>
          <w:lang w:val="el-GR"/>
        </w:rPr>
        <w:t xml:space="preserve">, </w:t>
      </w:r>
      <w:r>
        <w:rPr>
          <w:rFonts w:cstheme="minorHAnsi"/>
          <w:sz w:val="24"/>
          <w:szCs w:val="24"/>
          <w:lang w:val="el-GR"/>
        </w:rPr>
        <w:t>κάθε</w:t>
      </w:r>
      <w:r w:rsidRPr="00942C67">
        <w:rPr>
          <w:rFonts w:cstheme="minorHAnsi"/>
          <w:sz w:val="24"/>
          <w:szCs w:val="24"/>
          <w:lang w:val="el-GR"/>
        </w:rPr>
        <w:t xml:space="preserve"> </w:t>
      </w:r>
      <w:r>
        <w:rPr>
          <w:rFonts w:cstheme="minorHAnsi"/>
          <w:sz w:val="24"/>
          <w:szCs w:val="24"/>
          <w:lang w:val="el-GR"/>
        </w:rPr>
        <w:t>Υπουργός</w:t>
      </w:r>
      <w:r w:rsidRPr="00942C67">
        <w:rPr>
          <w:rFonts w:cstheme="minorHAnsi"/>
          <w:sz w:val="24"/>
          <w:szCs w:val="24"/>
          <w:lang w:val="el-GR"/>
        </w:rPr>
        <w:t xml:space="preserve"> </w:t>
      </w:r>
      <w:r>
        <w:rPr>
          <w:rFonts w:cstheme="minorHAnsi"/>
          <w:sz w:val="24"/>
          <w:szCs w:val="24"/>
          <w:lang w:val="el-GR"/>
        </w:rPr>
        <w:t>ή</w:t>
      </w:r>
      <w:r w:rsidRPr="00942C67">
        <w:rPr>
          <w:rFonts w:cstheme="minorHAnsi"/>
          <w:sz w:val="24"/>
          <w:szCs w:val="24"/>
          <w:lang w:val="el-GR"/>
        </w:rPr>
        <w:t xml:space="preserve"> </w:t>
      </w:r>
      <w:r>
        <w:rPr>
          <w:rFonts w:cstheme="minorHAnsi"/>
          <w:sz w:val="24"/>
          <w:szCs w:val="24"/>
          <w:lang w:val="el-GR"/>
        </w:rPr>
        <w:t>Υφυπουργός</w:t>
      </w:r>
      <w:r w:rsidR="003C6AF0" w:rsidRPr="00942C67">
        <w:rPr>
          <w:rFonts w:cstheme="minorHAnsi"/>
          <w:sz w:val="24"/>
          <w:szCs w:val="24"/>
          <w:lang w:val="el-GR"/>
        </w:rPr>
        <w:t xml:space="preserve"> </w:t>
      </w:r>
      <w:r>
        <w:rPr>
          <w:rFonts w:cstheme="minorHAnsi"/>
          <w:sz w:val="24"/>
          <w:szCs w:val="24"/>
          <w:lang w:val="el-GR"/>
        </w:rPr>
        <w:t>δικαιούται</w:t>
      </w:r>
      <w:r w:rsidRPr="00942C67">
        <w:rPr>
          <w:rFonts w:cstheme="minorHAnsi"/>
          <w:sz w:val="24"/>
          <w:szCs w:val="24"/>
          <w:lang w:val="el-GR"/>
        </w:rPr>
        <w:t xml:space="preserve"> </w:t>
      </w:r>
      <w:r>
        <w:rPr>
          <w:rFonts w:cstheme="minorHAnsi"/>
          <w:sz w:val="24"/>
          <w:szCs w:val="24"/>
          <w:lang w:val="el-GR"/>
        </w:rPr>
        <w:t>ένα</w:t>
      </w:r>
      <w:r w:rsidRPr="00942C67">
        <w:rPr>
          <w:rFonts w:cstheme="minorHAnsi"/>
          <w:sz w:val="24"/>
          <w:szCs w:val="24"/>
          <w:lang w:val="el-GR"/>
        </w:rPr>
        <w:t xml:space="preserve"> </w:t>
      </w:r>
      <w:r>
        <w:rPr>
          <w:rFonts w:cstheme="minorHAnsi"/>
          <w:sz w:val="24"/>
          <w:szCs w:val="24"/>
          <w:lang w:val="el-GR"/>
        </w:rPr>
        <w:t>ετήσιο</w:t>
      </w:r>
      <w:r w:rsidRPr="00942C67">
        <w:rPr>
          <w:rFonts w:cstheme="minorHAnsi"/>
          <w:sz w:val="24"/>
          <w:szCs w:val="24"/>
          <w:lang w:val="el-GR"/>
        </w:rPr>
        <w:t xml:space="preserve"> </w:t>
      </w:r>
      <w:r>
        <w:rPr>
          <w:rFonts w:cstheme="minorHAnsi"/>
          <w:sz w:val="24"/>
          <w:szCs w:val="24"/>
          <w:lang w:val="el-GR"/>
        </w:rPr>
        <w:t>ποσό</w:t>
      </w:r>
      <w:r w:rsidRPr="00942C67">
        <w:rPr>
          <w:rFonts w:cstheme="minorHAnsi"/>
          <w:sz w:val="24"/>
          <w:szCs w:val="24"/>
          <w:lang w:val="el-GR"/>
        </w:rPr>
        <w:t xml:space="preserve"> </w:t>
      </w:r>
      <w:r>
        <w:rPr>
          <w:rFonts w:cstheme="minorHAnsi"/>
          <w:sz w:val="24"/>
          <w:szCs w:val="24"/>
          <w:lang w:val="el-GR"/>
        </w:rPr>
        <w:t>των</w:t>
      </w:r>
      <w:r w:rsidR="003C6AF0" w:rsidRPr="00942C67">
        <w:rPr>
          <w:rFonts w:cstheme="minorHAnsi"/>
          <w:sz w:val="24"/>
          <w:szCs w:val="24"/>
          <w:lang w:val="el-GR"/>
        </w:rPr>
        <w:t xml:space="preserve"> €62</w:t>
      </w:r>
      <w:r w:rsidR="003C6AF0" w:rsidRPr="00333B95">
        <w:rPr>
          <w:rFonts w:cstheme="minorHAnsi"/>
          <w:sz w:val="24"/>
          <w:szCs w:val="24"/>
        </w:rPr>
        <w:t> </w:t>
      </w:r>
      <w:r w:rsidR="003C6AF0" w:rsidRPr="00942C67">
        <w:rPr>
          <w:rFonts w:cstheme="minorHAnsi"/>
          <w:sz w:val="24"/>
          <w:szCs w:val="24"/>
          <w:lang w:val="el-GR"/>
        </w:rPr>
        <w:t xml:space="preserve">000 </w:t>
      </w:r>
      <w:r>
        <w:rPr>
          <w:rFonts w:cstheme="minorHAnsi"/>
          <w:sz w:val="24"/>
          <w:szCs w:val="24"/>
          <w:lang w:val="el-GR"/>
        </w:rPr>
        <w:t>για</w:t>
      </w:r>
      <w:r w:rsidRPr="00942C67">
        <w:rPr>
          <w:rFonts w:cstheme="minorHAnsi"/>
          <w:sz w:val="24"/>
          <w:szCs w:val="24"/>
          <w:lang w:val="el-GR"/>
        </w:rPr>
        <w:t xml:space="preserve"> </w:t>
      </w:r>
      <w:r>
        <w:rPr>
          <w:rFonts w:cstheme="minorHAnsi"/>
          <w:sz w:val="24"/>
          <w:szCs w:val="24"/>
          <w:lang w:val="el-GR"/>
        </w:rPr>
        <w:t>να</w:t>
      </w:r>
      <w:r w:rsidRPr="00942C67">
        <w:rPr>
          <w:rFonts w:cstheme="minorHAnsi"/>
          <w:sz w:val="24"/>
          <w:szCs w:val="24"/>
          <w:lang w:val="el-GR"/>
        </w:rPr>
        <w:t xml:space="preserve"> </w:t>
      </w:r>
      <w:r>
        <w:rPr>
          <w:rFonts w:cstheme="minorHAnsi"/>
          <w:sz w:val="24"/>
          <w:szCs w:val="24"/>
          <w:lang w:val="el-GR"/>
        </w:rPr>
        <w:t>ξοδέψει</w:t>
      </w:r>
      <w:r w:rsidR="003C6AF0" w:rsidRPr="00942C67">
        <w:rPr>
          <w:rFonts w:cstheme="minorHAnsi"/>
          <w:sz w:val="24"/>
          <w:szCs w:val="24"/>
          <w:lang w:val="el-GR"/>
        </w:rPr>
        <w:t xml:space="preserve"> </w:t>
      </w:r>
      <w:r>
        <w:rPr>
          <w:rFonts w:cstheme="minorHAnsi"/>
          <w:sz w:val="24"/>
          <w:szCs w:val="24"/>
          <w:lang w:val="el-GR"/>
        </w:rPr>
        <w:t>για</w:t>
      </w:r>
      <w:r w:rsidRPr="00942C67">
        <w:rPr>
          <w:rFonts w:cstheme="minorHAnsi"/>
          <w:sz w:val="24"/>
          <w:szCs w:val="24"/>
          <w:lang w:val="el-GR"/>
        </w:rPr>
        <w:t xml:space="preserve"> </w:t>
      </w:r>
      <w:r>
        <w:rPr>
          <w:rFonts w:cstheme="minorHAnsi"/>
          <w:sz w:val="24"/>
          <w:szCs w:val="24"/>
          <w:lang w:val="el-GR"/>
        </w:rPr>
        <w:t>την</w:t>
      </w:r>
      <w:r w:rsidRPr="00942C67">
        <w:rPr>
          <w:rFonts w:cstheme="minorHAnsi"/>
          <w:sz w:val="24"/>
          <w:szCs w:val="24"/>
          <w:lang w:val="el-GR"/>
        </w:rPr>
        <w:t xml:space="preserve"> </w:t>
      </w:r>
      <w:proofErr w:type="spellStart"/>
      <w:r>
        <w:rPr>
          <w:rFonts w:cstheme="minorHAnsi"/>
          <w:sz w:val="24"/>
          <w:szCs w:val="24"/>
          <w:lang w:val="el-GR"/>
        </w:rPr>
        <w:t>εργοδότηση</w:t>
      </w:r>
      <w:proofErr w:type="spellEnd"/>
      <w:r>
        <w:rPr>
          <w:rFonts w:cstheme="minorHAnsi"/>
          <w:sz w:val="24"/>
          <w:szCs w:val="24"/>
          <w:lang w:val="el-GR"/>
        </w:rPr>
        <w:t xml:space="preserve"> συμβούλων</w:t>
      </w:r>
      <w:r w:rsidR="003C6AF0" w:rsidRPr="00942C67">
        <w:rPr>
          <w:rFonts w:cstheme="minorHAnsi"/>
          <w:sz w:val="24"/>
          <w:szCs w:val="24"/>
          <w:lang w:val="el-GR"/>
        </w:rPr>
        <w:t xml:space="preserve">, </w:t>
      </w:r>
      <w:r>
        <w:rPr>
          <w:rFonts w:cstheme="minorHAnsi"/>
          <w:sz w:val="24"/>
          <w:szCs w:val="24"/>
          <w:lang w:val="el-GR"/>
        </w:rPr>
        <w:t>με μερικές εξαιρέσεις</w:t>
      </w:r>
      <w:r w:rsidR="003C6AF0" w:rsidRPr="00942C67">
        <w:rPr>
          <w:rFonts w:cstheme="minorHAnsi"/>
          <w:sz w:val="24"/>
          <w:szCs w:val="24"/>
          <w:lang w:val="el-GR"/>
        </w:rPr>
        <w:t xml:space="preserve">: </w:t>
      </w:r>
      <w:r>
        <w:rPr>
          <w:rFonts w:cstheme="minorHAnsi"/>
          <w:sz w:val="24"/>
          <w:szCs w:val="24"/>
          <w:lang w:val="el-GR"/>
        </w:rPr>
        <w:t>ο Υπουργός Εσωτερικών</w:t>
      </w:r>
      <w:r w:rsidR="003C6AF0" w:rsidRPr="00942C67">
        <w:rPr>
          <w:rFonts w:cstheme="minorHAnsi"/>
          <w:sz w:val="24"/>
          <w:szCs w:val="24"/>
          <w:lang w:val="el-GR"/>
        </w:rPr>
        <w:t xml:space="preserve"> </w:t>
      </w:r>
      <w:r>
        <w:rPr>
          <w:rFonts w:cstheme="minorHAnsi"/>
          <w:sz w:val="24"/>
          <w:szCs w:val="24"/>
          <w:lang w:val="el-GR"/>
        </w:rPr>
        <w:t>και ο Υπουργός Μεταφορών, Συγκοινωνιών και Έργων</w:t>
      </w:r>
      <w:r w:rsidR="003C6AF0" w:rsidRPr="00942C67">
        <w:rPr>
          <w:rFonts w:cs="Calibri"/>
          <w:sz w:val="24"/>
          <w:szCs w:val="24"/>
          <w:lang w:val="el-GR"/>
        </w:rPr>
        <w:t xml:space="preserve"> </w:t>
      </w:r>
      <w:r w:rsidR="00371744">
        <w:rPr>
          <w:rFonts w:cs="Calibri"/>
          <w:sz w:val="24"/>
          <w:szCs w:val="24"/>
          <w:lang w:val="el-GR"/>
        </w:rPr>
        <w:t xml:space="preserve">δικαιούνται </w:t>
      </w:r>
      <w:r w:rsidR="003C6AF0" w:rsidRPr="00942C67">
        <w:rPr>
          <w:rFonts w:cs="Calibri"/>
          <w:sz w:val="24"/>
          <w:szCs w:val="24"/>
          <w:lang w:val="el-GR"/>
        </w:rPr>
        <w:t xml:space="preserve">€65 000, </w:t>
      </w:r>
      <w:r w:rsidR="00F16C2A">
        <w:rPr>
          <w:rFonts w:cs="Calibri"/>
          <w:sz w:val="24"/>
          <w:szCs w:val="24"/>
          <w:lang w:val="el-GR"/>
        </w:rPr>
        <w:t>ο Υπουργός Οικονομικών</w:t>
      </w:r>
      <w:r w:rsidR="003C6AF0" w:rsidRPr="00942C67">
        <w:rPr>
          <w:rFonts w:cs="Calibri"/>
          <w:sz w:val="24"/>
          <w:szCs w:val="24"/>
          <w:lang w:val="el-GR"/>
        </w:rPr>
        <w:t xml:space="preserve"> </w:t>
      </w:r>
      <w:r w:rsidR="00371744">
        <w:rPr>
          <w:rFonts w:cs="Calibri"/>
          <w:sz w:val="24"/>
          <w:szCs w:val="24"/>
          <w:lang w:val="el-GR"/>
        </w:rPr>
        <w:t xml:space="preserve">δικαιούται </w:t>
      </w:r>
      <w:r w:rsidR="003C6AF0" w:rsidRPr="00942C67">
        <w:rPr>
          <w:rFonts w:cstheme="minorHAnsi"/>
          <w:sz w:val="24"/>
          <w:szCs w:val="24"/>
          <w:lang w:val="el-GR"/>
        </w:rPr>
        <w:t>€142</w:t>
      </w:r>
      <w:r w:rsidR="003C6AF0" w:rsidRPr="00333B95">
        <w:rPr>
          <w:rFonts w:cstheme="minorHAnsi"/>
          <w:sz w:val="24"/>
          <w:szCs w:val="24"/>
        </w:rPr>
        <w:t> </w:t>
      </w:r>
      <w:r w:rsidR="003C6AF0" w:rsidRPr="00942C67">
        <w:rPr>
          <w:rFonts w:cstheme="minorHAnsi"/>
          <w:sz w:val="24"/>
          <w:szCs w:val="24"/>
          <w:lang w:val="el-GR"/>
        </w:rPr>
        <w:t xml:space="preserve">000, </w:t>
      </w:r>
      <w:r w:rsidR="00F16C2A">
        <w:rPr>
          <w:rFonts w:cstheme="minorHAnsi"/>
          <w:sz w:val="24"/>
          <w:szCs w:val="24"/>
          <w:lang w:val="el-GR"/>
        </w:rPr>
        <w:t>και ο Υπουργός Εξωτερικώ</w:t>
      </w:r>
      <w:r w:rsidR="00BC7FB3">
        <w:rPr>
          <w:rFonts w:cstheme="minorHAnsi"/>
          <w:sz w:val="24"/>
          <w:szCs w:val="24"/>
          <w:lang w:val="el-GR"/>
        </w:rPr>
        <w:t>ν</w:t>
      </w:r>
      <w:r w:rsidR="00F16C2A">
        <w:rPr>
          <w:rFonts w:cstheme="minorHAnsi"/>
          <w:sz w:val="24"/>
          <w:szCs w:val="24"/>
          <w:lang w:val="el-GR"/>
        </w:rPr>
        <w:t xml:space="preserve"> </w:t>
      </w:r>
      <w:r w:rsidR="00371744">
        <w:rPr>
          <w:rFonts w:cstheme="minorHAnsi"/>
          <w:sz w:val="24"/>
          <w:szCs w:val="24"/>
          <w:lang w:val="el-GR"/>
        </w:rPr>
        <w:t xml:space="preserve">δικαιούται </w:t>
      </w:r>
      <w:r w:rsidR="003C6AF0" w:rsidRPr="00942C67">
        <w:rPr>
          <w:rFonts w:cstheme="minorHAnsi"/>
          <w:sz w:val="24"/>
          <w:szCs w:val="24"/>
          <w:lang w:val="el-GR"/>
        </w:rPr>
        <w:t>€104</w:t>
      </w:r>
      <w:r w:rsidR="003C6AF0" w:rsidRPr="00333B95">
        <w:rPr>
          <w:rFonts w:cstheme="minorHAnsi"/>
          <w:sz w:val="24"/>
          <w:szCs w:val="24"/>
        </w:rPr>
        <w:t> </w:t>
      </w:r>
      <w:r w:rsidR="003C6AF0" w:rsidRPr="00942C67">
        <w:rPr>
          <w:rFonts w:cstheme="minorHAnsi"/>
          <w:sz w:val="24"/>
          <w:szCs w:val="24"/>
          <w:lang w:val="el-GR"/>
        </w:rPr>
        <w:t xml:space="preserve">000, </w:t>
      </w:r>
      <w:r w:rsidR="00F16C2A">
        <w:rPr>
          <w:rFonts w:cstheme="minorHAnsi"/>
          <w:sz w:val="24"/>
          <w:szCs w:val="24"/>
          <w:lang w:val="el-GR"/>
        </w:rPr>
        <w:t>αντίστοιχα</w:t>
      </w:r>
      <w:r w:rsidR="003C6AF0" w:rsidRPr="00942C67">
        <w:rPr>
          <w:rFonts w:cstheme="minorHAnsi"/>
          <w:sz w:val="24"/>
          <w:szCs w:val="24"/>
          <w:lang w:val="el-GR"/>
        </w:rPr>
        <w:t xml:space="preserve">. </w:t>
      </w:r>
      <w:r w:rsidR="00F16C2A">
        <w:rPr>
          <w:rFonts w:cstheme="minorHAnsi"/>
          <w:sz w:val="24"/>
          <w:szCs w:val="24"/>
          <w:lang w:val="el-GR"/>
        </w:rPr>
        <w:t>Αυτό</w:t>
      </w:r>
      <w:r w:rsidR="00F16C2A" w:rsidRPr="00740E08">
        <w:rPr>
          <w:rFonts w:cstheme="minorHAnsi"/>
          <w:sz w:val="24"/>
          <w:szCs w:val="24"/>
          <w:lang w:val="el-GR"/>
        </w:rPr>
        <w:t xml:space="preserve"> </w:t>
      </w:r>
      <w:r w:rsidR="00F16C2A">
        <w:rPr>
          <w:rFonts w:cstheme="minorHAnsi"/>
          <w:sz w:val="24"/>
          <w:szCs w:val="24"/>
          <w:lang w:val="el-GR"/>
        </w:rPr>
        <w:t>δεν</w:t>
      </w:r>
      <w:r w:rsidR="00F16C2A" w:rsidRPr="00740E08">
        <w:rPr>
          <w:rFonts w:cstheme="minorHAnsi"/>
          <w:sz w:val="24"/>
          <w:szCs w:val="24"/>
          <w:lang w:val="el-GR"/>
        </w:rPr>
        <w:t xml:space="preserve"> </w:t>
      </w:r>
      <w:r w:rsidR="00371744">
        <w:rPr>
          <w:rFonts w:cstheme="minorHAnsi"/>
          <w:sz w:val="24"/>
          <w:szCs w:val="24"/>
          <w:lang w:val="el-GR"/>
        </w:rPr>
        <w:t xml:space="preserve">εφαρμόζεται για τους </w:t>
      </w:r>
      <w:r w:rsidR="00F16C2A">
        <w:rPr>
          <w:rFonts w:cstheme="minorHAnsi"/>
          <w:sz w:val="24"/>
          <w:szCs w:val="24"/>
          <w:lang w:val="el-GR"/>
        </w:rPr>
        <w:t>συνεργάτες</w:t>
      </w:r>
      <w:r w:rsidR="00F16C2A" w:rsidRPr="00740E08">
        <w:rPr>
          <w:rFonts w:cstheme="minorHAnsi"/>
          <w:sz w:val="24"/>
          <w:szCs w:val="24"/>
          <w:lang w:val="el-GR"/>
        </w:rPr>
        <w:t xml:space="preserve"> </w:t>
      </w:r>
      <w:r w:rsidR="00F16C2A">
        <w:rPr>
          <w:rFonts w:cstheme="minorHAnsi"/>
          <w:sz w:val="24"/>
          <w:szCs w:val="24"/>
          <w:lang w:val="el-GR"/>
        </w:rPr>
        <w:t>του</w:t>
      </w:r>
      <w:r w:rsidR="00F16C2A" w:rsidRPr="00740E08">
        <w:rPr>
          <w:rFonts w:cstheme="minorHAnsi"/>
          <w:sz w:val="24"/>
          <w:szCs w:val="24"/>
          <w:lang w:val="el-GR"/>
        </w:rPr>
        <w:t xml:space="preserve"> </w:t>
      </w:r>
      <w:r w:rsidR="00F16C2A">
        <w:rPr>
          <w:rFonts w:cstheme="minorHAnsi"/>
          <w:sz w:val="24"/>
          <w:szCs w:val="24"/>
          <w:lang w:val="el-GR"/>
        </w:rPr>
        <w:t>Προέδρου</w:t>
      </w:r>
      <w:r w:rsidR="003C6AF0" w:rsidRPr="00740E08">
        <w:rPr>
          <w:rFonts w:cstheme="minorHAnsi"/>
          <w:sz w:val="24"/>
          <w:szCs w:val="24"/>
          <w:lang w:val="el-GR"/>
        </w:rPr>
        <w:t xml:space="preserve">. </w:t>
      </w:r>
      <w:r w:rsidR="00F16C2A">
        <w:rPr>
          <w:rFonts w:cstheme="minorHAnsi"/>
          <w:sz w:val="24"/>
          <w:szCs w:val="24"/>
          <w:lang w:val="el-GR"/>
        </w:rPr>
        <w:t>Το</w:t>
      </w:r>
      <w:r w:rsidR="003C6AF0" w:rsidRPr="00333B95">
        <w:rPr>
          <w:rFonts w:cstheme="minorHAnsi"/>
          <w:sz w:val="24"/>
          <w:szCs w:val="24"/>
        </w:rPr>
        <w:t> </w:t>
      </w:r>
      <w:r w:rsidR="003C6AF0" w:rsidRPr="00F16C2A">
        <w:rPr>
          <w:rFonts w:cstheme="minorHAnsi"/>
          <w:sz w:val="24"/>
          <w:szCs w:val="24"/>
          <w:lang w:val="el-GR"/>
        </w:rPr>
        <w:t xml:space="preserve">2023 </w:t>
      </w:r>
      <w:r w:rsidR="00F16C2A">
        <w:rPr>
          <w:rFonts w:cstheme="minorHAnsi"/>
          <w:sz w:val="24"/>
          <w:szCs w:val="24"/>
          <w:lang w:val="el-GR"/>
        </w:rPr>
        <w:t>ο</w:t>
      </w:r>
      <w:r w:rsidR="00F16C2A" w:rsidRPr="00F16C2A">
        <w:rPr>
          <w:rFonts w:cstheme="minorHAnsi"/>
          <w:sz w:val="24"/>
          <w:szCs w:val="24"/>
          <w:lang w:val="el-GR"/>
        </w:rPr>
        <w:t xml:space="preserve"> </w:t>
      </w:r>
      <w:r w:rsidR="00F16C2A">
        <w:rPr>
          <w:rFonts w:cstheme="minorHAnsi"/>
          <w:sz w:val="24"/>
          <w:szCs w:val="24"/>
          <w:lang w:val="el-GR"/>
        </w:rPr>
        <w:t>διαθέσιμος</w:t>
      </w:r>
      <w:r w:rsidR="00F16C2A" w:rsidRPr="00F16C2A">
        <w:rPr>
          <w:rFonts w:cstheme="minorHAnsi"/>
          <w:sz w:val="24"/>
          <w:szCs w:val="24"/>
          <w:lang w:val="el-GR"/>
        </w:rPr>
        <w:t xml:space="preserve"> </w:t>
      </w:r>
      <w:r w:rsidR="00F16C2A">
        <w:rPr>
          <w:rFonts w:cstheme="minorHAnsi"/>
          <w:sz w:val="24"/>
          <w:szCs w:val="24"/>
          <w:lang w:val="el-GR"/>
        </w:rPr>
        <w:t>προϋπολογισμός</w:t>
      </w:r>
      <w:r w:rsidR="00F16C2A" w:rsidRPr="00F16C2A">
        <w:rPr>
          <w:rFonts w:cstheme="minorHAnsi"/>
          <w:sz w:val="24"/>
          <w:szCs w:val="24"/>
          <w:lang w:val="el-GR"/>
        </w:rPr>
        <w:t xml:space="preserve"> </w:t>
      </w:r>
      <w:r w:rsidR="00F16C2A">
        <w:rPr>
          <w:rFonts w:cstheme="minorHAnsi"/>
          <w:sz w:val="24"/>
          <w:szCs w:val="24"/>
          <w:lang w:val="el-GR"/>
        </w:rPr>
        <w:t>για</w:t>
      </w:r>
      <w:r w:rsidR="00F16C2A" w:rsidRPr="00F16C2A">
        <w:rPr>
          <w:rFonts w:cstheme="minorHAnsi"/>
          <w:sz w:val="24"/>
          <w:szCs w:val="24"/>
          <w:lang w:val="el-GR"/>
        </w:rPr>
        <w:t xml:space="preserve"> </w:t>
      </w:r>
      <w:r w:rsidR="00371744">
        <w:rPr>
          <w:rFonts w:cstheme="minorHAnsi"/>
          <w:sz w:val="24"/>
          <w:szCs w:val="24"/>
          <w:lang w:val="el-GR"/>
        </w:rPr>
        <w:t xml:space="preserve">τους </w:t>
      </w:r>
      <w:r w:rsidR="00F16C2A">
        <w:rPr>
          <w:rFonts w:cstheme="minorHAnsi"/>
          <w:sz w:val="24"/>
          <w:szCs w:val="24"/>
          <w:lang w:val="el-GR"/>
        </w:rPr>
        <w:t>συνεργάτες</w:t>
      </w:r>
      <w:r w:rsidR="00F16C2A" w:rsidRPr="00F16C2A">
        <w:rPr>
          <w:rFonts w:cstheme="minorHAnsi"/>
          <w:sz w:val="24"/>
          <w:szCs w:val="24"/>
          <w:lang w:val="el-GR"/>
        </w:rPr>
        <w:t xml:space="preserve"> </w:t>
      </w:r>
      <w:r w:rsidR="00F16C2A">
        <w:rPr>
          <w:rFonts w:cstheme="minorHAnsi"/>
          <w:sz w:val="24"/>
          <w:szCs w:val="24"/>
          <w:lang w:val="el-GR"/>
        </w:rPr>
        <w:t>είναι</w:t>
      </w:r>
      <w:r w:rsidR="003C6AF0" w:rsidRPr="00F16C2A">
        <w:rPr>
          <w:rFonts w:cs="Calibri"/>
          <w:sz w:val="24"/>
          <w:szCs w:val="24"/>
          <w:lang w:val="el-GR"/>
        </w:rPr>
        <w:t xml:space="preserve"> €250 000 </w:t>
      </w:r>
      <w:r w:rsidR="00F16C2A">
        <w:rPr>
          <w:rFonts w:cs="Calibri"/>
          <w:sz w:val="24"/>
          <w:szCs w:val="24"/>
          <w:lang w:val="el-GR"/>
        </w:rPr>
        <w:t>και στο π</w:t>
      </w:r>
      <w:r w:rsidR="00BC7FB3">
        <w:rPr>
          <w:rFonts w:cs="Calibri"/>
          <w:sz w:val="24"/>
          <w:szCs w:val="24"/>
          <w:lang w:val="el-GR"/>
        </w:rPr>
        <w:t>α</w:t>
      </w:r>
      <w:r w:rsidR="00F16C2A">
        <w:rPr>
          <w:rFonts w:cs="Calibri"/>
          <w:sz w:val="24"/>
          <w:szCs w:val="24"/>
          <w:lang w:val="el-GR"/>
        </w:rPr>
        <w:t>ρόν στάδιο</w:t>
      </w:r>
      <w:r w:rsidR="003C6AF0" w:rsidRPr="00F16C2A">
        <w:rPr>
          <w:rFonts w:cs="Calibri"/>
          <w:sz w:val="24"/>
          <w:szCs w:val="24"/>
          <w:lang w:val="el-GR"/>
        </w:rPr>
        <w:t xml:space="preserve"> </w:t>
      </w:r>
      <w:r w:rsidR="00F16C2A">
        <w:rPr>
          <w:rFonts w:cs="Calibri"/>
          <w:sz w:val="24"/>
          <w:szCs w:val="24"/>
          <w:lang w:val="el-GR"/>
        </w:rPr>
        <w:t>για τον Πρόεδρο</w:t>
      </w:r>
      <w:r w:rsidR="00371744" w:rsidRPr="00371744">
        <w:rPr>
          <w:rFonts w:cs="Calibri"/>
          <w:sz w:val="24"/>
          <w:szCs w:val="24"/>
          <w:lang w:val="el-GR"/>
        </w:rPr>
        <w:t xml:space="preserve"> </w:t>
      </w:r>
      <w:r w:rsidR="00371744">
        <w:rPr>
          <w:rFonts w:cs="Calibri"/>
          <w:sz w:val="24"/>
          <w:szCs w:val="24"/>
          <w:lang w:val="el-GR"/>
        </w:rPr>
        <w:t>εργάζονται</w:t>
      </w:r>
      <w:r w:rsidR="00371744" w:rsidRPr="00371744">
        <w:rPr>
          <w:rFonts w:cs="Calibri"/>
          <w:sz w:val="24"/>
          <w:szCs w:val="24"/>
          <w:lang w:val="el-GR"/>
        </w:rPr>
        <w:t xml:space="preserve"> </w:t>
      </w:r>
      <w:r w:rsidR="00371744">
        <w:rPr>
          <w:rFonts w:cs="Calibri"/>
          <w:sz w:val="24"/>
          <w:szCs w:val="24"/>
          <w:lang w:val="el-GR"/>
        </w:rPr>
        <w:t>πέντε συνεργάτες</w:t>
      </w:r>
      <w:r w:rsidR="003C6AF0" w:rsidRPr="00F16C2A">
        <w:rPr>
          <w:rFonts w:cs="Calibri"/>
          <w:sz w:val="24"/>
          <w:szCs w:val="24"/>
          <w:lang w:val="el-GR"/>
        </w:rPr>
        <w:t xml:space="preserve">. </w:t>
      </w:r>
    </w:p>
    <w:p w14:paraId="1A2099EC" w14:textId="77777777" w:rsidR="00A5147D" w:rsidRPr="00F16C2A" w:rsidRDefault="00A5147D" w:rsidP="00A5147D">
      <w:pPr>
        <w:rPr>
          <w:rFonts w:cs="Calibri"/>
          <w:sz w:val="24"/>
          <w:szCs w:val="24"/>
          <w:lang w:val="el-GR"/>
        </w:rPr>
      </w:pPr>
    </w:p>
    <w:p w14:paraId="6FBDA5FC" w14:textId="6FD12E18" w:rsidR="00A5147D" w:rsidRPr="00BC7FB3" w:rsidRDefault="00371744"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 xml:space="preserve">Οι </w:t>
      </w:r>
      <w:r>
        <w:rPr>
          <w:rFonts w:cstheme="minorHAnsi"/>
          <w:sz w:val="24"/>
          <w:szCs w:val="24"/>
          <w:lang w:val="en-US"/>
        </w:rPr>
        <w:t>PTEFs</w:t>
      </w:r>
      <w:r w:rsidRPr="002B7C4B">
        <w:rPr>
          <w:rFonts w:cstheme="minorHAnsi"/>
          <w:sz w:val="24"/>
          <w:szCs w:val="24"/>
          <w:lang w:val="el-GR"/>
        </w:rPr>
        <w:t xml:space="preserve"> </w:t>
      </w:r>
      <w:r w:rsidR="00F16C2A">
        <w:rPr>
          <w:rFonts w:cstheme="minorHAnsi"/>
          <w:sz w:val="24"/>
          <w:szCs w:val="24"/>
          <w:lang w:val="el-GR"/>
        </w:rPr>
        <w:t>δικαιούνται</w:t>
      </w:r>
      <w:r w:rsidR="00F16C2A" w:rsidRPr="00F16C2A">
        <w:rPr>
          <w:rFonts w:cstheme="minorHAnsi"/>
          <w:sz w:val="24"/>
          <w:szCs w:val="24"/>
          <w:lang w:val="el-GR"/>
        </w:rPr>
        <w:t xml:space="preserve"> </w:t>
      </w:r>
      <w:r w:rsidR="00F16C2A">
        <w:rPr>
          <w:rFonts w:cstheme="minorHAnsi"/>
          <w:sz w:val="24"/>
          <w:szCs w:val="24"/>
          <w:lang w:val="el-GR"/>
        </w:rPr>
        <w:t>επίσης</w:t>
      </w:r>
      <w:r w:rsidR="00F16C2A" w:rsidRPr="00F16C2A">
        <w:rPr>
          <w:rFonts w:cstheme="minorHAnsi"/>
          <w:sz w:val="24"/>
          <w:szCs w:val="24"/>
          <w:lang w:val="el-GR"/>
        </w:rPr>
        <w:t xml:space="preserve"> </w:t>
      </w:r>
      <w:r w:rsidR="00F16C2A">
        <w:rPr>
          <w:rFonts w:cstheme="minorHAnsi"/>
          <w:sz w:val="24"/>
          <w:szCs w:val="24"/>
          <w:lang w:val="el-GR"/>
        </w:rPr>
        <w:t>να</w:t>
      </w:r>
      <w:r w:rsidR="00F16C2A" w:rsidRPr="00F16C2A">
        <w:rPr>
          <w:rFonts w:cstheme="minorHAnsi"/>
          <w:sz w:val="24"/>
          <w:szCs w:val="24"/>
          <w:lang w:val="el-GR"/>
        </w:rPr>
        <w:t xml:space="preserve"> </w:t>
      </w:r>
      <w:r w:rsidR="00F16C2A">
        <w:rPr>
          <w:rFonts w:cstheme="minorHAnsi"/>
          <w:sz w:val="24"/>
          <w:szCs w:val="24"/>
          <w:lang w:val="el-GR"/>
        </w:rPr>
        <w:t>λαμβάνουν</w:t>
      </w:r>
      <w:r w:rsidR="00F16C2A" w:rsidRPr="00F16C2A">
        <w:rPr>
          <w:rFonts w:cstheme="minorHAnsi"/>
          <w:sz w:val="24"/>
          <w:szCs w:val="24"/>
          <w:lang w:val="el-GR"/>
        </w:rPr>
        <w:t xml:space="preserve"> μια σ</w:t>
      </w:r>
      <w:r w:rsidR="00F16C2A">
        <w:rPr>
          <w:rFonts w:cstheme="minorHAnsi"/>
          <w:sz w:val="24"/>
          <w:szCs w:val="24"/>
          <w:lang w:val="el-GR"/>
        </w:rPr>
        <w:t>ύνταξη</w:t>
      </w:r>
      <w:r w:rsidR="00A5147D" w:rsidRPr="00F16C2A">
        <w:rPr>
          <w:rFonts w:cstheme="minorHAnsi"/>
          <w:sz w:val="24"/>
          <w:szCs w:val="24"/>
          <w:lang w:val="el-GR"/>
        </w:rPr>
        <w:t xml:space="preserve"> </w:t>
      </w:r>
      <w:r w:rsidR="00F16C2A">
        <w:rPr>
          <w:rFonts w:cstheme="minorHAnsi"/>
          <w:sz w:val="24"/>
          <w:szCs w:val="24"/>
          <w:lang w:val="el-GR"/>
        </w:rPr>
        <w:t>βασισμένη στο αξίωμα τους και τα χρόνια υπηρεσίας</w:t>
      </w:r>
      <w:r w:rsidR="00A5147D" w:rsidRPr="00F16C2A">
        <w:rPr>
          <w:rFonts w:cstheme="minorHAnsi"/>
          <w:sz w:val="24"/>
          <w:szCs w:val="24"/>
          <w:lang w:val="el-GR"/>
        </w:rPr>
        <w:t xml:space="preserve">.  </w:t>
      </w:r>
      <w:r w:rsidR="00F16C2A">
        <w:rPr>
          <w:rFonts w:cstheme="minorHAnsi"/>
          <w:sz w:val="24"/>
          <w:szCs w:val="24"/>
          <w:lang w:val="el-GR"/>
        </w:rPr>
        <w:t>Για</w:t>
      </w:r>
      <w:r w:rsidR="00F16C2A" w:rsidRPr="00F16C2A">
        <w:rPr>
          <w:rFonts w:cstheme="minorHAnsi"/>
          <w:sz w:val="24"/>
          <w:szCs w:val="24"/>
          <w:lang w:val="el-GR"/>
        </w:rPr>
        <w:t xml:space="preserve"> </w:t>
      </w:r>
      <w:r w:rsidR="00F16C2A">
        <w:rPr>
          <w:rFonts w:cstheme="minorHAnsi"/>
          <w:sz w:val="24"/>
          <w:szCs w:val="24"/>
          <w:lang w:val="el-GR"/>
        </w:rPr>
        <w:t>Υπουργούς</w:t>
      </w:r>
      <w:r w:rsidR="00A5147D" w:rsidRPr="00F16C2A">
        <w:rPr>
          <w:rFonts w:cstheme="minorHAnsi"/>
          <w:sz w:val="24"/>
          <w:szCs w:val="24"/>
          <w:lang w:val="el-GR"/>
        </w:rPr>
        <w:t xml:space="preserve">, </w:t>
      </w:r>
      <w:r w:rsidR="00F16C2A">
        <w:rPr>
          <w:rFonts w:cstheme="minorHAnsi"/>
          <w:sz w:val="24"/>
          <w:szCs w:val="24"/>
          <w:lang w:val="el-GR"/>
        </w:rPr>
        <w:t>Υφυπουργούς</w:t>
      </w:r>
      <w:r w:rsidR="00F16C2A" w:rsidRPr="00F16C2A">
        <w:rPr>
          <w:rFonts w:cstheme="minorHAnsi"/>
          <w:sz w:val="24"/>
          <w:szCs w:val="24"/>
          <w:lang w:val="el-GR"/>
        </w:rPr>
        <w:t xml:space="preserve"> </w:t>
      </w:r>
      <w:r w:rsidR="00F16C2A">
        <w:rPr>
          <w:rFonts w:cstheme="minorHAnsi"/>
          <w:sz w:val="24"/>
          <w:szCs w:val="24"/>
          <w:lang w:val="el-GR"/>
        </w:rPr>
        <w:t>και</w:t>
      </w:r>
      <w:r w:rsidR="00F16C2A" w:rsidRPr="00F16C2A">
        <w:rPr>
          <w:rFonts w:cstheme="minorHAnsi"/>
          <w:sz w:val="24"/>
          <w:szCs w:val="24"/>
          <w:lang w:val="el-GR"/>
        </w:rPr>
        <w:t xml:space="preserve"> </w:t>
      </w:r>
      <w:r w:rsidR="00F16C2A">
        <w:rPr>
          <w:rFonts w:cstheme="minorHAnsi"/>
          <w:sz w:val="24"/>
          <w:szCs w:val="24"/>
          <w:lang w:val="el-GR"/>
        </w:rPr>
        <w:t>τον</w:t>
      </w:r>
      <w:r w:rsidR="00F16C2A" w:rsidRPr="00F16C2A">
        <w:rPr>
          <w:rFonts w:cstheme="minorHAnsi"/>
          <w:sz w:val="24"/>
          <w:szCs w:val="24"/>
          <w:lang w:val="el-GR"/>
        </w:rPr>
        <w:t xml:space="preserve"> </w:t>
      </w:r>
      <w:r w:rsidR="00F16C2A">
        <w:rPr>
          <w:rFonts w:cstheme="minorHAnsi"/>
          <w:sz w:val="24"/>
          <w:szCs w:val="24"/>
          <w:lang w:val="el-GR"/>
        </w:rPr>
        <w:t>Κυβερνητικό</w:t>
      </w:r>
      <w:r w:rsidR="00F16C2A" w:rsidRPr="00F16C2A">
        <w:rPr>
          <w:rFonts w:cstheme="minorHAnsi"/>
          <w:sz w:val="24"/>
          <w:szCs w:val="24"/>
          <w:lang w:val="el-GR"/>
        </w:rPr>
        <w:t xml:space="preserve"> </w:t>
      </w:r>
      <w:r w:rsidR="00F16C2A">
        <w:rPr>
          <w:rFonts w:cstheme="minorHAnsi"/>
          <w:sz w:val="24"/>
          <w:szCs w:val="24"/>
          <w:lang w:val="el-GR"/>
        </w:rPr>
        <w:t>Εκπρόσωπο</w:t>
      </w:r>
      <w:r w:rsidR="00A5147D" w:rsidRPr="00F16C2A">
        <w:rPr>
          <w:rFonts w:cstheme="minorHAnsi"/>
          <w:sz w:val="24"/>
          <w:szCs w:val="24"/>
          <w:lang w:val="el-GR"/>
        </w:rPr>
        <w:t xml:space="preserve">, </w:t>
      </w:r>
      <w:r w:rsidR="00F16C2A">
        <w:rPr>
          <w:rFonts w:cstheme="minorHAnsi"/>
          <w:sz w:val="24"/>
          <w:szCs w:val="24"/>
          <w:lang w:val="el-GR"/>
        </w:rPr>
        <w:t>αν</w:t>
      </w:r>
      <w:r w:rsidR="00F16C2A" w:rsidRPr="00F16C2A">
        <w:rPr>
          <w:rFonts w:cstheme="minorHAnsi"/>
          <w:sz w:val="24"/>
          <w:szCs w:val="24"/>
          <w:lang w:val="el-GR"/>
        </w:rPr>
        <w:t xml:space="preserve"> </w:t>
      </w:r>
      <w:r w:rsidR="00F16C2A">
        <w:rPr>
          <w:rFonts w:cstheme="minorHAnsi"/>
          <w:sz w:val="24"/>
          <w:szCs w:val="24"/>
          <w:lang w:val="el-GR"/>
        </w:rPr>
        <w:t>η</w:t>
      </w:r>
      <w:r w:rsidR="00F16C2A" w:rsidRPr="00F16C2A">
        <w:rPr>
          <w:rFonts w:cstheme="minorHAnsi"/>
          <w:sz w:val="24"/>
          <w:szCs w:val="24"/>
          <w:lang w:val="el-GR"/>
        </w:rPr>
        <w:t xml:space="preserve"> </w:t>
      </w:r>
      <w:r w:rsidR="00F16C2A">
        <w:rPr>
          <w:rFonts w:cstheme="minorHAnsi"/>
          <w:sz w:val="24"/>
          <w:szCs w:val="24"/>
          <w:lang w:val="el-GR"/>
        </w:rPr>
        <w:t xml:space="preserve">διάρκεια της υπηρεσίας τους είναι κάτω από </w:t>
      </w:r>
      <w:r w:rsidR="00A5147D" w:rsidRPr="00F16C2A">
        <w:rPr>
          <w:rFonts w:cstheme="minorHAnsi"/>
          <w:sz w:val="24"/>
          <w:szCs w:val="24"/>
          <w:lang w:val="el-GR"/>
        </w:rPr>
        <w:t xml:space="preserve">12 </w:t>
      </w:r>
      <w:r w:rsidR="00F16C2A">
        <w:rPr>
          <w:rFonts w:cstheme="minorHAnsi"/>
          <w:sz w:val="24"/>
          <w:szCs w:val="24"/>
          <w:lang w:val="el-GR"/>
        </w:rPr>
        <w:t>μήνες</w:t>
      </w:r>
      <w:r w:rsidR="00A5147D" w:rsidRPr="00F16C2A">
        <w:rPr>
          <w:rFonts w:cstheme="minorHAnsi"/>
          <w:sz w:val="24"/>
          <w:szCs w:val="24"/>
          <w:lang w:val="el-GR"/>
        </w:rPr>
        <w:t xml:space="preserve">, </w:t>
      </w:r>
      <w:r w:rsidR="00F16C2A">
        <w:rPr>
          <w:rFonts w:cstheme="minorHAnsi"/>
          <w:sz w:val="24"/>
          <w:szCs w:val="24"/>
          <w:lang w:val="el-GR"/>
        </w:rPr>
        <w:t>τότε</w:t>
      </w:r>
      <w:r w:rsidR="00A5147D" w:rsidRPr="00F16C2A">
        <w:rPr>
          <w:rFonts w:cstheme="minorHAnsi"/>
          <w:sz w:val="24"/>
          <w:szCs w:val="24"/>
          <w:lang w:val="el-GR"/>
        </w:rPr>
        <w:t xml:space="preserve"> </w:t>
      </w:r>
      <w:r w:rsidR="00F16C2A">
        <w:rPr>
          <w:rFonts w:cstheme="minorHAnsi"/>
          <w:sz w:val="24"/>
          <w:szCs w:val="24"/>
          <w:lang w:val="el-GR"/>
        </w:rPr>
        <w:t>δεν ισχύει</w:t>
      </w:r>
      <w:r w:rsidR="00F16C2A" w:rsidRPr="00F16C2A">
        <w:rPr>
          <w:rFonts w:cstheme="minorHAnsi"/>
          <w:sz w:val="24"/>
          <w:szCs w:val="24"/>
          <w:lang w:val="el-GR"/>
        </w:rPr>
        <w:t xml:space="preserve"> </w:t>
      </w:r>
      <w:r w:rsidR="00F16C2A">
        <w:rPr>
          <w:rFonts w:cstheme="minorHAnsi"/>
          <w:sz w:val="24"/>
          <w:szCs w:val="24"/>
          <w:lang w:val="el-GR"/>
        </w:rPr>
        <w:t>κανένα φιλοδώρημα ή σύνταξη</w:t>
      </w:r>
      <w:r w:rsidR="00A5147D" w:rsidRPr="00F16C2A">
        <w:rPr>
          <w:rFonts w:cstheme="minorHAnsi"/>
          <w:sz w:val="24"/>
          <w:szCs w:val="24"/>
          <w:lang w:val="el-GR"/>
        </w:rPr>
        <w:t xml:space="preserve">. </w:t>
      </w:r>
      <w:r w:rsidR="00F16C2A">
        <w:rPr>
          <w:rFonts w:cstheme="minorHAnsi"/>
          <w:sz w:val="24"/>
          <w:szCs w:val="24"/>
          <w:lang w:val="el-GR"/>
        </w:rPr>
        <w:t>Αν</w:t>
      </w:r>
      <w:r w:rsidR="00F16C2A" w:rsidRPr="00F16C2A">
        <w:rPr>
          <w:rFonts w:cstheme="minorHAnsi"/>
          <w:sz w:val="24"/>
          <w:szCs w:val="24"/>
          <w:lang w:val="el-GR"/>
        </w:rPr>
        <w:t xml:space="preserve"> </w:t>
      </w:r>
      <w:r w:rsidR="00F16C2A">
        <w:rPr>
          <w:rFonts w:cstheme="minorHAnsi"/>
          <w:sz w:val="24"/>
          <w:szCs w:val="24"/>
          <w:lang w:val="el-GR"/>
        </w:rPr>
        <w:t>η</w:t>
      </w:r>
      <w:r w:rsidR="00F16C2A" w:rsidRPr="00F16C2A">
        <w:rPr>
          <w:rFonts w:cstheme="minorHAnsi"/>
          <w:sz w:val="24"/>
          <w:szCs w:val="24"/>
          <w:lang w:val="el-GR"/>
        </w:rPr>
        <w:t xml:space="preserve"> </w:t>
      </w:r>
      <w:r w:rsidR="00F16C2A">
        <w:rPr>
          <w:rFonts w:cstheme="minorHAnsi"/>
          <w:sz w:val="24"/>
          <w:szCs w:val="24"/>
          <w:lang w:val="el-GR"/>
        </w:rPr>
        <w:t>διάρκεια</w:t>
      </w:r>
      <w:r w:rsidR="00F16C2A" w:rsidRPr="00F16C2A">
        <w:rPr>
          <w:rFonts w:cstheme="minorHAnsi"/>
          <w:sz w:val="24"/>
          <w:szCs w:val="24"/>
          <w:lang w:val="el-GR"/>
        </w:rPr>
        <w:t xml:space="preserve"> </w:t>
      </w:r>
      <w:r w:rsidR="00F16C2A">
        <w:rPr>
          <w:rFonts w:cstheme="minorHAnsi"/>
          <w:sz w:val="24"/>
          <w:szCs w:val="24"/>
          <w:lang w:val="el-GR"/>
        </w:rPr>
        <w:t>ήταν</w:t>
      </w:r>
      <w:r w:rsidR="00F16C2A" w:rsidRPr="00F16C2A">
        <w:rPr>
          <w:rFonts w:cstheme="minorHAnsi"/>
          <w:sz w:val="24"/>
          <w:szCs w:val="24"/>
          <w:lang w:val="el-GR"/>
        </w:rPr>
        <w:t xml:space="preserve"> </w:t>
      </w:r>
      <w:r w:rsidR="00F16C2A">
        <w:rPr>
          <w:rFonts w:cstheme="minorHAnsi"/>
          <w:sz w:val="24"/>
          <w:szCs w:val="24"/>
          <w:lang w:val="el-GR"/>
        </w:rPr>
        <w:t>μεταξύ</w:t>
      </w:r>
      <w:r w:rsidR="00F16C2A" w:rsidRPr="00F16C2A">
        <w:rPr>
          <w:rFonts w:cstheme="minorHAnsi"/>
          <w:sz w:val="24"/>
          <w:szCs w:val="24"/>
          <w:lang w:val="el-GR"/>
        </w:rPr>
        <w:t xml:space="preserve"> </w:t>
      </w:r>
      <w:r w:rsidR="00A5147D" w:rsidRPr="00F16C2A">
        <w:rPr>
          <w:rFonts w:cstheme="minorHAnsi"/>
          <w:sz w:val="24"/>
          <w:szCs w:val="24"/>
          <w:lang w:val="el-GR"/>
        </w:rPr>
        <w:t xml:space="preserve">12 </w:t>
      </w:r>
      <w:r w:rsidR="00F16C2A">
        <w:rPr>
          <w:rFonts w:cstheme="minorHAnsi"/>
          <w:sz w:val="24"/>
          <w:szCs w:val="24"/>
          <w:lang w:val="el-GR"/>
        </w:rPr>
        <w:t>και</w:t>
      </w:r>
      <w:r w:rsidR="00A5147D" w:rsidRPr="00F16C2A">
        <w:rPr>
          <w:rFonts w:cstheme="minorHAnsi"/>
          <w:sz w:val="24"/>
          <w:szCs w:val="24"/>
          <w:lang w:val="el-GR"/>
        </w:rPr>
        <w:t xml:space="preserve"> 18 </w:t>
      </w:r>
      <w:r w:rsidR="00F16C2A">
        <w:rPr>
          <w:rFonts w:cstheme="minorHAnsi"/>
          <w:sz w:val="24"/>
          <w:szCs w:val="24"/>
          <w:lang w:val="el-GR"/>
        </w:rPr>
        <w:t>μήνες</w:t>
      </w:r>
      <w:r w:rsidR="00A5147D" w:rsidRPr="00F16C2A">
        <w:rPr>
          <w:rFonts w:cstheme="minorHAnsi"/>
          <w:sz w:val="24"/>
          <w:szCs w:val="24"/>
          <w:lang w:val="el-GR"/>
        </w:rPr>
        <w:t xml:space="preserve">, </w:t>
      </w:r>
      <w:r w:rsidR="00F16C2A">
        <w:rPr>
          <w:rFonts w:cstheme="minorHAnsi"/>
          <w:sz w:val="24"/>
          <w:szCs w:val="24"/>
          <w:lang w:val="el-GR"/>
        </w:rPr>
        <w:t>τότε</w:t>
      </w:r>
      <w:r w:rsidR="00F16C2A" w:rsidRPr="00F16C2A">
        <w:rPr>
          <w:rFonts w:cstheme="minorHAnsi"/>
          <w:sz w:val="24"/>
          <w:szCs w:val="24"/>
          <w:lang w:val="el-GR"/>
        </w:rPr>
        <w:t xml:space="preserve"> </w:t>
      </w:r>
      <w:r w:rsidR="00F16C2A">
        <w:rPr>
          <w:rFonts w:cstheme="minorHAnsi"/>
          <w:sz w:val="24"/>
          <w:szCs w:val="24"/>
          <w:lang w:val="el-GR"/>
        </w:rPr>
        <w:t>το</w:t>
      </w:r>
      <w:r w:rsidR="00F16C2A" w:rsidRPr="00F16C2A">
        <w:rPr>
          <w:rFonts w:cstheme="minorHAnsi"/>
          <w:sz w:val="24"/>
          <w:szCs w:val="24"/>
          <w:lang w:val="el-GR"/>
        </w:rPr>
        <w:t xml:space="preserve"> </w:t>
      </w:r>
      <w:r w:rsidR="00F16C2A">
        <w:rPr>
          <w:rFonts w:cstheme="minorHAnsi"/>
          <w:sz w:val="24"/>
          <w:szCs w:val="24"/>
          <w:lang w:val="el-GR"/>
        </w:rPr>
        <w:t>φιλοδώρημα</w:t>
      </w:r>
      <w:r w:rsidR="00F16C2A" w:rsidRPr="00F16C2A">
        <w:rPr>
          <w:rFonts w:cstheme="minorHAnsi"/>
          <w:sz w:val="24"/>
          <w:szCs w:val="24"/>
          <w:lang w:val="el-GR"/>
        </w:rPr>
        <w:t xml:space="preserve"> </w:t>
      </w:r>
      <w:r w:rsidR="00F16C2A">
        <w:rPr>
          <w:rFonts w:cstheme="minorHAnsi"/>
          <w:sz w:val="24"/>
          <w:szCs w:val="24"/>
          <w:lang w:val="el-GR"/>
        </w:rPr>
        <w:t>είναι</w:t>
      </w:r>
      <w:r w:rsidR="00A5147D" w:rsidRPr="00F16C2A">
        <w:rPr>
          <w:rFonts w:cstheme="minorHAnsi"/>
          <w:sz w:val="24"/>
          <w:szCs w:val="24"/>
          <w:lang w:val="el-GR"/>
        </w:rPr>
        <w:t xml:space="preserve"> 1/8 </w:t>
      </w:r>
      <w:r w:rsidR="00A5147D" w:rsidRPr="004E251E">
        <w:rPr>
          <w:rFonts w:cstheme="minorHAnsi"/>
          <w:sz w:val="24"/>
          <w:szCs w:val="24"/>
        </w:rPr>
        <w:t>x</w:t>
      </w:r>
      <w:r w:rsidR="00A5147D" w:rsidRPr="00F16C2A">
        <w:rPr>
          <w:rFonts w:cstheme="minorHAnsi"/>
          <w:sz w:val="24"/>
          <w:szCs w:val="24"/>
          <w:lang w:val="el-GR"/>
        </w:rPr>
        <w:t xml:space="preserve"> </w:t>
      </w:r>
      <w:r w:rsidR="00F16C2A">
        <w:rPr>
          <w:rFonts w:cstheme="minorHAnsi"/>
          <w:sz w:val="24"/>
          <w:szCs w:val="24"/>
          <w:lang w:val="el-GR"/>
        </w:rPr>
        <w:t>τις</w:t>
      </w:r>
      <w:r w:rsidR="00F16C2A" w:rsidRPr="00F16C2A">
        <w:rPr>
          <w:rFonts w:cstheme="minorHAnsi"/>
          <w:sz w:val="24"/>
          <w:szCs w:val="24"/>
          <w:lang w:val="el-GR"/>
        </w:rPr>
        <w:t xml:space="preserve"> </w:t>
      </w:r>
      <w:r w:rsidR="00F16C2A">
        <w:rPr>
          <w:rFonts w:cstheme="minorHAnsi"/>
          <w:sz w:val="24"/>
          <w:szCs w:val="24"/>
          <w:lang w:val="el-GR"/>
        </w:rPr>
        <w:t>μηνιαίες συντάξιμες αποδοχές</w:t>
      </w:r>
      <w:r w:rsidR="00A5147D" w:rsidRPr="00F16C2A">
        <w:rPr>
          <w:rFonts w:cstheme="minorHAnsi"/>
          <w:sz w:val="24"/>
          <w:szCs w:val="24"/>
          <w:lang w:val="el-GR"/>
        </w:rPr>
        <w:t xml:space="preserve"> </w:t>
      </w:r>
      <w:r w:rsidR="00F16C2A">
        <w:rPr>
          <w:rFonts w:cstheme="minorHAnsi"/>
          <w:sz w:val="24"/>
          <w:szCs w:val="24"/>
          <w:lang w:val="el-GR"/>
        </w:rPr>
        <w:t>στο τέλος της υπηρεσίας</w:t>
      </w:r>
      <w:r w:rsidR="00A5147D" w:rsidRPr="00F16C2A">
        <w:rPr>
          <w:rFonts w:cstheme="minorHAnsi"/>
          <w:sz w:val="24"/>
          <w:szCs w:val="24"/>
          <w:lang w:val="el-GR"/>
        </w:rPr>
        <w:t xml:space="preserve"> </w:t>
      </w:r>
      <w:r w:rsidR="00A5147D" w:rsidRPr="004E251E">
        <w:rPr>
          <w:rFonts w:cstheme="minorHAnsi"/>
          <w:sz w:val="24"/>
          <w:szCs w:val="24"/>
        </w:rPr>
        <w:t>x</w:t>
      </w:r>
      <w:r w:rsidR="00A5147D" w:rsidRPr="00F16C2A">
        <w:rPr>
          <w:rFonts w:cstheme="minorHAnsi"/>
          <w:sz w:val="24"/>
          <w:szCs w:val="24"/>
          <w:lang w:val="el-GR"/>
        </w:rPr>
        <w:t xml:space="preserve"> </w:t>
      </w:r>
      <w:r w:rsidR="00F16C2A">
        <w:rPr>
          <w:rFonts w:cstheme="minorHAnsi"/>
          <w:sz w:val="24"/>
          <w:szCs w:val="24"/>
          <w:lang w:val="el-GR"/>
        </w:rPr>
        <w:t>τους μήνες υπηρεσίας</w:t>
      </w:r>
      <w:r w:rsidR="00A5147D" w:rsidRPr="00F16C2A">
        <w:rPr>
          <w:rFonts w:cstheme="minorHAnsi"/>
          <w:sz w:val="24"/>
          <w:szCs w:val="24"/>
          <w:lang w:val="el-GR"/>
        </w:rPr>
        <w:t xml:space="preserve">. </w:t>
      </w:r>
      <w:r w:rsidR="00F16C2A">
        <w:rPr>
          <w:rFonts w:cstheme="minorHAnsi"/>
          <w:sz w:val="24"/>
          <w:szCs w:val="24"/>
          <w:lang w:val="el-GR"/>
        </w:rPr>
        <w:t>Για</w:t>
      </w:r>
      <w:r w:rsidR="00F16C2A" w:rsidRPr="00F16C2A">
        <w:rPr>
          <w:rFonts w:cstheme="minorHAnsi"/>
          <w:sz w:val="24"/>
          <w:szCs w:val="24"/>
          <w:lang w:val="el-GR"/>
        </w:rPr>
        <w:t xml:space="preserve"> </w:t>
      </w:r>
      <w:r w:rsidR="00F16C2A">
        <w:rPr>
          <w:rFonts w:cstheme="minorHAnsi"/>
          <w:sz w:val="24"/>
          <w:szCs w:val="24"/>
          <w:lang w:val="el-GR"/>
        </w:rPr>
        <w:t>μια</w:t>
      </w:r>
      <w:r w:rsidR="00F16C2A" w:rsidRPr="00F16C2A">
        <w:rPr>
          <w:rFonts w:cstheme="minorHAnsi"/>
          <w:sz w:val="24"/>
          <w:szCs w:val="24"/>
          <w:lang w:val="el-GR"/>
        </w:rPr>
        <w:t xml:space="preserve"> </w:t>
      </w:r>
      <w:r w:rsidR="00F16C2A">
        <w:rPr>
          <w:rFonts w:cstheme="minorHAnsi"/>
          <w:sz w:val="24"/>
          <w:szCs w:val="24"/>
          <w:lang w:val="el-GR"/>
        </w:rPr>
        <w:t>περίοδο</w:t>
      </w:r>
      <w:r w:rsidR="00F16C2A" w:rsidRPr="00F16C2A">
        <w:rPr>
          <w:rFonts w:cstheme="minorHAnsi"/>
          <w:sz w:val="24"/>
          <w:szCs w:val="24"/>
          <w:lang w:val="el-GR"/>
        </w:rPr>
        <w:t xml:space="preserve"> </w:t>
      </w:r>
      <w:r w:rsidR="00F16C2A">
        <w:rPr>
          <w:rFonts w:cstheme="minorHAnsi"/>
          <w:sz w:val="24"/>
          <w:szCs w:val="24"/>
          <w:lang w:val="el-GR"/>
        </w:rPr>
        <w:t>μεταξύ</w:t>
      </w:r>
      <w:r w:rsidR="00F16C2A" w:rsidRPr="00F16C2A">
        <w:rPr>
          <w:rFonts w:cstheme="minorHAnsi"/>
          <w:sz w:val="24"/>
          <w:szCs w:val="24"/>
          <w:lang w:val="el-GR"/>
        </w:rPr>
        <w:t xml:space="preserve"> </w:t>
      </w:r>
      <w:r w:rsidR="00A5147D" w:rsidRPr="00F16C2A">
        <w:rPr>
          <w:rFonts w:cstheme="minorHAnsi"/>
          <w:sz w:val="24"/>
          <w:szCs w:val="24"/>
          <w:lang w:val="el-GR"/>
        </w:rPr>
        <w:t xml:space="preserve">18 </w:t>
      </w:r>
      <w:r w:rsidR="00F16C2A">
        <w:rPr>
          <w:rFonts w:cstheme="minorHAnsi"/>
          <w:sz w:val="24"/>
          <w:szCs w:val="24"/>
          <w:lang w:val="el-GR"/>
        </w:rPr>
        <w:t>και</w:t>
      </w:r>
      <w:r w:rsidR="00A5147D" w:rsidRPr="00F16C2A">
        <w:rPr>
          <w:rFonts w:cstheme="minorHAnsi"/>
          <w:sz w:val="24"/>
          <w:szCs w:val="24"/>
          <w:lang w:val="el-GR"/>
        </w:rPr>
        <w:t xml:space="preserve"> 30 </w:t>
      </w:r>
      <w:r w:rsidR="00F16C2A">
        <w:rPr>
          <w:rFonts w:cstheme="minorHAnsi"/>
          <w:sz w:val="24"/>
          <w:szCs w:val="24"/>
          <w:lang w:val="el-GR"/>
        </w:rPr>
        <w:t>μήνες</w:t>
      </w:r>
      <w:r w:rsidR="00A5147D" w:rsidRPr="00F16C2A">
        <w:rPr>
          <w:rFonts w:cstheme="minorHAnsi"/>
          <w:sz w:val="24"/>
          <w:szCs w:val="24"/>
          <w:lang w:val="el-GR"/>
        </w:rPr>
        <w:t xml:space="preserve">, </w:t>
      </w:r>
      <w:r w:rsidR="00F16C2A">
        <w:rPr>
          <w:rFonts w:cstheme="minorHAnsi"/>
          <w:sz w:val="24"/>
          <w:szCs w:val="24"/>
          <w:lang w:val="el-GR"/>
        </w:rPr>
        <w:t>το</w:t>
      </w:r>
      <w:r w:rsidR="00F16C2A" w:rsidRPr="00F16C2A">
        <w:rPr>
          <w:rFonts w:cstheme="minorHAnsi"/>
          <w:sz w:val="24"/>
          <w:szCs w:val="24"/>
          <w:lang w:val="el-GR"/>
        </w:rPr>
        <w:t xml:space="preserve"> </w:t>
      </w:r>
      <w:r w:rsidR="00F16C2A">
        <w:rPr>
          <w:rFonts w:cstheme="minorHAnsi"/>
          <w:sz w:val="24"/>
          <w:szCs w:val="24"/>
          <w:lang w:val="el-GR"/>
        </w:rPr>
        <w:t>φιλοδώρημα</w:t>
      </w:r>
      <w:r w:rsidR="00F16C2A" w:rsidRPr="00F16C2A">
        <w:rPr>
          <w:rFonts w:cstheme="minorHAnsi"/>
          <w:sz w:val="24"/>
          <w:szCs w:val="24"/>
          <w:lang w:val="el-GR"/>
        </w:rPr>
        <w:t xml:space="preserve"> </w:t>
      </w:r>
      <w:r w:rsidR="00F16C2A">
        <w:rPr>
          <w:rFonts w:cstheme="minorHAnsi"/>
          <w:sz w:val="24"/>
          <w:szCs w:val="24"/>
          <w:lang w:val="el-GR"/>
        </w:rPr>
        <w:t>είναι</w:t>
      </w:r>
      <w:r w:rsidR="00A5147D" w:rsidRPr="00F16C2A">
        <w:rPr>
          <w:rFonts w:cstheme="minorHAnsi"/>
          <w:sz w:val="24"/>
          <w:szCs w:val="24"/>
          <w:lang w:val="el-GR"/>
        </w:rPr>
        <w:t xml:space="preserve"> </w:t>
      </w:r>
      <w:r w:rsidR="00F16C2A">
        <w:rPr>
          <w:rFonts w:cstheme="minorHAnsi"/>
          <w:sz w:val="24"/>
          <w:szCs w:val="24"/>
          <w:lang w:val="el-GR"/>
        </w:rPr>
        <w:t>η</w:t>
      </w:r>
      <w:r w:rsidR="00F16C2A" w:rsidRPr="00F16C2A">
        <w:rPr>
          <w:rFonts w:cstheme="minorHAnsi"/>
          <w:sz w:val="24"/>
          <w:szCs w:val="24"/>
          <w:lang w:val="el-GR"/>
        </w:rPr>
        <w:t xml:space="preserve"> </w:t>
      </w:r>
      <w:r w:rsidR="00F16C2A">
        <w:rPr>
          <w:rFonts w:cstheme="minorHAnsi"/>
          <w:sz w:val="24"/>
          <w:szCs w:val="24"/>
          <w:lang w:val="el-GR"/>
        </w:rPr>
        <w:t>ετήσια</w:t>
      </w:r>
      <w:r w:rsidR="00F16C2A" w:rsidRPr="00F16C2A">
        <w:rPr>
          <w:rFonts w:cstheme="minorHAnsi"/>
          <w:sz w:val="24"/>
          <w:szCs w:val="24"/>
          <w:lang w:val="el-GR"/>
        </w:rPr>
        <w:t xml:space="preserve"> </w:t>
      </w:r>
      <w:r w:rsidR="00F16C2A">
        <w:rPr>
          <w:rFonts w:cstheme="minorHAnsi"/>
          <w:sz w:val="24"/>
          <w:szCs w:val="24"/>
          <w:lang w:val="el-GR"/>
        </w:rPr>
        <w:t>σύνταξη</w:t>
      </w:r>
      <w:r w:rsidR="00A5147D" w:rsidRPr="00F16C2A">
        <w:rPr>
          <w:rFonts w:cstheme="minorHAnsi"/>
          <w:sz w:val="24"/>
          <w:szCs w:val="24"/>
          <w:lang w:val="el-GR"/>
        </w:rPr>
        <w:t xml:space="preserve"> </w:t>
      </w:r>
      <w:r w:rsidR="00A5147D" w:rsidRPr="004E251E">
        <w:rPr>
          <w:rFonts w:cstheme="minorHAnsi"/>
          <w:sz w:val="24"/>
          <w:szCs w:val="24"/>
        </w:rPr>
        <w:t>x</w:t>
      </w:r>
      <w:r w:rsidR="00A5147D" w:rsidRPr="00F16C2A">
        <w:rPr>
          <w:rFonts w:cstheme="minorHAnsi"/>
          <w:sz w:val="24"/>
          <w:szCs w:val="24"/>
          <w:lang w:val="el-GR"/>
        </w:rPr>
        <w:t xml:space="preserve"> 14/3 </w:t>
      </w:r>
      <w:r w:rsidR="00F16C2A">
        <w:rPr>
          <w:rFonts w:cstheme="minorHAnsi"/>
          <w:sz w:val="24"/>
          <w:szCs w:val="24"/>
          <w:lang w:val="el-GR"/>
        </w:rPr>
        <w:t>και</w:t>
      </w:r>
      <w:r w:rsidR="00F16C2A" w:rsidRPr="00F16C2A">
        <w:rPr>
          <w:rFonts w:cstheme="minorHAnsi"/>
          <w:sz w:val="24"/>
          <w:szCs w:val="24"/>
          <w:lang w:val="el-GR"/>
        </w:rPr>
        <w:t xml:space="preserve"> </w:t>
      </w:r>
      <w:r w:rsidR="00F16C2A">
        <w:rPr>
          <w:rFonts w:cstheme="minorHAnsi"/>
          <w:sz w:val="24"/>
          <w:szCs w:val="24"/>
          <w:lang w:val="el-GR"/>
        </w:rPr>
        <w:t>η</w:t>
      </w:r>
      <w:r w:rsidR="00F16C2A" w:rsidRPr="00F16C2A">
        <w:rPr>
          <w:rFonts w:cstheme="minorHAnsi"/>
          <w:sz w:val="24"/>
          <w:szCs w:val="24"/>
          <w:lang w:val="el-GR"/>
        </w:rPr>
        <w:t xml:space="preserve"> </w:t>
      </w:r>
      <w:r w:rsidR="00F16C2A">
        <w:rPr>
          <w:rFonts w:cstheme="minorHAnsi"/>
          <w:sz w:val="24"/>
          <w:szCs w:val="24"/>
          <w:lang w:val="el-GR"/>
        </w:rPr>
        <w:t>ετήσια</w:t>
      </w:r>
      <w:r w:rsidR="00F16C2A" w:rsidRPr="00F16C2A">
        <w:rPr>
          <w:rFonts w:cstheme="minorHAnsi"/>
          <w:sz w:val="24"/>
          <w:szCs w:val="24"/>
          <w:lang w:val="el-GR"/>
        </w:rPr>
        <w:t xml:space="preserve"> </w:t>
      </w:r>
      <w:r w:rsidR="00F16C2A">
        <w:rPr>
          <w:rFonts w:cstheme="minorHAnsi"/>
          <w:sz w:val="24"/>
          <w:szCs w:val="24"/>
          <w:lang w:val="el-GR"/>
        </w:rPr>
        <w:t>σύνταξη</w:t>
      </w:r>
      <w:r w:rsidR="00F16C2A" w:rsidRPr="00F16C2A">
        <w:rPr>
          <w:rFonts w:cstheme="minorHAnsi"/>
          <w:sz w:val="24"/>
          <w:szCs w:val="24"/>
          <w:lang w:val="el-GR"/>
        </w:rPr>
        <w:t xml:space="preserve"> </w:t>
      </w:r>
      <w:r w:rsidR="00F16C2A">
        <w:rPr>
          <w:rFonts w:cstheme="minorHAnsi"/>
          <w:sz w:val="24"/>
          <w:szCs w:val="24"/>
          <w:lang w:val="el-GR"/>
        </w:rPr>
        <w:t>είναι</w:t>
      </w:r>
      <w:r w:rsidR="00A5147D" w:rsidRPr="00F16C2A">
        <w:rPr>
          <w:rFonts w:cstheme="minorHAnsi"/>
          <w:sz w:val="24"/>
          <w:szCs w:val="24"/>
          <w:lang w:val="el-GR"/>
        </w:rPr>
        <w:t xml:space="preserve"> 1/8 </w:t>
      </w:r>
      <w:r w:rsidR="00A5147D" w:rsidRPr="004E251E">
        <w:rPr>
          <w:rFonts w:cstheme="minorHAnsi"/>
          <w:sz w:val="24"/>
          <w:szCs w:val="24"/>
        </w:rPr>
        <w:t>x</w:t>
      </w:r>
      <w:r w:rsidR="00A5147D" w:rsidRPr="00F16C2A">
        <w:rPr>
          <w:rFonts w:cstheme="minorHAnsi"/>
          <w:sz w:val="24"/>
          <w:szCs w:val="24"/>
          <w:lang w:val="el-GR"/>
        </w:rPr>
        <w:t xml:space="preserve"> (</w:t>
      </w:r>
      <w:r w:rsidR="00F16C2A">
        <w:rPr>
          <w:rFonts w:cstheme="minorHAnsi"/>
          <w:sz w:val="24"/>
          <w:szCs w:val="24"/>
          <w:lang w:val="el-GR"/>
        </w:rPr>
        <w:t>μήνες υπηρεσίας</w:t>
      </w:r>
      <w:r w:rsidR="00A5147D" w:rsidRPr="00F16C2A">
        <w:rPr>
          <w:rFonts w:cstheme="minorHAnsi"/>
          <w:sz w:val="24"/>
          <w:szCs w:val="24"/>
          <w:lang w:val="el-GR"/>
        </w:rPr>
        <w:t xml:space="preserve">/30) </w:t>
      </w:r>
      <w:r w:rsidR="00A5147D" w:rsidRPr="004E251E">
        <w:rPr>
          <w:rFonts w:cstheme="minorHAnsi"/>
          <w:sz w:val="24"/>
          <w:szCs w:val="24"/>
        </w:rPr>
        <w:t>x</w:t>
      </w:r>
      <w:r w:rsidR="00A5147D" w:rsidRPr="00F16C2A">
        <w:rPr>
          <w:rFonts w:cstheme="minorHAnsi"/>
          <w:sz w:val="24"/>
          <w:szCs w:val="24"/>
          <w:lang w:val="el-GR"/>
        </w:rPr>
        <w:t xml:space="preserve"> </w:t>
      </w:r>
      <w:r w:rsidR="00F16C2A">
        <w:rPr>
          <w:rFonts w:cstheme="minorHAnsi"/>
          <w:sz w:val="24"/>
          <w:szCs w:val="24"/>
          <w:lang w:val="el-GR"/>
        </w:rPr>
        <w:t>τις ετήσιες συντάξιμες αποδοχές</w:t>
      </w:r>
      <w:r w:rsidR="00A5147D" w:rsidRPr="00F16C2A">
        <w:rPr>
          <w:rFonts w:cstheme="minorHAnsi"/>
          <w:sz w:val="24"/>
          <w:szCs w:val="24"/>
          <w:lang w:val="el-GR"/>
        </w:rPr>
        <w:t xml:space="preserve"> </w:t>
      </w:r>
      <w:r w:rsidR="00F16C2A">
        <w:rPr>
          <w:rFonts w:cstheme="minorHAnsi"/>
          <w:sz w:val="24"/>
          <w:szCs w:val="24"/>
          <w:lang w:val="el-GR"/>
        </w:rPr>
        <w:t>στην ημερομηνία τερματισμού της υπηρεσίας</w:t>
      </w:r>
      <w:r w:rsidR="00A5147D" w:rsidRPr="00F16C2A">
        <w:rPr>
          <w:rFonts w:cstheme="minorHAnsi"/>
          <w:sz w:val="24"/>
          <w:szCs w:val="24"/>
          <w:lang w:val="el-GR"/>
        </w:rPr>
        <w:t xml:space="preserve">. </w:t>
      </w:r>
      <w:r w:rsidR="00F16C2A">
        <w:rPr>
          <w:rFonts w:cstheme="minorHAnsi"/>
          <w:sz w:val="24"/>
          <w:szCs w:val="24"/>
          <w:lang w:val="el-GR"/>
        </w:rPr>
        <w:t>Για</w:t>
      </w:r>
      <w:r w:rsidR="00F16C2A" w:rsidRPr="00F16C2A">
        <w:rPr>
          <w:rFonts w:cstheme="minorHAnsi"/>
          <w:sz w:val="24"/>
          <w:szCs w:val="24"/>
          <w:lang w:val="el-GR"/>
        </w:rPr>
        <w:t xml:space="preserve"> </w:t>
      </w:r>
      <w:r w:rsidR="00F16C2A">
        <w:rPr>
          <w:rFonts w:cstheme="minorHAnsi"/>
          <w:sz w:val="24"/>
          <w:szCs w:val="24"/>
          <w:lang w:val="el-GR"/>
        </w:rPr>
        <w:t>κάθε</w:t>
      </w:r>
      <w:r w:rsidR="00A5147D" w:rsidRPr="00F16C2A">
        <w:rPr>
          <w:rFonts w:cstheme="minorHAnsi"/>
          <w:sz w:val="24"/>
          <w:szCs w:val="24"/>
          <w:lang w:val="el-GR"/>
        </w:rPr>
        <w:t xml:space="preserve"> 12-</w:t>
      </w:r>
      <w:r w:rsidR="00F16C2A">
        <w:rPr>
          <w:rFonts w:cstheme="minorHAnsi"/>
          <w:sz w:val="24"/>
          <w:szCs w:val="24"/>
          <w:lang w:val="el-GR"/>
        </w:rPr>
        <w:t>μηνη</w:t>
      </w:r>
      <w:r w:rsidR="00A5147D" w:rsidRPr="00F16C2A">
        <w:rPr>
          <w:rFonts w:cstheme="minorHAnsi"/>
          <w:sz w:val="24"/>
          <w:szCs w:val="24"/>
          <w:lang w:val="el-GR"/>
        </w:rPr>
        <w:t xml:space="preserve"> </w:t>
      </w:r>
      <w:r w:rsidR="00F16C2A">
        <w:rPr>
          <w:rFonts w:cstheme="minorHAnsi"/>
          <w:sz w:val="24"/>
          <w:szCs w:val="24"/>
          <w:lang w:val="el-GR"/>
        </w:rPr>
        <w:t>περίοδο</w:t>
      </w:r>
      <w:r w:rsidR="00F16C2A" w:rsidRPr="00F16C2A">
        <w:rPr>
          <w:rFonts w:cstheme="minorHAnsi"/>
          <w:sz w:val="24"/>
          <w:szCs w:val="24"/>
          <w:lang w:val="el-GR"/>
        </w:rPr>
        <w:t xml:space="preserve"> </w:t>
      </w:r>
      <w:r w:rsidR="00F16C2A">
        <w:rPr>
          <w:rFonts w:cstheme="minorHAnsi"/>
          <w:sz w:val="24"/>
          <w:szCs w:val="24"/>
          <w:lang w:val="el-GR"/>
        </w:rPr>
        <w:t>πέραν</w:t>
      </w:r>
      <w:r w:rsidR="00F16C2A" w:rsidRPr="00F16C2A">
        <w:rPr>
          <w:rFonts w:cstheme="minorHAnsi"/>
          <w:sz w:val="24"/>
          <w:szCs w:val="24"/>
          <w:lang w:val="el-GR"/>
        </w:rPr>
        <w:t xml:space="preserve"> </w:t>
      </w:r>
      <w:r w:rsidR="00F16C2A">
        <w:rPr>
          <w:rFonts w:cstheme="minorHAnsi"/>
          <w:sz w:val="24"/>
          <w:szCs w:val="24"/>
          <w:lang w:val="el-GR"/>
        </w:rPr>
        <w:t>των</w:t>
      </w:r>
      <w:r w:rsidR="00A5147D" w:rsidRPr="00F16C2A">
        <w:rPr>
          <w:rFonts w:cstheme="minorHAnsi"/>
          <w:sz w:val="24"/>
          <w:szCs w:val="24"/>
          <w:lang w:val="el-GR"/>
        </w:rPr>
        <w:t xml:space="preserve"> 30 </w:t>
      </w:r>
      <w:r w:rsidR="00F16C2A">
        <w:rPr>
          <w:rFonts w:cstheme="minorHAnsi"/>
          <w:sz w:val="24"/>
          <w:szCs w:val="24"/>
          <w:lang w:val="el-GR"/>
        </w:rPr>
        <w:t>μηνών</w:t>
      </w:r>
      <w:r w:rsidR="00A5147D" w:rsidRPr="00F16C2A">
        <w:rPr>
          <w:rFonts w:cstheme="minorHAnsi"/>
          <w:sz w:val="24"/>
          <w:szCs w:val="24"/>
          <w:lang w:val="el-GR"/>
        </w:rPr>
        <w:t xml:space="preserve">, </w:t>
      </w:r>
      <w:r w:rsidR="00F16C2A">
        <w:rPr>
          <w:rFonts w:cstheme="minorHAnsi"/>
          <w:sz w:val="24"/>
          <w:szCs w:val="24"/>
          <w:lang w:val="el-GR"/>
        </w:rPr>
        <w:t>η σύνταξη αυξάνεται κατά</w:t>
      </w:r>
      <w:r w:rsidR="00A5147D" w:rsidRPr="00F16C2A">
        <w:rPr>
          <w:rFonts w:cstheme="minorHAnsi"/>
          <w:sz w:val="24"/>
          <w:szCs w:val="24"/>
          <w:lang w:val="el-GR"/>
        </w:rPr>
        <w:t xml:space="preserve"> 25%. </w:t>
      </w:r>
      <w:r w:rsidR="00F16C2A">
        <w:rPr>
          <w:rFonts w:cstheme="minorHAnsi"/>
          <w:sz w:val="24"/>
          <w:szCs w:val="24"/>
          <w:lang w:val="el-GR"/>
        </w:rPr>
        <w:t>Η</w:t>
      </w:r>
      <w:r w:rsidR="00F16C2A" w:rsidRPr="00BC7FB3">
        <w:rPr>
          <w:rFonts w:cstheme="minorHAnsi"/>
          <w:sz w:val="24"/>
          <w:szCs w:val="24"/>
          <w:lang w:val="el-GR"/>
        </w:rPr>
        <w:t xml:space="preserve"> </w:t>
      </w:r>
      <w:r w:rsidR="00F16C2A">
        <w:rPr>
          <w:rFonts w:cstheme="minorHAnsi"/>
          <w:sz w:val="24"/>
          <w:szCs w:val="24"/>
          <w:lang w:val="el-GR"/>
        </w:rPr>
        <w:t>ετήσια</w:t>
      </w:r>
      <w:r w:rsidR="00F16C2A" w:rsidRPr="00BC7FB3">
        <w:rPr>
          <w:rFonts w:cstheme="minorHAnsi"/>
          <w:sz w:val="24"/>
          <w:szCs w:val="24"/>
          <w:lang w:val="el-GR"/>
        </w:rPr>
        <w:t xml:space="preserve"> </w:t>
      </w:r>
      <w:r w:rsidR="00F16C2A">
        <w:rPr>
          <w:rFonts w:cstheme="minorHAnsi"/>
          <w:sz w:val="24"/>
          <w:szCs w:val="24"/>
          <w:lang w:val="el-GR"/>
        </w:rPr>
        <w:t>σύνταξη</w:t>
      </w:r>
      <w:r w:rsidR="00BC7FB3" w:rsidRPr="00BC7FB3">
        <w:rPr>
          <w:rFonts w:cstheme="minorHAnsi"/>
          <w:sz w:val="24"/>
          <w:szCs w:val="24"/>
          <w:lang w:val="el-GR"/>
        </w:rPr>
        <w:t xml:space="preserve"> </w:t>
      </w:r>
      <w:r w:rsidR="00BC7FB3">
        <w:rPr>
          <w:rFonts w:cstheme="minorHAnsi"/>
          <w:sz w:val="24"/>
          <w:szCs w:val="24"/>
          <w:lang w:val="el-GR"/>
        </w:rPr>
        <w:t>είναι</w:t>
      </w:r>
      <w:r w:rsidR="00BC7FB3" w:rsidRPr="00BC7FB3">
        <w:rPr>
          <w:rFonts w:cstheme="minorHAnsi"/>
          <w:sz w:val="24"/>
          <w:szCs w:val="24"/>
          <w:lang w:val="el-GR"/>
        </w:rPr>
        <w:t xml:space="preserve"> </w:t>
      </w:r>
      <w:r w:rsidR="00BC7FB3">
        <w:rPr>
          <w:rFonts w:cstheme="minorHAnsi"/>
          <w:sz w:val="24"/>
          <w:szCs w:val="24"/>
          <w:lang w:val="el-GR"/>
        </w:rPr>
        <w:t>ωστόσο</w:t>
      </w:r>
      <w:r w:rsidR="00BC7FB3" w:rsidRPr="00BC7FB3">
        <w:rPr>
          <w:rFonts w:cstheme="minorHAnsi"/>
          <w:sz w:val="24"/>
          <w:szCs w:val="24"/>
          <w:lang w:val="el-GR"/>
        </w:rPr>
        <w:t xml:space="preserve"> </w:t>
      </w:r>
      <w:r w:rsidR="00BC7FB3">
        <w:rPr>
          <w:rFonts w:cstheme="minorHAnsi"/>
          <w:sz w:val="24"/>
          <w:szCs w:val="24"/>
          <w:lang w:val="el-GR"/>
        </w:rPr>
        <w:t>περιορισμένη στο</w:t>
      </w:r>
      <w:r w:rsidR="00A5147D" w:rsidRPr="00BC7FB3">
        <w:rPr>
          <w:rFonts w:cstheme="minorHAnsi"/>
          <w:sz w:val="24"/>
          <w:szCs w:val="24"/>
          <w:lang w:val="el-GR"/>
        </w:rPr>
        <w:t xml:space="preserve"> 50% </w:t>
      </w:r>
      <w:r w:rsidR="00BC7FB3">
        <w:rPr>
          <w:rFonts w:cstheme="minorHAnsi"/>
          <w:sz w:val="24"/>
          <w:szCs w:val="24"/>
          <w:lang w:val="el-GR"/>
        </w:rPr>
        <w:t>των ετησίων συντάξιμων αποδοχών</w:t>
      </w:r>
      <w:r w:rsidR="00A5147D" w:rsidRPr="00BC7FB3">
        <w:rPr>
          <w:rFonts w:cstheme="minorHAnsi"/>
          <w:sz w:val="24"/>
          <w:szCs w:val="24"/>
          <w:lang w:val="el-GR"/>
        </w:rPr>
        <w:t xml:space="preserve"> </w:t>
      </w:r>
      <w:r w:rsidR="00BC7FB3">
        <w:rPr>
          <w:rFonts w:cstheme="minorHAnsi"/>
          <w:sz w:val="24"/>
          <w:szCs w:val="24"/>
          <w:lang w:val="el-GR"/>
        </w:rPr>
        <w:t>στην ημερομηνία αφυπηρέτησης</w:t>
      </w:r>
      <w:r w:rsidR="00A5147D" w:rsidRPr="00BC7FB3">
        <w:rPr>
          <w:rFonts w:cstheme="minorHAnsi"/>
          <w:sz w:val="24"/>
          <w:szCs w:val="24"/>
          <w:lang w:val="el-GR"/>
        </w:rPr>
        <w:t xml:space="preserve">. </w:t>
      </w:r>
    </w:p>
    <w:p w14:paraId="599597AD" w14:textId="77777777" w:rsidR="00A5147D" w:rsidRPr="00BC7FB3" w:rsidRDefault="00A5147D" w:rsidP="00A5147D">
      <w:pPr>
        <w:rPr>
          <w:rFonts w:cstheme="minorHAnsi"/>
          <w:sz w:val="24"/>
          <w:szCs w:val="24"/>
          <w:lang w:val="el-GR"/>
        </w:rPr>
      </w:pPr>
    </w:p>
    <w:p w14:paraId="5AE8ADAD" w14:textId="71BACEA0" w:rsidR="00A5147D" w:rsidRPr="00A26422" w:rsidRDefault="00A26422"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lastRenderedPageBreak/>
        <w:t>Για</w:t>
      </w:r>
      <w:r w:rsidRPr="00A26422">
        <w:rPr>
          <w:rFonts w:cstheme="minorHAnsi"/>
          <w:sz w:val="24"/>
          <w:szCs w:val="24"/>
          <w:lang w:val="el-GR"/>
        </w:rPr>
        <w:t xml:space="preserve"> </w:t>
      </w:r>
      <w:r>
        <w:rPr>
          <w:rFonts w:cstheme="minorHAnsi"/>
          <w:sz w:val="24"/>
          <w:szCs w:val="24"/>
          <w:lang w:val="el-GR"/>
        </w:rPr>
        <w:t>τον</w:t>
      </w:r>
      <w:r w:rsidRPr="00A26422">
        <w:rPr>
          <w:rFonts w:cstheme="minorHAnsi"/>
          <w:sz w:val="24"/>
          <w:szCs w:val="24"/>
          <w:lang w:val="el-GR"/>
        </w:rPr>
        <w:t xml:space="preserve"> </w:t>
      </w:r>
      <w:r>
        <w:rPr>
          <w:rFonts w:cstheme="minorHAnsi"/>
          <w:sz w:val="24"/>
          <w:szCs w:val="24"/>
          <w:lang w:val="el-GR"/>
        </w:rPr>
        <w:t>Πρόεδρο</w:t>
      </w:r>
      <w:r w:rsidRPr="00A26422">
        <w:rPr>
          <w:rFonts w:cstheme="minorHAnsi"/>
          <w:sz w:val="24"/>
          <w:szCs w:val="24"/>
          <w:lang w:val="el-GR"/>
        </w:rPr>
        <w:t xml:space="preserve"> </w:t>
      </w:r>
      <w:r>
        <w:rPr>
          <w:rFonts w:cstheme="minorHAnsi"/>
          <w:sz w:val="24"/>
          <w:szCs w:val="24"/>
          <w:lang w:val="el-GR"/>
        </w:rPr>
        <w:t>της</w:t>
      </w:r>
      <w:r w:rsidRPr="00A26422">
        <w:rPr>
          <w:rFonts w:cstheme="minorHAnsi"/>
          <w:sz w:val="24"/>
          <w:szCs w:val="24"/>
          <w:lang w:val="el-GR"/>
        </w:rPr>
        <w:t xml:space="preserve"> </w:t>
      </w:r>
      <w:r>
        <w:rPr>
          <w:rFonts w:cstheme="minorHAnsi"/>
          <w:sz w:val="24"/>
          <w:szCs w:val="24"/>
          <w:lang w:val="el-GR"/>
        </w:rPr>
        <w:t>Δημοκρατίας</w:t>
      </w:r>
      <w:r w:rsidR="00A5147D" w:rsidRPr="00A26422">
        <w:rPr>
          <w:rFonts w:cstheme="minorHAnsi"/>
          <w:sz w:val="24"/>
          <w:szCs w:val="24"/>
          <w:lang w:val="el-GR"/>
        </w:rPr>
        <w:t xml:space="preserve">, </w:t>
      </w:r>
      <w:r>
        <w:rPr>
          <w:rFonts w:cstheme="minorHAnsi"/>
          <w:sz w:val="24"/>
          <w:szCs w:val="24"/>
          <w:lang w:val="el-GR"/>
        </w:rPr>
        <w:t>για</w:t>
      </w:r>
      <w:r w:rsidRPr="00A26422">
        <w:rPr>
          <w:rFonts w:cstheme="minorHAnsi"/>
          <w:sz w:val="24"/>
          <w:szCs w:val="24"/>
          <w:lang w:val="el-GR"/>
        </w:rPr>
        <w:t xml:space="preserve"> </w:t>
      </w:r>
      <w:r>
        <w:rPr>
          <w:rFonts w:cstheme="minorHAnsi"/>
          <w:sz w:val="24"/>
          <w:szCs w:val="24"/>
          <w:lang w:val="el-GR"/>
        </w:rPr>
        <w:t>μια</w:t>
      </w:r>
      <w:r w:rsidRPr="00A26422">
        <w:rPr>
          <w:rFonts w:cstheme="minorHAnsi"/>
          <w:sz w:val="24"/>
          <w:szCs w:val="24"/>
          <w:lang w:val="el-GR"/>
        </w:rPr>
        <w:t xml:space="preserve"> </w:t>
      </w:r>
      <w:r>
        <w:rPr>
          <w:rFonts w:cstheme="minorHAnsi"/>
          <w:sz w:val="24"/>
          <w:szCs w:val="24"/>
          <w:lang w:val="el-GR"/>
        </w:rPr>
        <w:t>περίοδο</w:t>
      </w:r>
      <w:r w:rsidRPr="00A26422">
        <w:rPr>
          <w:rFonts w:cstheme="minorHAnsi"/>
          <w:sz w:val="24"/>
          <w:szCs w:val="24"/>
          <w:lang w:val="el-GR"/>
        </w:rPr>
        <w:t xml:space="preserve"> </w:t>
      </w:r>
      <w:r>
        <w:rPr>
          <w:rFonts w:cstheme="minorHAnsi"/>
          <w:sz w:val="24"/>
          <w:szCs w:val="24"/>
          <w:lang w:val="el-GR"/>
        </w:rPr>
        <w:t>υπηρεσίας</w:t>
      </w:r>
      <w:r w:rsidRPr="00A26422">
        <w:rPr>
          <w:rFonts w:cstheme="minorHAnsi"/>
          <w:sz w:val="24"/>
          <w:szCs w:val="24"/>
          <w:lang w:val="el-GR"/>
        </w:rPr>
        <w:t xml:space="preserve"> </w:t>
      </w:r>
      <w:r>
        <w:rPr>
          <w:rFonts w:cstheme="minorHAnsi"/>
          <w:sz w:val="24"/>
          <w:szCs w:val="24"/>
          <w:lang w:val="el-GR"/>
        </w:rPr>
        <w:t>μέχρι</w:t>
      </w:r>
      <w:r w:rsidR="00A5147D" w:rsidRPr="00A26422">
        <w:rPr>
          <w:rFonts w:cstheme="minorHAnsi"/>
          <w:sz w:val="24"/>
          <w:szCs w:val="24"/>
          <w:lang w:val="el-GR"/>
        </w:rPr>
        <w:t xml:space="preserve"> 30 </w:t>
      </w:r>
      <w:r>
        <w:rPr>
          <w:rFonts w:cstheme="minorHAnsi"/>
          <w:sz w:val="24"/>
          <w:szCs w:val="24"/>
          <w:lang w:val="el-GR"/>
        </w:rPr>
        <w:t>μήνες</w:t>
      </w:r>
      <w:r w:rsidR="00A5147D" w:rsidRPr="00A26422">
        <w:rPr>
          <w:rFonts w:cstheme="minorHAnsi"/>
          <w:sz w:val="24"/>
          <w:szCs w:val="24"/>
          <w:lang w:val="el-GR"/>
        </w:rPr>
        <w:t xml:space="preserve">, </w:t>
      </w:r>
      <w:r>
        <w:rPr>
          <w:rFonts w:cstheme="minorHAnsi"/>
          <w:sz w:val="24"/>
          <w:szCs w:val="24"/>
          <w:lang w:val="el-GR"/>
        </w:rPr>
        <w:t>η ετήσια σύνταξη πολλαπλασιάζε</w:t>
      </w:r>
      <w:r w:rsidR="00F95DFE">
        <w:rPr>
          <w:rFonts w:cstheme="minorHAnsi"/>
          <w:sz w:val="24"/>
          <w:szCs w:val="24"/>
          <w:lang w:val="el-GR"/>
        </w:rPr>
        <w:t>τ</w:t>
      </w:r>
      <w:r>
        <w:rPr>
          <w:rFonts w:cstheme="minorHAnsi"/>
          <w:sz w:val="24"/>
          <w:szCs w:val="24"/>
          <w:lang w:val="el-GR"/>
        </w:rPr>
        <w:t>αι με</w:t>
      </w:r>
      <w:r w:rsidR="00A5147D" w:rsidRPr="00A26422">
        <w:rPr>
          <w:rFonts w:cstheme="minorHAnsi"/>
          <w:sz w:val="24"/>
          <w:szCs w:val="24"/>
          <w:lang w:val="el-GR"/>
        </w:rPr>
        <w:t xml:space="preserve"> 1/4, </w:t>
      </w:r>
      <w:r>
        <w:rPr>
          <w:rFonts w:cstheme="minorHAnsi"/>
          <w:sz w:val="24"/>
          <w:szCs w:val="24"/>
          <w:lang w:val="el-GR"/>
        </w:rPr>
        <w:t xml:space="preserve">το φιλοδώρημα είναι η ετήσια σύνταξη </w:t>
      </w:r>
      <w:r w:rsidR="00A5147D" w:rsidRPr="004E251E">
        <w:rPr>
          <w:rFonts w:cstheme="minorHAnsi"/>
          <w:sz w:val="24"/>
          <w:szCs w:val="24"/>
        </w:rPr>
        <w:t>x</w:t>
      </w:r>
      <w:r w:rsidR="00A5147D" w:rsidRPr="00A26422">
        <w:rPr>
          <w:rFonts w:cstheme="minorHAnsi"/>
          <w:sz w:val="24"/>
          <w:szCs w:val="24"/>
          <w:lang w:val="el-GR"/>
        </w:rPr>
        <w:t xml:space="preserve"> 14/3. </w:t>
      </w:r>
      <w:r>
        <w:rPr>
          <w:rFonts w:cstheme="minorHAnsi"/>
          <w:sz w:val="24"/>
          <w:szCs w:val="24"/>
          <w:lang w:val="el-GR"/>
        </w:rPr>
        <w:t>Αν</w:t>
      </w:r>
      <w:r w:rsidRPr="00A26422">
        <w:rPr>
          <w:rFonts w:cstheme="minorHAnsi"/>
          <w:sz w:val="24"/>
          <w:szCs w:val="24"/>
          <w:lang w:val="el-GR"/>
        </w:rPr>
        <w:t xml:space="preserve"> </w:t>
      </w:r>
      <w:r>
        <w:rPr>
          <w:rFonts w:cstheme="minorHAnsi"/>
          <w:sz w:val="24"/>
          <w:szCs w:val="24"/>
          <w:lang w:val="el-GR"/>
        </w:rPr>
        <w:t>η</w:t>
      </w:r>
      <w:r w:rsidRPr="00A26422">
        <w:rPr>
          <w:rFonts w:cstheme="minorHAnsi"/>
          <w:sz w:val="24"/>
          <w:szCs w:val="24"/>
          <w:lang w:val="el-GR"/>
        </w:rPr>
        <w:t xml:space="preserve"> </w:t>
      </w:r>
      <w:r>
        <w:rPr>
          <w:rFonts w:cstheme="minorHAnsi"/>
          <w:sz w:val="24"/>
          <w:szCs w:val="24"/>
          <w:lang w:val="el-GR"/>
        </w:rPr>
        <w:t>περίοδος</w:t>
      </w:r>
      <w:r w:rsidRPr="00A26422">
        <w:rPr>
          <w:rFonts w:cstheme="minorHAnsi"/>
          <w:sz w:val="24"/>
          <w:szCs w:val="24"/>
          <w:lang w:val="el-GR"/>
        </w:rPr>
        <w:t xml:space="preserve"> </w:t>
      </w:r>
      <w:r>
        <w:rPr>
          <w:rFonts w:cstheme="minorHAnsi"/>
          <w:sz w:val="24"/>
          <w:szCs w:val="24"/>
          <w:lang w:val="el-GR"/>
        </w:rPr>
        <w:t>υπηρεσίας</w:t>
      </w:r>
      <w:r w:rsidR="00A5147D" w:rsidRPr="00A26422">
        <w:rPr>
          <w:rFonts w:cstheme="minorHAnsi"/>
          <w:sz w:val="24"/>
          <w:szCs w:val="24"/>
          <w:lang w:val="el-GR"/>
        </w:rPr>
        <w:t xml:space="preserve"> </w:t>
      </w:r>
      <w:r>
        <w:rPr>
          <w:rFonts w:cstheme="minorHAnsi"/>
          <w:sz w:val="24"/>
          <w:szCs w:val="24"/>
          <w:lang w:val="el-GR"/>
        </w:rPr>
        <w:t>ξεπερνά</w:t>
      </w:r>
      <w:r w:rsidRPr="00A26422">
        <w:rPr>
          <w:rFonts w:cstheme="minorHAnsi"/>
          <w:sz w:val="24"/>
          <w:szCs w:val="24"/>
          <w:lang w:val="el-GR"/>
        </w:rPr>
        <w:t xml:space="preserve"> </w:t>
      </w:r>
      <w:r>
        <w:rPr>
          <w:rFonts w:cstheme="minorHAnsi"/>
          <w:sz w:val="24"/>
          <w:szCs w:val="24"/>
          <w:lang w:val="el-GR"/>
        </w:rPr>
        <w:t>τους</w:t>
      </w:r>
      <w:r w:rsidR="00A5147D" w:rsidRPr="00A26422">
        <w:rPr>
          <w:rFonts w:cstheme="minorHAnsi"/>
          <w:sz w:val="24"/>
          <w:szCs w:val="24"/>
          <w:lang w:val="el-GR"/>
        </w:rPr>
        <w:t xml:space="preserve"> 30 </w:t>
      </w:r>
      <w:r>
        <w:rPr>
          <w:rFonts w:cstheme="minorHAnsi"/>
          <w:sz w:val="24"/>
          <w:szCs w:val="24"/>
          <w:lang w:val="el-GR"/>
        </w:rPr>
        <w:t>μήνες</w:t>
      </w:r>
      <w:r w:rsidR="00A5147D" w:rsidRPr="00A26422">
        <w:rPr>
          <w:rFonts w:cstheme="minorHAnsi"/>
          <w:sz w:val="24"/>
          <w:szCs w:val="24"/>
          <w:lang w:val="el-GR"/>
        </w:rPr>
        <w:t xml:space="preserve">, </w:t>
      </w:r>
      <w:r>
        <w:rPr>
          <w:rFonts w:cstheme="minorHAnsi"/>
          <w:sz w:val="24"/>
          <w:szCs w:val="24"/>
          <w:lang w:val="el-GR"/>
        </w:rPr>
        <w:t>τότε</w:t>
      </w:r>
      <w:r w:rsidR="00A5147D" w:rsidRPr="00A26422">
        <w:rPr>
          <w:rFonts w:cstheme="minorHAnsi"/>
          <w:sz w:val="24"/>
          <w:szCs w:val="24"/>
          <w:lang w:val="el-GR"/>
        </w:rPr>
        <w:t xml:space="preserve"> </w:t>
      </w:r>
      <w:r>
        <w:rPr>
          <w:rFonts w:cstheme="minorHAnsi"/>
          <w:sz w:val="24"/>
          <w:szCs w:val="24"/>
          <w:lang w:val="el-GR"/>
        </w:rPr>
        <w:t>η</w:t>
      </w:r>
      <w:r w:rsidRPr="00A26422">
        <w:rPr>
          <w:rFonts w:cstheme="minorHAnsi"/>
          <w:sz w:val="24"/>
          <w:szCs w:val="24"/>
          <w:lang w:val="el-GR"/>
        </w:rPr>
        <w:t xml:space="preserve"> </w:t>
      </w:r>
      <w:r>
        <w:rPr>
          <w:rFonts w:cstheme="minorHAnsi"/>
          <w:sz w:val="24"/>
          <w:szCs w:val="24"/>
          <w:lang w:val="el-GR"/>
        </w:rPr>
        <w:t>ετήσια</w:t>
      </w:r>
      <w:r w:rsidRPr="00A26422">
        <w:rPr>
          <w:rFonts w:cstheme="minorHAnsi"/>
          <w:sz w:val="24"/>
          <w:szCs w:val="24"/>
          <w:lang w:val="el-GR"/>
        </w:rPr>
        <w:t xml:space="preserve"> </w:t>
      </w:r>
      <w:r>
        <w:rPr>
          <w:rFonts w:cstheme="minorHAnsi"/>
          <w:sz w:val="24"/>
          <w:szCs w:val="24"/>
          <w:lang w:val="el-GR"/>
        </w:rPr>
        <w:t>σύνταξη</w:t>
      </w:r>
      <w:r w:rsidR="00A5147D" w:rsidRPr="00A26422">
        <w:rPr>
          <w:rFonts w:cstheme="minorHAnsi"/>
          <w:sz w:val="24"/>
          <w:szCs w:val="24"/>
          <w:lang w:val="el-GR"/>
        </w:rPr>
        <w:t xml:space="preserve"> </w:t>
      </w:r>
      <w:r>
        <w:rPr>
          <w:rFonts w:cstheme="minorHAnsi"/>
          <w:sz w:val="24"/>
          <w:szCs w:val="24"/>
          <w:lang w:val="el-GR"/>
        </w:rPr>
        <w:t>πολλαπλασιάζεται με</w:t>
      </w:r>
      <w:r w:rsidR="00A5147D" w:rsidRPr="00A26422">
        <w:rPr>
          <w:rFonts w:cstheme="minorHAnsi"/>
          <w:sz w:val="24"/>
          <w:szCs w:val="24"/>
          <w:lang w:val="el-GR"/>
        </w:rPr>
        <w:t xml:space="preserve"> 1/2 </w:t>
      </w:r>
      <w:r>
        <w:rPr>
          <w:rFonts w:cstheme="minorHAnsi"/>
          <w:sz w:val="24"/>
          <w:szCs w:val="24"/>
          <w:lang w:val="el-GR"/>
        </w:rPr>
        <w:t>και το φιλοδώρημα είναι η ετήσια σύνταξη</w:t>
      </w:r>
      <w:r w:rsidR="00A5147D" w:rsidRPr="00A26422">
        <w:rPr>
          <w:rFonts w:cstheme="minorHAnsi"/>
          <w:sz w:val="24"/>
          <w:szCs w:val="24"/>
          <w:lang w:val="el-GR"/>
        </w:rPr>
        <w:t xml:space="preserve"> </w:t>
      </w:r>
      <w:r w:rsidR="00A5147D" w:rsidRPr="004E251E">
        <w:rPr>
          <w:rFonts w:cstheme="minorHAnsi"/>
          <w:sz w:val="24"/>
          <w:szCs w:val="24"/>
        </w:rPr>
        <w:t>x</w:t>
      </w:r>
      <w:r w:rsidR="00A5147D" w:rsidRPr="00A26422">
        <w:rPr>
          <w:rFonts w:cstheme="minorHAnsi"/>
          <w:sz w:val="24"/>
          <w:szCs w:val="24"/>
          <w:lang w:val="el-GR"/>
        </w:rPr>
        <w:t xml:space="preserve"> 14/3. </w:t>
      </w:r>
      <w:r>
        <w:rPr>
          <w:rFonts w:cstheme="minorHAnsi"/>
          <w:sz w:val="24"/>
          <w:szCs w:val="24"/>
          <w:lang w:val="el-GR"/>
        </w:rPr>
        <w:t>Και</w:t>
      </w:r>
      <w:r w:rsidRPr="00A26422">
        <w:rPr>
          <w:rFonts w:cstheme="minorHAnsi"/>
          <w:sz w:val="24"/>
          <w:szCs w:val="24"/>
          <w:lang w:val="el-GR"/>
        </w:rPr>
        <w:t xml:space="preserve"> </w:t>
      </w:r>
      <w:r>
        <w:rPr>
          <w:rFonts w:cstheme="minorHAnsi"/>
          <w:sz w:val="24"/>
          <w:szCs w:val="24"/>
          <w:lang w:val="el-GR"/>
        </w:rPr>
        <w:t>στις</w:t>
      </w:r>
      <w:r w:rsidRPr="00A26422">
        <w:rPr>
          <w:rFonts w:cstheme="minorHAnsi"/>
          <w:sz w:val="24"/>
          <w:szCs w:val="24"/>
          <w:lang w:val="el-GR"/>
        </w:rPr>
        <w:t xml:space="preserve"> </w:t>
      </w:r>
      <w:r>
        <w:rPr>
          <w:rFonts w:cstheme="minorHAnsi"/>
          <w:sz w:val="24"/>
          <w:szCs w:val="24"/>
          <w:lang w:val="el-GR"/>
        </w:rPr>
        <w:t>δύο</w:t>
      </w:r>
      <w:r w:rsidRPr="00A26422">
        <w:rPr>
          <w:rFonts w:cstheme="minorHAnsi"/>
          <w:sz w:val="24"/>
          <w:szCs w:val="24"/>
          <w:lang w:val="el-GR"/>
        </w:rPr>
        <w:t xml:space="preserve"> </w:t>
      </w:r>
      <w:r>
        <w:rPr>
          <w:rFonts w:cstheme="minorHAnsi"/>
          <w:sz w:val="24"/>
          <w:szCs w:val="24"/>
          <w:lang w:val="el-GR"/>
        </w:rPr>
        <w:t>περιπτώσεις</w:t>
      </w:r>
      <w:r w:rsidRPr="00A26422">
        <w:rPr>
          <w:rFonts w:cstheme="minorHAnsi"/>
          <w:sz w:val="24"/>
          <w:szCs w:val="24"/>
          <w:lang w:val="el-GR"/>
        </w:rPr>
        <w:t xml:space="preserve"> </w:t>
      </w:r>
      <w:r>
        <w:rPr>
          <w:rFonts w:cstheme="minorHAnsi"/>
          <w:sz w:val="24"/>
          <w:szCs w:val="24"/>
          <w:lang w:val="el-GR"/>
        </w:rPr>
        <w:t>το</w:t>
      </w:r>
      <w:r w:rsidRPr="00A26422">
        <w:rPr>
          <w:rFonts w:cstheme="minorHAnsi"/>
          <w:sz w:val="24"/>
          <w:szCs w:val="24"/>
          <w:lang w:val="el-GR"/>
        </w:rPr>
        <w:t xml:space="preserve"> </w:t>
      </w:r>
      <w:r>
        <w:rPr>
          <w:rFonts w:cstheme="minorHAnsi"/>
          <w:sz w:val="24"/>
          <w:szCs w:val="24"/>
          <w:lang w:val="el-GR"/>
        </w:rPr>
        <w:t>φιλοδώρημα</w:t>
      </w:r>
      <w:r w:rsidRPr="00A26422">
        <w:rPr>
          <w:rFonts w:cstheme="minorHAnsi"/>
          <w:sz w:val="24"/>
          <w:szCs w:val="24"/>
          <w:lang w:val="el-GR"/>
        </w:rPr>
        <w:t xml:space="preserve"> </w:t>
      </w:r>
      <w:r>
        <w:rPr>
          <w:rFonts w:cstheme="minorHAnsi"/>
          <w:sz w:val="24"/>
          <w:szCs w:val="24"/>
          <w:lang w:val="el-GR"/>
        </w:rPr>
        <w:t>πληρώνεται</w:t>
      </w:r>
      <w:r w:rsidR="00A5147D" w:rsidRPr="00A26422">
        <w:rPr>
          <w:rFonts w:cstheme="minorHAnsi"/>
          <w:sz w:val="24"/>
          <w:szCs w:val="24"/>
          <w:lang w:val="el-GR"/>
        </w:rPr>
        <w:t xml:space="preserve"> </w:t>
      </w:r>
      <w:r>
        <w:rPr>
          <w:rFonts w:cstheme="minorHAnsi"/>
          <w:sz w:val="24"/>
          <w:szCs w:val="24"/>
          <w:lang w:val="el-GR"/>
        </w:rPr>
        <w:t>στην ημερομηνία αφυπηρέτησης</w:t>
      </w:r>
      <w:r w:rsidR="00A5147D" w:rsidRPr="00A26422">
        <w:rPr>
          <w:rFonts w:cstheme="minorHAnsi"/>
          <w:sz w:val="24"/>
          <w:szCs w:val="24"/>
          <w:lang w:val="el-GR"/>
        </w:rPr>
        <w:t>.</w:t>
      </w:r>
    </w:p>
    <w:p w14:paraId="2B5B99EB" w14:textId="77777777" w:rsidR="00A5147D" w:rsidRPr="00A26422" w:rsidRDefault="00A5147D" w:rsidP="00A5147D">
      <w:pPr>
        <w:rPr>
          <w:rFonts w:cstheme="minorHAnsi"/>
          <w:sz w:val="24"/>
          <w:szCs w:val="24"/>
          <w:lang w:val="el-GR"/>
        </w:rPr>
      </w:pPr>
    </w:p>
    <w:p w14:paraId="742C9E91" w14:textId="73AD6F50" w:rsidR="00A5147D" w:rsidRPr="0092232D" w:rsidRDefault="00A26422"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Για</w:t>
      </w:r>
      <w:r w:rsidRPr="0092232D">
        <w:rPr>
          <w:rFonts w:cstheme="minorHAnsi"/>
          <w:sz w:val="24"/>
          <w:szCs w:val="24"/>
          <w:lang w:val="el-GR"/>
        </w:rPr>
        <w:t xml:space="preserve"> </w:t>
      </w:r>
      <w:r>
        <w:rPr>
          <w:rFonts w:cstheme="minorHAnsi"/>
          <w:sz w:val="24"/>
          <w:szCs w:val="24"/>
          <w:lang w:val="el-GR"/>
        </w:rPr>
        <w:t>Επιτρόπους</w:t>
      </w:r>
      <w:r w:rsidR="00A5147D" w:rsidRPr="0092232D">
        <w:rPr>
          <w:rFonts w:cstheme="minorHAnsi"/>
          <w:sz w:val="24"/>
          <w:szCs w:val="24"/>
          <w:lang w:val="el-GR"/>
        </w:rPr>
        <w:t xml:space="preserve">, </w:t>
      </w:r>
      <w:r w:rsidR="0092232D">
        <w:rPr>
          <w:rFonts w:cstheme="minorHAnsi"/>
          <w:sz w:val="24"/>
          <w:szCs w:val="24"/>
          <w:lang w:val="el-GR"/>
        </w:rPr>
        <w:t>τον</w:t>
      </w:r>
      <w:r w:rsidR="0092232D" w:rsidRPr="0092232D">
        <w:rPr>
          <w:rFonts w:cstheme="minorHAnsi"/>
          <w:sz w:val="24"/>
          <w:szCs w:val="24"/>
          <w:lang w:val="el-GR"/>
        </w:rPr>
        <w:t xml:space="preserve"> </w:t>
      </w:r>
      <w:r w:rsidR="00EB12C2">
        <w:rPr>
          <w:rFonts w:cstheme="minorHAnsi"/>
          <w:sz w:val="24"/>
          <w:szCs w:val="24"/>
          <w:lang w:val="el-GR"/>
        </w:rPr>
        <w:t xml:space="preserve">Αναπληρωτή </w:t>
      </w:r>
      <w:r w:rsidR="0092232D">
        <w:rPr>
          <w:rFonts w:cstheme="minorHAnsi"/>
          <w:sz w:val="24"/>
          <w:szCs w:val="24"/>
          <w:lang w:val="el-GR"/>
        </w:rPr>
        <w:t>Κυβερνητικό</w:t>
      </w:r>
      <w:r w:rsidR="0092232D" w:rsidRPr="0092232D">
        <w:rPr>
          <w:rFonts w:cstheme="minorHAnsi"/>
          <w:sz w:val="24"/>
          <w:szCs w:val="24"/>
          <w:lang w:val="el-GR"/>
        </w:rPr>
        <w:t xml:space="preserve"> </w:t>
      </w:r>
      <w:r w:rsidR="0092232D">
        <w:rPr>
          <w:rFonts w:cstheme="minorHAnsi"/>
          <w:sz w:val="24"/>
          <w:szCs w:val="24"/>
          <w:lang w:val="el-GR"/>
        </w:rPr>
        <w:t>Εκπρόσωπο</w:t>
      </w:r>
      <w:r w:rsidR="00A5147D" w:rsidRPr="0092232D">
        <w:rPr>
          <w:rFonts w:cstheme="minorHAnsi"/>
          <w:sz w:val="24"/>
          <w:szCs w:val="24"/>
          <w:lang w:val="el-GR"/>
        </w:rPr>
        <w:t xml:space="preserve"> </w:t>
      </w:r>
      <w:r w:rsidR="0092232D">
        <w:rPr>
          <w:rFonts w:cstheme="minorHAnsi"/>
          <w:sz w:val="24"/>
          <w:szCs w:val="24"/>
          <w:lang w:val="el-GR"/>
        </w:rPr>
        <w:t>και</w:t>
      </w:r>
      <w:r w:rsidR="0092232D" w:rsidRPr="0092232D">
        <w:rPr>
          <w:rFonts w:cstheme="minorHAnsi"/>
          <w:sz w:val="24"/>
          <w:szCs w:val="24"/>
          <w:lang w:val="el-GR"/>
        </w:rPr>
        <w:t xml:space="preserve"> </w:t>
      </w:r>
      <w:r w:rsidR="0092232D">
        <w:rPr>
          <w:rFonts w:cstheme="minorHAnsi"/>
          <w:sz w:val="24"/>
          <w:szCs w:val="24"/>
          <w:lang w:val="el-GR"/>
        </w:rPr>
        <w:t>τον</w:t>
      </w:r>
      <w:r w:rsidR="0092232D" w:rsidRPr="0092232D">
        <w:rPr>
          <w:rFonts w:cstheme="minorHAnsi"/>
          <w:sz w:val="24"/>
          <w:szCs w:val="24"/>
          <w:lang w:val="el-GR"/>
        </w:rPr>
        <w:t xml:space="preserve"> </w:t>
      </w:r>
      <w:r w:rsidR="0092232D">
        <w:rPr>
          <w:rFonts w:cstheme="minorHAnsi"/>
          <w:sz w:val="24"/>
          <w:szCs w:val="24"/>
          <w:lang w:val="el-GR"/>
        </w:rPr>
        <w:t>Διευθυντή</w:t>
      </w:r>
      <w:r w:rsidR="0092232D" w:rsidRPr="0092232D">
        <w:rPr>
          <w:rFonts w:cstheme="minorHAnsi"/>
          <w:sz w:val="24"/>
          <w:szCs w:val="24"/>
          <w:lang w:val="el-GR"/>
        </w:rPr>
        <w:t xml:space="preserve"> </w:t>
      </w:r>
      <w:r w:rsidR="0092232D">
        <w:rPr>
          <w:rFonts w:cstheme="minorHAnsi"/>
          <w:sz w:val="24"/>
          <w:szCs w:val="24"/>
          <w:lang w:val="el-GR"/>
        </w:rPr>
        <w:t>του</w:t>
      </w:r>
      <w:r w:rsidR="0092232D" w:rsidRPr="0092232D">
        <w:rPr>
          <w:rFonts w:cstheme="minorHAnsi"/>
          <w:sz w:val="24"/>
          <w:szCs w:val="24"/>
          <w:lang w:val="el-GR"/>
        </w:rPr>
        <w:t xml:space="preserve"> </w:t>
      </w:r>
      <w:r w:rsidR="0092232D">
        <w:rPr>
          <w:rFonts w:cstheme="minorHAnsi"/>
          <w:sz w:val="24"/>
          <w:szCs w:val="24"/>
          <w:lang w:val="el-GR"/>
        </w:rPr>
        <w:t>Γραφείου</w:t>
      </w:r>
      <w:r w:rsidR="0092232D" w:rsidRPr="0092232D">
        <w:rPr>
          <w:rFonts w:cstheme="minorHAnsi"/>
          <w:sz w:val="24"/>
          <w:szCs w:val="24"/>
          <w:lang w:val="el-GR"/>
        </w:rPr>
        <w:t xml:space="preserve"> </w:t>
      </w:r>
      <w:r w:rsidR="0092232D">
        <w:rPr>
          <w:rFonts w:cstheme="minorHAnsi"/>
          <w:sz w:val="24"/>
          <w:szCs w:val="24"/>
          <w:lang w:val="el-GR"/>
        </w:rPr>
        <w:t>του</w:t>
      </w:r>
      <w:r w:rsidR="0092232D" w:rsidRPr="0092232D">
        <w:rPr>
          <w:rFonts w:cstheme="minorHAnsi"/>
          <w:sz w:val="24"/>
          <w:szCs w:val="24"/>
          <w:lang w:val="el-GR"/>
        </w:rPr>
        <w:t xml:space="preserve"> </w:t>
      </w:r>
      <w:r w:rsidR="0092232D">
        <w:rPr>
          <w:rFonts w:cstheme="minorHAnsi"/>
          <w:sz w:val="24"/>
          <w:szCs w:val="24"/>
          <w:lang w:val="el-GR"/>
        </w:rPr>
        <w:t>Προέδρου</w:t>
      </w:r>
      <w:r w:rsidR="0092232D" w:rsidRPr="0092232D">
        <w:rPr>
          <w:rFonts w:cstheme="minorHAnsi"/>
          <w:sz w:val="24"/>
          <w:szCs w:val="24"/>
          <w:lang w:val="el-GR"/>
        </w:rPr>
        <w:t xml:space="preserve"> </w:t>
      </w:r>
      <w:r w:rsidR="0092232D">
        <w:rPr>
          <w:rFonts w:cstheme="minorHAnsi"/>
          <w:sz w:val="24"/>
          <w:szCs w:val="24"/>
          <w:lang w:val="el-GR"/>
        </w:rPr>
        <w:t>της</w:t>
      </w:r>
      <w:r w:rsidR="0092232D" w:rsidRPr="0092232D">
        <w:rPr>
          <w:rFonts w:cstheme="minorHAnsi"/>
          <w:sz w:val="24"/>
          <w:szCs w:val="24"/>
          <w:lang w:val="el-GR"/>
        </w:rPr>
        <w:t xml:space="preserve"> </w:t>
      </w:r>
      <w:r w:rsidR="0092232D">
        <w:rPr>
          <w:rFonts w:cstheme="minorHAnsi"/>
          <w:sz w:val="24"/>
          <w:szCs w:val="24"/>
          <w:lang w:val="el-GR"/>
        </w:rPr>
        <w:t>Δημοκρατίας</w:t>
      </w:r>
      <w:r w:rsidR="00A5147D" w:rsidRPr="0092232D">
        <w:rPr>
          <w:rFonts w:cstheme="minorHAnsi"/>
          <w:sz w:val="24"/>
          <w:szCs w:val="24"/>
          <w:lang w:val="el-GR"/>
        </w:rPr>
        <w:t xml:space="preserve">, </w:t>
      </w:r>
      <w:r w:rsidR="0092232D">
        <w:rPr>
          <w:rFonts w:cstheme="minorHAnsi"/>
          <w:sz w:val="24"/>
          <w:szCs w:val="24"/>
          <w:lang w:val="el-GR"/>
        </w:rPr>
        <w:t>η σύνταξη υπολογίζεται</w:t>
      </w:r>
      <w:r w:rsidR="00A5147D" w:rsidRPr="0092232D">
        <w:rPr>
          <w:rFonts w:cstheme="minorHAnsi"/>
          <w:sz w:val="24"/>
          <w:szCs w:val="24"/>
          <w:lang w:val="el-GR"/>
        </w:rPr>
        <w:t xml:space="preserve"> </w:t>
      </w:r>
      <w:r w:rsidR="0092232D">
        <w:rPr>
          <w:rFonts w:cstheme="minorHAnsi"/>
          <w:sz w:val="24"/>
          <w:szCs w:val="24"/>
          <w:lang w:val="el-GR"/>
        </w:rPr>
        <w:t>βάσει το μηνιαίο ποσοστό κάθε αξιώματος</w:t>
      </w:r>
      <w:r w:rsidR="00A5147D" w:rsidRPr="0092232D">
        <w:rPr>
          <w:rFonts w:cstheme="minorHAnsi"/>
          <w:sz w:val="24"/>
          <w:szCs w:val="24"/>
          <w:lang w:val="el-GR"/>
        </w:rPr>
        <w:t xml:space="preserve">. </w:t>
      </w:r>
      <w:r w:rsidR="0092232D">
        <w:rPr>
          <w:rFonts w:cstheme="minorHAnsi"/>
          <w:sz w:val="24"/>
          <w:szCs w:val="24"/>
          <w:lang w:val="el-GR"/>
        </w:rPr>
        <w:t>Πιο</w:t>
      </w:r>
      <w:r w:rsidR="0092232D" w:rsidRPr="0092232D">
        <w:rPr>
          <w:rFonts w:cstheme="minorHAnsi"/>
          <w:sz w:val="24"/>
          <w:szCs w:val="24"/>
          <w:lang w:val="el-GR"/>
        </w:rPr>
        <w:t xml:space="preserve"> </w:t>
      </w:r>
      <w:r w:rsidR="0092232D">
        <w:rPr>
          <w:rFonts w:cstheme="minorHAnsi"/>
          <w:sz w:val="24"/>
          <w:szCs w:val="24"/>
          <w:lang w:val="el-GR"/>
        </w:rPr>
        <w:t>συγκεκριμένα</w:t>
      </w:r>
      <w:r w:rsidR="00A5147D" w:rsidRPr="0092232D">
        <w:rPr>
          <w:rFonts w:cstheme="minorHAnsi"/>
          <w:sz w:val="24"/>
          <w:szCs w:val="24"/>
          <w:lang w:val="el-GR"/>
        </w:rPr>
        <w:t xml:space="preserve">, </w:t>
      </w:r>
      <w:r w:rsidR="0092232D">
        <w:rPr>
          <w:rFonts w:cstheme="minorHAnsi"/>
          <w:sz w:val="24"/>
          <w:szCs w:val="24"/>
          <w:lang w:val="el-GR"/>
        </w:rPr>
        <w:t>αυτό</w:t>
      </w:r>
      <w:r w:rsidR="0092232D" w:rsidRPr="0092232D">
        <w:rPr>
          <w:rFonts w:cstheme="minorHAnsi"/>
          <w:sz w:val="24"/>
          <w:szCs w:val="24"/>
          <w:lang w:val="el-GR"/>
        </w:rPr>
        <w:t xml:space="preserve"> </w:t>
      </w:r>
      <w:r w:rsidR="0092232D">
        <w:rPr>
          <w:rFonts w:cstheme="minorHAnsi"/>
          <w:sz w:val="24"/>
          <w:szCs w:val="24"/>
          <w:lang w:val="el-GR"/>
        </w:rPr>
        <w:t>σημαίνει</w:t>
      </w:r>
      <w:r w:rsidR="00A5147D" w:rsidRPr="0092232D">
        <w:rPr>
          <w:rFonts w:cstheme="minorHAnsi"/>
          <w:sz w:val="24"/>
          <w:szCs w:val="24"/>
          <w:lang w:val="el-GR"/>
        </w:rPr>
        <w:t xml:space="preserve"> </w:t>
      </w:r>
      <w:r w:rsidR="0092232D">
        <w:rPr>
          <w:rFonts w:cstheme="minorHAnsi"/>
          <w:sz w:val="24"/>
          <w:szCs w:val="24"/>
          <w:lang w:val="el-GR"/>
        </w:rPr>
        <w:t>ότι</w:t>
      </w:r>
      <w:r w:rsidR="00A5147D" w:rsidRPr="0092232D">
        <w:rPr>
          <w:rFonts w:cstheme="minorHAnsi"/>
          <w:sz w:val="24"/>
          <w:szCs w:val="24"/>
          <w:lang w:val="el-GR"/>
        </w:rPr>
        <w:t xml:space="preserve"> 3% </w:t>
      </w:r>
      <w:r w:rsidR="0092232D">
        <w:rPr>
          <w:rFonts w:cstheme="minorHAnsi"/>
          <w:sz w:val="24"/>
          <w:szCs w:val="24"/>
          <w:lang w:val="el-GR"/>
        </w:rPr>
        <w:t>αφαι</w:t>
      </w:r>
      <w:r w:rsidR="00F95DFE">
        <w:rPr>
          <w:rFonts w:cstheme="minorHAnsi"/>
          <w:sz w:val="24"/>
          <w:szCs w:val="24"/>
          <w:lang w:val="el-GR"/>
        </w:rPr>
        <w:t>ρ</w:t>
      </w:r>
      <w:r w:rsidR="0092232D">
        <w:rPr>
          <w:rFonts w:cstheme="minorHAnsi"/>
          <w:sz w:val="24"/>
          <w:szCs w:val="24"/>
          <w:lang w:val="el-GR"/>
        </w:rPr>
        <w:t>είται</w:t>
      </w:r>
      <w:r w:rsidR="0092232D" w:rsidRPr="0092232D">
        <w:rPr>
          <w:rFonts w:cstheme="minorHAnsi"/>
          <w:sz w:val="24"/>
          <w:szCs w:val="24"/>
          <w:lang w:val="el-GR"/>
        </w:rPr>
        <w:t xml:space="preserve"> </w:t>
      </w:r>
      <w:r w:rsidR="0092232D">
        <w:rPr>
          <w:rFonts w:cstheme="minorHAnsi"/>
          <w:sz w:val="24"/>
          <w:szCs w:val="24"/>
          <w:lang w:val="el-GR"/>
        </w:rPr>
        <w:t>από</w:t>
      </w:r>
      <w:r w:rsidR="0092232D" w:rsidRPr="0092232D">
        <w:rPr>
          <w:rFonts w:cstheme="minorHAnsi"/>
          <w:sz w:val="24"/>
          <w:szCs w:val="24"/>
          <w:lang w:val="el-GR"/>
        </w:rPr>
        <w:t xml:space="preserve"> </w:t>
      </w:r>
      <w:r w:rsidR="0092232D">
        <w:rPr>
          <w:rFonts w:cstheme="minorHAnsi"/>
          <w:sz w:val="24"/>
          <w:szCs w:val="24"/>
          <w:lang w:val="el-GR"/>
        </w:rPr>
        <w:t>τις</w:t>
      </w:r>
      <w:r w:rsidR="0092232D" w:rsidRPr="0092232D">
        <w:rPr>
          <w:rFonts w:cstheme="minorHAnsi"/>
          <w:sz w:val="24"/>
          <w:szCs w:val="24"/>
          <w:lang w:val="el-GR"/>
        </w:rPr>
        <w:t xml:space="preserve"> </w:t>
      </w:r>
      <w:r w:rsidR="0092232D">
        <w:rPr>
          <w:rFonts w:cstheme="minorHAnsi"/>
          <w:sz w:val="24"/>
          <w:szCs w:val="24"/>
          <w:lang w:val="el-GR"/>
        </w:rPr>
        <w:t>μη</w:t>
      </w:r>
      <w:r w:rsidR="00F95DFE">
        <w:rPr>
          <w:rFonts w:cstheme="minorHAnsi"/>
          <w:sz w:val="24"/>
          <w:szCs w:val="24"/>
          <w:lang w:val="el-GR"/>
        </w:rPr>
        <w:t>ν</w:t>
      </w:r>
      <w:r w:rsidR="0092232D">
        <w:rPr>
          <w:rFonts w:cstheme="minorHAnsi"/>
          <w:sz w:val="24"/>
          <w:szCs w:val="24"/>
          <w:lang w:val="el-GR"/>
        </w:rPr>
        <w:t>ιαίες</w:t>
      </w:r>
      <w:r w:rsidR="0092232D" w:rsidRPr="0092232D">
        <w:rPr>
          <w:rFonts w:cstheme="minorHAnsi"/>
          <w:sz w:val="24"/>
          <w:szCs w:val="24"/>
          <w:lang w:val="el-GR"/>
        </w:rPr>
        <w:t xml:space="preserve"> </w:t>
      </w:r>
      <w:r w:rsidR="0092232D">
        <w:rPr>
          <w:rFonts w:cstheme="minorHAnsi"/>
          <w:sz w:val="24"/>
          <w:szCs w:val="24"/>
          <w:lang w:val="el-GR"/>
        </w:rPr>
        <w:t>απολαβές</w:t>
      </w:r>
      <w:r w:rsidR="0092232D" w:rsidRPr="0092232D">
        <w:rPr>
          <w:rFonts w:cstheme="minorHAnsi"/>
          <w:sz w:val="24"/>
          <w:szCs w:val="24"/>
          <w:lang w:val="el-GR"/>
        </w:rPr>
        <w:t xml:space="preserve"> </w:t>
      </w:r>
      <w:r w:rsidR="0092232D">
        <w:rPr>
          <w:rFonts w:cstheme="minorHAnsi"/>
          <w:sz w:val="24"/>
          <w:szCs w:val="24"/>
          <w:lang w:val="el-GR"/>
        </w:rPr>
        <w:t>τους</w:t>
      </w:r>
      <w:r w:rsidR="00A5147D" w:rsidRPr="0092232D">
        <w:rPr>
          <w:rFonts w:cstheme="minorHAnsi"/>
          <w:sz w:val="24"/>
          <w:szCs w:val="24"/>
          <w:lang w:val="el-GR"/>
        </w:rPr>
        <w:t xml:space="preserve"> </w:t>
      </w:r>
      <w:r w:rsidR="0092232D">
        <w:rPr>
          <w:rFonts w:cstheme="minorHAnsi"/>
          <w:sz w:val="24"/>
          <w:szCs w:val="24"/>
          <w:lang w:val="el-GR"/>
        </w:rPr>
        <w:t>και</w:t>
      </w:r>
      <w:r w:rsidR="0092232D" w:rsidRPr="0092232D">
        <w:rPr>
          <w:rFonts w:cstheme="minorHAnsi"/>
          <w:sz w:val="24"/>
          <w:szCs w:val="24"/>
          <w:lang w:val="el-GR"/>
        </w:rPr>
        <w:t xml:space="preserve"> </w:t>
      </w:r>
      <w:r w:rsidR="0092232D">
        <w:rPr>
          <w:rFonts w:cstheme="minorHAnsi"/>
          <w:sz w:val="24"/>
          <w:szCs w:val="24"/>
          <w:lang w:val="el-GR"/>
        </w:rPr>
        <w:t>το</w:t>
      </w:r>
      <w:r w:rsidR="0092232D" w:rsidRPr="0092232D">
        <w:rPr>
          <w:rFonts w:cstheme="minorHAnsi"/>
          <w:sz w:val="24"/>
          <w:szCs w:val="24"/>
          <w:lang w:val="el-GR"/>
        </w:rPr>
        <w:t xml:space="preserve"> </w:t>
      </w:r>
      <w:r w:rsidR="0092232D">
        <w:rPr>
          <w:rFonts w:cstheme="minorHAnsi"/>
          <w:sz w:val="24"/>
          <w:szCs w:val="24"/>
          <w:lang w:val="el-GR"/>
        </w:rPr>
        <w:t>ολικό ποσό</w:t>
      </w:r>
      <w:r w:rsidR="00A5147D" w:rsidRPr="0092232D">
        <w:rPr>
          <w:rFonts w:cstheme="minorHAnsi"/>
          <w:sz w:val="24"/>
          <w:szCs w:val="24"/>
          <w:lang w:val="el-GR"/>
        </w:rPr>
        <w:t xml:space="preserve"> </w:t>
      </w:r>
      <w:r w:rsidR="0092232D">
        <w:rPr>
          <w:rFonts w:cstheme="minorHAnsi"/>
          <w:sz w:val="24"/>
          <w:szCs w:val="24"/>
          <w:lang w:val="el-GR"/>
        </w:rPr>
        <w:t>θα επιστραφεί στον δικαιούχο</w:t>
      </w:r>
      <w:r w:rsidR="00A5147D" w:rsidRPr="0092232D">
        <w:rPr>
          <w:rFonts w:cstheme="minorHAnsi"/>
          <w:sz w:val="24"/>
          <w:szCs w:val="24"/>
          <w:lang w:val="el-GR"/>
        </w:rPr>
        <w:t xml:space="preserve"> </w:t>
      </w:r>
      <w:r w:rsidR="0092232D">
        <w:rPr>
          <w:rFonts w:cstheme="minorHAnsi"/>
          <w:sz w:val="24"/>
          <w:szCs w:val="24"/>
          <w:lang w:val="el-GR"/>
        </w:rPr>
        <w:t>μετά από την αποχώρηση του από το αξίωμα</w:t>
      </w:r>
      <w:r w:rsidR="00A5147D" w:rsidRPr="0092232D">
        <w:rPr>
          <w:rFonts w:cstheme="minorHAnsi"/>
          <w:sz w:val="24"/>
          <w:szCs w:val="24"/>
          <w:lang w:val="el-GR"/>
        </w:rPr>
        <w:t xml:space="preserve">. </w:t>
      </w:r>
    </w:p>
    <w:p w14:paraId="6ECC047A" w14:textId="77777777" w:rsidR="00A5147D" w:rsidRPr="0092232D" w:rsidRDefault="00A5147D" w:rsidP="00A5147D">
      <w:pPr>
        <w:tabs>
          <w:tab w:val="left" w:pos="709"/>
        </w:tabs>
        <w:rPr>
          <w:rFonts w:cstheme="minorHAnsi"/>
          <w:sz w:val="24"/>
          <w:szCs w:val="24"/>
          <w:lang w:val="el-GR"/>
        </w:rPr>
      </w:pPr>
    </w:p>
    <w:p w14:paraId="23D4BA6D" w14:textId="154776E0" w:rsidR="00A5147D" w:rsidRPr="00AF0C8C" w:rsidRDefault="00BC0649"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 xml:space="preserve">Οι </w:t>
      </w:r>
      <w:r>
        <w:rPr>
          <w:rFonts w:cstheme="minorHAnsi"/>
          <w:sz w:val="24"/>
          <w:szCs w:val="24"/>
          <w:lang w:val="en-US"/>
        </w:rPr>
        <w:t>PTEFs</w:t>
      </w:r>
      <w:r w:rsidR="00A5147D" w:rsidRPr="0092232D">
        <w:rPr>
          <w:rFonts w:cstheme="minorHAnsi"/>
          <w:sz w:val="24"/>
          <w:szCs w:val="24"/>
          <w:lang w:val="el-GR"/>
        </w:rPr>
        <w:t xml:space="preserve"> </w:t>
      </w:r>
      <w:r w:rsidR="0092232D">
        <w:rPr>
          <w:rFonts w:cstheme="minorHAnsi"/>
          <w:sz w:val="24"/>
          <w:szCs w:val="24"/>
          <w:lang w:val="el-GR"/>
        </w:rPr>
        <w:t>χάνουν</w:t>
      </w:r>
      <w:r w:rsidR="0092232D" w:rsidRPr="0092232D">
        <w:rPr>
          <w:rFonts w:cstheme="minorHAnsi"/>
          <w:sz w:val="24"/>
          <w:szCs w:val="24"/>
          <w:lang w:val="el-GR"/>
        </w:rPr>
        <w:t xml:space="preserve"> </w:t>
      </w:r>
      <w:r w:rsidR="0092232D">
        <w:rPr>
          <w:rFonts w:cstheme="minorHAnsi"/>
          <w:sz w:val="24"/>
          <w:szCs w:val="24"/>
          <w:lang w:val="el-GR"/>
        </w:rPr>
        <w:t>τα</w:t>
      </w:r>
      <w:r w:rsidR="0092232D" w:rsidRPr="0092232D">
        <w:rPr>
          <w:rFonts w:cstheme="minorHAnsi"/>
          <w:sz w:val="24"/>
          <w:szCs w:val="24"/>
          <w:lang w:val="el-GR"/>
        </w:rPr>
        <w:t xml:space="preserve"> </w:t>
      </w:r>
      <w:r w:rsidR="0092232D">
        <w:rPr>
          <w:rFonts w:cstheme="minorHAnsi"/>
          <w:sz w:val="24"/>
          <w:szCs w:val="24"/>
          <w:lang w:val="el-GR"/>
        </w:rPr>
        <w:t>επιδόματα</w:t>
      </w:r>
      <w:r w:rsidR="0092232D" w:rsidRPr="0092232D">
        <w:rPr>
          <w:rFonts w:cstheme="minorHAnsi"/>
          <w:sz w:val="24"/>
          <w:szCs w:val="24"/>
          <w:lang w:val="el-GR"/>
        </w:rPr>
        <w:t xml:space="preserve"> </w:t>
      </w:r>
      <w:r w:rsidR="0092232D">
        <w:rPr>
          <w:rFonts w:cstheme="minorHAnsi"/>
          <w:sz w:val="24"/>
          <w:szCs w:val="24"/>
          <w:lang w:val="el-GR"/>
        </w:rPr>
        <w:t>τους</w:t>
      </w:r>
      <w:r w:rsidR="00A5147D" w:rsidRPr="0092232D">
        <w:rPr>
          <w:rFonts w:cstheme="minorHAnsi"/>
          <w:sz w:val="24"/>
          <w:szCs w:val="24"/>
          <w:lang w:val="el-GR"/>
        </w:rPr>
        <w:t xml:space="preserve"> </w:t>
      </w:r>
      <w:r w:rsidR="0092232D">
        <w:rPr>
          <w:rFonts w:cstheme="minorHAnsi"/>
          <w:sz w:val="24"/>
          <w:szCs w:val="24"/>
          <w:lang w:val="el-GR"/>
        </w:rPr>
        <w:t>μετά</w:t>
      </w:r>
      <w:r w:rsidR="0092232D" w:rsidRPr="0092232D">
        <w:rPr>
          <w:rFonts w:cstheme="minorHAnsi"/>
          <w:sz w:val="24"/>
          <w:szCs w:val="24"/>
          <w:lang w:val="el-GR"/>
        </w:rPr>
        <w:t xml:space="preserve"> </w:t>
      </w:r>
      <w:r w:rsidR="0092232D">
        <w:rPr>
          <w:rFonts w:cstheme="minorHAnsi"/>
          <w:sz w:val="24"/>
          <w:szCs w:val="24"/>
          <w:lang w:val="el-GR"/>
        </w:rPr>
        <w:t>το</w:t>
      </w:r>
      <w:r w:rsidR="0092232D" w:rsidRPr="0092232D">
        <w:rPr>
          <w:rFonts w:cstheme="minorHAnsi"/>
          <w:sz w:val="24"/>
          <w:szCs w:val="24"/>
          <w:lang w:val="el-GR"/>
        </w:rPr>
        <w:t xml:space="preserve"> </w:t>
      </w:r>
      <w:r w:rsidR="0092232D">
        <w:rPr>
          <w:rFonts w:cstheme="minorHAnsi"/>
          <w:sz w:val="24"/>
          <w:szCs w:val="24"/>
          <w:lang w:val="el-GR"/>
        </w:rPr>
        <w:t>τέλος</w:t>
      </w:r>
      <w:r w:rsidR="0092232D" w:rsidRPr="0092232D">
        <w:rPr>
          <w:rFonts w:cstheme="minorHAnsi"/>
          <w:sz w:val="24"/>
          <w:szCs w:val="24"/>
          <w:lang w:val="el-GR"/>
        </w:rPr>
        <w:t xml:space="preserve"> </w:t>
      </w:r>
      <w:r w:rsidR="0092232D">
        <w:rPr>
          <w:rFonts w:cstheme="minorHAnsi"/>
          <w:sz w:val="24"/>
          <w:szCs w:val="24"/>
          <w:lang w:val="el-GR"/>
        </w:rPr>
        <w:t>της</w:t>
      </w:r>
      <w:r w:rsidR="0092232D" w:rsidRPr="0092232D">
        <w:rPr>
          <w:rFonts w:cstheme="minorHAnsi"/>
          <w:sz w:val="24"/>
          <w:szCs w:val="24"/>
          <w:lang w:val="el-GR"/>
        </w:rPr>
        <w:t xml:space="preserve"> </w:t>
      </w:r>
      <w:r w:rsidR="0092232D">
        <w:rPr>
          <w:rFonts w:cstheme="minorHAnsi"/>
          <w:sz w:val="24"/>
          <w:szCs w:val="24"/>
          <w:lang w:val="el-GR"/>
        </w:rPr>
        <w:t>θητείας</w:t>
      </w:r>
      <w:r w:rsidR="0092232D" w:rsidRPr="0092232D">
        <w:rPr>
          <w:rFonts w:cstheme="minorHAnsi"/>
          <w:sz w:val="24"/>
          <w:szCs w:val="24"/>
          <w:lang w:val="el-GR"/>
        </w:rPr>
        <w:t xml:space="preserve"> </w:t>
      </w:r>
      <w:r w:rsidR="0092232D">
        <w:rPr>
          <w:rFonts w:cstheme="minorHAnsi"/>
          <w:sz w:val="24"/>
          <w:szCs w:val="24"/>
          <w:lang w:val="el-GR"/>
        </w:rPr>
        <w:t>τους</w:t>
      </w:r>
      <w:r w:rsidR="00A5147D" w:rsidRPr="0092232D">
        <w:rPr>
          <w:rFonts w:cstheme="minorHAnsi"/>
          <w:sz w:val="24"/>
          <w:szCs w:val="24"/>
          <w:lang w:val="el-GR"/>
        </w:rPr>
        <w:t xml:space="preserve">, </w:t>
      </w:r>
      <w:r w:rsidR="0092232D">
        <w:rPr>
          <w:rFonts w:cstheme="minorHAnsi"/>
          <w:sz w:val="24"/>
          <w:szCs w:val="24"/>
          <w:lang w:val="el-GR"/>
        </w:rPr>
        <w:t>την</w:t>
      </w:r>
      <w:r w:rsidR="0092232D" w:rsidRPr="0092232D">
        <w:rPr>
          <w:rFonts w:cstheme="minorHAnsi"/>
          <w:sz w:val="24"/>
          <w:szCs w:val="24"/>
          <w:lang w:val="el-GR"/>
        </w:rPr>
        <w:t xml:space="preserve"> </w:t>
      </w:r>
      <w:r w:rsidR="0092232D">
        <w:rPr>
          <w:rFonts w:cstheme="minorHAnsi"/>
          <w:sz w:val="24"/>
          <w:szCs w:val="24"/>
          <w:lang w:val="el-GR"/>
        </w:rPr>
        <w:t>παραίτηση</w:t>
      </w:r>
      <w:r w:rsidR="0092232D" w:rsidRPr="0092232D">
        <w:rPr>
          <w:rFonts w:cstheme="minorHAnsi"/>
          <w:sz w:val="24"/>
          <w:szCs w:val="24"/>
          <w:lang w:val="el-GR"/>
        </w:rPr>
        <w:t xml:space="preserve"> </w:t>
      </w:r>
      <w:r w:rsidR="0092232D">
        <w:rPr>
          <w:rFonts w:cstheme="minorHAnsi"/>
          <w:sz w:val="24"/>
          <w:szCs w:val="24"/>
          <w:lang w:val="el-GR"/>
        </w:rPr>
        <w:t>τους</w:t>
      </w:r>
      <w:r w:rsidR="0092232D" w:rsidRPr="0092232D">
        <w:rPr>
          <w:rFonts w:cstheme="minorHAnsi"/>
          <w:sz w:val="24"/>
          <w:szCs w:val="24"/>
          <w:lang w:val="el-GR"/>
        </w:rPr>
        <w:t xml:space="preserve">, </w:t>
      </w:r>
      <w:r w:rsidR="0092232D">
        <w:rPr>
          <w:rFonts w:cstheme="minorHAnsi"/>
          <w:sz w:val="24"/>
          <w:szCs w:val="24"/>
          <w:lang w:val="el-GR"/>
        </w:rPr>
        <w:t>ή</w:t>
      </w:r>
      <w:r w:rsidR="0092232D" w:rsidRPr="0092232D">
        <w:rPr>
          <w:rFonts w:cstheme="minorHAnsi"/>
          <w:sz w:val="24"/>
          <w:szCs w:val="24"/>
          <w:lang w:val="el-GR"/>
        </w:rPr>
        <w:t xml:space="preserve"> </w:t>
      </w:r>
      <w:r w:rsidR="0092232D">
        <w:rPr>
          <w:rFonts w:cstheme="minorHAnsi"/>
          <w:sz w:val="24"/>
          <w:szCs w:val="24"/>
          <w:lang w:val="el-GR"/>
        </w:rPr>
        <w:t>την</w:t>
      </w:r>
      <w:r w:rsidR="0092232D" w:rsidRPr="0092232D">
        <w:rPr>
          <w:rFonts w:cstheme="minorHAnsi"/>
          <w:sz w:val="24"/>
          <w:szCs w:val="24"/>
          <w:lang w:val="el-GR"/>
        </w:rPr>
        <w:t xml:space="preserve"> </w:t>
      </w:r>
      <w:r w:rsidR="0092232D">
        <w:rPr>
          <w:rFonts w:cstheme="minorHAnsi"/>
          <w:sz w:val="24"/>
          <w:szCs w:val="24"/>
          <w:lang w:val="el-GR"/>
        </w:rPr>
        <w:t>παύση</w:t>
      </w:r>
      <w:r w:rsidR="0092232D" w:rsidRPr="0092232D">
        <w:rPr>
          <w:rFonts w:cstheme="minorHAnsi"/>
          <w:sz w:val="24"/>
          <w:szCs w:val="24"/>
          <w:lang w:val="el-GR"/>
        </w:rPr>
        <w:t xml:space="preserve"> </w:t>
      </w:r>
      <w:r w:rsidR="0092232D">
        <w:rPr>
          <w:rFonts w:cstheme="minorHAnsi"/>
          <w:sz w:val="24"/>
          <w:szCs w:val="24"/>
          <w:lang w:val="el-GR"/>
        </w:rPr>
        <w:t>τους</w:t>
      </w:r>
      <w:r w:rsidR="0092232D" w:rsidRPr="0092232D">
        <w:rPr>
          <w:rFonts w:cstheme="minorHAnsi"/>
          <w:sz w:val="24"/>
          <w:szCs w:val="24"/>
          <w:lang w:val="el-GR"/>
        </w:rPr>
        <w:t xml:space="preserve"> </w:t>
      </w:r>
      <w:r w:rsidR="0092232D">
        <w:rPr>
          <w:rFonts w:cstheme="minorHAnsi"/>
          <w:sz w:val="24"/>
          <w:szCs w:val="24"/>
          <w:lang w:val="el-GR"/>
        </w:rPr>
        <w:t>από</w:t>
      </w:r>
      <w:r w:rsidR="0092232D" w:rsidRPr="0092232D">
        <w:rPr>
          <w:rFonts w:cstheme="minorHAnsi"/>
          <w:sz w:val="24"/>
          <w:szCs w:val="24"/>
          <w:lang w:val="el-GR"/>
        </w:rPr>
        <w:t xml:space="preserve"> </w:t>
      </w:r>
      <w:r w:rsidR="0092232D">
        <w:rPr>
          <w:rFonts w:cstheme="minorHAnsi"/>
          <w:sz w:val="24"/>
          <w:szCs w:val="24"/>
          <w:lang w:val="el-GR"/>
        </w:rPr>
        <w:t>το</w:t>
      </w:r>
      <w:r w:rsidR="0092232D" w:rsidRPr="0092232D">
        <w:rPr>
          <w:rFonts w:cstheme="minorHAnsi"/>
          <w:sz w:val="24"/>
          <w:szCs w:val="24"/>
          <w:lang w:val="el-GR"/>
        </w:rPr>
        <w:t xml:space="preserve"> </w:t>
      </w:r>
      <w:r w:rsidR="0092232D">
        <w:rPr>
          <w:rFonts w:cstheme="minorHAnsi"/>
          <w:sz w:val="24"/>
          <w:szCs w:val="24"/>
          <w:lang w:val="el-GR"/>
        </w:rPr>
        <w:t>αξίωμα</w:t>
      </w:r>
      <w:r w:rsidR="00A5147D" w:rsidRPr="0092232D">
        <w:rPr>
          <w:rFonts w:cstheme="minorHAnsi"/>
          <w:sz w:val="24"/>
          <w:szCs w:val="24"/>
          <w:lang w:val="el-GR"/>
        </w:rPr>
        <w:t xml:space="preserve"> – </w:t>
      </w:r>
      <w:r w:rsidR="0092232D">
        <w:rPr>
          <w:rFonts w:cstheme="minorHAnsi"/>
          <w:sz w:val="24"/>
          <w:szCs w:val="24"/>
          <w:lang w:val="el-GR"/>
        </w:rPr>
        <w:t>εκτός</w:t>
      </w:r>
      <w:r w:rsidR="0092232D" w:rsidRPr="0092232D">
        <w:rPr>
          <w:rFonts w:cstheme="minorHAnsi"/>
          <w:sz w:val="24"/>
          <w:szCs w:val="24"/>
          <w:lang w:val="el-GR"/>
        </w:rPr>
        <w:t xml:space="preserve"> </w:t>
      </w:r>
      <w:r w:rsidR="0092232D">
        <w:rPr>
          <w:rFonts w:cstheme="minorHAnsi"/>
          <w:sz w:val="24"/>
          <w:szCs w:val="24"/>
          <w:lang w:val="el-GR"/>
        </w:rPr>
        <w:t>από</w:t>
      </w:r>
      <w:r w:rsidR="0092232D" w:rsidRPr="0092232D">
        <w:rPr>
          <w:rFonts w:cstheme="minorHAnsi"/>
          <w:sz w:val="24"/>
          <w:szCs w:val="24"/>
          <w:lang w:val="el-GR"/>
        </w:rPr>
        <w:t xml:space="preserve"> </w:t>
      </w:r>
      <w:r w:rsidR="0092232D">
        <w:rPr>
          <w:rFonts w:cstheme="minorHAnsi"/>
          <w:sz w:val="24"/>
          <w:szCs w:val="24"/>
          <w:lang w:val="el-GR"/>
        </w:rPr>
        <w:t>τον</w:t>
      </w:r>
      <w:r w:rsidR="0092232D" w:rsidRPr="0092232D">
        <w:rPr>
          <w:rFonts w:cstheme="minorHAnsi"/>
          <w:sz w:val="24"/>
          <w:szCs w:val="24"/>
          <w:lang w:val="el-GR"/>
        </w:rPr>
        <w:t xml:space="preserve"> </w:t>
      </w:r>
      <w:r w:rsidR="0092232D">
        <w:rPr>
          <w:rFonts w:cstheme="minorHAnsi"/>
          <w:sz w:val="24"/>
          <w:szCs w:val="24"/>
          <w:lang w:val="el-GR"/>
        </w:rPr>
        <w:t>Πρόεδρο</w:t>
      </w:r>
      <w:r w:rsidR="0092232D" w:rsidRPr="0092232D">
        <w:rPr>
          <w:rFonts w:cstheme="minorHAnsi"/>
          <w:sz w:val="24"/>
          <w:szCs w:val="24"/>
          <w:lang w:val="el-GR"/>
        </w:rPr>
        <w:t xml:space="preserve"> </w:t>
      </w:r>
      <w:r w:rsidR="0092232D">
        <w:rPr>
          <w:rFonts w:cstheme="minorHAnsi"/>
          <w:sz w:val="24"/>
          <w:szCs w:val="24"/>
          <w:lang w:val="el-GR"/>
        </w:rPr>
        <w:t>της</w:t>
      </w:r>
      <w:r w:rsidR="0092232D" w:rsidRPr="0092232D">
        <w:rPr>
          <w:rFonts w:cstheme="minorHAnsi"/>
          <w:sz w:val="24"/>
          <w:szCs w:val="24"/>
          <w:lang w:val="el-GR"/>
        </w:rPr>
        <w:t xml:space="preserve"> </w:t>
      </w:r>
      <w:r w:rsidR="0092232D">
        <w:rPr>
          <w:rFonts w:cstheme="minorHAnsi"/>
          <w:sz w:val="24"/>
          <w:szCs w:val="24"/>
          <w:lang w:val="el-GR"/>
        </w:rPr>
        <w:t>Δημοκρατίας</w:t>
      </w:r>
      <w:r w:rsidR="00A5147D" w:rsidRPr="0092232D">
        <w:rPr>
          <w:rFonts w:cstheme="minorHAnsi"/>
          <w:sz w:val="24"/>
          <w:szCs w:val="24"/>
          <w:lang w:val="el-GR"/>
        </w:rPr>
        <w:t xml:space="preserve">, </w:t>
      </w:r>
      <w:r w:rsidR="0092232D">
        <w:rPr>
          <w:rFonts w:cstheme="minorHAnsi"/>
          <w:sz w:val="24"/>
          <w:szCs w:val="24"/>
          <w:lang w:val="el-GR"/>
        </w:rPr>
        <w:t xml:space="preserve">που διατηρεί </w:t>
      </w:r>
      <w:r>
        <w:rPr>
          <w:rFonts w:cstheme="minorHAnsi"/>
          <w:sz w:val="24"/>
          <w:szCs w:val="24"/>
          <w:lang w:val="el-GR"/>
        </w:rPr>
        <w:t xml:space="preserve">το δικαίωμα </w:t>
      </w:r>
      <w:r w:rsidR="0092232D">
        <w:rPr>
          <w:rFonts w:cstheme="minorHAnsi"/>
          <w:sz w:val="24"/>
          <w:szCs w:val="24"/>
          <w:lang w:val="el-GR"/>
        </w:rPr>
        <w:t>χρήση</w:t>
      </w:r>
      <w:r>
        <w:rPr>
          <w:rFonts w:cstheme="minorHAnsi"/>
          <w:sz w:val="24"/>
          <w:szCs w:val="24"/>
          <w:lang w:val="el-GR"/>
        </w:rPr>
        <w:t>ς</w:t>
      </w:r>
      <w:r w:rsidR="0092232D">
        <w:rPr>
          <w:rFonts w:cstheme="minorHAnsi"/>
          <w:sz w:val="24"/>
          <w:szCs w:val="24"/>
          <w:lang w:val="el-GR"/>
        </w:rPr>
        <w:t xml:space="preserve"> </w:t>
      </w:r>
      <w:r w:rsidR="00973266">
        <w:rPr>
          <w:rFonts w:cstheme="minorHAnsi"/>
          <w:sz w:val="24"/>
          <w:szCs w:val="24"/>
          <w:lang w:val="el-GR"/>
        </w:rPr>
        <w:t>ενός</w:t>
      </w:r>
      <w:r w:rsidR="0092232D">
        <w:rPr>
          <w:rFonts w:cstheme="minorHAnsi"/>
          <w:sz w:val="24"/>
          <w:szCs w:val="24"/>
          <w:lang w:val="el-GR"/>
        </w:rPr>
        <w:t xml:space="preserve"> οχήματος</w:t>
      </w:r>
      <w:r w:rsidR="00A5147D" w:rsidRPr="0092232D">
        <w:rPr>
          <w:rFonts w:cstheme="minorHAnsi"/>
          <w:sz w:val="24"/>
          <w:szCs w:val="24"/>
          <w:lang w:val="el-GR"/>
        </w:rPr>
        <w:t xml:space="preserve"> </w:t>
      </w:r>
      <w:r w:rsidR="0092232D">
        <w:rPr>
          <w:rFonts w:cstheme="minorHAnsi"/>
          <w:sz w:val="24"/>
          <w:szCs w:val="24"/>
          <w:lang w:val="el-GR"/>
        </w:rPr>
        <w:t>και αυτός/η επιτρέπεται να έχει μια ιδιωτική γραμματέα</w:t>
      </w:r>
      <w:r w:rsidR="00A5147D" w:rsidRPr="0092232D">
        <w:rPr>
          <w:rFonts w:cstheme="minorHAnsi"/>
          <w:sz w:val="24"/>
          <w:szCs w:val="24"/>
          <w:lang w:val="el-GR"/>
        </w:rPr>
        <w:t xml:space="preserve">, </w:t>
      </w:r>
      <w:r w:rsidR="0092232D">
        <w:rPr>
          <w:rFonts w:cstheme="minorHAnsi"/>
          <w:sz w:val="24"/>
          <w:szCs w:val="24"/>
          <w:lang w:val="el-GR"/>
        </w:rPr>
        <w:t>νοουμένου ότι η θητεία του/ης</w:t>
      </w:r>
      <w:r w:rsidR="00A5147D" w:rsidRPr="0092232D">
        <w:rPr>
          <w:rFonts w:cstheme="minorHAnsi"/>
          <w:sz w:val="24"/>
          <w:szCs w:val="24"/>
          <w:lang w:val="el-GR"/>
        </w:rPr>
        <w:t xml:space="preserve"> </w:t>
      </w:r>
      <w:r w:rsidR="0092232D">
        <w:rPr>
          <w:rFonts w:cstheme="minorHAnsi"/>
          <w:sz w:val="24"/>
          <w:szCs w:val="24"/>
          <w:lang w:val="el-GR"/>
        </w:rPr>
        <w:t xml:space="preserve">διήρκησε πάνω από </w:t>
      </w:r>
      <w:r w:rsidR="00A5147D" w:rsidRPr="0092232D">
        <w:rPr>
          <w:rFonts w:cstheme="minorHAnsi"/>
          <w:sz w:val="24"/>
          <w:szCs w:val="24"/>
          <w:lang w:val="el-GR"/>
        </w:rPr>
        <w:t xml:space="preserve">30 </w:t>
      </w:r>
      <w:r w:rsidR="0092232D">
        <w:rPr>
          <w:rFonts w:cstheme="minorHAnsi"/>
          <w:sz w:val="24"/>
          <w:szCs w:val="24"/>
          <w:lang w:val="el-GR"/>
        </w:rPr>
        <w:t>συνεχόμενους μήνες</w:t>
      </w:r>
      <w:r w:rsidR="00A5147D" w:rsidRPr="0092232D">
        <w:rPr>
          <w:rFonts w:cstheme="minorHAnsi"/>
          <w:sz w:val="24"/>
          <w:szCs w:val="24"/>
          <w:lang w:val="el-GR"/>
        </w:rPr>
        <w:t xml:space="preserve">. </w:t>
      </w:r>
      <w:r w:rsidR="0092232D">
        <w:rPr>
          <w:rFonts w:cstheme="minorHAnsi"/>
          <w:sz w:val="24"/>
          <w:szCs w:val="24"/>
          <w:lang w:val="el-GR"/>
        </w:rPr>
        <w:t>Επιπρόσθετα</w:t>
      </w:r>
      <w:r w:rsidR="00A5147D" w:rsidRPr="0092232D">
        <w:rPr>
          <w:rFonts w:cstheme="minorHAnsi"/>
          <w:sz w:val="24"/>
          <w:szCs w:val="24"/>
          <w:lang w:val="el-GR"/>
        </w:rPr>
        <w:t xml:space="preserve">, </w:t>
      </w:r>
      <w:r w:rsidR="0092232D">
        <w:rPr>
          <w:rFonts w:cstheme="minorHAnsi"/>
          <w:sz w:val="24"/>
          <w:szCs w:val="24"/>
          <w:lang w:val="el-GR"/>
        </w:rPr>
        <w:t>ο/η</w:t>
      </w:r>
      <w:r w:rsidR="0092232D" w:rsidRPr="0092232D">
        <w:rPr>
          <w:rFonts w:cstheme="minorHAnsi"/>
          <w:sz w:val="24"/>
          <w:szCs w:val="24"/>
          <w:lang w:val="el-GR"/>
        </w:rPr>
        <w:t xml:space="preserve"> </w:t>
      </w:r>
      <w:r w:rsidR="0092232D">
        <w:rPr>
          <w:rFonts w:cstheme="minorHAnsi"/>
          <w:sz w:val="24"/>
          <w:szCs w:val="24"/>
          <w:lang w:val="el-GR"/>
        </w:rPr>
        <w:t>Πρόεδρος</w:t>
      </w:r>
      <w:r w:rsidR="00A5147D" w:rsidRPr="0092232D">
        <w:rPr>
          <w:rFonts w:cstheme="minorHAnsi"/>
          <w:sz w:val="24"/>
          <w:szCs w:val="24"/>
          <w:lang w:val="el-GR"/>
        </w:rPr>
        <w:t xml:space="preserve"> </w:t>
      </w:r>
      <w:r w:rsidR="0092232D">
        <w:rPr>
          <w:rFonts w:cstheme="minorHAnsi"/>
          <w:sz w:val="24"/>
          <w:szCs w:val="24"/>
          <w:lang w:val="el-GR"/>
        </w:rPr>
        <w:t>δικαιούται</w:t>
      </w:r>
      <w:r w:rsidR="0092232D" w:rsidRPr="0092232D">
        <w:rPr>
          <w:rFonts w:cstheme="minorHAnsi"/>
          <w:sz w:val="24"/>
          <w:szCs w:val="24"/>
          <w:lang w:val="el-GR"/>
        </w:rPr>
        <w:t xml:space="preserve"> </w:t>
      </w:r>
      <w:r w:rsidR="0092232D">
        <w:rPr>
          <w:rFonts w:cstheme="minorHAnsi"/>
          <w:sz w:val="24"/>
          <w:szCs w:val="24"/>
          <w:lang w:val="el-GR"/>
        </w:rPr>
        <w:t>να</w:t>
      </w:r>
      <w:r w:rsidR="0092232D" w:rsidRPr="0092232D">
        <w:rPr>
          <w:rFonts w:cstheme="minorHAnsi"/>
          <w:sz w:val="24"/>
          <w:szCs w:val="24"/>
          <w:lang w:val="el-GR"/>
        </w:rPr>
        <w:t xml:space="preserve"> </w:t>
      </w:r>
      <w:r w:rsidR="0092232D">
        <w:rPr>
          <w:rFonts w:cstheme="minorHAnsi"/>
          <w:sz w:val="24"/>
          <w:szCs w:val="24"/>
          <w:lang w:val="el-GR"/>
        </w:rPr>
        <w:t>έχει</w:t>
      </w:r>
      <w:r w:rsidR="00A5147D" w:rsidRPr="0092232D">
        <w:rPr>
          <w:rFonts w:cstheme="minorHAnsi"/>
          <w:sz w:val="24"/>
          <w:szCs w:val="24"/>
          <w:lang w:val="el-GR"/>
        </w:rPr>
        <w:t xml:space="preserve"> </w:t>
      </w:r>
      <w:r w:rsidR="00EB12C2">
        <w:rPr>
          <w:rFonts w:cstheme="minorHAnsi"/>
          <w:sz w:val="24"/>
          <w:szCs w:val="24"/>
          <w:lang w:val="el-GR"/>
        </w:rPr>
        <w:t xml:space="preserve">συνοδεία </w:t>
      </w:r>
      <w:r w:rsidR="0092232D">
        <w:rPr>
          <w:rFonts w:cstheme="minorHAnsi"/>
          <w:sz w:val="24"/>
          <w:szCs w:val="24"/>
          <w:lang w:val="el-GR"/>
        </w:rPr>
        <w:t>ασφάλεια</w:t>
      </w:r>
      <w:r w:rsidR="00EB12C2">
        <w:rPr>
          <w:rFonts w:cstheme="minorHAnsi"/>
          <w:sz w:val="24"/>
          <w:szCs w:val="24"/>
          <w:lang w:val="el-GR"/>
        </w:rPr>
        <w:t>ς</w:t>
      </w:r>
      <w:r w:rsidR="00A5147D" w:rsidRPr="0092232D">
        <w:rPr>
          <w:rFonts w:cstheme="minorHAnsi"/>
          <w:sz w:val="24"/>
          <w:szCs w:val="24"/>
          <w:lang w:val="el-GR"/>
        </w:rPr>
        <w:t xml:space="preserve"> </w:t>
      </w:r>
      <w:r w:rsidR="0092232D">
        <w:rPr>
          <w:rFonts w:cstheme="minorHAnsi"/>
          <w:sz w:val="24"/>
          <w:szCs w:val="24"/>
          <w:lang w:val="el-GR"/>
        </w:rPr>
        <w:t>μετά το τέλος της θητείας του/ης</w:t>
      </w:r>
      <w:r w:rsidR="00A5147D" w:rsidRPr="0092232D">
        <w:rPr>
          <w:rFonts w:cstheme="minorHAnsi"/>
          <w:sz w:val="24"/>
          <w:szCs w:val="24"/>
          <w:lang w:val="el-GR"/>
        </w:rPr>
        <w:t xml:space="preserve"> (</w:t>
      </w:r>
      <w:r w:rsidR="0092232D">
        <w:rPr>
          <w:rFonts w:cstheme="minorHAnsi"/>
          <w:sz w:val="24"/>
          <w:szCs w:val="24"/>
          <w:lang w:val="el-GR"/>
        </w:rPr>
        <w:t>Άρθρο</w:t>
      </w:r>
      <w:r w:rsidR="00A5147D" w:rsidRPr="0092232D">
        <w:rPr>
          <w:rFonts w:cstheme="minorHAnsi"/>
          <w:sz w:val="24"/>
          <w:szCs w:val="24"/>
          <w:lang w:val="el-GR"/>
        </w:rPr>
        <w:t xml:space="preserve"> 5, </w:t>
      </w:r>
      <w:r w:rsidR="0092232D">
        <w:rPr>
          <w:rFonts w:cstheme="minorHAnsi"/>
          <w:sz w:val="24"/>
          <w:szCs w:val="24"/>
          <w:lang w:val="el-GR"/>
        </w:rPr>
        <w:t>Νόμος</w:t>
      </w:r>
      <w:r w:rsidR="00A5147D" w:rsidRPr="0092232D">
        <w:rPr>
          <w:rFonts w:cstheme="minorHAnsi"/>
          <w:sz w:val="24"/>
          <w:szCs w:val="24"/>
          <w:lang w:val="el-GR"/>
        </w:rPr>
        <w:t xml:space="preserve"> 3(</w:t>
      </w:r>
      <w:r w:rsidR="00A5147D" w:rsidRPr="004E251E">
        <w:rPr>
          <w:rFonts w:cstheme="minorHAnsi"/>
          <w:sz w:val="24"/>
          <w:szCs w:val="24"/>
        </w:rPr>
        <w:t>I</w:t>
      </w:r>
      <w:r w:rsidR="00A5147D" w:rsidRPr="0092232D">
        <w:rPr>
          <w:rFonts w:cstheme="minorHAnsi"/>
          <w:sz w:val="24"/>
          <w:szCs w:val="24"/>
          <w:lang w:val="el-GR"/>
        </w:rPr>
        <w:t>)/2014).</w:t>
      </w:r>
      <w:r w:rsidR="00A61452" w:rsidRPr="0092232D">
        <w:rPr>
          <w:rFonts w:cstheme="minorHAnsi"/>
          <w:sz w:val="24"/>
          <w:szCs w:val="24"/>
          <w:lang w:val="el-GR"/>
        </w:rPr>
        <w:t xml:space="preserve"> </w:t>
      </w:r>
      <w:bookmarkStart w:id="51" w:name="_Hlk134003183"/>
      <w:r w:rsidR="0092232D">
        <w:rPr>
          <w:rFonts w:cstheme="minorHAnsi"/>
          <w:sz w:val="24"/>
          <w:szCs w:val="24"/>
          <w:lang w:val="el-GR"/>
        </w:rPr>
        <w:t>Ο</w:t>
      </w:r>
      <w:r w:rsidR="0092232D" w:rsidRPr="00AF0C8C">
        <w:rPr>
          <w:rFonts w:cstheme="minorHAnsi"/>
          <w:sz w:val="24"/>
          <w:szCs w:val="24"/>
          <w:lang w:val="el-GR"/>
        </w:rPr>
        <w:t xml:space="preserve"> </w:t>
      </w:r>
      <w:r w:rsidR="0092232D">
        <w:rPr>
          <w:rFonts w:cstheme="minorHAnsi"/>
          <w:sz w:val="24"/>
          <w:szCs w:val="24"/>
          <w:lang w:val="el-GR"/>
        </w:rPr>
        <w:t>Νόμος</w:t>
      </w:r>
      <w:r w:rsidR="00A61452">
        <w:rPr>
          <w:rFonts w:cstheme="minorHAnsi"/>
          <w:sz w:val="24"/>
          <w:szCs w:val="24"/>
        </w:rPr>
        <w:t> </w:t>
      </w:r>
      <w:r w:rsidR="00A61452" w:rsidRPr="00AF0C8C">
        <w:rPr>
          <w:rFonts w:cstheme="minorHAnsi"/>
          <w:sz w:val="24"/>
          <w:szCs w:val="24"/>
          <w:lang w:val="el-GR"/>
        </w:rPr>
        <w:t>3(</w:t>
      </w:r>
      <w:r w:rsidR="00A61452">
        <w:rPr>
          <w:rFonts w:cstheme="minorHAnsi"/>
          <w:sz w:val="24"/>
          <w:szCs w:val="24"/>
        </w:rPr>
        <w:t>I</w:t>
      </w:r>
      <w:r w:rsidR="00A61452" w:rsidRPr="00AF0C8C">
        <w:rPr>
          <w:rFonts w:cstheme="minorHAnsi"/>
          <w:sz w:val="24"/>
          <w:szCs w:val="24"/>
          <w:lang w:val="el-GR"/>
        </w:rPr>
        <w:t xml:space="preserve">)/2014 </w:t>
      </w:r>
      <w:r w:rsidR="00AF0C8C">
        <w:rPr>
          <w:rFonts w:cstheme="minorHAnsi"/>
          <w:sz w:val="24"/>
          <w:szCs w:val="24"/>
          <w:lang w:val="el-GR"/>
        </w:rPr>
        <w:t>δεν</w:t>
      </w:r>
      <w:r w:rsidR="00AF0C8C" w:rsidRPr="00AF0C8C">
        <w:rPr>
          <w:rFonts w:cstheme="minorHAnsi"/>
          <w:sz w:val="24"/>
          <w:szCs w:val="24"/>
          <w:lang w:val="el-GR"/>
        </w:rPr>
        <w:t xml:space="preserve"> </w:t>
      </w:r>
      <w:r w:rsidR="00AF0C8C">
        <w:rPr>
          <w:rFonts w:cstheme="minorHAnsi"/>
          <w:sz w:val="24"/>
          <w:szCs w:val="24"/>
          <w:lang w:val="el-GR"/>
        </w:rPr>
        <w:t>προβλέπει</w:t>
      </w:r>
      <w:r w:rsidR="00AF0C8C" w:rsidRPr="00AF0C8C">
        <w:rPr>
          <w:rFonts w:cstheme="minorHAnsi"/>
          <w:sz w:val="24"/>
          <w:szCs w:val="24"/>
          <w:lang w:val="el-GR"/>
        </w:rPr>
        <w:t xml:space="preserve"> </w:t>
      </w:r>
      <w:r w:rsidR="00AF0C8C">
        <w:rPr>
          <w:rFonts w:cstheme="minorHAnsi"/>
          <w:sz w:val="24"/>
          <w:szCs w:val="24"/>
          <w:lang w:val="el-GR"/>
        </w:rPr>
        <w:t>οποι</w:t>
      </w:r>
      <w:r>
        <w:rPr>
          <w:rFonts w:cstheme="minorHAnsi"/>
          <w:sz w:val="24"/>
          <w:szCs w:val="24"/>
          <w:lang w:val="el-GR"/>
        </w:rPr>
        <w:t>ο</w:t>
      </w:r>
      <w:r w:rsidR="00AF0C8C">
        <w:rPr>
          <w:rFonts w:cstheme="minorHAnsi"/>
          <w:sz w:val="24"/>
          <w:szCs w:val="24"/>
          <w:lang w:val="el-GR"/>
        </w:rPr>
        <w:t>δήποτε</w:t>
      </w:r>
      <w:r w:rsidR="00AF0C8C" w:rsidRPr="00AF0C8C">
        <w:rPr>
          <w:rFonts w:cstheme="minorHAnsi"/>
          <w:sz w:val="24"/>
          <w:szCs w:val="24"/>
          <w:lang w:val="el-GR"/>
        </w:rPr>
        <w:t xml:space="preserve"> </w:t>
      </w:r>
      <w:r w:rsidR="00AF0C8C">
        <w:rPr>
          <w:rFonts w:cstheme="minorHAnsi"/>
          <w:sz w:val="24"/>
          <w:szCs w:val="24"/>
          <w:lang w:val="el-GR"/>
        </w:rPr>
        <w:t>χρονικ</w:t>
      </w:r>
      <w:r>
        <w:rPr>
          <w:rFonts w:cstheme="minorHAnsi"/>
          <w:sz w:val="24"/>
          <w:szCs w:val="24"/>
          <w:lang w:val="el-GR"/>
        </w:rPr>
        <w:t xml:space="preserve">ό περιορισμό αναφορικά με </w:t>
      </w:r>
      <w:r w:rsidR="00AF0C8C">
        <w:rPr>
          <w:rFonts w:cstheme="minorHAnsi"/>
          <w:sz w:val="24"/>
          <w:szCs w:val="24"/>
          <w:lang w:val="el-GR"/>
        </w:rPr>
        <w:t>το προνόμιο του οχήματος και της ιδιωτικής γραμματέ</w:t>
      </w:r>
      <w:r>
        <w:rPr>
          <w:rFonts w:cstheme="minorHAnsi"/>
          <w:sz w:val="24"/>
          <w:szCs w:val="24"/>
          <w:lang w:val="el-GR"/>
        </w:rPr>
        <w:t>ως</w:t>
      </w:r>
      <w:r w:rsidR="00A61452" w:rsidRPr="00AF0C8C">
        <w:rPr>
          <w:rFonts w:cstheme="minorHAnsi"/>
          <w:sz w:val="24"/>
          <w:szCs w:val="24"/>
          <w:lang w:val="el-GR"/>
        </w:rPr>
        <w:t xml:space="preserve">. </w:t>
      </w:r>
      <w:r w:rsidR="00AF0C8C">
        <w:rPr>
          <w:rFonts w:cstheme="minorHAnsi"/>
          <w:sz w:val="24"/>
          <w:szCs w:val="24"/>
          <w:lang w:val="el-GR"/>
        </w:rPr>
        <w:t>Η</w:t>
      </w:r>
      <w:r w:rsidR="00AF0C8C" w:rsidRPr="00AF0C8C">
        <w:rPr>
          <w:rFonts w:cstheme="minorHAnsi"/>
          <w:sz w:val="24"/>
          <w:szCs w:val="24"/>
          <w:lang w:val="el-GR"/>
        </w:rPr>
        <w:t xml:space="preserve"> </w:t>
      </w:r>
      <w:r w:rsidR="00AF0C8C">
        <w:rPr>
          <w:rFonts w:cstheme="minorHAnsi"/>
          <w:sz w:val="24"/>
          <w:szCs w:val="24"/>
          <w:lang w:val="el-GR"/>
        </w:rPr>
        <w:t>χρονική</w:t>
      </w:r>
      <w:r w:rsidR="00AF0C8C" w:rsidRPr="00AF0C8C">
        <w:rPr>
          <w:rFonts w:cstheme="minorHAnsi"/>
          <w:sz w:val="24"/>
          <w:szCs w:val="24"/>
          <w:lang w:val="el-GR"/>
        </w:rPr>
        <w:t xml:space="preserve"> </w:t>
      </w:r>
      <w:r w:rsidR="00AF0C8C">
        <w:rPr>
          <w:rFonts w:cstheme="minorHAnsi"/>
          <w:sz w:val="24"/>
          <w:szCs w:val="24"/>
          <w:lang w:val="el-GR"/>
        </w:rPr>
        <w:t>προθεσμία</w:t>
      </w:r>
      <w:r w:rsidR="00AF0C8C" w:rsidRPr="00AF0C8C">
        <w:rPr>
          <w:rFonts w:cstheme="minorHAnsi"/>
          <w:sz w:val="24"/>
          <w:szCs w:val="24"/>
          <w:lang w:val="el-GR"/>
        </w:rPr>
        <w:t xml:space="preserve"> </w:t>
      </w:r>
      <w:r w:rsidR="00AF0C8C">
        <w:rPr>
          <w:rFonts w:cstheme="minorHAnsi"/>
          <w:sz w:val="24"/>
          <w:szCs w:val="24"/>
          <w:lang w:val="el-GR"/>
        </w:rPr>
        <w:t>που</w:t>
      </w:r>
      <w:r w:rsidR="00AF0C8C" w:rsidRPr="00AF0C8C">
        <w:rPr>
          <w:rFonts w:cstheme="minorHAnsi"/>
          <w:sz w:val="24"/>
          <w:szCs w:val="24"/>
          <w:lang w:val="el-GR"/>
        </w:rPr>
        <w:t xml:space="preserve"> </w:t>
      </w:r>
      <w:r w:rsidR="00AF0C8C">
        <w:rPr>
          <w:rFonts w:cstheme="minorHAnsi"/>
          <w:sz w:val="24"/>
          <w:szCs w:val="24"/>
          <w:lang w:val="el-GR"/>
        </w:rPr>
        <w:t>αφορά</w:t>
      </w:r>
      <w:r w:rsidR="00AF0C8C" w:rsidRPr="00AF0C8C">
        <w:rPr>
          <w:rFonts w:cstheme="minorHAnsi"/>
          <w:sz w:val="24"/>
          <w:szCs w:val="24"/>
          <w:lang w:val="el-GR"/>
        </w:rPr>
        <w:t xml:space="preserve"> </w:t>
      </w:r>
      <w:r w:rsidR="00AF0C8C">
        <w:rPr>
          <w:rFonts w:cstheme="minorHAnsi"/>
          <w:sz w:val="24"/>
          <w:szCs w:val="24"/>
          <w:lang w:val="el-GR"/>
        </w:rPr>
        <w:t>την</w:t>
      </w:r>
      <w:r w:rsidR="00AF0C8C" w:rsidRPr="00AF0C8C">
        <w:rPr>
          <w:rFonts w:cstheme="minorHAnsi"/>
          <w:sz w:val="24"/>
          <w:szCs w:val="24"/>
          <w:lang w:val="el-GR"/>
        </w:rPr>
        <w:t xml:space="preserve"> </w:t>
      </w:r>
      <w:r w:rsidR="00AF0C8C">
        <w:rPr>
          <w:rFonts w:cstheme="minorHAnsi"/>
          <w:sz w:val="24"/>
          <w:szCs w:val="24"/>
          <w:lang w:val="el-GR"/>
        </w:rPr>
        <w:t>παροχή</w:t>
      </w:r>
      <w:r w:rsidR="00AF0C8C" w:rsidRPr="00AF0C8C">
        <w:rPr>
          <w:rFonts w:cstheme="minorHAnsi"/>
          <w:sz w:val="24"/>
          <w:szCs w:val="24"/>
          <w:lang w:val="el-GR"/>
        </w:rPr>
        <w:t xml:space="preserve"> </w:t>
      </w:r>
      <w:r w:rsidR="00AF0C8C">
        <w:rPr>
          <w:rFonts w:cstheme="minorHAnsi"/>
          <w:sz w:val="24"/>
          <w:szCs w:val="24"/>
          <w:lang w:val="el-GR"/>
        </w:rPr>
        <w:t>υπηρεσιών</w:t>
      </w:r>
      <w:r w:rsidR="00AF0C8C" w:rsidRPr="00AF0C8C">
        <w:rPr>
          <w:rFonts w:cstheme="minorHAnsi"/>
          <w:sz w:val="24"/>
          <w:szCs w:val="24"/>
          <w:lang w:val="el-GR"/>
        </w:rPr>
        <w:t xml:space="preserve"> </w:t>
      </w:r>
      <w:r>
        <w:rPr>
          <w:rFonts w:cstheme="minorHAnsi"/>
          <w:sz w:val="24"/>
          <w:szCs w:val="24"/>
          <w:lang w:val="el-GR"/>
        </w:rPr>
        <w:t xml:space="preserve">προστασίας </w:t>
      </w:r>
      <w:r w:rsidR="00AF0C8C">
        <w:rPr>
          <w:rFonts w:cstheme="minorHAnsi"/>
          <w:sz w:val="24"/>
          <w:szCs w:val="24"/>
          <w:lang w:val="el-GR"/>
        </w:rPr>
        <w:t>καθορίζεται με μια προσέγγιση</w:t>
      </w:r>
      <w:r w:rsidR="00EB12C2">
        <w:rPr>
          <w:rFonts w:cstheme="minorHAnsi"/>
          <w:sz w:val="24"/>
          <w:szCs w:val="24"/>
          <w:lang w:val="el-GR"/>
        </w:rPr>
        <w:t xml:space="preserve"> αναλόγως του ρίσκου</w:t>
      </w:r>
      <w:r w:rsidR="00A61452" w:rsidRPr="00AF0C8C">
        <w:rPr>
          <w:rFonts w:cstheme="minorHAnsi"/>
          <w:sz w:val="24"/>
          <w:szCs w:val="24"/>
          <w:lang w:val="el-GR"/>
        </w:rPr>
        <w:t xml:space="preserve">. </w:t>
      </w:r>
      <w:bookmarkEnd w:id="51"/>
    </w:p>
    <w:p w14:paraId="3300B60C" w14:textId="77777777" w:rsidR="00A5147D" w:rsidRPr="00AF0C8C" w:rsidRDefault="00A5147D" w:rsidP="00A5147D">
      <w:pPr>
        <w:tabs>
          <w:tab w:val="left" w:pos="709"/>
        </w:tabs>
        <w:rPr>
          <w:rFonts w:cstheme="minorHAnsi"/>
          <w:sz w:val="24"/>
          <w:szCs w:val="24"/>
          <w:lang w:val="el-GR"/>
        </w:rPr>
      </w:pPr>
    </w:p>
    <w:p w14:paraId="3D54CB04" w14:textId="642DD570" w:rsidR="00A5147D" w:rsidRPr="00AF0C8C" w:rsidRDefault="00AF0C8C" w:rsidP="00A5147D">
      <w:pPr>
        <w:pStyle w:val="Heading3"/>
        <w:spacing w:before="0"/>
        <w:rPr>
          <w:rFonts w:asciiTheme="minorHAnsi" w:hAnsiTheme="minorHAnsi" w:cstheme="minorHAnsi"/>
          <w:b w:val="0"/>
          <w:bCs w:val="0"/>
          <w:i/>
          <w:iCs/>
          <w:color w:val="auto"/>
          <w:sz w:val="24"/>
          <w:szCs w:val="24"/>
          <w:lang w:val="el-GR"/>
        </w:rPr>
      </w:pPr>
      <w:bookmarkStart w:id="52" w:name="_Toc117264345"/>
      <w:bookmarkStart w:id="53" w:name="_Toc136879343"/>
      <w:r>
        <w:rPr>
          <w:rFonts w:asciiTheme="minorHAnsi" w:hAnsiTheme="minorHAnsi" w:cstheme="minorHAnsi"/>
          <w:b w:val="0"/>
          <w:bCs w:val="0"/>
          <w:i/>
          <w:iCs/>
          <w:color w:val="auto"/>
          <w:sz w:val="24"/>
          <w:szCs w:val="24"/>
          <w:lang w:val="el-GR"/>
        </w:rPr>
        <w:t>Πολιτικής</w:t>
      </w:r>
      <w:r w:rsidRPr="00AF0C8C">
        <w:rPr>
          <w:rFonts w:asciiTheme="minorHAnsi" w:hAnsiTheme="minorHAnsi" w:cstheme="minorHAnsi"/>
          <w:b w:val="0"/>
          <w:bCs w:val="0"/>
          <w:i/>
          <w:iCs/>
          <w:color w:val="auto"/>
          <w:sz w:val="24"/>
          <w:szCs w:val="24"/>
          <w:lang w:val="el-GR"/>
        </w:rPr>
        <w:t xml:space="preserve"> </w:t>
      </w:r>
      <w:r>
        <w:rPr>
          <w:rFonts w:asciiTheme="minorHAnsi" w:hAnsiTheme="minorHAnsi" w:cstheme="minorHAnsi"/>
          <w:b w:val="0"/>
          <w:bCs w:val="0"/>
          <w:i/>
          <w:iCs/>
          <w:color w:val="auto"/>
          <w:sz w:val="24"/>
          <w:szCs w:val="24"/>
          <w:lang w:val="el-GR"/>
        </w:rPr>
        <w:t>ακεραιότητας</w:t>
      </w:r>
      <w:r w:rsidRPr="00AF0C8C">
        <w:rPr>
          <w:rFonts w:asciiTheme="minorHAnsi" w:hAnsiTheme="minorHAnsi" w:cstheme="minorHAnsi"/>
          <w:b w:val="0"/>
          <w:bCs w:val="0"/>
          <w:i/>
          <w:iCs/>
          <w:color w:val="auto"/>
          <w:sz w:val="24"/>
          <w:szCs w:val="24"/>
          <w:lang w:val="el-GR"/>
        </w:rPr>
        <w:t xml:space="preserve"> </w:t>
      </w:r>
      <w:r>
        <w:rPr>
          <w:rFonts w:asciiTheme="minorHAnsi" w:hAnsiTheme="minorHAnsi" w:cstheme="minorHAnsi"/>
          <w:b w:val="0"/>
          <w:bCs w:val="0"/>
          <w:i/>
          <w:iCs/>
          <w:color w:val="auto"/>
          <w:sz w:val="24"/>
          <w:szCs w:val="24"/>
          <w:lang w:val="el-GR"/>
        </w:rPr>
        <w:t>και</w:t>
      </w:r>
      <w:r w:rsidRPr="00AF0C8C">
        <w:rPr>
          <w:rFonts w:asciiTheme="minorHAnsi" w:hAnsiTheme="minorHAnsi" w:cstheme="minorHAnsi"/>
          <w:b w:val="0"/>
          <w:bCs w:val="0"/>
          <w:i/>
          <w:iCs/>
          <w:color w:val="auto"/>
          <w:sz w:val="24"/>
          <w:szCs w:val="24"/>
          <w:lang w:val="el-GR"/>
        </w:rPr>
        <w:t xml:space="preserve"> </w:t>
      </w:r>
      <w:r>
        <w:rPr>
          <w:rFonts w:asciiTheme="minorHAnsi" w:hAnsiTheme="minorHAnsi" w:cstheme="minorHAnsi"/>
          <w:b w:val="0"/>
          <w:bCs w:val="0"/>
          <w:i/>
          <w:iCs/>
          <w:color w:val="auto"/>
          <w:sz w:val="24"/>
          <w:szCs w:val="24"/>
          <w:lang w:val="el-GR"/>
        </w:rPr>
        <w:t>κατά της διαφθοράς</w:t>
      </w:r>
      <w:bookmarkEnd w:id="52"/>
      <w:bookmarkEnd w:id="53"/>
    </w:p>
    <w:p w14:paraId="78FD3E6D" w14:textId="77777777" w:rsidR="00A5147D" w:rsidRPr="00AF0C8C" w:rsidRDefault="00A5147D" w:rsidP="00A5147D">
      <w:pPr>
        <w:keepNext/>
        <w:rPr>
          <w:rFonts w:cstheme="minorHAnsi"/>
          <w:sz w:val="24"/>
          <w:szCs w:val="24"/>
          <w:lang w:val="el-GR"/>
        </w:rPr>
      </w:pPr>
    </w:p>
    <w:p w14:paraId="2650E3F8" w14:textId="6DF06401" w:rsidR="00A5147D" w:rsidRPr="00AF0C8C" w:rsidRDefault="00AF0C8C" w:rsidP="00A5147D">
      <w:pPr>
        <w:keepNext/>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Το</w:t>
      </w:r>
      <w:r w:rsidR="00A5147D" w:rsidRPr="00AF0C8C">
        <w:rPr>
          <w:rFonts w:cstheme="minorHAnsi"/>
          <w:sz w:val="24"/>
          <w:szCs w:val="24"/>
          <w:lang w:val="el-GR"/>
        </w:rPr>
        <w:t xml:space="preserve"> 2022, </w:t>
      </w:r>
      <w:r>
        <w:rPr>
          <w:rFonts w:cstheme="minorHAnsi"/>
          <w:sz w:val="24"/>
          <w:szCs w:val="24"/>
          <w:lang w:val="el-GR"/>
        </w:rPr>
        <w:t>η</w:t>
      </w:r>
      <w:r w:rsidRPr="00AF0C8C">
        <w:rPr>
          <w:rFonts w:cstheme="minorHAnsi"/>
          <w:sz w:val="24"/>
          <w:szCs w:val="24"/>
          <w:lang w:val="el-GR"/>
        </w:rPr>
        <w:t xml:space="preserve"> </w:t>
      </w:r>
      <w:r>
        <w:rPr>
          <w:rFonts w:cstheme="minorHAnsi"/>
          <w:sz w:val="24"/>
          <w:szCs w:val="24"/>
          <w:lang w:val="el-GR"/>
        </w:rPr>
        <w:t>Βουλή</w:t>
      </w:r>
      <w:r w:rsidRPr="00AF0C8C">
        <w:rPr>
          <w:rFonts w:cstheme="minorHAnsi"/>
          <w:sz w:val="24"/>
          <w:szCs w:val="24"/>
          <w:lang w:val="el-GR"/>
        </w:rPr>
        <w:t xml:space="preserve"> </w:t>
      </w:r>
      <w:r>
        <w:rPr>
          <w:rFonts w:cstheme="minorHAnsi"/>
          <w:sz w:val="24"/>
          <w:szCs w:val="24"/>
          <w:lang w:val="el-GR"/>
        </w:rPr>
        <w:t>υιοθέτησε</w:t>
      </w:r>
      <w:r w:rsidRPr="00AF0C8C">
        <w:rPr>
          <w:rFonts w:cstheme="minorHAnsi"/>
          <w:sz w:val="24"/>
          <w:szCs w:val="24"/>
          <w:lang w:val="el-GR"/>
        </w:rPr>
        <w:t xml:space="preserve"> </w:t>
      </w:r>
      <w:r>
        <w:rPr>
          <w:rFonts w:cstheme="minorHAnsi"/>
          <w:sz w:val="24"/>
          <w:szCs w:val="24"/>
          <w:lang w:val="el-GR"/>
        </w:rPr>
        <w:t>τρεις</w:t>
      </w:r>
      <w:r w:rsidR="00BC0649">
        <w:rPr>
          <w:rFonts w:cstheme="minorHAnsi"/>
          <w:sz w:val="24"/>
          <w:szCs w:val="24"/>
          <w:lang w:val="el-GR"/>
        </w:rPr>
        <w:t xml:space="preserve"> βασικούς</w:t>
      </w:r>
      <w:r w:rsidRPr="00AF0C8C">
        <w:rPr>
          <w:rFonts w:cstheme="minorHAnsi"/>
          <w:sz w:val="24"/>
          <w:szCs w:val="24"/>
          <w:lang w:val="el-GR"/>
        </w:rPr>
        <w:t xml:space="preserve"> </w:t>
      </w:r>
      <w:r>
        <w:rPr>
          <w:rFonts w:cstheme="minorHAnsi"/>
          <w:sz w:val="24"/>
          <w:szCs w:val="24"/>
          <w:lang w:val="el-GR"/>
        </w:rPr>
        <w:t>νόμους</w:t>
      </w:r>
      <w:r w:rsidRPr="00AF0C8C">
        <w:rPr>
          <w:rFonts w:cstheme="minorHAnsi"/>
          <w:sz w:val="24"/>
          <w:szCs w:val="24"/>
          <w:lang w:val="el-GR"/>
        </w:rPr>
        <w:t xml:space="preserve"> </w:t>
      </w:r>
      <w:r w:rsidR="00BC0649">
        <w:rPr>
          <w:rFonts w:cstheme="minorHAnsi"/>
          <w:sz w:val="24"/>
          <w:szCs w:val="24"/>
          <w:lang w:val="el-GR"/>
        </w:rPr>
        <w:t xml:space="preserve">προς </w:t>
      </w:r>
      <w:r>
        <w:rPr>
          <w:rFonts w:cstheme="minorHAnsi"/>
          <w:sz w:val="24"/>
          <w:szCs w:val="24"/>
          <w:lang w:val="el-GR"/>
        </w:rPr>
        <w:t>ενίσχυση</w:t>
      </w:r>
      <w:r w:rsidRPr="00AF0C8C">
        <w:rPr>
          <w:rFonts w:cstheme="minorHAnsi"/>
          <w:sz w:val="24"/>
          <w:szCs w:val="24"/>
          <w:lang w:val="el-GR"/>
        </w:rPr>
        <w:t xml:space="preserve"> </w:t>
      </w:r>
      <w:r>
        <w:rPr>
          <w:rFonts w:cstheme="minorHAnsi"/>
          <w:sz w:val="24"/>
          <w:szCs w:val="24"/>
          <w:lang w:val="el-GR"/>
        </w:rPr>
        <w:t>του</w:t>
      </w:r>
      <w:r w:rsidRPr="00AF0C8C">
        <w:rPr>
          <w:rFonts w:cstheme="minorHAnsi"/>
          <w:sz w:val="24"/>
          <w:szCs w:val="24"/>
          <w:lang w:val="el-GR"/>
        </w:rPr>
        <w:t xml:space="preserve"> </w:t>
      </w:r>
      <w:r>
        <w:rPr>
          <w:rFonts w:cstheme="minorHAnsi"/>
          <w:sz w:val="24"/>
          <w:szCs w:val="24"/>
          <w:lang w:val="el-GR"/>
        </w:rPr>
        <w:t>εφαρμόσιμου</w:t>
      </w:r>
      <w:r w:rsidRPr="00AF0C8C">
        <w:rPr>
          <w:rFonts w:cstheme="minorHAnsi"/>
          <w:sz w:val="24"/>
          <w:szCs w:val="24"/>
          <w:lang w:val="el-GR"/>
        </w:rPr>
        <w:t xml:space="preserve"> </w:t>
      </w:r>
      <w:r>
        <w:rPr>
          <w:rFonts w:cstheme="minorHAnsi"/>
          <w:sz w:val="24"/>
          <w:szCs w:val="24"/>
          <w:lang w:val="el-GR"/>
        </w:rPr>
        <w:t>νομικού</w:t>
      </w:r>
      <w:r w:rsidRPr="00AF0C8C">
        <w:rPr>
          <w:rFonts w:cstheme="minorHAnsi"/>
          <w:sz w:val="24"/>
          <w:szCs w:val="24"/>
          <w:lang w:val="el-GR"/>
        </w:rPr>
        <w:t xml:space="preserve"> </w:t>
      </w:r>
      <w:r>
        <w:rPr>
          <w:rFonts w:cstheme="minorHAnsi"/>
          <w:sz w:val="24"/>
          <w:szCs w:val="24"/>
          <w:lang w:val="el-GR"/>
        </w:rPr>
        <w:t>πλαισίου</w:t>
      </w:r>
      <w:r w:rsidRPr="00AF0C8C">
        <w:rPr>
          <w:rFonts w:cstheme="minorHAnsi"/>
          <w:sz w:val="24"/>
          <w:szCs w:val="24"/>
          <w:lang w:val="el-GR"/>
        </w:rPr>
        <w:t xml:space="preserve"> </w:t>
      </w:r>
      <w:r>
        <w:rPr>
          <w:rFonts w:cstheme="minorHAnsi"/>
          <w:sz w:val="24"/>
          <w:szCs w:val="24"/>
          <w:lang w:val="el-GR"/>
        </w:rPr>
        <w:t>κατά</w:t>
      </w:r>
      <w:r w:rsidRPr="00AF0C8C">
        <w:rPr>
          <w:rFonts w:cstheme="minorHAnsi"/>
          <w:sz w:val="24"/>
          <w:szCs w:val="24"/>
          <w:lang w:val="el-GR"/>
        </w:rPr>
        <w:t xml:space="preserve"> </w:t>
      </w:r>
      <w:r>
        <w:rPr>
          <w:rFonts w:cstheme="minorHAnsi"/>
          <w:sz w:val="24"/>
          <w:szCs w:val="24"/>
          <w:lang w:val="el-GR"/>
        </w:rPr>
        <w:t>τη</w:t>
      </w:r>
      <w:r w:rsidR="00BC0649">
        <w:rPr>
          <w:rFonts w:cstheme="minorHAnsi"/>
          <w:sz w:val="24"/>
          <w:szCs w:val="24"/>
          <w:lang w:val="el-GR"/>
        </w:rPr>
        <w:t>ς</w:t>
      </w:r>
      <w:r w:rsidRPr="00AF0C8C">
        <w:rPr>
          <w:rFonts w:cstheme="minorHAnsi"/>
          <w:sz w:val="24"/>
          <w:szCs w:val="24"/>
          <w:lang w:val="el-GR"/>
        </w:rPr>
        <w:t xml:space="preserve"> </w:t>
      </w:r>
      <w:r>
        <w:rPr>
          <w:rFonts w:cstheme="minorHAnsi"/>
          <w:sz w:val="24"/>
          <w:szCs w:val="24"/>
          <w:lang w:val="el-GR"/>
        </w:rPr>
        <w:t>διαφθορά</w:t>
      </w:r>
      <w:r w:rsidR="00BC0649">
        <w:rPr>
          <w:rFonts w:cstheme="minorHAnsi"/>
          <w:sz w:val="24"/>
          <w:szCs w:val="24"/>
          <w:lang w:val="el-GR"/>
        </w:rPr>
        <w:t>ς</w:t>
      </w:r>
      <w:r w:rsidR="0016084B" w:rsidRPr="00AF0C8C">
        <w:rPr>
          <w:rFonts w:cstheme="minorHAnsi"/>
          <w:sz w:val="24"/>
          <w:szCs w:val="24"/>
          <w:lang w:val="el-GR"/>
        </w:rPr>
        <w:t>:</w:t>
      </w:r>
      <w:r w:rsidR="00A5147D" w:rsidRPr="00AF0C8C">
        <w:rPr>
          <w:rFonts w:cstheme="minorHAnsi"/>
          <w:sz w:val="24"/>
          <w:szCs w:val="24"/>
          <w:lang w:val="el-GR"/>
        </w:rPr>
        <w:t xml:space="preserve"> (</w:t>
      </w:r>
      <w:proofErr w:type="spellStart"/>
      <w:r w:rsidR="00A5147D" w:rsidRPr="004E251E">
        <w:rPr>
          <w:rFonts w:cstheme="minorHAnsi"/>
          <w:sz w:val="24"/>
          <w:szCs w:val="24"/>
        </w:rPr>
        <w:t>i</w:t>
      </w:r>
      <w:proofErr w:type="spellEnd"/>
      <w:r w:rsidR="00A5147D" w:rsidRPr="00AF0C8C">
        <w:rPr>
          <w:rFonts w:cstheme="minorHAnsi"/>
          <w:sz w:val="24"/>
          <w:szCs w:val="24"/>
          <w:lang w:val="el-GR"/>
        </w:rPr>
        <w:t>)</w:t>
      </w:r>
      <w:r w:rsidR="00BC0649">
        <w:rPr>
          <w:rFonts w:cstheme="minorHAnsi"/>
          <w:sz w:val="24"/>
          <w:szCs w:val="24"/>
          <w:lang w:val="el-GR"/>
        </w:rPr>
        <w:t xml:space="preserve"> για </w:t>
      </w:r>
      <w:r w:rsidR="00F95DFE">
        <w:rPr>
          <w:rFonts w:cstheme="minorHAnsi"/>
          <w:sz w:val="24"/>
          <w:szCs w:val="24"/>
          <w:lang w:val="el-GR"/>
        </w:rPr>
        <w:t>τη</w:t>
      </w:r>
      <w:r w:rsidR="00BC0649" w:rsidRPr="002B7C4B">
        <w:rPr>
          <w:rFonts w:cstheme="minorHAnsi"/>
          <w:sz w:val="24"/>
          <w:szCs w:val="24"/>
          <w:lang w:val="el-GR"/>
        </w:rPr>
        <w:t xml:space="preserve"> </w:t>
      </w:r>
      <w:r w:rsidR="00BC0649">
        <w:rPr>
          <w:rFonts w:cstheme="minorHAnsi"/>
          <w:sz w:val="24"/>
          <w:szCs w:val="24"/>
          <w:lang w:val="el-GR"/>
        </w:rPr>
        <w:t xml:space="preserve">σύσταση </w:t>
      </w:r>
      <w:r>
        <w:rPr>
          <w:rFonts w:cstheme="minorHAnsi"/>
          <w:sz w:val="24"/>
          <w:szCs w:val="24"/>
          <w:lang w:val="el-GR"/>
        </w:rPr>
        <w:t>μιας ανεξάρτητης Αρχής κατά της Διαφθοράς</w:t>
      </w:r>
      <w:r w:rsidR="00A5147D" w:rsidRPr="004E251E">
        <w:rPr>
          <w:rStyle w:val="FootnoteReference"/>
          <w:rFonts w:cstheme="minorHAnsi"/>
          <w:sz w:val="24"/>
          <w:szCs w:val="24"/>
        </w:rPr>
        <w:footnoteReference w:id="36"/>
      </w:r>
      <w:r w:rsidR="00A5147D" w:rsidRPr="00AF0C8C">
        <w:rPr>
          <w:rFonts w:cstheme="minorHAnsi"/>
          <w:sz w:val="24"/>
          <w:szCs w:val="24"/>
          <w:lang w:val="el-GR"/>
        </w:rPr>
        <w:t>; (</w:t>
      </w:r>
      <w:r w:rsidR="00A5147D" w:rsidRPr="004E251E">
        <w:rPr>
          <w:rFonts w:cstheme="minorHAnsi"/>
          <w:sz w:val="24"/>
          <w:szCs w:val="24"/>
        </w:rPr>
        <w:t>ii</w:t>
      </w:r>
      <w:r w:rsidR="00A5147D" w:rsidRPr="00AF0C8C">
        <w:rPr>
          <w:rFonts w:cstheme="minorHAnsi"/>
          <w:sz w:val="24"/>
          <w:szCs w:val="24"/>
          <w:lang w:val="el-GR"/>
        </w:rPr>
        <w:t xml:space="preserve">) </w:t>
      </w:r>
      <w:r w:rsidR="00BC0649">
        <w:rPr>
          <w:rFonts w:cstheme="minorHAnsi"/>
          <w:sz w:val="24"/>
          <w:szCs w:val="24"/>
          <w:lang w:val="el-GR"/>
        </w:rPr>
        <w:t xml:space="preserve">για </w:t>
      </w:r>
      <w:r>
        <w:rPr>
          <w:rFonts w:cstheme="minorHAnsi"/>
          <w:sz w:val="24"/>
          <w:szCs w:val="24"/>
          <w:lang w:val="el-GR"/>
        </w:rPr>
        <w:t>ενισχυμένη προστασία πληροφοριοδοτών,</w:t>
      </w:r>
      <w:r w:rsidR="00A5147D" w:rsidRPr="00AF0C8C">
        <w:rPr>
          <w:rFonts w:cstheme="minorHAnsi"/>
          <w:sz w:val="24"/>
          <w:szCs w:val="24"/>
          <w:lang w:val="el-GR"/>
        </w:rPr>
        <w:t xml:space="preserve"> </w:t>
      </w:r>
      <w:r>
        <w:rPr>
          <w:rFonts w:cstheme="minorHAnsi"/>
          <w:sz w:val="24"/>
          <w:szCs w:val="24"/>
          <w:lang w:val="el-GR"/>
        </w:rPr>
        <w:t>και</w:t>
      </w:r>
      <w:r w:rsidR="00A5147D" w:rsidRPr="00AF0C8C">
        <w:rPr>
          <w:rFonts w:cstheme="minorHAnsi"/>
          <w:sz w:val="24"/>
          <w:szCs w:val="24"/>
          <w:lang w:val="el-GR"/>
        </w:rPr>
        <w:t xml:space="preserve"> (</w:t>
      </w:r>
      <w:r w:rsidR="00A5147D" w:rsidRPr="004E251E">
        <w:rPr>
          <w:rFonts w:cstheme="minorHAnsi"/>
          <w:sz w:val="24"/>
          <w:szCs w:val="24"/>
        </w:rPr>
        <w:t>iii</w:t>
      </w:r>
      <w:r w:rsidR="00A5147D" w:rsidRPr="00AF0C8C">
        <w:rPr>
          <w:rFonts w:cstheme="minorHAnsi"/>
          <w:sz w:val="24"/>
          <w:szCs w:val="24"/>
          <w:lang w:val="el-GR"/>
        </w:rPr>
        <w:t xml:space="preserve">) </w:t>
      </w:r>
      <w:r w:rsidR="00BC0649">
        <w:rPr>
          <w:rFonts w:cstheme="minorHAnsi"/>
          <w:sz w:val="24"/>
          <w:szCs w:val="24"/>
          <w:lang w:val="el-GR"/>
        </w:rPr>
        <w:t xml:space="preserve">για τη </w:t>
      </w:r>
      <w:r>
        <w:rPr>
          <w:rFonts w:cstheme="minorHAnsi"/>
          <w:sz w:val="24"/>
          <w:szCs w:val="24"/>
          <w:lang w:val="el-GR"/>
        </w:rPr>
        <w:t xml:space="preserve">ρύθμιση του </w:t>
      </w:r>
      <w:proofErr w:type="spellStart"/>
      <w:r>
        <w:rPr>
          <w:rFonts w:cstheme="minorHAnsi"/>
          <w:sz w:val="24"/>
          <w:szCs w:val="24"/>
          <w:lang w:val="el-GR"/>
        </w:rPr>
        <w:t>λόμπυ</w:t>
      </w:r>
      <w:proofErr w:type="spellEnd"/>
      <w:r w:rsidR="00A5147D" w:rsidRPr="00AF0C8C">
        <w:rPr>
          <w:rFonts w:cstheme="minorHAnsi"/>
          <w:sz w:val="24"/>
          <w:szCs w:val="24"/>
          <w:lang w:val="el-GR"/>
        </w:rPr>
        <w:t xml:space="preserve">. </w:t>
      </w:r>
    </w:p>
    <w:p w14:paraId="08466B0D" w14:textId="77777777" w:rsidR="00A5147D" w:rsidRPr="00AF0C8C" w:rsidRDefault="00A5147D" w:rsidP="00A5147D">
      <w:pPr>
        <w:rPr>
          <w:rFonts w:cstheme="minorHAnsi"/>
          <w:sz w:val="24"/>
          <w:szCs w:val="24"/>
          <w:lang w:val="el-GR"/>
        </w:rPr>
      </w:pPr>
    </w:p>
    <w:p w14:paraId="10858FEB" w14:textId="1A55E325" w:rsidR="00A5147D" w:rsidRPr="00960F26" w:rsidRDefault="00AF0C8C" w:rsidP="00A5147D">
      <w:pPr>
        <w:numPr>
          <w:ilvl w:val="0"/>
          <w:numId w:val="1"/>
        </w:numPr>
        <w:tabs>
          <w:tab w:val="clear" w:pos="6095"/>
          <w:tab w:val="left" w:pos="709"/>
        </w:tabs>
        <w:ind w:left="0" w:firstLine="0"/>
        <w:rPr>
          <w:rFonts w:ascii="Calibri" w:eastAsia="Calibri" w:hAnsi="Calibri" w:cs="Calibri"/>
          <w:sz w:val="24"/>
          <w:szCs w:val="24"/>
          <w:lang w:val="el-GR"/>
        </w:rPr>
      </w:pPr>
      <w:r>
        <w:rPr>
          <w:rFonts w:cstheme="minorHAnsi"/>
          <w:sz w:val="24"/>
          <w:szCs w:val="24"/>
          <w:lang w:val="el-GR"/>
        </w:rPr>
        <w:t>Ο</w:t>
      </w:r>
      <w:r w:rsidRPr="00AF0C8C">
        <w:rPr>
          <w:rFonts w:cstheme="minorHAnsi"/>
          <w:sz w:val="24"/>
          <w:szCs w:val="24"/>
          <w:lang w:val="el-GR"/>
        </w:rPr>
        <w:t xml:space="preserve"> </w:t>
      </w:r>
      <w:r w:rsidR="00EB12C2">
        <w:rPr>
          <w:rFonts w:cstheme="minorHAnsi"/>
          <w:sz w:val="24"/>
          <w:szCs w:val="24"/>
          <w:lang w:val="el-GR"/>
        </w:rPr>
        <w:t>Νόμος</w:t>
      </w:r>
      <w:r w:rsidRPr="00AF0C8C">
        <w:rPr>
          <w:rFonts w:cstheme="minorHAnsi"/>
          <w:sz w:val="24"/>
          <w:szCs w:val="24"/>
          <w:lang w:val="el-GR"/>
        </w:rPr>
        <w:t xml:space="preserve"> </w:t>
      </w:r>
      <w:r>
        <w:rPr>
          <w:rFonts w:cstheme="minorHAnsi"/>
          <w:sz w:val="24"/>
          <w:szCs w:val="24"/>
          <w:lang w:val="el-GR"/>
        </w:rPr>
        <w:t>περί</w:t>
      </w:r>
      <w:r w:rsidRPr="00AF0C8C">
        <w:rPr>
          <w:rFonts w:cstheme="minorHAnsi"/>
          <w:sz w:val="24"/>
          <w:szCs w:val="24"/>
          <w:lang w:val="el-GR"/>
        </w:rPr>
        <w:t xml:space="preserve"> </w:t>
      </w:r>
      <w:r>
        <w:rPr>
          <w:rFonts w:cstheme="minorHAnsi"/>
          <w:sz w:val="24"/>
          <w:szCs w:val="24"/>
          <w:lang w:val="el-GR"/>
        </w:rPr>
        <w:t>της</w:t>
      </w:r>
      <w:r w:rsidRPr="00AF0C8C">
        <w:rPr>
          <w:rFonts w:cstheme="minorHAnsi"/>
          <w:sz w:val="24"/>
          <w:szCs w:val="24"/>
          <w:lang w:val="el-GR"/>
        </w:rPr>
        <w:t xml:space="preserve"> </w:t>
      </w:r>
      <w:r w:rsidR="00BC0649">
        <w:rPr>
          <w:rFonts w:cstheme="minorHAnsi"/>
          <w:sz w:val="24"/>
          <w:szCs w:val="24"/>
          <w:lang w:val="el-GR"/>
        </w:rPr>
        <w:t xml:space="preserve">Σύστασης </w:t>
      </w:r>
      <w:r>
        <w:rPr>
          <w:rFonts w:cstheme="minorHAnsi"/>
          <w:sz w:val="24"/>
          <w:szCs w:val="24"/>
          <w:lang w:val="el-GR"/>
        </w:rPr>
        <w:t>και</w:t>
      </w:r>
      <w:r w:rsidRPr="00AF0C8C">
        <w:rPr>
          <w:rFonts w:cstheme="minorHAnsi"/>
          <w:sz w:val="24"/>
          <w:szCs w:val="24"/>
          <w:lang w:val="el-GR"/>
        </w:rPr>
        <w:t xml:space="preserve"> </w:t>
      </w:r>
      <w:r>
        <w:rPr>
          <w:rFonts w:cstheme="minorHAnsi"/>
          <w:sz w:val="24"/>
          <w:szCs w:val="24"/>
          <w:lang w:val="el-GR"/>
        </w:rPr>
        <w:t>Λειτουργίας</w:t>
      </w:r>
      <w:r w:rsidR="00A5147D" w:rsidRPr="00AF0C8C">
        <w:rPr>
          <w:rFonts w:cstheme="minorHAnsi"/>
          <w:sz w:val="24"/>
          <w:szCs w:val="24"/>
          <w:lang w:val="el-GR"/>
        </w:rPr>
        <w:t xml:space="preserve"> </w:t>
      </w:r>
      <w:r>
        <w:rPr>
          <w:rFonts w:cstheme="minorHAnsi"/>
          <w:sz w:val="24"/>
          <w:szCs w:val="24"/>
          <w:lang w:val="el-GR"/>
        </w:rPr>
        <w:t>Ανεξάρτητης</w:t>
      </w:r>
      <w:r w:rsidRPr="00AF0C8C">
        <w:rPr>
          <w:rFonts w:cstheme="minorHAnsi"/>
          <w:sz w:val="24"/>
          <w:szCs w:val="24"/>
          <w:lang w:val="el-GR"/>
        </w:rPr>
        <w:t xml:space="preserve"> </w:t>
      </w:r>
      <w:r>
        <w:rPr>
          <w:rFonts w:cstheme="minorHAnsi"/>
          <w:sz w:val="24"/>
          <w:szCs w:val="24"/>
          <w:lang w:val="el-GR"/>
        </w:rPr>
        <w:t>Αρχής</w:t>
      </w:r>
      <w:r w:rsidRPr="00AF0C8C">
        <w:rPr>
          <w:rFonts w:cstheme="minorHAnsi"/>
          <w:sz w:val="24"/>
          <w:szCs w:val="24"/>
          <w:lang w:val="el-GR"/>
        </w:rPr>
        <w:t xml:space="preserve"> </w:t>
      </w:r>
      <w:r>
        <w:rPr>
          <w:rFonts w:cstheme="minorHAnsi"/>
          <w:sz w:val="24"/>
          <w:szCs w:val="24"/>
          <w:lang w:val="el-GR"/>
        </w:rPr>
        <w:t>κατά</w:t>
      </w:r>
      <w:r w:rsidRPr="00AF0C8C">
        <w:rPr>
          <w:rFonts w:cstheme="minorHAnsi"/>
          <w:sz w:val="24"/>
          <w:szCs w:val="24"/>
          <w:lang w:val="el-GR"/>
        </w:rPr>
        <w:t xml:space="preserve"> </w:t>
      </w:r>
      <w:r>
        <w:rPr>
          <w:rFonts w:cstheme="minorHAnsi"/>
          <w:sz w:val="24"/>
          <w:szCs w:val="24"/>
          <w:lang w:val="el-GR"/>
        </w:rPr>
        <w:t>της</w:t>
      </w:r>
      <w:r w:rsidRPr="00AF0C8C">
        <w:rPr>
          <w:rFonts w:cstheme="minorHAnsi"/>
          <w:sz w:val="24"/>
          <w:szCs w:val="24"/>
          <w:lang w:val="el-GR"/>
        </w:rPr>
        <w:t xml:space="preserve"> </w:t>
      </w:r>
      <w:r>
        <w:rPr>
          <w:rFonts w:cstheme="minorHAnsi"/>
          <w:sz w:val="24"/>
          <w:szCs w:val="24"/>
          <w:lang w:val="el-GR"/>
        </w:rPr>
        <w:t>Διαφθοράς</w:t>
      </w:r>
      <w:r w:rsidR="00A5147D" w:rsidRPr="00AF0C8C">
        <w:rPr>
          <w:rFonts w:cstheme="minorHAnsi"/>
          <w:sz w:val="24"/>
          <w:szCs w:val="24"/>
          <w:lang w:val="el-GR"/>
        </w:rPr>
        <w:t xml:space="preserve"> </w:t>
      </w:r>
      <w:r w:rsidR="00A5147D" w:rsidRPr="00AF0C8C">
        <w:rPr>
          <w:rFonts w:cs="Calibri"/>
          <w:sz w:val="24"/>
          <w:szCs w:val="24"/>
          <w:lang w:val="el-GR"/>
        </w:rPr>
        <w:t>(</w:t>
      </w:r>
      <w:r>
        <w:rPr>
          <w:rFonts w:cs="Calibri"/>
          <w:sz w:val="24"/>
          <w:szCs w:val="24"/>
          <w:lang w:val="el-GR"/>
        </w:rPr>
        <w:t>Νόμος</w:t>
      </w:r>
      <w:r w:rsidR="00A5147D" w:rsidRPr="00AF0C8C">
        <w:rPr>
          <w:rFonts w:cs="Calibri"/>
          <w:sz w:val="24"/>
          <w:szCs w:val="24"/>
          <w:lang w:val="el-GR"/>
        </w:rPr>
        <w:t xml:space="preserve"> 19(</w:t>
      </w:r>
      <w:r w:rsidR="00A5147D" w:rsidRPr="004E251E">
        <w:rPr>
          <w:rFonts w:cs="Calibri"/>
          <w:sz w:val="24"/>
          <w:szCs w:val="24"/>
        </w:rPr>
        <w:t>I</w:t>
      </w:r>
      <w:r w:rsidR="00A5147D" w:rsidRPr="00AF0C8C">
        <w:rPr>
          <w:rFonts w:cs="Calibri"/>
          <w:sz w:val="24"/>
          <w:szCs w:val="24"/>
          <w:lang w:val="el-GR"/>
        </w:rPr>
        <w:t>)/2022)</w:t>
      </w:r>
      <w:r w:rsidR="00DA6430" w:rsidRPr="00AF0C8C">
        <w:rPr>
          <w:rFonts w:cs="Calibri"/>
          <w:sz w:val="24"/>
          <w:szCs w:val="24"/>
          <w:lang w:val="el-GR"/>
        </w:rPr>
        <w:t xml:space="preserve"> </w:t>
      </w:r>
      <w:r>
        <w:rPr>
          <w:rFonts w:cs="Calibri"/>
          <w:sz w:val="24"/>
          <w:szCs w:val="24"/>
          <w:lang w:val="el-GR"/>
        </w:rPr>
        <w:t>τέθηκε σε ισχύ στις</w:t>
      </w:r>
      <w:r w:rsidR="00A5147D" w:rsidRPr="00AF0C8C">
        <w:rPr>
          <w:rFonts w:cstheme="minorHAnsi"/>
          <w:sz w:val="24"/>
          <w:szCs w:val="24"/>
          <w:lang w:val="el-GR"/>
        </w:rPr>
        <w:t xml:space="preserve"> 4 </w:t>
      </w:r>
      <w:r w:rsidR="00A5147D" w:rsidRPr="004E251E">
        <w:rPr>
          <w:rFonts w:cstheme="minorHAnsi"/>
          <w:sz w:val="24"/>
          <w:szCs w:val="24"/>
        </w:rPr>
        <w:t>M</w:t>
      </w:r>
      <w:r>
        <w:rPr>
          <w:rFonts w:cstheme="minorHAnsi"/>
          <w:sz w:val="24"/>
          <w:szCs w:val="24"/>
          <w:lang w:val="el-GR"/>
        </w:rPr>
        <w:t>αρτίου</w:t>
      </w:r>
      <w:r w:rsidR="00A5147D" w:rsidRPr="00AF0C8C">
        <w:rPr>
          <w:rFonts w:cstheme="minorHAnsi"/>
          <w:sz w:val="24"/>
          <w:szCs w:val="24"/>
          <w:lang w:val="el-GR"/>
        </w:rPr>
        <w:t xml:space="preserve"> 2022. </w:t>
      </w:r>
      <w:r w:rsidR="00BC0649">
        <w:rPr>
          <w:rFonts w:cstheme="minorHAnsi"/>
          <w:sz w:val="24"/>
          <w:szCs w:val="24"/>
          <w:lang w:val="el-GR"/>
        </w:rPr>
        <w:t xml:space="preserve">Ο Νόμος </w:t>
      </w:r>
      <w:r>
        <w:rPr>
          <w:rFonts w:cstheme="minorHAnsi"/>
          <w:sz w:val="24"/>
          <w:szCs w:val="24"/>
          <w:lang w:val="el-GR"/>
        </w:rPr>
        <w:t>προβλέπει</w:t>
      </w:r>
      <w:r w:rsidR="00A5147D" w:rsidRPr="00AF0C8C">
        <w:rPr>
          <w:rFonts w:ascii="Calibri" w:eastAsia="Calibri" w:hAnsi="Calibri" w:cs="Calibri"/>
          <w:sz w:val="24"/>
          <w:szCs w:val="24"/>
          <w:lang w:val="el-GR"/>
        </w:rPr>
        <w:t xml:space="preserve"> </w:t>
      </w:r>
      <w:r>
        <w:rPr>
          <w:rFonts w:ascii="Calibri" w:eastAsia="Calibri" w:hAnsi="Calibri" w:cs="Calibri"/>
          <w:sz w:val="24"/>
          <w:szCs w:val="24"/>
          <w:lang w:val="el-GR"/>
        </w:rPr>
        <w:t>ένα</w:t>
      </w:r>
      <w:r w:rsidRPr="00AF0C8C">
        <w:rPr>
          <w:rFonts w:ascii="Calibri" w:eastAsia="Calibri" w:hAnsi="Calibri" w:cs="Calibri"/>
          <w:sz w:val="24"/>
          <w:szCs w:val="24"/>
          <w:lang w:val="el-GR"/>
        </w:rPr>
        <w:t xml:space="preserve"> </w:t>
      </w:r>
      <w:r>
        <w:rPr>
          <w:rFonts w:ascii="Calibri" w:eastAsia="Calibri" w:hAnsi="Calibri" w:cs="Calibri"/>
          <w:sz w:val="24"/>
          <w:szCs w:val="24"/>
          <w:lang w:val="el-GR"/>
        </w:rPr>
        <w:t>εξειδικευμένο</w:t>
      </w:r>
      <w:r w:rsidRPr="00AF0C8C">
        <w:rPr>
          <w:rFonts w:ascii="Calibri" w:eastAsia="Calibri" w:hAnsi="Calibri" w:cs="Calibri"/>
          <w:sz w:val="24"/>
          <w:szCs w:val="24"/>
          <w:lang w:val="el-GR"/>
        </w:rPr>
        <w:t xml:space="preserve"> </w:t>
      </w:r>
      <w:r>
        <w:rPr>
          <w:rFonts w:ascii="Calibri" w:eastAsia="Calibri" w:hAnsi="Calibri" w:cs="Calibri"/>
          <w:sz w:val="24"/>
          <w:szCs w:val="24"/>
          <w:lang w:val="el-GR"/>
        </w:rPr>
        <w:t>σώμα</w:t>
      </w:r>
      <w:r w:rsidRPr="00AF0C8C">
        <w:rPr>
          <w:rFonts w:ascii="Calibri" w:eastAsia="Calibri" w:hAnsi="Calibri" w:cs="Calibri"/>
          <w:sz w:val="24"/>
          <w:szCs w:val="24"/>
          <w:lang w:val="el-GR"/>
        </w:rPr>
        <w:t xml:space="preserve"> </w:t>
      </w:r>
      <w:r>
        <w:rPr>
          <w:rFonts w:ascii="Calibri" w:eastAsia="Calibri" w:hAnsi="Calibri" w:cs="Calibri"/>
          <w:sz w:val="24"/>
          <w:szCs w:val="24"/>
          <w:lang w:val="el-GR"/>
        </w:rPr>
        <w:t>που</w:t>
      </w:r>
      <w:r w:rsidRPr="00AF0C8C">
        <w:rPr>
          <w:rFonts w:ascii="Calibri" w:eastAsia="Calibri" w:hAnsi="Calibri" w:cs="Calibri"/>
          <w:sz w:val="24"/>
          <w:szCs w:val="24"/>
          <w:lang w:val="el-GR"/>
        </w:rPr>
        <w:t xml:space="preserve"> </w:t>
      </w:r>
      <w:r>
        <w:rPr>
          <w:rFonts w:ascii="Calibri" w:eastAsia="Calibri" w:hAnsi="Calibri" w:cs="Calibri"/>
          <w:sz w:val="24"/>
          <w:szCs w:val="24"/>
          <w:lang w:val="el-GR"/>
        </w:rPr>
        <w:t>είναι</w:t>
      </w:r>
      <w:r w:rsidRPr="00AF0C8C">
        <w:rPr>
          <w:rFonts w:ascii="Calibri" w:eastAsia="Calibri" w:hAnsi="Calibri" w:cs="Calibri"/>
          <w:sz w:val="24"/>
          <w:szCs w:val="24"/>
          <w:lang w:val="el-GR"/>
        </w:rPr>
        <w:t xml:space="preserve"> </w:t>
      </w:r>
      <w:r>
        <w:rPr>
          <w:rFonts w:ascii="Calibri" w:eastAsia="Calibri" w:hAnsi="Calibri" w:cs="Calibri"/>
          <w:sz w:val="24"/>
          <w:szCs w:val="24"/>
          <w:lang w:val="el-GR"/>
        </w:rPr>
        <w:t>ανεξάρτητο</w:t>
      </w:r>
      <w:r w:rsidR="00A5147D" w:rsidRPr="00AF0C8C">
        <w:rPr>
          <w:rFonts w:ascii="Calibri" w:eastAsia="Calibri" w:hAnsi="Calibri" w:cs="Calibri"/>
          <w:sz w:val="24"/>
          <w:szCs w:val="24"/>
          <w:lang w:val="el-GR"/>
        </w:rPr>
        <w:t xml:space="preserve"> </w:t>
      </w:r>
      <w:r>
        <w:rPr>
          <w:rFonts w:ascii="Calibri" w:eastAsia="Calibri" w:hAnsi="Calibri" w:cs="Calibri"/>
          <w:sz w:val="24"/>
          <w:szCs w:val="24"/>
          <w:lang w:val="el-GR"/>
        </w:rPr>
        <w:t>και έχει τον δικό του προϋπολογισμό και προσωπικό</w:t>
      </w:r>
      <w:r w:rsidR="00A5147D" w:rsidRPr="00AF0C8C">
        <w:rPr>
          <w:rFonts w:ascii="Calibri" w:eastAsia="Calibri" w:hAnsi="Calibri" w:cs="Calibri"/>
          <w:sz w:val="24"/>
          <w:szCs w:val="24"/>
          <w:lang w:val="el-GR"/>
        </w:rPr>
        <w:t xml:space="preserve">. </w:t>
      </w:r>
      <w:r>
        <w:rPr>
          <w:rFonts w:ascii="Calibri" w:eastAsia="Calibri" w:hAnsi="Calibri" w:cs="Calibri"/>
          <w:sz w:val="24"/>
          <w:szCs w:val="24"/>
          <w:lang w:val="el-GR"/>
        </w:rPr>
        <w:t>Η</w:t>
      </w:r>
      <w:r w:rsidRPr="009E5B9B">
        <w:rPr>
          <w:rFonts w:ascii="Calibri" w:eastAsia="Calibri" w:hAnsi="Calibri" w:cs="Calibri"/>
          <w:sz w:val="24"/>
          <w:szCs w:val="24"/>
          <w:lang w:val="el-GR"/>
        </w:rPr>
        <w:t xml:space="preserve"> </w:t>
      </w:r>
      <w:r>
        <w:rPr>
          <w:rFonts w:ascii="Calibri" w:eastAsia="Calibri" w:hAnsi="Calibri" w:cs="Calibri"/>
          <w:sz w:val="24"/>
          <w:szCs w:val="24"/>
          <w:lang w:val="el-GR"/>
        </w:rPr>
        <w:t>Αρχή</w:t>
      </w:r>
      <w:r w:rsidRPr="009E5B9B">
        <w:rPr>
          <w:rFonts w:ascii="Calibri" w:eastAsia="Calibri" w:hAnsi="Calibri" w:cs="Calibri"/>
          <w:sz w:val="24"/>
          <w:szCs w:val="24"/>
          <w:lang w:val="el-GR"/>
        </w:rPr>
        <w:t xml:space="preserve"> </w:t>
      </w:r>
      <w:r>
        <w:rPr>
          <w:rFonts w:ascii="Calibri" w:eastAsia="Calibri" w:hAnsi="Calibri" w:cs="Calibri"/>
          <w:sz w:val="24"/>
          <w:szCs w:val="24"/>
          <w:lang w:val="el-GR"/>
        </w:rPr>
        <w:t>κατά</w:t>
      </w:r>
      <w:r w:rsidRPr="009E5B9B">
        <w:rPr>
          <w:rFonts w:ascii="Calibri" w:eastAsia="Calibri" w:hAnsi="Calibri" w:cs="Calibri"/>
          <w:sz w:val="24"/>
          <w:szCs w:val="24"/>
          <w:lang w:val="el-GR"/>
        </w:rPr>
        <w:t xml:space="preserve"> </w:t>
      </w:r>
      <w:r>
        <w:rPr>
          <w:rFonts w:ascii="Calibri" w:eastAsia="Calibri" w:hAnsi="Calibri" w:cs="Calibri"/>
          <w:sz w:val="24"/>
          <w:szCs w:val="24"/>
          <w:lang w:val="el-GR"/>
        </w:rPr>
        <w:t>της</w:t>
      </w:r>
      <w:r w:rsidRPr="009E5B9B">
        <w:rPr>
          <w:rFonts w:ascii="Calibri" w:eastAsia="Calibri" w:hAnsi="Calibri" w:cs="Calibri"/>
          <w:sz w:val="24"/>
          <w:szCs w:val="24"/>
          <w:lang w:val="el-GR"/>
        </w:rPr>
        <w:t xml:space="preserve"> </w:t>
      </w:r>
      <w:r>
        <w:rPr>
          <w:rFonts w:ascii="Calibri" w:eastAsia="Calibri" w:hAnsi="Calibri" w:cs="Calibri"/>
          <w:sz w:val="24"/>
          <w:szCs w:val="24"/>
          <w:lang w:val="el-GR"/>
        </w:rPr>
        <w:t>Διαφθοράς</w:t>
      </w:r>
      <w:r w:rsidR="00A5147D"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δεν</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υπόκειται</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σε</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οδηγίες</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από</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οποιαδήποτε</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κυβερνητική</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αρχή</w:t>
      </w:r>
      <w:r w:rsidR="00A5147D"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και</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τα</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μέλη</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της</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μπορούν να απολυθούν υπό πολύ αυστηρούς όρους</w:t>
      </w:r>
      <w:r w:rsidR="00A5147D"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πα</w:t>
      </w:r>
      <w:r w:rsidR="00F95DFE">
        <w:rPr>
          <w:rFonts w:ascii="Calibri" w:eastAsia="Calibri" w:hAnsi="Calibri" w:cs="Calibri"/>
          <w:sz w:val="24"/>
          <w:szCs w:val="24"/>
          <w:lang w:val="el-GR"/>
        </w:rPr>
        <w:t xml:space="preserve">ρόμοιους με αυτούς που ισχύουν για </w:t>
      </w:r>
      <w:r w:rsidR="009E5B9B">
        <w:rPr>
          <w:rFonts w:ascii="Calibri" w:eastAsia="Calibri" w:hAnsi="Calibri" w:cs="Calibri"/>
          <w:sz w:val="24"/>
          <w:szCs w:val="24"/>
          <w:lang w:val="el-GR"/>
        </w:rPr>
        <w:t xml:space="preserve">τους δικαστές του </w:t>
      </w:r>
      <w:proofErr w:type="spellStart"/>
      <w:r w:rsidR="009E5B9B">
        <w:rPr>
          <w:rFonts w:ascii="Calibri" w:eastAsia="Calibri" w:hAnsi="Calibri" w:cs="Calibri"/>
          <w:sz w:val="24"/>
          <w:szCs w:val="24"/>
          <w:lang w:val="el-GR"/>
        </w:rPr>
        <w:t>Ανωτάτου</w:t>
      </w:r>
      <w:proofErr w:type="spellEnd"/>
      <w:r w:rsidR="009E5B9B">
        <w:rPr>
          <w:rFonts w:ascii="Calibri" w:eastAsia="Calibri" w:hAnsi="Calibri" w:cs="Calibri"/>
          <w:sz w:val="24"/>
          <w:szCs w:val="24"/>
          <w:lang w:val="el-GR"/>
        </w:rPr>
        <w:t xml:space="preserve"> Δικαστηρίου</w:t>
      </w:r>
      <w:r w:rsidR="00A5147D"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Η</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αποστολή</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της</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είναι</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να</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αναλάβει</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όλες</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τις</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απαραίτητες</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πρωτοβουλίες</w:t>
      </w:r>
      <w:r w:rsidR="00A5147D"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και</w:t>
      </w:r>
      <w:r w:rsidR="009E5B9B" w:rsidRPr="009E5B9B">
        <w:rPr>
          <w:rFonts w:ascii="Calibri" w:eastAsia="Calibri" w:hAnsi="Calibri" w:cs="Calibri"/>
          <w:sz w:val="24"/>
          <w:szCs w:val="24"/>
          <w:lang w:val="el-GR"/>
        </w:rPr>
        <w:t xml:space="preserve"> </w:t>
      </w:r>
      <w:r w:rsidR="00B13A7A">
        <w:rPr>
          <w:rFonts w:ascii="Calibri" w:eastAsia="Calibri" w:hAnsi="Calibri" w:cs="Calibri"/>
          <w:sz w:val="24"/>
          <w:szCs w:val="24"/>
          <w:lang w:val="el-GR"/>
        </w:rPr>
        <w:t xml:space="preserve">δράσεις </w:t>
      </w:r>
      <w:r w:rsidR="009E5B9B">
        <w:rPr>
          <w:rFonts w:ascii="Calibri" w:eastAsia="Calibri" w:hAnsi="Calibri" w:cs="Calibri"/>
          <w:sz w:val="24"/>
          <w:szCs w:val="24"/>
          <w:lang w:val="el-GR"/>
        </w:rPr>
        <w:t>για</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να</w:t>
      </w:r>
      <w:r w:rsidR="009E5B9B" w:rsidRPr="009E5B9B">
        <w:rPr>
          <w:rFonts w:ascii="Calibri" w:eastAsia="Calibri" w:hAnsi="Calibri" w:cs="Calibri"/>
          <w:sz w:val="24"/>
          <w:szCs w:val="24"/>
          <w:lang w:val="el-GR"/>
        </w:rPr>
        <w:t xml:space="preserve"> </w:t>
      </w:r>
      <w:r w:rsidR="00B13A7A">
        <w:rPr>
          <w:rFonts w:ascii="Calibri" w:eastAsia="Calibri" w:hAnsi="Calibri" w:cs="Calibri"/>
          <w:sz w:val="24"/>
          <w:szCs w:val="24"/>
          <w:lang w:val="el-GR"/>
        </w:rPr>
        <w:t xml:space="preserve">διασφαλίσει </w:t>
      </w:r>
      <w:r w:rsidR="009E5B9B">
        <w:rPr>
          <w:rFonts w:ascii="Calibri" w:eastAsia="Calibri" w:hAnsi="Calibri" w:cs="Calibri"/>
          <w:sz w:val="24"/>
          <w:szCs w:val="24"/>
          <w:lang w:val="el-GR"/>
        </w:rPr>
        <w:t>τη</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συνοχή</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και</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αποτελεσματικότητα των ενεργειών της δημόσιας υπηρεσίας</w:t>
      </w:r>
      <w:r w:rsidR="00A5147D"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τ</w:t>
      </w:r>
      <w:r w:rsidR="00B13A7A">
        <w:rPr>
          <w:rFonts w:ascii="Calibri" w:eastAsia="Calibri" w:hAnsi="Calibri" w:cs="Calibri"/>
          <w:sz w:val="24"/>
          <w:szCs w:val="24"/>
          <w:lang w:val="el-GR"/>
        </w:rPr>
        <w:t>ων</w:t>
      </w:r>
      <w:r w:rsidR="009E5B9B">
        <w:rPr>
          <w:rFonts w:ascii="Calibri" w:eastAsia="Calibri" w:hAnsi="Calibri" w:cs="Calibri"/>
          <w:sz w:val="24"/>
          <w:szCs w:val="24"/>
          <w:lang w:val="el-GR"/>
        </w:rPr>
        <w:t xml:space="preserve"> ευρύτερ</w:t>
      </w:r>
      <w:r w:rsidR="00B13A7A">
        <w:rPr>
          <w:rFonts w:ascii="Calibri" w:eastAsia="Calibri" w:hAnsi="Calibri" w:cs="Calibri"/>
          <w:sz w:val="24"/>
          <w:szCs w:val="24"/>
          <w:lang w:val="el-GR"/>
        </w:rPr>
        <w:t>ων</w:t>
      </w:r>
      <w:r w:rsidR="009E5B9B">
        <w:rPr>
          <w:rFonts w:ascii="Calibri" w:eastAsia="Calibri" w:hAnsi="Calibri" w:cs="Calibri"/>
          <w:sz w:val="24"/>
          <w:szCs w:val="24"/>
          <w:lang w:val="el-GR"/>
        </w:rPr>
        <w:t xml:space="preserve"> </w:t>
      </w:r>
      <w:r w:rsidR="00B13A7A">
        <w:rPr>
          <w:rFonts w:ascii="Calibri" w:eastAsia="Calibri" w:hAnsi="Calibri" w:cs="Calibri"/>
          <w:sz w:val="24"/>
          <w:szCs w:val="24"/>
          <w:lang w:val="el-GR"/>
        </w:rPr>
        <w:t xml:space="preserve">δημόσιων </w:t>
      </w:r>
      <w:r w:rsidR="009E5B9B">
        <w:rPr>
          <w:rFonts w:ascii="Calibri" w:eastAsia="Calibri" w:hAnsi="Calibri" w:cs="Calibri"/>
          <w:sz w:val="24"/>
          <w:szCs w:val="24"/>
          <w:lang w:val="el-GR"/>
        </w:rPr>
        <w:t xml:space="preserve">και </w:t>
      </w:r>
      <w:r w:rsidR="00B13A7A">
        <w:rPr>
          <w:rFonts w:ascii="Calibri" w:eastAsia="Calibri" w:hAnsi="Calibri" w:cs="Calibri"/>
          <w:sz w:val="24"/>
          <w:szCs w:val="24"/>
          <w:lang w:val="el-GR"/>
        </w:rPr>
        <w:t xml:space="preserve">ιδιωτικών τομέων </w:t>
      </w:r>
      <w:r w:rsidR="009E5B9B">
        <w:rPr>
          <w:rFonts w:ascii="Calibri" w:eastAsia="Calibri" w:hAnsi="Calibri" w:cs="Calibri"/>
          <w:sz w:val="24"/>
          <w:szCs w:val="24"/>
          <w:lang w:val="el-GR"/>
        </w:rPr>
        <w:t>στην πρόληψη</w:t>
      </w:r>
      <w:r w:rsidR="00A5147D"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και καταπολέμηση της διαφθοράς</w:t>
      </w:r>
      <w:r w:rsidR="00A5147D" w:rsidRPr="009E5B9B">
        <w:rPr>
          <w:rFonts w:ascii="Calibri" w:eastAsia="Calibri" w:hAnsi="Calibri" w:cs="Calibri"/>
          <w:sz w:val="24"/>
          <w:szCs w:val="24"/>
          <w:lang w:val="el-GR"/>
        </w:rPr>
        <w:t xml:space="preserve">. </w:t>
      </w:r>
      <w:r w:rsidR="00B13A7A">
        <w:rPr>
          <w:rFonts w:ascii="Calibri" w:eastAsia="Calibri" w:hAnsi="Calibri" w:cs="Calibri"/>
          <w:sz w:val="24"/>
          <w:szCs w:val="24"/>
          <w:lang w:val="el-GR"/>
        </w:rPr>
        <w:t>Ε</w:t>
      </w:r>
      <w:r w:rsidR="009E5B9B">
        <w:rPr>
          <w:rFonts w:ascii="Calibri" w:eastAsia="Calibri" w:hAnsi="Calibri" w:cs="Calibri"/>
          <w:sz w:val="24"/>
          <w:szCs w:val="24"/>
          <w:lang w:val="el-GR"/>
        </w:rPr>
        <w:t>πίσης</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εξασφαλίζει</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την</w:t>
      </w:r>
      <w:r w:rsidR="009E5B9B"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υλοποίηση</w:t>
      </w:r>
      <w:r w:rsidR="00A5147D"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πρόοδο</w:t>
      </w:r>
      <w:r w:rsidR="00A5147D"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παρακολούθηση και αξιολόγηση</w:t>
      </w:r>
      <w:r w:rsidR="00A5147D"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της Εθνικής Στρατηγικής κατά της Διαφθοράς</w:t>
      </w:r>
      <w:r w:rsidR="00A5147D" w:rsidRPr="009E5B9B">
        <w:rPr>
          <w:rFonts w:ascii="Calibri" w:eastAsia="Calibri" w:hAnsi="Calibri" w:cs="Calibri"/>
          <w:sz w:val="24"/>
          <w:szCs w:val="24"/>
          <w:lang w:val="el-GR"/>
        </w:rPr>
        <w:t xml:space="preserve">. </w:t>
      </w:r>
      <w:r w:rsidR="009E5B9B">
        <w:rPr>
          <w:rFonts w:ascii="Calibri" w:eastAsia="Calibri" w:hAnsi="Calibri" w:cs="Calibri"/>
          <w:sz w:val="24"/>
          <w:szCs w:val="24"/>
          <w:lang w:val="el-GR"/>
        </w:rPr>
        <w:t>Η</w:t>
      </w:r>
      <w:r w:rsidR="009E5B9B" w:rsidRPr="00740E08">
        <w:rPr>
          <w:rFonts w:ascii="Calibri" w:eastAsia="Calibri" w:hAnsi="Calibri" w:cs="Calibri"/>
          <w:sz w:val="24"/>
          <w:szCs w:val="24"/>
          <w:lang w:val="el-GR"/>
        </w:rPr>
        <w:t xml:space="preserve"> </w:t>
      </w:r>
      <w:r w:rsidR="009E5B9B">
        <w:rPr>
          <w:rFonts w:ascii="Calibri" w:eastAsia="Calibri" w:hAnsi="Calibri" w:cs="Calibri"/>
          <w:sz w:val="24"/>
          <w:szCs w:val="24"/>
          <w:lang w:val="el-GR"/>
        </w:rPr>
        <w:t>Αρχή</w:t>
      </w:r>
      <w:r w:rsidR="009E5B9B" w:rsidRPr="00740E08">
        <w:rPr>
          <w:rFonts w:ascii="Calibri" w:eastAsia="Calibri" w:hAnsi="Calibri" w:cs="Calibri"/>
          <w:sz w:val="24"/>
          <w:szCs w:val="24"/>
          <w:lang w:val="el-GR"/>
        </w:rPr>
        <w:t xml:space="preserve"> </w:t>
      </w:r>
      <w:r w:rsidR="009E5B9B">
        <w:rPr>
          <w:rFonts w:ascii="Calibri" w:eastAsia="Calibri" w:hAnsi="Calibri" w:cs="Calibri"/>
          <w:sz w:val="24"/>
          <w:szCs w:val="24"/>
          <w:lang w:val="el-GR"/>
        </w:rPr>
        <w:t>έχει</w:t>
      </w:r>
      <w:r w:rsidR="009E5B9B" w:rsidRPr="00740E08">
        <w:rPr>
          <w:rFonts w:ascii="Calibri" w:eastAsia="Calibri" w:hAnsi="Calibri" w:cs="Calibri"/>
          <w:sz w:val="24"/>
          <w:szCs w:val="24"/>
          <w:lang w:val="el-GR"/>
        </w:rPr>
        <w:t xml:space="preserve"> </w:t>
      </w:r>
      <w:r w:rsidR="009E5B9B">
        <w:rPr>
          <w:rFonts w:ascii="Calibri" w:eastAsia="Calibri" w:hAnsi="Calibri" w:cs="Calibri"/>
          <w:sz w:val="24"/>
          <w:szCs w:val="24"/>
          <w:lang w:val="el-GR"/>
        </w:rPr>
        <w:t>τόσο</w:t>
      </w:r>
      <w:r w:rsidR="009E5B9B" w:rsidRPr="00740E08">
        <w:rPr>
          <w:rFonts w:ascii="Calibri" w:eastAsia="Calibri" w:hAnsi="Calibri" w:cs="Calibri"/>
          <w:sz w:val="24"/>
          <w:szCs w:val="24"/>
          <w:lang w:val="el-GR"/>
        </w:rPr>
        <w:t xml:space="preserve"> </w:t>
      </w:r>
      <w:r w:rsidR="009E5B9B">
        <w:rPr>
          <w:rFonts w:ascii="Calibri" w:eastAsia="Calibri" w:hAnsi="Calibri" w:cs="Calibri"/>
          <w:sz w:val="24"/>
          <w:szCs w:val="24"/>
          <w:lang w:val="el-GR"/>
        </w:rPr>
        <w:t>προληπτικό</w:t>
      </w:r>
      <w:r w:rsidR="009E5B9B" w:rsidRPr="00740E08">
        <w:rPr>
          <w:rFonts w:ascii="Calibri" w:eastAsia="Calibri" w:hAnsi="Calibri" w:cs="Calibri"/>
          <w:sz w:val="24"/>
          <w:szCs w:val="24"/>
          <w:lang w:val="el-GR"/>
        </w:rPr>
        <w:t xml:space="preserve"> </w:t>
      </w:r>
      <w:r w:rsidR="009E5B9B">
        <w:rPr>
          <w:rFonts w:ascii="Calibri" w:eastAsia="Calibri" w:hAnsi="Calibri" w:cs="Calibri"/>
          <w:sz w:val="24"/>
          <w:szCs w:val="24"/>
          <w:lang w:val="el-GR"/>
        </w:rPr>
        <w:t>όσο</w:t>
      </w:r>
      <w:r w:rsidR="009E5B9B" w:rsidRPr="00740E08">
        <w:rPr>
          <w:rFonts w:ascii="Calibri" w:eastAsia="Calibri" w:hAnsi="Calibri" w:cs="Calibri"/>
          <w:sz w:val="24"/>
          <w:szCs w:val="24"/>
          <w:lang w:val="el-GR"/>
        </w:rPr>
        <w:t xml:space="preserve"> </w:t>
      </w:r>
      <w:r w:rsidR="009E5B9B">
        <w:rPr>
          <w:rFonts w:ascii="Calibri" w:eastAsia="Calibri" w:hAnsi="Calibri" w:cs="Calibri"/>
          <w:sz w:val="24"/>
          <w:szCs w:val="24"/>
          <w:lang w:val="el-GR"/>
        </w:rPr>
        <w:t>και</w:t>
      </w:r>
      <w:r w:rsidR="009E5B9B" w:rsidRPr="00740E08">
        <w:rPr>
          <w:rFonts w:ascii="Calibri" w:eastAsia="Calibri" w:hAnsi="Calibri" w:cs="Calibri"/>
          <w:sz w:val="24"/>
          <w:szCs w:val="24"/>
          <w:lang w:val="el-GR"/>
        </w:rPr>
        <w:t xml:space="preserve"> </w:t>
      </w:r>
      <w:r w:rsidR="009E5B9B">
        <w:rPr>
          <w:rFonts w:ascii="Calibri" w:eastAsia="Calibri" w:hAnsi="Calibri" w:cs="Calibri"/>
          <w:sz w:val="24"/>
          <w:szCs w:val="24"/>
          <w:lang w:val="el-GR"/>
        </w:rPr>
        <w:t>διερευνητικό</w:t>
      </w:r>
      <w:r w:rsidR="009E5B9B" w:rsidRPr="00740E08">
        <w:rPr>
          <w:rFonts w:ascii="Calibri" w:eastAsia="Calibri" w:hAnsi="Calibri" w:cs="Calibri"/>
          <w:sz w:val="24"/>
          <w:szCs w:val="24"/>
          <w:lang w:val="el-GR"/>
        </w:rPr>
        <w:t xml:space="preserve"> </w:t>
      </w:r>
      <w:r w:rsidR="009E5B9B">
        <w:rPr>
          <w:rFonts w:ascii="Calibri" w:eastAsia="Calibri" w:hAnsi="Calibri" w:cs="Calibri"/>
          <w:sz w:val="24"/>
          <w:szCs w:val="24"/>
          <w:lang w:val="el-GR"/>
        </w:rPr>
        <w:t>ρόλο</w:t>
      </w:r>
      <w:r w:rsidR="00A5147D" w:rsidRPr="00740E08">
        <w:rPr>
          <w:rFonts w:ascii="Calibri" w:eastAsia="Calibri" w:hAnsi="Calibri" w:cs="Calibri"/>
          <w:sz w:val="24"/>
          <w:szCs w:val="24"/>
          <w:lang w:val="el-GR"/>
        </w:rPr>
        <w:t xml:space="preserve">. </w:t>
      </w:r>
      <w:r w:rsidR="009E5B9B">
        <w:rPr>
          <w:rFonts w:ascii="Calibri" w:eastAsia="Calibri" w:hAnsi="Calibri" w:cs="Calibri"/>
          <w:sz w:val="24"/>
          <w:szCs w:val="24"/>
          <w:lang w:val="el-GR"/>
        </w:rPr>
        <w:t>Προληπτικό</w:t>
      </w:r>
      <w:r w:rsidR="00A5147D" w:rsidRPr="00960F26">
        <w:rPr>
          <w:rFonts w:ascii="Calibri" w:eastAsia="Calibri" w:hAnsi="Calibri" w:cs="Calibri"/>
          <w:sz w:val="24"/>
          <w:szCs w:val="24"/>
          <w:lang w:val="el-GR"/>
        </w:rPr>
        <w:t xml:space="preserve">, </w:t>
      </w:r>
      <w:r w:rsidR="009E5B9B">
        <w:rPr>
          <w:rFonts w:ascii="Calibri" w:eastAsia="Calibri" w:hAnsi="Calibri" w:cs="Calibri"/>
          <w:sz w:val="24"/>
          <w:szCs w:val="24"/>
          <w:lang w:val="el-GR"/>
        </w:rPr>
        <w:t>εκπαιδεύοντας</w:t>
      </w:r>
      <w:r w:rsidR="009E5B9B" w:rsidRPr="00960F26">
        <w:rPr>
          <w:rFonts w:ascii="Calibri" w:eastAsia="Calibri" w:hAnsi="Calibri" w:cs="Calibri"/>
          <w:sz w:val="24"/>
          <w:szCs w:val="24"/>
          <w:lang w:val="el-GR"/>
        </w:rPr>
        <w:t xml:space="preserve"> </w:t>
      </w:r>
      <w:r w:rsidR="009E5B9B">
        <w:rPr>
          <w:rFonts w:ascii="Calibri" w:eastAsia="Calibri" w:hAnsi="Calibri" w:cs="Calibri"/>
          <w:sz w:val="24"/>
          <w:szCs w:val="24"/>
          <w:lang w:val="el-GR"/>
        </w:rPr>
        <w:t>και</w:t>
      </w:r>
      <w:r w:rsidR="009E5B9B" w:rsidRPr="00960F26">
        <w:rPr>
          <w:rFonts w:ascii="Calibri" w:eastAsia="Calibri" w:hAnsi="Calibri" w:cs="Calibri"/>
          <w:sz w:val="24"/>
          <w:szCs w:val="24"/>
          <w:lang w:val="el-GR"/>
        </w:rPr>
        <w:t xml:space="preserve"> </w:t>
      </w:r>
      <w:r w:rsidR="009E5B9B">
        <w:rPr>
          <w:rFonts w:ascii="Calibri" w:eastAsia="Calibri" w:hAnsi="Calibri" w:cs="Calibri"/>
          <w:sz w:val="24"/>
          <w:szCs w:val="24"/>
          <w:lang w:val="el-GR"/>
        </w:rPr>
        <w:t>καταρτώντας</w:t>
      </w:r>
      <w:r w:rsidR="009E5B9B" w:rsidRPr="00960F26">
        <w:rPr>
          <w:rFonts w:ascii="Calibri" w:eastAsia="Calibri" w:hAnsi="Calibri" w:cs="Calibri"/>
          <w:sz w:val="24"/>
          <w:szCs w:val="24"/>
          <w:lang w:val="el-GR"/>
        </w:rPr>
        <w:t xml:space="preserve"> </w:t>
      </w:r>
      <w:r w:rsidR="009E5B9B">
        <w:rPr>
          <w:rFonts w:ascii="Calibri" w:eastAsia="Calibri" w:hAnsi="Calibri" w:cs="Calibri"/>
          <w:sz w:val="24"/>
          <w:szCs w:val="24"/>
          <w:lang w:val="el-GR"/>
        </w:rPr>
        <w:t>τον</w:t>
      </w:r>
      <w:r w:rsidR="009E5B9B" w:rsidRPr="00960F26">
        <w:rPr>
          <w:rFonts w:ascii="Calibri" w:eastAsia="Calibri" w:hAnsi="Calibri" w:cs="Calibri"/>
          <w:sz w:val="24"/>
          <w:szCs w:val="24"/>
          <w:lang w:val="el-GR"/>
        </w:rPr>
        <w:t xml:space="preserve"> </w:t>
      </w:r>
      <w:r w:rsidR="009E5B9B">
        <w:rPr>
          <w:rFonts w:ascii="Calibri" w:eastAsia="Calibri" w:hAnsi="Calibri" w:cs="Calibri"/>
          <w:sz w:val="24"/>
          <w:szCs w:val="24"/>
          <w:lang w:val="el-GR"/>
        </w:rPr>
        <w:t>ιδιωτικό</w:t>
      </w:r>
      <w:r w:rsidR="009E5B9B" w:rsidRPr="00960F26">
        <w:rPr>
          <w:rFonts w:ascii="Calibri" w:eastAsia="Calibri" w:hAnsi="Calibri" w:cs="Calibri"/>
          <w:sz w:val="24"/>
          <w:szCs w:val="24"/>
          <w:lang w:val="el-GR"/>
        </w:rPr>
        <w:t xml:space="preserve"> </w:t>
      </w:r>
      <w:r w:rsidR="009E5B9B">
        <w:rPr>
          <w:rFonts w:ascii="Calibri" w:eastAsia="Calibri" w:hAnsi="Calibri" w:cs="Calibri"/>
          <w:sz w:val="24"/>
          <w:szCs w:val="24"/>
          <w:lang w:val="el-GR"/>
        </w:rPr>
        <w:t>και</w:t>
      </w:r>
      <w:r w:rsidR="009E5B9B" w:rsidRPr="00960F26">
        <w:rPr>
          <w:rFonts w:ascii="Calibri" w:eastAsia="Calibri" w:hAnsi="Calibri" w:cs="Calibri"/>
          <w:sz w:val="24"/>
          <w:szCs w:val="24"/>
          <w:lang w:val="el-GR"/>
        </w:rPr>
        <w:t xml:space="preserve"> </w:t>
      </w:r>
      <w:r w:rsidR="009E5B9B">
        <w:rPr>
          <w:rFonts w:ascii="Calibri" w:eastAsia="Calibri" w:hAnsi="Calibri" w:cs="Calibri"/>
          <w:sz w:val="24"/>
          <w:szCs w:val="24"/>
          <w:lang w:val="el-GR"/>
        </w:rPr>
        <w:t>δημόσιο</w:t>
      </w:r>
      <w:r w:rsidR="009E5B9B" w:rsidRPr="00960F26">
        <w:rPr>
          <w:rFonts w:ascii="Calibri" w:eastAsia="Calibri" w:hAnsi="Calibri" w:cs="Calibri"/>
          <w:sz w:val="24"/>
          <w:szCs w:val="24"/>
          <w:lang w:val="el-GR"/>
        </w:rPr>
        <w:t xml:space="preserve"> </w:t>
      </w:r>
      <w:r w:rsidR="009E5B9B">
        <w:rPr>
          <w:rFonts w:ascii="Calibri" w:eastAsia="Calibri" w:hAnsi="Calibri" w:cs="Calibri"/>
          <w:sz w:val="24"/>
          <w:szCs w:val="24"/>
          <w:lang w:val="el-GR"/>
        </w:rPr>
        <w:t>τομέα</w:t>
      </w:r>
      <w:r w:rsidR="009E5B9B" w:rsidRPr="00960F26">
        <w:rPr>
          <w:rFonts w:ascii="Calibri" w:eastAsia="Calibri" w:hAnsi="Calibri" w:cs="Calibri"/>
          <w:sz w:val="24"/>
          <w:szCs w:val="24"/>
          <w:lang w:val="el-GR"/>
        </w:rPr>
        <w:t xml:space="preserve"> </w:t>
      </w:r>
      <w:r w:rsidR="009E5B9B">
        <w:rPr>
          <w:rFonts w:ascii="Calibri" w:eastAsia="Calibri" w:hAnsi="Calibri" w:cs="Calibri"/>
          <w:sz w:val="24"/>
          <w:szCs w:val="24"/>
          <w:lang w:val="el-GR"/>
        </w:rPr>
        <w:t>σε</w:t>
      </w:r>
      <w:r w:rsidR="009E5B9B" w:rsidRPr="00960F26">
        <w:rPr>
          <w:rFonts w:ascii="Calibri" w:eastAsia="Calibri" w:hAnsi="Calibri" w:cs="Calibri"/>
          <w:sz w:val="24"/>
          <w:szCs w:val="24"/>
          <w:lang w:val="el-GR"/>
        </w:rPr>
        <w:t xml:space="preserve"> </w:t>
      </w:r>
      <w:r w:rsidR="009E5B9B">
        <w:rPr>
          <w:rFonts w:ascii="Calibri" w:eastAsia="Calibri" w:hAnsi="Calibri" w:cs="Calibri"/>
          <w:sz w:val="24"/>
          <w:szCs w:val="24"/>
          <w:lang w:val="el-GR"/>
        </w:rPr>
        <w:t>θέματα</w:t>
      </w:r>
      <w:r w:rsidR="009E5B9B"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διαφθοράς</w:t>
      </w:r>
      <w:r w:rsidR="00A5147D"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με</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την</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ενασχόληση</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με</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την</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διαχείρ</w:t>
      </w:r>
      <w:r w:rsidR="00B13A7A">
        <w:rPr>
          <w:rFonts w:ascii="Calibri" w:eastAsia="Calibri" w:hAnsi="Calibri" w:cs="Calibri"/>
          <w:sz w:val="24"/>
          <w:szCs w:val="24"/>
          <w:lang w:val="el-GR"/>
        </w:rPr>
        <w:t>ι</w:t>
      </w:r>
      <w:r w:rsidR="00960F26">
        <w:rPr>
          <w:rFonts w:ascii="Calibri" w:eastAsia="Calibri" w:hAnsi="Calibri" w:cs="Calibri"/>
          <w:sz w:val="24"/>
          <w:szCs w:val="24"/>
          <w:lang w:val="el-GR"/>
        </w:rPr>
        <w:t>ση</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κινδύνων</w:t>
      </w:r>
      <w:r w:rsidR="00A5147D"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κάνοντας</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συστάσεις</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για</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την</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βελτίωση</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των</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νόμων και των διαδικασιών</w:t>
      </w:r>
      <w:r w:rsidR="00A5147D"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που πιθανόν να</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επιτρέψουν ενέργειες διαφθοράς</w:t>
      </w:r>
      <w:r w:rsidR="0016084B" w:rsidRPr="00960F26">
        <w:rPr>
          <w:rFonts w:ascii="Calibri" w:eastAsia="Calibri" w:hAnsi="Calibri" w:cs="Calibri"/>
          <w:sz w:val="24"/>
          <w:szCs w:val="24"/>
          <w:lang w:val="el-GR"/>
        </w:rPr>
        <w:t>,</w:t>
      </w:r>
      <w:r w:rsidR="00A5147D"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κλπ</w:t>
      </w:r>
      <w:r w:rsidR="00A5147D"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Διερευνητικό</w:t>
      </w:r>
      <w:r w:rsidR="00A5147D"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με</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την</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αρμοδιότητα</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της</w:t>
      </w:r>
      <w:r w:rsidR="00230078">
        <w:rPr>
          <w:rFonts w:ascii="Calibri" w:eastAsia="Calibri" w:hAnsi="Calibri" w:cs="Calibri"/>
          <w:sz w:val="24"/>
          <w:szCs w:val="24"/>
          <w:lang w:val="el-GR"/>
        </w:rPr>
        <w:t>,</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και</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έχοντας</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τις</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απαραίτητες</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νομικές</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εξουσίες</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να</w:t>
      </w:r>
      <w:r w:rsidR="00960F26" w:rsidRPr="00960F26">
        <w:rPr>
          <w:rFonts w:ascii="Calibri" w:eastAsia="Calibri" w:hAnsi="Calibri" w:cs="Calibri"/>
          <w:sz w:val="24"/>
          <w:szCs w:val="24"/>
          <w:lang w:val="el-GR"/>
        </w:rPr>
        <w:t xml:space="preserve"> </w:t>
      </w:r>
      <w:r w:rsidR="00B13A7A">
        <w:rPr>
          <w:rFonts w:ascii="Calibri" w:eastAsia="Calibri" w:hAnsi="Calibri" w:cs="Calibri"/>
          <w:sz w:val="24"/>
          <w:szCs w:val="24"/>
          <w:lang w:val="el-GR"/>
        </w:rPr>
        <w:t xml:space="preserve">παραλαμβάνει </w:t>
      </w:r>
      <w:r w:rsidR="00960F26">
        <w:rPr>
          <w:rFonts w:ascii="Calibri" w:eastAsia="Calibri" w:hAnsi="Calibri" w:cs="Calibri"/>
          <w:sz w:val="24"/>
          <w:szCs w:val="24"/>
          <w:lang w:val="el-GR"/>
        </w:rPr>
        <w:t>παράπονα</w:t>
      </w:r>
      <w:r w:rsidR="00960F26" w:rsidRPr="00960F26">
        <w:rPr>
          <w:rFonts w:ascii="Calibri" w:eastAsia="Calibri" w:hAnsi="Calibri" w:cs="Calibri"/>
          <w:sz w:val="24"/>
          <w:szCs w:val="24"/>
          <w:lang w:val="el-GR"/>
        </w:rPr>
        <w:t xml:space="preserve"> </w:t>
      </w:r>
      <w:r w:rsidR="00B13A7A">
        <w:rPr>
          <w:rFonts w:ascii="Calibri" w:eastAsia="Calibri" w:hAnsi="Calibri" w:cs="Calibri"/>
          <w:sz w:val="24"/>
          <w:szCs w:val="24"/>
          <w:lang w:val="el-GR"/>
        </w:rPr>
        <w:t xml:space="preserve">ή </w:t>
      </w:r>
      <w:r w:rsidR="00960F26">
        <w:rPr>
          <w:rFonts w:ascii="Calibri" w:eastAsia="Calibri" w:hAnsi="Calibri" w:cs="Calibri"/>
          <w:sz w:val="24"/>
          <w:szCs w:val="24"/>
          <w:lang w:val="el-GR"/>
        </w:rPr>
        <w:t>πληροφορίες</w:t>
      </w:r>
      <w:r w:rsidR="00A5147D"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αναφορικά</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με</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ενέργειες</w:t>
      </w:r>
      <w:r w:rsidR="00960F26"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διαφθορά</w:t>
      </w:r>
      <w:r w:rsidR="00230078">
        <w:rPr>
          <w:rFonts w:ascii="Calibri" w:eastAsia="Calibri" w:hAnsi="Calibri" w:cs="Calibri"/>
          <w:sz w:val="24"/>
          <w:szCs w:val="24"/>
          <w:lang w:val="el-GR"/>
        </w:rPr>
        <w:t>ς</w:t>
      </w:r>
      <w:r w:rsidR="00A5147D"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εναντίον του δημ</w:t>
      </w:r>
      <w:r w:rsidR="00230078">
        <w:rPr>
          <w:rFonts w:ascii="Calibri" w:eastAsia="Calibri" w:hAnsi="Calibri" w:cs="Calibri"/>
          <w:sz w:val="24"/>
          <w:szCs w:val="24"/>
          <w:lang w:val="el-GR"/>
        </w:rPr>
        <w:t>οσ</w:t>
      </w:r>
      <w:r w:rsidR="00960F26">
        <w:rPr>
          <w:rFonts w:ascii="Calibri" w:eastAsia="Calibri" w:hAnsi="Calibri" w:cs="Calibri"/>
          <w:sz w:val="24"/>
          <w:szCs w:val="24"/>
          <w:lang w:val="el-GR"/>
        </w:rPr>
        <w:t>ίου τομέα</w:t>
      </w:r>
      <w:r w:rsidR="00A5147D" w:rsidRPr="00960F26">
        <w:rPr>
          <w:rFonts w:ascii="Calibri" w:eastAsia="Calibri" w:hAnsi="Calibri" w:cs="Calibri"/>
          <w:sz w:val="24"/>
          <w:szCs w:val="24"/>
          <w:lang w:val="el-GR"/>
        </w:rPr>
        <w:t xml:space="preserve"> </w:t>
      </w:r>
      <w:r w:rsidR="00230078">
        <w:rPr>
          <w:rFonts w:ascii="Calibri" w:eastAsia="Calibri" w:hAnsi="Calibri" w:cs="Calibri"/>
          <w:sz w:val="24"/>
          <w:szCs w:val="24"/>
          <w:lang w:val="el-GR"/>
        </w:rPr>
        <w:t>και να τα</w:t>
      </w:r>
      <w:r w:rsidR="00960F26">
        <w:rPr>
          <w:rFonts w:ascii="Calibri" w:eastAsia="Calibri" w:hAnsi="Calibri" w:cs="Calibri"/>
          <w:sz w:val="24"/>
          <w:szCs w:val="24"/>
          <w:lang w:val="el-GR"/>
        </w:rPr>
        <w:t xml:space="preserve"> </w:t>
      </w:r>
      <w:r w:rsidR="00B13A7A">
        <w:rPr>
          <w:rFonts w:ascii="Calibri" w:eastAsia="Calibri" w:hAnsi="Calibri" w:cs="Calibri"/>
          <w:sz w:val="24"/>
          <w:szCs w:val="24"/>
          <w:lang w:val="el-GR"/>
        </w:rPr>
        <w:t xml:space="preserve">αξιολογήσει </w:t>
      </w:r>
      <w:r w:rsidR="00960F26">
        <w:rPr>
          <w:rFonts w:ascii="Calibri" w:eastAsia="Calibri" w:hAnsi="Calibri" w:cs="Calibri"/>
          <w:sz w:val="24"/>
          <w:szCs w:val="24"/>
          <w:lang w:val="el-GR"/>
        </w:rPr>
        <w:t>και  διερευνήσει</w:t>
      </w:r>
      <w:r w:rsidR="00A5147D" w:rsidRPr="00960F26">
        <w:rPr>
          <w:rFonts w:ascii="Calibri" w:eastAsia="Calibri" w:hAnsi="Calibri" w:cs="Calibri"/>
          <w:sz w:val="24"/>
          <w:szCs w:val="24"/>
          <w:lang w:val="el-GR"/>
        </w:rPr>
        <w:t xml:space="preserve"> </w:t>
      </w:r>
      <w:r w:rsidR="00A5147D" w:rsidRPr="00960F26">
        <w:rPr>
          <w:rFonts w:ascii="Calibri" w:eastAsia="Calibri" w:hAnsi="Calibri" w:cs="Calibri"/>
          <w:sz w:val="24"/>
          <w:szCs w:val="24"/>
          <w:lang w:val="el-GR"/>
        </w:rPr>
        <w:lastRenderedPageBreak/>
        <w:t>(</w:t>
      </w:r>
      <w:r w:rsidR="00960F26">
        <w:rPr>
          <w:rFonts w:ascii="Calibri" w:eastAsia="Calibri" w:hAnsi="Calibri" w:cs="Calibri"/>
          <w:sz w:val="24"/>
          <w:szCs w:val="24"/>
          <w:lang w:val="el-GR"/>
        </w:rPr>
        <w:t>για περισσότερες λεπτομέρειες</w:t>
      </w:r>
      <w:r w:rsidR="00A5147D" w:rsidRPr="00960F26">
        <w:rPr>
          <w:rFonts w:ascii="Calibri" w:eastAsia="Calibri" w:hAnsi="Calibri" w:cs="Calibri"/>
          <w:sz w:val="24"/>
          <w:szCs w:val="24"/>
          <w:lang w:val="el-GR"/>
        </w:rPr>
        <w:t xml:space="preserve"> </w:t>
      </w:r>
      <w:r w:rsidR="00960F26">
        <w:rPr>
          <w:rFonts w:ascii="Calibri" w:eastAsia="Calibri" w:hAnsi="Calibri" w:cs="Calibri"/>
          <w:sz w:val="24"/>
          <w:szCs w:val="24"/>
          <w:lang w:val="el-GR"/>
        </w:rPr>
        <w:t>για την σύνθεση και τις εξουσίες της Αρχής κατά τη</w:t>
      </w:r>
      <w:r w:rsidR="00230078">
        <w:rPr>
          <w:rFonts w:ascii="Calibri" w:eastAsia="Calibri" w:hAnsi="Calibri" w:cs="Calibri"/>
          <w:sz w:val="24"/>
          <w:szCs w:val="24"/>
          <w:lang w:val="el-GR"/>
        </w:rPr>
        <w:t>ς</w:t>
      </w:r>
      <w:r w:rsidR="00960F26">
        <w:rPr>
          <w:rFonts w:ascii="Calibri" w:eastAsia="Calibri" w:hAnsi="Calibri" w:cs="Calibri"/>
          <w:sz w:val="24"/>
          <w:szCs w:val="24"/>
          <w:lang w:val="el-GR"/>
        </w:rPr>
        <w:t xml:space="preserve"> Διαφθορά</w:t>
      </w:r>
      <w:r w:rsidR="00230078">
        <w:rPr>
          <w:rFonts w:ascii="Calibri" w:eastAsia="Calibri" w:hAnsi="Calibri" w:cs="Calibri"/>
          <w:sz w:val="24"/>
          <w:szCs w:val="24"/>
          <w:lang w:val="el-GR"/>
        </w:rPr>
        <w:t>ς</w:t>
      </w:r>
      <w:r w:rsidR="00960F26">
        <w:rPr>
          <w:rFonts w:ascii="Calibri" w:eastAsia="Calibri" w:hAnsi="Calibri" w:cs="Calibri"/>
          <w:sz w:val="24"/>
          <w:szCs w:val="24"/>
          <w:lang w:val="el-GR"/>
        </w:rPr>
        <w:t>, βλ</w:t>
      </w:r>
      <w:r w:rsidR="00230078">
        <w:rPr>
          <w:rFonts w:ascii="Calibri" w:eastAsia="Calibri" w:hAnsi="Calibri" w:cs="Calibri"/>
          <w:sz w:val="24"/>
          <w:szCs w:val="24"/>
          <w:lang w:val="el-GR"/>
        </w:rPr>
        <w:t>έ</w:t>
      </w:r>
      <w:r w:rsidR="00960F26">
        <w:rPr>
          <w:rFonts w:ascii="Calibri" w:eastAsia="Calibri" w:hAnsi="Calibri" w:cs="Calibri"/>
          <w:sz w:val="24"/>
          <w:szCs w:val="24"/>
          <w:lang w:val="el-GR"/>
        </w:rPr>
        <w:t xml:space="preserve">πε </w:t>
      </w:r>
      <w:r w:rsidR="00230078">
        <w:rPr>
          <w:rFonts w:ascii="Calibri" w:eastAsia="Calibri" w:hAnsi="Calibri" w:cs="Calibri"/>
          <w:sz w:val="24"/>
          <w:szCs w:val="24"/>
          <w:lang w:val="el-GR"/>
        </w:rPr>
        <w:t>τις π</w:t>
      </w:r>
      <w:r w:rsidR="00960F26">
        <w:rPr>
          <w:rFonts w:ascii="Calibri" w:eastAsia="Calibri" w:hAnsi="Calibri" w:cs="Calibri"/>
          <w:sz w:val="24"/>
          <w:szCs w:val="24"/>
          <w:lang w:val="el-GR"/>
        </w:rPr>
        <w:t>αραγράφους</w:t>
      </w:r>
      <w:r w:rsidR="00A5147D" w:rsidRPr="00960F26">
        <w:rPr>
          <w:rFonts w:ascii="Calibri" w:eastAsia="Calibri" w:hAnsi="Calibri" w:cs="Calibri"/>
          <w:sz w:val="24"/>
          <w:szCs w:val="24"/>
          <w:lang w:val="el-GR"/>
        </w:rPr>
        <w:t xml:space="preserve"> </w:t>
      </w:r>
      <w:r w:rsidR="004A3418" w:rsidRPr="00960F26">
        <w:rPr>
          <w:rFonts w:ascii="Calibri" w:eastAsia="Calibri" w:hAnsi="Calibri" w:cs="Calibri"/>
          <w:sz w:val="24"/>
          <w:szCs w:val="24"/>
          <w:lang w:val="el-GR"/>
        </w:rPr>
        <w:t>131</w:t>
      </w:r>
      <w:r w:rsidR="00644EBB" w:rsidRPr="00960F26">
        <w:rPr>
          <w:rFonts w:ascii="Calibri" w:eastAsia="Calibri" w:hAnsi="Calibri" w:cs="Calibri"/>
          <w:sz w:val="24"/>
          <w:szCs w:val="24"/>
          <w:lang w:val="el-GR"/>
        </w:rPr>
        <w:t>-13</w:t>
      </w:r>
      <w:r w:rsidR="00BE416A" w:rsidRPr="00960F26">
        <w:rPr>
          <w:rFonts w:ascii="Calibri" w:eastAsia="Calibri" w:hAnsi="Calibri" w:cs="Calibri"/>
          <w:sz w:val="24"/>
          <w:szCs w:val="24"/>
          <w:lang w:val="el-GR"/>
        </w:rPr>
        <w:t>3</w:t>
      </w:r>
      <w:r w:rsidR="00A5147D" w:rsidRPr="00960F26">
        <w:rPr>
          <w:rFonts w:ascii="Calibri" w:eastAsia="Calibri" w:hAnsi="Calibri" w:cs="Calibri"/>
          <w:sz w:val="24"/>
          <w:szCs w:val="24"/>
          <w:lang w:val="el-GR"/>
        </w:rPr>
        <w:t xml:space="preserve">). </w:t>
      </w:r>
    </w:p>
    <w:p w14:paraId="6EEED4B4" w14:textId="77777777" w:rsidR="00A5147D" w:rsidRPr="00960F26" w:rsidRDefault="00A5147D" w:rsidP="00A5147D">
      <w:pPr>
        <w:pStyle w:val="ListParagraph"/>
        <w:rPr>
          <w:rFonts w:ascii="Calibri" w:eastAsia="Calibri" w:hAnsi="Calibri" w:cs="Calibri"/>
          <w:sz w:val="24"/>
          <w:szCs w:val="24"/>
          <w:lang w:val="el-GR"/>
        </w:rPr>
      </w:pPr>
    </w:p>
    <w:p w14:paraId="5B62EF48" w14:textId="0C11F6CC" w:rsidR="00A5147D" w:rsidRPr="007E3EE3" w:rsidRDefault="004256C9" w:rsidP="00A5147D">
      <w:pPr>
        <w:numPr>
          <w:ilvl w:val="0"/>
          <w:numId w:val="1"/>
        </w:numPr>
        <w:tabs>
          <w:tab w:val="clear" w:pos="6095"/>
          <w:tab w:val="left" w:pos="709"/>
        </w:tabs>
        <w:ind w:left="0" w:firstLine="0"/>
        <w:rPr>
          <w:rFonts w:ascii="Calibri" w:eastAsia="Calibri" w:hAnsi="Calibri" w:cs="Calibri"/>
          <w:sz w:val="24"/>
          <w:szCs w:val="24"/>
          <w:lang w:val="el-GR"/>
        </w:rPr>
      </w:pPr>
      <w:r>
        <w:rPr>
          <w:rFonts w:ascii="Calibri" w:eastAsia="Calibri" w:hAnsi="Calibri" w:cs="Calibri"/>
          <w:sz w:val="24"/>
          <w:szCs w:val="24"/>
          <w:lang w:val="el-GR"/>
        </w:rPr>
        <w:t>Η</w:t>
      </w:r>
      <w:r w:rsidR="00A5147D" w:rsidRPr="004256C9">
        <w:rPr>
          <w:rFonts w:ascii="Calibri" w:eastAsia="Calibri" w:hAnsi="Calibri" w:cs="Calibri"/>
          <w:sz w:val="24"/>
          <w:szCs w:val="24"/>
          <w:lang w:val="el-GR"/>
        </w:rPr>
        <w:t xml:space="preserve"> </w:t>
      </w:r>
      <w:r w:rsidR="00A5147D" w:rsidRPr="004E251E">
        <w:rPr>
          <w:rFonts w:ascii="Calibri" w:eastAsia="Calibri" w:hAnsi="Calibri" w:cs="Calibri"/>
          <w:sz w:val="24"/>
          <w:szCs w:val="24"/>
        </w:rPr>
        <w:t>GET</w:t>
      </w:r>
      <w:r w:rsidR="00A5147D" w:rsidRPr="004256C9">
        <w:rPr>
          <w:rFonts w:ascii="Calibri" w:eastAsia="Calibri" w:hAnsi="Calibri" w:cs="Calibri"/>
          <w:sz w:val="24"/>
          <w:szCs w:val="24"/>
          <w:lang w:val="el-GR"/>
        </w:rPr>
        <w:t xml:space="preserve"> </w:t>
      </w:r>
      <w:r>
        <w:rPr>
          <w:rFonts w:ascii="Calibri" w:eastAsia="Calibri" w:hAnsi="Calibri" w:cs="Calibri"/>
          <w:sz w:val="24"/>
          <w:szCs w:val="24"/>
          <w:lang w:val="el-GR"/>
        </w:rPr>
        <w:t>σημείω</w:t>
      </w:r>
      <w:r w:rsidR="0021662B">
        <w:rPr>
          <w:rFonts w:ascii="Calibri" w:eastAsia="Calibri" w:hAnsi="Calibri" w:cs="Calibri"/>
          <w:sz w:val="24"/>
          <w:szCs w:val="24"/>
          <w:lang w:val="el-GR"/>
        </w:rPr>
        <w:t>σε</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ότι</w:t>
      </w:r>
      <w:r w:rsidR="00A5147D" w:rsidRPr="004256C9">
        <w:rPr>
          <w:rFonts w:ascii="Calibri" w:eastAsia="Calibri" w:hAnsi="Calibri" w:cs="Calibri"/>
          <w:sz w:val="24"/>
          <w:szCs w:val="24"/>
          <w:lang w:val="el-GR"/>
        </w:rPr>
        <w:t xml:space="preserve">, </w:t>
      </w:r>
      <w:r w:rsidR="00B13A7A">
        <w:rPr>
          <w:rFonts w:ascii="Calibri" w:eastAsia="Calibri" w:hAnsi="Calibri" w:cs="Calibri"/>
          <w:sz w:val="24"/>
          <w:szCs w:val="24"/>
          <w:lang w:val="el-GR"/>
        </w:rPr>
        <w:t xml:space="preserve">παρά το </w:t>
      </w:r>
      <w:r>
        <w:rPr>
          <w:rFonts w:ascii="Calibri" w:eastAsia="Calibri" w:hAnsi="Calibri" w:cs="Calibri"/>
          <w:sz w:val="24"/>
          <w:szCs w:val="24"/>
          <w:lang w:val="el-GR"/>
        </w:rPr>
        <w:t>πρόσφατο</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σκάνδαλο</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του</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Κυπριακού</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Προγράμματος</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Επένδυσης</w:t>
      </w:r>
      <w:r w:rsidRPr="004256C9">
        <w:rPr>
          <w:rFonts w:ascii="Calibri" w:eastAsia="Calibri" w:hAnsi="Calibri" w:cs="Calibri"/>
          <w:sz w:val="24"/>
          <w:szCs w:val="24"/>
          <w:lang w:val="el-GR"/>
        </w:rPr>
        <w:t xml:space="preserve"> </w:t>
      </w:r>
      <w:r w:rsidR="00AC7E54" w:rsidRPr="004256C9">
        <w:rPr>
          <w:rFonts w:ascii="Calibri" w:eastAsia="Calibri" w:hAnsi="Calibri" w:cs="Calibri"/>
          <w:sz w:val="24"/>
          <w:szCs w:val="24"/>
          <w:lang w:val="el-GR"/>
        </w:rPr>
        <w:t>(</w:t>
      </w:r>
      <w:r w:rsidR="00AC7E54">
        <w:rPr>
          <w:rFonts w:ascii="Calibri" w:eastAsia="Calibri" w:hAnsi="Calibri" w:cs="Calibri"/>
          <w:sz w:val="24"/>
          <w:szCs w:val="24"/>
        </w:rPr>
        <w:t>CIP</w:t>
      </w:r>
      <w:r w:rsidR="00AC7E54" w:rsidRPr="004256C9">
        <w:rPr>
          <w:rFonts w:ascii="Calibri" w:eastAsia="Calibri" w:hAnsi="Calibri" w:cs="Calibri"/>
          <w:sz w:val="24"/>
          <w:szCs w:val="24"/>
          <w:lang w:val="el-GR"/>
        </w:rPr>
        <w:t>)</w:t>
      </w:r>
      <w:r w:rsidR="00A5147D" w:rsidRPr="004256C9">
        <w:rPr>
          <w:rFonts w:ascii="Calibri" w:eastAsia="Calibri" w:hAnsi="Calibri" w:cs="Calibri"/>
          <w:sz w:val="24"/>
          <w:szCs w:val="24"/>
          <w:lang w:val="el-GR"/>
        </w:rPr>
        <w:t xml:space="preserve"> </w:t>
      </w:r>
      <w:r>
        <w:rPr>
          <w:rFonts w:ascii="Calibri" w:eastAsia="Calibri" w:hAnsi="Calibri" w:cs="Calibri"/>
          <w:sz w:val="24"/>
          <w:szCs w:val="24"/>
          <w:lang w:val="el-GR"/>
        </w:rPr>
        <w:t>που</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έχει</w:t>
      </w:r>
      <w:r w:rsidRPr="004256C9">
        <w:rPr>
          <w:rFonts w:ascii="Calibri" w:eastAsia="Calibri" w:hAnsi="Calibri" w:cs="Calibri"/>
          <w:sz w:val="24"/>
          <w:szCs w:val="24"/>
          <w:lang w:val="el-GR"/>
        </w:rPr>
        <w:t xml:space="preserve"> </w:t>
      </w:r>
      <w:r w:rsidR="00B13A7A">
        <w:rPr>
          <w:rFonts w:ascii="Calibri" w:eastAsia="Calibri" w:hAnsi="Calibri" w:cs="Calibri"/>
          <w:sz w:val="24"/>
          <w:szCs w:val="24"/>
          <w:lang w:val="el-GR"/>
        </w:rPr>
        <w:t xml:space="preserve">επηρεάσει αρνητικά </w:t>
      </w:r>
      <w:r>
        <w:rPr>
          <w:rFonts w:ascii="Calibri" w:eastAsia="Calibri" w:hAnsi="Calibri" w:cs="Calibri"/>
          <w:sz w:val="24"/>
          <w:szCs w:val="24"/>
          <w:lang w:val="el-GR"/>
        </w:rPr>
        <w:t>τη</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φήμη</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της</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εκτελεστικής</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 xml:space="preserve">εξουσίας και έχει διαβρώσει περαιτέρω την εμπιστοσύνη του κοινού στις </w:t>
      </w:r>
      <w:r w:rsidR="00B13A7A">
        <w:rPr>
          <w:rFonts w:ascii="Calibri" w:eastAsia="Calibri" w:hAnsi="Calibri" w:cs="Calibri"/>
          <w:sz w:val="24"/>
          <w:szCs w:val="24"/>
          <w:lang w:val="el-GR"/>
        </w:rPr>
        <w:t xml:space="preserve">ανώτατες </w:t>
      </w:r>
      <w:r>
        <w:rPr>
          <w:rFonts w:ascii="Calibri" w:eastAsia="Calibri" w:hAnsi="Calibri" w:cs="Calibri"/>
          <w:sz w:val="24"/>
          <w:szCs w:val="24"/>
          <w:lang w:val="el-GR"/>
        </w:rPr>
        <w:t>βαθμίδες της δι</w:t>
      </w:r>
      <w:r w:rsidR="0021662B">
        <w:rPr>
          <w:rFonts w:ascii="Calibri" w:eastAsia="Calibri" w:hAnsi="Calibri" w:cs="Calibri"/>
          <w:sz w:val="24"/>
          <w:szCs w:val="24"/>
          <w:lang w:val="el-GR"/>
        </w:rPr>
        <w:t>οίκησης</w:t>
      </w:r>
      <w:r w:rsidR="00A5147D" w:rsidRPr="004256C9">
        <w:rPr>
          <w:rFonts w:ascii="Calibri" w:eastAsia="Calibri" w:hAnsi="Calibri" w:cs="Calibri"/>
          <w:sz w:val="24"/>
          <w:szCs w:val="24"/>
          <w:lang w:val="el-GR"/>
        </w:rPr>
        <w:t xml:space="preserve">, </w:t>
      </w:r>
      <w:r>
        <w:rPr>
          <w:rFonts w:ascii="Calibri" w:eastAsia="Calibri" w:hAnsi="Calibri" w:cs="Calibri"/>
          <w:sz w:val="24"/>
          <w:szCs w:val="24"/>
          <w:lang w:val="el-GR"/>
        </w:rPr>
        <w:t xml:space="preserve">δεν </w:t>
      </w:r>
      <w:r w:rsidR="00B13A7A">
        <w:rPr>
          <w:rFonts w:ascii="Calibri" w:eastAsia="Calibri" w:hAnsi="Calibri" w:cs="Calibri"/>
          <w:sz w:val="24"/>
          <w:szCs w:val="24"/>
          <w:lang w:val="el-GR"/>
        </w:rPr>
        <w:t xml:space="preserve">φαίνεται να </w:t>
      </w:r>
      <w:r>
        <w:rPr>
          <w:rFonts w:ascii="Calibri" w:eastAsia="Calibri" w:hAnsi="Calibri" w:cs="Calibri"/>
          <w:sz w:val="24"/>
          <w:szCs w:val="24"/>
          <w:lang w:val="el-GR"/>
        </w:rPr>
        <w:t>υπάρχει κάποιο σύστημα</w:t>
      </w:r>
      <w:r w:rsidR="00A5147D" w:rsidRPr="004256C9">
        <w:rPr>
          <w:rFonts w:ascii="Calibri" w:eastAsia="Calibri" w:hAnsi="Calibri" w:cs="Calibri"/>
          <w:sz w:val="24"/>
          <w:szCs w:val="24"/>
          <w:lang w:val="el-GR"/>
        </w:rPr>
        <w:t xml:space="preserve"> </w:t>
      </w:r>
      <w:r>
        <w:rPr>
          <w:rFonts w:ascii="Calibri" w:eastAsia="Calibri" w:hAnsi="Calibri" w:cs="Calibri"/>
          <w:sz w:val="24"/>
          <w:szCs w:val="24"/>
          <w:lang w:val="el-GR"/>
        </w:rPr>
        <w:t>για ανάλυση</w:t>
      </w:r>
      <w:r w:rsidR="00B13A7A" w:rsidRPr="00B13A7A">
        <w:rPr>
          <w:rFonts w:ascii="Calibri" w:eastAsia="Calibri" w:hAnsi="Calibri" w:cs="Calibri"/>
          <w:sz w:val="24"/>
          <w:szCs w:val="24"/>
          <w:lang w:val="el-GR"/>
        </w:rPr>
        <w:t xml:space="preserve"> </w:t>
      </w:r>
      <w:r w:rsidR="00B13A7A">
        <w:rPr>
          <w:rFonts w:ascii="Calibri" w:eastAsia="Calibri" w:hAnsi="Calibri" w:cs="Calibri"/>
          <w:sz w:val="24"/>
          <w:szCs w:val="24"/>
          <w:lang w:val="el-GR"/>
        </w:rPr>
        <w:t>με ένα ολιστικό και στρατηγικό τρόπο</w:t>
      </w:r>
      <w:r>
        <w:rPr>
          <w:rFonts w:ascii="Calibri" w:eastAsia="Calibri" w:hAnsi="Calibri" w:cs="Calibri"/>
          <w:sz w:val="24"/>
          <w:szCs w:val="24"/>
          <w:lang w:val="el-GR"/>
        </w:rPr>
        <w:t xml:space="preserve"> των κύριων </w:t>
      </w:r>
      <w:r w:rsidR="00B13A7A">
        <w:rPr>
          <w:rFonts w:ascii="Calibri" w:eastAsia="Calibri" w:hAnsi="Calibri" w:cs="Calibri"/>
          <w:sz w:val="24"/>
          <w:szCs w:val="24"/>
          <w:lang w:val="el-GR"/>
        </w:rPr>
        <w:t xml:space="preserve">παραγόντων </w:t>
      </w:r>
      <w:r>
        <w:rPr>
          <w:rFonts w:ascii="Calibri" w:eastAsia="Calibri" w:hAnsi="Calibri" w:cs="Calibri"/>
          <w:sz w:val="24"/>
          <w:szCs w:val="24"/>
          <w:lang w:val="el-GR"/>
        </w:rPr>
        <w:t xml:space="preserve">κινδύνου διαφθοράς </w:t>
      </w:r>
      <w:r w:rsidR="00B13A7A">
        <w:rPr>
          <w:rFonts w:ascii="Calibri" w:eastAsia="Calibri" w:hAnsi="Calibri" w:cs="Calibri"/>
          <w:sz w:val="24"/>
          <w:szCs w:val="24"/>
          <w:lang w:val="el-GR"/>
        </w:rPr>
        <w:t xml:space="preserve">που αντιμετωπίζουν οι </w:t>
      </w:r>
      <w:r w:rsidR="00B13A7A">
        <w:rPr>
          <w:rFonts w:ascii="Calibri" w:eastAsia="Calibri" w:hAnsi="Calibri" w:cs="Calibri"/>
          <w:sz w:val="24"/>
          <w:szCs w:val="24"/>
          <w:lang w:val="en-US"/>
        </w:rPr>
        <w:t>PTEFs</w:t>
      </w:r>
      <w:r w:rsidR="00A5147D" w:rsidRPr="004256C9">
        <w:rPr>
          <w:rFonts w:ascii="Calibri" w:eastAsia="Calibri" w:hAnsi="Calibri" w:cs="Calibri"/>
          <w:sz w:val="24"/>
          <w:szCs w:val="24"/>
          <w:lang w:val="el-GR"/>
        </w:rPr>
        <w:t xml:space="preserve">. </w:t>
      </w:r>
      <w:r>
        <w:rPr>
          <w:rFonts w:ascii="Calibri" w:eastAsia="Calibri" w:hAnsi="Calibri" w:cs="Calibri"/>
          <w:sz w:val="24"/>
          <w:szCs w:val="24"/>
          <w:lang w:val="el-GR"/>
        </w:rPr>
        <w:t>Οι</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αρχές</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αναγνωρίζουν</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ότι</w:t>
      </w:r>
      <w:r w:rsidR="00A5147D" w:rsidRPr="004256C9">
        <w:rPr>
          <w:rFonts w:ascii="Calibri" w:eastAsia="Calibri" w:hAnsi="Calibri" w:cs="Calibri"/>
          <w:sz w:val="24"/>
          <w:szCs w:val="24"/>
          <w:lang w:val="el-GR"/>
        </w:rPr>
        <w:t xml:space="preserve"> </w:t>
      </w:r>
      <w:r>
        <w:rPr>
          <w:rFonts w:ascii="Calibri" w:eastAsia="Calibri" w:hAnsi="Calibri" w:cs="Calibri"/>
          <w:sz w:val="24"/>
          <w:szCs w:val="24"/>
          <w:lang w:val="el-GR"/>
        </w:rPr>
        <w:t>η</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αξιολόγηση</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του</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κινδύνου</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είναι</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ένας</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άλλο τομέας</w:t>
      </w:r>
      <w:r w:rsidR="00A5147D" w:rsidRPr="004256C9">
        <w:rPr>
          <w:rFonts w:ascii="Calibri" w:eastAsia="Calibri" w:hAnsi="Calibri" w:cs="Calibri"/>
          <w:sz w:val="24"/>
          <w:szCs w:val="24"/>
          <w:lang w:val="el-GR"/>
        </w:rPr>
        <w:t xml:space="preserve"> </w:t>
      </w:r>
      <w:r>
        <w:rPr>
          <w:rFonts w:ascii="Calibri" w:eastAsia="Calibri" w:hAnsi="Calibri" w:cs="Calibri"/>
          <w:sz w:val="24"/>
          <w:szCs w:val="24"/>
          <w:lang w:val="el-GR"/>
        </w:rPr>
        <w:t xml:space="preserve">που </w:t>
      </w:r>
      <w:r w:rsidR="00EB12C2">
        <w:rPr>
          <w:rFonts w:ascii="Calibri" w:eastAsia="Calibri" w:hAnsi="Calibri" w:cs="Calibri"/>
          <w:sz w:val="24"/>
          <w:szCs w:val="24"/>
          <w:lang w:val="el-GR"/>
        </w:rPr>
        <w:t>χρειάζεται</w:t>
      </w:r>
      <w:r>
        <w:rPr>
          <w:rFonts w:ascii="Calibri" w:eastAsia="Calibri" w:hAnsi="Calibri" w:cs="Calibri"/>
          <w:sz w:val="24"/>
          <w:szCs w:val="24"/>
          <w:lang w:val="el-GR"/>
        </w:rPr>
        <w:t xml:space="preserve"> μεγαλύτερη προσοχή στην Κύπρο</w:t>
      </w:r>
      <w:r w:rsidR="00A5147D" w:rsidRPr="004256C9">
        <w:rPr>
          <w:rFonts w:ascii="Calibri" w:eastAsia="Calibri" w:hAnsi="Calibri" w:cs="Calibri"/>
          <w:sz w:val="24"/>
          <w:szCs w:val="24"/>
          <w:lang w:val="el-GR"/>
        </w:rPr>
        <w:t xml:space="preserve">. </w:t>
      </w:r>
      <w:r>
        <w:rPr>
          <w:rFonts w:ascii="Calibri" w:eastAsia="Calibri" w:hAnsi="Calibri" w:cs="Calibri"/>
          <w:sz w:val="24"/>
          <w:szCs w:val="24"/>
          <w:lang w:val="el-GR"/>
        </w:rPr>
        <w:t>Προβλέπεται</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ότι</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η</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Αρχή</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κατά</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της</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Διαφθοράς</w:t>
      </w:r>
      <w:r w:rsidR="00A5147D" w:rsidRPr="004256C9">
        <w:rPr>
          <w:rFonts w:ascii="Calibri" w:eastAsia="Calibri" w:hAnsi="Calibri" w:cs="Calibri"/>
          <w:sz w:val="24"/>
          <w:szCs w:val="24"/>
          <w:lang w:val="el-GR"/>
        </w:rPr>
        <w:t xml:space="preserve"> </w:t>
      </w:r>
      <w:r>
        <w:rPr>
          <w:rFonts w:ascii="Calibri" w:eastAsia="Calibri" w:hAnsi="Calibri" w:cs="Calibri"/>
          <w:sz w:val="24"/>
          <w:szCs w:val="24"/>
          <w:lang w:val="el-GR"/>
        </w:rPr>
        <w:t>θα</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αν</w:t>
      </w:r>
      <w:r w:rsidR="0021662B">
        <w:rPr>
          <w:rFonts w:ascii="Calibri" w:eastAsia="Calibri" w:hAnsi="Calibri" w:cs="Calibri"/>
          <w:sz w:val="24"/>
          <w:szCs w:val="24"/>
          <w:lang w:val="el-GR"/>
        </w:rPr>
        <w:t>α</w:t>
      </w:r>
      <w:r>
        <w:rPr>
          <w:rFonts w:ascii="Calibri" w:eastAsia="Calibri" w:hAnsi="Calibri" w:cs="Calibri"/>
          <w:sz w:val="24"/>
          <w:szCs w:val="24"/>
          <w:lang w:val="el-GR"/>
        </w:rPr>
        <w:t>λάβει</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κάποια</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ευθύνη</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σε</w:t>
      </w:r>
      <w:r w:rsidRPr="004256C9">
        <w:rPr>
          <w:rFonts w:ascii="Calibri" w:eastAsia="Calibri" w:hAnsi="Calibri" w:cs="Calibri"/>
          <w:sz w:val="24"/>
          <w:szCs w:val="24"/>
          <w:lang w:val="el-GR"/>
        </w:rPr>
        <w:t xml:space="preserve"> </w:t>
      </w:r>
      <w:r>
        <w:rPr>
          <w:rFonts w:ascii="Calibri" w:eastAsia="Calibri" w:hAnsi="Calibri" w:cs="Calibri"/>
          <w:sz w:val="24"/>
          <w:szCs w:val="24"/>
          <w:lang w:val="el-GR"/>
        </w:rPr>
        <w:t>σχέση</w:t>
      </w:r>
      <w:r w:rsidRPr="004256C9">
        <w:rPr>
          <w:rFonts w:ascii="Calibri" w:eastAsia="Calibri" w:hAnsi="Calibri" w:cs="Calibri"/>
          <w:sz w:val="24"/>
          <w:szCs w:val="24"/>
          <w:lang w:val="el-GR"/>
        </w:rPr>
        <w:t xml:space="preserve"> </w:t>
      </w:r>
      <w:r w:rsidR="00EB12C2">
        <w:rPr>
          <w:rFonts w:ascii="Calibri" w:eastAsia="Calibri" w:hAnsi="Calibri" w:cs="Calibri"/>
          <w:sz w:val="24"/>
          <w:szCs w:val="24"/>
          <w:lang w:val="el-GR"/>
        </w:rPr>
        <w:t>μ</w:t>
      </w:r>
      <w:r w:rsidR="00EB12C2" w:rsidRPr="004256C9">
        <w:rPr>
          <w:rFonts w:ascii="Calibri" w:eastAsia="Calibri" w:hAnsi="Calibri" w:cs="Calibri"/>
          <w:sz w:val="24"/>
          <w:szCs w:val="24"/>
          <w:lang w:val="el-GR"/>
        </w:rPr>
        <w:t xml:space="preserve"> </w:t>
      </w:r>
      <w:r w:rsidR="00EB12C2">
        <w:rPr>
          <w:rFonts w:ascii="Calibri" w:eastAsia="Calibri" w:hAnsi="Calibri" w:cs="Calibri"/>
          <w:sz w:val="24"/>
          <w:szCs w:val="24"/>
          <w:lang w:val="el-GR"/>
        </w:rPr>
        <w:t>‘αυτό</w:t>
      </w:r>
      <w:r w:rsidR="00A5147D" w:rsidRPr="004256C9">
        <w:rPr>
          <w:rFonts w:ascii="Calibri" w:eastAsia="Calibri" w:hAnsi="Calibri" w:cs="Calibri"/>
          <w:sz w:val="24"/>
          <w:szCs w:val="24"/>
          <w:lang w:val="el-GR"/>
        </w:rPr>
        <w:t xml:space="preserve">, </w:t>
      </w:r>
      <w:r>
        <w:rPr>
          <w:rFonts w:ascii="Calibri" w:eastAsia="Calibri" w:hAnsi="Calibri" w:cs="Calibri"/>
          <w:sz w:val="24"/>
          <w:szCs w:val="24"/>
          <w:lang w:val="el-GR"/>
        </w:rPr>
        <w:t xml:space="preserve">αφού </w:t>
      </w:r>
      <w:r w:rsidR="00E97BFF">
        <w:rPr>
          <w:rFonts w:ascii="Calibri" w:eastAsia="Calibri" w:hAnsi="Calibri" w:cs="Calibri"/>
          <w:sz w:val="24"/>
          <w:szCs w:val="24"/>
          <w:lang w:val="el-GR"/>
        </w:rPr>
        <w:t xml:space="preserve">εγγυάται </w:t>
      </w:r>
      <w:r>
        <w:rPr>
          <w:rFonts w:ascii="Calibri" w:eastAsia="Calibri" w:hAnsi="Calibri" w:cs="Calibri"/>
          <w:sz w:val="24"/>
          <w:szCs w:val="24"/>
          <w:lang w:val="el-GR"/>
        </w:rPr>
        <w:t>την απο</w:t>
      </w:r>
      <w:r w:rsidR="0021662B">
        <w:rPr>
          <w:rFonts w:ascii="Calibri" w:eastAsia="Calibri" w:hAnsi="Calibri" w:cs="Calibri"/>
          <w:sz w:val="24"/>
          <w:szCs w:val="24"/>
          <w:lang w:val="el-GR"/>
        </w:rPr>
        <w:t>τ</w:t>
      </w:r>
      <w:r>
        <w:rPr>
          <w:rFonts w:ascii="Calibri" w:eastAsia="Calibri" w:hAnsi="Calibri" w:cs="Calibri"/>
          <w:sz w:val="24"/>
          <w:szCs w:val="24"/>
          <w:lang w:val="el-GR"/>
        </w:rPr>
        <w:t>ελεσματική υλοποίηση της Εθνικής Στρατηγικής κατά τη</w:t>
      </w:r>
      <w:r w:rsidR="00E97BFF">
        <w:rPr>
          <w:rFonts w:ascii="Calibri" w:eastAsia="Calibri" w:hAnsi="Calibri" w:cs="Calibri"/>
          <w:sz w:val="24"/>
          <w:szCs w:val="24"/>
          <w:lang w:val="el-GR"/>
        </w:rPr>
        <w:t>ς</w:t>
      </w:r>
      <w:r>
        <w:rPr>
          <w:rFonts w:ascii="Calibri" w:eastAsia="Calibri" w:hAnsi="Calibri" w:cs="Calibri"/>
          <w:sz w:val="24"/>
          <w:szCs w:val="24"/>
          <w:lang w:val="el-GR"/>
        </w:rPr>
        <w:t xml:space="preserve"> </w:t>
      </w:r>
      <w:r w:rsidR="00E97BFF">
        <w:rPr>
          <w:rFonts w:ascii="Calibri" w:eastAsia="Calibri" w:hAnsi="Calibri" w:cs="Calibri"/>
          <w:sz w:val="24"/>
          <w:szCs w:val="24"/>
          <w:lang w:val="el-GR"/>
        </w:rPr>
        <w:t>Δ</w:t>
      </w:r>
      <w:r>
        <w:rPr>
          <w:rFonts w:ascii="Calibri" w:eastAsia="Calibri" w:hAnsi="Calibri" w:cs="Calibri"/>
          <w:sz w:val="24"/>
          <w:szCs w:val="24"/>
          <w:lang w:val="el-GR"/>
        </w:rPr>
        <w:t>ιαφθορά</w:t>
      </w:r>
      <w:r w:rsidR="00E97BFF">
        <w:rPr>
          <w:rFonts w:ascii="Calibri" w:eastAsia="Calibri" w:hAnsi="Calibri" w:cs="Calibri"/>
          <w:sz w:val="24"/>
          <w:szCs w:val="24"/>
          <w:lang w:val="el-GR"/>
        </w:rPr>
        <w:t>ς</w:t>
      </w:r>
      <w:r w:rsidR="00A5147D" w:rsidRPr="004256C9">
        <w:rPr>
          <w:rFonts w:ascii="Calibri" w:eastAsia="Calibri" w:hAnsi="Calibri" w:cs="Calibri"/>
          <w:sz w:val="24"/>
          <w:szCs w:val="24"/>
          <w:lang w:val="el-GR"/>
        </w:rPr>
        <w:t xml:space="preserve">. </w:t>
      </w:r>
      <w:r>
        <w:rPr>
          <w:rFonts w:ascii="Calibri" w:eastAsia="Calibri" w:hAnsi="Calibri" w:cs="Calibri"/>
          <w:sz w:val="24"/>
          <w:szCs w:val="24"/>
          <w:lang w:val="el-GR"/>
        </w:rPr>
        <w:t>Η</w:t>
      </w:r>
      <w:r w:rsidR="00A5147D" w:rsidRPr="007E3EE3">
        <w:rPr>
          <w:rFonts w:ascii="Calibri" w:eastAsia="Calibri" w:hAnsi="Calibri" w:cs="Calibri"/>
          <w:sz w:val="24"/>
          <w:szCs w:val="24"/>
          <w:lang w:val="el-GR"/>
        </w:rPr>
        <w:t xml:space="preserve"> </w:t>
      </w:r>
      <w:r w:rsidR="00A5147D" w:rsidRPr="004E251E">
        <w:rPr>
          <w:rFonts w:ascii="Calibri" w:eastAsia="Calibri" w:hAnsi="Calibri" w:cs="Calibri"/>
          <w:sz w:val="24"/>
          <w:szCs w:val="24"/>
        </w:rPr>
        <w:t>GET</w:t>
      </w:r>
      <w:r w:rsidR="00A5147D" w:rsidRPr="007E3EE3">
        <w:rPr>
          <w:rFonts w:ascii="Calibri" w:eastAsia="Calibri" w:hAnsi="Calibri" w:cs="Calibri"/>
          <w:sz w:val="24"/>
          <w:szCs w:val="24"/>
          <w:lang w:val="el-GR"/>
        </w:rPr>
        <w:t xml:space="preserve"> </w:t>
      </w:r>
      <w:r>
        <w:rPr>
          <w:rFonts w:ascii="Calibri" w:eastAsia="Calibri" w:hAnsi="Calibri" w:cs="Calibri"/>
          <w:sz w:val="24"/>
          <w:szCs w:val="24"/>
          <w:lang w:val="el-GR"/>
        </w:rPr>
        <w:t>αναφέρεται</w:t>
      </w:r>
      <w:r w:rsidRPr="007E3EE3">
        <w:rPr>
          <w:rFonts w:ascii="Calibri" w:eastAsia="Calibri" w:hAnsi="Calibri" w:cs="Calibri"/>
          <w:sz w:val="24"/>
          <w:szCs w:val="24"/>
          <w:lang w:val="el-GR"/>
        </w:rPr>
        <w:t xml:space="preserve"> </w:t>
      </w:r>
      <w:r>
        <w:rPr>
          <w:rFonts w:ascii="Calibri" w:eastAsia="Calibri" w:hAnsi="Calibri" w:cs="Calibri"/>
          <w:sz w:val="24"/>
          <w:szCs w:val="24"/>
          <w:lang w:val="el-GR"/>
        </w:rPr>
        <w:t>επίσης</w:t>
      </w:r>
      <w:r w:rsidRPr="007E3EE3">
        <w:rPr>
          <w:rFonts w:ascii="Calibri" w:eastAsia="Calibri" w:hAnsi="Calibri" w:cs="Calibri"/>
          <w:sz w:val="24"/>
          <w:szCs w:val="24"/>
          <w:lang w:val="el-GR"/>
        </w:rPr>
        <w:t xml:space="preserve"> </w:t>
      </w:r>
      <w:r>
        <w:rPr>
          <w:rFonts w:ascii="Calibri" w:eastAsia="Calibri" w:hAnsi="Calibri" w:cs="Calibri"/>
          <w:sz w:val="24"/>
          <w:szCs w:val="24"/>
          <w:lang w:val="el-GR"/>
        </w:rPr>
        <w:t>στο</w:t>
      </w:r>
      <w:r w:rsidRPr="007E3EE3">
        <w:rPr>
          <w:rFonts w:ascii="Calibri" w:eastAsia="Calibri" w:hAnsi="Calibri" w:cs="Calibri"/>
          <w:sz w:val="24"/>
          <w:szCs w:val="24"/>
          <w:lang w:val="el-GR"/>
        </w:rPr>
        <w:t xml:space="preserve"> </w:t>
      </w:r>
      <w:r>
        <w:rPr>
          <w:rFonts w:ascii="Calibri" w:eastAsia="Calibri" w:hAnsi="Calibri" w:cs="Calibri"/>
          <w:sz w:val="24"/>
          <w:szCs w:val="24"/>
          <w:lang w:val="el-GR"/>
        </w:rPr>
        <w:t>προηγούμενο</w:t>
      </w:r>
      <w:r w:rsidRPr="007E3EE3">
        <w:rPr>
          <w:rFonts w:ascii="Calibri" w:eastAsia="Calibri" w:hAnsi="Calibri" w:cs="Calibri"/>
          <w:sz w:val="24"/>
          <w:szCs w:val="24"/>
          <w:lang w:val="el-GR"/>
        </w:rPr>
        <w:t xml:space="preserve"> </w:t>
      </w:r>
      <w:r>
        <w:rPr>
          <w:rFonts w:ascii="Calibri" w:eastAsia="Calibri" w:hAnsi="Calibri" w:cs="Calibri"/>
          <w:sz w:val="24"/>
          <w:szCs w:val="24"/>
          <w:lang w:val="el-GR"/>
        </w:rPr>
        <w:t>της</w:t>
      </w:r>
      <w:r w:rsidRPr="007E3EE3">
        <w:rPr>
          <w:rFonts w:ascii="Calibri" w:eastAsia="Calibri" w:hAnsi="Calibri" w:cs="Calibri"/>
          <w:sz w:val="24"/>
          <w:szCs w:val="24"/>
          <w:lang w:val="el-GR"/>
        </w:rPr>
        <w:t xml:space="preserve"> </w:t>
      </w:r>
      <w:r>
        <w:rPr>
          <w:rFonts w:ascii="Calibri" w:eastAsia="Calibri" w:hAnsi="Calibri" w:cs="Calibri"/>
          <w:sz w:val="24"/>
          <w:szCs w:val="24"/>
          <w:lang w:val="el-GR"/>
        </w:rPr>
        <w:t>σχόλιο</w:t>
      </w:r>
      <w:r w:rsidR="00A5147D" w:rsidRPr="007E3EE3">
        <w:rPr>
          <w:rFonts w:ascii="Calibri" w:eastAsia="Calibri" w:hAnsi="Calibri" w:cs="Calibri"/>
          <w:sz w:val="24"/>
          <w:szCs w:val="24"/>
          <w:lang w:val="el-GR"/>
        </w:rPr>
        <w:t xml:space="preserve"> </w:t>
      </w:r>
      <w:r>
        <w:rPr>
          <w:rFonts w:ascii="Calibri" w:eastAsia="Calibri" w:hAnsi="Calibri" w:cs="Calibri"/>
          <w:sz w:val="24"/>
          <w:szCs w:val="24"/>
          <w:lang w:val="el-GR"/>
        </w:rPr>
        <w:t>που</w:t>
      </w:r>
      <w:r w:rsidRPr="007E3EE3">
        <w:rPr>
          <w:rFonts w:ascii="Calibri" w:eastAsia="Calibri" w:hAnsi="Calibri" w:cs="Calibri"/>
          <w:sz w:val="24"/>
          <w:szCs w:val="24"/>
          <w:lang w:val="el-GR"/>
        </w:rPr>
        <w:t xml:space="preserve"> </w:t>
      </w:r>
      <w:r>
        <w:rPr>
          <w:rFonts w:ascii="Calibri" w:eastAsia="Calibri" w:hAnsi="Calibri" w:cs="Calibri"/>
          <w:sz w:val="24"/>
          <w:szCs w:val="24"/>
          <w:lang w:val="el-GR"/>
        </w:rPr>
        <w:t>αφορά</w:t>
      </w:r>
      <w:r w:rsidR="00A5147D" w:rsidRPr="007E3EE3">
        <w:rPr>
          <w:rFonts w:ascii="Calibri" w:eastAsia="Calibri" w:hAnsi="Calibri" w:cs="Calibri"/>
          <w:sz w:val="24"/>
          <w:szCs w:val="24"/>
          <w:lang w:val="el-GR"/>
        </w:rPr>
        <w:t xml:space="preserve"> </w:t>
      </w:r>
      <w:r w:rsidR="00E97BFF">
        <w:rPr>
          <w:rFonts w:ascii="Calibri" w:eastAsia="Calibri" w:hAnsi="Calibri" w:cs="Calibri"/>
          <w:sz w:val="24"/>
          <w:szCs w:val="24"/>
          <w:lang w:val="el-GR"/>
        </w:rPr>
        <w:t>αποσπασματικές</w:t>
      </w:r>
      <w:r w:rsidR="00A5147D" w:rsidRPr="007E3EE3">
        <w:rPr>
          <w:rFonts w:ascii="Calibri" w:eastAsia="Calibri" w:hAnsi="Calibri" w:cs="Calibri"/>
          <w:sz w:val="24"/>
          <w:szCs w:val="24"/>
          <w:lang w:val="el-GR"/>
        </w:rPr>
        <w:t>/</w:t>
      </w:r>
      <w:r w:rsidR="007E3EE3">
        <w:rPr>
          <w:rFonts w:ascii="Calibri" w:eastAsia="Calibri" w:hAnsi="Calibri" w:cs="Calibri"/>
          <w:sz w:val="24"/>
          <w:szCs w:val="24"/>
          <w:lang w:val="el-GR"/>
        </w:rPr>
        <w:t>ανομοιόμορφ</w:t>
      </w:r>
      <w:r w:rsidR="0021662B">
        <w:rPr>
          <w:rFonts w:ascii="Calibri" w:eastAsia="Calibri" w:hAnsi="Calibri" w:cs="Calibri"/>
          <w:sz w:val="24"/>
          <w:szCs w:val="24"/>
          <w:lang w:val="el-GR"/>
        </w:rPr>
        <w:t>ες</w:t>
      </w:r>
      <w:r w:rsidR="007E3EE3">
        <w:rPr>
          <w:rFonts w:ascii="Calibri" w:eastAsia="Calibri" w:hAnsi="Calibri" w:cs="Calibri"/>
          <w:sz w:val="24"/>
          <w:szCs w:val="24"/>
          <w:lang w:val="el-GR"/>
        </w:rPr>
        <w:t xml:space="preserve"> </w:t>
      </w:r>
      <w:r w:rsidR="00E97BFF">
        <w:rPr>
          <w:rFonts w:ascii="Calibri" w:eastAsia="Calibri" w:hAnsi="Calibri" w:cs="Calibri"/>
          <w:sz w:val="24"/>
          <w:szCs w:val="24"/>
          <w:lang w:val="el-GR"/>
        </w:rPr>
        <w:t xml:space="preserve">υποχρεώσεις </w:t>
      </w:r>
      <w:r w:rsidR="007E3EE3">
        <w:rPr>
          <w:rFonts w:ascii="Calibri" w:eastAsia="Calibri" w:hAnsi="Calibri" w:cs="Calibri"/>
          <w:sz w:val="24"/>
          <w:szCs w:val="24"/>
          <w:lang w:val="el-GR"/>
        </w:rPr>
        <w:t>ακεραιότητας</w:t>
      </w:r>
      <w:r w:rsidR="00A5147D"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σε σχέση με τις διάφορες κατηγορίες των</w:t>
      </w:r>
      <w:r w:rsidR="00E97BFF">
        <w:rPr>
          <w:rFonts w:ascii="Calibri" w:eastAsia="Calibri" w:hAnsi="Calibri" w:cs="Calibri"/>
          <w:sz w:val="24"/>
          <w:szCs w:val="24"/>
          <w:lang w:val="el-GR"/>
        </w:rPr>
        <w:t xml:space="preserve"> </w:t>
      </w:r>
      <w:r w:rsidR="00E97BFF">
        <w:rPr>
          <w:rFonts w:ascii="Calibri" w:eastAsia="Calibri" w:hAnsi="Calibri" w:cs="Calibri"/>
          <w:sz w:val="24"/>
          <w:szCs w:val="24"/>
          <w:lang w:val="en-US"/>
        </w:rPr>
        <w:t>PTEFs</w:t>
      </w:r>
      <w:r w:rsidR="00A5147D"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Επιπλέον</w:t>
      </w:r>
      <w:r w:rsidR="00A5147D" w:rsidRPr="007E3EE3">
        <w:rPr>
          <w:rFonts w:ascii="Calibri" w:eastAsia="Calibri" w:hAnsi="Calibri" w:cs="Calibri"/>
          <w:sz w:val="24"/>
          <w:szCs w:val="24"/>
          <w:lang w:val="el-GR"/>
        </w:rPr>
        <w:t xml:space="preserve">, </w:t>
      </w:r>
      <w:r w:rsidR="00EB12C2">
        <w:rPr>
          <w:rFonts w:ascii="Calibri" w:eastAsia="Calibri" w:hAnsi="Calibri" w:cs="Calibri"/>
          <w:sz w:val="24"/>
          <w:szCs w:val="24"/>
          <w:lang w:val="el-GR"/>
        </w:rPr>
        <w:t>συνομιλητές</w:t>
      </w:r>
      <w:r w:rsidR="00A5147D"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συμφώνησαν</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για</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το</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τί</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είναι</w:t>
      </w:r>
      <w:r w:rsidR="0021662B">
        <w:rPr>
          <w:rFonts w:ascii="Calibri" w:eastAsia="Calibri" w:hAnsi="Calibri" w:cs="Calibri"/>
          <w:sz w:val="24"/>
          <w:szCs w:val="24"/>
          <w:lang w:val="el-GR"/>
        </w:rPr>
        <w:t>,</w:t>
      </w:r>
      <w:r w:rsidR="00E97BFF" w:rsidRPr="002B7C4B">
        <w:rPr>
          <w:rFonts w:ascii="Calibri" w:eastAsia="Calibri" w:hAnsi="Calibri" w:cs="Calibri"/>
          <w:sz w:val="24"/>
          <w:szCs w:val="24"/>
          <w:lang w:val="el-GR"/>
        </w:rPr>
        <w:t xml:space="preserve"> </w:t>
      </w:r>
      <w:r w:rsidR="00E97BFF">
        <w:rPr>
          <w:rFonts w:ascii="Calibri" w:eastAsia="Calibri" w:hAnsi="Calibri" w:cs="Calibri"/>
          <w:sz w:val="24"/>
          <w:szCs w:val="24"/>
          <w:lang w:val="el-GR"/>
        </w:rPr>
        <w:t>όπως</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και</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για</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την</w:t>
      </w:r>
      <w:r w:rsidR="00A5147D" w:rsidRPr="007E3EE3">
        <w:rPr>
          <w:rFonts w:ascii="Calibri" w:eastAsia="Calibri" w:hAnsi="Calibri" w:cs="Calibri"/>
          <w:sz w:val="24"/>
          <w:szCs w:val="24"/>
          <w:lang w:val="el-GR"/>
        </w:rPr>
        <w:t xml:space="preserve"> </w:t>
      </w:r>
      <w:r w:rsidR="00A5147D" w:rsidRPr="004E251E">
        <w:rPr>
          <w:rFonts w:ascii="Calibri" w:eastAsia="Calibri" w:hAnsi="Calibri" w:cs="Calibri"/>
          <w:sz w:val="24"/>
          <w:szCs w:val="24"/>
        </w:rPr>
        <w:t>GET</w:t>
      </w:r>
      <w:r w:rsidR="00A5147D"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ένα</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βασικό</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ελάττωμα</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του</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συστήματος</w:t>
      </w:r>
      <w:r w:rsidR="00A5147D" w:rsidRPr="007E3EE3">
        <w:rPr>
          <w:rFonts w:ascii="Calibri" w:eastAsia="Calibri" w:hAnsi="Calibri" w:cs="Calibri"/>
          <w:sz w:val="24"/>
          <w:szCs w:val="24"/>
          <w:lang w:val="el-GR"/>
        </w:rPr>
        <w:t xml:space="preserve">: </w:t>
      </w:r>
      <w:r w:rsidR="00E97BFF">
        <w:rPr>
          <w:rFonts w:ascii="Calibri" w:eastAsia="Calibri" w:hAnsi="Calibri" w:cs="Calibri"/>
          <w:sz w:val="24"/>
          <w:szCs w:val="24"/>
          <w:lang w:val="el-GR"/>
        </w:rPr>
        <w:t xml:space="preserve">η πληθώρα </w:t>
      </w:r>
      <w:r w:rsidR="007E3EE3">
        <w:rPr>
          <w:rFonts w:ascii="Calibri" w:eastAsia="Calibri" w:hAnsi="Calibri" w:cs="Calibri"/>
          <w:sz w:val="24"/>
          <w:szCs w:val="24"/>
          <w:lang w:val="el-GR"/>
        </w:rPr>
        <w:t>επιτροπών</w:t>
      </w:r>
      <w:r w:rsidR="00A5147D" w:rsidRPr="007E3EE3">
        <w:rPr>
          <w:rFonts w:ascii="Calibri" w:eastAsia="Calibri" w:hAnsi="Calibri" w:cs="Calibri"/>
          <w:sz w:val="24"/>
          <w:szCs w:val="24"/>
          <w:lang w:val="el-GR"/>
        </w:rPr>
        <w:t>/</w:t>
      </w:r>
      <w:r w:rsidR="008D35D6">
        <w:rPr>
          <w:rFonts w:ascii="Calibri" w:eastAsia="Calibri" w:hAnsi="Calibri" w:cs="Calibri"/>
          <w:sz w:val="24"/>
          <w:szCs w:val="24"/>
          <w:lang w:val="el-GR"/>
        </w:rPr>
        <w:t>οργάνων</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με</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 xml:space="preserve">περιορισμένες </w:t>
      </w:r>
      <w:r w:rsidR="00E97BFF">
        <w:rPr>
          <w:rFonts w:ascii="Calibri" w:eastAsia="Calibri" w:hAnsi="Calibri" w:cs="Calibri"/>
          <w:sz w:val="24"/>
          <w:szCs w:val="24"/>
          <w:lang w:val="el-GR"/>
        </w:rPr>
        <w:t xml:space="preserve">αρμοδιότητες </w:t>
      </w:r>
      <w:r w:rsidR="007E3EE3">
        <w:rPr>
          <w:rFonts w:ascii="Calibri" w:eastAsia="Calibri" w:hAnsi="Calibri" w:cs="Calibri"/>
          <w:sz w:val="24"/>
          <w:szCs w:val="24"/>
          <w:lang w:val="el-GR"/>
        </w:rPr>
        <w:t>και</w:t>
      </w:r>
      <w:r w:rsidR="00A5147D" w:rsidRPr="007E3EE3">
        <w:rPr>
          <w:rFonts w:ascii="Calibri" w:eastAsia="Calibri" w:hAnsi="Calibri" w:cs="Calibri"/>
          <w:sz w:val="24"/>
          <w:szCs w:val="24"/>
          <w:lang w:val="el-GR"/>
        </w:rPr>
        <w:t>/</w:t>
      </w:r>
      <w:r w:rsidR="007E3EE3">
        <w:rPr>
          <w:rFonts w:ascii="Calibri" w:eastAsia="Calibri" w:hAnsi="Calibri" w:cs="Calibri"/>
          <w:sz w:val="24"/>
          <w:szCs w:val="24"/>
          <w:lang w:val="el-GR"/>
        </w:rPr>
        <w:t>ή πόρους</w:t>
      </w:r>
      <w:r w:rsidR="00A5147D"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αλληλεπικαλυπτόμενες ευθύνες</w:t>
      </w:r>
      <w:r w:rsidR="00A5147D" w:rsidRPr="007E3EE3">
        <w:rPr>
          <w:rFonts w:ascii="Calibri" w:eastAsia="Calibri" w:hAnsi="Calibri" w:cs="Calibri"/>
          <w:sz w:val="24"/>
          <w:szCs w:val="24"/>
          <w:lang w:val="el-GR"/>
        </w:rPr>
        <w:t>,</w:t>
      </w:r>
      <w:r w:rsidR="00702D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έλλειψη ελέγχων και ισοζυγίων</w:t>
      </w:r>
      <w:r w:rsidR="00702DE3" w:rsidRPr="007E3EE3">
        <w:rPr>
          <w:rFonts w:ascii="Calibri" w:eastAsia="Calibri" w:hAnsi="Calibri" w:cs="Calibri"/>
          <w:sz w:val="24"/>
          <w:szCs w:val="24"/>
          <w:lang w:val="el-GR"/>
        </w:rPr>
        <w:t>,</w:t>
      </w:r>
      <w:r w:rsidR="00A5147D"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εργασία</w:t>
      </w:r>
      <w:r w:rsidR="00E97BFF">
        <w:rPr>
          <w:rFonts w:ascii="Calibri" w:eastAsia="Calibri" w:hAnsi="Calibri" w:cs="Calibri"/>
          <w:sz w:val="24"/>
          <w:szCs w:val="24"/>
          <w:lang w:val="el-GR"/>
        </w:rPr>
        <w:t xml:space="preserve"> χωρίς συντονισμό</w:t>
      </w:r>
      <w:r w:rsidR="00A5147D"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 xml:space="preserve">και </w:t>
      </w:r>
      <w:r w:rsidR="00E97BFF">
        <w:rPr>
          <w:rFonts w:ascii="Calibri" w:eastAsia="Calibri" w:hAnsi="Calibri" w:cs="Calibri"/>
          <w:sz w:val="24"/>
          <w:szCs w:val="24"/>
          <w:lang w:val="el-GR"/>
        </w:rPr>
        <w:t xml:space="preserve">ως </w:t>
      </w:r>
      <w:r w:rsidR="007E3EE3">
        <w:rPr>
          <w:rFonts w:ascii="Calibri" w:eastAsia="Calibri" w:hAnsi="Calibri" w:cs="Calibri"/>
          <w:sz w:val="24"/>
          <w:szCs w:val="24"/>
          <w:lang w:val="el-GR"/>
        </w:rPr>
        <w:t>αποτέλεσμα</w:t>
      </w:r>
      <w:r w:rsidR="00A5147D"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περιορισμένο αντίκτυπο και αποτελεσματικότητα</w:t>
      </w:r>
      <w:r w:rsidR="00A5147D"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Η</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ίδρυση</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της</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Ανεξάρτητης</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Αρχής</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κατά</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τη</w:t>
      </w:r>
      <w:r w:rsidR="00E97BFF">
        <w:rPr>
          <w:rFonts w:ascii="Calibri" w:eastAsia="Calibri" w:hAnsi="Calibri" w:cs="Calibri"/>
          <w:sz w:val="24"/>
          <w:szCs w:val="24"/>
          <w:lang w:val="el-GR"/>
        </w:rPr>
        <w:t>ς</w:t>
      </w:r>
      <w:r w:rsidR="007E3EE3" w:rsidRPr="007E3EE3">
        <w:rPr>
          <w:rFonts w:ascii="Calibri" w:eastAsia="Calibri" w:hAnsi="Calibri" w:cs="Calibri"/>
          <w:sz w:val="24"/>
          <w:szCs w:val="24"/>
          <w:lang w:val="el-GR"/>
        </w:rPr>
        <w:t xml:space="preserve"> </w:t>
      </w:r>
      <w:r w:rsidR="007E3EE3">
        <w:rPr>
          <w:rFonts w:ascii="Calibri" w:eastAsia="Calibri" w:hAnsi="Calibri" w:cs="Calibri"/>
          <w:sz w:val="24"/>
          <w:szCs w:val="24"/>
          <w:lang w:val="el-GR"/>
        </w:rPr>
        <w:t>Διαφθορά</w:t>
      </w:r>
      <w:r w:rsidR="00E97BFF">
        <w:rPr>
          <w:rFonts w:ascii="Calibri" w:eastAsia="Calibri" w:hAnsi="Calibri" w:cs="Calibri"/>
          <w:sz w:val="24"/>
          <w:szCs w:val="24"/>
          <w:lang w:val="el-GR"/>
        </w:rPr>
        <w:t>ς</w:t>
      </w:r>
      <w:r w:rsidR="00A5147D" w:rsidRPr="007E3EE3">
        <w:rPr>
          <w:rFonts w:cstheme="minorHAnsi"/>
          <w:sz w:val="24"/>
          <w:szCs w:val="24"/>
          <w:lang w:val="el-GR"/>
        </w:rPr>
        <w:t xml:space="preserve"> </w:t>
      </w:r>
      <w:r w:rsidR="007E3EE3">
        <w:rPr>
          <w:rFonts w:cstheme="minorHAnsi"/>
          <w:sz w:val="24"/>
          <w:szCs w:val="24"/>
          <w:lang w:val="el-GR"/>
        </w:rPr>
        <w:t>είναι</w:t>
      </w:r>
      <w:r w:rsidR="007E3EE3" w:rsidRPr="007E3EE3">
        <w:rPr>
          <w:rFonts w:cstheme="minorHAnsi"/>
          <w:sz w:val="24"/>
          <w:szCs w:val="24"/>
          <w:lang w:val="el-GR"/>
        </w:rPr>
        <w:t xml:space="preserve"> </w:t>
      </w:r>
      <w:r w:rsidR="007E3EE3">
        <w:rPr>
          <w:rFonts w:cstheme="minorHAnsi"/>
          <w:sz w:val="24"/>
          <w:szCs w:val="24"/>
          <w:lang w:val="el-GR"/>
        </w:rPr>
        <w:t>μια</w:t>
      </w:r>
      <w:r w:rsidR="007E3EE3" w:rsidRPr="007E3EE3">
        <w:rPr>
          <w:rFonts w:cstheme="minorHAnsi"/>
          <w:sz w:val="24"/>
          <w:szCs w:val="24"/>
          <w:lang w:val="el-GR"/>
        </w:rPr>
        <w:t xml:space="preserve"> </w:t>
      </w:r>
      <w:r w:rsidR="007E3EE3">
        <w:rPr>
          <w:rFonts w:cstheme="minorHAnsi"/>
          <w:sz w:val="24"/>
          <w:szCs w:val="24"/>
          <w:lang w:val="el-GR"/>
        </w:rPr>
        <w:t>υποσχόμενη</w:t>
      </w:r>
      <w:r w:rsidR="007E3EE3" w:rsidRPr="007E3EE3">
        <w:rPr>
          <w:rFonts w:cstheme="minorHAnsi"/>
          <w:sz w:val="24"/>
          <w:szCs w:val="24"/>
          <w:lang w:val="el-GR"/>
        </w:rPr>
        <w:t xml:space="preserve"> </w:t>
      </w:r>
      <w:r w:rsidR="007E3EE3">
        <w:rPr>
          <w:rFonts w:cstheme="minorHAnsi"/>
          <w:sz w:val="24"/>
          <w:szCs w:val="24"/>
          <w:lang w:val="el-GR"/>
        </w:rPr>
        <w:t>εξέλιξη</w:t>
      </w:r>
      <w:r w:rsidR="00A5147D" w:rsidRPr="007E3EE3">
        <w:rPr>
          <w:rFonts w:cstheme="minorHAnsi"/>
          <w:sz w:val="24"/>
          <w:szCs w:val="24"/>
          <w:lang w:val="el-GR"/>
        </w:rPr>
        <w:t xml:space="preserve">, </w:t>
      </w:r>
      <w:r w:rsidR="007E3EE3">
        <w:rPr>
          <w:rFonts w:cstheme="minorHAnsi"/>
          <w:sz w:val="24"/>
          <w:szCs w:val="24"/>
          <w:lang w:val="el-GR"/>
        </w:rPr>
        <w:t>ωστόσο</w:t>
      </w:r>
      <w:r w:rsidR="007E3EE3" w:rsidRPr="007E3EE3">
        <w:rPr>
          <w:rFonts w:cstheme="minorHAnsi"/>
          <w:sz w:val="24"/>
          <w:szCs w:val="24"/>
          <w:lang w:val="el-GR"/>
        </w:rPr>
        <w:t xml:space="preserve"> </w:t>
      </w:r>
      <w:r w:rsidR="007E3EE3">
        <w:rPr>
          <w:rFonts w:cstheme="minorHAnsi"/>
          <w:sz w:val="24"/>
          <w:szCs w:val="24"/>
          <w:lang w:val="el-GR"/>
        </w:rPr>
        <w:t>χρειάζεται</w:t>
      </w:r>
      <w:r w:rsidR="007E3EE3" w:rsidRPr="007E3EE3">
        <w:rPr>
          <w:rFonts w:cstheme="minorHAnsi"/>
          <w:sz w:val="24"/>
          <w:szCs w:val="24"/>
          <w:lang w:val="el-GR"/>
        </w:rPr>
        <w:t xml:space="preserve"> </w:t>
      </w:r>
      <w:r w:rsidR="007E3EE3">
        <w:rPr>
          <w:rFonts w:cstheme="minorHAnsi"/>
          <w:sz w:val="24"/>
          <w:szCs w:val="24"/>
          <w:lang w:val="el-GR"/>
        </w:rPr>
        <w:t>να</w:t>
      </w:r>
      <w:r w:rsidR="007E3EE3" w:rsidRPr="007E3EE3">
        <w:rPr>
          <w:rFonts w:cstheme="minorHAnsi"/>
          <w:sz w:val="24"/>
          <w:szCs w:val="24"/>
          <w:lang w:val="el-GR"/>
        </w:rPr>
        <w:t xml:space="preserve"> </w:t>
      </w:r>
      <w:r w:rsidR="007E3EE3">
        <w:rPr>
          <w:rFonts w:cstheme="minorHAnsi"/>
          <w:sz w:val="24"/>
          <w:szCs w:val="24"/>
          <w:lang w:val="el-GR"/>
        </w:rPr>
        <w:t>δημιουργ</w:t>
      </w:r>
      <w:r w:rsidR="001F3FD5">
        <w:rPr>
          <w:rFonts w:cstheme="minorHAnsi"/>
          <w:sz w:val="24"/>
          <w:szCs w:val="24"/>
          <w:lang w:val="el-GR"/>
        </w:rPr>
        <w:t>ηθ</w:t>
      </w:r>
      <w:r w:rsidR="007E3EE3">
        <w:rPr>
          <w:rFonts w:cstheme="minorHAnsi"/>
          <w:sz w:val="24"/>
          <w:szCs w:val="24"/>
          <w:lang w:val="el-GR"/>
        </w:rPr>
        <w:t>ε</w:t>
      </w:r>
      <w:r w:rsidR="001F3FD5">
        <w:rPr>
          <w:rFonts w:cstheme="minorHAnsi"/>
          <w:sz w:val="24"/>
          <w:szCs w:val="24"/>
          <w:lang w:val="el-GR"/>
        </w:rPr>
        <w:t>ί</w:t>
      </w:r>
      <w:r w:rsidR="007E3EE3" w:rsidRPr="007E3EE3">
        <w:rPr>
          <w:rFonts w:cstheme="minorHAnsi"/>
          <w:sz w:val="24"/>
          <w:szCs w:val="24"/>
          <w:lang w:val="el-GR"/>
        </w:rPr>
        <w:t xml:space="preserve"> </w:t>
      </w:r>
      <w:r w:rsidR="007E3EE3">
        <w:rPr>
          <w:rFonts w:cstheme="minorHAnsi"/>
          <w:sz w:val="24"/>
          <w:szCs w:val="24"/>
          <w:lang w:val="el-GR"/>
        </w:rPr>
        <w:t>ιστορικό</w:t>
      </w:r>
      <w:r w:rsidR="00A5147D" w:rsidRPr="007E3EE3">
        <w:rPr>
          <w:rFonts w:cstheme="minorHAnsi"/>
          <w:sz w:val="24"/>
          <w:szCs w:val="24"/>
          <w:lang w:val="el-GR"/>
        </w:rPr>
        <w:t xml:space="preserve"> </w:t>
      </w:r>
      <w:r w:rsidR="007E3EE3">
        <w:rPr>
          <w:rFonts w:cstheme="minorHAnsi"/>
          <w:sz w:val="24"/>
          <w:szCs w:val="24"/>
          <w:lang w:val="el-GR"/>
        </w:rPr>
        <w:t>και</w:t>
      </w:r>
      <w:r w:rsidR="007E3EE3" w:rsidRPr="007E3EE3">
        <w:rPr>
          <w:rFonts w:cstheme="minorHAnsi"/>
          <w:sz w:val="24"/>
          <w:szCs w:val="24"/>
          <w:lang w:val="el-GR"/>
        </w:rPr>
        <w:t xml:space="preserve"> </w:t>
      </w:r>
      <w:r w:rsidR="007E3EE3">
        <w:rPr>
          <w:rFonts w:cstheme="minorHAnsi"/>
          <w:sz w:val="24"/>
          <w:szCs w:val="24"/>
          <w:lang w:val="el-GR"/>
        </w:rPr>
        <w:t>να</w:t>
      </w:r>
      <w:r w:rsidR="007E3EE3" w:rsidRPr="007E3EE3">
        <w:rPr>
          <w:rFonts w:cstheme="minorHAnsi"/>
          <w:sz w:val="24"/>
          <w:szCs w:val="24"/>
          <w:lang w:val="el-GR"/>
        </w:rPr>
        <w:t xml:space="preserve"> </w:t>
      </w:r>
      <w:r w:rsidR="001F3FD5">
        <w:rPr>
          <w:rFonts w:cstheme="minorHAnsi"/>
          <w:sz w:val="24"/>
          <w:szCs w:val="24"/>
          <w:lang w:val="el-GR"/>
        </w:rPr>
        <w:t>διασφαλισθεί</w:t>
      </w:r>
      <w:r w:rsidR="00E97BFF">
        <w:rPr>
          <w:rFonts w:cstheme="minorHAnsi"/>
          <w:sz w:val="24"/>
          <w:szCs w:val="24"/>
          <w:lang w:val="el-GR"/>
        </w:rPr>
        <w:t xml:space="preserve"> ότι </w:t>
      </w:r>
      <w:r w:rsidR="007E3EE3">
        <w:rPr>
          <w:rFonts w:cstheme="minorHAnsi"/>
          <w:sz w:val="24"/>
          <w:szCs w:val="24"/>
          <w:lang w:val="el-GR"/>
        </w:rPr>
        <w:t>η</w:t>
      </w:r>
      <w:r w:rsidR="007E3EE3" w:rsidRPr="007E3EE3">
        <w:rPr>
          <w:rFonts w:cstheme="minorHAnsi"/>
          <w:sz w:val="24"/>
          <w:szCs w:val="24"/>
          <w:lang w:val="el-GR"/>
        </w:rPr>
        <w:t xml:space="preserve"> </w:t>
      </w:r>
      <w:r w:rsidR="007E3EE3">
        <w:rPr>
          <w:rFonts w:cstheme="minorHAnsi"/>
          <w:sz w:val="24"/>
          <w:szCs w:val="24"/>
          <w:lang w:val="el-GR"/>
        </w:rPr>
        <w:t>δράση</w:t>
      </w:r>
      <w:r w:rsidR="007E3EE3" w:rsidRPr="007E3EE3">
        <w:rPr>
          <w:rFonts w:cstheme="minorHAnsi"/>
          <w:sz w:val="24"/>
          <w:szCs w:val="24"/>
          <w:lang w:val="el-GR"/>
        </w:rPr>
        <w:t xml:space="preserve"> </w:t>
      </w:r>
      <w:r w:rsidR="007E3EE3">
        <w:rPr>
          <w:rFonts w:cstheme="minorHAnsi"/>
          <w:sz w:val="24"/>
          <w:szCs w:val="24"/>
          <w:lang w:val="el-GR"/>
        </w:rPr>
        <w:t>τ</w:t>
      </w:r>
      <w:r w:rsidR="00E97BFF">
        <w:rPr>
          <w:rFonts w:cstheme="minorHAnsi"/>
          <w:sz w:val="24"/>
          <w:szCs w:val="24"/>
          <w:lang w:val="el-GR"/>
        </w:rPr>
        <w:t>ης</w:t>
      </w:r>
      <w:r w:rsidR="007E3EE3" w:rsidRPr="007E3EE3">
        <w:rPr>
          <w:rFonts w:cstheme="minorHAnsi"/>
          <w:sz w:val="24"/>
          <w:szCs w:val="24"/>
          <w:lang w:val="el-GR"/>
        </w:rPr>
        <w:t xml:space="preserve"> </w:t>
      </w:r>
      <w:r w:rsidR="007E3EE3">
        <w:rPr>
          <w:rFonts w:cstheme="minorHAnsi"/>
          <w:sz w:val="24"/>
          <w:szCs w:val="24"/>
          <w:lang w:val="el-GR"/>
        </w:rPr>
        <w:t>δεν</w:t>
      </w:r>
      <w:r w:rsidR="007E3EE3" w:rsidRPr="007E3EE3">
        <w:rPr>
          <w:rFonts w:cstheme="minorHAnsi"/>
          <w:sz w:val="24"/>
          <w:szCs w:val="24"/>
          <w:lang w:val="el-GR"/>
        </w:rPr>
        <w:t xml:space="preserve"> </w:t>
      </w:r>
      <w:r w:rsidR="00822848">
        <w:rPr>
          <w:rFonts w:cstheme="minorHAnsi"/>
          <w:sz w:val="24"/>
          <w:szCs w:val="24"/>
          <w:lang w:val="el-GR"/>
        </w:rPr>
        <w:t>ε</w:t>
      </w:r>
      <w:r w:rsidR="007E3EE3">
        <w:rPr>
          <w:rFonts w:cstheme="minorHAnsi"/>
          <w:sz w:val="24"/>
          <w:szCs w:val="24"/>
          <w:lang w:val="el-GR"/>
        </w:rPr>
        <w:t>παναλαμβάνεται</w:t>
      </w:r>
      <w:r w:rsidR="00A5147D" w:rsidRPr="007E3EE3">
        <w:rPr>
          <w:rFonts w:cstheme="minorHAnsi"/>
          <w:sz w:val="24"/>
          <w:szCs w:val="24"/>
          <w:lang w:val="el-GR"/>
        </w:rPr>
        <w:t xml:space="preserve">, </w:t>
      </w:r>
      <w:r w:rsidR="0073385A">
        <w:rPr>
          <w:rFonts w:cstheme="minorHAnsi"/>
          <w:sz w:val="24"/>
          <w:szCs w:val="24"/>
          <w:lang w:val="el-GR"/>
        </w:rPr>
        <w:t xml:space="preserve">αλλά μάλλον </w:t>
      </w:r>
      <w:r w:rsidR="00822848">
        <w:rPr>
          <w:rFonts w:cstheme="minorHAnsi"/>
          <w:sz w:val="24"/>
          <w:szCs w:val="24"/>
          <w:lang w:val="el-GR"/>
        </w:rPr>
        <w:t>εξασφαλίζει</w:t>
      </w:r>
      <w:r w:rsidR="00A5147D" w:rsidRPr="007E3EE3">
        <w:rPr>
          <w:rFonts w:cstheme="minorHAnsi"/>
          <w:sz w:val="24"/>
          <w:szCs w:val="24"/>
          <w:lang w:val="el-GR"/>
        </w:rPr>
        <w:t xml:space="preserve"> </w:t>
      </w:r>
      <w:r w:rsidR="00822848">
        <w:rPr>
          <w:rFonts w:cstheme="minorHAnsi"/>
          <w:sz w:val="24"/>
          <w:szCs w:val="24"/>
          <w:lang w:val="el-GR"/>
        </w:rPr>
        <w:t>ένα ολιστικό συντονισμό</w:t>
      </w:r>
      <w:r w:rsidR="00A5147D" w:rsidRPr="007E3EE3">
        <w:rPr>
          <w:rFonts w:cstheme="minorHAnsi"/>
          <w:sz w:val="24"/>
          <w:szCs w:val="24"/>
          <w:lang w:val="el-GR"/>
        </w:rPr>
        <w:t xml:space="preserve"> </w:t>
      </w:r>
      <w:r w:rsidR="0021662B">
        <w:rPr>
          <w:rFonts w:cstheme="minorHAnsi"/>
          <w:sz w:val="24"/>
          <w:szCs w:val="24"/>
          <w:lang w:val="el-GR"/>
        </w:rPr>
        <w:t xml:space="preserve">και </w:t>
      </w:r>
      <w:r w:rsidR="00E97BFF">
        <w:rPr>
          <w:rFonts w:cstheme="minorHAnsi"/>
          <w:sz w:val="24"/>
          <w:szCs w:val="24"/>
          <w:lang w:val="el-GR"/>
        </w:rPr>
        <w:t xml:space="preserve">προσθέτει </w:t>
      </w:r>
      <w:r w:rsidR="00822848">
        <w:rPr>
          <w:rFonts w:cstheme="minorHAnsi"/>
          <w:sz w:val="24"/>
          <w:szCs w:val="24"/>
          <w:lang w:val="el-GR"/>
        </w:rPr>
        <w:t xml:space="preserve"> αξία σε</w:t>
      </w:r>
      <w:r w:rsidR="00E97BFF">
        <w:rPr>
          <w:rFonts w:cstheme="minorHAnsi"/>
          <w:sz w:val="24"/>
          <w:szCs w:val="24"/>
          <w:lang w:val="el-GR"/>
        </w:rPr>
        <w:t xml:space="preserve"> </w:t>
      </w:r>
      <w:r w:rsidR="00822848">
        <w:rPr>
          <w:rFonts w:cstheme="minorHAnsi"/>
          <w:sz w:val="24"/>
          <w:szCs w:val="24"/>
          <w:lang w:val="el-GR"/>
        </w:rPr>
        <w:t>άλλες δομές</w:t>
      </w:r>
      <w:r w:rsidR="00A5147D" w:rsidRPr="007E3EE3">
        <w:rPr>
          <w:rFonts w:cstheme="minorHAnsi"/>
          <w:sz w:val="24"/>
          <w:szCs w:val="24"/>
          <w:lang w:val="el-GR"/>
        </w:rPr>
        <w:t xml:space="preserve"> </w:t>
      </w:r>
      <w:r w:rsidR="00822848">
        <w:rPr>
          <w:rFonts w:cstheme="minorHAnsi"/>
          <w:sz w:val="24"/>
          <w:szCs w:val="24"/>
          <w:lang w:val="el-GR"/>
        </w:rPr>
        <w:t>που ήδη υπάρχουν</w:t>
      </w:r>
      <w:r w:rsidR="00A5147D" w:rsidRPr="007E3EE3">
        <w:rPr>
          <w:rFonts w:cstheme="minorHAnsi"/>
          <w:sz w:val="24"/>
          <w:szCs w:val="24"/>
          <w:lang w:val="el-GR"/>
        </w:rPr>
        <w:t xml:space="preserve"> </w:t>
      </w:r>
      <w:r w:rsidR="00E97BFF">
        <w:rPr>
          <w:rFonts w:cstheme="minorHAnsi"/>
          <w:sz w:val="24"/>
          <w:szCs w:val="24"/>
          <w:lang w:val="el-GR"/>
        </w:rPr>
        <w:t xml:space="preserve">στο πεδίο </w:t>
      </w:r>
      <w:r w:rsidR="00822848">
        <w:rPr>
          <w:rFonts w:cstheme="minorHAnsi"/>
          <w:sz w:val="24"/>
          <w:szCs w:val="24"/>
          <w:lang w:val="el-GR"/>
        </w:rPr>
        <w:t>κατά της διαφθοράς</w:t>
      </w:r>
      <w:r w:rsidR="00A5147D" w:rsidRPr="007E3EE3">
        <w:rPr>
          <w:rFonts w:cstheme="minorHAnsi"/>
          <w:sz w:val="24"/>
          <w:szCs w:val="24"/>
          <w:lang w:val="el-GR"/>
        </w:rPr>
        <w:t xml:space="preserve"> </w:t>
      </w:r>
      <w:r w:rsidR="00A5147D" w:rsidRPr="007E3EE3">
        <w:rPr>
          <w:rFonts w:ascii="Calibri" w:eastAsia="Calibri" w:hAnsi="Calibri" w:cs="Calibri"/>
          <w:sz w:val="24"/>
          <w:szCs w:val="24"/>
          <w:lang w:val="el-GR"/>
        </w:rPr>
        <w:t>(</w:t>
      </w:r>
      <w:r w:rsidR="00822848">
        <w:rPr>
          <w:rFonts w:ascii="Calibri" w:eastAsia="Calibri" w:hAnsi="Calibri" w:cs="Calibri"/>
          <w:sz w:val="24"/>
          <w:szCs w:val="24"/>
          <w:lang w:val="el-GR"/>
        </w:rPr>
        <w:t>βλέπε επίσης</w:t>
      </w:r>
      <w:r w:rsidR="00A5147D" w:rsidRPr="007E3EE3">
        <w:rPr>
          <w:rFonts w:ascii="Calibri" w:eastAsia="Calibri" w:hAnsi="Calibri" w:cs="Calibri"/>
          <w:sz w:val="24"/>
          <w:szCs w:val="24"/>
          <w:lang w:val="el-GR"/>
        </w:rPr>
        <w:t xml:space="preserve"> </w:t>
      </w:r>
      <w:r w:rsidR="00822848">
        <w:rPr>
          <w:rFonts w:ascii="Calibri" w:eastAsia="Calibri" w:hAnsi="Calibri" w:cs="Calibri"/>
          <w:sz w:val="24"/>
          <w:szCs w:val="24"/>
          <w:lang w:val="el-GR"/>
        </w:rPr>
        <w:t>στο σύστημα επίβλεψης</w:t>
      </w:r>
      <w:r w:rsidR="00A5147D" w:rsidRPr="007E3EE3">
        <w:rPr>
          <w:rFonts w:ascii="Calibri" w:eastAsia="Calibri" w:hAnsi="Calibri" w:cs="Calibri"/>
          <w:sz w:val="24"/>
          <w:szCs w:val="24"/>
          <w:lang w:val="el-GR"/>
        </w:rPr>
        <w:t>).</w:t>
      </w:r>
    </w:p>
    <w:p w14:paraId="7D827A97" w14:textId="77777777" w:rsidR="00A5147D" w:rsidRPr="007E3EE3" w:rsidRDefault="00A5147D" w:rsidP="00A5147D">
      <w:pPr>
        <w:pStyle w:val="ListParagraph"/>
        <w:rPr>
          <w:rFonts w:ascii="Calibri" w:eastAsia="Calibri" w:hAnsi="Calibri" w:cs="Calibri"/>
          <w:sz w:val="24"/>
          <w:szCs w:val="24"/>
          <w:lang w:val="el-GR"/>
        </w:rPr>
      </w:pPr>
    </w:p>
    <w:p w14:paraId="11A5E01B" w14:textId="10974371" w:rsidR="00A5147D" w:rsidRPr="000C0DDA" w:rsidRDefault="00822848" w:rsidP="00A5147D">
      <w:pPr>
        <w:numPr>
          <w:ilvl w:val="0"/>
          <w:numId w:val="1"/>
        </w:numPr>
        <w:tabs>
          <w:tab w:val="clear" w:pos="6095"/>
          <w:tab w:val="left" w:pos="709"/>
        </w:tabs>
        <w:ind w:left="0" w:firstLine="0"/>
        <w:rPr>
          <w:rFonts w:ascii="Calibri" w:eastAsia="Calibri" w:hAnsi="Calibri" w:cs="Calibri"/>
          <w:sz w:val="24"/>
          <w:szCs w:val="24"/>
          <w:lang w:val="el-GR"/>
        </w:rPr>
      </w:pPr>
      <w:r>
        <w:rPr>
          <w:rFonts w:ascii="Calibri" w:eastAsia="Calibri" w:hAnsi="Calibri" w:cs="Calibri"/>
          <w:sz w:val="24"/>
          <w:szCs w:val="24"/>
          <w:lang w:val="el-GR"/>
        </w:rPr>
        <w:t>Η</w:t>
      </w:r>
      <w:r w:rsidR="00A5147D" w:rsidRPr="00822848">
        <w:rPr>
          <w:rFonts w:ascii="Calibri" w:eastAsia="Calibri" w:hAnsi="Calibri" w:cs="Calibri"/>
          <w:sz w:val="24"/>
          <w:szCs w:val="24"/>
          <w:lang w:val="el-GR"/>
        </w:rPr>
        <w:t xml:space="preserve"> </w:t>
      </w:r>
      <w:r w:rsidR="00A5147D" w:rsidRPr="004E251E">
        <w:rPr>
          <w:rFonts w:ascii="Calibri" w:eastAsia="Calibri" w:hAnsi="Calibri" w:cs="Calibri"/>
          <w:sz w:val="24"/>
          <w:szCs w:val="24"/>
        </w:rPr>
        <w:t>GET</w:t>
      </w:r>
      <w:r w:rsidR="00A5147D" w:rsidRPr="00822848">
        <w:rPr>
          <w:rFonts w:ascii="Calibri" w:eastAsia="Calibri" w:hAnsi="Calibri" w:cs="Calibri"/>
          <w:sz w:val="24"/>
          <w:szCs w:val="24"/>
          <w:lang w:val="el-GR"/>
        </w:rPr>
        <w:t xml:space="preserve"> </w:t>
      </w:r>
      <w:r w:rsidR="00E97BFF">
        <w:rPr>
          <w:rFonts w:ascii="Calibri" w:eastAsia="Calibri" w:hAnsi="Calibri" w:cs="Calibri"/>
          <w:sz w:val="24"/>
          <w:szCs w:val="24"/>
          <w:lang w:val="el-GR"/>
        </w:rPr>
        <w:t xml:space="preserve">είναι </w:t>
      </w:r>
      <w:r>
        <w:rPr>
          <w:rFonts w:ascii="Calibri" w:eastAsia="Calibri" w:hAnsi="Calibri" w:cs="Calibri"/>
          <w:sz w:val="24"/>
          <w:szCs w:val="24"/>
          <w:lang w:val="el-GR"/>
        </w:rPr>
        <w:t>βαθιά</w:t>
      </w:r>
      <w:r w:rsidRPr="00822848">
        <w:rPr>
          <w:rFonts w:ascii="Calibri" w:eastAsia="Calibri" w:hAnsi="Calibri" w:cs="Calibri"/>
          <w:sz w:val="24"/>
          <w:szCs w:val="24"/>
          <w:lang w:val="el-GR"/>
        </w:rPr>
        <w:t xml:space="preserve"> </w:t>
      </w:r>
      <w:r>
        <w:rPr>
          <w:rFonts w:ascii="Calibri" w:eastAsia="Calibri" w:hAnsi="Calibri" w:cs="Calibri"/>
          <w:sz w:val="24"/>
          <w:szCs w:val="24"/>
          <w:lang w:val="el-GR"/>
        </w:rPr>
        <w:t>πεπ</w:t>
      </w:r>
      <w:r w:rsidR="0021662B">
        <w:rPr>
          <w:rFonts w:ascii="Calibri" w:eastAsia="Calibri" w:hAnsi="Calibri" w:cs="Calibri"/>
          <w:sz w:val="24"/>
          <w:szCs w:val="24"/>
          <w:lang w:val="el-GR"/>
        </w:rPr>
        <w:t>ε</w:t>
      </w:r>
      <w:r>
        <w:rPr>
          <w:rFonts w:ascii="Calibri" w:eastAsia="Calibri" w:hAnsi="Calibri" w:cs="Calibri"/>
          <w:sz w:val="24"/>
          <w:szCs w:val="24"/>
          <w:lang w:val="el-GR"/>
        </w:rPr>
        <w:t>ισμένη</w:t>
      </w:r>
      <w:r w:rsidR="00A5147D" w:rsidRPr="00822848">
        <w:rPr>
          <w:rFonts w:ascii="Calibri" w:eastAsia="Calibri" w:hAnsi="Calibri" w:cs="Calibri"/>
          <w:sz w:val="24"/>
          <w:szCs w:val="24"/>
          <w:lang w:val="el-GR"/>
        </w:rPr>
        <w:t xml:space="preserve"> </w:t>
      </w:r>
      <w:r>
        <w:rPr>
          <w:rFonts w:ascii="Calibri" w:eastAsia="Calibri" w:hAnsi="Calibri" w:cs="Calibri"/>
          <w:sz w:val="24"/>
          <w:szCs w:val="24"/>
          <w:lang w:val="el-GR"/>
        </w:rPr>
        <w:t>ότι</w:t>
      </w:r>
      <w:r w:rsidRPr="00822848">
        <w:rPr>
          <w:rFonts w:ascii="Calibri" w:eastAsia="Calibri" w:hAnsi="Calibri" w:cs="Calibri"/>
          <w:sz w:val="24"/>
          <w:szCs w:val="24"/>
          <w:lang w:val="el-GR"/>
        </w:rPr>
        <w:t xml:space="preserve"> </w:t>
      </w:r>
      <w:r w:rsidR="0021662B">
        <w:rPr>
          <w:rFonts w:ascii="Calibri" w:eastAsia="Calibri" w:hAnsi="Calibri" w:cs="Calibri"/>
          <w:sz w:val="24"/>
          <w:szCs w:val="24"/>
          <w:lang w:val="el-GR"/>
        </w:rPr>
        <w:t>η</w:t>
      </w:r>
      <w:r w:rsidRPr="00822848">
        <w:rPr>
          <w:rFonts w:ascii="Calibri" w:eastAsia="Calibri" w:hAnsi="Calibri" w:cs="Calibri"/>
          <w:sz w:val="24"/>
          <w:szCs w:val="24"/>
          <w:lang w:val="el-GR"/>
        </w:rPr>
        <w:t xml:space="preserve"> </w:t>
      </w:r>
      <w:r w:rsidR="0021662B">
        <w:rPr>
          <w:rFonts w:ascii="Calibri" w:eastAsia="Calibri" w:hAnsi="Calibri" w:cs="Calibri"/>
          <w:sz w:val="24"/>
          <w:szCs w:val="24"/>
          <w:lang w:val="el-GR"/>
        </w:rPr>
        <w:t>στιγμή</w:t>
      </w:r>
      <w:r w:rsidRPr="00822848">
        <w:rPr>
          <w:rFonts w:ascii="Calibri" w:eastAsia="Calibri" w:hAnsi="Calibri" w:cs="Calibri"/>
          <w:sz w:val="24"/>
          <w:szCs w:val="24"/>
          <w:lang w:val="el-GR"/>
        </w:rPr>
        <w:t xml:space="preserve"> </w:t>
      </w:r>
      <w:r>
        <w:rPr>
          <w:rFonts w:ascii="Calibri" w:eastAsia="Calibri" w:hAnsi="Calibri" w:cs="Calibri"/>
          <w:sz w:val="24"/>
          <w:szCs w:val="24"/>
          <w:lang w:val="el-GR"/>
        </w:rPr>
        <w:t>είναι</w:t>
      </w:r>
      <w:r w:rsidRPr="00822848">
        <w:rPr>
          <w:rFonts w:ascii="Calibri" w:eastAsia="Calibri" w:hAnsi="Calibri" w:cs="Calibri"/>
          <w:sz w:val="24"/>
          <w:szCs w:val="24"/>
          <w:lang w:val="el-GR"/>
        </w:rPr>
        <w:t xml:space="preserve"> </w:t>
      </w:r>
      <w:r>
        <w:rPr>
          <w:rFonts w:ascii="Calibri" w:eastAsia="Calibri" w:hAnsi="Calibri" w:cs="Calibri"/>
          <w:sz w:val="24"/>
          <w:szCs w:val="24"/>
          <w:lang w:val="el-GR"/>
        </w:rPr>
        <w:t>κατάλληλ</w:t>
      </w:r>
      <w:r w:rsidR="0021662B">
        <w:rPr>
          <w:rFonts w:ascii="Calibri" w:eastAsia="Calibri" w:hAnsi="Calibri" w:cs="Calibri"/>
          <w:sz w:val="24"/>
          <w:szCs w:val="24"/>
          <w:lang w:val="el-GR"/>
        </w:rPr>
        <w:t>η</w:t>
      </w:r>
      <w:r w:rsidRPr="00822848">
        <w:rPr>
          <w:rFonts w:ascii="Calibri" w:eastAsia="Calibri" w:hAnsi="Calibri" w:cs="Calibri"/>
          <w:sz w:val="24"/>
          <w:szCs w:val="24"/>
          <w:lang w:val="el-GR"/>
        </w:rPr>
        <w:t xml:space="preserve"> </w:t>
      </w:r>
      <w:r>
        <w:rPr>
          <w:rFonts w:ascii="Calibri" w:eastAsia="Calibri" w:hAnsi="Calibri" w:cs="Calibri"/>
          <w:sz w:val="24"/>
          <w:szCs w:val="24"/>
          <w:lang w:val="el-GR"/>
        </w:rPr>
        <w:t>για</w:t>
      </w:r>
      <w:r w:rsidRPr="00822848">
        <w:rPr>
          <w:rFonts w:ascii="Calibri" w:eastAsia="Calibri" w:hAnsi="Calibri" w:cs="Calibri"/>
          <w:sz w:val="24"/>
          <w:szCs w:val="24"/>
          <w:lang w:val="el-GR"/>
        </w:rPr>
        <w:t xml:space="preserve"> </w:t>
      </w:r>
      <w:r>
        <w:rPr>
          <w:rFonts w:ascii="Calibri" w:eastAsia="Calibri" w:hAnsi="Calibri" w:cs="Calibri"/>
          <w:sz w:val="24"/>
          <w:szCs w:val="24"/>
          <w:lang w:val="el-GR"/>
        </w:rPr>
        <w:t>την</w:t>
      </w:r>
      <w:r w:rsidRPr="00822848">
        <w:rPr>
          <w:rFonts w:ascii="Calibri" w:eastAsia="Calibri" w:hAnsi="Calibri" w:cs="Calibri"/>
          <w:sz w:val="24"/>
          <w:szCs w:val="24"/>
          <w:lang w:val="el-GR"/>
        </w:rPr>
        <w:t xml:space="preserve"> </w:t>
      </w:r>
      <w:r>
        <w:rPr>
          <w:rFonts w:ascii="Calibri" w:eastAsia="Calibri" w:hAnsi="Calibri" w:cs="Calibri"/>
          <w:sz w:val="24"/>
          <w:szCs w:val="24"/>
          <w:lang w:val="el-GR"/>
        </w:rPr>
        <w:t>ανάπτυξη</w:t>
      </w:r>
      <w:r w:rsidRPr="00822848">
        <w:rPr>
          <w:rFonts w:ascii="Calibri" w:eastAsia="Calibri" w:hAnsi="Calibri" w:cs="Calibri"/>
          <w:sz w:val="24"/>
          <w:szCs w:val="24"/>
          <w:lang w:val="el-GR"/>
        </w:rPr>
        <w:t xml:space="preserve"> </w:t>
      </w:r>
      <w:r>
        <w:rPr>
          <w:rFonts w:ascii="Calibri" w:eastAsia="Calibri" w:hAnsi="Calibri" w:cs="Calibri"/>
          <w:sz w:val="24"/>
          <w:szCs w:val="24"/>
          <w:lang w:val="el-GR"/>
        </w:rPr>
        <w:t>μιας</w:t>
      </w:r>
      <w:r w:rsidRPr="00822848">
        <w:rPr>
          <w:rFonts w:ascii="Calibri" w:eastAsia="Calibri" w:hAnsi="Calibri" w:cs="Calibri"/>
          <w:sz w:val="24"/>
          <w:szCs w:val="24"/>
          <w:lang w:val="el-GR"/>
        </w:rPr>
        <w:t xml:space="preserve"> </w:t>
      </w:r>
      <w:r>
        <w:rPr>
          <w:rFonts w:ascii="Calibri" w:eastAsia="Calibri" w:hAnsi="Calibri" w:cs="Calibri"/>
          <w:sz w:val="24"/>
          <w:szCs w:val="24"/>
          <w:lang w:val="el-GR"/>
        </w:rPr>
        <w:t xml:space="preserve">αφοσιωμένης πολιτικής </w:t>
      </w:r>
      <w:r w:rsidR="00E97BFF">
        <w:rPr>
          <w:rFonts w:ascii="Calibri" w:eastAsia="Calibri" w:hAnsi="Calibri" w:cs="Calibri"/>
          <w:sz w:val="24"/>
          <w:szCs w:val="24"/>
          <w:lang w:val="el-GR"/>
        </w:rPr>
        <w:t xml:space="preserve">για τους </w:t>
      </w:r>
      <w:r w:rsidR="00E97BFF">
        <w:rPr>
          <w:rFonts w:ascii="Calibri" w:eastAsia="Calibri" w:hAnsi="Calibri" w:cs="Calibri"/>
          <w:sz w:val="24"/>
          <w:szCs w:val="24"/>
          <w:lang w:val="en-US"/>
        </w:rPr>
        <w:t>PTEFs</w:t>
      </w:r>
      <w:r w:rsidR="00E97BFF" w:rsidRPr="002B7C4B">
        <w:rPr>
          <w:rFonts w:ascii="Calibri" w:eastAsia="Calibri" w:hAnsi="Calibri" w:cs="Calibri"/>
          <w:sz w:val="24"/>
          <w:szCs w:val="24"/>
          <w:lang w:val="el-GR"/>
        </w:rPr>
        <w:t xml:space="preserve"> </w:t>
      </w:r>
      <w:r>
        <w:rPr>
          <w:rFonts w:ascii="Calibri" w:eastAsia="Calibri" w:hAnsi="Calibri" w:cs="Calibri"/>
          <w:sz w:val="24"/>
          <w:szCs w:val="24"/>
          <w:lang w:val="el-GR"/>
        </w:rPr>
        <w:t>στην Κύπρο</w:t>
      </w:r>
      <w:r w:rsidR="00A5147D" w:rsidRPr="00822848">
        <w:rPr>
          <w:rFonts w:ascii="Calibri" w:eastAsia="Calibri" w:hAnsi="Calibri" w:cs="Calibri"/>
          <w:sz w:val="24"/>
          <w:szCs w:val="24"/>
          <w:lang w:val="el-GR"/>
        </w:rPr>
        <w:t xml:space="preserve">. </w:t>
      </w:r>
      <w:r>
        <w:rPr>
          <w:rFonts w:ascii="Calibri" w:eastAsia="Calibri" w:hAnsi="Calibri" w:cs="Calibri"/>
          <w:sz w:val="24"/>
          <w:szCs w:val="24"/>
          <w:lang w:val="el-GR"/>
        </w:rPr>
        <w:t>Μια</w:t>
      </w:r>
      <w:r w:rsidRPr="00822848">
        <w:rPr>
          <w:rFonts w:ascii="Calibri" w:eastAsia="Calibri" w:hAnsi="Calibri" w:cs="Calibri"/>
          <w:sz w:val="24"/>
          <w:szCs w:val="24"/>
          <w:lang w:val="el-GR"/>
        </w:rPr>
        <w:t xml:space="preserve"> </w:t>
      </w:r>
      <w:r>
        <w:rPr>
          <w:rFonts w:ascii="Calibri" w:eastAsia="Calibri" w:hAnsi="Calibri" w:cs="Calibri"/>
          <w:sz w:val="24"/>
          <w:szCs w:val="24"/>
          <w:lang w:val="el-GR"/>
        </w:rPr>
        <w:t>τέτοια</w:t>
      </w:r>
      <w:r w:rsidRPr="00822848">
        <w:rPr>
          <w:rFonts w:ascii="Calibri" w:eastAsia="Calibri" w:hAnsi="Calibri" w:cs="Calibri"/>
          <w:sz w:val="24"/>
          <w:szCs w:val="24"/>
          <w:lang w:val="el-GR"/>
        </w:rPr>
        <w:t xml:space="preserve"> </w:t>
      </w:r>
      <w:r>
        <w:rPr>
          <w:rFonts w:ascii="Calibri" w:eastAsia="Calibri" w:hAnsi="Calibri" w:cs="Calibri"/>
          <w:sz w:val="24"/>
          <w:szCs w:val="24"/>
          <w:lang w:val="el-GR"/>
        </w:rPr>
        <w:t>πολιτική</w:t>
      </w:r>
      <w:r w:rsidR="00246B9F" w:rsidRPr="00822848">
        <w:rPr>
          <w:rFonts w:ascii="Calibri" w:eastAsia="Calibri" w:hAnsi="Calibri" w:cs="Calibri"/>
          <w:sz w:val="24"/>
          <w:szCs w:val="24"/>
          <w:lang w:val="el-GR"/>
        </w:rPr>
        <w:t xml:space="preserve"> </w:t>
      </w:r>
      <w:r>
        <w:rPr>
          <w:rFonts w:ascii="Calibri" w:eastAsia="Calibri" w:hAnsi="Calibri" w:cs="Calibri"/>
          <w:sz w:val="24"/>
          <w:szCs w:val="24"/>
          <w:lang w:val="el-GR"/>
        </w:rPr>
        <w:t>θα</w:t>
      </w:r>
      <w:r w:rsidRPr="00822848">
        <w:rPr>
          <w:rFonts w:ascii="Calibri" w:eastAsia="Calibri" w:hAnsi="Calibri" w:cs="Calibri"/>
          <w:sz w:val="24"/>
          <w:szCs w:val="24"/>
          <w:lang w:val="el-GR"/>
        </w:rPr>
        <w:t xml:space="preserve"> </w:t>
      </w:r>
      <w:r>
        <w:rPr>
          <w:rFonts w:ascii="Calibri" w:eastAsia="Calibri" w:hAnsi="Calibri" w:cs="Calibri"/>
          <w:sz w:val="24"/>
          <w:szCs w:val="24"/>
          <w:lang w:val="el-GR"/>
        </w:rPr>
        <w:t>αποτελούσε</w:t>
      </w:r>
      <w:r w:rsidR="00A5147D" w:rsidRPr="00822848">
        <w:rPr>
          <w:rFonts w:ascii="Calibri" w:eastAsia="Calibri" w:hAnsi="Calibri" w:cs="Calibri"/>
          <w:sz w:val="24"/>
          <w:szCs w:val="24"/>
          <w:lang w:val="el-GR"/>
        </w:rPr>
        <w:t xml:space="preserve"> </w:t>
      </w:r>
      <w:r>
        <w:rPr>
          <w:rFonts w:ascii="Calibri" w:eastAsia="Calibri" w:hAnsi="Calibri" w:cs="Calibri"/>
          <w:sz w:val="24"/>
          <w:szCs w:val="24"/>
          <w:lang w:val="el-GR"/>
        </w:rPr>
        <w:t>μια</w:t>
      </w:r>
      <w:r w:rsidRPr="00822848">
        <w:rPr>
          <w:rFonts w:ascii="Calibri" w:eastAsia="Calibri" w:hAnsi="Calibri" w:cs="Calibri"/>
          <w:sz w:val="24"/>
          <w:szCs w:val="24"/>
          <w:lang w:val="el-GR"/>
        </w:rPr>
        <w:t xml:space="preserve"> </w:t>
      </w:r>
      <w:r>
        <w:rPr>
          <w:rFonts w:ascii="Calibri" w:eastAsia="Calibri" w:hAnsi="Calibri" w:cs="Calibri"/>
          <w:sz w:val="24"/>
          <w:szCs w:val="24"/>
          <w:lang w:val="el-GR"/>
        </w:rPr>
        <w:t>ισχυρή</w:t>
      </w:r>
      <w:r w:rsidRPr="00822848">
        <w:rPr>
          <w:rFonts w:ascii="Calibri" w:eastAsia="Calibri" w:hAnsi="Calibri" w:cs="Calibri"/>
          <w:sz w:val="24"/>
          <w:szCs w:val="24"/>
          <w:lang w:val="el-GR"/>
        </w:rPr>
        <w:t xml:space="preserve"> </w:t>
      </w:r>
      <w:r>
        <w:rPr>
          <w:rFonts w:ascii="Calibri" w:eastAsia="Calibri" w:hAnsi="Calibri" w:cs="Calibri"/>
          <w:sz w:val="24"/>
          <w:szCs w:val="24"/>
          <w:lang w:val="el-GR"/>
        </w:rPr>
        <w:t>δήλωση</w:t>
      </w:r>
      <w:r w:rsidR="00246B9F" w:rsidRPr="00822848">
        <w:rPr>
          <w:rFonts w:ascii="Calibri" w:eastAsia="Calibri" w:hAnsi="Calibri" w:cs="Calibri"/>
          <w:sz w:val="24"/>
          <w:szCs w:val="24"/>
          <w:lang w:val="el-GR"/>
        </w:rPr>
        <w:t xml:space="preserve"> </w:t>
      </w:r>
      <w:r>
        <w:rPr>
          <w:rFonts w:ascii="Calibri" w:eastAsia="Calibri" w:hAnsi="Calibri" w:cs="Calibri"/>
          <w:sz w:val="24"/>
          <w:szCs w:val="24"/>
          <w:lang w:val="el-GR"/>
        </w:rPr>
        <w:t>από</w:t>
      </w:r>
      <w:r w:rsidRPr="00822848">
        <w:rPr>
          <w:rFonts w:ascii="Calibri" w:eastAsia="Calibri" w:hAnsi="Calibri" w:cs="Calibri"/>
          <w:sz w:val="24"/>
          <w:szCs w:val="24"/>
          <w:lang w:val="el-GR"/>
        </w:rPr>
        <w:t xml:space="preserve"> </w:t>
      </w:r>
      <w:r>
        <w:rPr>
          <w:rFonts w:ascii="Calibri" w:eastAsia="Calibri" w:hAnsi="Calibri" w:cs="Calibri"/>
          <w:sz w:val="24"/>
          <w:szCs w:val="24"/>
          <w:lang w:val="el-GR"/>
        </w:rPr>
        <w:t>τις</w:t>
      </w:r>
      <w:r w:rsidRPr="00822848">
        <w:rPr>
          <w:rFonts w:ascii="Calibri" w:eastAsia="Calibri" w:hAnsi="Calibri" w:cs="Calibri"/>
          <w:sz w:val="24"/>
          <w:szCs w:val="24"/>
          <w:lang w:val="el-GR"/>
        </w:rPr>
        <w:t xml:space="preserve"> </w:t>
      </w:r>
      <w:r w:rsidR="00E73DB4">
        <w:rPr>
          <w:rFonts w:ascii="Calibri" w:eastAsia="Calibri" w:hAnsi="Calibri" w:cs="Calibri"/>
          <w:sz w:val="24"/>
          <w:szCs w:val="24"/>
          <w:lang w:val="el-GR"/>
        </w:rPr>
        <w:t xml:space="preserve">ανώτατες </w:t>
      </w:r>
      <w:r>
        <w:rPr>
          <w:rFonts w:ascii="Calibri" w:eastAsia="Calibri" w:hAnsi="Calibri" w:cs="Calibri"/>
          <w:sz w:val="24"/>
          <w:szCs w:val="24"/>
          <w:lang w:val="el-GR"/>
        </w:rPr>
        <w:t>βαθμίδες</w:t>
      </w:r>
      <w:r w:rsidRPr="00822848">
        <w:rPr>
          <w:rFonts w:ascii="Calibri" w:eastAsia="Calibri" w:hAnsi="Calibri" w:cs="Calibri"/>
          <w:sz w:val="24"/>
          <w:szCs w:val="24"/>
          <w:lang w:val="el-GR"/>
        </w:rPr>
        <w:t xml:space="preserve"> </w:t>
      </w:r>
      <w:r>
        <w:rPr>
          <w:rFonts w:ascii="Calibri" w:eastAsia="Calibri" w:hAnsi="Calibri" w:cs="Calibri"/>
          <w:sz w:val="24"/>
          <w:szCs w:val="24"/>
          <w:lang w:val="el-GR"/>
        </w:rPr>
        <w:t>της</w:t>
      </w:r>
      <w:r w:rsidRPr="00822848">
        <w:rPr>
          <w:rFonts w:ascii="Calibri" w:eastAsia="Calibri" w:hAnsi="Calibri" w:cs="Calibri"/>
          <w:sz w:val="24"/>
          <w:szCs w:val="24"/>
          <w:lang w:val="el-GR"/>
        </w:rPr>
        <w:t xml:space="preserve"> </w:t>
      </w:r>
      <w:r>
        <w:rPr>
          <w:rFonts w:ascii="Calibri" w:eastAsia="Calibri" w:hAnsi="Calibri" w:cs="Calibri"/>
          <w:sz w:val="24"/>
          <w:szCs w:val="24"/>
          <w:lang w:val="el-GR"/>
        </w:rPr>
        <w:t>εκτελεστικής</w:t>
      </w:r>
      <w:r w:rsidRPr="00822848">
        <w:rPr>
          <w:rFonts w:ascii="Calibri" w:eastAsia="Calibri" w:hAnsi="Calibri" w:cs="Calibri"/>
          <w:sz w:val="24"/>
          <w:szCs w:val="24"/>
          <w:lang w:val="el-GR"/>
        </w:rPr>
        <w:t xml:space="preserve"> </w:t>
      </w:r>
      <w:r>
        <w:rPr>
          <w:rFonts w:ascii="Calibri" w:eastAsia="Calibri" w:hAnsi="Calibri" w:cs="Calibri"/>
          <w:sz w:val="24"/>
          <w:szCs w:val="24"/>
          <w:lang w:val="el-GR"/>
        </w:rPr>
        <w:t>εξουσίας για την απερίφραστη δέσμευση τους</w:t>
      </w:r>
      <w:r w:rsidR="00A5147D" w:rsidRPr="00822848">
        <w:rPr>
          <w:rFonts w:ascii="Calibri" w:eastAsia="Calibri" w:hAnsi="Calibri" w:cs="Calibri"/>
          <w:sz w:val="24"/>
          <w:szCs w:val="24"/>
          <w:lang w:val="el-GR"/>
        </w:rPr>
        <w:t xml:space="preserve"> </w:t>
      </w:r>
      <w:r>
        <w:rPr>
          <w:rFonts w:ascii="Calibri" w:eastAsia="Calibri" w:hAnsi="Calibri" w:cs="Calibri"/>
          <w:sz w:val="24"/>
          <w:szCs w:val="24"/>
          <w:lang w:val="el-GR"/>
        </w:rPr>
        <w:t>να προωθή</w:t>
      </w:r>
      <w:r w:rsidR="0021662B">
        <w:rPr>
          <w:rFonts w:ascii="Calibri" w:eastAsia="Calibri" w:hAnsi="Calibri" w:cs="Calibri"/>
          <w:sz w:val="24"/>
          <w:szCs w:val="24"/>
          <w:lang w:val="el-GR"/>
        </w:rPr>
        <w:t>σ</w:t>
      </w:r>
      <w:r>
        <w:rPr>
          <w:rFonts w:ascii="Calibri" w:eastAsia="Calibri" w:hAnsi="Calibri" w:cs="Calibri"/>
          <w:sz w:val="24"/>
          <w:szCs w:val="24"/>
          <w:lang w:val="el-GR"/>
        </w:rPr>
        <w:t>ουν την ακεραιότητα, να καταδικάσουν την διαφθορά, και να ηγηθούν, δίνοντας οι ίδιοι το παράδειγμα</w:t>
      </w:r>
      <w:r w:rsidR="00A5147D" w:rsidRPr="00822848">
        <w:rPr>
          <w:rFonts w:ascii="Calibri" w:eastAsia="Calibri" w:hAnsi="Calibri" w:cs="Calibri"/>
          <w:sz w:val="24"/>
          <w:szCs w:val="24"/>
          <w:lang w:val="el-GR"/>
        </w:rPr>
        <w:t xml:space="preserve">. </w:t>
      </w:r>
      <w:bookmarkStart w:id="54" w:name="_Hlk132888190"/>
      <w:r>
        <w:rPr>
          <w:rFonts w:ascii="Calibri" w:eastAsia="Calibri" w:hAnsi="Calibri" w:cs="Calibri"/>
          <w:sz w:val="24"/>
          <w:szCs w:val="24"/>
          <w:lang w:val="el-GR"/>
        </w:rPr>
        <w:t>Η</w:t>
      </w:r>
      <w:r w:rsidR="00B94CDD" w:rsidRPr="000C0DDA">
        <w:rPr>
          <w:rFonts w:ascii="Calibri" w:eastAsia="Calibri" w:hAnsi="Calibri" w:cs="Calibri"/>
          <w:sz w:val="24"/>
          <w:szCs w:val="24"/>
          <w:lang w:val="el-GR"/>
        </w:rPr>
        <w:t xml:space="preserve"> </w:t>
      </w:r>
      <w:r w:rsidR="00B94CDD" w:rsidRPr="00B95983">
        <w:rPr>
          <w:rFonts w:ascii="Calibri" w:eastAsia="Calibri" w:hAnsi="Calibri" w:cs="Calibri"/>
          <w:sz w:val="24"/>
          <w:szCs w:val="24"/>
        </w:rPr>
        <w:t>GET</w:t>
      </w:r>
      <w:r w:rsidR="00B94CDD" w:rsidRPr="000C0DDA">
        <w:rPr>
          <w:rFonts w:ascii="Calibri" w:eastAsia="Calibri" w:hAnsi="Calibri" w:cs="Calibri"/>
          <w:sz w:val="24"/>
          <w:szCs w:val="24"/>
          <w:lang w:val="el-GR"/>
        </w:rPr>
        <w:t xml:space="preserve"> </w:t>
      </w:r>
      <w:r>
        <w:rPr>
          <w:rFonts w:ascii="Calibri" w:eastAsia="Calibri" w:hAnsi="Calibri" w:cs="Calibri"/>
          <w:sz w:val="24"/>
          <w:szCs w:val="24"/>
          <w:lang w:val="el-GR"/>
        </w:rPr>
        <w:t>χάρηκε</w:t>
      </w:r>
      <w:r w:rsidRPr="000C0DDA">
        <w:rPr>
          <w:rFonts w:ascii="Calibri" w:eastAsia="Calibri" w:hAnsi="Calibri" w:cs="Calibri"/>
          <w:sz w:val="24"/>
          <w:szCs w:val="24"/>
          <w:lang w:val="el-GR"/>
        </w:rPr>
        <w:t xml:space="preserve"> </w:t>
      </w:r>
      <w:r>
        <w:rPr>
          <w:rFonts w:ascii="Calibri" w:eastAsia="Calibri" w:hAnsi="Calibri" w:cs="Calibri"/>
          <w:sz w:val="24"/>
          <w:szCs w:val="24"/>
          <w:lang w:val="el-GR"/>
        </w:rPr>
        <w:t>που</w:t>
      </w:r>
      <w:r w:rsidRPr="000C0DDA">
        <w:rPr>
          <w:rFonts w:ascii="Calibri" w:eastAsia="Calibri" w:hAnsi="Calibri" w:cs="Calibri"/>
          <w:sz w:val="24"/>
          <w:szCs w:val="24"/>
          <w:lang w:val="el-GR"/>
        </w:rPr>
        <w:t xml:space="preserve"> </w:t>
      </w:r>
      <w:r>
        <w:rPr>
          <w:rFonts w:ascii="Calibri" w:eastAsia="Calibri" w:hAnsi="Calibri" w:cs="Calibri"/>
          <w:sz w:val="24"/>
          <w:szCs w:val="24"/>
          <w:lang w:val="el-GR"/>
        </w:rPr>
        <w:t>άκουσε</w:t>
      </w:r>
      <w:r w:rsidR="00D95B91" w:rsidRPr="000C0DDA">
        <w:rPr>
          <w:rFonts w:ascii="Calibri" w:eastAsia="Calibri" w:hAnsi="Calibri" w:cs="Calibri"/>
          <w:sz w:val="24"/>
          <w:szCs w:val="24"/>
          <w:lang w:val="el-GR"/>
        </w:rPr>
        <w:t>,</w:t>
      </w:r>
      <w:r w:rsidR="00B94CDD" w:rsidRPr="000C0DDA">
        <w:rPr>
          <w:rFonts w:ascii="Calibri" w:eastAsia="Calibri" w:hAnsi="Calibri" w:cs="Calibri"/>
          <w:sz w:val="24"/>
          <w:szCs w:val="24"/>
          <w:lang w:val="el-GR"/>
        </w:rPr>
        <w:t xml:space="preserve"> </w:t>
      </w:r>
      <w:r>
        <w:rPr>
          <w:rFonts w:ascii="Calibri" w:eastAsia="Calibri" w:hAnsi="Calibri" w:cs="Calibri"/>
          <w:sz w:val="24"/>
          <w:szCs w:val="24"/>
          <w:lang w:val="el-GR"/>
        </w:rPr>
        <w:t>μετά</w:t>
      </w:r>
      <w:r w:rsidRPr="000C0DDA">
        <w:rPr>
          <w:rFonts w:ascii="Calibri" w:eastAsia="Calibri" w:hAnsi="Calibri" w:cs="Calibri"/>
          <w:sz w:val="24"/>
          <w:szCs w:val="24"/>
          <w:lang w:val="el-GR"/>
        </w:rPr>
        <w:t xml:space="preserve"> </w:t>
      </w:r>
      <w:r>
        <w:rPr>
          <w:rFonts w:ascii="Calibri" w:eastAsia="Calibri" w:hAnsi="Calibri" w:cs="Calibri"/>
          <w:sz w:val="24"/>
          <w:szCs w:val="24"/>
          <w:lang w:val="el-GR"/>
        </w:rPr>
        <w:t>την</w:t>
      </w:r>
      <w:r w:rsidRPr="000C0DDA">
        <w:rPr>
          <w:rFonts w:ascii="Calibri" w:eastAsia="Calibri" w:hAnsi="Calibri" w:cs="Calibri"/>
          <w:sz w:val="24"/>
          <w:szCs w:val="24"/>
          <w:lang w:val="el-GR"/>
        </w:rPr>
        <w:t xml:space="preserve"> </w:t>
      </w:r>
      <w:r>
        <w:rPr>
          <w:rFonts w:ascii="Calibri" w:eastAsia="Calibri" w:hAnsi="Calibri" w:cs="Calibri"/>
          <w:sz w:val="24"/>
          <w:szCs w:val="24"/>
          <w:lang w:val="el-GR"/>
        </w:rPr>
        <w:t>επί</w:t>
      </w:r>
      <w:r w:rsidRPr="000C0DDA">
        <w:rPr>
          <w:rFonts w:ascii="Calibri" w:eastAsia="Calibri" w:hAnsi="Calibri" w:cs="Calibri"/>
          <w:sz w:val="24"/>
          <w:szCs w:val="24"/>
          <w:lang w:val="el-GR"/>
        </w:rPr>
        <w:t xml:space="preserve"> </w:t>
      </w:r>
      <w:r>
        <w:rPr>
          <w:rFonts w:ascii="Calibri" w:eastAsia="Calibri" w:hAnsi="Calibri" w:cs="Calibri"/>
          <w:sz w:val="24"/>
          <w:szCs w:val="24"/>
          <w:lang w:val="el-GR"/>
        </w:rPr>
        <w:t>τόπου</w:t>
      </w:r>
      <w:r w:rsidRPr="000C0DDA">
        <w:rPr>
          <w:rFonts w:ascii="Calibri" w:eastAsia="Calibri" w:hAnsi="Calibri" w:cs="Calibri"/>
          <w:sz w:val="24"/>
          <w:szCs w:val="24"/>
          <w:lang w:val="el-GR"/>
        </w:rPr>
        <w:t xml:space="preserve"> </w:t>
      </w:r>
      <w:r>
        <w:rPr>
          <w:rFonts w:ascii="Calibri" w:eastAsia="Calibri" w:hAnsi="Calibri" w:cs="Calibri"/>
          <w:sz w:val="24"/>
          <w:szCs w:val="24"/>
          <w:lang w:val="el-GR"/>
        </w:rPr>
        <w:t>επίσκεψη</w:t>
      </w:r>
      <w:r w:rsidR="00E73DB4">
        <w:rPr>
          <w:rFonts w:ascii="Calibri" w:eastAsia="Calibri" w:hAnsi="Calibri" w:cs="Calibri"/>
          <w:sz w:val="24"/>
          <w:szCs w:val="24"/>
          <w:lang w:val="el-GR"/>
        </w:rPr>
        <w:t xml:space="preserve"> της</w:t>
      </w:r>
      <w:r w:rsidR="00B94CDD" w:rsidRPr="000C0DDA">
        <w:rPr>
          <w:rFonts w:ascii="Calibri" w:eastAsia="Calibri" w:hAnsi="Calibri" w:cs="Calibri"/>
          <w:sz w:val="24"/>
          <w:szCs w:val="24"/>
          <w:lang w:val="el-GR"/>
        </w:rPr>
        <w:t xml:space="preserve">, </w:t>
      </w:r>
      <w:r w:rsidR="00E73DB4">
        <w:rPr>
          <w:rFonts w:ascii="Calibri" w:eastAsia="Calibri" w:hAnsi="Calibri" w:cs="Calibri"/>
          <w:sz w:val="24"/>
          <w:szCs w:val="24"/>
          <w:lang w:val="el-GR"/>
        </w:rPr>
        <w:t xml:space="preserve">ότι </w:t>
      </w:r>
      <w:r>
        <w:rPr>
          <w:rFonts w:ascii="Calibri" w:eastAsia="Calibri" w:hAnsi="Calibri" w:cs="Calibri"/>
          <w:sz w:val="24"/>
          <w:szCs w:val="24"/>
          <w:lang w:val="el-GR"/>
        </w:rPr>
        <w:t>ο</w:t>
      </w:r>
      <w:r w:rsidRPr="000C0DDA">
        <w:rPr>
          <w:rFonts w:ascii="Calibri" w:eastAsia="Calibri" w:hAnsi="Calibri" w:cs="Calibri"/>
          <w:sz w:val="24"/>
          <w:szCs w:val="24"/>
          <w:lang w:val="el-GR"/>
        </w:rPr>
        <w:t xml:space="preserve"> </w:t>
      </w:r>
      <w:proofErr w:type="spellStart"/>
      <w:r>
        <w:rPr>
          <w:rFonts w:ascii="Calibri" w:eastAsia="Calibri" w:hAnsi="Calibri" w:cs="Calibri"/>
          <w:sz w:val="24"/>
          <w:szCs w:val="24"/>
          <w:lang w:val="el-GR"/>
        </w:rPr>
        <w:t>νεοεκλεγ</w:t>
      </w:r>
      <w:r w:rsidR="000C0DDA">
        <w:rPr>
          <w:rFonts w:ascii="Calibri" w:eastAsia="Calibri" w:hAnsi="Calibri" w:cs="Calibri"/>
          <w:sz w:val="24"/>
          <w:szCs w:val="24"/>
          <w:lang w:val="el-GR"/>
        </w:rPr>
        <w:t>εί</w:t>
      </w:r>
      <w:r>
        <w:rPr>
          <w:rFonts w:ascii="Calibri" w:eastAsia="Calibri" w:hAnsi="Calibri" w:cs="Calibri"/>
          <w:sz w:val="24"/>
          <w:szCs w:val="24"/>
          <w:lang w:val="el-GR"/>
        </w:rPr>
        <w:t>ς</w:t>
      </w:r>
      <w:proofErr w:type="spellEnd"/>
      <w:r w:rsidR="000C0DDA" w:rsidRPr="000C0DDA">
        <w:rPr>
          <w:rFonts w:ascii="Calibri" w:eastAsia="Calibri" w:hAnsi="Calibri" w:cs="Calibri"/>
          <w:sz w:val="24"/>
          <w:szCs w:val="24"/>
          <w:lang w:val="el-GR"/>
        </w:rPr>
        <w:t xml:space="preserve"> </w:t>
      </w:r>
      <w:r w:rsidR="000C0DDA">
        <w:rPr>
          <w:rFonts w:ascii="Calibri" w:eastAsia="Calibri" w:hAnsi="Calibri" w:cs="Calibri"/>
          <w:sz w:val="24"/>
          <w:szCs w:val="24"/>
          <w:lang w:val="el-GR"/>
        </w:rPr>
        <w:t>Πρόεδρος</w:t>
      </w:r>
      <w:r w:rsidR="000C0DDA" w:rsidRPr="000C0DDA">
        <w:rPr>
          <w:rFonts w:ascii="Calibri" w:eastAsia="Calibri" w:hAnsi="Calibri" w:cs="Calibri"/>
          <w:sz w:val="24"/>
          <w:szCs w:val="24"/>
          <w:lang w:val="el-GR"/>
        </w:rPr>
        <w:t xml:space="preserve"> </w:t>
      </w:r>
      <w:r w:rsidR="000C0DDA">
        <w:rPr>
          <w:rFonts w:ascii="Calibri" w:eastAsia="Calibri" w:hAnsi="Calibri" w:cs="Calibri"/>
          <w:sz w:val="24"/>
          <w:szCs w:val="24"/>
          <w:lang w:val="el-GR"/>
        </w:rPr>
        <w:t>της</w:t>
      </w:r>
      <w:r w:rsidR="000C0DDA" w:rsidRPr="000C0DDA">
        <w:rPr>
          <w:rFonts w:ascii="Calibri" w:eastAsia="Calibri" w:hAnsi="Calibri" w:cs="Calibri"/>
          <w:sz w:val="24"/>
          <w:szCs w:val="24"/>
          <w:lang w:val="el-GR"/>
        </w:rPr>
        <w:t xml:space="preserve"> </w:t>
      </w:r>
      <w:r w:rsidR="000C0DDA">
        <w:rPr>
          <w:rFonts w:ascii="Calibri" w:eastAsia="Calibri" w:hAnsi="Calibri" w:cs="Calibri"/>
          <w:sz w:val="24"/>
          <w:szCs w:val="24"/>
          <w:lang w:val="el-GR"/>
        </w:rPr>
        <w:t>Δημοκρατίας</w:t>
      </w:r>
      <w:r w:rsidR="00B94CDD" w:rsidRPr="000C0DDA">
        <w:rPr>
          <w:rFonts w:ascii="Calibri" w:eastAsia="Calibri" w:hAnsi="Calibri" w:cs="Calibri"/>
          <w:sz w:val="24"/>
          <w:szCs w:val="24"/>
          <w:lang w:val="el-GR"/>
        </w:rPr>
        <w:t xml:space="preserve"> </w:t>
      </w:r>
      <w:r w:rsidR="000C0DDA">
        <w:rPr>
          <w:rFonts w:ascii="Calibri" w:eastAsia="Calibri" w:hAnsi="Calibri" w:cs="Calibri"/>
          <w:sz w:val="24"/>
          <w:szCs w:val="24"/>
          <w:lang w:val="el-GR"/>
        </w:rPr>
        <w:t>είχε αποφασίσει</w:t>
      </w:r>
      <w:r w:rsidR="00B94CDD" w:rsidRPr="000C0DDA">
        <w:rPr>
          <w:rFonts w:ascii="Calibri" w:eastAsia="Calibri" w:hAnsi="Calibri" w:cs="Calibri"/>
          <w:sz w:val="24"/>
          <w:szCs w:val="24"/>
          <w:lang w:val="el-GR"/>
        </w:rPr>
        <w:t xml:space="preserve"> </w:t>
      </w:r>
      <w:r w:rsidR="000C0DDA">
        <w:rPr>
          <w:rFonts w:ascii="Calibri" w:eastAsia="Calibri" w:hAnsi="Calibri" w:cs="Calibri"/>
          <w:sz w:val="24"/>
          <w:szCs w:val="24"/>
          <w:lang w:val="el-GR"/>
        </w:rPr>
        <w:t xml:space="preserve">να δημιουργήσει μια Μονάδα Εσωτερικού Ελέγχου και </w:t>
      </w:r>
      <w:r w:rsidR="00E73DB4">
        <w:rPr>
          <w:rFonts w:ascii="Calibri" w:eastAsia="Calibri" w:hAnsi="Calibri" w:cs="Calibri"/>
          <w:sz w:val="24"/>
          <w:szCs w:val="24"/>
          <w:lang w:val="el-GR"/>
        </w:rPr>
        <w:t xml:space="preserve">Δεοντολογίας </w:t>
      </w:r>
      <w:r w:rsidR="000C0DDA">
        <w:rPr>
          <w:rFonts w:ascii="Calibri" w:eastAsia="Calibri" w:hAnsi="Calibri" w:cs="Calibri"/>
          <w:sz w:val="24"/>
          <w:szCs w:val="24"/>
          <w:lang w:val="el-GR"/>
        </w:rPr>
        <w:t>στο Προεδρικό Μέγαρο</w:t>
      </w:r>
      <w:r w:rsidR="00B94CDD" w:rsidRPr="000C0DDA">
        <w:rPr>
          <w:rFonts w:ascii="Calibri" w:eastAsia="Calibri" w:hAnsi="Calibri" w:cs="Calibri"/>
          <w:sz w:val="24"/>
          <w:szCs w:val="24"/>
          <w:lang w:val="el-GR"/>
        </w:rPr>
        <w:t xml:space="preserve">. </w:t>
      </w:r>
      <w:bookmarkEnd w:id="54"/>
      <w:r w:rsidR="000C0DDA">
        <w:rPr>
          <w:rFonts w:ascii="Calibri" w:eastAsia="Calibri" w:hAnsi="Calibri" w:cs="Calibri"/>
          <w:sz w:val="24"/>
          <w:szCs w:val="24"/>
          <w:lang w:val="el-GR"/>
        </w:rPr>
        <w:t>Η</w:t>
      </w:r>
      <w:r w:rsidR="00A5147D" w:rsidRPr="000C0DDA">
        <w:rPr>
          <w:rFonts w:ascii="Calibri" w:eastAsia="Calibri" w:hAnsi="Calibri" w:cs="Calibri"/>
          <w:sz w:val="24"/>
          <w:szCs w:val="24"/>
          <w:lang w:val="el-GR"/>
        </w:rPr>
        <w:t xml:space="preserve"> </w:t>
      </w:r>
      <w:r w:rsidR="00A5147D" w:rsidRPr="00B95983">
        <w:rPr>
          <w:rFonts w:ascii="Calibri" w:eastAsia="Calibri" w:hAnsi="Calibri" w:cs="Calibri"/>
          <w:sz w:val="24"/>
          <w:szCs w:val="24"/>
        </w:rPr>
        <w:t>GET</w:t>
      </w:r>
      <w:r w:rsidR="009018FD" w:rsidRPr="000C0DDA">
        <w:rPr>
          <w:rFonts w:ascii="Calibri" w:eastAsia="Calibri" w:hAnsi="Calibri" w:cs="Calibri"/>
          <w:sz w:val="24"/>
          <w:szCs w:val="24"/>
          <w:lang w:val="el-GR"/>
        </w:rPr>
        <w:t xml:space="preserve"> </w:t>
      </w:r>
      <w:r w:rsidR="000C0DDA">
        <w:rPr>
          <w:rFonts w:ascii="Calibri" w:eastAsia="Calibri" w:hAnsi="Calibri" w:cs="Calibri"/>
          <w:sz w:val="24"/>
          <w:szCs w:val="24"/>
          <w:lang w:val="el-GR"/>
        </w:rPr>
        <w:t>πιστεύει</w:t>
      </w:r>
      <w:r w:rsidR="000C0DDA" w:rsidRPr="000C0DDA">
        <w:rPr>
          <w:rFonts w:ascii="Calibri" w:eastAsia="Calibri" w:hAnsi="Calibri" w:cs="Calibri"/>
          <w:sz w:val="24"/>
          <w:szCs w:val="24"/>
          <w:lang w:val="el-GR"/>
        </w:rPr>
        <w:t xml:space="preserve"> </w:t>
      </w:r>
      <w:r w:rsidR="000C0DDA">
        <w:rPr>
          <w:rFonts w:ascii="Calibri" w:eastAsia="Calibri" w:hAnsi="Calibri" w:cs="Calibri"/>
          <w:sz w:val="24"/>
          <w:szCs w:val="24"/>
          <w:lang w:val="el-GR"/>
        </w:rPr>
        <w:t>ότι</w:t>
      </w:r>
      <w:r w:rsidR="000C0DDA" w:rsidRPr="000C0DDA">
        <w:rPr>
          <w:rFonts w:ascii="Calibri" w:eastAsia="Calibri" w:hAnsi="Calibri" w:cs="Calibri"/>
          <w:sz w:val="24"/>
          <w:szCs w:val="24"/>
          <w:lang w:val="el-GR"/>
        </w:rPr>
        <w:t xml:space="preserve"> </w:t>
      </w:r>
      <w:r w:rsidR="000C0DDA">
        <w:rPr>
          <w:rFonts w:ascii="Calibri" w:eastAsia="Calibri" w:hAnsi="Calibri" w:cs="Calibri"/>
          <w:sz w:val="24"/>
          <w:szCs w:val="24"/>
          <w:lang w:val="el-GR"/>
        </w:rPr>
        <w:t>οι</w:t>
      </w:r>
      <w:r w:rsidR="000C0DDA" w:rsidRPr="000C0DDA">
        <w:rPr>
          <w:rFonts w:ascii="Calibri" w:eastAsia="Calibri" w:hAnsi="Calibri" w:cs="Calibri"/>
          <w:sz w:val="24"/>
          <w:szCs w:val="24"/>
          <w:lang w:val="el-GR"/>
        </w:rPr>
        <w:t xml:space="preserve"> </w:t>
      </w:r>
      <w:r w:rsidR="000C0DDA">
        <w:rPr>
          <w:rFonts w:ascii="Calibri" w:eastAsia="Calibri" w:hAnsi="Calibri" w:cs="Calibri"/>
          <w:sz w:val="24"/>
          <w:szCs w:val="24"/>
          <w:lang w:val="el-GR"/>
        </w:rPr>
        <w:t>συστάσεις</w:t>
      </w:r>
      <w:r w:rsidR="000C0DDA" w:rsidRPr="000C0DDA">
        <w:rPr>
          <w:rFonts w:ascii="Calibri" w:eastAsia="Calibri" w:hAnsi="Calibri" w:cs="Calibri"/>
          <w:sz w:val="24"/>
          <w:szCs w:val="24"/>
          <w:lang w:val="el-GR"/>
        </w:rPr>
        <w:t xml:space="preserve"> </w:t>
      </w:r>
      <w:r w:rsidR="000C0DDA">
        <w:rPr>
          <w:rFonts w:ascii="Calibri" w:eastAsia="Calibri" w:hAnsi="Calibri" w:cs="Calibri"/>
          <w:sz w:val="24"/>
          <w:szCs w:val="24"/>
          <w:lang w:val="el-GR"/>
        </w:rPr>
        <w:t>που</w:t>
      </w:r>
      <w:r w:rsidR="000C0DDA" w:rsidRPr="000C0DDA">
        <w:rPr>
          <w:rFonts w:ascii="Calibri" w:eastAsia="Calibri" w:hAnsi="Calibri" w:cs="Calibri"/>
          <w:sz w:val="24"/>
          <w:szCs w:val="24"/>
          <w:lang w:val="el-GR"/>
        </w:rPr>
        <w:t xml:space="preserve"> </w:t>
      </w:r>
      <w:r w:rsidR="000C0DDA">
        <w:rPr>
          <w:rFonts w:ascii="Calibri" w:eastAsia="Calibri" w:hAnsi="Calibri" w:cs="Calibri"/>
          <w:sz w:val="24"/>
          <w:szCs w:val="24"/>
          <w:lang w:val="el-GR"/>
        </w:rPr>
        <w:t>συμπεριλαμβάνονται</w:t>
      </w:r>
      <w:r w:rsidR="000C0DDA" w:rsidRPr="000C0DDA">
        <w:rPr>
          <w:rFonts w:ascii="Calibri" w:eastAsia="Calibri" w:hAnsi="Calibri" w:cs="Calibri"/>
          <w:sz w:val="24"/>
          <w:szCs w:val="24"/>
          <w:lang w:val="el-GR"/>
        </w:rPr>
        <w:t xml:space="preserve"> </w:t>
      </w:r>
      <w:r w:rsidR="000C0DDA">
        <w:rPr>
          <w:rFonts w:ascii="Calibri" w:eastAsia="Calibri" w:hAnsi="Calibri" w:cs="Calibri"/>
          <w:sz w:val="24"/>
          <w:szCs w:val="24"/>
          <w:lang w:val="el-GR"/>
        </w:rPr>
        <w:t>στην</w:t>
      </w:r>
      <w:r w:rsidR="000C0DDA" w:rsidRPr="000C0DDA">
        <w:rPr>
          <w:rFonts w:ascii="Calibri" w:eastAsia="Calibri" w:hAnsi="Calibri" w:cs="Calibri"/>
          <w:sz w:val="24"/>
          <w:szCs w:val="24"/>
          <w:lang w:val="el-GR"/>
        </w:rPr>
        <w:t xml:space="preserve"> </w:t>
      </w:r>
      <w:r w:rsidR="000C0DDA">
        <w:rPr>
          <w:rFonts w:ascii="Calibri" w:eastAsia="Calibri" w:hAnsi="Calibri" w:cs="Calibri"/>
          <w:sz w:val="24"/>
          <w:szCs w:val="24"/>
          <w:lang w:val="el-GR"/>
        </w:rPr>
        <w:t>έκθ</w:t>
      </w:r>
      <w:r w:rsidR="000B1F52">
        <w:rPr>
          <w:rFonts w:ascii="Calibri" w:eastAsia="Calibri" w:hAnsi="Calibri" w:cs="Calibri"/>
          <w:sz w:val="24"/>
          <w:szCs w:val="24"/>
          <w:lang w:val="el-GR"/>
        </w:rPr>
        <w:t>ε</w:t>
      </w:r>
      <w:r w:rsidR="000C0DDA">
        <w:rPr>
          <w:rFonts w:ascii="Calibri" w:eastAsia="Calibri" w:hAnsi="Calibri" w:cs="Calibri"/>
          <w:sz w:val="24"/>
          <w:szCs w:val="24"/>
          <w:lang w:val="el-GR"/>
        </w:rPr>
        <w:t>ση</w:t>
      </w:r>
      <w:r w:rsidR="000C0DDA" w:rsidRPr="000C0DDA">
        <w:rPr>
          <w:rFonts w:ascii="Calibri" w:eastAsia="Calibri" w:hAnsi="Calibri" w:cs="Calibri"/>
          <w:sz w:val="24"/>
          <w:szCs w:val="24"/>
          <w:lang w:val="el-GR"/>
        </w:rPr>
        <w:t xml:space="preserve"> </w:t>
      </w:r>
      <w:r w:rsidR="000C0DDA">
        <w:rPr>
          <w:rFonts w:ascii="Calibri" w:eastAsia="Calibri" w:hAnsi="Calibri" w:cs="Calibri"/>
          <w:sz w:val="24"/>
          <w:szCs w:val="24"/>
          <w:lang w:val="el-GR"/>
        </w:rPr>
        <w:t>αυτή</w:t>
      </w:r>
      <w:r w:rsidR="00A5147D" w:rsidRPr="000C0DDA">
        <w:rPr>
          <w:rFonts w:ascii="Calibri" w:eastAsia="Calibri" w:hAnsi="Calibri" w:cs="Calibri"/>
          <w:sz w:val="24"/>
          <w:szCs w:val="24"/>
          <w:lang w:val="el-GR"/>
        </w:rPr>
        <w:t xml:space="preserve"> </w:t>
      </w:r>
      <w:r w:rsidR="000C0DDA">
        <w:rPr>
          <w:rFonts w:ascii="Calibri" w:eastAsia="Calibri" w:hAnsi="Calibri" w:cs="Calibri"/>
          <w:sz w:val="24"/>
          <w:szCs w:val="24"/>
          <w:lang w:val="el-GR"/>
        </w:rPr>
        <w:t xml:space="preserve">συμβάλλουν περαιτέρω στον εντοπισμό των τομέων που χρειάζονται </w:t>
      </w:r>
      <w:r w:rsidR="00E73DB4">
        <w:rPr>
          <w:rFonts w:ascii="Calibri" w:eastAsia="Calibri" w:hAnsi="Calibri" w:cs="Calibri"/>
          <w:sz w:val="24"/>
          <w:szCs w:val="24"/>
          <w:lang w:val="el-GR"/>
        </w:rPr>
        <w:t>περαιτέρω πρόοδο</w:t>
      </w:r>
      <w:r w:rsidR="00A5147D" w:rsidRPr="000C0DDA">
        <w:rPr>
          <w:rFonts w:ascii="Calibri" w:eastAsia="Calibri" w:hAnsi="Calibri" w:cs="Calibri"/>
          <w:sz w:val="24"/>
          <w:szCs w:val="24"/>
          <w:lang w:val="el-GR"/>
        </w:rPr>
        <w:t xml:space="preserve">. </w:t>
      </w:r>
      <w:r w:rsidR="000C0DDA" w:rsidRPr="000C0DDA">
        <w:rPr>
          <w:rFonts w:ascii="Calibri" w:eastAsia="Calibri" w:hAnsi="Calibri" w:cs="Calibri"/>
          <w:b/>
          <w:sz w:val="24"/>
          <w:szCs w:val="24"/>
          <w:lang w:val="el-GR"/>
        </w:rPr>
        <w:t xml:space="preserve">Η </w:t>
      </w:r>
      <w:r w:rsidR="00A5147D" w:rsidRPr="004E251E">
        <w:rPr>
          <w:rFonts w:ascii="Calibri" w:eastAsia="Calibri" w:hAnsi="Calibri" w:cs="Calibri"/>
          <w:b/>
          <w:bCs/>
          <w:sz w:val="24"/>
          <w:szCs w:val="24"/>
        </w:rPr>
        <w:t>GRECO </w:t>
      </w:r>
      <w:r w:rsidR="001B09F4">
        <w:rPr>
          <w:rFonts w:ascii="Calibri" w:eastAsia="Calibri" w:hAnsi="Calibri" w:cs="Calibri"/>
          <w:b/>
          <w:bCs/>
          <w:sz w:val="24"/>
          <w:szCs w:val="24"/>
          <w:lang w:val="el-GR"/>
        </w:rPr>
        <w:t>συνιστά</w:t>
      </w:r>
      <w:r w:rsidR="00A5147D" w:rsidRPr="000C0DDA">
        <w:rPr>
          <w:rFonts w:ascii="Calibri" w:eastAsia="Calibri" w:hAnsi="Calibri" w:cs="Calibri"/>
          <w:b/>
          <w:bCs/>
          <w:sz w:val="24"/>
          <w:szCs w:val="24"/>
          <w:lang w:val="el-GR"/>
        </w:rPr>
        <w:t xml:space="preserve"> </w:t>
      </w:r>
      <w:r w:rsidR="000C0DDA">
        <w:rPr>
          <w:rFonts w:ascii="Calibri" w:eastAsia="Calibri" w:hAnsi="Calibri" w:cs="Calibri"/>
          <w:b/>
          <w:bCs/>
          <w:sz w:val="24"/>
          <w:szCs w:val="24"/>
          <w:lang w:val="el-GR"/>
        </w:rPr>
        <w:t>την</w:t>
      </w:r>
      <w:r w:rsidR="000C0DDA" w:rsidRPr="000C0DDA">
        <w:rPr>
          <w:rFonts w:ascii="Calibri" w:eastAsia="Calibri" w:hAnsi="Calibri" w:cs="Calibri"/>
          <w:b/>
          <w:bCs/>
          <w:sz w:val="24"/>
          <w:szCs w:val="24"/>
          <w:lang w:val="el-GR"/>
        </w:rPr>
        <w:t xml:space="preserve"> </w:t>
      </w:r>
      <w:r w:rsidR="000C0DDA">
        <w:rPr>
          <w:rFonts w:ascii="Calibri" w:eastAsia="Calibri" w:hAnsi="Calibri" w:cs="Calibri"/>
          <w:b/>
          <w:bCs/>
          <w:sz w:val="24"/>
          <w:szCs w:val="24"/>
          <w:lang w:val="el-GR"/>
        </w:rPr>
        <w:t>ανάπτυξη</w:t>
      </w:r>
      <w:r w:rsidR="000C0DDA" w:rsidRPr="000C0DDA">
        <w:rPr>
          <w:rFonts w:ascii="Calibri" w:eastAsia="Calibri" w:hAnsi="Calibri" w:cs="Calibri"/>
          <w:b/>
          <w:bCs/>
          <w:sz w:val="24"/>
          <w:szCs w:val="24"/>
          <w:lang w:val="el-GR"/>
        </w:rPr>
        <w:t xml:space="preserve"> </w:t>
      </w:r>
      <w:r w:rsidR="000C0DDA">
        <w:rPr>
          <w:rFonts w:ascii="Calibri" w:eastAsia="Calibri" w:hAnsi="Calibri" w:cs="Calibri"/>
          <w:b/>
          <w:bCs/>
          <w:sz w:val="24"/>
          <w:szCs w:val="24"/>
          <w:lang w:val="el-GR"/>
        </w:rPr>
        <w:t>μιας</w:t>
      </w:r>
      <w:r w:rsidR="000C0DDA" w:rsidRPr="000C0DDA">
        <w:rPr>
          <w:rFonts w:ascii="Calibri" w:eastAsia="Calibri" w:hAnsi="Calibri" w:cs="Calibri"/>
          <w:b/>
          <w:bCs/>
          <w:sz w:val="24"/>
          <w:szCs w:val="24"/>
          <w:lang w:val="el-GR"/>
        </w:rPr>
        <w:t xml:space="preserve"> </w:t>
      </w:r>
      <w:r w:rsidR="000C0DDA">
        <w:rPr>
          <w:rFonts w:ascii="Calibri" w:eastAsia="Calibri" w:hAnsi="Calibri" w:cs="Calibri"/>
          <w:b/>
          <w:bCs/>
          <w:sz w:val="24"/>
          <w:szCs w:val="24"/>
          <w:lang w:val="el-GR"/>
        </w:rPr>
        <w:t>συντονισμένης</w:t>
      </w:r>
      <w:r w:rsidR="000C0DDA" w:rsidRPr="000C0DDA">
        <w:rPr>
          <w:rFonts w:ascii="Calibri" w:eastAsia="Calibri" w:hAnsi="Calibri" w:cs="Calibri"/>
          <w:b/>
          <w:bCs/>
          <w:sz w:val="24"/>
          <w:szCs w:val="24"/>
          <w:lang w:val="el-GR"/>
        </w:rPr>
        <w:t xml:space="preserve"> </w:t>
      </w:r>
      <w:r w:rsidR="000C0DDA">
        <w:rPr>
          <w:rFonts w:ascii="Calibri" w:eastAsia="Calibri" w:hAnsi="Calibri" w:cs="Calibri"/>
          <w:b/>
          <w:bCs/>
          <w:sz w:val="24"/>
          <w:szCs w:val="24"/>
          <w:lang w:val="el-GR"/>
        </w:rPr>
        <w:t>στρατηγικής</w:t>
      </w:r>
      <w:r w:rsidR="00A5147D" w:rsidRPr="000C0DDA">
        <w:rPr>
          <w:rFonts w:ascii="Calibri" w:eastAsia="Calibri" w:hAnsi="Calibri" w:cs="Calibri"/>
          <w:b/>
          <w:bCs/>
          <w:sz w:val="24"/>
          <w:szCs w:val="24"/>
          <w:lang w:val="el-GR"/>
        </w:rPr>
        <w:t xml:space="preserve"> </w:t>
      </w:r>
      <w:r w:rsidR="000C0DDA">
        <w:rPr>
          <w:rFonts w:ascii="Calibri" w:eastAsia="Calibri" w:hAnsi="Calibri" w:cs="Calibri"/>
          <w:b/>
          <w:bCs/>
          <w:sz w:val="24"/>
          <w:szCs w:val="24"/>
          <w:lang w:val="el-GR"/>
        </w:rPr>
        <w:t>για</w:t>
      </w:r>
      <w:r w:rsidR="000C0DDA" w:rsidRPr="000C0DDA">
        <w:rPr>
          <w:rFonts w:ascii="Calibri" w:eastAsia="Calibri" w:hAnsi="Calibri" w:cs="Calibri"/>
          <w:b/>
          <w:bCs/>
          <w:sz w:val="24"/>
          <w:szCs w:val="24"/>
          <w:lang w:val="el-GR"/>
        </w:rPr>
        <w:t xml:space="preserve"> </w:t>
      </w:r>
      <w:r w:rsidR="000C0DDA">
        <w:rPr>
          <w:rFonts w:ascii="Calibri" w:eastAsia="Calibri" w:hAnsi="Calibri" w:cs="Calibri"/>
          <w:b/>
          <w:bCs/>
          <w:sz w:val="24"/>
          <w:szCs w:val="24"/>
          <w:lang w:val="el-GR"/>
        </w:rPr>
        <w:t>την</w:t>
      </w:r>
      <w:r w:rsidR="000C0DDA" w:rsidRPr="000C0DDA">
        <w:rPr>
          <w:rFonts w:ascii="Calibri" w:eastAsia="Calibri" w:hAnsi="Calibri" w:cs="Calibri"/>
          <w:b/>
          <w:bCs/>
          <w:sz w:val="24"/>
          <w:szCs w:val="24"/>
          <w:lang w:val="el-GR"/>
        </w:rPr>
        <w:t xml:space="preserve"> </w:t>
      </w:r>
      <w:r w:rsidR="000C0DDA">
        <w:rPr>
          <w:rFonts w:ascii="Calibri" w:eastAsia="Calibri" w:hAnsi="Calibri" w:cs="Calibri"/>
          <w:b/>
          <w:bCs/>
          <w:sz w:val="24"/>
          <w:szCs w:val="24"/>
          <w:lang w:val="el-GR"/>
        </w:rPr>
        <w:t>ακεραιότητα</w:t>
      </w:r>
      <w:r w:rsidR="000C0DDA" w:rsidRPr="000C0DDA">
        <w:rPr>
          <w:rFonts w:ascii="Calibri" w:eastAsia="Calibri" w:hAnsi="Calibri" w:cs="Calibri"/>
          <w:b/>
          <w:bCs/>
          <w:sz w:val="24"/>
          <w:szCs w:val="24"/>
          <w:lang w:val="el-GR"/>
        </w:rPr>
        <w:t xml:space="preserve"> </w:t>
      </w:r>
      <w:r w:rsidR="000C0DDA">
        <w:rPr>
          <w:rFonts w:ascii="Calibri" w:eastAsia="Calibri" w:hAnsi="Calibri" w:cs="Calibri"/>
          <w:b/>
          <w:bCs/>
          <w:sz w:val="24"/>
          <w:szCs w:val="24"/>
          <w:lang w:val="el-GR"/>
        </w:rPr>
        <w:t>των</w:t>
      </w:r>
      <w:r w:rsidR="000C0DDA" w:rsidRPr="000C0DDA">
        <w:rPr>
          <w:rFonts w:ascii="Calibri" w:eastAsia="Calibri" w:hAnsi="Calibri" w:cs="Calibri"/>
          <w:b/>
          <w:bCs/>
          <w:sz w:val="24"/>
          <w:szCs w:val="24"/>
          <w:lang w:val="el-GR"/>
        </w:rPr>
        <w:t xml:space="preserve"> </w:t>
      </w:r>
      <w:r w:rsidR="000C0DDA">
        <w:rPr>
          <w:rFonts w:ascii="Calibri" w:eastAsia="Calibri" w:hAnsi="Calibri" w:cs="Calibri"/>
          <w:b/>
          <w:bCs/>
          <w:sz w:val="24"/>
          <w:szCs w:val="24"/>
          <w:lang w:val="el-GR"/>
        </w:rPr>
        <w:t>ατόμων</w:t>
      </w:r>
      <w:r w:rsidR="000C0DDA" w:rsidRPr="000C0DDA">
        <w:rPr>
          <w:rFonts w:ascii="Calibri" w:eastAsia="Calibri" w:hAnsi="Calibri" w:cs="Calibri"/>
          <w:b/>
          <w:bCs/>
          <w:sz w:val="24"/>
          <w:szCs w:val="24"/>
          <w:lang w:val="el-GR"/>
        </w:rPr>
        <w:t xml:space="preserve"> </w:t>
      </w:r>
      <w:r w:rsidR="000C0DDA">
        <w:rPr>
          <w:rFonts w:ascii="Calibri" w:eastAsia="Calibri" w:hAnsi="Calibri" w:cs="Calibri"/>
          <w:b/>
          <w:bCs/>
          <w:sz w:val="24"/>
          <w:szCs w:val="24"/>
          <w:lang w:val="el-GR"/>
        </w:rPr>
        <w:t>που</w:t>
      </w:r>
      <w:r w:rsidR="000C0DDA" w:rsidRPr="000C0DDA">
        <w:rPr>
          <w:rFonts w:ascii="Calibri" w:eastAsia="Calibri" w:hAnsi="Calibri" w:cs="Calibri"/>
          <w:b/>
          <w:bCs/>
          <w:sz w:val="24"/>
          <w:szCs w:val="24"/>
          <w:lang w:val="el-GR"/>
        </w:rPr>
        <w:t xml:space="preserve"> </w:t>
      </w:r>
      <w:r w:rsidR="000C0DDA">
        <w:rPr>
          <w:rFonts w:ascii="Calibri" w:eastAsia="Calibri" w:hAnsi="Calibri" w:cs="Calibri"/>
          <w:b/>
          <w:bCs/>
          <w:sz w:val="24"/>
          <w:szCs w:val="24"/>
          <w:lang w:val="el-GR"/>
        </w:rPr>
        <w:t>τους</w:t>
      </w:r>
      <w:r w:rsidR="000C0DDA" w:rsidRPr="000C0DDA">
        <w:rPr>
          <w:rFonts w:ascii="Calibri" w:eastAsia="Calibri" w:hAnsi="Calibri" w:cs="Calibri"/>
          <w:b/>
          <w:bCs/>
          <w:sz w:val="24"/>
          <w:szCs w:val="24"/>
          <w:lang w:val="el-GR"/>
        </w:rPr>
        <w:t xml:space="preserve"> </w:t>
      </w:r>
      <w:r w:rsidR="000C0DDA">
        <w:rPr>
          <w:rFonts w:ascii="Calibri" w:eastAsia="Calibri" w:hAnsi="Calibri" w:cs="Calibri"/>
          <w:b/>
          <w:bCs/>
          <w:sz w:val="24"/>
          <w:szCs w:val="24"/>
          <w:lang w:val="el-GR"/>
        </w:rPr>
        <w:t>έχουν</w:t>
      </w:r>
      <w:r w:rsidR="000C0DDA" w:rsidRPr="000C0DDA">
        <w:rPr>
          <w:rFonts w:ascii="Calibri" w:eastAsia="Calibri" w:hAnsi="Calibri" w:cs="Calibri"/>
          <w:b/>
          <w:bCs/>
          <w:sz w:val="24"/>
          <w:szCs w:val="24"/>
          <w:lang w:val="el-GR"/>
        </w:rPr>
        <w:t xml:space="preserve"> </w:t>
      </w:r>
      <w:r w:rsidR="000C0DDA">
        <w:rPr>
          <w:rFonts w:ascii="Calibri" w:eastAsia="Calibri" w:hAnsi="Calibri" w:cs="Calibri"/>
          <w:b/>
          <w:bCs/>
          <w:sz w:val="24"/>
          <w:szCs w:val="24"/>
          <w:lang w:val="el-GR"/>
        </w:rPr>
        <w:t>ανατεθεί</w:t>
      </w:r>
      <w:r w:rsidR="000C0DDA" w:rsidRPr="000C0DDA">
        <w:rPr>
          <w:rFonts w:ascii="Calibri" w:eastAsia="Calibri" w:hAnsi="Calibri" w:cs="Calibri"/>
          <w:b/>
          <w:bCs/>
          <w:sz w:val="24"/>
          <w:szCs w:val="24"/>
          <w:lang w:val="el-GR"/>
        </w:rPr>
        <w:t xml:space="preserve"> </w:t>
      </w:r>
      <w:r w:rsidR="00E73DB4">
        <w:rPr>
          <w:rFonts w:ascii="Calibri" w:eastAsia="Calibri" w:hAnsi="Calibri" w:cs="Calibri"/>
          <w:b/>
          <w:bCs/>
          <w:sz w:val="24"/>
          <w:szCs w:val="24"/>
          <w:lang w:val="el-GR"/>
        </w:rPr>
        <w:t xml:space="preserve">ανώτατα </w:t>
      </w:r>
      <w:r w:rsidR="000C0DDA">
        <w:rPr>
          <w:rFonts w:ascii="Calibri" w:eastAsia="Calibri" w:hAnsi="Calibri" w:cs="Calibri"/>
          <w:b/>
          <w:bCs/>
          <w:sz w:val="24"/>
          <w:szCs w:val="24"/>
          <w:lang w:val="el-GR"/>
        </w:rPr>
        <w:t>εκτελεστικ</w:t>
      </w:r>
      <w:r w:rsidR="00E73DB4">
        <w:rPr>
          <w:rFonts w:ascii="Calibri" w:eastAsia="Calibri" w:hAnsi="Calibri" w:cs="Calibri"/>
          <w:b/>
          <w:bCs/>
          <w:sz w:val="24"/>
          <w:szCs w:val="24"/>
          <w:lang w:val="el-GR"/>
        </w:rPr>
        <w:t>ά καθήκοντα</w:t>
      </w:r>
      <w:r w:rsidR="00A5147D" w:rsidRPr="000C0DDA">
        <w:rPr>
          <w:rFonts w:ascii="Calibri" w:eastAsia="Calibri" w:hAnsi="Calibri" w:cs="Calibri"/>
          <w:b/>
          <w:bCs/>
          <w:sz w:val="24"/>
          <w:szCs w:val="24"/>
          <w:lang w:val="el-GR"/>
        </w:rPr>
        <w:t xml:space="preserve">, </w:t>
      </w:r>
      <w:r w:rsidR="000C0DDA">
        <w:rPr>
          <w:rFonts w:ascii="Calibri" w:eastAsia="Calibri" w:hAnsi="Calibri" w:cs="Calibri"/>
          <w:b/>
          <w:bCs/>
          <w:sz w:val="24"/>
          <w:szCs w:val="24"/>
          <w:lang w:val="el-GR"/>
        </w:rPr>
        <w:t>βάσει συστηματικής και περιεκτικής αξιολόγησης κινδύνου</w:t>
      </w:r>
      <w:r w:rsidR="00A5147D" w:rsidRPr="000C0DDA">
        <w:rPr>
          <w:rFonts w:ascii="Calibri" w:eastAsia="Calibri" w:hAnsi="Calibri" w:cs="Calibri"/>
          <w:b/>
          <w:bCs/>
          <w:sz w:val="24"/>
          <w:szCs w:val="24"/>
          <w:lang w:val="el-GR"/>
        </w:rPr>
        <w:t xml:space="preserve">, </w:t>
      </w:r>
      <w:r w:rsidR="000C0DDA">
        <w:rPr>
          <w:rFonts w:ascii="Calibri" w:eastAsia="Calibri" w:hAnsi="Calibri" w:cs="Calibri"/>
          <w:b/>
          <w:bCs/>
          <w:sz w:val="24"/>
          <w:szCs w:val="24"/>
          <w:lang w:val="el-GR"/>
        </w:rPr>
        <w:t>με σκοπό την πρόληψη και τη διαχείρ</w:t>
      </w:r>
      <w:r w:rsidR="00E73DB4">
        <w:rPr>
          <w:rFonts w:ascii="Calibri" w:eastAsia="Calibri" w:hAnsi="Calibri" w:cs="Calibri"/>
          <w:b/>
          <w:bCs/>
          <w:sz w:val="24"/>
          <w:szCs w:val="24"/>
          <w:lang w:val="el-GR"/>
        </w:rPr>
        <w:t>ι</w:t>
      </w:r>
      <w:r w:rsidR="000C0DDA">
        <w:rPr>
          <w:rFonts w:ascii="Calibri" w:eastAsia="Calibri" w:hAnsi="Calibri" w:cs="Calibri"/>
          <w:b/>
          <w:bCs/>
          <w:sz w:val="24"/>
          <w:szCs w:val="24"/>
          <w:lang w:val="el-GR"/>
        </w:rPr>
        <w:t>ση συγκρούσεων συμφερόντων</w:t>
      </w:r>
      <w:r w:rsidR="00A5147D" w:rsidRPr="000C0DDA">
        <w:rPr>
          <w:rFonts w:ascii="Calibri" w:eastAsia="Calibri" w:hAnsi="Calibri" w:cs="Calibri"/>
          <w:b/>
          <w:bCs/>
          <w:sz w:val="24"/>
          <w:szCs w:val="24"/>
          <w:lang w:val="el-GR"/>
        </w:rPr>
        <w:t xml:space="preserve">, </w:t>
      </w:r>
      <w:r w:rsidR="00073BA8">
        <w:rPr>
          <w:rFonts w:ascii="Calibri" w:eastAsia="Calibri" w:hAnsi="Calibri" w:cs="Calibri"/>
          <w:b/>
          <w:bCs/>
          <w:sz w:val="24"/>
          <w:szCs w:val="24"/>
          <w:lang w:val="el-GR"/>
        </w:rPr>
        <w:t xml:space="preserve">που να περιλαμβάνει κατάλληλα </w:t>
      </w:r>
      <w:r w:rsidR="000C0DDA">
        <w:rPr>
          <w:rFonts w:ascii="Calibri" w:eastAsia="Calibri" w:hAnsi="Calibri" w:cs="Calibri"/>
          <w:b/>
          <w:bCs/>
          <w:sz w:val="24"/>
          <w:szCs w:val="24"/>
          <w:lang w:val="el-GR"/>
        </w:rPr>
        <w:t>και αποτελεσματικ</w:t>
      </w:r>
      <w:r w:rsidR="00073BA8">
        <w:rPr>
          <w:rFonts w:ascii="Calibri" w:eastAsia="Calibri" w:hAnsi="Calibri" w:cs="Calibri"/>
          <w:b/>
          <w:bCs/>
          <w:sz w:val="24"/>
          <w:szCs w:val="24"/>
          <w:lang w:val="el-GR"/>
        </w:rPr>
        <w:t>ά</w:t>
      </w:r>
      <w:r w:rsidR="000C0DDA">
        <w:rPr>
          <w:rFonts w:ascii="Calibri" w:eastAsia="Calibri" w:hAnsi="Calibri" w:cs="Calibri"/>
          <w:b/>
          <w:bCs/>
          <w:sz w:val="24"/>
          <w:szCs w:val="24"/>
          <w:lang w:val="el-GR"/>
        </w:rPr>
        <w:t xml:space="preserve"> μέτρ</w:t>
      </w:r>
      <w:r w:rsidR="00073BA8">
        <w:rPr>
          <w:rFonts w:ascii="Calibri" w:eastAsia="Calibri" w:hAnsi="Calibri" w:cs="Calibri"/>
          <w:b/>
          <w:bCs/>
          <w:sz w:val="24"/>
          <w:szCs w:val="24"/>
          <w:lang w:val="el-GR"/>
        </w:rPr>
        <w:t>α</w:t>
      </w:r>
      <w:r w:rsidR="000C0DDA">
        <w:rPr>
          <w:rFonts w:ascii="Calibri" w:eastAsia="Calibri" w:hAnsi="Calibri" w:cs="Calibri"/>
          <w:b/>
          <w:bCs/>
          <w:sz w:val="24"/>
          <w:szCs w:val="24"/>
          <w:lang w:val="el-GR"/>
        </w:rPr>
        <w:t xml:space="preserve"> </w:t>
      </w:r>
      <w:r w:rsidR="00B1641D">
        <w:rPr>
          <w:rFonts w:ascii="Calibri" w:eastAsia="Calibri" w:hAnsi="Calibri" w:cs="Calibri"/>
          <w:b/>
          <w:bCs/>
          <w:sz w:val="24"/>
          <w:szCs w:val="24"/>
          <w:lang w:val="el-GR"/>
        </w:rPr>
        <w:t>συμβουλευτικ</w:t>
      </w:r>
      <w:r w:rsidR="000B1F52">
        <w:rPr>
          <w:rFonts w:ascii="Calibri" w:eastAsia="Calibri" w:hAnsi="Calibri" w:cs="Calibri"/>
          <w:b/>
          <w:bCs/>
          <w:sz w:val="24"/>
          <w:szCs w:val="24"/>
          <w:lang w:val="el-GR"/>
        </w:rPr>
        <w:t>ής</w:t>
      </w:r>
      <w:r w:rsidR="00B1641D">
        <w:rPr>
          <w:rFonts w:ascii="Calibri" w:eastAsia="Calibri" w:hAnsi="Calibri" w:cs="Calibri"/>
          <w:b/>
          <w:bCs/>
          <w:sz w:val="24"/>
          <w:szCs w:val="24"/>
          <w:lang w:val="el-GR"/>
        </w:rPr>
        <w:t>,</w:t>
      </w:r>
      <w:r w:rsidR="000C0DDA">
        <w:rPr>
          <w:rFonts w:ascii="Calibri" w:eastAsia="Calibri" w:hAnsi="Calibri" w:cs="Calibri"/>
          <w:b/>
          <w:bCs/>
          <w:sz w:val="24"/>
          <w:szCs w:val="24"/>
          <w:lang w:val="el-GR"/>
        </w:rPr>
        <w:t xml:space="preserve"> παρακολούθησης και συμμόρφωσης</w:t>
      </w:r>
      <w:r w:rsidR="00A5147D" w:rsidRPr="000C0DDA">
        <w:rPr>
          <w:rFonts w:ascii="Calibri" w:eastAsia="Calibri" w:hAnsi="Calibri" w:cs="Calibri"/>
          <w:b/>
          <w:bCs/>
          <w:sz w:val="24"/>
          <w:szCs w:val="24"/>
          <w:lang w:val="el-GR"/>
        </w:rPr>
        <w:t xml:space="preserve">. </w:t>
      </w:r>
    </w:p>
    <w:p w14:paraId="239318FE" w14:textId="29364E65" w:rsidR="00A5147D" w:rsidRPr="000C0DDA" w:rsidRDefault="00A5147D" w:rsidP="00A5147D">
      <w:pPr>
        <w:rPr>
          <w:rFonts w:ascii="Calibri" w:eastAsia="Calibri" w:hAnsi="Calibri" w:cs="Calibri"/>
          <w:sz w:val="24"/>
          <w:szCs w:val="24"/>
          <w:lang w:val="el-GR"/>
        </w:rPr>
      </w:pPr>
    </w:p>
    <w:p w14:paraId="5D32900E" w14:textId="6D40B43D" w:rsidR="00A5147D" w:rsidRPr="000B1F52" w:rsidRDefault="00073BA8" w:rsidP="00A5147D">
      <w:pPr>
        <w:pStyle w:val="Heading3"/>
        <w:spacing w:before="0"/>
        <w:rPr>
          <w:rFonts w:asciiTheme="minorHAnsi" w:hAnsiTheme="minorHAnsi" w:cstheme="minorHAnsi"/>
          <w:b w:val="0"/>
          <w:bCs w:val="0"/>
          <w:i/>
          <w:iCs/>
          <w:color w:val="auto"/>
          <w:sz w:val="24"/>
          <w:szCs w:val="24"/>
          <w:lang w:val="el-GR"/>
        </w:rPr>
      </w:pPr>
      <w:bookmarkStart w:id="55" w:name="_Toc117264346"/>
      <w:bookmarkStart w:id="56" w:name="_Toc136879344"/>
      <w:r>
        <w:rPr>
          <w:rFonts w:asciiTheme="minorHAnsi" w:hAnsiTheme="minorHAnsi" w:cstheme="minorHAnsi"/>
          <w:b w:val="0"/>
          <w:bCs w:val="0"/>
          <w:i/>
          <w:iCs/>
          <w:color w:val="auto"/>
          <w:sz w:val="24"/>
          <w:szCs w:val="24"/>
          <w:lang w:val="el-GR"/>
        </w:rPr>
        <w:t>Α</w:t>
      </w:r>
      <w:r w:rsidR="00B1641D">
        <w:rPr>
          <w:rFonts w:asciiTheme="minorHAnsi" w:hAnsiTheme="minorHAnsi" w:cstheme="minorHAnsi"/>
          <w:b w:val="0"/>
          <w:bCs w:val="0"/>
          <w:i/>
          <w:iCs/>
          <w:color w:val="auto"/>
          <w:sz w:val="24"/>
          <w:szCs w:val="24"/>
          <w:lang w:val="el-GR"/>
        </w:rPr>
        <w:t>ρχές</w:t>
      </w:r>
      <w:r>
        <w:rPr>
          <w:rFonts w:asciiTheme="minorHAnsi" w:hAnsiTheme="minorHAnsi" w:cstheme="minorHAnsi"/>
          <w:b w:val="0"/>
          <w:bCs w:val="0"/>
          <w:i/>
          <w:iCs/>
          <w:color w:val="auto"/>
          <w:sz w:val="24"/>
          <w:szCs w:val="24"/>
          <w:lang w:val="el-GR"/>
        </w:rPr>
        <w:t xml:space="preserve"> δεοντολογίας</w:t>
      </w:r>
      <w:r w:rsidR="00B1641D" w:rsidRPr="000B1F52">
        <w:rPr>
          <w:rFonts w:asciiTheme="minorHAnsi" w:hAnsiTheme="minorHAnsi" w:cstheme="minorHAnsi"/>
          <w:b w:val="0"/>
          <w:bCs w:val="0"/>
          <w:i/>
          <w:iCs/>
          <w:color w:val="auto"/>
          <w:sz w:val="24"/>
          <w:szCs w:val="24"/>
          <w:lang w:val="el-GR"/>
        </w:rPr>
        <w:t xml:space="preserve"> </w:t>
      </w:r>
      <w:r w:rsidR="00B1641D">
        <w:rPr>
          <w:rFonts w:asciiTheme="minorHAnsi" w:hAnsiTheme="minorHAnsi" w:cstheme="minorHAnsi"/>
          <w:b w:val="0"/>
          <w:bCs w:val="0"/>
          <w:i/>
          <w:iCs/>
          <w:color w:val="auto"/>
          <w:sz w:val="24"/>
          <w:szCs w:val="24"/>
          <w:lang w:val="el-GR"/>
        </w:rPr>
        <w:t>και</w:t>
      </w:r>
      <w:r w:rsidR="00B1641D" w:rsidRPr="000B1F52">
        <w:rPr>
          <w:rFonts w:asciiTheme="minorHAnsi" w:hAnsiTheme="minorHAnsi" w:cstheme="minorHAnsi"/>
          <w:b w:val="0"/>
          <w:bCs w:val="0"/>
          <w:i/>
          <w:iCs/>
          <w:color w:val="auto"/>
          <w:sz w:val="24"/>
          <w:szCs w:val="24"/>
          <w:lang w:val="el-GR"/>
        </w:rPr>
        <w:t xml:space="preserve"> </w:t>
      </w:r>
      <w:r w:rsidR="00B1641D">
        <w:rPr>
          <w:rFonts w:asciiTheme="minorHAnsi" w:hAnsiTheme="minorHAnsi" w:cstheme="minorHAnsi"/>
          <w:b w:val="0"/>
          <w:bCs w:val="0"/>
          <w:i/>
          <w:iCs/>
          <w:color w:val="auto"/>
          <w:sz w:val="24"/>
          <w:szCs w:val="24"/>
          <w:lang w:val="el-GR"/>
        </w:rPr>
        <w:t>καν</w:t>
      </w:r>
      <w:r w:rsidR="000B1F52">
        <w:rPr>
          <w:rFonts w:asciiTheme="minorHAnsi" w:hAnsiTheme="minorHAnsi" w:cstheme="minorHAnsi"/>
          <w:b w:val="0"/>
          <w:bCs w:val="0"/>
          <w:i/>
          <w:iCs/>
          <w:color w:val="auto"/>
          <w:sz w:val="24"/>
          <w:szCs w:val="24"/>
          <w:lang w:val="el-GR"/>
        </w:rPr>
        <w:t>ό</w:t>
      </w:r>
      <w:r w:rsidR="00B1641D">
        <w:rPr>
          <w:rFonts w:asciiTheme="minorHAnsi" w:hAnsiTheme="minorHAnsi" w:cstheme="minorHAnsi"/>
          <w:b w:val="0"/>
          <w:bCs w:val="0"/>
          <w:i/>
          <w:iCs/>
          <w:color w:val="auto"/>
          <w:sz w:val="24"/>
          <w:szCs w:val="24"/>
          <w:lang w:val="el-GR"/>
        </w:rPr>
        <w:t>νες</w:t>
      </w:r>
      <w:r w:rsidR="00B1641D" w:rsidRPr="000B1F52">
        <w:rPr>
          <w:rFonts w:asciiTheme="minorHAnsi" w:hAnsiTheme="minorHAnsi" w:cstheme="minorHAnsi"/>
          <w:b w:val="0"/>
          <w:bCs w:val="0"/>
          <w:i/>
          <w:iCs/>
          <w:color w:val="auto"/>
          <w:sz w:val="24"/>
          <w:szCs w:val="24"/>
          <w:lang w:val="el-GR"/>
        </w:rPr>
        <w:t xml:space="preserve"> </w:t>
      </w:r>
      <w:bookmarkEnd w:id="20"/>
      <w:bookmarkEnd w:id="55"/>
      <w:bookmarkEnd w:id="56"/>
      <w:r w:rsidR="007E527B">
        <w:rPr>
          <w:rFonts w:asciiTheme="minorHAnsi" w:hAnsiTheme="minorHAnsi" w:cstheme="minorHAnsi"/>
          <w:b w:val="0"/>
          <w:bCs w:val="0"/>
          <w:i/>
          <w:iCs/>
          <w:color w:val="auto"/>
          <w:sz w:val="24"/>
          <w:szCs w:val="24"/>
          <w:lang w:val="el-GR"/>
        </w:rPr>
        <w:t>συμπεριφοράς</w:t>
      </w:r>
    </w:p>
    <w:p w14:paraId="77CD435F" w14:textId="77777777" w:rsidR="00A5147D" w:rsidRPr="000B1F52" w:rsidRDefault="00A5147D" w:rsidP="00A5147D">
      <w:pPr>
        <w:keepNext/>
        <w:rPr>
          <w:rFonts w:cstheme="minorHAnsi"/>
          <w:sz w:val="24"/>
          <w:szCs w:val="24"/>
          <w:lang w:val="el-GR"/>
        </w:rPr>
      </w:pPr>
    </w:p>
    <w:p w14:paraId="189E8EFF" w14:textId="5E27CA82" w:rsidR="00A5147D" w:rsidRPr="000B1F52" w:rsidRDefault="00B1641D" w:rsidP="00A5147D">
      <w:pPr>
        <w:keepNext/>
        <w:numPr>
          <w:ilvl w:val="0"/>
          <w:numId w:val="1"/>
        </w:numPr>
        <w:tabs>
          <w:tab w:val="clear" w:pos="6095"/>
          <w:tab w:val="left" w:pos="709"/>
        </w:tabs>
        <w:ind w:left="0" w:firstLine="0"/>
        <w:rPr>
          <w:rFonts w:ascii="Calibri" w:hAnsi="Calibri" w:cs="Calibri"/>
          <w:sz w:val="24"/>
          <w:szCs w:val="24"/>
          <w:lang w:val="el-GR"/>
        </w:rPr>
      </w:pPr>
      <w:r>
        <w:rPr>
          <w:rFonts w:ascii="Calibri" w:hAnsi="Calibri" w:cs="Calibri"/>
          <w:sz w:val="24"/>
          <w:szCs w:val="24"/>
          <w:lang w:val="el-GR"/>
        </w:rPr>
        <w:t>Κατόπιν</w:t>
      </w:r>
      <w:r w:rsidRPr="00B1641D">
        <w:rPr>
          <w:rFonts w:ascii="Calibri" w:hAnsi="Calibri" w:cs="Calibri"/>
          <w:sz w:val="24"/>
          <w:szCs w:val="24"/>
          <w:lang w:val="el-GR"/>
        </w:rPr>
        <w:t xml:space="preserve"> </w:t>
      </w:r>
      <w:r>
        <w:rPr>
          <w:rFonts w:ascii="Calibri" w:hAnsi="Calibri" w:cs="Calibri"/>
          <w:sz w:val="24"/>
          <w:szCs w:val="24"/>
          <w:lang w:val="el-GR"/>
        </w:rPr>
        <w:t>διορισμού</w:t>
      </w:r>
      <w:r w:rsidR="00A5147D" w:rsidRPr="00B1641D">
        <w:rPr>
          <w:rFonts w:ascii="Calibri" w:hAnsi="Calibri" w:cs="Calibri"/>
          <w:sz w:val="24"/>
          <w:szCs w:val="24"/>
          <w:lang w:val="el-GR"/>
        </w:rPr>
        <w:t xml:space="preserve">, </w:t>
      </w:r>
      <w:proofErr w:type="spellStart"/>
      <w:r>
        <w:rPr>
          <w:rFonts w:ascii="Calibri" w:hAnsi="Calibri" w:cs="Calibri"/>
          <w:sz w:val="24"/>
          <w:szCs w:val="24"/>
          <w:lang w:val="el-GR"/>
        </w:rPr>
        <w:t>όλ</w:t>
      </w:r>
      <w:proofErr w:type="spellEnd"/>
      <w:r w:rsidR="00073BA8">
        <w:rPr>
          <w:rFonts w:ascii="Calibri" w:hAnsi="Calibri" w:cs="Calibri"/>
          <w:sz w:val="24"/>
          <w:szCs w:val="24"/>
          <w:lang w:val="en-US"/>
        </w:rPr>
        <w:t>o</w:t>
      </w:r>
      <w:r w:rsidR="00073BA8">
        <w:rPr>
          <w:rFonts w:ascii="Calibri" w:hAnsi="Calibri" w:cs="Calibri"/>
          <w:sz w:val="24"/>
          <w:szCs w:val="24"/>
          <w:lang w:val="el-GR"/>
        </w:rPr>
        <w:t>ι</w:t>
      </w:r>
      <w:r w:rsidRPr="00B1641D">
        <w:rPr>
          <w:rFonts w:ascii="Calibri" w:hAnsi="Calibri" w:cs="Calibri"/>
          <w:sz w:val="24"/>
          <w:szCs w:val="24"/>
          <w:lang w:val="el-GR"/>
        </w:rPr>
        <w:t xml:space="preserve"> </w:t>
      </w:r>
      <w:r w:rsidR="00073BA8">
        <w:rPr>
          <w:rFonts w:ascii="Calibri" w:hAnsi="Calibri" w:cs="Calibri"/>
          <w:sz w:val="24"/>
          <w:szCs w:val="24"/>
          <w:lang w:val="el-GR"/>
        </w:rPr>
        <w:t xml:space="preserve">οι </w:t>
      </w:r>
      <w:r w:rsidR="00073BA8">
        <w:rPr>
          <w:rFonts w:ascii="Calibri" w:hAnsi="Calibri" w:cs="Calibri"/>
          <w:sz w:val="24"/>
          <w:szCs w:val="24"/>
          <w:lang w:val="en-US"/>
        </w:rPr>
        <w:t>PTEFs</w:t>
      </w:r>
      <w:r w:rsidR="00073BA8" w:rsidRPr="002B7C4B">
        <w:rPr>
          <w:rFonts w:ascii="Calibri" w:hAnsi="Calibri" w:cs="Calibri"/>
          <w:sz w:val="24"/>
          <w:szCs w:val="24"/>
          <w:lang w:val="el-GR"/>
        </w:rPr>
        <w:t xml:space="preserve"> </w:t>
      </w:r>
      <w:r w:rsidR="00073BA8">
        <w:rPr>
          <w:rFonts w:ascii="Calibri" w:hAnsi="Calibri" w:cs="Calibri"/>
          <w:sz w:val="24"/>
          <w:szCs w:val="24"/>
          <w:lang w:val="el-GR"/>
        </w:rPr>
        <w:t xml:space="preserve">που διορίζονται </w:t>
      </w:r>
      <w:r>
        <w:rPr>
          <w:rFonts w:ascii="Calibri" w:hAnsi="Calibri" w:cs="Calibri"/>
          <w:sz w:val="24"/>
          <w:szCs w:val="24"/>
          <w:lang w:val="el-GR"/>
        </w:rPr>
        <w:t>από</w:t>
      </w:r>
      <w:r w:rsidRPr="00B1641D">
        <w:rPr>
          <w:rFonts w:ascii="Calibri" w:hAnsi="Calibri" w:cs="Calibri"/>
          <w:sz w:val="24"/>
          <w:szCs w:val="24"/>
          <w:lang w:val="el-GR"/>
        </w:rPr>
        <w:t xml:space="preserve"> </w:t>
      </w:r>
      <w:r>
        <w:rPr>
          <w:rFonts w:ascii="Calibri" w:hAnsi="Calibri" w:cs="Calibri"/>
          <w:sz w:val="24"/>
          <w:szCs w:val="24"/>
          <w:lang w:val="el-GR"/>
        </w:rPr>
        <w:t>τον</w:t>
      </w:r>
      <w:r w:rsidRPr="00B1641D">
        <w:rPr>
          <w:rFonts w:ascii="Calibri" w:hAnsi="Calibri" w:cs="Calibri"/>
          <w:sz w:val="24"/>
          <w:szCs w:val="24"/>
          <w:lang w:val="el-GR"/>
        </w:rPr>
        <w:t xml:space="preserve"> </w:t>
      </w:r>
      <w:r>
        <w:rPr>
          <w:rFonts w:ascii="Calibri" w:hAnsi="Calibri" w:cs="Calibri"/>
          <w:sz w:val="24"/>
          <w:szCs w:val="24"/>
          <w:lang w:val="el-GR"/>
        </w:rPr>
        <w:t>Πρόεδρο</w:t>
      </w:r>
      <w:r w:rsidR="00A5147D" w:rsidRPr="004E251E">
        <w:rPr>
          <w:rStyle w:val="FootnoteReference"/>
          <w:rFonts w:ascii="Calibri" w:hAnsi="Calibri" w:cs="Calibri"/>
          <w:sz w:val="24"/>
          <w:szCs w:val="24"/>
        </w:rPr>
        <w:footnoteReference w:id="37"/>
      </w:r>
      <w:r w:rsidR="00A5147D" w:rsidRPr="00B1641D">
        <w:rPr>
          <w:rFonts w:ascii="Calibri" w:hAnsi="Calibri" w:cs="Calibri"/>
          <w:sz w:val="24"/>
          <w:szCs w:val="24"/>
          <w:lang w:val="el-GR"/>
        </w:rPr>
        <w:t xml:space="preserve"> </w:t>
      </w:r>
      <w:r>
        <w:rPr>
          <w:rFonts w:ascii="Calibri" w:hAnsi="Calibri" w:cs="Calibri"/>
          <w:sz w:val="24"/>
          <w:szCs w:val="24"/>
          <w:lang w:val="el-GR"/>
        </w:rPr>
        <w:t>υπογραφούν</w:t>
      </w:r>
      <w:r w:rsidRPr="00B1641D">
        <w:rPr>
          <w:rFonts w:ascii="Calibri" w:hAnsi="Calibri" w:cs="Calibri"/>
          <w:sz w:val="24"/>
          <w:szCs w:val="24"/>
          <w:lang w:val="el-GR"/>
        </w:rPr>
        <w:t xml:space="preserve"> </w:t>
      </w:r>
      <w:r>
        <w:rPr>
          <w:rFonts w:ascii="Calibri" w:hAnsi="Calibri" w:cs="Calibri"/>
          <w:sz w:val="24"/>
          <w:szCs w:val="24"/>
          <w:lang w:val="el-GR"/>
        </w:rPr>
        <w:t>Χάρτ</w:t>
      </w:r>
      <w:r w:rsidR="00073BA8">
        <w:rPr>
          <w:rFonts w:ascii="Calibri" w:hAnsi="Calibri" w:cs="Calibri"/>
          <w:sz w:val="24"/>
          <w:szCs w:val="24"/>
          <w:lang w:val="el-GR"/>
        </w:rPr>
        <w:t>α</w:t>
      </w:r>
      <w:r w:rsidRPr="00B1641D">
        <w:rPr>
          <w:rFonts w:ascii="Calibri" w:hAnsi="Calibri" w:cs="Calibri"/>
          <w:sz w:val="24"/>
          <w:szCs w:val="24"/>
          <w:lang w:val="el-GR"/>
        </w:rPr>
        <w:t xml:space="preserve"> </w:t>
      </w:r>
      <w:r w:rsidR="008D35D6">
        <w:rPr>
          <w:rFonts w:ascii="Calibri" w:hAnsi="Calibri" w:cs="Calibri"/>
          <w:sz w:val="24"/>
          <w:szCs w:val="24"/>
          <w:lang w:val="el-GR"/>
        </w:rPr>
        <w:t>δ</w:t>
      </w:r>
      <w:r w:rsidR="00073BA8">
        <w:rPr>
          <w:rFonts w:ascii="Calibri" w:hAnsi="Calibri" w:cs="Calibri"/>
          <w:sz w:val="24"/>
          <w:szCs w:val="24"/>
          <w:lang w:val="el-GR"/>
        </w:rPr>
        <w:t xml:space="preserve">εοντολογίας </w:t>
      </w:r>
      <w:r>
        <w:rPr>
          <w:rFonts w:ascii="Calibri" w:hAnsi="Calibri" w:cs="Calibri"/>
          <w:sz w:val="24"/>
          <w:szCs w:val="24"/>
          <w:lang w:val="el-GR"/>
        </w:rPr>
        <w:t>και</w:t>
      </w:r>
      <w:r w:rsidRPr="00B1641D">
        <w:rPr>
          <w:rFonts w:ascii="Calibri" w:hAnsi="Calibri" w:cs="Calibri"/>
          <w:sz w:val="24"/>
          <w:szCs w:val="24"/>
          <w:lang w:val="el-GR"/>
        </w:rPr>
        <w:t xml:space="preserve"> </w:t>
      </w:r>
      <w:r>
        <w:rPr>
          <w:rFonts w:ascii="Calibri" w:hAnsi="Calibri" w:cs="Calibri"/>
          <w:sz w:val="24"/>
          <w:szCs w:val="24"/>
          <w:lang w:val="el-GR"/>
        </w:rPr>
        <w:t>οι</w:t>
      </w:r>
      <w:r w:rsidRPr="00B1641D">
        <w:rPr>
          <w:rFonts w:ascii="Calibri" w:hAnsi="Calibri" w:cs="Calibri"/>
          <w:sz w:val="24"/>
          <w:szCs w:val="24"/>
          <w:lang w:val="el-GR"/>
        </w:rPr>
        <w:t xml:space="preserve"> </w:t>
      </w:r>
      <w:r>
        <w:rPr>
          <w:rFonts w:ascii="Calibri" w:hAnsi="Calibri" w:cs="Calibri"/>
          <w:sz w:val="24"/>
          <w:szCs w:val="24"/>
          <w:lang w:val="el-GR"/>
        </w:rPr>
        <w:t>Υπουργοί</w:t>
      </w:r>
      <w:r w:rsidR="00A5147D" w:rsidRPr="00B1641D">
        <w:rPr>
          <w:rFonts w:ascii="Calibri" w:hAnsi="Calibri" w:cs="Calibri"/>
          <w:sz w:val="24"/>
          <w:szCs w:val="24"/>
          <w:lang w:val="el-GR"/>
        </w:rPr>
        <w:t xml:space="preserve"> </w:t>
      </w:r>
      <w:r>
        <w:rPr>
          <w:rFonts w:ascii="Calibri" w:hAnsi="Calibri" w:cs="Calibri"/>
          <w:sz w:val="24"/>
          <w:szCs w:val="24"/>
          <w:lang w:val="el-GR"/>
        </w:rPr>
        <w:t>δίνουν</w:t>
      </w:r>
      <w:r w:rsidRPr="00B1641D">
        <w:rPr>
          <w:rFonts w:ascii="Calibri" w:hAnsi="Calibri" w:cs="Calibri"/>
          <w:sz w:val="24"/>
          <w:szCs w:val="24"/>
          <w:lang w:val="el-GR"/>
        </w:rPr>
        <w:t xml:space="preserve"> </w:t>
      </w:r>
      <w:r>
        <w:rPr>
          <w:rFonts w:ascii="Calibri" w:hAnsi="Calibri" w:cs="Calibri"/>
          <w:sz w:val="24"/>
          <w:szCs w:val="24"/>
          <w:lang w:val="el-GR"/>
        </w:rPr>
        <w:t>ένα</w:t>
      </w:r>
      <w:r w:rsidRPr="00B1641D">
        <w:rPr>
          <w:rFonts w:ascii="Calibri" w:hAnsi="Calibri" w:cs="Calibri"/>
          <w:sz w:val="24"/>
          <w:szCs w:val="24"/>
          <w:lang w:val="el-GR"/>
        </w:rPr>
        <w:t xml:space="preserve"> </w:t>
      </w:r>
      <w:r>
        <w:rPr>
          <w:rFonts w:ascii="Calibri" w:hAnsi="Calibri" w:cs="Calibri"/>
          <w:sz w:val="24"/>
          <w:szCs w:val="24"/>
          <w:lang w:val="el-GR"/>
        </w:rPr>
        <w:t>όρκο</w:t>
      </w:r>
      <w:r w:rsidR="00A5147D" w:rsidRPr="00B1641D">
        <w:rPr>
          <w:rFonts w:ascii="Calibri" w:hAnsi="Calibri" w:cs="Calibri"/>
          <w:sz w:val="24"/>
          <w:szCs w:val="24"/>
          <w:lang w:val="el-GR"/>
        </w:rPr>
        <w:t xml:space="preserve"> </w:t>
      </w:r>
      <w:r>
        <w:rPr>
          <w:rFonts w:ascii="Calibri" w:hAnsi="Calibri" w:cs="Calibri"/>
          <w:sz w:val="24"/>
          <w:szCs w:val="24"/>
          <w:lang w:val="el-GR"/>
        </w:rPr>
        <w:t>με</w:t>
      </w:r>
      <w:r w:rsidRPr="00B1641D">
        <w:rPr>
          <w:rFonts w:ascii="Calibri" w:hAnsi="Calibri" w:cs="Calibri"/>
          <w:sz w:val="24"/>
          <w:szCs w:val="24"/>
          <w:lang w:val="el-GR"/>
        </w:rPr>
        <w:t xml:space="preserve"> </w:t>
      </w:r>
      <w:r>
        <w:rPr>
          <w:rFonts w:ascii="Calibri" w:hAnsi="Calibri" w:cs="Calibri"/>
          <w:sz w:val="24"/>
          <w:szCs w:val="24"/>
          <w:lang w:val="el-GR"/>
        </w:rPr>
        <w:t>τον</w:t>
      </w:r>
      <w:r w:rsidRPr="00B1641D">
        <w:rPr>
          <w:rFonts w:ascii="Calibri" w:hAnsi="Calibri" w:cs="Calibri"/>
          <w:sz w:val="24"/>
          <w:szCs w:val="24"/>
          <w:lang w:val="el-GR"/>
        </w:rPr>
        <w:t xml:space="preserve"> </w:t>
      </w:r>
      <w:r>
        <w:rPr>
          <w:rFonts w:ascii="Calibri" w:hAnsi="Calibri" w:cs="Calibri"/>
          <w:sz w:val="24"/>
          <w:szCs w:val="24"/>
          <w:lang w:val="el-GR"/>
        </w:rPr>
        <w:t>οποίο</w:t>
      </w:r>
      <w:r w:rsidR="00A5147D" w:rsidRPr="00B1641D">
        <w:rPr>
          <w:rFonts w:ascii="Calibri" w:hAnsi="Calibri" w:cs="Calibri"/>
          <w:color w:val="111111"/>
          <w:sz w:val="24"/>
          <w:szCs w:val="24"/>
          <w:lang w:val="el-GR"/>
        </w:rPr>
        <w:t xml:space="preserve"> </w:t>
      </w:r>
      <w:r>
        <w:rPr>
          <w:rFonts w:ascii="Calibri" w:hAnsi="Calibri" w:cs="Calibri"/>
          <w:color w:val="111111"/>
          <w:sz w:val="24"/>
          <w:szCs w:val="24"/>
          <w:lang w:val="el-GR"/>
        </w:rPr>
        <w:t>υπόσχονται να ενεργήσουν με διαφάνεια</w:t>
      </w:r>
      <w:r w:rsidR="00A5147D" w:rsidRPr="00B1641D">
        <w:rPr>
          <w:rFonts w:ascii="Calibri" w:hAnsi="Calibri" w:cs="Calibri"/>
          <w:color w:val="111111"/>
          <w:sz w:val="24"/>
          <w:szCs w:val="24"/>
          <w:lang w:val="el-GR"/>
        </w:rPr>
        <w:t xml:space="preserve">, </w:t>
      </w:r>
      <w:r>
        <w:rPr>
          <w:rFonts w:ascii="Calibri" w:hAnsi="Calibri" w:cs="Calibri"/>
          <w:color w:val="111111"/>
          <w:sz w:val="24"/>
          <w:szCs w:val="24"/>
          <w:lang w:val="el-GR"/>
        </w:rPr>
        <w:t>χωρίς προκατάληψη</w:t>
      </w:r>
      <w:r w:rsidR="00A5147D" w:rsidRPr="00B1641D">
        <w:rPr>
          <w:rFonts w:ascii="Calibri" w:hAnsi="Calibri" w:cs="Calibri"/>
          <w:color w:val="111111"/>
          <w:sz w:val="24"/>
          <w:szCs w:val="24"/>
          <w:lang w:val="el-GR"/>
        </w:rPr>
        <w:t xml:space="preserve"> </w:t>
      </w:r>
      <w:r w:rsidR="000B1F52">
        <w:rPr>
          <w:rFonts w:ascii="Calibri" w:hAnsi="Calibri" w:cs="Calibri"/>
          <w:color w:val="111111"/>
          <w:sz w:val="24"/>
          <w:szCs w:val="24"/>
          <w:lang w:val="el-GR"/>
        </w:rPr>
        <w:t>και πάντα για το κοινό συμφέ</w:t>
      </w:r>
      <w:r>
        <w:rPr>
          <w:rFonts w:ascii="Calibri" w:hAnsi="Calibri" w:cs="Calibri"/>
          <w:color w:val="111111"/>
          <w:sz w:val="24"/>
          <w:szCs w:val="24"/>
          <w:lang w:val="el-GR"/>
        </w:rPr>
        <w:t>ρον</w:t>
      </w:r>
      <w:r w:rsidR="00A5147D" w:rsidRPr="00B1641D">
        <w:rPr>
          <w:rFonts w:ascii="Calibri" w:hAnsi="Calibri" w:cs="Calibri"/>
          <w:color w:val="111111"/>
          <w:sz w:val="24"/>
          <w:szCs w:val="24"/>
          <w:lang w:val="el-GR"/>
        </w:rPr>
        <w:t xml:space="preserve">. </w:t>
      </w:r>
      <w:r>
        <w:rPr>
          <w:rFonts w:ascii="Calibri" w:hAnsi="Calibri" w:cs="Calibri"/>
          <w:color w:val="111111"/>
          <w:sz w:val="24"/>
          <w:szCs w:val="24"/>
          <w:lang w:val="el-GR"/>
        </w:rPr>
        <w:t>Υπόσχονται</w:t>
      </w:r>
      <w:r w:rsidRPr="00B1641D">
        <w:rPr>
          <w:rFonts w:ascii="Calibri" w:hAnsi="Calibri" w:cs="Calibri"/>
          <w:color w:val="111111"/>
          <w:sz w:val="24"/>
          <w:szCs w:val="24"/>
          <w:lang w:val="el-GR"/>
        </w:rPr>
        <w:t xml:space="preserve"> </w:t>
      </w:r>
      <w:r>
        <w:rPr>
          <w:rFonts w:ascii="Calibri" w:hAnsi="Calibri" w:cs="Calibri"/>
          <w:color w:val="111111"/>
          <w:sz w:val="24"/>
          <w:szCs w:val="24"/>
          <w:lang w:val="el-GR"/>
        </w:rPr>
        <w:t>να</w:t>
      </w:r>
      <w:r w:rsidRPr="00B1641D">
        <w:rPr>
          <w:rFonts w:ascii="Calibri" w:hAnsi="Calibri" w:cs="Calibri"/>
          <w:color w:val="111111"/>
          <w:sz w:val="24"/>
          <w:szCs w:val="24"/>
          <w:lang w:val="el-GR"/>
        </w:rPr>
        <w:t xml:space="preserve"> </w:t>
      </w:r>
      <w:r>
        <w:rPr>
          <w:rFonts w:ascii="Calibri" w:hAnsi="Calibri" w:cs="Calibri"/>
          <w:color w:val="111111"/>
          <w:sz w:val="24"/>
          <w:szCs w:val="24"/>
          <w:lang w:val="el-GR"/>
        </w:rPr>
        <w:t>μην</w:t>
      </w:r>
      <w:r w:rsidRPr="00B1641D">
        <w:rPr>
          <w:rFonts w:ascii="Calibri" w:hAnsi="Calibri" w:cs="Calibri"/>
          <w:color w:val="111111"/>
          <w:sz w:val="24"/>
          <w:szCs w:val="24"/>
          <w:lang w:val="el-GR"/>
        </w:rPr>
        <w:t xml:space="preserve"> </w:t>
      </w:r>
      <w:r>
        <w:rPr>
          <w:rFonts w:ascii="Calibri" w:hAnsi="Calibri" w:cs="Calibri"/>
          <w:color w:val="111111"/>
          <w:sz w:val="24"/>
          <w:szCs w:val="24"/>
          <w:lang w:val="el-GR"/>
        </w:rPr>
        <w:t>χρησιμοποιήσουν</w:t>
      </w:r>
      <w:r w:rsidRPr="00B1641D">
        <w:rPr>
          <w:rFonts w:ascii="Calibri" w:hAnsi="Calibri" w:cs="Calibri"/>
          <w:color w:val="111111"/>
          <w:sz w:val="24"/>
          <w:szCs w:val="24"/>
          <w:lang w:val="el-GR"/>
        </w:rPr>
        <w:t xml:space="preserve"> </w:t>
      </w:r>
      <w:r>
        <w:rPr>
          <w:rFonts w:ascii="Calibri" w:hAnsi="Calibri" w:cs="Calibri"/>
          <w:color w:val="111111"/>
          <w:sz w:val="24"/>
          <w:szCs w:val="24"/>
          <w:lang w:val="el-GR"/>
        </w:rPr>
        <w:t>το</w:t>
      </w:r>
      <w:r w:rsidRPr="00B1641D">
        <w:rPr>
          <w:rFonts w:ascii="Calibri" w:hAnsi="Calibri" w:cs="Calibri"/>
          <w:color w:val="111111"/>
          <w:sz w:val="24"/>
          <w:szCs w:val="24"/>
          <w:lang w:val="el-GR"/>
        </w:rPr>
        <w:t xml:space="preserve"> </w:t>
      </w:r>
      <w:r>
        <w:rPr>
          <w:rFonts w:ascii="Calibri" w:hAnsi="Calibri" w:cs="Calibri"/>
          <w:color w:val="111111"/>
          <w:sz w:val="24"/>
          <w:szCs w:val="24"/>
          <w:lang w:val="el-GR"/>
        </w:rPr>
        <w:t>αξίωμα</w:t>
      </w:r>
      <w:r w:rsidRPr="00B1641D">
        <w:rPr>
          <w:rFonts w:ascii="Calibri" w:hAnsi="Calibri" w:cs="Calibri"/>
          <w:color w:val="111111"/>
          <w:sz w:val="24"/>
          <w:szCs w:val="24"/>
          <w:lang w:val="el-GR"/>
        </w:rPr>
        <w:t xml:space="preserve"> </w:t>
      </w:r>
      <w:r>
        <w:rPr>
          <w:rFonts w:ascii="Calibri" w:hAnsi="Calibri" w:cs="Calibri"/>
          <w:color w:val="111111"/>
          <w:sz w:val="24"/>
          <w:szCs w:val="24"/>
          <w:lang w:val="el-GR"/>
        </w:rPr>
        <w:t>τους</w:t>
      </w:r>
      <w:r w:rsidR="00A5147D" w:rsidRPr="00B1641D">
        <w:rPr>
          <w:rFonts w:ascii="Calibri" w:hAnsi="Calibri" w:cs="Calibri"/>
          <w:color w:val="111111"/>
          <w:sz w:val="24"/>
          <w:szCs w:val="24"/>
          <w:lang w:val="el-GR"/>
        </w:rPr>
        <w:t xml:space="preserve"> </w:t>
      </w:r>
      <w:r>
        <w:rPr>
          <w:rFonts w:ascii="Calibri" w:hAnsi="Calibri" w:cs="Calibri"/>
          <w:color w:val="111111"/>
          <w:sz w:val="24"/>
          <w:szCs w:val="24"/>
          <w:lang w:val="el-GR"/>
        </w:rPr>
        <w:t>για</w:t>
      </w:r>
      <w:r w:rsidRPr="00B1641D">
        <w:rPr>
          <w:rFonts w:ascii="Calibri" w:hAnsi="Calibri" w:cs="Calibri"/>
          <w:color w:val="111111"/>
          <w:sz w:val="24"/>
          <w:szCs w:val="24"/>
          <w:lang w:val="el-GR"/>
        </w:rPr>
        <w:t xml:space="preserve"> </w:t>
      </w:r>
      <w:r>
        <w:rPr>
          <w:rFonts w:ascii="Calibri" w:hAnsi="Calibri" w:cs="Calibri"/>
          <w:color w:val="111111"/>
          <w:sz w:val="24"/>
          <w:szCs w:val="24"/>
          <w:lang w:val="el-GR"/>
        </w:rPr>
        <w:t>να</w:t>
      </w:r>
      <w:r w:rsidRPr="00B1641D">
        <w:rPr>
          <w:rFonts w:ascii="Calibri" w:hAnsi="Calibri" w:cs="Calibri"/>
          <w:color w:val="111111"/>
          <w:sz w:val="24"/>
          <w:szCs w:val="24"/>
          <w:lang w:val="el-GR"/>
        </w:rPr>
        <w:t xml:space="preserve"> </w:t>
      </w:r>
      <w:r>
        <w:rPr>
          <w:rFonts w:ascii="Calibri" w:hAnsi="Calibri" w:cs="Calibri"/>
          <w:color w:val="111111"/>
          <w:sz w:val="24"/>
          <w:szCs w:val="24"/>
          <w:lang w:val="el-GR"/>
        </w:rPr>
        <w:t>προωθήσουν</w:t>
      </w:r>
      <w:r w:rsidRPr="00B1641D">
        <w:rPr>
          <w:rFonts w:ascii="Calibri" w:hAnsi="Calibri" w:cs="Calibri"/>
          <w:color w:val="111111"/>
          <w:sz w:val="24"/>
          <w:szCs w:val="24"/>
          <w:lang w:val="el-GR"/>
        </w:rPr>
        <w:t xml:space="preserve"> </w:t>
      </w:r>
      <w:r>
        <w:rPr>
          <w:rFonts w:ascii="Calibri" w:hAnsi="Calibri" w:cs="Calibri"/>
          <w:color w:val="111111"/>
          <w:sz w:val="24"/>
          <w:szCs w:val="24"/>
          <w:lang w:val="el-GR"/>
        </w:rPr>
        <w:t>το</w:t>
      </w:r>
      <w:r w:rsidRPr="00B1641D">
        <w:rPr>
          <w:rFonts w:ascii="Calibri" w:hAnsi="Calibri" w:cs="Calibri"/>
          <w:color w:val="111111"/>
          <w:sz w:val="24"/>
          <w:szCs w:val="24"/>
          <w:lang w:val="el-GR"/>
        </w:rPr>
        <w:t xml:space="preserve"> </w:t>
      </w:r>
      <w:r>
        <w:rPr>
          <w:rFonts w:ascii="Calibri" w:hAnsi="Calibri" w:cs="Calibri"/>
          <w:color w:val="111111"/>
          <w:sz w:val="24"/>
          <w:szCs w:val="24"/>
          <w:lang w:val="el-GR"/>
        </w:rPr>
        <w:t>προσωπικό</w:t>
      </w:r>
      <w:r w:rsidRPr="00B1641D">
        <w:rPr>
          <w:rFonts w:ascii="Calibri" w:hAnsi="Calibri" w:cs="Calibri"/>
          <w:color w:val="111111"/>
          <w:sz w:val="24"/>
          <w:szCs w:val="24"/>
          <w:lang w:val="el-GR"/>
        </w:rPr>
        <w:t xml:space="preserve"> </w:t>
      </w:r>
      <w:r>
        <w:rPr>
          <w:rFonts w:ascii="Calibri" w:hAnsi="Calibri" w:cs="Calibri"/>
          <w:color w:val="111111"/>
          <w:sz w:val="24"/>
          <w:szCs w:val="24"/>
          <w:lang w:val="el-GR"/>
        </w:rPr>
        <w:t>τους</w:t>
      </w:r>
      <w:r w:rsidRPr="00B1641D">
        <w:rPr>
          <w:rFonts w:ascii="Calibri" w:hAnsi="Calibri" w:cs="Calibri"/>
          <w:color w:val="111111"/>
          <w:sz w:val="24"/>
          <w:szCs w:val="24"/>
          <w:lang w:val="el-GR"/>
        </w:rPr>
        <w:t xml:space="preserve"> </w:t>
      </w:r>
      <w:r>
        <w:rPr>
          <w:rFonts w:ascii="Calibri" w:hAnsi="Calibri" w:cs="Calibri"/>
          <w:color w:val="111111"/>
          <w:sz w:val="24"/>
          <w:szCs w:val="24"/>
          <w:lang w:val="el-GR"/>
        </w:rPr>
        <w:t>συμφέρον</w:t>
      </w:r>
      <w:r w:rsidR="00A5147D" w:rsidRPr="00B1641D">
        <w:rPr>
          <w:rFonts w:ascii="Calibri" w:hAnsi="Calibri" w:cs="Calibri"/>
          <w:color w:val="111111"/>
          <w:sz w:val="24"/>
          <w:szCs w:val="24"/>
          <w:lang w:val="el-GR"/>
        </w:rPr>
        <w:t xml:space="preserve">, </w:t>
      </w:r>
      <w:r>
        <w:rPr>
          <w:rFonts w:ascii="Calibri" w:hAnsi="Calibri" w:cs="Calibri"/>
          <w:color w:val="111111"/>
          <w:sz w:val="24"/>
          <w:szCs w:val="24"/>
          <w:lang w:val="el-GR"/>
        </w:rPr>
        <w:t>και παρομοίως για να αποφύγουν οποιεσδήποτε ενέργειες</w:t>
      </w:r>
      <w:r w:rsidR="00A5147D" w:rsidRPr="00B1641D">
        <w:rPr>
          <w:rFonts w:ascii="Calibri" w:hAnsi="Calibri" w:cs="Calibri"/>
          <w:color w:val="111111"/>
          <w:sz w:val="24"/>
          <w:szCs w:val="24"/>
          <w:lang w:val="el-GR"/>
        </w:rPr>
        <w:t xml:space="preserve"> </w:t>
      </w:r>
      <w:r>
        <w:rPr>
          <w:rFonts w:ascii="Calibri" w:hAnsi="Calibri" w:cs="Calibri"/>
          <w:color w:val="111111"/>
          <w:sz w:val="24"/>
          <w:szCs w:val="24"/>
          <w:lang w:val="el-GR"/>
        </w:rPr>
        <w:t>που μπορούν να</w:t>
      </w:r>
      <w:r w:rsidR="00A5147D" w:rsidRPr="00B1641D">
        <w:rPr>
          <w:rFonts w:ascii="Calibri" w:hAnsi="Calibri" w:cs="Calibri"/>
          <w:color w:val="111111"/>
          <w:sz w:val="24"/>
          <w:szCs w:val="24"/>
          <w:lang w:val="el-GR"/>
        </w:rPr>
        <w:t xml:space="preserve"> </w:t>
      </w:r>
      <w:r w:rsidR="001D3D0B">
        <w:rPr>
          <w:rFonts w:ascii="Calibri" w:hAnsi="Calibri" w:cs="Calibri"/>
          <w:color w:val="111111"/>
          <w:sz w:val="24"/>
          <w:szCs w:val="24"/>
          <w:lang w:val="el-GR"/>
        </w:rPr>
        <w:t>ερμηνευθούν ως κατάχρηση του αξιώματος τους για προσωπικό συμφέρον</w:t>
      </w:r>
      <w:r w:rsidR="00A5147D" w:rsidRPr="00B1641D">
        <w:rPr>
          <w:rFonts w:ascii="Calibri" w:hAnsi="Calibri" w:cs="Calibri"/>
          <w:color w:val="111111"/>
          <w:sz w:val="24"/>
          <w:szCs w:val="24"/>
          <w:lang w:val="el-GR"/>
        </w:rPr>
        <w:t xml:space="preserve">. </w:t>
      </w:r>
      <w:r w:rsidR="001D3D0B">
        <w:rPr>
          <w:rFonts w:ascii="Calibri" w:hAnsi="Calibri" w:cs="Calibri"/>
          <w:color w:val="111111"/>
          <w:sz w:val="24"/>
          <w:szCs w:val="24"/>
          <w:lang w:val="el-GR"/>
        </w:rPr>
        <w:t>Απαγορεύεται</w:t>
      </w:r>
      <w:r w:rsidR="001D3D0B" w:rsidRPr="001D3D0B">
        <w:rPr>
          <w:rFonts w:ascii="Calibri" w:hAnsi="Calibri" w:cs="Calibri"/>
          <w:color w:val="111111"/>
          <w:sz w:val="24"/>
          <w:szCs w:val="24"/>
          <w:lang w:val="el-GR"/>
        </w:rPr>
        <w:t xml:space="preserve"> </w:t>
      </w:r>
      <w:r w:rsidR="001D3D0B">
        <w:rPr>
          <w:rFonts w:ascii="Calibri" w:hAnsi="Calibri" w:cs="Calibri"/>
          <w:color w:val="111111"/>
          <w:sz w:val="24"/>
          <w:szCs w:val="24"/>
          <w:lang w:val="el-GR"/>
        </w:rPr>
        <w:lastRenderedPageBreak/>
        <w:t>επίσης</w:t>
      </w:r>
      <w:r w:rsidR="001D3D0B" w:rsidRPr="001D3D0B">
        <w:rPr>
          <w:rFonts w:ascii="Calibri" w:hAnsi="Calibri" w:cs="Calibri"/>
          <w:color w:val="111111"/>
          <w:sz w:val="24"/>
          <w:szCs w:val="24"/>
          <w:lang w:val="el-GR"/>
        </w:rPr>
        <w:t xml:space="preserve"> </w:t>
      </w:r>
      <w:proofErr w:type="spellStart"/>
      <w:r w:rsidR="001D3D0B">
        <w:rPr>
          <w:rFonts w:ascii="Calibri" w:hAnsi="Calibri" w:cs="Calibri"/>
          <w:color w:val="111111"/>
          <w:sz w:val="24"/>
          <w:szCs w:val="24"/>
          <w:lang w:val="el-GR"/>
        </w:rPr>
        <w:t>γι</w:t>
      </w:r>
      <w:r w:rsidR="001D3D0B" w:rsidRPr="001D3D0B">
        <w:rPr>
          <w:rFonts w:ascii="Calibri" w:hAnsi="Calibri" w:cs="Calibri"/>
          <w:color w:val="111111"/>
          <w:sz w:val="24"/>
          <w:szCs w:val="24"/>
          <w:lang w:val="el-GR"/>
        </w:rPr>
        <w:t>’</w:t>
      </w:r>
      <w:r w:rsidR="001D3D0B">
        <w:rPr>
          <w:rFonts w:ascii="Calibri" w:hAnsi="Calibri" w:cs="Calibri"/>
          <w:color w:val="111111"/>
          <w:sz w:val="24"/>
          <w:szCs w:val="24"/>
          <w:lang w:val="el-GR"/>
        </w:rPr>
        <w:t>αυτούς</w:t>
      </w:r>
      <w:proofErr w:type="spellEnd"/>
      <w:r w:rsidR="001D3D0B" w:rsidRPr="001D3D0B">
        <w:rPr>
          <w:rFonts w:ascii="Calibri" w:hAnsi="Calibri" w:cs="Calibri"/>
          <w:color w:val="111111"/>
          <w:sz w:val="24"/>
          <w:szCs w:val="24"/>
          <w:lang w:val="el-GR"/>
        </w:rPr>
        <w:t xml:space="preserve"> </w:t>
      </w:r>
      <w:r w:rsidR="001D3D0B">
        <w:rPr>
          <w:rFonts w:ascii="Calibri" w:hAnsi="Calibri" w:cs="Calibri"/>
          <w:color w:val="111111"/>
          <w:sz w:val="24"/>
          <w:szCs w:val="24"/>
          <w:lang w:val="el-GR"/>
        </w:rPr>
        <w:t>να</w:t>
      </w:r>
      <w:r w:rsidR="001D3D0B" w:rsidRPr="001D3D0B">
        <w:rPr>
          <w:rFonts w:ascii="Calibri" w:hAnsi="Calibri" w:cs="Calibri"/>
          <w:color w:val="111111"/>
          <w:sz w:val="24"/>
          <w:szCs w:val="24"/>
          <w:lang w:val="el-GR"/>
        </w:rPr>
        <w:t xml:space="preserve"> </w:t>
      </w:r>
      <w:r w:rsidR="001D3D0B">
        <w:rPr>
          <w:rFonts w:ascii="Calibri" w:hAnsi="Calibri" w:cs="Calibri"/>
          <w:color w:val="111111"/>
          <w:sz w:val="24"/>
          <w:szCs w:val="24"/>
          <w:lang w:val="el-GR"/>
        </w:rPr>
        <w:t>ενεργο</w:t>
      </w:r>
      <w:r w:rsidR="000B1F52">
        <w:rPr>
          <w:rFonts w:ascii="Calibri" w:hAnsi="Calibri" w:cs="Calibri"/>
          <w:color w:val="111111"/>
          <w:sz w:val="24"/>
          <w:szCs w:val="24"/>
          <w:lang w:val="el-GR"/>
        </w:rPr>
        <w:t>ύ</w:t>
      </w:r>
      <w:r w:rsidR="001D3D0B">
        <w:rPr>
          <w:rFonts w:ascii="Calibri" w:hAnsi="Calibri" w:cs="Calibri"/>
          <w:color w:val="111111"/>
          <w:sz w:val="24"/>
          <w:szCs w:val="24"/>
          <w:lang w:val="el-GR"/>
        </w:rPr>
        <w:t>ν</w:t>
      </w:r>
      <w:r w:rsidR="001D3D0B" w:rsidRPr="001D3D0B">
        <w:rPr>
          <w:rFonts w:ascii="Calibri" w:hAnsi="Calibri" w:cs="Calibri"/>
          <w:color w:val="111111"/>
          <w:sz w:val="24"/>
          <w:szCs w:val="24"/>
          <w:lang w:val="el-GR"/>
        </w:rPr>
        <w:t xml:space="preserve"> </w:t>
      </w:r>
      <w:r w:rsidR="001D3D0B">
        <w:rPr>
          <w:rFonts w:ascii="Calibri" w:hAnsi="Calibri" w:cs="Calibri"/>
          <w:color w:val="111111"/>
          <w:sz w:val="24"/>
          <w:szCs w:val="24"/>
          <w:lang w:val="el-GR"/>
        </w:rPr>
        <w:t>με</w:t>
      </w:r>
      <w:r w:rsidR="001D3D0B" w:rsidRPr="001D3D0B">
        <w:rPr>
          <w:rFonts w:ascii="Calibri" w:hAnsi="Calibri" w:cs="Calibri"/>
          <w:color w:val="111111"/>
          <w:sz w:val="24"/>
          <w:szCs w:val="24"/>
          <w:lang w:val="el-GR"/>
        </w:rPr>
        <w:t xml:space="preserve"> </w:t>
      </w:r>
      <w:r w:rsidR="001D3D0B">
        <w:rPr>
          <w:rFonts w:ascii="Calibri" w:hAnsi="Calibri" w:cs="Calibri"/>
          <w:color w:val="111111"/>
          <w:sz w:val="24"/>
          <w:szCs w:val="24"/>
          <w:lang w:val="el-GR"/>
        </w:rPr>
        <w:t>οποιοδήποτε</w:t>
      </w:r>
      <w:r w:rsidR="001D3D0B" w:rsidRPr="001D3D0B">
        <w:rPr>
          <w:rFonts w:ascii="Calibri" w:hAnsi="Calibri" w:cs="Calibri"/>
          <w:color w:val="111111"/>
          <w:sz w:val="24"/>
          <w:szCs w:val="24"/>
          <w:lang w:val="el-GR"/>
        </w:rPr>
        <w:t xml:space="preserve"> </w:t>
      </w:r>
      <w:r w:rsidR="001D3D0B">
        <w:rPr>
          <w:rFonts w:ascii="Calibri" w:hAnsi="Calibri" w:cs="Calibri"/>
          <w:color w:val="111111"/>
          <w:sz w:val="24"/>
          <w:szCs w:val="24"/>
          <w:lang w:val="el-GR"/>
        </w:rPr>
        <w:t>τρόπο</w:t>
      </w:r>
      <w:r w:rsidR="00A5147D" w:rsidRPr="001D3D0B">
        <w:rPr>
          <w:rFonts w:ascii="Calibri" w:hAnsi="Calibri" w:cs="Calibri"/>
          <w:color w:val="111111"/>
          <w:sz w:val="24"/>
          <w:szCs w:val="24"/>
          <w:lang w:val="el-GR"/>
        </w:rPr>
        <w:t xml:space="preserve"> </w:t>
      </w:r>
      <w:r w:rsidR="001D3D0B">
        <w:rPr>
          <w:rFonts w:ascii="Calibri" w:hAnsi="Calibri" w:cs="Calibri"/>
          <w:color w:val="111111"/>
          <w:sz w:val="24"/>
          <w:szCs w:val="24"/>
          <w:lang w:val="el-GR"/>
        </w:rPr>
        <w:t>που μπορεί να ερμηνευθεί</w:t>
      </w:r>
      <w:r w:rsidR="00A5147D" w:rsidRPr="001D3D0B">
        <w:rPr>
          <w:rFonts w:ascii="Calibri" w:hAnsi="Calibri" w:cs="Calibri"/>
          <w:color w:val="111111"/>
          <w:sz w:val="24"/>
          <w:szCs w:val="24"/>
          <w:lang w:val="el-GR"/>
        </w:rPr>
        <w:t xml:space="preserve"> </w:t>
      </w:r>
      <w:r w:rsidR="0021662B">
        <w:rPr>
          <w:rFonts w:ascii="Calibri" w:hAnsi="Calibri" w:cs="Calibri"/>
          <w:color w:val="111111"/>
          <w:sz w:val="24"/>
          <w:szCs w:val="24"/>
          <w:lang w:val="el-GR"/>
        </w:rPr>
        <w:t xml:space="preserve">ως ευνοιοκρατία ή ειδική </w:t>
      </w:r>
      <w:r w:rsidR="00973266">
        <w:rPr>
          <w:rFonts w:ascii="Calibri" w:hAnsi="Calibri" w:cs="Calibri"/>
          <w:color w:val="111111"/>
          <w:sz w:val="24"/>
          <w:szCs w:val="24"/>
          <w:lang w:val="el-GR"/>
        </w:rPr>
        <w:t>μεταχείριση</w:t>
      </w:r>
      <w:r w:rsidR="00A5147D" w:rsidRPr="001D3D0B">
        <w:rPr>
          <w:rFonts w:ascii="Calibri" w:hAnsi="Calibri" w:cs="Calibri"/>
          <w:color w:val="111111"/>
          <w:sz w:val="24"/>
          <w:szCs w:val="24"/>
          <w:lang w:val="el-GR"/>
        </w:rPr>
        <w:t xml:space="preserve">. </w:t>
      </w:r>
      <w:r w:rsidR="00073BA8">
        <w:rPr>
          <w:rFonts w:ascii="Calibri" w:hAnsi="Calibri" w:cs="Calibri"/>
          <w:color w:val="111111"/>
          <w:sz w:val="24"/>
          <w:szCs w:val="24"/>
          <w:lang w:val="en-US"/>
        </w:rPr>
        <w:t>H X</w:t>
      </w:r>
      <w:proofErr w:type="spellStart"/>
      <w:r w:rsidR="00073BA8">
        <w:rPr>
          <w:rFonts w:ascii="Calibri" w:hAnsi="Calibri" w:cs="Calibri"/>
          <w:color w:val="111111"/>
          <w:sz w:val="24"/>
          <w:szCs w:val="24"/>
          <w:lang w:val="el-GR"/>
        </w:rPr>
        <w:t>άρτα</w:t>
      </w:r>
      <w:proofErr w:type="spellEnd"/>
      <w:r w:rsidR="00073BA8">
        <w:rPr>
          <w:rFonts w:ascii="Calibri" w:hAnsi="Calibri" w:cs="Calibri"/>
          <w:color w:val="111111"/>
          <w:sz w:val="24"/>
          <w:szCs w:val="24"/>
          <w:lang w:val="el-GR"/>
        </w:rPr>
        <w:t xml:space="preserve"> αυτή </w:t>
      </w:r>
      <w:r w:rsidR="0021662B">
        <w:rPr>
          <w:rFonts w:ascii="Calibri" w:hAnsi="Calibri" w:cs="Calibri"/>
          <w:color w:val="111111"/>
          <w:sz w:val="24"/>
          <w:szCs w:val="24"/>
          <w:lang w:val="el-GR"/>
        </w:rPr>
        <w:t>δεν</w:t>
      </w:r>
      <w:r w:rsidR="0021662B" w:rsidRPr="000B1F52">
        <w:rPr>
          <w:rFonts w:ascii="Calibri" w:hAnsi="Calibri" w:cs="Calibri"/>
          <w:color w:val="111111"/>
          <w:sz w:val="24"/>
          <w:szCs w:val="24"/>
          <w:lang w:val="el-GR"/>
        </w:rPr>
        <w:t xml:space="preserve"> </w:t>
      </w:r>
      <w:r w:rsidR="0021662B">
        <w:rPr>
          <w:rFonts w:ascii="Calibri" w:hAnsi="Calibri" w:cs="Calibri"/>
          <w:color w:val="111111"/>
          <w:sz w:val="24"/>
          <w:szCs w:val="24"/>
          <w:lang w:val="el-GR"/>
        </w:rPr>
        <w:t>καλύπτει</w:t>
      </w:r>
      <w:r w:rsidR="0021662B" w:rsidRPr="000B1F52">
        <w:rPr>
          <w:rFonts w:ascii="Calibri" w:hAnsi="Calibri" w:cs="Calibri"/>
          <w:color w:val="111111"/>
          <w:sz w:val="24"/>
          <w:szCs w:val="24"/>
          <w:lang w:val="el-GR"/>
        </w:rPr>
        <w:t xml:space="preserve"> </w:t>
      </w:r>
      <w:r w:rsidR="0021662B">
        <w:rPr>
          <w:rFonts w:ascii="Calibri" w:hAnsi="Calibri" w:cs="Calibri"/>
          <w:color w:val="111111"/>
          <w:sz w:val="24"/>
          <w:szCs w:val="24"/>
          <w:lang w:val="el-GR"/>
        </w:rPr>
        <w:t>τον</w:t>
      </w:r>
      <w:r w:rsidR="0021662B" w:rsidRPr="000B1F52">
        <w:rPr>
          <w:rFonts w:ascii="Calibri" w:hAnsi="Calibri" w:cs="Calibri"/>
          <w:color w:val="111111"/>
          <w:sz w:val="24"/>
          <w:szCs w:val="24"/>
          <w:lang w:val="el-GR"/>
        </w:rPr>
        <w:t xml:space="preserve"> </w:t>
      </w:r>
      <w:r w:rsidR="0021662B">
        <w:rPr>
          <w:rFonts w:ascii="Calibri" w:hAnsi="Calibri" w:cs="Calibri"/>
          <w:color w:val="111111"/>
          <w:sz w:val="24"/>
          <w:szCs w:val="24"/>
          <w:lang w:val="el-GR"/>
        </w:rPr>
        <w:t>Πρόεδρο</w:t>
      </w:r>
      <w:r w:rsidR="00B94CDD" w:rsidRPr="000B1F52">
        <w:rPr>
          <w:rFonts w:ascii="Calibri" w:hAnsi="Calibri" w:cs="Calibri"/>
          <w:color w:val="111111"/>
          <w:sz w:val="24"/>
          <w:szCs w:val="24"/>
          <w:lang w:val="el-GR"/>
        </w:rPr>
        <w:t>.</w:t>
      </w:r>
    </w:p>
    <w:p w14:paraId="15E08D4D" w14:textId="77777777" w:rsidR="00A5147D" w:rsidRPr="000B1F52" w:rsidRDefault="00A5147D" w:rsidP="00A5147D">
      <w:pPr>
        <w:keepNext/>
        <w:tabs>
          <w:tab w:val="left" w:pos="709"/>
        </w:tabs>
        <w:rPr>
          <w:rFonts w:ascii="Calibri" w:hAnsi="Calibri" w:cs="Calibri"/>
          <w:sz w:val="24"/>
          <w:szCs w:val="24"/>
          <w:lang w:val="el-GR"/>
        </w:rPr>
      </w:pPr>
    </w:p>
    <w:p w14:paraId="62999372" w14:textId="33D47F26" w:rsidR="00A5147D" w:rsidRPr="006C6EED" w:rsidRDefault="00C0757E" w:rsidP="00A5147D">
      <w:pPr>
        <w:keepNext/>
        <w:numPr>
          <w:ilvl w:val="0"/>
          <w:numId w:val="1"/>
        </w:numPr>
        <w:tabs>
          <w:tab w:val="clear" w:pos="6095"/>
          <w:tab w:val="left" w:pos="709"/>
        </w:tabs>
        <w:ind w:left="0" w:firstLine="0"/>
        <w:rPr>
          <w:rFonts w:ascii="Calibri" w:hAnsi="Calibri" w:cs="Calibri"/>
          <w:sz w:val="24"/>
          <w:szCs w:val="24"/>
          <w:lang w:val="el-GR"/>
        </w:rPr>
      </w:pPr>
      <w:r>
        <w:rPr>
          <w:rFonts w:ascii="Calibri" w:hAnsi="Calibri" w:cs="Calibri"/>
          <w:color w:val="111111"/>
          <w:sz w:val="24"/>
          <w:szCs w:val="24"/>
          <w:lang w:val="el-GR"/>
        </w:rPr>
        <w:t xml:space="preserve">Η Χάρτα </w:t>
      </w:r>
      <w:r w:rsidR="000B1F52">
        <w:rPr>
          <w:rFonts w:ascii="Calibri" w:hAnsi="Calibri" w:cs="Calibri"/>
          <w:color w:val="111111"/>
          <w:sz w:val="24"/>
          <w:szCs w:val="24"/>
          <w:lang w:val="el-GR"/>
        </w:rPr>
        <w:t>δηλώνει</w:t>
      </w:r>
      <w:r w:rsidR="000B1F52" w:rsidRPr="00425FA5">
        <w:rPr>
          <w:rFonts w:ascii="Calibri" w:hAnsi="Calibri" w:cs="Calibri"/>
          <w:color w:val="111111"/>
          <w:sz w:val="24"/>
          <w:szCs w:val="24"/>
          <w:lang w:val="el-GR"/>
        </w:rPr>
        <w:t xml:space="preserve"> </w:t>
      </w:r>
      <w:r w:rsidR="000B1F52">
        <w:rPr>
          <w:rFonts w:ascii="Calibri" w:hAnsi="Calibri" w:cs="Calibri"/>
          <w:color w:val="111111"/>
          <w:sz w:val="24"/>
          <w:szCs w:val="24"/>
          <w:lang w:val="el-GR"/>
        </w:rPr>
        <w:t>περαιτέρω</w:t>
      </w:r>
      <w:r w:rsidR="000B1F52" w:rsidRPr="00425FA5">
        <w:rPr>
          <w:rFonts w:ascii="Calibri" w:hAnsi="Calibri" w:cs="Calibri"/>
          <w:color w:val="111111"/>
          <w:sz w:val="24"/>
          <w:szCs w:val="24"/>
          <w:lang w:val="el-GR"/>
        </w:rPr>
        <w:t xml:space="preserve"> </w:t>
      </w:r>
      <w:r w:rsidR="000B1F52">
        <w:rPr>
          <w:rFonts w:ascii="Calibri" w:hAnsi="Calibri" w:cs="Calibri"/>
          <w:color w:val="111111"/>
          <w:sz w:val="24"/>
          <w:szCs w:val="24"/>
          <w:lang w:val="el-GR"/>
        </w:rPr>
        <w:t>ότι</w:t>
      </w:r>
      <w:r w:rsidR="000B1F52" w:rsidRPr="00425FA5">
        <w:rPr>
          <w:rFonts w:ascii="Calibri" w:hAnsi="Calibri" w:cs="Calibri"/>
          <w:color w:val="111111"/>
          <w:sz w:val="24"/>
          <w:szCs w:val="24"/>
          <w:lang w:val="el-GR"/>
        </w:rPr>
        <w:t xml:space="preserve"> </w:t>
      </w:r>
      <w:r w:rsidR="00425FA5">
        <w:rPr>
          <w:rFonts w:ascii="Calibri" w:hAnsi="Calibri" w:cs="Calibri"/>
          <w:color w:val="111111"/>
          <w:sz w:val="24"/>
          <w:szCs w:val="24"/>
          <w:lang w:val="el-GR"/>
        </w:rPr>
        <w:t>μέλη</w:t>
      </w:r>
      <w:r w:rsidR="00425FA5" w:rsidRPr="00425FA5">
        <w:rPr>
          <w:rFonts w:ascii="Calibri" w:hAnsi="Calibri" w:cs="Calibri"/>
          <w:color w:val="111111"/>
          <w:sz w:val="24"/>
          <w:szCs w:val="24"/>
          <w:lang w:val="el-GR"/>
        </w:rPr>
        <w:t xml:space="preserve"> </w:t>
      </w:r>
      <w:r w:rsidR="00425FA5">
        <w:rPr>
          <w:rFonts w:ascii="Calibri" w:hAnsi="Calibri" w:cs="Calibri"/>
          <w:color w:val="111111"/>
          <w:sz w:val="24"/>
          <w:szCs w:val="24"/>
          <w:lang w:val="el-GR"/>
        </w:rPr>
        <w:t>της</w:t>
      </w:r>
      <w:r w:rsidR="00425FA5" w:rsidRPr="00425FA5">
        <w:rPr>
          <w:rFonts w:ascii="Calibri" w:hAnsi="Calibri" w:cs="Calibri"/>
          <w:color w:val="111111"/>
          <w:sz w:val="24"/>
          <w:szCs w:val="24"/>
          <w:lang w:val="el-GR"/>
        </w:rPr>
        <w:t xml:space="preserve"> </w:t>
      </w:r>
      <w:r w:rsidR="00425FA5">
        <w:rPr>
          <w:rFonts w:ascii="Calibri" w:hAnsi="Calibri" w:cs="Calibri"/>
          <w:color w:val="111111"/>
          <w:sz w:val="24"/>
          <w:szCs w:val="24"/>
          <w:lang w:val="el-GR"/>
        </w:rPr>
        <w:t>Κυβέρνησης</w:t>
      </w:r>
      <w:r w:rsidR="00425FA5" w:rsidRPr="00425FA5">
        <w:rPr>
          <w:rFonts w:ascii="Calibri" w:hAnsi="Calibri" w:cs="Calibri"/>
          <w:color w:val="111111"/>
          <w:sz w:val="24"/>
          <w:szCs w:val="24"/>
          <w:lang w:val="el-GR"/>
        </w:rPr>
        <w:t xml:space="preserve"> </w:t>
      </w:r>
      <w:r w:rsidR="00425FA5">
        <w:rPr>
          <w:rFonts w:ascii="Calibri" w:hAnsi="Calibri" w:cs="Calibri"/>
          <w:color w:val="111111"/>
          <w:sz w:val="24"/>
          <w:szCs w:val="24"/>
          <w:lang w:val="el-GR"/>
        </w:rPr>
        <w:t>πρέπει</w:t>
      </w:r>
      <w:r w:rsidR="00425FA5" w:rsidRPr="00425FA5">
        <w:rPr>
          <w:rFonts w:ascii="Calibri" w:hAnsi="Calibri" w:cs="Calibri"/>
          <w:color w:val="111111"/>
          <w:sz w:val="24"/>
          <w:szCs w:val="24"/>
          <w:lang w:val="el-GR"/>
        </w:rPr>
        <w:t xml:space="preserve"> </w:t>
      </w:r>
      <w:r w:rsidR="00425FA5">
        <w:rPr>
          <w:rFonts w:ascii="Calibri" w:hAnsi="Calibri" w:cs="Calibri"/>
          <w:color w:val="111111"/>
          <w:sz w:val="24"/>
          <w:szCs w:val="24"/>
          <w:lang w:val="el-GR"/>
        </w:rPr>
        <w:t>να</w:t>
      </w:r>
      <w:r w:rsidR="00425FA5" w:rsidRPr="00425FA5">
        <w:rPr>
          <w:rFonts w:ascii="Calibri" w:hAnsi="Calibri" w:cs="Calibri"/>
          <w:color w:val="111111"/>
          <w:sz w:val="24"/>
          <w:szCs w:val="24"/>
          <w:lang w:val="el-GR"/>
        </w:rPr>
        <w:t xml:space="preserve"> </w:t>
      </w:r>
      <w:r w:rsidR="00425FA5">
        <w:rPr>
          <w:rFonts w:ascii="Calibri" w:hAnsi="Calibri" w:cs="Calibri"/>
          <w:color w:val="111111"/>
          <w:sz w:val="24"/>
          <w:szCs w:val="24"/>
          <w:lang w:val="el-GR"/>
        </w:rPr>
        <w:t>αφιερώσουν</w:t>
      </w:r>
      <w:r w:rsidR="00425FA5" w:rsidRPr="00425FA5">
        <w:rPr>
          <w:rFonts w:ascii="Calibri" w:hAnsi="Calibri" w:cs="Calibri"/>
          <w:color w:val="111111"/>
          <w:sz w:val="24"/>
          <w:szCs w:val="24"/>
          <w:lang w:val="el-GR"/>
        </w:rPr>
        <w:t xml:space="preserve"> </w:t>
      </w:r>
      <w:r w:rsidR="00425FA5">
        <w:rPr>
          <w:rFonts w:ascii="Calibri" w:hAnsi="Calibri" w:cs="Calibri"/>
          <w:color w:val="111111"/>
          <w:sz w:val="24"/>
          <w:szCs w:val="24"/>
          <w:lang w:val="el-GR"/>
        </w:rPr>
        <w:t>ολόκληρο</w:t>
      </w:r>
      <w:r w:rsidR="00425FA5" w:rsidRPr="00425FA5">
        <w:rPr>
          <w:rFonts w:ascii="Calibri" w:hAnsi="Calibri" w:cs="Calibri"/>
          <w:color w:val="111111"/>
          <w:sz w:val="24"/>
          <w:szCs w:val="24"/>
          <w:lang w:val="el-GR"/>
        </w:rPr>
        <w:t xml:space="preserve"> </w:t>
      </w:r>
      <w:r w:rsidR="00425FA5">
        <w:rPr>
          <w:rFonts w:ascii="Calibri" w:hAnsi="Calibri" w:cs="Calibri"/>
          <w:color w:val="111111"/>
          <w:sz w:val="24"/>
          <w:szCs w:val="24"/>
          <w:lang w:val="el-GR"/>
        </w:rPr>
        <w:t>τον</w:t>
      </w:r>
      <w:r w:rsidR="00425FA5" w:rsidRPr="00425FA5">
        <w:rPr>
          <w:rFonts w:ascii="Calibri" w:hAnsi="Calibri" w:cs="Calibri"/>
          <w:color w:val="111111"/>
          <w:sz w:val="24"/>
          <w:szCs w:val="24"/>
          <w:lang w:val="el-GR"/>
        </w:rPr>
        <w:t xml:space="preserve"> </w:t>
      </w:r>
      <w:r w:rsidR="00425FA5">
        <w:rPr>
          <w:rFonts w:ascii="Calibri" w:hAnsi="Calibri" w:cs="Calibri"/>
          <w:color w:val="111111"/>
          <w:sz w:val="24"/>
          <w:szCs w:val="24"/>
          <w:lang w:val="el-GR"/>
        </w:rPr>
        <w:t>χρόνο τους στα καθήκοντα τους</w:t>
      </w:r>
      <w:r w:rsidR="00A5147D" w:rsidRPr="00425FA5">
        <w:rPr>
          <w:rFonts w:ascii="Calibri" w:hAnsi="Calibri" w:cs="Calibri"/>
          <w:color w:val="111111"/>
          <w:sz w:val="24"/>
          <w:szCs w:val="24"/>
          <w:lang w:val="el-GR"/>
        </w:rPr>
        <w:t>.</w:t>
      </w:r>
      <w:r w:rsidR="00A5147D" w:rsidRPr="00425FA5">
        <w:rPr>
          <w:rFonts w:ascii="Calibri" w:hAnsi="Calibri" w:cs="Calibri"/>
          <w:sz w:val="24"/>
          <w:szCs w:val="24"/>
          <w:lang w:val="el-GR"/>
        </w:rPr>
        <w:t xml:space="preserve"> </w:t>
      </w:r>
      <w:r w:rsidR="00425FA5">
        <w:rPr>
          <w:rFonts w:ascii="Calibri" w:hAnsi="Calibri" w:cs="Calibri"/>
          <w:sz w:val="24"/>
          <w:szCs w:val="24"/>
          <w:lang w:val="el-GR"/>
        </w:rPr>
        <w:t>Επ</w:t>
      </w:r>
      <w:r w:rsidR="008C4160">
        <w:rPr>
          <w:rFonts w:ascii="Calibri" w:hAnsi="Calibri" w:cs="Calibri"/>
          <w:sz w:val="24"/>
          <w:szCs w:val="24"/>
          <w:lang w:val="el-GR"/>
        </w:rPr>
        <w:t>ο</w:t>
      </w:r>
      <w:r w:rsidR="00425FA5">
        <w:rPr>
          <w:rFonts w:ascii="Calibri" w:hAnsi="Calibri" w:cs="Calibri"/>
          <w:sz w:val="24"/>
          <w:szCs w:val="24"/>
          <w:lang w:val="el-GR"/>
        </w:rPr>
        <w:t>μένως</w:t>
      </w:r>
      <w:r w:rsidR="00A5147D" w:rsidRPr="006C6EED">
        <w:rPr>
          <w:rFonts w:ascii="Calibri" w:hAnsi="Calibri" w:cs="Calibri"/>
          <w:color w:val="111111"/>
          <w:sz w:val="24"/>
          <w:szCs w:val="24"/>
          <w:lang w:val="el-GR"/>
        </w:rPr>
        <w:t xml:space="preserve">, </w:t>
      </w:r>
      <w:r w:rsidR="00425FA5">
        <w:rPr>
          <w:rFonts w:ascii="Calibri" w:hAnsi="Calibri" w:cs="Calibri"/>
          <w:color w:val="111111"/>
          <w:sz w:val="24"/>
          <w:szCs w:val="24"/>
          <w:lang w:val="el-GR"/>
        </w:rPr>
        <w:t>αυτοί</w:t>
      </w:r>
      <w:r w:rsidR="00425FA5" w:rsidRPr="006C6EED">
        <w:rPr>
          <w:rFonts w:ascii="Calibri" w:hAnsi="Calibri" w:cs="Calibri"/>
          <w:color w:val="111111"/>
          <w:sz w:val="24"/>
          <w:szCs w:val="24"/>
          <w:lang w:val="el-GR"/>
        </w:rPr>
        <w:t xml:space="preserve"> </w:t>
      </w:r>
      <w:r w:rsidR="00425FA5">
        <w:rPr>
          <w:rFonts w:ascii="Calibri" w:hAnsi="Calibri" w:cs="Calibri"/>
          <w:color w:val="111111"/>
          <w:sz w:val="24"/>
          <w:szCs w:val="24"/>
          <w:lang w:val="el-GR"/>
        </w:rPr>
        <w:t>θα</w:t>
      </w:r>
      <w:r w:rsidR="00425FA5" w:rsidRPr="006C6EED">
        <w:rPr>
          <w:rFonts w:ascii="Calibri" w:hAnsi="Calibri" w:cs="Calibri"/>
          <w:color w:val="111111"/>
          <w:sz w:val="24"/>
          <w:szCs w:val="24"/>
          <w:lang w:val="el-GR"/>
        </w:rPr>
        <w:t xml:space="preserve"> </w:t>
      </w:r>
      <w:r w:rsidR="00425FA5">
        <w:rPr>
          <w:rFonts w:ascii="Calibri" w:hAnsi="Calibri" w:cs="Calibri"/>
          <w:color w:val="111111"/>
          <w:sz w:val="24"/>
          <w:szCs w:val="24"/>
          <w:lang w:val="el-GR"/>
        </w:rPr>
        <w:t>πρέπει</w:t>
      </w:r>
      <w:r w:rsidR="00425FA5" w:rsidRPr="006C6EED">
        <w:rPr>
          <w:rFonts w:ascii="Calibri" w:hAnsi="Calibri" w:cs="Calibri"/>
          <w:color w:val="111111"/>
          <w:sz w:val="24"/>
          <w:szCs w:val="24"/>
          <w:lang w:val="el-GR"/>
        </w:rPr>
        <w:t xml:space="preserve"> </w:t>
      </w:r>
      <w:r w:rsidR="00425FA5">
        <w:rPr>
          <w:rFonts w:ascii="Calibri" w:hAnsi="Calibri" w:cs="Calibri"/>
          <w:color w:val="111111"/>
          <w:sz w:val="24"/>
          <w:szCs w:val="24"/>
          <w:lang w:val="el-GR"/>
        </w:rPr>
        <w:t>να</w:t>
      </w:r>
      <w:r w:rsidR="00425FA5"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παραιτηθούν</w:t>
      </w:r>
      <w:r w:rsidR="006C6EE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από</w:t>
      </w:r>
      <w:r w:rsidR="006C6EE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θέσεις</w:t>
      </w:r>
      <w:r w:rsidR="00A5147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που</w:t>
      </w:r>
      <w:r w:rsidR="006C6EE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μπορεί να κατέχουν</w:t>
      </w:r>
      <w:r w:rsidR="00A5147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σε οργανισμούς</w:t>
      </w:r>
      <w:r w:rsidR="00A5147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 xml:space="preserve">συμπεριλαμβανομένων και μη </w:t>
      </w:r>
      <w:r>
        <w:rPr>
          <w:rFonts w:ascii="Calibri" w:hAnsi="Calibri" w:cs="Calibri"/>
          <w:color w:val="111111"/>
          <w:sz w:val="24"/>
          <w:szCs w:val="24"/>
          <w:lang w:val="el-GR"/>
        </w:rPr>
        <w:t xml:space="preserve">κερδοσκοπικών </w:t>
      </w:r>
      <w:r w:rsidR="006C6EED">
        <w:rPr>
          <w:rFonts w:ascii="Calibri" w:hAnsi="Calibri" w:cs="Calibri"/>
          <w:color w:val="111111"/>
          <w:sz w:val="24"/>
          <w:szCs w:val="24"/>
          <w:lang w:val="el-GR"/>
        </w:rPr>
        <w:t>οργανισμών</w:t>
      </w:r>
      <w:r w:rsidR="00A5147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Επιπλ</w:t>
      </w:r>
      <w:r w:rsidR="008C4160">
        <w:rPr>
          <w:rFonts w:ascii="Calibri" w:hAnsi="Calibri" w:cs="Calibri"/>
          <w:color w:val="111111"/>
          <w:sz w:val="24"/>
          <w:szCs w:val="24"/>
          <w:lang w:val="el-GR"/>
        </w:rPr>
        <w:t>έο</w:t>
      </w:r>
      <w:r w:rsidR="006C6EED">
        <w:rPr>
          <w:rFonts w:ascii="Calibri" w:hAnsi="Calibri" w:cs="Calibri"/>
          <w:color w:val="111111"/>
          <w:sz w:val="24"/>
          <w:szCs w:val="24"/>
          <w:lang w:val="el-GR"/>
        </w:rPr>
        <w:t>ν</w:t>
      </w:r>
      <w:r w:rsidR="006C6EED" w:rsidRPr="006C6EED">
        <w:rPr>
          <w:rFonts w:ascii="Calibri" w:hAnsi="Calibri" w:cs="Calibri"/>
          <w:color w:val="111111"/>
          <w:sz w:val="24"/>
          <w:szCs w:val="24"/>
          <w:lang w:val="el-GR"/>
        </w:rPr>
        <w:t>,</w:t>
      </w:r>
      <w:r w:rsidR="00A5147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αυτοί</w:t>
      </w:r>
      <w:r w:rsidR="006C6EE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δεν</w:t>
      </w:r>
      <w:r w:rsidR="006C6EE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πρέπει</w:t>
      </w:r>
      <w:r w:rsidR="006C6EE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να</w:t>
      </w:r>
      <w:r w:rsidR="006C6EE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αποδεχτούν</w:t>
      </w:r>
      <w:r w:rsidR="006C6EE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οποιεσδήποτε</w:t>
      </w:r>
      <w:r w:rsidR="006C6EE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προσκλήσεις</w:t>
      </w:r>
      <w:r w:rsidR="00A5147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για</w:t>
      </w:r>
      <w:r w:rsidR="006C6EE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να</w:t>
      </w:r>
      <w:r w:rsidR="006C6EE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φιλοξενηθούν</w:t>
      </w:r>
      <w:r w:rsidR="006C6EE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υπό</w:t>
      </w:r>
      <w:r w:rsidR="006C6EE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την</w:t>
      </w:r>
      <w:r w:rsidR="006C6EE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προσωπική</w:t>
      </w:r>
      <w:r w:rsidR="006C6EED" w:rsidRPr="006C6EED">
        <w:rPr>
          <w:rFonts w:ascii="Calibri" w:hAnsi="Calibri" w:cs="Calibri"/>
          <w:color w:val="111111"/>
          <w:sz w:val="24"/>
          <w:szCs w:val="24"/>
          <w:lang w:val="el-GR"/>
        </w:rPr>
        <w:t xml:space="preserve"> </w:t>
      </w:r>
      <w:r w:rsidR="008C4160">
        <w:rPr>
          <w:rFonts w:ascii="Calibri" w:hAnsi="Calibri" w:cs="Calibri"/>
          <w:color w:val="111111"/>
          <w:sz w:val="24"/>
          <w:szCs w:val="24"/>
          <w:lang w:val="el-GR"/>
        </w:rPr>
        <w:t xml:space="preserve">τους </w:t>
      </w:r>
      <w:r w:rsidR="006C6EED">
        <w:rPr>
          <w:rFonts w:ascii="Calibri" w:hAnsi="Calibri" w:cs="Calibri"/>
          <w:color w:val="111111"/>
          <w:sz w:val="24"/>
          <w:szCs w:val="24"/>
          <w:lang w:val="el-GR"/>
        </w:rPr>
        <w:t>ιδιότητα</w:t>
      </w:r>
      <w:r w:rsidR="00A5147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από μια ξένη κυβέρνηση</w:t>
      </w:r>
      <w:r w:rsidR="00A5147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ή από φυσικά ή νομικά πρόσωπα</w:t>
      </w:r>
      <w:r w:rsidR="00A5147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που η δραστηριότητα τους σχετίζεται με το υπουργείο τους</w:t>
      </w:r>
      <w:r w:rsidR="00A5147D" w:rsidRPr="006C6EED">
        <w:rPr>
          <w:rFonts w:ascii="Calibri" w:hAnsi="Calibri" w:cs="Calibri"/>
          <w:color w:val="111111"/>
          <w:sz w:val="24"/>
          <w:szCs w:val="24"/>
          <w:lang w:val="el-GR"/>
        </w:rPr>
        <w:t>.</w:t>
      </w:r>
      <w:r w:rsidR="00A5147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Με</w:t>
      </w:r>
      <w:r w:rsidR="006C6EE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την</w:t>
      </w:r>
      <w:r w:rsidR="006C6EE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ανάληψη</w:t>
      </w:r>
      <w:r w:rsidR="006C6EE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και</w:t>
      </w:r>
      <w:r w:rsidR="006C6EE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τη</w:t>
      </w:r>
      <w:r w:rsidR="001F3FD5">
        <w:rPr>
          <w:rFonts w:ascii="Calibri" w:eastAsia="Calibri" w:hAnsi="Calibri" w:cs="Calibri"/>
          <w:sz w:val="24"/>
          <w:szCs w:val="24"/>
          <w:lang w:val="el-GR"/>
        </w:rPr>
        <w:t xml:space="preserve">ν ολοκλήρωση </w:t>
      </w:r>
      <w:r w:rsidR="006C6EED">
        <w:rPr>
          <w:rFonts w:ascii="Calibri" w:eastAsia="Calibri" w:hAnsi="Calibri" w:cs="Calibri"/>
          <w:sz w:val="24"/>
          <w:szCs w:val="24"/>
          <w:lang w:val="el-GR"/>
        </w:rPr>
        <w:t>των</w:t>
      </w:r>
      <w:r w:rsidR="006C6EE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καθηκόντων</w:t>
      </w:r>
      <w:r w:rsidR="006C6EE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τους</w:t>
      </w:r>
      <w:r w:rsidR="00A5147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αυτοί</w:t>
      </w:r>
      <w:r w:rsidR="006C6EE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πρέπει</w:t>
      </w:r>
      <w:r w:rsidR="006C6EE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να</w:t>
      </w:r>
      <w:r w:rsidR="006C6EE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συμπληρώσουν</w:t>
      </w:r>
      <w:r w:rsidR="006C6EE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και να υπογράψουν μια δήλωση συμφερόντων</w:t>
      </w:r>
      <w:r w:rsidR="00A5147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περιουσιακών στοιχείων</w:t>
      </w:r>
      <w:r w:rsidR="00A5147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κλπ</w:t>
      </w:r>
      <w:r w:rsidR="00A5147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που είναι δεσμευτική και δημοσιεύεται</w:t>
      </w:r>
      <w:r w:rsidR="00A5147D" w:rsidRPr="006C6EED">
        <w:rPr>
          <w:rFonts w:ascii="Calibri" w:eastAsia="Calibri" w:hAnsi="Calibri" w:cs="Calibri"/>
          <w:sz w:val="24"/>
          <w:szCs w:val="24"/>
          <w:lang w:val="el-GR"/>
        </w:rPr>
        <w:t>.</w:t>
      </w:r>
    </w:p>
    <w:p w14:paraId="38BA5967" w14:textId="77777777" w:rsidR="00A5147D" w:rsidRPr="006C6EED" w:rsidRDefault="00A5147D" w:rsidP="00A5147D">
      <w:pPr>
        <w:keepNext/>
        <w:tabs>
          <w:tab w:val="left" w:pos="709"/>
        </w:tabs>
        <w:rPr>
          <w:rFonts w:ascii="Calibri" w:hAnsi="Calibri" w:cs="Calibri"/>
          <w:sz w:val="24"/>
          <w:szCs w:val="24"/>
          <w:lang w:val="el-GR"/>
        </w:rPr>
      </w:pPr>
    </w:p>
    <w:p w14:paraId="600487DA" w14:textId="7A1E970A" w:rsidR="00A5147D" w:rsidRPr="00C6500C" w:rsidRDefault="00A5147D" w:rsidP="00A5147D">
      <w:pPr>
        <w:keepNext/>
        <w:numPr>
          <w:ilvl w:val="0"/>
          <w:numId w:val="1"/>
        </w:numPr>
        <w:tabs>
          <w:tab w:val="clear" w:pos="6095"/>
          <w:tab w:val="left" w:pos="709"/>
        </w:tabs>
        <w:ind w:left="0" w:firstLine="0"/>
        <w:rPr>
          <w:rFonts w:ascii="Calibri" w:hAnsi="Calibri" w:cs="Calibri"/>
          <w:sz w:val="24"/>
          <w:szCs w:val="24"/>
          <w:lang w:val="el-GR"/>
        </w:rPr>
      </w:pPr>
      <w:r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Σύμφωνα</w:t>
      </w:r>
      <w:r w:rsidR="006C6EE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με</w:t>
      </w:r>
      <w:r w:rsidR="006C6EE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τ</w:t>
      </w:r>
      <w:r w:rsidR="00C0757E">
        <w:rPr>
          <w:rFonts w:ascii="Calibri" w:eastAsia="Calibri" w:hAnsi="Calibri" w:cs="Calibri"/>
          <w:sz w:val="24"/>
          <w:szCs w:val="24"/>
          <w:lang w:val="el-GR"/>
        </w:rPr>
        <w:t>ην</w:t>
      </w:r>
      <w:r w:rsidR="006C6EE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Χάρτ</w:t>
      </w:r>
      <w:r w:rsidR="00C0757E">
        <w:rPr>
          <w:rFonts w:ascii="Calibri" w:eastAsia="Calibri" w:hAnsi="Calibri" w:cs="Calibri"/>
          <w:sz w:val="24"/>
          <w:szCs w:val="24"/>
          <w:lang w:val="el-GR"/>
        </w:rPr>
        <w:t>α</w:t>
      </w:r>
      <w:r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οποιοσδήποτε</w:t>
      </w:r>
      <w:r w:rsidR="006C6EED" w:rsidRPr="006C6EED">
        <w:rPr>
          <w:rFonts w:ascii="Calibri" w:hAnsi="Calibri" w:cs="Calibri"/>
          <w:color w:val="111111"/>
          <w:sz w:val="24"/>
          <w:szCs w:val="24"/>
          <w:lang w:val="el-GR"/>
        </w:rPr>
        <w:t xml:space="preserve"> </w:t>
      </w:r>
      <w:r w:rsidR="006C6EED">
        <w:rPr>
          <w:rFonts w:ascii="Calibri" w:hAnsi="Calibri" w:cs="Calibri"/>
          <w:color w:val="111111"/>
          <w:sz w:val="24"/>
          <w:szCs w:val="24"/>
          <w:lang w:val="el-GR"/>
        </w:rPr>
        <w:t>αξιωματούχος</w:t>
      </w:r>
      <w:r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που</w:t>
      </w:r>
      <w:r w:rsidR="006C6EE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παραβιάζει</w:t>
      </w:r>
      <w:r w:rsidR="006C6EE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τον</w:t>
      </w:r>
      <w:r w:rsidR="006C6EED"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Κώδικα</w:t>
      </w:r>
      <w:r w:rsidR="006C6EED" w:rsidRPr="006C6EED">
        <w:rPr>
          <w:rFonts w:ascii="Calibri" w:eastAsia="Calibri" w:hAnsi="Calibri" w:cs="Calibri"/>
          <w:sz w:val="24"/>
          <w:szCs w:val="24"/>
          <w:lang w:val="el-GR"/>
        </w:rPr>
        <w:t xml:space="preserve"> </w:t>
      </w:r>
      <w:r w:rsidR="00C0757E">
        <w:rPr>
          <w:rFonts w:ascii="Calibri" w:eastAsia="Calibri" w:hAnsi="Calibri" w:cs="Calibri"/>
          <w:sz w:val="24"/>
          <w:szCs w:val="24"/>
          <w:lang w:val="el-GR"/>
        </w:rPr>
        <w:t xml:space="preserve">Δεοντολογίας </w:t>
      </w:r>
      <w:r w:rsidR="006C6EED">
        <w:rPr>
          <w:rFonts w:ascii="Calibri" w:eastAsia="Calibri" w:hAnsi="Calibri" w:cs="Calibri"/>
          <w:sz w:val="24"/>
          <w:szCs w:val="24"/>
          <w:lang w:val="el-GR"/>
        </w:rPr>
        <w:t>και</w:t>
      </w:r>
      <w:r w:rsidR="006C6EED" w:rsidRPr="006C6EED">
        <w:rPr>
          <w:rFonts w:ascii="Calibri" w:eastAsia="Calibri" w:hAnsi="Calibri" w:cs="Calibri"/>
          <w:sz w:val="24"/>
          <w:szCs w:val="24"/>
          <w:lang w:val="el-GR"/>
        </w:rPr>
        <w:t xml:space="preserve"> </w:t>
      </w:r>
      <w:r w:rsidR="007E527B">
        <w:rPr>
          <w:rFonts w:ascii="Calibri" w:eastAsia="Calibri" w:hAnsi="Calibri" w:cs="Calibri"/>
          <w:sz w:val="24"/>
          <w:szCs w:val="24"/>
          <w:lang w:val="el-GR"/>
        </w:rPr>
        <w:t>Συμπεριφοράς</w:t>
      </w:r>
      <w:r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πρέπει άμεσα να υποβάλει την παρ</w:t>
      </w:r>
      <w:r w:rsidR="008C4160">
        <w:rPr>
          <w:rFonts w:ascii="Calibri" w:eastAsia="Calibri" w:hAnsi="Calibri" w:cs="Calibri"/>
          <w:sz w:val="24"/>
          <w:szCs w:val="24"/>
          <w:lang w:val="el-GR"/>
        </w:rPr>
        <w:t>αί</w:t>
      </w:r>
      <w:r w:rsidR="006C6EED">
        <w:rPr>
          <w:rFonts w:ascii="Calibri" w:eastAsia="Calibri" w:hAnsi="Calibri" w:cs="Calibri"/>
          <w:sz w:val="24"/>
          <w:szCs w:val="24"/>
          <w:lang w:val="el-GR"/>
        </w:rPr>
        <w:t>τηση του/ης</w:t>
      </w:r>
      <w:r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στον Πρόεδρο της Δημοκρατίας</w:t>
      </w:r>
      <w:r w:rsidRPr="006C6EED">
        <w:rPr>
          <w:rFonts w:ascii="Calibri" w:eastAsia="Calibri" w:hAnsi="Calibri" w:cs="Calibri"/>
          <w:sz w:val="24"/>
          <w:szCs w:val="24"/>
          <w:lang w:val="el-GR"/>
        </w:rPr>
        <w:t xml:space="preserve">. </w:t>
      </w:r>
      <w:r w:rsidR="006C6EED">
        <w:rPr>
          <w:rFonts w:ascii="Calibri" w:eastAsia="Calibri" w:hAnsi="Calibri" w:cs="Calibri"/>
          <w:sz w:val="24"/>
          <w:szCs w:val="24"/>
          <w:lang w:val="el-GR"/>
        </w:rPr>
        <w:t>Ωστόσο</w:t>
      </w:r>
      <w:r w:rsidRPr="00C6500C">
        <w:rPr>
          <w:rFonts w:ascii="Calibri" w:eastAsia="Calibri" w:hAnsi="Calibri" w:cs="Calibri"/>
          <w:sz w:val="24"/>
          <w:szCs w:val="24"/>
          <w:lang w:val="el-GR"/>
        </w:rPr>
        <w:t xml:space="preserve">, </w:t>
      </w:r>
      <w:r w:rsidR="00C0757E">
        <w:rPr>
          <w:rFonts w:ascii="Calibri" w:eastAsia="Calibri" w:hAnsi="Calibri" w:cs="Calibri"/>
          <w:sz w:val="24"/>
          <w:szCs w:val="24"/>
          <w:lang w:val="el-GR"/>
        </w:rPr>
        <w:t>η</w:t>
      </w:r>
      <w:r w:rsidR="006C6EED" w:rsidRPr="00C6500C">
        <w:rPr>
          <w:rFonts w:ascii="Calibri" w:eastAsia="Calibri" w:hAnsi="Calibri" w:cs="Calibri"/>
          <w:sz w:val="24"/>
          <w:szCs w:val="24"/>
          <w:lang w:val="el-GR"/>
        </w:rPr>
        <w:t xml:space="preserve"> </w:t>
      </w:r>
      <w:r w:rsidR="006C6EED">
        <w:rPr>
          <w:rFonts w:ascii="Calibri" w:eastAsia="Calibri" w:hAnsi="Calibri" w:cs="Calibri"/>
          <w:sz w:val="24"/>
          <w:szCs w:val="24"/>
          <w:lang w:val="el-GR"/>
        </w:rPr>
        <w:t>Χάρτ</w:t>
      </w:r>
      <w:r w:rsidR="00C0757E">
        <w:rPr>
          <w:rFonts w:ascii="Calibri" w:eastAsia="Calibri" w:hAnsi="Calibri" w:cs="Calibri"/>
          <w:sz w:val="24"/>
          <w:szCs w:val="24"/>
          <w:lang w:val="el-GR"/>
        </w:rPr>
        <w:t>α</w:t>
      </w:r>
      <w:r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φαίνεται</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ότι</w:t>
      </w:r>
      <w:r w:rsidR="00C6500C" w:rsidRPr="00C6500C">
        <w:rPr>
          <w:rFonts w:ascii="Calibri" w:eastAsia="Calibri" w:hAnsi="Calibri" w:cs="Calibri"/>
          <w:sz w:val="24"/>
          <w:szCs w:val="24"/>
          <w:lang w:val="el-GR"/>
        </w:rPr>
        <w:t xml:space="preserve"> </w:t>
      </w:r>
      <w:r w:rsidR="00C0757E">
        <w:rPr>
          <w:rFonts w:ascii="Calibri" w:eastAsia="Calibri" w:hAnsi="Calibri" w:cs="Calibri"/>
          <w:sz w:val="24"/>
          <w:szCs w:val="24"/>
          <w:lang w:val="el-GR"/>
        </w:rPr>
        <w:t>δε</w:t>
      </w:r>
      <w:r w:rsidR="008D35D6">
        <w:rPr>
          <w:rFonts w:ascii="Calibri" w:eastAsia="Calibri" w:hAnsi="Calibri" w:cs="Calibri"/>
          <w:sz w:val="24"/>
          <w:szCs w:val="24"/>
          <w:lang w:val="el-GR"/>
        </w:rPr>
        <w:t>ν</w:t>
      </w:r>
      <w:r w:rsidR="00C0757E">
        <w:rPr>
          <w:rFonts w:ascii="Calibri" w:eastAsia="Calibri" w:hAnsi="Calibri" w:cs="Calibri"/>
          <w:sz w:val="24"/>
          <w:szCs w:val="24"/>
          <w:lang w:val="el-GR"/>
        </w:rPr>
        <w:t xml:space="preserve"> </w:t>
      </w:r>
      <w:r w:rsidR="00C6500C">
        <w:rPr>
          <w:rFonts w:ascii="Calibri" w:eastAsia="Calibri" w:hAnsi="Calibri" w:cs="Calibri"/>
          <w:sz w:val="24"/>
          <w:szCs w:val="24"/>
          <w:lang w:val="el-GR"/>
        </w:rPr>
        <w:t>προβλέπει</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ένα</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τρόπο</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για</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την</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επίβλεψη</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τ</w:t>
      </w:r>
      <w:r w:rsidR="00C0757E">
        <w:rPr>
          <w:rFonts w:ascii="Calibri" w:eastAsia="Calibri" w:hAnsi="Calibri" w:cs="Calibri"/>
          <w:sz w:val="24"/>
          <w:szCs w:val="24"/>
          <w:lang w:val="el-GR"/>
        </w:rPr>
        <w:t>ης</w:t>
      </w:r>
      <w:r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με</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αναφορά</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σε</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μια</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τέτοια</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διαδικασία</w:t>
      </w:r>
      <w:r w:rsidR="008C4160">
        <w:rPr>
          <w:rFonts w:ascii="Calibri" w:eastAsia="Calibri" w:hAnsi="Calibri" w:cs="Calibri"/>
          <w:sz w:val="24"/>
          <w:szCs w:val="24"/>
          <w:lang w:val="el-GR"/>
        </w:rPr>
        <w:t>,</w:t>
      </w:r>
      <w:r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ούτε</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ένα</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σύστημα</w:t>
      </w:r>
      <w:r w:rsidR="00C6500C" w:rsidRPr="00C6500C">
        <w:rPr>
          <w:rFonts w:ascii="Calibri" w:eastAsia="Calibri" w:hAnsi="Calibri" w:cs="Calibri"/>
          <w:sz w:val="24"/>
          <w:szCs w:val="24"/>
          <w:lang w:val="el-GR"/>
        </w:rPr>
        <w:t xml:space="preserve"> </w:t>
      </w:r>
      <w:r w:rsidR="00C0757E">
        <w:rPr>
          <w:rFonts w:ascii="Calibri" w:eastAsia="Calibri" w:hAnsi="Calibri" w:cs="Calibri"/>
          <w:sz w:val="24"/>
          <w:szCs w:val="24"/>
          <w:lang w:val="el-GR"/>
        </w:rPr>
        <w:t>συμμόρφωσης</w:t>
      </w:r>
      <w:r w:rsidRPr="00C6500C">
        <w:rPr>
          <w:rFonts w:ascii="Calibri" w:eastAsia="Calibri" w:hAnsi="Calibri" w:cs="Calibri"/>
          <w:sz w:val="24"/>
          <w:szCs w:val="24"/>
          <w:lang w:val="el-GR"/>
        </w:rPr>
        <w:t>.</w:t>
      </w:r>
      <w:r w:rsidRPr="00C6500C">
        <w:rPr>
          <w:rFonts w:ascii="Calibri" w:eastAsia="Calibri" w:hAnsi="Calibri" w:cs="Calibri"/>
          <w:b/>
          <w:bCs/>
          <w:sz w:val="24"/>
          <w:szCs w:val="24"/>
          <w:lang w:val="el-GR"/>
        </w:rPr>
        <w:t xml:space="preserve"> </w:t>
      </w:r>
      <w:bookmarkStart w:id="57" w:name="_Hlk132888207"/>
      <w:r w:rsidR="00C6500C" w:rsidRPr="00C6500C">
        <w:rPr>
          <w:rFonts w:ascii="Calibri" w:eastAsia="Calibri" w:hAnsi="Calibri" w:cs="Calibri"/>
          <w:bCs/>
          <w:sz w:val="24"/>
          <w:szCs w:val="24"/>
          <w:lang w:val="el-GR"/>
        </w:rPr>
        <w:t>Οι</w:t>
      </w:r>
      <w:r w:rsidR="00C6500C" w:rsidRPr="00C6500C">
        <w:rPr>
          <w:rFonts w:ascii="Calibri" w:eastAsia="Calibri" w:hAnsi="Calibri" w:cs="Calibri"/>
          <w:b/>
          <w:bCs/>
          <w:sz w:val="24"/>
          <w:szCs w:val="24"/>
          <w:lang w:val="el-GR"/>
        </w:rPr>
        <w:t xml:space="preserve"> </w:t>
      </w:r>
      <w:r w:rsidR="00C6500C">
        <w:rPr>
          <w:rFonts w:ascii="Calibri" w:eastAsia="Calibri" w:hAnsi="Calibri" w:cs="Calibri"/>
          <w:bCs/>
          <w:sz w:val="24"/>
          <w:szCs w:val="24"/>
          <w:lang w:val="el-GR"/>
        </w:rPr>
        <w:t>αρχές</w:t>
      </w:r>
      <w:r w:rsidR="00C6500C" w:rsidRPr="00C6500C">
        <w:rPr>
          <w:rFonts w:ascii="Calibri" w:eastAsia="Calibri" w:hAnsi="Calibri" w:cs="Calibri"/>
          <w:bCs/>
          <w:sz w:val="24"/>
          <w:szCs w:val="24"/>
          <w:lang w:val="el-GR"/>
        </w:rPr>
        <w:t xml:space="preserve"> </w:t>
      </w:r>
      <w:r w:rsidR="00C6500C">
        <w:rPr>
          <w:rFonts w:ascii="Calibri" w:eastAsia="Calibri" w:hAnsi="Calibri" w:cs="Calibri"/>
          <w:bCs/>
          <w:sz w:val="24"/>
          <w:szCs w:val="24"/>
          <w:lang w:val="el-GR"/>
        </w:rPr>
        <w:t>υπέδειξαν</w:t>
      </w:r>
      <w:r w:rsidR="00F8627E"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μετά</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από</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την</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επί</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τόπου</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επίσκεψη</w:t>
      </w:r>
      <w:r w:rsidR="00F8627E"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ότι</w:t>
      </w:r>
      <w:r w:rsidR="00F8627E"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αφού</w:t>
      </w:r>
      <w:r w:rsidR="00C0757E">
        <w:rPr>
          <w:rFonts w:ascii="Calibri" w:eastAsia="Calibri" w:hAnsi="Calibri" w:cs="Calibri"/>
          <w:sz w:val="24"/>
          <w:szCs w:val="24"/>
          <w:lang w:val="el-GR"/>
        </w:rPr>
        <w:t xml:space="preserve"> συσταθεί</w:t>
      </w:r>
      <w:r w:rsidR="00F8627E"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η</w:t>
      </w:r>
      <w:r w:rsidR="00C6500C" w:rsidRPr="00C6500C">
        <w:rPr>
          <w:rFonts w:ascii="Calibri" w:eastAsia="Calibri" w:hAnsi="Calibri" w:cs="Calibri"/>
          <w:sz w:val="24"/>
          <w:szCs w:val="24"/>
          <w:lang w:val="el-GR"/>
        </w:rPr>
        <w:t xml:space="preserve"> </w:t>
      </w:r>
      <w:r w:rsidR="00C6500C">
        <w:rPr>
          <w:rFonts w:ascii="Calibri" w:eastAsia="Calibri" w:hAnsi="Calibri" w:cs="Calibri"/>
          <w:sz w:val="24"/>
          <w:szCs w:val="24"/>
          <w:lang w:val="el-GR"/>
        </w:rPr>
        <w:t>Μονάδα</w:t>
      </w:r>
      <w:r w:rsidR="00C6500C" w:rsidRPr="00C6500C">
        <w:rPr>
          <w:rFonts w:ascii="Calibri" w:eastAsia="Calibri" w:hAnsi="Calibri" w:cs="Calibri"/>
          <w:sz w:val="24"/>
          <w:szCs w:val="24"/>
          <w:lang w:val="el-GR"/>
        </w:rPr>
        <w:t xml:space="preserve"> </w:t>
      </w:r>
      <w:r w:rsidR="00C0757E">
        <w:rPr>
          <w:rFonts w:ascii="Calibri" w:eastAsia="Calibri" w:hAnsi="Calibri" w:cs="Calibri"/>
          <w:sz w:val="24"/>
          <w:szCs w:val="24"/>
          <w:lang w:val="el-GR"/>
        </w:rPr>
        <w:t xml:space="preserve">Εσωτερικού Ελέγχου </w:t>
      </w:r>
      <w:r w:rsidR="00C6500C">
        <w:rPr>
          <w:rFonts w:ascii="Calibri" w:eastAsia="Calibri" w:hAnsi="Calibri" w:cs="Calibri"/>
          <w:sz w:val="24"/>
          <w:szCs w:val="24"/>
          <w:lang w:val="el-GR"/>
        </w:rPr>
        <w:t>και</w:t>
      </w:r>
      <w:r w:rsidR="00C6500C" w:rsidRPr="00C6500C">
        <w:rPr>
          <w:rFonts w:ascii="Calibri" w:eastAsia="Calibri" w:hAnsi="Calibri" w:cs="Calibri"/>
          <w:sz w:val="24"/>
          <w:szCs w:val="24"/>
          <w:lang w:val="el-GR"/>
        </w:rPr>
        <w:t xml:space="preserve"> </w:t>
      </w:r>
      <w:r w:rsidR="00C0757E">
        <w:rPr>
          <w:rFonts w:ascii="Calibri" w:eastAsia="Calibri" w:hAnsi="Calibri" w:cs="Calibri"/>
          <w:sz w:val="24"/>
          <w:szCs w:val="24"/>
          <w:lang w:val="el-GR"/>
        </w:rPr>
        <w:t xml:space="preserve">Δεοντολογίας </w:t>
      </w:r>
      <w:r w:rsidR="00C6500C">
        <w:rPr>
          <w:rFonts w:cstheme="minorHAnsi"/>
          <w:sz w:val="24"/>
          <w:szCs w:val="24"/>
          <w:lang w:val="el-GR"/>
        </w:rPr>
        <w:t>στην Προεδρία</w:t>
      </w:r>
      <w:r w:rsidR="00F8627E" w:rsidRPr="00C6500C">
        <w:rPr>
          <w:rFonts w:cstheme="minorHAnsi"/>
          <w:sz w:val="24"/>
          <w:szCs w:val="24"/>
          <w:lang w:val="el-GR"/>
        </w:rPr>
        <w:t xml:space="preserve"> </w:t>
      </w:r>
      <w:r w:rsidR="001F3FD5">
        <w:rPr>
          <w:rFonts w:cstheme="minorHAnsi"/>
          <w:sz w:val="24"/>
          <w:szCs w:val="24"/>
          <w:lang w:val="el-GR"/>
        </w:rPr>
        <w:t xml:space="preserve">δύναται </w:t>
      </w:r>
      <w:r w:rsidR="00C6500C">
        <w:rPr>
          <w:rFonts w:cstheme="minorHAnsi"/>
          <w:sz w:val="24"/>
          <w:szCs w:val="24"/>
          <w:lang w:val="el-GR"/>
        </w:rPr>
        <w:t>να επιβλέ</w:t>
      </w:r>
      <w:r w:rsidR="00C0757E">
        <w:rPr>
          <w:rFonts w:cstheme="minorHAnsi"/>
          <w:sz w:val="24"/>
          <w:szCs w:val="24"/>
          <w:lang w:val="el-GR"/>
        </w:rPr>
        <w:t>π</w:t>
      </w:r>
      <w:r w:rsidR="00C6500C">
        <w:rPr>
          <w:rFonts w:cstheme="minorHAnsi"/>
          <w:sz w:val="24"/>
          <w:szCs w:val="24"/>
          <w:lang w:val="el-GR"/>
        </w:rPr>
        <w:t xml:space="preserve">ει την υλοποίηση </w:t>
      </w:r>
      <w:r w:rsidR="007E527B">
        <w:rPr>
          <w:rFonts w:cstheme="minorHAnsi"/>
          <w:sz w:val="24"/>
          <w:szCs w:val="24"/>
          <w:lang w:val="el-GR"/>
        </w:rPr>
        <w:t>τ</w:t>
      </w:r>
      <w:r w:rsidR="00C0757E">
        <w:rPr>
          <w:rFonts w:cstheme="minorHAnsi"/>
          <w:sz w:val="24"/>
          <w:szCs w:val="24"/>
          <w:lang w:val="el-GR"/>
        </w:rPr>
        <w:t>ης</w:t>
      </w:r>
      <w:r w:rsidR="007E527B">
        <w:rPr>
          <w:rFonts w:cstheme="minorHAnsi"/>
          <w:sz w:val="24"/>
          <w:szCs w:val="24"/>
          <w:lang w:val="el-GR"/>
        </w:rPr>
        <w:t xml:space="preserve"> Χάρτ</w:t>
      </w:r>
      <w:r w:rsidR="00C0757E">
        <w:rPr>
          <w:rFonts w:cstheme="minorHAnsi"/>
          <w:sz w:val="24"/>
          <w:szCs w:val="24"/>
          <w:lang w:val="el-GR"/>
        </w:rPr>
        <w:t>ας Δεοντολογίας</w:t>
      </w:r>
      <w:r w:rsidR="00E42F2E" w:rsidRPr="00C6500C">
        <w:rPr>
          <w:rFonts w:cstheme="minorHAnsi"/>
          <w:sz w:val="24"/>
          <w:szCs w:val="24"/>
          <w:lang w:val="el-GR"/>
        </w:rPr>
        <w:t>.</w:t>
      </w:r>
      <w:bookmarkEnd w:id="57"/>
    </w:p>
    <w:p w14:paraId="28DCA252" w14:textId="77777777" w:rsidR="00A5147D" w:rsidRPr="00C6500C" w:rsidRDefault="00A5147D" w:rsidP="00A5147D">
      <w:pPr>
        <w:tabs>
          <w:tab w:val="left" w:pos="709"/>
        </w:tabs>
        <w:rPr>
          <w:rFonts w:cstheme="minorHAnsi"/>
          <w:sz w:val="24"/>
          <w:szCs w:val="24"/>
          <w:lang w:val="el-GR"/>
        </w:rPr>
      </w:pPr>
    </w:p>
    <w:p w14:paraId="334BDB63" w14:textId="52A1F17B" w:rsidR="00A5147D" w:rsidRPr="007E527B" w:rsidRDefault="00590D24" w:rsidP="00A5147D">
      <w:pPr>
        <w:numPr>
          <w:ilvl w:val="0"/>
          <w:numId w:val="1"/>
        </w:numPr>
        <w:tabs>
          <w:tab w:val="clear" w:pos="6095"/>
          <w:tab w:val="left" w:pos="709"/>
        </w:tabs>
        <w:ind w:left="0" w:firstLine="0"/>
        <w:rPr>
          <w:rFonts w:cstheme="minorHAnsi"/>
          <w:b/>
          <w:bCs/>
          <w:sz w:val="24"/>
          <w:szCs w:val="24"/>
          <w:lang w:val="el-GR"/>
        </w:rPr>
      </w:pPr>
      <w:r>
        <w:rPr>
          <w:rFonts w:cstheme="minorHAnsi"/>
          <w:sz w:val="24"/>
          <w:szCs w:val="24"/>
          <w:lang w:val="el-GR"/>
        </w:rPr>
        <w:t>Η</w:t>
      </w:r>
      <w:r w:rsidR="00A5147D" w:rsidRPr="00590D24">
        <w:rPr>
          <w:rFonts w:cstheme="minorHAnsi"/>
          <w:sz w:val="24"/>
          <w:szCs w:val="24"/>
          <w:lang w:val="el-GR"/>
        </w:rPr>
        <w:t xml:space="preserve"> </w:t>
      </w:r>
      <w:r w:rsidR="00A5147D" w:rsidRPr="00B95983">
        <w:rPr>
          <w:rFonts w:cstheme="minorHAnsi"/>
          <w:sz w:val="24"/>
          <w:szCs w:val="24"/>
        </w:rPr>
        <w:t>GET</w:t>
      </w:r>
      <w:r w:rsidR="00A5147D" w:rsidRPr="00590D24">
        <w:rPr>
          <w:rFonts w:cstheme="minorHAnsi"/>
          <w:sz w:val="24"/>
          <w:szCs w:val="24"/>
          <w:lang w:val="el-GR"/>
        </w:rPr>
        <w:t xml:space="preserve"> </w:t>
      </w:r>
      <w:r>
        <w:rPr>
          <w:rFonts w:cstheme="minorHAnsi"/>
          <w:sz w:val="24"/>
          <w:szCs w:val="24"/>
          <w:lang w:val="el-GR"/>
        </w:rPr>
        <w:t>σημείωσε</w:t>
      </w:r>
      <w:r w:rsidRPr="00590D24">
        <w:rPr>
          <w:rFonts w:cstheme="minorHAnsi"/>
          <w:sz w:val="24"/>
          <w:szCs w:val="24"/>
          <w:lang w:val="el-GR"/>
        </w:rPr>
        <w:t xml:space="preserve"> </w:t>
      </w:r>
      <w:r>
        <w:rPr>
          <w:rFonts w:cstheme="minorHAnsi"/>
          <w:sz w:val="24"/>
          <w:szCs w:val="24"/>
          <w:lang w:val="el-GR"/>
        </w:rPr>
        <w:t>ότι</w:t>
      </w:r>
      <w:r w:rsidRPr="00590D24">
        <w:rPr>
          <w:rFonts w:cstheme="minorHAnsi"/>
          <w:sz w:val="24"/>
          <w:szCs w:val="24"/>
          <w:lang w:val="el-GR"/>
        </w:rPr>
        <w:t xml:space="preserve"> </w:t>
      </w:r>
      <w:r>
        <w:rPr>
          <w:rFonts w:cstheme="minorHAnsi"/>
          <w:sz w:val="24"/>
          <w:szCs w:val="24"/>
          <w:lang w:val="el-GR"/>
        </w:rPr>
        <w:t>ενώ</w:t>
      </w:r>
      <w:r w:rsidRPr="00590D24">
        <w:rPr>
          <w:rFonts w:cstheme="minorHAnsi"/>
          <w:sz w:val="24"/>
          <w:szCs w:val="24"/>
          <w:lang w:val="el-GR"/>
        </w:rPr>
        <w:t xml:space="preserve"> </w:t>
      </w:r>
      <w:r>
        <w:rPr>
          <w:rFonts w:cstheme="minorHAnsi"/>
          <w:sz w:val="24"/>
          <w:szCs w:val="24"/>
          <w:lang w:val="el-GR"/>
        </w:rPr>
        <w:t>υπάρχει</w:t>
      </w:r>
      <w:r w:rsidR="00E36091">
        <w:rPr>
          <w:rFonts w:cstheme="minorHAnsi"/>
          <w:sz w:val="24"/>
          <w:szCs w:val="24"/>
          <w:lang w:val="el-GR"/>
        </w:rPr>
        <w:t xml:space="preserve"> μια Χάρτα Δεοντολογίας</w:t>
      </w:r>
      <w:r w:rsidR="00A5147D" w:rsidRPr="00590D24">
        <w:rPr>
          <w:rFonts w:cstheme="minorHAnsi"/>
          <w:sz w:val="24"/>
          <w:szCs w:val="24"/>
          <w:lang w:val="el-GR"/>
        </w:rPr>
        <w:t xml:space="preserve"> </w:t>
      </w:r>
      <w:r w:rsidR="00E36091">
        <w:rPr>
          <w:rFonts w:cstheme="minorHAnsi"/>
          <w:sz w:val="24"/>
          <w:szCs w:val="24"/>
          <w:lang w:val="el-GR"/>
        </w:rPr>
        <w:t xml:space="preserve">επί της οποίας κάποιοι </w:t>
      </w:r>
      <w:r w:rsidR="00E36091">
        <w:rPr>
          <w:rFonts w:cstheme="minorHAnsi"/>
          <w:sz w:val="24"/>
          <w:szCs w:val="24"/>
          <w:lang w:val="en-US"/>
        </w:rPr>
        <w:t>PTEFs</w:t>
      </w:r>
      <w:r w:rsidR="00E36091" w:rsidRPr="002B7C4B">
        <w:rPr>
          <w:rFonts w:cstheme="minorHAnsi"/>
          <w:sz w:val="24"/>
          <w:szCs w:val="24"/>
          <w:lang w:val="el-GR"/>
        </w:rPr>
        <w:t xml:space="preserve"> </w:t>
      </w:r>
      <w:r w:rsidR="00A5147D" w:rsidRPr="00590D24">
        <w:rPr>
          <w:rFonts w:cstheme="minorHAnsi"/>
          <w:sz w:val="24"/>
          <w:szCs w:val="24"/>
          <w:lang w:val="el-GR"/>
        </w:rPr>
        <w:t>(</w:t>
      </w:r>
      <w:r>
        <w:rPr>
          <w:rFonts w:cstheme="minorHAnsi"/>
          <w:sz w:val="24"/>
          <w:szCs w:val="24"/>
          <w:lang w:val="el-GR"/>
        </w:rPr>
        <w:t>όχι ο Πρόεδρος</w:t>
      </w:r>
      <w:r w:rsidR="00A5147D" w:rsidRPr="00590D24">
        <w:rPr>
          <w:rFonts w:cstheme="minorHAnsi"/>
          <w:sz w:val="24"/>
          <w:szCs w:val="24"/>
          <w:lang w:val="el-GR"/>
        </w:rPr>
        <w:t xml:space="preserve">) </w:t>
      </w:r>
      <w:r w:rsidR="00B727D5">
        <w:rPr>
          <w:rFonts w:cstheme="minorHAnsi"/>
          <w:sz w:val="24"/>
          <w:szCs w:val="24"/>
          <w:lang w:val="el-GR"/>
        </w:rPr>
        <w:t>πρέπει να υπογράψουν ένα όρκο</w:t>
      </w:r>
      <w:r w:rsidR="00A5147D" w:rsidRPr="00590D24">
        <w:rPr>
          <w:rFonts w:cstheme="minorHAnsi"/>
          <w:sz w:val="24"/>
          <w:szCs w:val="24"/>
          <w:lang w:val="el-GR"/>
        </w:rPr>
        <w:t xml:space="preserve"> </w:t>
      </w:r>
      <w:r w:rsidR="00B727D5">
        <w:rPr>
          <w:rFonts w:cstheme="minorHAnsi"/>
          <w:sz w:val="24"/>
          <w:szCs w:val="24"/>
          <w:lang w:val="el-GR"/>
        </w:rPr>
        <w:t>κατά τον διορισμό τους</w:t>
      </w:r>
      <w:r w:rsidR="00E36091" w:rsidRPr="002B7C4B">
        <w:rPr>
          <w:rFonts w:cstheme="minorHAnsi"/>
          <w:sz w:val="24"/>
          <w:szCs w:val="24"/>
          <w:lang w:val="el-GR"/>
        </w:rPr>
        <w:t>,</w:t>
      </w:r>
      <w:r w:rsidR="00E36091">
        <w:rPr>
          <w:rFonts w:cstheme="minorHAnsi"/>
          <w:sz w:val="24"/>
          <w:szCs w:val="24"/>
          <w:lang w:val="el-GR"/>
        </w:rPr>
        <w:t xml:space="preserve"> (εντούτοις)</w:t>
      </w:r>
      <w:r w:rsidR="00E36091" w:rsidRPr="002B7C4B">
        <w:rPr>
          <w:rFonts w:cstheme="minorHAnsi"/>
          <w:sz w:val="24"/>
          <w:szCs w:val="24"/>
          <w:lang w:val="el-GR"/>
        </w:rPr>
        <w:t xml:space="preserve"> </w:t>
      </w:r>
      <w:r w:rsidR="00A5147D" w:rsidRPr="00590D24">
        <w:rPr>
          <w:rFonts w:cstheme="minorHAnsi"/>
          <w:sz w:val="24"/>
          <w:szCs w:val="24"/>
          <w:lang w:val="el-GR"/>
        </w:rPr>
        <w:t xml:space="preserve"> </w:t>
      </w:r>
      <w:r w:rsidR="00E36091">
        <w:rPr>
          <w:rFonts w:cstheme="minorHAnsi"/>
          <w:sz w:val="24"/>
          <w:szCs w:val="24"/>
          <w:lang w:val="el-GR"/>
        </w:rPr>
        <w:t>α</w:t>
      </w:r>
      <w:r w:rsidR="00B727D5">
        <w:rPr>
          <w:rFonts w:cstheme="minorHAnsi"/>
          <w:sz w:val="24"/>
          <w:szCs w:val="24"/>
          <w:lang w:val="el-GR"/>
        </w:rPr>
        <w:t>υτή</w:t>
      </w:r>
      <w:r w:rsidR="00B727D5" w:rsidRPr="00B727D5">
        <w:rPr>
          <w:rFonts w:cstheme="minorHAnsi"/>
          <w:sz w:val="24"/>
          <w:szCs w:val="24"/>
          <w:lang w:val="el-GR"/>
        </w:rPr>
        <w:t xml:space="preserve"> </w:t>
      </w:r>
      <w:r w:rsidR="00B727D5">
        <w:rPr>
          <w:rFonts w:cstheme="minorHAnsi"/>
          <w:sz w:val="24"/>
          <w:szCs w:val="24"/>
          <w:lang w:val="el-GR"/>
        </w:rPr>
        <w:t>είναι</w:t>
      </w:r>
      <w:r w:rsidR="00B727D5" w:rsidRPr="00B727D5">
        <w:rPr>
          <w:rFonts w:cstheme="minorHAnsi"/>
          <w:sz w:val="24"/>
          <w:szCs w:val="24"/>
          <w:lang w:val="el-GR"/>
        </w:rPr>
        <w:t xml:space="preserve"> </w:t>
      </w:r>
      <w:r w:rsidR="00B727D5">
        <w:rPr>
          <w:rFonts w:cstheme="minorHAnsi"/>
          <w:sz w:val="24"/>
          <w:szCs w:val="24"/>
          <w:lang w:val="el-GR"/>
        </w:rPr>
        <w:t>μια</w:t>
      </w:r>
      <w:r w:rsidR="00B727D5" w:rsidRPr="00B727D5">
        <w:rPr>
          <w:rFonts w:cstheme="minorHAnsi"/>
          <w:sz w:val="24"/>
          <w:szCs w:val="24"/>
          <w:lang w:val="el-GR"/>
        </w:rPr>
        <w:t xml:space="preserve"> </w:t>
      </w:r>
      <w:r w:rsidR="00B727D5">
        <w:rPr>
          <w:rFonts w:cstheme="minorHAnsi"/>
          <w:sz w:val="24"/>
          <w:szCs w:val="24"/>
          <w:lang w:val="el-GR"/>
        </w:rPr>
        <w:t>δήλωση</w:t>
      </w:r>
      <w:r w:rsidR="00B727D5" w:rsidRPr="00B727D5">
        <w:rPr>
          <w:rFonts w:cstheme="minorHAnsi"/>
          <w:sz w:val="24"/>
          <w:szCs w:val="24"/>
          <w:lang w:val="el-GR"/>
        </w:rPr>
        <w:t xml:space="preserve"> </w:t>
      </w:r>
      <w:r w:rsidR="00B727D5">
        <w:rPr>
          <w:rFonts w:cstheme="minorHAnsi"/>
          <w:sz w:val="24"/>
          <w:szCs w:val="24"/>
          <w:lang w:val="el-GR"/>
        </w:rPr>
        <w:t>αρχών</w:t>
      </w:r>
      <w:r w:rsidR="00A5147D" w:rsidRPr="00B727D5">
        <w:rPr>
          <w:rFonts w:cstheme="minorHAnsi"/>
          <w:sz w:val="24"/>
          <w:szCs w:val="24"/>
          <w:lang w:val="el-GR"/>
        </w:rPr>
        <w:t xml:space="preserve"> </w:t>
      </w:r>
      <w:r w:rsidR="00B727D5">
        <w:rPr>
          <w:rFonts w:cstheme="minorHAnsi"/>
          <w:sz w:val="24"/>
          <w:szCs w:val="24"/>
          <w:lang w:val="el-GR"/>
        </w:rPr>
        <w:t>που</w:t>
      </w:r>
      <w:r w:rsidR="00B727D5" w:rsidRPr="00B727D5">
        <w:rPr>
          <w:rFonts w:cstheme="minorHAnsi"/>
          <w:sz w:val="24"/>
          <w:szCs w:val="24"/>
          <w:lang w:val="el-GR"/>
        </w:rPr>
        <w:t xml:space="preserve"> </w:t>
      </w:r>
      <w:r w:rsidR="00B727D5">
        <w:rPr>
          <w:rFonts w:cstheme="minorHAnsi"/>
          <w:sz w:val="24"/>
          <w:szCs w:val="24"/>
          <w:lang w:val="el-GR"/>
        </w:rPr>
        <w:t>απέχει</w:t>
      </w:r>
      <w:r w:rsidR="00B727D5" w:rsidRPr="00B727D5">
        <w:rPr>
          <w:rFonts w:cstheme="minorHAnsi"/>
          <w:sz w:val="24"/>
          <w:szCs w:val="24"/>
          <w:lang w:val="el-GR"/>
        </w:rPr>
        <w:t xml:space="preserve"> </w:t>
      </w:r>
      <w:r w:rsidR="00B727D5">
        <w:rPr>
          <w:rFonts w:cstheme="minorHAnsi"/>
          <w:sz w:val="24"/>
          <w:szCs w:val="24"/>
          <w:lang w:val="el-GR"/>
        </w:rPr>
        <w:t>από</w:t>
      </w:r>
      <w:r w:rsidR="00B727D5" w:rsidRPr="00B727D5">
        <w:rPr>
          <w:rFonts w:cstheme="minorHAnsi"/>
          <w:sz w:val="24"/>
          <w:szCs w:val="24"/>
          <w:lang w:val="el-GR"/>
        </w:rPr>
        <w:t xml:space="preserve"> </w:t>
      </w:r>
      <w:r w:rsidR="00B727D5">
        <w:rPr>
          <w:rFonts w:cstheme="minorHAnsi"/>
          <w:sz w:val="24"/>
          <w:szCs w:val="24"/>
          <w:lang w:val="el-GR"/>
        </w:rPr>
        <w:t>ένα</w:t>
      </w:r>
      <w:r w:rsidR="00B727D5" w:rsidRPr="00B727D5">
        <w:rPr>
          <w:rFonts w:cstheme="minorHAnsi"/>
          <w:sz w:val="24"/>
          <w:szCs w:val="24"/>
          <w:lang w:val="el-GR"/>
        </w:rPr>
        <w:t xml:space="preserve"> </w:t>
      </w:r>
      <w:r w:rsidR="00B727D5">
        <w:rPr>
          <w:rFonts w:cstheme="minorHAnsi"/>
          <w:sz w:val="24"/>
          <w:szCs w:val="24"/>
          <w:lang w:val="el-GR"/>
        </w:rPr>
        <w:t>πλήρες</w:t>
      </w:r>
      <w:r w:rsidR="00B727D5" w:rsidRPr="00B727D5">
        <w:rPr>
          <w:rFonts w:cstheme="minorHAnsi"/>
          <w:sz w:val="24"/>
          <w:szCs w:val="24"/>
          <w:lang w:val="el-GR"/>
        </w:rPr>
        <w:t xml:space="preserve"> </w:t>
      </w:r>
      <w:r w:rsidR="00B727D5">
        <w:rPr>
          <w:rFonts w:cstheme="minorHAnsi"/>
          <w:sz w:val="24"/>
          <w:szCs w:val="24"/>
          <w:lang w:val="el-GR"/>
        </w:rPr>
        <w:t>σύστημα</w:t>
      </w:r>
      <w:r w:rsidR="00A5147D" w:rsidRPr="00B727D5">
        <w:rPr>
          <w:rFonts w:cstheme="minorHAnsi"/>
          <w:sz w:val="24"/>
          <w:szCs w:val="24"/>
          <w:lang w:val="el-GR"/>
        </w:rPr>
        <w:t xml:space="preserve"> </w:t>
      </w:r>
      <w:r w:rsidR="00B727D5">
        <w:rPr>
          <w:rFonts w:cstheme="minorHAnsi"/>
          <w:sz w:val="24"/>
          <w:szCs w:val="24"/>
          <w:lang w:val="el-GR"/>
        </w:rPr>
        <w:t>κανόνων</w:t>
      </w:r>
      <w:r w:rsidR="00A5147D" w:rsidRPr="00B727D5">
        <w:rPr>
          <w:rFonts w:cstheme="minorHAnsi"/>
          <w:sz w:val="24"/>
          <w:szCs w:val="24"/>
          <w:lang w:val="el-GR"/>
        </w:rPr>
        <w:t xml:space="preserve"> </w:t>
      </w:r>
      <w:r w:rsidR="00B727D5">
        <w:rPr>
          <w:rFonts w:cstheme="minorHAnsi"/>
          <w:sz w:val="24"/>
          <w:szCs w:val="24"/>
          <w:lang w:val="el-GR"/>
        </w:rPr>
        <w:t>συμμόρφωσης</w:t>
      </w:r>
      <w:r w:rsidR="00A5147D" w:rsidRPr="00B727D5">
        <w:rPr>
          <w:rFonts w:cstheme="minorHAnsi"/>
          <w:sz w:val="24"/>
          <w:szCs w:val="24"/>
          <w:lang w:val="el-GR"/>
        </w:rPr>
        <w:t xml:space="preserve"> </w:t>
      </w:r>
      <w:r w:rsidR="00B727D5">
        <w:rPr>
          <w:rFonts w:cstheme="minorHAnsi"/>
          <w:sz w:val="24"/>
          <w:szCs w:val="24"/>
          <w:lang w:val="el-GR"/>
        </w:rPr>
        <w:t xml:space="preserve">και </w:t>
      </w:r>
      <w:r w:rsidR="00B33076">
        <w:rPr>
          <w:rFonts w:cstheme="minorHAnsi"/>
          <w:sz w:val="24"/>
          <w:szCs w:val="24"/>
          <w:lang w:val="el-GR"/>
        </w:rPr>
        <w:t xml:space="preserve">η οποία </w:t>
      </w:r>
      <w:r w:rsidR="00B727D5">
        <w:rPr>
          <w:rFonts w:cstheme="minorHAnsi"/>
          <w:sz w:val="24"/>
          <w:szCs w:val="24"/>
          <w:lang w:val="el-GR"/>
        </w:rPr>
        <w:t xml:space="preserve">θα μπορούσε να </w:t>
      </w:r>
      <w:r w:rsidR="00E36091">
        <w:rPr>
          <w:rFonts w:cstheme="minorHAnsi"/>
          <w:sz w:val="24"/>
          <w:szCs w:val="24"/>
          <w:lang w:val="el-GR"/>
        </w:rPr>
        <w:t xml:space="preserve">επιφέρει  </w:t>
      </w:r>
      <w:r w:rsidR="00B727D5">
        <w:rPr>
          <w:rFonts w:cstheme="minorHAnsi"/>
          <w:sz w:val="24"/>
          <w:szCs w:val="24"/>
          <w:lang w:val="el-GR"/>
        </w:rPr>
        <w:t>επιπτώσεις</w:t>
      </w:r>
      <w:r w:rsidR="00A5147D" w:rsidRPr="00B727D5">
        <w:rPr>
          <w:rFonts w:cstheme="minorHAnsi"/>
          <w:sz w:val="24"/>
          <w:szCs w:val="24"/>
          <w:lang w:val="el-GR"/>
        </w:rPr>
        <w:t xml:space="preserve"> </w:t>
      </w:r>
      <w:r w:rsidR="00B727D5">
        <w:rPr>
          <w:rFonts w:cstheme="minorHAnsi"/>
          <w:sz w:val="24"/>
          <w:szCs w:val="24"/>
          <w:lang w:val="el-GR"/>
        </w:rPr>
        <w:t>σε περίπτωση μη τήρησης</w:t>
      </w:r>
      <w:r w:rsidR="00A5147D" w:rsidRPr="00B727D5">
        <w:rPr>
          <w:rFonts w:cstheme="minorHAnsi"/>
          <w:sz w:val="24"/>
          <w:szCs w:val="24"/>
          <w:lang w:val="el-GR"/>
        </w:rPr>
        <w:t xml:space="preserve">. </w:t>
      </w:r>
      <w:r w:rsidR="00B727D5">
        <w:rPr>
          <w:rFonts w:cstheme="minorHAnsi"/>
          <w:sz w:val="24"/>
          <w:szCs w:val="24"/>
          <w:lang w:val="el-GR"/>
        </w:rPr>
        <w:t>Κατά</w:t>
      </w:r>
      <w:r w:rsidR="00B727D5" w:rsidRPr="00B727D5">
        <w:rPr>
          <w:rFonts w:cstheme="minorHAnsi"/>
          <w:sz w:val="24"/>
          <w:szCs w:val="24"/>
          <w:lang w:val="el-GR"/>
        </w:rPr>
        <w:t xml:space="preserve"> </w:t>
      </w:r>
      <w:r w:rsidR="00B727D5">
        <w:rPr>
          <w:rFonts w:cstheme="minorHAnsi"/>
          <w:sz w:val="24"/>
          <w:szCs w:val="24"/>
          <w:lang w:val="el-GR"/>
        </w:rPr>
        <w:t>τον</w:t>
      </w:r>
      <w:r w:rsidR="00B727D5" w:rsidRPr="00B727D5">
        <w:rPr>
          <w:rFonts w:cstheme="minorHAnsi"/>
          <w:sz w:val="24"/>
          <w:szCs w:val="24"/>
          <w:lang w:val="el-GR"/>
        </w:rPr>
        <w:t xml:space="preserve"> </w:t>
      </w:r>
      <w:r w:rsidR="00B727D5">
        <w:rPr>
          <w:rFonts w:cstheme="minorHAnsi"/>
          <w:sz w:val="24"/>
          <w:szCs w:val="24"/>
          <w:lang w:val="el-GR"/>
        </w:rPr>
        <w:t>χρόνο</w:t>
      </w:r>
      <w:r w:rsidR="00B727D5" w:rsidRPr="00B727D5">
        <w:rPr>
          <w:rFonts w:cstheme="minorHAnsi"/>
          <w:sz w:val="24"/>
          <w:szCs w:val="24"/>
          <w:lang w:val="el-GR"/>
        </w:rPr>
        <w:t xml:space="preserve"> </w:t>
      </w:r>
      <w:r w:rsidR="00B727D5">
        <w:rPr>
          <w:rFonts w:cstheme="minorHAnsi"/>
          <w:sz w:val="24"/>
          <w:szCs w:val="24"/>
          <w:lang w:val="el-GR"/>
        </w:rPr>
        <w:t>της</w:t>
      </w:r>
      <w:r w:rsidR="00B727D5" w:rsidRPr="00B727D5">
        <w:rPr>
          <w:rFonts w:cstheme="minorHAnsi"/>
          <w:sz w:val="24"/>
          <w:szCs w:val="24"/>
          <w:lang w:val="el-GR"/>
        </w:rPr>
        <w:t xml:space="preserve"> </w:t>
      </w:r>
      <w:r w:rsidR="00B727D5">
        <w:rPr>
          <w:rFonts w:cstheme="minorHAnsi"/>
          <w:sz w:val="24"/>
          <w:szCs w:val="24"/>
          <w:lang w:val="el-GR"/>
        </w:rPr>
        <w:t>επίσκεψης</w:t>
      </w:r>
      <w:r w:rsidR="00A5147D" w:rsidRPr="00B727D5">
        <w:rPr>
          <w:rFonts w:cstheme="minorHAnsi"/>
          <w:sz w:val="24"/>
          <w:szCs w:val="24"/>
          <w:lang w:val="el-GR"/>
        </w:rPr>
        <w:t xml:space="preserve">, </w:t>
      </w:r>
      <w:r w:rsidR="00B727D5">
        <w:rPr>
          <w:rFonts w:cstheme="minorHAnsi"/>
          <w:sz w:val="24"/>
          <w:szCs w:val="24"/>
          <w:lang w:val="el-GR"/>
        </w:rPr>
        <w:t>οι</w:t>
      </w:r>
      <w:r w:rsidR="00B727D5" w:rsidRPr="00B727D5">
        <w:rPr>
          <w:rFonts w:cstheme="minorHAnsi"/>
          <w:sz w:val="24"/>
          <w:szCs w:val="24"/>
          <w:lang w:val="el-GR"/>
        </w:rPr>
        <w:t xml:space="preserve"> </w:t>
      </w:r>
      <w:r w:rsidR="00B727D5">
        <w:rPr>
          <w:rFonts w:cstheme="minorHAnsi"/>
          <w:sz w:val="24"/>
          <w:szCs w:val="24"/>
          <w:lang w:val="el-GR"/>
        </w:rPr>
        <w:t>αρχές</w:t>
      </w:r>
      <w:r w:rsidR="00B727D5" w:rsidRPr="00B727D5">
        <w:rPr>
          <w:rFonts w:cstheme="minorHAnsi"/>
          <w:sz w:val="24"/>
          <w:szCs w:val="24"/>
          <w:lang w:val="el-GR"/>
        </w:rPr>
        <w:t xml:space="preserve"> </w:t>
      </w:r>
      <w:r w:rsidR="00B727D5">
        <w:rPr>
          <w:rFonts w:cstheme="minorHAnsi"/>
          <w:sz w:val="24"/>
          <w:szCs w:val="24"/>
          <w:lang w:val="el-GR"/>
        </w:rPr>
        <w:t>εργάζονταν</w:t>
      </w:r>
      <w:r w:rsidR="00B727D5" w:rsidRPr="00B727D5">
        <w:rPr>
          <w:rFonts w:cstheme="minorHAnsi"/>
          <w:sz w:val="24"/>
          <w:szCs w:val="24"/>
          <w:lang w:val="el-GR"/>
        </w:rPr>
        <w:t xml:space="preserve"> </w:t>
      </w:r>
      <w:r w:rsidR="00B727D5">
        <w:rPr>
          <w:rFonts w:cstheme="minorHAnsi"/>
          <w:sz w:val="24"/>
          <w:szCs w:val="24"/>
          <w:lang w:val="el-GR"/>
        </w:rPr>
        <w:t>πάνω σε</w:t>
      </w:r>
      <w:r w:rsidR="00A5147D" w:rsidRPr="00B727D5">
        <w:rPr>
          <w:rFonts w:cstheme="minorHAnsi"/>
          <w:sz w:val="24"/>
          <w:szCs w:val="24"/>
          <w:lang w:val="el-GR"/>
        </w:rPr>
        <w:t xml:space="preserve"> </w:t>
      </w:r>
      <w:r w:rsidR="00B727D5">
        <w:rPr>
          <w:rFonts w:cstheme="minorHAnsi"/>
          <w:sz w:val="24"/>
          <w:szCs w:val="24"/>
          <w:lang w:val="el-GR"/>
        </w:rPr>
        <w:t>ένα</w:t>
      </w:r>
      <w:r w:rsidR="00A5147D" w:rsidRPr="00B727D5">
        <w:rPr>
          <w:rFonts w:cstheme="minorHAnsi"/>
          <w:sz w:val="24"/>
          <w:szCs w:val="24"/>
          <w:lang w:val="el-GR"/>
        </w:rPr>
        <w:t xml:space="preserve"> </w:t>
      </w:r>
      <w:r w:rsidR="00B727D5">
        <w:rPr>
          <w:rFonts w:cstheme="minorHAnsi"/>
          <w:sz w:val="24"/>
          <w:szCs w:val="24"/>
          <w:lang w:val="el-GR"/>
        </w:rPr>
        <w:t xml:space="preserve">Κώδικα </w:t>
      </w:r>
      <w:r w:rsidR="007E527B">
        <w:rPr>
          <w:rFonts w:cstheme="minorHAnsi"/>
          <w:sz w:val="24"/>
          <w:szCs w:val="24"/>
          <w:lang w:val="el-GR"/>
        </w:rPr>
        <w:t>Συμπεριφοράς</w:t>
      </w:r>
      <w:r w:rsidR="00A5147D" w:rsidRPr="00B727D5">
        <w:rPr>
          <w:rFonts w:cstheme="minorHAnsi"/>
          <w:sz w:val="24"/>
          <w:szCs w:val="24"/>
          <w:lang w:val="el-GR"/>
        </w:rPr>
        <w:t xml:space="preserve"> </w:t>
      </w:r>
      <w:r w:rsidR="00B727D5">
        <w:rPr>
          <w:rFonts w:cstheme="minorHAnsi"/>
          <w:sz w:val="24"/>
          <w:szCs w:val="24"/>
          <w:lang w:val="el-GR"/>
        </w:rPr>
        <w:t>για μέλη της κυβέρνησης</w:t>
      </w:r>
      <w:r w:rsidR="00F8627E" w:rsidRPr="00B727D5">
        <w:rPr>
          <w:rFonts w:cstheme="minorHAnsi"/>
          <w:sz w:val="24"/>
          <w:szCs w:val="24"/>
          <w:lang w:val="el-GR"/>
        </w:rPr>
        <w:t xml:space="preserve">. </w:t>
      </w:r>
      <w:bookmarkStart w:id="58" w:name="_Hlk132888241"/>
      <w:r w:rsidR="00B727D5">
        <w:rPr>
          <w:rFonts w:cstheme="minorHAnsi"/>
          <w:sz w:val="24"/>
          <w:szCs w:val="24"/>
          <w:lang w:val="en-US"/>
        </w:rPr>
        <w:t>A</w:t>
      </w:r>
      <w:proofErr w:type="spellStart"/>
      <w:r w:rsidR="00B727D5">
        <w:rPr>
          <w:rFonts w:cstheme="minorHAnsi"/>
          <w:sz w:val="24"/>
          <w:szCs w:val="24"/>
          <w:lang w:val="el-GR"/>
        </w:rPr>
        <w:t>υτή</w:t>
      </w:r>
      <w:proofErr w:type="spellEnd"/>
      <w:r w:rsidR="00B727D5" w:rsidRPr="00B727D5">
        <w:rPr>
          <w:rFonts w:cstheme="minorHAnsi"/>
          <w:sz w:val="24"/>
          <w:szCs w:val="24"/>
          <w:lang w:val="el-GR"/>
        </w:rPr>
        <w:t xml:space="preserve"> </w:t>
      </w:r>
      <w:r w:rsidR="00E36091">
        <w:rPr>
          <w:rFonts w:cstheme="minorHAnsi"/>
          <w:sz w:val="24"/>
          <w:szCs w:val="24"/>
          <w:lang w:val="el-GR"/>
        </w:rPr>
        <w:t xml:space="preserve">η </w:t>
      </w:r>
      <w:r w:rsidR="00B727D5">
        <w:rPr>
          <w:rFonts w:cstheme="minorHAnsi"/>
          <w:sz w:val="24"/>
          <w:szCs w:val="24"/>
          <w:lang w:val="el-GR"/>
        </w:rPr>
        <w:t>εργασία</w:t>
      </w:r>
      <w:r w:rsidR="00B727D5" w:rsidRPr="00B727D5">
        <w:rPr>
          <w:rFonts w:cstheme="minorHAnsi"/>
          <w:sz w:val="24"/>
          <w:szCs w:val="24"/>
          <w:lang w:val="el-GR"/>
        </w:rPr>
        <w:t xml:space="preserve"> </w:t>
      </w:r>
      <w:r w:rsidR="00E36091">
        <w:rPr>
          <w:rFonts w:cstheme="minorHAnsi"/>
          <w:sz w:val="24"/>
          <w:szCs w:val="24"/>
          <w:lang w:val="el-GR"/>
        </w:rPr>
        <w:t>είναι</w:t>
      </w:r>
      <w:r w:rsidR="00E36091" w:rsidRPr="00B727D5">
        <w:rPr>
          <w:rFonts w:cstheme="minorHAnsi"/>
          <w:sz w:val="24"/>
          <w:szCs w:val="24"/>
          <w:lang w:val="el-GR"/>
        </w:rPr>
        <w:t xml:space="preserve"> </w:t>
      </w:r>
      <w:r w:rsidR="00B727D5">
        <w:rPr>
          <w:rFonts w:cstheme="minorHAnsi"/>
          <w:sz w:val="24"/>
          <w:szCs w:val="24"/>
          <w:lang w:val="el-GR"/>
        </w:rPr>
        <w:t>σε</w:t>
      </w:r>
      <w:r w:rsidR="00B727D5" w:rsidRPr="00B727D5">
        <w:rPr>
          <w:rFonts w:cstheme="minorHAnsi"/>
          <w:sz w:val="24"/>
          <w:szCs w:val="24"/>
          <w:lang w:val="el-GR"/>
        </w:rPr>
        <w:t xml:space="preserve"> </w:t>
      </w:r>
      <w:r w:rsidR="00B727D5">
        <w:rPr>
          <w:rFonts w:cstheme="minorHAnsi"/>
          <w:sz w:val="24"/>
          <w:szCs w:val="24"/>
          <w:lang w:val="el-GR"/>
        </w:rPr>
        <w:t>εξέλιξη</w:t>
      </w:r>
      <w:r w:rsidR="00D14342" w:rsidRPr="00B727D5">
        <w:rPr>
          <w:rFonts w:cstheme="minorHAnsi"/>
          <w:sz w:val="24"/>
          <w:szCs w:val="24"/>
          <w:lang w:val="el-GR"/>
        </w:rPr>
        <w:t xml:space="preserve"> </w:t>
      </w:r>
      <w:r w:rsidR="00B727D5">
        <w:rPr>
          <w:rFonts w:cstheme="minorHAnsi"/>
          <w:sz w:val="24"/>
          <w:szCs w:val="24"/>
          <w:lang w:val="el-GR"/>
        </w:rPr>
        <w:t>που</w:t>
      </w:r>
      <w:r w:rsidR="00B727D5" w:rsidRPr="00B727D5">
        <w:rPr>
          <w:rFonts w:cstheme="minorHAnsi"/>
          <w:sz w:val="24"/>
          <w:szCs w:val="24"/>
          <w:lang w:val="el-GR"/>
        </w:rPr>
        <w:t xml:space="preserve"> </w:t>
      </w:r>
      <w:r w:rsidR="00B727D5">
        <w:rPr>
          <w:rFonts w:cstheme="minorHAnsi"/>
          <w:sz w:val="24"/>
          <w:szCs w:val="24"/>
          <w:lang w:val="el-GR"/>
        </w:rPr>
        <w:t>αναμένεται να συμπληρωθεί το</w:t>
      </w:r>
      <w:r w:rsidR="00D14342" w:rsidRPr="00B727D5">
        <w:rPr>
          <w:rFonts w:cstheme="minorHAnsi"/>
          <w:sz w:val="24"/>
          <w:szCs w:val="24"/>
          <w:lang w:val="el-GR"/>
        </w:rPr>
        <w:t xml:space="preserve"> </w:t>
      </w:r>
      <w:r w:rsidR="00F8627E" w:rsidRPr="00B727D5">
        <w:rPr>
          <w:rFonts w:cstheme="minorHAnsi"/>
          <w:sz w:val="24"/>
          <w:szCs w:val="24"/>
          <w:lang w:val="el-GR"/>
        </w:rPr>
        <w:t>2023</w:t>
      </w:r>
      <w:r w:rsidR="00A5147D" w:rsidRPr="00B727D5">
        <w:rPr>
          <w:rFonts w:cstheme="minorHAnsi"/>
          <w:sz w:val="24"/>
          <w:szCs w:val="24"/>
          <w:lang w:val="el-GR"/>
        </w:rPr>
        <w:t>.</w:t>
      </w:r>
      <w:r w:rsidR="00F8627E" w:rsidRPr="00B727D5">
        <w:rPr>
          <w:rFonts w:cstheme="minorHAnsi"/>
          <w:sz w:val="24"/>
          <w:szCs w:val="24"/>
          <w:lang w:val="el-GR"/>
        </w:rPr>
        <w:t xml:space="preserve"> </w:t>
      </w:r>
      <w:r w:rsidR="00B727D5">
        <w:rPr>
          <w:rFonts w:cstheme="minorHAnsi"/>
          <w:sz w:val="24"/>
          <w:szCs w:val="24"/>
          <w:lang w:val="el-GR"/>
        </w:rPr>
        <w:t>Όπως</w:t>
      </w:r>
      <w:r w:rsidR="00B727D5" w:rsidRPr="00B727D5">
        <w:rPr>
          <w:rFonts w:cstheme="minorHAnsi"/>
          <w:sz w:val="24"/>
          <w:szCs w:val="24"/>
          <w:lang w:val="el-GR"/>
        </w:rPr>
        <w:t xml:space="preserve"> </w:t>
      </w:r>
      <w:r w:rsidR="00B727D5">
        <w:rPr>
          <w:rFonts w:cstheme="minorHAnsi"/>
          <w:sz w:val="24"/>
          <w:szCs w:val="24"/>
          <w:lang w:val="el-GR"/>
        </w:rPr>
        <w:t>αναφέρθηκε</w:t>
      </w:r>
      <w:r w:rsidR="00B727D5" w:rsidRPr="00B727D5">
        <w:rPr>
          <w:rFonts w:cstheme="minorHAnsi"/>
          <w:sz w:val="24"/>
          <w:szCs w:val="24"/>
          <w:lang w:val="el-GR"/>
        </w:rPr>
        <w:t xml:space="preserve"> </w:t>
      </w:r>
      <w:r w:rsidR="00B727D5">
        <w:rPr>
          <w:rFonts w:cstheme="minorHAnsi"/>
          <w:sz w:val="24"/>
          <w:szCs w:val="24"/>
          <w:lang w:val="el-GR"/>
        </w:rPr>
        <w:t>προηγουμένως</w:t>
      </w:r>
      <w:r w:rsidR="00F8627E" w:rsidRPr="00B727D5">
        <w:rPr>
          <w:rFonts w:cstheme="minorHAnsi"/>
          <w:sz w:val="24"/>
          <w:szCs w:val="24"/>
          <w:lang w:val="el-GR"/>
        </w:rPr>
        <w:t xml:space="preserve">, </w:t>
      </w:r>
      <w:r w:rsidR="00B727D5">
        <w:rPr>
          <w:rFonts w:cstheme="minorHAnsi"/>
          <w:sz w:val="24"/>
          <w:szCs w:val="24"/>
          <w:lang w:val="el-GR"/>
        </w:rPr>
        <w:t>ο</w:t>
      </w:r>
      <w:r w:rsidR="00B727D5" w:rsidRPr="00B727D5">
        <w:rPr>
          <w:rFonts w:cstheme="minorHAnsi"/>
          <w:sz w:val="24"/>
          <w:szCs w:val="24"/>
          <w:lang w:val="el-GR"/>
        </w:rPr>
        <w:t xml:space="preserve"> </w:t>
      </w:r>
      <w:proofErr w:type="spellStart"/>
      <w:r w:rsidR="00B727D5">
        <w:rPr>
          <w:rFonts w:cstheme="minorHAnsi"/>
          <w:sz w:val="24"/>
          <w:szCs w:val="24"/>
          <w:lang w:val="el-GR"/>
        </w:rPr>
        <w:t>νεοεκλεγείς</w:t>
      </w:r>
      <w:proofErr w:type="spellEnd"/>
      <w:r w:rsidR="00B727D5" w:rsidRPr="00B727D5">
        <w:rPr>
          <w:rFonts w:cstheme="minorHAnsi"/>
          <w:sz w:val="24"/>
          <w:szCs w:val="24"/>
          <w:lang w:val="el-GR"/>
        </w:rPr>
        <w:t xml:space="preserve"> </w:t>
      </w:r>
      <w:r w:rsidR="00B727D5">
        <w:rPr>
          <w:rFonts w:cstheme="minorHAnsi"/>
          <w:sz w:val="24"/>
          <w:szCs w:val="24"/>
          <w:lang w:val="el-GR"/>
        </w:rPr>
        <w:t>Πρόεδρος</w:t>
      </w:r>
      <w:r w:rsidR="00F8627E" w:rsidRPr="00B727D5">
        <w:rPr>
          <w:rFonts w:cstheme="minorHAnsi"/>
          <w:sz w:val="24"/>
          <w:szCs w:val="24"/>
          <w:lang w:val="el-GR"/>
        </w:rPr>
        <w:t xml:space="preserve"> </w:t>
      </w:r>
      <w:r w:rsidR="00B727D5">
        <w:rPr>
          <w:rFonts w:cstheme="minorHAnsi"/>
          <w:sz w:val="24"/>
          <w:szCs w:val="24"/>
          <w:lang w:val="el-GR"/>
        </w:rPr>
        <w:t>έχει</w:t>
      </w:r>
      <w:r w:rsidR="00B727D5" w:rsidRPr="00B727D5">
        <w:rPr>
          <w:rFonts w:cstheme="minorHAnsi"/>
          <w:sz w:val="24"/>
          <w:szCs w:val="24"/>
          <w:lang w:val="el-GR"/>
        </w:rPr>
        <w:t xml:space="preserve"> </w:t>
      </w:r>
      <w:r w:rsidR="00B727D5">
        <w:rPr>
          <w:rFonts w:cstheme="minorHAnsi"/>
          <w:sz w:val="24"/>
          <w:szCs w:val="24"/>
          <w:lang w:val="el-GR"/>
        </w:rPr>
        <w:t>αποφασίσει</w:t>
      </w:r>
      <w:r w:rsidR="00B727D5" w:rsidRPr="00B727D5">
        <w:rPr>
          <w:rFonts w:cstheme="minorHAnsi"/>
          <w:sz w:val="24"/>
          <w:szCs w:val="24"/>
          <w:lang w:val="el-GR"/>
        </w:rPr>
        <w:t xml:space="preserve"> </w:t>
      </w:r>
      <w:r w:rsidR="00B727D5">
        <w:rPr>
          <w:rFonts w:cstheme="minorHAnsi"/>
          <w:sz w:val="24"/>
          <w:szCs w:val="24"/>
          <w:lang w:val="el-GR"/>
        </w:rPr>
        <w:t xml:space="preserve">επίσης να δημιουργήσει μια Μονάδα Εσωτερικού Ελέγχου και </w:t>
      </w:r>
      <w:r w:rsidR="00E36091">
        <w:rPr>
          <w:rFonts w:cstheme="minorHAnsi"/>
          <w:sz w:val="24"/>
          <w:szCs w:val="24"/>
          <w:lang w:val="el-GR"/>
        </w:rPr>
        <w:t xml:space="preserve">Δεοντολογίας </w:t>
      </w:r>
      <w:r w:rsidR="00B727D5">
        <w:rPr>
          <w:rFonts w:cstheme="minorHAnsi"/>
          <w:sz w:val="24"/>
          <w:szCs w:val="24"/>
          <w:lang w:val="el-GR"/>
        </w:rPr>
        <w:t>στην Προεδρία</w:t>
      </w:r>
      <w:r w:rsidR="00F8627E" w:rsidRPr="00B727D5">
        <w:rPr>
          <w:rFonts w:cstheme="minorHAnsi"/>
          <w:sz w:val="24"/>
          <w:szCs w:val="24"/>
          <w:lang w:val="el-GR"/>
        </w:rPr>
        <w:t>.</w:t>
      </w:r>
      <w:r w:rsidR="00A5147D" w:rsidRPr="00B727D5">
        <w:rPr>
          <w:rFonts w:cstheme="minorHAnsi"/>
          <w:sz w:val="24"/>
          <w:szCs w:val="24"/>
          <w:lang w:val="el-GR"/>
        </w:rPr>
        <w:t xml:space="preserve"> </w:t>
      </w:r>
      <w:bookmarkEnd w:id="58"/>
      <w:r w:rsidR="00B727D5">
        <w:rPr>
          <w:rFonts w:cstheme="minorHAnsi"/>
          <w:sz w:val="24"/>
          <w:szCs w:val="24"/>
          <w:lang w:val="el-GR"/>
        </w:rPr>
        <w:t>Σύμφωνα</w:t>
      </w:r>
      <w:r w:rsidR="00B727D5" w:rsidRPr="007E527B">
        <w:rPr>
          <w:rFonts w:cstheme="minorHAnsi"/>
          <w:sz w:val="24"/>
          <w:szCs w:val="24"/>
          <w:lang w:val="el-GR"/>
        </w:rPr>
        <w:t xml:space="preserve"> </w:t>
      </w:r>
      <w:r w:rsidR="00B727D5">
        <w:rPr>
          <w:rFonts w:cstheme="minorHAnsi"/>
          <w:sz w:val="24"/>
          <w:szCs w:val="24"/>
          <w:lang w:val="el-GR"/>
        </w:rPr>
        <w:t>με</w:t>
      </w:r>
      <w:r w:rsidR="00B727D5" w:rsidRPr="007E527B">
        <w:rPr>
          <w:rFonts w:cstheme="minorHAnsi"/>
          <w:sz w:val="24"/>
          <w:szCs w:val="24"/>
          <w:lang w:val="el-GR"/>
        </w:rPr>
        <w:t xml:space="preserve"> </w:t>
      </w:r>
      <w:r w:rsidR="00B727D5">
        <w:rPr>
          <w:rFonts w:cstheme="minorHAnsi"/>
          <w:sz w:val="24"/>
          <w:szCs w:val="24"/>
          <w:lang w:val="el-GR"/>
        </w:rPr>
        <w:t>την</w:t>
      </w:r>
      <w:r w:rsidR="00B727D5" w:rsidRPr="007E527B">
        <w:rPr>
          <w:rFonts w:cstheme="minorHAnsi"/>
          <w:sz w:val="24"/>
          <w:szCs w:val="24"/>
          <w:lang w:val="el-GR"/>
        </w:rPr>
        <w:t xml:space="preserve"> </w:t>
      </w:r>
      <w:r w:rsidR="00B727D5">
        <w:rPr>
          <w:rFonts w:cstheme="minorHAnsi"/>
          <w:sz w:val="24"/>
          <w:szCs w:val="24"/>
          <w:lang w:val="el-GR"/>
        </w:rPr>
        <w:t>μακρόχρονη</w:t>
      </w:r>
      <w:r w:rsidR="00B727D5" w:rsidRPr="007E527B">
        <w:rPr>
          <w:rFonts w:cstheme="minorHAnsi"/>
          <w:sz w:val="24"/>
          <w:szCs w:val="24"/>
          <w:lang w:val="el-GR"/>
        </w:rPr>
        <w:t xml:space="preserve"> </w:t>
      </w:r>
      <w:r w:rsidR="00B727D5">
        <w:rPr>
          <w:rFonts w:cstheme="minorHAnsi"/>
          <w:sz w:val="24"/>
          <w:szCs w:val="24"/>
          <w:lang w:val="el-GR"/>
        </w:rPr>
        <w:t>πρακτική</w:t>
      </w:r>
      <w:r w:rsidR="00B727D5" w:rsidRPr="007E527B">
        <w:rPr>
          <w:rFonts w:cstheme="minorHAnsi"/>
          <w:sz w:val="24"/>
          <w:szCs w:val="24"/>
          <w:lang w:val="el-GR"/>
        </w:rPr>
        <w:t xml:space="preserve"> </w:t>
      </w:r>
      <w:r w:rsidR="00B727D5">
        <w:rPr>
          <w:rFonts w:cstheme="minorHAnsi"/>
          <w:sz w:val="24"/>
          <w:szCs w:val="24"/>
          <w:lang w:val="el-GR"/>
        </w:rPr>
        <w:t>της</w:t>
      </w:r>
      <w:r w:rsidR="00A5147D" w:rsidRPr="007E527B">
        <w:rPr>
          <w:rFonts w:cstheme="minorHAnsi"/>
          <w:sz w:val="24"/>
          <w:szCs w:val="24"/>
          <w:lang w:val="el-GR"/>
        </w:rPr>
        <w:t xml:space="preserve">, </w:t>
      </w:r>
      <w:r w:rsidR="00B727D5" w:rsidRPr="00B727D5">
        <w:rPr>
          <w:rFonts w:cstheme="minorHAnsi"/>
          <w:b/>
          <w:sz w:val="24"/>
          <w:szCs w:val="24"/>
          <w:lang w:val="el-GR"/>
        </w:rPr>
        <w:t>η</w:t>
      </w:r>
      <w:r w:rsidR="00B727D5" w:rsidRPr="007E527B">
        <w:rPr>
          <w:rFonts w:cstheme="minorHAnsi"/>
          <w:sz w:val="24"/>
          <w:szCs w:val="24"/>
          <w:lang w:val="el-GR"/>
        </w:rPr>
        <w:t xml:space="preserve"> </w:t>
      </w:r>
      <w:r w:rsidR="00A5147D" w:rsidRPr="00B95983">
        <w:rPr>
          <w:rFonts w:cstheme="minorHAnsi"/>
          <w:b/>
          <w:bCs/>
          <w:sz w:val="24"/>
          <w:szCs w:val="24"/>
        </w:rPr>
        <w:t>GRECO</w:t>
      </w:r>
      <w:r w:rsidR="00A5147D" w:rsidRPr="007E527B">
        <w:rPr>
          <w:rFonts w:cstheme="minorHAnsi"/>
          <w:b/>
          <w:bCs/>
          <w:sz w:val="24"/>
          <w:szCs w:val="24"/>
          <w:lang w:val="el-GR"/>
        </w:rPr>
        <w:t xml:space="preserve"> </w:t>
      </w:r>
      <w:r w:rsidR="001B09F4">
        <w:rPr>
          <w:rFonts w:cstheme="minorHAnsi"/>
          <w:b/>
          <w:bCs/>
          <w:sz w:val="24"/>
          <w:szCs w:val="24"/>
          <w:lang w:val="el-GR"/>
        </w:rPr>
        <w:t>συνιστά</w:t>
      </w:r>
      <w:r w:rsidR="00A5147D" w:rsidRPr="007E527B">
        <w:rPr>
          <w:rFonts w:cstheme="minorHAnsi"/>
          <w:b/>
          <w:bCs/>
          <w:sz w:val="24"/>
          <w:szCs w:val="24"/>
          <w:lang w:val="el-GR"/>
        </w:rPr>
        <w:t xml:space="preserve"> (</w:t>
      </w:r>
      <w:proofErr w:type="spellStart"/>
      <w:r w:rsidR="00A5147D" w:rsidRPr="00B95983">
        <w:rPr>
          <w:rFonts w:cstheme="minorHAnsi"/>
          <w:b/>
          <w:bCs/>
          <w:sz w:val="24"/>
          <w:szCs w:val="24"/>
        </w:rPr>
        <w:t>i</w:t>
      </w:r>
      <w:proofErr w:type="spellEnd"/>
      <w:r w:rsidR="00A5147D" w:rsidRPr="007E527B">
        <w:rPr>
          <w:rFonts w:cstheme="minorHAnsi"/>
          <w:b/>
          <w:bCs/>
          <w:sz w:val="24"/>
          <w:szCs w:val="24"/>
          <w:lang w:val="el-GR"/>
        </w:rPr>
        <w:t xml:space="preserve">) </w:t>
      </w:r>
      <w:r w:rsidR="00B727D5">
        <w:rPr>
          <w:rFonts w:cstheme="minorHAnsi"/>
          <w:b/>
          <w:bCs/>
          <w:sz w:val="24"/>
          <w:szCs w:val="24"/>
          <w:lang w:val="el-GR"/>
        </w:rPr>
        <w:t>να</w:t>
      </w:r>
      <w:r w:rsidR="00B727D5" w:rsidRPr="007E527B">
        <w:rPr>
          <w:rFonts w:cstheme="minorHAnsi"/>
          <w:b/>
          <w:bCs/>
          <w:sz w:val="24"/>
          <w:szCs w:val="24"/>
          <w:lang w:val="el-GR"/>
        </w:rPr>
        <w:t xml:space="preserve"> </w:t>
      </w:r>
      <w:r w:rsidR="00B727D5">
        <w:rPr>
          <w:rFonts w:cstheme="minorHAnsi"/>
          <w:b/>
          <w:bCs/>
          <w:sz w:val="24"/>
          <w:szCs w:val="24"/>
          <w:lang w:val="el-GR"/>
        </w:rPr>
        <w:t>υιοθετηθεί</w:t>
      </w:r>
      <w:r w:rsidR="00B727D5" w:rsidRPr="007E527B">
        <w:rPr>
          <w:rFonts w:cstheme="minorHAnsi"/>
          <w:b/>
          <w:bCs/>
          <w:sz w:val="24"/>
          <w:szCs w:val="24"/>
          <w:lang w:val="el-GR"/>
        </w:rPr>
        <w:t xml:space="preserve"> </w:t>
      </w:r>
      <w:r w:rsidR="00B727D5">
        <w:rPr>
          <w:rFonts w:cstheme="minorHAnsi"/>
          <w:b/>
          <w:bCs/>
          <w:sz w:val="24"/>
          <w:szCs w:val="24"/>
          <w:lang w:val="el-GR"/>
        </w:rPr>
        <w:t>ένας</w:t>
      </w:r>
      <w:r w:rsidR="00B727D5" w:rsidRPr="007E527B">
        <w:rPr>
          <w:rFonts w:cstheme="minorHAnsi"/>
          <w:b/>
          <w:bCs/>
          <w:sz w:val="24"/>
          <w:szCs w:val="24"/>
          <w:lang w:val="el-GR"/>
        </w:rPr>
        <w:t xml:space="preserve"> </w:t>
      </w:r>
      <w:r w:rsidR="00B727D5">
        <w:rPr>
          <w:rFonts w:cstheme="minorHAnsi"/>
          <w:b/>
          <w:bCs/>
          <w:sz w:val="24"/>
          <w:szCs w:val="24"/>
          <w:lang w:val="el-GR"/>
        </w:rPr>
        <w:t>κώδικας</w:t>
      </w:r>
      <w:r w:rsidR="00B727D5" w:rsidRPr="007E527B">
        <w:rPr>
          <w:rFonts w:cstheme="minorHAnsi"/>
          <w:b/>
          <w:bCs/>
          <w:sz w:val="24"/>
          <w:szCs w:val="24"/>
          <w:lang w:val="el-GR"/>
        </w:rPr>
        <w:t xml:space="preserve"> </w:t>
      </w:r>
      <w:r w:rsidR="00CA61E1">
        <w:rPr>
          <w:rFonts w:cstheme="minorHAnsi"/>
          <w:b/>
          <w:bCs/>
          <w:sz w:val="24"/>
          <w:szCs w:val="24"/>
          <w:lang w:val="el-GR"/>
        </w:rPr>
        <w:t xml:space="preserve">δεοντολογίας </w:t>
      </w:r>
      <w:r w:rsidR="007E527B">
        <w:rPr>
          <w:rFonts w:cstheme="minorHAnsi"/>
          <w:b/>
          <w:bCs/>
          <w:color w:val="000000"/>
          <w:sz w:val="24"/>
          <w:szCs w:val="24"/>
          <w:lang w:val="el-GR"/>
        </w:rPr>
        <w:t>για</w:t>
      </w:r>
      <w:r w:rsidR="007E527B" w:rsidRPr="007E527B">
        <w:rPr>
          <w:rFonts w:cstheme="minorHAnsi"/>
          <w:b/>
          <w:bCs/>
          <w:color w:val="000000"/>
          <w:sz w:val="24"/>
          <w:szCs w:val="24"/>
          <w:lang w:val="el-GR"/>
        </w:rPr>
        <w:t xml:space="preserve"> </w:t>
      </w:r>
      <w:r w:rsidR="00CA61E1">
        <w:rPr>
          <w:rFonts w:cstheme="minorHAnsi"/>
          <w:b/>
          <w:bCs/>
          <w:color w:val="000000"/>
          <w:sz w:val="24"/>
          <w:szCs w:val="24"/>
          <w:lang w:val="el-GR"/>
        </w:rPr>
        <w:t xml:space="preserve">τα </w:t>
      </w:r>
      <w:r w:rsidR="007E527B">
        <w:rPr>
          <w:rFonts w:cstheme="minorHAnsi"/>
          <w:b/>
          <w:bCs/>
          <w:color w:val="000000"/>
          <w:sz w:val="24"/>
          <w:szCs w:val="24"/>
          <w:lang w:val="el-GR"/>
        </w:rPr>
        <w:t>άτομα</w:t>
      </w:r>
      <w:r w:rsidR="007E527B" w:rsidRPr="007E527B">
        <w:rPr>
          <w:rFonts w:cstheme="minorHAnsi"/>
          <w:b/>
          <w:bCs/>
          <w:color w:val="000000"/>
          <w:sz w:val="24"/>
          <w:szCs w:val="24"/>
          <w:lang w:val="el-GR"/>
        </w:rPr>
        <w:t xml:space="preserve"> </w:t>
      </w:r>
      <w:r w:rsidR="00CA61E1">
        <w:rPr>
          <w:rFonts w:cstheme="minorHAnsi"/>
          <w:b/>
          <w:bCs/>
          <w:color w:val="000000"/>
          <w:sz w:val="24"/>
          <w:szCs w:val="24"/>
          <w:lang w:val="el-GR"/>
        </w:rPr>
        <w:t xml:space="preserve">που τους έχουν ανατεθεί </w:t>
      </w:r>
      <w:r w:rsidR="00E36091">
        <w:rPr>
          <w:rFonts w:cstheme="minorHAnsi"/>
          <w:b/>
          <w:bCs/>
          <w:color w:val="000000"/>
          <w:sz w:val="24"/>
          <w:szCs w:val="24"/>
          <w:lang w:val="el-GR"/>
        </w:rPr>
        <w:t xml:space="preserve">ανώτατα </w:t>
      </w:r>
      <w:r w:rsidR="007E527B">
        <w:rPr>
          <w:rFonts w:cstheme="minorHAnsi"/>
          <w:b/>
          <w:bCs/>
          <w:color w:val="000000"/>
          <w:sz w:val="24"/>
          <w:szCs w:val="24"/>
          <w:lang w:val="el-GR"/>
        </w:rPr>
        <w:t>εκτελεστικ</w:t>
      </w:r>
      <w:r w:rsidR="00E36091">
        <w:rPr>
          <w:rFonts w:cstheme="minorHAnsi"/>
          <w:b/>
          <w:bCs/>
          <w:color w:val="000000"/>
          <w:sz w:val="24"/>
          <w:szCs w:val="24"/>
          <w:lang w:val="el-GR"/>
        </w:rPr>
        <w:t>ά καθήκοντα</w:t>
      </w:r>
      <w:r w:rsidR="00A5147D" w:rsidRPr="007E527B">
        <w:rPr>
          <w:rFonts w:cstheme="minorHAnsi"/>
          <w:b/>
          <w:bCs/>
          <w:color w:val="000000"/>
          <w:sz w:val="24"/>
          <w:szCs w:val="24"/>
          <w:lang w:val="el-GR"/>
        </w:rPr>
        <w:t xml:space="preserve">, </w:t>
      </w:r>
      <w:r w:rsidR="007E527B">
        <w:rPr>
          <w:rFonts w:cstheme="minorHAnsi"/>
          <w:b/>
          <w:bCs/>
          <w:color w:val="000000"/>
          <w:sz w:val="24"/>
          <w:szCs w:val="24"/>
          <w:lang w:val="el-GR"/>
        </w:rPr>
        <w:t>δημοσιευμένος</w:t>
      </w:r>
      <w:r w:rsidR="007E527B" w:rsidRPr="007E527B">
        <w:rPr>
          <w:rFonts w:cstheme="minorHAnsi"/>
          <w:b/>
          <w:bCs/>
          <w:color w:val="000000"/>
          <w:sz w:val="24"/>
          <w:szCs w:val="24"/>
          <w:lang w:val="el-GR"/>
        </w:rPr>
        <w:t xml:space="preserve"> </w:t>
      </w:r>
      <w:r w:rsidR="007E527B">
        <w:rPr>
          <w:rFonts w:cstheme="minorHAnsi"/>
          <w:b/>
          <w:bCs/>
          <w:color w:val="000000"/>
          <w:sz w:val="24"/>
          <w:szCs w:val="24"/>
          <w:lang w:val="el-GR"/>
        </w:rPr>
        <w:t>και</w:t>
      </w:r>
      <w:r w:rsidR="007E527B" w:rsidRPr="007E527B">
        <w:rPr>
          <w:rFonts w:cstheme="minorHAnsi"/>
          <w:b/>
          <w:bCs/>
          <w:color w:val="000000"/>
          <w:sz w:val="24"/>
          <w:szCs w:val="24"/>
          <w:lang w:val="el-GR"/>
        </w:rPr>
        <w:t xml:space="preserve"> </w:t>
      </w:r>
      <w:r w:rsidR="007E527B">
        <w:rPr>
          <w:rFonts w:cstheme="minorHAnsi"/>
          <w:b/>
          <w:bCs/>
          <w:color w:val="000000"/>
          <w:sz w:val="24"/>
          <w:szCs w:val="24"/>
          <w:lang w:val="el-GR"/>
        </w:rPr>
        <w:t>συμπληρωμένος</w:t>
      </w:r>
      <w:r w:rsidR="007E527B" w:rsidRPr="007E527B">
        <w:rPr>
          <w:rFonts w:cstheme="minorHAnsi"/>
          <w:b/>
          <w:bCs/>
          <w:color w:val="000000"/>
          <w:sz w:val="24"/>
          <w:szCs w:val="24"/>
          <w:lang w:val="el-GR"/>
        </w:rPr>
        <w:t xml:space="preserve"> </w:t>
      </w:r>
      <w:r w:rsidR="007E527B">
        <w:rPr>
          <w:rFonts w:cstheme="minorHAnsi"/>
          <w:b/>
          <w:bCs/>
          <w:color w:val="000000"/>
          <w:sz w:val="24"/>
          <w:szCs w:val="24"/>
          <w:lang w:val="el-GR"/>
        </w:rPr>
        <w:t>με</w:t>
      </w:r>
      <w:r w:rsidR="007E527B" w:rsidRPr="007E527B">
        <w:rPr>
          <w:rFonts w:cstheme="minorHAnsi"/>
          <w:b/>
          <w:bCs/>
          <w:color w:val="000000"/>
          <w:sz w:val="24"/>
          <w:szCs w:val="24"/>
          <w:lang w:val="el-GR"/>
        </w:rPr>
        <w:t xml:space="preserve"> </w:t>
      </w:r>
      <w:r w:rsidR="005A3519">
        <w:rPr>
          <w:rFonts w:cstheme="minorHAnsi"/>
          <w:b/>
          <w:bCs/>
          <w:color w:val="000000"/>
          <w:sz w:val="24"/>
          <w:szCs w:val="24"/>
          <w:lang w:val="el-GR"/>
        </w:rPr>
        <w:t>ειδική</w:t>
      </w:r>
      <w:r w:rsidR="007E527B" w:rsidRPr="007E527B">
        <w:rPr>
          <w:rFonts w:cstheme="minorHAnsi"/>
          <w:b/>
          <w:bCs/>
          <w:color w:val="000000"/>
          <w:sz w:val="24"/>
          <w:szCs w:val="24"/>
          <w:lang w:val="el-GR"/>
        </w:rPr>
        <w:t xml:space="preserve"> </w:t>
      </w:r>
      <w:r w:rsidR="007E527B">
        <w:rPr>
          <w:rFonts w:cstheme="minorHAnsi"/>
          <w:b/>
          <w:bCs/>
          <w:color w:val="000000"/>
          <w:sz w:val="24"/>
          <w:szCs w:val="24"/>
          <w:lang w:val="el-GR"/>
        </w:rPr>
        <w:t>καθοδήγηση</w:t>
      </w:r>
      <w:r w:rsidR="00A5147D" w:rsidRPr="007E527B">
        <w:rPr>
          <w:rFonts w:cstheme="minorHAnsi"/>
          <w:b/>
          <w:bCs/>
          <w:color w:val="000000"/>
          <w:sz w:val="24"/>
          <w:szCs w:val="24"/>
          <w:lang w:val="el-GR"/>
        </w:rPr>
        <w:t xml:space="preserve"> </w:t>
      </w:r>
      <w:r w:rsidR="00CA61E1">
        <w:rPr>
          <w:rFonts w:cstheme="minorHAnsi"/>
          <w:b/>
          <w:bCs/>
          <w:color w:val="000000"/>
          <w:sz w:val="24"/>
          <w:szCs w:val="24"/>
          <w:lang w:val="el-GR"/>
        </w:rPr>
        <w:t xml:space="preserve">αναφορικά με τις </w:t>
      </w:r>
      <w:r w:rsidR="007E527B">
        <w:rPr>
          <w:rFonts w:cstheme="minorHAnsi"/>
          <w:b/>
          <w:bCs/>
          <w:color w:val="000000"/>
          <w:sz w:val="24"/>
          <w:szCs w:val="24"/>
          <w:lang w:val="el-GR"/>
        </w:rPr>
        <w:t>συγκρούσεις</w:t>
      </w:r>
      <w:r w:rsidR="007E527B" w:rsidRPr="007E527B">
        <w:rPr>
          <w:rFonts w:cstheme="minorHAnsi"/>
          <w:b/>
          <w:bCs/>
          <w:color w:val="000000"/>
          <w:sz w:val="24"/>
          <w:szCs w:val="24"/>
          <w:lang w:val="el-GR"/>
        </w:rPr>
        <w:t xml:space="preserve"> </w:t>
      </w:r>
      <w:r w:rsidR="007E527B">
        <w:rPr>
          <w:rFonts w:cstheme="minorHAnsi"/>
          <w:b/>
          <w:bCs/>
          <w:color w:val="000000"/>
          <w:sz w:val="24"/>
          <w:szCs w:val="24"/>
          <w:lang w:val="el-GR"/>
        </w:rPr>
        <w:t>συμφερόντων</w:t>
      </w:r>
      <w:r w:rsidR="00A5147D" w:rsidRPr="007E527B">
        <w:rPr>
          <w:rFonts w:cstheme="minorHAnsi"/>
          <w:b/>
          <w:bCs/>
          <w:color w:val="000000"/>
          <w:sz w:val="24"/>
          <w:szCs w:val="24"/>
          <w:lang w:val="el-GR"/>
        </w:rPr>
        <w:t xml:space="preserve"> </w:t>
      </w:r>
      <w:r w:rsidR="007E527B">
        <w:rPr>
          <w:rFonts w:cstheme="minorHAnsi"/>
          <w:b/>
          <w:bCs/>
          <w:color w:val="000000"/>
          <w:sz w:val="24"/>
          <w:szCs w:val="24"/>
          <w:lang w:val="el-GR"/>
        </w:rPr>
        <w:t>και</w:t>
      </w:r>
      <w:r w:rsidR="007E527B" w:rsidRPr="007E527B">
        <w:rPr>
          <w:rFonts w:cstheme="minorHAnsi"/>
          <w:b/>
          <w:bCs/>
          <w:color w:val="000000"/>
          <w:sz w:val="24"/>
          <w:szCs w:val="24"/>
          <w:lang w:val="el-GR"/>
        </w:rPr>
        <w:t xml:space="preserve"> </w:t>
      </w:r>
      <w:r w:rsidR="007E527B">
        <w:rPr>
          <w:rFonts w:cstheme="minorHAnsi"/>
          <w:b/>
          <w:bCs/>
          <w:color w:val="000000"/>
          <w:sz w:val="24"/>
          <w:szCs w:val="24"/>
          <w:lang w:val="el-GR"/>
        </w:rPr>
        <w:t>άλλα</w:t>
      </w:r>
      <w:r w:rsidR="007E527B" w:rsidRPr="007E527B">
        <w:rPr>
          <w:rFonts w:cstheme="minorHAnsi"/>
          <w:b/>
          <w:bCs/>
          <w:color w:val="000000"/>
          <w:sz w:val="24"/>
          <w:szCs w:val="24"/>
          <w:lang w:val="el-GR"/>
        </w:rPr>
        <w:t xml:space="preserve"> </w:t>
      </w:r>
      <w:r w:rsidR="007E527B">
        <w:rPr>
          <w:rFonts w:cstheme="minorHAnsi"/>
          <w:b/>
          <w:bCs/>
          <w:color w:val="000000"/>
          <w:sz w:val="24"/>
          <w:szCs w:val="24"/>
          <w:lang w:val="el-GR"/>
        </w:rPr>
        <w:t>σχετικά</w:t>
      </w:r>
      <w:r w:rsidR="007E527B" w:rsidRPr="007E527B">
        <w:rPr>
          <w:rFonts w:cstheme="minorHAnsi"/>
          <w:b/>
          <w:bCs/>
          <w:color w:val="000000"/>
          <w:sz w:val="24"/>
          <w:szCs w:val="24"/>
          <w:lang w:val="el-GR"/>
        </w:rPr>
        <w:t xml:space="preserve"> </w:t>
      </w:r>
      <w:r w:rsidR="007E527B">
        <w:rPr>
          <w:rFonts w:cstheme="minorHAnsi"/>
          <w:b/>
          <w:bCs/>
          <w:color w:val="000000"/>
          <w:sz w:val="24"/>
          <w:szCs w:val="24"/>
          <w:lang w:val="el-GR"/>
        </w:rPr>
        <w:t>θέματα</w:t>
      </w:r>
      <w:r w:rsidR="007E527B" w:rsidRPr="007E527B">
        <w:rPr>
          <w:rFonts w:cstheme="minorHAnsi"/>
          <w:b/>
          <w:bCs/>
          <w:color w:val="000000"/>
          <w:sz w:val="24"/>
          <w:szCs w:val="24"/>
          <w:lang w:val="el-GR"/>
        </w:rPr>
        <w:t xml:space="preserve"> </w:t>
      </w:r>
      <w:r w:rsidR="007E527B">
        <w:rPr>
          <w:rFonts w:cstheme="minorHAnsi"/>
          <w:b/>
          <w:bCs/>
          <w:color w:val="000000"/>
          <w:sz w:val="24"/>
          <w:szCs w:val="24"/>
          <w:lang w:val="el-GR"/>
        </w:rPr>
        <w:t>ακεραιότητας</w:t>
      </w:r>
      <w:r w:rsidR="00A5147D" w:rsidRPr="007E527B">
        <w:rPr>
          <w:rFonts w:cstheme="minorHAnsi"/>
          <w:b/>
          <w:bCs/>
          <w:color w:val="000000"/>
          <w:sz w:val="24"/>
          <w:szCs w:val="24"/>
          <w:lang w:val="el-GR"/>
        </w:rPr>
        <w:t xml:space="preserve"> (</w:t>
      </w:r>
      <w:r w:rsidR="007E527B">
        <w:rPr>
          <w:rFonts w:cstheme="minorHAnsi"/>
          <w:b/>
          <w:bCs/>
          <w:color w:val="000000"/>
          <w:sz w:val="24"/>
          <w:szCs w:val="24"/>
          <w:lang w:val="el-GR"/>
        </w:rPr>
        <w:t xml:space="preserve">όπως την </w:t>
      </w:r>
      <w:r w:rsidR="00E36091">
        <w:rPr>
          <w:rFonts w:cstheme="minorHAnsi"/>
          <w:b/>
          <w:bCs/>
          <w:color w:val="000000"/>
          <w:sz w:val="24"/>
          <w:szCs w:val="24"/>
          <w:lang w:val="el-GR"/>
        </w:rPr>
        <w:t xml:space="preserve">πρόληψη </w:t>
      </w:r>
      <w:r w:rsidR="007E527B">
        <w:rPr>
          <w:rFonts w:cstheme="minorHAnsi"/>
          <w:b/>
          <w:bCs/>
          <w:color w:val="000000"/>
          <w:sz w:val="24"/>
          <w:szCs w:val="24"/>
          <w:lang w:val="el-GR"/>
        </w:rPr>
        <w:t>της σύγκρουσης συμφερόντων</w:t>
      </w:r>
      <w:r w:rsidR="00A5147D" w:rsidRPr="007E527B">
        <w:rPr>
          <w:rFonts w:cstheme="minorHAnsi"/>
          <w:b/>
          <w:bCs/>
          <w:sz w:val="24"/>
          <w:szCs w:val="24"/>
          <w:lang w:val="el-GR"/>
        </w:rPr>
        <w:t xml:space="preserve">, </w:t>
      </w:r>
      <w:r w:rsidR="007E527B">
        <w:rPr>
          <w:rFonts w:cstheme="minorHAnsi"/>
          <w:b/>
          <w:bCs/>
          <w:sz w:val="24"/>
          <w:szCs w:val="24"/>
          <w:lang w:val="el-GR"/>
        </w:rPr>
        <w:t>δώρα</w:t>
      </w:r>
      <w:r w:rsidR="00A5147D" w:rsidRPr="007E527B">
        <w:rPr>
          <w:rFonts w:cstheme="minorHAnsi"/>
          <w:b/>
          <w:bCs/>
          <w:sz w:val="24"/>
          <w:szCs w:val="24"/>
          <w:lang w:val="el-GR"/>
        </w:rPr>
        <w:t xml:space="preserve">, </w:t>
      </w:r>
      <w:r w:rsidR="007E527B">
        <w:rPr>
          <w:rFonts w:cstheme="minorHAnsi"/>
          <w:b/>
          <w:bCs/>
          <w:sz w:val="24"/>
          <w:szCs w:val="24"/>
          <w:lang w:val="el-GR"/>
        </w:rPr>
        <w:t>φιλοξενία</w:t>
      </w:r>
      <w:r w:rsidR="00A5147D" w:rsidRPr="007E527B">
        <w:rPr>
          <w:rFonts w:cstheme="minorHAnsi"/>
          <w:b/>
          <w:bCs/>
          <w:sz w:val="24"/>
          <w:szCs w:val="24"/>
          <w:lang w:val="el-GR"/>
        </w:rPr>
        <w:t xml:space="preserve"> </w:t>
      </w:r>
      <w:r w:rsidR="007E527B">
        <w:rPr>
          <w:rFonts w:cstheme="minorHAnsi"/>
          <w:b/>
          <w:bCs/>
          <w:sz w:val="24"/>
          <w:szCs w:val="24"/>
          <w:lang w:val="el-GR"/>
        </w:rPr>
        <w:t>και άλλα πλεονεκτήματα</w:t>
      </w:r>
      <w:r w:rsidR="00A5147D" w:rsidRPr="007E527B">
        <w:rPr>
          <w:rFonts w:cstheme="minorHAnsi"/>
          <w:b/>
          <w:bCs/>
          <w:sz w:val="24"/>
          <w:szCs w:val="24"/>
          <w:lang w:val="el-GR"/>
        </w:rPr>
        <w:t xml:space="preserve">, </w:t>
      </w:r>
      <w:r w:rsidR="007E527B">
        <w:rPr>
          <w:rFonts w:cstheme="minorHAnsi"/>
          <w:b/>
          <w:bCs/>
          <w:sz w:val="24"/>
          <w:szCs w:val="24"/>
          <w:lang w:val="el-GR"/>
        </w:rPr>
        <w:t>επαφές τρίτων μερών</w:t>
      </w:r>
      <w:r w:rsidR="00702DE3" w:rsidRPr="007E527B">
        <w:rPr>
          <w:rFonts w:cstheme="minorHAnsi"/>
          <w:b/>
          <w:bCs/>
          <w:sz w:val="24"/>
          <w:szCs w:val="24"/>
          <w:lang w:val="el-GR"/>
        </w:rPr>
        <w:t xml:space="preserve">, </w:t>
      </w:r>
      <w:r w:rsidR="007E527B">
        <w:rPr>
          <w:rFonts w:cstheme="minorHAnsi"/>
          <w:b/>
          <w:bCs/>
          <w:sz w:val="24"/>
          <w:szCs w:val="24"/>
          <w:lang w:val="el-GR"/>
        </w:rPr>
        <w:t>πρόσθετες δραστηριότητες</w:t>
      </w:r>
      <w:r w:rsidR="00A5147D" w:rsidRPr="007E527B">
        <w:rPr>
          <w:rFonts w:cstheme="minorHAnsi"/>
          <w:b/>
          <w:bCs/>
          <w:sz w:val="24"/>
          <w:szCs w:val="24"/>
          <w:lang w:val="el-GR"/>
        </w:rPr>
        <w:t xml:space="preserve"> </w:t>
      </w:r>
      <w:r w:rsidR="007E527B">
        <w:rPr>
          <w:rFonts w:cstheme="minorHAnsi"/>
          <w:b/>
          <w:bCs/>
          <w:sz w:val="24"/>
          <w:szCs w:val="24"/>
          <w:lang w:val="el-GR"/>
        </w:rPr>
        <w:t>και καταστάσεις</w:t>
      </w:r>
      <w:r w:rsidR="00301FCD">
        <w:rPr>
          <w:rFonts w:cstheme="minorHAnsi"/>
          <w:b/>
          <w:bCs/>
          <w:sz w:val="24"/>
          <w:szCs w:val="24"/>
          <w:lang w:val="el-GR"/>
        </w:rPr>
        <w:t xml:space="preserve"> μετά την </w:t>
      </w:r>
      <w:proofErr w:type="spellStart"/>
      <w:r w:rsidR="00301FCD">
        <w:rPr>
          <w:rFonts w:cstheme="minorHAnsi"/>
          <w:b/>
          <w:bCs/>
          <w:sz w:val="24"/>
          <w:szCs w:val="24"/>
          <w:lang w:val="el-GR"/>
        </w:rPr>
        <w:t>εργοδότηση</w:t>
      </w:r>
      <w:proofErr w:type="spellEnd"/>
      <w:r w:rsidR="00A5147D" w:rsidRPr="007E527B">
        <w:rPr>
          <w:rFonts w:cstheme="minorHAnsi"/>
          <w:b/>
          <w:bCs/>
          <w:sz w:val="24"/>
          <w:szCs w:val="24"/>
          <w:lang w:val="el-GR"/>
        </w:rPr>
        <w:t xml:space="preserve">, </w:t>
      </w:r>
      <w:r w:rsidR="00CA61E1">
        <w:rPr>
          <w:rFonts w:cstheme="minorHAnsi"/>
          <w:b/>
          <w:bCs/>
          <w:sz w:val="24"/>
          <w:szCs w:val="24"/>
          <w:lang w:val="el-GR"/>
        </w:rPr>
        <w:t xml:space="preserve">υποχρεώσεις </w:t>
      </w:r>
      <w:r w:rsidR="00301FCD">
        <w:rPr>
          <w:rFonts w:cstheme="minorHAnsi"/>
          <w:b/>
          <w:bCs/>
          <w:sz w:val="24"/>
          <w:szCs w:val="24"/>
          <w:lang w:val="el-GR"/>
        </w:rPr>
        <w:t>αποκ</w:t>
      </w:r>
      <w:r w:rsidR="00CA61E1">
        <w:rPr>
          <w:rFonts w:cstheme="minorHAnsi"/>
          <w:b/>
          <w:bCs/>
          <w:sz w:val="24"/>
          <w:szCs w:val="24"/>
          <w:lang w:val="el-GR"/>
        </w:rPr>
        <w:t>άλυψης</w:t>
      </w:r>
      <w:r w:rsidR="00A5147D" w:rsidRPr="007E527B">
        <w:rPr>
          <w:rFonts w:cstheme="minorHAnsi"/>
          <w:b/>
          <w:bCs/>
          <w:sz w:val="24"/>
          <w:szCs w:val="24"/>
          <w:lang w:val="el-GR"/>
        </w:rPr>
        <w:t xml:space="preserve">, </w:t>
      </w:r>
      <w:r w:rsidR="00301FCD">
        <w:rPr>
          <w:rFonts w:cstheme="minorHAnsi"/>
          <w:b/>
          <w:bCs/>
          <w:sz w:val="24"/>
          <w:szCs w:val="24"/>
          <w:lang w:val="el-GR"/>
        </w:rPr>
        <w:t>την μεταχείρ</w:t>
      </w:r>
      <w:r w:rsidR="00CA61E1">
        <w:rPr>
          <w:rFonts w:cstheme="minorHAnsi"/>
          <w:b/>
          <w:bCs/>
          <w:sz w:val="24"/>
          <w:szCs w:val="24"/>
          <w:lang w:val="el-GR"/>
        </w:rPr>
        <w:t>ι</w:t>
      </w:r>
      <w:r w:rsidR="00301FCD">
        <w:rPr>
          <w:rFonts w:cstheme="minorHAnsi"/>
          <w:b/>
          <w:bCs/>
          <w:sz w:val="24"/>
          <w:szCs w:val="24"/>
          <w:lang w:val="el-GR"/>
        </w:rPr>
        <w:t>ση εμπιστευτικών πληροφοριών</w:t>
      </w:r>
      <w:r w:rsidR="00A5147D" w:rsidRPr="007E527B">
        <w:rPr>
          <w:rFonts w:cstheme="minorHAnsi"/>
          <w:b/>
          <w:bCs/>
          <w:color w:val="000000"/>
          <w:sz w:val="24"/>
          <w:szCs w:val="24"/>
          <w:lang w:val="el-GR"/>
        </w:rPr>
        <w:t xml:space="preserve">), </w:t>
      </w:r>
      <w:r w:rsidR="00301FCD">
        <w:rPr>
          <w:rFonts w:cstheme="minorHAnsi"/>
          <w:b/>
          <w:bCs/>
          <w:color w:val="000000"/>
          <w:sz w:val="24"/>
          <w:szCs w:val="24"/>
          <w:lang w:val="el-GR"/>
        </w:rPr>
        <w:t>και</w:t>
      </w:r>
      <w:r w:rsidR="00A5147D" w:rsidRPr="007E527B">
        <w:rPr>
          <w:rFonts w:cstheme="minorHAnsi"/>
          <w:b/>
          <w:bCs/>
          <w:color w:val="000000"/>
          <w:sz w:val="24"/>
          <w:szCs w:val="24"/>
          <w:lang w:val="el-GR"/>
        </w:rPr>
        <w:t xml:space="preserve"> (</w:t>
      </w:r>
      <w:r w:rsidR="00A5147D" w:rsidRPr="004E251E">
        <w:rPr>
          <w:rFonts w:cstheme="minorHAnsi"/>
          <w:b/>
          <w:bCs/>
          <w:color w:val="000000"/>
          <w:sz w:val="24"/>
          <w:szCs w:val="24"/>
        </w:rPr>
        <w:t>ii</w:t>
      </w:r>
      <w:r w:rsidR="00A5147D" w:rsidRPr="007E527B">
        <w:rPr>
          <w:rFonts w:cstheme="minorHAnsi"/>
          <w:b/>
          <w:bCs/>
          <w:color w:val="000000"/>
          <w:sz w:val="24"/>
          <w:szCs w:val="24"/>
          <w:lang w:val="el-GR"/>
        </w:rPr>
        <w:t xml:space="preserve">) </w:t>
      </w:r>
      <w:r w:rsidR="00301FCD">
        <w:rPr>
          <w:rFonts w:cstheme="minorHAnsi"/>
          <w:b/>
          <w:bCs/>
          <w:color w:val="000000"/>
          <w:sz w:val="24"/>
          <w:szCs w:val="24"/>
          <w:lang w:val="el-GR"/>
        </w:rPr>
        <w:t>ότι πρέπει να συνδυασθεί με ένα αξιόπιστο και αποτελεσματικό μηχανισμό</w:t>
      </w:r>
      <w:r w:rsidR="00A5147D" w:rsidRPr="007E527B">
        <w:rPr>
          <w:rFonts w:cstheme="minorHAnsi"/>
          <w:b/>
          <w:bCs/>
          <w:color w:val="000000"/>
          <w:sz w:val="24"/>
          <w:szCs w:val="24"/>
          <w:lang w:val="el-GR"/>
        </w:rPr>
        <w:t xml:space="preserve"> </w:t>
      </w:r>
      <w:r w:rsidR="00301FCD">
        <w:rPr>
          <w:rFonts w:cstheme="minorHAnsi"/>
          <w:b/>
          <w:bCs/>
          <w:color w:val="000000"/>
          <w:sz w:val="24"/>
          <w:szCs w:val="24"/>
          <w:lang w:val="el-GR"/>
        </w:rPr>
        <w:t>επίβλεψης και κυρώσεων</w:t>
      </w:r>
      <w:r w:rsidR="00A5147D" w:rsidRPr="007E527B">
        <w:rPr>
          <w:rFonts w:cstheme="minorHAnsi"/>
          <w:b/>
          <w:bCs/>
          <w:color w:val="000000"/>
          <w:sz w:val="24"/>
          <w:szCs w:val="24"/>
          <w:lang w:val="el-GR"/>
        </w:rPr>
        <w:t>.</w:t>
      </w:r>
    </w:p>
    <w:p w14:paraId="002C3644" w14:textId="77777777" w:rsidR="00A5147D" w:rsidRPr="007E527B" w:rsidRDefault="00A5147D" w:rsidP="00A5147D">
      <w:pPr>
        <w:tabs>
          <w:tab w:val="left" w:pos="709"/>
        </w:tabs>
        <w:rPr>
          <w:rFonts w:cstheme="minorHAnsi"/>
          <w:sz w:val="24"/>
          <w:szCs w:val="24"/>
          <w:lang w:val="el-GR"/>
        </w:rPr>
      </w:pPr>
    </w:p>
    <w:p w14:paraId="3B2A8540" w14:textId="208768C0" w:rsidR="00A5147D" w:rsidRPr="004E251E" w:rsidRDefault="00301FCD" w:rsidP="00A5147D">
      <w:pPr>
        <w:pStyle w:val="Heading3"/>
        <w:spacing w:before="0"/>
        <w:rPr>
          <w:rFonts w:asciiTheme="minorHAnsi" w:hAnsiTheme="minorHAnsi" w:cstheme="minorHAnsi"/>
          <w:b w:val="0"/>
          <w:bCs w:val="0"/>
          <w:i/>
          <w:iCs/>
          <w:color w:val="auto"/>
          <w:sz w:val="24"/>
          <w:szCs w:val="24"/>
        </w:rPr>
      </w:pPr>
      <w:bookmarkStart w:id="59" w:name="_Toc479580428"/>
      <w:bookmarkStart w:id="60" w:name="_Toc117264347"/>
      <w:bookmarkStart w:id="61" w:name="_Toc136879345"/>
      <w:r>
        <w:rPr>
          <w:rFonts w:asciiTheme="minorHAnsi" w:hAnsiTheme="minorHAnsi" w:cstheme="minorHAnsi"/>
          <w:b w:val="0"/>
          <w:bCs w:val="0"/>
          <w:i/>
          <w:iCs/>
          <w:color w:val="auto"/>
          <w:sz w:val="24"/>
          <w:szCs w:val="24"/>
          <w:lang w:val="el-GR"/>
        </w:rPr>
        <w:t>Ευαισθητοποίηση</w:t>
      </w:r>
      <w:bookmarkEnd w:id="59"/>
      <w:bookmarkEnd w:id="60"/>
      <w:bookmarkEnd w:id="61"/>
    </w:p>
    <w:p w14:paraId="6946CB14" w14:textId="77777777" w:rsidR="00A5147D" w:rsidRPr="004E251E" w:rsidRDefault="00A5147D" w:rsidP="00A5147D">
      <w:pPr>
        <w:keepNext/>
        <w:rPr>
          <w:rFonts w:cstheme="minorHAnsi"/>
          <w:sz w:val="24"/>
          <w:szCs w:val="24"/>
        </w:rPr>
      </w:pPr>
    </w:p>
    <w:p w14:paraId="5BE9BCE5" w14:textId="6FF33BBF" w:rsidR="00A5147D" w:rsidRPr="006D7DB4" w:rsidRDefault="00B33076" w:rsidP="00A5147D">
      <w:pPr>
        <w:keepNext/>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Επί της αρχής</w:t>
      </w:r>
      <w:r w:rsidR="00A5147D" w:rsidRPr="00301FCD">
        <w:rPr>
          <w:rFonts w:cstheme="minorHAnsi"/>
          <w:sz w:val="24"/>
          <w:szCs w:val="24"/>
          <w:lang w:val="el-GR"/>
        </w:rPr>
        <w:t xml:space="preserve">, </w:t>
      </w:r>
      <w:r>
        <w:rPr>
          <w:rFonts w:cstheme="minorHAnsi"/>
          <w:sz w:val="24"/>
          <w:szCs w:val="24"/>
          <w:lang w:val="el-GR"/>
        </w:rPr>
        <w:t xml:space="preserve">οι </w:t>
      </w:r>
      <w:r>
        <w:rPr>
          <w:rFonts w:cstheme="minorHAnsi"/>
          <w:sz w:val="24"/>
          <w:szCs w:val="24"/>
          <w:lang w:val="en-US"/>
        </w:rPr>
        <w:t>PTEFs</w:t>
      </w:r>
      <w:r w:rsidRPr="002B7C4B">
        <w:rPr>
          <w:rFonts w:cstheme="minorHAnsi"/>
          <w:sz w:val="24"/>
          <w:szCs w:val="24"/>
          <w:lang w:val="el-GR"/>
        </w:rPr>
        <w:t xml:space="preserve"> </w:t>
      </w:r>
      <w:r w:rsidR="00301FCD">
        <w:rPr>
          <w:rFonts w:cstheme="minorHAnsi"/>
          <w:sz w:val="24"/>
          <w:szCs w:val="24"/>
          <w:lang w:val="el-GR"/>
        </w:rPr>
        <w:t>μπορούν</w:t>
      </w:r>
      <w:r w:rsidR="00301FCD" w:rsidRPr="00301FCD">
        <w:rPr>
          <w:rFonts w:cstheme="minorHAnsi"/>
          <w:sz w:val="24"/>
          <w:szCs w:val="24"/>
          <w:lang w:val="el-GR"/>
        </w:rPr>
        <w:t xml:space="preserve"> </w:t>
      </w:r>
      <w:r w:rsidR="00301FCD">
        <w:rPr>
          <w:rFonts w:cstheme="minorHAnsi"/>
          <w:sz w:val="24"/>
          <w:szCs w:val="24"/>
          <w:lang w:val="el-GR"/>
        </w:rPr>
        <w:t>να</w:t>
      </w:r>
      <w:r w:rsidR="00301FCD" w:rsidRPr="00301FCD">
        <w:rPr>
          <w:rFonts w:cstheme="minorHAnsi"/>
          <w:sz w:val="24"/>
          <w:szCs w:val="24"/>
          <w:lang w:val="el-GR"/>
        </w:rPr>
        <w:t xml:space="preserve"> </w:t>
      </w:r>
      <w:r w:rsidR="00301FCD">
        <w:rPr>
          <w:rFonts w:cstheme="minorHAnsi"/>
          <w:sz w:val="24"/>
          <w:szCs w:val="24"/>
          <w:lang w:val="el-GR"/>
        </w:rPr>
        <w:t>αποκτήσουν</w:t>
      </w:r>
      <w:r w:rsidR="00301FCD" w:rsidRPr="00301FCD">
        <w:rPr>
          <w:rFonts w:cstheme="minorHAnsi"/>
          <w:sz w:val="24"/>
          <w:szCs w:val="24"/>
          <w:lang w:val="el-GR"/>
        </w:rPr>
        <w:t xml:space="preserve"> </w:t>
      </w:r>
      <w:r w:rsidR="00301FCD">
        <w:rPr>
          <w:rFonts w:cstheme="minorHAnsi"/>
          <w:sz w:val="24"/>
          <w:szCs w:val="24"/>
          <w:lang w:val="el-GR"/>
        </w:rPr>
        <w:t>περισσότερες</w:t>
      </w:r>
      <w:r w:rsidR="00301FCD" w:rsidRPr="00301FCD">
        <w:rPr>
          <w:rFonts w:cstheme="minorHAnsi"/>
          <w:sz w:val="24"/>
          <w:szCs w:val="24"/>
          <w:lang w:val="el-GR"/>
        </w:rPr>
        <w:t xml:space="preserve"> </w:t>
      </w:r>
      <w:r w:rsidR="00301FCD">
        <w:rPr>
          <w:rFonts w:cstheme="minorHAnsi"/>
          <w:sz w:val="24"/>
          <w:szCs w:val="24"/>
          <w:lang w:val="el-GR"/>
        </w:rPr>
        <w:t>πληροφορίες</w:t>
      </w:r>
      <w:r w:rsidR="00301FCD" w:rsidRPr="00301FCD">
        <w:rPr>
          <w:rFonts w:cstheme="minorHAnsi"/>
          <w:sz w:val="24"/>
          <w:szCs w:val="24"/>
          <w:lang w:val="el-GR"/>
        </w:rPr>
        <w:t xml:space="preserve"> </w:t>
      </w:r>
      <w:r w:rsidR="00301FCD">
        <w:rPr>
          <w:rFonts w:cstheme="minorHAnsi"/>
          <w:sz w:val="24"/>
          <w:szCs w:val="24"/>
          <w:lang w:val="el-GR"/>
        </w:rPr>
        <w:t>και</w:t>
      </w:r>
      <w:r w:rsidR="00301FCD" w:rsidRPr="00301FCD">
        <w:rPr>
          <w:rFonts w:cstheme="minorHAnsi"/>
          <w:sz w:val="24"/>
          <w:szCs w:val="24"/>
          <w:lang w:val="el-GR"/>
        </w:rPr>
        <w:t xml:space="preserve"> </w:t>
      </w:r>
      <w:r w:rsidR="00301FCD">
        <w:rPr>
          <w:rFonts w:cstheme="minorHAnsi"/>
          <w:sz w:val="24"/>
          <w:szCs w:val="24"/>
          <w:lang w:val="el-GR"/>
        </w:rPr>
        <w:t>καθοδήγηση</w:t>
      </w:r>
      <w:r w:rsidR="00301FCD" w:rsidRPr="00301FCD">
        <w:rPr>
          <w:rFonts w:cstheme="minorHAnsi"/>
          <w:sz w:val="24"/>
          <w:szCs w:val="24"/>
          <w:lang w:val="el-GR"/>
        </w:rPr>
        <w:t xml:space="preserve"> </w:t>
      </w:r>
      <w:r w:rsidR="00301FCD">
        <w:rPr>
          <w:rFonts w:cstheme="minorHAnsi"/>
          <w:sz w:val="24"/>
          <w:szCs w:val="24"/>
          <w:lang w:val="el-GR"/>
        </w:rPr>
        <w:t>για</w:t>
      </w:r>
      <w:r w:rsidR="00301FCD" w:rsidRPr="00301FCD">
        <w:rPr>
          <w:rFonts w:cstheme="minorHAnsi"/>
          <w:sz w:val="24"/>
          <w:szCs w:val="24"/>
          <w:lang w:val="el-GR"/>
        </w:rPr>
        <w:t xml:space="preserve"> </w:t>
      </w:r>
      <w:r w:rsidR="00301FCD">
        <w:rPr>
          <w:rFonts w:cstheme="minorHAnsi"/>
          <w:sz w:val="24"/>
          <w:szCs w:val="24"/>
          <w:lang w:val="el-GR"/>
        </w:rPr>
        <w:t>τη</w:t>
      </w:r>
      <w:r w:rsidR="00301FCD" w:rsidRPr="00301FCD">
        <w:rPr>
          <w:rFonts w:cstheme="minorHAnsi"/>
          <w:sz w:val="24"/>
          <w:szCs w:val="24"/>
          <w:lang w:val="el-GR"/>
        </w:rPr>
        <w:t xml:space="preserve"> </w:t>
      </w:r>
      <w:r>
        <w:rPr>
          <w:rFonts w:cstheme="minorHAnsi"/>
          <w:sz w:val="24"/>
          <w:szCs w:val="24"/>
          <w:lang w:val="el-GR"/>
        </w:rPr>
        <w:t xml:space="preserve">δεοντολογία </w:t>
      </w:r>
      <w:r w:rsidR="00301FCD">
        <w:rPr>
          <w:rFonts w:cstheme="minorHAnsi"/>
          <w:sz w:val="24"/>
          <w:szCs w:val="24"/>
          <w:lang w:val="el-GR"/>
        </w:rPr>
        <w:t>από</w:t>
      </w:r>
      <w:r w:rsidR="00301FCD" w:rsidRPr="00301FCD">
        <w:rPr>
          <w:rFonts w:cstheme="minorHAnsi"/>
          <w:sz w:val="24"/>
          <w:szCs w:val="24"/>
          <w:lang w:val="el-GR"/>
        </w:rPr>
        <w:t xml:space="preserve"> </w:t>
      </w:r>
      <w:r w:rsidR="00301FCD">
        <w:rPr>
          <w:rFonts w:cstheme="minorHAnsi"/>
          <w:sz w:val="24"/>
          <w:szCs w:val="24"/>
          <w:lang w:val="el-GR"/>
        </w:rPr>
        <w:t>την</w:t>
      </w:r>
      <w:r w:rsidR="00301FCD" w:rsidRPr="00301FCD">
        <w:rPr>
          <w:rFonts w:cstheme="minorHAnsi"/>
          <w:sz w:val="24"/>
          <w:szCs w:val="24"/>
          <w:lang w:val="el-GR"/>
        </w:rPr>
        <w:t xml:space="preserve"> </w:t>
      </w:r>
      <w:r w:rsidR="00301FCD">
        <w:rPr>
          <w:rFonts w:cstheme="minorHAnsi"/>
          <w:sz w:val="24"/>
          <w:szCs w:val="24"/>
          <w:lang w:val="el-GR"/>
        </w:rPr>
        <w:t>Νομική</w:t>
      </w:r>
      <w:r w:rsidR="00301FCD" w:rsidRPr="00301FCD">
        <w:rPr>
          <w:rFonts w:cstheme="minorHAnsi"/>
          <w:sz w:val="24"/>
          <w:szCs w:val="24"/>
          <w:lang w:val="el-GR"/>
        </w:rPr>
        <w:t xml:space="preserve"> </w:t>
      </w:r>
      <w:r w:rsidR="00301FCD">
        <w:rPr>
          <w:rFonts w:cstheme="minorHAnsi"/>
          <w:sz w:val="24"/>
          <w:szCs w:val="24"/>
          <w:lang w:val="el-GR"/>
        </w:rPr>
        <w:t>Υπηρεσία</w:t>
      </w:r>
      <w:r w:rsidR="00A5147D" w:rsidRPr="00301FCD">
        <w:rPr>
          <w:rFonts w:cstheme="minorHAnsi"/>
          <w:sz w:val="24"/>
          <w:szCs w:val="24"/>
          <w:lang w:val="el-GR"/>
        </w:rPr>
        <w:t xml:space="preserve"> </w:t>
      </w:r>
      <w:r w:rsidR="00301FCD">
        <w:rPr>
          <w:rFonts w:cstheme="minorHAnsi"/>
          <w:sz w:val="24"/>
          <w:szCs w:val="24"/>
          <w:lang w:val="el-GR"/>
        </w:rPr>
        <w:t>της Κυπριακής Δημοκρατίας</w:t>
      </w:r>
      <w:r w:rsidR="00A5147D" w:rsidRPr="00301FCD">
        <w:rPr>
          <w:rFonts w:cstheme="minorHAnsi"/>
          <w:sz w:val="24"/>
          <w:szCs w:val="24"/>
          <w:lang w:val="el-GR"/>
        </w:rPr>
        <w:t xml:space="preserve"> </w:t>
      </w:r>
      <w:r w:rsidR="00301FCD">
        <w:rPr>
          <w:rFonts w:cstheme="minorHAnsi"/>
          <w:sz w:val="24"/>
          <w:szCs w:val="24"/>
          <w:lang w:val="el-GR"/>
        </w:rPr>
        <w:t>και</w:t>
      </w:r>
      <w:r w:rsidR="00A5147D" w:rsidRPr="00301FCD">
        <w:rPr>
          <w:rFonts w:cstheme="minorHAnsi"/>
          <w:sz w:val="24"/>
          <w:szCs w:val="24"/>
          <w:lang w:val="el-GR"/>
        </w:rPr>
        <w:t xml:space="preserve"> </w:t>
      </w:r>
      <w:r w:rsidR="00301FCD">
        <w:rPr>
          <w:rFonts w:cstheme="minorHAnsi"/>
          <w:sz w:val="24"/>
          <w:szCs w:val="24"/>
          <w:lang w:val="el-GR"/>
        </w:rPr>
        <w:t>το Υπουργείο Δικαιοσύνης και Δημοσίας Τάξης</w:t>
      </w:r>
      <w:r w:rsidR="00A5147D" w:rsidRPr="00301FCD">
        <w:rPr>
          <w:rFonts w:cstheme="minorHAnsi"/>
          <w:sz w:val="24"/>
          <w:szCs w:val="24"/>
          <w:lang w:val="el-GR"/>
        </w:rPr>
        <w:t xml:space="preserve">. </w:t>
      </w:r>
      <w:r w:rsidR="00301FCD">
        <w:rPr>
          <w:rFonts w:cstheme="minorHAnsi"/>
          <w:sz w:val="24"/>
          <w:szCs w:val="24"/>
          <w:lang w:val="el-GR"/>
        </w:rPr>
        <w:t>Συμβουλή</w:t>
      </w:r>
      <w:r w:rsidR="00301FCD" w:rsidRPr="00301FCD">
        <w:rPr>
          <w:rFonts w:cstheme="minorHAnsi"/>
          <w:sz w:val="24"/>
          <w:szCs w:val="24"/>
          <w:lang w:val="el-GR"/>
        </w:rPr>
        <w:t xml:space="preserve"> </w:t>
      </w:r>
      <w:r w:rsidR="00301FCD">
        <w:rPr>
          <w:rFonts w:cstheme="minorHAnsi"/>
          <w:sz w:val="24"/>
          <w:szCs w:val="24"/>
          <w:lang w:val="el-GR"/>
        </w:rPr>
        <w:t>για</w:t>
      </w:r>
      <w:r w:rsidR="00301FCD" w:rsidRPr="00301FCD">
        <w:rPr>
          <w:rFonts w:cstheme="minorHAnsi"/>
          <w:sz w:val="24"/>
          <w:szCs w:val="24"/>
          <w:lang w:val="el-GR"/>
        </w:rPr>
        <w:t xml:space="preserve"> </w:t>
      </w:r>
      <w:r w:rsidR="00301FCD">
        <w:rPr>
          <w:rFonts w:cstheme="minorHAnsi"/>
          <w:sz w:val="24"/>
          <w:szCs w:val="24"/>
          <w:lang w:val="el-GR"/>
        </w:rPr>
        <w:t>την</w:t>
      </w:r>
      <w:r w:rsidR="00301FCD" w:rsidRPr="00301FCD">
        <w:rPr>
          <w:rFonts w:cstheme="minorHAnsi"/>
          <w:sz w:val="24"/>
          <w:szCs w:val="24"/>
          <w:lang w:val="el-GR"/>
        </w:rPr>
        <w:t xml:space="preserve"> </w:t>
      </w:r>
      <w:r w:rsidR="00301FCD">
        <w:rPr>
          <w:rFonts w:cstheme="minorHAnsi"/>
          <w:sz w:val="24"/>
          <w:szCs w:val="24"/>
          <w:lang w:val="el-GR"/>
        </w:rPr>
        <w:t>καλή</w:t>
      </w:r>
      <w:r w:rsidR="00301FCD" w:rsidRPr="00301FCD">
        <w:rPr>
          <w:rFonts w:cstheme="minorHAnsi"/>
          <w:sz w:val="24"/>
          <w:szCs w:val="24"/>
          <w:lang w:val="el-GR"/>
        </w:rPr>
        <w:t xml:space="preserve"> </w:t>
      </w:r>
      <w:r w:rsidR="00301FCD">
        <w:rPr>
          <w:rFonts w:cstheme="minorHAnsi"/>
          <w:sz w:val="24"/>
          <w:szCs w:val="24"/>
          <w:lang w:val="el-GR"/>
        </w:rPr>
        <w:t>διακυβέρνηση</w:t>
      </w:r>
      <w:r w:rsidR="00A5147D" w:rsidRPr="00301FCD">
        <w:rPr>
          <w:rFonts w:cstheme="minorHAnsi"/>
          <w:sz w:val="24"/>
          <w:szCs w:val="24"/>
          <w:lang w:val="el-GR"/>
        </w:rPr>
        <w:t xml:space="preserve"> </w:t>
      </w:r>
      <w:r w:rsidR="00301FCD">
        <w:rPr>
          <w:rFonts w:cstheme="minorHAnsi"/>
          <w:sz w:val="24"/>
          <w:szCs w:val="24"/>
          <w:lang w:val="el-GR"/>
        </w:rPr>
        <w:t>μπορεί</w:t>
      </w:r>
      <w:r w:rsidR="00301FCD" w:rsidRPr="00301FCD">
        <w:rPr>
          <w:rFonts w:cstheme="minorHAnsi"/>
          <w:sz w:val="24"/>
          <w:szCs w:val="24"/>
          <w:lang w:val="el-GR"/>
        </w:rPr>
        <w:t xml:space="preserve"> </w:t>
      </w:r>
      <w:r w:rsidR="00301FCD">
        <w:rPr>
          <w:rFonts w:cstheme="minorHAnsi"/>
          <w:sz w:val="24"/>
          <w:szCs w:val="24"/>
          <w:lang w:val="el-GR"/>
        </w:rPr>
        <w:t>να</w:t>
      </w:r>
      <w:r w:rsidR="00301FCD" w:rsidRPr="00301FCD">
        <w:rPr>
          <w:rFonts w:cstheme="minorHAnsi"/>
          <w:sz w:val="24"/>
          <w:szCs w:val="24"/>
          <w:lang w:val="el-GR"/>
        </w:rPr>
        <w:t xml:space="preserve"> </w:t>
      </w:r>
      <w:r w:rsidR="00301FCD">
        <w:rPr>
          <w:rFonts w:cstheme="minorHAnsi"/>
          <w:sz w:val="24"/>
          <w:szCs w:val="24"/>
          <w:lang w:val="el-GR"/>
        </w:rPr>
        <w:t>αποκτηθεί</w:t>
      </w:r>
      <w:r w:rsidR="00301FCD" w:rsidRPr="00301FCD">
        <w:rPr>
          <w:rFonts w:cstheme="minorHAnsi"/>
          <w:sz w:val="24"/>
          <w:szCs w:val="24"/>
          <w:lang w:val="el-GR"/>
        </w:rPr>
        <w:t xml:space="preserve"> </w:t>
      </w:r>
      <w:r w:rsidR="00301FCD">
        <w:rPr>
          <w:rFonts w:cstheme="minorHAnsi"/>
          <w:sz w:val="24"/>
          <w:szCs w:val="24"/>
          <w:lang w:val="el-GR"/>
        </w:rPr>
        <w:t>και</w:t>
      </w:r>
      <w:r w:rsidR="00301FCD" w:rsidRPr="00301FCD">
        <w:rPr>
          <w:rFonts w:cstheme="minorHAnsi"/>
          <w:sz w:val="24"/>
          <w:szCs w:val="24"/>
          <w:lang w:val="el-GR"/>
        </w:rPr>
        <w:t xml:space="preserve"> </w:t>
      </w:r>
      <w:r w:rsidR="00301FCD">
        <w:rPr>
          <w:rFonts w:cstheme="minorHAnsi"/>
          <w:sz w:val="24"/>
          <w:szCs w:val="24"/>
          <w:lang w:val="el-GR"/>
        </w:rPr>
        <w:t>από</w:t>
      </w:r>
      <w:r w:rsidR="00301FCD" w:rsidRPr="00301FCD">
        <w:rPr>
          <w:rFonts w:cstheme="minorHAnsi"/>
          <w:sz w:val="24"/>
          <w:szCs w:val="24"/>
          <w:lang w:val="el-GR"/>
        </w:rPr>
        <w:t xml:space="preserve"> </w:t>
      </w:r>
      <w:r w:rsidR="00301FCD">
        <w:rPr>
          <w:rFonts w:cstheme="minorHAnsi"/>
          <w:sz w:val="24"/>
          <w:szCs w:val="24"/>
          <w:lang w:val="el-GR"/>
        </w:rPr>
        <w:t>τον</w:t>
      </w:r>
      <w:r w:rsidR="00301FCD" w:rsidRPr="00301FCD">
        <w:rPr>
          <w:rFonts w:cstheme="minorHAnsi"/>
          <w:sz w:val="24"/>
          <w:szCs w:val="24"/>
          <w:lang w:val="el-GR"/>
        </w:rPr>
        <w:t xml:space="preserve"> </w:t>
      </w:r>
      <w:r w:rsidR="00301FCD">
        <w:rPr>
          <w:rFonts w:cstheme="minorHAnsi"/>
          <w:sz w:val="24"/>
          <w:szCs w:val="24"/>
          <w:lang w:val="el-GR"/>
        </w:rPr>
        <w:t>Γενικό</w:t>
      </w:r>
      <w:r w:rsidR="00301FCD" w:rsidRPr="00301FCD">
        <w:rPr>
          <w:rFonts w:cstheme="minorHAnsi"/>
          <w:sz w:val="24"/>
          <w:szCs w:val="24"/>
          <w:lang w:val="el-GR"/>
        </w:rPr>
        <w:t xml:space="preserve"> </w:t>
      </w:r>
      <w:r w:rsidR="00301FCD">
        <w:rPr>
          <w:rFonts w:cstheme="minorHAnsi"/>
          <w:sz w:val="24"/>
          <w:szCs w:val="24"/>
          <w:lang w:val="el-GR"/>
        </w:rPr>
        <w:t>Εισαγγελέα</w:t>
      </w:r>
      <w:r w:rsidR="00A5147D" w:rsidRPr="00301FCD">
        <w:rPr>
          <w:rFonts w:cstheme="minorHAnsi"/>
          <w:sz w:val="24"/>
          <w:szCs w:val="24"/>
          <w:lang w:val="el-GR"/>
        </w:rPr>
        <w:t xml:space="preserve">, </w:t>
      </w:r>
      <w:r w:rsidR="00301FCD">
        <w:rPr>
          <w:rFonts w:cstheme="minorHAnsi"/>
          <w:sz w:val="24"/>
          <w:szCs w:val="24"/>
          <w:lang w:val="el-GR"/>
        </w:rPr>
        <w:t>που είναι ο νομικός σύμβουλος του Προέδρου κ</w:t>
      </w:r>
      <w:r w:rsidR="005A3519">
        <w:rPr>
          <w:rFonts w:cstheme="minorHAnsi"/>
          <w:sz w:val="24"/>
          <w:szCs w:val="24"/>
          <w:lang w:val="el-GR"/>
        </w:rPr>
        <w:t>α</w:t>
      </w:r>
      <w:r w:rsidR="00301FCD">
        <w:rPr>
          <w:rFonts w:cstheme="minorHAnsi"/>
          <w:sz w:val="24"/>
          <w:szCs w:val="24"/>
          <w:lang w:val="el-GR"/>
        </w:rPr>
        <w:t>ι της Κυβέρνησης</w:t>
      </w:r>
      <w:r w:rsidR="00A5147D" w:rsidRPr="00301FCD">
        <w:rPr>
          <w:rFonts w:cstheme="minorHAnsi"/>
          <w:sz w:val="24"/>
          <w:szCs w:val="24"/>
          <w:lang w:val="el-GR"/>
        </w:rPr>
        <w:t xml:space="preserve">. </w:t>
      </w:r>
      <w:r w:rsidR="00301FCD">
        <w:rPr>
          <w:rFonts w:cstheme="minorHAnsi"/>
          <w:sz w:val="24"/>
          <w:szCs w:val="24"/>
          <w:lang w:val="el-GR"/>
        </w:rPr>
        <w:t>Ωστόσο</w:t>
      </w:r>
      <w:r w:rsidR="00A5147D" w:rsidRPr="00301FCD">
        <w:rPr>
          <w:rFonts w:cstheme="minorHAnsi"/>
          <w:sz w:val="24"/>
          <w:szCs w:val="24"/>
          <w:lang w:val="el-GR"/>
        </w:rPr>
        <w:t xml:space="preserve">, </w:t>
      </w:r>
      <w:r w:rsidR="00301FCD">
        <w:rPr>
          <w:rFonts w:cstheme="minorHAnsi"/>
          <w:sz w:val="24"/>
          <w:szCs w:val="24"/>
          <w:lang w:val="el-GR"/>
        </w:rPr>
        <w:t>η</w:t>
      </w:r>
      <w:r w:rsidR="00A5147D" w:rsidRPr="00301FCD">
        <w:rPr>
          <w:rFonts w:cstheme="minorHAnsi"/>
          <w:sz w:val="24"/>
          <w:szCs w:val="24"/>
          <w:lang w:val="el-GR"/>
        </w:rPr>
        <w:t xml:space="preserve"> </w:t>
      </w:r>
      <w:r w:rsidR="00A5147D" w:rsidRPr="004E251E">
        <w:rPr>
          <w:rFonts w:cstheme="minorHAnsi"/>
          <w:sz w:val="24"/>
          <w:szCs w:val="24"/>
        </w:rPr>
        <w:t>GET</w:t>
      </w:r>
      <w:r w:rsidR="00A5147D" w:rsidRPr="00301FCD">
        <w:rPr>
          <w:rFonts w:cstheme="minorHAnsi"/>
          <w:sz w:val="24"/>
          <w:szCs w:val="24"/>
          <w:lang w:val="el-GR"/>
        </w:rPr>
        <w:t xml:space="preserve"> </w:t>
      </w:r>
      <w:r w:rsidR="00301FCD">
        <w:rPr>
          <w:rFonts w:cstheme="minorHAnsi"/>
          <w:sz w:val="24"/>
          <w:szCs w:val="24"/>
          <w:lang w:val="el-GR"/>
        </w:rPr>
        <w:t>δεν</w:t>
      </w:r>
      <w:r w:rsidR="00301FCD" w:rsidRPr="00301FCD">
        <w:rPr>
          <w:rFonts w:cstheme="minorHAnsi"/>
          <w:sz w:val="24"/>
          <w:szCs w:val="24"/>
          <w:lang w:val="el-GR"/>
        </w:rPr>
        <w:t xml:space="preserve"> </w:t>
      </w:r>
      <w:r w:rsidR="00301FCD">
        <w:rPr>
          <w:rFonts w:cstheme="minorHAnsi"/>
          <w:sz w:val="24"/>
          <w:szCs w:val="24"/>
          <w:lang w:val="el-GR"/>
        </w:rPr>
        <w:t>διαπίστωσε</w:t>
      </w:r>
      <w:r w:rsidR="00301FCD" w:rsidRPr="00301FCD">
        <w:rPr>
          <w:rFonts w:cstheme="minorHAnsi"/>
          <w:sz w:val="24"/>
          <w:szCs w:val="24"/>
          <w:lang w:val="el-GR"/>
        </w:rPr>
        <w:t xml:space="preserve"> </w:t>
      </w:r>
      <w:r w:rsidR="00301FCD">
        <w:rPr>
          <w:rFonts w:cstheme="minorHAnsi"/>
          <w:sz w:val="24"/>
          <w:szCs w:val="24"/>
          <w:lang w:val="el-GR"/>
        </w:rPr>
        <w:t>καμιά</w:t>
      </w:r>
      <w:r w:rsidR="00301FCD" w:rsidRPr="00301FCD">
        <w:rPr>
          <w:rFonts w:cstheme="minorHAnsi"/>
          <w:sz w:val="24"/>
          <w:szCs w:val="24"/>
          <w:lang w:val="el-GR"/>
        </w:rPr>
        <w:t xml:space="preserve"> </w:t>
      </w:r>
      <w:r w:rsidR="00301FCD">
        <w:rPr>
          <w:rFonts w:cstheme="minorHAnsi"/>
          <w:sz w:val="24"/>
          <w:szCs w:val="24"/>
          <w:lang w:val="el-GR"/>
        </w:rPr>
        <w:t>καθιερωμένη</w:t>
      </w:r>
      <w:r w:rsidR="00301FCD" w:rsidRPr="00301FCD">
        <w:rPr>
          <w:rFonts w:cstheme="minorHAnsi"/>
          <w:sz w:val="24"/>
          <w:szCs w:val="24"/>
          <w:lang w:val="el-GR"/>
        </w:rPr>
        <w:t xml:space="preserve"> </w:t>
      </w:r>
      <w:r w:rsidR="00301FCD">
        <w:rPr>
          <w:rFonts w:cstheme="minorHAnsi"/>
          <w:sz w:val="24"/>
          <w:szCs w:val="24"/>
          <w:lang w:val="el-GR"/>
        </w:rPr>
        <w:t>πρακτική</w:t>
      </w:r>
      <w:r w:rsidR="00A5147D" w:rsidRPr="00301FCD">
        <w:rPr>
          <w:rFonts w:cstheme="minorHAnsi"/>
          <w:sz w:val="24"/>
          <w:szCs w:val="24"/>
          <w:lang w:val="el-GR"/>
        </w:rPr>
        <w:t xml:space="preserve"> </w:t>
      </w:r>
      <w:r w:rsidR="00301FCD">
        <w:rPr>
          <w:rFonts w:cstheme="minorHAnsi"/>
          <w:sz w:val="24"/>
          <w:szCs w:val="24"/>
          <w:lang w:val="el-GR"/>
        </w:rPr>
        <w:t>των</w:t>
      </w:r>
      <w:r w:rsidRPr="002B7C4B">
        <w:rPr>
          <w:rFonts w:cstheme="minorHAnsi"/>
          <w:sz w:val="24"/>
          <w:szCs w:val="24"/>
          <w:lang w:val="el-GR"/>
        </w:rPr>
        <w:t xml:space="preserve"> </w:t>
      </w:r>
      <w:r w:rsidR="00301FCD" w:rsidRPr="00301FCD">
        <w:rPr>
          <w:rFonts w:cstheme="minorHAnsi"/>
          <w:sz w:val="24"/>
          <w:szCs w:val="24"/>
          <w:lang w:val="el-GR"/>
        </w:rPr>
        <w:t xml:space="preserve"> </w:t>
      </w:r>
      <w:r>
        <w:rPr>
          <w:rFonts w:cstheme="minorHAnsi"/>
          <w:sz w:val="24"/>
          <w:szCs w:val="24"/>
          <w:lang w:val="en-US"/>
        </w:rPr>
        <w:t>PTEFs</w:t>
      </w:r>
      <w:r w:rsidRPr="002B7C4B">
        <w:rPr>
          <w:rFonts w:cstheme="minorHAnsi"/>
          <w:sz w:val="24"/>
          <w:szCs w:val="24"/>
          <w:lang w:val="el-GR"/>
        </w:rPr>
        <w:t xml:space="preserve"> </w:t>
      </w:r>
      <w:r w:rsidR="00301FCD">
        <w:rPr>
          <w:rFonts w:cstheme="minorHAnsi"/>
          <w:sz w:val="24"/>
          <w:szCs w:val="24"/>
          <w:lang w:val="el-GR"/>
        </w:rPr>
        <w:t xml:space="preserve"> να αποτείνονται στα προαναφερθέντα σύνολα/άτομα</w:t>
      </w:r>
      <w:r w:rsidR="00A5147D" w:rsidRPr="00301FCD">
        <w:rPr>
          <w:rFonts w:cstheme="minorHAnsi"/>
          <w:sz w:val="24"/>
          <w:szCs w:val="24"/>
          <w:lang w:val="el-GR"/>
        </w:rPr>
        <w:t xml:space="preserve"> </w:t>
      </w:r>
      <w:r w:rsidR="00301FCD">
        <w:rPr>
          <w:rFonts w:cstheme="minorHAnsi"/>
          <w:sz w:val="24"/>
          <w:szCs w:val="24"/>
          <w:lang w:val="el-GR"/>
        </w:rPr>
        <w:t>σε περίπτωση διλ</w:t>
      </w:r>
      <w:r w:rsidR="006D7DB4">
        <w:rPr>
          <w:rFonts w:cstheme="minorHAnsi"/>
          <w:sz w:val="24"/>
          <w:szCs w:val="24"/>
          <w:lang w:val="el-GR"/>
        </w:rPr>
        <w:t>ημμάτων</w:t>
      </w:r>
      <w:r w:rsidRPr="002B7C4B">
        <w:rPr>
          <w:rFonts w:cstheme="minorHAnsi"/>
          <w:sz w:val="24"/>
          <w:szCs w:val="24"/>
          <w:lang w:val="el-GR"/>
        </w:rPr>
        <w:t xml:space="preserve"> </w:t>
      </w:r>
      <w:r>
        <w:rPr>
          <w:rFonts w:cstheme="minorHAnsi"/>
          <w:sz w:val="24"/>
          <w:szCs w:val="24"/>
          <w:lang w:val="el-GR"/>
        </w:rPr>
        <w:t>δεοντολογίας</w:t>
      </w:r>
      <w:r w:rsidR="00A5147D" w:rsidRPr="00301FCD">
        <w:rPr>
          <w:rFonts w:cstheme="minorHAnsi"/>
          <w:sz w:val="24"/>
          <w:szCs w:val="24"/>
          <w:lang w:val="el-GR"/>
        </w:rPr>
        <w:t xml:space="preserve">. </w:t>
      </w:r>
      <w:r w:rsidR="006D7DB4">
        <w:rPr>
          <w:rFonts w:cstheme="minorHAnsi"/>
          <w:sz w:val="24"/>
          <w:szCs w:val="24"/>
          <w:lang w:val="el-GR"/>
        </w:rPr>
        <w:t>Η</w:t>
      </w:r>
      <w:r w:rsidR="00A5147D" w:rsidRPr="006D7DB4">
        <w:rPr>
          <w:rFonts w:cstheme="minorHAnsi"/>
          <w:sz w:val="24"/>
          <w:szCs w:val="24"/>
          <w:lang w:val="el-GR"/>
        </w:rPr>
        <w:t xml:space="preserve"> </w:t>
      </w:r>
      <w:r w:rsidR="00A5147D" w:rsidRPr="004E251E">
        <w:rPr>
          <w:rFonts w:cstheme="minorHAnsi"/>
          <w:sz w:val="24"/>
          <w:szCs w:val="24"/>
        </w:rPr>
        <w:t>GET</w:t>
      </w:r>
      <w:r w:rsidR="00A5147D" w:rsidRPr="006D7DB4">
        <w:rPr>
          <w:rFonts w:cstheme="minorHAnsi"/>
          <w:sz w:val="24"/>
          <w:szCs w:val="24"/>
          <w:lang w:val="el-GR"/>
        </w:rPr>
        <w:t xml:space="preserve"> </w:t>
      </w:r>
      <w:r w:rsidR="006D7DB4">
        <w:rPr>
          <w:rFonts w:cstheme="minorHAnsi"/>
          <w:sz w:val="24"/>
          <w:szCs w:val="24"/>
          <w:lang w:val="el-GR"/>
        </w:rPr>
        <w:t>είναι</w:t>
      </w:r>
      <w:r w:rsidR="006D7DB4" w:rsidRPr="006D7DB4">
        <w:rPr>
          <w:rFonts w:cstheme="minorHAnsi"/>
          <w:sz w:val="24"/>
          <w:szCs w:val="24"/>
          <w:lang w:val="el-GR"/>
        </w:rPr>
        <w:t xml:space="preserve"> </w:t>
      </w:r>
      <w:r>
        <w:rPr>
          <w:rFonts w:cstheme="minorHAnsi"/>
          <w:sz w:val="24"/>
          <w:szCs w:val="24"/>
          <w:lang w:val="el-GR"/>
        </w:rPr>
        <w:t xml:space="preserve">σοβαρά </w:t>
      </w:r>
      <w:r w:rsidR="006D7DB4">
        <w:rPr>
          <w:rFonts w:cstheme="minorHAnsi"/>
          <w:sz w:val="24"/>
          <w:szCs w:val="24"/>
          <w:lang w:val="el-GR"/>
        </w:rPr>
        <w:t>προβληματισμένη</w:t>
      </w:r>
      <w:r>
        <w:rPr>
          <w:rFonts w:cstheme="minorHAnsi"/>
          <w:sz w:val="24"/>
          <w:szCs w:val="24"/>
          <w:lang w:val="el-GR"/>
        </w:rPr>
        <w:t xml:space="preserve"> </w:t>
      </w:r>
      <w:r w:rsidR="008D35D6">
        <w:rPr>
          <w:rFonts w:cstheme="minorHAnsi"/>
          <w:sz w:val="24"/>
          <w:szCs w:val="24"/>
          <w:lang w:val="el-GR"/>
        </w:rPr>
        <w:t xml:space="preserve">για το </w:t>
      </w:r>
      <w:r w:rsidR="006D7DB4">
        <w:rPr>
          <w:rFonts w:cstheme="minorHAnsi"/>
          <w:sz w:val="24"/>
          <w:szCs w:val="24"/>
          <w:lang w:val="el-GR"/>
        </w:rPr>
        <w:t>ότι</w:t>
      </w:r>
      <w:r w:rsidR="00A5147D" w:rsidRPr="006D7DB4">
        <w:rPr>
          <w:rFonts w:cstheme="minorHAnsi"/>
          <w:sz w:val="24"/>
          <w:szCs w:val="24"/>
          <w:lang w:val="el-GR"/>
        </w:rPr>
        <w:t xml:space="preserve"> </w:t>
      </w:r>
      <w:r w:rsidR="006D7DB4">
        <w:rPr>
          <w:rFonts w:cstheme="minorHAnsi"/>
          <w:sz w:val="24"/>
          <w:szCs w:val="24"/>
          <w:lang w:val="el-GR"/>
        </w:rPr>
        <w:t>σε κανένα</w:t>
      </w:r>
      <w:r w:rsidR="006D7DB4" w:rsidRPr="006D7DB4">
        <w:rPr>
          <w:rFonts w:cstheme="minorHAnsi"/>
          <w:sz w:val="24"/>
          <w:szCs w:val="24"/>
          <w:lang w:val="el-GR"/>
        </w:rPr>
        <w:t xml:space="preserve"> </w:t>
      </w:r>
      <w:r w:rsidR="006D7DB4">
        <w:rPr>
          <w:rFonts w:cstheme="minorHAnsi"/>
          <w:sz w:val="24"/>
          <w:szCs w:val="24"/>
          <w:lang w:val="el-GR"/>
        </w:rPr>
        <w:t>από</w:t>
      </w:r>
      <w:r w:rsidR="006D7DB4" w:rsidRPr="006D7DB4">
        <w:rPr>
          <w:rFonts w:cstheme="minorHAnsi"/>
          <w:sz w:val="24"/>
          <w:szCs w:val="24"/>
          <w:lang w:val="el-GR"/>
        </w:rPr>
        <w:t xml:space="preserve"> </w:t>
      </w:r>
      <w:r w:rsidR="006D7DB4">
        <w:rPr>
          <w:rFonts w:cstheme="minorHAnsi"/>
          <w:sz w:val="24"/>
          <w:szCs w:val="24"/>
          <w:lang w:val="el-GR"/>
        </w:rPr>
        <w:t>τα</w:t>
      </w:r>
      <w:r w:rsidR="006D7DB4" w:rsidRPr="006D7DB4">
        <w:rPr>
          <w:rFonts w:cstheme="minorHAnsi"/>
          <w:sz w:val="24"/>
          <w:szCs w:val="24"/>
          <w:lang w:val="el-GR"/>
        </w:rPr>
        <w:t xml:space="preserve"> </w:t>
      </w:r>
      <w:r w:rsidR="008D35D6">
        <w:rPr>
          <w:rFonts w:cstheme="minorHAnsi"/>
          <w:sz w:val="24"/>
          <w:szCs w:val="24"/>
          <w:lang w:val="el-GR"/>
        </w:rPr>
        <w:t xml:space="preserve">όργανα </w:t>
      </w:r>
      <w:r w:rsidR="006D7DB4">
        <w:rPr>
          <w:rFonts w:cstheme="minorHAnsi"/>
          <w:sz w:val="24"/>
          <w:szCs w:val="24"/>
          <w:lang w:val="el-GR"/>
        </w:rPr>
        <w:t>για</w:t>
      </w:r>
      <w:r w:rsidR="006D7DB4" w:rsidRPr="006D7DB4">
        <w:rPr>
          <w:rFonts w:cstheme="minorHAnsi"/>
          <w:sz w:val="24"/>
          <w:szCs w:val="24"/>
          <w:lang w:val="el-GR"/>
        </w:rPr>
        <w:t xml:space="preserve"> </w:t>
      </w:r>
      <w:r w:rsidR="006D7DB4">
        <w:rPr>
          <w:rFonts w:cstheme="minorHAnsi"/>
          <w:sz w:val="24"/>
          <w:szCs w:val="24"/>
          <w:lang w:val="el-GR"/>
        </w:rPr>
        <w:t>θέματα</w:t>
      </w:r>
      <w:r w:rsidR="006D7DB4" w:rsidRPr="006D7DB4">
        <w:rPr>
          <w:rFonts w:cstheme="minorHAnsi"/>
          <w:sz w:val="24"/>
          <w:szCs w:val="24"/>
          <w:lang w:val="el-GR"/>
        </w:rPr>
        <w:t xml:space="preserve"> </w:t>
      </w:r>
      <w:r w:rsidR="006D7DB4">
        <w:rPr>
          <w:rFonts w:cstheme="minorHAnsi"/>
          <w:sz w:val="24"/>
          <w:szCs w:val="24"/>
          <w:lang w:val="el-GR"/>
        </w:rPr>
        <w:t>που</w:t>
      </w:r>
      <w:r w:rsidR="006D7DB4" w:rsidRPr="006D7DB4">
        <w:rPr>
          <w:rFonts w:cstheme="minorHAnsi"/>
          <w:sz w:val="24"/>
          <w:szCs w:val="24"/>
          <w:lang w:val="el-GR"/>
        </w:rPr>
        <w:t xml:space="preserve"> </w:t>
      </w:r>
      <w:r w:rsidR="006D7DB4">
        <w:rPr>
          <w:rFonts w:cstheme="minorHAnsi"/>
          <w:sz w:val="24"/>
          <w:szCs w:val="24"/>
          <w:lang w:val="el-GR"/>
        </w:rPr>
        <w:t>σχετίζονται με την πρόληψη της διαφθοράς</w:t>
      </w:r>
      <w:r w:rsidR="00A5147D" w:rsidRPr="006D7DB4">
        <w:rPr>
          <w:rFonts w:cstheme="minorHAnsi"/>
          <w:sz w:val="24"/>
          <w:szCs w:val="24"/>
          <w:lang w:val="el-GR"/>
        </w:rPr>
        <w:t xml:space="preserve"> </w:t>
      </w:r>
      <w:r w:rsidR="006D7DB4">
        <w:rPr>
          <w:rFonts w:cstheme="minorHAnsi"/>
          <w:sz w:val="24"/>
          <w:szCs w:val="24"/>
          <w:lang w:val="el-GR"/>
        </w:rPr>
        <w:t>δεν έχει ανατεθεί οποιαδήποτε συμβουλευτική ιδιότητα</w:t>
      </w:r>
      <w:r w:rsidR="00A5147D" w:rsidRPr="006D7DB4">
        <w:rPr>
          <w:rFonts w:cstheme="minorHAnsi"/>
          <w:sz w:val="24"/>
          <w:szCs w:val="24"/>
          <w:lang w:val="el-GR"/>
        </w:rPr>
        <w:t xml:space="preserve">. </w:t>
      </w:r>
      <w:r w:rsidR="006D7DB4">
        <w:rPr>
          <w:rFonts w:cstheme="minorHAnsi"/>
          <w:sz w:val="24"/>
          <w:szCs w:val="24"/>
          <w:lang w:val="el-GR"/>
        </w:rPr>
        <w:t>Όσον</w:t>
      </w:r>
      <w:r w:rsidR="006D7DB4" w:rsidRPr="006D7DB4">
        <w:rPr>
          <w:rFonts w:cstheme="minorHAnsi"/>
          <w:sz w:val="24"/>
          <w:szCs w:val="24"/>
          <w:lang w:val="el-GR"/>
        </w:rPr>
        <w:t xml:space="preserve"> </w:t>
      </w:r>
      <w:r w:rsidR="006D7DB4">
        <w:rPr>
          <w:rFonts w:cstheme="minorHAnsi"/>
          <w:sz w:val="24"/>
          <w:szCs w:val="24"/>
          <w:lang w:val="el-GR"/>
        </w:rPr>
        <w:t>αφορά</w:t>
      </w:r>
      <w:r w:rsidR="006D7DB4" w:rsidRPr="006D7DB4">
        <w:rPr>
          <w:rFonts w:cstheme="minorHAnsi"/>
          <w:sz w:val="24"/>
          <w:szCs w:val="24"/>
          <w:lang w:val="el-GR"/>
        </w:rPr>
        <w:t xml:space="preserve"> </w:t>
      </w:r>
      <w:r w:rsidR="006D7DB4">
        <w:rPr>
          <w:rFonts w:cstheme="minorHAnsi"/>
          <w:sz w:val="24"/>
          <w:szCs w:val="24"/>
          <w:lang w:val="el-GR"/>
        </w:rPr>
        <w:t>την</w:t>
      </w:r>
      <w:r w:rsidR="006D7DB4" w:rsidRPr="006D7DB4">
        <w:rPr>
          <w:rFonts w:cstheme="minorHAnsi"/>
          <w:sz w:val="24"/>
          <w:szCs w:val="24"/>
          <w:lang w:val="el-GR"/>
        </w:rPr>
        <w:t xml:space="preserve"> </w:t>
      </w:r>
      <w:r w:rsidR="006D7DB4">
        <w:rPr>
          <w:rFonts w:cstheme="minorHAnsi"/>
          <w:sz w:val="24"/>
          <w:szCs w:val="24"/>
          <w:lang w:val="el-GR"/>
        </w:rPr>
        <w:t>κατάρτιση</w:t>
      </w:r>
      <w:r w:rsidR="00A5147D" w:rsidRPr="006D7DB4">
        <w:rPr>
          <w:rFonts w:cstheme="minorHAnsi"/>
          <w:sz w:val="24"/>
          <w:szCs w:val="24"/>
          <w:lang w:val="el-GR"/>
        </w:rPr>
        <w:t xml:space="preserve">, </w:t>
      </w:r>
      <w:r w:rsidR="006D7DB4">
        <w:rPr>
          <w:rFonts w:cstheme="minorHAnsi"/>
          <w:sz w:val="24"/>
          <w:szCs w:val="24"/>
          <w:lang w:val="el-GR"/>
        </w:rPr>
        <w:t>το</w:t>
      </w:r>
      <w:r w:rsidR="006D7DB4" w:rsidRPr="006D7DB4">
        <w:rPr>
          <w:rFonts w:cstheme="minorHAnsi"/>
          <w:sz w:val="24"/>
          <w:szCs w:val="24"/>
          <w:lang w:val="el-GR"/>
        </w:rPr>
        <w:t xml:space="preserve"> </w:t>
      </w:r>
      <w:r w:rsidR="006D7DB4">
        <w:rPr>
          <w:rFonts w:cstheme="minorHAnsi"/>
          <w:sz w:val="24"/>
          <w:szCs w:val="24"/>
          <w:lang w:val="el-GR"/>
        </w:rPr>
        <w:t>Υπουργείο</w:t>
      </w:r>
      <w:r w:rsidR="006D7DB4" w:rsidRPr="006D7DB4">
        <w:rPr>
          <w:rFonts w:cstheme="minorHAnsi"/>
          <w:sz w:val="24"/>
          <w:szCs w:val="24"/>
          <w:lang w:val="el-GR"/>
        </w:rPr>
        <w:t xml:space="preserve"> </w:t>
      </w:r>
      <w:r w:rsidR="006D7DB4">
        <w:rPr>
          <w:rFonts w:cstheme="minorHAnsi"/>
          <w:sz w:val="24"/>
          <w:szCs w:val="24"/>
          <w:lang w:val="el-GR"/>
        </w:rPr>
        <w:t>Δικαιοσύνης</w:t>
      </w:r>
      <w:r w:rsidR="00A5147D" w:rsidRPr="006D7DB4">
        <w:rPr>
          <w:rFonts w:cstheme="minorHAnsi"/>
          <w:sz w:val="24"/>
          <w:szCs w:val="24"/>
          <w:lang w:val="el-GR"/>
        </w:rPr>
        <w:t xml:space="preserve"> </w:t>
      </w:r>
      <w:r w:rsidR="006D7DB4">
        <w:rPr>
          <w:rFonts w:cstheme="minorHAnsi"/>
          <w:sz w:val="24"/>
          <w:szCs w:val="24"/>
          <w:lang w:val="el-GR"/>
        </w:rPr>
        <w:t>έχει</w:t>
      </w:r>
      <w:r w:rsidR="00A5147D" w:rsidRPr="006D7DB4">
        <w:rPr>
          <w:rFonts w:cstheme="minorHAnsi"/>
          <w:sz w:val="24"/>
          <w:szCs w:val="24"/>
          <w:lang w:val="el-GR"/>
        </w:rPr>
        <w:t xml:space="preserve"> </w:t>
      </w:r>
      <w:r w:rsidR="006D7DB4">
        <w:rPr>
          <w:rFonts w:cstheme="minorHAnsi"/>
          <w:sz w:val="24"/>
          <w:szCs w:val="24"/>
          <w:lang w:val="el-GR"/>
        </w:rPr>
        <w:t>εντείνει</w:t>
      </w:r>
      <w:r w:rsidR="006D7DB4" w:rsidRPr="006D7DB4">
        <w:rPr>
          <w:rFonts w:cstheme="minorHAnsi"/>
          <w:sz w:val="24"/>
          <w:szCs w:val="24"/>
          <w:lang w:val="el-GR"/>
        </w:rPr>
        <w:t xml:space="preserve"> </w:t>
      </w:r>
      <w:r w:rsidR="006D7DB4">
        <w:rPr>
          <w:rFonts w:cstheme="minorHAnsi"/>
          <w:sz w:val="24"/>
          <w:szCs w:val="24"/>
          <w:lang w:val="el-GR"/>
        </w:rPr>
        <w:lastRenderedPageBreak/>
        <w:t>την</w:t>
      </w:r>
      <w:r w:rsidR="006D7DB4" w:rsidRPr="006D7DB4">
        <w:rPr>
          <w:rFonts w:cstheme="minorHAnsi"/>
          <w:sz w:val="24"/>
          <w:szCs w:val="24"/>
          <w:lang w:val="el-GR"/>
        </w:rPr>
        <w:t xml:space="preserve"> </w:t>
      </w:r>
      <w:r w:rsidR="006D7DB4">
        <w:rPr>
          <w:rFonts w:cstheme="minorHAnsi"/>
          <w:sz w:val="24"/>
          <w:szCs w:val="24"/>
          <w:lang w:val="el-GR"/>
        </w:rPr>
        <w:t>κατάρτ</w:t>
      </w:r>
      <w:r>
        <w:rPr>
          <w:rFonts w:cstheme="minorHAnsi"/>
          <w:sz w:val="24"/>
          <w:szCs w:val="24"/>
          <w:lang w:val="el-GR"/>
        </w:rPr>
        <w:t>ι</w:t>
      </w:r>
      <w:r w:rsidR="006D7DB4">
        <w:rPr>
          <w:rFonts w:cstheme="minorHAnsi"/>
          <w:sz w:val="24"/>
          <w:szCs w:val="24"/>
          <w:lang w:val="el-GR"/>
        </w:rPr>
        <w:t>ση</w:t>
      </w:r>
      <w:r w:rsidR="006D7DB4" w:rsidRPr="006D7DB4">
        <w:rPr>
          <w:rFonts w:cstheme="minorHAnsi"/>
          <w:sz w:val="24"/>
          <w:szCs w:val="24"/>
          <w:lang w:val="el-GR"/>
        </w:rPr>
        <w:t xml:space="preserve"> </w:t>
      </w:r>
      <w:r w:rsidR="006D7DB4">
        <w:rPr>
          <w:rFonts w:cstheme="minorHAnsi"/>
          <w:sz w:val="24"/>
          <w:szCs w:val="24"/>
          <w:lang w:val="el-GR"/>
        </w:rPr>
        <w:t>για</w:t>
      </w:r>
      <w:r w:rsidR="006D7DB4" w:rsidRPr="006D7DB4">
        <w:rPr>
          <w:rFonts w:cstheme="minorHAnsi"/>
          <w:sz w:val="24"/>
          <w:szCs w:val="24"/>
          <w:lang w:val="el-GR"/>
        </w:rPr>
        <w:t xml:space="preserve"> </w:t>
      </w:r>
      <w:r w:rsidR="006D7DB4">
        <w:rPr>
          <w:rFonts w:cstheme="minorHAnsi"/>
          <w:sz w:val="24"/>
          <w:szCs w:val="24"/>
          <w:lang w:val="el-GR"/>
        </w:rPr>
        <w:t>την</w:t>
      </w:r>
      <w:r w:rsidR="006D7DB4" w:rsidRPr="006D7DB4">
        <w:rPr>
          <w:rFonts w:cstheme="minorHAnsi"/>
          <w:sz w:val="24"/>
          <w:szCs w:val="24"/>
          <w:lang w:val="el-GR"/>
        </w:rPr>
        <w:t xml:space="preserve"> </w:t>
      </w:r>
      <w:r w:rsidR="006D7DB4">
        <w:rPr>
          <w:rFonts w:cstheme="minorHAnsi"/>
          <w:sz w:val="24"/>
          <w:szCs w:val="24"/>
          <w:lang w:val="el-GR"/>
        </w:rPr>
        <w:t>ακεραιότητα</w:t>
      </w:r>
      <w:r w:rsidR="006D7DB4" w:rsidRPr="006D7DB4">
        <w:rPr>
          <w:rFonts w:cstheme="minorHAnsi"/>
          <w:sz w:val="24"/>
          <w:szCs w:val="24"/>
          <w:lang w:val="el-GR"/>
        </w:rPr>
        <w:t xml:space="preserve"> </w:t>
      </w:r>
      <w:r w:rsidR="006D7DB4">
        <w:rPr>
          <w:rFonts w:cstheme="minorHAnsi"/>
          <w:sz w:val="24"/>
          <w:szCs w:val="24"/>
          <w:lang w:val="el-GR"/>
        </w:rPr>
        <w:t>και</w:t>
      </w:r>
      <w:r w:rsidR="006D7DB4" w:rsidRPr="006D7DB4">
        <w:rPr>
          <w:rFonts w:cstheme="minorHAnsi"/>
          <w:sz w:val="24"/>
          <w:szCs w:val="24"/>
          <w:lang w:val="el-GR"/>
        </w:rPr>
        <w:t xml:space="preserve"> </w:t>
      </w:r>
      <w:r w:rsidR="006D7DB4">
        <w:rPr>
          <w:rFonts w:cstheme="minorHAnsi"/>
          <w:sz w:val="24"/>
          <w:szCs w:val="24"/>
          <w:lang w:val="el-GR"/>
        </w:rPr>
        <w:t>την</w:t>
      </w:r>
      <w:r w:rsidR="006D7DB4" w:rsidRPr="006D7DB4">
        <w:rPr>
          <w:rFonts w:cstheme="minorHAnsi"/>
          <w:sz w:val="24"/>
          <w:szCs w:val="24"/>
          <w:lang w:val="el-GR"/>
        </w:rPr>
        <w:t xml:space="preserve"> </w:t>
      </w:r>
      <w:r w:rsidR="006D7DB4">
        <w:rPr>
          <w:rFonts w:cstheme="minorHAnsi"/>
          <w:sz w:val="24"/>
          <w:szCs w:val="24"/>
          <w:lang w:val="el-GR"/>
        </w:rPr>
        <w:t>καταπολέμηση</w:t>
      </w:r>
      <w:r w:rsidR="006D7DB4" w:rsidRPr="006D7DB4">
        <w:rPr>
          <w:rFonts w:cstheme="minorHAnsi"/>
          <w:sz w:val="24"/>
          <w:szCs w:val="24"/>
          <w:lang w:val="el-GR"/>
        </w:rPr>
        <w:t xml:space="preserve"> </w:t>
      </w:r>
      <w:r w:rsidR="006D7DB4">
        <w:rPr>
          <w:rFonts w:cstheme="minorHAnsi"/>
          <w:sz w:val="24"/>
          <w:szCs w:val="24"/>
          <w:lang w:val="el-GR"/>
        </w:rPr>
        <w:t>της</w:t>
      </w:r>
      <w:r w:rsidR="006D7DB4" w:rsidRPr="006D7DB4">
        <w:rPr>
          <w:rFonts w:cstheme="minorHAnsi"/>
          <w:sz w:val="24"/>
          <w:szCs w:val="24"/>
          <w:lang w:val="el-GR"/>
        </w:rPr>
        <w:t xml:space="preserve"> </w:t>
      </w:r>
      <w:r w:rsidR="006D7DB4">
        <w:rPr>
          <w:rFonts w:cstheme="minorHAnsi"/>
          <w:sz w:val="24"/>
          <w:szCs w:val="24"/>
          <w:lang w:val="el-GR"/>
        </w:rPr>
        <w:t>διαφθοράς</w:t>
      </w:r>
      <w:r w:rsidR="00A5147D" w:rsidRPr="006D7DB4">
        <w:rPr>
          <w:rFonts w:cstheme="minorHAnsi"/>
          <w:sz w:val="24"/>
          <w:szCs w:val="24"/>
          <w:lang w:val="el-GR"/>
        </w:rPr>
        <w:t xml:space="preserve"> </w:t>
      </w:r>
      <w:r w:rsidR="006D7DB4">
        <w:rPr>
          <w:rFonts w:cstheme="minorHAnsi"/>
          <w:sz w:val="24"/>
          <w:szCs w:val="24"/>
          <w:lang w:val="el-GR"/>
        </w:rPr>
        <w:t>για</w:t>
      </w:r>
      <w:r w:rsidR="006D7DB4" w:rsidRPr="006D7DB4">
        <w:rPr>
          <w:rFonts w:cstheme="minorHAnsi"/>
          <w:sz w:val="24"/>
          <w:szCs w:val="24"/>
          <w:lang w:val="el-GR"/>
        </w:rPr>
        <w:t xml:space="preserve"> </w:t>
      </w:r>
      <w:r w:rsidR="006D7DB4">
        <w:rPr>
          <w:rFonts w:cstheme="minorHAnsi"/>
          <w:sz w:val="24"/>
          <w:szCs w:val="24"/>
          <w:lang w:val="el-GR"/>
        </w:rPr>
        <w:t>δημοσίους</w:t>
      </w:r>
      <w:r w:rsidR="006D7DB4" w:rsidRPr="006D7DB4">
        <w:rPr>
          <w:rFonts w:cstheme="minorHAnsi"/>
          <w:sz w:val="24"/>
          <w:szCs w:val="24"/>
          <w:lang w:val="el-GR"/>
        </w:rPr>
        <w:t xml:space="preserve"> </w:t>
      </w:r>
      <w:r w:rsidR="006D7DB4">
        <w:rPr>
          <w:rFonts w:cstheme="minorHAnsi"/>
          <w:sz w:val="24"/>
          <w:szCs w:val="24"/>
          <w:lang w:val="el-GR"/>
        </w:rPr>
        <w:t>αξιωματούχους</w:t>
      </w:r>
      <w:r w:rsidR="00A5147D" w:rsidRPr="006D7DB4">
        <w:rPr>
          <w:rFonts w:cstheme="minorHAnsi"/>
          <w:sz w:val="24"/>
          <w:szCs w:val="24"/>
          <w:lang w:val="el-GR"/>
        </w:rPr>
        <w:t xml:space="preserve">, </w:t>
      </w:r>
      <w:r w:rsidR="006D7DB4">
        <w:rPr>
          <w:rFonts w:cstheme="minorHAnsi"/>
          <w:sz w:val="24"/>
          <w:szCs w:val="24"/>
          <w:lang w:val="el-GR"/>
        </w:rPr>
        <w:t>που είναι μια θετική εξέλιξη, ωστόσο</w:t>
      </w:r>
      <w:r w:rsidR="00A5147D" w:rsidRPr="006D7DB4">
        <w:rPr>
          <w:rFonts w:cstheme="minorHAnsi"/>
          <w:sz w:val="24"/>
          <w:szCs w:val="24"/>
          <w:lang w:val="el-GR"/>
        </w:rPr>
        <w:t xml:space="preserve">, </w:t>
      </w:r>
      <w:r w:rsidR="006D7DB4">
        <w:rPr>
          <w:rFonts w:cstheme="minorHAnsi"/>
          <w:sz w:val="24"/>
          <w:szCs w:val="24"/>
          <w:lang w:val="el-GR"/>
        </w:rPr>
        <w:t>η</w:t>
      </w:r>
      <w:r w:rsidR="00A5147D" w:rsidRPr="006D7DB4">
        <w:rPr>
          <w:rFonts w:cstheme="minorHAnsi"/>
          <w:sz w:val="24"/>
          <w:szCs w:val="24"/>
          <w:lang w:val="el-GR"/>
        </w:rPr>
        <w:t xml:space="preserve"> </w:t>
      </w:r>
      <w:r w:rsidR="00A5147D" w:rsidRPr="004E251E">
        <w:rPr>
          <w:rFonts w:cstheme="minorHAnsi"/>
          <w:sz w:val="24"/>
          <w:szCs w:val="24"/>
        </w:rPr>
        <w:t>GET</w:t>
      </w:r>
      <w:r w:rsidR="00A5147D" w:rsidRPr="006D7DB4">
        <w:rPr>
          <w:rFonts w:cstheme="minorHAnsi"/>
          <w:sz w:val="24"/>
          <w:szCs w:val="24"/>
          <w:lang w:val="el-GR"/>
        </w:rPr>
        <w:t xml:space="preserve"> </w:t>
      </w:r>
      <w:r w:rsidR="006D7DB4">
        <w:rPr>
          <w:rFonts w:cstheme="minorHAnsi"/>
          <w:sz w:val="24"/>
          <w:szCs w:val="24"/>
          <w:lang w:val="el-GR"/>
        </w:rPr>
        <w:t>σημειώνει ότι</w:t>
      </w:r>
      <w:r w:rsidR="00A5147D" w:rsidRPr="006D7DB4">
        <w:rPr>
          <w:rFonts w:cstheme="minorHAnsi"/>
          <w:sz w:val="24"/>
          <w:szCs w:val="24"/>
          <w:lang w:val="el-GR"/>
        </w:rPr>
        <w:t xml:space="preserve"> </w:t>
      </w:r>
      <w:r>
        <w:rPr>
          <w:rFonts w:cstheme="minorHAnsi"/>
          <w:sz w:val="24"/>
          <w:szCs w:val="24"/>
          <w:lang w:val="el-GR"/>
        </w:rPr>
        <w:t>οι</w:t>
      </w:r>
      <w:r w:rsidR="006D7DB4">
        <w:rPr>
          <w:rFonts w:cstheme="minorHAnsi"/>
          <w:sz w:val="24"/>
          <w:szCs w:val="24"/>
          <w:lang w:val="el-GR"/>
        </w:rPr>
        <w:t xml:space="preserve"> πληροφορίες που παρέχονται </w:t>
      </w:r>
      <w:r>
        <w:rPr>
          <w:rFonts w:cstheme="minorHAnsi"/>
          <w:sz w:val="24"/>
          <w:szCs w:val="24"/>
          <w:lang w:val="el-GR"/>
        </w:rPr>
        <w:t xml:space="preserve">αφορούν ενότητες οι οποίες </w:t>
      </w:r>
      <w:r w:rsidR="006D7DB4">
        <w:rPr>
          <w:rFonts w:cstheme="minorHAnsi"/>
          <w:sz w:val="24"/>
          <w:szCs w:val="24"/>
          <w:lang w:val="el-GR"/>
        </w:rPr>
        <w:t>παρ</w:t>
      </w:r>
      <w:r w:rsidR="005A3519">
        <w:rPr>
          <w:rFonts w:cstheme="minorHAnsi"/>
          <w:sz w:val="24"/>
          <w:szCs w:val="24"/>
          <w:lang w:val="el-GR"/>
        </w:rPr>
        <w:t>ακολουθού</w:t>
      </w:r>
      <w:r w:rsidR="006D7DB4">
        <w:rPr>
          <w:rFonts w:cstheme="minorHAnsi"/>
          <w:sz w:val="24"/>
          <w:szCs w:val="24"/>
          <w:lang w:val="el-GR"/>
        </w:rPr>
        <w:t xml:space="preserve">νται </w:t>
      </w:r>
      <w:r w:rsidR="005A3519">
        <w:rPr>
          <w:rFonts w:cstheme="minorHAnsi"/>
          <w:sz w:val="24"/>
          <w:szCs w:val="24"/>
          <w:lang w:val="el-GR"/>
        </w:rPr>
        <w:t xml:space="preserve">από </w:t>
      </w:r>
      <w:r w:rsidR="006D7DB4">
        <w:rPr>
          <w:rFonts w:cstheme="minorHAnsi"/>
          <w:sz w:val="24"/>
          <w:szCs w:val="24"/>
          <w:lang w:val="el-GR"/>
        </w:rPr>
        <w:t>δημ</w:t>
      </w:r>
      <w:r w:rsidR="005A3519">
        <w:rPr>
          <w:rFonts w:cstheme="minorHAnsi"/>
          <w:sz w:val="24"/>
          <w:szCs w:val="24"/>
          <w:lang w:val="el-GR"/>
        </w:rPr>
        <w:t>ο</w:t>
      </w:r>
      <w:r w:rsidR="006D7DB4">
        <w:rPr>
          <w:rFonts w:cstheme="minorHAnsi"/>
          <w:sz w:val="24"/>
          <w:szCs w:val="24"/>
          <w:lang w:val="el-GR"/>
        </w:rPr>
        <w:t>σ</w:t>
      </w:r>
      <w:r w:rsidR="005A3519">
        <w:rPr>
          <w:rFonts w:cstheme="minorHAnsi"/>
          <w:sz w:val="24"/>
          <w:szCs w:val="24"/>
          <w:lang w:val="el-GR"/>
        </w:rPr>
        <w:t>ί</w:t>
      </w:r>
      <w:r w:rsidR="006D7DB4">
        <w:rPr>
          <w:rFonts w:cstheme="minorHAnsi"/>
          <w:sz w:val="24"/>
          <w:szCs w:val="24"/>
          <w:lang w:val="el-GR"/>
        </w:rPr>
        <w:t>ο</w:t>
      </w:r>
      <w:r w:rsidR="005A3519">
        <w:rPr>
          <w:rFonts w:cstheme="minorHAnsi"/>
          <w:sz w:val="24"/>
          <w:szCs w:val="24"/>
          <w:lang w:val="el-GR"/>
        </w:rPr>
        <w:t>υς</w:t>
      </w:r>
      <w:r w:rsidR="006D7DB4">
        <w:rPr>
          <w:rFonts w:cstheme="minorHAnsi"/>
          <w:sz w:val="24"/>
          <w:szCs w:val="24"/>
          <w:lang w:val="el-GR"/>
        </w:rPr>
        <w:t xml:space="preserve"> υπ</w:t>
      </w:r>
      <w:r w:rsidR="005A3519">
        <w:rPr>
          <w:rFonts w:cstheme="minorHAnsi"/>
          <w:sz w:val="24"/>
          <w:szCs w:val="24"/>
          <w:lang w:val="el-GR"/>
        </w:rPr>
        <w:t>α</w:t>
      </w:r>
      <w:r w:rsidR="006D7DB4">
        <w:rPr>
          <w:rFonts w:cstheme="minorHAnsi"/>
          <w:sz w:val="24"/>
          <w:szCs w:val="24"/>
          <w:lang w:val="el-GR"/>
        </w:rPr>
        <w:t>λλ</w:t>
      </w:r>
      <w:r w:rsidR="005A3519">
        <w:rPr>
          <w:rFonts w:cstheme="minorHAnsi"/>
          <w:sz w:val="24"/>
          <w:szCs w:val="24"/>
          <w:lang w:val="el-GR"/>
        </w:rPr>
        <w:t>ή</w:t>
      </w:r>
      <w:r w:rsidR="006D7DB4">
        <w:rPr>
          <w:rFonts w:cstheme="minorHAnsi"/>
          <w:sz w:val="24"/>
          <w:szCs w:val="24"/>
          <w:lang w:val="el-GR"/>
        </w:rPr>
        <w:t>λο</w:t>
      </w:r>
      <w:r w:rsidR="005A3519">
        <w:rPr>
          <w:rFonts w:cstheme="minorHAnsi"/>
          <w:sz w:val="24"/>
          <w:szCs w:val="24"/>
          <w:lang w:val="el-GR"/>
        </w:rPr>
        <w:t>υς</w:t>
      </w:r>
      <w:r w:rsidR="006D7DB4">
        <w:rPr>
          <w:rFonts w:cstheme="minorHAnsi"/>
          <w:sz w:val="24"/>
          <w:szCs w:val="24"/>
          <w:lang w:val="el-GR"/>
        </w:rPr>
        <w:t xml:space="preserve">, παρά </w:t>
      </w:r>
      <w:r w:rsidR="005A3519">
        <w:rPr>
          <w:rFonts w:cstheme="minorHAnsi"/>
          <w:sz w:val="24"/>
          <w:szCs w:val="24"/>
          <w:lang w:val="el-GR"/>
        </w:rPr>
        <w:t xml:space="preserve">από </w:t>
      </w:r>
      <w:r>
        <w:rPr>
          <w:rFonts w:cstheme="minorHAnsi"/>
          <w:sz w:val="24"/>
          <w:szCs w:val="24"/>
          <w:lang w:val="el-GR"/>
        </w:rPr>
        <w:t>υ</w:t>
      </w:r>
      <w:r w:rsidR="006D7DB4">
        <w:rPr>
          <w:rFonts w:cstheme="minorHAnsi"/>
          <w:sz w:val="24"/>
          <w:szCs w:val="24"/>
          <w:lang w:val="el-GR"/>
        </w:rPr>
        <w:t>ψηλόβαθμο</w:t>
      </w:r>
      <w:r w:rsidR="005A3519">
        <w:rPr>
          <w:rFonts w:cstheme="minorHAnsi"/>
          <w:sz w:val="24"/>
          <w:szCs w:val="24"/>
          <w:lang w:val="el-GR"/>
        </w:rPr>
        <w:t>υς</w:t>
      </w:r>
      <w:r w:rsidR="006D7DB4">
        <w:rPr>
          <w:rFonts w:cstheme="minorHAnsi"/>
          <w:sz w:val="24"/>
          <w:szCs w:val="24"/>
          <w:lang w:val="el-GR"/>
        </w:rPr>
        <w:t xml:space="preserve"> κυβερνητικο</w:t>
      </w:r>
      <w:r w:rsidR="005A3519">
        <w:rPr>
          <w:rFonts w:cstheme="minorHAnsi"/>
          <w:sz w:val="24"/>
          <w:szCs w:val="24"/>
          <w:lang w:val="el-GR"/>
        </w:rPr>
        <w:t>ύς</w:t>
      </w:r>
      <w:r>
        <w:rPr>
          <w:rFonts w:cstheme="minorHAnsi"/>
          <w:sz w:val="24"/>
          <w:szCs w:val="24"/>
          <w:lang w:val="el-GR"/>
        </w:rPr>
        <w:t xml:space="preserve"> αξιωματούχους</w:t>
      </w:r>
      <w:r w:rsidR="00A5147D" w:rsidRPr="006D7DB4">
        <w:rPr>
          <w:rFonts w:cstheme="minorHAnsi"/>
          <w:sz w:val="24"/>
          <w:szCs w:val="24"/>
          <w:lang w:val="el-GR"/>
        </w:rPr>
        <w:t>.</w:t>
      </w:r>
    </w:p>
    <w:p w14:paraId="310075FC" w14:textId="77777777" w:rsidR="00A5147D" w:rsidRPr="006D7DB4" w:rsidRDefault="00A5147D" w:rsidP="00A5147D">
      <w:pPr>
        <w:keepNext/>
        <w:tabs>
          <w:tab w:val="left" w:pos="709"/>
        </w:tabs>
        <w:rPr>
          <w:rFonts w:cstheme="minorHAnsi"/>
          <w:sz w:val="24"/>
          <w:szCs w:val="24"/>
          <w:lang w:val="el-GR"/>
        </w:rPr>
      </w:pPr>
    </w:p>
    <w:p w14:paraId="79BB0163" w14:textId="10FA8983" w:rsidR="00A5147D" w:rsidRPr="00CA1894" w:rsidRDefault="005F57D4" w:rsidP="00A5147D">
      <w:pPr>
        <w:keepNext/>
        <w:numPr>
          <w:ilvl w:val="0"/>
          <w:numId w:val="1"/>
        </w:numPr>
        <w:tabs>
          <w:tab w:val="clear" w:pos="6095"/>
          <w:tab w:val="left" w:pos="709"/>
        </w:tabs>
        <w:ind w:left="0" w:firstLine="0"/>
        <w:rPr>
          <w:rFonts w:cstheme="minorHAnsi"/>
          <w:sz w:val="24"/>
          <w:szCs w:val="24"/>
          <w:lang w:val="el-GR"/>
        </w:rPr>
      </w:pPr>
      <w:r>
        <w:rPr>
          <w:rFonts w:cstheme="minorHAnsi"/>
          <w:sz w:val="24"/>
          <w:szCs w:val="24"/>
        </w:rPr>
        <w:t>H</w:t>
      </w:r>
      <w:r w:rsidR="00A5147D" w:rsidRPr="00CA1894">
        <w:rPr>
          <w:rFonts w:cstheme="minorHAnsi"/>
          <w:sz w:val="24"/>
          <w:szCs w:val="24"/>
          <w:lang w:val="el-GR"/>
        </w:rPr>
        <w:t xml:space="preserve"> </w:t>
      </w:r>
      <w:r w:rsidR="00A5147D" w:rsidRPr="004E251E">
        <w:rPr>
          <w:rFonts w:cstheme="minorHAnsi"/>
          <w:sz w:val="24"/>
          <w:szCs w:val="24"/>
        </w:rPr>
        <w:t>GET</w:t>
      </w:r>
      <w:r w:rsidR="00A5147D" w:rsidRPr="00CA1894">
        <w:rPr>
          <w:rFonts w:cstheme="minorHAnsi"/>
          <w:sz w:val="24"/>
          <w:szCs w:val="24"/>
          <w:lang w:val="el-GR"/>
        </w:rPr>
        <w:t xml:space="preserve"> </w:t>
      </w:r>
      <w:r>
        <w:rPr>
          <w:rFonts w:cstheme="minorHAnsi"/>
          <w:sz w:val="24"/>
          <w:szCs w:val="24"/>
          <w:lang w:val="el-GR"/>
        </w:rPr>
        <w:t>θεωρεί</w:t>
      </w:r>
      <w:r w:rsidRPr="00CA1894">
        <w:rPr>
          <w:rFonts w:cstheme="minorHAnsi"/>
          <w:sz w:val="24"/>
          <w:szCs w:val="24"/>
          <w:lang w:val="el-GR"/>
        </w:rPr>
        <w:t xml:space="preserve"> </w:t>
      </w:r>
      <w:r>
        <w:rPr>
          <w:rFonts w:cstheme="minorHAnsi"/>
          <w:sz w:val="24"/>
          <w:szCs w:val="24"/>
          <w:lang w:val="el-GR"/>
        </w:rPr>
        <w:t>ότι</w:t>
      </w:r>
      <w:r w:rsidRPr="00CA1894">
        <w:rPr>
          <w:rFonts w:cstheme="minorHAnsi"/>
          <w:sz w:val="24"/>
          <w:szCs w:val="24"/>
          <w:lang w:val="el-GR"/>
        </w:rPr>
        <w:t xml:space="preserve"> </w:t>
      </w:r>
      <w:r>
        <w:rPr>
          <w:rFonts w:cstheme="minorHAnsi"/>
          <w:sz w:val="24"/>
          <w:szCs w:val="24"/>
          <w:lang w:val="el-GR"/>
        </w:rPr>
        <w:t>πρέπει</w:t>
      </w:r>
      <w:r w:rsidRPr="00CA1894">
        <w:rPr>
          <w:rFonts w:cstheme="minorHAnsi"/>
          <w:sz w:val="24"/>
          <w:szCs w:val="24"/>
          <w:lang w:val="el-GR"/>
        </w:rPr>
        <w:t xml:space="preserve"> </w:t>
      </w:r>
      <w:r>
        <w:rPr>
          <w:rFonts w:cstheme="minorHAnsi"/>
          <w:sz w:val="24"/>
          <w:szCs w:val="24"/>
          <w:lang w:val="el-GR"/>
        </w:rPr>
        <w:t>να</w:t>
      </w:r>
      <w:r w:rsidRPr="00CA1894">
        <w:rPr>
          <w:rFonts w:cstheme="minorHAnsi"/>
          <w:sz w:val="24"/>
          <w:szCs w:val="24"/>
          <w:lang w:val="el-GR"/>
        </w:rPr>
        <w:t xml:space="preserve"> </w:t>
      </w:r>
      <w:r>
        <w:rPr>
          <w:rFonts w:cstheme="minorHAnsi"/>
          <w:sz w:val="24"/>
          <w:szCs w:val="24"/>
          <w:lang w:val="el-GR"/>
        </w:rPr>
        <w:t>υπάρ</w:t>
      </w:r>
      <w:r w:rsidR="005D7102">
        <w:rPr>
          <w:rFonts w:cstheme="minorHAnsi"/>
          <w:sz w:val="24"/>
          <w:szCs w:val="24"/>
          <w:lang w:val="el-GR"/>
        </w:rPr>
        <w:t>ξ</w:t>
      </w:r>
      <w:r>
        <w:rPr>
          <w:rFonts w:cstheme="minorHAnsi"/>
          <w:sz w:val="24"/>
          <w:szCs w:val="24"/>
          <w:lang w:val="el-GR"/>
        </w:rPr>
        <w:t>ει</w:t>
      </w:r>
      <w:r w:rsidRPr="00CA1894">
        <w:rPr>
          <w:rFonts w:cstheme="minorHAnsi"/>
          <w:sz w:val="24"/>
          <w:szCs w:val="24"/>
          <w:lang w:val="el-GR"/>
        </w:rPr>
        <w:t xml:space="preserve"> </w:t>
      </w:r>
      <w:r>
        <w:rPr>
          <w:rFonts w:cstheme="minorHAnsi"/>
          <w:sz w:val="24"/>
          <w:szCs w:val="24"/>
          <w:lang w:val="el-GR"/>
        </w:rPr>
        <w:t>ένας</w:t>
      </w:r>
      <w:r w:rsidRPr="00CA1894">
        <w:rPr>
          <w:rFonts w:cstheme="minorHAnsi"/>
          <w:sz w:val="24"/>
          <w:szCs w:val="24"/>
          <w:lang w:val="el-GR"/>
        </w:rPr>
        <w:t xml:space="preserve"> </w:t>
      </w:r>
      <w:r>
        <w:rPr>
          <w:rFonts w:cstheme="minorHAnsi"/>
          <w:sz w:val="24"/>
          <w:szCs w:val="24"/>
          <w:lang w:val="el-GR"/>
        </w:rPr>
        <w:t>αποκλειστικ</w:t>
      </w:r>
      <w:r w:rsidR="00CA1894">
        <w:rPr>
          <w:rFonts w:cstheme="minorHAnsi"/>
          <w:sz w:val="24"/>
          <w:szCs w:val="24"/>
          <w:lang w:val="el-GR"/>
        </w:rPr>
        <w:t>ό</w:t>
      </w:r>
      <w:r>
        <w:rPr>
          <w:rFonts w:cstheme="minorHAnsi"/>
          <w:sz w:val="24"/>
          <w:szCs w:val="24"/>
          <w:lang w:val="el-GR"/>
        </w:rPr>
        <w:t>ς</w:t>
      </w:r>
      <w:r w:rsidRPr="00CA1894">
        <w:rPr>
          <w:rFonts w:cstheme="minorHAnsi"/>
          <w:sz w:val="24"/>
          <w:szCs w:val="24"/>
          <w:lang w:val="el-GR"/>
        </w:rPr>
        <w:t xml:space="preserve"> </w:t>
      </w:r>
      <w:r>
        <w:rPr>
          <w:rFonts w:cstheme="minorHAnsi"/>
          <w:sz w:val="24"/>
          <w:szCs w:val="24"/>
          <w:lang w:val="el-GR"/>
        </w:rPr>
        <w:t>μηχανισμός</w:t>
      </w:r>
      <w:r w:rsidRPr="00CA1894">
        <w:rPr>
          <w:rFonts w:cstheme="minorHAnsi"/>
          <w:sz w:val="24"/>
          <w:szCs w:val="24"/>
          <w:lang w:val="el-GR"/>
        </w:rPr>
        <w:t xml:space="preserve"> </w:t>
      </w:r>
      <w:r>
        <w:rPr>
          <w:rFonts w:cstheme="minorHAnsi"/>
          <w:sz w:val="24"/>
          <w:szCs w:val="24"/>
          <w:lang w:val="el-GR"/>
        </w:rPr>
        <w:t>για</w:t>
      </w:r>
      <w:r w:rsidR="00B33076">
        <w:rPr>
          <w:rFonts w:cstheme="minorHAnsi"/>
          <w:sz w:val="24"/>
          <w:szCs w:val="24"/>
          <w:lang w:val="el-GR"/>
        </w:rPr>
        <w:t xml:space="preserve"> </w:t>
      </w:r>
      <w:r w:rsidR="00B33076">
        <w:rPr>
          <w:rFonts w:cstheme="minorHAnsi"/>
          <w:sz w:val="24"/>
          <w:szCs w:val="24"/>
          <w:lang w:val="en-US"/>
        </w:rPr>
        <w:t>PTEFs</w:t>
      </w:r>
      <w:r w:rsidR="00A5147D" w:rsidRPr="00CA1894">
        <w:rPr>
          <w:rFonts w:cstheme="minorHAnsi"/>
          <w:sz w:val="24"/>
          <w:szCs w:val="24"/>
          <w:lang w:val="el-GR"/>
        </w:rPr>
        <w:t xml:space="preserve">, </w:t>
      </w:r>
      <w:r>
        <w:rPr>
          <w:rFonts w:cstheme="minorHAnsi"/>
          <w:sz w:val="24"/>
          <w:szCs w:val="24"/>
          <w:lang w:val="el-GR"/>
        </w:rPr>
        <w:t>που</w:t>
      </w:r>
      <w:r w:rsidRPr="00CA1894">
        <w:rPr>
          <w:rFonts w:cstheme="minorHAnsi"/>
          <w:sz w:val="24"/>
          <w:szCs w:val="24"/>
          <w:lang w:val="el-GR"/>
        </w:rPr>
        <w:t xml:space="preserve"> </w:t>
      </w:r>
      <w:r>
        <w:rPr>
          <w:rFonts w:cstheme="minorHAnsi"/>
          <w:sz w:val="24"/>
          <w:szCs w:val="24"/>
          <w:lang w:val="el-GR"/>
        </w:rPr>
        <w:t>θα</w:t>
      </w:r>
      <w:r w:rsidRPr="00CA1894">
        <w:rPr>
          <w:rFonts w:cstheme="minorHAnsi"/>
          <w:sz w:val="24"/>
          <w:szCs w:val="24"/>
          <w:lang w:val="el-GR"/>
        </w:rPr>
        <w:t xml:space="preserve"> </w:t>
      </w:r>
      <w:r>
        <w:rPr>
          <w:rFonts w:cstheme="minorHAnsi"/>
          <w:sz w:val="24"/>
          <w:szCs w:val="24"/>
          <w:lang w:val="el-GR"/>
        </w:rPr>
        <w:t>προωθούσε</w:t>
      </w:r>
      <w:r w:rsidRPr="00CA1894">
        <w:rPr>
          <w:rFonts w:cstheme="minorHAnsi"/>
          <w:sz w:val="24"/>
          <w:szCs w:val="24"/>
          <w:lang w:val="el-GR"/>
        </w:rPr>
        <w:t xml:space="preserve"> </w:t>
      </w:r>
      <w:r>
        <w:rPr>
          <w:rFonts w:cstheme="minorHAnsi"/>
          <w:sz w:val="24"/>
          <w:szCs w:val="24"/>
          <w:lang w:val="el-GR"/>
        </w:rPr>
        <w:t>και</w:t>
      </w:r>
      <w:r w:rsidRPr="00CA1894">
        <w:rPr>
          <w:rFonts w:cstheme="minorHAnsi"/>
          <w:sz w:val="24"/>
          <w:szCs w:val="24"/>
          <w:lang w:val="el-GR"/>
        </w:rPr>
        <w:t xml:space="preserve"> </w:t>
      </w:r>
      <w:r>
        <w:rPr>
          <w:rFonts w:cstheme="minorHAnsi"/>
          <w:sz w:val="24"/>
          <w:szCs w:val="24"/>
          <w:lang w:val="el-GR"/>
        </w:rPr>
        <w:t>θα</w:t>
      </w:r>
      <w:r w:rsidRPr="00CA1894">
        <w:rPr>
          <w:rFonts w:cstheme="minorHAnsi"/>
          <w:sz w:val="24"/>
          <w:szCs w:val="24"/>
          <w:lang w:val="el-GR"/>
        </w:rPr>
        <w:t xml:space="preserve"> </w:t>
      </w:r>
      <w:r w:rsidR="00CA1894">
        <w:rPr>
          <w:rFonts w:cstheme="minorHAnsi"/>
          <w:sz w:val="24"/>
          <w:szCs w:val="24"/>
          <w:lang w:val="el-GR"/>
        </w:rPr>
        <w:t>αύξανε</w:t>
      </w:r>
      <w:r w:rsidR="00CA1894" w:rsidRPr="00CA1894">
        <w:rPr>
          <w:rFonts w:cstheme="minorHAnsi"/>
          <w:sz w:val="24"/>
          <w:szCs w:val="24"/>
          <w:lang w:val="el-GR"/>
        </w:rPr>
        <w:t xml:space="preserve"> </w:t>
      </w:r>
      <w:r w:rsidR="00CA1894">
        <w:rPr>
          <w:rFonts w:cstheme="minorHAnsi"/>
          <w:sz w:val="24"/>
          <w:szCs w:val="24"/>
          <w:lang w:val="el-GR"/>
        </w:rPr>
        <w:t>την</w:t>
      </w:r>
      <w:r w:rsidR="00CA1894" w:rsidRPr="00CA1894">
        <w:rPr>
          <w:rFonts w:cstheme="minorHAnsi"/>
          <w:sz w:val="24"/>
          <w:szCs w:val="24"/>
          <w:lang w:val="el-GR"/>
        </w:rPr>
        <w:t xml:space="preserve"> </w:t>
      </w:r>
      <w:r w:rsidR="00CA1894">
        <w:rPr>
          <w:rFonts w:cstheme="minorHAnsi"/>
          <w:sz w:val="24"/>
          <w:szCs w:val="24"/>
          <w:lang w:val="el-GR"/>
        </w:rPr>
        <w:t>ευαισθητοποίηση</w:t>
      </w:r>
      <w:r w:rsidR="00CA1894" w:rsidRPr="00CA1894">
        <w:rPr>
          <w:rFonts w:cstheme="minorHAnsi"/>
          <w:sz w:val="24"/>
          <w:szCs w:val="24"/>
          <w:lang w:val="el-GR"/>
        </w:rPr>
        <w:t xml:space="preserve"> </w:t>
      </w:r>
      <w:r w:rsidR="00CA1894">
        <w:rPr>
          <w:rFonts w:cstheme="minorHAnsi"/>
          <w:sz w:val="24"/>
          <w:szCs w:val="24"/>
          <w:lang w:val="el-GR"/>
        </w:rPr>
        <w:t>τους</w:t>
      </w:r>
      <w:r w:rsidR="00CA1894" w:rsidRPr="00CA1894">
        <w:rPr>
          <w:rFonts w:cstheme="minorHAnsi"/>
          <w:sz w:val="24"/>
          <w:szCs w:val="24"/>
          <w:lang w:val="el-GR"/>
        </w:rPr>
        <w:t xml:space="preserve"> </w:t>
      </w:r>
      <w:r w:rsidR="00CA1894">
        <w:rPr>
          <w:rFonts w:cstheme="minorHAnsi"/>
          <w:sz w:val="24"/>
          <w:szCs w:val="24"/>
          <w:lang w:val="el-GR"/>
        </w:rPr>
        <w:t>σε</w:t>
      </w:r>
      <w:r w:rsidR="00CA1894" w:rsidRPr="00CA1894">
        <w:rPr>
          <w:rFonts w:cstheme="minorHAnsi"/>
          <w:sz w:val="24"/>
          <w:szCs w:val="24"/>
          <w:lang w:val="el-GR"/>
        </w:rPr>
        <w:t xml:space="preserve"> </w:t>
      </w:r>
      <w:r w:rsidR="00CA1894">
        <w:rPr>
          <w:rFonts w:cstheme="minorHAnsi"/>
          <w:sz w:val="24"/>
          <w:szCs w:val="24"/>
          <w:lang w:val="el-GR"/>
        </w:rPr>
        <w:t>θ</w:t>
      </w:r>
      <w:r w:rsidR="005D7102">
        <w:rPr>
          <w:rFonts w:cstheme="minorHAnsi"/>
          <w:sz w:val="24"/>
          <w:szCs w:val="24"/>
          <w:lang w:val="el-GR"/>
        </w:rPr>
        <w:t>έ</w:t>
      </w:r>
      <w:r w:rsidR="00CA1894">
        <w:rPr>
          <w:rFonts w:cstheme="minorHAnsi"/>
          <w:sz w:val="24"/>
          <w:szCs w:val="24"/>
          <w:lang w:val="el-GR"/>
        </w:rPr>
        <w:t>ματα</w:t>
      </w:r>
      <w:r w:rsidR="00CA1894" w:rsidRPr="00CA1894">
        <w:rPr>
          <w:rFonts w:cstheme="minorHAnsi"/>
          <w:sz w:val="24"/>
          <w:szCs w:val="24"/>
          <w:lang w:val="el-GR"/>
        </w:rPr>
        <w:t xml:space="preserve"> </w:t>
      </w:r>
      <w:r w:rsidR="00CA1894">
        <w:rPr>
          <w:rFonts w:cstheme="minorHAnsi"/>
          <w:sz w:val="24"/>
          <w:szCs w:val="24"/>
          <w:lang w:val="el-GR"/>
        </w:rPr>
        <w:t>ακεραιότητας</w:t>
      </w:r>
      <w:r w:rsidR="00A5147D" w:rsidRPr="00CA1894">
        <w:rPr>
          <w:rFonts w:cstheme="minorHAnsi"/>
          <w:sz w:val="24"/>
          <w:szCs w:val="24"/>
          <w:lang w:val="el-GR"/>
        </w:rPr>
        <w:t xml:space="preserve">, </w:t>
      </w:r>
      <w:r w:rsidR="00CA1894">
        <w:rPr>
          <w:rFonts w:cstheme="minorHAnsi"/>
          <w:sz w:val="24"/>
          <w:szCs w:val="24"/>
          <w:lang w:val="el-GR"/>
        </w:rPr>
        <w:t>συμπεριλαμβανομένου και παροχής εμπιστευ</w:t>
      </w:r>
      <w:r w:rsidR="005D7102">
        <w:rPr>
          <w:rFonts w:cstheme="minorHAnsi"/>
          <w:sz w:val="24"/>
          <w:szCs w:val="24"/>
          <w:lang w:val="el-GR"/>
        </w:rPr>
        <w:t>τ</w:t>
      </w:r>
      <w:r w:rsidR="00CA1894">
        <w:rPr>
          <w:rFonts w:cstheme="minorHAnsi"/>
          <w:sz w:val="24"/>
          <w:szCs w:val="24"/>
          <w:lang w:val="el-GR"/>
        </w:rPr>
        <w:t>ικών συμβουλών όποτε χρειασθεί</w:t>
      </w:r>
      <w:r w:rsidR="00A5147D" w:rsidRPr="00CA1894">
        <w:rPr>
          <w:rFonts w:cstheme="minorHAnsi"/>
          <w:sz w:val="24"/>
          <w:szCs w:val="24"/>
          <w:lang w:val="el-GR"/>
        </w:rPr>
        <w:t xml:space="preserve">, </w:t>
      </w:r>
      <w:r w:rsidR="00CA1894">
        <w:rPr>
          <w:rFonts w:cstheme="minorHAnsi"/>
          <w:sz w:val="24"/>
          <w:szCs w:val="24"/>
          <w:lang w:val="el-GR"/>
        </w:rPr>
        <w:t xml:space="preserve">καθώς επίσης </w:t>
      </w:r>
      <w:r w:rsidR="00762B8A">
        <w:rPr>
          <w:rFonts w:cstheme="minorHAnsi"/>
          <w:sz w:val="24"/>
          <w:szCs w:val="24"/>
          <w:lang w:val="el-GR"/>
        </w:rPr>
        <w:t xml:space="preserve">ενταξιακή </w:t>
      </w:r>
      <w:r w:rsidR="00CA1894">
        <w:rPr>
          <w:rFonts w:cstheme="minorHAnsi"/>
          <w:sz w:val="24"/>
          <w:szCs w:val="24"/>
          <w:lang w:val="el-GR"/>
        </w:rPr>
        <w:t xml:space="preserve">και </w:t>
      </w:r>
      <w:proofErr w:type="spellStart"/>
      <w:r w:rsidR="00CA1894">
        <w:rPr>
          <w:rFonts w:cstheme="minorHAnsi"/>
          <w:sz w:val="24"/>
          <w:szCs w:val="24"/>
          <w:lang w:val="el-GR"/>
        </w:rPr>
        <w:t>ενδοϋπηρεσιακή</w:t>
      </w:r>
      <w:proofErr w:type="spellEnd"/>
      <w:r w:rsidR="00762B8A">
        <w:rPr>
          <w:rFonts w:cstheme="minorHAnsi"/>
          <w:sz w:val="24"/>
          <w:szCs w:val="24"/>
          <w:lang w:val="el-GR"/>
        </w:rPr>
        <w:t xml:space="preserve"> επιμόρφωση</w:t>
      </w:r>
      <w:r w:rsidR="00A5147D" w:rsidRPr="00CA1894">
        <w:rPr>
          <w:rFonts w:cstheme="minorHAnsi"/>
          <w:sz w:val="24"/>
          <w:szCs w:val="24"/>
          <w:lang w:val="el-GR"/>
        </w:rPr>
        <w:t xml:space="preserve">. </w:t>
      </w:r>
      <w:r w:rsidR="00CA1894">
        <w:rPr>
          <w:rFonts w:cstheme="minorHAnsi"/>
          <w:sz w:val="24"/>
          <w:szCs w:val="24"/>
          <w:lang w:val="el-GR"/>
        </w:rPr>
        <w:t>Επομένως</w:t>
      </w:r>
      <w:r w:rsidR="00A5147D" w:rsidRPr="00CA1894">
        <w:rPr>
          <w:rFonts w:cstheme="minorHAnsi"/>
          <w:sz w:val="24"/>
          <w:szCs w:val="24"/>
          <w:lang w:val="el-GR"/>
        </w:rPr>
        <w:t xml:space="preserve">, </w:t>
      </w:r>
      <w:r w:rsidR="00CA1894" w:rsidRPr="00CA1894">
        <w:rPr>
          <w:rFonts w:cstheme="minorHAnsi"/>
          <w:b/>
          <w:sz w:val="24"/>
          <w:szCs w:val="24"/>
          <w:lang w:val="el-GR"/>
        </w:rPr>
        <w:t xml:space="preserve">η </w:t>
      </w:r>
      <w:r w:rsidR="00A5147D" w:rsidRPr="004E251E">
        <w:rPr>
          <w:rFonts w:cstheme="minorHAnsi"/>
          <w:b/>
          <w:bCs/>
          <w:sz w:val="24"/>
          <w:szCs w:val="24"/>
        </w:rPr>
        <w:t>GRECO</w:t>
      </w:r>
      <w:r w:rsidR="00A5147D" w:rsidRPr="00CA1894">
        <w:rPr>
          <w:rFonts w:cstheme="minorHAnsi"/>
          <w:b/>
          <w:bCs/>
          <w:sz w:val="24"/>
          <w:szCs w:val="24"/>
          <w:lang w:val="el-GR"/>
        </w:rPr>
        <w:t xml:space="preserve"> </w:t>
      </w:r>
      <w:r w:rsidR="001B09F4">
        <w:rPr>
          <w:rFonts w:cstheme="minorHAnsi"/>
          <w:b/>
          <w:bCs/>
          <w:sz w:val="24"/>
          <w:szCs w:val="24"/>
          <w:lang w:val="el-GR"/>
        </w:rPr>
        <w:t>συνιστά</w:t>
      </w:r>
      <w:r w:rsidR="00A5147D" w:rsidRPr="00CA1894">
        <w:rPr>
          <w:rFonts w:cstheme="minorHAnsi"/>
          <w:sz w:val="24"/>
          <w:szCs w:val="24"/>
          <w:lang w:val="el-GR"/>
        </w:rPr>
        <w:t xml:space="preserve"> </w:t>
      </w:r>
      <w:r w:rsidR="00A5147D" w:rsidRPr="00CA1894">
        <w:rPr>
          <w:rFonts w:cstheme="minorHAnsi"/>
          <w:b/>
          <w:bCs/>
          <w:sz w:val="24"/>
          <w:szCs w:val="24"/>
          <w:lang w:val="el-GR"/>
        </w:rPr>
        <w:t>(</w:t>
      </w:r>
      <w:proofErr w:type="spellStart"/>
      <w:r w:rsidR="00A5147D" w:rsidRPr="004E251E">
        <w:rPr>
          <w:rFonts w:cstheme="minorHAnsi"/>
          <w:b/>
          <w:bCs/>
          <w:sz w:val="24"/>
          <w:szCs w:val="24"/>
        </w:rPr>
        <w:t>i</w:t>
      </w:r>
      <w:proofErr w:type="spellEnd"/>
      <w:r w:rsidR="00A5147D" w:rsidRPr="00CA1894">
        <w:rPr>
          <w:rFonts w:cstheme="minorHAnsi"/>
          <w:b/>
          <w:bCs/>
          <w:sz w:val="24"/>
          <w:szCs w:val="24"/>
          <w:lang w:val="el-GR"/>
        </w:rPr>
        <w:t xml:space="preserve">) </w:t>
      </w:r>
      <w:r w:rsidR="00CA1894">
        <w:rPr>
          <w:rFonts w:cstheme="minorHAnsi"/>
          <w:b/>
          <w:bCs/>
          <w:sz w:val="24"/>
          <w:szCs w:val="24"/>
          <w:lang w:val="el-GR"/>
        </w:rPr>
        <w:t>την</w:t>
      </w:r>
      <w:r w:rsidR="00CA1894" w:rsidRPr="00CA1894">
        <w:rPr>
          <w:rFonts w:cstheme="minorHAnsi"/>
          <w:b/>
          <w:bCs/>
          <w:sz w:val="24"/>
          <w:szCs w:val="24"/>
          <w:lang w:val="el-GR"/>
        </w:rPr>
        <w:t xml:space="preserve"> </w:t>
      </w:r>
      <w:r w:rsidR="00CA1894">
        <w:rPr>
          <w:rFonts w:cstheme="minorHAnsi"/>
          <w:b/>
          <w:bCs/>
          <w:sz w:val="24"/>
          <w:szCs w:val="24"/>
          <w:lang w:val="el-GR"/>
        </w:rPr>
        <w:t>ανάπτυξη</w:t>
      </w:r>
      <w:r w:rsidR="00CA1894" w:rsidRPr="00CA1894">
        <w:rPr>
          <w:rFonts w:cstheme="minorHAnsi"/>
          <w:b/>
          <w:bCs/>
          <w:sz w:val="24"/>
          <w:szCs w:val="24"/>
          <w:lang w:val="el-GR"/>
        </w:rPr>
        <w:t xml:space="preserve"> </w:t>
      </w:r>
      <w:r w:rsidR="00CA1894">
        <w:rPr>
          <w:rFonts w:cstheme="minorHAnsi"/>
          <w:b/>
          <w:bCs/>
          <w:sz w:val="24"/>
          <w:szCs w:val="24"/>
          <w:lang w:val="el-GR"/>
        </w:rPr>
        <w:t>μηχανισμών</w:t>
      </w:r>
      <w:r w:rsidR="00A5147D" w:rsidRPr="00CA1894">
        <w:rPr>
          <w:rFonts w:cstheme="minorHAnsi"/>
          <w:b/>
          <w:bCs/>
          <w:sz w:val="24"/>
          <w:szCs w:val="24"/>
          <w:lang w:val="el-GR"/>
        </w:rPr>
        <w:t xml:space="preserve"> </w:t>
      </w:r>
      <w:r w:rsidR="00CA1894">
        <w:rPr>
          <w:rFonts w:cstheme="minorHAnsi"/>
          <w:b/>
          <w:bCs/>
          <w:sz w:val="24"/>
          <w:szCs w:val="24"/>
          <w:lang w:val="el-GR"/>
        </w:rPr>
        <w:t>για</w:t>
      </w:r>
      <w:r w:rsidR="00CA1894" w:rsidRPr="00CA1894">
        <w:rPr>
          <w:rFonts w:cstheme="minorHAnsi"/>
          <w:b/>
          <w:bCs/>
          <w:sz w:val="24"/>
          <w:szCs w:val="24"/>
          <w:lang w:val="el-GR"/>
        </w:rPr>
        <w:t xml:space="preserve"> </w:t>
      </w:r>
      <w:r w:rsidR="00CA1894">
        <w:rPr>
          <w:rFonts w:cstheme="minorHAnsi"/>
          <w:b/>
          <w:bCs/>
          <w:sz w:val="24"/>
          <w:szCs w:val="24"/>
          <w:lang w:val="el-GR"/>
        </w:rPr>
        <w:t>την</w:t>
      </w:r>
      <w:r w:rsidR="00CA1894" w:rsidRPr="00CA1894">
        <w:rPr>
          <w:rFonts w:cstheme="minorHAnsi"/>
          <w:b/>
          <w:bCs/>
          <w:sz w:val="24"/>
          <w:szCs w:val="24"/>
          <w:lang w:val="el-GR"/>
        </w:rPr>
        <w:t xml:space="preserve"> </w:t>
      </w:r>
      <w:r w:rsidR="00CA1894">
        <w:rPr>
          <w:rFonts w:cstheme="minorHAnsi"/>
          <w:b/>
          <w:bCs/>
          <w:sz w:val="24"/>
          <w:szCs w:val="24"/>
          <w:lang w:val="el-GR"/>
        </w:rPr>
        <w:t>προώθηση</w:t>
      </w:r>
      <w:r w:rsidR="00CA1894" w:rsidRPr="00CA1894">
        <w:rPr>
          <w:rFonts w:cstheme="minorHAnsi"/>
          <w:b/>
          <w:bCs/>
          <w:sz w:val="24"/>
          <w:szCs w:val="24"/>
          <w:lang w:val="el-GR"/>
        </w:rPr>
        <w:t xml:space="preserve"> </w:t>
      </w:r>
      <w:r w:rsidR="00CA1894">
        <w:rPr>
          <w:rFonts w:cstheme="minorHAnsi"/>
          <w:b/>
          <w:bCs/>
          <w:sz w:val="24"/>
          <w:szCs w:val="24"/>
          <w:lang w:val="el-GR"/>
        </w:rPr>
        <w:t>και</w:t>
      </w:r>
      <w:r w:rsidR="00CA1894" w:rsidRPr="00CA1894">
        <w:rPr>
          <w:rFonts w:cstheme="minorHAnsi"/>
          <w:b/>
          <w:bCs/>
          <w:sz w:val="24"/>
          <w:szCs w:val="24"/>
          <w:lang w:val="el-GR"/>
        </w:rPr>
        <w:t xml:space="preserve"> </w:t>
      </w:r>
      <w:r w:rsidR="00CA1894">
        <w:rPr>
          <w:rFonts w:cstheme="minorHAnsi"/>
          <w:b/>
          <w:bCs/>
          <w:sz w:val="24"/>
          <w:szCs w:val="24"/>
          <w:lang w:val="el-GR"/>
        </w:rPr>
        <w:t>την</w:t>
      </w:r>
      <w:r w:rsidR="00CA1894" w:rsidRPr="00CA1894">
        <w:rPr>
          <w:rFonts w:cstheme="minorHAnsi"/>
          <w:b/>
          <w:bCs/>
          <w:sz w:val="24"/>
          <w:szCs w:val="24"/>
          <w:lang w:val="el-GR"/>
        </w:rPr>
        <w:t xml:space="preserve"> </w:t>
      </w:r>
      <w:r w:rsidR="001F3FD5">
        <w:rPr>
          <w:rFonts w:cstheme="minorHAnsi"/>
          <w:b/>
          <w:bCs/>
          <w:sz w:val="24"/>
          <w:szCs w:val="24"/>
          <w:lang w:val="el-GR"/>
        </w:rPr>
        <w:t xml:space="preserve">ανάδειξη </w:t>
      </w:r>
      <w:r w:rsidR="00CA1894">
        <w:rPr>
          <w:rFonts w:cstheme="minorHAnsi"/>
          <w:b/>
          <w:bCs/>
          <w:sz w:val="24"/>
          <w:szCs w:val="24"/>
          <w:lang w:val="el-GR"/>
        </w:rPr>
        <w:t>της</w:t>
      </w:r>
      <w:r w:rsidR="00CA1894" w:rsidRPr="00CA1894">
        <w:rPr>
          <w:rFonts w:cstheme="minorHAnsi"/>
          <w:b/>
          <w:bCs/>
          <w:sz w:val="24"/>
          <w:szCs w:val="24"/>
          <w:lang w:val="el-GR"/>
        </w:rPr>
        <w:t xml:space="preserve"> </w:t>
      </w:r>
      <w:r w:rsidR="00CA1894">
        <w:rPr>
          <w:rFonts w:cstheme="minorHAnsi"/>
          <w:b/>
          <w:bCs/>
          <w:sz w:val="24"/>
          <w:szCs w:val="24"/>
          <w:lang w:val="el-GR"/>
        </w:rPr>
        <w:t>ευαισθητοποίησης</w:t>
      </w:r>
      <w:r w:rsidR="00A5147D" w:rsidRPr="00CA1894">
        <w:rPr>
          <w:rFonts w:cstheme="minorHAnsi"/>
          <w:b/>
          <w:bCs/>
          <w:sz w:val="24"/>
          <w:szCs w:val="24"/>
          <w:lang w:val="el-GR"/>
        </w:rPr>
        <w:t xml:space="preserve"> </w:t>
      </w:r>
      <w:r w:rsidR="00CA1894">
        <w:rPr>
          <w:rFonts w:cstheme="minorHAnsi"/>
          <w:b/>
          <w:bCs/>
          <w:sz w:val="24"/>
          <w:szCs w:val="24"/>
          <w:lang w:val="el-GR"/>
        </w:rPr>
        <w:t>σε</w:t>
      </w:r>
      <w:r w:rsidR="00CA1894" w:rsidRPr="00CA1894">
        <w:rPr>
          <w:rFonts w:cstheme="minorHAnsi"/>
          <w:b/>
          <w:bCs/>
          <w:sz w:val="24"/>
          <w:szCs w:val="24"/>
          <w:lang w:val="el-GR"/>
        </w:rPr>
        <w:t xml:space="preserve"> </w:t>
      </w:r>
      <w:r w:rsidR="00CA1894">
        <w:rPr>
          <w:rFonts w:cstheme="minorHAnsi"/>
          <w:b/>
          <w:bCs/>
          <w:sz w:val="24"/>
          <w:szCs w:val="24"/>
          <w:lang w:val="el-GR"/>
        </w:rPr>
        <w:t>θέματα</w:t>
      </w:r>
      <w:r w:rsidR="00CA1894" w:rsidRPr="00CA1894">
        <w:rPr>
          <w:rFonts w:cstheme="minorHAnsi"/>
          <w:b/>
          <w:bCs/>
          <w:sz w:val="24"/>
          <w:szCs w:val="24"/>
          <w:lang w:val="el-GR"/>
        </w:rPr>
        <w:t xml:space="preserve"> </w:t>
      </w:r>
      <w:r w:rsidR="00CA1894">
        <w:rPr>
          <w:rFonts w:cstheme="minorHAnsi"/>
          <w:b/>
          <w:bCs/>
          <w:sz w:val="24"/>
          <w:szCs w:val="24"/>
          <w:lang w:val="el-GR"/>
        </w:rPr>
        <w:t>ακεραιότητας</w:t>
      </w:r>
      <w:r w:rsidR="00A5147D" w:rsidRPr="00CA1894">
        <w:rPr>
          <w:rFonts w:cstheme="minorHAnsi"/>
          <w:b/>
          <w:bCs/>
          <w:sz w:val="24"/>
          <w:szCs w:val="24"/>
          <w:lang w:val="el-GR"/>
        </w:rPr>
        <w:t xml:space="preserve"> </w:t>
      </w:r>
      <w:r w:rsidR="00CA1894">
        <w:rPr>
          <w:rFonts w:cstheme="minorHAnsi"/>
          <w:b/>
          <w:bCs/>
          <w:sz w:val="24"/>
          <w:szCs w:val="24"/>
          <w:lang w:val="el-GR"/>
        </w:rPr>
        <w:t>ανάμεσα</w:t>
      </w:r>
      <w:r w:rsidR="00CA1894" w:rsidRPr="00CA1894">
        <w:rPr>
          <w:rFonts w:cstheme="minorHAnsi"/>
          <w:b/>
          <w:bCs/>
          <w:sz w:val="24"/>
          <w:szCs w:val="24"/>
          <w:lang w:val="el-GR"/>
        </w:rPr>
        <w:t xml:space="preserve"> </w:t>
      </w:r>
      <w:r w:rsidR="00CA1894">
        <w:rPr>
          <w:rFonts w:cstheme="minorHAnsi"/>
          <w:b/>
          <w:bCs/>
          <w:sz w:val="24"/>
          <w:szCs w:val="24"/>
          <w:lang w:val="el-GR"/>
        </w:rPr>
        <w:t>σε</w:t>
      </w:r>
      <w:r w:rsidR="00CA1894" w:rsidRPr="00CA1894">
        <w:rPr>
          <w:rFonts w:cstheme="minorHAnsi"/>
          <w:b/>
          <w:bCs/>
          <w:sz w:val="24"/>
          <w:szCs w:val="24"/>
          <w:lang w:val="el-GR"/>
        </w:rPr>
        <w:t xml:space="preserve"> </w:t>
      </w:r>
      <w:r w:rsidR="00CA1894">
        <w:rPr>
          <w:rFonts w:cstheme="minorHAnsi"/>
          <w:b/>
          <w:bCs/>
          <w:sz w:val="24"/>
          <w:szCs w:val="24"/>
          <w:lang w:val="el-GR"/>
        </w:rPr>
        <w:t>άτομα</w:t>
      </w:r>
      <w:r w:rsidR="00A5147D" w:rsidRPr="00CA1894">
        <w:rPr>
          <w:rFonts w:cstheme="minorHAnsi"/>
          <w:b/>
          <w:bCs/>
          <w:sz w:val="24"/>
          <w:szCs w:val="24"/>
          <w:lang w:val="el-GR"/>
        </w:rPr>
        <w:t xml:space="preserve"> </w:t>
      </w:r>
      <w:r w:rsidR="00CA1894">
        <w:rPr>
          <w:rFonts w:cstheme="minorHAnsi"/>
          <w:b/>
          <w:bCs/>
          <w:sz w:val="24"/>
          <w:szCs w:val="24"/>
          <w:lang w:val="el-GR"/>
        </w:rPr>
        <w:t>που</w:t>
      </w:r>
      <w:r w:rsidR="00CA1894" w:rsidRPr="00CA1894">
        <w:rPr>
          <w:rFonts w:cstheme="minorHAnsi"/>
          <w:b/>
          <w:bCs/>
          <w:sz w:val="24"/>
          <w:szCs w:val="24"/>
          <w:lang w:val="el-GR"/>
        </w:rPr>
        <w:t xml:space="preserve"> </w:t>
      </w:r>
      <w:r w:rsidR="00CA1894">
        <w:rPr>
          <w:rFonts w:cstheme="minorHAnsi"/>
          <w:b/>
          <w:bCs/>
          <w:sz w:val="24"/>
          <w:szCs w:val="24"/>
          <w:lang w:val="el-GR"/>
        </w:rPr>
        <w:t>ασκούν</w:t>
      </w:r>
      <w:r w:rsidR="00CA1894" w:rsidRPr="00CA1894">
        <w:rPr>
          <w:rFonts w:cstheme="minorHAnsi"/>
          <w:b/>
          <w:bCs/>
          <w:sz w:val="24"/>
          <w:szCs w:val="24"/>
          <w:lang w:val="el-GR"/>
        </w:rPr>
        <w:t xml:space="preserve"> </w:t>
      </w:r>
      <w:r w:rsidR="00762B8A">
        <w:rPr>
          <w:rFonts w:cstheme="minorHAnsi"/>
          <w:b/>
          <w:bCs/>
          <w:sz w:val="24"/>
          <w:szCs w:val="24"/>
          <w:lang w:val="el-GR"/>
        </w:rPr>
        <w:t xml:space="preserve">ανώτατα </w:t>
      </w:r>
      <w:r w:rsidR="00CA1894">
        <w:rPr>
          <w:rFonts w:cstheme="minorHAnsi"/>
          <w:b/>
          <w:bCs/>
          <w:sz w:val="24"/>
          <w:szCs w:val="24"/>
          <w:lang w:val="el-GR"/>
        </w:rPr>
        <w:t>εκτελεστι</w:t>
      </w:r>
      <w:r w:rsidR="00762B8A">
        <w:rPr>
          <w:rFonts w:cstheme="minorHAnsi"/>
          <w:b/>
          <w:bCs/>
          <w:sz w:val="24"/>
          <w:szCs w:val="24"/>
          <w:lang w:val="el-GR"/>
        </w:rPr>
        <w:t>κά καθήκοντα</w:t>
      </w:r>
      <w:r w:rsidR="00A5147D" w:rsidRPr="00CA1894">
        <w:rPr>
          <w:rFonts w:cstheme="minorHAnsi"/>
          <w:b/>
          <w:bCs/>
          <w:sz w:val="24"/>
          <w:szCs w:val="24"/>
          <w:lang w:val="el-GR"/>
        </w:rPr>
        <w:t xml:space="preserve">, </w:t>
      </w:r>
      <w:r w:rsidR="00CA1894">
        <w:rPr>
          <w:rFonts w:cstheme="minorHAnsi"/>
          <w:b/>
          <w:bCs/>
          <w:sz w:val="24"/>
          <w:szCs w:val="24"/>
          <w:lang w:val="el-GR"/>
        </w:rPr>
        <w:t>συμπεριλαμβανομέν</w:t>
      </w:r>
      <w:r w:rsidR="001F3FD5">
        <w:rPr>
          <w:rFonts w:cstheme="minorHAnsi"/>
          <w:b/>
          <w:bCs/>
          <w:sz w:val="24"/>
          <w:szCs w:val="24"/>
          <w:lang w:val="el-GR"/>
        </w:rPr>
        <w:t>ης</w:t>
      </w:r>
      <w:r w:rsidR="00CA1894">
        <w:rPr>
          <w:rFonts w:cstheme="minorHAnsi"/>
          <w:b/>
          <w:bCs/>
          <w:sz w:val="24"/>
          <w:szCs w:val="24"/>
          <w:lang w:val="el-GR"/>
        </w:rPr>
        <w:t xml:space="preserve"> και μέσω </w:t>
      </w:r>
      <w:r w:rsidR="00762B8A">
        <w:rPr>
          <w:rFonts w:cstheme="minorHAnsi"/>
          <w:b/>
          <w:bCs/>
          <w:sz w:val="24"/>
          <w:szCs w:val="24"/>
          <w:lang w:val="el-GR"/>
        </w:rPr>
        <w:t xml:space="preserve">επιμόρφωσης </w:t>
      </w:r>
      <w:r w:rsidR="00CA1894">
        <w:rPr>
          <w:rFonts w:cstheme="minorHAnsi"/>
          <w:b/>
          <w:bCs/>
          <w:sz w:val="24"/>
          <w:szCs w:val="24"/>
          <w:lang w:val="el-GR"/>
        </w:rPr>
        <w:t>για την ακεραιότητα σε τακτά χρονικά διαστήματα,</w:t>
      </w:r>
      <w:r w:rsidR="00A5147D" w:rsidRPr="00CA1894">
        <w:rPr>
          <w:rFonts w:cstheme="minorHAnsi"/>
          <w:b/>
          <w:bCs/>
          <w:sz w:val="24"/>
          <w:szCs w:val="24"/>
          <w:lang w:val="el-GR"/>
        </w:rPr>
        <w:t xml:space="preserve"> </w:t>
      </w:r>
      <w:r w:rsidR="00CA1894">
        <w:rPr>
          <w:rFonts w:cstheme="minorHAnsi"/>
          <w:b/>
          <w:bCs/>
          <w:sz w:val="24"/>
          <w:szCs w:val="24"/>
          <w:lang w:val="el-GR"/>
        </w:rPr>
        <w:t>και</w:t>
      </w:r>
      <w:r w:rsidR="00A5147D" w:rsidRPr="00CA1894">
        <w:rPr>
          <w:rFonts w:cstheme="minorHAnsi"/>
          <w:b/>
          <w:bCs/>
          <w:sz w:val="24"/>
          <w:szCs w:val="24"/>
          <w:lang w:val="el-GR"/>
        </w:rPr>
        <w:t xml:space="preserve"> (</w:t>
      </w:r>
      <w:r w:rsidR="00A5147D" w:rsidRPr="004E251E">
        <w:rPr>
          <w:rFonts w:cstheme="minorHAnsi"/>
          <w:b/>
          <w:bCs/>
          <w:sz w:val="24"/>
          <w:szCs w:val="24"/>
        </w:rPr>
        <w:t>ii</w:t>
      </w:r>
      <w:r w:rsidR="00A5147D" w:rsidRPr="00CA1894">
        <w:rPr>
          <w:rFonts w:cstheme="minorHAnsi"/>
          <w:b/>
          <w:bCs/>
          <w:sz w:val="24"/>
          <w:szCs w:val="24"/>
          <w:lang w:val="el-GR"/>
        </w:rPr>
        <w:t xml:space="preserve">) </w:t>
      </w:r>
      <w:r w:rsidR="001E3D78">
        <w:rPr>
          <w:rFonts w:cstheme="minorHAnsi"/>
          <w:b/>
          <w:bCs/>
          <w:sz w:val="24"/>
          <w:szCs w:val="24"/>
          <w:lang w:val="el-GR"/>
        </w:rPr>
        <w:t xml:space="preserve">εγκαθίδρυση </w:t>
      </w:r>
      <w:r w:rsidR="00762B8A">
        <w:rPr>
          <w:rFonts w:cstheme="minorHAnsi"/>
          <w:b/>
          <w:bCs/>
          <w:sz w:val="24"/>
          <w:szCs w:val="24"/>
          <w:lang w:val="el-GR"/>
        </w:rPr>
        <w:t>ειδική</w:t>
      </w:r>
      <w:r w:rsidR="001E3D78">
        <w:rPr>
          <w:rFonts w:cstheme="minorHAnsi"/>
          <w:b/>
          <w:bCs/>
          <w:sz w:val="24"/>
          <w:szCs w:val="24"/>
          <w:lang w:val="el-GR"/>
        </w:rPr>
        <w:t>ς</w:t>
      </w:r>
      <w:r w:rsidR="00762B8A">
        <w:rPr>
          <w:rFonts w:cstheme="minorHAnsi"/>
          <w:b/>
          <w:bCs/>
          <w:sz w:val="24"/>
          <w:szCs w:val="24"/>
          <w:lang w:val="el-GR"/>
        </w:rPr>
        <w:t xml:space="preserve"> εμπιστευτική</w:t>
      </w:r>
      <w:r w:rsidR="001E3D78">
        <w:rPr>
          <w:rFonts w:cstheme="minorHAnsi"/>
          <w:b/>
          <w:bCs/>
          <w:sz w:val="24"/>
          <w:szCs w:val="24"/>
          <w:lang w:val="el-GR"/>
        </w:rPr>
        <w:t>ς</w:t>
      </w:r>
      <w:r w:rsidR="00762B8A">
        <w:rPr>
          <w:rFonts w:cstheme="minorHAnsi"/>
          <w:b/>
          <w:bCs/>
          <w:sz w:val="24"/>
          <w:szCs w:val="24"/>
          <w:lang w:val="el-GR"/>
        </w:rPr>
        <w:t xml:space="preserve"> συμβουλευτική</w:t>
      </w:r>
      <w:r w:rsidR="008D35D6">
        <w:rPr>
          <w:rFonts w:cstheme="minorHAnsi"/>
          <w:b/>
          <w:bCs/>
          <w:sz w:val="24"/>
          <w:szCs w:val="24"/>
          <w:lang w:val="el-GR"/>
        </w:rPr>
        <w:t>ς</w:t>
      </w:r>
      <w:r w:rsidR="00762B8A">
        <w:rPr>
          <w:rFonts w:cstheme="minorHAnsi"/>
          <w:b/>
          <w:bCs/>
          <w:sz w:val="24"/>
          <w:szCs w:val="24"/>
          <w:lang w:val="el-GR"/>
        </w:rPr>
        <w:t xml:space="preserve"> </w:t>
      </w:r>
      <w:r w:rsidR="00537525">
        <w:rPr>
          <w:rFonts w:cstheme="minorHAnsi"/>
          <w:b/>
          <w:bCs/>
          <w:sz w:val="24"/>
          <w:szCs w:val="24"/>
          <w:lang w:val="el-GR"/>
        </w:rPr>
        <w:t xml:space="preserve">για παροχή συμβουλής σε άτομα </w:t>
      </w:r>
      <w:r w:rsidR="00762B8A">
        <w:rPr>
          <w:rFonts w:cstheme="minorHAnsi"/>
          <w:b/>
          <w:bCs/>
          <w:sz w:val="24"/>
          <w:szCs w:val="24"/>
          <w:lang w:val="el-GR"/>
        </w:rPr>
        <w:t>που</w:t>
      </w:r>
      <w:r w:rsidR="00762B8A" w:rsidRPr="00CA1894">
        <w:rPr>
          <w:rFonts w:cstheme="minorHAnsi"/>
          <w:b/>
          <w:bCs/>
          <w:sz w:val="24"/>
          <w:szCs w:val="24"/>
          <w:lang w:val="el-GR"/>
        </w:rPr>
        <w:t xml:space="preserve"> </w:t>
      </w:r>
      <w:r w:rsidR="00762B8A">
        <w:rPr>
          <w:rFonts w:cstheme="minorHAnsi"/>
          <w:b/>
          <w:bCs/>
          <w:sz w:val="24"/>
          <w:szCs w:val="24"/>
          <w:lang w:val="el-GR"/>
        </w:rPr>
        <w:t>ασκούν</w:t>
      </w:r>
      <w:r w:rsidR="00762B8A" w:rsidRPr="00CA1894">
        <w:rPr>
          <w:rFonts w:cstheme="minorHAnsi"/>
          <w:b/>
          <w:bCs/>
          <w:sz w:val="24"/>
          <w:szCs w:val="24"/>
          <w:lang w:val="el-GR"/>
        </w:rPr>
        <w:t xml:space="preserve"> </w:t>
      </w:r>
      <w:r w:rsidR="00762B8A">
        <w:rPr>
          <w:rFonts w:cstheme="minorHAnsi"/>
          <w:b/>
          <w:bCs/>
          <w:sz w:val="24"/>
          <w:szCs w:val="24"/>
          <w:lang w:val="el-GR"/>
        </w:rPr>
        <w:t xml:space="preserve">ανώτατα εκτελεστικά καθήκοντα </w:t>
      </w:r>
      <w:r w:rsidR="00537525">
        <w:rPr>
          <w:rFonts w:eastAsia="Arial Unicode MS" w:cstheme="minorHAnsi"/>
          <w:b/>
          <w:bCs/>
          <w:sz w:val="24"/>
          <w:szCs w:val="24"/>
          <w:lang w:val="el-GR" w:eastAsia="ar-SA"/>
        </w:rPr>
        <w:t>για την ακεραιότητα, τις συγκρούσεις συμφερόντων και την πρόληψη της διαφθοράς</w:t>
      </w:r>
      <w:r w:rsidR="00A5147D" w:rsidRPr="00CA1894">
        <w:rPr>
          <w:rFonts w:eastAsia="Arial Unicode MS" w:cstheme="minorHAnsi"/>
          <w:b/>
          <w:bCs/>
          <w:sz w:val="24"/>
          <w:szCs w:val="24"/>
          <w:lang w:val="el-GR" w:eastAsia="ar-SA"/>
        </w:rPr>
        <w:t>.</w:t>
      </w:r>
    </w:p>
    <w:p w14:paraId="16311FB0" w14:textId="77777777" w:rsidR="00A5147D" w:rsidRPr="00CA1894" w:rsidRDefault="00A5147D" w:rsidP="00A5147D">
      <w:pPr>
        <w:rPr>
          <w:rFonts w:cstheme="minorHAnsi"/>
          <w:sz w:val="24"/>
          <w:szCs w:val="24"/>
          <w:lang w:val="el-GR"/>
        </w:rPr>
      </w:pPr>
    </w:p>
    <w:p w14:paraId="75996BFD" w14:textId="2809F416" w:rsidR="00A5147D" w:rsidRPr="00537525" w:rsidRDefault="00537525" w:rsidP="00A5147D">
      <w:pPr>
        <w:pStyle w:val="Heading2"/>
        <w:spacing w:before="0"/>
        <w:rPr>
          <w:rFonts w:asciiTheme="minorHAnsi" w:hAnsiTheme="minorHAnsi" w:cstheme="minorHAnsi"/>
          <w:b w:val="0"/>
          <w:bCs w:val="0"/>
          <w:color w:val="auto"/>
          <w:sz w:val="24"/>
          <w:szCs w:val="24"/>
          <w:u w:val="single"/>
          <w:lang w:val="el-GR"/>
        </w:rPr>
      </w:pPr>
      <w:bookmarkStart w:id="62" w:name="_Toc479580429"/>
      <w:bookmarkStart w:id="63" w:name="_Toc117264348"/>
      <w:bookmarkStart w:id="64" w:name="_Toc136879346"/>
      <w:r>
        <w:rPr>
          <w:rFonts w:asciiTheme="minorHAnsi" w:hAnsiTheme="minorHAnsi" w:cstheme="minorHAnsi"/>
          <w:b w:val="0"/>
          <w:bCs w:val="0"/>
          <w:color w:val="auto"/>
          <w:sz w:val="24"/>
          <w:szCs w:val="24"/>
          <w:u w:val="single"/>
          <w:lang w:val="el-GR"/>
        </w:rPr>
        <w:t>Διαφάνεια</w:t>
      </w:r>
      <w:r w:rsidRPr="00537525">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και</w:t>
      </w:r>
      <w:r w:rsidRPr="00537525">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επίβλεψη</w:t>
      </w:r>
      <w:r w:rsidRPr="00537525">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εκτελεστικών</w:t>
      </w:r>
      <w:r w:rsidRPr="00537525">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δραστηριοτήτων</w:t>
      </w:r>
      <w:r w:rsidRPr="00537525">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της</w:t>
      </w:r>
      <w:r w:rsidRPr="00537525">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κεντρικής</w:t>
      </w:r>
      <w:r w:rsidRPr="00537525">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κυβέρνησης</w:t>
      </w:r>
      <w:bookmarkEnd w:id="21"/>
      <w:bookmarkEnd w:id="22"/>
      <w:bookmarkEnd w:id="62"/>
      <w:bookmarkEnd w:id="63"/>
      <w:bookmarkEnd w:id="64"/>
    </w:p>
    <w:p w14:paraId="19D0CCF0" w14:textId="77777777" w:rsidR="00A5147D" w:rsidRPr="00537525" w:rsidRDefault="00A5147D" w:rsidP="00A5147D">
      <w:pPr>
        <w:keepNext/>
        <w:rPr>
          <w:rFonts w:cstheme="minorHAnsi"/>
          <w:sz w:val="24"/>
          <w:szCs w:val="24"/>
          <w:lang w:val="el-GR"/>
        </w:rPr>
      </w:pPr>
    </w:p>
    <w:p w14:paraId="7A52C8C2" w14:textId="380AEEB6" w:rsidR="00A5147D" w:rsidRPr="004E251E" w:rsidRDefault="00537525" w:rsidP="00A5147D">
      <w:pPr>
        <w:pStyle w:val="Heading3"/>
        <w:spacing w:before="0"/>
        <w:rPr>
          <w:rFonts w:asciiTheme="minorHAnsi" w:hAnsiTheme="minorHAnsi" w:cstheme="minorHAnsi"/>
          <w:b w:val="0"/>
          <w:bCs w:val="0"/>
          <w:i/>
          <w:iCs/>
          <w:color w:val="auto"/>
          <w:sz w:val="24"/>
          <w:szCs w:val="24"/>
        </w:rPr>
      </w:pPr>
      <w:bookmarkStart w:id="65" w:name="_Toc479580430"/>
      <w:bookmarkStart w:id="66" w:name="_Toc117264349"/>
      <w:bookmarkStart w:id="67" w:name="_Toc136879347"/>
      <w:r>
        <w:rPr>
          <w:rFonts w:asciiTheme="minorHAnsi" w:hAnsiTheme="minorHAnsi" w:cstheme="minorHAnsi"/>
          <w:b w:val="0"/>
          <w:bCs w:val="0"/>
          <w:i/>
          <w:iCs/>
          <w:color w:val="auto"/>
          <w:sz w:val="24"/>
          <w:szCs w:val="24"/>
          <w:lang w:val="el-GR"/>
        </w:rPr>
        <w:t>Πρόσβαση σε πληροφορίες</w:t>
      </w:r>
      <w:bookmarkEnd w:id="65"/>
      <w:bookmarkEnd w:id="66"/>
      <w:bookmarkEnd w:id="67"/>
    </w:p>
    <w:p w14:paraId="54ECB5CF" w14:textId="77777777" w:rsidR="00A5147D" w:rsidRPr="004E251E" w:rsidRDefault="00A5147D" w:rsidP="00A5147D">
      <w:pPr>
        <w:keepNext/>
        <w:rPr>
          <w:rFonts w:cstheme="minorHAnsi"/>
          <w:sz w:val="24"/>
          <w:szCs w:val="24"/>
        </w:rPr>
      </w:pPr>
    </w:p>
    <w:p w14:paraId="18079F71" w14:textId="44BCD60E" w:rsidR="00A5147D" w:rsidRPr="00491C4A" w:rsidRDefault="00537525" w:rsidP="00A5147D">
      <w:pPr>
        <w:keepNext/>
        <w:numPr>
          <w:ilvl w:val="0"/>
          <w:numId w:val="1"/>
        </w:numPr>
        <w:tabs>
          <w:tab w:val="clear" w:pos="6095"/>
          <w:tab w:val="left" w:pos="709"/>
        </w:tabs>
        <w:ind w:left="0" w:firstLine="0"/>
        <w:rPr>
          <w:rFonts w:cstheme="minorHAnsi"/>
          <w:b/>
          <w:bCs/>
          <w:sz w:val="24"/>
          <w:szCs w:val="24"/>
          <w:lang w:val="el-GR"/>
        </w:rPr>
      </w:pPr>
      <w:r>
        <w:rPr>
          <w:rFonts w:cstheme="minorHAnsi"/>
          <w:sz w:val="24"/>
          <w:szCs w:val="24"/>
          <w:lang w:val="el-GR"/>
        </w:rPr>
        <w:t>Η</w:t>
      </w:r>
      <w:r w:rsidRPr="00537525">
        <w:rPr>
          <w:rFonts w:cstheme="minorHAnsi"/>
          <w:sz w:val="24"/>
          <w:szCs w:val="24"/>
          <w:lang w:val="el-GR"/>
        </w:rPr>
        <w:t xml:space="preserve"> </w:t>
      </w:r>
      <w:r>
        <w:rPr>
          <w:rFonts w:cstheme="minorHAnsi"/>
          <w:sz w:val="24"/>
          <w:szCs w:val="24"/>
          <w:lang w:val="el-GR"/>
        </w:rPr>
        <w:t>Κύπρος</w:t>
      </w:r>
      <w:r w:rsidRPr="00537525">
        <w:rPr>
          <w:rFonts w:cstheme="minorHAnsi"/>
          <w:sz w:val="24"/>
          <w:szCs w:val="24"/>
          <w:lang w:val="el-GR"/>
        </w:rPr>
        <w:t xml:space="preserve"> </w:t>
      </w:r>
      <w:r>
        <w:rPr>
          <w:rFonts w:cstheme="minorHAnsi"/>
          <w:sz w:val="24"/>
          <w:szCs w:val="24"/>
          <w:lang w:val="el-GR"/>
        </w:rPr>
        <w:t>δεν</w:t>
      </w:r>
      <w:r w:rsidRPr="00537525">
        <w:rPr>
          <w:rFonts w:cstheme="minorHAnsi"/>
          <w:sz w:val="24"/>
          <w:szCs w:val="24"/>
          <w:lang w:val="el-GR"/>
        </w:rPr>
        <w:t xml:space="preserve"> </w:t>
      </w:r>
      <w:r>
        <w:rPr>
          <w:rFonts w:cstheme="minorHAnsi"/>
          <w:sz w:val="24"/>
          <w:szCs w:val="24"/>
          <w:lang w:val="el-GR"/>
        </w:rPr>
        <w:t>έχει</w:t>
      </w:r>
      <w:r w:rsidRPr="00537525">
        <w:rPr>
          <w:rFonts w:cstheme="minorHAnsi"/>
          <w:sz w:val="24"/>
          <w:szCs w:val="24"/>
          <w:lang w:val="el-GR"/>
        </w:rPr>
        <w:t xml:space="preserve"> </w:t>
      </w:r>
      <w:r>
        <w:rPr>
          <w:rFonts w:cstheme="minorHAnsi"/>
          <w:sz w:val="24"/>
          <w:szCs w:val="24"/>
          <w:lang w:val="el-GR"/>
        </w:rPr>
        <w:t>υπογράψει</w:t>
      </w:r>
      <w:r w:rsidRPr="00537525">
        <w:rPr>
          <w:rFonts w:cstheme="minorHAnsi"/>
          <w:sz w:val="24"/>
          <w:szCs w:val="24"/>
          <w:lang w:val="el-GR"/>
        </w:rPr>
        <w:t xml:space="preserve">, </w:t>
      </w:r>
      <w:r>
        <w:rPr>
          <w:rFonts w:cstheme="minorHAnsi"/>
          <w:sz w:val="24"/>
          <w:szCs w:val="24"/>
          <w:lang w:val="el-GR"/>
        </w:rPr>
        <w:t>ούτε</w:t>
      </w:r>
      <w:r w:rsidRPr="00537525">
        <w:rPr>
          <w:rFonts w:cstheme="minorHAnsi"/>
          <w:sz w:val="24"/>
          <w:szCs w:val="24"/>
          <w:lang w:val="el-GR"/>
        </w:rPr>
        <w:t xml:space="preserve"> </w:t>
      </w:r>
      <w:r>
        <w:rPr>
          <w:rFonts w:cstheme="minorHAnsi"/>
          <w:sz w:val="24"/>
          <w:szCs w:val="24"/>
          <w:lang w:val="el-GR"/>
        </w:rPr>
        <w:t>επικυρώσει</w:t>
      </w:r>
      <w:r w:rsidRPr="00537525">
        <w:rPr>
          <w:rFonts w:cstheme="minorHAnsi"/>
          <w:sz w:val="24"/>
          <w:szCs w:val="24"/>
          <w:lang w:val="el-GR"/>
        </w:rPr>
        <w:t xml:space="preserve"> </w:t>
      </w:r>
      <w:r>
        <w:rPr>
          <w:rFonts w:cstheme="minorHAnsi"/>
          <w:sz w:val="24"/>
          <w:szCs w:val="24"/>
          <w:lang w:val="el-GR"/>
        </w:rPr>
        <w:t>την</w:t>
      </w:r>
      <w:r w:rsidRPr="00537525">
        <w:rPr>
          <w:rFonts w:cstheme="minorHAnsi"/>
          <w:sz w:val="24"/>
          <w:szCs w:val="24"/>
          <w:lang w:val="el-GR"/>
        </w:rPr>
        <w:t xml:space="preserve"> </w:t>
      </w:r>
      <w:r>
        <w:rPr>
          <w:rFonts w:cstheme="minorHAnsi"/>
          <w:sz w:val="24"/>
          <w:szCs w:val="24"/>
          <w:lang w:val="el-GR"/>
        </w:rPr>
        <w:t>Σύμβαση</w:t>
      </w:r>
      <w:r w:rsidRPr="00537525">
        <w:rPr>
          <w:rFonts w:cstheme="minorHAnsi"/>
          <w:sz w:val="24"/>
          <w:szCs w:val="24"/>
          <w:lang w:val="el-GR"/>
        </w:rPr>
        <w:t xml:space="preserve"> </w:t>
      </w:r>
      <w:r>
        <w:rPr>
          <w:rFonts w:cstheme="minorHAnsi"/>
          <w:sz w:val="24"/>
          <w:szCs w:val="24"/>
          <w:lang w:val="el-GR"/>
        </w:rPr>
        <w:t>του</w:t>
      </w:r>
      <w:r w:rsidRPr="00537525">
        <w:rPr>
          <w:rFonts w:cstheme="minorHAnsi"/>
          <w:sz w:val="24"/>
          <w:szCs w:val="24"/>
          <w:lang w:val="el-GR"/>
        </w:rPr>
        <w:t xml:space="preserve"> </w:t>
      </w:r>
      <w:r>
        <w:rPr>
          <w:rFonts w:cstheme="minorHAnsi"/>
          <w:sz w:val="24"/>
          <w:szCs w:val="24"/>
          <w:lang w:val="el-GR"/>
        </w:rPr>
        <w:t>Συμβουλίου</w:t>
      </w:r>
      <w:r w:rsidRPr="00537525">
        <w:rPr>
          <w:rFonts w:cstheme="minorHAnsi"/>
          <w:sz w:val="24"/>
          <w:szCs w:val="24"/>
          <w:lang w:val="el-GR"/>
        </w:rPr>
        <w:t xml:space="preserve"> </w:t>
      </w:r>
      <w:r>
        <w:rPr>
          <w:rFonts w:cstheme="minorHAnsi"/>
          <w:sz w:val="24"/>
          <w:szCs w:val="24"/>
          <w:lang w:val="el-GR"/>
        </w:rPr>
        <w:t>της</w:t>
      </w:r>
      <w:r w:rsidRPr="00537525">
        <w:rPr>
          <w:rFonts w:cstheme="minorHAnsi"/>
          <w:sz w:val="24"/>
          <w:szCs w:val="24"/>
          <w:lang w:val="el-GR"/>
        </w:rPr>
        <w:t xml:space="preserve"> </w:t>
      </w:r>
      <w:r>
        <w:rPr>
          <w:rFonts w:cstheme="minorHAnsi"/>
          <w:sz w:val="24"/>
          <w:szCs w:val="24"/>
          <w:lang w:val="el-GR"/>
        </w:rPr>
        <w:t>Ευρώπης</w:t>
      </w:r>
      <w:bookmarkStart w:id="68" w:name="_Hlk80623539"/>
      <w:r w:rsidR="00A5147D" w:rsidRPr="00537525">
        <w:rPr>
          <w:rFonts w:cstheme="minorHAnsi"/>
          <w:color w:val="000000"/>
          <w:sz w:val="24"/>
          <w:szCs w:val="24"/>
          <w:lang w:val="el-GR"/>
        </w:rPr>
        <w:t xml:space="preserve"> </w:t>
      </w:r>
      <w:r>
        <w:rPr>
          <w:rFonts w:cstheme="minorHAnsi"/>
          <w:color w:val="000000"/>
          <w:sz w:val="24"/>
          <w:szCs w:val="24"/>
          <w:lang w:val="el-GR"/>
        </w:rPr>
        <w:t>για την Πρόσβαση σε Επίσημα Έγγραφα</w:t>
      </w:r>
      <w:r w:rsidR="00A5147D" w:rsidRPr="00537525">
        <w:rPr>
          <w:rFonts w:cstheme="minorHAnsi"/>
          <w:color w:val="000000"/>
          <w:sz w:val="24"/>
          <w:szCs w:val="24"/>
          <w:lang w:val="el-GR"/>
        </w:rPr>
        <w:t xml:space="preserve"> (</w:t>
      </w:r>
      <w:hyperlink r:id="rId14" w:history="1">
        <w:r w:rsidR="00A5147D" w:rsidRPr="00537525">
          <w:rPr>
            <w:rStyle w:val="Hyperlink"/>
            <w:rFonts w:cstheme="minorHAnsi"/>
            <w:color w:val="000000" w:themeColor="text1"/>
            <w:sz w:val="24"/>
            <w:szCs w:val="24"/>
          </w:rPr>
          <w:t>CETS</w:t>
        </w:r>
        <w:r w:rsidR="00A5147D" w:rsidRPr="00537525">
          <w:rPr>
            <w:rStyle w:val="Hyperlink"/>
            <w:rFonts w:cstheme="minorHAnsi"/>
            <w:color w:val="000000" w:themeColor="text1"/>
            <w:sz w:val="24"/>
            <w:szCs w:val="24"/>
            <w:lang w:val="el-GR"/>
          </w:rPr>
          <w:t xml:space="preserve"> 205</w:t>
        </w:r>
      </w:hyperlink>
      <w:r w:rsidR="00A5147D" w:rsidRPr="00537525">
        <w:rPr>
          <w:rFonts w:cstheme="minorHAnsi"/>
          <w:color w:val="000000"/>
          <w:sz w:val="24"/>
          <w:szCs w:val="24"/>
          <w:lang w:val="el-GR"/>
        </w:rPr>
        <w:t xml:space="preserve">). </w:t>
      </w:r>
      <w:bookmarkEnd w:id="68"/>
      <w:r>
        <w:rPr>
          <w:rFonts w:cstheme="minorHAnsi"/>
          <w:color w:val="000000"/>
          <w:sz w:val="24"/>
          <w:szCs w:val="24"/>
          <w:lang w:val="el-GR"/>
        </w:rPr>
        <w:t>Το</w:t>
      </w:r>
      <w:r w:rsidRPr="00607E8B">
        <w:rPr>
          <w:rFonts w:cstheme="minorHAnsi"/>
          <w:color w:val="000000"/>
          <w:sz w:val="24"/>
          <w:szCs w:val="24"/>
          <w:lang w:val="el-GR"/>
        </w:rPr>
        <w:t xml:space="preserve"> </w:t>
      </w:r>
      <w:r>
        <w:rPr>
          <w:rFonts w:cstheme="minorHAnsi"/>
          <w:color w:val="000000"/>
          <w:sz w:val="24"/>
          <w:szCs w:val="24"/>
          <w:lang w:val="el-GR"/>
        </w:rPr>
        <w:t>ρυθμιστικό</w:t>
      </w:r>
      <w:r w:rsidRPr="00607E8B">
        <w:rPr>
          <w:rFonts w:cstheme="minorHAnsi"/>
          <w:color w:val="000000"/>
          <w:sz w:val="24"/>
          <w:szCs w:val="24"/>
          <w:lang w:val="el-GR"/>
        </w:rPr>
        <w:t xml:space="preserve"> </w:t>
      </w:r>
      <w:r>
        <w:rPr>
          <w:rFonts w:cstheme="minorHAnsi"/>
          <w:color w:val="000000"/>
          <w:sz w:val="24"/>
          <w:szCs w:val="24"/>
          <w:lang w:val="el-GR"/>
        </w:rPr>
        <w:t>πλαίσιο</w:t>
      </w:r>
      <w:r w:rsidRPr="00607E8B">
        <w:rPr>
          <w:rFonts w:cstheme="minorHAnsi"/>
          <w:color w:val="000000"/>
          <w:sz w:val="24"/>
          <w:szCs w:val="24"/>
          <w:lang w:val="el-GR"/>
        </w:rPr>
        <w:t xml:space="preserve"> </w:t>
      </w:r>
      <w:r>
        <w:rPr>
          <w:rFonts w:cstheme="minorHAnsi"/>
          <w:color w:val="000000"/>
          <w:sz w:val="24"/>
          <w:szCs w:val="24"/>
          <w:lang w:val="el-GR"/>
        </w:rPr>
        <w:t>για</w:t>
      </w:r>
      <w:r w:rsidRPr="00607E8B">
        <w:rPr>
          <w:rFonts w:cstheme="minorHAnsi"/>
          <w:color w:val="000000"/>
          <w:sz w:val="24"/>
          <w:szCs w:val="24"/>
          <w:lang w:val="el-GR"/>
        </w:rPr>
        <w:t xml:space="preserve"> </w:t>
      </w:r>
      <w:r>
        <w:rPr>
          <w:rFonts w:cstheme="minorHAnsi"/>
          <w:color w:val="000000"/>
          <w:sz w:val="24"/>
          <w:szCs w:val="24"/>
          <w:lang w:val="el-GR"/>
        </w:rPr>
        <w:t>τη</w:t>
      </w:r>
      <w:r w:rsidRPr="00607E8B">
        <w:rPr>
          <w:rFonts w:cstheme="minorHAnsi"/>
          <w:color w:val="000000"/>
          <w:sz w:val="24"/>
          <w:szCs w:val="24"/>
          <w:lang w:val="el-GR"/>
        </w:rPr>
        <w:t xml:space="preserve"> </w:t>
      </w:r>
      <w:r>
        <w:rPr>
          <w:rFonts w:cstheme="minorHAnsi"/>
          <w:color w:val="000000"/>
          <w:sz w:val="24"/>
          <w:szCs w:val="24"/>
          <w:lang w:val="el-GR"/>
        </w:rPr>
        <w:t>διαφάνεια</w:t>
      </w:r>
      <w:r w:rsidRPr="00607E8B">
        <w:rPr>
          <w:rFonts w:cstheme="minorHAnsi"/>
          <w:color w:val="000000"/>
          <w:sz w:val="24"/>
          <w:szCs w:val="24"/>
          <w:lang w:val="el-GR"/>
        </w:rPr>
        <w:t xml:space="preserve"> </w:t>
      </w:r>
      <w:r>
        <w:rPr>
          <w:rFonts w:cstheme="minorHAnsi"/>
          <w:color w:val="000000"/>
          <w:sz w:val="24"/>
          <w:szCs w:val="24"/>
          <w:lang w:val="el-GR"/>
        </w:rPr>
        <w:t>εκτελεστικών</w:t>
      </w:r>
      <w:r w:rsidRPr="00607E8B">
        <w:rPr>
          <w:rFonts w:cstheme="minorHAnsi"/>
          <w:color w:val="000000"/>
          <w:sz w:val="24"/>
          <w:szCs w:val="24"/>
          <w:lang w:val="el-GR"/>
        </w:rPr>
        <w:t xml:space="preserve"> </w:t>
      </w:r>
      <w:r>
        <w:rPr>
          <w:rFonts w:cstheme="minorHAnsi"/>
          <w:color w:val="000000"/>
          <w:sz w:val="24"/>
          <w:szCs w:val="24"/>
          <w:lang w:val="el-GR"/>
        </w:rPr>
        <w:t>δραστηριοτήτων</w:t>
      </w:r>
      <w:r w:rsidRPr="00607E8B">
        <w:rPr>
          <w:rFonts w:cstheme="minorHAnsi"/>
          <w:color w:val="000000"/>
          <w:sz w:val="24"/>
          <w:szCs w:val="24"/>
          <w:lang w:val="el-GR"/>
        </w:rPr>
        <w:t xml:space="preserve"> </w:t>
      </w:r>
      <w:r>
        <w:rPr>
          <w:rFonts w:cstheme="minorHAnsi"/>
          <w:color w:val="000000"/>
          <w:sz w:val="24"/>
          <w:szCs w:val="24"/>
          <w:lang w:val="el-GR"/>
        </w:rPr>
        <w:t>της</w:t>
      </w:r>
      <w:r w:rsidRPr="00607E8B">
        <w:rPr>
          <w:rFonts w:cstheme="minorHAnsi"/>
          <w:color w:val="000000"/>
          <w:sz w:val="24"/>
          <w:szCs w:val="24"/>
          <w:lang w:val="el-GR"/>
        </w:rPr>
        <w:t xml:space="preserve"> </w:t>
      </w:r>
      <w:r>
        <w:rPr>
          <w:rFonts w:cstheme="minorHAnsi"/>
          <w:color w:val="000000"/>
          <w:sz w:val="24"/>
          <w:szCs w:val="24"/>
          <w:lang w:val="el-GR"/>
        </w:rPr>
        <w:t>κεντρικής</w:t>
      </w:r>
      <w:r w:rsidRPr="00607E8B">
        <w:rPr>
          <w:rFonts w:cstheme="minorHAnsi"/>
          <w:color w:val="000000"/>
          <w:sz w:val="24"/>
          <w:szCs w:val="24"/>
          <w:lang w:val="el-GR"/>
        </w:rPr>
        <w:t xml:space="preserve"> </w:t>
      </w:r>
      <w:r>
        <w:rPr>
          <w:rFonts w:cstheme="minorHAnsi"/>
          <w:color w:val="000000"/>
          <w:sz w:val="24"/>
          <w:szCs w:val="24"/>
          <w:lang w:val="el-GR"/>
        </w:rPr>
        <w:t>Κυβέρνησης</w:t>
      </w:r>
      <w:r w:rsidR="00A5147D" w:rsidRPr="00607E8B">
        <w:rPr>
          <w:rFonts w:eastAsia="Calibri" w:cstheme="minorHAnsi"/>
          <w:sz w:val="24"/>
          <w:szCs w:val="24"/>
          <w:lang w:val="el-GR"/>
        </w:rPr>
        <w:t xml:space="preserve"> </w:t>
      </w:r>
      <w:r>
        <w:rPr>
          <w:rFonts w:eastAsia="Calibri" w:cstheme="minorHAnsi"/>
          <w:sz w:val="24"/>
          <w:szCs w:val="24"/>
          <w:lang w:val="el-GR"/>
        </w:rPr>
        <w:t>και</w:t>
      </w:r>
      <w:r w:rsidRPr="00607E8B">
        <w:rPr>
          <w:rFonts w:eastAsia="Calibri" w:cstheme="minorHAnsi"/>
          <w:sz w:val="24"/>
          <w:szCs w:val="24"/>
          <w:lang w:val="el-GR"/>
        </w:rPr>
        <w:t xml:space="preserve"> </w:t>
      </w:r>
      <w:r>
        <w:rPr>
          <w:rFonts w:eastAsia="Calibri" w:cstheme="minorHAnsi"/>
          <w:sz w:val="24"/>
          <w:szCs w:val="24"/>
          <w:lang w:val="el-GR"/>
        </w:rPr>
        <w:t>το</w:t>
      </w:r>
      <w:r w:rsidR="00762B8A">
        <w:rPr>
          <w:rFonts w:eastAsia="Calibri" w:cstheme="minorHAnsi"/>
          <w:sz w:val="24"/>
          <w:szCs w:val="24"/>
          <w:lang w:val="el-GR"/>
        </w:rPr>
        <w:t>υ</w:t>
      </w:r>
      <w:r w:rsidRPr="00607E8B">
        <w:rPr>
          <w:rFonts w:eastAsia="Calibri" w:cstheme="minorHAnsi"/>
          <w:sz w:val="24"/>
          <w:szCs w:val="24"/>
          <w:lang w:val="el-GR"/>
        </w:rPr>
        <w:t xml:space="preserve"> </w:t>
      </w:r>
      <w:r>
        <w:rPr>
          <w:rFonts w:eastAsia="Calibri" w:cstheme="minorHAnsi"/>
          <w:sz w:val="24"/>
          <w:szCs w:val="24"/>
          <w:lang w:val="el-GR"/>
        </w:rPr>
        <w:t>ευρύτερο</w:t>
      </w:r>
      <w:r w:rsidR="00762B8A">
        <w:rPr>
          <w:rFonts w:eastAsia="Calibri" w:cstheme="minorHAnsi"/>
          <w:sz w:val="24"/>
          <w:szCs w:val="24"/>
          <w:lang w:val="el-GR"/>
        </w:rPr>
        <w:t>υ</w:t>
      </w:r>
      <w:r w:rsidRPr="00607E8B">
        <w:rPr>
          <w:rFonts w:eastAsia="Calibri" w:cstheme="minorHAnsi"/>
          <w:sz w:val="24"/>
          <w:szCs w:val="24"/>
          <w:lang w:val="el-GR"/>
        </w:rPr>
        <w:t xml:space="preserve"> </w:t>
      </w:r>
      <w:r>
        <w:rPr>
          <w:rFonts w:eastAsia="Calibri" w:cstheme="minorHAnsi"/>
          <w:sz w:val="24"/>
          <w:szCs w:val="24"/>
          <w:lang w:val="el-GR"/>
        </w:rPr>
        <w:t>δημόσιο</w:t>
      </w:r>
      <w:r w:rsidR="00762B8A">
        <w:rPr>
          <w:rFonts w:eastAsia="Calibri" w:cstheme="minorHAnsi"/>
          <w:sz w:val="24"/>
          <w:szCs w:val="24"/>
          <w:lang w:val="el-GR"/>
        </w:rPr>
        <w:t>υ</w:t>
      </w:r>
      <w:r w:rsidRPr="00607E8B">
        <w:rPr>
          <w:rFonts w:eastAsia="Calibri" w:cstheme="minorHAnsi"/>
          <w:sz w:val="24"/>
          <w:szCs w:val="24"/>
          <w:lang w:val="el-GR"/>
        </w:rPr>
        <w:t xml:space="preserve"> </w:t>
      </w:r>
      <w:r>
        <w:rPr>
          <w:rFonts w:eastAsia="Calibri" w:cstheme="minorHAnsi"/>
          <w:sz w:val="24"/>
          <w:szCs w:val="24"/>
          <w:lang w:val="el-GR"/>
        </w:rPr>
        <w:t>τομέα</w:t>
      </w:r>
      <w:r w:rsidR="00A5147D" w:rsidRPr="00607E8B">
        <w:rPr>
          <w:rFonts w:eastAsia="Calibri" w:cstheme="minorHAnsi"/>
          <w:sz w:val="24"/>
          <w:szCs w:val="24"/>
          <w:lang w:val="el-GR"/>
        </w:rPr>
        <w:t xml:space="preserve"> (</w:t>
      </w:r>
      <w:r w:rsidR="00607E8B">
        <w:rPr>
          <w:rFonts w:eastAsia="Calibri" w:cstheme="minorHAnsi"/>
          <w:sz w:val="24"/>
          <w:szCs w:val="24"/>
          <w:lang w:val="el-GR"/>
        </w:rPr>
        <w:t>Δημοτικές</w:t>
      </w:r>
      <w:r w:rsidR="00607E8B" w:rsidRPr="00607E8B">
        <w:rPr>
          <w:rFonts w:eastAsia="Calibri" w:cstheme="minorHAnsi"/>
          <w:sz w:val="24"/>
          <w:szCs w:val="24"/>
          <w:lang w:val="el-GR"/>
        </w:rPr>
        <w:t xml:space="preserve"> </w:t>
      </w:r>
      <w:r w:rsidR="00607E8B">
        <w:rPr>
          <w:rFonts w:eastAsia="Calibri" w:cstheme="minorHAnsi"/>
          <w:sz w:val="24"/>
          <w:szCs w:val="24"/>
          <w:lang w:val="el-GR"/>
        </w:rPr>
        <w:t>και</w:t>
      </w:r>
      <w:r w:rsidR="00607E8B" w:rsidRPr="00607E8B">
        <w:rPr>
          <w:rFonts w:eastAsia="Calibri" w:cstheme="minorHAnsi"/>
          <w:sz w:val="24"/>
          <w:szCs w:val="24"/>
          <w:lang w:val="el-GR"/>
        </w:rPr>
        <w:t xml:space="preserve"> </w:t>
      </w:r>
      <w:r w:rsidR="00607E8B">
        <w:rPr>
          <w:rFonts w:eastAsia="Calibri" w:cstheme="minorHAnsi"/>
          <w:sz w:val="24"/>
          <w:szCs w:val="24"/>
          <w:lang w:val="el-GR"/>
        </w:rPr>
        <w:t>Κοινοτικές</w:t>
      </w:r>
      <w:r w:rsidR="00607E8B" w:rsidRPr="00607E8B">
        <w:rPr>
          <w:rFonts w:eastAsia="Calibri" w:cstheme="minorHAnsi"/>
          <w:sz w:val="24"/>
          <w:szCs w:val="24"/>
          <w:lang w:val="el-GR"/>
        </w:rPr>
        <w:t xml:space="preserve"> </w:t>
      </w:r>
      <w:r w:rsidR="00607E8B">
        <w:rPr>
          <w:rFonts w:eastAsia="Calibri" w:cstheme="minorHAnsi"/>
          <w:sz w:val="24"/>
          <w:szCs w:val="24"/>
          <w:lang w:val="el-GR"/>
        </w:rPr>
        <w:t>Αρχές</w:t>
      </w:r>
      <w:r w:rsidR="00A5147D" w:rsidRPr="00607E8B">
        <w:rPr>
          <w:rFonts w:eastAsia="Calibri" w:cstheme="minorHAnsi"/>
          <w:sz w:val="24"/>
          <w:szCs w:val="24"/>
          <w:lang w:val="el-GR"/>
        </w:rPr>
        <w:t xml:space="preserve"> </w:t>
      </w:r>
      <w:r w:rsidR="00607E8B">
        <w:rPr>
          <w:rFonts w:eastAsia="Calibri" w:cstheme="minorHAnsi"/>
          <w:sz w:val="24"/>
          <w:szCs w:val="24"/>
          <w:lang w:val="el-GR"/>
        </w:rPr>
        <w:t>και οποιαδήποτε δημόσια αρχή</w:t>
      </w:r>
      <w:r w:rsidR="00A5147D" w:rsidRPr="00607E8B">
        <w:rPr>
          <w:rFonts w:eastAsia="Calibri" w:cstheme="minorHAnsi"/>
          <w:sz w:val="24"/>
          <w:szCs w:val="24"/>
          <w:lang w:val="el-GR"/>
        </w:rPr>
        <w:t xml:space="preserve"> </w:t>
      </w:r>
      <w:r w:rsidR="00607E8B">
        <w:rPr>
          <w:rFonts w:eastAsia="Calibri" w:cstheme="minorHAnsi"/>
          <w:sz w:val="24"/>
          <w:szCs w:val="24"/>
          <w:lang w:val="el-GR"/>
        </w:rPr>
        <w:t>που εξασκεί εκτελεστικές εξουσίες</w:t>
      </w:r>
      <w:r w:rsidR="00A5147D" w:rsidRPr="00607E8B">
        <w:rPr>
          <w:rFonts w:eastAsia="Calibri" w:cstheme="minorHAnsi"/>
          <w:sz w:val="24"/>
          <w:szCs w:val="24"/>
          <w:lang w:val="el-GR"/>
        </w:rPr>
        <w:t xml:space="preserve">) </w:t>
      </w:r>
      <w:r w:rsidR="00607E8B">
        <w:rPr>
          <w:rFonts w:eastAsia="Calibri" w:cstheme="minorHAnsi"/>
          <w:sz w:val="24"/>
          <w:szCs w:val="24"/>
          <w:lang w:val="el-GR"/>
        </w:rPr>
        <w:t>είναι ο νόμος που προβλ</w:t>
      </w:r>
      <w:r w:rsidR="00491C4A">
        <w:rPr>
          <w:rFonts w:eastAsia="Calibri" w:cstheme="minorHAnsi"/>
          <w:sz w:val="24"/>
          <w:szCs w:val="24"/>
          <w:lang w:val="el-GR"/>
        </w:rPr>
        <w:t>έπει το Δικαίωμα Πρόσβασης σε Πληροφορίες του Δημοσίου Τομέα του</w:t>
      </w:r>
      <w:r w:rsidR="00A5147D" w:rsidRPr="00607E8B">
        <w:rPr>
          <w:rFonts w:eastAsia="Calibri" w:cstheme="minorHAnsi"/>
          <w:sz w:val="24"/>
          <w:szCs w:val="24"/>
          <w:lang w:val="el-GR"/>
        </w:rPr>
        <w:t xml:space="preserve"> 2017 (</w:t>
      </w:r>
      <w:r w:rsidR="00491C4A">
        <w:rPr>
          <w:rFonts w:eastAsia="Calibri" w:cstheme="minorHAnsi"/>
          <w:sz w:val="24"/>
          <w:szCs w:val="24"/>
          <w:lang w:val="el-GR"/>
        </w:rPr>
        <w:t>Νόμος</w:t>
      </w:r>
      <w:r w:rsidR="00A5147D" w:rsidRPr="00607E8B">
        <w:rPr>
          <w:rFonts w:eastAsia="Calibri" w:cstheme="minorHAnsi"/>
          <w:sz w:val="24"/>
          <w:szCs w:val="24"/>
          <w:lang w:val="el-GR"/>
        </w:rPr>
        <w:t xml:space="preserve"> 184(</w:t>
      </w:r>
      <w:r w:rsidR="00A5147D" w:rsidRPr="004E251E">
        <w:rPr>
          <w:rFonts w:eastAsia="Calibri" w:cstheme="minorHAnsi"/>
          <w:sz w:val="24"/>
          <w:szCs w:val="24"/>
        </w:rPr>
        <w:t>I</w:t>
      </w:r>
      <w:r w:rsidR="00A5147D" w:rsidRPr="00607E8B">
        <w:rPr>
          <w:rFonts w:eastAsia="Calibri" w:cstheme="minorHAnsi"/>
          <w:sz w:val="24"/>
          <w:szCs w:val="24"/>
          <w:lang w:val="el-GR"/>
        </w:rPr>
        <w:t xml:space="preserve">)/2017), </w:t>
      </w:r>
      <w:r w:rsidR="00491C4A">
        <w:rPr>
          <w:rFonts w:eastAsia="Calibri" w:cstheme="minorHAnsi"/>
          <w:sz w:val="24"/>
          <w:szCs w:val="24"/>
          <w:lang w:val="el-GR"/>
        </w:rPr>
        <w:t xml:space="preserve">όπως </w:t>
      </w:r>
      <w:r w:rsidR="00542502">
        <w:rPr>
          <w:rFonts w:eastAsia="Calibri" w:cstheme="minorHAnsi"/>
          <w:sz w:val="24"/>
          <w:szCs w:val="24"/>
          <w:lang w:val="el-GR"/>
        </w:rPr>
        <w:t xml:space="preserve">αυτός </w:t>
      </w:r>
      <w:r w:rsidR="00491C4A">
        <w:rPr>
          <w:rFonts w:eastAsia="Calibri" w:cstheme="minorHAnsi"/>
          <w:sz w:val="24"/>
          <w:szCs w:val="24"/>
          <w:lang w:val="el-GR"/>
        </w:rPr>
        <w:t>τροποποιήθηκε</w:t>
      </w:r>
      <w:r w:rsidR="00A5147D" w:rsidRPr="00607E8B">
        <w:rPr>
          <w:rFonts w:eastAsia="Calibri" w:cstheme="minorHAnsi"/>
          <w:sz w:val="24"/>
          <w:szCs w:val="24"/>
          <w:lang w:val="el-GR"/>
        </w:rPr>
        <w:t xml:space="preserve">. </w:t>
      </w:r>
      <w:r w:rsidR="00491C4A">
        <w:rPr>
          <w:rFonts w:eastAsia="Calibri" w:cstheme="minorHAnsi"/>
          <w:sz w:val="24"/>
          <w:szCs w:val="24"/>
          <w:lang w:val="el-GR"/>
        </w:rPr>
        <w:t>Ο</w:t>
      </w:r>
      <w:r w:rsidR="00491C4A" w:rsidRPr="00491C4A">
        <w:rPr>
          <w:rFonts w:eastAsia="Calibri" w:cstheme="minorHAnsi"/>
          <w:sz w:val="24"/>
          <w:szCs w:val="24"/>
          <w:lang w:val="el-GR"/>
        </w:rPr>
        <w:t xml:space="preserve"> </w:t>
      </w:r>
      <w:r w:rsidR="00491C4A">
        <w:rPr>
          <w:rFonts w:eastAsia="Calibri" w:cstheme="minorHAnsi"/>
          <w:sz w:val="24"/>
          <w:szCs w:val="24"/>
          <w:lang w:val="el-GR"/>
        </w:rPr>
        <w:t>Νόμος</w:t>
      </w:r>
      <w:r w:rsidR="00491C4A" w:rsidRPr="00491C4A">
        <w:rPr>
          <w:rFonts w:eastAsia="Calibri" w:cstheme="minorHAnsi"/>
          <w:sz w:val="24"/>
          <w:szCs w:val="24"/>
          <w:lang w:val="el-GR"/>
        </w:rPr>
        <w:t xml:space="preserve"> </w:t>
      </w:r>
      <w:r w:rsidR="00491C4A">
        <w:rPr>
          <w:rFonts w:eastAsia="Calibri" w:cstheme="minorHAnsi"/>
          <w:sz w:val="24"/>
          <w:szCs w:val="24"/>
          <w:lang w:val="el-GR"/>
        </w:rPr>
        <w:t>αυτός</w:t>
      </w:r>
      <w:r w:rsidR="00A5147D" w:rsidRPr="00491C4A">
        <w:rPr>
          <w:rFonts w:eastAsia="Calibri" w:cstheme="minorHAnsi"/>
          <w:sz w:val="24"/>
          <w:szCs w:val="24"/>
          <w:lang w:val="el-GR"/>
        </w:rPr>
        <w:t xml:space="preserve"> </w:t>
      </w:r>
      <w:r w:rsidR="00491C4A">
        <w:rPr>
          <w:rFonts w:eastAsia="Calibri" w:cstheme="minorHAnsi"/>
          <w:sz w:val="24"/>
          <w:szCs w:val="24"/>
          <w:lang w:val="el-GR"/>
        </w:rPr>
        <w:t>καθιερώνει</w:t>
      </w:r>
      <w:r w:rsidR="00491C4A" w:rsidRPr="00491C4A">
        <w:rPr>
          <w:rFonts w:eastAsia="Calibri" w:cstheme="minorHAnsi"/>
          <w:sz w:val="24"/>
          <w:szCs w:val="24"/>
          <w:lang w:val="el-GR"/>
        </w:rPr>
        <w:t xml:space="preserve"> </w:t>
      </w:r>
      <w:r w:rsidR="00491C4A">
        <w:rPr>
          <w:rFonts w:eastAsia="Calibri" w:cstheme="minorHAnsi"/>
          <w:sz w:val="24"/>
          <w:szCs w:val="24"/>
          <w:lang w:val="el-GR"/>
        </w:rPr>
        <w:t>το</w:t>
      </w:r>
      <w:r w:rsidR="00491C4A" w:rsidRPr="00491C4A">
        <w:rPr>
          <w:rFonts w:eastAsia="Calibri" w:cstheme="minorHAnsi"/>
          <w:sz w:val="24"/>
          <w:szCs w:val="24"/>
          <w:lang w:val="el-GR"/>
        </w:rPr>
        <w:t xml:space="preserve"> </w:t>
      </w:r>
      <w:r w:rsidR="00491C4A">
        <w:rPr>
          <w:rFonts w:eastAsia="Calibri" w:cstheme="minorHAnsi"/>
          <w:sz w:val="24"/>
          <w:szCs w:val="24"/>
          <w:lang w:val="el-GR"/>
        </w:rPr>
        <w:t>δικαίωμα</w:t>
      </w:r>
      <w:r w:rsidR="00491C4A" w:rsidRPr="00491C4A">
        <w:rPr>
          <w:rFonts w:eastAsia="Calibri" w:cstheme="minorHAnsi"/>
          <w:sz w:val="24"/>
          <w:szCs w:val="24"/>
          <w:lang w:val="el-GR"/>
        </w:rPr>
        <w:t xml:space="preserve"> </w:t>
      </w:r>
      <w:r w:rsidR="00491C4A">
        <w:rPr>
          <w:rFonts w:eastAsia="Calibri" w:cstheme="minorHAnsi"/>
          <w:sz w:val="24"/>
          <w:szCs w:val="24"/>
          <w:lang w:val="el-GR"/>
        </w:rPr>
        <w:t>οποιουδήποτε</w:t>
      </w:r>
      <w:r w:rsidR="00491C4A" w:rsidRPr="00491C4A">
        <w:rPr>
          <w:rFonts w:eastAsia="Calibri" w:cstheme="minorHAnsi"/>
          <w:sz w:val="24"/>
          <w:szCs w:val="24"/>
          <w:lang w:val="el-GR"/>
        </w:rPr>
        <w:t xml:space="preserve"> </w:t>
      </w:r>
      <w:r w:rsidR="00491C4A">
        <w:rPr>
          <w:rFonts w:eastAsia="Calibri" w:cstheme="minorHAnsi"/>
          <w:sz w:val="24"/>
          <w:szCs w:val="24"/>
          <w:lang w:val="el-GR"/>
        </w:rPr>
        <w:t>φυσικού</w:t>
      </w:r>
      <w:r w:rsidR="00491C4A" w:rsidRPr="00491C4A">
        <w:rPr>
          <w:rFonts w:eastAsia="Calibri" w:cstheme="minorHAnsi"/>
          <w:sz w:val="24"/>
          <w:szCs w:val="24"/>
          <w:lang w:val="el-GR"/>
        </w:rPr>
        <w:t xml:space="preserve"> </w:t>
      </w:r>
      <w:r w:rsidR="00491C4A">
        <w:rPr>
          <w:rFonts w:eastAsia="Calibri" w:cstheme="minorHAnsi"/>
          <w:sz w:val="24"/>
          <w:szCs w:val="24"/>
          <w:lang w:val="el-GR"/>
        </w:rPr>
        <w:t>ή</w:t>
      </w:r>
      <w:r w:rsidR="00491C4A" w:rsidRPr="00491C4A">
        <w:rPr>
          <w:rFonts w:eastAsia="Calibri" w:cstheme="minorHAnsi"/>
          <w:sz w:val="24"/>
          <w:szCs w:val="24"/>
          <w:lang w:val="el-GR"/>
        </w:rPr>
        <w:t xml:space="preserve"> </w:t>
      </w:r>
      <w:r w:rsidR="00491C4A">
        <w:rPr>
          <w:rFonts w:eastAsia="Calibri" w:cstheme="minorHAnsi"/>
          <w:sz w:val="24"/>
          <w:szCs w:val="24"/>
          <w:lang w:val="el-GR"/>
        </w:rPr>
        <w:t>νομικού</w:t>
      </w:r>
      <w:r w:rsidR="00491C4A" w:rsidRPr="00491C4A">
        <w:rPr>
          <w:rFonts w:eastAsia="Calibri" w:cstheme="minorHAnsi"/>
          <w:sz w:val="24"/>
          <w:szCs w:val="24"/>
          <w:lang w:val="el-GR"/>
        </w:rPr>
        <w:t xml:space="preserve"> </w:t>
      </w:r>
      <w:r w:rsidR="00491C4A">
        <w:rPr>
          <w:rFonts w:eastAsia="Calibri" w:cstheme="minorHAnsi"/>
          <w:sz w:val="24"/>
          <w:szCs w:val="24"/>
          <w:lang w:val="el-GR"/>
        </w:rPr>
        <w:t>προσώπου να ζητήσει να έχει πρόσβαση σε πληροφορίες που κατέχονται</w:t>
      </w:r>
      <w:r w:rsidR="00A5147D" w:rsidRPr="00491C4A">
        <w:rPr>
          <w:rFonts w:eastAsia="Calibri" w:cstheme="minorHAnsi"/>
          <w:sz w:val="24"/>
          <w:szCs w:val="24"/>
          <w:lang w:val="el-GR"/>
        </w:rPr>
        <w:t xml:space="preserve"> </w:t>
      </w:r>
      <w:r w:rsidR="00491C4A">
        <w:rPr>
          <w:rFonts w:eastAsia="Calibri" w:cstheme="minorHAnsi"/>
          <w:sz w:val="24"/>
          <w:szCs w:val="24"/>
          <w:lang w:val="el-GR"/>
        </w:rPr>
        <w:t>από μια δημόσια αρχή</w:t>
      </w:r>
      <w:r w:rsidR="00A5147D" w:rsidRPr="00491C4A">
        <w:rPr>
          <w:rFonts w:eastAsia="Calibri" w:cstheme="minorHAnsi"/>
          <w:sz w:val="24"/>
          <w:szCs w:val="24"/>
          <w:lang w:val="el-GR"/>
        </w:rPr>
        <w:t xml:space="preserve"> </w:t>
      </w:r>
      <w:r w:rsidR="00491C4A">
        <w:rPr>
          <w:rFonts w:eastAsia="Calibri" w:cstheme="minorHAnsi"/>
          <w:sz w:val="24"/>
          <w:szCs w:val="24"/>
          <w:lang w:val="el-GR"/>
        </w:rPr>
        <w:t>στην Κύπρο</w:t>
      </w:r>
      <w:r w:rsidR="00A5147D" w:rsidRPr="00491C4A">
        <w:rPr>
          <w:rFonts w:eastAsia="Calibri" w:cstheme="minorHAnsi"/>
          <w:sz w:val="24"/>
          <w:szCs w:val="24"/>
          <w:lang w:val="el-GR"/>
        </w:rPr>
        <w:t xml:space="preserve">. </w:t>
      </w:r>
      <w:bookmarkStart w:id="69" w:name="_Hlk132888315"/>
      <w:r w:rsidR="00491C4A">
        <w:rPr>
          <w:rFonts w:eastAsia="Calibri" w:cstheme="minorHAnsi"/>
          <w:sz w:val="24"/>
          <w:szCs w:val="24"/>
          <w:lang w:val="el-GR"/>
        </w:rPr>
        <w:t>Επιπλέον</w:t>
      </w:r>
      <w:r w:rsidR="00F8627E" w:rsidRPr="00491C4A">
        <w:rPr>
          <w:rFonts w:eastAsia="Calibri" w:cstheme="minorHAnsi"/>
          <w:sz w:val="24"/>
          <w:szCs w:val="24"/>
          <w:lang w:val="el-GR"/>
        </w:rPr>
        <w:t xml:space="preserve">, </w:t>
      </w:r>
      <w:r w:rsidR="00491C4A">
        <w:rPr>
          <w:rFonts w:eastAsia="Calibri" w:cstheme="minorHAnsi"/>
          <w:sz w:val="24"/>
          <w:szCs w:val="24"/>
          <w:lang w:val="el-GR"/>
        </w:rPr>
        <w:t>το</w:t>
      </w:r>
      <w:r w:rsidR="00491C4A" w:rsidRPr="00491C4A">
        <w:rPr>
          <w:rFonts w:eastAsia="Calibri" w:cstheme="minorHAnsi"/>
          <w:sz w:val="24"/>
          <w:szCs w:val="24"/>
          <w:lang w:val="el-GR"/>
        </w:rPr>
        <w:t xml:space="preserve"> </w:t>
      </w:r>
      <w:r w:rsidR="00491C4A">
        <w:rPr>
          <w:rFonts w:eastAsia="Calibri" w:cstheme="minorHAnsi"/>
          <w:sz w:val="24"/>
          <w:szCs w:val="24"/>
          <w:lang w:val="el-GR"/>
        </w:rPr>
        <w:t>Άρθρο</w:t>
      </w:r>
      <w:r w:rsidR="00491C4A" w:rsidRPr="00491C4A">
        <w:rPr>
          <w:rFonts w:eastAsia="Calibri" w:cstheme="minorHAnsi"/>
          <w:sz w:val="24"/>
          <w:szCs w:val="24"/>
          <w:lang w:val="el-GR"/>
        </w:rPr>
        <w:t xml:space="preserve"> 29 </w:t>
      </w:r>
      <w:r w:rsidR="00491C4A">
        <w:rPr>
          <w:rFonts w:eastAsia="Calibri" w:cstheme="minorHAnsi"/>
          <w:sz w:val="24"/>
          <w:szCs w:val="24"/>
          <w:lang w:val="el-GR"/>
        </w:rPr>
        <w:t>του</w:t>
      </w:r>
      <w:r w:rsidR="00491C4A" w:rsidRPr="00491C4A">
        <w:rPr>
          <w:rFonts w:eastAsia="Calibri" w:cstheme="minorHAnsi"/>
          <w:sz w:val="24"/>
          <w:szCs w:val="24"/>
          <w:lang w:val="el-GR"/>
        </w:rPr>
        <w:t xml:space="preserve"> </w:t>
      </w:r>
      <w:r w:rsidR="00491C4A">
        <w:rPr>
          <w:rFonts w:eastAsia="Calibri" w:cstheme="minorHAnsi"/>
          <w:sz w:val="24"/>
          <w:szCs w:val="24"/>
          <w:lang w:val="el-GR"/>
        </w:rPr>
        <w:t>Συντάγματος</w:t>
      </w:r>
      <w:r w:rsidR="00F8627E" w:rsidRPr="00491C4A">
        <w:rPr>
          <w:rFonts w:cstheme="minorHAnsi"/>
          <w:color w:val="000000"/>
          <w:sz w:val="24"/>
          <w:szCs w:val="24"/>
          <w:lang w:val="el-GR"/>
        </w:rPr>
        <w:t xml:space="preserve"> </w:t>
      </w:r>
      <w:r w:rsidR="00491C4A">
        <w:rPr>
          <w:rFonts w:cstheme="minorHAnsi"/>
          <w:color w:val="000000"/>
          <w:sz w:val="24"/>
          <w:szCs w:val="24"/>
          <w:lang w:val="el-GR"/>
        </w:rPr>
        <w:t>εξασφαλίζει</w:t>
      </w:r>
      <w:r w:rsidR="00491C4A" w:rsidRPr="00491C4A">
        <w:rPr>
          <w:rFonts w:cstheme="minorHAnsi"/>
          <w:color w:val="000000"/>
          <w:sz w:val="24"/>
          <w:szCs w:val="24"/>
          <w:lang w:val="el-GR"/>
        </w:rPr>
        <w:t xml:space="preserve"> </w:t>
      </w:r>
      <w:r w:rsidR="00491C4A">
        <w:rPr>
          <w:rFonts w:cstheme="minorHAnsi"/>
          <w:color w:val="000000"/>
          <w:sz w:val="24"/>
          <w:szCs w:val="24"/>
          <w:lang w:val="el-GR"/>
        </w:rPr>
        <w:t>το</w:t>
      </w:r>
      <w:r w:rsidR="00491C4A" w:rsidRPr="00491C4A">
        <w:rPr>
          <w:rFonts w:cstheme="minorHAnsi"/>
          <w:color w:val="000000"/>
          <w:sz w:val="24"/>
          <w:szCs w:val="24"/>
          <w:lang w:val="el-GR"/>
        </w:rPr>
        <w:t xml:space="preserve"> </w:t>
      </w:r>
      <w:r w:rsidR="00491C4A">
        <w:rPr>
          <w:rFonts w:cstheme="minorHAnsi"/>
          <w:color w:val="000000"/>
          <w:sz w:val="24"/>
          <w:szCs w:val="24"/>
          <w:lang w:val="el-GR"/>
        </w:rPr>
        <w:t>δικαίωμα</w:t>
      </w:r>
      <w:r w:rsidR="00491C4A" w:rsidRPr="00491C4A">
        <w:rPr>
          <w:rFonts w:cstheme="minorHAnsi"/>
          <w:color w:val="000000"/>
          <w:sz w:val="24"/>
          <w:szCs w:val="24"/>
          <w:lang w:val="el-GR"/>
        </w:rPr>
        <w:t xml:space="preserve"> </w:t>
      </w:r>
      <w:r w:rsidR="00491C4A">
        <w:rPr>
          <w:rFonts w:cstheme="minorHAnsi"/>
          <w:color w:val="000000"/>
          <w:sz w:val="24"/>
          <w:szCs w:val="24"/>
          <w:lang w:val="el-GR"/>
        </w:rPr>
        <w:t>των</w:t>
      </w:r>
      <w:r w:rsidR="00491C4A" w:rsidRPr="00491C4A">
        <w:rPr>
          <w:rFonts w:cstheme="minorHAnsi"/>
          <w:color w:val="000000"/>
          <w:sz w:val="24"/>
          <w:szCs w:val="24"/>
          <w:lang w:val="el-GR"/>
        </w:rPr>
        <w:t xml:space="preserve"> </w:t>
      </w:r>
      <w:r w:rsidR="00491C4A">
        <w:rPr>
          <w:rFonts w:cstheme="minorHAnsi"/>
          <w:color w:val="000000"/>
          <w:sz w:val="24"/>
          <w:szCs w:val="24"/>
          <w:lang w:val="el-GR"/>
        </w:rPr>
        <w:t>πολιτών</w:t>
      </w:r>
      <w:r w:rsidR="00F8627E" w:rsidRPr="00491C4A">
        <w:rPr>
          <w:rFonts w:cstheme="minorHAnsi"/>
          <w:color w:val="000000"/>
          <w:sz w:val="24"/>
          <w:szCs w:val="24"/>
          <w:lang w:val="el-GR"/>
        </w:rPr>
        <w:t xml:space="preserve"> </w:t>
      </w:r>
      <w:r w:rsidR="00491C4A">
        <w:rPr>
          <w:rFonts w:cstheme="minorHAnsi"/>
          <w:color w:val="000000"/>
          <w:sz w:val="24"/>
          <w:szCs w:val="24"/>
          <w:lang w:val="el-GR"/>
        </w:rPr>
        <w:t>να</w:t>
      </w:r>
      <w:r w:rsidR="00491C4A" w:rsidRPr="00491C4A">
        <w:rPr>
          <w:rFonts w:cstheme="minorHAnsi"/>
          <w:color w:val="000000"/>
          <w:sz w:val="24"/>
          <w:szCs w:val="24"/>
          <w:lang w:val="el-GR"/>
        </w:rPr>
        <w:t xml:space="preserve"> </w:t>
      </w:r>
      <w:r w:rsidR="00491C4A">
        <w:rPr>
          <w:rFonts w:cstheme="minorHAnsi"/>
          <w:color w:val="000000"/>
          <w:sz w:val="24"/>
          <w:szCs w:val="24"/>
          <w:lang w:val="el-GR"/>
        </w:rPr>
        <w:t>υποβάλουν</w:t>
      </w:r>
      <w:r w:rsidR="00F8627E" w:rsidRPr="00491C4A">
        <w:rPr>
          <w:rFonts w:cstheme="minorHAnsi"/>
          <w:color w:val="000000"/>
          <w:sz w:val="24"/>
          <w:szCs w:val="24"/>
          <w:lang w:val="el-GR"/>
        </w:rPr>
        <w:t xml:space="preserve"> </w:t>
      </w:r>
      <w:r w:rsidR="00542502">
        <w:rPr>
          <w:rFonts w:cstheme="minorHAnsi"/>
          <w:color w:val="000000"/>
          <w:sz w:val="24"/>
          <w:szCs w:val="24"/>
          <w:lang w:val="el-GR"/>
        </w:rPr>
        <w:t>αιτήσεις</w:t>
      </w:r>
      <w:r w:rsidR="00491C4A">
        <w:rPr>
          <w:rFonts w:cstheme="minorHAnsi"/>
          <w:color w:val="000000"/>
          <w:sz w:val="24"/>
          <w:szCs w:val="24"/>
          <w:lang w:val="el-GR"/>
        </w:rPr>
        <w:t xml:space="preserve"> ή παράπονα</w:t>
      </w:r>
      <w:r w:rsidR="00D14342" w:rsidRPr="00491C4A">
        <w:rPr>
          <w:rFonts w:cstheme="minorHAnsi"/>
          <w:color w:val="000000"/>
          <w:sz w:val="24"/>
          <w:szCs w:val="24"/>
          <w:lang w:val="el-GR"/>
        </w:rPr>
        <w:t xml:space="preserve"> </w:t>
      </w:r>
      <w:r w:rsidR="00491C4A">
        <w:rPr>
          <w:rFonts w:cstheme="minorHAnsi"/>
          <w:color w:val="000000"/>
          <w:sz w:val="24"/>
          <w:szCs w:val="24"/>
          <w:lang w:val="el-GR"/>
        </w:rPr>
        <w:t>στις αρχές</w:t>
      </w:r>
      <w:r w:rsidR="00F8627E" w:rsidRPr="00491C4A">
        <w:rPr>
          <w:rFonts w:cstheme="minorHAnsi"/>
          <w:color w:val="000000"/>
          <w:sz w:val="24"/>
          <w:szCs w:val="24"/>
          <w:lang w:val="el-GR"/>
        </w:rPr>
        <w:t xml:space="preserve">, </w:t>
      </w:r>
      <w:r w:rsidR="00491C4A">
        <w:rPr>
          <w:rFonts w:cstheme="minorHAnsi"/>
          <w:color w:val="000000"/>
          <w:sz w:val="24"/>
          <w:szCs w:val="24"/>
          <w:lang w:val="el-GR"/>
        </w:rPr>
        <w:t xml:space="preserve">τα οποία οι αρχές θα πρέπει να τα επιληφθούν εντός </w:t>
      </w:r>
      <w:r w:rsidR="00F8627E" w:rsidRPr="00491C4A">
        <w:rPr>
          <w:rFonts w:cstheme="minorHAnsi"/>
          <w:color w:val="000000"/>
          <w:sz w:val="24"/>
          <w:szCs w:val="24"/>
          <w:lang w:val="el-GR"/>
        </w:rPr>
        <w:t xml:space="preserve">30 </w:t>
      </w:r>
      <w:r w:rsidR="00491C4A">
        <w:rPr>
          <w:rFonts w:cstheme="minorHAnsi"/>
          <w:color w:val="000000"/>
          <w:sz w:val="24"/>
          <w:szCs w:val="24"/>
          <w:lang w:val="el-GR"/>
        </w:rPr>
        <w:t>ημερών</w:t>
      </w:r>
      <w:r w:rsidR="00F8627E" w:rsidRPr="00491C4A">
        <w:rPr>
          <w:rFonts w:cstheme="minorHAnsi"/>
          <w:color w:val="000000"/>
          <w:sz w:val="24"/>
          <w:szCs w:val="24"/>
          <w:lang w:val="el-GR"/>
        </w:rPr>
        <w:t>.</w:t>
      </w:r>
    </w:p>
    <w:bookmarkEnd w:id="69"/>
    <w:p w14:paraId="777C7256" w14:textId="77777777" w:rsidR="00A5147D" w:rsidRPr="00491C4A" w:rsidRDefault="00A5147D" w:rsidP="00A5147D">
      <w:pPr>
        <w:tabs>
          <w:tab w:val="left" w:pos="709"/>
        </w:tabs>
        <w:rPr>
          <w:rFonts w:eastAsia="Calibri" w:cstheme="minorHAnsi"/>
          <w:sz w:val="24"/>
          <w:szCs w:val="24"/>
          <w:lang w:val="el-GR"/>
        </w:rPr>
      </w:pPr>
    </w:p>
    <w:p w14:paraId="7C3B4799" w14:textId="34A6BBF1" w:rsidR="00A5147D" w:rsidRPr="004B423C" w:rsidRDefault="00491C4A"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Ο</w:t>
      </w:r>
      <w:r w:rsidRPr="00491C4A">
        <w:rPr>
          <w:rFonts w:cstheme="minorHAnsi"/>
          <w:sz w:val="24"/>
          <w:szCs w:val="24"/>
          <w:lang w:val="el-GR"/>
        </w:rPr>
        <w:t xml:space="preserve"> </w:t>
      </w:r>
      <w:r>
        <w:rPr>
          <w:rFonts w:cstheme="minorHAnsi"/>
          <w:sz w:val="24"/>
          <w:szCs w:val="24"/>
          <w:lang w:val="el-GR"/>
        </w:rPr>
        <w:t>Νόμος</w:t>
      </w:r>
      <w:r w:rsidRPr="00491C4A">
        <w:rPr>
          <w:rFonts w:cstheme="minorHAnsi"/>
          <w:sz w:val="24"/>
          <w:szCs w:val="24"/>
          <w:lang w:val="el-GR"/>
        </w:rPr>
        <w:t xml:space="preserve"> </w:t>
      </w:r>
      <w:r>
        <w:rPr>
          <w:rFonts w:cstheme="minorHAnsi"/>
          <w:sz w:val="24"/>
          <w:szCs w:val="24"/>
          <w:lang w:val="el-GR"/>
        </w:rPr>
        <w:t>υποχρεώνει</w:t>
      </w:r>
      <w:r w:rsidRPr="00491C4A">
        <w:rPr>
          <w:rFonts w:cstheme="minorHAnsi"/>
          <w:sz w:val="24"/>
          <w:szCs w:val="24"/>
          <w:lang w:val="el-GR"/>
        </w:rPr>
        <w:t xml:space="preserve"> </w:t>
      </w:r>
      <w:r>
        <w:rPr>
          <w:rFonts w:cstheme="minorHAnsi"/>
          <w:sz w:val="24"/>
          <w:szCs w:val="24"/>
          <w:lang w:val="el-GR"/>
        </w:rPr>
        <w:t>τις</w:t>
      </w:r>
      <w:r w:rsidRPr="00491C4A">
        <w:rPr>
          <w:rFonts w:cstheme="minorHAnsi"/>
          <w:sz w:val="24"/>
          <w:szCs w:val="24"/>
          <w:lang w:val="el-GR"/>
        </w:rPr>
        <w:t xml:space="preserve"> </w:t>
      </w:r>
      <w:r>
        <w:rPr>
          <w:rFonts w:cstheme="minorHAnsi"/>
          <w:sz w:val="24"/>
          <w:szCs w:val="24"/>
          <w:lang w:val="el-GR"/>
        </w:rPr>
        <w:t>δημόσιες</w:t>
      </w:r>
      <w:r w:rsidRPr="00491C4A">
        <w:rPr>
          <w:rFonts w:cstheme="minorHAnsi"/>
          <w:sz w:val="24"/>
          <w:szCs w:val="24"/>
          <w:lang w:val="el-GR"/>
        </w:rPr>
        <w:t xml:space="preserve"> </w:t>
      </w:r>
      <w:r>
        <w:rPr>
          <w:rFonts w:cstheme="minorHAnsi"/>
          <w:sz w:val="24"/>
          <w:szCs w:val="24"/>
          <w:lang w:val="el-GR"/>
        </w:rPr>
        <w:t>αρχές</w:t>
      </w:r>
      <w:r w:rsidR="00A5147D" w:rsidRPr="00491C4A">
        <w:rPr>
          <w:rFonts w:cstheme="minorHAnsi"/>
          <w:sz w:val="24"/>
          <w:szCs w:val="24"/>
          <w:lang w:val="el-GR"/>
        </w:rPr>
        <w:t xml:space="preserve"> </w:t>
      </w:r>
      <w:r>
        <w:rPr>
          <w:rFonts w:cstheme="minorHAnsi"/>
          <w:sz w:val="24"/>
          <w:szCs w:val="24"/>
          <w:lang w:val="el-GR"/>
        </w:rPr>
        <w:t>να</w:t>
      </w:r>
      <w:r w:rsidRPr="00491C4A">
        <w:rPr>
          <w:rFonts w:cstheme="minorHAnsi"/>
          <w:sz w:val="24"/>
          <w:szCs w:val="24"/>
          <w:lang w:val="el-GR"/>
        </w:rPr>
        <w:t xml:space="preserve"> </w:t>
      </w:r>
      <w:r>
        <w:rPr>
          <w:rFonts w:cstheme="minorHAnsi"/>
          <w:sz w:val="24"/>
          <w:szCs w:val="24"/>
          <w:lang w:val="el-GR"/>
        </w:rPr>
        <w:t>έχουν</w:t>
      </w:r>
      <w:r w:rsidRPr="00491C4A">
        <w:rPr>
          <w:rFonts w:cstheme="minorHAnsi"/>
          <w:sz w:val="24"/>
          <w:szCs w:val="24"/>
          <w:lang w:val="el-GR"/>
        </w:rPr>
        <w:t xml:space="preserve"> </w:t>
      </w:r>
      <w:r>
        <w:rPr>
          <w:rFonts w:cstheme="minorHAnsi"/>
          <w:sz w:val="24"/>
          <w:szCs w:val="24"/>
          <w:lang w:val="el-GR"/>
        </w:rPr>
        <w:t>ένα</w:t>
      </w:r>
      <w:r w:rsidRPr="00491C4A">
        <w:rPr>
          <w:rFonts w:cstheme="minorHAnsi"/>
          <w:sz w:val="24"/>
          <w:szCs w:val="24"/>
          <w:lang w:val="el-GR"/>
        </w:rPr>
        <w:t xml:space="preserve"> </w:t>
      </w:r>
      <w:r>
        <w:rPr>
          <w:rFonts w:cstheme="minorHAnsi"/>
          <w:sz w:val="24"/>
          <w:szCs w:val="24"/>
          <w:lang w:val="el-GR"/>
        </w:rPr>
        <w:t>σχέδιο</w:t>
      </w:r>
      <w:r w:rsidRPr="00491C4A">
        <w:rPr>
          <w:rFonts w:cstheme="minorHAnsi"/>
          <w:sz w:val="24"/>
          <w:szCs w:val="24"/>
          <w:lang w:val="el-GR"/>
        </w:rPr>
        <w:t xml:space="preserve"> </w:t>
      </w:r>
      <w:r>
        <w:rPr>
          <w:rFonts w:cstheme="minorHAnsi"/>
          <w:sz w:val="24"/>
          <w:szCs w:val="24"/>
          <w:lang w:val="el-GR"/>
        </w:rPr>
        <w:t>δημοσίευσης</w:t>
      </w:r>
      <w:r w:rsidR="00A5147D" w:rsidRPr="00491C4A">
        <w:rPr>
          <w:rFonts w:cstheme="minorHAnsi"/>
          <w:sz w:val="24"/>
          <w:szCs w:val="24"/>
          <w:lang w:val="el-GR"/>
        </w:rPr>
        <w:t xml:space="preserve">, </w:t>
      </w:r>
      <w:r w:rsidR="002E394C">
        <w:rPr>
          <w:rFonts w:cstheme="minorHAnsi"/>
          <w:sz w:val="24"/>
          <w:szCs w:val="24"/>
          <w:lang w:val="el-GR"/>
        </w:rPr>
        <w:t xml:space="preserve">εγκεκριμένο </w:t>
      </w:r>
      <w:r>
        <w:rPr>
          <w:rFonts w:cstheme="minorHAnsi"/>
          <w:sz w:val="24"/>
          <w:szCs w:val="24"/>
          <w:lang w:val="el-GR"/>
        </w:rPr>
        <w:t>από</w:t>
      </w:r>
      <w:r w:rsidRPr="00491C4A">
        <w:rPr>
          <w:rFonts w:cstheme="minorHAnsi"/>
          <w:sz w:val="24"/>
          <w:szCs w:val="24"/>
          <w:lang w:val="el-GR"/>
        </w:rPr>
        <w:t xml:space="preserve"> </w:t>
      </w:r>
      <w:r>
        <w:rPr>
          <w:rFonts w:cstheme="minorHAnsi"/>
          <w:sz w:val="24"/>
          <w:szCs w:val="24"/>
          <w:lang w:val="el-GR"/>
        </w:rPr>
        <w:t>τον</w:t>
      </w:r>
      <w:r w:rsidRPr="00491C4A">
        <w:rPr>
          <w:rFonts w:cstheme="minorHAnsi"/>
          <w:sz w:val="24"/>
          <w:szCs w:val="24"/>
          <w:lang w:val="el-GR"/>
        </w:rPr>
        <w:t xml:space="preserve"> </w:t>
      </w:r>
      <w:r>
        <w:rPr>
          <w:rFonts w:cstheme="minorHAnsi"/>
          <w:sz w:val="24"/>
          <w:szCs w:val="24"/>
          <w:u w:val="single"/>
          <w:lang w:val="el-GR"/>
        </w:rPr>
        <w:t>Επίτροπο</w:t>
      </w:r>
      <w:r w:rsidRPr="00491C4A">
        <w:rPr>
          <w:rFonts w:cstheme="minorHAnsi"/>
          <w:sz w:val="24"/>
          <w:szCs w:val="24"/>
          <w:u w:val="single"/>
          <w:lang w:val="el-GR"/>
        </w:rPr>
        <w:t xml:space="preserve"> </w:t>
      </w:r>
      <w:r>
        <w:rPr>
          <w:rFonts w:cstheme="minorHAnsi"/>
          <w:sz w:val="24"/>
          <w:szCs w:val="24"/>
          <w:u w:val="single"/>
          <w:lang w:val="el-GR"/>
        </w:rPr>
        <w:t>Πληροφοριών</w:t>
      </w:r>
      <w:r w:rsidR="00A5147D" w:rsidRPr="00491C4A">
        <w:rPr>
          <w:rFonts w:cstheme="minorHAnsi"/>
          <w:sz w:val="24"/>
          <w:szCs w:val="24"/>
          <w:lang w:val="el-GR"/>
        </w:rPr>
        <w:t xml:space="preserve">, </w:t>
      </w:r>
      <w:r>
        <w:rPr>
          <w:rFonts w:cstheme="minorHAnsi"/>
          <w:sz w:val="24"/>
          <w:szCs w:val="24"/>
          <w:lang w:val="el-GR"/>
        </w:rPr>
        <w:t xml:space="preserve">που είναι η </w:t>
      </w:r>
      <w:r w:rsidR="004B423C">
        <w:rPr>
          <w:rFonts w:cstheme="minorHAnsi"/>
          <w:sz w:val="24"/>
          <w:szCs w:val="24"/>
          <w:lang w:val="el-GR"/>
        </w:rPr>
        <w:t>εποπτική αρχή για την υλοποίηση του προαναφερθέντα Νόμου</w:t>
      </w:r>
      <w:r w:rsidR="00A5147D" w:rsidRPr="00491C4A">
        <w:rPr>
          <w:rFonts w:cstheme="minorHAnsi"/>
          <w:sz w:val="24"/>
          <w:szCs w:val="24"/>
          <w:lang w:val="el-GR"/>
        </w:rPr>
        <w:t xml:space="preserve">. </w:t>
      </w:r>
      <w:r w:rsidR="004B423C">
        <w:rPr>
          <w:rFonts w:cstheme="minorHAnsi"/>
          <w:sz w:val="24"/>
          <w:szCs w:val="24"/>
          <w:lang w:val="el-GR"/>
        </w:rPr>
        <w:t>Το</w:t>
      </w:r>
      <w:r w:rsidR="004B423C" w:rsidRPr="004B423C">
        <w:rPr>
          <w:rFonts w:cstheme="minorHAnsi"/>
          <w:sz w:val="24"/>
          <w:szCs w:val="24"/>
          <w:lang w:val="el-GR"/>
        </w:rPr>
        <w:t xml:space="preserve"> </w:t>
      </w:r>
      <w:r w:rsidR="004B423C">
        <w:rPr>
          <w:rFonts w:cstheme="minorHAnsi"/>
          <w:sz w:val="24"/>
          <w:szCs w:val="24"/>
          <w:lang w:val="el-GR"/>
        </w:rPr>
        <w:t>σχέδιο</w:t>
      </w:r>
      <w:r w:rsidR="004B423C" w:rsidRPr="004B423C">
        <w:rPr>
          <w:rFonts w:cstheme="minorHAnsi"/>
          <w:sz w:val="24"/>
          <w:szCs w:val="24"/>
          <w:lang w:val="el-GR"/>
        </w:rPr>
        <w:t xml:space="preserve"> </w:t>
      </w:r>
      <w:r w:rsidR="004B423C">
        <w:rPr>
          <w:rFonts w:cstheme="minorHAnsi"/>
          <w:sz w:val="24"/>
          <w:szCs w:val="24"/>
          <w:lang w:val="el-GR"/>
        </w:rPr>
        <w:t>δημοσίευσης</w:t>
      </w:r>
      <w:r w:rsidR="004B423C" w:rsidRPr="004B423C">
        <w:rPr>
          <w:rFonts w:cstheme="minorHAnsi"/>
          <w:sz w:val="24"/>
          <w:szCs w:val="24"/>
          <w:lang w:val="el-GR"/>
        </w:rPr>
        <w:t xml:space="preserve"> </w:t>
      </w:r>
      <w:r w:rsidR="004B423C">
        <w:rPr>
          <w:rFonts w:cstheme="minorHAnsi"/>
          <w:sz w:val="24"/>
          <w:szCs w:val="24"/>
          <w:lang w:val="el-GR"/>
        </w:rPr>
        <w:t>συμπεριλαμβάνει</w:t>
      </w:r>
      <w:r w:rsidR="00A5147D" w:rsidRPr="004B423C">
        <w:rPr>
          <w:rFonts w:cstheme="minorHAnsi"/>
          <w:sz w:val="24"/>
          <w:szCs w:val="24"/>
          <w:lang w:val="el-GR"/>
        </w:rPr>
        <w:t xml:space="preserve"> </w:t>
      </w:r>
      <w:r w:rsidR="004B423C">
        <w:rPr>
          <w:rFonts w:cstheme="minorHAnsi"/>
          <w:sz w:val="24"/>
          <w:szCs w:val="24"/>
          <w:lang w:val="el-GR"/>
        </w:rPr>
        <w:t>κατηγορίες</w:t>
      </w:r>
      <w:r w:rsidR="004B423C" w:rsidRPr="004B423C">
        <w:rPr>
          <w:rFonts w:cstheme="minorHAnsi"/>
          <w:sz w:val="24"/>
          <w:szCs w:val="24"/>
          <w:lang w:val="el-GR"/>
        </w:rPr>
        <w:t xml:space="preserve"> </w:t>
      </w:r>
      <w:r w:rsidR="004B423C">
        <w:rPr>
          <w:rFonts w:cstheme="minorHAnsi"/>
          <w:sz w:val="24"/>
          <w:szCs w:val="24"/>
          <w:lang w:val="el-GR"/>
        </w:rPr>
        <w:t>πληροφοριών</w:t>
      </w:r>
      <w:r w:rsidR="00A5147D" w:rsidRPr="004B423C">
        <w:rPr>
          <w:rFonts w:cstheme="minorHAnsi"/>
          <w:sz w:val="24"/>
          <w:szCs w:val="24"/>
          <w:lang w:val="el-GR"/>
        </w:rPr>
        <w:t xml:space="preserve"> </w:t>
      </w:r>
      <w:r w:rsidR="004B423C">
        <w:rPr>
          <w:rFonts w:cstheme="minorHAnsi"/>
          <w:sz w:val="24"/>
          <w:szCs w:val="24"/>
          <w:lang w:val="el-GR"/>
        </w:rPr>
        <w:t>που οι πολίτες</w:t>
      </w:r>
      <w:r w:rsidR="00A5147D" w:rsidRPr="004B423C">
        <w:rPr>
          <w:rFonts w:cstheme="minorHAnsi"/>
          <w:sz w:val="24"/>
          <w:szCs w:val="24"/>
          <w:lang w:val="el-GR"/>
        </w:rPr>
        <w:t xml:space="preserve"> </w:t>
      </w:r>
      <w:r w:rsidR="004B423C">
        <w:rPr>
          <w:rFonts w:cstheme="minorHAnsi"/>
          <w:sz w:val="24"/>
          <w:szCs w:val="24"/>
          <w:lang w:val="el-GR"/>
        </w:rPr>
        <w:t>μπορεί να αποκτήσουν από μια δημόσια αρχή</w:t>
      </w:r>
      <w:r w:rsidR="00A5147D" w:rsidRPr="004B423C">
        <w:rPr>
          <w:rFonts w:cstheme="minorHAnsi"/>
          <w:sz w:val="24"/>
          <w:szCs w:val="24"/>
          <w:lang w:val="el-GR"/>
        </w:rPr>
        <w:t xml:space="preserve">. </w:t>
      </w:r>
      <w:r w:rsidR="004B423C">
        <w:rPr>
          <w:rFonts w:cstheme="minorHAnsi"/>
          <w:sz w:val="24"/>
          <w:szCs w:val="24"/>
          <w:lang w:val="el-GR"/>
        </w:rPr>
        <w:t>Ο</w:t>
      </w:r>
      <w:r w:rsidR="004B423C" w:rsidRPr="004B423C">
        <w:rPr>
          <w:rFonts w:cstheme="minorHAnsi"/>
          <w:sz w:val="24"/>
          <w:szCs w:val="24"/>
          <w:lang w:val="el-GR"/>
        </w:rPr>
        <w:t xml:space="preserve"> </w:t>
      </w:r>
      <w:r w:rsidR="004B423C">
        <w:rPr>
          <w:rFonts w:cstheme="minorHAnsi"/>
          <w:sz w:val="24"/>
          <w:szCs w:val="24"/>
          <w:lang w:val="el-GR"/>
        </w:rPr>
        <w:t>Επίτροπος</w:t>
      </w:r>
      <w:r w:rsidR="004B423C" w:rsidRPr="004B423C">
        <w:rPr>
          <w:rFonts w:cstheme="minorHAnsi"/>
          <w:sz w:val="24"/>
          <w:szCs w:val="24"/>
          <w:lang w:val="el-GR"/>
        </w:rPr>
        <w:t xml:space="preserve"> </w:t>
      </w:r>
      <w:r w:rsidR="004B423C">
        <w:rPr>
          <w:rFonts w:cstheme="minorHAnsi"/>
          <w:sz w:val="24"/>
          <w:szCs w:val="24"/>
          <w:lang w:val="el-GR"/>
        </w:rPr>
        <w:t>Πληροφοριών</w:t>
      </w:r>
      <w:r w:rsidR="00A5147D" w:rsidRPr="004B423C">
        <w:rPr>
          <w:rFonts w:cstheme="minorHAnsi"/>
          <w:sz w:val="24"/>
          <w:szCs w:val="24"/>
          <w:lang w:val="el-GR"/>
        </w:rPr>
        <w:t xml:space="preserve"> </w:t>
      </w:r>
      <w:r w:rsidR="004B423C">
        <w:rPr>
          <w:rFonts w:cstheme="minorHAnsi"/>
          <w:sz w:val="24"/>
          <w:szCs w:val="24"/>
          <w:lang w:val="el-GR"/>
        </w:rPr>
        <w:t>έχει</w:t>
      </w:r>
      <w:r w:rsidR="004B423C" w:rsidRPr="004B423C">
        <w:rPr>
          <w:rFonts w:cstheme="minorHAnsi"/>
          <w:sz w:val="24"/>
          <w:szCs w:val="24"/>
          <w:lang w:val="el-GR"/>
        </w:rPr>
        <w:t xml:space="preserve"> </w:t>
      </w:r>
      <w:r w:rsidR="004B423C">
        <w:rPr>
          <w:rFonts w:cstheme="minorHAnsi"/>
          <w:sz w:val="24"/>
          <w:szCs w:val="24"/>
          <w:lang w:val="el-GR"/>
        </w:rPr>
        <w:t>στείλει</w:t>
      </w:r>
      <w:r w:rsidR="004B423C" w:rsidRPr="004B423C">
        <w:rPr>
          <w:rFonts w:cstheme="minorHAnsi"/>
          <w:sz w:val="24"/>
          <w:szCs w:val="24"/>
          <w:lang w:val="el-GR"/>
        </w:rPr>
        <w:t xml:space="preserve"> </w:t>
      </w:r>
      <w:r w:rsidR="004B423C">
        <w:rPr>
          <w:rFonts w:cstheme="minorHAnsi"/>
          <w:sz w:val="24"/>
          <w:szCs w:val="24"/>
          <w:lang w:val="el-GR"/>
        </w:rPr>
        <w:t>εγκυκλίους</w:t>
      </w:r>
      <w:r w:rsidR="00A5147D" w:rsidRPr="004B423C">
        <w:rPr>
          <w:rFonts w:cstheme="minorHAnsi"/>
          <w:sz w:val="24"/>
          <w:szCs w:val="24"/>
          <w:lang w:val="el-GR"/>
        </w:rPr>
        <w:t xml:space="preserve"> </w:t>
      </w:r>
      <w:r w:rsidR="004B423C">
        <w:rPr>
          <w:rFonts w:cstheme="minorHAnsi"/>
          <w:sz w:val="24"/>
          <w:szCs w:val="24"/>
          <w:lang w:val="el-GR"/>
        </w:rPr>
        <w:t>και</w:t>
      </w:r>
      <w:r w:rsidR="00A5147D" w:rsidRPr="004B423C">
        <w:rPr>
          <w:rFonts w:cstheme="minorHAnsi"/>
          <w:sz w:val="24"/>
          <w:szCs w:val="24"/>
          <w:lang w:val="el-GR"/>
        </w:rPr>
        <w:t xml:space="preserve"> </w:t>
      </w:r>
      <w:r w:rsidR="004B423C">
        <w:rPr>
          <w:rFonts w:cstheme="minorHAnsi"/>
          <w:sz w:val="24"/>
          <w:szCs w:val="24"/>
          <w:lang w:val="el-GR"/>
        </w:rPr>
        <w:t>διεξάγει</w:t>
      </w:r>
      <w:r w:rsidR="004B423C" w:rsidRPr="004B423C">
        <w:rPr>
          <w:rFonts w:cstheme="minorHAnsi"/>
          <w:sz w:val="24"/>
          <w:szCs w:val="24"/>
          <w:lang w:val="el-GR"/>
        </w:rPr>
        <w:t xml:space="preserve"> </w:t>
      </w:r>
      <w:r w:rsidR="004B423C">
        <w:rPr>
          <w:rFonts w:cstheme="minorHAnsi"/>
          <w:sz w:val="24"/>
          <w:szCs w:val="24"/>
          <w:lang w:val="el-GR"/>
        </w:rPr>
        <w:t>εργασία</w:t>
      </w:r>
      <w:r w:rsidR="004B423C" w:rsidRPr="004B423C">
        <w:rPr>
          <w:rFonts w:cstheme="minorHAnsi"/>
          <w:sz w:val="24"/>
          <w:szCs w:val="24"/>
          <w:lang w:val="el-GR"/>
        </w:rPr>
        <w:t xml:space="preserve"> </w:t>
      </w:r>
      <w:r w:rsidR="004B423C">
        <w:rPr>
          <w:rFonts w:cstheme="minorHAnsi"/>
          <w:sz w:val="24"/>
          <w:szCs w:val="24"/>
          <w:lang w:val="el-GR"/>
        </w:rPr>
        <w:t>παρακολούθησης</w:t>
      </w:r>
      <w:r w:rsidR="00A5147D" w:rsidRPr="004B423C">
        <w:rPr>
          <w:rFonts w:cstheme="minorHAnsi"/>
          <w:sz w:val="24"/>
          <w:szCs w:val="24"/>
          <w:lang w:val="el-GR"/>
        </w:rPr>
        <w:t xml:space="preserve"> </w:t>
      </w:r>
      <w:r w:rsidR="004B423C">
        <w:rPr>
          <w:rFonts w:cstheme="minorHAnsi"/>
          <w:sz w:val="24"/>
          <w:szCs w:val="24"/>
          <w:lang w:val="el-GR"/>
        </w:rPr>
        <w:t>για να εξασφαλίσει ώστε οι δημόσιες αρχές</w:t>
      </w:r>
      <w:r w:rsidR="00A5147D" w:rsidRPr="004B423C">
        <w:rPr>
          <w:rFonts w:cstheme="minorHAnsi"/>
          <w:sz w:val="24"/>
          <w:szCs w:val="24"/>
          <w:lang w:val="el-GR"/>
        </w:rPr>
        <w:t xml:space="preserve"> </w:t>
      </w:r>
      <w:r w:rsidR="004B423C">
        <w:rPr>
          <w:rFonts w:cstheme="minorHAnsi"/>
          <w:sz w:val="24"/>
          <w:szCs w:val="24"/>
          <w:lang w:val="el-GR"/>
        </w:rPr>
        <w:t>έχουν σχέδια δημοσίευσης</w:t>
      </w:r>
      <w:r w:rsidR="00A5147D" w:rsidRPr="004B423C">
        <w:rPr>
          <w:rFonts w:cstheme="minorHAnsi"/>
          <w:sz w:val="24"/>
          <w:szCs w:val="24"/>
          <w:lang w:val="el-GR"/>
        </w:rPr>
        <w:t xml:space="preserve"> </w:t>
      </w:r>
      <w:r w:rsidR="004B423C">
        <w:rPr>
          <w:rFonts w:cstheme="minorHAnsi"/>
          <w:sz w:val="24"/>
          <w:szCs w:val="24"/>
          <w:lang w:val="el-GR"/>
        </w:rPr>
        <w:t>και λειτουργούς-συνδέσμους</w:t>
      </w:r>
      <w:r w:rsidR="00A5147D" w:rsidRPr="004B423C">
        <w:rPr>
          <w:rFonts w:cstheme="minorHAnsi"/>
          <w:sz w:val="24"/>
          <w:szCs w:val="24"/>
          <w:lang w:val="el-GR"/>
        </w:rPr>
        <w:t>.</w:t>
      </w:r>
      <w:r w:rsidR="0051721B" w:rsidRPr="002B7C4B">
        <w:rPr>
          <w:rFonts w:cstheme="minorHAnsi"/>
          <w:sz w:val="24"/>
          <w:szCs w:val="24"/>
          <w:lang w:val="el-GR"/>
        </w:rPr>
        <w:t xml:space="preserve"> </w:t>
      </w:r>
      <w:r w:rsidR="0051721B">
        <w:rPr>
          <w:rFonts w:cstheme="minorHAnsi"/>
          <w:sz w:val="24"/>
          <w:szCs w:val="24"/>
          <w:lang w:val="el-GR"/>
        </w:rPr>
        <w:t>Επίσης</w:t>
      </w:r>
      <w:r w:rsidR="00A5147D" w:rsidRPr="004B423C">
        <w:rPr>
          <w:rFonts w:cstheme="minorHAnsi"/>
          <w:sz w:val="24"/>
          <w:szCs w:val="24"/>
          <w:lang w:val="el-GR"/>
        </w:rPr>
        <w:t xml:space="preserve">, </w:t>
      </w:r>
      <w:r w:rsidR="004B423C">
        <w:rPr>
          <w:rFonts w:cstheme="minorHAnsi"/>
          <w:sz w:val="24"/>
          <w:szCs w:val="24"/>
          <w:lang w:val="el-GR"/>
        </w:rPr>
        <w:t>ο</w:t>
      </w:r>
      <w:r w:rsidR="004B423C" w:rsidRPr="004B423C">
        <w:rPr>
          <w:rFonts w:cstheme="minorHAnsi"/>
          <w:sz w:val="24"/>
          <w:szCs w:val="24"/>
          <w:lang w:val="el-GR"/>
        </w:rPr>
        <w:t xml:space="preserve"> </w:t>
      </w:r>
      <w:r w:rsidR="004B423C">
        <w:rPr>
          <w:rFonts w:cstheme="minorHAnsi"/>
          <w:sz w:val="24"/>
          <w:szCs w:val="24"/>
          <w:lang w:val="el-GR"/>
        </w:rPr>
        <w:t>Επίτροπος</w:t>
      </w:r>
      <w:r w:rsidR="004B423C" w:rsidRPr="004B423C">
        <w:rPr>
          <w:rFonts w:cstheme="minorHAnsi"/>
          <w:sz w:val="24"/>
          <w:szCs w:val="24"/>
          <w:lang w:val="el-GR"/>
        </w:rPr>
        <w:t xml:space="preserve"> </w:t>
      </w:r>
      <w:r w:rsidR="004B423C">
        <w:rPr>
          <w:rFonts w:cstheme="minorHAnsi"/>
          <w:sz w:val="24"/>
          <w:szCs w:val="24"/>
          <w:lang w:val="el-GR"/>
        </w:rPr>
        <w:t>Πληροφοριών</w:t>
      </w:r>
      <w:r w:rsidR="00F8627E" w:rsidRPr="004B423C">
        <w:rPr>
          <w:rFonts w:cstheme="minorHAnsi"/>
          <w:sz w:val="24"/>
          <w:szCs w:val="24"/>
          <w:lang w:val="el-GR"/>
        </w:rPr>
        <w:t xml:space="preserve"> </w:t>
      </w:r>
      <w:bookmarkStart w:id="70" w:name="_Hlk132888333"/>
      <w:r w:rsidR="00F8627E" w:rsidRPr="004B423C">
        <w:rPr>
          <w:rFonts w:cs="Calibri"/>
          <w:sz w:val="24"/>
          <w:szCs w:val="24"/>
          <w:lang w:val="el-GR"/>
        </w:rPr>
        <w:t>(</w:t>
      </w:r>
      <w:r w:rsidR="004B423C">
        <w:rPr>
          <w:rFonts w:cs="Calibri"/>
          <w:sz w:val="24"/>
          <w:szCs w:val="24"/>
          <w:lang w:val="el-GR"/>
        </w:rPr>
        <w:t>δηλαδή</w:t>
      </w:r>
      <w:r w:rsidR="004B423C" w:rsidRPr="004B423C">
        <w:rPr>
          <w:rFonts w:cs="Calibri"/>
          <w:sz w:val="24"/>
          <w:szCs w:val="24"/>
          <w:lang w:val="el-GR"/>
        </w:rPr>
        <w:t xml:space="preserve"> </w:t>
      </w:r>
      <w:r w:rsidR="004B423C">
        <w:rPr>
          <w:rFonts w:cs="Calibri"/>
          <w:sz w:val="24"/>
          <w:szCs w:val="24"/>
          <w:lang w:val="el-GR"/>
        </w:rPr>
        <w:t>ο</w:t>
      </w:r>
      <w:r w:rsidR="004B423C" w:rsidRPr="004B423C">
        <w:rPr>
          <w:rFonts w:cs="Calibri"/>
          <w:sz w:val="24"/>
          <w:szCs w:val="24"/>
          <w:lang w:val="el-GR"/>
        </w:rPr>
        <w:t xml:space="preserve"> </w:t>
      </w:r>
      <w:r w:rsidR="004B423C">
        <w:rPr>
          <w:rFonts w:cs="Calibri"/>
          <w:sz w:val="24"/>
          <w:szCs w:val="24"/>
          <w:lang w:val="el-GR"/>
        </w:rPr>
        <w:t>Επίτροπος</w:t>
      </w:r>
      <w:r w:rsidR="004B423C" w:rsidRPr="004B423C">
        <w:rPr>
          <w:rFonts w:cs="Calibri"/>
          <w:sz w:val="24"/>
          <w:szCs w:val="24"/>
          <w:lang w:val="el-GR"/>
        </w:rPr>
        <w:t xml:space="preserve"> </w:t>
      </w:r>
      <w:r w:rsidR="004B423C">
        <w:rPr>
          <w:rFonts w:cs="Calibri"/>
          <w:sz w:val="24"/>
          <w:szCs w:val="24"/>
          <w:lang w:val="el-GR"/>
        </w:rPr>
        <w:t>για την Προστασία</w:t>
      </w:r>
      <w:r w:rsidR="004B423C" w:rsidRPr="004B423C">
        <w:rPr>
          <w:rFonts w:cs="Calibri"/>
          <w:sz w:val="24"/>
          <w:szCs w:val="24"/>
          <w:lang w:val="el-GR"/>
        </w:rPr>
        <w:t xml:space="preserve"> </w:t>
      </w:r>
      <w:r w:rsidR="004B423C">
        <w:rPr>
          <w:rFonts w:cs="Calibri"/>
          <w:sz w:val="24"/>
          <w:szCs w:val="24"/>
          <w:lang w:val="el-GR"/>
        </w:rPr>
        <w:t>Προσωπικών</w:t>
      </w:r>
      <w:r w:rsidR="004B423C" w:rsidRPr="004B423C">
        <w:rPr>
          <w:rFonts w:cs="Calibri"/>
          <w:sz w:val="24"/>
          <w:szCs w:val="24"/>
          <w:lang w:val="el-GR"/>
        </w:rPr>
        <w:t xml:space="preserve"> </w:t>
      </w:r>
      <w:r w:rsidR="004B423C">
        <w:rPr>
          <w:rFonts w:cs="Calibri"/>
          <w:sz w:val="24"/>
          <w:szCs w:val="24"/>
          <w:lang w:val="el-GR"/>
        </w:rPr>
        <w:t>Δεδομένων</w:t>
      </w:r>
      <w:r w:rsidR="00F8627E" w:rsidRPr="004B423C">
        <w:rPr>
          <w:rFonts w:cs="Calibri"/>
          <w:sz w:val="24"/>
          <w:szCs w:val="24"/>
          <w:lang w:val="el-GR"/>
        </w:rPr>
        <w:t xml:space="preserve">) </w:t>
      </w:r>
      <w:bookmarkEnd w:id="70"/>
      <w:r w:rsidR="004B423C">
        <w:rPr>
          <w:rFonts w:cs="Calibri"/>
          <w:sz w:val="24"/>
          <w:szCs w:val="24"/>
          <w:lang w:val="el-GR"/>
        </w:rPr>
        <w:t>οργ</w:t>
      </w:r>
      <w:r w:rsidR="00F618C5">
        <w:rPr>
          <w:rFonts w:cs="Calibri"/>
          <w:sz w:val="24"/>
          <w:szCs w:val="24"/>
          <w:lang w:val="el-GR"/>
        </w:rPr>
        <w:t>άνωσε αρκετά προγράμματα κατάρτ</w:t>
      </w:r>
      <w:r w:rsidR="004B423C">
        <w:rPr>
          <w:rFonts w:cs="Calibri"/>
          <w:sz w:val="24"/>
          <w:szCs w:val="24"/>
          <w:lang w:val="el-GR"/>
        </w:rPr>
        <w:t>ισης μέσω διαδικτύου το</w:t>
      </w:r>
      <w:r w:rsidR="00A5147D" w:rsidRPr="004B423C">
        <w:rPr>
          <w:rFonts w:cstheme="minorHAnsi"/>
          <w:sz w:val="24"/>
          <w:szCs w:val="24"/>
          <w:lang w:val="el-GR"/>
        </w:rPr>
        <w:t xml:space="preserve"> 2021-2022. </w:t>
      </w:r>
    </w:p>
    <w:p w14:paraId="0936AA40" w14:textId="77777777" w:rsidR="00A5147D" w:rsidRPr="004B423C" w:rsidRDefault="00A5147D" w:rsidP="00A5147D">
      <w:pPr>
        <w:tabs>
          <w:tab w:val="left" w:pos="709"/>
        </w:tabs>
        <w:rPr>
          <w:rFonts w:cstheme="minorHAnsi"/>
          <w:sz w:val="24"/>
          <w:szCs w:val="24"/>
          <w:lang w:val="el-GR"/>
        </w:rPr>
      </w:pPr>
    </w:p>
    <w:p w14:paraId="112E21DC" w14:textId="47E79627" w:rsidR="00A5147D" w:rsidRPr="005D7102" w:rsidRDefault="004B423C"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Ο</w:t>
      </w:r>
      <w:r w:rsidRPr="004B423C">
        <w:rPr>
          <w:rFonts w:cstheme="minorHAnsi"/>
          <w:sz w:val="24"/>
          <w:szCs w:val="24"/>
          <w:lang w:val="el-GR"/>
        </w:rPr>
        <w:t xml:space="preserve"> </w:t>
      </w:r>
      <w:r>
        <w:rPr>
          <w:rFonts w:cstheme="minorHAnsi"/>
          <w:sz w:val="24"/>
          <w:szCs w:val="24"/>
          <w:lang w:val="el-GR"/>
        </w:rPr>
        <w:t>Νόμος</w:t>
      </w:r>
      <w:r w:rsidRPr="004B423C">
        <w:rPr>
          <w:rFonts w:cstheme="minorHAnsi"/>
          <w:sz w:val="24"/>
          <w:szCs w:val="24"/>
          <w:lang w:val="el-GR"/>
        </w:rPr>
        <w:t xml:space="preserve"> </w:t>
      </w:r>
      <w:r w:rsidR="00A5147D" w:rsidRPr="004B423C">
        <w:rPr>
          <w:rFonts w:eastAsia="Calibri" w:cstheme="minorHAnsi"/>
          <w:sz w:val="24"/>
          <w:szCs w:val="24"/>
          <w:lang w:val="el-GR"/>
        </w:rPr>
        <w:t>184(</w:t>
      </w:r>
      <w:r w:rsidR="00A5147D" w:rsidRPr="004E251E">
        <w:rPr>
          <w:rFonts w:eastAsia="Calibri" w:cstheme="minorHAnsi"/>
          <w:sz w:val="24"/>
          <w:szCs w:val="24"/>
        </w:rPr>
        <w:t>I</w:t>
      </w:r>
      <w:r w:rsidR="00A5147D" w:rsidRPr="004B423C">
        <w:rPr>
          <w:rFonts w:eastAsia="Calibri" w:cstheme="minorHAnsi"/>
          <w:sz w:val="24"/>
          <w:szCs w:val="24"/>
          <w:lang w:val="el-GR"/>
        </w:rPr>
        <w:t xml:space="preserve">)/2017 </w:t>
      </w:r>
      <w:r>
        <w:rPr>
          <w:rFonts w:eastAsia="Calibri" w:cstheme="minorHAnsi"/>
          <w:sz w:val="24"/>
          <w:szCs w:val="24"/>
          <w:lang w:val="el-GR"/>
        </w:rPr>
        <w:t>καθιερώνει</w:t>
      </w:r>
      <w:r w:rsidRPr="004B423C">
        <w:rPr>
          <w:rFonts w:eastAsia="Calibri" w:cstheme="minorHAnsi"/>
          <w:sz w:val="24"/>
          <w:szCs w:val="24"/>
          <w:lang w:val="el-GR"/>
        </w:rPr>
        <w:t xml:space="preserve"> </w:t>
      </w:r>
      <w:r>
        <w:rPr>
          <w:rFonts w:eastAsia="Calibri" w:cstheme="minorHAnsi"/>
          <w:sz w:val="24"/>
          <w:szCs w:val="24"/>
          <w:lang w:val="el-GR"/>
        </w:rPr>
        <w:t>ότι</w:t>
      </w:r>
      <w:r w:rsidRPr="004B423C">
        <w:rPr>
          <w:rFonts w:eastAsia="Calibri" w:cstheme="minorHAnsi"/>
          <w:sz w:val="24"/>
          <w:szCs w:val="24"/>
          <w:lang w:val="el-GR"/>
        </w:rPr>
        <w:t xml:space="preserve"> </w:t>
      </w:r>
      <w:r>
        <w:rPr>
          <w:rFonts w:eastAsia="Calibri" w:cstheme="minorHAnsi"/>
          <w:sz w:val="24"/>
          <w:szCs w:val="24"/>
          <w:lang w:val="el-GR"/>
        </w:rPr>
        <w:t>οποιοδήποτε</w:t>
      </w:r>
      <w:r w:rsidRPr="004B423C">
        <w:rPr>
          <w:rFonts w:eastAsia="Calibri" w:cstheme="minorHAnsi"/>
          <w:sz w:val="24"/>
          <w:szCs w:val="24"/>
          <w:lang w:val="el-GR"/>
        </w:rPr>
        <w:t xml:space="preserve"> </w:t>
      </w:r>
      <w:r>
        <w:rPr>
          <w:rFonts w:eastAsia="Calibri" w:cstheme="minorHAnsi"/>
          <w:sz w:val="24"/>
          <w:szCs w:val="24"/>
          <w:lang w:val="el-GR"/>
        </w:rPr>
        <w:t>φυσικό</w:t>
      </w:r>
      <w:r w:rsidRPr="004B423C">
        <w:rPr>
          <w:rFonts w:eastAsia="Calibri" w:cstheme="minorHAnsi"/>
          <w:sz w:val="24"/>
          <w:szCs w:val="24"/>
          <w:lang w:val="el-GR"/>
        </w:rPr>
        <w:t xml:space="preserve"> </w:t>
      </w:r>
      <w:r>
        <w:rPr>
          <w:rFonts w:eastAsia="Calibri" w:cstheme="minorHAnsi"/>
          <w:sz w:val="24"/>
          <w:szCs w:val="24"/>
          <w:lang w:val="el-GR"/>
        </w:rPr>
        <w:t>ή</w:t>
      </w:r>
      <w:r w:rsidRPr="004B423C">
        <w:rPr>
          <w:rFonts w:eastAsia="Calibri" w:cstheme="minorHAnsi"/>
          <w:sz w:val="24"/>
          <w:szCs w:val="24"/>
          <w:lang w:val="el-GR"/>
        </w:rPr>
        <w:t xml:space="preserve"> </w:t>
      </w:r>
      <w:r>
        <w:rPr>
          <w:rFonts w:eastAsia="Calibri" w:cstheme="minorHAnsi"/>
          <w:sz w:val="24"/>
          <w:szCs w:val="24"/>
          <w:lang w:val="el-GR"/>
        </w:rPr>
        <w:t>νομικό</w:t>
      </w:r>
      <w:r w:rsidRPr="004B423C">
        <w:rPr>
          <w:rFonts w:eastAsia="Calibri" w:cstheme="minorHAnsi"/>
          <w:sz w:val="24"/>
          <w:szCs w:val="24"/>
          <w:lang w:val="el-GR"/>
        </w:rPr>
        <w:t xml:space="preserve"> </w:t>
      </w:r>
      <w:r>
        <w:rPr>
          <w:rFonts w:eastAsia="Calibri" w:cstheme="minorHAnsi"/>
          <w:sz w:val="24"/>
          <w:szCs w:val="24"/>
          <w:lang w:val="el-GR"/>
        </w:rPr>
        <w:t>πρόσωπο</w:t>
      </w:r>
      <w:r w:rsidRPr="004B423C">
        <w:rPr>
          <w:rFonts w:eastAsia="Calibri" w:cstheme="minorHAnsi"/>
          <w:sz w:val="24"/>
          <w:szCs w:val="24"/>
          <w:lang w:val="el-GR"/>
        </w:rPr>
        <w:t xml:space="preserve"> </w:t>
      </w:r>
      <w:r>
        <w:rPr>
          <w:rFonts w:eastAsia="Calibri" w:cstheme="minorHAnsi"/>
          <w:sz w:val="24"/>
          <w:szCs w:val="24"/>
          <w:lang w:val="el-GR"/>
        </w:rPr>
        <w:t>έχει</w:t>
      </w:r>
      <w:r w:rsidRPr="004B423C">
        <w:rPr>
          <w:rFonts w:eastAsia="Calibri" w:cstheme="minorHAnsi"/>
          <w:sz w:val="24"/>
          <w:szCs w:val="24"/>
          <w:lang w:val="el-GR"/>
        </w:rPr>
        <w:t xml:space="preserve"> </w:t>
      </w:r>
      <w:r>
        <w:rPr>
          <w:rFonts w:eastAsia="Calibri" w:cstheme="minorHAnsi"/>
          <w:sz w:val="24"/>
          <w:szCs w:val="24"/>
          <w:lang w:val="el-GR"/>
        </w:rPr>
        <w:t>το</w:t>
      </w:r>
      <w:r w:rsidRPr="004B423C">
        <w:rPr>
          <w:rFonts w:eastAsia="Calibri" w:cstheme="minorHAnsi"/>
          <w:sz w:val="24"/>
          <w:szCs w:val="24"/>
          <w:lang w:val="el-GR"/>
        </w:rPr>
        <w:t xml:space="preserve"> </w:t>
      </w:r>
      <w:r>
        <w:rPr>
          <w:rFonts w:eastAsia="Calibri" w:cstheme="minorHAnsi"/>
          <w:sz w:val="24"/>
          <w:szCs w:val="24"/>
          <w:lang w:val="el-GR"/>
        </w:rPr>
        <w:t>δικαίωμα να ζητήσει πληροφορίες που κατέχονται από μια δημόσια αρχή</w:t>
      </w:r>
      <w:r w:rsidR="00A5147D" w:rsidRPr="004B423C">
        <w:rPr>
          <w:rFonts w:cstheme="minorHAnsi"/>
          <w:sz w:val="24"/>
          <w:szCs w:val="24"/>
          <w:lang w:val="el-GR"/>
        </w:rPr>
        <w:t xml:space="preserve">. </w:t>
      </w:r>
      <w:r>
        <w:rPr>
          <w:rFonts w:cstheme="minorHAnsi"/>
          <w:sz w:val="24"/>
          <w:szCs w:val="24"/>
          <w:lang w:val="el-GR"/>
        </w:rPr>
        <w:t>Η</w:t>
      </w:r>
      <w:r w:rsidRPr="004B423C">
        <w:rPr>
          <w:rFonts w:cstheme="minorHAnsi"/>
          <w:sz w:val="24"/>
          <w:szCs w:val="24"/>
          <w:lang w:val="el-GR"/>
        </w:rPr>
        <w:t xml:space="preserve"> </w:t>
      </w:r>
      <w:r>
        <w:rPr>
          <w:rFonts w:cstheme="minorHAnsi"/>
          <w:sz w:val="24"/>
          <w:szCs w:val="24"/>
          <w:lang w:val="el-GR"/>
        </w:rPr>
        <w:t>δημόσια</w:t>
      </w:r>
      <w:r w:rsidRPr="004B423C">
        <w:rPr>
          <w:rFonts w:cstheme="minorHAnsi"/>
          <w:sz w:val="24"/>
          <w:szCs w:val="24"/>
          <w:lang w:val="el-GR"/>
        </w:rPr>
        <w:t xml:space="preserve"> </w:t>
      </w:r>
      <w:r>
        <w:rPr>
          <w:rFonts w:cstheme="minorHAnsi"/>
          <w:sz w:val="24"/>
          <w:szCs w:val="24"/>
          <w:lang w:val="el-GR"/>
        </w:rPr>
        <w:t>αρχή</w:t>
      </w:r>
      <w:r w:rsidRPr="004B423C">
        <w:rPr>
          <w:rFonts w:cstheme="minorHAnsi"/>
          <w:sz w:val="24"/>
          <w:szCs w:val="24"/>
          <w:lang w:val="el-GR"/>
        </w:rPr>
        <w:t xml:space="preserve"> </w:t>
      </w:r>
      <w:r>
        <w:rPr>
          <w:rFonts w:cstheme="minorHAnsi"/>
          <w:sz w:val="24"/>
          <w:szCs w:val="24"/>
          <w:lang w:val="el-GR"/>
        </w:rPr>
        <w:t>πρέπει</w:t>
      </w:r>
      <w:r w:rsidRPr="004B423C">
        <w:rPr>
          <w:rFonts w:cstheme="minorHAnsi"/>
          <w:sz w:val="24"/>
          <w:szCs w:val="24"/>
          <w:lang w:val="el-GR"/>
        </w:rPr>
        <w:t xml:space="preserve"> </w:t>
      </w:r>
      <w:r>
        <w:rPr>
          <w:rFonts w:cstheme="minorHAnsi"/>
          <w:sz w:val="24"/>
          <w:szCs w:val="24"/>
          <w:lang w:val="el-GR"/>
        </w:rPr>
        <w:t>να</w:t>
      </w:r>
      <w:r w:rsidRPr="004B423C">
        <w:rPr>
          <w:rFonts w:cstheme="minorHAnsi"/>
          <w:sz w:val="24"/>
          <w:szCs w:val="24"/>
          <w:lang w:val="el-GR"/>
        </w:rPr>
        <w:t xml:space="preserve"> </w:t>
      </w:r>
      <w:r>
        <w:rPr>
          <w:rFonts w:cstheme="minorHAnsi"/>
          <w:sz w:val="24"/>
          <w:szCs w:val="24"/>
          <w:lang w:val="el-GR"/>
        </w:rPr>
        <w:t>ενημερώσει</w:t>
      </w:r>
      <w:r w:rsidRPr="004B423C">
        <w:rPr>
          <w:rFonts w:cstheme="minorHAnsi"/>
          <w:sz w:val="24"/>
          <w:szCs w:val="24"/>
          <w:lang w:val="el-GR"/>
        </w:rPr>
        <w:t xml:space="preserve"> </w:t>
      </w:r>
      <w:r>
        <w:rPr>
          <w:rFonts w:cstheme="minorHAnsi"/>
          <w:sz w:val="24"/>
          <w:szCs w:val="24"/>
          <w:lang w:val="el-GR"/>
        </w:rPr>
        <w:t>τον</w:t>
      </w:r>
      <w:r w:rsidRPr="004B423C">
        <w:rPr>
          <w:rFonts w:cstheme="minorHAnsi"/>
          <w:sz w:val="24"/>
          <w:szCs w:val="24"/>
          <w:lang w:val="el-GR"/>
        </w:rPr>
        <w:t xml:space="preserve"> </w:t>
      </w:r>
      <w:proofErr w:type="spellStart"/>
      <w:r>
        <w:rPr>
          <w:rFonts w:cstheme="minorHAnsi"/>
          <w:sz w:val="24"/>
          <w:szCs w:val="24"/>
          <w:lang w:val="el-GR"/>
        </w:rPr>
        <w:t>αιτητή</w:t>
      </w:r>
      <w:proofErr w:type="spellEnd"/>
      <w:r w:rsidRPr="004B423C">
        <w:rPr>
          <w:rFonts w:cstheme="minorHAnsi"/>
          <w:sz w:val="24"/>
          <w:szCs w:val="24"/>
          <w:lang w:val="el-GR"/>
        </w:rPr>
        <w:t xml:space="preserve"> </w:t>
      </w:r>
      <w:r>
        <w:rPr>
          <w:rFonts w:cstheme="minorHAnsi"/>
          <w:sz w:val="24"/>
          <w:szCs w:val="24"/>
          <w:lang w:val="el-GR"/>
        </w:rPr>
        <w:t>γραπτώς</w:t>
      </w:r>
      <w:r w:rsidRPr="004B423C">
        <w:rPr>
          <w:rFonts w:cstheme="minorHAnsi"/>
          <w:sz w:val="24"/>
          <w:szCs w:val="24"/>
          <w:lang w:val="el-GR"/>
        </w:rPr>
        <w:t xml:space="preserve"> </w:t>
      </w:r>
      <w:r>
        <w:rPr>
          <w:rFonts w:cstheme="minorHAnsi"/>
          <w:sz w:val="24"/>
          <w:szCs w:val="24"/>
          <w:lang w:val="el-GR"/>
        </w:rPr>
        <w:t>για</w:t>
      </w:r>
      <w:r w:rsidRPr="004B423C">
        <w:rPr>
          <w:rFonts w:cstheme="minorHAnsi"/>
          <w:sz w:val="24"/>
          <w:szCs w:val="24"/>
          <w:lang w:val="el-GR"/>
        </w:rPr>
        <w:t xml:space="preserve"> </w:t>
      </w:r>
      <w:r>
        <w:rPr>
          <w:rFonts w:cstheme="minorHAnsi"/>
          <w:sz w:val="24"/>
          <w:szCs w:val="24"/>
          <w:lang w:val="el-GR"/>
        </w:rPr>
        <w:t>το</w:t>
      </w:r>
      <w:r w:rsidRPr="004B423C">
        <w:rPr>
          <w:rFonts w:cstheme="minorHAnsi"/>
          <w:sz w:val="24"/>
          <w:szCs w:val="24"/>
          <w:lang w:val="el-GR"/>
        </w:rPr>
        <w:t xml:space="preserve"> </w:t>
      </w:r>
      <w:r>
        <w:rPr>
          <w:rFonts w:cstheme="minorHAnsi"/>
          <w:sz w:val="24"/>
          <w:szCs w:val="24"/>
          <w:lang w:val="el-GR"/>
        </w:rPr>
        <w:t>εάν</w:t>
      </w:r>
      <w:r w:rsidR="00A5147D" w:rsidRPr="004B423C">
        <w:rPr>
          <w:rFonts w:cstheme="minorHAnsi"/>
          <w:sz w:val="24"/>
          <w:szCs w:val="24"/>
          <w:lang w:val="el-GR"/>
        </w:rPr>
        <w:t xml:space="preserve"> </w:t>
      </w:r>
      <w:r>
        <w:rPr>
          <w:rFonts w:cstheme="minorHAnsi"/>
          <w:sz w:val="24"/>
          <w:szCs w:val="24"/>
          <w:lang w:val="el-GR"/>
        </w:rPr>
        <w:t>έχει</w:t>
      </w:r>
      <w:r w:rsidRPr="004B423C">
        <w:rPr>
          <w:rFonts w:cstheme="minorHAnsi"/>
          <w:sz w:val="24"/>
          <w:szCs w:val="24"/>
          <w:lang w:val="el-GR"/>
        </w:rPr>
        <w:t xml:space="preserve"> </w:t>
      </w:r>
      <w:r>
        <w:rPr>
          <w:rFonts w:cstheme="minorHAnsi"/>
          <w:sz w:val="24"/>
          <w:szCs w:val="24"/>
          <w:lang w:val="el-GR"/>
        </w:rPr>
        <w:t>τις</w:t>
      </w:r>
      <w:r w:rsidRPr="004B423C">
        <w:rPr>
          <w:rFonts w:cstheme="minorHAnsi"/>
          <w:sz w:val="24"/>
          <w:szCs w:val="24"/>
          <w:lang w:val="el-GR"/>
        </w:rPr>
        <w:t xml:space="preserve"> </w:t>
      </w:r>
      <w:r>
        <w:rPr>
          <w:rFonts w:cstheme="minorHAnsi"/>
          <w:sz w:val="24"/>
          <w:szCs w:val="24"/>
          <w:lang w:val="el-GR"/>
        </w:rPr>
        <w:t>πληροφορίες</w:t>
      </w:r>
      <w:r w:rsidRPr="004B423C">
        <w:rPr>
          <w:rFonts w:cstheme="minorHAnsi"/>
          <w:sz w:val="24"/>
          <w:szCs w:val="24"/>
          <w:lang w:val="el-GR"/>
        </w:rPr>
        <w:t xml:space="preserve"> </w:t>
      </w:r>
      <w:r>
        <w:rPr>
          <w:rFonts w:cstheme="minorHAnsi"/>
          <w:sz w:val="24"/>
          <w:szCs w:val="24"/>
          <w:lang w:val="el-GR"/>
        </w:rPr>
        <w:t>που</w:t>
      </w:r>
      <w:r w:rsidRPr="004B423C">
        <w:rPr>
          <w:rFonts w:cstheme="minorHAnsi"/>
          <w:sz w:val="24"/>
          <w:szCs w:val="24"/>
          <w:lang w:val="el-GR"/>
        </w:rPr>
        <w:t xml:space="preserve"> </w:t>
      </w:r>
      <w:r>
        <w:rPr>
          <w:rFonts w:cstheme="minorHAnsi"/>
          <w:sz w:val="24"/>
          <w:szCs w:val="24"/>
          <w:lang w:val="el-GR"/>
        </w:rPr>
        <w:t>ζητούνται</w:t>
      </w:r>
      <w:r w:rsidR="00A5147D" w:rsidRPr="004B423C">
        <w:rPr>
          <w:rFonts w:cstheme="minorHAnsi"/>
          <w:sz w:val="24"/>
          <w:szCs w:val="24"/>
          <w:lang w:val="el-GR"/>
        </w:rPr>
        <w:t xml:space="preserve"> </w:t>
      </w:r>
      <w:r>
        <w:rPr>
          <w:rFonts w:cstheme="minorHAnsi"/>
          <w:sz w:val="24"/>
          <w:szCs w:val="24"/>
          <w:lang w:val="el-GR"/>
        </w:rPr>
        <w:t xml:space="preserve">και πρέπει να τις διαθέσει στον </w:t>
      </w:r>
      <w:proofErr w:type="spellStart"/>
      <w:r>
        <w:rPr>
          <w:rFonts w:cstheme="minorHAnsi"/>
          <w:sz w:val="24"/>
          <w:szCs w:val="24"/>
          <w:lang w:val="el-GR"/>
        </w:rPr>
        <w:t>αιτητή</w:t>
      </w:r>
      <w:proofErr w:type="spellEnd"/>
      <w:r w:rsidR="00A5147D" w:rsidRPr="004B423C">
        <w:rPr>
          <w:rFonts w:cstheme="minorHAnsi"/>
          <w:sz w:val="24"/>
          <w:szCs w:val="24"/>
          <w:lang w:val="el-GR"/>
        </w:rPr>
        <w:t xml:space="preserve">, </w:t>
      </w:r>
      <w:r>
        <w:rPr>
          <w:rFonts w:cstheme="minorHAnsi"/>
          <w:sz w:val="24"/>
          <w:szCs w:val="24"/>
          <w:lang w:val="el-GR"/>
        </w:rPr>
        <w:t>εκτός αν ισχύουν κάποιες εξαιρέσεις</w:t>
      </w:r>
      <w:r w:rsidR="00A5147D" w:rsidRPr="004B423C">
        <w:rPr>
          <w:rFonts w:cstheme="minorHAnsi"/>
          <w:sz w:val="24"/>
          <w:szCs w:val="24"/>
          <w:lang w:val="el-GR"/>
        </w:rPr>
        <w:t xml:space="preserve">, </w:t>
      </w:r>
      <w:r>
        <w:rPr>
          <w:rFonts w:cstheme="minorHAnsi"/>
          <w:sz w:val="24"/>
          <w:szCs w:val="24"/>
          <w:lang w:val="el-GR"/>
        </w:rPr>
        <w:t xml:space="preserve">όπως διατυπώνονται </w:t>
      </w:r>
      <w:r w:rsidR="005D7102">
        <w:rPr>
          <w:rFonts w:cstheme="minorHAnsi"/>
          <w:sz w:val="24"/>
          <w:szCs w:val="24"/>
          <w:lang w:val="el-GR"/>
        </w:rPr>
        <w:t>δια νόμου</w:t>
      </w:r>
      <w:r w:rsidR="00A5147D" w:rsidRPr="004B423C">
        <w:rPr>
          <w:rFonts w:cstheme="minorHAnsi"/>
          <w:sz w:val="24"/>
          <w:szCs w:val="24"/>
          <w:lang w:val="el-GR"/>
        </w:rPr>
        <w:t xml:space="preserve">. </w:t>
      </w:r>
      <w:r w:rsidR="005D7102">
        <w:rPr>
          <w:rFonts w:cstheme="minorHAnsi"/>
          <w:sz w:val="24"/>
          <w:szCs w:val="24"/>
          <w:lang w:val="el-GR"/>
        </w:rPr>
        <w:t>Τέτοιες</w:t>
      </w:r>
      <w:r w:rsidR="005D7102" w:rsidRPr="005D7102">
        <w:rPr>
          <w:rFonts w:cstheme="minorHAnsi"/>
          <w:sz w:val="24"/>
          <w:szCs w:val="24"/>
          <w:lang w:val="el-GR"/>
        </w:rPr>
        <w:t xml:space="preserve"> </w:t>
      </w:r>
      <w:r w:rsidR="005D7102">
        <w:rPr>
          <w:rFonts w:cstheme="minorHAnsi"/>
          <w:sz w:val="24"/>
          <w:szCs w:val="24"/>
          <w:lang w:val="el-GR"/>
        </w:rPr>
        <w:t>εξαιρέσεις</w:t>
      </w:r>
      <w:r w:rsidR="005D7102" w:rsidRPr="005D7102">
        <w:rPr>
          <w:rFonts w:cstheme="minorHAnsi"/>
          <w:sz w:val="24"/>
          <w:szCs w:val="24"/>
          <w:lang w:val="el-GR"/>
        </w:rPr>
        <w:t xml:space="preserve"> </w:t>
      </w:r>
      <w:r w:rsidR="005D7102">
        <w:rPr>
          <w:rFonts w:cstheme="minorHAnsi"/>
          <w:sz w:val="24"/>
          <w:szCs w:val="24"/>
          <w:lang w:val="el-GR"/>
        </w:rPr>
        <w:t>συμπεριλαμβάνουν</w:t>
      </w:r>
      <w:r w:rsidR="00A5147D" w:rsidRPr="005D7102">
        <w:rPr>
          <w:rFonts w:cstheme="minorHAnsi"/>
          <w:sz w:val="24"/>
          <w:szCs w:val="24"/>
          <w:lang w:val="el-GR"/>
        </w:rPr>
        <w:t>: (</w:t>
      </w:r>
      <w:r w:rsidR="005D7102">
        <w:rPr>
          <w:rFonts w:cstheme="minorHAnsi"/>
          <w:sz w:val="24"/>
          <w:szCs w:val="24"/>
          <w:lang w:val="el-GR"/>
        </w:rPr>
        <w:t>α</w:t>
      </w:r>
      <w:r w:rsidR="00A5147D" w:rsidRPr="005D7102">
        <w:rPr>
          <w:rFonts w:cstheme="minorHAnsi"/>
          <w:sz w:val="24"/>
          <w:szCs w:val="24"/>
          <w:lang w:val="el-GR"/>
        </w:rPr>
        <w:t xml:space="preserve">) </w:t>
      </w:r>
      <w:r w:rsidR="005D7102">
        <w:rPr>
          <w:rFonts w:cstheme="minorHAnsi"/>
          <w:sz w:val="24"/>
          <w:szCs w:val="24"/>
          <w:lang w:val="el-GR"/>
        </w:rPr>
        <w:t>όπου</w:t>
      </w:r>
      <w:r w:rsidR="005D7102" w:rsidRPr="005D7102">
        <w:rPr>
          <w:rFonts w:cstheme="minorHAnsi"/>
          <w:sz w:val="24"/>
          <w:szCs w:val="24"/>
          <w:lang w:val="el-GR"/>
        </w:rPr>
        <w:t xml:space="preserve"> </w:t>
      </w:r>
      <w:r w:rsidR="005D7102">
        <w:rPr>
          <w:rFonts w:cstheme="minorHAnsi"/>
          <w:sz w:val="24"/>
          <w:szCs w:val="24"/>
          <w:lang w:val="el-GR"/>
        </w:rPr>
        <w:t>η</w:t>
      </w:r>
      <w:r w:rsidR="005D7102" w:rsidRPr="005D7102">
        <w:rPr>
          <w:rFonts w:cstheme="minorHAnsi"/>
          <w:sz w:val="24"/>
          <w:szCs w:val="24"/>
          <w:lang w:val="el-GR"/>
        </w:rPr>
        <w:t xml:space="preserve"> </w:t>
      </w:r>
      <w:r w:rsidR="005D7102">
        <w:rPr>
          <w:rFonts w:cstheme="minorHAnsi"/>
          <w:sz w:val="24"/>
          <w:szCs w:val="24"/>
          <w:lang w:val="el-GR"/>
        </w:rPr>
        <w:t>αίτηση</w:t>
      </w:r>
      <w:r w:rsidR="005D7102" w:rsidRPr="005D7102">
        <w:rPr>
          <w:rFonts w:cstheme="minorHAnsi"/>
          <w:sz w:val="24"/>
          <w:szCs w:val="24"/>
          <w:lang w:val="el-GR"/>
        </w:rPr>
        <w:t xml:space="preserve"> </w:t>
      </w:r>
      <w:r w:rsidR="005D7102">
        <w:rPr>
          <w:rFonts w:cstheme="minorHAnsi"/>
          <w:sz w:val="24"/>
          <w:szCs w:val="24"/>
          <w:lang w:val="el-GR"/>
        </w:rPr>
        <w:t>αφορά</w:t>
      </w:r>
      <w:r w:rsidR="005D7102" w:rsidRPr="005D7102">
        <w:rPr>
          <w:rFonts w:cstheme="minorHAnsi"/>
          <w:sz w:val="24"/>
          <w:szCs w:val="24"/>
          <w:lang w:val="el-GR"/>
        </w:rPr>
        <w:t xml:space="preserve"> </w:t>
      </w:r>
      <w:r w:rsidR="005D7102">
        <w:rPr>
          <w:rFonts w:cstheme="minorHAnsi"/>
          <w:sz w:val="24"/>
          <w:szCs w:val="24"/>
          <w:lang w:val="el-GR"/>
        </w:rPr>
        <w:t>προσωπικά</w:t>
      </w:r>
      <w:r w:rsidR="005D7102" w:rsidRPr="005D7102">
        <w:rPr>
          <w:rFonts w:cstheme="minorHAnsi"/>
          <w:sz w:val="24"/>
          <w:szCs w:val="24"/>
          <w:lang w:val="el-GR"/>
        </w:rPr>
        <w:t xml:space="preserve"> </w:t>
      </w:r>
      <w:r w:rsidR="005D7102">
        <w:rPr>
          <w:rFonts w:cstheme="minorHAnsi"/>
          <w:sz w:val="24"/>
          <w:szCs w:val="24"/>
          <w:lang w:val="el-GR"/>
        </w:rPr>
        <w:t>δεδομένα</w:t>
      </w:r>
      <w:r w:rsidR="005D7102" w:rsidRPr="005D7102">
        <w:rPr>
          <w:rFonts w:cstheme="minorHAnsi"/>
          <w:sz w:val="24"/>
          <w:szCs w:val="24"/>
          <w:lang w:val="el-GR"/>
        </w:rPr>
        <w:t xml:space="preserve"> </w:t>
      </w:r>
      <w:r w:rsidR="005D7102">
        <w:rPr>
          <w:rFonts w:cstheme="minorHAnsi"/>
          <w:sz w:val="24"/>
          <w:szCs w:val="24"/>
          <w:lang w:val="el-GR"/>
        </w:rPr>
        <w:t>που</w:t>
      </w:r>
      <w:r w:rsidR="005D7102" w:rsidRPr="005D7102">
        <w:rPr>
          <w:rFonts w:cstheme="minorHAnsi"/>
          <w:sz w:val="24"/>
          <w:szCs w:val="24"/>
          <w:lang w:val="el-GR"/>
        </w:rPr>
        <w:t xml:space="preserve"> </w:t>
      </w:r>
      <w:r w:rsidR="005D7102">
        <w:rPr>
          <w:rFonts w:cstheme="minorHAnsi"/>
          <w:sz w:val="24"/>
          <w:szCs w:val="24"/>
          <w:lang w:val="el-GR"/>
        </w:rPr>
        <w:t>αφορούν</w:t>
      </w:r>
      <w:r w:rsidR="005D7102" w:rsidRPr="005D7102">
        <w:rPr>
          <w:rFonts w:cstheme="minorHAnsi"/>
          <w:sz w:val="24"/>
          <w:szCs w:val="24"/>
          <w:lang w:val="el-GR"/>
        </w:rPr>
        <w:t xml:space="preserve"> </w:t>
      </w:r>
      <w:r w:rsidR="005D7102">
        <w:rPr>
          <w:rFonts w:cstheme="minorHAnsi"/>
          <w:sz w:val="24"/>
          <w:szCs w:val="24"/>
          <w:lang w:val="el-GR"/>
        </w:rPr>
        <w:t>τον</w:t>
      </w:r>
      <w:r w:rsidR="005D7102" w:rsidRPr="005D7102">
        <w:rPr>
          <w:rFonts w:cstheme="minorHAnsi"/>
          <w:sz w:val="24"/>
          <w:szCs w:val="24"/>
          <w:lang w:val="el-GR"/>
        </w:rPr>
        <w:t xml:space="preserve"> </w:t>
      </w:r>
      <w:proofErr w:type="spellStart"/>
      <w:r w:rsidR="005D7102">
        <w:rPr>
          <w:rFonts w:cstheme="minorHAnsi"/>
          <w:sz w:val="24"/>
          <w:szCs w:val="24"/>
          <w:lang w:val="el-GR"/>
        </w:rPr>
        <w:t>αιτητή</w:t>
      </w:r>
      <w:proofErr w:type="spellEnd"/>
      <w:r w:rsidR="00A5147D" w:rsidRPr="005D7102">
        <w:rPr>
          <w:rFonts w:cstheme="minorHAnsi"/>
          <w:sz w:val="24"/>
          <w:szCs w:val="24"/>
          <w:lang w:val="el-GR"/>
        </w:rPr>
        <w:t xml:space="preserve"> </w:t>
      </w:r>
      <w:r w:rsidR="005D7102">
        <w:rPr>
          <w:rFonts w:cstheme="minorHAnsi"/>
          <w:sz w:val="24"/>
          <w:szCs w:val="24"/>
          <w:lang w:val="el-GR"/>
        </w:rPr>
        <w:t>ή</w:t>
      </w:r>
      <w:r w:rsidR="005D7102" w:rsidRPr="005D7102">
        <w:rPr>
          <w:rFonts w:cstheme="minorHAnsi"/>
          <w:sz w:val="24"/>
          <w:szCs w:val="24"/>
          <w:lang w:val="el-GR"/>
        </w:rPr>
        <w:t xml:space="preserve"> </w:t>
      </w:r>
      <w:r w:rsidR="005D7102">
        <w:rPr>
          <w:rFonts w:cstheme="minorHAnsi"/>
          <w:sz w:val="24"/>
          <w:szCs w:val="24"/>
          <w:lang w:val="el-GR"/>
        </w:rPr>
        <w:t>ένα</w:t>
      </w:r>
      <w:r w:rsidR="005D7102" w:rsidRPr="005D7102">
        <w:rPr>
          <w:rFonts w:cstheme="minorHAnsi"/>
          <w:sz w:val="24"/>
          <w:szCs w:val="24"/>
          <w:lang w:val="el-GR"/>
        </w:rPr>
        <w:t xml:space="preserve"> </w:t>
      </w:r>
      <w:r w:rsidR="005D7102">
        <w:rPr>
          <w:rFonts w:cstheme="minorHAnsi"/>
          <w:sz w:val="24"/>
          <w:szCs w:val="24"/>
          <w:lang w:val="el-GR"/>
        </w:rPr>
        <w:t>τρίτο</w:t>
      </w:r>
      <w:r w:rsidR="005D7102" w:rsidRPr="005D7102">
        <w:rPr>
          <w:rFonts w:cstheme="minorHAnsi"/>
          <w:sz w:val="24"/>
          <w:szCs w:val="24"/>
          <w:lang w:val="el-GR"/>
        </w:rPr>
        <w:t xml:space="preserve"> </w:t>
      </w:r>
      <w:r w:rsidR="005D7102">
        <w:rPr>
          <w:rFonts w:cstheme="minorHAnsi"/>
          <w:sz w:val="24"/>
          <w:szCs w:val="24"/>
          <w:lang w:val="el-GR"/>
        </w:rPr>
        <w:t>άτομο</w:t>
      </w:r>
      <w:r w:rsidR="00A5147D" w:rsidRPr="005D7102">
        <w:rPr>
          <w:rFonts w:cstheme="minorHAnsi"/>
          <w:sz w:val="24"/>
          <w:szCs w:val="24"/>
          <w:lang w:val="el-GR"/>
        </w:rPr>
        <w:t xml:space="preserve">, </w:t>
      </w:r>
      <w:r w:rsidR="005D7102">
        <w:rPr>
          <w:rFonts w:cstheme="minorHAnsi"/>
          <w:sz w:val="24"/>
          <w:szCs w:val="24"/>
          <w:lang w:val="el-GR"/>
        </w:rPr>
        <w:t>στην</w:t>
      </w:r>
      <w:r w:rsidR="005D7102" w:rsidRPr="005D7102">
        <w:rPr>
          <w:rFonts w:cstheme="minorHAnsi"/>
          <w:sz w:val="24"/>
          <w:szCs w:val="24"/>
          <w:lang w:val="el-GR"/>
        </w:rPr>
        <w:t xml:space="preserve"> </w:t>
      </w:r>
      <w:r w:rsidR="005D7102">
        <w:rPr>
          <w:rFonts w:cstheme="minorHAnsi"/>
          <w:sz w:val="24"/>
          <w:szCs w:val="24"/>
          <w:lang w:val="el-GR"/>
        </w:rPr>
        <w:t>οποία</w:t>
      </w:r>
      <w:r w:rsidR="005D7102" w:rsidRPr="005D7102">
        <w:rPr>
          <w:rFonts w:cstheme="minorHAnsi"/>
          <w:sz w:val="24"/>
          <w:szCs w:val="24"/>
          <w:lang w:val="el-GR"/>
        </w:rPr>
        <w:t xml:space="preserve"> </w:t>
      </w:r>
      <w:r w:rsidR="005D7102">
        <w:rPr>
          <w:rFonts w:cstheme="minorHAnsi"/>
          <w:sz w:val="24"/>
          <w:szCs w:val="24"/>
          <w:lang w:val="el-GR"/>
        </w:rPr>
        <w:t>περίπτωση</w:t>
      </w:r>
      <w:r w:rsidR="005D7102" w:rsidRPr="005D7102">
        <w:rPr>
          <w:rFonts w:cstheme="minorHAnsi"/>
          <w:sz w:val="24"/>
          <w:szCs w:val="24"/>
          <w:lang w:val="el-GR"/>
        </w:rPr>
        <w:t xml:space="preserve"> </w:t>
      </w:r>
      <w:r w:rsidR="005D7102">
        <w:rPr>
          <w:rFonts w:cstheme="minorHAnsi"/>
          <w:sz w:val="24"/>
          <w:szCs w:val="24"/>
          <w:lang w:val="el-GR"/>
        </w:rPr>
        <w:t>ισχύει</w:t>
      </w:r>
      <w:r w:rsidR="005D7102" w:rsidRPr="005D7102">
        <w:rPr>
          <w:rFonts w:cstheme="minorHAnsi"/>
          <w:sz w:val="24"/>
          <w:szCs w:val="24"/>
          <w:lang w:val="el-GR"/>
        </w:rPr>
        <w:t xml:space="preserve"> </w:t>
      </w:r>
      <w:r w:rsidR="005D7102">
        <w:rPr>
          <w:rFonts w:cstheme="minorHAnsi"/>
          <w:sz w:val="24"/>
          <w:szCs w:val="24"/>
          <w:lang w:val="el-GR"/>
        </w:rPr>
        <w:t>ο</w:t>
      </w:r>
      <w:r w:rsidR="005D7102" w:rsidRPr="005D7102">
        <w:rPr>
          <w:rFonts w:cstheme="minorHAnsi"/>
          <w:sz w:val="24"/>
          <w:szCs w:val="24"/>
          <w:lang w:val="el-GR"/>
        </w:rPr>
        <w:t xml:space="preserve"> </w:t>
      </w:r>
      <w:r w:rsidR="005D7102">
        <w:rPr>
          <w:rFonts w:cstheme="minorHAnsi"/>
          <w:sz w:val="24"/>
          <w:szCs w:val="24"/>
          <w:lang w:val="el-GR"/>
        </w:rPr>
        <w:t>Γενικός</w:t>
      </w:r>
      <w:r w:rsidR="005D7102" w:rsidRPr="005D7102">
        <w:rPr>
          <w:rFonts w:cstheme="minorHAnsi"/>
          <w:sz w:val="24"/>
          <w:szCs w:val="24"/>
          <w:lang w:val="el-GR"/>
        </w:rPr>
        <w:t xml:space="preserve"> </w:t>
      </w:r>
      <w:r w:rsidR="005D7102">
        <w:rPr>
          <w:rFonts w:cstheme="minorHAnsi"/>
          <w:sz w:val="24"/>
          <w:szCs w:val="24"/>
          <w:lang w:val="el-GR"/>
        </w:rPr>
        <w:t>Κανονισμός</w:t>
      </w:r>
      <w:r w:rsidR="005D7102" w:rsidRPr="005D7102">
        <w:rPr>
          <w:rFonts w:cstheme="minorHAnsi"/>
          <w:sz w:val="24"/>
          <w:szCs w:val="24"/>
          <w:lang w:val="el-GR"/>
        </w:rPr>
        <w:t xml:space="preserve"> </w:t>
      </w:r>
      <w:r w:rsidR="005D7102">
        <w:rPr>
          <w:rFonts w:cstheme="minorHAnsi"/>
          <w:sz w:val="24"/>
          <w:szCs w:val="24"/>
          <w:lang w:val="el-GR"/>
        </w:rPr>
        <w:t>Προστασίας</w:t>
      </w:r>
      <w:r w:rsidR="005D7102" w:rsidRPr="005D7102">
        <w:rPr>
          <w:rFonts w:cstheme="minorHAnsi"/>
          <w:sz w:val="24"/>
          <w:szCs w:val="24"/>
          <w:lang w:val="el-GR"/>
        </w:rPr>
        <w:t xml:space="preserve"> </w:t>
      </w:r>
      <w:r w:rsidR="005D7102">
        <w:rPr>
          <w:rFonts w:cstheme="minorHAnsi"/>
          <w:sz w:val="24"/>
          <w:szCs w:val="24"/>
          <w:lang w:val="el-GR"/>
        </w:rPr>
        <w:t>Δεδομένων</w:t>
      </w:r>
      <w:r w:rsidR="00140B64" w:rsidRPr="005D7102">
        <w:rPr>
          <w:rFonts w:cstheme="minorHAnsi"/>
          <w:sz w:val="24"/>
          <w:szCs w:val="24"/>
          <w:lang w:val="el-GR"/>
        </w:rPr>
        <w:t xml:space="preserve"> (</w:t>
      </w:r>
      <w:r w:rsidR="00140B64">
        <w:rPr>
          <w:rFonts w:cstheme="minorHAnsi"/>
          <w:sz w:val="24"/>
          <w:szCs w:val="24"/>
        </w:rPr>
        <w:t>GDPR</w:t>
      </w:r>
      <w:r w:rsidR="00140B64" w:rsidRPr="005D7102">
        <w:rPr>
          <w:rFonts w:cstheme="minorHAnsi"/>
          <w:sz w:val="24"/>
          <w:szCs w:val="24"/>
          <w:lang w:val="el-GR"/>
        </w:rPr>
        <w:t>)</w:t>
      </w:r>
      <w:r w:rsidR="005D7102">
        <w:rPr>
          <w:rFonts w:cstheme="minorHAnsi"/>
          <w:sz w:val="24"/>
          <w:szCs w:val="24"/>
          <w:lang w:val="el-GR"/>
        </w:rPr>
        <w:t>,</w:t>
      </w:r>
      <w:r w:rsidR="00A5147D" w:rsidRPr="005D7102">
        <w:rPr>
          <w:rFonts w:cstheme="minorHAnsi"/>
          <w:sz w:val="24"/>
          <w:szCs w:val="24"/>
          <w:lang w:val="el-GR"/>
        </w:rPr>
        <w:t xml:space="preserve"> (</w:t>
      </w:r>
      <w:r w:rsidR="005D7102">
        <w:rPr>
          <w:rFonts w:cstheme="minorHAnsi"/>
          <w:sz w:val="24"/>
          <w:szCs w:val="24"/>
          <w:lang w:val="el-GR"/>
        </w:rPr>
        <w:t>β</w:t>
      </w:r>
      <w:r w:rsidR="00A5147D" w:rsidRPr="005D7102">
        <w:rPr>
          <w:rFonts w:cstheme="minorHAnsi"/>
          <w:sz w:val="24"/>
          <w:szCs w:val="24"/>
          <w:lang w:val="el-GR"/>
        </w:rPr>
        <w:t xml:space="preserve">) </w:t>
      </w:r>
      <w:r w:rsidR="005D7102">
        <w:rPr>
          <w:rFonts w:cstheme="minorHAnsi"/>
          <w:sz w:val="24"/>
          <w:szCs w:val="24"/>
          <w:lang w:val="el-GR"/>
        </w:rPr>
        <w:t xml:space="preserve">όπου η πρόσβαση στις </w:t>
      </w:r>
      <w:r w:rsidR="005D7102">
        <w:rPr>
          <w:rFonts w:cstheme="minorHAnsi"/>
          <w:sz w:val="24"/>
          <w:szCs w:val="24"/>
          <w:lang w:val="el-GR"/>
        </w:rPr>
        <w:lastRenderedPageBreak/>
        <w:t>πληροφορίες</w:t>
      </w:r>
      <w:r w:rsidR="00A5147D" w:rsidRPr="005D7102">
        <w:rPr>
          <w:rFonts w:cstheme="minorHAnsi"/>
          <w:sz w:val="24"/>
          <w:szCs w:val="24"/>
          <w:lang w:val="el-GR"/>
        </w:rPr>
        <w:t xml:space="preserve"> </w:t>
      </w:r>
      <w:r w:rsidR="005D7102">
        <w:rPr>
          <w:rFonts w:cstheme="minorHAnsi"/>
          <w:sz w:val="24"/>
          <w:szCs w:val="24"/>
          <w:lang w:val="el-GR"/>
        </w:rPr>
        <w:t>ρυθμίζεται σύμφωνα με ένα άλλο νόμο</w:t>
      </w:r>
      <w:r w:rsidR="00140B64" w:rsidRPr="005D7102">
        <w:rPr>
          <w:rFonts w:cstheme="minorHAnsi"/>
          <w:sz w:val="24"/>
          <w:szCs w:val="24"/>
          <w:lang w:val="el-GR"/>
        </w:rPr>
        <w:t xml:space="preserve"> (</w:t>
      </w:r>
      <w:r w:rsidR="00140B64" w:rsidRPr="00A90F70">
        <w:rPr>
          <w:rFonts w:cstheme="minorHAnsi"/>
          <w:i/>
          <w:iCs/>
          <w:sz w:val="24"/>
          <w:szCs w:val="24"/>
        </w:rPr>
        <w:t>lex</w:t>
      </w:r>
      <w:r w:rsidR="00140B64" w:rsidRPr="005D7102">
        <w:rPr>
          <w:rFonts w:cstheme="minorHAnsi"/>
          <w:i/>
          <w:iCs/>
          <w:sz w:val="24"/>
          <w:szCs w:val="24"/>
          <w:lang w:val="el-GR"/>
        </w:rPr>
        <w:t xml:space="preserve"> </w:t>
      </w:r>
      <w:proofErr w:type="spellStart"/>
      <w:r w:rsidR="003B4CA6">
        <w:rPr>
          <w:rFonts w:cstheme="minorHAnsi"/>
          <w:i/>
          <w:iCs/>
          <w:sz w:val="24"/>
          <w:szCs w:val="24"/>
        </w:rPr>
        <w:t>s</w:t>
      </w:r>
      <w:r w:rsidR="00140B64" w:rsidRPr="00A90F70">
        <w:rPr>
          <w:rFonts w:cstheme="minorHAnsi"/>
          <w:i/>
          <w:iCs/>
          <w:sz w:val="24"/>
          <w:szCs w:val="24"/>
        </w:rPr>
        <w:t>pecialis</w:t>
      </w:r>
      <w:proofErr w:type="spellEnd"/>
      <w:r w:rsidR="00140B64" w:rsidRPr="005D7102">
        <w:rPr>
          <w:rFonts w:cstheme="minorHAnsi"/>
          <w:sz w:val="24"/>
          <w:szCs w:val="24"/>
          <w:lang w:val="el-GR"/>
        </w:rPr>
        <w:t>)</w:t>
      </w:r>
      <w:r w:rsidR="005D7102">
        <w:rPr>
          <w:rFonts w:cstheme="minorHAnsi"/>
          <w:sz w:val="24"/>
          <w:szCs w:val="24"/>
          <w:lang w:val="el-GR"/>
        </w:rPr>
        <w:t>,</w:t>
      </w:r>
      <w:r w:rsidR="00A5147D" w:rsidRPr="005D7102">
        <w:rPr>
          <w:rFonts w:cstheme="minorHAnsi"/>
          <w:sz w:val="24"/>
          <w:szCs w:val="24"/>
          <w:lang w:val="el-GR"/>
        </w:rPr>
        <w:t xml:space="preserve"> (</w:t>
      </w:r>
      <w:r w:rsidR="005D7102">
        <w:rPr>
          <w:rFonts w:cstheme="minorHAnsi"/>
          <w:sz w:val="24"/>
          <w:szCs w:val="24"/>
          <w:lang w:val="el-GR"/>
        </w:rPr>
        <w:t>γ</w:t>
      </w:r>
      <w:r w:rsidR="00A5147D" w:rsidRPr="005D7102">
        <w:rPr>
          <w:rFonts w:cstheme="minorHAnsi"/>
          <w:sz w:val="24"/>
          <w:szCs w:val="24"/>
          <w:lang w:val="el-GR"/>
        </w:rPr>
        <w:t xml:space="preserve">) </w:t>
      </w:r>
      <w:r w:rsidR="005D7102">
        <w:rPr>
          <w:rFonts w:cstheme="minorHAnsi"/>
          <w:sz w:val="24"/>
          <w:szCs w:val="24"/>
          <w:lang w:val="el-GR"/>
        </w:rPr>
        <w:t xml:space="preserve">όπου η </w:t>
      </w:r>
      <w:r w:rsidR="00542502">
        <w:rPr>
          <w:rFonts w:cstheme="minorHAnsi"/>
          <w:sz w:val="24"/>
          <w:szCs w:val="24"/>
          <w:lang w:val="el-GR"/>
        </w:rPr>
        <w:t>αίτηση</w:t>
      </w:r>
      <w:r w:rsidR="005D7102">
        <w:rPr>
          <w:rFonts w:cstheme="minorHAnsi"/>
          <w:sz w:val="24"/>
          <w:szCs w:val="24"/>
          <w:lang w:val="el-GR"/>
        </w:rPr>
        <w:t xml:space="preserve"> είναι ασύμβατη με υποχρεώσεις της ΕΕ,</w:t>
      </w:r>
      <w:r w:rsidR="00A5147D" w:rsidRPr="005D7102">
        <w:rPr>
          <w:rFonts w:cstheme="minorHAnsi"/>
          <w:sz w:val="24"/>
          <w:szCs w:val="24"/>
          <w:lang w:val="el-GR"/>
        </w:rPr>
        <w:t xml:space="preserve"> </w:t>
      </w:r>
      <w:r w:rsidR="005D7102">
        <w:rPr>
          <w:rFonts w:cstheme="minorHAnsi"/>
          <w:sz w:val="24"/>
          <w:szCs w:val="24"/>
          <w:lang w:val="el-GR"/>
        </w:rPr>
        <w:t>ή</w:t>
      </w:r>
      <w:r w:rsidR="00A5147D" w:rsidRPr="005D7102">
        <w:rPr>
          <w:rFonts w:cstheme="minorHAnsi"/>
          <w:sz w:val="24"/>
          <w:szCs w:val="24"/>
          <w:lang w:val="el-GR"/>
        </w:rPr>
        <w:t xml:space="preserve"> (</w:t>
      </w:r>
      <w:r w:rsidR="005D7102">
        <w:rPr>
          <w:rFonts w:cstheme="minorHAnsi"/>
          <w:sz w:val="24"/>
          <w:szCs w:val="24"/>
          <w:lang w:val="el-GR"/>
        </w:rPr>
        <w:t>δ</w:t>
      </w:r>
      <w:r w:rsidR="00A5147D" w:rsidRPr="005D7102">
        <w:rPr>
          <w:rFonts w:cstheme="minorHAnsi"/>
          <w:sz w:val="24"/>
          <w:szCs w:val="24"/>
          <w:lang w:val="el-GR"/>
        </w:rPr>
        <w:t xml:space="preserve">) </w:t>
      </w:r>
      <w:r w:rsidR="005D7102">
        <w:rPr>
          <w:rFonts w:cstheme="minorHAnsi"/>
          <w:sz w:val="24"/>
          <w:szCs w:val="24"/>
          <w:lang w:val="el-GR"/>
        </w:rPr>
        <w:t>όπου η πρόσβαση θα αποτελούσε</w:t>
      </w:r>
      <w:r w:rsidR="00A5147D" w:rsidRPr="005D7102">
        <w:rPr>
          <w:rFonts w:cstheme="minorHAnsi"/>
          <w:sz w:val="24"/>
          <w:szCs w:val="24"/>
          <w:lang w:val="el-GR"/>
        </w:rPr>
        <w:t xml:space="preserve"> </w:t>
      </w:r>
      <w:r w:rsidR="005D7102">
        <w:rPr>
          <w:rFonts w:cstheme="minorHAnsi"/>
          <w:sz w:val="24"/>
          <w:szCs w:val="24"/>
          <w:lang w:val="el-GR"/>
        </w:rPr>
        <w:t xml:space="preserve">και θα ήταν </w:t>
      </w:r>
      <w:r w:rsidR="0051721B">
        <w:rPr>
          <w:rFonts w:cstheme="minorHAnsi"/>
          <w:sz w:val="24"/>
          <w:szCs w:val="24"/>
          <w:lang w:val="el-GR"/>
        </w:rPr>
        <w:t xml:space="preserve">αξιόποινη </w:t>
      </w:r>
      <w:r w:rsidR="005D7102">
        <w:rPr>
          <w:rFonts w:cstheme="minorHAnsi"/>
          <w:sz w:val="24"/>
          <w:szCs w:val="24"/>
          <w:lang w:val="el-GR"/>
        </w:rPr>
        <w:t>ως</w:t>
      </w:r>
      <w:r w:rsidR="00A5147D" w:rsidRPr="005D7102">
        <w:rPr>
          <w:rFonts w:cstheme="minorHAnsi"/>
          <w:sz w:val="24"/>
          <w:szCs w:val="24"/>
          <w:lang w:val="el-GR"/>
        </w:rPr>
        <w:t xml:space="preserve"> </w:t>
      </w:r>
      <w:r w:rsidR="005D7102">
        <w:rPr>
          <w:rFonts w:cstheme="minorHAnsi"/>
          <w:sz w:val="24"/>
          <w:szCs w:val="24"/>
          <w:lang w:val="el-GR"/>
        </w:rPr>
        <w:t>περιφρόνηση του δικαστηρίου</w:t>
      </w:r>
      <w:r w:rsidR="00A5147D" w:rsidRPr="005D7102">
        <w:rPr>
          <w:rFonts w:cstheme="minorHAnsi"/>
          <w:sz w:val="24"/>
          <w:szCs w:val="24"/>
          <w:lang w:val="el-GR"/>
        </w:rPr>
        <w:t xml:space="preserve">. </w:t>
      </w:r>
    </w:p>
    <w:p w14:paraId="31D5A8C6" w14:textId="77777777" w:rsidR="00A5147D" w:rsidRPr="005D7102" w:rsidRDefault="00A5147D" w:rsidP="00A5147D">
      <w:pPr>
        <w:pStyle w:val="ListParagraph"/>
        <w:rPr>
          <w:rFonts w:cstheme="minorHAnsi"/>
          <w:sz w:val="24"/>
          <w:szCs w:val="24"/>
          <w:lang w:val="el-GR"/>
        </w:rPr>
      </w:pPr>
    </w:p>
    <w:p w14:paraId="6CB88214" w14:textId="45E9D7A6" w:rsidR="00A5147D" w:rsidRPr="000E625E" w:rsidRDefault="000E625E"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Επιπρόσθετα</w:t>
      </w:r>
      <w:r w:rsidR="00A5147D" w:rsidRPr="000E625E">
        <w:rPr>
          <w:rFonts w:cstheme="minorHAnsi"/>
          <w:sz w:val="24"/>
          <w:szCs w:val="24"/>
          <w:lang w:val="el-GR"/>
        </w:rPr>
        <w:t xml:space="preserve">, </w:t>
      </w:r>
      <w:r>
        <w:rPr>
          <w:rFonts w:cstheme="minorHAnsi"/>
          <w:sz w:val="24"/>
          <w:szCs w:val="24"/>
          <w:lang w:val="el-GR"/>
        </w:rPr>
        <w:t>η</w:t>
      </w:r>
      <w:r w:rsidRPr="000E625E">
        <w:rPr>
          <w:rFonts w:cstheme="minorHAnsi"/>
          <w:sz w:val="24"/>
          <w:szCs w:val="24"/>
          <w:lang w:val="el-GR"/>
        </w:rPr>
        <w:t xml:space="preserve"> </w:t>
      </w:r>
      <w:r>
        <w:rPr>
          <w:rFonts w:cstheme="minorHAnsi"/>
          <w:sz w:val="24"/>
          <w:szCs w:val="24"/>
          <w:lang w:val="el-GR"/>
        </w:rPr>
        <w:t>πρόσβαση</w:t>
      </w:r>
      <w:r w:rsidRPr="000E625E">
        <w:rPr>
          <w:rFonts w:cstheme="minorHAnsi"/>
          <w:sz w:val="24"/>
          <w:szCs w:val="24"/>
          <w:lang w:val="el-GR"/>
        </w:rPr>
        <w:t xml:space="preserve"> </w:t>
      </w:r>
      <w:r>
        <w:rPr>
          <w:rFonts w:cstheme="minorHAnsi"/>
          <w:sz w:val="24"/>
          <w:szCs w:val="24"/>
          <w:lang w:val="el-GR"/>
        </w:rPr>
        <w:t>σε</w:t>
      </w:r>
      <w:r w:rsidRPr="000E625E">
        <w:rPr>
          <w:rFonts w:cstheme="minorHAnsi"/>
          <w:sz w:val="24"/>
          <w:szCs w:val="24"/>
          <w:lang w:val="el-GR"/>
        </w:rPr>
        <w:t xml:space="preserve"> </w:t>
      </w:r>
      <w:r>
        <w:rPr>
          <w:rFonts w:cstheme="minorHAnsi"/>
          <w:sz w:val="24"/>
          <w:szCs w:val="24"/>
          <w:lang w:val="el-GR"/>
        </w:rPr>
        <w:t>δημόσια</w:t>
      </w:r>
      <w:r w:rsidRPr="000E625E">
        <w:rPr>
          <w:rFonts w:cstheme="minorHAnsi"/>
          <w:sz w:val="24"/>
          <w:szCs w:val="24"/>
          <w:lang w:val="el-GR"/>
        </w:rPr>
        <w:t xml:space="preserve"> </w:t>
      </w:r>
      <w:r>
        <w:rPr>
          <w:rFonts w:cstheme="minorHAnsi"/>
          <w:sz w:val="24"/>
          <w:szCs w:val="24"/>
          <w:lang w:val="el-GR"/>
        </w:rPr>
        <w:t>έγγραφα</w:t>
      </w:r>
      <w:r w:rsidRPr="000E625E">
        <w:rPr>
          <w:rFonts w:cstheme="minorHAnsi"/>
          <w:sz w:val="24"/>
          <w:szCs w:val="24"/>
          <w:lang w:val="el-GR"/>
        </w:rPr>
        <w:t xml:space="preserve"> </w:t>
      </w:r>
      <w:r>
        <w:rPr>
          <w:rFonts w:cstheme="minorHAnsi"/>
          <w:sz w:val="24"/>
          <w:szCs w:val="24"/>
          <w:lang w:val="el-GR"/>
        </w:rPr>
        <w:t>μπορεί</w:t>
      </w:r>
      <w:r w:rsidRPr="000E625E">
        <w:rPr>
          <w:rFonts w:cstheme="minorHAnsi"/>
          <w:sz w:val="24"/>
          <w:szCs w:val="24"/>
          <w:lang w:val="el-GR"/>
        </w:rPr>
        <w:t xml:space="preserve"> </w:t>
      </w:r>
      <w:r>
        <w:rPr>
          <w:rFonts w:cstheme="minorHAnsi"/>
          <w:sz w:val="24"/>
          <w:szCs w:val="24"/>
          <w:lang w:val="el-GR"/>
        </w:rPr>
        <w:t>να</w:t>
      </w:r>
      <w:r w:rsidRPr="000E625E">
        <w:rPr>
          <w:rFonts w:cstheme="minorHAnsi"/>
          <w:sz w:val="24"/>
          <w:szCs w:val="24"/>
          <w:lang w:val="el-GR"/>
        </w:rPr>
        <w:t xml:space="preserve"> </w:t>
      </w:r>
      <w:r>
        <w:rPr>
          <w:rFonts w:cstheme="minorHAnsi"/>
          <w:sz w:val="24"/>
          <w:szCs w:val="24"/>
          <w:lang w:val="el-GR"/>
        </w:rPr>
        <w:t>ρυθμιστεί</w:t>
      </w:r>
      <w:r w:rsidRPr="000E625E">
        <w:rPr>
          <w:rFonts w:cstheme="minorHAnsi"/>
          <w:sz w:val="24"/>
          <w:szCs w:val="24"/>
          <w:lang w:val="el-GR"/>
        </w:rPr>
        <w:t xml:space="preserve"> </w:t>
      </w:r>
      <w:r>
        <w:rPr>
          <w:rFonts w:cstheme="minorHAnsi"/>
          <w:sz w:val="24"/>
          <w:szCs w:val="24"/>
          <w:lang w:val="el-GR"/>
        </w:rPr>
        <w:t>με</w:t>
      </w:r>
      <w:r w:rsidRPr="000E625E">
        <w:rPr>
          <w:rFonts w:cstheme="minorHAnsi"/>
          <w:sz w:val="24"/>
          <w:szCs w:val="24"/>
          <w:lang w:val="el-GR"/>
        </w:rPr>
        <w:t xml:space="preserve"> </w:t>
      </w:r>
      <w:r>
        <w:rPr>
          <w:rFonts w:cstheme="minorHAnsi"/>
          <w:sz w:val="24"/>
          <w:szCs w:val="24"/>
          <w:lang w:val="el-GR"/>
        </w:rPr>
        <w:t>νόμους</w:t>
      </w:r>
      <w:r w:rsidR="00A5147D" w:rsidRPr="000E625E">
        <w:rPr>
          <w:rFonts w:cstheme="minorHAnsi"/>
          <w:sz w:val="24"/>
          <w:szCs w:val="24"/>
          <w:lang w:val="el-GR"/>
        </w:rPr>
        <w:t xml:space="preserve"> (</w:t>
      </w:r>
      <w:r w:rsidR="00A5147D" w:rsidRPr="004E251E">
        <w:rPr>
          <w:rFonts w:cstheme="minorHAnsi"/>
          <w:i/>
          <w:iCs/>
          <w:sz w:val="24"/>
          <w:szCs w:val="24"/>
        </w:rPr>
        <w:t>lex</w:t>
      </w:r>
      <w:r w:rsidR="00A5147D" w:rsidRPr="000E625E">
        <w:rPr>
          <w:rFonts w:cstheme="minorHAnsi"/>
          <w:i/>
          <w:iCs/>
          <w:sz w:val="24"/>
          <w:szCs w:val="24"/>
          <w:lang w:val="el-GR"/>
        </w:rPr>
        <w:t xml:space="preserve"> </w:t>
      </w:r>
      <w:proofErr w:type="spellStart"/>
      <w:r w:rsidR="00A5147D" w:rsidRPr="004E251E">
        <w:rPr>
          <w:rFonts w:cstheme="minorHAnsi"/>
          <w:i/>
          <w:iCs/>
          <w:sz w:val="24"/>
          <w:szCs w:val="24"/>
        </w:rPr>
        <w:t>specialis</w:t>
      </w:r>
      <w:proofErr w:type="spellEnd"/>
      <w:r w:rsidR="00A5147D" w:rsidRPr="000E625E">
        <w:rPr>
          <w:rFonts w:cstheme="minorHAnsi"/>
          <w:sz w:val="24"/>
          <w:szCs w:val="24"/>
          <w:lang w:val="el-GR"/>
        </w:rPr>
        <w:t xml:space="preserve">) </w:t>
      </w:r>
      <w:r>
        <w:rPr>
          <w:rFonts w:cstheme="minorHAnsi"/>
          <w:sz w:val="24"/>
          <w:szCs w:val="24"/>
          <w:lang w:val="el-GR"/>
        </w:rPr>
        <w:t>εκτός</w:t>
      </w:r>
      <w:r w:rsidRPr="000E625E">
        <w:rPr>
          <w:rFonts w:cstheme="minorHAnsi"/>
          <w:sz w:val="24"/>
          <w:szCs w:val="24"/>
          <w:lang w:val="el-GR"/>
        </w:rPr>
        <w:t xml:space="preserve"> </w:t>
      </w:r>
      <w:r>
        <w:rPr>
          <w:rFonts w:cstheme="minorHAnsi"/>
          <w:sz w:val="24"/>
          <w:szCs w:val="24"/>
          <w:lang w:val="el-GR"/>
        </w:rPr>
        <w:t>από</w:t>
      </w:r>
      <w:r w:rsidRPr="000E625E">
        <w:rPr>
          <w:rFonts w:cstheme="minorHAnsi"/>
          <w:sz w:val="24"/>
          <w:szCs w:val="24"/>
          <w:lang w:val="el-GR"/>
        </w:rPr>
        <w:t xml:space="preserve"> </w:t>
      </w:r>
      <w:r>
        <w:rPr>
          <w:rFonts w:cstheme="minorHAnsi"/>
          <w:sz w:val="24"/>
          <w:szCs w:val="24"/>
          <w:lang w:val="el-GR"/>
        </w:rPr>
        <w:t>τον</w:t>
      </w:r>
      <w:r w:rsidRPr="000E625E">
        <w:rPr>
          <w:rFonts w:cstheme="minorHAnsi"/>
          <w:sz w:val="24"/>
          <w:szCs w:val="24"/>
          <w:lang w:val="el-GR"/>
        </w:rPr>
        <w:t xml:space="preserve"> </w:t>
      </w:r>
      <w:r>
        <w:rPr>
          <w:rFonts w:cstheme="minorHAnsi"/>
          <w:sz w:val="24"/>
          <w:szCs w:val="24"/>
          <w:lang w:val="el-GR"/>
        </w:rPr>
        <w:t>Νόμο</w:t>
      </w:r>
      <w:r w:rsidR="00A5147D" w:rsidRPr="000E625E">
        <w:rPr>
          <w:rFonts w:eastAsia="Calibri" w:cstheme="minorHAnsi"/>
          <w:sz w:val="24"/>
          <w:szCs w:val="24"/>
          <w:lang w:val="el-GR"/>
        </w:rPr>
        <w:t xml:space="preserve"> 184(</w:t>
      </w:r>
      <w:r w:rsidR="00A5147D" w:rsidRPr="004E251E">
        <w:rPr>
          <w:rFonts w:eastAsia="Calibri" w:cstheme="minorHAnsi"/>
          <w:sz w:val="24"/>
          <w:szCs w:val="24"/>
        </w:rPr>
        <w:t>I</w:t>
      </w:r>
      <w:r w:rsidR="00A5147D" w:rsidRPr="000E625E">
        <w:rPr>
          <w:rFonts w:eastAsia="Calibri" w:cstheme="minorHAnsi"/>
          <w:sz w:val="24"/>
          <w:szCs w:val="24"/>
          <w:lang w:val="el-GR"/>
        </w:rPr>
        <w:t>)/2017 (</w:t>
      </w:r>
      <w:r>
        <w:rPr>
          <w:rFonts w:eastAsia="Calibri" w:cstheme="minorHAnsi"/>
          <w:sz w:val="24"/>
          <w:szCs w:val="24"/>
          <w:lang w:val="el-GR"/>
        </w:rPr>
        <w:t>π</w:t>
      </w:r>
      <w:r w:rsidRPr="000E625E">
        <w:rPr>
          <w:rFonts w:eastAsia="Calibri" w:cstheme="minorHAnsi"/>
          <w:sz w:val="24"/>
          <w:szCs w:val="24"/>
          <w:lang w:val="el-GR"/>
        </w:rPr>
        <w:t>.</w:t>
      </w:r>
      <w:r>
        <w:rPr>
          <w:rFonts w:eastAsia="Calibri" w:cstheme="minorHAnsi"/>
          <w:sz w:val="24"/>
          <w:szCs w:val="24"/>
          <w:lang w:val="el-GR"/>
        </w:rPr>
        <w:t>χ</w:t>
      </w:r>
      <w:r w:rsidRPr="000E625E">
        <w:rPr>
          <w:rFonts w:eastAsia="Calibri" w:cstheme="minorHAnsi"/>
          <w:sz w:val="24"/>
          <w:szCs w:val="24"/>
          <w:lang w:val="el-GR"/>
        </w:rPr>
        <w:t>.</w:t>
      </w:r>
      <w:r w:rsidR="00A5147D" w:rsidRPr="000E625E">
        <w:rPr>
          <w:rFonts w:eastAsia="Calibri" w:cstheme="minorHAnsi"/>
          <w:sz w:val="24"/>
          <w:szCs w:val="24"/>
          <w:lang w:val="el-GR"/>
        </w:rPr>
        <w:t xml:space="preserve"> </w:t>
      </w:r>
      <w:r>
        <w:rPr>
          <w:rFonts w:eastAsia="Calibri" w:cstheme="minorHAnsi"/>
          <w:sz w:val="24"/>
          <w:szCs w:val="24"/>
          <w:lang w:val="el-GR"/>
        </w:rPr>
        <w:t>απαιτήσεις</w:t>
      </w:r>
      <w:r w:rsidRPr="000E625E">
        <w:rPr>
          <w:rFonts w:eastAsia="Calibri" w:cstheme="minorHAnsi"/>
          <w:sz w:val="24"/>
          <w:szCs w:val="24"/>
          <w:lang w:val="el-GR"/>
        </w:rPr>
        <w:t xml:space="preserve"> </w:t>
      </w:r>
      <w:r>
        <w:rPr>
          <w:rFonts w:eastAsia="Calibri" w:cstheme="minorHAnsi"/>
          <w:sz w:val="24"/>
          <w:szCs w:val="24"/>
          <w:lang w:val="el-GR"/>
        </w:rPr>
        <w:t>προστασίας</w:t>
      </w:r>
      <w:r w:rsidRPr="000E625E">
        <w:rPr>
          <w:rFonts w:eastAsia="Calibri" w:cstheme="minorHAnsi"/>
          <w:sz w:val="24"/>
          <w:szCs w:val="24"/>
          <w:lang w:val="el-GR"/>
        </w:rPr>
        <w:t xml:space="preserve"> </w:t>
      </w:r>
      <w:r>
        <w:rPr>
          <w:rFonts w:eastAsia="Calibri" w:cstheme="minorHAnsi"/>
          <w:sz w:val="24"/>
          <w:szCs w:val="24"/>
          <w:lang w:val="el-GR"/>
        </w:rPr>
        <w:t>δεδομένων</w:t>
      </w:r>
      <w:r w:rsidR="00A5147D" w:rsidRPr="000E625E">
        <w:rPr>
          <w:rFonts w:eastAsia="Calibri" w:cstheme="minorHAnsi"/>
          <w:sz w:val="24"/>
          <w:szCs w:val="24"/>
          <w:lang w:val="el-GR"/>
        </w:rPr>
        <w:t xml:space="preserve">, </w:t>
      </w:r>
      <w:r>
        <w:rPr>
          <w:rFonts w:eastAsia="Calibri" w:cstheme="minorHAnsi"/>
          <w:sz w:val="24"/>
          <w:szCs w:val="24"/>
          <w:lang w:val="el-GR"/>
        </w:rPr>
        <w:t>νόμος</w:t>
      </w:r>
      <w:r w:rsidRPr="000E625E">
        <w:rPr>
          <w:rFonts w:eastAsia="Calibri" w:cstheme="minorHAnsi"/>
          <w:sz w:val="24"/>
          <w:szCs w:val="24"/>
          <w:lang w:val="el-GR"/>
        </w:rPr>
        <w:t xml:space="preserve"> </w:t>
      </w:r>
      <w:r>
        <w:rPr>
          <w:rFonts w:eastAsia="Calibri" w:cstheme="minorHAnsi"/>
          <w:sz w:val="24"/>
          <w:szCs w:val="24"/>
          <w:lang w:val="el-GR"/>
        </w:rPr>
        <w:t>περί</w:t>
      </w:r>
      <w:r w:rsidRPr="000E625E">
        <w:rPr>
          <w:rFonts w:eastAsia="Calibri" w:cstheme="minorHAnsi"/>
          <w:sz w:val="24"/>
          <w:szCs w:val="24"/>
          <w:lang w:val="el-GR"/>
        </w:rPr>
        <w:t xml:space="preserve"> </w:t>
      </w:r>
      <w:r>
        <w:rPr>
          <w:rFonts w:eastAsia="Calibri" w:cstheme="minorHAnsi"/>
          <w:sz w:val="24"/>
          <w:szCs w:val="24"/>
          <w:lang w:val="el-GR"/>
        </w:rPr>
        <w:t>ακίνητης περιουσίας</w:t>
      </w:r>
      <w:r w:rsidR="00A5147D" w:rsidRPr="000E625E">
        <w:rPr>
          <w:rFonts w:eastAsia="Calibri" w:cstheme="minorHAnsi"/>
          <w:sz w:val="24"/>
          <w:szCs w:val="24"/>
          <w:lang w:val="el-GR"/>
        </w:rPr>
        <w:t xml:space="preserve"> </w:t>
      </w:r>
      <w:r>
        <w:rPr>
          <w:rFonts w:eastAsia="Calibri" w:cstheme="minorHAnsi"/>
          <w:sz w:val="24"/>
          <w:szCs w:val="24"/>
          <w:lang w:val="el-GR"/>
        </w:rPr>
        <w:t>και πληροφορίες που περιέχονται μέσα σε μητρώα περιουσιών</w:t>
      </w:r>
      <w:r w:rsidR="00A5147D" w:rsidRPr="000E625E">
        <w:rPr>
          <w:rFonts w:eastAsia="Calibri" w:cstheme="minorHAnsi"/>
          <w:sz w:val="24"/>
          <w:szCs w:val="24"/>
          <w:lang w:val="el-GR"/>
        </w:rPr>
        <w:t xml:space="preserve">, </w:t>
      </w:r>
      <w:r>
        <w:rPr>
          <w:rFonts w:eastAsia="Calibri" w:cstheme="minorHAnsi"/>
          <w:sz w:val="24"/>
          <w:szCs w:val="24"/>
          <w:lang w:val="el-GR"/>
        </w:rPr>
        <w:t>πληροφορίες για εταιρείες</w:t>
      </w:r>
      <w:r w:rsidR="00A5147D" w:rsidRPr="000E625E">
        <w:rPr>
          <w:rFonts w:eastAsia="Calibri" w:cstheme="minorHAnsi"/>
          <w:sz w:val="24"/>
          <w:szCs w:val="24"/>
          <w:lang w:val="el-GR"/>
        </w:rPr>
        <w:t xml:space="preserve">, </w:t>
      </w:r>
      <w:r>
        <w:rPr>
          <w:rFonts w:eastAsia="Calibri" w:cstheme="minorHAnsi"/>
          <w:sz w:val="24"/>
          <w:szCs w:val="24"/>
          <w:lang w:val="el-GR"/>
        </w:rPr>
        <w:t>νόμοι που υπάγονται στην αρμοδιότητα της Επιτροπής Κεφαλαιαγοράς, κλπ.)</w:t>
      </w:r>
      <w:bookmarkStart w:id="71" w:name="_Hlk119570419"/>
      <w:r w:rsidR="00A5147D" w:rsidRPr="000E625E">
        <w:rPr>
          <w:rFonts w:eastAsia="Calibri" w:cstheme="minorHAnsi"/>
          <w:sz w:val="24"/>
          <w:szCs w:val="24"/>
          <w:lang w:val="el-GR"/>
        </w:rPr>
        <w:t xml:space="preserve">. </w:t>
      </w:r>
      <w:r>
        <w:rPr>
          <w:rFonts w:eastAsia="Calibri" w:cstheme="minorHAnsi"/>
          <w:sz w:val="24"/>
          <w:szCs w:val="24"/>
          <w:lang w:val="el-GR"/>
        </w:rPr>
        <w:t>Όπου</w:t>
      </w:r>
      <w:r w:rsidRPr="000E625E">
        <w:rPr>
          <w:rFonts w:eastAsia="Calibri" w:cstheme="minorHAnsi"/>
          <w:sz w:val="24"/>
          <w:szCs w:val="24"/>
          <w:lang w:val="el-GR"/>
        </w:rPr>
        <w:t xml:space="preserve"> </w:t>
      </w:r>
      <w:r>
        <w:rPr>
          <w:rFonts w:eastAsia="Calibri" w:cstheme="minorHAnsi"/>
          <w:sz w:val="24"/>
          <w:szCs w:val="24"/>
          <w:lang w:val="el-GR"/>
        </w:rPr>
        <w:t>αυτές</w:t>
      </w:r>
      <w:r w:rsidRPr="000E625E">
        <w:rPr>
          <w:rFonts w:eastAsia="Calibri" w:cstheme="minorHAnsi"/>
          <w:sz w:val="24"/>
          <w:szCs w:val="24"/>
          <w:lang w:val="el-GR"/>
        </w:rPr>
        <w:t xml:space="preserve"> </w:t>
      </w:r>
      <w:r>
        <w:rPr>
          <w:rFonts w:eastAsia="Calibri" w:cstheme="minorHAnsi"/>
          <w:sz w:val="24"/>
          <w:szCs w:val="24"/>
          <w:lang w:val="el-GR"/>
        </w:rPr>
        <w:t>οι</w:t>
      </w:r>
      <w:r w:rsidRPr="000E625E">
        <w:rPr>
          <w:rFonts w:eastAsia="Calibri" w:cstheme="minorHAnsi"/>
          <w:sz w:val="24"/>
          <w:szCs w:val="24"/>
          <w:lang w:val="el-GR"/>
        </w:rPr>
        <w:t xml:space="preserve"> </w:t>
      </w:r>
      <w:r>
        <w:rPr>
          <w:rFonts w:eastAsia="Calibri" w:cstheme="minorHAnsi"/>
          <w:sz w:val="24"/>
          <w:szCs w:val="24"/>
          <w:lang w:val="el-GR"/>
        </w:rPr>
        <w:t>πρόνοιες</w:t>
      </w:r>
      <w:r w:rsidRPr="000E625E">
        <w:rPr>
          <w:rFonts w:eastAsia="Calibri" w:cstheme="minorHAnsi"/>
          <w:sz w:val="24"/>
          <w:szCs w:val="24"/>
          <w:lang w:val="el-GR"/>
        </w:rPr>
        <w:t xml:space="preserve"> </w:t>
      </w:r>
      <w:r>
        <w:rPr>
          <w:rFonts w:eastAsia="Calibri" w:cstheme="minorHAnsi"/>
          <w:sz w:val="24"/>
          <w:szCs w:val="24"/>
          <w:lang w:val="el-GR"/>
        </w:rPr>
        <w:t>μπλοκάρουν</w:t>
      </w:r>
      <w:r w:rsidRPr="000E625E">
        <w:rPr>
          <w:rFonts w:eastAsia="Calibri" w:cstheme="minorHAnsi"/>
          <w:sz w:val="24"/>
          <w:szCs w:val="24"/>
          <w:lang w:val="el-GR"/>
        </w:rPr>
        <w:t xml:space="preserve"> </w:t>
      </w:r>
      <w:r w:rsidR="00542502">
        <w:rPr>
          <w:rFonts w:eastAsia="Calibri" w:cstheme="minorHAnsi"/>
          <w:sz w:val="24"/>
          <w:szCs w:val="24"/>
          <w:lang w:val="el-GR"/>
        </w:rPr>
        <w:t>αίτη</w:t>
      </w:r>
      <w:r w:rsidR="002E394C">
        <w:rPr>
          <w:rFonts w:eastAsia="Calibri" w:cstheme="minorHAnsi"/>
          <w:sz w:val="24"/>
          <w:szCs w:val="24"/>
          <w:lang w:val="el-GR"/>
        </w:rPr>
        <w:t>μα</w:t>
      </w:r>
      <w:r w:rsidRPr="000E625E">
        <w:rPr>
          <w:rFonts w:eastAsia="Calibri" w:cstheme="minorHAnsi"/>
          <w:sz w:val="24"/>
          <w:szCs w:val="24"/>
          <w:lang w:val="el-GR"/>
        </w:rPr>
        <w:t xml:space="preserve"> </w:t>
      </w:r>
      <w:r>
        <w:rPr>
          <w:rFonts w:eastAsia="Calibri" w:cstheme="minorHAnsi"/>
          <w:sz w:val="24"/>
          <w:szCs w:val="24"/>
          <w:lang w:val="el-GR"/>
        </w:rPr>
        <w:t>για</w:t>
      </w:r>
      <w:r w:rsidRPr="000E625E">
        <w:rPr>
          <w:rFonts w:eastAsia="Calibri" w:cstheme="minorHAnsi"/>
          <w:sz w:val="24"/>
          <w:szCs w:val="24"/>
          <w:lang w:val="el-GR"/>
        </w:rPr>
        <w:t xml:space="preserve"> </w:t>
      </w:r>
      <w:r>
        <w:rPr>
          <w:rFonts w:eastAsia="Calibri" w:cstheme="minorHAnsi"/>
          <w:sz w:val="24"/>
          <w:szCs w:val="24"/>
          <w:lang w:val="el-GR"/>
        </w:rPr>
        <w:t>πρόσβαση</w:t>
      </w:r>
      <w:r w:rsidRPr="000E625E">
        <w:rPr>
          <w:rFonts w:eastAsia="Calibri" w:cstheme="minorHAnsi"/>
          <w:sz w:val="24"/>
          <w:szCs w:val="24"/>
          <w:lang w:val="el-GR"/>
        </w:rPr>
        <w:t xml:space="preserve"> </w:t>
      </w:r>
      <w:r>
        <w:rPr>
          <w:rFonts w:eastAsia="Calibri" w:cstheme="minorHAnsi"/>
          <w:sz w:val="24"/>
          <w:szCs w:val="24"/>
          <w:lang w:val="el-GR"/>
        </w:rPr>
        <w:t>σε</w:t>
      </w:r>
      <w:r w:rsidRPr="000E625E">
        <w:rPr>
          <w:rFonts w:eastAsia="Calibri" w:cstheme="minorHAnsi"/>
          <w:sz w:val="24"/>
          <w:szCs w:val="24"/>
          <w:lang w:val="el-GR"/>
        </w:rPr>
        <w:t xml:space="preserve"> </w:t>
      </w:r>
      <w:r>
        <w:rPr>
          <w:rFonts w:eastAsia="Calibri" w:cstheme="minorHAnsi"/>
          <w:sz w:val="24"/>
          <w:szCs w:val="24"/>
          <w:lang w:val="el-GR"/>
        </w:rPr>
        <w:t>πληροφορίες</w:t>
      </w:r>
      <w:r w:rsidR="00A5147D" w:rsidRPr="000E625E">
        <w:rPr>
          <w:rFonts w:cstheme="minorHAnsi"/>
          <w:color w:val="000000" w:themeColor="text1"/>
          <w:sz w:val="24"/>
          <w:szCs w:val="24"/>
          <w:lang w:val="el-GR"/>
        </w:rPr>
        <w:t xml:space="preserve">, </w:t>
      </w:r>
      <w:r>
        <w:rPr>
          <w:rFonts w:cstheme="minorHAnsi"/>
          <w:color w:val="000000" w:themeColor="text1"/>
          <w:sz w:val="24"/>
          <w:szCs w:val="24"/>
          <w:lang w:val="el-GR"/>
        </w:rPr>
        <w:t>ο</w:t>
      </w:r>
      <w:r w:rsidRPr="000E625E">
        <w:rPr>
          <w:rFonts w:cstheme="minorHAnsi"/>
          <w:color w:val="000000" w:themeColor="text1"/>
          <w:sz w:val="24"/>
          <w:szCs w:val="24"/>
          <w:lang w:val="el-GR"/>
        </w:rPr>
        <w:t xml:space="preserve"> </w:t>
      </w:r>
      <w:proofErr w:type="spellStart"/>
      <w:r>
        <w:rPr>
          <w:rFonts w:cstheme="minorHAnsi"/>
          <w:color w:val="000000" w:themeColor="text1"/>
          <w:sz w:val="24"/>
          <w:szCs w:val="24"/>
          <w:lang w:val="el-GR"/>
        </w:rPr>
        <w:t>αιτητής</w:t>
      </w:r>
      <w:proofErr w:type="spellEnd"/>
      <w:r w:rsidRPr="000E625E">
        <w:rPr>
          <w:rFonts w:cstheme="minorHAnsi"/>
          <w:color w:val="000000" w:themeColor="text1"/>
          <w:sz w:val="24"/>
          <w:szCs w:val="24"/>
          <w:lang w:val="el-GR"/>
        </w:rPr>
        <w:t xml:space="preserve"> </w:t>
      </w:r>
      <w:r w:rsidR="002E394C">
        <w:rPr>
          <w:rFonts w:cstheme="minorHAnsi"/>
          <w:color w:val="000000" w:themeColor="text1"/>
          <w:sz w:val="24"/>
          <w:szCs w:val="24"/>
          <w:lang w:val="el-GR"/>
        </w:rPr>
        <w:t xml:space="preserve">που </w:t>
      </w:r>
      <w:r>
        <w:rPr>
          <w:rFonts w:cstheme="minorHAnsi"/>
          <w:color w:val="000000" w:themeColor="text1"/>
          <w:sz w:val="24"/>
          <w:szCs w:val="24"/>
          <w:lang w:val="el-GR"/>
        </w:rPr>
        <w:t>έχει</w:t>
      </w:r>
      <w:r w:rsidRPr="000E625E">
        <w:rPr>
          <w:rFonts w:cstheme="minorHAnsi"/>
          <w:color w:val="000000" w:themeColor="text1"/>
          <w:sz w:val="24"/>
          <w:szCs w:val="24"/>
          <w:lang w:val="el-GR"/>
        </w:rPr>
        <w:t xml:space="preserve"> </w:t>
      </w:r>
      <w:r>
        <w:rPr>
          <w:rFonts w:cstheme="minorHAnsi"/>
          <w:color w:val="000000" w:themeColor="text1"/>
          <w:sz w:val="24"/>
          <w:szCs w:val="24"/>
          <w:lang w:val="el-GR"/>
        </w:rPr>
        <w:t>έννομο</w:t>
      </w:r>
      <w:r w:rsidRPr="000E625E">
        <w:rPr>
          <w:rFonts w:cstheme="minorHAnsi"/>
          <w:color w:val="000000" w:themeColor="text1"/>
          <w:sz w:val="24"/>
          <w:szCs w:val="24"/>
          <w:lang w:val="el-GR"/>
        </w:rPr>
        <w:t xml:space="preserve"> </w:t>
      </w:r>
      <w:r>
        <w:rPr>
          <w:rFonts w:cstheme="minorHAnsi"/>
          <w:color w:val="000000" w:themeColor="text1"/>
          <w:sz w:val="24"/>
          <w:szCs w:val="24"/>
          <w:lang w:val="el-GR"/>
        </w:rPr>
        <w:t>συμφέρον</w:t>
      </w:r>
      <w:r w:rsidR="00A5147D" w:rsidRPr="000E625E">
        <w:rPr>
          <w:rFonts w:cstheme="minorHAnsi"/>
          <w:color w:val="000000" w:themeColor="text1"/>
          <w:sz w:val="24"/>
          <w:szCs w:val="24"/>
          <w:lang w:val="el-GR"/>
        </w:rPr>
        <w:t xml:space="preserve"> </w:t>
      </w:r>
      <w:r w:rsidR="002E394C">
        <w:rPr>
          <w:rFonts w:cstheme="minorHAnsi"/>
          <w:color w:val="000000" w:themeColor="text1"/>
          <w:sz w:val="24"/>
          <w:szCs w:val="24"/>
          <w:lang w:val="el-GR"/>
        </w:rPr>
        <w:t xml:space="preserve">πρέπει </w:t>
      </w:r>
      <w:r>
        <w:rPr>
          <w:rFonts w:cstheme="minorHAnsi"/>
          <w:color w:val="000000" w:themeColor="text1"/>
          <w:sz w:val="24"/>
          <w:szCs w:val="24"/>
          <w:lang w:val="el-GR"/>
        </w:rPr>
        <w:t>να</w:t>
      </w:r>
      <w:r w:rsidRPr="000E625E">
        <w:rPr>
          <w:rFonts w:cstheme="minorHAnsi"/>
          <w:color w:val="000000" w:themeColor="text1"/>
          <w:sz w:val="24"/>
          <w:szCs w:val="24"/>
          <w:lang w:val="el-GR"/>
        </w:rPr>
        <w:t xml:space="preserve"> </w:t>
      </w:r>
      <w:r>
        <w:rPr>
          <w:rFonts w:cstheme="minorHAnsi"/>
          <w:color w:val="000000" w:themeColor="text1"/>
          <w:sz w:val="24"/>
          <w:szCs w:val="24"/>
          <w:lang w:val="el-GR"/>
        </w:rPr>
        <w:t>επιδείξει</w:t>
      </w:r>
      <w:r w:rsidRPr="000E625E">
        <w:rPr>
          <w:rFonts w:cstheme="minorHAnsi"/>
          <w:color w:val="000000" w:themeColor="text1"/>
          <w:sz w:val="24"/>
          <w:szCs w:val="24"/>
          <w:lang w:val="el-GR"/>
        </w:rPr>
        <w:t xml:space="preserve"> </w:t>
      </w:r>
      <w:r>
        <w:rPr>
          <w:rFonts w:cstheme="minorHAnsi"/>
          <w:color w:val="000000" w:themeColor="text1"/>
          <w:sz w:val="24"/>
          <w:szCs w:val="24"/>
          <w:lang w:val="el-GR"/>
        </w:rPr>
        <w:t>ότι</w:t>
      </w:r>
      <w:r w:rsidRPr="000E625E">
        <w:rPr>
          <w:rFonts w:cstheme="minorHAnsi"/>
          <w:color w:val="000000" w:themeColor="text1"/>
          <w:sz w:val="24"/>
          <w:szCs w:val="24"/>
          <w:lang w:val="el-GR"/>
        </w:rPr>
        <w:t xml:space="preserve"> </w:t>
      </w:r>
      <w:r>
        <w:rPr>
          <w:rFonts w:cstheme="minorHAnsi"/>
          <w:color w:val="000000" w:themeColor="text1"/>
          <w:sz w:val="24"/>
          <w:szCs w:val="24"/>
          <w:lang w:val="el-GR"/>
        </w:rPr>
        <w:t>το</w:t>
      </w:r>
      <w:r w:rsidRPr="000E625E">
        <w:rPr>
          <w:rFonts w:cstheme="minorHAnsi"/>
          <w:color w:val="000000" w:themeColor="text1"/>
          <w:sz w:val="24"/>
          <w:szCs w:val="24"/>
          <w:lang w:val="el-GR"/>
        </w:rPr>
        <w:t xml:space="preserve"> </w:t>
      </w:r>
      <w:r>
        <w:rPr>
          <w:rFonts w:cstheme="minorHAnsi"/>
          <w:color w:val="000000" w:themeColor="text1"/>
          <w:sz w:val="24"/>
          <w:szCs w:val="24"/>
          <w:lang w:val="el-GR"/>
        </w:rPr>
        <w:t>έννομο</w:t>
      </w:r>
      <w:r w:rsidRPr="000E625E">
        <w:rPr>
          <w:rFonts w:cstheme="minorHAnsi"/>
          <w:color w:val="000000" w:themeColor="text1"/>
          <w:sz w:val="24"/>
          <w:szCs w:val="24"/>
          <w:lang w:val="el-GR"/>
        </w:rPr>
        <w:t xml:space="preserve"> </w:t>
      </w:r>
      <w:r>
        <w:rPr>
          <w:rFonts w:cstheme="minorHAnsi"/>
          <w:color w:val="000000" w:themeColor="text1"/>
          <w:sz w:val="24"/>
          <w:szCs w:val="24"/>
          <w:lang w:val="el-GR"/>
        </w:rPr>
        <w:t>του</w:t>
      </w:r>
      <w:r w:rsidRPr="000E625E">
        <w:rPr>
          <w:rFonts w:cstheme="minorHAnsi"/>
          <w:color w:val="000000" w:themeColor="text1"/>
          <w:sz w:val="24"/>
          <w:szCs w:val="24"/>
          <w:lang w:val="el-GR"/>
        </w:rPr>
        <w:t>/</w:t>
      </w:r>
      <w:r>
        <w:rPr>
          <w:rFonts w:cstheme="minorHAnsi"/>
          <w:color w:val="000000" w:themeColor="text1"/>
          <w:sz w:val="24"/>
          <w:szCs w:val="24"/>
          <w:lang w:val="el-GR"/>
        </w:rPr>
        <w:t>ης</w:t>
      </w:r>
      <w:r w:rsidRPr="000E625E">
        <w:rPr>
          <w:rFonts w:cstheme="minorHAnsi"/>
          <w:color w:val="000000" w:themeColor="text1"/>
          <w:sz w:val="24"/>
          <w:szCs w:val="24"/>
          <w:lang w:val="el-GR"/>
        </w:rPr>
        <w:t xml:space="preserve"> </w:t>
      </w:r>
      <w:r>
        <w:rPr>
          <w:rFonts w:cstheme="minorHAnsi"/>
          <w:color w:val="000000" w:themeColor="text1"/>
          <w:sz w:val="24"/>
          <w:szCs w:val="24"/>
          <w:lang w:val="el-GR"/>
        </w:rPr>
        <w:t>συμφέρον</w:t>
      </w:r>
      <w:r w:rsidRPr="000E625E">
        <w:rPr>
          <w:rFonts w:cstheme="minorHAnsi"/>
          <w:color w:val="000000" w:themeColor="text1"/>
          <w:sz w:val="24"/>
          <w:szCs w:val="24"/>
          <w:lang w:val="el-GR"/>
        </w:rPr>
        <w:t xml:space="preserve"> </w:t>
      </w:r>
      <w:r>
        <w:rPr>
          <w:rFonts w:cstheme="minorHAnsi"/>
          <w:color w:val="000000" w:themeColor="text1"/>
          <w:sz w:val="24"/>
          <w:szCs w:val="24"/>
          <w:lang w:val="el-GR"/>
        </w:rPr>
        <w:t xml:space="preserve">υπερισχύει των </w:t>
      </w:r>
      <w:r w:rsidR="00556D44">
        <w:rPr>
          <w:rFonts w:cstheme="minorHAnsi"/>
          <w:color w:val="000000" w:themeColor="text1"/>
          <w:sz w:val="24"/>
          <w:szCs w:val="24"/>
          <w:lang w:val="el-GR"/>
        </w:rPr>
        <w:t>θεμελιωδών</w:t>
      </w:r>
      <w:r>
        <w:rPr>
          <w:rFonts w:cstheme="minorHAnsi"/>
          <w:color w:val="000000" w:themeColor="text1"/>
          <w:sz w:val="24"/>
          <w:szCs w:val="24"/>
          <w:lang w:val="el-GR"/>
        </w:rPr>
        <w:t xml:space="preserve"> δικαιωμάτων</w:t>
      </w:r>
      <w:r w:rsidR="00556D44">
        <w:rPr>
          <w:rFonts w:cstheme="minorHAnsi"/>
          <w:color w:val="000000" w:themeColor="text1"/>
          <w:sz w:val="24"/>
          <w:szCs w:val="24"/>
          <w:lang w:val="el-GR"/>
        </w:rPr>
        <w:t xml:space="preserve"> και ελευθεριών του εν λόγω ατόμου</w:t>
      </w:r>
      <w:r w:rsidR="009C3867" w:rsidRPr="000E625E">
        <w:rPr>
          <w:rFonts w:cstheme="minorHAnsi"/>
          <w:color w:val="000000" w:themeColor="text1"/>
          <w:sz w:val="24"/>
          <w:szCs w:val="24"/>
          <w:lang w:val="el-GR"/>
        </w:rPr>
        <w:t xml:space="preserve">, </w:t>
      </w:r>
      <w:r w:rsidR="0051721B">
        <w:rPr>
          <w:rFonts w:cstheme="minorHAnsi"/>
          <w:color w:val="000000" w:themeColor="text1"/>
          <w:sz w:val="24"/>
          <w:szCs w:val="24"/>
          <w:lang w:val="el-GR"/>
        </w:rPr>
        <w:t xml:space="preserve">υποβάλλοντας </w:t>
      </w:r>
      <w:r w:rsidR="00556D44">
        <w:rPr>
          <w:rFonts w:cstheme="minorHAnsi"/>
          <w:color w:val="000000" w:themeColor="text1"/>
          <w:sz w:val="24"/>
          <w:szCs w:val="24"/>
          <w:lang w:val="el-GR"/>
        </w:rPr>
        <w:t>παράπονο στον Επίτροπο Πληροφοριών</w:t>
      </w:r>
      <w:r w:rsidR="00A5147D" w:rsidRPr="000E625E">
        <w:rPr>
          <w:rFonts w:cstheme="minorHAnsi"/>
          <w:color w:val="000000" w:themeColor="text1"/>
          <w:sz w:val="24"/>
          <w:szCs w:val="24"/>
          <w:lang w:val="el-GR"/>
        </w:rPr>
        <w:t xml:space="preserve">.  </w:t>
      </w:r>
      <w:bookmarkEnd w:id="71"/>
    </w:p>
    <w:p w14:paraId="7D632469" w14:textId="77777777" w:rsidR="00A5147D" w:rsidRPr="000E625E" w:rsidRDefault="00A5147D" w:rsidP="00A5147D">
      <w:pPr>
        <w:rPr>
          <w:rFonts w:eastAsia="Calibri" w:cstheme="minorHAnsi"/>
          <w:sz w:val="24"/>
          <w:szCs w:val="24"/>
          <w:lang w:val="el-GR"/>
        </w:rPr>
      </w:pPr>
    </w:p>
    <w:p w14:paraId="5F78C6C1" w14:textId="056C7EF3" w:rsidR="00A5147D" w:rsidRPr="002323D2" w:rsidRDefault="00556D44"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Οι</w:t>
      </w:r>
      <w:r w:rsidRPr="00556D44">
        <w:rPr>
          <w:rFonts w:cstheme="minorHAnsi"/>
          <w:sz w:val="24"/>
          <w:szCs w:val="24"/>
          <w:lang w:val="el-GR"/>
        </w:rPr>
        <w:t xml:space="preserve"> </w:t>
      </w:r>
      <w:r>
        <w:rPr>
          <w:rFonts w:cstheme="minorHAnsi"/>
          <w:sz w:val="24"/>
          <w:szCs w:val="24"/>
          <w:lang w:val="el-GR"/>
        </w:rPr>
        <w:t>δημόσιες</w:t>
      </w:r>
      <w:r w:rsidRPr="00556D44">
        <w:rPr>
          <w:rFonts w:cstheme="minorHAnsi"/>
          <w:sz w:val="24"/>
          <w:szCs w:val="24"/>
          <w:lang w:val="el-GR"/>
        </w:rPr>
        <w:t xml:space="preserve"> </w:t>
      </w:r>
      <w:r>
        <w:rPr>
          <w:rFonts w:cstheme="minorHAnsi"/>
          <w:sz w:val="24"/>
          <w:szCs w:val="24"/>
          <w:lang w:val="el-GR"/>
        </w:rPr>
        <w:t>αρχές</w:t>
      </w:r>
      <w:r w:rsidRPr="00556D44">
        <w:rPr>
          <w:rFonts w:cstheme="minorHAnsi"/>
          <w:sz w:val="24"/>
          <w:szCs w:val="24"/>
          <w:lang w:val="el-GR"/>
        </w:rPr>
        <w:t xml:space="preserve"> </w:t>
      </w:r>
      <w:r>
        <w:rPr>
          <w:rFonts w:cstheme="minorHAnsi"/>
          <w:sz w:val="24"/>
          <w:szCs w:val="24"/>
          <w:lang w:val="el-GR"/>
        </w:rPr>
        <w:t>θα</w:t>
      </w:r>
      <w:r w:rsidRPr="00556D44">
        <w:rPr>
          <w:rFonts w:cstheme="minorHAnsi"/>
          <w:sz w:val="24"/>
          <w:szCs w:val="24"/>
          <w:lang w:val="el-GR"/>
        </w:rPr>
        <w:t xml:space="preserve"> </w:t>
      </w:r>
      <w:r>
        <w:rPr>
          <w:rFonts w:cstheme="minorHAnsi"/>
          <w:sz w:val="24"/>
          <w:szCs w:val="24"/>
          <w:lang w:val="el-GR"/>
        </w:rPr>
        <w:t>επεξεργασθούν</w:t>
      </w:r>
      <w:r w:rsidRPr="00556D44">
        <w:rPr>
          <w:rFonts w:cstheme="minorHAnsi"/>
          <w:sz w:val="24"/>
          <w:szCs w:val="24"/>
          <w:lang w:val="el-GR"/>
        </w:rPr>
        <w:t xml:space="preserve"> </w:t>
      </w:r>
      <w:r>
        <w:rPr>
          <w:rFonts w:cstheme="minorHAnsi"/>
          <w:sz w:val="24"/>
          <w:szCs w:val="24"/>
          <w:lang w:val="el-GR"/>
        </w:rPr>
        <w:t>την</w:t>
      </w:r>
      <w:r w:rsidRPr="00556D44">
        <w:rPr>
          <w:rFonts w:cstheme="minorHAnsi"/>
          <w:sz w:val="24"/>
          <w:szCs w:val="24"/>
          <w:lang w:val="el-GR"/>
        </w:rPr>
        <w:t xml:space="preserve"> </w:t>
      </w:r>
      <w:r w:rsidR="00542502">
        <w:rPr>
          <w:rFonts w:cstheme="minorHAnsi"/>
          <w:sz w:val="24"/>
          <w:szCs w:val="24"/>
          <w:lang w:val="el-GR"/>
        </w:rPr>
        <w:t>αίτηση</w:t>
      </w:r>
      <w:r w:rsidRPr="00556D44">
        <w:rPr>
          <w:rFonts w:cstheme="minorHAnsi"/>
          <w:sz w:val="24"/>
          <w:szCs w:val="24"/>
          <w:lang w:val="el-GR"/>
        </w:rPr>
        <w:t xml:space="preserve"> </w:t>
      </w:r>
      <w:r>
        <w:rPr>
          <w:rFonts w:cstheme="minorHAnsi"/>
          <w:sz w:val="24"/>
          <w:szCs w:val="24"/>
          <w:lang w:val="el-GR"/>
        </w:rPr>
        <w:t>για</w:t>
      </w:r>
      <w:r w:rsidRPr="00556D44">
        <w:rPr>
          <w:rFonts w:cstheme="minorHAnsi"/>
          <w:sz w:val="24"/>
          <w:szCs w:val="24"/>
          <w:lang w:val="el-GR"/>
        </w:rPr>
        <w:t xml:space="preserve"> </w:t>
      </w:r>
      <w:r>
        <w:rPr>
          <w:rFonts w:cstheme="minorHAnsi"/>
          <w:sz w:val="24"/>
          <w:szCs w:val="24"/>
          <w:lang w:val="el-GR"/>
        </w:rPr>
        <w:t>πληροφορίες</w:t>
      </w:r>
      <w:r w:rsidR="00A5147D" w:rsidRPr="00556D44">
        <w:rPr>
          <w:rFonts w:cstheme="minorHAnsi"/>
          <w:sz w:val="24"/>
          <w:szCs w:val="24"/>
          <w:lang w:val="el-GR"/>
        </w:rPr>
        <w:t xml:space="preserve"> </w:t>
      </w:r>
      <w:r>
        <w:rPr>
          <w:rFonts w:cstheme="minorHAnsi"/>
          <w:sz w:val="24"/>
          <w:szCs w:val="24"/>
          <w:lang w:val="el-GR"/>
        </w:rPr>
        <w:t>εντός</w:t>
      </w:r>
      <w:r w:rsidR="00A5147D" w:rsidRPr="00556D44">
        <w:rPr>
          <w:rFonts w:cstheme="minorHAnsi"/>
          <w:sz w:val="24"/>
          <w:szCs w:val="24"/>
          <w:lang w:val="el-GR"/>
        </w:rPr>
        <w:t xml:space="preserve"> 30 </w:t>
      </w:r>
      <w:r>
        <w:rPr>
          <w:rFonts w:cstheme="minorHAnsi"/>
          <w:sz w:val="24"/>
          <w:szCs w:val="24"/>
          <w:lang w:val="el-GR"/>
        </w:rPr>
        <w:t>ημερών από την παραλαβή της</w:t>
      </w:r>
      <w:r w:rsidR="00A5147D" w:rsidRPr="00556D44">
        <w:rPr>
          <w:rFonts w:cstheme="minorHAnsi"/>
          <w:sz w:val="24"/>
          <w:szCs w:val="24"/>
          <w:lang w:val="el-GR"/>
        </w:rPr>
        <w:t xml:space="preserve">, </w:t>
      </w:r>
      <w:r>
        <w:rPr>
          <w:rFonts w:cstheme="minorHAnsi"/>
          <w:sz w:val="24"/>
          <w:szCs w:val="24"/>
          <w:lang w:val="el-GR"/>
        </w:rPr>
        <w:t>εκτός αν παρέχεται μεγαλύτερη περίοδος από τους κανονισμούς</w:t>
      </w:r>
      <w:r w:rsidR="00A5147D" w:rsidRPr="00556D44">
        <w:rPr>
          <w:rFonts w:cstheme="minorHAnsi"/>
          <w:sz w:val="24"/>
          <w:szCs w:val="24"/>
          <w:lang w:val="el-GR"/>
        </w:rPr>
        <w:t xml:space="preserve">. </w:t>
      </w:r>
      <w:r>
        <w:rPr>
          <w:rFonts w:cstheme="minorHAnsi"/>
          <w:sz w:val="24"/>
          <w:szCs w:val="24"/>
          <w:lang w:val="el-GR"/>
        </w:rPr>
        <w:t>Με</w:t>
      </w:r>
      <w:r w:rsidRPr="00556D44">
        <w:rPr>
          <w:rFonts w:cstheme="minorHAnsi"/>
          <w:sz w:val="24"/>
          <w:szCs w:val="24"/>
          <w:lang w:val="el-GR"/>
        </w:rPr>
        <w:t xml:space="preserve"> </w:t>
      </w:r>
      <w:r w:rsidR="00542502">
        <w:rPr>
          <w:rFonts w:cstheme="minorHAnsi"/>
          <w:sz w:val="24"/>
          <w:szCs w:val="24"/>
          <w:lang w:val="el-GR"/>
        </w:rPr>
        <w:t>αίτη</w:t>
      </w:r>
      <w:r w:rsidR="008D5A2C">
        <w:rPr>
          <w:rFonts w:cstheme="minorHAnsi"/>
          <w:sz w:val="24"/>
          <w:szCs w:val="24"/>
          <w:lang w:val="el-GR"/>
        </w:rPr>
        <w:t>μα</w:t>
      </w:r>
      <w:r w:rsidRPr="00556D44">
        <w:rPr>
          <w:rFonts w:cstheme="minorHAnsi"/>
          <w:sz w:val="24"/>
          <w:szCs w:val="24"/>
          <w:lang w:val="el-GR"/>
        </w:rPr>
        <w:t xml:space="preserve"> </w:t>
      </w:r>
      <w:r>
        <w:rPr>
          <w:rFonts w:cstheme="minorHAnsi"/>
          <w:sz w:val="24"/>
          <w:szCs w:val="24"/>
          <w:lang w:val="el-GR"/>
        </w:rPr>
        <w:t>μιας</w:t>
      </w:r>
      <w:r w:rsidRPr="00556D44">
        <w:rPr>
          <w:rFonts w:cstheme="minorHAnsi"/>
          <w:sz w:val="24"/>
          <w:szCs w:val="24"/>
          <w:lang w:val="el-GR"/>
        </w:rPr>
        <w:t xml:space="preserve"> </w:t>
      </w:r>
      <w:r>
        <w:rPr>
          <w:rFonts w:cstheme="minorHAnsi"/>
          <w:sz w:val="24"/>
          <w:szCs w:val="24"/>
          <w:lang w:val="el-GR"/>
        </w:rPr>
        <w:t>δημόσιας</w:t>
      </w:r>
      <w:r w:rsidRPr="00556D44">
        <w:rPr>
          <w:rFonts w:cstheme="minorHAnsi"/>
          <w:sz w:val="24"/>
          <w:szCs w:val="24"/>
          <w:lang w:val="el-GR"/>
        </w:rPr>
        <w:t xml:space="preserve"> </w:t>
      </w:r>
      <w:r>
        <w:rPr>
          <w:rFonts w:cstheme="minorHAnsi"/>
          <w:sz w:val="24"/>
          <w:szCs w:val="24"/>
          <w:lang w:val="el-GR"/>
        </w:rPr>
        <w:t>αρχής</w:t>
      </w:r>
      <w:r w:rsidR="00A5147D" w:rsidRPr="00556D44">
        <w:rPr>
          <w:rFonts w:cstheme="minorHAnsi"/>
          <w:sz w:val="24"/>
          <w:szCs w:val="24"/>
          <w:lang w:val="el-GR"/>
        </w:rPr>
        <w:t xml:space="preserve">, </w:t>
      </w:r>
      <w:r>
        <w:rPr>
          <w:rFonts w:cstheme="minorHAnsi"/>
          <w:sz w:val="24"/>
          <w:szCs w:val="24"/>
          <w:lang w:val="el-GR"/>
        </w:rPr>
        <w:t>και</w:t>
      </w:r>
      <w:r w:rsidRPr="00556D44">
        <w:rPr>
          <w:rFonts w:cstheme="minorHAnsi"/>
          <w:sz w:val="24"/>
          <w:szCs w:val="24"/>
          <w:lang w:val="el-GR"/>
        </w:rPr>
        <w:t xml:space="preserve"> </w:t>
      </w:r>
      <w:r>
        <w:rPr>
          <w:rFonts w:cstheme="minorHAnsi"/>
          <w:sz w:val="24"/>
          <w:szCs w:val="24"/>
          <w:lang w:val="el-GR"/>
        </w:rPr>
        <w:t>για</w:t>
      </w:r>
      <w:r w:rsidRPr="00556D44">
        <w:rPr>
          <w:rFonts w:cstheme="minorHAnsi"/>
          <w:sz w:val="24"/>
          <w:szCs w:val="24"/>
          <w:lang w:val="el-GR"/>
        </w:rPr>
        <w:t xml:space="preserve"> </w:t>
      </w:r>
      <w:r>
        <w:rPr>
          <w:rFonts w:cstheme="minorHAnsi"/>
          <w:sz w:val="24"/>
          <w:szCs w:val="24"/>
          <w:lang w:val="el-GR"/>
        </w:rPr>
        <w:t>αιτιολογημένους</w:t>
      </w:r>
      <w:r w:rsidRPr="00556D44">
        <w:rPr>
          <w:rFonts w:cstheme="minorHAnsi"/>
          <w:sz w:val="24"/>
          <w:szCs w:val="24"/>
          <w:lang w:val="el-GR"/>
        </w:rPr>
        <w:t xml:space="preserve"> </w:t>
      </w:r>
      <w:r>
        <w:rPr>
          <w:rFonts w:cstheme="minorHAnsi"/>
          <w:sz w:val="24"/>
          <w:szCs w:val="24"/>
          <w:lang w:val="el-GR"/>
        </w:rPr>
        <w:t>λόγους</w:t>
      </w:r>
      <w:r w:rsidR="00A5147D" w:rsidRPr="00556D44">
        <w:rPr>
          <w:rFonts w:cstheme="minorHAnsi"/>
          <w:sz w:val="24"/>
          <w:szCs w:val="24"/>
          <w:lang w:val="el-GR"/>
        </w:rPr>
        <w:t xml:space="preserve">, </w:t>
      </w:r>
      <w:r>
        <w:rPr>
          <w:rFonts w:cstheme="minorHAnsi"/>
          <w:sz w:val="24"/>
          <w:szCs w:val="24"/>
          <w:lang w:val="el-GR"/>
        </w:rPr>
        <w:t>ο Επίτροπος Πληροφοριών</w:t>
      </w:r>
      <w:r w:rsidR="00A5147D" w:rsidRPr="00556D44">
        <w:rPr>
          <w:rFonts w:cstheme="minorHAnsi"/>
          <w:sz w:val="24"/>
          <w:szCs w:val="24"/>
          <w:lang w:val="el-GR"/>
        </w:rPr>
        <w:t xml:space="preserve"> </w:t>
      </w:r>
      <w:r>
        <w:rPr>
          <w:rFonts w:cstheme="minorHAnsi"/>
          <w:sz w:val="24"/>
          <w:szCs w:val="24"/>
          <w:lang w:val="el-GR"/>
        </w:rPr>
        <w:t>μπορεί να επεκτείνει την προθεσμία</w:t>
      </w:r>
      <w:r w:rsidR="00A5147D" w:rsidRPr="00556D44">
        <w:rPr>
          <w:rFonts w:cstheme="minorHAnsi"/>
          <w:sz w:val="24"/>
          <w:szCs w:val="24"/>
          <w:lang w:val="el-GR"/>
        </w:rPr>
        <w:t xml:space="preserve">. </w:t>
      </w:r>
      <w:r>
        <w:rPr>
          <w:rFonts w:cstheme="minorHAnsi"/>
          <w:sz w:val="24"/>
          <w:szCs w:val="24"/>
          <w:lang w:val="el-GR"/>
        </w:rPr>
        <w:t>Σε</w:t>
      </w:r>
      <w:r w:rsidRPr="00556D44">
        <w:rPr>
          <w:rFonts w:cstheme="minorHAnsi"/>
          <w:sz w:val="24"/>
          <w:szCs w:val="24"/>
          <w:lang w:val="el-GR"/>
        </w:rPr>
        <w:t xml:space="preserve"> </w:t>
      </w:r>
      <w:r>
        <w:rPr>
          <w:rFonts w:cstheme="minorHAnsi"/>
          <w:sz w:val="24"/>
          <w:szCs w:val="24"/>
          <w:lang w:val="el-GR"/>
        </w:rPr>
        <w:t>κάποιες</w:t>
      </w:r>
      <w:r w:rsidRPr="00556D44">
        <w:rPr>
          <w:rFonts w:cstheme="minorHAnsi"/>
          <w:sz w:val="24"/>
          <w:szCs w:val="24"/>
          <w:lang w:val="el-GR"/>
        </w:rPr>
        <w:t xml:space="preserve"> </w:t>
      </w:r>
      <w:r>
        <w:rPr>
          <w:rFonts w:cstheme="minorHAnsi"/>
          <w:sz w:val="24"/>
          <w:szCs w:val="24"/>
          <w:lang w:val="el-GR"/>
        </w:rPr>
        <w:t>περιπτώσεις</w:t>
      </w:r>
      <w:r w:rsidR="00DA6430" w:rsidRPr="00556D44">
        <w:rPr>
          <w:rFonts w:cstheme="minorHAnsi"/>
          <w:bCs/>
          <w:sz w:val="24"/>
          <w:szCs w:val="24"/>
          <w:lang w:val="el-GR"/>
        </w:rPr>
        <w:t xml:space="preserve">, </w:t>
      </w:r>
      <w:r>
        <w:rPr>
          <w:rFonts w:cstheme="minorHAnsi"/>
          <w:bCs/>
          <w:sz w:val="24"/>
          <w:szCs w:val="24"/>
          <w:lang w:val="el-GR"/>
        </w:rPr>
        <w:t>ένα</w:t>
      </w:r>
      <w:r w:rsidRPr="00556D44">
        <w:rPr>
          <w:rFonts w:cstheme="minorHAnsi"/>
          <w:bCs/>
          <w:sz w:val="24"/>
          <w:szCs w:val="24"/>
          <w:lang w:val="el-GR"/>
        </w:rPr>
        <w:t xml:space="preserve"> </w:t>
      </w:r>
      <w:r>
        <w:rPr>
          <w:rFonts w:cstheme="minorHAnsi"/>
          <w:bCs/>
          <w:sz w:val="24"/>
          <w:szCs w:val="24"/>
          <w:lang w:val="el-GR"/>
        </w:rPr>
        <w:t>διοικητικό</w:t>
      </w:r>
      <w:r w:rsidRPr="00556D44">
        <w:rPr>
          <w:rFonts w:cstheme="minorHAnsi"/>
          <w:bCs/>
          <w:sz w:val="24"/>
          <w:szCs w:val="24"/>
          <w:lang w:val="el-GR"/>
        </w:rPr>
        <w:t xml:space="preserve"> </w:t>
      </w:r>
      <w:r>
        <w:rPr>
          <w:rFonts w:cstheme="minorHAnsi"/>
          <w:bCs/>
          <w:sz w:val="24"/>
          <w:szCs w:val="24"/>
          <w:lang w:val="el-GR"/>
        </w:rPr>
        <w:t>τέλος</w:t>
      </w:r>
      <w:r w:rsidRPr="00556D44">
        <w:rPr>
          <w:rFonts w:cstheme="minorHAnsi"/>
          <w:bCs/>
          <w:sz w:val="24"/>
          <w:szCs w:val="24"/>
          <w:lang w:val="el-GR"/>
        </w:rPr>
        <w:t xml:space="preserve"> </w:t>
      </w:r>
      <w:r>
        <w:rPr>
          <w:rFonts w:cstheme="minorHAnsi"/>
          <w:bCs/>
          <w:sz w:val="24"/>
          <w:szCs w:val="24"/>
          <w:lang w:val="el-GR"/>
        </w:rPr>
        <w:t>μπορεί</w:t>
      </w:r>
      <w:r w:rsidRPr="00556D44">
        <w:rPr>
          <w:rFonts w:cstheme="minorHAnsi"/>
          <w:bCs/>
          <w:sz w:val="24"/>
          <w:szCs w:val="24"/>
          <w:lang w:val="el-GR"/>
        </w:rPr>
        <w:t xml:space="preserve"> </w:t>
      </w:r>
      <w:r>
        <w:rPr>
          <w:rFonts w:cstheme="minorHAnsi"/>
          <w:bCs/>
          <w:sz w:val="24"/>
          <w:szCs w:val="24"/>
          <w:lang w:val="el-GR"/>
        </w:rPr>
        <w:t>να</w:t>
      </w:r>
      <w:r w:rsidRPr="00556D44">
        <w:rPr>
          <w:rFonts w:cstheme="minorHAnsi"/>
          <w:bCs/>
          <w:sz w:val="24"/>
          <w:szCs w:val="24"/>
          <w:lang w:val="el-GR"/>
        </w:rPr>
        <w:t xml:space="preserve"> </w:t>
      </w:r>
      <w:r>
        <w:rPr>
          <w:rFonts w:cstheme="minorHAnsi"/>
          <w:bCs/>
          <w:sz w:val="24"/>
          <w:szCs w:val="24"/>
          <w:lang w:val="el-GR"/>
        </w:rPr>
        <w:t>ισχύει</w:t>
      </w:r>
      <w:r w:rsidR="00A5147D" w:rsidRPr="00556D44">
        <w:rPr>
          <w:rFonts w:cstheme="minorHAnsi"/>
          <w:bCs/>
          <w:sz w:val="24"/>
          <w:szCs w:val="24"/>
          <w:lang w:val="el-GR"/>
        </w:rPr>
        <w:t xml:space="preserve">, </w:t>
      </w:r>
      <w:r>
        <w:rPr>
          <w:rFonts w:cstheme="minorHAnsi"/>
          <w:bCs/>
          <w:sz w:val="24"/>
          <w:szCs w:val="24"/>
          <w:lang w:val="el-GR"/>
        </w:rPr>
        <w:t>παρόλο</w:t>
      </w:r>
      <w:r w:rsidRPr="00556D44">
        <w:rPr>
          <w:rFonts w:cstheme="minorHAnsi"/>
          <w:bCs/>
          <w:sz w:val="24"/>
          <w:szCs w:val="24"/>
          <w:lang w:val="el-GR"/>
        </w:rPr>
        <w:t xml:space="preserve"> </w:t>
      </w:r>
      <w:r>
        <w:rPr>
          <w:rFonts w:cstheme="minorHAnsi"/>
          <w:bCs/>
          <w:sz w:val="24"/>
          <w:szCs w:val="24"/>
          <w:lang w:val="el-GR"/>
        </w:rPr>
        <w:t>ότι</w:t>
      </w:r>
      <w:r w:rsidR="00A5147D" w:rsidRPr="00556D44">
        <w:rPr>
          <w:rFonts w:cstheme="minorHAnsi"/>
          <w:bCs/>
          <w:sz w:val="24"/>
          <w:szCs w:val="24"/>
          <w:lang w:val="el-GR"/>
        </w:rPr>
        <w:t xml:space="preserve"> </w:t>
      </w:r>
      <w:r>
        <w:rPr>
          <w:rFonts w:cstheme="minorHAnsi"/>
          <w:bCs/>
          <w:sz w:val="24"/>
          <w:szCs w:val="24"/>
          <w:lang w:val="el-GR"/>
        </w:rPr>
        <w:t>ο</w:t>
      </w:r>
      <w:r w:rsidRPr="00556D44">
        <w:rPr>
          <w:rFonts w:cstheme="minorHAnsi"/>
          <w:bCs/>
          <w:sz w:val="24"/>
          <w:szCs w:val="24"/>
          <w:lang w:val="el-GR"/>
        </w:rPr>
        <w:t xml:space="preserve"> </w:t>
      </w:r>
      <w:r>
        <w:rPr>
          <w:rFonts w:cstheme="minorHAnsi"/>
          <w:bCs/>
          <w:sz w:val="24"/>
          <w:szCs w:val="24"/>
          <w:lang w:val="el-GR"/>
        </w:rPr>
        <w:t>Νόμος</w:t>
      </w:r>
      <w:r w:rsidR="00A5147D" w:rsidRPr="00556D44">
        <w:rPr>
          <w:rFonts w:cstheme="minorHAnsi"/>
          <w:color w:val="000000" w:themeColor="text1"/>
          <w:sz w:val="24"/>
          <w:szCs w:val="24"/>
          <w:lang w:val="el-GR"/>
        </w:rPr>
        <w:t xml:space="preserve"> 184(</w:t>
      </w:r>
      <w:r w:rsidR="00A5147D" w:rsidRPr="004E251E">
        <w:rPr>
          <w:rFonts w:cstheme="minorHAnsi"/>
          <w:color w:val="000000" w:themeColor="text1"/>
          <w:sz w:val="24"/>
          <w:szCs w:val="24"/>
        </w:rPr>
        <w:t>I</w:t>
      </w:r>
      <w:r w:rsidR="00A5147D" w:rsidRPr="00556D44">
        <w:rPr>
          <w:rFonts w:cstheme="minorHAnsi"/>
          <w:color w:val="000000" w:themeColor="text1"/>
          <w:sz w:val="24"/>
          <w:szCs w:val="24"/>
          <w:lang w:val="el-GR"/>
        </w:rPr>
        <w:t xml:space="preserve">)/2017 </w:t>
      </w:r>
      <w:r>
        <w:rPr>
          <w:rFonts w:cstheme="minorHAnsi"/>
          <w:color w:val="000000" w:themeColor="text1"/>
          <w:sz w:val="24"/>
          <w:szCs w:val="24"/>
          <w:lang w:val="el-GR"/>
        </w:rPr>
        <w:t>προβλέπει ότι</w:t>
      </w:r>
      <w:r w:rsidR="00A5147D" w:rsidRPr="00556D44">
        <w:rPr>
          <w:rFonts w:cstheme="minorHAnsi"/>
          <w:color w:val="000000" w:themeColor="text1"/>
          <w:sz w:val="24"/>
          <w:szCs w:val="24"/>
          <w:lang w:val="el-GR"/>
        </w:rPr>
        <w:t xml:space="preserve">, </w:t>
      </w:r>
      <w:r>
        <w:rPr>
          <w:rFonts w:cstheme="minorHAnsi"/>
          <w:color w:val="000000" w:themeColor="text1"/>
          <w:sz w:val="24"/>
          <w:szCs w:val="24"/>
          <w:lang w:val="el-GR"/>
        </w:rPr>
        <w:t>ως κανόνας</w:t>
      </w:r>
      <w:r w:rsidR="00A5147D" w:rsidRPr="00556D44">
        <w:rPr>
          <w:rFonts w:cstheme="minorHAnsi"/>
          <w:color w:val="000000" w:themeColor="text1"/>
          <w:sz w:val="24"/>
          <w:szCs w:val="24"/>
          <w:lang w:val="el-GR"/>
        </w:rPr>
        <w:t xml:space="preserve">, </w:t>
      </w:r>
      <w:r>
        <w:rPr>
          <w:rFonts w:cstheme="minorHAnsi"/>
          <w:color w:val="000000" w:themeColor="text1"/>
          <w:sz w:val="24"/>
          <w:szCs w:val="24"/>
          <w:lang w:val="el-GR"/>
        </w:rPr>
        <w:t>η πρόσβαση σε δημόσια έγγραφα πρέπει να είναι χωρίς καμιά χρέωση</w:t>
      </w:r>
      <w:r w:rsidR="00A5147D" w:rsidRPr="00556D44">
        <w:rPr>
          <w:rFonts w:cstheme="minorHAnsi"/>
          <w:bCs/>
          <w:sz w:val="24"/>
          <w:szCs w:val="24"/>
          <w:lang w:val="el-GR"/>
        </w:rPr>
        <w:t xml:space="preserve">. </w:t>
      </w:r>
      <w:r>
        <w:rPr>
          <w:rFonts w:cstheme="minorHAnsi"/>
          <w:bCs/>
          <w:sz w:val="24"/>
          <w:szCs w:val="24"/>
          <w:lang w:val="el-GR"/>
        </w:rPr>
        <w:t>Για</w:t>
      </w:r>
      <w:r w:rsidRPr="00556D44">
        <w:rPr>
          <w:rFonts w:cstheme="minorHAnsi"/>
          <w:bCs/>
          <w:sz w:val="24"/>
          <w:szCs w:val="24"/>
          <w:lang w:val="el-GR"/>
        </w:rPr>
        <w:t xml:space="preserve"> </w:t>
      </w:r>
      <w:r>
        <w:rPr>
          <w:rFonts w:cstheme="minorHAnsi"/>
          <w:bCs/>
          <w:sz w:val="24"/>
          <w:szCs w:val="24"/>
          <w:lang w:val="el-GR"/>
        </w:rPr>
        <w:t>παράδειγμα</w:t>
      </w:r>
      <w:r w:rsidR="00A5147D" w:rsidRPr="00556D44">
        <w:rPr>
          <w:rFonts w:cstheme="minorHAnsi"/>
          <w:bCs/>
          <w:sz w:val="24"/>
          <w:szCs w:val="24"/>
          <w:lang w:val="el-GR"/>
        </w:rPr>
        <w:t xml:space="preserve">, </w:t>
      </w:r>
      <w:r>
        <w:rPr>
          <w:rFonts w:cstheme="minorHAnsi"/>
          <w:bCs/>
          <w:sz w:val="24"/>
          <w:szCs w:val="24"/>
          <w:lang w:val="el-GR"/>
        </w:rPr>
        <w:t>κάποιο</w:t>
      </w:r>
      <w:r w:rsidRPr="00556D44">
        <w:rPr>
          <w:rFonts w:cstheme="minorHAnsi"/>
          <w:bCs/>
          <w:sz w:val="24"/>
          <w:szCs w:val="24"/>
          <w:lang w:val="el-GR"/>
        </w:rPr>
        <w:t xml:space="preserve"> </w:t>
      </w:r>
      <w:r>
        <w:rPr>
          <w:rFonts w:cstheme="minorHAnsi"/>
          <w:bCs/>
          <w:sz w:val="24"/>
          <w:szCs w:val="24"/>
          <w:lang w:val="el-GR"/>
        </w:rPr>
        <w:t>τέλος</w:t>
      </w:r>
      <w:r w:rsidRPr="00556D44">
        <w:rPr>
          <w:rFonts w:cstheme="minorHAnsi"/>
          <w:bCs/>
          <w:sz w:val="24"/>
          <w:szCs w:val="24"/>
          <w:lang w:val="el-GR"/>
        </w:rPr>
        <w:t xml:space="preserve"> </w:t>
      </w:r>
      <w:r>
        <w:rPr>
          <w:rFonts w:cstheme="minorHAnsi"/>
          <w:bCs/>
          <w:sz w:val="24"/>
          <w:szCs w:val="24"/>
          <w:lang w:val="el-GR"/>
        </w:rPr>
        <w:t>μπορεί</w:t>
      </w:r>
      <w:r w:rsidRPr="00556D44">
        <w:rPr>
          <w:rFonts w:cstheme="minorHAnsi"/>
          <w:bCs/>
          <w:sz w:val="24"/>
          <w:szCs w:val="24"/>
          <w:lang w:val="el-GR"/>
        </w:rPr>
        <w:t xml:space="preserve"> </w:t>
      </w:r>
      <w:r>
        <w:rPr>
          <w:rFonts w:cstheme="minorHAnsi"/>
          <w:bCs/>
          <w:sz w:val="24"/>
          <w:szCs w:val="24"/>
          <w:lang w:val="el-GR"/>
        </w:rPr>
        <w:t>να</w:t>
      </w:r>
      <w:r w:rsidRPr="00556D44">
        <w:rPr>
          <w:rFonts w:cstheme="minorHAnsi"/>
          <w:bCs/>
          <w:sz w:val="24"/>
          <w:szCs w:val="24"/>
          <w:lang w:val="el-GR"/>
        </w:rPr>
        <w:t xml:space="preserve"> </w:t>
      </w:r>
      <w:r>
        <w:rPr>
          <w:rFonts w:cstheme="minorHAnsi"/>
          <w:bCs/>
          <w:sz w:val="24"/>
          <w:szCs w:val="24"/>
          <w:lang w:val="el-GR"/>
        </w:rPr>
        <w:t>ισχύει</w:t>
      </w:r>
      <w:r w:rsidRPr="00556D44">
        <w:rPr>
          <w:rFonts w:cstheme="minorHAnsi"/>
          <w:bCs/>
          <w:sz w:val="24"/>
          <w:szCs w:val="24"/>
          <w:lang w:val="el-GR"/>
        </w:rPr>
        <w:t xml:space="preserve"> </w:t>
      </w:r>
      <w:r>
        <w:rPr>
          <w:rFonts w:cstheme="minorHAnsi"/>
          <w:bCs/>
          <w:sz w:val="24"/>
          <w:szCs w:val="24"/>
          <w:lang w:val="el-GR"/>
        </w:rPr>
        <w:t>αν</w:t>
      </w:r>
      <w:r w:rsidRPr="00556D44">
        <w:rPr>
          <w:rFonts w:cstheme="minorHAnsi"/>
          <w:bCs/>
          <w:sz w:val="24"/>
          <w:szCs w:val="24"/>
          <w:lang w:val="el-GR"/>
        </w:rPr>
        <w:t xml:space="preserve"> </w:t>
      </w:r>
      <w:r>
        <w:rPr>
          <w:rFonts w:cstheme="minorHAnsi"/>
          <w:bCs/>
          <w:sz w:val="24"/>
          <w:szCs w:val="24"/>
          <w:lang w:val="el-GR"/>
        </w:rPr>
        <w:t>η</w:t>
      </w:r>
      <w:r w:rsidRPr="00556D44">
        <w:rPr>
          <w:rFonts w:cstheme="minorHAnsi"/>
          <w:bCs/>
          <w:sz w:val="24"/>
          <w:szCs w:val="24"/>
          <w:lang w:val="el-GR"/>
        </w:rPr>
        <w:t xml:space="preserve"> </w:t>
      </w:r>
      <w:r w:rsidR="00542502">
        <w:rPr>
          <w:rFonts w:cstheme="minorHAnsi"/>
          <w:bCs/>
          <w:sz w:val="24"/>
          <w:szCs w:val="24"/>
          <w:lang w:val="el-GR"/>
        </w:rPr>
        <w:t>αίτηση</w:t>
      </w:r>
      <w:r w:rsidRPr="00556D44">
        <w:rPr>
          <w:rFonts w:cstheme="minorHAnsi"/>
          <w:bCs/>
          <w:sz w:val="24"/>
          <w:szCs w:val="24"/>
          <w:lang w:val="el-GR"/>
        </w:rPr>
        <w:t xml:space="preserve"> </w:t>
      </w:r>
      <w:r>
        <w:rPr>
          <w:rFonts w:cstheme="minorHAnsi"/>
          <w:bCs/>
          <w:sz w:val="24"/>
          <w:szCs w:val="24"/>
          <w:lang w:val="el-GR"/>
        </w:rPr>
        <w:t>για</w:t>
      </w:r>
      <w:r w:rsidRPr="00556D44">
        <w:rPr>
          <w:rFonts w:cstheme="minorHAnsi"/>
          <w:bCs/>
          <w:sz w:val="24"/>
          <w:szCs w:val="24"/>
          <w:lang w:val="el-GR"/>
        </w:rPr>
        <w:t xml:space="preserve"> </w:t>
      </w:r>
      <w:r>
        <w:rPr>
          <w:rFonts w:cstheme="minorHAnsi"/>
          <w:bCs/>
          <w:sz w:val="24"/>
          <w:szCs w:val="24"/>
          <w:lang w:val="el-GR"/>
        </w:rPr>
        <w:t>πρόσβαση</w:t>
      </w:r>
      <w:r w:rsidRPr="00556D44">
        <w:rPr>
          <w:rFonts w:cstheme="minorHAnsi"/>
          <w:bCs/>
          <w:sz w:val="24"/>
          <w:szCs w:val="24"/>
          <w:lang w:val="el-GR"/>
        </w:rPr>
        <w:t xml:space="preserve"> </w:t>
      </w:r>
      <w:r>
        <w:rPr>
          <w:rFonts w:cstheme="minorHAnsi"/>
          <w:bCs/>
          <w:sz w:val="24"/>
          <w:szCs w:val="24"/>
          <w:lang w:val="el-GR"/>
        </w:rPr>
        <w:t>σε</w:t>
      </w:r>
      <w:r w:rsidRPr="00556D44">
        <w:rPr>
          <w:rFonts w:cstheme="minorHAnsi"/>
          <w:bCs/>
          <w:sz w:val="24"/>
          <w:szCs w:val="24"/>
          <w:lang w:val="el-GR"/>
        </w:rPr>
        <w:t xml:space="preserve"> </w:t>
      </w:r>
      <w:r>
        <w:rPr>
          <w:rFonts w:cstheme="minorHAnsi"/>
          <w:bCs/>
          <w:sz w:val="24"/>
          <w:szCs w:val="24"/>
          <w:lang w:val="el-GR"/>
        </w:rPr>
        <w:t>πληροφορίες εμπλέκει τόμους εγγράφων</w:t>
      </w:r>
      <w:r w:rsidR="00A5147D" w:rsidRPr="00556D44">
        <w:rPr>
          <w:rFonts w:cstheme="minorHAnsi"/>
          <w:bCs/>
          <w:sz w:val="24"/>
          <w:szCs w:val="24"/>
          <w:lang w:val="el-GR"/>
        </w:rPr>
        <w:t xml:space="preserve"> </w:t>
      </w:r>
      <w:r>
        <w:rPr>
          <w:rFonts w:cstheme="minorHAnsi"/>
          <w:bCs/>
          <w:sz w:val="24"/>
          <w:szCs w:val="24"/>
          <w:lang w:val="el-GR"/>
        </w:rPr>
        <w:t>που πρέπει να αντιγραφούν</w:t>
      </w:r>
      <w:r w:rsidR="00A5147D" w:rsidRPr="00556D44">
        <w:rPr>
          <w:rFonts w:cstheme="minorHAnsi"/>
          <w:bCs/>
          <w:sz w:val="24"/>
          <w:szCs w:val="24"/>
          <w:lang w:val="el-GR"/>
        </w:rPr>
        <w:t xml:space="preserve"> </w:t>
      </w:r>
      <w:r>
        <w:rPr>
          <w:rFonts w:cstheme="minorHAnsi"/>
          <w:bCs/>
          <w:sz w:val="24"/>
          <w:szCs w:val="24"/>
          <w:lang w:val="el-GR"/>
        </w:rPr>
        <w:t>ή πολλές ώρες για τον εντοπισμό τους</w:t>
      </w:r>
      <w:r w:rsidR="00A5147D" w:rsidRPr="00556D44">
        <w:rPr>
          <w:rFonts w:cstheme="minorHAnsi"/>
          <w:bCs/>
          <w:sz w:val="24"/>
          <w:szCs w:val="24"/>
          <w:lang w:val="el-GR"/>
        </w:rPr>
        <w:t xml:space="preserve">. </w:t>
      </w:r>
      <w:r>
        <w:rPr>
          <w:rFonts w:cstheme="minorHAnsi"/>
          <w:bCs/>
          <w:sz w:val="24"/>
          <w:szCs w:val="24"/>
          <w:lang w:val="el-GR"/>
        </w:rPr>
        <w:t>Η</w:t>
      </w:r>
      <w:r w:rsidRPr="00556D44">
        <w:rPr>
          <w:rFonts w:cstheme="minorHAnsi"/>
          <w:bCs/>
          <w:sz w:val="24"/>
          <w:szCs w:val="24"/>
          <w:lang w:val="el-GR"/>
        </w:rPr>
        <w:t xml:space="preserve"> </w:t>
      </w:r>
      <w:r>
        <w:rPr>
          <w:rFonts w:cstheme="minorHAnsi"/>
          <w:bCs/>
          <w:sz w:val="24"/>
          <w:szCs w:val="24"/>
          <w:lang w:val="el-GR"/>
        </w:rPr>
        <w:t>δημόσια</w:t>
      </w:r>
      <w:r w:rsidRPr="00556D44">
        <w:rPr>
          <w:rFonts w:cstheme="minorHAnsi"/>
          <w:bCs/>
          <w:sz w:val="24"/>
          <w:szCs w:val="24"/>
          <w:lang w:val="el-GR"/>
        </w:rPr>
        <w:t xml:space="preserve"> </w:t>
      </w:r>
      <w:r>
        <w:rPr>
          <w:rFonts w:cstheme="minorHAnsi"/>
          <w:bCs/>
          <w:sz w:val="24"/>
          <w:szCs w:val="24"/>
          <w:lang w:val="el-GR"/>
        </w:rPr>
        <w:t>αρχή</w:t>
      </w:r>
      <w:r w:rsidRPr="00556D44">
        <w:rPr>
          <w:rFonts w:cstheme="minorHAnsi"/>
          <w:bCs/>
          <w:sz w:val="24"/>
          <w:szCs w:val="24"/>
          <w:lang w:val="el-GR"/>
        </w:rPr>
        <w:t xml:space="preserve"> </w:t>
      </w:r>
      <w:r>
        <w:rPr>
          <w:rFonts w:cstheme="minorHAnsi"/>
          <w:bCs/>
          <w:sz w:val="24"/>
          <w:szCs w:val="24"/>
          <w:lang w:val="el-GR"/>
        </w:rPr>
        <w:t>πρέπει</w:t>
      </w:r>
      <w:r w:rsidRPr="00556D44">
        <w:rPr>
          <w:rFonts w:cstheme="minorHAnsi"/>
          <w:bCs/>
          <w:sz w:val="24"/>
          <w:szCs w:val="24"/>
          <w:lang w:val="el-GR"/>
        </w:rPr>
        <w:t xml:space="preserve"> </w:t>
      </w:r>
      <w:r>
        <w:rPr>
          <w:rFonts w:cstheme="minorHAnsi"/>
          <w:bCs/>
          <w:sz w:val="24"/>
          <w:szCs w:val="24"/>
          <w:lang w:val="el-GR"/>
        </w:rPr>
        <w:t>να</w:t>
      </w:r>
      <w:r w:rsidRPr="00556D44">
        <w:rPr>
          <w:rFonts w:cstheme="minorHAnsi"/>
          <w:bCs/>
          <w:sz w:val="24"/>
          <w:szCs w:val="24"/>
          <w:lang w:val="el-GR"/>
        </w:rPr>
        <w:t xml:space="preserve"> </w:t>
      </w:r>
      <w:r>
        <w:rPr>
          <w:rFonts w:cstheme="minorHAnsi"/>
          <w:bCs/>
          <w:sz w:val="24"/>
          <w:szCs w:val="24"/>
          <w:lang w:val="el-GR"/>
        </w:rPr>
        <w:t>ενημερώσει</w:t>
      </w:r>
      <w:r w:rsidRPr="00556D44">
        <w:rPr>
          <w:rFonts w:cstheme="minorHAnsi"/>
          <w:bCs/>
          <w:sz w:val="24"/>
          <w:szCs w:val="24"/>
          <w:lang w:val="el-GR"/>
        </w:rPr>
        <w:t xml:space="preserve"> </w:t>
      </w:r>
      <w:r>
        <w:rPr>
          <w:rFonts w:cstheme="minorHAnsi"/>
          <w:bCs/>
          <w:sz w:val="24"/>
          <w:szCs w:val="24"/>
          <w:lang w:val="el-GR"/>
        </w:rPr>
        <w:t>τον</w:t>
      </w:r>
      <w:r w:rsidRPr="00556D44">
        <w:rPr>
          <w:rFonts w:cstheme="minorHAnsi"/>
          <w:bCs/>
          <w:sz w:val="24"/>
          <w:szCs w:val="24"/>
          <w:lang w:val="el-GR"/>
        </w:rPr>
        <w:t xml:space="preserve"> </w:t>
      </w:r>
      <w:proofErr w:type="spellStart"/>
      <w:r>
        <w:rPr>
          <w:rFonts w:cstheme="minorHAnsi"/>
          <w:bCs/>
          <w:sz w:val="24"/>
          <w:szCs w:val="24"/>
          <w:lang w:val="el-GR"/>
        </w:rPr>
        <w:t>αιτητή</w:t>
      </w:r>
      <w:proofErr w:type="spellEnd"/>
      <w:r w:rsidR="00A5147D" w:rsidRPr="00556D44">
        <w:rPr>
          <w:rFonts w:cstheme="minorHAnsi"/>
          <w:bCs/>
          <w:sz w:val="24"/>
          <w:szCs w:val="24"/>
          <w:lang w:val="el-GR"/>
        </w:rPr>
        <w:t xml:space="preserve"> </w:t>
      </w:r>
      <w:r>
        <w:rPr>
          <w:rFonts w:cstheme="minorHAnsi"/>
          <w:bCs/>
          <w:sz w:val="24"/>
          <w:szCs w:val="24"/>
          <w:lang w:val="el-GR"/>
        </w:rPr>
        <w:t>για</w:t>
      </w:r>
      <w:r w:rsidRPr="00556D44">
        <w:rPr>
          <w:rFonts w:cstheme="minorHAnsi"/>
          <w:bCs/>
          <w:sz w:val="24"/>
          <w:szCs w:val="24"/>
          <w:lang w:val="el-GR"/>
        </w:rPr>
        <w:t xml:space="preserve"> </w:t>
      </w:r>
      <w:r>
        <w:rPr>
          <w:rFonts w:cstheme="minorHAnsi"/>
          <w:bCs/>
          <w:sz w:val="24"/>
          <w:szCs w:val="24"/>
          <w:lang w:val="el-GR"/>
        </w:rPr>
        <w:t>το</w:t>
      </w:r>
      <w:r w:rsidRPr="00556D44">
        <w:rPr>
          <w:rFonts w:cstheme="minorHAnsi"/>
          <w:bCs/>
          <w:sz w:val="24"/>
          <w:szCs w:val="24"/>
          <w:lang w:val="el-GR"/>
        </w:rPr>
        <w:t xml:space="preserve"> </w:t>
      </w:r>
      <w:r>
        <w:rPr>
          <w:rFonts w:cstheme="minorHAnsi"/>
          <w:bCs/>
          <w:sz w:val="24"/>
          <w:szCs w:val="24"/>
          <w:lang w:val="el-GR"/>
        </w:rPr>
        <w:t>τέλος</w:t>
      </w:r>
      <w:r w:rsidR="00A5147D" w:rsidRPr="00556D44">
        <w:rPr>
          <w:rFonts w:cstheme="minorHAnsi"/>
          <w:bCs/>
          <w:sz w:val="24"/>
          <w:szCs w:val="24"/>
          <w:lang w:val="el-GR"/>
        </w:rPr>
        <w:t xml:space="preserve"> </w:t>
      </w:r>
      <w:r>
        <w:rPr>
          <w:rFonts w:cstheme="minorHAnsi"/>
          <w:bCs/>
          <w:sz w:val="24"/>
          <w:szCs w:val="24"/>
          <w:lang w:val="el-GR"/>
        </w:rPr>
        <w:t xml:space="preserve">και για την τρίμηνη </w:t>
      </w:r>
      <w:r w:rsidR="002323D2">
        <w:rPr>
          <w:rFonts w:cstheme="minorHAnsi"/>
          <w:bCs/>
          <w:sz w:val="24"/>
          <w:szCs w:val="24"/>
          <w:lang w:val="el-GR"/>
        </w:rPr>
        <w:t xml:space="preserve">νομοθετημένη </w:t>
      </w:r>
      <w:r>
        <w:rPr>
          <w:rFonts w:cstheme="minorHAnsi"/>
          <w:bCs/>
          <w:sz w:val="24"/>
          <w:szCs w:val="24"/>
          <w:lang w:val="el-GR"/>
        </w:rPr>
        <w:t>προθεσμία</w:t>
      </w:r>
      <w:r w:rsidR="00A5147D" w:rsidRPr="00556D44">
        <w:rPr>
          <w:rFonts w:cstheme="minorHAnsi"/>
          <w:bCs/>
          <w:sz w:val="24"/>
          <w:szCs w:val="24"/>
          <w:lang w:val="el-GR"/>
        </w:rPr>
        <w:t xml:space="preserve"> (90 </w:t>
      </w:r>
      <w:r w:rsidR="002323D2">
        <w:rPr>
          <w:rFonts w:cstheme="minorHAnsi"/>
          <w:bCs/>
          <w:sz w:val="24"/>
          <w:szCs w:val="24"/>
          <w:lang w:val="el-GR"/>
        </w:rPr>
        <w:t>μέρες</w:t>
      </w:r>
      <w:r w:rsidR="00A5147D" w:rsidRPr="00556D44">
        <w:rPr>
          <w:rFonts w:cstheme="minorHAnsi"/>
          <w:bCs/>
          <w:sz w:val="24"/>
          <w:szCs w:val="24"/>
          <w:lang w:val="el-GR"/>
        </w:rPr>
        <w:t xml:space="preserve">) </w:t>
      </w:r>
      <w:r w:rsidR="002323D2">
        <w:rPr>
          <w:rFonts w:cstheme="minorHAnsi"/>
          <w:bCs/>
          <w:sz w:val="24"/>
          <w:szCs w:val="24"/>
          <w:lang w:val="el-GR"/>
        </w:rPr>
        <w:t>που ισχύει για την πληρωμή του</w:t>
      </w:r>
      <w:r w:rsidR="00A5147D" w:rsidRPr="00556D44">
        <w:rPr>
          <w:rFonts w:cstheme="minorHAnsi"/>
          <w:bCs/>
          <w:sz w:val="24"/>
          <w:szCs w:val="24"/>
          <w:lang w:val="el-GR"/>
        </w:rPr>
        <w:t xml:space="preserve">. </w:t>
      </w:r>
      <w:r w:rsidR="002323D2">
        <w:rPr>
          <w:rFonts w:cstheme="minorHAnsi"/>
          <w:bCs/>
          <w:sz w:val="24"/>
          <w:szCs w:val="24"/>
          <w:lang w:val="el-GR"/>
        </w:rPr>
        <w:t>Η</w:t>
      </w:r>
      <w:r w:rsidR="002323D2" w:rsidRPr="002323D2">
        <w:rPr>
          <w:rFonts w:cstheme="minorHAnsi"/>
          <w:bCs/>
          <w:sz w:val="24"/>
          <w:szCs w:val="24"/>
          <w:lang w:val="el-GR"/>
        </w:rPr>
        <w:t xml:space="preserve"> </w:t>
      </w:r>
      <w:r w:rsidR="002323D2">
        <w:rPr>
          <w:rFonts w:cstheme="minorHAnsi"/>
          <w:bCs/>
          <w:sz w:val="24"/>
          <w:szCs w:val="24"/>
          <w:lang w:val="el-GR"/>
        </w:rPr>
        <w:t>δημόσια</w:t>
      </w:r>
      <w:r w:rsidR="002323D2" w:rsidRPr="002323D2">
        <w:rPr>
          <w:rFonts w:cstheme="minorHAnsi"/>
          <w:bCs/>
          <w:sz w:val="24"/>
          <w:szCs w:val="24"/>
          <w:lang w:val="el-GR"/>
        </w:rPr>
        <w:t xml:space="preserve"> </w:t>
      </w:r>
      <w:r w:rsidR="002323D2">
        <w:rPr>
          <w:rFonts w:cstheme="minorHAnsi"/>
          <w:bCs/>
          <w:sz w:val="24"/>
          <w:szCs w:val="24"/>
          <w:lang w:val="el-GR"/>
        </w:rPr>
        <w:t>αρχή</w:t>
      </w:r>
      <w:r w:rsidR="002323D2" w:rsidRPr="002323D2">
        <w:rPr>
          <w:rFonts w:cstheme="minorHAnsi"/>
          <w:bCs/>
          <w:sz w:val="24"/>
          <w:szCs w:val="24"/>
          <w:lang w:val="el-GR"/>
        </w:rPr>
        <w:t xml:space="preserve"> </w:t>
      </w:r>
      <w:r w:rsidR="002323D2">
        <w:rPr>
          <w:rFonts w:cstheme="minorHAnsi"/>
          <w:bCs/>
          <w:sz w:val="24"/>
          <w:szCs w:val="24"/>
          <w:lang w:val="el-GR"/>
        </w:rPr>
        <w:t>έχει</w:t>
      </w:r>
      <w:r w:rsidR="002323D2" w:rsidRPr="002323D2">
        <w:rPr>
          <w:rFonts w:cstheme="minorHAnsi"/>
          <w:bCs/>
          <w:sz w:val="24"/>
          <w:szCs w:val="24"/>
          <w:lang w:val="el-GR"/>
        </w:rPr>
        <w:t xml:space="preserve"> </w:t>
      </w:r>
      <w:r w:rsidR="00A5147D" w:rsidRPr="002323D2">
        <w:rPr>
          <w:rFonts w:cstheme="minorHAnsi"/>
          <w:bCs/>
          <w:sz w:val="24"/>
          <w:szCs w:val="24"/>
          <w:lang w:val="el-GR"/>
        </w:rPr>
        <w:t xml:space="preserve">30 </w:t>
      </w:r>
      <w:r w:rsidR="002323D2">
        <w:rPr>
          <w:rFonts w:cstheme="minorHAnsi"/>
          <w:bCs/>
          <w:sz w:val="24"/>
          <w:szCs w:val="24"/>
          <w:lang w:val="el-GR"/>
        </w:rPr>
        <w:t>μέρες</w:t>
      </w:r>
      <w:r w:rsidR="00A5147D" w:rsidRPr="002323D2">
        <w:rPr>
          <w:rFonts w:cstheme="minorHAnsi"/>
          <w:bCs/>
          <w:sz w:val="24"/>
          <w:szCs w:val="24"/>
          <w:lang w:val="el-GR"/>
        </w:rPr>
        <w:t xml:space="preserve"> </w:t>
      </w:r>
      <w:r w:rsidR="002323D2">
        <w:rPr>
          <w:rFonts w:cstheme="minorHAnsi"/>
          <w:bCs/>
          <w:sz w:val="24"/>
          <w:szCs w:val="24"/>
          <w:lang w:val="el-GR"/>
        </w:rPr>
        <w:t>από</w:t>
      </w:r>
      <w:r w:rsidR="002323D2" w:rsidRPr="002323D2">
        <w:rPr>
          <w:rFonts w:cstheme="minorHAnsi"/>
          <w:bCs/>
          <w:sz w:val="24"/>
          <w:szCs w:val="24"/>
          <w:lang w:val="el-GR"/>
        </w:rPr>
        <w:t xml:space="preserve"> </w:t>
      </w:r>
      <w:r w:rsidR="002323D2">
        <w:rPr>
          <w:rFonts w:cstheme="minorHAnsi"/>
          <w:bCs/>
          <w:sz w:val="24"/>
          <w:szCs w:val="24"/>
          <w:lang w:val="el-GR"/>
        </w:rPr>
        <w:t>την</w:t>
      </w:r>
      <w:r w:rsidR="002323D2" w:rsidRPr="002323D2">
        <w:rPr>
          <w:rFonts w:cstheme="minorHAnsi"/>
          <w:bCs/>
          <w:sz w:val="24"/>
          <w:szCs w:val="24"/>
          <w:lang w:val="el-GR"/>
        </w:rPr>
        <w:t xml:space="preserve"> </w:t>
      </w:r>
      <w:r w:rsidR="002323D2">
        <w:rPr>
          <w:rFonts w:cstheme="minorHAnsi"/>
          <w:bCs/>
          <w:sz w:val="24"/>
          <w:szCs w:val="24"/>
          <w:lang w:val="el-GR"/>
        </w:rPr>
        <w:t>ημερομηνία</w:t>
      </w:r>
      <w:r w:rsidR="002323D2" w:rsidRPr="002323D2">
        <w:rPr>
          <w:rFonts w:cstheme="minorHAnsi"/>
          <w:bCs/>
          <w:sz w:val="24"/>
          <w:szCs w:val="24"/>
          <w:lang w:val="el-GR"/>
        </w:rPr>
        <w:t xml:space="preserve"> </w:t>
      </w:r>
      <w:r w:rsidR="002323D2">
        <w:rPr>
          <w:rFonts w:cstheme="minorHAnsi"/>
          <w:bCs/>
          <w:sz w:val="24"/>
          <w:szCs w:val="24"/>
          <w:lang w:val="el-GR"/>
        </w:rPr>
        <w:t>πληρωμής</w:t>
      </w:r>
      <w:r w:rsidR="00A5147D" w:rsidRPr="002323D2">
        <w:rPr>
          <w:rFonts w:cstheme="minorHAnsi"/>
          <w:bCs/>
          <w:sz w:val="24"/>
          <w:szCs w:val="24"/>
          <w:lang w:val="el-GR"/>
        </w:rPr>
        <w:t xml:space="preserve">, </w:t>
      </w:r>
      <w:r w:rsidR="002323D2">
        <w:rPr>
          <w:rFonts w:cstheme="minorHAnsi"/>
          <w:bCs/>
          <w:sz w:val="24"/>
          <w:szCs w:val="24"/>
          <w:lang w:val="el-GR"/>
        </w:rPr>
        <w:t>για να παρέχει τις πληρο</w:t>
      </w:r>
      <w:r w:rsidR="00542502">
        <w:rPr>
          <w:rFonts w:cstheme="minorHAnsi"/>
          <w:bCs/>
          <w:sz w:val="24"/>
          <w:szCs w:val="24"/>
          <w:lang w:val="el-GR"/>
        </w:rPr>
        <w:t>φ</w:t>
      </w:r>
      <w:r w:rsidR="002323D2">
        <w:rPr>
          <w:rFonts w:cstheme="minorHAnsi"/>
          <w:bCs/>
          <w:sz w:val="24"/>
          <w:szCs w:val="24"/>
          <w:lang w:val="el-GR"/>
        </w:rPr>
        <w:t>ορίες που ζητήθηκαν</w:t>
      </w:r>
      <w:r w:rsidR="00A5147D" w:rsidRPr="002323D2">
        <w:rPr>
          <w:rFonts w:cstheme="minorHAnsi"/>
          <w:bCs/>
          <w:sz w:val="24"/>
          <w:szCs w:val="24"/>
          <w:lang w:val="el-GR"/>
        </w:rPr>
        <w:t>.</w:t>
      </w:r>
      <w:r w:rsidR="00A5147D" w:rsidRPr="002323D2">
        <w:rPr>
          <w:rFonts w:cstheme="minorHAnsi"/>
          <w:sz w:val="24"/>
          <w:szCs w:val="24"/>
          <w:lang w:val="el-GR"/>
        </w:rPr>
        <w:t xml:space="preserve"> </w:t>
      </w:r>
      <w:r w:rsidR="002323D2">
        <w:rPr>
          <w:rFonts w:cstheme="minorHAnsi"/>
          <w:sz w:val="24"/>
          <w:szCs w:val="24"/>
          <w:lang w:val="el-GR"/>
        </w:rPr>
        <w:t>Ωστόσο</w:t>
      </w:r>
      <w:r w:rsidR="00A5147D" w:rsidRPr="002323D2">
        <w:rPr>
          <w:rFonts w:cstheme="minorHAnsi"/>
          <w:sz w:val="24"/>
          <w:szCs w:val="24"/>
          <w:lang w:val="el-GR"/>
        </w:rPr>
        <w:t xml:space="preserve">, </w:t>
      </w:r>
      <w:r w:rsidR="002323D2">
        <w:rPr>
          <w:rFonts w:cstheme="minorHAnsi"/>
          <w:sz w:val="24"/>
          <w:szCs w:val="24"/>
          <w:lang w:val="el-GR"/>
        </w:rPr>
        <w:t>η</w:t>
      </w:r>
      <w:r w:rsidR="002323D2" w:rsidRPr="002323D2">
        <w:rPr>
          <w:rFonts w:cstheme="minorHAnsi"/>
          <w:sz w:val="24"/>
          <w:szCs w:val="24"/>
          <w:lang w:val="el-GR"/>
        </w:rPr>
        <w:t xml:space="preserve"> </w:t>
      </w:r>
      <w:r w:rsidR="002323D2">
        <w:rPr>
          <w:rFonts w:cstheme="minorHAnsi"/>
          <w:sz w:val="24"/>
          <w:szCs w:val="24"/>
          <w:lang w:val="el-GR"/>
        </w:rPr>
        <w:t>δημόσια</w:t>
      </w:r>
      <w:r w:rsidR="002323D2" w:rsidRPr="002323D2">
        <w:rPr>
          <w:rFonts w:cstheme="minorHAnsi"/>
          <w:sz w:val="24"/>
          <w:szCs w:val="24"/>
          <w:lang w:val="el-GR"/>
        </w:rPr>
        <w:t xml:space="preserve"> </w:t>
      </w:r>
      <w:r w:rsidR="002323D2">
        <w:rPr>
          <w:rFonts w:cstheme="minorHAnsi"/>
          <w:sz w:val="24"/>
          <w:szCs w:val="24"/>
          <w:lang w:val="el-GR"/>
        </w:rPr>
        <w:t>αρχή</w:t>
      </w:r>
      <w:r w:rsidR="00A5147D" w:rsidRPr="002323D2">
        <w:rPr>
          <w:rFonts w:cstheme="minorHAnsi"/>
          <w:color w:val="000000" w:themeColor="text1"/>
          <w:sz w:val="24"/>
          <w:szCs w:val="24"/>
          <w:lang w:val="el-GR"/>
        </w:rPr>
        <w:t xml:space="preserve"> </w:t>
      </w:r>
      <w:r w:rsidR="002323D2">
        <w:rPr>
          <w:rFonts w:cstheme="minorHAnsi"/>
          <w:color w:val="000000" w:themeColor="text1"/>
          <w:sz w:val="24"/>
          <w:szCs w:val="24"/>
          <w:lang w:val="el-GR"/>
        </w:rPr>
        <w:t>δεν</w:t>
      </w:r>
      <w:r w:rsidR="002323D2" w:rsidRPr="002323D2">
        <w:rPr>
          <w:rFonts w:cstheme="minorHAnsi"/>
          <w:color w:val="000000" w:themeColor="text1"/>
          <w:sz w:val="24"/>
          <w:szCs w:val="24"/>
          <w:lang w:val="el-GR"/>
        </w:rPr>
        <w:t xml:space="preserve"> </w:t>
      </w:r>
      <w:r w:rsidR="002323D2">
        <w:rPr>
          <w:rFonts w:cstheme="minorHAnsi"/>
          <w:color w:val="000000" w:themeColor="text1"/>
          <w:sz w:val="24"/>
          <w:szCs w:val="24"/>
          <w:lang w:val="el-GR"/>
        </w:rPr>
        <w:t>μπορεί</w:t>
      </w:r>
      <w:r w:rsidR="002323D2" w:rsidRPr="002323D2">
        <w:rPr>
          <w:rFonts w:cstheme="minorHAnsi"/>
          <w:color w:val="000000" w:themeColor="text1"/>
          <w:sz w:val="24"/>
          <w:szCs w:val="24"/>
          <w:lang w:val="el-GR"/>
        </w:rPr>
        <w:t xml:space="preserve"> </w:t>
      </w:r>
      <w:r w:rsidR="002323D2">
        <w:rPr>
          <w:rFonts w:cstheme="minorHAnsi"/>
          <w:color w:val="000000" w:themeColor="text1"/>
          <w:sz w:val="24"/>
          <w:szCs w:val="24"/>
          <w:lang w:val="el-GR"/>
        </w:rPr>
        <w:t>να</w:t>
      </w:r>
      <w:r w:rsidR="002323D2" w:rsidRPr="002323D2">
        <w:rPr>
          <w:rFonts w:cstheme="minorHAnsi"/>
          <w:color w:val="000000" w:themeColor="text1"/>
          <w:sz w:val="24"/>
          <w:szCs w:val="24"/>
          <w:lang w:val="el-GR"/>
        </w:rPr>
        <w:t xml:space="preserve"> </w:t>
      </w:r>
      <w:r w:rsidR="002323D2">
        <w:rPr>
          <w:rFonts w:cstheme="minorHAnsi"/>
          <w:color w:val="000000" w:themeColor="text1"/>
          <w:sz w:val="24"/>
          <w:szCs w:val="24"/>
          <w:lang w:val="el-GR"/>
        </w:rPr>
        <w:t>καθορίσει</w:t>
      </w:r>
      <w:r w:rsidR="002323D2" w:rsidRPr="002323D2">
        <w:rPr>
          <w:rFonts w:cstheme="minorHAnsi"/>
          <w:color w:val="000000" w:themeColor="text1"/>
          <w:sz w:val="24"/>
          <w:szCs w:val="24"/>
          <w:lang w:val="el-GR"/>
        </w:rPr>
        <w:t xml:space="preserve"> </w:t>
      </w:r>
      <w:r w:rsidR="00542502">
        <w:rPr>
          <w:rFonts w:cstheme="minorHAnsi"/>
          <w:color w:val="000000" w:themeColor="text1"/>
          <w:sz w:val="24"/>
          <w:szCs w:val="24"/>
          <w:lang w:val="el-GR"/>
        </w:rPr>
        <w:t>αυθα</w:t>
      </w:r>
      <w:r w:rsidR="002323D2">
        <w:rPr>
          <w:rFonts w:cstheme="minorHAnsi"/>
          <w:color w:val="000000" w:themeColor="text1"/>
          <w:sz w:val="24"/>
          <w:szCs w:val="24"/>
          <w:lang w:val="el-GR"/>
        </w:rPr>
        <w:t>ίρετα ένα</w:t>
      </w:r>
      <w:r w:rsidR="002323D2" w:rsidRPr="002323D2">
        <w:rPr>
          <w:rFonts w:cstheme="minorHAnsi"/>
          <w:color w:val="000000" w:themeColor="text1"/>
          <w:sz w:val="24"/>
          <w:szCs w:val="24"/>
          <w:lang w:val="el-GR"/>
        </w:rPr>
        <w:t xml:space="preserve"> </w:t>
      </w:r>
      <w:r w:rsidR="002323D2">
        <w:rPr>
          <w:rFonts w:cstheme="minorHAnsi"/>
          <w:color w:val="000000" w:themeColor="text1"/>
          <w:sz w:val="24"/>
          <w:szCs w:val="24"/>
          <w:lang w:val="el-GR"/>
        </w:rPr>
        <w:t>διοικητικό</w:t>
      </w:r>
      <w:r w:rsidR="002323D2" w:rsidRPr="002323D2">
        <w:rPr>
          <w:rFonts w:cstheme="minorHAnsi"/>
          <w:color w:val="000000" w:themeColor="text1"/>
          <w:sz w:val="24"/>
          <w:szCs w:val="24"/>
          <w:lang w:val="el-GR"/>
        </w:rPr>
        <w:t xml:space="preserve"> </w:t>
      </w:r>
      <w:r w:rsidR="002323D2">
        <w:rPr>
          <w:rFonts w:cstheme="minorHAnsi"/>
          <w:color w:val="000000" w:themeColor="text1"/>
          <w:sz w:val="24"/>
          <w:szCs w:val="24"/>
          <w:lang w:val="el-GR"/>
        </w:rPr>
        <w:t>τέλος για την παροχή των εγγράφων που ζητήθηκαν</w:t>
      </w:r>
      <w:r w:rsidR="00A5147D" w:rsidRPr="002323D2">
        <w:rPr>
          <w:rFonts w:cstheme="minorHAnsi"/>
          <w:color w:val="000000" w:themeColor="text1"/>
          <w:sz w:val="24"/>
          <w:szCs w:val="24"/>
          <w:lang w:val="el-GR"/>
        </w:rPr>
        <w:t xml:space="preserve">. </w:t>
      </w:r>
      <w:r w:rsidR="002323D2">
        <w:rPr>
          <w:rFonts w:cstheme="minorHAnsi"/>
          <w:color w:val="000000" w:themeColor="text1"/>
          <w:sz w:val="24"/>
          <w:szCs w:val="24"/>
          <w:lang w:val="el-GR"/>
        </w:rPr>
        <w:t>Πρέπει</w:t>
      </w:r>
      <w:r w:rsidR="002323D2" w:rsidRPr="002323D2">
        <w:rPr>
          <w:rFonts w:cstheme="minorHAnsi"/>
          <w:color w:val="000000" w:themeColor="text1"/>
          <w:sz w:val="24"/>
          <w:szCs w:val="24"/>
          <w:lang w:val="el-GR"/>
        </w:rPr>
        <w:t xml:space="preserve"> </w:t>
      </w:r>
      <w:r w:rsidR="002323D2">
        <w:rPr>
          <w:rFonts w:cstheme="minorHAnsi"/>
          <w:color w:val="000000" w:themeColor="text1"/>
          <w:sz w:val="24"/>
          <w:szCs w:val="24"/>
          <w:lang w:val="el-GR"/>
        </w:rPr>
        <w:t>να</w:t>
      </w:r>
      <w:r w:rsidR="002323D2" w:rsidRPr="002323D2">
        <w:rPr>
          <w:rFonts w:cstheme="minorHAnsi"/>
          <w:color w:val="000000" w:themeColor="text1"/>
          <w:sz w:val="24"/>
          <w:szCs w:val="24"/>
          <w:lang w:val="el-GR"/>
        </w:rPr>
        <w:t xml:space="preserve"> </w:t>
      </w:r>
      <w:r w:rsidR="002323D2">
        <w:rPr>
          <w:rFonts w:cstheme="minorHAnsi"/>
          <w:color w:val="000000" w:themeColor="text1"/>
          <w:sz w:val="24"/>
          <w:szCs w:val="24"/>
          <w:lang w:val="el-GR"/>
        </w:rPr>
        <w:t>υπάρχει</w:t>
      </w:r>
      <w:r w:rsidR="002323D2" w:rsidRPr="002323D2">
        <w:rPr>
          <w:rFonts w:cstheme="minorHAnsi"/>
          <w:color w:val="000000" w:themeColor="text1"/>
          <w:sz w:val="24"/>
          <w:szCs w:val="24"/>
          <w:lang w:val="el-GR"/>
        </w:rPr>
        <w:t xml:space="preserve"> </w:t>
      </w:r>
      <w:r w:rsidR="002323D2">
        <w:rPr>
          <w:rFonts w:cstheme="minorHAnsi"/>
          <w:color w:val="000000" w:themeColor="text1"/>
          <w:sz w:val="24"/>
          <w:szCs w:val="24"/>
          <w:lang w:val="el-GR"/>
        </w:rPr>
        <w:t>μια</w:t>
      </w:r>
      <w:r w:rsidR="002323D2" w:rsidRPr="002323D2">
        <w:rPr>
          <w:rFonts w:cstheme="minorHAnsi"/>
          <w:color w:val="000000" w:themeColor="text1"/>
          <w:sz w:val="24"/>
          <w:szCs w:val="24"/>
          <w:lang w:val="el-GR"/>
        </w:rPr>
        <w:t xml:space="preserve"> </w:t>
      </w:r>
      <w:r w:rsidR="002323D2">
        <w:rPr>
          <w:rFonts w:cstheme="minorHAnsi"/>
          <w:color w:val="000000" w:themeColor="text1"/>
          <w:sz w:val="24"/>
          <w:szCs w:val="24"/>
          <w:lang w:val="el-GR"/>
        </w:rPr>
        <w:t>διαδικασία</w:t>
      </w:r>
      <w:r w:rsidR="002323D2" w:rsidRPr="002323D2">
        <w:rPr>
          <w:rFonts w:cstheme="minorHAnsi"/>
          <w:color w:val="000000" w:themeColor="text1"/>
          <w:sz w:val="24"/>
          <w:szCs w:val="24"/>
          <w:lang w:val="el-GR"/>
        </w:rPr>
        <w:t xml:space="preserve"> </w:t>
      </w:r>
      <w:r w:rsidR="002323D2">
        <w:rPr>
          <w:rFonts w:cstheme="minorHAnsi"/>
          <w:color w:val="000000" w:themeColor="text1"/>
          <w:sz w:val="24"/>
          <w:szCs w:val="24"/>
          <w:lang w:val="el-GR"/>
        </w:rPr>
        <w:t>για</w:t>
      </w:r>
      <w:r w:rsidR="002323D2" w:rsidRPr="002323D2">
        <w:rPr>
          <w:rFonts w:cstheme="minorHAnsi"/>
          <w:color w:val="000000" w:themeColor="text1"/>
          <w:sz w:val="24"/>
          <w:szCs w:val="24"/>
          <w:lang w:val="el-GR"/>
        </w:rPr>
        <w:t xml:space="preserve"> </w:t>
      </w:r>
      <w:r w:rsidR="002323D2">
        <w:rPr>
          <w:rFonts w:cstheme="minorHAnsi"/>
          <w:color w:val="000000" w:themeColor="text1"/>
          <w:sz w:val="24"/>
          <w:szCs w:val="24"/>
          <w:lang w:val="el-GR"/>
        </w:rPr>
        <w:t>τον</w:t>
      </w:r>
      <w:r w:rsidR="002323D2" w:rsidRPr="002323D2">
        <w:rPr>
          <w:rFonts w:cstheme="minorHAnsi"/>
          <w:color w:val="000000" w:themeColor="text1"/>
          <w:sz w:val="24"/>
          <w:szCs w:val="24"/>
          <w:lang w:val="el-GR"/>
        </w:rPr>
        <w:t xml:space="preserve"> </w:t>
      </w:r>
      <w:r w:rsidR="002323D2">
        <w:rPr>
          <w:rFonts w:cstheme="minorHAnsi"/>
          <w:color w:val="000000" w:themeColor="text1"/>
          <w:sz w:val="24"/>
          <w:szCs w:val="24"/>
          <w:lang w:val="el-GR"/>
        </w:rPr>
        <w:t>υπολογισμό</w:t>
      </w:r>
      <w:r w:rsidR="002323D2" w:rsidRPr="002323D2">
        <w:rPr>
          <w:rFonts w:cstheme="minorHAnsi"/>
          <w:color w:val="000000" w:themeColor="text1"/>
          <w:sz w:val="24"/>
          <w:szCs w:val="24"/>
          <w:lang w:val="el-GR"/>
        </w:rPr>
        <w:t xml:space="preserve"> </w:t>
      </w:r>
      <w:r w:rsidR="002323D2">
        <w:rPr>
          <w:rFonts w:cstheme="minorHAnsi"/>
          <w:color w:val="000000" w:themeColor="text1"/>
          <w:sz w:val="24"/>
          <w:szCs w:val="24"/>
          <w:lang w:val="el-GR"/>
        </w:rPr>
        <w:t>τελών</w:t>
      </w:r>
      <w:r w:rsidR="00A5147D" w:rsidRPr="002323D2">
        <w:rPr>
          <w:rFonts w:cstheme="minorHAnsi"/>
          <w:color w:val="000000" w:themeColor="text1"/>
          <w:sz w:val="24"/>
          <w:szCs w:val="24"/>
          <w:lang w:val="el-GR"/>
        </w:rPr>
        <w:t xml:space="preserve">, </w:t>
      </w:r>
      <w:r w:rsidR="002323D2">
        <w:rPr>
          <w:rFonts w:cstheme="minorHAnsi"/>
          <w:color w:val="000000" w:themeColor="text1"/>
          <w:sz w:val="24"/>
          <w:szCs w:val="24"/>
          <w:lang w:val="el-GR"/>
        </w:rPr>
        <w:t>αν χρειάζονται τέτοια τέλη</w:t>
      </w:r>
      <w:r w:rsidR="00A5147D" w:rsidRPr="002323D2">
        <w:rPr>
          <w:rFonts w:cstheme="minorHAnsi"/>
          <w:color w:val="000000" w:themeColor="text1"/>
          <w:sz w:val="24"/>
          <w:szCs w:val="24"/>
          <w:lang w:val="el-GR"/>
        </w:rPr>
        <w:t>.</w:t>
      </w:r>
      <w:r w:rsidR="00A5147D" w:rsidRPr="004E251E">
        <w:rPr>
          <w:rStyle w:val="FootnoteReference"/>
          <w:rFonts w:cstheme="minorHAnsi"/>
          <w:color w:val="000000" w:themeColor="text1"/>
          <w:sz w:val="24"/>
          <w:szCs w:val="24"/>
        </w:rPr>
        <w:footnoteReference w:id="38"/>
      </w:r>
      <w:r w:rsidR="00A5147D" w:rsidRPr="002323D2">
        <w:rPr>
          <w:rFonts w:cstheme="minorHAnsi"/>
          <w:color w:val="000000" w:themeColor="text1"/>
          <w:lang w:val="el-GR"/>
        </w:rPr>
        <w:t xml:space="preserve"> </w:t>
      </w:r>
      <w:r w:rsidR="002323D2" w:rsidRPr="002323D2">
        <w:rPr>
          <w:rFonts w:cstheme="minorHAnsi"/>
          <w:color w:val="000000" w:themeColor="text1"/>
          <w:sz w:val="24"/>
          <w:szCs w:val="24"/>
          <w:lang w:val="el-GR"/>
        </w:rPr>
        <w:t xml:space="preserve">Ο </w:t>
      </w:r>
      <w:proofErr w:type="spellStart"/>
      <w:r w:rsidR="002323D2" w:rsidRPr="002323D2">
        <w:rPr>
          <w:rFonts w:cstheme="minorHAnsi"/>
          <w:color w:val="000000" w:themeColor="text1"/>
          <w:sz w:val="24"/>
          <w:szCs w:val="24"/>
          <w:lang w:val="el-GR"/>
        </w:rPr>
        <w:t>αιτητής</w:t>
      </w:r>
      <w:proofErr w:type="spellEnd"/>
      <w:r w:rsidR="002323D2" w:rsidRPr="002323D2">
        <w:rPr>
          <w:rFonts w:cstheme="minorHAnsi"/>
          <w:color w:val="000000" w:themeColor="text1"/>
          <w:sz w:val="24"/>
          <w:szCs w:val="24"/>
          <w:lang w:val="el-GR"/>
        </w:rPr>
        <w:t xml:space="preserve"> μπορεί να υποβάλει </w:t>
      </w:r>
      <w:r w:rsidR="002323D2">
        <w:rPr>
          <w:rFonts w:cstheme="minorHAnsi"/>
          <w:color w:val="000000" w:themeColor="text1"/>
          <w:sz w:val="24"/>
          <w:szCs w:val="24"/>
          <w:lang w:val="el-GR"/>
        </w:rPr>
        <w:t>παράπονο</w:t>
      </w:r>
      <w:r w:rsidR="00A5147D" w:rsidRPr="002323D2">
        <w:rPr>
          <w:rFonts w:cstheme="minorHAnsi"/>
          <w:sz w:val="24"/>
          <w:szCs w:val="24"/>
          <w:lang w:val="el-GR"/>
        </w:rPr>
        <w:t xml:space="preserve"> </w:t>
      </w:r>
      <w:r w:rsidR="002323D2">
        <w:rPr>
          <w:rFonts w:cstheme="minorHAnsi"/>
          <w:sz w:val="24"/>
          <w:szCs w:val="24"/>
          <w:lang w:val="el-GR"/>
        </w:rPr>
        <w:t>ενώ</w:t>
      </w:r>
      <w:r w:rsidR="008D5A2C">
        <w:rPr>
          <w:rFonts w:cstheme="minorHAnsi"/>
          <w:sz w:val="24"/>
          <w:szCs w:val="24"/>
          <w:lang w:val="el-GR"/>
        </w:rPr>
        <w:t>π</w:t>
      </w:r>
      <w:r w:rsidR="002323D2">
        <w:rPr>
          <w:rFonts w:cstheme="minorHAnsi"/>
          <w:sz w:val="24"/>
          <w:szCs w:val="24"/>
          <w:lang w:val="el-GR"/>
        </w:rPr>
        <w:t>ιον</w:t>
      </w:r>
      <w:r w:rsidR="002323D2" w:rsidRPr="002323D2">
        <w:rPr>
          <w:rFonts w:cstheme="minorHAnsi"/>
          <w:sz w:val="24"/>
          <w:szCs w:val="24"/>
          <w:lang w:val="el-GR"/>
        </w:rPr>
        <w:t xml:space="preserve"> </w:t>
      </w:r>
      <w:r w:rsidR="002323D2">
        <w:rPr>
          <w:rFonts w:cstheme="minorHAnsi"/>
          <w:sz w:val="24"/>
          <w:szCs w:val="24"/>
          <w:lang w:val="el-GR"/>
        </w:rPr>
        <w:t>του</w:t>
      </w:r>
      <w:r w:rsidR="002323D2" w:rsidRPr="002323D2">
        <w:rPr>
          <w:rFonts w:cstheme="minorHAnsi"/>
          <w:sz w:val="24"/>
          <w:szCs w:val="24"/>
          <w:lang w:val="el-GR"/>
        </w:rPr>
        <w:t xml:space="preserve"> </w:t>
      </w:r>
      <w:r w:rsidR="002323D2">
        <w:rPr>
          <w:rFonts w:cstheme="minorHAnsi"/>
          <w:sz w:val="24"/>
          <w:szCs w:val="24"/>
          <w:lang w:val="el-GR"/>
        </w:rPr>
        <w:t>Επιτρόπου</w:t>
      </w:r>
      <w:r w:rsidR="002323D2" w:rsidRPr="002323D2">
        <w:rPr>
          <w:rFonts w:cstheme="minorHAnsi"/>
          <w:sz w:val="24"/>
          <w:szCs w:val="24"/>
          <w:lang w:val="el-GR"/>
        </w:rPr>
        <w:t xml:space="preserve"> </w:t>
      </w:r>
      <w:r w:rsidR="002323D2">
        <w:rPr>
          <w:rFonts w:cstheme="minorHAnsi"/>
          <w:sz w:val="24"/>
          <w:szCs w:val="24"/>
          <w:lang w:val="el-GR"/>
        </w:rPr>
        <w:t>Πληροφοριών</w:t>
      </w:r>
      <w:r w:rsidR="00A5147D" w:rsidRPr="002323D2">
        <w:rPr>
          <w:rFonts w:cstheme="minorHAnsi"/>
          <w:sz w:val="24"/>
          <w:szCs w:val="24"/>
          <w:lang w:val="el-GR"/>
        </w:rPr>
        <w:t xml:space="preserve">, </w:t>
      </w:r>
      <w:r w:rsidR="002323D2">
        <w:rPr>
          <w:rFonts w:cstheme="minorHAnsi"/>
          <w:sz w:val="24"/>
          <w:szCs w:val="24"/>
          <w:lang w:val="el-GR"/>
        </w:rPr>
        <w:t>αν</w:t>
      </w:r>
      <w:r w:rsidR="002323D2" w:rsidRPr="002323D2">
        <w:rPr>
          <w:rFonts w:cstheme="minorHAnsi"/>
          <w:sz w:val="24"/>
          <w:szCs w:val="24"/>
          <w:lang w:val="el-GR"/>
        </w:rPr>
        <w:t xml:space="preserve"> </w:t>
      </w:r>
      <w:r w:rsidR="002323D2">
        <w:rPr>
          <w:rFonts w:cstheme="minorHAnsi"/>
          <w:sz w:val="24"/>
          <w:szCs w:val="24"/>
          <w:lang w:val="el-GR"/>
        </w:rPr>
        <w:t>αυτός</w:t>
      </w:r>
      <w:r w:rsidR="002323D2" w:rsidRPr="002323D2">
        <w:rPr>
          <w:rFonts w:cstheme="minorHAnsi"/>
          <w:sz w:val="24"/>
          <w:szCs w:val="24"/>
          <w:lang w:val="el-GR"/>
        </w:rPr>
        <w:t>/</w:t>
      </w:r>
      <w:r w:rsidR="002323D2">
        <w:rPr>
          <w:rFonts w:cstheme="minorHAnsi"/>
          <w:sz w:val="24"/>
          <w:szCs w:val="24"/>
          <w:lang w:val="el-GR"/>
        </w:rPr>
        <w:t>ή</w:t>
      </w:r>
      <w:r w:rsidR="002323D2" w:rsidRPr="002323D2">
        <w:rPr>
          <w:rFonts w:cstheme="minorHAnsi"/>
          <w:sz w:val="24"/>
          <w:szCs w:val="24"/>
          <w:lang w:val="el-GR"/>
        </w:rPr>
        <w:t xml:space="preserve"> </w:t>
      </w:r>
      <w:r w:rsidR="002323D2">
        <w:rPr>
          <w:rFonts w:cstheme="minorHAnsi"/>
          <w:sz w:val="24"/>
          <w:szCs w:val="24"/>
          <w:lang w:val="el-GR"/>
        </w:rPr>
        <w:t>θεωρεί</w:t>
      </w:r>
      <w:r w:rsidR="002323D2" w:rsidRPr="002323D2">
        <w:rPr>
          <w:rFonts w:cstheme="minorHAnsi"/>
          <w:sz w:val="24"/>
          <w:szCs w:val="24"/>
          <w:lang w:val="el-GR"/>
        </w:rPr>
        <w:t xml:space="preserve"> </w:t>
      </w:r>
      <w:r w:rsidR="002323D2">
        <w:rPr>
          <w:rFonts w:cstheme="minorHAnsi"/>
          <w:sz w:val="24"/>
          <w:szCs w:val="24"/>
          <w:lang w:val="el-GR"/>
        </w:rPr>
        <w:t>ότι</w:t>
      </w:r>
      <w:r w:rsidR="00A5147D" w:rsidRPr="002323D2">
        <w:rPr>
          <w:rFonts w:cstheme="minorHAnsi"/>
          <w:sz w:val="24"/>
          <w:szCs w:val="24"/>
          <w:lang w:val="el-GR"/>
        </w:rPr>
        <w:t xml:space="preserve">, </w:t>
      </w:r>
      <w:r w:rsidR="002323D2">
        <w:rPr>
          <w:rFonts w:cstheme="minorHAnsi"/>
          <w:sz w:val="24"/>
          <w:szCs w:val="24"/>
          <w:lang w:val="el-GR"/>
        </w:rPr>
        <w:t xml:space="preserve">σε σχέση με την </w:t>
      </w:r>
      <w:r w:rsidR="00542502">
        <w:rPr>
          <w:rFonts w:cstheme="minorHAnsi"/>
          <w:sz w:val="24"/>
          <w:szCs w:val="24"/>
          <w:lang w:val="el-GR"/>
        </w:rPr>
        <w:t>αίτηση</w:t>
      </w:r>
      <w:r w:rsidR="002323D2">
        <w:rPr>
          <w:rFonts w:cstheme="minorHAnsi"/>
          <w:sz w:val="24"/>
          <w:szCs w:val="24"/>
          <w:lang w:val="el-GR"/>
        </w:rPr>
        <w:t xml:space="preserve"> του/ης</w:t>
      </w:r>
      <w:r w:rsidR="00A5147D" w:rsidRPr="002323D2">
        <w:rPr>
          <w:rFonts w:cstheme="minorHAnsi"/>
          <w:sz w:val="24"/>
          <w:szCs w:val="24"/>
          <w:lang w:val="el-GR"/>
        </w:rPr>
        <w:t xml:space="preserve">, </w:t>
      </w:r>
      <w:r w:rsidR="002323D2">
        <w:rPr>
          <w:rFonts w:cstheme="minorHAnsi"/>
          <w:sz w:val="24"/>
          <w:szCs w:val="24"/>
          <w:lang w:val="el-GR"/>
        </w:rPr>
        <w:t>συγκεκριμένες πρόνοιες του Νόμου έχουν παραβιασθεί</w:t>
      </w:r>
      <w:r w:rsidR="00A5147D" w:rsidRPr="002323D2">
        <w:rPr>
          <w:rFonts w:cstheme="minorHAnsi"/>
          <w:sz w:val="24"/>
          <w:szCs w:val="24"/>
          <w:lang w:val="el-GR"/>
        </w:rPr>
        <w:t xml:space="preserve"> </w:t>
      </w:r>
      <w:r w:rsidR="002323D2">
        <w:rPr>
          <w:rFonts w:cstheme="minorHAnsi"/>
          <w:sz w:val="24"/>
          <w:szCs w:val="24"/>
          <w:lang w:val="el-GR"/>
        </w:rPr>
        <w:t>από μια δημ</w:t>
      </w:r>
      <w:r w:rsidR="00542502">
        <w:rPr>
          <w:rFonts w:cstheme="minorHAnsi"/>
          <w:sz w:val="24"/>
          <w:szCs w:val="24"/>
          <w:lang w:val="el-GR"/>
        </w:rPr>
        <w:t>ό</w:t>
      </w:r>
      <w:r w:rsidR="002323D2">
        <w:rPr>
          <w:rFonts w:cstheme="minorHAnsi"/>
          <w:sz w:val="24"/>
          <w:szCs w:val="24"/>
          <w:lang w:val="el-GR"/>
        </w:rPr>
        <w:t>σια αρχή</w:t>
      </w:r>
      <w:r w:rsidR="00A5147D" w:rsidRPr="002323D2">
        <w:rPr>
          <w:rFonts w:cstheme="minorHAnsi"/>
          <w:sz w:val="24"/>
          <w:szCs w:val="24"/>
          <w:lang w:val="el-GR"/>
        </w:rPr>
        <w:t>.</w:t>
      </w:r>
      <w:r w:rsidR="00A5147D" w:rsidRPr="002323D2">
        <w:rPr>
          <w:rFonts w:eastAsia="Times New Roman" w:cstheme="minorHAnsi"/>
          <w:b/>
          <w:bCs/>
          <w:color w:val="212529"/>
          <w:sz w:val="24"/>
          <w:szCs w:val="24"/>
          <w:lang w:val="el-GR" w:bidi="he-IL"/>
        </w:rPr>
        <w:t xml:space="preserve"> </w:t>
      </w:r>
    </w:p>
    <w:p w14:paraId="376DC8A2" w14:textId="77777777" w:rsidR="00A5147D" w:rsidRPr="002323D2" w:rsidRDefault="00A5147D" w:rsidP="00A5147D">
      <w:pPr>
        <w:tabs>
          <w:tab w:val="left" w:pos="709"/>
        </w:tabs>
        <w:rPr>
          <w:rFonts w:eastAsia="Calibri" w:cstheme="minorHAnsi"/>
          <w:sz w:val="24"/>
          <w:szCs w:val="24"/>
          <w:lang w:val="el-GR"/>
        </w:rPr>
      </w:pPr>
    </w:p>
    <w:p w14:paraId="09B6C59F" w14:textId="5CFF2E5D" w:rsidR="00A5147D" w:rsidRPr="00B42370" w:rsidRDefault="002323D2" w:rsidP="00A5147D">
      <w:pPr>
        <w:numPr>
          <w:ilvl w:val="0"/>
          <w:numId w:val="1"/>
        </w:numPr>
        <w:tabs>
          <w:tab w:val="clear" w:pos="6095"/>
          <w:tab w:val="left" w:pos="709"/>
        </w:tabs>
        <w:ind w:left="0" w:firstLine="0"/>
        <w:rPr>
          <w:rFonts w:cstheme="minorHAnsi"/>
          <w:sz w:val="24"/>
          <w:szCs w:val="24"/>
          <w:lang w:val="el-GR"/>
        </w:rPr>
      </w:pPr>
      <w:bookmarkStart w:id="72" w:name="_Toc479580431"/>
      <w:r>
        <w:rPr>
          <w:rFonts w:eastAsia="Calibri" w:cstheme="minorHAnsi"/>
          <w:sz w:val="24"/>
          <w:szCs w:val="24"/>
          <w:lang w:val="el-GR"/>
        </w:rPr>
        <w:t>Όλες</w:t>
      </w:r>
      <w:r w:rsidRPr="00EA4397">
        <w:rPr>
          <w:rFonts w:eastAsia="Calibri" w:cstheme="minorHAnsi"/>
          <w:sz w:val="24"/>
          <w:szCs w:val="24"/>
          <w:lang w:val="el-GR"/>
        </w:rPr>
        <w:t xml:space="preserve"> </w:t>
      </w:r>
      <w:r>
        <w:rPr>
          <w:rFonts w:eastAsia="Calibri" w:cstheme="minorHAnsi"/>
          <w:sz w:val="24"/>
          <w:szCs w:val="24"/>
          <w:lang w:val="el-GR"/>
        </w:rPr>
        <w:t>οι</w:t>
      </w:r>
      <w:r w:rsidRPr="00EA4397">
        <w:rPr>
          <w:rFonts w:eastAsia="Calibri" w:cstheme="minorHAnsi"/>
          <w:sz w:val="24"/>
          <w:szCs w:val="24"/>
          <w:lang w:val="el-GR"/>
        </w:rPr>
        <w:t xml:space="preserve"> </w:t>
      </w:r>
      <w:r>
        <w:rPr>
          <w:rFonts w:eastAsia="Calibri" w:cstheme="minorHAnsi"/>
          <w:sz w:val="24"/>
          <w:szCs w:val="24"/>
          <w:lang w:val="el-GR"/>
        </w:rPr>
        <w:t>νομοθεσίες</w:t>
      </w:r>
      <w:r w:rsidR="00A5147D" w:rsidRPr="00EA4397">
        <w:rPr>
          <w:rFonts w:eastAsia="Calibri" w:cstheme="minorHAnsi"/>
          <w:sz w:val="24"/>
          <w:szCs w:val="24"/>
          <w:lang w:val="el-GR"/>
        </w:rPr>
        <w:t xml:space="preserve">, </w:t>
      </w:r>
      <w:r>
        <w:rPr>
          <w:rFonts w:eastAsia="Calibri" w:cstheme="minorHAnsi"/>
          <w:sz w:val="24"/>
          <w:szCs w:val="24"/>
          <w:lang w:val="el-GR"/>
        </w:rPr>
        <w:t>συμπεριλαμβανομέν</w:t>
      </w:r>
      <w:r w:rsidR="002E394C">
        <w:rPr>
          <w:rFonts w:eastAsia="Calibri" w:cstheme="minorHAnsi"/>
          <w:sz w:val="24"/>
          <w:szCs w:val="24"/>
          <w:lang w:val="el-GR"/>
        </w:rPr>
        <w:t>ης της δευτερογενούς νομοθεσίας</w:t>
      </w:r>
      <w:r w:rsidR="00A5147D" w:rsidRPr="00EA4397">
        <w:rPr>
          <w:rFonts w:eastAsia="Calibri" w:cstheme="minorHAnsi"/>
          <w:sz w:val="24"/>
          <w:szCs w:val="24"/>
          <w:lang w:val="el-GR"/>
        </w:rPr>
        <w:t xml:space="preserve">, </w:t>
      </w:r>
      <w:r w:rsidR="00EA4397">
        <w:rPr>
          <w:rFonts w:eastAsia="Calibri" w:cstheme="minorHAnsi"/>
          <w:sz w:val="24"/>
          <w:szCs w:val="24"/>
          <w:lang w:val="el-GR"/>
        </w:rPr>
        <w:t>δημοσιεύ</w:t>
      </w:r>
      <w:r w:rsidR="00542502">
        <w:rPr>
          <w:rFonts w:eastAsia="Calibri" w:cstheme="minorHAnsi"/>
          <w:sz w:val="24"/>
          <w:szCs w:val="24"/>
          <w:lang w:val="el-GR"/>
        </w:rPr>
        <w:t>ον</w:t>
      </w:r>
      <w:r w:rsidR="00EA4397">
        <w:rPr>
          <w:rFonts w:eastAsia="Calibri" w:cstheme="minorHAnsi"/>
          <w:sz w:val="24"/>
          <w:szCs w:val="24"/>
          <w:lang w:val="el-GR"/>
        </w:rPr>
        <w:t>ται</w:t>
      </w:r>
      <w:r w:rsidR="00EA4397" w:rsidRPr="00EA4397">
        <w:rPr>
          <w:rFonts w:eastAsia="Calibri" w:cstheme="minorHAnsi"/>
          <w:sz w:val="24"/>
          <w:szCs w:val="24"/>
          <w:lang w:val="el-GR"/>
        </w:rPr>
        <w:t xml:space="preserve"> </w:t>
      </w:r>
      <w:r w:rsidR="00EA4397">
        <w:rPr>
          <w:rFonts w:eastAsia="Calibri" w:cstheme="minorHAnsi"/>
          <w:sz w:val="24"/>
          <w:szCs w:val="24"/>
          <w:lang w:val="el-GR"/>
        </w:rPr>
        <w:t>στην Επίσημ</w:t>
      </w:r>
      <w:r w:rsidR="002E394C">
        <w:rPr>
          <w:rFonts w:eastAsia="Calibri" w:cstheme="minorHAnsi"/>
          <w:sz w:val="24"/>
          <w:szCs w:val="24"/>
          <w:lang w:val="el-GR"/>
        </w:rPr>
        <w:t>η</w:t>
      </w:r>
      <w:r w:rsidR="00EA4397">
        <w:rPr>
          <w:rFonts w:eastAsia="Calibri" w:cstheme="minorHAnsi"/>
          <w:sz w:val="24"/>
          <w:szCs w:val="24"/>
          <w:lang w:val="el-GR"/>
        </w:rPr>
        <w:t xml:space="preserve"> Εφημερίδα της Κυβέρνησης της Κυπριακής Δημοκρατίας</w:t>
      </w:r>
      <w:r w:rsidR="00A5147D" w:rsidRPr="00EA4397">
        <w:rPr>
          <w:rFonts w:eastAsia="Calibri" w:cstheme="minorHAnsi"/>
          <w:sz w:val="24"/>
          <w:szCs w:val="24"/>
          <w:lang w:val="el-GR"/>
        </w:rPr>
        <w:t>.</w:t>
      </w:r>
      <w:r w:rsidR="00A5147D" w:rsidRPr="00F8627E">
        <w:rPr>
          <w:rStyle w:val="FootnoteReference"/>
          <w:rFonts w:eastAsia="Calibri" w:cstheme="minorHAnsi"/>
          <w:sz w:val="24"/>
          <w:szCs w:val="24"/>
        </w:rPr>
        <w:footnoteReference w:id="39"/>
      </w:r>
      <w:r w:rsidR="00A5147D" w:rsidRPr="00EA4397">
        <w:rPr>
          <w:rFonts w:eastAsia="Calibri" w:cstheme="minorHAnsi"/>
          <w:sz w:val="24"/>
          <w:szCs w:val="24"/>
          <w:lang w:val="el-GR"/>
        </w:rPr>
        <w:t xml:space="preserve"> </w:t>
      </w:r>
      <w:r w:rsidR="00EA4397">
        <w:rPr>
          <w:rFonts w:eastAsia="Calibri" w:cstheme="minorHAnsi"/>
          <w:sz w:val="24"/>
          <w:szCs w:val="24"/>
          <w:lang w:val="el-GR"/>
        </w:rPr>
        <w:t>Άλλες</w:t>
      </w:r>
      <w:r w:rsidR="00EA4397" w:rsidRPr="00EA4397">
        <w:rPr>
          <w:rFonts w:eastAsia="Calibri" w:cstheme="minorHAnsi"/>
          <w:sz w:val="24"/>
          <w:szCs w:val="24"/>
          <w:lang w:val="el-GR"/>
        </w:rPr>
        <w:t xml:space="preserve"> </w:t>
      </w:r>
      <w:r w:rsidR="00EA4397">
        <w:rPr>
          <w:rFonts w:eastAsia="Calibri" w:cstheme="minorHAnsi"/>
          <w:sz w:val="24"/>
          <w:szCs w:val="24"/>
          <w:lang w:val="el-GR"/>
        </w:rPr>
        <w:t>πράξεις</w:t>
      </w:r>
      <w:r w:rsidR="00EA4397" w:rsidRPr="00EA4397">
        <w:rPr>
          <w:rFonts w:eastAsia="Calibri" w:cstheme="minorHAnsi"/>
          <w:sz w:val="24"/>
          <w:szCs w:val="24"/>
          <w:lang w:val="el-GR"/>
        </w:rPr>
        <w:t xml:space="preserve"> </w:t>
      </w:r>
      <w:r w:rsidR="00EA4397">
        <w:rPr>
          <w:rFonts w:eastAsia="Calibri" w:cstheme="minorHAnsi"/>
          <w:sz w:val="24"/>
          <w:szCs w:val="24"/>
          <w:lang w:val="el-GR"/>
        </w:rPr>
        <w:t>της</w:t>
      </w:r>
      <w:r w:rsidR="00EA4397" w:rsidRPr="00EA4397">
        <w:rPr>
          <w:rFonts w:eastAsia="Calibri" w:cstheme="minorHAnsi"/>
          <w:sz w:val="24"/>
          <w:szCs w:val="24"/>
          <w:lang w:val="el-GR"/>
        </w:rPr>
        <w:t xml:space="preserve"> </w:t>
      </w:r>
      <w:r w:rsidR="00EA4397">
        <w:rPr>
          <w:rFonts w:eastAsia="Calibri" w:cstheme="minorHAnsi"/>
          <w:sz w:val="24"/>
          <w:szCs w:val="24"/>
          <w:lang w:val="el-GR"/>
        </w:rPr>
        <w:t>Κυβέρνησης</w:t>
      </w:r>
      <w:r w:rsidR="00A5147D" w:rsidRPr="00EA4397">
        <w:rPr>
          <w:rFonts w:eastAsia="Calibri" w:cstheme="minorHAnsi"/>
          <w:sz w:val="24"/>
          <w:szCs w:val="24"/>
          <w:lang w:val="el-GR"/>
        </w:rPr>
        <w:t xml:space="preserve">, </w:t>
      </w:r>
      <w:r w:rsidR="00EA4397">
        <w:rPr>
          <w:rFonts w:eastAsia="Calibri" w:cstheme="minorHAnsi"/>
          <w:sz w:val="24"/>
          <w:szCs w:val="24"/>
          <w:lang w:val="el-GR"/>
        </w:rPr>
        <w:t>συμπεριλαμβανομένων</w:t>
      </w:r>
      <w:r w:rsidR="00EA4397" w:rsidRPr="00EA4397">
        <w:rPr>
          <w:rFonts w:eastAsia="Calibri" w:cstheme="minorHAnsi"/>
          <w:sz w:val="24"/>
          <w:szCs w:val="24"/>
          <w:lang w:val="el-GR"/>
        </w:rPr>
        <w:t xml:space="preserve"> </w:t>
      </w:r>
      <w:r w:rsidR="002E394C">
        <w:rPr>
          <w:rFonts w:eastAsia="Calibri" w:cstheme="minorHAnsi"/>
          <w:sz w:val="24"/>
          <w:szCs w:val="24"/>
          <w:lang w:val="el-GR"/>
        </w:rPr>
        <w:t xml:space="preserve">ατομικών </w:t>
      </w:r>
      <w:r w:rsidR="00EA4397">
        <w:rPr>
          <w:rFonts w:eastAsia="Calibri" w:cstheme="minorHAnsi"/>
          <w:sz w:val="24"/>
          <w:szCs w:val="24"/>
          <w:lang w:val="el-GR"/>
        </w:rPr>
        <w:t>διοικητικών</w:t>
      </w:r>
      <w:r w:rsidR="00EA4397" w:rsidRPr="00EA4397">
        <w:rPr>
          <w:rFonts w:eastAsia="Calibri" w:cstheme="minorHAnsi"/>
          <w:sz w:val="24"/>
          <w:szCs w:val="24"/>
          <w:lang w:val="el-GR"/>
        </w:rPr>
        <w:t xml:space="preserve"> </w:t>
      </w:r>
      <w:r w:rsidR="00EA4397">
        <w:rPr>
          <w:rFonts w:eastAsia="Calibri" w:cstheme="minorHAnsi"/>
          <w:sz w:val="24"/>
          <w:szCs w:val="24"/>
          <w:lang w:val="el-GR"/>
        </w:rPr>
        <w:t>πράξεων</w:t>
      </w:r>
      <w:r w:rsidR="00A5147D" w:rsidRPr="00EA4397">
        <w:rPr>
          <w:rFonts w:eastAsia="Calibri" w:cstheme="minorHAnsi"/>
          <w:sz w:val="24"/>
          <w:szCs w:val="24"/>
          <w:lang w:val="el-GR"/>
        </w:rPr>
        <w:t xml:space="preserve">, </w:t>
      </w:r>
      <w:r w:rsidR="00EA4397">
        <w:rPr>
          <w:rFonts w:eastAsia="Calibri" w:cstheme="minorHAnsi"/>
          <w:sz w:val="24"/>
          <w:szCs w:val="24"/>
          <w:lang w:val="el-GR"/>
        </w:rPr>
        <w:t>δημοσιεύονται στην Επίσημη Εφημερίδα</w:t>
      </w:r>
      <w:r w:rsidR="00A5147D" w:rsidRPr="00EA4397">
        <w:rPr>
          <w:rFonts w:eastAsia="Calibri" w:cstheme="minorHAnsi"/>
          <w:sz w:val="24"/>
          <w:szCs w:val="24"/>
          <w:lang w:val="el-GR"/>
        </w:rPr>
        <w:t xml:space="preserve"> </w:t>
      </w:r>
      <w:r w:rsidR="00EA4397">
        <w:rPr>
          <w:rFonts w:eastAsia="Calibri" w:cstheme="minorHAnsi"/>
          <w:sz w:val="24"/>
          <w:szCs w:val="24"/>
          <w:lang w:val="el-GR"/>
        </w:rPr>
        <w:t>αν αυτό προβλέπεται από τον σχετικό εφαρμόσιμο νόμο</w:t>
      </w:r>
      <w:r w:rsidR="00A5147D" w:rsidRPr="00EA4397">
        <w:rPr>
          <w:rFonts w:eastAsia="Calibri" w:cstheme="minorHAnsi"/>
          <w:sz w:val="24"/>
          <w:szCs w:val="24"/>
          <w:lang w:val="el-GR"/>
        </w:rPr>
        <w:t xml:space="preserve">. </w:t>
      </w:r>
      <w:r w:rsidR="00EA4397">
        <w:rPr>
          <w:rFonts w:eastAsia="Calibri" w:cstheme="minorHAnsi"/>
          <w:sz w:val="24"/>
          <w:szCs w:val="24"/>
          <w:lang w:val="el-GR"/>
        </w:rPr>
        <w:t>Στα</w:t>
      </w:r>
      <w:r w:rsidR="00EA4397" w:rsidRPr="00EA4397">
        <w:rPr>
          <w:rFonts w:eastAsia="Calibri" w:cstheme="minorHAnsi"/>
          <w:sz w:val="24"/>
          <w:szCs w:val="24"/>
          <w:lang w:val="el-GR"/>
        </w:rPr>
        <w:t xml:space="preserve"> </w:t>
      </w:r>
      <w:r w:rsidR="00EA4397">
        <w:rPr>
          <w:rFonts w:eastAsia="Calibri" w:cstheme="minorHAnsi"/>
          <w:sz w:val="24"/>
          <w:szCs w:val="24"/>
          <w:lang w:val="el-GR"/>
        </w:rPr>
        <w:t>πλαίσια</w:t>
      </w:r>
      <w:r w:rsidR="00EA4397" w:rsidRPr="00EA4397">
        <w:rPr>
          <w:rFonts w:eastAsia="Calibri" w:cstheme="minorHAnsi"/>
          <w:sz w:val="24"/>
          <w:szCs w:val="24"/>
          <w:lang w:val="el-GR"/>
        </w:rPr>
        <w:t xml:space="preserve"> </w:t>
      </w:r>
      <w:r w:rsidR="00EA4397">
        <w:rPr>
          <w:rFonts w:eastAsia="Calibri" w:cstheme="minorHAnsi"/>
          <w:sz w:val="24"/>
          <w:szCs w:val="24"/>
          <w:lang w:val="el-GR"/>
        </w:rPr>
        <w:t>του</w:t>
      </w:r>
      <w:r w:rsidR="00EA4397" w:rsidRPr="00EA4397">
        <w:rPr>
          <w:rFonts w:eastAsia="Calibri" w:cstheme="minorHAnsi"/>
          <w:sz w:val="24"/>
          <w:szCs w:val="24"/>
          <w:lang w:val="el-GR"/>
        </w:rPr>
        <w:t xml:space="preserve"> </w:t>
      </w:r>
      <w:r w:rsidR="00EA4397">
        <w:rPr>
          <w:rFonts w:eastAsia="Calibri" w:cstheme="minorHAnsi"/>
          <w:sz w:val="24"/>
          <w:szCs w:val="24"/>
          <w:lang w:val="el-GR"/>
        </w:rPr>
        <w:t>Νόμου</w:t>
      </w:r>
      <w:r w:rsidR="00EA4397" w:rsidRPr="00EA4397">
        <w:rPr>
          <w:rFonts w:eastAsia="Calibri" w:cstheme="minorHAnsi"/>
          <w:sz w:val="24"/>
          <w:szCs w:val="24"/>
          <w:lang w:val="el-GR"/>
        </w:rPr>
        <w:t xml:space="preserve"> </w:t>
      </w:r>
      <w:r w:rsidR="00EA4397">
        <w:rPr>
          <w:rFonts w:eastAsia="Calibri" w:cstheme="minorHAnsi"/>
          <w:sz w:val="24"/>
          <w:szCs w:val="24"/>
          <w:lang w:val="el-GR"/>
        </w:rPr>
        <w:t>περί</w:t>
      </w:r>
      <w:r w:rsidR="00A5147D" w:rsidRPr="00EA4397">
        <w:rPr>
          <w:rFonts w:eastAsia="Calibri" w:cstheme="minorHAnsi"/>
          <w:sz w:val="24"/>
          <w:szCs w:val="24"/>
          <w:lang w:val="el-GR"/>
        </w:rPr>
        <w:t xml:space="preserve"> </w:t>
      </w:r>
      <w:r w:rsidR="00EA4397">
        <w:rPr>
          <w:rFonts w:eastAsia="Calibri" w:cstheme="minorHAnsi"/>
          <w:sz w:val="24"/>
          <w:szCs w:val="24"/>
          <w:lang w:val="el-GR"/>
        </w:rPr>
        <w:t>Περαιτέρω</w:t>
      </w:r>
      <w:r w:rsidR="00EA4397" w:rsidRPr="00EA4397">
        <w:rPr>
          <w:rFonts w:eastAsia="Calibri" w:cstheme="minorHAnsi"/>
          <w:sz w:val="24"/>
          <w:szCs w:val="24"/>
          <w:lang w:val="el-GR"/>
        </w:rPr>
        <w:t xml:space="preserve"> </w:t>
      </w:r>
      <w:r w:rsidR="00EA4397">
        <w:rPr>
          <w:rFonts w:eastAsia="Calibri" w:cstheme="minorHAnsi"/>
          <w:sz w:val="24"/>
          <w:szCs w:val="24"/>
          <w:lang w:val="el-GR"/>
        </w:rPr>
        <w:t>Χρήσης</w:t>
      </w:r>
      <w:r w:rsidR="00EA4397" w:rsidRPr="00EA4397">
        <w:rPr>
          <w:rFonts w:eastAsia="Calibri" w:cstheme="minorHAnsi"/>
          <w:sz w:val="24"/>
          <w:szCs w:val="24"/>
          <w:lang w:val="el-GR"/>
        </w:rPr>
        <w:t xml:space="preserve"> </w:t>
      </w:r>
      <w:r w:rsidR="00EA4397">
        <w:rPr>
          <w:rFonts w:eastAsia="Calibri" w:cstheme="minorHAnsi"/>
          <w:sz w:val="24"/>
          <w:szCs w:val="24"/>
          <w:lang w:val="el-GR"/>
        </w:rPr>
        <w:t>των</w:t>
      </w:r>
      <w:r w:rsidR="00EA4397" w:rsidRPr="00EA4397">
        <w:rPr>
          <w:rFonts w:eastAsia="Calibri" w:cstheme="minorHAnsi"/>
          <w:sz w:val="24"/>
          <w:szCs w:val="24"/>
          <w:lang w:val="el-GR"/>
        </w:rPr>
        <w:t xml:space="preserve"> </w:t>
      </w:r>
      <w:r w:rsidR="00EA4397">
        <w:rPr>
          <w:rFonts w:eastAsia="Calibri" w:cstheme="minorHAnsi"/>
          <w:sz w:val="24"/>
          <w:szCs w:val="24"/>
          <w:lang w:val="el-GR"/>
        </w:rPr>
        <w:t>Δεδομένων</w:t>
      </w:r>
      <w:r w:rsidR="00EA4397" w:rsidRPr="00EA4397">
        <w:rPr>
          <w:rFonts w:eastAsia="Calibri" w:cstheme="minorHAnsi"/>
          <w:sz w:val="24"/>
          <w:szCs w:val="24"/>
          <w:lang w:val="el-GR"/>
        </w:rPr>
        <w:t xml:space="preserve"> </w:t>
      </w:r>
      <w:r w:rsidR="00EA4397">
        <w:rPr>
          <w:rFonts w:eastAsia="Calibri" w:cstheme="minorHAnsi"/>
          <w:sz w:val="24"/>
          <w:szCs w:val="24"/>
          <w:lang w:val="el-GR"/>
        </w:rPr>
        <w:t>του</w:t>
      </w:r>
      <w:r w:rsidR="00EA4397" w:rsidRPr="00EA4397">
        <w:rPr>
          <w:rFonts w:eastAsia="Calibri" w:cstheme="minorHAnsi"/>
          <w:sz w:val="24"/>
          <w:szCs w:val="24"/>
          <w:lang w:val="el-GR"/>
        </w:rPr>
        <w:t xml:space="preserve"> </w:t>
      </w:r>
      <w:r w:rsidR="00EA4397">
        <w:rPr>
          <w:rFonts w:eastAsia="Calibri" w:cstheme="minorHAnsi"/>
          <w:sz w:val="24"/>
          <w:szCs w:val="24"/>
          <w:lang w:val="el-GR"/>
        </w:rPr>
        <w:t>Δημοσ</w:t>
      </w:r>
      <w:r w:rsidR="00542502">
        <w:rPr>
          <w:rFonts w:eastAsia="Calibri" w:cstheme="minorHAnsi"/>
          <w:sz w:val="24"/>
          <w:szCs w:val="24"/>
          <w:lang w:val="el-GR"/>
        </w:rPr>
        <w:t>ίου</w:t>
      </w:r>
      <w:r w:rsidR="00EA4397" w:rsidRPr="00EA4397">
        <w:rPr>
          <w:rFonts w:eastAsia="Calibri" w:cstheme="minorHAnsi"/>
          <w:sz w:val="24"/>
          <w:szCs w:val="24"/>
          <w:lang w:val="el-GR"/>
        </w:rPr>
        <w:t xml:space="preserve"> </w:t>
      </w:r>
      <w:r w:rsidR="00EA4397">
        <w:rPr>
          <w:rFonts w:eastAsia="Calibri" w:cstheme="minorHAnsi"/>
          <w:sz w:val="24"/>
          <w:szCs w:val="24"/>
          <w:lang w:val="el-GR"/>
        </w:rPr>
        <w:t>Τομέα</w:t>
      </w:r>
      <w:r w:rsidR="00A5147D" w:rsidRPr="00EA4397">
        <w:rPr>
          <w:rFonts w:eastAsia="Calibri" w:cstheme="minorHAnsi"/>
          <w:sz w:val="24"/>
          <w:szCs w:val="24"/>
          <w:lang w:val="el-GR"/>
        </w:rPr>
        <w:t xml:space="preserve"> (</w:t>
      </w:r>
      <w:bookmarkStart w:id="73" w:name="_Hlk132888372"/>
      <w:r w:rsidR="00EA4397">
        <w:rPr>
          <w:rFonts w:eastAsia="Calibri" w:cstheme="minorHAnsi"/>
          <w:sz w:val="24"/>
          <w:szCs w:val="24"/>
          <w:lang w:val="el-GR"/>
        </w:rPr>
        <w:t>Νόμοι</w:t>
      </w:r>
      <w:r w:rsidR="00F8627E" w:rsidRPr="00B95983">
        <w:rPr>
          <w:sz w:val="24"/>
          <w:szCs w:val="24"/>
        </w:rPr>
        <w:t> </w:t>
      </w:r>
      <w:r w:rsidR="00F8627E" w:rsidRPr="00EA4397">
        <w:rPr>
          <w:sz w:val="24"/>
          <w:szCs w:val="24"/>
          <w:lang w:val="el-GR"/>
        </w:rPr>
        <w:t>132(</w:t>
      </w:r>
      <w:r w:rsidR="00F8627E" w:rsidRPr="00B95983">
        <w:rPr>
          <w:sz w:val="24"/>
          <w:szCs w:val="24"/>
        </w:rPr>
        <w:t>I</w:t>
      </w:r>
      <w:r w:rsidR="00F8627E" w:rsidRPr="00EA4397">
        <w:rPr>
          <w:sz w:val="24"/>
          <w:szCs w:val="24"/>
          <w:lang w:val="el-GR"/>
        </w:rPr>
        <w:t>)/2006 205(</w:t>
      </w:r>
      <w:r w:rsidR="00F8627E" w:rsidRPr="00B95983">
        <w:rPr>
          <w:sz w:val="24"/>
          <w:szCs w:val="24"/>
        </w:rPr>
        <w:t>I</w:t>
      </w:r>
      <w:r w:rsidR="00F8627E" w:rsidRPr="00EA4397">
        <w:rPr>
          <w:sz w:val="24"/>
          <w:szCs w:val="24"/>
          <w:lang w:val="el-GR"/>
        </w:rPr>
        <w:t>)/2015 (</w:t>
      </w:r>
      <w:r w:rsidR="00EA4397">
        <w:rPr>
          <w:sz w:val="24"/>
          <w:szCs w:val="24"/>
          <w:lang w:val="el-GR"/>
        </w:rPr>
        <w:t>ατομικό</w:t>
      </w:r>
      <w:r w:rsidR="00F8627E" w:rsidRPr="00EA4397">
        <w:rPr>
          <w:sz w:val="24"/>
          <w:szCs w:val="24"/>
          <w:lang w:val="el-GR"/>
        </w:rPr>
        <w:t xml:space="preserve">), </w:t>
      </w:r>
      <w:r w:rsidR="00EA4397">
        <w:rPr>
          <w:sz w:val="24"/>
          <w:szCs w:val="24"/>
          <w:lang w:val="el-GR"/>
        </w:rPr>
        <w:t>όπως</w:t>
      </w:r>
      <w:r w:rsidR="00EA4397" w:rsidRPr="00EA4397">
        <w:rPr>
          <w:sz w:val="24"/>
          <w:szCs w:val="24"/>
          <w:lang w:val="el-GR"/>
        </w:rPr>
        <w:t xml:space="preserve"> </w:t>
      </w:r>
      <w:r w:rsidR="008D5A2C">
        <w:rPr>
          <w:sz w:val="24"/>
          <w:szCs w:val="24"/>
          <w:lang w:val="el-GR"/>
        </w:rPr>
        <w:t xml:space="preserve">έχουν αντικατασταθεί </w:t>
      </w:r>
      <w:r w:rsidR="00EA4397">
        <w:rPr>
          <w:sz w:val="24"/>
          <w:szCs w:val="24"/>
          <w:lang w:val="el-GR"/>
        </w:rPr>
        <w:t>από</w:t>
      </w:r>
      <w:r w:rsidR="00EA4397" w:rsidRPr="00EA4397">
        <w:rPr>
          <w:sz w:val="24"/>
          <w:szCs w:val="24"/>
          <w:lang w:val="el-GR"/>
        </w:rPr>
        <w:t xml:space="preserve"> </w:t>
      </w:r>
      <w:r w:rsidR="00EA4397">
        <w:rPr>
          <w:sz w:val="24"/>
          <w:szCs w:val="24"/>
          <w:lang w:val="el-GR"/>
        </w:rPr>
        <w:t>τον</w:t>
      </w:r>
      <w:r w:rsidR="00EA4397" w:rsidRPr="00EA4397">
        <w:rPr>
          <w:sz w:val="24"/>
          <w:szCs w:val="24"/>
          <w:lang w:val="el-GR"/>
        </w:rPr>
        <w:t xml:space="preserve"> </w:t>
      </w:r>
      <w:r w:rsidR="00EA4397">
        <w:rPr>
          <w:sz w:val="24"/>
          <w:szCs w:val="24"/>
          <w:lang w:val="el-GR"/>
        </w:rPr>
        <w:t xml:space="preserve">Νόμο </w:t>
      </w:r>
      <w:r w:rsidR="00A5147D" w:rsidRPr="00EA4397">
        <w:rPr>
          <w:rFonts w:eastAsia="Calibri" w:cstheme="minorHAnsi"/>
          <w:sz w:val="24"/>
          <w:szCs w:val="24"/>
          <w:lang w:val="el-GR"/>
        </w:rPr>
        <w:t>143(</w:t>
      </w:r>
      <w:r w:rsidR="00A5147D" w:rsidRPr="00B95983">
        <w:rPr>
          <w:rFonts w:eastAsia="Calibri" w:cstheme="minorHAnsi"/>
          <w:sz w:val="24"/>
          <w:szCs w:val="24"/>
        </w:rPr>
        <w:t>I</w:t>
      </w:r>
      <w:r w:rsidR="00A5147D" w:rsidRPr="00EA4397">
        <w:rPr>
          <w:rFonts w:eastAsia="Calibri" w:cstheme="minorHAnsi"/>
          <w:sz w:val="24"/>
          <w:szCs w:val="24"/>
          <w:lang w:val="el-GR"/>
        </w:rPr>
        <w:t>)/2021</w:t>
      </w:r>
      <w:bookmarkEnd w:id="73"/>
      <w:r w:rsidR="00A5147D" w:rsidRPr="00EA4397">
        <w:rPr>
          <w:rFonts w:eastAsia="Calibri" w:cstheme="minorHAnsi"/>
          <w:sz w:val="24"/>
          <w:szCs w:val="24"/>
          <w:lang w:val="el-GR"/>
        </w:rPr>
        <w:t xml:space="preserve">), </w:t>
      </w:r>
      <w:r w:rsidR="00EA4397">
        <w:rPr>
          <w:rFonts w:eastAsia="Calibri" w:cstheme="minorHAnsi"/>
          <w:sz w:val="24"/>
          <w:szCs w:val="24"/>
          <w:lang w:val="el-GR"/>
        </w:rPr>
        <w:t>ένα πλατύ εύρος δεδομένων είναι διαθέσιμο</w:t>
      </w:r>
      <w:r w:rsidR="00A5147D" w:rsidRPr="00EA4397">
        <w:rPr>
          <w:rFonts w:eastAsia="Calibri" w:cstheme="minorHAnsi"/>
          <w:sz w:val="24"/>
          <w:szCs w:val="24"/>
          <w:lang w:val="el-GR"/>
        </w:rPr>
        <w:t xml:space="preserve"> </w:t>
      </w:r>
      <w:r w:rsidR="00EA4397">
        <w:rPr>
          <w:rFonts w:eastAsia="Calibri" w:cstheme="minorHAnsi"/>
          <w:sz w:val="24"/>
          <w:szCs w:val="24"/>
          <w:lang w:val="el-GR"/>
        </w:rPr>
        <w:t>μέσω</w:t>
      </w:r>
      <w:r w:rsidR="00A5147D" w:rsidRPr="00EA4397">
        <w:rPr>
          <w:rFonts w:eastAsia="Calibri" w:cstheme="minorHAnsi"/>
          <w:sz w:val="24"/>
          <w:szCs w:val="24"/>
          <w:lang w:val="el-GR"/>
        </w:rPr>
        <w:t xml:space="preserve"> </w:t>
      </w:r>
      <w:r w:rsidR="00EA4397">
        <w:rPr>
          <w:rFonts w:eastAsia="Calibri" w:cstheme="minorHAnsi"/>
          <w:sz w:val="24"/>
          <w:szCs w:val="24"/>
          <w:lang w:val="el-GR"/>
        </w:rPr>
        <w:t>της Εθνικής Ανοικτής Πύλης Δεδομένων</w:t>
      </w:r>
      <w:r w:rsidR="00A5147D" w:rsidRPr="00EA4397">
        <w:rPr>
          <w:rFonts w:eastAsia="Calibri" w:cstheme="minorHAnsi"/>
          <w:sz w:val="24"/>
          <w:szCs w:val="24"/>
          <w:lang w:val="el-GR"/>
        </w:rPr>
        <w:t xml:space="preserve"> (</w:t>
      </w:r>
      <w:hyperlink r:id="rId15" w:history="1">
        <w:r w:rsidR="00A5147D" w:rsidRPr="00EA4397">
          <w:rPr>
            <w:rFonts w:eastAsia="Calibri" w:cstheme="minorHAnsi"/>
            <w:color w:val="000000" w:themeColor="text1"/>
            <w:sz w:val="24"/>
            <w:szCs w:val="24"/>
            <w:u w:val="single"/>
          </w:rPr>
          <w:t>www</w:t>
        </w:r>
        <w:r w:rsidR="00A5147D" w:rsidRPr="00EA4397">
          <w:rPr>
            <w:rFonts w:eastAsia="Calibri" w:cstheme="minorHAnsi"/>
            <w:color w:val="000000" w:themeColor="text1"/>
            <w:sz w:val="24"/>
            <w:szCs w:val="24"/>
            <w:u w:val="single"/>
            <w:lang w:val="el-GR"/>
          </w:rPr>
          <w:t>.</w:t>
        </w:r>
        <w:r w:rsidR="00A5147D" w:rsidRPr="00EA4397">
          <w:rPr>
            <w:rFonts w:eastAsia="Calibri" w:cstheme="minorHAnsi"/>
            <w:color w:val="000000" w:themeColor="text1"/>
            <w:sz w:val="24"/>
            <w:szCs w:val="24"/>
            <w:u w:val="single"/>
          </w:rPr>
          <w:t>data</w:t>
        </w:r>
        <w:r w:rsidR="00A5147D" w:rsidRPr="00EA4397">
          <w:rPr>
            <w:rFonts w:eastAsia="Calibri" w:cstheme="minorHAnsi"/>
            <w:color w:val="000000" w:themeColor="text1"/>
            <w:sz w:val="24"/>
            <w:szCs w:val="24"/>
            <w:u w:val="single"/>
            <w:lang w:val="el-GR"/>
          </w:rPr>
          <w:t>.</w:t>
        </w:r>
        <w:r w:rsidR="00A5147D" w:rsidRPr="00EA4397">
          <w:rPr>
            <w:rFonts w:eastAsia="Calibri" w:cstheme="minorHAnsi"/>
            <w:color w:val="000000" w:themeColor="text1"/>
            <w:sz w:val="24"/>
            <w:szCs w:val="24"/>
            <w:u w:val="single"/>
          </w:rPr>
          <w:t>gov</w:t>
        </w:r>
        <w:r w:rsidR="00A5147D" w:rsidRPr="00EA4397">
          <w:rPr>
            <w:rFonts w:eastAsia="Calibri" w:cstheme="minorHAnsi"/>
            <w:color w:val="000000" w:themeColor="text1"/>
            <w:sz w:val="24"/>
            <w:szCs w:val="24"/>
            <w:u w:val="single"/>
            <w:lang w:val="el-GR"/>
          </w:rPr>
          <w:t>.</w:t>
        </w:r>
        <w:r w:rsidR="00A5147D" w:rsidRPr="00EA4397">
          <w:rPr>
            <w:rFonts w:eastAsia="Calibri" w:cstheme="minorHAnsi"/>
            <w:color w:val="000000" w:themeColor="text1"/>
            <w:sz w:val="24"/>
            <w:szCs w:val="24"/>
            <w:u w:val="single"/>
          </w:rPr>
          <w:t>cy</w:t>
        </w:r>
      </w:hyperlink>
      <w:r w:rsidR="00A5147D" w:rsidRPr="00EA4397">
        <w:rPr>
          <w:rFonts w:eastAsia="Calibri" w:cstheme="minorHAnsi"/>
          <w:sz w:val="24"/>
          <w:szCs w:val="24"/>
          <w:lang w:val="el-GR"/>
        </w:rPr>
        <w:t xml:space="preserve">) (1 192 </w:t>
      </w:r>
      <w:r w:rsidR="00EA4397">
        <w:rPr>
          <w:rFonts w:eastAsia="Calibri" w:cstheme="minorHAnsi"/>
          <w:sz w:val="24"/>
          <w:szCs w:val="24"/>
          <w:lang w:val="el-GR"/>
        </w:rPr>
        <w:t>σύνολα δεδομένων</w:t>
      </w:r>
      <w:r w:rsidR="00A5147D" w:rsidRPr="00EA4397">
        <w:rPr>
          <w:rFonts w:eastAsia="Calibri" w:cstheme="minorHAnsi"/>
          <w:sz w:val="24"/>
          <w:szCs w:val="24"/>
          <w:lang w:val="el-GR"/>
        </w:rPr>
        <w:t xml:space="preserve"> </w:t>
      </w:r>
      <w:r w:rsidR="00EA4397">
        <w:rPr>
          <w:rFonts w:eastAsia="Calibri" w:cstheme="minorHAnsi"/>
          <w:sz w:val="24"/>
          <w:szCs w:val="24"/>
          <w:lang w:val="el-GR"/>
        </w:rPr>
        <w:t xml:space="preserve">από </w:t>
      </w:r>
      <w:r w:rsidR="00A5147D" w:rsidRPr="00EA4397">
        <w:rPr>
          <w:rFonts w:eastAsia="Calibri" w:cstheme="minorHAnsi"/>
          <w:sz w:val="24"/>
          <w:szCs w:val="24"/>
          <w:lang w:val="el-GR"/>
        </w:rPr>
        <w:t xml:space="preserve">80 </w:t>
      </w:r>
      <w:r w:rsidR="00B42370">
        <w:rPr>
          <w:rFonts w:eastAsia="Calibri" w:cstheme="minorHAnsi"/>
          <w:sz w:val="24"/>
          <w:szCs w:val="24"/>
          <w:lang w:val="el-GR"/>
        </w:rPr>
        <w:t>τομείς του δημοσίου και του ευρύτερου δημοσίου τομέα</w:t>
      </w:r>
      <w:r w:rsidR="00A5147D" w:rsidRPr="00EA4397">
        <w:rPr>
          <w:rFonts w:eastAsia="Calibri" w:cstheme="minorHAnsi"/>
          <w:sz w:val="24"/>
          <w:szCs w:val="24"/>
          <w:lang w:val="el-GR"/>
        </w:rPr>
        <w:t xml:space="preserve">).  </w:t>
      </w:r>
      <w:r w:rsidR="00B42370">
        <w:rPr>
          <w:rFonts w:eastAsia="Calibri" w:cstheme="minorHAnsi"/>
          <w:sz w:val="24"/>
          <w:szCs w:val="24"/>
          <w:lang w:val="el-GR"/>
        </w:rPr>
        <w:t>Επίσης</w:t>
      </w:r>
      <w:r w:rsidR="00A5147D" w:rsidRPr="00B42370">
        <w:rPr>
          <w:rFonts w:eastAsia="Calibri" w:cstheme="minorHAnsi"/>
          <w:sz w:val="24"/>
          <w:szCs w:val="24"/>
          <w:lang w:val="el-GR"/>
        </w:rPr>
        <w:t xml:space="preserve">, </w:t>
      </w:r>
      <w:r w:rsidR="00B42370">
        <w:rPr>
          <w:rFonts w:eastAsia="Calibri" w:cstheme="minorHAnsi"/>
          <w:sz w:val="24"/>
          <w:szCs w:val="24"/>
          <w:lang w:val="el-GR"/>
        </w:rPr>
        <w:t>όλες</w:t>
      </w:r>
      <w:r w:rsidR="00B42370" w:rsidRPr="00B42370">
        <w:rPr>
          <w:rFonts w:eastAsia="Calibri" w:cstheme="minorHAnsi"/>
          <w:sz w:val="24"/>
          <w:szCs w:val="24"/>
          <w:lang w:val="el-GR"/>
        </w:rPr>
        <w:t xml:space="preserve"> </w:t>
      </w:r>
      <w:r w:rsidR="00B42370">
        <w:rPr>
          <w:rFonts w:eastAsia="Calibri" w:cstheme="minorHAnsi"/>
          <w:sz w:val="24"/>
          <w:szCs w:val="24"/>
          <w:lang w:val="el-GR"/>
        </w:rPr>
        <w:t>οι</w:t>
      </w:r>
      <w:r w:rsidR="00B42370" w:rsidRPr="00B42370">
        <w:rPr>
          <w:rFonts w:eastAsia="Calibri" w:cstheme="minorHAnsi"/>
          <w:sz w:val="24"/>
          <w:szCs w:val="24"/>
          <w:lang w:val="el-GR"/>
        </w:rPr>
        <w:t xml:space="preserve"> </w:t>
      </w:r>
      <w:r w:rsidR="00B42370">
        <w:rPr>
          <w:rFonts w:eastAsia="Calibri" w:cstheme="minorHAnsi"/>
          <w:sz w:val="24"/>
          <w:szCs w:val="24"/>
          <w:lang w:val="el-GR"/>
        </w:rPr>
        <w:t>Κυβερνητικές</w:t>
      </w:r>
      <w:r w:rsidR="00B42370" w:rsidRPr="00B42370">
        <w:rPr>
          <w:rFonts w:eastAsia="Calibri" w:cstheme="minorHAnsi"/>
          <w:sz w:val="24"/>
          <w:szCs w:val="24"/>
          <w:lang w:val="el-GR"/>
        </w:rPr>
        <w:t xml:space="preserve"> </w:t>
      </w:r>
      <w:r w:rsidR="00B42370">
        <w:rPr>
          <w:rFonts w:eastAsia="Calibri" w:cstheme="minorHAnsi"/>
          <w:sz w:val="24"/>
          <w:szCs w:val="24"/>
          <w:lang w:val="el-GR"/>
        </w:rPr>
        <w:t>πολιτικές</w:t>
      </w:r>
      <w:r w:rsidR="00A5147D" w:rsidRPr="00B42370">
        <w:rPr>
          <w:rFonts w:eastAsia="Calibri" w:cstheme="minorHAnsi"/>
          <w:sz w:val="24"/>
          <w:szCs w:val="24"/>
          <w:lang w:val="el-GR"/>
        </w:rPr>
        <w:t xml:space="preserve">, </w:t>
      </w:r>
      <w:r w:rsidR="00B42370">
        <w:rPr>
          <w:rFonts w:eastAsia="Calibri" w:cstheme="minorHAnsi"/>
          <w:sz w:val="24"/>
          <w:szCs w:val="24"/>
          <w:lang w:val="el-GR"/>
        </w:rPr>
        <w:t>μεταρρυθμίσεις</w:t>
      </w:r>
      <w:r w:rsidR="00B42370" w:rsidRPr="00B42370">
        <w:rPr>
          <w:rFonts w:eastAsia="Calibri" w:cstheme="minorHAnsi"/>
          <w:sz w:val="24"/>
          <w:szCs w:val="24"/>
          <w:lang w:val="el-GR"/>
        </w:rPr>
        <w:t xml:space="preserve"> </w:t>
      </w:r>
      <w:r w:rsidR="00B42370">
        <w:rPr>
          <w:rFonts w:eastAsia="Calibri" w:cstheme="minorHAnsi"/>
          <w:sz w:val="24"/>
          <w:szCs w:val="24"/>
          <w:lang w:val="el-GR"/>
        </w:rPr>
        <w:t>και</w:t>
      </w:r>
      <w:r w:rsidR="00B42370" w:rsidRPr="00B42370">
        <w:rPr>
          <w:rFonts w:eastAsia="Calibri" w:cstheme="minorHAnsi"/>
          <w:sz w:val="24"/>
          <w:szCs w:val="24"/>
          <w:lang w:val="el-GR"/>
        </w:rPr>
        <w:t xml:space="preserve"> </w:t>
      </w:r>
      <w:r w:rsidR="00B42370">
        <w:rPr>
          <w:rFonts w:eastAsia="Calibri" w:cstheme="minorHAnsi"/>
          <w:sz w:val="24"/>
          <w:szCs w:val="24"/>
          <w:lang w:val="el-GR"/>
        </w:rPr>
        <w:t>στρατηγικές</w:t>
      </w:r>
      <w:r w:rsidR="00A5147D" w:rsidRPr="00B42370">
        <w:rPr>
          <w:rFonts w:eastAsia="Calibri" w:cstheme="minorHAnsi"/>
          <w:sz w:val="24"/>
          <w:szCs w:val="24"/>
          <w:lang w:val="el-GR"/>
        </w:rPr>
        <w:t xml:space="preserve"> </w:t>
      </w:r>
      <w:r w:rsidR="00B42370">
        <w:rPr>
          <w:rFonts w:eastAsia="Calibri" w:cstheme="minorHAnsi"/>
          <w:sz w:val="24"/>
          <w:szCs w:val="24"/>
          <w:lang w:val="el-GR"/>
        </w:rPr>
        <w:t>καθώς επίσης και έργα ανάπτυξ</w:t>
      </w:r>
      <w:r w:rsidR="008D5A2C">
        <w:rPr>
          <w:rFonts w:eastAsia="Calibri" w:cstheme="minorHAnsi"/>
          <w:sz w:val="24"/>
          <w:szCs w:val="24"/>
          <w:lang w:val="el-GR"/>
        </w:rPr>
        <w:t>η</w:t>
      </w:r>
      <w:r w:rsidR="00B42370">
        <w:rPr>
          <w:rFonts w:eastAsia="Calibri" w:cstheme="minorHAnsi"/>
          <w:sz w:val="24"/>
          <w:szCs w:val="24"/>
          <w:lang w:val="el-GR"/>
        </w:rPr>
        <w:t>ς</w:t>
      </w:r>
      <w:r w:rsidR="00A5147D" w:rsidRPr="00B42370">
        <w:rPr>
          <w:rFonts w:eastAsia="Calibri" w:cstheme="minorHAnsi"/>
          <w:sz w:val="24"/>
          <w:szCs w:val="24"/>
          <w:lang w:val="el-GR"/>
        </w:rPr>
        <w:t xml:space="preserve"> </w:t>
      </w:r>
      <w:r w:rsidR="00B42370">
        <w:rPr>
          <w:rFonts w:eastAsia="Calibri" w:cstheme="minorHAnsi"/>
          <w:sz w:val="24"/>
          <w:szCs w:val="24"/>
          <w:lang w:val="el-GR"/>
        </w:rPr>
        <w:t>δημοσιεύονται στην πύλη</w:t>
      </w:r>
      <w:r w:rsidR="00A5147D" w:rsidRPr="00B42370">
        <w:rPr>
          <w:rFonts w:eastAsia="Calibri" w:cstheme="minorHAnsi"/>
          <w:sz w:val="24"/>
          <w:szCs w:val="24"/>
          <w:lang w:val="el-GR"/>
        </w:rPr>
        <w:t xml:space="preserve"> </w:t>
      </w:r>
      <w:proofErr w:type="spellStart"/>
      <w:r w:rsidR="00A5147D" w:rsidRPr="00F8627E">
        <w:rPr>
          <w:rFonts w:eastAsia="Calibri" w:cstheme="minorHAnsi"/>
          <w:i/>
          <w:iCs/>
          <w:sz w:val="24"/>
          <w:szCs w:val="24"/>
        </w:rPr>
        <w:t>Exandas</w:t>
      </w:r>
      <w:proofErr w:type="spellEnd"/>
      <w:r w:rsidR="00A5147D" w:rsidRPr="00B42370">
        <w:rPr>
          <w:rFonts w:eastAsia="Calibri" w:cstheme="minorHAnsi"/>
          <w:sz w:val="24"/>
          <w:szCs w:val="24"/>
          <w:lang w:val="el-GR"/>
        </w:rPr>
        <w:t xml:space="preserve">  (</w:t>
      </w:r>
      <w:hyperlink r:id="rId16" w:history="1">
        <w:r w:rsidR="00A5147D" w:rsidRPr="00B42370">
          <w:rPr>
            <w:rStyle w:val="Hyperlink"/>
            <w:rFonts w:eastAsia="Calibri" w:cstheme="minorHAnsi"/>
            <w:color w:val="000000" w:themeColor="text1"/>
            <w:sz w:val="24"/>
            <w:szCs w:val="24"/>
          </w:rPr>
          <w:t>https</w:t>
        </w:r>
        <w:r w:rsidR="00A5147D" w:rsidRPr="00B42370">
          <w:rPr>
            <w:rStyle w:val="Hyperlink"/>
            <w:rFonts w:eastAsia="Calibri" w:cstheme="minorHAnsi"/>
            <w:color w:val="000000" w:themeColor="text1"/>
            <w:sz w:val="24"/>
            <w:szCs w:val="24"/>
            <w:lang w:val="el-GR"/>
          </w:rPr>
          <w:t>://</w:t>
        </w:r>
        <w:proofErr w:type="spellStart"/>
        <w:r w:rsidR="00A5147D" w:rsidRPr="00B42370">
          <w:rPr>
            <w:rStyle w:val="Hyperlink"/>
            <w:rFonts w:eastAsia="Calibri" w:cstheme="minorHAnsi"/>
            <w:color w:val="000000" w:themeColor="text1"/>
            <w:sz w:val="24"/>
            <w:szCs w:val="24"/>
          </w:rPr>
          <w:t>exandas</w:t>
        </w:r>
        <w:proofErr w:type="spellEnd"/>
        <w:r w:rsidR="00A5147D" w:rsidRPr="00B42370">
          <w:rPr>
            <w:rStyle w:val="Hyperlink"/>
            <w:rFonts w:eastAsia="Calibri" w:cstheme="minorHAnsi"/>
            <w:color w:val="000000" w:themeColor="text1"/>
            <w:sz w:val="24"/>
            <w:szCs w:val="24"/>
            <w:lang w:val="el-GR"/>
          </w:rPr>
          <w:t>.</w:t>
        </w:r>
        <w:r w:rsidR="00A5147D" w:rsidRPr="00B42370">
          <w:rPr>
            <w:rStyle w:val="Hyperlink"/>
            <w:rFonts w:eastAsia="Calibri" w:cstheme="minorHAnsi"/>
            <w:color w:val="000000" w:themeColor="text1"/>
            <w:sz w:val="24"/>
            <w:szCs w:val="24"/>
          </w:rPr>
          <w:t>presidency</w:t>
        </w:r>
        <w:r w:rsidR="00A5147D" w:rsidRPr="00B42370">
          <w:rPr>
            <w:rStyle w:val="Hyperlink"/>
            <w:rFonts w:eastAsia="Calibri" w:cstheme="minorHAnsi"/>
            <w:color w:val="000000" w:themeColor="text1"/>
            <w:sz w:val="24"/>
            <w:szCs w:val="24"/>
            <w:lang w:val="el-GR"/>
          </w:rPr>
          <w:t>.</w:t>
        </w:r>
        <w:r w:rsidR="00A5147D" w:rsidRPr="00B42370">
          <w:rPr>
            <w:rStyle w:val="Hyperlink"/>
            <w:rFonts w:eastAsia="Calibri" w:cstheme="minorHAnsi"/>
            <w:color w:val="000000" w:themeColor="text1"/>
            <w:sz w:val="24"/>
            <w:szCs w:val="24"/>
          </w:rPr>
          <w:t>gov</w:t>
        </w:r>
        <w:r w:rsidR="00A5147D" w:rsidRPr="00B42370">
          <w:rPr>
            <w:rStyle w:val="Hyperlink"/>
            <w:rFonts w:eastAsia="Calibri" w:cstheme="minorHAnsi"/>
            <w:color w:val="000000" w:themeColor="text1"/>
            <w:sz w:val="24"/>
            <w:szCs w:val="24"/>
            <w:lang w:val="el-GR"/>
          </w:rPr>
          <w:t>.</w:t>
        </w:r>
        <w:r w:rsidR="00A5147D" w:rsidRPr="00B42370">
          <w:rPr>
            <w:rStyle w:val="Hyperlink"/>
            <w:rFonts w:eastAsia="Calibri" w:cstheme="minorHAnsi"/>
            <w:color w:val="000000" w:themeColor="text1"/>
            <w:sz w:val="24"/>
            <w:szCs w:val="24"/>
          </w:rPr>
          <w:t>cy</w:t>
        </w:r>
        <w:r w:rsidR="00A5147D" w:rsidRPr="00B42370">
          <w:rPr>
            <w:rStyle w:val="Hyperlink"/>
            <w:rFonts w:eastAsia="Calibri" w:cstheme="minorHAnsi"/>
            <w:color w:val="000000" w:themeColor="text1"/>
            <w:sz w:val="24"/>
            <w:szCs w:val="24"/>
            <w:lang w:val="el-GR"/>
          </w:rPr>
          <w:t>/</w:t>
        </w:r>
      </w:hyperlink>
      <w:r w:rsidR="00A5147D" w:rsidRPr="00B42370">
        <w:rPr>
          <w:rFonts w:eastAsia="Calibri" w:cstheme="minorHAnsi"/>
          <w:sz w:val="24"/>
          <w:szCs w:val="24"/>
          <w:lang w:val="el-GR"/>
        </w:rPr>
        <w:t xml:space="preserve">). </w:t>
      </w:r>
    </w:p>
    <w:p w14:paraId="43C82546" w14:textId="77777777" w:rsidR="00A5147D" w:rsidRPr="00B42370" w:rsidRDefault="00A5147D" w:rsidP="00A5147D">
      <w:pPr>
        <w:tabs>
          <w:tab w:val="left" w:pos="709"/>
        </w:tabs>
        <w:rPr>
          <w:rFonts w:cstheme="minorHAnsi"/>
          <w:sz w:val="24"/>
          <w:szCs w:val="24"/>
          <w:lang w:val="el-GR"/>
        </w:rPr>
      </w:pPr>
    </w:p>
    <w:p w14:paraId="704AD754" w14:textId="262208B6" w:rsidR="00A5147D" w:rsidRPr="00787159" w:rsidRDefault="00B42370"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Ως</w:t>
      </w:r>
      <w:r w:rsidRPr="00B42370">
        <w:rPr>
          <w:rFonts w:cstheme="minorHAnsi"/>
          <w:sz w:val="24"/>
          <w:szCs w:val="24"/>
          <w:lang w:val="el-GR"/>
        </w:rPr>
        <w:t xml:space="preserve"> </w:t>
      </w:r>
      <w:r>
        <w:rPr>
          <w:rFonts w:cstheme="minorHAnsi"/>
          <w:sz w:val="24"/>
          <w:szCs w:val="24"/>
          <w:lang w:val="el-GR"/>
        </w:rPr>
        <w:t>γενικός</w:t>
      </w:r>
      <w:r w:rsidRPr="00B42370">
        <w:rPr>
          <w:rFonts w:cstheme="minorHAnsi"/>
          <w:sz w:val="24"/>
          <w:szCs w:val="24"/>
          <w:lang w:val="el-GR"/>
        </w:rPr>
        <w:t xml:space="preserve"> </w:t>
      </w:r>
      <w:r>
        <w:rPr>
          <w:rFonts w:cstheme="minorHAnsi"/>
          <w:sz w:val="24"/>
          <w:szCs w:val="24"/>
          <w:lang w:val="el-GR"/>
        </w:rPr>
        <w:t>κανόνας</w:t>
      </w:r>
      <w:r w:rsidR="00A5147D" w:rsidRPr="00B42370">
        <w:rPr>
          <w:rFonts w:cstheme="minorHAnsi"/>
          <w:sz w:val="24"/>
          <w:szCs w:val="24"/>
          <w:lang w:val="el-GR"/>
        </w:rPr>
        <w:t xml:space="preserve">, </w:t>
      </w:r>
      <w:r>
        <w:rPr>
          <w:rFonts w:cstheme="minorHAnsi"/>
          <w:sz w:val="24"/>
          <w:szCs w:val="24"/>
          <w:lang w:val="el-GR"/>
        </w:rPr>
        <w:t>το</w:t>
      </w:r>
      <w:r w:rsidRPr="00B42370">
        <w:rPr>
          <w:rFonts w:cstheme="minorHAnsi"/>
          <w:sz w:val="24"/>
          <w:szCs w:val="24"/>
          <w:lang w:val="el-GR"/>
        </w:rPr>
        <w:t xml:space="preserve"> </w:t>
      </w:r>
      <w:r>
        <w:rPr>
          <w:rFonts w:cstheme="minorHAnsi"/>
          <w:sz w:val="24"/>
          <w:szCs w:val="24"/>
          <w:lang w:val="el-GR"/>
        </w:rPr>
        <w:t>Υπουργικό</w:t>
      </w:r>
      <w:r w:rsidRPr="00B42370">
        <w:rPr>
          <w:rFonts w:cstheme="minorHAnsi"/>
          <w:sz w:val="24"/>
          <w:szCs w:val="24"/>
          <w:lang w:val="el-GR"/>
        </w:rPr>
        <w:t xml:space="preserve"> </w:t>
      </w:r>
      <w:r>
        <w:rPr>
          <w:rFonts w:cstheme="minorHAnsi"/>
          <w:sz w:val="24"/>
          <w:szCs w:val="24"/>
          <w:lang w:val="el-GR"/>
        </w:rPr>
        <w:t>Συμβούλιο</w:t>
      </w:r>
      <w:r w:rsidR="00A5147D" w:rsidRPr="00B42370">
        <w:rPr>
          <w:rFonts w:cstheme="minorHAnsi"/>
          <w:sz w:val="24"/>
          <w:szCs w:val="24"/>
          <w:lang w:val="el-GR"/>
        </w:rPr>
        <w:t xml:space="preserve"> </w:t>
      </w:r>
      <w:r>
        <w:rPr>
          <w:rFonts w:cstheme="minorHAnsi"/>
          <w:sz w:val="24"/>
          <w:szCs w:val="24"/>
          <w:lang w:val="el-GR"/>
        </w:rPr>
        <w:t>δημοσιεύει</w:t>
      </w:r>
      <w:r w:rsidRPr="00B42370">
        <w:rPr>
          <w:rFonts w:cstheme="minorHAnsi"/>
          <w:sz w:val="24"/>
          <w:szCs w:val="24"/>
          <w:lang w:val="el-GR"/>
        </w:rPr>
        <w:t xml:space="preserve"> </w:t>
      </w:r>
      <w:r>
        <w:rPr>
          <w:rFonts w:cstheme="minorHAnsi"/>
          <w:sz w:val="24"/>
          <w:szCs w:val="24"/>
          <w:lang w:val="el-GR"/>
        </w:rPr>
        <w:t>τις</w:t>
      </w:r>
      <w:r w:rsidRPr="00B42370">
        <w:rPr>
          <w:rFonts w:cstheme="minorHAnsi"/>
          <w:sz w:val="24"/>
          <w:szCs w:val="24"/>
          <w:lang w:val="el-GR"/>
        </w:rPr>
        <w:t xml:space="preserve"> </w:t>
      </w:r>
      <w:r>
        <w:rPr>
          <w:rFonts w:cstheme="minorHAnsi"/>
          <w:sz w:val="24"/>
          <w:szCs w:val="24"/>
          <w:lang w:val="el-GR"/>
        </w:rPr>
        <w:t>αποφάσεις</w:t>
      </w:r>
      <w:r w:rsidRPr="00B42370">
        <w:rPr>
          <w:rFonts w:cstheme="minorHAnsi"/>
          <w:sz w:val="24"/>
          <w:szCs w:val="24"/>
          <w:lang w:val="el-GR"/>
        </w:rPr>
        <w:t xml:space="preserve"> </w:t>
      </w:r>
      <w:r>
        <w:rPr>
          <w:rFonts w:cstheme="minorHAnsi"/>
          <w:sz w:val="24"/>
          <w:szCs w:val="24"/>
          <w:lang w:val="el-GR"/>
        </w:rPr>
        <w:t>του</w:t>
      </w:r>
      <w:r w:rsidRPr="00B42370">
        <w:rPr>
          <w:rFonts w:cstheme="minorHAnsi"/>
          <w:sz w:val="24"/>
          <w:szCs w:val="24"/>
          <w:lang w:val="el-GR"/>
        </w:rPr>
        <w:t xml:space="preserve"> </w:t>
      </w:r>
      <w:r>
        <w:rPr>
          <w:rFonts w:cstheme="minorHAnsi"/>
          <w:sz w:val="24"/>
          <w:szCs w:val="24"/>
          <w:lang w:val="el-GR"/>
        </w:rPr>
        <w:t>στην</w:t>
      </w:r>
      <w:r w:rsidRPr="00B42370">
        <w:rPr>
          <w:rFonts w:cstheme="minorHAnsi"/>
          <w:sz w:val="24"/>
          <w:szCs w:val="24"/>
          <w:lang w:val="el-GR"/>
        </w:rPr>
        <w:t xml:space="preserve"> </w:t>
      </w:r>
      <w:r>
        <w:rPr>
          <w:rFonts w:cstheme="minorHAnsi"/>
          <w:sz w:val="24"/>
          <w:szCs w:val="24"/>
          <w:lang w:val="el-GR"/>
        </w:rPr>
        <w:t>Επίσημη</w:t>
      </w:r>
      <w:r w:rsidRPr="00B42370">
        <w:rPr>
          <w:rFonts w:cstheme="minorHAnsi"/>
          <w:sz w:val="24"/>
          <w:szCs w:val="24"/>
          <w:lang w:val="el-GR"/>
        </w:rPr>
        <w:t xml:space="preserve"> </w:t>
      </w:r>
      <w:r>
        <w:rPr>
          <w:rFonts w:cstheme="minorHAnsi"/>
          <w:sz w:val="24"/>
          <w:szCs w:val="24"/>
          <w:lang w:val="el-GR"/>
        </w:rPr>
        <w:t>Εφημερίδα</w:t>
      </w:r>
      <w:r w:rsidRPr="00B42370">
        <w:rPr>
          <w:rFonts w:cstheme="minorHAnsi"/>
          <w:sz w:val="24"/>
          <w:szCs w:val="24"/>
          <w:lang w:val="el-GR"/>
        </w:rPr>
        <w:t xml:space="preserve"> </w:t>
      </w:r>
      <w:r>
        <w:rPr>
          <w:rFonts w:cstheme="minorHAnsi"/>
          <w:sz w:val="24"/>
          <w:szCs w:val="24"/>
          <w:lang w:val="el-GR"/>
        </w:rPr>
        <w:t>της</w:t>
      </w:r>
      <w:r w:rsidRPr="00B42370">
        <w:rPr>
          <w:rFonts w:cstheme="minorHAnsi"/>
          <w:sz w:val="24"/>
          <w:szCs w:val="24"/>
          <w:lang w:val="el-GR"/>
        </w:rPr>
        <w:t xml:space="preserve"> </w:t>
      </w:r>
      <w:r>
        <w:rPr>
          <w:rFonts w:cstheme="minorHAnsi"/>
          <w:sz w:val="24"/>
          <w:szCs w:val="24"/>
          <w:lang w:val="el-GR"/>
        </w:rPr>
        <w:t>Κυπριακής</w:t>
      </w:r>
      <w:r w:rsidRPr="00B42370">
        <w:rPr>
          <w:rFonts w:cstheme="minorHAnsi"/>
          <w:sz w:val="24"/>
          <w:szCs w:val="24"/>
          <w:lang w:val="el-GR"/>
        </w:rPr>
        <w:t xml:space="preserve"> </w:t>
      </w:r>
      <w:r>
        <w:rPr>
          <w:rFonts w:cstheme="minorHAnsi"/>
          <w:sz w:val="24"/>
          <w:szCs w:val="24"/>
          <w:lang w:val="el-GR"/>
        </w:rPr>
        <w:t>Δημοκρατίας</w:t>
      </w:r>
      <w:r w:rsidR="00A5147D" w:rsidRPr="00B42370">
        <w:rPr>
          <w:rFonts w:ascii="Calibri" w:eastAsia="Calibri" w:hAnsi="Calibri" w:cs="Calibri"/>
          <w:sz w:val="24"/>
          <w:szCs w:val="24"/>
          <w:lang w:val="el-GR"/>
        </w:rPr>
        <w:t xml:space="preserve">, </w:t>
      </w:r>
      <w:r>
        <w:rPr>
          <w:rFonts w:ascii="Calibri" w:eastAsia="Calibri" w:hAnsi="Calibri" w:cs="Calibri"/>
          <w:sz w:val="24"/>
          <w:szCs w:val="24"/>
          <w:lang w:val="el-GR"/>
        </w:rPr>
        <w:t>καθώς επίσης και στην ιστοσελίδα</w:t>
      </w:r>
      <w:r w:rsidR="00A5147D" w:rsidRPr="00B42370">
        <w:rPr>
          <w:rFonts w:ascii="Calibri" w:eastAsia="Calibri" w:hAnsi="Calibri" w:cs="Calibri"/>
          <w:sz w:val="24"/>
          <w:szCs w:val="24"/>
          <w:lang w:val="el-GR"/>
        </w:rPr>
        <w:t xml:space="preserve"> </w:t>
      </w:r>
      <w:r>
        <w:rPr>
          <w:rFonts w:ascii="Calibri" w:eastAsia="Calibri" w:hAnsi="Calibri" w:cs="Calibri"/>
          <w:sz w:val="24"/>
          <w:szCs w:val="24"/>
          <w:lang w:val="el-GR"/>
        </w:rPr>
        <w:t xml:space="preserve">της </w:t>
      </w:r>
      <w:r>
        <w:rPr>
          <w:rFonts w:ascii="Calibri" w:eastAsia="Calibri" w:hAnsi="Calibri" w:cs="Calibri"/>
          <w:sz w:val="24"/>
          <w:szCs w:val="24"/>
          <w:lang w:val="el-GR"/>
        </w:rPr>
        <w:lastRenderedPageBreak/>
        <w:t>Γραμματείας του Υπουργικού Συμβουλίου</w:t>
      </w:r>
      <w:r w:rsidR="00A5147D" w:rsidRPr="00B42370">
        <w:rPr>
          <w:rFonts w:ascii="Calibri" w:eastAsia="Calibri" w:hAnsi="Calibri" w:cs="Calibri"/>
          <w:sz w:val="24"/>
          <w:szCs w:val="24"/>
          <w:lang w:val="el-GR"/>
        </w:rPr>
        <w:t xml:space="preserve">. </w:t>
      </w:r>
      <w:r w:rsidR="00CA6D13">
        <w:rPr>
          <w:rFonts w:ascii="Calibri" w:eastAsia="Calibri" w:hAnsi="Calibri" w:cs="Calibri"/>
          <w:sz w:val="24"/>
          <w:szCs w:val="24"/>
          <w:lang w:val="el-GR"/>
        </w:rPr>
        <w:t>Κάποιες</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εξαιρέσεις</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προβλέπονται</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από</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τον</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νόμο</w:t>
      </w:r>
      <w:r w:rsidR="00A5147D"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αποφάσεις</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που</w:t>
      </w:r>
      <w:r w:rsidR="00CA6D13" w:rsidRPr="00CA6D13">
        <w:rPr>
          <w:rFonts w:ascii="Calibri" w:eastAsia="Calibri" w:hAnsi="Calibri" w:cs="Calibri"/>
          <w:sz w:val="24"/>
          <w:szCs w:val="24"/>
          <w:lang w:val="el-GR"/>
        </w:rPr>
        <w:t xml:space="preserve"> </w:t>
      </w:r>
      <w:r w:rsidR="008D5A2C">
        <w:rPr>
          <w:rFonts w:ascii="Calibri" w:eastAsia="Calibri" w:hAnsi="Calibri" w:cs="Calibri"/>
          <w:sz w:val="24"/>
          <w:szCs w:val="24"/>
          <w:lang w:val="el-GR"/>
        </w:rPr>
        <w:t xml:space="preserve">φέρουν </w:t>
      </w:r>
      <w:r w:rsidR="00CA6D13" w:rsidRPr="00CA6D13">
        <w:rPr>
          <w:rFonts w:ascii="Calibri" w:eastAsia="Calibri" w:hAnsi="Calibri" w:cs="Calibri"/>
          <w:sz w:val="24"/>
          <w:szCs w:val="24"/>
          <w:lang w:val="el-GR"/>
        </w:rPr>
        <w:t>βαθμ</w:t>
      </w:r>
      <w:r w:rsidR="00CA6D13">
        <w:rPr>
          <w:rFonts w:ascii="Calibri" w:eastAsia="Calibri" w:hAnsi="Calibri" w:cs="Calibri"/>
          <w:sz w:val="24"/>
          <w:szCs w:val="24"/>
          <w:lang w:val="el-GR"/>
        </w:rPr>
        <w:t>ό</w:t>
      </w:r>
      <w:r w:rsidR="008D5A2C">
        <w:rPr>
          <w:rFonts w:ascii="Calibri" w:eastAsia="Calibri" w:hAnsi="Calibri" w:cs="Calibri"/>
          <w:sz w:val="24"/>
          <w:szCs w:val="24"/>
          <w:lang w:val="el-GR"/>
        </w:rPr>
        <w:t xml:space="preserve"> διαβάθμισης</w:t>
      </w:r>
      <w:r w:rsidR="00A5147D"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αποφάσεις</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που</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θεωρούνται</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απαραίτητες</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για</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το</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συμφέρον</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της</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άμυνας</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και</w:t>
      </w:r>
      <w:r w:rsidR="00CA6D13" w:rsidRPr="00CA6D13">
        <w:rPr>
          <w:rFonts w:ascii="Calibri" w:eastAsia="Calibri" w:hAnsi="Calibri" w:cs="Calibri"/>
          <w:sz w:val="24"/>
          <w:szCs w:val="24"/>
          <w:lang w:val="el-GR"/>
        </w:rPr>
        <w:t xml:space="preserve"> </w:t>
      </w:r>
      <w:r w:rsidR="00DB020C">
        <w:rPr>
          <w:rFonts w:ascii="Calibri" w:eastAsia="Calibri" w:hAnsi="Calibri" w:cs="Calibri"/>
          <w:sz w:val="24"/>
          <w:szCs w:val="24"/>
          <w:lang w:val="el-GR"/>
        </w:rPr>
        <w:t xml:space="preserve">της </w:t>
      </w:r>
      <w:r w:rsidR="00CA6D13">
        <w:rPr>
          <w:rFonts w:ascii="Calibri" w:eastAsia="Calibri" w:hAnsi="Calibri" w:cs="Calibri"/>
          <w:sz w:val="24"/>
          <w:szCs w:val="24"/>
          <w:lang w:val="el-GR"/>
        </w:rPr>
        <w:t>ασφάλειας</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του</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Κράτους</w:t>
      </w:r>
      <w:r w:rsidR="00A5147D"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τη</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συνταγματική</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τάξη</w:t>
      </w:r>
      <w:r w:rsidR="00A5147D"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τη</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δ</w:t>
      </w:r>
      <w:r w:rsidR="00787159">
        <w:rPr>
          <w:rFonts w:ascii="Calibri" w:eastAsia="Calibri" w:hAnsi="Calibri" w:cs="Calibri"/>
          <w:sz w:val="24"/>
          <w:szCs w:val="24"/>
          <w:lang w:val="el-GR"/>
        </w:rPr>
        <w:t>ημ</w:t>
      </w:r>
      <w:r w:rsidR="00CA6D13">
        <w:rPr>
          <w:rFonts w:ascii="Calibri" w:eastAsia="Calibri" w:hAnsi="Calibri" w:cs="Calibri"/>
          <w:sz w:val="24"/>
          <w:szCs w:val="24"/>
          <w:lang w:val="el-GR"/>
        </w:rPr>
        <w:t>όσια</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τάξη</w:t>
      </w:r>
      <w:r w:rsidR="00A5147D"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τη</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δημόσια</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υγεία</w:t>
      </w:r>
      <w:r w:rsidR="00A5147D"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τη</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δημόσια</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ηθική</w:t>
      </w:r>
      <w:r w:rsidR="00A5147D"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τη</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φήμη</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και</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τα</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δικαιώματα</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οποιουδήποτε</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ατόμου</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ή</w:t>
      </w:r>
      <w:r w:rsidR="00CA6D13"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ατόμων</w:t>
      </w:r>
      <w:r w:rsidR="00A5147D" w:rsidRPr="00CA6D13">
        <w:rPr>
          <w:rFonts w:ascii="Calibri" w:eastAsia="Calibri" w:hAnsi="Calibri" w:cs="Calibri"/>
          <w:sz w:val="24"/>
          <w:szCs w:val="24"/>
          <w:lang w:val="el-GR"/>
        </w:rPr>
        <w:t xml:space="preserve">, </w:t>
      </w:r>
      <w:r w:rsidR="00CA6D13">
        <w:rPr>
          <w:rFonts w:ascii="Calibri" w:eastAsia="Calibri" w:hAnsi="Calibri" w:cs="Calibri"/>
          <w:sz w:val="24"/>
          <w:szCs w:val="24"/>
          <w:lang w:val="el-GR"/>
        </w:rPr>
        <w:t xml:space="preserve">τα δικαιώματα και ελευθερίες που </w:t>
      </w:r>
      <w:r w:rsidR="00787159">
        <w:rPr>
          <w:rFonts w:ascii="Calibri" w:eastAsia="Calibri" w:hAnsi="Calibri" w:cs="Calibri"/>
          <w:sz w:val="24"/>
          <w:szCs w:val="24"/>
          <w:lang w:val="el-GR"/>
        </w:rPr>
        <w:t xml:space="preserve">είναι </w:t>
      </w:r>
      <w:r w:rsidR="00CA6D13">
        <w:rPr>
          <w:rFonts w:ascii="Calibri" w:eastAsia="Calibri" w:hAnsi="Calibri" w:cs="Calibri"/>
          <w:sz w:val="24"/>
          <w:szCs w:val="24"/>
          <w:lang w:val="el-GR"/>
        </w:rPr>
        <w:t>εγγυ</w:t>
      </w:r>
      <w:r w:rsidR="00787159">
        <w:rPr>
          <w:rFonts w:ascii="Calibri" w:eastAsia="Calibri" w:hAnsi="Calibri" w:cs="Calibri"/>
          <w:sz w:val="24"/>
          <w:szCs w:val="24"/>
          <w:lang w:val="el-GR"/>
        </w:rPr>
        <w:t>ημέν</w:t>
      </w:r>
      <w:r w:rsidR="00DB020C">
        <w:rPr>
          <w:rFonts w:ascii="Calibri" w:eastAsia="Calibri" w:hAnsi="Calibri" w:cs="Calibri"/>
          <w:sz w:val="24"/>
          <w:szCs w:val="24"/>
          <w:lang w:val="el-GR"/>
        </w:rPr>
        <w:t>ες</w:t>
      </w:r>
      <w:r w:rsidR="00CA6D13">
        <w:rPr>
          <w:rFonts w:ascii="Calibri" w:eastAsia="Calibri" w:hAnsi="Calibri" w:cs="Calibri"/>
          <w:sz w:val="24"/>
          <w:szCs w:val="24"/>
          <w:lang w:val="el-GR"/>
        </w:rPr>
        <w:t xml:space="preserve"> από το Σύνταγμα</w:t>
      </w:r>
      <w:r w:rsidR="00A5147D" w:rsidRPr="00CA6D13">
        <w:rPr>
          <w:rFonts w:ascii="Calibri" w:eastAsia="Calibri" w:hAnsi="Calibri" w:cs="Calibri"/>
          <w:sz w:val="24"/>
          <w:szCs w:val="24"/>
          <w:lang w:val="el-GR"/>
        </w:rPr>
        <w:t xml:space="preserve"> </w:t>
      </w:r>
      <w:r w:rsidR="00787159">
        <w:rPr>
          <w:rFonts w:ascii="Calibri" w:eastAsia="Calibri" w:hAnsi="Calibri" w:cs="Calibri"/>
          <w:sz w:val="24"/>
          <w:szCs w:val="24"/>
          <w:lang w:val="el-GR"/>
        </w:rPr>
        <w:t>και οι σχέσεις του Κράτους με άλλα Κράτη</w:t>
      </w:r>
      <w:r w:rsidR="00A5147D" w:rsidRPr="00CA6D13">
        <w:rPr>
          <w:rFonts w:ascii="Calibri" w:eastAsia="Calibri" w:hAnsi="Calibri" w:cs="Calibri"/>
          <w:sz w:val="24"/>
          <w:szCs w:val="24"/>
          <w:lang w:val="el-GR"/>
        </w:rPr>
        <w:t xml:space="preserve">, </w:t>
      </w:r>
      <w:r w:rsidR="00787159">
        <w:rPr>
          <w:rFonts w:ascii="Calibri" w:eastAsia="Calibri" w:hAnsi="Calibri" w:cs="Calibri"/>
          <w:sz w:val="24"/>
          <w:szCs w:val="24"/>
          <w:lang w:val="el-GR"/>
        </w:rPr>
        <w:t>αποφάσεις που αναφέρονται σε οποιαδήποτε θέματα προσωπικών και</w:t>
      </w:r>
      <w:r w:rsidR="00A5147D" w:rsidRPr="00CA6D13">
        <w:rPr>
          <w:rFonts w:ascii="Calibri" w:eastAsia="Calibri" w:hAnsi="Calibri" w:cs="Calibri"/>
          <w:sz w:val="24"/>
          <w:szCs w:val="24"/>
          <w:lang w:val="el-GR"/>
        </w:rPr>
        <w:t>/</w:t>
      </w:r>
      <w:r w:rsidR="00787159">
        <w:rPr>
          <w:rFonts w:ascii="Calibri" w:eastAsia="Calibri" w:hAnsi="Calibri" w:cs="Calibri"/>
          <w:sz w:val="24"/>
          <w:szCs w:val="24"/>
          <w:lang w:val="el-GR"/>
        </w:rPr>
        <w:t>ή</w:t>
      </w:r>
      <w:r w:rsidR="00A5147D" w:rsidRPr="00CA6D13">
        <w:rPr>
          <w:rFonts w:ascii="Calibri" w:eastAsia="Calibri" w:hAnsi="Calibri" w:cs="Calibri"/>
          <w:sz w:val="24"/>
          <w:szCs w:val="24"/>
          <w:lang w:val="el-GR"/>
        </w:rPr>
        <w:t xml:space="preserve"> </w:t>
      </w:r>
      <w:r w:rsidR="00787159">
        <w:rPr>
          <w:rFonts w:ascii="Calibri" w:eastAsia="Calibri" w:hAnsi="Calibri" w:cs="Calibri"/>
          <w:sz w:val="24"/>
          <w:szCs w:val="24"/>
          <w:lang w:val="el-GR"/>
        </w:rPr>
        <w:t>ευαίσθητων δεδομένων</w:t>
      </w:r>
      <w:r w:rsidR="00A5147D" w:rsidRPr="00CA6D13">
        <w:rPr>
          <w:rFonts w:ascii="Calibri" w:eastAsia="Calibri" w:hAnsi="Calibri" w:cs="Calibri"/>
          <w:sz w:val="24"/>
          <w:szCs w:val="24"/>
          <w:lang w:val="el-GR"/>
        </w:rPr>
        <w:t xml:space="preserve"> </w:t>
      </w:r>
      <w:r w:rsidR="00787159">
        <w:rPr>
          <w:rFonts w:ascii="Calibri" w:eastAsia="Calibri" w:hAnsi="Calibri" w:cs="Calibri"/>
          <w:sz w:val="24"/>
          <w:szCs w:val="24"/>
          <w:lang w:val="el-GR"/>
        </w:rPr>
        <w:t>σύμφωνα με τον Νόμο του</w:t>
      </w:r>
      <w:r w:rsidR="00A5147D" w:rsidRPr="00CA6D13">
        <w:rPr>
          <w:rFonts w:ascii="Calibri" w:eastAsia="Calibri" w:hAnsi="Calibri" w:cs="Calibri"/>
          <w:sz w:val="24"/>
          <w:szCs w:val="24"/>
          <w:lang w:val="el-GR"/>
        </w:rPr>
        <w:t xml:space="preserve"> 2018 </w:t>
      </w:r>
      <w:r w:rsidR="00787159">
        <w:rPr>
          <w:rFonts w:ascii="Calibri" w:eastAsia="Calibri" w:hAnsi="Calibri" w:cs="Calibri"/>
          <w:sz w:val="24"/>
          <w:szCs w:val="24"/>
          <w:lang w:val="el-GR"/>
        </w:rPr>
        <w:t>για την Προστασία Φυσικών Προσώπων</w:t>
      </w:r>
      <w:r w:rsidR="00A5147D" w:rsidRPr="00CA6D13">
        <w:rPr>
          <w:rFonts w:ascii="Calibri" w:eastAsia="Calibri" w:hAnsi="Calibri" w:cs="Calibri"/>
          <w:sz w:val="24"/>
          <w:szCs w:val="24"/>
          <w:lang w:val="el-GR"/>
        </w:rPr>
        <w:t xml:space="preserve"> </w:t>
      </w:r>
      <w:r w:rsidR="00787159">
        <w:rPr>
          <w:rFonts w:ascii="Calibri" w:eastAsia="Calibri" w:hAnsi="Calibri" w:cs="Calibri"/>
          <w:sz w:val="24"/>
          <w:szCs w:val="24"/>
          <w:lang w:val="el-GR"/>
        </w:rPr>
        <w:t>σε σχέση με την Επεξεργασία Προσωπικών Δεδομένων</w:t>
      </w:r>
      <w:r w:rsidR="00A5147D" w:rsidRPr="00CA6D13">
        <w:rPr>
          <w:rFonts w:ascii="Calibri" w:eastAsia="Calibri" w:hAnsi="Calibri" w:cs="Calibri"/>
          <w:sz w:val="24"/>
          <w:szCs w:val="24"/>
          <w:lang w:val="el-GR"/>
        </w:rPr>
        <w:t xml:space="preserve"> </w:t>
      </w:r>
      <w:r w:rsidR="00787159">
        <w:rPr>
          <w:rFonts w:ascii="Calibri" w:eastAsia="Calibri" w:hAnsi="Calibri" w:cs="Calibri"/>
          <w:sz w:val="24"/>
          <w:szCs w:val="24"/>
          <w:lang w:val="el-GR"/>
        </w:rPr>
        <w:t xml:space="preserve">και για την Ελεύθερη </w:t>
      </w:r>
      <w:r w:rsidR="008D5A2C">
        <w:rPr>
          <w:rFonts w:ascii="Calibri" w:eastAsia="Calibri" w:hAnsi="Calibri" w:cs="Calibri"/>
          <w:sz w:val="24"/>
          <w:szCs w:val="24"/>
          <w:lang w:val="el-GR"/>
        </w:rPr>
        <w:t xml:space="preserve">Κυκλοφορία των </w:t>
      </w:r>
      <w:r w:rsidR="00787159">
        <w:rPr>
          <w:rFonts w:ascii="Calibri" w:eastAsia="Calibri" w:hAnsi="Calibri" w:cs="Calibri"/>
          <w:sz w:val="24"/>
          <w:szCs w:val="24"/>
          <w:lang w:val="el-GR"/>
        </w:rPr>
        <w:t>Δεδομένων</w:t>
      </w:r>
      <w:r w:rsidR="008D5A2C">
        <w:rPr>
          <w:rFonts w:ascii="Calibri" w:eastAsia="Calibri" w:hAnsi="Calibri" w:cs="Calibri"/>
          <w:sz w:val="24"/>
          <w:szCs w:val="24"/>
          <w:lang w:val="el-GR"/>
        </w:rPr>
        <w:t xml:space="preserve"> Αυτών</w:t>
      </w:r>
      <w:r w:rsidR="00A5147D" w:rsidRPr="00CA6D13">
        <w:rPr>
          <w:rFonts w:ascii="Calibri" w:eastAsia="Calibri" w:hAnsi="Calibri" w:cs="Calibri"/>
          <w:sz w:val="24"/>
          <w:szCs w:val="24"/>
          <w:lang w:val="el-GR"/>
        </w:rPr>
        <w:t xml:space="preserve">). </w:t>
      </w:r>
      <w:r w:rsidR="00787159">
        <w:rPr>
          <w:rFonts w:ascii="Calibri" w:eastAsia="Calibri" w:hAnsi="Calibri" w:cs="Calibri"/>
          <w:sz w:val="24"/>
          <w:szCs w:val="24"/>
          <w:lang w:val="el-GR"/>
        </w:rPr>
        <w:t>Επιπλέον</w:t>
      </w:r>
      <w:r w:rsidR="00A5147D" w:rsidRPr="00787159">
        <w:rPr>
          <w:rFonts w:ascii="Calibri" w:eastAsia="Calibri" w:hAnsi="Calibri" w:cs="Calibri"/>
          <w:sz w:val="24"/>
          <w:szCs w:val="24"/>
          <w:lang w:val="el-GR"/>
        </w:rPr>
        <w:t xml:space="preserve">, </w:t>
      </w:r>
      <w:r w:rsidR="00787159">
        <w:rPr>
          <w:rFonts w:ascii="Calibri" w:eastAsia="Calibri" w:hAnsi="Calibri" w:cs="Calibri"/>
          <w:sz w:val="24"/>
          <w:szCs w:val="24"/>
          <w:lang w:val="el-GR"/>
        </w:rPr>
        <w:t>προς</w:t>
      </w:r>
      <w:r w:rsidR="00787159" w:rsidRPr="00787159">
        <w:rPr>
          <w:rFonts w:ascii="Calibri" w:eastAsia="Calibri" w:hAnsi="Calibri" w:cs="Calibri"/>
          <w:sz w:val="24"/>
          <w:szCs w:val="24"/>
          <w:lang w:val="el-GR"/>
        </w:rPr>
        <w:t xml:space="preserve"> </w:t>
      </w:r>
      <w:r w:rsidR="00787159">
        <w:rPr>
          <w:rFonts w:ascii="Calibri" w:eastAsia="Calibri" w:hAnsi="Calibri" w:cs="Calibri"/>
          <w:sz w:val="24"/>
          <w:szCs w:val="24"/>
          <w:lang w:val="el-GR"/>
        </w:rPr>
        <w:t>το</w:t>
      </w:r>
      <w:r w:rsidR="00787159" w:rsidRPr="00787159">
        <w:rPr>
          <w:rFonts w:ascii="Calibri" w:eastAsia="Calibri" w:hAnsi="Calibri" w:cs="Calibri"/>
          <w:sz w:val="24"/>
          <w:szCs w:val="24"/>
          <w:lang w:val="el-GR"/>
        </w:rPr>
        <w:t xml:space="preserve"> </w:t>
      </w:r>
      <w:r w:rsidR="00787159">
        <w:rPr>
          <w:rFonts w:ascii="Calibri" w:eastAsia="Calibri" w:hAnsi="Calibri" w:cs="Calibri"/>
          <w:sz w:val="24"/>
          <w:szCs w:val="24"/>
          <w:lang w:val="el-GR"/>
        </w:rPr>
        <w:t>συμφέρον</w:t>
      </w:r>
      <w:r w:rsidR="00787159" w:rsidRPr="00787159">
        <w:rPr>
          <w:rFonts w:ascii="Calibri" w:eastAsia="Calibri" w:hAnsi="Calibri" w:cs="Calibri"/>
          <w:sz w:val="24"/>
          <w:szCs w:val="24"/>
          <w:lang w:val="el-GR"/>
        </w:rPr>
        <w:t xml:space="preserve"> </w:t>
      </w:r>
      <w:r w:rsidR="00787159">
        <w:rPr>
          <w:rFonts w:ascii="Calibri" w:eastAsia="Calibri" w:hAnsi="Calibri" w:cs="Calibri"/>
          <w:sz w:val="24"/>
          <w:szCs w:val="24"/>
          <w:lang w:val="el-GR"/>
        </w:rPr>
        <w:t>της</w:t>
      </w:r>
      <w:r w:rsidR="00787159" w:rsidRPr="00787159">
        <w:rPr>
          <w:rFonts w:ascii="Calibri" w:eastAsia="Calibri" w:hAnsi="Calibri" w:cs="Calibri"/>
          <w:sz w:val="24"/>
          <w:szCs w:val="24"/>
          <w:lang w:val="el-GR"/>
        </w:rPr>
        <w:t xml:space="preserve"> </w:t>
      </w:r>
      <w:r w:rsidR="00787159">
        <w:rPr>
          <w:rFonts w:ascii="Calibri" w:eastAsia="Calibri" w:hAnsi="Calibri" w:cs="Calibri"/>
          <w:sz w:val="24"/>
          <w:szCs w:val="24"/>
          <w:lang w:val="el-GR"/>
        </w:rPr>
        <w:t>διαφάνειας</w:t>
      </w:r>
      <w:r w:rsidR="00A5147D" w:rsidRPr="00787159">
        <w:rPr>
          <w:rFonts w:ascii="Calibri" w:eastAsia="Calibri" w:hAnsi="Calibri" w:cs="Calibri"/>
          <w:sz w:val="24"/>
          <w:szCs w:val="24"/>
          <w:lang w:val="el-GR"/>
        </w:rPr>
        <w:t xml:space="preserve">, </w:t>
      </w:r>
      <w:r w:rsidR="00787159">
        <w:rPr>
          <w:rFonts w:ascii="Calibri" w:eastAsia="Calibri" w:hAnsi="Calibri" w:cs="Calibri"/>
          <w:sz w:val="24"/>
          <w:szCs w:val="24"/>
          <w:lang w:val="el-GR"/>
        </w:rPr>
        <w:t>απόφαση</w:t>
      </w:r>
      <w:r w:rsidR="00787159" w:rsidRPr="00787159">
        <w:rPr>
          <w:rFonts w:ascii="Calibri" w:eastAsia="Calibri" w:hAnsi="Calibri" w:cs="Calibri"/>
          <w:sz w:val="24"/>
          <w:szCs w:val="24"/>
          <w:lang w:val="el-GR"/>
        </w:rPr>
        <w:t xml:space="preserve"> </w:t>
      </w:r>
      <w:r w:rsidR="00787159">
        <w:rPr>
          <w:rFonts w:ascii="Calibri" w:eastAsia="Calibri" w:hAnsi="Calibri" w:cs="Calibri"/>
          <w:sz w:val="24"/>
          <w:szCs w:val="24"/>
          <w:lang w:val="el-GR"/>
        </w:rPr>
        <w:t>του</w:t>
      </w:r>
      <w:r w:rsidR="00787159" w:rsidRPr="00787159">
        <w:rPr>
          <w:rFonts w:ascii="Calibri" w:eastAsia="Calibri" w:hAnsi="Calibri" w:cs="Calibri"/>
          <w:sz w:val="24"/>
          <w:szCs w:val="24"/>
          <w:lang w:val="el-GR"/>
        </w:rPr>
        <w:t xml:space="preserve"> </w:t>
      </w:r>
      <w:r w:rsidR="00787159">
        <w:rPr>
          <w:rFonts w:ascii="Calibri" w:eastAsia="Calibri" w:hAnsi="Calibri" w:cs="Calibri"/>
          <w:sz w:val="24"/>
          <w:szCs w:val="24"/>
          <w:lang w:val="el-GR"/>
        </w:rPr>
        <w:t>Υπουργικού</w:t>
      </w:r>
      <w:r w:rsidR="00787159" w:rsidRPr="00787159">
        <w:rPr>
          <w:rFonts w:ascii="Calibri" w:eastAsia="Calibri" w:hAnsi="Calibri" w:cs="Calibri"/>
          <w:sz w:val="24"/>
          <w:szCs w:val="24"/>
          <w:lang w:val="el-GR"/>
        </w:rPr>
        <w:t xml:space="preserve"> </w:t>
      </w:r>
      <w:r w:rsidR="00787159">
        <w:rPr>
          <w:rFonts w:ascii="Calibri" w:eastAsia="Calibri" w:hAnsi="Calibri" w:cs="Calibri"/>
          <w:sz w:val="24"/>
          <w:szCs w:val="24"/>
          <w:lang w:val="el-GR"/>
        </w:rPr>
        <w:t>Συμβουλίου</w:t>
      </w:r>
      <w:r w:rsidR="00A5147D" w:rsidRPr="004E251E">
        <w:rPr>
          <w:rStyle w:val="FootnoteReference"/>
          <w:rFonts w:ascii="Calibri" w:eastAsia="Calibri" w:hAnsi="Calibri" w:cs="Calibri"/>
          <w:sz w:val="24"/>
          <w:szCs w:val="24"/>
        </w:rPr>
        <w:footnoteReference w:id="40"/>
      </w:r>
      <w:r w:rsidR="00A5147D" w:rsidRPr="00787159">
        <w:rPr>
          <w:rFonts w:ascii="Calibri" w:eastAsia="Calibri" w:hAnsi="Calibri" w:cs="Calibri"/>
          <w:sz w:val="24"/>
          <w:szCs w:val="24"/>
          <w:lang w:val="el-GR"/>
        </w:rPr>
        <w:t xml:space="preserve"> </w:t>
      </w:r>
      <w:r w:rsidR="00787159">
        <w:rPr>
          <w:rFonts w:ascii="Calibri" w:eastAsia="Calibri" w:hAnsi="Calibri" w:cs="Calibri"/>
          <w:sz w:val="24"/>
          <w:szCs w:val="24"/>
          <w:lang w:val="el-GR"/>
        </w:rPr>
        <w:t>δ</w:t>
      </w:r>
      <w:r w:rsidR="00DB020C">
        <w:rPr>
          <w:rFonts w:ascii="Calibri" w:eastAsia="Calibri" w:hAnsi="Calibri" w:cs="Calibri"/>
          <w:sz w:val="24"/>
          <w:szCs w:val="24"/>
          <w:lang w:val="el-GR"/>
        </w:rPr>
        <w:t>η</w:t>
      </w:r>
      <w:r w:rsidR="00787159">
        <w:rPr>
          <w:rFonts w:ascii="Calibri" w:eastAsia="Calibri" w:hAnsi="Calibri" w:cs="Calibri"/>
          <w:sz w:val="24"/>
          <w:szCs w:val="24"/>
          <w:lang w:val="el-GR"/>
        </w:rPr>
        <w:t>λ</w:t>
      </w:r>
      <w:r w:rsidR="00DB020C">
        <w:rPr>
          <w:rFonts w:ascii="Calibri" w:eastAsia="Calibri" w:hAnsi="Calibri" w:cs="Calibri"/>
          <w:sz w:val="24"/>
          <w:szCs w:val="24"/>
          <w:lang w:val="el-GR"/>
        </w:rPr>
        <w:t>ώ</w:t>
      </w:r>
      <w:r w:rsidR="00787159">
        <w:rPr>
          <w:rFonts w:ascii="Calibri" w:eastAsia="Calibri" w:hAnsi="Calibri" w:cs="Calibri"/>
          <w:sz w:val="24"/>
          <w:szCs w:val="24"/>
          <w:lang w:val="el-GR"/>
        </w:rPr>
        <w:t>νε</w:t>
      </w:r>
      <w:r w:rsidR="00DB020C">
        <w:rPr>
          <w:rFonts w:ascii="Calibri" w:eastAsia="Calibri" w:hAnsi="Calibri" w:cs="Calibri"/>
          <w:sz w:val="24"/>
          <w:szCs w:val="24"/>
          <w:lang w:val="el-GR"/>
        </w:rPr>
        <w:t>ι</w:t>
      </w:r>
      <w:r w:rsidR="00787159" w:rsidRPr="00787159">
        <w:rPr>
          <w:rFonts w:ascii="Calibri" w:eastAsia="Calibri" w:hAnsi="Calibri" w:cs="Calibri"/>
          <w:sz w:val="24"/>
          <w:szCs w:val="24"/>
          <w:lang w:val="el-GR"/>
        </w:rPr>
        <w:t xml:space="preserve"> </w:t>
      </w:r>
      <w:r w:rsidR="00787159">
        <w:rPr>
          <w:rFonts w:ascii="Calibri" w:eastAsia="Calibri" w:hAnsi="Calibri" w:cs="Calibri"/>
          <w:sz w:val="24"/>
          <w:szCs w:val="24"/>
          <w:lang w:val="el-GR"/>
        </w:rPr>
        <w:t>ότι ο αριθμός των αποφάσεων</w:t>
      </w:r>
      <w:r w:rsidR="00A5147D" w:rsidRPr="00787159">
        <w:rPr>
          <w:rFonts w:ascii="Calibri" w:eastAsia="Calibri" w:hAnsi="Calibri" w:cs="Calibri"/>
          <w:sz w:val="24"/>
          <w:szCs w:val="24"/>
          <w:lang w:val="el-GR"/>
        </w:rPr>
        <w:t xml:space="preserve"> </w:t>
      </w:r>
      <w:r w:rsidR="00787159">
        <w:rPr>
          <w:rFonts w:ascii="Calibri" w:eastAsia="Calibri" w:hAnsi="Calibri" w:cs="Calibri"/>
          <w:sz w:val="24"/>
          <w:szCs w:val="24"/>
          <w:lang w:val="el-GR"/>
        </w:rPr>
        <w:t>που δεν θα δημοσιε</w:t>
      </w:r>
      <w:r w:rsidR="002E394C">
        <w:rPr>
          <w:rFonts w:ascii="Calibri" w:eastAsia="Calibri" w:hAnsi="Calibri" w:cs="Calibri"/>
          <w:sz w:val="24"/>
          <w:szCs w:val="24"/>
          <w:lang w:val="el-GR"/>
        </w:rPr>
        <w:t>ύονται</w:t>
      </w:r>
      <w:r w:rsidR="00A5147D" w:rsidRPr="00787159">
        <w:rPr>
          <w:rFonts w:ascii="Calibri" w:eastAsia="Calibri" w:hAnsi="Calibri" w:cs="Calibri"/>
          <w:sz w:val="24"/>
          <w:szCs w:val="24"/>
          <w:lang w:val="el-GR"/>
        </w:rPr>
        <w:t xml:space="preserve"> </w:t>
      </w:r>
      <w:r w:rsidR="00787159">
        <w:rPr>
          <w:rFonts w:ascii="Calibri" w:eastAsia="Calibri" w:hAnsi="Calibri" w:cs="Calibri"/>
          <w:sz w:val="24"/>
          <w:szCs w:val="24"/>
          <w:lang w:val="el-GR"/>
        </w:rPr>
        <w:t xml:space="preserve">πρέπει να </w:t>
      </w:r>
      <w:r w:rsidR="002E394C">
        <w:rPr>
          <w:rFonts w:ascii="Calibri" w:eastAsia="Calibri" w:hAnsi="Calibri" w:cs="Calibri"/>
          <w:sz w:val="24"/>
          <w:szCs w:val="24"/>
          <w:lang w:val="el-GR"/>
        </w:rPr>
        <w:t xml:space="preserve">περιορίζεται </w:t>
      </w:r>
      <w:r w:rsidR="00787159">
        <w:rPr>
          <w:rFonts w:ascii="Calibri" w:eastAsia="Calibri" w:hAnsi="Calibri" w:cs="Calibri"/>
          <w:sz w:val="24"/>
          <w:szCs w:val="24"/>
          <w:lang w:val="el-GR"/>
        </w:rPr>
        <w:t>στο ελάχιστο</w:t>
      </w:r>
      <w:r w:rsidR="00A5147D" w:rsidRPr="00787159">
        <w:rPr>
          <w:rFonts w:ascii="Calibri" w:eastAsia="Calibri" w:hAnsi="Calibri" w:cs="Calibri"/>
          <w:sz w:val="24"/>
          <w:szCs w:val="24"/>
          <w:lang w:val="el-GR"/>
        </w:rPr>
        <w:t xml:space="preserve">. </w:t>
      </w:r>
    </w:p>
    <w:p w14:paraId="023396BF" w14:textId="77777777" w:rsidR="00A5147D" w:rsidRPr="00787159" w:rsidRDefault="00A5147D" w:rsidP="00A5147D">
      <w:pPr>
        <w:pStyle w:val="ListParagraph"/>
        <w:rPr>
          <w:rFonts w:cstheme="minorHAnsi"/>
          <w:sz w:val="24"/>
          <w:szCs w:val="24"/>
          <w:lang w:val="el-GR"/>
        </w:rPr>
      </w:pPr>
    </w:p>
    <w:p w14:paraId="5A878B20" w14:textId="07EABF94" w:rsidR="00A5147D" w:rsidRPr="00743777" w:rsidRDefault="00787159" w:rsidP="006E716A">
      <w:pPr>
        <w:numPr>
          <w:ilvl w:val="0"/>
          <w:numId w:val="1"/>
        </w:numPr>
        <w:tabs>
          <w:tab w:val="clear" w:pos="6095"/>
          <w:tab w:val="left" w:pos="709"/>
        </w:tabs>
        <w:ind w:left="0" w:firstLine="0"/>
        <w:rPr>
          <w:rFonts w:cstheme="minorHAnsi"/>
          <w:sz w:val="24"/>
          <w:szCs w:val="24"/>
          <w:lang w:val="el-GR"/>
        </w:rPr>
      </w:pPr>
      <w:bookmarkStart w:id="74" w:name="_Hlk132888427"/>
      <w:r>
        <w:rPr>
          <w:rFonts w:cstheme="minorHAnsi"/>
          <w:sz w:val="24"/>
          <w:szCs w:val="24"/>
        </w:rPr>
        <w:t>H</w:t>
      </w:r>
      <w:r w:rsidRPr="00787159">
        <w:rPr>
          <w:rFonts w:cstheme="minorHAnsi"/>
          <w:sz w:val="24"/>
          <w:szCs w:val="24"/>
          <w:lang w:val="el-GR"/>
        </w:rPr>
        <w:t xml:space="preserve"> </w:t>
      </w:r>
      <w:r>
        <w:rPr>
          <w:rFonts w:cstheme="minorHAnsi"/>
          <w:sz w:val="24"/>
          <w:szCs w:val="24"/>
        </w:rPr>
        <w:t>K</w:t>
      </w:r>
      <w:proofErr w:type="spellStart"/>
      <w:r>
        <w:rPr>
          <w:rFonts w:cstheme="minorHAnsi"/>
          <w:sz w:val="24"/>
          <w:szCs w:val="24"/>
          <w:lang w:val="el-GR"/>
        </w:rPr>
        <w:t>ύπρος</w:t>
      </w:r>
      <w:proofErr w:type="spellEnd"/>
      <w:r w:rsidRPr="00787159">
        <w:rPr>
          <w:rFonts w:cstheme="minorHAnsi"/>
          <w:sz w:val="24"/>
          <w:szCs w:val="24"/>
          <w:lang w:val="el-GR"/>
        </w:rPr>
        <w:t xml:space="preserve"> </w:t>
      </w:r>
      <w:r>
        <w:rPr>
          <w:rFonts w:cstheme="minorHAnsi"/>
          <w:sz w:val="24"/>
          <w:szCs w:val="24"/>
          <w:lang w:val="el-GR"/>
        </w:rPr>
        <w:t>έχει</w:t>
      </w:r>
      <w:r w:rsidR="00135AD5" w:rsidRPr="002B7C4B">
        <w:rPr>
          <w:rFonts w:cstheme="minorHAnsi"/>
          <w:sz w:val="24"/>
          <w:szCs w:val="24"/>
          <w:lang w:val="el-GR"/>
        </w:rPr>
        <w:t xml:space="preserve"> </w:t>
      </w:r>
      <w:r w:rsidR="00135AD5">
        <w:rPr>
          <w:rFonts w:cstheme="minorHAnsi"/>
          <w:sz w:val="24"/>
          <w:szCs w:val="24"/>
          <w:lang w:val="el-GR"/>
        </w:rPr>
        <w:t>επί τόπου</w:t>
      </w:r>
      <w:r w:rsidRPr="00787159">
        <w:rPr>
          <w:rFonts w:cstheme="minorHAnsi"/>
          <w:sz w:val="24"/>
          <w:szCs w:val="24"/>
          <w:lang w:val="el-GR"/>
        </w:rPr>
        <w:t xml:space="preserve"> </w:t>
      </w:r>
      <w:r>
        <w:rPr>
          <w:rFonts w:cstheme="minorHAnsi"/>
          <w:sz w:val="24"/>
          <w:szCs w:val="24"/>
          <w:lang w:val="el-GR"/>
        </w:rPr>
        <w:t>πολλά</w:t>
      </w:r>
      <w:r w:rsidRPr="00787159">
        <w:rPr>
          <w:rFonts w:cstheme="minorHAnsi"/>
          <w:sz w:val="24"/>
          <w:szCs w:val="24"/>
          <w:lang w:val="el-GR"/>
        </w:rPr>
        <w:t xml:space="preserve"> </w:t>
      </w:r>
      <w:r>
        <w:rPr>
          <w:rFonts w:cstheme="minorHAnsi"/>
          <w:sz w:val="24"/>
          <w:szCs w:val="24"/>
          <w:lang w:val="el-GR"/>
        </w:rPr>
        <w:t>βασικά</w:t>
      </w:r>
      <w:r w:rsidRPr="00787159">
        <w:rPr>
          <w:rFonts w:cstheme="minorHAnsi"/>
          <w:sz w:val="24"/>
          <w:szCs w:val="24"/>
          <w:lang w:val="el-GR"/>
        </w:rPr>
        <w:t xml:space="preserve"> </w:t>
      </w:r>
      <w:r>
        <w:rPr>
          <w:rFonts w:cstheme="minorHAnsi"/>
          <w:sz w:val="24"/>
          <w:szCs w:val="24"/>
          <w:lang w:val="el-GR"/>
        </w:rPr>
        <w:t>στοιχεία</w:t>
      </w:r>
      <w:r w:rsidRPr="00787159">
        <w:rPr>
          <w:rFonts w:cstheme="minorHAnsi"/>
          <w:sz w:val="24"/>
          <w:szCs w:val="24"/>
          <w:lang w:val="el-GR"/>
        </w:rPr>
        <w:t xml:space="preserve"> </w:t>
      </w:r>
      <w:r>
        <w:rPr>
          <w:rFonts w:cstheme="minorHAnsi"/>
          <w:sz w:val="24"/>
          <w:szCs w:val="24"/>
          <w:lang w:val="el-GR"/>
        </w:rPr>
        <w:t>για</w:t>
      </w:r>
      <w:r w:rsidRPr="00787159">
        <w:rPr>
          <w:rFonts w:cstheme="minorHAnsi"/>
          <w:sz w:val="24"/>
          <w:szCs w:val="24"/>
          <w:lang w:val="el-GR"/>
        </w:rPr>
        <w:t xml:space="preserve"> </w:t>
      </w:r>
      <w:r>
        <w:rPr>
          <w:rFonts w:cstheme="minorHAnsi"/>
          <w:sz w:val="24"/>
          <w:szCs w:val="24"/>
          <w:lang w:val="el-GR"/>
        </w:rPr>
        <w:t>μια</w:t>
      </w:r>
      <w:r w:rsidRPr="00787159">
        <w:rPr>
          <w:rFonts w:cstheme="minorHAnsi"/>
          <w:sz w:val="24"/>
          <w:szCs w:val="24"/>
          <w:lang w:val="el-GR"/>
        </w:rPr>
        <w:t xml:space="preserve"> </w:t>
      </w:r>
      <w:r w:rsidR="00135AD5">
        <w:rPr>
          <w:rFonts w:cstheme="minorHAnsi"/>
          <w:sz w:val="24"/>
          <w:szCs w:val="24"/>
          <w:lang w:val="el-GR"/>
        </w:rPr>
        <w:t xml:space="preserve">υγιή </w:t>
      </w:r>
      <w:r>
        <w:rPr>
          <w:rFonts w:cstheme="minorHAnsi"/>
          <w:sz w:val="24"/>
          <w:szCs w:val="24"/>
          <w:lang w:val="el-GR"/>
        </w:rPr>
        <w:t>πρόσβαση</w:t>
      </w:r>
      <w:r w:rsidRPr="00787159">
        <w:rPr>
          <w:rFonts w:cstheme="minorHAnsi"/>
          <w:sz w:val="24"/>
          <w:szCs w:val="24"/>
          <w:lang w:val="el-GR"/>
        </w:rPr>
        <w:t xml:space="preserve"> </w:t>
      </w:r>
      <w:r>
        <w:rPr>
          <w:rFonts w:cstheme="minorHAnsi"/>
          <w:sz w:val="24"/>
          <w:szCs w:val="24"/>
          <w:lang w:val="el-GR"/>
        </w:rPr>
        <w:t>σε</w:t>
      </w:r>
      <w:r w:rsidRPr="00787159">
        <w:rPr>
          <w:rFonts w:cstheme="minorHAnsi"/>
          <w:sz w:val="24"/>
          <w:szCs w:val="24"/>
          <w:lang w:val="el-GR"/>
        </w:rPr>
        <w:t xml:space="preserve"> </w:t>
      </w:r>
      <w:r>
        <w:rPr>
          <w:rFonts w:cstheme="minorHAnsi"/>
          <w:sz w:val="24"/>
          <w:szCs w:val="24"/>
          <w:lang w:val="el-GR"/>
        </w:rPr>
        <w:t>ένα</w:t>
      </w:r>
      <w:r w:rsidRPr="00787159">
        <w:rPr>
          <w:rFonts w:cstheme="minorHAnsi"/>
          <w:sz w:val="24"/>
          <w:szCs w:val="24"/>
          <w:lang w:val="el-GR"/>
        </w:rPr>
        <w:t xml:space="preserve"> </w:t>
      </w:r>
      <w:r>
        <w:rPr>
          <w:rFonts w:cstheme="minorHAnsi"/>
          <w:sz w:val="24"/>
          <w:szCs w:val="24"/>
          <w:lang w:val="el-GR"/>
        </w:rPr>
        <w:t>καθεστώς</w:t>
      </w:r>
      <w:r w:rsidRPr="00787159">
        <w:rPr>
          <w:rFonts w:cstheme="minorHAnsi"/>
          <w:sz w:val="24"/>
          <w:szCs w:val="24"/>
          <w:lang w:val="el-GR"/>
        </w:rPr>
        <w:t xml:space="preserve"> </w:t>
      </w:r>
      <w:r>
        <w:rPr>
          <w:rFonts w:cstheme="minorHAnsi"/>
          <w:sz w:val="24"/>
          <w:szCs w:val="24"/>
          <w:lang w:val="el-GR"/>
        </w:rPr>
        <w:t>πληροφοριών</w:t>
      </w:r>
      <w:r w:rsidR="00A5147D" w:rsidRPr="00787159">
        <w:rPr>
          <w:rFonts w:cstheme="minorHAnsi"/>
          <w:sz w:val="24"/>
          <w:szCs w:val="24"/>
          <w:lang w:val="el-GR"/>
        </w:rPr>
        <w:t xml:space="preserve">, </w:t>
      </w:r>
      <w:r>
        <w:rPr>
          <w:rFonts w:cstheme="minorHAnsi"/>
          <w:sz w:val="24"/>
          <w:szCs w:val="24"/>
          <w:lang w:val="el-GR"/>
        </w:rPr>
        <w:t>κυρίως τον Νόμο</w:t>
      </w:r>
      <w:r w:rsidR="00A5147D" w:rsidRPr="00787159">
        <w:rPr>
          <w:rFonts w:cstheme="minorHAnsi"/>
          <w:sz w:val="24"/>
          <w:szCs w:val="24"/>
          <w:lang w:val="el-GR"/>
        </w:rPr>
        <w:t xml:space="preserve"> 184(</w:t>
      </w:r>
      <w:r w:rsidR="00A5147D" w:rsidRPr="00B95983">
        <w:rPr>
          <w:rFonts w:cstheme="minorHAnsi"/>
          <w:sz w:val="24"/>
          <w:szCs w:val="24"/>
        </w:rPr>
        <w:t>I</w:t>
      </w:r>
      <w:r w:rsidR="00A5147D" w:rsidRPr="00787159">
        <w:rPr>
          <w:rFonts w:cstheme="minorHAnsi"/>
          <w:sz w:val="24"/>
          <w:szCs w:val="24"/>
          <w:lang w:val="el-GR"/>
        </w:rPr>
        <w:t xml:space="preserve">)/2017, </w:t>
      </w:r>
      <w:r>
        <w:rPr>
          <w:rFonts w:cstheme="minorHAnsi"/>
          <w:sz w:val="24"/>
          <w:szCs w:val="24"/>
          <w:lang w:val="el-GR"/>
        </w:rPr>
        <w:t>που επίσης προβλέπει την παρακολούθηση τ</w:t>
      </w:r>
      <w:r w:rsidR="00135AD5">
        <w:rPr>
          <w:rFonts w:cstheme="minorHAnsi"/>
          <w:sz w:val="24"/>
          <w:szCs w:val="24"/>
          <w:lang w:val="el-GR"/>
        </w:rPr>
        <w:t>ου</w:t>
      </w:r>
      <w:r>
        <w:rPr>
          <w:rFonts w:cstheme="minorHAnsi"/>
          <w:sz w:val="24"/>
          <w:szCs w:val="24"/>
          <w:lang w:val="el-GR"/>
        </w:rPr>
        <w:t xml:space="preserve"> από τον Επίτροπο Πληροφοριών</w:t>
      </w:r>
      <w:r w:rsidR="00D14342" w:rsidRPr="00787159">
        <w:rPr>
          <w:rFonts w:cstheme="minorHAnsi"/>
          <w:sz w:val="24"/>
          <w:szCs w:val="24"/>
          <w:lang w:val="el-GR"/>
        </w:rPr>
        <w:t xml:space="preserve">. </w:t>
      </w:r>
      <w:r>
        <w:rPr>
          <w:rFonts w:cstheme="minorHAnsi"/>
          <w:sz w:val="24"/>
          <w:szCs w:val="24"/>
          <w:lang w:val="el-GR"/>
        </w:rPr>
        <w:t>Ωστόσο</w:t>
      </w:r>
      <w:r w:rsidR="00B00064" w:rsidRPr="004706BB">
        <w:rPr>
          <w:rFonts w:ascii="Calibri" w:eastAsia="Calibri" w:hAnsi="Calibri" w:cs="Calibri"/>
          <w:sz w:val="24"/>
          <w:szCs w:val="24"/>
          <w:lang w:val="el-GR"/>
        </w:rPr>
        <w:t xml:space="preserve">, </w:t>
      </w:r>
      <w:r>
        <w:rPr>
          <w:rFonts w:ascii="Calibri" w:eastAsia="Calibri" w:hAnsi="Calibri" w:cs="Calibri"/>
          <w:sz w:val="24"/>
          <w:szCs w:val="24"/>
          <w:lang w:val="el-GR"/>
        </w:rPr>
        <w:t>η</w:t>
      </w:r>
      <w:r w:rsidR="00B00064" w:rsidRPr="004706BB">
        <w:rPr>
          <w:rFonts w:ascii="Calibri" w:eastAsia="Calibri" w:hAnsi="Calibri" w:cs="Calibri"/>
          <w:sz w:val="24"/>
          <w:szCs w:val="24"/>
          <w:lang w:val="el-GR"/>
        </w:rPr>
        <w:t xml:space="preserve"> </w:t>
      </w:r>
      <w:r w:rsidR="00B00064" w:rsidRPr="00B95983">
        <w:rPr>
          <w:rFonts w:ascii="Calibri" w:eastAsia="Calibri" w:hAnsi="Calibri" w:cs="Calibri"/>
          <w:sz w:val="24"/>
          <w:szCs w:val="24"/>
        </w:rPr>
        <w:t>GET</w:t>
      </w:r>
      <w:r w:rsidR="00B00064" w:rsidRPr="004706BB">
        <w:rPr>
          <w:rFonts w:ascii="Calibri" w:eastAsia="Calibri" w:hAnsi="Calibri" w:cs="Calibri"/>
          <w:sz w:val="24"/>
          <w:szCs w:val="24"/>
          <w:lang w:val="el-GR"/>
        </w:rPr>
        <w:t xml:space="preserve"> </w:t>
      </w:r>
      <w:r w:rsidR="00135AD5">
        <w:rPr>
          <w:rFonts w:ascii="Calibri" w:eastAsia="Calibri" w:hAnsi="Calibri" w:cs="Calibri"/>
          <w:sz w:val="24"/>
          <w:szCs w:val="24"/>
          <w:lang w:val="el-GR"/>
        </w:rPr>
        <w:t xml:space="preserve">άκουσε </w:t>
      </w:r>
      <w:r>
        <w:rPr>
          <w:rFonts w:ascii="Calibri" w:eastAsia="Calibri" w:hAnsi="Calibri" w:cs="Calibri"/>
          <w:sz w:val="24"/>
          <w:szCs w:val="24"/>
          <w:lang w:val="el-GR"/>
        </w:rPr>
        <w:t>κάποια</w:t>
      </w:r>
      <w:r w:rsidRPr="004706BB">
        <w:rPr>
          <w:rFonts w:ascii="Calibri" w:eastAsia="Calibri" w:hAnsi="Calibri" w:cs="Calibri"/>
          <w:sz w:val="24"/>
          <w:szCs w:val="24"/>
          <w:lang w:val="el-GR"/>
        </w:rPr>
        <w:t xml:space="preserve"> </w:t>
      </w:r>
      <w:r>
        <w:rPr>
          <w:rFonts w:ascii="Calibri" w:eastAsia="Calibri" w:hAnsi="Calibri" w:cs="Calibri"/>
          <w:sz w:val="24"/>
          <w:szCs w:val="24"/>
          <w:lang w:val="el-GR"/>
        </w:rPr>
        <w:t>κριτική</w:t>
      </w:r>
      <w:r w:rsidR="00B00064"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για</w:t>
      </w:r>
      <w:r w:rsidR="004706BB"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την</w:t>
      </w:r>
      <w:r w:rsidR="004706BB"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αποτελεσματική</w:t>
      </w:r>
      <w:r w:rsidR="004706BB"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υλοποίηση του</w:t>
      </w:r>
      <w:r w:rsidR="00B00064"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 xml:space="preserve">και την προθυμία και </w:t>
      </w:r>
      <w:r w:rsidR="00135AD5">
        <w:rPr>
          <w:rFonts w:ascii="Calibri" w:eastAsia="Calibri" w:hAnsi="Calibri" w:cs="Calibri"/>
          <w:sz w:val="24"/>
          <w:szCs w:val="24"/>
          <w:lang w:val="el-GR"/>
        </w:rPr>
        <w:t xml:space="preserve">το έγκαιρο </w:t>
      </w:r>
      <w:r w:rsidR="004706BB">
        <w:rPr>
          <w:rFonts w:ascii="Calibri" w:eastAsia="Calibri" w:hAnsi="Calibri" w:cs="Calibri"/>
          <w:sz w:val="24"/>
          <w:szCs w:val="24"/>
          <w:lang w:val="el-GR"/>
        </w:rPr>
        <w:t>των δημοσίων αρχών για αποκάλυψη πληροφοριών</w:t>
      </w:r>
      <w:r w:rsidR="00B00064"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Φαίνεται</w:t>
      </w:r>
      <w:r w:rsidR="004706BB"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ότι</w:t>
      </w:r>
      <w:r w:rsidR="004706BB"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κάποια</w:t>
      </w:r>
      <w:r w:rsidR="004706BB"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επιπρόσθετη</w:t>
      </w:r>
      <w:r w:rsidR="004706BB"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νομοθετική</w:t>
      </w:r>
      <w:r w:rsidR="004706BB"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εργασία</w:t>
      </w:r>
      <w:r w:rsidR="004706BB"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πρέπει</w:t>
      </w:r>
      <w:r w:rsidR="004706BB"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να</w:t>
      </w:r>
      <w:r w:rsidR="004706BB"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γίνει</w:t>
      </w:r>
      <w:r w:rsidR="004706BB"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για</w:t>
      </w:r>
      <w:r w:rsidR="004706BB"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να</w:t>
      </w:r>
      <w:r w:rsidR="004706BB"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συμφιλιωθούν</w:t>
      </w:r>
      <w:r w:rsidR="004706BB"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καλύτερα</w:t>
      </w:r>
      <w:r w:rsidR="004706BB"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κάποιοι</w:t>
      </w:r>
      <w:r w:rsidR="004706BB"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νόμοι</w:t>
      </w:r>
      <w:r w:rsidR="00F6291E" w:rsidRPr="004706BB">
        <w:rPr>
          <w:rFonts w:ascii="Calibri" w:eastAsia="Calibri" w:hAnsi="Calibri" w:cs="Calibri"/>
          <w:sz w:val="24"/>
          <w:szCs w:val="24"/>
          <w:lang w:val="el-GR"/>
        </w:rPr>
        <w:t xml:space="preserve"> (</w:t>
      </w:r>
      <w:r w:rsidR="00F6291E" w:rsidRPr="00B95983">
        <w:rPr>
          <w:rFonts w:ascii="Calibri" w:eastAsia="Calibri" w:hAnsi="Calibri" w:cs="Calibri"/>
          <w:i/>
          <w:iCs/>
          <w:sz w:val="24"/>
          <w:szCs w:val="24"/>
        </w:rPr>
        <w:t>lex</w:t>
      </w:r>
      <w:r w:rsidR="00F6291E" w:rsidRPr="004706BB">
        <w:rPr>
          <w:rFonts w:ascii="Calibri" w:eastAsia="Calibri" w:hAnsi="Calibri" w:cs="Calibri"/>
          <w:i/>
          <w:iCs/>
          <w:sz w:val="24"/>
          <w:szCs w:val="24"/>
          <w:lang w:val="el-GR"/>
        </w:rPr>
        <w:t xml:space="preserve"> </w:t>
      </w:r>
      <w:proofErr w:type="spellStart"/>
      <w:r w:rsidR="00F6291E" w:rsidRPr="00B95983">
        <w:rPr>
          <w:rFonts w:ascii="Calibri" w:eastAsia="Calibri" w:hAnsi="Calibri" w:cs="Calibri"/>
          <w:i/>
          <w:iCs/>
          <w:sz w:val="24"/>
          <w:szCs w:val="24"/>
        </w:rPr>
        <w:t>specialis</w:t>
      </w:r>
      <w:proofErr w:type="spellEnd"/>
      <w:r w:rsidR="00F6291E"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με απαιτήσεις για πρόσβαση σε πληροφορίες</w:t>
      </w:r>
      <w:r w:rsidR="00F6291E"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και για να μπορέσει ο Επίτροπος Πληροφοριών</w:t>
      </w:r>
      <w:r w:rsidR="00F6291E"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να εξασκήσει κάποιες εξουσίες πάνω σε τέτοιους νόμους</w:t>
      </w:r>
      <w:r w:rsidR="00F6291E" w:rsidRPr="004706BB">
        <w:rPr>
          <w:rFonts w:ascii="Calibri" w:eastAsia="Calibri" w:hAnsi="Calibri" w:cs="Calibri"/>
          <w:sz w:val="24"/>
          <w:szCs w:val="24"/>
          <w:lang w:val="el-GR"/>
        </w:rPr>
        <w:t>.</w:t>
      </w:r>
      <w:r w:rsidR="000362A1" w:rsidRPr="004706BB">
        <w:rPr>
          <w:rFonts w:ascii="Calibri" w:eastAsia="Calibri" w:hAnsi="Calibri" w:cs="Calibri"/>
          <w:sz w:val="24"/>
          <w:szCs w:val="24"/>
          <w:lang w:val="el-GR"/>
        </w:rPr>
        <w:t xml:space="preserve"> </w:t>
      </w:r>
      <w:r w:rsidR="004706BB">
        <w:rPr>
          <w:rFonts w:ascii="Calibri" w:eastAsia="Calibri" w:hAnsi="Calibri" w:cs="Calibri"/>
          <w:sz w:val="24"/>
          <w:szCs w:val="24"/>
          <w:lang w:val="el-GR"/>
        </w:rPr>
        <w:t>Η</w:t>
      </w:r>
      <w:r w:rsidR="00CB2974" w:rsidRPr="00CB188A">
        <w:rPr>
          <w:rFonts w:ascii="Calibri" w:eastAsia="Calibri" w:hAnsi="Calibri" w:cs="Calibri"/>
          <w:sz w:val="24"/>
          <w:szCs w:val="24"/>
          <w:lang w:val="el-GR"/>
        </w:rPr>
        <w:t xml:space="preserve"> </w:t>
      </w:r>
      <w:r w:rsidR="00CB2974" w:rsidRPr="00B95983">
        <w:rPr>
          <w:rFonts w:ascii="Calibri" w:eastAsia="Calibri" w:hAnsi="Calibri" w:cs="Calibri"/>
          <w:sz w:val="24"/>
          <w:szCs w:val="24"/>
        </w:rPr>
        <w:t>GET</w:t>
      </w:r>
      <w:r w:rsidR="00CB2974" w:rsidRPr="00CB188A">
        <w:rPr>
          <w:rFonts w:ascii="Calibri" w:eastAsia="Calibri" w:hAnsi="Calibri" w:cs="Calibri"/>
          <w:sz w:val="24"/>
          <w:szCs w:val="24"/>
          <w:lang w:val="el-GR"/>
        </w:rPr>
        <w:t xml:space="preserve"> </w:t>
      </w:r>
      <w:r w:rsidR="00612EB3">
        <w:rPr>
          <w:rFonts w:ascii="Calibri" w:eastAsia="Calibri" w:hAnsi="Calibri" w:cs="Calibri"/>
          <w:sz w:val="24"/>
          <w:szCs w:val="24"/>
          <w:lang w:val="el-GR"/>
        </w:rPr>
        <w:t xml:space="preserve">πληροφορήθηκε </w:t>
      </w:r>
      <w:r w:rsidR="004706BB">
        <w:rPr>
          <w:rFonts w:ascii="Calibri" w:eastAsia="Calibri" w:hAnsi="Calibri" w:cs="Calibri"/>
          <w:sz w:val="24"/>
          <w:szCs w:val="24"/>
          <w:lang w:val="el-GR"/>
        </w:rPr>
        <w:t>επί</w:t>
      </w:r>
      <w:r w:rsidR="004706BB" w:rsidRPr="00CB188A">
        <w:rPr>
          <w:rFonts w:ascii="Calibri" w:eastAsia="Calibri" w:hAnsi="Calibri" w:cs="Calibri"/>
          <w:sz w:val="24"/>
          <w:szCs w:val="24"/>
          <w:lang w:val="el-GR"/>
        </w:rPr>
        <w:t xml:space="preserve"> </w:t>
      </w:r>
      <w:r w:rsidR="004706BB">
        <w:rPr>
          <w:rFonts w:ascii="Calibri" w:eastAsia="Calibri" w:hAnsi="Calibri" w:cs="Calibri"/>
          <w:sz w:val="24"/>
          <w:szCs w:val="24"/>
          <w:lang w:val="el-GR"/>
        </w:rPr>
        <w:t>τόπου</w:t>
      </w:r>
      <w:r w:rsidR="004706BB" w:rsidRPr="00CB188A">
        <w:rPr>
          <w:rFonts w:ascii="Calibri" w:eastAsia="Calibri" w:hAnsi="Calibri" w:cs="Calibri"/>
          <w:sz w:val="24"/>
          <w:szCs w:val="24"/>
          <w:lang w:val="el-GR"/>
        </w:rPr>
        <w:t xml:space="preserve"> </w:t>
      </w:r>
      <w:r w:rsidR="004706BB">
        <w:rPr>
          <w:rFonts w:ascii="Calibri" w:eastAsia="Calibri" w:hAnsi="Calibri" w:cs="Calibri"/>
          <w:sz w:val="24"/>
          <w:szCs w:val="24"/>
          <w:lang w:val="el-GR"/>
        </w:rPr>
        <w:t>ότι</w:t>
      </w:r>
      <w:r w:rsidR="004706BB" w:rsidRPr="00CB188A">
        <w:rPr>
          <w:rFonts w:ascii="Calibri" w:eastAsia="Calibri" w:hAnsi="Calibri" w:cs="Calibri"/>
          <w:sz w:val="24"/>
          <w:szCs w:val="24"/>
          <w:lang w:val="el-GR"/>
        </w:rPr>
        <w:t xml:space="preserve"> </w:t>
      </w:r>
      <w:r w:rsidR="004706BB">
        <w:rPr>
          <w:rFonts w:ascii="Calibri" w:eastAsia="Calibri" w:hAnsi="Calibri" w:cs="Calibri"/>
          <w:sz w:val="24"/>
          <w:szCs w:val="24"/>
          <w:lang w:val="el-GR"/>
        </w:rPr>
        <w:t>αιτήσεις</w:t>
      </w:r>
      <w:r w:rsidR="004706BB" w:rsidRPr="00CB188A">
        <w:rPr>
          <w:rFonts w:ascii="Calibri" w:eastAsia="Calibri" w:hAnsi="Calibri" w:cs="Calibri"/>
          <w:sz w:val="24"/>
          <w:szCs w:val="24"/>
          <w:lang w:val="el-GR"/>
        </w:rPr>
        <w:t xml:space="preserve"> </w:t>
      </w:r>
      <w:r w:rsidR="004706BB">
        <w:rPr>
          <w:rFonts w:ascii="Calibri" w:eastAsia="Calibri" w:hAnsi="Calibri" w:cs="Calibri"/>
          <w:sz w:val="24"/>
          <w:szCs w:val="24"/>
          <w:lang w:val="el-GR"/>
        </w:rPr>
        <w:t>για</w:t>
      </w:r>
      <w:r w:rsidR="004706BB" w:rsidRPr="00CB188A">
        <w:rPr>
          <w:rFonts w:ascii="Calibri" w:eastAsia="Calibri" w:hAnsi="Calibri" w:cs="Calibri"/>
          <w:sz w:val="24"/>
          <w:szCs w:val="24"/>
          <w:lang w:val="el-GR"/>
        </w:rPr>
        <w:t xml:space="preserve"> </w:t>
      </w:r>
      <w:r w:rsidR="004706BB">
        <w:rPr>
          <w:rFonts w:ascii="Calibri" w:eastAsia="Calibri" w:hAnsi="Calibri" w:cs="Calibri"/>
          <w:sz w:val="24"/>
          <w:szCs w:val="24"/>
          <w:lang w:val="el-GR"/>
        </w:rPr>
        <w:t>πληροφορίες</w:t>
      </w:r>
      <w:r w:rsidR="004706BB" w:rsidRPr="00CB188A">
        <w:rPr>
          <w:rFonts w:ascii="Calibri" w:eastAsia="Calibri" w:hAnsi="Calibri" w:cs="Calibri"/>
          <w:sz w:val="24"/>
          <w:szCs w:val="24"/>
          <w:lang w:val="el-GR"/>
        </w:rPr>
        <w:t xml:space="preserve"> </w:t>
      </w:r>
      <w:r w:rsidR="004706BB">
        <w:rPr>
          <w:rFonts w:ascii="Calibri" w:eastAsia="Calibri" w:hAnsi="Calibri" w:cs="Calibri"/>
          <w:sz w:val="24"/>
          <w:szCs w:val="24"/>
          <w:lang w:val="el-GR"/>
        </w:rPr>
        <w:t>συχνά</w:t>
      </w:r>
      <w:r w:rsidR="00CB2974"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 xml:space="preserve">απορρίπτονται </w:t>
      </w:r>
      <w:r w:rsidR="00DB020C">
        <w:rPr>
          <w:rFonts w:ascii="Calibri" w:eastAsia="Calibri" w:hAnsi="Calibri" w:cs="Calibri"/>
          <w:sz w:val="24"/>
          <w:szCs w:val="24"/>
          <w:lang w:val="el-GR"/>
        </w:rPr>
        <w:t xml:space="preserve">για </w:t>
      </w:r>
      <w:r w:rsidR="00CB188A">
        <w:rPr>
          <w:rFonts w:ascii="Calibri" w:eastAsia="Calibri" w:hAnsi="Calibri" w:cs="Calibri"/>
          <w:sz w:val="24"/>
          <w:szCs w:val="24"/>
          <w:lang w:val="el-GR"/>
        </w:rPr>
        <w:t>λόγ</w:t>
      </w:r>
      <w:r w:rsidR="00DB020C">
        <w:rPr>
          <w:rFonts w:ascii="Calibri" w:eastAsia="Calibri" w:hAnsi="Calibri" w:cs="Calibri"/>
          <w:sz w:val="24"/>
          <w:szCs w:val="24"/>
          <w:lang w:val="el-GR"/>
        </w:rPr>
        <w:t>ους</w:t>
      </w:r>
      <w:r w:rsidR="00CB188A">
        <w:rPr>
          <w:rFonts w:ascii="Calibri" w:eastAsia="Calibri" w:hAnsi="Calibri" w:cs="Calibri"/>
          <w:sz w:val="24"/>
          <w:szCs w:val="24"/>
          <w:lang w:val="el-GR"/>
        </w:rPr>
        <w:t xml:space="preserve"> προστασίας προσωπικών δεδομένων</w:t>
      </w:r>
      <w:r w:rsidR="00CB2974"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Επιπρόσθετα</w:t>
      </w:r>
      <w:r w:rsidR="00C55C8D"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ενώ</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ειπώθηκε</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στην</w:t>
      </w:r>
      <w:r w:rsidR="00F6291E" w:rsidRPr="00CB188A">
        <w:rPr>
          <w:rFonts w:ascii="Calibri" w:eastAsia="Calibri" w:hAnsi="Calibri" w:cs="Calibri"/>
          <w:sz w:val="24"/>
          <w:szCs w:val="24"/>
          <w:lang w:val="el-GR"/>
        </w:rPr>
        <w:t xml:space="preserve"> </w:t>
      </w:r>
      <w:r w:rsidR="00B2274B" w:rsidRPr="00B95983">
        <w:rPr>
          <w:rFonts w:ascii="Calibri" w:eastAsia="Calibri" w:hAnsi="Calibri" w:cs="Calibri"/>
          <w:sz w:val="24"/>
          <w:szCs w:val="24"/>
        </w:rPr>
        <w:t>GET</w:t>
      </w:r>
      <w:r w:rsidR="00F6291E"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ότι</w:t>
      </w:r>
      <w:r w:rsidR="00F6291E" w:rsidRPr="00CB188A">
        <w:rPr>
          <w:rFonts w:ascii="Calibri" w:eastAsia="Calibri" w:hAnsi="Calibri" w:cs="Calibri"/>
          <w:sz w:val="24"/>
          <w:szCs w:val="24"/>
          <w:lang w:val="el-GR"/>
        </w:rPr>
        <w:t xml:space="preserve">, </w:t>
      </w:r>
      <w:r w:rsidR="002E394C">
        <w:rPr>
          <w:rFonts w:ascii="Calibri" w:eastAsia="Calibri" w:hAnsi="Calibri" w:cs="Calibri"/>
          <w:sz w:val="24"/>
          <w:szCs w:val="24"/>
          <w:lang w:val="el-GR"/>
        </w:rPr>
        <w:t xml:space="preserve">ως αρχή </w:t>
      </w:r>
      <w:r w:rsidR="00F6291E"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οι</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πληροφορίες</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πρέπει</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να</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παρέχονται</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άνευ</w:t>
      </w:r>
      <w:r w:rsidR="0077336D">
        <w:rPr>
          <w:rFonts w:ascii="Calibri" w:eastAsia="Calibri" w:hAnsi="Calibri" w:cs="Calibri"/>
          <w:sz w:val="24"/>
          <w:szCs w:val="24"/>
          <w:lang w:val="el-GR"/>
        </w:rPr>
        <w:t xml:space="preserve"> τέλους</w:t>
      </w:r>
      <w:r w:rsidR="00F6291E"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το</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γεγονός</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παραμένει</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ότι</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ο</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Νόμος</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επιτρέπει</w:t>
      </w:r>
      <w:r w:rsidR="001857B2"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την</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χρέωση</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τελών</w:t>
      </w:r>
      <w:r w:rsidR="006E716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αν</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προβλέπεται</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έτσι</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σε</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άλλους</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νόμους</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και</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κανονισμούς</w:t>
      </w:r>
      <w:r w:rsidR="006E716A" w:rsidRPr="00CB188A">
        <w:rPr>
          <w:rFonts w:cstheme="minorHAnsi"/>
          <w:sz w:val="24"/>
          <w:szCs w:val="24"/>
          <w:lang w:val="el-GR"/>
        </w:rPr>
        <w:t xml:space="preserve">, </w:t>
      </w:r>
      <w:r w:rsidR="00CB188A">
        <w:rPr>
          <w:rFonts w:cstheme="minorHAnsi"/>
          <w:sz w:val="24"/>
          <w:szCs w:val="24"/>
          <w:lang w:val="el-GR"/>
        </w:rPr>
        <w:t xml:space="preserve">ή αν η δημόσια αρχή υπολογίζει ότι το κόστος συμμόρφωσης </w:t>
      </w:r>
      <w:r w:rsidR="00DB020C">
        <w:rPr>
          <w:rFonts w:cstheme="minorHAnsi"/>
          <w:sz w:val="24"/>
          <w:szCs w:val="24"/>
          <w:lang w:val="el-GR"/>
        </w:rPr>
        <w:t>ενός αιτήματος</w:t>
      </w:r>
      <w:r w:rsidR="00CB188A">
        <w:rPr>
          <w:rFonts w:cstheme="minorHAnsi"/>
          <w:sz w:val="24"/>
          <w:szCs w:val="24"/>
          <w:lang w:val="el-GR"/>
        </w:rPr>
        <w:t xml:space="preserve"> θα υπέρβαινε το λογικό κόστος</w:t>
      </w:r>
      <w:r w:rsidR="006E716A" w:rsidRPr="00CB188A">
        <w:rPr>
          <w:rFonts w:cstheme="minorHAnsi"/>
          <w:sz w:val="24"/>
          <w:szCs w:val="24"/>
          <w:lang w:val="el-GR"/>
        </w:rPr>
        <w:t xml:space="preserve"> (</w:t>
      </w:r>
      <w:r w:rsidR="00CB188A">
        <w:rPr>
          <w:rFonts w:cstheme="minorHAnsi"/>
          <w:sz w:val="24"/>
          <w:szCs w:val="24"/>
          <w:lang w:val="el-GR"/>
        </w:rPr>
        <w:t>δηλαδή</w:t>
      </w:r>
      <w:r w:rsidR="006E716A" w:rsidRPr="00CB188A">
        <w:rPr>
          <w:rFonts w:cstheme="minorHAnsi"/>
          <w:sz w:val="24"/>
          <w:szCs w:val="24"/>
          <w:lang w:val="el-GR"/>
        </w:rPr>
        <w:t xml:space="preserve"> </w:t>
      </w:r>
      <w:r w:rsidR="00CB188A">
        <w:rPr>
          <w:rFonts w:cstheme="minorHAnsi"/>
          <w:sz w:val="24"/>
          <w:szCs w:val="24"/>
          <w:lang w:val="el-GR"/>
        </w:rPr>
        <w:t>σε σχέση με το διοικητικό βάρος συμμόρφωσης με το αίτημα</w:t>
      </w:r>
      <w:r w:rsidR="006E716A" w:rsidRPr="00CB188A">
        <w:rPr>
          <w:rFonts w:cstheme="minorHAnsi"/>
          <w:sz w:val="24"/>
          <w:szCs w:val="24"/>
          <w:lang w:val="el-GR"/>
        </w:rPr>
        <w:t xml:space="preserve">). </w:t>
      </w:r>
      <w:r w:rsidR="00CB188A">
        <w:rPr>
          <w:rFonts w:cstheme="minorHAnsi"/>
          <w:sz w:val="24"/>
          <w:szCs w:val="24"/>
          <w:lang w:val="el-GR"/>
        </w:rPr>
        <w:t>Επίσης</w:t>
      </w:r>
      <w:r w:rsidR="00754837"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ο</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Νόμος</w:t>
      </w:r>
      <w:r w:rsidR="00754837"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καθιερώνει</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μια</w:t>
      </w:r>
      <w:r w:rsidR="00CB188A" w:rsidRPr="00CB188A">
        <w:rPr>
          <w:rFonts w:ascii="Calibri" w:eastAsia="Calibri" w:hAnsi="Calibri" w:cs="Calibri"/>
          <w:sz w:val="24"/>
          <w:szCs w:val="24"/>
          <w:lang w:val="el-GR"/>
        </w:rPr>
        <w:t xml:space="preserve"> 30-</w:t>
      </w:r>
      <w:r w:rsidR="00CB188A">
        <w:rPr>
          <w:rFonts w:ascii="Calibri" w:eastAsia="Calibri" w:hAnsi="Calibri" w:cs="Calibri"/>
          <w:sz w:val="24"/>
          <w:szCs w:val="24"/>
          <w:lang w:val="el-GR"/>
        </w:rPr>
        <w:t>ήμερη</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προθεσμία</w:t>
      </w:r>
      <w:r w:rsidR="00754837"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για</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την</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επεξεργασία</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αιτήσεων</w:t>
      </w:r>
      <w:r w:rsidR="00754837"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 xml:space="preserve">όμως μεγαλύτερες </w:t>
      </w:r>
      <w:proofErr w:type="spellStart"/>
      <w:r w:rsidR="00CB188A">
        <w:rPr>
          <w:rFonts w:ascii="Calibri" w:eastAsia="Calibri" w:hAnsi="Calibri" w:cs="Calibri"/>
          <w:sz w:val="24"/>
          <w:szCs w:val="24"/>
          <w:lang w:val="el-GR"/>
        </w:rPr>
        <w:t>περιόδοι</w:t>
      </w:r>
      <w:proofErr w:type="spellEnd"/>
      <w:r w:rsidR="00CB188A">
        <w:rPr>
          <w:rFonts w:ascii="Calibri" w:eastAsia="Calibri" w:hAnsi="Calibri" w:cs="Calibri"/>
          <w:sz w:val="24"/>
          <w:szCs w:val="24"/>
          <w:lang w:val="el-GR"/>
        </w:rPr>
        <w:t xml:space="preserve"> είναι επίσης πιθανοί αν προβλέπονται σε άλλους κανονισμούς</w:t>
      </w:r>
      <w:r w:rsidR="00754837" w:rsidRPr="00CB188A">
        <w:rPr>
          <w:rFonts w:ascii="Calibri" w:eastAsia="Calibri" w:hAnsi="Calibri" w:cs="Calibri"/>
          <w:sz w:val="24"/>
          <w:szCs w:val="24"/>
          <w:lang w:val="el-GR"/>
        </w:rPr>
        <w:t>.</w:t>
      </w:r>
      <w:r w:rsidR="006C6C80"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Ενώ</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μπορεί</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να</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υπάρχουν</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πολύπλοκα</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αιτήματα</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που</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θα</w:t>
      </w:r>
      <w:r w:rsidR="00CB188A" w:rsidRPr="00CB188A">
        <w:rPr>
          <w:rFonts w:ascii="Calibri" w:eastAsia="Calibri" w:hAnsi="Calibri" w:cs="Calibri"/>
          <w:sz w:val="24"/>
          <w:szCs w:val="24"/>
          <w:lang w:val="el-GR"/>
        </w:rPr>
        <w:t xml:space="preserve"> </w:t>
      </w:r>
      <w:r w:rsidR="00CB188A">
        <w:rPr>
          <w:rFonts w:ascii="Calibri" w:eastAsia="Calibri" w:hAnsi="Calibri" w:cs="Calibri"/>
          <w:sz w:val="24"/>
          <w:szCs w:val="24"/>
          <w:lang w:val="el-GR"/>
        </w:rPr>
        <w:t>δικαιολογούσαν</w:t>
      </w:r>
      <w:r w:rsidR="006C6C80" w:rsidRPr="00CB188A">
        <w:rPr>
          <w:rFonts w:cstheme="minorHAnsi"/>
          <w:color w:val="000000"/>
          <w:sz w:val="24"/>
          <w:szCs w:val="24"/>
          <w:lang w:val="el-GR"/>
        </w:rPr>
        <w:t xml:space="preserve"> </w:t>
      </w:r>
      <w:r w:rsidR="00CB188A">
        <w:rPr>
          <w:rFonts w:cstheme="minorHAnsi"/>
          <w:color w:val="000000"/>
          <w:sz w:val="24"/>
          <w:szCs w:val="24"/>
          <w:lang w:val="el-GR"/>
        </w:rPr>
        <w:t>μια</w:t>
      </w:r>
      <w:r w:rsidR="006C6C80" w:rsidRPr="00CB188A">
        <w:rPr>
          <w:rFonts w:cstheme="minorHAnsi"/>
          <w:color w:val="000000"/>
          <w:sz w:val="24"/>
          <w:szCs w:val="24"/>
          <w:lang w:val="el-GR"/>
        </w:rPr>
        <w:t xml:space="preserve"> </w:t>
      </w:r>
      <w:r w:rsidR="00CB188A">
        <w:rPr>
          <w:rFonts w:cstheme="minorHAnsi"/>
          <w:color w:val="000000"/>
          <w:sz w:val="24"/>
          <w:szCs w:val="24"/>
          <w:lang w:val="el-GR"/>
        </w:rPr>
        <w:t>παρατεταμένη προθεσμία</w:t>
      </w:r>
      <w:r w:rsidR="006C6C80" w:rsidRPr="00CB188A">
        <w:rPr>
          <w:rFonts w:cstheme="minorHAnsi"/>
          <w:color w:val="000000"/>
          <w:sz w:val="24"/>
          <w:szCs w:val="24"/>
          <w:lang w:val="el-GR"/>
        </w:rPr>
        <w:t xml:space="preserve">, </w:t>
      </w:r>
      <w:r w:rsidR="00CB188A">
        <w:rPr>
          <w:rFonts w:cstheme="minorHAnsi"/>
          <w:color w:val="000000"/>
          <w:sz w:val="24"/>
          <w:szCs w:val="24"/>
          <w:lang w:val="el-GR"/>
        </w:rPr>
        <w:t xml:space="preserve">αυτή πρέπει να είναι η εξαίρεση </w:t>
      </w:r>
      <w:r w:rsidR="00A94AAA">
        <w:rPr>
          <w:rFonts w:cstheme="minorHAnsi"/>
          <w:color w:val="000000"/>
          <w:sz w:val="24"/>
          <w:szCs w:val="24"/>
          <w:lang w:val="el-GR"/>
        </w:rPr>
        <w:t>παρά ο κανόνας</w:t>
      </w:r>
      <w:r w:rsidR="006C6C80" w:rsidRPr="00CB188A">
        <w:rPr>
          <w:rFonts w:cstheme="minorHAnsi"/>
          <w:color w:val="000000"/>
          <w:sz w:val="24"/>
          <w:szCs w:val="24"/>
          <w:lang w:val="el-GR"/>
        </w:rPr>
        <w:t xml:space="preserve">. </w:t>
      </w:r>
      <w:r w:rsidR="00A94AAA">
        <w:rPr>
          <w:rFonts w:cstheme="minorHAnsi"/>
          <w:color w:val="000000"/>
          <w:sz w:val="24"/>
          <w:szCs w:val="24"/>
          <w:lang w:val="el-GR"/>
        </w:rPr>
        <w:t>Επιπλέον</w:t>
      </w:r>
      <w:r w:rsidR="006C6C80" w:rsidRPr="00A94AAA">
        <w:rPr>
          <w:rFonts w:cstheme="minorHAnsi"/>
          <w:color w:val="000000"/>
          <w:sz w:val="24"/>
          <w:szCs w:val="24"/>
          <w:lang w:val="el-GR"/>
        </w:rPr>
        <w:t>,</w:t>
      </w:r>
      <w:r w:rsidR="00754837"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φάνηκε</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ότι</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η</w:t>
      </w:r>
      <w:r w:rsidR="00A94AAA" w:rsidRPr="00A94AAA">
        <w:rPr>
          <w:rFonts w:ascii="Calibri" w:eastAsia="Calibri" w:hAnsi="Calibri" w:cs="Calibri"/>
          <w:sz w:val="24"/>
          <w:szCs w:val="24"/>
          <w:lang w:val="el-GR"/>
        </w:rPr>
        <w:t xml:space="preserve"> 30-</w:t>
      </w:r>
      <w:r w:rsidR="00A94AAA">
        <w:rPr>
          <w:rFonts w:ascii="Calibri" w:eastAsia="Calibri" w:hAnsi="Calibri" w:cs="Calibri"/>
          <w:sz w:val="24"/>
          <w:szCs w:val="24"/>
          <w:lang w:val="el-GR"/>
        </w:rPr>
        <w:t>ήμερη</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προθεσμία</w:t>
      </w:r>
      <w:r w:rsidR="00754837" w:rsidRPr="00A94AAA">
        <w:rPr>
          <w:rFonts w:cstheme="minorHAnsi"/>
          <w:color w:val="000000"/>
          <w:sz w:val="24"/>
          <w:szCs w:val="24"/>
          <w:lang w:val="el-GR"/>
        </w:rPr>
        <w:t xml:space="preserve"> </w:t>
      </w:r>
      <w:r w:rsidR="00A94AAA">
        <w:rPr>
          <w:rFonts w:cstheme="minorHAnsi"/>
          <w:color w:val="000000"/>
          <w:sz w:val="24"/>
          <w:szCs w:val="24"/>
          <w:lang w:val="el-GR"/>
        </w:rPr>
        <w:t>συχνά</w:t>
      </w:r>
      <w:r w:rsidR="00A94AAA" w:rsidRPr="00A94AAA">
        <w:rPr>
          <w:rFonts w:cstheme="minorHAnsi"/>
          <w:color w:val="000000"/>
          <w:sz w:val="24"/>
          <w:szCs w:val="24"/>
          <w:lang w:val="el-GR"/>
        </w:rPr>
        <w:t xml:space="preserve"> </w:t>
      </w:r>
      <w:r w:rsidR="00A94AAA">
        <w:rPr>
          <w:rFonts w:cstheme="minorHAnsi"/>
          <w:color w:val="000000"/>
          <w:sz w:val="24"/>
          <w:szCs w:val="24"/>
          <w:lang w:val="el-GR"/>
        </w:rPr>
        <w:t>δεν</w:t>
      </w:r>
      <w:r w:rsidR="00A94AAA" w:rsidRPr="00A94AAA">
        <w:rPr>
          <w:rFonts w:cstheme="minorHAnsi"/>
          <w:color w:val="000000"/>
          <w:sz w:val="24"/>
          <w:szCs w:val="24"/>
          <w:lang w:val="el-GR"/>
        </w:rPr>
        <w:t xml:space="preserve"> </w:t>
      </w:r>
      <w:r w:rsidR="00A94AAA">
        <w:rPr>
          <w:rFonts w:cstheme="minorHAnsi"/>
          <w:color w:val="000000"/>
          <w:sz w:val="24"/>
          <w:szCs w:val="24"/>
          <w:lang w:val="el-GR"/>
        </w:rPr>
        <w:t>τηρείται</w:t>
      </w:r>
      <w:r w:rsidR="00754837" w:rsidRPr="00A94AAA">
        <w:rPr>
          <w:rFonts w:cstheme="minorHAnsi"/>
          <w:color w:val="000000"/>
          <w:sz w:val="24"/>
          <w:szCs w:val="24"/>
          <w:lang w:val="el-GR"/>
        </w:rPr>
        <w:t xml:space="preserve">: 74% </w:t>
      </w:r>
      <w:r w:rsidR="00A94AAA">
        <w:rPr>
          <w:rFonts w:cstheme="minorHAnsi"/>
          <w:color w:val="000000"/>
          <w:sz w:val="24"/>
          <w:szCs w:val="24"/>
          <w:lang w:val="el-GR"/>
        </w:rPr>
        <w:t>των</w:t>
      </w:r>
      <w:r w:rsidR="00A94AAA" w:rsidRPr="00A94AAA">
        <w:rPr>
          <w:rFonts w:cstheme="minorHAnsi"/>
          <w:color w:val="000000"/>
          <w:sz w:val="24"/>
          <w:szCs w:val="24"/>
          <w:lang w:val="el-GR"/>
        </w:rPr>
        <w:t xml:space="preserve"> </w:t>
      </w:r>
      <w:r w:rsidR="00A94AAA">
        <w:rPr>
          <w:rFonts w:cstheme="minorHAnsi"/>
          <w:color w:val="000000"/>
          <w:sz w:val="24"/>
          <w:szCs w:val="24"/>
          <w:lang w:val="el-GR"/>
        </w:rPr>
        <w:t>παραπόνων</w:t>
      </w:r>
      <w:r w:rsidR="00754837" w:rsidRPr="00A94AAA">
        <w:rPr>
          <w:rFonts w:cstheme="minorHAnsi"/>
          <w:color w:val="000000"/>
          <w:sz w:val="24"/>
          <w:szCs w:val="24"/>
          <w:lang w:val="el-GR"/>
        </w:rPr>
        <w:t xml:space="preserve"> </w:t>
      </w:r>
      <w:r w:rsidR="00A94AAA">
        <w:rPr>
          <w:rFonts w:cstheme="minorHAnsi"/>
          <w:color w:val="000000"/>
          <w:sz w:val="24"/>
          <w:szCs w:val="24"/>
          <w:lang w:val="el-GR"/>
        </w:rPr>
        <w:t>που</w:t>
      </w:r>
      <w:r w:rsidR="00A94AAA" w:rsidRPr="00A94AAA">
        <w:rPr>
          <w:rFonts w:cstheme="minorHAnsi"/>
          <w:color w:val="000000"/>
          <w:sz w:val="24"/>
          <w:szCs w:val="24"/>
          <w:lang w:val="el-GR"/>
        </w:rPr>
        <w:t xml:space="preserve"> </w:t>
      </w:r>
      <w:r w:rsidR="00A94AAA">
        <w:rPr>
          <w:rFonts w:cstheme="minorHAnsi"/>
          <w:color w:val="000000"/>
          <w:sz w:val="24"/>
          <w:szCs w:val="24"/>
          <w:lang w:val="el-GR"/>
        </w:rPr>
        <w:t>δέχθηκε ο Επίτροπος Πληροφοριών</w:t>
      </w:r>
      <w:r w:rsidR="00754837" w:rsidRPr="00A94AAA">
        <w:rPr>
          <w:rFonts w:cstheme="minorHAnsi"/>
          <w:color w:val="000000"/>
          <w:sz w:val="24"/>
          <w:szCs w:val="24"/>
          <w:lang w:val="el-GR"/>
        </w:rPr>
        <w:t xml:space="preserve"> </w:t>
      </w:r>
      <w:r w:rsidR="00A94AAA">
        <w:rPr>
          <w:rFonts w:cstheme="minorHAnsi"/>
          <w:color w:val="000000"/>
          <w:sz w:val="24"/>
          <w:szCs w:val="24"/>
          <w:lang w:val="el-GR"/>
        </w:rPr>
        <w:t>το</w:t>
      </w:r>
      <w:r w:rsidR="00754837" w:rsidRPr="00A94AAA">
        <w:rPr>
          <w:rFonts w:cstheme="minorHAnsi"/>
          <w:color w:val="000000"/>
          <w:sz w:val="24"/>
          <w:szCs w:val="24"/>
          <w:lang w:val="el-GR"/>
        </w:rPr>
        <w:t xml:space="preserve"> 2021-2</w:t>
      </w:r>
      <w:r w:rsidR="009018FD" w:rsidRPr="00A94AAA">
        <w:rPr>
          <w:rFonts w:cstheme="minorHAnsi"/>
          <w:color w:val="000000"/>
          <w:sz w:val="24"/>
          <w:szCs w:val="24"/>
          <w:lang w:val="el-GR"/>
        </w:rPr>
        <w:t>0</w:t>
      </w:r>
      <w:r w:rsidR="00754837" w:rsidRPr="00A94AAA">
        <w:rPr>
          <w:rFonts w:cstheme="minorHAnsi"/>
          <w:color w:val="000000"/>
          <w:sz w:val="24"/>
          <w:szCs w:val="24"/>
          <w:lang w:val="el-GR"/>
        </w:rPr>
        <w:t xml:space="preserve">22 </w:t>
      </w:r>
      <w:r w:rsidR="00A94AAA">
        <w:rPr>
          <w:rFonts w:cstheme="minorHAnsi"/>
          <w:color w:val="000000"/>
          <w:sz w:val="24"/>
          <w:szCs w:val="24"/>
          <w:lang w:val="el-GR"/>
        </w:rPr>
        <w:t>σχετίζονται με το θέμα αυτό</w:t>
      </w:r>
      <w:r w:rsidR="00754837" w:rsidRPr="00A94AAA">
        <w:rPr>
          <w:rFonts w:cstheme="minorHAnsi"/>
          <w:color w:val="000000"/>
          <w:sz w:val="24"/>
          <w:szCs w:val="24"/>
          <w:lang w:val="el-GR"/>
        </w:rPr>
        <w:t>.</w:t>
      </w:r>
      <w:r w:rsidR="00754837"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Τόσο</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τα</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κόστ</w:t>
      </w:r>
      <w:r w:rsidR="00DB020C">
        <w:rPr>
          <w:rFonts w:ascii="Calibri" w:eastAsia="Calibri" w:hAnsi="Calibri" w:cs="Calibri"/>
          <w:sz w:val="24"/>
          <w:szCs w:val="24"/>
          <w:lang w:val="el-GR"/>
        </w:rPr>
        <w:t>η</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όσο</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και</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οι</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μακρές</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προθεσμίες</w:t>
      </w:r>
      <w:r w:rsidR="001857B2"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στην</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παράδοση</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πληροφοριών</w:t>
      </w:r>
      <w:r w:rsidR="001857B2"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μπορούν</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να</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αποτελούν περιοριστικούς παράγοντες</w:t>
      </w:r>
      <w:r w:rsidR="001857B2"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για τα μέσα ενημέρωσης</w:t>
      </w:r>
      <w:r w:rsidR="00754837"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τους ΜΚΟ</w:t>
      </w:r>
      <w:r w:rsidR="00754837"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και το ευρύ κοινό</w:t>
      </w:r>
      <w:r w:rsidR="00754837" w:rsidRPr="00A94AAA">
        <w:rPr>
          <w:rFonts w:ascii="Calibri" w:eastAsia="Calibri" w:hAnsi="Calibri" w:cs="Calibri"/>
          <w:sz w:val="24"/>
          <w:szCs w:val="24"/>
          <w:lang w:val="el-GR"/>
        </w:rPr>
        <w:t xml:space="preserve"> </w:t>
      </w:r>
      <w:r w:rsidR="00775AD3">
        <w:rPr>
          <w:rFonts w:ascii="Calibri" w:eastAsia="Calibri" w:hAnsi="Calibri" w:cs="Calibri"/>
          <w:sz w:val="24"/>
          <w:szCs w:val="24"/>
          <w:lang w:val="el-GR"/>
        </w:rPr>
        <w:t xml:space="preserve">για </w:t>
      </w:r>
      <w:r w:rsidR="00A94AAA">
        <w:rPr>
          <w:rFonts w:ascii="Calibri" w:eastAsia="Calibri" w:hAnsi="Calibri" w:cs="Calibri"/>
          <w:sz w:val="24"/>
          <w:szCs w:val="24"/>
          <w:lang w:val="el-GR"/>
        </w:rPr>
        <w:t xml:space="preserve">να </w:t>
      </w:r>
      <w:r w:rsidR="00775AD3">
        <w:rPr>
          <w:rFonts w:ascii="Calibri" w:eastAsia="Calibri" w:hAnsi="Calibri" w:cs="Calibri"/>
          <w:sz w:val="24"/>
          <w:szCs w:val="24"/>
          <w:lang w:val="el-GR"/>
        </w:rPr>
        <w:t xml:space="preserve">καταφύγει </w:t>
      </w:r>
      <w:r w:rsidR="00A94AAA">
        <w:rPr>
          <w:rFonts w:ascii="Calibri" w:eastAsia="Calibri" w:hAnsi="Calibri" w:cs="Calibri"/>
          <w:sz w:val="24"/>
          <w:szCs w:val="24"/>
          <w:lang w:val="el-GR"/>
        </w:rPr>
        <w:t xml:space="preserve">στον Νόμο </w:t>
      </w:r>
      <w:r w:rsidR="00775AD3">
        <w:rPr>
          <w:rFonts w:ascii="Calibri" w:eastAsia="Calibri" w:hAnsi="Calibri" w:cs="Calibri"/>
          <w:sz w:val="24"/>
          <w:szCs w:val="24"/>
          <w:lang w:val="el-GR"/>
        </w:rPr>
        <w:t>για την ε</w:t>
      </w:r>
      <w:r w:rsidR="00A94AAA">
        <w:rPr>
          <w:rFonts w:ascii="Calibri" w:eastAsia="Calibri" w:hAnsi="Calibri" w:cs="Calibri"/>
          <w:sz w:val="24"/>
          <w:szCs w:val="24"/>
          <w:lang w:val="el-GR"/>
        </w:rPr>
        <w:t xml:space="preserve">λευθερία </w:t>
      </w:r>
      <w:r w:rsidR="00775AD3">
        <w:rPr>
          <w:rFonts w:ascii="Calibri" w:eastAsia="Calibri" w:hAnsi="Calibri" w:cs="Calibri"/>
          <w:sz w:val="24"/>
          <w:szCs w:val="24"/>
          <w:lang w:val="el-GR"/>
        </w:rPr>
        <w:t>σ</w:t>
      </w:r>
      <w:r w:rsidR="00A94AAA">
        <w:rPr>
          <w:rFonts w:ascii="Calibri" w:eastAsia="Calibri" w:hAnsi="Calibri" w:cs="Calibri"/>
          <w:sz w:val="24"/>
          <w:szCs w:val="24"/>
          <w:lang w:val="el-GR"/>
        </w:rPr>
        <w:t>τη</w:t>
      </w:r>
      <w:r w:rsidR="00775AD3">
        <w:rPr>
          <w:rFonts w:ascii="Calibri" w:eastAsia="Calibri" w:hAnsi="Calibri" w:cs="Calibri"/>
          <w:sz w:val="24"/>
          <w:szCs w:val="24"/>
          <w:lang w:val="el-GR"/>
        </w:rPr>
        <w:t>ν</w:t>
      </w:r>
      <w:r w:rsidR="00A94AAA">
        <w:rPr>
          <w:rFonts w:ascii="Calibri" w:eastAsia="Calibri" w:hAnsi="Calibri" w:cs="Calibri"/>
          <w:sz w:val="24"/>
          <w:szCs w:val="24"/>
          <w:lang w:val="el-GR"/>
        </w:rPr>
        <w:t xml:space="preserve"> </w:t>
      </w:r>
      <w:r w:rsidR="00775AD3">
        <w:rPr>
          <w:rFonts w:ascii="Calibri" w:eastAsia="Calibri" w:hAnsi="Calibri" w:cs="Calibri"/>
          <w:sz w:val="24"/>
          <w:szCs w:val="24"/>
          <w:lang w:val="el-GR"/>
        </w:rPr>
        <w:t>π</w:t>
      </w:r>
      <w:r w:rsidR="00A94AAA">
        <w:rPr>
          <w:rFonts w:ascii="Calibri" w:eastAsia="Calibri" w:hAnsi="Calibri" w:cs="Calibri"/>
          <w:sz w:val="24"/>
          <w:szCs w:val="24"/>
          <w:lang w:val="el-GR"/>
        </w:rPr>
        <w:t>ληροφόρηση</w:t>
      </w:r>
      <w:r w:rsidR="00754837"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w:t>
      </w:r>
      <w:r w:rsidR="00754837" w:rsidRPr="00B95983">
        <w:rPr>
          <w:rFonts w:ascii="Calibri" w:eastAsia="Calibri" w:hAnsi="Calibri" w:cs="Calibri"/>
          <w:sz w:val="24"/>
          <w:szCs w:val="24"/>
        </w:rPr>
        <w:t>F</w:t>
      </w:r>
      <w:r w:rsidR="00BA4920" w:rsidRPr="00B95983">
        <w:rPr>
          <w:rFonts w:ascii="Calibri" w:eastAsia="Calibri" w:hAnsi="Calibri" w:cs="Calibri"/>
          <w:sz w:val="24"/>
          <w:szCs w:val="24"/>
        </w:rPr>
        <w:t>O</w:t>
      </w:r>
      <w:r w:rsidR="00754837" w:rsidRPr="00B95983">
        <w:rPr>
          <w:rFonts w:ascii="Calibri" w:eastAsia="Calibri" w:hAnsi="Calibri" w:cs="Calibri"/>
          <w:sz w:val="24"/>
          <w:szCs w:val="24"/>
        </w:rPr>
        <w:t>IA</w:t>
      </w:r>
      <w:r w:rsidR="00A94AAA">
        <w:rPr>
          <w:rFonts w:ascii="Calibri" w:eastAsia="Calibri" w:hAnsi="Calibri" w:cs="Calibri"/>
          <w:sz w:val="24"/>
          <w:szCs w:val="24"/>
          <w:lang w:val="el-GR"/>
        </w:rPr>
        <w:t>)</w:t>
      </w:r>
      <w:r w:rsidR="00754837" w:rsidRPr="00A94AAA">
        <w:rPr>
          <w:rFonts w:ascii="Calibri" w:eastAsia="Calibri" w:hAnsi="Calibri" w:cs="Calibri"/>
          <w:sz w:val="24"/>
          <w:szCs w:val="24"/>
          <w:lang w:val="el-GR"/>
        </w:rPr>
        <w:t>.</w:t>
      </w:r>
      <w:r w:rsidR="000362A1"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Παρομοίως</w:t>
      </w:r>
      <w:r w:rsidR="000362A1"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οι</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συνεχείς</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αναφορές</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στο</w:t>
      </w:r>
      <w:r w:rsidR="00A94AAA" w:rsidRPr="00A94AAA">
        <w:rPr>
          <w:rFonts w:ascii="Calibri" w:eastAsia="Calibri" w:hAnsi="Calibri" w:cs="Calibri"/>
          <w:sz w:val="24"/>
          <w:szCs w:val="24"/>
          <w:lang w:val="el-GR"/>
        </w:rPr>
        <w:t xml:space="preserve">ν </w:t>
      </w:r>
      <w:r w:rsidR="00A94AAA">
        <w:rPr>
          <w:rFonts w:ascii="Calibri" w:eastAsia="Calibri" w:hAnsi="Calibri" w:cs="Calibri"/>
          <w:sz w:val="24"/>
          <w:szCs w:val="24"/>
          <w:lang w:val="el-GR"/>
        </w:rPr>
        <w:t>Νόμο</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σε</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άλλους</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νόμους</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και</w:t>
      </w:r>
      <w:r w:rsidR="00A94AAA"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κανονισμούς</w:t>
      </w:r>
      <w:r w:rsidR="000362A1"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συμπεριλαμβανομένου του βασικού θέματος των εξαιρέσεων</w:t>
      </w:r>
      <w:r w:rsidR="000362A1"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καθιστά το σύστημα αχρείαστα πολύπλοκο για το κοινό</w:t>
      </w:r>
      <w:r w:rsidR="000362A1" w:rsidRPr="00A94AAA">
        <w:rPr>
          <w:rFonts w:ascii="Calibri" w:eastAsia="Calibri" w:hAnsi="Calibri" w:cs="Calibri"/>
          <w:sz w:val="24"/>
          <w:szCs w:val="24"/>
          <w:lang w:val="el-GR"/>
        </w:rPr>
        <w:t xml:space="preserve">. </w:t>
      </w:r>
      <w:r w:rsidR="00A94AAA">
        <w:rPr>
          <w:rFonts w:ascii="Calibri" w:eastAsia="Calibri" w:hAnsi="Calibri" w:cs="Calibri"/>
          <w:sz w:val="24"/>
          <w:szCs w:val="24"/>
          <w:lang w:val="el-GR"/>
        </w:rPr>
        <w:t>Στο</w:t>
      </w:r>
      <w:r w:rsidR="00A94AAA" w:rsidRPr="00743777">
        <w:rPr>
          <w:rFonts w:ascii="Calibri" w:eastAsia="Calibri" w:hAnsi="Calibri" w:cs="Calibri"/>
          <w:sz w:val="24"/>
          <w:szCs w:val="24"/>
          <w:lang w:val="el-GR"/>
        </w:rPr>
        <w:t xml:space="preserve"> </w:t>
      </w:r>
      <w:r w:rsidR="00A94AAA">
        <w:rPr>
          <w:rFonts w:ascii="Calibri" w:eastAsia="Calibri" w:hAnsi="Calibri" w:cs="Calibri"/>
          <w:sz w:val="24"/>
          <w:szCs w:val="24"/>
          <w:lang w:val="el-GR"/>
        </w:rPr>
        <w:t>φόντο</w:t>
      </w:r>
      <w:r w:rsidR="00A94AAA" w:rsidRPr="00743777">
        <w:rPr>
          <w:rFonts w:ascii="Calibri" w:eastAsia="Calibri" w:hAnsi="Calibri" w:cs="Calibri"/>
          <w:sz w:val="24"/>
          <w:szCs w:val="24"/>
          <w:lang w:val="el-GR"/>
        </w:rPr>
        <w:t xml:space="preserve"> </w:t>
      </w:r>
      <w:r w:rsidR="00A94AAA">
        <w:rPr>
          <w:rFonts w:ascii="Calibri" w:eastAsia="Calibri" w:hAnsi="Calibri" w:cs="Calibri"/>
          <w:sz w:val="24"/>
          <w:szCs w:val="24"/>
          <w:lang w:val="el-GR"/>
        </w:rPr>
        <w:t>αυτό</w:t>
      </w:r>
      <w:r w:rsidR="00CB2974" w:rsidRPr="00743777">
        <w:rPr>
          <w:rFonts w:ascii="Calibri" w:eastAsia="Calibri" w:hAnsi="Calibri" w:cs="Calibri"/>
          <w:sz w:val="24"/>
          <w:szCs w:val="24"/>
          <w:lang w:val="el-GR"/>
        </w:rPr>
        <w:t xml:space="preserve">, </w:t>
      </w:r>
      <w:r w:rsidR="00743777">
        <w:rPr>
          <w:rFonts w:ascii="Calibri" w:eastAsia="Calibri" w:hAnsi="Calibri" w:cs="Calibri"/>
          <w:sz w:val="24"/>
          <w:szCs w:val="24"/>
          <w:lang w:val="el-GR"/>
        </w:rPr>
        <w:t>η</w:t>
      </w:r>
      <w:r w:rsidR="00CB2974" w:rsidRPr="00743777">
        <w:rPr>
          <w:rFonts w:ascii="Calibri" w:eastAsia="Calibri" w:hAnsi="Calibri" w:cs="Calibri"/>
          <w:sz w:val="24"/>
          <w:szCs w:val="24"/>
          <w:lang w:val="el-GR"/>
        </w:rPr>
        <w:t xml:space="preserve"> </w:t>
      </w:r>
      <w:r w:rsidR="00CB2974" w:rsidRPr="00B95983">
        <w:rPr>
          <w:rFonts w:ascii="Calibri" w:eastAsia="Calibri" w:hAnsi="Calibri" w:cs="Calibri"/>
          <w:sz w:val="24"/>
          <w:szCs w:val="24"/>
        </w:rPr>
        <w:t>GET</w:t>
      </w:r>
      <w:r w:rsidR="00CB2974" w:rsidRPr="00743777">
        <w:rPr>
          <w:rFonts w:ascii="Calibri" w:eastAsia="Calibri" w:hAnsi="Calibri" w:cs="Calibri"/>
          <w:sz w:val="24"/>
          <w:szCs w:val="24"/>
          <w:lang w:val="el-GR"/>
        </w:rPr>
        <w:t xml:space="preserve"> </w:t>
      </w:r>
      <w:r w:rsidR="00743777">
        <w:rPr>
          <w:rFonts w:ascii="Calibri" w:eastAsia="Calibri" w:hAnsi="Calibri" w:cs="Calibri"/>
          <w:sz w:val="24"/>
          <w:szCs w:val="24"/>
          <w:lang w:val="el-GR"/>
        </w:rPr>
        <w:t>εκτιμά</w:t>
      </w:r>
      <w:r w:rsidR="00743777" w:rsidRPr="00743777">
        <w:rPr>
          <w:rFonts w:ascii="Calibri" w:eastAsia="Calibri" w:hAnsi="Calibri" w:cs="Calibri"/>
          <w:sz w:val="24"/>
          <w:szCs w:val="24"/>
          <w:lang w:val="el-GR"/>
        </w:rPr>
        <w:t xml:space="preserve"> </w:t>
      </w:r>
      <w:r w:rsidR="00743777">
        <w:rPr>
          <w:rFonts w:ascii="Calibri" w:eastAsia="Calibri" w:hAnsi="Calibri" w:cs="Calibri"/>
          <w:sz w:val="24"/>
          <w:szCs w:val="24"/>
          <w:lang w:val="el-GR"/>
        </w:rPr>
        <w:t>τον</w:t>
      </w:r>
      <w:r w:rsidR="00743777" w:rsidRPr="00743777">
        <w:rPr>
          <w:rFonts w:ascii="Calibri" w:eastAsia="Calibri" w:hAnsi="Calibri" w:cs="Calibri"/>
          <w:sz w:val="24"/>
          <w:szCs w:val="24"/>
          <w:lang w:val="el-GR"/>
        </w:rPr>
        <w:t xml:space="preserve"> </w:t>
      </w:r>
      <w:r w:rsidR="00743777">
        <w:rPr>
          <w:rFonts w:ascii="Calibri" w:eastAsia="Calibri" w:hAnsi="Calibri" w:cs="Calibri"/>
          <w:sz w:val="24"/>
          <w:szCs w:val="24"/>
          <w:lang w:val="el-GR"/>
        </w:rPr>
        <w:t>ερμηνευτικό</w:t>
      </w:r>
      <w:r w:rsidR="00743777" w:rsidRPr="00743777">
        <w:rPr>
          <w:rFonts w:ascii="Calibri" w:eastAsia="Calibri" w:hAnsi="Calibri" w:cs="Calibri"/>
          <w:sz w:val="24"/>
          <w:szCs w:val="24"/>
          <w:lang w:val="el-GR"/>
        </w:rPr>
        <w:t xml:space="preserve"> </w:t>
      </w:r>
      <w:r w:rsidR="00743777">
        <w:rPr>
          <w:rFonts w:ascii="Calibri" w:eastAsia="Calibri" w:hAnsi="Calibri" w:cs="Calibri"/>
          <w:sz w:val="24"/>
          <w:szCs w:val="24"/>
          <w:lang w:val="el-GR"/>
        </w:rPr>
        <w:t>ρόλο</w:t>
      </w:r>
      <w:r w:rsidR="00743777" w:rsidRPr="00743777">
        <w:rPr>
          <w:rFonts w:ascii="Calibri" w:eastAsia="Calibri" w:hAnsi="Calibri" w:cs="Calibri"/>
          <w:sz w:val="24"/>
          <w:szCs w:val="24"/>
          <w:lang w:val="el-GR"/>
        </w:rPr>
        <w:t xml:space="preserve"> </w:t>
      </w:r>
      <w:r w:rsidR="00743777">
        <w:rPr>
          <w:rFonts w:ascii="Calibri" w:eastAsia="Calibri" w:hAnsi="Calibri" w:cs="Calibri"/>
          <w:sz w:val="24"/>
          <w:szCs w:val="24"/>
          <w:lang w:val="el-GR"/>
        </w:rPr>
        <w:t>του</w:t>
      </w:r>
      <w:r w:rsidR="00743777" w:rsidRPr="00743777">
        <w:rPr>
          <w:rFonts w:ascii="Calibri" w:eastAsia="Calibri" w:hAnsi="Calibri" w:cs="Calibri"/>
          <w:sz w:val="24"/>
          <w:szCs w:val="24"/>
          <w:lang w:val="el-GR"/>
        </w:rPr>
        <w:t xml:space="preserve"> </w:t>
      </w:r>
      <w:r w:rsidR="00743777">
        <w:rPr>
          <w:rFonts w:ascii="Calibri" w:eastAsia="Calibri" w:hAnsi="Calibri" w:cs="Calibri"/>
          <w:sz w:val="24"/>
          <w:szCs w:val="24"/>
          <w:lang w:val="el-GR"/>
        </w:rPr>
        <w:t>Επιτρόπου</w:t>
      </w:r>
      <w:r w:rsidR="00743777" w:rsidRPr="00743777">
        <w:rPr>
          <w:rFonts w:ascii="Calibri" w:eastAsia="Calibri" w:hAnsi="Calibri" w:cs="Calibri"/>
          <w:sz w:val="24"/>
          <w:szCs w:val="24"/>
          <w:lang w:val="el-GR"/>
        </w:rPr>
        <w:t xml:space="preserve"> </w:t>
      </w:r>
      <w:r w:rsidR="00743777">
        <w:rPr>
          <w:rFonts w:ascii="Calibri" w:eastAsia="Calibri" w:hAnsi="Calibri" w:cs="Calibri"/>
          <w:sz w:val="24"/>
          <w:szCs w:val="24"/>
          <w:lang w:val="el-GR"/>
        </w:rPr>
        <w:t>Πληροφοριών</w:t>
      </w:r>
      <w:r w:rsidR="00CB2974" w:rsidRPr="00743777">
        <w:rPr>
          <w:rFonts w:ascii="Calibri" w:eastAsia="Calibri" w:hAnsi="Calibri" w:cs="Calibri"/>
          <w:sz w:val="24"/>
          <w:szCs w:val="24"/>
          <w:lang w:val="el-GR"/>
        </w:rPr>
        <w:t xml:space="preserve"> </w:t>
      </w:r>
      <w:r w:rsidR="00743777">
        <w:rPr>
          <w:rFonts w:ascii="Calibri" w:eastAsia="Calibri" w:hAnsi="Calibri" w:cs="Calibri"/>
          <w:sz w:val="24"/>
          <w:szCs w:val="24"/>
          <w:lang w:val="el-GR"/>
        </w:rPr>
        <w:t>μέσω</w:t>
      </w:r>
      <w:r w:rsidR="00743777" w:rsidRPr="00743777">
        <w:rPr>
          <w:rFonts w:ascii="Calibri" w:eastAsia="Calibri" w:hAnsi="Calibri" w:cs="Calibri"/>
          <w:sz w:val="24"/>
          <w:szCs w:val="24"/>
          <w:lang w:val="el-GR"/>
        </w:rPr>
        <w:t xml:space="preserve"> </w:t>
      </w:r>
      <w:r w:rsidR="00743777">
        <w:rPr>
          <w:rFonts w:ascii="Calibri" w:eastAsia="Calibri" w:hAnsi="Calibri" w:cs="Calibri"/>
          <w:sz w:val="24"/>
          <w:szCs w:val="24"/>
          <w:lang w:val="el-GR"/>
        </w:rPr>
        <w:t>των</w:t>
      </w:r>
      <w:r w:rsidR="00743777" w:rsidRPr="00743777">
        <w:rPr>
          <w:rFonts w:ascii="Calibri" w:eastAsia="Calibri" w:hAnsi="Calibri" w:cs="Calibri"/>
          <w:sz w:val="24"/>
          <w:szCs w:val="24"/>
          <w:lang w:val="el-GR"/>
        </w:rPr>
        <w:t xml:space="preserve"> </w:t>
      </w:r>
      <w:r w:rsidR="00743777">
        <w:rPr>
          <w:rFonts w:ascii="Calibri" w:eastAsia="Calibri" w:hAnsi="Calibri" w:cs="Calibri"/>
          <w:sz w:val="24"/>
          <w:szCs w:val="24"/>
          <w:lang w:val="el-GR"/>
        </w:rPr>
        <w:t>αποφάσεων της</w:t>
      </w:r>
      <w:r w:rsidR="000362A1" w:rsidRPr="00743777">
        <w:rPr>
          <w:rFonts w:ascii="Calibri" w:eastAsia="Calibri" w:hAnsi="Calibri" w:cs="Calibri"/>
          <w:sz w:val="24"/>
          <w:szCs w:val="24"/>
          <w:lang w:val="el-GR"/>
        </w:rPr>
        <w:t xml:space="preserve">, </w:t>
      </w:r>
      <w:r w:rsidR="00743777">
        <w:rPr>
          <w:rFonts w:ascii="Calibri" w:eastAsia="Calibri" w:hAnsi="Calibri" w:cs="Calibri"/>
          <w:sz w:val="24"/>
          <w:szCs w:val="24"/>
          <w:lang w:val="el-GR"/>
        </w:rPr>
        <w:t>που</w:t>
      </w:r>
      <w:r w:rsidR="00743777" w:rsidRPr="00743777">
        <w:rPr>
          <w:rFonts w:ascii="Calibri" w:eastAsia="Calibri" w:hAnsi="Calibri" w:cs="Calibri"/>
          <w:sz w:val="24"/>
          <w:szCs w:val="24"/>
          <w:lang w:val="el-GR"/>
        </w:rPr>
        <w:t xml:space="preserve"> </w:t>
      </w:r>
      <w:r w:rsidR="00743777">
        <w:rPr>
          <w:rFonts w:ascii="Calibri" w:eastAsia="Calibri" w:hAnsi="Calibri" w:cs="Calibri"/>
          <w:sz w:val="24"/>
          <w:szCs w:val="24"/>
          <w:lang w:val="el-GR"/>
        </w:rPr>
        <w:t>π</w:t>
      </w:r>
      <w:r w:rsidR="00DB020C">
        <w:rPr>
          <w:rFonts w:ascii="Calibri" w:eastAsia="Calibri" w:hAnsi="Calibri" w:cs="Calibri"/>
          <w:sz w:val="24"/>
          <w:szCs w:val="24"/>
          <w:lang w:val="el-GR"/>
        </w:rPr>
        <w:t>ορεύονται</w:t>
      </w:r>
      <w:r w:rsidR="00743777">
        <w:rPr>
          <w:rFonts w:ascii="Calibri" w:eastAsia="Calibri" w:hAnsi="Calibri" w:cs="Calibri"/>
          <w:sz w:val="24"/>
          <w:szCs w:val="24"/>
          <w:lang w:val="el-GR"/>
        </w:rPr>
        <w:t xml:space="preserve"> καθαρά προς την κατεύθυνση της διαφάνειας και της χρηστής διοίκησης</w:t>
      </w:r>
      <w:r w:rsidR="000362A1" w:rsidRPr="00743777">
        <w:rPr>
          <w:rFonts w:ascii="Calibri" w:eastAsia="Calibri" w:hAnsi="Calibri" w:cs="Calibri"/>
          <w:sz w:val="24"/>
          <w:szCs w:val="24"/>
          <w:lang w:val="el-GR"/>
        </w:rPr>
        <w:t xml:space="preserve">. </w:t>
      </w:r>
      <w:r w:rsidR="00CB2974" w:rsidRPr="00743777">
        <w:rPr>
          <w:rFonts w:ascii="Calibri" w:eastAsia="Calibri" w:hAnsi="Calibri" w:cs="Calibri"/>
          <w:sz w:val="24"/>
          <w:szCs w:val="24"/>
          <w:lang w:val="el-GR"/>
        </w:rPr>
        <w:t xml:space="preserve"> </w:t>
      </w:r>
    </w:p>
    <w:bookmarkEnd w:id="74"/>
    <w:p w14:paraId="20DF7944" w14:textId="77777777" w:rsidR="006C6C80" w:rsidRPr="00743777" w:rsidRDefault="006C6C80" w:rsidP="006C6C80">
      <w:pPr>
        <w:tabs>
          <w:tab w:val="left" w:pos="709"/>
        </w:tabs>
        <w:rPr>
          <w:rFonts w:cstheme="minorHAnsi"/>
          <w:sz w:val="24"/>
          <w:szCs w:val="24"/>
          <w:lang w:val="el-GR"/>
        </w:rPr>
      </w:pPr>
    </w:p>
    <w:p w14:paraId="3437E536" w14:textId="029E41A0" w:rsidR="006C6C80" w:rsidRPr="005A0348" w:rsidRDefault="00743777" w:rsidP="008751D9">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Η</w:t>
      </w:r>
      <w:r w:rsidR="00A5147D" w:rsidRPr="00743777">
        <w:rPr>
          <w:rFonts w:cstheme="minorHAnsi"/>
          <w:sz w:val="24"/>
          <w:szCs w:val="24"/>
          <w:lang w:val="el-GR"/>
        </w:rPr>
        <w:t xml:space="preserve"> </w:t>
      </w:r>
      <w:r w:rsidR="00A5147D" w:rsidRPr="004E251E">
        <w:rPr>
          <w:rFonts w:cstheme="minorHAnsi"/>
          <w:sz w:val="24"/>
          <w:szCs w:val="24"/>
        </w:rPr>
        <w:t>GET</w:t>
      </w:r>
      <w:r w:rsidR="00A5147D" w:rsidRPr="00743777">
        <w:rPr>
          <w:rFonts w:cstheme="minorHAnsi"/>
          <w:sz w:val="24"/>
          <w:szCs w:val="24"/>
          <w:lang w:val="el-GR"/>
        </w:rPr>
        <w:t xml:space="preserve"> </w:t>
      </w:r>
      <w:r>
        <w:rPr>
          <w:rFonts w:cstheme="minorHAnsi"/>
          <w:sz w:val="24"/>
          <w:szCs w:val="24"/>
          <w:lang w:val="el-GR"/>
        </w:rPr>
        <w:t>σημειώνει</w:t>
      </w:r>
      <w:r w:rsidRPr="00743777">
        <w:rPr>
          <w:rFonts w:cstheme="minorHAnsi"/>
          <w:sz w:val="24"/>
          <w:szCs w:val="24"/>
          <w:lang w:val="el-GR"/>
        </w:rPr>
        <w:t xml:space="preserve"> </w:t>
      </w:r>
      <w:r>
        <w:rPr>
          <w:rFonts w:cstheme="minorHAnsi"/>
          <w:sz w:val="24"/>
          <w:szCs w:val="24"/>
          <w:lang w:val="el-GR"/>
        </w:rPr>
        <w:t>ότι</w:t>
      </w:r>
      <w:r w:rsidRPr="00743777">
        <w:rPr>
          <w:rFonts w:cstheme="minorHAnsi"/>
          <w:sz w:val="24"/>
          <w:szCs w:val="24"/>
          <w:lang w:val="el-GR"/>
        </w:rPr>
        <w:t xml:space="preserve"> </w:t>
      </w:r>
      <w:r>
        <w:rPr>
          <w:rFonts w:cstheme="minorHAnsi"/>
          <w:sz w:val="24"/>
          <w:szCs w:val="24"/>
          <w:lang w:val="el-GR"/>
        </w:rPr>
        <w:t>γενικά</w:t>
      </w:r>
      <w:r w:rsidR="00A5147D" w:rsidRPr="00743777">
        <w:rPr>
          <w:rFonts w:cstheme="minorHAnsi"/>
          <w:sz w:val="24"/>
          <w:szCs w:val="24"/>
          <w:lang w:val="el-GR"/>
        </w:rPr>
        <w:t xml:space="preserve">, </w:t>
      </w:r>
      <w:r>
        <w:rPr>
          <w:rFonts w:cstheme="minorHAnsi"/>
          <w:sz w:val="24"/>
          <w:szCs w:val="24"/>
          <w:lang w:val="el-GR"/>
        </w:rPr>
        <w:t>η</w:t>
      </w:r>
      <w:r w:rsidRPr="00743777">
        <w:rPr>
          <w:rFonts w:cstheme="minorHAnsi"/>
          <w:sz w:val="24"/>
          <w:szCs w:val="24"/>
          <w:lang w:val="el-GR"/>
        </w:rPr>
        <w:t xml:space="preserve"> </w:t>
      </w:r>
      <w:r>
        <w:rPr>
          <w:rFonts w:cstheme="minorHAnsi"/>
          <w:sz w:val="24"/>
          <w:szCs w:val="24"/>
          <w:lang w:val="el-GR"/>
        </w:rPr>
        <w:t>πρόσβαση</w:t>
      </w:r>
      <w:r w:rsidRPr="00743777">
        <w:rPr>
          <w:rFonts w:cstheme="minorHAnsi"/>
          <w:sz w:val="24"/>
          <w:szCs w:val="24"/>
          <w:lang w:val="el-GR"/>
        </w:rPr>
        <w:t xml:space="preserve"> </w:t>
      </w:r>
      <w:r>
        <w:rPr>
          <w:rFonts w:cstheme="minorHAnsi"/>
          <w:sz w:val="24"/>
          <w:szCs w:val="24"/>
          <w:lang w:val="el-GR"/>
        </w:rPr>
        <w:t>σε</w:t>
      </w:r>
      <w:r w:rsidRPr="00743777">
        <w:rPr>
          <w:rFonts w:cstheme="minorHAnsi"/>
          <w:sz w:val="24"/>
          <w:szCs w:val="24"/>
          <w:lang w:val="el-GR"/>
        </w:rPr>
        <w:t xml:space="preserve"> </w:t>
      </w:r>
      <w:r>
        <w:rPr>
          <w:rFonts w:cstheme="minorHAnsi"/>
          <w:sz w:val="24"/>
          <w:szCs w:val="24"/>
          <w:lang w:val="el-GR"/>
        </w:rPr>
        <w:t>νομοθετικές</w:t>
      </w:r>
      <w:r w:rsidRPr="00743777">
        <w:rPr>
          <w:rFonts w:cstheme="minorHAnsi"/>
          <w:sz w:val="24"/>
          <w:szCs w:val="24"/>
          <w:lang w:val="el-GR"/>
        </w:rPr>
        <w:t xml:space="preserve"> </w:t>
      </w:r>
      <w:r>
        <w:rPr>
          <w:rFonts w:cstheme="minorHAnsi"/>
          <w:sz w:val="24"/>
          <w:szCs w:val="24"/>
          <w:lang w:val="el-GR"/>
        </w:rPr>
        <w:t>πληροφορίες</w:t>
      </w:r>
      <w:r w:rsidR="00A5147D" w:rsidRPr="00743777">
        <w:rPr>
          <w:rFonts w:cstheme="minorHAnsi"/>
          <w:sz w:val="24"/>
          <w:szCs w:val="24"/>
          <w:lang w:val="el-GR"/>
        </w:rPr>
        <w:t xml:space="preserve"> </w:t>
      </w:r>
      <w:r>
        <w:rPr>
          <w:rFonts w:cstheme="minorHAnsi"/>
          <w:sz w:val="24"/>
          <w:szCs w:val="24"/>
          <w:lang w:val="el-GR"/>
        </w:rPr>
        <w:t>είναι</w:t>
      </w:r>
      <w:r w:rsidRPr="00743777">
        <w:rPr>
          <w:rFonts w:cstheme="minorHAnsi"/>
          <w:sz w:val="24"/>
          <w:szCs w:val="24"/>
          <w:lang w:val="el-GR"/>
        </w:rPr>
        <w:t xml:space="preserve"> </w:t>
      </w:r>
      <w:r>
        <w:rPr>
          <w:rFonts w:cstheme="minorHAnsi"/>
          <w:sz w:val="24"/>
          <w:szCs w:val="24"/>
          <w:lang w:val="el-GR"/>
        </w:rPr>
        <w:t>αναπόσπαστο</w:t>
      </w:r>
      <w:r w:rsidRPr="00743777">
        <w:rPr>
          <w:rFonts w:cstheme="minorHAnsi"/>
          <w:sz w:val="24"/>
          <w:szCs w:val="24"/>
          <w:lang w:val="el-GR"/>
        </w:rPr>
        <w:t xml:space="preserve"> </w:t>
      </w:r>
      <w:r>
        <w:rPr>
          <w:rFonts w:cstheme="minorHAnsi"/>
          <w:sz w:val="24"/>
          <w:szCs w:val="24"/>
          <w:lang w:val="el-GR"/>
        </w:rPr>
        <w:t>μέρος</w:t>
      </w:r>
      <w:r w:rsidRPr="00743777">
        <w:rPr>
          <w:rFonts w:cstheme="minorHAnsi"/>
          <w:sz w:val="24"/>
          <w:szCs w:val="24"/>
          <w:lang w:val="el-GR"/>
        </w:rPr>
        <w:t xml:space="preserve"> </w:t>
      </w:r>
      <w:r>
        <w:rPr>
          <w:rFonts w:cstheme="minorHAnsi"/>
          <w:sz w:val="24"/>
          <w:szCs w:val="24"/>
          <w:lang w:val="el-GR"/>
        </w:rPr>
        <w:t>του</w:t>
      </w:r>
      <w:r w:rsidRPr="00743777">
        <w:rPr>
          <w:rFonts w:cstheme="minorHAnsi"/>
          <w:sz w:val="24"/>
          <w:szCs w:val="24"/>
          <w:lang w:val="el-GR"/>
        </w:rPr>
        <w:t xml:space="preserve"> </w:t>
      </w:r>
      <w:r>
        <w:rPr>
          <w:rFonts w:cstheme="minorHAnsi"/>
          <w:sz w:val="24"/>
          <w:szCs w:val="24"/>
          <w:lang w:val="el-GR"/>
        </w:rPr>
        <w:t>δικαιώματος</w:t>
      </w:r>
      <w:r w:rsidRPr="00743777">
        <w:rPr>
          <w:rFonts w:cstheme="minorHAnsi"/>
          <w:sz w:val="24"/>
          <w:szCs w:val="24"/>
          <w:lang w:val="el-GR"/>
        </w:rPr>
        <w:t xml:space="preserve"> </w:t>
      </w:r>
      <w:r>
        <w:rPr>
          <w:rFonts w:cstheme="minorHAnsi"/>
          <w:sz w:val="24"/>
          <w:szCs w:val="24"/>
          <w:lang w:val="el-GR"/>
        </w:rPr>
        <w:t>για</w:t>
      </w:r>
      <w:r w:rsidRPr="00743777">
        <w:rPr>
          <w:rFonts w:cstheme="minorHAnsi"/>
          <w:sz w:val="24"/>
          <w:szCs w:val="24"/>
          <w:lang w:val="el-GR"/>
        </w:rPr>
        <w:t xml:space="preserve"> </w:t>
      </w:r>
      <w:r>
        <w:rPr>
          <w:rFonts w:cstheme="minorHAnsi"/>
          <w:sz w:val="24"/>
          <w:szCs w:val="24"/>
          <w:lang w:val="el-GR"/>
        </w:rPr>
        <w:t>ελευθερία</w:t>
      </w:r>
      <w:r w:rsidRPr="00743777">
        <w:rPr>
          <w:rFonts w:cstheme="minorHAnsi"/>
          <w:sz w:val="24"/>
          <w:szCs w:val="24"/>
          <w:lang w:val="el-GR"/>
        </w:rPr>
        <w:t xml:space="preserve"> </w:t>
      </w:r>
      <w:r>
        <w:rPr>
          <w:rFonts w:cstheme="minorHAnsi"/>
          <w:sz w:val="24"/>
          <w:szCs w:val="24"/>
          <w:lang w:val="el-GR"/>
        </w:rPr>
        <w:t>της</w:t>
      </w:r>
      <w:r w:rsidRPr="00743777">
        <w:rPr>
          <w:rFonts w:cstheme="minorHAnsi"/>
          <w:sz w:val="24"/>
          <w:szCs w:val="24"/>
          <w:lang w:val="el-GR"/>
        </w:rPr>
        <w:t xml:space="preserve"> </w:t>
      </w:r>
      <w:r>
        <w:rPr>
          <w:rFonts w:cstheme="minorHAnsi"/>
          <w:sz w:val="24"/>
          <w:szCs w:val="24"/>
          <w:lang w:val="el-GR"/>
        </w:rPr>
        <w:t>έκφρασης</w:t>
      </w:r>
      <w:r w:rsidR="00A5147D" w:rsidRPr="00743777">
        <w:rPr>
          <w:rFonts w:cstheme="minorHAnsi"/>
          <w:sz w:val="24"/>
          <w:szCs w:val="24"/>
          <w:lang w:val="el-GR"/>
        </w:rPr>
        <w:t xml:space="preserve"> </w:t>
      </w:r>
      <w:r>
        <w:rPr>
          <w:rFonts w:cstheme="minorHAnsi"/>
          <w:sz w:val="24"/>
          <w:szCs w:val="24"/>
          <w:lang w:val="el-GR"/>
        </w:rPr>
        <w:t>και ένα από τα πιο σημαντικά εργαλεία για τα μέσα ενημέρωσης</w:t>
      </w:r>
      <w:r w:rsidR="00A5147D" w:rsidRPr="00743777">
        <w:rPr>
          <w:rFonts w:cstheme="minorHAnsi"/>
          <w:sz w:val="24"/>
          <w:szCs w:val="24"/>
          <w:lang w:val="el-GR"/>
        </w:rPr>
        <w:t xml:space="preserve">, </w:t>
      </w:r>
      <w:r>
        <w:rPr>
          <w:rFonts w:cstheme="minorHAnsi"/>
          <w:sz w:val="24"/>
          <w:szCs w:val="24"/>
          <w:lang w:val="el-GR"/>
        </w:rPr>
        <w:t>τους ΜΚΟ</w:t>
      </w:r>
      <w:r w:rsidR="00A5147D" w:rsidRPr="00743777">
        <w:rPr>
          <w:rFonts w:cstheme="minorHAnsi"/>
          <w:sz w:val="24"/>
          <w:szCs w:val="24"/>
          <w:lang w:val="el-GR"/>
        </w:rPr>
        <w:t xml:space="preserve"> </w:t>
      </w:r>
      <w:r>
        <w:rPr>
          <w:rFonts w:cstheme="minorHAnsi"/>
          <w:sz w:val="24"/>
          <w:szCs w:val="24"/>
          <w:lang w:val="el-GR"/>
        </w:rPr>
        <w:t>και το ευρύ κοινό</w:t>
      </w:r>
      <w:r w:rsidR="00A5147D" w:rsidRPr="00743777">
        <w:rPr>
          <w:rFonts w:cstheme="minorHAnsi"/>
          <w:sz w:val="24"/>
          <w:szCs w:val="24"/>
          <w:lang w:val="el-GR"/>
        </w:rPr>
        <w:t xml:space="preserve"> </w:t>
      </w:r>
      <w:r>
        <w:rPr>
          <w:rFonts w:cstheme="minorHAnsi"/>
          <w:sz w:val="24"/>
          <w:szCs w:val="24"/>
          <w:lang w:val="el-GR"/>
        </w:rPr>
        <w:t xml:space="preserve">για </w:t>
      </w:r>
      <w:r w:rsidR="00775AD3">
        <w:rPr>
          <w:rFonts w:cstheme="minorHAnsi"/>
          <w:sz w:val="24"/>
          <w:szCs w:val="24"/>
          <w:lang w:val="el-GR"/>
        </w:rPr>
        <w:t xml:space="preserve">τη λογοδοσία από </w:t>
      </w:r>
      <w:r>
        <w:rPr>
          <w:rFonts w:cstheme="minorHAnsi"/>
          <w:sz w:val="24"/>
          <w:szCs w:val="24"/>
          <w:lang w:val="el-GR"/>
        </w:rPr>
        <w:t>τις δημόσιες αρχές</w:t>
      </w:r>
      <w:r w:rsidR="00A5147D" w:rsidRPr="00743777">
        <w:rPr>
          <w:rFonts w:cstheme="minorHAnsi"/>
          <w:sz w:val="24"/>
          <w:szCs w:val="24"/>
          <w:lang w:val="el-GR"/>
        </w:rPr>
        <w:t xml:space="preserve">. </w:t>
      </w:r>
      <w:r>
        <w:rPr>
          <w:rFonts w:cstheme="minorHAnsi"/>
          <w:sz w:val="24"/>
          <w:szCs w:val="24"/>
          <w:lang w:val="el-GR"/>
        </w:rPr>
        <w:t>Φαίνεται</w:t>
      </w:r>
      <w:r w:rsidRPr="00743777">
        <w:rPr>
          <w:rFonts w:cstheme="minorHAnsi"/>
          <w:sz w:val="24"/>
          <w:szCs w:val="24"/>
          <w:lang w:val="el-GR"/>
        </w:rPr>
        <w:t xml:space="preserve"> </w:t>
      </w:r>
      <w:r>
        <w:rPr>
          <w:rFonts w:cstheme="minorHAnsi"/>
          <w:sz w:val="24"/>
          <w:szCs w:val="24"/>
          <w:lang w:val="el-GR"/>
        </w:rPr>
        <w:t>ότι</w:t>
      </w:r>
      <w:r w:rsidR="00A5147D" w:rsidRPr="00743777">
        <w:rPr>
          <w:rFonts w:cstheme="minorHAnsi"/>
          <w:sz w:val="24"/>
          <w:szCs w:val="24"/>
          <w:lang w:val="el-GR"/>
        </w:rPr>
        <w:t xml:space="preserve"> </w:t>
      </w:r>
      <w:r>
        <w:rPr>
          <w:rFonts w:cstheme="minorHAnsi"/>
          <w:sz w:val="24"/>
          <w:szCs w:val="24"/>
          <w:lang w:val="el-GR"/>
        </w:rPr>
        <w:t>ο</w:t>
      </w:r>
      <w:r w:rsidRPr="00743777">
        <w:rPr>
          <w:rFonts w:cstheme="minorHAnsi"/>
          <w:sz w:val="24"/>
          <w:szCs w:val="24"/>
          <w:lang w:val="el-GR"/>
        </w:rPr>
        <w:t xml:space="preserve"> </w:t>
      </w:r>
      <w:r>
        <w:rPr>
          <w:rFonts w:cstheme="minorHAnsi"/>
          <w:sz w:val="24"/>
          <w:szCs w:val="24"/>
          <w:lang w:val="el-GR"/>
        </w:rPr>
        <w:t>Νόμος</w:t>
      </w:r>
      <w:r w:rsidR="00A5147D" w:rsidRPr="00743777">
        <w:rPr>
          <w:rFonts w:cstheme="minorHAnsi"/>
          <w:sz w:val="24"/>
          <w:szCs w:val="24"/>
          <w:lang w:val="el-GR"/>
        </w:rPr>
        <w:t xml:space="preserve"> 184(</w:t>
      </w:r>
      <w:r w:rsidR="00A5147D" w:rsidRPr="00B95983">
        <w:rPr>
          <w:rFonts w:cstheme="minorHAnsi"/>
          <w:sz w:val="24"/>
          <w:szCs w:val="24"/>
        </w:rPr>
        <w:t>I</w:t>
      </w:r>
      <w:r w:rsidR="00A5147D" w:rsidRPr="00743777">
        <w:rPr>
          <w:rFonts w:cstheme="minorHAnsi"/>
          <w:sz w:val="24"/>
          <w:szCs w:val="24"/>
          <w:lang w:val="el-GR"/>
        </w:rPr>
        <w:t xml:space="preserve">)/2017 </w:t>
      </w:r>
      <w:r>
        <w:rPr>
          <w:rFonts w:cstheme="minorHAnsi"/>
          <w:sz w:val="24"/>
          <w:szCs w:val="24"/>
          <w:lang w:val="el-GR"/>
        </w:rPr>
        <w:t>δεν</w:t>
      </w:r>
      <w:r w:rsidRPr="00743777">
        <w:rPr>
          <w:rFonts w:cstheme="minorHAnsi"/>
          <w:sz w:val="24"/>
          <w:szCs w:val="24"/>
          <w:lang w:val="el-GR"/>
        </w:rPr>
        <w:t xml:space="preserve"> </w:t>
      </w:r>
      <w:r w:rsidR="0077336D">
        <w:rPr>
          <w:rFonts w:cstheme="minorHAnsi"/>
          <w:sz w:val="24"/>
          <w:szCs w:val="24"/>
          <w:lang w:val="el-GR"/>
        </w:rPr>
        <w:t>αξιοποιείται</w:t>
      </w:r>
      <w:r w:rsidR="00775AD3">
        <w:rPr>
          <w:rFonts w:cstheme="minorHAnsi"/>
          <w:sz w:val="24"/>
          <w:szCs w:val="24"/>
          <w:lang w:val="el-GR"/>
        </w:rPr>
        <w:t xml:space="preserve"> </w:t>
      </w:r>
      <w:r>
        <w:rPr>
          <w:rFonts w:cstheme="minorHAnsi"/>
          <w:sz w:val="24"/>
          <w:szCs w:val="24"/>
          <w:lang w:val="el-GR"/>
        </w:rPr>
        <w:t>για την επίτευξη των στόχων αυτών</w:t>
      </w:r>
      <w:r w:rsidR="00A5147D" w:rsidRPr="00743777">
        <w:rPr>
          <w:rFonts w:cstheme="minorHAnsi"/>
          <w:sz w:val="24"/>
          <w:szCs w:val="24"/>
          <w:lang w:val="el-GR"/>
        </w:rPr>
        <w:t>.</w:t>
      </w:r>
      <w:r w:rsidR="006E716A" w:rsidRPr="00743777">
        <w:rPr>
          <w:rFonts w:cstheme="minorHAnsi"/>
          <w:sz w:val="24"/>
          <w:szCs w:val="24"/>
          <w:lang w:val="el-GR"/>
        </w:rPr>
        <w:t xml:space="preserve"> </w:t>
      </w:r>
      <w:bookmarkStart w:id="75" w:name="_Hlk132888486"/>
      <w:r>
        <w:rPr>
          <w:rFonts w:cstheme="minorHAnsi"/>
          <w:sz w:val="24"/>
          <w:szCs w:val="24"/>
          <w:lang w:val="el-GR"/>
        </w:rPr>
        <w:t>Δεν</w:t>
      </w:r>
      <w:r w:rsidRPr="00743777">
        <w:rPr>
          <w:rFonts w:cstheme="minorHAnsi"/>
          <w:sz w:val="24"/>
          <w:szCs w:val="24"/>
          <w:lang w:val="el-GR"/>
        </w:rPr>
        <w:t xml:space="preserve"> </w:t>
      </w:r>
      <w:r w:rsidR="00775AD3">
        <w:rPr>
          <w:rFonts w:cstheme="minorHAnsi"/>
          <w:sz w:val="24"/>
          <w:szCs w:val="24"/>
          <w:lang w:val="el-GR"/>
        </w:rPr>
        <w:t xml:space="preserve">υπάρχουν </w:t>
      </w:r>
      <w:r>
        <w:rPr>
          <w:rFonts w:cstheme="minorHAnsi"/>
          <w:sz w:val="24"/>
          <w:szCs w:val="24"/>
          <w:lang w:val="el-GR"/>
        </w:rPr>
        <w:t>διαθέσιμες</w:t>
      </w:r>
      <w:r w:rsidRPr="00743777">
        <w:rPr>
          <w:rFonts w:cstheme="minorHAnsi"/>
          <w:sz w:val="24"/>
          <w:szCs w:val="24"/>
          <w:lang w:val="el-GR"/>
        </w:rPr>
        <w:t xml:space="preserve"> </w:t>
      </w:r>
      <w:r>
        <w:rPr>
          <w:rFonts w:cstheme="minorHAnsi"/>
          <w:sz w:val="24"/>
          <w:szCs w:val="24"/>
          <w:lang w:val="el-GR"/>
        </w:rPr>
        <w:t>στατιστικές</w:t>
      </w:r>
      <w:r w:rsidRPr="00743777">
        <w:rPr>
          <w:rFonts w:cstheme="minorHAnsi"/>
          <w:sz w:val="24"/>
          <w:szCs w:val="24"/>
          <w:lang w:val="el-GR"/>
        </w:rPr>
        <w:t xml:space="preserve"> </w:t>
      </w:r>
      <w:r>
        <w:rPr>
          <w:rFonts w:cstheme="minorHAnsi"/>
          <w:sz w:val="24"/>
          <w:szCs w:val="24"/>
          <w:lang w:val="el-GR"/>
        </w:rPr>
        <w:t>για</w:t>
      </w:r>
      <w:r w:rsidRPr="00743777">
        <w:rPr>
          <w:rFonts w:cstheme="minorHAnsi"/>
          <w:sz w:val="24"/>
          <w:szCs w:val="24"/>
          <w:lang w:val="el-GR"/>
        </w:rPr>
        <w:t xml:space="preserve"> </w:t>
      </w:r>
      <w:r>
        <w:rPr>
          <w:rFonts w:cstheme="minorHAnsi"/>
          <w:sz w:val="24"/>
          <w:szCs w:val="24"/>
          <w:lang w:val="el-GR"/>
        </w:rPr>
        <w:t>τον</w:t>
      </w:r>
      <w:r w:rsidRPr="00743777">
        <w:rPr>
          <w:rFonts w:cstheme="minorHAnsi"/>
          <w:sz w:val="24"/>
          <w:szCs w:val="24"/>
          <w:lang w:val="el-GR"/>
        </w:rPr>
        <w:t xml:space="preserve"> </w:t>
      </w:r>
      <w:r>
        <w:rPr>
          <w:rFonts w:cstheme="minorHAnsi"/>
          <w:sz w:val="24"/>
          <w:szCs w:val="24"/>
          <w:lang w:val="el-GR"/>
        </w:rPr>
        <w:t>αριθμό</w:t>
      </w:r>
      <w:r w:rsidRPr="00743777">
        <w:rPr>
          <w:rFonts w:cstheme="minorHAnsi"/>
          <w:sz w:val="24"/>
          <w:szCs w:val="24"/>
          <w:lang w:val="el-GR"/>
        </w:rPr>
        <w:t xml:space="preserve"> </w:t>
      </w:r>
      <w:r>
        <w:rPr>
          <w:rFonts w:cstheme="minorHAnsi"/>
          <w:sz w:val="24"/>
          <w:szCs w:val="24"/>
          <w:lang w:val="el-GR"/>
        </w:rPr>
        <w:t>των</w:t>
      </w:r>
      <w:r w:rsidRPr="00743777">
        <w:rPr>
          <w:rFonts w:cstheme="minorHAnsi"/>
          <w:sz w:val="24"/>
          <w:szCs w:val="24"/>
          <w:lang w:val="el-GR"/>
        </w:rPr>
        <w:t xml:space="preserve"> </w:t>
      </w:r>
      <w:r>
        <w:rPr>
          <w:rFonts w:cstheme="minorHAnsi"/>
          <w:sz w:val="24"/>
          <w:szCs w:val="24"/>
          <w:lang w:val="el-GR"/>
        </w:rPr>
        <w:t>αιτημάτων</w:t>
      </w:r>
      <w:r w:rsidRPr="00743777">
        <w:rPr>
          <w:rFonts w:cstheme="minorHAnsi"/>
          <w:sz w:val="24"/>
          <w:szCs w:val="24"/>
          <w:lang w:val="el-GR"/>
        </w:rPr>
        <w:t xml:space="preserve"> </w:t>
      </w:r>
      <w:r>
        <w:rPr>
          <w:rFonts w:cstheme="minorHAnsi"/>
          <w:sz w:val="24"/>
          <w:szCs w:val="24"/>
          <w:lang w:val="el-GR"/>
        </w:rPr>
        <w:t>στα</w:t>
      </w:r>
      <w:r w:rsidRPr="00743777">
        <w:rPr>
          <w:rFonts w:cstheme="minorHAnsi"/>
          <w:sz w:val="24"/>
          <w:szCs w:val="24"/>
          <w:lang w:val="el-GR"/>
        </w:rPr>
        <w:t xml:space="preserve"> </w:t>
      </w:r>
      <w:r>
        <w:rPr>
          <w:rFonts w:cstheme="minorHAnsi"/>
          <w:sz w:val="24"/>
          <w:szCs w:val="24"/>
          <w:lang w:val="el-GR"/>
        </w:rPr>
        <w:t>οποία</w:t>
      </w:r>
      <w:r w:rsidRPr="00743777">
        <w:rPr>
          <w:rFonts w:cstheme="minorHAnsi"/>
          <w:sz w:val="24"/>
          <w:szCs w:val="24"/>
          <w:lang w:val="el-GR"/>
        </w:rPr>
        <w:t xml:space="preserve"> </w:t>
      </w:r>
      <w:r>
        <w:rPr>
          <w:rFonts w:cstheme="minorHAnsi"/>
          <w:sz w:val="24"/>
          <w:szCs w:val="24"/>
          <w:lang w:val="el-GR"/>
        </w:rPr>
        <w:t>έχει δ</w:t>
      </w:r>
      <w:r w:rsidR="00775AD3">
        <w:rPr>
          <w:rFonts w:cstheme="minorHAnsi"/>
          <w:sz w:val="24"/>
          <w:szCs w:val="24"/>
          <w:lang w:val="el-GR"/>
        </w:rPr>
        <w:t>ο</w:t>
      </w:r>
      <w:r>
        <w:rPr>
          <w:rFonts w:cstheme="minorHAnsi"/>
          <w:sz w:val="24"/>
          <w:szCs w:val="24"/>
          <w:lang w:val="el-GR"/>
        </w:rPr>
        <w:t>θεί αποτελεσματική απάντηση</w:t>
      </w:r>
      <w:r w:rsidRPr="00743777">
        <w:rPr>
          <w:rFonts w:cstheme="minorHAnsi"/>
          <w:sz w:val="24"/>
          <w:szCs w:val="24"/>
          <w:lang w:val="el-GR"/>
        </w:rPr>
        <w:t xml:space="preserve"> </w:t>
      </w:r>
      <w:r>
        <w:rPr>
          <w:rFonts w:cstheme="minorHAnsi"/>
          <w:sz w:val="24"/>
          <w:szCs w:val="24"/>
          <w:lang w:val="el-GR"/>
        </w:rPr>
        <w:t>σε πρώτο βαθμό από δημόσιες αρχές</w:t>
      </w:r>
      <w:r w:rsidR="006E716A" w:rsidRPr="00743777">
        <w:rPr>
          <w:rFonts w:cstheme="minorHAnsi"/>
          <w:sz w:val="24"/>
          <w:szCs w:val="24"/>
          <w:lang w:val="el-GR"/>
        </w:rPr>
        <w:t>.</w:t>
      </w:r>
      <w:r w:rsidR="00A5147D" w:rsidRPr="00743777">
        <w:rPr>
          <w:rFonts w:cstheme="minorHAnsi"/>
          <w:sz w:val="24"/>
          <w:szCs w:val="24"/>
          <w:lang w:val="el-GR"/>
        </w:rPr>
        <w:t xml:space="preserve"> </w:t>
      </w:r>
      <w:bookmarkEnd w:id="75"/>
      <w:r>
        <w:rPr>
          <w:rFonts w:cstheme="minorHAnsi"/>
          <w:sz w:val="24"/>
          <w:szCs w:val="24"/>
          <w:lang w:val="el-GR"/>
        </w:rPr>
        <w:t>Ο</w:t>
      </w:r>
      <w:r w:rsidRPr="00F337F6">
        <w:rPr>
          <w:rFonts w:cstheme="minorHAnsi"/>
          <w:sz w:val="24"/>
          <w:szCs w:val="24"/>
          <w:lang w:val="el-GR"/>
        </w:rPr>
        <w:t xml:space="preserve"> </w:t>
      </w:r>
      <w:r>
        <w:rPr>
          <w:rFonts w:cstheme="minorHAnsi"/>
          <w:sz w:val="24"/>
          <w:szCs w:val="24"/>
          <w:lang w:val="el-GR"/>
        </w:rPr>
        <w:t>Επίτροπος</w:t>
      </w:r>
      <w:r w:rsidRPr="00F337F6">
        <w:rPr>
          <w:rFonts w:cstheme="minorHAnsi"/>
          <w:sz w:val="24"/>
          <w:szCs w:val="24"/>
          <w:lang w:val="el-GR"/>
        </w:rPr>
        <w:t xml:space="preserve"> </w:t>
      </w:r>
      <w:r>
        <w:rPr>
          <w:rFonts w:cstheme="minorHAnsi"/>
          <w:sz w:val="24"/>
          <w:szCs w:val="24"/>
          <w:lang w:val="el-GR"/>
        </w:rPr>
        <w:t>Πληροφοριών</w:t>
      </w:r>
      <w:r w:rsidR="00A5147D" w:rsidRPr="00F337F6">
        <w:rPr>
          <w:rFonts w:cstheme="minorHAnsi"/>
          <w:sz w:val="24"/>
          <w:szCs w:val="24"/>
          <w:lang w:val="el-GR"/>
        </w:rPr>
        <w:t xml:space="preserve"> </w:t>
      </w:r>
      <w:r w:rsidR="00F337F6">
        <w:rPr>
          <w:rFonts w:cstheme="minorHAnsi"/>
          <w:sz w:val="24"/>
          <w:szCs w:val="24"/>
          <w:lang w:val="el-GR"/>
        </w:rPr>
        <w:t>έχει</w:t>
      </w:r>
      <w:r w:rsidR="00F337F6" w:rsidRPr="00F337F6">
        <w:rPr>
          <w:rFonts w:cstheme="minorHAnsi"/>
          <w:sz w:val="24"/>
          <w:szCs w:val="24"/>
          <w:lang w:val="el-GR"/>
        </w:rPr>
        <w:t xml:space="preserve"> </w:t>
      </w:r>
      <w:r w:rsidR="00F337F6">
        <w:rPr>
          <w:rFonts w:cstheme="minorHAnsi"/>
          <w:sz w:val="24"/>
          <w:szCs w:val="24"/>
          <w:lang w:val="el-GR"/>
        </w:rPr>
        <w:t>δεχθεί</w:t>
      </w:r>
      <w:r w:rsidR="00F337F6" w:rsidRPr="00F337F6">
        <w:rPr>
          <w:rFonts w:cstheme="minorHAnsi"/>
          <w:sz w:val="24"/>
          <w:szCs w:val="24"/>
          <w:lang w:val="el-GR"/>
        </w:rPr>
        <w:t xml:space="preserve"> </w:t>
      </w:r>
      <w:r w:rsidR="00F337F6">
        <w:rPr>
          <w:rFonts w:cstheme="minorHAnsi"/>
          <w:sz w:val="24"/>
          <w:szCs w:val="24"/>
          <w:lang w:val="el-GR"/>
        </w:rPr>
        <w:t>μόνο</w:t>
      </w:r>
      <w:r w:rsidR="00A5147D" w:rsidRPr="00F337F6">
        <w:rPr>
          <w:rFonts w:cstheme="minorHAnsi"/>
          <w:sz w:val="24"/>
          <w:szCs w:val="24"/>
          <w:lang w:val="el-GR"/>
        </w:rPr>
        <w:t xml:space="preserve"> 41 </w:t>
      </w:r>
      <w:r w:rsidR="00F337F6">
        <w:rPr>
          <w:rFonts w:cstheme="minorHAnsi"/>
          <w:sz w:val="24"/>
          <w:szCs w:val="24"/>
          <w:lang w:val="el-GR"/>
        </w:rPr>
        <w:t>παράπονα</w:t>
      </w:r>
      <w:r w:rsidR="00A5147D" w:rsidRPr="00F337F6">
        <w:rPr>
          <w:rFonts w:cstheme="minorHAnsi"/>
          <w:sz w:val="24"/>
          <w:szCs w:val="24"/>
          <w:lang w:val="el-GR"/>
        </w:rPr>
        <w:t xml:space="preserve"> </w:t>
      </w:r>
      <w:r w:rsidR="00F337F6">
        <w:rPr>
          <w:rFonts w:cstheme="minorHAnsi"/>
          <w:sz w:val="24"/>
          <w:szCs w:val="24"/>
          <w:lang w:val="el-GR"/>
        </w:rPr>
        <w:t>μέσα</w:t>
      </w:r>
      <w:r w:rsidR="00F337F6" w:rsidRPr="00F337F6">
        <w:rPr>
          <w:rFonts w:cstheme="minorHAnsi"/>
          <w:sz w:val="24"/>
          <w:szCs w:val="24"/>
          <w:lang w:val="el-GR"/>
        </w:rPr>
        <w:t xml:space="preserve"> </w:t>
      </w:r>
      <w:r w:rsidR="00F337F6">
        <w:rPr>
          <w:rFonts w:cstheme="minorHAnsi"/>
          <w:sz w:val="24"/>
          <w:szCs w:val="24"/>
          <w:lang w:val="el-GR"/>
        </w:rPr>
        <w:t>σε</w:t>
      </w:r>
      <w:r w:rsidR="00F337F6" w:rsidRPr="00F337F6">
        <w:rPr>
          <w:rFonts w:cstheme="minorHAnsi"/>
          <w:sz w:val="24"/>
          <w:szCs w:val="24"/>
          <w:lang w:val="el-GR"/>
        </w:rPr>
        <w:t xml:space="preserve"> </w:t>
      </w:r>
      <w:r w:rsidR="00F337F6">
        <w:rPr>
          <w:rFonts w:cstheme="minorHAnsi"/>
          <w:sz w:val="24"/>
          <w:szCs w:val="24"/>
          <w:lang w:val="el-GR"/>
        </w:rPr>
        <w:t>δύο</w:t>
      </w:r>
      <w:r w:rsidR="00F337F6" w:rsidRPr="00F337F6">
        <w:rPr>
          <w:rFonts w:cstheme="minorHAnsi"/>
          <w:sz w:val="24"/>
          <w:szCs w:val="24"/>
          <w:lang w:val="el-GR"/>
        </w:rPr>
        <w:t xml:space="preserve"> </w:t>
      </w:r>
      <w:r w:rsidR="00F337F6">
        <w:rPr>
          <w:rFonts w:cstheme="minorHAnsi"/>
          <w:sz w:val="24"/>
          <w:szCs w:val="24"/>
          <w:lang w:val="el-GR"/>
        </w:rPr>
        <w:t>χρόνια</w:t>
      </w:r>
      <w:r w:rsidR="00A5147D" w:rsidRPr="00F337F6">
        <w:rPr>
          <w:rFonts w:cstheme="minorHAnsi"/>
          <w:sz w:val="24"/>
          <w:szCs w:val="24"/>
          <w:lang w:val="el-GR"/>
        </w:rPr>
        <w:t xml:space="preserve"> </w:t>
      </w:r>
      <w:r w:rsidR="00F337F6">
        <w:rPr>
          <w:rFonts w:cstheme="minorHAnsi"/>
          <w:sz w:val="24"/>
          <w:szCs w:val="24"/>
          <w:lang w:val="el-GR"/>
        </w:rPr>
        <w:t>και</w:t>
      </w:r>
      <w:r w:rsidR="00A5147D" w:rsidRPr="00F337F6">
        <w:rPr>
          <w:rFonts w:cstheme="minorHAnsi"/>
          <w:sz w:val="24"/>
          <w:szCs w:val="24"/>
          <w:lang w:val="el-GR"/>
        </w:rPr>
        <w:t xml:space="preserve">, </w:t>
      </w:r>
      <w:r w:rsidR="00775AD3">
        <w:rPr>
          <w:rFonts w:cstheme="minorHAnsi"/>
          <w:sz w:val="24"/>
          <w:szCs w:val="24"/>
          <w:lang w:val="el-GR"/>
        </w:rPr>
        <w:t xml:space="preserve">πιο </w:t>
      </w:r>
      <w:r w:rsidR="0077336D">
        <w:rPr>
          <w:rFonts w:cstheme="minorHAnsi"/>
          <w:sz w:val="24"/>
          <w:szCs w:val="24"/>
          <w:lang w:val="el-GR"/>
        </w:rPr>
        <w:lastRenderedPageBreak/>
        <w:t>αξιοσημείωτο</w:t>
      </w:r>
      <w:r w:rsidR="00F337F6">
        <w:rPr>
          <w:rFonts w:cstheme="minorHAnsi"/>
          <w:sz w:val="24"/>
          <w:szCs w:val="24"/>
          <w:lang w:val="el-GR"/>
        </w:rPr>
        <w:t xml:space="preserve"> είναι ότι</w:t>
      </w:r>
      <w:r w:rsidR="00A5147D" w:rsidRPr="00F337F6">
        <w:rPr>
          <w:rFonts w:cstheme="minorHAnsi"/>
          <w:sz w:val="24"/>
          <w:szCs w:val="24"/>
          <w:lang w:val="el-GR"/>
        </w:rPr>
        <w:t xml:space="preserve">, </w:t>
      </w:r>
      <w:r w:rsidR="00F337F6">
        <w:rPr>
          <w:rFonts w:cstheme="minorHAnsi"/>
          <w:sz w:val="24"/>
          <w:szCs w:val="24"/>
          <w:lang w:val="el-GR"/>
        </w:rPr>
        <w:t>σχεδόν κανένα αίτημα δεν προέρχεται από τα μέσα ενημέρωσης</w:t>
      </w:r>
      <w:r w:rsidR="00A5147D" w:rsidRPr="00F337F6">
        <w:rPr>
          <w:rFonts w:cstheme="minorHAnsi"/>
          <w:sz w:val="24"/>
          <w:szCs w:val="24"/>
          <w:lang w:val="el-GR"/>
        </w:rPr>
        <w:t xml:space="preserve">. </w:t>
      </w:r>
      <w:r w:rsidR="001B7B81">
        <w:rPr>
          <w:rFonts w:cstheme="minorHAnsi"/>
          <w:sz w:val="24"/>
          <w:szCs w:val="24"/>
          <w:lang w:val="el-GR"/>
        </w:rPr>
        <w:t>Υπάρχουν</w:t>
      </w:r>
      <w:r w:rsidR="001B7B81" w:rsidRPr="001B7B81">
        <w:rPr>
          <w:rFonts w:cstheme="minorHAnsi"/>
          <w:sz w:val="24"/>
          <w:szCs w:val="24"/>
          <w:lang w:val="el-GR"/>
        </w:rPr>
        <w:t xml:space="preserve"> </w:t>
      </w:r>
      <w:r w:rsidR="001B7B81">
        <w:rPr>
          <w:rFonts w:cstheme="minorHAnsi"/>
          <w:sz w:val="24"/>
          <w:szCs w:val="24"/>
          <w:lang w:val="el-GR"/>
        </w:rPr>
        <w:t>πολλοί</w:t>
      </w:r>
      <w:r w:rsidR="001B7B81" w:rsidRPr="001B7B81">
        <w:rPr>
          <w:rFonts w:cstheme="minorHAnsi"/>
          <w:sz w:val="24"/>
          <w:szCs w:val="24"/>
          <w:lang w:val="el-GR"/>
        </w:rPr>
        <w:t xml:space="preserve"> </w:t>
      </w:r>
      <w:r w:rsidR="001B7B81">
        <w:rPr>
          <w:rFonts w:cstheme="minorHAnsi"/>
          <w:sz w:val="24"/>
          <w:szCs w:val="24"/>
          <w:lang w:val="el-GR"/>
        </w:rPr>
        <w:t>πιθανοί</w:t>
      </w:r>
      <w:r w:rsidR="001B7B81" w:rsidRPr="001B7B81">
        <w:rPr>
          <w:rFonts w:cstheme="minorHAnsi"/>
          <w:sz w:val="24"/>
          <w:szCs w:val="24"/>
          <w:lang w:val="el-GR"/>
        </w:rPr>
        <w:t xml:space="preserve"> </w:t>
      </w:r>
      <w:r w:rsidR="001B7B81">
        <w:rPr>
          <w:rFonts w:cstheme="minorHAnsi"/>
          <w:sz w:val="24"/>
          <w:szCs w:val="24"/>
          <w:lang w:val="el-GR"/>
        </w:rPr>
        <w:t>λόγοι</w:t>
      </w:r>
      <w:r w:rsidR="001B7B81" w:rsidRPr="001B7B81">
        <w:rPr>
          <w:rFonts w:cstheme="minorHAnsi"/>
          <w:sz w:val="24"/>
          <w:szCs w:val="24"/>
          <w:lang w:val="el-GR"/>
        </w:rPr>
        <w:t xml:space="preserve"> </w:t>
      </w:r>
      <w:r w:rsidR="001B7B81">
        <w:rPr>
          <w:rFonts w:cstheme="minorHAnsi"/>
          <w:sz w:val="24"/>
          <w:szCs w:val="24"/>
          <w:lang w:val="el-GR"/>
        </w:rPr>
        <w:t>γι</w:t>
      </w:r>
      <w:r w:rsidR="001B7B81" w:rsidRPr="001B7B81">
        <w:rPr>
          <w:rFonts w:cstheme="minorHAnsi"/>
          <w:sz w:val="24"/>
          <w:szCs w:val="24"/>
          <w:lang w:val="el-GR"/>
        </w:rPr>
        <w:t>’</w:t>
      </w:r>
      <w:r w:rsidR="0077336D">
        <w:rPr>
          <w:rFonts w:cstheme="minorHAnsi"/>
          <w:sz w:val="24"/>
          <w:szCs w:val="24"/>
          <w:lang w:val="el-GR"/>
        </w:rPr>
        <w:t xml:space="preserve"> </w:t>
      </w:r>
      <w:r w:rsidR="001B7B81">
        <w:rPr>
          <w:rFonts w:cstheme="minorHAnsi"/>
          <w:sz w:val="24"/>
          <w:szCs w:val="24"/>
          <w:lang w:val="el-GR"/>
        </w:rPr>
        <w:t>αυτό</w:t>
      </w:r>
      <w:r w:rsidR="00A5147D" w:rsidRPr="001B7B81">
        <w:rPr>
          <w:rFonts w:cstheme="minorHAnsi"/>
          <w:sz w:val="24"/>
          <w:szCs w:val="24"/>
          <w:lang w:val="el-GR"/>
        </w:rPr>
        <w:t xml:space="preserve">, </w:t>
      </w:r>
      <w:r w:rsidR="001B7B81">
        <w:rPr>
          <w:rFonts w:cstheme="minorHAnsi"/>
          <w:sz w:val="24"/>
          <w:szCs w:val="24"/>
          <w:lang w:val="el-GR"/>
        </w:rPr>
        <w:t>ωστόσο</w:t>
      </w:r>
      <w:r w:rsidR="001B7B81" w:rsidRPr="001B7B81">
        <w:rPr>
          <w:rFonts w:cstheme="minorHAnsi"/>
          <w:sz w:val="24"/>
          <w:szCs w:val="24"/>
          <w:lang w:val="el-GR"/>
        </w:rPr>
        <w:t xml:space="preserve"> </w:t>
      </w:r>
      <w:r w:rsidR="001B7B81">
        <w:rPr>
          <w:rFonts w:cstheme="minorHAnsi"/>
          <w:sz w:val="24"/>
          <w:szCs w:val="24"/>
          <w:lang w:val="el-GR"/>
        </w:rPr>
        <w:t>οι</w:t>
      </w:r>
      <w:r w:rsidR="001B7B81" w:rsidRPr="001B7B81">
        <w:rPr>
          <w:rFonts w:cstheme="minorHAnsi"/>
          <w:sz w:val="24"/>
          <w:szCs w:val="24"/>
          <w:lang w:val="el-GR"/>
        </w:rPr>
        <w:t xml:space="preserve"> </w:t>
      </w:r>
      <w:r w:rsidR="001B7B81">
        <w:rPr>
          <w:rFonts w:cstheme="minorHAnsi"/>
          <w:sz w:val="24"/>
          <w:szCs w:val="24"/>
          <w:lang w:val="el-GR"/>
        </w:rPr>
        <w:t>επί</w:t>
      </w:r>
      <w:r w:rsidR="001B7B81" w:rsidRPr="001B7B81">
        <w:rPr>
          <w:rFonts w:cstheme="minorHAnsi"/>
          <w:sz w:val="24"/>
          <w:szCs w:val="24"/>
          <w:lang w:val="el-GR"/>
        </w:rPr>
        <w:t xml:space="preserve"> </w:t>
      </w:r>
      <w:r w:rsidR="001B7B81">
        <w:rPr>
          <w:rFonts w:cstheme="minorHAnsi"/>
          <w:sz w:val="24"/>
          <w:szCs w:val="24"/>
          <w:lang w:val="el-GR"/>
        </w:rPr>
        <w:t>τόπου</w:t>
      </w:r>
      <w:r w:rsidR="001B7B81" w:rsidRPr="001B7B81">
        <w:rPr>
          <w:rFonts w:cstheme="minorHAnsi"/>
          <w:sz w:val="24"/>
          <w:szCs w:val="24"/>
          <w:lang w:val="el-GR"/>
        </w:rPr>
        <w:t xml:space="preserve"> </w:t>
      </w:r>
      <w:r w:rsidR="001B7B81">
        <w:rPr>
          <w:rFonts w:cstheme="minorHAnsi"/>
          <w:sz w:val="24"/>
          <w:szCs w:val="24"/>
          <w:lang w:val="el-GR"/>
        </w:rPr>
        <w:t>συνεντεύξεις</w:t>
      </w:r>
      <w:r w:rsidR="001B7B81" w:rsidRPr="001B7B81">
        <w:rPr>
          <w:rFonts w:cstheme="minorHAnsi"/>
          <w:sz w:val="24"/>
          <w:szCs w:val="24"/>
          <w:lang w:val="el-GR"/>
        </w:rPr>
        <w:t xml:space="preserve"> </w:t>
      </w:r>
      <w:r w:rsidR="001B7B81">
        <w:rPr>
          <w:rFonts w:cstheme="minorHAnsi"/>
          <w:sz w:val="24"/>
          <w:szCs w:val="24"/>
          <w:lang w:val="el-GR"/>
        </w:rPr>
        <w:t>και</w:t>
      </w:r>
      <w:r w:rsidR="001B7B81" w:rsidRPr="001B7B81">
        <w:rPr>
          <w:rFonts w:cstheme="minorHAnsi"/>
          <w:sz w:val="24"/>
          <w:szCs w:val="24"/>
          <w:lang w:val="el-GR"/>
        </w:rPr>
        <w:t xml:space="preserve"> </w:t>
      </w:r>
      <w:r w:rsidR="001B7B81">
        <w:rPr>
          <w:rFonts w:cstheme="minorHAnsi"/>
          <w:sz w:val="24"/>
          <w:szCs w:val="24"/>
          <w:lang w:val="el-GR"/>
        </w:rPr>
        <w:t>οι</w:t>
      </w:r>
      <w:r w:rsidR="001B7B81" w:rsidRPr="001B7B81">
        <w:rPr>
          <w:rFonts w:cstheme="minorHAnsi"/>
          <w:sz w:val="24"/>
          <w:szCs w:val="24"/>
          <w:lang w:val="el-GR"/>
        </w:rPr>
        <w:t xml:space="preserve"> </w:t>
      </w:r>
      <w:r w:rsidR="001B7B81">
        <w:rPr>
          <w:rFonts w:cstheme="minorHAnsi"/>
          <w:sz w:val="24"/>
          <w:szCs w:val="24"/>
          <w:lang w:val="el-GR"/>
        </w:rPr>
        <w:t>γενικές</w:t>
      </w:r>
      <w:r w:rsidR="001B7B81" w:rsidRPr="001B7B81">
        <w:rPr>
          <w:rFonts w:cstheme="minorHAnsi"/>
          <w:sz w:val="24"/>
          <w:szCs w:val="24"/>
          <w:lang w:val="el-GR"/>
        </w:rPr>
        <w:t xml:space="preserve"> </w:t>
      </w:r>
      <w:r w:rsidR="001B7B81">
        <w:rPr>
          <w:rFonts w:cstheme="minorHAnsi"/>
          <w:sz w:val="24"/>
          <w:szCs w:val="24"/>
          <w:lang w:val="el-GR"/>
        </w:rPr>
        <w:t>πληροφορίες</w:t>
      </w:r>
      <w:r w:rsidR="001B7B81" w:rsidRPr="001B7B81">
        <w:rPr>
          <w:rFonts w:cstheme="minorHAnsi"/>
          <w:sz w:val="24"/>
          <w:szCs w:val="24"/>
          <w:lang w:val="el-GR"/>
        </w:rPr>
        <w:t xml:space="preserve"> </w:t>
      </w:r>
      <w:r w:rsidR="001B7B81">
        <w:rPr>
          <w:rFonts w:cstheme="minorHAnsi"/>
          <w:sz w:val="24"/>
          <w:szCs w:val="24"/>
          <w:lang w:val="el-GR"/>
        </w:rPr>
        <w:t>που</w:t>
      </w:r>
      <w:r w:rsidR="001B7B81" w:rsidRPr="001B7B81">
        <w:rPr>
          <w:rFonts w:cstheme="minorHAnsi"/>
          <w:sz w:val="24"/>
          <w:szCs w:val="24"/>
          <w:lang w:val="el-GR"/>
        </w:rPr>
        <w:t xml:space="preserve"> </w:t>
      </w:r>
      <w:r w:rsidR="001B7B81">
        <w:rPr>
          <w:rFonts w:cstheme="minorHAnsi"/>
          <w:sz w:val="24"/>
          <w:szCs w:val="24"/>
          <w:lang w:val="el-GR"/>
        </w:rPr>
        <w:t>έχει</w:t>
      </w:r>
      <w:r w:rsidR="001B7B81" w:rsidRPr="001B7B81">
        <w:rPr>
          <w:rFonts w:cstheme="minorHAnsi"/>
          <w:sz w:val="24"/>
          <w:szCs w:val="24"/>
          <w:lang w:val="el-GR"/>
        </w:rPr>
        <w:t xml:space="preserve"> </w:t>
      </w:r>
      <w:r w:rsidR="001B7B81">
        <w:rPr>
          <w:rFonts w:cstheme="minorHAnsi"/>
          <w:sz w:val="24"/>
          <w:szCs w:val="24"/>
          <w:lang w:val="el-GR"/>
        </w:rPr>
        <w:t>αποκτήσει</w:t>
      </w:r>
      <w:r w:rsidR="001B7B81" w:rsidRPr="001B7B81">
        <w:rPr>
          <w:rFonts w:cstheme="minorHAnsi"/>
          <w:sz w:val="24"/>
          <w:szCs w:val="24"/>
          <w:lang w:val="el-GR"/>
        </w:rPr>
        <w:t xml:space="preserve"> </w:t>
      </w:r>
      <w:r w:rsidR="001B7B81">
        <w:rPr>
          <w:rFonts w:cstheme="minorHAnsi"/>
          <w:sz w:val="24"/>
          <w:szCs w:val="24"/>
          <w:lang w:val="el-GR"/>
        </w:rPr>
        <w:t>η</w:t>
      </w:r>
      <w:r w:rsidR="00A5147D" w:rsidRPr="001B7B81">
        <w:rPr>
          <w:rFonts w:cstheme="minorHAnsi"/>
          <w:sz w:val="24"/>
          <w:szCs w:val="24"/>
          <w:lang w:val="el-GR"/>
        </w:rPr>
        <w:t xml:space="preserve"> </w:t>
      </w:r>
      <w:r w:rsidR="00A5147D" w:rsidRPr="00B95983">
        <w:rPr>
          <w:rFonts w:cstheme="minorHAnsi"/>
          <w:sz w:val="24"/>
          <w:szCs w:val="24"/>
        </w:rPr>
        <w:t>GET</w:t>
      </w:r>
      <w:r w:rsidR="00A5147D" w:rsidRPr="001B7B81">
        <w:rPr>
          <w:rFonts w:cstheme="minorHAnsi"/>
          <w:sz w:val="24"/>
          <w:szCs w:val="24"/>
          <w:lang w:val="el-GR"/>
        </w:rPr>
        <w:t xml:space="preserve"> </w:t>
      </w:r>
      <w:r w:rsidR="001B7B81">
        <w:rPr>
          <w:rFonts w:cstheme="minorHAnsi"/>
          <w:sz w:val="24"/>
          <w:szCs w:val="24"/>
          <w:lang w:val="el-GR"/>
        </w:rPr>
        <w:t>δείχνουν</w:t>
      </w:r>
      <w:r w:rsidR="001B7B81" w:rsidRPr="001B7B81">
        <w:rPr>
          <w:rFonts w:cstheme="minorHAnsi"/>
          <w:sz w:val="24"/>
          <w:szCs w:val="24"/>
          <w:lang w:val="el-GR"/>
        </w:rPr>
        <w:t xml:space="preserve"> </w:t>
      </w:r>
      <w:r w:rsidR="001B7B81">
        <w:rPr>
          <w:rFonts w:cstheme="minorHAnsi"/>
          <w:sz w:val="24"/>
          <w:szCs w:val="24"/>
          <w:lang w:val="el-GR"/>
        </w:rPr>
        <w:t>μια</w:t>
      </w:r>
      <w:r w:rsidR="001B7B81" w:rsidRPr="001B7B81">
        <w:rPr>
          <w:rFonts w:cstheme="minorHAnsi"/>
          <w:sz w:val="24"/>
          <w:szCs w:val="24"/>
          <w:lang w:val="el-GR"/>
        </w:rPr>
        <w:t xml:space="preserve"> </w:t>
      </w:r>
      <w:r w:rsidR="001B7B81">
        <w:rPr>
          <w:rFonts w:cstheme="minorHAnsi"/>
          <w:sz w:val="24"/>
          <w:szCs w:val="24"/>
          <w:lang w:val="el-GR"/>
        </w:rPr>
        <w:t>γενική</w:t>
      </w:r>
      <w:r w:rsidR="001B7B81" w:rsidRPr="001B7B81">
        <w:rPr>
          <w:rFonts w:cstheme="minorHAnsi"/>
          <w:sz w:val="24"/>
          <w:szCs w:val="24"/>
          <w:lang w:val="el-GR"/>
        </w:rPr>
        <w:t xml:space="preserve"> </w:t>
      </w:r>
      <w:r w:rsidR="001B7B81">
        <w:rPr>
          <w:rFonts w:cstheme="minorHAnsi"/>
          <w:sz w:val="24"/>
          <w:szCs w:val="24"/>
          <w:lang w:val="el-GR"/>
        </w:rPr>
        <w:t>έλλειψη</w:t>
      </w:r>
      <w:r w:rsidR="001B7B81" w:rsidRPr="001B7B81">
        <w:rPr>
          <w:rFonts w:cstheme="minorHAnsi"/>
          <w:sz w:val="24"/>
          <w:szCs w:val="24"/>
          <w:lang w:val="el-GR"/>
        </w:rPr>
        <w:t xml:space="preserve"> </w:t>
      </w:r>
      <w:r w:rsidR="001B7B81">
        <w:rPr>
          <w:rFonts w:cstheme="minorHAnsi"/>
          <w:sz w:val="24"/>
          <w:szCs w:val="24"/>
          <w:lang w:val="el-GR"/>
        </w:rPr>
        <w:t>εμπιστοσύνης</w:t>
      </w:r>
      <w:r w:rsidR="00A5147D" w:rsidRPr="001B7B81">
        <w:rPr>
          <w:rFonts w:cstheme="minorHAnsi"/>
          <w:sz w:val="24"/>
          <w:szCs w:val="24"/>
          <w:lang w:val="el-GR"/>
        </w:rPr>
        <w:t xml:space="preserve"> </w:t>
      </w:r>
      <w:r w:rsidR="001B7B81">
        <w:rPr>
          <w:rFonts w:cstheme="minorHAnsi"/>
          <w:sz w:val="24"/>
          <w:szCs w:val="24"/>
          <w:lang w:val="el-GR"/>
        </w:rPr>
        <w:t xml:space="preserve">ότι ένα αίτημα </w:t>
      </w:r>
      <w:r w:rsidR="00775AD3">
        <w:rPr>
          <w:rFonts w:cstheme="minorHAnsi"/>
          <w:sz w:val="24"/>
          <w:szCs w:val="24"/>
          <w:lang w:val="el-GR"/>
        </w:rPr>
        <w:t xml:space="preserve">για πληροφόρηση </w:t>
      </w:r>
      <w:r w:rsidR="001B7B81">
        <w:rPr>
          <w:rFonts w:cstheme="minorHAnsi"/>
          <w:sz w:val="24"/>
          <w:szCs w:val="24"/>
          <w:lang w:val="el-GR"/>
        </w:rPr>
        <w:t>θα μπορούσε να οδηγήσει σε μια αποκάλυψη πληροφοριών</w:t>
      </w:r>
      <w:r w:rsidR="00A5147D" w:rsidRPr="001B7B81">
        <w:rPr>
          <w:rFonts w:cstheme="minorHAnsi"/>
          <w:sz w:val="24"/>
          <w:szCs w:val="24"/>
          <w:lang w:val="el-GR"/>
        </w:rPr>
        <w:t xml:space="preserve"> </w:t>
      </w:r>
      <w:r w:rsidR="001B7B81">
        <w:rPr>
          <w:rFonts w:cstheme="minorHAnsi"/>
          <w:sz w:val="24"/>
          <w:szCs w:val="24"/>
          <w:lang w:val="el-GR"/>
        </w:rPr>
        <w:t>που θα μπορούσε να χρησιμοποιηθεί</w:t>
      </w:r>
      <w:r w:rsidR="001B7B81" w:rsidRPr="001B7B81">
        <w:rPr>
          <w:rFonts w:cstheme="minorHAnsi"/>
          <w:sz w:val="24"/>
          <w:szCs w:val="24"/>
          <w:lang w:val="el-GR"/>
        </w:rPr>
        <w:t xml:space="preserve"> </w:t>
      </w:r>
      <w:r w:rsidR="001B7B81">
        <w:rPr>
          <w:rFonts w:cstheme="minorHAnsi"/>
          <w:sz w:val="24"/>
          <w:szCs w:val="24"/>
          <w:lang w:val="el-GR"/>
        </w:rPr>
        <w:t>για την αρ</w:t>
      </w:r>
      <w:r w:rsidR="00040FDD">
        <w:rPr>
          <w:rFonts w:cstheme="minorHAnsi"/>
          <w:sz w:val="24"/>
          <w:szCs w:val="24"/>
          <w:lang w:val="el-GR"/>
        </w:rPr>
        <w:t>ν</w:t>
      </w:r>
      <w:r w:rsidR="001B7B81">
        <w:rPr>
          <w:rFonts w:cstheme="minorHAnsi"/>
          <w:sz w:val="24"/>
          <w:szCs w:val="24"/>
          <w:lang w:val="el-GR"/>
        </w:rPr>
        <w:t>ητική απεικόν</w:t>
      </w:r>
      <w:r w:rsidR="00D57532">
        <w:rPr>
          <w:rFonts w:cstheme="minorHAnsi"/>
          <w:sz w:val="24"/>
          <w:szCs w:val="24"/>
          <w:lang w:val="el-GR"/>
        </w:rPr>
        <w:t>ι</w:t>
      </w:r>
      <w:r w:rsidR="001B7B81">
        <w:rPr>
          <w:rFonts w:cstheme="minorHAnsi"/>
          <w:sz w:val="24"/>
          <w:szCs w:val="24"/>
          <w:lang w:val="el-GR"/>
        </w:rPr>
        <w:t>ση των δημοσίων αρχών</w:t>
      </w:r>
      <w:r w:rsidR="00A5147D" w:rsidRPr="001B7B81">
        <w:rPr>
          <w:rFonts w:cstheme="minorHAnsi"/>
          <w:sz w:val="24"/>
          <w:szCs w:val="24"/>
          <w:lang w:val="el-GR"/>
        </w:rPr>
        <w:t xml:space="preserve">. </w:t>
      </w:r>
      <w:r w:rsidR="001B7B81">
        <w:rPr>
          <w:rFonts w:cstheme="minorHAnsi"/>
          <w:sz w:val="24"/>
          <w:szCs w:val="24"/>
          <w:lang w:val="el-GR"/>
        </w:rPr>
        <w:t>Στο</w:t>
      </w:r>
      <w:r w:rsidR="001B7B81" w:rsidRPr="001B7B81">
        <w:rPr>
          <w:rFonts w:cstheme="minorHAnsi"/>
          <w:sz w:val="24"/>
          <w:szCs w:val="24"/>
          <w:lang w:val="el-GR"/>
        </w:rPr>
        <w:t xml:space="preserve"> </w:t>
      </w:r>
      <w:r w:rsidR="001B7B81">
        <w:rPr>
          <w:rFonts w:cstheme="minorHAnsi"/>
          <w:sz w:val="24"/>
          <w:szCs w:val="24"/>
          <w:lang w:val="el-GR"/>
        </w:rPr>
        <w:t>πλαίσιο</w:t>
      </w:r>
      <w:r w:rsidR="001B7B81" w:rsidRPr="001B7B81">
        <w:rPr>
          <w:rFonts w:cstheme="minorHAnsi"/>
          <w:sz w:val="24"/>
          <w:szCs w:val="24"/>
          <w:lang w:val="el-GR"/>
        </w:rPr>
        <w:t xml:space="preserve"> </w:t>
      </w:r>
      <w:r w:rsidR="001B7B81">
        <w:rPr>
          <w:rFonts w:cstheme="minorHAnsi"/>
          <w:sz w:val="24"/>
          <w:szCs w:val="24"/>
          <w:lang w:val="el-GR"/>
        </w:rPr>
        <w:t>αυτό</w:t>
      </w:r>
      <w:r w:rsidR="00A5147D" w:rsidRPr="001B7B81">
        <w:rPr>
          <w:rFonts w:cstheme="minorHAnsi"/>
          <w:sz w:val="24"/>
          <w:szCs w:val="24"/>
          <w:lang w:val="el-GR"/>
        </w:rPr>
        <w:t xml:space="preserve">, </w:t>
      </w:r>
      <w:r w:rsidR="001B7B81">
        <w:rPr>
          <w:rFonts w:cstheme="minorHAnsi"/>
          <w:sz w:val="24"/>
          <w:szCs w:val="24"/>
          <w:lang w:val="el-GR"/>
        </w:rPr>
        <w:t>πρέπει</w:t>
      </w:r>
      <w:r w:rsidR="001B7B81" w:rsidRPr="001B7B81">
        <w:rPr>
          <w:rFonts w:cstheme="minorHAnsi"/>
          <w:sz w:val="24"/>
          <w:szCs w:val="24"/>
          <w:lang w:val="el-GR"/>
        </w:rPr>
        <w:t xml:space="preserve"> </w:t>
      </w:r>
      <w:r w:rsidR="001B7B81">
        <w:rPr>
          <w:rFonts w:cstheme="minorHAnsi"/>
          <w:sz w:val="24"/>
          <w:szCs w:val="24"/>
          <w:lang w:val="el-GR"/>
        </w:rPr>
        <w:t>να</w:t>
      </w:r>
      <w:r w:rsidR="001B7B81" w:rsidRPr="001B7B81">
        <w:rPr>
          <w:rFonts w:cstheme="minorHAnsi"/>
          <w:sz w:val="24"/>
          <w:szCs w:val="24"/>
          <w:lang w:val="el-GR"/>
        </w:rPr>
        <w:t xml:space="preserve"> </w:t>
      </w:r>
      <w:r w:rsidR="001B7B81">
        <w:rPr>
          <w:rFonts w:cstheme="minorHAnsi"/>
          <w:sz w:val="24"/>
          <w:szCs w:val="24"/>
          <w:lang w:val="el-GR"/>
        </w:rPr>
        <w:t>σημειωθεί</w:t>
      </w:r>
      <w:r w:rsidR="00A5147D" w:rsidRPr="001B7B81">
        <w:rPr>
          <w:rFonts w:cstheme="minorHAnsi"/>
          <w:sz w:val="24"/>
          <w:szCs w:val="24"/>
          <w:lang w:val="el-GR"/>
        </w:rPr>
        <w:t xml:space="preserve"> </w:t>
      </w:r>
      <w:r w:rsidR="001B7B81">
        <w:rPr>
          <w:rFonts w:cstheme="minorHAnsi"/>
          <w:sz w:val="24"/>
          <w:szCs w:val="24"/>
          <w:lang w:val="el-GR"/>
        </w:rPr>
        <w:t>ότι</w:t>
      </w:r>
      <w:r w:rsidR="00A5147D" w:rsidRPr="001B7B81">
        <w:rPr>
          <w:rFonts w:cstheme="minorHAnsi"/>
          <w:sz w:val="24"/>
          <w:szCs w:val="24"/>
          <w:lang w:val="el-GR"/>
        </w:rPr>
        <w:t xml:space="preserve"> </w:t>
      </w:r>
      <w:r w:rsidR="001B7B81">
        <w:rPr>
          <w:rFonts w:cstheme="minorHAnsi"/>
          <w:sz w:val="24"/>
          <w:szCs w:val="24"/>
          <w:lang w:val="el-GR"/>
        </w:rPr>
        <w:t>προτού</w:t>
      </w:r>
      <w:r w:rsidR="001B7B81" w:rsidRPr="001B7B81">
        <w:rPr>
          <w:rFonts w:cstheme="minorHAnsi"/>
          <w:sz w:val="24"/>
          <w:szCs w:val="24"/>
          <w:lang w:val="el-GR"/>
        </w:rPr>
        <w:t xml:space="preserve"> </w:t>
      </w:r>
      <w:r w:rsidR="001B7B81">
        <w:rPr>
          <w:rFonts w:cstheme="minorHAnsi"/>
          <w:sz w:val="24"/>
          <w:szCs w:val="24"/>
          <w:lang w:val="el-GR"/>
        </w:rPr>
        <w:t>να</w:t>
      </w:r>
      <w:r w:rsidR="001B7B81" w:rsidRPr="001B7B81">
        <w:rPr>
          <w:rFonts w:cstheme="minorHAnsi"/>
          <w:sz w:val="24"/>
          <w:szCs w:val="24"/>
          <w:lang w:val="el-GR"/>
        </w:rPr>
        <w:t xml:space="preserve"> </w:t>
      </w:r>
      <w:r w:rsidR="001B7B81">
        <w:rPr>
          <w:rFonts w:cstheme="minorHAnsi"/>
          <w:sz w:val="24"/>
          <w:szCs w:val="24"/>
          <w:lang w:val="el-GR"/>
        </w:rPr>
        <w:t>υιοθετηθεί</w:t>
      </w:r>
      <w:r w:rsidR="001B7B81" w:rsidRPr="001B7B81">
        <w:rPr>
          <w:rFonts w:cstheme="minorHAnsi"/>
          <w:sz w:val="24"/>
          <w:szCs w:val="24"/>
          <w:lang w:val="el-GR"/>
        </w:rPr>
        <w:t xml:space="preserve"> </w:t>
      </w:r>
      <w:r w:rsidR="001B7B81">
        <w:rPr>
          <w:rFonts w:cstheme="minorHAnsi"/>
          <w:sz w:val="24"/>
          <w:szCs w:val="24"/>
          <w:lang w:val="el-GR"/>
        </w:rPr>
        <w:t>ο</w:t>
      </w:r>
      <w:r w:rsidR="001B7B81" w:rsidRPr="001B7B81">
        <w:rPr>
          <w:rFonts w:cstheme="minorHAnsi"/>
          <w:sz w:val="24"/>
          <w:szCs w:val="24"/>
          <w:lang w:val="el-GR"/>
        </w:rPr>
        <w:t xml:space="preserve"> </w:t>
      </w:r>
      <w:r w:rsidR="001B7B81">
        <w:rPr>
          <w:rFonts w:cstheme="minorHAnsi"/>
          <w:sz w:val="24"/>
          <w:szCs w:val="24"/>
          <w:lang w:val="el-GR"/>
        </w:rPr>
        <w:t>Νόμος</w:t>
      </w:r>
      <w:r w:rsidR="003A41A7" w:rsidRPr="00B95983">
        <w:rPr>
          <w:rFonts w:cstheme="minorHAnsi"/>
          <w:sz w:val="24"/>
          <w:szCs w:val="24"/>
        </w:rPr>
        <w:t> </w:t>
      </w:r>
      <w:r w:rsidR="00A5147D" w:rsidRPr="001B7B81">
        <w:rPr>
          <w:rFonts w:cstheme="minorHAnsi"/>
          <w:sz w:val="24"/>
          <w:szCs w:val="24"/>
          <w:lang w:val="el-GR"/>
        </w:rPr>
        <w:t>184(</w:t>
      </w:r>
      <w:r w:rsidR="00A5147D" w:rsidRPr="00B95983">
        <w:rPr>
          <w:rFonts w:cstheme="minorHAnsi"/>
          <w:sz w:val="24"/>
          <w:szCs w:val="24"/>
        </w:rPr>
        <w:t>I</w:t>
      </w:r>
      <w:r w:rsidR="00A5147D" w:rsidRPr="001B7B81">
        <w:rPr>
          <w:rFonts w:cstheme="minorHAnsi"/>
          <w:sz w:val="24"/>
          <w:szCs w:val="24"/>
          <w:lang w:val="el-GR"/>
        </w:rPr>
        <w:t xml:space="preserve">)/2017, </w:t>
      </w:r>
      <w:r w:rsidR="001B7B81">
        <w:rPr>
          <w:rFonts w:cstheme="minorHAnsi"/>
          <w:sz w:val="24"/>
          <w:szCs w:val="24"/>
          <w:lang w:val="el-GR"/>
        </w:rPr>
        <w:t>δεν</w:t>
      </w:r>
      <w:r w:rsidR="001B7B81" w:rsidRPr="001B7B81">
        <w:rPr>
          <w:rFonts w:cstheme="minorHAnsi"/>
          <w:sz w:val="24"/>
          <w:szCs w:val="24"/>
          <w:lang w:val="el-GR"/>
        </w:rPr>
        <w:t xml:space="preserve"> </w:t>
      </w:r>
      <w:r w:rsidR="001B7B81">
        <w:rPr>
          <w:rFonts w:cstheme="minorHAnsi"/>
          <w:sz w:val="24"/>
          <w:szCs w:val="24"/>
          <w:lang w:val="el-GR"/>
        </w:rPr>
        <w:t>υπήρχε</w:t>
      </w:r>
      <w:r w:rsidR="001B7B81" w:rsidRPr="001B7B81">
        <w:rPr>
          <w:rFonts w:cstheme="minorHAnsi"/>
          <w:sz w:val="24"/>
          <w:szCs w:val="24"/>
          <w:lang w:val="el-GR"/>
        </w:rPr>
        <w:t xml:space="preserve"> </w:t>
      </w:r>
      <w:r w:rsidR="001B7B81">
        <w:rPr>
          <w:rFonts w:cstheme="minorHAnsi"/>
          <w:sz w:val="24"/>
          <w:szCs w:val="24"/>
          <w:lang w:val="el-GR"/>
        </w:rPr>
        <w:t>καθόλου, καμιά υποχρέωση</w:t>
      </w:r>
      <w:r w:rsidR="00A5147D" w:rsidRPr="001B7B81">
        <w:rPr>
          <w:rFonts w:cstheme="minorHAnsi"/>
          <w:sz w:val="24"/>
          <w:szCs w:val="24"/>
          <w:lang w:val="el-GR"/>
        </w:rPr>
        <w:t xml:space="preserve"> </w:t>
      </w:r>
      <w:r w:rsidR="001B7B81">
        <w:rPr>
          <w:rFonts w:cstheme="minorHAnsi"/>
          <w:sz w:val="24"/>
          <w:szCs w:val="24"/>
          <w:lang w:val="el-GR"/>
        </w:rPr>
        <w:t>για τις αρχές</w:t>
      </w:r>
      <w:r w:rsidR="00A5147D" w:rsidRPr="001B7B81">
        <w:rPr>
          <w:rFonts w:cstheme="minorHAnsi"/>
          <w:sz w:val="24"/>
          <w:szCs w:val="24"/>
          <w:lang w:val="el-GR"/>
        </w:rPr>
        <w:t xml:space="preserve"> </w:t>
      </w:r>
      <w:r w:rsidR="001B7B81">
        <w:rPr>
          <w:rFonts w:cstheme="minorHAnsi"/>
          <w:sz w:val="24"/>
          <w:szCs w:val="24"/>
          <w:lang w:val="el-GR"/>
        </w:rPr>
        <w:t>για να αποκαλύψουν οποιεσδήποτε πληροφορίες</w:t>
      </w:r>
      <w:r w:rsidR="00A5147D" w:rsidRPr="001B7B81">
        <w:rPr>
          <w:rFonts w:cstheme="minorHAnsi"/>
          <w:sz w:val="24"/>
          <w:szCs w:val="24"/>
          <w:lang w:val="el-GR"/>
        </w:rPr>
        <w:t xml:space="preserve">. </w:t>
      </w:r>
      <w:r w:rsidR="001B7B81">
        <w:rPr>
          <w:rFonts w:cstheme="minorHAnsi"/>
          <w:sz w:val="24"/>
          <w:szCs w:val="24"/>
          <w:lang w:val="el-GR"/>
        </w:rPr>
        <w:t>Μια</w:t>
      </w:r>
      <w:r w:rsidR="001B7B81" w:rsidRPr="005A0348">
        <w:rPr>
          <w:rFonts w:cstheme="minorHAnsi"/>
          <w:sz w:val="24"/>
          <w:szCs w:val="24"/>
          <w:lang w:val="el-GR"/>
        </w:rPr>
        <w:t xml:space="preserve"> </w:t>
      </w:r>
      <w:r w:rsidR="001B7B81">
        <w:rPr>
          <w:rFonts w:cstheme="minorHAnsi"/>
          <w:sz w:val="24"/>
          <w:szCs w:val="24"/>
          <w:lang w:val="el-GR"/>
        </w:rPr>
        <w:t>έκθεση</w:t>
      </w:r>
      <w:r w:rsidR="001B7B81" w:rsidRPr="005A0348">
        <w:rPr>
          <w:rFonts w:cstheme="minorHAnsi"/>
          <w:sz w:val="24"/>
          <w:szCs w:val="24"/>
          <w:lang w:val="el-GR"/>
        </w:rPr>
        <w:t xml:space="preserve"> </w:t>
      </w:r>
      <w:r w:rsidR="001B7B81">
        <w:rPr>
          <w:rFonts w:cstheme="minorHAnsi"/>
          <w:sz w:val="24"/>
          <w:szCs w:val="24"/>
          <w:lang w:val="el-GR"/>
        </w:rPr>
        <w:t>του</w:t>
      </w:r>
      <w:r w:rsidR="001B7B81" w:rsidRPr="005A0348">
        <w:rPr>
          <w:rFonts w:cstheme="minorHAnsi"/>
          <w:sz w:val="24"/>
          <w:szCs w:val="24"/>
          <w:lang w:val="el-GR"/>
        </w:rPr>
        <w:t xml:space="preserve"> 2011 </w:t>
      </w:r>
      <w:r w:rsidR="001B7B81">
        <w:rPr>
          <w:rFonts w:cstheme="minorHAnsi"/>
          <w:sz w:val="24"/>
          <w:szCs w:val="24"/>
          <w:lang w:val="el-GR"/>
        </w:rPr>
        <w:t>από</w:t>
      </w:r>
      <w:r w:rsidR="001B7B81" w:rsidRPr="005A0348">
        <w:rPr>
          <w:rFonts w:cstheme="minorHAnsi"/>
          <w:sz w:val="24"/>
          <w:szCs w:val="24"/>
          <w:lang w:val="el-GR"/>
        </w:rPr>
        <w:t xml:space="preserve"> </w:t>
      </w:r>
      <w:r w:rsidR="001B7B81">
        <w:rPr>
          <w:rFonts w:cstheme="minorHAnsi"/>
          <w:sz w:val="24"/>
          <w:szCs w:val="24"/>
          <w:lang w:val="el-GR"/>
        </w:rPr>
        <w:t>την</w:t>
      </w:r>
      <w:r w:rsidR="001B7B81" w:rsidRPr="005A0348">
        <w:rPr>
          <w:rFonts w:cstheme="minorHAnsi"/>
          <w:sz w:val="24"/>
          <w:szCs w:val="24"/>
          <w:lang w:val="el-GR"/>
        </w:rPr>
        <w:t xml:space="preserve"> </w:t>
      </w:r>
      <w:r w:rsidR="001B7B81">
        <w:rPr>
          <w:rFonts w:cstheme="minorHAnsi"/>
          <w:sz w:val="24"/>
          <w:szCs w:val="24"/>
          <w:lang w:val="en-US"/>
        </w:rPr>
        <w:t>Access</w:t>
      </w:r>
      <w:r w:rsidR="001B7B81" w:rsidRPr="005A0348">
        <w:rPr>
          <w:rFonts w:cstheme="minorHAnsi"/>
          <w:sz w:val="24"/>
          <w:szCs w:val="24"/>
          <w:lang w:val="el-GR"/>
        </w:rPr>
        <w:t xml:space="preserve"> </w:t>
      </w:r>
      <w:r w:rsidR="001B7B81">
        <w:rPr>
          <w:rFonts w:cstheme="minorHAnsi"/>
          <w:sz w:val="24"/>
          <w:szCs w:val="24"/>
          <w:lang w:val="en-US"/>
        </w:rPr>
        <w:t>Info</w:t>
      </w:r>
      <w:r w:rsidR="001B7B81" w:rsidRPr="005A0348">
        <w:rPr>
          <w:rFonts w:cstheme="minorHAnsi"/>
          <w:sz w:val="24"/>
          <w:szCs w:val="24"/>
          <w:lang w:val="el-GR"/>
        </w:rPr>
        <w:t xml:space="preserve"> </w:t>
      </w:r>
      <w:r w:rsidR="001B7B81">
        <w:rPr>
          <w:rFonts w:cstheme="minorHAnsi"/>
          <w:sz w:val="24"/>
          <w:szCs w:val="24"/>
          <w:lang w:val="en-US"/>
        </w:rPr>
        <w:t>Europe</w:t>
      </w:r>
      <w:r w:rsidR="00A5147D" w:rsidRPr="005A0348">
        <w:rPr>
          <w:rFonts w:cstheme="minorHAnsi"/>
          <w:sz w:val="24"/>
          <w:szCs w:val="24"/>
          <w:lang w:val="el-GR"/>
        </w:rPr>
        <w:t xml:space="preserve"> </w:t>
      </w:r>
      <w:hyperlink r:id="rId17" w:history="1">
        <w:r w:rsidR="00A5147D" w:rsidRPr="005A0348">
          <w:rPr>
            <w:rStyle w:val="Hyperlink"/>
            <w:rFonts w:cstheme="minorHAnsi"/>
            <w:color w:val="000000" w:themeColor="text1"/>
            <w:sz w:val="24"/>
            <w:szCs w:val="24"/>
            <w:lang w:val="el-GR"/>
          </w:rPr>
          <w:t xml:space="preserve">2011 </w:t>
        </w:r>
        <w:r w:rsidR="00A5147D" w:rsidRPr="001B7B81">
          <w:rPr>
            <w:rStyle w:val="Hyperlink"/>
            <w:rFonts w:cstheme="minorHAnsi"/>
            <w:color w:val="000000" w:themeColor="text1"/>
            <w:sz w:val="24"/>
            <w:szCs w:val="24"/>
          </w:rPr>
          <w:t>report</w:t>
        </w:r>
        <w:r w:rsidR="00A5147D" w:rsidRPr="005A0348">
          <w:rPr>
            <w:rStyle w:val="Hyperlink"/>
            <w:rFonts w:cstheme="minorHAnsi"/>
            <w:color w:val="000000" w:themeColor="text1"/>
            <w:sz w:val="24"/>
            <w:szCs w:val="24"/>
            <w:lang w:val="el-GR"/>
          </w:rPr>
          <w:t xml:space="preserve"> </w:t>
        </w:r>
        <w:r w:rsidR="00A5147D" w:rsidRPr="001B7B81">
          <w:rPr>
            <w:rStyle w:val="Hyperlink"/>
            <w:rFonts w:cstheme="minorHAnsi"/>
            <w:color w:val="000000" w:themeColor="text1"/>
            <w:sz w:val="24"/>
            <w:szCs w:val="24"/>
          </w:rPr>
          <w:t>by</w:t>
        </w:r>
        <w:r w:rsidR="00A5147D" w:rsidRPr="005A0348">
          <w:rPr>
            <w:rStyle w:val="Hyperlink"/>
            <w:rFonts w:cstheme="minorHAnsi"/>
            <w:color w:val="000000" w:themeColor="text1"/>
            <w:sz w:val="24"/>
            <w:szCs w:val="24"/>
            <w:lang w:val="el-GR"/>
          </w:rPr>
          <w:t xml:space="preserve"> </w:t>
        </w:r>
        <w:r w:rsidR="00A5147D" w:rsidRPr="001B7B81">
          <w:rPr>
            <w:rStyle w:val="Hyperlink"/>
            <w:rFonts w:cstheme="minorHAnsi"/>
            <w:color w:val="000000" w:themeColor="text1"/>
            <w:sz w:val="24"/>
            <w:szCs w:val="24"/>
          </w:rPr>
          <w:t>Access</w:t>
        </w:r>
        <w:r w:rsidR="00A5147D" w:rsidRPr="005A0348">
          <w:rPr>
            <w:rStyle w:val="Hyperlink"/>
            <w:rFonts w:cstheme="minorHAnsi"/>
            <w:color w:val="000000" w:themeColor="text1"/>
            <w:sz w:val="24"/>
            <w:szCs w:val="24"/>
            <w:lang w:val="el-GR"/>
          </w:rPr>
          <w:t xml:space="preserve"> </w:t>
        </w:r>
        <w:r w:rsidR="00A5147D" w:rsidRPr="001B7B81">
          <w:rPr>
            <w:rStyle w:val="Hyperlink"/>
            <w:rFonts w:cstheme="minorHAnsi"/>
            <w:color w:val="000000" w:themeColor="text1"/>
            <w:sz w:val="24"/>
            <w:szCs w:val="24"/>
          </w:rPr>
          <w:t>Info</w:t>
        </w:r>
        <w:r w:rsidR="00A5147D" w:rsidRPr="005A0348">
          <w:rPr>
            <w:rStyle w:val="Hyperlink"/>
            <w:rFonts w:cstheme="minorHAnsi"/>
            <w:color w:val="000000" w:themeColor="text1"/>
            <w:sz w:val="24"/>
            <w:szCs w:val="24"/>
            <w:lang w:val="el-GR"/>
          </w:rPr>
          <w:t xml:space="preserve"> </w:t>
        </w:r>
        <w:r w:rsidR="00A5147D" w:rsidRPr="001B7B81">
          <w:rPr>
            <w:rStyle w:val="Hyperlink"/>
            <w:rFonts w:cstheme="minorHAnsi"/>
            <w:color w:val="000000" w:themeColor="text1"/>
            <w:sz w:val="24"/>
            <w:szCs w:val="24"/>
          </w:rPr>
          <w:t>Europe</w:t>
        </w:r>
      </w:hyperlink>
      <w:r w:rsidR="00A5147D" w:rsidRPr="005A0348">
        <w:rPr>
          <w:rFonts w:cstheme="minorHAnsi"/>
          <w:sz w:val="24"/>
          <w:szCs w:val="24"/>
          <w:lang w:val="el-GR"/>
        </w:rPr>
        <w:t xml:space="preserve"> </w:t>
      </w:r>
      <w:r w:rsidR="001B7B81">
        <w:rPr>
          <w:rFonts w:cstheme="minorHAnsi"/>
          <w:sz w:val="24"/>
          <w:szCs w:val="24"/>
          <w:lang w:val="el-GR"/>
        </w:rPr>
        <w:t>διαπίστωσε</w:t>
      </w:r>
      <w:r w:rsidR="001B7B81" w:rsidRPr="005A0348">
        <w:rPr>
          <w:rFonts w:cstheme="minorHAnsi"/>
          <w:sz w:val="24"/>
          <w:szCs w:val="24"/>
          <w:lang w:val="el-GR"/>
        </w:rPr>
        <w:t xml:space="preserve"> </w:t>
      </w:r>
      <w:r w:rsidR="001B7B81">
        <w:rPr>
          <w:rFonts w:cstheme="minorHAnsi"/>
          <w:sz w:val="24"/>
          <w:szCs w:val="24"/>
          <w:lang w:val="el-GR"/>
        </w:rPr>
        <w:t>ότι</w:t>
      </w:r>
      <w:r w:rsidR="001B7B81" w:rsidRPr="005A0348">
        <w:rPr>
          <w:rFonts w:cstheme="minorHAnsi"/>
          <w:sz w:val="24"/>
          <w:szCs w:val="24"/>
          <w:lang w:val="el-GR"/>
        </w:rPr>
        <w:t xml:space="preserve"> </w:t>
      </w:r>
      <w:r w:rsidR="001B7B81">
        <w:rPr>
          <w:rFonts w:cstheme="minorHAnsi"/>
          <w:sz w:val="24"/>
          <w:szCs w:val="24"/>
          <w:lang w:val="el-GR"/>
        </w:rPr>
        <w:t>μόνο</w:t>
      </w:r>
      <w:r w:rsidR="00A5147D" w:rsidRPr="005A0348">
        <w:rPr>
          <w:rFonts w:cstheme="minorHAnsi"/>
          <w:sz w:val="24"/>
          <w:szCs w:val="24"/>
          <w:lang w:val="el-GR"/>
        </w:rPr>
        <w:t xml:space="preserve"> 9% </w:t>
      </w:r>
      <w:r w:rsidR="001B7B81">
        <w:rPr>
          <w:rFonts w:cstheme="minorHAnsi"/>
          <w:sz w:val="24"/>
          <w:szCs w:val="24"/>
          <w:lang w:val="el-GR"/>
        </w:rPr>
        <w:t>των</w:t>
      </w:r>
      <w:r w:rsidR="001B7B81" w:rsidRPr="005A0348">
        <w:rPr>
          <w:rFonts w:cstheme="minorHAnsi"/>
          <w:sz w:val="24"/>
          <w:szCs w:val="24"/>
          <w:lang w:val="el-GR"/>
        </w:rPr>
        <w:t xml:space="preserve"> </w:t>
      </w:r>
      <w:r w:rsidR="001B7B81">
        <w:rPr>
          <w:rFonts w:cstheme="minorHAnsi"/>
          <w:sz w:val="24"/>
          <w:szCs w:val="24"/>
          <w:lang w:val="el-GR"/>
        </w:rPr>
        <w:t>αιτημάτων</w:t>
      </w:r>
      <w:r w:rsidR="001B7B81" w:rsidRPr="005A0348">
        <w:rPr>
          <w:rFonts w:cstheme="minorHAnsi"/>
          <w:sz w:val="24"/>
          <w:szCs w:val="24"/>
          <w:lang w:val="el-GR"/>
        </w:rPr>
        <w:t xml:space="preserve"> </w:t>
      </w:r>
      <w:r w:rsidR="001B7B81">
        <w:rPr>
          <w:rFonts w:cstheme="minorHAnsi"/>
          <w:sz w:val="24"/>
          <w:szCs w:val="24"/>
          <w:lang w:val="el-GR"/>
        </w:rPr>
        <w:t>για</w:t>
      </w:r>
      <w:r w:rsidR="001B7B81" w:rsidRPr="005A0348">
        <w:rPr>
          <w:rFonts w:cstheme="minorHAnsi"/>
          <w:sz w:val="24"/>
          <w:szCs w:val="24"/>
          <w:lang w:val="el-GR"/>
        </w:rPr>
        <w:t xml:space="preserve"> </w:t>
      </w:r>
      <w:r w:rsidR="001B7B81">
        <w:rPr>
          <w:rFonts w:cstheme="minorHAnsi"/>
          <w:sz w:val="24"/>
          <w:szCs w:val="24"/>
          <w:lang w:val="el-GR"/>
        </w:rPr>
        <w:t>πληροφορίες</w:t>
      </w:r>
      <w:r w:rsidR="00A5147D" w:rsidRPr="005A0348">
        <w:rPr>
          <w:rFonts w:cstheme="minorHAnsi"/>
          <w:sz w:val="24"/>
          <w:szCs w:val="24"/>
          <w:lang w:val="el-GR"/>
        </w:rPr>
        <w:t xml:space="preserve"> </w:t>
      </w:r>
      <w:r w:rsidR="005A0348">
        <w:rPr>
          <w:rFonts w:cstheme="minorHAnsi"/>
          <w:sz w:val="24"/>
          <w:szCs w:val="24"/>
          <w:lang w:val="el-GR"/>
        </w:rPr>
        <w:t>κατέληξαν</w:t>
      </w:r>
      <w:r w:rsidR="005A0348" w:rsidRPr="005A0348">
        <w:rPr>
          <w:rFonts w:cstheme="minorHAnsi"/>
          <w:sz w:val="24"/>
          <w:szCs w:val="24"/>
          <w:lang w:val="el-GR"/>
        </w:rPr>
        <w:t xml:space="preserve"> </w:t>
      </w:r>
      <w:r w:rsidR="005A0348">
        <w:rPr>
          <w:rFonts w:cstheme="minorHAnsi"/>
          <w:sz w:val="24"/>
          <w:szCs w:val="24"/>
          <w:lang w:val="el-GR"/>
        </w:rPr>
        <w:t>στην</w:t>
      </w:r>
      <w:r w:rsidR="005A0348" w:rsidRPr="005A0348">
        <w:rPr>
          <w:rFonts w:cstheme="minorHAnsi"/>
          <w:sz w:val="24"/>
          <w:szCs w:val="24"/>
          <w:lang w:val="el-GR"/>
        </w:rPr>
        <w:t xml:space="preserve"> </w:t>
      </w:r>
      <w:r w:rsidR="005A0348">
        <w:rPr>
          <w:rFonts w:cstheme="minorHAnsi"/>
          <w:sz w:val="24"/>
          <w:szCs w:val="24"/>
          <w:lang w:val="el-GR"/>
        </w:rPr>
        <w:t>αποδέσμευση</w:t>
      </w:r>
      <w:r w:rsidR="005A0348" w:rsidRPr="005A0348">
        <w:rPr>
          <w:rFonts w:cstheme="minorHAnsi"/>
          <w:sz w:val="24"/>
          <w:szCs w:val="24"/>
          <w:lang w:val="el-GR"/>
        </w:rPr>
        <w:t xml:space="preserve"> </w:t>
      </w:r>
      <w:r w:rsidR="005A0348">
        <w:rPr>
          <w:rFonts w:cstheme="minorHAnsi"/>
          <w:sz w:val="24"/>
          <w:szCs w:val="24"/>
          <w:lang w:val="el-GR"/>
        </w:rPr>
        <w:t>πληροφοριών</w:t>
      </w:r>
      <w:r w:rsidR="00A5147D" w:rsidRPr="005A0348">
        <w:rPr>
          <w:rFonts w:cstheme="minorHAnsi"/>
          <w:sz w:val="24"/>
          <w:szCs w:val="24"/>
          <w:lang w:val="el-GR"/>
        </w:rPr>
        <w:t xml:space="preserve"> </w:t>
      </w:r>
      <w:r w:rsidR="005A0348">
        <w:rPr>
          <w:rFonts w:cstheme="minorHAnsi"/>
          <w:sz w:val="24"/>
          <w:szCs w:val="24"/>
          <w:lang w:val="el-GR"/>
        </w:rPr>
        <w:t>και</w:t>
      </w:r>
      <w:r w:rsidR="00A5147D" w:rsidRPr="005A0348">
        <w:rPr>
          <w:rFonts w:cstheme="minorHAnsi"/>
          <w:sz w:val="24"/>
          <w:szCs w:val="24"/>
          <w:lang w:val="el-GR"/>
        </w:rPr>
        <w:t xml:space="preserve"> 75% </w:t>
      </w:r>
      <w:r w:rsidR="005A0348">
        <w:rPr>
          <w:rFonts w:cstheme="minorHAnsi"/>
          <w:sz w:val="24"/>
          <w:szCs w:val="24"/>
          <w:lang w:val="el-GR"/>
        </w:rPr>
        <w:t>των αιτημάτων αντιμετωπίσθηκαν με</w:t>
      </w:r>
      <w:r w:rsidR="00A5147D" w:rsidRPr="005A0348">
        <w:rPr>
          <w:rFonts w:cstheme="minorHAnsi"/>
          <w:sz w:val="24"/>
          <w:szCs w:val="24"/>
          <w:lang w:val="el-GR"/>
        </w:rPr>
        <w:t xml:space="preserve"> “</w:t>
      </w:r>
      <w:r w:rsidR="005A0348">
        <w:rPr>
          <w:rFonts w:cstheme="minorHAnsi"/>
          <w:sz w:val="24"/>
          <w:szCs w:val="24"/>
          <w:lang w:val="el-GR"/>
        </w:rPr>
        <w:t>διοικητική σιωπή</w:t>
      </w:r>
      <w:r w:rsidR="00A5147D" w:rsidRPr="005A0348">
        <w:rPr>
          <w:rFonts w:cstheme="minorHAnsi"/>
          <w:sz w:val="24"/>
          <w:szCs w:val="24"/>
          <w:lang w:val="el-GR"/>
        </w:rPr>
        <w:t xml:space="preserve">”. </w:t>
      </w:r>
      <w:bookmarkStart w:id="76" w:name="_Hlk132888499"/>
      <w:r w:rsidR="005A0348">
        <w:rPr>
          <w:rFonts w:cstheme="minorHAnsi"/>
          <w:sz w:val="24"/>
          <w:szCs w:val="24"/>
          <w:lang w:val="el-GR"/>
        </w:rPr>
        <w:t>Παρόλο</w:t>
      </w:r>
      <w:r w:rsidR="005A0348" w:rsidRPr="005A0348">
        <w:rPr>
          <w:rFonts w:cstheme="minorHAnsi"/>
          <w:sz w:val="24"/>
          <w:szCs w:val="24"/>
          <w:lang w:val="el-GR"/>
        </w:rPr>
        <w:t xml:space="preserve"> </w:t>
      </w:r>
      <w:r w:rsidR="005A0348">
        <w:rPr>
          <w:rFonts w:cstheme="minorHAnsi"/>
          <w:sz w:val="24"/>
          <w:szCs w:val="24"/>
          <w:lang w:val="el-GR"/>
        </w:rPr>
        <w:t>ότι</w:t>
      </w:r>
      <w:r w:rsidR="005A0348" w:rsidRPr="005A0348">
        <w:rPr>
          <w:rFonts w:cstheme="minorHAnsi"/>
          <w:sz w:val="24"/>
          <w:szCs w:val="24"/>
          <w:lang w:val="el-GR"/>
        </w:rPr>
        <w:t xml:space="preserve"> </w:t>
      </w:r>
      <w:r w:rsidR="005A0348">
        <w:rPr>
          <w:rFonts w:cstheme="minorHAnsi"/>
          <w:sz w:val="24"/>
          <w:szCs w:val="24"/>
          <w:lang w:val="el-GR"/>
        </w:rPr>
        <w:t>η</w:t>
      </w:r>
      <w:r w:rsidR="005A0348" w:rsidRPr="005A0348">
        <w:rPr>
          <w:rFonts w:cstheme="minorHAnsi"/>
          <w:sz w:val="24"/>
          <w:szCs w:val="24"/>
          <w:lang w:val="el-GR"/>
        </w:rPr>
        <w:t xml:space="preserve"> </w:t>
      </w:r>
      <w:r w:rsidR="005A0348">
        <w:rPr>
          <w:rFonts w:cstheme="minorHAnsi"/>
          <w:sz w:val="24"/>
          <w:szCs w:val="24"/>
          <w:lang w:val="el-GR"/>
        </w:rPr>
        <w:t>προαναφερθείσα</w:t>
      </w:r>
      <w:r w:rsidR="005A0348" w:rsidRPr="005A0348">
        <w:rPr>
          <w:rFonts w:cstheme="minorHAnsi"/>
          <w:sz w:val="24"/>
          <w:szCs w:val="24"/>
          <w:lang w:val="el-GR"/>
        </w:rPr>
        <w:t xml:space="preserve"> </w:t>
      </w:r>
      <w:r w:rsidR="005A0348">
        <w:rPr>
          <w:rFonts w:cstheme="minorHAnsi"/>
          <w:sz w:val="24"/>
          <w:szCs w:val="24"/>
          <w:lang w:val="el-GR"/>
        </w:rPr>
        <w:t>έκθεση</w:t>
      </w:r>
      <w:r w:rsidR="006C6C80" w:rsidRPr="005A0348">
        <w:rPr>
          <w:rFonts w:cstheme="minorHAnsi"/>
          <w:sz w:val="24"/>
          <w:szCs w:val="24"/>
          <w:lang w:val="el-GR"/>
        </w:rPr>
        <w:t xml:space="preserve"> </w:t>
      </w:r>
      <w:r w:rsidR="005A0348">
        <w:rPr>
          <w:rFonts w:cstheme="minorHAnsi"/>
          <w:sz w:val="24"/>
          <w:szCs w:val="24"/>
          <w:lang w:val="el-GR"/>
        </w:rPr>
        <w:t>χρονολογείται</w:t>
      </w:r>
      <w:r w:rsidR="005A0348" w:rsidRPr="005A0348">
        <w:rPr>
          <w:rFonts w:cstheme="minorHAnsi"/>
          <w:sz w:val="24"/>
          <w:szCs w:val="24"/>
          <w:lang w:val="el-GR"/>
        </w:rPr>
        <w:t xml:space="preserve"> </w:t>
      </w:r>
      <w:r w:rsidR="005A0348">
        <w:rPr>
          <w:rFonts w:cstheme="minorHAnsi"/>
          <w:sz w:val="24"/>
          <w:szCs w:val="24"/>
          <w:lang w:val="el-GR"/>
        </w:rPr>
        <w:t>πριν</w:t>
      </w:r>
      <w:r w:rsidR="005A0348" w:rsidRPr="005A0348">
        <w:rPr>
          <w:rFonts w:cstheme="minorHAnsi"/>
          <w:sz w:val="24"/>
          <w:szCs w:val="24"/>
          <w:lang w:val="el-GR"/>
        </w:rPr>
        <w:t xml:space="preserve"> </w:t>
      </w:r>
      <w:r w:rsidR="005A0348">
        <w:rPr>
          <w:rFonts w:cstheme="minorHAnsi"/>
          <w:sz w:val="24"/>
          <w:szCs w:val="24"/>
          <w:lang w:val="el-GR"/>
        </w:rPr>
        <w:t>την</w:t>
      </w:r>
      <w:r w:rsidR="005A0348" w:rsidRPr="005A0348">
        <w:rPr>
          <w:rFonts w:cstheme="minorHAnsi"/>
          <w:sz w:val="24"/>
          <w:szCs w:val="24"/>
          <w:lang w:val="el-GR"/>
        </w:rPr>
        <w:t xml:space="preserve"> </w:t>
      </w:r>
      <w:r w:rsidR="005A0348">
        <w:rPr>
          <w:rFonts w:cstheme="minorHAnsi"/>
          <w:sz w:val="24"/>
          <w:szCs w:val="24"/>
          <w:lang w:val="el-GR"/>
        </w:rPr>
        <w:t>υιοθέτηση</w:t>
      </w:r>
      <w:r w:rsidR="005A0348" w:rsidRPr="005A0348">
        <w:rPr>
          <w:rFonts w:cstheme="minorHAnsi"/>
          <w:sz w:val="24"/>
          <w:szCs w:val="24"/>
          <w:lang w:val="el-GR"/>
        </w:rPr>
        <w:t xml:space="preserve"> </w:t>
      </w:r>
      <w:r w:rsidR="005A0348">
        <w:rPr>
          <w:rFonts w:cstheme="minorHAnsi"/>
          <w:sz w:val="24"/>
          <w:szCs w:val="24"/>
          <w:lang w:val="el-GR"/>
        </w:rPr>
        <w:t>του</w:t>
      </w:r>
      <w:r w:rsidR="005A0348" w:rsidRPr="005A0348">
        <w:rPr>
          <w:rFonts w:cstheme="minorHAnsi"/>
          <w:sz w:val="24"/>
          <w:szCs w:val="24"/>
          <w:lang w:val="el-GR"/>
        </w:rPr>
        <w:t xml:space="preserve"> </w:t>
      </w:r>
      <w:r w:rsidR="006C6C80" w:rsidRPr="00B95983">
        <w:rPr>
          <w:rFonts w:cstheme="minorHAnsi"/>
          <w:sz w:val="24"/>
          <w:szCs w:val="24"/>
        </w:rPr>
        <w:t>F</w:t>
      </w:r>
      <w:r w:rsidR="00BA4920" w:rsidRPr="00B95983">
        <w:rPr>
          <w:rFonts w:cstheme="minorHAnsi"/>
          <w:sz w:val="24"/>
          <w:szCs w:val="24"/>
        </w:rPr>
        <w:t>O</w:t>
      </w:r>
      <w:r w:rsidR="006C6C80" w:rsidRPr="00B95983">
        <w:rPr>
          <w:rFonts w:cstheme="minorHAnsi"/>
          <w:sz w:val="24"/>
          <w:szCs w:val="24"/>
        </w:rPr>
        <w:t>IA</w:t>
      </w:r>
      <w:r w:rsidR="006C6C80" w:rsidRPr="005A0348">
        <w:rPr>
          <w:rFonts w:cstheme="minorHAnsi"/>
          <w:sz w:val="24"/>
          <w:szCs w:val="24"/>
          <w:lang w:val="el-GR"/>
        </w:rPr>
        <w:t xml:space="preserve">, </w:t>
      </w:r>
      <w:r w:rsidR="005A0348">
        <w:rPr>
          <w:rFonts w:cstheme="minorHAnsi"/>
          <w:sz w:val="24"/>
          <w:szCs w:val="24"/>
          <w:lang w:val="el-GR"/>
        </w:rPr>
        <w:t>και</w:t>
      </w:r>
      <w:r w:rsidR="005A0348" w:rsidRPr="005A0348">
        <w:rPr>
          <w:rFonts w:cstheme="minorHAnsi"/>
          <w:sz w:val="24"/>
          <w:szCs w:val="24"/>
          <w:lang w:val="el-GR"/>
        </w:rPr>
        <w:t xml:space="preserve"> </w:t>
      </w:r>
      <w:r w:rsidR="005A0348">
        <w:rPr>
          <w:rFonts w:cstheme="minorHAnsi"/>
          <w:sz w:val="24"/>
          <w:szCs w:val="24"/>
          <w:lang w:val="el-GR"/>
        </w:rPr>
        <w:t>ενώ</w:t>
      </w:r>
      <w:r w:rsidR="005A0348" w:rsidRPr="005A0348">
        <w:rPr>
          <w:rFonts w:cstheme="minorHAnsi"/>
          <w:sz w:val="24"/>
          <w:szCs w:val="24"/>
          <w:lang w:val="el-GR"/>
        </w:rPr>
        <w:t xml:space="preserve"> </w:t>
      </w:r>
      <w:r w:rsidR="005A0348">
        <w:rPr>
          <w:rFonts w:cstheme="minorHAnsi"/>
          <w:sz w:val="24"/>
          <w:szCs w:val="24"/>
          <w:lang w:val="el-GR"/>
        </w:rPr>
        <w:t>αναγνωρίζονται</w:t>
      </w:r>
      <w:r w:rsidR="005A0348" w:rsidRPr="005A0348">
        <w:rPr>
          <w:rFonts w:cstheme="minorHAnsi"/>
          <w:sz w:val="24"/>
          <w:szCs w:val="24"/>
          <w:lang w:val="el-GR"/>
        </w:rPr>
        <w:t xml:space="preserve"> </w:t>
      </w:r>
      <w:r w:rsidR="005A0348">
        <w:rPr>
          <w:rFonts w:cstheme="minorHAnsi"/>
          <w:sz w:val="24"/>
          <w:szCs w:val="24"/>
          <w:lang w:val="el-GR"/>
        </w:rPr>
        <w:t>τα</w:t>
      </w:r>
      <w:r w:rsidR="005A0348" w:rsidRPr="005A0348">
        <w:rPr>
          <w:rFonts w:cstheme="minorHAnsi"/>
          <w:sz w:val="24"/>
          <w:szCs w:val="24"/>
          <w:lang w:val="el-GR"/>
        </w:rPr>
        <w:t xml:space="preserve"> </w:t>
      </w:r>
      <w:r w:rsidR="005A0348">
        <w:rPr>
          <w:rFonts w:cstheme="minorHAnsi"/>
          <w:sz w:val="24"/>
          <w:szCs w:val="24"/>
          <w:lang w:val="el-GR"/>
        </w:rPr>
        <w:t>μεγάλα</w:t>
      </w:r>
      <w:r w:rsidR="005A0348" w:rsidRPr="005A0348">
        <w:rPr>
          <w:rFonts w:cstheme="minorHAnsi"/>
          <w:sz w:val="24"/>
          <w:szCs w:val="24"/>
          <w:lang w:val="el-GR"/>
        </w:rPr>
        <w:t xml:space="preserve"> </w:t>
      </w:r>
      <w:r w:rsidR="005A0348">
        <w:rPr>
          <w:rFonts w:cstheme="minorHAnsi"/>
          <w:sz w:val="24"/>
          <w:szCs w:val="24"/>
          <w:lang w:val="el-GR"/>
        </w:rPr>
        <w:t>βήματα</w:t>
      </w:r>
      <w:r w:rsidR="005A0348" w:rsidRPr="005A0348">
        <w:rPr>
          <w:rFonts w:cstheme="minorHAnsi"/>
          <w:sz w:val="24"/>
          <w:szCs w:val="24"/>
          <w:lang w:val="el-GR"/>
        </w:rPr>
        <w:t xml:space="preserve"> </w:t>
      </w:r>
      <w:r w:rsidR="005A0348">
        <w:rPr>
          <w:rFonts w:cstheme="minorHAnsi"/>
          <w:sz w:val="24"/>
          <w:szCs w:val="24"/>
          <w:lang w:val="el-GR"/>
        </w:rPr>
        <w:t>που</w:t>
      </w:r>
      <w:r w:rsidR="005A0348" w:rsidRPr="005A0348">
        <w:rPr>
          <w:rFonts w:cstheme="minorHAnsi"/>
          <w:sz w:val="24"/>
          <w:szCs w:val="24"/>
          <w:lang w:val="el-GR"/>
        </w:rPr>
        <w:t xml:space="preserve"> </w:t>
      </w:r>
      <w:r w:rsidR="005A0348">
        <w:rPr>
          <w:rFonts w:cstheme="minorHAnsi"/>
          <w:sz w:val="24"/>
          <w:szCs w:val="24"/>
          <w:lang w:val="el-GR"/>
        </w:rPr>
        <w:t>πάρθηκαν</w:t>
      </w:r>
      <w:r w:rsidR="005A0348" w:rsidRPr="005A0348">
        <w:rPr>
          <w:rFonts w:cstheme="minorHAnsi"/>
          <w:sz w:val="24"/>
          <w:szCs w:val="24"/>
          <w:lang w:val="el-GR"/>
        </w:rPr>
        <w:t xml:space="preserve"> </w:t>
      </w:r>
      <w:r w:rsidR="005A0348">
        <w:rPr>
          <w:rFonts w:cstheme="minorHAnsi"/>
          <w:sz w:val="24"/>
          <w:szCs w:val="24"/>
          <w:lang w:val="el-GR"/>
        </w:rPr>
        <w:t>με</w:t>
      </w:r>
      <w:r w:rsidR="005A0348" w:rsidRPr="005A0348">
        <w:rPr>
          <w:rFonts w:cstheme="minorHAnsi"/>
          <w:sz w:val="24"/>
          <w:szCs w:val="24"/>
          <w:lang w:val="el-GR"/>
        </w:rPr>
        <w:t xml:space="preserve"> </w:t>
      </w:r>
      <w:r w:rsidR="005A0348">
        <w:rPr>
          <w:rFonts w:cstheme="minorHAnsi"/>
          <w:sz w:val="24"/>
          <w:szCs w:val="24"/>
          <w:lang w:val="el-GR"/>
        </w:rPr>
        <w:t>την</w:t>
      </w:r>
      <w:r w:rsidR="005A0348" w:rsidRPr="005A0348">
        <w:rPr>
          <w:rFonts w:cstheme="minorHAnsi"/>
          <w:sz w:val="24"/>
          <w:szCs w:val="24"/>
          <w:lang w:val="el-GR"/>
        </w:rPr>
        <w:t xml:space="preserve"> </w:t>
      </w:r>
      <w:r w:rsidR="005A0348">
        <w:rPr>
          <w:rFonts w:cstheme="minorHAnsi"/>
          <w:sz w:val="24"/>
          <w:szCs w:val="24"/>
          <w:lang w:val="el-GR"/>
        </w:rPr>
        <w:t>υιοθέτηση</w:t>
      </w:r>
      <w:r w:rsidR="005A0348" w:rsidRPr="005A0348">
        <w:rPr>
          <w:rFonts w:cstheme="minorHAnsi"/>
          <w:sz w:val="24"/>
          <w:szCs w:val="24"/>
          <w:lang w:val="el-GR"/>
        </w:rPr>
        <w:t xml:space="preserve"> </w:t>
      </w:r>
      <w:r w:rsidR="005A0348">
        <w:rPr>
          <w:rFonts w:cstheme="minorHAnsi"/>
          <w:sz w:val="24"/>
          <w:szCs w:val="24"/>
          <w:lang w:val="el-GR"/>
        </w:rPr>
        <w:t>του</w:t>
      </w:r>
      <w:r w:rsidR="005A0348" w:rsidRPr="005A0348">
        <w:rPr>
          <w:rFonts w:cstheme="minorHAnsi"/>
          <w:sz w:val="24"/>
          <w:szCs w:val="24"/>
          <w:lang w:val="el-GR"/>
        </w:rPr>
        <w:t xml:space="preserve"> </w:t>
      </w:r>
      <w:r w:rsidR="005A0348">
        <w:rPr>
          <w:rFonts w:cstheme="minorHAnsi"/>
          <w:sz w:val="24"/>
          <w:szCs w:val="24"/>
          <w:lang w:val="el-GR"/>
        </w:rPr>
        <w:t>Νόμου</w:t>
      </w:r>
      <w:r w:rsidR="00A5147D" w:rsidRPr="005A0348">
        <w:rPr>
          <w:rFonts w:cstheme="minorHAnsi"/>
          <w:sz w:val="24"/>
          <w:szCs w:val="24"/>
          <w:lang w:val="el-GR"/>
        </w:rPr>
        <w:t xml:space="preserve"> </w:t>
      </w:r>
      <w:r w:rsidR="005A0348">
        <w:rPr>
          <w:rFonts w:cstheme="minorHAnsi"/>
          <w:sz w:val="24"/>
          <w:szCs w:val="24"/>
          <w:lang w:val="el-GR"/>
        </w:rPr>
        <w:t>και</w:t>
      </w:r>
      <w:r w:rsidR="005A0348" w:rsidRPr="005A0348">
        <w:rPr>
          <w:rFonts w:cstheme="minorHAnsi"/>
          <w:sz w:val="24"/>
          <w:szCs w:val="24"/>
          <w:lang w:val="el-GR"/>
        </w:rPr>
        <w:t xml:space="preserve"> </w:t>
      </w:r>
      <w:r w:rsidR="005A0348">
        <w:rPr>
          <w:rFonts w:cstheme="minorHAnsi"/>
          <w:sz w:val="24"/>
          <w:szCs w:val="24"/>
          <w:lang w:val="el-GR"/>
        </w:rPr>
        <w:t>το</w:t>
      </w:r>
      <w:r w:rsidR="005A0348" w:rsidRPr="005A0348">
        <w:rPr>
          <w:rFonts w:cstheme="minorHAnsi"/>
          <w:sz w:val="24"/>
          <w:szCs w:val="24"/>
          <w:lang w:val="el-GR"/>
        </w:rPr>
        <w:t xml:space="preserve"> </w:t>
      </w:r>
      <w:r w:rsidR="005A0348">
        <w:rPr>
          <w:rFonts w:cstheme="minorHAnsi"/>
          <w:sz w:val="24"/>
          <w:szCs w:val="24"/>
          <w:lang w:val="el-GR"/>
        </w:rPr>
        <w:t>σημαντικό</w:t>
      </w:r>
      <w:r w:rsidR="005A0348" w:rsidRPr="005A0348">
        <w:rPr>
          <w:rFonts w:cstheme="minorHAnsi"/>
          <w:sz w:val="24"/>
          <w:szCs w:val="24"/>
          <w:lang w:val="el-GR"/>
        </w:rPr>
        <w:t xml:space="preserve"> </w:t>
      </w:r>
      <w:r w:rsidR="005A0348">
        <w:rPr>
          <w:rFonts w:cstheme="minorHAnsi"/>
          <w:sz w:val="24"/>
          <w:szCs w:val="24"/>
          <w:lang w:val="el-GR"/>
        </w:rPr>
        <w:t>έργο</w:t>
      </w:r>
      <w:r w:rsidR="008751D9" w:rsidRPr="005A0348">
        <w:rPr>
          <w:rFonts w:cstheme="minorHAnsi"/>
          <w:sz w:val="24"/>
          <w:szCs w:val="24"/>
          <w:lang w:val="el-GR"/>
        </w:rPr>
        <w:t xml:space="preserve"> </w:t>
      </w:r>
      <w:r w:rsidR="005A0348">
        <w:rPr>
          <w:rFonts w:cstheme="minorHAnsi"/>
          <w:sz w:val="24"/>
          <w:szCs w:val="24"/>
          <w:lang w:val="el-GR"/>
        </w:rPr>
        <w:t>που</w:t>
      </w:r>
      <w:r w:rsidR="005A0348" w:rsidRPr="005A0348">
        <w:rPr>
          <w:rFonts w:cstheme="minorHAnsi"/>
          <w:sz w:val="24"/>
          <w:szCs w:val="24"/>
          <w:lang w:val="el-GR"/>
        </w:rPr>
        <w:t xml:space="preserve"> </w:t>
      </w:r>
      <w:r w:rsidR="005A0348">
        <w:rPr>
          <w:rFonts w:cstheme="minorHAnsi"/>
          <w:sz w:val="24"/>
          <w:szCs w:val="24"/>
          <w:lang w:val="el-GR"/>
        </w:rPr>
        <w:t>διεξάγεται</w:t>
      </w:r>
      <w:r w:rsidR="005A0348" w:rsidRPr="005A0348">
        <w:rPr>
          <w:rFonts w:cstheme="minorHAnsi"/>
          <w:sz w:val="24"/>
          <w:szCs w:val="24"/>
          <w:lang w:val="el-GR"/>
        </w:rPr>
        <w:t xml:space="preserve"> </w:t>
      </w:r>
      <w:r w:rsidR="005A0348">
        <w:rPr>
          <w:rFonts w:cstheme="minorHAnsi"/>
          <w:sz w:val="24"/>
          <w:szCs w:val="24"/>
          <w:lang w:val="el-GR"/>
        </w:rPr>
        <w:t>τα</w:t>
      </w:r>
      <w:r w:rsidR="005A0348" w:rsidRPr="005A0348">
        <w:rPr>
          <w:rFonts w:cstheme="minorHAnsi"/>
          <w:sz w:val="24"/>
          <w:szCs w:val="24"/>
          <w:lang w:val="el-GR"/>
        </w:rPr>
        <w:t xml:space="preserve"> </w:t>
      </w:r>
      <w:r w:rsidR="005A0348">
        <w:rPr>
          <w:rFonts w:cstheme="minorHAnsi"/>
          <w:sz w:val="24"/>
          <w:szCs w:val="24"/>
          <w:lang w:val="el-GR"/>
        </w:rPr>
        <w:t>πρόσφατα</w:t>
      </w:r>
      <w:r w:rsidR="005A0348" w:rsidRPr="005A0348">
        <w:rPr>
          <w:rFonts w:cstheme="minorHAnsi"/>
          <w:sz w:val="24"/>
          <w:szCs w:val="24"/>
          <w:lang w:val="el-GR"/>
        </w:rPr>
        <w:t xml:space="preserve"> </w:t>
      </w:r>
      <w:r w:rsidR="005A0348">
        <w:rPr>
          <w:rFonts w:cstheme="minorHAnsi"/>
          <w:sz w:val="24"/>
          <w:szCs w:val="24"/>
          <w:lang w:val="el-GR"/>
        </w:rPr>
        <w:t>χρόνια</w:t>
      </w:r>
      <w:r w:rsidR="008751D9" w:rsidRPr="005A0348">
        <w:rPr>
          <w:rFonts w:cstheme="minorHAnsi"/>
          <w:sz w:val="24"/>
          <w:szCs w:val="24"/>
          <w:lang w:val="el-GR"/>
        </w:rPr>
        <w:t xml:space="preserve"> </w:t>
      </w:r>
      <w:r w:rsidR="005A0348">
        <w:rPr>
          <w:rFonts w:cstheme="minorHAnsi"/>
          <w:sz w:val="24"/>
          <w:szCs w:val="24"/>
          <w:lang w:val="el-GR"/>
        </w:rPr>
        <w:t>από τον Επίτροπο Πληροφοριών</w:t>
      </w:r>
      <w:r w:rsidR="00A5147D" w:rsidRPr="005A0348">
        <w:rPr>
          <w:rFonts w:cstheme="minorHAnsi"/>
          <w:sz w:val="24"/>
          <w:szCs w:val="24"/>
          <w:lang w:val="el-GR"/>
        </w:rPr>
        <w:t xml:space="preserve">, </w:t>
      </w:r>
      <w:r w:rsidR="005A0348">
        <w:rPr>
          <w:rFonts w:cstheme="minorHAnsi"/>
          <w:sz w:val="24"/>
          <w:szCs w:val="24"/>
          <w:lang w:val="el-GR"/>
        </w:rPr>
        <w:t xml:space="preserve">είναι η άποψη της </w:t>
      </w:r>
      <w:r w:rsidR="00A5147D" w:rsidRPr="00B95983">
        <w:rPr>
          <w:rFonts w:cstheme="minorHAnsi"/>
          <w:sz w:val="24"/>
          <w:szCs w:val="24"/>
        </w:rPr>
        <w:t>GET</w:t>
      </w:r>
      <w:r w:rsidR="00A5147D" w:rsidRPr="005A0348">
        <w:rPr>
          <w:rFonts w:cstheme="minorHAnsi"/>
          <w:sz w:val="24"/>
          <w:szCs w:val="24"/>
          <w:lang w:val="el-GR"/>
        </w:rPr>
        <w:t xml:space="preserve"> </w:t>
      </w:r>
      <w:r w:rsidR="005A0348">
        <w:rPr>
          <w:rFonts w:cstheme="minorHAnsi"/>
          <w:sz w:val="24"/>
          <w:szCs w:val="24"/>
          <w:lang w:val="el-GR"/>
        </w:rPr>
        <w:t>ότι χρειάζονται να γίνουν περισσότερα για να καθιερωθεί μια πραγματική κουλτούρα</w:t>
      </w:r>
      <w:r w:rsidR="006E716A" w:rsidRPr="005A0348">
        <w:rPr>
          <w:rFonts w:cstheme="minorHAnsi"/>
          <w:sz w:val="24"/>
          <w:szCs w:val="24"/>
          <w:lang w:val="el-GR"/>
        </w:rPr>
        <w:t xml:space="preserve"> </w:t>
      </w:r>
      <w:r w:rsidR="005A0348">
        <w:rPr>
          <w:rFonts w:cstheme="minorHAnsi"/>
          <w:sz w:val="24"/>
          <w:szCs w:val="24"/>
          <w:lang w:val="el-GR"/>
        </w:rPr>
        <w:t>και πρακτική</w:t>
      </w:r>
      <w:r w:rsidR="00A5147D" w:rsidRPr="005A0348">
        <w:rPr>
          <w:rFonts w:cstheme="minorHAnsi"/>
          <w:sz w:val="24"/>
          <w:szCs w:val="24"/>
          <w:lang w:val="el-GR"/>
        </w:rPr>
        <w:t xml:space="preserve"> </w:t>
      </w:r>
      <w:r w:rsidR="00D57532">
        <w:rPr>
          <w:rFonts w:cstheme="minorHAnsi"/>
          <w:sz w:val="24"/>
          <w:szCs w:val="24"/>
          <w:lang w:val="el-GR"/>
        </w:rPr>
        <w:t xml:space="preserve">πρόσβασης </w:t>
      </w:r>
      <w:r w:rsidR="005A0348">
        <w:rPr>
          <w:rFonts w:cstheme="minorHAnsi"/>
          <w:sz w:val="24"/>
          <w:szCs w:val="24"/>
          <w:lang w:val="el-GR"/>
        </w:rPr>
        <w:t>και διαφάνειας</w:t>
      </w:r>
      <w:r w:rsidR="00A5147D" w:rsidRPr="005A0348">
        <w:rPr>
          <w:rFonts w:cstheme="minorHAnsi"/>
          <w:sz w:val="24"/>
          <w:szCs w:val="24"/>
          <w:lang w:val="el-GR"/>
        </w:rPr>
        <w:t xml:space="preserve"> </w:t>
      </w:r>
      <w:r w:rsidR="005A0348">
        <w:rPr>
          <w:rFonts w:cstheme="minorHAnsi"/>
          <w:sz w:val="24"/>
          <w:szCs w:val="24"/>
          <w:lang w:val="el-GR"/>
        </w:rPr>
        <w:t>ανάμεσα στις αρχές της Κύπρου</w:t>
      </w:r>
      <w:r w:rsidR="00A5147D" w:rsidRPr="005A0348">
        <w:rPr>
          <w:rFonts w:cstheme="minorHAnsi"/>
          <w:sz w:val="24"/>
          <w:szCs w:val="24"/>
          <w:lang w:val="el-GR"/>
        </w:rPr>
        <w:t>.</w:t>
      </w:r>
      <w:r w:rsidR="00C55C8D" w:rsidRPr="005A0348">
        <w:rPr>
          <w:rFonts w:cstheme="minorHAnsi"/>
          <w:sz w:val="24"/>
          <w:szCs w:val="24"/>
          <w:lang w:val="el-GR"/>
        </w:rPr>
        <w:t xml:space="preserve"> </w:t>
      </w:r>
      <w:bookmarkEnd w:id="76"/>
    </w:p>
    <w:p w14:paraId="4B329051" w14:textId="77777777" w:rsidR="006C6C80" w:rsidRPr="005A0348" w:rsidRDefault="006C6C80" w:rsidP="006C6C80">
      <w:pPr>
        <w:tabs>
          <w:tab w:val="left" w:pos="709"/>
        </w:tabs>
        <w:rPr>
          <w:rFonts w:cstheme="minorHAnsi"/>
          <w:sz w:val="24"/>
          <w:szCs w:val="24"/>
          <w:lang w:val="el-GR"/>
        </w:rPr>
      </w:pPr>
    </w:p>
    <w:p w14:paraId="14FF3DAC" w14:textId="08960081" w:rsidR="00A5147D" w:rsidRPr="00134D25" w:rsidRDefault="005A0348" w:rsidP="006C6C80">
      <w:pPr>
        <w:numPr>
          <w:ilvl w:val="0"/>
          <w:numId w:val="1"/>
        </w:numPr>
        <w:tabs>
          <w:tab w:val="clear" w:pos="6095"/>
          <w:tab w:val="left" w:pos="709"/>
        </w:tabs>
        <w:ind w:left="0" w:firstLine="0"/>
        <w:rPr>
          <w:rFonts w:cstheme="minorHAnsi"/>
          <w:sz w:val="24"/>
          <w:szCs w:val="24"/>
          <w:lang w:val="el-GR"/>
        </w:rPr>
      </w:pPr>
      <w:bookmarkStart w:id="77" w:name="_Hlk132888515"/>
      <w:r>
        <w:rPr>
          <w:rFonts w:cstheme="minorHAnsi"/>
          <w:sz w:val="24"/>
          <w:szCs w:val="24"/>
          <w:lang w:val="el-GR"/>
        </w:rPr>
        <w:t>Για</w:t>
      </w:r>
      <w:r w:rsidRPr="005A0348">
        <w:rPr>
          <w:rFonts w:cstheme="minorHAnsi"/>
          <w:sz w:val="24"/>
          <w:szCs w:val="24"/>
          <w:lang w:val="el-GR"/>
        </w:rPr>
        <w:t xml:space="preserve"> </w:t>
      </w:r>
      <w:r>
        <w:rPr>
          <w:rFonts w:cstheme="minorHAnsi"/>
          <w:sz w:val="24"/>
          <w:szCs w:val="24"/>
          <w:lang w:val="el-GR"/>
        </w:rPr>
        <w:t>την</w:t>
      </w:r>
      <w:r w:rsidR="006C6C80" w:rsidRPr="005A0348">
        <w:rPr>
          <w:rFonts w:cstheme="minorHAnsi"/>
          <w:sz w:val="24"/>
          <w:szCs w:val="24"/>
          <w:lang w:val="el-GR"/>
        </w:rPr>
        <w:t xml:space="preserve"> </w:t>
      </w:r>
      <w:r w:rsidR="006C6C80" w:rsidRPr="00B95983">
        <w:rPr>
          <w:rFonts w:cstheme="minorHAnsi"/>
          <w:sz w:val="24"/>
          <w:szCs w:val="24"/>
        </w:rPr>
        <w:t>GET</w:t>
      </w:r>
      <w:r w:rsidR="006C6C80" w:rsidRPr="005A0348">
        <w:rPr>
          <w:rFonts w:cstheme="minorHAnsi"/>
          <w:sz w:val="24"/>
          <w:szCs w:val="24"/>
          <w:lang w:val="el-GR"/>
        </w:rPr>
        <w:t xml:space="preserve">, </w:t>
      </w:r>
      <w:r>
        <w:rPr>
          <w:rFonts w:cstheme="minorHAnsi"/>
          <w:sz w:val="24"/>
          <w:szCs w:val="24"/>
          <w:lang w:val="el-GR"/>
        </w:rPr>
        <w:t>υπάρχουν</w:t>
      </w:r>
      <w:r w:rsidRPr="005A0348">
        <w:rPr>
          <w:rFonts w:cstheme="minorHAnsi"/>
          <w:sz w:val="24"/>
          <w:szCs w:val="24"/>
          <w:lang w:val="el-GR"/>
        </w:rPr>
        <w:t xml:space="preserve"> </w:t>
      </w:r>
      <w:r>
        <w:rPr>
          <w:rFonts w:cstheme="minorHAnsi"/>
          <w:sz w:val="24"/>
          <w:szCs w:val="24"/>
          <w:lang w:val="el-GR"/>
        </w:rPr>
        <w:t>τόσο</w:t>
      </w:r>
      <w:r w:rsidRPr="005A0348">
        <w:rPr>
          <w:rFonts w:cstheme="minorHAnsi"/>
          <w:sz w:val="24"/>
          <w:szCs w:val="24"/>
          <w:lang w:val="el-GR"/>
        </w:rPr>
        <w:t xml:space="preserve"> </w:t>
      </w:r>
      <w:r>
        <w:rPr>
          <w:rFonts w:cstheme="minorHAnsi"/>
          <w:sz w:val="24"/>
          <w:szCs w:val="24"/>
          <w:lang w:val="el-GR"/>
        </w:rPr>
        <w:t>νομοθετικές</w:t>
      </w:r>
      <w:r w:rsidRPr="005A0348">
        <w:rPr>
          <w:rFonts w:cstheme="minorHAnsi"/>
          <w:sz w:val="24"/>
          <w:szCs w:val="24"/>
          <w:lang w:val="el-GR"/>
        </w:rPr>
        <w:t xml:space="preserve"> </w:t>
      </w:r>
      <w:r>
        <w:rPr>
          <w:rFonts w:cstheme="minorHAnsi"/>
          <w:sz w:val="24"/>
          <w:szCs w:val="24"/>
          <w:lang w:val="el-GR"/>
        </w:rPr>
        <w:t>όσο</w:t>
      </w:r>
      <w:r w:rsidRPr="005A0348">
        <w:rPr>
          <w:rFonts w:cstheme="minorHAnsi"/>
          <w:sz w:val="24"/>
          <w:szCs w:val="24"/>
          <w:lang w:val="el-GR"/>
        </w:rPr>
        <w:t xml:space="preserve"> </w:t>
      </w:r>
      <w:r>
        <w:rPr>
          <w:rFonts w:cstheme="minorHAnsi"/>
          <w:sz w:val="24"/>
          <w:szCs w:val="24"/>
          <w:lang w:val="el-GR"/>
        </w:rPr>
        <w:t>και</w:t>
      </w:r>
      <w:r w:rsidRPr="005A0348">
        <w:rPr>
          <w:rFonts w:cstheme="minorHAnsi"/>
          <w:sz w:val="24"/>
          <w:szCs w:val="24"/>
          <w:lang w:val="el-GR"/>
        </w:rPr>
        <w:t xml:space="preserve"> </w:t>
      </w:r>
      <w:r>
        <w:rPr>
          <w:rFonts w:cstheme="minorHAnsi"/>
          <w:sz w:val="24"/>
          <w:szCs w:val="24"/>
          <w:lang w:val="el-GR"/>
        </w:rPr>
        <w:t>πρακτικές</w:t>
      </w:r>
      <w:r w:rsidRPr="005A0348">
        <w:rPr>
          <w:rFonts w:cstheme="minorHAnsi"/>
          <w:sz w:val="24"/>
          <w:szCs w:val="24"/>
          <w:lang w:val="el-GR"/>
        </w:rPr>
        <w:t xml:space="preserve"> </w:t>
      </w:r>
      <w:r>
        <w:rPr>
          <w:rFonts w:cstheme="minorHAnsi"/>
          <w:sz w:val="24"/>
          <w:szCs w:val="24"/>
          <w:lang w:val="el-GR"/>
        </w:rPr>
        <w:t>ελλείψεις</w:t>
      </w:r>
      <w:r w:rsidR="006C6C80" w:rsidRPr="005A0348">
        <w:rPr>
          <w:rFonts w:cstheme="minorHAnsi"/>
          <w:sz w:val="24"/>
          <w:szCs w:val="24"/>
          <w:lang w:val="el-GR"/>
        </w:rPr>
        <w:t xml:space="preserve"> </w:t>
      </w:r>
      <w:r>
        <w:rPr>
          <w:rFonts w:cstheme="minorHAnsi"/>
          <w:sz w:val="24"/>
          <w:szCs w:val="24"/>
          <w:lang w:val="el-GR"/>
        </w:rPr>
        <w:t>στην</w:t>
      </w:r>
      <w:r w:rsidRPr="005A0348">
        <w:rPr>
          <w:rFonts w:cstheme="minorHAnsi"/>
          <w:sz w:val="24"/>
          <w:szCs w:val="24"/>
          <w:lang w:val="el-GR"/>
        </w:rPr>
        <w:t xml:space="preserve"> </w:t>
      </w:r>
      <w:r>
        <w:rPr>
          <w:rFonts w:cstheme="minorHAnsi"/>
          <w:sz w:val="24"/>
          <w:szCs w:val="24"/>
          <w:lang w:val="el-GR"/>
        </w:rPr>
        <w:t>πρόσβαση</w:t>
      </w:r>
      <w:r w:rsidRPr="005A0348">
        <w:rPr>
          <w:rFonts w:cstheme="minorHAnsi"/>
          <w:sz w:val="24"/>
          <w:szCs w:val="24"/>
          <w:lang w:val="el-GR"/>
        </w:rPr>
        <w:t xml:space="preserve"> </w:t>
      </w:r>
      <w:r>
        <w:rPr>
          <w:rFonts w:cstheme="minorHAnsi"/>
          <w:sz w:val="24"/>
          <w:szCs w:val="24"/>
          <w:lang w:val="el-GR"/>
        </w:rPr>
        <w:t>του πλαισίου</w:t>
      </w:r>
      <w:r w:rsidRPr="005A0348">
        <w:rPr>
          <w:rFonts w:cstheme="minorHAnsi"/>
          <w:sz w:val="24"/>
          <w:szCs w:val="24"/>
          <w:lang w:val="el-GR"/>
        </w:rPr>
        <w:t xml:space="preserve"> </w:t>
      </w:r>
      <w:r>
        <w:rPr>
          <w:rFonts w:cstheme="minorHAnsi"/>
          <w:sz w:val="24"/>
          <w:szCs w:val="24"/>
          <w:lang w:val="el-GR"/>
        </w:rPr>
        <w:t>πληροφοριών</w:t>
      </w:r>
      <w:r w:rsidR="00D57532">
        <w:rPr>
          <w:rFonts w:cstheme="minorHAnsi"/>
          <w:sz w:val="24"/>
          <w:szCs w:val="24"/>
          <w:lang w:val="el-GR"/>
        </w:rPr>
        <w:t xml:space="preserve"> γεγονός</w:t>
      </w:r>
      <w:r w:rsidR="006C6C80" w:rsidRPr="005A0348">
        <w:rPr>
          <w:rFonts w:cstheme="minorHAnsi"/>
          <w:sz w:val="24"/>
          <w:szCs w:val="24"/>
          <w:lang w:val="el-GR"/>
        </w:rPr>
        <w:t xml:space="preserve"> </w:t>
      </w:r>
      <w:r>
        <w:rPr>
          <w:rFonts w:cstheme="minorHAnsi"/>
          <w:sz w:val="24"/>
          <w:szCs w:val="24"/>
          <w:lang w:val="el-GR"/>
        </w:rPr>
        <w:t>που απαιτεί διεξοδική αναθεώρηση και επιπρόσθετη ανάπτυξη</w:t>
      </w:r>
      <w:r w:rsidR="006C6C80" w:rsidRPr="005A0348">
        <w:rPr>
          <w:rFonts w:cstheme="minorHAnsi"/>
          <w:sz w:val="24"/>
          <w:szCs w:val="24"/>
          <w:lang w:val="el-GR"/>
        </w:rPr>
        <w:t xml:space="preserve">. </w:t>
      </w:r>
      <w:bookmarkEnd w:id="77"/>
      <w:r>
        <w:rPr>
          <w:rFonts w:cstheme="minorHAnsi"/>
          <w:sz w:val="24"/>
          <w:szCs w:val="24"/>
          <w:lang w:val="el-GR"/>
        </w:rPr>
        <w:t>Επομένως</w:t>
      </w:r>
      <w:r w:rsidR="006C6C80" w:rsidRPr="00134D25">
        <w:rPr>
          <w:rFonts w:cstheme="minorHAnsi"/>
          <w:sz w:val="24"/>
          <w:szCs w:val="24"/>
          <w:lang w:val="el-GR"/>
        </w:rPr>
        <w:t xml:space="preserve">, </w:t>
      </w:r>
      <w:r w:rsidRPr="005A0348">
        <w:rPr>
          <w:rFonts w:cstheme="minorHAnsi"/>
          <w:b/>
          <w:sz w:val="24"/>
          <w:szCs w:val="24"/>
          <w:lang w:val="el-GR"/>
        </w:rPr>
        <w:t>η</w:t>
      </w:r>
      <w:r w:rsidRPr="00134D25">
        <w:rPr>
          <w:rFonts w:cstheme="minorHAnsi"/>
          <w:b/>
          <w:sz w:val="24"/>
          <w:szCs w:val="24"/>
          <w:lang w:val="el-GR"/>
        </w:rPr>
        <w:t xml:space="preserve"> </w:t>
      </w:r>
      <w:r w:rsidR="00A5147D" w:rsidRPr="00B95983">
        <w:rPr>
          <w:rFonts w:cstheme="minorHAnsi"/>
          <w:b/>
          <w:bCs/>
          <w:sz w:val="24"/>
          <w:szCs w:val="24"/>
        </w:rPr>
        <w:t>GRECO</w:t>
      </w:r>
      <w:r w:rsidR="00A5147D" w:rsidRPr="00134D25">
        <w:rPr>
          <w:rFonts w:cstheme="minorHAnsi"/>
          <w:b/>
          <w:bCs/>
          <w:sz w:val="24"/>
          <w:szCs w:val="24"/>
          <w:lang w:val="el-GR"/>
        </w:rPr>
        <w:t xml:space="preserve"> </w:t>
      </w:r>
      <w:r w:rsidR="001B09F4">
        <w:rPr>
          <w:rFonts w:cstheme="minorHAnsi"/>
          <w:b/>
          <w:bCs/>
          <w:sz w:val="24"/>
          <w:szCs w:val="24"/>
          <w:lang w:val="el-GR"/>
        </w:rPr>
        <w:t>συνιστά</w:t>
      </w:r>
      <w:r w:rsidRPr="00134D25">
        <w:rPr>
          <w:rFonts w:cstheme="minorHAnsi"/>
          <w:b/>
          <w:bCs/>
          <w:sz w:val="24"/>
          <w:szCs w:val="24"/>
          <w:lang w:val="el-GR"/>
        </w:rPr>
        <w:t xml:space="preserve"> </w:t>
      </w:r>
      <w:r>
        <w:rPr>
          <w:rFonts w:cstheme="minorHAnsi"/>
          <w:b/>
          <w:bCs/>
          <w:sz w:val="24"/>
          <w:szCs w:val="24"/>
          <w:lang w:val="el-GR"/>
        </w:rPr>
        <w:t>ότι</w:t>
      </w:r>
      <w:r w:rsidR="00A5147D" w:rsidRPr="00134D25">
        <w:rPr>
          <w:rFonts w:cstheme="minorHAnsi"/>
          <w:b/>
          <w:bCs/>
          <w:sz w:val="24"/>
          <w:szCs w:val="24"/>
          <w:lang w:val="el-GR"/>
        </w:rPr>
        <w:t xml:space="preserve"> (</w:t>
      </w:r>
      <w:proofErr w:type="spellStart"/>
      <w:r w:rsidR="00A5147D" w:rsidRPr="00B95983">
        <w:rPr>
          <w:rFonts w:cstheme="minorHAnsi"/>
          <w:b/>
          <w:bCs/>
          <w:sz w:val="24"/>
          <w:szCs w:val="24"/>
        </w:rPr>
        <w:t>i</w:t>
      </w:r>
      <w:proofErr w:type="spellEnd"/>
      <w:r w:rsidR="00A5147D" w:rsidRPr="00134D25">
        <w:rPr>
          <w:rFonts w:cstheme="minorHAnsi"/>
          <w:b/>
          <w:bCs/>
          <w:sz w:val="24"/>
          <w:szCs w:val="24"/>
          <w:lang w:val="el-GR"/>
        </w:rPr>
        <w:t xml:space="preserve">) </w:t>
      </w:r>
      <w:r>
        <w:rPr>
          <w:rFonts w:cstheme="minorHAnsi"/>
          <w:b/>
          <w:bCs/>
          <w:sz w:val="24"/>
          <w:szCs w:val="24"/>
          <w:lang w:val="el-GR"/>
        </w:rPr>
        <w:t>η</w:t>
      </w:r>
      <w:r w:rsidRPr="00134D25">
        <w:rPr>
          <w:rFonts w:cstheme="minorHAnsi"/>
          <w:b/>
          <w:bCs/>
          <w:sz w:val="24"/>
          <w:szCs w:val="24"/>
          <w:lang w:val="el-GR"/>
        </w:rPr>
        <w:t xml:space="preserve"> </w:t>
      </w:r>
      <w:r>
        <w:rPr>
          <w:rFonts w:cstheme="minorHAnsi"/>
          <w:b/>
          <w:bCs/>
          <w:sz w:val="24"/>
          <w:szCs w:val="24"/>
          <w:lang w:val="el-GR"/>
        </w:rPr>
        <w:t>πρόσβαση</w:t>
      </w:r>
      <w:r w:rsidRPr="00134D25">
        <w:rPr>
          <w:rFonts w:cstheme="minorHAnsi"/>
          <w:b/>
          <w:bCs/>
          <w:sz w:val="24"/>
          <w:szCs w:val="24"/>
          <w:lang w:val="el-GR"/>
        </w:rPr>
        <w:t xml:space="preserve"> </w:t>
      </w:r>
      <w:r>
        <w:rPr>
          <w:rFonts w:cstheme="minorHAnsi"/>
          <w:b/>
          <w:bCs/>
          <w:sz w:val="24"/>
          <w:szCs w:val="24"/>
          <w:lang w:val="el-GR"/>
        </w:rPr>
        <w:t>σε</w:t>
      </w:r>
      <w:r w:rsidRPr="00134D25">
        <w:rPr>
          <w:rFonts w:cstheme="minorHAnsi"/>
          <w:b/>
          <w:bCs/>
          <w:sz w:val="24"/>
          <w:szCs w:val="24"/>
          <w:lang w:val="el-GR"/>
        </w:rPr>
        <w:t xml:space="preserve"> </w:t>
      </w:r>
      <w:r>
        <w:rPr>
          <w:rFonts w:cstheme="minorHAnsi"/>
          <w:b/>
          <w:bCs/>
          <w:sz w:val="24"/>
          <w:szCs w:val="24"/>
          <w:lang w:val="el-GR"/>
        </w:rPr>
        <w:t>πληροφορίες</w:t>
      </w:r>
      <w:r w:rsidR="00A5147D" w:rsidRPr="00134D25">
        <w:rPr>
          <w:rFonts w:cstheme="minorHAnsi"/>
          <w:b/>
          <w:bCs/>
          <w:sz w:val="24"/>
          <w:szCs w:val="24"/>
          <w:lang w:val="el-GR"/>
        </w:rPr>
        <w:t xml:space="preserve"> </w:t>
      </w:r>
      <w:r>
        <w:rPr>
          <w:rFonts w:cstheme="minorHAnsi"/>
          <w:b/>
          <w:bCs/>
          <w:sz w:val="24"/>
          <w:szCs w:val="24"/>
          <w:lang w:val="el-GR"/>
        </w:rPr>
        <w:t>να</w:t>
      </w:r>
      <w:r w:rsidRPr="00134D25">
        <w:rPr>
          <w:rFonts w:cstheme="minorHAnsi"/>
          <w:b/>
          <w:bCs/>
          <w:sz w:val="24"/>
          <w:szCs w:val="24"/>
          <w:lang w:val="el-GR"/>
        </w:rPr>
        <w:t xml:space="preserve"> </w:t>
      </w:r>
      <w:r w:rsidR="00D57532">
        <w:rPr>
          <w:rFonts w:cstheme="minorHAnsi"/>
          <w:b/>
          <w:bCs/>
          <w:sz w:val="24"/>
          <w:szCs w:val="24"/>
          <w:lang w:val="el-GR"/>
        </w:rPr>
        <w:t xml:space="preserve">είναι αντικείμενο </w:t>
      </w:r>
      <w:r>
        <w:rPr>
          <w:rFonts w:cstheme="minorHAnsi"/>
          <w:b/>
          <w:bCs/>
          <w:sz w:val="24"/>
          <w:szCs w:val="24"/>
          <w:lang w:val="el-GR"/>
        </w:rPr>
        <w:t>μια</w:t>
      </w:r>
      <w:r w:rsidR="00D57532">
        <w:rPr>
          <w:rFonts w:cstheme="minorHAnsi"/>
          <w:b/>
          <w:bCs/>
          <w:sz w:val="24"/>
          <w:szCs w:val="24"/>
          <w:lang w:val="el-GR"/>
        </w:rPr>
        <w:t>ς</w:t>
      </w:r>
      <w:r w:rsidRPr="00134D25">
        <w:rPr>
          <w:rFonts w:cstheme="minorHAnsi"/>
          <w:b/>
          <w:bCs/>
          <w:sz w:val="24"/>
          <w:szCs w:val="24"/>
          <w:lang w:val="el-GR"/>
        </w:rPr>
        <w:t xml:space="preserve"> </w:t>
      </w:r>
      <w:r>
        <w:rPr>
          <w:rFonts w:cstheme="minorHAnsi"/>
          <w:b/>
          <w:bCs/>
          <w:sz w:val="24"/>
          <w:szCs w:val="24"/>
          <w:lang w:val="el-GR"/>
        </w:rPr>
        <w:t>ανεξάρτητη</w:t>
      </w:r>
      <w:r w:rsidR="00D57532">
        <w:rPr>
          <w:rFonts w:cstheme="minorHAnsi"/>
          <w:b/>
          <w:bCs/>
          <w:sz w:val="24"/>
          <w:szCs w:val="24"/>
          <w:lang w:val="el-GR"/>
        </w:rPr>
        <w:t>ς</w:t>
      </w:r>
      <w:r w:rsidRPr="00134D25">
        <w:rPr>
          <w:rFonts w:cstheme="minorHAnsi"/>
          <w:b/>
          <w:bCs/>
          <w:sz w:val="24"/>
          <w:szCs w:val="24"/>
          <w:lang w:val="el-GR"/>
        </w:rPr>
        <w:t xml:space="preserve"> </w:t>
      </w:r>
      <w:r>
        <w:rPr>
          <w:rFonts w:cstheme="minorHAnsi"/>
          <w:b/>
          <w:bCs/>
          <w:sz w:val="24"/>
          <w:szCs w:val="24"/>
          <w:lang w:val="el-GR"/>
        </w:rPr>
        <w:t>και</w:t>
      </w:r>
      <w:r w:rsidRPr="00134D25">
        <w:rPr>
          <w:rFonts w:cstheme="minorHAnsi"/>
          <w:b/>
          <w:bCs/>
          <w:sz w:val="24"/>
          <w:szCs w:val="24"/>
          <w:lang w:val="el-GR"/>
        </w:rPr>
        <w:t xml:space="preserve"> </w:t>
      </w:r>
      <w:r>
        <w:rPr>
          <w:rFonts w:cstheme="minorHAnsi"/>
          <w:b/>
          <w:bCs/>
          <w:sz w:val="24"/>
          <w:szCs w:val="24"/>
          <w:lang w:val="el-GR"/>
        </w:rPr>
        <w:t>διεξοδική</w:t>
      </w:r>
      <w:r w:rsidR="00D57532">
        <w:rPr>
          <w:rFonts w:cstheme="minorHAnsi"/>
          <w:b/>
          <w:bCs/>
          <w:sz w:val="24"/>
          <w:szCs w:val="24"/>
          <w:lang w:val="el-GR"/>
        </w:rPr>
        <w:t>ς</w:t>
      </w:r>
      <w:r w:rsidRPr="00134D25">
        <w:rPr>
          <w:rFonts w:cstheme="minorHAnsi"/>
          <w:b/>
          <w:bCs/>
          <w:sz w:val="24"/>
          <w:szCs w:val="24"/>
          <w:lang w:val="el-GR"/>
        </w:rPr>
        <w:t xml:space="preserve"> </w:t>
      </w:r>
      <w:r>
        <w:rPr>
          <w:rFonts w:cstheme="minorHAnsi"/>
          <w:b/>
          <w:bCs/>
          <w:sz w:val="24"/>
          <w:szCs w:val="24"/>
          <w:lang w:val="el-GR"/>
        </w:rPr>
        <w:t>ανάλυση</w:t>
      </w:r>
      <w:r w:rsidR="0077336D">
        <w:rPr>
          <w:rFonts w:cstheme="minorHAnsi"/>
          <w:b/>
          <w:bCs/>
          <w:sz w:val="24"/>
          <w:szCs w:val="24"/>
          <w:lang w:val="el-GR"/>
        </w:rPr>
        <w:t>ς</w:t>
      </w:r>
      <w:r w:rsidR="00A5147D" w:rsidRPr="00134D25">
        <w:rPr>
          <w:rFonts w:cstheme="minorHAnsi"/>
          <w:b/>
          <w:bCs/>
          <w:sz w:val="24"/>
          <w:szCs w:val="24"/>
          <w:lang w:val="el-GR"/>
        </w:rPr>
        <w:t xml:space="preserve">, </w:t>
      </w:r>
      <w:r>
        <w:rPr>
          <w:rFonts w:cstheme="minorHAnsi"/>
          <w:b/>
          <w:bCs/>
          <w:sz w:val="24"/>
          <w:szCs w:val="24"/>
          <w:lang w:val="el-GR"/>
        </w:rPr>
        <w:t>με</w:t>
      </w:r>
      <w:r w:rsidRPr="00134D25">
        <w:rPr>
          <w:rFonts w:cstheme="minorHAnsi"/>
          <w:b/>
          <w:bCs/>
          <w:sz w:val="24"/>
          <w:szCs w:val="24"/>
          <w:lang w:val="el-GR"/>
        </w:rPr>
        <w:t xml:space="preserve"> </w:t>
      </w:r>
      <w:r w:rsidR="00134D25">
        <w:rPr>
          <w:rFonts w:cstheme="minorHAnsi"/>
          <w:b/>
          <w:bCs/>
          <w:sz w:val="24"/>
          <w:szCs w:val="24"/>
          <w:lang w:val="el-GR"/>
        </w:rPr>
        <w:t>ιδιαίτερη</w:t>
      </w:r>
      <w:r w:rsidR="00134D25" w:rsidRPr="00134D25">
        <w:rPr>
          <w:rFonts w:cstheme="minorHAnsi"/>
          <w:b/>
          <w:bCs/>
          <w:sz w:val="24"/>
          <w:szCs w:val="24"/>
          <w:lang w:val="el-GR"/>
        </w:rPr>
        <w:t xml:space="preserve"> </w:t>
      </w:r>
      <w:r w:rsidR="00134D25">
        <w:rPr>
          <w:rFonts w:cstheme="minorHAnsi"/>
          <w:b/>
          <w:bCs/>
          <w:sz w:val="24"/>
          <w:szCs w:val="24"/>
          <w:lang w:val="el-GR"/>
        </w:rPr>
        <w:t>εστίαση</w:t>
      </w:r>
      <w:r w:rsidR="00134D25" w:rsidRPr="00134D25">
        <w:rPr>
          <w:rFonts w:cstheme="minorHAnsi"/>
          <w:b/>
          <w:bCs/>
          <w:sz w:val="24"/>
          <w:szCs w:val="24"/>
          <w:lang w:val="el-GR"/>
        </w:rPr>
        <w:t xml:space="preserve"> </w:t>
      </w:r>
      <w:r w:rsidR="00134D25">
        <w:rPr>
          <w:rFonts w:cstheme="minorHAnsi"/>
          <w:b/>
          <w:bCs/>
          <w:sz w:val="24"/>
          <w:szCs w:val="24"/>
          <w:lang w:val="el-GR"/>
        </w:rPr>
        <w:t>στον</w:t>
      </w:r>
      <w:r w:rsidR="00134D25" w:rsidRPr="00134D25">
        <w:rPr>
          <w:rFonts w:cstheme="minorHAnsi"/>
          <w:b/>
          <w:bCs/>
          <w:sz w:val="24"/>
          <w:szCs w:val="24"/>
          <w:lang w:val="el-GR"/>
        </w:rPr>
        <w:t xml:space="preserve"> </w:t>
      </w:r>
      <w:r w:rsidR="00134D25">
        <w:rPr>
          <w:rFonts w:cstheme="minorHAnsi"/>
          <w:b/>
          <w:bCs/>
          <w:sz w:val="24"/>
          <w:szCs w:val="24"/>
          <w:lang w:val="el-GR"/>
        </w:rPr>
        <w:t>σκοπό</w:t>
      </w:r>
      <w:r w:rsidR="00134D25" w:rsidRPr="00134D25">
        <w:rPr>
          <w:rFonts w:cstheme="minorHAnsi"/>
          <w:b/>
          <w:bCs/>
          <w:sz w:val="24"/>
          <w:szCs w:val="24"/>
          <w:lang w:val="el-GR"/>
        </w:rPr>
        <w:t xml:space="preserve"> </w:t>
      </w:r>
      <w:r w:rsidR="00134D25">
        <w:rPr>
          <w:rFonts w:cstheme="minorHAnsi"/>
          <w:b/>
          <w:bCs/>
          <w:sz w:val="24"/>
          <w:szCs w:val="24"/>
          <w:lang w:val="el-GR"/>
        </w:rPr>
        <w:t>του</w:t>
      </w:r>
      <w:r w:rsidR="00134D25" w:rsidRPr="00134D25">
        <w:rPr>
          <w:rFonts w:cstheme="minorHAnsi"/>
          <w:b/>
          <w:bCs/>
          <w:sz w:val="24"/>
          <w:szCs w:val="24"/>
          <w:lang w:val="el-GR"/>
        </w:rPr>
        <w:t xml:space="preserve"> </w:t>
      </w:r>
      <w:r w:rsidR="00134D25">
        <w:rPr>
          <w:rFonts w:cstheme="minorHAnsi"/>
          <w:b/>
          <w:bCs/>
          <w:sz w:val="24"/>
          <w:szCs w:val="24"/>
          <w:lang w:val="el-GR"/>
        </w:rPr>
        <w:t>Νόμου</w:t>
      </w:r>
      <w:r w:rsidR="009C3867" w:rsidRPr="00134D25">
        <w:rPr>
          <w:rFonts w:cstheme="minorHAnsi"/>
          <w:b/>
          <w:bCs/>
          <w:sz w:val="24"/>
          <w:szCs w:val="24"/>
          <w:lang w:val="el-GR"/>
        </w:rPr>
        <w:t xml:space="preserve"> 184(</w:t>
      </w:r>
      <w:r w:rsidR="009C3867">
        <w:rPr>
          <w:rFonts w:cstheme="minorHAnsi"/>
          <w:b/>
          <w:bCs/>
          <w:sz w:val="24"/>
          <w:szCs w:val="24"/>
        </w:rPr>
        <w:t>I</w:t>
      </w:r>
      <w:r w:rsidR="009C3867" w:rsidRPr="00134D25">
        <w:rPr>
          <w:rFonts w:cstheme="minorHAnsi"/>
          <w:b/>
          <w:bCs/>
          <w:sz w:val="24"/>
          <w:szCs w:val="24"/>
          <w:lang w:val="el-GR"/>
        </w:rPr>
        <w:t>)2017</w:t>
      </w:r>
      <w:r w:rsidR="00A5147D" w:rsidRPr="00134D25">
        <w:rPr>
          <w:rFonts w:cstheme="minorHAnsi"/>
          <w:b/>
          <w:bCs/>
          <w:sz w:val="24"/>
          <w:szCs w:val="24"/>
          <w:lang w:val="el-GR"/>
        </w:rPr>
        <w:t xml:space="preserve">, </w:t>
      </w:r>
      <w:r w:rsidR="00134D25">
        <w:rPr>
          <w:rFonts w:cstheme="minorHAnsi"/>
          <w:b/>
          <w:bCs/>
          <w:sz w:val="24"/>
          <w:szCs w:val="24"/>
          <w:lang w:val="el-GR"/>
        </w:rPr>
        <w:t>τις</w:t>
      </w:r>
      <w:r w:rsidR="00134D25" w:rsidRPr="00134D25">
        <w:rPr>
          <w:rFonts w:cstheme="minorHAnsi"/>
          <w:b/>
          <w:bCs/>
          <w:sz w:val="24"/>
          <w:szCs w:val="24"/>
          <w:lang w:val="el-GR"/>
        </w:rPr>
        <w:t xml:space="preserve"> </w:t>
      </w:r>
      <w:r w:rsidR="00134D25">
        <w:rPr>
          <w:rFonts w:cstheme="minorHAnsi"/>
          <w:b/>
          <w:bCs/>
          <w:sz w:val="24"/>
          <w:szCs w:val="24"/>
          <w:lang w:val="el-GR"/>
        </w:rPr>
        <w:t>εξαιρέσεις</w:t>
      </w:r>
      <w:r w:rsidR="00134D25" w:rsidRPr="00134D25">
        <w:rPr>
          <w:rFonts w:cstheme="minorHAnsi"/>
          <w:b/>
          <w:bCs/>
          <w:sz w:val="24"/>
          <w:szCs w:val="24"/>
          <w:lang w:val="el-GR"/>
        </w:rPr>
        <w:t xml:space="preserve"> </w:t>
      </w:r>
      <w:r w:rsidR="00134D25">
        <w:rPr>
          <w:rFonts w:cstheme="minorHAnsi"/>
          <w:b/>
          <w:bCs/>
          <w:sz w:val="24"/>
          <w:szCs w:val="24"/>
          <w:lang w:val="el-GR"/>
        </w:rPr>
        <w:t>στο</w:t>
      </w:r>
      <w:r w:rsidR="00134D25" w:rsidRPr="00134D25">
        <w:rPr>
          <w:rFonts w:cstheme="minorHAnsi"/>
          <w:b/>
          <w:bCs/>
          <w:sz w:val="24"/>
          <w:szCs w:val="24"/>
          <w:lang w:val="el-GR"/>
        </w:rPr>
        <w:t xml:space="preserve"> </w:t>
      </w:r>
      <w:r w:rsidR="00134D25">
        <w:rPr>
          <w:rFonts w:cstheme="minorHAnsi"/>
          <w:b/>
          <w:bCs/>
          <w:sz w:val="24"/>
          <w:szCs w:val="24"/>
          <w:lang w:val="el-GR"/>
        </w:rPr>
        <w:t>δικαίωμα</w:t>
      </w:r>
      <w:r w:rsidR="00134D25" w:rsidRPr="00134D25">
        <w:rPr>
          <w:rFonts w:cstheme="minorHAnsi"/>
          <w:b/>
          <w:bCs/>
          <w:sz w:val="24"/>
          <w:szCs w:val="24"/>
          <w:lang w:val="el-GR"/>
        </w:rPr>
        <w:t xml:space="preserve"> </w:t>
      </w:r>
      <w:r w:rsidR="00134D25">
        <w:rPr>
          <w:rFonts w:cstheme="minorHAnsi"/>
          <w:b/>
          <w:bCs/>
          <w:sz w:val="24"/>
          <w:szCs w:val="24"/>
          <w:lang w:val="el-GR"/>
        </w:rPr>
        <w:t>στην</w:t>
      </w:r>
      <w:r w:rsidR="00134D25" w:rsidRPr="00134D25">
        <w:rPr>
          <w:rFonts w:cstheme="minorHAnsi"/>
          <w:b/>
          <w:bCs/>
          <w:sz w:val="24"/>
          <w:szCs w:val="24"/>
          <w:lang w:val="el-GR"/>
        </w:rPr>
        <w:t xml:space="preserve"> </w:t>
      </w:r>
      <w:r w:rsidR="00134D25">
        <w:rPr>
          <w:rFonts w:cstheme="minorHAnsi"/>
          <w:b/>
          <w:bCs/>
          <w:sz w:val="24"/>
          <w:szCs w:val="24"/>
          <w:lang w:val="el-GR"/>
        </w:rPr>
        <w:t>πρόσβαση</w:t>
      </w:r>
      <w:r w:rsidR="00134D25" w:rsidRPr="00134D25">
        <w:rPr>
          <w:rFonts w:cstheme="minorHAnsi"/>
          <w:b/>
          <w:bCs/>
          <w:sz w:val="24"/>
          <w:szCs w:val="24"/>
          <w:lang w:val="el-GR"/>
        </w:rPr>
        <w:t xml:space="preserve"> </w:t>
      </w:r>
      <w:r w:rsidR="00134D25">
        <w:rPr>
          <w:rFonts w:cstheme="minorHAnsi"/>
          <w:b/>
          <w:bCs/>
          <w:sz w:val="24"/>
          <w:szCs w:val="24"/>
          <w:lang w:val="el-GR"/>
        </w:rPr>
        <w:t>σε</w:t>
      </w:r>
      <w:r w:rsidR="00134D25" w:rsidRPr="00134D25">
        <w:rPr>
          <w:rFonts w:cstheme="minorHAnsi"/>
          <w:b/>
          <w:bCs/>
          <w:sz w:val="24"/>
          <w:szCs w:val="24"/>
          <w:lang w:val="el-GR"/>
        </w:rPr>
        <w:t xml:space="preserve"> </w:t>
      </w:r>
      <w:r w:rsidR="00134D25">
        <w:rPr>
          <w:rFonts w:cstheme="minorHAnsi"/>
          <w:b/>
          <w:bCs/>
          <w:sz w:val="24"/>
          <w:szCs w:val="24"/>
          <w:lang w:val="el-GR"/>
        </w:rPr>
        <w:t>πληροφορίες</w:t>
      </w:r>
      <w:r w:rsidR="00A5147D" w:rsidRPr="00134D25">
        <w:rPr>
          <w:rFonts w:cstheme="minorHAnsi"/>
          <w:b/>
          <w:bCs/>
          <w:sz w:val="24"/>
          <w:szCs w:val="24"/>
          <w:lang w:val="el-GR"/>
        </w:rPr>
        <w:t xml:space="preserve"> </w:t>
      </w:r>
      <w:r w:rsidR="00134D25">
        <w:rPr>
          <w:rFonts w:cstheme="minorHAnsi"/>
          <w:b/>
          <w:bCs/>
          <w:sz w:val="24"/>
          <w:szCs w:val="24"/>
          <w:lang w:val="el-GR"/>
        </w:rPr>
        <w:t>και</w:t>
      </w:r>
      <w:r w:rsidR="00134D25" w:rsidRPr="00134D25">
        <w:rPr>
          <w:rFonts w:cstheme="minorHAnsi"/>
          <w:b/>
          <w:bCs/>
          <w:sz w:val="24"/>
          <w:szCs w:val="24"/>
          <w:lang w:val="el-GR"/>
        </w:rPr>
        <w:t xml:space="preserve"> </w:t>
      </w:r>
      <w:r w:rsidR="00134D25">
        <w:rPr>
          <w:rFonts w:cstheme="minorHAnsi"/>
          <w:b/>
          <w:bCs/>
          <w:sz w:val="24"/>
          <w:szCs w:val="24"/>
          <w:lang w:val="el-GR"/>
        </w:rPr>
        <w:t>την</w:t>
      </w:r>
      <w:r w:rsidR="00134D25" w:rsidRPr="00134D25">
        <w:rPr>
          <w:rFonts w:cstheme="minorHAnsi"/>
          <w:b/>
          <w:bCs/>
          <w:sz w:val="24"/>
          <w:szCs w:val="24"/>
          <w:lang w:val="el-GR"/>
        </w:rPr>
        <w:t xml:space="preserve"> </w:t>
      </w:r>
      <w:r w:rsidR="00134D25">
        <w:rPr>
          <w:rFonts w:cstheme="minorHAnsi"/>
          <w:b/>
          <w:bCs/>
          <w:sz w:val="24"/>
          <w:szCs w:val="24"/>
          <w:lang w:val="el-GR"/>
        </w:rPr>
        <w:t>εφαρμογή</w:t>
      </w:r>
      <w:r w:rsidR="00134D25" w:rsidRPr="00134D25">
        <w:rPr>
          <w:rFonts w:cstheme="minorHAnsi"/>
          <w:b/>
          <w:bCs/>
          <w:sz w:val="24"/>
          <w:szCs w:val="24"/>
          <w:lang w:val="el-GR"/>
        </w:rPr>
        <w:t xml:space="preserve"> </w:t>
      </w:r>
      <w:r w:rsidR="00134D25">
        <w:rPr>
          <w:rFonts w:cstheme="minorHAnsi"/>
          <w:b/>
          <w:bCs/>
          <w:sz w:val="24"/>
          <w:szCs w:val="24"/>
          <w:lang w:val="el-GR"/>
        </w:rPr>
        <w:t>αυτών</w:t>
      </w:r>
      <w:r w:rsidR="00134D25" w:rsidRPr="00134D25">
        <w:rPr>
          <w:rFonts w:cstheme="minorHAnsi"/>
          <w:b/>
          <w:bCs/>
          <w:sz w:val="24"/>
          <w:szCs w:val="24"/>
          <w:lang w:val="el-GR"/>
        </w:rPr>
        <w:t xml:space="preserve"> </w:t>
      </w:r>
      <w:r w:rsidR="00134D25">
        <w:rPr>
          <w:rFonts w:cstheme="minorHAnsi"/>
          <w:b/>
          <w:bCs/>
          <w:sz w:val="24"/>
          <w:szCs w:val="24"/>
          <w:lang w:val="el-GR"/>
        </w:rPr>
        <w:t>των</w:t>
      </w:r>
      <w:r w:rsidR="00134D25" w:rsidRPr="00134D25">
        <w:rPr>
          <w:rFonts w:cstheme="minorHAnsi"/>
          <w:b/>
          <w:bCs/>
          <w:sz w:val="24"/>
          <w:szCs w:val="24"/>
          <w:lang w:val="el-GR"/>
        </w:rPr>
        <w:t xml:space="preserve"> </w:t>
      </w:r>
      <w:r w:rsidR="00134D25">
        <w:rPr>
          <w:rFonts w:cstheme="minorHAnsi"/>
          <w:b/>
          <w:bCs/>
          <w:sz w:val="24"/>
          <w:szCs w:val="24"/>
          <w:lang w:val="el-GR"/>
        </w:rPr>
        <w:t>εξαιρέσεων</w:t>
      </w:r>
      <w:r w:rsidR="00A5147D" w:rsidRPr="00134D25">
        <w:rPr>
          <w:rFonts w:cstheme="minorHAnsi"/>
          <w:b/>
          <w:bCs/>
          <w:sz w:val="24"/>
          <w:szCs w:val="24"/>
          <w:lang w:val="el-GR"/>
        </w:rPr>
        <w:t xml:space="preserve"> </w:t>
      </w:r>
      <w:r w:rsidR="00134D25">
        <w:rPr>
          <w:rFonts w:cstheme="minorHAnsi"/>
          <w:b/>
          <w:bCs/>
          <w:sz w:val="24"/>
          <w:szCs w:val="24"/>
          <w:lang w:val="el-GR"/>
        </w:rPr>
        <w:t>στην</w:t>
      </w:r>
      <w:r w:rsidR="00134D25" w:rsidRPr="00134D25">
        <w:rPr>
          <w:rFonts w:cstheme="minorHAnsi"/>
          <w:b/>
          <w:bCs/>
          <w:sz w:val="24"/>
          <w:szCs w:val="24"/>
          <w:lang w:val="el-GR"/>
        </w:rPr>
        <w:t xml:space="preserve"> </w:t>
      </w:r>
      <w:r w:rsidR="00134D25">
        <w:rPr>
          <w:rFonts w:cstheme="minorHAnsi"/>
          <w:b/>
          <w:bCs/>
          <w:sz w:val="24"/>
          <w:szCs w:val="24"/>
          <w:lang w:val="el-GR"/>
        </w:rPr>
        <w:t>πράξη</w:t>
      </w:r>
      <w:r w:rsidR="00A5147D" w:rsidRPr="00134D25">
        <w:rPr>
          <w:rFonts w:cstheme="minorHAnsi"/>
          <w:b/>
          <w:bCs/>
          <w:sz w:val="24"/>
          <w:szCs w:val="24"/>
          <w:lang w:val="el-GR"/>
        </w:rPr>
        <w:t xml:space="preserve">, </w:t>
      </w:r>
      <w:r w:rsidR="00040FDD">
        <w:rPr>
          <w:rFonts w:cstheme="minorHAnsi"/>
          <w:b/>
          <w:bCs/>
          <w:sz w:val="24"/>
          <w:szCs w:val="24"/>
          <w:lang w:val="el-GR"/>
        </w:rPr>
        <w:t>τις</w:t>
      </w:r>
      <w:r w:rsidR="00134D25">
        <w:rPr>
          <w:rFonts w:cstheme="minorHAnsi"/>
          <w:b/>
          <w:bCs/>
          <w:sz w:val="24"/>
          <w:szCs w:val="24"/>
          <w:lang w:val="el-GR"/>
        </w:rPr>
        <w:t xml:space="preserve"> εφαρμόσιμες προθεσμίες</w:t>
      </w:r>
      <w:r w:rsidR="00A5147D" w:rsidRPr="00134D25">
        <w:rPr>
          <w:rFonts w:cstheme="minorHAnsi"/>
          <w:b/>
          <w:bCs/>
          <w:sz w:val="24"/>
          <w:szCs w:val="24"/>
          <w:lang w:val="el-GR"/>
        </w:rPr>
        <w:t xml:space="preserve">, </w:t>
      </w:r>
      <w:r w:rsidR="00040FDD">
        <w:rPr>
          <w:rFonts w:cstheme="minorHAnsi"/>
          <w:b/>
          <w:bCs/>
          <w:sz w:val="24"/>
          <w:szCs w:val="24"/>
          <w:lang w:val="el-GR"/>
        </w:rPr>
        <w:t>σ</w:t>
      </w:r>
      <w:r w:rsidR="00134D25">
        <w:rPr>
          <w:rFonts w:cstheme="minorHAnsi"/>
          <w:b/>
          <w:bCs/>
          <w:sz w:val="24"/>
          <w:szCs w:val="24"/>
          <w:lang w:val="el-GR"/>
        </w:rPr>
        <w:t xml:space="preserve">το σύστημα των τελών και </w:t>
      </w:r>
      <w:r w:rsidR="00040FDD">
        <w:rPr>
          <w:rFonts w:cstheme="minorHAnsi"/>
          <w:b/>
          <w:bCs/>
          <w:sz w:val="24"/>
          <w:szCs w:val="24"/>
          <w:lang w:val="el-GR"/>
        </w:rPr>
        <w:t>τ</w:t>
      </w:r>
      <w:r w:rsidR="00134D25">
        <w:rPr>
          <w:rFonts w:cstheme="minorHAnsi"/>
          <w:b/>
          <w:bCs/>
          <w:sz w:val="24"/>
          <w:szCs w:val="24"/>
          <w:lang w:val="el-GR"/>
        </w:rPr>
        <w:t>η</w:t>
      </w:r>
      <w:r w:rsidR="00040FDD">
        <w:rPr>
          <w:rFonts w:cstheme="minorHAnsi"/>
          <w:b/>
          <w:bCs/>
          <w:sz w:val="24"/>
          <w:szCs w:val="24"/>
          <w:lang w:val="el-GR"/>
        </w:rPr>
        <w:t>ν</w:t>
      </w:r>
      <w:r w:rsidR="00134D25">
        <w:rPr>
          <w:rFonts w:cstheme="minorHAnsi"/>
          <w:b/>
          <w:bCs/>
          <w:sz w:val="24"/>
          <w:szCs w:val="24"/>
          <w:lang w:val="el-GR"/>
        </w:rPr>
        <w:t xml:space="preserve"> </w:t>
      </w:r>
      <w:r w:rsidR="00D57532">
        <w:rPr>
          <w:rFonts w:cstheme="minorHAnsi"/>
          <w:b/>
          <w:bCs/>
          <w:sz w:val="24"/>
          <w:szCs w:val="24"/>
          <w:lang w:val="el-GR"/>
        </w:rPr>
        <w:t xml:space="preserve">εφαρμογή </w:t>
      </w:r>
      <w:r w:rsidR="00134D25">
        <w:rPr>
          <w:rFonts w:cstheme="minorHAnsi"/>
          <w:b/>
          <w:bCs/>
          <w:sz w:val="24"/>
          <w:szCs w:val="24"/>
          <w:lang w:val="el-GR"/>
        </w:rPr>
        <w:t>του νόμου,</w:t>
      </w:r>
      <w:r w:rsidR="00A5147D" w:rsidRPr="00134D25">
        <w:rPr>
          <w:rFonts w:cstheme="minorHAnsi"/>
          <w:b/>
          <w:bCs/>
          <w:sz w:val="24"/>
          <w:szCs w:val="24"/>
          <w:lang w:val="el-GR"/>
        </w:rPr>
        <w:t xml:space="preserve"> </w:t>
      </w:r>
      <w:r w:rsidR="00134D25">
        <w:rPr>
          <w:rFonts w:cstheme="minorHAnsi"/>
          <w:b/>
          <w:bCs/>
          <w:sz w:val="24"/>
          <w:szCs w:val="24"/>
          <w:lang w:val="el-GR"/>
        </w:rPr>
        <w:t>και</w:t>
      </w:r>
      <w:r w:rsidR="00A5147D" w:rsidRPr="00134D25">
        <w:rPr>
          <w:rFonts w:cstheme="minorHAnsi"/>
          <w:b/>
          <w:bCs/>
          <w:sz w:val="24"/>
          <w:szCs w:val="24"/>
          <w:lang w:val="el-GR"/>
        </w:rPr>
        <w:t xml:space="preserve"> (</w:t>
      </w:r>
      <w:r w:rsidR="00A5147D" w:rsidRPr="00B95983">
        <w:rPr>
          <w:rFonts w:cstheme="minorHAnsi"/>
          <w:b/>
          <w:bCs/>
          <w:sz w:val="24"/>
          <w:szCs w:val="24"/>
        </w:rPr>
        <w:t>ii</w:t>
      </w:r>
      <w:r w:rsidR="00A5147D" w:rsidRPr="00134D25">
        <w:rPr>
          <w:rFonts w:cstheme="minorHAnsi"/>
          <w:b/>
          <w:bCs/>
          <w:sz w:val="24"/>
          <w:szCs w:val="24"/>
          <w:lang w:val="el-GR"/>
        </w:rPr>
        <w:t xml:space="preserve">) </w:t>
      </w:r>
      <w:r w:rsidR="00134D25">
        <w:rPr>
          <w:rFonts w:cstheme="minorHAnsi"/>
          <w:b/>
          <w:bCs/>
          <w:sz w:val="24"/>
          <w:szCs w:val="24"/>
          <w:lang w:val="el-GR"/>
        </w:rPr>
        <w:t>υπό το φως των ευρ</w:t>
      </w:r>
      <w:r w:rsidR="00040FDD">
        <w:rPr>
          <w:rFonts w:cstheme="minorHAnsi"/>
          <w:b/>
          <w:bCs/>
          <w:sz w:val="24"/>
          <w:szCs w:val="24"/>
          <w:lang w:val="el-GR"/>
        </w:rPr>
        <w:t>η</w:t>
      </w:r>
      <w:r w:rsidR="00134D25">
        <w:rPr>
          <w:rFonts w:cstheme="minorHAnsi"/>
          <w:b/>
          <w:bCs/>
          <w:sz w:val="24"/>
          <w:szCs w:val="24"/>
          <w:lang w:val="el-GR"/>
        </w:rPr>
        <w:t>μάτων της ανάλυσης αυτής</w:t>
      </w:r>
      <w:r w:rsidR="00A5147D" w:rsidRPr="00134D25">
        <w:rPr>
          <w:rFonts w:cstheme="minorHAnsi"/>
          <w:b/>
          <w:bCs/>
          <w:sz w:val="24"/>
          <w:szCs w:val="24"/>
          <w:lang w:val="el-GR"/>
        </w:rPr>
        <w:t xml:space="preserve">, </w:t>
      </w:r>
      <w:r w:rsidR="00D57532">
        <w:rPr>
          <w:rFonts w:cstheme="minorHAnsi"/>
          <w:b/>
          <w:bCs/>
          <w:sz w:val="24"/>
          <w:szCs w:val="24"/>
          <w:lang w:val="el-GR"/>
        </w:rPr>
        <w:t xml:space="preserve">να ληφθούν </w:t>
      </w:r>
      <w:r w:rsidR="00134D25">
        <w:rPr>
          <w:rFonts w:cstheme="minorHAnsi"/>
          <w:b/>
          <w:bCs/>
          <w:sz w:val="24"/>
          <w:szCs w:val="24"/>
          <w:lang w:val="el-GR"/>
        </w:rPr>
        <w:t>επιπρόσθε</w:t>
      </w:r>
      <w:r w:rsidR="00D57532">
        <w:rPr>
          <w:rFonts w:cstheme="minorHAnsi"/>
          <w:b/>
          <w:bCs/>
          <w:sz w:val="24"/>
          <w:szCs w:val="24"/>
          <w:lang w:val="el-GR"/>
        </w:rPr>
        <w:t>τα</w:t>
      </w:r>
      <w:r w:rsidR="00134D25">
        <w:rPr>
          <w:rFonts w:cstheme="minorHAnsi"/>
          <w:b/>
          <w:bCs/>
          <w:sz w:val="24"/>
          <w:szCs w:val="24"/>
          <w:lang w:val="el-GR"/>
        </w:rPr>
        <w:t xml:space="preserve"> μέτρ</w:t>
      </w:r>
      <w:r w:rsidR="00D57532">
        <w:rPr>
          <w:rFonts w:cstheme="minorHAnsi"/>
          <w:b/>
          <w:bCs/>
          <w:sz w:val="24"/>
          <w:szCs w:val="24"/>
          <w:lang w:val="el-GR"/>
        </w:rPr>
        <w:t>α</w:t>
      </w:r>
      <w:r w:rsidR="00A5147D" w:rsidRPr="00134D25">
        <w:rPr>
          <w:rFonts w:cstheme="minorHAnsi"/>
          <w:b/>
          <w:bCs/>
          <w:sz w:val="24"/>
          <w:szCs w:val="24"/>
          <w:lang w:val="el-GR"/>
        </w:rPr>
        <w:t xml:space="preserve"> </w:t>
      </w:r>
      <w:r w:rsidR="00134D25">
        <w:rPr>
          <w:rFonts w:cstheme="minorHAnsi"/>
          <w:b/>
          <w:bCs/>
          <w:sz w:val="24"/>
          <w:szCs w:val="24"/>
          <w:lang w:val="el-GR"/>
        </w:rPr>
        <w:t xml:space="preserve">για τη βελτίωση της δημοσίας πρόσβασης σε πληροφορίες και μια κουλτούρα </w:t>
      </w:r>
      <w:r w:rsidR="004E49E2">
        <w:rPr>
          <w:rFonts w:cstheme="minorHAnsi"/>
          <w:b/>
          <w:bCs/>
          <w:sz w:val="24"/>
          <w:szCs w:val="24"/>
          <w:lang w:val="el-GR"/>
        </w:rPr>
        <w:t xml:space="preserve">διαφάνειας </w:t>
      </w:r>
      <w:r w:rsidR="00134D25">
        <w:rPr>
          <w:rFonts w:cstheme="minorHAnsi"/>
          <w:b/>
          <w:bCs/>
          <w:sz w:val="24"/>
          <w:szCs w:val="24"/>
          <w:lang w:val="el-GR"/>
        </w:rPr>
        <w:t>ανάμεσα στις δημόσιες αρχές</w:t>
      </w:r>
      <w:r w:rsidR="00A5147D" w:rsidRPr="00134D25">
        <w:rPr>
          <w:rFonts w:cstheme="minorHAnsi"/>
          <w:b/>
          <w:bCs/>
          <w:sz w:val="24"/>
          <w:szCs w:val="24"/>
          <w:lang w:val="el-GR"/>
        </w:rPr>
        <w:t xml:space="preserve">, </w:t>
      </w:r>
      <w:r w:rsidR="00134D25">
        <w:rPr>
          <w:rFonts w:cstheme="minorHAnsi"/>
          <w:b/>
          <w:bCs/>
          <w:sz w:val="24"/>
          <w:szCs w:val="24"/>
          <w:lang w:val="el-GR"/>
        </w:rPr>
        <w:t>όπου είναι απαραίτητο</w:t>
      </w:r>
      <w:r w:rsidR="00A5147D" w:rsidRPr="00134D25">
        <w:rPr>
          <w:rFonts w:cstheme="minorHAnsi"/>
          <w:b/>
          <w:bCs/>
          <w:sz w:val="24"/>
          <w:szCs w:val="24"/>
          <w:lang w:val="el-GR"/>
        </w:rPr>
        <w:t>.</w:t>
      </w:r>
    </w:p>
    <w:p w14:paraId="1EED9CF8" w14:textId="77777777" w:rsidR="00A5147D" w:rsidRPr="00134D25" w:rsidRDefault="00A5147D" w:rsidP="00A5147D">
      <w:pPr>
        <w:tabs>
          <w:tab w:val="left" w:pos="709"/>
        </w:tabs>
        <w:adjustRightInd w:val="0"/>
        <w:rPr>
          <w:rFonts w:eastAsia="Calibri" w:cstheme="minorHAnsi"/>
          <w:sz w:val="24"/>
          <w:szCs w:val="24"/>
          <w:lang w:val="el-GR" w:bidi="he-IL"/>
        </w:rPr>
      </w:pPr>
    </w:p>
    <w:p w14:paraId="1CAB9363" w14:textId="4B61D566" w:rsidR="00A5147D" w:rsidRPr="004E251E" w:rsidRDefault="00134D25" w:rsidP="00A5147D">
      <w:pPr>
        <w:pStyle w:val="Heading3"/>
        <w:spacing w:before="0"/>
        <w:rPr>
          <w:rFonts w:asciiTheme="minorHAnsi" w:eastAsia="Calibri" w:hAnsiTheme="minorHAnsi" w:cstheme="minorHAnsi"/>
          <w:b w:val="0"/>
          <w:bCs w:val="0"/>
          <w:i/>
          <w:iCs/>
          <w:color w:val="auto"/>
          <w:sz w:val="24"/>
          <w:szCs w:val="24"/>
          <w:lang w:bidi="he-IL"/>
        </w:rPr>
      </w:pPr>
      <w:bookmarkStart w:id="78" w:name="_Toc117264350"/>
      <w:bookmarkStart w:id="79" w:name="_Toc136879348"/>
      <w:r>
        <w:rPr>
          <w:rFonts w:asciiTheme="minorHAnsi" w:hAnsiTheme="minorHAnsi" w:cstheme="minorHAnsi"/>
          <w:b w:val="0"/>
          <w:bCs w:val="0"/>
          <w:i/>
          <w:iCs/>
          <w:color w:val="auto"/>
          <w:sz w:val="24"/>
          <w:szCs w:val="24"/>
          <w:lang w:val="el-GR"/>
        </w:rPr>
        <w:t>Διαφάνεια</w:t>
      </w:r>
      <w:r w:rsidRPr="00134D25">
        <w:rPr>
          <w:rFonts w:asciiTheme="minorHAnsi" w:hAnsiTheme="minorHAnsi" w:cstheme="minorHAnsi"/>
          <w:b w:val="0"/>
          <w:bCs w:val="0"/>
          <w:i/>
          <w:iCs/>
          <w:color w:val="auto"/>
          <w:sz w:val="24"/>
          <w:szCs w:val="24"/>
          <w:lang w:val="en-US"/>
        </w:rPr>
        <w:t xml:space="preserve"> </w:t>
      </w:r>
      <w:r>
        <w:rPr>
          <w:rFonts w:asciiTheme="minorHAnsi" w:hAnsiTheme="minorHAnsi" w:cstheme="minorHAnsi"/>
          <w:b w:val="0"/>
          <w:bCs w:val="0"/>
          <w:i/>
          <w:iCs/>
          <w:color w:val="auto"/>
          <w:sz w:val="24"/>
          <w:szCs w:val="24"/>
          <w:lang w:val="el-GR"/>
        </w:rPr>
        <w:t>της</w:t>
      </w:r>
      <w:r w:rsidRPr="00134D25">
        <w:rPr>
          <w:rFonts w:asciiTheme="minorHAnsi" w:hAnsiTheme="minorHAnsi" w:cstheme="minorHAnsi"/>
          <w:b w:val="0"/>
          <w:bCs w:val="0"/>
          <w:i/>
          <w:iCs/>
          <w:color w:val="auto"/>
          <w:sz w:val="24"/>
          <w:szCs w:val="24"/>
          <w:lang w:val="en-US"/>
        </w:rPr>
        <w:t xml:space="preserve"> </w:t>
      </w:r>
      <w:r>
        <w:rPr>
          <w:rFonts w:asciiTheme="minorHAnsi" w:hAnsiTheme="minorHAnsi" w:cstheme="minorHAnsi"/>
          <w:b w:val="0"/>
          <w:bCs w:val="0"/>
          <w:i/>
          <w:iCs/>
          <w:color w:val="auto"/>
          <w:sz w:val="24"/>
          <w:szCs w:val="24"/>
          <w:lang w:val="el-GR"/>
        </w:rPr>
        <w:t>νομοθετικής</w:t>
      </w:r>
      <w:r w:rsidRPr="00134D25">
        <w:rPr>
          <w:rFonts w:asciiTheme="minorHAnsi" w:hAnsiTheme="minorHAnsi" w:cstheme="minorHAnsi"/>
          <w:b w:val="0"/>
          <w:bCs w:val="0"/>
          <w:i/>
          <w:iCs/>
          <w:color w:val="auto"/>
          <w:sz w:val="24"/>
          <w:szCs w:val="24"/>
          <w:lang w:val="en-US"/>
        </w:rPr>
        <w:t xml:space="preserve"> </w:t>
      </w:r>
      <w:r>
        <w:rPr>
          <w:rFonts w:asciiTheme="minorHAnsi" w:hAnsiTheme="minorHAnsi" w:cstheme="minorHAnsi"/>
          <w:b w:val="0"/>
          <w:bCs w:val="0"/>
          <w:i/>
          <w:iCs/>
          <w:color w:val="auto"/>
          <w:sz w:val="24"/>
          <w:szCs w:val="24"/>
          <w:lang w:val="el-GR"/>
        </w:rPr>
        <w:t>διαδικασίας</w:t>
      </w:r>
      <w:bookmarkEnd w:id="72"/>
      <w:bookmarkEnd w:id="78"/>
      <w:bookmarkEnd w:id="79"/>
    </w:p>
    <w:p w14:paraId="7D4206C4" w14:textId="77777777" w:rsidR="00A5147D" w:rsidRPr="004E251E" w:rsidRDefault="00A5147D" w:rsidP="00A5147D">
      <w:pPr>
        <w:rPr>
          <w:rFonts w:cstheme="minorHAnsi"/>
          <w:sz w:val="24"/>
          <w:szCs w:val="24"/>
        </w:rPr>
      </w:pPr>
    </w:p>
    <w:p w14:paraId="690A8A2E" w14:textId="46A08F47" w:rsidR="00A5147D" w:rsidRPr="00513608" w:rsidRDefault="00134D25" w:rsidP="00A41542">
      <w:pPr>
        <w:numPr>
          <w:ilvl w:val="0"/>
          <w:numId w:val="1"/>
        </w:numPr>
        <w:tabs>
          <w:tab w:val="left" w:pos="709"/>
        </w:tabs>
        <w:adjustRightInd w:val="0"/>
        <w:ind w:left="0" w:firstLine="0"/>
        <w:rPr>
          <w:rFonts w:eastAsia="Calibri" w:cstheme="minorHAnsi"/>
          <w:sz w:val="24"/>
          <w:szCs w:val="24"/>
          <w:lang w:val="el-GR" w:bidi="he-IL"/>
        </w:rPr>
      </w:pPr>
      <w:r>
        <w:rPr>
          <w:rFonts w:eastAsia="Calibri" w:cstheme="minorHAnsi"/>
          <w:sz w:val="24"/>
          <w:szCs w:val="24"/>
          <w:lang w:val="el-GR"/>
        </w:rPr>
        <w:t>Υπό</w:t>
      </w:r>
      <w:r w:rsidRPr="00134D25">
        <w:rPr>
          <w:rFonts w:eastAsia="Calibri" w:cstheme="minorHAnsi"/>
          <w:sz w:val="24"/>
          <w:szCs w:val="24"/>
          <w:lang w:val="el-GR"/>
        </w:rPr>
        <w:t xml:space="preserve"> </w:t>
      </w:r>
      <w:r>
        <w:rPr>
          <w:rFonts w:eastAsia="Calibri" w:cstheme="minorHAnsi"/>
          <w:sz w:val="24"/>
          <w:szCs w:val="24"/>
          <w:lang w:val="el-GR"/>
        </w:rPr>
        <w:t>την</w:t>
      </w:r>
      <w:r w:rsidRPr="00134D25">
        <w:rPr>
          <w:rFonts w:eastAsia="Calibri" w:cstheme="minorHAnsi"/>
          <w:sz w:val="24"/>
          <w:szCs w:val="24"/>
          <w:lang w:val="el-GR"/>
        </w:rPr>
        <w:t xml:space="preserve"> </w:t>
      </w:r>
      <w:r>
        <w:rPr>
          <w:rFonts w:eastAsia="Calibri" w:cstheme="minorHAnsi"/>
          <w:sz w:val="24"/>
          <w:szCs w:val="24"/>
          <w:lang w:val="el-GR"/>
        </w:rPr>
        <w:t>καθοδήγηση</w:t>
      </w:r>
      <w:r w:rsidRPr="00134D25">
        <w:rPr>
          <w:rFonts w:eastAsia="Calibri" w:cstheme="minorHAnsi"/>
          <w:sz w:val="24"/>
          <w:szCs w:val="24"/>
          <w:lang w:val="el-GR"/>
        </w:rPr>
        <w:t xml:space="preserve"> </w:t>
      </w:r>
      <w:r>
        <w:rPr>
          <w:rFonts w:eastAsia="Calibri" w:cstheme="minorHAnsi"/>
          <w:sz w:val="24"/>
          <w:szCs w:val="24"/>
          <w:lang w:val="el-GR"/>
        </w:rPr>
        <w:t>του</w:t>
      </w:r>
      <w:r w:rsidRPr="00134D25">
        <w:rPr>
          <w:rFonts w:eastAsia="Calibri" w:cstheme="minorHAnsi"/>
          <w:sz w:val="24"/>
          <w:szCs w:val="24"/>
          <w:lang w:val="el-GR"/>
        </w:rPr>
        <w:t xml:space="preserve"> </w:t>
      </w:r>
      <w:r>
        <w:rPr>
          <w:rFonts w:eastAsia="Calibri" w:cstheme="minorHAnsi"/>
          <w:sz w:val="24"/>
          <w:szCs w:val="24"/>
          <w:lang w:val="el-GR"/>
        </w:rPr>
        <w:t>Υπουργ</w:t>
      </w:r>
      <w:r w:rsidR="00040FDD">
        <w:rPr>
          <w:rFonts w:eastAsia="Calibri" w:cstheme="minorHAnsi"/>
          <w:sz w:val="24"/>
          <w:szCs w:val="24"/>
          <w:lang w:val="el-GR"/>
        </w:rPr>
        <w:t>εί</w:t>
      </w:r>
      <w:r>
        <w:rPr>
          <w:rFonts w:eastAsia="Calibri" w:cstheme="minorHAnsi"/>
          <w:sz w:val="24"/>
          <w:szCs w:val="24"/>
          <w:lang w:val="el-GR"/>
        </w:rPr>
        <w:t>ο</w:t>
      </w:r>
      <w:r w:rsidR="00040FDD">
        <w:rPr>
          <w:rFonts w:eastAsia="Calibri" w:cstheme="minorHAnsi"/>
          <w:sz w:val="24"/>
          <w:szCs w:val="24"/>
          <w:lang w:val="el-GR"/>
        </w:rPr>
        <w:t>υ</w:t>
      </w:r>
      <w:r w:rsidRPr="00134D25">
        <w:rPr>
          <w:rFonts w:eastAsia="Calibri" w:cstheme="minorHAnsi"/>
          <w:sz w:val="24"/>
          <w:szCs w:val="24"/>
          <w:lang w:val="el-GR"/>
        </w:rPr>
        <w:t xml:space="preserve"> </w:t>
      </w:r>
      <w:r>
        <w:rPr>
          <w:rFonts w:eastAsia="Calibri" w:cstheme="minorHAnsi"/>
          <w:sz w:val="24"/>
          <w:szCs w:val="24"/>
          <w:lang w:val="el-GR"/>
        </w:rPr>
        <w:t>Οικονομικών</w:t>
      </w:r>
      <w:r w:rsidR="00A5147D" w:rsidRPr="00134D25">
        <w:rPr>
          <w:rFonts w:eastAsia="Calibri" w:cstheme="minorHAnsi"/>
          <w:sz w:val="24"/>
          <w:szCs w:val="24"/>
          <w:lang w:val="el-GR"/>
        </w:rPr>
        <w:t xml:space="preserve">, </w:t>
      </w:r>
      <w:r>
        <w:rPr>
          <w:rFonts w:eastAsia="Calibri" w:cstheme="minorHAnsi"/>
          <w:sz w:val="24"/>
          <w:szCs w:val="24"/>
          <w:lang w:val="el-GR"/>
        </w:rPr>
        <w:t>το</w:t>
      </w:r>
      <w:r w:rsidRPr="00134D25">
        <w:rPr>
          <w:rFonts w:eastAsia="Calibri" w:cstheme="minorHAnsi"/>
          <w:sz w:val="24"/>
          <w:szCs w:val="24"/>
          <w:lang w:val="el-GR"/>
        </w:rPr>
        <w:t xml:space="preserve"> 2023 </w:t>
      </w:r>
      <w:r>
        <w:rPr>
          <w:rFonts w:eastAsia="Calibri" w:cstheme="minorHAnsi"/>
          <w:sz w:val="24"/>
          <w:szCs w:val="24"/>
          <w:lang w:val="el-GR"/>
        </w:rPr>
        <w:t>ξεκίνησε</w:t>
      </w:r>
      <w:r w:rsidRPr="00134D25">
        <w:rPr>
          <w:rFonts w:eastAsia="Calibri" w:cstheme="minorHAnsi"/>
          <w:sz w:val="24"/>
          <w:szCs w:val="24"/>
          <w:lang w:val="el-GR"/>
        </w:rPr>
        <w:t xml:space="preserve"> </w:t>
      </w:r>
      <w:r>
        <w:rPr>
          <w:rFonts w:eastAsia="Calibri" w:cstheme="minorHAnsi"/>
          <w:sz w:val="24"/>
          <w:szCs w:val="24"/>
          <w:lang w:val="el-GR"/>
        </w:rPr>
        <w:t>μια</w:t>
      </w:r>
      <w:r w:rsidRPr="00134D25">
        <w:rPr>
          <w:rFonts w:eastAsia="Calibri" w:cstheme="minorHAnsi"/>
          <w:sz w:val="24"/>
          <w:szCs w:val="24"/>
          <w:lang w:val="el-GR"/>
        </w:rPr>
        <w:t xml:space="preserve"> </w:t>
      </w:r>
      <w:r>
        <w:rPr>
          <w:rFonts w:eastAsia="Calibri" w:cstheme="minorHAnsi"/>
          <w:sz w:val="24"/>
          <w:szCs w:val="24"/>
          <w:lang w:val="el-GR"/>
        </w:rPr>
        <w:t>διαδικτυακή</w:t>
      </w:r>
      <w:r w:rsidRPr="00134D25">
        <w:rPr>
          <w:rFonts w:eastAsia="Calibri" w:cstheme="minorHAnsi"/>
          <w:sz w:val="24"/>
          <w:szCs w:val="24"/>
          <w:lang w:val="el-GR"/>
        </w:rPr>
        <w:t xml:space="preserve"> </w:t>
      </w:r>
      <w:r>
        <w:rPr>
          <w:rFonts w:eastAsia="Calibri" w:cstheme="minorHAnsi"/>
          <w:sz w:val="24"/>
          <w:szCs w:val="24"/>
          <w:lang w:val="el-GR"/>
        </w:rPr>
        <w:t>πλατφόρμα</w:t>
      </w:r>
      <w:r w:rsidR="00A5147D" w:rsidRPr="00134D25">
        <w:rPr>
          <w:rFonts w:eastAsia="Calibri" w:cstheme="minorHAnsi"/>
          <w:sz w:val="24"/>
          <w:szCs w:val="24"/>
          <w:lang w:val="el-GR"/>
        </w:rPr>
        <w:t xml:space="preserve"> </w:t>
      </w:r>
      <w:r>
        <w:rPr>
          <w:rFonts w:eastAsia="Calibri" w:cstheme="minorHAnsi"/>
          <w:sz w:val="24"/>
          <w:szCs w:val="24"/>
          <w:lang w:val="el-GR"/>
        </w:rPr>
        <w:t>για να επιτρέψει την δημ</w:t>
      </w:r>
      <w:r w:rsidR="00040FDD">
        <w:rPr>
          <w:rFonts w:eastAsia="Calibri" w:cstheme="minorHAnsi"/>
          <w:sz w:val="24"/>
          <w:szCs w:val="24"/>
          <w:lang w:val="el-GR"/>
        </w:rPr>
        <w:t>ό</w:t>
      </w:r>
      <w:r>
        <w:rPr>
          <w:rFonts w:eastAsia="Calibri" w:cstheme="minorHAnsi"/>
          <w:sz w:val="24"/>
          <w:szCs w:val="24"/>
          <w:lang w:val="el-GR"/>
        </w:rPr>
        <w:t>σ</w:t>
      </w:r>
      <w:r w:rsidR="00040FDD">
        <w:rPr>
          <w:rFonts w:eastAsia="Calibri" w:cstheme="minorHAnsi"/>
          <w:sz w:val="24"/>
          <w:szCs w:val="24"/>
          <w:lang w:val="el-GR"/>
        </w:rPr>
        <w:t>ι</w:t>
      </w:r>
      <w:r>
        <w:rPr>
          <w:rFonts w:eastAsia="Calibri" w:cstheme="minorHAnsi"/>
          <w:sz w:val="24"/>
          <w:szCs w:val="24"/>
          <w:lang w:val="el-GR"/>
        </w:rPr>
        <w:t>α διαβούλευση νομοσχεδίων</w:t>
      </w:r>
      <w:r w:rsidR="00A5147D" w:rsidRPr="00134D25">
        <w:rPr>
          <w:rFonts w:eastAsia="Calibri" w:cstheme="minorHAnsi"/>
          <w:sz w:val="24"/>
          <w:szCs w:val="24"/>
          <w:lang w:val="el-GR"/>
        </w:rPr>
        <w:t xml:space="preserve">. </w:t>
      </w:r>
      <w:r>
        <w:rPr>
          <w:rFonts w:eastAsia="Calibri" w:cstheme="minorHAnsi"/>
          <w:sz w:val="24"/>
          <w:szCs w:val="24"/>
          <w:lang w:val="el-GR"/>
        </w:rPr>
        <w:t>Κάθε</w:t>
      </w:r>
      <w:r w:rsidRPr="00134D25">
        <w:rPr>
          <w:rFonts w:eastAsia="Calibri" w:cstheme="minorHAnsi"/>
          <w:sz w:val="24"/>
          <w:szCs w:val="24"/>
          <w:lang w:val="el-GR"/>
        </w:rPr>
        <w:t xml:space="preserve"> </w:t>
      </w:r>
      <w:r>
        <w:rPr>
          <w:rFonts w:eastAsia="Calibri" w:cstheme="minorHAnsi"/>
          <w:sz w:val="24"/>
          <w:szCs w:val="24"/>
          <w:lang w:val="el-GR"/>
        </w:rPr>
        <w:t>υπουργείο</w:t>
      </w:r>
      <w:r w:rsidRPr="00134D25">
        <w:rPr>
          <w:rFonts w:eastAsia="Calibri" w:cstheme="minorHAnsi"/>
          <w:sz w:val="24"/>
          <w:szCs w:val="24"/>
          <w:lang w:val="el-GR"/>
        </w:rPr>
        <w:t xml:space="preserve"> </w:t>
      </w:r>
      <w:r>
        <w:rPr>
          <w:rFonts w:eastAsia="Calibri" w:cstheme="minorHAnsi"/>
          <w:sz w:val="24"/>
          <w:szCs w:val="24"/>
          <w:lang w:val="el-GR"/>
        </w:rPr>
        <w:t>θα</w:t>
      </w:r>
      <w:r w:rsidRPr="00134D25">
        <w:rPr>
          <w:rFonts w:eastAsia="Calibri" w:cstheme="minorHAnsi"/>
          <w:sz w:val="24"/>
          <w:szCs w:val="24"/>
          <w:lang w:val="el-GR"/>
        </w:rPr>
        <w:t xml:space="preserve"> </w:t>
      </w:r>
      <w:r>
        <w:rPr>
          <w:rFonts w:eastAsia="Calibri" w:cstheme="minorHAnsi"/>
          <w:sz w:val="24"/>
          <w:szCs w:val="24"/>
          <w:lang w:val="el-GR"/>
        </w:rPr>
        <w:t>καθορίσει</w:t>
      </w:r>
      <w:r w:rsidR="00A5147D" w:rsidRPr="00134D25">
        <w:rPr>
          <w:rFonts w:eastAsia="Calibri" w:cstheme="minorHAnsi"/>
          <w:sz w:val="24"/>
          <w:szCs w:val="24"/>
          <w:lang w:val="el-GR"/>
        </w:rPr>
        <w:t xml:space="preserve"> </w:t>
      </w:r>
      <w:r>
        <w:rPr>
          <w:rFonts w:eastAsia="Calibri" w:cstheme="minorHAnsi"/>
          <w:sz w:val="24"/>
          <w:szCs w:val="24"/>
          <w:lang w:val="el-GR"/>
        </w:rPr>
        <w:t>ένα</w:t>
      </w:r>
      <w:r w:rsidRPr="00134D25">
        <w:rPr>
          <w:rFonts w:eastAsia="Calibri" w:cstheme="minorHAnsi"/>
          <w:sz w:val="24"/>
          <w:szCs w:val="24"/>
          <w:lang w:val="el-GR"/>
        </w:rPr>
        <w:t xml:space="preserve"> </w:t>
      </w:r>
      <w:r>
        <w:rPr>
          <w:rFonts w:eastAsia="Calibri" w:cstheme="minorHAnsi"/>
          <w:sz w:val="24"/>
          <w:szCs w:val="24"/>
          <w:lang w:val="el-GR"/>
        </w:rPr>
        <w:t>σημείο</w:t>
      </w:r>
      <w:r w:rsidRPr="00134D25">
        <w:rPr>
          <w:rFonts w:eastAsia="Calibri" w:cstheme="minorHAnsi"/>
          <w:sz w:val="24"/>
          <w:szCs w:val="24"/>
          <w:lang w:val="el-GR"/>
        </w:rPr>
        <w:t xml:space="preserve"> </w:t>
      </w:r>
      <w:r>
        <w:rPr>
          <w:rFonts w:eastAsia="Calibri" w:cstheme="minorHAnsi"/>
          <w:sz w:val="24"/>
          <w:szCs w:val="24"/>
          <w:lang w:val="el-GR"/>
        </w:rPr>
        <w:t>εστίασης</w:t>
      </w:r>
      <w:r w:rsidRPr="00134D25">
        <w:rPr>
          <w:rFonts w:eastAsia="Calibri" w:cstheme="minorHAnsi"/>
          <w:sz w:val="24"/>
          <w:szCs w:val="24"/>
          <w:lang w:val="el-GR"/>
        </w:rPr>
        <w:t xml:space="preserve"> </w:t>
      </w:r>
      <w:r>
        <w:rPr>
          <w:rFonts w:eastAsia="Calibri" w:cstheme="minorHAnsi"/>
          <w:sz w:val="24"/>
          <w:szCs w:val="24"/>
          <w:lang w:val="el-GR"/>
        </w:rPr>
        <w:t>για</w:t>
      </w:r>
      <w:r w:rsidRPr="00134D25">
        <w:rPr>
          <w:rFonts w:eastAsia="Calibri" w:cstheme="minorHAnsi"/>
          <w:sz w:val="24"/>
          <w:szCs w:val="24"/>
          <w:lang w:val="el-GR"/>
        </w:rPr>
        <w:t xml:space="preserve"> </w:t>
      </w:r>
      <w:r>
        <w:rPr>
          <w:rFonts w:eastAsia="Calibri" w:cstheme="minorHAnsi"/>
          <w:sz w:val="24"/>
          <w:szCs w:val="24"/>
          <w:lang w:val="el-GR"/>
        </w:rPr>
        <w:t>δημόσιες</w:t>
      </w:r>
      <w:r w:rsidRPr="00134D25">
        <w:rPr>
          <w:rFonts w:eastAsia="Calibri" w:cstheme="minorHAnsi"/>
          <w:sz w:val="24"/>
          <w:szCs w:val="24"/>
          <w:lang w:val="el-GR"/>
        </w:rPr>
        <w:t xml:space="preserve"> </w:t>
      </w:r>
      <w:r>
        <w:rPr>
          <w:rFonts w:eastAsia="Calibri" w:cstheme="minorHAnsi"/>
          <w:sz w:val="24"/>
          <w:szCs w:val="24"/>
          <w:lang w:val="el-GR"/>
        </w:rPr>
        <w:t>διαβουλεύσεις</w:t>
      </w:r>
      <w:r w:rsidR="00A5147D" w:rsidRPr="00134D25">
        <w:rPr>
          <w:rFonts w:eastAsia="Calibri" w:cstheme="minorHAnsi"/>
          <w:sz w:val="24"/>
          <w:szCs w:val="24"/>
          <w:lang w:val="el-GR"/>
        </w:rPr>
        <w:t xml:space="preserve"> </w:t>
      </w:r>
      <w:r>
        <w:rPr>
          <w:rFonts w:eastAsia="Calibri" w:cstheme="minorHAnsi"/>
          <w:sz w:val="24"/>
          <w:szCs w:val="24"/>
          <w:lang w:val="el-GR"/>
        </w:rPr>
        <w:t>και</w:t>
      </w:r>
      <w:r w:rsidRPr="00134D25">
        <w:rPr>
          <w:rFonts w:eastAsia="Calibri" w:cstheme="minorHAnsi"/>
          <w:sz w:val="24"/>
          <w:szCs w:val="24"/>
          <w:lang w:val="el-GR"/>
        </w:rPr>
        <w:t xml:space="preserve"> </w:t>
      </w:r>
      <w:r>
        <w:rPr>
          <w:rFonts w:eastAsia="Calibri" w:cstheme="minorHAnsi"/>
          <w:sz w:val="24"/>
          <w:szCs w:val="24"/>
          <w:lang w:val="el-GR"/>
        </w:rPr>
        <w:t>πρέπει</w:t>
      </w:r>
      <w:r w:rsidRPr="00134D25">
        <w:rPr>
          <w:rFonts w:eastAsia="Calibri" w:cstheme="minorHAnsi"/>
          <w:sz w:val="24"/>
          <w:szCs w:val="24"/>
          <w:lang w:val="el-GR"/>
        </w:rPr>
        <w:t xml:space="preserve"> </w:t>
      </w:r>
      <w:r>
        <w:rPr>
          <w:rFonts w:eastAsia="Calibri" w:cstheme="minorHAnsi"/>
          <w:sz w:val="24"/>
          <w:szCs w:val="24"/>
          <w:lang w:val="el-GR"/>
        </w:rPr>
        <w:t>να</w:t>
      </w:r>
      <w:r w:rsidRPr="00134D25">
        <w:rPr>
          <w:rFonts w:eastAsia="Calibri" w:cstheme="minorHAnsi"/>
          <w:sz w:val="24"/>
          <w:szCs w:val="24"/>
          <w:lang w:val="el-GR"/>
        </w:rPr>
        <w:t xml:space="preserve"> </w:t>
      </w:r>
      <w:r>
        <w:rPr>
          <w:rFonts w:eastAsia="Calibri" w:cstheme="minorHAnsi"/>
          <w:sz w:val="24"/>
          <w:szCs w:val="24"/>
          <w:lang w:val="el-GR"/>
        </w:rPr>
        <w:t>αναρτήσει</w:t>
      </w:r>
      <w:r w:rsidRPr="00134D25">
        <w:rPr>
          <w:rFonts w:eastAsia="Calibri" w:cstheme="minorHAnsi"/>
          <w:sz w:val="24"/>
          <w:szCs w:val="24"/>
          <w:lang w:val="el-GR"/>
        </w:rPr>
        <w:t xml:space="preserve"> </w:t>
      </w:r>
      <w:r>
        <w:rPr>
          <w:rFonts w:eastAsia="Calibri" w:cstheme="minorHAnsi"/>
          <w:sz w:val="24"/>
          <w:szCs w:val="24"/>
          <w:lang w:val="el-GR"/>
        </w:rPr>
        <w:t>νομοσχέδια</w:t>
      </w:r>
      <w:r w:rsidR="00A5147D" w:rsidRPr="00134D25">
        <w:rPr>
          <w:rFonts w:eastAsia="Calibri" w:cstheme="minorHAnsi"/>
          <w:sz w:val="24"/>
          <w:szCs w:val="24"/>
          <w:lang w:val="el-GR"/>
        </w:rPr>
        <w:t xml:space="preserve"> </w:t>
      </w:r>
      <w:r>
        <w:rPr>
          <w:rFonts w:eastAsia="Calibri" w:cstheme="minorHAnsi"/>
          <w:sz w:val="24"/>
          <w:szCs w:val="24"/>
          <w:lang w:val="el-GR"/>
        </w:rPr>
        <w:t>και άλλα σχετικά έγγραφα στην επίσημη ιστοσελίδα του</w:t>
      </w:r>
      <w:r w:rsidR="00A5147D" w:rsidRPr="00134D25">
        <w:rPr>
          <w:rFonts w:eastAsia="Calibri" w:cstheme="minorHAnsi"/>
          <w:sz w:val="24"/>
          <w:szCs w:val="24"/>
          <w:lang w:val="el-GR"/>
        </w:rPr>
        <w:t xml:space="preserve"> </w:t>
      </w:r>
      <w:r w:rsidR="00513608">
        <w:rPr>
          <w:rFonts w:eastAsia="Calibri" w:cstheme="minorHAnsi"/>
          <w:sz w:val="24"/>
          <w:szCs w:val="24"/>
          <w:lang w:val="el-GR"/>
        </w:rPr>
        <w:t>για τον σκοπό των δημοσίων διαβουλεύσεων με όλους τους ενδιαφερομένους</w:t>
      </w:r>
      <w:r w:rsidR="00A5147D" w:rsidRPr="00134D25">
        <w:rPr>
          <w:rFonts w:eastAsia="Calibri" w:cstheme="minorHAnsi"/>
          <w:sz w:val="24"/>
          <w:szCs w:val="24"/>
          <w:lang w:val="el-GR"/>
        </w:rPr>
        <w:t xml:space="preserve">. </w:t>
      </w:r>
      <w:r w:rsidR="00513608">
        <w:rPr>
          <w:rFonts w:eastAsia="Calibri" w:cstheme="minorHAnsi"/>
          <w:sz w:val="24"/>
          <w:szCs w:val="24"/>
          <w:lang w:val="el-GR"/>
        </w:rPr>
        <w:t>Το</w:t>
      </w:r>
      <w:r w:rsidR="00513608" w:rsidRPr="00513608">
        <w:rPr>
          <w:rFonts w:eastAsia="Calibri" w:cstheme="minorHAnsi"/>
          <w:sz w:val="24"/>
          <w:szCs w:val="24"/>
          <w:lang w:val="el-GR"/>
        </w:rPr>
        <w:t xml:space="preserve"> </w:t>
      </w:r>
      <w:r w:rsidR="00513608">
        <w:rPr>
          <w:rFonts w:eastAsia="Calibri" w:cstheme="minorHAnsi"/>
          <w:sz w:val="24"/>
          <w:szCs w:val="24"/>
          <w:lang w:val="el-GR"/>
        </w:rPr>
        <w:t>Υπουργείο</w:t>
      </w:r>
      <w:r w:rsidR="00513608" w:rsidRPr="00513608">
        <w:rPr>
          <w:rFonts w:eastAsia="Calibri" w:cstheme="minorHAnsi"/>
          <w:sz w:val="24"/>
          <w:szCs w:val="24"/>
          <w:lang w:val="el-GR"/>
        </w:rPr>
        <w:t xml:space="preserve"> </w:t>
      </w:r>
      <w:r w:rsidR="00513608">
        <w:rPr>
          <w:rFonts w:eastAsia="Calibri" w:cstheme="minorHAnsi"/>
          <w:sz w:val="24"/>
          <w:szCs w:val="24"/>
          <w:lang w:val="el-GR"/>
        </w:rPr>
        <w:t>Οικονομικών</w:t>
      </w:r>
      <w:r w:rsidR="00A5147D" w:rsidRPr="00513608">
        <w:rPr>
          <w:rFonts w:eastAsia="Calibri" w:cstheme="minorHAnsi"/>
          <w:sz w:val="24"/>
          <w:szCs w:val="24"/>
          <w:lang w:val="el-GR" w:bidi="he-IL"/>
        </w:rPr>
        <w:t xml:space="preserve"> </w:t>
      </w:r>
      <w:r w:rsidR="00513608">
        <w:rPr>
          <w:rFonts w:eastAsia="Calibri" w:cstheme="minorHAnsi"/>
          <w:sz w:val="24"/>
          <w:szCs w:val="24"/>
          <w:lang w:val="el-GR" w:bidi="he-IL"/>
        </w:rPr>
        <w:t>έχει</w:t>
      </w:r>
      <w:r w:rsidR="00513608" w:rsidRPr="00513608">
        <w:rPr>
          <w:rFonts w:eastAsia="Calibri" w:cstheme="minorHAnsi"/>
          <w:sz w:val="24"/>
          <w:szCs w:val="24"/>
          <w:lang w:val="el-GR" w:bidi="he-IL"/>
        </w:rPr>
        <w:t xml:space="preserve"> </w:t>
      </w:r>
      <w:r w:rsidR="00973266">
        <w:rPr>
          <w:rFonts w:eastAsia="Calibri" w:cstheme="minorHAnsi"/>
          <w:sz w:val="24"/>
          <w:szCs w:val="24"/>
          <w:lang w:val="el-GR" w:bidi="he-IL"/>
        </w:rPr>
        <w:t>εκδώσει</w:t>
      </w:r>
      <w:r w:rsidR="00513608" w:rsidRPr="00513608">
        <w:rPr>
          <w:rFonts w:eastAsia="Calibri" w:cstheme="minorHAnsi"/>
          <w:sz w:val="24"/>
          <w:szCs w:val="24"/>
          <w:lang w:val="el-GR" w:bidi="he-IL"/>
        </w:rPr>
        <w:t xml:space="preserve"> </w:t>
      </w:r>
      <w:r w:rsidR="00513608">
        <w:rPr>
          <w:rFonts w:eastAsia="Calibri" w:cstheme="minorHAnsi"/>
          <w:sz w:val="24"/>
          <w:szCs w:val="24"/>
          <w:lang w:val="el-GR" w:bidi="he-IL"/>
        </w:rPr>
        <w:t>ένα</w:t>
      </w:r>
      <w:r w:rsidR="00513608" w:rsidRPr="00513608">
        <w:rPr>
          <w:rFonts w:eastAsia="Calibri" w:cstheme="minorHAnsi"/>
          <w:sz w:val="24"/>
          <w:szCs w:val="24"/>
          <w:lang w:val="el-GR" w:bidi="he-IL"/>
        </w:rPr>
        <w:t xml:space="preserve"> </w:t>
      </w:r>
      <w:r w:rsidR="00513608">
        <w:rPr>
          <w:rFonts w:eastAsia="Calibri" w:cstheme="minorHAnsi"/>
          <w:sz w:val="24"/>
          <w:szCs w:val="24"/>
          <w:lang w:val="el-GR" w:bidi="he-IL"/>
        </w:rPr>
        <w:t>Οδηγό</w:t>
      </w:r>
      <w:r w:rsidR="00513608" w:rsidRPr="00513608">
        <w:rPr>
          <w:rFonts w:eastAsia="Calibri" w:cstheme="minorHAnsi"/>
          <w:sz w:val="24"/>
          <w:szCs w:val="24"/>
          <w:lang w:val="el-GR" w:bidi="he-IL"/>
        </w:rPr>
        <w:t xml:space="preserve"> </w:t>
      </w:r>
      <w:r w:rsidR="00513608">
        <w:rPr>
          <w:rFonts w:eastAsia="Calibri" w:cstheme="minorHAnsi"/>
          <w:sz w:val="24"/>
          <w:szCs w:val="24"/>
          <w:lang w:val="el-GR" w:bidi="he-IL"/>
        </w:rPr>
        <w:t>Διαβούλευσης</w:t>
      </w:r>
      <w:r w:rsidR="00513608" w:rsidRPr="00513608">
        <w:rPr>
          <w:rFonts w:eastAsia="Calibri" w:cstheme="minorHAnsi"/>
          <w:sz w:val="24"/>
          <w:szCs w:val="24"/>
          <w:lang w:val="el-GR" w:bidi="he-IL"/>
        </w:rPr>
        <w:t xml:space="preserve"> </w:t>
      </w:r>
      <w:r w:rsidR="00513608">
        <w:rPr>
          <w:rFonts w:eastAsia="Calibri" w:cstheme="minorHAnsi"/>
          <w:sz w:val="24"/>
          <w:szCs w:val="24"/>
          <w:lang w:val="el-GR" w:bidi="he-IL"/>
        </w:rPr>
        <w:t>για</w:t>
      </w:r>
      <w:r w:rsidR="00513608" w:rsidRPr="00513608">
        <w:rPr>
          <w:rFonts w:eastAsia="Calibri" w:cstheme="minorHAnsi"/>
          <w:sz w:val="24"/>
          <w:szCs w:val="24"/>
          <w:lang w:val="el-GR" w:bidi="he-IL"/>
        </w:rPr>
        <w:t xml:space="preserve"> </w:t>
      </w:r>
      <w:r w:rsidR="00513608">
        <w:rPr>
          <w:rFonts w:eastAsia="Calibri" w:cstheme="minorHAnsi"/>
          <w:sz w:val="24"/>
          <w:szCs w:val="24"/>
          <w:lang w:val="el-GR" w:bidi="he-IL"/>
        </w:rPr>
        <w:t>να</w:t>
      </w:r>
      <w:r w:rsidR="00513608" w:rsidRPr="00513608">
        <w:rPr>
          <w:rFonts w:eastAsia="Calibri" w:cstheme="minorHAnsi"/>
          <w:sz w:val="24"/>
          <w:szCs w:val="24"/>
          <w:lang w:val="el-GR" w:bidi="he-IL"/>
        </w:rPr>
        <w:t xml:space="preserve"> </w:t>
      </w:r>
      <w:r w:rsidR="00513608">
        <w:rPr>
          <w:rFonts w:eastAsia="Calibri" w:cstheme="minorHAnsi"/>
          <w:sz w:val="24"/>
          <w:szCs w:val="24"/>
          <w:lang w:val="el-GR" w:bidi="he-IL"/>
        </w:rPr>
        <w:t>ακολουθηθεί</w:t>
      </w:r>
      <w:r w:rsidR="00513608" w:rsidRPr="00513608">
        <w:rPr>
          <w:rFonts w:eastAsia="Calibri" w:cstheme="minorHAnsi"/>
          <w:sz w:val="24"/>
          <w:szCs w:val="24"/>
          <w:lang w:val="el-GR" w:bidi="he-IL"/>
        </w:rPr>
        <w:t xml:space="preserve"> </w:t>
      </w:r>
      <w:r w:rsidR="00513608">
        <w:rPr>
          <w:rFonts w:eastAsia="Calibri" w:cstheme="minorHAnsi"/>
          <w:sz w:val="24"/>
          <w:szCs w:val="24"/>
          <w:lang w:val="el-GR" w:bidi="he-IL"/>
        </w:rPr>
        <w:t>κατά</w:t>
      </w:r>
      <w:r w:rsidR="00513608" w:rsidRPr="00513608">
        <w:rPr>
          <w:rFonts w:eastAsia="Calibri" w:cstheme="minorHAnsi"/>
          <w:sz w:val="24"/>
          <w:szCs w:val="24"/>
          <w:lang w:val="el-GR" w:bidi="he-IL"/>
        </w:rPr>
        <w:t xml:space="preserve"> </w:t>
      </w:r>
      <w:r w:rsidR="00513608">
        <w:rPr>
          <w:rFonts w:eastAsia="Calibri" w:cstheme="minorHAnsi"/>
          <w:sz w:val="24"/>
          <w:szCs w:val="24"/>
          <w:lang w:val="el-GR" w:bidi="he-IL"/>
        </w:rPr>
        <w:t>την</w:t>
      </w:r>
      <w:r w:rsidR="00513608" w:rsidRPr="00513608">
        <w:rPr>
          <w:rFonts w:eastAsia="Calibri" w:cstheme="minorHAnsi"/>
          <w:sz w:val="24"/>
          <w:szCs w:val="24"/>
          <w:lang w:val="el-GR" w:bidi="he-IL"/>
        </w:rPr>
        <w:t xml:space="preserve"> </w:t>
      </w:r>
      <w:r w:rsidR="00513608">
        <w:rPr>
          <w:rFonts w:eastAsia="Calibri" w:cstheme="minorHAnsi"/>
          <w:sz w:val="24"/>
          <w:szCs w:val="24"/>
          <w:lang w:val="el-GR" w:bidi="he-IL"/>
        </w:rPr>
        <w:t>σύνταξη</w:t>
      </w:r>
      <w:r w:rsidR="00513608" w:rsidRPr="00513608">
        <w:rPr>
          <w:rFonts w:eastAsia="Calibri" w:cstheme="minorHAnsi"/>
          <w:sz w:val="24"/>
          <w:szCs w:val="24"/>
          <w:lang w:val="el-GR" w:bidi="he-IL"/>
        </w:rPr>
        <w:t xml:space="preserve"> </w:t>
      </w:r>
      <w:r w:rsidR="00513608">
        <w:rPr>
          <w:rFonts w:eastAsia="Calibri" w:cstheme="minorHAnsi"/>
          <w:sz w:val="24"/>
          <w:szCs w:val="24"/>
          <w:lang w:val="el-GR" w:bidi="he-IL"/>
        </w:rPr>
        <w:t>των</w:t>
      </w:r>
      <w:r w:rsidR="00513608" w:rsidRPr="00513608">
        <w:rPr>
          <w:rFonts w:eastAsia="Calibri" w:cstheme="minorHAnsi"/>
          <w:sz w:val="24"/>
          <w:szCs w:val="24"/>
          <w:lang w:val="el-GR" w:bidi="he-IL"/>
        </w:rPr>
        <w:t xml:space="preserve"> </w:t>
      </w:r>
      <w:r w:rsidR="00513608">
        <w:rPr>
          <w:rFonts w:eastAsia="Calibri" w:cstheme="minorHAnsi"/>
          <w:sz w:val="24"/>
          <w:szCs w:val="24"/>
          <w:lang w:val="el-GR" w:bidi="he-IL"/>
        </w:rPr>
        <w:t>νόμων</w:t>
      </w:r>
      <w:r w:rsidR="00A5147D" w:rsidRPr="00513608">
        <w:rPr>
          <w:rFonts w:eastAsia="Calibri" w:cstheme="minorHAnsi"/>
          <w:sz w:val="24"/>
          <w:szCs w:val="24"/>
          <w:lang w:val="el-GR" w:bidi="he-IL"/>
        </w:rPr>
        <w:t xml:space="preserve">, </w:t>
      </w:r>
      <w:r w:rsidR="00513608">
        <w:rPr>
          <w:rFonts w:eastAsia="Calibri" w:cstheme="minorHAnsi"/>
          <w:sz w:val="24"/>
          <w:szCs w:val="24"/>
          <w:lang w:val="el-GR" w:bidi="he-IL"/>
        </w:rPr>
        <w:t>που συμπεριλαμβάνει κατευθυντήριες γραμμές</w:t>
      </w:r>
      <w:r w:rsidR="00A5147D" w:rsidRPr="00513608">
        <w:rPr>
          <w:rFonts w:eastAsia="Calibri" w:cstheme="minorHAnsi"/>
          <w:sz w:val="24"/>
          <w:szCs w:val="24"/>
          <w:lang w:val="el-GR" w:bidi="he-IL"/>
        </w:rPr>
        <w:t xml:space="preserve"> </w:t>
      </w:r>
      <w:r w:rsidR="00513608">
        <w:rPr>
          <w:rFonts w:eastAsia="Calibri" w:cstheme="minorHAnsi"/>
          <w:sz w:val="24"/>
          <w:szCs w:val="24"/>
          <w:lang w:val="el-GR" w:bidi="he-IL"/>
        </w:rPr>
        <w:t>για τον τρόπο αντιμετώπισης και συμπερίληψης απόψεων που λαμβάνονται κατά την διάρκεια της διαβούλευσης</w:t>
      </w:r>
      <w:r w:rsidR="00A5147D" w:rsidRPr="00513608">
        <w:rPr>
          <w:rFonts w:eastAsia="Calibri" w:cstheme="minorHAnsi"/>
          <w:sz w:val="24"/>
          <w:szCs w:val="24"/>
          <w:lang w:val="el-GR" w:bidi="he-IL"/>
        </w:rPr>
        <w:t xml:space="preserve"> </w:t>
      </w:r>
      <w:r w:rsidR="00513608">
        <w:rPr>
          <w:rFonts w:eastAsia="Calibri" w:cstheme="minorHAnsi"/>
          <w:sz w:val="24"/>
          <w:szCs w:val="24"/>
          <w:lang w:val="el-GR" w:bidi="he-IL"/>
        </w:rPr>
        <w:t>σε μια τελική πρόταση</w:t>
      </w:r>
      <w:r w:rsidR="00A5147D" w:rsidRPr="00513608">
        <w:rPr>
          <w:rFonts w:eastAsia="Calibri" w:cstheme="minorHAnsi"/>
          <w:sz w:val="24"/>
          <w:szCs w:val="24"/>
          <w:lang w:val="el-GR" w:bidi="he-IL"/>
        </w:rPr>
        <w:t xml:space="preserve">. </w:t>
      </w:r>
      <w:bookmarkStart w:id="80" w:name="_Hlk132888558"/>
      <w:r w:rsidR="00513608">
        <w:rPr>
          <w:rFonts w:eastAsia="Calibri" w:cstheme="minorHAnsi"/>
          <w:sz w:val="24"/>
          <w:szCs w:val="24"/>
          <w:lang w:val="el-GR" w:bidi="he-IL"/>
        </w:rPr>
        <w:t>Στον</w:t>
      </w:r>
      <w:r w:rsidR="00513608" w:rsidRPr="00513608">
        <w:rPr>
          <w:rFonts w:eastAsia="Calibri" w:cstheme="minorHAnsi"/>
          <w:sz w:val="24"/>
          <w:szCs w:val="24"/>
          <w:lang w:val="el-GR" w:bidi="he-IL"/>
        </w:rPr>
        <w:t xml:space="preserve"> </w:t>
      </w:r>
      <w:r w:rsidR="00513608">
        <w:rPr>
          <w:rFonts w:eastAsia="Calibri" w:cstheme="minorHAnsi"/>
          <w:sz w:val="24"/>
          <w:szCs w:val="24"/>
          <w:lang w:val="el-GR" w:bidi="he-IL"/>
        </w:rPr>
        <w:t>Οδηγό</w:t>
      </w:r>
      <w:r w:rsidR="00A41542" w:rsidRPr="00513608">
        <w:rPr>
          <w:rFonts w:cs="Calibri"/>
          <w:sz w:val="24"/>
          <w:szCs w:val="24"/>
          <w:lang w:val="el-GR" w:bidi="he-IL"/>
        </w:rPr>
        <w:t xml:space="preserve">, </w:t>
      </w:r>
      <w:r w:rsidR="00513608">
        <w:rPr>
          <w:rFonts w:cs="Calibri"/>
          <w:sz w:val="24"/>
          <w:szCs w:val="24"/>
          <w:lang w:val="el-GR" w:bidi="he-IL"/>
        </w:rPr>
        <w:t>προτείνεται</w:t>
      </w:r>
      <w:r w:rsidR="00513608" w:rsidRPr="00513608">
        <w:rPr>
          <w:rFonts w:cs="Calibri"/>
          <w:sz w:val="24"/>
          <w:szCs w:val="24"/>
          <w:lang w:val="el-GR" w:bidi="he-IL"/>
        </w:rPr>
        <w:t xml:space="preserve"> </w:t>
      </w:r>
      <w:r w:rsidR="00513608">
        <w:rPr>
          <w:rFonts w:cs="Calibri"/>
          <w:sz w:val="24"/>
          <w:szCs w:val="24"/>
          <w:lang w:val="el-GR" w:bidi="he-IL"/>
        </w:rPr>
        <w:t>μια</w:t>
      </w:r>
      <w:r w:rsidR="00513608" w:rsidRPr="00513608">
        <w:rPr>
          <w:rFonts w:cs="Calibri"/>
          <w:sz w:val="24"/>
          <w:szCs w:val="24"/>
          <w:lang w:val="el-GR" w:bidi="he-IL"/>
        </w:rPr>
        <w:t xml:space="preserve"> </w:t>
      </w:r>
      <w:r w:rsidR="00513608">
        <w:rPr>
          <w:rFonts w:cs="Calibri"/>
          <w:sz w:val="24"/>
          <w:szCs w:val="24"/>
          <w:lang w:val="el-GR" w:bidi="he-IL"/>
        </w:rPr>
        <w:t>περίοδο</w:t>
      </w:r>
      <w:r w:rsidR="00513608" w:rsidRPr="00513608">
        <w:rPr>
          <w:rFonts w:cs="Calibri"/>
          <w:sz w:val="24"/>
          <w:szCs w:val="24"/>
          <w:lang w:val="el-GR" w:bidi="he-IL"/>
        </w:rPr>
        <w:t xml:space="preserve"> </w:t>
      </w:r>
      <w:r w:rsidR="00513608">
        <w:rPr>
          <w:rFonts w:cs="Calibri"/>
          <w:sz w:val="24"/>
          <w:szCs w:val="24"/>
          <w:lang w:val="el-GR" w:bidi="he-IL"/>
        </w:rPr>
        <w:t>διαβούλευσης</w:t>
      </w:r>
      <w:r w:rsidR="00513608" w:rsidRPr="00513608">
        <w:rPr>
          <w:rFonts w:cs="Calibri"/>
          <w:sz w:val="24"/>
          <w:szCs w:val="24"/>
          <w:lang w:val="el-GR" w:bidi="he-IL"/>
        </w:rPr>
        <w:t xml:space="preserve"> </w:t>
      </w:r>
      <w:r w:rsidR="00513608">
        <w:rPr>
          <w:rFonts w:cs="Calibri"/>
          <w:sz w:val="24"/>
          <w:szCs w:val="24"/>
          <w:lang w:val="el-GR" w:bidi="he-IL"/>
        </w:rPr>
        <w:t>τεσσάρων</w:t>
      </w:r>
      <w:r w:rsidR="00513608" w:rsidRPr="00513608">
        <w:rPr>
          <w:rFonts w:cs="Calibri"/>
          <w:sz w:val="24"/>
          <w:szCs w:val="24"/>
          <w:lang w:val="el-GR" w:bidi="he-IL"/>
        </w:rPr>
        <w:t xml:space="preserve"> </w:t>
      </w:r>
      <w:r w:rsidR="00513608">
        <w:rPr>
          <w:rFonts w:cs="Calibri"/>
          <w:sz w:val="24"/>
          <w:szCs w:val="24"/>
          <w:lang w:val="el-GR" w:bidi="he-IL"/>
        </w:rPr>
        <w:t>εβδομάδων</w:t>
      </w:r>
      <w:r w:rsidR="00A41542" w:rsidRPr="00513608">
        <w:rPr>
          <w:rFonts w:cs="Calibri"/>
          <w:sz w:val="24"/>
          <w:szCs w:val="24"/>
          <w:lang w:val="el-GR" w:bidi="he-IL"/>
        </w:rPr>
        <w:t xml:space="preserve"> </w:t>
      </w:r>
      <w:r w:rsidR="00513608">
        <w:rPr>
          <w:rFonts w:cs="Calibri"/>
          <w:sz w:val="24"/>
          <w:szCs w:val="24"/>
          <w:lang w:val="el-GR" w:bidi="he-IL"/>
        </w:rPr>
        <w:t>ως</w:t>
      </w:r>
      <w:r w:rsidR="00513608" w:rsidRPr="00513608">
        <w:rPr>
          <w:rFonts w:cs="Calibri"/>
          <w:sz w:val="24"/>
          <w:szCs w:val="24"/>
          <w:lang w:val="el-GR" w:bidi="he-IL"/>
        </w:rPr>
        <w:t xml:space="preserve"> </w:t>
      </w:r>
      <w:r w:rsidR="00513608">
        <w:rPr>
          <w:rFonts w:cs="Calibri"/>
          <w:sz w:val="24"/>
          <w:szCs w:val="24"/>
          <w:lang w:val="el-GR" w:bidi="he-IL"/>
        </w:rPr>
        <w:t>μια</w:t>
      </w:r>
      <w:r w:rsidR="00513608" w:rsidRPr="00513608">
        <w:rPr>
          <w:rFonts w:cs="Calibri"/>
          <w:sz w:val="24"/>
          <w:szCs w:val="24"/>
          <w:lang w:val="el-GR" w:bidi="he-IL"/>
        </w:rPr>
        <w:t xml:space="preserve"> </w:t>
      </w:r>
      <w:r w:rsidR="00513608">
        <w:rPr>
          <w:rFonts w:cs="Calibri"/>
          <w:sz w:val="24"/>
          <w:szCs w:val="24"/>
          <w:lang w:val="el-GR" w:bidi="he-IL"/>
        </w:rPr>
        <w:t>ελάχιστη</w:t>
      </w:r>
      <w:r w:rsidR="00513608" w:rsidRPr="00513608">
        <w:rPr>
          <w:rFonts w:cs="Calibri"/>
          <w:sz w:val="24"/>
          <w:szCs w:val="24"/>
          <w:lang w:val="el-GR" w:bidi="he-IL"/>
        </w:rPr>
        <w:t xml:space="preserve"> </w:t>
      </w:r>
      <w:r w:rsidR="00513608">
        <w:rPr>
          <w:rFonts w:cs="Calibri"/>
          <w:sz w:val="24"/>
          <w:szCs w:val="24"/>
          <w:lang w:val="el-GR" w:bidi="he-IL"/>
        </w:rPr>
        <w:t>περίοδος</w:t>
      </w:r>
      <w:r w:rsidR="00513608" w:rsidRPr="00513608">
        <w:rPr>
          <w:rFonts w:cs="Calibri"/>
          <w:sz w:val="24"/>
          <w:szCs w:val="24"/>
          <w:lang w:val="el-GR" w:bidi="he-IL"/>
        </w:rPr>
        <w:t xml:space="preserve"> </w:t>
      </w:r>
      <w:r w:rsidR="00513608">
        <w:rPr>
          <w:rFonts w:cs="Calibri"/>
          <w:sz w:val="24"/>
          <w:szCs w:val="24"/>
          <w:lang w:val="el-GR" w:bidi="he-IL"/>
        </w:rPr>
        <w:t>δημοσίας</w:t>
      </w:r>
      <w:r w:rsidR="00513608" w:rsidRPr="00513608">
        <w:rPr>
          <w:rFonts w:cs="Calibri"/>
          <w:sz w:val="24"/>
          <w:szCs w:val="24"/>
          <w:lang w:val="el-GR" w:bidi="he-IL"/>
        </w:rPr>
        <w:t xml:space="preserve"> </w:t>
      </w:r>
      <w:r w:rsidR="00513608">
        <w:rPr>
          <w:rFonts w:cs="Calibri"/>
          <w:sz w:val="24"/>
          <w:szCs w:val="24"/>
          <w:lang w:val="el-GR" w:bidi="he-IL"/>
        </w:rPr>
        <w:t>διαβούλευσης</w:t>
      </w:r>
      <w:r w:rsidR="00A41542" w:rsidRPr="00513608">
        <w:rPr>
          <w:rFonts w:cs="Calibri"/>
          <w:sz w:val="24"/>
          <w:szCs w:val="24"/>
          <w:lang w:val="el-GR" w:bidi="he-IL"/>
        </w:rPr>
        <w:t xml:space="preserve">, </w:t>
      </w:r>
      <w:r w:rsidR="00513608">
        <w:rPr>
          <w:rFonts w:cs="Calibri"/>
          <w:sz w:val="24"/>
          <w:szCs w:val="24"/>
          <w:lang w:val="el-GR" w:bidi="he-IL"/>
        </w:rPr>
        <w:t xml:space="preserve">μετά από την οποία εκθέσεις παραδίδονται από το σύστημα αυτόματα για περίληψη των </w:t>
      </w:r>
      <w:r w:rsidR="009C426B">
        <w:rPr>
          <w:rFonts w:cs="Calibri"/>
          <w:sz w:val="24"/>
          <w:szCs w:val="24"/>
          <w:lang w:val="el-GR" w:bidi="he-IL"/>
        </w:rPr>
        <w:t xml:space="preserve">συνεισφορών </w:t>
      </w:r>
      <w:r w:rsidR="00513608">
        <w:rPr>
          <w:rFonts w:cs="Calibri"/>
          <w:sz w:val="24"/>
          <w:szCs w:val="24"/>
          <w:lang w:val="el-GR" w:bidi="he-IL"/>
        </w:rPr>
        <w:t>και των αποτελεσμάτων</w:t>
      </w:r>
      <w:r w:rsidR="00A41542" w:rsidRPr="00513608">
        <w:rPr>
          <w:rFonts w:cs="Calibri"/>
          <w:sz w:val="24"/>
          <w:szCs w:val="24"/>
          <w:lang w:val="el-GR" w:bidi="he-IL"/>
        </w:rPr>
        <w:t>.</w:t>
      </w:r>
    </w:p>
    <w:bookmarkEnd w:id="80"/>
    <w:p w14:paraId="54640603" w14:textId="77777777" w:rsidR="00A5147D" w:rsidRPr="00513608" w:rsidRDefault="00A5147D" w:rsidP="00A5147D">
      <w:pPr>
        <w:adjustRightInd w:val="0"/>
        <w:rPr>
          <w:rFonts w:eastAsia="Calibri" w:cstheme="minorHAnsi"/>
          <w:sz w:val="24"/>
          <w:szCs w:val="24"/>
          <w:lang w:val="el-GR" w:bidi="he-IL"/>
        </w:rPr>
      </w:pPr>
    </w:p>
    <w:p w14:paraId="1C47923C" w14:textId="73FBB8DD" w:rsidR="00A5147D" w:rsidRPr="00040FDD" w:rsidRDefault="00513608" w:rsidP="00A5147D">
      <w:pPr>
        <w:numPr>
          <w:ilvl w:val="0"/>
          <w:numId w:val="1"/>
        </w:numPr>
        <w:tabs>
          <w:tab w:val="clear" w:pos="6095"/>
          <w:tab w:val="left" w:pos="709"/>
        </w:tabs>
        <w:adjustRightInd w:val="0"/>
        <w:ind w:left="0" w:firstLine="0"/>
        <w:rPr>
          <w:rFonts w:eastAsia="Calibri" w:cstheme="minorHAnsi"/>
          <w:sz w:val="24"/>
          <w:szCs w:val="24"/>
          <w:lang w:val="el-GR" w:bidi="he-IL"/>
        </w:rPr>
      </w:pPr>
      <w:r>
        <w:rPr>
          <w:rFonts w:ascii="Calibri" w:eastAsia="Calibri" w:hAnsi="Calibri" w:cs="Calibri"/>
          <w:sz w:val="24"/>
          <w:szCs w:val="24"/>
          <w:lang w:val="el-GR" w:bidi="he-IL"/>
        </w:rPr>
        <w:t>Επιπρόσθετα</w:t>
      </w:r>
      <w:r w:rsidR="00A5147D"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ένα</w:t>
      </w:r>
      <w:r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ερωτηματολόγιο</w:t>
      </w:r>
      <w:r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αξιολόγησης</w:t>
      </w:r>
      <w:r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απαντήσεων</w:t>
      </w:r>
      <w:r w:rsidR="00A5147D"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πρέπει</w:t>
      </w:r>
      <w:r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να</w:t>
      </w:r>
      <w:r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συμπληρωθεί</w:t>
      </w:r>
      <w:r w:rsidR="00A5147D"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για</w:t>
      </w:r>
      <w:r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να</w:t>
      </w:r>
      <w:r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συνοδεύει</w:t>
      </w:r>
      <w:r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όλα</w:t>
      </w:r>
      <w:r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τα</w:t>
      </w:r>
      <w:r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νομοσχέδια</w:t>
      </w:r>
      <w:r w:rsidR="00A5147D"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σε</w:t>
      </w:r>
      <w:r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όλα</w:t>
      </w:r>
      <w:r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τα</w:t>
      </w:r>
      <w:r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στάδια</w:t>
      </w:r>
      <w:r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της</w:t>
      </w:r>
      <w:r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νομοθετικής διαδικασίας</w:t>
      </w:r>
      <w:r w:rsidR="00A5147D"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δηλαδή στο Υπουργικό Συμβούλιο για έγκριση</w:t>
      </w:r>
      <w:r w:rsidR="00A5147D" w:rsidRPr="00513608">
        <w:rPr>
          <w:rFonts w:ascii="Calibri" w:eastAsia="Calibri" w:hAnsi="Calibri" w:cs="Calibri"/>
          <w:sz w:val="24"/>
          <w:szCs w:val="24"/>
          <w:lang w:val="el-GR" w:bidi="he-IL"/>
        </w:rPr>
        <w:t xml:space="preserve">, </w:t>
      </w:r>
      <w:r>
        <w:rPr>
          <w:rFonts w:ascii="Calibri" w:eastAsia="Calibri" w:hAnsi="Calibri" w:cs="Calibri"/>
          <w:sz w:val="24"/>
          <w:szCs w:val="24"/>
          <w:lang w:val="el-GR" w:bidi="he-IL"/>
        </w:rPr>
        <w:t>στη Νομική Υπηρεσία</w:t>
      </w:r>
      <w:r w:rsidR="00A5147D" w:rsidRPr="00513608">
        <w:rPr>
          <w:rFonts w:ascii="Calibri" w:eastAsia="Calibri" w:hAnsi="Calibri" w:cs="Calibri"/>
          <w:sz w:val="24"/>
          <w:szCs w:val="24"/>
          <w:lang w:val="el-GR" w:bidi="he-IL"/>
        </w:rPr>
        <w:t xml:space="preserve"> </w:t>
      </w:r>
      <w:r w:rsidR="00040FDD">
        <w:rPr>
          <w:rFonts w:ascii="Calibri" w:eastAsia="Calibri" w:hAnsi="Calibri" w:cs="Calibri"/>
          <w:sz w:val="24"/>
          <w:szCs w:val="24"/>
          <w:lang w:val="el-GR" w:bidi="he-IL"/>
        </w:rPr>
        <w:t>για τη νομική γνωμάτευση και στην Βουλή για υιοθέτηση</w:t>
      </w:r>
      <w:r w:rsidR="00A5147D" w:rsidRPr="00513608">
        <w:rPr>
          <w:rFonts w:ascii="Calibri" w:eastAsia="Calibri" w:hAnsi="Calibri" w:cs="Calibri"/>
          <w:sz w:val="24"/>
          <w:szCs w:val="24"/>
          <w:lang w:val="el-GR" w:bidi="he-IL"/>
        </w:rPr>
        <w:t xml:space="preserve">). </w:t>
      </w:r>
      <w:r w:rsidR="00040FDD">
        <w:rPr>
          <w:rFonts w:ascii="Calibri" w:eastAsia="Calibri" w:hAnsi="Calibri" w:cs="Calibri"/>
          <w:sz w:val="24"/>
          <w:szCs w:val="24"/>
          <w:lang w:val="el-GR" w:bidi="he-IL"/>
        </w:rPr>
        <w:t>Όλα</w:t>
      </w:r>
      <w:r w:rsidR="00040FDD" w:rsidRPr="00040FDD">
        <w:rPr>
          <w:rFonts w:ascii="Calibri" w:eastAsia="Calibri" w:hAnsi="Calibri" w:cs="Calibri"/>
          <w:sz w:val="24"/>
          <w:szCs w:val="24"/>
          <w:lang w:val="el-GR" w:bidi="he-IL"/>
        </w:rPr>
        <w:t xml:space="preserve"> </w:t>
      </w:r>
      <w:r w:rsidR="00040FDD">
        <w:rPr>
          <w:rFonts w:ascii="Calibri" w:eastAsia="Calibri" w:hAnsi="Calibri" w:cs="Calibri"/>
          <w:sz w:val="24"/>
          <w:szCs w:val="24"/>
          <w:lang w:val="el-GR" w:bidi="he-IL"/>
        </w:rPr>
        <w:t>τα</w:t>
      </w:r>
      <w:r w:rsidR="00040FDD" w:rsidRPr="00040FDD">
        <w:rPr>
          <w:rFonts w:ascii="Calibri" w:eastAsia="Calibri" w:hAnsi="Calibri" w:cs="Calibri"/>
          <w:sz w:val="24"/>
          <w:szCs w:val="24"/>
          <w:lang w:val="el-GR" w:bidi="he-IL"/>
        </w:rPr>
        <w:t xml:space="preserve"> </w:t>
      </w:r>
      <w:r w:rsidR="00040FDD">
        <w:rPr>
          <w:rFonts w:ascii="Calibri" w:eastAsia="Calibri" w:hAnsi="Calibri" w:cs="Calibri"/>
          <w:sz w:val="24"/>
          <w:szCs w:val="24"/>
          <w:lang w:val="el-GR" w:bidi="he-IL"/>
        </w:rPr>
        <w:t>νομοσχέδια</w:t>
      </w:r>
      <w:r w:rsidR="00040FDD" w:rsidRPr="00040FDD">
        <w:rPr>
          <w:rFonts w:ascii="Calibri" w:eastAsia="Calibri" w:hAnsi="Calibri" w:cs="Calibri"/>
          <w:sz w:val="24"/>
          <w:szCs w:val="24"/>
          <w:lang w:val="el-GR" w:bidi="he-IL"/>
        </w:rPr>
        <w:t xml:space="preserve"> </w:t>
      </w:r>
      <w:r w:rsidR="00040FDD">
        <w:rPr>
          <w:rFonts w:ascii="Calibri" w:eastAsia="Calibri" w:hAnsi="Calibri" w:cs="Calibri"/>
          <w:sz w:val="24"/>
          <w:szCs w:val="24"/>
          <w:lang w:val="el-GR" w:bidi="he-IL"/>
        </w:rPr>
        <w:t>πρέπει</w:t>
      </w:r>
      <w:r w:rsidR="00040FDD" w:rsidRPr="00040FDD">
        <w:rPr>
          <w:rFonts w:ascii="Calibri" w:eastAsia="Calibri" w:hAnsi="Calibri" w:cs="Calibri"/>
          <w:sz w:val="24"/>
          <w:szCs w:val="24"/>
          <w:lang w:val="el-GR" w:bidi="he-IL"/>
        </w:rPr>
        <w:t xml:space="preserve"> </w:t>
      </w:r>
      <w:r w:rsidR="00040FDD">
        <w:rPr>
          <w:rFonts w:ascii="Calibri" w:eastAsia="Calibri" w:hAnsi="Calibri" w:cs="Calibri"/>
          <w:sz w:val="24"/>
          <w:szCs w:val="24"/>
          <w:lang w:val="el-GR" w:bidi="he-IL"/>
        </w:rPr>
        <w:t>να</w:t>
      </w:r>
      <w:r w:rsidR="00040FDD" w:rsidRPr="00040FDD">
        <w:rPr>
          <w:rFonts w:ascii="Calibri" w:eastAsia="Calibri" w:hAnsi="Calibri" w:cs="Calibri"/>
          <w:sz w:val="24"/>
          <w:szCs w:val="24"/>
          <w:lang w:val="el-GR" w:bidi="he-IL"/>
        </w:rPr>
        <w:t xml:space="preserve"> </w:t>
      </w:r>
      <w:r w:rsidR="00040FDD">
        <w:rPr>
          <w:rFonts w:ascii="Calibri" w:eastAsia="Calibri" w:hAnsi="Calibri" w:cs="Calibri"/>
          <w:sz w:val="24"/>
          <w:szCs w:val="24"/>
          <w:lang w:val="el-GR" w:bidi="he-IL"/>
        </w:rPr>
        <w:t>συνοδεύονται</w:t>
      </w:r>
      <w:r w:rsidR="00A5147D" w:rsidRPr="00040FDD">
        <w:rPr>
          <w:rFonts w:ascii="Calibri" w:eastAsia="Calibri" w:hAnsi="Calibri" w:cs="Calibri"/>
          <w:sz w:val="24"/>
          <w:szCs w:val="24"/>
          <w:lang w:val="el-GR" w:bidi="he-IL"/>
        </w:rPr>
        <w:t xml:space="preserve"> </w:t>
      </w:r>
      <w:r w:rsidR="00040FDD">
        <w:rPr>
          <w:rFonts w:ascii="Calibri" w:eastAsia="Calibri" w:hAnsi="Calibri" w:cs="Calibri"/>
          <w:sz w:val="24"/>
          <w:szCs w:val="24"/>
          <w:lang w:val="el-GR" w:bidi="he-IL"/>
        </w:rPr>
        <w:t>από</w:t>
      </w:r>
      <w:r w:rsidR="00040FDD" w:rsidRPr="00040FDD">
        <w:rPr>
          <w:rFonts w:ascii="Calibri" w:eastAsia="Calibri" w:hAnsi="Calibri" w:cs="Calibri"/>
          <w:sz w:val="24"/>
          <w:szCs w:val="24"/>
          <w:lang w:val="el-GR" w:bidi="he-IL"/>
        </w:rPr>
        <w:t xml:space="preserve"> </w:t>
      </w:r>
      <w:r w:rsidR="00040FDD">
        <w:rPr>
          <w:rFonts w:ascii="Calibri" w:eastAsia="Calibri" w:hAnsi="Calibri" w:cs="Calibri"/>
          <w:sz w:val="24"/>
          <w:szCs w:val="24"/>
          <w:lang w:val="el-GR" w:bidi="he-IL"/>
        </w:rPr>
        <w:t>μια</w:t>
      </w:r>
      <w:r w:rsidR="00040FDD" w:rsidRPr="00040FDD">
        <w:rPr>
          <w:rFonts w:ascii="Calibri" w:eastAsia="Calibri" w:hAnsi="Calibri" w:cs="Calibri"/>
          <w:sz w:val="24"/>
          <w:szCs w:val="24"/>
          <w:lang w:val="el-GR" w:bidi="he-IL"/>
        </w:rPr>
        <w:t xml:space="preserve"> </w:t>
      </w:r>
      <w:r w:rsidR="00040FDD">
        <w:rPr>
          <w:rFonts w:ascii="Calibri" w:eastAsia="Calibri" w:hAnsi="Calibri" w:cs="Calibri"/>
          <w:sz w:val="24"/>
          <w:szCs w:val="24"/>
          <w:lang w:val="el-GR" w:bidi="he-IL"/>
        </w:rPr>
        <w:t>επεξηγηματική</w:t>
      </w:r>
      <w:r w:rsidR="00040FDD" w:rsidRPr="00040FDD">
        <w:rPr>
          <w:rFonts w:ascii="Calibri" w:eastAsia="Calibri" w:hAnsi="Calibri" w:cs="Calibri"/>
          <w:sz w:val="24"/>
          <w:szCs w:val="24"/>
          <w:lang w:val="el-GR" w:bidi="he-IL"/>
        </w:rPr>
        <w:t xml:space="preserve"> </w:t>
      </w:r>
      <w:r w:rsidR="00040FDD">
        <w:rPr>
          <w:rFonts w:ascii="Calibri" w:eastAsia="Calibri" w:hAnsi="Calibri" w:cs="Calibri"/>
          <w:sz w:val="24"/>
          <w:szCs w:val="24"/>
          <w:lang w:val="el-GR" w:bidi="he-IL"/>
        </w:rPr>
        <w:t>σημείωση</w:t>
      </w:r>
      <w:r w:rsidR="00A5147D" w:rsidRPr="00040FDD">
        <w:rPr>
          <w:rFonts w:ascii="Calibri" w:eastAsia="Calibri" w:hAnsi="Calibri" w:cs="Calibri"/>
          <w:sz w:val="24"/>
          <w:szCs w:val="24"/>
          <w:lang w:val="el-GR" w:bidi="he-IL"/>
        </w:rPr>
        <w:t xml:space="preserve">, </w:t>
      </w:r>
      <w:r w:rsidR="00040FDD">
        <w:rPr>
          <w:rFonts w:ascii="Calibri" w:eastAsia="Calibri" w:hAnsi="Calibri" w:cs="Calibri"/>
          <w:sz w:val="24"/>
          <w:szCs w:val="24"/>
          <w:lang w:val="el-GR" w:bidi="he-IL"/>
        </w:rPr>
        <w:t>που</w:t>
      </w:r>
      <w:r w:rsidR="00040FDD" w:rsidRPr="00040FDD">
        <w:rPr>
          <w:rFonts w:ascii="Calibri" w:eastAsia="Calibri" w:hAnsi="Calibri" w:cs="Calibri"/>
          <w:sz w:val="24"/>
          <w:szCs w:val="24"/>
          <w:lang w:val="el-GR" w:bidi="he-IL"/>
        </w:rPr>
        <w:t xml:space="preserve"> </w:t>
      </w:r>
      <w:r w:rsidR="00040FDD">
        <w:rPr>
          <w:rFonts w:ascii="Calibri" w:eastAsia="Calibri" w:hAnsi="Calibri" w:cs="Calibri"/>
          <w:sz w:val="24"/>
          <w:szCs w:val="24"/>
          <w:lang w:val="el-GR" w:bidi="he-IL"/>
        </w:rPr>
        <w:t>πρέπει</w:t>
      </w:r>
      <w:r w:rsidR="00040FDD" w:rsidRPr="00040FDD">
        <w:rPr>
          <w:rFonts w:ascii="Calibri" w:eastAsia="Calibri" w:hAnsi="Calibri" w:cs="Calibri"/>
          <w:sz w:val="24"/>
          <w:szCs w:val="24"/>
          <w:lang w:val="el-GR" w:bidi="he-IL"/>
        </w:rPr>
        <w:t xml:space="preserve"> </w:t>
      </w:r>
      <w:r w:rsidR="00040FDD">
        <w:rPr>
          <w:rFonts w:ascii="Calibri" w:eastAsia="Calibri" w:hAnsi="Calibri" w:cs="Calibri"/>
          <w:sz w:val="24"/>
          <w:szCs w:val="24"/>
          <w:lang w:val="el-GR" w:bidi="he-IL"/>
        </w:rPr>
        <w:t>να</w:t>
      </w:r>
      <w:r w:rsidR="00040FDD" w:rsidRPr="00040FDD">
        <w:rPr>
          <w:rFonts w:ascii="Calibri" w:eastAsia="Calibri" w:hAnsi="Calibri" w:cs="Calibri"/>
          <w:sz w:val="24"/>
          <w:szCs w:val="24"/>
          <w:lang w:val="el-GR" w:bidi="he-IL"/>
        </w:rPr>
        <w:t xml:space="preserve"> </w:t>
      </w:r>
      <w:r w:rsidR="00040FDD">
        <w:rPr>
          <w:rFonts w:ascii="Calibri" w:eastAsia="Calibri" w:hAnsi="Calibri" w:cs="Calibri"/>
          <w:sz w:val="24"/>
          <w:szCs w:val="24"/>
          <w:lang w:val="el-GR" w:bidi="he-IL"/>
        </w:rPr>
        <w:t>ελεγχθεί και να υπογραφθεί από τον Γενικό Εισαγγελέα</w:t>
      </w:r>
      <w:r w:rsidR="00A5147D" w:rsidRPr="00040FDD">
        <w:rPr>
          <w:rFonts w:ascii="Calibri" w:eastAsia="Calibri" w:hAnsi="Calibri" w:cs="Calibri"/>
          <w:sz w:val="24"/>
          <w:szCs w:val="24"/>
          <w:lang w:val="el-GR" w:bidi="he-IL"/>
        </w:rPr>
        <w:t xml:space="preserve"> </w:t>
      </w:r>
      <w:r w:rsidR="00040FDD">
        <w:rPr>
          <w:rFonts w:ascii="Calibri" w:eastAsia="Calibri" w:hAnsi="Calibri" w:cs="Calibri"/>
          <w:sz w:val="24"/>
          <w:szCs w:val="24"/>
          <w:lang w:val="el-GR" w:bidi="he-IL"/>
        </w:rPr>
        <w:t>υπό την αρμοδιότητα του/ης</w:t>
      </w:r>
      <w:r w:rsidR="00A5147D" w:rsidRPr="00040FDD">
        <w:rPr>
          <w:rFonts w:ascii="Calibri" w:eastAsia="Calibri" w:hAnsi="Calibri" w:cs="Calibri"/>
          <w:sz w:val="24"/>
          <w:szCs w:val="24"/>
          <w:lang w:val="el-GR" w:bidi="he-IL"/>
        </w:rPr>
        <w:t xml:space="preserve"> </w:t>
      </w:r>
      <w:r w:rsidR="00040FDD">
        <w:rPr>
          <w:rFonts w:ascii="Calibri" w:eastAsia="Calibri" w:hAnsi="Calibri" w:cs="Calibri"/>
          <w:sz w:val="24"/>
          <w:szCs w:val="24"/>
          <w:lang w:val="el-GR" w:bidi="he-IL"/>
        </w:rPr>
        <w:t>ως ο/η Νομικός/ή Σύμβουλος της Κυβέρνησης</w:t>
      </w:r>
      <w:r w:rsidR="00A5147D" w:rsidRPr="00040FDD">
        <w:rPr>
          <w:rFonts w:ascii="Calibri" w:eastAsia="Calibri" w:hAnsi="Calibri" w:cs="Calibri"/>
          <w:sz w:val="24"/>
          <w:szCs w:val="24"/>
          <w:lang w:val="el-GR" w:bidi="he-IL"/>
        </w:rPr>
        <w:t>.</w:t>
      </w:r>
    </w:p>
    <w:p w14:paraId="00C1C5EB" w14:textId="77777777" w:rsidR="00A5147D" w:rsidRPr="00040FDD" w:rsidRDefault="00A5147D" w:rsidP="00A5147D">
      <w:pPr>
        <w:pStyle w:val="ListParagraph"/>
        <w:rPr>
          <w:rFonts w:eastAsia="Calibri" w:cstheme="minorHAnsi"/>
          <w:sz w:val="24"/>
          <w:szCs w:val="24"/>
          <w:lang w:val="el-GR" w:bidi="he-IL"/>
        </w:rPr>
      </w:pPr>
    </w:p>
    <w:p w14:paraId="24D26BBD" w14:textId="1E1845F0" w:rsidR="00A5147D" w:rsidRPr="0088695A" w:rsidRDefault="00AA3352" w:rsidP="00A5147D">
      <w:pPr>
        <w:numPr>
          <w:ilvl w:val="0"/>
          <w:numId w:val="1"/>
        </w:numPr>
        <w:tabs>
          <w:tab w:val="clear" w:pos="6095"/>
          <w:tab w:val="left" w:pos="709"/>
        </w:tabs>
        <w:adjustRightInd w:val="0"/>
        <w:ind w:left="0" w:firstLine="0"/>
        <w:rPr>
          <w:rFonts w:cstheme="minorHAnsi"/>
          <w:sz w:val="24"/>
          <w:szCs w:val="24"/>
          <w:lang w:val="el-GR"/>
        </w:rPr>
      </w:pPr>
      <w:r>
        <w:rPr>
          <w:rFonts w:eastAsia="Calibri" w:cstheme="minorHAnsi"/>
          <w:sz w:val="24"/>
          <w:szCs w:val="24"/>
          <w:lang w:val="el-GR" w:bidi="he-IL"/>
        </w:rPr>
        <w:t>Η</w:t>
      </w:r>
      <w:r w:rsidR="00A5147D" w:rsidRPr="00AA3352">
        <w:rPr>
          <w:rFonts w:eastAsia="Calibri" w:cstheme="minorHAnsi"/>
          <w:sz w:val="24"/>
          <w:szCs w:val="24"/>
          <w:lang w:val="el-GR" w:bidi="he-IL"/>
        </w:rPr>
        <w:t xml:space="preserve"> </w:t>
      </w:r>
      <w:r w:rsidR="00A5147D" w:rsidRPr="004E251E">
        <w:rPr>
          <w:rFonts w:eastAsia="Calibri" w:cstheme="minorHAnsi"/>
          <w:sz w:val="24"/>
          <w:szCs w:val="24"/>
          <w:lang w:bidi="he-IL"/>
        </w:rPr>
        <w:t>GET</w:t>
      </w:r>
      <w:r w:rsidR="00A5147D" w:rsidRPr="00AA3352">
        <w:rPr>
          <w:rFonts w:eastAsia="Calibri" w:cstheme="minorHAnsi"/>
          <w:sz w:val="24"/>
          <w:szCs w:val="24"/>
          <w:lang w:val="el-GR" w:bidi="he-IL"/>
        </w:rPr>
        <w:t xml:space="preserve"> </w:t>
      </w:r>
      <w:r>
        <w:rPr>
          <w:rFonts w:eastAsia="Calibri" w:cstheme="minorHAnsi"/>
          <w:sz w:val="24"/>
          <w:szCs w:val="24"/>
          <w:lang w:val="el-GR" w:bidi="he-IL"/>
        </w:rPr>
        <w:t>σημε</w:t>
      </w:r>
      <w:r w:rsidR="00BE5B13">
        <w:rPr>
          <w:rFonts w:eastAsia="Calibri" w:cstheme="minorHAnsi"/>
          <w:sz w:val="24"/>
          <w:szCs w:val="24"/>
          <w:lang w:val="el-GR" w:bidi="he-IL"/>
        </w:rPr>
        <w:t>ιώ</w:t>
      </w:r>
      <w:r>
        <w:rPr>
          <w:rFonts w:eastAsia="Calibri" w:cstheme="minorHAnsi"/>
          <w:sz w:val="24"/>
          <w:szCs w:val="24"/>
          <w:lang w:val="el-GR" w:bidi="he-IL"/>
        </w:rPr>
        <w:t>νει</w:t>
      </w:r>
      <w:r w:rsidRPr="00AA3352">
        <w:rPr>
          <w:rFonts w:eastAsia="Calibri" w:cstheme="minorHAnsi"/>
          <w:sz w:val="24"/>
          <w:szCs w:val="24"/>
          <w:lang w:val="el-GR" w:bidi="he-IL"/>
        </w:rPr>
        <w:t xml:space="preserve"> </w:t>
      </w:r>
      <w:r>
        <w:rPr>
          <w:rFonts w:eastAsia="Calibri" w:cstheme="minorHAnsi"/>
          <w:sz w:val="24"/>
          <w:szCs w:val="24"/>
          <w:lang w:val="el-GR" w:bidi="he-IL"/>
        </w:rPr>
        <w:t>ότι</w:t>
      </w:r>
      <w:r w:rsidRPr="00AA3352">
        <w:rPr>
          <w:rFonts w:eastAsia="Calibri" w:cstheme="minorHAnsi"/>
          <w:sz w:val="24"/>
          <w:szCs w:val="24"/>
          <w:lang w:val="el-GR" w:bidi="he-IL"/>
        </w:rPr>
        <w:t xml:space="preserve"> </w:t>
      </w:r>
      <w:r>
        <w:rPr>
          <w:rFonts w:eastAsia="Calibri" w:cstheme="minorHAnsi"/>
          <w:sz w:val="24"/>
          <w:szCs w:val="24"/>
          <w:lang w:val="el-GR" w:bidi="he-IL"/>
        </w:rPr>
        <w:t>οι</w:t>
      </w:r>
      <w:r w:rsidRPr="00AA3352">
        <w:rPr>
          <w:rFonts w:eastAsia="Calibri" w:cstheme="minorHAnsi"/>
          <w:sz w:val="24"/>
          <w:szCs w:val="24"/>
          <w:lang w:val="el-GR" w:bidi="he-IL"/>
        </w:rPr>
        <w:t xml:space="preserve"> </w:t>
      </w:r>
      <w:r>
        <w:rPr>
          <w:rFonts w:eastAsia="Calibri" w:cstheme="minorHAnsi"/>
          <w:sz w:val="24"/>
          <w:szCs w:val="24"/>
          <w:lang w:val="el-GR" w:bidi="he-IL"/>
        </w:rPr>
        <w:t>διαδικασίες</w:t>
      </w:r>
      <w:r w:rsidRPr="00AA3352">
        <w:rPr>
          <w:rFonts w:eastAsia="Calibri" w:cstheme="minorHAnsi"/>
          <w:sz w:val="24"/>
          <w:szCs w:val="24"/>
          <w:lang w:val="el-GR" w:bidi="he-IL"/>
        </w:rPr>
        <w:t xml:space="preserve"> </w:t>
      </w:r>
      <w:r>
        <w:rPr>
          <w:rFonts w:eastAsia="Calibri" w:cstheme="minorHAnsi"/>
          <w:sz w:val="24"/>
          <w:szCs w:val="24"/>
          <w:lang w:val="el-GR" w:bidi="he-IL"/>
        </w:rPr>
        <w:t>δημοσίας</w:t>
      </w:r>
      <w:r w:rsidRPr="00AA3352">
        <w:rPr>
          <w:rFonts w:eastAsia="Calibri" w:cstheme="minorHAnsi"/>
          <w:sz w:val="24"/>
          <w:szCs w:val="24"/>
          <w:lang w:val="el-GR" w:bidi="he-IL"/>
        </w:rPr>
        <w:t xml:space="preserve"> </w:t>
      </w:r>
      <w:r>
        <w:rPr>
          <w:rFonts w:eastAsia="Calibri" w:cstheme="minorHAnsi"/>
          <w:sz w:val="24"/>
          <w:szCs w:val="24"/>
          <w:lang w:val="el-GR" w:bidi="he-IL"/>
        </w:rPr>
        <w:t>διαβούλευσης</w:t>
      </w:r>
      <w:r w:rsidR="00A5147D" w:rsidRPr="00AA3352">
        <w:rPr>
          <w:rFonts w:eastAsia="Calibri" w:cstheme="minorHAnsi"/>
          <w:sz w:val="24"/>
          <w:szCs w:val="24"/>
          <w:lang w:val="el-GR" w:bidi="he-IL"/>
        </w:rPr>
        <w:t xml:space="preserve"> </w:t>
      </w:r>
      <w:r>
        <w:rPr>
          <w:rFonts w:eastAsia="Calibri" w:cstheme="minorHAnsi"/>
          <w:sz w:val="24"/>
          <w:szCs w:val="24"/>
          <w:lang w:val="el-GR" w:bidi="he-IL"/>
        </w:rPr>
        <w:t>έχουν αναβαθμισθεί πολύ πρόσφατα</w:t>
      </w:r>
      <w:r w:rsidR="00A5147D" w:rsidRPr="00AA3352">
        <w:rPr>
          <w:rFonts w:eastAsia="Calibri" w:cstheme="minorHAnsi"/>
          <w:sz w:val="24"/>
          <w:szCs w:val="24"/>
          <w:lang w:val="el-GR" w:bidi="he-IL"/>
        </w:rPr>
        <w:t xml:space="preserve">. </w:t>
      </w:r>
      <w:r>
        <w:rPr>
          <w:rFonts w:eastAsia="Calibri" w:cstheme="minorHAnsi"/>
          <w:sz w:val="24"/>
          <w:szCs w:val="24"/>
          <w:lang w:val="el-GR" w:bidi="he-IL"/>
        </w:rPr>
        <w:t>Μέχρι</w:t>
      </w:r>
      <w:r w:rsidRPr="00AA3352">
        <w:rPr>
          <w:rFonts w:eastAsia="Calibri" w:cstheme="minorHAnsi"/>
          <w:sz w:val="24"/>
          <w:szCs w:val="24"/>
          <w:lang w:val="el-GR" w:bidi="he-IL"/>
        </w:rPr>
        <w:t xml:space="preserve"> </w:t>
      </w:r>
      <w:r>
        <w:rPr>
          <w:rFonts w:eastAsia="Calibri" w:cstheme="minorHAnsi"/>
          <w:sz w:val="24"/>
          <w:szCs w:val="24"/>
          <w:lang w:val="el-GR" w:bidi="he-IL"/>
        </w:rPr>
        <w:t>τώρα</w:t>
      </w:r>
      <w:r w:rsidR="00A5147D" w:rsidRPr="00AA3352">
        <w:rPr>
          <w:rFonts w:eastAsia="Calibri" w:cstheme="minorHAnsi"/>
          <w:sz w:val="24"/>
          <w:szCs w:val="24"/>
          <w:lang w:val="el-GR" w:bidi="he-IL"/>
        </w:rPr>
        <w:t xml:space="preserve">, </w:t>
      </w:r>
      <w:r>
        <w:rPr>
          <w:rFonts w:eastAsia="Calibri" w:cstheme="minorHAnsi"/>
          <w:sz w:val="24"/>
          <w:szCs w:val="24"/>
          <w:lang w:val="el-GR" w:bidi="he-IL"/>
        </w:rPr>
        <w:t>διεξάγονταν</w:t>
      </w:r>
      <w:r w:rsidRPr="00AA3352">
        <w:rPr>
          <w:rFonts w:eastAsia="Calibri" w:cstheme="minorHAnsi"/>
          <w:sz w:val="24"/>
          <w:szCs w:val="24"/>
          <w:lang w:val="el-GR" w:bidi="he-IL"/>
        </w:rPr>
        <w:t xml:space="preserve"> </w:t>
      </w:r>
      <w:r>
        <w:rPr>
          <w:rFonts w:eastAsia="Calibri" w:cstheme="minorHAnsi"/>
          <w:sz w:val="24"/>
          <w:szCs w:val="24"/>
          <w:lang w:val="el-GR" w:bidi="he-IL"/>
        </w:rPr>
        <w:t>διαβουλεύσεις</w:t>
      </w:r>
      <w:r w:rsidRPr="00AA3352">
        <w:rPr>
          <w:rFonts w:eastAsia="Calibri" w:cstheme="minorHAnsi"/>
          <w:sz w:val="24"/>
          <w:szCs w:val="24"/>
          <w:lang w:val="el-GR" w:bidi="he-IL"/>
        </w:rPr>
        <w:t xml:space="preserve"> </w:t>
      </w:r>
      <w:r>
        <w:rPr>
          <w:rFonts w:eastAsia="Calibri" w:cstheme="minorHAnsi"/>
          <w:sz w:val="24"/>
          <w:szCs w:val="24"/>
          <w:lang w:val="el-GR" w:bidi="he-IL"/>
        </w:rPr>
        <w:t>με</w:t>
      </w:r>
      <w:r w:rsidRPr="00AA3352">
        <w:rPr>
          <w:rFonts w:eastAsia="Calibri" w:cstheme="minorHAnsi"/>
          <w:sz w:val="24"/>
          <w:szCs w:val="24"/>
          <w:lang w:val="el-GR" w:bidi="he-IL"/>
        </w:rPr>
        <w:t xml:space="preserve"> </w:t>
      </w:r>
      <w:r>
        <w:rPr>
          <w:rFonts w:eastAsia="Calibri" w:cstheme="minorHAnsi"/>
          <w:sz w:val="24"/>
          <w:szCs w:val="24"/>
          <w:lang w:val="el-GR" w:bidi="he-IL"/>
        </w:rPr>
        <w:t>ειδικούς</w:t>
      </w:r>
      <w:r w:rsidRPr="00AA3352">
        <w:rPr>
          <w:rFonts w:eastAsia="Calibri" w:cstheme="minorHAnsi"/>
          <w:sz w:val="24"/>
          <w:szCs w:val="24"/>
          <w:lang w:val="el-GR" w:bidi="he-IL"/>
        </w:rPr>
        <w:t xml:space="preserve"> </w:t>
      </w:r>
      <w:r>
        <w:rPr>
          <w:rFonts w:eastAsia="Calibri" w:cstheme="minorHAnsi"/>
          <w:sz w:val="24"/>
          <w:szCs w:val="24"/>
          <w:lang w:val="el-GR" w:bidi="he-IL"/>
        </w:rPr>
        <w:t>σε</w:t>
      </w:r>
      <w:r w:rsidRPr="00AA3352">
        <w:rPr>
          <w:rFonts w:eastAsia="Calibri" w:cstheme="minorHAnsi"/>
          <w:sz w:val="24"/>
          <w:szCs w:val="24"/>
          <w:lang w:val="el-GR" w:bidi="he-IL"/>
        </w:rPr>
        <w:t xml:space="preserve"> </w:t>
      </w:r>
      <w:r>
        <w:rPr>
          <w:rFonts w:eastAsia="Calibri" w:cstheme="minorHAnsi"/>
          <w:sz w:val="24"/>
          <w:szCs w:val="24"/>
          <w:lang w:val="el-GR" w:bidi="he-IL"/>
        </w:rPr>
        <w:t>σχέση</w:t>
      </w:r>
      <w:r w:rsidRPr="00AA3352">
        <w:rPr>
          <w:rFonts w:eastAsia="Calibri" w:cstheme="minorHAnsi"/>
          <w:sz w:val="24"/>
          <w:szCs w:val="24"/>
          <w:lang w:val="el-GR" w:bidi="he-IL"/>
        </w:rPr>
        <w:t xml:space="preserve"> </w:t>
      </w:r>
      <w:r>
        <w:rPr>
          <w:rFonts w:eastAsia="Calibri" w:cstheme="minorHAnsi"/>
          <w:sz w:val="24"/>
          <w:szCs w:val="24"/>
          <w:lang w:val="el-GR" w:bidi="he-IL"/>
        </w:rPr>
        <w:t>με</w:t>
      </w:r>
      <w:r w:rsidRPr="00AA3352">
        <w:rPr>
          <w:rFonts w:eastAsia="Calibri" w:cstheme="minorHAnsi"/>
          <w:sz w:val="24"/>
          <w:szCs w:val="24"/>
          <w:lang w:val="el-GR" w:bidi="he-IL"/>
        </w:rPr>
        <w:t xml:space="preserve"> </w:t>
      </w:r>
      <w:r>
        <w:rPr>
          <w:rFonts w:eastAsia="Calibri" w:cstheme="minorHAnsi"/>
          <w:sz w:val="24"/>
          <w:szCs w:val="24"/>
          <w:lang w:val="el-GR" w:bidi="he-IL"/>
        </w:rPr>
        <w:t>τομεακές</w:t>
      </w:r>
      <w:r w:rsidRPr="00AA3352">
        <w:rPr>
          <w:rFonts w:eastAsia="Calibri" w:cstheme="minorHAnsi"/>
          <w:sz w:val="24"/>
          <w:szCs w:val="24"/>
          <w:lang w:val="el-GR" w:bidi="he-IL"/>
        </w:rPr>
        <w:t xml:space="preserve"> </w:t>
      </w:r>
      <w:r>
        <w:rPr>
          <w:rFonts w:eastAsia="Calibri" w:cstheme="minorHAnsi"/>
          <w:sz w:val="24"/>
          <w:szCs w:val="24"/>
          <w:lang w:val="el-GR" w:bidi="he-IL"/>
        </w:rPr>
        <w:t>νομοθεσίες</w:t>
      </w:r>
      <w:r w:rsidRPr="00AA3352">
        <w:rPr>
          <w:rFonts w:eastAsia="Calibri" w:cstheme="minorHAnsi"/>
          <w:sz w:val="24"/>
          <w:szCs w:val="24"/>
          <w:lang w:val="el-GR" w:bidi="he-IL"/>
        </w:rPr>
        <w:t>/</w:t>
      </w:r>
      <w:r>
        <w:rPr>
          <w:rFonts w:eastAsia="Calibri" w:cstheme="minorHAnsi"/>
          <w:sz w:val="24"/>
          <w:szCs w:val="24"/>
          <w:lang w:val="el-GR" w:bidi="he-IL"/>
        </w:rPr>
        <w:t>πολιτικές</w:t>
      </w:r>
      <w:r w:rsidR="00A5147D" w:rsidRPr="00AA3352">
        <w:rPr>
          <w:rFonts w:eastAsia="Calibri" w:cstheme="minorHAnsi"/>
          <w:sz w:val="24"/>
          <w:szCs w:val="24"/>
          <w:lang w:val="el-GR" w:bidi="he-IL"/>
        </w:rPr>
        <w:t xml:space="preserve">, </w:t>
      </w:r>
      <w:r>
        <w:rPr>
          <w:rFonts w:eastAsia="Calibri" w:cstheme="minorHAnsi"/>
          <w:sz w:val="24"/>
          <w:szCs w:val="24"/>
          <w:lang w:val="el-GR" w:bidi="he-IL"/>
        </w:rPr>
        <w:t>όμως δεν υπήρχε μια καθιερωμένη πρακτική διεξαγωγής</w:t>
      </w:r>
      <w:r w:rsidR="00A5147D" w:rsidRPr="00AA3352">
        <w:rPr>
          <w:rFonts w:eastAsia="Calibri" w:cstheme="minorHAnsi"/>
          <w:sz w:val="24"/>
          <w:szCs w:val="24"/>
          <w:lang w:val="el-GR" w:bidi="he-IL"/>
        </w:rPr>
        <w:t xml:space="preserve"> </w:t>
      </w:r>
      <w:r>
        <w:rPr>
          <w:rFonts w:eastAsia="Calibri" w:cstheme="minorHAnsi"/>
          <w:sz w:val="24"/>
          <w:szCs w:val="24"/>
          <w:lang w:val="el-GR" w:bidi="he-IL"/>
        </w:rPr>
        <w:t>ευρύτερων δημοσίων διαβουλεύσεων</w:t>
      </w:r>
      <w:r w:rsidR="00A5147D" w:rsidRPr="00AA3352">
        <w:rPr>
          <w:rFonts w:eastAsia="Calibri" w:cstheme="minorHAnsi"/>
          <w:sz w:val="24"/>
          <w:szCs w:val="24"/>
          <w:lang w:val="el-GR" w:bidi="he-IL"/>
        </w:rPr>
        <w:t xml:space="preserve">. </w:t>
      </w:r>
      <w:r>
        <w:rPr>
          <w:rFonts w:eastAsia="Calibri" w:cstheme="minorHAnsi"/>
          <w:sz w:val="24"/>
          <w:szCs w:val="24"/>
          <w:lang w:val="el-GR" w:bidi="he-IL"/>
        </w:rPr>
        <w:t>Το</w:t>
      </w:r>
      <w:r w:rsidR="00A5147D" w:rsidRPr="008E2510">
        <w:rPr>
          <w:rFonts w:eastAsia="Calibri" w:cstheme="minorHAnsi"/>
          <w:sz w:val="24"/>
          <w:szCs w:val="24"/>
          <w:lang w:val="el-GR" w:bidi="he-IL"/>
        </w:rPr>
        <w:t xml:space="preserve"> 2023, </w:t>
      </w:r>
      <w:r>
        <w:rPr>
          <w:rFonts w:eastAsia="Calibri" w:cstheme="minorHAnsi"/>
          <w:sz w:val="24"/>
          <w:szCs w:val="24"/>
          <w:lang w:val="el-GR" w:bidi="he-IL"/>
        </w:rPr>
        <w:t>εκδόθηκαν</w:t>
      </w:r>
      <w:r w:rsidRPr="008E2510">
        <w:rPr>
          <w:rFonts w:eastAsia="Calibri" w:cstheme="minorHAnsi"/>
          <w:sz w:val="24"/>
          <w:szCs w:val="24"/>
          <w:lang w:val="el-GR" w:bidi="he-IL"/>
        </w:rPr>
        <w:t xml:space="preserve"> </w:t>
      </w:r>
      <w:r>
        <w:rPr>
          <w:rFonts w:eastAsia="Calibri" w:cstheme="minorHAnsi"/>
          <w:sz w:val="24"/>
          <w:szCs w:val="24"/>
          <w:lang w:val="el-GR" w:bidi="he-IL"/>
        </w:rPr>
        <w:t>οι</w:t>
      </w:r>
      <w:r w:rsidRPr="008E2510">
        <w:rPr>
          <w:rFonts w:eastAsia="Calibri" w:cstheme="minorHAnsi"/>
          <w:sz w:val="24"/>
          <w:szCs w:val="24"/>
          <w:lang w:val="el-GR" w:bidi="he-IL"/>
        </w:rPr>
        <w:t xml:space="preserve"> </w:t>
      </w:r>
      <w:r>
        <w:rPr>
          <w:rFonts w:eastAsia="Calibri" w:cstheme="minorHAnsi"/>
          <w:sz w:val="24"/>
          <w:szCs w:val="24"/>
          <w:lang w:val="el-GR" w:bidi="he-IL"/>
        </w:rPr>
        <w:t>Κατευθυντήριες</w:t>
      </w:r>
      <w:r w:rsidRPr="008E2510">
        <w:rPr>
          <w:rFonts w:eastAsia="Calibri" w:cstheme="minorHAnsi"/>
          <w:sz w:val="24"/>
          <w:szCs w:val="24"/>
          <w:lang w:val="el-GR" w:bidi="he-IL"/>
        </w:rPr>
        <w:t xml:space="preserve"> </w:t>
      </w:r>
      <w:r>
        <w:rPr>
          <w:rFonts w:eastAsia="Calibri" w:cstheme="minorHAnsi"/>
          <w:sz w:val="24"/>
          <w:szCs w:val="24"/>
          <w:lang w:val="el-GR" w:bidi="he-IL"/>
        </w:rPr>
        <w:t>Γραμμές</w:t>
      </w:r>
      <w:r w:rsidRPr="008E2510">
        <w:rPr>
          <w:rFonts w:eastAsia="Calibri" w:cstheme="minorHAnsi"/>
          <w:sz w:val="24"/>
          <w:szCs w:val="24"/>
          <w:lang w:val="el-GR" w:bidi="he-IL"/>
        </w:rPr>
        <w:t xml:space="preserve"> </w:t>
      </w:r>
      <w:r>
        <w:rPr>
          <w:rFonts w:eastAsia="Calibri" w:cstheme="minorHAnsi"/>
          <w:sz w:val="24"/>
          <w:szCs w:val="24"/>
          <w:lang w:val="el-GR" w:bidi="he-IL"/>
        </w:rPr>
        <w:t>για</w:t>
      </w:r>
      <w:r w:rsidRPr="008E2510">
        <w:rPr>
          <w:rFonts w:eastAsia="Calibri" w:cstheme="minorHAnsi"/>
          <w:sz w:val="24"/>
          <w:szCs w:val="24"/>
          <w:lang w:val="el-GR" w:bidi="he-IL"/>
        </w:rPr>
        <w:t xml:space="preserve"> </w:t>
      </w:r>
      <w:r>
        <w:rPr>
          <w:rFonts w:eastAsia="Calibri" w:cstheme="minorHAnsi"/>
          <w:sz w:val="24"/>
          <w:szCs w:val="24"/>
          <w:lang w:val="el-GR" w:bidi="he-IL"/>
        </w:rPr>
        <w:t>Δημόσιες</w:t>
      </w:r>
      <w:r w:rsidRPr="008E2510">
        <w:rPr>
          <w:rFonts w:eastAsia="Calibri" w:cstheme="minorHAnsi"/>
          <w:sz w:val="24"/>
          <w:szCs w:val="24"/>
          <w:lang w:val="el-GR" w:bidi="he-IL"/>
        </w:rPr>
        <w:t xml:space="preserve"> </w:t>
      </w:r>
      <w:r w:rsidR="00973266">
        <w:rPr>
          <w:rFonts w:eastAsia="Calibri" w:cstheme="minorHAnsi"/>
          <w:sz w:val="24"/>
          <w:szCs w:val="24"/>
          <w:lang w:val="el-GR" w:bidi="he-IL"/>
        </w:rPr>
        <w:t>Διαβουλεύσεις</w:t>
      </w:r>
      <w:r w:rsidR="00A5147D" w:rsidRPr="008E2510">
        <w:rPr>
          <w:rFonts w:eastAsia="Calibri" w:cstheme="minorHAnsi"/>
          <w:sz w:val="24"/>
          <w:szCs w:val="24"/>
          <w:lang w:val="el-GR" w:bidi="he-IL"/>
        </w:rPr>
        <w:t xml:space="preserve">. </w:t>
      </w:r>
      <w:r>
        <w:rPr>
          <w:rFonts w:eastAsia="Calibri" w:cstheme="minorHAnsi"/>
          <w:sz w:val="24"/>
          <w:szCs w:val="24"/>
          <w:lang w:val="el-GR" w:bidi="he-IL"/>
        </w:rPr>
        <w:t>Αυτές</w:t>
      </w:r>
      <w:r w:rsidRPr="00AA3352">
        <w:rPr>
          <w:rFonts w:eastAsia="Calibri" w:cstheme="minorHAnsi"/>
          <w:sz w:val="24"/>
          <w:szCs w:val="24"/>
          <w:lang w:val="el-GR" w:bidi="he-IL"/>
        </w:rPr>
        <w:t xml:space="preserve"> </w:t>
      </w:r>
      <w:r>
        <w:rPr>
          <w:rFonts w:eastAsia="Calibri" w:cstheme="minorHAnsi"/>
          <w:sz w:val="24"/>
          <w:szCs w:val="24"/>
          <w:lang w:val="el-GR" w:bidi="he-IL"/>
        </w:rPr>
        <w:t>προβλέπουν</w:t>
      </w:r>
      <w:r w:rsidRPr="00AA3352">
        <w:rPr>
          <w:rFonts w:eastAsia="Calibri" w:cstheme="minorHAnsi"/>
          <w:sz w:val="24"/>
          <w:szCs w:val="24"/>
          <w:lang w:val="el-GR" w:bidi="he-IL"/>
        </w:rPr>
        <w:t xml:space="preserve"> </w:t>
      </w:r>
      <w:r>
        <w:rPr>
          <w:rFonts w:eastAsia="Calibri" w:cstheme="minorHAnsi"/>
          <w:sz w:val="24"/>
          <w:szCs w:val="24"/>
          <w:lang w:val="el-GR" w:bidi="he-IL"/>
        </w:rPr>
        <w:t>μια</w:t>
      </w:r>
      <w:r w:rsidRPr="00AA3352">
        <w:rPr>
          <w:rFonts w:eastAsia="Calibri" w:cstheme="minorHAnsi"/>
          <w:sz w:val="24"/>
          <w:szCs w:val="24"/>
          <w:lang w:val="el-GR" w:bidi="he-IL"/>
        </w:rPr>
        <w:t xml:space="preserve"> </w:t>
      </w:r>
      <w:r>
        <w:rPr>
          <w:rFonts w:eastAsia="Calibri" w:cstheme="minorHAnsi"/>
          <w:sz w:val="24"/>
          <w:szCs w:val="24"/>
          <w:lang w:val="el-GR" w:bidi="he-IL"/>
        </w:rPr>
        <w:t>λεπτομερή</w:t>
      </w:r>
      <w:r w:rsidRPr="00AA3352">
        <w:rPr>
          <w:rFonts w:eastAsia="Calibri" w:cstheme="minorHAnsi"/>
          <w:sz w:val="24"/>
          <w:szCs w:val="24"/>
          <w:lang w:val="el-GR" w:bidi="he-IL"/>
        </w:rPr>
        <w:t xml:space="preserve"> </w:t>
      </w:r>
      <w:r>
        <w:rPr>
          <w:rFonts w:eastAsia="Calibri" w:cstheme="minorHAnsi"/>
          <w:sz w:val="24"/>
          <w:szCs w:val="24"/>
          <w:lang w:val="el-GR" w:bidi="he-IL"/>
        </w:rPr>
        <w:t>διάταξη</w:t>
      </w:r>
      <w:r w:rsidR="00A5147D" w:rsidRPr="00AA3352">
        <w:rPr>
          <w:rFonts w:eastAsia="Calibri" w:cstheme="minorHAnsi"/>
          <w:sz w:val="24"/>
          <w:szCs w:val="24"/>
          <w:lang w:val="el-GR" w:bidi="he-IL"/>
        </w:rPr>
        <w:t xml:space="preserve"> </w:t>
      </w:r>
      <w:r>
        <w:rPr>
          <w:rFonts w:eastAsia="Calibri" w:cstheme="minorHAnsi"/>
          <w:sz w:val="24"/>
          <w:szCs w:val="24"/>
          <w:lang w:val="el-GR" w:bidi="he-IL"/>
        </w:rPr>
        <w:t>των</w:t>
      </w:r>
      <w:r w:rsidRPr="00AA3352">
        <w:rPr>
          <w:rFonts w:eastAsia="Calibri" w:cstheme="minorHAnsi"/>
          <w:sz w:val="24"/>
          <w:szCs w:val="24"/>
          <w:lang w:val="el-GR" w:bidi="he-IL"/>
        </w:rPr>
        <w:t xml:space="preserve"> </w:t>
      </w:r>
      <w:r>
        <w:rPr>
          <w:rFonts w:eastAsia="Calibri" w:cstheme="minorHAnsi"/>
          <w:sz w:val="24"/>
          <w:szCs w:val="24"/>
          <w:lang w:val="el-GR" w:bidi="he-IL"/>
        </w:rPr>
        <w:t>σταδίων</w:t>
      </w:r>
      <w:r w:rsidRPr="00AA3352">
        <w:rPr>
          <w:rFonts w:eastAsia="Calibri" w:cstheme="minorHAnsi"/>
          <w:sz w:val="24"/>
          <w:szCs w:val="24"/>
          <w:lang w:val="el-GR" w:bidi="he-IL"/>
        </w:rPr>
        <w:t xml:space="preserve"> </w:t>
      </w:r>
      <w:r>
        <w:rPr>
          <w:rFonts w:eastAsia="Calibri" w:cstheme="minorHAnsi"/>
          <w:sz w:val="24"/>
          <w:szCs w:val="24"/>
          <w:lang w:val="el-GR" w:bidi="he-IL"/>
        </w:rPr>
        <w:t>της</w:t>
      </w:r>
      <w:r w:rsidRPr="00AA3352">
        <w:rPr>
          <w:rFonts w:eastAsia="Calibri" w:cstheme="minorHAnsi"/>
          <w:sz w:val="24"/>
          <w:szCs w:val="24"/>
          <w:lang w:val="el-GR" w:bidi="he-IL"/>
        </w:rPr>
        <w:t xml:space="preserve"> </w:t>
      </w:r>
      <w:r>
        <w:rPr>
          <w:rFonts w:eastAsia="Calibri" w:cstheme="minorHAnsi"/>
          <w:sz w:val="24"/>
          <w:szCs w:val="24"/>
          <w:lang w:val="el-GR" w:bidi="he-IL"/>
        </w:rPr>
        <w:t>διαδικασίας</w:t>
      </w:r>
      <w:r w:rsidRPr="00AA3352">
        <w:rPr>
          <w:rFonts w:eastAsia="Calibri" w:cstheme="minorHAnsi"/>
          <w:sz w:val="24"/>
          <w:szCs w:val="24"/>
          <w:lang w:val="el-GR" w:bidi="he-IL"/>
        </w:rPr>
        <w:t xml:space="preserve"> </w:t>
      </w:r>
      <w:r>
        <w:rPr>
          <w:rFonts w:eastAsia="Calibri" w:cstheme="minorHAnsi"/>
          <w:sz w:val="24"/>
          <w:szCs w:val="24"/>
          <w:lang w:val="el-GR" w:bidi="he-IL"/>
        </w:rPr>
        <w:t>διαβούλευσης</w:t>
      </w:r>
      <w:r w:rsidR="00A5147D" w:rsidRPr="00AA3352">
        <w:rPr>
          <w:rFonts w:eastAsia="Calibri" w:cstheme="minorHAnsi"/>
          <w:sz w:val="24"/>
          <w:szCs w:val="24"/>
          <w:lang w:val="el-GR" w:bidi="he-IL"/>
        </w:rPr>
        <w:t xml:space="preserve">, </w:t>
      </w:r>
      <w:r>
        <w:rPr>
          <w:rFonts w:eastAsia="Calibri" w:cstheme="minorHAnsi"/>
          <w:sz w:val="24"/>
          <w:szCs w:val="24"/>
          <w:lang w:val="el-GR" w:bidi="he-IL"/>
        </w:rPr>
        <w:t>την</w:t>
      </w:r>
      <w:r w:rsidRPr="00AA3352">
        <w:rPr>
          <w:rFonts w:eastAsia="Calibri" w:cstheme="minorHAnsi"/>
          <w:sz w:val="24"/>
          <w:szCs w:val="24"/>
          <w:lang w:val="el-GR" w:bidi="he-IL"/>
        </w:rPr>
        <w:t xml:space="preserve"> </w:t>
      </w:r>
      <w:r>
        <w:rPr>
          <w:rFonts w:eastAsia="Calibri" w:cstheme="minorHAnsi"/>
          <w:sz w:val="24"/>
          <w:szCs w:val="24"/>
          <w:lang w:val="el-GR" w:bidi="he-IL"/>
        </w:rPr>
        <w:t>εμπλοκή</w:t>
      </w:r>
      <w:r w:rsidRPr="00AA3352">
        <w:rPr>
          <w:rFonts w:eastAsia="Calibri" w:cstheme="minorHAnsi"/>
          <w:sz w:val="24"/>
          <w:szCs w:val="24"/>
          <w:lang w:val="el-GR" w:bidi="he-IL"/>
        </w:rPr>
        <w:t xml:space="preserve"> </w:t>
      </w:r>
      <w:r>
        <w:rPr>
          <w:rFonts w:eastAsia="Calibri" w:cstheme="minorHAnsi"/>
          <w:sz w:val="24"/>
          <w:szCs w:val="24"/>
          <w:lang w:val="el-GR" w:bidi="he-IL"/>
        </w:rPr>
        <w:t>των</w:t>
      </w:r>
      <w:r w:rsidRPr="00AA3352">
        <w:rPr>
          <w:rFonts w:eastAsia="Calibri" w:cstheme="minorHAnsi"/>
          <w:sz w:val="24"/>
          <w:szCs w:val="24"/>
          <w:lang w:val="el-GR" w:bidi="he-IL"/>
        </w:rPr>
        <w:t xml:space="preserve"> </w:t>
      </w:r>
      <w:r>
        <w:rPr>
          <w:rFonts w:eastAsia="Calibri" w:cstheme="minorHAnsi"/>
          <w:sz w:val="24"/>
          <w:szCs w:val="24"/>
          <w:lang w:val="el-GR" w:bidi="he-IL"/>
        </w:rPr>
        <w:t>ενδιαφερομένων</w:t>
      </w:r>
      <w:r w:rsidR="00A5147D" w:rsidRPr="00AA3352">
        <w:rPr>
          <w:rFonts w:eastAsia="Calibri" w:cstheme="minorHAnsi"/>
          <w:sz w:val="24"/>
          <w:szCs w:val="24"/>
          <w:lang w:val="el-GR" w:bidi="he-IL"/>
        </w:rPr>
        <w:t xml:space="preserve"> (</w:t>
      </w:r>
      <w:r w:rsidR="006910E5">
        <w:rPr>
          <w:rFonts w:eastAsia="Calibri" w:cstheme="minorHAnsi"/>
          <w:sz w:val="24"/>
          <w:szCs w:val="24"/>
          <w:lang w:val="el-GR" w:bidi="he-IL"/>
        </w:rPr>
        <w:t>από το</w:t>
      </w:r>
      <w:r w:rsidRPr="00AA3352">
        <w:rPr>
          <w:rFonts w:eastAsia="Calibri" w:cstheme="minorHAnsi"/>
          <w:sz w:val="24"/>
          <w:szCs w:val="24"/>
          <w:lang w:val="el-GR" w:bidi="he-IL"/>
        </w:rPr>
        <w:t xml:space="preserve"> </w:t>
      </w:r>
      <w:r>
        <w:rPr>
          <w:rFonts w:eastAsia="Calibri" w:cstheme="minorHAnsi"/>
          <w:sz w:val="24"/>
          <w:szCs w:val="24"/>
          <w:lang w:val="el-GR" w:bidi="he-IL"/>
        </w:rPr>
        <w:t>κοιν</w:t>
      </w:r>
      <w:r w:rsidR="006910E5">
        <w:rPr>
          <w:rFonts w:eastAsia="Calibri" w:cstheme="minorHAnsi"/>
          <w:sz w:val="24"/>
          <w:szCs w:val="24"/>
          <w:lang w:val="el-GR" w:bidi="he-IL"/>
        </w:rPr>
        <w:t>ό</w:t>
      </w:r>
      <w:r w:rsidRPr="00AA3352">
        <w:rPr>
          <w:rFonts w:eastAsia="Calibri" w:cstheme="minorHAnsi"/>
          <w:sz w:val="24"/>
          <w:szCs w:val="24"/>
          <w:lang w:val="el-GR" w:bidi="he-IL"/>
        </w:rPr>
        <w:t xml:space="preserve"> </w:t>
      </w:r>
      <w:r>
        <w:rPr>
          <w:rFonts w:eastAsia="Calibri" w:cstheme="minorHAnsi"/>
          <w:sz w:val="24"/>
          <w:szCs w:val="24"/>
          <w:lang w:val="el-GR" w:bidi="he-IL"/>
        </w:rPr>
        <w:t>ή</w:t>
      </w:r>
      <w:r w:rsidR="009C426B">
        <w:rPr>
          <w:rFonts w:eastAsia="Calibri" w:cstheme="minorHAnsi"/>
          <w:sz w:val="24"/>
          <w:szCs w:val="24"/>
          <w:lang w:val="el-GR" w:bidi="he-IL"/>
        </w:rPr>
        <w:t xml:space="preserve"> με στόχευση</w:t>
      </w:r>
      <w:r w:rsidR="00A5147D" w:rsidRPr="00AA3352">
        <w:rPr>
          <w:rFonts w:eastAsia="Calibri" w:cstheme="minorHAnsi"/>
          <w:sz w:val="24"/>
          <w:szCs w:val="24"/>
          <w:lang w:val="el-GR" w:bidi="he-IL"/>
        </w:rPr>
        <w:t xml:space="preserve">), </w:t>
      </w:r>
      <w:r>
        <w:rPr>
          <w:rFonts w:eastAsia="Calibri" w:cstheme="minorHAnsi"/>
          <w:sz w:val="24"/>
          <w:szCs w:val="24"/>
          <w:lang w:val="el-GR" w:bidi="he-IL"/>
        </w:rPr>
        <w:t>προθεσμίες</w:t>
      </w:r>
      <w:r w:rsidR="00A5147D" w:rsidRPr="00AA3352">
        <w:rPr>
          <w:rFonts w:eastAsia="Calibri" w:cstheme="minorHAnsi"/>
          <w:sz w:val="24"/>
          <w:szCs w:val="24"/>
          <w:lang w:val="el-GR" w:bidi="he-IL"/>
        </w:rPr>
        <w:t xml:space="preserve">, </w:t>
      </w:r>
      <w:r>
        <w:rPr>
          <w:rFonts w:eastAsia="Calibri" w:cstheme="minorHAnsi"/>
          <w:sz w:val="24"/>
          <w:szCs w:val="24"/>
          <w:lang w:val="el-GR" w:bidi="he-IL"/>
        </w:rPr>
        <w:t>εκθέσεις</w:t>
      </w:r>
      <w:r w:rsidR="00A5147D" w:rsidRPr="00AA3352">
        <w:rPr>
          <w:rFonts w:eastAsia="Calibri" w:cstheme="minorHAnsi"/>
          <w:sz w:val="24"/>
          <w:szCs w:val="24"/>
          <w:lang w:val="el-GR" w:bidi="he-IL"/>
        </w:rPr>
        <w:t xml:space="preserve">, </w:t>
      </w:r>
      <w:r>
        <w:rPr>
          <w:rFonts w:eastAsia="Calibri" w:cstheme="minorHAnsi"/>
          <w:sz w:val="24"/>
          <w:szCs w:val="24"/>
          <w:lang w:val="el-GR" w:bidi="he-IL"/>
        </w:rPr>
        <w:t>αξιολόγηση</w:t>
      </w:r>
      <w:r w:rsidR="00A5147D" w:rsidRPr="00AA3352">
        <w:rPr>
          <w:rFonts w:eastAsia="Calibri" w:cstheme="minorHAnsi"/>
          <w:sz w:val="24"/>
          <w:szCs w:val="24"/>
          <w:lang w:val="el-GR" w:bidi="he-IL"/>
        </w:rPr>
        <w:t xml:space="preserve">, </w:t>
      </w:r>
      <w:r>
        <w:rPr>
          <w:rFonts w:eastAsia="Calibri" w:cstheme="minorHAnsi"/>
          <w:sz w:val="24"/>
          <w:szCs w:val="24"/>
          <w:lang w:val="el-GR" w:bidi="he-IL"/>
        </w:rPr>
        <w:t>διορισμός λειτουργών δημοσίας διαβούλευσης</w:t>
      </w:r>
      <w:r w:rsidR="00A5147D" w:rsidRPr="00AA3352">
        <w:rPr>
          <w:rFonts w:eastAsia="Calibri" w:cstheme="minorHAnsi"/>
          <w:sz w:val="24"/>
          <w:szCs w:val="24"/>
          <w:lang w:val="el-GR" w:bidi="he-IL"/>
        </w:rPr>
        <w:t xml:space="preserve"> </w:t>
      </w:r>
      <w:r>
        <w:rPr>
          <w:rFonts w:eastAsia="Calibri" w:cstheme="minorHAnsi"/>
          <w:sz w:val="24"/>
          <w:szCs w:val="24"/>
          <w:lang w:val="el-GR" w:bidi="he-IL"/>
        </w:rPr>
        <w:t>εντός των υπουργείων</w:t>
      </w:r>
      <w:r w:rsidR="00A5147D" w:rsidRPr="00AA3352">
        <w:rPr>
          <w:rFonts w:eastAsia="Calibri" w:cstheme="minorHAnsi"/>
          <w:sz w:val="24"/>
          <w:szCs w:val="24"/>
          <w:lang w:val="el-GR" w:bidi="he-IL"/>
        </w:rPr>
        <w:t xml:space="preserve">, </w:t>
      </w:r>
      <w:r>
        <w:rPr>
          <w:rFonts w:eastAsia="Calibri" w:cstheme="minorHAnsi"/>
          <w:sz w:val="24"/>
          <w:szCs w:val="24"/>
          <w:lang w:val="el-GR" w:bidi="he-IL"/>
        </w:rPr>
        <w:t>κλπ</w:t>
      </w:r>
      <w:r w:rsidR="00A5147D" w:rsidRPr="00AA3352">
        <w:rPr>
          <w:rFonts w:eastAsia="Calibri" w:cstheme="minorHAnsi"/>
          <w:sz w:val="24"/>
          <w:szCs w:val="24"/>
          <w:lang w:val="el-GR" w:bidi="he-IL"/>
        </w:rPr>
        <w:t xml:space="preserve">. </w:t>
      </w:r>
      <w:r>
        <w:rPr>
          <w:rFonts w:eastAsia="Calibri" w:cstheme="minorHAnsi"/>
          <w:sz w:val="24"/>
          <w:szCs w:val="24"/>
          <w:lang w:val="el-GR" w:bidi="he-IL"/>
        </w:rPr>
        <w:t>Έ</w:t>
      </w:r>
      <w:r w:rsidR="0088695A">
        <w:rPr>
          <w:rFonts w:eastAsia="Calibri" w:cstheme="minorHAnsi"/>
          <w:sz w:val="24"/>
          <w:szCs w:val="24"/>
          <w:lang w:val="el-GR" w:bidi="he-IL"/>
        </w:rPr>
        <w:t>χουν</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αναπτυχθεί επίσης έ</w:t>
      </w:r>
      <w:r>
        <w:rPr>
          <w:rFonts w:eastAsia="Calibri" w:cstheme="minorHAnsi"/>
          <w:sz w:val="24"/>
          <w:szCs w:val="24"/>
          <w:lang w:val="el-GR" w:bidi="he-IL"/>
        </w:rPr>
        <w:t>ντυπα</w:t>
      </w:r>
      <w:r w:rsidRPr="0088695A">
        <w:rPr>
          <w:rFonts w:eastAsia="Calibri" w:cstheme="minorHAnsi"/>
          <w:sz w:val="24"/>
          <w:szCs w:val="24"/>
          <w:lang w:val="el-GR" w:bidi="he-IL"/>
        </w:rPr>
        <w:t xml:space="preserve"> </w:t>
      </w:r>
      <w:r>
        <w:rPr>
          <w:rFonts w:eastAsia="Calibri" w:cstheme="minorHAnsi"/>
          <w:sz w:val="24"/>
          <w:szCs w:val="24"/>
          <w:lang w:val="el-GR" w:bidi="he-IL"/>
        </w:rPr>
        <w:t>αξιολόγησης</w:t>
      </w:r>
      <w:r w:rsidRPr="0088695A">
        <w:rPr>
          <w:rFonts w:eastAsia="Calibri" w:cstheme="minorHAnsi"/>
          <w:sz w:val="24"/>
          <w:szCs w:val="24"/>
          <w:lang w:val="el-GR" w:bidi="he-IL"/>
        </w:rPr>
        <w:t xml:space="preserve"> </w:t>
      </w:r>
      <w:r>
        <w:rPr>
          <w:rFonts w:eastAsia="Calibri" w:cstheme="minorHAnsi"/>
          <w:sz w:val="24"/>
          <w:szCs w:val="24"/>
          <w:lang w:val="el-GR" w:bidi="he-IL"/>
        </w:rPr>
        <w:t>απαντήσεων</w:t>
      </w:r>
      <w:r w:rsidR="00A5147D" w:rsidRPr="0088695A">
        <w:rPr>
          <w:rFonts w:eastAsia="Calibri" w:cstheme="minorHAnsi"/>
          <w:sz w:val="24"/>
          <w:szCs w:val="24"/>
          <w:lang w:val="el-GR" w:bidi="he-IL"/>
        </w:rPr>
        <w:t xml:space="preserve"> (</w:t>
      </w:r>
      <w:r>
        <w:rPr>
          <w:rFonts w:eastAsia="Calibri" w:cstheme="minorHAnsi"/>
          <w:sz w:val="24"/>
          <w:szCs w:val="24"/>
          <w:lang w:val="el-GR" w:bidi="he-IL"/>
        </w:rPr>
        <w:t>ερωτηματολόγια</w:t>
      </w:r>
      <w:r w:rsidR="00A5147D" w:rsidRPr="0088695A">
        <w:rPr>
          <w:rFonts w:eastAsia="Calibri" w:cstheme="minorHAnsi"/>
          <w:sz w:val="24"/>
          <w:szCs w:val="24"/>
          <w:lang w:val="el-GR" w:bidi="he-IL"/>
        </w:rPr>
        <w:t xml:space="preserve">) </w:t>
      </w:r>
      <w:r w:rsidR="0088695A">
        <w:rPr>
          <w:rFonts w:eastAsia="Calibri" w:cstheme="minorHAnsi"/>
          <w:sz w:val="24"/>
          <w:szCs w:val="24"/>
          <w:lang w:val="el-GR" w:bidi="he-IL"/>
        </w:rPr>
        <w:t>και είναι αρκετά</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κατανοητά</w:t>
      </w:r>
      <w:r w:rsidR="00A5147D" w:rsidRPr="0088695A">
        <w:rPr>
          <w:rFonts w:eastAsia="Calibri" w:cstheme="minorHAnsi"/>
          <w:sz w:val="24"/>
          <w:szCs w:val="24"/>
          <w:lang w:val="el-GR" w:bidi="he-IL"/>
        </w:rPr>
        <w:t xml:space="preserve">. </w:t>
      </w:r>
      <w:r w:rsidR="0088695A">
        <w:rPr>
          <w:rFonts w:eastAsia="Calibri" w:cstheme="minorHAnsi"/>
          <w:sz w:val="24"/>
          <w:szCs w:val="24"/>
          <w:lang w:val="el-GR" w:bidi="he-IL"/>
        </w:rPr>
        <w:t>Έχει</w:t>
      </w:r>
      <w:r w:rsidR="0088695A" w:rsidRPr="008E2510">
        <w:rPr>
          <w:rFonts w:eastAsia="Calibri" w:cstheme="minorHAnsi"/>
          <w:sz w:val="24"/>
          <w:szCs w:val="24"/>
          <w:lang w:val="el-GR" w:bidi="he-IL"/>
        </w:rPr>
        <w:t xml:space="preserve"> </w:t>
      </w:r>
      <w:r w:rsidR="0088695A">
        <w:rPr>
          <w:rFonts w:eastAsia="Calibri" w:cstheme="minorHAnsi"/>
          <w:sz w:val="24"/>
          <w:szCs w:val="24"/>
          <w:lang w:val="el-GR" w:bidi="he-IL"/>
        </w:rPr>
        <w:t>επίσης</w:t>
      </w:r>
      <w:r w:rsidR="0088695A" w:rsidRPr="008E2510">
        <w:rPr>
          <w:rFonts w:eastAsia="Calibri" w:cstheme="minorHAnsi"/>
          <w:sz w:val="24"/>
          <w:szCs w:val="24"/>
          <w:lang w:val="el-GR" w:bidi="he-IL"/>
        </w:rPr>
        <w:t xml:space="preserve"> </w:t>
      </w:r>
      <w:r w:rsidR="0077336D">
        <w:rPr>
          <w:rFonts w:eastAsia="Calibri" w:cstheme="minorHAnsi"/>
          <w:sz w:val="24"/>
          <w:szCs w:val="24"/>
          <w:lang w:val="el-GR" w:bidi="he-IL"/>
        </w:rPr>
        <w:t>αναρτηθεί</w:t>
      </w:r>
      <w:r w:rsidR="0088695A" w:rsidRPr="008E2510">
        <w:rPr>
          <w:rFonts w:eastAsia="Calibri" w:cstheme="minorHAnsi"/>
          <w:sz w:val="24"/>
          <w:szCs w:val="24"/>
          <w:lang w:val="el-GR" w:bidi="he-IL"/>
        </w:rPr>
        <w:t xml:space="preserve"> </w:t>
      </w:r>
      <w:r w:rsidR="0088695A">
        <w:rPr>
          <w:rFonts w:eastAsia="Calibri" w:cstheme="minorHAnsi"/>
          <w:sz w:val="24"/>
          <w:szCs w:val="24"/>
          <w:lang w:val="el-GR" w:bidi="he-IL"/>
        </w:rPr>
        <w:t>μια</w:t>
      </w:r>
      <w:r w:rsidR="0088695A" w:rsidRPr="008E2510">
        <w:rPr>
          <w:rFonts w:eastAsia="Calibri" w:cstheme="minorHAnsi"/>
          <w:sz w:val="24"/>
          <w:szCs w:val="24"/>
          <w:lang w:val="el-GR" w:bidi="he-IL"/>
        </w:rPr>
        <w:t xml:space="preserve"> </w:t>
      </w:r>
      <w:r w:rsidR="0088695A">
        <w:rPr>
          <w:rFonts w:eastAsia="Calibri" w:cstheme="minorHAnsi"/>
          <w:sz w:val="24"/>
          <w:szCs w:val="24"/>
          <w:lang w:val="el-GR" w:bidi="he-IL"/>
        </w:rPr>
        <w:t>διαδικτυακή</w:t>
      </w:r>
      <w:r w:rsidR="0088695A" w:rsidRPr="008E2510">
        <w:rPr>
          <w:rFonts w:eastAsia="Calibri" w:cstheme="minorHAnsi"/>
          <w:sz w:val="24"/>
          <w:szCs w:val="24"/>
          <w:lang w:val="el-GR" w:bidi="he-IL"/>
        </w:rPr>
        <w:t xml:space="preserve"> </w:t>
      </w:r>
      <w:r w:rsidR="0088695A">
        <w:rPr>
          <w:rFonts w:eastAsia="Calibri" w:cstheme="minorHAnsi"/>
          <w:sz w:val="24"/>
          <w:szCs w:val="24"/>
          <w:lang w:val="el-GR" w:bidi="he-IL"/>
        </w:rPr>
        <w:t>πλατφόρμα</w:t>
      </w:r>
      <w:r w:rsidR="00A5147D" w:rsidRPr="008E2510">
        <w:rPr>
          <w:rFonts w:eastAsia="Calibri" w:cstheme="minorHAnsi"/>
          <w:sz w:val="24"/>
          <w:szCs w:val="24"/>
          <w:lang w:val="el-GR" w:bidi="he-IL"/>
        </w:rPr>
        <w:t xml:space="preserve"> </w:t>
      </w:r>
      <w:hyperlink r:id="rId18" w:history="1">
        <w:r w:rsidR="00A5147D" w:rsidRPr="002B061F">
          <w:rPr>
            <w:rStyle w:val="Hyperlink"/>
            <w:rFonts w:eastAsia="Calibri" w:cstheme="minorHAnsi"/>
            <w:color w:val="000000" w:themeColor="text1"/>
            <w:sz w:val="24"/>
            <w:szCs w:val="24"/>
            <w:lang w:bidi="he-IL"/>
          </w:rPr>
          <w:t>e</w:t>
        </w:r>
        <w:r w:rsidR="00A5147D" w:rsidRPr="002B061F">
          <w:rPr>
            <w:rStyle w:val="Hyperlink"/>
            <w:rFonts w:eastAsia="Calibri" w:cstheme="minorHAnsi"/>
            <w:color w:val="000000" w:themeColor="text1"/>
            <w:sz w:val="24"/>
            <w:szCs w:val="24"/>
            <w:lang w:val="el-GR" w:bidi="he-IL"/>
          </w:rPr>
          <w:t>-</w:t>
        </w:r>
        <w:r w:rsidR="00A5147D" w:rsidRPr="002B061F">
          <w:rPr>
            <w:rStyle w:val="Hyperlink"/>
            <w:rFonts w:eastAsia="Calibri" w:cstheme="minorHAnsi"/>
            <w:color w:val="000000" w:themeColor="text1"/>
            <w:sz w:val="24"/>
            <w:szCs w:val="24"/>
            <w:lang w:bidi="he-IL"/>
          </w:rPr>
          <w:t>platform</w:t>
        </w:r>
      </w:hyperlink>
      <w:r w:rsidR="00A5147D" w:rsidRPr="002B061F">
        <w:rPr>
          <w:rFonts w:eastAsia="Calibri" w:cstheme="minorHAnsi"/>
          <w:color w:val="000000" w:themeColor="text1"/>
          <w:sz w:val="24"/>
          <w:szCs w:val="24"/>
          <w:lang w:val="el-GR" w:bidi="he-IL"/>
        </w:rPr>
        <w:t xml:space="preserve"> </w:t>
      </w:r>
      <w:r w:rsidR="00A5147D" w:rsidRPr="008E2510">
        <w:rPr>
          <w:rFonts w:eastAsia="Calibri" w:cstheme="minorHAnsi"/>
          <w:sz w:val="24"/>
          <w:szCs w:val="24"/>
          <w:lang w:val="el-GR" w:bidi="he-IL"/>
        </w:rPr>
        <w:t xml:space="preserve">. </w:t>
      </w:r>
      <w:r w:rsidR="0088695A">
        <w:rPr>
          <w:rFonts w:eastAsia="Calibri" w:cstheme="minorHAnsi"/>
          <w:sz w:val="24"/>
          <w:szCs w:val="24"/>
          <w:lang w:val="el-GR" w:bidi="he-IL"/>
        </w:rPr>
        <w:t>Αυτά</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είναι</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ενθαρρυντικά</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μέτρα</w:t>
      </w:r>
      <w:r w:rsidR="00A5147D" w:rsidRPr="0088695A">
        <w:rPr>
          <w:rFonts w:eastAsia="Calibri" w:cstheme="minorHAnsi"/>
          <w:sz w:val="24"/>
          <w:szCs w:val="24"/>
          <w:lang w:val="el-GR" w:bidi="he-IL"/>
        </w:rPr>
        <w:t xml:space="preserve">, </w:t>
      </w:r>
      <w:r w:rsidR="0088695A">
        <w:rPr>
          <w:rFonts w:eastAsia="Calibri" w:cstheme="minorHAnsi"/>
          <w:sz w:val="24"/>
          <w:szCs w:val="24"/>
          <w:lang w:val="el-GR" w:bidi="he-IL"/>
        </w:rPr>
        <w:t>που</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η</w:t>
      </w:r>
      <w:r w:rsidR="00A5147D" w:rsidRPr="0088695A">
        <w:rPr>
          <w:rFonts w:eastAsia="Calibri" w:cstheme="minorHAnsi"/>
          <w:sz w:val="24"/>
          <w:szCs w:val="24"/>
          <w:lang w:val="el-GR" w:bidi="he-IL"/>
        </w:rPr>
        <w:t xml:space="preserve"> </w:t>
      </w:r>
      <w:r w:rsidR="00A5147D" w:rsidRPr="004E251E">
        <w:rPr>
          <w:rFonts w:eastAsia="Calibri" w:cstheme="minorHAnsi"/>
          <w:sz w:val="24"/>
          <w:szCs w:val="24"/>
          <w:lang w:bidi="he-IL"/>
        </w:rPr>
        <w:t>GET</w:t>
      </w:r>
      <w:r w:rsidR="00A5147D" w:rsidRPr="0088695A">
        <w:rPr>
          <w:rFonts w:eastAsia="Calibri" w:cstheme="minorHAnsi"/>
          <w:sz w:val="24"/>
          <w:szCs w:val="24"/>
          <w:lang w:val="el-GR" w:bidi="he-IL"/>
        </w:rPr>
        <w:t xml:space="preserve"> </w:t>
      </w:r>
      <w:r w:rsidR="0088695A">
        <w:rPr>
          <w:rFonts w:eastAsia="Calibri" w:cstheme="minorHAnsi"/>
          <w:sz w:val="24"/>
          <w:szCs w:val="24"/>
          <w:lang w:val="el-GR" w:bidi="he-IL"/>
        </w:rPr>
        <w:t>πιστεύει</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ότι</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θα</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αντιμετωπίσουν</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μια</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συγκεκριμένη</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ανησυχία</w:t>
      </w:r>
      <w:r w:rsidR="00A5147D" w:rsidRPr="0088695A">
        <w:rPr>
          <w:rFonts w:eastAsia="Calibri" w:cstheme="minorHAnsi"/>
          <w:sz w:val="24"/>
          <w:szCs w:val="24"/>
          <w:lang w:val="el-GR" w:bidi="he-IL"/>
        </w:rPr>
        <w:t xml:space="preserve"> </w:t>
      </w:r>
      <w:r w:rsidR="0088695A">
        <w:rPr>
          <w:rFonts w:eastAsia="Calibri" w:cstheme="minorHAnsi"/>
          <w:sz w:val="24"/>
          <w:szCs w:val="24"/>
          <w:lang w:val="el-GR" w:bidi="he-IL"/>
        </w:rPr>
        <w:t>στον</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τομέα</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αυτό</w:t>
      </w:r>
      <w:r w:rsidR="00A5147D" w:rsidRPr="0088695A">
        <w:rPr>
          <w:rFonts w:eastAsia="Calibri" w:cstheme="minorHAnsi"/>
          <w:sz w:val="24"/>
          <w:szCs w:val="24"/>
          <w:lang w:val="el-GR" w:bidi="he-IL"/>
        </w:rPr>
        <w:t xml:space="preserve">: </w:t>
      </w:r>
      <w:r w:rsidR="0088695A">
        <w:rPr>
          <w:rFonts w:eastAsia="Calibri" w:cstheme="minorHAnsi"/>
          <w:sz w:val="24"/>
          <w:szCs w:val="24"/>
          <w:lang w:val="el-GR" w:bidi="he-IL"/>
        </w:rPr>
        <w:t>ότι</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συχνά</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η</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διαβούλευση</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δεν</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πραγματοποιείται</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σε</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ένα</w:t>
      </w:r>
      <w:r w:rsidR="0088695A" w:rsidRPr="0088695A">
        <w:rPr>
          <w:rFonts w:eastAsia="Calibri" w:cstheme="minorHAnsi"/>
          <w:sz w:val="24"/>
          <w:szCs w:val="24"/>
          <w:lang w:val="el-GR" w:bidi="he-IL"/>
        </w:rPr>
        <w:t xml:space="preserve"> </w:t>
      </w:r>
      <w:r w:rsidR="0077336D">
        <w:rPr>
          <w:rFonts w:eastAsia="Calibri" w:cstheme="minorHAnsi"/>
          <w:sz w:val="24"/>
          <w:szCs w:val="24"/>
          <w:lang w:val="el-GR" w:bidi="he-IL"/>
        </w:rPr>
        <w:t xml:space="preserve">ικανοποιητικά αρχικό </w:t>
      </w:r>
      <w:r w:rsidR="0088695A">
        <w:rPr>
          <w:rFonts w:eastAsia="Calibri" w:cstheme="minorHAnsi"/>
          <w:sz w:val="24"/>
          <w:szCs w:val="24"/>
          <w:lang w:val="el-GR" w:bidi="he-IL"/>
        </w:rPr>
        <w:t>στάδιο</w:t>
      </w:r>
      <w:r w:rsidR="00A5147D" w:rsidRPr="0088695A">
        <w:rPr>
          <w:rFonts w:eastAsia="Calibri" w:cstheme="minorHAnsi"/>
          <w:sz w:val="24"/>
          <w:szCs w:val="24"/>
          <w:lang w:val="el-GR" w:bidi="he-IL"/>
        </w:rPr>
        <w:t xml:space="preserve"> </w:t>
      </w:r>
      <w:r w:rsidR="0088695A">
        <w:rPr>
          <w:rFonts w:eastAsia="Calibri" w:cstheme="minorHAnsi"/>
          <w:sz w:val="24"/>
          <w:szCs w:val="24"/>
          <w:lang w:val="el-GR" w:bidi="he-IL"/>
        </w:rPr>
        <w:t>στη διαδικασία</w:t>
      </w:r>
      <w:r w:rsidR="00A5147D" w:rsidRPr="0088695A">
        <w:rPr>
          <w:rFonts w:eastAsia="Calibri" w:cstheme="minorHAnsi"/>
          <w:sz w:val="24"/>
          <w:szCs w:val="24"/>
          <w:lang w:val="el-GR" w:bidi="he-IL"/>
        </w:rPr>
        <w:t xml:space="preserve"> </w:t>
      </w:r>
      <w:r w:rsidR="0088695A">
        <w:rPr>
          <w:rFonts w:eastAsia="Calibri" w:cstheme="minorHAnsi"/>
          <w:sz w:val="24"/>
          <w:szCs w:val="24"/>
          <w:lang w:val="el-GR" w:bidi="he-IL"/>
        </w:rPr>
        <w:t>της σύνταξης της νομοθεσίας</w:t>
      </w:r>
      <w:r w:rsidR="00A5147D" w:rsidRPr="0088695A">
        <w:rPr>
          <w:rFonts w:eastAsia="Calibri" w:cstheme="minorHAnsi"/>
          <w:sz w:val="24"/>
          <w:szCs w:val="24"/>
          <w:lang w:val="el-GR" w:bidi="he-IL"/>
        </w:rPr>
        <w:t xml:space="preserve"> </w:t>
      </w:r>
      <w:r w:rsidR="0088695A">
        <w:rPr>
          <w:rFonts w:eastAsia="Calibri" w:cstheme="minorHAnsi"/>
          <w:sz w:val="24"/>
          <w:szCs w:val="24"/>
          <w:lang w:val="el-GR" w:bidi="he-IL"/>
        </w:rPr>
        <w:t>και κάποτε δεν πραγματοποιείται καθόλου</w:t>
      </w:r>
      <w:r w:rsidR="00A5147D" w:rsidRPr="0088695A">
        <w:rPr>
          <w:rFonts w:eastAsia="Calibri" w:cstheme="minorHAnsi"/>
          <w:sz w:val="24"/>
          <w:szCs w:val="24"/>
          <w:lang w:val="el-GR" w:bidi="he-IL"/>
        </w:rPr>
        <w:t xml:space="preserve">. </w:t>
      </w:r>
      <w:r w:rsidR="0088695A">
        <w:rPr>
          <w:rFonts w:eastAsia="Calibri" w:cstheme="minorHAnsi"/>
          <w:sz w:val="24"/>
          <w:szCs w:val="24"/>
          <w:lang w:val="el-GR" w:bidi="he-IL"/>
        </w:rPr>
        <w:t>Αφού</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το</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σύστημα</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είναι</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πολύ</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νέο</w:t>
      </w:r>
      <w:r w:rsidR="00A5147D" w:rsidRPr="0088695A">
        <w:rPr>
          <w:rFonts w:eastAsia="Calibri" w:cstheme="minorHAnsi"/>
          <w:sz w:val="24"/>
          <w:szCs w:val="24"/>
          <w:lang w:val="el-GR" w:bidi="he-IL"/>
        </w:rPr>
        <w:t xml:space="preserve">, </w:t>
      </w:r>
      <w:r w:rsidR="0088695A">
        <w:rPr>
          <w:rFonts w:eastAsia="Calibri" w:cstheme="minorHAnsi"/>
          <w:sz w:val="24"/>
          <w:szCs w:val="24"/>
          <w:lang w:val="el-GR" w:bidi="he-IL"/>
        </w:rPr>
        <w:t>θα</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χρειασθεί</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η</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παρακολούθηση</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της</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υλοποίησης</w:t>
      </w:r>
      <w:r w:rsidR="0088695A" w:rsidRPr="0088695A">
        <w:rPr>
          <w:rFonts w:eastAsia="Calibri" w:cstheme="minorHAnsi"/>
          <w:sz w:val="24"/>
          <w:szCs w:val="24"/>
          <w:lang w:val="el-GR" w:bidi="he-IL"/>
        </w:rPr>
        <w:t xml:space="preserve"> </w:t>
      </w:r>
      <w:r w:rsidR="0088695A">
        <w:rPr>
          <w:rFonts w:eastAsia="Calibri" w:cstheme="minorHAnsi"/>
          <w:sz w:val="24"/>
          <w:szCs w:val="24"/>
          <w:lang w:val="el-GR" w:bidi="he-IL"/>
        </w:rPr>
        <w:t>του</w:t>
      </w:r>
      <w:r w:rsidR="00A5147D" w:rsidRPr="0088695A">
        <w:rPr>
          <w:rFonts w:eastAsia="Calibri" w:cstheme="minorHAnsi"/>
          <w:sz w:val="24"/>
          <w:szCs w:val="24"/>
          <w:lang w:val="el-GR" w:bidi="he-IL"/>
        </w:rPr>
        <w:t xml:space="preserve"> </w:t>
      </w:r>
      <w:r w:rsidR="0088695A">
        <w:rPr>
          <w:rFonts w:eastAsia="Calibri" w:cstheme="minorHAnsi"/>
          <w:sz w:val="24"/>
          <w:szCs w:val="24"/>
          <w:lang w:val="el-GR" w:bidi="he-IL"/>
        </w:rPr>
        <w:t>για εξασφάλιση</w:t>
      </w:r>
      <w:r w:rsidR="00A5147D" w:rsidRPr="0088695A">
        <w:rPr>
          <w:rFonts w:eastAsia="Calibri" w:cstheme="minorHAnsi"/>
          <w:sz w:val="24"/>
          <w:szCs w:val="24"/>
          <w:lang w:val="el-GR" w:bidi="he-IL"/>
        </w:rPr>
        <w:t xml:space="preserve"> </w:t>
      </w:r>
      <w:r w:rsidR="0088695A">
        <w:rPr>
          <w:rFonts w:eastAsia="Calibri" w:cstheme="minorHAnsi"/>
          <w:sz w:val="24"/>
          <w:szCs w:val="24"/>
          <w:lang w:val="el-GR" w:bidi="he-IL"/>
        </w:rPr>
        <w:t>συνεπούς πρακτικής σε όλους τους τομείς</w:t>
      </w:r>
      <w:r w:rsidR="00A5147D" w:rsidRPr="0088695A">
        <w:rPr>
          <w:rFonts w:eastAsia="Calibri" w:cstheme="minorHAnsi"/>
          <w:sz w:val="24"/>
          <w:szCs w:val="24"/>
          <w:lang w:val="el-GR" w:bidi="he-IL"/>
        </w:rPr>
        <w:t xml:space="preserve">. </w:t>
      </w:r>
      <w:r w:rsidR="0088695A" w:rsidRPr="0088695A">
        <w:rPr>
          <w:rFonts w:eastAsia="Calibri" w:cstheme="minorHAnsi"/>
          <w:b/>
          <w:sz w:val="24"/>
          <w:szCs w:val="24"/>
          <w:lang w:val="el-GR" w:bidi="he-IL"/>
        </w:rPr>
        <w:t xml:space="preserve">Η </w:t>
      </w:r>
      <w:r w:rsidR="00A5147D" w:rsidRPr="004E251E">
        <w:rPr>
          <w:rFonts w:eastAsia="Calibri" w:cstheme="minorHAnsi"/>
          <w:b/>
          <w:bCs/>
          <w:sz w:val="24"/>
          <w:szCs w:val="24"/>
          <w:lang w:bidi="he-IL"/>
        </w:rPr>
        <w:t>GRECO</w:t>
      </w:r>
      <w:r w:rsidR="00A5147D" w:rsidRPr="0088695A">
        <w:rPr>
          <w:rFonts w:eastAsia="Calibri" w:cstheme="minorHAnsi"/>
          <w:b/>
          <w:bCs/>
          <w:sz w:val="24"/>
          <w:szCs w:val="24"/>
          <w:lang w:val="el-GR" w:bidi="he-IL"/>
        </w:rPr>
        <w:t xml:space="preserve"> </w:t>
      </w:r>
      <w:r w:rsidR="001B09F4">
        <w:rPr>
          <w:rFonts w:eastAsia="Calibri" w:cstheme="minorHAnsi"/>
          <w:b/>
          <w:bCs/>
          <w:sz w:val="24"/>
          <w:szCs w:val="24"/>
          <w:lang w:val="el-GR" w:bidi="he-IL"/>
        </w:rPr>
        <w:t>συνιστά</w:t>
      </w:r>
      <w:r w:rsidR="00A5147D" w:rsidRPr="0088695A">
        <w:rPr>
          <w:rFonts w:eastAsia="Calibri" w:cstheme="minorHAnsi"/>
          <w:b/>
          <w:bCs/>
          <w:sz w:val="24"/>
          <w:szCs w:val="24"/>
          <w:lang w:val="el-GR" w:bidi="he-IL"/>
        </w:rPr>
        <w:t xml:space="preserve"> </w:t>
      </w:r>
      <w:r w:rsidR="0088695A">
        <w:rPr>
          <w:rFonts w:eastAsia="Calibri" w:cstheme="minorHAnsi"/>
          <w:b/>
          <w:bCs/>
          <w:sz w:val="24"/>
          <w:szCs w:val="24"/>
          <w:lang w:val="el-GR" w:bidi="he-IL"/>
        </w:rPr>
        <w:t>την</w:t>
      </w:r>
      <w:r w:rsidR="0088695A" w:rsidRPr="0088695A">
        <w:rPr>
          <w:rFonts w:eastAsia="Calibri" w:cstheme="minorHAnsi"/>
          <w:b/>
          <w:bCs/>
          <w:sz w:val="24"/>
          <w:szCs w:val="24"/>
          <w:lang w:val="el-GR" w:bidi="he-IL"/>
        </w:rPr>
        <w:t xml:space="preserve"> </w:t>
      </w:r>
      <w:r w:rsidR="0088695A">
        <w:rPr>
          <w:rFonts w:eastAsia="Calibri" w:cstheme="minorHAnsi"/>
          <w:b/>
          <w:bCs/>
          <w:sz w:val="24"/>
          <w:szCs w:val="24"/>
          <w:lang w:val="el-GR" w:bidi="he-IL"/>
        </w:rPr>
        <w:t>υιοθέτηση</w:t>
      </w:r>
      <w:r w:rsidR="0088695A" w:rsidRPr="0088695A">
        <w:rPr>
          <w:rFonts w:eastAsia="Calibri" w:cstheme="minorHAnsi"/>
          <w:b/>
          <w:bCs/>
          <w:sz w:val="24"/>
          <w:szCs w:val="24"/>
          <w:lang w:val="el-GR" w:bidi="he-IL"/>
        </w:rPr>
        <w:t xml:space="preserve"> </w:t>
      </w:r>
      <w:r w:rsidR="0088695A">
        <w:rPr>
          <w:rFonts w:eastAsia="Calibri" w:cstheme="minorHAnsi"/>
          <w:b/>
          <w:bCs/>
          <w:sz w:val="24"/>
          <w:szCs w:val="24"/>
          <w:lang w:val="el-GR" w:bidi="he-IL"/>
        </w:rPr>
        <w:t>ενός</w:t>
      </w:r>
      <w:r w:rsidR="0088695A" w:rsidRPr="0088695A">
        <w:rPr>
          <w:rFonts w:eastAsia="Calibri" w:cstheme="minorHAnsi"/>
          <w:b/>
          <w:bCs/>
          <w:sz w:val="24"/>
          <w:szCs w:val="24"/>
          <w:lang w:val="el-GR" w:bidi="he-IL"/>
        </w:rPr>
        <w:t xml:space="preserve"> </w:t>
      </w:r>
      <w:r w:rsidR="0088695A">
        <w:rPr>
          <w:rFonts w:eastAsia="Calibri" w:cstheme="minorHAnsi"/>
          <w:b/>
          <w:bCs/>
          <w:sz w:val="24"/>
          <w:szCs w:val="24"/>
          <w:lang w:val="el-GR" w:bidi="he-IL"/>
        </w:rPr>
        <w:t>θεσμικού</w:t>
      </w:r>
      <w:r w:rsidR="0088695A" w:rsidRPr="0088695A">
        <w:rPr>
          <w:rFonts w:eastAsia="Calibri" w:cstheme="minorHAnsi"/>
          <w:b/>
          <w:bCs/>
          <w:sz w:val="24"/>
          <w:szCs w:val="24"/>
          <w:lang w:val="el-GR" w:bidi="he-IL"/>
        </w:rPr>
        <w:t xml:space="preserve"> </w:t>
      </w:r>
      <w:r w:rsidR="0088695A">
        <w:rPr>
          <w:rFonts w:eastAsia="Calibri" w:cstheme="minorHAnsi"/>
          <w:b/>
          <w:bCs/>
          <w:sz w:val="24"/>
          <w:szCs w:val="24"/>
          <w:lang w:val="el-GR" w:bidi="he-IL"/>
        </w:rPr>
        <w:t>μηχανισμού</w:t>
      </w:r>
      <w:r w:rsidR="0088695A" w:rsidRPr="0088695A">
        <w:rPr>
          <w:rFonts w:eastAsia="Calibri" w:cstheme="minorHAnsi"/>
          <w:b/>
          <w:bCs/>
          <w:sz w:val="24"/>
          <w:szCs w:val="24"/>
          <w:lang w:val="el-GR" w:bidi="he-IL"/>
        </w:rPr>
        <w:t xml:space="preserve"> </w:t>
      </w:r>
      <w:r w:rsidR="0088695A">
        <w:rPr>
          <w:rFonts w:eastAsia="Calibri" w:cstheme="minorHAnsi"/>
          <w:b/>
          <w:bCs/>
          <w:sz w:val="24"/>
          <w:szCs w:val="24"/>
          <w:lang w:val="el-GR" w:bidi="he-IL"/>
        </w:rPr>
        <w:t>για</w:t>
      </w:r>
      <w:r w:rsidR="0088695A" w:rsidRPr="0088695A">
        <w:rPr>
          <w:rFonts w:eastAsia="Calibri" w:cstheme="minorHAnsi"/>
          <w:b/>
          <w:bCs/>
          <w:sz w:val="24"/>
          <w:szCs w:val="24"/>
          <w:lang w:val="el-GR" w:bidi="he-IL"/>
        </w:rPr>
        <w:t xml:space="preserve"> </w:t>
      </w:r>
      <w:r w:rsidR="0088695A">
        <w:rPr>
          <w:rFonts w:eastAsia="Calibri" w:cstheme="minorHAnsi"/>
          <w:b/>
          <w:bCs/>
          <w:sz w:val="24"/>
          <w:szCs w:val="24"/>
          <w:lang w:val="el-GR" w:bidi="he-IL"/>
        </w:rPr>
        <w:t>την</w:t>
      </w:r>
      <w:r w:rsidR="0088695A" w:rsidRPr="0088695A">
        <w:rPr>
          <w:rFonts w:eastAsia="Calibri" w:cstheme="minorHAnsi"/>
          <w:b/>
          <w:bCs/>
          <w:sz w:val="24"/>
          <w:szCs w:val="24"/>
          <w:lang w:val="el-GR" w:bidi="he-IL"/>
        </w:rPr>
        <w:t xml:space="preserve"> </w:t>
      </w:r>
      <w:r w:rsidR="0088695A">
        <w:rPr>
          <w:rFonts w:eastAsia="Calibri" w:cstheme="minorHAnsi"/>
          <w:b/>
          <w:bCs/>
          <w:sz w:val="24"/>
          <w:szCs w:val="24"/>
          <w:lang w:val="el-GR" w:bidi="he-IL"/>
        </w:rPr>
        <w:t>παρακολούθηση</w:t>
      </w:r>
      <w:r w:rsidR="0088695A" w:rsidRPr="0088695A">
        <w:rPr>
          <w:rFonts w:eastAsia="Calibri" w:cstheme="minorHAnsi"/>
          <w:b/>
          <w:bCs/>
          <w:sz w:val="24"/>
          <w:szCs w:val="24"/>
          <w:lang w:val="el-GR" w:bidi="he-IL"/>
        </w:rPr>
        <w:t xml:space="preserve"> </w:t>
      </w:r>
      <w:r w:rsidR="0088695A">
        <w:rPr>
          <w:rFonts w:eastAsia="Calibri" w:cstheme="minorHAnsi"/>
          <w:b/>
          <w:bCs/>
          <w:sz w:val="24"/>
          <w:szCs w:val="24"/>
          <w:lang w:val="el-GR" w:bidi="he-IL"/>
        </w:rPr>
        <w:t>της</w:t>
      </w:r>
      <w:r w:rsidR="0088695A" w:rsidRPr="0088695A">
        <w:rPr>
          <w:rFonts w:eastAsia="Calibri" w:cstheme="minorHAnsi"/>
          <w:b/>
          <w:bCs/>
          <w:sz w:val="24"/>
          <w:szCs w:val="24"/>
          <w:lang w:val="el-GR" w:bidi="he-IL"/>
        </w:rPr>
        <w:t xml:space="preserve"> </w:t>
      </w:r>
      <w:r w:rsidR="0088695A">
        <w:rPr>
          <w:rFonts w:eastAsia="Calibri" w:cstheme="minorHAnsi"/>
          <w:b/>
          <w:bCs/>
          <w:sz w:val="24"/>
          <w:szCs w:val="24"/>
          <w:lang w:val="el-GR" w:bidi="he-IL"/>
        </w:rPr>
        <w:t>ποιότητας</w:t>
      </w:r>
      <w:r w:rsidR="00A5147D" w:rsidRPr="0088695A">
        <w:rPr>
          <w:rFonts w:eastAsia="Calibri" w:cstheme="minorHAnsi"/>
          <w:b/>
          <w:bCs/>
          <w:sz w:val="24"/>
          <w:szCs w:val="24"/>
          <w:lang w:val="el-GR" w:bidi="he-IL"/>
        </w:rPr>
        <w:t xml:space="preserve"> </w:t>
      </w:r>
      <w:r w:rsidR="0088695A">
        <w:rPr>
          <w:rFonts w:eastAsia="Calibri" w:cstheme="minorHAnsi"/>
          <w:b/>
          <w:bCs/>
          <w:sz w:val="24"/>
          <w:szCs w:val="24"/>
          <w:lang w:val="el-GR" w:bidi="he-IL"/>
        </w:rPr>
        <w:t>της</w:t>
      </w:r>
      <w:r w:rsidR="0088695A" w:rsidRPr="0088695A">
        <w:rPr>
          <w:rFonts w:eastAsia="Calibri" w:cstheme="minorHAnsi"/>
          <w:b/>
          <w:bCs/>
          <w:sz w:val="24"/>
          <w:szCs w:val="24"/>
          <w:lang w:val="el-GR" w:bidi="he-IL"/>
        </w:rPr>
        <w:t xml:space="preserve"> </w:t>
      </w:r>
      <w:r w:rsidR="0088695A">
        <w:rPr>
          <w:rFonts w:eastAsia="Calibri" w:cstheme="minorHAnsi"/>
          <w:b/>
          <w:bCs/>
          <w:sz w:val="24"/>
          <w:szCs w:val="24"/>
          <w:lang w:val="el-GR" w:bidi="he-IL"/>
        </w:rPr>
        <w:t>διαδικασίας</w:t>
      </w:r>
      <w:r w:rsidR="0088695A" w:rsidRPr="0088695A">
        <w:rPr>
          <w:rFonts w:eastAsia="Calibri" w:cstheme="minorHAnsi"/>
          <w:b/>
          <w:bCs/>
          <w:sz w:val="24"/>
          <w:szCs w:val="24"/>
          <w:lang w:val="el-GR" w:bidi="he-IL"/>
        </w:rPr>
        <w:t xml:space="preserve"> </w:t>
      </w:r>
      <w:r w:rsidR="0088695A">
        <w:rPr>
          <w:rFonts w:eastAsia="Calibri" w:cstheme="minorHAnsi"/>
          <w:b/>
          <w:bCs/>
          <w:sz w:val="24"/>
          <w:szCs w:val="24"/>
          <w:lang w:val="el-GR" w:bidi="he-IL"/>
        </w:rPr>
        <w:t>διαβούλευσης</w:t>
      </w:r>
      <w:r w:rsidR="00A5147D" w:rsidRPr="0088695A">
        <w:rPr>
          <w:rFonts w:eastAsia="Calibri" w:cstheme="minorHAnsi"/>
          <w:b/>
          <w:bCs/>
          <w:sz w:val="24"/>
          <w:szCs w:val="24"/>
          <w:lang w:val="el-GR" w:bidi="he-IL"/>
        </w:rPr>
        <w:t xml:space="preserve"> </w:t>
      </w:r>
      <w:r w:rsidR="009C426B">
        <w:rPr>
          <w:rFonts w:eastAsia="Calibri" w:cstheme="minorHAnsi"/>
          <w:b/>
          <w:bCs/>
          <w:sz w:val="24"/>
          <w:szCs w:val="24"/>
          <w:lang w:val="el-GR" w:bidi="he-IL"/>
        </w:rPr>
        <w:t xml:space="preserve">ώστε να διασφαλιστεί </w:t>
      </w:r>
      <w:r w:rsidR="00523E78">
        <w:rPr>
          <w:rFonts w:eastAsia="Calibri" w:cstheme="minorHAnsi"/>
          <w:b/>
          <w:bCs/>
          <w:sz w:val="24"/>
          <w:szCs w:val="24"/>
          <w:lang w:val="el-GR" w:bidi="he-IL"/>
        </w:rPr>
        <w:t>η σχετική και έγκαιρη εμπλοκή</w:t>
      </w:r>
      <w:r w:rsidR="009C426B">
        <w:rPr>
          <w:rFonts w:eastAsia="Calibri" w:cstheme="minorHAnsi"/>
          <w:b/>
          <w:bCs/>
          <w:sz w:val="24"/>
          <w:szCs w:val="24"/>
          <w:lang w:val="el-GR" w:bidi="he-IL"/>
        </w:rPr>
        <w:t xml:space="preserve"> των</w:t>
      </w:r>
      <w:r w:rsidR="00A5147D" w:rsidRPr="0088695A">
        <w:rPr>
          <w:rFonts w:eastAsia="Calibri" w:cstheme="minorHAnsi"/>
          <w:b/>
          <w:bCs/>
          <w:sz w:val="24"/>
          <w:szCs w:val="24"/>
          <w:lang w:val="el-GR" w:bidi="he-IL"/>
        </w:rPr>
        <w:t xml:space="preserve"> </w:t>
      </w:r>
      <w:r w:rsidR="00523E78">
        <w:rPr>
          <w:rFonts w:eastAsia="Calibri" w:cstheme="minorHAnsi"/>
          <w:b/>
          <w:bCs/>
          <w:sz w:val="24"/>
          <w:szCs w:val="24"/>
          <w:lang w:val="el-GR" w:bidi="he-IL"/>
        </w:rPr>
        <w:t>ενδιαφερομένων</w:t>
      </w:r>
      <w:r w:rsidR="00A5147D" w:rsidRPr="0088695A">
        <w:rPr>
          <w:rFonts w:eastAsia="Calibri" w:cstheme="minorHAnsi"/>
          <w:b/>
          <w:bCs/>
          <w:sz w:val="24"/>
          <w:szCs w:val="24"/>
          <w:lang w:val="el-GR" w:bidi="he-IL"/>
        </w:rPr>
        <w:t xml:space="preserve"> </w:t>
      </w:r>
      <w:r w:rsidR="00523E78">
        <w:rPr>
          <w:rFonts w:eastAsia="Calibri" w:cstheme="minorHAnsi"/>
          <w:b/>
          <w:bCs/>
          <w:sz w:val="24"/>
          <w:szCs w:val="24"/>
          <w:lang w:val="el-GR" w:bidi="he-IL"/>
        </w:rPr>
        <w:t>στην πολιτική/</w:t>
      </w:r>
      <w:r w:rsidR="001E3D78">
        <w:rPr>
          <w:rFonts w:eastAsia="Calibri" w:cstheme="minorHAnsi"/>
          <w:b/>
          <w:bCs/>
          <w:sz w:val="24"/>
          <w:szCs w:val="24"/>
          <w:lang w:val="el-GR" w:bidi="he-IL"/>
        </w:rPr>
        <w:t>ρυθμιστική</w:t>
      </w:r>
      <w:r w:rsidR="001E3D78" w:rsidRPr="001E3D78">
        <w:rPr>
          <w:rFonts w:eastAsia="Calibri" w:cstheme="minorHAnsi"/>
          <w:b/>
          <w:bCs/>
          <w:sz w:val="24"/>
          <w:szCs w:val="24"/>
          <w:lang w:val="el-GR" w:bidi="he-IL"/>
        </w:rPr>
        <w:t xml:space="preserve"> </w:t>
      </w:r>
      <w:r w:rsidR="001E3D78">
        <w:rPr>
          <w:rFonts w:eastAsia="Calibri" w:cstheme="minorHAnsi"/>
          <w:b/>
          <w:bCs/>
          <w:sz w:val="24"/>
          <w:szCs w:val="24"/>
          <w:lang w:val="el-GR" w:bidi="he-IL"/>
        </w:rPr>
        <w:t>ανάπτυξη</w:t>
      </w:r>
      <w:r w:rsidR="00A5147D" w:rsidRPr="0088695A">
        <w:rPr>
          <w:rFonts w:eastAsia="Calibri" w:cstheme="minorHAnsi"/>
          <w:b/>
          <w:bCs/>
          <w:sz w:val="24"/>
          <w:szCs w:val="24"/>
          <w:lang w:val="el-GR" w:bidi="he-IL"/>
        </w:rPr>
        <w:t xml:space="preserve">. </w:t>
      </w:r>
    </w:p>
    <w:p w14:paraId="377C0150" w14:textId="77777777" w:rsidR="00A5147D" w:rsidRPr="0088695A" w:rsidRDefault="00A5147D" w:rsidP="00A5147D">
      <w:pPr>
        <w:tabs>
          <w:tab w:val="left" w:pos="709"/>
        </w:tabs>
        <w:adjustRightInd w:val="0"/>
        <w:rPr>
          <w:rFonts w:cstheme="minorHAnsi"/>
          <w:sz w:val="24"/>
          <w:szCs w:val="24"/>
          <w:lang w:val="el-GR"/>
        </w:rPr>
      </w:pPr>
    </w:p>
    <w:p w14:paraId="2B4B1C43" w14:textId="7CB13216" w:rsidR="00A5147D" w:rsidRPr="004E251E" w:rsidRDefault="00523E78" w:rsidP="00A5147D">
      <w:pPr>
        <w:pStyle w:val="Heading3"/>
        <w:spacing w:before="0"/>
        <w:rPr>
          <w:rFonts w:asciiTheme="minorHAnsi" w:hAnsiTheme="minorHAnsi" w:cstheme="minorHAnsi"/>
          <w:b w:val="0"/>
          <w:bCs w:val="0"/>
          <w:i/>
          <w:iCs/>
          <w:color w:val="auto"/>
          <w:sz w:val="24"/>
          <w:szCs w:val="24"/>
        </w:rPr>
      </w:pPr>
      <w:bookmarkStart w:id="81" w:name="_Toc479580432"/>
      <w:bookmarkStart w:id="82" w:name="_Toc117264351"/>
      <w:bookmarkStart w:id="83" w:name="_Toc136879349"/>
      <w:r>
        <w:rPr>
          <w:rFonts w:asciiTheme="minorHAnsi" w:hAnsiTheme="minorHAnsi" w:cstheme="minorHAnsi"/>
          <w:b w:val="0"/>
          <w:bCs w:val="0"/>
          <w:i/>
          <w:iCs/>
          <w:color w:val="auto"/>
          <w:sz w:val="24"/>
          <w:szCs w:val="24"/>
          <w:lang w:val="el-GR"/>
        </w:rPr>
        <w:t xml:space="preserve">Τρίτα μέρη και </w:t>
      </w:r>
      <w:bookmarkEnd w:id="81"/>
      <w:bookmarkEnd w:id="82"/>
      <w:bookmarkEnd w:id="83"/>
      <w:proofErr w:type="spellStart"/>
      <w:r w:rsidR="0077336D">
        <w:rPr>
          <w:rFonts w:asciiTheme="minorHAnsi" w:hAnsiTheme="minorHAnsi" w:cstheme="minorHAnsi"/>
          <w:b w:val="0"/>
          <w:bCs w:val="0"/>
          <w:i/>
          <w:iCs/>
          <w:color w:val="auto"/>
          <w:sz w:val="24"/>
          <w:szCs w:val="24"/>
          <w:lang w:val="el-GR"/>
        </w:rPr>
        <w:t>λομπίστες</w:t>
      </w:r>
      <w:proofErr w:type="spellEnd"/>
    </w:p>
    <w:p w14:paraId="7B880F5A" w14:textId="77777777" w:rsidR="00A5147D" w:rsidRPr="004E251E" w:rsidRDefault="00A5147D" w:rsidP="00A5147D">
      <w:pPr>
        <w:keepNext/>
        <w:rPr>
          <w:rFonts w:cstheme="minorHAnsi"/>
          <w:sz w:val="24"/>
          <w:szCs w:val="24"/>
        </w:rPr>
      </w:pPr>
    </w:p>
    <w:p w14:paraId="2DC1E7CF" w14:textId="539FE0C4" w:rsidR="00A5147D" w:rsidRPr="00523E78" w:rsidRDefault="00523E78" w:rsidP="00A5147D">
      <w:pPr>
        <w:keepNext/>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Επαφές</w:t>
      </w:r>
      <w:r w:rsidRPr="00523E78">
        <w:rPr>
          <w:rFonts w:cstheme="minorHAnsi"/>
          <w:sz w:val="24"/>
          <w:szCs w:val="24"/>
          <w:lang w:val="el-GR"/>
        </w:rPr>
        <w:t xml:space="preserve"> </w:t>
      </w:r>
      <w:r>
        <w:rPr>
          <w:rFonts w:cstheme="minorHAnsi"/>
          <w:sz w:val="24"/>
          <w:szCs w:val="24"/>
          <w:lang w:val="el-GR"/>
        </w:rPr>
        <w:t>μεταξύ</w:t>
      </w:r>
      <w:r w:rsidRPr="00523E78">
        <w:rPr>
          <w:rFonts w:cstheme="minorHAnsi"/>
          <w:sz w:val="24"/>
          <w:szCs w:val="24"/>
          <w:lang w:val="el-GR"/>
        </w:rPr>
        <w:t xml:space="preserve"> </w:t>
      </w:r>
      <w:r w:rsidR="00A950EC">
        <w:rPr>
          <w:rFonts w:cstheme="minorHAnsi"/>
          <w:sz w:val="24"/>
          <w:szCs w:val="24"/>
          <w:lang w:val="el-GR"/>
        </w:rPr>
        <w:t xml:space="preserve">των </w:t>
      </w:r>
      <w:r w:rsidR="00A950EC">
        <w:rPr>
          <w:rFonts w:cstheme="minorHAnsi"/>
          <w:sz w:val="24"/>
          <w:szCs w:val="24"/>
          <w:lang w:val="en-US"/>
        </w:rPr>
        <w:t>PTEFs</w:t>
      </w:r>
      <w:r w:rsidR="00A950EC" w:rsidRPr="002B7C4B">
        <w:rPr>
          <w:rFonts w:cstheme="minorHAnsi"/>
          <w:sz w:val="24"/>
          <w:szCs w:val="24"/>
          <w:lang w:val="el-GR"/>
        </w:rPr>
        <w:t xml:space="preserve"> </w:t>
      </w:r>
      <w:r>
        <w:rPr>
          <w:rFonts w:cstheme="minorHAnsi"/>
          <w:sz w:val="24"/>
          <w:szCs w:val="24"/>
          <w:lang w:val="el-GR"/>
        </w:rPr>
        <w:t>και</w:t>
      </w:r>
      <w:r w:rsidRPr="00523E78">
        <w:rPr>
          <w:rFonts w:cstheme="minorHAnsi"/>
          <w:sz w:val="24"/>
          <w:szCs w:val="24"/>
          <w:lang w:val="el-GR"/>
        </w:rPr>
        <w:t xml:space="preserve"> </w:t>
      </w:r>
      <w:r w:rsidR="00A950EC">
        <w:rPr>
          <w:rFonts w:cstheme="minorHAnsi"/>
          <w:sz w:val="24"/>
          <w:szCs w:val="24"/>
          <w:lang w:val="el-GR"/>
        </w:rPr>
        <w:t xml:space="preserve">τρίτων </w:t>
      </w:r>
      <w:r>
        <w:rPr>
          <w:rFonts w:cstheme="minorHAnsi"/>
          <w:sz w:val="24"/>
          <w:szCs w:val="24"/>
          <w:lang w:val="el-GR"/>
        </w:rPr>
        <w:t>μ</w:t>
      </w:r>
      <w:r w:rsidR="00A950EC">
        <w:rPr>
          <w:rFonts w:cstheme="minorHAnsi"/>
          <w:sz w:val="24"/>
          <w:szCs w:val="24"/>
          <w:lang w:val="el-GR"/>
        </w:rPr>
        <w:t>ερών</w:t>
      </w:r>
      <w:r w:rsidRPr="00523E78">
        <w:rPr>
          <w:rFonts w:cstheme="minorHAnsi"/>
          <w:sz w:val="24"/>
          <w:szCs w:val="24"/>
          <w:lang w:val="el-GR"/>
        </w:rPr>
        <w:t xml:space="preserve"> </w:t>
      </w:r>
      <w:r>
        <w:rPr>
          <w:rFonts w:cstheme="minorHAnsi"/>
          <w:sz w:val="24"/>
          <w:szCs w:val="24"/>
          <w:lang w:val="el-GR"/>
        </w:rPr>
        <w:t>ρυθμίζονται</w:t>
      </w:r>
      <w:r w:rsidR="00A5147D" w:rsidRPr="00523E78">
        <w:rPr>
          <w:rFonts w:cstheme="minorHAnsi"/>
          <w:sz w:val="24"/>
          <w:szCs w:val="24"/>
          <w:lang w:val="el-GR"/>
        </w:rPr>
        <w:t xml:space="preserve"> </w:t>
      </w:r>
      <w:r>
        <w:rPr>
          <w:rFonts w:cstheme="minorHAnsi"/>
          <w:sz w:val="24"/>
          <w:szCs w:val="24"/>
          <w:lang w:val="el-GR"/>
        </w:rPr>
        <w:t>από</w:t>
      </w:r>
      <w:r w:rsidRPr="00523E78">
        <w:rPr>
          <w:rFonts w:cstheme="minorHAnsi"/>
          <w:sz w:val="24"/>
          <w:szCs w:val="24"/>
          <w:lang w:val="el-GR"/>
        </w:rPr>
        <w:t xml:space="preserve"> </w:t>
      </w:r>
      <w:r>
        <w:rPr>
          <w:rFonts w:cstheme="minorHAnsi"/>
          <w:sz w:val="24"/>
          <w:szCs w:val="24"/>
          <w:lang w:val="el-GR"/>
        </w:rPr>
        <w:t>τον</w:t>
      </w:r>
      <w:r w:rsidRPr="00523E78">
        <w:rPr>
          <w:rFonts w:cstheme="minorHAnsi"/>
          <w:sz w:val="24"/>
          <w:szCs w:val="24"/>
          <w:lang w:val="el-GR"/>
        </w:rPr>
        <w:t xml:space="preserve"> </w:t>
      </w:r>
      <w:r>
        <w:rPr>
          <w:rFonts w:cstheme="minorHAnsi"/>
          <w:sz w:val="24"/>
          <w:szCs w:val="24"/>
          <w:lang w:val="el-GR"/>
        </w:rPr>
        <w:t>Νόμο</w:t>
      </w:r>
      <w:r w:rsidR="00A5147D" w:rsidRPr="00523E78">
        <w:rPr>
          <w:rFonts w:cstheme="minorHAnsi"/>
          <w:sz w:val="24"/>
          <w:szCs w:val="24"/>
          <w:lang w:val="el-GR"/>
        </w:rPr>
        <w:t xml:space="preserve"> </w:t>
      </w:r>
      <w:r>
        <w:rPr>
          <w:rFonts w:cstheme="minorHAnsi"/>
          <w:sz w:val="24"/>
          <w:szCs w:val="24"/>
          <w:lang w:val="el-GR"/>
        </w:rPr>
        <w:t>περί</w:t>
      </w:r>
      <w:r w:rsidRPr="00523E78">
        <w:rPr>
          <w:rFonts w:cstheme="minorHAnsi"/>
          <w:sz w:val="24"/>
          <w:szCs w:val="24"/>
          <w:lang w:val="el-GR"/>
        </w:rPr>
        <w:t xml:space="preserve"> </w:t>
      </w:r>
      <w:r>
        <w:rPr>
          <w:rFonts w:cstheme="minorHAnsi"/>
          <w:sz w:val="24"/>
          <w:szCs w:val="24"/>
          <w:lang w:val="el-GR"/>
        </w:rPr>
        <w:t>Διαφάνειας</w:t>
      </w:r>
      <w:r w:rsidRPr="00523E78">
        <w:rPr>
          <w:rFonts w:cstheme="minorHAnsi"/>
          <w:sz w:val="24"/>
          <w:szCs w:val="24"/>
          <w:lang w:val="el-GR"/>
        </w:rPr>
        <w:t xml:space="preserve"> </w:t>
      </w:r>
      <w:r>
        <w:rPr>
          <w:rFonts w:cstheme="minorHAnsi"/>
          <w:sz w:val="24"/>
          <w:szCs w:val="24"/>
          <w:lang w:val="el-GR"/>
        </w:rPr>
        <w:t>στην</w:t>
      </w:r>
      <w:r w:rsidRPr="00523E78">
        <w:rPr>
          <w:rFonts w:cstheme="minorHAnsi"/>
          <w:sz w:val="24"/>
          <w:szCs w:val="24"/>
          <w:lang w:val="el-GR"/>
        </w:rPr>
        <w:t xml:space="preserve"> </w:t>
      </w:r>
      <w:r>
        <w:rPr>
          <w:rFonts w:cstheme="minorHAnsi"/>
          <w:sz w:val="24"/>
          <w:szCs w:val="24"/>
          <w:lang w:val="el-GR"/>
        </w:rPr>
        <w:t>Λήψη</w:t>
      </w:r>
      <w:r w:rsidRPr="00523E78">
        <w:rPr>
          <w:rFonts w:cstheme="minorHAnsi"/>
          <w:sz w:val="24"/>
          <w:szCs w:val="24"/>
          <w:lang w:val="el-GR"/>
        </w:rPr>
        <w:t xml:space="preserve"> </w:t>
      </w:r>
      <w:r>
        <w:rPr>
          <w:rFonts w:cstheme="minorHAnsi"/>
          <w:sz w:val="24"/>
          <w:szCs w:val="24"/>
          <w:lang w:val="el-GR"/>
        </w:rPr>
        <w:t>Δημοσίων</w:t>
      </w:r>
      <w:r w:rsidRPr="00523E78">
        <w:rPr>
          <w:rFonts w:cstheme="minorHAnsi"/>
          <w:sz w:val="24"/>
          <w:szCs w:val="24"/>
          <w:lang w:val="el-GR"/>
        </w:rPr>
        <w:t xml:space="preserve"> </w:t>
      </w:r>
      <w:r>
        <w:rPr>
          <w:rFonts w:cstheme="minorHAnsi"/>
          <w:sz w:val="24"/>
          <w:szCs w:val="24"/>
          <w:lang w:val="el-GR"/>
        </w:rPr>
        <w:t>Αποφάσεων</w:t>
      </w:r>
      <w:r w:rsidRPr="00523E78">
        <w:rPr>
          <w:rFonts w:cstheme="minorHAnsi"/>
          <w:sz w:val="24"/>
          <w:szCs w:val="24"/>
          <w:lang w:val="el-GR"/>
        </w:rPr>
        <w:t xml:space="preserve"> </w:t>
      </w:r>
      <w:r>
        <w:rPr>
          <w:rFonts w:cstheme="minorHAnsi"/>
          <w:sz w:val="24"/>
          <w:szCs w:val="24"/>
          <w:lang w:val="el-GR"/>
        </w:rPr>
        <w:t>και</w:t>
      </w:r>
      <w:r w:rsidRPr="00523E78">
        <w:rPr>
          <w:rFonts w:cstheme="minorHAnsi"/>
          <w:sz w:val="24"/>
          <w:szCs w:val="24"/>
          <w:lang w:val="el-GR"/>
        </w:rPr>
        <w:t xml:space="preserve"> </w:t>
      </w:r>
      <w:r>
        <w:rPr>
          <w:rFonts w:cstheme="minorHAnsi"/>
          <w:sz w:val="24"/>
          <w:szCs w:val="24"/>
          <w:lang w:val="el-GR"/>
        </w:rPr>
        <w:t>Συναφών</w:t>
      </w:r>
      <w:r w:rsidRPr="00523E78">
        <w:rPr>
          <w:rFonts w:cstheme="minorHAnsi"/>
          <w:sz w:val="24"/>
          <w:szCs w:val="24"/>
          <w:lang w:val="el-GR"/>
        </w:rPr>
        <w:t xml:space="preserve"> </w:t>
      </w:r>
      <w:r>
        <w:rPr>
          <w:rFonts w:cstheme="minorHAnsi"/>
          <w:sz w:val="24"/>
          <w:szCs w:val="24"/>
          <w:lang w:val="el-GR"/>
        </w:rPr>
        <w:t>Θεμάτων</w:t>
      </w:r>
      <w:r w:rsidR="00A5147D" w:rsidRPr="00523E78">
        <w:rPr>
          <w:rFonts w:cstheme="minorHAnsi"/>
          <w:sz w:val="24"/>
          <w:szCs w:val="24"/>
          <w:lang w:val="el-GR"/>
        </w:rPr>
        <w:t xml:space="preserve"> (</w:t>
      </w:r>
      <w:r>
        <w:rPr>
          <w:rFonts w:cstheme="minorHAnsi"/>
          <w:sz w:val="24"/>
          <w:szCs w:val="24"/>
          <w:lang w:val="el-GR"/>
        </w:rPr>
        <w:t>Νόμος</w:t>
      </w:r>
      <w:r w:rsidR="00A5147D" w:rsidRPr="00523E78">
        <w:rPr>
          <w:rFonts w:cstheme="minorHAnsi"/>
          <w:sz w:val="24"/>
          <w:szCs w:val="24"/>
          <w:lang w:val="el-GR"/>
        </w:rPr>
        <w:t xml:space="preserve"> 20(</w:t>
      </w:r>
      <w:r w:rsidR="00A5147D" w:rsidRPr="00B95983">
        <w:rPr>
          <w:rFonts w:cstheme="minorHAnsi"/>
          <w:sz w:val="24"/>
          <w:szCs w:val="24"/>
        </w:rPr>
        <w:t>I</w:t>
      </w:r>
      <w:r w:rsidR="00A5147D" w:rsidRPr="00523E78">
        <w:rPr>
          <w:rFonts w:cstheme="minorHAnsi"/>
          <w:sz w:val="24"/>
          <w:szCs w:val="24"/>
          <w:lang w:val="el-GR"/>
        </w:rPr>
        <w:t>)/2022)</w:t>
      </w:r>
      <w:r w:rsidR="000E16E3" w:rsidRPr="00523E78">
        <w:rPr>
          <w:rFonts w:cstheme="minorHAnsi"/>
          <w:sz w:val="24"/>
          <w:szCs w:val="24"/>
          <w:lang w:val="el-GR"/>
        </w:rPr>
        <w:t xml:space="preserve">, </w:t>
      </w:r>
      <w:bookmarkStart w:id="84" w:name="_Hlk132888584"/>
      <w:r>
        <w:rPr>
          <w:rFonts w:cstheme="minorHAnsi"/>
          <w:sz w:val="24"/>
          <w:szCs w:val="24"/>
          <w:lang w:val="el-GR"/>
        </w:rPr>
        <w:t>όπως</w:t>
      </w:r>
      <w:r w:rsidRPr="00523E78">
        <w:rPr>
          <w:rFonts w:cstheme="minorHAnsi"/>
          <w:sz w:val="24"/>
          <w:szCs w:val="24"/>
          <w:lang w:val="el-GR"/>
        </w:rPr>
        <w:t xml:space="preserve"> </w:t>
      </w:r>
      <w:r>
        <w:rPr>
          <w:rFonts w:cstheme="minorHAnsi"/>
          <w:sz w:val="24"/>
          <w:szCs w:val="24"/>
          <w:lang w:val="el-GR"/>
        </w:rPr>
        <w:t>συμπληρώνονται</w:t>
      </w:r>
      <w:r w:rsidRPr="00523E78">
        <w:rPr>
          <w:rFonts w:cstheme="minorHAnsi"/>
          <w:sz w:val="24"/>
          <w:szCs w:val="24"/>
          <w:lang w:val="el-GR"/>
        </w:rPr>
        <w:t xml:space="preserve"> </w:t>
      </w:r>
      <w:r>
        <w:rPr>
          <w:rFonts w:cstheme="minorHAnsi"/>
          <w:sz w:val="24"/>
          <w:szCs w:val="24"/>
          <w:lang w:val="el-GR"/>
        </w:rPr>
        <w:t>από τους κανονισμούς υλοποίησης του</w:t>
      </w:r>
      <w:r w:rsidR="000E16E3" w:rsidRPr="00523E78">
        <w:rPr>
          <w:rFonts w:cstheme="minorHAnsi"/>
          <w:sz w:val="24"/>
          <w:szCs w:val="24"/>
          <w:lang w:val="el-GR"/>
        </w:rPr>
        <w:t xml:space="preserve"> </w:t>
      </w:r>
      <w:r>
        <w:rPr>
          <w:rFonts w:cstheme="minorHAnsi"/>
          <w:sz w:val="24"/>
          <w:szCs w:val="24"/>
          <w:lang w:val="el-GR"/>
        </w:rPr>
        <w:t>που υιοθετήθηκαν τον Απρίλιο του</w:t>
      </w:r>
      <w:r w:rsidR="000E16E3" w:rsidRPr="00523E78">
        <w:rPr>
          <w:rFonts w:cstheme="minorHAnsi"/>
          <w:sz w:val="24"/>
          <w:szCs w:val="24"/>
          <w:lang w:val="el-GR"/>
        </w:rPr>
        <w:t xml:space="preserve"> 2023</w:t>
      </w:r>
      <w:bookmarkEnd w:id="84"/>
      <w:r w:rsidR="00E42F2E" w:rsidRPr="00523E78">
        <w:rPr>
          <w:rFonts w:cstheme="minorHAnsi"/>
          <w:sz w:val="24"/>
          <w:szCs w:val="24"/>
          <w:lang w:val="el-GR"/>
        </w:rPr>
        <w:t>.</w:t>
      </w:r>
      <w:r w:rsidR="00A5147D" w:rsidRPr="00523E78">
        <w:rPr>
          <w:rFonts w:cstheme="minorHAnsi"/>
          <w:sz w:val="24"/>
          <w:szCs w:val="24"/>
          <w:lang w:val="el-GR"/>
        </w:rPr>
        <w:t xml:space="preserve"> </w:t>
      </w:r>
      <w:r>
        <w:rPr>
          <w:rFonts w:cstheme="minorHAnsi"/>
          <w:sz w:val="24"/>
          <w:szCs w:val="24"/>
          <w:lang w:val="el-GR"/>
        </w:rPr>
        <w:t>Η</w:t>
      </w:r>
      <w:r w:rsidRPr="00523E78">
        <w:rPr>
          <w:rFonts w:cstheme="minorHAnsi"/>
          <w:sz w:val="24"/>
          <w:szCs w:val="24"/>
          <w:lang w:val="el-GR"/>
        </w:rPr>
        <w:t xml:space="preserve"> </w:t>
      </w:r>
      <w:r>
        <w:rPr>
          <w:rFonts w:cstheme="minorHAnsi"/>
          <w:sz w:val="24"/>
          <w:szCs w:val="24"/>
          <w:lang w:val="el-GR"/>
        </w:rPr>
        <w:t>Αρχή</w:t>
      </w:r>
      <w:r w:rsidRPr="00523E78">
        <w:rPr>
          <w:rFonts w:cstheme="minorHAnsi"/>
          <w:sz w:val="24"/>
          <w:szCs w:val="24"/>
          <w:lang w:val="el-GR"/>
        </w:rPr>
        <w:t xml:space="preserve"> </w:t>
      </w:r>
      <w:r w:rsidR="006910E5">
        <w:rPr>
          <w:rFonts w:cstheme="minorHAnsi"/>
          <w:sz w:val="24"/>
          <w:szCs w:val="24"/>
          <w:lang w:val="el-GR"/>
        </w:rPr>
        <w:t>κατά</w:t>
      </w:r>
      <w:r w:rsidRPr="00523E78">
        <w:rPr>
          <w:rFonts w:cstheme="minorHAnsi"/>
          <w:sz w:val="24"/>
          <w:szCs w:val="24"/>
          <w:lang w:val="el-GR"/>
        </w:rPr>
        <w:t xml:space="preserve"> </w:t>
      </w:r>
      <w:r>
        <w:rPr>
          <w:rFonts w:cstheme="minorHAnsi"/>
          <w:sz w:val="24"/>
          <w:szCs w:val="24"/>
          <w:lang w:val="el-GR"/>
        </w:rPr>
        <w:t>της</w:t>
      </w:r>
      <w:r w:rsidRPr="00523E78">
        <w:rPr>
          <w:rFonts w:cstheme="minorHAnsi"/>
          <w:sz w:val="24"/>
          <w:szCs w:val="24"/>
          <w:lang w:val="el-GR"/>
        </w:rPr>
        <w:t xml:space="preserve"> </w:t>
      </w:r>
      <w:r>
        <w:rPr>
          <w:rFonts w:cstheme="minorHAnsi"/>
          <w:sz w:val="24"/>
          <w:szCs w:val="24"/>
          <w:lang w:val="el-GR"/>
        </w:rPr>
        <w:t>Διαφθοράς</w:t>
      </w:r>
      <w:r w:rsidRPr="00523E78">
        <w:rPr>
          <w:rFonts w:cstheme="minorHAnsi"/>
          <w:sz w:val="24"/>
          <w:szCs w:val="24"/>
          <w:lang w:val="el-GR"/>
        </w:rPr>
        <w:t xml:space="preserve"> </w:t>
      </w:r>
      <w:r>
        <w:rPr>
          <w:rFonts w:cstheme="minorHAnsi"/>
          <w:sz w:val="24"/>
          <w:szCs w:val="24"/>
          <w:lang w:val="el-GR"/>
        </w:rPr>
        <w:t>είναι</w:t>
      </w:r>
      <w:r w:rsidRPr="00523E78">
        <w:rPr>
          <w:rFonts w:cstheme="minorHAnsi"/>
          <w:sz w:val="24"/>
          <w:szCs w:val="24"/>
          <w:lang w:val="el-GR"/>
        </w:rPr>
        <w:t xml:space="preserve"> </w:t>
      </w:r>
      <w:r>
        <w:rPr>
          <w:rFonts w:cstheme="minorHAnsi"/>
          <w:sz w:val="24"/>
          <w:szCs w:val="24"/>
          <w:lang w:val="el-GR"/>
        </w:rPr>
        <w:t>το</w:t>
      </w:r>
      <w:r w:rsidRPr="00523E78">
        <w:rPr>
          <w:rFonts w:cstheme="minorHAnsi"/>
          <w:sz w:val="24"/>
          <w:szCs w:val="24"/>
          <w:lang w:val="el-GR"/>
        </w:rPr>
        <w:t xml:space="preserve"> </w:t>
      </w:r>
      <w:r>
        <w:rPr>
          <w:rFonts w:cstheme="minorHAnsi"/>
          <w:sz w:val="24"/>
          <w:szCs w:val="24"/>
          <w:lang w:val="el-GR"/>
        </w:rPr>
        <w:t>α</w:t>
      </w:r>
      <w:r w:rsidR="006910E5">
        <w:rPr>
          <w:rFonts w:cstheme="minorHAnsi"/>
          <w:sz w:val="24"/>
          <w:szCs w:val="24"/>
          <w:lang w:val="el-GR"/>
        </w:rPr>
        <w:t>ρ</w:t>
      </w:r>
      <w:r>
        <w:rPr>
          <w:rFonts w:cstheme="minorHAnsi"/>
          <w:sz w:val="24"/>
          <w:szCs w:val="24"/>
          <w:lang w:val="el-GR"/>
        </w:rPr>
        <w:t>μόδιο</w:t>
      </w:r>
      <w:r w:rsidRPr="00523E78">
        <w:rPr>
          <w:rFonts w:cstheme="minorHAnsi"/>
          <w:sz w:val="24"/>
          <w:szCs w:val="24"/>
          <w:lang w:val="el-GR"/>
        </w:rPr>
        <w:t xml:space="preserve"> </w:t>
      </w:r>
      <w:r>
        <w:rPr>
          <w:rFonts w:cstheme="minorHAnsi"/>
          <w:sz w:val="24"/>
          <w:szCs w:val="24"/>
          <w:lang w:val="el-GR"/>
        </w:rPr>
        <w:t>όργανο</w:t>
      </w:r>
      <w:r w:rsidRPr="00523E78">
        <w:rPr>
          <w:rFonts w:cstheme="minorHAnsi"/>
          <w:sz w:val="24"/>
          <w:szCs w:val="24"/>
          <w:lang w:val="el-GR"/>
        </w:rPr>
        <w:t xml:space="preserve"> </w:t>
      </w:r>
      <w:r>
        <w:rPr>
          <w:rFonts w:cstheme="minorHAnsi"/>
          <w:sz w:val="24"/>
          <w:szCs w:val="24"/>
          <w:lang w:val="el-GR"/>
        </w:rPr>
        <w:t>για</w:t>
      </w:r>
      <w:r w:rsidRPr="00523E78">
        <w:rPr>
          <w:rFonts w:cstheme="minorHAnsi"/>
          <w:sz w:val="24"/>
          <w:szCs w:val="24"/>
          <w:lang w:val="el-GR"/>
        </w:rPr>
        <w:t xml:space="preserve"> </w:t>
      </w:r>
      <w:r>
        <w:rPr>
          <w:rFonts w:cstheme="minorHAnsi"/>
          <w:sz w:val="24"/>
          <w:szCs w:val="24"/>
          <w:lang w:val="el-GR"/>
        </w:rPr>
        <w:t>την</w:t>
      </w:r>
      <w:r w:rsidRPr="00523E78">
        <w:rPr>
          <w:rFonts w:cstheme="minorHAnsi"/>
          <w:sz w:val="24"/>
          <w:szCs w:val="24"/>
          <w:lang w:val="el-GR"/>
        </w:rPr>
        <w:t xml:space="preserve"> </w:t>
      </w:r>
      <w:r>
        <w:rPr>
          <w:rFonts w:cstheme="minorHAnsi"/>
          <w:sz w:val="24"/>
          <w:szCs w:val="24"/>
          <w:lang w:val="el-GR"/>
        </w:rPr>
        <w:t>παρακολούθηση της υλοποίησης του Νόμου</w:t>
      </w:r>
      <w:r w:rsidR="00702DE3" w:rsidRPr="00523E78">
        <w:rPr>
          <w:rFonts w:cstheme="minorHAnsi"/>
          <w:sz w:val="24"/>
          <w:szCs w:val="24"/>
          <w:lang w:val="el-GR"/>
        </w:rPr>
        <w:t xml:space="preserve">. </w:t>
      </w:r>
      <w:r>
        <w:rPr>
          <w:rFonts w:cstheme="minorHAnsi"/>
          <w:sz w:val="24"/>
          <w:szCs w:val="24"/>
          <w:lang w:val="el-GR"/>
        </w:rPr>
        <w:t>Οποιοσδήποτε</w:t>
      </w:r>
      <w:r w:rsidRPr="00523E78">
        <w:rPr>
          <w:rFonts w:cstheme="minorHAnsi"/>
          <w:sz w:val="24"/>
          <w:szCs w:val="24"/>
          <w:lang w:val="el-GR"/>
        </w:rPr>
        <w:t xml:space="preserve"> </w:t>
      </w:r>
      <w:r>
        <w:rPr>
          <w:rFonts w:cstheme="minorHAnsi"/>
          <w:sz w:val="24"/>
          <w:szCs w:val="24"/>
          <w:lang w:val="el-GR"/>
        </w:rPr>
        <w:t>αντιπρόσωπος</w:t>
      </w:r>
      <w:r w:rsidRPr="00523E78">
        <w:rPr>
          <w:rFonts w:cstheme="minorHAnsi"/>
          <w:sz w:val="24"/>
          <w:szCs w:val="24"/>
          <w:lang w:val="el-GR"/>
        </w:rPr>
        <w:t xml:space="preserve"> </w:t>
      </w:r>
      <w:r>
        <w:rPr>
          <w:rFonts w:cstheme="minorHAnsi"/>
          <w:sz w:val="24"/>
          <w:szCs w:val="24"/>
          <w:lang w:val="el-GR"/>
        </w:rPr>
        <w:t>μια</w:t>
      </w:r>
      <w:r w:rsidRPr="00523E78">
        <w:rPr>
          <w:rFonts w:cstheme="minorHAnsi"/>
          <w:sz w:val="24"/>
          <w:szCs w:val="24"/>
          <w:lang w:val="el-GR"/>
        </w:rPr>
        <w:t xml:space="preserve"> </w:t>
      </w:r>
      <w:r>
        <w:rPr>
          <w:rFonts w:cstheme="minorHAnsi"/>
          <w:sz w:val="24"/>
          <w:szCs w:val="24"/>
          <w:lang w:val="el-GR"/>
        </w:rPr>
        <w:t>ειδικής</w:t>
      </w:r>
      <w:r w:rsidRPr="00523E78">
        <w:rPr>
          <w:rFonts w:cstheme="minorHAnsi"/>
          <w:sz w:val="24"/>
          <w:szCs w:val="24"/>
          <w:lang w:val="el-GR"/>
        </w:rPr>
        <w:t xml:space="preserve"> </w:t>
      </w:r>
      <w:r>
        <w:rPr>
          <w:rFonts w:cstheme="minorHAnsi"/>
          <w:sz w:val="24"/>
          <w:szCs w:val="24"/>
          <w:lang w:val="el-GR"/>
        </w:rPr>
        <w:t>ομάδας</w:t>
      </w:r>
      <w:r w:rsidRPr="00523E78">
        <w:rPr>
          <w:rFonts w:cstheme="minorHAnsi"/>
          <w:sz w:val="24"/>
          <w:szCs w:val="24"/>
          <w:lang w:val="el-GR"/>
        </w:rPr>
        <w:t xml:space="preserve"> </w:t>
      </w:r>
      <w:r>
        <w:rPr>
          <w:rFonts w:cstheme="minorHAnsi"/>
          <w:sz w:val="24"/>
          <w:szCs w:val="24"/>
          <w:lang w:val="el-GR"/>
        </w:rPr>
        <w:t>συμφερόντων</w:t>
      </w:r>
      <w:r w:rsidR="00A5147D" w:rsidRPr="00523E78">
        <w:rPr>
          <w:rFonts w:ascii="Calibri" w:hAnsi="Calibri" w:cs="Calibri"/>
          <w:sz w:val="24"/>
          <w:szCs w:val="24"/>
          <w:lang w:val="el-GR"/>
        </w:rPr>
        <w:t xml:space="preserve">, </w:t>
      </w:r>
      <w:r>
        <w:rPr>
          <w:rFonts w:ascii="Calibri" w:hAnsi="Calibri" w:cs="Calibri"/>
          <w:sz w:val="24"/>
          <w:szCs w:val="24"/>
          <w:lang w:val="el-GR"/>
        </w:rPr>
        <w:t>που</w:t>
      </w:r>
      <w:r w:rsidRPr="00523E78">
        <w:rPr>
          <w:rFonts w:ascii="Calibri" w:hAnsi="Calibri" w:cs="Calibri"/>
          <w:sz w:val="24"/>
          <w:szCs w:val="24"/>
          <w:lang w:val="el-GR"/>
        </w:rPr>
        <w:t xml:space="preserve"> </w:t>
      </w:r>
      <w:r>
        <w:rPr>
          <w:rFonts w:ascii="Calibri" w:hAnsi="Calibri" w:cs="Calibri"/>
          <w:sz w:val="24"/>
          <w:szCs w:val="24"/>
          <w:lang w:val="el-GR"/>
        </w:rPr>
        <w:t>σκοπεύει</w:t>
      </w:r>
      <w:r w:rsidRPr="00523E78">
        <w:rPr>
          <w:rFonts w:ascii="Calibri" w:hAnsi="Calibri" w:cs="Calibri"/>
          <w:sz w:val="24"/>
          <w:szCs w:val="24"/>
          <w:lang w:val="el-GR"/>
        </w:rPr>
        <w:t xml:space="preserve"> </w:t>
      </w:r>
      <w:r>
        <w:rPr>
          <w:rFonts w:ascii="Calibri" w:hAnsi="Calibri" w:cs="Calibri"/>
          <w:sz w:val="24"/>
          <w:szCs w:val="24"/>
          <w:lang w:val="el-GR"/>
        </w:rPr>
        <w:t>να</w:t>
      </w:r>
      <w:r w:rsidRPr="00523E78">
        <w:rPr>
          <w:rFonts w:ascii="Calibri" w:hAnsi="Calibri" w:cs="Calibri"/>
          <w:sz w:val="24"/>
          <w:szCs w:val="24"/>
          <w:lang w:val="el-GR"/>
        </w:rPr>
        <w:t xml:space="preserve"> </w:t>
      </w:r>
      <w:r>
        <w:rPr>
          <w:rFonts w:ascii="Calibri" w:hAnsi="Calibri" w:cs="Calibri"/>
          <w:sz w:val="24"/>
          <w:szCs w:val="24"/>
          <w:lang w:val="el-GR"/>
        </w:rPr>
        <w:t>εμπλακεί</w:t>
      </w:r>
      <w:r w:rsidRPr="00523E78">
        <w:rPr>
          <w:rFonts w:ascii="Calibri" w:hAnsi="Calibri" w:cs="Calibri"/>
          <w:sz w:val="24"/>
          <w:szCs w:val="24"/>
          <w:lang w:val="el-GR"/>
        </w:rPr>
        <w:t xml:space="preserve"> </w:t>
      </w:r>
      <w:r>
        <w:rPr>
          <w:rFonts w:ascii="Calibri" w:hAnsi="Calibri" w:cs="Calibri"/>
          <w:sz w:val="24"/>
          <w:szCs w:val="24"/>
          <w:lang w:val="el-GR"/>
        </w:rPr>
        <w:t>στη</w:t>
      </w:r>
      <w:r w:rsidRPr="00523E78">
        <w:rPr>
          <w:rFonts w:ascii="Calibri" w:hAnsi="Calibri" w:cs="Calibri"/>
          <w:sz w:val="24"/>
          <w:szCs w:val="24"/>
          <w:lang w:val="el-GR"/>
        </w:rPr>
        <w:t xml:space="preserve"> </w:t>
      </w:r>
      <w:r>
        <w:rPr>
          <w:rFonts w:ascii="Calibri" w:hAnsi="Calibri" w:cs="Calibri"/>
          <w:sz w:val="24"/>
          <w:szCs w:val="24"/>
          <w:lang w:val="el-GR"/>
        </w:rPr>
        <w:t>διαδικασία</w:t>
      </w:r>
      <w:r w:rsidRPr="00523E78">
        <w:rPr>
          <w:rFonts w:ascii="Calibri" w:hAnsi="Calibri" w:cs="Calibri"/>
          <w:sz w:val="24"/>
          <w:szCs w:val="24"/>
          <w:lang w:val="el-GR"/>
        </w:rPr>
        <w:t xml:space="preserve"> </w:t>
      </w:r>
      <w:r>
        <w:rPr>
          <w:rFonts w:ascii="Calibri" w:hAnsi="Calibri" w:cs="Calibri"/>
          <w:sz w:val="24"/>
          <w:szCs w:val="24"/>
          <w:lang w:val="el-GR"/>
        </w:rPr>
        <w:t>λήψης</w:t>
      </w:r>
      <w:r w:rsidRPr="00523E78">
        <w:rPr>
          <w:rFonts w:ascii="Calibri" w:hAnsi="Calibri" w:cs="Calibri"/>
          <w:sz w:val="24"/>
          <w:szCs w:val="24"/>
          <w:lang w:val="el-GR"/>
        </w:rPr>
        <w:t xml:space="preserve"> </w:t>
      </w:r>
      <w:r>
        <w:rPr>
          <w:rFonts w:ascii="Calibri" w:hAnsi="Calibri" w:cs="Calibri"/>
          <w:sz w:val="24"/>
          <w:szCs w:val="24"/>
          <w:lang w:val="el-GR"/>
        </w:rPr>
        <w:t>δημοσίων</w:t>
      </w:r>
      <w:r w:rsidRPr="00523E78">
        <w:rPr>
          <w:rFonts w:ascii="Calibri" w:hAnsi="Calibri" w:cs="Calibri"/>
          <w:sz w:val="24"/>
          <w:szCs w:val="24"/>
          <w:lang w:val="el-GR"/>
        </w:rPr>
        <w:t xml:space="preserve"> </w:t>
      </w:r>
      <w:r>
        <w:rPr>
          <w:rFonts w:ascii="Calibri" w:hAnsi="Calibri" w:cs="Calibri"/>
          <w:sz w:val="24"/>
          <w:szCs w:val="24"/>
          <w:lang w:val="el-GR"/>
        </w:rPr>
        <w:t>αποφάσεων</w:t>
      </w:r>
      <w:r w:rsidR="00A5147D" w:rsidRPr="00523E78">
        <w:rPr>
          <w:rFonts w:ascii="Calibri" w:hAnsi="Calibri" w:cs="Calibri"/>
          <w:sz w:val="24"/>
          <w:szCs w:val="24"/>
          <w:lang w:val="el-GR"/>
        </w:rPr>
        <w:t xml:space="preserve">, </w:t>
      </w:r>
      <w:r>
        <w:rPr>
          <w:rFonts w:ascii="Calibri" w:hAnsi="Calibri" w:cs="Calibri"/>
          <w:sz w:val="24"/>
          <w:szCs w:val="24"/>
          <w:lang w:val="el-GR"/>
        </w:rPr>
        <w:t>είναι υποχρεωμένος/η να εγγρ</w:t>
      </w:r>
      <w:r w:rsidR="006910E5">
        <w:rPr>
          <w:rFonts w:ascii="Calibri" w:hAnsi="Calibri" w:cs="Calibri"/>
          <w:sz w:val="24"/>
          <w:szCs w:val="24"/>
          <w:lang w:val="el-GR"/>
        </w:rPr>
        <w:t>ά</w:t>
      </w:r>
      <w:r>
        <w:rPr>
          <w:rFonts w:ascii="Calibri" w:hAnsi="Calibri" w:cs="Calibri"/>
          <w:sz w:val="24"/>
          <w:szCs w:val="24"/>
          <w:lang w:val="el-GR"/>
        </w:rPr>
        <w:t>ψει τον/ην εαυτό του/ης</w:t>
      </w:r>
      <w:r w:rsidR="00A5147D" w:rsidRPr="00523E78">
        <w:rPr>
          <w:rFonts w:ascii="Calibri" w:hAnsi="Calibri" w:cs="Calibri"/>
          <w:sz w:val="24"/>
          <w:szCs w:val="24"/>
          <w:lang w:val="el-GR"/>
        </w:rPr>
        <w:t xml:space="preserve"> </w:t>
      </w:r>
      <w:r>
        <w:rPr>
          <w:rFonts w:ascii="Calibri" w:hAnsi="Calibri" w:cs="Calibri"/>
          <w:sz w:val="24"/>
          <w:szCs w:val="24"/>
          <w:lang w:val="el-GR"/>
        </w:rPr>
        <w:t xml:space="preserve">στο Μητρώο που </w:t>
      </w:r>
      <w:r w:rsidR="006910E5">
        <w:rPr>
          <w:rFonts w:ascii="Calibri" w:hAnsi="Calibri" w:cs="Calibri"/>
          <w:sz w:val="24"/>
          <w:szCs w:val="24"/>
          <w:lang w:val="el-GR"/>
        </w:rPr>
        <w:t>τηρείται από την Αρχή κατά</w:t>
      </w:r>
      <w:r w:rsidR="002F1702">
        <w:rPr>
          <w:rFonts w:ascii="Calibri" w:hAnsi="Calibri" w:cs="Calibri"/>
          <w:sz w:val="24"/>
          <w:szCs w:val="24"/>
          <w:lang w:val="el-GR"/>
        </w:rPr>
        <w:t xml:space="preserve"> της Διαφθοράς</w:t>
      </w:r>
      <w:r w:rsidR="00A5147D" w:rsidRPr="00523E78">
        <w:rPr>
          <w:rFonts w:ascii="Calibri" w:hAnsi="Calibri" w:cs="Calibri"/>
          <w:sz w:val="24"/>
          <w:szCs w:val="24"/>
          <w:lang w:val="el-GR"/>
        </w:rPr>
        <w:t xml:space="preserve">. </w:t>
      </w:r>
    </w:p>
    <w:p w14:paraId="02E6AA46" w14:textId="77777777" w:rsidR="00A5147D" w:rsidRPr="00523E78" w:rsidRDefault="00A5147D" w:rsidP="00A5147D">
      <w:pPr>
        <w:tabs>
          <w:tab w:val="left" w:pos="709"/>
        </w:tabs>
        <w:rPr>
          <w:rFonts w:cstheme="minorHAnsi"/>
          <w:sz w:val="24"/>
          <w:szCs w:val="24"/>
          <w:lang w:val="el-GR"/>
        </w:rPr>
      </w:pPr>
    </w:p>
    <w:p w14:paraId="661EEA23" w14:textId="62077146" w:rsidR="00A5147D" w:rsidRPr="002F1702" w:rsidRDefault="002F1702" w:rsidP="00A5147D">
      <w:pPr>
        <w:numPr>
          <w:ilvl w:val="0"/>
          <w:numId w:val="1"/>
        </w:numPr>
        <w:tabs>
          <w:tab w:val="clear" w:pos="6095"/>
          <w:tab w:val="left" w:pos="709"/>
        </w:tabs>
        <w:ind w:left="0" w:firstLine="0"/>
        <w:rPr>
          <w:rFonts w:cstheme="minorHAnsi"/>
          <w:sz w:val="24"/>
          <w:szCs w:val="24"/>
          <w:lang w:val="el-GR"/>
        </w:rPr>
      </w:pPr>
      <w:r>
        <w:rPr>
          <w:rFonts w:ascii="Calibri" w:hAnsi="Calibri" w:cs="Calibri"/>
          <w:sz w:val="24"/>
          <w:szCs w:val="24"/>
          <w:lang w:val="el-GR"/>
        </w:rPr>
        <w:t>Οι</w:t>
      </w:r>
      <w:r w:rsidRPr="002F1702">
        <w:rPr>
          <w:rFonts w:ascii="Calibri" w:hAnsi="Calibri" w:cs="Calibri"/>
          <w:sz w:val="24"/>
          <w:szCs w:val="24"/>
          <w:lang w:val="el-GR"/>
        </w:rPr>
        <w:t xml:space="preserve"> </w:t>
      </w:r>
      <w:proofErr w:type="spellStart"/>
      <w:r>
        <w:rPr>
          <w:rFonts w:ascii="Calibri" w:hAnsi="Calibri" w:cs="Calibri"/>
          <w:sz w:val="24"/>
          <w:szCs w:val="24"/>
          <w:lang w:val="el-GR"/>
        </w:rPr>
        <w:t>λομπιστές</w:t>
      </w:r>
      <w:proofErr w:type="spellEnd"/>
      <w:r w:rsidRPr="002F1702">
        <w:rPr>
          <w:rFonts w:ascii="Calibri" w:hAnsi="Calibri" w:cs="Calibri"/>
          <w:sz w:val="24"/>
          <w:szCs w:val="24"/>
          <w:lang w:val="el-GR"/>
        </w:rPr>
        <w:t xml:space="preserve"> </w:t>
      </w:r>
      <w:r>
        <w:rPr>
          <w:rFonts w:ascii="Calibri" w:hAnsi="Calibri" w:cs="Calibri"/>
          <w:sz w:val="24"/>
          <w:szCs w:val="24"/>
          <w:lang w:val="el-GR"/>
        </w:rPr>
        <w:t>επίσης</w:t>
      </w:r>
      <w:r w:rsidRPr="002F1702">
        <w:rPr>
          <w:rFonts w:ascii="Calibri" w:hAnsi="Calibri" w:cs="Calibri"/>
          <w:sz w:val="24"/>
          <w:szCs w:val="24"/>
          <w:lang w:val="el-GR"/>
        </w:rPr>
        <w:t xml:space="preserve"> </w:t>
      </w:r>
      <w:r>
        <w:rPr>
          <w:rFonts w:ascii="Calibri" w:hAnsi="Calibri" w:cs="Calibri"/>
          <w:sz w:val="24"/>
          <w:szCs w:val="24"/>
          <w:lang w:val="el-GR"/>
        </w:rPr>
        <w:t>πρέπει</w:t>
      </w:r>
      <w:r w:rsidRPr="002F1702">
        <w:rPr>
          <w:rFonts w:ascii="Calibri" w:hAnsi="Calibri" w:cs="Calibri"/>
          <w:sz w:val="24"/>
          <w:szCs w:val="24"/>
          <w:lang w:val="el-GR"/>
        </w:rPr>
        <w:t xml:space="preserve"> </w:t>
      </w:r>
      <w:r>
        <w:rPr>
          <w:rFonts w:ascii="Calibri" w:hAnsi="Calibri" w:cs="Calibri"/>
          <w:sz w:val="24"/>
          <w:szCs w:val="24"/>
          <w:lang w:val="el-GR"/>
        </w:rPr>
        <w:t>να</w:t>
      </w:r>
      <w:r w:rsidRPr="002F1702">
        <w:rPr>
          <w:rFonts w:ascii="Calibri" w:hAnsi="Calibri" w:cs="Calibri"/>
          <w:sz w:val="24"/>
          <w:szCs w:val="24"/>
          <w:lang w:val="el-GR"/>
        </w:rPr>
        <w:t xml:space="preserve"> </w:t>
      </w:r>
      <w:r>
        <w:rPr>
          <w:rFonts w:ascii="Calibri" w:hAnsi="Calibri" w:cs="Calibri"/>
          <w:sz w:val="24"/>
          <w:szCs w:val="24"/>
          <w:lang w:val="el-GR"/>
        </w:rPr>
        <w:t>υποβάλουν</w:t>
      </w:r>
      <w:r w:rsidRPr="002F1702">
        <w:rPr>
          <w:rFonts w:ascii="Calibri" w:hAnsi="Calibri" w:cs="Calibri"/>
          <w:sz w:val="24"/>
          <w:szCs w:val="24"/>
          <w:lang w:val="el-GR"/>
        </w:rPr>
        <w:t xml:space="preserve"> </w:t>
      </w:r>
      <w:r>
        <w:rPr>
          <w:rFonts w:ascii="Calibri" w:hAnsi="Calibri" w:cs="Calibri"/>
          <w:sz w:val="24"/>
          <w:szCs w:val="24"/>
          <w:lang w:val="el-GR"/>
        </w:rPr>
        <w:t>έκθεση</w:t>
      </w:r>
      <w:r w:rsidRPr="002F1702">
        <w:rPr>
          <w:rFonts w:ascii="Calibri" w:hAnsi="Calibri" w:cs="Calibri"/>
          <w:sz w:val="24"/>
          <w:szCs w:val="24"/>
          <w:lang w:val="el-GR"/>
        </w:rPr>
        <w:t xml:space="preserve"> </w:t>
      </w:r>
      <w:r>
        <w:rPr>
          <w:rFonts w:ascii="Calibri" w:hAnsi="Calibri" w:cs="Calibri"/>
          <w:sz w:val="24"/>
          <w:szCs w:val="24"/>
          <w:lang w:val="el-GR"/>
        </w:rPr>
        <w:t>στην</w:t>
      </w:r>
      <w:r w:rsidRPr="002F1702">
        <w:rPr>
          <w:rFonts w:ascii="Calibri" w:hAnsi="Calibri" w:cs="Calibri"/>
          <w:sz w:val="24"/>
          <w:szCs w:val="24"/>
          <w:lang w:val="el-GR"/>
        </w:rPr>
        <w:t xml:space="preserve"> </w:t>
      </w:r>
      <w:r>
        <w:rPr>
          <w:rFonts w:ascii="Calibri" w:hAnsi="Calibri" w:cs="Calibri"/>
          <w:sz w:val="24"/>
          <w:szCs w:val="24"/>
          <w:lang w:val="el-GR"/>
        </w:rPr>
        <w:t>Αρχή</w:t>
      </w:r>
      <w:r w:rsidRPr="002F1702">
        <w:rPr>
          <w:rFonts w:ascii="Calibri" w:hAnsi="Calibri" w:cs="Calibri"/>
          <w:sz w:val="24"/>
          <w:szCs w:val="24"/>
          <w:lang w:val="el-GR"/>
        </w:rPr>
        <w:t xml:space="preserve"> </w:t>
      </w:r>
      <w:r w:rsidR="006910E5">
        <w:rPr>
          <w:rFonts w:ascii="Calibri" w:hAnsi="Calibri" w:cs="Calibri"/>
          <w:sz w:val="24"/>
          <w:szCs w:val="24"/>
          <w:lang w:val="el-GR"/>
        </w:rPr>
        <w:t>κατά</w:t>
      </w:r>
      <w:r w:rsidRPr="002F1702">
        <w:rPr>
          <w:rFonts w:ascii="Calibri" w:hAnsi="Calibri" w:cs="Calibri"/>
          <w:sz w:val="24"/>
          <w:szCs w:val="24"/>
          <w:lang w:val="el-GR"/>
        </w:rPr>
        <w:t xml:space="preserve"> </w:t>
      </w:r>
      <w:r w:rsidR="006910E5">
        <w:rPr>
          <w:rFonts w:ascii="Calibri" w:hAnsi="Calibri" w:cs="Calibri"/>
          <w:sz w:val="24"/>
          <w:szCs w:val="24"/>
          <w:lang w:val="el-GR"/>
        </w:rPr>
        <w:t xml:space="preserve">της </w:t>
      </w:r>
      <w:r>
        <w:rPr>
          <w:rFonts w:ascii="Calibri" w:hAnsi="Calibri" w:cs="Calibri"/>
          <w:sz w:val="24"/>
          <w:szCs w:val="24"/>
          <w:lang w:val="el-GR"/>
        </w:rPr>
        <w:t>Διαφθοράς</w:t>
      </w:r>
      <w:r w:rsidR="00A5147D" w:rsidRPr="002F1702">
        <w:rPr>
          <w:rFonts w:ascii="Calibri" w:hAnsi="Calibri" w:cs="Calibri"/>
          <w:sz w:val="24"/>
          <w:szCs w:val="24"/>
          <w:lang w:val="el-GR"/>
        </w:rPr>
        <w:t xml:space="preserve"> </w:t>
      </w:r>
      <w:r>
        <w:rPr>
          <w:rFonts w:ascii="Calibri" w:hAnsi="Calibri" w:cs="Calibri"/>
          <w:sz w:val="24"/>
          <w:szCs w:val="24"/>
          <w:lang w:val="el-GR"/>
        </w:rPr>
        <w:t>κάθε έξι μήνες</w:t>
      </w:r>
      <w:r w:rsidR="00A5147D" w:rsidRPr="002F1702">
        <w:rPr>
          <w:rFonts w:ascii="Calibri" w:hAnsi="Calibri" w:cs="Calibri"/>
          <w:sz w:val="24"/>
          <w:szCs w:val="24"/>
          <w:lang w:val="el-GR"/>
        </w:rPr>
        <w:t xml:space="preserve">, </w:t>
      </w:r>
      <w:r>
        <w:rPr>
          <w:rFonts w:ascii="Calibri" w:hAnsi="Calibri" w:cs="Calibri"/>
          <w:sz w:val="24"/>
          <w:szCs w:val="24"/>
          <w:lang w:val="el-GR"/>
        </w:rPr>
        <w:t>αναφορικά με οποιαδήποτε εμπλοκή</w:t>
      </w:r>
      <w:r w:rsidR="00A5147D" w:rsidRPr="002F1702">
        <w:rPr>
          <w:rFonts w:ascii="Calibri" w:hAnsi="Calibri" w:cs="Calibri"/>
          <w:sz w:val="24"/>
          <w:szCs w:val="24"/>
          <w:lang w:val="el-GR"/>
        </w:rPr>
        <w:t xml:space="preserve"> </w:t>
      </w:r>
      <w:r>
        <w:rPr>
          <w:rFonts w:ascii="Calibri" w:hAnsi="Calibri" w:cs="Calibri"/>
          <w:sz w:val="24"/>
          <w:szCs w:val="24"/>
          <w:lang w:val="el-GR"/>
        </w:rPr>
        <w:t>στη διαδικασία λήψης δημοσίων αποφάσεων</w:t>
      </w:r>
      <w:r w:rsidR="00746200" w:rsidRPr="002F1702">
        <w:rPr>
          <w:rFonts w:ascii="Calibri" w:hAnsi="Calibri" w:cs="Calibri"/>
          <w:sz w:val="24"/>
          <w:szCs w:val="24"/>
          <w:lang w:val="el-GR"/>
        </w:rPr>
        <w:t xml:space="preserve">. </w:t>
      </w:r>
      <w:r>
        <w:rPr>
          <w:rFonts w:ascii="Calibri" w:hAnsi="Calibri" w:cs="Calibri"/>
          <w:sz w:val="24"/>
          <w:szCs w:val="24"/>
          <w:lang w:val="el-GR"/>
        </w:rPr>
        <w:t>Πληροφορίες</w:t>
      </w:r>
      <w:r w:rsidRPr="002F1702">
        <w:rPr>
          <w:rFonts w:ascii="Calibri" w:hAnsi="Calibri" w:cs="Calibri"/>
          <w:sz w:val="24"/>
          <w:szCs w:val="24"/>
          <w:lang w:val="el-GR"/>
        </w:rPr>
        <w:t xml:space="preserve"> </w:t>
      </w:r>
      <w:r>
        <w:rPr>
          <w:rFonts w:ascii="Calibri" w:hAnsi="Calibri" w:cs="Calibri"/>
          <w:sz w:val="24"/>
          <w:szCs w:val="24"/>
          <w:lang w:val="el-GR"/>
        </w:rPr>
        <w:t>πρέπει</w:t>
      </w:r>
      <w:r w:rsidRPr="002F1702">
        <w:rPr>
          <w:rFonts w:ascii="Calibri" w:hAnsi="Calibri" w:cs="Calibri"/>
          <w:sz w:val="24"/>
          <w:szCs w:val="24"/>
          <w:lang w:val="el-GR"/>
        </w:rPr>
        <w:t xml:space="preserve"> </w:t>
      </w:r>
      <w:r>
        <w:rPr>
          <w:rFonts w:ascii="Calibri" w:hAnsi="Calibri" w:cs="Calibri"/>
          <w:sz w:val="24"/>
          <w:szCs w:val="24"/>
          <w:lang w:val="el-GR"/>
        </w:rPr>
        <w:t>να</w:t>
      </w:r>
      <w:r w:rsidRPr="002F1702">
        <w:rPr>
          <w:rFonts w:ascii="Calibri" w:hAnsi="Calibri" w:cs="Calibri"/>
          <w:sz w:val="24"/>
          <w:szCs w:val="24"/>
          <w:lang w:val="el-GR"/>
        </w:rPr>
        <w:t xml:space="preserve"> </w:t>
      </w:r>
      <w:r>
        <w:rPr>
          <w:rFonts w:ascii="Calibri" w:hAnsi="Calibri" w:cs="Calibri"/>
          <w:sz w:val="24"/>
          <w:szCs w:val="24"/>
          <w:lang w:val="el-GR"/>
        </w:rPr>
        <w:t>παρέχονται</w:t>
      </w:r>
      <w:r w:rsidRPr="002F1702">
        <w:rPr>
          <w:rFonts w:ascii="Calibri" w:hAnsi="Calibri" w:cs="Calibri"/>
          <w:sz w:val="24"/>
          <w:szCs w:val="24"/>
          <w:lang w:val="el-GR"/>
        </w:rPr>
        <w:t xml:space="preserve"> </w:t>
      </w:r>
      <w:r>
        <w:rPr>
          <w:rFonts w:ascii="Calibri" w:hAnsi="Calibri" w:cs="Calibri"/>
          <w:sz w:val="24"/>
          <w:szCs w:val="24"/>
          <w:lang w:val="el-GR"/>
        </w:rPr>
        <w:t>αναφορικά</w:t>
      </w:r>
      <w:r w:rsidRPr="002F1702">
        <w:rPr>
          <w:rFonts w:ascii="Calibri" w:hAnsi="Calibri" w:cs="Calibri"/>
          <w:sz w:val="24"/>
          <w:szCs w:val="24"/>
          <w:lang w:val="el-GR"/>
        </w:rPr>
        <w:t xml:space="preserve"> </w:t>
      </w:r>
      <w:r>
        <w:rPr>
          <w:rFonts w:ascii="Calibri" w:hAnsi="Calibri" w:cs="Calibri"/>
          <w:sz w:val="24"/>
          <w:szCs w:val="24"/>
          <w:lang w:val="el-GR"/>
        </w:rPr>
        <w:t>με</w:t>
      </w:r>
      <w:r w:rsidRPr="002F1702">
        <w:rPr>
          <w:rFonts w:ascii="Calibri" w:hAnsi="Calibri" w:cs="Calibri"/>
          <w:sz w:val="24"/>
          <w:szCs w:val="24"/>
          <w:lang w:val="el-GR"/>
        </w:rPr>
        <w:t xml:space="preserve"> </w:t>
      </w:r>
      <w:r>
        <w:rPr>
          <w:rFonts w:ascii="Calibri" w:hAnsi="Calibri" w:cs="Calibri"/>
          <w:sz w:val="24"/>
          <w:szCs w:val="24"/>
          <w:lang w:val="el-GR"/>
        </w:rPr>
        <w:t>τις</w:t>
      </w:r>
      <w:r w:rsidRPr="002F1702">
        <w:rPr>
          <w:rFonts w:ascii="Calibri" w:hAnsi="Calibri" w:cs="Calibri"/>
          <w:sz w:val="24"/>
          <w:szCs w:val="24"/>
          <w:lang w:val="el-GR"/>
        </w:rPr>
        <w:t xml:space="preserve"> </w:t>
      </w:r>
      <w:r>
        <w:rPr>
          <w:rFonts w:ascii="Calibri" w:hAnsi="Calibri" w:cs="Calibri"/>
          <w:sz w:val="24"/>
          <w:szCs w:val="24"/>
          <w:lang w:val="el-GR"/>
        </w:rPr>
        <w:t>λεπτομέρειες</w:t>
      </w:r>
      <w:r w:rsidRPr="002F1702">
        <w:rPr>
          <w:rFonts w:ascii="Calibri" w:hAnsi="Calibri" w:cs="Calibri"/>
          <w:sz w:val="24"/>
          <w:szCs w:val="24"/>
          <w:lang w:val="el-GR"/>
        </w:rPr>
        <w:t xml:space="preserve"> </w:t>
      </w:r>
      <w:r>
        <w:rPr>
          <w:rFonts w:ascii="Calibri" w:hAnsi="Calibri" w:cs="Calibri"/>
          <w:sz w:val="24"/>
          <w:szCs w:val="24"/>
          <w:lang w:val="el-GR"/>
        </w:rPr>
        <w:t>του</w:t>
      </w:r>
      <w:r w:rsidRPr="002F1702">
        <w:rPr>
          <w:rFonts w:ascii="Calibri" w:hAnsi="Calibri" w:cs="Calibri"/>
          <w:sz w:val="24"/>
          <w:szCs w:val="24"/>
          <w:lang w:val="el-GR"/>
        </w:rPr>
        <w:t xml:space="preserve"> </w:t>
      </w:r>
      <w:proofErr w:type="spellStart"/>
      <w:r>
        <w:rPr>
          <w:rFonts w:ascii="Calibri" w:hAnsi="Calibri" w:cs="Calibri"/>
          <w:sz w:val="24"/>
          <w:szCs w:val="24"/>
          <w:lang w:val="el-GR"/>
        </w:rPr>
        <w:t>λομπίστα</w:t>
      </w:r>
      <w:proofErr w:type="spellEnd"/>
      <w:r w:rsidR="00746200" w:rsidRPr="002F1702">
        <w:rPr>
          <w:rFonts w:ascii="Calibri" w:hAnsi="Calibri" w:cs="Calibri"/>
          <w:sz w:val="24"/>
          <w:szCs w:val="24"/>
          <w:lang w:val="el-GR"/>
        </w:rPr>
        <w:t xml:space="preserve">, </w:t>
      </w:r>
      <w:r>
        <w:rPr>
          <w:rFonts w:ascii="Calibri" w:hAnsi="Calibri" w:cs="Calibri"/>
          <w:sz w:val="24"/>
          <w:szCs w:val="24"/>
          <w:lang w:val="el-GR"/>
        </w:rPr>
        <w:t>το</w:t>
      </w:r>
      <w:r w:rsidRPr="002F1702">
        <w:rPr>
          <w:rFonts w:ascii="Calibri" w:hAnsi="Calibri" w:cs="Calibri"/>
          <w:sz w:val="24"/>
          <w:szCs w:val="24"/>
          <w:lang w:val="el-GR"/>
        </w:rPr>
        <w:t xml:space="preserve"> </w:t>
      </w:r>
      <w:r>
        <w:rPr>
          <w:rFonts w:ascii="Calibri" w:hAnsi="Calibri" w:cs="Calibri"/>
          <w:sz w:val="24"/>
          <w:szCs w:val="24"/>
          <w:lang w:val="el-GR"/>
        </w:rPr>
        <w:t>αντικείμενο</w:t>
      </w:r>
      <w:r w:rsidRPr="002F1702">
        <w:rPr>
          <w:rFonts w:ascii="Calibri" w:hAnsi="Calibri" w:cs="Calibri"/>
          <w:sz w:val="24"/>
          <w:szCs w:val="24"/>
          <w:lang w:val="el-GR"/>
        </w:rPr>
        <w:t xml:space="preserve"> </w:t>
      </w:r>
      <w:r>
        <w:rPr>
          <w:rFonts w:ascii="Calibri" w:hAnsi="Calibri" w:cs="Calibri"/>
          <w:sz w:val="24"/>
          <w:szCs w:val="24"/>
          <w:lang w:val="el-GR"/>
        </w:rPr>
        <w:t>της</w:t>
      </w:r>
      <w:r w:rsidRPr="002F1702">
        <w:rPr>
          <w:rFonts w:ascii="Calibri" w:hAnsi="Calibri" w:cs="Calibri"/>
          <w:sz w:val="24"/>
          <w:szCs w:val="24"/>
          <w:lang w:val="el-GR"/>
        </w:rPr>
        <w:t xml:space="preserve"> </w:t>
      </w:r>
      <w:r>
        <w:rPr>
          <w:rFonts w:ascii="Calibri" w:hAnsi="Calibri" w:cs="Calibri"/>
          <w:sz w:val="24"/>
          <w:szCs w:val="24"/>
          <w:lang w:val="el-GR"/>
        </w:rPr>
        <w:t>εμπλοκής</w:t>
      </w:r>
      <w:r w:rsidRPr="002F1702">
        <w:rPr>
          <w:rFonts w:ascii="Calibri" w:hAnsi="Calibri" w:cs="Calibri"/>
          <w:sz w:val="24"/>
          <w:szCs w:val="24"/>
          <w:lang w:val="el-GR"/>
        </w:rPr>
        <w:t xml:space="preserve"> </w:t>
      </w:r>
      <w:r>
        <w:rPr>
          <w:rFonts w:ascii="Calibri" w:hAnsi="Calibri" w:cs="Calibri"/>
          <w:sz w:val="24"/>
          <w:szCs w:val="24"/>
          <w:lang w:val="el-GR"/>
        </w:rPr>
        <w:t>και</w:t>
      </w:r>
      <w:r w:rsidRPr="002F1702">
        <w:rPr>
          <w:rFonts w:ascii="Calibri" w:hAnsi="Calibri" w:cs="Calibri"/>
          <w:sz w:val="24"/>
          <w:szCs w:val="24"/>
          <w:lang w:val="el-GR"/>
        </w:rPr>
        <w:t xml:space="preserve"> </w:t>
      </w:r>
      <w:r>
        <w:rPr>
          <w:rFonts w:ascii="Calibri" w:hAnsi="Calibri" w:cs="Calibri"/>
          <w:sz w:val="24"/>
          <w:szCs w:val="24"/>
          <w:lang w:val="el-GR"/>
        </w:rPr>
        <w:t>ο</w:t>
      </w:r>
      <w:r w:rsidRPr="002F1702">
        <w:rPr>
          <w:rFonts w:ascii="Calibri" w:hAnsi="Calibri" w:cs="Calibri"/>
          <w:sz w:val="24"/>
          <w:szCs w:val="24"/>
          <w:lang w:val="el-GR"/>
        </w:rPr>
        <w:t xml:space="preserve"> </w:t>
      </w:r>
      <w:r>
        <w:rPr>
          <w:rFonts w:ascii="Calibri" w:hAnsi="Calibri" w:cs="Calibri"/>
          <w:sz w:val="24"/>
          <w:szCs w:val="24"/>
          <w:lang w:val="el-GR"/>
        </w:rPr>
        <w:t>επιδιωκόμενος σκοπός</w:t>
      </w:r>
      <w:r w:rsidR="00746200" w:rsidRPr="002F1702">
        <w:rPr>
          <w:rFonts w:ascii="Calibri" w:hAnsi="Calibri" w:cs="Calibri"/>
          <w:sz w:val="24"/>
          <w:szCs w:val="24"/>
          <w:lang w:val="el-GR"/>
        </w:rPr>
        <w:t xml:space="preserve">, </w:t>
      </w:r>
      <w:r>
        <w:rPr>
          <w:rFonts w:ascii="Calibri" w:hAnsi="Calibri" w:cs="Calibri"/>
          <w:sz w:val="24"/>
          <w:szCs w:val="24"/>
          <w:lang w:val="el-GR"/>
        </w:rPr>
        <w:t>τομείς της εμπλοκής στις διαδικασίες της λήψης δημοσίων αποφάσεων</w:t>
      </w:r>
      <w:r w:rsidR="00702DE3" w:rsidRPr="002F1702">
        <w:rPr>
          <w:rFonts w:ascii="Calibri" w:hAnsi="Calibri" w:cs="Calibri"/>
          <w:sz w:val="24"/>
          <w:szCs w:val="24"/>
          <w:lang w:val="el-GR"/>
        </w:rPr>
        <w:t xml:space="preserve"> (</w:t>
      </w:r>
      <w:r>
        <w:rPr>
          <w:rFonts w:ascii="Calibri" w:hAnsi="Calibri" w:cs="Calibri"/>
          <w:sz w:val="24"/>
          <w:szCs w:val="24"/>
          <w:lang w:val="el-GR"/>
        </w:rPr>
        <w:t>Παράρτημα</w:t>
      </w:r>
      <w:r w:rsidR="00702DE3" w:rsidRPr="002F1702">
        <w:rPr>
          <w:rFonts w:ascii="Calibri" w:hAnsi="Calibri" w:cs="Calibri"/>
          <w:sz w:val="24"/>
          <w:szCs w:val="24"/>
          <w:lang w:val="el-GR"/>
        </w:rPr>
        <w:t xml:space="preserve"> </w:t>
      </w:r>
      <w:r w:rsidR="00702DE3" w:rsidRPr="000E16E3">
        <w:rPr>
          <w:rFonts w:ascii="Calibri" w:hAnsi="Calibri" w:cs="Calibri"/>
          <w:sz w:val="24"/>
          <w:szCs w:val="24"/>
        </w:rPr>
        <w:t>I</w:t>
      </w:r>
      <w:r w:rsidR="001703D9" w:rsidRPr="000E16E3">
        <w:rPr>
          <w:rFonts w:ascii="Calibri" w:hAnsi="Calibri" w:cs="Calibri"/>
          <w:sz w:val="24"/>
          <w:szCs w:val="24"/>
        </w:rPr>
        <w:t>I</w:t>
      </w:r>
      <w:r w:rsidR="00702DE3" w:rsidRPr="002F1702">
        <w:rPr>
          <w:rFonts w:ascii="Calibri" w:hAnsi="Calibri" w:cs="Calibri"/>
          <w:sz w:val="24"/>
          <w:szCs w:val="24"/>
          <w:lang w:val="el-GR"/>
        </w:rPr>
        <w:t xml:space="preserve">, </w:t>
      </w:r>
      <w:r>
        <w:rPr>
          <w:rFonts w:ascii="Calibri" w:hAnsi="Calibri" w:cs="Calibri"/>
          <w:sz w:val="24"/>
          <w:szCs w:val="24"/>
          <w:lang w:val="el-GR"/>
        </w:rPr>
        <w:t>Άρθρο</w:t>
      </w:r>
      <w:r w:rsidR="00702DE3" w:rsidRPr="002F1702">
        <w:rPr>
          <w:rFonts w:ascii="Calibri" w:hAnsi="Calibri" w:cs="Calibri"/>
          <w:sz w:val="24"/>
          <w:szCs w:val="24"/>
          <w:lang w:val="el-GR"/>
        </w:rPr>
        <w:t xml:space="preserve"> 13)</w:t>
      </w:r>
      <w:r w:rsidR="00A5147D" w:rsidRPr="002F1702">
        <w:rPr>
          <w:rFonts w:ascii="Calibri" w:hAnsi="Calibri" w:cs="Calibri"/>
          <w:sz w:val="24"/>
          <w:szCs w:val="24"/>
          <w:lang w:val="el-GR"/>
        </w:rPr>
        <w:t>.</w:t>
      </w:r>
      <w:r w:rsidR="000E16E3" w:rsidRPr="002F1702">
        <w:rPr>
          <w:rFonts w:ascii="Calibri" w:hAnsi="Calibri" w:cs="Calibri"/>
          <w:sz w:val="24"/>
          <w:szCs w:val="24"/>
          <w:lang w:val="el-GR"/>
        </w:rPr>
        <w:t xml:space="preserve"> </w:t>
      </w:r>
      <w:r>
        <w:rPr>
          <w:rFonts w:ascii="Calibri" w:hAnsi="Calibri" w:cs="Calibri"/>
          <w:sz w:val="24"/>
          <w:szCs w:val="24"/>
          <w:lang w:val="el-GR"/>
        </w:rPr>
        <w:t>Το</w:t>
      </w:r>
      <w:r w:rsidRPr="002F1702">
        <w:rPr>
          <w:rFonts w:ascii="Calibri" w:hAnsi="Calibri" w:cs="Calibri"/>
          <w:sz w:val="24"/>
          <w:szCs w:val="24"/>
          <w:lang w:val="el-GR"/>
        </w:rPr>
        <w:t xml:space="preserve"> </w:t>
      </w:r>
      <w:r>
        <w:rPr>
          <w:rFonts w:ascii="Calibri" w:hAnsi="Calibri" w:cs="Calibri"/>
          <w:sz w:val="24"/>
          <w:szCs w:val="24"/>
          <w:lang w:val="el-GR"/>
        </w:rPr>
        <w:t>ίδιο</w:t>
      </w:r>
      <w:r w:rsidRPr="002F1702">
        <w:rPr>
          <w:rFonts w:ascii="Calibri" w:hAnsi="Calibri" w:cs="Calibri"/>
          <w:sz w:val="24"/>
          <w:szCs w:val="24"/>
          <w:lang w:val="el-GR"/>
        </w:rPr>
        <w:t xml:space="preserve"> </w:t>
      </w:r>
      <w:r>
        <w:rPr>
          <w:rFonts w:ascii="Calibri" w:hAnsi="Calibri" w:cs="Calibri"/>
          <w:sz w:val="24"/>
          <w:szCs w:val="24"/>
          <w:lang w:val="el-GR"/>
        </w:rPr>
        <w:t>ισχύει</w:t>
      </w:r>
      <w:r w:rsidRPr="002F1702">
        <w:rPr>
          <w:rFonts w:ascii="Calibri" w:hAnsi="Calibri" w:cs="Calibri"/>
          <w:sz w:val="24"/>
          <w:szCs w:val="24"/>
          <w:lang w:val="el-GR"/>
        </w:rPr>
        <w:t xml:space="preserve"> </w:t>
      </w:r>
      <w:r>
        <w:rPr>
          <w:rFonts w:ascii="Calibri" w:hAnsi="Calibri" w:cs="Calibri"/>
          <w:sz w:val="24"/>
          <w:szCs w:val="24"/>
          <w:lang w:val="el-GR"/>
        </w:rPr>
        <w:t>στους</w:t>
      </w:r>
      <w:r w:rsidRPr="002F1702">
        <w:rPr>
          <w:rFonts w:ascii="Calibri" w:hAnsi="Calibri" w:cs="Calibri"/>
          <w:sz w:val="24"/>
          <w:szCs w:val="24"/>
          <w:lang w:val="el-GR"/>
        </w:rPr>
        <w:t xml:space="preserve"> </w:t>
      </w:r>
      <w:r>
        <w:rPr>
          <w:rFonts w:ascii="Calibri" w:hAnsi="Calibri" w:cs="Calibri"/>
          <w:sz w:val="24"/>
          <w:szCs w:val="24"/>
          <w:lang w:val="el-GR"/>
        </w:rPr>
        <w:t>δημοσίους</w:t>
      </w:r>
      <w:r w:rsidRPr="002F1702">
        <w:rPr>
          <w:rFonts w:ascii="Calibri" w:hAnsi="Calibri" w:cs="Calibri"/>
          <w:sz w:val="24"/>
          <w:szCs w:val="24"/>
          <w:lang w:val="el-GR"/>
        </w:rPr>
        <w:t xml:space="preserve"> </w:t>
      </w:r>
      <w:r>
        <w:rPr>
          <w:rFonts w:ascii="Calibri" w:hAnsi="Calibri" w:cs="Calibri"/>
          <w:sz w:val="24"/>
          <w:szCs w:val="24"/>
          <w:lang w:val="el-GR"/>
        </w:rPr>
        <w:t>λειτουργούς</w:t>
      </w:r>
      <w:r w:rsidR="000E16E3" w:rsidRPr="002F1702">
        <w:rPr>
          <w:rFonts w:ascii="Calibri" w:hAnsi="Calibri" w:cs="Calibri"/>
          <w:sz w:val="24"/>
          <w:szCs w:val="24"/>
          <w:lang w:val="el-GR"/>
        </w:rPr>
        <w:t xml:space="preserve">, </w:t>
      </w:r>
      <w:r>
        <w:rPr>
          <w:rFonts w:ascii="Calibri" w:hAnsi="Calibri" w:cs="Calibri"/>
          <w:sz w:val="24"/>
          <w:szCs w:val="24"/>
          <w:lang w:val="el-GR"/>
        </w:rPr>
        <w:t>που</w:t>
      </w:r>
      <w:r w:rsidRPr="002F1702">
        <w:rPr>
          <w:rFonts w:ascii="Calibri" w:hAnsi="Calibri" w:cs="Calibri"/>
          <w:sz w:val="24"/>
          <w:szCs w:val="24"/>
          <w:lang w:val="el-GR"/>
        </w:rPr>
        <w:t xml:space="preserve"> </w:t>
      </w:r>
      <w:r>
        <w:rPr>
          <w:rFonts w:ascii="Calibri" w:hAnsi="Calibri" w:cs="Calibri"/>
          <w:sz w:val="24"/>
          <w:szCs w:val="24"/>
          <w:lang w:val="el-GR"/>
        </w:rPr>
        <w:t>πρέπει</w:t>
      </w:r>
      <w:r w:rsidRPr="002F1702">
        <w:rPr>
          <w:rFonts w:ascii="Calibri" w:hAnsi="Calibri" w:cs="Calibri"/>
          <w:sz w:val="24"/>
          <w:szCs w:val="24"/>
          <w:lang w:val="el-GR"/>
        </w:rPr>
        <w:t xml:space="preserve"> </w:t>
      </w:r>
      <w:r>
        <w:rPr>
          <w:rFonts w:ascii="Calibri" w:hAnsi="Calibri" w:cs="Calibri"/>
          <w:sz w:val="24"/>
          <w:szCs w:val="24"/>
          <w:lang w:val="el-GR"/>
        </w:rPr>
        <w:t>να</w:t>
      </w:r>
      <w:r w:rsidRPr="002F1702">
        <w:rPr>
          <w:rFonts w:ascii="Calibri" w:hAnsi="Calibri" w:cs="Calibri"/>
          <w:sz w:val="24"/>
          <w:szCs w:val="24"/>
          <w:lang w:val="el-GR"/>
        </w:rPr>
        <w:t xml:space="preserve"> </w:t>
      </w:r>
      <w:r>
        <w:rPr>
          <w:rFonts w:ascii="Calibri" w:hAnsi="Calibri" w:cs="Calibri"/>
          <w:sz w:val="24"/>
          <w:szCs w:val="24"/>
          <w:lang w:val="el-GR"/>
        </w:rPr>
        <w:t>τα</w:t>
      </w:r>
      <w:r w:rsidRPr="002F1702">
        <w:rPr>
          <w:rFonts w:ascii="Calibri" w:hAnsi="Calibri" w:cs="Calibri"/>
          <w:sz w:val="24"/>
          <w:szCs w:val="24"/>
          <w:lang w:val="el-GR"/>
        </w:rPr>
        <w:t xml:space="preserve"> </w:t>
      </w:r>
      <w:r>
        <w:rPr>
          <w:rFonts w:ascii="Calibri" w:hAnsi="Calibri" w:cs="Calibri"/>
          <w:sz w:val="24"/>
          <w:szCs w:val="24"/>
          <w:lang w:val="el-GR"/>
        </w:rPr>
        <w:t>κάνουν</w:t>
      </w:r>
      <w:r w:rsidRPr="002F1702">
        <w:rPr>
          <w:rFonts w:ascii="Calibri" w:hAnsi="Calibri" w:cs="Calibri"/>
          <w:sz w:val="24"/>
          <w:szCs w:val="24"/>
          <w:lang w:val="el-GR"/>
        </w:rPr>
        <w:t xml:space="preserve"> </w:t>
      </w:r>
      <w:r>
        <w:rPr>
          <w:rFonts w:ascii="Calibri" w:hAnsi="Calibri" w:cs="Calibri"/>
          <w:sz w:val="24"/>
          <w:szCs w:val="24"/>
          <w:lang w:val="el-GR"/>
        </w:rPr>
        <w:t>αυτά</w:t>
      </w:r>
      <w:r w:rsidRPr="002F1702">
        <w:rPr>
          <w:rFonts w:ascii="Calibri" w:hAnsi="Calibri" w:cs="Calibri"/>
          <w:sz w:val="24"/>
          <w:szCs w:val="24"/>
          <w:lang w:val="el-GR"/>
        </w:rPr>
        <w:t xml:space="preserve"> </w:t>
      </w:r>
      <w:r>
        <w:rPr>
          <w:rFonts w:ascii="Calibri" w:hAnsi="Calibri" w:cs="Calibri"/>
          <w:sz w:val="24"/>
          <w:szCs w:val="24"/>
          <w:lang w:val="el-GR"/>
        </w:rPr>
        <w:t>εντός</w:t>
      </w:r>
      <w:r w:rsidRPr="002F1702">
        <w:rPr>
          <w:rFonts w:ascii="Calibri" w:hAnsi="Calibri" w:cs="Calibri"/>
          <w:sz w:val="24"/>
          <w:szCs w:val="24"/>
          <w:lang w:val="el-GR"/>
        </w:rPr>
        <w:t xml:space="preserve"> </w:t>
      </w:r>
      <w:r>
        <w:rPr>
          <w:rFonts w:ascii="Calibri" w:hAnsi="Calibri" w:cs="Calibri"/>
          <w:sz w:val="24"/>
          <w:szCs w:val="24"/>
          <w:lang w:val="el-GR"/>
        </w:rPr>
        <w:t>δύο</w:t>
      </w:r>
      <w:r w:rsidRPr="002F1702">
        <w:rPr>
          <w:rFonts w:ascii="Calibri" w:hAnsi="Calibri" w:cs="Calibri"/>
          <w:sz w:val="24"/>
          <w:szCs w:val="24"/>
          <w:lang w:val="el-GR"/>
        </w:rPr>
        <w:t xml:space="preserve"> </w:t>
      </w:r>
      <w:r>
        <w:rPr>
          <w:rFonts w:ascii="Calibri" w:hAnsi="Calibri" w:cs="Calibri"/>
          <w:sz w:val="24"/>
          <w:szCs w:val="24"/>
          <w:lang w:val="el-GR"/>
        </w:rPr>
        <w:t>μηνών</w:t>
      </w:r>
      <w:r w:rsidR="000E16E3" w:rsidRPr="002F1702">
        <w:rPr>
          <w:rFonts w:ascii="Calibri" w:hAnsi="Calibri" w:cs="Calibri"/>
          <w:sz w:val="24"/>
          <w:szCs w:val="24"/>
          <w:lang w:val="el-GR"/>
        </w:rPr>
        <w:t xml:space="preserve">, </w:t>
      </w:r>
      <w:r>
        <w:rPr>
          <w:rFonts w:ascii="Calibri" w:hAnsi="Calibri" w:cs="Calibri"/>
          <w:sz w:val="24"/>
          <w:szCs w:val="24"/>
          <w:lang w:val="el-GR"/>
        </w:rPr>
        <w:t>συμπληρώνοντας</w:t>
      </w:r>
      <w:r w:rsidRPr="002F1702">
        <w:rPr>
          <w:rFonts w:ascii="Calibri" w:hAnsi="Calibri" w:cs="Calibri"/>
          <w:sz w:val="24"/>
          <w:szCs w:val="24"/>
          <w:lang w:val="el-GR"/>
        </w:rPr>
        <w:t xml:space="preserve"> </w:t>
      </w:r>
      <w:r>
        <w:rPr>
          <w:rFonts w:ascii="Calibri" w:hAnsi="Calibri" w:cs="Calibri"/>
          <w:sz w:val="24"/>
          <w:szCs w:val="24"/>
          <w:lang w:val="el-GR"/>
        </w:rPr>
        <w:t>ένα</w:t>
      </w:r>
      <w:r w:rsidRPr="002F1702">
        <w:rPr>
          <w:rFonts w:ascii="Calibri" w:hAnsi="Calibri" w:cs="Calibri"/>
          <w:sz w:val="24"/>
          <w:szCs w:val="24"/>
          <w:lang w:val="el-GR"/>
        </w:rPr>
        <w:t xml:space="preserve"> </w:t>
      </w:r>
      <w:r>
        <w:rPr>
          <w:rFonts w:ascii="Calibri" w:hAnsi="Calibri" w:cs="Calibri"/>
          <w:sz w:val="24"/>
          <w:szCs w:val="24"/>
          <w:lang w:val="el-GR"/>
        </w:rPr>
        <w:t>συγκεκριμένο</w:t>
      </w:r>
      <w:r w:rsidRPr="002F1702">
        <w:rPr>
          <w:rFonts w:ascii="Calibri" w:hAnsi="Calibri" w:cs="Calibri"/>
          <w:sz w:val="24"/>
          <w:szCs w:val="24"/>
          <w:lang w:val="el-GR"/>
        </w:rPr>
        <w:t xml:space="preserve"> </w:t>
      </w:r>
      <w:r>
        <w:rPr>
          <w:rFonts w:ascii="Calibri" w:hAnsi="Calibri" w:cs="Calibri"/>
          <w:sz w:val="24"/>
          <w:szCs w:val="24"/>
          <w:lang w:val="el-GR"/>
        </w:rPr>
        <w:t>έντυπο</w:t>
      </w:r>
      <w:r w:rsidR="000E16E3" w:rsidRPr="002F1702">
        <w:rPr>
          <w:rFonts w:ascii="Calibri" w:hAnsi="Calibri" w:cs="Calibri"/>
          <w:sz w:val="24"/>
          <w:szCs w:val="24"/>
          <w:lang w:val="el-GR"/>
        </w:rPr>
        <w:t xml:space="preserve"> </w:t>
      </w:r>
      <w:r>
        <w:rPr>
          <w:rFonts w:ascii="Calibri" w:hAnsi="Calibri" w:cs="Calibri"/>
          <w:sz w:val="24"/>
          <w:szCs w:val="24"/>
          <w:lang w:val="el-GR"/>
        </w:rPr>
        <w:t>που</w:t>
      </w:r>
      <w:r w:rsidRPr="002F1702">
        <w:rPr>
          <w:rFonts w:ascii="Calibri" w:hAnsi="Calibri" w:cs="Calibri"/>
          <w:sz w:val="24"/>
          <w:szCs w:val="24"/>
          <w:lang w:val="el-GR"/>
        </w:rPr>
        <w:t xml:space="preserve"> </w:t>
      </w:r>
      <w:r>
        <w:rPr>
          <w:rFonts w:ascii="Calibri" w:hAnsi="Calibri" w:cs="Calibri"/>
          <w:sz w:val="24"/>
          <w:szCs w:val="24"/>
          <w:lang w:val="el-GR"/>
        </w:rPr>
        <w:t>περιλαμβάνει</w:t>
      </w:r>
      <w:r w:rsidRPr="002F1702">
        <w:rPr>
          <w:rFonts w:ascii="Calibri" w:hAnsi="Calibri" w:cs="Calibri"/>
          <w:sz w:val="24"/>
          <w:szCs w:val="24"/>
          <w:lang w:val="el-GR"/>
        </w:rPr>
        <w:t xml:space="preserve"> </w:t>
      </w:r>
      <w:r>
        <w:rPr>
          <w:rFonts w:ascii="Calibri" w:hAnsi="Calibri" w:cs="Calibri"/>
          <w:sz w:val="24"/>
          <w:szCs w:val="24"/>
          <w:lang w:val="el-GR"/>
        </w:rPr>
        <w:t>όλες</w:t>
      </w:r>
      <w:r w:rsidRPr="002F1702">
        <w:rPr>
          <w:rFonts w:ascii="Calibri" w:hAnsi="Calibri" w:cs="Calibri"/>
          <w:sz w:val="24"/>
          <w:szCs w:val="24"/>
          <w:lang w:val="el-GR"/>
        </w:rPr>
        <w:t xml:space="preserve"> </w:t>
      </w:r>
      <w:r>
        <w:rPr>
          <w:rFonts w:ascii="Calibri" w:hAnsi="Calibri" w:cs="Calibri"/>
          <w:sz w:val="24"/>
          <w:szCs w:val="24"/>
          <w:lang w:val="el-GR"/>
        </w:rPr>
        <w:t>τις</w:t>
      </w:r>
      <w:r w:rsidRPr="002F1702">
        <w:rPr>
          <w:rFonts w:ascii="Calibri" w:hAnsi="Calibri" w:cs="Calibri"/>
          <w:sz w:val="24"/>
          <w:szCs w:val="24"/>
          <w:lang w:val="el-GR"/>
        </w:rPr>
        <w:t xml:space="preserve"> </w:t>
      </w:r>
      <w:r>
        <w:rPr>
          <w:rFonts w:ascii="Calibri" w:hAnsi="Calibri" w:cs="Calibri"/>
          <w:sz w:val="24"/>
          <w:szCs w:val="24"/>
          <w:lang w:val="el-GR"/>
        </w:rPr>
        <w:t>απαιτούμενες</w:t>
      </w:r>
      <w:r w:rsidRPr="002F1702">
        <w:rPr>
          <w:rFonts w:ascii="Calibri" w:hAnsi="Calibri" w:cs="Calibri"/>
          <w:sz w:val="24"/>
          <w:szCs w:val="24"/>
          <w:lang w:val="el-GR"/>
        </w:rPr>
        <w:t xml:space="preserve"> </w:t>
      </w:r>
      <w:r>
        <w:rPr>
          <w:rFonts w:ascii="Calibri" w:hAnsi="Calibri" w:cs="Calibri"/>
          <w:sz w:val="24"/>
          <w:szCs w:val="24"/>
          <w:lang w:val="el-GR"/>
        </w:rPr>
        <w:t>πληροφορίες</w:t>
      </w:r>
      <w:r w:rsidR="000E16E3" w:rsidRPr="002F1702">
        <w:rPr>
          <w:rFonts w:ascii="Calibri" w:hAnsi="Calibri" w:cs="Calibri"/>
          <w:sz w:val="24"/>
          <w:szCs w:val="24"/>
          <w:lang w:val="el-GR"/>
        </w:rPr>
        <w:t xml:space="preserve">, </w:t>
      </w:r>
      <w:r>
        <w:rPr>
          <w:rFonts w:ascii="Calibri" w:hAnsi="Calibri" w:cs="Calibri"/>
          <w:sz w:val="24"/>
          <w:szCs w:val="24"/>
          <w:lang w:val="el-GR"/>
        </w:rPr>
        <w:t>συμπεριλαμβανομένου της ταυτότητας του/ων ατόμου/ων που συνάντησε</w:t>
      </w:r>
      <w:r w:rsidR="000E16E3" w:rsidRPr="002F1702">
        <w:rPr>
          <w:rFonts w:ascii="Calibri" w:hAnsi="Calibri" w:cs="Calibri"/>
          <w:sz w:val="24"/>
          <w:szCs w:val="24"/>
          <w:lang w:val="el-GR"/>
        </w:rPr>
        <w:t xml:space="preserve">, </w:t>
      </w:r>
      <w:r w:rsidR="00A950EC">
        <w:rPr>
          <w:rFonts w:ascii="Calibri" w:hAnsi="Calibri" w:cs="Calibri"/>
          <w:sz w:val="24"/>
          <w:szCs w:val="24"/>
          <w:lang w:val="el-GR"/>
        </w:rPr>
        <w:t xml:space="preserve">τον </w:t>
      </w:r>
      <w:r>
        <w:rPr>
          <w:rFonts w:ascii="Calibri" w:hAnsi="Calibri" w:cs="Calibri"/>
          <w:sz w:val="24"/>
          <w:szCs w:val="24"/>
          <w:lang w:val="el-GR"/>
        </w:rPr>
        <w:t>τόπο και ώρα συνάντησης</w:t>
      </w:r>
      <w:r w:rsidR="000E16E3" w:rsidRPr="002F1702">
        <w:rPr>
          <w:rFonts w:ascii="Calibri" w:hAnsi="Calibri" w:cs="Calibri"/>
          <w:sz w:val="24"/>
          <w:szCs w:val="24"/>
          <w:lang w:val="el-GR"/>
        </w:rPr>
        <w:t xml:space="preserve">, </w:t>
      </w:r>
      <w:r>
        <w:rPr>
          <w:rFonts w:ascii="Calibri" w:hAnsi="Calibri" w:cs="Calibri"/>
          <w:sz w:val="24"/>
          <w:szCs w:val="24"/>
          <w:lang w:val="el-GR"/>
        </w:rPr>
        <w:t>θέματα και θέσεις της συζήτησης</w:t>
      </w:r>
      <w:r w:rsidR="000E16E3" w:rsidRPr="002F1702">
        <w:rPr>
          <w:rFonts w:ascii="Calibri" w:hAnsi="Calibri" w:cs="Calibri"/>
          <w:sz w:val="24"/>
          <w:szCs w:val="24"/>
          <w:lang w:val="el-GR"/>
        </w:rPr>
        <w:t xml:space="preserve"> </w:t>
      </w:r>
      <w:r>
        <w:rPr>
          <w:rFonts w:ascii="Calibri" w:hAnsi="Calibri" w:cs="Calibri"/>
          <w:sz w:val="24"/>
          <w:szCs w:val="24"/>
          <w:lang w:val="el-GR"/>
        </w:rPr>
        <w:t>και τον τομέα με τον οποίο σχετιζόταν</w:t>
      </w:r>
      <w:r w:rsidR="000E16E3" w:rsidRPr="002F1702">
        <w:rPr>
          <w:rFonts w:ascii="Calibri" w:hAnsi="Calibri" w:cs="Calibri"/>
          <w:sz w:val="24"/>
          <w:szCs w:val="24"/>
          <w:lang w:val="el-GR"/>
        </w:rPr>
        <w:t xml:space="preserve"> (</w:t>
      </w:r>
      <w:r>
        <w:rPr>
          <w:rFonts w:ascii="Calibri" w:hAnsi="Calibri" w:cs="Calibri"/>
          <w:sz w:val="24"/>
          <w:szCs w:val="24"/>
          <w:lang w:val="el-GR"/>
        </w:rPr>
        <w:t>Παράρτημα</w:t>
      </w:r>
      <w:r w:rsidR="000E16E3" w:rsidRPr="002F1702">
        <w:rPr>
          <w:rFonts w:ascii="Calibri" w:hAnsi="Calibri" w:cs="Calibri"/>
          <w:sz w:val="24"/>
          <w:szCs w:val="24"/>
          <w:lang w:val="el-GR"/>
        </w:rPr>
        <w:t xml:space="preserve"> </w:t>
      </w:r>
      <w:r w:rsidR="000E16E3">
        <w:rPr>
          <w:rFonts w:ascii="Calibri" w:hAnsi="Calibri" w:cs="Calibri"/>
          <w:sz w:val="24"/>
          <w:szCs w:val="24"/>
        </w:rPr>
        <w:t>III</w:t>
      </w:r>
      <w:r w:rsidR="000E16E3" w:rsidRPr="002F1702">
        <w:rPr>
          <w:rFonts w:ascii="Calibri" w:hAnsi="Calibri" w:cs="Calibri"/>
          <w:sz w:val="24"/>
          <w:szCs w:val="24"/>
          <w:lang w:val="el-GR"/>
        </w:rPr>
        <w:t xml:space="preserve">, </w:t>
      </w:r>
      <w:r>
        <w:rPr>
          <w:rFonts w:ascii="Calibri" w:hAnsi="Calibri" w:cs="Calibri"/>
          <w:sz w:val="24"/>
          <w:szCs w:val="24"/>
          <w:lang w:val="el-GR"/>
        </w:rPr>
        <w:t>Άρθρο</w:t>
      </w:r>
      <w:r w:rsidR="000E16E3" w:rsidRPr="002F1702">
        <w:rPr>
          <w:rFonts w:ascii="Calibri" w:hAnsi="Calibri" w:cs="Calibri"/>
          <w:sz w:val="24"/>
          <w:szCs w:val="24"/>
          <w:lang w:val="el-GR"/>
        </w:rPr>
        <w:t xml:space="preserve"> 17). </w:t>
      </w:r>
      <w:r>
        <w:rPr>
          <w:rFonts w:ascii="Calibri" w:hAnsi="Calibri" w:cs="Calibri"/>
          <w:sz w:val="24"/>
          <w:szCs w:val="24"/>
          <w:lang w:val="el-GR"/>
        </w:rPr>
        <w:t>Ο</w:t>
      </w:r>
      <w:r w:rsidRPr="002F1702">
        <w:rPr>
          <w:rFonts w:ascii="Calibri" w:hAnsi="Calibri" w:cs="Calibri"/>
          <w:sz w:val="24"/>
          <w:szCs w:val="24"/>
          <w:lang w:val="el-GR"/>
        </w:rPr>
        <w:t xml:space="preserve"> </w:t>
      </w:r>
      <w:r>
        <w:rPr>
          <w:rFonts w:ascii="Calibri" w:hAnsi="Calibri" w:cs="Calibri"/>
          <w:sz w:val="24"/>
          <w:szCs w:val="24"/>
          <w:lang w:val="el-GR"/>
        </w:rPr>
        <w:t>Νόμος</w:t>
      </w:r>
      <w:r w:rsidRPr="002F1702">
        <w:rPr>
          <w:rFonts w:ascii="Calibri" w:hAnsi="Calibri" w:cs="Calibri"/>
          <w:sz w:val="24"/>
          <w:szCs w:val="24"/>
          <w:lang w:val="el-GR"/>
        </w:rPr>
        <w:t xml:space="preserve"> </w:t>
      </w:r>
      <w:r>
        <w:rPr>
          <w:rFonts w:ascii="Calibri" w:hAnsi="Calibri" w:cs="Calibri"/>
          <w:sz w:val="24"/>
          <w:szCs w:val="24"/>
          <w:lang w:val="el-GR"/>
        </w:rPr>
        <w:t>δεν</w:t>
      </w:r>
      <w:r w:rsidRPr="002F1702">
        <w:rPr>
          <w:rFonts w:ascii="Calibri" w:hAnsi="Calibri" w:cs="Calibri"/>
          <w:sz w:val="24"/>
          <w:szCs w:val="24"/>
          <w:lang w:val="el-GR"/>
        </w:rPr>
        <w:t xml:space="preserve"> </w:t>
      </w:r>
      <w:r>
        <w:rPr>
          <w:rFonts w:ascii="Calibri" w:hAnsi="Calibri" w:cs="Calibri"/>
          <w:sz w:val="24"/>
          <w:szCs w:val="24"/>
          <w:lang w:val="el-GR"/>
        </w:rPr>
        <w:t>ισχύει</w:t>
      </w:r>
      <w:r w:rsidRPr="002F1702">
        <w:rPr>
          <w:rFonts w:ascii="Calibri" w:hAnsi="Calibri" w:cs="Calibri"/>
          <w:sz w:val="24"/>
          <w:szCs w:val="24"/>
          <w:lang w:val="el-GR"/>
        </w:rPr>
        <w:t xml:space="preserve"> </w:t>
      </w:r>
      <w:r>
        <w:rPr>
          <w:rFonts w:ascii="Calibri" w:hAnsi="Calibri" w:cs="Calibri"/>
          <w:sz w:val="24"/>
          <w:szCs w:val="24"/>
          <w:lang w:val="el-GR"/>
        </w:rPr>
        <w:t>για</w:t>
      </w:r>
      <w:r w:rsidRPr="002F1702">
        <w:rPr>
          <w:rFonts w:ascii="Calibri" w:hAnsi="Calibri" w:cs="Calibri"/>
          <w:sz w:val="24"/>
          <w:szCs w:val="24"/>
          <w:lang w:val="el-GR"/>
        </w:rPr>
        <w:t xml:space="preserve"> </w:t>
      </w:r>
      <w:r>
        <w:rPr>
          <w:rFonts w:ascii="Calibri" w:hAnsi="Calibri" w:cs="Calibri"/>
          <w:sz w:val="24"/>
          <w:szCs w:val="24"/>
          <w:lang w:val="el-GR"/>
        </w:rPr>
        <w:t>τυχαίες</w:t>
      </w:r>
      <w:r w:rsidRPr="002F1702">
        <w:rPr>
          <w:rFonts w:ascii="Calibri" w:hAnsi="Calibri" w:cs="Calibri"/>
          <w:sz w:val="24"/>
          <w:szCs w:val="24"/>
          <w:lang w:val="el-GR"/>
        </w:rPr>
        <w:t xml:space="preserve"> </w:t>
      </w:r>
      <w:r>
        <w:rPr>
          <w:rFonts w:ascii="Calibri" w:hAnsi="Calibri" w:cs="Calibri"/>
          <w:sz w:val="24"/>
          <w:szCs w:val="24"/>
          <w:lang w:val="el-GR"/>
        </w:rPr>
        <w:t>συναντήσεις</w:t>
      </w:r>
      <w:r w:rsidRPr="002F1702">
        <w:rPr>
          <w:rFonts w:ascii="Calibri" w:hAnsi="Calibri" w:cs="Calibri"/>
          <w:sz w:val="24"/>
          <w:szCs w:val="24"/>
          <w:lang w:val="el-GR"/>
        </w:rPr>
        <w:t xml:space="preserve"> </w:t>
      </w:r>
      <w:r>
        <w:rPr>
          <w:rFonts w:ascii="Calibri" w:hAnsi="Calibri" w:cs="Calibri"/>
          <w:sz w:val="24"/>
          <w:szCs w:val="24"/>
          <w:lang w:val="el-GR"/>
        </w:rPr>
        <w:t>ή</w:t>
      </w:r>
      <w:r w:rsidRPr="002F1702">
        <w:rPr>
          <w:rFonts w:ascii="Calibri" w:hAnsi="Calibri" w:cs="Calibri"/>
          <w:sz w:val="24"/>
          <w:szCs w:val="24"/>
          <w:lang w:val="el-GR"/>
        </w:rPr>
        <w:t xml:space="preserve"> </w:t>
      </w:r>
      <w:r>
        <w:rPr>
          <w:rFonts w:ascii="Calibri" w:hAnsi="Calibri" w:cs="Calibri"/>
          <w:sz w:val="24"/>
          <w:szCs w:val="24"/>
          <w:lang w:val="el-GR"/>
        </w:rPr>
        <w:t>τυχαίες</w:t>
      </w:r>
      <w:r w:rsidRPr="002F1702">
        <w:rPr>
          <w:rFonts w:ascii="Calibri" w:hAnsi="Calibri" w:cs="Calibri"/>
          <w:sz w:val="24"/>
          <w:szCs w:val="24"/>
          <w:lang w:val="el-GR"/>
        </w:rPr>
        <w:t xml:space="preserve"> </w:t>
      </w:r>
      <w:r>
        <w:rPr>
          <w:rFonts w:ascii="Calibri" w:hAnsi="Calibri" w:cs="Calibri"/>
          <w:sz w:val="24"/>
          <w:szCs w:val="24"/>
          <w:lang w:val="el-GR"/>
        </w:rPr>
        <w:t>κοινωνικές επαφές</w:t>
      </w:r>
      <w:r w:rsidR="00A5147D" w:rsidRPr="002F1702">
        <w:rPr>
          <w:rFonts w:ascii="Calibri" w:hAnsi="Calibri" w:cs="Calibri"/>
          <w:sz w:val="24"/>
          <w:szCs w:val="24"/>
          <w:lang w:val="el-GR"/>
        </w:rPr>
        <w:t xml:space="preserve">. </w:t>
      </w:r>
    </w:p>
    <w:p w14:paraId="00637C70" w14:textId="77777777" w:rsidR="00746200" w:rsidRPr="002F1702" w:rsidRDefault="00746200" w:rsidP="00A5147D">
      <w:pPr>
        <w:tabs>
          <w:tab w:val="left" w:pos="709"/>
        </w:tabs>
        <w:rPr>
          <w:rFonts w:cstheme="minorHAnsi"/>
          <w:sz w:val="24"/>
          <w:szCs w:val="24"/>
          <w:lang w:val="el-GR"/>
        </w:rPr>
      </w:pPr>
    </w:p>
    <w:p w14:paraId="3A603ED3" w14:textId="3F430438" w:rsidR="00A5147D" w:rsidRPr="00BE5B13" w:rsidRDefault="002F1702" w:rsidP="00A5147D">
      <w:pPr>
        <w:numPr>
          <w:ilvl w:val="0"/>
          <w:numId w:val="1"/>
        </w:numPr>
        <w:tabs>
          <w:tab w:val="clear" w:pos="6095"/>
          <w:tab w:val="left" w:pos="709"/>
        </w:tabs>
        <w:ind w:left="0" w:firstLine="0"/>
        <w:rPr>
          <w:rFonts w:cstheme="minorHAnsi"/>
          <w:sz w:val="24"/>
          <w:szCs w:val="24"/>
          <w:lang w:val="el-GR"/>
        </w:rPr>
      </w:pPr>
      <w:r>
        <w:rPr>
          <w:rFonts w:ascii="Calibri" w:hAnsi="Calibri" w:cs="Calibri"/>
          <w:sz w:val="24"/>
          <w:szCs w:val="24"/>
          <w:lang w:val="el-GR"/>
        </w:rPr>
        <w:t>Όπως</w:t>
      </w:r>
      <w:r w:rsidRPr="00BE5B13">
        <w:rPr>
          <w:rFonts w:ascii="Calibri" w:hAnsi="Calibri" w:cs="Calibri"/>
          <w:sz w:val="24"/>
          <w:szCs w:val="24"/>
          <w:lang w:val="el-GR"/>
        </w:rPr>
        <w:t xml:space="preserve"> </w:t>
      </w:r>
      <w:r>
        <w:rPr>
          <w:rFonts w:ascii="Calibri" w:hAnsi="Calibri" w:cs="Calibri"/>
          <w:sz w:val="24"/>
          <w:szCs w:val="24"/>
          <w:lang w:val="el-GR"/>
        </w:rPr>
        <w:t>αναφέρθηκε</w:t>
      </w:r>
      <w:r w:rsidRPr="00BE5B13">
        <w:rPr>
          <w:rFonts w:ascii="Calibri" w:hAnsi="Calibri" w:cs="Calibri"/>
          <w:sz w:val="24"/>
          <w:szCs w:val="24"/>
          <w:lang w:val="el-GR"/>
        </w:rPr>
        <w:t xml:space="preserve"> </w:t>
      </w:r>
      <w:r>
        <w:rPr>
          <w:rFonts w:ascii="Calibri" w:hAnsi="Calibri" w:cs="Calibri"/>
          <w:sz w:val="24"/>
          <w:szCs w:val="24"/>
          <w:lang w:val="el-GR"/>
        </w:rPr>
        <w:t>προηγουμένως</w:t>
      </w:r>
      <w:r w:rsidR="00A5147D" w:rsidRPr="00BE5B13">
        <w:rPr>
          <w:rFonts w:ascii="Calibri" w:hAnsi="Calibri" w:cs="Calibri"/>
          <w:sz w:val="24"/>
          <w:szCs w:val="24"/>
          <w:lang w:val="el-GR"/>
        </w:rPr>
        <w:t xml:space="preserve">, </w:t>
      </w:r>
      <w:r>
        <w:rPr>
          <w:rFonts w:ascii="Calibri" w:hAnsi="Calibri" w:cs="Calibri"/>
          <w:sz w:val="24"/>
          <w:szCs w:val="24"/>
          <w:lang w:val="el-GR"/>
        </w:rPr>
        <w:t>η</w:t>
      </w:r>
      <w:r w:rsidRPr="00BE5B13">
        <w:rPr>
          <w:rFonts w:ascii="Calibri" w:hAnsi="Calibri" w:cs="Calibri"/>
          <w:sz w:val="24"/>
          <w:szCs w:val="24"/>
          <w:lang w:val="el-GR"/>
        </w:rPr>
        <w:t xml:space="preserve"> </w:t>
      </w:r>
      <w:r>
        <w:rPr>
          <w:rFonts w:ascii="Calibri" w:hAnsi="Calibri" w:cs="Calibri"/>
          <w:sz w:val="24"/>
          <w:szCs w:val="24"/>
          <w:lang w:val="el-GR"/>
        </w:rPr>
        <w:t>Αρχή</w:t>
      </w:r>
      <w:r w:rsidRPr="00BE5B13">
        <w:rPr>
          <w:rFonts w:ascii="Calibri" w:hAnsi="Calibri" w:cs="Calibri"/>
          <w:sz w:val="24"/>
          <w:szCs w:val="24"/>
          <w:lang w:val="el-GR"/>
        </w:rPr>
        <w:t xml:space="preserve"> </w:t>
      </w:r>
      <w:r w:rsidR="006910E5">
        <w:rPr>
          <w:rFonts w:ascii="Calibri" w:hAnsi="Calibri" w:cs="Calibri"/>
          <w:sz w:val="24"/>
          <w:szCs w:val="24"/>
          <w:lang w:val="el-GR"/>
        </w:rPr>
        <w:t>κατά</w:t>
      </w:r>
      <w:r w:rsidRPr="00BE5B13">
        <w:rPr>
          <w:rFonts w:ascii="Calibri" w:hAnsi="Calibri" w:cs="Calibri"/>
          <w:sz w:val="24"/>
          <w:szCs w:val="24"/>
          <w:lang w:val="el-GR"/>
        </w:rPr>
        <w:t xml:space="preserve"> </w:t>
      </w:r>
      <w:r>
        <w:rPr>
          <w:rFonts w:ascii="Calibri" w:hAnsi="Calibri" w:cs="Calibri"/>
          <w:sz w:val="24"/>
          <w:szCs w:val="24"/>
          <w:lang w:val="el-GR"/>
        </w:rPr>
        <w:t>της</w:t>
      </w:r>
      <w:r w:rsidRPr="00BE5B13">
        <w:rPr>
          <w:rFonts w:ascii="Calibri" w:hAnsi="Calibri" w:cs="Calibri"/>
          <w:sz w:val="24"/>
          <w:szCs w:val="24"/>
          <w:lang w:val="el-GR"/>
        </w:rPr>
        <w:t xml:space="preserve"> </w:t>
      </w:r>
      <w:r>
        <w:rPr>
          <w:rFonts w:ascii="Calibri" w:hAnsi="Calibri" w:cs="Calibri"/>
          <w:sz w:val="24"/>
          <w:szCs w:val="24"/>
          <w:lang w:val="el-GR"/>
        </w:rPr>
        <w:t>Διαφθοράς</w:t>
      </w:r>
      <w:r w:rsidR="00A5147D" w:rsidRPr="00BE5B13">
        <w:rPr>
          <w:rFonts w:ascii="Calibri" w:hAnsi="Calibri" w:cs="Calibri"/>
          <w:sz w:val="24"/>
          <w:szCs w:val="24"/>
          <w:lang w:val="el-GR"/>
        </w:rPr>
        <w:t xml:space="preserve"> </w:t>
      </w:r>
      <w:r w:rsidR="00BE5B13">
        <w:rPr>
          <w:rFonts w:ascii="Calibri" w:hAnsi="Calibri" w:cs="Calibri"/>
          <w:sz w:val="24"/>
          <w:szCs w:val="24"/>
          <w:lang w:val="el-GR"/>
        </w:rPr>
        <w:t>είναι</w:t>
      </w:r>
      <w:r w:rsidR="00BE5B13" w:rsidRPr="00BE5B13">
        <w:rPr>
          <w:rFonts w:ascii="Calibri" w:hAnsi="Calibri" w:cs="Calibri"/>
          <w:sz w:val="24"/>
          <w:szCs w:val="24"/>
          <w:lang w:val="el-GR"/>
        </w:rPr>
        <w:t xml:space="preserve"> </w:t>
      </w:r>
      <w:r w:rsidR="0077336D">
        <w:rPr>
          <w:rFonts w:ascii="Calibri" w:hAnsi="Calibri" w:cs="Calibri"/>
          <w:sz w:val="24"/>
          <w:szCs w:val="24"/>
          <w:lang w:val="el-GR"/>
        </w:rPr>
        <w:t xml:space="preserve">επιφορτισμένη </w:t>
      </w:r>
      <w:r w:rsidR="00BE5B13">
        <w:rPr>
          <w:rFonts w:ascii="Calibri" w:hAnsi="Calibri" w:cs="Calibri"/>
          <w:sz w:val="24"/>
          <w:szCs w:val="24"/>
          <w:lang w:val="el-GR"/>
        </w:rPr>
        <w:t>με</w:t>
      </w:r>
      <w:r w:rsidR="00BE5B13" w:rsidRPr="00BE5B13">
        <w:rPr>
          <w:rFonts w:ascii="Calibri" w:hAnsi="Calibri" w:cs="Calibri"/>
          <w:sz w:val="24"/>
          <w:szCs w:val="24"/>
          <w:lang w:val="el-GR"/>
        </w:rPr>
        <w:t xml:space="preserve"> </w:t>
      </w:r>
      <w:r w:rsidR="00BE5B13">
        <w:rPr>
          <w:rFonts w:ascii="Calibri" w:hAnsi="Calibri" w:cs="Calibri"/>
          <w:sz w:val="24"/>
          <w:szCs w:val="24"/>
          <w:lang w:val="el-GR"/>
        </w:rPr>
        <w:t>εποπτικό</w:t>
      </w:r>
      <w:r w:rsidR="00BE5B13" w:rsidRPr="00BE5B13">
        <w:rPr>
          <w:rFonts w:ascii="Calibri" w:hAnsi="Calibri" w:cs="Calibri"/>
          <w:sz w:val="24"/>
          <w:szCs w:val="24"/>
          <w:lang w:val="el-GR"/>
        </w:rPr>
        <w:t xml:space="preserve"> </w:t>
      </w:r>
      <w:r w:rsidR="00BE5B13">
        <w:rPr>
          <w:rFonts w:ascii="Calibri" w:hAnsi="Calibri" w:cs="Calibri"/>
          <w:sz w:val="24"/>
          <w:szCs w:val="24"/>
          <w:lang w:val="el-GR"/>
        </w:rPr>
        <w:t>ρόλο</w:t>
      </w:r>
      <w:r w:rsidR="00BE5B13" w:rsidRPr="00BE5B13">
        <w:rPr>
          <w:rFonts w:ascii="Calibri" w:hAnsi="Calibri" w:cs="Calibri"/>
          <w:sz w:val="24"/>
          <w:szCs w:val="24"/>
          <w:lang w:val="el-GR"/>
        </w:rPr>
        <w:t xml:space="preserve"> </w:t>
      </w:r>
      <w:r w:rsidR="00BE5B13">
        <w:rPr>
          <w:rFonts w:ascii="Calibri" w:hAnsi="Calibri" w:cs="Calibri"/>
          <w:sz w:val="24"/>
          <w:szCs w:val="24"/>
          <w:lang w:val="el-GR"/>
        </w:rPr>
        <w:t>αναφορικά</w:t>
      </w:r>
      <w:r w:rsidR="00BE5B13" w:rsidRPr="00BE5B13">
        <w:rPr>
          <w:rFonts w:ascii="Calibri" w:hAnsi="Calibri" w:cs="Calibri"/>
          <w:sz w:val="24"/>
          <w:szCs w:val="24"/>
          <w:lang w:val="el-GR"/>
        </w:rPr>
        <w:t xml:space="preserve"> </w:t>
      </w:r>
      <w:r w:rsidR="00BE5B13">
        <w:rPr>
          <w:rFonts w:ascii="Calibri" w:hAnsi="Calibri" w:cs="Calibri"/>
          <w:sz w:val="24"/>
          <w:szCs w:val="24"/>
          <w:lang w:val="el-GR"/>
        </w:rPr>
        <w:t>με</w:t>
      </w:r>
      <w:r w:rsidR="00BE5B13" w:rsidRPr="00BE5B13">
        <w:rPr>
          <w:rFonts w:ascii="Calibri" w:hAnsi="Calibri" w:cs="Calibri"/>
          <w:sz w:val="24"/>
          <w:szCs w:val="24"/>
          <w:lang w:val="el-GR"/>
        </w:rPr>
        <w:t xml:space="preserve"> </w:t>
      </w:r>
      <w:r w:rsidR="00BE5B13">
        <w:rPr>
          <w:rFonts w:ascii="Calibri" w:hAnsi="Calibri" w:cs="Calibri"/>
          <w:sz w:val="24"/>
          <w:szCs w:val="24"/>
          <w:lang w:val="el-GR"/>
        </w:rPr>
        <w:t>τις</w:t>
      </w:r>
      <w:r w:rsidR="00BE5B13" w:rsidRPr="00BE5B13">
        <w:rPr>
          <w:rFonts w:ascii="Calibri" w:hAnsi="Calibri" w:cs="Calibri"/>
          <w:sz w:val="24"/>
          <w:szCs w:val="24"/>
          <w:lang w:val="el-GR"/>
        </w:rPr>
        <w:t xml:space="preserve"> </w:t>
      </w:r>
      <w:r w:rsidR="00BE5B13">
        <w:rPr>
          <w:rFonts w:ascii="Calibri" w:hAnsi="Calibri" w:cs="Calibri"/>
          <w:sz w:val="24"/>
          <w:szCs w:val="24"/>
          <w:lang w:val="el-GR"/>
        </w:rPr>
        <w:t>επαφές</w:t>
      </w:r>
      <w:r w:rsidR="00A5147D" w:rsidRPr="00BE5B13">
        <w:rPr>
          <w:rFonts w:ascii="Calibri" w:eastAsia="Calibri" w:hAnsi="Calibri" w:cs="Calibri"/>
          <w:sz w:val="24"/>
          <w:szCs w:val="24"/>
          <w:lang w:val="el-GR"/>
        </w:rPr>
        <w:t xml:space="preserve"> </w:t>
      </w:r>
      <w:r w:rsidR="00BE5B13">
        <w:rPr>
          <w:rFonts w:ascii="Calibri" w:eastAsia="Calibri" w:hAnsi="Calibri" w:cs="Calibri"/>
          <w:sz w:val="24"/>
          <w:szCs w:val="24"/>
          <w:lang w:val="el-GR"/>
        </w:rPr>
        <w:t>των δημοσίων λειτουργών</w:t>
      </w:r>
      <w:r w:rsidR="00A5147D" w:rsidRPr="00BE5B13">
        <w:rPr>
          <w:rFonts w:ascii="Calibri" w:eastAsia="Calibri" w:hAnsi="Calibri" w:cs="Calibri"/>
          <w:sz w:val="24"/>
          <w:szCs w:val="24"/>
          <w:lang w:val="el-GR"/>
        </w:rPr>
        <w:t xml:space="preserve"> </w:t>
      </w:r>
      <w:r w:rsidR="00BE5B13">
        <w:rPr>
          <w:rFonts w:ascii="Calibri" w:eastAsia="Calibri" w:hAnsi="Calibri" w:cs="Calibri"/>
          <w:sz w:val="24"/>
          <w:szCs w:val="24"/>
          <w:lang w:val="el-GR"/>
        </w:rPr>
        <w:t>με αντιπροσώπους ομάδων με συγκεκριμένο συμφέρον</w:t>
      </w:r>
      <w:r w:rsidR="00A5147D" w:rsidRPr="00BE5B13">
        <w:rPr>
          <w:rFonts w:ascii="Calibri" w:eastAsia="Calibri" w:hAnsi="Calibri" w:cs="Calibri"/>
          <w:sz w:val="24"/>
          <w:szCs w:val="24"/>
          <w:lang w:val="el-GR"/>
        </w:rPr>
        <w:t xml:space="preserve">, </w:t>
      </w:r>
      <w:r w:rsidR="00BE5B13">
        <w:rPr>
          <w:rFonts w:ascii="Calibri" w:eastAsia="Calibri" w:hAnsi="Calibri" w:cs="Calibri"/>
          <w:sz w:val="24"/>
          <w:szCs w:val="24"/>
          <w:lang w:val="el-GR"/>
        </w:rPr>
        <w:t>όταν εξετάζει θέματα σύγκρουσης συμφερόντων</w:t>
      </w:r>
      <w:r w:rsidR="00A5147D" w:rsidRPr="00BE5B13">
        <w:rPr>
          <w:rFonts w:ascii="Calibri" w:eastAsia="Calibri" w:hAnsi="Calibri" w:cs="Calibri"/>
          <w:sz w:val="24"/>
          <w:szCs w:val="24"/>
          <w:lang w:val="el-GR"/>
        </w:rPr>
        <w:t xml:space="preserve">. </w:t>
      </w:r>
      <w:r w:rsidR="00BE5B13">
        <w:rPr>
          <w:rFonts w:ascii="Calibri" w:eastAsia="Calibri" w:hAnsi="Calibri" w:cs="Calibri"/>
          <w:sz w:val="24"/>
          <w:szCs w:val="24"/>
          <w:lang w:val="el-GR"/>
        </w:rPr>
        <w:t>Ο</w:t>
      </w:r>
      <w:r w:rsidR="00BE5B13" w:rsidRPr="00BE5B13">
        <w:rPr>
          <w:rFonts w:ascii="Calibri" w:eastAsia="Calibri" w:hAnsi="Calibri" w:cs="Calibri"/>
          <w:sz w:val="24"/>
          <w:szCs w:val="24"/>
          <w:lang w:val="el-GR"/>
        </w:rPr>
        <w:t xml:space="preserve"> </w:t>
      </w:r>
      <w:r w:rsidR="00BE5B13">
        <w:rPr>
          <w:rFonts w:ascii="Calibri" w:eastAsia="Calibri" w:hAnsi="Calibri" w:cs="Calibri"/>
          <w:sz w:val="24"/>
          <w:szCs w:val="24"/>
          <w:lang w:val="el-GR"/>
        </w:rPr>
        <w:t>Νόμος</w:t>
      </w:r>
      <w:r w:rsidR="00BE5B13" w:rsidRPr="00BE5B13">
        <w:rPr>
          <w:rFonts w:ascii="Calibri" w:eastAsia="Calibri" w:hAnsi="Calibri" w:cs="Calibri"/>
          <w:sz w:val="24"/>
          <w:szCs w:val="24"/>
          <w:lang w:val="el-GR"/>
        </w:rPr>
        <w:t xml:space="preserve"> </w:t>
      </w:r>
      <w:r w:rsidR="00BE5B13">
        <w:rPr>
          <w:rFonts w:ascii="Calibri" w:eastAsia="Calibri" w:hAnsi="Calibri" w:cs="Calibri"/>
          <w:sz w:val="24"/>
          <w:szCs w:val="24"/>
          <w:lang w:val="el-GR"/>
        </w:rPr>
        <w:t>προβλέπει</w:t>
      </w:r>
      <w:r w:rsidR="00BE5B13" w:rsidRPr="00BE5B13">
        <w:rPr>
          <w:rFonts w:ascii="Calibri" w:eastAsia="Calibri" w:hAnsi="Calibri" w:cs="Calibri"/>
          <w:sz w:val="24"/>
          <w:szCs w:val="24"/>
          <w:lang w:val="el-GR"/>
        </w:rPr>
        <w:t xml:space="preserve"> </w:t>
      </w:r>
      <w:r w:rsidR="00B9009D">
        <w:rPr>
          <w:rFonts w:ascii="Calibri" w:eastAsia="Calibri" w:hAnsi="Calibri" w:cs="Calibri"/>
          <w:sz w:val="24"/>
          <w:szCs w:val="24"/>
          <w:lang w:val="el-GR"/>
        </w:rPr>
        <w:t xml:space="preserve">όπως </w:t>
      </w:r>
      <w:r w:rsidR="00BE5B13">
        <w:rPr>
          <w:rFonts w:ascii="Calibri" w:eastAsia="Calibri" w:hAnsi="Calibri" w:cs="Calibri"/>
          <w:sz w:val="24"/>
          <w:szCs w:val="24"/>
          <w:lang w:val="el-GR"/>
        </w:rPr>
        <w:t>η</w:t>
      </w:r>
      <w:r w:rsidR="00BE5B13" w:rsidRPr="00BE5B13">
        <w:rPr>
          <w:rFonts w:ascii="Calibri" w:eastAsia="Calibri" w:hAnsi="Calibri" w:cs="Calibri"/>
          <w:sz w:val="24"/>
          <w:szCs w:val="24"/>
          <w:lang w:val="el-GR"/>
        </w:rPr>
        <w:t xml:space="preserve"> </w:t>
      </w:r>
      <w:r w:rsidR="00BE5B13">
        <w:rPr>
          <w:rFonts w:ascii="Calibri" w:eastAsia="Calibri" w:hAnsi="Calibri" w:cs="Calibri"/>
          <w:sz w:val="24"/>
          <w:szCs w:val="24"/>
          <w:lang w:val="el-GR"/>
        </w:rPr>
        <w:t>Αρχή</w:t>
      </w:r>
      <w:r w:rsidR="00BE5B13" w:rsidRPr="00BE5B13">
        <w:rPr>
          <w:rFonts w:ascii="Calibri" w:eastAsia="Calibri" w:hAnsi="Calibri" w:cs="Calibri"/>
          <w:sz w:val="24"/>
          <w:szCs w:val="24"/>
          <w:lang w:val="el-GR"/>
        </w:rPr>
        <w:t xml:space="preserve"> </w:t>
      </w:r>
      <w:r w:rsidR="00BE5B13">
        <w:rPr>
          <w:rFonts w:ascii="Calibri" w:eastAsia="Calibri" w:hAnsi="Calibri" w:cs="Calibri"/>
          <w:sz w:val="24"/>
          <w:szCs w:val="24"/>
          <w:lang w:val="el-GR"/>
        </w:rPr>
        <w:t>εκδίδει</w:t>
      </w:r>
      <w:r w:rsidR="00BE5B13" w:rsidRPr="00BE5B13">
        <w:rPr>
          <w:rFonts w:ascii="Calibri" w:eastAsia="Calibri" w:hAnsi="Calibri" w:cs="Calibri"/>
          <w:sz w:val="24"/>
          <w:szCs w:val="24"/>
          <w:lang w:val="el-GR"/>
        </w:rPr>
        <w:t xml:space="preserve"> </w:t>
      </w:r>
      <w:r w:rsidR="00BE5B13">
        <w:rPr>
          <w:rFonts w:ascii="Calibri" w:eastAsia="Calibri" w:hAnsi="Calibri" w:cs="Calibri"/>
          <w:sz w:val="24"/>
          <w:szCs w:val="24"/>
          <w:lang w:val="el-GR"/>
        </w:rPr>
        <w:t>και</w:t>
      </w:r>
      <w:r w:rsidR="00BE5B13" w:rsidRPr="00BE5B13">
        <w:rPr>
          <w:rFonts w:ascii="Calibri" w:eastAsia="Calibri" w:hAnsi="Calibri" w:cs="Calibri"/>
          <w:sz w:val="24"/>
          <w:szCs w:val="24"/>
          <w:lang w:val="el-GR"/>
        </w:rPr>
        <w:t xml:space="preserve"> </w:t>
      </w:r>
      <w:r w:rsidR="00BE5B13">
        <w:rPr>
          <w:rFonts w:ascii="Calibri" w:eastAsia="Calibri" w:hAnsi="Calibri" w:cs="Calibri"/>
          <w:sz w:val="24"/>
          <w:szCs w:val="24"/>
          <w:lang w:val="el-GR"/>
        </w:rPr>
        <w:t>αναρτ</w:t>
      </w:r>
      <w:r w:rsidR="00B9009D">
        <w:rPr>
          <w:rFonts w:ascii="Calibri" w:eastAsia="Calibri" w:hAnsi="Calibri" w:cs="Calibri"/>
          <w:sz w:val="24"/>
          <w:szCs w:val="24"/>
          <w:lang w:val="el-GR"/>
        </w:rPr>
        <w:t>ά</w:t>
      </w:r>
      <w:r w:rsidR="00A5147D" w:rsidRPr="00BE5B13">
        <w:rPr>
          <w:rFonts w:cstheme="minorHAnsi"/>
          <w:sz w:val="24"/>
          <w:szCs w:val="24"/>
          <w:lang w:val="el-GR"/>
        </w:rPr>
        <w:t xml:space="preserve">, </w:t>
      </w:r>
      <w:r w:rsidR="00BE5B13">
        <w:rPr>
          <w:rFonts w:cstheme="minorHAnsi"/>
          <w:sz w:val="24"/>
          <w:szCs w:val="24"/>
          <w:lang w:val="el-GR"/>
        </w:rPr>
        <w:t>στην</w:t>
      </w:r>
      <w:r w:rsidR="00BE5B13" w:rsidRPr="00BE5B13">
        <w:rPr>
          <w:rFonts w:cstheme="minorHAnsi"/>
          <w:sz w:val="24"/>
          <w:szCs w:val="24"/>
          <w:lang w:val="el-GR"/>
        </w:rPr>
        <w:t xml:space="preserve"> </w:t>
      </w:r>
      <w:r w:rsidR="00BE5B13">
        <w:rPr>
          <w:rFonts w:cstheme="minorHAnsi"/>
          <w:sz w:val="24"/>
          <w:szCs w:val="24"/>
          <w:lang w:val="el-GR"/>
        </w:rPr>
        <w:t>ιστοσελίδα της</w:t>
      </w:r>
      <w:r w:rsidR="00A5147D" w:rsidRPr="00BE5B13">
        <w:rPr>
          <w:rFonts w:cstheme="minorHAnsi"/>
          <w:sz w:val="24"/>
          <w:szCs w:val="24"/>
          <w:lang w:val="el-GR"/>
        </w:rPr>
        <w:t xml:space="preserve">, </w:t>
      </w:r>
      <w:r w:rsidR="00BE5B13">
        <w:rPr>
          <w:rFonts w:cstheme="minorHAnsi"/>
          <w:sz w:val="24"/>
          <w:szCs w:val="24"/>
          <w:lang w:val="el-GR"/>
        </w:rPr>
        <w:t xml:space="preserve">εγκυκλίους που βελτιώνουν τις </w:t>
      </w:r>
      <w:r w:rsidR="00B9009D">
        <w:rPr>
          <w:rFonts w:cstheme="minorHAnsi"/>
          <w:sz w:val="24"/>
          <w:szCs w:val="24"/>
          <w:lang w:val="el-GR"/>
        </w:rPr>
        <w:t>επ</w:t>
      </w:r>
      <w:r w:rsidR="00BE5B13">
        <w:rPr>
          <w:rFonts w:cstheme="minorHAnsi"/>
          <w:sz w:val="24"/>
          <w:szCs w:val="24"/>
          <w:lang w:val="el-GR"/>
        </w:rPr>
        <w:t>εξηγήσεις</w:t>
      </w:r>
      <w:r w:rsidR="00A5147D" w:rsidRPr="00BE5B13">
        <w:rPr>
          <w:rFonts w:cstheme="minorHAnsi"/>
          <w:sz w:val="24"/>
          <w:szCs w:val="24"/>
          <w:lang w:val="el-GR"/>
        </w:rPr>
        <w:t xml:space="preserve"> </w:t>
      </w:r>
      <w:r w:rsidR="00BE5B13">
        <w:rPr>
          <w:rFonts w:cstheme="minorHAnsi"/>
          <w:sz w:val="24"/>
          <w:szCs w:val="24"/>
          <w:lang w:val="el-GR"/>
        </w:rPr>
        <w:t>για το πώς εφαρμόζεται ο Νόμος</w:t>
      </w:r>
      <w:r w:rsidR="00A5147D" w:rsidRPr="00BE5B13">
        <w:rPr>
          <w:rFonts w:cstheme="minorHAnsi"/>
          <w:sz w:val="24"/>
          <w:szCs w:val="24"/>
          <w:lang w:val="el-GR"/>
        </w:rPr>
        <w:t>.</w:t>
      </w:r>
    </w:p>
    <w:p w14:paraId="19570AB5" w14:textId="77777777" w:rsidR="00A5147D" w:rsidRPr="00BE5B13" w:rsidRDefault="00A5147D" w:rsidP="00A5147D">
      <w:pPr>
        <w:pStyle w:val="ListParagraph"/>
        <w:rPr>
          <w:rFonts w:cstheme="minorHAnsi"/>
          <w:sz w:val="24"/>
          <w:szCs w:val="24"/>
          <w:lang w:val="el-GR"/>
        </w:rPr>
      </w:pPr>
    </w:p>
    <w:p w14:paraId="3B42845E" w14:textId="0905AE24" w:rsidR="00A5147D" w:rsidRPr="006879F8" w:rsidRDefault="00BE5B13" w:rsidP="00A5147D">
      <w:pPr>
        <w:numPr>
          <w:ilvl w:val="0"/>
          <w:numId w:val="1"/>
        </w:numPr>
        <w:tabs>
          <w:tab w:val="clear" w:pos="6095"/>
          <w:tab w:val="left" w:pos="709"/>
        </w:tabs>
        <w:ind w:left="0" w:firstLine="0"/>
        <w:rPr>
          <w:rFonts w:cstheme="minorHAnsi"/>
          <w:sz w:val="24"/>
          <w:szCs w:val="24"/>
          <w:lang w:val="el-GR"/>
        </w:rPr>
      </w:pPr>
      <w:bookmarkStart w:id="85" w:name="_Hlk132888623"/>
      <w:r>
        <w:rPr>
          <w:rFonts w:cstheme="minorHAnsi"/>
          <w:sz w:val="24"/>
          <w:szCs w:val="24"/>
          <w:lang w:val="el-GR"/>
        </w:rPr>
        <w:lastRenderedPageBreak/>
        <w:t>Η</w:t>
      </w:r>
      <w:r w:rsidR="00A5147D" w:rsidRPr="00BE5B13">
        <w:rPr>
          <w:rFonts w:cstheme="minorHAnsi"/>
          <w:sz w:val="24"/>
          <w:szCs w:val="24"/>
          <w:lang w:val="el-GR"/>
        </w:rPr>
        <w:t xml:space="preserve"> </w:t>
      </w:r>
      <w:r w:rsidR="00A5147D" w:rsidRPr="00B95983">
        <w:rPr>
          <w:rFonts w:cstheme="minorHAnsi"/>
          <w:sz w:val="24"/>
          <w:szCs w:val="24"/>
        </w:rPr>
        <w:t>GET</w:t>
      </w:r>
      <w:r w:rsidR="00A5147D" w:rsidRPr="00BE5B13">
        <w:rPr>
          <w:rFonts w:cstheme="minorHAnsi"/>
          <w:sz w:val="24"/>
          <w:szCs w:val="24"/>
          <w:lang w:val="el-GR"/>
        </w:rPr>
        <w:t xml:space="preserve"> </w:t>
      </w:r>
      <w:r>
        <w:rPr>
          <w:rFonts w:cstheme="minorHAnsi"/>
          <w:sz w:val="24"/>
          <w:szCs w:val="24"/>
          <w:lang w:val="el-GR"/>
        </w:rPr>
        <w:t>καλωσορίζει</w:t>
      </w:r>
      <w:r w:rsidRPr="00BE5B13">
        <w:rPr>
          <w:rFonts w:cstheme="minorHAnsi"/>
          <w:sz w:val="24"/>
          <w:szCs w:val="24"/>
          <w:lang w:val="el-GR"/>
        </w:rPr>
        <w:t xml:space="preserve"> </w:t>
      </w:r>
      <w:r>
        <w:rPr>
          <w:rFonts w:cstheme="minorHAnsi"/>
          <w:sz w:val="24"/>
          <w:szCs w:val="24"/>
          <w:lang w:val="el-GR"/>
        </w:rPr>
        <w:t>το</w:t>
      </w:r>
      <w:r w:rsidRPr="00BE5B13">
        <w:rPr>
          <w:rFonts w:cstheme="minorHAnsi"/>
          <w:sz w:val="24"/>
          <w:szCs w:val="24"/>
          <w:lang w:val="el-GR"/>
        </w:rPr>
        <w:t xml:space="preserve"> </w:t>
      </w:r>
      <w:r>
        <w:rPr>
          <w:rFonts w:cstheme="minorHAnsi"/>
          <w:sz w:val="24"/>
          <w:szCs w:val="24"/>
          <w:lang w:val="el-GR"/>
        </w:rPr>
        <w:t>ότι</w:t>
      </w:r>
      <w:r w:rsidRPr="00BE5B13">
        <w:rPr>
          <w:rFonts w:cstheme="minorHAnsi"/>
          <w:sz w:val="24"/>
          <w:szCs w:val="24"/>
          <w:lang w:val="el-GR"/>
        </w:rPr>
        <w:t xml:space="preserve"> </w:t>
      </w:r>
      <w:r>
        <w:rPr>
          <w:rFonts w:cstheme="minorHAnsi"/>
          <w:sz w:val="24"/>
          <w:szCs w:val="24"/>
          <w:lang w:val="el-GR"/>
        </w:rPr>
        <w:t>τώρα υπάρχει ένας</w:t>
      </w:r>
      <w:r w:rsidRPr="00BE5B13">
        <w:rPr>
          <w:rFonts w:cstheme="minorHAnsi"/>
          <w:sz w:val="24"/>
          <w:szCs w:val="24"/>
          <w:lang w:val="el-GR"/>
        </w:rPr>
        <w:t xml:space="preserve"> </w:t>
      </w:r>
      <w:r>
        <w:rPr>
          <w:rFonts w:cstheme="minorHAnsi"/>
          <w:sz w:val="24"/>
          <w:szCs w:val="24"/>
          <w:lang w:val="el-GR"/>
        </w:rPr>
        <w:t>εξειδικευμένος</w:t>
      </w:r>
      <w:r w:rsidRPr="00BE5B13">
        <w:rPr>
          <w:rFonts w:cstheme="minorHAnsi"/>
          <w:sz w:val="24"/>
          <w:szCs w:val="24"/>
          <w:lang w:val="el-GR"/>
        </w:rPr>
        <w:t xml:space="preserve"> </w:t>
      </w:r>
      <w:r>
        <w:rPr>
          <w:rFonts w:cstheme="minorHAnsi"/>
          <w:sz w:val="24"/>
          <w:szCs w:val="24"/>
          <w:lang w:val="el-GR"/>
        </w:rPr>
        <w:t>νόμος</w:t>
      </w:r>
      <w:r w:rsidR="00A5147D" w:rsidRPr="00BE5B13">
        <w:rPr>
          <w:rFonts w:cstheme="minorHAnsi"/>
          <w:sz w:val="24"/>
          <w:szCs w:val="24"/>
          <w:lang w:val="el-GR"/>
        </w:rPr>
        <w:t xml:space="preserve"> </w:t>
      </w:r>
      <w:r>
        <w:rPr>
          <w:rFonts w:cstheme="minorHAnsi"/>
          <w:sz w:val="24"/>
          <w:szCs w:val="24"/>
          <w:lang w:val="el-GR"/>
        </w:rPr>
        <w:t>για</w:t>
      </w:r>
      <w:r w:rsidRPr="00BE5B13">
        <w:rPr>
          <w:rFonts w:cstheme="minorHAnsi"/>
          <w:sz w:val="24"/>
          <w:szCs w:val="24"/>
          <w:lang w:val="el-GR"/>
        </w:rPr>
        <w:t xml:space="preserve"> </w:t>
      </w:r>
      <w:r>
        <w:rPr>
          <w:rFonts w:cstheme="minorHAnsi"/>
          <w:sz w:val="24"/>
          <w:szCs w:val="24"/>
          <w:lang w:val="el-GR"/>
        </w:rPr>
        <w:t>το</w:t>
      </w:r>
      <w:r w:rsidRPr="00BE5B13">
        <w:rPr>
          <w:rFonts w:cstheme="minorHAnsi"/>
          <w:sz w:val="24"/>
          <w:szCs w:val="24"/>
          <w:lang w:val="el-GR"/>
        </w:rPr>
        <w:t xml:space="preserve"> </w:t>
      </w:r>
      <w:proofErr w:type="spellStart"/>
      <w:r>
        <w:rPr>
          <w:rFonts w:cstheme="minorHAnsi"/>
          <w:sz w:val="24"/>
          <w:szCs w:val="24"/>
          <w:lang w:val="el-GR"/>
        </w:rPr>
        <w:t>λόμπυ</w:t>
      </w:r>
      <w:proofErr w:type="spellEnd"/>
      <w:r>
        <w:rPr>
          <w:rFonts w:cstheme="minorHAnsi"/>
          <w:sz w:val="24"/>
          <w:szCs w:val="24"/>
          <w:lang w:val="el-GR"/>
        </w:rPr>
        <w:t xml:space="preserve"> που περιλαμβάνει κυρώσεις σε περίπτωση παραβίασης</w:t>
      </w:r>
      <w:bookmarkEnd w:id="85"/>
      <w:r w:rsidR="00A5147D" w:rsidRPr="00BE5B13">
        <w:rPr>
          <w:rFonts w:cstheme="minorHAnsi"/>
          <w:sz w:val="24"/>
          <w:szCs w:val="24"/>
          <w:lang w:val="el-GR"/>
        </w:rPr>
        <w:t xml:space="preserve">. </w:t>
      </w:r>
      <w:r>
        <w:rPr>
          <w:rFonts w:cstheme="minorHAnsi"/>
          <w:sz w:val="24"/>
          <w:szCs w:val="24"/>
          <w:lang w:val="el-GR"/>
        </w:rPr>
        <w:t>Δεδομένου</w:t>
      </w:r>
      <w:r w:rsidRPr="00BE5B13">
        <w:rPr>
          <w:rFonts w:cstheme="minorHAnsi"/>
          <w:sz w:val="24"/>
          <w:szCs w:val="24"/>
          <w:lang w:val="el-GR"/>
        </w:rPr>
        <w:t xml:space="preserve"> </w:t>
      </w:r>
      <w:r>
        <w:rPr>
          <w:rFonts w:cstheme="minorHAnsi"/>
          <w:sz w:val="24"/>
          <w:szCs w:val="24"/>
          <w:lang w:val="el-GR"/>
        </w:rPr>
        <w:t>της</w:t>
      </w:r>
      <w:r w:rsidRPr="00BE5B13">
        <w:rPr>
          <w:rFonts w:cstheme="minorHAnsi"/>
          <w:sz w:val="24"/>
          <w:szCs w:val="24"/>
          <w:lang w:val="el-GR"/>
        </w:rPr>
        <w:t xml:space="preserve"> </w:t>
      </w:r>
      <w:r>
        <w:rPr>
          <w:rFonts w:cstheme="minorHAnsi"/>
          <w:sz w:val="24"/>
          <w:szCs w:val="24"/>
          <w:lang w:val="el-GR"/>
        </w:rPr>
        <w:t>πρόσφατης</w:t>
      </w:r>
      <w:r w:rsidRPr="00BE5B13">
        <w:rPr>
          <w:rFonts w:cstheme="minorHAnsi"/>
          <w:sz w:val="24"/>
          <w:szCs w:val="24"/>
          <w:lang w:val="el-GR"/>
        </w:rPr>
        <w:t xml:space="preserve"> </w:t>
      </w:r>
      <w:r>
        <w:rPr>
          <w:rFonts w:cstheme="minorHAnsi"/>
          <w:sz w:val="24"/>
          <w:szCs w:val="24"/>
          <w:lang w:val="el-GR"/>
        </w:rPr>
        <w:t>υιοθέτησης</w:t>
      </w:r>
      <w:r w:rsidRPr="00BE5B13">
        <w:rPr>
          <w:rFonts w:cstheme="minorHAnsi"/>
          <w:sz w:val="24"/>
          <w:szCs w:val="24"/>
          <w:lang w:val="el-GR"/>
        </w:rPr>
        <w:t xml:space="preserve"> </w:t>
      </w:r>
      <w:r>
        <w:rPr>
          <w:rFonts w:cstheme="minorHAnsi"/>
          <w:sz w:val="24"/>
          <w:szCs w:val="24"/>
          <w:lang w:val="el-GR"/>
        </w:rPr>
        <w:t>της</w:t>
      </w:r>
      <w:r w:rsidRPr="00BE5B13">
        <w:rPr>
          <w:rFonts w:cstheme="minorHAnsi"/>
          <w:sz w:val="24"/>
          <w:szCs w:val="24"/>
          <w:lang w:val="el-GR"/>
        </w:rPr>
        <w:t xml:space="preserve"> </w:t>
      </w:r>
      <w:r>
        <w:rPr>
          <w:rFonts w:cstheme="minorHAnsi"/>
          <w:sz w:val="24"/>
          <w:szCs w:val="24"/>
          <w:lang w:val="el-GR"/>
        </w:rPr>
        <w:t>νομοθεσίας</w:t>
      </w:r>
      <w:r w:rsidRPr="00BE5B13">
        <w:rPr>
          <w:rFonts w:cstheme="minorHAnsi"/>
          <w:sz w:val="24"/>
          <w:szCs w:val="24"/>
          <w:lang w:val="el-GR"/>
        </w:rPr>
        <w:t xml:space="preserve"> </w:t>
      </w:r>
      <w:r>
        <w:rPr>
          <w:rFonts w:cstheme="minorHAnsi"/>
          <w:sz w:val="24"/>
          <w:szCs w:val="24"/>
          <w:lang w:val="el-GR"/>
        </w:rPr>
        <w:t>αυτής</w:t>
      </w:r>
      <w:r w:rsidR="00A5147D" w:rsidRPr="00BE5B13">
        <w:rPr>
          <w:rFonts w:cstheme="minorHAnsi"/>
          <w:sz w:val="24"/>
          <w:szCs w:val="24"/>
          <w:lang w:val="el-GR"/>
        </w:rPr>
        <w:t xml:space="preserve">, </w:t>
      </w:r>
      <w:r>
        <w:rPr>
          <w:rFonts w:cstheme="minorHAnsi"/>
          <w:sz w:val="24"/>
          <w:szCs w:val="24"/>
          <w:lang w:val="el-GR"/>
        </w:rPr>
        <w:t>η</w:t>
      </w:r>
      <w:r w:rsidR="00A5147D" w:rsidRPr="00BE5B13">
        <w:rPr>
          <w:rFonts w:cstheme="minorHAnsi"/>
          <w:sz w:val="24"/>
          <w:szCs w:val="24"/>
          <w:lang w:val="el-GR"/>
        </w:rPr>
        <w:t xml:space="preserve"> </w:t>
      </w:r>
      <w:r w:rsidR="00A5147D" w:rsidRPr="00B95983">
        <w:rPr>
          <w:rFonts w:cstheme="minorHAnsi"/>
          <w:sz w:val="24"/>
          <w:szCs w:val="24"/>
        </w:rPr>
        <w:t>GET</w:t>
      </w:r>
      <w:r w:rsidR="00A5147D" w:rsidRPr="00BE5B13">
        <w:rPr>
          <w:rFonts w:cstheme="minorHAnsi"/>
          <w:sz w:val="24"/>
          <w:szCs w:val="24"/>
          <w:lang w:val="el-GR"/>
        </w:rPr>
        <w:t xml:space="preserve"> </w:t>
      </w:r>
      <w:r>
        <w:rPr>
          <w:rFonts w:cstheme="minorHAnsi"/>
          <w:sz w:val="24"/>
          <w:szCs w:val="24"/>
          <w:lang w:val="el-GR"/>
        </w:rPr>
        <w:t>απέχει</w:t>
      </w:r>
      <w:r w:rsidRPr="00BE5B13">
        <w:rPr>
          <w:rFonts w:cstheme="minorHAnsi"/>
          <w:sz w:val="24"/>
          <w:szCs w:val="24"/>
          <w:lang w:val="el-GR"/>
        </w:rPr>
        <w:t xml:space="preserve"> </w:t>
      </w:r>
      <w:r>
        <w:rPr>
          <w:rFonts w:cstheme="minorHAnsi"/>
          <w:sz w:val="24"/>
          <w:szCs w:val="24"/>
          <w:lang w:val="el-GR"/>
        </w:rPr>
        <w:t>από</w:t>
      </w:r>
      <w:r w:rsidRPr="00BE5B13">
        <w:rPr>
          <w:rFonts w:cstheme="minorHAnsi"/>
          <w:sz w:val="24"/>
          <w:szCs w:val="24"/>
          <w:lang w:val="el-GR"/>
        </w:rPr>
        <w:t xml:space="preserve"> </w:t>
      </w:r>
      <w:r>
        <w:rPr>
          <w:rFonts w:cstheme="minorHAnsi"/>
          <w:sz w:val="24"/>
          <w:szCs w:val="24"/>
          <w:lang w:val="el-GR"/>
        </w:rPr>
        <w:t>οποιοδήποτε</w:t>
      </w:r>
      <w:r w:rsidRPr="00BE5B13">
        <w:rPr>
          <w:rFonts w:cstheme="minorHAnsi"/>
          <w:sz w:val="24"/>
          <w:szCs w:val="24"/>
          <w:lang w:val="el-GR"/>
        </w:rPr>
        <w:t xml:space="preserve"> </w:t>
      </w:r>
      <w:r>
        <w:rPr>
          <w:rFonts w:cstheme="minorHAnsi"/>
          <w:sz w:val="24"/>
          <w:szCs w:val="24"/>
          <w:lang w:val="el-GR"/>
        </w:rPr>
        <w:t>συμπέρασμα</w:t>
      </w:r>
      <w:r w:rsidR="00A5147D" w:rsidRPr="00BE5B13">
        <w:rPr>
          <w:rFonts w:cstheme="minorHAnsi"/>
          <w:sz w:val="24"/>
          <w:szCs w:val="24"/>
          <w:lang w:val="el-GR"/>
        </w:rPr>
        <w:t xml:space="preserve"> </w:t>
      </w:r>
      <w:r>
        <w:rPr>
          <w:rFonts w:cstheme="minorHAnsi"/>
          <w:sz w:val="24"/>
          <w:szCs w:val="24"/>
          <w:lang w:val="el-GR"/>
        </w:rPr>
        <w:t>για την πιθανή αποτελεσματικότητα  των νέων κανόνων</w:t>
      </w:r>
      <w:r w:rsidR="00A5147D" w:rsidRPr="00BE5B13">
        <w:rPr>
          <w:rFonts w:cstheme="minorHAnsi"/>
          <w:sz w:val="24"/>
          <w:szCs w:val="24"/>
          <w:lang w:val="el-GR"/>
        </w:rPr>
        <w:t xml:space="preserve">, </w:t>
      </w:r>
      <w:r>
        <w:rPr>
          <w:rFonts w:cstheme="minorHAnsi"/>
          <w:sz w:val="24"/>
          <w:szCs w:val="24"/>
          <w:lang w:val="el-GR"/>
        </w:rPr>
        <w:t>που θα εξαρτάται σε μεγάλο βαθμό</w:t>
      </w:r>
      <w:r w:rsidR="00A5147D" w:rsidRPr="00BE5B13">
        <w:rPr>
          <w:rFonts w:cstheme="minorHAnsi"/>
          <w:sz w:val="24"/>
          <w:szCs w:val="24"/>
          <w:lang w:val="el-GR"/>
        </w:rPr>
        <w:t xml:space="preserve"> </w:t>
      </w:r>
      <w:r>
        <w:rPr>
          <w:rFonts w:cstheme="minorHAnsi"/>
          <w:sz w:val="24"/>
          <w:szCs w:val="24"/>
          <w:lang w:val="el-GR"/>
        </w:rPr>
        <w:t>πάνω στην πρακτική υλοποίηση τους</w:t>
      </w:r>
      <w:r w:rsidR="00A5147D" w:rsidRPr="00BE5B13">
        <w:rPr>
          <w:rFonts w:cstheme="minorHAnsi"/>
          <w:sz w:val="24"/>
          <w:szCs w:val="24"/>
          <w:lang w:val="el-GR"/>
        </w:rPr>
        <w:t xml:space="preserve">.  </w:t>
      </w:r>
      <w:r w:rsidR="008E2510">
        <w:rPr>
          <w:rFonts w:cstheme="minorHAnsi"/>
          <w:sz w:val="24"/>
          <w:szCs w:val="24"/>
          <w:lang w:val="el-GR"/>
        </w:rPr>
        <w:t>Κατά</w:t>
      </w:r>
      <w:r w:rsidR="008E2510" w:rsidRPr="0031101D">
        <w:rPr>
          <w:rFonts w:cstheme="minorHAnsi"/>
          <w:sz w:val="24"/>
          <w:szCs w:val="24"/>
          <w:lang w:val="el-GR"/>
        </w:rPr>
        <w:t xml:space="preserve"> </w:t>
      </w:r>
      <w:r w:rsidR="008E2510">
        <w:rPr>
          <w:rFonts w:cstheme="minorHAnsi"/>
          <w:sz w:val="24"/>
          <w:szCs w:val="24"/>
          <w:lang w:val="el-GR"/>
        </w:rPr>
        <w:t>τον</w:t>
      </w:r>
      <w:r w:rsidR="008E2510" w:rsidRPr="0031101D">
        <w:rPr>
          <w:rFonts w:cstheme="minorHAnsi"/>
          <w:sz w:val="24"/>
          <w:szCs w:val="24"/>
          <w:lang w:val="el-GR"/>
        </w:rPr>
        <w:t xml:space="preserve"> </w:t>
      </w:r>
      <w:r w:rsidR="008E2510">
        <w:rPr>
          <w:rFonts w:cstheme="minorHAnsi"/>
          <w:sz w:val="24"/>
          <w:szCs w:val="24"/>
          <w:lang w:val="el-GR"/>
        </w:rPr>
        <w:t>χρόνο</w:t>
      </w:r>
      <w:r w:rsidR="008E2510" w:rsidRPr="0031101D">
        <w:rPr>
          <w:rFonts w:cstheme="minorHAnsi"/>
          <w:sz w:val="24"/>
          <w:szCs w:val="24"/>
          <w:lang w:val="el-GR"/>
        </w:rPr>
        <w:t xml:space="preserve"> </w:t>
      </w:r>
      <w:r w:rsidR="008E2510">
        <w:rPr>
          <w:rFonts w:cstheme="minorHAnsi"/>
          <w:sz w:val="24"/>
          <w:szCs w:val="24"/>
          <w:lang w:val="el-GR"/>
        </w:rPr>
        <w:t>της</w:t>
      </w:r>
      <w:r w:rsidR="008E2510" w:rsidRPr="0031101D">
        <w:rPr>
          <w:rFonts w:cstheme="minorHAnsi"/>
          <w:sz w:val="24"/>
          <w:szCs w:val="24"/>
          <w:lang w:val="el-GR"/>
        </w:rPr>
        <w:t xml:space="preserve"> </w:t>
      </w:r>
      <w:r w:rsidR="008E2510">
        <w:rPr>
          <w:rFonts w:cstheme="minorHAnsi"/>
          <w:sz w:val="24"/>
          <w:szCs w:val="24"/>
          <w:lang w:val="el-GR"/>
        </w:rPr>
        <w:t>επίσκεψης</w:t>
      </w:r>
      <w:r w:rsidR="00A5147D" w:rsidRPr="0031101D">
        <w:rPr>
          <w:rFonts w:cstheme="minorHAnsi"/>
          <w:sz w:val="24"/>
          <w:szCs w:val="24"/>
          <w:lang w:val="el-GR"/>
        </w:rPr>
        <w:t xml:space="preserve">, </w:t>
      </w:r>
      <w:r w:rsidR="008E2510">
        <w:rPr>
          <w:rFonts w:cstheme="minorHAnsi"/>
          <w:sz w:val="24"/>
          <w:szCs w:val="24"/>
          <w:lang w:val="el-GR"/>
        </w:rPr>
        <w:t>ωστόσο</w:t>
      </w:r>
      <w:r w:rsidR="00A5147D" w:rsidRPr="0031101D">
        <w:rPr>
          <w:rFonts w:cstheme="minorHAnsi"/>
          <w:sz w:val="24"/>
          <w:szCs w:val="24"/>
          <w:lang w:val="el-GR"/>
        </w:rPr>
        <w:t xml:space="preserve">, </w:t>
      </w:r>
      <w:r w:rsidR="008E2510">
        <w:rPr>
          <w:rFonts w:cstheme="minorHAnsi"/>
          <w:sz w:val="24"/>
          <w:szCs w:val="24"/>
          <w:lang w:val="el-GR"/>
        </w:rPr>
        <w:t>μερικοί</w:t>
      </w:r>
      <w:r w:rsidR="008E2510" w:rsidRPr="0031101D">
        <w:rPr>
          <w:rFonts w:cstheme="minorHAnsi"/>
          <w:sz w:val="24"/>
          <w:szCs w:val="24"/>
          <w:lang w:val="el-GR"/>
        </w:rPr>
        <w:t xml:space="preserve"> </w:t>
      </w:r>
      <w:r w:rsidR="008E2510">
        <w:rPr>
          <w:rFonts w:cstheme="minorHAnsi"/>
          <w:sz w:val="24"/>
          <w:szCs w:val="24"/>
          <w:lang w:val="el-GR"/>
        </w:rPr>
        <w:t>από</w:t>
      </w:r>
      <w:r w:rsidR="008E2510" w:rsidRPr="0031101D">
        <w:rPr>
          <w:rFonts w:cstheme="minorHAnsi"/>
          <w:sz w:val="24"/>
          <w:szCs w:val="24"/>
          <w:lang w:val="el-GR"/>
        </w:rPr>
        <w:t xml:space="preserve"> </w:t>
      </w:r>
      <w:r w:rsidR="008E2510">
        <w:rPr>
          <w:rFonts w:cstheme="minorHAnsi"/>
          <w:sz w:val="24"/>
          <w:szCs w:val="24"/>
          <w:lang w:val="el-GR"/>
        </w:rPr>
        <w:t>τους</w:t>
      </w:r>
      <w:r w:rsidR="008E2510" w:rsidRPr="0031101D">
        <w:rPr>
          <w:rFonts w:cstheme="minorHAnsi"/>
          <w:sz w:val="24"/>
          <w:szCs w:val="24"/>
          <w:lang w:val="el-GR"/>
        </w:rPr>
        <w:t xml:space="preserve"> </w:t>
      </w:r>
      <w:r w:rsidR="008E2510">
        <w:rPr>
          <w:rFonts w:cstheme="minorHAnsi"/>
          <w:sz w:val="24"/>
          <w:szCs w:val="24"/>
          <w:lang w:val="el-GR"/>
        </w:rPr>
        <w:t>συνομιλητές</w:t>
      </w:r>
      <w:r w:rsidR="00A5147D" w:rsidRPr="0031101D">
        <w:rPr>
          <w:rFonts w:eastAsia="Calibri" w:cstheme="minorHAnsi"/>
          <w:noProof/>
          <w:sz w:val="24"/>
          <w:szCs w:val="24"/>
          <w:lang w:val="el-GR"/>
        </w:rPr>
        <w:t xml:space="preserve"> </w:t>
      </w:r>
      <w:r w:rsidR="0031101D">
        <w:rPr>
          <w:rFonts w:eastAsia="Calibri" w:cstheme="minorHAnsi"/>
          <w:noProof/>
          <w:sz w:val="24"/>
          <w:szCs w:val="24"/>
          <w:lang w:val="el-GR"/>
        </w:rPr>
        <w:t>που</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ρωτήθηκαν</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ήδη</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ανέμεναν</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κάποιες</w:t>
      </w:r>
      <w:r w:rsidR="0031101D" w:rsidRPr="0031101D">
        <w:rPr>
          <w:rFonts w:eastAsia="Calibri" w:cstheme="minorHAnsi"/>
          <w:noProof/>
          <w:sz w:val="24"/>
          <w:szCs w:val="24"/>
          <w:lang w:val="el-GR"/>
        </w:rPr>
        <w:t xml:space="preserve"> </w:t>
      </w:r>
      <w:r w:rsidR="00A950EC">
        <w:rPr>
          <w:rFonts w:eastAsia="Calibri" w:cstheme="minorHAnsi"/>
          <w:noProof/>
          <w:sz w:val="24"/>
          <w:szCs w:val="24"/>
          <w:lang w:val="el-GR"/>
        </w:rPr>
        <w:t xml:space="preserve">δυσκολίες </w:t>
      </w:r>
      <w:r w:rsidR="0031101D">
        <w:rPr>
          <w:rFonts w:eastAsia="Calibri" w:cstheme="minorHAnsi"/>
          <w:noProof/>
          <w:sz w:val="24"/>
          <w:szCs w:val="24"/>
          <w:lang w:val="el-GR"/>
        </w:rPr>
        <w:t>αναφορικά με το πεδίο εφαρμογής του νόμου τόσο του</w:t>
      </w:r>
      <w:r w:rsidR="00A5147D" w:rsidRPr="0031101D">
        <w:rPr>
          <w:rFonts w:eastAsia="Calibri" w:cstheme="minorHAnsi"/>
          <w:noProof/>
          <w:sz w:val="24"/>
          <w:szCs w:val="24"/>
          <w:lang w:val="el-GR"/>
        </w:rPr>
        <w:t xml:space="preserve"> </w:t>
      </w:r>
      <w:r w:rsidR="00A5147D" w:rsidRPr="00B95983">
        <w:rPr>
          <w:rFonts w:eastAsia="Calibri" w:cstheme="minorHAnsi"/>
          <w:i/>
          <w:iCs/>
          <w:noProof/>
          <w:sz w:val="24"/>
          <w:szCs w:val="24"/>
        </w:rPr>
        <w:t>personae</w:t>
      </w:r>
      <w:r w:rsidR="00A5147D" w:rsidRPr="0031101D">
        <w:rPr>
          <w:rFonts w:eastAsia="Calibri" w:cstheme="minorHAnsi"/>
          <w:noProof/>
          <w:sz w:val="24"/>
          <w:szCs w:val="24"/>
          <w:lang w:val="el-GR"/>
        </w:rPr>
        <w:t xml:space="preserve"> (</w:t>
      </w:r>
      <w:r w:rsidR="0031101D">
        <w:rPr>
          <w:rFonts w:eastAsia="Calibri" w:cstheme="minorHAnsi"/>
          <w:noProof/>
          <w:sz w:val="24"/>
          <w:szCs w:val="24"/>
          <w:lang w:val="el-GR"/>
        </w:rPr>
        <w:t>που θεωρείται ως λομπίστας</w:t>
      </w:r>
      <w:r w:rsidR="00A5147D" w:rsidRPr="0031101D">
        <w:rPr>
          <w:rFonts w:eastAsia="Calibri" w:cstheme="minorHAnsi"/>
          <w:noProof/>
          <w:sz w:val="24"/>
          <w:szCs w:val="24"/>
          <w:lang w:val="el-GR"/>
        </w:rPr>
        <w:t xml:space="preserve">) </w:t>
      </w:r>
      <w:r w:rsidR="0031101D">
        <w:rPr>
          <w:rFonts w:eastAsia="Calibri" w:cstheme="minorHAnsi"/>
          <w:noProof/>
          <w:sz w:val="24"/>
          <w:szCs w:val="24"/>
          <w:lang w:val="el-GR"/>
        </w:rPr>
        <w:t>όσο και του</w:t>
      </w:r>
      <w:r w:rsidR="00A5147D" w:rsidRPr="0031101D">
        <w:rPr>
          <w:rFonts w:eastAsia="Calibri" w:cstheme="minorHAnsi"/>
          <w:noProof/>
          <w:sz w:val="24"/>
          <w:szCs w:val="24"/>
          <w:lang w:val="el-GR"/>
        </w:rPr>
        <w:t xml:space="preserve"> </w:t>
      </w:r>
      <w:r w:rsidR="00A5147D" w:rsidRPr="00B95983">
        <w:rPr>
          <w:rFonts w:eastAsia="Calibri" w:cstheme="minorHAnsi"/>
          <w:i/>
          <w:iCs/>
          <w:noProof/>
          <w:sz w:val="24"/>
          <w:szCs w:val="24"/>
        </w:rPr>
        <w:t>materiae</w:t>
      </w:r>
      <w:r w:rsidR="00A5147D" w:rsidRPr="0031101D">
        <w:rPr>
          <w:rFonts w:eastAsia="Calibri" w:cstheme="minorHAnsi"/>
          <w:noProof/>
          <w:sz w:val="24"/>
          <w:szCs w:val="24"/>
          <w:lang w:val="el-GR"/>
        </w:rPr>
        <w:t xml:space="preserve"> (</w:t>
      </w:r>
      <w:r w:rsidR="0031101D">
        <w:rPr>
          <w:rFonts w:eastAsia="Calibri" w:cstheme="minorHAnsi"/>
          <w:noProof/>
          <w:sz w:val="24"/>
          <w:szCs w:val="24"/>
          <w:lang w:val="el-GR"/>
        </w:rPr>
        <w:t>είδ</w:t>
      </w:r>
      <w:r w:rsidR="00B028CA">
        <w:rPr>
          <w:rFonts w:eastAsia="Calibri" w:cstheme="minorHAnsi"/>
          <w:noProof/>
          <w:sz w:val="24"/>
          <w:szCs w:val="24"/>
          <w:lang w:val="el-GR"/>
        </w:rPr>
        <w:t>ος</w:t>
      </w:r>
      <w:r w:rsidR="0031101D">
        <w:rPr>
          <w:rFonts w:eastAsia="Calibri" w:cstheme="minorHAnsi"/>
          <w:noProof/>
          <w:sz w:val="24"/>
          <w:szCs w:val="24"/>
          <w:lang w:val="el-GR"/>
        </w:rPr>
        <w:t xml:space="preserve"> διαβουλεύσεων</w:t>
      </w:r>
      <w:r w:rsidR="00A5147D" w:rsidRPr="0031101D">
        <w:rPr>
          <w:rFonts w:eastAsia="Calibri" w:cstheme="minorHAnsi"/>
          <w:noProof/>
          <w:sz w:val="24"/>
          <w:szCs w:val="24"/>
          <w:lang w:val="el-GR"/>
        </w:rPr>
        <w:t xml:space="preserve">). </w:t>
      </w:r>
      <w:r w:rsidR="0031101D">
        <w:rPr>
          <w:rFonts w:eastAsia="Calibri" w:cstheme="minorHAnsi"/>
          <w:noProof/>
          <w:sz w:val="24"/>
          <w:szCs w:val="24"/>
          <w:lang w:val="el-GR"/>
        </w:rPr>
        <w:t>Παρ</w:t>
      </w:r>
      <w:r w:rsidR="0031101D" w:rsidRPr="0031101D">
        <w:rPr>
          <w:rFonts w:eastAsia="Calibri" w:cstheme="minorHAnsi"/>
          <w:noProof/>
          <w:sz w:val="24"/>
          <w:szCs w:val="24"/>
          <w:lang w:val="el-GR"/>
        </w:rPr>
        <w:t>’</w:t>
      </w:r>
      <w:r w:rsidR="0031101D">
        <w:rPr>
          <w:rFonts w:eastAsia="Calibri" w:cstheme="minorHAnsi"/>
          <w:noProof/>
          <w:sz w:val="24"/>
          <w:szCs w:val="24"/>
          <w:lang w:val="el-GR"/>
        </w:rPr>
        <w:t>όλα</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αυτά</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αυτοί</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θεωρούσαν</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ότι</w:t>
      </w:r>
      <w:r w:rsidR="00A5147D" w:rsidRPr="0031101D">
        <w:rPr>
          <w:rFonts w:eastAsia="Calibri" w:cstheme="minorHAnsi"/>
          <w:noProof/>
          <w:sz w:val="24"/>
          <w:szCs w:val="24"/>
          <w:lang w:val="el-GR"/>
        </w:rPr>
        <w:t xml:space="preserve">, </w:t>
      </w:r>
      <w:r w:rsidR="00A950EC">
        <w:rPr>
          <w:rFonts w:eastAsia="Calibri" w:cstheme="minorHAnsi"/>
          <w:noProof/>
          <w:sz w:val="24"/>
          <w:szCs w:val="24"/>
          <w:lang w:val="el-GR"/>
        </w:rPr>
        <w:t>σε κάθε περίπτωση</w:t>
      </w:r>
      <w:r w:rsidR="00A5147D" w:rsidRPr="0031101D">
        <w:rPr>
          <w:rFonts w:eastAsia="Calibri" w:cstheme="minorHAnsi"/>
          <w:noProof/>
          <w:sz w:val="24"/>
          <w:szCs w:val="24"/>
          <w:lang w:val="el-GR"/>
        </w:rPr>
        <w:t xml:space="preserve">, </w:t>
      </w:r>
      <w:r w:rsidR="0031101D">
        <w:rPr>
          <w:rFonts w:eastAsia="Calibri" w:cstheme="minorHAnsi"/>
          <w:noProof/>
          <w:sz w:val="24"/>
          <w:szCs w:val="24"/>
          <w:lang w:val="el-GR"/>
        </w:rPr>
        <w:t>η</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υιοθέτηση</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του</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Νόμου</w:t>
      </w:r>
      <w:r w:rsidR="00A5147D" w:rsidRPr="0031101D">
        <w:rPr>
          <w:rFonts w:eastAsia="Calibri" w:cstheme="minorHAnsi"/>
          <w:noProof/>
          <w:sz w:val="24"/>
          <w:szCs w:val="24"/>
          <w:lang w:val="el-GR"/>
        </w:rPr>
        <w:t xml:space="preserve"> </w:t>
      </w:r>
      <w:r w:rsidR="0031101D">
        <w:rPr>
          <w:rFonts w:eastAsia="Calibri" w:cstheme="minorHAnsi"/>
          <w:noProof/>
          <w:sz w:val="24"/>
          <w:szCs w:val="24"/>
          <w:lang w:val="el-GR"/>
        </w:rPr>
        <w:t>ήταν</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μια</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θετική</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εξέλιξη</w:t>
      </w:r>
      <w:r w:rsidR="00A5147D" w:rsidRPr="0031101D">
        <w:rPr>
          <w:rFonts w:eastAsia="Calibri" w:cstheme="minorHAnsi"/>
          <w:noProof/>
          <w:sz w:val="24"/>
          <w:szCs w:val="24"/>
          <w:lang w:val="el-GR"/>
        </w:rPr>
        <w:t xml:space="preserve"> </w:t>
      </w:r>
      <w:r w:rsidR="0031101D">
        <w:rPr>
          <w:rFonts w:eastAsia="Calibri" w:cstheme="minorHAnsi"/>
          <w:noProof/>
          <w:sz w:val="24"/>
          <w:szCs w:val="24"/>
          <w:lang w:val="el-GR"/>
        </w:rPr>
        <w:t>και</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ότι</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είχε</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από</w:t>
      </w:r>
      <w:r w:rsidR="0031101D" w:rsidRPr="0031101D">
        <w:rPr>
          <w:rFonts w:eastAsia="Calibri" w:cstheme="minorHAnsi"/>
          <w:noProof/>
          <w:sz w:val="24"/>
          <w:szCs w:val="24"/>
          <w:lang w:val="el-GR"/>
        </w:rPr>
        <w:t xml:space="preserve"> </w:t>
      </w:r>
      <w:r w:rsidR="0031101D">
        <w:rPr>
          <w:rFonts w:eastAsia="Calibri" w:cstheme="minorHAnsi"/>
          <w:noProof/>
          <w:sz w:val="24"/>
          <w:szCs w:val="24"/>
          <w:lang w:val="el-GR"/>
        </w:rPr>
        <w:t>μόνο του</w:t>
      </w:r>
      <w:r w:rsidR="00A5147D" w:rsidRPr="0031101D">
        <w:rPr>
          <w:rFonts w:eastAsia="Calibri" w:cstheme="minorHAnsi"/>
          <w:noProof/>
          <w:sz w:val="24"/>
          <w:szCs w:val="24"/>
          <w:lang w:val="el-GR"/>
        </w:rPr>
        <w:t xml:space="preserve">, </w:t>
      </w:r>
      <w:r w:rsidR="0031101D">
        <w:rPr>
          <w:rFonts w:eastAsia="Calibri" w:cstheme="minorHAnsi"/>
          <w:noProof/>
          <w:sz w:val="24"/>
          <w:szCs w:val="24"/>
          <w:lang w:val="el-GR"/>
        </w:rPr>
        <w:t>μια καλή αξία</w:t>
      </w:r>
      <w:r w:rsidR="006879F8">
        <w:rPr>
          <w:rFonts w:eastAsia="Calibri" w:cstheme="minorHAnsi"/>
          <w:noProof/>
          <w:sz w:val="24"/>
          <w:szCs w:val="24"/>
          <w:lang w:val="el-GR"/>
        </w:rPr>
        <w:t xml:space="preserve"> οικοδόμησης εμπιστοσύνης</w:t>
      </w:r>
      <w:r w:rsidR="00A5147D" w:rsidRPr="0031101D">
        <w:rPr>
          <w:rFonts w:eastAsia="Calibri" w:cstheme="minorHAnsi"/>
          <w:noProof/>
          <w:sz w:val="24"/>
          <w:szCs w:val="24"/>
          <w:lang w:val="el-GR"/>
        </w:rPr>
        <w:t xml:space="preserve"> </w:t>
      </w:r>
      <w:r w:rsidR="006879F8">
        <w:rPr>
          <w:rFonts w:eastAsia="Calibri" w:cstheme="minorHAnsi"/>
          <w:noProof/>
          <w:sz w:val="24"/>
          <w:szCs w:val="24"/>
          <w:lang w:val="el-GR"/>
        </w:rPr>
        <w:t>από την οποία θα μπορούσαν να ακολουθήσουν περαιτέρω βελτιώσεις</w:t>
      </w:r>
      <w:r w:rsidR="00A5147D" w:rsidRPr="0031101D">
        <w:rPr>
          <w:rFonts w:eastAsia="Calibri" w:cstheme="minorHAnsi"/>
          <w:noProof/>
          <w:sz w:val="24"/>
          <w:szCs w:val="24"/>
          <w:lang w:val="el-GR"/>
        </w:rPr>
        <w:t xml:space="preserve"> </w:t>
      </w:r>
      <w:r w:rsidR="006879F8">
        <w:rPr>
          <w:rFonts w:eastAsia="Calibri" w:cstheme="minorHAnsi"/>
          <w:noProof/>
          <w:sz w:val="24"/>
          <w:szCs w:val="24"/>
          <w:lang w:val="el-GR"/>
        </w:rPr>
        <w:t>υπό το φως της πρακτικής</w:t>
      </w:r>
      <w:r w:rsidR="00A5147D" w:rsidRPr="0031101D">
        <w:rPr>
          <w:rFonts w:eastAsia="Calibri" w:cstheme="minorHAnsi"/>
          <w:noProof/>
          <w:sz w:val="24"/>
          <w:szCs w:val="24"/>
          <w:lang w:val="el-GR"/>
        </w:rPr>
        <w:t xml:space="preserve">. </w:t>
      </w:r>
      <w:r w:rsidR="006879F8">
        <w:rPr>
          <w:rFonts w:eastAsia="Calibri" w:cstheme="minorHAnsi"/>
          <w:noProof/>
          <w:sz w:val="24"/>
          <w:szCs w:val="24"/>
          <w:lang w:val="el-GR"/>
        </w:rPr>
        <w:t>Η</w:t>
      </w:r>
      <w:r w:rsidR="00A5147D" w:rsidRPr="006879F8">
        <w:rPr>
          <w:rFonts w:eastAsia="Calibri" w:cstheme="minorHAnsi"/>
          <w:noProof/>
          <w:sz w:val="24"/>
          <w:szCs w:val="24"/>
          <w:lang w:val="el-GR"/>
        </w:rPr>
        <w:t xml:space="preserve"> </w:t>
      </w:r>
      <w:r w:rsidR="00A5147D" w:rsidRPr="004E251E">
        <w:rPr>
          <w:rFonts w:eastAsia="Calibri" w:cstheme="minorHAnsi"/>
          <w:noProof/>
          <w:sz w:val="24"/>
          <w:szCs w:val="24"/>
        </w:rPr>
        <w:t>GET</w:t>
      </w:r>
      <w:r w:rsidR="00A5147D" w:rsidRPr="006879F8">
        <w:rPr>
          <w:rFonts w:eastAsia="Calibri" w:cstheme="minorHAnsi"/>
          <w:noProof/>
          <w:sz w:val="24"/>
          <w:szCs w:val="24"/>
          <w:lang w:val="el-GR"/>
        </w:rPr>
        <w:t xml:space="preserve"> </w:t>
      </w:r>
      <w:r w:rsidR="006879F8">
        <w:rPr>
          <w:rFonts w:eastAsia="Calibri" w:cstheme="minorHAnsi"/>
          <w:noProof/>
          <w:sz w:val="24"/>
          <w:szCs w:val="24"/>
          <w:lang w:val="el-GR"/>
        </w:rPr>
        <w:t>σημειώνει</w:t>
      </w:r>
      <w:r w:rsidR="006879F8" w:rsidRPr="006879F8">
        <w:rPr>
          <w:rFonts w:eastAsia="Calibri" w:cstheme="minorHAnsi"/>
          <w:noProof/>
          <w:sz w:val="24"/>
          <w:szCs w:val="24"/>
          <w:lang w:val="el-GR"/>
        </w:rPr>
        <w:t xml:space="preserve"> </w:t>
      </w:r>
      <w:r w:rsidR="006879F8">
        <w:rPr>
          <w:rFonts w:eastAsia="Calibri" w:cstheme="minorHAnsi"/>
          <w:noProof/>
          <w:sz w:val="24"/>
          <w:szCs w:val="24"/>
          <w:lang w:val="el-GR"/>
        </w:rPr>
        <w:t>ότι</w:t>
      </w:r>
      <w:r w:rsidR="006879F8" w:rsidRPr="006879F8">
        <w:rPr>
          <w:rFonts w:eastAsia="Calibri" w:cstheme="minorHAnsi"/>
          <w:noProof/>
          <w:sz w:val="24"/>
          <w:szCs w:val="24"/>
          <w:lang w:val="el-GR"/>
        </w:rPr>
        <w:t xml:space="preserve"> </w:t>
      </w:r>
      <w:r w:rsidR="006879F8">
        <w:rPr>
          <w:rFonts w:eastAsia="Calibri" w:cstheme="minorHAnsi"/>
          <w:noProof/>
          <w:sz w:val="24"/>
          <w:szCs w:val="24"/>
          <w:lang w:val="el-GR"/>
        </w:rPr>
        <w:t>η</w:t>
      </w:r>
      <w:r w:rsidR="006879F8" w:rsidRPr="006879F8">
        <w:rPr>
          <w:rFonts w:eastAsia="Calibri" w:cstheme="minorHAnsi"/>
          <w:noProof/>
          <w:sz w:val="24"/>
          <w:szCs w:val="24"/>
          <w:lang w:val="el-GR"/>
        </w:rPr>
        <w:t xml:space="preserve"> </w:t>
      </w:r>
      <w:r w:rsidR="006879F8">
        <w:rPr>
          <w:rFonts w:eastAsia="Calibri" w:cstheme="minorHAnsi"/>
          <w:noProof/>
          <w:sz w:val="24"/>
          <w:szCs w:val="24"/>
          <w:lang w:val="el-GR"/>
        </w:rPr>
        <w:t>ρύθμιση</w:t>
      </w:r>
      <w:r w:rsidR="006879F8" w:rsidRPr="006879F8">
        <w:rPr>
          <w:rFonts w:eastAsia="Calibri" w:cstheme="minorHAnsi"/>
          <w:noProof/>
          <w:sz w:val="24"/>
          <w:szCs w:val="24"/>
          <w:lang w:val="el-GR"/>
        </w:rPr>
        <w:t xml:space="preserve"> </w:t>
      </w:r>
      <w:r w:rsidR="006879F8">
        <w:rPr>
          <w:rFonts w:eastAsia="Calibri" w:cstheme="minorHAnsi"/>
          <w:noProof/>
          <w:sz w:val="24"/>
          <w:szCs w:val="24"/>
          <w:lang w:val="el-GR"/>
        </w:rPr>
        <w:t>του</w:t>
      </w:r>
      <w:r w:rsidR="006879F8" w:rsidRPr="006879F8">
        <w:rPr>
          <w:rFonts w:eastAsia="Calibri" w:cstheme="minorHAnsi"/>
          <w:noProof/>
          <w:sz w:val="24"/>
          <w:szCs w:val="24"/>
          <w:lang w:val="el-GR"/>
        </w:rPr>
        <w:t xml:space="preserve"> </w:t>
      </w:r>
      <w:r w:rsidR="006879F8">
        <w:rPr>
          <w:rFonts w:eastAsia="Calibri" w:cstheme="minorHAnsi"/>
          <w:noProof/>
          <w:sz w:val="24"/>
          <w:szCs w:val="24"/>
          <w:lang w:val="el-GR"/>
        </w:rPr>
        <w:t>λόμπυ</w:t>
      </w:r>
      <w:r w:rsidR="00A5147D" w:rsidRPr="006879F8">
        <w:rPr>
          <w:rFonts w:eastAsia="Calibri" w:cstheme="minorHAnsi"/>
          <w:noProof/>
          <w:sz w:val="24"/>
          <w:szCs w:val="24"/>
          <w:lang w:val="el-GR"/>
        </w:rPr>
        <w:t xml:space="preserve"> </w:t>
      </w:r>
      <w:r w:rsidR="006879F8">
        <w:rPr>
          <w:rFonts w:eastAsia="Calibri" w:cstheme="minorHAnsi"/>
          <w:noProof/>
          <w:sz w:val="24"/>
          <w:szCs w:val="24"/>
          <w:lang w:val="el-GR"/>
        </w:rPr>
        <w:t>είναι</w:t>
      </w:r>
      <w:r w:rsidR="006879F8" w:rsidRPr="006879F8">
        <w:rPr>
          <w:rFonts w:eastAsia="Calibri" w:cstheme="minorHAnsi"/>
          <w:noProof/>
          <w:sz w:val="24"/>
          <w:szCs w:val="24"/>
          <w:lang w:val="el-GR"/>
        </w:rPr>
        <w:t xml:space="preserve"> </w:t>
      </w:r>
      <w:r w:rsidR="006879F8">
        <w:rPr>
          <w:rFonts w:eastAsia="Calibri" w:cstheme="minorHAnsi"/>
          <w:noProof/>
          <w:sz w:val="24"/>
          <w:szCs w:val="24"/>
          <w:lang w:val="el-GR"/>
        </w:rPr>
        <w:t>ένα</w:t>
      </w:r>
      <w:r w:rsidR="006879F8" w:rsidRPr="006879F8">
        <w:rPr>
          <w:rFonts w:eastAsia="Calibri" w:cstheme="minorHAnsi"/>
          <w:noProof/>
          <w:sz w:val="24"/>
          <w:szCs w:val="24"/>
          <w:lang w:val="el-GR"/>
        </w:rPr>
        <w:t xml:space="preserve"> </w:t>
      </w:r>
      <w:r w:rsidR="006879F8">
        <w:rPr>
          <w:rFonts w:eastAsia="Calibri" w:cstheme="minorHAnsi"/>
          <w:noProof/>
          <w:sz w:val="24"/>
          <w:szCs w:val="24"/>
          <w:lang w:val="el-GR"/>
        </w:rPr>
        <w:t>πολύπλοκο</w:t>
      </w:r>
      <w:r w:rsidR="006879F8" w:rsidRPr="006879F8">
        <w:rPr>
          <w:rFonts w:eastAsia="Calibri" w:cstheme="minorHAnsi"/>
          <w:noProof/>
          <w:sz w:val="24"/>
          <w:szCs w:val="24"/>
          <w:lang w:val="el-GR"/>
        </w:rPr>
        <w:t xml:space="preserve"> </w:t>
      </w:r>
      <w:r w:rsidR="006879F8">
        <w:rPr>
          <w:rFonts w:eastAsia="Calibri" w:cstheme="minorHAnsi"/>
          <w:noProof/>
          <w:sz w:val="24"/>
          <w:szCs w:val="24"/>
          <w:lang w:val="el-GR"/>
        </w:rPr>
        <w:t>θέμα και δεν υπάρχει κάποιο μοντέλο που ταιριάζει σε όλα</w:t>
      </w:r>
      <w:r w:rsidR="00A5147D" w:rsidRPr="006879F8">
        <w:rPr>
          <w:rFonts w:eastAsia="Calibri" w:cstheme="minorHAnsi"/>
          <w:noProof/>
          <w:sz w:val="24"/>
          <w:szCs w:val="24"/>
          <w:lang w:val="el-GR"/>
        </w:rPr>
        <w:t xml:space="preserve">. </w:t>
      </w:r>
      <w:r w:rsidR="006879F8">
        <w:rPr>
          <w:rFonts w:eastAsia="Calibri" w:cstheme="minorHAnsi"/>
          <w:noProof/>
          <w:sz w:val="24"/>
          <w:szCs w:val="24"/>
          <w:lang w:val="el-GR"/>
        </w:rPr>
        <w:t>Ο</w:t>
      </w:r>
      <w:r w:rsidR="006879F8" w:rsidRPr="006879F8">
        <w:rPr>
          <w:rFonts w:eastAsia="Calibri" w:cstheme="minorHAnsi"/>
          <w:noProof/>
          <w:sz w:val="24"/>
          <w:szCs w:val="24"/>
          <w:lang w:val="el-GR"/>
        </w:rPr>
        <w:t xml:space="preserve"> </w:t>
      </w:r>
      <w:r w:rsidR="006879F8">
        <w:rPr>
          <w:rFonts w:eastAsia="Calibri" w:cstheme="minorHAnsi"/>
          <w:noProof/>
          <w:sz w:val="24"/>
          <w:szCs w:val="24"/>
          <w:lang w:val="el-GR"/>
        </w:rPr>
        <w:t>χρόνος</w:t>
      </w:r>
      <w:r w:rsidR="006879F8" w:rsidRPr="006879F8">
        <w:rPr>
          <w:rFonts w:eastAsia="Calibri" w:cstheme="minorHAnsi"/>
          <w:noProof/>
          <w:sz w:val="24"/>
          <w:szCs w:val="24"/>
          <w:lang w:val="el-GR"/>
        </w:rPr>
        <w:t xml:space="preserve"> </w:t>
      </w:r>
      <w:r w:rsidR="006879F8">
        <w:rPr>
          <w:rFonts w:eastAsia="Calibri" w:cstheme="minorHAnsi"/>
          <w:noProof/>
          <w:sz w:val="24"/>
          <w:szCs w:val="24"/>
          <w:lang w:val="el-GR"/>
        </w:rPr>
        <w:t>και</w:t>
      </w:r>
      <w:r w:rsidR="006879F8" w:rsidRPr="006879F8">
        <w:rPr>
          <w:rFonts w:eastAsia="Calibri" w:cstheme="minorHAnsi"/>
          <w:noProof/>
          <w:sz w:val="24"/>
          <w:szCs w:val="24"/>
          <w:lang w:val="el-GR"/>
        </w:rPr>
        <w:t xml:space="preserve"> </w:t>
      </w:r>
      <w:r w:rsidR="006879F8">
        <w:rPr>
          <w:rFonts w:eastAsia="Calibri" w:cstheme="minorHAnsi"/>
          <w:noProof/>
          <w:sz w:val="24"/>
          <w:szCs w:val="24"/>
          <w:lang w:val="el-GR"/>
        </w:rPr>
        <w:t>η</w:t>
      </w:r>
      <w:r w:rsidR="006879F8" w:rsidRPr="006879F8">
        <w:rPr>
          <w:rFonts w:eastAsia="Calibri" w:cstheme="minorHAnsi"/>
          <w:noProof/>
          <w:sz w:val="24"/>
          <w:szCs w:val="24"/>
          <w:lang w:val="el-GR"/>
        </w:rPr>
        <w:t xml:space="preserve"> </w:t>
      </w:r>
      <w:r w:rsidR="006879F8">
        <w:rPr>
          <w:rFonts w:eastAsia="Calibri" w:cstheme="minorHAnsi"/>
          <w:noProof/>
          <w:sz w:val="24"/>
          <w:szCs w:val="24"/>
          <w:lang w:val="el-GR"/>
        </w:rPr>
        <w:t>εμπειρία</w:t>
      </w:r>
      <w:r w:rsidR="006879F8" w:rsidRPr="006879F8">
        <w:rPr>
          <w:rFonts w:eastAsia="Calibri" w:cstheme="minorHAnsi"/>
          <w:noProof/>
          <w:sz w:val="24"/>
          <w:szCs w:val="24"/>
          <w:lang w:val="el-GR"/>
        </w:rPr>
        <w:t xml:space="preserve"> </w:t>
      </w:r>
      <w:r w:rsidR="006879F8">
        <w:rPr>
          <w:rFonts w:eastAsia="Calibri" w:cstheme="minorHAnsi"/>
          <w:noProof/>
          <w:sz w:val="24"/>
          <w:szCs w:val="24"/>
          <w:lang w:val="el-GR"/>
        </w:rPr>
        <w:t>θα</w:t>
      </w:r>
      <w:r w:rsidR="006879F8" w:rsidRPr="006879F8">
        <w:rPr>
          <w:rFonts w:eastAsia="Calibri" w:cstheme="minorHAnsi"/>
          <w:noProof/>
          <w:sz w:val="24"/>
          <w:szCs w:val="24"/>
          <w:lang w:val="el-GR"/>
        </w:rPr>
        <w:t xml:space="preserve"> </w:t>
      </w:r>
      <w:r w:rsidR="006879F8">
        <w:rPr>
          <w:rFonts w:eastAsia="Calibri" w:cstheme="minorHAnsi"/>
          <w:noProof/>
          <w:sz w:val="24"/>
          <w:szCs w:val="24"/>
          <w:lang w:val="el-GR"/>
        </w:rPr>
        <w:t>αποδείξουν</w:t>
      </w:r>
      <w:r w:rsidR="006879F8" w:rsidRPr="006879F8">
        <w:rPr>
          <w:rFonts w:eastAsia="Calibri" w:cstheme="minorHAnsi"/>
          <w:noProof/>
          <w:sz w:val="24"/>
          <w:szCs w:val="24"/>
          <w:lang w:val="el-GR"/>
        </w:rPr>
        <w:t xml:space="preserve"> </w:t>
      </w:r>
      <w:r w:rsidR="006879F8">
        <w:rPr>
          <w:rFonts w:eastAsia="Calibri" w:cstheme="minorHAnsi"/>
          <w:noProof/>
          <w:sz w:val="24"/>
          <w:szCs w:val="24"/>
          <w:lang w:val="el-GR"/>
        </w:rPr>
        <w:t>αν</w:t>
      </w:r>
      <w:r w:rsidR="006879F8" w:rsidRPr="006879F8">
        <w:rPr>
          <w:rFonts w:eastAsia="Calibri" w:cstheme="minorHAnsi"/>
          <w:noProof/>
          <w:sz w:val="24"/>
          <w:szCs w:val="24"/>
          <w:lang w:val="el-GR"/>
        </w:rPr>
        <w:t xml:space="preserve"> </w:t>
      </w:r>
      <w:r w:rsidR="006879F8">
        <w:rPr>
          <w:rFonts w:eastAsia="Calibri" w:cstheme="minorHAnsi"/>
          <w:noProof/>
          <w:sz w:val="24"/>
          <w:szCs w:val="24"/>
          <w:lang w:val="el-GR"/>
        </w:rPr>
        <w:t>χρειάζονται περισσότερες προσαρμογές</w:t>
      </w:r>
      <w:r w:rsidR="00A5147D" w:rsidRPr="006879F8">
        <w:rPr>
          <w:rFonts w:eastAsia="Calibri" w:cstheme="minorHAnsi"/>
          <w:noProof/>
          <w:sz w:val="24"/>
          <w:szCs w:val="24"/>
          <w:lang w:val="el-GR"/>
        </w:rPr>
        <w:t>.</w:t>
      </w:r>
    </w:p>
    <w:p w14:paraId="01DCCFFC" w14:textId="77777777" w:rsidR="00A5147D" w:rsidRPr="006879F8" w:rsidRDefault="00A5147D" w:rsidP="00A5147D">
      <w:pPr>
        <w:pStyle w:val="ListParagraph"/>
        <w:rPr>
          <w:rFonts w:cstheme="minorHAnsi"/>
          <w:sz w:val="24"/>
          <w:szCs w:val="24"/>
          <w:lang w:val="el-GR"/>
        </w:rPr>
      </w:pPr>
    </w:p>
    <w:p w14:paraId="0F23B51E" w14:textId="2BDC5192" w:rsidR="00A5147D" w:rsidRPr="00534B54" w:rsidRDefault="006879F8"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Η</w:t>
      </w:r>
      <w:r w:rsidRPr="006879F8">
        <w:rPr>
          <w:rFonts w:cstheme="minorHAnsi"/>
          <w:sz w:val="24"/>
          <w:szCs w:val="24"/>
          <w:lang w:val="el-GR"/>
        </w:rPr>
        <w:t xml:space="preserve"> </w:t>
      </w:r>
      <w:r>
        <w:rPr>
          <w:rFonts w:cstheme="minorHAnsi"/>
          <w:sz w:val="24"/>
          <w:szCs w:val="24"/>
          <w:lang w:val="el-GR"/>
        </w:rPr>
        <w:t>Ανεξάρτητη</w:t>
      </w:r>
      <w:r w:rsidRPr="006879F8">
        <w:rPr>
          <w:rFonts w:cstheme="minorHAnsi"/>
          <w:sz w:val="24"/>
          <w:szCs w:val="24"/>
          <w:lang w:val="el-GR"/>
        </w:rPr>
        <w:t xml:space="preserve"> </w:t>
      </w:r>
      <w:r>
        <w:rPr>
          <w:rFonts w:cstheme="minorHAnsi"/>
          <w:sz w:val="24"/>
          <w:szCs w:val="24"/>
          <w:lang w:val="el-GR"/>
        </w:rPr>
        <w:t>Αρχή</w:t>
      </w:r>
      <w:r w:rsidRPr="006879F8">
        <w:rPr>
          <w:rFonts w:cstheme="minorHAnsi"/>
          <w:sz w:val="24"/>
          <w:szCs w:val="24"/>
          <w:lang w:val="el-GR"/>
        </w:rPr>
        <w:t xml:space="preserve"> </w:t>
      </w:r>
      <w:r w:rsidR="00534B54">
        <w:rPr>
          <w:rFonts w:cstheme="minorHAnsi"/>
          <w:sz w:val="24"/>
          <w:szCs w:val="24"/>
          <w:lang w:val="el-GR"/>
        </w:rPr>
        <w:t>κ</w:t>
      </w:r>
      <w:r>
        <w:rPr>
          <w:rFonts w:cstheme="minorHAnsi"/>
          <w:sz w:val="24"/>
          <w:szCs w:val="24"/>
          <w:lang w:val="el-GR"/>
        </w:rPr>
        <w:t>ατά</w:t>
      </w:r>
      <w:r w:rsidRPr="006879F8">
        <w:rPr>
          <w:rFonts w:cstheme="minorHAnsi"/>
          <w:sz w:val="24"/>
          <w:szCs w:val="24"/>
          <w:lang w:val="el-GR"/>
        </w:rPr>
        <w:t xml:space="preserve"> </w:t>
      </w:r>
      <w:r>
        <w:rPr>
          <w:rFonts w:cstheme="minorHAnsi"/>
          <w:sz w:val="24"/>
          <w:szCs w:val="24"/>
          <w:lang w:val="el-GR"/>
        </w:rPr>
        <w:t>της</w:t>
      </w:r>
      <w:r w:rsidRPr="006879F8">
        <w:rPr>
          <w:rFonts w:cstheme="minorHAnsi"/>
          <w:sz w:val="24"/>
          <w:szCs w:val="24"/>
          <w:lang w:val="el-GR"/>
        </w:rPr>
        <w:t xml:space="preserve"> </w:t>
      </w:r>
      <w:r>
        <w:rPr>
          <w:rFonts w:cstheme="minorHAnsi"/>
          <w:sz w:val="24"/>
          <w:szCs w:val="24"/>
          <w:lang w:val="el-GR"/>
        </w:rPr>
        <w:t>Διαφθοράς</w:t>
      </w:r>
      <w:r w:rsidR="00A5147D" w:rsidRPr="006879F8">
        <w:rPr>
          <w:rFonts w:cstheme="minorHAnsi"/>
          <w:sz w:val="24"/>
          <w:szCs w:val="24"/>
          <w:lang w:val="el-GR"/>
        </w:rPr>
        <w:t xml:space="preserve"> </w:t>
      </w:r>
      <w:r>
        <w:rPr>
          <w:rFonts w:cstheme="minorHAnsi"/>
          <w:sz w:val="24"/>
          <w:szCs w:val="24"/>
          <w:lang w:val="el-GR"/>
        </w:rPr>
        <w:t>εργάζεται</w:t>
      </w:r>
      <w:r w:rsidRPr="006879F8">
        <w:rPr>
          <w:rFonts w:cstheme="minorHAnsi"/>
          <w:sz w:val="24"/>
          <w:szCs w:val="24"/>
          <w:lang w:val="el-GR"/>
        </w:rPr>
        <w:t xml:space="preserve"> </w:t>
      </w:r>
      <w:r w:rsidR="00722749">
        <w:rPr>
          <w:rFonts w:cstheme="minorHAnsi"/>
          <w:sz w:val="24"/>
          <w:szCs w:val="24"/>
          <w:lang w:val="el-GR"/>
        </w:rPr>
        <w:t>π</w:t>
      </w:r>
      <w:r>
        <w:rPr>
          <w:rFonts w:cstheme="minorHAnsi"/>
          <w:sz w:val="24"/>
          <w:szCs w:val="24"/>
          <w:lang w:val="el-GR"/>
        </w:rPr>
        <w:t>άνω</w:t>
      </w:r>
      <w:r w:rsidRPr="006879F8">
        <w:rPr>
          <w:rFonts w:cstheme="minorHAnsi"/>
          <w:sz w:val="24"/>
          <w:szCs w:val="24"/>
          <w:lang w:val="el-GR"/>
        </w:rPr>
        <w:t xml:space="preserve"> </w:t>
      </w:r>
      <w:r>
        <w:rPr>
          <w:rFonts w:cstheme="minorHAnsi"/>
          <w:sz w:val="24"/>
          <w:szCs w:val="24"/>
          <w:lang w:val="el-GR"/>
        </w:rPr>
        <w:t>σε</w:t>
      </w:r>
      <w:r w:rsidRPr="006879F8">
        <w:rPr>
          <w:rFonts w:cstheme="minorHAnsi"/>
          <w:sz w:val="24"/>
          <w:szCs w:val="24"/>
          <w:lang w:val="el-GR"/>
        </w:rPr>
        <w:t xml:space="preserve"> </w:t>
      </w:r>
      <w:r>
        <w:rPr>
          <w:rFonts w:cstheme="minorHAnsi"/>
          <w:sz w:val="24"/>
          <w:szCs w:val="24"/>
          <w:lang w:val="el-GR"/>
        </w:rPr>
        <w:t>ένα</w:t>
      </w:r>
      <w:r w:rsidRPr="006879F8">
        <w:rPr>
          <w:rFonts w:cstheme="minorHAnsi"/>
          <w:sz w:val="24"/>
          <w:szCs w:val="24"/>
          <w:lang w:val="el-GR"/>
        </w:rPr>
        <w:t xml:space="preserve"> </w:t>
      </w:r>
      <w:r>
        <w:rPr>
          <w:rFonts w:cstheme="minorHAnsi"/>
          <w:sz w:val="24"/>
          <w:szCs w:val="24"/>
          <w:lang w:val="el-GR"/>
        </w:rPr>
        <w:t>Κώδικα</w:t>
      </w:r>
      <w:r w:rsidRPr="006879F8">
        <w:rPr>
          <w:rFonts w:cstheme="minorHAnsi"/>
          <w:sz w:val="24"/>
          <w:szCs w:val="24"/>
          <w:lang w:val="el-GR"/>
        </w:rPr>
        <w:t xml:space="preserve"> </w:t>
      </w:r>
      <w:r>
        <w:rPr>
          <w:rFonts w:cstheme="minorHAnsi"/>
          <w:sz w:val="24"/>
          <w:szCs w:val="24"/>
          <w:lang w:val="el-GR"/>
        </w:rPr>
        <w:t>Συμπεριφοράς</w:t>
      </w:r>
      <w:r w:rsidR="00A5147D" w:rsidRPr="006879F8">
        <w:rPr>
          <w:rFonts w:cstheme="minorHAnsi"/>
          <w:sz w:val="24"/>
          <w:szCs w:val="24"/>
          <w:lang w:val="el-GR"/>
        </w:rPr>
        <w:t xml:space="preserve"> </w:t>
      </w:r>
      <w:r>
        <w:rPr>
          <w:rFonts w:cstheme="minorHAnsi"/>
          <w:sz w:val="24"/>
          <w:szCs w:val="24"/>
          <w:lang w:val="el-GR"/>
        </w:rPr>
        <w:t>για</w:t>
      </w:r>
      <w:r w:rsidRPr="006879F8">
        <w:rPr>
          <w:rFonts w:cstheme="minorHAnsi"/>
          <w:sz w:val="24"/>
          <w:szCs w:val="24"/>
          <w:lang w:val="el-GR"/>
        </w:rPr>
        <w:t xml:space="preserve"> </w:t>
      </w:r>
      <w:r>
        <w:rPr>
          <w:rFonts w:cstheme="minorHAnsi"/>
          <w:sz w:val="24"/>
          <w:szCs w:val="24"/>
          <w:lang w:val="el-GR"/>
        </w:rPr>
        <w:t>τις</w:t>
      </w:r>
      <w:r w:rsidRPr="006879F8">
        <w:rPr>
          <w:rFonts w:cstheme="minorHAnsi"/>
          <w:sz w:val="24"/>
          <w:szCs w:val="24"/>
          <w:lang w:val="el-GR"/>
        </w:rPr>
        <w:t xml:space="preserve"> </w:t>
      </w:r>
      <w:r>
        <w:rPr>
          <w:rFonts w:cstheme="minorHAnsi"/>
          <w:sz w:val="24"/>
          <w:szCs w:val="24"/>
          <w:lang w:val="el-GR"/>
        </w:rPr>
        <w:t>πρακτικές</w:t>
      </w:r>
      <w:r w:rsidRPr="006879F8">
        <w:rPr>
          <w:rFonts w:cstheme="minorHAnsi"/>
          <w:sz w:val="24"/>
          <w:szCs w:val="24"/>
          <w:lang w:val="el-GR"/>
        </w:rPr>
        <w:t xml:space="preserve"> </w:t>
      </w:r>
      <w:r>
        <w:rPr>
          <w:rFonts w:cstheme="minorHAnsi"/>
          <w:sz w:val="24"/>
          <w:szCs w:val="24"/>
          <w:lang w:val="el-GR"/>
        </w:rPr>
        <w:t>που</w:t>
      </w:r>
      <w:r w:rsidRPr="006879F8">
        <w:rPr>
          <w:rFonts w:cstheme="minorHAnsi"/>
          <w:sz w:val="24"/>
          <w:szCs w:val="24"/>
          <w:lang w:val="el-GR"/>
        </w:rPr>
        <w:t xml:space="preserve"> </w:t>
      </w:r>
      <w:r>
        <w:rPr>
          <w:rFonts w:cstheme="minorHAnsi"/>
          <w:sz w:val="24"/>
          <w:szCs w:val="24"/>
          <w:lang w:val="el-GR"/>
        </w:rPr>
        <w:t>πρέπει</w:t>
      </w:r>
      <w:r w:rsidRPr="006879F8">
        <w:rPr>
          <w:rFonts w:cstheme="minorHAnsi"/>
          <w:sz w:val="24"/>
          <w:szCs w:val="24"/>
          <w:lang w:val="el-GR"/>
        </w:rPr>
        <w:t xml:space="preserve"> </w:t>
      </w:r>
      <w:r>
        <w:rPr>
          <w:rFonts w:cstheme="minorHAnsi"/>
          <w:sz w:val="24"/>
          <w:szCs w:val="24"/>
          <w:lang w:val="el-GR"/>
        </w:rPr>
        <w:t>να</w:t>
      </w:r>
      <w:r w:rsidRPr="006879F8">
        <w:rPr>
          <w:rFonts w:cstheme="minorHAnsi"/>
          <w:sz w:val="24"/>
          <w:szCs w:val="24"/>
          <w:lang w:val="el-GR"/>
        </w:rPr>
        <w:t xml:space="preserve"> </w:t>
      </w:r>
      <w:r>
        <w:rPr>
          <w:rFonts w:cstheme="minorHAnsi"/>
          <w:sz w:val="24"/>
          <w:szCs w:val="24"/>
          <w:lang w:val="el-GR"/>
        </w:rPr>
        <w:t>ακολουθήσουν αντιπρόσωποι</w:t>
      </w:r>
      <w:r w:rsidR="00A5147D" w:rsidRPr="006879F8">
        <w:rPr>
          <w:rFonts w:cstheme="minorHAnsi"/>
          <w:sz w:val="24"/>
          <w:szCs w:val="24"/>
          <w:lang w:val="el-GR"/>
        </w:rPr>
        <w:t xml:space="preserve"> </w:t>
      </w:r>
      <w:r>
        <w:rPr>
          <w:rFonts w:cstheme="minorHAnsi"/>
          <w:sz w:val="24"/>
          <w:szCs w:val="24"/>
          <w:lang w:val="el-GR"/>
        </w:rPr>
        <w:t>των</w:t>
      </w:r>
      <w:r w:rsidR="00722749">
        <w:rPr>
          <w:rFonts w:cstheme="minorHAnsi"/>
          <w:sz w:val="24"/>
          <w:szCs w:val="24"/>
          <w:lang w:val="el-GR"/>
        </w:rPr>
        <w:t xml:space="preserve"> </w:t>
      </w:r>
      <w:r>
        <w:rPr>
          <w:rFonts w:cstheme="minorHAnsi"/>
          <w:sz w:val="24"/>
          <w:szCs w:val="24"/>
          <w:lang w:val="el-GR"/>
        </w:rPr>
        <w:t>ομάδων ειδικών συμφερόντων</w:t>
      </w:r>
      <w:r w:rsidR="00A5147D" w:rsidRPr="006879F8">
        <w:rPr>
          <w:rFonts w:cstheme="minorHAnsi"/>
          <w:sz w:val="24"/>
          <w:szCs w:val="24"/>
          <w:lang w:val="el-GR"/>
        </w:rPr>
        <w:t xml:space="preserve"> </w:t>
      </w:r>
      <w:r>
        <w:rPr>
          <w:rFonts w:cstheme="minorHAnsi"/>
          <w:sz w:val="24"/>
          <w:szCs w:val="24"/>
          <w:lang w:val="el-GR"/>
        </w:rPr>
        <w:t>που προτίθενται να εμπλακούν στις διαδικασίες λήψης δημοσίων αποφάσεων</w:t>
      </w:r>
      <w:r w:rsidR="00A5147D" w:rsidRPr="006879F8">
        <w:rPr>
          <w:rFonts w:cstheme="minorHAnsi"/>
          <w:sz w:val="24"/>
          <w:szCs w:val="24"/>
          <w:lang w:val="el-GR"/>
        </w:rPr>
        <w:t xml:space="preserve">. </w:t>
      </w:r>
      <w:r>
        <w:rPr>
          <w:rFonts w:cstheme="minorHAnsi"/>
          <w:sz w:val="24"/>
          <w:szCs w:val="24"/>
          <w:lang w:val="el-GR"/>
        </w:rPr>
        <w:t>Αυτή</w:t>
      </w:r>
      <w:r w:rsidRPr="00722749">
        <w:rPr>
          <w:rFonts w:cstheme="minorHAnsi"/>
          <w:sz w:val="24"/>
          <w:szCs w:val="24"/>
          <w:lang w:val="el-GR"/>
        </w:rPr>
        <w:t xml:space="preserve"> </w:t>
      </w:r>
      <w:r w:rsidR="00722749">
        <w:rPr>
          <w:rFonts w:cstheme="minorHAnsi"/>
          <w:sz w:val="24"/>
          <w:szCs w:val="24"/>
          <w:lang w:val="el-GR"/>
        </w:rPr>
        <w:t xml:space="preserve">είναι </w:t>
      </w:r>
      <w:r>
        <w:rPr>
          <w:rFonts w:cstheme="minorHAnsi"/>
          <w:sz w:val="24"/>
          <w:szCs w:val="24"/>
          <w:lang w:val="el-GR"/>
        </w:rPr>
        <w:t>η</w:t>
      </w:r>
      <w:r w:rsidRPr="00722749">
        <w:rPr>
          <w:rFonts w:cstheme="minorHAnsi"/>
          <w:sz w:val="24"/>
          <w:szCs w:val="24"/>
          <w:lang w:val="el-GR"/>
        </w:rPr>
        <w:t xml:space="preserve"> </w:t>
      </w:r>
      <w:r w:rsidR="00722749">
        <w:rPr>
          <w:rFonts w:cstheme="minorHAnsi"/>
          <w:sz w:val="24"/>
          <w:szCs w:val="24"/>
          <w:lang w:val="el-GR"/>
        </w:rPr>
        <w:t>μι</w:t>
      </w:r>
      <w:r>
        <w:rPr>
          <w:rFonts w:cstheme="minorHAnsi"/>
          <w:sz w:val="24"/>
          <w:szCs w:val="24"/>
          <w:lang w:val="el-GR"/>
        </w:rPr>
        <w:t>α</w:t>
      </w:r>
      <w:r w:rsidRPr="00722749">
        <w:rPr>
          <w:rFonts w:cstheme="minorHAnsi"/>
          <w:sz w:val="24"/>
          <w:szCs w:val="24"/>
          <w:lang w:val="el-GR"/>
        </w:rPr>
        <w:t xml:space="preserve"> </w:t>
      </w:r>
      <w:r>
        <w:rPr>
          <w:rFonts w:cstheme="minorHAnsi"/>
          <w:sz w:val="24"/>
          <w:szCs w:val="24"/>
          <w:lang w:val="el-GR"/>
        </w:rPr>
        <w:t>πλευρά</w:t>
      </w:r>
      <w:r w:rsidRPr="00722749">
        <w:rPr>
          <w:rFonts w:cstheme="minorHAnsi"/>
          <w:sz w:val="24"/>
          <w:szCs w:val="24"/>
          <w:lang w:val="el-GR"/>
        </w:rPr>
        <w:t xml:space="preserve"> </w:t>
      </w:r>
      <w:r>
        <w:rPr>
          <w:rFonts w:cstheme="minorHAnsi"/>
          <w:sz w:val="24"/>
          <w:szCs w:val="24"/>
          <w:lang w:val="el-GR"/>
        </w:rPr>
        <w:t>της</w:t>
      </w:r>
      <w:r w:rsidRPr="00722749">
        <w:rPr>
          <w:rFonts w:cstheme="minorHAnsi"/>
          <w:sz w:val="24"/>
          <w:szCs w:val="24"/>
          <w:lang w:val="el-GR"/>
        </w:rPr>
        <w:t xml:space="preserve"> </w:t>
      </w:r>
      <w:r>
        <w:rPr>
          <w:rFonts w:cstheme="minorHAnsi"/>
          <w:sz w:val="24"/>
          <w:szCs w:val="24"/>
          <w:lang w:val="el-GR"/>
        </w:rPr>
        <w:t>εξίσωσης</w:t>
      </w:r>
      <w:r w:rsidRPr="00722749">
        <w:rPr>
          <w:rFonts w:cstheme="minorHAnsi"/>
          <w:sz w:val="24"/>
          <w:szCs w:val="24"/>
          <w:lang w:val="el-GR"/>
        </w:rPr>
        <w:t xml:space="preserve"> </w:t>
      </w:r>
      <w:r>
        <w:rPr>
          <w:rFonts w:cstheme="minorHAnsi"/>
          <w:sz w:val="24"/>
          <w:szCs w:val="24"/>
          <w:lang w:val="el-GR"/>
        </w:rPr>
        <w:t>του</w:t>
      </w:r>
      <w:r w:rsidRPr="00722749">
        <w:rPr>
          <w:rFonts w:cstheme="minorHAnsi"/>
          <w:sz w:val="24"/>
          <w:szCs w:val="24"/>
          <w:lang w:val="el-GR"/>
        </w:rPr>
        <w:t xml:space="preserve"> </w:t>
      </w:r>
      <w:proofErr w:type="spellStart"/>
      <w:r>
        <w:rPr>
          <w:rFonts w:cstheme="minorHAnsi"/>
          <w:sz w:val="24"/>
          <w:szCs w:val="24"/>
          <w:lang w:val="el-GR"/>
        </w:rPr>
        <w:t>λόμπυ</w:t>
      </w:r>
      <w:proofErr w:type="spellEnd"/>
      <w:r w:rsidR="00A5147D" w:rsidRPr="00722749">
        <w:rPr>
          <w:rFonts w:cstheme="minorHAnsi"/>
          <w:sz w:val="24"/>
          <w:szCs w:val="24"/>
          <w:lang w:val="el-GR"/>
        </w:rPr>
        <w:t xml:space="preserve"> (</w:t>
      </w:r>
      <w:proofErr w:type="spellStart"/>
      <w:r>
        <w:rPr>
          <w:rFonts w:cstheme="minorHAnsi"/>
          <w:sz w:val="24"/>
          <w:szCs w:val="24"/>
          <w:lang w:val="el-GR"/>
        </w:rPr>
        <w:t>λομπ</w:t>
      </w:r>
      <w:r w:rsidR="00722749">
        <w:rPr>
          <w:rFonts w:cstheme="minorHAnsi"/>
          <w:sz w:val="24"/>
          <w:szCs w:val="24"/>
          <w:lang w:val="el-GR"/>
        </w:rPr>
        <w:t>ι</w:t>
      </w:r>
      <w:r>
        <w:rPr>
          <w:rFonts w:cstheme="minorHAnsi"/>
          <w:sz w:val="24"/>
          <w:szCs w:val="24"/>
          <w:lang w:val="el-GR"/>
        </w:rPr>
        <w:t>στές</w:t>
      </w:r>
      <w:proofErr w:type="spellEnd"/>
      <w:r w:rsidR="00A5147D" w:rsidRPr="00722749">
        <w:rPr>
          <w:rFonts w:cstheme="minorHAnsi"/>
          <w:sz w:val="24"/>
          <w:szCs w:val="24"/>
          <w:lang w:val="el-GR"/>
        </w:rPr>
        <w:t xml:space="preserve">). </w:t>
      </w:r>
      <w:r>
        <w:rPr>
          <w:rFonts w:cstheme="minorHAnsi"/>
          <w:sz w:val="24"/>
          <w:szCs w:val="24"/>
          <w:lang w:val="el-GR"/>
        </w:rPr>
        <w:t>Θα</w:t>
      </w:r>
      <w:r w:rsidRPr="00534B54">
        <w:rPr>
          <w:rFonts w:cstheme="minorHAnsi"/>
          <w:sz w:val="24"/>
          <w:szCs w:val="24"/>
          <w:lang w:val="el-GR"/>
        </w:rPr>
        <w:t xml:space="preserve"> </w:t>
      </w:r>
      <w:r>
        <w:rPr>
          <w:rFonts w:cstheme="minorHAnsi"/>
          <w:sz w:val="24"/>
          <w:szCs w:val="24"/>
          <w:lang w:val="el-GR"/>
        </w:rPr>
        <w:t>ήταν</w:t>
      </w:r>
      <w:r w:rsidRPr="00534B54">
        <w:rPr>
          <w:rFonts w:cstheme="minorHAnsi"/>
          <w:sz w:val="24"/>
          <w:szCs w:val="24"/>
          <w:lang w:val="el-GR"/>
        </w:rPr>
        <w:t xml:space="preserve"> </w:t>
      </w:r>
      <w:r w:rsidR="00534B54">
        <w:rPr>
          <w:rFonts w:cstheme="minorHAnsi"/>
          <w:sz w:val="24"/>
          <w:szCs w:val="24"/>
          <w:lang w:val="el-GR"/>
        </w:rPr>
        <w:t>σημαντικό</w:t>
      </w:r>
      <w:r w:rsidR="00534B54" w:rsidRPr="00534B54">
        <w:rPr>
          <w:rFonts w:cstheme="minorHAnsi"/>
          <w:sz w:val="24"/>
          <w:szCs w:val="24"/>
          <w:lang w:val="el-GR"/>
        </w:rPr>
        <w:t xml:space="preserve"> </w:t>
      </w:r>
      <w:r w:rsidR="00534B54">
        <w:rPr>
          <w:rFonts w:cstheme="minorHAnsi"/>
          <w:sz w:val="24"/>
          <w:szCs w:val="24"/>
          <w:lang w:val="el-GR"/>
        </w:rPr>
        <w:t>επίσης</w:t>
      </w:r>
      <w:r w:rsidR="00534B54" w:rsidRPr="00534B54">
        <w:rPr>
          <w:rFonts w:cstheme="minorHAnsi"/>
          <w:sz w:val="24"/>
          <w:szCs w:val="24"/>
          <w:lang w:val="el-GR"/>
        </w:rPr>
        <w:t xml:space="preserve"> </w:t>
      </w:r>
      <w:r w:rsidR="00534B54">
        <w:rPr>
          <w:rFonts w:cstheme="minorHAnsi"/>
          <w:sz w:val="24"/>
          <w:szCs w:val="24"/>
          <w:lang w:val="el-GR"/>
        </w:rPr>
        <w:t>για</w:t>
      </w:r>
      <w:r w:rsidR="00534B54" w:rsidRPr="00534B54">
        <w:rPr>
          <w:rFonts w:cstheme="minorHAnsi"/>
          <w:sz w:val="24"/>
          <w:szCs w:val="24"/>
          <w:lang w:val="el-GR"/>
        </w:rPr>
        <w:t xml:space="preserve"> </w:t>
      </w:r>
      <w:r w:rsidR="00A950EC">
        <w:rPr>
          <w:rFonts w:cstheme="minorHAnsi"/>
          <w:sz w:val="24"/>
          <w:szCs w:val="24"/>
          <w:lang w:val="el-GR"/>
        </w:rPr>
        <w:t xml:space="preserve">τους </w:t>
      </w:r>
      <w:r w:rsidR="00A950EC">
        <w:rPr>
          <w:rFonts w:cstheme="minorHAnsi"/>
          <w:sz w:val="24"/>
          <w:szCs w:val="24"/>
          <w:lang w:val="en-US"/>
        </w:rPr>
        <w:t>PTEFs</w:t>
      </w:r>
      <w:r w:rsidR="00A950EC" w:rsidRPr="002B7C4B">
        <w:rPr>
          <w:rFonts w:cstheme="minorHAnsi"/>
          <w:sz w:val="24"/>
          <w:szCs w:val="24"/>
          <w:lang w:val="el-GR"/>
        </w:rPr>
        <w:t xml:space="preserve"> </w:t>
      </w:r>
      <w:r w:rsidR="00534B54">
        <w:rPr>
          <w:rFonts w:cstheme="minorHAnsi"/>
          <w:sz w:val="24"/>
          <w:szCs w:val="24"/>
          <w:lang w:val="el-GR"/>
        </w:rPr>
        <w:t>να</w:t>
      </w:r>
      <w:r w:rsidR="00534B54" w:rsidRPr="00534B54">
        <w:rPr>
          <w:rFonts w:cstheme="minorHAnsi"/>
          <w:sz w:val="24"/>
          <w:szCs w:val="24"/>
          <w:lang w:val="el-GR"/>
        </w:rPr>
        <w:t xml:space="preserve"> </w:t>
      </w:r>
      <w:r w:rsidR="00534B54">
        <w:rPr>
          <w:rFonts w:cstheme="minorHAnsi"/>
          <w:sz w:val="24"/>
          <w:szCs w:val="24"/>
          <w:lang w:val="el-GR"/>
        </w:rPr>
        <w:t>λαμβάνουν</w:t>
      </w:r>
      <w:r w:rsidR="00534B54" w:rsidRPr="00534B54">
        <w:rPr>
          <w:rFonts w:cstheme="minorHAnsi"/>
          <w:sz w:val="24"/>
          <w:szCs w:val="24"/>
          <w:lang w:val="el-GR"/>
        </w:rPr>
        <w:t xml:space="preserve"> </w:t>
      </w:r>
      <w:proofErr w:type="spellStart"/>
      <w:r w:rsidR="00534B54">
        <w:rPr>
          <w:rFonts w:cstheme="minorHAnsi"/>
          <w:sz w:val="24"/>
          <w:szCs w:val="24"/>
          <w:lang w:val="el-GR"/>
        </w:rPr>
        <w:t>στοχευμένη</w:t>
      </w:r>
      <w:proofErr w:type="spellEnd"/>
      <w:r w:rsidR="00534B54" w:rsidRPr="00534B54">
        <w:rPr>
          <w:rFonts w:cstheme="minorHAnsi"/>
          <w:sz w:val="24"/>
          <w:szCs w:val="24"/>
          <w:lang w:val="el-GR"/>
        </w:rPr>
        <w:t xml:space="preserve"> </w:t>
      </w:r>
      <w:r w:rsidR="00534B54">
        <w:rPr>
          <w:rFonts w:cstheme="minorHAnsi"/>
          <w:sz w:val="24"/>
          <w:szCs w:val="24"/>
          <w:lang w:val="el-GR"/>
        </w:rPr>
        <w:t>καθοδήγηση</w:t>
      </w:r>
      <w:r w:rsidR="00A5147D" w:rsidRPr="00534B54">
        <w:rPr>
          <w:rFonts w:cstheme="minorHAnsi"/>
          <w:sz w:val="24"/>
          <w:szCs w:val="24"/>
          <w:lang w:val="el-GR"/>
        </w:rPr>
        <w:t xml:space="preserve"> </w:t>
      </w:r>
      <w:r w:rsidR="00534B54">
        <w:rPr>
          <w:rFonts w:cstheme="minorHAnsi"/>
          <w:sz w:val="24"/>
          <w:szCs w:val="24"/>
          <w:lang w:val="el-GR"/>
        </w:rPr>
        <w:t>για την πρακτική υλοποίηση</w:t>
      </w:r>
      <w:r w:rsidR="00A5147D" w:rsidRPr="00534B54">
        <w:rPr>
          <w:rFonts w:cstheme="minorHAnsi"/>
          <w:sz w:val="24"/>
          <w:szCs w:val="24"/>
          <w:lang w:val="el-GR"/>
        </w:rPr>
        <w:t xml:space="preserve"> </w:t>
      </w:r>
      <w:r w:rsidR="00534B54">
        <w:rPr>
          <w:rFonts w:cstheme="minorHAnsi"/>
          <w:sz w:val="24"/>
          <w:szCs w:val="24"/>
          <w:lang w:val="el-GR"/>
        </w:rPr>
        <w:t xml:space="preserve">του </w:t>
      </w:r>
      <w:r w:rsidR="00722749">
        <w:rPr>
          <w:rFonts w:cstheme="minorHAnsi"/>
          <w:sz w:val="24"/>
          <w:szCs w:val="24"/>
          <w:lang w:val="el-GR"/>
        </w:rPr>
        <w:t xml:space="preserve"> πρόσφατα </w:t>
      </w:r>
      <w:r w:rsidR="00534B54">
        <w:rPr>
          <w:rFonts w:cstheme="minorHAnsi"/>
          <w:sz w:val="24"/>
          <w:szCs w:val="24"/>
          <w:lang w:val="el-GR"/>
        </w:rPr>
        <w:t>υιοθετημένου νόμου</w:t>
      </w:r>
      <w:r w:rsidR="00A5147D" w:rsidRPr="00534B54">
        <w:rPr>
          <w:rFonts w:cstheme="minorHAnsi"/>
          <w:sz w:val="24"/>
          <w:szCs w:val="24"/>
          <w:lang w:val="el-GR"/>
        </w:rPr>
        <w:t xml:space="preserve">. </w:t>
      </w:r>
      <w:r w:rsidR="00534B54">
        <w:rPr>
          <w:rFonts w:cstheme="minorHAnsi"/>
          <w:sz w:val="24"/>
          <w:szCs w:val="24"/>
          <w:lang w:val="el-GR"/>
        </w:rPr>
        <w:t>Επίσης</w:t>
      </w:r>
      <w:r w:rsidR="00A5147D" w:rsidRPr="00534B54">
        <w:rPr>
          <w:rFonts w:cstheme="minorHAnsi"/>
          <w:sz w:val="24"/>
          <w:szCs w:val="24"/>
          <w:lang w:val="el-GR"/>
        </w:rPr>
        <w:t xml:space="preserve">, </w:t>
      </w:r>
      <w:r w:rsidR="00534B54">
        <w:rPr>
          <w:rFonts w:cstheme="minorHAnsi"/>
          <w:sz w:val="24"/>
          <w:szCs w:val="24"/>
          <w:lang w:val="el-GR"/>
        </w:rPr>
        <w:t>για</w:t>
      </w:r>
      <w:r w:rsidR="00534B54" w:rsidRPr="00534B54">
        <w:rPr>
          <w:rFonts w:cstheme="minorHAnsi"/>
          <w:sz w:val="24"/>
          <w:szCs w:val="24"/>
          <w:lang w:val="el-GR"/>
        </w:rPr>
        <w:t xml:space="preserve"> </w:t>
      </w:r>
      <w:r w:rsidR="00534B54">
        <w:rPr>
          <w:rFonts w:cstheme="minorHAnsi"/>
          <w:sz w:val="24"/>
          <w:szCs w:val="24"/>
          <w:lang w:val="el-GR"/>
        </w:rPr>
        <w:t>τα</w:t>
      </w:r>
      <w:r w:rsidR="00534B54" w:rsidRPr="00534B54">
        <w:rPr>
          <w:rFonts w:cstheme="minorHAnsi"/>
          <w:sz w:val="24"/>
          <w:szCs w:val="24"/>
          <w:lang w:val="el-GR"/>
        </w:rPr>
        <w:t xml:space="preserve"> </w:t>
      </w:r>
      <w:r w:rsidR="00534B54">
        <w:rPr>
          <w:rFonts w:cstheme="minorHAnsi"/>
          <w:sz w:val="24"/>
          <w:szCs w:val="24"/>
          <w:lang w:val="el-GR"/>
        </w:rPr>
        <w:t>αντίστοιχα</w:t>
      </w:r>
      <w:r w:rsidR="00534B54" w:rsidRPr="00534B54">
        <w:rPr>
          <w:rFonts w:cstheme="minorHAnsi"/>
          <w:sz w:val="24"/>
          <w:szCs w:val="24"/>
          <w:lang w:val="el-GR"/>
        </w:rPr>
        <w:t xml:space="preserve"> </w:t>
      </w:r>
      <w:r w:rsidR="00534B54">
        <w:rPr>
          <w:rFonts w:cstheme="minorHAnsi"/>
          <w:sz w:val="24"/>
          <w:szCs w:val="24"/>
          <w:lang w:val="el-GR"/>
        </w:rPr>
        <w:t>πρότυπα</w:t>
      </w:r>
      <w:r w:rsidR="00534B54" w:rsidRPr="00534B54">
        <w:rPr>
          <w:rFonts w:cstheme="minorHAnsi"/>
          <w:sz w:val="24"/>
          <w:szCs w:val="24"/>
          <w:lang w:val="el-GR"/>
        </w:rPr>
        <w:t xml:space="preserve"> </w:t>
      </w:r>
      <w:r w:rsidR="00534B54">
        <w:rPr>
          <w:rFonts w:cstheme="minorHAnsi"/>
          <w:sz w:val="24"/>
          <w:szCs w:val="24"/>
          <w:lang w:val="el-GR"/>
        </w:rPr>
        <w:t>συμπεριφοράς</w:t>
      </w:r>
      <w:r w:rsidR="00A5147D" w:rsidRPr="00534B54">
        <w:rPr>
          <w:rFonts w:cstheme="minorHAnsi"/>
          <w:sz w:val="24"/>
          <w:szCs w:val="24"/>
          <w:lang w:val="el-GR"/>
        </w:rPr>
        <w:t xml:space="preserve">, </w:t>
      </w:r>
      <w:r w:rsidR="00534B54">
        <w:rPr>
          <w:rFonts w:cstheme="minorHAnsi"/>
          <w:sz w:val="24"/>
          <w:szCs w:val="24"/>
          <w:lang w:val="el-GR"/>
        </w:rPr>
        <w:t>που</w:t>
      </w:r>
      <w:r w:rsidR="00534B54" w:rsidRPr="00534B54">
        <w:rPr>
          <w:rFonts w:cstheme="minorHAnsi"/>
          <w:sz w:val="24"/>
          <w:szCs w:val="24"/>
          <w:lang w:val="el-GR"/>
        </w:rPr>
        <w:t xml:space="preserve"> </w:t>
      </w:r>
      <w:r w:rsidR="00534B54">
        <w:rPr>
          <w:rFonts w:cstheme="minorHAnsi"/>
          <w:sz w:val="24"/>
          <w:szCs w:val="24"/>
          <w:lang w:val="el-GR"/>
        </w:rPr>
        <w:t>μπορεί</w:t>
      </w:r>
      <w:r w:rsidR="00534B54" w:rsidRPr="00534B54">
        <w:rPr>
          <w:rFonts w:cstheme="minorHAnsi"/>
          <w:sz w:val="24"/>
          <w:szCs w:val="24"/>
          <w:lang w:val="el-GR"/>
        </w:rPr>
        <w:t xml:space="preserve"> </w:t>
      </w:r>
      <w:r w:rsidR="00534B54">
        <w:rPr>
          <w:rFonts w:cstheme="minorHAnsi"/>
          <w:sz w:val="24"/>
          <w:szCs w:val="24"/>
          <w:lang w:val="el-GR"/>
        </w:rPr>
        <w:t>να</w:t>
      </w:r>
      <w:r w:rsidR="00534B54" w:rsidRPr="00534B54">
        <w:rPr>
          <w:rFonts w:cstheme="minorHAnsi"/>
          <w:sz w:val="24"/>
          <w:szCs w:val="24"/>
          <w:lang w:val="el-GR"/>
        </w:rPr>
        <w:t xml:space="preserve"> </w:t>
      </w:r>
      <w:r w:rsidR="00534B54">
        <w:rPr>
          <w:rFonts w:cstheme="minorHAnsi"/>
          <w:sz w:val="24"/>
          <w:szCs w:val="24"/>
          <w:lang w:val="el-GR"/>
        </w:rPr>
        <w:t>αναμένονται</w:t>
      </w:r>
      <w:r w:rsidR="00534B54" w:rsidRPr="00534B54">
        <w:rPr>
          <w:rFonts w:cstheme="minorHAnsi"/>
          <w:sz w:val="24"/>
          <w:szCs w:val="24"/>
          <w:lang w:val="el-GR"/>
        </w:rPr>
        <w:t xml:space="preserve"> </w:t>
      </w:r>
      <w:r w:rsidR="00534B54">
        <w:rPr>
          <w:rFonts w:cstheme="minorHAnsi"/>
          <w:sz w:val="24"/>
          <w:szCs w:val="24"/>
          <w:lang w:val="el-GR"/>
        </w:rPr>
        <w:t>από</w:t>
      </w:r>
      <w:r w:rsidR="00534B54" w:rsidRPr="00534B54">
        <w:rPr>
          <w:rFonts w:cstheme="minorHAnsi"/>
          <w:sz w:val="24"/>
          <w:szCs w:val="24"/>
          <w:lang w:val="el-GR"/>
        </w:rPr>
        <w:t xml:space="preserve"> </w:t>
      </w:r>
      <w:r w:rsidR="00534B54">
        <w:rPr>
          <w:rFonts w:cstheme="minorHAnsi"/>
          <w:sz w:val="24"/>
          <w:szCs w:val="24"/>
          <w:lang w:val="el-GR"/>
        </w:rPr>
        <w:t>αυτούς</w:t>
      </w:r>
      <w:r w:rsidR="00534B54" w:rsidRPr="00534B54">
        <w:rPr>
          <w:rFonts w:cstheme="minorHAnsi"/>
          <w:sz w:val="24"/>
          <w:szCs w:val="24"/>
          <w:lang w:val="el-GR"/>
        </w:rPr>
        <w:t xml:space="preserve"> </w:t>
      </w:r>
      <w:r w:rsidR="00534B54">
        <w:rPr>
          <w:rFonts w:cstheme="minorHAnsi"/>
          <w:sz w:val="24"/>
          <w:szCs w:val="24"/>
          <w:lang w:val="el-GR"/>
        </w:rPr>
        <w:t>στις</w:t>
      </w:r>
      <w:r w:rsidR="00534B54" w:rsidRPr="00534B54">
        <w:rPr>
          <w:rFonts w:cstheme="minorHAnsi"/>
          <w:sz w:val="24"/>
          <w:szCs w:val="24"/>
          <w:lang w:val="el-GR"/>
        </w:rPr>
        <w:t xml:space="preserve"> </w:t>
      </w:r>
      <w:r w:rsidR="00534B54">
        <w:rPr>
          <w:rFonts w:cstheme="minorHAnsi"/>
          <w:sz w:val="24"/>
          <w:szCs w:val="24"/>
          <w:lang w:val="el-GR"/>
        </w:rPr>
        <w:t xml:space="preserve">σχέσεις τους με τους </w:t>
      </w:r>
      <w:proofErr w:type="spellStart"/>
      <w:r w:rsidR="00534B54">
        <w:rPr>
          <w:rFonts w:cstheme="minorHAnsi"/>
          <w:sz w:val="24"/>
          <w:szCs w:val="24"/>
          <w:lang w:val="el-GR"/>
        </w:rPr>
        <w:t>λομπιστές</w:t>
      </w:r>
      <w:proofErr w:type="spellEnd"/>
      <w:r w:rsidR="00534B54">
        <w:rPr>
          <w:rFonts w:cstheme="minorHAnsi"/>
          <w:sz w:val="24"/>
          <w:szCs w:val="24"/>
          <w:lang w:val="el-GR"/>
        </w:rPr>
        <w:t xml:space="preserve"> και τρίτα μέρη</w:t>
      </w:r>
      <w:r w:rsidR="00A5147D" w:rsidRPr="00534B54">
        <w:rPr>
          <w:rFonts w:cstheme="minorHAnsi"/>
          <w:sz w:val="24"/>
          <w:szCs w:val="24"/>
          <w:lang w:val="el-GR"/>
        </w:rPr>
        <w:t xml:space="preserve">, </w:t>
      </w:r>
      <w:r w:rsidR="00534B54">
        <w:rPr>
          <w:rFonts w:cstheme="minorHAnsi"/>
          <w:sz w:val="24"/>
          <w:szCs w:val="24"/>
          <w:lang w:val="el-GR"/>
        </w:rPr>
        <w:t>συμπεριλαμβανομένου σε σχέση με ανεπίσημες επαφές</w:t>
      </w:r>
      <w:r w:rsidR="00A5147D" w:rsidRPr="00534B54">
        <w:rPr>
          <w:rFonts w:cstheme="minorHAnsi"/>
          <w:sz w:val="24"/>
          <w:szCs w:val="24"/>
          <w:lang w:val="el-GR"/>
        </w:rPr>
        <w:t xml:space="preserve"> </w:t>
      </w:r>
      <w:r w:rsidR="00534B54">
        <w:rPr>
          <w:rFonts w:cstheme="minorHAnsi"/>
          <w:sz w:val="24"/>
          <w:szCs w:val="24"/>
          <w:lang w:val="el-GR"/>
        </w:rPr>
        <w:t>που συμβαίνουν εκτός του χώρου εργασίας τους</w:t>
      </w:r>
      <w:r w:rsidR="00605494" w:rsidRPr="00534B54">
        <w:rPr>
          <w:rFonts w:cstheme="minorHAnsi"/>
          <w:sz w:val="24"/>
          <w:szCs w:val="24"/>
          <w:lang w:val="el-GR"/>
        </w:rPr>
        <w:t>,</w:t>
      </w:r>
      <w:r w:rsidR="00A5147D" w:rsidRPr="00534B54">
        <w:rPr>
          <w:rFonts w:cstheme="minorHAnsi"/>
          <w:sz w:val="24"/>
          <w:szCs w:val="24"/>
          <w:lang w:val="el-GR"/>
        </w:rPr>
        <w:t xml:space="preserve"> </w:t>
      </w:r>
      <w:r w:rsidR="00534B54">
        <w:rPr>
          <w:rFonts w:cstheme="minorHAnsi"/>
          <w:sz w:val="24"/>
          <w:szCs w:val="24"/>
          <w:lang w:val="el-GR"/>
        </w:rPr>
        <w:t>κλπ</w:t>
      </w:r>
      <w:r w:rsidR="00A5147D" w:rsidRPr="00534B54">
        <w:rPr>
          <w:rFonts w:cstheme="minorHAnsi"/>
          <w:sz w:val="24"/>
          <w:szCs w:val="24"/>
          <w:lang w:val="el-GR"/>
        </w:rPr>
        <w:t xml:space="preserve">. </w:t>
      </w:r>
      <w:r w:rsidR="00534B54">
        <w:rPr>
          <w:rFonts w:cstheme="minorHAnsi"/>
          <w:sz w:val="24"/>
          <w:szCs w:val="24"/>
          <w:lang w:val="el-GR"/>
        </w:rPr>
        <w:t>Αυτό</w:t>
      </w:r>
      <w:r w:rsidR="00534B54" w:rsidRPr="00534B54">
        <w:rPr>
          <w:rFonts w:cstheme="minorHAnsi"/>
          <w:sz w:val="24"/>
          <w:szCs w:val="24"/>
          <w:lang w:val="el-GR"/>
        </w:rPr>
        <w:t xml:space="preserve"> </w:t>
      </w:r>
      <w:r w:rsidR="00534B54">
        <w:rPr>
          <w:rFonts w:cstheme="minorHAnsi"/>
          <w:sz w:val="24"/>
          <w:szCs w:val="24"/>
          <w:lang w:val="el-GR"/>
        </w:rPr>
        <w:t>θα</w:t>
      </w:r>
      <w:r w:rsidR="00534B54" w:rsidRPr="00534B54">
        <w:rPr>
          <w:rFonts w:cstheme="minorHAnsi"/>
          <w:sz w:val="24"/>
          <w:szCs w:val="24"/>
          <w:lang w:val="el-GR"/>
        </w:rPr>
        <w:t xml:space="preserve"> </w:t>
      </w:r>
      <w:r w:rsidR="00534B54">
        <w:rPr>
          <w:rFonts w:cstheme="minorHAnsi"/>
          <w:sz w:val="24"/>
          <w:szCs w:val="24"/>
          <w:lang w:val="el-GR"/>
        </w:rPr>
        <w:t>βοηθήσει</w:t>
      </w:r>
      <w:r w:rsidR="00534B54" w:rsidRPr="00534B54">
        <w:rPr>
          <w:rFonts w:cstheme="minorHAnsi"/>
          <w:sz w:val="24"/>
          <w:szCs w:val="24"/>
          <w:lang w:val="el-GR"/>
        </w:rPr>
        <w:t xml:space="preserve"> </w:t>
      </w:r>
      <w:r w:rsidR="00534B54">
        <w:rPr>
          <w:rFonts w:cstheme="minorHAnsi"/>
          <w:sz w:val="24"/>
          <w:szCs w:val="24"/>
          <w:lang w:val="el-GR"/>
        </w:rPr>
        <w:t>επίσης</w:t>
      </w:r>
      <w:r w:rsidR="00A5147D" w:rsidRPr="00534B54">
        <w:rPr>
          <w:rFonts w:cstheme="minorHAnsi"/>
          <w:sz w:val="24"/>
          <w:szCs w:val="24"/>
          <w:lang w:val="el-GR"/>
        </w:rPr>
        <w:t xml:space="preserve"> </w:t>
      </w:r>
      <w:r w:rsidR="00534B54">
        <w:rPr>
          <w:rFonts w:cstheme="minorHAnsi"/>
          <w:sz w:val="24"/>
          <w:szCs w:val="24"/>
          <w:lang w:val="el-GR"/>
        </w:rPr>
        <w:t>στην</w:t>
      </w:r>
      <w:r w:rsidR="00534B54" w:rsidRPr="00534B54">
        <w:rPr>
          <w:rFonts w:cstheme="minorHAnsi"/>
          <w:sz w:val="24"/>
          <w:szCs w:val="24"/>
          <w:lang w:val="el-GR"/>
        </w:rPr>
        <w:t xml:space="preserve"> </w:t>
      </w:r>
      <w:r w:rsidR="00534B54">
        <w:rPr>
          <w:rFonts w:cstheme="minorHAnsi"/>
          <w:sz w:val="24"/>
          <w:szCs w:val="24"/>
          <w:lang w:val="el-GR"/>
        </w:rPr>
        <w:t>επιβεβαίωση</w:t>
      </w:r>
      <w:r w:rsidR="00534B54" w:rsidRPr="00534B54">
        <w:rPr>
          <w:rFonts w:cstheme="minorHAnsi"/>
          <w:sz w:val="24"/>
          <w:szCs w:val="24"/>
          <w:lang w:val="el-GR"/>
        </w:rPr>
        <w:t xml:space="preserve"> </w:t>
      </w:r>
      <w:r w:rsidR="00534B54">
        <w:rPr>
          <w:rFonts w:cstheme="minorHAnsi"/>
          <w:sz w:val="24"/>
          <w:szCs w:val="24"/>
          <w:lang w:val="el-GR"/>
        </w:rPr>
        <w:t>της</w:t>
      </w:r>
      <w:r w:rsidR="00534B54" w:rsidRPr="00534B54">
        <w:rPr>
          <w:rFonts w:cstheme="minorHAnsi"/>
          <w:sz w:val="24"/>
          <w:szCs w:val="24"/>
          <w:lang w:val="el-GR"/>
        </w:rPr>
        <w:t xml:space="preserve"> </w:t>
      </w:r>
      <w:r w:rsidR="00534B54">
        <w:rPr>
          <w:rFonts w:cstheme="minorHAnsi"/>
          <w:sz w:val="24"/>
          <w:szCs w:val="24"/>
          <w:lang w:val="el-GR"/>
        </w:rPr>
        <w:t>κοινής</w:t>
      </w:r>
      <w:r w:rsidR="00534B54" w:rsidRPr="00534B54">
        <w:rPr>
          <w:rFonts w:cstheme="minorHAnsi"/>
          <w:sz w:val="24"/>
          <w:szCs w:val="24"/>
          <w:lang w:val="el-GR"/>
        </w:rPr>
        <w:t xml:space="preserve"> </w:t>
      </w:r>
      <w:r w:rsidR="00534B54">
        <w:rPr>
          <w:rFonts w:cstheme="minorHAnsi"/>
          <w:sz w:val="24"/>
          <w:szCs w:val="24"/>
          <w:lang w:val="el-GR"/>
        </w:rPr>
        <w:t>γνώμης</w:t>
      </w:r>
      <w:r w:rsidR="00A5147D" w:rsidRPr="00534B54">
        <w:rPr>
          <w:rFonts w:cstheme="minorHAnsi"/>
          <w:sz w:val="24"/>
          <w:szCs w:val="24"/>
          <w:lang w:val="el-GR"/>
        </w:rPr>
        <w:t xml:space="preserve"> </w:t>
      </w:r>
      <w:r w:rsidR="00534B54">
        <w:rPr>
          <w:rFonts w:cstheme="minorHAnsi"/>
          <w:sz w:val="24"/>
          <w:szCs w:val="24"/>
          <w:lang w:val="el-GR"/>
        </w:rPr>
        <w:t xml:space="preserve">ότι εφαρμόζεται ενεργά μια </w:t>
      </w:r>
      <w:r w:rsidR="00A950EC">
        <w:rPr>
          <w:rFonts w:cstheme="minorHAnsi"/>
          <w:sz w:val="24"/>
          <w:szCs w:val="24"/>
          <w:lang w:val="el-GR"/>
        </w:rPr>
        <w:t xml:space="preserve">δεοντολογική </w:t>
      </w:r>
      <w:r w:rsidR="00534B54">
        <w:rPr>
          <w:rFonts w:cstheme="minorHAnsi"/>
          <w:sz w:val="24"/>
          <w:szCs w:val="24"/>
          <w:lang w:val="el-GR"/>
        </w:rPr>
        <w:t xml:space="preserve">προσέγγιση στο </w:t>
      </w:r>
      <w:proofErr w:type="spellStart"/>
      <w:r w:rsidR="00534B54">
        <w:rPr>
          <w:rFonts w:cstheme="minorHAnsi"/>
          <w:sz w:val="24"/>
          <w:szCs w:val="24"/>
          <w:lang w:val="el-GR"/>
        </w:rPr>
        <w:t>λόμπυ</w:t>
      </w:r>
      <w:proofErr w:type="spellEnd"/>
      <w:r w:rsidR="00A5147D" w:rsidRPr="00534B54">
        <w:rPr>
          <w:rFonts w:cstheme="minorHAnsi"/>
          <w:sz w:val="24"/>
          <w:szCs w:val="24"/>
          <w:lang w:val="el-GR"/>
        </w:rPr>
        <w:t xml:space="preserve">. </w:t>
      </w:r>
      <w:bookmarkStart w:id="86" w:name="_Hlk132888656"/>
      <w:r w:rsidR="00534B54" w:rsidRPr="00534B54">
        <w:rPr>
          <w:rFonts w:cstheme="minorHAnsi"/>
          <w:b/>
          <w:sz w:val="24"/>
          <w:szCs w:val="24"/>
          <w:lang w:val="el-GR"/>
        </w:rPr>
        <w:t xml:space="preserve">Η </w:t>
      </w:r>
      <w:r w:rsidR="00A5147D" w:rsidRPr="00B95983">
        <w:rPr>
          <w:rFonts w:cstheme="minorHAnsi"/>
          <w:b/>
          <w:bCs/>
          <w:sz w:val="24"/>
          <w:szCs w:val="24"/>
        </w:rPr>
        <w:t>GRECO</w:t>
      </w:r>
      <w:r w:rsidR="00A5147D" w:rsidRPr="00534B54">
        <w:rPr>
          <w:rFonts w:cstheme="minorHAnsi"/>
          <w:b/>
          <w:bCs/>
          <w:sz w:val="24"/>
          <w:szCs w:val="24"/>
          <w:lang w:val="el-GR"/>
        </w:rPr>
        <w:t xml:space="preserve"> </w:t>
      </w:r>
      <w:r w:rsidR="001B09F4">
        <w:rPr>
          <w:rFonts w:cstheme="minorHAnsi"/>
          <w:b/>
          <w:bCs/>
          <w:sz w:val="24"/>
          <w:szCs w:val="24"/>
          <w:lang w:val="el-GR"/>
        </w:rPr>
        <w:t>συνιστά</w:t>
      </w:r>
      <w:r w:rsidR="00534B54" w:rsidRPr="00534B54">
        <w:rPr>
          <w:rFonts w:cstheme="minorHAnsi"/>
          <w:b/>
          <w:bCs/>
          <w:sz w:val="24"/>
          <w:szCs w:val="24"/>
          <w:lang w:val="el-GR"/>
        </w:rPr>
        <w:t xml:space="preserve"> </w:t>
      </w:r>
      <w:r w:rsidR="00A950EC">
        <w:rPr>
          <w:rFonts w:cstheme="minorHAnsi"/>
          <w:b/>
          <w:bCs/>
          <w:sz w:val="24"/>
          <w:szCs w:val="24"/>
          <w:lang w:val="el-GR"/>
        </w:rPr>
        <w:t xml:space="preserve">όπως η </w:t>
      </w:r>
      <w:r w:rsidR="00534B54">
        <w:rPr>
          <w:rFonts w:cstheme="minorHAnsi"/>
          <w:b/>
          <w:bCs/>
          <w:sz w:val="24"/>
          <w:szCs w:val="24"/>
          <w:lang w:val="el-GR"/>
        </w:rPr>
        <w:t>Αρχή</w:t>
      </w:r>
      <w:r w:rsidR="00534B54" w:rsidRPr="00534B54">
        <w:rPr>
          <w:rFonts w:cstheme="minorHAnsi"/>
          <w:b/>
          <w:bCs/>
          <w:sz w:val="24"/>
          <w:szCs w:val="24"/>
          <w:lang w:val="el-GR"/>
        </w:rPr>
        <w:t xml:space="preserve"> </w:t>
      </w:r>
      <w:r w:rsidR="00534B54">
        <w:rPr>
          <w:rFonts w:cstheme="minorHAnsi"/>
          <w:b/>
          <w:bCs/>
          <w:sz w:val="24"/>
          <w:szCs w:val="24"/>
          <w:lang w:val="el-GR"/>
        </w:rPr>
        <w:t>κατά</w:t>
      </w:r>
      <w:r w:rsidR="00534B54" w:rsidRPr="00534B54">
        <w:rPr>
          <w:rFonts w:cstheme="minorHAnsi"/>
          <w:b/>
          <w:bCs/>
          <w:sz w:val="24"/>
          <w:szCs w:val="24"/>
          <w:lang w:val="el-GR"/>
        </w:rPr>
        <w:t xml:space="preserve"> </w:t>
      </w:r>
      <w:r w:rsidR="00534B54">
        <w:rPr>
          <w:rFonts w:cstheme="minorHAnsi"/>
          <w:b/>
          <w:bCs/>
          <w:sz w:val="24"/>
          <w:szCs w:val="24"/>
          <w:lang w:val="el-GR"/>
        </w:rPr>
        <w:t>της</w:t>
      </w:r>
      <w:r w:rsidR="00534B54" w:rsidRPr="00534B54">
        <w:rPr>
          <w:rFonts w:cstheme="minorHAnsi"/>
          <w:b/>
          <w:bCs/>
          <w:sz w:val="24"/>
          <w:szCs w:val="24"/>
          <w:lang w:val="el-GR"/>
        </w:rPr>
        <w:t xml:space="preserve"> </w:t>
      </w:r>
      <w:r w:rsidR="00534B54">
        <w:rPr>
          <w:rFonts w:cstheme="minorHAnsi"/>
          <w:b/>
          <w:bCs/>
          <w:sz w:val="24"/>
          <w:szCs w:val="24"/>
          <w:lang w:val="el-GR"/>
        </w:rPr>
        <w:t>Διαφθοράς</w:t>
      </w:r>
      <w:r w:rsidR="00140500" w:rsidRPr="00534B54">
        <w:rPr>
          <w:rFonts w:cstheme="minorHAnsi"/>
          <w:b/>
          <w:bCs/>
          <w:sz w:val="24"/>
          <w:szCs w:val="24"/>
          <w:lang w:val="el-GR"/>
        </w:rPr>
        <w:t xml:space="preserve"> </w:t>
      </w:r>
      <w:r w:rsidR="00534B54">
        <w:rPr>
          <w:rFonts w:cstheme="minorHAnsi"/>
          <w:b/>
          <w:bCs/>
          <w:sz w:val="24"/>
          <w:szCs w:val="24"/>
          <w:lang w:val="el-GR"/>
        </w:rPr>
        <w:t>αναπτύξει</w:t>
      </w:r>
      <w:r w:rsidR="00534B54" w:rsidRPr="00534B54">
        <w:rPr>
          <w:rFonts w:cstheme="minorHAnsi"/>
          <w:b/>
          <w:bCs/>
          <w:sz w:val="24"/>
          <w:szCs w:val="24"/>
          <w:lang w:val="el-GR"/>
        </w:rPr>
        <w:t xml:space="preserve"> </w:t>
      </w:r>
      <w:r w:rsidR="00534B54">
        <w:rPr>
          <w:rFonts w:cstheme="minorHAnsi"/>
          <w:b/>
          <w:bCs/>
          <w:sz w:val="24"/>
          <w:szCs w:val="24"/>
          <w:lang w:val="el-GR"/>
        </w:rPr>
        <w:t>πρακτική</w:t>
      </w:r>
      <w:r w:rsidR="00534B54" w:rsidRPr="00534B54">
        <w:rPr>
          <w:rFonts w:cstheme="minorHAnsi"/>
          <w:b/>
          <w:bCs/>
          <w:sz w:val="24"/>
          <w:szCs w:val="24"/>
          <w:lang w:val="el-GR"/>
        </w:rPr>
        <w:t xml:space="preserve"> </w:t>
      </w:r>
      <w:r w:rsidR="00534B54">
        <w:rPr>
          <w:rFonts w:cstheme="minorHAnsi"/>
          <w:b/>
          <w:bCs/>
          <w:sz w:val="24"/>
          <w:szCs w:val="24"/>
          <w:lang w:val="el-GR"/>
        </w:rPr>
        <w:t>καθοδήγηση</w:t>
      </w:r>
      <w:r w:rsidR="00746200" w:rsidRPr="00534B54">
        <w:rPr>
          <w:rFonts w:cstheme="minorHAnsi"/>
          <w:b/>
          <w:bCs/>
          <w:sz w:val="24"/>
          <w:szCs w:val="24"/>
          <w:lang w:val="el-GR"/>
        </w:rPr>
        <w:t xml:space="preserve"> </w:t>
      </w:r>
      <w:r w:rsidR="00534B54">
        <w:rPr>
          <w:rFonts w:cstheme="minorHAnsi"/>
          <w:b/>
          <w:bCs/>
          <w:sz w:val="24"/>
          <w:szCs w:val="24"/>
          <w:lang w:val="el-GR"/>
        </w:rPr>
        <w:t>για</w:t>
      </w:r>
      <w:r w:rsidR="00534B54" w:rsidRPr="00534B54">
        <w:rPr>
          <w:rFonts w:cstheme="minorHAnsi"/>
          <w:b/>
          <w:bCs/>
          <w:sz w:val="24"/>
          <w:szCs w:val="24"/>
          <w:lang w:val="el-GR"/>
        </w:rPr>
        <w:t xml:space="preserve"> </w:t>
      </w:r>
      <w:r w:rsidR="00534B54">
        <w:rPr>
          <w:rFonts w:cstheme="minorHAnsi"/>
          <w:b/>
          <w:bCs/>
          <w:sz w:val="24"/>
          <w:szCs w:val="24"/>
          <w:lang w:val="el-GR"/>
        </w:rPr>
        <w:t>την</w:t>
      </w:r>
      <w:r w:rsidR="00534B54" w:rsidRPr="00534B54">
        <w:rPr>
          <w:rFonts w:cstheme="minorHAnsi"/>
          <w:b/>
          <w:bCs/>
          <w:sz w:val="24"/>
          <w:szCs w:val="24"/>
          <w:lang w:val="el-GR"/>
        </w:rPr>
        <w:t xml:space="preserve"> </w:t>
      </w:r>
      <w:r w:rsidR="00B028CA">
        <w:rPr>
          <w:rFonts w:cstheme="minorHAnsi"/>
          <w:b/>
          <w:bCs/>
          <w:sz w:val="24"/>
          <w:szCs w:val="24"/>
          <w:lang w:val="el-GR"/>
        </w:rPr>
        <w:t xml:space="preserve">εφαρμογή </w:t>
      </w:r>
      <w:r w:rsidR="00534B54">
        <w:rPr>
          <w:rFonts w:cstheme="minorHAnsi"/>
          <w:b/>
          <w:bCs/>
          <w:sz w:val="24"/>
          <w:szCs w:val="24"/>
          <w:lang w:val="el-GR"/>
        </w:rPr>
        <w:t>των</w:t>
      </w:r>
      <w:r w:rsidR="00534B54" w:rsidRPr="00534B54">
        <w:rPr>
          <w:rFonts w:cstheme="minorHAnsi"/>
          <w:b/>
          <w:bCs/>
          <w:sz w:val="24"/>
          <w:szCs w:val="24"/>
          <w:lang w:val="el-GR"/>
        </w:rPr>
        <w:t xml:space="preserve"> </w:t>
      </w:r>
      <w:r w:rsidR="00534B54">
        <w:rPr>
          <w:rFonts w:cstheme="minorHAnsi"/>
          <w:b/>
          <w:bCs/>
          <w:sz w:val="24"/>
          <w:szCs w:val="24"/>
          <w:lang w:val="el-GR"/>
        </w:rPr>
        <w:t>κανόνων</w:t>
      </w:r>
      <w:r w:rsidR="00A5147D" w:rsidRPr="00534B54">
        <w:rPr>
          <w:rFonts w:cstheme="minorHAnsi"/>
          <w:b/>
          <w:bCs/>
          <w:sz w:val="24"/>
          <w:szCs w:val="24"/>
          <w:lang w:val="el-GR"/>
        </w:rPr>
        <w:t xml:space="preserve"> </w:t>
      </w:r>
      <w:r w:rsidR="00534B54">
        <w:rPr>
          <w:rFonts w:cstheme="minorHAnsi"/>
          <w:b/>
          <w:bCs/>
          <w:sz w:val="24"/>
          <w:szCs w:val="24"/>
          <w:lang w:val="el-GR"/>
        </w:rPr>
        <w:t>για</w:t>
      </w:r>
      <w:r w:rsidR="00534B54" w:rsidRPr="00534B54">
        <w:rPr>
          <w:rFonts w:cstheme="minorHAnsi"/>
          <w:b/>
          <w:bCs/>
          <w:sz w:val="24"/>
          <w:szCs w:val="24"/>
          <w:lang w:val="el-GR"/>
        </w:rPr>
        <w:t xml:space="preserve"> </w:t>
      </w:r>
      <w:r w:rsidR="00534B54">
        <w:rPr>
          <w:rFonts w:cstheme="minorHAnsi"/>
          <w:b/>
          <w:bCs/>
          <w:sz w:val="24"/>
          <w:szCs w:val="24"/>
          <w:lang w:val="el-GR"/>
        </w:rPr>
        <w:t>το</w:t>
      </w:r>
      <w:r w:rsidR="00534B54" w:rsidRPr="00534B54">
        <w:rPr>
          <w:rFonts w:cstheme="minorHAnsi"/>
          <w:b/>
          <w:bCs/>
          <w:sz w:val="24"/>
          <w:szCs w:val="24"/>
          <w:lang w:val="el-GR"/>
        </w:rPr>
        <w:t xml:space="preserve"> </w:t>
      </w:r>
      <w:r w:rsidR="00534B54">
        <w:rPr>
          <w:rFonts w:cstheme="minorHAnsi"/>
          <w:b/>
          <w:bCs/>
          <w:sz w:val="24"/>
          <w:szCs w:val="24"/>
          <w:lang w:val="el-GR"/>
        </w:rPr>
        <w:t>πώς</w:t>
      </w:r>
      <w:r w:rsidR="00534B54" w:rsidRPr="00534B54">
        <w:rPr>
          <w:rFonts w:cstheme="minorHAnsi"/>
          <w:b/>
          <w:bCs/>
          <w:sz w:val="24"/>
          <w:szCs w:val="24"/>
          <w:lang w:val="el-GR"/>
        </w:rPr>
        <w:t xml:space="preserve"> </w:t>
      </w:r>
      <w:r w:rsidR="00534B54">
        <w:rPr>
          <w:rFonts w:cstheme="minorHAnsi"/>
          <w:b/>
          <w:bCs/>
          <w:sz w:val="24"/>
          <w:szCs w:val="24"/>
          <w:lang w:val="el-GR"/>
        </w:rPr>
        <w:t>άτομα</w:t>
      </w:r>
      <w:r w:rsidR="00534B54" w:rsidRPr="00534B54">
        <w:rPr>
          <w:rFonts w:cstheme="minorHAnsi"/>
          <w:b/>
          <w:bCs/>
          <w:sz w:val="24"/>
          <w:szCs w:val="24"/>
          <w:lang w:val="el-GR"/>
        </w:rPr>
        <w:t xml:space="preserve"> </w:t>
      </w:r>
      <w:r w:rsidR="00534B54">
        <w:rPr>
          <w:rFonts w:cstheme="minorHAnsi"/>
          <w:b/>
          <w:bCs/>
          <w:sz w:val="24"/>
          <w:szCs w:val="24"/>
          <w:lang w:val="el-GR"/>
        </w:rPr>
        <w:t>που</w:t>
      </w:r>
      <w:r w:rsidR="00534B54" w:rsidRPr="00534B54">
        <w:rPr>
          <w:rFonts w:cstheme="minorHAnsi"/>
          <w:b/>
          <w:bCs/>
          <w:sz w:val="24"/>
          <w:szCs w:val="24"/>
          <w:lang w:val="el-GR"/>
        </w:rPr>
        <w:t xml:space="preserve"> </w:t>
      </w:r>
      <w:r w:rsidR="00534B54">
        <w:rPr>
          <w:rFonts w:cstheme="minorHAnsi"/>
          <w:b/>
          <w:bCs/>
          <w:sz w:val="24"/>
          <w:szCs w:val="24"/>
          <w:lang w:val="el-GR"/>
        </w:rPr>
        <w:t>τους</w:t>
      </w:r>
      <w:r w:rsidR="00534B54" w:rsidRPr="00534B54">
        <w:rPr>
          <w:rFonts w:cstheme="minorHAnsi"/>
          <w:b/>
          <w:bCs/>
          <w:sz w:val="24"/>
          <w:szCs w:val="24"/>
          <w:lang w:val="el-GR"/>
        </w:rPr>
        <w:t xml:space="preserve"> </w:t>
      </w:r>
      <w:r w:rsidR="00534B54">
        <w:rPr>
          <w:rFonts w:cstheme="minorHAnsi"/>
          <w:b/>
          <w:bCs/>
          <w:sz w:val="24"/>
          <w:szCs w:val="24"/>
          <w:lang w:val="el-GR"/>
        </w:rPr>
        <w:t xml:space="preserve">έχουν </w:t>
      </w:r>
      <w:r w:rsidR="00B028CA">
        <w:rPr>
          <w:rFonts w:cstheme="minorHAnsi"/>
          <w:b/>
          <w:bCs/>
          <w:sz w:val="24"/>
          <w:szCs w:val="24"/>
          <w:lang w:val="el-GR"/>
        </w:rPr>
        <w:t xml:space="preserve">ανατεθεί </w:t>
      </w:r>
      <w:r w:rsidR="00A950EC">
        <w:rPr>
          <w:rFonts w:cstheme="minorHAnsi"/>
          <w:b/>
          <w:bCs/>
          <w:sz w:val="24"/>
          <w:szCs w:val="24"/>
          <w:lang w:val="el-GR"/>
        </w:rPr>
        <w:t xml:space="preserve">ανώτατα </w:t>
      </w:r>
      <w:r w:rsidR="00534B54">
        <w:rPr>
          <w:rFonts w:cstheme="minorHAnsi"/>
          <w:b/>
          <w:bCs/>
          <w:sz w:val="24"/>
          <w:szCs w:val="24"/>
          <w:lang w:val="el-GR"/>
        </w:rPr>
        <w:t>εκτελεστικ</w:t>
      </w:r>
      <w:r w:rsidR="00A950EC">
        <w:rPr>
          <w:rFonts w:cstheme="minorHAnsi"/>
          <w:b/>
          <w:bCs/>
          <w:sz w:val="24"/>
          <w:szCs w:val="24"/>
          <w:lang w:val="el-GR"/>
        </w:rPr>
        <w:t>ά</w:t>
      </w:r>
      <w:r w:rsidR="00534B54">
        <w:rPr>
          <w:rFonts w:cstheme="minorHAnsi"/>
          <w:b/>
          <w:bCs/>
          <w:sz w:val="24"/>
          <w:szCs w:val="24"/>
          <w:lang w:val="el-GR"/>
        </w:rPr>
        <w:t xml:space="preserve"> </w:t>
      </w:r>
      <w:r w:rsidR="00A950EC">
        <w:rPr>
          <w:rFonts w:cstheme="minorHAnsi"/>
          <w:b/>
          <w:bCs/>
          <w:sz w:val="24"/>
          <w:szCs w:val="24"/>
          <w:lang w:val="el-GR"/>
        </w:rPr>
        <w:t xml:space="preserve">καθήκοντα </w:t>
      </w:r>
      <w:r w:rsidR="00534B54">
        <w:rPr>
          <w:rFonts w:cstheme="minorHAnsi"/>
          <w:b/>
          <w:bCs/>
          <w:sz w:val="24"/>
          <w:szCs w:val="24"/>
          <w:lang w:val="el-GR"/>
        </w:rPr>
        <w:t xml:space="preserve">εμπλέκονται σε επαφές με </w:t>
      </w:r>
      <w:proofErr w:type="spellStart"/>
      <w:r w:rsidR="00534B54">
        <w:rPr>
          <w:rFonts w:cstheme="minorHAnsi"/>
          <w:b/>
          <w:bCs/>
          <w:sz w:val="24"/>
          <w:szCs w:val="24"/>
          <w:lang w:val="el-GR"/>
        </w:rPr>
        <w:t>λομπ</w:t>
      </w:r>
      <w:r w:rsidR="00B028CA">
        <w:rPr>
          <w:rFonts w:cstheme="minorHAnsi"/>
          <w:b/>
          <w:bCs/>
          <w:sz w:val="24"/>
          <w:szCs w:val="24"/>
          <w:lang w:val="el-GR"/>
        </w:rPr>
        <w:t>ί</w:t>
      </w:r>
      <w:r w:rsidR="00534B54">
        <w:rPr>
          <w:rFonts w:cstheme="minorHAnsi"/>
          <w:b/>
          <w:bCs/>
          <w:sz w:val="24"/>
          <w:szCs w:val="24"/>
          <w:lang w:val="el-GR"/>
        </w:rPr>
        <w:t>στ</w:t>
      </w:r>
      <w:r w:rsidR="00B028CA">
        <w:rPr>
          <w:rFonts w:cstheme="minorHAnsi"/>
          <w:b/>
          <w:bCs/>
          <w:sz w:val="24"/>
          <w:szCs w:val="24"/>
          <w:lang w:val="el-GR"/>
        </w:rPr>
        <w:t>ε</w:t>
      </w:r>
      <w:r w:rsidR="00534B54">
        <w:rPr>
          <w:rFonts w:cstheme="minorHAnsi"/>
          <w:b/>
          <w:bCs/>
          <w:sz w:val="24"/>
          <w:szCs w:val="24"/>
          <w:lang w:val="el-GR"/>
        </w:rPr>
        <w:t>ς</w:t>
      </w:r>
      <w:proofErr w:type="spellEnd"/>
      <w:r w:rsidR="00A5147D" w:rsidRPr="00534B54">
        <w:rPr>
          <w:rFonts w:cstheme="minorHAnsi"/>
          <w:b/>
          <w:bCs/>
          <w:sz w:val="24"/>
          <w:szCs w:val="24"/>
          <w:lang w:val="el-GR"/>
        </w:rPr>
        <w:t xml:space="preserve"> </w:t>
      </w:r>
      <w:r w:rsidR="00534B54">
        <w:rPr>
          <w:rFonts w:cstheme="minorHAnsi"/>
          <w:b/>
          <w:bCs/>
          <w:sz w:val="24"/>
          <w:szCs w:val="24"/>
          <w:lang w:val="el-GR"/>
        </w:rPr>
        <w:t>και άλλα τρίτα μέρη</w:t>
      </w:r>
      <w:r w:rsidR="00A5147D" w:rsidRPr="00534B54">
        <w:rPr>
          <w:rFonts w:cstheme="minorHAnsi"/>
          <w:b/>
          <w:bCs/>
          <w:sz w:val="24"/>
          <w:szCs w:val="24"/>
          <w:lang w:val="el-GR"/>
        </w:rPr>
        <w:t xml:space="preserve"> </w:t>
      </w:r>
      <w:r w:rsidR="00A950EC">
        <w:rPr>
          <w:rFonts w:cstheme="minorHAnsi"/>
          <w:b/>
          <w:bCs/>
          <w:sz w:val="24"/>
          <w:szCs w:val="24"/>
          <w:lang w:val="el-GR"/>
        </w:rPr>
        <w:t xml:space="preserve">τα οποία αναζητούν </w:t>
      </w:r>
      <w:r w:rsidR="00534B54">
        <w:rPr>
          <w:rFonts w:cstheme="minorHAnsi"/>
          <w:b/>
          <w:bCs/>
          <w:sz w:val="24"/>
          <w:szCs w:val="24"/>
          <w:lang w:val="el-GR"/>
        </w:rPr>
        <w:t>να επηρεάσουν κυβερνητικές διαδικασίες και αποφάσεις</w:t>
      </w:r>
      <w:r w:rsidR="00746200" w:rsidRPr="00534B54">
        <w:rPr>
          <w:rFonts w:cstheme="minorHAnsi"/>
          <w:b/>
          <w:bCs/>
          <w:sz w:val="24"/>
          <w:szCs w:val="24"/>
          <w:lang w:val="el-GR"/>
        </w:rPr>
        <w:t>.</w:t>
      </w:r>
      <w:bookmarkEnd w:id="86"/>
      <w:r w:rsidR="009C3867" w:rsidRPr="00A90F70">
        <w:rPr>
          <w:rStyle w:val="FootnoteReference"/>
          <w:rFonts w:cstheme="minorHAnsi"/>
          <w:sz w:val="24"/>
          <w:szCs w:val="24"/>
        </w:rPr>
        <w:footnoteReference w:id="41"/>
      </w:r>
    </w:p>
    <w:p w14:paraId="67E7E6B6" w14:textId="77777777" w:rsidR="00A5147D" w:rsidRPr="00534B54" w:rsidRDefault="00A5147D" w:rsidP="00A5147D">
      <w:pPr>
        <w:tabs>
          <w:tab w:val="left" w:pos="709"/>
        </w:tabs>
        <w:rPr>
          <w:rFonts w:cstheme="minorHAnsi"/>
          <w:sz w:val="24"/>
          <w:szCs w:val="24"/>
          <w:lang w:val="el-GR"/>
        </w:rPr>
      </w:pPr>
    </w:p>
    <w:p w14:paraId="468AC868" w14:textId="1C4AFA23" w:rsidR="00A5147D" w:rsidRPr="004E251E" w:rsidRDefault="00534B54" w:rsidP="00A5147D">
      <w:pPr>
        <w:pStyle w:val="Heading3"/>
        <w:spacing w:before="0"/>
        <w:rPr>
          <w:rFonts w:asciiTheme="minorHAnsi" w:hAnsiTheme="minorHAnsi" w:cstheme="minorHAnsi"/>
          <w:b w:val="0"/>
          <w:bCs w:val="0"/>
          <w:i/>
          <w:iCs/>
          <w:color w:val="auto"/>
          <w:sz w:val="24"/>
          <w:szCs w:val="24"/>
        </w:rPr>
      </w:pPr>
      <w:bookmarkStart w:id="87" w:name="_Toc479580433"/>
      <w:bookmarkStart w:id="88" w:name="_Toc117264352"/>
      <w:bookmarkStart w:id="89" w:name="_Toc136879350"/>
      <w:r>
        <w:rPr>
          <w:rFonts w:asciiTheme="minorHAnsi" w:hAnsiTheme="minorHAnsi" w:cstheme="minorHAnsi"/>
          <w:b w:val="0"/>
          <w:bCs w:val="0"/>
          <w:i/>
          <w:iCs/>
          <w:color w:val="auto"/>
          <w:sz w:val="24"/>
          <w:szCs w:val="24"/>
          <w:lang w:val="el-GR"/>
        </w:rPr>
        <w:t>Μηχανισμοί ελέγχου</w:t>
      </w:r>
      <w:bookmarkEnd w:id="87"/>
      <w:bookmarkEnd w:id="88"/>
      <w:bookmarkEnd w:id="89"/>
    </w:p>
    <w:p w14:paraId="55371406" w14:textId="77777777" w:rsidR="00A5147D" w:rsidRPr="004E251E" w:rsidRDefault="00A5147D" w:rsidP="00A5147D">
      <w:pPr>
        <w:keepNext/>
        <w:rPr>
          <w:rFonts w:cstheme="minorHAnsi"/>
          <w:i/>
          <w:iCs/>
          <w:sz w:val="24"/>
          <w:szCs w:val="24"/>
        </w:rPr>
      </w:pPr>
    </w:p>
    <w:p w14:paraId="3D0806A4" w14:textId="44DD28D4" w:rsidR="00A5147D" w:rsidRPr="00EA5E76" w:rsidRDefault="00534B54"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Η</w:t>
      </w:r>
      <w:r w:rsidRPr="00534B54">
        <w:rPr>
          <w:rFonts w:cstheme="minorHAnsi"/>
          <w:sz w:val="24"/>
          <w:szCs w:val="24"/>
          <w:lang w:val="el-GR"/>
        </w:rPr>
        <w:t xml:space="preserve"> </w:t>
      </w:r>
      <w:r>
        <w:rPr>
          <w:rFonts w:cstheme="minorHAnsi"/>
          <w:sz w:val="24"/>
          <w:szCs w:val="24"/>
          <w:lang w:val="el-GR"/>
        </w:rPr>
        <w:t>Κύπρος</w:t>
      </w:r>
      <w:r w:rsidRPr="00534B54">
        <w:rPr>
          <w:rFonts w:cstheme="minorHAnsi"/>
          <w:sz w:val="24"/>
          <w:szCs w:val="24"/>
          <w:lang w:val="el-GR"/>
        </w:rPr>
        <w:t xml:space="preserve"> </w:t>
      </w:r>
      <w:r>
        <w:rPr>
          <w:rFonts w:cstheme="minorHAnsi"/>
          <w:sz w:val="24"/>
          <w:szCs w:val="24"/>
          <w:lang w:val="el-GR"/>
        </w:rPr>
        <w:t>είναι</w:t>
      </w:r>
      <w:r w:rsidRPr="00534B54">
        <w:rPr>
          <w:rFonts w:cstheme="minorHAnsi"/>
          <w:sz w:val="24"/>
          <w:szCs w:val="24"/>
          <w:lang w:val="el-GR"/>
        </w:rPr>
        <w:t xml:space="preserve"> </w:t>
      </w:r>
      <w:r>
        <w:rPr>
          <w:rFonts w:cstheme="minorHAnsi"/>
          <w:sz w:val="24"/>
          <w:szCs w:val="24"/>
          <w:lang w:val="el-GR"/>
        </w:rPr>
        <w:t>μια</w:t>
      </w:r>
      <w:r w:rsidRPr="00534B54">
        <w:rPr>
          <w:rFonts w:cstheme="minorHAnsi"/>
          <w:sz w:val="24"/>
          <w:szCs w:val="24"/>
          <w:lang w:val="el-GR"/>
        </w:rPr>
        <w:t xml:space="preserve"> </w:t>
      </w:r>
      <w:r>
        <w:rPr>
          <w:rFonts w:cstheme="minorHAnsi"/>
          <w:sz w:val="24"/>
          <w:szCs w:val="24"/>
          <w:lang w:val="el-GR"/>
        </w:rPr>
        <w:t>δικαιοδοσία</w:t>
      </w:r>
      <w:r w:rsidRPr="00534B54">
        <w:rPr>
          <w:rFonts w:cstheme="minorHAnsi"/>
          <w:sz w:val="24"/>
          <w:szCs w:val="24"/>
          <w:lang w:val="el-GR"/>
        </w:rPr>
        <w:t xml:space="preserve"> </w:t>
      </w:r>
      <w:r>
        <w:rPr>
          <w:rFonts w:cstheme="minorHAnsi"/>
          <w:sz w:val="24"/>
          <w:szCs w:val="24"/>
          <w:lang w:val="el-GR"/>
        </w:rPr>
        <w:t>κοινού</w:t>
      </w:r>
      <w:r w:rsidRPr="00534B54">
        <w:rPr>
          <w:rFonts w:cstheme="minorHAnsi"/>
          <w:sz w:val="24"/>
          <w:szCs w:val="24"/>
          <w:lang w:val="el-GR"/>
        </w:rPr>
        <w:t xml:space="preserve"> </w:t>
      </w:r>
      <w:r>
        <w:rPr>
          <w:rFonts w:cstheme="minorHAnsi"/>
          <w:sz w:val="24"/>
          <w:szCs w:val="24"/>
          <w:lang w:val="el-GR"/>
        </w:rPr>
        <w:t>δικαίου</w:t>
      </w:r>
      <w:r w:rsidRPr="00534B54">
        <w:rPr>
          <w:rFonts w:cstheme="minorHAnsi"/>
          <w:sz w:val="24"/>
          <w:szCs w:val="24"/>
          <w:lang w:val="el-GR"/>
        </w:rPr>
        <w:t xml:space="preserve"> </w:t>
      </w:r>
      <w:r>
        <w:rPr>
          <w:rFonts w:cstheme="minorHAnsi"/>
          <w:sz w:val="24"/>
          <w:szCs w:val="24"/>
          <w:lang w:val="el-GR"/>
        </w:rPr>
        <w:t>και</w:t>
      </w:r>
      <w:r w:rsidRPr="00534B54">
        <w:rPr>
          <w:rFonts w:cstheme="minorHAnsi"/>
          <w:sz w:val="24"/>
          <w:szCs w:val="24"/>
          <w:lang w:val="el-GR"/>
        </w:rPr>
        <w:t xml:space="preserve"> </w:t>
      </w:r>
      <w:r>
        <w:rPr>
          <w:rFonts w:cstheme="minorHAnsi"/>
          <w:sz w:val="24"/>
          <w:szCs w:val="24"/>
          <w:lang w:val="el-GR"/>
        </w:rPr>
        <w:t>οι</w:t>
      </w:r>
      <w:r w:rsidRPr="00534B54">
        <w:rPr>
          <w:rFonts w:cstheme="minorHAnsi"/>
          <w:sz w:val="24"/>
          <w:szCs w:val="24"/>
          <w:lang w:val="el-GR"/>
        </w:rPr>
        <w:t xml:space="preserve"> </w:t>
      </w:r>
      <w:r>
        <w:rPr>
          <w:rFonts w:cstheme="minorHAnsi"/>
          <w:sz w:val="24"/>
          <w:szCs w:val="24"/>
          <w:lang w:val="el-GR"/>
        </w:rPr>
        <w:t>θεσμοί</w:t>
      </w:r>
      <w:r w:rsidRPr="00534B54">
        <w:rPr>
          <w:rFonts w:cstheme="minorHAnsi"/>
          <w:sz w:val="24"/>
          <w:szCs w:val="24"/>
          <w:lang w:val="el-GR"/>
        </w:rPr>
        <w:t xml:space="preserve"> </w:t>
      </w:r>
      <w:r>
        <w:rPr>
          <w:rFonts w:cstheme="minorHAnsi"/>
          <w:sz w:val="24"/>
          <w:szCs w:val="24"/>
          <w:lang w:val="el-GR"/>
        </w:rPr>
        <w:t>της</w:t>
      </w:r>
      <w:r w:rsidR="00A5147D" w:rsidRPr="00534B54">
        <w:rPr>
          <w:rFonts w:cstheme="minorHAnsi"/>
          <w:sz w:val="24"/>
          <w:szCs w:val="24"/>
          <w:lang w:val="el-GR"/>
        </w:rPr>
        <w:t xml:space="preserve"> </w:t>
      </w:r>
      <w:r>
        <w:rPr>
          <w:rFonts w:cstheme="minorHAnsi"/>
          <w:sz w:val="24"/>
          <w:szCs w:val="24"/>
          <w:lang w:val="el-GR"/>
        </w:rPr>
        <w:t>έχουν</w:t>
      </w:r>
      <w:r w:rsidRPr="00534B54">
        <w:rPr>
          <w:rFonts w:cstheme="minorHAnsi"/>
          <w:sz w:val="24"/>
          <w:szCs w:val="24"/>
          <w:lang w:val="el-GR"/>
        </w:rPr>
        <w:t xml:space="preserve"> </w:t>
      </w:r>
      <w:r w:rsidR="005B52E4">
        <w:rPr>
          <w:rFonts w:cstheme="minorHAnsi"/>
          <w:sz w:val="24"/>
          <w:szCs w:val="24"/>
          <w:lang w:val="el-GR"/>
        </w:rPr>
        <w:t xml:space="preserve">υιοθετήσει </w:t>
      </w:r>
      <w:r>
        <w:rPr>
          <w:rFonts w:cstheme="minorHAnsi"/>
          <w:sz w:val="24"/>
          <w:szCs w:val="24"/>
          <w:lang w:val="el-GR"/>
        </w:rPr>
        <w:t>τον διαχωρισμό των εξουσιών</w:t>
      </w:r>
      <w:r w:rsidR="00A5147D" w:rsidRPr="00534B54">
        <w:rPr>
          <w:rFonts w:cstheme="minorHAnsi"/>
          <w:sz w:val="24"/>
          <w:szCs w:val="24"/>
          <w:lang w:val="el-GR"/>
        </w:rPr>
        <w:t xml:space="preserve"> </w:t>
      </w:r>
      <w:r>
        <w:rPr>
          <w:rFonts w:cstheme="minorHAnsi"/>
          <w:sz w:val="24"/>
          <w:szCs w:val="24"/>
          <w:lang w:val="el-GR"/>
        </w:rPr>
        <w:t>και</w:t>
      </w:r>
      <w:r w:rsidR="00A5147D" w:rsidRPr="00534B54">
        <w:rPr>
          <w:rFonts w:cstheme="minorHAnsi"/>
          <w:sz w:val="24"/>
          <w:szCs w:val="24"/>
          <w:lang w:val="el-GR"/>
        </w:rPr>
        <w:t xml:space="preserve">, </w:t>
      </w:r>
      <w:r>
        <w:rPr>
          <w:rFonts w:cstheme="minorHAnsi"/>
          <w:sz w:val="24"/>
          <w:szCs w:val="24"/>
          <w:lang w:val="el-GR"/>
        </w:rPr>
        <w:t>σε κάποιο βαθμό</w:t>
      </w:r>
      <w:r w:rsidR="00A5147D" w:rsidRPr="00534B54">
        <w:rPr>
          <w:rFonts w:cstheme="minorHAnsi"/>
          <w:sz w:val="24"/>
          <w:szCs w:val="24"/>
          <w:lang w:val="el-GR"/>
        </w:rPr>
        <w:t xml:space="preserve">, </w:t>
      </w:r>
      <w:r w:rsidR="00EA5E76">
        <w:rPr>
          <w:rFonts w:cstheme="minorHAnsi"/>
          <w:sz w:val="24"/>
          <w:szCs w:val="24"/>
          <w:lang w:val="el-GR"/>
        </w:rPr>
        <w:t>το σύστημα των ελέγχων και ισοζυγίων</w:t>
      </w:r>
      <w:r w:rsidR="00EA5E76" w:rsidRPr="00EA5E76">
        <w:rPr>
          <w:rFonts w:cstheme="minorHAnsi"/>
          <w:sz w:val="24"/>
          <w:szCs w:val="24"/>
          <w:lang w:val="el-GR"/>
        </w:rPr>
        <w:t xml:space="preserve"> </w:t>
      </w:r>
      <w:r w:rsidR="00EA5E76">
        <w:rPr>
          <w:rFonts w:cstheme="minorHAnsi"/>
          <w:sz w:val="24"/>
          <w:szCs w:val="24"/>
          <w:lang w:val="el-GR"/>
        </w:rPr>
        <w:t>(</w:t>
      </w:r>
      <w:r w:rsidR="00EA5E76" w:rsidRPr="004E251E">
        <w:rPr>
          <w:rFonts w:cstheme="minorHAnsi"/>
          <w:sz w:val="24"/>
          <w:szCs w:val="24"/>
        </w:rPr>
        <w:t>checks</w:t>
      </w:r>
      <w:r w:rsidR="00EA5E76" w:rsidRPr="00EA5E76">
        <w:rPr>
          <w:rFonts w:cstheme="minorHAnsi"/>
          <w:sz w:val="24"/>
          <w:szCs w:val="24"/>
          <w:lang w:val="el-GR"/>
        </w:rPr>
        <w:t xml:space="preserve"> </w:t>
      </w:r>
      <w:r w:rsidR="00EA5E76" w:rsidRPr="004E251E">
        <w:rPr>
          <w:rFonts w:cstheme="minorHAnsi"/>
          <w:sz w:val="24"/>
          <w:szCs w:val="24"/>
        </w:rPr>
        <w:t>and</w:t>
      </w:r>
      <w:r w:rsidR="00EA5E76" w:rsidRPr="00EA5E76">
        <w:rPr>
          <w:rFonts w:cstheme="minorHAnsi"/>
          <w:sz w:val="24"/>
          <w:szCs w:val="24"/>
          <w:lang w:val="el-GR"/>
        </w:rPr>
        <w:t xml:space="preserve"> </w:t>
      </w:r>
      <w:r w:rsidR="00EA5E76" w:rsidRPr="004E251E">
        <w:rPr>
          <w:rFonts w:cstheme="minorHAnsi"/>
          <w:sz w:val="24"/>
          <w:szCs w:val="24"/>
        </w:rPr>
        <w:t>balances</w:t>
      </w:r>
      <w:r w:rsidR="00EA5E76">
        <w:rPr>
          <w:rFonts w:cstheme="minorHAnsi"/>
          <w:sz w:val="24"/>
          <w:szCs w:val="24"/>
          <w:lang w:val="el-GR"/>
        </w:rPr>
        <w:t>)</w:t>
      </w:r>
      <w:r w:rsidR="00A5147D" w:rsidRPr="00534B54">
        <w:rPr>
          <w:rFonts w:cstheme="minorHAnsi"/>
          <w:sz w:val="24"/>
          <w:szCs w:val="24"/>
          <w:lang w:val="el-GR"/>
        </w:rPr>
        <w:t xml:space="preserve">. </w:t>
      </w:r>
      <w:r w:rsidR="00EA5E76">
        <w:rPr>
          <w:rFonts w:cstheme="minorHAnsi"/>
          <w:sz w:val="24"/>
          <w:szCs w:val="24"/>
          <w:lang w:val="el-GR"/>
        </w:rPr>
        <w:t>Στην</w:t>
      </w:r>
      <w:r w:rsidR="00EA5E76" w:rsidRPr="00EA5E76">
        <w:rPr>
          <w:rFonts w:cstheme="minorHAnsi"/>
          <w:sz w:val="24"/>
          <w:szCs w:val="24"/>
          <w:lang w:val="el-GR"/>
        </w:rPr>
        <w:t xml:space="preserve"> </w:t>
      </w:r>
      <w:r w:rsidR="00EA5E76">
        <w:rPr>
          <w:rFonts w:cstheme="minorHAnsi"/>
          <w:sz w:val="24"/>
          <w:szCs w:val="24"/>
          <w:lang w:val="el-GR"/>
        </w:rPr>
        <w:t>Κύπρο</w:t>
      </w:r>
      <w:r w:rsidR="00A5147D" w:rsidRPr="00EA5E76">
        <w:rPr>
          <w:rFonts w:cstheme="minorHAnsi"/>
          <w:sz w:val="24"/>
          <w:szCs w:val="24"/>
          <w:lang w:val="el-GR"/>
        </w:rPr>
        <w:t xml:space="preserve">, </w:t>
      </w:r>
      <w:r w:rsidR="00EA5E76">
        <w:rPr>
          <w:rFonts w:cstheme="minorHAnsi"/>
          <w:sz w:val="24"/>
          <w:szCs w:val="24"/>
          <w:lang w:val="el-GR"/>
        </w:rPr>
        <w:t>οι</w:t>
      </w:r>
      <w:r w:rsidR="00EA5E76" w:rsidRPr="00EA5E76">
        <w:rPr>
          <w:rFonts w:cstheme="minorHAnsi"/>
          <w:sz w:val="24"/>
          <w:szCs w:val="24"/>
          <w:lang w:val="el-GR"/>
        </w:rPr>
        <w:t xml:space="preserve"> </w:t>
      </w:r>
      <w:r w:rsidR="00EA5E76">
        <w:rPr>
          <w:rFonts w:cstheme="minorHAnsi"/>
          <w:sz w:val="24"/>
          <w:szCs w:val="24"/>
          <w:lang w:val="el-GR"/>
        </w:rPr>
        <w:t>κύριοι</w:t>
      </w:r>
      <w:r w:rsidR="00EA5E76" w:rsidRPr="00EA5E76">
        <w:rPr>
          <w:rFonts w:cstheme="minorHAnsi"/>
          <w:sz w:val="24"/>
          <w:szCs w:val="24"/>
          <w:lang w:val="el-GR"/>
        </w:rPr>
        <w:t xml:space="preserve"> </w:t>
      </w:r>
      <w:r w:rsidR="00EA5E76">
        <w:rPr>
          <w:rFonts w:cstheme="minorHAnsi"/>
          <w:sz w:val="24"/>
          <w:szCs w:val="24"/>
          <w:lang w:val="el-GR"/>
        </w:rPr>
        <w:t>παράγοντες</w:t>
      </w:r>
      <w:r w:rsidR="00A5147D" w:rsidRPr="00EA5E76">
        <w:rPr>
          <w:rFonts w:cstheme="minorHAnsi"/>
          <w:sz w:val="24"/>
          <w:szCs w:val="24"/>
          <w:lang w:val="el-GR"/>
        </w:rPr>
        <w:t xml:space="preserve"> </w:t>
      </w:r>
      <w:r w:rsidR="00EA5E76">
        <w:rPr>
          <w:rFonts w:cstheme="minorHAnsi"/>
          <w:sz w:val="24"/>
          <w:szCs w:val="24"/>
          <w:lang w:val="el-GR"/>
        </w:rPr>
        <w:t>που</w:t>
      </w:r>
      <w:r w:rsidR="00EA5E76" w:rsidRPr="00EA5E76">
        <w:rPr>
          <w:rFonts w:cstheme="minorHAnsi"/>
          <w:sz w:val="24"/>
          <w:szCs w:val="24"/>
          <w:lang w:val="el-GR"/>
        </w:rPr>
        <w:t xml:space="preserve"> </w:t>
      </w:r>
      <w:r w:rsidR="00EA5E76">
        <w:rPr>
          <w:rFonts w:cstheme="minorHAnsi"/>
          <w:sz w:val="24"/>
          <w:szCs w:val="24"/>
          <w:lang w:val="el-GR"/>
        </w:rPr>
        <w:t>συνεισφέρουν</w:t>
      </w:r>
      <w:r w:rsidR="00EA5E76" w:rsidRPr="00EA5E76">
        <w:rPr>
          <w:rFonts w:cstheme="minorHAnsi"/>
          <w:sz w:val="24"/>
          <w:szCs w:val="24"/>
          <w:lang w:val="el-GR"/>
        </w:rPr>
        <w:t xml:space="preserve"> </w:t>
      </w:r>
      <w:r w:rsidR="00EA5E76">
        <w:rPr>
          <w:rFonts w:cstheme="minorHAnsi"/>
          <w:sz w:val="24"/>
          <w:szCs w:val="24"/>
          <w:lang w:val="el-GR"/>
        </w:rPr>
        <w:t>στην</w:t>
      </w:r>
      <w:r w:rsidR="00EA5E76" w:rsidRPr="00EA5E76">
        <w:rPr>
          <w:rFonts w:cstheme="minorHAnsi"/>
          <w:sz w:val="24"/>
          <w:szCs w:val="24"/>
          <w:lang w:val="el-GR"/>
        </w:rPr>
        <w:t xml:space="preserve"> </w:t>
      </w:r>
      <w:r w:rsidR="00EA5E76">
        <w:rPr>
          <w:rFonts w:cstheme="minorHAnsi"/>
          <w:sz w:val="24"/>
          <w:szCs w:val="24"/>
          <w:lang w:val="el-GR"/>
        </w:rPr>
        <w:t>εφαρμογή</w:t>
      </w:r>
      <w:r w:rsidR="00EA5E76" w:rsidRPr="00EA5E76">
        <w:rPr>
          <w:rFonts w:cstheme="minorHAnsi"/>
          <w:sz w:val="24"/>
          <w:szCs w:val="24"/>
          <w:lang w:val="el-GR"/>
        </w:rPr>
        <w:t xml:space="preserve"> </w:t>
      </w:r>
      <w:r w:rsidR="00EA5E76">
        <w:rPr>
          <w:rFonts w:cstheme="minorHAnsi"/>
          <w:sz w:val="24"/>
          <w:szCs w:val="24"/>
          <w:lang w:val="el-GR"/>
        </w:rPr>
        <w:t>των</w:t>
      </w:r>
      <w:r w:rsidR="00EA5E76" w:rsidRPr="00EA5E76">
        <w:rPr>
          <w:rFonts w:cstheme="minorHAnsi"/>
          <w:sz w:val="24"/>
          <w:szCs w:val="24"/>
          <w:lang w:val="el-GR"/>
        </w:rPr>
        <w:t xml:space="preserve"> </w:t>
      </w:r>
      <w:r w:rsidR="00EA5E76">
        <w:rPr>
          <w:rFonts w:cstheme="minorHAnsi"/>
          <w:sz w:val="24"/>
          <w:szCs w:val="24"/>
          <w:lang w:val="el-GR"/>
        </w:rPr>
        <w:t>ελέγχων</w:t>
      </w:r>
      <w:r w:rsidR="00EA5E76" w:rsidRPr="00EA5E76">
        <w:rPr>
          <w:rFonts w:cstheme="minorHAnsi"/>
          <w:sz w:val="24"/>
          <w:szCs w:val="24"/>
          <w:lang w:val="el-GR"/>
        </w:rPr>
        <w:t xml:space="preserve"> </w:t>
      </w:r>
      <w:r w:rsidR="00EA5E76">
        <w:rPr>
          <w:rFonts w:cstheme="minorHAnsi"/>
          <w:sz w:val="24"/>
          <w:szCs w:val="24"/>
          <w:lang w:val="el-GR"/>
        </w:rPr>
        <w:t>και</w:t>
      </w:r>
      <w:r w:rsidR="00EA5E76" w:rsidRPr="00EA5E76">
        <w:rPr>
          <w:rFonts w:cstheme="minorHAnsi"/>
          <w:sz w:val="24"/>
          <w:szCs w:val="24"/>
          <w:lang w:val="el-GR"/>
        </w:rPr>
        <w:t xml:space="preserve"> </w:t>
      </w:r>
      <w:r w:rsidR="00EA5E76">
        <w:rPr>
          <w:rFonts w:cstheme="minorHAnsi"/>
          <w:sz w:val="24"/>
          <w:szCs w:val="24"/>
          <w:lang w:val="el-GR"/>
        </w:rPr>
        <w:t>ισοζυγίων</w:t>
      </w:r>
      <w:r w:rsidR="00EA5E76" w:rsidRPr="00EA5E76">
        <w:rPr>
          <w:rFonts w:cstheme="minorHAnsi"/>
          <w:sz w:val="24"/>
          <w:szCs w:val="24"/>
          <w:lang w:val="el-GR"/>
        </w:rPr>
        <w:t xml:space="preserve"> </w:t>
      </w:r>
      <w:r w:rsidR="00EA5E76">
        <w:rPr>
          <w:rFonts w:cstheme="minorHAnsi"/>
          <w:sz w:val="24"/>
          <w:szCs w:val="24"/>
          <w:lang w:val="el-GR"/>
        </w:rPr>
        <w:t>για την εκτελεστική εξουσία</w:t>
      </w:r>
      <w:r w:rsidR="00A5147D" w:rsidRPr="00EA5E76">
        <w:rPr>
          <w:rFonts w:cstheme="minorHAnsi"/>
          <w:sz w:val="24"/>
          <w:szCs w:val="24"/>
          <w:lang w:val="el-GR"/>
        </w:rPr>
        <w:t xml:space="preserve">, </w:t>
      </w:r>
      <w:r w:rsidR="00EA5E76">
        <w:rPr>
          <w:rFonts w:cstheme="minorHAnsi"/>
          <w:sz w:val="24"/>
          <w:szCs w:val="24"/>
          <w:lang w:val="el-GR"/>
        </w:rPr>
        <w:t>και σε κάποιο βαθμό</w:t>
      </w:r>
      <w:r w:rsidR="00A5147D" w:rsidRPr="00EA5E76">
        <w:rPr>
          <w:rFonts w:cstheme="minorHAnsi"/>
          <w:sz w:val="24"/>
          <w:szCs w:val="24"/>
          <w:lang w:val="el-GR"/>
        </w:rPr>
        <w:t xml:space="preserve">, </w:t>
      </w:r>
      <w:r w:rsidR="00EA5E76">
        <w:rPr>
          <w:rFonts w:cstheme="minorHAnsi"/>
          <w:sz w:val="24"/>
          <w:szCs w:val="24"/>
          <w:lang w:val="el-GR"/>
        </w:rPr>
        <w:t>για τον Πρόεδρο</w:t>
      </w:r>
      <w:r w:rsidR="00A5147D" w:rsidRPr="00EA5E76">
        <w:rPr>
          <w:rFonts w:cstheme="minorHAnsi"/>
          <w:sz w:val="24"/>
          <w:szCs w:val="24"/>
          <w:lang w:val="el-GR"/>
        </w:rPr>
        <w:t xml:space="preserve">, </w:t>
      </w:r>
      <w:r w:rsidR="00EA5E76">
        <w:rPr>
          <w:rFonts w:cstheme="minorHAnsi"/>
          <w:sz w:val="24"/>
          <w:szCs w:val="24"/>
          <w:lang w:val="el-GR"/>
        </w:rPr>
        <w:t>ορίζονται πιο κάτω</w:t>
      </w:r>
      <w:r w:rsidR="00A5147D" w:rsidRPr="00EA5E76">
        <w:rPr>
          <w:rFonts w:cstheme="minorHAnsi"/>
          <w:sz w:val="24"/>
          <w:szCs w:val="24"/>
          <w:lang w:val="el-GR"/>
        </w:rPr>
        <w:t xml:space="preserve">. </w:t>
      </w:r>
    </w:p>
    <w:p w14:paraId="77F3A0F5" w14:textId="77777777" w:rsidR="00A5147D" w:rsidRPr="00EA5E76" w:rsidRDefault="00A5147D" w:rsidP="00A5147D">
      <w:pPr>
        <w:keepNext/>
        <w:rPr>
          <w:rFonts w:cstheme="minorHAnsi"/>
          <w:i/>
          <w:iCs/>
          <w:sz w:val="24"/>
          <w:szCs w:val="24"/>
          <w:lang w:val="el-GR"/>
        </w:rPr>
      </w:pPr>
    </w:p>
    <w:p w14:paraId="5872DFF9" w14:textId="7E1D5DE3" w:rsidR="00A5147D" w:rsidRPr="004E251E" w:rsidRDefault="00EA5E76" w:rsidP="00A5147D">
      <w:pPr>
        <w:keepNext/>
        <w:rPr>
          <w:rFonts w:cstheme="minorHAnsi"/>
          <w:i/>
          <w:iCs/>
          <w:sz w:val="24"/>
          <w:szCs w:val="24"/>
          <w:u w:val="single"/>
        </w:rPr>
      </w:pPr>
      <w:r>
        <w:rPr>
          <w:rFonts w:cstheme="minorHAnsi"/>
          <w:i/>
          <w:iCs/>
          <w:sz w:val="24"/>
          <w:szCs w:val="24"/>
          <w:u w:val="single"/>
          <w:lang w:val="el-GR"/>
        </w:rPr>
        <w:t>Ανώτατο Δικαστήριο</w:t>
      </w:r>
      <w:r w:rsidR="009018FD">
        <w:rPr>
          <w:rStyle w:val="FootnoteReference"/>
          <w:rFonts w:cstheme="minorHAnsi"/>
          <w:i/>
          <w:iCs/>
          <w:sz w:val="24"/>
          <w:szCs w:val="24"/>
          <w:u w:val="single"/>
        </w:rPr>
        <w:footnoteReference w:id="42"/>
      </w:r>
    </w:p>
    <w:p w14:paraId="4A072ECB" w14:textId="77777777" w:rsidR="00A5147D" w:rsidRPr="004E251E" w:rsidRDefault="00A5147D" w:rsidP="00A5147D">
      <w:pPr>
        <w:rPr>
          <w:rFonts w:cstheme="minorHAnsi"/>
          <w:sz w:val="24"/>
          <w:szCs w:val="24"/>
        </w:rPr>
      </w:pPr>
    </w:p>
    <w:p w14:paraId="4A62305B" w14:textId="182F36C9" w:rsidR="00B4667D" w:rsidRPr="00356A48" w:rsidRDefault="00EA5E76" w:rsidP="00B4667D">
      <w:pPr>
        <w:numPr>
          <w:ilvl w:val="0"/>
          <w:numId w:val="1"/>
        </w:numPr>
        <w:tabs>
          <w:tab w:val="clear" w:pos="6095"/>
          <w:tab w:val="left" w:pos="709"/>
        </w:tabs>
        <w:ind w:left="0" w:firstLine="0"/>
        <w:rPr>
          <w:rFonts w:cstheme="minorHAnsi"/>
          <w:sz w:val="24"/>
          <w:szCs w:val="24"/>
          <w:lang w:val="el-GR"/>
        </w:rPr>
      </w:pPr>
      <w:bookmarkStart w:id="90" w:name="_Hlk132888672"/>
      <w:r>
        <w:rPr>
          <w:rFonts w:eastAsia="Times New Roman" w:cstheme="minorHAnsi"/>
          <w:sz w:val="24"/>
          <w:szCs w:val="24"/>
          <w:lang w:val="el-GR" w:eastAsia="fr-FR"/>
        </w:rPr>
        <w:t>Οποιοδήποτε</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άτομο</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που</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έχει</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ένα</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νόμιμο</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συμφέρον</w:t>
      </w:r>
      <w:r w:rsidR="002F34E2"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και</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επηρεάζεται</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δυσμενώς</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και</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άμεσα</w:t>
      </w:r>
      <w:r w:rsidR="002F34E2"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από</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μια</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διοικητική</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απόφαση</w:t>
      </w:r>
      <w:r w:rsidR="002F34E2" w:rsidRPr="00EA5E76">
        <w:rPr>
          <w:rFonts w:eastAsia="Times New Roman" w:cstheme="minorHAnsi"/>
          <w:sz w:val="24"/>
          <w:szCs w:val="24"/>
          <w:lang w:val="el-GR" w:eastAsia="fr-FR"/>
        </w:rPr>
        <w:t xml:space="preserve">, </w:t>
      </w:r>
      <w:r>
        <w:rPr>
          <w:rFonts w:eastAsia="Times New Roman" w:cstheme="minorHAnsi"/>
          <w:sz w:val="24"/>
          <w:szCs w:val="24"/>
          <w:lang w:val="el-GR" w:eastAsia="fr-FR"/>
        </w:rPr>
        <w:t>πράξη</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ή</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παράλειψη</w:t>
      </w:r>
      <w:r w:rsidR="002F34E2" w:rsidRPr="00EA5E76">
        <w:rPr>
          <w:rFonts w:cstheme="minorHAnsi"/>
          <w:sz w:val="24"/>
          <w:szCs w:val="24"/>
          <w:lang w:val="el-GR"/>
        </w:rPr>
        <w:t xml:space="preserve"> </w:t>
      </w:r>
      <w:r>
        <w:rPr>
          <w:rFonts w:cstheme="minorHAnsi"/>
          <w:sz w:val="24"/>
          <w:szCs w:val="24"/>
          <w:lang w:val="el-GR"/>
        </w:rPr>
        <w:t>έχει</w:t>
      </w:r>
      <w:r w:rsidRPr="00EA5E76">
        <w:rPr>
          <w:rFonts w:cstheme="minorHAnsi"/>
          <w:sz w:val="24"/>
          <w:szCs w:val="24"/>
          <w:lang w:val="el-GR"/>
        </w:rPr>
        <w:t xml:space="preserve"> </w:t>
      </w:r>
      <w:r>
        <w:rPr>
          <w:rFonts w:cstheme="minorHAnsi"/>
          <w:sz w:val="24"/>
          <w:szCs w:val="24"/>
          <w:lang w:val="el-GR"/>
        </w:rPr>
        <w:t>το</w:t>
      </w:r>
      <w:r w:rsidRPr="00EA5E76">
        <w:rPr>
          <w:rFonts w:cstheme="minorHAnsi"/>
          <w:sz w:val="24"/>
          <w:szCs w:val="24"/>
          <w:lang w:val="el-GR"/>
        </w:rPr>
        <w:t xml:space="preserve"> </w:t>
      </w:r>
      <w:r>
        <w:rPr>
          <w:rFonts w:cstheme="minorHAnsi"/>
          <w:sz w:val="24"/>
          <w:szCs w:val="24"/>
          <w:lang w:val="el-GR"/>
        </w:rPr>
        <w:t>συνταγματικό</w:t>
      </w:r>
      <w:r w:rsidRPr="00EA5E76">
        <w:rPr>
          <w:rFonts w:cstheme="minorHAnsi"/>
          <w:sz w:val="24"/>
          <w:szCs w:val="24"/>
          <w:lang w:val="el-GR"/>
        </w:rPr>
        <w:t xml:space="preserve"> </w:t>
      </w:r>
      <w:r>
        <w:rPr>
          <w:rFonts w:cstheme="minorHAnsi"/>
          <w:sz w:val="24"/>
          <w:szCs w:val="24"/>
          <w:lang w:val="el-GR"/>
        </w:rPr>
        <w:t>δικαίωμα</w:t>
      </w:r>
      <w:r w:rsidR="00B4667D" w:rsidRPr="00EA5E76">
        <w:rPr>
          <w:rFonts w:cstheme="minorHAnsi"/>
          <w:sz w:val="24"/>
          <w:szCs w:val="24"/>
          <w:lang w:val="el-GR"/>
        </w:rPr>
        <w:t xml:space="preserve">, </w:t>
      </w:r>
      <w:r>
        <w:rPr>
          <w:rFonts w:cstheme="minorHAnsi"/>
          <w:sz w:val="24"/>
          <w:szCs w:val="24"/>
          <w:lang w:val="el-GR"/>
        </w:rPr>
        <w:t>σύμφωνα</w:t>
      </w:r>
      <w:r w:rsidRPr="00EA5E76">
        <w:rPr>
          <w:rFonts w:cstheme="minorHAnsi"/>
          <w:sz w:val="24"/>
          <w:szCs w:val="24"/>
          <w:lang w:val="el-GR"/>
        </w:rPr>
        <w:t xml:space="preserve"> </w:t>
      </w:r>
      <w:r>
        <w:rPr>
          <w:rFonts w:cstheme="minorHAnsi"/>
          <w:sz w:val="24"/>
          <w:szCs w:val="24"/>
          <w:lang w:val="el-GR"/>
        </w:rPr>
        <w:t>με</w:t>
      </w:r>
      <w:r w:rsidRPr="00EA5E76">
        <w:rPr>
          <w:rFonts w:cstheme="minorHAnsi"/>
          <w:sz w:val="24"/>
          <w:szCs w:val="24"/>
          <w:lang w:val="el-GR"/>
        </w:rPr>
        <w:t xml:space="preserve"> </w:t>
      </w:r>
      <w:r>
        <w:rPr>
          <w:rFonts w:cstheme="minorHAnsi"/>
          <w:sz w:val="24"/>
          <w:szCs w:val="24"/>
          <w:lang w:val="el-GR"/>
        </w:rPr>
        <w:t>το</w:t>
      </w:r>
      <w:r w:rsidRPr="00EA5E76">
        <w:rPr>
          <w:rFonts w:cstheme="minorHAnsi"/>
          <w:sz w:val="24"/>
          <w:szCs w:val="24"/>
          <w:lang w:val="el-GR"/>
        </w:rPr>
        <w:t xml:space="preserve"> </w:t>
      </w:r>
      <w:r>
        <w:rPr>
          <w:rFonts w:cstheme="minorHAnsi"/>
          <w:sz w:val="24"/>
          <w:szCs w:val="24"/>
          <w:lang w:val="el-GR"/>
        </w:rPr>
        <w:t>Άρθρο</w:t>
      </w:r>
      <w:r w:rsidR="002F34E2" w:rsidRPr="00EA5E76">
        <w:rPr>
          <w:rFonts w:cstheme="minorHAnsi"/>
          <w:sz w:val="24"/>
          <w:szCs w:val="24"/>
          <w:lang w:val="el-GR"/>
        </w:rPr>
        <w:t xml:space="preserve"> </w:t>
      </w:r>
      <w:r w:rsidR="009C3867" w:rsidRPr="00EA5E76">
        <w:rPr>
          <w:rFonts w:cstheme="minorHAnsi"/>
          <w:sz w:val="24"/>
          <w:szCs w:val="24"/>
          <w:lang w:val="el-GR"/>
        </w:rPr>
        <w:t>1</w:t>
      </w:r>
      <w:r w:rsidR="002F34E2" w:rsidRPr="00EA5E76">
        <w:rPr>
          <w:rFonts w:cstheme="minorHAnsi"/>
          <w:sz w:val="24"/>
          <w:szCs w:val="24"/>
          <w:lang w:val="el-GR"/>
        </w:rPr>
        <w:t xml:space="preserve">46 </w:t>
      </w:r>
      <w:r>
        <w:rPr>
          <w:rFonts w:cstheme="minorHAnsi"/>
          <w:sz w:val="24"/>
          <w:szCs w:val="24"/>
          <w:lang w:val="el-GR"/>
        </w:rPr>
        <w:t>του</w:t>
      </w:r>
      <w:r w:rsidRPr="00EA5E76">
        <w:rPr>
          <w:rFonts w:cstheme="minorHAnsi"/>
          <w:sz w:val="24"/>
          <w:szCs w:val="24"/>
          <w:lang w:val="el-GR"/>
        </w:rPr>
        <w:t xml:space="preserve"> </w:t>
      </w:r>
      <w:r>
        <w:rPr>
          <w:rFonts w:cstheme="minorHAnsi"/>
          <w:sz w:val="24"/>
          <w:szCs w:val="24"/>
          <w:lang w:val="el-GR"/>
        </w:rPr>
        <w:t>Συντάγματος</w:t>
      </w:r>
      <w:r w:rsidR="00B4667D" w:rsidRPr="00EA5E76">
        <w:rPr>
          <w:rFonts w:cstheme="minorHAnsi"/>
          <w:sz w:val="24"/>
          <w:szCs w:val="24"/>
          <w:lang w:val="el-GR"/>
        </w:rPr>
        <w:t xml:space="preserve">, </w:t>
      </w:r>
      <w:r>
        <w:rPr>
          <w:rFonts w:cstheme="minorHAnsi"/>
          <w:sz w:val="24"/>
          <w:szCs w:val="24"/>
          <w:lang w:val="el-GR"/>
        </w:rPr>
        <w:t>να</w:t>
      </w:r>
      <w:r w:rsidRPr="00EA5E76">
        <w:rPr>
          <w:rFonts w:cstheme="minorHAnsi"/>
          <w:sz w:val="24"/>
          <w:szCs w:val="24"/>
          <w:lang w:val="el-GR"/>
        </w:rPr>
        <w:t xml:space="preserve"> </w:t>
      </w:r>
      <w:r>
        <w:rPr>
          <w:rFonts w:cstheme="minorHAnsi"/>
          <w:sz w:val="24"/>
          <w:szCs w:val="24"/>
          <w:lang w:val="el-GR"/>
        </w:rPr>
        <w:t>υποβάλει</w:t>
      </w:r>
      <w:r w:rsidRPr="00EA5E76">
        <w:rPr>
          <w:rFonts w:cstheme="minorHAnsi"/>
          <w:sz w:val="24"/>
          <w:szCs w:val="24"/>
          <w:lang w:val="el-GR"/>
        </w:rPr>
        <w:t xml:space="preserve"> </w:t>
      </w:r>
      <w:r>
        <w:rPr>
          <w:rFonts w:cstheme="minorHAnsi"/>
          <w:sz w:val="24"/>
          <w:szCs w:val="24"/>
          <w:lang w:val="el-GR"/>
        </w:rPr>
        <w:t>μια</w:t>
      </w:r>
      <w:r w:rsidRPr="00EA5E76">
        <w:rPr>
          <w:rFonts w:cstheme="minorHAnsi"/>
          <w:sz w:val="24"/>
          <w:szCs w:val="24"/>
          <w:lang w:val="el-GR"/>
        </w:rPr>
        <w:t xml:space="preserve"> </w:t>
      </w:r>
      <w:r>
        <w:rPr>
          <w:rFonts w:cstheme="minorHAnsi"/>
          <w:sz w:val="24"/>
          <w:szCs w:val="24"/>
          <w:lang w:val="el-GR"/>
        </w:rPr>
        <w:t>πράξη</w:t>
      </w:r>
      <w:r w:rsidRPr="00EA5E76">
        <w:rPr>
          <w:rFonts w:cstheme="minorHAnsi"/>
          <w:sz w:val="24"/>
          <w:szCs w:val="24"/>
          <w:lang w:val="el-GR"/>
        </w:rPr>
        <w:t xml:space="preserve"> </w:t>
      </w:r>
      <w:r>
        <w:rPr>
          <w:rFonts w:cstheme="minorHAnsi"/>
          <w:sz w:val="24"/>
          <w:szCs w:val="24"/>
          <w:lang w:val="el-GR"/>
        </w:rPr>
        <w:t>προσφυγής</w:t>
      </w:r>
      <w:r w:rsidR="002F34E2" w:rsidRPr="00EA5E76">
        <w:rPr>
          <w:rFonts w:cstheme="minorHAnsi"/>
          <w:sz w:val="24"/>
          <w:szCs w:val="24"/>
          <w:lang w:val="el-GR"/>
        </w:rPr>
        <w:t xml:space="preserve"> </w:t>
      </w:r>
      <w:r>
        <w:rPr>
          <w:rFonts w:cstheme="minorHAnsi"/>
          <w:sz w:val="24"/>
          <w:szCs w:val="24"/>
          <w:lang w:val="el-GR"/>
        </w:rPr>
        <w:t>ενώπιον του Διοικητικού Δικαστηρίου</w:t>
      </w:r>
      <w:r w:rsidR="002F34E2" w:rsidRPr="00EA5E76">
        <w:rPr>
          <w:rFonts w:cs="Calibri"/>
          <w:sz w:val="24"/>
          <w:szCs w:val="24"/>
          <w:lang w:val="el-GR"/>
        </w:rPr>
        <w:t xml:space="preserve"> </w:t>
      </w:r>
      <w:r>
        <w:rPr>
          <w:rFonts w:cs="Calibri"/>
          <w:sz w:val="24"/>
          <w:szCs w:val="24"/>
          <w:lang w:val="el-GR"/>
        </w:rPr>
        <w:t>εναντίον της εκτελεστικής και διοικητικής αρχής που εκδίδει μια τέτοια απόφαση</w:t>
      </w:r>
      <w:r w:rsidR="00B4667D" w:rsidRPr="00EA5E76">
        <w:rPr>
          <w:rFonts w:cstheme="minorHAnsi"/>
          <w:sz w:val="24"/>
          <w:szCs w:val="24"/>
          <w:lang w:val="el-GR"/>
        </w:rPr>
        <w:t xml:space="preserve">, </w:t>
      </w:r>
      <w:r>
        <w:rPr>
          <w:rFonts w:cstheme="minorHAnsi"/>
          <w:sz w:val="24"/>
          <w:szCs w:val="24"/>
          <w:lang w:val="el-GR"/>
        </w:rPr>
        <w:t>πράξη</w:t>
      </w:r>
      <w:r w:rsidR="00B4667D" w:rsidRPr="00EA5E76">
        <w:rPr>
          <w:rFonts w:cstheme="minorHAnsi"/>
          <w:sz w:val="24"/>
          <w:szCs w:val="24"/>
          <w:lang w:val="el-GR"/>
        </w:rPr>
        <w:t xml:space="preserve">, </w:t>
      </w:r>
      <w:r>
        <w:rPr>
          <w:rFonts w:cstheme="minorHAnsi"/>
          <w:sz w:val="24"/>
          <w:szCs w:val="24"/>
          <w:lang w:val="el-GR"/>
        </w:rPr>
        <w:t>ή παράλειψη</w:t>
      </w:r>
      <w:r w:rsidR="00B4667D" w:rsidRPr="00EA5E76">
        <w:rPr>
          <w:rFonts w:cstheme="minorHAnsi"/>
          <w:sz w:val="24"/>
          <w:szCs w:val="24"/>
          <w:lang w:val="el-GR"/>
        </w:rPr>
        <w:t xml:space="preserve">. </w:t>
      </w:r>
      <w:bookmarkEnd w:id="90"/>
      <w:r>
        <w:rPr>
          <w:rFonts w:cstheme="minorHAnsi"/>
          <w:sz w:val="24"/>
          <w:szCs w:val="24"/>
          <w:lang w:val="el-GR"/>
        </w:rPr>
        <w:t>Αυτή</w:t>
      </w:r>
      <w:r w:rsidRPr="00EA5E76">
        <w:rPr>
          <w:rFonts w:cstheme="minorHAnsi"/>
          <w:sz w:val="24"/>
          <w:szCs w:val="24"/>
          <w:lang w:val="el-GR"/>
        </w:rPr>
        <w:t xml:space="preserve"> </w:t>
      </w:r>
      <w:r>
        <w:rPr>
          <w:rFonts w:cstheme="minorHAnsi"/>
          <w:sz w:val="24"/>
          <w:szCs w:val="24"/>
          <w:lang w:val="el-GR"/>
        </w:rPr>
        <w:t>η</w:t>
      </w:r>
      <w:r w:rsidRPr="00EA5E76">
        <w:rPr>
          <w:rFonts w:cstheme="minorHAnsi"/>
          <w:sz w:val="24"/>
          <w:szCs w:val="24"/>
          <w:lang w:val="el-GR"/>
        </w:rPr>
        <w:t xml:space="preserve"> </w:t>
      </w:r>
      <w:r>
        <w:rPr>
          <w:rFonts w:cstheme="minorHAnsi"/>
          <w:sz w:val="24"/>
          <w:szCs w:val="24"/>
          <w:lang w:val="el-GR"/>
        </w:rPr>
        <w:t>πράξη</w:t>
      </w:r>
      <w:r w:rsidRPr="00EA5E76">
        <w:rPr>
          <w:rFonts w:cstheme="minorHAnsi"/>
          <w:sz w:val="24"/>
          <w:szCs w:val="24"/>
          <w:lang w:val="el-GR"/>
        </w:rPr>
        <w:t xml:space="preserve"> </w:t>
      </w:r>
      <w:r>
        <w:rPr>
          <w:rFonts w:cstheme="minorHAnsi"/>
          <w:sz w:val="24"/>
          <w:szCs w:val="24"/>
          <w:lang w:val="el-GR"/>
        </w:rPr>
        <w:t>προσφυγής</w:t>
      </w:r>
      <w:r w:rsidR="00A5147D"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μπορεί</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να</w:t>
      </w:r>
      <w:r w:rsidRPr="00EA5E76">
        <w:rPr>
          <w:rFonts w:eastAsia="Times New Roman" w:cstheme="minorHAnsi"/>
          <w:sz w:val="24"/>
          <w:szCs w:val="24"/>
          <w:lang w:val="el-GR" w:eastAsia="fr-FR"/>
        </w:rPr>
        <w:t xml:space="preserve"> </w:t>
      </w:r>
      <w:r w:rsidR="005B52E4">
        <w:rPr>
          <w:rFonts w:eastAsia="Times New Roman" w:cstheme="minorHAnsi"/>
          <w:sz w:val="24"/>
          <w:szCs w:val="24"/>
          <w:lang w:val="el-GR" w:eastAsia="fr-FR"/>
        </w:rPr>
        <w:t xml:space="preserve">καταλήξει </w:t>
      </w:r>
      <w:r>
        <w:rPr>
          <w:rFonts w:eastAsia="Times New Roman" w:cstheme="minorHAnsi"/>
          <w:sz w:val="24"/>
          <w:szCs w:val="24"/>
          <w:lang w:val="el-GR" w:eastAsia="fr-FR"/>
        </w:rPr>
        <w:t>μέχρι</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το</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Ανώτατο</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Δικαστήριο</w:t>
      </w:r>
      <w:r w:rsidR="00A5147D" w:rsidRPr="00EA5E76">
        <w:rPr>
          <w:rFonts w:cstheme="minorHAnsi"/>
          <w:sz w:val="24"/>
          <w:szCs w:val="24"/>
          <w:lang w:val="el-GR"/>
        </w:rPr>
        <w:t xml:space="preserve">, </w:t>
      </w:r>
      <w:r>
        <w:rPr>
          <w:rFonts w:cstheme="minorHAnsi"/>
          <w:sz w:val="24"/>
          <w:szCs w:val="24"/>
          <w:lang w:val="el-GR"/>
        </w:rPr>
        <w:t>που</w:t>
      </w:r>
      <w:r w:rsidRPr="00EA5E76">
        <w:rPr>
          <w:rFonts w:cstheme="minorHAnsi"/>
          <w:sz w:val="24"/>
          <w:szCs w:val="24"/>
          <w:lang w:val="el-GR"/>
        </w:rPr>
        <w:t xml:space="preserve"> </w:t>
      </w:r>
      <w:r>
        <w:rPr>
          <w:rFonts w:cstheme="minorHAnsi"/>
          <w:sz w:val="24"/>
          <w:szCs w:val="24"/>
          <w:lang w:val="el-GR"/>
        </w:rPr>
        <w:t>έχει</w:t>
      </w:r>
      <w:r w:rsidRPr="00EA5E76">
        <w:rPr>
          <w:rFonts w:cstheme="minorHAnsi"/>
          <w:sz w:val="24"/>
          <w:szCs w:val="24"/>
          <w:lang w:val="el-GR"/>
        </w:rPr>
        <w:t xml:space="preserve"> </w:t>
      </w:r>
      <w:r>
        <w:rPr>
          <w:rFonts w:cstheme="minorHAnsi"/>
          <w:sz w:val="24"/>
          <w:szCs w:val="24"/>
          <w:lang w:val="el-GR"/>
        </w:rPr>
        <w:t>την</w:t>
      </w:r>
      <w:r w:rsidRPr="00EA5E76">
        <w:rPr>
          <w:rFonts w:cstheme="minorHAnsi"/>
          <w:sz w:val="24"/>
          <w:szCs w:val="24"/>
          <w:lang w:val="el-GR"/>
        </w:rPr>
        <w:t xml:space="preserve"> </w:t>
      </w:r>
      <w:r>
        <w:rPr>
          <w:rFonts w:cstheme="minorHAnsi"/>
          <w:sz w:val="24"/>
          <w:szCs w:val="24"/>
          <w:lang w:val="el-GR"/>
        </w:rPr>
        <w:t>τελική</w:t>
      </w:r>
      <w:r w:rsidRPr="00EA5E76">
        <w:rPr>
          <w:rFonts w:cstheme="minorHAnsi"/>
          <w:sz w:val="24"/>
          <w:szCs w:val="24"/>
          <w:lang w:val="el-GR"/>
        </w:rPr>
        <w:t xml:space="preserve"> </w:t>
      </w:r>
      <w:r>
        <w:rPr>
          <w:rFonts w:cstheme="minorHAnsi"/>
          <w:sz w:val="24"/>
          <w:szCs w:val="24"/>
          <w:lang w:val="el-GR"/>
        </w:rPr>
        <w:t>δικαιοδοσία</w:t>
      </w:r>
      <w:r w:rsidR="00A5147D" w:rsidRPr="00EA5E76">
        <w:rPr>
          <w:rFonts w:cstheme="minorHAnsi"/>
          <w:sz w:val="24"/>
          <w:szCs w:val="24"/>
          <w:lang w:val="el-GR"/>
        </w:rPr>
        <w:t xml:space="preserve"> </w:t>
      </w:r>
      <w:r>
        <w:rPr>
          <w:rFonts w:cstheme="minorHAnsi"/>
          <w:sz w:val="24"/>
          <w:szCs w:val="24"/>
          <w:lang w:val="el-GR"/>
        </w:rPr>
        <w:t>για</w:t>
      </w:r>
      <w:r w:rsidRPr="00EA5E76">
        <w:rPr>
          <w:rFonts w:cstheme="minorHAnsi"/>
          <w:sz w:val="24"/>
          <w:szCs w:val="24"/>
          <w:lang w:val="el-GR"/>
        </w:rPr>
        <w:t xml:space="preserve"> </w:t>
      </w:r>
      <w:r>
        <w:rPr>
          <w:rFonts w:cstheme="minorHAnsi"/>
          <w:sz w:val="24"/>
          <w:szCs w:val="24"/>
          <w:lang w:val="el-GR"/>
        </w:rPr>
        <w:t>τις</w:t>
      </w:r>
      <w:r w:rsidRPr="00EA5E76">
        <w:rPr>
          <w:rFonts w:cstheme="minorHAnsi"/>
          <w:sz w:val="24"/>
          <w:szCs w:val="24"/>
          <w:lang w:val="el-GR"/>
        </w:rPr>
        <w:t xml:space="preserve"> </w:t>
      </w:r>
      <w:r>
        <w:rPr>
          <w:rFonts w:cstheme="minorHAnsi"/>
          <w:sz w:val="24"/>
          <w:szCs w:val="24"/>
          <w:lang w:val="el-GR"/>
        </w:rPr>
        <w:t>υποθέσεις</w:t>
      </w:r>
      <w:r w:rsidRPr="00EA5E76">
        <w:rPr>
          <w:rFonts w:cstheme="minorHAnsi"/>
          <w:sz w:val="24"/>
          <w:szCs w:val="24"/>
          <w:lang w:val="el-GR"/>
        </w:rPr>
        <w:t xml:space="preserve"> </w:t>
      </w:r>
      <w:r>
        <w:rPr>
          <w:rFonts w:cstheme="minorHAnsi"/>
          <w:sz w:val="24"/>
          <w:szCs w:val="24"/>
          <w:lang w:val="el-GR"/>
        </w:rPr>
        <w:t>που</w:t>
      </w:r>
      <w:r w:rsidRPr="00EA5E76">
        <w:rPr>
          <w:rFonts w:cstheme="minorHAnsi"/>
          <w:sz w:val="24"/>
          <w:szCs w:val="24"/>
          <w:lang w:val="el-GR"/>
        </w:rPr>
        <w:t xml:space="preserve"> </w:t>
      </w:r>
      <w:r>
        <w:rPr>
          <w:rFonts w:cstheme="minorHAnsi"/>
          <w:sz w:val="24"/>
          <w:szCs w:val="24"/>
          <w:lang w:val="el-GR"/>
        </w:rPr>
        <w:t>αφορούν</w:t>
      </w:r>
      <w:r w:rsidRPr="00EA5E76">
        <w:rPr>
          <w:rFonts w:cstheme="minorHAnsi"/>
          <w:sz w:val="24"/>
          <w:szCs w:val="24"/>
          <w:lang w:val="el-GR"/>
        </w:rPr>
        <w:t xml:space="preserve"> </w:t>
      </w:r>
      <w:r>
        <w:rPr>
          <w:rFonts w:cstheme="minorHAnsi"/>
          <w:sz w:val="24"/>
          <w:szCs w:val="24"/>
          <w:lang w:val="el-GR"/>
        </w:rPr>
        <w:t>μια</w:t>
      </w:r>
      <w:r w:rsidRPr="00EA5E76">
        <w:rPr>
          <w:rFonts w:cstheme="minorHAnsi"/>
          <w:sz w:val="24"/>
          <w:szCs w:val="24"/>
          <w:lang w:val="el-GR"/>
        </w:rPr>
        <w:t xml:space="preserve"> </w:t>
      </w:r>
      <w:r>
        <w:rPr>
          <w:rFonts w:cstheme="minorHAnsi"/>
          <w:sz w:val="24"/>
          <w:szCs w:val="24"/>
          <w:lang w:val="el-GR"/>
        </w:rPr>
        <w:t>απόφαση</w:t>
      </w:r>
      <w:r w:rsidR="00A5147D"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μια</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πράξη</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ή</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παράλειψη</w:t>
      </w:r>
      <w:r w:rsidR="00A5147D"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από</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την</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εκτελεστική</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εξουσία</w:t>
      </w:r>
      <w:r w:rsidRPr="00EA5E76">
        <w:rPr>
          <w:rFonts w:eastAsia="Times New Roman" w:cstheme="minorHAnsi"/>
          <w:sz w:val="24"/>
          <w:szCs w:val="24"/>
          <w:lang w:val="el-GR" w:eastAsia="fr-FR"/>
        </w:rPr>
        <w:t xml:space="preserve"> </w:t>
      </w:r>
      <w:r>
        <w:rPr>
          <w:rFonts w:eastAsia="Times New Roman" w:cstheme="minorHAnsi"/>
          <w:sz w:val="24"/>
          <w:szCs w:val="24"/>
          <w:lang w:val="el-GR" w:eastAsia="fr-FR"/>
        </w:rPr>
        <w:t xml:space="preserve">ή την διοίκηση </w:t>
      </w:r>
      <w:r>
        <w:rPr>
          <w:rFonts w:eastAsia="Times New Roman" w:cstheme="minorHAnsi"/>
          <w:sz w:val="24"/>
          <w:szCs w:val="24"/>
          <w:lang w:val="el-GR" w:eastAsia="fr-FR"/>
        </w:rPr>
        <w:lastRenderedPageBreak/>
        <w:t>αν είναι εναντίον του Συντάγματος</w:t>
      </w:r>
      <w:r w:rsidR="00A5147D" w:rsidRPr="00EA5E76">
        <w:rPr>
          <w:rFonts w:eastAsia="Times New Roman" w:cstheme="minorHAnsi"/>
          <w:sz w:val="24"/>
          <w:szCs w:val="24"/>
          <w:lang w:val="el-GR" w:eastAsia="fr-FR"/>
        </w:rPr>
        <w:t xml:space="preserve">, </w:t>
      </w:r>
      <w:r w:rsidR="00F91F9F">
        <w:rPr>
          <w:rFonts w:eastAsia="Times New Roman" w:cstheme="minorHAnsi"/>
          <w:sz w:val="24"/>
          <w:szCs w:val="24"/>
          <w:lang w:val="el-GR" w:eastAsia="fr-FR"/>
        </w:rPr>
        <w:t>του νόμου ή όπου το άτομο ενέργησε</w:t>
      </w:r>
      <w:r w:rsidR="00A5147D" w:rsidRPr="00EA5E76">
        <w:rPr>
          <w:rFonts w:eastAsia="Times New Roman" w:cstheme="minorHAnsi"/>
          <w:sz w:val="24"/>
          <w:szCs w:val="24"/>
          <w:lang w:val="el-GR" w:eastAsia="fr-FR"/>
        </w:rPr>
        <w:t xml:space="preserve"> </w:t>
      </w:r>
      <w:r w:rsidR="00A5147D" w:rsidRPr="00B95983">
        <w:rPr>
          <w:rFonts w:eastAsia="Times New Roman" w:cstheme="minorHAnsi"/>
          <w:i/>
          <w:iCs/>
          <w:sz w:val="24"/>
          <w:szCs w:val="24"/>
          <w:lang w:eastAsia="fr-FR"/>
        </w:rPr>
        <w:t>ultra</w:t>
      </w:r>
      <w:r w:rsidR="00A5147D" w:rsidRPr="00EA5E76">
        <w:rPr>
          <w:rFonts w:eastAsia="Times New Roman" w:cstheme="minorHAnsi"/>
          <w:i/>
          <w:iCs/>
          <w:sz w:val="24"/>
          <w:szCs w:val="24"/>
          <w:lang w:val="el-GR" w:eastAsia="fr-FR"/>
        </w:rPr>
        <w:t xml:space="preserve"> </w:t>
      </w:r>
      <w:r w:rsidR="00A5147D" w:rsidRPr="00B95983">
        <w:rPr>
          <w:rFonts w:eastAsia="Times New Roman" w:cstheme="minorHAnsi"/>
          <w:i/>
          <w:iCs/>
          <w:sz w:val="24"/>
          <w:szCs w:val="24"/>
          <w:lang w:eastAsia="fr-FR"/>
        </w:rPr>
        <w:t>vires</w:t>
      </w:r>
      <w:r w:rsidR="00A5147D" w:rsidRPr="00EA5E76">
        <w:rPr>
          <w:rFonts w:eastAsia="Times New Roman" w:cstheme="minorHAnsi"/>
          <w:i/>
          <w:iCs/>
          <w:sz w:val="24"/>
          <w:szCs w:val="24"/>
          <w:lang w:val="el-GR" w:eastAsia="fr-FR"/>
        </w:rPr>
        <w:t xml:space="preserve"> </w:t>
      </w:r>
      <w:r w:rsidR="00F91F9F">
        <w:rPr>
          <w:rFonts w:eastAsia="Times New Roman" w:cstheme="minorHAnsi"/>
          <w:sz w:val="24"/>
          <w:szCs w:val="24"/>
          <w:lang w:val="el-GR" w:eastAsia="fr-FR"/>
        </w:rPr>
        <w:t>των εξουσιών του/ης στην εκτελεστική εξουσία ή διοίκηση</w:t>
      </w:r>
      <w:r w:rsidR="00A5147D" w:rsidRPr="00EA5E76">
        <w:rPr>
          <w:rFonts w:eastAsia="Times New Roman" w:cstheme="minorHAnsi"/>
          <w:sz w:val="24"/>
          <w:szCs w:val="24"/>
          <w:lang w:val="el-GR" w:eastAsia="fr-FR"/>
        </w:rPr>
        <w:t xml:space="preserve">, </w:t>
      </w:r>
      <w:r w:rsidR="00F91F9F">
        <w:rPr>
          <w:rFonts w:eastAsia="Times New Roman" w:cstheme="minorHAnsi"/>
          <w:sz w:val="24"/>
          <w:szCs w:val="24"/>
          <w:lang w:val="el-GR" w:eastAsia="fr-FR"/>
        </w:rPr>
        <w:t>νοουμένου ότι η πράξη δεν είναι πράξη της κυβέρνησης</w:t>
      </w:r>
      <w:r w:rsidR="00A5147D" w:rsidRPr="00EA5E76">
        <w:rPr>
          <w:rFonts w:eastAsia="Times New Roman" w:cstheme="minorHAnsi"/>
          <w:sz w:val="24"/>
          <w:szCs w:val="24"/>
          <w:lang w:val="el-GR" w:eastAsia="fr-FR"/>
        </w:rPr>
        <w:t xml:space="preserve">.  </w:t>
      </w:r>
      <w:bookmarkStart w:id="91" w:name="_Hlk132888687"/>
      <w:r w:rsidR="00356A48">
        <w:rPr>
          <w:rFonts w:eastAsia="Times New Roman" w:cstheme="minorHAnsi"/>
          <w:sz w:val="24"/>
          <w:szCs w:val="24"/>
          <w:lang w:val="el-GR" w:eastAsia="fr-FR"/>
        </w:rPr>
        <w:t>Άλλοι</w:t>
      </w:r>
      <w:r w:rsidR="00356A48" w:rsidRPr="00356A48">
        <w:rPr>
          <w:rFonts w:eastAsia="Times New Roman" w:cstheme="minorHAnsi"/>
          <w:sz w:val="24"/>
          <w:szCs w:val="24"/>
          <w:lang w:val="el-GR" w:eastAsia="fr-FR"/>
        </w:rPr>
        <w:t xml:space="preserve"> </w:t>
      </w:r>
      <w:r w:rsidR="00356A48">
        <w:rPr>
          <w:rFonts w:eastAsia="Times New Roman" w:cstheme="minorHAnsi"/>
          <w:sz w:val="24"/>
          <w:szCs w:val="24"/>
          <w:lang w:val="el-GR" w:eastAsia="fr-FR"/>
        </w:rPr>
        <w:t>νόμοι</w:t>
      </w:r>
      <w:r w:rsidR="00356A48" w:rsidRPr="00356A48">
        <w:rPr>
          <w:rFonts w:eastAsia="Times New Roman" w:cstheme="minorHAnsi"/>
          <w:sz w:val="24"/>
          <w:szCs w:val="24"/>
          <w:lang w:val="el-GR" w:eastAsia="fr-FR"/>
        </w:rPr>
        <w:t xml:space="preserve"> </w:t>
      </w:r>
      <w:r w:rsidR="00356A48">
        <w:rPr>
          <w:rFonts w:eastAsia="Times New Roman" w:cstheme="minorHAnsi"/>
          <w:sz w:val="24"/>
          <w:szCs w:val="24"/>
          <w:lang w:val="el-GR" w:eastAsia="fr-FR"/>
        </w:rPr>
        <w:t>επίσης</w:t>
      </w:r>
      <w:r w:rsidR="00356A48" w:rsidRPr="00356A48">
        <w:rPr>
          <w:rFonts w:eastAsia="Times New Roman" w:cstheme="minorHAnsi"/>
          <w:sz w:val="24"/>
          <w:szCs w:val="24"/>
          <w:lang w:val="el-GR" w:eastAsia="fr-FR"/>
        </w:rPr>
        <w:t xml:space="preserve"> </w:t>
      </w:r>
      <w:r w:rsidR="00356A48">
        <w:rPr>
          <w:rFonts w:eastAsia="Times New Roman" w:cstheme="minorHAnsi"/>
          <w:sz w:val="24"/>
          <w:szCs w:val="24"/>
          <w:lang w:val="el-GR" w:eastAsia="fr-FR"/>
        </w:rPr>
        <w:t>προβλέπουν</w:t>
      </w:r>
      <w:r w:rsidR="00356A48" w:rsidRPr="00356A48">
        <w:rPr>
          <w:rFonts w:eastAsia="Times New Roman" w:cstheme="minorHAnsi"/>
          <w:sz w:val="24"/>
          <w:szCs w:val="24"/>
          <w:lang w:val="el-GR" w:eastAsia="fr-FR"/>
        </w:rPr>
        <w:t xml:space="preserve"> </w:t>
      </w:r>
      <w:r w:rsidR="00356A48">
        <w:rPr>
          <w:rFonts w:eastAsia="Times New Roman" w:cstheme="minorHAnsi"/>
          <w:sz w:val="24"/>
          <w:szCs w:val="24"/>
          <w:lang w:val="el-GR" w:eastAsia="fr-FR"/>
        </w:rPr>
        <w:t>το</w:t>
      </w:r>
      <w:r w:rsidR="00356A48" w:rsidRPr="00356A48">
        <w:rPr>
          <w:rFonts w:eastAsia="Times New Roman" w:cstheme="minorHAnsi"/>
          <w:sz w:val="24"/>
          <w:szCs w:val="24"/>
          <w:lang w:val="el-GR" w:eastAsia="fr-FR"/>
        </w:rPr>
        <w:t xml:space="preserve"> </w:t>
      </w:r>
      <w:r w:rsidR="00356A48">
        <w:rPr>
          <w:rFonts w:eastAsia="Times New Roman" w:cstheme="minorHAnsi"/>
          <w:sz w:val="24"/>
          <w:szCs w:val="24"/>
          <w:lang w:val="el-GR" w:eastAsia="fr-FR"/>
        </w:rPr>
        <w:t>δικαίωμα</w:t>
      </w:r>
      <w:r w:rsidR="00356A48" w:rsidRPr="00356A48">
        <w:rPr>
          <w:rFonts w:eastAsia="Times New Roman" w:cstheme="minorHAnsi"/>
          <w:sz w:val="24"/>
          <w:szCs w:val="24"/>
          <w:lang w:val="el-GR" w:eastAsia="fr-FR"/>
        </w:rPr>
        <w:t xml:space="preserve"> </w:t>
      </w:r>
      <w:r w:rsidR="00356A48">
        <w:rPr>
          <w:rFonts w:eastAsia="Times New Roman" w:cstheme="minorHAnsi"/>
          <w:sz w:val="24"/>
          <w:szCs w:val="24"/>
          <w:lang w:val="el-GR" w:eastAsia="fr-FR"/>
        </w:rPr>
        <w:t>για</w:t>
      </w:r>
      <w:r w:rsidR="00356A48" w:rsidRPr="00356A48">
        <w:rPr>
          <w:rFonts w:eastAsia="Times New Roman" w:cstheme="minorHAnsi"/>
          <w:sz w:val="24"/>
          <w:szCs w:val="24"/>
          <w:lang w:val="el-GR" w:eastAsia="fr-FR"/>
        </w:rPr>
        <w:t xml:space="preserve">  </w:t>
      </w:r>
      <w:r w:rsidR="00356A48">
        <w:rPr>
          <w:rFonts w:eastAsia="Times New Roman" w:cstheme="minorHAnsi"/>
          <w:sz w:val="24"/>
          <w:szCs w:val="24"/>
          <w:lang w:val="el-GR" w:eastAsia="fr-FR"/>
        </w:rPr>
        <w:t>εσωτερική</w:t>
      </w:r>
      <w:r w:rsidR="00356A48" w:rsidRPr="00356A48">
        <w:rPr>
          <w:rFonts w:eastAsia="Times New Roman" w:cstheme="minorHAnsi"/>
          <w:sz w:val="24"/>
          <w:szCs w:val="24"/>
          <w:lang w:val="el-GR" w:eastAsia="fr-FR"/>
        </w:rPr>
        <w:t xml:space="preserve"> </w:t>
      </w:r>
      <w:r w:rsidR="00356A48">
        <w:rPr>
          <w:rFonts w:eastAsia="Times New Roman" w:cstheme="minorHAnsi"/>
          <w:sz w:val="24"/>
          <w:szCs w:val="24"/>
          <w:lang w:val="el-GR" w:eastAsia="fr-FR"/>
        </w:rPr>
        <w:t>διοικητική</w:t>
      </w:r>
      <w:r w:rsidR="00356A48" w:rsidRPr="00356A48">
        <w:rPr>
          <w:rFonts w:eastAsia="Times New Roman" w:cstheme="minorHAnsi"/>
          <w:sz w:val="24"/>
          <w:szCs w:val="24"/>
          <w:lang w:val="el-GR" w:eastAsia="fr-FR"/>
        </w:rPr>
        <w:t xml:space="preserve"> </w:t>
      </w:r>
      <w:r w:rsidR="00356A48">
        <w:rPr>
          <w:rFonts w:eastAsia="Times New Roman" w:cstheme="minorHAnsi"/>
          <w:sz w:val="24"/>
          <w:szCs w:val="24"/>
          <w:lang w:val="el-GR" w:eastAsia="fr-FR"/>
        </w:rPr>
        <w:t>έφεση</w:t>
      </w:r>
      <w:r w:rsidR="00B4667D" w:rsidRPr="00356A48">
        <w:rPr>
          <w:sz w:val="24"/>
          <w:szCs w:val="24"/>
          <w:lang w:val="el-GR"/>
        </w:rPr>
        <w:t xml:space="preserve"> (</w:t>
      </w:r>
      <w:r w:rsidR="00356A48">
        <w:rPr>
          <w:i/>
          <w:iCs/>
          <w:sz w:val="24"/>
          <w:szCs w:val="24"/>
          <w:lang w:val="el-GR"/>
        </w:rPr>
        <w:t>ιεραρχική προσφυγή</w:t>
      </w:r>
      <w:r w:rsidR="00B4667D" w:rsidRPr="00356A48">
        <w:rPr>
          <w:sz w:val="24"/>
          <w:szCs w:val="24"/>
          <w:lang w:val="el-GR"/>
        </w:rPr>
        <w:t xml:space="preserve">). </w:t>
      </w:r>
      <w:r w:rsidR="00356A48">
        <w:rPr>
          <w:sz w:val="24"/>
          <w:szCs w:val="24"/>
          <w:lang w:val="el-GR"/>
        </w:rPr>
        <w:t>Επιπρόσθετα</w:t>
      </w:r>
      <w:r w:rsidR="00B4667D" w:rsidRPr="00356A48">
        <w:rPr>
          <w:rFonts w:cstheme="minorHAnsi"/>
          <w:color w:val="000000"/>
          <w:sz w:val="24"/>
          <w:szCs w:val="24"/>
          <w:lang w:val="el-GR"/>
        </w:rPr>
        <w:t xml:space="preserve">, </w:t>
      </w:r>
      <w:r w:rsidR="00356A48">
        <w:rPr>
          <w:rFonts w:cstheme="minorHAnsi"/>
          <w:color w:val="000000"/>
          <w:sz w:val="24"/>
          <w:szCs w:val="24"/>
          <w:lang w:val="el-GR"/>
        </w:rPr>
        <w:t>το</w:t>
      </w:r>
      <w:r w:rsidR="00356A48" w:rsidRPr="00356A48">
        <w:rPr>
          <w:rFonts w:cstheme="minorHAnsi"/>
          <w:color w:val="000000"/>
          <w:sz w:val="24"/>
          <w:szCs w:val="24"/>
          <w:lang w:val="el-GR"/>
        </w:rPr>
        <w:t xml:space="preserve"> </w:t>
      </w:r>
      <w:r w:rsidR="00356A48">
        <w:rPr>
          <w:rFonts w:cstheme="minorHAnsi"/>
          <w:color w:val="000000"/>
          <w:sz w:val="24"/>
          <w:szCs w:val="24"/>
          <w:lang w:val="el-GR"/>
        </w:rPr>
        <w:t>Άρθρο</w:t>
      </w:r>
      <w:r w:rsidR="00B4667D" w:rsidRPr="00356A48">
        <w:rPr>
          <w:rFonts w:cstheme="minorHAnsi"/>
          <w:color w:val="000000"/>
          <w:sz w:val="24"/>
          <w:szCs w:val="24"/>
          <w:lang w:val="el-GR"/>
        </w:rPr>
        <w:t xml:space="preserve"> 29 </w:t>
      </w:r>
      <w:r w:rsidR="00356A48">
        <w:rPr>
          <w:rFonts w:cstheme="minorHAnsi"/>
          <w:color w:val="000000"/>
          <w:sz w:val="24"/>
          <w:szCs w:val="24"/>
          <w:lang w:val="el-GR"/>
        </w:rPr>
        <w:t>του</w:t>
      </w:r>
      <w:r w:rsidR="00B4667D" w:rsidRPr="00356A48">
        <w:rPr>
          <w:rFonts w:cstheme="minorHAnsi"/>
          <w:color w:val="000000"/>
          <w:sz w:val="24"/>
          <w:szCs w:val="24"/>
          <w:lang w:val="el-GR"/>
        </w:rPr>
        <w:t xml:space="preserve"> </w:t>
      </w:r>
      <w:r w:rsidR="00356A48">
        <w:rPr>
          <w:rFonts w:cstheme="minorHAnsi"/>
          <w:color w:val="000000"/>
          <w:sz w:val="24"/>
          <w:szCs w:val="24"/>
          <w:lang w:val="el-GR"/>
        </w:rPr>
        <w:t>Συντάγματος</w:t>
      </w:r>
      <w:r w:rsidR="00356A48" w:rsidRPr="00356A48">
        <w:rPr>
          <w:rFonts w:cstheme="minorHAnsi"/>
          <w:color w:val="000000"/>
          <w:sz w:val="24"/>
          <w:szCs w:val="24"/>
          <w:lang w:val="el-GR"/>
        </w:rPr>
        <w:t xml:space="preserve"> </w:t>
      </w:r>
      <w:r w:rsidR="00356A48">
        <w:rPr>
          <w:rFonts w:cstheme="minorHAnsi"/>
          <w:color w:val="000000"/>
          <w:sz w:val="24"/>
          <w:szCs w:val="24"/>
          <w:lang w:val="el-GR"/>
        </w:rPr>
        <w:t>εξασφαλίζει</w:t>
      </w:r>
      <w:r w:rsidR="00B4667D" w:rsidRPr="00356A48">
        <w:rPr>
          <w:rFonts w:cstheme="minorHAnsi"/>
          <w:color w:val="000000"/>
          <w:sz w:val="24"/>
          <w:szCs w:val="24"/>
          <w:lang w:val="el-GR"/>
        </w:rPr>
        <w:t xml:space="preserve"> </w:t>
      </w:r>
      <w:r w:rsidR="00356A48">
        <w:rPr>
          <w:rFonts w:cstheme="minorHAnsi"/>
          <w:color w:val="000000"/>
          <w:sz w:val="24"/>
          <w:szCs w:val="24"/>
          <w:lang w:val="el-GR"/>
        </w:rPr>
        <w:t>το</w:t>
      </w:r>
      <w:r w:rsidR="00356A48" w:rsidRPr="00356A48">
        <w:rPr>
          <w:rFonts w:cstheme="minorHAnsi"/>
          <w:color w:val="000000"/>
          <w:sz w:val="24"/>
          <w:szCs w:val="24"/>
          <w:lang w:val="el-GR"/>
        </w:rPr>
        <w:t xml:space="preserve"> </w:t>
      </w:r>
      <w:r w:rsidR="00356A48">
        <w:rPr>
          <w:rFonts w:cstheme="minorHAnsi"/>
          <w:color w:val="000000"/>
          <w:sz w:val="24"/>
          <w:szCs w:val="24"/>
          <w:lang w:val="el-GR"/>
        </w:rPr>
        <w:t>δικαίωμα</w:t>
      </w:r>
      <w:r w:rsidR="00356A48" w:rsidRPr="00356A48">
        <w:rPr>
          <w:rFonts w:cstheme="minorHAnsi"/>
          <w:color w:val="000000"/>
          <w:sz w:val="24"/>
          <w:szCs w:val="24"/>
          <w:lang w:val="el-GR"/>
        </w:rPr>
        <w:t xml:space="preserve"> </w:t>
      </w:r>
      <w:r w:rsidR="00356A48">
        <w:rPr>
          <w:rFonts w:cstheme="minorHAnsi"/>
          <w:color w:val="000000"/>
          <w:sz w:val="24"/>
          <w:szCs w:val="24"/>
          <w:lang w:val="el-GR"/>
        </w:rPr>
        <w:t>των</w:t>
      </w:r>
      <w:r w:rsidR="00356A48" w:rsidRPr="00356A48">
        <w:rPr>
          <w:rFonts w:cstheme="minorHAnsi"/>
          <w:color w:val="000000"/>
          <w:sz w:val="24"/>
          <w:szCs w:val="24"/>
          <w:lang w:val="el-GR"/>
        </w:rPr>
        <w:t xml:space="preserve"> </w:t>
      </w:r>
      <w:r w:rsidR="00356A48">
        <w:rPr>
          <w:rFonts w:cstheme="minorHAnsi"/>
          <w:color w:val="000000"/>
          <w:sz w:val="24"/>
          <w:szCs w:val="24"/>
          <w:lang w:val="el-GR"/>
        </w:rPr>
        <w:t>πολιτών</w:t>
      </w:r>
      <w:r w:rsidR="00B4667D" w:rsidRPr="00356A48">
        <w:rPr>
          <w:rFonts w:cstheme="minorHAnsi"/>
          <w:color w:val="000000"/>
          <w:sz w:val="24"/>
          <w:szCs w:val="24"/>
          <w:lang w:val="el-GR"/>
        </w:rPr>
        <w:t xml:space="preserve"> </w:t>
      </w:r>
      <w:r w:rsidR="00356A48">
        <w:rPr>
          <w:rFonts w:cstheme="minorHAnsi"/>
          <w:color w:val="000000"/>
          <w:sz w:val="24"/>
          <w:szCs w:val="24"/>
          <w:lang w:val="el-GR"/>
        </w:rPr>
        <w:t>να</w:t>
      </w:r>
      <w:r w:rsidR="00356A48" w:rsidRPr="00356A48">
        <w:rPr>
          <w:rFonts w:cstheme="minorHAnsi"/>
          <w:color w:val="000000"/>
          <w:sz w:val="24"/>
          <w:szCs w:val="24"/>
          <w:lang w:val="el-GR"/>
        </w:rPr>
        <w:t xml:space="preserve"> </w:t>
      </w:r>
      <w:r w:rsidR="00356A48">
        <w:rPr>
          <w:rFonts w:cstheme="minorHAnsi"/>
          <w:color w:val="000000"/>
          <w:sz w:val="24"/>
          <w:szCs w:val="24"/>
          <w:lang w:val="el-GR"/>
        </w:rPr>
        <w:t>υποβάλουν</w:t>
      </w:r>
      <w:r w:rsidR="00356A48" w:rsidRPr="00356A48">
        <w:rPr>
          <w:rFonts w:cstheme="minorHAnsi"/>
          <w:color w:val="000000"/>
          <w:sz w:val="24"/>
          <w:szCs w:val="24"/>
          <w:lang w:val="el-GR"/>
        </w:rPr>
        <w:t xml:space="preserve"> </w:t>
      </w:r>
      <w:r w:rsidR="00356A48">
        <w:rPr>
          <w:rFonts w:cstheme="minorHAnsi"/>
          <w:color w:val="000000"/>
          <w:sz w:val="24"/>
          <w:szCs w:val="24"/>
          <w:lang w:val="el-GR"/>
        </w:rPr>
        <w:t>αιτήματα</w:t>
      </w:r>
      <w:r w:rsidR="00356A48" w:rsidRPr="00356A48">
        <w:rPr>
          <w:rFonts w:cstheme="minorHAnsi"/>
          <w:color w:val="000000"/>
          <w:sz w:val="24"/>
          <w:szCs w:val="24"/>
          <w:lang w:val="el-GR"/>
        </w:rPr>
        <w:t xml:space="preserve"> </w:t>
      </w:r>
      <w:r w:rsidR="00356A48">
        <w:rPr>
          <w:rFonts w:cstheme="minorHAnsi"/>
          <w:color w:val="000000"/>
          <w:sz w:val="24"/>
          <w:szCs w:val="24"/>
          <w:lang w:val="el-GR"/>
        </w:rPr>
        <w:t>ή παράπονα στις αρχές</w:t>
      </w:r>
      <w:r w:rsidR="00D14342" w:rsidRPr="00356A48">
        <w:rPr>
          <w:rFonts w:cstheme="minorHAnsi"/>
          <w:color w:val="000000"/>
          <w:sz w:val="24"/>
          <w:szCs w:val="24"/>
          <w:lang w:val="el-GR"/>
        </w:rPr>
        <w:t>,</w:t>
      </w:r>
      <w:r w:rsidR="00B4667D" w:rsidRPr="00356A48">
        <w:rPr>
          <w:rFonts w:cstheme="minorHAnsi"/>
          <w:color w:val="000000"/>
          <w:sz w:val="24"/>
          <w:szCs w:val="24"/>
          <w:lang w:val="el-GR"/>
        </w:rPr>
        <w:t xml:space="preserve"> </w:t>
      </w:r>
      <w:r w:rsidR="00356A48">
        <w:rPr>
          <w:rFonts w:cstheme="minorHAnsi"/>
          <w:color w:val="000000"/>
          <w:sz w:val="24"/>
          <w:szCs w:val="24"/>
          <w:lang w:val="el-GR"/>
        </w:rPr>
        <w:t>και να εξασφαλίσουν τη</w:t>
      </w:r>
      <w:r w:rsidR="005B52E4">
        <w:rPr>
          <w:rFonts w:cstheme="minorHAnsi"/>
          <w:color w:val="000000"/>
          <w:sz w:val="24"/>
          <w:szCs w:val="24"/>
          <w:lang w:val="el-GR"/>
        </w:rPr>
        <w:t xml:space="preserve"> </w:t>
      </w:r>
      <w:r w:rsidR="002243BD">
        <w:rPr>
          <w:rFonts w:cstheme="minorHAnsi"/>
          <w:color w:val="000000"/>
          <w:sz w:val="24"/>
          <w:szCs w:val="24"/>
          <w:lang w:val="el-GR"/>
        </w:rPr>
        <w:t>διεκπεραίωση</w:t>
      </w:r>
      <w:r w:rsidR="005B52E4">
        <w:rPr>
          <w:rFonts w:cstheme="minorHAnsi"/>
          <w:color w:val="000000"/>
          <w:sz w:val="24"/>
          <w:szCs w:val="24"/>
          <w:lang w:val="el-GR"/>
        </w:rPr>
        <w:t xml:space="preserve"> </w:t>
      </w:r>
      <w:r w:rsidR="00356A48">
        <w:rPr>
          <w:rFonts w:cstheme="minorHAnsi"/>
          <w:color w:val="000000"/>
          <w:sz w:val="24"/>
          <w:szCs w:val="24"/>
          <w:lang w:val="el-GR"/>
        </w:rPr>
        <w:t>τους εντός 30 ημερών</w:t>
      </w:r>
      <w:r w:rsidR="00B4667D" w:rsidRPr="00356A48">
        <w:rPr>
          <w:rFonts w:cstheme="minorHAnsi"/>
          <w:color w:val="000000"/>
          <w:sz w:val="24"/>
          <w:szCs w:val="24"/>
          <w:lang w:val="el-GR"/>
        </w:rPr>
        <w:t xml:space="preserve">. </w:t>
      </w:r>
      <w:bookmarkEnd w:id="91"/>
    </w:p>
    <w:p w14:paraId="415A9064" w14:textId="77777777" w:rsidR="00B4667D" w:rsidRPr="00356A48" w:rsidRDefault="00B4667D" w:rsidP="00A5147D">
      <w:pPr>
        <w:tabs>
          <w:tab w:val="left" w:pos="709"/>
        </w:tabs>
        <w:rPr>
          <w:rFonts w:eastAsia="Times New Roman" w:cstheme="minorHAnsi"/>
          <w:sz w:val="24"/>
          <w:szCs w:val="24"/>
          <w:lang w:val="el-GR" w:eastAsia="fr-FR"/>
        </w:rPr>
      </w:pPr>
    </w:p>
    <w:p w14:paraId="0B4EC225" w14:textId="24F70551" w:rsidR="00A5147D" w:rsidRPr="004E251E" w:rsidRDefault="00356A48" w:rsidP="00A5147D">
      <w:pPr>
        <w:tabs>
          <w:tab w:val="left" w:pos="709"/>
        </w:tabs>
        <w:rPr>
          <w:rFonts w:cstheme="minorHAnsi"/>
          <w:i/>
          <w:iCs/>
          <w:sz w:val="24"/>
          <w:szCs w:val="24"/>
          <w:u w:val="single"/>
        </w:rPr>
      </w:pPr>
      <w:r>
        <w:rPr>
          <w:rFonts w:eastAsia="Times New Roman" w:cstheme="minorHAnsi"/>
          <w:i/>
          <w:iCs/>
          <w:sz w:val="24"/>
          <w:szCs w:val="24"/>
          <w:u w:val="single"/>
          <w:lang w:val="el-GR" w:eastAsia="fr-FR"/>
        </w:rPr>
        <w:t>Βουλή</w:t>
      </w:r>
      <w:r w:rsidR="00A5147D" w:rsidRPr="004E251E">
        <w:rPr>
          <w:rFonts w:eastAsia="Times New Roman" w:cstheme="minorHAnsi"/>
          <w:i/>
          <w:iCs/>
          <w:sz w:val="24"/>
          <w:szCs w:val="24"/>
          <w:u w:val="single"/>
          <w:lang w:eastAsia="fr-FR"/>
        </w:rPr>
        <w:t xml:space="preserve"> </w:t>
      </w:r>
    </w:p>
    <w:p w14:paraId="677AB11F" w14:textId="77777777" w:rsidR="00A5147D" w:rsidRPr="004E251E" w:rsidRDefault="00A5147D" w:rsidP="00A5147D">
      <w:pPr>
        <w:rPr>
          <w:rFonts w:cstheme="minorHAnsi"/>
          <w:sz w:val="24"/>
          <w:szCs w:val="24"/>
        </w:rPr>
      </w:pPr>
    </w:p>
    <w:p w14:paraId="68E9EE7E" w14:textId="6FF0620E" w:rsidR="00A5147D" w:rsidRPr="007B2913" w:rsidRDefault="00356A48"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Στην</w:t>
      </w:r>
      <w:r w:rsidRPr="007B2913">
        <w:rPr>
          <w:rFonts w:cstheme="minorHAnsi"/>
          <w:sz w:val="24"/>
          <w:szCs w:val="24"/>
          <w:lang w:val="el-GR"/>
        </w:rPr>
        <w:t xml:space="preserve"> </w:t>
      </w:r>
      <w:r>
        <w:rPr>
          <w:rFonts w:cstheme="minorHAnsi"/>
          <w:sz w:val="24"/>
          <w:szCs w:val="24"/>
          <w:lang w:val="el-GR"/>
        </w:rPr>
        <w:t>Κύπρο</w:t>
      </w:r>
      <w:r w:rsidR="00A5147D" w:rsidRPr="007B2913">
        <w:rPr>
          <w:rFonts w:cstheme="minorHAnsi"/>
          <w:sz w:val="24"/>
          <w:szCs w:val="24"/>
          <w:lang w:val="el-GR"/>
        </w:rPr>
        <w:t xml:space="preserve">, </w:t>
      </w:r>
      <w:r>
        <w:rPr>
          <w:rFonts w:cstheme="minorHAnsi"/>
          <w:sz w:val="24"/>
          <w:szCs w:val="24"/>
          <w:lang w:val="el-GR"/>
        </w:rPr>
        <w:t>η</w:t>
      </w:r>
      <w:r w:rsidRPr="007B2913">
        <w:rPr>
          <w:rFonts w:cstheme="minorHAnsi"/>
          <w:sz w:val="24"/>
          <w:szCs w:val="24"/>
          <w:lang w:val="el-GR"/>
        </w:rPr>
        <w:t xml:space="preserve"> </w:t>
      </w:r>
      <w:r>
        <w:rPr>
          <w:rFonts w:cstheme="minorHAnsi"/>
          <w:sz w:val="24"/>
          <w:szCs w:val="24"/>
          <w:lang w:val="el-GR"/>
        </w:rPr>
        <w:t>Κυβέρνηση</w:t>
      </w:r>
      <w:r w:rsidRPr="007B2913">
        <w:rPr>
          <w:rFonts w:cstheme="minorHAnsi"/>
          <w:sz w:val="24"/>
          <w:szCs w:val="24"/>
          <w:lang w:val="el-GR"/>
        </w:rPr>
        <w:t xml:space="preserve"> </w:t>
      </w:r>
      <w:r>
        <w:rPr>
          <w:rFonts w:cstheme="minorHAnsi"/>
          <w:sz w:val="24"/>
          <w:szCs w:val="24"/>
          <w:lang w:val="el-GR"/>
        </w:rPr>
        <w:t>καθ</w:t>
      </w:r>
      <w:r w:rsidRPr="007B2913">
        <w:rPr>
          <w:rFonts w:cstheme="minorHAnsi"/>
          <w:sz w:val="24"/>
          <w:szCs w:val="24"/>
          <w:lang w:val="el-GR"/>
        </w:rPr>
        <w:t xml:space="preserve">’ </w:t>
      </w:r>
      <w:r>
        <w:rPr>
          <w:rFonts w:cstheme="minorHAnsi"/>
          <w:sz w:val="24"/>
          <w:szCs w:val="24"/>
          <w:lang w:val="el-GR"/>
        </w:rPr>
        <w:t>αυτή</w:t>
      </w:r>
      <w:r w:rsidR="00A5147D" w:rsidRPr="007B2913">
        <w:rPr>
          <w:rFonts w:cstheme="minorHAnsi"/>
          <w:sz w:val="24"/>
          <w:szCs w:val="24"/>
          <w:lang w:val="el-GR"/>
        </w:rPr>
        <w:t xml:space="preserve">, </w:t>
      </w:r>
      <w:r>
        <w:rPr>
          <w:rFonts w:cstheme="minorHAnsi"/>
          <w:sz w:val="24"/>
          <w:szCs w:val="24"/>
          <w:lang w:val="el-GR"/>
        </w:rPr>
        <w:t>δεν</w:t>
      </w:r>
      <w:r w:rsidRPr="007B2913">
        <w:rPr>
          <w:rFonts w:cstheme="minorHAnsi"/>
          <w:sz w:val="24"/>
          <w:szCs w:val="24"/>
          <w:lang w:val="el-GR"/>
        </w:rPr>
        <w:t xml:space="preserve"> </w:t>
      </w:r>
      <w:r w:rsidR="002243BD">
        <w:rPr>
          <w:rFonts w:cstheme="minorHAnsi"/>
          <w:sz w:val="24"/>
          <w:szCs w:val="24"/>
          <w:lang w:val="el-GR"/>
        </w:rPr>
        <w:t xml:space="preserve">είναι </w:t>
      </w:r>
      <w:proofErr w:type="spellStart"/>
      <w:r w:rsidR="002243BD">
        <w:rPr>
          <w:rFonts w:cstheme="minorHAnsi"/>
          <w:sz w:val="24"/>
          <w:szCs w:val="24"/>
          <w:lang w:val="el-GR"/>
        </w:rPr>
        <w:t>υπόλογη</w:t>
      </w:r>
      <w:proofErr w:type="spellEnd"/>
      <w:r w:rsidR="002243BD">
        <w:rPr>
          <w:rFonts w:cstheme="minorHAnsi"/>
          <w:sz w:val="24"/>
          <w:szCs w:val="24"/>
          <w:lang w:val="el-GR"/>
        </w:rPr>
        <w:t xml:space="preserve"> </w:t>
      </w:r>
      <w:r>
        <w:rPr>
          <w:rFonts w:cstheme="minorHAnsi"/>
          <w:sz w:val="24"/>
          <w:szCs w:val="24"/>
          <w:lang w:val="el-GR"/>
        </w:rPr>
        <w:t>στη</w:t>
      </w:r>
      <w:r w:rsidRPr="007B2913">
        <w:rPr>
          <w:rFonts w:cstheme="minorHAnsi"/>
          <w:sz w:val="24"/>
          <w:szCs w:val="24"/>
          <w:lang w:val="el-GR"/>
        </w:rPr>
        <w:t xml:space="preserve"> </w:t>
      </w:r>
      <w:r>
        <w:rPr>
          <w:rFonts w:cstheme="minorHAnsi"/>
          <w:sz w:val="24"/>
          <w:szCs w:val="24"/>
          <w:lang w:val="el-GR"/>
        </w:rPr>
        <w:t>Βουλή</w:t>
      </w:r>
      <w:r w:rsidRPr="007B2913">
        <w:rPr>
          <w:rFonts w:cstheme="minorHAnsi"/>
          <w:sz w:val="24"/>
          <w:szCs w:val="24"/>
          <w:lang w:val="el-GR"/>
        </w:rPr>
        <w:t xml:space="preserve">, </w:t>
      </w:r>
      <w:r>
        <w:rPr>
          <w:rFonts w:cstheme="minorHAnsi"/>
          <w:sz w:val="24"/>
          <w:szCs w:val="24"/>
          <w:lang w:val="el-GR"/>
        </w:rPr>
        <w:t>δηλαδή</w:t>
      </w:r>
      <w:r w:rsidR="007B2913" w:rsidRPr="007B2913">
        <w:rPr>
          <w:rFonts w:cstheme="minorHAnsi"/>
          <w:sz w:val="24"/>
          <w:szCs w:val="24"/>
          <w:lang w:val="el-GR"/>
        </w:rPr>
        <w:t xml:space="preserve"> </w:t>
      </w:r>
      <w:r w:rsidR="007B2913">
        <w:rPr>
          <w:rFonts w:cstheme="minorHAnsi"/>
          <w:sz w:val="24"/>
          <w:szCs w:val="24"/>
          <w:lang w:val="el-GR"/>
        </w:rPr>
        <w:t>δεν</w:t>
      </w:r>
      <w:r w:rsidR="007B2913" w:rsidRPr="007B2913">
        <w:rPr>
          <w:rFonts w:cstheme="minorHAnsi"/>
          <w:sz w:val="24"/>
          <w:szCs w:val="24"/>
          <w:lang w:val="el-GR"/>
        </w:rPr>
        <w:t xml:space="preserve"> </w:t>
      </w:r>
      <w:r w:rsidR="007B2913">
        <w:rPr>
          <w:rFonts w:cstheme="minorHAnsi"/>
          <w:sz w:val="24"/>
          <w:szCs w:val="24"/>
          <w:lang w:val="el-GR"/>
        </w:rPr>
        <w:t>υπάρχει</w:t>
      </w:r>
      <w:r w:rsidR="007B2913" w:rsidRPr="007B2913">
        <w:rPr>
          <w:rFonts w:cstheme="minorHAnsi"/>
          <w:sz w:val="24"/>
          <w:szCs w:val="24"/>
          <w:lang w:val="el-GR"/>
        </w:rPr>
        <w:t xml:space="preserve"> </w:t>
      </w:r>
      <w:r w:rsidR="007B2913">
        <w:rPr>
          <w:rFonts w:cstheme="minorHAnsi"/>
          <w:sz w:val="24"/>
          <w:szCs w:val="24"/>
          <w:lang w:val="el-GR"/>
        </w:rPr>
        <w:t>ψήφο</w:t>
      </w:r>
      <w:r w:rsidR="005B52E4">
        <w:rPr>
          <w:rFonts w:cstheme="minorHAnsi"/>
          <w:sz w:val="24"/>
          <w:szCs w:val="24"/>
          <w:lang w:val="el-GR"/>
        </w:rPr>
        <w:t>ς</w:t>
      </w:r>
      <w:r w:rsidR="007B2913" w:rsidRPr="007B2913">
        <w:rPr>
          <w:rFonts w:cstheme="minorHAnsi"/>
          <w:sz w:val="24"/>
          <w:szCs w:val="24"/>
          <w:lang w:val="el-GR"/>
        </w:rPr>
        <w:t xml:space="preserve"> </w:t>
      </w:r>
      <w:r w:rsidR="007B2913">
        <w:rPr>
          <w:rFonts w:cstheme="minorHAnsi"/>
          <w:sz w:val="24"/>
          <w:szCs w:val="24"/>
          <w:lang w:val="el-GR"/>
        </w:rPr>
        <w:t>εμπιστοσύνης</w:t>
      </w:r>
      <w:r w:rsidR="007B2913" w:rsidRPr="007B2913">
        <w:rPr>
          <w:rFonts w:cstheme="minorHAnsi"/>
          <w:sz w:val="24"/>
          <w:szCs w:val="24"/>
          <w:lang w:val="el-GR"/>
        </w:rPr>
        <w:t xml:space="preserve"> </w:t>
      </w:r>
      <w:r w:rsidR="007B2913">
        <w:rPr>
          <w:rFonts w:cstheme="minorHAnsi"/>
          <w:sz w:val="24"/>
          <w:szCs w:val="24"/>
          <w:lang w:val="el-GR"/>
        </w:rPr>
        <w:t>για</w:t>
      </w:r>
      <w:r w:rsidR="007B2913" w:rsidRPr="007B2913">
        <w:rPr>
          <w:rFonts w:cstheme="minorHAnsi"/>
          <w:sz w:val="24"/>
          <w:szCs w:val="24"/>
          <w:lang w:val="el-GR"/>
        </w:rPr>
        <w:t xml:space="preserve"> </w:t>
      </w:r>
      <w:r w:rsidR="007B2913">
        <w:rPr>
          <w:rFonts w:cstheme="minorHAnsi"/>
          <w:sz w:val="24"/>
          <w:szCs w:val="24"/>
          <w:lang w:val="el-GR"/>
        </w:rPr>
        <w:t>Κυβερνητικά προγράμματα</w:t>
      </w:r>
      <w:r w:rsidR="003C67BE" w:rsidRPr="007B2913">
        <w:rPr>
          <w:rFonts w:cstheme="minorHAnsi"/>
          <w:sz w:val="24"/>
          <w:szCs w:val="24"/>
          <w:lang w:val="el-GR"/>
        </w:rPr>
        <w:t>.</w:t>
      </w:r>
      <w:r w:rsidR="00A5147D" w:rsidRPr="007B2913">
        <w:rPr>
          <w:rFonts w:cstheme="minorHAnsi"/>
          <w:sz w:val="24"/>
          <w:szCs w:val="24"/>
          <w:lang w:val="el-GR"/>
        </w:rPr>
        <w:t xml:space="preserve"> </w:t>
      </w:r>
      <w:bookmarkStart w:id="92" w:name="_Hlk124861530"/>
      <w:r w:rsidR="007B2913">
        <w:rPr>
          <w:rFonts w:cstheme="minorHAnsi"/>
          <w:sz w:val="24"/>
          <w:szCs w:val="24"/>
          <w:lang w:val="el-GR"/>
        </w:rPr>
        <w:t>Ωστόσο</w:t>
      </w:r>
      <w:r w:rsidR="00A5147D" w:rsidRPr="007B2913">
        <w:rPr>
          <w:rFonts w:cstheme="minorHAnsi"/>
          <w:sz w:val="24"/>
          <w:szCs w:val="24"/>
          <w:lang w:val="el-GR"/>
        </w:rPr>
        <w:t xml:space="preserve">, </w:t>
      </w:r>
      <w:r w:rsidR="002243BD">
        <w:rPr>
          <w:rFonts w:cstheme="minorHAnsi"/>
          <w:sz w:val="24"/>
          <w:szCs w:val="24"/>
          <w:lang w:val="el-GR"/>
        </w:rPr>
        <w:t xml:space="preserve">διενεργείται </w:t>
      </w:r>
      <w:r w:rsidR="007B2913">
        <w:rPr>
          <w:rFonts w:cstheme="minorHAnsi"/>
          <w:sz w:val="24"/>
          <w:szCs w:val="24"/>
          <w:lang w:val="el-GR"/>
        </w:rPr>
        <w:t>συνεχή</w:t>
      </w:r>
      <w:r w:rsidR="002243BD">
        <w:rPr>
          <w:rFonts w:cstheme="minorHAnsi"/>
          <w:sz w:val="24"/>
          <w:szCs w:val="24"/>
          <w:lang w:val="el-GR"/>
        </w:rPr>
        <w:t>ς</w:t>
      </w:r>
      <w:r w:rsidR="007B2913" w:rsidRPr="007B2913">
        <w:rPr>
          <w:rFonts w:cstheme="minorHAnsi"/>
          <w:sz w:val="24"/>
          <w:szCs w:val="24"/>
          <w:lang w:val="el-GR"/>
        </w:rPr>
        <w:t xml:space="preserve"> </w:t>
      </w:r>
      <w:r w:rsidR="007B2913">
        <w:rPr>
          <w:rFonts w:cstheme="minorHAnsi"/>
          <w:sz w:val="24"/>
          <w:szCs w:val="24"/>
          <w:lang w:val="el-GR"/>
        </w:rPr>
        <w:t>κοινοβουλευτικ</w:t>
      </w:r>
      <w:r w:rsidR="002243BD">
        <w:rPr>
          <w:rFonts w:cstheme="minorHAnsi"/>
          <w:sz w:val="24"/>
          <w:szCs w:val="24"/>
          <w:lang w:val="el-GR"/>
        </w:rPr>
        <w:t>ός</w:t>
      </w:r>
      <w:r w:rsidR="007B2913" w:rsidRPr="007B2913">
        <w:rPr>
          <w:rFonts w:cstheme="minorHAnsi"/>
          <w:sz w:val="24"/>
          <w:szCs w:val="24"/>
          <w:lang w:val="el-GR"/>
        </w:rPr>
        <w:t xml:space="preserve"> </w:t>
      </w:r>
      <w:r w:rsidR="002243BD">
        <w:rPr>
          <w:rFonts w:cstheme="minorHAnsi"/>
          <w:sz w:val="24"/>
          <w:szCs w:val="24"/>
          <w:lang w:val="el-GR"/>
        </w:rPr>
        <w:t xml:space="preserve">έλεγχος </w:t>
      </w:r>
      <w:r w:rsidR="007B2913">
        <w:rPr>
          <w:rFonts w:cstheme="minorHAnsi"/>
          <w:sz w:val="24"/>
          <w:szCs w:val="24"/>
          <w:lang w:val="el-GR"/>
        </w:rPr>
        <w:t>πάνω</w:t>
      </w:r>
      <w:r w:rsidR="007B2913" w:rsidRPr="007B2913">
        <w:rPr>
          <w:rFonts w:cstheme="minorHAnsi"/>
          <w:sz w:val="24"/>
          <w:szCs w:val="24"/>
          <w:lang w:val="el-GR"/>
        </w:rPr>
        <w:t xml:space="preserve"> </w:t>
      </w:r>
      <w:r w:rsidR="007B2913">
        <w:rPr>
          <w:rFonts w:cstheme="minorHAnsi"/>
          <w:sz w:val="24"/>
          <w:szCs w:val="24"/>
          <w:lang w:val="el-GR"/>
        </w:rPr>
        <w:t>σε</w:t>
      </w:r>
      <w:r w:rsidR="007B2913" w:rsidRPr="007B2913">
        <w:rPr>
          <w:rFonts w:cstheme="minorHAnsi"/>
          <w:sz w:val="24"/>
          <w:szCs w:val="24"/>
          <w:lang w:val="el-GR"/>
        </w:rPr>
        <w:t xml:space="preserve"> </w:t>
      </w:r>
      <w:r w:rsidR="007B2913">
        <w:rPr>
          <w:rFonts w:cstheme="minorHAnsi"/>
          <w:sz w:val="24"/>
          <w:szCs w:val="24"/>
          <w:lang w:val="el-GR"/>
        </w:rPr>
        <w:t>κυβερνητικές</w:t>
      </w:r>
      <w:r w:rsidR="007B2913" w:rsidRPr="007B2913">
        <w:rPr>
          <w:rFonts w:cstheme="minorHAnsi"/>
          <w:sz w:val="24"/>
          <w:szCs w:val="24"/>
          <w:lang w:val="el-GR"/>
        </w:rPr>
        <w:t xml:space="preserve"> </w:t>
      </w:r>
      <w:r w:rsidR="007B2913">
        <w:rPr>
          <w:rFonts w:cstheme="minorHAnsi"/>
          <w:sz w:val="24"/>
          <w:szCs w:val="24"/>
          <w:lang w:val="el-GR"/>
        </w:rPr>
        <w:t>πολιτικές</w:t>
      </w:r>
      <w:r w:rsidR="00A5147D" w:rsidRPr="007B2913">
        <w:rPr>
          <w:rFonts w:cstheme="minorHAnsi"/>
          <w:sz w:val="24"/>
          <w:szCs w:val="24"/>
          <w:lang w:val="el-GR"/>
        </w:rPr>
        <w:t xml:space="preserve">: </w:t>
      </w:r>
      <w:r w:rsidR="00A5147D" w:rsidRPr="007B2913">
        <w:rPr>
          <w:rFonts w:eastAsia="Times New Roman" w:cstheme="minorHAnsi"/>
          <w:sz w:val="24"/>
          <w:szCs w:val="24"/>
          <w:lang w:val="el-GR" w:eastAsia="fr-FR"/>
        </w:rPr>
        <w:t>(</w:t>
      </w:r>
      <w:r w:rsidR="007B2913">
        <w:rPr>
          <w:rFonts w:eastAsia="Times New Roman" w:cstheme="minorHAnsi"/>
          <w:sz w:val="24"/>
          <w:szCs w:val="24"/>
          <w:lang w:val="el-GR" w:eastAsia="fr-FR"/>
        </w:rPr>
        <w:t>α</w:t>
      </w:r>
      <w:r w:rsidR="00A5147D"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με</w:t>
      </w:r>
      <w:r w:rsidR="007B2913"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λεπτομερή</w:t>
      </w:r>
      <w:r w:rsidR="007B2913"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έλεγχο</w:t>
      </w:r>
      <w:r w:rsidR="007B2913"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όλων</w:t>
      </w:r>
      <w:r w:rsidR="007B2913"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των</w:t>
      </w:r>
      <w:r w:rsidR="007B2913"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νομοσχεδίων</w:t>
      </w:r>
      <w:r w:rsidR="00A5147D"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προτού</w:t>
      </w:r>
      <w:r w:rsidR="007B2913"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θεσπισθούν</w:t>
      </w:r>
      <w:r w:rsidR="00A5147D" w:rsidRPr="007B2913">
        <w:rPr>
          <w:rFonts w:eastAsia="Times New Roman" w:cstheme="minorHAnsi"/>
          <w:sz w:val="24"/>
          <w:szCs w:val="24"/>
          <w:lang w:val="el-GR" w:eastAsia="fr-FR"/>
        </w:rPr>
        <w:t xml:space="preserve"> (</w:t>
      </w:r>
      <w:r w:rsidR="00450E75">
        <w:rPr>
          <w:rFonts w:eastAsia="Times New Roman" w:cstheme="minorHAnsi"/>
          <w:sz w:val="24"/>
          <w:szCs w:val="24"/>
          <w:lang w:val="el-GR" w:eastAsia="fr-FR"/>
        </w:rPr>
        <w:t xml:space="preserve">πρωτογενής </w:t>
      </w:r>
      <w:r w:rsidR="007B2913">
        <w:rPr>
          <w:rFonts w:eastAsia="Times New Roman" w:cstheme="minorHAnsi"/>
          <w:sz w:val="24"/>
          <w:szCs w:val="24"/>
          <w:lang w:val="el-GR" w:eastAsia="fr-FR"/>
        </w:rPr>
        <w:t>και</w:t>
      </w:r>
      <w:r w:rsidR="00450E75">
        <w:rPr>
          <w:rFonts w:eastAsia="Times New Roman" w:cstheme="minorHAnsi"/>
          <w:sz w:val="24"/>
          <w:szCs w:val="24"/>
          <w:lang w:val="el-GR" w:eastAsia="fr-FR"/>
        </w:rPr>
        <w:t xml:space="preserve"> δευτερογενής</w:t>
      </w:r>
      <w:r w:rsidR="00A5147D"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ειδικά τον νόμο για τον ετήσιο κρατικό προϋπολογισμό</w:t>
      </w:r>
      <w:r w:rsidR="00A5147D" w:rsidRPr="004E251E">
        <w:rPr>
          <w:rStyle w:val="FootnoteReference"/>
          <w:rFonts w:eastAsia="Times New Roman" w:cstheme="minorHAnsi"/>
          <w:sz w:val="24"/>
          <w:szCs w:val="24"/>
          <w:lang w:eastAsia="fr-FR"/>
        </w:rPr>
        <w:footnoteReference w:id="43"/>
      </w:r>
      <w:r w:rsidR="00A5147D" w:rsidRPr="007B2913">
        <w:rPr>
          <w:rFonts w:eastAsia="Times New Roman" w:cstheme="minorHAnsi"/>
          <w:sz w:val="24"/>
          <w:szCs w:val="24"/>
          <w:lang w:val="el-GR" w:eastAsia="fr-FR"/>
        </w:rPr>
        <w:t>; (</w:t>
      </w:r>
      <w:r w:rsidR="007B2913">
        <w:rPr>
          <w:rFonts w:eastAsia="Times New Roman" w:cstheme="minorHAnsi"/>
          <w:sz w:val="24"/>
          <w:szCs w:val="24"/>
          <w:lang w:val="el-GR" w:eastAsia="fr-FR"/>
        </w:rPr>
        <w:t>β</w:t>
      </w:r>
      <w:r w:rsidR="00A5147D"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εξετάζοντας θέματα</w:t>
      </w:r>
      <w:r w:rsidR="00A5147D"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που τα μέλη της Βουλής εγγράφουν για συζήτηση</w:t>
      </w:r>
      <w:r w:rsidR="00A5147D"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στις κοινοβουλευτικές επιτροπές</w:t>
      </w:r>
      <w:r w:rsidR="00A5147D"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και</w:t>
      </w:r>
      <w:r w:rsidR="00A5147D" w:rsidRPr="007B2913">
        <w:rPr>
          <w:rFonts w:eastAsia="Times New Roman" w:cstheme="minorHAnsi"/>
          <w:sz w:val="24"/>
          <w:szCs w:val="24"/>
          <w:lang w:val="el-GR" w:eastAsia="fr-FR"/>
        </w:rPr>
        <w:t>/</w:t>
      </w:r>
      <w:r w:rsidR="007B2913">
        <w:rPr>
          <w:rFonts w:eastAsia="Times New Roman" w:cstheme="minorHAnsi"/>
          <w:sz w:val="24"/>
          <w:szCs w:val="24"/>
          <w:lang w:val="el-GR" w:eastAsia="fr-FR"/>
        </w:rPr>
        <w:t>ή</w:t>
      </w:r>
      <w:r w:rsidR="00A5147D"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από την ολομέλεια της Βουλής,</w:t>
      </w:r>
      <w:r w:rsidR="00A5147D"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και</w:t>
      </w:r>
      <w:r w:rsidR="00A5147D"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γ</w:t>
      </w:r>
      <w:r w:rsidR="00A5147D"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υποβάλλοντας ερωτήσεις σε υπουργούς</w:t>
      </w:r>
      <w:r w:rsidR="00A5147D"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Επιπλέον</w:t>
      </w:r>
      <w:r w:rsidR="00A5147D"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ετήσιες</w:t>
      </w:r>
      <w:r w:rsidR="007B2913"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εκθέσεις</w:t>
      </w:r>
      <w:r w:rsidR="007B2913"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υποβάλλονται</w:t>
      </w:r>
      <w:r w:rsidR="00A5147D"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από</w:t>
      </w:r>
      <w:r w:rsidR="00A5147D"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μεμονωμένα</w:t>
      </w:r>
      <w:r w:rsidR="007B2913"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υπουργεία</w:t>
      </w:r>
      <w:r w:rsidR="00A5147D"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και</w:t>
      </w:r>
      <w:r w:rsidR="00A5147D" w:rsidRPr="007B2913">
        <w:rPr>
          <w:rFonts w:eastAsia="Times New Roman" w:cstheme="minorHAnsi"/>
          <w:sz w:val="24"/>
          <w:szCs w:val="24"/>
          <w:lang w:val="el-GR" w:eastAsia="fr-FR"/>
        </w:rPr>
        <w:t xml:space="preserve"> </w:t>
      </w:r>
      <w:bookmarkStart w:id="93" w:name="_Hlk124861538"/>
      <w:bookmarkEnd w:id="92"/>
      <w:r w:rsidR="007B2913">
        <w:rPr>
          <w:rFonts w:eastAsia="Times New Roman" w:cstheme="minorHAnsi"/>
          <w:sz w:val="24"/>
          <w:szCs w:val="24"/>
          <w:lang w:val="el-GR" w:eastAsia="fr-FR"/>
        </w:rPr>
        <w:t>κυβερνητικά τμήματα</w:t>
      </w:r>
      <w:r w:rsidR="00A5147D" w:rsidRPr="007B2913">
        <w:rPr>
          <w:rFonts w:eastAsia="Times New Roman" w:cstheme="minorHAnsi"/>
          <w:sz w:val="24"/>
          <w:szCs w:val="24"/>
          <w:lang w:val="el-GR" w:eastAsia="fr-FR"/>
        </w:rPr>
        <w:t xml:space="preserve"> </w:t>
      </w:r>
      <w:r w:rsidR="007B2913">
        <w:rPr>
          <w:rFonts w:eastAsia="Times New Roman" w:cstheme="minorHAnsi"/>
          <w:sz w:val="24"/>
          <w:szCs w:val="24"/>
          <w:lang w:val="el-GR" w:eastAsia="fr-FR"/>
        </w:rPr>
        <w:t>καθώς επίσης και</w:t>
      </w:r>
      <w:r w:rsidR="00A5147D" w:rsidRPr="007B2913">
        <w:rPr>
          <w:rFonts w:eastAsia="Times New Roman" w:cstheme="minorHAnsi"/>
          <w:sz w:val="24"/>
          <w:szCs w:val="24"/>
          <w:lang w:val="el-GR" w:eastAsia="fr-FR"/>
        </w:rPr>
        <w:t xml:space="preserve"> </w:t>
      </w:r>
      <w:proofErr w:type="spellStart"/>
      <w:r w:rsidR="00AB11D9">
        <w:rPr>
          <w:rFonts w:eastAsia="Times New Roman" w:cstheme="minorHAnsi"/>
          <w:sz w:val="24"/>
          <w:szCs w:val="24"/>
          <w:lang w:val="el-GR" w:eastAsia="fr-FR"/>
        </w:rPr>
        <w:t>η</w:t>
      </w:r>
      <w:r w:rsidR="00450E75">
        <w:rPr>
          <w:rFonts w:eastAsia="Times New Roman" w:cstheme="minorHAnsi"/>
          <w:sz w:val="24"/>
          <w:szCs w:val="24"/>
          <w:lang w:val="el-GR" w:eastAsia="fr-FR"/>
        </w:rPr>
        <w:t>μικρατικούς</w:t>
      </w:r>
      <w:proofErr w:type="spellEnd"/>
      <w:r w:rsidR="00450E75">
        <w:rPr>
          <w:rFonts w:eastAsia="Times New Roman" w:cstheme="minorHAnsi"/>
          <w:sz w:val="24"/>
          <w:szCs w:val="24"/>
          <w:lang w:val="el-GR" w:eastAsia="fr-FR"/>
        </w:rPr>
        <w:t xml:space="preserve"> οργανισμούς</w:t>
      </w:r>
      <w:r w:rsidR="00A5147D" w:rsidRPr="007B2913">
        <w:rPr>
          <w:rFonts w:eastAsia="Times New Roman" w:cstheme="minorHAnsi"/>
          <w:sz w:val="24"/>
          <w:szCs w:val="24"/>
          <w:lang w:val="el-GR" w:eastAsia="fr-FR"/>
        </w:rPr>
        <w:t xml:space="preserve">, </w:t>
      </w:r>
      <w:r w:rsidR="00AB11D9">
        <w:rPr>
          <w:rFonts w:eastAsia="Times New Roman" w:cstheme="minorHAnsi"/>
          <w:sz w:val="24"/>
          <w:szCs w:val="24"/>
          <w:lang w:val="el-GR" w:eastAsia="fr-FR"/>
        </w:rPr>
        <w:t>προς πληροφόρηση της Βουλής</w:t>
      </w:r>
      <w:r w:rsidR="00A5147D" w:rsidRPr="007B2913">
        <w:rPr>
          <w:rFonts w:eastAsia="Times New Roman" w:cstheme="minorHAnsi"/>
          <w:sz w:val="24"/>
          <w:szCs w:val="24"/>
          <w:lang w:val="el-GR" w:eastAsia="fr-FR"/>
        </w:rPr>
        <w:t xml:space="preserve">.  </w:t>
      </w:r>
      <w:bookmarkEnd w:id="93"/>
    </w:p>
    <w:p w14:paraId="716F37C1" w14:textId="77777777" w:rsidR="00A5147D" w:rsidRPr="007B2913" w:rsidRDefault="00A5147D" w:rsidP="00A5147D">
      <w:pPr>
        <w:rPr>
          <w:rFonts w:cstheme="minorHAnsi"/>
          <w:sz w:val="24"/>
          <w:szCs w:val="24"/>
          <w:lang w:val="el-GR"/>
        </w:rPr>
      </w:pPr>
    </w:p>
    <w:p w14:paraId="52BADB1A" w14:textId="395E4422" w:rsidR="00A5147D" w:rsidRPr="00AB11D9" w:rsidRDefault="00AB11D9" w:rsidP="00A5147D">
      <w:pPr>
        <w:numPr>
          <w:ilvl w:val="0"/>
          <w:numId w:val="1"/>
        </w:numPr>
        <w:tabs>
          <w:tab w:val="clear" w:pos="6095"/>
          <w:tab w:val="left" w:pos="709"/>
        </w:tabs>
        <w:ind w:left="0" w:firstLine="0"/>
        <w:contextualSpacing/>
        <w:rPr>
          <w:rFonts w:eastAsia="Calibri" w:cstheme="minorHAnsi"/>
          <w:bCs/>
          <w:sz w:val="24"/>
          <w:szCs w:val="24"/>
          <w:lang w:val="el-GR"/>
        </w:rPr>
      </w:pPr>
      <w:r>
        <w:rPr>
          <w:rFonts w:cstheme="minorHAnsi"/>
          <w:sz w:val="24"/>
          <w:szCs w:val="24"/>
          <w:lang w:val="el-GR"/>
        </w:rPr>
        <w:t>Οι</w:t>
      </w:r>
      <w:r w:rsidRPr="00AB11D9">
        <w:rPr>
          <w:rFonts w:cstheme="minorHAnsi"/>
          <w:sz w:val="24"/>
          <w:szCs w:val="24"/>
          <w:lang w:val="el-GR"/>
        </w:rPr>
        <w:t xml:space="preserve"> </w:t>
      </w:r>
      <w:r>
        <w:rPr>
          <w:rFonts w:cstheme="minorHAnsi"/>
          <w:sz w:val="24"/>
          <w:szCs w:val="24"/>
          <w:lang w:val="el-GR"/>
        </w:rPr>
        <w:t>θεσμοί</w:t>
      </w:r>
      <w:r w:rsidRPr="00AB11D9">
        <w:rPr>
          <w:rFonts w:cstheme="minorHAnsi"/>
          <w:sz w:val="24"/>
          <w:szCs w:val="24"/>
          <w:lang w:val="el-GR"/>
        </w:rPr>
        <w:t xml:space="preserve"> </w:t>
      </w:r>
      <w:r>
        <w:rPr>
          <w:rFonts w:cstheme="minorHAnsi"/>
          <w:sz w:val="24"/>
          <w:szCs w:val="24"/>
          <w:lang w:val="el-GR"/>
        </w:rPr>
        <w:t>και</w:t>
      </w:r>
      <w:r w:rsidRPr="00AB11D9">
        <w:rPr>
          <w:rFonts w:cstheme="minorHAnsi"/>
          <w:sz w:val="24"/>
          <w:szCs w:val="24"/>
          <w:lang w:val="el-GR"/>
        </w:rPr>
        <w:t xml:space="preserve"> </w:t>
      </w:r>
      <w:r>
        <w:rPr>
          <w:rFonts w:cstheme="minorHAnsi"/>
          <w:sz w:val="24"/>
          <w:szCs w:val="24"/>
          <w:lang w:val="el-GR"/>
        </w:rPr>
        <w:t>τα</w:t>
      </w:r>
      <w:r w:rsidRPr="00AB11D9">
        <w:rPr>
          <w:rFonts w:cstheme="minorHAnsi"/>
          <w:sz w:val="24"/>
          <w:szCs w:val="24"/>
          <w:lang w:val="el-GR"/>
        </w:rPr>
        <w:t xml:space="preserve"> </w:t>
      </w:r>
      <w:r>
        <w:rPr>
          <w:rFonts w:cstheme="minorHAnsi"/>
          <w:sz w:val="24"/>
          <w:szCs w:val="24"/>
          <w:lang w:val="el-GR"/>
        </w:rPr>
        <w:t>εί</w:t>
      </w:r>
      <w:r w:rsidR="000C65D6">
        <w:rPr>
          <w:rFonts w:cstheme="minorHAnsi"/>
          <w:sz w:val="24"/>
          <w:szCs w:val="24"/>
          <w:lang w:val="el-GR"/>
        </w:rPr>
        <w:t>δ</w:t>
      </w:r>
      <w:r>
        <w:rPr>
          <w:rFonts w:cstheme="minorHAnsi"/>
          <w:sz w:val="24"/>
          <w:szCs w:val="24"/>
          <w:lang w:val="el-GR"/>
        </w:rPr>
        <w:t>η</w:t>
      </w:r>
      <w:r w:rsidRPr="00AB11D9">
        <w:rPr>
          <w:rFonts w:cstheme="minorHAnsi"/>
          <w:sz w:val="24"/>
          <w:szCs w:val="24"/>
          <w:lang w:val="el-GR"/>
        </w:rPr>
        <w:t xml:space="preserve"> </w:t>
      </w:r>
      <w:r>
        <w:rPr>
          <w:rFonts w:cstheme="minorHAnsi"/>
          <w:sz w:val="24"/>
          <w:szCs w:val="24"/>
          <w:lang w:val="el-GR"/>
        </w:rPr>
        <w:t>των</w:t>
      </w:r>
      <w:r w:rsidRPr="00AB11D9">
        <w:rPr>
          <w:rFonts w:cstheme="minorHAnsi"/>
          <w:sz w:val="24"/>
          <w:szCs w:val="24"/>
          <w:lang w:val="el-GR"/>
        </w:rPr>
        <w:t xml:space="preserve"> </w:t>
      </w:r>
      <w:r>
        <w:rPr>
          <w:rFonts w:cstheme="minorHAnsi"/>
          <w:sz w:val="24"/>
          <w:szCs w:val="24"/>
          <w:lang w:val="el-GR"/>
        </w:rPr>
        <w:t>κοινοβουλευτικών</w:t>
      </w:r>
      <w:r w:rsidRPr="00AB11D9">
        <w:rPr>
          <w:rFonts w:cstheme="minorHAnsi"/>
          <w:sz w:val="24"/>
          <w:szCs w:val="24"/>
          <w:lang w:val="el-GR"/>
        </w:rPr>
        <w:t xml:space="preserve"> </w:t>
      </w:r>
      <w:r>
        <w:rPr>
          <w:rFonts w:cstheme="minorHAnsi"/>
          <w:sz w:val="24"/>
          <w:szCs w:val="24"/>
          <w:lang w:val="el-GR"/>
        </w:rPr>
        <w:t>επιτροπών</w:t>
      </w:r>
      <w:r w:rsidR="00A5147D" w:rsidRPr="00AB11D9">
        <w:rPr>
          <w:rFonts w:cstheme="minorHAnsi"/>
          <w:sz w:val="24"/>
          <w:szCs w:val="24"/>
          <w:lang w:val="el-GR"/>
        </w:rPr>
        <w:t xml:space="preserve"> </w:t>
      </w:r>
      <w:r>
        <w:rPr>
          <w:rFonts w:cstheme="minorHAnsi"/>
          <w:sz w:val="24"/>
          <w:szCs w:val="24"/>
          <w:lang w:val="el-GR"/>
        </w:rPr>
        <w:t>ρυθμίζονται</w:t>
      </w:r>
      <w:r w:rsidRPr="00AB11D9">
        <w:rPr>
          <w:rFonts w:cstheme="minorHAnsi"/>
          <w:sz w:val="24"/>
          <w:szCs w:val="24"/>
          <w:lang w:val="el-GR"/>
        </w:rPr>
        <w:t xml:space="preserve"> </w:t>
      </w:r>
      <w:r>
        <w:rPr>
          <w:rFonts w:cstheme="minorHAnsi"/>
          <w:sz w:val="24"/>
          <w:szCs w:val="24"/>
          <w:lang w:val="el-GR"/>
        </w:rPr>
        <w:t>από</w:t>
      </w:r>
      <w:r w:rsidRPr="00AB11D9">
        <w:rPr>
          <w:rFonts w:cstheme="minorHAnsi"/>
          <w:sz w:val="24"/>
          <w:szCs w:val="24"/>
          <w:lang w:val="el-GR"/>
        </w:rPr>
        <w:t xml:space="preserve"> </w:t>
      </w:r>
      <w:r>
        <w:rPr>
          <w:rFonts w:cstheme="minorHAnsi"/>
          <w:sz w:val="24"/>
          <w:szCs w:val="24"/>
          <w:lang w:val="el-GR"/>
        </w:rPr>
        <w:t>το</w:t>
      </w:r>
      <w:r w:rsidRPr="00AB11D9">
        <w:rPr>
          <w:rFonts w:cstheme="minorHAnsi"/>
          <w:sz w:val="24"/>
          <w:szCs w:val="24"/>
          <w:lang w:val="el-GR"/>
        </w:rPr>
        <w:t xml:space="preserve"> </w:t>
      </w:r>
      <w:r>
        <w:rPr>
          <w:rFonts w:cstheme="minorHAnsi"/>
          <w:sz w:val="24"/>
          <w:szCs w:val="24"/>
          <w:lang w:val="el-GR"/>
        </w:rPr>
        <w:t>Άρθρο</w:t>
      </w:r>
      <w:r w:rsidR="00A5147D" w:rsidRPr="00AB11D9">
        <w:rPr>
          <w:rFonts w:cstheme="minorHAnsi"/>
          <w:sz w:val="24"/>
          <w:szCs w:val="24"/>
          <w:lang w:val="el-GR"/>
        </w:rPr>
        <w:t xml:space="preserve"> 73(3) </w:t>
      </w:r>
      <w:r>
        <w:rPr>
          <w:rFonts w:cstheme="minorHAnsi"/>
          <w:sz w:val="24"/>
          <w:szCs w:val="24"/>
          <w:lang w:val="el-GR"/>
        </w:rPr>
        <w:t>του</w:t>
      </w:r>
      <w:r w:rsidRPr="00AB11D9">
        <w:rPr>
          <w:rFonts w:cstheme="minorHAnsi"/>
          <w:sz w:val="24"/>
          <w:szCs w:val="24"/>
          <w:lang w:val="el-GR"/>
        </w:rPr>
        <w:t xml:space="preserve"> </w:t>
      </w:r>
      <w:r>
        <w:rPr>
          <w:rFonts w:cstheme="minorHAnsi"/>
          <w:sz w:val="24"/>
          <w:szCs w:val="24"/>
          <w:lang w:val="el-GR"/>
        </w:rPr>
        <w:t>Συντάγματος</w:t>
      </w:r>
      <w:r w:rsidR="00A5147D" w:rsidRPr="00AB11D9">
        <w:rPr>
          <w:rFonts w:cstheme="minorHAnsi"/>
          <w:sz w:val="24"/>
          <w:szCs w:val="24"/>
          <w:lang w:val="el-GR"/>
        </w:rPr>
        <w:t xml:space="preserve">, </w:t>
      </w:r>
      <w:r>
        <w:rPr>
          <w:rFonts w:cstheme="minorHAnsi"/>
          <w:sz w:val="24"/>
          <w:szCs w:val="24"/>
          <w:lang w:val="el-GR"/>
        </w:rPr>
        <w:t>που</w:t>
      </w:r>
      <w:r w:rsidRPr="00AB11D9">
        <w:rPr>
          <w:rFonts w:cstheme="minorHAnsi"/>
          <w:sz w:val="24"/>
          <w:szCs w:val="24"/>
          <w:lang w:val="el-GR"/>
        </w:rPr>
        <w:t xml:space="preserve"> </w:t>
      </w:r>
      <w:r>
        <w:rPr>
          <w:rFonts w:cstheme="minorHAnsi"/>
          <w:sz w:val="24"/>
          <w:szCs w:val="24"/>
          <w:lang w:val="el-GR"/>
        </w:rPr>
        <w:t>προβλέπει</w:t>
      </w:r>
      <w:r w:rsidRPr="00AB11D9">
        <w:rPr>
          <w:rFonts w:cstheme="minorHAnsi"/>
          <w:sz w:val="24"/>
          <w:szCs w:val="24"/>
          <w:lang w:val="el-GR"/>
        </w:rPr>
        <w:t xml:space="preserve"> </w:t>
      </w:r>
      <w:r>
        <w:rPr>
          <w:rFonts w:cstheme="minorHAnsi"/>
          <w:sz w:val="24"/>
          <w:szCs w:val="24"/>
          <w:lang w:val="el-GR"/>
        </w:rPr>
        <w:t>ότι</w:t>
      </w:r>
      <w:r w:rsidR="00A5147D" w:rsidRPr="00AB11D9">
        <w:rPr>
          <w:rFonts w:cstheme="minorHAnsi"/>
          <w:sz w:val="24"/>
          <w:szCs w:val="24"/>
          <w:lang w:val="el-GR"/>
        </w:rPr>
        <w:t xml:space="preserve">: </w:t>
      </w:r>
      <w:r w:rsidR="00A5147D" w:rsidRPr="00AB11D9">
        <w:rPr>
          <w:rFonts w:eastAsia="Calibri" w:cstheme="minorHAnsi"/>
          <w:bCs/>
          <w:sz w:val="24"/>
          <w:szCs w:val="24"/>
          <w:lang w:val="el-GR"/>
        </w:rPr>
        <w:t>“</w:t>
      </w:r>
      <w:r>
        <w:rPr>
          <w:rFonts w:eastAsia="Calibri" w:cstheme="minorHAnsi"/>
          <w:bCs/>
          <w:sz w:val="24"/>
          <w:szCs w:val="24"/>
          <w:lang w:val="el-GR"/>
        </w:rPr>
        <w:t>Η</w:t>
      </w:r>
      <w:r w:rsidRPr="00AB11D9">
        <w:rPr>
          <w:rFonts w:eastAsia="Calibri" w:cstheme="minorHAnsi"/>
          <w:bCs/>
          <w:sz w:val="24"/>
          <w:szCs w:val="24"/>
          <w:lang w:val="el-GR"/>
        </w:rPr>
        <w:t xml:space="preserve"> </w:t>
      </w:r>
      <w:r>
        <w:rPr>
          <w:rFonts w:eastAsia="Calibri" w:cstheme="minorHAnsi"/>
          <w:bCs/>
          <w:sz w:val="24"/>
          <w:szCs w:val="24"/>
          <w:lang w:val="el-GR"/>
        </w:rPr>
        <w:t>Επιτροπή</w:t>
      </w:r>
      <w:r w:rsidRPr="00AB11D9">
        <w:rPr>
          <w:rFonts w:eastAsia="Calibri" w:cstheme="minorHAnsi"/>
          <w:bCs/>
          <w:sz w:val="24"/>
          <w:szCs w:val="24"/>
          <w:lang w:val="el-GR"/>
        </w:rPr>
        <w:t xml:space="preserve"> </w:t>
      </w:r>
      <w:r>
        <w:rPr>
          <w:rFonts w:eastAsia="Calibri" w:cstheme="minorHAnsi"/>
          <w:bCs/>
          <w:sz w:val="24"/>
          <w:szCs w:val="24"/>
          <w:lang w:val="el-GR"/>
        </w:rPr>
        <w:t>Επιλογής</w:t>
      </w:r>
      <w:r w:rsidR="00A5147D" w:rsidRPr="00AB11D9">
        <w:rPr>
          <w:rFonts w:eastAsia="Calibri" w:cstheme="minorHAnsi"/>
          <w:bCs/>
          <w:sz w:val="24"/>
          <w:szCs w:val="24"/>
          <w:lang w:val="el-GR"/>
        </w:rPr>
        <w:t xml:space="preserve"> </w:t>
      </w:r>
      <w:r>
        <w:rPr>
          <w:rFonts w:eastAsia="Calibri" w:cstheme="minorHAnsi"/>
          <w:bCs/>
          <w:sz w:val="24"/>
          <w:szCs w:val="24"/>
          <w:lang w:val="el-GR"/>
        </w:rPr>
        <w:t>καταρτίζει</w:t>
      </w:r>
      <w:r w:rsidR="00A5147D" w:rsidRPr="00AB11D9">
        <w:rPr>
          <w:rFonts w:eastAsia="Calibri" w:cstheme="minorHAnsi"/>
          <w:bCs/>
          <w:sz w:val="24"/>
          <w:szCs w:val="24"/>
          <w:lang w:val="el-GR"/>
        </w:rPr>
        <w:t xml:space="preserve"> </w:t>
      </w:r>
      <w:r>
        <w:rPr>
          <w:rFonts w:eastAsia="Calibri" w:cstheme="minorHAnsi"/>
          <w:bCs/>
          <w:sz w:val="24"/>
          <w:szCs w:val="24"/>
          <w:lang w:val="el-GR"/>
        </w:rPr>
        <w:t>τις Μόνιμες Επιτροπές</w:t>
      </w:r>
      <w:r w:rsidR="00A5147D" w:rsidRPr="00AB11D9">
        <w:rPr>
          <w:rFonts w:eastAsia="Calibri" w:cstheme="minorHAnsi"/>
          <w:bCs/>
          <w:sz w:val="24"/>
          <w:szCs w:val="24"/>
          <w:lang w:val="el-GR"/>
        </w:rPr>
        <w:t xml:space="preserve"> </w:t>
      </w:r>
      <w:r>
        <w:rPr>
          <w:rFonts w:eastAsia="Calibri" w:cstheme="minorHAnsi"/>
          <w:bCs/>
          <w:sz w:val="24"/>
          <w:szCs w:val="24"/>
          <w:lang w:val="el-GR"/>
        </w:rPr>
        <w:t>και οποιαδήποτε άλλη προσωρινή</w:t>
      </w:r>
      <w:r w:rsidR="00A5147D" w:rsidRPr="00AB11D9">
        <w:rPr>
          <w:rFonts w:eastAsia="Calibri" w:cstheme="minorHAnsi"/>
          <w:bCs/>
          <w:sz w:val="24"/>
          <w:szCs w:val="24"/>
          <w:lang w:val="el-GR"/>
        </w:rPr>
        <w:t xml:space="preserve">, </w:t>
      </w:r>
      <w:r w:rsidR="00A5147D" w:rsidRPr="004E251E">
        <w:rPr>
          <w:rFonts w:eastAsia="Calibri" w:cstheme="minorHAnsi"/>
          <w:bCs/>
          <w:i/>
          <w:iCs/>
          <w:sz w:val="24"/>
          <w:szCs w:val="24"/>
        </w:rPr>
        <w:t>ad</w:t>
      </w:r>
      <w:r w:rsidR="00A5147D" w:rsidRPr="00AB11D9">
        <w:rPr>
          <w:rFonts w:eastAsia="Calibri" w:cstheme="minorHAnsi"/>
          <w:bCs/>
          <w:i/>
          <w:iCs/>
          <w:sz w:val="24"/>
          <w:szCs w:val="24"/>
          <w:lang w:val="el-GR"/>
        </w:rPr>
        <w:t xml:space="preserve"> </w:t>
      </w:r>
      <w:r w:rsidR="00A5147D" w:rsidRPr="004E251E">
        <w:rPr>
          <w:rFonts w:eastAsia="Calibri" w:cstheme="minorHAnsi"/>
          <w:bCs/>
          <w:i/>
          <w:iCs/>
          <w:sz w:val="24"/>
          <w:szCs w:val="24"/>
        </w:rPr>
        <w:t>hoc</w:t>
      </w:r>
      <w:r w:rsidR="00A5147D" w:rsidRPr="00AB11D9">
        <w:rPr>
          <w:rFonts w:eastAsia="Calibri" w:cstheme="minorHAnsi"/>
          <w:bCs/>
          <w:sz w:val="24"/>
          <w:szCs w:val="24"/>
          <w:lang w:val="el-GR"/>
        </w:rPr>
        <w:t xml:space="preserve"> </w:t>
      </w:r>
      <w:r>
        <w:rPr>
          <w:rFonts w:eastAsia="Calibri" w:cstheme="minorHAnsi"/>
          <w:bCs/>
          <w:sz w:val="24"/>
          <w:szCs w:val="24"/>
          <w:lang w:val="el-GR"/>
        </w:rPr>
        <w:t>ή</w:t>
      </w:r>
      <w:r w:rsidR="00A5147D" w:rsidRPr="00AB11D9">
        <w:rPr>
          <w:rFonts w:eastAsia="Calibri" w:cstheme="minorHAnsi"/>
          <w:bCs/>
          <w:sz w:val="24"/>
          <w:szCs w:val="24"/>
          <w:lang w:val="el-GR"/>
        </w:rPr>
        <w:t xml:space="preserve"> </w:t>
      </w:r>
      <w:r>
        <w:rPr>
          <w:rFonts w:eastAsia="Calibri" w:cstheme="minorHAnsi"/>
          <w:bCs/>
          <w:sz w:val="24"/>
          <w:szCs w:val="24"/>
          <w:lang w:val="el-GR"/>
        </w:rPr>
        <w:t>ειδική Επιτροπή</w:t>
      </w:r>
      <w:r w:rsidR="00A5147D" w:rsidRPr="00AB11D9">
        <w:rPr>
          <w:rFonts w:eastAsia="Calibri" w:cstheme="minorHAnsi"/>
          <w:bCs/>
          <w:sz w:val="24"/>
          <w:szCs w:val="24"/>
          <w:lang w:val="el-GR"/>
        </w:rPr>
        <w:t xml:space="preserve"> </w:t>
      </w:r>
      <w:r>
        <w:rPr>
          <w:rFonts w:eastAsia="Calibri" w:cstheme="minorHAnsi"/>
          <w:bCs/>
          <w:sz w:val="24"/>
          <w:szCs w:val="24"/>
          <w:lang w:val="el-GR"/>
        </w:rPr>
        <w:t>της Βουλής των Αντιπροσώπων</w:t>
      </w:r>
      <w:r w:rsidR="00A5147D" w:rsidRPr="00AB11D9">
        <w:rPr>
          <w:rFonts w:eastAsia="Calibri" w:cstheme="minorHAnsi"/>
          <w:bCs/>
          <w:sz w:val="24"/>
          <w:szCs w:val="24"/>
          <w:lang w:val="el-GR"/>
        </w:rPr>
        <w:t xml:space="preserve"> </w:t>
      </w:r>
      <w:r w:rsidR="00A5147D" w:rsidRPr="00AB11D9">
        <w:rPr>
          <w:rFonts w:eastAsia="Calibri" w:cstheme="minorHAnsi"/>
          <w:bCs/>
          <w:i/>
          <w:iCs/>
          <w:sz w:val="24"/>
          <w:szCs w:val="24"/>
          <w:lang w:val="el-GR"/>
        </w:rPr>
        <w:t>(</w:t>
      </w:r>
      <w:r>
        <w:rPr>
          <w:rFonts w:eastAsia="Calibri" w:cstheme="minorHAnsi"/>
          <w:bCs/>
          <w:i/>
          <w:iCs/>
          <w:sz w:val="24"/>
          <w:szCs w:val="24"/>
          <w:lang w:val="el-GR"/>
        </w:rPr>
        <w:t>Βουλή</w:t>
      </w:r>
      <w:r w:rsidR="00A5147D" w:rsidRPr="00AB11D9">
        <w:rPr>
          <w:rFonts w:eastAsia="Calibri" w:cstheme="minorHAnsi"/>
          <w:bCs/>
          <w:i/>
          <w:iCs/>
          <w:sz w:val="24"/>
          <w:szCs w:val="24"/>
          <w:lang w:val="el-GR"/>
        </w:rPr>
        <w:t>)</w:t>
      </w:r>
      <w:r w:rsidR="00A5147D" w:rsidRPr="00AB11D9">
        <w:rPr>
          <w:rFonts w:eastAsia="Calibri" w:cstheme="minorHAnsi"/>
          <w:bCs/>
          <w:sz w:val="24"/>
          <w:szCs w:val="24"/>
          <w:lang w:val="el-GR"/>
        </w:rPr>
        <w:t xml:space="preserve"> […]”.</w:t>
      </w:r>
    </w:p>
    <w:p w14:paraId="6574552D" w14:textId="77777777" w:rsidR="00A5147D" w:rsidRPr="00AB11D9" w:rsidRDefault="00A5147D" w:rsidP="00A5147D">
      <w:pPr>
        <w:tabs>
          <w:tab w:val="left" w:pos="709"/>
        </w:tabs>
        <w:contextualSpacing/>
        <w:rPr>
          <w:rFonts w:eastAsia="Calibri" w:cstheme="minorHAnsi"/>
          <w:bCs/>
          <w:sz w:val="24"/>
          <w:szCs w:val="24"/>
          <w:lang w:val="el-GR"/>
        </w:rPr>
      </w:pPr>
    </w:p>
    <w:p w14:paraId="3AF48C4B" w14:textId="37040DD7" w:rsidR="00A5147D" w:rsidRPr="00B54849" w:rsidRDefault="00AB11D9" w:rsidP="00A5147D">
      <w:pPr>
        <w:numPr>
          <w:ilvl w:val="0"/>
          <w:numId w:val="1"/>
        </w:numPr>
        <w:tabs>
          <w:tab w:val="clear" w:pos="6095"/>
          <w:tab w:val="left" w:pos="709"/>
        </w:tabs>
        <w:ind w:left="0" w:firstLine="0"/>
        <w:contextualSpacing/>
        <w:rPr>
          <w:rFonts w:eastAsia="Calibri" w:cstheme="minorHAnsi"/>
          <w:bCs/>
          <w:sz w:val="24"/>
          <w:szCs w:val="24"/>
          <w:lang w:val="el-GR"/>
        </w:rPr>
      </w:pPr>
      <w:r>
        <w:rPr>
          <w:rFonts w:ascii="Calibri" w:eastAsia="Calibri" w:hAnsi="Calibri" w:cs="Calibri"/>
          <w:bCs/>
          <w:sz w:val="24"/>
          <w:szCs w:val="24"/>
          <w:lang w:val="el-GR"/>
        </w:rPr>
        <w:t>Παρόλο</w:t>
      </w:r>
      <w:r w:rsidRPr="004F69BE">
        <w:rPr>
          <w:rFonts w:ascii="Calibri" w:eastAsia="Calibri" w:hAnsi="Calibri" w:cs="Calibri"/>
          <w:bCs/>
          <w:sz w:val="24"/>
          <w:szCs w:val="24"/>
          <w:lang w:val="el-GR"/>
        </w:rPr>
        <w:t xml:space="preserve"> </w:t>
      </w:r>
      <w:r>
        <w:rPr>
          <w:rFonts w:ascii="Calibri" w:eastAsia="Calibri" w:hAnsi="Calibri" w:cs="Calibri"/>
          <w:bCs/>
          <w:sz w:val="24"/>
          <w:szCs w:val="24"/>
          <w:lang w:val="el-GR"/>
        </w:rPr>
        <w:t>που</w:t>
      </w:r>
      <w:r w:rsidRPr="004F69BE">
        <w:rPr>
          <w:rFonts w:ascii="Calibri" w:eastAsia="Calibri" w:hAnsi="Calibri" w:cs="Calibri"/>
          <w:bCs/>
          <w:sz w:val="24"/>
          <w:szCs w:val="24"/>
          <w:lang w:val="el-GR"/>
        </w:rPr>
        <w:t xml:space="preserve"> </w:t>
      </w:r>
      <w:r>
        <w:rPr>
          <w:rFonts w:ascii="Calibri" w:eastAsia="Calibri" w:hAnsi="Calibri" w:cs="Calibri"/>
          <w:bCs/>
          <w:sz w:val="24"/>
          <w:szCs w:val="24"/>
          <w:lang w:val="el-GR"/>
        </w:rPr>
        <w:t>ούτε</w:t>
      </w:r>
      <w:r w:rsidRPr="004F69BE">
        <w:rPr>
          <w:rFonts w:ascii="Calibri" w:eastAsia="Calibri" w:hAnsi="Calibri" w:cs="Calibri"/>
          <w:bCs/>
          <w:sz w:val="24"/>
          <w:szCs w:val="24"/>
          <w:lang w:val="el-GR"/>
        </w:rPr>
        <w:t xml:space="preserve"> </w:t>
      </w:r>
      <w:r>
        <w:rPr>
          <w:rFonts w:ascii="Calibri" w:eastAsia="Calibri" w:hAnsi="Calibri" w:cs="Calibri"/>
          <w:bCs/>
          <w:sz w:val="24"/>
          <w:szCs w:val="24"/>
          <w:lang w:val="el-GR"/>
        </w:rPr>
        <w:t>το</w:t>
      </w:r>
      <w:r w:rsidRPr="004F69BE">
        <w:rPr>
          <w:rFonts w:ascii="Calibri" w:eastAsia="Calibri" w:hAnsi="Calibri" w:cs="Calibri"/>
          <w:bCs/>
          <w:sz w:val="24"/>
          <w:szCs w:val="24"/>
          <w:lang w:val="el-GR"/>
        </w:rPr>
        <w:t xml:space="preserve"> </w:t>
      </w:r>
      <w:r>
        <w:rPr>
          <w:rFonts w:ascii="Calibri" w:eastAsia="Calibri" w:hAnsi="Calibri" w:cs="Calibri"/>
          <w:bCs/>
          <w:sz w:val="24"/>
          <w:szCs w:val="24"/>
          <w:lang w:val="el-GR"/>
        </w:rPr>
        <w:t>Σύνταγμα</w:t>
      </w:r>
      <w:r w:rsidRPr="004F69BE">
        <w:rPr>
          <w:rFonts w:ascii="Calibri" w:eastAsia="Calibri" w:hAnsi="Calibri" w:cs="Calibri"/>
          <w:bCs/>
          <w:sz w:val="24"/>
          <w:szCs w:val="24"/>
          <w:lang w:val="el-GR"/>
        </w:rPr>
        <w:t xml:space="preserve"> </w:t>
      </w:r>
      <w:r>
        <w:rPr>
          <w:rFonts w:ascii="Calibri" w:eastAsia="Calibri" w:hAnsi="Calibri" w:cs="Calibri"/>
          <w:bCs/>
          <w:sz w:val="24"/>
          <w:szCs w:val="24"/>
          <w:lang w:val="el-GR"/>
        </w:rPr>
        <w:t>ούτε</w:t>
      </w:r>
      <w:r w:rsidRPr="004F69BE">
        <w:rPr>
          <w:rFonts w:ascii="Calibri" w:eastAsia="Calibri" w:hAnsi="Calibri" w:cs="Calibri"/>
          <w:bCs/>
          <w:sz w:val="24"/>
          <w:szCs w:val="24"/>
          <w:lang w:val="el-GR"/>
        </w:rPr>
        <w:t xml:space="preserve"> </w:t>
      </w:r>
      <w:r>
        <w:rPr>
          <w:rFonts w:ascii="Calibri" w:eastAsia="Calibri" w:hAnsi="Calibri" w:cs="Calibri"/>
          <w:bCs/>
          <w:sz w:val="24"/>
          <w:szCs w:val="24"/>
          <w:lang w:val="el-GR"/>
        </w:rPr>
        <w:t>οι</w:t>
      </w:r>
      <w:r w:rsidRPr="004F69BE">
        <w:rPr>
          <w:rFonts w:ascii="Calibri" w:eastAsia="Calibri" w:hAnsi="Calibri" w:cs="Calibri"/>
          <w:bCs/>
          <w:sz w:val="24"/>
          <w:szCs w:val="24"/>
          <w:lang w:val="el-GR"/>
        </w:rPr>
        <w:t xml:space="preserve"> </w:t>
      </w:r>
      <w:r w:rsidR="00E606DC">
        <w:rPr>
          <w:rFonts w:ascii="Calibri" w:eastAsia="Calibri" w:hAnsi="Calibri" w:cs="Calibri"/>
          <w:bCs/>
          <w:sz w:val="24"/>
          <w:szCs w:val="24"/>
          <w:lang w:val="el-GR"/>
        </w:rPr>
        <w:t xml:space="preserve">Διαδικαστικοί Κανόνες </w:t>
      </w:r>
      <w:r>
        <w:rPr>
          <w:rFonts w:ascii="Calibri" w:eastAsia="Calibri" w:hAnsi="Calibri" w:cs="Calibri"/>
          <w:bCs/>
          <w:sz w:val="24"/>
          <w:szCs w:val="24"/>
          <w:lang w:val="el-GR"/>
        </w:rPr>
        <w:t>της</w:t>
      </w:r>
      <w:r w:rsidRPr="004F69BE">
        <w:rPr>
          <w:rFonts w:ascii="Calibri" w:eastAsia="Calibri" w:hAnsi="Calibri" w:cs="Calibri"/>
          <w:bCs/>
          <w:sz w:val="24"/>
          <w:szCs w:val="24"/>
          <w:lang w:val="el-GR"/>
        </w:rPr>
        <w:t xml:space="preserve"> </w:t>
      </w:r>
      <w:r>
        <w:rPr>
          <w:rFonts w:ascii="Calibri" w:eastAsia="Calibri" w:hAnsi="Calibri" w:cs="Calibri"/>
          <w:bCs/>
          <w:sz w:val="24"/>
          <w:szCs w:val="24"/>
          <w:lang w:val="el-GR"/>
        </w:rPr>
        <w:t>Βουλής</w:t>
      </w:r>
      <w:r w:rsidRPr="004F69BE">
        <w:rPr>
          <w:rFonts w:ascii="Calibri" w:eastAsia="Calibri" w:hAnsi="Calibri" w:cs="Calibri"/>
          <w:bCs/>
          <w:sz w:val="24"/>
          <w:szCs w:val="24"/>
          <w:lang w:val="el-GR"/>
        </w:rPr>
        <w:t xml:space="preserve"> </w:t>
      </w:r>
      <w:r>
        <w:rPr>
          <w:rFonts w:ascii="Calibri" w:eastAsia="Calibri" w:hAnsi="Calibri" w:cs="Calibri"/>
          <w:bCs/>
          <w:sz w:val="24"/>
          <w:szCs w:val="24"/>
          <w:lang w:val="el-GR"/>
        </w:rPr>
        <w:t>προβλέπουν</w:t>
      </w:r>
      <w:r w:rsidR="00A5147D" w:rsidRPr="004F69BE">
        <w:rPr>
          <w:rFonts w:ascii="Calibri" w:eastAsia="Calibri" w:hAnsi="Calibri" w:cs="Calibri"/>
          <w:bCs/>
          <w:sz w:val="24"/>
          <w:szCs w:val="24"/>
          <w:lang w:val="el-GR"/>
        </w:rPr>
        <w:t xml:space="preserve"> </w:t>
      </w:r>
      <w:r w:rsidR="004F69BE">
        <w:rPr>
          <w:rFonts w:ascii="Calibri" w:eastAsia="Calibri" w:hAnsi="Calibri" w:cs="Calibri"/>
          <w:bCs/>
          <w:sz w:val="24"/>
          <w:szCs w:val="24"/>
          <w:lang w:val="el-GR"/>
        </w:rPr>
        <w:t>τον</w:t>
      </w:r>
      <w:r w:rsidR="004F69BE" w:rsidRPr="004F69BE">
        <w:rPr>
          <w:rFonts w:ascii="Calibri" w:eastAsia="Calibri" w:hAnsi="Calibri" w:cs="Calibri"/>
          <w:bCs/>
          <w:sz w:val="24"/>
          <w:szCs w:val="24"/>
          <w:lang w:val="el-GR"/>
        </w:rPr>
        <w:t xml:space="preserve"> </w:t>
      </w:r>
      <w:r w:rsidR="004F69BE">
        <w:rPr>
          <w:rFonts w:ascii="Calibri" w:eastAsia="Calibri" w:hAnsi="Calibri" w:cs="Calibri"/>
          <w:bCs/>
          <w:sz w:val="24"/>
          <w:szCs w:val="24"/>
          <w:lang w:val="el-GR"/>
        </w:rPr>
        <w:t>θεσμό</w:t>
      </w:r>
      <w:r w:rsidR="004F69BE" w:rsidRPr="004F69BE">
        <w:rPr>
          <w:rFonts w:ascii="Calibri" w:eastAsia="Calibri" w:hAnsi="Calibri" w:cs="Calibri"/>
          <w:bCs/>
          <w:sz w:val="24"/>
          <w:szCs w:val="24"/>
          <w:lang w:val="el-GR"/>
        </w:rPr>
        <w:t xml:space="preserve"> </w:t>
      </w:r>
      <w:r w:rsidR="004F69BE">
        <w:rPr>
          <w:rFonts w:ascii="Calibri" w:eastAsia="Calibri" w:hAnsi="Calibri" w:cs="Calibri"/>
          <w:bCs/>
          <w:sz w:val="24"/>
          <w:szCs w:val="24"/>
          <w:lang w:val="el-GR"/>
        </w:rPr>
        <w:t>της</w:t>
      </w:r>
      <w:r w:rsidR="004F69BE" w:rsidRPr="004F69BE">
        <w:rPr>
          <w:rFonts w:ascii="Calibri" w:eastAsia="Calibri" w:hAnsi="Calibri" w:cs="Calibri"/>
          <w:bCs/>
          <w:sz w:val="24"/>
          <w:szCs w:val="24"/>
          <w:lang w:val="el-GR"/>
        </w:rPr>
        <w:t xml:space="preserve"> </w:t>
      </w:r>
      <w:r w:rsidR="004F69BE">
        <w:rPr>
          <w:rFonts w:ascii="Calibri" w:eastAsia="Calibri" w:hAnsi="Calibri" w:cs="Calibri"/>
          <w:bCs/>
          <w:sz w:val="24"/>
          <w:szCs w:val="24"/>
          <w:lang w:val="el-GR"/>
        </w:rPr>
        <w:t>κοινοβουλευτικής</w:t>
      </w:r>
      <w:r w:rsidR="004F69BE" w:rsidRPr="004F69BE">
        <w:rPr>
          <w:rFonts w:ascii="Calibri" w:eastAsia="Calibri" w:hAnsi="Calibri" w:cs="Calibri"/>
          <w:bCs/>
          <w:sz w:val="24"/>
          <w:szCs w:val="24"/>
          <w:lang w:val="el-GR"/>
        </w:rPr>
        <w:t xml:space="preserve"> </w:t>
      </w:r>
      <w:r w:rsidR="004F69BE">
        <w:rPr>
          <w:rFonts w:ascii="Calibri" w:eastAsia="Calibri" w:hAnsi="Calibri" w:cs="Calibri"/>
          <w:bCs/>
          <w:sz w:val="24"/>
          <w:szCs w:val="24"/>
          <w:lang w:val="el-GR"/>
        </w:rPr>
        <w:t>επιτροπής</w:t>
      </w:r>
      <w:r w:rsidR="004F69BE" w:rsidRPr="004F69BE">
        <w:rPr>
          <w:rFonts w:ascii="Calibri" w:eastAsia="Calibri" w:hAnsi="Calibri" w:cs="Calibri"/>
          <w:bCs/>
          <w:sz w:val="24"/>
          <w:szCs w:val="24"/>
          <w:lang w:val="el-GR"/>
        </w:rPr>
        <w:t xml:space="preserve"> </w:t>
      </w:r>
      <w:r w:rsidR="004F69BE">
        <w:rPr>
          <w:rFonts w:ascii="Calibri" w:eastAsia="Calibri" w:hAnsi="Calibri" w:cs="Calibri"/>
          <w:bCs/>
          <w:sz w:val="24"/>
          <w:szCs w:val="24"/>
          <w:lang w:val="el-GR"/>
        </w:rPr>
        <w:t>για</w:t>
      </w:r>
      <w:r w:rsidR="004F69BE" w:rsidRPr="004F69BE">
        <w:rPr>
          <w:rFonts w:ascii="Calibri" w:eastAsia="Calibri" w:hAnsi="Calibri" w:cs="Calibri"/>
          <w:bCs/>
          <w:sz w:val="24"/>
          <w:szCs w:val="24"/>
          <w:lang w:val="el-GR"/>
        </w:rPr>
        <w:t xml:space="preserve"> </w:t>
      </w:r>
      <w:r w:rsidR="004F69BE">
        <w:rPr>
          <w:rFonts w:ascii="Calibri" w:eastAsia="Calibri" w:hAnsi="Calibri" w:cs="Calibri"/>
          <w:bCs/>
          <w:sz w:val="24"/>
          <w:szCs w:val="24"/>
          <w:lang w:val="el-GR"/>
        </w:rPr>
        <w:t>έρευνες</w:t>
      </w:r>
      <w:r w:rsidR="00A5147D" w:rsidRPr="004F69BE">
        <w:rPr>
          <w:rFonts w:ascii="Calibri" w:eastAsia="Calibri" w:hAnsi="Calibri" w:cs="Calibri"/>
          <w:bCs/>
          <w:sz w:val="24"/>
          <w:szCs w:val="24"/>
          <w:lang w:val="el-GR"/>
        </w:rPr>
        <w:t xml:space="preserve">, </w:t>
      </w:r>
      <w:r w:rsidR="004F69BE">
        <w:rPr>
          <w:rFonts w:ascii="Calibri" w:eastAsia="Calibri" w:hAnsi="Calibri" w:cs="Calibri"/>
          <w:bCs/>
          <w:sz w:val="24"/>
          <w:szCs w:val="24"/>
          <w:lang w:val="el-GR"/>
        </w:rPr>
        <w:t>κοινοβουλε</w:t>
      </w:r>
      <w:r w:rsidR="00450E75">
        <w:rPr>
          <w:rFonts w:ascii="Calibri" w:eastAsia="Calibri" w:hAnsi="Calibri" w:cs="Calibri"/>
          <w:bCs/>
          <w:sz w:val="24"/>
          <w:szCs w:val="24"/>
          <w:lang w:val="el-GR"/>
        </w:rPr>
        <w:t>υ</w:t>
      </w:r>
      <w:r w:rsidR="004F69BE">
        <w:rPr>
          <w:rFonts w:ascii="Calibri" w:eastAsia="Calibri" w:hAnsi="Calibri" w:cs="Calibri"/>
          <w:bCs/>
          <w:sz w:val="24"/>
          <w:szCs w:val="24"/>
          <w:lang w:val="el-GR"/>
        </w:rPr>
        <w:t>τικές επιτροπές στην Κύπρο</w:t>
      </w:r>
      <w:r w:rsidR="00A5147D" w:rsidRPr="004F69BE">
        <w:rPr>
          <w:rFonts w:ascii="Calibri" w:eastAsia="Calibri" w:hAnsi="Calibri" w:cs="Calibri"/>
          <w:bCs/>
          <w:sz w:val="24"/>
          <w:szCs w:val="24"/>
          <w:lang w:val="el-GR"/>
        </w:rPr>
        <w:t xml:space="preserve"> </w:t>
      </w:r>
      <w:r w:rsidR="004F69BE">
        <w:rPr>
          <w:rFonts w:ascii="Calibri" w:eastAsia="Calibri" w:hAnsi="Calibri" w:cs="Calibri"/>
          <w:bCs/>
          <w:sz w:val="24"/>
          <w:szCs w:val="24"/>
          <w:lang w:val="el-GR"/>
        </w:rPr>
        <w:t>έχουν όλες τις εξουσί</w:t>
      </w:r>
      <w:r w:rsidR="000C65D6">
        <w:rPr>
          <w:rFonts w:ascii="Calibri" w:eastAsia="Calibri" w:hAnsi="Calibri" w:cs="Calibri"/>
          <w:bCs/>
          <w:sz w:val="24"/>
          <w:szCs w:val="24"/>
          <w:lang w:val="el-GR"/>
        </w:rPr>
        <w:t>ε</w:t>
      </w:r>
      <w:r w:rsidR="004F69BE">
        <w:rPr>
          <w:rFonts w:ascii="Calibri" w:eastAsia="Calibri" w:hAnsi="Calibri" w:cs="Calibri"/>
          <w:bCs/>
          <w:sz w:val="24"/>
          <w:szCs w:val="24"/>
          <w:lang w:val="el-GR"/>
        </w:rPr>
        <w:t>ς</w:t>
      </w:r>
      <w:r w:rsidR="00A5147D" w:rsidRPr="004F69BE">
        <w:rPr>
          <w:rFonts w:ascii="Calibri" w:eastAsia="Calibri" w:hAnsi="Calibri" w:cs="Calibri"/>
          <w:bCs/>
          <w:sz w:val="24"/>
          <w:szCs w:val="24"/>
          <w:lang w:val="el-GR"/>
        </w:rPr>
        <w:t xml:space="preserve"> </w:t>
      </w:r>
      <w:r w:rsidR="004F69BE">
        <w:rPr>
          <w:rFonts w:ascii="Calibri" w:eastAsia="Calibri" w:hAnsi="Calibri" w:cs="Calibri"/>
          <w:bCs/>
          <w:sz w:val="24"/>
          <w:szCs w:val="24"/>
          <w:lang w:val="el-GR"/>
        </w:rPr>
        <w:t>οι οποίες παρέχονται σε επιτροπές έρευνας και λειτουργούν ως τέτοιες όταν προκύψει η ανάγκη</w:t>
      </w:r>
      <w:r w:rsidR="00A5147D" w:rsidRPr="004F69BE">
        <w:rPr>
          <w:rFonts w:ascii="Calibri" w:eastAsia="Calibri" w:hAnsi="Calibri" w:cs="Calibri"/>
          <w:bCs/>
          <w:sz w:val="24"/>
          <w:szCs w:val="24"/>
          <w:lang w:val="el-GR"/>
        </w:rPr>
        <w:t xml:space="preserve">. </w:t>
      </w:r>
      <w:r w:rsidR="004F69BE">
        <w:rPr>
          <w:rFonts w:ascii="Calibri" w:eastAsia="Calibri" w:hAnsi="Calibri" w:cs="Calibri"/>
          <w:bCs/>
          <w:sz w:val="24"/>
          <w:szCs w:val="24"/>
          <w:lang w:val="el-GR"/>
        </w:rPr>
        <w:t>Συγκ</w:t>
      </w:r>
      <w:r w:rsidR="007A56BD">
        <w:rPr>
          <w:rFonts w:ascii="Calibri" w:eastAsia="Calibri" w:hAnsi="Calibri" w:cs="Calibri"/>
          <w:bCs/>
          <w:sz w:val="24"/>
          <w:szCs w:val="24"/>
          <w:lang w:val="el-GR"/>
        </w:rPr>
        <w:t>εκριμένα</w:t>
      </w:r>
      <w:r w:rsidR="00A5147D"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σύμφωνα</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με</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τους</w:t>
      </w:r>
      <w:r w:rsidR="00B54849" w:rsidRPr="00B54849">
        <w:rPr>
          <w:rFonts w:ascii="Calibri" w:eastAsia="Calibri" w:hAnsi="Calibri" w:cs="Calibri"/>
          <w:bCs/>
          <w:sz w:val="24"/>
          <w:szCs w:val="24"/>
          <w:lang w:val="el-GR"/>
        </w:rPr>
        <w:t xml:space="preserve"> </w:t>
      </w:r>
      <w:r w:rsidR="00E606DC">
        <w:rPr>
          <w:rFonts w:ascii="Calibri" w:eastAsia="Calibri" w:hAnsi="Calibri" w:cs="Calibri"/>
          <w:bCs/>
          <w:sz w:val="24"/>
          <w:szCs w:val="24"/>
          <w:lang w:val="el-GR"/>
        </w:rPr>
        <w:t xml:space="preserve">Διαδικαστικούς </w:t>
      </w:r>
      <w:r w:rsidR="00B54849">
        <w:rPr>
          <w:rFonts w:ascii="Calibri" w:eastAsia="Calibri" w:hAnsi="Calibri" w:cs="Calibri"/>
          <w:bCs/>
          <w:sz w:val="24"/>
          <w:szCs w:val="24"/>
          <w:lang w:val="el-GR"/>
        </w:rPr>
        <w:t>Κανόνες</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της</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Βουλής</w:t>
      </w:r>
      <w:r w:rsidR="00A5147D"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κάθε</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κοινοβουλευτική</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επιτροπή</w:t>
      </w:r>
      <w:r w:rsidR="00A5147D"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έχει</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το</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δικαίωμα</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κλήσης</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για</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οποιοδήποτε</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ενδιαφερόμενο</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όργανο</w:t>
      </w:r>
      <w:r w:rsidR="00A5147D"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αρχή</w:t>
      </w:r>
      <w:r w:rsidR="00A5147D"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οργανισμό</w:t>
      </w:r>
      <w:r w:rsidR="00A5147D"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σύλλογο</w:t>
      </w:r>
      <w:r w:rsidR="00A5147D"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σύνδεσμο</w:t>
      </w:r>
      <w:r w:rsidR="00A5147D"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συντεχνία</w:t>
      </w:r>
      <w:r w:rsidR="00A5147D"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άτομο ή εταιρικό όργανο</w:t>
      </w:r>
      <w:r w:rsidR="00A5147D"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για παροχή πληροφοριών και αποδεικτικών στοιχείων</w:t>
      </w:r>
      <w:r w:rsidR="00A5147D"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ή για να εκφράσουν και να αναπτύξουν απόψεις</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πάνω σε οποιοδήποτε θέμα υπό συζήτηση</w:t>
      </w:r>
      <w:r w:rsidR="00A5147D"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συμπεριλαμβανομένων συγκεκριμένων μελών της κυβέρνησης ή της δημόσιας υπηρεσίας</w:t>
      </w:r>
      <w:r w:rsidR="00A5147D"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Η</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διαδικασία</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και</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η</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μορφή</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της</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πληροφορίας</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και</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αποδεικτικού</w:t>
      </w:r>
      <w:r w:rsidR="00B54849"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στοιχείου</w:t>
      </w:r>
      <w:r w:rsidR="00A5147D"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που υποβάλλεται σε μια επιτροπή</w:t>
      </w:r>
      <w:r w:rsidR="00A5147D" w:rsidRPr="00B54849">
        <w:rPr>
          <w:rFonts w:ascii="Calibri" w:eastAsia="Calibri" w:hAnsi="Calibri" w:cs="Calibri"/>
          <w:bCs/>
          <w:sz w:val="24"/>
          <w:szCs w:val="24"/>
          <w:lang w:val="el-GR"/>
        </w:rPr>
        <w:t xml:space="preserve"> </w:t>
      </w:r>
      <w:r w:rsidR="00B54849">
        <w:rPr>
          <w:rFonts w:ascii="Calibri" w:eastAsia="Calibri" w:hAnsi="Calibri" w:cs="Calibri"/>
          <w:bCs/>
          <w:sz w:val="24"/>
          <w:szCs w:val="24"/>
          <w:lang w:val="el-GR"/>
        </w:rPr>
        <w:t>καθορίζεται από την ίδια την επιτροπή</w:t>
      </w:r>
      <w:r w:rsidR="00A5147D" w:rsidRPr="00B54849">
        <w:rPr>
          <w:rFonts w:ascii="Calibri" w:eastAsia="Calibri" w:hAnsi="Calibri" w:cs="Calibri"/>
          <w:bCs/>
          <w:sz w:val="24"/>
          <w:szCs w:val="24"/>
          <w:lang w:val="el-GR"/>
        </w:rPr>
        <w:t>.</w:t>
      </w:r>
    </w:p>
    <w:p w14:paraId="52B6F721" w14:textId="77777777" w:rsidR="00A5147D" w:rsidRPr="00B54849" w:rsidRDefault="00A5147D" w:rsidP="00A5147D">
      <w:pPr>
        <w:contextualSpacing/>
        <w:rPr>
          <w:rFonts w:eastAsia="Calibri" w:cstheme="minorHAnsi"/>
          <w:bCs/>
          <w:sz w:val="24"/>
          <w:szCs w:val="24"/>
          <w:lang w:val="el-GR"/>
        </w:rPr>
      </w:pPr>
    </w:p>
    <w:p w14:paraId="50339DAE" w14:textId="2203CF80" w:rsidR="00A5147D" w:rsidRPr="003341D7" w:rsidRDefault="00B54849" w:rsidP="00A5147D">
      <w:pPr>
        <w:numPr>
          <w:ilvl w:val="0"/>
          <w:numId w:val="1"/>
        </w:numPr>
        <w:tabs>
          <w:tab w:val="clear" w:pos="6095"/>
          <w:tab w:val="left" w:pos="709"/>
        </w:tabs>
        <w:ind w:left="0" w:firstLine="0"/>
        <w:contextualSpacing/>
        <w:rPr>
          <w:rFonts w:eastAsia="Calibri" w:cstheme="minorHAnsi"/>
          <w:bCs/>
          <w:sz w:val="24"/>
          <w:szCs w:val="24"/>
          <w:lang w:val="el-GR"/>
        </w:rPr>
      </w:pPr>
      <w:r>
        <w:rPr>
          <w:rFonts w:eastAsia="Calibri" w:cstheme="minorHAnsi"/>
          <w:bCs/>
          <w:sz w:val="24"/>
          <w:szCs w:val="24"/>
          <w:lang w:val="el-GR"/>
        </w:rPr>
        <w:t>Επιπρόσθετα</w:t>
      </w:r>
      <w:r w:rsidR="00A5147D" w:rsidRPr="00486976">
        <w:rPr>
          <w:rFonts w:eastAsia="Calibri" w:cstheme="minorHAnsi"/>
          <w:bCs/>
          <w:sz w:val="24"/>
          <w:szCs w:val="24"/>
          <w:lang w:val="el-GR"/>
        </w:rPr>
        <w:t xml:space="preserve">, </w:t>
      </w:r>
      <w:r>
        <w:rPr>
          <w:rFonts w:eastAsia="Calibri" w:cstheme="minorHAnsi"/>
          <w:bCs/>
          <w:sz w:val="24"/>
          <w:szCs w:val="24"/>
          <w:lang w:val="el-GR"/>
        </w:rPr>
        <w:t>σύμφωνα</w:t>
      </w:r>
      <w:r w:rsidRPr="00486976">
        <w:rPr>
          <w:rFonts w:eastAsia="Calibri" w:cstheme="minorHAnsi"/>
          <w:bCs/>
          <w:sz w:val="24"/>
          <w:szCs w:val="24"/>
          <w:lang w:val="el-GR"/>
        </w:rPr>
        <w:t xml:space="preserve"> </w:t>
      </w:r>
      <w:r>
        <w:rPr>
          <w:rFonts w:eastAsia="Calibri" w:cstheme="minorHAnsi"/>
          <w:bCs/>
          <w:sz w:val="24"/>
          <w:szCs w:val="24"/>
          <w:lang w:val="el-GR"/>
        </w:rPr>
        <w:t>με</w:t>
      </w:r>
      <w:r w:rsidRPr="00486976">
        <w:rPr>
          <w:rFonts w:eastAsia="Calibri" w:cstheme="minorHAnsi"/>
          <w:bCs/>
          <w:sz w:val="24"/>
          <w:szCs w:val="24"/>
          <w:lang w:val="el-GR"/>
        </w:rPr>
        <w:t xml:space="preserve"> </w:t>
      </w:r>
      <w:r>
        <w:rPr>
          <w:rFonts w:eastAsia="Calibri" w:cstheme="minorHAnsi"/>
          <w:bCs/>
          <w:sz w:val="24"/>
          <w:szCs w:val="24"/>
          <w:lang w:val="el-GR"/>
        </w:rPr>
        <w:t>τον</w:t>
      </w:r>
      <w:r w:rsidRPr="00486976">
        <w:rPr>
          <w:rFonts w:eastAsia="Calibri" w:cstheme="minorHAnsi"/>
          <w:bCs/>
          <w:sz w:val="24"/>
          <w:szCs w:val="24"/>
          <w:lang w:val="el-GR"/>
        </w:rPr>
        <w:t xml:space="preserve"> </w:t>
      </w:r>
      <w:r>
        <w:rPr>
          <w:rFonts w:eastAsia="Calibri" w:cstheme="minorHAnsi"/>
          <w:bCs/>
          <w:sz w:val="24"/>
          <w:szCs w:val="24"/>
          <w:lang w:val="el-GR"/>
        </w:rPr>
        <w:t>σχετικό</w:t>
      </w:r>
      <w:r w:rsidRPr="00486976">
        <w:rPr>
          <w:rFonts w:eastAsia="Calibri" w:cstheme="minorHAnsi"/>
          <w:bCs/>
          <w:sz w:val="24"/>
          <w:szCs w:val="24"/>
          <w:lang w:val="el-GR"/>
        </w:rPr>
        <w:t xml:space="preserve"> </w:t>
      </w:r>
      <w:r>
        <w:rPr>
          <w:rFonts w:eastAsia="Calibri" w:cstheme="minorHAnsi"/>
          <w:bCs/>
          <w:sz w:val="24"/>
          <w:szCs w:val="24"/>
          <w:lang w:val="el-GR"/>
        </w:rPr>
        <w:t>νόμο</w:t>
      </w:r>
      <w:r w:rsidR="00A5147D" w:rsidRPr="00486976">
        <w:rPr>
          <w:rFonts w:eastAsia="Calibri" w:cstheme="minorHAnsi"/>
          <w:bCs/>
          <w:sz w:val="24"/>
          <w:szCs w:val="24"/>
          <w:lang w:val="el-GR"/>
        </w:rPr>
        <w:t xml:space="preserve">, </w:t>
      </w:r>
      <w:r>
        <w:rPr>
          <w:rFonts w:eastAsia="Calibri" w:cstheme="minorHAnsi"/>
          <w:bCs/>
          <w:sz w:val="24"/>
          <w:szCs w:val="24"/>
          <w:lang w:val="el-GR"/>
        </w:rPr>
        <w:t>μια</w:t>
      </w:r>
      <w:r w:rsidRPr="00486976">
        <w:rPr>
          <w:rFonts w:eastAsia="Calibri" w:cstheme="minorHAnsi"/>
          <w:bCs/>
          <w:sz w:val="24"/>
          <w:szCs w:val="24"/>
          <w:lang w:val="el-GR"/>
        </w:rPr>
        <w:t xml:space="preserve"> </w:t>
      </w:r>
      <w:r>
        <w:rPr>
          <w:rFonts w:eastAsia="Calibri" w:cstheme="minorHAnsi"/>
          <w:bCs/>
          <w:sz w:val="24"/>
          <w:szCs w:val="24"/>
          <w:lang w:val="el-GR"/>
        </w:rPr>
        <w:t>επιτροπή</w:t>
      </w:r>
      <w:r w:rsidRPr="00486976">
        <w:rPr>
          <w:rFonts w:eastAsia="Calibri" w:cstheme="minorHAnsi"/>
          <w:bCs/>
          <w:sz w:val="24"/>
          <w:szCs w:val="24"/>
          <w:lang w:val="el-GR"/>
        </w:rPr>
        <w:t xml:space="preserve"> </w:t>
      </w:r>
      <w:r>
        <w:rPr>
          <w:rFonts w:eastAsia="Calibri" w:cstheme="minorHAnsi"/>
          <w:bCs/>
          <w:sz w:val="24"/>
          <w:szCs w:val="24"/>
          <w:lang w:val="el-GR"/>
        </w:rPr>
        <w:t>μπορεί</w:t>
      </w:r>
      <w:r w:rsidRPr="00486976">
        <w:rPr>
          <w:rFonts w:eastAsia="Calibri" w:cstheme="minorHAnsi"/>
          <w:bCs/>
          <w:sz w:val="24"/>
          <w:szCs w:val="24"/>
          <w:lang w:val="el-GR"/>
        </w:rPr>
        <w:t xml:space="preserve"> </w:t>
      </w:r>
      <w:r>
        <w:rPr>
          <w:rFonts w:eastAsia="Calibri" w:cstheme="minorHAnsi"/>
          <w:bCs/>
          <w:sz w:val="24"/>
          <w:szCs w:val="24"/>
          <w:lang w:val="el-GR"/>
        </w:rPr>
        <w:t>επίσης</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να</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ζητήσει</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γραπτή</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ή</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προφορική</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πληροφορία</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από</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την</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δημόσια</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υπηρεσία</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δημόσια</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όργανα</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νομικά</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άτομα και ιδιώτες</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αν πιστεύει ότι αυτή η πληροφορία</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μπορεί να είναι χρήσιμη</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 xml:space="preserve">στην επιτροπή </w:t>
      </w:r>
      <w:r w:rsidR="00D24155">
        <w:rPr>
          <w:rFonts w:eastAsia="Calibri" w:cstheme="minorHAnsi"/>
          <w:bCs/>
          <w:sz w:val="24"/>
          <w:szCs w:val="24"/>
          <w:lang w:val="el-GR"/>
        </w:rPr>
        <w:t xml:space="preserve">για </w:t>
      </w:r>
      <w:r w:rsidR="00486976">
        <w:rPr>
          <w:rFonts w:eastAsia="Calibri" w:cstheme="minorHAnsi"/>
          <w:bCs/>
          <w:sz w:val="24"/>
          <w:szCs w:val="24"/>
          <w:lang w:val="el-GR"/>
        </w:rPr>
        <w:t>την εκτέλεση των καθηκόντων της</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ως προς το υπό έλεγχο</w:t>
      </w:r>
      <w:r w:rsidR="00450E75" w:rsidRPr="00450E75">
        <w:rPr>
          <w:rFonts w:eastAsia="Calibri" w:cstheme="minorHAnsi"/>
          <w:bCs/>
          <w:sz w:val="24"/>
          <w:szCs w:val="24"/>
          <w:lang w:val="el-GR"/>
        </w:rPr>
        <w:t xml:space="preserve"> </w:t>
      </w:r>
      <w:r w:rsidR="00450E75">
        <w:rPr>
          <w:rFonts w:eastAsia="Calibri" w:cstheme="minorHAnsi"/>
          <w:bCs/>
          <w:sz w:val="24"/>
          <w:szCs w:val="24"/>
          <w:lang w:val="el-GR"/>
        </w:rPr>
        <w:t>θέμα</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Ανεξάρτητοι</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Λειτουργοί</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δημόσιοι</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λειτουργοί</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ή</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ιδιώτες</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που</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παρουσιάζονται</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ενώπιον</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μιας</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κοινοβουλευτικής</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επιτροπής</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πρέπει</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να</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λένε</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την</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αλήθεια</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και</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δεν</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πρέπει</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να</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αρνηθούν</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ή</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να</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κρύψουν</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οτιδήποτε για το οποίο έχουν γνώση</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ή που είναι υπό τον έλεγχο ή κατοχή τους</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και να παρέχουν οποιαδήποτε δημόσια ή ιδιωτικά έγγραφα</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που μπορεί να είναι χρήσιμα</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 xml:space="preserve">στην επιτροπή στην εκτέλεση των </w:t>
      </w:r>
      <w:r w:rsidR="00F35EF5">
        <w:rPr>
          <w:rFonts w:eastAsia="Calibri" w:cstheme="minorHAnsi"/>
          <w:bCs/>
          <w:sz w:val="24"/>
          <w:szCs w:val="24"/>
          <w:lang w:val="el-GR"/>
        </w:rPr>
        <w:t>κ</w:t>
      </w:r>
      <w:r w:rsidR="00486976">
        <w:rPr>
          <w:rFonts w:eastAsia="Calibri" w:cstheme="minorHAnsi"/>
          <w:bCs/>
          <w:sz w:val="24"/>
          <w:szCs w:val="24"/>
          <w:lang w:val="el-GR"/>
        </w:rPr>
        <w:t>αθηκόντων της</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ως προς το θέμα υπό λεπτομερή έλεγχο</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Η</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άρνηση</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της</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παροχής</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πληροφοριών</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εγγράφων</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ή</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η</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παροχή</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ψευδών</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πληροφοριών</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ή</w:t>
      </w:r>
      <w:r w:rsidR="00486976" w:rsidRPr="00486976">
        <w:rPr>
          <w:rFonts w:eastAsia="Calibri" w:cstheme="minorHAnsi"/>
          <w:bCs/>
          <w:sz w:val="24"/>
          <w:szCs w:val="24"/>
          <w:lang w:val="el-GR"/>
        </w:rPr>
        <w:t xml:space="preserve"> </w:t>
      </w:r>
      <w:r w:rsidR="00486976">
        <w:rPr>
          <w:rFonts w:eastAsia="Calibri" w:cstheme="minorHAnsi"/>
          <w:bCs/>
          <w:sz w:val="24"/>
          <w:szCs w:val="24"/>
          <w:lang w:val="el-GR"/>
        </w:rPr>
        <w:t>εγγράφων σε μια κοινοβουλευτική επιτροπή</w:t>
      </w:r>
      <w:r w:rsidR="00A5147D" w:rsidRPr="00486976">
        <w:rPr>
          <w:rFonts w:eastAsia="Calibri" w:cstheme="minorHAnsi"/>
          <w:bCs/>
          <w:sz w:val="24"/>
          <w:szCs w:val="24"/>
          <w:lang w:val="el-GR"/>
        </w:rPr>
        <w:t xml:space="preserve"> </w:t>
      </w:r>
      <w:r w:rsidR="00486976">
        <w:rPr>
          <w:rFonts w:eastAsia="Calibri" w:cstheme="minorHAnsi"/>
          <w:bCs/>
          <w:sz w:val="24"/>
          <w:szCs w:val="24"/>
          <w:lang w:val="el-GR"/>
        </w:rPr>
        <w:t>είναι ποινικό αδίκημα</w:t>
      </w:r>
      <w:r w:rsidR="00A5147D" w:rsidRPr="00486976">
        <w:rPr>
          <w:rFonts w:eastAsia="Calibri" w:cstheme="minorHAnsi"/>
          <w:bCs/>
          <w:sz w:val="24"/>
          <w:szCs w:val="24"/>
          <w:lang w:val="el-GR"/>
        </w:rPr>
        <w:t xml:space="preserve">. </w:t>
      </w:r>
      <w:r w:rsidR="003341D7">
        <w:rPr>
          <w:rFonts w:eastAsia="Calibri" w:cstheme="minorHAnsi"/>
          <w:bCs/>
          <w:sz w:val="24"/>
          <w:szCs w:val="24"/>
          <w:lang w:val="el-GR"/>
        </w:rPr>
        <w:t>Ένα</w:t>
      </w:r>
      <w:r w:rsidR="003341D7" w:rsidRPr="003341D7">
        <w:rPr>
          <w:rFonts w:eastAsia="Calibri" w:cstheme="minorHAnsi"/>
          <w:bCs/>
          <w:sz w:val="24"/>
          <w:szCs w:val="24"/>
          <w:lang w:val="el-GR"/>
        </w:rPr>
        <w:t xml:space="preserve"> </w:t>
      </w:r>
      <w:r w:rsidR="003341D7">
        <w:rPr>
          <w:rFonts w:eastAsia="Calibri" w:cstheme="minorHAnsi"/>
          <w:bCs/>
          <w:sz w:val="24"/>
          <w:szCs w:val="24"/>
          <w:lang w:val="el-GR"/>
        </w:rPr>
        <w:t>άτομο</w:t>
      </w:r>
      <w:r w:rsidR="003341D7" w:rsidRPr="003341D7">
        <w:rPr>
          <w:rFonts w:eastAsia="Calibri" w:cstheme="minorHAnsi"/>
          <w:bCs/>
          <w:sz w:val="24"/>
          <w:szCs w:val="24"/>
          <w:lang w:val="el-GR"/>
        </w:rPr>
        <w:t xml:space="preserve"> </w:t>
      </w:r>
      <w:r w:rsidR="003341D7">
        <w:rPr>
          <w:rFonts w:eastAsia="Calibri" w:cstheme="minorHAnsi"/>
          <w:bCs/>
          <w:sz w:val="24"/>
          <w:szCs w:val="24"/>
          <w:lang w:val="el-GR"/>
        </w:rPr>
        <w:t>μπορεί</w:t>
      </w:r>
      <w:r w:rsidR="003341D7" w:rsidRPr="003341D7">
        <w:rPr>
          <w:rFonts w:eastAsia="Calibri" w:cstheme="minorHAnsi"/>
          <w:bCs/>
          <w:sz w:val="24"/>
          <w:szCs w:val="24"/>
          <w:lang w:val="el-GR"/>
        </w:rPr>
        <w:t xml:space="preserve"> </w:t>
      </w:r>
      <w:r w:rsidR="003341D7">
        <w:rPr>
          <w:rFonts w:eastAsia="Calibri" w:cstheme="minorHAnsi"/>
          <w:bCs/>
          <w:sz w:val="24"/>
          <w:szCs w:val="24"/>
          <w:lang w:val="el-GR"/>
        </w:rPr>
        <w:t>να</w:t>
      </w:r>
      <w:r w:rsidR="003341D7" w:rsidRPr="003341D7">
        <w:rPr>
          <w:rFonts w:eastAsia="Calibri" w:cstheme="minorHAnsi"/>
          <w:bCs/>
          <w:sz w:val="24"/>
          <w:szCs w:val="24"/>
          <w:lang w:val="el-GR"/>
        </w:rPr>
        <w:t xml:space="preserve"> </w:t>
      </w:r>
      <w:r w:rsidR="003341D7">
        <w:rPr>
          <w:rFonts w:eastAsia="Calibri" w:cstheme="minorHAnsi"/>
          <w:bCs/>
          <w:sz w:val="24"/>
          <w:szCs w:val="24"/>
          <w:lang w:val="el-GR"/>
        </w:rPr>
        <w:lastRenderedPageBreak/>
        <w:t>αρνηθεί</w:t>
      </w:r>
      <w:r w:rsidR="003341D7" w:rsidRPr="003341D7">
        <w:rPr>
          <w:rFonts w:eastAsia="Calibri" w:cstheme="minorHAnsi"/>
          <w:bCs/>
          <w:sz w:val="24"/>
          <w:szCs w:val="24"/>
          <w:lang w:val="el-GR"/>
        </w:rPr>
        <w:t xml:space="preserve"> </w:t>
      </w:r>
      <w:r w:rsidR="003341D7">
        <w:rPr>
          <w:rFonts w:eastAsia="Calibri" w:cstheme="minorHAnsi"/>
          <w:bCs/>
          <w:sz w:val="24"/>
          <w:szCs w:val="24"/>
          <w:lang w:val="el-GR"/>
        </w:rPr>
        <w:t>να</w:t>
      </w:r>
      <w:r w:rsidR="003341D7" w:rsidRPr="003341D7">
        <w:rPr>
          <w:rFonts w:eastAsia="Calibri" w:cstheme="minorHAnsi"/>
          <w:bCs/>
          <w:sz w:val="24"/>
          <w:szCs w:val="24"/>
          <w:lang w:val="el-GR"/>
        </w:rPr>
        <w:t xml:space="preserve"> </w:t>
      </w:r>
      <w:r w:rsidR="003341D7">
        <w:rPr>
          <w:rFonts w:eastAsia="Calibri" w:cstheme="minorHAnsi"/>
          <w:bCs/>
          <w:sz w:val="24"/>
          <w:szCs w:val="24"/>
          <w:lang w:val="el-GR"/>
        </w:rPr>
        <w:t>παρέχει</w:t>
      </w:r>
      <w:r w:rsidR="003341D7" w:rsidRPr="003341D7">
        <w:rPr>
          <w:rFonts w:eastAsia="Calibri" w:cstheme="minorHAnsi"/>
          <w:bCs/>
          <w:sz w:val="24"/>
          <w:szCs w:val="24"/>
          <w:lang w:val="el-GR"/>
        </w:rPr>
        <w:t xml:space="preserve"> </w:t>
      </w:r>
      <w:r w:rsidR="003341D7">
        <w:rPr>
          <w:rFonts w:eastAsia="Calibri" w:cstheme="minorHAnsi"/>
          <w:bCs/>
          <w:sz w:val="24"/>
          <w:szCs w:val="24"/>
          <w:lang w:val="el-GR"/>
        </w:rPr>
        <w:t>τέτοια</w:t>
      </w:r>
      <w:r w:rsidR="003341D7" w:rsidRPr="003341D7">
        <w:rPr>
          <w:rFonts w:eastAsia="Calibri" w:cstheme="minorHAnsi"/>
          <w:bCs/>
          <w:sz w:val="24"/>
          <w:szCs w:val="24"/>
          <w:lang w:val="el-GR"/>
        </w:rPr>
        <w:t xml:space="preserve"> </w:t>
      </w:r>
      <w:r w:rsidR="003341D7">
        <w:rPr>
          <w:rFonts w:eastAsia="Calibri" w:cstheme="minorHAnsi"/>
          <w:bCs/>
          <w:sz w:val="24"/>
          <w:szCs w:val="24"/>
          <w:lang w:val="el-GR"/>
        </w:rPr>
        <w:t>πληροφορία</w:t>
      </w:r>
      <w:r w:rsidR="00A5147D" w:rsidRPr="003341D7">
        <w:rPr>
          <w:rFonts w:eastAsia="Calibri" w:cstheme="minorHAnsi"/>
          <w:bCs/>
          <w:sz w:val="24"/>
          <w:szCs w:val="24"/>
          <w:lang w:val="el-GR"/>
        </w:rPr>
        <w:t xml:space="preserve"> </w:t>
      </w:r>
      <w:r w:rsidR="003341D7">
        <w:rPr>
          <w:rFonts w:eastAsia="Calibri" w:cstheme="minorHAnsi"/>
          <w:bCs/>
          <w:sz w:val="24"/>
          <w:szCs w:val="24"/>
          <w:lang w:val="el-GR"/>
        </w:rPr>
        <w:t>αν</w:t>
      </w:r>
      <w:r w:rsidR="003341D7" w:rsidRPr="003341D7">
        <w:rPr>
          <w:rFonts w:eastAsia="Calibri" w:cstheme="minorHAnsi"/>
          <w:bCs/>
          <w:sz w:val="24"/>
          <w:szCs w:val="24"/>
          <w:lang w:val="el-GR"/>
        </w:rPr>
        <w:t xml:space="preserve"> </w:t>
      </w:r>
      <w:r w:rsidR="003341D7">
        <w:rPr>
          <w:rFonts w:eastAsia="Calibri" w:cstheme="minorHAnsi"/>
          <w:bCs/>
          <w:sz w:val="24"/>
          <w:szCs w:val="24"/>
          <w:lang w:val="el-GR"/>
        </w:rPr>
        <w:t>αυτή εμπίπτει σε ένα συγκεκριμένο σύνολο εξαιρέσεων που ορίζει ο νόμος</w:t>
      </w:r>
      <w:r w:rsidR="00A5147D" w:rsidRPr="003341D7">
        <w:rPr>
          <w:rFonts w:eastAsia="Calibri" w:cstheme="minorHAnsi"/>
          <w:bCs/>
          <w:sz w:val="24"/>
          <w:szCs w:val="24"/>
          <w:lang w:val="el-GR"/>
        </w:rPr>
        <w:t>.</w:t>
      </w:r>
    </w:p>
    <w:p w14:paraId="6734FD3E" w14:textId="77777777" w:rsidR="00A5147D" w:rsidRPr="003341D7" w:rsidRDefault="00A5147D" w:rsidP="00A5147D">
      <w:pPr>
        <w:contextualSpacing/>
        <w:rPr>
          <w:rFonts w:eastAsia="Calibri" w:cstheme="minorHAnsi"/>
          <w:bCs/>
          <w:sz w:val="24"/>
          <w:szCs w:val="24"/>
          <w:lang w:val="el-GR"/>
        </w:rPr>
      </w:pPr>
    </w:p>
    <w:p w14:paraId="76E415FA" w14:textId="56932CB3" w:rsidR="00A5147D" w:rsidRPr="0067177B" w:rsidRDefault="0067177B" w:rsidP="00A5147D">
      <w:pPr>
        <w:numPr>
          <w:ilvl w:val="0"/>
          <w:numId w:val="1"/>
        </w:numPr>
        <w:tabs>
          <w:tab w:val="clear" w:pos="6095"/>
          <w:tab w:val="left" w:pos="709"/>
        </w:tabs>
        <w:ind w:left="0" w:firstLine="0"/>
        <w:contextualSpacing/>
        <w:rPr>
          <w:rFonts w:cstheme="minorHAnsi"/>
          <w:sz w:val="24"/>
          <w:szCs w:val="24"/>
          <w:lang w:val="el-GR"/>
        </w:rPr>
      </w:pPr>
      <w:r>
        <w:rPr>
          <w:rFonts w:eastAsia="Calibri" w:cstheme="minorHAnsi"/>
          <w:bCs/>
          <w:sz w:val="24"/>
          <w:szCs w:val="24"/>
          <w:lang w:val="el-GR"/>
        </w:rPr>
        <w:t>Οι</w:t>
      </w:r>
      <w:r w:rsidRPr="0067177B">
        <w:rPr>
          <w:rFonts w:eastAsia="Calibri" w:cstheme="minorHAnsi"/>
          <w:bCs/>
          <w:sz w:val="24"/>
          <w:szCs w:val="24"/>
          <w:lang w:val="el-GR"/>
        </w:rPr>
        <w:t xml:space="preserve"> </w:t>
      </w:r>
      <w:r>
        <w:rPr>
          <w:rFonts w:eastAsia="Calibri" w:cstheme="minorHAnsi"/>
          <w:bCs/>
          <w:sz w:val="24"/>
          <w:szCs w:val="24"/>
          <w:lang w:val="el-GR"/>
        </w:rPr>
        <w:t>Μόνιμες</w:t>
      </w:r>
      <w:r w:rsidRPr="0067177B">
        <w:rPr>
          <w:rFonts w:eastAsia="Calibri" w:cstheme="minorHAnsi"/>
          <w:bCs/>
          <w:sz w:val="24"/>
          <w:szCs w:val="24"/>
          <w:lang w:val="el-GR"/>
        </w:rPr>
        <w:t xml:space="preserve"> </w:t>
      </w:r>
      <w:r>
        <w:rPr>
          <w:rFonts w:eastAsia="Calibri" w:cstheme="minorHAnsi"/>
          <w:bCs/>
          <w:sz w:val="24"/>
          <w:szCs w:val="24"/>
          <w:lang w:val="el-GR"/>
        </w:rPr>
        <w:t>κοινοβουλευτικές</w:t>
      </w:r>
      <w:r w:rsidRPr="0067177B">
        <w:rPr>
          <w:rFonts w:eastAsia="Calibri" w:cstheme="minorHAnsi"/>
          <w:bCs/>
          <w:sz w:val="24"/>
          <w:szCs w:val="24"/>
          <w:lang w:val="el-GR"/>
        </w:rPr>
        <w:t xml:space="preserve"> </w:t>
      </w:r>
      <w:r>
        <w:rPr>
          <w:rFonts w:eastAsia="Calibri" w:cstheme="minorHAnsi"/>
          <w:bCs/>
          <w:sz w:val="24"/>
          <w:szCs w:val="24"/>
          <w:lang w:val="el-GR"/>
        </w:rPr>
        <w:t>επιτροπές</w:t>
      </w:r>
      <w:r w:rsidRPr="0067177B">
        <w:rPr>
          <w:rFonts w:eastAsia="Calibri" w:cstheme="minorHAnsi"/>
          <w:bCs/>
          <w:sz w:val="24"/>
          <w:szCs w:val="24"/>
          <w:lang w:val="el-GR"/>
        </w:rPr>
        <w:t xml:space="preserve"> </w:t>
      </w:r>
      <w:r w:rsidR="00E606DC">
        <w:rPr>
          <w:rFonts w:eastAsia="Calibri" w:cstheme="minorHAnsi"/>
          <w:bCs/>
          <w:sz w:val="24"/>
          <w:szCs w:val="24"/>
          <w:lang w:val="el-GR"/>
        </w:rPr>
        <w:t xml:space="preserve">καλούνται </w:t>
      </w:r>
      <w:r>
        <w:rPr>
          <w:rFonts w:eastAsia="Calibri" w:cstheme="minorHAnsi"/>
          <w:bCs/>
          <w:sz w:val="24"/>
          <w:szCs w:val="24"/>
          <w:lang w:val="el-GR"/>
        </w:rPr>
        <w:t>να</w:t>
      </w:r>
      <w:r w:rsidRPr="0067177B">
        <w:rPr>
          <w:rFonts w:eastAsia="Calibri" w:cstheme="minorHAnsi"/>
          <w:bCs/>
          <w:sz w:val="24"/>
          <w:szCs w:val="24"/>
          <w:lang w:val="el-GR"/>
        </w:rPr>
        <w:t xml:space="preserve"> </w:t>
      </w:r>
      <w:r w:rsidR="00E606DC">
        <w:rPr>
          <w:rFonts w:eastAsia="Calibri" w:cstheme="minorHAnsi"/>
          <w:bCs/>
          <w:sz w:val="24"/>
          <w:szCs w:val="24"/>
          <w:lang w:val="el-GR"/>
        </w:rPr>
        <w:t xml:space="preserve">προβαίνουν σε </w:t>
      </w:r>
      <w:r>
        <w:rPr>
          <w:rFonts w:eastAsia="Calibri" w:cstheme="minorHAnsi"/>
          <w:bCs/>
          <w:sz w:val="24"/>
          <w:szCs w:val="24"/>
          <w:lang w:val="el-GR"/>
        </w:rPr>
        <w:t>λεπτομερή</w:t>
      </w:r>
      <w:r w:rsidRPr="0067177B">
        <w:rPr>
          <w:rFonts w:eastAsia="Calibri" w:cstheme="minorHAnsi"/>
          <w:bCs/>
          <w:sz w:val="24"/>
          <w:szCs w:val="24"/>
          <w:lang w:val="el-GR"/>
        </w:rPr>
        <w:t xml:space="preserve"> </w:t>
      </w:r>
      <w:r>
        <w:rPr>
          <w:rFonts w:eastAsia="Calibri" w:cstheme="minorHAnsi"/>
          <w:bCs/>
          <w:sz w:val="24"/>
          <w:szCs w:val="24"/>
          <w:lang w:val="el-GR"/>
        </w:rPr>
        <w:t>έλεγχο</w:t>
      </w:r>
      <w:r w:rsidRPr="0067177B">
        <w:rPr>
          <w:rFonts w:eastAsia="Calibri" w:cstheme="minorHAnsi"/>
          <w:bCs/>
          <w:sz w:val="24"/>
          <w:szCs w:val="24"/>
          <w:lang w:val="el-GR"/>
        </w:rPr>
        <w:t xml:space="preserve"> </w:t>
      </w:r>
      <w:r>
        <w:rPr>
          <w:rFonts w:eastAsia="Calibri" w:cstheme="minorHAnsi"/>
          <w:bCs/>
          <w:sz w:val="24"/>
          <w:szCs w:val="24"/>
          <w:lang w:val="el-GR"/>
        </w:rPr>
        <w:t>των</w:t>
      </w:r>
      <w:r w:rsidRPr="0067177B">
        <w:rPr>
          <w:rFonts w:eastAsia="Calibri" w:cstheme="minorHAnsi"/>
          <w:bCs/>
          <w:sz w:val="24"/>
          <w:szCs w:val="24"/>
          <w:lang w:val="el-GR"/>
        </w:rPr>
        <w:t xml:space="preserve"> </w:t>
      </w:r>
      <w:r>
        <w:rPr>
          <w:rFonts w:eastAsia="Calibri" w:cstheme="minorHAnsi"/>
          <w:bCs/>
          <w:sz w:val="24"/>
          <w:szCs w:val="24"/>
          <w:lang w:val="el-GR"/>
        </w:rPr>
        <w:t>ενεργειών</w:t>
      </w:r>
      <w:r w:rsidRPr="0067177B">
        <w:rPr>
          <w:rFonts w:eastAsia="Calibri" w:cstheme="minorHAnsi"/>
          <w:bCs/>
          <w:sz w:val="24"/>
          <w:szCs w:val="24"/>
          <w:lang w:val="el-GR"/>
        </w:rPr>
        <w:t xml:space="preserve"> </w:t>
      </w:r>
      <w:r>
        <w:rPr>
          <w:rFonts w:eastAsia="Calibri" w:cstheme="minorHAnsi"/>
          <w:bCs/>
          <w:sz w:val="24"/>
          <w:szCs w:val="24"/>
          <w:lang w:val="el-GR"/>
        </w:rPr>
        <w:t>και</w:t>
      </w:r>
      <w:r w:rsidRPr="0067177B">
        <w:rPr>
          <w:rFonts w:eastAsia="Calibri" w:cstheme="minorHAnsi"/>
          <w:bCs/>
          <w:sz w:val="24"/>
          <w:szCs w:val="24"/>
          <w:lang w:val="el-GR"/>
        </w:rPr>
        <w:t xml:space="preserve"> </w:t>
      </w:r>
      <w:r>
        <w:rPr>
          <w:rFonts w:eastAsia="Calibri" w:cstheme="minorHAnsi"/>
          <w:bCs/>
          <w:sz w:val="24"/>
          <w:szCs w:val="24"/>
          <w:lang w:val="el-GR"/>
        </w:rPr>
        <w:t>πολιτικών</w:t>
      </w:r>
      <w:r w:rsidR="00A5147D" w:rsidRPr="0067177B">
        <w:rPr>
          <w:rFonts w:eastAsia="Calibri" w:cstheme="minorHAnsi"/>
          <w:bCs/>
          <w:sz w:val="24"/>
          <w:szCs w:val="24"/>
          <w:lang w:val="el-GR"/>
        </w:rPr>
        <w:t xml:space="preserve"> </w:t>
      </w:r>
      <w:r>
        <w:rPr>
          <w:rFonts w:eastAsia="Calibri" w:cstheme="minorHAnsi"/>
          <w:bCs/>
          <w:sz w:val="24"/>
          <w:szCs w:val="24"/>
          <w:lang w:val="el-GR"/>
        </w:rPr>
        <w:t>τ</w:t>
      </w:r>
      <w:r w:rsidR="00D24155">
        <w:rPr>
          <w:rFonts w:eastAsia="Calibri" w:cstheme="minorHAnsi"/>
          <w:bCs/>
          <w:sz w:val="24"/>
          <w:szCs w:val="24"/>
          <w:lang w:val="el-GR"/>
        </w:rPr>
        <w:t>η</w:t>
      </w:r>
      <w:r>
        <w:rPr>
          <w:rFonts w:eastAsia="Calibri" w:cstheme="minorHAnsi"/>
          <w:bCs/>
          <w:sz w:val="24"/>
          <w:szCs w:val="24"/>
          <w:lang w:val="el-GR"/>
        </w:rPr>
        <w:t>ς εκ</w:t>
      </w:r>
      <w:r w:rsidR="00596750">
        <w:rPr>
          <w:rFonts w:eastAsia="Calibri" w:cstheme="minorHAnsi"/>
          <w:bCs/>
          <w:sz w:val="24"/>
          <w:szCs w:val="24"/>
          <w:lang w:val="el-GR"/>
        </w:rPr>
        <w:t>τ</w:t>
      </w:r>
      <w:r>
        <w:rPr>
          <w:rFonts w:eastAsia="Calibri" w:cstheme="minorHAnsi"/>
          <w:bCs/>
          <w:sz w:val="24"/>
          <w:szCs w:val="24"/>
          <w:lang w:val="el-GR"/>
        </w:rPr>
        <w:t xml:space="preserve">ελεστικής εξουσίας σε </w:t>
      </w:r>
      <w:r w:rsidR="00D24155">
        <w:rPr>
          <w:rFonts w:eastAsia="Calibri" w:cstheme="minorHAnsi"/>
          <w:bCs/>
          <w:sz w:val="24"/>
          <w:szCs w:val="24"/>
          <w:lang w:val="el-GR"/>
        </w:rPr>
        <w:t>πολλές περιπτώσεις</w:t>
      </w:r>
      <w:r w:rsidR="00A5147D" w:rsidRPr="0067177B">
        <w:rPr>
          <w:rFonts w:eastAsia="Calibri" w:cstheme="minorHAnsi"/>
          <w:bCs/>
          <w:sz w:val="24"/>
          <w:szCs w:val="24"/>
          <w:lang w:val="el-GR"/>
        </w:rPr>
        <w:t xml:space="preserve">. </w:t>
      </w:r>
      <w:r>
        <w:rPr>
          <w:rFonts w:eastAsia="Calibri" w:cstheme="minorHAnsi"/>
          <w:bCs/>
          <w:sz w:val="24"/>
          <w:szCs w:val="24"/>
          <w:lang w:val="en-US"/>
        </w:rPr>
        <w:t>K</w:t>
      </w:r>
      <w:proofErr w:type="spellStart"/>
      <w:r>
        <w:rPr>
          <w:rFonts w:eastAsia="Calibri" w:cstheme="minorHAnsi"/>
          <w:bCs/>
          <w:sz w:val="24"/>
          <w:szCs w:val="24"/>
          <w:lang w:val="el-GR"/>
        </w:rPr>
        <w:t>άθε</w:t>
      </w:r>
      <w:proofErr w:type="spellEnd"/>
      <w:r w:rsidRPr="0067177B">
        <w:rPr>
          <w:rFonts w:eastAsia="Calibri" w:cstheme="minorHAnsi"/>
          <w:bCs/>
          <w:sz w:val="24"/>
          <w:szCs w:val="24"/>
          <w:lang w:val="el-GR"/>
        </w:rPr>
        <w:t xml:space="preserve"> </w:t>
      </w:r>
      <w:r>
        <w:rPr>
          <w:rFonts w:eastAsia="Calibri" w:cstheme="minorHAnsi"/>
          <w:bCs/>
          <w:sz w:val="24"/>
          <w:szCs w:val="24"/>
          <w:lang w:val="el-GR"/>
        </w:rPr>
        <w:t>επιτροπή</w:t>
      </w:r>
      <w:r w:rsidRPr="0067177B">
        <w:rPr>
          <w:rFonts w:eastAsia="Calibri" w:cstheme="minorHAnsi"/>
          <w:bCs/>
          <w:sz w:val="24"/>
          <w:szCs w:val="24"/>
          <w:lang w:val="el-GR"/>
        </w:rPr>
        <w:t xml:space="preserve"> </w:t>
      </w:r>
      <w:r>
        <w:rPr>
          <w:rFonts w:eastAsia="Calibri" w:cstheme="minorHAnsi"/>
          <w:bCs/>
          <w:sz w:val="24"/>
          <w:szCs w:val="24"/>
          <w:lang w:val="el-GR"/>
        </w:rPr>
        <w:t>δεσμεύεται</w:t>
      </w:r>
      <w:r w:rsidRPr="0067177B">
        <w:rPr>
          <w:rFonts w:eastAsia="Calibri" w:cstheme="minorHAnsi"/>
          <w:bCs/>
          <w:sz w:val="24"/>
          <w:szCs w:val="24"/>
          <w:lang w:val="el-GR"/>
        </w:rPr>
        <w:t xml:space="preserve"> </w:t>
      </w:r>
      <w:r>
        <w:rPr>
          <w:rFonts w:eastAsia="Calibri" w:cstheme="minorHAnsi"/>
          <w:bCs/>
          <w:sz w:val="24"/>
          <w:szCs w:val="24"/>
          <w:lang w:val="el-GR"/>
        </w:rPr>
        <w:t>να</w:t>
      </w:r>
      <w:r w:rsidRPr="0067177B">
        <w:rPr>
          <w:rFonts w:eastAsia="Calibri" w:cstheme="minorHAnsi"/>
          <w:bCs/>
          <w:sz w:val="24"/>
          <w:szCs w:val="24"/>
          <w:lang w:val="el-GR"/>
        </w:rPr>
        <w:t xml:space="preserve"> </w:t>
      </w:r>
      <w:r>
        <w:rPr>
          <w:rFonts w:eastAsia="Calibri" w:cstheme="minorHAnsi"/>
          <w:bCs/>
          <w:sz w:val="24"/>
          <w:szCs w:val="24"/>
          <w:lang w:val="el-GR"/>
        </w:rPr>
        <w:t>κάνει</w:t>
      </w:r>
      <w:r w:rsidRPr="0067177B">
        <w:rPr>
          <w:rFonts w:eastAsia="Calibri" w:cstheme="minorHAnsi"/>
          <w:bCs/>
          <w:sz w:val="24"/>
          <w:szCs w:val="24"/>
          <w:lang w:val="el-GR"/>
        </w:rPr>
        <w:t xml:space="preserve"> </w:t>
      </w:r>
      <w:r>
        <w:rPr>
          <w:rFonts w:eastAsia="Calibri" w:cstheme="minorHAnsi"/>
          <w:bCs/>
          <w:sz w:val="24"/>
          <w:szCs w:val="24"/>
          <w:lang w:val="el-GR"/>
        </w:rPr>
        <w:t>λεπτομερή</w:t>
      </w:r>
      <w:r w:rsidRPr="0067177B">
        <w:rPr>
          <w:rFonts w:eastAsia="Calibri" w:cstheme="minorHAnsi"/>
          <w:bCs/>
          <w:sz w:val="24"/>
          <w:szCs w:val="24"/>
          <w:lang w:val="el-GR"/>
        </w:rPr>
        <w:t xml:space="preserve"> </w:t>
      </w:r>
      <w:r>
        <w:rPr>
          <w:rFonts w:eastAsia="Calibri" w:cstheme="minorHAnsi"/>
          <w:bCs/>
          <w:sz w:val="24"/>
          <w:szCs w:val="24"/>
          <w:lang w:val="el-GR"/>
        </w:rPr>
        <w:t>έλεγχο πολιτικών που εμπίπτουν στην αρμοδιότητα της</w:t>
      </w:r>
      <w:r w:rsidR="00A5147D" w:rsidRPr="0067177B">
        <w:rPr>
          <w:rFonts w:eastAsia="Calibri" w:cstheme="minorHAnsi"/>
          <w:bCs/>
          <w:sz w:val="24"/>
          <w:szCs w:val="24"/>
          <w:lang w:val="el-GR"/>
        </w:rPr>
        <w:t xml:space="preserve">. </w:t>
      </w:r>
      <w:r>
        <w:rPr>
          <w:rFonts w:eastAsia="Calibri" w:cstheme="minorHAnsi"/>
          <w:bCs/>
          <w:sz w:val="24"/>
          <w:szCs w:val="24"/>
          <w:lang w:val="el-GR"/>
        </w:rPr>
        <w:t>Πέραν</w:t>
      </w:r>
      <w:r w:rsidRPr="0067177B">
        <w:rPr>
          <w:rFonts w:eastAsia="Calibri" w:cstheme="minorHAnsi"/>
          <w:bCs/>
          <w:sz w:val="24"/>
          <w:szCs w:val="24"/>
          <w:lang w:val="el-GR"/>
        </w:rPr>
        <w:t xml:space="preserve"> </w:t>
      </w:r>
      <w:r w:rsidR="00E606DC">
        <w:rPr>
          <w:rFonts w:eastAsia="Calibri" w:cstheme="minorHAnsi"/>
          <w:bCs/>
          <w:sz w:val="24"/>
          <w:szCs w:val="24"/>
          <w:lang w:val="el-GR"/>
        </w:rPr>
        <w:t>απ</w:t>
      </w:r>
      <w:r w:rsidR="00E606DC" w:rsidRPr="0067177B">
        <w:rPr>
          <w:rFonts w:eastAsia="Calibri" w:cstheme="minorHAnsi"/>
          <w:bCs/>
          <w:sz w:val="24"/>
          <w:szCs w:val="24"/>
          <w:lang w:val="el-GR"/>
        </w:rPr>
        <w:t>’</w:t>
      </w:r>
      <w:r w:rsidR="00E606DC">
        <w:rPr>
          <w:rFonts w:eastAsia="Calibri" w:cstheme="minorHAnsi"/>
          <w:bCs/>
          <w:sz w:val="24"/>
          <w:szCs w:val="24"/>
          <w:lang w:val="el-GR"/>
        </w:rPr>
        <w:t xml:space="preserve"> αυτό</w:t>
      </w:r>
      <w:r w:rsidR="00A5147D" w:rsidRPr="0067177B">
        <w:rPr>
          <w:rFonts w:eastAsia="Calibri" w:cstheme="minorHAnsi"/>
          <w:bCs/>
          <w:sz w:val="24"/>
          <w:szCs w:val="24"/>
          <w:lang w:val="el-GR"/>
        </w:rPr>
        <w:t xml:space="preserve">, </w:t>
      </w:r>
      <w:r>
        <w:rPr>
          <w:rFonts w:eastAsia="Calibri" w:cstheme="minorHAnsi"/>
          <w:bCs/>
          <w:sz w:val="24"/>
          <w:szCs w:val="24"/>
          <w:lang w:val="el-GR"/>
        </w:rPr>
        <w:t>τα</w:t>
      </w:r>
      <w:r w:rsidRPr="0067177B">
        <w:rPr>
          <w:rFonts w:eastAsia="Calibri" w:cstheme="minorHAnsi"/>
          <w:bCs/>
          <w:sz w:val="24"/>
          <w:szCs w:val="24"/>
          <w:lang w:val="el-GR"/>
        </w:rPr>
        <w:t xml:space="preserve"> </w:t>
      </w:r>
      <w:r>
        <w:rPr>
          <w:rFonts w:eastAsia="Calibri" w:cstheme="minorHAnsi"/>
          <w:bCs/>
          <w:sz w:val="24"/>
          <w:szCs w:val="24"/>
          <w:lang w:val="el-GR"/>
        </w:rPr>
        <w:t>τελευταία</w:t>
      </w:r>
      <w:r w:rsidRPr="0067177B">
        <w:rPr>
          <w:rFonts w:eastAsia="Calibri" w:cstheme="minorHAnsi"/>
          <w:bCs/>
          <w:sz w:val="24"/>
          <w:szCs w:val="24"/>
          <w:lang w:val="el-GR"/>
        </w:rPr>
        <w:t xml:space="preserve"> </w:t>
      </w:r>
      <w:r>
        <w:rPr>
          <w:rFonts w:eastAsia="Calibri" w:cstheme="minorHAnsi"/>
          <w:bCs/>
          <w:sz w:val="24"/>
          <w:szCs w:val="24"/>
          <w:lang w:val="el-GR"/>
        </w:rPr>
        <w:t>μερικά</w:t>
      </w:r>
      <w:r w:rsidRPr="0067177B">
        <w:rPr>
          <w:rFonts w:eastAsia="Calibri" w:cstheme="minorHAnsi"/>
          <w:bCs/>
          <w:sz w:val="24"/>
          <w:szCs w:val="24"/>
          <w:lang w:val="el-GR"/>
        </w:rPr>
        <w:t xml:space="preserve"> </w:t>
      </w:r>
      <w:r>
        <w:rPr>
          <w:rFonts w:eastAsia="Calibri" w:cstheme="minorHAnsi"/>
          <w:bCs/>
          <w:sz w:val="24"/>
          <w:szCs w:val="24"/>
          <w:lang w:val="el-GR"/>
        </w:rPr>
        <w:t>χρόνια</w:t>
      </w:r>
      <w:r w:rsidR="00A5147D" w:rsidRPr="0067177B">
        <w:rPr>
          <w:rFonts w:eastAsia="Calibri" w:cstheme="minorHAnsi"/>
          <w:bCs/>
          <w:sz w:val="24"/>
          <w:szCs w:val="24"/>
          <w:lang w:val="el-GR"/>
        </w:rPr>
        <w:t xml:space="preserve"> </w:t>
      </w:r>
      <w:r>
        <w:rPr>
          <w:rFonts w:eastAsia="Calibri" w:cstheme="minorHAnsi"/>
          <w:bCs/>
          <w:sz w:val="24"/>
          <w:szCs w:val="24"/>
          <w:lang w:val="el-GR"/>
        </w:rPr>
        <w:t>ένας</w:t>
      </w:r>
      <w:r w:rsidRPr="0067177B">
        <w:rPr>
          <w:rFonts w:eastAsia="Calibri" w:cstheme="minorHAnsi"/>
          <w:bCs/>
          <w:sz w:val="24"/>
          <w:szCs w:val="24"/>
          <w:lang w:val="el-GR"/>
        </w:rPr>
        <w:t xml:space="preserve"> </w:t>
      </w:r>
      <w:r>
        <w:rPr>
          <w:rFonts w:eastAsia="Calibri" w:cstheme="minorHAnsi"/>
          <w:bCs/>
          <w:sz w:val="24"/>
          <w:szCs w:val="24"/>
          <w:lang w:val="el-GR"/>
        </w:rPr>
        <w:t>αριθμός</w:t>
      </w:r>
      <w:r w:rsidR="00A5147D" w:rsidRPr="0067177B">
        <w:rPr>
          <w:rFonts w:eastAsia="Calibri" w:cstheme="minorHAnsi"/>
          <w:bCs/>
          <w:sz w:val="24"/>
          <w:szCs w:val="24"/>
          <w:lang w:val="el-GR"/>
        </w:rPr>
        <w:t xml:space="preserve"> </w:t>
      </w:r>
      <w:r w:rsidR="00A5147D" w:rsidRPr="004E251E">
        <w:rPr>
          <w:rFonts w:eastAsia="Calibri" w:cstheme="minorHAnsi"/>
          <w:bCs/>
          <w:i/>
          <w:iCs/>
          <w:sz w:val="24"/>
          <w:szCs w:val="24"/>
        </w:rPr>
        <w:t>ad</w:t>
      </w:r>
      <w:r w:rsidR="00A5147D" w:rsidRPr="0067177B">
        <w:rPr>
          <w:rFonts w:eastAsia="Calibri" w:cstheme="minorHAnsi"/>
          <w:bCs/>
          <w:i/>
          <w:iCs/>
          <w:sz w:val="24"/>
          <w:szCs w:val="24"/>
          <w:lang w:val="el-GR"/>
        </w:rPr>
        <w:t xml:space="preserve"> </w:t>
      </w:r>
      <w:r w:rsidR="00A5147D" w:rsidRPr="004E251E">
        <w:rPr>
          <w:rFonts w:eastAsia="Calibri" w:cstheme="minorHAnsi"/>
          <w:bCs/>
          <w:i/>
          <w:iCs/>
          <w:sz w:val="24"/>
          <w:szCs w:val="24"/>
        </w:rPr>
        <w:t>hoc</w:t>
      </w:r>
      <w:r w:rsidR="00A5147D" w:rsidRPr="0067177B">
        <w:rPr>
          <w:rFonts w:eastAsia="Calibri" w:cstheme="minorHAnsi"/>
          <w:bCs/>
          <w:sz w:val="24"/>
          <w:szCs w:val="24"/>
          <w:lang w:val="el-GR"/>
        </w:rPr>
        <w:t xml:space="preserve"> </w:t>
      </w:r>
      <w:r>
        <w:rPr>
          <w:rFonts w:eastAsia="Calibri" w:cstheme="minorHAnsi"/>
          <w:bCs/>
          <w:sz w:val="24"/>
          <w:szCs w:val="24"/>
          <w:lang w:val="el-GR"/>
        </w:rPr>
        <w:t>και</w:t>
      </w:r>
      <w:r w:rsidRPr="0067177B">
        <w:rPr>
          <w:rFonts w:eastAsia="Calibri" w:cstheme="minorHAnsi"/>
          <w:bCs/>
          <w:sz w:val="24"/>
          <w:szCs w:val="24"/>
          <w:lang w:val="el-GR"/>
        </w:rPr>
        <w:t xml:space="preserve"> </w:t>
      </w:r>
      <w:r>
        <w:rPr>
          <w:rFonts w:eastAsia="Calibri" w:cstheme="minorHAnsi"/>
          <w:bCs/>
          <w:sz w:val="24"/>
          <w:szCs w:val="24"/>
          <w:lang w:val="el-GR"/>
        </w:rPr>
        <w:t>ειδικών</w:t>
      </w:r>
      <w:r w:rsidRPr="0067177B">
        <w:rPr>
          <w:rFonts w:eastAsia="Calibri" w:cstheme="minorHAnsi"/>
          <w:bCs/>
          <w:sz w:val="24"/>
          <w:szCs w:val="24"/>
          <w:lang w:val="el-GR"/>
        </w:rPr>
        <w:t xml:space="preserve"> </w:t>
      </w:r>
      <w:r>
        <w:rPr>
          <w:rFonts w:eastAsia="Calibri" w:cstheme="minorHAnsi"/>
          <w:bCs/>
          <w:sz w:val="24"/>
          <w:szCs w:val="24"/>
          <w:lang w:val="el-GR"/>
        </w:rPr>
        <w:t>επιτροπών</w:t>
      </w:r>
      <w:r w:rsidRPr="0067177B">
        <w:rPr>
          <w:rFonts w:eastAsia="Calibri" w:cstheme="minorHAnsi"/>
          <w:bCs/>
          <w:sz w:val="24"/>
          <w:szCs w:val="24"/>
          <w:lang w:val="el-GR"/>
        </w:rPr>
        <w:t xml:space="preserve"> </w:t>
      </w:r>
      <w:r>
        <w:rPr>
          <w:rFonts w:eastAsia="Calibri" w:cstheme="minorHAnsi"/>
          <w:bCs/>
          <w:sz w:val="24"/>
          <w:szCs w:val="24"/>
          <w:lang w:val="el-GR"/>
        </w:rPr>
        <w:t>καταρτίστηκαν</w:t>
      </w:r>
      <w:r w:rsidR="00A5147D" w:rsidRPr="0067177B">
        <w:rPr>
          <w:rFonts w:eastAsia="Calibri" w:cstheme="minorHAnsi"/>
          <w:bCs/>
          <w:sz w:val="24"/>
          <w:szCs w:val="24"/>
          <w:lang w:val="el-GR"/>
        </w:rPr>
        <w:t xml:space="preserve"> </w:t>
      </w:r>
      <w:r>
        <w:rPr>
          <w:rFonts w:eastAsia="Calibri" w:cstheme="minorHAnsi"/>
          <w:bCs/>
          <w:sz w:val="24"/>
          <w:szCs w:val="24"/>
          <w:lang w:val="el-GR"/>
        </w:rPr>
        <w:t>με</w:t>
      </w:r>
      <w:r w:rsidRPr="0067177B">
        <w:rPr>
          <w:rFonts w:eastAsia="Calibri" w:cstheme="minorHAnsi"/>
          <w:bCs/>
          <w:sz w:val="24"/>
          <w:szCs w:val="24"/>
          <w:lang w:val="el-GR"/>
        </w:rPr>
        <w:t xml:space="preserve"> </w:t>
      </w:r>
      <w:r>
        <w:rPr>
          <w:rFonts w:eastAsia="Calibri" w:cstheme="minorHAnsi"/>
          <w:bCs/>
          <w:sz w:val="24"/>
          <w:szCs w:val="24"/>
          <w:lang w:val="el-GR"/>
        </w:rPr>
        <w:t>συγκεκριμένες</w:t>
      </w:r>
      <w:r w:rsidRPr="0067177B">
        <w:rPr>
          <w:rFonts w:eastAsia="Calibri" w:cstheme="minorHAnsi"/>
          <w:bCs/>
          <w:sz w:val="24"/>
          <w:szCs w:val="24"/>
          <w:lang w:val="el-GR"/>
        </w:rPr>
        <w:t xml:space="preserve"> </w:t>
      </w:r>
      <w:r>
        <w:rPr>
          <w:rFonts w:eastAsia="Calibri" w:cstheme="minorHAnsi"/>
          <w:bCs/>
          <w:sz w:val="24"/>
          <w:szCs w:val="24"/>
          <w:lang w:val="el-GR"/>
        </w:rPr>
        <w:t>εντολές</w:t>
      </w:r>
      <w:r w:rsidR="00A5147D" w:rsidRPr="0067177B">
        <w:rPr>
          <w:rFonts w:eastAsia="Calibri" w:cstheme="minorHAnsi"/>
          <w:bCs/>
          <w:sz w:val="24"/>
          <w:szCs w:val="24"/>
          <w:lang w:val="el-GR"/>
        </w:rPr>
        <w:t xml:space="preserve">, </w:t>
      </w:r>
      <w:r>
        <w:rPr>
          <w:rFonts w:eastAsia="Calibri" w:cstheme="minorHAnsi"/>
          <w:bCs/>
          <w:sz w:val="24"/>
          <w:szCs w:val="24"/>
          <w:lang w:val="el-GR"/>
        </w:rPr>
        <w:t>συμπεριλαμβανομένης</w:t>
      </w:r>
      <w:r w:rsidRPr="0067177B">
        <w:rPr>
          <w:rFonts w:eastAsia="Calibri" w:cstheme="minorHAnsi"/>
          <w:bCs/>
          <w:sz w:val="24"/>
          <w:szCs w:val="24"/>
          <w:lang w:val="el-GR"/>
        </w:rPr>
        <w:t xml:space="preserve"> </w:t>
      </w:r>
      <w:r>
        <w:rPr>
          <w:rFonts w:eastAsia="Calibri" w:cstheme="minorHAnsi"/>
          <w:bCs/>
          <w:sz w:val="24"/>
          <w:szCs w:val="24"/>
          <w:lang w:val="el-GR"/>
        </w:rPr>
        <w:t>μιας</w:t>
      </w:r>
      <w:r w:rsidR="00A5147D" w:rsidRPr="0067177B">
        <w:rPr>
          <w:rFonts w:eastAsia="Calibri" w:cstheme="minorHAnsi"/>
          <w:bCs/>
          <w:sz w:val="24"/>
          <w:szCs w:val="24"/>
          <w:lang w:val="el-GR"/>
        </w:rPr>
        <w:t xml:space="preserve"> </w:t>
      </w:r>
      <w:r w:rsidR="00A5147D" w:rsidRPr="004E251E">
        <w:rPr>
          <w:rFonts w:eastAsia="Calibri" w:cstheme="minorHAnsi"/>
          <w:bCs/>
          <w:i/>
          <w:iCs/>
          <w:sz w:val="24"/>
          <w:szCs w:val="24"/>
        </w:rPr>
        <w:t>ad</w:t>
      </w:r>
      <w:r w:rsidR="00A5147D" w:rsidRPr="0067177B">
        <w:rPr>
          <w:rFonts w:eastAsia="Calibri" w:cstheme="minorHAnsi"/>
          <w:bCs/>
          <w:i/>
          <w:iCs/>
          <w:sz w:val="24"/>
          <w:szCs w:val="24"/>
          <w:lang w:val="el-GR"/>
        </w:rPr>
        <w:t xml:space="preserve"> </w:t>
      </w:r>
      <w:r w:rsidR="00A5147D" w:rsidRPr="004E251E">
        <w:rPr>
          <w:rFonts w:eastAsia="Calibri" w:cstheme="minorHAnsi"/>
          <w:bCs/>
          <w:i/>
          <w:iCs/>
          <w:sz w:val="24"/>
          <w:szCs w:val="24"/>
        </w:rPr>
        <w:t>hoc</w:t>
      </w:r>
      <w:r w:rsidR="00A5147D" w:rsidRPr="0067177B">
        <w:rPr>
          <w:rFonts w:eastAsia="Calibri" w:cstheme="minorHAnsi"/>
          <w:bCs/>
          <w:sz w:val="24"/>
          <w:szCs w:val="24"/>
          <w:lang w:val="el-GR"/>
        </w:rPr>
        <w:t xml:space="preserve"> </w:t>
      </w:r>
      <w:r>
        <w:rPr>
          <w:rFonts w:eastAsia="Calibri" w:cstheme="minorHAnsi"/>
          <w:bCs/>
          <w:sz w:val="24"/>
          <w:szCs w:val="24"/>
          <w:lang w:val="el-GR"/>
        </w:rPr>
        <w:t>επιτροπής</w:t>
      </w:r>
      <w:r w:rsidRPr="0067177B">
        <w:rPr>
          <w:rFonts w:eastAsia="Calibri" w:cstheme="minorHAnsi"/>
          <w:bCs/>
          <w:sz w:val="24"/>
          <w:szCs w:val="24"/>
          <w:lang w:val="el-GR"/>
        </w:rPr>
        <w:t xml:space="preserve"> </w:t>
      </w:r>
      <w:r>
        <w:rPr>
          <w:rFonts w:eastAsia="Calibri" w:cstheme="minorHAnsi"/>
          <w:bCs/>
          <w:sz w:val="24"/>
          <w:szCs w:val="24"/>
          <w:lang w:val="el-GR"/>
        </w:rPr>
        <w:t>για</w:t>
      </w:r>
      <w:r w:rsidRPr="0067177B">
        <w:rPr>
          <w:rFonts w:eastAsia="Calibri" w:cstheme="minorHAnsi"/>
          <w:bCs/>
          <w:sz w:val="24"/>
          <w:szCs w:val="24"/>
          <w:lang w:val="el-GR"/>
        </w:rPr>
        <w:t xml:space="preserve"> </w:t>
      </w:r>
      <w:r>
        <w:rPr>
          <w:rFonts w:eastAsia="Calibri" w:cstheme="minorHAnsi"/>
          <w:bCs/>
          <w:sz w:val="24"/>
          <w:szCs w:val="24"/>
          <w:lang w:val="el-GR"/>
        </w:rPr>
        <w:t>την</w:t>
      </w:r>
      <w:r w:rsidRPr="0067177B">
        <w:rPr>
          <w:rFonts w:eastAsia="Calibri" w:cstheme="minorHAnsi"/>
          <w:bCs/>
          <w:sz w:val="24"/>
          <w:szCs w:val="24"/>
          <w:lang w:val="el-GR"/>
        </w:rPr>
        <w:t xml:space="preserve"> </w:t>
      </w:r>
      <w:r>
        <w:rPr>
          <w:rFonts w:eastAsia="Calibri" w:cstheme="minorHAnsi"/>
          <w:bCs/>
          <w:sz w:val="24"/>
          <w:szCs w:val="24"/>
          <w:lang w:val="el-GR"/>
        </w:rPr>
        <w:t>διερεύνηση</w:t>
      </w:r>
      <w:r w:rsidRPr="0067177B">
        <w:rPr>
          <w:rFonts w:eastAsia="Calibri" w:cstheme="minorHAnsi"/>
          <w:bCs/>
          <w:sz w:val="24"/>
          <w:szCs w:val="24"/>
          <w:lang w:val="el-GR"/>
        </w:rPr>
        <w:t xml:space="preserve"> </w:t>
      </w:r>
      <w:r>
        <w:rPr>
          <w:rFonts w:eastAsia="Calibri" w:cstheme="minorHAnsi"/>
          <w:bCs/>
          <w:sz w:val="24"/>
          <w:szCs w:val="24"/>
          <w:lang w:val="el-GR"/>
        </w:rPr>
        <w:t>δανείων</w:t>
      </w:r>
      <w:r w:rsidR="00A5147D" w:rsidRPr="0067177B">
        <w:rPr>
          <w:rFonts w:eastAsia="Calibri" w:cstheme="minorHAnsi"/>
          <w:bCs/>
          <w:sz w:val="24"/>
          <w:szCs w:val="24"/>
          <w:lang w:val="el-GR"/>
        </w:rPr>
        <w:t xml:space="preserve"> </w:t>
      </w:r>
      <w:r>
        <w:rPr>
          <w:rFonts w:eastAsia="Calibri" w:cstheme="minorHAnsi"/>
          <w:bCs/>
          <w:sz w:val="24"/>
          <w:szCs w:val="24"/>
          <w:lang w:val="el-GR"/>
        </w:rPr>
        <w:t>που παραχωρήθηκαν σε πολιτικά εκτεθ</w:t>
      </w:r>
      <w:r w:rsidR="00166173">
        <w:rPr>
          <w:rFonts w:eastAsia="Calibri" w:cstheme="minorHAnsi"/>
          <w:bCs/>
          <w:sz w:val="24"/>
          <w:szCs w:val="24"/>
          <w:lang w:val="el-GR"/>
        </w:rPr>
        <w:t>ε</w:t>
      </w:r>
      <w:r>
        <w:rPr>
          <w:rFonts w:eastAsia="Calibri" w:cstheme="minorHAnsi"/>
          <w:bCs/>
          <w:sz w:val="24"/>
          <w:szCs w:val="24"/>
          <w:lang w:val="el-GR"/>
        </w:rPr>
        <w:t>ιμένα άτομα</w:t>
      </w:r>
      <w:r w:rsidR="00A5147D" w:rsidRPr="0067177B">
        <w:rPr>
          <w:rFonts w:eastAsia="Calibri" w:cstheme="minorHAnsi"/>
          <w:bCs/>
          <w:sz w:val="24"/>
          <w:szCs w:val="24"/>
          <w:lang w:val="el-GR"/>
        </w:rPr>
        <w:t xml:space="preserve"> (</w:t>
      </w:r>
      <w:r w:rsidR="00A5147D" w:rsidRPr="004E251E">
        <w:rPr>
          <w:rFonts w:eastAsia="Calibri" w:cstheme="minorHAnsi"/>
          <w:bCs/>
          <w:sz w:val="24"/>
          <w:szCs w:val="24"/>
        </w:rPr>
        <w:t>PEP</w:t>
      </w:r>
      <w:r w:rsidR="00A5147D" w:rsidRPr="0067177B">
        <w:rPr>
          <w:rFonts w:eastAsia="Calibri" w:cstheme="minorHAnsi"/>
          <w:bCs/>
          <w:sz w:val="24"/>
          <w:szCs w:val="24"/>
          <w:lang w:val="el-GR"/>
        </w:rPr>
        <w:t xml:space="preserve">), </w:t>
      </w:r>
      <w:r>
        <w:rPr>
          <w:rFonts w:eastAsia="Calibri" w:cstheme="minorHAnsi"/>
          <w:bCs/>
          <w:sz w:val="24"/>
          <w:szCs w:val="24"/>
          <w:lang w:val="el-GR"/>
        </w:rPr>
        <w:t>μια</w:t>
      </w:r>
      <w:r w:rsidR="00A5147D" w:rsidRPr="0067177B">
        <w:rPr>
          <w:rFonts w:eastAsia="Calibri" w:cstheme="minorHAnsi"/>
          <w:bCs/>
          <w:sz w:val="24"/>
          <w:szCs w:val="24"/>
          <w:lang w:val="el-GR"/>
        </w:rPr>
        <w:t xml:space="preserve"> </w:t>
      </w:r>
      <w:r w:rsidR="00A5147D" w:rsidRPr="004E251E">
        <w:rPr>
          <w:rFonts w:eastAsia="Calibri" w:cstheme="minorHAnsi"/>
          <w:bCs/>
          <w:i/>
          <w:iCs/>
          <w:sz w:val="24"/>
          <w:szCs w:val="24"/>
        </w:rPr>
        <w:t>ad</w:t>
      </w:r>
      <w:r w:rsidR="00A5147D" w:rsidRPr="0067177B">
        <w:rPr>
          <w:rFonts w:eastAsia="Calibri" w:cstheme="minorHAnsi"/>
          <w:bCs/>
          <w:i/>
          <w:iCs/>
          <w:sz w:val="24"/>
          <w:szCs w:val="24"/>
          <w:lang w:val="el-GR"/>
        </w:rPr>
        <w:t xml:space="preserve"> </w:t>
      </w:r>
      <w:r w:rsidR="00A5147D" w:rsidRPr="004E251E">
        <w:rPr>
          <w:rFonts w:eastAsia="Calibri" w:cstheme="minorHAnsi"/>
          <w:bCs/>
          <w:i/>
          <w:iCs/>
          <w:sz w:val="24"/>
          <w:szCs w:val="24"/>
        </w:rPr>
        <w:t>hoc</w:t>
      </w:r>
      <w:r w:rsidR="00A5147D" w:rsidRPr="0067177B">
        <w:rPr>
          <w:rFonts w:eastAsia="Calibri" w:cstheme="minorHAnsi"/>
          <w:bCs/>
          <w:sz w:val="24"/>
          <w:szCs w:val="24"/>
          <w:lang w:val="el-GR"/>
        </w:rPr>
        <w:t xml:space="preserve"> </w:t>
      </w:r>
      <w:r>
        <w:rPr>
          <w:rFonts w:eastAsia="Calibri" w:cstheme="minorHAnsi"/>
          <w:bCs/>
          <w:sz w:val="24"/>
          <w:szCs w:val="24"/>
          <w:lang w:val="el-GR"/>
        </w:rPr>
        <w:t>επιτροπή για την κατάσταση της οικονομίας</w:t>
      </w:r>
      <w:r w:rsidR="00166173">
        <w:rPr>
          <w:rFonts w:eastAsia="Calibri" w:cstheme="minorHAnsi"/>
          <w:bCs/>
          <w:sz w:val="24"/>
          <w:szCs w:val="24"/>
          <w:lang w:val="el-GR"/>
        </w:rPr>
        <w:t>,</w:t>
      </w:r>
      <w:r w:rsidR="00A5147D" w:rsidRPr="0067177B">
        <w:rPr>
          <w:rFonts w:eastAsia="Calibri" w:cstheme="minorHAnsi"/>
          <w:bCs/>
          <w:sz w:val="24"/>
          <w:szCs w:val="24"/>
          <w:lang w:val="el-GR"/>
        </w:rPr>
        <w:t xml:space="preserve"> </w:t>
      </w:r>
      <w:r>
        <w:rPr>
          <w:rFonts w:eastAsia="Calibri" w:cstheme="minorHAnsi"/>
          <w:bCs/>
          <w:sz w:val="24"/>
          <w:szCs w:val="24"/>
          <w:lang w:val="el-GR"/>
        </w:rPr>
        <w:t>και την κατά το παρόν στάδιο ενεργή</w:t>
      </w:r>
      <w:r w:rsidR="00A5147D" w:rsidRPr="0067177B">
        <w:rPr>
          <w:rFonts w:eastAsia="Calibri" w:cstheme="minorHAnsi"/>
          <w:bCs/>
          <w:sz w:val="24"/>
          <w:szCs w:val="24"/>
          <w:lang w:val="el-GR"/>
        </w:rPr>
        <w:t xml:space="preserve"> </w:t>
      </w:r>
      <w:r w:rsidR="00A5147D" w:rsidRPr="004E251E">
        <w:rPr>
          <w:rFonts w:eastAsia="Calibri" w:cstheme="minorHAnsi"/>
          <w:bCs/>
          <w:i/>
          <w:iCs/>
          <w:sz w:val="24"/>
          <w:szCs w:val="24"/>
        </w:rPr>
        <w:t>ad</w:t>
      </w:r>
      <w:r w:rsidR="00A5147D" w:rsidRPr="0067177B">
        <w:rPr>
          <w:rFonts w:eastAsia="Calibri" w:cstheme="minorHAnsi"/>
          <w:bCs/>
          <w:i/>
          <w:iCs/>
          <w:sz w:val="24"/>
          <w:szCs w:val="24"/>
          <w:lang w:val="el-GR"/>
        </w:rPr>
        <w:t xml:space="preserve"> </w:t>
      </w:r>
      <w:r w:rsidR="00A5147D" w:rsidRPr="004E251E">
        <w:rPr>
          <w:rFonts w:eastAsia="Calibri" w:cstheme="minorHAnsi"/>
          <w:bCs/>
          <w:i/>
          <w:iCs/>
          <w:sz w:val="24"/>
          <w:szCs w:val="24"/>
        </w:rPr>
        <w:t>hoc</w:t>
      </w:r>
      <w:r w:rsidR="00A5147D" w:rsidRPr="0067177B">
        <w:rPr>
          <w:rFonts w:eastAsia="Calibri" w:cstheme="minorHAnsi"/>
          <w:bCs/>
          <w:sz w:val="24"/>
          <w:szCs w:val="24"/>
          <w:lang w:val="el-GR"/>
        </w:rPr>
        <w:t xml:space="preserve"> </w:t>
      </w:r>
      <w:r>
        <w:rPr>
          <w:rFonts w:eastAsia="Calibri" w:cstheme="minorHAnsi"/>
          <w:bCs/>
          <w:sz w:val="24"/>
          <w:szCs w:val="24"/>
          <w:lang w:val="el-GR"/>
        </w:rPr>
        <w:t>επιτροπή για την διερεύνηση του δημογραφικού προβλήματος</w:t>
      </w:r>
      <w:r w:rsidR="00A5147D" w:rsidRPr="0067177B">
        <w:rPr>
          <w:rFonts w:eastAsia="Calibri" w:cstheme="minorHAnsi"/>
          <w:bCs/>
          <w:sz w:val="24"/>
          <w:szCs w:val="24"/>
          <w:lang w:val="el-GR"/>
        </w:rPr>
        <w:t xml:space="preserve">. </w:t>
      </w:r>
    </w:p>
    <w:p w14:paraId="272C0B96" w14:textId="77777777" w:rsidR="00A5147D" w:rsidRPr="0067177B" w:rsidRDefault="00A5147D" w:rsidP="00A5147D">
      <w:pPr>
        <w:tabs>
          <w:tab w:val="left" w:pos="709"/>
        </w:tabs>
        <w:contextualSpacing/>
        <w:rPr>
          <w:rFonts w:cstheme="minorHAnsi"/>
          <w:sz w:val="24"/>
          <w:szCs w:val="24"/>
          <w:highlight w:val="green"/>
          <w:lang w:val="el-GR"/>
        </w:rPr>
      </w:pPr>
    </w:p>
    <w:p w14:paraId="5FC54565" w14:textId="319116BF" w:rsidR="00A5147D" w:rsidRPr="004E251E" w:rsidRDefault="0067177B" w:rsidP="00A5147D">
      <w:pPr>
        <w:keepNext/>
        <w:rPr>
          <w:rFonts w:cstheme="minorHAnsi"/>
          <w:i/>
          <w:iCs/>
          <w:sz w:val="24"/>
          <w:szCs w:val="24"/>
          <w:u w:val="single"/>
        </w:rPr>
      </w:pPr>
      <w:r>
        <w:rPr>
          <w:rFonts w:cstheme="minorHAnsi"/>
          <w:i/>
          <w:iCs/>
          <w:sz w:val="24"/>
          <w:szCs w:val="24"/>
          <w:u w:val="single"/>
          <w:lang w:val="el-GR"/>
        </w:rPr>
        <w:t>Γενικός Ελεγκτής</w:t>
      </w:r>
      <w:r w:rsidR="00A5147D" w:rsidRPr="004E251E">
        <w:rPr>
          <w:rFonts w:cstheme="minorHAnsi"/>
          <w:i/>
          <w:iCs/>
          <w:sz w:val="24"/>
          <w:szCs w:val="24"/>
          <w:u w:val="single"/>
        </w:rPr>
        <w:t xml:space="preserve"> </w:t>
      </w:r>
    </w:p>
    <w:p w14:paraId="2E040D9B" w14:textId="77777777" w:rsidR="00A5147D" w:rsidRPr="004E251E" w:rsidRDefault="00A5147D" w:rsidP="00A5147D">
      <w:pPr>
        <w:keepNext/>
        <w:rPr>
          <w:rFonts w:cstheme="minorHAnsi"/>
          <w:sz w:val="24"/>
          <w:szCs w:val="24"/>
          <w:u w:val="single"/>
        </w:rPr>
      </w:pPr>
    </w:p>
    <w:p w14:paraId="23BEFE8C" w14:textId="2B2CCB74" w:rsidR="00A5147D" w:rsidRPr="00485CE6" w:rsidRDefault="0067177B" w:rsidP="00CF2E8A">
      <w:pPr>
        <w:keepNext/>
        <w:numPr>
          <w:ilvl w:val="0"/>
          <w:numId w:val="1"/>
        </w:numPr>
        <w:tabs>
          <w:tab w:val="clear" w:pos="6095"/>
          <w:tab w:val="left" w:pos="709"/>
        </w:tabs>
        <w:ind w:left="0" w:firstLine="0"/>
        <w:contextualSpacing/>
        <w:rPr>
          <w:rFonts w:eastAsia="Calibri" w:cstheme="minorHAnsi"/>
          <w:bCs/>
          <w:sz w:val="24"/>
          <w:szCs w:val="24"/>
          <w:lang w:val="el-GR"/>
        </w:rPr>
      </w:pPr>
      <w:bookmarkStart w:id="94" w:name="_Hlk124861567"/>
      <w:r>
        <w:rPr>
          <w:rFonts w:cstheme="minorHAnsi"/>
          <w:sz w:val="24"/>
          <w:szCs w:val="24"/>
          <w:lang w:val="el-GR"/>
        </w:rPr>
        <w:t>Όσον</w:t>
      </w:r>
      <w:r w:rsidRPr="0067177B">
        <w:rPr>
          <w:rFonts w:cstheme="minorHAnsi"/>
          <w:sz w:val="24"/>
          <w:szCs w:val="24"/>
          <w:lang w:val="el-GR"/>
        </w:rPr>
        <w:t xml:space="preserve"> </w:t>
      </w:r>
      <w:r>
        <w:rPr>
          <w:rFonts w:cstheme="minorHAnsi"/>
          <w:sz w:val="24"/>
          <w:szCs w:val="24"/>
          <w:lang w:val="el-GR"/>
        </w:rPr>
        <w:t>αφορά</w:t>
      </w:r>
      <w:r w:rsidRPr="0067177B">
        <w:rPr>
          <w:rFonts w:cstheme="minorHAnsi"/>
          <w:sz w:val="24"/>
          <w:szCs w:val="24"/>
          <w:lang w:val="el-GR"/>
        </w:rPr>
        <w:t xml:space="preserve"> </w:t>
      </w:r>
      <w:r>
        <w:rPr>
          <w:rFonts w:cstheme="minorHAnsi"/>
          <w:sz w:val="24"/>
          <w:szCs w:val="24"/>
          <w:lang w:val="el-GR"/>
        </w:rPr>
        <w:t>την</w:t>
      </w:r>
      <w:r w:rsidRPr="0067177B">
        <w:rPr>
          <w:rFonts w:cstheme="minorHAnsi"/>
          <w:sz w:val="24"/>
          <w:szCs w:val="24"/>
          <w:lang w:val="el-GR"/>
        </w:rPr>
        <w:t xml:space="preserve"> </w:t>
      </w:r>
      <w:r>
        <w:rPr>
          <w:rFonts w:cstheme="minorHAnsi"/>
          <w:sz w:val="24"/>
          <w:szCs w:val="24"/>
          <w:lang w:val="el-GR"/>
        </w:rPr>
        <w:t>επίβλεψη</w:t>
      </w:r>
      <w:r w:rsidRPr="0067177B">
        <w:rPr>
          <w:rFonts w:cstheme="minorHAnsi"/>
          <w:sz w:val="24"/>
          <w:szCs w:val="24"/>
          <w:lang w:val="el-GR"/>
        </w:rPr>
        <w:t xml:space="preserve"> </w:t>
      </w:r>
      <w:r>
        <w:rPr>
          <w:rFonts w:cstheme="minorHAnsi"/>
          <w:sz w:val="24"/>
          <w:szCs w:val="24"/>
          <w:lang w:val="el-GR"/>
        </w:rPr>
        <w:t>των</w:t>
      </w:r>
      <w:r w:rsidRPr="0067177B">
        <w:rPr>
          <w:rFonts w:cstheme="minorHAnsi"/>
          <w:sz w:val="24"/>
          <w:szCs w:val="24"/>
          <w:lang w:val="el-GR"/>
        </w:rPr>
        <w:t xml:space="preserve"> </w:t>
      </w:r>
      <w:r>
        <w:rPr>
          <w:rFonts w:cstheme="minorHAnsi"/>
          <w:sz w:val="24"/>
          <w:szCs w:val="24"/>
          <w:lang w:val="el-GR"/>
        </w:rPr>
        <w:t>δαπανών</w:t>
      </w:r>
      <w:r w:rsidRPr="0067177B">
        <w:rPr>
          <w:rFonts w:cstheme="minorHAnsi"/>
          <w:sz w:val="24"/>
          <w:szCs w:val="24"/>
          <w:lang w:val="el-GR"/>
        </w:rPr>
        <w:t xml:space="preserve"> </w:t>
      </w:r>
      <w:r>
        <w:rPr>
          <w:rFonts w:cstheme="minorHAnsi"/>
          <w:sz w:val="24"/>
          <w:szCs w:val="24"/>
          <w:lang w:val="el-GR"/>
        </w:rPr>
        <w:t>του</w:t>
      </w:r>
      <w:r w:rsidRPr="0067177B">
        <w:rPr>
          <w:rFonts w:cstheme="minorHAnsi"/>
          <w:sz w:val="24"/>
          <w:szCs w:val="24"/>
          <w:lang w:val="el-GR"/>
        </w:rPr>
        <w:t xml:space="preserve"> </w:t>
      </w:r>
      <w:r>
        <w:rPr>
          <w:rFonts w:cstheme="minorHAnsi"/>
          <w:sz w:val="24"/>
          <w:szCs w:val="24"/>
          <w:lang w:val="el-GR"/>
        </w:rPr>
        <w:t>Κρατικού</w:t>
      </w:r>
      <w:r w:rsidRPr="0067177B">
        <w:rPr>
          <w:rFonts w:cstheme="minorHAnsi"/>
          <w:sz w:val="24"/>
          <w:szCs w:val="24"/>
          <w:lang w:val="el-GR"/>
        </w:rPr>
        <w:t xml:space="preserve"> </w:t>
      </w:r>
      <w:r>
        <w:rPr>
          <w:rFonts w:cstheme="minorHAnsi"/>
          <w:sz w:val="24"/>
          <w:szCs w:val="24"/>
          <w:lang w:val="el-GR"/>
        </w:rPr>
        <w:t>προϋπολογισμού</w:t>
      </w:r>
      <w:r w:rsidR="00A5147D" w:rsidRPr="0067177B">
        <w:rPr>
          <w:rFonts w:cstheme="minorHAnsi"/>
          <w:sz w:val="24"/>
          <w:szCs w:val="24"/>
          <w:lang w:val="el-GR"/>
        </w:rPr>
        <w:t xml:space="preserve">, </w:t>
      </w:r>
      <w:r>
        <w:rPr>
          <w:rFonts w:cstheme="minorHAnsi"/>
          <w:sz w:val="24"/>
          <w:szCs w:val="24"/>
          <w:lang w:val="el-GR"/>
        </w:rPr>
        <w:t>ο</w:t>
      </w:r>
      <w:r w:rsidRPr="0067177B">
        <w:rPr>
          <w:rFonts w:cstheme="minorHAnsi"/>
          <w:sz w:val="24"/>
          <w:szCs w:val="24"/>
          <w:lang w:val="el-GR"/>
        </w:rPr>
        <w:t xml:space="preserve"> </w:t>
      </w:r>
      <w:r>
        <w:rPr>
          <w:rFonts w:cstheme="minorHAnsi"/>
          <w:sz w:val="24"/>
          <w:szCs w:val="24"/>
          <w:lang w:val="el-GR"/>
        </w:rPr>
        <w:t>Πρόεδρος</w:t>
      </w:r>
      <w:r w:rsidRPr="0067177B">
        <w:rPr>
          <w:rFonts w:cstheme="minorHAnsi"/>
          <w:sz w:val="24"/>
          <w:szCs w:val="24"/>
          <w:lang w:val="el-GR"/>
        </w:rPr>
        <w:t xml:space="preserve"> </w:t>
      </w:r>
      <w:r>
        <w:rPr>
          <w:rFonts w:cstheme="minorHAnsi"/>
          <w:sz w:val="24"/>
          <w:szCs w:val="24"/>
          <w:lang w:val="el-GR"/>
        </w:rPr>
        <w:t>διορίζει</w:t>
      </w:r>
      <w:r w:rsidRPr="0067177B">
        <w:rPr>
          <w:rFonts w:cstheme="minorHAnsi"/>
          <w:sz w:val="24"/>
          <w:szCs w:val="24"/>
          <w:lang w:val="el-GR"/>
        </w:rPr>
        <w:t xml:space="preserve"> </w:t>
      </w:r>
      <w:r>
        <w:rPr>
          <w:rFonts w:cstheme="minorHAnsi"/>
          <w:sz w:val="24"/>
          <w:szCs w:val="24"/>
          <w:lang w:val="el-GR"/>
        </w:rPr>
        <w:t>Γενικό</w:t>
      </w:r>
      <w:r w:rsidRPr="0067177B">
        <w:rPr>
          <w:rFonts w:cstheme="minorHAnsi"/>
          <w:sz w:val="24"/>
          <w:szCs w:val="24"/>
          <w:lang w:val="el-GR"/>
        </w:rPr>
        <w:t xml:space="preserve"> </w:t>
      </w:r>
      <w:r>
        <w:rPr>
          <w:rFonts w:cstheme="minorHAnsi"/>
          <w:sz w:val="24"/>
          <w:szCs w:val="24"/>
          <w:lang w:val="el-GR"/>
        </w:rPr>
        <w:t>Ελεγκτή</w:t>
      </w:r>
      <w:r w:rsidR="00A5147D" w:rsidRPr="0067177B">
        <w:rPr>
          <w:rFonts w:cstheme="minorHAnsi"/>
          <w:sz w:val="24"/>
          <w:szCs w:val="24"/>
          <w:lang w:val="el-GR"/>
        </w:rPr>
        <w:t xml:space="preserve"> </w:t>
      </w:r>
      <w:r>
        <w:rPr>
          <w:rFonts w:cstheme="minorHAnsi"/>
          <w:sz w:val="24"/>
          <w:szCs w:val="24"/>
          <w:lang w:val="el-GR"/>
        </w:rPr>
        <w:t>για να είναι Επικεφαλής της Ελεγκτικής Υπηρεσίας</w:t>
      </w:r>
      <w:r w:rsidR="00A5147D" w:rsidRPr="0067177B">
        <w:rPr>
          <w:rFonts w:cstheme="minorHAnsi"/>
          <w:sz w:val="24"/>
          <w:szCs w:val="24"/>
          <w:lang w:val="el-GR"/>
        </w:rPr>
        <w:t xml:space="preserve"> </w:t>
      </w:r>
      <w:r>
        <w:rPr>
          <w:rFonts w:cstheme="minorHAnsi"/>
          <w:sz w:val="24"/>
          <w:szCs w:val="24"/>
          <w:lang w:val="el-GR"/>
        </w:rPr>
        <w:t>της Δημοκρατίας</w:t>
      </w:r>
      <w:r w:rsidR="00A5147D" w:rsidRPr="0067177B">
        <w:rPr>
          <w:rFonts w:cstheme="minorHAnsi"/>
          <w:sz w:val="24"/>
          <w:szCs w:val="24"/>
          <w:lang w:val="el-GR"/>
        </w:rPr>
        <w:t xml:space="preserve">, </w:t>
      </w:r>
      <w:r>
        <w:rPr>
          <w:rFonts w:cstheme="minorHAnsi"/>
          <w:sz w:val="24"/>
          <w:szCs w:val="24"/>
          <w:lang w:val="el-GR"/>
        </w:rPr>
        <w:t>που είναι ένα ανεξάρτητο όργανο</w:t>
      </w:r>
      <w:r w:rsidR="00A5147D" w:rsidRPr="0067177B">
        <w:rPr>
          <w:rFonts w:cstheme="minorHAnsi"/>
          <w:sz w:val="24"/>
          <w:szCs w:val="24"/>
          <w:lang w:val="el-GR"/>
        </w:rPr>
        <w:t xml:space="preserve">. </w:t>
      </w:r>
      <w:bookmarkEnd w:id="94"/>
      <w:r>
        <w:rPr>
          <w:rFonts w:cstheme="minorHAnsi"/>
          <w:sz w:val="24"/>
          <w:szCs w:val="24"/>
          <w:lang w:val="el-GR"/>
        </w:rPr>
        <w:t>Ο</w:t>
      </w:r>
      <w:r w:rsidRPr="00B93EE0">
        <w:rPr>
          <w:rFonts w:cstheme="minorHAnsi"/>
          <w:sz w:val="24"/>
          <w:szCs w:val="24"/>
          <w:lang w:val="el-GR"/>
        </w:rPr>
        <w:t xml:space="preserve"> </w:t>
      </w:r>
      <w:r>
        <w:rPr>
          <w:rFonts w:cstheme="minorHAnsi"/>
          <w:sz w:val="24"/>
          <w:szCs w:val="24"/>
          <w:lang w:val="el-GR"/>
        </w:rPr>
        <w:t>Γενικός</w:t>
      </w:r>
      <w:r w:rsidRPr="00B93EE0">
        <w:rPr>
          <w:rFonts w:cstheme="minorHAnsi"/>
          <w:sz w:val="24"/>
          <w:szCs w:val="24"/>
          <w:lang w:val="el-GR"/>
        </w:rPr>
        <w:t xml:space="preserve"> </w:t>
      </w:r>
      <w:r>
        <w:rPr>
          <w:rFonts w:cstheme="minorHAnsi"/>
          <w:sz w:val="24"/>
          <w:szCs w:val="24"/>
          <w:lang w:val="el-GR"/>
        </w:rPr>
        <w:t>Ελεγκτής</w:t>
      </w:r>
      <w:r w:rsidRPr="00B93EE0">
        <w:rPr>
          <w:rFonts w:cstheme="minorHAnsi"/>
          <w:sz w:val="24"/>
          <w:szCs w:val="24"/>
          <w:lang w:val="el-GR"/>
        </w:rPr>
        <w:t xml:space="preserve"> </w:t>
      </w:r>
      <w:r>
        <w:rPr>
          <w:rFonts w:cstheme="minorHAnsi"/>
          <w:sz w:val="24"/>
          <w:szCs w:val="24"/>
          <w:lang w:val="el-GR"/>
        </w:rPr>
        <w:t>είναι</w:t>
      </w:r>
      <w:r w:rsidRPr="00B93EE0">
        <w:rPr>
          <w:rFonts w:cstheme="minorHAnsi"/>
          <w:sz w:val="24"/>
          <w:szCs w:val="24"/>
          <w:lang w:val="el-GR"/>
        </w:rPr>
        <w:t xml:space="preserve"> </w:t>
      </w:r>
      <w:r>
        <w:rPr>
          <w:rFonts w:cstheme="minorHAnsi"/>
          <w:sz w:val="24"/>
          <w:szCs w:val="24"/>
          <w:lang w:val="el-GR"/>
        </w:rPr>
        <w:t>μέλος</w:t>
      </w:r>
      <w:r w:rsidRPr="00B93EE0">
        <w:rPr>
          <w:rFonts w:cstheme="minorHAnsi"/>
          <w:sz w:val="24"/>
          <w:szCs w:val="24"/>
          <w:lang w:val="el-GR"/>
        </w:rPr>
        <w:t xml:space="preserve"> </w:t>
      </w:r>
      <w:r>
        <w:rPr>
          <w:rFonts w:cstheme="minorHAnsi"/>
          <w:sz w:val="24"/>
          <w:szCs w:val="24"/>
          <w:lang w:val="el-GR"/>
        </w:rPr>
        <w:t>της</w:t>
      </w:r>
      <w:r w:rsidRPr="00B93EE0">
        <w:rPr>
          <w:rFonts w:cstheme="minorHAnsi"/>
          <w:sz w:val="24"/>
          <w:szCs w:val="24"/>
          <w:lang w:val="el-GR"/>
        </w:rPr>
        <w:t xml:space="preserve"> </w:t>
      </w:r>
      <w:r>
        <w:rPr>
          <w:rFonts w:cstheme="minorHAnsi"/>
          <w:sz w:val="24"/>
          <w:szCs w:val="24"/>
          <w:lang w:val="el-GR"/>
        </w:rPr>
        <w:t>δημόσιας</w:t>
      </w:r>
      <w:r w:rsidRPr="00B93EE0">
        <w:rPr>
          <w:rFonts w:cstheme="minorHAnsi"/>
          <w:sz w:val="24"/>
          <w:szCs w:val="24"/>
          <w:lang w:val="el-GR"/>
        </w:rPr>
        <w:t xml:space="preserve"> </w:t>
      </w:r>
      <w:r>
        <w:rPr>
          <w:rFonts w:cstheme="minorHAnsi"/>
          <w:sz w:val="24"/>
          <w:szCs w:val="24"/>
          <w:lang w:val="el-GR"/>
        </w:rPr>
        <w:t>υπηρεσίας</w:t>
      </w:r>
      <w:r w:rsidR="00222DF0" w:rsidRPr="00B93EE0">
        <w:rPr>
          <w:rFonts w:cstheme="minorHAnsi"/>
          <w:sz w:val="24"/>
          <w:szCs w:val="24"/>
          <w:lang w:val="el-GR"/>
        </w:rPr>
        <w:t xml:space="preserve">, </w:t>
      </w:r>
      <w:r>
        <w:rPr>
          <w:rFonts w:cstheme="minorHAnsi"/>
          <w:sz w:val="24"/>
          <w:szCs w:val="24"/>
          <w:lang w:val="el-GR"/>
        </w:rPr>
        <w:t>υπηρετεί</w:t>
      </w:r>
      <w:r w:rsidRPr="00B93EE0">
        <w:rPr>
          <w:rFonts w:cstheme="minorHAnsi"/>
          <w:sz w:val="24"/>
          <w:szCs w:val="24"/>
          <w:lang w:val="el-GR"/>
        </w:rPr>
        <w:t xml:space="preserve"> </w:t>
      </w:r>
      <w:r>
        <w:rPr>
          <w:rFonts w:cstheme="minorHAnsi"/>
          <w:sz w:val="24"/>
          <w:szCs w:val="24"/>
          <w:lang w:val="el-GR"/>
        </w:rPr>
        <w:t>ως</w:t>
      </w:r>
      <w:r w:rsidRPr="00B93EE0">
        <w:rPr>
          <w:rFonts w:cstheme="minorHAnsi"/>
          <w:sz w:val="24"/>
          <w:szCs w:val="24"/>
          <w:lang w:val="el-GR"/>
        </w:rPr>
        <w:t xml:space="preserve"> </w:t>
      </w:r>
      <w:r>
        <w:rPr>
          <w:rFonts w:cstheme="minorHAnsi"/>
          <w:sz w:val="24"/>
          <w:szCs w:val="24"/>
          <w:lang w:val="el-GR"/>
        </w:rPr>
        <w:t>ένας</w:t>
      </w:r>
      <w:r w:rsidRPr="00B93EE0">
        <w:rPr>
          <w:rFonts w:cstheme="minorHAnsi"/>
          <w:sz w:val="24"/>
          <w:szCs w:val="24"/>
          <w:lang w:val="el-GR"/>
        </w:rPr>
        <w:t xml:space="preserve"> </w:t>
      </w:r>
      <w:r>
        <w:rPr>
          <w:rFonts w:cstheme="minorHAnsi"/>
          <w:sz w:val="24"/>
          <w:szCs w:val="24"/>
          <w:lang w:val="el-GR"/>
        </w:rPr>
        <w:t>ανεξάρτητος</w:t>
      </w:r>
      <w:r w:rsidRPr="00B93EE0">
        <w:rPr>
          <w:rFonts w:cstheme="minorHAnsi"/>
          <w:sz w:val="24"/>
          <w:szCs w:val="24"/>
          <w:lang w:val="el-GR"/>
        </w:rPr>
        <w:t xml:space="preserve"> </w:t>
      </w:r>
      <w:r>
        <w:rPr>
          <w:rFonts w:cstheme="minorHAnsi"/>
          <w:sz w:val="24"/>
          <w:szCs w:val="24"/>
          <w:lang w:val="el-GR"/>
        </w:rPr>
        <w:t>Λειτουργός</w:t>
      </w:r>
      <w:r w:rsidR="00222DF0" w:rsidRPr="00B93EE0">
        <w:rPr>
          <w:rFonts w:cstheme="minorHAnsi"/>
          <w:sz w:val="24"/>
          <w:szCs w:val="24"/>
          <w:lang w:val="el-GR"/>
        </w:rPr>
        <w:t xml:space="preserve"> </w:t>
      </w:r>
      <w:r>
        <w:rPr>
          <w:rFonts w:cstheme="minorHAnsi"/>
          <w:sz w:val="24"/>
          <w:szCs w:val="24"/>
          <w:lang w:val="el-GR"/>
        </w:rPr>
        <w:t>και</w:t>
      </w:r>
      <w:r w:rsidRPr="00B93EE0">
        <w:rPr>
          <w:rFonts w:cstheme="minorHAnsi"/>
          <w:sz w:val="24"/>
          <w:szCs w:val="24"/>
          <w:lang w:val="el-GR"/>
        </w:rPr>
        <w:t xml:space="preserve"> </w:t>
      </w:r>
      <w:r w:rsidR="00B93EE0">
        <w:rPr>
          <w:rFonts w:cstheme="minorHAnsi"/>
          <w:sz w:val="24"/>
          <w:szCs w:val="24"/>
          <w:lang w:val="el-GR"/>
        </w:rPr>
        <w:t>δεν</w:t>
      </w:r>
      <w:r w:rsidR="00B93EE0" w:rsidRPr="00B93EE0">
        <w:rPr>
          <w:rFonts w:cstheme="minorHAnsi"/>
          <w:sz w:val="24"/>
          <w:szCs w:val="24"/>
          <w:lang w:val="el-GR"/>
        </w:rPr>
        <w:t xml:space="preserve"> </w:t>
      </w:r>
      <w:r>
        <w:rPr>
          <w:rFonts w:cstheme="minorHAnsi"/>
          <w:sz w:val="24"/>
          <w:szCs w:val="24"/>
          <w:lang w:val="el-GR"/>
        </w:rPr>
        <w:t>μπορεί</w:t>
      </w:r>
      <w:r w:rsidRPr="00B93EE0">
        <w:rPr>
          <w:rFonts w:cstheme="minorHAnsi"/>
          <w:sz w:val="24"/>
          <w:szCs w:val="24"/>
          <w:lang w:val="el-GR"/>
        </w:rPr>
        <w:t xml:space="preserve"> </w:t>
      </w:r>
      <w:r>
        <w:rPr>
          <w:rFonts w:cstheme="minorHAnsi"/>
          <w:sz w:val="24"/>
          <w:szCs w:val="24"/>
          <w:lang w:val="el-GR"/>
        </w:rPr>
        <w:t>να</w:t>
      </w:r>
      <w:r w:rsidRPr="00B93EE0">
        <w:rPr>
          <w:rFonts w:cstheme="minorHAnsi"/>
          <w:sz w:val="24"/>
          <w:szCs w:val="24"/>
          <w:lang w:val="el-GR"/>
        </w:rPr>
        <w:t xml:space="preserve"> </w:t>
      </w:r>
      <w:r>
        <w:rPr>
          <w:rFonts w:cstheme="minorHAnsi"/>
          <w:sz w:val="24"/>
          <w:szCs w:val="24"/>
          <w:lang w:val="el-GR"/>
        </w:rPr>
        <w:t>απολυθεί</w:t>
      </w:r>
      <w:r w:rsidR="00B93EE0" w:rsidRPr="00B93EE0">
        <w:rPr>
          <w:rFonts w:cstheme="minorHAnsi"/>
          <w:sz w:val="24"/>
          <w:szCs w:val="24"/>
          <w:lang w:val="el-GR"/>
        </w:rPr>
        <w:t xml:space="preserve"> </w:t>
      </w:r>
      <w:r w:rsidR="00B93EE0">
        <w:rPr>
          <w:rFonts w:cstheme="minorHAnsi"/>
          <w:sz w:val="24"/>
          <w:szCs w:val="24"/>
          <w:lang w:val="el-GR"/>
        </w:rPr>
        <w:t xml:space="preserve">ή να απομακρυνθεί από το αξίωμα εκτός για τους </w:t>
      </w:r>
      <w:r w:rsidR="00166173">
        <w:rPr>
          <w:rFonts w:cstheme="minorHAnsi"/>
          <w:sz w:val="24"/>
          <w:szCs w:val="24"/>
          <w:lang w:val="el-GR"/>
        </w:rPr>
        <w:t>ι</w:t>
      </w:r>
      <w:r w:rsidR="00B93EE0">
        <w:rPr>
          <w:rFonts w:cstheme="minorHAnsi"/>
          <w:sz w:val="24"/>
          <w:szCs w:val="24"/>
          <w:lang w:val="el-GR"/>
        </w:rPr>
        <w:t>δ</w:t>
      </w:r>
      <w:r w:rsidR="00166173">
        <w:rPr>
          <w:rFonts w:cstheme="minorHAnsi"/>
          <w:sz w:val="24"/>
          <w:szCs w:val="24"/>
          <w:lang w:val="el-GR"/>
        </w:rPr>
        <w:t>ί</w:t>
      </w:r>
      <w:r w:rsidR="00B93EE0">
        <w:rPr>
          <w:rFonts w:cstheme="minorHAnsi"/>
          <w:sz w:val="24"/>
          <w:szCs w:val="24"/>
          <w:lang w:val="el-GR"/>
        </w:rPr>
        <w:t xml:space="preserve">ους λόγους και τον ίδιο τρόπο όπως ένας δικαστής του </w:t>
      </w:r>
      <w:proofErr w:type="spellStart"/>
      <w:r w:rsidR="00B93EE0">
        <w:rPr>
          <w:rFonts w:cstheme="minorHAnsi"/>
          <w:sz w:val="24"/>
          <w:szCs w:val="24"/>
          <w:lang w:val="el-GR"/>
        </w:rPr>
        <w:t>Ανωτάτου</w:t>
      </w:r>
      <w:proofErr w:type="spellEnd"/>
      <w:r w:rsidR="00B93EE0">
        <w:rPr>
          <w:rFonts w:cstheme="minorHAnsi"/>
          <w:sz w:val="24"/>
          <w:szCs w:val="24"/>
          <w:lang w:val="el-GR"/>
        </w:rPr>
        <w:t xml:space="preserve"> Δικαστηρίου</w:t>
      </w:r>
      <w:r w:rsidR="00A5147D" w:rsidRPr="00B93EE0">
        <w:rPr>
          <w:rFonts w:cstheme="minorHAnsi"/>
          <w:sz w:val="24"/>
          <w:szCs w:val="24"/>
          <w:lang w:val="el-GR"/>
        </w:rPr>
        <w:t xml:space="preserve">. </w:t>
      </w:r>
      <w:r w:rsidR="00B93EE0">
        <w:rPr>
          <w:rFonts w:cstheme="minorHAnsi"/>
          <w:sz w:val="24"/>
          <w:szCs w:val="24"/>
          <w:lang w:val="el-GR"/>
        </w:rPr>
        <w:t>Αυτός</w:t>
      </w:r>
      <w:r w:rsidR="00B93EE0" w:rsidRPr="00B93EE0">
        <w:rPr>
          <w:rFonts w:cstheme="minorHAnsi"/>
          <w:sz w:val="24"/>
          <w:szCs w:val="24"/>
          <w:lang w:val="el-GR"/>
        </w:rPr>
        <w:t>/</w:t>
      </w:r>
      <w:r w:rsidR="00B93EE0">
        <w:rPr>
          <w:rFonts w:cstheme="minorHAnsi"/>
          <w:sz w:val="24"/>
          <w:szCs w:val="24"/>
          <w:lang w:val="el-GR"/>
        </w:rPr>
        <w:t>ή</w:t>
      </w:r>
      <w:r w:rsidR="00B93EE0" w:rsidRPr="00B93EE0">
        <w:rPr>
          <w:rFonts w:cstheme="minorHAnsi"/>
          <w:sz w:val="24"/>
          <w:szCs w:val="24"/>
          <w:lang w:val="el-GR"/>
        </w:rPr>
        <w:t xml:space="preserve"> </w:t>
      </w:r>
      <w:r w:rsidR="00B93EE0">
        <w:rPr>
          <w:rFonts w:cstheme="minorHAnsi"/>
          <w:sz w:val="24"/>
          <w:szCs w:val="24"/>
          <w:lang w:val="el-GR"/>
        </w:rPr>
        <w:t>ελέγχει</w:t>
      </w:r>
      <w:r w:rsidR="00B93EE0" w:rsidRPr="00B93EE0">
        <w:rPr>
          <w:rFonts w:cstheme="minorHAnsi"/>
          <w:sz w:val="24"/>
          <w:szCs w:val="24"/>
          <w:lang w:val="el-GR"/>
        </w:rPr>
        <w:t xml:space="preserve"> </w:t>
      </w:r>
      <w:r w:rsidR="00B93EE0">
        <w:rPr>
          <w:rFonts w:cstheme="minorHAnsi"/>
          <w:sz w:val="24"/>
          <w:szCs w:val="24"/>
          <w:lang w:val="el-GR"/>
        </w:rPr>
        <w:t>όλες</w:t>
      </w:r>
      <w:r w:rsidR="00B93EE0" w:rsidRPr="00B93EE0">
        <w:rPr>
          <w:rFonts w:cstheme="minorHAnsi"/>
          <w:sz w:val="24"/>
          <w:szCs w:val="24"/>
          <w:lang w:val="el-GR"/>
        </w:rPr>
        <w:t xml:space="preserve"> </w:t>
      </w:r>
      <w:r w:rsidR="00B93EE0">
        <w:rPr>
          <w:rFonts w:cstheme="minorHAnsi"/>
          <w:sz w:val="24"/>
          <w:szCs w:val="24"/>
          <w:lang w:val="el-GR"/>
        </w:rPr>
        <w:t>τις</w:t>
      </w:r>
      <w:r w:rsidR="00B93EE0" w:rsidRPr="00B93EE0">
        <w:rPr>
          <w:rFonts w:cstheme="minorHAnsi"/>
          <w:sz w:val="24"/>
          <w:szCs w:val="24"/>
          <w:lang w:val="el-GR"/>
        </w:rPr>
        <w:t xml:space="preserve"> </w:t>
      </w:r>
      <w:r w:rsidR="00B93EE0">
        <w:rPr>
          <w:rFonts w:cstheme="minorHAnsi"/>
          <w:sz w:val="24"/>
          <w:szCs w:val="24"/>
          <w:lang w:val="el-GR"/>
        </w:rPr>
        <w:t>εκταμιεύσεις</w:t>
      </w:r>
      <w:r w:rsidR="00B93EE0" w:rsidRPr="00B93EE0">
        <w:rPr>
          <w:rFonts w:cstheme="minorHAnsi"/>
          <w:sz w:val="24"/>
          <w:szCs w:val="24"/>
          <w:lang w:val="el-GR"/>
        </w:rPr>
        <w:t xml:space="preserve"> </w:t>
      </w:r>
      <w:r w:rsidR="00B93EE0">
        <w:rPr>
          <w:rFonts w:cstheme="minorHAnsi"/>
          <w:sz w:val="24"/>
          <w:szCs w:val="24"/>
          <w:lang w:val="el-GR"/>
        </w:rPr>
        <w:t>και</w:t>
      </w:r>
      <w:r w:rsidR="00B93EE0" w:rsidRPr="00B93EE0">
        <w:rPr>
          <w:rFonts w:cstheme="minorHAnsi"/>
          <w:sz w:val="24"/>
          <w:szCs w:val="24"/>
          <w:lang w:val="el-GR"/>
        </w:rPr>
        <w:t xml:space="preserve"> </w:t>
      </w:r>
      <w:r w:rsidR="00B93EE0">
        <w:rPr>
          <w:rFonts w:cstheme="minorHAnsi"/>
          <w:sz w:val="24"/>
          <w:szCs w:val="24"/>
          <w:lang w:val="el-GR"/>
        </w:rPr>
        <w:t>εισπράξεις</w:t>
      </w:r>
      <w:r w:rsidR="00A5147D" w:rsidRPr="00B93EE0">
        <w:rPr>
          <w:rFonts w:cstheme="minorHAnsi"/>
          <w:sz w:val="24"/>
          <w:szCs w:val="24"/>
          <w:lang w:val="el-GR"/>
        </w:rPr>
        <w:t xml:space="preserve"> </w:t>
      </w:r>
      <w:r w:rsidR="00B93EE0">
        <w:rPr>
          <w:rFonts w:cstheme="minorHAnsi"/>
          <w:sz w:val="24"/>
          <w:szCs w:val="24"/>
          <w:lang w:val="el-GR"/>
        </w:rPr>
        <w:t>και</w:t>
      </w:r>
      <w:r w:rsidR="00B93EE0" w:rsidRPr="00B93EE0">
        <w:rPr>
          <w:rFonts w:cstheme="minorHAnsi"/>
          <w:sz w:val="24"/>
          <w:szCs w:val="24"/>
          <w:lang w:val="el-GR"/>
        </w:rPr>
        <w:t xml:space="preserve"> </w:t>
      </w:r>
      <w:r w:rsidR="00B93EE0">
        <w:rPr>
          <w:rFonts w:cstheme="minorHAnsi"/>
          <w:sz w:val="24"/>
          <w:szCs w:val="24"/>
          <w:lang w:val="el-GR"/>
        </w:rPr>
        <w:t>ελέγχει</w:t>
      </w:r>
      <w:r w:rsidR="00B93EE0" w:rsidRPr="00B93EE0">
        <w:rPr>
          <w:rFonts w:cstheme="minorHAnsi"/>
          <w:sz w:val="24"/>
          <w:szCs w:val="24"/>
          <w:lang w:val="el-GR"/>
        </w:rPr>
        <w:t xml:space="preserve"> </w:t>
      </w:r>
      <w:r w:rsidR="00B93EE0">
        <w:rPr>
          <w:rFonts w:cstheme="minorHAnsi"/>
          <w:sz w:val="24"/>
          <w:szCs w:val="24"/>
          <w:lang w:val="el-GR"/>
        </w:rPr>
        <w:t>και</w:t>
      </w:r>
      <w:r w:rsidR="00B93EE0" w:rsidRPr="00B93EE0">
        <w:rPr>
          <w:rFonts w:cstheme="minorHAnsi"/>
          <w:sz w:val="24"/>
          <w:szCs w:val="24"/>
          <w:lang w:val="el-GR"/>
        </w:rPr>
        <w:t xml:space="preserve"> </w:t>
      </w:r>
      <w:r w:rsidR="00B93EE0">
        <w:rPr>
          <w:rFonts w:cstheme="minorHAnsi"/>
          <w:sz w:val="24"/>
          <w:szCs w:val="24"/>
          <w:lang w:val="el-GR"/>
        </w:rPr>
        <w:t>επιθεωρεί</w:t>
      </w:r>
      <w:r w:rsidR="00B93EE0" w:rsidRPr="00B93EE0">
        <w:rPr>
          <w:rFonts w:cstheme="minorHAnsi"/>
          <w:sz w:val="24"/>
          <w:szCs w:val="24"/>
          <w:lang w:val="el-GR"/>
        </w:rPr>
        <w:t xml:space="preserve"> </w:t>
      </w:r>
      <w:r w:rsidR="00B93EE0">
        <w:rPr>
          <w:rFonts w:cstheme="minorHAnsi"/>
          <w:sz w:val="24"/>
          <w:szCs w:val="24"/>
          <w:lang w:val="el-GR"/>
        </w:rPr>
        <w:t>όλους</w:t>
      </w:r>
      <w:r w:rsidR="00B93EE0" w:rsidRPr="00B93EE0">
        <w:rPr>
          <w:rFonts w:cstheme="minorHAnsi"/>
          <w:sz w:val="24"/>
          <w:szCs w:val="24"/>
          <w:lang w:val="el-GR"/>
        </w:rPr>
        <w:t xml:space="preserve"> </w:t>
      </w:r>
      <w:r w:rsidR="00B93EE0">
        <w:rPr>
          <w:rFonts w:cstheme="minorHAnsi"/>
          <w:sz w:val="24"/>
          <w:szCs w:val="24"/>
          <w:lang w:val="el-GR"/>
        </w:rPr>
        <w:t>τους</w:t>
      </w:r>
      <w:r w:rsidR="00B93EE0" w:rsidRPr="00B93EE0">
        <w:rPr>
          <w:rFonts w:cstheme="minorHAnsi"/>
          <w:sz w:val="24"/>
          <w:szCs w:val="24"/>
          <w:lang w:val="el-GR"/>
        </w:rPr>
        <w:t xml:space="preserve"> </w:t>
      </w:r>
      <w:r w:rsidR="00B93EE0">
        <w:rPr>
          <w:rFonts w:cstheme="minorHAnsi"/>
          <w:sz w:val="24"/>
          <w:szCs w:val="24"/>
          <w:lang w:val="el-GR"/>
        </w:rPr>
        <w:t>λογαριασμούς</w:t>
      </w:r>
      <w:r w:rsidR="00B93EE0" w:rsidRPr="00B93EE0">
        <w:rPr>
          <w:rFonts w:cstheme="minorHAnsi"/>
          <w:sz w:val="24"/>
          <w:szCs w:val="24"/>
          <w:lang w:val="el-GR"/>
        </w:rPr>
        <w:t xml:space="preserve"> </w:t>
      </w:r>
      <w:r w:rsidR="00B93EE0">
        <w:rPr>
          <w:rFonts w:cstheme="minorHAnsi"/>
          <w:sz w:val="24"/>
          <w:szCs w:val="24"/>
          <w:lang w:val="el-GR"/>
        </w:rPr>
        <w:t>και</w:t>
      </w:r>
      <w:r w:rsidR="00B93EE0" w:rsidRPr="00B93EE0">
        <w:rPr>
          <w:rFonts w:cstheme="minorHAnsi"/>
          <w:sz w:val="24"/>
          <w:szCs w:val="24"/>
          <w:lang w:val="el-GR"/>
        </w:rPr>
        <w:t xml:space="preserve"> </w:t>
      </w:r>
      <w:r w:rsidR="00B93EE0">
        <w:rPr>
          <w:rFonts w:cstheme="minorHAnsi"/>
          <w:sz w:val="24"/>
          <w:szCs w:val="24"/>
          <w:lang w:val="el-GR"/>
        </w:rPr>
        <w:t>άλλα περιουσιακά στοιχεία που διοικούνται</w:t>
      </w:r>
      <w:r w:rsidR="00A5147D" w:rsidRPr="00B93EE0">
        <w:rPr>
          <w:rFonts w:cstheme="minorHAnsi"/>
          <w:sz w:val="24"/>
          <w:szCs w:val="24"/>
          <w:lang w:val="el-GR"/>
        </w:rPr>
        <w:t xml:space="preserve">, </w:t>
      </w:r>
      <w:proofErr w:type="spellStart"/>
      <w:r w:rsidR="00B93EE0">
        <w:rPr>
          <w:rFonts w:cstheme="minorHAnsi"/>
          <w:sz w:val="24"/>
          <w:szCs w:val="24"/>
          <w:lang w:val="el-GR"/>
        </w:rPr>
        <w:t>αναληφθείσες</w:t>
      </w:r>
      <w:proofErr w:type="spellEnd"/>
      <w:r w:rsidR="00B93EE0">
        <w:rPr>
          <w:rFonts w:cstheme="minorHAnsi"/>
          <w:sz w:val="24"/>
          <w:szCs w:val="24"/>
          <w:lang w:val="el-GR"/>
        </w:rPr>
        <w:t xml:space="preserve"> υποχρεώσεις από ή υπό την εξουσία του Κράτους</w:t>
      </w:r>
      <w:r w:rsidR="00A5147D" w:rsidRPr="00B93EE0">
        <w:rPr>
          <w:rFonts w:cstheme="minorHAnsi"/>
          <w:sz w:val="24"/>
          <w:szCs w:val="24"/>
          <w:lang w:val="el-GR"/>
        </w:rPr>
        <w:t xml:space="preserve">. </w:t>
      </w:r>
      <w:r w:rsidR="00B93EE0">
        <w:rPr>
          <w:rFonts w:cstheme="minorHAnsi"/>
          <w:sz w:val="24"/>
          <w:szCs w:val="24"/>
          <w:lang w:val="el-GR"/>
        </w:rPr>
        <w:t>Για</w:t>
      </w:r>
      <w:r w:rsidR="00B93EE0" w:rsidRPr="00B93EE0">
        <w:rPr>
          <w:rFonts w:cstheme="minorHAnsi"/>
          <w:sz w:val="24"/>
          <w:szCs w:val="24"/>
          <w:lang w:val="el-GR"/>
        </w:rPr>
        <w:t xml:space="preserve"> </w:t>
      </w:r>
      <w:r w:rsidR="00B93EE0">
        <w:rPr>
          <w:rFonts w:cstheme="minorHAnsi"/>
          <w:sz w:val="24"/>
          <w:szCs w:val="24"/>
          <w:lang w:val="el-GR"/>
        </w:rPr>
        <w:t>τον</w:t>
      </w:r>
      <w:r w:rsidR="00B93EE0" w:rsidRPr="00B93EE0">
        <w:rPr>
          <w:rFonts w:cstheme="minorHAnsi"/>
          <w:sz w:val="24"/>
          <w:szCs w:val="24"/>
          <w:lang w:val="el-GR"/>
        </w:rPr>
        <w:t xml:space="preserve"> </w:t>
      </w:r>
      <w:r w:rsidR="00B93EE0">
        <w:rPr>
          <w:rFonts w:cstheme="minorHAnsi"/>
          <w:sz w:val="24"/>
          <w:szCs w:val="24"/>
          <w:lang w:val="el-GR"/>
        </w:rPr>
        <w:t>σκοπό</w:t>
      </w:r>
      <w:r w:rsidR="00B93EE0" w:rsidRPr="00B93EE0">
        <w:rPr>
          <w:rFonts w:cstheme="minorHAnsi"/>
          <w:sz w:val="24"/>
          <w:szCs w:val="24"/>
          <w:lang w:val="el-GR"/>
        </w:rPr>
        <w:t xml:space="preserve"> </w:t>
      </w:r>
      <w:r w:rsidR="00B93EE0">
        <w:rPr>
          <w:rFonts w:cstheme="minorHAnsi"/>
          <w:sz w:val="24"/>
          <w:szCs w:val="24"/>
          <w:lang w:val="el-GR"/>
        </w:rPr>
        <w:t>αυτό</w:t>
      </w:r>
      <w:r w:rsidR="00A5147D" w:rsidRPr="00B93EE0">
        <w:rPr>
          <w:rFonts w:cstheme="minorHAnsi"/>
          <w:sz w:val="24"/>
          <w:szCs w:val="24"/>
          <w:lang w:val="el-GR"/>
        </w:rPr>
        <w:t xml:space="preserve">, </w:t>
      </w:r>
      <w:r w:rsidR="00B93EE0">
        <w:rPr>
          <w:rFonts w:cstheme="minorHAnsi"/>
          <w:sz w:val="24"/>
          <w:szCs w:val="24"/>
          <w:lang w:val="el-GR"/>
        </w:rPr>
        <w:t>ο</w:t>
      </w:r>
      <w:r w:rsidR="00B93EE0" w:rsidRPr="00B93EE0">
        <w:rPr>
          <w:rFonts w:cstheme="minorHAnsi"/>
          <w:sz w:val="24"/>
          <w:szCs w:val="24"/>
          <w:lang w:val="el-GR"/>
        </w:rPr>
        <w:t xml:space="preserve"> </w:t>
      </w:r>
      <w:r w:rsidR="00B93EE0">
        <w:rPr>
          <w:rFonts w:cstheme="minorHAnsi"/>
          <w:sz w:val="24"/>
          <w:szCs w:val="24"/>
          <w:lang w:val="el-GR"/>
        </w:rPr>
        <w:t>Γενικός</w:t>
      </w:r>
      <w:r w:rsidR="00B93EE0" w:rsidRPr="00B93EE0">
        <w:rPr>
          <w:rFonts w:cstheme="minorHAnsi"/>
          <w:sz w:val="24"/>
          <w:szCs w:val="24"/>
          <w:lang w:val="el-GR"/>
        </w:rPr>
        <w:t xml:space="preserve"> </w:t>
      </w:r>
      <w:r w:rsidR="00B93EE0">
        <w:rPr>
          <w:rFonts w:cstheme="minorHAnsi"/>
          <w:sz w:val="24"/>
          <w:szCs w:val="24"/>
          <w:lang w:val="el-GR"/>
        </w:rPr>
        <w:t>Ελεγκτής</w:t>
      </w:r>
      <w:r w:rsidR="00222DF0" w:rsidRPr="00B93EE0">
        <w:rPr>
          <w:rFonts w:cstheme="minorHAnsi"/>
          <w:sz w:val="24"/>
          <w:szCs w:val="24"/>
          <w:lang w:val="el-GR"/>
        </w:rPr>
        <w:t xml:space="preserve">, </w:t>
      </w:r>
      <w:r w:rsidR="00B93EE0">
        <w:rPr>
          <w:rFonts w:cstheme="minorHAnsi"/>
          <w:sz w:val="24"/>
          <w:szCs w:val="24"/>
          <w:lang w:val="el-GR"/>
        </w:rPr>
        <w:t>δυνάμει</w:t>
      </w:r>
      <w:r w:rsidR="00B93EE0" w:rsidRPr="00B93EE0">
        <w:rPr>
          <w:rFonts w:cstheme="minorHAnsi"/>
          <w:sz w:val="24"/>
          <w:szCs w:val="24"/>
          <w:lang w:val="el-GR"/>
        </w:rPr>
        <w:t xml:space="preserve"> </w:t>
      </w:r>
      <w:r w:rsidR="00B93EE0">
        <w:rPr>
          <w:rFonts w:cstheme="minorHAnsi"/>
          <w:sz w:val="24"/>
          <w:szCs w:val="24"/>
          <w:lang w:val="el-GR"/>
        </w:rPr>
        <w:t>του</w:t>
      </w:r>
      <w:r w:rsidR="00B93EE0" w:rsidRPr="00B93EE0">
        <w:rPr>
          <w:rFonts w:cstheme="minorHAnsi"/>
          <w:sz w:val="24"/>
          <w:szCs w:val="24"/>
          <w:lang w:val="el-GR"/>
        </w:rPr>
        <w:t xml:space="preserve"> </w:t>
      </w:r>
      <w:r w:rsidR="00B93EE0">
        <w:rPr>
          <w:rFonts w:cstheme="minorHAnsi"/>
          <w:sz w:val="24"/>
          <w:szCs w:val="24"/>
          <w:lang w:val="el-GR"/>
        </w:rPr>
        <w:t>Άρθρου</w:t>
      </w:r>
      <w:r w:rsidR="00222DF0">
        <w:rPr>
          <w:rFonts w:cstheme="minorHAnsi"/>
          <w:sz w:val="24"/>
          <w:szCs w:val="24"/>
        </w:rPr>
        <w:t> </w:t>
      </w:r>
      <w:r w:rsidR="00222DF0" w:rsidRPr="00B93EE0">
        <w:rPr>
          <w:rFonts w:cstheme="minorHAnsi"/>
          <w:sz w:val="24"/>
          <w:szCs w:val="24"/>
          <w:lang w:val="el-GR"/>
        </w:rPr>
        <w:t xml:space="preserve">116(1) </w:t>
      </w:r>
      <w:r w:rsidR="00B93EE0">
        <w:rPr>
          <w:rFonts w:cstheme="minorHAnsi"/>
          <w:sz w:val="24"/>
          <w:szCs w:val="24"/>
          <w:lang w:val="el-GR"/>
        </w:rPr>
        <w:t>του</w:t>
      </w:r>
      <w:r w:rsidR="00B93EE0" w:rsidRPr="00B93EE0">
        <w:rPr>
          <w:rFonts w:cstheme="minorHAnsi"/>
          <w:sz w:val="24"/>
          <w:szCs w:val="24"/>
          <w:lang w:val="el-GR"/>
        </w:rPr>
        <w:t xml:space="preserve"> </w:t>
      </w:r>
      <w:r w:rsidR="00B93EE0">
        <w:rPr>
          <w:rFonts w:cstheme="minorHAnsi"/>
          <w:sz w:val="24"/>
          <w:szCs w:val="24"/>
          <w:lang w:val="el-GR"/>
        </w:rPr>
        <w:t>Συντάγματος</w:t>
      </w:r>
      <w:r w:rsidR="00222DF0" w:rsidRPr="00B93EE0">
        <w:rPr>
          <w:rFonts w:cstheme="minorHAnsi"/>
          <w:sz w:val="24"/>
          <w:szCs w:val="24"/>
          <w:lang w:val="el-GR"/>
        </w:rPr>
        <w:t>,</w:t>
      </w:r>
      <w:r w:rsidR="00A5147D" w:rsidRPr="00B93EE0">
        <w:rPr>
          <w:rFonts w:cstheme="minorHAnsi"/>
          <w:sz w:val="24"/>
          <w:szCs w:val="24"/>
          <w:lang w:val="el-GR"/>
        </w:rPr>
        <w:t xml:space="preserve"> </w:t>
      </w:r>
      <w:r w:rsidR="00B93EE0">
        <w:rPr>
          <w:rFonts w:cstheme="minorHAnsi"/>
          <w:sz w:val="24"/>
          <w:szCs w:val="24"/>
          <w:lang w:val="el-GR"/>
        </w:rPr>
        <w:t>έχει</w:t>
      </w:r>
      <w:r w:rsidR="00B93EE0" w:rsidRPr="00B93EE0">
        <w:rPr>
          <w:rFonts w:cstheme="minorHAnsi"/>
          <w:sz w:val="24"/>
          <w:szCs w:val="24"/>
          <w:lang w:val="el-GR"/>
        </w:rPr>
        <w:t xml:space="preserve"> </w:t>
      </w:r>
      <w:r w:rsidR="00B93EE0">
        <w:rPr>
          <w:rFonts w:cstheme="minorHAnsi"/>
          <w:sz w:val="24"/>
          <w:szCs w:val="24"/>
          <w:lang w:val="el-GR"/>
        </w:rPr>
        <w:t>το</w:t>
      </w:r>
      <w:r w:rsidR="00B93EE0" w:rsidRPr="00B93EE0">
        <w:rPr>
          <w:rFonts w:cstheme="minorHAnsi"/>
          <w:sz w:val="24"/>
          <w:szCs w:val="24"/>
          <w:lang w:val="el-GR"/>
        </w:rPr>
        <w:t xml:space="preserve"> </w:t>
      </w:r>
      <w:r w:rsidR="00B93EE0">
        <w:rPr>
          <w:rFonts w:cstheme="minorHAnsi"/>
          <w:sz w:val="24"/>
          <w:szCs w:val="24"/>
          <w:lang w:val="el-GR"/>
        </w:rPr>
        <w:t>δικαίωμα</w:t>
      </w:r>
      <w:r w:rsidR="00B93EE0" w:rsidRPr="00B93EE0">
        <w:rPr>
          <w:rFonts w:cstheme="minorHAnsi"/>
          <w:sz w:val="24"/>
          <w:szCs w:val="24"/>
          <w:lang w:val="el-GR"/>
        </w:rPr>
        <w:t xml:space="preserve"> </w:t>
      </w:r>
      <w:r w:rsidR="00B93EE0">
        <w:rPr>
          <w:rFonts w:cstheme="minorHAnsi"/>
          <w:sz w:val="24"/>
          <w:szCs w:val="24"/>
          <w:lang w:val="el-GR"/>
        </w:rPr>
        <w:t>πρόσβασης</w:t>
      </w:r>
      <w:r w:rsidR="00B93EE0" w:rsidRPr="00B93EE0">
        <w:rPr>
          <w:rFonts w:cstheme="minorHAnsi"/>
          <w:sz w:val="24"/>
          <w:szCs w:val="24"/>
          <w:lang w:val="el-GR"/>
        </w:rPr>
        <w:t xml:space="preserve"> </w:t>
      </w:r>
      <w:r w:rsidR="00B93EE0">
        <w:rPr>
          <w:rFonts w:cstheme="minorHAnsi"/>
          <w:sz w:val="24"/>
          <w:szCs w:val="24"/>
          <w:lang w:val="el-GR"/>
        </w:rPr>
        <w:t>σε</w:t>
      </w:r>
      <w:r w:rsidR="00B93EE0" w:rsidRPr="00B93EE0">
        <w:rPr>
          <w:rFonts w:cstheme="minorHAnsi"/>
          <w:sz w:val="24"/>
          <w:szCs w:val="24"/>
          <w:lang w:val="el-GR"/>
        </w:rPr>
        <w:t xml:space="preserve"> </w:t>
      </w:r>
      <w:r w:rsidR="00B93EE0">
        <w:rPr>
          <w:rFonts w:cstheme="minorHAnsi"/>
          <w:sz w:val="24"/>
          <w:szCs w:val="24"/>
          <w:lang w:val="el-GR"/>
        </w:rPr>
        <w:t>όλα</w:t>
      </w:r>
      <w:r w:rsidR="00B93EE0" w:rsidRPr="00B93EE0">
        <w:rPr>
          <w:rFonts w:cstheme="minorHAnsi"/>
          <w:sz w:val="24"/>
          <w:szCs w:val="24"/>
          <w:lang w:val="el-GR"/>
        </w:rPr>
        <w:t xml:space="preserve"> </w:t>
      </w:r>
      <w:r w:rsidR="00B93EE0">
        <w:rPr>
          <w:rFonts w:cstheme="minorHAnsi"/>
          <w:sz w:val="24"/>
          <w:szCs w:val="24"/>
          <w:lang w:val="el-GR"/>
        </w:rPr>
        <w:t>τα</w:t>
      </w:r>
      <w:r w:rsidR="00B93EE0" w:rsidRPr="00B93EE0">
        <w:rPr>
          <w:rFonts w:cstheme="minorHAnsi"/>
          <w:sz w:val="24"/>
          <w:szCs w:val="24"/>
          <w:lang w:val="el-GR"/>
        </w:rPr>
        <w:t xml:space="preserve"> </w:t>
      </w:r>
      <w:r w:rsidR="00B93EE0">
        <w:rPr>
          <w:rFonts w:cstheme="minorHAnsi"/>
          <w:sz w:val="24"/>
          <w:szCs w:val="24"/>
          <w:lang w:val="el-GR"/>
        </w:rPr>
        <w:t>βιβλία</w:t>
      </w:r>
      <w:r w:rsidR="00A5147D" w:rsidRPr="00B93EE0">
        <w:rPr>
          <w:rFonts w:cstheme="minorHAnsi"/>
          <w:sz w:val="24"/>
          <w:szCs w:val="24"/>
          <w:lang w:val="el-GR"/>
        </w:rPr>
        <w:t xml:space="preserve">, </w:t>
      </w:r>
      <w:r w:rsidR="00B93EE0">
        <w:rPr>
          <w:rFonts w:cstheme="minorHAnsi"/>
          <w:sz w:val="24"/>
          <w:szCs w:val="24"/>
          <w:lang w:val="el-GR"/>
        </w:rPr>
        <w:t>αρχεία και δηλώσεις</w:t>
      </w:r>
      <w:r w:rsidR="00A5147D" w:rsidRPr="00B93EE0">
        <w:rPr>
          <w:rFonts w:cstheme="minorHAnsi"/>
          <w:sz w:val="24"/>
          <w:szCs w:val="24"/>
          <w:lang w:val="el-GR"/>
        </w:rPr>
        <w:t xml:space="preserve"> </w:t>
      </w:r>
      <w:r w:rsidR="00B93EE0">
        <w:rPr>
          <w:rFonts w:cstheme="minorHAnsi"/>
          <w:sz w:val="24"/>
          <w:szCs w:val="24"/>
          <w:lang w:val="el-GR"/>
        </w:rPr>
        <w:t>που σχετίζονται με τέτοιους λογαριασμούς</w:t>
      </w:r>
      <w:r w:rsidR="00A5147D" w:rsidRPr="00B93EE0">
        <w:rPr>
          <w:rFonts w:cstheme="minorHAnsi"/>
          <w:sz w:val="24"/>
          <w:szCs w:val="24"/>
          <w:lang w:val="el-GR"/>
        </w:rPr>
        <w:t xml:space="preserve"> </w:t>
      </w:r>
      <w:r w:rsidR="00B93EE0">
        <w:rPr>
          <w:rFonts w:cstheme="minorHAnsi"/>
          <w:sz w:val="24"/>
          <w:szCs w:val="24"/>
          <w:lang w:val="el-GR"/>
        </w:rPr>
        <w:t>και σε χώρους όπου τέτοια περιουσιακά στοιχεία φυλάσσονται</w:t>
      </w:r>
      <w:r w:rsidR="00A5147D" w:rsidRPr="00B93EE0">
        <w:rPr>
          <w:rFonts w:cstheme="minorHAnsi"/>
          <w:sz w:val="24"/>
          <w:szCs w:val="24"/>
          <w:lang w:val="el-GR"/>
        </w:rPr>
        <w:t>.</w:t>
      </w:r>
      <w:r w:rsidR="00FC633E" w:rsidRPr="00B93EE0">
        <w:rPr>
          <w:rFonts w:cstheme="minorHAnsi"/>
          <w:sz w:val="24"/>
          <w:szCs w:val="24"/>
          <w:lang w:val="el-GR"/>
        </w:rPr>
        <w:t xml:space="preserve"> </w:t>
      </w:r>
      <w:r w:rsidR="00B93EE0">
        <w:rPr>
          <w:rFonts w:cstheme="minorHAnsi"/>
          <w:sz w:val="24"/>
          <w:szCs w:val="24"/>
          <w:lang w:val="el-GR"/>
        </w:rPr>
        <w:t>Η</w:t>
      </w:r>
      <w:r w:rsidR="00FC633E" w:rsidRPr="00B93EE0">
        <w:rPr>
          <w:rFonts w:cstheme="minorHAnsi"/>
          <w:sz w:val="24"/>
          <w:szCs w:val="24"/>
          <w:lang w:val="el-GR"/>
        </w:rPr>
        <w:t xml:space="preserve"> </w:t>
      </w:r>
      <w:r w:rsidR="00FC633E" w:rsidRPr="00FC633E">
        <w:rPr>
          <w:rFonts w:cstheme="minorHAnsi"/>
          <w:sz w:val="24"/>
          <w:szCs w:val="24"/>
        </w:rPr>
        <w:t>GET</w:t>
      </w:r>
      <w:r w:rsidR="00FC633E" w:rsidRPr="00B93EE0">
        <w:rPr>
          <w:rFonts w:cstheme="minorHAnsi"/>
          <w:sz w:val="24"/>
          <w:szCs w:val="24"/>
          <w:lang w:val="el-GR"/>
        </w:rPr>
        <w:t xml:space="preserve"> </w:t>
      </w:r>
      <w:r w:rsidR="00B93EE0">
        <w:rPr>
          <w:rFonts w:cstheme="minorHAnsi"/>
          <w:sz w:val="24"/>
          <w:szCs w:val="24"/>
          <w:lang w:val="el-GR"/>
        </w:rPr>
        <w:t>άκουσε</w:t>
      </w:r>
      <w:r w:rsidR="00B93EE0" w:rsidRPr="00B93EE0">
        <w:rPr>
          <w:rFonts w:cstheme="minorHAnsi"/>
          <w:sz w:val="24"/>
          <w:szCs w:val="24"/>
          <w:lang w:val="el-GR"/>
        </w:rPr>
        <w:t xml:space="preserve"> </w:t>
      </w:r>
      <w:r w:rsidR="008F0A69">
        <w:rPr>
          <w:rFonts w:cstheme="minorHAnsi"/>
          <w:sz w:val="24"/>
          <w:szCs w:val="24"/>
          <w:lang w:val="el-GR"/>
        </w:rPr>
        <w:t>επί</w:t>
      </w:r>
      <w:r w:rsidR="008F0A69" w:rsidRPr="00B93EE0">
        <w:rPr>
          <w:rFonts w:cstheme="minorHAnsi"/>
          <w:sz w:val="24"/>
          <w:szCs w:val="24"/>
          <w:lang w:val="el-GR"/>
        </w:rPr>
        <w:t xml:space="preserve"> </w:t>
      </w:r>
      <w:r w:rsidR="008F0A69">
        <w:rPr>
          <w:rFonts w:cstheme="minorHAnsi"/>
          <w:sz w:val="24"/>
          <w:szCs w:val="24"/>
          <w:lang w:val="el-GR"/>
        </w:rPr>
        <w:t>τόπου</w:t>
      </w:r>
      <w:r w:rsidR="008F0A69" w:rsidRPr="00B93EE0">
        <w:rPr>
          <w:rFonts w:cstheme="minorHAnsi"/>
          <w:sz w:val="24"/>
          <w:szCs w:val="24"/>
          <w:lang w:val="el-GR"/>
        </w:rPr>
        <w:t xml:space="preserve"> </w:t>
      </w:r>
      <w:r w:rsidR="00B93EE0">
        <w:rPr>
          <w:rFonts w:cstheme="minorHAnsi"/>
          <w:sz w:val="24"/>
          <w:szCs w:val="24"/>
          <w:lang w:val="el-GR"/>
        </w:rPr>
        <w:t>κάποια</w:t>
      </w:r>
      <w:r w:rsidR="00B93EE0" w:rsidRPr="00B93EE0">
        <w:rPr>
          <w:rFonts w:cstheme="minorHAnsi"/>
          <w:sz w:val="24"/>
          <w:szCs w:val="24"/>
          <w:lang w:val="el-GR"/>
        </w:rPr>
        <w:t xml:space="preserve"> </w:t>
      </w:r>
      <w:r w:rsidR="00B93EE0">
        <w:rPr>
          <w:rFonts w:cstheme="minorHAnsi"/>
          <w:sz w:val="24"/>
          <w:szCs w:val="24"/>
          <w:lang w:val="el-GR"/>
        </w:rPr>
        <w:t>ανησυχία</w:t>
      </w:r>
      <w:r w:rsidR="00FC633E" w:rsidRPr="00B93EE0">
        <w:rPr>
          <w:rFonts w:cstheme="minorHAnsi"/>
          <w:sz w:val="24"/>
          <w:szCs w:val="24"/>
          <w:lang w:val="el-GR"/>
        </w:rPr>
        <w:t xml:space="preserve"> </w:t>
      </w:r>
      <w:r w:rsidR="00B93EE0">
        <w:rPr>
          <w:rFonts w:cstheme="minorHAnsi"/>
          <w:sz w:val="24"/>
          <w:szCs w:val="24"/>
          <w:lang w:val="el-GR"/>
        </w:rPr>
        <w:t>αναφορικά με την αποτελεσματική πρόσβαση</w:t>
      </w:r>
      <w:r w:rsidR="00FC633E" w:rsidRPr="00B93EE0">
        <w:rPr>
          <w:rFonts w:cstheme="minorHAnsi"/>
          <w:sz w:val="24"/>
          <w:szCs w:val="24"/>
          <w:lang w:val="el-GR"/>
        </w:rPr>
        <w:t xml:space="preserve"> </w:t>
      </w:r>
      <w:r w:rsidR="00B93EE0">
        <w:rPr>
          <w:rFonts w:cstheme="minorHAnsi"/>
          <w:sz w:val="24"/>
          <w:szCs w:val="24"/>
          <w:lang w:val="el-GR"/>
        </w:rPr>
        <w:t>σε έγγραφα στο πρόσφατο διάστημα</w:t>
      </w:r>
      <w:r w:rsidR="00FC633E" w:rsidRPr="00B93EE0">
        <w:rPr>
          <w:rFonts w:cstheme="minorHAnsi"/>
          <w:sz w:val="24"/>
          <w:szCs w:val="24"/>
          <w:lang w:val="el-GR"/>
        </w:rPr>
        <w:t xml:space="preserve">. </w:t>
      </w:r>
      <w:r w:rsidR="00B93EE0">
        <w:rPr>
          <w:rFonts w:cstheme="minorHAnsi"/>
          <w:sz w:val="24"/>
          <w:szCs w:val="24"/>
          <w:lang w:val="el-GR"/>
        </w:rPr>
        <w:t>Είναι</w:t>
      </w:r>
      <w:r w:rsidR="00B93EE0" w:rsidRPr="00485CE6">
        <w:rPr>
          <w:rFonts w:cstheme="minorHAnsi"/>
          <w:sz w:val="24"/>
          <w:szCs w:val="24"/>
          <w:lang w:val="el-GR"/>
        </w:rPr>
        <w:t xml:space="preserve"> </w:t>
      </w:r>
      <w:r w:rsidR="00B93EE0">
        <w:rPr>
          <w:rFonts w:cstheme="minorHAnsi"/>
          <w:sz w:val="24"/>
          <w:szCs w:val="24"/>
          <w:lang w:val="el-GR"/>
        </w:rPr>
        <w:t>σημαντικό</w:t>
      </w:r>
      <w:r w:rsidR="00B93EE0" w:rsidRPr="00485CE6">
        <w:rPr>
          <w:rFonts w:cstheme="minorHAnsi"/>
          <w:sz w:val="24"/>
          <w:szCs w:val="24"/>
          <w:lang w:val="el-GR"/>
        </w:rPr>
        <w:t xml:space="preserve"> </w:t>
      </w:r>
      <w:r w:rsidR="00B93EE0">
        <w:rPr>
          <w:rFonts w:cstheme="minorHAnsi"/>
          <w:sz w:val="24"/>
          <w:szCs w:val="24"/>
          <w:lang w:val="el-GR"/>
        </w:rPr>
        <w:t>να</w:t>
      </w:r>
      <w:r w:rsidR="00B93EE0" w:rsidRPr="00485CE6">
        <w:rPr>
          <w:rFonts w:cstheme="minorHAnsi"/>
          <w:sz w:val="24"/>
          <w:szCs w:val="24"/>
          <w:lang w:val="el-GR"/>
        </w:rPr>
        <w:t xml:space="preserve"> </w:t>
      </w:r>
      <w:r w:rsidR="008F0A69" w:rsidRPr="002B7C4B">
        <w:rPr>
          <w:rFonts w:cstheme="minorHAnsi"/>
          <w:sz w:val="24"/>
          <w:szCs w:val="24"/>
          <w:lang w:val="el-GR"/>
        </w:rPr>
        <w:t xml:space="preserve"> </w:t>
      </w:r>
      <w:r w:rsidR="008F0A69">
        <w:rPr>
          <w:rFonts w:cstheme="minorHAnsi"/>
          <w:sz w:val="24"/>
          <w:szCs w:val="24"/>
          <w:lang w:val="el-GR"/>
        </w:rPr>
        <w:t xml:space="preserve">διασφαλιστεί ότι </w:t>
      </w:r>
      <w:r w:rsidR="00B93EE0">
        <w:rPr>
          <w:rFonts w:cstheme="minorHAnsi"/>
          <w:sz w:val="24"/>
          <w:szCs w:val="24"/>
          <w:lang w:val="el-GR"/>
        </w:rPr>
        <w:t>οι</w:t>
      </w:r>
      <w:r w:rsidR="00B93EE0" w:rsidRPr="00485CE6">
        <w:rPr>
          <w:rFonts w:cstheme="minorHAnsi"/>
          <w:sz w:val="24"/>
          <w:szCs w:val="24"/>
          <w:lang w:val="el-GR"/>
        </w:rPr>
        <w:t xml:space="preserve"> </w:t>
      </w:r>
      <w:r w:rsidR="00B93EE0">
        <w:rPr>
          <w:rFonts w:cstheme="minorHAnsi"/>
          <w:sz w:val="24"/>
          <w:szCs w:val="24"/>
          <w:lang w:val="el-GR"/>
        </w:rPr>
        <w:t>νομικές</w:t>
      </w:r>
      <w:r w:rsidR="00B93EE0" w:rsidRPr="00485CE6">
        <w:rPr>
          <w:rFonts w:cstheme="minorHAnsi"/>
          <w:sz w:val="24"/>
          <w:szCs w:val="24"/>
          <w:lang w:val="el-GR"/>
        </w:rPr>
        <w:t xml:space="preserve"> </w:t>
      </w:r>
      <w:r w:rsidR="00B93EE0">
        <w:rPr>
          <w:rFonts w:cstheme="minorHAnsi"/>
          <w:sz w:val="24"/>
          <w:szCs w:val="24"/>
          <w:lang w:val="el-GR"/>
        </w:rPr>
        <w:t>υποχρεώσεις</w:t>
      </w:r>
      <w:r w:rsidR="00B93EE0" w:rsidRPr="00485CE6">
        <w:rPr>
          <w:rFonts w:cstheme="minorHAnsi"/>
          <w:sz w:val="24"/>
          <w:szCs w:val="24"/>
          <w:lang w:val="el-GR"/>
        </w:rPr>
        <w:t xml:space="preserve"> </w:t>
      </w:r>
      <w:r w:rsidR="00B93EE0">
        <w:rPr>
          <w:rFonts w:cstheme="minorHAnsi"/>
          <w:sz w:val="24"/>
          <w:szCs w:val="24"/>
          <w:lang w:val="el-GR"/>
        </w:rPr>
        <w:t>και</w:t>
      </w:r>
      <w:r w:rsidR="00B93EE0" w:rsidRPr="00485CE6">
        <w:rPr>
          <w:rFonts w:cstheme="minorHAnsi"/>
          <w:sz w:val="24"/>
          <w:szCs w:val="24"/>
          <w:lang w:val="el-GR"/>
        </w:rPr>
        <w:t xml:space="preserve"> </w:t>
      </w:r>
      <w:r w:rsidR="00B93EE0">
        <w:rPr>
          <w:rFonts w:cstheme="minorHAnsi"/>
          <w:sz w:val="24"/>
          <w:szCs w:val="24"/>
          <w:lang w:val="el-GR"/>
        </w:rPr>
        <w:t>η</w:t>
      </w:r>
      <w:r w:rsidR="00B93EE0" w:rsidRPr="00485CE6">
        <w:rPr>
          <w:rFonts w:cstheme="minorHAnsi"/>
          <w:sz w:val="24"/>
          <w:szCs w:val="24"/>
          <w:lang w:val="el-GR"/>
        </w:rPr>
        <w:t xml:space="preserve"> </w:t>
      </w:r>
      <w:r w:rsidR="00B93EE0">
        <w:rPr>
          <w:rFonts w:cstheme="minorHAnsi"/>
          <w:sz w:val="24"/>
          <w:szCs w:val="24"/>
          <w:lang w:val="el-GR"/>
        </w:rPr>
        <w:t>πρακτική</w:t>
      </w:r>
      <w:r w:rsidR="00B93EE0" w:rsidRPr="00485CE6">
        <w:rPr>
          <w:rFonts w:cstheme="minorHAnsi"/>
          <w:sz w:val="24"/>
          <w:szCs w:val="24"/>
          <w:lang w:val="el-GR"/>
        </w:rPr>
        <w:t xml:space="preserve"> </w:t>
      </w:r>
      <w:r w:rsidR="008F0A69">
        <w:rPr>
          <w:rFonts w:cstheme="minorHAnsi"/>
          <w:sz w:val="24"/>
          <w:szCs w:val="24"/>
          <w:lang w:val="el-GR"/>
        </w:rPr>
        <w:t xml:space="preserve">είναι σε πλήρη ευθυγράμμιση </w:t>
      </w:r>
      <w:r w:rsidR="008F0A69" w:rsidRPr="002B7C4B">
        <w:rPr>
          <w:rFonts w:cstheme="minorHAnsi"/>
          <w:sz w:val="24"/>
          <w:szCs w:val="24"/>
          <w:lang w:val="el-GR"/>
        </w:rPr>
        <w:t xml:space="preserve"> </w:t>
      </w:r>
      <w:r w:rsidR="008F0A69">
        <w:rPr>
          <w:rFonts w:cstheme="minorHAnsi"/>
          <w:sz w:val="24"/>
          <w:szCs w:val="24"/>
          <w:lang w:val="el-GR"/>
        </w:rPr>
        <w:t>ως προς αυτό</w:t>
      </w:r>
      <w:r w:rsidR="00222DF0" w:rsidRPr="00485CE6">
        <w:rPr>
          <w:rFonts w:cstheme="minorHAnsi"/>
          <w:sz w:val="24"/>
          <w:szCs w:val="24"/>
          <w:lang w:val="el-GR"/>
        </w:rPr>
        <w:t xml:space="preserve">, </w:t>
      </w:r>
      <w:r w:rsidR="00485CE6">
        <w:rPr>
          <w:rFonts w:cstheme="minorHAnsi"/>
          <w:sz w:val="24"/>
          <w:szCs w:val="24"/>
          <w:lang w:val="el-GR"/>
        </w:rPr>
        <w:t>χωρίς</w:t>
      </w:r>
      <w:r w:rsidR="00485CE6" w:rsidRPr="00485CE6">
        <w:rPr>
          <w:rFonts w:cstheme="minorHAnsi"/>
          <w:sz w:val="24"/>
          <w:szCs w:val="24"/>
          <w:lang w:val="el-GR"/>
        </w:rPr>
        <w:t xml:space="preserve"> </w:t>
      </w:r>
      <w:r w:rsidR="00485CE6">
        <w:rPr>
          <w:rFonts w:cstheme="minorHAnsi"/>
          <w:sz w:val="24"/>
          <w:szCs w:val="24"/>
          <w:lang w:val="el-GR"/>
        </w:rPr>
        <w:t>να</w:t>
      </w:r>
      <w:r w:rsidR="008F0A69">
        <w:rPr>
          <w:rFonts w:cstheme="minorHAnsi"/>
          <w:sz w:val="24"/>
          <w:szCs w:val="24"/>
          <w:lang w:val="el-GR"/>
        </w:rPr>
        <w:t xml:space="preserve"> παραγνωρίζονται </w:t>
      </w:r>
      <w:r w:rsidR="00485CE6" w:rsidRPr="00485CE6">
        <w:rPr>
          <w:rFonts w:cstheme="minorHAnsi"/>
          <w:sz w:val="24"/>
          <w:szCs w:val="24"/>
          <w:lang w:val="el-GR"/>
        </w:rPr>
        <w:t xml:space="preserve"> </w:t>
      </w:r>
      <w:r w:rsidR="00485CE6">
        <w:rPr>
          <w:rFonts w:cstheme="minorHAnsi"/>
          <w:sz w:val="24"/>
          <w:szCs w:val="24"/>
          <w:lang w:val="el-GR"/>
        </w:rPr>
        <w:t>οι</w:t>
      </w:r>
      <w:r w:rsidR="00485CE6" w:rsidRPr="00485CE6">
        <w:rPr>
          <w:rFonts w:cstheme="minorHAnsi"/>
          <w:sz w:val="24"/>
          <w:szCs w:val="24"/>
          <w:lang w:val="el-GR"/>
        </w:rPr>
        <w:t xml:space="preserve"> </w:t>
      </w:r>
      <w:r w:rsidR="00485CE6">
        <w:rPr>
          <w:rFonts w:cstheme="minorHAnsi"/>
          <w:sz w:val="24"/>
          <w:szCs w:val="24"/>
          <w:lang w:val="el-GR"/>
        </w:rPr>
        <w:t>εξουσίες</w:t>
      </w:r>
      <w:r w:rsidR="00485CE6" w:rsidRPr="00485CE6">
        <w:rPr>
          <w:rFonts w:cstheme="minorHAnsi"/>
          <w:sz w:val="24"/>
          <w:szCs w:val="24"/>
          <w:lang w:val="el-GR"/>
        </w:rPr>
        <w:t xml:space="preserve"> </w:t>
      </w:r>
      <w:r w:rsidR="00485CE6">
        <w:rPr>
          <w:rFonts w:cstheme="minorHAnsi"/>
          <w:sz w:val="24"/>
          <w:szCs w:val="24"/>
          <w:lang w:val="el-GR"/>
        </w:rPr>
        <w:t>που</w:t>
      </w:r>
      <w:r w:rsidR="00485CE6" w:rsidRPr="00485CE6">
        <w:rPr>
          <w:rFonts w:cstheme="minorHAnsi"/>
          <w:sz w:val="24"/>
          <w:szCs w:val="24"/>
          <w:lang w:val="el-GR"/>
        </w:rPr>
        <w:t xml:space="preserve"> </w:t>
      </w:r>
      <w:r w:rsidR="00485CE6">
        <w:rPr>
          <w:rFonts w:cstheme="minorHAnsi"/>
          <w:sz w:val="24"/>
          <w:szCs w:val="24"/>
          <w:lang w:val="el-GR"/>
        </w:rPr>
        <w:t xml:space="preserve">έχουν κατοχυρωθεί </w:t>
      </w:r>
      <w:r w:rsidR="00E606DC">
        <w:rPr>
          <w:rFonts w:cstheme="minorHAnsi"/>
          <w:sz w:val="24"/>
          <w:szCs w:val="24"/>
          <w:lang w:val="el-GR"/>
        </w:rPr>
        <w:t>σ ’αυτόν</w:t>
      </w:r>
      <w:r w:rsidR="00485CE6">
        <w:rPr>
          <w:rFonts w:cstheme="minorHAnsi"/>
          <w:sz w:val="24"/>
          <w:szCs w:val="24"/>
          <w:lang w:val="el-GR"/>
        </w:rPr>
        <w:t>/ην</w:t>
      </w:r>
      <w:r w:rsidR="00222DF0" w:rsidRPr="00485CE6">
        <w:rPr>
          <w:rFonts w:cstheme="minorHAnsi"/>
          <w:sz w:val="24"/>
          <w:szCs w:val="24"/>
          <w:lang w:val="el-GR"/>
        </w:rPr>
        <w:t xml:space="preserve"> </w:t>
      </w:r>
      <w:r w:rsidR="00485CE6">
        <w:rPr>
          <w:rFonts w:cstheme="minorHAnsi"/>
          <w:sz w:val="24"/>
          <w:szCs w:val="24"/>
          <w:lang w:val="el-GR"/>
        </w:rPr>
        <w:t>από το Σύνταγμα και τον Νόμο</w:t>
      </w:r>
      <w:r w:rsidR="00222DF0" w:rsidRPr="00485CE6">
        <w:rPr>
          <w:rFonts w:cstheme="minorHAnsi"/>
          <w:sz w:val="24"/>
          <w:szCs w:val="24"/>
          <w:lang w:val="el-GR"/>
        </w:rPr>
        <w:t xml:space="preserve"> 113(</w:t>
      </w:r>
      <w:r w:rsidR="00222DF0">
        <w:rPr>
          <w:rFonts w:cstheme="minorHAnsi"/>
          <w:sz w:val="24"/>
          <w:szCs w:val="24"/>
        </w:rPr>
        <w:t>I</w:t>
      </w:r>
      <w:r w:rsidR="00222DF0" w:rsidRPr="00485CE6">
        <w:rPr>
          <w:rFonts w:cstheme="minorHAnsi"/>
          <w:sz w:val="24"/>
          <w:szCs w:val="24"/>
          <w:lang w:val="el-GR"/>
        </w:rPr>
        <w:t xml:space="preserve">)/2002 </w:t>
      </w:r>
      <w:r w:rsidR="00485CE6">
        <w:rPr>
          <w:rFonts w:cstheme="minorHAnsi"/>
          <w:sz w:val="24"/>
          <w:szCs w:val="24"/>
          <w:lang w:val="el-GR"/>
        </w:rPr>
        <w:t>που σχετίζεται με την Υποβολή Στοιχείων και Πληροφοριών στον Γενικό Ελεγκτή</w:t>
      </w:r>
      <w:r w:rsidR="00FC633E" w:rsidRPr="00485CE6">
        <w:rPr>
          <w:rFonts w:cstheme="minorHAnsi"/>
          <w:sz w:val="24"/>
          <w:szCs w:val="24"/>
          <w:lang w:val="el-GR"/>
        </w:rPr>
        <w:t xml:space="preserve">. </w:t>
      </w:r>
      <w:r w:rsidR="008F0A69">
        <w:rPr>
          <w:rFonts w:cstheme="minorHAnsi"/>
          <w:sz w:val="24"/>
          <w:szCs w:val="24"/>
          <w:lang w:val="el-GR"/>
        </w:rPr>
        <w:t xml:space="preserve"> </w:t>
      </w:r>
    </w:p>
    <w:p w14:paraId="41D297C4" w14:textId="77777777" w:rsidR="00FC633E" w:rsidRPr="00485CE6" w:rsidRDefault="00FC633E" w:rsidP="00FC633E">
      <w:pPr>
        <w:keepNext/>
        <w:tabs>
          <w:tab w:val="left" w:pos="709"/>
        </w:tabs>
        <w:contextualSpacing/>
        <w:rPr>
          <w:rFonts w:eastAsia="Calibri" w:cstheme="minorHAnsi"/>
          <w:bCs/>
          <w:sz w:val="24"/>
          <w:szCs w:val="24"/>
          <w:lang w:val="el-GR"/>
        </w:rPr>
      </w:pPr>
    </w:p>
    <w:p w14:paraId="71380F9B" w14:textId="5A48B4A7" w:rsidR="00A5147D" w:rsidRPr="004E251E" w:rsidRDefault="00485CE6" w:rsidP="00A5147D">
      <w:pPr>
        <w:keepNext/>
        <w:contextualSpacing/>
        <w:rPr>
          <w:rFonts w:eastAsia="Calibri" w:cstheme="minorHAnsi"/>
          <w:bCs/>
          <w:i/>
          <w:iCs/>
          <w:sz w:val="24"/>
          <w:szCs w:val="24"/>
          <w:u w:val="single"/>
        </w:rPr>
      </w:pPr>
      <w:r>
        <w:rPr>
          <w:rFonts w:eastAsia="Calibri" w:cstheme="minorHAnsi"/>
          <w:bCs/>
          <w:i/>
          <w:iCs/>
          <w:sz w:val="24"/>
          <w:szCs w:val="24"/>
          <w:u w:val="single"/>
          <w:lang w:val="el-GR"/>
        </w:rPr>
        <w:t>Εσωτερικός Έλεγχος</w:t>
      </w:r>
      <w:r w:rsidR="00A5147D" w:rsidRPr="004E251E">
        <w:rPr>
          <w:rFonts w:eastAsia="Calibri" w:cstheme="minorHAnsi"/>
          <w:bCs/>
          <w:i/>
          <w:iCs/>
          <w:sz w:val="24"/>
          <w:szCs w:val="24"/>
          <w:u w:val="single"/>
        </w:rPr>
        <w:t xml:space="preserve"> </w:t>
      </w:r>
    </w:p>
    <w:p w14:paraId="0EBBA9D8" w14:textId="77777777" w:rsidR="00A5147D" w:rsidRPr="004E251E" w:rsidRDefault="00A5147D" w:rsidP="00A5147D">
      <w:pPr>
        <w:keepNext/>
        <w:contextualSpacing/>
        <w:rPr>
          <w:rFonts w:eastAsia="Calibri" w:cstheme="minorHAnsi"/>
          <w:bCs/>
          <w:sz w:val="24"/>
          <w:szCs w:val="24"/>
        </w:rPr>
      </w:pPr>
    </w:p>
    <w:p w14:paraId="506F72BF" w14:textId="5DEC0D03" w:rsidR="00A5147D" w:rsidRPr="0093119E" w:rsidRDefault="00485CE6" w:rsidP="00A5147D">
      <w:pPr>
        <w:keepNext/>
        <w:numPr>
          <w:ilvl w:val="0"/>
          <w:numId w:val="1"/>
        </w:numPr>
        <w:tabs>
          <w:tab w:val="clear" w:pos="6095"/>
          <w:tab w:val="left" w:pos="709"/>
        </w:tabs>
        <w:ind w:left="0" w:firstLine="0"/>
        <w:contextualSpacing/>
        <w:rPr>
          <w:rFonts w:eastAsia="Calibri" w:cstheme="minorHAnsi"/>
          <w:bCs/>
          <w:sz w:val="24"/>
          <w:szCs w:val="24"/>
          <w:lang w:val="el-GR"/>
        </w:rPr>
      </w:pPr>
      <w:r>
        <w:rPr>
          <w:rFonts w:eastAsia="Calibri" w:cstheme="minorHAnsi"/>
          <w:bCs/>
          <w:sz w:val="24"/>
          <w:szCs w:val="24"/>
          <w:lang w:val="el-GR"/>
        </w:rPr>
        <w:t>Το</w:t>
      </w:r>
      <w:r w:rsidR="00A5147D" w:rsidRPr="00485CE6">
        <w:rPr>
          <w:rFonts w:eastAsia="Calibri" w:cstheme="minorHAnsi"/>
          <w:bCs/>
          <w:sz w:val="24"/>
          <w:szCs w:val="24"/>
          <w:lang w:val="el-GR"/>
        </w:rPr>
        <w:t xml:space="preserve"> 2003, </w:t>
      </w:r>
      <w:r>
        <w:rPr>
          <w:rFonts w:eastAsia="Calibri" w:cstheme="minorHAnsi"/>
          <w:bCs/>
          <w:sz w:val="24"/>
          <w:szCs w:val="24"/>
          <w:lang w:val="el-GR"/>
        </w:rPr>
        <w:t>ο</w:t>
      </w:r>
      <w:r w:rsidRPr="00485CE6">
        <w:rPr>
          <w:rFonts w:eastAsia="Calibri" w:cstheme="minorHAnsi"/>
          <w:bCs/>
          <w:sz w:val="24"/>
          <w:szCs w:val="24"/>
          <w:lang w:val="el-GR"/>
        </w:rPr>
        <w:t xml:space="preserve"> </w:t>
      </w:r>
      <w:r>
        <w:rPr>
          <w:rFonts w:eastAsia="Calibri" w:cstheme="minorHAnsi"/>
          <w:bCs/>
          <w:sz w:val="24"/>
          <w:szCs w:val="24"/>
          <w:lang w:val="el-GR"/>
        </w:rPr>
        <w:t>Νόμος</w:t>
      </w:r>
      <w:r w:rsidRPr="00485CE6">
        <w:rPr>
          <w:rFonts w:eastAsia="Calibri" w:cstheme="minorHAnsi"/>
          <w:bCs/>
          <w:sz w:val="24"/>
          <w:szCs w:val="24"/>
          <w:lang w:val="el-GR"/>
        </w:rPr>
        <w:t xml:space="preserve"> </w:t>
      </w:r>
      <w:r>
        <w:rPr>
          <w:rFonts w:eastAsia="Calibri" w:cstheme="minorHAnsi"/>
          <w:bCs/>
          <w:sz w:val="24"/>
          <w:szCs w:val="24"/>
          <w:lang w:val="el-GR"/>
        </w:rPr>
        <w:t>πε</w:t>
      </w:r>
      <w:r w:rsidR="00166173">
        <w:rPr>
          <w:rFonts w:eastAsia="Calibri" w:cstheme="minorHAnsi"/>
          <w:bCs/>
          <w:sz w:val="24"/>
          <w:szCs w:val="24"/>
          <w:lang w:val="el-GR"/>
        </w:rPr>
        <w:t>ρ</w:t>
      </w:r>
      <w:r>
        <w:rPr>
          <w:rFonts w:eastAsia="Calibri" w:cstheme="minorHAnsi"/>
          <w:bCs/>
          <w:sz w:val="24"/>
          <w:szCs w:val="24"/>
          <w:lang w:val="el-GR"/>
        </w:rPr>
        <w:t>ί</w:t>
      </w:r>
      <w:r w:rsidRPr="00485CE6">
        <w:rPr>
          <w:rFonts w:eastAsia="Calibri" w:cstheme="minorHAnsi"/>
          <w:bCs/>
          <w:sz w:val="24"/>
          <w:szCs w:val="24"/>
          <w:lang w:val="el-GR"/>
        </w:rPr>
        <w:t xml:space="preserve"> </w:t>
      </w:r>
      <w:r>
        <w:rPr>
          <w:rFonts w:eastAsia="Calibri" w:cstheme="minorHAnsi"/>
          <w:bCs/>
          <w:sz w:val="24"/>
          <w:szCs w:val="24"/>
          <w:lang w:val="el-GR"/>
        </w:rPr>
        <w:t>Εσωτερικού</w:t>
      </w:r>
      <w:r w:rsidRPr="00485CE6">
        <w:rPr>
          <w:rFonts w:eastAsia="Calibri" w:cstheme="minorHAnsi"/>
          <w:bCs/>
          <w:sz w:val="24"/>
          <w:szCs w:val="24"/>
          <w:lang w:val="el-GR"/>
        </w:rPr>
        <w:t xml:space="preserve"> </w:t>
      </w:r>
      <w:r>
        <w:rPr>
          <w:rFonts w:eastAsia="Calibri" w:cstheme="minorHAnsi"/>
          <w:bCs/>
          <w:sz w:val="24"/>
          <w:szCs w:val="24"/>
          <w:lang w:val="el-GR"/>
        </w:rPr>
        <w:t>Ελέγχου</w:t>
      </w:r>
      <w:r w:rsidR="00A5147D" w:rsidRPr="00485CE6">
        <w:rPr>
          <w:rFonts w:eastAsia="Calibri" w:cstheme="minorHAnsi"/>
          <w:bCs/>
          <w:sz w:val="24"/>
          <w:szCs w:val="24"/>
          <w:lang w:val="el-GR"/>
        </w:rPr>
        <w:t xml:space="preserve"> </w:t>
      </w:r>
      <w:r>
        <w:rPr>
          <w:rFonts w:eastAsia="Calibri" w:cstheme="minorHAnsi"/>
          <w:bCs/>
          <w:sz w:val="24"/>
          <w:szCs w:val="24"/>
          <w:lang w:val="el-GR"/>
        </w:rPr>
        <w:t>θεσπίσθηκε</w:t>
      </w:r>
      <w:r w:rsidRPr="00485CE6">
        <w:rPr>
          <w:rFonts w:eastAsia="Calibri" w:cstheme="minorHAnsi"/>
          <w:bCs/>
          <w:sz w:val="24"/>
          <w:szCs w:val="24"/>
          <w:lang w:val="el-GR"/>
        </w:rPr>
        <w:t xml:space="preserve"> </w:t>
      </w:r>
      <w:r>
        <w:rPr>
          <w:rFonts w:eastAsia="Calibri" w:cstheme="minorHAnsi"/>
          <w:bCs/>
          <w:sz w:val="24"/>
          <w:szCs w:val="24"/>
          <w:lang w:val="el-GR"/>
        </w:rPr>
        <w:t>για</w:t>
      </w:r>
      <w:r w:rsidRPr="00485CE6">
        <w:rPr>
          <w:rFonts w:eastAsia="Calibri" w:cstheme="minorHAnsi"/>
          <w:bCs/>
          <w:sz w:val="24"/>
          <w:szCs w:val="24"/>
          <w:lang w:val="el-GR"/>
        </w:rPr>
        <w:t xml:space="preserve"> </w:t>
      </w:r>
      <w:r>
        <w:rPr>
          <w:rFonts w:eastAsia="Calibri" w:cstheme="minorHAnsi"/>
          <w:bCs/>
          <w:sz w:val="24"/>
          <w:szCs w:val="24"/>
          <w:lang w:val="el-GR"/>
        </w:rPr>
        <w:t>την</w:t>
      </w:r>
      <w:r w:rsidRPr="00485CE6">
        <w:rPr>
          <w:rFonts w:eastAsia="Calibri" w:cstheme="minorHAnsi"/>
          <w:bCs/>
          <w:sz w:val="24"/>
          <w:szCs w:val="24"/>
          <w:lang w:val="el-GR"/>
        </w:rPr>
        <w:t xml:space="preserve"> </w:t>
      </w:r>
      <w:r>
        <w:rPr>
          <w:rFonts w:eastAsia="Calibri" w:cstheme="minorHAnsi"/>
          <w:bCs/>
          <w:sz w:val="24"/>
          <w:szCs w:val="24"/>
          <w:lang w:val="el-GR"/>
        </w:rPr>
        <w:t>αντιμετώπιση</w:t>
      </w:r>
      <w:r w:rsidRPr="00485CE6">
        <w:rPr>
          <w:rFonts w:eastAsia="Calibri" w:cstheme="minorHAnsi"/>
          <w:bCs/>
          <w:sz w:val="24"/>
          <w:szCs w:val="24"/>
          <w:lang w:val="el-GR"/>
        </w:rPr>
        <w:t xml:space="preserve"> </w:t>
      </w:r>
      <w:r>
        <w:rPr>
          <w:rFonts w:eastAsia="Calibri" w:cstheme="minorHAnsi"/>
          <w:bCs/>
          <w:sz w:val="24"/>
          <w:szCs w:val="24"/>
          <w:lang w:val="el-GR"/>
        </w:rPr>
        <w:t>της</w:t>
      </w:r>
      <w:r w:rsidRPr="00485CE6">
        <w:rPr>
          <w:rFonts w:eastAsia="Calibri" w:cstheme="minorHAnsi"/>
          <w:bCs/>
          <w:sz w:val="24"/>
          <w:szCs w:val="24"/>
          <w:lang w:val="el-GR"/>
        </w:rPr>
        <w:t xml:space="preserve"> </w:t>
      </w:r>
      <w:r>
        <w:rPr>
          <w:rFonts w:eastAsia="Calibri" w:cstheme="minorHAnsi"/>
          <w:bCs/>
          <w:sz w:val="24"/>
          <w:szCs w:val="24"/>
          <w:lang w:val="el-GR"/>
        </w:rPr>
        <w:t>ανάγκης</w:t>
      </w:r>
      <w:r w:rsidRPr="00485CE6">
        <w:rPr>
          <w:rFonts w:eastAsia="Calibri" w:cstheme="minorHAnsi"/>
          <w:bCs/>
          <w:sz w:val="24"/>
          <w:szCs w:val="24"/>
          <w:lang w:val="el-GR"/>
        </w:rPr>
        <w:t xml:space="preserve"> </w:t>
      </w:r>
      <w:r>
        <w:rPr>
          <w:rFonts w:eastAsia="Calibri" w:cstheme="minorHAnsi"/>
          <w:bCs/>
          <w:sz w:val="24"/>
          <w:szCs w:val="24"/>
          <w:lang w:val="el-GR"/>
        </w:rPr>
        <w:t>εκσυγχρονισμού</w:t>
      </w:r>
      <w:r w:rsidRPr="00485CE6">
        <w:rPr>
          <w:rFonts w:eastAsia="Calibri" w:cstheme="minorHAnsi"/>
          <w:bCs/>
          <w:sz w:val="24"/>
          <w:szCs w:val="24"/>
          <w:lang w:val="el-GR"/>
        </w:rPr>
        <w:t xml:space="preserve"> </w:t>
      </w:r>
      <w:r>
        <w:rPr>
          <w:rFonts w:eastAsia="Calibri" w:cstheme="minorHAnsi"/>
          <w:bCs/>
          <w:sz w:val="24"/>
          <w:szCs w:val="24"/>
          <w:lang w:val="el-GR"/>
        </w:rPr>
        <w:t>της</w:t>
      </w:r>
      <w:r w:rsidRPr="00485CE6">
        <w:rPr>
          <w:rFonts w:eastAsia="Calibri" w:cstheme="minorHAnsi"/>
          <w:bCs/>
          <w:sz w:val="24"/>
          <w:szCs w:val="24"/>
          <w:lang w:val="el-GR"/>
        </w:rPr>
        <w:t xml:space="preserve"> </w:t>
      </w:r>
      <w:r>
        <w:rPr>
          <w:rFonts w:eastAsia="Calibri" w:cstheme="minorHAnsi"/>
          <w:bCs/>
          <w:sz w:val="24"/>
          <w:szCs w:val="24"/>
          <w:lang w:val="el-GR"/>
        </w:rPr>
        <w:t>Δημόσιας</w:t>
      </w:r>
      <w:r w:rsidRPr="00485CE6">
        <w:rPr>
          <w:rFonts w:eastAsia="Calibri" w:cstheme="minorHAnsi"/>
          <w:bCs/>
          <w:sz w:val="24"/>
          <w:szCs w:val="24"/>
          <w:lang w:val="el-GR"/>
        </w:rPr>
        <w:t xml:space="preserve"> </w:t>
      </w:r>
      <w:r>
        <w:rPr>
          <w:rFonts w:eastAsia="Calibri" w:cstheme="minorHAnsi"/>
          <w:bCs/>
          <w:sz w:val="24"/>
          <w:szCs w:val="24"/>
          <w:lang w:val="el-GR"/>
        </w:rPr>
        <w:t>Υπηρεσίας</w:t>
      </w:r>
      <w:r w:rsidR="00A5147D" w:rsidRPr="00485CE6">
        <w:rPr>
          <w:rFonts w:eastAsia="Calibri" w:cstheme="minorHAnsi"/>
          <w:bCs/>
          <w:sz w:val="24"/>
          <w:szCs w:val="24"/>
          <w:lang w:val="el-GR"/>
        </w:rPr>
        <w:t xml:space="preserve"> </w:t>
      </w:r>
      <w:r>
        <w:rPr>
          <w:rFonts w:eastAsia="Calibri" w:cstheme="minorHAnsi"/>
          <w:bCs/>
          <w:sz w:val="24"/>
          <w:szCs w:val="24"/>
          <w:lang w:val="el-GR"/>
        </w:rPr>
        <w:t>και τη</w:t>
      </w:r>
      <w:r w:rsidR="008F0A69">
        <w:rPr>
          <w:rFonts w:eastAsia="Calibri" w:cstheme="minorHAnsi"/>
          <w:bCs/>
          <w:sz w:val="24"/>
          <w:szCs w:val="24"/>
          <w:lang w:val="el-GR"/>
        </w:rPr>
        <w:t>ς</w:t>
      </w:r>
      <w:r>
        <w:rPr>
          <w:rFonts w:eastAsia="Calibri" w:cstheme="minorHAnsi"/>
          <w:bCs/>
          <w:sz w:val="24"/>
          <w:szCs w:val="24"/>
          <w:lang w:val="el-GR"/>
        </w:rPr>
        <w:t xml:space="preserve"> προώθηση</w:t>
      </w:r>
      <w:r w:rsidR="008F0A69">
        <w:rPr>
          <w:rFonts w:eastAsia="Calibri" w:cstheme="minorHAnsi"/>
          <w:bCs/>
          <w:sz w:val="24"/>
          <w:szCs w:val="24"/>
          <w:lang w:val="el-GR"/>
        </w:rPr>
        <w:t>ς</w:t>
      </w:r>
      <w:r w:rsidRPr="00485CE6">
        <w:rPr>
          <w:rFonts w:eastAsia="Calibri" w:cstheme="minorHAnsi"/>
          <w:bCs/>
          <w:sz w:val="24"/>
          <w:szCs w:val="24"/>
          <w:lang w:val="el-GR"/>
        </w:rPr>
        <w:t xml:space="preserve"> </w:t>
      </w:r>
      <w:r>
        <w:rPr>
          <w:rFonts w:eastAsia="Calibri" w:cstheme="minorHAnsi"/>
          <w:bCs/>
          <w:sz w:val="24"/>
          <w:szCs w:val="24"/>
          <w:lang w:val="el-GR"/>
        </w:rPr>
        <w:t>της τήρησης των αξιών και αρχών της χρηστής διοίκησης του δημοσίου</w:t>
      </w:r>
      <w:r w:rsidR="00A5147D" w:rsidRPr="00485CE6">
        <w:rPr>
          <w:rFonts w:eastAsia="Calibri" w:cstheme="minorHAnsi"/>
          <w:bCs/>
          <w:sz w:val="24"/>
          <w:szCs w:val="24"/>
          <w:lang w:val="el-GR"/>
        </w:rPr>
        <w:t xml:space="preserve">. </w:t>
      </w:r>
      <w:r>
        <w:rPr>
          <w:rFonts w:eastAsia="Calibri" w:cstheme="minorHAnsi"/>
          <w:bCs/>
          <w:sz w:val="24"/>
          <w:szCs w:val="24"/>
          <w:lang w:val="el-GR"/>
        </w:rPr>
        <w:t>Ο</w:t>
      </w:r>
      <w:r w:rsidRPr="00485CE6">
        <w:rPr>
          <w:rFonts w:eastAsia="Calibri" w:cstheme="minorHAnsi"/>
          <w:bCs/>
          <w:sz w:val="24"/>
          <w:szCs w:val="24"/>
          <w:lang w:val="el-GR"/>
        </w:rPr>
        <w:t xml:space="preserve"> </w:t>
      </w:r>
      <w:r>
        <w:rPr>
          <w:rFonts w:eastAsia="Calibri" w:cstheme="minorHAnsi"/>
          <w:bCs/>
          <w:sz w:val="24"/>
          <w:szCs w:val="24"/>
          <w:lang w:val="el-GR"/>
        </w:rPr>
        <w:t>Νόμος</w:t>
      </w:r>
      <w:r w:rsidRPr="00485CE6">
        <w:rPr>
          <w:rFonts w:eastAsia="Calibri" w:cstheme="minorHAnsi"/>
          <w:bCs/>
          <w:sz w:val="24"/>
          <w:szCs w:val="24"/>
          <w:lang w:val="el-GR"/>
        </w:rPr>
        <w:t xml:space="preserve"> </w:t>
      </w:r>
      <w:r>
        <w:rPr>
          <w:rFonts w:eastAsia="Calibri" w:cstheme="minorHAnsi"/>
          <w:bCs/>
          <w:sz w:val="24"/>
          <w:szCs w:val="24"/>
          <w:lang w:val="el-GR"/>
        </w:rPr>
        <w:t>αυτός</w:t>
      </w:r>
      <w:r w:rsidRPr="00485CE6">
        <w:rPr>
          <w:rFonts w:eastAsia="Calibri" w:cstheme="minorHAnsi"/>
          <w:bCs/>
          <w:sz w:val="24"/>
          <w:szCs w:val="24"/>
          <w:lang w:val="el-GR"/>
        </w:rPr>
        <w:t xml:space="preserve"> </w:t>
      </w:r>
      <w:r>
        <w:rPr>
          <w:rFonts w:eastAsia="Calibri" w:cstheme="minorHAnsi"/>
          <w:bCs/>
          <w:sz w:val="24"/>
          <w:szCs w:val="24"/>
          <w:lang w:val="el-GR"/>
        </w:rPr>
        <w:t>καθιέρωσε</w:t>
      </w:r>
      <w:r w:rsidRPr="00485CE6">
        <w:rPr>
          <w:rFonts w:eastAsia="Calibri" w:cstheme="minorHAnsi"/>
          <w:bCs/>
          <w:sz w:val="24"/>
          <w:szCs w:val="24"/>
          <w:lang w:val="el-GR"/>
        </w:rPr>
        <w:t xml:space="preserve"> </w:t>
      </w:r>
      <w:r>
        <w:rPr>
          <w:rFonts w:eastAsia="Calibri" w:cstheme="minorHAnsi"/>
          <w:bCs/>
          <w:sz w:val="24"/>
          <w:szCs w:val="24"/>
          <w:lang w:val="el-GR"/>
        </w:rPr>
        <w:t>τη</w:t>
      </w:r>
      <w:r w:rsidR="00166173">
        <w:rPr>
          <w:rFonts w:eastAsia="Calibri" w:cstheme="minorHAnsi"/>
          <w:bCs/>
          <w:sz w:val="24"/>
          <w:szCs w:val="24"/>
          <w:lang w:val="el-GR"/>
        </w:rPr>
        <w:t>ν</w:t>
      </w:r>
      <w:r w:rsidRPr="00485CE6">
        <w:rPr>
          <w:rFonts w:eastAsia="Calibri" w:cstheme="minorHAnsi"/>
          <w:bCs/>
          <w:sz w:val="24"/>
          <w:szCs w:val="24"/>
          <w:lang w:val="el-GR"/>
        </w:rPr>
        <w:t xml:space="preserve"> </w:t>
      </w:r>
      <w:r>
        <w:rPr>
          <w:rFonts w:eastAsia="Calibri" w:cstheme="minorHAnsi"/>
          <w:bCs/>
          <w:sz w:val="24"/>
          <w:szCs w:val="24"/>
          <w:lang w:val="el-GR"/>
        </w:rPr>
        <w:t>Υπηρεσία</w:t>
      </w:r>
      <w:r w:rsidRPr="00485CE6">
        <w:rPr>
          <w:rFonts w:eastAsia="Calibri" w:cstheme="minorHAnsi"/>
          <w:bCs/>
          <w:sz w:val="24"/>
          <w:szCs w:val="24"/>
          <w:lang w:val="el-GR"/>
        </w:rPr>
        <w:t xml:space="preserve"> </w:t>
      </w:r>
      <w:r>
        <w:rPr>
          <w:rFonts w:eastAsia="Calibri" w:cstheme="minorHAnsi"/>
          <w:bCs/>
          <w:sz w:val="24"/>
          <w:szCs w:val="24"/>
          <w:lang w:val="el-GR"/>
        </w:rPr>
        <w:t>Εσωτερικού</w:t>
      </w:r>
      <w:r w:rsidRPr="00485CE6">
        <w:rPr>
          <w:rFonts w:eastAsia="Calibri" w:cstheme="minorHAnsi"/>
          <w:bCs/>
          <w:sz w:val="24"/>
          <w:szCs w:val="24"/>
          <w:lang w:val="el-GR"/>
        </w:rPr>
        <w:t xml:space="preserve"> </w:t>
      </w:r>
      <w:r>
        <w:rPr>
          <w:rFonts w:eastAsia="Calibri" w:cstheme="minorHAnsi"/>
          <w:bCs/>
          <w:sz w:val="24"/>
          <w:szCs w:val="24"/>
          <w:lang w:val="el-GR"/>
        </w:rPr>
        <w:t>Ελέγχου</w:t>
      </w:r>
      <w:r w:rsidR="00A5147D" w:rsidRPr="00485CE6">
        <w:rPr>
          <w:rFonts w:eastAsia="Calibri" w:cstheme="minorHAnsi"/>
          <w:bCs/>
          <w:sz w:val="24"/>
          <w:szCs w:val="24"/>
          <w:lang w:val="el-GR"/>
        </w:rPr>
        <w:t xml:space="preserve"> </w:t>
      </w:r>
      <w:r>
        <w:rPr>
          <w:rFonts w:eastAsia="Calibri" w:cstheme="minorHAnsi"/>
          <w:bCs/>
          <w:sz w:val="24"/>
          <w:szCs w:val="24"/>
          <w:lang w:val="el-GR"/>
        </w:rPr>
        <w:t>ως</w:t>
      </w:r>
      <w:r w:rsidRPr="00485CE6">
        <w:rPr>
          <w:rFonts w:eastAsia="Calibri" w:cstheme="minorHAnsi"/>
          <w:bCs/>
          <w:sz w:val="24"/>
          <w:szCs w:val="24"/>
          <w:lang w:val="el-GR"/>
        </w:rPr>
        <w:t xml:space="preserve"> </w:t>
      </w:r>
      <w:r>
        <w:rPr>
          <w:rFonts w:eastAsia="Calibri" w:cstheme="minorHAnsi"/>
          <w:bCs/>
          <w:sz w:val="24"/>
          <w:szCs w:val="24"/>
          <w:lang w:val="el-GR"/>
        </w:rPr>
        <w:t>μια</w:t>
      </w:r>
      <w:r w:rsidRPr="00485CE6">
        <w:rPr>
          <w:rFonts w:eastAsia="Calibri" w:cstheme="minorHAnsi"/>
          <w:bCs/>
          <w:sz w:val="24"/>
          <w:szCs w:val="24"/>
          <w:lang w:val="el-GR"/>
        </w:rPr>
        <w:t xml:space="preserve"> </w:t>
      </w:r>
      <w:r>
        <w:rPr>
          <w:rFonts w:eastAsia="Calibri" w:cstheme="minorHAnsi"/>
          <w:bCs/>
          <w:sz w:val="24"/>
          <w:szCs w:val="24"/>
          <w:lang w:val="el-GR"/>
        </w:rPr>
        <w:t>ανεξάρτητη</w:t>
      </w:r>
      <w:r w:rsidRPr="00485CE6">
        <w:rPr>
          <w:rFonts w:eastAsia="Calibri" w:cstheme="minorHAnsi"/>
          <w:bCs/>
          <w:sz w:val="24"/>
          <w:szCs w:val="24"/>
          <w:lang w:val="el-GR"/>
        </w:rPr>
        <w:t xml:space="preserve"> </w:t>
      </w:r>
      <w:r>
        <w:rPr>
          <w:rFonts w:eastAsia="Calibri" w:cstheme="minorHAnsi"/>
          <w:bCs/>
          <w:sz w:val="24"/>
          <w:szCs w:val="24"/>
          <w:lang w:val="el-GR"/>
        </w:rPr>
        <w:t>υπηρεσία</w:t>
      </w:r>
      <w:r w:rsidR="00166173">
        <w:rPr>
          <w:rFonts w:eastAsia="Calibri" w:cstheme="minorHAnsi"/>
          <w:bCs/>
          <w:sz w:val="24"/>
          <w:szCs w:val="24"/>
          <w:lang w:val="el-GR"/>
        </w:rPr>
        <w:t>,</w:t>
      </w:r>
      <w:r w:rsidR="00A5147D" w:rsidRPr="00485CE6">
        <w:rPr>
          <w:rFonts w:eastAsia="Calibri" w:cstheme="minorHAnsi"/>
          <w:bCs/>
          <w:sz w:val="24"/>
          <w:szCs w:val="24"/>
          <w:lang w:val="el-GR"/>
        </w:rPr>
        <w:t xml:space="preserve"> </w:t>
      </w:r>
      <w:r>
        <w:rPr>
          <w:rFonts w:eastAsia="Calibri" w:cstheme="minorHAnsi"/>
          <w:bCs/>
          <w:sz w:val="24"/>
          <w:szCs w:val="24"/>
          <w:lang w:val="el-GR"/>
        </w:rPr>
        <w:t>υπεύθυνη για την εκτέλεση εσωτερικών ελέγχων</w:t>
      </w:r>
      <w:r w:rsidR="00A5147D" w:rsidRPr="00485CE6">
        <w:rPr>
          <w:rFonts w:eastAsia="Calibri" w:cstheme="minorHAnsi"/>
          <w:bCs/>
          <w:sz w:val="24"/>
          <w:szCs w:val="24"/>
          <w:lang w:val="el-GR"/>
        </w:rPr>
        <w:t xml:space="preserve"> </w:t>
      </w:r>
      <w:r>
        <w:rPr>
          <w:rFonts w:eastAsia="Calibri" w:cstheme="minorHAnsi"/>
          <w:bCs/>
          <w:sz w:val="24"/>
          <w:szCs w:val="24"/>
          <w:lang w:val="el-GR"/>
        </w:rPr>
        <w:t>σε κυβερνητικούς οργανισμούς</w:t>
      </w:r>
      <w:r w:rsidR="00A5147D" w:rsidRPr="00485CE6">
        <w:rPr>
          <w:rFonts w:eastAsia="Calibri" w:cstheme="minorHAnsi"/>
          <w:bCs/>
          <w:sz w:val="24"/>
          <w:szCs w:val="24"/>
          <w:lang w:val="el-GR"/>
        </w:rPr>
        <w:t xml:space="preserve">. </w:t>
      </w:r>
      <w:r>
        <w:rPr>
          <w:rFonts w:eastAsia="Calibri" w:cstheme="minorHAnsi"/>
          <w:bCs/>
          <w:sz w:val="24"/>
          <w:szCs w:val="24"/>
          <w:lang w:val="el-GR"/>
        </w:rPr>
        <w:t>Με</w:t>
      </w:r>
      <w:r w:rsidRPr="00485CE6">
        <w:rPr>
          <w:rFonts w:eastAsia="Calibri" w:cstheme="minorHAnsi"/>
          <w:bCs/>
          <w:sz w:val="24"/>
          <w:szCs w:val="24"/>
          <w:lang w:val="el-GR"/>
        </w:rPr>
        <w:t xml:space="preserve"> </w:t>
      </w:r>
      <w:r>
        <w:rPr>
          <w:rFonts w:eastAsia="Calibri" w:cstheme="minorHAnsi"/>
          <w:bCs/>
          <w:sz w:val="24"/>
          <w:szCs w:val="24"/>
          <w:lang w:val="el-GR"/>
        </w:rPr>
        <w:t>την</w:t>
      </w:r>
      <w:r w:rsidRPr="00485CE6">
        <w:rPr>
          <w:rFonts w:eastAsia="Calibri" w:cstheme="minorHAnsi"/>
          <w:bCs/>
          <w:sz w:val="24"/>
          <w:szCs w:val="24"/>
          <w:lang w:val="el-GR"/>
        </w:rPr>
        <w:t xml:space="preserve"> </w:t>
      </w:r>
      <w:r>
        <w:rPr>
          <w:rFonts w:eastAsia="Calibri" w:cstheme="minorHAnsi"/>
          <w:bCs/>
          <w:sz w:val="24"/>
          <w:szCs w:val="24"/>
          <w:lang w:val="el-GR"/>
        </w:rPr>
        <w:t>ένταξη</w:t>
      </w:r>
      <w:r w:rsidRPr="00485CE6">
        <w:rPr>
          <w:rFonts w:eastAsia="Calibri" w:cstheme="minorHAnsi"/>
          <w:bCs/>
          <w:sz w:val="24"/>
          <w:szCs w:val="24"/>
          <w:lang w:val="el-GR"/>
        </w:rPr>
        <w:t xml:space="preserve"> </w:t>
      </w:r>
      <w:r>
        <w:rPr>
          <w:rFonts w:eastAsia="Calibri" w:cstheme="minorHAnsi"/>
          <w:bCs/>
          <w:sz w:val="24"/>
          <w:szCs w:val="24"/>
          <w:lang w:val="el-GR"/>
        </w:rPr>
        <w:t>της</w:t>
      </w:r>
      <w:r w:rsidRPr="00485CE6">
        <w:rPr>
          <w:rFonts w:eastAsia="Calibri" w:cstheme="minorHAnsi"/>
          <w:bCs/>
          <w:sz w:val="24"/>
          <w:szCs w:val="24"/>
          <w:lang w:val="el-GR"/>
        </w:rPr>
        <w:t xml:space="preserve"> </w:t>
      </w:r>
      <w:r>
        <w:rPr>
          <w:rFonts w:eastAsia="Calibri" w:cstheme="minorHAnsi"/>
          <w:bCs/>
          <w:sz w:val="24"/>
          <w:szCs w:val="24"/>
          <w:lang w:val="el-GR"/>
        </w:rPr>
        <w:t>Κύπρου</w:t>
      </w:r>
      <w:r w:rsidRPr="00485CE6">
        <w:rPr>
          <w:rFonts w:eastAsia="Calibri" w:cstheme="minorHAnsi"/>
          <w:bCs/>
          <w:sz w:val="24"/>
          <w:szCs w:val="24"/>
          <w:lang w:val="el-GR"/>
        </w:rPr>
        <w:t xml:space="preserve"> </w:t>
      </w:r>
      <w:r>
        <w:rPr>
          <w:rFonts w:eastAsia="Calibri" w:cstheme="minorHAnsi"/>
          <w:bCs/>
          <w:sz w:val="24"/>
          <w:szCs w:val="24"/>
          <w:lang w:val="el-GR"/>
        </w:rPr>
        <w:t>στην</w:t>
      </w:r>
      <w:r w:rsidRPr="00485CE6">
        <w:rPr>
          <w:rFonts w:eastAsia="Calibri" w:cstheme="minorHAnsi"/>
          <w:bCs/>
          <w:sz w:val="24"/>
          <w:szCs w:val="24"/>
          <w:lang w:val="el-GR"/>
        </w:rPr>
        <w:t xml:space="preserve"> </w:t>
      </w:r>
      <w:r>
        <w:rPr>
          <w:rFonts w:eastAsia="Calibri" w:cstheme="minorHAnsi"/>
          <w:bCs/>
          <w:sz w:val="24"/>
          <w:szCs w:val="24"/>
          <w:lang w:val="el-GR"/>
        </w:rPr>
        <w:t>ΕΕ</w:t>
      </w:r>
      <w:r w:rsidRPr="00485CE6">
        <w:rPr>
          <w:rFonts w:eastAsia="Calibri" w:cstheme="minorHAnsi"/>
          <w:bCs/>
          <w:sz w:val="24"/>
          <w:szCs w:val="24"/>
          <w:lang w:val="el-GR"/>
        </w:rPr>
        <w:t xml:space="preserve"> </w:t>
      </w:r>
      <w:r>
        <w:rPr>
          <w:rFonts w:eastAsia="Calibri" w:cstheme="minorHAnsi"/>
          <w:bCs/>
          <w:sz w:val="24"/>
          <w:szCs w:val="24"/>
          <w:lang w:val="el-GR"/>
        </w:rPr>
        <w:t>το</w:t>
      </w:r>
      <w:r w:rsidR="00A5147D" w:rsidRPr="00485CE6">
        <w:rPr>
          <w:rFonts w:eastAsia="Calibri" w:cstheme="minorHAnsi"/>
          <w:bCs/>
          <w:sz w:val="24"/>
          <w:szCs w:val="24"/>
          <w:lang w:val="el-GR"/>
        </w:rPr>
        <w:t xml:space="preserve"> 2004, </w:t>
      </w:r>
      <w:r>
        <w:rPr>
          <w:rFonts w:eastAsia="Calibri" w:cstheme="minorHAnsi"/>
          <w:bCs/>
          <w:sz w:val="24"/>
          <w:szCs w:val="24"/>
          <w:lang w:val="el-GR"/>
        </w:rPr>
        <w:t>προέκυψε</w:t>
      </w:r>
      <w:r w:rsidRPr="00485CE6">
        <w:rPr>
          <w:rFonts w:eastAsia="Calibri" w:cstheme="minorHAnsi"/>
          <w:bCs/>
          <w:sz w:val="24"/>
          <w:szCs w:val="24"/>
          <w:lang w:val="el-GR"/>
        </w:rPr>
        <w:t xml:space="preserve"> </w:t>
      </w:r>
      <w:r>
        <w:rPr>
          <w:rFonts w:eastAsia="Calibri" w:cstheme="minorHAnsi"/>
          <w:bCs/>
          <w:sz w:val="24"/>
          <w:szCs w:val="24"/>
          <w:lang w:val="el-GR"/>
        </w:rPr>
        <w:t>η</w:t>
      </w:r>
      <w:r w:rsidRPr="00485CE6">
        <w:rPr>
          <w:rFonts w:eastAsia="Calibri" w:cstheme="minorHAnsi"/>
          <w:bCs/>
          <w:sz w:val="24"/>
          <w:szCs w:val="24"/>
          <w:lang w:val="el-GR"/>
        </w:rPr>
        <w:t xml:space="preserve"> </w:t>
      </w:r>
      <w:r>
        <w:rPr>
          <w:rFonts w:eastAsia="Calibri" w:cstheme="minorHAnsi"/>
          <w:bCs/>
          <w:sz w:val="24"/>
          <w:szCs w:val="24"/>
          <w:lang w:val="el-GR"/>
        </w:rPr>
        <w:t>ανάγκη</w:t>
      </w:r>
      <w:r w:rsidRPr="00485CE6">
        <w:rPr>
          <w:rFonts w:eastAsia="Calibri" w:cstheme="minorHAnsi"/>
          <w:bCs/>
          <w:sz w:val="24"/>
          <w:szCs w:val="24"/>
          <w:lang w:val="el-GR"/>
        </w:rPr>
        <w:t xml:space="preserve"> </w:t>
      </w:r>
      <w:r>
        <w:rPr>
          <w:rFonts w:eastAsia="Calibri" w:cstheme="minorHAnsi"/>
          <w:bCs/>
          <w:sz w:val="24"/>
          <w:szCs w:val="24"/>
          <w:lang w:val="el-GR"/>
        </w:rPr>
        <w:t>να</w:t>
      </w:r>
      <w:r w:rsidRPr="00485CE6">
        <w:rPr>
          <w:rFonts w:eastAsia="Calibri" w:cstheme="minorHAnsi"/>
          <w:bCs/>
          <w:sz w:val="24"/>
          <w:szCs w:val="24"/>
          <w:lang w:val="el-GR"/>
        </w:rPr>
        <w:t xml:space="preserve"> </w:t>
      </w:r>
      <w:r w:rsidR="00E606DC">
        <w:rPr>
          <w:rFonts w:eastAsia="Calibri" w:cstheme="minorHAnsi"/>
          <w:bCs/>
          <w:sz w:val="24"/>
          <w:szCs w:val="24"/>
          <w:lang w:val="el-GR"/>
        </w:rPr>
        <w:t xml:space="preserve">καθοριστεί </w:t>
      </w:r>
      <w:r>
        <w:rPr>
          <w:rFonts w:eastAsia="Calibri" w:cstheme="minorHAnsi"/>
          <w:bCs/>
          <w:sz w:val="24"/>
          <w:szCs w:val="24"/>
          <w:lang w:val="el-GR"/>
        </w:rPr>
        <w:t>μια</w:t>
      </w:r>
      <w:r w:rsidRPr="00485CE6">
        <w:rPr>
          <w:rFonts w:eastAsia="Calibri" w:cstheme="minorHAnsi"/>
          <w:bCs/>
          <w:sz w:val="24"/>
          <w:szCs w:val="24"/>
          <w:lang w:val="el-GR"/>
        </w:rPr>
        <w:t xml:space="preserve"> </w:t>
      </w:r>
      <w:r>
        <w:rPr>
          <w:rFonts w:eastAsia="Calibri" w:cstheme="minorHAnsi"/>
          <w:bCs/>
          <w:sz w:val="24"/>
          <w:szCs w:val="24"/>
          <w:lang w:val="el-GR"/>
        </w:rPr>
        <w:t>ανεξάρτητη</w:t>
      </w:r>
      <w:r w:rsidRPr="00485CE6">
        <w:rPr>
          <w:rFonts w:eastAsia="Calibri" w:cstheme="minorHAnsi"/>
          <w:bCs/>
          <w:sz w:val="24"/>
          <w:szCs w:val="24"/>
          <w:lang w:val="el-GR"/>
        </w:rPr>
        <w:t xml:space="preserve"> </w:t>
      </w:r>
      <w:r>
        <w:rPr>
          <w:rFonts w:eastAsia="Calibri" w:cstheme="minorHAnsi"/>
          <w:bCs/>
          <w:sz w:val="24"/>
          <w:szCs w:val="24"/>
          <w:lang w:val="el-GR"/>
        </w:rPr>
        <w:t>υπηρεσία</w:t>
      </w:r>
      <w:r w:rsidRPr="00485CE6">
        <w:rPr>
          <w:rFonts w:eastAsia="Calibri" w:cstheme="minorHAnsi"/>
          <w:bCs/>
          <w:sz w:val="24"/>
          <w:szCs w:val="24"/>
          <w:lang w:val="el-GR"/>
        </w:rPr>
        <w:t xml:space="preserve"> </w:t>
      </w:r>
      <w:r>
        <w:rPr>
          <w:rFonts w:eastAsia="Calibri" w:cstheme="minorHAnsi"/>
          <w:bCs/>
          <w:sz w:val="24"/>
          <w:szCs w:val="24"/>
          <w:lang w:val="el-GR"/>
        </w:rPr>
        <w:t>εσωτερικού</w:t>
      </w:r>
      <w:r w:rsidRPr="00485CE6">
        <w:rPr>
          <w:rFonts w:eastAsia="Calibri" w:cstheme="minorHAnsi"/>
          <w:bCs/>
          <w:sz w:val="24"/>
          <w:szCs w:val="24"/>
          <w:lang w:val="el-GR"/>
        </w:rPr>
        <w:t xml:space="preserve"> </w:t>
      </w:r>
      <w:r>
        <w:rPr>
          <w:rFonts w:eastAsia="Calibri" w:cstheme="minorHAnsi"/>
          <w:bCs/>
          <w:sz w:val="24"/>
          <w:szCs w:val="24"/>
          <w:lang w:val="el-GR"/>
        </w:rPr>
        <w:t>ελέγχου, υπεύθυνη για τον έλεγχο των</w:t>
      </w:r>
      <w:r w:rsidR="00A5147D" w:rsidRPr="00485CE6">
        <w:rPr>
          <w:rFonts w:eastAsia="Calibri" w:cstheme="minorHAnsi"/>
          <w:bCs/>
          <w:sz w:val="24"/>
          <w:szCs w:val="24"/>
          <w:lang w:val="el-GR"/>
        </w:rPr>
        <w:t xml:space="preserve"> </w:t>
      </w:r>
      <w:r>
        <w:rPr>
          <w:rFonts w:eastAsia="Calibri" w:cstheme="minorHAnsi"/>
          <w:bCs/>
          <w:sz w:val="24"/>
          <w:szCs w:val="24"/>
          <w:lang w:val="el-GR"/>
        </w:rPr>
        <w:t>συν-χρηματοδοτουμένων με την ΕΕ προγραμμάτων για την Κύπρο</w:t>
      </w:r>
      <w:r w:rsidR="00A5147D" w:rsidRPr="00485CE6">
        <w:rPr>
          <w:rFonts w:eastAsia="Calibri" w:cstheme="minorHAnsi"/>
          <w:bCs/>
          <w:sz w:val="24"/>
          <w:szCs w:val="24"/>
          <w:lang w:val="el-GR"/>
        </w:rPr>
        <w:t xml:space="preserve">. </w:t>
      </w:r>
      <w:r>
        <w:rPr>
          <w:rFonts w:eastAsia="Calibri" w:cstheme="minorHAnsi"/>
          <w:bCs/>
          <w:sz w:val="24"/>
          <w:szCs w:val="24"/>
          <w:lang w:val="el-GR"/>
        </w:rPr>
        <w:t>Η</w:t>
      </w:r>
      <w:r w:rsidRPr="005D0CB6">
        <w:rPr>
          <w:rFonts w:eastAsia="Calibri" w:cstheme="minorHAnsi"/>
          <w:bCs/>
          <w:sz w:val="24"/>
          <w:szCs w:val="24"/>
          <w:lang w:val="el-GR"/>
        </w:rPr>
        <w:t xml:space="preserve"> </w:t>
      </w:r>
      <w:r w:rsidR="0093119E">
        <w:rPr>
          <w:rFonts w:eastAsia="Calibri" w:cstheme="minorHAnsi"/>
          <w:bCs/>
          <w:sz w:val="24"/>
          <w:szCs w:val="24"/>
          <w:lang w:val="el-GR"/>
        </w:rPr>
        <w:t>Υπηρεσία</w:t>
      </w:r>
      <w:r w:rsidR="0093119E" w:rsidRPr="005D0CB6">
        <w:rPr>
          <w:rFonts w:eastAsia="Calibri" w:cstheme="minorHAnsi"/>
          <w:bCs/>
          <w:sz w:val="24"/>
          <w:szCs w:val="24"/>
          <w:lang w:val="el-GR"/>
        </w:rPr>
        <w:t xml:space="preserve"> </w:t>
      </w:r>
      <w:r w:rsidR="0093119E">
        <w:rPr>
          <w:rFonts w:eastAsia="Calibri" w:cstheme="minorHAnsi"/>
          <w:bCs/>
          <w:sz w:val="24"/>
          <w:szCs w:val="24"/>
          <w:lang w:val="el-GR"/>
        </w:rPr>
        <w:t>Εσωτερικού</w:t>
      </w:r>
      <w:r w:rsidR="0093119E" w:rsidRPr="005D0CB6">
        <w:rPr>
          <w:rFonts w:eastAsia="Calibri" w:cstheme="minorHAnsi"/>
          <w:bCs/>
          <w:sz w:val="24"/>
          <w:szCs w:val="24"/>
          <w:lang w:val="el-GR"/>
        </w:rPr>
        <w:t xml:space="preserve"> </w:t>
      </w:r>
      <w:r w:rsidR="0093119E">
        <w:rPr>
          <w:rFonts w:eastAsia="Calibri" w:cstheme="minorHAnsi"/>
          <w:bCs/>
          <w:sz w:val="24"/>
          <w:szCs w:val="24"/>
          <w:lang w:val="el-GR"/>
        </w:rPr>
        <w:t>Ελέγχου</w:t>
      </w:r>
      <w:r w:rsidR="00A5147D" w:rsidRPr="005D0CB6">
        <w:rPr>
          <w:rFonts w:eastAsia="Calibri" w:cstheme="minorHAnsi"/>
          <w:bCs/>
          <w:sz w:val="24"/>
          <w:szCs w:val="24"/>
          <w:lang w:val="el-GR"/>
        </w:rPr>
        <w:t xml:space="preserve"> </w:t>
      </w:r>
      <w:r w:rsidR="0093119E">
        <w:rPr>
          <w:rFonts w:eastAsia="Calibri" w:cstheme="minorHAnsi"/>
          <w:bCs/>
          <w:sz w:val="24"/>
          <w:szCs w:val="24"/>
          <w:lang w:val="el-GR"/>
        </w:rPr>
        <w:t>επιλέχθηκε</w:t>
      </w:r>
      <w:r w:rsidR="0093119E" w:rsidRPr="005D0CB6">
        <w:rPr>
          <w:rFonts w:eastAsia="Calibri" w:cstheme="minorHAnsi"/>
          <w:bCs/>
          <w:sz w:val="24"/>
          <w:szCs w:val="24"/>
          <w:lang w:val="el-GR"/>
        </w:rPr>
        <w:t xml:space="preserve"> </w:t>
      </w:r>
      <w:r w:rsidR="0093119E">
        <w:rPr>
          <w:rFonts w:eastAsia="Calibri" w:cstheme="minorHAnsi"/>
          <w:bCs/>
          <w:sz w:val="24"/>
          <w:szCs w:val="24"/>
          <w:lang w:val="el-GR"/>
        </w:rPr>
        <w:t>για</w:t>
      </w:r>
      <w:r w:rsidR="0093119E" w:rsidRPr="005D0CB6">
        <w:rPr>
          <w:rFonts w:eastAsia="Calibri" w:cstheme="minorHAnsi"/>
          <w:bCs/>
          <w:sz w:val="24"/>
          <w:szCs w:val="24"/>
          <w:lang w:val="el-GR"/>
        </w:rPr>
        <w:t xml:space="preserve"> </w:t>
      </w:r>
      <w:r w:rsidR="0093119E">
        <w:rPr>
          <w:rFonts w:eastAsia="Calibri" w:cstheme="minorHAnsi"/>
          <w:bCs/>
          <w:sz w:val="24"/>
          <w:szCs w:val="24"/>
          <w:lang w:val="el-GR"/>
        </w:rPr>
        <w:t>τον</w:t>
      </w:r>
      <w:r w:rsidR="0093119E" w:rsidRPr="005D0CB6">
        <w:rPr>
          <w:rFonts w:eastAsia="Calibri" w:cstheme="minorHAnsi"/>
          <w:bCs/>
          <w:sz w:val="24"/>
          <w:szCs w:val="24"/>
          <w:lang w:val="el-GR"/>
        </w:rPr>
        <w:t xml:space="preserve"> </w:t>
      </w:r>
      <w:r w:rsidR="0093119E">
        <w:rPr>
          <w:rFonts w:eastAsia="Calibri" w:cstheme="minorHAnsi"/>
          <w:bCs/>
          <w:sz w:val="24"/>
          <w:szCs w:val="24"/>
          <w:lang w:val="el-GR"/>
        </w:rPr>
        <w:t>σκοπό</w:t>
      </w:r>
      <w:r w:rsidR="0093119E" w:rsidRPr="005D0CB6">
        <w:rPr>
          <w:rFonts w:eastAsia="Calibri" w:cstheme="minorHAnsi"/>
          <w:bCs/>
          <w:sz w:val="24"/>
          <w:szCs w:val="24"/>
          <w:lang w:val="el-GR"/>
        </w:rPr>
        <w:t xml:space="preserve"> </w:t>
      </w:r>
      <w:r w:rsidR="0093119E">
        <w:rPr>
          <w:rFonts w:eastAsia="Calibri" w:cstheme="minorHAnsi"/>
          <w:bCs/>
          <w:sz w:val="24"/>
          <w:szCs w:val="24"/>
          <w:lang w:val="el-GR"/>
        </w:rPr>
        <w:t>αυτό</w:t>
      </w:r>
      <w:r w:rsidR="00A5147D" w:rsidRPr="005D0CB6">
        <w:rPr>
          <w:rFonts w:eastAsia="Calibri" w:cstheme="minorHAnsi"/>
          <w:bCs/>
          <w:sz w:val="24"/>
          <w:szCs w:val="24"/>
          <w:lang w:val="el-GR"/>
        </w:rPr>
        <w:t xml:space="preserve">. </w:t>
      </w:r>
      <w:r w:rsidR="0093119E">
        <w:rPr>
          <w:rFonts w:eastAsia="Calibri" w:cstheme="minorHAnsi"/>
          <w:bCs/>
          <w:sz w:val="24"/>
          <w:szCs w:val="24"/>
          <w:lang w:val="el-GR"/>
        </w:rPr>
        <w:t>Ένα</w:t>
      </w:r>
      <w:r w:rsidR="0093119E" w:rsidRPr="005D0CB6">
        <w:rPr>
          <w:rFonts w:eastAsia="Calibri" w:cstheme="minorHAnsi"/>
          <w:bCs/>
          <w:sz w:val="24"/>
          <w:szCs w:val="24"/>
          <w:lang w:val="el-GR"/>
        </w:rPr>
        <w:t xml:space="preserve"> </w:t>
      </w:r>
      <w:r w:rsidR="0093119E">
        <w:rPr>
          <w:rFonts w:eastAsia="Calibri" w:cstheme="minorHAnsi"/>
          <w:bCs/>
          <w:sz w:val="24"/>
          <w:szCs w:val="24"/>
          <w:lang w:val="el-GR"/>
        </w:rPr>
        <w:t>σύστημα</w:t>
      </w:r>
      <w:r w:rsidR="0093119E" w:rsidRPr="005D0CB6">
        <w:rPr>
          <w:rFonts w:eastAsia="Calibri" w:cstheme="minorHAnsi"/>
          <w:bCs/>
          <w:sz w:val="24"/>
          <w:szCs w:val="24"/>
          <w:lang w:val="el-GR"/>
        </w:rPr>
        <w:t xml:space="preserve"> </w:t>
      </w:r>
      <w:r w:rsidR="0093119E">
        <w:rPr>
          <w:rFonts w:eastAsia="Calibri" w:cstheme="minorHAnsi"/>
          <w:bCs/>
          <w:sz w:val="24"/>
          <w:szCs w:val="24"/>
          <w:lang w:val="el-GR"/>
        </w:rPr>
        <w:t>εσωτερικού</w:t>
      </w:r>
      <w:r w:rsidR="0093119E" w:rsidRPr="005D0CB6">
        <w:rPr>
          <w:rFonts w:eastAsia="Calibri" w:cstheme="minorHAnsi"/>
          <w:bCs/>
          <w:sz w:val="24"/>
          <w:szCs w:val="24"/>
          <w:lang w:val="el-GR"/>
        </w:rPr>
        <w:t xml:space="preserve"> </w:t>
      </w:r>
      <w:r w:rsidR="0093119E">
        <w:rPr>
          <w:rFonts w:eastAsia="Calibri" w:cstheme="minorHAnsi"/>
          <w:bCs/>
          <w:sz w:val="24"/>
          <w:szCs w:val="24"/>
          <w:lang w:val="el-GR"/>
        </w:rPr>
        <w:t>ελέγχου</w:t>
      </w:r>
      <w:r w:rsidR="0093119E" w:rsidRPr="005D0CB6">
        <w:rPr>
          <w:rFonts w:eastAsia="Calibri" w:cstheme="minorHAnsi"/>
          <w:bCs/>
          <w:sz w:val="24"/>
          <w:szCs w:val="24"/>
          <w:lang w:val="el-GR"/>
        </w:rPr>
        <w:t xml:space="preserve"> </w:t>
      </w:r>
      <w:r w:rsidR="0093119E">
        <w:rPr>
          <w:rFonts w:eastAsia="Calibri" w:cstheme="minorHAnsi"/>
          <w:bCs/>
          <w:sz w:val="24"/>
          <w:szCs w:val="24"/>
          <w:lang w:val="el-GR"/>
        </w:rPr>
        <w:t>έχει</w:t>
      </w:r>
      <w:r w:rsidR="0093119E" w:rsidRPr="005D0CB6">
        <w:rPr>
          <w:rFonts w:eastAsia="Calibri" w:cstheme="minorHAnsi"/>
          <w:bCs/>
          <w:sz w:val="24"/>
          <w:szCs w:val="24"/>
          <w:lang w:val="el-GR"/>
        </w:rPr>
        <w:t xml:space="preserve"> </w:t>
      </w:r>
      <w:r w:rsidR="0093119E">
        <w:rPr>
          <w:rFonts w:eastAsia="Calibri" w:cstheme="minorHAnsi"/>
          <w:bCs/>
          <w:sz w:val="24"/>
          <w:szCs w:val="24"/>
          <w:lang w:val="el-GR"/>
        </w:rPr>
        <w:t>θεσμοθετηθεί</w:t>
      </w:r>
      <w:r w:rsidR="0093119E" w:rsidRPr="005D0CB6">
        <w:rPr>
          <w:rFonts w:eastAsia="Calibri" w:cstheme="minorHAnsi"/>
          <w:bCs/>
          <w:sz w:val="24"/>
          <w:szCs w:val="24"/>
          <w:lang w:val="el-GR"/>
        </w:rPr>
        <w:t xml:space="preserve"> </w:t>
      </w:r>
      <w:r w:rsidR="0093119E">
        <w:rPr>
          <w:rFonts w:eastAsia="Calibri" w:cstheme="minorHAnsi"/>
          <w:bCs/>
          <w:sz w:val="24"/>
          <w:szCs w:val="24"/>
          <w:lang w:val="el-GR"/>
        </w:rPr>
        <w:t>στην</w:t>
      </w:r>
      <w:r w:rsidR="0093119E" w:rsidRPr="005D0CB6">
        <w:rPr>
          <w:rFonts w:eastAsia="Calibri" w:cstheme="minorHAnsi"/>
          <w:bCs/>
          <w:sz w:val="24"/>
          <w:szCs w:val="24"/>
          <w:lang w:val="el-GR"/>
        </w:rPr>
        <w:t xml:space="preserve"> </w:t>
      </w:r>
      <w:r w:rsidR="0093119E">
        <w:rPr>
          <w:rFonts w:eastAsia="Calibri" w:cstheme="minorHAnsi"/>
          <w:bCs/>
          <w:sz w:val="24"/>
          <w:szCs w:val="24"/>
          <w:lang w:val="el-GR"/>
        </w:rPr>
        <w:t>δημόσια</w:t>
      </w:r>
      <w:r w:rsidR="0093119E" w:rsidRPr="005D0CB6">
        <w:rPr>
          <w:rFonts w:eastAsia="Calibri" w:cstheme="minorHAnsi"/>
          <w:bCs/>
          <w:sz w:val="24"/>
          <w:szCs w:val="24"/>
          <w:lang w:val="el-GR"/>
        </w:rPr>
        <w:t xml:space="preserve"> </w:t>
      </w:r>
      <w:r w:rsidR="0093119E">
        <w:rPr>
          <w:rFonts w:eastAsia="Calibri" w:cstheme="minorHAnsi"/>
          <w:bCs/>
          <w:sz w:val="24"/>
          <w:szCs w:val="24"/>
          <w:lang w:val="el-GR"/>
        </w:rPr>
        <w:t>υπηρεσία</w:t>
      </w:r>
      <w:r w:rsidR="00A5147D" w:rsidRPr="005D0CB6">
        <w:rPr>
          <w:rFonts w:eastAsia="Calibri" w:cstheme="minorHAnsi"/>
          <w:bCs/>
          <w:sz w:val="24"/>
          <w:szCs w:val="24"/>
          <w:lang w:val="el-GR"/>
        </w:rPr>
        <w:t xml:space="preserve">. </w:t>
      </w:r>
      <w:r w:rsidR="0093119E">
        <w:rPr>
          <w:rFonts w:eastAsia="Calibri" w:cstheme="minorHAnsi"/>
          <w:bCs/>
          <w:sz w:val="24"/>
          <w:szCs w:val="24"/>
          <w:lang w:val="el-GR"/>
        </w:rPr>
        <w:t>Κατά</w:t>
      </w:r>
      <w:r w:rsidR="0093119E" w:rsidRPr="0093119E">
        <w:rPr>
          <w:rFonts w:eastAsia="Calibri" w:cstheme="minorHAnsi"/>
          <w:bCs/>
          <w:sz w:val="24"/>
          <w:szCs w:val="24"/>
          <w:lang w:val="el-GR"/>
        </w:rPr>
        <w:t xml:space="preserve"> </w:t>
      </w:r>
      <w:r w:rsidR="0093119E">
        <w:rPr>
          <w:rFonts w:eastAsia="Calibri" w:cstheme="minorHAnsi"/>
          <w:bCs/>
          <w:sz w:val="24"/>
          <w:szCs w:val="24"/>
          <w:lang w:val="el-GR"/>
        </w:rPr>
        <w:t>τον</w:t>
      </w:r>
      <w:r w:rsidR="0093119E" w:rsidRPr="0093119E">
        <w:rPr>
          <w:rFonts w:eastAsia="Calibri" w:cstheme="minorHAnsi"/>
          <w:bCs/>
          <w:sz w:val="24"/>
          <w:szCs w:val="24"/>
          <w:lang w:val="el-GR"/>
        </w:rPr>
        <w:t xml:space="preserve"> </w:t>
      </w:r>
      <w:r w:rsidR="0093119E">
        <w:rPr>
          <w:rFonts w:eastAsia="Calibri" w:cstheme="minorHAnsi"/>
          <w:bCs/>
          <w:sz w:val="24"/>
          <w:szCs w:val="24"/>
          <w:lang w:val="el-GR"/>
        </w:rPr>
        <w:t>χρόνο</w:t>
      </w:r>
      <w:r w:rsidR="0093119E" w:rsidRPr="0093119E">
        <w:rPr>
          <w:rFonts w:eastAsia="Calibri" w:cstheme="minorHAnsi"/>
          <w:bCs/>
          <w:sz w:val="24"/>
          <w:szCs w:val="24"/>
          <w:lang w:val="el-GR"/>
        </w:rPr>
        <w:t xml:space="preserve"> </w:t>
      </w:r>
      <w:r w:rsidR="0093119E">
        <w:rPr>
          <w:rFonts w:eastAsia="Calibri" w:cstheme="minorHAnsi"/>
          <w:bCs/>
          <w:sz w:val="24"/>
          <w:szCs w:val="24"/>
          <w:lang w:val="el-GR"/>
        </w:rPr>
        <w:t>της</w:t>
      </w:r>
      <w:r w:rsidR="0093119E" w:rsidRPr="0093119E">
        <w:rPr>
          <w:rFonts w:eastAsia="Calibri" w:cstheme="minorHAnsi"/>
          <w:bCs/>
          <w:sz w:val="24"/>
          <w:szCs w:val="24"/>
          <w:lang w:val="el-GR"/>
        </w:rPr>
        <w:t xml:space="preserve"> </w:t>
      </w:r>
      <w:r w:rsidR="0093119E">
        <w:rPr>
          <w:rFonts w:eastAsia="Calibri" w:cstheme="minorHAnsi"/>
          <w:bCs/>
          <w:sz w:val="24"/>
          <w:szCs w:val="24"/>
          <w:lang w:val="el-GR"/>
        </w:rPr>
        <w:t>επί</w:t>
      </w:r>
      <w:r w:rsidR="0093119E" w:rsidRPr="0093119E">
        <w:rPr>
          <w:rFonts w:eastAsia="Calibri" w:cstheme="minorHAnsi"/>
          <w:bCs/>
          <w:sz w:val="24"/>
          <w:szCs w:val="24"/>
          <w:lang w:val="el-GR"/>
        </w:rPr>
        <w:t xml:space="preserve"> </w:t>
      </w:r>
      <w:r w:rsidR="0093119E">
        <w:rPr>
          <w:rFonts w:eastAsia="Calibri" w:cstheme="minorHAnsi"/>
          <w:bCs/>
          <w:sz w:val="24"/>
          <w:szCs w:val="24"/>
          <w:lang w:val="el-GR"/>
        </w:rPr>
        <w:t>τόπου</w:t>
      </w:r>
      <w:r w:rsidR="0093119E" w:rsidRPr="0093119E">
        <w:rPr>
          <w:rFonts w:eastAsia="Calibri" w:cstheme="minorHAnsi"/>
          <w:bCs/>
          <w:sz w:val="24"/>
          <w:szCs w:val="24"/>
          <w:lang w:val="el-GR"/>
        </w:rPr>
        <w:t xml:space="preserve"> </w:t>
      </w:r>
      <w:r w:rsidR="0093119E">
        <w:rPr>
          <w:rFonts w:eastAsia="Calibri" w:cstheme="minorHAnsi"/>
          <w:bCs/>
          <w:sz w:val="24"/>
          <w:szCs w:val="24"/>
          <w:lang w:val="el-GR"/>
        </w:rPr>
        <w:t>επίσκεψης</w:t>
      </w:r>
      <w:r w:rsidR="00A5147D" w:rsidRPr="0093119E">
        <w:rPr>
          <w:rFonts w:eastAsia="Calibri" w:cstheme="minorHAnsi"/>
          <w:bCs/>
          <w:sz w:val="24"/>
          <w:szCs w:val="24"/>
          <w:lang w:val="el-GR"/>
        </w:rPr>
        <w:t xml:space="preserve">, </w:t>
      </w:r>
      <w:r w:rsidR="0093119E">
        <w:rPr>
          <w:rFonts w:eastAsia="Calibri" w:cstheme="minorHAnsi"/>
          <w:bCs/>
          <w:sz w:val="24"/>
          <w:szCs w:val="24"/>
          <w:lang w:val="el-GR"/>
        </w:rPr>
        <w:t>υπήρχαν</w:t>
      </w:r>
      <w:r w:rsidR="0093119E" w:rsidRPr="0093119E">
        <w:rPr>
          <w:rFonts w:eastAsia="Calibri" w:cstheme="minorHAnsi"/>
          <w:bCs/>
          <w:sz w:val="24"/>
          <w:szCs w:val="24"/>
          <w:lang w:val="el-GR"/>
        </w:rPr>
        <w:t xml:space="preserve"> </w:t>
      </w:r>
      <w:r w:rsidR="00A5147D" w:rsidRPr="0093119E">
        <w:rPr>
          <w:rFonts w:eastAsia="Calibri" w:cstheme="minorHAnsi"/>
          <w:bCs/>
          <w:sz w:val="24"/>
          <w:szCs w:val="24"/>
          <w:lang w:val="el-GR"/>
        </w:rPr>
        <w:t xml:space="preserve">26 </w:t>
      </w:r>
      <w:r w:rsidR="0093119E">
        <w:rPr>
          <w:rFonts w:eastAsia="Calibri" w:cstheme="minorHAnsi"/>
          <w:bCs/>
          <w:sz w:val="24"/>
          <w:szCs w:val="24"/>
          <w:lang w:val="el-GR"/>
        </w:rPr>
        <w:t>εσωτερικοί</w:t>
      </w:r>
      <w:r w:rsidR="0093119E" w:rsidRPr="0093119E">
        <w:rPr>
          <w:rFonts w:eastAsia="Calibri" w:cstheme="minorHAnsi"/>
          <w:bCs/>
          <w:sz w:val="24"/>
          <w:szCs w:val="24"/>
          <w:lang w:val="el-GR"/>
        </w:rPr>
        <w:t xml:space="preserve"> </w:t>
      </w:r>
      <w:r w:rsidR="0093119E">
        <w:rPr>
          <w:rFonts w:eastAsia="Calibri" w:cstheme="minorHAnsi"/>
          <w:bCs/>
          <w:sz w:val="24"/>
          <w:szCs w:val="24"/>
          <w:lang w:val="el-GR"/>
        </w:rPr>
        <w:t>ελεγκτές</w:t>
      </w:r>
      <w:r w:rsidR="00A5147D" w:rsidRPr="0093119E">
        <w:rPr>
          <w:rFonts w:eastAsia="Calibri" w:cstheme="minorHAnsi"/>
          <w:bCs/>
          <w:sz w:val="24"/>
          <w:szCs w:val="24"/>
          <w:lang w:val="el-GR"/>
        </w:rPr>
        <w:t xml:space="preserve"> </w:t>
      </w:r>
      <w:r w:rsidR="0093119E">
        <w:rPr>
          <w:rFonts w:eastAsia="Calibri" w:cstheme="minorHAnsi"/>
          <w:bCs/>
          <w:sz w:val="24"/>
          <w:szCs w:val="24"/>
          <w:lang w:val="el-GR"/>
        </w:rPr>
        <w:t>και</w:t>
      </w:r>
      <w:r w:rsidR="0093119E" w:rsidRPr="0093119E">
        <w:rPr>
          <w:rFonts w:eastAsia="Calibri" w:cstheme="minorHAnsi"/>
          <w:bCs/>
          <w:sz w:val="24"/>
          <w:szCs w:val="24"/>
          <w:lang w:val="el-GR"/>
        </w:rPr>
        <w:t xml:space="preserve"> </w:t>
      </w:r>
      <w:proofErr w:type="spellStart"/>
      <w:r w:rsidR="0093119E">
        <w:rPr>
          <w:rFonts w:eastAsia="Calibri" w:cstheme="minorHAnsi"/>
          <w:bCs/>
          <w:sz w:val="24"/>
          <w:szCs w:val="24"/>
          <w:lang w:val="el-GR"/>
        </w:rPr>
        <w:t>προβλέπετο</w:t>
      </w:r>
      <w:proofErr w:type="spellEnd"/>
      <w:r w:rsidR="0093119E" w:rsidRPr="0093119E">
        <w:rPr>
          <w:rFonts w:eastAsia="Calibri" w:cstheme="minorHAnsi"/>
          <w:bCs/>
          <w:sz w:val="24"/>
          <w:szCs w:val="24"/>
          <w:lang w:val="el-GR"/>
        </w:rPr>
        <w:t xml:space="preserve"> </w:t>
      </w:r>
      <w:r w:rsidR="0093119E">
        <w:rPr>
          <w:rFonts w:eastAsia="Calibri" w:cstheme="minorHAnsi"/>
          <w:bCs/>
          <w:sz w:val="24"/>
          <w:szCs w:val="24"/>
          <w:lang w:val="el-GR"/>
        </w:rPr>
        <w:t>ότι</w:t>
      </w:r>
      <w:r w:rsidR="00A5147D" w:rsidRPr="0093119E">
        <w:rPr>
          <w:rFonts w:eastAsia="Calibri" w:cstheme="minorHAnsi"/>
          <w:bCs/>
          <w:sz w:val="24"/>
          <w:szCs w:val="24"/>
          <w:lang w:val="el-GR"/>
        </w:rPr>
        <w:t xml:space="preserve"> </w:t>
      </w:r>
      <w:r w:rsidR="0093119E">
        <w:rPr>
          <w:rFonts w:eastAsia="Calibri" w:cstheme="minorHAnsi"/>
          <w:bCs/>
          <w:sz w:val="24"/>
          <w:szCs w:val="24"/>
          <w:lang w:val="el-GR"/>
        </w:rPr>
        <w:t xml:space="preserve">θα δημιουργούνταν </w:t>
      </w:r>
      <w:r w:rsidR="00A5147D" w:rsidRPr="0093119E">
        <w:rPr>
          <w:rFonts w:eastAsia="Calibri" w:cstheme="minorHAnsi"/>
          <w:bCs/>
          <w:sz w:val="24"/>
          <w:szCs w:val="24"/>
          <w:lang w:val="el-GR"/>
        </w:rPr>
        <w:t xml:space="preserve">13 </w:t>
      </w:r>
      <w:r w:rsidR="0093119E">
        <w:rPr>
          <w:rFonts w:eastAsia="Calibri" w:cstheme="minorHAnsi"/>
          <w:bCs/>
          <w:sz w:val="24"/>
          <w:szCs w:val="24"/>
          <w:lang w:val="el-GR"/>
        </w:rPr>
        <w:t>νέες θέσεις</w:t>
      </w:r>
      <w:r w:rsidR="00A5147D" w:rsidRPr="0093119E">
        <w:rPr>
          <w:rFonts w:eastAsia="Calibri" w:cstheme="minorHAnsi"/>
          <w:bCs/>
          <w:sz w:val="24"/>
          <w:szCs w:val="24"/>
          <w:lang w:val="el-GR"/>
        </w:rPr>
        <w:t xml:space="preserve"> </w:t>
      </w:r>
      <w:r w:rsidR="0093119E">
        <w:rPr>
          <w:rFonts w:eastAsia="Calibri" w:cstheme="minorHAnsi"/>
          <w:bCs/>
          <w:sz w:val="24"/>
          <w:szCs w:val="24"/>
          <w:lang w:val="el-GR"/>
        </w:rPr>
        <w:t xml:space="preserve">το </w:t>
      </w:r>
      <w:r w:rsidR="00A5147D" w:rsidRPr="0093119E">
        <w:rPr>
          <w:rFonts w:eastAsia="Calibri" w:cstheme="minorHAnsi"/>
          <w:bCs/>
          <w:sz w:val="24"/>
          <w:szCs w:val="24"/>
          <w:lang w:val="el-GR"/>
        </w:rPr>
        <w:t xml:space="preserve">2023 </w:t>
      </w:r>
      <w:r w:rsidR="0093119E">
        <w:rPr>
          <w:rFonts w:eastAsia="Calibri" w:cstheme="minorHAnsi"/>
          <w:bCs/>
          <w:sz w:val="24"/>
          <w:szCs w:val="24"/>
          <w:lang w:val="el-GR"/>
        </w:rPr>
        <w:t>για να παρέχουν επιπρόσθετη υποστήριξη</w:t>
      </w:r>
      <w:r w:rsidR="00A5147D" w:rsidRPr="0093119E">
        <w:rPr>
          <w:rFonts w:eastAsia="Calibri" w:cstheme="minorHAnsi"/>
          <w:bCs/>
          <w:sz w:val="24"/>
          <w:szCs w:val="24"/>
          <w:lang w:val="el-GR"/>
        </w:rPr>
        <w:t xml:space="preserve">. </w:t>
      </w:r>
    </w:p>
    <w:p w14:paraId="5E91FAD4" w14:textId="77777777" w:rsidR="00A5147D" w:rsidRPr="0093119E" w:rsidRDefault="00A5147D" w:rsidP="00A5147D">
      <w:pPr>
        <w:contextualSpacing/>
        <w:rPr>
          <w:rFonts w:eastAsia="Calibri" w:cstheme="minorHAnsi"/>
          <w:bCs/>
          <w:sz w:val="24"/>
          <w:szCs w:val="24"/>
          <w:lang w:val="el-GR"/>
        </w:rPr>
      </w:pPr>
    </w:p>
    <w:p w14:paraId="21507102" w14:textId="19495B47" w:rsidR="00A5147D" w:rsidRPr="0093119E" w:rsidRDefault="0093119E" w:rsidP="00A5147D">
      <w:pPr>
        <w:numPr>
          <w:ilvl w:val="0"/>
          <w:numId w:val="1"/>
        </w:numPr>
        <w:tabs>
          <w:tab w:val="clear" w:pos="6095"/>
          <w:tab w:val="left" w:pos="709"/>
        </w:tabs>
        <w:ind w:left="0" w:firstLine="0"/>
        <w:contextualSpacing/>
        <w:rPr>
          <w:rFonts w:eastAsia="Calibri" w:cstheme="minorHAnsi"/>
          <w:bCs/>
          <w:sz w:val="24"/>
          <w:szCs w:val="24"/>
          <w:lang w:val="el-GR"/>
        </w:rPr>
      </w:pPr>
      <w:r>
        <w:rPr>
          <w:rFonts w:eastAsia="Calibri" w:cstheme="minorHAnsi"/>
          <w:bCs/>
          <w:sz w:val="24"/>
          <w:szCs w:val="24"/>
          <w:lang w:val="el-GR"/>
        </w:rPr>
        <w:t>Την</w:t>
      </w:r>
      <w:r w:rsidRPr="0093119E">
        <w:rPr>
          <w:rFonts w:eastAsia="Calibri" w:cstheme="minorHAnsi"/>
          <w:bCs/>
          <w:sz w:val="24"/>
          <w:szCs w:val="24"/>
          <w:lang w:val="el-GR"/>
        </w:rPr>
        <w:t xml:space="preserve"> </w:t>
      </w:r>
      <w:r>
        <w:rPr>
          <w:rFonts w:eastAsia="Calibri" w:cstheme="minorHAnsi"/>
          <w:bCs/>
          <w:sz w:val="24"/>
          <w:szCs w:val="24"/>
          <w:lang w:val="el-GR"/>
        </w:rPr>
        <w:t>Υπηρεσία</w:t>
      </w:r>
      <w:r w:rsidRPr="0093119E">
        <w:rPr>
          <w:rFonts w:eastAsia="Calibri" w:cstheme="minorHAnsi"/>
          <w:bCs/>
          <w:sz w:val="24"/>
          <w:szCs w:val="24"/>
          <w:lang w:val="el-GR"/>
        </w:rPr>
        <w:t xml:space="preserve"> </w:t>
      </w:r>
      <w:r>
        <w:rPr>
          <w:rFonts w:eastAsia="Calibri" w:cstheme="minorHAnsi"/>
          <w:bCs/>
          <w:sz w:val="24"/>
          <w:szCs w:val="24"/>
          <w:lang w:val="el-GR"/>
        </w:rPr>
        <w:t>Εσωτερικού</w:t>
      </w:r>
      <w:r w:rsidRPr="0093119E">
        <w:rPr>
          <w:rFonts w:eastAsia="Calibri" w:cstheme="minorHAnsi"/>
          <w:bCs/>
          <w:sz w:val="24"/>
          <w:szCs w:val="24"/>
          <w:lang w:val="el-GR"/>
        </w:rPr>
        <w:t xml:space="preserve"> </w:t>
      </w:r>
      <w:r>
        <w:rPr>
          <w:rFonts w:eastAsia="Calibri" w:cstheme="minorHAnsi"/>
          <w:bCs/>
          <w:sz w:val="24"/>
          <w:szCs w:val="24"/>
          <w:lang w:val="el-GR"/>
        </w:rPr>
        <w:t>Ελέγχου</w:t>
      </w:r>
      <w:r w:rsidR="00A5147D" w:rsidRPr="0093119E">
        <w:rPr>
          <w:rFonts w:eastAsia="Calibri" w:cstheme="minorHAnsi"/>
          <w:bCs/>
          <w:sz w:val="24"/>
          <w:szCs w:val="24"/>
          <w:lang w:val="el-GR"/>
        </w:rPr>
        <w:t xml:space="preserve"> </w:t>
      </w:r>
      <w:r>
        <w:rPr>
          <w:rFonts w:eastAsia="Calibri" w:cstheme="minorHAnsi"/>
          <w:bCs/>
          <w:sz w:val="24"/>
          <w:szCs w:val="24"/>
          <w:lang w:val="el-GR"/>
        </w:rPr>
        <w:t>ηγείται</w:t>
      </w:r>
      <w:r w:rsidRPr="0093119E">
        <w:rPr>
          <w:rFonts w:eastAsia="Calibri" w:cstheme="minorHAnsi"/>
          <w:bCs/>
          <w:sz w:val="24"/>
          <w:szCs w:val="24"/>
          <w:lang w:val="el-GR"/>
        </w:rPr>
        <w:t xml:space="preserve"> </w:t>
      </w:r>
      <w:r>
        <w:rPr>
          <w:rFonts w:eastAsia="Calibri" w:cstheme="minorHAnsi"/>
          <w:bCs/>
          <w:sz w:val="24"/>
          <w:szCs w:val="24"/>
          <w:lang w:val="el-GR"/>
        </w:rPr>
        <w:t>ο</w:t>
      </w:r>
      <w:r w:rsidRPr="0093119E">
        <w:rPr>
          <w:rFonts w:eastAsia="Calibri" w:cstheme="minorHAnsi"/>
          <w:bCs/>
          <w:sz w:val="24"/>
          <w:szCs w:val="24"/>
          <w:lang w:val="el-GR"/>
        </w:rPr>
        <w:t xml:space="preserve"> </w:t>
      </w:r>
      <w:r>
        <w:rPr>
          <w:rFonts w:eastAsia="Times New Roman" w:cstheme="minorHAnsi"/>
          <w:bCs/>
          <w:iCs/>
          <w:sz w:val="24"/>
          <w:szCs w:val="24"/>
          <w:u w:val="single"/>
          <w:lang w:val="el-GR"/>
        </w:rPr>
        <w:t>Επίτροπος</w:t>
      </w:r>
      <w:r w:rsidRPr="0093119E">
        <w:rPr>
          <w:rFonts w:eastAsia="Times New Roman" w:cstheme="minorHAnsi"/>
          <w:bCs/>
          <w:iCs/>
          <w:sz w:val="24"/>
          <w:szCs w:val="24"/>
          <w:u w:val="single"/>
          <w:lang w:val="el-GR"/>
        </w:rPr>
        <w:t xml:space="preserve"> </w:t>
      </w:r>
      <w:r>
        <w:rPr>
          <w:rFonts w:eastAsia="Times New Roman" w:cstheme="minorHAnsi"/>
          <w:bCs/>
          <w:iCs/>
          <w:sz w:val="24"/>
          <w:szCs w:val="24"/>
          <w:u w:val="single"/>
          <w:lang w:val="el-GR"/>
        </w:rPr>
        <w:t>Εσωτερικού</w:t>
      </w:r>
      <w:r w:rsidRPr="0093119E">
        <w:rPr>
          <w:rFonts w:eastAsia="Times New Roman" w:cstheme="minorHAnsi"/>
          <w:bCs/>
          <w:iCs/>
          <w:sz w:val="24"/>
          <w:szCs w:val="24"/>
          <w:u w:val="single"/>
          <w:lang w:val="el-GR"/>
        </w:rPr>
        <w:t xml:space="preserve"> </w:t>
      </w:r>
      <w:r>
        <w:rPr>
          <w:rFonts w:eastAsia="Times New Roman" w:cstheme="minorHAnsi"/>
          <w:bCs/>
          <w:iCs/>
          <w:sz w:val="24"/>
          <w:szCs w:val="24"/>
          <w:u w:val="single"/>
          <w:lang w:val="el-GR"/>
        </w:rPr>
        <w:t>Ελέγχου</w:t>
      </w:r>
      <w:r w:rsidR="00A5147D" w:rsidRPr="0093119E">
        <w:rPr>
          <w:rFonts w:eastAsia="Times New Roman" w:cstheme="minorHAnsi"/>
          <w:bCs/>
          <w:iCs/>
          <w:sz w:val="24"/>
          <w:szCs w:val="24"/>
          <w:lang w:val="el-GR"/>
        </w:rPr>
        <w:t xml:space="preserve">, </w:t>
      </w:r>
      <w:r>
        <w:rPr>
          <w:rFonts w:eastAsia="Times New Roman" w:cstheme="minorHAnsi"/>
          <w:bCs/>
          <w:iCs/>
          <w:sz w:val="24"/>
          <w:szCs w:val="24"/>
          <w:lang w:val="el-GR"/>
        </w:rPr>
        <w:t>διορισμένος</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από</w:t>
      </w:r>
      <w:r w:rsidRPr="0093119E">
        <w:rPr>
          <w:rFonts w:eastAsia="Times New Roman" w:cstheme="minorHAnsi"/>
          <w:bCs/>
          <w:iCs/>
          <w:sz w:val="24"/>
          <w:szCs w:val="24"/>
          <w:lang w:val="el-GR"/>
        </w:rPr>
        <w:t xml:space="preserve"> </w:t>
      </w:r>
      <w:r>
        <w:rPr>
          <w:rFonts w:eastAsia="Times New Roman" w:cstheme="minorHAnsi"/>
          <w:bCs/>
          <w:iCs/>
          <w:sz w:val="24"/>
          <w:szCs w:val="24"/>
          <w:lang w:val="el-GR"/>
        </w:rPr>
        <w:t>το</w:t>
      </w:r>
      <w:r w:rsidRPr="0093119E">
        <w:rPr>
          <w:rFonts w:eastAsia="Times New Roman" w:cstheme="minorHAnsi"/>
          <w:bCs/>
          <w:iCs/>
          <w:sz w:val="24"/>
          <w:szCs w:val="24"/>
          <w:lang w:val="el-GR"/>
        </w:rPr>
        <w:t xml:space="preserve"> </w:t>
      </w:r>
      <w:r>
        <w:rPr>
          <w:rFonts w:eastAsia="Times New Roman" w:cstheme="minorHAnsi"/>
          <w:bCs/>
          <w:iCs/>
          <w:sz w:val="24"/>
          <w:szCs w:val="24"/>
          <w:lang w:val="el-GR"/>
        </w:rPr>
        <w:t>Υπουργικό</w:t>
      </w:r>
      <w:r w:rsidRPr="0093119E">
        <w:rPr>
          <w:rFonts w:eastAsia="Times New Roman" w:cstheme="minorHAnsi"/>
          <w:bCs/>
          <w:iCs/>
          <w:sz w:val="24"/>
          <w:szCs w:val="24"/>
          <w:lang w:val="el-GR"/>
        </w:rPr>
        <w:t xml:space="preserve"> </w:t>
      </w:r>
      <w:r>
        <w:rPr>
          <w:rFonts w:eastAsia="Times New Roman" w:cstheme="minorHAnsi"/>
          <w:bCs/>
          <w:iCs/>
          <w:sz w:val="24"/>
          <w:szCs w:val="24"/>
          <w:lang w:val="el-GR"/>
        </w:rPr>
        <w:t>Συμβούλιο</w:t>
      </w:r>
      <w:r w:rsidR="00A5147D" w:rsidRPr="0093119E">
        <w:rPr>
          <w:rFonts w:eastAsia="Times New Roman" w:cstheme="minorHAnsi"/>
          <w:bCs/>
          <w:iCs/>
          <w:sz w:val="24"/>
          <w:szCs w:val="24"/>
          <w:lang w:val="el-GR"/>
        </w:rPr>
        <w:t xml:space="preserve"> </w:t>
      </w:r>
      <w:r>
        <w:rPr>
          <w:rFonts w:eastAsia="Times New Roman" w:cstheme="minorHAnsi"/>
          <w:bCs/>
          <w:iCs/>
          <w:sz w:val="24"/>
          <w:szCs w:val="24"/>
          <w:lang w:val="el-GR"/>
        </w:rPr>
        <w:t>για μια περίοδο έξι ετών</w:t>
      </w:r>
      <w:r w:rsidR="00A5147D" w:rsidRPr="0093119E">
        <w:rPr>
          <w:rFonts w:eastAsia="Times New Roman" w:cstheme="minorHAnsi"/>
          <w:bCs/>
          <w:iCs/>
          <w:sz w:val="24"/>
          <w:szCs w:val="24"/>
          <w:lang w:val="el-GR"/>
        </w:rPr>
        <w:t xml:space="preserve">, </w:t>
      </w:r>
      <w:r>
        <w:rPr>
          <w:rFonts w:eastAsia="Times New Roman" w:cstheme="minorHAnsi"/>
          <w:bCs/>
          <w:iCs/>
          <w:sz w:val="24"/>
          <w:szCs w:val="24"/>
          <w:lang w:val="el-GR"/>
        </w:rPr>
        <w:t>που μπορεί να ανανεωθεί για μια επιπρόσθετη θητεία</w:t>
      </w:r>
      <w:r w:rsidR="00A5147D" w:rsidRPr="0093119E">
        <w:rPr>
          <w:rFonts w:eastAsia="Times New Roman" w:cstheme="minorHAnsi"/>
          <w:bCs/>
          <w:iCs/>
          <w:sz w:val="24"/>
          <w:szCs w:val="24"/>
          <w:lang w:val="el-GR"/>
        </w:rPr>
        <w:t xml:space="preserve">. </w:t>
      </w:r>
      <w:r>
        <w:rPr>
          <w:rFonts w:eastAsia="Times New Roman" w:cstheme="minorHAnsi"/>
          <w:bCs/>
          <w:iCs/>
          <w:sz w:val="24"/>
          <w:szCs w:val="24"/>
          <w:lang w:val="el-GR"/>
        </w:rPr>
        <w:t>Η</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αμοιβή</w:t>
      </w:r>
      <w:r w:rsidRPr="0093119E">
        <w:rPr>
          <w:rFonts w:eastAsia="Times New Roman" w:cstheme="minorHAnsi"/>
          <w:bCs/>
          <w:iCs/>
          <w:sz w:val="24"/>
          <w:szCs w:val="24"/>
          <w:lang w:val="el-GR"/>
        </w:rPr>
        <w:t xml:space="preserve"> </w:t>
      </w:r>
      <w:r>
        <w:rPr>
          <w:rFonts w:eastAsia="Times New Roman" w:cstheme="minorHAnsi"/>
          <w:bCs/>
          <w:iCs/>
          <w:sz w:val="24"/>
          <w:szCs w:val="24"/>
          <w:lang w:val="el-GR"/>
        </w:rPr>
        <w:t>του</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Επιτρόπου</w:t>
      </w:r>
      <w:r w:rsidR="00A5147D" w:rsidRPr="0093119E">
        <w:rPr>
          <w:rFonts w:eastAsia="Times New Roman" w:cstheme="minorHAnsi"/>
          <w:bCs/>
          <w:iCs/>
          <w:sz w:val="24"/>
          <w:szCs w:val="24"/>
          <w:lang w:val="el-GR"/>
        </w:rPr>
        <w:t xml:space="preserve"> </w:t>
      </w:r>
      <w:r>
        <w:rPr>
          <w:rFonts w:eastAsia="Times New Roman" w:cstheme="minorHAnsi"/>
          <w:bCs/>
          <w:iCs/>
          <w:sz w:val="24"/>
          <w:szCs w:val="24"/>
          <w:lang w:val="el-GR"/>
        </w:rPr>
        <w:t>και</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οι</w:t>
      </w:r>
      <w:r w:rsidRPr="0093119E">
        <w:rPr>
          <w:rFonts w:eastAsia="Times New Roman" w:cstheme="minorHAnsi"/>
          <w:bCs/>
          <w:iCs/>
          <w:sz w:val="24"/>
          <w:szCs w:val="24"/>
          <w:lang w:val="el-GR"/>
        </w:rPr>
        <w:t xml:space="preserve"> </w:t>
      </w:r>
      <w:r>
        <w:rPr>
          <w:rFonts w:eastAsia="Times New Roman" w:cstheme="minorHAnsi"/>
          <w:bCs/>
          <w:iCs/>
          <w:sz w:val="24"/>
          <w:szCs w:val="24"/>
          <w:lang w:val="el-GR"/>
        </w:rPr>
        <w:t>όροι</w:t>
      </w:r>
      <w:r w:rsidRPr="0093119E">
        <w:rPr>
          <w:rFonts w:eastAsia="Times New Roman" w:cstheme="minorHAnsi"/>
          <w:bCs/>
          <w:iCs/>
          <w:sz w:val="24"/>
          <w:szCs w:val="24"/>
          <w:lang w:val="el-GR"/>
        </w:rPr>
        <w:t xml:space="preserve"> </w:t>
      </w:r>
      <w:r>
        <w:rPr>
          <w:rFonts w:eastAsia="Times New Roman" w:cstheme="minorHAnsi"/>
          <w:bCs/>
          <w:iCs/>
          <w:sz w:val="24"/>
          <w:szCs w:val="24"/>
          <w:lang w:val="el-GR"/>
        </w:rPr>
        <w:t>υπηρεσίας</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καθορίζονται</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από</w:t>
      </w:r>
      <w:r w:rsidRPr="0093119E">
        <w:rPr>
          <w:rFonts w:eastAsia="Times New Roman" w:cstheme="minorHAnsi"/>
          <w:bCs/>
          <w:iCs/>
          <w:sz w:val="24"/>
          <w:szCs w:val="24"/>
          <w:lang w:val="el-GR"/>
        </w:rPr>
        <w:t xml:space="preserve"> </w:t>
      </w:r>
      <w:r>
        <w:rPr>
          <w:rFonts w:eastAsia="Times New Roman" w:cstheme="minorHAnsi"/>
          <w:bCs/>
          <w:iCs/>
          <w:sz w:val="24"/>
          <w:szCs w:val="24"/>
          <w:lang w:val="el-GR"/>
        </w:rPr>
        <w:t>το</w:t>
      </w:r>
      <w:r w:rsidRPr="0093119E">
        <w:rPr>
          <w:rFonts w:eastAsia="Times New Roman" w:cstheme="minorHAnsi"/>
          <w:bCs/>
          <w:iCs/>
          <w:sz w:val="24"/>
          <w:szCs w:val="24"/>
          <w:lang w:val="el-GR"/>
        </w:rPr>
        <w:t xml:space="preserve"> </w:t>
      </w:r>
      <w:r>
        <w:rPr>
          <w:rFonts w:eastAsia="Times New Roman" w:cstheme="minorHAnsi"/>
          <w:bCs/>
          <w:iCs/>
          <w:sz w:val="24"/>
          <w:szCs w:val="24"/>
          <w:lang w:val="el-GR"/>
        </w:rPr>
        <w:t>Υπουργικό</w:t>
      </w:r>
      <w:r w:rsidRPr="0093119E">
        <w:rPr>
          <w:rFonts w:eastAsia="Times New Roman" w:cstheme="minorHAnsi"/>
          <w:bCs/>
          <w:iCs/>
          <w:sz w:val="24"/>
          <w:szCs w:val="24"/>
          <w:lang w:val="el-GR"/>
        </w:rPr>
        <w:t xml:space="preserve"> </w:t>
      </w:r>
      <w:r>
        <w:rPr>
          <w:rFonts w:eastAsia="Times New Roman" w:cstheme="minorHAnsi"/>
          <w:bCs/>
          <w:iCs/>
          <w:sz w:val="24"/>
          <w:szCs w:val="24"/>
          <w:lang w:val="el-GR"/>
        </w:rPr>
        <w:t>Συμβούλιο</w:t>
      </w:r>
      <w:r w:rsidR="00A5147D" w:rsidRPr="0093119E">
        <w:rPr>
          <w:rFonts w:eastAsia="Times New Roman" w:cstheme="minorHAnsi"/>
          <w:bCs/>
          <w:iCs/>
          <w:sz w:val="24"/>
          <w:szCs w:val="24"/>
          <w:lang w:val="el-GR"/>
        </w:rPr>
        <w:t xml:space="preserve"> </w:t>
      </w:r>
      <w:r>
        <w:rPr>
          <w:rFonts w:eastAsia="Times New Roman" w:cstheme="minorHAnsi"/>
          <w:bCs/>
          <w:iCs/>
          <w:sz w:val="24"/>
          <w:szCs w:val="24"/>
          <w:lang w:val="el-GR"/>
        </w:rPr>
        <w:t>και</w:t>
      </w:r>
      <w:r w:rsidRPr="0093119E">
        <w:rPr>
          <w:rFonts w:eastAsia="Times New Roman" w:cstheme="minorHAnsi"/>
          <w:bCs/>
          <w:iCs/>
          <w:sz w:val="24"/>
          <w:szCs w:val="24"/>
          <w:lang w:val="el-GR"/>
        </w:rPr>
        <w:t xml:space="preserve"> </w:t>
      </w:r>
      <w:r>
        <w:rPr>
          <w:rFonts w:eastAsia="Times New Roman" w:cstheme="minorHAnsi"/>
          <w:bCs/>
          <w:iCs/>
          <w:sz w:val="24"/>
          <w:szCs w:val="24"/>
          <w:lang w:val="el-GR"/>
        </w:rPr>
        <w:t xml:space="preserve">συμπεριλαμβάνονται σε ένα συμβόλαιο </w:t>
      </w:r>
      <w:r>
        <w:rPr>
          <w:rFonts w:eastAsia="Times New Roman" w:cstheme="minorHAnsi"/>
          <w:bCs/>
          <w:iCs/>
          <w:sz w:val="24"/>
          <w:szCs w:val="24"/>
          <w:lang w:val="el-GR"/>
        </w:rPr>
        <w:lastRenderedPageBreak/>
        <w:t>υπογραμμένο από τον Υπουργό Οικονομικών</w:t>
      </w:r>
      <w:r w:rsidR="00A5147D" w:rsidRPr="0093119E">
        <w:rPr>
          <w:rFonts w:eastAsia="Times New Roman" w:cstheme="minorHAnsi"/>
          <w:bCs/>
          <w:iCs/>
          <w:sz w:val="24"/>
          <w:szCs w:val="24"/>
          <w:lang w:val="el-GR"/>
        </w:rPr>
        <w:t xml:space="preserve">, </w:t>
      </w:r>
      <w:r>
        <w:rPr>
          <w:rFonts w:eastAsia="Times New Roman" w:cstheme="minorHAnsi"/>
          <w:bCs/>
          <w:iCs/>
          <w:sz w:val="24"/>
          <w:szCs w:val="24"/>
          <w:lang w:val="el-GR"/>
        </w:rPr>
        <w:t>εκ μέρους του Υπουργικού Συμβουλίου</w:t>
      </w:r>
      <w:r w:rsidR="00A5147D" w:rsidRPr="0093119E">
        <w:rPr>
          <w:rFonts w:eastAsia="Times New Roman" w:cstheme="minorHAnsi"/>
          <w:bCs/>
          <w:iCs/>
          <w:sz w:val="24"/>
          <w:szCs w:val="24"/>
          <w:lang w:val="el-GR"/>
        </w:rPr>
        <w:t xml:space="preserve">. </w:t>
      </w:r>
      <w:r>
        <w:rPr>
          <w:rFonts w:eastAsia="Times New Roman" w:cstheme="minorHAnsi"/>
          <w:bCs/>
          <w:iCs/>
          <w:sz w:val="24"/>
          <w:szCs w:val="24"/>
          <w:lang w:val="el-GR"/>
        </w:rPr>
        <w:t>Ο</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Επίτροπος</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δεν</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μπορεί</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να</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κατέχει</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οποιαδήποτε</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άλλη</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θέση</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ή</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αξίωμα</w:t>
      </w:r>
      <w:r w:rsidRPr="0093119E">
        <w:rPr>
          <w:rFonts w:eastAsia="Times New Roman" w:cstheme="minorHAnsi"/>
          <w:bCs/>
          <w:iCs/>
          <w:sz w:val="24"/>
          <w:szCs w:val="24"/>
          <w:lang w:val="el-GR"/>
        </w:rPr>
        <w:t xml:space="preserve"> </w:t>
      </w:r>
      <w:r>
        <w:rPr>
          <w:rFonts w:eastAsia="Times New Roman" w:cstheme="minorHAnsi"/>
          <w:bCs/>
          <w:iCs/>
          <w:sz w:val="24"/>
          <w:szCs w:val="24"/>
          <w:lang w:val="el-GR"/>
        </w:rPr>
        <w:t>στην</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Κυπριακή</w:t>
      </w:r>
      <w:r w:rsidRPr="0093119E">
        <w:rPr>
          <w:rFonts w:eastAsia="Times New Roman" w:cstheme="minorHAnsi"/>
          <w:bCs/>
          <w:iCs/>
          <w:sz w:val="24"/>
          <w:szCs w:val="24"/>
          <w:lang w:val="el-GR"/>
        </w:rPr>
        <w:t xml:space="preserve"> </w:t>
      </w:r>
      <w:r>
        <w:rPr>
          <w:rFonts w:eastAsia="Times New Roman" w:cstheme="minorHAnsi"/>
          <w:bCs/>
          <w:iCs/>
          <w:sz w:val="24"/>
          <w:szCs w:val="24"/>
          <w:lang w:val="el-GR"/>
        </w:rPr>
        <w:t>Δημοκρατία</w:t>
      </w:r>
      <w:r w:rsidR="00A5147D" w:rsidRPr="0093119E">
        <w:rPr>
          <w:rFonts w:eastAsia="Times New Roman" w:cstheme="minorHAnsi"/>
          <w:bCs/>
          <w:iCs/>
          <w:sz w:val="24"/>
          <w:szCs w:val="24"/>
          <w:lang w:val="el-GR"/>
        </w:rPr>
        <w:t xml:space="preserve"> </w:t>
      </w:r>
      <w:r>
        <w:rPr>
          <w:rFonts w:eastAsia="Times New Roman" w:cstheme="minorHAnsi"/>
          <w:bCs/>
          <w:iCs/>
          <w:sz w:val="24"/>
          <w:szCs w:val="24"/>
          <w:lang w:val="el-GR"/>
        </w:rPr>
        <w:t>ή να λαμβάνει αμοιβή για οποιοδήποτε άλλο επάγγελμα</w:t>
      </w:r>
      <w:r w:rsidR="00A5147D" w:rsidRPr="0093119E">
        <w:rPr>
          <w:rFonts w:eastAsia="Times New Roman" w:cstheme="minorHAnsi"/>
          <w:bCs/>
          <w:iCs/>
          <w:sz w:val="24"/>
          <w:szCs w:val="24"/>
          <w:lang w:val="el-GR"/>
        </w:rPr>
        <w:t xml:space="preserve"> (</w:t>
      </w:r>
      <w:r>
        <w:rPr>
          <w:rFonts w:eastAsia="Times New Roman" w:cstheme="minorHAnsi"/>
          <w:bCs/>
          <w:iCs/>
          <w:sz w:val="24"/>
          <w:szCs w:val="24"/>
          <w:lang w:val="el-GR"/>
        </w:rPr>
        <w:t>Άρθρο</w:t>
      </w:r>
      <w:r w:rsidR="00A5147D" w:rsidRPr="0093119E">
        <w:rPr>
          <w:rFonts w:eastAsia="Times New Roman" w:cstheme="minorHAnsi"/>
          <w:bCs/>
          <w:iCs/>
          <w:sz w:val="24"/>
          <w:szCs w:val="24"/>
          <w:lang w:val="el-GR"/>
        </w:rPr>
        <w:t xml:space="preserve"> 3 </w:t>
      </w:r>
      <w:r>
        <w:rPr>
          <w:rFonts w:eastAsia="Times New Roman" w:cstheme="minorHAnsi"/>
          <w:bCs/>
          <w:iCs/>
          <w:sz w:val="24"/>
          <w:szCs w:val="24"/>
          <w:lang w:val="el-GR"/>
        </w:rPr>
        <w:t>του Νόμου</w:t>
      </w:r>
      <w:r w:rsidR="00A5147D" w:rsidRPr="0093119E">
        <w:rPr>
          <w:rFonts w:eastAsia="Times New Roman" w:cstheme="minorHAnsi"/>
          <w:bCs/>
          <w:iCs/>
          <w:sz w:val="24"/>
          <w:szCs w:val="24"/>
          <w:lang w:val="el-GR"/>
        </w:rPr>
        <w:t>).</w:t>
      </w:r>
    </w:p>
    <w:p w14:paraId="260C12F9" w14:textId="77777777" w:rsidR="00A5147D" w:rsidRPr="0093119E" w:rsidRDefault="00A5147D" w:rsidP="00A5147D">
      <w:pPr>
        <w:contextualSpacing/>
        <w:rPr>
          <w:rFonts w:eastAsia="Calibri" w:cstheme="minorHAnsi"/>
          <w:bCs/>
          <w:sz w:val="24"/>
          <w:szCs w:val="24"/>
          <w:lang w:val="el-GR"/>
        </w:rPr>
      </w:pPr>
    </w:p>
    <w:p w14:paraId="3840AB9B" w14:textId="43BC093A" w:rsidR="00A5147D" w:rsidRPr="001970FB" w:rsidRDefault="00031747" w:rsidP="00A5147D">
      <w:pPr>
        <w:numPr>
          <w:ilvl w:val="0"/>
          <w:numId w:val="1"/>
        </w:numPr>
        <w:tabs>
          <w:tab w:val="clear" w:pos="6095"/>
          <w:tab w:val="left" w:pos="709"/>
        </w:tabs>
        <w:ind w:left="0" w:firstLine="0"/>
        <w:contextualSpacing/>
        <w:rPr>
          <w:rFonts w:ascii="Arial" w:eastAsia="Times New Roman" w:hAnsi="Arial" w:cs="Arial"/>
          <w:bCs/>
          <w:iCs/>
          <w:color w:val="0033CC"/>
          <w:sz w:val="24"/>
          <w:szCs w:val="24"/>
          <w:lang w:val="el-GR"/>
        </w:rPr>
      </w:pPr>
      <w:r>
        <w:rPr>
          <w:rFonts w:eastAsia="Calibri" w:cstheme="minorHAnsi"/>
          <w:bCs/>
          <w:sz w:val="24"/>
          <w:szCs w:val="24"/>
          <w:lang w:val="el-GR"/>
        </w:rPr>
        <w:t>Ο</w:t>
      </w:r>
      <w:r w:rsidRPr="00031747">
        <w:rPr>
          <w:rFonts w:eastAsia="Calibri" w:cstheme="minorHAnsi"/>
          <w:bCs/>
          <w:sz w:val="24"/>
          <w:szCs w:val="24"/>
          <w:lang w:val="el-GR"/>
        </w:rPr>
        <w:t xml:space="preserve"> </w:t>
      </w:r>
      <w:r>
        <w:rPr>
          <w:rFonts w:eastAsia="Calibri" w:cstheme="minorHAnsi"/>
          <w:bCs/>
          <w:sz w:val="24"/>
          <w:szCs w:val="24"/>
          <w:lang w:val="el-GR"/>
        </w:rPr>
        <w:t>Επίτροπος</w:t>
      </w:r>
      <w:r w:rsidRPr="00031747">
        <w:rPr>
          <w:rFonts w:eastAsia="Calibri" w:cstheme="minorHAnsi"/>
          <w:bCs/>
          <w:sz w:val="24"/>
          <w:szCs w:val="24"/>
          <w:lang w:val="el-GR"/>
        </w:rPr>
        <w:t xml:space="preserve"> </w:t>
      </w:r>
      <w:r>
        <w:rPr>
          <w:rFonts w:eastAsia="Calibri" w:cstheme="minorHAnsi"/>
          <w:bCs/>
          <w:sz w:val="24"/>
          <w:szCs w:val="24"/>
          <w:lang w:val="el-GR"/>
        </w:rPr>
        <w:t>είναι</w:t>
      </w:r>
      <w:r w:rsidRPr="00031747">
        <w:rPr>
          <w:rFonts w:eastAsia="Calibri" w:cstheme="minorHAnsi"/>
          <w:bCs/>
          <w:sz w:val="24"/>
          <w:szCs w:val="24"/>
          <w:lang w:val="el-GR"/>
        </w:rPr>
        <w:t xml:space="preserve"> </w:t>
      </w:r>
      <w:r>
        <w:rPr>
          <w:rFonts w:eastAsia="Calibri" w:cstheme="minorHAnsi"/>
          <w:bCs/>
          <w:sz w:val="24"/>
          <w:szCs w:val="24"/>
          <w:lang w:val="el-GR"/>
        </w:rPr>
        <w:t>υπεύθυνος</w:t>
      </w:r>
      <w:r w:rsidRPr="00031747">
        <w:rPr>
          <w:rFonts w:eastAsia="Calibri" w:cstheme="minorHAnsi"/>
          <w:bCs/>
          <w:sz w:val="24"/>
          <w:szCs w:val="24"/>
          <w:lang w:val="el-GR"/>
        </w:rPr>
        <w:t xml:space="preserve"> </w:t>
      </w:r>
      <w:r>
        <w:rPr>
          <w:rFonts w:eastAsia="Calibri" w:cstheme="minorHAnsi"/>
          <w:bCs/>
          <w:sz w:val="24"/>
          <w:szCs w:val="24"/>
          <w:lang w:val="el-GR"/>
        </w:rPr>
        <w:t>για</w:t>
      </w:r>
      <w:r w:rsidRPr="00031747">
        <w:rPr>
          <w:rFonts w:eastAsia="Calibri" w:cstheme="minorHAnsi"/>
          <w:bCs/>
          <w:sz w:val="24"/>
          <w:szCs w:val="24"/>
          <w:lang w:val="el-GR"/>
        </w:rPr>
        <w:t xml:space="preserve"> </w:t>
      </w:r>
      <w:r>
        <w:rPr>
          <w:rFonts w:eastAsia="Calibri" w:cstheme="minorHAnsi"/>
          <w:bCs/>
          <w:sz w:val="24"/>
          <w:szCs w:val="24"/>
          <w:lang w:val="el-GR"/>
        </w:rPr>
        <w:t>την</w:t>
      </w:r>
      <w:r w:rsidRPr="00031747">
        <w:rPr>
          <w:rFonts w:eastAsia="Calibri" w:cstheme="minorHAnsi"/>
          <w:bCs/>
          <w:sz w:val="24"/>
          <w:szCs w:val="24"/>
          <w:lang w:val="el-GR"/>
        </w:rPr>
        <w:t xml:space="preserve"> </w:t>
      </w:r>
      <w:r>
        <w:rPr>
          <w:rFonts w:eastAsia="Calibri" w:cstheme="minorHAnsi"/>
          <w:bCs/>
          <w:sz w:val="24"/>
          <w:szCs w:val="24"/>
          <w:lang w:val="el-GR"/>
        </w:rPr>
        <w:t>διεξαγωγή</w:t>
      </w:r>
      <w:r w:rsidR="00A5147D" w:rsidRPr="00031747">
        <w:rPr>
          <w:rFonts w:eastAsia="Calibri" w:cstheme="minorHAnsi"/>
          <w:bCs/>
          <w:sz w:val="24"/>
          <w:szCs w:val="24"/>
          <w:lang w:val="el-GR"/>
        </w:rPr>
        <w:t xml:space="preserve"> </w:t>
      </w:r>
      <w:r>
        <w:rPr>
          <w:rFonts w:eastAsia="Calibri" w:cstheme="minorHAnsi"/>
          <w:bCs/>
          <w:sz w:val="24"/>
          <w:szCs w:val="24"/>
          <w:lang w:val="el-GR"/>
        </w:rPr>
        <w:t>της</w:t>
      </w:r>
      <w:r w:rsidRPr="00031747">
        <w:rPr>
          <w:rFonts w:eastAsia="Calibri" w:cstheme="minorHAnsi"/>
          <w:bCs/>
          <w:sz w:val="24"/>
          <w:szCs w:val="24"/>
          <w:lang w:val="el-GR"/>
        </w:rPr>
        <w:t xml:space="preserve"> </w:t>
      </w:r>
      <w:r>
        <w:rPr>
          <w:rFonts w:eastAsia="Calibri" w:cstheme="minorHAnsi"/>
          <w:bCs/>
          <w:sz w:val="24"/>
          <w:szCs w:val="24"/>
          <w:lang w:val="el-GR"/>
        </w:rPr>
        <w:t>λειτουργίας</w:t>
      </w:r>
      <w:r w:rsidRPr="00031747">
        <w:rPr>
          <w:rFonts w:eastAsia="Calibri" w:cstheme="minorHAnsi"/>
          <w:bCs/>
          <w:sz w:val="24"/>
          <w:szCs w:val="24"/>
          <w:lang w:val="el-GR"/>
        </w:rPr>
        <w:t xml:space="preserve"> </w:t>
      </w:r>
      <w:r>
        <w:rPr>
          <w:rFonts w:eastAsia="Calibri" w:cstheme="minorHAnsi"/>
          <w:bCs/>
          <w:sz w:val="24"/>
          <w:szCs w:val="24"/>
          <w:lang w:val="el-GR"/>
        </w:rPr>
        <w:t>του</w:t>
      </w:r>
      <w:r w:rsidRPr="00031747">
        <w:rPr>
          <w:rFonts w:eastAsia="Calibri" w:cstheme="minorHAnsi"/>
          <w:bCs/>
          <w:sz w:val="24"/>
          <w:szCs w:val="24"/>
          <w:lang w:val="el-GR"/>
        </w:rPr>
        <w:t xml:space="preserve"> </w:t>
      </w:r>
      <w:r>
        <w:rPr>
          <w:rFonts w:eastAsia="Calibri" w:cstheme="minorHAnsi"/>
          <w:bCs/>
          <w:sz w:val="24"/>
          <w:szCs w:val="24"/>
          <w:lang w:val="el-GR"/>
        </w:rPr>
        <w:t>εσωτερικού</w:t>
      </w:r>
      <w:r w:rsidRPr="00031747">
        <w:rPr>
          <w:rFonts w:eastAsia="Calibri" w:cstheme="minorHAnsi"/>
          <w:bCs/>
          <w:sz w:val="24"/>
          <w:szCs w:val="24"/>
          <w:lang w:val="el-GR"/>
        </w:rPr>
        <w:t xml:space="preserve"> </w:t>
      </w:r>
      <w:r>
        <w:rPr>
          <w:rFonts w:eastAsia="Calibri" w:cstheme="minorHAnsi"/>
          <w:bCs/>
          <w:sz w:val="24"/>
          <w:szCs w:val="24"/>
          <w:lang w:val="el-GR"/>
        </w:rPr>
        <w:t>ελέγχου</w:t>
      </w:r>
      <w:r w:rsidRPr="00031747">
        <w:rPr>
          <w:rFonts w:eastAsia="Calibri" w:cstheme="minorHAnsi"/>
          <w:bCs/>
          <w:sz w:val="24"/>
          <w:szCs w:val="24"/>
          <w:lang w:val="el-GR"/>
        </w:rPr>
        <w:t xml:space="preserve"> </w:t>
      </w:r>
      <w:r>
        <w:rPr>
          <w:rFonts w:eastAsia="Calibri" w:cstheme="minorHAnsi"/>
          <w:bCs/>
          <w:sz w:val="24"/>
          <w:szCs w:val="24"/>
          <w:lang w:val="el-GR"/>
        </w:rPr>
        <w:t>για</w:t>
      </w:r>
      <w:r w:rsidRPr="00031747">
        <w:rPr>
          <w:rFonts w:eastAsia="Calibri" w:cstheme="minorHAnsi"/>
          <w:bCs/>
          <w:sz w:val="24"/>
          <w:szCs w:val="24"/>
          <w:lang w:val="el-GR"/>
        </w:rPr>
        <w:t xml:space="preserve"> </w:t>
      </w:r>
      <w:r>
        <w:rPr>
          <w:rFonts w:eastAsia="Calibri" w:cstheme="minorHAnsi"/>
          <w:bCs/>
          <w:sz w:val="24"/>
          <w:szCs w:val="24"/>
          <w:lang w:val="el-GR"/>
        </w:rPr>
        <w:t>όλους</w:t>
      </w:r>
      <w:r w:rsidRPr="00031747">
        <w:rPr>
          <w:rFonts w:eastAsia="Calibri" w:cstheme="minorHAnsi"/>
          <w:bCs/>
          <w:sz w:val="24"/>
          <w:szCs w:val="24"/>
          <w:lang w:val="el-GR"/>
        </w:rPr>
        <w:t xml:space="preserve"> </w:t>
      </w:r>
      <w:r>
        <w:rPr>
          <w:rFonts w:eastAsia="Calibri" w:cstheme="minorHAnsi"/>
          <w:bCs/>
          <w:sz w:val="24"/>
          <w:szCs w:val="24"/>
          <w:lang w:val="el-GR"/>
        </w:rPr>
        <w:t>τους</w:t>
      </w:r>
      <w:r w:rsidRPr="00031747">
        <w:rPr>
          <w:rFonts w:eastAsia="Calibri" w:cstheme="minorHAnsi"/>
          <w:bCs/>
          <w:sz w:val="24"/>
          <w:szCs w:val="24"/>
          <w:lang w:val="el-GR"/>
        </w:rPr>
        <w:t xml:space="preserve"> </w:t>
      </w:r>
      <w:r>
        <w:rPr>
          <w:rFonts w:eastAsia="Calibri" w:cstheme="minorHAnsi"/>
          <w:bCs/>
          <w:sz w:val="24"/>
          <w:szCs w:val="24"/>
          <w:lang w:val="el-GR"/>
        </w:rPr>
        <w:t>κυβερνητικούς</w:t>
      </w:r>
      <w:r w:rsidRPr="00031747">
        <w:rPr>
          <w:rFonts w:eastAsia="Calibri" w:cstheme="minorHAnsi"/>
          <w:bCs/>
          <w:sz w:val="24"/>
          <w:szCs w:val="24"/>
          <w:lang w:val="el-GR"/>
        </w:rPr>
        <w:t xml:space="preserve"> </w:t>
      </w:r>
      <w:r>
        <w:rPr>
          <w:rFonts w:eastAsia="Calibri" w:cstheme="minorHAnsi"/>
          <w:bCs/>
          <w:sz w:val="24"/>
          <w:szCs w:val="24"/>
          <w:lang w:val="el-GR"/>
        </w:rPr>
        <w:t>οργανισμούς</w:t>
      </w:r>
      <w:r w:rsidR="00A5147D" w:rsidRPr="00031747">
        <w:rPr>
          <w:rFonts w:eastAsia="Calibri" w:cstheme="minorHAnsi"/>
          <w:bCs/>
          <w:sz w:val="24"/>
          <w:szCs w:val="24"/>
          <w:lang w:val="el-GR"/>
        </w:rPr>
        <w:t xml:space="preserve"> </w:t>
      </w:r>
      <w:r>
        <w:rPr>
          <w:rFonts w:eastAsia="Calibri" w:cstheme="minorHAnsi"/>
          <w:bCs/>
          <w:sz w:val="24"/>
          <w:szCs w:val="24"/>
          <w:lang w:val="el-GR"/>
        </w:rPr>
        <w:t>και είναι υπεύθυνος</w:t>
      </w:r>
      <w:r w:rsidR="00A5147D" w:rsidRPr="00031747">
        <w:rPr>
          <w:rFonts w:eastAsia="Calibri" w:cstheme="minorHAnsi"/>
          <w:bCs/>
          <w:sz w:val="24"/>
          <w:szCs w:val="24"/>
          <w:lang w:val="el-GR"/>
        </w:rPr>
        <w:t xml:space="preserve"> </w:t>
      </w:r>
      <w:r>
        <w:rPr>
          <w:rFonts w:eastAsia="Calibri" w:cstheme="minorHAnsi"/>
          <w:bCs/>
          <w:sz w:val="24"/>
          <w:szCs w:val="24"/>
          <w:lang w:val="el-GR"/>
        </w:rPr>
        <w:t>για την ετοιμασία</w:t>
      </w:r>
      <w:r w:rsidR="00A5147D" w:rsidRPr="00031747">
        <w:rPr>
          <w:rFonts w:eastAsia="Times New Roman" w:cstheme="minorHAnsi"/>
          <w:bCs/>
          <w:iCs/>
          <w:sz w:val="24"/>
          <w:szCs w:val="24"/>
          <w:lang w:val="el-GR"/>
        </w:rPr>
        <w:t xml:space="preserve"> </w:t>
      </w:r>
      <w:r>
        <w:rPr>
          <w:rFonts w:eastAsia="Times New Roman" w:cstheme="minorHAnsi"/>
          <w:bCs/>
          <w:iCs/>
          <w:sz w:val="24"/>
          <w:szCs w:val="24"/>
          <w:lang w:val="el-GR"/>
        </w:rPr>
        <w:t>και την υποβολή</w:t>
      </w:r>
      <w:r w:rsidR="00A5147D" w:rsidRPr="00031747">
        <w:rPr>
          <w:rFonts w:eastAsia="Times New Roman" w:cstheme="minorHAnsi"/>
          <w:bCs/>
          <w:iCs/>
          <w:sz w:val="24"/>
          <w:szCs w:val="24"/>
          <w:lang w:val="el-GR"/>
        </w:rPr>
        <w:t xml:space="preserve"> </w:t>
      </w:r>
      <w:r>
        <w:rPr>
          <w:rFonts w:eastAsia="Times New Roman" w:cstheme="minorHAnsi"/>
          <w:bCs/>
          <w:iCs/>
          <w:sz w:val="24"/>
          <w:szCs w:val="24"/>
          <w:lang w:val="el-GR"/>
        </w:rPr>
        <w:t>μιας έκθεσης ελέγχου</w:t>
      </w:r>
      <w:r w:rsidR="00A5147D" w:rsidRPr="00031747">
        <w:rPr>
          <w:rFonts w:eastAsia="Times New Roman" w:cstheme="minorHAnsi"/>
          <w:bCs/>
          <w:iCs/>
          <w:sz w:val="24"/>
          <w:szCs w:val="24"/>
          <w:lang w:val="el-GR"/>
        </w:rPr>
        <w:t xml:space="preserve"> </w:t>
      </w:r>
      <w:r w:rsidR="001970FB">
        <w:rPr>
          <w:rFonts w:eastAsia="Times New Roman" w:cstheme="minorHAnsi"/>
          <w:bCs/>
          <w:iCs/>
          <w:sz w:val="24"/>
          <w:szCs w:val="24"/>
          <w:lang w:val="el-GR"/>
        </w:rPr>
        <w:t>στην διεύθυνση του ελεγχόμενου οργανισμού</w:t>
      </w:r>
      <w:r w:rsidR="00A5147D" w:rsidRPr="00031747">
        <w:rPr>
          <w:rFonts w:eastAsia="Times New Roman" w:cstheme="minorHAnsi"/>
          <w:bCs/>
          <w:iCs/>
          <w:sz w:val="24"/>
          <w:szCs w:val="24"/>
          <w:lang w:val="el-GR"/>
        </w:rPr>
        <w:t xml:space="preserve">. </w:t>
      </w:r>
      <w:r w:rsidR="001970FB">
        <w:rPr>
          <w:rFonts w:eastAsia="Times New Roman" w:cstheme="minorHAnsi"/>
          <w:bCs/>
          <w:iCs/>
          <w:sz w:val="24"/>
          <w:szCs w:val="24"/>
          <w:lang w:val="el-GR"/>
        </w:rPr>
        <w:t>Ο</w:t>
      </w:r>
      <w:r w:rsidR="001970FB"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Επίτροπος</w:t>
      </w:r>
      <w:r w:rsidR="001970FB"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επίσης</w:t>
      </w:r>
      <w:r w:rsidR="001970FB"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υποβά</w:t>
      </w:r>
      <w:r w:rsidR="003C5493">
        <w:rPr>
          <w:rFonts w:eastAsia="Times New Roman" w:cstheme="minorHAnsi"/>
          <w:bCs/>
          <w:iCs/>
          <w:sz w:val="24"/>
          <w:szCs w:val="24"/>
          <w:lang w:val="el-GR"/>
        </w:rPr>
        <w:t>λ</w:t>
      </w:r>
      <w:r w:rsidR="001970FB">
        <w:rPr>
          <w:rFonts w:eastAsia="Times New Roman" w:cstheme="minorHAnsi"/>
          <w:bCs/>
          <w:iCs/>
          <w:sz w:val="24"/>
          <w:szCs w:val="24"/>
          <w:lang w:val="el-GR"/>
        </w:rPr>
        <w:t>λει</w:t>
      </w:r>
      <w:r w:rsidR="001970FB"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κάθε</w:t>
      </w:r>
      <w:r w:rsidR="001970FB"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χρόνο</w:t>
      </w:r>
      <w:r w:rsidR="00A5147D"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μια</w:t>
      </w:r>
      <w:r w:rsidR="001970FB"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Ετήσια</w:t>
      </w:r>
      <w:r w:rsidR="001970FB"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Έκθεση</w:t>
      </w:r>
      <w:r w:rsidR="00A5147D"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περιγράφοντας</w:t>
      </w:r>
      <w:r w:rsidR="001970FB"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τις</w:t>
      </w:r>
      <w:r w:rsidR="001970FB"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δραστηριότητες</w:t>
      </w:r>
      <w:r w:rsidR="00A5147D"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που</w:t>
      </w:r>
      <w:r w:rsidR="001970FB"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εκτελούνται</w:t>
      </w:r>
      <w:r w:rsidR="001970FB"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από</w:t>
      </w:r>
      <w:r w:rsidR="001970FB"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την</w:t>
      </w:r>
      <w:r w:rsidR="001970FB"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Υπηρεσία</w:t>
      </w:r>
      <w:r w:rsidR="001970FB"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Εσωτερικού</w:t>
      </w:r>
      <w:r w:rsidR="001970FB"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Ελέγχου</w:t>
      </w:r>
      <w:r w:rsidR="00A5147D"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στο Συμβούλιο Εσωτερικού Ελέγχου</w:t>
      </w:r>
      <w:r w:rsidR="00A5147D" w:rsidRPr="001970FB">
        <w:rPr>
          <w:rFonts w:eastAsia="Times New Roman" w:cstheme="minorHAnsi"/>
          <w:bCs/>
          <w:iCs/>
          <w:sz w:val="24"/>
          <w:szCs w:val="24"/>
          <w:lang w:val="el-GR"/>
        </w:rPr>
        <w:t xml:space="preserve">, </w:t>
      </w:r>
      <w:r w:rsidR="001970FB">
        <w:rPr>
          <w:rFonts w:eastAsia="Times New Roman" w:cstheme="minorHAnsi"/>
          <w:bCs/>
          <w:iCs/>
          <w:sz w:val="24"/>
          <w:szCs w:val="24"/>
          <w:lang w:val="el-GR"/>
        </w:rPr>
        <w:t xml:space="preserve">που ενεργεί ως </w:t>
      </w:r>
      <w:r w:rsidR="003C5493">
        <w:rPr>
          <w:rFonts w:eastAsia="Times New Roman" w:cstheme="minorHAnsi"/>
          <w:bCs/>
          <w:iCs/>
          <w:sz w:val="24"/>
          <w:szCs w:val="24"/>
          <w:lang w:val="el-GR"/>
        </w:rPr>
        <w:t xml:space="preserve">το κανάλι </w:t>
      </w:r>
      <w:r w:rsidR="001970FB">
        <w:rPr>
          <w:rFonts w:eastAsia="Times New Roman" w:cstheme="minorHAnsi"/>
          <w:bCs/>
          <w:iCs/>
          <w:sz w:val="24"/>
          <w:szCs w:val="24"/>
          <w:lang w:val="el-GR"/>
        </w:rPr>
        <w:t>μεταξύ του Υπουργικού Συμβουλίου και της Υπηρεσίας Εσωτερικού Ελέγχου</w:t>
      </w:r>
      <w:r w:rsidR="00A5147D" w:rsidRPr="001970FB">
        <w:rPr>
          <w:rFonts w:eastAsia="Times New Roman" w:cstheme="minorHAnsi"/>
          <w:bCs/>
          <w:iCs/>
          <w:sz w:val="24"/>
          <w:szCs w:val="24"/>
          <w:lang w:val="el-GR"/>
        </w:rPr>
        <w:t xml:space="preserve">. </w:t>
      </w:r>
    </w:p>
    <w:p w14:paraId="24042849" w14:textId="77777777" w:rsidR="00A5147D" w:rsidRPr="001970FB" w:rsidRDefault="00A5147D" w:rsidP="00A5147D">
      <w:pPr>
        <w:tabs>
          <w:tab w:val="left" w:pos="709"/>
        </w:tabs>
        <w:contextualSpacing/>
        <w:rPr>
          <w:rFonts w:eastAsia="Times New Roman" w:cstheme="minorHAnsi"/>
          <w:bCs/>
          <w:iCs/>
          <w:sz w:val="24"/>
          <w:szCs w:val="24"/>
          <w:lang w:val="el-GR"/>
        </w:rPr>
      </w:pPr>
    </w:p>
    <w:p w14:paraId="4E8A3D3A" w14:textId="1B6B9164" w:rsidR="00A5147D" w:rsidRPr="004E251E" w:rsidRDefault="001970FB" w:rsidP="00A5147D">
      <w:pPr>
        <w:keepNext/>
        <w:tabs>
          <w:tab w:val="left" w:pos="709"/>
        </w:tabs>
        <w:contextualSpacing/>
        <w:rPr>
          <w:rFonts w:cstheme="minorHAnsi"/>
          <w:i/>
          <w:iCs/>
          <w:sz w:val="24"/>
          <w:szCs w:val="24"/>
          <w:u w:val="single"/>
        </w:rPr>
      </w:pPr>
      <w:r>
        <w:rPr>
          <w:rFonts w:cstheme="minorHAnsi"/>
          <w:i/>
          <w:iCs/>
          <w:sz w:val="24"/>
          <w:szCs w:val="24"/>
          <w:u w:val="single"/>
          <w:lang w:val="el-GR"/>
        </w:rPr>
        <w:t>Γενικός Λογιστής</w:t>
      </w:r>
      <w:r w:rsidR="00A5147D" w:rsidRPr="004E251E">
        <w:rPr>
          <w:rFonts w:cstheme="minorHAnsi"/>
          <w:i/>
          <w:iCs/>
          <w:sz w:val="24"/>
          <w:szCs w:val="24"/>
          <w:u w:val="single"/>
        </w:rPr>
        <w:t xml:space="preserve"> </w:t>
      </w:r>
    </w:p>
    <w:p w14:paraId="285BC991" w14:textId="77777777" w:rsidR="00A5147D" w:rsidRPr="004E251E" w:rsidRDefault="00A5147D" w:rsidP="00A5147D">
      <w:pPr>
        <w:keepNext/>
        <w:tabs>
          <w:tab w:val="left" w:pos="709"/>
        </w:tabs>
        <w:contextualSpacing/>
        <w:rPr>
          <w:rFonts w:cstheme="minorHAnsi"/>
          <w:sz w:val="24"/>
          <w:szCs w:val="24"/>
        </w:rPr>
      </w:pPr>
    </w:p>
    <w:p w14:paraId="64507DF0" w14:textId="3E00CE35" w:rsidR="00A5147D" w:rsidRPr="00BC189A" w:rsidRDefault="001970FB" w:rsidP="00A5147D">
      <w:pPr>
        <w:keepNext/>
        <w:numPr>
          <w:ilvl w:val="0"/>
          <w:numId w:val="1"/>
        </w:numPr>
        <w:tabs>
          <w:tab w:val="clear" w:pos="6095"/>
          <w:tab w:val="left" w:pos="709"/>
        </w:tabs>
        <w:ind w:left="0" w:firstLine="0"/>
        <w:contextualSpacing/>
        <w:rPr>
          <w:rFonts w:cstheme="minorHAnsi"/>
          <w:sz w:val="24"/>
          <w:szCs w:val="24"/>
          <w:lang w:val="el-GR"/>
        </w:rPr>
      </w:pPr>
      <w:r>
        <w:rPr>
          <w:rFonts w:cstheme="minorHAnsi"/>
          <w:sz w:val="24"/>
          <w:szCs w:val="24"/>
          <w:lang w:val="el-GR"/>
        </w:rPr>
        <w:t>Ο</w:t>
      </w:r>
      <w:r w:rsidRPr="001970FB">
        <w:rPr>
          <w:rFonts w:cstheme="minorHAnsi"/>
          <w:sz w:val="24"/>
          <w:szCs w:val="24"/>
          <w:lang w:val="el-GR"/>
        </w:rPr>
        <w:t xml:space="preserve"> </w:t>
      </w:r>
      <w:r>
        <w:rPr>
          <w:rFonts w:cstheme="minorHAnsi"/>
          <w:sz w:val="24"/>
          <w:szCs w:val="24"/>
          <w:lang w:val="el-GR"/>
        </w:rPr>
        <w:t>Γενικός</w:t>
      </w:r>
      <w:r w:rsidRPr="001970FB">
        <w:rPr>
          <w:rFonts w:cstheme="minorHAnsi"/>
          <w:sz w:val="24"/>
          <w:szCs w:val="24"/>
          <w:lang w:val="el-GR"/>
        </w:rPr>
        <w:t xml:space="preserve"> </w:t>
      </w:r>
      <w:r>
        <w:rPr>
          <w:rFonts w:cstheme="minorHAnsi"/>
          <w:sz w:val="24"/>
          <w:szCs w:val="24"/>
          <w:lang w:val="el-GR"/>
        </w:rPr>
        <w:t>Λογιστής</w:t>
      </w:r>
      <w:r w:rsidRPr="001970FB">
        <w:rPr>
          <w:rFonts w:cstheme="minorHAnsi"/>
          <w:sz w:val="24"/>
          <w:szCs w:val="24"/>
          <w:lang w:val="el-GR"/>
        </w:rPr>
        <w:t xml:space="preserve"> </w:t>
      </w:r>
      <w:r>
        <w:rPr>
          <w:rFonts w:cstheme="minorHAnsi"/>
          <w:sz w:val="24"/>
          <w:szCs w:val="24"/>
          <w:lang w:val="el-GR"/>
        </w:rPr>
        <w:t>διορίζεται</w:t>
      </w:r>
      <w:r w:rsidRPr="001970FB">
        <w:rPr>
          <w:rFonts w:cstheme="minorHAnsi"/>
          <w:sz w:val="24"/>
          <w:szCs w:val="24"/>
          <w:lang w:val="el-GR"/>
        </w:rPr>
        <w:t xml:space="preserve"> </w:t>
      </w:r>
      <w:r>
        <w:rPr>
          <w:rFonts w:cstheme="minorHAnsi"/>
          <w:sz w:val="24"/>
          <w:szCs w:val="24"/>
          <w:lang w:val="el-GR"/>
        </w:rPr>
        <w:t>από</w:t>
      </w:r>
      <w:r w:rsidRPr="001970FB">
        <w:rPr>
          <w:rFonts w:cstheme="minorHAnsi"/>
          <w:sz w:val="24"/>
          <w:szCs w:val="24"/>
          <w:lang w:val="el-GR"/>
        </w:rPr>
        <w:t xml:space="preserve"> </w:t>
      </w:r>
      <w:r>
        <w:rPr>
          <w:rFonts w:cstheme="minorHAnsi"/>
          <w:sz w:val="24"/>
          <w:szCs w:val="24"/>
          <w:lang w:val="el-GR"/>
        </w:rPr>
        <w:t>τον</w:t>
      </w:r>
      <w:r w:rsidRPr="001970FB">
        <w:rPr>
          <w:rFonts w:cstheme="minorHAnsi"/>
          <w:sz w:val="24"/>
          <w:szCs w:val="24"/>
          <w:lang w:val="el-GR"/>
        </w:rPr>
        <w:t xml:space="preserve"> </w:t>
      </w:r>
      <w:r>
        <w:rPr>
          <w:rFonts w:cstheme="minorHAnsi"/>
          <w:sz w:val="24"/>
          <w:szCs w:val="24"/>
          <w:lang w:val="el-GR"/>
        </w:rPr>
        <w:t>Πρόεδρο</w:t>
      </w:r>
      <w:r w:rsidRPr="001970FB">
        <w:rPr>
          <w:rFonts w:cstheme="minorHAnsi"/>
          <w:sz w:val="24"/>
          <w:szCs w:val="24"/>
          <w:lang w:val="el-GR"/>
        </w:rPr>
        <w:t xml:space="preserve"> </w:t>
      </w:r>
      <w:r>
        <w:rPr>
          <w:rFonts w:cstheme="minorHAnsi"/>
          <w:sz w:val="24"/>
          <w:szCs w:val="24"/>
          <w:lang w:val="el-GR"/>
        </w:rPr>
        <w:t>της</w:t>
      </w:r>
      <w:r w:rsidRPr="001970FB">
        <w:rPr>
          <w:rFonts w:cstheme="minorHAnsi"/>
          <w:sz w:val="24"/>
          <w:szCs w:val="24"/>
          <w:lang w:val="el-GR"/>
        </w:rPr>
        <w:t xml:space="preserve"> </w:t>
      </w:r>
      <w:r>
        <w:rPr>
          <w:rFonts w:cstheme="minorHAnsi"/>
          <w:sz w:val="24"/>
          <w:szCs w:val="24"/>
          <w:lang w:val="el-GR"/>
        </w:rPr>
        <w:t xml:space="preserve">Δημοκρατίας και </w:t>
      </w:r>
      <w:r w:rsidR="003C5493">
        <w:rPr>
          <w:rFonts w:cstheme="minorHAnsi"/>
          <w:sz w:val="24"/>
          <w:szCs w:val="24"/>
          <w:lang w:val="el-GR"/>
        </w:rPr>
        <w:t xml:space="preserve">προΐσταται </w:t>
      </w:r>
      <w:r>
        <w:rPr>
          <w:rFonts w:cstheme="minorHAnsi"/>
          <w:sz w:val="24"/>
          <w:szCs w:val="24"/>
          <w:lang w:val="el-GR"/>
        </w:rPr>
        <w:t>το</w:t>
      </w:r>
      <w:r w:rsidR="003C5493">
        <w:rPr>
          <w:rFonts w:cstheme="minorHAnsi"/>
          <w:sz w:val="24"/>
          <w:szCs w:val="24"/>
          <w:lang w:val="el-GR"/>
        </w:rPr>
        <w:t>υ</w:t>
      </w:r>
      <w:r>
        <w:rPr>
          <w:rFonts w:cstheme="minorHAnsi"/>
          <w:sz w:val="24"/>
          <w:szCs w:val="24"/>
          <w:lang w:val="el-GR"/>
        </w:rPr>
        <w:t xml:space="preserve"> Γενικ</w:t>
      </w:r>
      <w:r w:rsidR="003C5493">
        <w:rPr>
          <w:rFonts w:cstheme="minorHAnsi"/>
          <w:sz w:val="24"/>
          <w:szCs w:val="24"/>
          <w:lang w:val="el-GR"/>
        </w:rPr>
        <w:t>ού</w:t>
      </w:r>
      <w:r>
        <w:rPr>
          <w:rFonts w:cstheme="minorHAnsi"/>
          <w:sz w:val="24"/>
          <w:szCs w:val="24"/>
          <w:lang w:val="el-GR"/>
        </w:rPr>
        <w:t xml:space="preserve"> </w:t>
      </w:r>
      <w:r w:rsidR="003C5493">
        <w:rPr>
          <w:rFonts w:cstheme="minorHAnsi"/>
          <w:sz w:val="24"/>
          <w:szCs w:val="24"/>
          <w:lang w:val="el-GR"/>
        </w:rPr>
        <w:t>Λογιστηρίου</w:t>
      </w:r>
      <w:r w:rsidR="00A5147D" w:rsidRPr="001970FB">
        <w:rPr>
          <w:rFonts w:cstheme="minorHAnsi"/>
          <w:sz w:val="24"/>
          <w:szCs w:val="24"/>
          <w:lang w:val="el-GR"/>
        </w:rPr>
        <w:t xml:space="preserve">. </w:t>
      </w:r>
      <w:r w:rsidR="003C5493">
        <w:rPr>
          <w:rFonts w:cstheme="minorHAnsi"/>
          <w:sz w:val="24"/>
          <w:szCs w:val="24"/>
          <w:lang w:val="el-GR"/>
        </w:rPr>
        <w:t xml:space="preserve">Ο </w:t>
      </w:r>
      <w:r>
        <w:rPr>
          <w:rFonts w:cstheme="minorHAnsi"/>
          <w:sz w:val="24"/>
          <w:szCs w:val="24"/>
          <w:lang w:val="el-GR"/>
        </w:rPr>
        <w:t>Βοηθός</w:t>
      </w:r>
      <w:r w:rsidRPr="001970FB">
        <w:rPr>
          <w:rFonts w:cstheme="minorHAnsi"/>
          <w:sz w:val="24"/>
          <w:szCs w:val="24"/>
          <w:lang w:val="el-GR"/>
        </w:rPr>
        <w:t xml:space="preserve"> </w:t>
      </w:r>
      <w:r>
        <w:rPr>
          <w:rFonts w:cstheme="minorHAnsi"/>
          <w:sz w:val="24"/>
          <w:szCs w:val="24"/>
          <w:lang w:val="el-GR"/>
        </w:rPr>
        <w:t>Γενικός</w:t>
      </w:r>
      <w:r w:rsidRPr="001970FB">
        <w:rPr>
          <w:rFonts w:cstheme="minorHAnsi"/>
          <w:sz w:val="24"/>
          <w:szCs w:val="24"/>
          <w:lang w:val="el-GR"/>
        </w:rPr>
        <w:t xml:space="preserve"> </w:t>
      </w:r>
      <w:r>
        <w:rPr>
          <w:rFonts w:cstheme="minorHAnsi"/>
          <w:sz w:val="24"/>
          <w:szCs w:val="24"/>
          <w:lang w:val="el-GR"/>
        </w:rPr>
        <w:t>Λογιστής</w:t>
      </w:r>
      <w:r w:rsidRPr="001970FB">
        <w:rPr>
          <w:rFonts w:cstheme="minorHAnsi"/>
          <w:sz w:val="24"/>
          <w:szCs w:val="24"/>
          <w:lang w:val="el-GR"/>
        </w:rPr>
        <w:t xml:space="preserve"> </w:t>
      </w:r>
      <w:r>
        <w:rPr>
          <w:rFonts w:cstheme="minorHAnsi"/>
          <w:sz w:val="24"/>
          <w:szCs w:val="24"/>
          <w:lang w:val="el-GR"/>
        </w:rPr>
        <w:t>διορίζεται</w:t>
      </w:r>
      <w:r w:rsidRPr="001970FB">
        <w:rPr>
          <w:rFonts w:cstheme="minorHAnsi"/>
          <w:sz w:val="24"/>
          <w:szCs w:val="24"/>
          <w:lang w:val="el-GR"/>
        </w:rPr>
        <w:t xml:space="preserve"> </w:t>
      </w:r>
      <w:r>
        <w:rPr>
          <w:rFonts w:cstheme="minorHAnsi"/>
          <w:sz w:val="24"/>
          <w:szCs w:val="24"/>
          <w:lang w:val="el-GR"/>
        </w:rPr>
        <w:t>με</w:t>
      </w:r>
      <w:r w:rsidRPr="001970FB">
        <w:rPr>
          <w:rFonts w:cstheme="minorHAnsi"/>
          <w:sz w:val="24"/>
          <w:szCs w:val="24"/>
          <w:lang w:val="el-GR"/>
        </w:rPr>
        <w:t xml:space="preserve"> </w:t>
      </w:r>
      <w:r>
        <w:rPr>
          <w:rFonts w:cstheme="minorHAnsi"/>
          <w:sz w:val="24"/>
          <w:szCs w:val="24"/>
          <w:lang w:val="el-GR"/>
        </w:rPr>
        <w:t>τον</w:t>
      </w:r>
      <w:r w:rsidRPr="001970FB">
        <w:rPr>
          <w:rFonts w:cstheme="minorHAnsi"/>
          <w:sz w:val="24"/>
          <w:szCs w:val="24"/>
          <w:lang w:val="el-GR"/>
        </w:rPr>
        <w:t xml:space="preserve"> </w:t>
      </w:r>
      <w:r>
        <w:rPr>
          <w:rFonts w:cstheme="minorHAnsi"/>
          <w:sz w:val="24"/>
          <w:szCs w:val="24"/>
          <w:lang w:val="el-GR"/>
        </w:rPr>
        <w:t>ίδιο</w:t>
      </w:r>
      <w:r w:rsidRPr="001970FB">
        <w:rPr>
          <w:rFonts w:cstheme="minorHAnsi"/>
          <w:sz w:val="24"/>
          <w:szCs w:val="24"/>
          <w:lang w:val="el-GR"/>
        </w:rPr>
        <w:t xml:space="preserve"> </w:t>
      </w:r>
      <w:r>
        <w:rPr>
          <w:rFonts w:cstheme="minorHAnsi"/>
          <w:sz w:val="24"/>
          <w:szCs w:val="24"/>
          <w:lang w:val="el-GR"/>
        </w:rPr>
        <w:t>τρόπο</w:t>
      </w:r>
      <w:r w:rsidRPr="001970FB">
        <w:rPr>
          <w:rFonts w:cstheme="minorHAnsi"/>
          <w:sz w:val="24"/>
          <w:szCs w:val="24"/>
          <w:lang w:val="el-GR"/>
        </w:rPr>
        <w:t xml:space="preserve"> </w:t>
      </w:r>
      <w:r>
        <w:rPr>
          <w:rFonts w:cstheme="minorHAnsi"/>
          <w:sz w:val="24"/>
          <w:szCs w:val="24"/>
          <w:lang w:val="el-GR"/>
        </w:rPr>
        <w:t>και</w:t>
      </w:r>
      <w:r w:rsidRPr="001970FB">
        <w:rPr>
          <w:rFonts w:cstheme="minorHAnsi"/>
          <w:sz w:val="24"/>
          <w:szCs w:val="24"/>
          <w:lang w:val="el-GR"/>
        </w:rPr>
        <w:t xml:space="preserve"> </w:t>
      </w:r>
      <w:r>
        <w:rPr>
          <w:rFonts w:cstheme="minorHAnsi"/>
          <w:sz w:val="24"/>
          <w:szCs w:val="24"/>
          <w:lang w:val="el-GR"/>
        </w:rPr>
        <w:t>αντικα</w:t>
      </w:r>
      <w:r w:rsidR="0008125F">
        <w:rPr>
          <w:rFonts w:cstheme="minorHAnsi"/>
          <w:sz w:val="24"/>
          <w:szCs w:val="24"/>
          <w:lang w:val="el-GR"/>
        </w:rPr>
        <w:t>θιστά</w:t>
      </w:r>
      <w:r w:rsidRPr="001970FB">
        <w:rPr>
          <w:rFonts w:cstheme="minorHAnsi"/>
          <w:sz w:val="24"/>
          <w:szCs w:val="24"/>
          <w:lang w:val="el-GR"/>
        </w:rPr>
        <w:t xml:space="preserve"> </w:t>
      </w:r>
      <w:r>
        <w:rPr>
          <w:rFonts w:cstheme="minorHAnsi"/>
          <w:sz w:val="24"/>
          <w:szCs w:val="24"/>
          <w:lang w:val="el-GR"/>
        </w:rPr>
        <w:t>τον</w:t>
      </w:r>
      <w:r w:rsidRPr="001970FB">
        <w:rPr>
          <w:rFonts w:cstheme="minorHAnsi"/>
          <w:sz w:val="24"/>
          <w:szCs w:val="24"/>
          <w:lang w:val="el-GR"/>
        </w:rPr>
        <w:t xml:space="preserve"> </w:t>
      </w:r>
      <w:r>
        <w:rPr>
          <w:rFonts w:cstheme="minorHAnsi"/>
          <w:sz w:val="24"/>
          <w:szCs w:val="24"/>
          <w:lang w:val="el-GR"/>
        </w:rPr>
        <w:t>Γενικό</w:t>
      </w:r>
      <w:r w:rsidRPr="001970FB">
        <w:rPr>
          <w:rFonts w:cstheme="minorHAnsi"/>
          <w:sz w:val="24"/>
          <w:szCs w:val="24"/>
          <w:lang w:val="el-GR"/>
        </w:rPr>
        <w:t xml:space="preserve"> </w:t>
      </w:r>
      <w:r>
        <w:rPr>
          <w:rFonts w:cstheme="minorHAnsi"/>
          <w:sz w:val="24"/>
          <w:szCs w:val="24"/>
          <w:lang w:val="el-GR"/>
        </w:rPr>
        <w:t>Λογιστή</w:t>
      </w:r>
      <w:r w:rsidR="00A5147D" w:rsidRPr="001970FB">
        <w:rPr>
          <w:rFonts w:cstheme="minorHAnsi"/>
          <w:sz w:val="24"/>
          <w:szCs w:val="24"/>
          <w:lang w:val="el-GR"/>
        </w:rPr>
        <w:t xml:space="preserve"> </w:t>
      </w:r>
      <w:r>
        <w:rPr>
          <w:rFonts w:cstheme="minorHAnsi"/>
          <w:sz w:val="24"/>
          <w:szCs w:val="24"/>
          <w:lang w:val="el-GR"/>
        </w:rPr>
        <w:t>σε περίπτωση απουσίας/προσωρινής ανικανότητας</w:t>
      </w:r>
      <w:r w:rsidR="00A5147D" w:rsidRPr="001970FB">
        <w:rPr>
          <w:rFonts w:cstheme="minorHAnsi"/>
          <w:sz w:val="24"/>
          <w:szCs w:val="24"/>
          <w:lang w:val="el-GR"/>
        </w:rPr>
        <w:t xml:space="preserve">. </w:t>
      </w:r>
      <w:r>
        <w:rPr>
          <w:rFonts w:cstheme="minorHAnsi"/>
          <w:sz w:val="24"/>
          <w:szCs w:val="24"/>
          <w:lang w:val="el-GR"/>
        </w:rPr>
        <w:t>Ο</w:t>
      </w:r>
      <w:r w:rsidRPr="001970FB">
        <w:rPr>
          <w:rFonts w:cstheme="minorHAnsi"/>
          <w:sz w:val="24"/>
          <w:szCs w:val="24"/>
          <w:lang w:val="el-GR"/>
        </w:rPr>
        <w:t xml:space="preserve"> </w:t>
      </w:r>
      <w:r>
        <w:rPr>
          <w:rFonts w:cstheme="minorHAnsi"/>
          <w:sz w:val="24"/>
          <w:szCs w:val="24"/>
          <w:lang w:val="el-GR"/>
        </w:rPr>
        <w:t>Γενικός</w:t>
      </w:r>
      <w:r w:rsidRPr="001970FB">
        <w:rPr>
          <w:rFonts w:cstheme="minorHAnsi"/>
          <w:sz w:val="24"/>
          <w:szCs w:val="24"/>
          <w:lang w:val="el-GR"/>
        </w:rPr>
        <w:t xml:space="preserve"> </w:t>
      </w:r>
      <w:r>
        <w:rPr>
          <w:rFonts w:cstheme="minorHAnsi"/>
          <w:sz w:val="24"/>
          <w:szCs w:val="24"/>
          <w:lang w:val="el-GR"/>
        </w:rPr>
        <w:t>Λογιστής</w:t>
      </w:r>
      <w:r w:rsidRPr="001970FB">
        <w:rPr>
          <w:rFonts w:cstheme="minorHAnsi"/>
          <w:sz w:val="24"/>
          <w:szCs w:val="24"/>
          <w:lang w:val="el-GR"/>
        </w:rPr>
        <w:t xml:space="preserve"> </w:t>
      </w:r>
      <w:r>
        <w:rPr>
          <w:rFonts w:cstheme="minorHAnsi"/>
          <w:sz w:val="24"/>
          <w:szCs w:val="24"/>
          <w:lang w:val="el-GR"/>
        </w:rPr>
        <w:t>διορίζεται</w:t>
      </w:r>
      <w:r w:rsidRPr="001970FB">
        <w:rPr>
          <w:rFonts w:cstheme="minorHAnsi"/>
          <w:sz w:val="24"/>
          <w:szCs w:val="24"/>
          <w:lang w:val="el-GR"/>
        </w:rPr>
        <w:t xml:space="preserve"> </w:t>
      </w:r>
      <w:r>
        <w:rPr>
          <w:rFonts w:cstheme="minorHAnsi"/>
          <w:sz w:val="24"/>
          <w:szCs w:val="24"/>
          <w:lang w:val="el-GR"/>
        </w:rPr>
        <w:t>βάσει</w:t>
      </w:r>
      <w:r w:rsidRPr="001970FB">
        <w:rPr>
          <w:rFonts w:cstheme="minorHAnsi"/>
          <w:sz w:val="24"/>
          <w:szCs w:val="24"/>
          <w:lang w:val="el-GR"/>
        </w:rPr>
        <w:t xml:space="preserve"> </w:t>
      </w:r>
      <w:r>
        <w:rPr>
          <w:rFonts w:cstheme="minorHAnsi"/>
          <w:sz w:val="24"/>
          <w:szCs w:val="24"/>
          <w:lang w:val="el-GR"/>
        </w:rPr>
        <w:t>κριτηρίων</w:t>
      </w:r>
      <w:r w:rsidRPr="001970FB">
        <w:rPr>
          <w:rFonts w:cstheme="minorHAnsi"/>
          <w:sz w:val="24"/>
          <w:szCs w:val="24"/>
          <w:lang w:val="el-GR"/>
        </w:rPr>
        <w:t xml:space="preserve"> </w:t>
      </w:r>
      <w:r>
        <w:rPr>
          <w:rFonts w:cstheme="minorHAnsi"/>
          <w:sz w:val="24"/>
          <w:szCs w:val="24"/>
          <w:lang w:val="el-GR"/>
        </w:rPr>
        <w:t>ότι</w:t>
      </w:r>
      <w:r w:rsidRPr="001970FB">
        <w:rPr>
          <w:rFonts w:cstheme="minorHAnsi"/>
          <w:sz w:val="24"/>
          <w:szCs w:val="24"/>
          <w:lang w:val="el-GR"/>
        </w:rPr>
        <w:t xml:space="preserve"> </w:t>
      </w:r>
      <w:r>
        <w:rPr>
          <w:rFonts w:cstheme="minorHAnsi"/>
          <w:sz w:val="24"/>
          <w:szCs w:val="24"/>
          <w:lang w:val="el-GR"/>
        </w:rPr>
        <w:t>είναι</w:t>
      </w:r>
      <w:r w:rsidR="00A5147D" w:rsidRPr="001970FB">
        <w:rPr>
          <w:rFonts w:cstheme="minorHAnsi"/>
          <w:sz w:val="24"/>
          <w:szCs w:val="24"/>
          <w:lang w:val="el-GR"/>
        </w:rPr>
        <w:t xml:space="preserve"> “</w:t>
      </w:r>
      <w:r>
        <w:rPr>
          <w:rFonts w:cstheme="minorHAnsi"/>
          <w:sz w:val="24"/>
          <w:szCs w:val="24"/>
          <w:lang w:val="el-GR"/>
        </w:rPr>
        <w:t>κατάλληλος</w:t>
      </w:r>
      <w:r w:rsidRPr="001970FB">
        <w:rPr>
          <w:rFonts w:cstheme="minorHAnsi"/>
          <w:sz w:val="24"/>
          <w:szCs w:val="24"/>
          <w:lang w:val="el-GR"/>
        </w:rPr>
        <w:t xml:space="preserve"> </w:t>
      </w:r>
      <w:r>
        <w:rPr>
          <w:rFonts w:cstheme="minorHAnsi"/>
          <w:sz w:val="24"/>
          <w:szCs w:val="24"/>
          <w:lang w:val="el-GR"/>
        </w:rPr>
        <w:t>και</w:t>
      </w:r>
      <w:r w:rsidRPr="001970FB">
        <w:rPr>
          <w:rFonts w:cstheme="minorHAnsi"/>
          <w:sz w:val="24"/>
          <w:szCs w:val="24"/>
          <w:lang w:val="el-GR"/>
        </w:rPr>
        <w:t xml:space="preserve"> </w:t>
      </w:r>
      <w:r>
        <w:rPr>
          <w:rFonts w:cstheme="minorHAnsi"/>
          <w:sz w:val="24"/>
          <w:szCs w:val="24"/>
          <w:lang w:val="el-GR"/>
        </w:rPr>
        <w:t>σωστός</w:t>
      </w:r>
      <w:r w:rsidR="00A5147D" w:rsidRPr="001970FB">
        <w:rPr>
          <w:rFonts w:cstheme="minorHAnsi"/>
          <w:sz w:val="24"/>
          <w:szCs w:val="24"/>
          <w:lang w:val="el-GR"/>
        </w:rPr>
        <w:t xml:space="preserve">” </w:t>
      </w:r>
      <w:r>
        <w:rPr>
          <w:rFonts w:cstheme="minorHAnsi"/>
          <w:sz w:val="24"/>
          <w:szCs w:val="24"/>
          <w:lang w:val="el-GR"/>
        </w:rPr>
        <w:t>για τον ρόλο του/ης</w:t>
      </w:r>
      <w:r w:rsidR="00A5147D" w:rsidRPr="001970FB">
        <w:rPr>
          <w:rFonts w:cstheme="minorHAnsi"/>
          <w:sz w:val="24"/>
          <w:szCs w:val="24"/>
          <w:lang w:val="el-GR"/>
        </w:rPr>
        <w:t xml:space="preserve"> </w:t>
      </w:r>
      <w:r>
        <w:rPr>
          <w:rFonts w:cstheme="minorHAnsi"/>
          <w:sz w:val="24"/>
          <w:szCs w:val="24"/>
          <w:lang w:val="el-GR"/>
        </w:rPr>
        <w:t>και είναι μέλος της μόνιμης δημόσιας υπηρεσίας</w:t>
      </w:r>
      <w:r w:rsidR="00A5147D" w:rsidRPr="001970FB">
        <w:rPr>
          <w:rFonts w:cstheme="minorHAnsi"/>
          <w:sz w:val="24"/>
          <w:szCs w:val="24"/>
          <w:lang w:val="el-GR"/>
        </w:rPr>
        <w:t xml:space="preserve">. </w:t>
      </w:r>
      <w:r>
        <w:rPr>
          <w:rFonts w:cstheme="minorHAnsi"/>
          <w:sz w:val="24"/>
          <w:szCs w:val="24"/>
          <w:lang w:val="el-GR"/>
        </w:rPr>
        <w:t>Η</w:t>
      </w:r>
      <w:r w:rsidRPr="00BC189A">
        <w:rPr>
          <w:rFonts w:cstheme="minorHAnsi"/>
          <w:sz w:val="24"/>
          <w:szCs w:val="24"/>
          <w:lang w:val="el-GR"/>
        </w:rPr>
        <w:t xml:space="preserve"> </w:t>
      </w:r>
      <w:r w:rsidR="00BC189A">
        <w:rPr>
          <w:rFonts w:cstheme="minorHAnsi"/>
          <w:sz w:val="24"/>
          <w:szCs w:val="24"/>
          <w:lang w:val="el-GR"/>
        </w:rPr>
        <w:t>α</w:t>
      </w:r>
      <w:r>
        <w:rPr>
          <w:rFonts w:cstheme="minorHAnsi"/>
          <w:sz w:val="24"/>
          <w:szCs w:val="24"/>
          <w:lang w:val="el-GR"/>
        </w:rPr>
        <w:t>φυπηρέτηση</w:t>
      </w:r>
      <w:r w:rsidR="00A5147D" w:rsidRPr="00BC189A">
        <w:rPr>
          <w:rFonts w:cstheme="minorHAnsi"/>
          <w:sz w:val="24"/>
          <w:szCs w:val="24"/>
          <w:lang w:val="el-GR"/>
        </w:rPr>
        <w:t xml:space="preserve">, </w:t>
      </w:r>
      <w:r>
        <w:rPr>
          <w:rFonts w:cstheme="minorHAnsi"/>
          <w:sz w:val="24"/>
          <w:szCs w:val="24"/>
          <w:lang w:val="el-GR"/>
        </w:rPr>
        <w:t>ο</w:t>
      </w:r>
      <w:r w:rsidRPr="00BC189A">
        <w:rPr>
          <w:rFonts w:cstheme="minorHAnsi"/>
          <w:sz w:val="24"/>
          <w:szCs w:val="24"/>
          <w:lang w:val="el-GR"/>
        </w:rPr>
        <w:t xml:space="preserve"> </w:t>
      </w:r>
      <w:r w:rsidR="003C5493">
        <w:rPr>
          <w:rFonts w:cstheme="minorHAnsi"/>
          <w:sz w:val="24"/>
          <w:szCs w:val="24"/>
          <w:lang w:val="el-GR"/>
        </w:rPr>
        <w:t xml:space="preserve">πειθαρχικός </w:t>
      </w:r>
      <w:r>
        <w:rPr>
          <w:rFonts w:cstheme="minorHAnsi"/>
          <w:sz w:val="24"/>
          <w:szCs w:val="24"/>
          <w:lang w:val="el-GR"/>
        </w:rPr>
        <w:t>έλεγχος</w:t>
      </w:r>
      <w:r w:rsidR="00A5147D" w:rsidRPr="00BC189A">
        <w:rPr>
          <w:rFonts w:cstheme="minorHAnsi"/>
          <w:sz w:val="24"/>
          <w:szCs w:val="24"/>
          <w:lang w:val="el-GR"/>
        </w:rPr>
        <w:t xml:space="preserve">, </w:t>
      </w:r>
      <w:r>
        <w:rPr>
          <w:rFonts w:cstheme="minorHAnsi"/>
          <w:sz w:val="24"/>
          <w:szCs w:val="24"/>
          <w:lang w:val="el-GR"/>
        </w:rPr>
        <w:t>συμπεριλαμβανομένης</w:t>
      </w:r>
      <w:r w:rsidRPr="00BC189A">
        <w:rPr>
          <w:rFonts w:cstheme="minorHAnsi"/>
          <w:sz w:val="24"/>
          <w:szCs w:val="24"/>
          <w:lang w:val="el-GR"/>
        </w:rPr>
        <w:t xml:space="preserve"> </w:t>
      </w:r>
      <w:r w:rsidR="00BC189A">
        <w:rPr>
          <w:rFonts w:cstheme="minorHAnsi"/>
          <w:sz w:val="24"/>
          <w:szCs w:val="24"/>
          <w:lang w:val="el-GR"/>
        </w:rPr>
        <w:t>της</w:t>
      </w:r>
      <w:r w:rsidR="00BC189A" w:rsidRPr="00BC189A">
        <w:rPr>
          <w:rFonts w:cstheme="minorHAnsi"/>
          <w:sz w:val="24"/>
          <w:szCs w:val="24"/>
          <w:lang w:val="el-GR"/>
        </w:rPr>
        <w:t xml:space="preserve"> </w:t>
      </w:r>
      <w:r w:rsidR="00BC189A">
        <w:rPr>
          <w:rFonts w:cstheme="minorHAnsi"/>
          <w:sz w:val="24"/>
          <w:szCs w:val="24"/>
          <w:lang w:val="el-GR"/>
        </w:rPr>
        <w:t>απόλυσης</w:t>
      </w:r>
      <w:r w:rsidR="00BC189A" w:rsidRPr="00BC189A">
        <w:rPr>
          <w:rFonts w:cstheme="minorHAnsi"/>
          <w:sz w:val="24"/>
          <w:szCs w:val="24"/>
          <w:lang w:val="el-GR"/>
        </w:rPr>
        <w:t xml:space="preserve"> </w:t>
      </w:r>
      <w:r w:rsidR="00BC189A">
        <w:rPr>
          <w:rFonts w:cstheme="minorHAnsi"/>
          <w:sz w:val="24"/>
          <w:szCs w:val="24"/>
          <w:lang w:val="el-GR"/>
        </w:rPr>
        <w:t>και</w:t>
      </w:r>
      <w:r w:rsidR="00BC189A" w:rsidRPr="00BC189A">
        <w:rPr>
          <w:rFonts w:cstheme="minorHAnsi"/>
          <w:sz w:val="24"/>
          <w:szCs w:val="24"/>
          <w:lang w:val="el-GR"/>
        </w:rPr>
        <w:t xml:space="preserve"> </w:t>
      </w:r>
      <w:r w:rsidR="00BC189A">
        <w:rPr>
          <w:rFonts w:cstheme="minorHAnsi"/>
          <w:sz w:val="24"/>
          <w:szCs w:val="24"/>
          <w:lang w:val="el-GR"/>
        </w:rPr>
        <w:t>απομάκρυνσης</w:t>
      </w:r>
      <w:r w:rsidR="00BC189A" w:rsidRPr="00BC189A">
        <w:rPr>
          <w:rFonts w:cstheme="minorHAnsi"/>
          <w:sz w:val="24"/>
          <w:szCs w:val="24"/>
          <w:lang w:val="el-GR"/>
        </w:rPr>
        <w:t xml:space="preserve"> </w:t>
      </w:r>
      <w:r w:rsidR="00BC189A">
        <w:rPr>
          <w:rFonts w:cstheme="minorHAnsi"/>
          <w:sz w:val="24"/>
          <w:szCs w:val="24"/>
          <w:lang w:val="el-GR"/>
        </w:rPr>
        <w:t>από το αξίωμα</w:t>
      </w:r>
      <w:r w:rsidR="00A5147D" w:rsidRPr="00BC189A">
        <w:rPr>
          <w:rFonts w:cstheme="minorHAnsi"/>
          <w:sz w:val="24"/>
          <w:szCs w:val="24"/>
          <w:lang w:val="el-GR"/>
        </w:rPr>
        <w:t xml:space="preserve">, </w:t>
      </w:r>
      <w:r w:rsidR="007C7A9A">
        <w:rPr>
          <w:rFonts w:cstheme="minorHAnsi"/>
          <w:sz w:val="24"/>
          <w:szCs w:val="24"/>
          <w:lang w:val="el-GR"/>
        </w:rPr>
        <w:t xml:space="preserve">τυγχάνει χειρισμού </w:t>
      </w:r>
      <w:r w:rsidR="00BC189A">
        <w:rPr>
          <w:rFonts w:cstheme="minorHAnsi"/>
          <w:sz w:val="24"/>
          <w:szCs w:val="24"/>
          <w:lang w:val="el-GR"/>
        </w:rPr>
        <w:t>από την Επιτροπή Δημόσιας Υπηρεσίας</w:t>
      </w:r>
      <w:r w:rsidR="00A5147D" w:rsidRPr="00BC189A">
        <w:rPr>
          <w:rFonts w:cstheme="minorHAnsi"/>
          <w:sz w:val="24"/>
          <w:szCs w:val="24"/>
          <w:lang w:val="el-GR"/>
        </w:rPr>
        <w:t>.</w:t>
      </w:r>
      <w:r w:rsidR="00A5147D" w:rsidRPr="004E251E">
        <w:rPr>
          <w:rStyle w:val="FootnoteReference"/>
          <w:rFonts w:cstheme="minorHAnsi"/>
          <w:sz w:val="24"/>
          <w:szCs w:val="24"/>
        </w:rPr>
        <w:footnoteReference w:id="44"/>
      </w:r>
      <w:r w:rsidR="00A5147D" w:rsidRPr="00BC189A">
        <w:rPr>
          <w:rFonts w:cstheme="minorHAnsi"/>
          <w:sz w:val="24"/>
          <w:szCs w:val="24"/>
          <w:lang w:val="el-GR"/>
        </w:rPr>
        <w:t xml:space="preserve"> </w:t>
      </w:r>
    </w:p>
    <w:p w14:paraId="7EFC5E37" w14:textId="77777777" w:rsidR="00A5147D" w:rsidRPr="00BC189A" w:rsidRDefault="00A5147D" w:rsidP="00A5147D">
      <w:pPr>
        <w:tabs>
          <w:tab w:val="left" w:pos="709"/>
        </w:tabs>
        <w:contextualSpacing/>
        <w:rPr>
          <w:rFonts w:cstheme="minorHAnsi"/>
          <w:sz w:val="24"/>
          <w:szCs w:val="24"/>
          <w:lang w:val="el-GR"/>
        </w:rPr>
      </w:pPr>
    </w:p>
    <w:p w14:paraId="32B751C0" w14:textId="58881BF0" w:rsidR="00A5147D" w:rsidRPr="00B432D6" w:rsidRDefault="00BC189A" w:rsidP="00A5147D">
      <w:pPr>
        <w:numPr>
          <w:ilvl w:val="0"/>
          <w:numId w:val="1"/>
        </w:numPr>
        <w:tabs>
          <w:tab w:val="clear" w:pos="6095"/>
          <w:tab w:val="left" w:pos="709"/>
        </w:tabs>
        <w:ind w:left="0" w:firstLine="0"/>
        <w:contextualSpacing/>
        <w:rPr>
          <w:rFonts w:cstheme="minorHAnsi"/>
          <w:sz w:val="24"/>
          <w:szCs w:val="24"/>
          <w:lang w:val="el-GR"/>
        </w:rPr>
      </w:pPr>
      <w:r>
        <w:rPr>
          <w:rFonts w:cstheme="minorHAnsi"/>
          <w:sz w:val="24"/>
          <w:szCs w:val="24"/>
          <w:lang w:val="el-GR"/>
        </w:rPr>
        <w:t>Αυτός</w:t>
      </w:r>
      <w:r w:rsidR="00A5147D" w:rsidRPr="00BC189A">
        <w:rPr>
          <w:rFonts w:cstheme="minorHAnsi"/>
          <w:sz w:val="24"/>
          <w:szCs w:val="24"/>
          <w:lang w:val="el-GR"/>
        </w:rPr>
        <w:t>/</w:t>
      </w:r>
      <w:r>
        <w:rPr>
          <w:rFonts w:cstheme="minorHAnsi"/>
          <w:sz w:val="24"/>
          <w:szCs w:val="24"/>
          <w:lang w:val="el-GR"/>
        </w:rPr>
        <w:t>ή</w:t>
      </w:r>
      <w:r w:rsidR="00A5147D" w:rsidRPr="00BC189A">
        <w:rPr>
          <w:rFonts w:cstheme="minorHAnsi"/>
          <w:sz w:val="24"/>
          <w:szCs w:val="24"/>
          <w:lang w:val="el-GR"/>
        </w:rPr>
        <w:t xml:space="preserve"> </w:t>
      </w:r>
      <w:r>
        <w:rPr>
          <w:rFonts w:cstheme="minorHAnsi"/>
          <w:sz w:val="24"/>
          <w:szCs w:val="24"/>
          <w:lang w:val="el-GR"/>
        </w:rPr>
        <w:t>διαχειρίζεται</w:t>
      </w:r>
      <w:r w:rsidRPr="00BC189A">
        <w:rPr>
          <w:rFonts w:cstheme="minorHAnsi"/>
          <w:sz w:val="24"/>
          <w:szCs w:val="24"/>
          <w:lang w:val="el-GR"/>
        </w:rPr>
        <w:t xml:space="preserve"> </w:t>
      </w:r>
      <w:r>
        <w:rPr>
          <w:rFonts w:cstheme="minorHAnsi"/>
          <w:sz w:val="24"/>
          <w:szCs w:val="24"/>
          <w:lang w:val="el-GR"/>
        </w:rPr>
        <w:t>και</w:t>
      </w:r>
      <w:r w:rsidRPr="00BC189A">
        <w:rPr>
          <w:rFonts w:cstheme="minorHAnsi"/>
          <w:sz w:val="24"/>
          <w:szCs w:val="24"/>
          <w:lang w:val="el-GR"/>
        </w:rPr>
        <w:t xml:space="preserve"> </w:t>
      </w:r>
      <w:r>
        <w:rPr>
          <w:rFonts w:cstheme="minorHAnsi"/>
          <w:sz w:val="24"/>
          <w:szCs w:val="24"/>
          <w:lang w:val="el-GR"/>
        </w:rPr>
        <w:t>επιβλέπει</w:t>
      </w:r>
      <w:r w:rsidRPr="00BC189A">
        <w:rPr>
          <w:rFonts w:cstheme="minorHAnsi"/>
          <w:sz w:val="24"/>
          <w:szCs w:val="24"/>
          <w:lang w:val="el-GR"/>
        </w:rPr>
        <w:t xml:space="preserve"> </w:t>
      </w:r>
      <w:r>
        <w:rPr>
          <w:rFonts w:cstheme="minorHAnsi"/>
          <w:sz w:val="24"/>
          <w:szCs w:val="24"/>
          <w:lang w:val="el-GR"/>
        </w:rPr>
        <w:t>όλες</w:t>
      </w:r>
      <w:r w:rsidRPr="00BC189A">
        <w:rPr>
          <w:rFonts w:cstheme="minorHAnsi"/>
          <w:sz w:val="24"/>
          <w:szCs w:val="24"/>
          <w:lang w:val="el-GR"/>
        </w:rPr>
        <w:t xml:space="preserve"> </w:t>
      </w:r>
      <w:r>
        <w:rPr>
          <w:rFonts w:cstheme="minorHAnsi"/>
          <w:sz w:val="24"/>
          <w:szCs w:val="24"/>
          <w:lang w:val="el-GR"/>
        </w:rPr>
        <w:t>τις</w:t>
      </w:r>
      <w:r w:rsidRPr="00BC189A">
        <w:rPr>
          <w:rFonts w:cstheme="minorHAnsi"/>
          <w:sz w:val="24"/>
          <w:szCs w:val="24"/>
          <w:lang w:val="el-GR"/>
        </w:rPr>
        <w:t xml:space="preserve"> </w:t>
      </w:r>
      <w:r>
        <w:rPr>
          <w:rFonts w:cstheme="minorHAnsi"/>
          <w:sz w:val="24"/>
          <w:szCs w:val="24"/>
          <w:lang w:val="el-GR"/>
        </w:rPr>
        <w:t>λογιστικές</w:t>
      </w:r>
      <w:r w:rsidRPr="00BC189A">
        <w:rPr>
          <w:rFonts w:cstheme="minorHAnsi"/>
          <w:sz w:val="24"/>
          <w:szCs w:val="24"/>
          <w:lang w:val="el-GR"/>
        </w:rPr>
        <w:t xml:space="preserve"> </w:t>
      </w:r>
      <w:r>
        <w:rPr>
          <w:rFonts w:cstheme="minorHAnsi"/>
          <w:sz w:val="24"/>
          <w:szCs w:val="24"/>
          <w:lang w:val="el-GR"/>
        </w:rPr>
        <w:t>λειτουργίες</w:t>
      </w:r>
      <w:r w:rsidR="00A5147D" w:rsidRPr="00BC189A">
        <w:rPr>
          <w:rFonts w:cstheme="minorHAnsi"/>
          <w:sz w:val="24"/>
          <w:szCs w:val="24"/>
          <w:lang w:val="el-GR"/>
        </w:rPr>
        <w:t xml:space="preserve"> </w:t>
      </w:r>
      <w:r>
        <w:rPr>
          <w:rFonts w:cstheme="minorHAnsi"/>
          <w:sz w:val="24"/>
          <w:szCs w:val="24"/>
          <w:lang w:val="el-GR"/>
        </w:rPr>
        <w:t>που</w:t>
      </w:r>
      <w:r w:rsidRPr="00BC189A">
        <w:rPr>
          <w:rFonts w:cstheme="minorHAnsi"/>
          <w:sz w:val="24"/>
          <w:szCs w:val="24"/>
          <w:lang w:val="el-GR"/>
        </w:rPr>
        <w:t xml:space="preserve"> </w:t>
      </w:r>
      <w:r>
        <w:rPr>
          <w:rFonts w:cstheme="minorHAnsi"/>
          <w:sz w:val="24"/>
          <w:szCs w:val="24"/>
          <w:lang w:val="el-GR"/>
        </w:rPr>
        <w:t>αφορούν</w:t>
      </w:r>
      <w:r w:rsidRPr="00BC189A">
        <w:rPr>
          <w:rFonts w:cstheme="minorHAnsi"/>
          <w:sz w:val="24"/>
          <w:szCs w:val="24"/>
          <w:lang w:val="el-GR"/>
        </w:rPr>
        <w:t xml:space="preserve"> </w:t>
      </w:r>
      <w:r>
        <w:rPr>
          <w:rFonts w:cstheme="minorHAnsi"/>
          <w:sz w:val="24"/>
          <w:szCs w:val="24"/>
          <w:lang w:val="el-GR"/>
        </w:rPr>
        <w:t>όλα</w:t>
      </w:r>
      <w:r w:rsidRPr="00BC189A">
        <w:rPr>
          <w:rFonts w:cstheme="minorHAnsi"/>
          <w:sz w:val="24"/>
          <w:szCs w:val="24"/>
          <w:lang w:val="el-GR"/>
        </w:rPr>
        <w:t xml:space="preserve"> </w:t>
      </w:r>
      <w:r>
        <w:rPr>
          <w:rFonts w:cstheme="minorHAnsi"/>
          <w:sz w:val="24"/>
          <w:szCs w:val="24"/>
          <w:lang w:val="el-GR"/>
        </w:rPr>
        <w:t>τα</w:t>
      </w:r>
      <w:r w:rsidRPr="00BC189A">
        <w:rPr>
          <w:rFonts w:cstheme="minorHAnsi"/>
          <w:sz w:val="24"/>
          <w:szCs w:val="24"/>
          <w:lang w:val="el-GR"/>
        </w:rPr>
        <w:t xml:space="preserve"> </w:t>
      </w:r>
      <w:r>
        <w:rPr>
          <w:rFonts w:cstheme="minorHAnsi"/>
          <w:sz w:val="24"/>
          <w:szCs w:val="24"/>
          <w:lang w:val="el-GR"/>
        </w:rPr>
        <w:t>χρήματα και τα περιουσιακά στοιχεία</w:t>
      </w:r>
      <w:r w:rsidR="00A5147D" w:rsidRPr="00BC189A">
        <w:rPr>
          <w:rFonts w:cstheme="minorHAnsi"/>
          <w:sz w:val="24"/>
          <w:szCs w:val="24"/>
          <w:lang w:val="el-GR"/>
        </w:rPr>
        <w:t xml:space="preserve"> </w:t>
      </w:r>
      <w:r>
        <w:rPr>
          <w:rFonts w:cstheme="minorHAnsi"/>
          <w:sz w:val="24"/>
          <w:szCs w:val="24"/>
          <w:lang w:val="el-GR"/>
        </w:rPr>
        <w:t>που</w:t>
      </w:r>
      <w:r w:rsidR="00981082">
        <w:rPr>
          <w:rFonts w:cstheme="minorHAnsi"/>
          <w:sz w:val="24"/>
          <w:szCs w:val="24"/>
          <w:lang w:val="el-GR"/>
        </w:rPr>
        <w:t xml:space="preserve"> τυγχάνουν διαχείρισης</w:t>
      </w:r>
      <w:r w:rsidR="00A5147D" w:rsidRPr="00BC189A">
        <w:rPr>
          <w:rFonts w:cstheme="minorHAnsi"/>
          <w:sz w:val="24"/>
          <w:szCs w:val="24"/>
          <w:lang w:val="el-GR"/>
        </w:rPr>
        <w:t xml:space="preserve">, </w:t>
      </w:r>
      <w:r>
        <w:rPr>
          <w:rFonts w:cstheme="minorHAnsi"/>
          <w:sz w:val="24"/>
          <w:szCs w:val="24"/>
          <w:lang w:val="el-GR"/>
        </w:rPr>
        <w:t xml:space="preserve">και </w:t>
      </w:r>
      <w:r w:rsidR="00981082">
        <w:rPr>
          <w:rFonts w:cstheme="minorHAnsi"/>
          <w:sz w:val="24"/>
          <w:szCs w:val="24"/>
          <w:lang w:val="el-GR"/>
        </w:rPr>
        <w:t xml:space="preserve">τις </w:t>
      </w:r>
      <w:proofErr w:type="spellStart"/>
      <w:r>
        <w:rPr>
          <w:rFonts w:cstheme="minorHAnsi"/>
          <w:sz w:val="24"/>
          <w:szCs w:val="24"/>
          <w:lang w:val="el-GR"/>
        </w:rPr>
        <w:t>αναληφθείσες</w:t>
      </w:r>
      <w:proofErr w:type="spellEnd"/>
      <w:r>
        <w:rPr>
          <w:rFonts w:cstheme="minorHAnsi"/>
          <w:sz w:val="24"/>
          <w:szCs w:val="24"/>
          <w:lang w:val="el-GR"/>
        </w:rPr>
        <w:t xml:space="preserve"> υποχρεώσεις</w:t>
      </w:r>
      <w:r w:rsidR="00A5147D" w:rsidRPr="00BC189A">
        <w:rPr>
          <w:rFonts w:cstheme="minorHAnsi"/>
          <w:sz w:val="24"/>
          <w:szCs w:val="24"/>
          <w:lang w:val="el-GR"/>
        </w:rPr>
        <w:t xml:space="preserve">, </w:t>
      </w:r>
      <w:r>
        <w:rPr>
          <w:rFonts w:cstheme="minorHAnsi"/>
          <w:sz w:val="24"/>
          <w:szCs w:val="24"/>
          <w:lang w:val="el-GR"/>
        </w:rPr>
        <w:t>από ή υπό την εξουσία της Κυπριακής Δημοκρατίας</w:t>
      </w:r>
      <w:r w:rsidR="00A5147D" w:rsidRPr="00BC189A">
        <w:rPr>
          <w:rFonts w:cstheme="minorHAnsi"/>
          <w:sz w:val="24"/>
          <w:szCs w:val="24"/>
          <w:lang w:val="el-GR"/>
        </w:rPr>
        <w:t xml:space="preserve">. </w:t>
      </w:r>
      <w:r>
        <w:rPr>
          <w:rFonts w:cstheme="minorHAnsi"/>
          <w:sz w:val="24"/>
          <w:szCs w:val="24"/>
          <w:lang w:val="el-GR"/>
        </w:rPr>
        <w:t>Ο</w:t>
      </w:r>
      <w:r w:rsidRPr="00B432D6">
        <w:rPr>
          <w:rFonts w:cstheme="minorHAnsi"/>
          <w:sz w:val="24"/>
          <w:szCs w:val="24"/>
          <w:lang w:val="el-GR"/>
        </w:rPr>
        <w:t xml:space="preserve"> </w:t>
      </w:r>
      <w:r>
        <w:rPr>
          <w:rFonts w:cstheme="minorHAnsi"/>
          <w:sz w:val="24"/>
          <w:szCs w:val="24"/>
          <w:lang w:val="el-GR"/>
        </w:rPr>
        <w:t>Γενικός</w:t>
      </w:r>
      <w:r w:rsidRPr="00B432D6">
        <w:rPr>
          <w:rFonts w:cstheme="minorHAnsi"/>
          <w:sz w:val="24"/>
          <w:szCs w:val="24"/>
          <w:lang w:val="el-GR"/>
        </w:rPr>
        <w:t xml:space="preserve"> </w:t>
      </w:r>
      <w:r>
        <w:rPr>
          <w:rFonts w:cstheme="minorHAnsi"/>
          <w:sz w:val="24"/>
          <w:szCs w:val="24"/>
          <w:lang w:val="el-GR"/>
        </w:rPr>
        <w:t>Λογιστής</w:t>
      </w:r>
      <w:r w:rsidR="00A5147D" w:rsidRPr="00B432D6">
        <w:rPr>
          <w:rFonts w:cstheme="minorHAnsi"/>
          <w:sz w:val="24"/>
          <w:szCs w:val="24"/>
          <w:lang w:val="el-GR"/>
        </w:rPr>
        <w:t xml:space="preserve"> </w:t>
      </w:r>
      <w:r>
        <w:rPr>
          <w:rFonts w:cstheme="minorHAnsi"/>
          <w:sz w:val="24"/>
          <w:szCs w:val="24"/>
          <w:lang w:val="el-GR"/>
        </w:rPr>
        <w:t>λαμβάνει</w:t>
      </w:r>
      <w:r w:rsidRPr="00B432D6">
        <w:rPr>
          <w:rFonts w:cstheme="minorHAnsi"/>
          <w:sz w:val="24"/>
          <w:szCs w:val="24"/>
          <w:lang w:val="el-GR"/>
        </w:rPr>
        <w:t xml:space="preserve"> </w:t>
      </w:r>
      <w:r>
        <w:rPr>
          <w:rFonts w:cstheme="minorHAnsi"/>
          <w:sz w:val="24"/>
          <w:szCs w:val="24"/>
          <w:lang w:val="el-GR"/>
        </w:rPr>
        <w:t>και</w:t>
      </w:r>
      <w:r w:rsidR="00B432D6" w:rsidRPr="00B432D6">
        <w:rPr>
          <w:rFonts w:cstheme="minorHAnsi"/>
          <w:sz w:val="24"/>
          <w:szCs w:val="24"/>
          <w:lang w:val="el-GR"/>
        </w:rPr>
        <w:t xml:space="preserve"> </w:t>
      </w:r>
      <w:r w:rsidR="00B432D6">
        <w:rPr>
          <w:rFonts w:cstheme="minorHAnsi"/>
          <w:sz w:val="24"/>
          <w:szCs w:val="24"/>
          <w:lang w:val="el-GR"/>
        </w:rPr>
        <w:t>κάνει</w:t>
      </w:r>
      <w:r w:rsidR="00B432D6" w:rsidRPr="00B432D6">
        <w:rPr>
          <w:rFonts w:cstheme="minorHAnsi"/>
          <w:sz w:val="24"/>
          <w:szCs w:val="24"/>
          <w:lang w:val="el-GR"/>
        </w:rPr>
        <w:t xml:space="preserve"> </w:t>
      </w:r>
      <w:r w:rsidR="00B432D6">
        <w:rPr>
          <w:rFonts w:cstheme="minorHAnsi"/>
          <w:sz w:val="24"/>
          <w:szCs w:val="24"/>
          <w:lang w:val="el-GR"/>
        </w:rPr>
        <w:t>όλες</w:t>
      </w:r>
      <w:r w:rsidR="00B432D6" w:rsidRPr="00B432D6">
        <w:rPr>
          <w:rFonts w:cstheme="minorHAnsi"/>
          <w:sz w:val="24"/>
          <w:szCs w:val="24"/>
          <w:lang w:val="el-GR"/>
        </w:rPr>
        <w:t xml:space="preserve"> </w:t>
      </w:r>
      <w:r w:rsidR="00B432D6">
        <w:rPr>
          <w:rFonts w:cstheme="minorHAnsi"/>
          <w:sz w:val="24"/>
          <w:szCs w:val="24"/>
          <w:lang w:val="el-GR"/>
        </w:rPr>
        <w:t>τις</w:t>
      </w:r>
      <w:r w:rsidR="00B432D6" w:rsidRPr="00B432D6">
        <w:rPr>
          <w:rFonts w:cstheme="minorHAnsi"/>
          <w:sz w:val="24"/>
          <w:szCs w:val="24"/>
          <w:lang w:val="el-GR"/>
        </w:rPr>
        <w:t xml:space="preserve"> </w:t>
      </w:r>
      <w:r w:rsidR="00B432D6">
        <w:rPr>
          <w:rFonts w:cstheme="minorHAnsi"/>
          <w:sz w:val="24"/>
          <w:szCs w:val="24"/>
          <w:lang w:val="el-GR"/>
        </w:rPr>
        <w:t>εκταμιεύσεις</w:t>
      </w:r>
      <w:r w:rsidR="00A5147D" w:rsidRPr="00B432D6">
        <w:rPr>
          <w:rFonts w:cstheme="minorHAnsi"/>
          <w:sz w:val="24"/>
          <w:szCs w:val="24"/>
          <w:lang w:val="el-GR"/>
        </w:rPr>
        <w:t xml:space="preserve"> </w:t>
      </w:r>
      <w:r w:rsidR="00B432D6">
        <w:rPr>
          <w:rFonts w:cstheme="minorHAnsi"/>
          <w:sz w:val="24"/>
          <w:szCs w:val="24"/>
          <w:lang w:val="el-GR"/>
        </w:rPr>
        <w:t>των χρημάτων της Κυπριακής Δημοκρατίας</w:t>
      </w:r>
      <w:r w:rsidR="00A5147D" w:rsidRPr="00B432D6">
        <w:rPr>
          <w:rFonts w:cstheme="minorHAnsi"/>
          <w:sz w:val="24"/>
          <w:szCs w:val="24"/>
          <w:lang w:val="el-GR"/>
        </w:rPr>
        <w:t xml:space="preserve">. </w:t>
      </w:r>
      <w:r w:rsidR="00B432D6">
        <w:rPr>
          <w:rFonts w:cstheme="minorHAnsi"/>
          <w:sz w:val="24"/>
          <w:szCs w:val="24"/>
          <w:lang w:val="el-GR"/>
        </w:rPr>
        <w:t>Αυτός</w:t>
      </w:r>
      <w:r w:rsidR="00A5147D" w:rsidRPr="00B432D6">
        <w:rPr>
          <w:rFonts w:cstheme="minorHAnsi"/>
          <w:sz w:val="24"/>
          <w:szCs w:val="24"/>
          <w:lang w:val="el-GR"/>
        </w:rPr>
        <w:t>/</w:t>
      </w:r>
      <w:r w:rsidR="00B432D6">
        <w:rPr>
          <w:rFonts w:cstheme="minorHAnsi"/>
          <w:sz w:val="24"/>
          <w:szCs w:val="24"/>
          <w:lang w:val="el-GR"/>
        </w:rPr>
        <w:t>ή</w:t>
      </w:r>
      <w:r w:rsidR="00A5147D" w:rsidRPr="00B432D6">
        <w:rPr>
          <w:rFonts w:cstheme="minorHAnsi"/>
          <w:sz w:val="24"/>
          <w:szCs w:val="24"/>
          <w:lang w:val="el-GR"/>
        </w:rPr>
        <w:t xml:space="preserve"> </w:t>
      </w:r>
      <w:r w:rsidR="00B432D6">
        <w:rPr>
          <w:rFonts w:cstheme="minorHAnsi"/>
          <w:sz w:val="24"/>
          <w:szCs w:val="24"/>
          <w:lang w:val="el-GR"/>
        </w:rPr>
        <w:t>μπορεί</w:t>
      </w:r>
      <w:r w:rsidR="00B432D6" w:rsidRPr="00B432D6">
        <w:rPr>
          <w:rFonts w:cstheme="minorHAnsi"/>
          <w:sz w:val="24"/>
          <w:szCs w:val="24"/>
          <w:lang w:val="el-GR"/>
        </w:rPr>
        <w:t xml:space="preserve"> </w:t>
      </w:r>
      <w:r w:rsidR="00B432D6">
        <w:rPr>
          <w:rFonts w:cstheme="minorHAnsi"/>
          <w:sz w:val="24"/>
          <w:szCs w:val="24"/>
          <w:lang w:val="el-GR"/>
        </w:rPr>
        <w:t>να</w:t>
      </w:r>
      <w:r w:rsidR="00B432D6" w:rsidRPr="00B432D6">
        <w:rPr>
          <w:rFonts w:cstheme="minorHAnsi"/>
          <w:sz w:val="24"/>
          <w:szCs w:val="24"/>
          <w:lang w:val="el-GR"/>
        </w:rPr>
        <w:t xml:space="preserve"> </w:t>
      </w:r>
      <w:r w:rsidR="00B432D6">
        <w:rPr>
          <w:rFonts w:cstheme="minorHAnsi"/>
          <w:sz w:val="24"/>
          <w:szCs w:val="24"/>
          <w:lang w:val="el-GR"/>
        </w:rPr>
        <w:t>εξασκήσει</w:t>
      </w:r>
      <w:r w:rsidR="00B432D6" w:rsidRPr="00B432D6">
        <w:rPr>
          <w:rFonts w:cstheme="minorHAnsi"/>
          <w:sz w:val="24"/>
          <w:szCs w:val="24"/>
          <w:lang w:val="el-GR"/>
        </w:rPr>
        <w:t xml:space="preserve"> </w:t>
      </w:r>
      <w:r w:rsidR="00B432D6">
        <w:rPr>
          <w:rFonts w:cstheme="minorHAnsi"/>
          <w:sz w:val="24"/>
          <w:szCs w:val="24"/>
          <w:lang w:val="el-GR"/>
        </w:rPr>
        <w:t>όλες</w:t>
      </w:r>
      <w:r w:rsidR="00B432D6" w:rsidRPr="00B432D6">
        <w:rPr>
          <w:rFonts w:cstheme="minorHAnsi"/>
          <w:sz w:val="24"/>
          <w:szCs w:val="24"/>
          <w:lang w:val="el-GR"/>
        </w:rPr>
        <w:t xml:space="preserve"> </w:t>
      </w:r>
      <w:r w:rsidR="00B432D6">
        <w:rPr>
          <w:rFonts w:cstheme="minorHAnsi"/>
          <w:sz w:val="24"/>
          <w:szCs w:val="24"/>
          <w:lang w:val="el-GR"/>
        </w:rPr>
        <w:t>τις</w:t>
      </w:r>
      <w:r w:rsidR="00B432D6" w:rsidRPr="00B432D6">
        <w:rPr>
          <w:rFonts w:cstheme="minorHAnsi"/>
          <w:sz w:val="24"/>
          <w:szCs w:val="24"/>
          <w:lang w:val="el-GR"/>
        </w:rPr>
        <w:t xml:space="preserve"> </w:t>
      </w:r>
      <w:r w:rsidR="00B432D6">
        <w:rPr>
          <w:rFonts w:cstheme="minorHAnsi"/>
          <w:sz w:val="24"/>
          <w:szCs w:val="24"/>
          <w:lang w:val="el-GR"/>
        </w:rPr>
        <w:t>εξουσίες</w:t>
      </w:r>
      <w:r w:rsidR="00A5147D" w:rsidRPr="00B432D6">
        <w:rPr>
          <w:rFonts w:cstheme="minorHAnsi"/>
          <w:sz w:val="24"/>
          <w:szCs w:val="24"/>
          <w:lang w:val="el-GR"/>
        </w:rPr>
        <w:t xml:space="preserve"> </w:t>
      </w:r>
      <w:r w:rsidR="00B432D6">
        <w:rPr>
          <w:rFonts w:cstheme="minorHAnsi"/>
          <w:sz w:val="24"/>
          <w:szCs w:val="24"/>
          <w:lang w:val="el-GR"/>
        </w:rPr>
        <w:t>και</w:t>
      </w:r>
      <w:r w:rsidR="00B432D6" w:rsidRPr="00B432D6">
        <w:rPr>
          <w:rFonts w:cstheme="minorHAnsi"/>
          <w:sz w:val="24"/>
          <w:szCs w:val="24"/>
          <w:lang w:val="el-GR"/>
        </w:rPr>
        <w:t xml:space="preserve"> </w:t>
      </w:r>
      <w:r w:rsidR="00B432D6">
        <w:rPr>
          <w:rFonts w:cstheme="minorHAnsi"/>
          <w:sz w:val="24"/>
          <w:szCs w:val="24"/>
          <w:lang w:val="el-GR"/>
        </w:rPr>
        <w:t>να</w:t>
      </w:r>
      <w:r w:rsidR="00B432D6" w:rsidRPr="00B432D6">
        <w:rPr>
          <w:rFonts w:cstheme="minorHAnsi"/>
          <w:sz w:val="24"/>
          <w:szCs w:val="24"/>
          <w:lang w:val="el-GR"/>
        </w:rPr>
        <w:t xml:space="preserve"> </w:t>
      </w:r>
      <w:r w:rsidR="00B432D6">
        <w:rPr>
          <w:rFonts w:cstheme="minorHAnsi"/>
          <w:sz w:val="24"/>
          <w:szCs w:val="24"/>
          <w:lang w:val="el-GR"/>
        </w:rPr>
        <w:t>εκτελέσει</w:t>
      </w:r>
      <w:r w:rsidR="00B432D6" w:rsidRPr="00B432D6">
        <w:rPr>
          <w:rFonts w:cstheme="minorHAnsi"/>
          <w:sz w:val="24"/>
          <w:szCs w:val="24"/>
          <w:lang w:val="el-GR"/>
        </w:rPr>
        <w:t xml:space="preserve"> </w:t>
      </w:r>
      <w:r w:rsidR="00B432D6">
        <w:rPr>
          <w:rFonts w:cstheme="minorHAnsi"/>
          <w:sz w:val="24"/>
          <w:szCs w:val="24"/>
          <w:lang w:val="el-GR"/>
        </w:rPr>
        <w:t>όλες</w:t>
      </w:r>
      <w:r w:rsidR="00B432D6" w:rsidRPr="00B432D6">
        <w:rPr>
          <w:rFonts w:cstheme="minorHAnsi"/>
          <w:sz w:val="24"/>
          <w:szCs w:val="24"/>
          <w:lang w:val="el-GR"/>
        </w:rPr>
        <w:t xml:space="preserve"> </w:t>
      </w:r>
      <w:r w:rsidR="00B432D6">
        <w:rPr>
          <w:rFonts w:cstheme="minorHAnsi"/>
          <w:sz w:val="24"/>
          <w:szCs w:val="24"/>
          <w:lang w:val="el-GR"/>
        </w:rPr>
        <w:t>τις</w:t>
      </w:r>
      <w:r w:rsidR="00B432D6" w:rsidRPr="00B432D6">
        <w:rPr>
          <w:rFonts w:cstheme="minorHAnsi"/>
          <w:sz w:val="24"/>
          <w:szCs w:val="24"/>
          <w:lang w:val="el-GR"/>
        </w:rPr>
        <w:t xml:space="preserve"> </w:t>
      </w:r>
      <w:r w:rsidR="00B432D6">
        <w:rPr>
          <w:rFonts w:cstheme="minorHAnsi"/>
          <w:sz w:val="24"/>
          <w:szCs w:val="24"/>
          <w:lang w:val="el-GR"/>
        </w:rPr>
        <w:t>λειτουργίες</w:t>
      </w:r>
      <w:r w:rsidR="00A5147D" w:rsidRPr="00B432D6">
        <w:rPr>
          <w:rFonts w:cstheme="minorHAnsi"/>
          <w:sz w:val="24"/>
          <w:szCs w:val="24"/>
          <w:lang w:val="el-GR"/>
        </w:rPr>
        <w:t xml:space="preserve"> </w:t>
      </w:r>
      <w:r w:rsidR="00B432D6">
        <w:rPr>
          <w:rFonts w:cstheme="minorHAnsi"/>
          <w:sz w:val="24"/>
          <w:szCs w:val="24"/>
          <w:lang w:val="el-GR"/>
        </w:rPr>
        <w:t>και</w:t>
      </w:r>
      <w:r w:rsidR="00B432D6" w:rsidRPr="00B432D6">
        <w:rPr>
          <w:rFonts w:cstheme="minorHAnsi"/>
          <w:sz w:val="24"/>
          <w:szCs w:val="24"/>
          <w:lang w:val="el-GR"/>
        </w:rPr>
        <w:t xml:space="preserve"> </w:t>
      </w:r>
      <w:r w:rsidR="00B432D6">
        <w:rPr>
          <w:rFonts w:cstheme="minorHAnsi"/>
          <w:sz w:val="24"/>
          <w:szCs w:val="24"/>
          <w:lang w:val="el-GR"/>
        </w:rPr>
        <w:t>τα</w:t>
      </w:r>
      <w:r w:rsidR="00B432D6" w:rsidRPr="00B432D6">
        <w:rPr>
          <w:rFonts w:cstheme="minorHAnsi"/>
          <w:sz w:val="24"/>
          <w:szCs w:val="24"/>
          <w:lang w:val="el-GR"/>
        </w:rPr>
        <w:t xml:space="preserve"> </w:t>
      </w:r>
      <w:r w:rsidR="00B432D6">
        <w:rPr>
          <w:rFonts w:cstheme="minorHAnsi"/>
          <w:sz w:val="24"/>
          <w:szCs w:val="24"/>
          <w:lang w:val="el-GR"/>
        </w:rPr>
        <w:t>καθήκοντα</w:t>
      </w:r>
      <w:r w:rsidR="00B432D6" w:rsidRPr="00B432D6">
        <w:rPr>
          <w:rFonts w:cstheme="minorHAnsi"/>
          <w:sz w:val="24"/>
          <w:szCs w:val="24"/>
          <w:lang w:val="el-GR"/>
        </w:rPr>
        <w:t xml:space="preserve"> </w:t>
      </w:r>
      <w:r w:rsidR="00B432D6">
        <w:rPr>
          <w:rFonts w:cstheme="minorHAnsi"/>
          <w:sz w:val="24"/>
          <w:szCs w:val="24"/>
          <w:lang w:val="el-GR"/>
        </w:rPr>
        <w:t>που</w:t>
      </w:r>
      <w:r w:rsidR="00B432D6" w:rsidRPr="00B432D6">
        <w:rPr>
          <w:rFonts w:cstheme="minorHAnsi"/>
          <w:sz w:val="24"/>
          <w:szCs w:val="24"/>
          <w:lang w:val="el-GR"/>
        </w:rPr>
        <w:t xml:space="preserve"> </w:t>
      </w:r>
      <w:r w:rsidR="00B432D6">
        <w:rPr>
          <w:rFonts w:cstheme="minorHAnsi"/>
          <w:sz w:val="24"/>
          <w:szCs w:val="24"/>
          <w:lang w:val="el-GR"/>
        </w:rPr>
        <w:t>απονέμονται</w:t>
      </w:r>
      <w:r w:rsidR="00B432D6" w:rsidRPr="00B432D6">
        <w:rPr>
          <w:rFonts w:cstheme="minorHAnsi"/>
          <w:sz w:val="24"/>
          <w:szCs w:val="24"/>
          <w:lang w:val="el-GR"/>
        </w:rPr>
        <w:t xml:space="preserve"> </w:t>
      </w:r>
      <w:r w:rsidR="00B432D6">
        <w:rPr>
          <w:rFonts w:cstheme="minorHAnsi"/>
          <w:sz w:val="24"/>
          <w:szCs w:val="24"/>
          <w:lang w:val="el-GR"/>
        </w:rPr>
        <w:t>ή</w:t>
      </w:r>
      <w:r w:rsidR="00B432D6" w:rsidRPr="00B432D6">
        <w:rPr>
          <w:rFonts w:cstheme="minorHAnsi"/>
          <w:sz w:val="24"/>
          <w:szCs w:val="24"/>
          <w:lang w:val="el-GR"/>
        </w:rPr>
        <w:t xml:space="preserve"> </w:t>
      </w:r>
      <w:r w:rsidR="00B432D6">
        <w:rPr>
          <w:rFonts w:cstheme="minorHAnsi"/>
          <w:sz w:val="24"/>
          <w:szCs w:val="24"/>
          <w:lang w:val="el-GR"/>
        </w:rPr>
        <w:t>επιβάλλονται</w:t>
      </w:r>
      <w:r w:rsidR="00B432D6" w:rsidRPr="00B432D6">
        <w:rPr>
          <w:rFonts w:cstheme="minorHAnsi"/>
          <w:sz w:val="24"/>
          <w:szCs w:val="24"/>
          <w:lang w:val="el-GR"/>
        </w:rPr>
        <w:t xml:space="preserve"> </w:t>
      </w:r>
      <w:r w:rsidR="00B432D6">
        <w:rPr>
          <w:rFonts w:cstheme="minorHAnsi"/>
          <w:sz w:val="24"/>
          <w:szCs w:val="24"/>
          <w:lang w:val="el-GR"/>
        </w:rPr>
        <w:t>πάνω του/ης</w:t>
      </w:r>
      <w:r w:rsidR="00A5147D" w:rsidRPr="00B432D6">
        <w:rPr>
          <w:rFonts w:cstheme="minorHAnsi"/>
          <w:sz w:val="24"/>
          <w:szCs w:val="24"/>
          <w:lang w:val="el-GR"/>
        </w:rPr>
        <w:t xml:space="preserve"> </w:t>
      </w:r>
      <w:r w:rsidR="00B432D6">
        <w:rPr>
          <w:rFonts w:cstheme="minorHAnsi"/>
          <w:sz w:val="24"/>
          <w:szCs w:val="24"/>
          <w:lang w:val="el-GR"/>
        </w:rPr>
        <w:t>από τον νόμο</w:t>
      </w:r>
      <w:r w:rsidR="00A5147D" w:rsidRPr="00B432D6">
        <w:rPr>
          <w:rFonts w:cstheme="minorHAnsi"/>
          <w:sz w:val="24"/>
          <w:szCs w:val="24"/>
          <w:lang w:val="el-GR"/>
        </w:rPr>
        <w:t xml:space="preserve"> </w:t>
      </w:r>
      <w:r w:rsidR="00B432D6">
        <w:rPr>
          <w:rFonts w:cstheme="minorHAnsi"/>
          <w:sz w:val="24"/>
          <w:szCs w:val="24"/>
          <w:lang w:val="el-GR"/>
        </w:rPr>
        <w:t>και</w:t>
      </w:r>
      <w:r w:rsidR="00A5147D" w:rsidRPr="00B432D6">
        <w:rPr>
          <w:rFonts w:cstheme="minorHAnsi"/>
          <w:sz w:val="24"/>
          <w:szCs w:val="24"/>
          <w:lang w:val="el-GR"/>
        </w:rPr>
        <w:t xml:space="preserve"> </w:t>
      </w:r>
      <w:r w:rsidR="00B432D6">
        <w:rPr>
          <w:rFonts w:cstheme="minorHAnsi"/>
          <w:sz w:val="24"/>
          <w:szCs w:val="24"/>
          <w:lang w:val="el-GR"/>
        </w:rPr>
        <w:t>εξασκεί τις εξουσίες αυτές</w:t>
      </w:r>
      <w:r w:rsidR="00A5147D" w:rsidRPr="00B432D6">
        <w:rPr>
          <w:rFonts w:cstheme="minorHAnsi"/>
          <w:sz w:val="24"/>
          <w:szCs w:val="24"/>
          <w:lang w:val="el-GR"/>
        </w:rPr>
        <w:t xml:space="preserve"> </w:t>
      </w:r>
      <w:r w:rsidR="00B432D6">
        <w:rPr>
          <w:rFonts w:cstheme="minorHAnsi"/>
          <w:sz w:val="24"/>
          <w:szCs w:val="24"/>
          <w:lang w:val="el-GR"/>
        </w:rPr>
        <w:t>είτε προσωπικά</w:t>
      </w:r>
      <w:r w:rsidR="00A5147D" w:rsidRPr="00B432D6">
        <w:rPr>
          <w:rFonts w:cstheme="minorHAnsi"/>
          <w:sz w:val="24"/>
          <w:szCs w:val="24"/>
          <w:lang w:val="el-GR"/>
        </w:rPr>
        <w:t xml:space="preserve"> </w:t>
      </w:r>
      <w:r w:rsidR="00B432D6">
        <w:rPr>
          <w:rFonts w:cstheme="minorHAnsi"/>
          <w:sz w:val="24"/>
          <w:szCs w:val="24"/>
          <w:lang w:val="el-GR"/>
        </w:rPr>
        <w:t>είτε τις αναθέτει σε ένα υφιστάμεν</w:t>
      </w:r>
      <w:r w:rsidR="00B432D6" w:rsidRPr="00B432D6">
        <w:rPr>
          <w:rFonts w:cstheme="minorHAnsi"/>
          <w:sz w:val="24"/>
          <w:szCs w:val="24"/>
          <w:lang w:val="el-GR"/>
        </w:rPr>
        <w:t>ο λειτουργ</w:t>
      </w:r>
      <w:r w:rsidR="00B432D6">
        <w:rPr>
          <w:rFonts w:cstheme="minorHAnsi"/>
          <w:sz w:val="24"/>
          <w:szCs w:val="24"/>
          <w:lang w:val="el-GR"/>
        </w:rPr>
        <w:t>ό</w:t>
      </w:r>
      <w:r w:rsidR="00A5147D" w:rsidRPr="00B432D6">
        <w:rPr>
          <w:rFonts w:cstheme="minorHAnsi"/>
          <w:sz w:val="24"/>
          <w:szCs w:val="24"/>
          <w:lang w:val="el-GR"/>
        </w:rPr>
        <w:t xml:space="preserve"> </w:t>
      </w:r>
      <w:r w:rsidR="00B432D6">
        <w:rPr>
          <w:rFonts w:cstheme="minorHAnsi"/>
          <w:sz w:val="24"/>
          <w:szCs w:val="24"/>
          <w:lang w:val="el-GR"/>
        </w:rPr>
        <w:t xml:space="preserve">που ενεργεί </w:t>
      </w:r>
      <w:r w:rsidR="0008125F">
        <w:rPr>
          <w:rFonts w:cstheme="minorHAnsi"/>
          <w:sz w:val="24"/>
          <w:szCs w:val="24"/>
          <w:lang w:val="el-GR"/>
        </w:rPr>
        <w:t>υ</w:t>
      </w:r>
      <w:r w:rsidR="00B432D6">
        <w:rPr>
          <w:rFonts w:cstheme="minorHAnsi"/>
          <w:sz w:val="24"/>
          <w:szCs w:val="24"/>
          <w:lang w:val="el-GR"/>
        </w:rPr>
        <w:t>πό τις οδηγίες του/ης</w:t>
      </w:r>
      <w:r w:rsidR="00A5147D" w:rsidRPr="00B432D6">
        <w:rPr>
          <w:rFonts w:cstheme="minorHAnsi"/>
          <w:sz w:val="24"/>
          <w:szCs w:val="24"/>
          <w:lang w:val="el-GR"/>
        </w:rPr>
        <w:t xml:space="preserve">.  </w:t>
      </w:r>
    </w:p>
    <w:p w14:paraId="3DC810A3" w14:textId="77777777" w:rsidR="00A5147D" w:rsidRPr="00B432D6" w:rsidRDefault="00A5147D" w:rsidP="00A5147D">
      <w:pPr>
        <w:pStyle w:val="ListParagraph"/>
        <w:rPr>
          <w:rFonts w:cstheme="minorHAnsi"/>
          <w:sz w:val="24"/>
          <w:szCs w:val="24"/>
          <w:lang w:val="el-GR"/>
        </w:rPr>
      </w:pPr>
    </w:p>
    <w:p w14:paraId="3F33078B" w14:textId="485B978D" w:rsidR="00A5147D" w:rsidRPr="00B432D6" w:rsidRDefault="00B432D6" w:rsidP="00A5147D">
      <w:pPr>
        <w:numPr>
          <w:ilvl w:val="0"/>
          <w:numId w:val="1"/>
        </w:numPr>
        <w:tabs>
          <w:tab w:val="clear" w:pos="6095"/>
          <w:tab w:val="left" w:pos="709"/>
        </w:tabs>
        <w:ind w:left="0" w:firstLine="0"/>
        <w:contextualSpacing/>
        <w:rPr>
          <w:rFonts w:cstheme="minorHAnsi"/>
          <w:sz w:val="24"/>
          <w:szCs w:val="24"/>
          <w:lang w:val="el-GR"/>
        </w:rPr>
      </w:pPr>
      <w:bookmarkStart w:id="95" w:name="_Hlk132888822"/>
      <w:r>
        <w:rPr>
          <w:rFonts w:cstheme="minorHAnsi"/>
          <w:sz w:val="24"/>
          <w:szCs w:val="24"/>
          <w:lang w:val="el-GR"/>
        </w:rPr>
        <w:t>Ο</w:t>
      </w:r>
      <w:r w:rsidRPr="00B432D6">
        <w:rPr>
          <w:rFonts w:cstheme="minorHAnsi"/>
          <w:sz w:val="24"/>
          <w:szCs w:val="24"/>
          <w:lang w:val="el-GR"/>
        </w:rPr>
        <w:t xml:space="preserve"> </w:t>
      </w:r>
      <w:r>
        <w:rPr>
          <w:rFonts w:cstheme="minorHAnsi"/>
          <w:sz w:val="24"/>
          <w:szCs w:val="24"/>
          <w:lang w:val="el-GR"/>
        </w:rPr>
        <w:t>Γενικός</w:t>
      </w:r>
      <w:r w:rsidRPr="00B432D6">
        <w:rPr>
          <w:rFonts w:cstheme="minorHAnsi"/>
          <w:sz w:val="24"/>
          <w:szCs w:val="24"/>
          <w:lang w:val="el-GR"/>
        </w:rPr>
        <w:t xml:space="preserve"> </w:t>
      </w:r>
      <w:r>
        <w:rPr>
          <w:rFonts w:cstheme="minorHAnsi"/>
          <w:sz w:val="24"/>
          <w:szCs w:val="24"/>
          <w:lang w:val="el-GR"/>
        </w:rPr>
        <w:t>Λογιστής</w:t>
      </w:r>
      <w:r w:rsidRPr="00B432D6">
        <w:rPr>
          <w:rFonts w:cstheme="minorHAnsi"/>
          <w:sz w:val="24"/>
          <w:szCs w:val="24"/>
          <w:lang w:val="el-GR"/>
        </w:rPr>
        <w:t xml:space="preserve"> </w:t>
      </w:r>
      <w:r>
        <w:rPr>
          <w:rFonts w:cstheme="minorHAnsi"/>
          <w:sz w:val="24"/>
          <w:szCs w:val="24"/>
          <w:lang w:val="el-GR"/>
        </w:rPr>
        <w:t>ξεκίνησε</w:t>
      </w:r>
      <w:r w:rsidRPr="00B432D6">
        <w:rPr>
          <w:rFonts w:cstheme="minorHAnsi"/>
          <w:sz w:val="24"/>
          <w:szCs w:val="24"/>
          <w:lang w:val="el-GR"/>
        </w:rPr>
        <w:t xml:space="preserve"> </w:t>
      </w:r>
      <w:r w:rsidR="0008125F">
        <w:rPr>
          <w:rFonts w:cstheme="minorHAnsi"/>
          <w:sz w:val="24"/>
          <w:szCs w:val="24"/>
          <w:lang w:val="el-GR"/>
        </w:rPr>
        <w:t xml:space="preserve">μια </w:t>
      </w:r>
      <w:r>
        <w:rPr>
          <w:rFonts w:cstheme="minorHAnsi"/>
          <w:sz w:val="24"/>
          <w:szCs w:val="24"/>
          <w:lang w:val="el-GR"/>
        </w:rPr>
        <w:t>μεταρρύθμιση</w:t>
      </w:r>
      <w:r w:rsidRPr="00B432D6">
        <w:rPr>
          <w:rFonts w:cstheme="minorHAnsi"/>
          <w:sz w:val="24"/>
          <w:szCs w:val="24"/>
          <w:lang w:val="el-GR"/>
        </w:rPr>
        <w:t xml:space="preserve"> </w:t>
      </w:r>
      <w:r>
        <w:rPr>
          <w:rFonts w:cstheme="minorHAnsi"/>
          <w:sz w:val="24"/>
          <w:szCs w:val="24"/>
          <w:lang w:val="el-GR"/>
        </w:rPr>
        <w:t>δημόσιας</w:t>
      </w:r>
      <w:r w:rsidRPr="00B432D6">
        <w:rPr>
          <w:rFonts w:cstheme="minorHAnsi"/>
          <w:sz w:val="24"/>
          <w:szCs w:val="24"/>
          <w:lang w:val="el-GR"/>
        </w:rPr>
        <w:t xml:space="preserve"> </w:t>
      </w:r>
      <w:r>
        <w:rPr>
          <w:rFonts w:cstheme="minorHAnsi"/>
          <w:sz w:val="24"/>
          <w:szCs w:val="24"/>
          <w:lang w:val="el-GR"/>
        </w:rPr>
        <w:t>οικονομικής</w:t>
      </w:r>
      <w:r w:rsidRPr="00B432D6">
        <w:rPr>
          <w:rFonts w:cstheme="minorHAnsi"/>
          <w:sz w:val="24"/>
          <w:szCs w:val="24"/>
          <w:lang w:val="el-GR"/>
        </w:rPr>
        <w:t xml:space="preserve"> </w:t>
      </w:r>
      <w:r w:rsidR="007C7A9A">
        <w:rPr>
          <w:rFonts w:cstheme="minorHAnsi"/>
          <w:sz w:val="24"/>
          <w:szCs w:val="24"/>
          <w:lang w:val="el-GR"/>
        </w:rPr>
        <w:t>διαχείρισης</w:t>
      </w:r>
      <w:r w:rsidR="00A5147D" w:rsidRPr="00B432D6">
        <w:rPr>
          <w:rFonts w:cstheme="minorHAnsi"/>
          <w:sz w:val="24"/>
          <w:szCs w:val="24"/>
          <w:lang w:val="el-GR"/>
        </w:rPr>
        <w:t xml:space="preserve"> </w:t>
      </w:r>
      <w:r>
        <w:rPr>
          <w:rFonts w:cstheme="minorHAnsi"/>
          <w:sz w:val="24"/>
          <w:szCs w:val="24"/>
          <w:lang w:val="el-GR"/>
        </w:rPr>
        <w:t>κατά</w:t>
      </w:r>
      <w:r w:rsidRPr="00B432D6">
        <w:rPr>
          <w:rFonts w:cstheme="minorHAnsi"/>
          <w:sz w:val="24"/>
          <w:szCs w:val="24"/>
          <w:lang w:val="el-GR"/>
        </w:rPr>
        <w:t xml:space="preserve"> </w:t>
      </w:r>
      <w:r>
        <w:rPr>
          <w:rFonts w:cstheme="minorHAnsi"/>
          <w:sz w:val="24"/>
          <w:szCs w:val="24"/>
          <w:lang w:val="el-GR"/>
        </w:rPr>
        <w:t>τα</w:t>
      </w:r>
      <w:r w:rsidRPr="00B432D6">
        <w:rPr>
          <w:rFonts w:cstheme="minorHAnsi"/>
          <w:sz w:val="24"/>
          <w:szCs w:val="24"/>
          <w:lang w:val="el-GR"/>
        </w:rPr>
        <w:t xml:space="preserve"> </w:t>
      </w:r>
      <w:r>
        <w:rPr>
          <w:rFonts w:cstheme="minorHAnsi"/>
          <w:sz w:val="24"/>
          <w:szCs w:val="24"/>
          <w:lang w:val="el-GR"/>
        </w:rPr>
        <w:t>τελευταία</w:t>
      </w:r>
      <w:r w:rsidRPr="00B432D6">
        <w:rPr>
          <w:rFonts w:cstheme="minorHAnsi"/>
          <w:sz w:val="24"/>
          <w:szCs w:val="24"/>
          <w:lang w:val="el-GR"/>
        </w:rPr>
        <w:t xml:space="preserve"> </w:t>
      </w:r>
      <w:r>
        <w:rPr>
          <w:rFonts w:cstheme="minorHAnsi"/>
          <w:sz w:val="24"/>
          <w:szCs w:val="24"/>
          <w:lang w:val="el-GR"/>
        </w:rPr>
        <w:t>δέκα</w:t>
      </w:r>
      <w:r w:rsidRPr="00B432D6">
        <w:rPr>
          <w:rFonts w:cstheme="minorHAnsi"/>
          <w:sz w:val="24"/>
          <w:szCs w:val="24"/>
          <w:lang w:val="el-GR"/>
        </w:rPr>
        <w:t xml:space="preserve"> </w:t>
      </w:r>
      <w:r>
        <w:rPr>
          <w:rFonts w:cstheme="minorHAnsi"/>
          <w:sz w:val="24"/>
          <w:szCs w:val="24"/>
          <w:lang w:val="el-GR"/>
        </w:rPr>
        <w:t>χρόνια</w:t>
      </w:r>
      <w:r w:rsidR="00A5147D" w:rsidRPr="00B432D6">
        <w:rPr>
          <w:rFonts w:cstheme="minorHAnsi"/>
          <w:sz w:val="24"/>
          <w:szCs w:val="24"/>
          <w:lang w:val="el-GR"/>
        </w:rPr>
        <w:t xml:space="preserve"> </w:t>
      </w:r>
      <w:r>
        <w:rPr>
          <w:rFonts w:cstheme="minorHAnsi"/>
          <w:sz w:val="24"/>
          <w:szCs w:val="24"/>
          <w:lang w:val="el-GR"/>
        </w:rPr>
        <w:t>με</w:t>
      </w:r>
      <w:r w:rsidRPr="00B432D6">
        <w:rPr>
          <w:rFonts w:cstheme="minorHAnsi"/>
          <w:sz w:val="24"/>
          <w:szCs w:val="24"/>
          <w:lang w:val="el-GR"/>
        </w:rPr>
        <w:t xml:space="preserve"> </w:t>
      </w:r>
      <w:r>
        <w:rPr>
          <w:rFonts w:cstheme="minorHAnsi"/>
          <w:sz w:val="24"/>
          <w:szCs w:val="24"/>
          <w:lang w:val="el-GR"/>
        </w:rPr>
        <w:t>τον</w:t>
      </w:r>
      <w:r w:rsidRPr="00B432D6">
        <w:rPr>
          <w:rFonts w:cstheme="minorHAnsi"/>
          <w:sz w:val="24"/>
          <w:szCs w:val="24"/>
          <w:lang w:val="el-GR"/>
        </w:rPr>
        <w:t xml:space="preserve"> </w:t>
      </w:r>
      <w:r w:rsidR="007C7A9A">
        <w:rPr>
          <w:rFonts w:cstheme="minorHAnsi"/>
          <w:sz w:val="24"/>
          <w:szCs w:val="24"/>
          <w:lang w:val="el-GR"/>
        </w:rPr>
        <w:t>σκοπό</w:t>
      </w:r>
      <w:r w:rsidRPr="00B432D6">
        <w:rPr>
          <w:rFonts w:cstheme="minorHAnsi"/>
          <w:sz w:val="24"/>
          <w:szCs w:val="24"/>
          <w:lang w:val="el-GR"/>
        </w:rPr>
        <w:t xml:space="preserve"> </w:t>
      </w:r>
      <w:r>
        <w:rPr>
          <w:rFonts w:cstheme="minorHAnsi"/>
          <w:sz w:val="24"/>
          <w:szCs w:val="24"/>
          <w:lang w:val="el-GR"/>
        </w:rPr>
        <w:t>την</w:t>
      </w:r>
      <w:r w:rsidRPr="00B432D6">
        <w:rPr>
          <w:rFonts w:cstheme="minorHAnsi"/>
          <w:sz w:val="24"/>
          <w:szCs w:val="24"/>
          <w:lang w:val="el-GR"/>
        </w:rPr>
        <w:t xml:space="preserve"> </w:t>
      </w:r>
      <w:r>
        <w:rPr>
          <w:rFonts w:cstheme="minorHAnsi"/>
          <w:sz w:val="24"/>
          <w:szCs w:val="24"/>
          <w:lang w:val="el-GR"/>
        </w:rPr>
        <w:t>ενίσχυση</w:t>
      </w:r>
      <w:r w:rsidRPr="00B432D6">
        <w:rPr>
          <w:rFonts w:cstheme="minorHAnsi"/>
          <w:sz w:val="24"/>
          <w:szCs w:val="24"/>
          <w:lang w:val="el-GR"/>
        </w:rPr>
        <w:t xml:space="preserve"> </w:t>
      </w:r>
      <w:r>
        <w:rPr>
          <w:rFonts w:cstheme="minorHAnsi"/>
          <w:sz w:val="24"/>
          <w:szCs w:val="24"/>
          <w:lang w:val="el-GR"/>
        </w:rPr>
        <w:t>της</w:t>
      </w:r>
      <w:r w:rsidRPr="00B432D6">
        <w:rPr>
          <w:rFonts w:cstheme="minorHAnsi"/>
          <w:sz w:val="24"/>
          <w:szCs w:val="24"/>
          <w:lang w:val="el-GR"/>
        </w:rPr>
        <w:t xml:space="preserve"> </w:t>
      </w:r>
      <w:r>
        <w:rPr>
          <w:rFonts w:cstheme="minorHAnsi"/>
          <w:sz w:val="24"/>
          <w:szCs w:val="24"/>
          <w:lang w:val="el-GR"/>
        </w:rPr>
        <w:t>ικανότητας</w:t>
      </w:r>
      <w:r w:rsidRPr="00B432D6">
        <w:rPr>
          <w:rFonts w:cstheme="minorHAnsi"/>
          <w:sz w:val="24"/>
          <w:szCs w:val="24"/>
          <w:lang w:val="el-GR"/>
        </w:rPr>
        <w:t xml:space="preserve"> </w:t>
      </w:r>
      <w:r>
        <w:rPr>
          <w:rFonts w:cstheme="minorHAnsi"/>
          <w:sz w:val="24"/>
          <w:szCs w:val="24"/>
          <w:lang w:val="el-GR"/>
        </w:rPr>
        <w:t>της</w:t>
      </w:r>
      <w:r w:rsidRPr="00B432D6">
        <w:rPr>
          <w:rFonts w:cstheme="minorHAnsi"/>
          <w:sz w:val="24"/>
          <w:szCs w:val="24"/>
          <w:lang w:val="el-GR"/>
        </w:rPr>
        <w:t xml:space="preserve"> </w:t>
      </w:r>
      <w:r>
        <w:rPr>
          <w:rFonts w:cstheme="minorHAnsi"/>
          <w:sz w:val="24"/>
          <w:szCs w:val="24"/>
          <w:lang w:val="el-GR"/>
        </w:rPr>
        <w:t>κυβέρνησης</w:t>
      </w:r>
      <w:r w:rsidR="00B4667D" w:rsidRPr="00B432D6">
        <w:rPr>
          <w:rFonts w:cstheme="minorHAnsi"/>
          <w:sz w:val="24"/>
          <w:szCs w:val="24"/>
          <w:lang w:val="el-GR"/>
        </w:rPr>
        <w:t xml:space="preserve"> </w:t>
      </w:r>
      <w:r>
        <w:rPr>
          <w:rFonts w:cstheme="minorHAnsi"/>
          <w:sz w:val="24"/>
          <w:szCs w:val="24"/>
          <w:lang w:val="el-GR"/>
        </w:rPr>
        <w:t xml:space="preserve">να διεξάγει σωστή οικονομική </w:t>
      </w:r>
      <w:r w:rsidR="007C7A9A">
        <w:rPr>
          <w:rFonts w:cstheme="minorHAnsi"/>
          <w:sz w:val="24"/>
          <w:szCs w:val="24"/>
          <w:lang w:val="el-GR"/>
        </w:rPr>
        <w:t>διαχείριση</w:t>
      </w:r>
      <w:r w:rsidR="00B4667D" w:rsidRPr="00B432D6">
        <w:rPr>
          <w:rFonts w:cstheme="minorHAnsi"/>
          <w:sz w:val="24"/>
          <w:szCs w:val="24"/>
          <w:lang w:val="el-GR"/>
        </w:rPr>
        <w:t xml:space="preserve"> </w:t>
      </w:r>
      <w:r>
        <w:rPr>
          <w:rFonts w:cstheme="minorHAnsi"/>
          <w:sz w:val="24"/>
          <w:szCs w:val="24"/>
          <w:lang w:val="el-GR"/>
        </w:rPr>
        <w:t>του γραφείου αυτού</w:t>
      </w:r>
      <w:r w:rsidR="00A5147D" w:rsidRPr="00B432D6">
        <w:rPr>
          <w:rFonts w:cstheme="minorHAnsi"/>
          <w:sz w:val="24"/>
          <w:szCs w:val="24"/>
          <w:lang w:val="el-GR"/>
        </w:rPr>
        <w:t xml:space="preserve"> </w:t>
      </w:r>
      <w:r>
        <w:rPr>
          <w:rFonts w:cstheme="minorHAnsi"/>
          <w:sz w:val="24"/>
          <w:szCs w:val="24"/>
          <w:lang w:val="el-GR"/>
        </w:rPr>
        <w:t xml:space="preserve">και ενισχύοντας τη διαφάνεια του αναφορικά με </w:t>
      </w:r>
      <w:r w:rsidR="00981082">
        <w:rPr>
          <w:rFonts w:cstheme="minorHAnsi"/>
          <w:sz w:val="24"/>
          <w:szCs w:val="24"/>
          <w:lang w:val="el-GR"/>
        </w:rPr>
        <w:t xml:space="preserve">τις </w:t>
      </w:r>
      <w:r>
        <w:rPr>
          <w:rFonts w:cstheme="minorHAnsi"/>
          <w:sz w:val="24"/>
          <w:szCs w:val="24"/>
          <w:lang w:val="el-GR"/>
        </w:rPr>
        <w:t>κυβερνητικές συναλλαγές</w:t>
      </w:r>
      <w:r w:rsidR="00A5147D" w:rsidRPr="00B432D6">
        <w:rPr>
          <w:rFonts w:cstheme="minorHAnsi"/>
          <w:sz w:val="24"/>
          <w:szCs w:val="24"/>
          <w:lang w:val="el-GR"/>
        </w:rPr>
        <w:t xml:space="preserve">. </w:t>
      </w:r>
      <w:bookmarkEnd w:id="95"/>
      <w:r w:rsidR="00A5147D" w:rsidRPr="00B95983">
        <w:rPr>
          <w:rFonts w:cstheme="minorHAnsi"/>
          <w:sz w:val="24"/>
          <w:szCs w:val="24"/>
        </w:rPr>
        <w:t>T</w:t>
      </w:r>
      <w:r>
        <w:rPr>
          <w:rFonts w:cstheme="minorHAnsi"/>
          <w:sz w:val="24"/>
          <w:szCs w:val="24"/>
          <w:lang w:val="el-GR"/>
        </w:rPr>
        <w:t>ο</w:t>
      </w:r>
      <w:r w:rsidRPr="00B432D6">
        <w:rPr>
          <w:rFonts w:cstheme="minorHAnsi"/>
          <w:sz w:val="24"/>
          <w:szCs w:val="24"/>
          <w:lang w:val="el-GR"/>
        </w:rPr>
        <w:t xml:space="preserve"> </w:t>
      </w:r>
      <w:r>
        <w:rPr>
          <w:rFonts w:cstheme="minorHAnsi"/>
          <w:sz w:val="24"/>
          <w:szCs w:val="24"/>
          <w:lang w:val="el-GR"/>
        </w:rPr>
        <w:t>γραφείο</w:t>
      </w:r>
      <w:r w:rsidRPr="00B432D6">
        <w:rPr>
          <w:rFonts w:cstheme="minorHAnsi"/>
          <w:sz w:val="24"/>
          <w:szCs w:val="24"/>
          <w:lang w:val="el-GR"/>
        </w:rPr>
        <w:t xml:space="preserve"> </w:t>
      </w:r>
      <w:r>
        <w:rPr>
          <w:rFonts w:cstheme="minorHAnsi"/>
          <w:sz w:val="24"/>
          <w:szCs w:val="24"/>
          <w:lang w:val="el-GR"/>
        </w:rPr>
        <w:t>έχει</w:t>
      </w:r>
      <w:r w:rsidRPr="00B432D6">
        <w:rPr>
          <w:rFonts w:cstheme="minorHAnsi"/>
          <w:sz w:val="24"/>
          <w:szCs w:val="24"/>
          <w:lang w:val="el-GR"/>
        </w:rPr>
        <w:t xml:space="preserve"> </w:t>
      </w:r>
      <w:r>
        <w:rPr>
          <w:rFonts w:cstheme="minorHAnsi"/>
          <w:sz w:val="24"/>
          <w:szCs w:val="24"/>
          <w:lang w:val="el-GR"/>
        </w:rPr>
        <w:t>ιστοσελίδα</w:t>
      </w:r>
      <w:r w:rsidRPr="00B432D6">
        <w:rPr>
          <w:rFonts w:cstheme="minorHAnsi"/>
          <w:sz w:val="24"/>
          <w:szCs w:val="24"/>
          <w:lang w:val="el-GR"/>
        </w:rPr>
        <w:t xml:space="preserve"> </w:t>
      </w:r>
      <w:r>
        <w:rPr>
          <w:rFonts w:cstheme="minorHAnsi"/>
          <w:sz w:val="24"/>
          <w:szCs w:val="24"/>
          <w:lang w:val="el-GR"/>
        </w:rPr>
        <w:t>που</w:t>
      </w:r>
      <w:r w:rsidRPr="00B432D6">
        <w:rPr>
          <w:rFonts w:cstheme="minorHAnsi"/>
          <w:sz w:val="24"/>
          <w:szCs w:val="24"/>
          <w:lang w:val="el-GR"/>
        </w:rPr>
        <w:t xml:space="preserve"> </w:t>
      </w:r>
      <w:r w:rsidR="007C7A9A">
        <w:rPr>
          <w:rFonts w:cstheme="minorHAnsi"/>
          <w:sz w:val="24"/>
          <w:szCs w:val="24"/>
          <w:lang w:val="el-GR"/>
        </w:rPr>
        <w:t xml:space="preserve">με </w:t>
      </w:r>
      <w:r>
        <w:rPr>
          <w:rFonts w:cstheme="minorHAnsi"/>
          <w:sz w:val="24"/>
          <w:szCs w:val="24"/>
          <w:lang w:val="el-GR"/>
        </w:rPr>
        <w:t>τις</w:t>
      </w:r>
      <w:r w:rsidRPr="00B432D6">
        <w:rPr>
          <w:rFonts w:cstheme="minorHAnsi"/>
          <w:sz w:val="24"/>
          <w:szCs w:val="24"/>
          <w:lang w:val="el-GR"/>
        </w:rPr>
        <w:t xml:space="preserve"> </w:t>
      </w:r>
      <w:r>
        <w:rPr>
          <w:rFonts w:cstheme="minorHAnsi"/>
          <w:sz w:val="24"/>
          <w:szCs w:val="24"/>
          <w:lang w:val="el-GR"/>
        </w:rPr>
        <w:t>προσωπικές αποδοχές όλων των δημοσίων υπαλλήλων και κρατικών αξιωματούχων</w:t>
      </w:r>
      <w:r w:rsidR="00A5147D" w:rsidRPr="00B432D6">
        <w:rPr>
          <w:rFonts w:cstheme="minorHAnsi"/>
          <w:sz w:val="24"/>
          <w:szCs w:val="24"/>
          <w:lang w:val="el-GR"/>
        </w:rPr>
        <w:t xml:space="preserve">. </w:t>
      </w:r>
    </w:p>
    <w:p w14:paraId="23B54088" w14:textId="77777777" w:rsidR="00A5147D" w:rsidRPr="00B432D6" w:rsidRDefault="00A5147D" w:rsidP="00A5147D">
      <w:pPr>
        <w:tabs>
          <w:tab w:val="left" w:pos="709"/>
        </w:tabs>
        <w:contextualSpacing/>
        <w:rPr>
          <w:rFonts w:cstheme="minorHAnsi"/>
          <w:sz w:val="24"/>
          <w:szCs w:val="24"/>
          <w:lang w:val="el-GR"/>
        </w:rPr>
      </w:pPr>
    </w:p>
    <w:p w14:paraId="7B795D7F" w14:textId="7CD1DFCD" w:rsidR="00A5147D" w:rsidRPr="00F04244" w:rsidRDefault="00B432D6" w:rsidP="00A5147D">
      <w:pPr>
        <w:tabs>
          <w:tab w:val="left" w:pos="709"/>
        </w:tabs>
        <w:contextualSpacing/>
        <w:rPr>
          <w:rFonts w:eastAsia="Times New Roman" w:cstheme="minorHAnsi"/>
          <w:bCs/>
          <w:i/>
          <w:iCs/>
          <w:sz w:val="24"/>
          <w:szCs w:val="24"/>
          <w:u w:val="single"/>
          <w:lang w:val="el-GR"/>
        </w:rPr>
      </w:pPr>
      <w:r>
        <w:rPr>
          <w:rFonts w:cstheme="minorHAnsi"/>
          <w:i/>
          <w:iCs/>
          <w:sz w:val="24"/>
          <w:szCs w:val="24"/>
          <w:u w:val="single"/>
          <w:lang w:val="el-GR"/>
        </w:rPr>
        <w:t>Επίτροπος</w:t>
      </w:r>
      <w:r w:rsidRPr="00F04244">
        <w:rPr>
          <w:rFonts w:cstheme="minorHAnsi"/>
          <w:i/>
          <w:iCs/>
          <w:sz w:val="24"/>
          <w:szCs w:val="24"/>
          <w:u w:val="single"/>
          <w:lang w:val="el-GR"/>
        </w:rPr>
        <w:t xml:space="preserve"> </w:t>
      </w:r>
      <w:r w:rsidR="007C7A9A">
        <w:rPr>
          <w:rFonts w:cstheme="minorHAnsi"/>
          <w:i/>
          <w:iCs/>
          <w:sz w:val="24"/>
          <w:szCs w:val="24"/>
          <w:u w:val="single"/>
          <w:lang w:val="el-GR"/>
        </w:rPr>
        <w:t>Διοικήσεως</w:t>
      </w:r>
      <w:r w:rsidR="00981082">
        <w:rPr>
          <w:rFonts w:cstheme="minorHAnsi"/>
          <w:i/>
          <w:iCs/>
          <w:sz w:val="24"/>
          <w:szCs w:val="24"/>
          <w:u w:val="single"/>
          <w:lang w:val="el-GR"/>
        </w:rPr>
        <w:t xml:space="preserve"> </w:t>
      </w:r>
      <w:r>
        <w:rPr>
          <w:rFonts w:cstheme="minorHAnsi"/>
          <w:i/>
          <w:iCs/>
          <w:sz w:val="24"/>
          <w:szCs w:val="24"/>
          <w:u w:val="single"/>
          <w:lang w:val="el-GR"/>
        </w:rPr>
        <w:t>και</w:t>
      </w:r>
      <w:r w:rsidRPr="00F04244">
        <w:rPr>
          <w:rFonts w:cstheme="minorHAnsi"/>
          <w:i/>
          <w:iCs/>
          <w:sz w:val="24"/>
          <w:szCs w:val="24"/>
          <w:u w:val="single"/>
          <w:lang w:val="el-GR"/>
        </w:rPr>
        <w:t xml:space="preserve"> </w:t>
      </w:r>
      <w:r>
        <w:rPr>
          <w:rFonts w:cstheme="minorHAnsi"/>
          <w:i/>
          <w:iCs/>
          <w:sz w:val="24"/>
          <w:szCs w:val="24"/>
          <w:u w:val="single"/>
          <w:lang w:val="el-GR"/>
        </w:rPr>
        <w:t>Προστασία</w:t>
      </w:r>
      <w:r w:rsidR="00981082">
        <w:rPr>
          <w:rFonts w:cstheme="minorHAnsi"/>
          <w:i/>
          <w:iCs/>
          <w:sz w:val="24"/>
          <w:szCs w:val="24"/>
          <w:u w:val="single"/>
          <w:lang w:val="el-GR"/>
        </w:rPr>
        <w:t>ς</w:t>
      </w:r>
      <w:r w:rsidRPr="00F04244">
        <w:rPr>
          <w:rFonts w:cstheme="minorHAnsi"/>
          <w:i/>
          <w:iCs/>
          <w:sz w:val="24"/>
          <w:szCs w:val="24"/>
          <w:u w:val="single"/>
          <w:lang w:val="el-GR"/>
        </w:rPr>
        <w:t xml:space="preserve"> </w:t>
      </w:r>
      <w:r>
        <w:rPr>
          <w:rFonts w:cstheme="minorHAnsi"/>
          <w:i/>
          <w:iCs/>
          <w:sz w:val="24"/>
          <w:szCs w:val="24"/>
          <w:u w:val="single"/>
          <w:lang w:val="el-GR"/>
        </w:rPr>
        <w:t>Ανθρωπίνων</w:t>
      </w:r>
      <w:r w:rsidRPr="00F04244">
        <w:rPr>
          <w:rFonts w:cstheme="minorHAnsi"/>
          <w:i/>
          <w:iCs/>
          <w:sz w:val="24"/>
          <w:szCs w:val="24"/>
          <w:u w:val="single"/>
          <w:lang w:val="el-GR"/>
        </w:rPr>
        <w:t xml:space="preserve"> </w:t>
      </w:r>
      <w:r>
        <w:rPr>
          <w:rFonts w:cstheme="minorHAnsi"/>
          <w:i/>
          <w:iCs/>
          <w:sz w:val="24"/>
          <w:szCs w:val="24"/>
          <w:u w:val="single"/>
          <w:lang w:val="el-GR"/>
        </w:rPr>
        <w:t>Δικαιωμάτων</w:t>
      </w:r>
      <w:r w:rsidR="00A5147D" w:rsidRPr="00F04244">
        <w:rPr>
          <w:rFonts w:cstheme="minorHAnsi"/>
          <w:i/>
          <w:iCs/>
          <w:sz w:val="24"/>
          <w:szCs w:val="24"/>
          <w:u w:val="single"/>
          <w:lang w:val="el-GR"/>
        </w:rPr>
        <w:t xml:space="preserve"> (</w:t>
      </w:r>
      <w:r w:rsidR="00F04244">
        <w:rPr>
          <w:rFonts w:cstheme="minorHAnsi"/>
          <w:i/>
          <w:iCs/>
          <w:sz w:val="24"/>
          <w:szCs w:val="24"/>
          <w:u w:val="single"/>
          <w:lang w:val="el-GR"/>
        </w:rPr>
        <w:t>Επίτροπος Διοικήσεως</w:t>
      </w:r>
      <w:r w:rsidR="00A5147D" w:rsidRPr="00F04244">
        <w:rPr>
          <w:rFonts w:cstheme="minorHAnsi"/>
          <w:i/>
          <w:iCs/>
          <w:sz w:val="24"/>
          <w:szCs w:val="24"/>
          <w:u w:val="single"/>
          <w:lang w:val="el-GR"/>
        </w:rPr>
        <w:t>)</w:t>
      </w:r>
    </w:p>
    <w:p w14:paraId="7A04C4E6" w14:textId="77777777" w:rsidR="00A5147D" w:rsidRPr="00F04244" w:rsidRDefault="00A5147D" w:rsidP="00A5147D">
      <w:pPr>
        <w:tabs>
          <w:tab w:val="left" w:pos="709"/>
        </w:tabs>
        <w:contextualSpacing/>
        <w:rPr>
          <w:rFonts w:eastAsia="Times New Roman" w:cstheme="minorHAnsi"/>
          <w:bCs/>
          <w:iCs/>
          <w:sz w:val="24"/>
          <w:szCs w:val="24"/>
          <w:u w:val="single"/>
          <w:lang w:val="el-GR"/>
        </w:rPr>
      </w:pPr>
    </w:p>
    <w:p w14:paraId="24029DD3" w14:textId="1A83A4AD" w:rsidR="00A5147D" w:rsidRPr="00F04244" w:rsidRDefault="00F04244"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Ο</w:t>
      </w:r>
      <w:r w:rsidRPr="00F04244">
        <w:rPr>
          <w:rFonts w:cstheme="minorHAnsi"/>
          <w:sz w:val="24"/>
          <w:szCs w:val="24"/>
          <w:lang w:val="el-GR"/>
        </w:rPr>
        <w:t xml:space="preserve"> </w:t>
      </w:r>
      <w:r>
        <w:rPr>
          <w:rFonts w:cstheme="minorHAnsi"/>
          <w:sz w:val="24"/>
          <w:szCs w:val="24"/>
          <w:lang w:val="el-GR"/>
        </w:rPr>
        <w:t>Επίτροπος</w:t>
      </w:r>
      <w:r w:rsidRPr="00F04244">
        <w:rPr>
          <w:rFonts w:cstheme="minorHAnsi"/>
          <w:sz w:val="24"/>
          <w:szCs w:val="24"/>
          <w:lang w:val="el-GR"/>
        </w:rPr>
        <w:t xml:space="preserve"> </w:t>
      </w:r>
      <w:r>
        <w:rPr>
          <w:rFonts w:cstheme="minorHAnsi"/>
          <w:sz w:val="24"/>
          <w:szCs w:val="24"/>
          <w:lang w:val="el-GR"/>
        </w:rPr>
        <w:t>για</w:t>
      </w:r>
      <w:r w:rsidRPr="00F04244">
        <w:rPr>
          <w:rFonts w:cstheme="minorHAnsi"/>
          <w:sz w:val="24"/>
          <w:szCs w:val="24"/>
          <w:lang w:val="el-GR"/>
        </w:rPr>
        <w:t xml:space="preserve"> </w:t>
      </w:r>
      <w:r>
        <w:rPr>
          <w:rFonts w:cstheme="minorHAnsi"/>
          <w:sz w:val="24"/>
          <w:szCs w:val="24"/>
          <w:lang w:val="el-GR"/>
        </w:rPr>
        <w:t>τη</w:t>
      </w:r>
      <w:r w:rsidR="00981082">
        <w:rPr>
          <w:rFonts w:cstheme="minorHAnsi"/>
          <w:sz w:val="24"/>
          <w:szCs w:val="24"/>
          <w:lang w:val="el-GR"/>
        </w:rPr>
        <w:t xml:space="preserve"> Διοίκηση </w:t>
      </w:r>
      <w:r>
        <w:rPr>
          <w:rFonts w:cstheme="minorHAnsi"/>
          <w:sz w:val="24"/>
          <w:szCs w:val="24"/>
          <w:lang w:val="el-GR"/>
        </w:rPr>
        <w:t>και</w:t>
      </w:r>
      <w:r w:rsidRPr="00F04244">
        <w:rPr>
          <w:rFonts w:cstheme="minorHAnsi"/>
          <w:sz w:val="24"/>
          <w:szCs w:val="24"/>
          <w:lang w:val="el-GR"/>
        </w:rPr>
        <w:t xml:space="preserve"> </w:t>
      </w:r>
      <w:r>
        <w:rPr>
          <w:rFonts w:cstheme="minorHAnsi"/>
          <w:sz w:val="24"/>
          <w:szCs w:val="24"/>
          <w:lang w:val="el-GR"/>
        </w:rPr>
        <w:t>την</w:t>
      </w:r>
      <w:r w:rsidRPr="00F04244">
        <w:rPr>
          <w:rFonts w:cstheme="minorHAnsi"/>
          <w:sz w:val="24"/>
          <w:szCs w:val="24"/>
          <w:lang w:val="el-GR"/>
        </w:rPr>
        <w:t xml:space="preserve"> </w:t>
      </w:r>
      <w:r>
        <w:rPr>
          <w:rFonts w:cstheme="minorHAnsi"/>
          <w:sz w:val="24"/>
          <w:szCs w:val="24"/>
          <w:lang w:val="el-GR"/>
        </w:rPr>
        <w:t>Προστασία</w:t>
      </w:r>
      <w:r w:rsidRPr="00F04244">
        <w:rPr>
          <w:rFonts w:cstheme="minorHAnsi"/>
          <w:sz w:val="24"/>
          <w:szCs w:val="24"/>
          <w:lang w:val="el-GR"/>
        </w:rPr>
        <w:t xml:space="preserve"> </w:t>
      </w:r>
      <w:r>
        <w:rPr>
          <w:rFonts w:cstheme="minorHAnsi"/>
          <w:sz w:val="24"/>
          <w:szCs w:val="24"/>
          <w:lang w:val="el-GR"/>
        </w:rPr>
        <w:t>των</w:t>
      </w:r>
      <w:r w:rsidRPr="00F04244">
        <w:rPr>
          <w:rFonts w:cstheme="minorHAnsi"/>
          <w:sz w:val="24"/>
          <w:szCs w:val="24"/>
          <w:lang w:val="el-GR"/>
        </w:rPr>
        <w:t xml:space="preserve"> </w:t>
      </w:r>
      <w:r>
        <w:rPr>
          <w:rFonts w:cstheme="minorHAnsi"/>
          <w:sz w:val="24"/>
          <w:szCs w:val="24"/>
          <w:lang w:val="el-GR"/>
        </w:rPr>
        <w:t>Ανθρωπίνων</w:t>
      </w:r>
      <w:r w:rsidRPr="00F04244">
        <w:rPr>
          <w:rFonts w:cstheme="minorHAnsi"/>
          <w:sz w:val="24"/>
          <w:szCs w:val="24"/>
          <w:lang w:val="el-GR"/>
        </w:rPr>
        <w:t xml:space="preserve"> </w:t>
      </w:r>
      <w:r>
        <w:rPr>
          <w:rFonts w:cstheme="minorHAnsi"/>
          <w:sz w:val="24"/>
          <w:szCs w:val="24"/>
          <w:lang w:val="el-GR"/>
        </w:rPr>
        <w:t>Δικαιωμάτων</w:t>
      </w:r>
      <w:r w:rsidR="00A5147D" w:rsidRPr="00F04244">
        <w:rPr>
          <w:rFonts w:cstheme="minorHAnsi"/>
          <w:sz w:val="24"/>
          <w:szCs w:val="24"/>
          <w:lang w:val="el-GR"/>
        </w:rPr>
        <w:t xml:space="preserve"> (</w:t>
      </w:r>
      <w:r>
        <w:rPr>
          <w:rFonts w:cstheme="minorHAnsi"/>
          <w:sz w:val="24"/>
          <w:szCs w:val="24"/>
          <w:lang w:val="el-GR"/>
        </w:rPr>
        <w:t>Επίτροπος</w:t>
      </w:r>
      <w:r w:rsidRPr="00F04244">
        <w:rPr>
          <w:rFonts w:cstheme="minorHAnsi"/>
          <w:sz w:val="24"/>
          <w:szCs w:val="24"/>
          <w:lang w:val="el-GR"/>
        </w:rPr>
        <w:t xml:space="preserve"> </w:t>
      </w:r>
      <w:r>
        <w:rPr>
          <w:rFonts w:cstheme="minorHAnsi"/>
          <w:sz w:val="24"/>
          <w:szCs w:val="24"/>
          <w:lang w:val="el-GR"/>
        </w:rPr>
        <w:t>Διοικήσεως</w:t>
      </w:r>
      <w:r w:rsidR="00A5147D" w:rsidRPr="00F04244">
        <w:rPr>
          <w:rFonts w:cstheme="minorHAnsi"/>
          <w:sz w:val="24"/>
          <w:szCs w:val="24"/>
          <w:lang w:val="el-GR"/>
        </w:rPr>
        <w:t xml:space="preserve">) </w:t>
      </w:r>
      <w:r>
        <w:rPr>
          <w:rFonts w:cstheme="minorHAnsi"/>
          <w:sz w:val="24"/>
          <w:szCs w:val="24"/>
          <w:lang w:val="el-GR"/>
        </w:rPr>
        <w:t>ασχολείται</w:t>
      </w:r>
      <w:r w:rsidRPr="00F04244">
        <w:rPr>
          <w:rFonts w:cstheme="minorHAnsi"/>
          <w:sz w:val="24"/>
          <w:szCs w:val="24"/>
          <w:lang w:val="el-GR"/>
        </w:rPr>
        <w:t xml:space="preserve"> </w:t>
      </w:r>
      <w:r>
        <w:rPr>
          <w:rFonts w:cstheme="minorHAnsi"/>
          <w:sz w:val="24"/>
          <w:szCs w:val="24"/>
          <w:lang w:val="el-GR"/>
        </w:rPr>
        <w:t>με</w:t>
      </w:r>
      <w:r w:rsidRPr="00F04244">
        <w:rPr>
          <w:rFonts w:cstheme="minorHAnsi"/>
          <w:sz w:val="24"/>
          <w:szCs w:val="24"/>
          <w:lang w:val="el-GR"/>
        </w:rPr>
        <w:t xml:space="preserve"> </w:t>
      </w:r>
      <w:r>
        <w:rPr>
          <w:rFonts w:cstheme="minorHAnsi"/>
          <w:sz w:val="24"/>
          <w:szCs w:val="24"/>
          <w:lang w:val="el-GR"/>
        </w:rPr>
        <w:t>μεμονωμένα</w:t>
      </w:r>
      <w:r w:rsidRPr="00F04244">
        <w:rPr>
          <w:rFonts w:cstheme="minorHAnsi"/>
          <w:sz w:val="24"/>
          <w:szCs w:val="24"/>
          <w:lang w:val="el-GR"/>
        </w:rPr>
        <w:t xml:space="preserve"> </w:t>
      </w:r>
      <w:r>
        <w:rPr>
          <w:rFonts w:cstheme="minorHAnsi"/>
          <w:sz w:val="24"/>
          <w:szCs w:val="24"/>
          <w:lang w:val="el-GR"/>
        </w:rPr>
        <w:t>παράπονα</w:t>
      </w:r>
      <w:r w:rsidR="00A5147D" w:rsidRPr="00F04244">
        <w:rPr>
          <w:rFonts w:cstheme="minorHAnsi"/>
          <w:sz w:val="24"/>
          <w:szCs w:val="24"/>
          <w:lang w:val="el-GR"/>
        </w:rPr>
        <w:t xml:space="preserve"> </w:t>
      </w:r>
      <w:r>
        <w:rPr>
          <w:rFonts w:cstheme="minorHAnsi"/>
          <w:sz w:val="24"/>
          <w:szCs w:val="24"/>
          <w:lang w:val="el-GR"/>
        </w:rPr>
        <w:t>εναντίον κρατικών αρχών ή δημ</w:t>
      </w:r>
      <w:r w:rsidR="0008125F">
        <w:rPr>
          <w:rFonts w:cstheme="minorHAnsi"/>
          <w:sz w:val="24"/>
          <w:szCs w:val="24"/>
          <w:lang w:val="el-GR"/>
        </w:rPr>
        <w:t>ο</w:t>
      </w:r>
      <w:r>
        <w:rPr>
          <w:rFonts w:cstheme="minorHAnsi"/>
          <w:sz w:val="24"/>
          <w:szCs w:val="24"/>
          <w:lang w:val="el-GR"/>
        </w:rPr>
        <w:t>σ</w:t>
      </w:r>
      <w:r w:rsidR="0008125F">
        <w:rPr>
          <w:rFonts w:cstheme="minorHAnsi"/>
          <w:sz w:val="24"/>
          <w:szCs w:val="24"/>
          <w:lang w:val="el-GR"/>
        </w:rPr>
        <w:t>ί</w:t>
      </w:r>
      <w:r>
        <w:rPr>
          <w:rFonts w:cstheme="minorHAnsi"/>
          <w:sz w:val="24"/>
          <w:szCs w:val="24"/>
          <w:lang w:val="el-GR"/>
        </w:rPr>
        <w:t>ων λειτουργών</w:t>
      </w:r>
      <w:r w:rsidR="00A5147D"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για θέματα νομιμότητας</w:t>
      </w:r>
      <w:r w:rsidR="00A5147D"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χρηστής διοίκησης</w:t>
      </w:r>
      <w:r w:rsidR="00A5147D" w:rsidRPr="00F04244">
        <w:rPr>
          <w:rFonts w:eastAsia="Arial Unicode MS" w:cstheme="minorHAnsi"/>
          <w:sz w:val="24"/>
          <w:szCs w:val="24"/>
          <w:u w:color="000000"/>
          <w:bdr w:val="nil"/>
          <w:lang w:val="el-GR"/>
        </w:rPr>
        <w:t xml:space="preserve">, </w:t>
      </w:r>
      <w:r w:rsidR="007C7A9A">
        <w:rPr>
          <w:rFonts w:eastAsia="Arial Unicode MS" w:cstheme="minorHAnsi"/>
          <w:sz w:val="24"/>
          <w:szCs w:val="24"/>
          <w:u w:color="000000"/>
          <w:bdr w:val="nil"/>
          <w:lang w:val="el-GR"/>
        </w:rPr>
        <w:t>κακοδιαχείρισης</w:t>
      </w:r>
      <w:r w:rsidR="00A5147D"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και την προστασία των πολιτών και ανθρωπίνων δικαιωμάτων</w:t>
      </w:r>
      <w:r w:rsidR="00A5147D" w:rsidRPr="00F04244">
        <w:rPr>
          <w:rFonts w:eastAsia="Arial Unicode MS" w:cstheme="minorHAnsi"/>
          <w:sz w:val="24"/>
          <w:szCs w:val="24"/>
          <w:u w:color="000000"/>
          <w:bdr w:val="nil"/>
          <w:lang w:val="el-GR"/>
        </w:rPr>
        <w:t>.</w:t>
      </w:r>
    </w:p>
    <w:p w14:paraId="136D5B48" w14:textId="77777777" w:rsidR="00A5147D" w:rsidRPr="00F04244" w:rsidRDefault="00A5147D" w:rsidP="00A5147D">
      <w:pPr>
        <w:pBdr>
          <w:top w:val="nil"/>
          <w:left w:val="nil"/>
          <w:bottom w:val="nil"/>
          <w:right w:val="nil"/>
          <w:between w:val="nil"/>
          <w:bar w:val="nil"/>
        </w:pBdr>
        <w:rPr>
          <w:rFonts w:eastAsia="Arial Unicode MS" w:cstheme="minorHAnsi"/>
          <w:sz w:val="24"/>
          <w:szCs w:val="24"/>
          <w:u w:color="000000"/>
          <w:bdr w:val="nil"/>
          <w:lang w:val="el-GR"/>
        </w:rPr>
      </w:pPr>
    </w:p>
    <w:p w14:paraId="65539266" w14:textId="40E342D2" w:rsidR="00A5147D" w:rsidRPr="00F04244" w:rsidRDefault="00F04244" w:rsidP="00A5147D">
      <w:pPr>
        <w:numPr>
          <w:ilvl w:val="0"/>
          <w:numId w:val="1"/>
        </w:numPr>
        <w:tabs>
          <w:tab w:val="clear" w:pos="6095"/>
          <w:tab w:val="left" w:pos="709"/>
        </w:tabs>
        <w:ind w:left="0" w:firstLine="0"/>
        <w:rPr>
          <w:rFonts w:eastAsia="Arial Unicode MS" w:cstheme="minorHAnsi"/>
          <w:sz w:val="24"/>
          <w:szCs w:val="24"/>
          <w:u w:color="000000"/>
          <w:bdr w:val="nil"/>
          <w:lang w:val="el-GR"/>
        </w:rPr>
      </w:pPr>
      <w:r>
        <w:rPr>
          <w:rFonts w:cstheme="minorHAnsi"/>
          <w:sz w:val="24"/>
          <w:szCs w:val="24"/>
          <w:lang w:val="el-GR"/>
        </w:rPr>
        <w:t>Η</w:t>
      </w:r>
      <w:r w:rsidRPr="00F04244">
        <w:rPr>
          <w:rFonts w:cstheme="minorHAnsi"/>
          <w:sz w:val="24"/>
          <w:szCs w:val="24"/>
          <w:lang w:val="el-GR"/>
        </w:rPr>
        <w:t xml:space="preserve"> </w:t>
      </w:r>
      <w:r>
        <w:rPr>
          <w:rFonts w:cstheme="minorHAnsi"/>
          <w:sz w:val="24"/>
          <w:szCs w:val="24"/>
          <w:lang w:val="el-GR"/>
        </w:rPr>
        <w:t>διερεύνηση</w:t>
      </w:r>
      <w:r w:rsidRPr="00F04244">
        <w:rPr>
          <w:rFonts w:cstheme="minorHAnsi"/>
          <w:sz w:val="24"/>
          <w:szCs w:val="24"/>
          <w:lang w:val="el-GR"/>
        </w:rPr>
        <w:t xml:space="preserve"> </w:t>
      </w:r>
      <w:r>
        <w:rPr>
          <w:rFonts w:cstheme="minorHAnsi"/>
          <w:sz w:val="24"/>
          <w:szCs w:val="24"/>
          <w:lang w:val="el-GR"/>
        </w:rPr>
        <w:t>του</w:t>
      </w:r>
      <w:r w:rsidRPr="00F04244">
        <w:rPr>
          <w:rFonts w:cstheme="minorHAnsi"/>
          <w:sz w:val="24"/>
          <w:szCs w:val="24"/>
          <w:lang w:val="el-GR"/>
        </w:rPr>
        <w:t xml:space="preserve"> </w:t>
      </w:r>
      <w:r>
        <w:rPr>
          <w:rFonts w:cstheme="minorHAnsi"/>
          <w:sz w:val="24"/>
          <w:szCs w:val="24"/>
          <w:lang w:val="el-GR"/>
        </w:rPr>
        <w:t>Επιτρόπου</w:t>
      </w:r>
      <w:r w:rsidRPr="00F04244">
        <w:rPr>
          <w:rFonts w:cstheme="minorHAnsi"/>
          <w:sz w:val="24"/>
          <w:szCs w:val="24"/>
          <w:lang w:val="el-GR"/>
        </w:rPr>
        <w:t xml:space="preserve"> </w:t>
      </w:r>
      <w:r w:rsidR="00973266">
        <w:rPr>
          <w:rFonts w:cstheme="minorHAnsi"/>
          <w:sz w:val="24"/>
          <w:szCs w:val="24"/>
          <w:lang w:val="el-GR"/>
        </w:rPr>
        <w:t>Διαχείρισης</w:t>
      </w:r>
      <w:r w:rsidRPr="00F04244">
        <w:rPr>
          <w:rFonts w:cstheme="minorHAnsi"/>
          <w:sz w:val="24"/>
          <w:szCs w:val="24"/>
          <w:lang w:val="el-GR"/>
        </w:rPr>
        <w:t xml:space="preserve"> </w:t>
      </w:r>
      <w:r>
        <w:rPr>
          <w:rFonts w:cstheme="minorHAnsi"/>
          <w:sz w:val="24"/>
          <w:szCs w:val="24"/>
          <w:lang w:val="el-GR"/>
        </w:rPr>
        <w:t>μπορεί</w:t>
      </w:r>
      <w:r w:rsidRPr="00F04244">
        <w:rPr>
          <w:rFonts w:cstheme="minorHAnsi"/>
          <w:sz w:val="24"/>
          <w:szCs w:val="24"/>
          <w:lang w:val="el-GR"/>
        </w:rPr>
        <w:t xml:space="preserve"> </w:t>
      </w:r>
      <w:r>
        <w:rPr>
          <w:rFonts w:cstheme="minorHAnsi"/>
          <w:sz w:val="24"/>
          <w:szCs w:val="24"/>
          <w:lang w:val="el-GR"/>
        </w:rPr>
        <w:t>να</w:t>
      </w:r>
      <w:r w:rsidRPr="00F04244">
        <w:rPr>
          <w:rFonts w:cstheme="minorHAnsi"/>
          <w:sz w:val="24"/>
          <w:szCs w:val="24"/>
          <w:lang w:val="el-GR"/>
        </w:rPr>
        <w:t xml:space="preserve"> </w:t>
      </w:r>
      <w:r>
        <w:rPr>
          <w:rFonts w:cstheme="minorHAnsi"/>
          <w:sz w:val="24"/>
          <w:szCs w:val="24"/>
          <w:lang w:val="el-GR"/>
        </w:rPr>
        <w:t>οδηγήσει</w:t>
      </w:r>
      <w:r w:rsidRPr="00F04244">
        <w:rPr>
          <w:rFonts w:cstheme="minorHAnsi"/>
          <w:sz w:val="24"/>
          <w:szCs w:val="24"/>
          <w:lang w:val="el-GR"/>
        </w:rPr>
        <w:t xml:space="preserve"> </w:t>
      </w:r>
      <w:r>
        <w:rPr>
          <w:rFonts w:cstheme="minorHAnsi"/>
          <w:sz w:val="24"/>
          <w:szCs w:val="24"/>
          <w:lang w:val="el-GR"/>
        </w:rPr>
        <w:t>σε</w:t>
      </w:r>
      <w:r w:rsidRPr="00F04244">
        <w:rPr>
          <w:rFonts w:cstheme="minorHAnsi"/>
          <w:sz w:val="24"/>
          <w:szCs w:val="24"/>
          <w:lang w:val="el-GR"/>
        </w:rPr>
        <w:t xml:space="preserve"> </w:t>
      </w:r>
      <w:r>
        <w:rPr>
          <w:rFonts w:cstheme="minorHAnsi"/>
          <w:sz w:val="24"/>
          <w:szCs w:val="24"/>
          <w:lang w:val="el-GR"/>
        </w:rPr>
        <w:t>μια</w:t>
      </w:r>
      <w:r w:rsidRPr="00F04244">
        <w:rPr>
          <w:rFonts w:cstheme="minorHAnsi"/>
          <w:sz w:val="24"/>
          <w:szCs w:val="24"/>
          <w:lang w:val="el-GR"/>
        </w:rPr>
        <w:t xml:space="preserve"> </w:t>
      </w:r>
      <w:r>
        <w:rPr>
          <w:rFonts w:cstheme="minorHAnsi"/>
          <w:sz w:val="24"/>
          <w:szCs w:val="24"/>
          <w:lang w:val="el-GR"/>
        </w:rPr>
        <w:t>έκθεση</w:t>
      </w:r>
      <w:r w:rsidR="00A5147D"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που</w:t>
      </w:r>
      <w:r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υποβάλλεται</w:t>
      </w:r>
      <w:r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στην</w:t>
      </w:r>
      <w:r w:rsidRPr="00F04244">
        <w:rPr>
          <w:rFonts w:eastAsia="Arial Unicode MS" w:cstheme="minorHAnsi"/>
          <w:sz w:val="24"/>
          <w:szCs w:val="24"/>
          <w:u w:color="000000"/>
          <w:bdr w:val="nil"/>
          <w:lang w:val="el-GR"/>
        </w:rPr>
        <w:t>/</w:t>
      </w:r>
      <w:proofErr w:type="spellStart"/>
      <w:r>
        <w:rPr>
          <w:rFonts w:eastAsia="Arial Unicode MS" w:cstheme="minorHAnsi"/>
          <w:sz w:val="24"/>
          <w:szCs w:val="24"/>
          <w:u w:color="000000"/>
          <w:bdr w:val="nil"/>
          <w:lang w:val="el-GR"/>
        </w:rPr>
        <w:t>ις</w:t>
      </w:r>
      <w:proofErr w:type="spellEnd"/>
      <w:r w:rsidR="00A5147D"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εμπλεκόμενη</w:t>
      </w:r>
      <w:r w:rsidRPr="00F04244">
        <w:rPr>
          <w:rFonts w:eastAsia="Arial Unicode MS" w:cstheme="minorHAnsi"/>
          <w:sz w:val="24"/>
          <w:szCs w:val="24"/>
          <w:u w:color="000000"/>
          <w:bdr w:val="nil"/>
          <w:lang w:val="el-GR"/>
        </w:rPr>
        <w:t>/</w:t>
      </w:r>
      <w:proofErr w:type="spellStart"/>
      <w:r>
        <w:rPr>
          <w:rFonts w:eastAsia="Arial Unicode MS" w:cstheme="minorHAnsi"/>
          <w:sz w:val="24"/>
          <w:szCs w:val="24"/>
          <w:u w:color="000000"/>
          <w:bdr w:val="nil"/>
          <w:lang w:val="el-GR"/>
        </w:rPr>
        <w:t>ες</w:t>
      </w:r>
      <w:proofErr w:type="spellEnd"/>
      <w:r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αρχή/</w:t>
      </w:r>
      <w:proofErr w:type="spellStart"/>
      <w:r>
        <w:rPr>
          <w:rFonts w:eastAsia="Arial Unicode MS" w:cstheme="minorHAnsi"/>
          <w:sz w:val="24"/>
          <w:szCs w:val="24"/>
          <w:u w:color="000000"/>
          <w:bdr w:val="nil"/>
          <w:lang w:val="el-GR"/>
        </w:rPr>
        <w:t>ες</w:t>
      </w:r>
      <w:proofErr w:type="spellEnd"/>
      <w:r w:rsidR="00A5147D"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με συμπεράσματα</w:t>
      </w:r>
      <w:r w:rsidR="00A5147D"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συγκεκριμένες</w:t>
      </w:r>
      <w:r w:rsidR="00A5147D"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εισηγήσεις και συστάσεις</w:t>
      </w:r>
      <w:r w:rsidR="00A5147D"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που σκοπεύουν στην επίλυση ενός θέματος</w:t>
      </w:r>
      <w:r w:rsidR="00A5147D"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 xml:space="preserve">τόσο σε ατομικό όσο και σε </w:t>
      </w:r>
      <w:r>
        <w:rPr>
          <w:rFonts w:eastAsia="Arial Unicode MS" w:cstheme="minorHAnsi"/>
          <w:sz w:val="24"/>
          <w:szCs w:val="24"/>
          <w:u w:color="000000"/>
          <w:bdr w:val="nil"/>
          <w:lang w:val="el-GR"/>
        </w:rPr>
        <w:lastRenderedPageBreak/>
        <w:t>συστημικό επίπεδο</w:t>
      </w:r>
      <w:r w:rsidR="00A5147D"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Στο</w:t>
      </w:r>
      <w:r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πλαίσιο</w:t>
      </w:r>
      <w:r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αυτό</w:t>
      </w:r>
      <w:r w:rsidR="00A5147D"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ο</w:t>
      </w:r>
      <w:r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Επίτροπος</w:t>
      </w:r>
      <w:r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Διοικήσεως</w:t>
      </w:r>
      <w:r w:rsidR="00A5147D"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παρέχει</w:t>
      </w:r>
      <w:r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ένα</w:t>
      </w:r>
      <w:r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εξωδικαστικό</w:t>
      </w:r>
      <w:r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μηχανισμό</w:t>
      </w:r>
      <w:r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ελέγχου</w:t>
      </w:r>
      <w:r w:rsidR="00A5147D" w:rsidRPr="00F04244">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όσον αφορά αποφάσεις/πολιτικές</w:t>
      </w:r>
      <w:r w:rsidR="00A5147D" w:rsidRPr="00F04244">
        <w:rPr>
          <w:rFonts w:eastAsia="Arial Unicode MS" w:cstheme="minorHAnsi"/>
          <w:sz w:val="24"/>
          <w:szCs w:val="24"/>
          <w:u w:color="000000"/>
          <w:bdr w:val="nil"/>
          <w:lang w:val="el-GR"/>
        </w:rPr>
        <w:t xml:space="preserve"> </w:t>
      </w:r>
      <w:r w:rsidR="0012282A">
        <w:rPr>
          <w:rFonts w:eastAsia="Arial Unicode MS" w:cstheme="minorHAnsi"/>
          <w:sz w:val="24"/>
          <w:szCs w:val="24"/>
          <w:u w:color="000000"/>
          <w:bdr w:val="nil"/>
          <w:lang w:val="el-GR"/>
        </w:rPr>
        <w:t>που έχουν ληφθεί/υλοποιηθεί από τον ευρύτερο δημόσιο τομέα</w:t>
      </w:r>
      <w:r w:rsidR="00A5147D" w:rsidRPr="00F04244">
        <w:rPr>
          <w:rFonts w:eastAsia="Arial Unicode MS" w:cstheme="minorHAnsi"/>
          <w:sz w:val="24"/>
          <w:szCs w:val="24"/>
          <w:u w:color="000000"/>
          <w:bdr w:val="nil"/>
          <w:lang w:val="el-GR"/>
        </w:rPr>
        <w:t xml:space="preserve">. </w:t>
      </w:r>
    </w:p>
    <w:p w14:paraId="52244A91" w14:textId="77777777" w:rsidR="00A5147D" w:rsidRPr="00F04244" w:rsidRDefault="00A5147D" w:rsidP="00A5147D">
      <w:pPr>
        <w:tabs>
          <w:tab w:val="left" w:pos="709"/>
        </w:tabs>
        <w:rPr>
          <w:rFonts w:eastAsia="Arial Unicode MS" w:cstheme="minorHAnsi"/>
          <w:sz w:val="24"/>
          <w:szCs w:val="24"/>
          <w:u w:color="000000"/>
          <w:bdr w:val="nil"/>
          <w:lang w:val="el-GR"/>
        </w:rPr>
      </w:pPr>
    </w:p>
    <w:p w14:paraId="554D6BA6" w14:textId="4811ED3C" w:rsidR="00A5147D" w:rsidRPr="005D0CB6" w:rsidRDefault="005D0CB6" w:rsidP="00A5147D">
      <w:pPr>
        <w:numPr>
          <w:ilvl w:val="0"/>
          <w:numId w:val="1"/>
        </w:numPr>
        <w:tabs>
          <w:tab w:val="clear" w:pos="6095"/>
          <w:tab w:val="left" w:pos="709"/>
        </w:tabs>
        <w:ind w:left="0" w:firstLine="0"/>
        <w:rPr>
          <w:rFonts w:eastAsia="Arial Unicode MS" w:cstheme="minorHAnsi"/>
          <w:sz w:val="24"/>
          <w:szCs w:val="24"/>
          <w:u w:color="000000"/>
          <w:bdr w:val="nil"/>
          <w:lang w:val="el-GR"/>
        </w:rPr>
      </w:pPr>
      <w:r>
        <w:rPr>
          <w:rFonts w:eastAsia="Calibri" w:cstheme="minorHAnsi"/>
          <w:sz w:val="24"/>
          <w:szCs w:val="24"/>
          <w:u w:color="000000"/>
          <w:bdr w:val="nil"/>
          <w:lang w:val="el-GR"/>
        </w:rPr>
        <w:t>Αν</w:t>
      </w:r>
      <w:r w:rsidR="00A5147D"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σε</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οποιοδήποτε</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στάδιο</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της</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διερεύνησης</w:t>
      </w:r>
      <w:r w:rsidR="00A5147D"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ή</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μετά</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την</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ολοκλήρωση</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της</w:t>
      </w:r>
      <w:r w:rsidR="00A5147D"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ο</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Επίτροπος</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Διοικήσεως</w:t>
      </w:r>
      <w:r w:rsidR="00A5147D"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αποφασί</w:t>
      </w:r>
      <w:r w:rsidR="00E534AB">
        <w:rPr>
          <w:rFonts w:eastAsia="Calibri" w:cstheme="minorHAnsi"/>
          <w:sz w:val="24"/>
          <w:szCs w:val="24"/>
          <w:u w:color="000000"/>
          <w:bdr w:val="nil"/>
          <w:lang w:val="el-GR"/>
        </w:rPr>
        <w:t>σ</w:t>
      </w:r>
      <w:r>
        <w:rPr>
          <w:rFonts w:eastAsia="Calibri" w:cstheme="minorHAnsi"/>
          <w:sz w:val="24"/>
          <w:szCs w:val="24"/>
          <w:u w:color="000000"/>
          <w:bdr w:val="nil"/>
          <w:lang w:val="el-GR"/>
        </w:rPr>
        <w:t>ει</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ότι</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μπορεί</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να</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έχει</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διαπραχθεί</w:t>
      </w:r>
      <w:r w:rsidR="00A5147D"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ένα</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ποινικό</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ή</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πειθαρχικό</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αδίκημα</w:t>
      </w:r>
      <w:r w:rsidR="00A5147D"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από</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οποιοδήποτε</w:t>
      </w:r>
      <w:r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λειτουργό</w:t>
      </w:r>
      <w:r w:rsidR="00A5147D"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αυτός</w:t>
      </w:r>
      <w:r w:rsidR="00A5147D" w:rsidRPr="005D0CB6">
        <w:rPr>
          <w:rFonts w:eastAsia="Calibri" w:cstheme="minorHAnsi"/>
          <w:sz w:val="24"/>
          <w:szCs w:val="24"/>
          <w:u w:color="000000"/>
          <w:bdr w:val="nil"/>
          <w:lang w:val="el-GR"/>
        </w:rPr>
        <w:t>/</w:t>
      </w:r>
      <w:r>
        <w:rPr>
          <w:rFonts w:eastAsia="Calibri" w:cstheme="minorHAnsi"/>
          <w:sz w:val="24"/>
          <w:szCs w:val="24"/>
          <w:u w:color="000000"/>
          <w:bdr w:val="nil"/>
          <w:lang w:val="el-GR"/>
        </w:rPr>
        <w:t>ή</w:t>
      </w:r>
      <w:r w:rsidR="00A5147D"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θα αναφέρει το θέμα στον Γενικό Εισαγγελέα της Δημοκρατίας</w:t>
      </w:r>
      <w:r w:rsidR="00A5147D"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ή την αρμόδια αρχή</w:t>
      </w:r>
      <w:r w:rsidR="00A5147D"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ανάλογα με την περίπτωση</w:t>
      </w:r>
      <w:r w:rsidR="00A5147D" w:rsidRPr="005D0CB6">
        <w:rPr>
          <w:rFonts w:eastAsia="Calibri" w:cstheme="minorHAnsi"/>
          <w:sz w:val="24"/>
          <w:szCs w:val="24"/>
          <w:u w:color="000000"/>
          <w:bdr w:val="nil"/>
          <w:lang w:val="el-GR"/>
        </w:rPr>
        <w:t xml:space="preserve">, </w:t>
      </w:r>
      <w:r>
        <w:rPr>
          <w:rFonts w:eastAsia="Calibri" w:cstheme="minorHAnsi"/>
          <w:sz w:val="24"/>
          <w:szCs w:val="24"/>
          <w:u w:color="000000"/>
          <w:bdr w:val="nil"/>
          <w:lang w:val="el-GR"/>
        </w:rPr>
        <w:t>ούτως ώστε τα κατάλληλα μέτρα</w:t>
      </w:r>
      <w:r w:rsidR="00981082">
        <w:rPr>
          <w:rFonts w:eastAsia="Calibri" w:cstheme="minorHAnsi"/>
          <w:sz w:val="24"/>
          <w:szCs w:val="24"/>
          <w:u w:color="000000"/>
          <w:bdr w:val="nil"/>
          <w:lang w:val="el-GR"/>
        </w:rPr>
        <w:t xml:space="preserve"> να</w:t>
      </w:r>
      <w:r>
        <w:rPr>
          <w:rFonts w:eastAsia="Calibri" w:cstheme="minorHAnsi"/>
          <w:sz w:val="24"/>
          <w:szCs w:val="24"/>
          <w:u w:color="000000"/>
          <w:bdr w:val="nil"/>
          <w:lang w:val="el-GR"/>
        </w:rPr>
        <w:t xml:space="preserve"> μπορούν να ληφθούν</w:t>
      </w:r>
      <w:r w:rsidR="00A5147D" w:rsidRPr="005D0CB6">
        <w:rPr>
          <w:rFonts w:eastAsia="Calibri" w:cstheme="minorHAnsi"/>
          <w:sz w:val="24"/>
          <w:szCs w:val="24"/>
          <w:u w:color="000000"/>
          <w:bdr w:val="nil"/>
          <w:lang w:val="el-GR"/>
        </w:rPr>
        <w:t>.</w:t>
      </w:r>
    </w:p>
    <w:p w14:paraId="1627AA61" w14:textId="77777777" w:rsidR="00A5147D" w:rsidRPr="005D0CB6" w:rsidRDefault="00A5147D" w:rsidP="00A5147D">
      <w:pPr>
        <w:pStyle w:val="ListParagraph"/>
        <w:rPr>
          <w:rFonts w:eastAsia="Arial Unicode MS" w:cstheme="minorHAnsi"/>
          <w:sz w:val="24"/>
          <w:szCs w:val="24"/>
          <w:u w:color="000000"/>
          <w:bdr w:val="nil"/>
          <w:lang w:val="el-GR"/>
        </w:rPr>
      </w:pPr>
    </w:p>
    <w:p w14:paraId="0AC0145F" w14:textId="0E2B7CBA" w:rsidR="00A5147D" w:rsidRPr="000119D3" w:rsidRDefault="005D0CB6" w:rsidP="00A5147D">
      <w:pPr>
        <w:numPr>
          <w:ilvl w:val="0"/>
          <w:numId w:val="1"/>
        </w:numPr>
        <w:tabs>
          <w:tab w:val="clear" w:pos="6095"/>
          <w:tab w:val="left" w:pos="709"/>
        </w:tabs>
        <w:ind w:left="0" w:firstLine="0"/>
        <w:rPr>
          <w:rFonts w:eastAsia="Arial Unicode MS" w:cstheme="minorHAnsi"/>
          <w:sz w:val="24"/>
          <w:szCs w:val="24"/>
          <w:u w:color="000000"/>
          <w:bdr w:val="nil"/>
          <w:lang w:val="el-GR"/>
        </w:rPr>
      </w:pPr>
      <w:r>
        <w:rPr>
          <w:rFonts w:eastAsia="Arial Unicode MS" w:cstheme="minorHAnsi"/>
          <w:sz w:val="24"/>
          <w:szCs w:val="24"/>
          <w:u w:color="000000"/>
          <w:bdr w:val="nil"/>
          <w:lang w:val="el-GR"/>
        </w:rPr>
        <w:t>Η</w:t>
      </w:r>
      <w:r w:rsidR="00A5147D" w:rsidRPr="005D0CB6">
        <w:rPr>
          <w:rFonts w:eastAsia="Arial Unicode MS" w:cstheme="minorHAnsi"/>
          <w:sz w:val="24"/>
          <w:szCs w:val="24"/>
          <w:u w:color="000000"/>
          <w:bdr w:val="nil"/>
          <w:lang w:val="el-GR"/>
        </w:rPr>
        <w:t xml:space="preserve"> </w:t>
      </w:r>
      <w:r w:rsidR="00A5147D" w:rsidRPr="004E251E">
        <w:rPr>
          <w:rFonts w:eastAsia="Arial Unicode MS" w:cstheme="minorHAnsi"/>
          <w:sz w:val="24"/>
          <w:szCs w:val="24"/>
          <w:u w:color="000000"/>
          <w:bdr w:val="nil"/>
        </w:rPr>
        <w:t>GET</w:t>
      </w:r>
      <w:r w:rsidR="00A5147D" w:rsidRPr="005D0CB6">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σημειώνει</w:t>
      </w:r>
      <w:r w:rsidRPr="005D0CB6">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το</w:t>
      </w:r>
      <w:r w:rsidRPr="005D0CB6">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εφαρμόσιμο</w:t>
      </w:r>
      <w:r w:rsidRPr="005D0CB6">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πλαίσιο</w:t>
      </w:r>
      <w:r w:rsidR="00A5147D" w:rsidRPr="005D0CB6">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για</w:t>
      </w:r>
      <w:r w:rsidRPr="005D0CB6">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να</w:t>
      </w:r>
      <w:r w:rsidRPr="005D0CB6">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παρέχει</w:t>
      </w:r>
      <w:r w:rsidRPr="005D0CB6">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επίβλεψη</w:t>
      </w:r>
      <w:r w:rsidR="00A5147D" w:rsidRPr="005D0CB6">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στην εκτελεστική εξουσία</w:t>
      </w:r>
      <w:r w:rsidR="00A5147D" w:rsidRPr="005D0CB6">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και για να επιτρέψει κάποιους ελέγχους και ισοζύγια</w:t>
      </w:r>
      <w:r w:rsidR="00A5147D" w:rsidRPr="005D0CB6">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w:t>
      </w:r>
      <w:r w:rsidR="00A5147D" w:rsidRPr="004E251E">
        <w:rPr>
          <w:rFonts w:eastAsia="Arial Unicode MS" w:cstheme="minorHAnsi"/>
          <w:sz w:val="24"/>
          <w:szCs w:val="24"/>
          <w:u w:color="000000"/>
          <w:bdr w:val="nil"/>
        </w:rPr>
        <w:t>checks</w:t>
      </w:r>
      <w:r w:rsidR="00A5147D" w:rsidRPr="005D0CB6">
        <w:rPr>
          <w:rFonts w:eastAsia="Arial Unicode MS" w:cstheme="minorHAnsi"/>
          <w:sz w:val="24"/>
          <w:szCs w:val="24"/>
          <w:u w:color="000000"/>
          <w:bdr w:val="nil"/>
          <w:lang w:val="el-GR"/>
        </w:rPr>
        <w:t xml:space="preserve"> </w:t>
      </w:r>
      <w:r w:rsidR="00A5147D" w:rsidRPr="004E251E">
        <w:rPr>
          <w:rFonts w:eastAsia="Arial Unicode MS" w:cstheme="minorHAnsi"/>
          <w:sz w:val="24"/>
          <w:szCs w:val="24"/>
          <w:u w:color="000000"/>
          <w:bdr w:val="nil"/>
        </w:rPr>
        <w:t>and</w:t>
      </w:r>
      <w:r w:rsidR="00A5147D" w:rsidRPr="005D0CB6">
        <w:rPr>
          <w:rFonts w:eastAsia="Arial Unicode MS" w:cstheme="minorHAnsi"/>
          <w:sz w:val="24"/>
          <w:szCs w:val="24"/>
          <w:u w:color="000000"/>
          <w:bdr w:val="nil"/>
          <w:lang w:val="el-GR"/>
        </w:rPr>
        <w:t xml:space="preserve"> </w:t>
      </w:r>
      <w:r w:rsidR="00A5147D" w:rsidRPr="004E251E">
        <w:rPr>
          <w:rFonts w:eastAsia="Arial Unicode MS" w:cstheme="minorHAnsi"/>
          <w:sz w:val="24"/>
          <w:szCs w:val="24"/>
          <w:u w:color="000000"/>
          <w:bdr w:val="nil"/>
        </w:rPr>
        <w:t>balances</w:t>
      </w:r>
      <w:r>
        <w:rPr>
          <w:rFonts w:eastAsia="Arial Unicode MS" w:cstheme="minorHAnsi"/>
          <w:sz w:val="24"/>
          <w:szCs w:val="24"/>
          <w:u w:color="000000"/>
          <w:bdr w:val="nil"/>
          <w:lang w:val="el-GR"/>
        </w:rPr>
        <w:t>)</w:t>
      </w:r>
      <w:r w:rsidR="00A5147D" w:rsidRPr="005D0CB6">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Η</w:t>
      </w:r>
      <w:r w:rsidR="00A5147D" w:rsidRPr="000119D3">
        <w:rPr>
          <w:rFonts w:eastAsia="Arial Unicode MS" w:cstheme="minorHAnsi"/>
          <w:sz w:val="24"/>
          <w:szCs w:val="24"/>
          <w:u w:color="000000"/>
          <w:bdr w:val="nil"/>
          <w:lang w:val="el-GR"/>
        </w:rPr>
        <w:t xml:space="preserve"> </w:t>
      </w:r>
      <w:r w:rsidR="00A5147D" w:rsidRPr="004E251E">
        <w:rPr>
          <w:rFonts w:eastAsia="Arial Unicode MS" w:cstheme="minorHAnsi"/>
          <w:sz w:val="24"/>
          <w:szCs w:val="24"/>
          <w:u w:color="000000"/>
          <w:bdr w:val="nil"/>
        </w:rPr>
        <w:t>GET</w:t>
      </w:r>
      <w:r w:rsidR="00A5147D"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ικανοποιήθηκε</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όταν</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άκουσε</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ότι</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στα</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πρόσφατα</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χρόνια</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έχουν</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κατανεμηθεί</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αυξημένο</w:t>
      </w:r>
      <w:r w:rsidR="007C7A9A">
        <w:rPr>
          <w:rFonts w:eastAsia="Arial Unicode MS" w:cstheme="minorHAnsi"/>
          <w:sz w:val="24"/>
          <w:szCs w:val="24"/>
          <w:u w:color="000000"/>
          <w:bdr w:val="nil"/>
          <w:lang w:val="el-GR"/>
        </w:rPr>
        <w:t>ι</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πόρο</w:t>
      </w:r>
      <w:r w:rsidR="007C7A9A">
        <w:rPr>
          <w:rFonts w:eastAsia="Arial Unicode MS" w:cstheme="minorHAnsi"/>
          <w:sz w:val="24"/>
          <w:szCs w:val="24"/>
          <w:u w:color="000000"/>
          <w:bdr w:val="nil"/>
          <w:lang w:val="el-GR"/>
        </w:rPr>
        <w:t>ι</w:t>
      </w:r>
      <w:r w:rsidR="00A5147D"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για</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να</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διεξαχθούν</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εσωτερικοί</w:t>
      </w:r>
      <w:r w:rsidRPr="000119D3">
        <w:rPr>
          <w:rFonts w:eastAsia="Arial Unicode MS" w:cstheme="minorHAnsi"/>
          <w:sz w:val="24"/>
          <w:szCs w:val="24"/>
          <w:u w:color="000000"/>
          <w:bdr w:val="nil"/>
          <w:lang w:val="el-GR"/>
        </w:rPr>
        <w:t xml:space="preserve"> </w:t>
      </w:r>
      <w:r w:rsidR="007C7A9A">
        <w:rPr>
          <w:rFonts w:eastAsia="Arial Unicode MS" w:cstheme="minorHAnsi"/>
          <w:sz w:val="24"/>
          <w:szCs w:val="24"/>
          <w:u w:color="000000"/>
          <w:bdr w:val="nil"/>
          <w:lang w:val="el-GR"/>
        </w:rPr>
        <w:t>έλεγχοι</w:t>
      </w:r>
      <w:r w:rsidR="00A5147D"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δημοσίων</w:t>
      </w:r>
      <w:r w:rsidR="000119D3"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θεσμών</w:t>
      </w:r>
      <w:r w:rsidR="00A5147D"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παρόλο</w:t>
      </w:r>
      <w:r w:rsidR="000119D3"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ότι</w:t>
      </w:r>
      <w:r w:rsidR="000119D3"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αναγνωρίσθηκε επίσης ότι</w:t>
      </w:r>
      <w:r w:rsidR="00A5147D"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υπάρχει εργασία που πρέπει να γίνει</w:t>
      </w:r>
      <w:r w:rsidR="00A5147D"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αναφορικά με την εισαγωγή της διαχείρ</w:t>
      </w:r>
      <w:r w:rsidR="00981082">
        <w:rPr>
          <w:rFonts w:eastAsia="Arial Unicode MS" w:cstheme="minorHAnsi"/>
          <w:sz w:val="24"/>
          <w:szCs w:val="24"/>
          <w:u w:color="000000"/>
          <w:bdr w:val="nil"/>
          <w:lang w:val="el-GR"/>
        </w:rPr>
        <w:t>ι</w:t>
      </w:r>
      <w:r w:rsidR="000119D3">
        <w:rPr>
          <w:rFonts w:eastAsia="Arial Unicode MS" w:cstheme="minorHAnsi"/>
          <w:sz w:val="24"/>
          <w:szCs w:val="24"/>
          <w:u w:color="000000"/>
          <w:bdr w:val="nil"/>
          <w:lang w:val="el-GR"/>
        </w:rPr>
        <w:t>σης κινδύνου</w:t>
      </w:r>
      <w:r w:rsidR="00A5147D"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w:t>
      </w:r>
      <w:r w:rsidR="00A5147D"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ένα εργαλείο που θα πρόσφερε σημαν</w:t>
      </w:r>
      <w:r w:rsidR="00E534AB">
        <w:rPr>
          <w:rFonts w:eastAsia="Arial Unicode MS" w:cstheme="minorHAnsi"/>
          <w:sz w:val="24"/>
          <w:szCs w:val="24"/>
          <w:u w:color="000000"/>
          <w:bdr w:val="nil"/>
          <w:lang w:val="el-GR"/>
        </w:rPr>
        <w:t>τ</w:t>
      </w:r>
      <w:r w:rsidR="000119D3">
        <w:rPr>
          <w:rFonts w:eastAsia="Arial Unicode MS" w:cstheme="minorHAnsi"/>
          <w:sz w:val="24"/>
          <w:szCs w:val="24"/>
          <w:u w:color="000000"/>
          <w:bdr w:val="nil"/>
          <w:lang w:val="el-GR"/>
        </w:rPr>
        <w:t xml:space="preserve">ική προστιθέμενη αξία </w:t>
      </w:r>
      <w:r w:rsidR="00E534AB">
        <w:rPr>
          <w:rFonts w:eastAsia="Arial Unicode MS" w:cstheme="minorHAnsi"/>
          <w:sz w:val="24"/>
          <w:szCs w:val="24"/>
          <w:u w:color="000000"/>
          <w:bdr w:val="nil"/>
          <w:lang w:val="el-GR"/>
        </w:rPr>
        <w:t xml:space="preserve">προς </w:t>
      </w:r>
      <w:r w:rsidR="000119D3">
        <w:rPr>
          <w:rFonts w:eastAsia="Arial Unicode MS" w:cstheme="minorHAnsi"/>
          <w:sz w:val="24"/>
          <w:szCs w:val="24"/>
          <w:u w:color="000000"/>
          <w:bdr w:val="nil"/>
          <w:lang w:val="el-GR"/>
        </w:rPr>
        <w:t xml:space="preserve">τον σκοπό της πρόληψης και </w:t>
      </w:r>
      <w:r w:rsidR="007C7A9A">
        <w:rPr>
          <w:rFonts w:eastAsia="Arial Unicode MS" w:cstheme="minorHAnsi"/>
          <w:sz w:val="24"/>
          <w:szCs w:val="24"/>
          <w:u w:color="000000"/>
          <w:bdr w:val="nil"/>
          <w:lang w:val="el-GR"/>
        </w:rPr>
        <w:t xml:space="preserve">εντοπισμού </w:t>
      </w:r>
      <w:r w:rsidR="000119D3">
        <w:rPr>
          <w:rFonts w:eastAsia="Arial Unicode MS" w:cstheme="minorHAnsi"/>
          <w:sz w:val="24"/>
          <w:szCs w:val="24"/>
          <w:u w:color="000000"/>
          <w:bdr w:val="nil"/>
          <w:lang w:val="el-GR"/>
        </w:rPr>
        <w:t>της διαφθοράς</w:t>
      </w:r>
      <w:r w:rsidR="00A5147D"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Παρομοίως</w:t>
      </w:r>
      <w:r w:rsidR="00A5147D"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το</w:t>
      </w:r>
      <w:r w:rsidR="000119D3" w:rsidRPr="000119D3">
        <w:rPr>
          <w:rFonts w:eastAsia="Arial Unicode MS" w:cstheme="minorHAnsi"/>
          <w:sz w:val="24"/>
          <w:szCs w:val="24"/>
          <w:u w:color="000000"/>
          <w:bdr w:val="nil"/>
          <w:lang w:val="el-GR"/>
        </w:rPr>
        <w:t xml:space="preserve"> </w:t>
      </w:r>
      <w:r w:rsidR="007C7A9A">
        <w:rPr>
          <w:rFonts w:eastAsia="Arial Unicode MS" w:cstheme="minorHAnsi"/>
          <w:sz w:val="24"/>
          <w:szCs w:val="24"/>
          <w:u w:color="000000"/>
          <w:bdr w:val="nil"/>
          <w:lang w:val="el-GR"/>
        </w:rPr>
        <w:t>Γ</w:t>
      </w:r>
      <w:r w:rsidR="000119D3">
        <w:rPr>
          <w:rFonts w:eastAsia="Arial Unicode MS" w:cstheme="minorHAnsi"/>
          <w:sz w:val="24"/>
          <w:szCs w:val="24"/>
          <w:u w:color="000000"/>
          <w:bdr w:val="nil"/>
          <w:lang w:val="el-GR"/>
        </w:rPr>
        <w:t>ενικό</w:t>
      </w:r>
      <w:r w:rsidR="000119D3" w:rsidRPr="000119D3">
        <w:rPr>
          <w:rFonts w:eastAsia="Arial Unicode MS" w:cstheme="minorHAnsi"/>
          <w:sz w:val="24"/>
          <w:szCs w:val="24"/>
          <w:u w:color="000000"/>
          <w:bdr w:val="nil"/>
          <w:lang w:val="el-GR"/>
        </w:rPr>
        <w:t xml:space="preserve"> </w:t>
      </w:r>
      <w:r w:rsidR="007C7A9A">
        <w:rPr>
          <w:rFonts w:eastAsia="Arial Unicode MS" w:cstheme="minorHAnsi"/>
          <w:sz w:val="24"/>
          <w:szCs w:val="24"/>
          <w:u w:color="000000"/>
          <w:bdr w:val="nil"/>
          <w:lang w:val="el-GR"/>
        </w:rPr>
        <w:t>Λ</w:t>
      </w:r>
      <w:r w:rsidR="000119D3">
        <w:rPr>
          <w:rFonts w:eastAsia="Arial Unicode MS" w:cstheme="minorHAnsi"/>
          <w:sz w:val="24"/>
          <w:szCs w:val="24"/>
          <w:u w:color="000000"/>
          <w:bdr w:val="nil"/>
          <w:lang w:val="el-GR"/>
        </w:rPr>
        <w:t>ογιστήριο</w:t>
      </w:r>
      <w:r w:rsidR="000119D3"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έχει</w:t>
      </w:r>
      <w:r w:rsidR="000119D3"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υλοποιήσει</w:t>
      </w:r>
      <w:r w:rsidR="000119D3"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θετικά</w:t>
      </w:r>
      <w:r w:rsidR="000119D3"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μέτρα</w:t>
      </w:r>
      <w:r w:rsidR="000119D3"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για</w:t>
      </w:r>
      <w:r w:rsidR="000119D3" w:rsidRPr="000119D3">
        <w:rPr>
          <w:rFonts w:eastAsia="Arial Unicode MS" w:cstheme="minorHAnsi"/>
          <w:sz w:val="24"/>
          <w:szCs w:val="24"/>
          <w:u w:color="000000"/>
          <w:bdr w:val="nil"/>
          <w:lang w:val="el-GR"/>
        </w:rPr>
        <w:t xml:space="preserve"> </w:t>
      </w:r>
      <w:r w:rsidR="00E534AB">
        <w:rPr>
          <w:rFonts w:eastAsia="Arial Unicode MS" w:cstheme="minorHAnsi"/>
          <w:sz w:val="24"/>
          <w:szCs w:val="24"/>
          <w:u w:color="000000"/>
          <w:bdr w:val="nil"/>
          <w:lang w:val="el-GR"/>
        </w:rPr>
        <w:t>να</w:t>
      </w:r>
      <w:r w:rsidR="000119D3"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εξασφ</w:t>
      </w:r>
      <w:r w:rsidR="00E534AB">
        <w:rPr>
          <w:rFonts w:eastAsia="Arial Unicode MS" w:cstheme="minorHAnsi"/>
          <w:sz w:val="24"/>
          <w:szCs w:val="24"/>
          <w:u w:color="000000"/>
          <w:bdr w:val="nil"/>
          <w:lang w:val="el-GR"/>
        </w:rPr>
        <w:t>α</w:t>
      </w:r>
      <w:r w:rsidR="000119D3">
        <w:rPr>
          <w:rFonts w:eastAsia="Arial Unicode MS" w:cstheme="minorHAnsi"/>
          <w:sz w:val="24"/>
          <w:szCs w:val="24"/>
          <w:u w:color="000000"/>
          <w:bdr w:val="nil"/>
          <w:lang w:val="el-GR"/>
        </w:rPr>
        <w:t>λ</w:t>
      </w:r>
      <w:r w:rsidR="00E534AB">
        <w:rPr>
          <w:rFonts w:eastAsia="Arial Unicode MS" w:cstheme="minorHAnsi"/>
          <w:sz w:val="24"/>
          <w:szCs w:val="24"/>
          <w:u w:color="000000"/>
          <w:bdr w:val="nil"/>
          <w:lang w:val="el-GR"/>
        </w:rPr>
        <w:t>ίσει</w:t>
      </w:r>
      <w:r w:rsidR="000119D3"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την</w:t>
      </w:r>
      <w:r w:rsidR="000119D3"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υγιή</w:t>
      </w:r>
      <w:r w:rsidR="000119D3"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και</w:t>
      </w:r>
      <w:r w:rsidR="000119D3" w:rsidRPr="000119D3">
        <w:rPr>
          <w:rFonts w:eastAsia="Arial Unicode MS" w:cstheme="minorHAnsi"/>
          <w:sz w:val="24"/>
          <w:szCs w:val="24"/>
          <w:u w:color="000000"/>
          <w:bdr w:val="nil"/>
          <w:lang w:val="el-GR"/>
        </w:rPr>
        <w:t xml:space="preserve"> </w:t>
      </w:r>
      <w:r w:rsidR="000119D3">
        <w:rPr>
          <w:rFonts w:eastAsia="Arial Unicode MS" w:cstheme="minorHAnsi"/>
          <w:sz w:val="24"/>
          <w:szCs w:val="24"/>
          <w:u w:color="000000"/>
          <w:bdr w:val="nil"/>
          <w:lang w:val="el-GR"/>
        </w:rPr>
        <w:t>διάφανη οικονομική διαχείρ</w:t>
      </w:r>
      <w:r w:rsidR="00C81213">
        <w:rPr>
          <w:rFonts w:eastAsia="Arial Unicode MS" w:cstheme="minorHAnsi"/>
          <w:sz w:val="24"/>
          <w:szCs w:val="24"/>
          <w:u w:color="000000"/>
          <w:bdr w:val="nil"/>
          <w:lang w:val="el-GR"/>
        </w:rPr>
        <w:t>ι</w:t>
      </w:r>
      <w:r w:rsidR="000119D3">
        <w:rPr>
          <w:rFonts w:eastAsia="Arial Unicode MS" w:cstheme="minorHAnsi"/>
          <w:sz w:val="24"/>
          <w:szCs w:val="24"/>
          <w:u w:color="000000"/>
          <w:bdr w:val="nil"/>
          <w:lang w:val="el-GR"/>
        </w:rPr>
        <w:t>ση</w:t>
      </w:r>
      <w:r w:rsidR="00A5147D" w:rsidRPr="000119D3">
        <w:rPr>
          <w:rFonts w:eastAsia="Arial Unicode MS" w:cstheme="minorHAnsi"/>
          <w:sz w:val="24"/>
          <w:szCs w:val="24"/>
          <w:u w:color="000000"/>
          <w:bdr w:val="nil"/>
          <w:lang w:val="el-GR"/>
        </w:rPr>
        <w:t xml:space="preserve">.  </w:t>
      </w:r>
    </w:p>
    <w:p w14:paraId="05DA3EC8" w14:textId="77777777" w:rsidR="00A5147D" w:rsidRPr="000119D3" w:rsidRDefault="00A5147D" w:rsidP="00A5147D">
      <w:pPr>
        <w:pStyle w:val="ListParagraph"/>
        <w:rPr>
          <w:rFonts w:eastAsia="Arial Unicode MS" w:cstheme="minorHAnsi"/>
          <w:sz w:val="24"/>
          <w:szCs w:val="24"/>
          <w:u w:color="000000"/>
          <w:bdr w:val="nil"/>
          <w:lang w:val="el-GR"/>
        </w:rPr>
      </w:pPr>
    </w:p>
    <w:p w14:paraId="20A72FF6" w14:textId="7DFADD6F" w:rsidR="00A5147D" w:rsidRPr="0092032F" w:rsidRDefault="000119D3" w:rsidP="00A5147D">
      <w:pPr>
        <w:numPr>
          <w:ilvl w:val="0"/>
          <w:numId w:val="1"/>
        </w:numPr>
        <w:tabs>
          <w:tab w:val="clear" w:pos="6095"/>
          <w:tab w:val="left" w:pos="709"/>
        </w:tabs>
        <w:ind w:left="0" w:firstLine="0"/>
        <w:rPr>
          <w:rFonts w:eastAsia="Arial Unicode MS" w:cstheme="minorHAnsi"/>
          <w:sz w:val="24"/>
          <w:szCs w:val="24"/>
          <w:u w:color="000000"/>
          <w:bdr w:val="nil"/>
          <w:lang w:val="el-GR"/>
        </w:rPr>
      </w:pPr>
      <w:r>
        <w:rPr>
          <w:rFonts w:eastAsia="Arial Unicode MS" w:cstheme="minorHAnsi"/>
          <w:sz w:val="24"/>
          <w:szCs w:val="24"/>
          <w:u w:color="000000"/>
          <w:bdr w:val="nil"/>
          <w:lang w:val="el-GR"/>
        </w:rPr>
        <w:t>Η</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Ελεγκτική</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Υπηρεσία</w:t>
      </w:r>
      <w:r w:rsidR="00A5147D"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έχει</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επίσης</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συνεισφέρει</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στην</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επίβλεψη</w:t>
      </w:r>
      <w:r w:rsidR="00A5147D"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σε</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σχέση</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με</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το</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πρόγραμμα</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των</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χρυσών</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διαβατηρίων</w:t>
      </w:r>
      <w:r w:rsidRPr="000119D3">
        <w:rPr>
          <w:rFonts w:eastAsia="Arial Unicode MS" w:cstheme="minorHAnsi"/>
          <w:sz w:val="24"/>
          <w:szCs w:val="24"/>
          <w:u w:color="000000"/>
          <w:bdr w:val="nil"/>
          <w:lang w:val="el-GR"/>
        </w:rPr>
        <w:t xml:space="preserve"> </w:t>
      </w:r>
      <w:r w:rsidR="00A5147D" w:rsidRPr="000119D3">
        <w:rPr>
          <w:rFonts w:eastAsia="Arial Unicode MS" w:cstheme="minorHAnsi"/>
          <w:sz w:val="24"/>
          <w:szCs w:val="24"/>
          <w:u w:color="000000"/>
          <w:bdr w:val="nil"/>
          <w:lang w:val="el-GR"/>
        </w:rPr>
        <w:t>(</w:t>
      </w:r>
      <w:r>
        <w:rPr>
          <w:rFonts w:eastAsia="Arial Unicode MS" w:cstheme="minorHAnsi"/>
          <w:sz w:val="24"/>
          <w:szCs w:val="24"/>
          <w:u w:color="000000"/>
          <w:bdr w:val="nil"/>
          <w:lang w:val="el-GR"/>
        </w:rPr>
        <w:t>έχουν</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εκδοθεί</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τρεις</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ειδικές</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εκθέσεις</w:t>
      </w:r>
      <w:r w:rsidR="00A5147D"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από την Ελεγκτική Υπηρεσία</w:t>
      </w:r>
      <w:r w:rsidR="00A5147D"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σε σχέση με αυτό</w:t>
      </w:r>
      <w:r w:rsidR="00A5147D" w:rsidRPr="004E251E">
        <w:rPr>
          <w:rStyle w:val="FootnoteReference"/>
          <w:rFonts w:eastAsia="Arial Unicode MS" w:cstheme="minorHAnsi"/>
          <w:sz w:val="24"/>
          <w:szCs w:val="24"/>
          <w:u w:color="000000"/>
          <w:bdr w:val="nil"/>
        </w:rPr>
        <w:footnoteReference w:id="45"/>
      </w:r>
      <w:r w:rsidR="00A5147D"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και άλλ</w:t>
      </w:r>
      <w:r w:rsidR="00AF3ABC">
        <w:rPr>
          <w:rFonts w:eastAsia="Arial Unicode MS" w:cstheme="minorHAnsi"/>
          <w:sz w:val="24"/>
          <w:szCs w:val="24"/>
          <w:u w:color="000000"/>
          <w:bdr w:val="nil"/>
          <w:lang w:val="el-GR"/>
        </w:rPr>
        <w:t>α</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επίκαιρ</w:t>
      </w:r>
      <w:r w:rsidR="00AF3ABC">
        <w:rPr>
          <w:rFonts w:eastAsia="Arial Unicode MS" w:cstheme="minorHAnsi"/>
          <w:sz w:val="24"/>
          <w:szCs w:val="24"/>
          <w:u w:color="000000"/>
          <w:bdr w:val="nil"/>
          <w:lang w:val="el-GR"/>
        </w:rPr>
        <w:t>α</w:t>
      </w:r>
      <w:r>
        <w:rPr>
          <w:rFonts w:eastAsia="Arial Unicode MS" w:cstheme="minorHAnsi"/>
          <w:sz w:val="24"/>
          <w:szCs w:val="24"/>
          <w:u w:color="000000"/>
          <w:bdr w:val="nil"/>
          <w:lang w:val="el-GR"/>
        </w:rPr>
        <w:t xml:space="preserve"> </w:t>
      </w:r>
      <w:r w:rsidR="007C7A9A">
        <w:rPr>
          <w:rFonts w:eastAsia="Arial Unicode MS" w:cstheme="minorHAnsi"/>
          <w:sz w:val="24"/>
          <w:szCs w:val="24"/>
          <w:u w:color="000000"/>
          <w:bdr w:val="nil"/>
          <w:lang w:val="el-GR"/>
        </w:rPr>
        <w:t>ζητήματα</w:t>
      </w:r>
      <w:r w:rsidR="00A5147D"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που έχουν</w:t>
      </w:r>
      <w:r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προκαλέσει δημόσια ανησυχία</w:t>
      </w:r>
      <w:r w:rsidR="00A5147D"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π.χ.</w:t>
      </w:r>
      <w:r w:rsidR="00A5147D" w:rsidRPr="000119D3">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αεροπορικά ταξίδια του πρώην Προέδρου της Δημοκρατίας</w:t>
      </w:r>
      <w:r w:rsidR="00A5147D" w:rsidRPr="004E251E">
        <w:rPr>
          <w:rStyle w:val="FootnoteReference"/>
          <w:rFonts w:eastAsia="Arial Unicode MS" w:cstheme="minorHAnsi"/>
          <w:sz w:val="24"/>
          <w:szCs w:val="24"/>
          <w:u w:color="000000"/>
          <w:bdr w:val="nil"/>
        </w:rPr>
        <w:footnoteReference w:id="46"/>
      </w:r>
      <w:r w:rsidR="00A5147D" w:rsidRPr="000119D3">
        <w:rPr>
          <w:rFonts w:eastAsia="Arial Unicode MS" w:cstheme="minorHAnsi"/>
          <w:sz w:val="24"/>
          <w:szCs w:val="24"/>
          <w:u w:color="000000"/>
          <w:bdr w:val="nil"/>
          <w:lang w:val="el-GR"/>
        </w:rPr>
        <w:t xml:space="preserve">). </w:t>
      </w:r>
      <w:r w:rsidR="00CA2E6E">
        <w:rPr>
          <w:rFonts w:eastAsia="Arial Unicode MS" w:cstheme="minorHAnsi"/>
          <w:sz w:val="24"/>
          <w:szCs w:val="24"/>
          <w:u w:color="000000"/>
          <w:bdr w:val="nil"/>
          <w:lang w:val="el-GR"/>
        </w:rPr>
        <w:t>Κάποιες</w:t>
      </w:r>
      <w:r w:rsidR="00CA2E6E" w:rsidRPr="00CA2E6E">
        <w:rPr>
          <w:rFonts w:eastAsia="Arial Unicode MS" w:cstheme="minorHAnsi"/>
          <w:sz w:val="24"/>
          <w:szCs w:val="24"/>
          <w:u w:color="000000"/>
          <w:bdr w:val="nil"/>
          <w:lang w:val="el-GR"/>
        </w:rPr>
        <w:t xml:space="preserve"> </w:t>
      </w:r>
      <w:r w:rsidR="00CA2E6E">
        <w:rPr>
          <w:rFonts w:eastAsia="Arial Unicode MS" w:cstheme="minorHAnsi"/>
          <w:sz w:val="24"/>
          <w:szCs w:val="24"/>
          <w:u w:color="000000"/>
          <w:bdr w:val="nil"/>
          <w:lang w:val="el-GR"/>
        </w:rPr>
        <w:t>ανησυχίες</w:t>
      </w:r>
      <w:r w:rsidR="00CA2E6E" w:rsidRPr="00CA2E6E">
        <w:rPr>
          <w:rFonts w:eastAsia="Arial Unicode MS" w:cstheme="minorHAnsi"/>
          <w:sz w:val="24"/>
          <w:szCs w:val="24"/>
          <w:u w:color="000000"/>
          <w:bdr w:val="nil"/>
          <w:lang w:val="el-GR"/>
        </w:rPr>
        <w:t xml:space="preserve"> </w:t>
      </w:r>
      <w:r w:rsidR="00C81213">
        <w:rPr>
          <w:rFonts w:eastAsia="Arial Unicode MS" w:cstheme="minorHAnsi"/>
          <w:sz w:val="24"/>
          <w:szCs w:val="24"/>
          <w:u w:color="000000"/>
          <w:bdr w:val="nil"/>
          <w:lang w:val="el-GR"/>
        </w:rPr>
        <w:t xml:space="preserve">μεταφέρθηκαν </w:t>
      </w:r>
      <w:r w:rsidR="00CA2E6E">
        <w:rPr>
          <w:rFonts w:eastAsia="Arial Unicode MS" w:cstheme="minorHAnsi"/>
          <w:sz w:val="24"/>
          <w:szCs w:val="24"/>
          <w:u w:color="000000"/>
          <w:bdr w:val="nil"/>
          <w:lang w:val="el-GR"/>
        </w:rPr>
        <w:t>επί</w:t>
      </w:r>
      <w:r w:rsidR="00CA2E6E" w:rsidRPr="00CA2E6E">
        <w:rPr>
          <w:rFonts w:eastAsia="Arial Unicode MS" w:cstheme="minorHAnsi"/>
          <w:sz w:val="24"/>
          <w:szCs w:val="24"/>
          <w:u w:color="000000"/>
          <w:bdr w:val="nil"/>
          <w:lang w:val="el-GR"/>
        </w:rPr>
        <w:t xml:space="preserve"> </w:t>
      </w:r>
      <w:r w:rsidR="00CA2E6E">
        <w:rPr>
          <w:rFonts w:eastAsia="Arial Unicode MS" w:cstheme="minorHAnsi"/>
          <w:sz w:val="24"/>
          <w:szCs w:val="24"/>
          <w:u w:color="000000"/>
          <w:bdr w:val="nil"/>
          <w:lang w:val="el-GR"/>
        </w:rPr>
        <w:t>τόπου</w:t>
      </w:r>
      <w:r w:rsidR="00A5147D" w:rsidRPr="00CA2E6E">
        <w:rPr>
          <w:rFonts w:eastAsia="Arial Unicode MS" w:cstheme="minorHAnsi"/>
          <w:sz w:val="24"/>
          <w:szCs w:val="24"/>
          <w:u w:color="000000"/>
          <w:bdr w:val="nil"/>
          <w:lang w:val="el-GR"/>
        </w:rPr>
        <w:t xml:space="preserve"> </w:t>
      </w:r>
      <w:r w:rsidR="00CA2E6E">
        <w:rPr>
          <w:rFonts w:eastAsia="Arial Unicode MS" w:cstheme="minorHAnsi"/>
          <w:sz w:val="24"/>
          <w:szCs w:val="24"/>
          <w:u w:color="000000"/>
          <w:bdr w:val="nil"/>
          <w:lang w:val="el-GR"/>
        </w:rPr>
        <w:t>για</w:t>
      </w:r>
      <w:r w:rsidR="00CA2E6E" w:rsidRPr="00CA2E6E">
        <w:rPr>
          <w:rFonts w:eastAsia="Arial Unicode MS" w:cstheme="minorHAnsi"/>
          <w:sz w:val="24"/>
          <w:szCs w:val="24"/>
          <w:u w:color="000000"/>
          <w:bdr w:val="nil"/>
          <w:lang w:val="el-GR"/>
        </w:rPr>
        <w:t xml:space="preserve"> </w:t>
      </w:r>
      <w:r w:rsidR="00CA2E6E">
        <w:rPr>
          <w:rFonts w:eastAsia="Arial Unicode MS" w:cstheme="minorHAnsi"/>
          <w:sz w:val="24"/>
          <w:szCs w:val="24"/>
          <w:u w:color="000000"/>
          <w:bdr w:val="nil"/>
          <w:lang w:val="el-GR"/>
        </w:rPr>
        <w:t>κάποιο</w:t>
      </w:r>
      <w:r w:rsidR="00CA2E6E" w:rsidRPr="00CA2E6E">
        <w:rPr>
          <w:rFonts w:eastAsia="Arial Unicode MS" w:cstheme="minorHAnsi"/>
          <w:sz w:val="24"/>
          <w:szCs w:val="24"/>
          <w:u w:color="000000"/>
          <w:bdr w:val="nil"/>
          <w:lang w:val="el-GR"/>
        </w:rPr>
        <w:t xml:space="preserve"> </w:t>
      </w:r>
      <w:r w:rsidR="00CA2E6E">
        <w:rPr>
          <w:rFonts w:eastAsia="Arial Unicode MS" w:cstheme="minorHAnsi"/>
          <w:sz w:val="24"/>
          <w:szCs w:val="24"/>
          <w:u w:color="000000"/>
          <w:bdr w:val="nil"/>
          <w:lang w:val="el-GR"/>
        </w:rPr>
        <w:t>περιθώριο</w:t>
      </w:r>
      <w:r w:rsidR="00CA2E6E" w:rsidRPr="00CA2E6E">
        <w:rPr>
          <w:rFonts w:eastAsia="Arial Unicode MS" w:cstheme="minorHAnsi"/>
          <w:sz w:val="24"/>
          <w:szCs w:val="24"/>
          <w:u w:color="000000"/>
          <w:bdr w:val="nil"/>
          <w:lang w:val="el-GR"/>
        </w:rPr>
        <w:t xml:space="preserve"> </w:t>
      </w:r>
      <w:r w:rsidR="00CA2E6E">
        <w:rPr>
          <w:rFonts w:eastAsia="Arial Unicode MS" w:cstheme="minorHAnsi"/>
          <w:sz w:val="24"/>
          <w:szCs w:val="24"/>
          <w:u w:color="000000"/>
          <w:bdr w:val="nil"/>
          <w:lang w:val="el-GR"/>
        </w:rPr>
        <w:t>βελτίωσης</w:t>
      </w:r>
      <w:r w:rsidR="00A5147D" w:rsidRPr="00CA2E6E">
        <w:rPr>
          <w:rFonts w:eastAsia="Arial Unicode MS" w:cstheme="minorHAnsi"/>
          <w:sz w:val="24"/>
          <w:szCs w:val="24"/>
          <w:u w:color="000000"/>
          <w:bdr w:val="nil"/>
          <w:lang w:val="el-GR"/>
        </w:rPr>
        <w:t xml:space="preserve"> </w:t>
      </w:r>
      <w:r w:rsidR="00CA2E6E">
        <w:rPr>
          <w:rFonts w:eastAsia="Arial Unicode MS" w:cstheme="minorHAnsi"/>
          <w:sz w:val="24"/>
          <w:szCs w:val="24"/>
          <w:u w:color="000000"/>
          <w:bdr w:val="nil"/>
          <w:lang w:val="el-GR"/>
        </w:rPr>
        <w:t>αναφορικά</w:t>
      </w:r>
      <w:r w:rsidR="00CA2E6E" w:rsidRPr="00CA2E6E">
        <w:rPr>
          <w:rFonts w:eastAsia="Arial Unicode MS" w:cstheme="minorHAnsi"/>
          <w:sz w:val="24"/>
          <w:szCs w:val="24"/>
          <w:u w:color="000000"/>
          <w:bdr w:val="nil"/>
          <w:lang w:val="el-GR"/>
        </w:rPr>
        <w:t xml:space="preserve"> </w:t>
      </w:r>
      <w:r w:rsidR="00CA2E6E">
        <w:rPr>
          <w:rFonts w:eastAsia="Arial Unicode MS" w:cstheme="minorHAnsi"/>
          <w:sz w:val="24"/>
          <w:szCs w:val="24"/>
          <w:u w:color="000000"/>
          <w:bdr w:val="nil"/>
          <w:lang w:val="el-GR"/>
        </w:rPr>
        <w:t>με</w:t>
      </w:r>
      <w:r w:rsidR="00CA2E6E" w:rsidRPr="00CA2E6E">
        <w:rPr>
          <w:rFonts w:eastAsia="Arial Unicode MS" w:cstheme="minorHAnsi"/>
          <w:sz w:val="24"/>
          <w:szCs w:val="24"/>
          <w:u w:color="000000"/>
          <w:bdr w:val="nil"/>
          <w:lang w:val="el-GR"/>
        </w:rPr>
        <w:t xml:space="preserve"> </w:t>
      </w:r>
      <w:r w:rsidR="00CA2E6E">
        <w:rPr>
          <w:rFonts w:eastAsia="Arial Unicode MS" w:cstheme="minorHAnsi"/>
          <w:sz w:val="24"/>
          <w:szCs w:val="24"/>
          <w:u w:color="000000"/>
          <w:bdr w:val="nil"/>
          <w:lang w:val="el-GR"/>
        </w:rPr>
        <w:t>την</w:t>
      </w:r>
      <w:r w:rsidR="00CA2E6E" w:rsidRPr="00CA2E6E">
        <w:rPr>
          <w:rFonts w:eastAsia="Arial Unicode MS" w:cstheme="minorHAnsi"/>
          <w:sz w:val="24"/>
          <w:szCs w:val="24"/>
          <w:u w:color="000000"/>
          <w:bdr w:val="nil"/>
          <w:lang w:val="el-GR"/>
        </w:rPr>
        <w:t xml:space="preserve"> </w:t>
      </w:r>
      <w:r w:rsidR="00CA2E6E">
        <w:rPr>
          <w:rFonts w:eastAsia="Arial Unicode MS" w:cstheme="minorHAnsi"/>
          <w:sz w:val="24"/>
          <w:szCs w:val="24"/>
          <w:u w:color="000000"/>
          <w:bdr w:val="nil"/>
          <w:lang w:val="el-GR"/>
        </w:rPr>
        <w:t>πρόσβαση</w:t>
      </w:r>
      <w:r w:rsidR="00CA2E6E" w:rsidRPr="00CA2E6E">
        <w:rPr>
          <w:rFonts w:eastAsia="Arial Unicode MS" w:cstheme="minorHAnsi"/>
          <w:sz w:val="24"/>
          <w:szCs w:val="24"/>
          <w:u w:color="000000"/>
          <w:bdr w:val="nil"/>
          <w:lang w:val="el-GR"/>
        </w:rPr>
        <w:t xml:space="preserve"> </w:t>
      </w:r>
      <w:r w:rsidR="00CA2E6E">
        <w:rPr>
          <w:rFonts w:eastAsia="Arial Unicode MS" w:cstheme="minorHAnsi"/>
          <w:sz w:val="24"/>
          <w:szCs w:val="24"/>
          <w:u w:color="000000"/>
          <w:bdr w:val="nil"/>
          <w:lang w:val="el-GR"/>
        </w:rPr>
        <w:t>σε</w:t>
      </w:r>
      <w:r w:rsidR="00CA2E6E" w:rsidRPr="00CA2E6E">
        <w:rPr>
          <w:rFonts w:eastAsia="Arial Unicode MS" w:cstheme="minorHAnsi"/>
          <w:sz w:val="24"/>
          <w:szCs w:val="24"/>
          <w:u w:color="000000"/>
          <w:bdr w:val="nil"/>
          <w:lang w:val="el-GR"/>
        </w:rPr>
        <w:t xml:space="preserve"> </w:t>
      </w:r>
      <w:r w:rsidR="00CA2E6E">
        <w:rPr>
          <w:rFonts w:eastAsia="Arial Unicode MS" w:cstheme="minorHAnsi"/>
          <w:sz w:val="24"/>
          <w:szCs w:val="24"/>
          <w:u w:color="000000"/>
          <w:bdr w:val="nil"/>
          <w:lang w:val="el-GR"/>
        </w:rPr>
        <w:t>πληροφορίες</w:t>
      </w:r>
      <w:r w:rsidR="00A5147D" w:rsidRPr="00CA2E6E">
        <w:rPr>
          <w:rFonts w:eastAsia="Arial Unicode MS" w:cstheme="minorHAnsi"/>
          <w:sz w:val="24"/>
          <w:szCs w:val="24"/>
          <w:u w:color="000000"/>
          <w:bdr w:val="nil"/>
          <w:lang w:val="el-GR"/>
        </w:rPr>
        <w:t xml:space="preserve"> </w:t>
      </w:r>
      <w:r w:rsidR="00CA2E6E">
        <w:rPr>
          <w:rFonts w:eastAsia="Arial Unicode MS" w:cstheme="minorHAnsi"/>
          <w:sz w:val="24"/>
          <w:szCs w:val="24"/>
          <w:u w:color="000000"/>
          <w:bdr w:val="nil"/>
          <w:lang w:val="el-GR"/>
        </w:rPr>
        <w:t xml:space="preserve">και την </w:t>
      </w:r>
      <w:r w:rsidR="00C81213">
        <w:rPr>
          <w:rFonts w:eastAsia="Arial Unicode MS" w:cstheme="minorHAnsi"/>
          <w:sz w:val="24"/>
          <w:szCs w:val="24"/>
          <w:u w:color="000000"/>
          <w:bdr w:val="nil"/>
          <w:lang w:val="el-GR"/>
        </w:rPr>
        <w:t xml:space="preserve">ελευθερία για </w:t>
      </w:r>
      <w:r w:rsidR="007C7A9A">
        <w:rPr>
          <w:rFonts w:eastAsia="Arial Unicode MS" w:cstheme="minorHAnsi"/>
          <w:sz w:val="24"/>
          <w:szCs w:val="24"/>
          <w:u w:color="000000"/>
          <w:bdr w:val="nil"/>
          <w:lang w:val="el-GR"/>
        </w:rPr>
        <w:t xml:space="preserve">καθορισμό </w:t>
      </w:r>
      <w:r w:rsidR="0092032F">
        <w:rPr>
          <w:rFonts w:eastAsia="Arial Unicode MS" w:cstheme="minorHAnsi"/>
          <w:sz w:val="24"/>
          <w:szCs w:val="24"/>
          <w:u w:color="000000"/>
          <w:bdr w:val="nil"/>
          <w:lang w:val="el-GR"/>
        </w:rPr>
        <w:t>το</w:t>
      </w:r>
      <w:r w:rsidR="00C81213">
        <w:rPr>
          <w:rFonts w:eastAsia="Arial Unicode MS" w:cstheme="minorHAnsi"/>
          <w:sz w:val="24"/>
          <w:szCs w:val="24"/>
          <w:u w:color="000000"/>
          <w:bdr w:val="nil"/>
          <w:lang w:val="el-GR"/>
        </w:rPr>
        <w:t>υ</w:t>
      </w:r>
      <w:r w:rsidR="0092032F">
        <w:rPr>
          <w:rFonts w:eastAsia="Arial Unicode MS" w:cstheme="minorHAnsi"/>
          <w:sz w:val="24"/>
          <w:szCs w:val="24"/>
          <w:u w:color="000000"/>
          <w:bdr w:val="nil"/>
          <w:lang w:val="el-GR"/>
        </w:rPr>
        <w:t xml:space="preserve"> </w:t>
      </w:r>
      <w:r w:rsidR="007C7A9A">
        <w:rPr>
          <w:rFonts w:eastAsia="Arial Unicode MS" w:cstheme="minorHAnsi"/>
          <w:sz w:val="24"/>
          <w:szCs w:val="24"/>
          <w:u w:color="000000"/>
          <w:bdr w:val="nil"/>
          <w:lang w:val="el-GR"/>
        </w:rPr>
        <w:t xml:space="preserve">αντικειμένου </w:t>
      </w:r>
      <w:r w:rsidR="0092032F">
        <w:rPr>
          <w:rFonts w:eastAsia="Arial Unicode MS" w:cstheme="minorHAnsi"/>
          <w:sz w:val="24"/>
          <w:szCs w:val="24"/>
          <w:u w:color="000000"/>
          <w:bdr w:val="nil"/>
          <w:lang w:val="el-GR"/>
        </w:rPr>
        <w:t xml:space="preserve">και </w:t>
      </w:r>
      <w:r w:rsidR="00C81213">
        <w:rPr>
          <w:rFonts w:eastAsia="Arial Unicode MS" w:cstheme="minorHAnsi"/>
          <w:sz w:val="24"/>
          <w:szCs w:val="24"/>
          <w:u w:color="000000"/>
          <w:bdr w:val="nil"/>
          <w:lang w:val="el-GR"/>
        </w:rPr>
        <w:t xml:space="preserve">του χρόνου </w:t>
      </w:r>
      <w:r w:rsidR="0092032F">
        <w:rPr>
          <w:rFonts w:eastAsia="Arial Unicode MS" w:cstheme="minorHAnsi"/>
          <w:sz w:val="24"/>
          <w:szCs w:val="24"/>
          <w:u w:color="000000"/>
          <w:bdr w:val="nil"/>
          <w:lang w:val="el-GR"/>
        </w:rPr>
        <w:t>των εκθέσεων ελέγχου</w:t>
      </w:r>
      <w:r w:rsidR="00A5147D" w:rsidRPr="00CA2E6E">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 xml:space="preserve">και </w:t>
      </w:r>
      <w:r w:rsidR="00C81213">
        <w:rPr>
          <w:rFonts w:eastAsia="Arial Unicode MS" w:cstheme="minorHAnsi"/>
          <w:sz w:val="24"/>
          <w:szCs w:val="24"/>
          <w:u w:color="000000"/>
          <w:bdr w:val="nil"/>
          <w:lang w:val="el-GR"/>
        </w:rPr>
        <w:t xml:space="preserve">τη </w:t>
      </w:r>
      <w:r w:rsidR="0092032F">
        <w:rPr>
          <w:rFonts w:eastAsia="Arial Unicode MS" w:cstheme="minorHAnsi"/>
          <w:sz w:val="24"/>
          <w:szCs w:val="24"/>
          <w:u w:color="000000"/>
          <w:bdr w:val="nil"/>
          <w:lang w:val="el-GR"/>
        </w:rPr>
        <w:t>δημοσίευση και διάδοση τους</w:t>
      </w:r>
      <w:r w:rsidR="00A5147D" w:rsidRPr="00CA2E6E">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Η</w:t>
      </w:r>
      <w:r w:rsidR="00A5147D" w:rsidRPr="0092032F">
        <w:rPr>
          <w:rFonts w:eastAsia="Arial Unicode MS" w:cstheme="minorHAnsi"/>
          <w:sz w:val="24"/>
          <w:szCs w:val="24"/>
          <w:u w:color="000000"/>
          <w:bdr w:val="nil"/>
          <w:lang w:val="el-GR"/>
        </w:rPr>
        <w:t xml:space="preserve"> </w:t>
      </w:r>
      <w:r w:rsidR="00A5147D" w:rsidRPr="004E251E">
        <w:rPr>
          <w:rFonts w:eastAsia="Arial Unicode MS" w:cstheme="minorHAnsi"/>
          <w:sz w:val="24"/>
          <w:szCs w:val="24"/>
          <w:u w:color="000000"/>
          <w:bdr w:val="nil"/>
        </w:rPr>
        <w:t>GET</w:t>
      </w:r>
      <w:r w:rsidR="00A5147D"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ενθαρρύνει</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τις</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αρχές</w:t>
      </w:r>
      <w:r w:rsidR="00A5147D"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για</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να</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σκεφθούν</w:t>
      </w:r>
      <w:r w:rsidR="0092032F" w:rsidRPr="0092032F">
        <w:rPr>
          <w:rFonts w:eastAsia="Arial Unicode MS" w:cstheme="minorHAnsi"/>
          <w:sz w:val="24"/>
          <w:szCs w:val="24"/>
          <w:u w:color="000000"/>
          <w:bdr w:val="nil"/>
          <w:lang w:val="el-GR"/>
        </w:rPr>
        <w:t xml:space="preserve"> </w:t>
      </w:r>
      <w:r w:rsidR="00C81213">
        <w:rPr>
          <w:rFonts w:eastAsia="Arial Unicode MS" w:cstheme="minorHAnsi"/>
          <w:sz w:val="24"/>
          <w:szCs w:val="24"/>
          <w:u w:color="000000"/>
          <w:bdr w:val="nil"/>
          <w:lang w:val="el-GR"/>
        </w:rPr>
        <w:t xml:space="preserve">ευρέως </w:t>
      </w:r>
      <w:r w:rsidR="0092032F">
        <w:rPr>
          <w:rFonts w:eastAsia="Arial Unicode MS" w:cstheme="minorHAnsi"/>
          <w:sz w:val="24"/>
          <w:szCs w:val="24"/>
          <w:u w:color="000000"/>
          <w:bdr w:val="nil"/>
          <w:lang w:val="el-GR"/>
        </w:rPr>
        <w:t>και</w:t>
      </w:r>
      <w:r w:rsidR="0092032F" w:rsidRPr="0092032F">
        <w:rPr>
          <w:rFonts w:eastAsia="Arial Unicode MS" w:cstheme="minorHAnsi"/>
          <w:sz w:val="24"/>
          <w:szCs w:val="24"/>
          <w:u w:color="000000"/>
          <w:bdr w:val="nil"/>
          <w:lang w:val="el-GR"/>
        </w:rPr>
        <w:t xml:space="preserve"> </w:t>
      </w:r>
      <w:r w:rsidR="00C81213">
        <w:rPr>
          <w:rFonts w:eastAsia="Arial Unicode MS" w:cstheme="minorHAnsi"/>
          <w:sz w:val="24"/>
          <w:szCs w:val="24"/>
          <w:u w:color="000000"/>
          <w:bdr w:val="nil"/>
          <w:lang w:val="el-GR"/>
        </w:rPr>
        <w:t xml:space="preserve">σε συνεργασία </w:t>
      </w:r>
      <w:r w:rsidR="0092032F">
        <w:rPr>
          <w:rFonts w:eastAsia="Arial Unicode MS" w:cstheme="minorHAnsi"/>
          <w:sz w:val="24"/>
          <w:szCs w:val="24"/>
          <w:u w:color="000000"/>
          <w:bdr w:val="nil"/>
          <w:lang w:val="el-GR"/>
        </w:rPr>
        <w:t>σε</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σχέση</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με</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αυτό</w:t>
      </w:r>
      <w:r w:rsidR="00A5147D"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για</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να</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εξασφαλισθεί</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ένα</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αποτελεσματικό</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σύστημα</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ελέγχων</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και</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ισοζυγίων</w:t>
      </w:r>
      <w:r w:rsidR="00222DF0"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δυνάμει</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των</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εξουσιών</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που</w:t>
      </w:r>
      <w:r w:rsidR="0092032F"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έχουν</w:t>
      </w:r>
      <w:r w:rsidR="0092032F" w:rsidRPr="0092032F">
        <w:rPr>
          <w:rFonts w:eastAsia="Arial Unicode MS" w:cstheme="minorHAnsi"/>
          <w:sz w:val="24"/>
          <w:szCs w:val="24"/>
          <w:u w:color="000000"/>
          <w:bdr w:val="nil"/>
          <w:lang w:val="el-GR"/>
        </w:rPr>
        <w:t xml:space="preserve"> </w:t>
      </w:r>
      <w:r w:rsidR="007C7A9A">
        <w:rPr>
          <w:rFonts w:eastAsia="Arial Unicode MS" w:cstheme="minorHAnsi"/>
          <w:sz w:val="24"/>
          <w:szCs w:val="24"/>
          <w:u w:color="000000"/>
          <w:bdr w:val="nil"/>
          <w:lang w:val="el-GR"/>
        </w:rPr>
        <w:t>ανατεθεί</w:t>
      </w:r>
      <w:r w:rsidR="009A4332">
        <w:rPr>
          <w:rFonts w:eastAsia="Arial Unicode MS" w:cstheme="minorHAnsi"/>
          <w:sz w:val="24"/>
          <w:szCs w:val="24"/>
          <w:u w:color="000000"/>
          <w:bdr w:val="nil"/>
          <w:lang w:val="el-GR"/>
        </w:rPr>
        <w:t xml:space="preserve"> </w:t>
      </w:r>
      <w:r w:rsidR="007C7A9A">
        <w:rPr>
          <w:rFonts w:eastAsia="Arial Unicode MS" w:cstheme="minorHAnsi"/>
          <w:sz w:val="24"/>
          <w:szCs w:val="24"/>
          <w:u w:color="000000"/>
          <w:bdr w:val="nil"/>
          <w:lang w:val="el-GR"/>
        </w:rPr>
        <w:t>σ</w:t>
      </w:r>
      <w:r w:rsidR="007C7A9A" w:rsidRPr="0092032F">
        <w:rPr>
          <w:rFonts w:eastAsia="Arial Unicode MS" w:cstheme="minorHAnsi"/>
          <w:sz w:val="24"/>
          <w:szCs w:val="24"/>
          <w:u w:color="000000"/>
          <w:bdr w:val="nil"/>
          <w:lang w:val="el-GR"/>
        </w:rPr>
        <w:t xml:space="preserve"> </w:t>
      </w:r>
      <w:r w:rsidR="007C7A9A">
        <w:rPr>
          <w:rFonts w:eastAsia="Arial Unicode MS" w:cstheme="minorHAnsi"/>
          <w:sz w:val="24"/>
          <w:szCs w:val="24"/>
          <w:u w:color="000000"/>
          <w:bdr w:val="nil"/>
          <w:lang w:val="el-GR"/>
        </w:rPr>
        <w:t>‘αυτόν</w:t>
      </w:r>
      <w:r w:rsidR="0092032F">
        <w:rPr>
          <w:rFonts w:eastAsia="Arial Unicode MS" w:cstheme="minorHAnsi"/>
          <w:sz w:val="24"/>
          <w:szCs w:val="24"/>
          <w:u w:color="000000"/>
          <w:bdr w:val="nil"/>
          <w:lang w:val="el-GR"/>
        </w:rPr>
        <w:t>/ην από τα Άρθρα</w:t>
      </w:r>
      <w:r w:rsidR="00222DF0" w:rsidRPr="0092032F">
        <w:rPr>
          <w:rFonts w:eastAsia="Arial Unicode MS" w:cstheme="minorHAnsi"/>
          <w:sz w:val="24"/>
          <w:szCs w:val="24"/>
          <w:u w:color="000000"/>
          <w:bdr w:val="nil"/>
          <w:lang w:val="el-GR"/>
        </w:rPr>
        <w:t xml:space="preserve"> 115-116 </w:t>
      </w:r>
      <w:r w:rsidR="0092032F">
        <w:rPr>
          <w:rFonts w:eastAsia="Arial Unicode MS" w:cstheme="minorHAnsi"/>
          <w:sz w:val="24"/>
          <w:szCs w:val="24"/>
          <w:u w:color="000000"/>
          <w:bdr w:val="nil"/>
          <w:lang w:val="el-GR"/>
        </w:rPr>
        <w:t>του Συντάγματος</w:t>
      </w:r>
      <w:r w:rsidR="00222DF0" w:rsidRPr="0092032F">
        <w:rPr>
          <w:rFonts w:eastAsia="Arial Unicode MS" w:cstheme="minorHAnsi"/>
          <w:sz w:val="24"/>
          <w:szCs w:val="24"/>
          <w:u w:color="000000"/>
          <w:bdr w:val="nil"/>
          <w:lang w:val="el-GR"/>
        </w:rPr>
        <w:t xml:space="preserve">, </w:t>
      </w:r>
      <w:r w:rsidR="0092032F">
        <w:rPr>
          <w:rFonts w:eastAsia="Arial Unicode MS" w:cstheme="minorHAnsi"/>
          <w:sz w:val="24"/>
          <w:szCs w:val="24"/>
          <w:u w:color="000000"/>
          <w:bdr w:val="nil"/>
          <w:lang w:val="el-GR"/>
        </w:rPr>
        <w:t>τις συνταγματικές αρχές</w:t>
      </w:r>
      <w:r w:rsidR="00222DF0" w:rsidRPr="0092032F">
        <w:rPr>
          <w:rFonts w:eastAsia="Arial Unicode MS" w:cstheme="minorHAnsi"/>
          <w:sz w:val="24"/>
          <w:szCs w:val="24"/>
          <w:u w:color="000000"/>
          <w:bdr w:val="nil"/>
          <w:lang w:val="el-GR"/>
        </w:rPr>
        <w:t xml:space="preserve"> </w:t>
      </w:r>
      <w:r w:rsidR="009A4332">
        <w:rPr>
          <w:rFonts w:eastAsia="Arial Unicode MS" w:cstheme="minorHAnsi"/>
          <w:sz w:val="24"/>
          <w:szCs w:val="24"/>
          <w:u w:color="000000"/>
          <w:bdr w:val="nil"/>
          <w:lang w:val="el-GR"/>
        </w:rPr>
        <w:t xml:space="preserve">γενικότερα </w:t>
      </w:r>
      <w:r w:rsidR="0092032F">
        <w:rPr>
          <w:rFonts w:eastAsia="Arial Unicode MS" w:cstheme="minorHAnsi"/>
          <w:sz w:val="24"/>
          <w:szCs w:val="24"/>
          <w:u w:color="000000"/>
          <w:bdr w:val="nil"/>
          <w:lang w:val="el-GR"/>
        </w:rPr>
        <w:t>και τον σχετικό Νόμο</w:t>
      </w:r>
      <w:r w:rsidR="00222DF0" w:rsidRPr="0092032F">
        <w:rPr>
          <w:rFonts w:eastAsia="Arial Unicode MS" w:cstheme="minorHAnsi"/>
          <w:sz w:val="24"/>
          <w:szCs w:val="24"/>
          <w:u w:color="000000"/>
          <w:bdr w:val="nil"/>
          <w:lang w:val="el-GR"/>
        </w:rPr>
        <w:t xml:space="preserve"> 113(</w:t>
      </w:r>
      <w:r w:rsidR="00222DF0">
        <w:rPr>
          <w:rFonts w:eastAsia="Arial Unicode MS" w:cstheme="minorHAnsi"/>
          <w:sz w:val="24"/>
          <w:szCs w:val="24"/>
          <w:u w:color="000000"/>
          <w:bdr w:val="nil"/>
        </w:rPr>
        <w:t>I</w:t>
      </w:r>
      <w:r w:rsidR="00222DF0" w:rsidRPr="0092032F">
        <w:rPr>
          <w:rFonts w:eastAsia="Arial Unicode MS" w:cstheme="minorHAnsi"/>
          <w:sz w:val="24"/>
          <w:szCs w:val="24"/>
          <w:u w:color="000000"/>
          <w:bdr w:val="nil"/>
          <w:lang w:val="el-GR"/>
        </w:rPr>
        <w:t xml:space="preserve">)/2002 </w:t>
      </w:r>
      <w:r w:rsidR="0092032F">
        <w:rPr>
          <w:rFonts w:eastAsia="Arial Unicode MS" w:cstheme="minorHAnsi"/>
          <w:sz w:val="24"/>
          <w:szCs w:val="24"/>
          <w:u w:color="000000"/>
          <w:bdr w:val="nil"/>
          <w:lang w:val="el-GR"/>
        </w:rPr>
        <w:t>που σχετίζεται με την Υποβολή Στοιχείων και Πληροφοριών στον Γενικό Ελεγκτή</w:t>
      </w:r>
      <w:r w:rsidR="00A5147D" w:rsidRPr="0092032F">
        <w:rPr>
          <w:rFonts w:eastAsia="Arial Unicode MS" w:cstheme="minorHAnsi"/>
          <w:sz w:val="24"/>
          <w:szCs w:val="24"/>
          <w:u w:color="000000"/>
          <w:bdr w:val="nil"/>
          <w:lang w:val="el-GR"/>
        </w:rPr>
        <w:t xml:space="preserve">. </w:t>
      </w:r>
    </w:p>
    <w:p w14:paraId="48E7B7C6" w14:textId="77777777" w:rsidR="00A5147D" w:rsidRPr="0092032F" w:rsidRDefault="00A5147D" w:rsidP="00A5147D">
      <w:pPr>
        <w:pStyle w:val="ListParagraph"/>
        <w:rPr>
          <w:rFonts w:eastAsia="Arial Unicode MS" w:cstheme="minorHAnsi"/>
          <w:sz w:val="24"/>
          <w:szCs w:val="24"/>
          <w:u w:color="000000"/>
          <w:bdr w:val="nil"/>
          <w:lang w:val="el-GR"/>
        </w:rPr>
      </w:pPr>
    </w:p>
    <w:p w14:paraId="5FFB6995" w14:textId="1C0DE409" w:rsidR="009A4332" w:rsidRPr="002B7C4B" w:rsidRDefault="0092032F" w:rsidP="004365E1">
      <w:pPr>
        <w:numPr>
          <w:ilvl w:val="0"/>
          <w:numId w:val="1"/>
        </w:numPr>
        <w:tabs>
          <w:tab w:val="clear" w:pos="6095"/>
          <w:tab w:val="left" w:pos="709"/>
        </w:tabs>
        <w:ind w:left="0" w:firstLine="0"/>
        <w:rPr>
          <w:sz w:val="24"/>
          <w:szCs w:val="24"/>
          <w:lang w:val="el-GR"/>
        </w:rPr>
      </w:pPr>
      <w:r>
        <w:rPr>
          <w:rFonts w:eastAsia="Arial Unicode MS" w:cstheme="minorHAnsi"/>
          <w:sz w:val="24"/>
          <w:szCs w:val="24"/>
          <w:u w:color="000000"/>
          <w:bdr w:val="nil"/>
          <w:lang w:val="el-GR"/>
        </w:rPr>
        <w:t>Επιπρόσθετα</w:t>
      </w:r>
      <w:r w:rsidR="00A5147D" w:rsidRPr="0092032F">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η</w:t>
      </w:r>
      <w:r w:rsidR="00A5147D" w:rsidRPr="0092032F">
        <w:rPr>
          <w:rFonts w:eastAsia="Arial Unicode MS" w:cstheme="minorHAnsi"/>
          <w:sz w:val="24"/>
          <w:szCs w:val="24"/>
          <w:u w:color="000000"/>
          <w:bdr w:val="nil"/>
          <w:lang w:val="el-GR"/>
        </w:rPr>
        <w:t xml:space="preserve"> </w:t>
      </w:r>
      <w:r w:rsidR="00A5147D" w:rsidRPr="004E251E">
        <w:rPr>
          <w:rFonts w:eastAsia="Arial Unicode MS" w:cstheme="minorHAnsi"/>
          <w:sz w:val="24"/>
          <w:szCs w:val="24"/>
          <w:u w:color="000000"/>
          <w:bdr w:val="nil"/>
        </w:rPr>
        <w:t>GET</w:t>
      </w:r>
      <w:r w:rsidR="00A5147D" w:rsidRPr="0092032F">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σημειώνει</w:t>
      </w:r>
      <w:r w:rsidRPr="0092032F">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ότι</w:t>
      </w:r>
      <w:r w:rsidR="00A5147D" w:rsidRPr="0092032F">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όπως</w:t>
      </w:r>
      <w:r w:rsidRPr="0092032F">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αναφέρεται</w:t>
      </w:r>
      <w:r w:rsidR="00A5147D" w:rsidRPr="0092032F">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λόγω</w:t>
      </w:r>
      <w:r w:rsidRPr="0092032F">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του</w:t>
      </w:r>
      <w:r w:rsidRPr="0092032F">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Δόγματος</w:t>
      </w:r>
      <w:r w:rsidRPr="0092032F">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της</w:t>
      </w:r>
      <w:r w:rsidRPr="0092032F">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Ανάγκης</w:t>
      </w:r>
      <w:r w:rsidR="00A5147D" w:rsidRPr="0092032F">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ή</w:t>
      </w:r>
      <w:r w:rsidRPr="0092032F">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του</w:t>
      </w:r>
      <w:r w:rsidRPr="0092032F">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Δικαίου</w:t>
      </w:r>
      <w:r w:rsidRPr="0092032F">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της</w:t>
      </w:r>
      <w:r w:rsidRPr="0092032F">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Ανάγκης</w:t>
      </w:r>
      <w:r w:rsidR="00A5147D" w:rsidRPr="0092032F">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ανατίθεται στον</w:t>
      </w:r>
      <w:r w:rsidRPr="0092032F">
        <w:rPr>
          <w:rFonts w:eastAsia="Arial Unicode MS" w:cstheme="minorHAnsi"/>
          <w:sz w:val="24"/>
          <w:szCs w:val="24"/>
          <w:u w:color="000000"/>
          <w:bdr w:val="nil"/>
          <w:lang w:val="el-GR"/>
        </w:rPr>
        <w:t xml:space="preserve"> </w:t>
      </w:r>
      <w:r>
        <w:rPr>
          <w:rFonts w:eastAsia="Arial Unicode MS" w:cstheme="minorHAnsi"/>
          <w:sz w:val="24"/>
          <w:szCs w:val="24"/>
          <w:u w:color="000000"/>
          <w:bdr w:val="nil"/>
          <w:lang w:val="el-GR"/>
        </w:rPr>
        <w:t>Πρόεδρο</w:t>
      </w:r>
      <w:r w:rsidR="000A6E04">
        <w:rPr>
          <w:rFonts w:eastAsia="Arial Unicode MS" w:cstheme="minorHAnsi"/>
          <w:sz w:val="24"/>
          <w:szCs w:val="24"/>
          <w:u w:color="000000"/>
          <w:bdr w:val="nil"/>
          <w:lang w:val="el-GR"/>
        </w:rPr>
        <w:t xml:space="preserve"> ο απευθείας διορισμός της ανώτατης διεύθυνσης των κυρίων οργάνων επίβλεψης</w:t>
      </w:r>
      <w:r w:rsidR="00A5147D" w:rsidRPr="0092032F">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Αυτό</w:t>
      </w:r>
      <w:r w:rsidR="000A6E04" w:rsidRPr="00D96585">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φυσικά</w:t>
      </w:r>
      <w:r w:rsidR="000A6E04" w:rsidRPr="00D96585">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δημιουργεί</w:t>
      </w:r>
      <w:r w:rsidR="000A6E04" w:rsidRPr="00D96585">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μια</w:t>
      </w:r>
      <w:r w:rsidR="000A6E04" w:rsidRPr="00D96585">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σχέση</w:t>
      </w:r>
      <w:r w:rsidR="000A6E04" w:rsidRPr="00D96585">
        <w:rPr>
          <w:rFonts w:eastAsia="Arial Unicode MS" w:cstheme="minorHAnsi"/>
          <w:sz w:val="24"/>
          <w:szCs w:val="24"/>
          <w:u w:color="000000"/>
          <w:bdr w:val="nil"/>
          <w:lang w:val="el-GR"/>
        </w:rPr>
        <w:t xml:space="preserve"> </w:t>
      </w:r>
      <w:r w:rsidR="0064188C">
        <w:rPr>
          <w:rFonts w:eastAsia="Arial Unicode MS" w:cstheme="minorHAnsi"/>
          <w:sz w:val="24"/>
          <w:szCs w:val="24"/>
          <w:u w:color="000000"/>
          <w:bdr w:val="nil"/>
          <w:lang w:val="el-GR"/>
        </w:rPr>
        <w:t>αλληλεξάρτησης</w:t>
      </w:r>
      <w:r w:rsidR="00A5147D" w:rsidRPr="00D96585">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Η</w:t>
      </w:r>
      <w:r w:rsidR="00A5147D" w:rsidRPr="000A6E04">
        <w:rPr>
          <w:rFonts w:eastAsia="Arial Unicode MS" w:cstheme="minorHAnsi"/>
          <w:sz w:val="24"/>
          <w:szCs w:val="24"/>
          <w:u w:color="000000"/>
          <w:bdr w:val="nil"/>
          <w:lang w:val="el-GR"/>
        </w:rPr>
        <w:t xml:space="preserve"> </w:t>
      </w:r>
      <w:r w:rsidR="00A5147D" w:rsidRPr="004E251E">
        <w:rPr>
          <w:rFonts w:eastAsia="Arial Unicode MS" w:cstheme="minorHAnsi"/>
          <w:sz w:val="24"/>
          <w:szCs w:val="24"/>
          <w:u w:color="000000"/>
          <w:bdr w:val="nil"/>
        </w:rPr>
        <w:t>GET</w:t>
      </w:r>
      <w:r w:rsidR="00A5147D"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απέχει</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από</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την</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έκδοση</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επίσημων</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συστάσεων</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από</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την</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άποψη</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αυτή</w:t>
      </w:r>
      <w:r w:rsidR="00A5147D"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επειδή</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η</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συνταγματική</w:t>
      </w:r>
      <w:r w:rsidR="000A6E04" w:rsidRPr="000A6E04">
        <w:rPr>
          <w:rFonts w:eastAsia="Arial Unicode MS" w:cstheme="minorHAnsi"/>
          <w:sz w:val="24"/>
          <w:szCs w:val="24"/>
          <w:u w:color="000000"/>
          <w:bdr w:val="nil"/>
          <w:lang w:val="el-GR"/>
        </w:rPr>
        <w:t xml:space="preserve"> </w:t>
      </w:r>
      <w:r w:rsidR="009A4332">
        <w:rPr>
          <w:rFonts w:eastAsia="Arial Unicode MS" w:cstheme="minorHAnsi"/>
          <w:sz w:val="24"/>
          <w:szCs w:val="24"/>
          <w:u w:color="000000"/>
          <w:bdr w:val="nil"/>
          <w:lang w:val="el-GR"/>
        </w:rPr>
        <w:t xml:space="preserve">δομή </w:t>
      </w:r>
      <w:r w:rsidR="000A6E04">
        <w:rPr>
          <w:rFonts w:eastAsia="Arial Unicode MS" w:cstheme="minorHAnsi"/>
          <w:sz w:val="24"/>
          <w:szCs w:val="24"/>
          <w:u w:color="000000"/>
          <w:bdr w:val="nil"/>
          <w:lang w:val="el-GR"/>
        </w:rPr>
        <w:t>του</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Κράτους</w:t>
      </w:r>
      <w:r w:rsidR="00A5147D"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 xml:space="preserve">βρίσκεται πέραν του πεδίου εφαρμογής της </w:t>
      </w:r>
      <w:r w:rsidR="000A6E04">
        <w:rPr>
          <w:rFonts w:eastAsia="Arial Unicode MS" w:cstheme="minorHAnsi"/>
          <w:sz w:val="24"/>
          <w:szCs w:val="24"/>
          <w:u w:color="000000"/>
          <w:bdr w:val="nil"/>
          <w:lang w:val="el-GR"/>
        </w:rPr>
        <w:lastRenderedPageBreak/>
        <w:t>παρούσας αξιολόγησης</w:t>
      </w:r>
      <w:r w:rsidR="00A5147D"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Έχοντας</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αναφέρει</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αυτό</w:t>
      </w:r>
      <w:r w:rsidR="00A5147D"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η</w:t>
      </w:r>
      <w:r w:rsidR="00A5147D" w:rsidRPr="000A6E04">
        <w:rPr>
          <w:rFonts w:eastAsia="Arial Unicode MS" w:cstheme="minorHAnsi"/>
          <w:sz w:val="24"/>
          <w:szCs w:val="24"/>
          <w:u w:color="000000"/>
          <w:bdr w:val="nil"/>
          <w:lang w:val="el-GR"/>
        </w:rPr>
        <w:t xml:space="preserve"> </w:t>
      </w:r>
      <w:r w:rsidR="00A5147D" w:rsidRPr="004E251E">
        <w:rPr>
          <w:rFonts w:eastAsia="Arial Unicode MS" w:cstheme="minorHAnsi"/>
          <w:sz w:val="24"/>
          <w:szCs w:val="24"/>
          <w:u w:color="000000"/>
          <w:bdr w:val="nil"/>
        </w:rPr>
        <w:t>GET</w:t>
      </w:r>
      <w:r w:rsidR="00A5147D"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επισημαίνει</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κάποια</w:t>
      </w:r>
      <w:r w:rsidR="000A6E04" w:rsidRPr="000A6E04">
        <w:rPr>
          <w:rFonts w:eastAsia="Arial Unicode MS" w:cstheme="minorHAnsi"/>
          <w:sz w:val="24"/>
          <w:szCs w:val="24"/>
          <w:u w:color="000000"/>
          <w:bdr w:val="nil"/>
          <w:lang w:val="el-GR"/>
        </w:rPr>
        <w:t xml:space="preserve"> </w:t>
      </w:r>
      <w:r w:rsidR="0075075D">
        <w:rPr>
          <w:rFonts w:eastAsia="Arial Unicode MS" w:cstheme="minorHAnsi"/>
          <w:sz w:val="24"/>
          <w:szCs w:val="24"/>
          <w:u w:color="000000"/>
          <w:bdr w:val="nil"/>
          <w:lang w:val="el-GR"/>
        </w:rPr>
        <w:t>παραδ</w:t>
      </w:r>
      <w:r w:rsidR="000A6E04">
        <w:rPr>
          <w:rFonts w:eastAsia="Arial Unicode MS" w:cstheme="minorHAnsi"/>
          <w:sz w:val="24"/>
          <w:szCs w:val="24"/>
          <w:u w:color="000000"/>
          <w:bdr w:val="nil"/>
          <w:lang w:val="el-GR"/>
        </w:rPr>
        <w:t>είγματα</w:t>
      </w:r>
      <w:r w:rsidR="00A5147D"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που</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ήδη</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υπάρχουν</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στην</w:t>
      </w:r>
      <w:r w:rsidR="000A6E04"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Κύπρο</w:t>
      </w:r>
      <w:r w:rsidR="00A5147D"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π</w:t>
      </w:r>
      <w:r w:rsidR="00A5147D" w:rsidRPr="000A6E04">
        <w:rPr>
          <w:rFonts w:eastAsia="Arial Unicode MS" w:cstheme="minorHAnsi"/>
          <w:sz w:val="24"/>
          <w:szCs w:val="24"/>
          <w:u w:color="000000"/>
          <w:bdr w:val="nil"/>
          <w:lang w:val="el-GR"/>
        </w:rPr>
        <w:t>.</w:t>
      </w:r>
      <w:r w:rsidR="000A6E04">
        <w:rPr>
          <w:rFonts w:eastAsia="Arial Unicode MS" w:cstheme="minorHAnsi"/>
          <w:sz w:val="24"/>
          <w:szCs w:val="24"/>
          <w:u w:color="000000"/>
          <w:bdr w:val="nil"/>
          <w:lang w:val="el-GR"/>
        </w:rPr>
        <w:t>χ</w:t>
      </w:r>
      <w:r w:rsidR="00A5147D"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Επίτροπος Διοικήσεως</w:t>
      </w:r>
      <w:r w:rsidR="00A5147D" w:rsidRPr="004E251E">
        <w:rPr>
          <w:rStyle w:val="FootnoteReference"/>
          <w:rFonts w:eastAsia="Arial Unicode MS" w:cstheme="minorHAnsi"/>
          <w:sz w:val="24"/>
          <w:szCs w:val="24"/>
          <w:u w:color="000000"/>
          <w:bdr w:val="nil"/>
        </w:rPr>
        <w:footnoteReference w:id="47"/>
      </w:r>
      <w:r w:rsidR="00A5147D"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Αρχή Κατά της Διαφθ</w:t>
      </w:r>
      <w:r w:rsidR="0075075D">
        <w:rPr>
          <w:rFonts w:eastAsia="Arial Unicode MS" w:cstheme="minorHAnsi"/>
          <w:sz w:val="24"/>
          <w:szCs w:val="24"/>
          <w:u w:color="000000"/>
          <w:bdr w:val="nil"/>
          <w:lang w:val="el-GR"/>
        </w:rPr>
        <w:t>ο</w:t>
      </w:r>
      <w:r w:rsidR="000A6E04">
        <w:rPr>
          <w:rFonts w:eastAsia="Arial Unicode MS" w:cstheme="minorHAnsi"/>
          <w:sz w:val="24"/>
          <w:szCs w:val="24"/>
          <w:u w:color="000000"/>
          <w:bdr w:val="nil"/>
          <w:lang w:val="el-GR"/>
        </w:rPr>
        <w:t>ράς</w:t>
      </w:r>
      <w:r w:rsidR="00A5147D" w:rsidRPr="004E251E">
        <w:rPr>
          <w:rStyle w:val="FootnoteReference"/>
          <w:rFonts w:eastAsia="Arial Unicode MS" w:cstheme="minorHAnsi"/>
          <w:sz w:val="24"/>
          <w:szCs w:val="24"/>
          <w:u w:color="000000"/>
          <w:bdr w:val="nil"/>
        </w:rPr>
        <w:footnoteReference w:id="48"/>
      </w:r>
      <w:r w:rsidR="00A5147D"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όπου</w:t>
      </w:r>
      <w:r w:rsidR="00A5147D" w:rsidRPr="000A6E04">
        <w:rPr>
          <w:rFonts w:eastAsia="Arial Unicode MS" w:cstheme="minorHAnsi"/>
          <w:sz w:val="24"/>
          <w:szCs w:val="24"/>
          <w:u w:color="000000"/>
          <w:bdr w:val="nil"/>
          <w:lang w:val="el-GR"/>
        </w:rPr>
        <w:t xml:space="preserve"> </w:t>
      </w:r>
      <w:r w:rsidR="000A6E04">
        <w:rPr>
          <w:rFonts w:eastAsia="Arial Unicode MS" w:cstheme="minorHAnsi"/>
          <w:sz w:val="24"/>
          <w:szCs w:val="24"/>
          <w:u w:color="000000"/>
          <w:bdr w:val="nil"/>
          <w:lang w:val="el-GR"/>
        </w:rPr>
        <w:t xml:space="preserve">η συλλογική λήψη αποφάσεων παίζει ένα ρόλο στην επιλογή των </w:t>
      </w:r>
      <w:r w:rsidR="0075075D">
        <w:rPr>
          <w:rFonts w:eastAsia="Arial Unicode MS" w:cstheme="minorHAnsi"/>
          <w:sz w:val="24"/>
          <w:szCs w:val="24"/>
          <w:u w:color="000000"/>
          <w:bdr w:val="nil"/>
          <w:lang w:val="el-GR"/>
        </w:rPr>
        <w:t>υ</w:t>
      </w:r>
      <w:r w:rsidR="000A6E04">
        <w:rPr>
          <w:rFonts w:eastAsia="Arial Unicode MS" w:cstheme="minorHAnsi"/>
          <w:sz w:val="24"/>
          <w:szCs w:val="24"/>
          <w:u w:color="000000"/>
          <w:bdr w:val="nil"/>
          <w:lang w:val="el-GR"/>
        </w:rPr>
        <w:t>ποψηφίων</w:t>
      </w:r>
      <w:r w:rsidR="00A5147D" w:rsidRPr="000A6E04">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Κατά</w:t>
      </w:r>
      <w:r w:rsidR="00BA55CC" w:rsidRPr="00BA55CC">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την</w:t>
      </w:r>
      <w:r w:rsidR="00BA55CC" w:rsidRPr="00BA55CC">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άποψη</w:t>
      </w:r>
      <w:r w:rsidR="00BA55CC" w:rsidRPr="00BA55CC">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της</w:t>
      </w:r>
      <w:r w:rsidR="00A5147D" w:rsidRPr="00BA55CC">
        <w:rPr>
          <w:rFonts w:eastAsia="Arial Unicode MS" w:cstheme="minorHAnsi"/>
          <w:sz w:val="24"/>
          <w:szCs w:val="24"/>
          <w:u w:color="000000"/>
          <w:bdr w:val="nil"/>
          <w:lang w:val="el-GR"/>
        </w:rPr>
        <w:t xml:space="preserve"> </w:t>
      </w:r>
      <w:r w:rsidR="00A5147D" w:rsidRPr="004E251E">
        <w:rPr>
          <w:rFonts w:eastAsia="Arial Unicode MS" w:cstheme="minorHAnsi"/>
          <w:sz w:val="24"/>
          <w:szCs w:val="24"/>
          <w:u w:color="000000"/>
          <w:bdr w:val="nil"/>
        </w:rPr>
        <w:t>GET</w:t>
      </w:r>
      <w:r w:rsidR="00A5147D" w:rsidRPr="00BA55CC">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τέτοιες</w:t>
      </w:r>
      <w:r w:rsidR="00BA55CC" w:rsidRPr="00BA55CC">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διαδικασίες</w:t>
      </w:r>
      <w:r w:rsidR="00BA55CC" w:rsidRPr="00BA55CC">
        <w:rPr>
          <w:rFonts w:eastAsia="Arial Unicode MS" w:cstheme="minorHAnsi"/>
          <w:sz w:val="24"/>
          <w:szCs w:val="24"/>
          <w:u w:color="000000"/>
          <w:bdr w:val="nil"/>
          <w:lang w:val="el-GR"/>
        </w:rPr>
        <w:t xml:space="preserve"> </w:t>
      </w:r>
      <w:r w:rsidR="00083E0D">
        <w:rPr>
          <w:rFonts w:eastAsia="Arial Unicode MS" w:cstheme="minorHAnsi"/>
          <w:sz w:val="24"/>
          <w:szCs w:val="24"/>
          <w:u w:color="000000"/>
          <w:bdr w:val="nil"/>
          <w:lang w:val="el-GR"/>
        </w:rPr>
        <w:t>δίνου</w:t>
      </w:r>
      <w:r w:rsidR="00BA55CC">
        <w:rPr>
          <w:rFonts w:eastAsia="Arial Unicode MS" w:cstheme="minorHAnsi"/>
          <w:sz w:val="24"/>
          <w:szCs w:val="24"/>
          <w:u w:color="000000"/>
          <w:bdr w:val="nil"/>
          <w:lang w:val="el-GR"/>
        </w:rPr>
        <w:t>ν</w:t>
      </w:r>
      <w:r w:rsidR="00BA55CC" w:rsidRPr="00BA55CC">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 xml:space="preserve">μεγαλύτερες </w:t>
      </w:r>
      <w:r w:rsidR="009A4332">
        <w:rPr>
          <w:rFonts w:eastAsia="Arial Unicode MS" w:cstheme="minorHAnsi"/>
          <w:sz w:val="24"/>
          <w:szCs w:val="24"/>
          <w:u w:color="000000"/>
          <w:bdr w:val="nil"/>
          <w:lang w:val="el-GR"/>
        </w:rPr>
        <w:t>διασφαλίσεις</w:t>
      </w:r>
      <w:r w:rsidR="00AF3ABC">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για τη διαφάνεια και την ανεξαρτησία</w:t>
      </w:r>
      <w:r w:rsidR="00A5147D" w:rsidRPr="00BA55CC">
        <w:rPr>
          <w:rFonts w:eastAsia="Arial Unicode MS" w:cstheme="minorHAnsi"/>
          <w:sz w:val="24"/>
          <w:szCs w:val="24"/>
          <w:u w:color="000000"/>
          <w:bdr w:val="nil"/>
          <w:lang w:val="el-GR"/>
        </w:rPr>
        <w:t xml:space="preserve">.  </w:t>
      </w:r>
      <w:bookmarkStart w:id="96" w:name="_Hlk132888842"/>
      <w:r w:rsidR="00BA55CC">
        <w:rPr>
          <w:rFonts w:eastAsia="Arial Unicode MS" w:cstheme="minorHAnsi"/>
          <w:sz w:val="24"/>
          <w:szCs w:val="24"/>
          <w:u w:color="000000"/>
          <w:bdr w:val="nil"/>
          <w:lang w:val="el-GR"/>
        </w:rPr>
        <w:t>Η</w:t>
      </w:r>
      <w:r w:rsidR="00B4667D" w:rsidRPr="00BA55CC">
        <w:rPr>
          <w:rFonts w:eastAsia="Arial Unicode MS" w:cstheme="minorHAnsi"/>
          <w:sz w:val="24"/>
          <w:szCs w:val="24"/>
          <w:u w:color="000000"/>
          <w:bdr w:val="nil"/>
          <w:lang w:val="el-GR"/>
        </w:rPr>
        <w:t xml:space="preserve"> </w:t>
      </w:r>
      <w:r w:rsidR="00B4667D" w:rsidRPr="00B95983">
        <w:rPr>
          <w:rFonts w:eastAsia="Arial Unicode MS" w:cstheme="minorHAnsi"/>
          <w:sz w:val="24"/>
          <w:szCs w:val="24"/>
          <w:u w:color="000000"/>
          <w:bdr w:val="nil"/>
        </w:rPr>
        <w:t>GET</w:t>
      </w:r>
      <w:r w:rsidR="00B4667D" w:rsidRPr="00BA55CC">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πληροφορήθηκε</w:t>
      </w:r>
      <w:r w:rsidR="00B4667D" w:rsidRPr="00BA55CC">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μετά</w:t>
      </w:r>
      <w:r w:rsidR="00BA55CC" w:rsidRPr="00BA55CC">
        <w:rPr>
          <w:rFonts w:eastAsia="Arial Unicode MS" w:cstheme="minorHAnsi"/>
          <w:sz w:val="24"/>
          <w:szCs w:val="24"/>
          <w:u w:color="000000"/>
          <w:bdr w:val="nil"/>
          <w:lang w:val="el-GR"/>
        </w:rPr>
        <w:t xml:space="preserve"> </w:t>
      </w:r>
      <w:r w:rsidR="009D353B">
        <w:rPr>
          <w:rFonts w:eastAsia="Arial Unicode MS" w:cstheme="minorHAnsi"/>
          <w:sz w:val="24"/>
          <w:szCs w:val="24"/>
          <w:u w:color="000000"/>
          <w:bdr w:val="nil"/>
          <w:lang w:val="el-GR"/>
        </w:rPr>
        <w:t>α</w:t>
      </w:r>
      <w:r w:rsidR="00BA55CC">
        <w:rPr>
          <w:rFonts w:eastAsia="Arial Unicode MS" w:cstheme="minorHAnsi"/>
          <w:sz w:val="24"/>
          <w:szCs w:val="24"/>
          <w:u w:color="000000"/>
          <w:bdr w:val="nil"/>
          <w:lang w:val="el-GR"/>
        </w:rPr>
        <w:t>πό</w:t>
      </w:r>
      <w:r w:rsidR="00BA55CC" w:rsidRPr="00BA55CC">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την</w:t>
      </w:r>
      <w:r w:rsidR="00BA55CC" w:rsidRPr="00BA55CC">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επί</w:t>
      </w:r>
      <w:r w:rsidR="00BA55CC" w:rsidRPr="00BA55CC">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τόπου</w:t>
      </w:r>
      <w:r w:rsidR="00BA55CC" w:rsidRPr="00BA55CC">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επίσκεψη</w:t>
      </w:r>
      <w:r w:rsidR="00B4667D" w:rsidRPr="00BA55CC">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ότι</w:t>
      </w:r>
      <w:r w:rsidR="00BA55CC" w:rsidRPr="00BA55CC">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ο</w:t>
      </w:r>
      <w:r w:rsidR="00BA55CC" w:rsidRPr="00BA55CC">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νέος</w:t>
      </w:r>
      <w:r w:rsidR="00BA55CC" w:rsidRPr="00BA55CC">
        <w:rPr>
          <w:rFonts w:eastAsia="Arial Unicode MS" w:cstheme="minorHAnsi"/>
          <w:sz w:val="24"/>
          <w:szCs w:val="24"/>
          <w:u w:color="000000"/>
          <w:bdr w:val="nil"/>
          <w:lang w:val="el-GR"/>
        </w:rPr>
        <w:t xml:space="preserve"> </w:t>
      </w:r>
      <w:r w:rsidR="00BA55CC">
        <w:rPr>
          <w:rFonts w:eastAsia="Arial Unicode MS" w:cstheme="minorHAnsi"/>
          <w:sz w:val="24"/>
          <w:szCs w:val="24"/>
          <w:u w:color="000000"/>
          <w:bdr w:val="nil"/>
          <w:lang w:val="el-GR"/>
        </w:rPr>
        <w:t>Πρόεδρος</w:t>
      </w:r>
      <w:r w:rsidR="00B4667D" w:rsidRPr="00BA55CC">
        <w:rPr>
          <w:sz w:val="24"/>
          <w:szCs w:val="24"/>
          <w:lang w:val="el-GR"/>
        </w:rPr>
        <w:t xml:space="preserve"> </w:t>
      </w:r>
      <w:r w:rsidR="00BA55CC">
        <w:rPr>
          <w:sz w:val="24"/>
          <w:szCs w:val="24"/>
          <w:lang w:val="el-GR"/>
        </w:rPr>
        <w:t>είχε</w:t>
      </w:r>
      <w:r w:rsidR="00BA55CC" w:rsidRPr="00BA55CC">
        <w:rPr>
          <w:sz w:val="24"/>
          <w:szCs w:val="24"/>
          <w:lang w:val="el-GR"/>
        </w:rPr>
        <w:t xml:space="preserve"> </w:t>
      </w:r>
      <w:r w:rsidR="009A4332">
        <w:rPr>
          <w:sz w:val="24"/>
          <w:szCs w:val="24"/>
          <w:lang w:val="el-GR"/>
        </w:rPr>
        <w:t xml:space="preserve">ορίσει </w:t>
      </w:r>
      <w:r w:rsidR="00BA55CC">
        <w:rPr>
          <w:sz w:val="24"/>
          <w:szCs w:val="24"/>
          <w:lang w:val="el-GR"/>
        </w:rPr>
        <w:t>ένα</w:t>
      </w:r>
      <w:r w:rsidR="00BA55CC" w:rsidRPr="00BA55CC">
        <w:rPr>
          <w:sz w:val="24"/>
          <w:szCs w:val="24"/>
          <w:lang w:val="el-GR"/>
        </w:rPr>
        <w:t xml:space="preserve"> </w:t>
      </w:r>
      <w:r w:rsidR="00BA55CC">
        <w:rPr>
          <w:sz w:val="24"/>
          <w:szCs w:val="24"/>
          <w:lang w:val="el-GR"/>
        </w:rPr>
        <w:t>πρώην</w:t>
      </w:r>
      <w:r w:rsidR="00BA55CC" w:rsidRPr="00BA55CC">
        <w:rPr>
          <w:sz w:val="24"/>
          <w:szCs w:val="24"/>
          <w:lang w:val="el-GR"/>
        </w:rPr>
        <w:t xml:space="preserve"> </w:t>
      </w:r>
      <w:r w:rsidR="00BA55CC">
        <w:rPr>
          <w:sz w:val="24"/>
          <w:szCs w:val="24"/>
          <w:lang w:val="el-GR"/>
        </w:rPr>
        <w:t>δικαστή</w:t>
      </w:r>
      <w:r w:rsidR="00BA55CC" w:rsidRPr="00BA55CC">
        <w:rPr>
          <w:sz w:val="24"/>
          <w:szCs w:val="24"/>
          <w:lang w:val="el-GR"/>
        </w:rPr>
        <w:t xml:space="preserve"> </w:t>
      </w:r>
      <w:r w:rsidR="00BA55CC">
        <w:rPr>
          <w:sz w:val="24"/>
          <w:szCs w:val="24"/>
          <w:lang w:val="el-GR"/>
        </w:rPr>
        <w:t>του</w:t>
      </w:r>
      <w:r w:rsidR="00BA55CC" w:rsidRPr="00BA55CC">
        <w:rPr>
          <w:sz w:val="24"/>
          <w:szCs w:val="24"/>
          <w:lang w:val="el-GR"/>
        </w:rPr>
        <w:t xml:space="preserve"> </w:t>
      </w:r>
      <w:proofErr w:type="spellStart"/>
      <w:r w:rsidR="00BA55CC">
        <w:rPr>
          <w:sz w:val="24"/>
          <w:szCs w:val="24"/>
          <w:lang w:val="el-GR"/>
        </w:rPr>
        <w:t>Ανωτάτου</w:t>
      </w:r>
      <w:proofErr w:type="spellEnd"/>
      <w:r w:rsidR="00BA55CC" w:rsidRPr="00BA55CC">
        <w:rPr>
          <w:sz w:val="24"/>
          <w:szCs w:val="24"/>
          <w:lang w:val="el-GR"/>
        </w:rPr>
        <w:t xml:space="preserve"> </w:t>
      </w:r>
      <w:r w:rsidR="00BA55CC">
        <w:rPr>
          <w:sz w:val="24"/>
          <w:szCs w:val="24"/>
          <w:lang w:val="el-GR"/>
        </w:rPr>
        <w:t>Δικαστηρίου</w:t>
      </w:r>
      <w:r w:rsidR="00B4667D" w:rsidRPr="00BA55CC">
        <w:rPr>
          <w:sz w:val="24"/>
          <w:szCs w:val="24"/>
          <w:lang w:val="el-GR"/>
        </w:rPr>
        <w:t xml:space="preserve"> </w:t>
      </w:r>
      <w:r w:rsidR="00BA55CC">
        <w:rPr>
          <w:sz w:val="24"/>
          <w:szCs w:val="24"/>
          <w:lang w:val="el-GR"/>
        </w:rPr>
        <w:t>και</w:t>
      </w:r>
      <w:r w:rsidR="00BA55CC" w:rsidRPr="00BA55CC">
        <w:rPr>
          <w:sz w:val="24"/>
          <w:szCs w:val="24"/>
          <w:lang w:val="el-GR"/>
        </w:rPr>
        <w:t xml:space="preserve"> </w:t>
      </w:r>
      <w:r w:rsidR="00BA55CC">
        <w:rPr>
          <w:sz w:val="24"/>
          <w:szCs w:val="24"/>
          <w:lang w:val="el-GR"/>
        </w:rPr>
        <w:t>πρώην</w:t>
      </w:r>
      <w:r w:rsidR="00BA55CC" w:rsidRPr="00BA55CC">
        <w:rPr>
          <w:sz w:val="24"/>
          <w:szCs w:val="24"/>
          <w:lang w:val="el-GR"/>
        </w:rPr>
        <w:t xml:space="preserve"> </w:t>
      </w:r>
      <w:r w:rsidR="00BA55CC">
        <w:rPr>
          <w:sz w:val="24"/>
          <w:szCs w:val="24"/>
          <w:lang w:val="el-GR"/>
        </w:rPr>
        <w:t>Δικαστή</w:t>
      </w:r>
      <w:r w:rsidR="00BA55CC" w:rsidRPr="00BA55CC">
        <w:rPr>
          <w:sz w:val="24"/>
          <w:szCs w:val="24"/>
          <w:lang w:val="el-GR"/>
        </w:rPr>
        <w:t xml:space="preserve"> </w:t>
      </w:r>
      <w:r w:rsidR="00BA55CC">
        <w:rPr>
          <w:sz w:val="24"/>
          <w:szCs w:val="24"/>
          <w:lang w:val="el-GR"/>
        </w:rPr>
        <w:t>του</w:t>
      </w:r>
      <w:r w:rsidR="00BA55CC" w:rsidRPr="00BA55CC">
        <w:rPr>
          <w:sz w:val="24"/>
          <w:szCs w:val="24"/>
          <w:lang w:val="el-GR"/>
        </w:rPr>
        <w:t xml:space="preserve"> </w:t>
      </w:r>
      <w:r w:rsidR="00BA55CC">
        <w:rPr>
          <w:sz w:val="24"/>
          <w:szCs w:val="24"/>
          <w:lang w:val="el-GR"/>
        </w:rPr>
        <w:t>Δικαστηρίου</w:t>
      </w:r>
      <w:r w:rsidR="00BA55CC" w:rsidRPr="00BA55CC">
        <w:rPr>
          <w:sz w:val="24"/>
          <w:szCs w:val="24"/>
          <w:lang w:val="el-GR"/>
        </w:rPr>
        <w:t xml:space="preserve"> </w:t>
      </w:r>
      <w:r w:rsidR="009A4332">
        <w:rPr>
          <w:sz w:val="24"/>
          <w:szCs w:val="24"/>
          <w:lang w:val="el-GR"/>
        </w:rPr>
        <w:t xml:space="preserve">της ΕΕ </w:t>
      </w:r>
      <w:r w:rsidR="00BA55CC">
        <w:rPr>
          <w:sz w:val="24"/>
          <w:szCs w:val="24"/>
          <w:lang w:val="el-GR"/>
        </w:rPr>
        <w:t>να</w:t>
      </w:r>
      <w:r w:rsidR="00BA55CC" w:rsidRPr="00BA55CC">
        <w:rPr>
          <w:sz w:val="24"/>
          <w:szCs w:val="24"/>
          <w:lang w:val="el-GR"/>
        </w:rPr>
        <w:t xml:space="preserve"> </w:t>
      </w:r>
      <w:r w:rsidR="00BA55CC">
        <w:rPr>
          <w:sz w:val="24"/>
          <w:szCs w:val="24"/>
          <w:lang w:val="el-GR"/>
        </w:rPr>
        <w:t>ετοιμάσει</w:t>
      </w:r>
      <w:r w:rsidR="00BA55CC" w:rsidRPr="00BA55CC">
        <w:rPr>
          <w:sz w:val="24"/>
          <w:szCs w:val="24"/>
          <w:lang w:val="el-GR"/>
        </w:rPr>
        <w:t xml:space="preserve"> </w:t>
      </w:r>
      <w:r w:rsidR="00BA55CC">
        <w:rPr>
          <w:sz w:val="24"/>
          <w:szCs w:val="24"/>
          <w:lang w:val="el-GR"/>
        </w:rPr>
        <w:t>και να παρουσιάσει</w:t>
      </w:r>
      <w:r w:rsidR="00B4667D" w:rsidRPr="00BA55CC">
        <w:rPr>
          <w:sz w:val="24"/>
          <w:szCs w:val="24"/>
          <w:lang w:val="el-GR"/>
        </w:rPr>
        <w:t xml:space="preserve"> </w:t>
      </w:r>
      <w:r w:rsidR="00BA55CC">
        <w:rPr>
          <w:sz w:val="24"/>
          <w:szCs w:val="24"/>
          <w:lang w:val="el-GR"/>
        </w:rPr>
        <w:t>μια πρόταση στην κυβέρνηση</w:t>
      </w:r>
      <w:r w:rsidR="00B4667D" w:rsidRPr="00BA55CC">
        <w:rPr>
          <w:sz w:val="24"/>
          <w:szCs w:val="24"/>
          <w:lang w:val="el-GR"/>
        </w:rPr>
        <w:t xml:space="preserve"> </w:t>
      </w:r>
      <w:r w:rsidR="00BA55CC">
        <w:rPr>
          <w:sz w:val="24"/>
          <w:szCs w:val="24"/>
          <w:lang w:val="el-GR"/>
        </w:rPr>
        <w:t xml:space="preserve">σχετικά με την ίδρυση ενός αμερόληπτου </w:t>
      </w:r>
      <w:r w:rsidR="00AF3ABC">
        <w:rPr>
          <w:sz w:val="24"/>
          <w:szCs w:val="24"/>
          <w:lang w:val="el-GR"/>
        </w:rPr>
        <w:t xml:space="preserve">Γνωμοδοτικού </w:t>
      </w:r>
      <w:r w:rsidR="00BA55CC">
        <w:rPr>
          <w:sz w:val="24"/>
          <w:szCs w:val="24"/>
          <w:lang w:val="el-GR"/>
        </w:rPr>
        <w:t>Συμβουλίου που</w:t>
      </w:r>
      <w:r w:rsidR="00B4667D" w:rsidRPr="00BA55CC">
        <w:rPr>
          <w:sz w:val="24"/>
          <w:szCs w:val="24"/>
          <w:lang w:val="el-GR"/>
        </w:rPr>
        <w:t xml:space="preserve">, </w:t>
      </w:r>
      <w:r w:rsidR="00BA55CC">
        <w:rPr>
          <w:sz w:val="24"/>
          <w:szCs w:val="24"/>
          <w:lang w:val="el-GR"/>
        </w:rPr>
        <w:t>κατόπιν μιας ανοικτής διαδικασίας πρόσκλησης</w:t>
      </w:r>
      <w:r w:rsidR="00F84CFA" w:rsidRPr="00BA55CC">
        <w:rPr>
          <w:sz w:val="24"/>
          <w:szCs w:val="24"/>
          <w:lang w:val="el-GR"/>
        </w:rPr>
        <w:t>,</w:t>
      </w:r>
      <w:r w:rsidR="00B4667D" w:rsidRPr="00BA55CC">
        <w:rPr>
          <w:sz w:val="24"/>
          <w:szCs w:val="24"/>
          <w:lang w:val="el-GR"/>
        </w:rPr>
        <w:t xml:space="preserve"> </w:t>
      </w:r>
      <w:r w:rsidR="00BA55CC">
        <w:rPr>
          <w:sz w:val="24"/>
          <w:szCs w:val="24"/>
          <w:lang w:val="el-GR"/>
        </w:rPr>
        <w:t>θα αξιολογ</w:t>
      </w:r>
      <w:r w:rsidR="009A4332">
        <w:rPr>
          <w:sz w:val="24"/>
          <w:szCs w:val="24"/>
          <w:lang w:val="el-GR"/>
        </w:rPr>
        <w:t>εί</w:t>
      </w:r>
      <w:r w:rsidR="00BA55CC">
        <w:rPr>
          <w:sz w:val="24"/>
          <w:szCs w:val="24"/>
          <w:lang w:val="el-GR"/>
        </w:rPr>
        <w:t xml:space="preserve"> και θα </w:t>
      </w:r>
      <w:r w:rsidR="009A4332">
        <w:rPr>
          <w:sz w:val="24"/>
          <w:szCs w:val="24"/>
          <w:lang w:val="el-GR"/>
        </w:rPr>
        <w:t xml:space="preserve">συστήνει </w:t>
      </w:r>
      <w:r w:rsidR="00BA55CC">
        <w:rPr>
          <w:sz w:val="24"/>
          <w:szCs w:val="24"/>
          <w:lang w:val="el-GR"/>
        </w:rPr>
        <w:t>μια λίστα προσοντούχων υποψηφίων</w:t>
      </w:r>
      <w:r w:rsidR="00B4667D" w:rsidRPr="00BA55CC">
        <w:rPr>
          <w:sz w:val="24"/>
          <w:szCs w:val="24"/>
          <w:lang w:val="el-GR"/>
        </w:rPr>
        <w:t xml:space="preserve">. </w:t>
      </w:r>
      <w:r w:rsidR="00BA55CC" w:rsidRPr="004365E1">
        <w:rPr>
          <w:sz w:val="24"/>
          <w:szCs w:val="24"/>
          <w:lang w:val="el-GR"/>
        </w:rPr>
        <w:t>Κατά την</w:t>
      </w:r>
      <w:r w:rsidR="00BA55CC" w:rsidRPr="000E5809">
        <w:rPr>
          <w:sz w:val="24"/>
          <w:szCs w:val="24"/>
          <w:lang w:val="el-GR"/>
        </w:rPr>
        <w:t xml:space="preserve"> διάρκεια της πρώτης φάσης της </w:t>
      </w:r>
      <w:r w:rsidR="009A4332">
        <w:rPr>
          <w:sz w:val="24"/>
          <w:szCs w:val="24"/>
          <w:lang w:val="el-GR"/>
        </w:rPr>
        <w:t xml:space="preserve">σύστασης </w:t>
      </w:r>
      <w:r w:rsidR="00BA55CC" w:rsidRPr="004365E1">
        <w:rPr>
          <w:sz w:val="24"/>
          <w:szCs w:val="24"/>
          <w:lang w:val="el-GR"/>
        </w:rPr>
        <w:t>του</w:t>
      </w:r>
      <w:r w:rsidR="00B4667D" w:rsidRPr="000E5809">
        <w:rPr>
          <w:sz w:val="24"/>
          <w:szCs w:val="24"/>
          <w:lang w:val="el-GR"/>
        </w:rPr>
        <w:t xml:space="preserve">, </w:t>
      </w:r>
      <w:r w:rsidR="00BA55CC" w:rsidRPr="000E5809">
        <w:rPr>
          <w:sz w:val="24"/>
          <w:szCs w:val="24"/>
          <w:lang w:val="el-GR"/>
        </w:rPr>
        <w:t xml:space="preserve">το πεδίο εφαρμογής του </w:t>
      </w:r>
      <w:r w:rsidR="00AF3ABC">
        <w:rPr>
          <w:sz w:val="24"/>
          <w:szCs w:val="24"/>
          <w:lang w:val="el-GR"/>
        </w:rPr>
        <w:t xml:space="preserve">Γνωμοδοτικού </w:t>
      </w:r>
      <w:r w:rsidR="00BA55CC" w:rsidRPr="004365E1">
        <w:rPr>
          <w:sz w:val="24"/>
          <w:szCs w:val="24"/>
          <w:lang w:val="el-GR"/>
        </w:rPr>
        <w:t>Συμ</w:t>
      </w:r>
      <w:r w:rsidR="00BA55CC" w:rsidRPr="000E5809">
        <w:rPr>
          <w:sz w:val="24"/>
          <w:szCs w:val="24"/>
          <w:lang w:val="el-GR"/>
        </w:rPr>
        <w:t>βουλίου</w:t>
      </w:r>
      <w:r w:rsidR="00B4667D" w:rsidRPr="000E5809">
        <w:rPr>
          <w:sz w:val="24"/>
          <w:szCs w:val="24"/>
          <w:lang w:val="el-GR"/>
        </w:rPr>
        <w:t xml:space="preserve"> </w:t>
      </w:r>
      <w:r w:rsidR="00BA55CC" w:rsidRPr="00197F43">
        <w:rPr>
          <w:sz w:val="24"/>
          <w:szCs w:val="24"/>
          <w:lang w:val="el-GR"/>
        </w:rPr>
        <w:t xml:space="preserve">θα </w:t>
      </w:r>
      <w:r w:rsidR="009A4332" w:rsidRPr="00676FCA">
        <w:rPr>
          <w:sz w:val="24"/>
          <w:szCs w:val="24"/>
          <w:lang w:val="el-GR"/>
        </w:rPr>
        <w:t xml:space="preserve">καλύπτει </w:t>
      </w:r>
      <w:r w:rsidR="00BA55CC" w:rsidRPr="00E07AED">
        <w:rPr>
          <w:sz w:val="24"/>
          <w:szCs w:val="24"/>
          <w:lang w:val="el-GR"/>
        </w:rPr>
        <w:t>τον διορισμό των μελών</w:t>
      </w:r>
      <w:r w:rsidR="00F24205" w:rsidRPr="00E07AED">
        <w:rPr>
          <w:sz w:val="24"/>
          <w:szCs w:val="24"/>
          <w:lang w:val="el-GR"/>
        </w:rPr>
        <w:t xml:space="preserve"> των</w:t>
      </w:r>
      <w:r w:rsidR="009A4332" w:rsidRPr="00E07AED">
        <w:rPr>
          <w:sz w:val="24"/>
          <w:szCs w:val="24"/>
          <w:lang w:val="el-GR"/>
        </w:rPr>
        <w:t xml:space="preserve"> </w:t>
      </w:r>
      <w:r w:rsidR="00F24205" w:rsidRPr="00AD2AD8">
        <w:rPr>
          <w:sz w:val="24"/>
          <w:szCs w:val="24"/>
          <w:lang w:val="el-GR"/>
        </w:rPr>
        <w:t>Διοικητικών Συμβουλί</w:t>
      </w:r>
      <w:r w:rsidR="009A4332">
        <w:rPr>
          <w:sz w:val="24"/>
          <w:szCs w:val="24"/>
          <w:lang w:val="el-GR"/>
        </w:rPr>
        <w:t>ω</w:t>
      </w:r>
      <w:r w:rsidR="00AF3ABC">
        <w:rPr>
          <w:sz w:val="24"/>
          <w:szCs w:val="24"/>
          <w:lang w:val="el-GR"/>
        </w:rPr>
        <w:t xml:space="preserve">ν των </w:t>
      </w:r>
      <w:proofErr w:type="spellStart"/>
      <w:r w:rsidR="00AF3ABC">
        <w:rPr>
          <w:sz w:val="24"/>
          <w:szCs w:val="24"/>
          <w:lang w:val="el-GR"/>
        </w:rPr>
        <w:t>Ημικρατικών</w:t>
      </w:r>
      <w:proofErr w:type="spellEnd"/>
      <w:r w:rsidR="00AF3ABC">
        <w:rPr>
          <w:sz w:val="24"/>
          <w:szCs w:val="24"/>
          <w:lang w:val="el-GR"/>
        </w:rPr>
        <w:t xml:space="preserve"> Οργανισμών. </w:t>
      </w:r>
      <w:bookmarkEnd w:id="96"/>
    </w:p>
    <w:p w14:paraId="22FCB063" w14:textId="4881F9BF" w:rsidR="00A5147D" w:rsidRPr="002B7C4B" w:rsidRDefault="00A5147D" w:rsidP="000E5809">
      <w:pPr>
        <w:tabs>
          <w:tab w:val="left" w:pos="709"/>
        </w:tabs>
        <w:rPr>
          <w:sz w:val="24"/>
          <w:szCs w:val="24"/>
          <w:lang w:val="el-GR"/>
        </w:rPr>
      </w:pPr>
      <w:r w:rsidRPr="002B7C4B">
        <w:rPr>
          <w:sz w:val="24"/>
          <w:szCs w:val="24"/>
          <w:lang w:val="el-GR"/>
        </w:rPr>
        <w:t xml:space="preserve"> </w:t>
      </w:r>
      <w:bookmarkStart w:id="97" w:name="_Toc342554253"/>
      <w:bookmarkStart w:id="98" w:name="_Toc342640928"/>
      <w:bookmarkStart w:id="99" w:name="_Toc479580434"/>
      <w:bookmarkStart w:id="100" w:name="_Toc342554251"/>
      <w:bookmarkStart w:id="101" w:name="_Toc342640926"/>
    </w:p>
    <w:p w14:paraId="530784D4" w14:textId="392EAE07" w:rsidR="00A5147D" w:rsidRPr="002B7C4B" w:rsidRDefault="00F24205" w:rsidP="00A5147D">
      <w:pPr>
        <w:pStyle w:val="Heading2"/>
        <w:spacing w:before="0"/>
        <w:rPr>
          <w:rFonts w:asciiTheme="minorHAnsi" w:eastAsia="Times New Roman" w:hAnsiTheme="minorHAnsi" w:cstheme="minorHAnsi"/>
          <w:b w:val="0"/>
          <w:bCs w:val="0"/>
          <w:color w:val="auto"/>
          <w:sz w:val="24"/>
          <w:szCs w:val="24"/>
          <w:u w:val="single"/>
          <w:lang w:val="el-GR" w:eastAsia="fr-FR"/>
        </w:rPr>
      </w:pPr>
      <w:bookmarkStart w:id="102" w:name="_Toc117264353"/>
      <w:bookmarkStart w:id="103" w:name="_Toc136879351"/>
      <w:r>
        <w:rPr>
          <w:rFonts w:asciiTheme="minorHAnsi" w:hAnsiTheme="minorHAnsi" w:cstheme="minorHAnsi"/>
          <w:b w:val="0"/>
          <w:bCs w:val="0"/>
          <w:color w:val="auto"/>
          <w:sz w:val="24"/>
          <w:szCs w:val="24"/>
          <w:u w:val="single"/>
          <w:lang w:val="el-GR"/>
        </w:rPr>
        <w:t>Συγκρούσεις συμφερόντων</w:t>
      </w:r>
      <w:bookmarkEnd w:id="97"/>
      <w:bookmarkEnd w:id="98"/>
      <w:bookmarkEnd w:id="99"/>
      <w:bookmarkEnd w:id="102"/>
      <w:bookmarkEnd w:id="103"/>
      <w:r w:rsidR="00A5147D" w:rsidRPr="002B7C4B">
        <w:rPr>
          <w:rFonts w:asciiTheme="minorHAnsi" w:hAnsiTheme="minorHAnsi" w:cstheme="minorHAnsi"/>
          <w:b w:val="0"/>
          <w:bCs w:val="0"/>
          <w:color w:val="auto"/>
          <w:sz w:val="24"/>
          <w:szCs w:val="24"/>
          <w:u w:val="single"/>
          <w:lang w:val="el-GR"/>
        </w:rPr>
        <w:t xml:space="preserve"> </w:t>
      </w:r>
    </w:p>
    <w:p w14:paraId="627FA210" w14:textId="77777777" w:rsidR="00A5147D" w:rsidRPr="002B7C4B" w:rsidRDefault="00A5147D" w:rsidP="00A5147D">
      <w:pPr>
        <w:keepNext/>
        <w:rPr>
          <w:rFonts w:cstheme="minorHAnsi"/>
          <w:sz w:val="24"/>
          <w:szCs w:val="24"/>
          <w:lang w:val="el-GR"/>
        </w:rPr>
      </w:pPr>
    </w:p>
    <w:p w14:paraId="557932FA" w14:textId="2AA9B995" w:rsidR="00A5147D" w:rsidRPr="00AA0F33" w:rsidRDefault="00F24205" w:rsidP="00A5147D">
      <w:pPr>
        <w:keepNext/>
        <w:numPr>
          <w:ilvl w:val="0"/>
          <w:numId w:val="1"/>
        </w:numPr>
        <w:tabs>
          <w:tab w:val="clear" w:pos="6095"/>
          <w:tab w:val="left" w:pos="709"/>
        </w:tabs>
        <w:ind w:left="0" w:firstLine="0"/>
        <w:rPr>
          <w:rFonts w:cstheme="minorHAnsi"/>
          <w:sz w:val="24"/>
          <w:szCs w:val="24"/>
          <w:lang w:val="el-GR"/>
        </w:rPr>
      </w:pPr>
      <w:r>
        <w:rPr>
          <w:rFonts w:ascii="Calibri" w:eastAsia="Times New Roman" w:hAnsi="Calibri" w:cs="Calibri"/>
          <w:sz w:val="24"/>
          <w:szCs w:val="20"/>
          <w:lang w:val="el-GR"/>
        </w:rPr>
        <w:t>Ο</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Νόμος</w:t>
      </w:r>
      <w:r w:rsidRPr="00F24205">
        <w:rPr>
          <w:rFonts w:ascii="Calibri" w:eastAsia="Times New Roman" w:hAnsi="Calibri" w:cs="Calibri"/>
          <w:sz w:val="24"/>
          <w:szCs w:val="20"/>
          <w:lang w:val="el-GR"/>
        </w:rPr>
        <w:t xml:space="preserve"> </w:t>
      </w:r>
      <w:r w:rsidR="005E1E5A">
        <w:rPr>
          <w:rFonts w:ascii="Calibri" w:eastAsia="Times New Roman" w:hAnsi="Calibri" w:cs="Calibri"/>
          <w:sz w:val="24"/>
          <w:szCs w:val="20"/>
          <w:lang w:val="el-GR"/>
        </w:rPr>
        <w:t xml:space="preserve">περί </w:t>
      </w:r>
      <w:r w:rsidR="002A5DFB">
        <w:rPr>
          <w:rFonts w:ascii="Calibri" w:eastAsia="Times New Roman" w:hAnsi="Calibri" w:cs="Calibri"/>
          <w:sz w:val="24"/>
          <w:szCs w:val="20"/>
          <w:lang w:val="el-GR"/>
        </w:rPr>
        <w:t>Ασυμβίβαστου προς την ‘</w:t>
      </w:r>
      <w:r w:rsidR="0064188C">
        <w:rPr>
          <w:rFonts w:ascii="Calibri" w:eastAsia="Times New Roman" w:hAnsi="Calibri" w:cs="Calibri"/>
          <w:sz w:val="24"/>
          <w:szCs w:val="20"/>
          <w:lang w:val="el-GR"/>
        </w:rPr>
        <w:t>Άσκηση</w:t>
      </w:r>
      <w:r w:rsidR="002A5DFB">
        <w:rPr>
          <w:rFonts w:ascii="Calibri" w:eastAsia="Times New Roman" w:hAnsi="Calibri" w:cs="Calibri"/>
          <w:sz w:val="24"/>
          <w:szCs w:val="20"/>
          <w:lang w:val="el-GR"/>
        </w:rPr>
        <w:t xml:space="preserve"> </w:t>
      </w:r>
      <w:r>
        <w:rPr>
          <w:rFonts w:ascii="Calibri" w:eastAsia="Times New Roman" w:hAnsi="Calibri" w:cs="Calibri"/>
          <w:sz w:val="24"/>
          <w:szCs w:val="20"/>
          <w:lang w:val="el-GR"/>
        </w:rPr>
        <w:t>των</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Καθηκόντων</w:t>
      </w:r>
      <w:r w:rsidRPr="00F24205">
        <w:rPr>
          <w:rFonts w:ascii="Calibri" w:eastAsia="Times New Roman" w:hAnsi="Calibri" w:cs="Calibri"/>
          <w:sz w:val="24"/>
          <w:szCs w:val="20"/>
          <w:lang w:val="el-GR"/>
        </w:rPr>
        <w:t xml:space="preserve"> </w:t>
      </w:r>
      <w:r w:rsidR="00BD319A">
        <w:rPr>
          <w:rFonts w:ascii="Calibri" w:eastAsia="Times New Roman" w:hAnsi="Calibri" w:cs="Calibri"/>
          <w:sz w:val="24"/>
          <w:szCs w:val="20"/>
          <w:lang w:val="el-GR"/>
        </w:rPr>
        <w:t>Ορισμένων</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Αξιωματούχων</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της</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Δημοκρατίας</w:t>
      </w:r>
      <w:r w:rsidRPr="00F24205">
        <w:rPr>
          <w:rFonts w:ascii="Calibri" w:eastAsia="Times New Roman" w:hAnsi="Calibri" w:cs="Calibri"/>
          <w:sz w:val="24"/>
          <w:szCs w:val="20"/>
          <w:lang w:val="el-GR"/>
        </w:rPr>
        <w:t xml:space="preserve"> </w:t>
      </w:r>
      <w:r w:rsidR="002A5DFB">
        <w:rPr>
          <w:rFonts w:ascii="Calibri" w:eastAsia="Times New Roman" w:hAnsi="Calibri" w:cs="Calibri"/>
          <w:sz w:val="24"/>
          <w:szCs w:val="20"/>
          <w:lang w:val="el-GR"/>
        </w:rPr>
        <w:t xml:space="preserve">Ορισμένων Επαγγελματικών </w:t>
      </w:r>
      <w:r>
        <w:rPr>
          <w:rFonts w:ascii="Calibri" w:eastAsia="Times New Roman" w:hAnsi="Calibri" w:cs="Calibri"/>
          <w:sz w:val="24"/>
          <w:szCs w:val="20"/>
          <w:lang w:val="el-GR"/>
        </w:rPr>
        <w:t>και</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Άλλων</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Συναφών</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Δραστηριοτήτων</w:t>
      </w:r>
      <w:r w:rsidR="00A5147D" w:rsidRPr="00F24205">
        <w:rPr>
          <w:rFonts w:ascii="Calibri" w:eastAsia="Times New Roman" w:hAnsi="Calibri" w:cs="Calibri"/>
          <w:sz w:val="24"/>
          <w:szCs w:val="20"/>
          <w:lang w:val="el-GR"/>
        </w:rPr>
        <w:t xml:space="preserve"> </w:t>
      </w:r>
      <w:r w:rsidR="002A5DFB">
        <w:rPr>
          <w:rFonts w:ascii="Calibri" w:eastAsia="Times New Roman" w:hAnsi="Calibri" w:cs="Calibri"/>
          <w:sz w:val="24"/>
          <w:szCs w:val="20"/>
          <w:lang w:val="el-GR"/>
        </w:rPr>
        <w:t xml:space="preserve">τους </w:t>
      </w:r>
      <w:r w:rsidR="00A5147D" w:rsidRPr="00F24205">
        <w:rPr>
          <w:rFonts w:ascii="Calibri" w:eastAsia="Times New Roman" w:hAnsi="Calibri" w:cs="Calibri"/>
          <w:sz w:val="24"/>
          <w:szCs w:val="20"/>
          <w:lang w:val="el-GR"/>
        </w:rPr>
        <w:t>(</w:t>
      </w:r>
      <w:r w:rsidR="008F6525">
        <w:rPr>
          <w:rFonts w:ascii="Calibri" w:eastAsia="Times New Roman" w:hAnsi="Calibri" w:cs="Calibri"/>
          <w:sz w:val="24"/>
          <w:szCs w:val="20"/>
          <w:lang w:val="el-GR"/>
        </w:rPr>
        <w:t xml:space="preserve">Νόμος </w:t>
      </w:r>
      <w:r w:rsidR="00A5147D" w:rsidRPr="00F24205">
        <w:rPr>
          <w:rFonts w:ascii="Calibri" w:eastAsia="Times New Roman" w:hAnsi="Calibri" w:cs="Calibri"/>
          <w:sz w:val="24"/>
          <w:szCs w:val="20"/>
          <w:lang w:val="el-GR"/>
        </w:rPr>
        <w:t>7(</w:t>
      </w:r>
      <w:r w:rsidR="00A5147D" w:rsidRPr="004E251E">
        <w:rPr>
          <w:rFonts w:ascii="Calibri" w:eastAsia="Times New Roman" w:hAnsi="Calibri" w:cs="Calibri"/>
          <w:sz w:val="24"/>
          <w:szCs w:val="20"/>
        </w:rPr>
        <w:t>I</w:t>
      </w:r>
      <w:r w:rsidR="00A5147D" w:rsidRPr="00F24205">
        <w:rPr>
          <w:rFonts w:ascii="Calibri" w:eastAsia="Times New Roman" w:hAnsi="Calibri" w:cs="Calibri"/>
          <w:sz w:val="24"/>
          <w:szCs w:val="20"/>
          <w:lang w:val="el-GR"/>
        </w:rPr>
        <w:t xml:space="preserve">)/2008) </w:t>
      </w:r>
      <w:r w:rsidR="0064188C">
        <w:rPr>
          <w:rFonts w:ascii="Calibri" w:eastAsia="Times New Roman" w:hAnsi="Calibri" w:cs="Calibri"/>
          <w:sz w:val="24"/>
          <w:szCs w:val="20"/>
          <w:lang w:val="el-GR"/>
        </w:rPr>
        <w:t xml:space="preserve">αποκλείει </w:t>
      </w:r>
      <w:r>
        <w:rPr>
          <w:rFonts w:ascii="Calibri" w:eastAsia="Times New Roman" w:hAnsi="Calibri" w:cs="Calibri"/>
          <w:sz w:val="24"/>
          <w:szCs w:val="20"/>
          <w:lang w:val="el-GR"/>
        </w:rPr>
        <w:t>κάποιες</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δράσεις</w:t>
      </w:r>
      <w:r w:rsidR="00A5147D" w:rsidRPr="00F24205">
        <w:rPr>
          <w:rFonts w:cstheme="minorHAnsi"/>
          <w:sz w:val="24"/>
          <w:szCs w:val="24"/>
          <w:lang w:val="el-GR"/>
        </w:rPr>
        <w:t xml:space="preserve">, </w:t>
      </w:r>
      <w:r>
        <w:rPr>
          <w:rFonts w:cstheme="minorHAnsi"/>
          <w:sz w:val="24"/>
          <w:szCs w:val="24"/>
          <w:lang w:val="el-GR"/>
        </w:rPr>
        <w:t>δραστηριότητες</w:t>
      </w:r>
      <w:r w:rsidR="00A5147D" w:rsidRPr="00F24205">
        <w:rPr>
          <w:rFonts w:cstheme="minorHAnsi"/>
          <w:sz w:val="24"/>
          <w:szCs w:val="24"/>
          <w:lang w:val="el-GR"/>
        </w:rPr>
        <w:t xml:space="preserve">, </w:t>
      </w:r>
      <w:r>
        <w:rPr>
          <w:rFonts w:cstheme="minorHAnsi"/>
          <w:sz w:val="24"/>
          <w:szCs w:val="24"/>
          <w:lang w:val="el-GR"/>
        </w:rPr>
        <w:t>και</w:t>
      </w:r>
      <w:r w:rsidRPr="00F24205">
        <w:rPr>
          <w:rFonts w:cstheme="minorHAnsi"/>
          <w:sz w:val="24"/>
          <w:szCs w:val="24"/>
          <w:lang w:val="el-GR"/>
        </w:rPr>
        <w:t xml:space="preserve"> </w:t>
      </w:r>
      <w:r>
        <w:rPr>
          <w:rFonts w:cstheme="minorHAnsi"/>
          <w:sz w:val="24"/>
          <w:szCs w:val="24"/>
          <w:lang w:val="el-GR"/>
        </w:rPr>
        <w:t>λειτουργίες</w:t>
      </w:r>
      <w:r w:rsidR="00A5147D" w:rsidRPr="00F24205">
        <w:rPr>
          <w:rFonts w:cstheme="minorHAnsi"/>
          <w:sz w:val="24"/>
          <w:szCs w:val="24"/>
          <w:lang w:val="el-GR"/>
        </w:rPr>
        <w:t xml:space="preserve"> </w:t>
      </w:r>
      <w:r>
        <w:rPr>
          <w:rFonts w:cstheme="minorHAnsi"/>
          <w:sz w:val="24"/>
          <w:szCs w:val="24"/>
          <w:lang w:val="el-GR"/>
        </w:rPr>
        <w:t>ως</w:t>
      </w:r>
      <w:r w:rsidRPr="00F24205">
        <w:rPr>
          <w:rFonts w:cstheme="minorHAnsi"/>
          <w:sz w:val="24"/>
          <w:szCs w:val="24"/>
          <w:lang w:val="el-GR"/>
        </w:rPr>
        <w:t xml:space="preserve"> </w:t>
      </w:r>
      <w:r w:rsidR="004365E1">
        <w:rPr>
          <w:rFonts w:cstheme="minorHAnsi"/>
          <w:sz w:val="24"/>
          <w:szCs w:val="24"/>
          <w:lang w:val="el-GR"/>
        </w:rPr>
        <w:t xml:space="preserve">ασυμβίβαστες </w:t>
      </w:r>
      <w:r>
        <w:rPr>
          <w:rFonts w:cstheme="minorHAnsi"/>
          <w:sz w:val="24"/>
          <w:szCs w:val="24"/>
          <w:lang w:val="el-GR"/>
        </w:rPr>
        <w:t xml:space="preserve">με την κατοχή </w:t>
      </w:r>
      <w:r w:rsidR="00BD319A">
        <w:rPr>
          <w:rFonts w:cstheme="minorHAnsi"/>
          <w:sz w:val="24"/>
          <w:szCs w:val="24"/>
          <w:lang w:val="el-GR"/>
        </w:rPr>
        <w:t>ορισμένων</w:t>
      </w:r>
      <w:r>
        <w:rPr>
          <w:rFonts w:cstheme="minorHAnsi"/>
          <w:sz w:val="24"/>
          <w:szCs w:val="24"/>
          <w:lang w:val="el-GR"/>
        </w:rPr>
        <w:t xml:space="preserve"> δημοσίων αξιωμάτων</w:t>
      </w:r>
      <w:r w:rsidR="00A5147D" w:rsidRPr="00F24205">
        <w:rPr>
          <w:rFonts w:cstheme="minorHAnsi"/>
          <w:sz w:val="24"/>
          <w:szCs w:val="24"/>
          <w:lang w:val="el-GR"/>
        </w:rPr>
        <w:t xml:space="preserve"> (</w:t>
      </w:r>
      <w:r>
        <w:rPr>
          <w:rFonts w:cstheme="minorHAnsi"/>
          <w:sz w:val="24"/>
          <w:szCs w:val="24"/>
          <w:lang w:val="el-GR"/>
        </w:rPr>
        <w:t>βλέπε πιο κάτω</w:t>
      </w:r>
      <w:r w:rsidR="00A5147D" w:rsidRPr="00F24205">
        <w:rPr>
          <w:rFonts w:cstheme="minorHAnsi"/>
          <w:sz w:val="24"/>
          <w:szCs w:val="24"/>
          <w:lang w:val="el-GR"/>
        </w:rPr>
        <w:t xml:space="preserve"> </w:t>
      </w:r>
      <w:r>
        <w:rPr>
          <w:rFonts w:cstheme="minorHAnsi"/>
          <w:sz w:val="24"/>
          <w:szCs w:val="24"/>
          <w:lang w:val="el-GR"/>
        </w:rPr>
        <w:t>για περισσότερες λεπτομέρειες</w:t>
      </w:r>
      <w:r w:rsidR="00A5147D" w:rsidRPr="00F24205">
        <w:rPr>
          <w:rFonts w:cstheme="minorHAnsi"/>
          <w:sz w:val="24"/>
          <w:szCs w:val="24"/>
          <w:lang w:val="el-GR"/>
        </w:rPr>
        <w:t xml:space="preserve"> </w:t>
      </w:r>
      <w:r>
        <w:rPr>
          <w:rFonts w:cstheme="minorHAnsi"/>
          <w:sz w:val="24"/>
          <w:szCs w:val="24"/>
          <w:lang w:val="el-GR"/>
        </w:rPr>
        <w:t>για το ακριβές περιεχόμενο</w:t>
      </w:r>
      <w:r w:rsidR="00A5147D" w:rsidRPr="00F24205">
        <w:rPr>
          <w:rFonts w:cstheme="minorHAnsi"/>
          <w:sz w:val="24"/>
          <w:szCs w:val="24"/>
          <w:lang w:val="el-GR"/>
        </w:rPr>
        <w:t xml:space="preserve"> </w:t>
      </w:r>
      <w:r>
        <w:rPr>
          <w:rFonts w:cstheme="minorHAnsi"/>
          <w:sz w:val="24"/>
          <w:szCs w:val="24"/>
          <w:lang w:val="el-GR"/>
        </w:rPr>
        <w:t>των εφαρμόσιμων περιορισμών</w:t>
      </w:r>
      <w:r w:rsidR="002A5DFB">
        <w:rPr>
          <w:rFonts w:cstheme="minorHAnsi"/>
          <w:sz w:val="24"/>
          <w:szCs w:val="24"/>
          <w:lang w:val="el-GR"/>
        </w:rPr>
        <w:t>)</w:t>
      </w:r>
      <w:r w:rsidR="00A5147D" w:rsidRPr="00F24205">
        <w:rPr>
          <w:rFonts w:cstheme="minorHAnsi"/>
          <w:sz w:val="24"/>
          <w:szCs w:val="24"/>
          <w:lang w:val="el-GR"/>
        </w:rPr>
        <w:t>.</w:t>
      </w:r>
      <w:r w:rsidR="00A5147D"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Το</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πεδίο</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εφαρμογής</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του</w:t>
      </w:r>
      <w:r w:rsidR="00A5147D" w:rsidRPr="00F24205">
        <w:rPr>
          <w:rFonts w:ascii="Calibri" w:eastAsia="Times New Roman" w:hAnsi="Calibri" w:cs="Calibri"/>
          <w:sz w:val="24"/>
          <w:szCs w:val="20"/>
          <w:lang w:val="el-GR"/>
        </w:rPr>
        <w:t xml:space="preserve"> </w:t>
      </w:r>
      <w:r w:rsidR="00A5147D" w:rsidRPr="004E251E">
        <w:rPr>
          <w:rFonts w:ascii="Calibri" w:eastAsia="Times New Roman" w:hAnsi="Calibri" w:cs="Calibri"/>
          <w:i/>
          <w:iCs/>
          <w:sz w:val="24"/>
          <w:szCs w:val="20"/>
        </w:rPr>
        <w:t>personae</w:t>
      </w:r>
      <w:r w:rsidR="00A5147D"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του</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καλύπτει</w:t>
      </w:r>
      <w:r w:rsidR="00A5147D" w:rsidRPr="00F24205">
        <w:rPr>
          <w:rFonts w:ascii="Calibri" w:eastAsia="Times New Roman" w:hAnsi="Calibri" w:cs="Calibri"/>
          <w:sz w:val="24"/>
          <w:szCs w:val="20"/>
          <w:lang w:val="el-GR"/>
        </w:rPr>
        <w:t xml:space="preserve">, </w:t>
      </w:r>
      <w:r>
        <w:rPr>
          <w:rFonts w:ascii="Calibri" w:eastAsia="Times New Roman" w:hAnsi="Calibri" w:cs="Calibri"/>
          <w:i/>
          <w:iCs/>
          <w:sz w:val="24"/>
          <w:szCs w:val="20"/>
          <w:lang w:val="el-GR"/>
        </w:rPr>
        <w:t>ανάμεσα</w:t>
      </w:r>
      <w:r w:rsidRPr="00F24205">
        <w:rPr>
          <w:rFonts w:ascii="Calibri" w:eastAsia="Times New Roman" w:hAnsi="Calibri" w:cs="Calibri"/>
          <w:i/>
          <w:iCs/>
          <w:sz w:val="24"/>
          <w:szCs w:val="20"/>
          <w:lang w:val="el-GR"/>
        </w:rPr>
        <w:t xml:space="preserve"> </w:t>
      </w:r>
      <w:r>
        <w:rPr>
          <w:rFonts w:ascii="Calibri" w:eastAsia="Times New Roman" w:hAnsi="Calibri" w:cs="Calibri"/>
          <w:i/>
          <w:iCs/>
          <w:sz w:val="24"/>
          <w:szCs w:val="20"/>
          <w:lang w:val="el-GR"/>
        </w:rPr>
        <w:t>σε</w:t>
      </w:r>
      <w:r w:rsidRPr="00F24205">
        <w:rPr>
          <w:rFonts w:ascii="Calibri" w:eastAsia="Times New Roman" w:hAnsi="Calibri" w:cs="Calibri"/>
          <w:i/>
          <w:iCs/>
          <w:sz w:val="24"/>
          <w:szCs w:val="20"/>
          <w:lang w:val="el-GR"/>
        </w:rPr>
        <w:t xml:space="preserve"> </w:t>
      </w:r>
      <w:r>
        <w:rPr>
          <w:rFonts w:ascii="Calibri" w:eastAsia="Times New Roman" w:hAnsi="Calibri" w:cs="Calibri"/>
          <w:i/>
          <w:iCs/>
          <w:sz w:val="24"/>
          <w:szCs w:val="20"/>
          <w:lang w:val="el-GR"/>
        </w:rPr>
        <w:t>άλλους</w:t>
      </w:r>
      <w:r w:rsidR="00A5147D"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τον</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Πρόεδρο</w:t>
      </w:r>
      <w:r w:rsidR="00A5147D"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τα μέλη του Υπουργικού Συμβουλίου</w:t>
      </w:r>
      <w:r w:rsidR="00A5147D"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και υπουργούς</w:t>
      </w:r>
      <w:r w:rsidR="00A5147D" w:rsidRPr="004E251E">
        <w:rPr>
          <w:rStyle w:val="FootnoteReference"/>
          <w:rFonts w:ascii="Calibri" w:eastAsia="Times New Roman" w:hAnsi="Calibri" w:cs="Calibri"/>
          <w:sz w:val="24"/>
          <w:szCs w:val="20"/>
        </w:rPr>
        <w:footnoteReference w:id="49"/>
      </w:r>
      <w:r w:rsidR="00A5147D"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Το</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σύστημα</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πρόληψης</w:t>
      </w:r>
      <w:r w:rsidRPr="00F24205">
        <w:rPr>
          <w:rFonts w:ascii="Calibri" w:eastAsia="Times New Roman" w:hAnsi="Calibri" w:cs="Calibri"/>
          <w:sz w:val="24"/>
          <w:szCs w:val="20"/>
          <w:lang w:val="el-GR"/>
        </w:rPr>
        <w:t xml:space="preserve"> </w:t>
      </w:r>
      <w:r w:rsidR="009D353B">
        <w:rPr>
          <w:rFonts w:ascii="Calibri" w:eastAsia="Times New Roman" w:hAnsi="Calibri" w:cs="Calibri"/>
          <w:sz w:val="24"/>
          <w:szCs w:val="20"/>
          <w:lang w:val="el-GR"/>
        </w:rPr>
        <w:t>συγκρού</w:t>
      </w:r>
      <w:r>
        <w:rPr>
          <w:rFonts w:ascii="Calibri" w:eastAsia="Times New Roman" w:hAnsi="Calibri" w:cs="Calibri"/>
          <w:sz w:val="24"/>
          <w:szCs w:val="20"/>
          <w:lang w:val="el-GR"/>
        </w:rPr>
        <w:t>σεων</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συμφερόντων</w:t>
      </w:r>
      <w:r w:rsidR="00A5147D" w:rsidRPr="00F24205">
        <w:rPr>
          <w:rFonts w:cstheme="minorHAnsi"/>
          <w:sz w:val="24"/>
          <w:szCs w:val="24"/>
          <w:lang w:val="el-GR"/>
        </w:rPr>
        <w:t xml:space="preserve"> </w:t>
      </w:r>
      <w:r>
        <w:rPr>
          <w:rFonts w:cstheme="minorHAnsi"/>
          <w:sz w:val="24"/>
          <w:szCs w:val="24"/>
          <w:lang w:val="el-GR"/>
        </w:rPr>
        <w:t>που</w:t>
      </w:r>
      <w:r w:rsidRPr="00F24205">
        <w:rPr>
          <w:rFonts w:cstheme="minorHAnsi"/>
          <w:sz w:val="24"/>
          <w:szCs w:val="24"/>
          <w:lang w:val="el-GR"/>
        </w:rPr>
        <w:t xml:space="preserve"> </w:t>
      </w:r>
      <w:r>
        <w:rPr>
          <w:rFonts w:cstheme="minorHAnsi"/>
          <w:sz w:val="24"/>
          <w:szCs w:val="24"/>
          <w:lang w:val="el-GR"/>
        </w:rPr>
        <w:t>προβλέπεται</w:t>
      </w:r>
      <w:r w:rsidRPr="00F24205">
        <w:rPr>
          <w:rFonts w:cstheme="minorHAnsi"/>
          <w:sz w:val="24"/>
          <w:szCs w:val="24"/>
          <w:lang w:val="el-GR"/>
        </w:rPr>
        <w:t xml:space="preserve"> </w:t>
      </w:r>
      <w:r>
        <w:rPr>
          <w:rFonts w:cstheme="minorHAnsi"/>
          <w:sz w:val="24"/>
          <w:szCs w:val="24"/>
          <w:lang w:val="el-GR"/>
        </w:rPr>
        <w:t>από</w:t>
      </w:r>
      <w:r w:rsidRPr="00F24205">
        <w:rPr>
          <w:rFonts w:cstheme="minorHAnsi"/>
          <w:sz w:val="24"/>
          <w:szCs w:val="24"/>
          <w:lang w:val="el-GR"/>
        </w:rPr>
        <w:t xml:space="preserve"> </w:t>
      </w:r>
      <w:r>
        <w:rPr>
          <w:rFonts w:cstheme="minorHAnsi"/>
          <w:sz w:val="24"/>
          <w:szCs w:val="24"/>
          <w:lang w:val="el-GR"/>
        </w:rPr>
        <w:t>τον</w:t>
      </w:r>
      <w:r w:rsidRPr="00F24205">
        <w:rPr>
          <w:rFonts w:cstheme="minorHAnsi"/>
          <w:sz w:val="24"/>
          <w:szCs w:val="24"/>
          <w:lang w:val="el-GR"/>
        </w:rPr>
        <w:t xml:space="preserve"> </w:t>
      </w:r>
      <w:r>
        <w:rPr>
          <w:rFonts w:cstheme="minorHAnsi"/>
          <w:sz w:val="24"/>
          <w:szCs w:val="24"/>
          <w:lang w:val="el-GR"/>
        </w:rPr>
        <w:t>Νόμο</w:t>
      </w:r>
      <w:r w:rsidRPr="00F24205">
        <w:rPr>
          <w:rFonts w:cstheme="minorHAnsi"/>
          <w:sz w:val="24"/>
          <w:szCs w:val="24"/>
          <w:lang w:val="el-GR"/>
        </w:rPr>
        <w:t xml:space="preserve"> </w:t>
      </w:r>
      <w:r>
        <w:rPr>
          <w:rFonts w:cstheme="minorHAnsi"/>
          <w:sz w:val="24"/>
          <w:szCs w:val="24"/>
          <w:lang w:val="el-GR"/>
        </w:rPr>
        <w:t>είναι</w:t>
      </w:r>
      <w:r w:rsidRPr="00F24205">
        <w:rPr>
          <w:rFonts w:cstheme="minorHAnsi"/>
          <w:sz w:val="24"/>
          <w:szCs w:val="24"/>
          <w:lang w:val="el-GR"/>
        </w:rPr>
        <w:t xml:space="preserve"> </w:t>
      </w:r>
      <w:r>
        <w:rPr>
          <w:rFonts w:cstheme="minorHAnsi"/>
          <w:sz w:val="24"/>
          <w:szCs w:val="24"/>
          <w:lang w:val="el-GR"/>
        </w:rPr>
        <w:t>σχεδιασμένο</w:t>
      </w:r>
      <w:r w:rsidRPr="00F24205">
        <w:rPr>
          <w:rFonts w:cstheme="minorHAnsi"/>
          <w:sz w:val="24"/>
          <w:szCs w:val="24"/>
          <w:lang w:val="el-GR"/>
        </w:rPr>
        <w:t xml:space="preserve"> </w:t>
      </w:r>
      <w:r>
        <w:rPr>
          <w:rFonts w:cstheme="minorHAnsi"/>
          <w:sz w:val="24"/>
          <w:szCs w:val="24"/>
          <w:lang w:val="el-GR"/>
        </w:rPr>
        <w:t>ώστε</w:t>
      </w:r>
      <w:r w:rsidRPr="00F24205">
        <w:rPr>
          <w:rFonts w:cstheme="minorHAnsi"/>
          <w:sz w:val="24"/>
          <w:szCs w:val="24"/>
          <w:lang w:val="el-GR"/>
        </w:rPr>
        <w:t xml:space="preserve"> </w:t>
      </w:r>
      <w:r>
        <w:rPr>
          <w:rFonts w:cstheme="minorHAnsi"/>
          <w:sz w:val="24"/>
          <w:szCs w:val="24"/>
          <w:lang w:val="el-GR"/>
        </w:rPr>
        <w:t>να</w:t>
      </w:r>
      <w:r w:rsidRPr="00F24205">
        <w:rPr>
          <w:rFonts w:cstheme="minorHAnsi"/>
          <w:sz w:val="24"/>
          <w:szCs w:val="24"/>
          <w:lang w:val="el-GR"/>
        </w:rPr>
        <w:t xml:space="preserve"> </w:t>
      </w:r>
      <w:r>
        <w:rPr>
          <w:rFonts w:cstheme="minorHAnsi"/>
          <w:sz w:val="24"/>
          <w:szCs w:val="24"/>
          <w:lang w:val="el-GR"/>
        </w:rPr>
        <w:t>εξαιρεί</w:t>
      </w:r>
      <w:r w:rsidRPr="00F24205">
        <w:rPr>
          <w:rFonts w:cstheme="minorHAnsi"/>
          <w:sz w:val="24"/>
          <w:szCs w:val="24"/>
          <w:lang w:val="el-GR"/>
        </w:rPr>
        <w:t xml:space="preserve"> </w:t>
      </w:r>
      <w:r>
        <w:rPr>
          <w:rFonts w:cstheme="minorHAnsi"/>
          <w:sz w:val="24"/>
          <w:szCs w:val="24"/>
          <w:lang w:val="el-GR"/>
        </w:rPr>
        <w:t>κάποιες</w:t>
      </w:r>
      <w:r w:rsidRPr="00F24205">
        <w:rPr>
          <w:rFonts w:cstheme="minorHAnsi"/>
          <w:sz w:val="24"/>
          <w:szCs w:val="24"/>
          <w:lang w:val="el-GR"/>
        </w:rPr>
        <w:t xml:space="preserve"> </w:t>
      </w:r>
      <w:r>
        <w:rPr>
          <w:rFonts w:cstheme="minorHAnsi"/>
          <w:sz w:val="24"/>
          <w:szCs w:val="24"/>
          <w:lang w:val="el-GR"/>
        </w:rPr>
        <w:t>δράσεις</w:t>
      </w:r>
      <w:r w:rsidR="00A5147D" w:rsidRPr="00F24205">
        <w:rPr>
          <w:rFonts w:cstheme="minorHAnsi"/>
          <w:sz w:val="24"/>
          <w:szCs w:val="24"/>
          <w:lang w:val="el-GR"/>
        </w:rPr>
        <w:t xml:space="preserve">, </w:t>
      </w:r>
      <w:r>
        <w:rPr>
          <w:rFonts w:cstheme="minorHAnsi"/>
          <w:sz w:val="24"/>
          <w:szCs w:val="24"/>
          <w:lang w:val="el-GR"/>
        </w:rPr>
        <w:t>δραστηριότητες</w:t>
      </w:r>
      <w:r w:rsidR="00A5147D" w:rsidRPr="00F24205">
        <w:rPr>
          <w:rFonts w:cstheme="minorHAnsi"/>
          <w:sz w:val="24"/>
          <w:szCs w:val="24"/>
          <w:lang w:val="el-GR"/>
        </w:rPr>
        <w:t xml:space="preserve">, </w:t>
      </w:r>
      <w:r>
        <w:rPr>
          <w:rFonts w:cstheme="minorHAnsi"/>
          <w:sz w:val="24"/>
          <w:szCs w:val="24"/>
          <w:lang w:val="el-GR"/>
        </w:rPr>
        <w:t>και λειτουργίες</w:t>
      </w:r>
      <w:r w:rsidR="00A5147D" w:rsidRPr="00F24205">
        <w:rPr>
          <w:rFonts w:cstheme="minorHAnsi"/>
          <w:sz w:val="24"/>
          <w:szCs w:val="24"/>
          <w:lang w:val="el-GR"/>
        </w:rPr>
        <w:t xml:space="preserve"> </w:t>
      </w:r>
      <w:r>
        <w:rPr>
          <w:rFonts w:cstheme="minorHAnsi"/>
          <w:sz w:val="24"/>
          <w:szCs w:val="24"/>
          <w:lang w:val="el-GR"/>
        </w:rPr>
        <w:t xml:space="preserve">ως </w:t>
      </w:r>
      <w:r w:rsidR="004365E1">
        <w:rPr>
          <w:rFonts w:cstheme="minorHAnsi"/>
          <w:sz w:val="24"/>
          <w:szCs w:val="24"/>
          <w:lang w:val="el-GR"/>
        </w:rPr>
        <w:t xml:space="preserve">ασυμβίβαστες </w:t>
      </w:r>
      <w:r>
        <w:rPr>
          <w:rFonts w:cstheme="minorHAnsi"/>
          <w:sz w:val="24"/>
          <w:szCs w:val="24"/>
          <w:lang w:val="el-GR"/>
        </w:rPr>
        <w:t>με την κατοχή</w:t>
      </w:r>
      <w:r w:rsidR="00A5147D" w:rsidRPr="00F24205">
        <w:rPr>
          <w:rFonts w:cstheme="minorHAnsi"/>
          <w:sz w:val="24"/>
          <w:szCs w:val="24"/>
          <w:lang w:val="el-GR"/>
        </w:rPr>
        <w:t xml:space="preserve"> </w:t>
      </w:r>
      <w:r w:rsidR="00BD319A">
        <w:rPr>
          <w:rFonts w:cstheme="minorHAnsi"/>
          <w:sz w:val="24"/>
          <w:szCs w:val="24"/>
          <w:lang w:val="el-GR"/>
        </w:rPr>
        <w:t>ορισμένων</w:t>
      </w:r>
      <w:r>
        <w:rPr>
          <w:rFonts w:cstheme="minorHAnsi"/>
          <w:sz w:val="24"/>
          <w:szCs w:val="24"/>
          <w:lang w:val="el-GR"/>
        </w:rPr>
        <w:t xml:space="preserve"> δημοσίων αξιωμάτων</w:t>
      </w:r>
      <w:r w:rsidR="00A5147D" w:rsidRPr="00F24205">
        <w:rPr>
          <w:rFonts w:cstheme="minorHAnsi"/>
          <w:sz w:val="24"/>
          <w:szCs w:val="24"/>
          <w:lang w:val="el-GR"/>
        </w:rPr>
        <w:t xml:space="preserve"> </w:t>
      </w:r>
      <w:r>
        <w:rPr>
          <w:rFonts w:cstheme="minorHAnsi"/>
          <w:sz w:val="24"/>
          <w:szCs w:val="24"/>
          <w:lang w:val="el-GR"/>
        </w:rPr>
        <w:t>και είναι</w:t>
      </w:r>
      <w:r w:rsidR="00A5147D" w:rsidRPr="00F24205">
        <w:rPr>
          <w:rFonts w:cstheme="minorHAnsi"/>
          <w:sz w:val="24"/>
          <w:szCs w:val="24"/>
          <w:lang w:val="el-GR"/>
        </w:rPr>
        <w:t xml:space="preserve">, </w:t>
      </w:r>
      <w:r>
        <w:rPr>
          <w:rFonts w:cstheme="minorHAnsi"/>
          <w:sz w:val="24"/>
          <w:szCs w:val="24"/>
          <w:lang w:val="el-GR"/>
        </w:rPr>
        <w:t>σε ένα μεγάλο βαθμό</w:t>
      </w:r>
      <w:r w:rsidR="00A5147D" w:rsidRPr="00F24205">
        <w:rPr>
          <w:rFonts w:cstheme="minorHAnsi"/>
          <w:sz w:val="24"/>
          <w:szCs w:val="24"/>
          <w:lang w:val="el-GR"/>
        </w:rPr>
        <w:t xml:space="preserve">, </w:t>
      </w:r>
      <w:r>
        <w:rPr>
          <w:rFonts w:cstheme="minorHAnsi"/>
          <w:sz w:val="24"/>
          <w:szCs w:val="24"/>
          <w:lang w:val="el-GR"/>
        </w:rPr>
        <w:t>εστιασμένο πάνω σε πιθανές συγκρούσεις συμφερόντων</w:t>
      </w:r>
      <w:r w:rsidR="00A5147D" w:rsidRPr="00F24205">
        <w:rPr>
          <w:rFonts w:cstheme="minorHAnsi"/>
          <w:sz w:val="24"/>
          <w:szCs w:val="24"/>
          <w:lang w:val="el-GR"/>
        </w:rPr>
        <w:t xml:space="preserve"> (</w:t>
      </w:r>
      <w:r>
        <w:rPr>
          <w:rFonts w:cstheme="minorHAnsi"/>
          <w:sz w:val="24"/>
          <w:szCs w:val="24"/>
          <w:lang w:val="el-GR"/>
        </w:rPr>
        <w:t>ασυμβα</w:t>
      </w:r>
      <w:r w:rsidR="004365E1">
        <w:rPr>
          <w:rFonts w:cstheme="minorHAnsi"/>
          <w:sz w:val="24"/>
          <w:szCs w:val="24"/>
          <w:lang w:val="el-GR"/>
        </w:rPr>
        <w:t>τ</w:t>
      </w:r>
      <w:r>
        <w:rPr>
          <w:rFonts w:cstheme="minorHAnsi"/>
          <w:sz w:val="24"/>
          <w:szCs w:val="24"/>
          <w:lang w:val="el-GR"/>
        </w:rPr>
        <w:t>ότητες</w:t>
      </w:r>
      <w:r w:rsidR="00A5147D" w:rsidRPr="00F24205">
        <w:rPr>
          <w:rFonts w:cstheme="minorHAnsi"/>
          <w:sz w:val="24"/>
          <w:szCs w:val="24"/>
          <w:lang w:val="el-GR"/>
        </w:rPr>
        <w:t xml:space="preserve">), </w:t>
      </w:r>
      <w:r w:rsidR="00AA0F33">
        <w:rPr>
          <w:rFonts w:cstheme="minorHAnsi"/>
          <w:sz w:val="24"/>
          <w:szCs w:val="24"/>
          <w:lang w:val="el-GR"/>
        </w:rPr>
        <w:t>που παρατίθενται στον Νόμο αυτό</w:t>
      </w:r>
      <w:r w:rsidR="00644EBB" w:rsidRPr="00F24205">
        <w:rPr>
          <w:rFonts w:cstheme="minorHAnsi"/>
          <w:sz w:val="24"/>
          <w:szCs w:val="24"/>
          <w:lang w:val="el-GR"/>
        </w:rPr>
        <w:t xml:space="preserve">. </w:t>
      </w:r>
      <w:r w:rsidR="00AA0F33">
        <w:rPr>
          <w:rFonts w:cstheme="minorHAnsi"/>
          <w:sz w:val="24"/>
          <w:szCs w:val="24"/>
          <w:lang w:val="el-GR"/>
        </w:rPr>
        <w:t>Υπάρχει</w:t>
      </w:r>
      <w:r w:rsidR="00AA0F33" w:rsidRPr="00AA0F33">
        <w:rPr>
          <w:rFonts w:cstheme="minorHAnsi"/>
          <w:sz w:val="24"/>
          <w:szCs w:val="24"/>
          <w:lang w:val="el-GR"/>
        </w:rPr>
        <w:t xml:space="preserve"> </w:t>
      </w:r>
      <w:r w:rsidR="00AA0F33">
        <w:rPr>
          <w:rFonts w:cstheme="minorHAnsi"/>
          <w:sz w:val="24"/>
          <w:szCs w:val="24"/>
          <w:lang w:val="el-GR"/>
        </w:rPr>
        <w:t>υποχρέωση</w:t>
      </w:r>
      <w:r w:rsidR="00AA0F33" w:rsidRPr="00AA0F33">
        <w:rPr>
          <w:rFonts w:cstheme="minorHAnsi"/>
          <w:sz w:val="24"/>
          <w:szCs w:val="24"/>
          <w:lang w:val="el-GR"/>
        </w:rPr>
        <w:t xml:space="preserve"> </w:t>
      </w:r>
      <w:r w:rsidR="004365E1">
        <w:rPr>
          <w:rFonts w:cstheme="minorHAnsi"/>
          <w:sz w:val="24"/>
          <w:szCs w:val="24"/>
          <w:lang w:val="el-GR"/>
        </w:rPr>
        <w:t xml:space="preserve">σε όσους (ο Νόμος) απευθύνεται </w:t>
      </w:r>
      <w:r w:rsidR="00AA0F33">
        <w:rPr>
          <w:rFonts w:cstheme="minorHAnsi"/>
          <w:sz w:val="24"/>
          <w:szCs w:val="24"/>
          <w:lang w:val="el-GR"/>
        </w:rPr>
        <w:t>να</w:t>
      </w:r>
      <w:r w:rsidR="00AA0F33" w:rsidRPr="00AA0F33">
        <w:rPr>
          <w:rFonts w:cstheme="minorHAnsi"/>
          <w:sz w:val="24"/>
          <w:szCs w:val="24"/>
          <w:lang w:val="el-GR"/>
        </w:rPr>
        <w:t xml:space="preserve"> </w:t>
      </w:r>
      <w:r w:rsidR="00AA0F33">
        <w:rPr>
          <w:rFonts w:cstheme="minorHAnsi"/>
          <w:sz w:val="24"/>
          <w:szCs w:val="24"/>
          <w:lang w:val="el-GR"/>
        </w:rPr>
        <w:t>υποβάλουν</w:t>
      </w:r>
      <w:r w:rsidR="00AA0F33" w:rsidRPr="00AA0F33">
        <w:rPr>
          <w:rFonts w:cstheme="minorHAnsi"/>
          <w:sz w:val="24"/>
          <w:szCs w:val="24"/>
          <w:lang w:val="el-GR"/>
        </w:rPr>
        <w:t xml:space="preserve"> </w:t>
      </w:r>
      <w:r w:rsidR="00AA0F33">
        <w:rPr>
          <w:rFonts w:cstheme="minorHAnsi"/>
          <w:sz w:val="24"/>
          <w:szCs w:val="24"/>
          <w:lang w:val="el-GR"/>
        </w:rPr>
        <w:t>γραπτή</w:t>
      </w:r>
      <w:r w:rsidR="00AA0F33" w:rsidRPr="00AA0F33">
        <w:rPr>
          <w:rFonts w:cstheme="minorHAnsi"/>
          <w:sz w:val="24"/>
          <w:szCs w:val="24"/>
          <w:lang w:val="el-GR"/>
        </w:rPr>
        <w:t xml:space="preserve"> </w:t>
      </w:r>
      <w:r w:rsidR="00AA0F33">
        <w:rPr>
          <w:rFonts w:cstheme="minorHAnsi"/>
          <w:sz w:val="24"/>
          <w:szCs w:val="24"/>
          <w:lang w:val="el-GR"/>
        </w:rPr>
        <w:t>δήλωση</w:t>
      </w:r>
      <w:r w:rsidR="00A5147D" w:rsidRPr="00AA0F33">
        <w:rPr>
          <w:rFonts w:cstheme="minorHAnsi"/>
          <w:sz w:val="24"/>
          <w:szCs w:val="24"/>
          <w:lang w:val="el-GR"/>
        </w:rPr>
        <w:t xml:space="preserve">, </w:t>
      </w:r>
      <w:r w:rsidR="00AA0F33">
        <w:rPr>
          <w:rFonts w:cstheme="minorHAnsi"/>
          <w:sz w:val="24"/>
          <w:szCs w:val="24"/>
          <w:lang w:val="el-GR"/>
        </w:rPr>
        <w:t>πριν</w:t>
      </w:r>
      <w:r w:rsidR="00AA0F33" w:rsidRPr="00AA0F33">
        <w:rPr>
          <w:rFonts w:cstheme="minorHAnsi"/>
          <w:sz w:val="24"/>
          <w:szCs w:val="24"/>
          <w:lang w:val="el-GR"/>
        </w:rPr>
        <w:t xml:space="preserve"> </w:t>
      </w:r>
      <w:r w:rsidR="00AA0F33">
        <w:rPr>
          <w:rFonts w:cstheme="minorHAnsi"/>
          <w:sz w:val="24"/>
          <w:szCs w:val="24"/>
          <w:lang w:val="el-GR"/>
        </w:rPr>
        <w:lastRenderedPageBreak/>
        <w:t>αποδεχθούν</w:t>
      </w:r>
      <w:r w:rsidR="00AA0F33" w:rsidRPr="00AA0F33">
        <w:rPr>
          <w:rFonts w:cstheme="minorHAnsi"/>
          <w:sz w:val="24"/>
          <w:szCs w:val="24"/>
          <w:lang w:val="el-GR"/>
        </w:rPr>
        <w:t xml:space="preserve"> </w:t>
      </w:r>
      <w:r w:rsidR="00AA0F33">
        <w:rPr>
          <w:rFonts w:cstheme="minorHAnsi"/>
          <w:sz w:val="24"/>
          <w:szCs w:val="24"/>
          <w:lang w:val="el-GR"/>
        </w:rPr>
        <w:t>οποιοδήποτε</w:t>
      </w:r>
      <w:r w:rsidR="00AA0F33" w:rsidRPr="00AA0F33">
        <w:rPr>
          <w:rFonts w:cstheme="minorHAnsi"/>
          <w:sz w:val="24"/>
          <w:szCs w:val="24"/>
          <w:lang w:val="el-GR"/>
        </w:rPr>
        <w:t xml:space="preserve"> </w:t>
      </w:r>
      <w:r w:rsidR="00AA0F33">
        <w:rPr>
          <w:rFonts w:cstheme="minorHAnsi"/>
          <w:sz w:val="24"/>
          <w:szCs w:val="24"/>
          <w:lang w:val="el-GR"/>
        </w:rPr>
        <w:t>αξίωμα</w:t>
      </w:r>
      <w:r w:rsidR="00A5147D" w:rsidRPr="00AA0F33">
        <w:rPr>
          <w:rFonts w:cstheme="minorHAnsi"/>
          <w:sz w:val="24"/>
          <w:szCs w:val="24"/>
          <w:lang w:val="el-GR"/>
        </w:rPr>
        <w:t xml:space="preserve">, </w:t>
      </w:r>
      <w:r w:rsidR="00AA0F33">
        <w:rPr>
          <w:rFonts w:cstheme="minorHAnsi"/>
          <w:sz w:val="24"/>
          <w:szCs w:val="24"/>
          <w:lang w:val="el-GR"/>
        </w:rPr>
        <w:t>στην Επιτροπή</w:t>
      </w:r>
      <w:r w:rsidR="00A5147D" w:rsidRPr="00AA0F33">
        <w:rPr>
          <w:rFonts w:cstheme="minorHAnsi"/>
          <w:sz w:val="24"/>
          <w:szCs w:val="24"/>
          <w:lang w:val="el-GR"/>
        </w:rPr>
        <w:t xml:space="preserve"> </w:t>
      </w:r>
      <w:r w:rsidR="004365E1">
        <w:rPr>
          <w:rFonts w:cstheme="minorHAnsi"/>
          <w:sz w:val="24"/>
          <w:szCs w:val="24"/>
          <w:lang w:val="el-GR"/>
        </w:rPr>
        <w:t xml:space="preserve">Διερεύνησης Ασυμβίβαστου </w:t>
      </w:r>
      <w:r w:rsidR="00AA0F33">
        <w:rPr>
          <w:rFonts w:cstheme="minorHAnsi"/>
          <w:sz w:val="24"/>
          <w:szCs w:val="24"/>
          <w:lang w:val="el-GR"/>
        </w:rPr>
        <w:t xml:space="preserve">για </w:t>
      </w:r>
      <w:r w:rsidR="004365E1">
        <w:rPr>
          <w:rFonts w:cstheme="minorHAnsi"/>
          <w:sz w:val="24"/>
          <w:szCs w:val="24"/>
          <w:lang w:val="el-GR"/>
        </w:rPr>
        <w:t xml:space="preserve">διερεύνηση </w:t>
      </w:r>
      <w:r w:rsidR="00AA0F33">
        <w:rPr>
          <w:rFonts w:cstheme="minorHAnsi"/>
          <w:sz w:val="24"/>
          <w:szCs w:val="24"/>
          <w:lang w:val="el-GR"/>
        </w:rPr>
        <w:t>πιθαν</w:t>
      </w:r>
      <w:r w:rsidR="004365E1">
        <w:rPr>
          <w:rFonts w:cstheme="minorHAnsi"/>
          <w:sz w:val="24"/>
          <w:szCs w:val="24"/>
          <w:lang w:val="el-GR"/>
        </w:rPr>
        <w:t>ών περιπτώσεων ασυμβίβαστου</w:t>
      </w:r>
      <w:r w:rsidR="00A5147D" w:rsidRPr="00AA0F33">
        <w:rPr>
          <w:rFonts w:cstheme="minorHAnsi"/>
          <w:sz w:val="24"/>
          <w:szCs w:val="24"/>
          <w:lang w:val="el-GR"/>
        </w:rPr>
        <w:t xml:space="preserve">.  </w:t>
      </w:r>
    </w:p>
    <w:p w14:paraId="25A581A1" w14:textId="77777777" w:rsidR="00A5147D" w:rsidRPr="00AA0F33" w:rsidRDefault="00A5147D" w:rsidP="00A5147D">
      <w:pPr>
        <w:tabs>
          <w:tab w:val="left" w:pos="709"/>
        </w:tabs>
        <w:rPr>
          <w:rFonts w:cstheme="minorHAnsi"/>
          <w:sz w:val="24"/>
          <w:szCs w:val="24"/>
          <w:lang w:val="el-GR"/>
        </w:rPr>
      </w:pPr>
    </w:p>
    <w:p w14:paraId="596ACB0A" w14:textId="4C4155C8" w:rsidR="00A5147D" w:rsidRPr="00A35FA2" w:rsidRDefault="00A51D8C" w:rsidP="00A5147D">
      <w:pPr>
        <w:numPr>
          <w:ilvl w:val="0"/>
          <w:numId w:val="1"/>
        </w:numPr>
        <w:tabs>
          <w:tab w:val="clear" w:pos="6095"/>
          <w:tab w:val="left" w:pos="709"/>
        </w:tabs>
        <w:ind w:left="0" w:firstLine="0"/>
        <w:rPr>
          <w:rFonts w:cstheme="minorHAnsi"/>
          <w:sz w:val="24"/>
          <w:szCs w:val="24"/>
          <w:lang w:val="el-GR"/>
        </w:rPr>
      </w:pPr>
      <w:r>
        <w:rPr>
          <w:rFonts w:ascii="Calibri" w:eastAsia="Calibri" w:hAnsi="Calibri" w:cs="Calibri"/>
          <w:sz w:val="24"/>
          <w:szCs w:val="24"/>
          <w:lang w:val="el-GR"/>
        </w:rPr>
        <w:t>Ο</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πρόσφατα</w:t>
      </w:r>
      <w:r w:rsidRPr="00A51D8C">
        <w:rPr>
          <w:rFonts w:ascii="Calibri" w:eastAsia="Calibri" w:hAnsi="Calibri" w:cs="Calibri"/>
          <w:sz w:val="24"/>
          <w:szCs w:val="24"/>
          <w:lang w:val="el-GR"/>
        </w:rPr>
        <w:t xml:space="preserve"> </w:t>
      </w:r>
      <w:r w:rsidR="009D746E">
        <w:rPr>
          <w:rFonts w:ascii="Calibri" w:eastAsia="Calibri" w:hAnsi="Calibri" w:cs="Calibri"/>
          <w:sz w:val="24"/>
          <w:szCs w:val="24"/>
          <w:lang w:val="el-GR"/>
        </w:rPr>
        <w:t xml:space="preserve">ψηφισθείς </w:t>
      </w:r>
      <w:r>
        <w:rPr>
          <w:rFonts w:ascii="Calibri" w:eastAsia="Calibri" w:hAnsi="Calibri" w:cs="Calibri"/>
          <w:sz w:val="24"/>
          <w:szCs w:val="24"/>
          <w:lang w:val="el-GR"/>
        </w:rPr>
        <w:t>Νόμος</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περί</w:t>
      </w:r>
      <w:r w:rsidR="00A5147D" w:rsidRPr="00A51D8C">
        <w:rPr>
          <w:rFonts w:cstheme="minorHAnsi"/>
          <w:sz w:val="24"/>
          <w:szCs w:val="24"/>
          <w:lang w:val="el-GR"/>
        </w:rPr>
        <w:t xml:space="preserve"> </w:t>
      </w:r>
      <w:r>
        <w:rPr>
          <w:rFonts w:cstheme="minorHAnsi"/>
          <w:sz w:val="24"/>
          <w:szCs w:val="24"/>
          <w:lang w:val="el-GR"/>
        </w:rPr>
        <w:t>Διαφάνει</w:t>
      </w:r>
      <w:r w:rsidR="00DB0C19">
        <w:rPr>
          <w:rFonts w:cstheme="minorHAnsi"/>
          <w:sz w:val="24"/>
          <w:szCs w:val="24"/>
          <w:lang w:val="el-GR"/>
        </w:rPr>
        <w:t>α</w:t>
      </w:r>
      <w:r>
        <w:rPr>
          <w:rFonts w:cstheme="minorHAnsi"/>
          <w:sz w:val="24"/>
          <w:szCs w:val="24"/>
          <w:lang w:val="el-GR"/>
        </w:rPr>
        <w:t>ς</w:t>
      </w:r>
      <w:r w:rsidRPr="00A51D8C">
        <w:rPr>
          <w:rFonts w:cstheme="minorHAnsi"/>
          <w:sz w:val="24"/>
          <w:szCs w:val="24"/>
          <w:lang w:val="el-GR"/>
        </w:rPr>
        <w:t xml:space="preserve"> </w:t>
      </w:r>
      <w:r w:rsidR="00F41976">
        <w:rPr>
          <w:rFonts w:cstheme="minorHAnsi"/>
          <w:sz w:val="24"/>
          <w:szCs w:val="24"/>
          <w:lang w:val="el-GR"/>
        </w:rPr>
        <w:t>στις Διαδικασίες</w:t>
      </w:r>
      <w:r w:rsidRPr="00A51D8C">
        <w:rPr>
          <w:rFonts w:cstheme="minorHAnsi"/>
          <w:sz w:val="24"/>
          <w:szCs w:val="24"/>
          <w:lang w:val="el-GR"/>
        </w:rPr>
        <w:t xml:space="preserve"> </w:t>
      </w:r>
      <w:r>
        <w:rPr>
          <w:rFonts w:cstheme="minorHAnsi"/>
          <w:sz w:val="24"/>
          <w:szCs w:val="24"/>
          <w:lang w:val="el-GR"/>
        </w:rPr>
        <w:t>Λήψη</w:t>
      </w:r>
      <w:r w:rsidR="00F41976">
        <w:rPr>
          <w:rFonts w:cstheme="minorHAnsi"/>
          <w:sz w:val="24"/>
          <w:szCs w:val="24"/>
          <w:lang w:val="el-GR"/>
        </w:rPr>
        <w:t>ς</w:t>
      </w:r>
      <w:r w:rsidRPr="00A51D8C">
        <w:rPr>
          <w:rFonts w:cstheme="minorHAnsi"/>
          <w:sz w:val="24"/>
          <w:szCs w:val="24"/>
          <w:lang w:val="el-GR"/>
        </w:rPr>
        <w:t xml:space="preserve"> </w:t>
      </w:r>
      <w:r>
        <w:rPr>
          <w:rFonts w:cstheme="minorHAnsi"/>
          <w:sz w:val="24"/>
          <w:szCs w:val="24"/>
          <w:lang w:val="el-GR"/>
        </w:rPr>
        <w:t>Δημοσ</w:t>
      </w:r>
      <w:r w:rsidR="00DB0C19">
        <w:rPr>
          <w:rFonts w:cstheme="minorHAnsi"/>
          <w:sz w:val="24"/>
          <w:szCs w:val="24"/>
          <w:lang w:val="el-GR"/>
        </w:rPr>
        <w:t>ίω</w:t>
      </w:r>
      <w:r>
        <w:rPr>
          <w:rFonts w:cstheme="minorHAnsi"/>
          <w:sz w:val="24"/>
          <w:szCs w:val="24"/>
          <w:lang w:val="el-GR"/>
        </w:rPr>
        <w:t>ν</w:t>
      </w:r>
      <w:r w:rsidRPr="00A51D8C">
        <w:rPr>
          <w:rFonts w:cstheme="minorHAnsi"/>
          <w:sz w:val="24"/>
          <w:szCs w:val="24"/>
          <w:lang w:val="el-GR"/>
        </w:rPr>
        <w:t xml:space="preserve"> </w:t>
      </w:r>
      <w:r>
        <w:rPr>
          <w:rFonts w:cstheme="minorHAnsi"/>
          <w:sz w:val="24"/>
          <w:szCs w:val="24"/>
          <w:lang w:val="el-GR"/>
        </w:rPr>
        <w:t>Αποφάσεων</w:t>
      </w:r>
      <w:r w:rsidR="00A5147D" w:rsidRPr="00A51D8C">
        <w:rPr>
          <w:rFonts w:cstheme="minorHAnsi"/>
          <w:sz w:val="24"/>
          <w:szCs w:val="24"/>
          <w:lang w:val="el-GR"/>
        </w:rPr>
        <w:t xml:space="preserve"> </w:t>
      </w:r>
      <w:r>
        <w:rPr>
          <w:rFonts w:cstheme="minorHAnsi"/>
          <w:sz w:val="24"/>
          <w:szCs w:val="24"/>
          <w:lang w:val="el-GR"/>
        </w:rPr>
        <w:t>και</w:t>
      </w:r>
      <w:r w:rsidRPr="00A51D8C">
        <w:rPr>
          <w:rFonts w:cstheme="minorHAnsi"/>
          <w:sz w:val="24"/>
          <w:szCs w:val="24"/>
          <w:lang w:val="el-GR"/>
        </w:rPr>
        <w:t xml:space="preserve"> </w:t>
      </w:r>
      <w:r>
        <w:rPr>
          <w:rFonts w:cstheme="minorHAnsi"/>
          <w:sz w:val="24"/>
          <w:szCs w:val="24"/>
          <w:lang w:val="el-GR"/>
        </w:rPr>
        <w:t>Συναφών</w:t>
      </w:r>
      <w:r w:rsidRPr="00A51D8C">
        <w:rPr>
          <w:rFonts w:cstheme="minorHAnsi"/>
          <w:sz w:val="24"/>
          <w:szCs w:val="24"/>
          <w:lang w:val="el-GR"/>
        </w:rPr>
        <w:t xml:space="preserve"> </w:t>
      </w:r>
      <w:r>
        <w:rPr>
          <w:rFonts w:cstheme="minorHAnsi"/>
          <w:sz w:val="24"/>
          <w:szCs w:val="24"/>
          <w:lang w:val="el-GR"/>
        </w:rPr>
        <w:t>Θεμάτων</w:t>
      </w:r>
      <w:r w:rsidR="00A5147D" w:rsidRPr="00A51D8C">
        <w:rPr>
          <w:rFonts w:cstheme="minorHAnsi"/>
          <w:sz w:val="24"/>
          <w:szCs w:val="24"/>
          <w:lang w:val="el-GR"/>
        </w:rPr>
        <w:t xml:space="preserve"> (</w:t>
      </w:r>
      <w:r>
        <w:rPr>
          <w:rFonts w:cstheme="minorHAnsi"/>
          <w:sz w:val="24"/>
          <w:szCs w:val="24"/>
          <w:lang w:val="el-GR"/>
        </w:rPr>
        <w:t>Νόμος</w:t>
      </w:r>
      <w:r w:rsidR="00A5147D" w:rsidRPr="00A51D8C">
        <w:rPr>
          <w:rFonts w:cstheme="minorHAnsi"/>
          <w:sz w:val="24"/>
          <w:szCs w:val="24"/>
          <w:lang w:val="el-GR"/>
        </w:rPr>
        <w:t xml:space="preserve"> 20(</w:t>
      </w:r>
      <w:r w:rsidR="00A5147D" w:rsidRPr="004E251E">
        <w:rPr>
          <w:rFonts w:cstheme="minorHAnsi"/>
          <w:sz w:val="24"/>
          <w:szCs w:val="24"/>
        </w:rPr>
        <w:t>I</w:t>
      </w:r>
      <w:r w:rsidR="00A5147D" w:rsidRPr="00A51D8C">
        <w:rPr>
          <w:rFonts w:cstheme="minorHAnsi"/>
          <w:sz w:val="24"/>
          <w:szCs w:val="24"/>
          <w:lang w:val="el-GR"/>
        </w:rPr>
        <w:t>)/2022)</w:t>
      </w:r>
      <w:r w:rsidR="00A5147D" w:rsidRPr="00A51D8C">
        <w:rPr>
          <w:rFonts w:ascii="Calibri" w:eastAsia="Calibri" w:hAnsi="Calibri" w:cs="Calibri"/>
          <w:sz w:val="24"/>
          <w:szCs w:val="24"/>
          <w:lang w:val="el-GR"/>
        </w:rPr>
        <w:t xml:space="preserve"> </w:t>
      </w:r>
      <w:r>
        <w:rPr>
          <w:rFonts w:ascii="Calibri" w:eastAsia="Calibri" w:hAnsi="Calibri" w:cs="Calibri"/>
          <w:sz w:val="24"/>
          <w:szCs w:val="24"/>
          <w:lang w:val="el-GR"/>
        </w:rPr>
        <w:t>καθορίζει</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την</w:t>
      </w:r>
      <w:r w:rsidRPr="00A51D8C">
        <w:rPr>
          <w:rFonts w:ascii="Calibri" w:eastAsia="Calibri" w:hAnsi="Calibri" w:cs="Calibri"/>
          <w:sz w:val="24"/>
          <w:szCs w:val="24"/>
          <w:lang w:val="el-GR"/>
        </w:rPr>
        <w:t xml:space="preserve"> </w:t>
      </w:r>
      <w:r w:rsidR="00DB0C19">
        <w:rPr>
          <w:rFonts w:ascii="Calibri" w:eastAsia="Calibri" w:hAnsi="Calibri" w:cs="Calibri"/>
          <w:sz w:val="24"/>
          <w:szCs w:val="24"/>
          <w:lang w:val="el-GR"/>
        </w:rPr>
        <w:t xml:space="preserve">έννοια </w:t>
      </w:r>
      <w:r>
        <w:rPr>
          <w:rFonts w:ascii="Calibri" w:eastAsia="Calibri" w:hAnsi="Calibri" w:cs="Calibri"/>
          <w:sz w:val="24"/>
          <w:szCs w:val="24"/>
          <w:lang w:val="el-GR"/>
        </w:rPr>
        <w:t>της</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σύγκρουσης</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συμφερόντων</w:t>
      </w:r>
      <w:r w:rsidR="00A5147D" w:rsidRPr="00A51D8C">
        <w:rPr>
          <w:rFonts w:ascii="Calibri" w:eastAsia="Calibri" w:hAnsi="Calibri" w:cs="Calibri"/>
          <w:sz w:val="24"/>
          <w:szCs w:val="24"/>
          <w:lang w:val="el-GR"/>
        </w:rPr>
        <w:t xml:space="preserve"> </w:t>
      </w:r>
      <w:r>
        <w:rPr>
          <w:rFonts w:ascii="Calibri" w:eastAsia="Calibri" w:hAnsi="Calibri" w:cs="Calibri"/>
          <w:sz w:val="24"/>
          <w:szCs w:val="24"/>
          <w:lang w:val="el-GR"/>
        </w:rPr>
        <w:t>ως</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οποιαδήποτε</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περίπτωση</w:t>
      </w:r>
      <w:r w:rsidR="00A5147D" w:rsidRPr="00A51D8C">
        <w:rPr>
          <w:rFonts w:ascii="Calibri" w:eastAsia="Calibri" w:hAnsi="Calibri" w:cs="Calibri"/>
          <w:sz w:val="24"/>
          <w:szCs w:val="24"/>
          <w:lang w:val="el-GR"/>
        </w:rPr>
        <w:t xml:space="preserve"> </w:t>
      </w:r>
      <w:r>
        <w:rPr>
          <w:rFonts w:ascii="Calibri" w:eastAsia="Calibri" w:hAnsi="Calibri" w:cs="Calibri"/>
          <w:sz w:val="24"/>
          <w:szCs w:val="24"/>
          <w:lang w:val="el-GR"/>
        </w:rPr>
        <w:t>στην</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οποία</w:t>
      </w:r>
      <w:r w:rsidR="00A5147D" w:rsidRPr="00A51D8C">
        <w:rPr>
          <w:rFonts w:ascii="Calibri" w:eastAsia="Calibri" w:hAnsi="Calibri" w:cs="Calibri"/>
          <w:sz w:val="24"/>
          <w:szCs w:val="24"/>
          <w:lang w:val="el-GR"/>
        </w:rPr>
        <w:t xml:space="preserve"> </w:t>
      </w:r>
      <w:r>
        <w:rPr>
          <w:rFonts w:ascii="Calibri" w:eastAsia="Calibri" w:hAnsi="Calibri" w:cs="Calibri"/>
          <w:sz w:val="24"/>
          <w:szCs w:val="24"/>
          <w:lang w:val="el-GR"/>
        </w:rPr>
        <w:t>το</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προσωπικό</w:t>
      </w:r>
      <w:r w:rsidR="00A5147D" w:rsidRPr="00A51D8C">
        <w:rPr>
          <w:rFonts w:ascii="Calibri" w:eastAsia="Calibri" w:hAnsi="Calibri" w:cs="Calibri"/>
          <w:sz w:val="24"/>
          <w:szCs w:val="24"/>
          <w:lang w:val="el-GR"/>
        </w:rPr>
        <w:t xml:space="preserve"> </w:t>
      </w:r>
      <w:r>
        <w:rPr>
          <w:rFonts w:ascii="Calibri" w:eastAsia="Calibri" w:hAnsi="Calibri" w:cs="Calibri"/>
          <w:sz w:val="24"/>
          <w:szCs w:val="24"/>
          <w:lang w:val="el-GR"/>
        </w:rPr>
        <w:t>ή</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ιδιωτικό</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συμφέρον</w:t>
      </w:r>
      <w:r w:rsidR="00A5147D" w:rsidRPr="00A51D8C">
        <w:rPr>
          <w:rFonts w:ascii="Calibri" w:eastAsia="Calibri" w:hAnsi="Calibri" w:cs="Calibri"/>
          <w:sz w:val="24"/>
          <w:szCs w:val="24"/>
          <w:lang w:val="el-GR"/>
        </w:rPr>
        <w:t xml:space="preserve"> </w:t>
      </w:r>
      <w:r>
        <w:rPr>
          <w:rFonts w:ascii="Calibri" w:eastAsia="Calibri" w:hAnsi="Calibri" w:cs="Calibri"/>
          <w:sz w:val="24"/>
          <w:szCs w:val="24"/>
          <w:lang w:val="el-GR"/>
        </w:rPr>
        <w:t>ενός</w:t>
      </w:r>
      <w:r w:rsidRPr="00A51D8C">
        <w:rPr>
          <w:rFonts w:ascii="Calibri" w:eastAsia="Calibri" w:hAnsi="Calibri" w:cs="Calibri"/>
          <w:sz w:val="24"/>
          <w:szCs w:val="24"/>
          <w:lang w:val="el-GR"/>
        </w:rPr>
        <w:t xml:space="preserve"> </w:t>
      </w:r>
      <w:r w:rsidR="009D746E">
        <w:rPr>
          <w:rFonts w:ascii="Calibri" w:eastAsia="Calibri" w:hAnsi="Calibri" w:cs="Calibri"/>
          <w:sz w:val="24"/>
          <w:szCs w:val="24"/>
          <w:lang w:val="el-GR"/>
        </w:rPr>
        <w:t xml:space="preserve">αξιωματούχου </w:t>
      </w:r>
      <w:r>
        <w:rPr>
          <w:rFonts w:ascii="Calibri" w:eastAsia="Calibri" w:hAnsi="Calibri" w:cs="Calibri"/>
          <w:sz w:val="24"/>
          <w:szCs w:val="24"/>
          <w:lang w:val="el-GR"/>
        </w:rPr>
        <w:t>ή</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μέλους</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της</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δημόσιας</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υπηρεσίας</w:t>
      </w:r>
      <w:r w:rsidR="00A5147D" w:rsidRPr="00A51D8C">
        <w:rPr>
          <w:rFonts w:ascii="Calibri" w:eastAsia="Calibri" w:hAnsi="Calibri" w:cs="Calibri"/>
          <w:sz w:val="24"/>
          <w:szCs w:val="24"/>
          <w:lang w:val="el-GR"/>
        </w:rPr>
        <w:t xml:space="preserve"> </w:t>
      </w:r>
      <w:r>
        <w:rPr>
          <w:rFonts w:ascii="Calibri" w:eastAsia="Calibri" w:hAnsi="Calibri" w:cs="Calibri"/>
          <w:sz w:val="24"/>
          <w:szCs w:val="24"/>
          <w:lang w:val="el-GR"/>
        </w:rPr>
        <w:t>ή του ευρύτερου δημοσίου τομέα</w:t>
      </w:r>
      <w:r w:rsidR="00A5147D" w:rsidRPr="00A51D8C">
        <w:rPr>
          <w:rFonts w:ascii="Calibri" w:eastAsia="Calibri" w:hAnsi="Calibri" w:cs="Calibri"/>
          <w:sz w:val="24"/>
          <w:szCs w:val="24"/>
          <w:lang w:val="el-GR"/>
        </w:rPr>
        <w:t xml:space="preserve"> </w:t>
      </w:r>
      <w:r>
        <w:rPr>
          <w:rFonts w:ascii="Calibri" w:eastAsia="Calibri" w:hAnsi="Calibri" w:cs="Calibri"/>
          <w:sz w:val="24"/>
          <w:szCs w:val="24"/>
          <w:lang w:val="el-GR"/>
        </w:rPr>
        <w:t xml:space="preserve">ή </w:t>
      </w:r>
      <w:r w:rsidR="009D746E">
        <w:rPr>
          <w:rFonts w:ascii="Calibri" w:eastAsia="Calibri" w:hAnsi="Calibri" w:cs="Calibri"/>
          <w:sz w:val="24"/>
          <w:szCs w:val="24"/>
          <w:lang w:val="el-GR"/>
        </w:rPr>
        <w:t xml:space="preserve">του εργαζόμενου προς όφελος αξιωματούχου </w:t>
      </w:r>
      <w:r>
        <w:rPr>
          <w:rFonts w:ascii="Calibri" w:eastAsia="Calibri" w:hAnsi="Calibri" w:cs="Calibri"/>
          <w:sz w:val="24"/>
          <w:szCs w:val="24"/>
          <w:lang w:val="el-GR"/>
        </w:rPr>
        <w:t>ή</w:t>
      </w:r>
      <w:r w:rsidR="00A5147D" w:rsidRPr="00A51D8C">
        <w:rPr>
          <w:rFonts w:ascii="Calibri" w:eastAsia="Calibri" w:hAnsi="Calibri" w:cs="Calibri"/>
          <w:sz w:val="24"/>
          <w:szCs w:val="24"/>
          <w:lang w:val="el-GR"/>
        </w:rPr>
        <w:t xml:space="preserve"> </w:t>
      </w:r>
      <w:r>
        <w:rPr>
          <w:rFonts w:ascii="Calibri" w:eastAsia="Calibri" w:hAnsi="Calibri" w:cs="Calibri"/>
          <w:sz w:val="24"/>
          <w:szCs w:val="24"/>
          <w:lang w:val="el-GR"/>
        </w:rPr>
        <w:t xml:space="preserve">συνδεδεμένου </w:t>
      </w:r>
      <w:r w:rsidR="009D746E">
        <w:rPr>
          <w:rFonts w:ascii="Calibri" w:eastAsia="Calibri" w:hAnsi="Calibri" w:cs="Calibri"/>
          <w:sz w:val="24"/>
          <w:szCs w:val="24"/>
          <w:lang w:val="el-GR"/>
        </w:rPr>
        <w:t xml:space="preserve">με αυτό πρόσωπο </w:t>
      </w:r>
      <w:r>
        <w:rPr>
          <w:rFonts w:ascii="Calibri" w:eastAsia="Calibri" w:hAnsi="Calibri" w:cs="Calibri"/>
          <w:sz w:val="24"/>
          <w:szCs w:val="24"/>
          <w:lang w:val="el-GR"/>
        </w:rPr>
        <w:t>επηρεάζει ή</w:t>
      </w:r>
      <w:r w:rsidR="00A5147D" w:rsidRPr="00A51D8C">
        <w:rPr>
          <w:rFonts w:ascii="Calibri" w:eastAsia="Calibri" w:hAnsi="Calibri" w:cs="Calibri"/>
          <w:sz w:val="24"/>
          <w:szCs w:val="24"/>
          <w:lang w:val="el-GR"/>
        </w:rPr>
        <w:t xml:space="preserve"> </w:t>
      </w:r>
      <w:r w:rsidR="009D746E">
        <w:rPr>
          <w:rFonts w:ascii="Calibri" w:eastAsia="Calibri" w:hAnsi="Calibri" w:cs="Calibri"/>
          <w:sz w:val="24"/>
          <w:szCs w:val="24"/>
          <w:lang w:val="el-GR"/>
        </w:rPr>
        <w:t xml:space="preserve">ενδέχεται </w:t>
      </w:r>
      <w:r>
        <w:rPr>
          <w:rFonts w:ascii="Calibri" w:eastAsia="Calibri" w:hAnsi="Calibri" w:cs="Calibri"/>
          <w:sz w:val="24"/>
          <w:szCs w:val="24"/>
          <w:lang w:val="el-GR"/>
        </w:rPr>
        <w:t>να επηρεάσει τον αμερόληπτο και αντικειμενικό τρόπο με το</w:t>
      </w:r>
      <w:r w:rsidR="009D746E">
        <w:rPr>
          <w:rFonts w:ascii="Calibri" w:eastAsia="Calibri" w:hAnsi="Calibri" w:cs="Calibri"/>
          <w:sz w:val="24"/>
          <w:szCs w:val="24"/>
          <w:lang w:val="el-GR"/>
        </w:rPr>
        <w:t>ν</w:t>
      </w:r>
      <w:r>
        <w:rPr>
          <w:rFonts w:ascii="Calibri" w:eastAsia="Calibri" w:hAnsi="Calibri" w:cs="Calibri"/>
          <w:sz w:val="24"/>
          <w:szCs w:val="24"/>
          <w:lang w:val="el-GR"/>
        </w:rPr>
        <w:t xml:space="preserve"> οποίο</w:t>
      </w:r>
      <w:r w:rsidR="00A5147D" w:rsidRPr="00A51D8C">
        <w:rPr>
          <w:rFonts w:ascii="Calibri" w:eastAsia="Calibri" w:hAnsi="Calibri" w:cs="Calibri"/>
          <w:sz w:val="24"/>
          <w:szCs w:val="24"/>
          <w:lang w:val="el-GR"/>
        </w:rPr>
        <w:t xml:space="preserve"> </w:t>
      </w:r>
      <w:r>
        <w:rPr>
          <w:rFonts w:ascii="Calibri" w:eastAsia="Calibri" w:hAnsi="Calibri" w:cs="Calibri"/>
          <w:sz w:val="24"/>
          <w:szCs w:val="24"/>
          <w:lang w:val="el-GR"/>
        </w:rPr>
        <w:t>αυτός</w:t>
      </w:r>
      <w:r w:rsidR="00A5147D" w:rsidRPr="00A51D8C">
        <w:rPr>
          <w:rFonts w:ascii="Calibri" w:eastAsia="Calibri" w:hAnsi="Calibri" w:cs="Calibri"/>
          <w:sz w:val="24"/>
          <w:szCs w:val="24"/>
          <w:lang w:val="el-GR"/>
        </w:rPr>
        <w:t>/</w:t>
      </w:r>
      <w:r>
        <w:rPr>
          <w:rFonts w:ascii="Calibri" w:eastAsia="Calibri" w:hAnsi="Calibri" w:cs="Calibri"/>
          <w:sz w:val="24"/>
          <w:szCs w:val="24"/>
          <w:lang w:val="el-GR"/>
        </w:rPr>
        <w:t>ή</w:t>
      </w:r>
      <w:r w:rsidR="00A5147D" w:rsidRPr="00A51D8C">
        <w:rPr>
          <w:rFonts w:ascii="Calibri" w:eastAsia="Calibri" w:hAnsi="Calibri" w:cs="Calibri"/>
          <w:sz w:val="24"/>
          <w:szCs w:val="24"/>
          <w:lang w:val="el-GR"/>
        </w:rPr>
        <w:t xml:space="preserve"> </w:t>
      </w:r>
      <w:r>
        <w:rPr>
          <w:rFonts w:ascii="Calibri" w:eastAsia="Calibri" w:hAnsi="Calibri" w:cs="Calibri"/>
          <w:sz w:val="24"/>
          <w:szCs w:val="24"/>
          <w:lang w:val="el-GR"/>
        </w:rPr>
        <w:t>ενεργεί ή θα ενεργήσει</w:t>
      </w:r>
      <w:r w:rsidR="00A5147D" w:rsidRPr="00A51D8C">
        <w:rPr>
          <w:rFonts w:ascii="Calibri" w:eastAsia="Calibri" w:hAnsi="Calibri" w:cs="Calibri"/>
          <w:sz w:val="24"/>
          <w:szCs w:val="24"/>
          <w:lang w:val="el-GR"/>
        </w:rPr>
        <w:t xml:space="preserve"> </w:t>
      </w:r>
      <w:r w:rsidR="009D746E">
        <w:rPr>
          <w:rFonts w:ascii="Calibri" w:eastAsia="Calibri" w:hAnsi="Calibri" w:cs="Calibri"/>
          <w:sz w:val="24"/>
          <w:szCs w:val="24"/>
          <w:lang w:val="el-GR"/>
        </w:rPr>
        <w:t xml:space="preserve">κατά την </w:t>
      </w:r>
      <w:r>
        <w:rPr>
          <w:rFonts w:ascii="Calibri" w:eastAsia="Calibri" w:hAnsi="Calibri" w:cs="Calibri"/>
          <w:sz w:val="24"/>
          <w:szCs w:val="24"/>
          <w:lang w:val="el-GR"/>
        </w:rPr>
        <w:t>εκτέλεση</w:t>
      </w:r>
      <w:r w:rsidR="00DB0C19">
        <w:rPr>
          <w:rFonts w:ascii="Calibri" w:eastAsia="Calibri" w:hAnsi="Calibri" w:cs="Calibri"/>
          <w:sz w:val="24"/>
          <w:szCs w:val="24"/>
          <w:lang w:val="el-GR"/>
        </w:rPr>
        <w:t xml:space="preserve"> </w:t>
      </w:r>
      <w:r>
        <w:rPr>
          <w:rFonts w:ascii="Calibri" w:eastAsia="Calibri" w:hAnsi="Calibri" w:cs="Calibri"/>
          <w:sz w:val="24"/>
          <w:szCs w:val="24"/>
          <w:lang w:val="el-GR"/>
        </w:rPr>
        <w:t>των καθηκόντων του/ης</w:t>
      </w:r>
      <w:r w:rsidR="00A5147D" w:rsidRPr="00A51D8C">
        <w:rPr>
          <w:rFonts w:ascii="Calibri" w:eastAsia="Calibri" w:hAnsi="Calibri" w:cs="Calibri"/>
          <w:sz w:val="24"/>
          <w:szCs w:val="24"/>
          <w:lang w:val="el-GR"/>
        </w:rPr>
        <w:t>.</w:t>
      </w:r>
      <w:r w:rsidR="00A5147D" w:rsidRPr="004E251E">
        <w:rPr>
          <w:rStyle w:val="FootnoteReference"/>
          <w:rFonts w:ascii="Calibri" w:eastAsia="Calibri" w:hAnsi="Calibri" w:cs="Calibri"/>
          <w:sz w:val="24"/>
          <w:szCs w:val="24"/>
        </w:rPr>
        <w:footnoteReference w:id="50"/>
      </w:r>
      <w:r w:rsidR="00A5147D" w:rsidRPr="00A51D8C">
        <w:rPr>
          <w:rFonts w:cstheme="minorHAnsi"/>
          <w:sz w:val="24"/>
          <w:szCs w:val="24"/>
          <w:lang w:val="el-GR"/>
        </w:rPr>
        <w:t xml:space="preserve"> </w:t>
      </w:r>
      <w:r>
        <w:rPr>
          <w:rFonts w:cstheme="minorHAnsi"/>
          <w:sz w:val="24"/>
          <w:szCs w:val="24"/>
          <w:lang w:val="el-GR"/>
        </w:rPr>
        <w:t>Ο</w:t>
      </w:r>
      <w:r w:rsidRPr="00A51D8C">
        <w:rPr>
          <w:rFonts w:cstheme="minorHAnsi"/>
          <w:sz w:val="24"/>
          <w:szCs w:val="24"/>
          <w:lang w:val="el-GR"/>
        </w:rPr>
        <w:t xml:space="preserve"> </w:t>
      </w:r>
      <w:r>
        <w:rPr>
          <w:rFonts w:cstheme="minorHAnsi"/>
          <w:sz w:val="24"/>
          <w:szCs w:val="24"/>
          <w:lang w:val="el-GR"/>
        </w:rPr>
        <w:t>Νόμος</w:t>
      </w:r>
      <w:r w:rsidR="00A5147D" w:rsidRPr="00A51D8C">
        <w:rPr>
          <w:rFonts w:cstheme="minorHAnsi"/>
          <w:sz w:val="24"/>
          <w:szCs w:val="24"/>
          <w:lang w:val="el-GR"/>
        </w:rPr>
        <w:t xml:space="preserve"> </w:t>
      </w:r>
      <w:r>
        <w:rPr>
          <w:rFonts w:cstheme="minorHAnsi"/>
          <w:sz w:val="24"/>
          <w:szCs w:val="24"/>
          <w:lang w:val="el-GR"/>
        </w:rPr>
        <w:t>επιβάλει</w:t>
      </w:r>
      <w:r w:rsidRPr="00A51D8C">
        <w:rPr>
          <w:rFonts w:cstheme="minorHAnsi"/>
          <w:sz w:val="24"/>
          <w:szCs w:val="24"/>
          <w:lang w:val="el-GR"/>
        </w:rPr>
        <w:t xml:space="preserve"> </w:t>
      </w:r>
      <w:r w:rsidR="009D746E">
        <w:rPr>
          <w:rFonts w:cstheme="minorHAnsi"/>
          <w:sz w:val="24"/>
          <w:szCs w:val="24"/>
          <w:lang w:val="el-GR"/>
        </w:rPr>
        <w:t xml:space="preserve">την </w:t>
      </w:r>
      <w:r>
        <w:rPr>
          <w:rFonts w:cstheme="minorHAnsi"/>
          <w:sz w:val="24"/>
          <w:szCs w:val="24"/>
          <w:lang w:val="el-GR"/>
        </w:rPr>
        <w:t>υποχρέωση</w:t>
      </w:r>
      <w:r w:rsidR="00A5147D" w:rsidRPr="00A51D8C">
        <w:rPr>
          <w:rFonts w:ascii="Calibri" w:eastAsia="Calibri" w:hAnsi="Calibri" w:cs="Calibri"/>
          <w:sz w:val="24"/>
          <w:szCs w:val="24"/>
          <w:lang w:val="el-GR"/>
        </w:rPr>
        <w:t xml:space="preserve"> </w:t>
      </w:r>
      <w:r w:rsidR="009D746E">
        <w:rPr>
          <w:rFonts w:ascii="Calibri" w:eastAsia="Calibri" w:hAnsi="Calibri" w:cs="Calibri"/>
          <w:sz w:val="24"/>
          <w:szCs w:val="24"/>
          <w:lang w:val="el-GR"/>
        </w:rPr>
        <w:t xml:space="preserve">στους αξιωματούχους </w:t>
      </w:r>
      <w:r>
        <w:rPr>
          <w:rFonts w:ascii="Calibri" w:eastAsia="Calibri" w:hAnsi="Calibri" w:cs="Calibri"/>
          <w:sz w:val="24"/>
          <w:szCs w:val="24"/>
          <w:lang w:val="el-GR"/>
        </w:rPr>
        <w:t>να</w:t>
      </w:r>
      <w:r w:rsidR="00A5147D" w:rsidRPr="00A51D8C">
        <w:rPr>
          <w:rFonts w:ascii="Calibri" w:eastAsia="Calibri" w:hAnsi="Calibri" w:cs="Calibri"/>
          <w:sz w:val="24"/>
          <w:szCs w:val="24"/>
          <w:lang w:val="el-GR"/>
        </w:rPr>
        <w:t xml:space="preserve"> </w:t>
      </w:r>
      <w:r w:rsidR="009D746E">
        <w:rPr>
          <w:rFonts w:ascii="Calibri" w:eastAsia="Calibri" w:hAnsi="Calibri" w:cs="Calibri"/>
          <w:sz w:val="24"/>
          <w:szCs w:val="24"/>
          <w:lang w:val="el-GR"/>
        </w:rPr>
        <w:t xml:space="preserve">ενημερώσουν γραπτώς </w:t>
      </w:r>
      <w:r w:rsidR="00DB0C19">
        <w:rPr>
          <w:rFonts w:ascii="Calibri" w:eastAsia="Calibri" w:hAnsi="Calibri" w:cs="Calibri"/>
          <w:sz w:val="24"/>
          <w:szCs w:val="24"/>
          <w:lang w:val="el-GR"/>
        </w:rPr>
        <w:t>την</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Αρχή</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Κατά</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της</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Διαφθοράς</w:t>
      </w:r>
      <w:r w:rsidR="00A5147D" w:rsidRPr="00A51D8C">
        <w:rPr>
          <w:rFonts w:ascii="Calibri" w:eastAsia="Calibri" w:hAnsi="Calibri" w:cs="Calibri"/>
          <w:sz w:val="24"/>
          <w:szCs w:val="24"/>
          <w:lang w:val="el-GR"/>
        </w:rPr>
        <w:t xml:space="preserve">, </w:t>
      </w:r>
      <w:r>
        <w:rPr>
          <w:rFonts w:ascii="Calibri" w:eastAsia="Calibri" w:hAnsi="Calibri" w:cs="Calibri"/>
          <w:sz w:val="24"/>
          <w:szCs w:val="24"/>
          <w:lang w:val="el-GR"/>
        </w:rPr>
        <w:t>όταν</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προκύπ</w:t>
      </w:r>
      <w:r w:rsidR="00DB0C19">
        <w:rPr>
          <w:rFonts w:ascii="Calibri" w:eastAsia="Calibri" w:hAnsi="Calibri" w:cs="Calibri"/>
          <w:sz w:val="24"/>
          <w:szCs w:val="24"/>
          <w:lang w:val="el-GR"/>
        </w:rPr>
        <w:t>τ</w:t>
      </w:r>
      <w:r>
        <w:rPr>
          <w:rFonts w:ascii="Calibri" w:eastAsia="Calibri" w:hAnsi="Calibri" w:cs="Calibri"/>
          <w:sz w:val="24"/>
          <w:szCs w:val="24"/>
          <w:lang w:val="el-GR"/>
        </w:rPr>
        <w:t>ουν</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τέτοιες</w:t>
      </w:r>
      <w:r w:rsidRPr="00A51D8C">
        <w:rPr>
          <w:rFonts w:ascii="Calibri" w:eastAsia="Calibri" w:hAnsi="Calibri" w:cs="Calibri"/>
          <w:sz w:val="24"/>
          <w:szCs w:val="24"/>
          <w:lang w:val="el-GR"/>
        </w:rPr>
        <w:t xml:space="preserve"> </w:t>
      </w:r>
      <w:r>
        <w:rPr>
          <w:rFonts w:ascii="Calibri" w:eastAsia="Calibri" w:hAnsi="Calibri" w:cs="Calibri"/>
          <w:sz w:val="24"/>
          <w:szCs w:val="24"/>
          <w:lang w:val="el-GR"/>
        </w:rPr>
        <w:t>συγκρούσεις</w:t>
      </w:r>
      <w:r w:rsidR="00A5147D" w:rsidRPr="00A51D8C">
        <w:rPr>
          <w:rFonts w:ascii="Calibri" w:eastAsia="Calibri" w:hAnsi="Calibri" w:cs="Calibri"/>
          <w:sz w:val="24"/>
          <w:szCs w:val="24"/>
          <w:lang w:val="el-GR"/>
        </w:rPr>
        <w:t xml:space="preserve">, </w:t>
      </w:r>
      <w:r>
        <w:rPr>
          <w:rFonts w:ascii="Calibri" w:eastAsia="Calibri" w:hAnsi="Calibri" w:cs="Calibri"/>
          <w:sz w:val="24"/>
          <w:szCs w:val="24"/>
          <w:lang w:val="el-GR"/>
        </w:rPr>
        <w:t>ενώ τους υποχρεών</w:t>
      </w:r>
      <w:r w:rsidR="000E5809">
        <w:rPr>
          <w:rFonts w:ascii="Calibri" w:eastAsia="Calibri" w:hAnsi="Calibri" w:cs="Calibri"/>
          <w:sz w:val="24"/>
          <w:szCs w:val="24"/>
          <w:lang w:val="el-GR"/>
        </w:rPr>
        <w:t>ει</w:t>
      </w:r>
      <w:r w:rsidR="00A35FA2">
        <w:rPr>
          <w:rFonts w:ascii="Calibri" w:eastAsia="Calibri" w:hAnsi="Calibri" w:cs="Calibri"/>
          <w:sz w:val="24"/>
          <w:szCs w:val="24"/>
          <w:lang w:val="el-GR"/>
        </w:rPr>
        <w:t xml:space="preserve"> να απέχουν από μια διαδικασία λήψης αποφάσεων όταν</w:t>
      </w:r>
      <w:r w:rsidR="00A5147D" w:rsidRPr="00A51D8C">
        <w:rPr>
          <w:rFonts w:ascii="Calibri" w:eastAsia="Calibri" w:hAnsi="Calibri" w:cs="Calibri"/>
          <w:sz w:val="24"/>
          <w:szCs w:val="24"/>
          <w:lang w:val="el-GR"/>
        </w:rPr>
        <w:t xml:space="preserve"> </w:t>
      </w:r>
      <w:r w:rsidR="00A35FA2">
        <w:rPr>
          <w:rFonts w:ascii="Calibri" w:eastAsia="Calibri" w:hAnsi="Calibri" w:cs="Calibri"/>
          <w:sz w:val="24"/>
          <w:szCs w:val="24"/>
          <w:lang w:val="el-GR"/>
        </w:rPr>
        <w:t>αυτοί</w:t>
      </w:r>
      <w:r w:rsidR="00A5147D" w:rsidRPr="00A51D8C">
        <w:rPr>
          <w:rFonts w:ascii="Calibri" w:eastAsia="Calibri" w:hAnsi="Calibri" w:cs="Calibri"/>
          <w:sz w:val="24"/>
          <w:szCs w:val="24"/>
          <w:lang w:val="el-GR"/>
        </w:rPr>
        <w:t xml:space="preserve"> (</w:t>
      </w:r>
      <w:r w:rsidR="00A35FA2">
        <w:rPr>
          <w:rFonts w:ascii="Calibri" w:eastAsia="Calibri" w:hAnsi="Calibri" w:cs="Calibri"/>
          <w:sz w:val="24"/>
          <w:szCs w:val="24"/>
          <w:lang w:val="el-GR"/>
        </w:rPr>
        <w:t xml:space="preserve">ή τα άτομα που συνδέονται </w:t>
      </w:r>
      <w:r w:rsidR="0064188C">
        <w:rPr>
          <w:rFonts w:ascii="Calibri" w:eastAsia="Calibri" w:hAnsi="Calibri" w:cs="Calibri"/>
          <w:sz w:val="24"/>
          <w:szCs w:val="24"/>
          <w:lang w:val="el-GR"/>
        </w:rPr>
        <w:t>μ ’αυτούς</w:t>
      </w:r>
      <w:r w:rsidR="00A5147D" w:rsidRPr="00A51D8C">
        <w:rPr>
          <w:rFonts w:ascii="Calibri" w:eastAsia="Calibri" w:hAnsi="Calibri" w:cs="Calibri"/>
          <w:sz w:val="24"/>
          <w:szCs w:val="24"/>
          <w:lang w:val="el-GR"/>
        </w:rPr>
        <w:t xml:space="preserve">) </w:t>
      </w:r>
      <w:r w:rsidR="00A35FA2">
        <w:rPr>
          <w:rFonts w:ascii="Calibri" w:eastAsia="Calibri" w:hAnsi="Calibri" w:cs="Calibri"/>
          <w:sz w:val="24"/>
          <w:szCs w:val="24"/>
          <w:lang w:val="el-GR"/>
        </w:rPr>
        <w:t>έχουν προσωπικό συμφέρον</w:t>
      </w:r>
      <w:r w:rsidR="00A5147D" w:rsidRPr="00A51D8C">
        <w:rPr>
          <w:rFonts w:ascii="Calibri" w:eastAsia="Calibri" w:hAnsi="Calibri" w:cs="Calibri"/>
          <w:sz w:val="24"/>
          <w:szCs w:val="24"/>
          <w:lang w:val="el-GR"/>
        </w:rPr>
        <w:t xml:space="preserve"> </w:t>
      </w:r>
      <w:r w:rsidR="00C50B4F">
        <w:rPr>
          <w:rFonts w:ascii="Calibri" w:eastAsia="Calibri" w:hAnsi="Calibri" w:cs="Calibri"/>
          <w:sz w:val="24"/>
          <w:szCs w:val="24"/>
          <w:lang w:val="el-GR"/>
        </w:rPr>
        <w:t xml:space="preserve">από την έκβαση </w:t>
      </w:r>
      <w:r w:rsidR="00A35FA2">
        <w:rPr>
          <w:rFonts w:ascii="Calibri" w:eastAsia="Calibri" w:hAnsi="Calibri" w:cs="Calibri"/>
          <w:sz w:val="24"/>
          <w:szCs w:val="24"/>
          <w:lang w:val="el-GR"/>
        </w:rPr>
        <w:t>της απόφασης</w:t>
      </w:r>
      <w:r w:rsidR="00A5147D" w:rsidRPr="00A51D8C">
        <w:rPr>
          <w:rFonts w:ascii="Calibri" w:eastAsia="Calibri" w:hAnsi="Calibri" w:cs="Calibri"/>
          <w:sz w:val="24"/>
          <w:szCs w:val="24"/>
          <w:lang w:val="el-GR"/>
        </w:rPr>
        <w:t xml:space="preserve">. </w:t>
      </w:r>
      <w:r w:rsidR="00A35FA2">
        <w:rPr>
          <w:rFonts w:ascii="Calibri" w:eastAsia="Calibri" w:hAnsi="Calibri" w:cs="Calibri"/>
          <w:sz w:val="24"/>
          <w:szCs w:val="24"/>
          <w:lang w:val="el-GR"/>
        </w:rPr>
        <w:t>Με</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την</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επιφύλαξη</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των</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προνοιών</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του</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Γενικού</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Κανονισμού</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Προστασίας</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Δεδομένων</w:t>
      </w:r>
      <w:r w:rsidR="00A5147D" w:rsidRPr="00A35FA2">
        <w:rPr>
          <w:rFonts w:ascii="Calibri" w:eastAsia="Calibri" w:hAnsi="Calibri" w:cs="Calibri"/>
          <w:sz w:val="24"/>
          <w:szCs w:val="24"/>
          <w:lang w:val="el-GR"/>
        </w:rPr>
        <w:t xml:space="preserve"> </w:t>
      </w:r>
      <w:r w:rsidR="00A35FA2" w:rsidRPr="00A35FA2">
        <w:rPr>
          <w:rFonts w:ascii="Calibri" w:eastAsia="Calibri" w:hAnsi="Calibri" w:cs="Calibri"/>
          <w:sz w:val="24"/>
          <w:szCs w:val="24"/>
          <w:lang w:val="el-GR"/>
        </w:rPr>
        <w:t>(</w:t>
      </w:r>
      <w:r w:rsidR="00A5147D" w:rsidRPr="004E251E">
        <w:rPr>
          <w:rFonts w:ascii="Calibri" w:eastAsia="Calibri" w:hAnsi="Calibri" w:cs="Calibri"/>
          <w:sz w:val="24"/>
          <w:szCs w:val="24"/>
        </w:rPr>
        <w:t>GDPR</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και</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το</w:t>
      </w:r>
      <w:r w:rsidR="000E5809">
        <w:rPr>
          <w:rFonts w:ascii="Calibri" w:eastAsia="Calibri" w:hAnsi="Calibri" w:cs="Calibri"/>
          <w:sz w:val="24"/>
          <w:szCs w:val="24"/>
          <w:lang w:val="el-GR"/>
        </w:rPr>
        <w:t>υ</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Νόμο</w:t>
      </w:r>
      <w:r w:rsidR="000E5809">
        <w:rPr>
          <w:rFonts w:ascii="Calibri" w:eastAsia="Calibri" w:hAnsi="Calibri" w:cs="Calibri"/>
          <w:sz w:val="24"/>
          <w:szCs w:val="24"/>
          <w:lang w:val="el-GR"/>
        </w:rPr>
        <w:t>υ</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περί</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της</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Προστασίας</w:t>
      </w:r>
      <w:r w:rsidR="00A5147D" w:rsidRPr="00A35FA2">
        <w:rPr>
          <w:rFonts w:ascii="Calibri" w:eastAsia="Calibri" w:hAnsi="Calibri" w:cs="Calibri"/>
          <w:sz w:val="24"/>
          <w:szCs w:val="24"/>
          <w:lang w:val="el-GR"/>
        </w:rPr>
        <w:t xml:space="preserve"> </w:t>
      </w:r>
      <w:r w:rsidR="000E5809">
        <w:rPr>
          <w:rFonts w:ascii="Calibri" w:eastAsia="Calibri" w:hAnsi="Calibri" w:cs="Calibri"/>
          <w:sz w:val="24"/>
          <w:szCs w:val="24"/>
          <w:lang w:val="el-GR"/>
        </w:rPr>
        <w:t xml:space="preserve">Φυσικών Προσώπων έναντι </w:t>
      </w:r>
      <w:r w:rsidR="00A35FA2">
        <w:rPr>
          <w:rFonts w:ascii="Calibri" w:eastAsia="Calibri" w:hAnsi="Calibri" w:cs="Calibri"/>
          <w:sz w:val="24"/>
          <w:szCs w:val="24"/>
          <w:lang w:val="el-GR"/>
        </w:rPr>
        <w:t>της</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Επεξεργασίας</w:t>
      </w:r>
      <w:r w:rsidR="00A35FA2" w:rsidRPr="00A35FA2">
        <w:rPr>
          <w:rFonts w:ascii="Calibri" w:eastAsia="Calibri" w:hAnsi="Calibri" w:cs="Calibri"/>
          <w:sz w:val="24"/>
          <w:szCs w:val="24"/>
          <w:lang w:val="el-GR"/>
        </w:rPr>
        <w:t xml:space="preserve"> </w:t>
      </w:r>
      <w:r w:rsidR="000E5809">
        <w:rPr>
          <w:rFonts w:ascii="Calibri" w:eastAsia="Calibri" w:hAnsi="Calibri" w:cs="Calibri"/>
          <w:sz w:val="24"/>
          <w:szCs w:val="24"/>
          <w:lang w:val="el-GR"/>
        </w:rPr>
        <w:t xml:space="preserve">των </w:t>
      </w:r>
      <w:r w:rsidR="00A35FA2">
        <w:rPr>
          <w:rFonts w:ascii="Calibri" w:eastAsia="Calibri" w:hAnsi="Calibri" w:cs="Calibri"/>
          <w:sz w:val="24"/>
          <w:szCs w:val="24"/>
          <w:lang w:val="el-GR"/>
        </w:rPr>
        <w:t>Δεδομένων</w:t>
      </w:r>
      <w:r w:rsidR="00A5147D" w:rsidRPr="00A35FA2">
        <w:rPr>
          <w:rFonts w:ascii="Calibri" w:eastAsia="Calibri" w:hAnsi="Calibri" w:cs="Calibri"/>
          <w:sz w:val="24"/>
          <w:szCs w:val="24"/>
          <w:lang w:val="el-GR"/>
        </w:rPr>
        <w:t xml:space="preserve"> </w:t>
      </w:r>
      <w:r w:rsidR="000E5809">
        <w:rPr>
          <w:rFonts w:ascii="Calibri" w:eastAsia="Calibri" w:hAnsi="Calibri" w:cs="Calibri"/>
          <w:sz w:val="24"/>
          <w:szCs w:val="24"/>
          <w:lang w:val="el-GR"/>
        </w:rPr>
        <w:t xml:space="preserve">Προσωπικού Χαρακτήρα </w:t>
      </w:r>
      <w:r w:rsidR="00A35FA2">
        <w:rPr>
          <w:rFonts w:ascii="Calibri" w:eastAsia="Calibri" w:hAnsi="Calibri" w:cs="Calibri"/>
          <w:sz w:val="24"/>
          <w:szCs w:val="24"/>
          <w:lang w:val="el-GR"/>
        </w:rPr>
        <w:t>και</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τη</w:t>
      </w:r>
      <w:r w:rsidR="000E5809">
        <w:rPr>
          <w:rFonts w:ascii="Calibri" w:eastAsia="Calibri" w:hAnsi="Calibri" w:cs="Calibri"/>
          <w:sz w:val="24"/>
          <w:szCs w:val="24"/>
          <w:lang w:val="el-GR"/>
        </w:rPr>
        <w:t>ς</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Ελεύθερη</w:t>
      </w:r>
      <w:r w:rsidR="000E5809">
        <w:rPr>
          <w:rFonts w:ascii="Calibri" w:eastAsia="Calibri" w:hAnsi="Calibri" w:cs="Calibri"/>
          <w:sz w:val="24"/>
          <w:szCs w:val="24"/>
          <w:lang w:val="el-GR"/>
        </w:rPr>
        <w:t>ς</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Κυκλοφορία</w:t>
      </w:r>
      <w:r w:rsidR="000E5809">
        <w:rPr>
          <w:rFonts w:ascii="Calibri" w:eastAsia="Calibri" w:hAnsi="Calibri" w:cs="Calibri"/>
          <w:sz w:val="24"/>
          <w:szCs w:val="24"/>
          <w:lang w:val="el-GR"/>
        </w:rPr>
        <w:t>ς</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των</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Δεδομένων αυτών</w:t>
      </w:r>
      <w:r w:rsidR="00A5147D"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η Αρχή Κατά της Διαφθοράς</w:t>
      </w:r>
      <w:r w:rsidR="00A5147D"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μπορεί να αναρτήσει πάνω στην επίσημη ιστοσελίδα της</w:t>
      </w:r>
      <w:r w:rsidR="00A5147D"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τα άτομα που έχουν αποκλεισθεί από την διαδικασία λήψης δημοσίων αποφάσεων</w:t>
      </w:r>
      <w:r w:rsidR="00A5147D"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χωρίς να αποκαλύπτει λεπτομέρειες των λόγων που επέβαλαν την εξαίρεση τους</w:t>
      </w:r>
      <w:r w:rsidR="00A5147D"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Δεδομένου</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της</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πρόσφατης</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ίδρυσης</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της</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Αρχής</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Κατά</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της</w:t>
      </w:r>
      <w:r w:rsidR="00A35FA2"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Διαφθοράς</w:t>
      </w:r>
      <w:r w:rsidR="00A5147D" w:rsidRPr="00A35FA2">
        <w:rPr>
          <w:rFonts w:ascii="Calibri" w:eastAsia="Calibri" w:hAnsi="Calibri" w:cs="Calibri"/>
          <w:sz w:val="24"/>
          <w:szCs w:val="24"/>
          <w:lang w:val="el-GR"/>
        </w:rPr>
        <w:t xml:space="preserve">, </w:t>
      </w:r>
      <w:r w:rsidR="00A35FA2">
        <w:rPr>
          <w:rFonts w:ascii="Calibri" w:eastAsia="Calibri" w:hAnsi="Calibri" w:cs="Calibri"/>
          <w:sz w:val="24"/>
          <w:szCs w:val="24"/>
          <w:lang w:val="el-GR"/>
        </w:rPr>
        <w:t>δεν υπάρχει πρακτική μέχρι τώρα</w:t>
      </w:r>
      <w:r w:rsidR="000E5809">
        <w:rPr>
          <w:rFonts w:ascii="Calibri" w:eastAsia="Calibri" w:hAnsi="Calibri" w:cs="Calibri"/>
          <w:sz w:val="24"/>
          <w:szCs w:val="24"/>
          <w:lang w:val="el-GR"/>
        </w:rPr>
        <w:t xml:space="preserve"> σε σχέση με αυτό</w:t>
      </w:r>
      <w:r w:rsidR="00A5147D" w:rsidRPr="00A35FA2">
        <w:rPr>
          <w:rFonts w:ascii="Calibri" w:eastAsia="Calibri" w:hAnsi="Calibri" w:cs="Calibri"/>
          <w:sz w:val="24"/>
          <w:szCs w:val="24"/>
          <w:lang w:val="el-GR"/>
        </w:rPr>
        <w:t xml:space="preserve">. </w:t>
      </w:r>
    </w:p>
    <w:p w14:paraId="70FC1865" w14:textId="77777777" w:rsidR="00A5147D" w:rsidRPr="00A35FA2" w:rsidRDefault="00A5147D" w:rsidP="00A5147D">
      <w:pPr>
        <w:pStyle w:val="ListParagraph"/>
        <w:rPr>
          <w:rFonts w:cstheme="minorHAnsi"/>
          <w:sz w:val="24"/>
          <w:szCs w:val="24"/>
          <w:lang w:val="el-GR"/>
        </w:rPr>
      </w:pPr>
    </w:p>
    <w:p w14:paraId="1240CBC3" w14:textId="080399B9" w:rsidR="00A5147D" w:rsidRPr="001156AC" w:rsidRDefault="00A35FA2"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n-US"/>
        </w:rPr>
        <w:t>H</w:t>
      </w:r>
      <w:r w:rsidR="00A5147D" w:rsidRPr="001156AC">
        <w:rPr>
          <w:rFonts w:cstheme="minorHAnsi"/>
          <w:sz w:val="24"/>
          <w:szCs w:val="24"/>
          <w:lang w:val="el-GR"/>
        </w:rPr>
        <w:t xml:space="preserve"> </w:t>
      </w:r>
      <w:r w:rsidR="00A5147D" w:rsidRPr="004E251E">
        <w:rPr>
          <w:rFonts w:cstheme="minorHAnsi"/>
          <w:sz w:val="24"/>
          <w:szCs w:val="24"/>
        </w:rPr>
        <w:t>GET</w:t>
      </w:r>
      <w:r w:rsidR="00A5147D" w:rsidRPr="001156AC">
        <w:rPr>
          <w:rFonts w:cstheme="minorHAnsi"/>
          <w:sz w:val="24"/>
          <w:szCs w:val="24"/>
          <w:lang w:val="el-GR"/>
        </w:rPr>
        <w:t xml:space="preserve"> </w:t>
      </w:r>
      <w:r>
        <w:rPr>
          <w:rFonts w:cstheme="minorHAnsi"/>
          <w:sz w:val="24"/>
          <w:szCs w:val="24"/>
          <w:lang w:val="el-GR"/>
        </w:rPr>
        <w:t>καλωσορίζει</w:t>
      </w:r>
      <w:r w:rsidRPr="001156AC">
        <w:rPr>
          <w:rFonts w:cstheme="minorHAnsi"/>
          <w:sz w:val="24"/>
          <w:szCs w:val="24"/>
          <w:lang w:val="el-GR"/>
        </w:rPr>
        <w:t xml:space="preserve"> </w:t>
      </w:r>
      <w:r>
        <w:rPr>
          <w:rFonts w:cstheme="minorHAnsi"/>
          <w:sz w:val="24"/>
          <w:szCs w:val="24"/>
          <w:lang w:val="el-GR"/>
        </w:rPr>
        <w:t>την</w:t>
      </w:r>
      <w:r w:rsidRPr="001156AC">
        <w:rPr>
          <w:rFonts w:cstheme="minorHAnsi"/>
          <w:sz w:val="24"/>
          <w:szCs w:val="24"/>
          <w:lang w:val="el-GR"/>
        </w:rPr>
        <w:t xml:space="preserve"> </w:t>
      </w:r>
      <w:r>
        <w:rPr>
          <w:rFonts w:cstheme="minorHAnsi"/>
          <w:sz w:val="24"/>
          <w:szCs w:val="24"/>
          <w:lang w:val="el-GR"/>
        </w:rPr>
        <w:t>εισαγωγή</w:t>
      </w:r>
      <w:r w:rsidRPr="001156AC">
        <w:rPr>
          <w:rFonts w:cstheme="minorHAnsi"/>
          <w:sz w:val="24"/>
          <w:szCs w:val="24"/>
          <w:lang w:val="el-GR"/>
        </w:rPr>
        <w:t xml:space="preserve"> </w:t>
      </w:r>
      <w:r w:rsidR="00197F43">
        <w:rPr>
          <w:rFonts w:cstheme="minorHAnsi"/>
          <w:sz w:val="24"/>
          <w:szCs w:val="24"/>
          <w:lang w:val="el-GR"/>
        </w:rPr>
        <w:t xml:space="preserve">της </w:t>
      </w:r>
      <w:r>
        <w:rPr>
          <w:rFonts w:cstheme="minorHAnsi"/>
          <w:sz w:val="24"/>
          <w:szCs w:val="24"/>
          <w:lang w:val="el-GR"/>
        </w:rPr>
        <w:t>υποχρέωσης</w:t>
      </w:r>
      <w:r w:rsidR="001156AC" w:rsidRPr="001156AC">
        <w:rPr>
          <w:rFonts w:cstheme="minorHAnsi"/>
          <w:sz w:val="24"/>
          <w:szCs w:val="24"/>
          <w:lang w:val="el-GR"/>
        </w:rPr>
        <w:t xml:space="preserve"> </w:t>
      </w:r>
      <w:r w:rsidR="001156AC" w:rsidRPr="004E251E">
        <w:rPr>
          <w:rFonts w:cstheme="minorHAnsi"/>
          <w:sz w:val="24"/>
          <w:szCs w:val="24"/>
        </w:rPr>
        <w:t>ad</w:t>
      </w:r>
      <w:r w:rsidR="001156AC" w:rsidRPr="001156AC">
        <w:rPr>
          <w:rFonts w:cstheme="minorHAnsi"/>
          <w:sz w:val="24"/>
          <w:szCs w:val="24"/>
          <w:lang w:val="el-GR"/>
        </w:rPr>
        <w:t>-</w:t>
      </w:r>
      <w:r w:rsidR="001156AC" w:rsidRPr="004E251E">
        <w:rPr>
          <w:rFonts w:cstheme="minorHAnsi"/>
          <w:sz w:val="24"/>
          <w:szCs w:val="24"/>
        </w:rPr>
        <w:t>hoc</w:t>
      </w:r>
      <w:r w:rsidR="001156AC" w:rsidRPr="001156AC">
        <w:rPr>
          <w:rFonts w:cstheme="minorHAnsi"/>
          <w:sz w:val="24"/>
          <w:szCs w:val="24"/>
          <w:lang w:val="el-GR"/>
        </w:rPr>
        <w:t xml:space="preserve"> </w:t>
      </w:r>
      <w:r w:rsidR="001156AC">
        <w:rPr>
          <w:rFonts w:cstheme="minorHAnsi"/>
          <w:sz w:val="24"/>
          <w:szCs w:val="24"/>
          <w:lang w:val="el-GR"/>
        </w:rPr>
        <w:t>αποκάλυψης</w:t>
      </w:r>
      <w:r w:rsidR="00A5147D" w:rsidRPr="001156AC">
        <w:rPr>
          <w:rFonts w:cstheme="minorHAnsi"/>
          <w:sz w:val="24"/>
          <w:szCs w:val="24"/>
          <w:lang w:val="el-GR"/>
        </w:rPr>
        <w:t xml:space="preserve"> </w:t>
      </w:r>
      <w:r w:rsidR="001156AC">
        <w:rPr>
          <w:rFonts w:cstheme="minorHAnsi"/>
          <w:sz w:val="24"/>
          <w:szCs w:val="24"/>
          <w:lang w:val="el-GR"/>
        </w:rPr>
        <w:t>όποτε</w:t>
      </w:r>
      <w:r w:rsidR="001156AC" w:rsidRPr="001156AC">
        <w:rPr>
          <w:rFonts w:cstheme="minorHAnsi"/>
          <w:sz w:val="24"/>
          <w:szCs w:val="24"/>
          <w:lang w:val="el-GR"/>
        </w:rPr>
        <w:t xml:space="preserve"> </w:t>
      </w:r>
      <w:r w:rsidR="00197F43">
        <w:rPr>
          <w:rFonts w:cstheme="minorHAnsi"/>
          <w:sz w:val="24"/>
          <w:szCs w:val="24"/>
          <w:lang w:val="el-GR"/>
        </w:rPr>
        <w:t xml:space="preserve">προκύπτουν </w:t>
      </w:r>
      <w:r w:rsidR="001156AC">
        <w:rPr>
          <w:rFonts w:cstheme="minorHAnsi"/>
          <w:sz w:val="24"/>
          <w:szCs w:val="24"/>
          <w:lang w:val="el-GR"/>
        </w:rPr>
        <w:t>κατ</w:t>
      </w:r>
      <w:r w:rsidR="00DB0C19">
        <w:rPr>
          <w:rFonts w:cstheme="minorHAnsi"/>
          <w:sz w:val="24"/>
          <w:szCs w:val="24"/>
          <w:lang w:val="el-GR"/>
        </w:rPr>
        <w:t>α</w:t>
      </w:r>
      <w:r w:rsidR="001156AC">
        <w:rPr>
          <w:rFonts w:cstheme="minorHAnsi"/>
          <w:sz w:val="24"/>
          <w:szCs w:val="24"/>
          <w:lang w:val="el-GR"/>
        </w:rPr>
        <w:t>στ</w:t>
      </w:r>
      <w:r w:rsidR="00DB0C19">
        <w:rPr>
          <w:rFonts w:cstheme="minorHAnsi"/>
          <w:sz w:val="24"/>
          <w:szCs w:val="24"/>
          <w:lang w:val="el-GR"/>
        </w:rPr>
        <w:t>ά</w:t>
      </w:r>
      <w:r w:rsidR="001156AC">
        <w:rPr>
          <w:rFonts w:cstheme="minorHAnsi"/>
          <w:sz w:val="24"/>
          <w:szCs w:val="24"/>
          <w:lang w:val="el-GR"/>
        </w:rPr>
        <w:t>σεις</w:t>
      </w:r>
      <w:r w:rsidR="001156AC" w:rsidRPr="001156AC">
        <w:rPr>
          <w:rFonts w:cstheme="minorHAnsi"/>
          <w:sz w:val="24"/>
          <w:szCs w:val="24"/>
          <w:lang w:val="el-GR"/>
        </w:rPr>
        <w:t xml:space="preserve"> </w:t>
      </w:r>
      <w:r w:rsidR="000E5809">
        <w:rPr>
          <w:rFonts w:cstheme="minorHAnsi"/>
          <w:sz w:val="24"/>
          <w:szCs w:val="24"/>
          <w:lang w:val="el-GR"/>
        </w:rPr>
        <w:t xml:space="preserve">σύγκρουσης </w:t>
      </w:r>
      <w:r w:rsidR="001156AC">
        <w:rPr>
          <w:rFonts w:cstheme="minorHAnsi"/>
          <w:sz w:val="24"/>
          <w:szCs w:val="24"/>
          <w:lang w:val="el-GR"/>
        </w:rPr>
        <w:t>μεταξύ τ</w:t>
      </w:r>
      <w:r w:rsidR="000E5809">
        <w:rPr>
          <w:rFonts w:cstheme="minorHAnsi"/>
          <w:sz w:val="24"/>
          <w:szCs w:val="24"/>
          <w:lang w:val="el-GR"/>
        </w:rPr>
        <w:t>ων</w:t>
      </w:r>
      <w:r w:rsidR="001156AC">
        <w:rPr>
          <w:rFonts w:cstheme="minorHAnsi"/>
          <w:sz w:val="24"/>
          <w:szCs w:val="24"/>
          <w:lang w:val="el-GR"/>
        </w:rPr>
        <w:t xml:space="preserve"> ιδιωτικ</w:t>
      </w:r>
      <w:r w:rsidR="000E5809">
        <w:rPr>
          <w:rFonts w:cstheme="minorHAnsi"/>
          <w:sz w:val="24"/>
          <w:szCs w:val="24"/>
          <w:lang w:val="el-GR"/>
        </w:rPr>
        <w:t>ών</w:t>
      </w:r>
      <w:r w:rsidR="001156AC">
        <w:rPr>
          <w:rFonts w:cstheme="minorHAnsi"/>
          <w:sz w:val="24"/>
          <w:szCs w:val="24"/>
          <w:lang w:val="el-GR"/>
        </w:rPr>
        <w:t xml:space="preserve"> </w:t>
      </w:r>
      <w:r w:rsidR="000E5809">
        <w:rPr>
          <w:rFonts w:cstheme="minorHAnsi"/>
          <w:sz w:val="24"/>
          <w:szCs w:val="24"/>
          <w:lang w:val="el-GR"/>
        </w:rPr>
        <w:t xml:space="preserve">συμφερόντων </w:t>
      </w:r>
      <w:r w:rsidR="001156AC">
        <w:rPr>
          <w:rFonts w:cstheme="minorHAnsi"/>
          <w:sz w:val="24"/>
          <w:szCs w:val="24"/>
          <w:lang w:val="el-GR"/>
        </w:rPr>
        <w:t xml:space="preserve">και </w:t>
      </w:r>
      <w:r w:rsidR="000E5809">
        <w:rPr>
          <w:rFonts w:cstheme="minorHAnsi"/>
          <w:sz w:val="24"/>
          <w:szCs w:val="24"/>
          <w:lang w:val="el-GR"/>
        </w:rPr>
        <w:t xml:space="preserve">των υπηρεσιακών καθηκόντων </w:t>
      </w:r>
      <w:r w:rsidR="001156AC">
        <w:rPr>
          <w:rFonts w:cstheme="minorHAnsi"/>
          <w:sz w:val="24"/>
          <w:szCs w:val="24"/>
          <w:lang w:val="el-GR"/>
        </w:rPr>
        <w:t>τους</w:t>
      </w:r>
      <w:r w:rsidR="00A5147D" w:rsidRPr="001156AC">
        <w:rPr>
          <w:rFonts w:cstheme="minorHAnsi"/>
          <w:sz w:val="24"/>
          <w:szCs w:val="24"/>
          <w:lang w:val="el-GR"/>
        </w:rPr>
        <w:t xml:space="preserve">. </w:t>
      </w:r>
      <w:r w:rsidR="001156AC">
        <w:rPr>
          <w:rFonts w:cstheme="minorHAnsi"/>
          <w:sz w:val="24"/>
          <w:szCs w:val="24"/>
          <w:lang w:val="el-GR"/>
        </w:rPr>
        <w:t>Αυτή</w:t>
      </w:r>
      <w:r w:rsidR="001156AC" w:rsidRPr="001156AC">
        <w:rPr>
          <w:rFonts w:cstheme="minorHAnsi"/>
          <w:sz w:val="24"/>
          <w:szCs w:val="24"/>
          <w:lang w:val="el-GR"/>
        </w:rPr>
        <w:t xml:space="preserve"> </w:t>
      </w:r>
      <w:r w:rsidR="001156AC">
        <w:rPr>
          <w:rFonts w:cstheme="minorHAnsi"/>
          <w:sz w:val="24"/>
          <w:szCs w:val="24"/>
          <w:lang w:val="el-GR"/>
        </w:rPr>
        <w:t>ήταν</w:t>
      </w:r>
      <w:r w:rsidR="001156AC" w:rsidRPr="001156AC">
        <w:rPr>
          <w:rFonts w:cstheme="minorHAnsi"/>
          <w:sz w:val="24"/>
          <w:szCs w:val="24"/>
          <w:lang w:val="el-GR"/>
        </w:rPr>
        <w:t xml:space="preserve"> </w:t>
      </w:r>
      <w:r w:rsidR="001156AC">
        <w:rPr>
          <w:rFonts w:cstheme="minorHAnsi"/>
          <w:sz w:val="24"/>
          <w:szCs w:val="24"/>
          <w:lang w:val="el-GR"/>
        </w:rPr>
        <w:t>μια</w:t>
      </w:r>
      <w:r w:rsidR="001156AC" w:rsidRPr="001156AC">
        <w:rPr>
          <w:rFonts w:cstheme="minorHAnsi"/>
          <w:sz w:val="24"/>
          <w:szCs w:val="24"/>
          <w:lang w:val="el-GR"/>
        </w:rPr>
        <w:t xml:space="preserve"> </w:t>
      </w:r>
      <w:r w:rsidR="001156AC">
        <w:rPr>
          <w:rFonts w:cstheme="minorHAnsi"/>
          <w:sz w:val="24"/>
          <w:szCs w:val="24"/>
          <w:lang w:val="el-GR"/>
        </w:rPr>
        <w:t>σημαντική</w:t>
      </w:r>
      <w:r w:rsidR="001156AC" w:rsidRPr="001156AC">
        <w:rPr>
          <w:rFonts w:cstheme="minorHAnsi"/>
          <w:sz w:val="24"/>
          <w:szCs w:val="24"/>
          <w:lang w:val="el-GR"/>
        </w:rPr>
        <w:t xml:space="preserve"> </w:t>
      </w:r>
      <w:r w:rsidR="001156AC">
        <w:rPr>
          <w:rFonts w:cstheme="minorHAnsi"/>
          <w:sz w:val="24"/>
          <w:szCs w:val="24"/>
          <w:lang w:val="el-GR"/>
        </w:rPr>
        <w:t>ανησυχία</w:t>
      </w:r>
      <w:r w:rsidR="001156AC" w:rsidRPr="001156AC">
        <w:rPr>
          <w:rFonts w:cstheme="minorHAnsi"/>
          <w:sz w:val="24"/>
          <w:szCs w:val="24"/>
          <w:lang w:val="el-GR"/>
        </w:rPr>
        <w:t xml:space="preserve"> </w:t>
      </w:r>
      <w:r w:rsidR="001156AC">
        <w:rPr>
          <w:rFonts w:cstheme="minorHAnsi"/>
          <w:sz w:val="24"/>
          <w:szCs w:val="24"/>
          <w:lang w:val="el-GR"/>
        </w:rPr>
        <w:t>της</w:t>
      </w:r>
      <w:r w:rsidR="00A5147D" w:rsidRPr="001156AC">
        <w:rPr>
          <w:rFonts w:cstheme="minorHAnsi"/>
          <w:sz w:val="24"/>
          <w:szCs w:val="24"/>
          <w:lang w:val="el-GR"/>
        </w:rPr>
        <w:t xml:space="preserve"> </w:t>
      </w:r>
      <w:r w:rsidR="00A5147D" w:rsidRPr="004E251E">
        <w:rPr>
          <w:rFonts w:cstheme="minorHAnsi"/>
          <w:sz w:val="24"/>
          <w:szCs w:val="24"/>
        </w:rPr>
        <w:t>GRECO</w:t>
      </w:r>
      <w:r w:rsidR="00141766" w:rsidRPr="001156AC">
        <w:rPr>
          <w:rFonts w:cstheme="minorHAnsi"/>
          <w:sz w:val="24"/>
          <w:szCs w:val="24"/>
          <w:lang w:val="el-GR"/>
        </w:rPr>
        <w:t>,</w:t>
      </w:r>
      <w:r w:rsidR="00A5147D" w:rsidRPr="001156AC">
        <w:rPr>
          <w:rFonts w:cstheme="minorHAnsi"/>
          <w:sz w:val="24"/>
          <w:szCs w:val="24"/>
          <w:lang w:val="el-GR"/>
        </w:rPr>
        <w:t xml:space="preserve"> </w:t>
      </w:r>
      <w:r w:rsidR="001156AC">
        <w:rPr>
          <w:rFonts w:cstheme="minorHAnsi"/>
          <w:sz w:val="24"/>
          <w:szCs w:val="24"/>
          <w:lang w:val="el-GR"/>
        </w:rPr>
        <w:t>που</w:t>
      </w:r>
      <w:r w:rsidR="001156AC" w:rsidRPr="001156AC">
        <w:rPr>
          <w:rFonts w:cstheme="minorHAnsi"/>
          <w:sz w:val="24"/>
          <w:szCs w:val="24"/>
          <w:lang w:val="el-GR"/>
        </w:rPr>
        <w:t xml:space="preserve"> </w:t>
      </w:r>
      <w:r w:rsidR="001156AC">
        <w:rPr>
          <w:rFonts w:cstheme="minorHAnsi"/>
          <w:sz w:val="24"/>
          <w:szCs w:val="24"/>
          <w:lang w:val="el-GR"/>
        </w:rPr>
        <w:t>είχε</w:t>
      </w:r>
      <w:r w:rsidR="001156AC" w:rsidRPr="001156AC">
        <w:rPr>
          <w:rFonts w:cstheme="minorHAnsi"/>
          <w:sz w:val="24"/>
          <w:szCs w:val="24"/>
          <w:lang w:val="el-GR"/>
        </w:rPr>
        <w:t xml:space="preserve"> </w:t>
      </w:r>
      <w:r w:rsidR="001156AC">
        <w:rPr>
          <w:rFonts w:cstheme="minorHAnsi"/>
          <w:sz w:val="24"/>
          <w:szCs w:val="24"/>
          <w:lang w:val="el-GR"/>
        </w:rPr>
        <w:t>σημειώσει</w:t>
      </w:r>
      <w:r w:rsidR="001156AC" w:rsidRPr="001156AC">
        <w:rPr>
          <w:rFonts w:cstheme="minorHAnsi"/>
          <w:sz w:val="24"/>
          <w:szCs w:val="24"/>
          <w:lang w:val="el-GR"/>
        </w:rPr>
        <w:t xml:space="preserve"> </w:t>
      </w:r>
      <w:r w:rsidR="001156AC">
        <w:rPr>
          <w:rFonts w:cstheme="minorHAnsi"/>
          <w:sz w:val="24"/>
          <w:szCs w:val="24"/>
          <w:lang w:val="el-GR"/>
        </w:rPr>
        <w:t>σε</w:t>
      </w:r>
      <w:r w:rsidR="001156AC" w:rsidRPr="001156AC">
        <w:rPr>
          <w:rFonts w:cstheme="minorHAnsi"/>
          <w:sz w:val="24"/>
          <w:szCs w:val="24"/>
          <w:lang w:val="el-GR"/>
        </w:rPr>
        <w:t xml:space="preserve"> </w:t>
      </w:r>
      <w:r w:rsidR="001156AC">
        <w:rPr>
          <w:rFonts w:cstheme="minorHAnsi"/>
          <w:sz w:val="24"/>
          <w:szCs w:val="24"/>
          <w:lang w:val="el-GR"/>
        </w:rPr>
        <w:t>προηγούμενες</w:t>
      </w:r>
      <w:r w:rsidR="001156AC" w:rsidRPr="001156AC">
        <w:rPr>
          <w:rFonts w:cstheme="minorHAnsi"/>
          <w:sz w:val="24"/>
          <w:szCs w:val="24"/>
          <w:lang w:val="el-GR"/>
        </w:rPr>
        <w:t xml:space="preserve"> </w:t>
      </w:r>
      <w:r w:rsidR="001156AC">
        <w:rPr>
          <w:rFonts w:cstheme="minorHAnsi"/>
          <w:sz w:val="24"/>
          <w:szCs w:val="24"/>
          <w:lang w:val="el-GR"/>
        </w:rPr>
        <w:t>διαδικασίες</w:t>
      </w:r>
      <w:r w:rsidR="001156AC" w:rsidRPr="001156AC">
        <w:rPr>
          <w:rFonts w:cstheme="minorHAnsi"/>
          <w:sz w:val="24"/>
          <w:szCs w:val="24"/>
          <w:lang w:val="el-GR"/>
        </w:rPr>
        <w:t xml:space="preserve"> </w:t>
      </w:r>
      <w:r w:rsidR="001156AC">
        <w:rPr>
          <w:rFonts w:cstheme="minorHAnsi"/>
          <w:sz w:val="24"/>
          <w:szCs w:val="24"/>
          <w:lang w:val="el-GR"/>
        </w:rPr>
        <w:t>αξιολόγησης</w:t>
      </w:r>
      <w:r w:rsidR="001156AC" w:rsidRPr="001156AC">
        <w:rPr>
          <w:rFonts w:cstheme="minorHAnsi"/>
          <w:sz w:val="24"/>
          <w:szCs w:val="24"/>
          <w:lang w:val="el-GR"/>
        </w:rPr>
        <w:t>/</w:t>
      </w:r>
      <w:r w:rsidR="001156AC">
        <w:rPr>
          <w:rFonts w:cstheme="minorHAnsi"/>
          <w:sz w:val="24"/>
          <w:szCs w:val="24"/>
          <w:lang w:val="el-GR"/>
        </w:rPr>
        <w:t>συμμόρφωσης</w:t>
      </w:r>
      <w:r w:rsidR="001156AC" w:rsidRPr="001156AC">
        <w:rPr>
          <w:rFonts w:cstheme="minorHAnsi"/>
          <w:sz w:val="24"/>
          <w:szCs w:val="24"/>
          <w:lang w:val="el-GR"/>
        </w:rPr>
        <w:t xml:space="preserve">, </w:t>
      </w:r>
      <w:r w:rsidR="001156AC">
        <w:rPr>
          <w:rFonts w:cstheme="minorHAnsi"/>
          <w:sz w:val="24"/>
          <w:szCs w:val="24"/>
          <w:lang w:val="el-GR"/>
        </w:rPr>
        <w:t>ότι</w:t>
      </w:r>
      <w:r w:rsidR="001156AC" w:rsidRPr="001156AC">
        <w:rPr>
          <w:rFonts w:cstheme="minorHAnsi"/>
          <w:sz w:val="24"/>
          <w:szCs w:val="24"/>
          <w:lang w:val="el-GR"/>
        </w:rPr>
        <w:t xml:space="preserve"> </w:t>
      </w:r>
      <w:r w:rsidR="001156AC">
        <w:rPr>
          <w:rFonts w:cstheme="minorHAnsi"/>
          <w:sz w:val="24"/>
          <w:szCs w:val="24"/>
          <w:lang w:val="el-GR"/>
        </w:rPr>
        <w:t>η</w:t>
      </w:r>
      <w:r w:rsidR="00A5147D" w:rsidRPr="001156AC">
        <w:rPr>
          <w:rFonts w:cstheme="minorHAnsi"/>
          <w:sz w:val="24"/>
          <w:szCs w:val="24"/>
          <w:lang w:val="el-GR"/>
        </w:rPr>
        <w:t xml:space="preserve"> </w:t>
      </w:r>
      <w:r w:rsidR="001156AC">
        <w:rPr>
          <w:rFonts w:cstheme="minorHAnsi"/>
          <w:sz w:val="24"/>
          <w:szCs w:val="24"/>
          <w:lang w:val="el-GR"/>
        </w:rPr>
        <w:t>αντίληψη</w:t>
      </w:r>
      <w:r w:rsidR="001156AC" w:rsidRPr="001156AC">
        <w:rPr>
          <w:rFonts w:cstheme="minorHAnsi"/>
          <w:sz w:val="24"/>
          <w:szCs w:val="24"/>
          <w:lang w:val="el-GR"/>
        </w:rPr>
        <w:t xml:space="preserve"> </w:t>
      </w:r>
      <w:r w:rsidR="001156AC">
        <w:rPr>
          <w:rFonts w:cstheme="minorHAnsi"/>
          <w:sz w:val="24"/>
          <w:szCs w:val="24"/>
          <w:lang w:val="el-GR"/>
        </w:rPr>
        <w:t>στην</w:t>
      </w:r>
      <w:r w:rsidR="001156AC" w:rsidRPr="001156AC">
        <w:rPr>
          <w:rFonts w:cstheme="minorHAnsi"/>
          <w:sz w:val="24"/>
          <w:szCs w:val="24"/>
          <w:lang w:val="el-GR"/>
        </w:rPr>
        <w:t xml:space="preserve"> </w:t>
      </w:r>
      <w:r w:rsidR="001156AC">
        <w:rPr>
          <w:rFonts w:cstheme="minorHAnsi"/>
          <w:sz w:val="24"/>
          <w:szCs w:val="24"/>
          <w:lang w:val="el-GR"/>
        </w:rPr>
        <w:t xml:space="preserve">Κύπρο </w:t>
      </w:r>
      <w:r w:rsidR="00197F43">
        <w:rPr>
          <w:rFonts w:cstheme="minorHAnsi"/>
          <w:sz w:val="24"/>
          <w:szCs w:val="24"/>
          <w:lang w:val="el-GR"/>
        </w:rPr>
        <w:t xml:space="preserve">για το </w:t>
      </w:r>
      <w:r w:rsidR="001156AC">
        <w:rPr>
          <w:rFonts w:cstheme="minorHAnsi"/>
          <w:sz w:val="24"/>
          <w:szCs w:val="24"/>
          <w:lang w:val="el-GR"/>
        </w:rPr>
        <w:t>τί αποτελεί</w:t>
      </w:r>
      <w:r w:rsidR="00A5147D" w:rsidRPr="001156AC">
        <w:rPr>
          <w:rFonts w:cstheme="minorHAnsi"/>
          <w:sz w:val="24"/>
          <w:szCs w:val="24"/>
          <w:lang w:val="el-GR"/>
        </w:rPr>
        <w:t xml:space="preserve"> </w:t>
      </w:r>
      <w:r w:rsidR="001156AC">
        <w:rPr>
          <w:rFonts w:cstheme="minorHAnsi"/>
          <w:sz w:val="24"/>
          <w:szCs w:val="24"/>
          <w:lang w:val="el-GR"/>
        </w:rPr>
        <w:t>σύγκρουση συμφερόντων</w:t>
      </w:r>
      <w:r w:rsidR="00A5147D" w:rsidRPr="001156AC">
        <w:rPr>
          <w:rFonts w:cstheme="minorHAnsi"/>
          <w:sz w:val="24"/>
          <w:szCs w:val="24"/>
          <w:lang w:val="el-GR"/>
        </w:rPr>
        <w:t xml:space="preserve"> </w:t>
      </w:r>
      <w:r w:rsidR="001156AC">
        <w:rPr>
          <w:rFonts w:cstheme="minorHAnsi"/>
          <w:sz w:val="24"/>
          <w:szCs w:val="24"/>
          <w:lang w:val="el-GR"/>
        </w:rPr>
        <w:t>ήταν μάλλον στενή</w:t>
      </w:r>
      <w:r w:rsidR="00141766" w:rsidRPr="001156AC">
        <w:rPr>
          <w:rFonts w:cstheme="minorHAnsi"/>
          <w:sz w:val="24"/>
          <w:szCs w:val="24"/>
          <w:lang w:val="el-GR"/>
        </w:rPr>
        <w:t>,</w:t>
      </w:r>
      <w:r w:rsidR="00A5147D" w:rsidRPr="001156AC">
        <w:rPr>
          <w:rFonts w:cstheme="minorHAnsi"/>
          <w:sz w:val="24"/>
          <w:szCs w:val="24"/>
          <w:lang w:val="el-GR"/>
        </w:rPr>
        <w:t xml:space="preserve"> </w:t>
      </w:r>
      <w:r w:rsidR="001156AC">
        <w:rPr>
          <w:rFonts w:cstheme="minorHAnsi"/>
          <w:sz w:val="24"/>
          <w:szCs w:val="24"/>
          <w:lang w:val="el-GR"/>
        </w:rPr>
        <w:t>αφού</w:t>
      </w:r>
      <w:r w:rsidR="001156AC" w:rsidRPr="001156AC">
        <w:rPr>
          <w:rFonts w:cstheme="minorHAnsi"/>
          <w:sz w:val="24"/>
          <w:szCs w:val="24"/>
          <w:lang w:val="el-GR"/>
        </w:rPr>
        <w:t xml:space="preserve"> </w:t>
      </w:r>
      <w:r w:rsidR="001156AC">
        <w:rPr>
          <w:rFonts w:cstheme="minorHAnsi"/>
          <w:sz w:val="24"/>
          <w:szCs w:val="24"/>
          <w:lang w:val="el-GR"/>
        </w:rPr>
        <w:t xml:space="preserve">ήταν βασικά </w:t>
      </w:r>
      <w:r w:rsidR="00197F43">
        <w:rPr>
          <w:rFonts w:cstheme="minorHAnsi"/>
          <w:sz w:val="24"/>
          <w:szCs w:val="24"/>
          <w:lang w:val="el-GR"/>
        </w:rPr>
        <w:t xml:space="preserve">περιορισμένη </w:t>
      </w:r>
      <w:r w:rsidR="001156AC">
        <w:rPr>
          <w:rFonts w:cstheme="minorHAnsi"/>
          <w:sz w:val="24"/>
          <w:szCs w:val="24"/>
          <w:lang w:val="el-GR"/>
        </w:rPr>
        <w:t>σε μια λίστα ασυμβατοτήτων</w:t>
      </w:r>
      <w:r w:rsidR="00A5147D" w:rsidRPr="001156AC">
        <w:rPr>
          <w:rFonts w:cstheme="minorHAnsi"/>
          <w:sz w:val="24"/>
          <w:szCs w:val="24"/>
          <w:lang w:val="el-GR"/>
        </w:rPr>
        <w:t xml:space="preserve">. </w:t>
      </w:r>
      <w:r w:rsidR="00197F43">
        <w:rPr>
          <w:rFonts w:cstheme="minorHAnsi"/>
          <w:sz w:val="24"/>
          <w:szCs w:val="24"/>
          <w:lang w:val="el-GR"/>
        </w:rPr>
        <w:t xml:space="preserve">Στο πλαίσιο </w:t>
      </w:r>
      <w:r w:rsidR="001156AC">
        <w:rPr>
          <w:rFonts w:cstheme="minorHAnsi"/>
          <w:sz w:val="24"/>
          <w:szCs w:val="24"/>
          <w:lang w:val="el-GR"/>
        </w:rPr>
        <w:t>της</w:t>
      </w:r>
      <w:r w:rsidR="001156AC" w:rsidRPr="001156AC">
        <w:rPr>
          <w:rFonts w:cstheme="minorHAnsi"/>
          <w:sz w:val="24"/>
          <w:szCs w:val="24"/>
          <w:lang w:val="el-GR"/>
        </w:rPr>
        <w:t xml:space="preserve"> </w:t>
      </w:r>
      <w:r w:rsidR="001156AC">
        <w:rPr>
          <w:rFonts w:cstheme="minorHAnsi"/>
          <w:sz w:val="24"/>
          <w:szCs w:val="24"/>
          <w:lang w:val="el-GR"/>
        </w:rPr>
        <w:t>επί</w:t>
      </w:r>
      <w:r w:rsidR="001156AC" w:rsidRPr="001156AC">
        <w:rPr>
          <w:rFonts w:cstheme="minorHAnsi"/>
          <w:sz w:val="24"/>
          <w:szCs w:val="24"/>
          <w:lang w:val="el-GR"/>
        </w:rPr>
        <w:t xml:space="preserve"> </w:t>
      </w:r>
      <w:r w:rsidR="001156AC">
        <w:rPr>
          <w:rFonts w:cstheme="minorHAnsi"/>
          <w:sz w:val="24"/>
          <w:szCs w:val="24"/>
          <w:lang w:val="el-GR"/>
        </w:rPr>
        <w:t>τόπου</w:t>
      </w:r>
      <w:r w:rsidR="001156AC" w:rsidRPr="001156AC">
        <w:rPr>
          <w:rFonts w:cstheme="minorHAnsi"/>
          <w:sz w:val="24"/>
          <w:szCs w:val="24"/>
          <w:lang w:val="el-GR"/>
        </w:rPr>
        <w:t xml:space="preserve"> </w:t>
      </w:r>
      <w:r w:rsidR="001156AC">
        <w:rPr>
          <w:rFonts w:cstheme="minorHAnsi"/>
          <w:sz w:val="24"/>
          <w:szCs w:val="24"/>
          <w:lang w:val="el-GR"/>
        </w:rPr>
        <w:t>επίσκεψης</w:t>
      </w:r>
      <w:r w:rsidR="00A5147D" w:rsidRPr="001156AC">
        <w:rPr>
          <w:rFonts w:cstheme="minorHAnsi"/>
          <w:sz w:val="24"/>
          <w:szCs w:val="24"/>
          <w:lang w:val="el-GR"/>
        </w:rPr>
        <w:t xml:space="preserve">, </w:t>
      </w:r>
      <w:r w:rsidR="001156AC">
        <w:rPr>
          <w:rFonts w:cstheme="minorHAnsi"/>
          <w:sz w:val="24"/>
          <w:szCs w:val="24"/>
          <w:lang w:val="el-GR"/>
        </w:rPr>
        <w:t>έγινε</w:t>
      </w:r>
      <w:r w:rsidR="001156AC" w:rsidRPr="001156AC">
        <w:rPr>
          <w:rFonts w:cstheme="minorHAnsi"/>
          <w:sz w:val="24"/>
          <w:szCs w:val="24"/>
          <w:lang w:val="el-GR"/>
        </w:rPr>
        <w:t xml:space="preserve"> </w:t>
      </w:r>
      <w:r w:rsidR="001156AC">
        <w:rPr>
          <w:rFonts w:cstheme="minorHAnsi"/>
          <w:sz w:val="24"/>
          <w:szCs w:val="24"/>
          <w:lang w:val="el-GR"/>
        </w:rPr>
        <w:t>ξεκάθαρο</w:t>
      </w:r>
      <w:r w:rsidR="001156AC" w:rsidRPr="001156AC">
        <w:rPr>
          <w:rFonts w:cstheme="minorHAnsi"/>
          <w:sz w:val="24"/>
          <w:szCs w:val="24"/>
          <w:lang w:val="el-GR"/>
        </w:rPr>
        <w:t xml:space="preserve"> </w:t>
      </w:r>
      <w:r w:rsidR="001156AC">
        <w:rPr>
          <w:rFonts w:cstheme="minorHAnsi"/>
          <w:sz w:val="24"/>
          <w:szCs w:val="24"/>
          <w:lang w:val="el-GR"/>
        </w:rPr>
        <w:t>στην</w:t>
      </w:r>
      <w:r w:rsidR="00A5147D" w:rsidRPr="001156AC">
        <w:rPr>
          <w:rFonts w:cstheme="minorHAnsi"/>
          <w:sz w:val="24"/>
          <w:szCs w:val="24"/>
          <w:lang w:val="el-GR"/>
        </w:rPr>
        <w:t xml:space="preserve"> </w:t>
      </w:r>
      <w:r w:rsidR="00A5147D" w:rsidRPr="004E251E">
        <w:rPr>
          <w:rFonts w:cstheme="minorHAnsi"/>
          <w:sz w:val="24"/>
          <w:szCs w:val="24"/>
        </w:rPr>
        <w:t>GET</w:t>
      </w:r>
      <w:r w:rsidR="00A5147D" w:rsidRPr="001156AC">
        <w:rPr>
          <w:rFonts w:cstheme="minorHAnsi"/>
          <w:sz w:val="24"/>
          <w:szCs w:val="24"/>
          <w:lang w:val="el-GR"/>
        </w:rPr>
        <w:t xml:space="preserve"> </w:t>
      </w:r>
      <w:r w:rsidR="001156AC">
        <w:rPr>
          <w:rFonts w:cstheme="minorHAnsi"/>
          <w:sz w:val="24"/>
          <w:szCs w:val="24"/>
          <w:lang w:val="el-GR"/>
        </w:rPr>
        <w:t>ότι</w:t>
      </w:r>
      <w:r w:rsidR="001156AC" w:rsidRPr="001156AC">
        <w:rPr>
          <w:rFonts w:cstheme="minorHAnsi"/>
          <w:sz w:val="24"/>
          <w:szCs w:val="24"/>
          <w:lang w:val="el-GR"/>
        </w:rPr>
        <w:t xml:space="preserve"> </w:t>
      </w:r>
      <w:r w:rsidR="00197F43">
        <w:rPr>
          <w:rFonts w:cstheme="minorHAnsi"/>
          <w:sz w:val="24"/>
          <w:szCs w:val="24"/>
          <w:lang w:val="el-GR"/>
        </w:rPr>
        <w:t xml:space="preserve">οι </w:t>
      </w:r>
      <w:r w:rsidR="001156AC">
        <w:rPr>
          <w:rFonts w:cstheme="minorHAnsi"/>
          <w:sz w:val="24"/>
          <w:szCs w:val="24"/>
          <w:lang w:val="el-GR"/>
        </w:rPr>
        <w:t>συγκρούσεις</w:t>
      </w:r>
      <w:r w:rsidR="001156AC" w:rsidRPr="001156AC">
        <w:rPr>
          <w:rFonts w:cstheme="minorHAnsi"/>
          <w:sz w:val="24"/>
          <w:szCs w:val="24"/>
          <w:lang w:val="el-GR"/>
        </w:rPr>
        <w:t xml:space="preserve"> </w:t>
      </w:r>
      <w:r w:rsidR="001156AC">
        <w:rPr>
          <w:rFonts w:cstheme="minorHAnsi"/>
          <w:sz w:val="24"/>
          <w:szCs w:val="24"/>
          <w:lang w:val="el-GR"/>
        </w:rPr>
        <w:t>συμφερόντ</w:t>
      </w:r>
      <w:r w:rsidR="00197F43">
        <w:rPr>
          <w:rFonts w:cstheme="minorHAnsi"/>
          <w:sz w:val="24"/>
          <w:szCs w:val="24"/>
          <w:lang w:val="el-GR"/>
        </w:rPr>
        <w:t>ων</w:t>
      </w:r>
      <w:r w:rsidR="00A5147D" w:rsidRPr="001156AC">
        <w:rPr>
          <w:rFonts w:cstheme="minorHAnsi"/>
          <w:sz w:val="24"/>
          <w:szCs w:val="24"/>
          <w:lang w:val="el-GR"/>
        </w:rPr>
        <w:t xml:space="preserve"> </w:t>
      </w:r>
      <w:r w:rsidR="001156AC">
        <w:rPr>
          <w:rFonts w:cstheme="minorHAnsi"/>
          <w:sz w:val="24"/>
          <w:szCs w:val="24"/>
          <w:lang w:val="el-GR"/>
        </w:rPr>
        <w:t>συνδέονταν</w:t>
      </w:r>
      <w:r w:rsidR="001156AC" w:rsidRPr="001156AC">
        <w:rPr>
          <w:rFonts w:cstheme="minorHAnsi"/>
          <w:sz w:val="24"/>
          <w:szCs w:val="24"/>
          <w:lang w:val="el-GR"/>
        </w:rPr>
        <w:t xml:space="preserve"> </w:t>
      </w:r>
      <w:r w:rsidR="001156AC">
        <w:rPr>
          <w:rFonts w:cstheme="minorHAnsi"/>
          <w:sz w:val="24"/>
          <w:szCs w:val="24"/>
          <w:lang w:val="el-GR"/>
        </w:rPr>
        <w:t>αυτόματα</w:t>
      </w:r>
      <w:r w:rsidR="00A5147D" w:rsidRPr="001156AC">
        <w:rPr>
          <w:rFonts w:cstheme="minorHAnsi"/>
          <w:sz w:val="24"/>
          <w:szCs w:val="24"/>
          <w:lang w:val="el-GR"/>
        </w:rPr>
        <w:t xml:space="preserve"> </w:t>
      </w:r>
      <w:r w:rsidR="001156AC">
        <w:rPr>
          <w:rFonts w:cstheme="minorHAnsi"/>
          <w:sz w:val="24"/>
          <w:szCs w:val="24"/>
          <w:lang w:val="el-GR"/>
        </w:rPr>
        <w:t>με τη διαφθορά</w:t>
      </w:r>
      <w:r w:rsidR="00A5147D" w:rsidRPr="001156AC">
        <w:rPr>
          <w:rFonts w:cstheme="minorHAnsi"/>
          <w:sz w:val="24"/>
          <w:szCs w:val="24"/>
          <w:lang w:val="el-GR"/>
        </w:rPr>
        <w:t xml:space="preserve"> </w:t>
      </w:r>
      <w:r w:rsidR="001156AC">
        <w:rPr>
          <w:rFonts w:cstheme="minorHAnsi"/>
          <w:sz w:val="24"/>
          <w:szCs w:val="24"/>
          <w:lang w:val="el-GR"/>
        </w:rPr>
        <w:t>και παραπομπή στο ποινικό σύστημα</w:t>
      </w:r>
      <w:r w:rsidR="00A5147D" w:rsidRPr="001156AC">
        <w:rPr>
          <w:rFonts w:cstheme="minorHAnsi"/>
          <w:sz w:val="24"/>
          <w:szCs w:val="24"/>
          <w:lang w:val="el-GR"/>
        </w:rPr>
        <w:t xml:space="preserve"> </w:t>
      </w:r>
      <w:r w:rsidR="001156AC">
        <w:rPr>
          <w:rFonts w:cstheme="minorHAnsi"/>
          <w:sz w:val="24"/>
          <w:szCs w:val="24"/>
          <w:lang w:val="el-GR"/>
        </w:rPr>
        <w:t xml:space="preserve">παρά </w:t>
      </w:r>
      <w:r w:rsidR="00197F43">
        <w:rPr>
          <w:rFonts w:cstheme="minorHAnsi"/>
          <w:sz w:val="24"/>
          <w:szCs w:val="24"/>
          <w:lang w:val="el-GR"/>
        </w:rPr>
        <w:t xml:space="preserve">να υπάρχει θεώρηση τους </w:t>
      </w:r>
      <w:r w:rsidR="001156AC">
        <w:rPr>
          <w:rFonts w:cstheme="minorHAnsi"/>
          <w:sz w:val="24"/>
          <w:szCs w:val="24"/>
          <w:lang w:val="el-GR"/>
        </w:rPr>
        <w:t xml:space="preserve">από </w:t>
      </w:r>
      <w:r w:rsidR="00197F43">
        <w:rPr>
          <w:rFonts w:cstheme="minorHAnsi"/>
          <w:sz w:val="24"/>
          <w:szCs w:val="24"/>
          <w:lang w:val="el-GR"/>
        </w:rPr>
        <w:t xml:space="preserve"> </w:t>
      </w:r>
      <w:r w:rsidR="001156AC">
        <w:rPr>
          <w:rFonts w:cstheme="minorHAnsi"/>
          <w:sz w:val="24"/>
          <w:szCs w:val="24"/>
          <w:lang w:val="el-GR"/>
        </w:rPr>
        <w:t>άποψη πρόληψης και διαχείρ</w:t>
      </w:r>
      <w:r w:rsidR="00197F43">
        <w:rPr>
          <w:rFonts w:cstheme="minorHAnsi"/>
          <w:sz w:val="24"/>
          <w:szCs w:val="24"/>
          <w:lang w:val="el-GR"/>
        </w:rPr>
        <w:t>ι</w:t>
      </w:r>
      <w:r w:rsidR="001156AC">
        <w:rPr>
          <w:rFonts w:cstheme="minorHAnsi"/>
          <w:sz w:val="24"/>
          <w:szCs w:val="24"/>
          <w:lang w:val="el-GR"/>
        </w:rPr>
        <w:t>σης</w:t>
      </w:r>
      <w:r w:rsidR="00A5147D" w:rsidRPr="001156AC">
        <w:rPr>
          <w:rFonts w:cstheme="minorHAnsi"/>
          <w:sz w:val="24"/>
          <w:szCs w:val="24"/>
          <w:lang w:val="el-GR"/>
        </w:rPr>
        <w:t xml:space="preserve">.  </w:t>
      </w:r>
    </w:p>
    <w:p w14:paraId="5AD5AF10" w14:textId="77777777" w:rsidR="00A5147D" w:rsidRPr="001156AC" w:rsidRDefault="00A5147D" w:rsidP="00A5147D">
      <w:pPr>
        <w:pStyle w:val="ListParagraph"/>
        <w:rPr>
          <w:rFonts w:cstheme="minorHAnsi"/>
          <w:sz w:val="24"/>
          <w:szCs w:val="24"/>
          <w:lang w:val="el-GR"/>
        </w:rPr>
      </w:pPr>
    </w:p>
    <w:p w14:paraId="52A9CDA1" w14:textId="5C469359" w:rsidR="00A5147D" w:rsidRPr="001A0360" w:rsidRDefault="001156AC"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Αυτό</w:t>
      </w:r>
      <w:r w:rsidRPr="001A0360">
        <w:rPr>
          <w:rFonts w:cstheme="minorHAnsi"/>
          <w:sz w:val="24"/>
          <w:szCs w:val="24"/>
          <w:lang w:val="el-GR"/>
        </w:rPr>
        <w:t xml:space="preserve"> </w:t>
      </w:r>
      <w:r>
        <w:rPr>
          <w:rFonts w:cstheme="minorHAnsi"/>
          <w:sz w:val="24"/>
          <w:szCs w:val="24"/>
          <w:lang w:val="el-GR"/>
        </w:rPr>
        <w:t>απαιτεί</w:t>
      </w:r>
      <w:r w:rsidRPr="001A0360">
        <w:rPr>
          <w:rFonts w:cstheme="minorHAnsi"/>
          <w:sz w:val="24"/>
          <w:szCs w:val="24"/>
          <w:lang w:val="el-GR"/>
        </w:rPr>
        <w:t xml:space="preserve"> </w:t>
      </w:r>
      <w:proofErr w:type="spellStart"/>
      <w:r>
        <w:rPr>
          <w:rFonts w:cstheme="minorHAnsi"/>
          <w:sz w:val="24"/>
          <w:szCs w:val="24"/>
          <w:lang w:val="el-GR"/>
        </w:rPr>
        <w:t>στοχευμένα</w:t>
      </w:r>
      <w:proofErr w:type="spellEnd"/>
      <w:r w:rsidRPr="001A0360">
        <w:rPr>
          <w:rFonts w:cstheme="minorHAnsi"/>
          <w:sz w:val="24"/>
          <w:szCs w:val="24"/>
          <w:lang w:val="el-GR"/>
        </w:rPr>
        <w:t xml:space="preserve"> </w:t>
      </w:r>
      <w:r>
        <w:rPr>
          <w:rFonts w:cstheme="minorHAnsi"/>
          <w:sz w:val="24"/>
          <w:szCs w:val="24"/>
          <w:lang w:val="el-GR"/>
        </w:rPr>
        <w:t>μέτρα</w:t>
      </w:r>
      <w:r w:rsidRPr="001A0360">
        <w:rPr>
          <w:rFonts w:cstheme="minorHAnsi"/>
          <w:sz w:val="24"/>
          <w:szCs w:val="24"/>
          <w:lang w:val="el-GR"/>
        </w:rPr>
        <w:t xml:space="preserve"> </w:t>
      </w:r>
      <w:r w:rsidR="00197F43">
        <w:rPr>
          <w:rFonts w:cstheme="minorHAnsi"/>
          <w:sz w:val="24"/>
          <w:szCs w:val="24"/>
          <w:lang w:val="el-GR"/>
        </w:rPr>
        <w:t xml:space="preserve">για τους </w:t>
      </w:r>
      <w:r w:rsidR="00197F43">
        <w:rPr>
          <w:rFonts w:cstheme="minorHAnsi"/>
          <w:sz w:val="24"/>
          <w:szCs w:val="24"/>
          <w:lang w:val="en-US"/>
        </w:rPr>
        <w:t>PTEFs</w:t>
      </w:r>
      <w:r w:rsidR="00197F43" w:rsidRPr="002B7C4B">
        <w:rPr>
          <w:rFonts w:cstheme="minorHAnsi"/>
          <w:sz w:val="24"/>
          <w:szCs w:val="24"/>
          <w:lang w:val="el-GR"/>
        </w:rPr>
        <w:t xml:space="preserve"> </w:t>
      </w:r>
      <w:r>
        <w:rPr>
          <w:rFonts w:cstheme="minorHAnsi"/>
          <w:sz w:val="24"/>
          <w:szCs w:val="24"/>
          <w:lang w:val="el-GR"/>
        </w:rPr>
        <w:t>για</w:t>
      </w:r>
      <w:r w:rsidRPr="001A0360">
        <w:rPr>
          <w:rFonts w:cstheme="minorHAnsi"/>
          <w:sz w:val="24"/>
          <w:szCs w:val="24"/>
          <w:lang w:val="el-GR"/>
        </w:rPr>
        <w:t xml:space="preserve"> </w:t>
      </w:r>
      <w:r>
        <w:rPr>
          <w:rFonts w:cstheme="minorHAnsi"/>
          <w:sz w:val="24"/>
          <w:szCs w:val="24"/>
          <w:lang w:val="el-GR"/>
        </w:rPr>
        <w:t>να</w:t>
      </w:r>
      <w:r w:rsidRPr="001A0360">
        <w:rPr>
          <w:rFonts w:cstheme="minorHAnsi"/>
          <w:sz w:val="24"/>
          <w:szCs w:val="24"/>
          <w:lang w:val="el-GR"/>
        </w:rPr>
        <w:t xml:space="preserve"> </w:t>
      </w:r>
      <w:r>
        <w:rPr>
          <w:rFonts w:cstheme="minorHAnsi"/>
          <w:sz w:val="24"/>
          <w:szCs w:val="24"/>
          <w:lang w:val="el-GR"/>
        </w:rPr>
        <w:t>αυξήσουν</w:t>
      </w:r>
      <w:r w:rsidRPr="001A0360">
        <w:rPr>
          <w:rFonts w:cstheme="minorHAnsi"/>
          <w:sz w:val="24"/>
          <w:szCs w:val="24"/>
          <w:lang w:val="el-GR"/>
        </w:rPr>
        <w:t xml:space="preserve"> </w:t>
      </w:r>
      <w:r>
        <w:rPr>
          <w:rFonts w:cstheme="minorHAnsi"/>
          <w:sz w:val="24"/>
          <w:szCs w:val="24"/>
          <w:lang w:val="el-GR"/>
        </w:rPr>
        <w:t>την</w:t>
      </w:r>
      <w:r w:rsidRPr="001A0360">
        <w:rPr>
          <w:rFonts w:cstheme="minorHAnsi"/>
          <w:sz w:val="24"/>
          <w:szCs w:val="24"/>
          <w:lang w:val="el-GR"/>
        </w:rPr>
        <w:t xml:space="preserve"> </w:t>
      </w:r>
      <w:r w:rsidR="00197F43">
        <w:rPr>
          <w:rFonts w:cstheme="minorHAnsi"/>
          <w:sz w:val="24"/>
          <w:szCs w:val="24"/>
          <w:lang w:val="el-GR"/>
        </w:rPr>
        <w:t xml:space="preserve">ευαισθητοποίηση </w:t>
      </w:r>
      <w:r>
        <w:rPr>
          <w:rFonts w:cstheme="minorHAnsi"/>
          <w:sz w:val="24"/>
          <w:szCs w:val="24"/>
          <w:lang w:val="el-GR"/>
        </w:rPr>
        <w:t>τους</w:t>
      </w:r>
      <w:r w:rsidRPr="001A0360">
        <w:rPr>
          <w:rFonts w:cstheme="minorHAnsi"/>
          <w:sz w:val="24"/>
          <w:szCs w:val="24"/>
          <w:lang w:val="el-GR"/>
        </w:rPr>
        <w:t xml:space="preserve"> </w:t>
      </w:r>
      <w:r>
        <w:rPr>
          <w:rFonts w:cstheme="minorHAnsi"/>
          <w:sz w:val="24"/>
          <w:szCs w:val="24"/>
          <w:lang w:val="el-GR"/>
        </w:rPr>
        <w:t>για</w:t>
      </w:r>
      <w:r w:rsidR="001A0360" w:rsidRPr="001A0360">
        <w:rPr>
          <w:rFonts w:cstheme="minorHAnsi"/>
          <w:sz w:val="24"/>
          <w:szCs w:val="24"/>
          <w:lang w:val="el-GR"/>
        </w:rPr>
        <w:t xml:space="preserve"> </w:t>
      </w:r>
      <w:r w:rsidR="001A0360">
        <w:rPr>
          <w:rFonts w:cstheme="minorHAnsi"/>
          <w:sz w:val="24"/>
          <w:szCs w:val="24"/>
          <w:lang w:val="el-GR"/>
        </w:rPr>
        <w:t>τις</w:t>
      </w:r>
      <w:r w:rsidR="001A0360" w:rsidRPr="001A0360">
        <w:rPr>
          <w:rFonts w:cstheme="minorHAnsi"/>
          <w:sz w:val="24"/>
          <w:szCs w:val="24"/>
          <w:lang w:val="el-GR"/>
        </w:rPr>
        <w:t xml:space="preserve"> </w:t>
      </w:r>
      <w:r w:rsidR="001A0360">
        <w:rPr>
          <w:rFonts w:cstheme="minorHAnsi"/>
          <w:sz w:val="24"/>
          <w:szCs w:val="24"/>
          <w:lang w:val="el-GR"/>
        </w:rPr>
        <w:t>πρόνοιες</w:t>
      </w:r>
      <w:r w:rsidR="001A0360" w:rsidRPr="001A0360">
        <w:rPr>
          <w:rFonts w:cstheme="minorHAnsi"/>
          <w:sz w:val="24"/>
          <w:szCs w:val="24"/>
          <w:lang w:val="el-GR"/>
        </w:rPr>
        <w:t xml:space="preserve"> </w:t>
      </w:r>
      <w:r w:rsidR="001A0360">
        <w:rPr>
          <w:rFonts w:cstheme="minorHAnsi"/>
          <w:sz w:val="24"/>
          <w:szCs w:val="24"/>
          <w:lang w:val="el-GR"/>
        </w:rPr>
        <w:t>που</w:t>
      </w:r>
      <w:r w:rsidR="001A0360" w:rsidRPr="001A0360">
        <w:rPr>
          <w:rFonts w:cstheme="minorHAnsi"/>
          <w:sz w:val="24"/>
          <w:szCs w:val="24"/>
          <w:lang w:val="el-GR"/>
        </w:rPr>
        <w:t xml:space="preserve"> </w:t>
      </w:r>
      <w:r w:rsidR="001A0360">
        <w:rPr>
          <w:rFonts w:cstheme="minorHAnsi"/>
          <w:sz w:val="24"/>
          <w:szCs w:val="24"/>
          <w:lang w:val="el-GR"/>
        </w:rPr>
        <w:t>σχετίζονται</w:t>
      </w:r>
      <w:r w:rsidR="001A0360" w:rsidRPr="001A0360">
        <w:rPr>
          <w:rFonts w:cstheme="minorHAnsi"/>
          <w:sz w:val="24"/>
          <w:szCs w:val="24"/>
          <w:lang w:val="el-GR"/>
        </w:rPr>
        <w:t xml:space="preserve"> </w:t>
      </w:r>
      <w:r w:rsidR="001A0360">
        <w:rPr>
          <w:rFonts w:cstheme="minorHAnsi"/>
          <w:sz w:val="24"/>
          <w:szCs w:val="24"/>
          <w:lang w:val="el-GR"/>
        </w:rPr>
        <w:t>με</w:t>
      </w:r>
      <w:r w:rsidR="001A0360" w:rsidRPr="001A0360">
        <w:rPr>
          <w:rFonts w:cstheme="minorHAnsi"/>
          <w:sz w:val="24"/>
          <w:szCs w:val="24"/>
          <w:lang w:val="el-GR"/>
        </w:rPr>
        <w:t xml:space="preserve"> </w:t>
      </w:r>
      <w:r w:rsidR="001A0360">
        <w:rPr>
          <w:rFonts w:cstheme="minorHAnsi"/>
          <w:sz w:val="24"/>
          <w:szCs w:val="24"/>
          <w:lang w:val="el-GR"/>
        </w:rPr>
        <w:t>την</w:t>
      </w:r>
      <w:r w:rsidR="001A0360" w:rsidRPr="001A0360">
        <w:rPr>
          <w:rFonts w:cstheme="minorHAnsi"/>
          <w:sz w:val="24"/>
          <w:szCs w:val="24"/>
          <w:lang w:val="el-GR"/>
        </w:rPr>
        <w:t xml:space="preserve"> </w:t>
      </w:r>
      <w:r w:rsidR="001A0360">
        <w:rPr>
          <w:rFonts w:cstheme="minorHAnsi"/>
          <w:sz w:val="24"/>
          <w:szCs w:val="24"/>
          <w:lang w:val="el-GR"/>
        </w:rPr>
        <w:t>πρόληψη</w:t>
      </w:r>
      <w:r w:rsidR="001A0360" w:rsidRPr="001A0360">
        <w:rPr>
          <w:rFonts w:cstheme="minorHAnsi"/>
          <w:sz w:val="24"/>
          <w:szCs w:val="24"/>
          <w:lang w:val="el-GR"/>
        </w:rPr>
        <w:t xml:space="preserve"> </w:t>
      </w:r>
      <w:r w:rsidR="001A0360">
        <w:rPr>
          <w:rFonts w:cstheme="minorHAnsi"/>
          <w:sz w:val="24"/>
          <w:szCs w:val="24"/>
          <w:lang w:val="el-GR"/>
        </w:rPr>
        <w:t>της</w:t>
      </w:r>
      <w:r w:rsidR="001A0360" w:rsidRPr="001A0360">
        <w:rPr>
          <w:rFonts w:cstheme="minorHAnsi"/>
          <w:sz w:val="24"/>
          <w:szCs w:val="24"/>
          <w:lang w:val="el-GR"/>
        </w:rPr>
        <w:t xml:space="preserve"> </w:t>
      </w:r>
      <w:r w:rsidR="001A0360">
        <w:rPr>
          <w:rFonts w:cstheme="minorHAnsi"/>
          <w:sz w:val="24"/>
          <w:szCs w:val="24"/>
          <w:lang w:val="el-GR"/>
        </w:rPr>
        <w:t>σύγκρουσης</w:t>
      </w:r>
      <w:r w:rsidR="001A0360" w:rsidRPr="001A0360">
        <w:rPr>
          <w:rFonts w:cstheme="minorHAnsi"/>
          <w:sz w:val="24"/>
          <w:szCs w:val="24"/>
          <w:lang w:val="el-GR"/>
        </w:rPr>
        <w:t xml:space="preserve"> </w:t>
      </w:r>
      <w:r w:rsidR="001A0360">
        <w:rPr>
          <w:rFonts w:cstheme="minorHAnsi"/>
          <w:sz w:val="24"/>
          <w:szCs w:val="24"/>
          <w:lang w:val="el-GR"/>
        </w:rPr>
        <w:t>συμφερόντων</w:t>
      </w:r>
      <w:r w:rsidR="00A5147D" w:rsidRPr="001A0360">
        <w:rPr>
          <w:rFonts w:cstheme="minorHAnsi"/>
          <w:sz w:val="24"/>
          <w:szCs w:val="24"/>
          <w:lang w:val="el-GR"/>
        </w:rPr>
        <w:t xml:space="preserve"> (</w:t>
      </w:r>
      <w:r w:rsidR="001A0360">
        <w:rPr>
          <w:rFonts w:cstheme="minorHAnsi"/>
          <w:sz w:val="24"/>
          <w:szCs w:val="24"/>
          <w:lang w:val="el-GR"/>
        </w:rPr>
        <w:t>συμπεριλαμβανομένης της απαίτησης για</w:t>
      </w:r>
      <w:r w:rsidR="00A5147D" w:rsidRPr="001A0360">
        <w:rPr>
          <w:rFonts w:cstheme="minorHAnsi"/>
          <w:sz w:val="24"/>
          <w:szCs w:val="24"/>
          <w:lang w:val="el-GR"/>
        </w:rPr>
        <w:t xml:space="preserve"> </w:t>
      </w:r>
      <w:r w:rsidR="00A5147D" w:rsidRPr="004E251E">
        <w:rPr>
          <w:rFonts w:cstheme="minorHAnsi"/>
          <w:sz w:val="24"/>
          <w:szCs w:val="24"/>
        </w:rPr>
        <w:t>ad</w:t>
      </w:r>
      <w:r w:rsidR="00A5147D" w:rsidRPr="001A0360">
        <w:rPr>
          <w:rFonts w:cstheme="minorHAnsi"/>
          <w:sz w:val="24"/>
          <w:szCs w:val="24"/>
          <w:lang w:val="el-GR"/>
        </w:rPr>
        <w:t>-</w:t>
      </w:r>
      <w:r w:rsidR="00A5147D" w:rsidRPr="004E251E">
        <w:rPr>
          <w:rFonts w:cstheme="minorHAnsi"/>
          <w:sz w:val="24"/>
          <w:szCs w:val="24"/>
        </w:rPr>
        <w:t>hoc</w:t>
      </w:r>
      <w:r w:rsidR="00A5147D" w:rsidRPr="001A0360">
        <w:rPr>
          <w:rFonts w:cstheme="minorHAnsi"/>
          <w:sz w:val="24"/>
          <w:szCs w:val="24"/>
          <w:lang w:val="el-GR"/>
        </w:rPr>
        <w:t xml:space="preserve"> </w:t>
      </w:r>
      <w:r w:rsidR="001A0360">
        <w:rPr>
          <w:rFonts w:cstheme="minorHAnsi"/>
          <w:sz w:val="24"/>
          <w:szCs w:val="24"/>
          <w:lang w:val="el-GR"/>
        </w:rPr>
        <w:t>αποκάλυψη</w:t>
      </w:r>
      <w:r w:rsidR="00A5147D" w:rsidRPr="001A0360">
        <w:rPr>
          <w:rFonts w:cstheme="minorHAnsi"/>
          <w:sz w:val="24"/>
          <w:szCs w:val="24"/>
          <w:lang w:val="el-GR"/>
        </w:rPr>
        <w:t xml:space="preserve">), </w:t>
      </w:r>
      <w:r w:rsidR="001A0360">
        <w:rPr>
          <w:rFonts w:cstheme="minorHAnsi"/>
          <w:sz w:val="24"/>
          <w:szCs w:val="24"/>
          <w:lang w:val="el-GR"/>
        </w:rPr>
        <w:t>καθώς επίσης και</w:t>
      </w:r>
      <w:r w:rsidR="00A5147D" w:rsidRPr="001A0360">
        <w:rPr>
          <w:rFonts w:cstheme="minorHAnsi"/>
          <w:sz w:val="24"/>
          <w:szCs w:val="24"/>
          <w:lang w:val="el-GR"/>
        </w:rPr>
        <w:t xml:space="preserve"> </w:t>
      </w:r>
      <w:r w:rsidR="001A0360">
        <w:rPr>
          <w:rFonts w:cstheme="minorHAnsi"/>
          <w:sz w:val="24"/>
          <w:szCs w:val="24"/>
          <w:lang w:val="el-GR"/>
        </w:rPr>
        <w:t>την αντίληψη για το τί αποτελεί</w:t>
      </w:r>
      <w:r w:rsidR="00A5147D" w:rsidRPr="001A0360">
        <w:rPr>
          <w:rFonts w:ascii="Calibri" w:hAnsi="Calibri" w:cs="Calibri"/>
          <w:sz w:val="24"/>
          <w:szCs w:val="24"/>
          <w:lang w:val="el-GR"/>
        </w:rPr>
        <w:t xml:space="preserve"> </w:t>
      </w:r>
      <w:r w:rsidR="001A0360">
        <w:rPr>
          <w:rFonts w:ascii="Calibri" w:hAnsi="Calibri" w:cs="Calibri"/>
          <w:sz w:val="24"/>
          <w:szCs w:val="24"/>
          <w:lang w:val="el-GR"/>
        </w:rPr>
        <w:t>σύγκρουση συμφερόντων</w:t>
      </w:r>
      <w:r w:rsidR="00A5147D" w:rsidRPr="001A0360">
        <w:rPr>
          <w:rFonts w:ascii="Calibri" w:hAnsi="Calibri" w:cs="Calibri"/>
          <w:sz w:val="24"/>
          <w:szCs w:val="24"/>
          <w:lang w:val="el-GR"/>
        </w:rPr>
        <w:t xml:space="preserve">, </w:t>
      </w:r>
      <w:r w:rsidR="001A0360">
        <w:rPr>
          <w:rFonts w:ascii="Calibri" w:hAnsi="Calibri" w:cs="Calibri"/>
          <w:sz w:val="24"/>
          <w:szCs w:val="24"/>
          <w:lang w:val="el-GR"/>
        </w:rPr>
        <w:t xml:space="preserve">τους κινδύνους που δημιουργούν και </w:t>
      </w:r>
      <w:r w:rsidR="00C50B4F">
        <w:rPr>
          <w:rFonts w:ascii="Calibri" w:hAnsi="Calibri" w:cs="Calibri"/>
          <w:sz w:val="24"/>
          <w:szCs w:val="24"/>
          <w:lang w:val="el-GR"/>
        </w:rPr>
        <w:t>τους</w:t>
      </w:r>
      <w:r w:rsidR="001A0360">
        <w:rPr>
          <w:rFonts w:ascii="Calibri" w:hAnsi="Calibri" w:cs="Calibri"/>
          <w:sz w:val="24"/>
          <w:szCs w:val="24"/>
          <w:lang w:val="el-GR"/>
        </w:rPr>
        <w:t xml:space="preserve"> τρόπο</w:t>
      </w:r>
      <w:r w:rsidR="00C50B4F">
        <w:rPr>
          <w:rFonts w:ascii="Calibri" w:hAnsi="Calibri" w:cs="Calibri"/>
          <w:sz w:val="24"/>
          <w:szCs w:val="24"/>
          <w:lang w:val="el-GR"/>
        </w:rPr>
        <w:t>υς</w:t>
      </w:r>
      <w:r w:rsidR="001A0360">
        <w:rPr>
          <w:rFonts w:ascii="Calibri" w:hAnsi="Calibri" w:cs="Calibri"/>
          <w:sz w:val="24"/>
          <w:szCs w:val="24"/>
          <w:lang w:val="el-GR"/>
        </w:rPr>
        <w:t xml:space="preserve"> διαχείρ</w:t>
      </w:r>
      <w:r w:rsidR="00C50B4F">
        <w:rPr>
          <w:rFonts w:ascii="Calibri" w:hAnsi="Calibri" w:cs="Calibri"/>
          <w:sz w:val="24"/>
          <w:szCs w:val="24"/>
          <w:lang w:val="el-GR"/>
        </w:rPr>
        <w:t>ι</w:t>
      </w:r>
      <w:r w:rsidR="001A0360">
        <w:rPr>
          <w:rFonts w:ascii="Calibri" w:hAnsi="Calibri" w:cs="Calibri"/>
          <w:sz w:val="24"/>
          <w:szCs w:val="24"/>
          <w:lang w:val="el-GR"/>
        </w:rPr>
        <w:t>σης τους</w:t>
      </w:r>
      <w:r w:rsidR="00A5147D" w:rsidRPr="001A0360">
        <w:rPr>
          <w:rFonts w:ascii="Calibri" w:hAnsi="Calibri" w:cs="Calibri"/>
          <w:sz w:val="24"/>
          <w:szCs w:val="24"/>
          <w:lang w:val="el-GR"/>
        </w:rPr>
        <w:t xml:space="preserve">. </w:t>
      </w:r>
      <w:r w:rsidR="001A0360">
        <w:rPr>
          <w:rFonts w:ascii="Calibri" w:hAnsi="Calibri" w:cs="Calibri"/>
          <w:sz w:val="24"/>
          <w:szCs w:val="24"/>
          <w:lang w:val="el-GR"/>
        </w:rPr>
        <w:t>Ανάλογα</w:t>
      </w:r>
      <w:r w:rsidR="00A5147D" w:rsidRPr="001A0360">
        <w:rPr>
          <w:rFonts w:ascii="Calibri" w:hAnsi="Calibri" w:cs="Calibri"/>
          <w:sz w:val="24"/>
          <w:szCs w:val="24"/>
          <w:lang w:val="el-GR"/>
        </w:rPr>
        <w:t xml:space="preserve">, </w:t>
      </w:r>
      <w:r w:rsidR="001A0360">
        <w:rPr>
          <w:rFonts w:ascii="Calibri" w:hAnsi="Calibri" w:cs="Calibri"/>
          <w:sz w:val="24"/>
          <w:szCs w:val="24"/>
          <w:lang w:val="el-GR"/>
        </w:rPr>
        <w:t>τόσο</w:t>
      </w:r>
      <w:r w:rsidR="001A0360" w:rsidRPr="001A0360">
        <w:rPr>
          <w:rFonts w:ascii="Calibri" w:hAnsi="Calibri" w:cs="Calibri"/>
          <w:sz w:val="24"/>
          <w:szCs w:val="24"/>
          <w:lang w:val="el-GR"/>
        </w:rPr>
        <w:t xml:space="preserve"> </w:t>
      </w:r>
      <w:r w:rsidR="001A0360">
        <w:rPr>
          <w:rFonts w:ascii="Calibri" w:hAnsi="Calibri" w:cs="Calibri"/>
          <w:sz w:val="24"/>
          <w:szCs w:val="24"/>
          <w:lang w:val="el-GR"/>
        </w:rPr>
        <w:t>ο</w:t>
      </w:r>
      <w:r w:rsidR="001A0360" w:rsidRPr="001A0360">
        <w:rPr>
          <w:rFonts w:ascii="Calibri" w:hAnsi="Calibri" w:cs="Calibri"/>
          <w:sz w:val="24"/>
          <w:szCs w:val="24"/>
          <w:lang w:val="el-GR"/>
        </w:rPr>
        <w:t xml:space="preserve"> </w:t>
      </w:r>
      <w:r w:rsidR="001A0360">
        <w:rPr>
          <w:rFonts w:ascii="Calibri" w:hAnsi="Calibri" w:cs="Calibri"/>
          <w:sz w:val="24"/>
          <w:szCs w:val="24"/>
          <w:lang w:val="el-GR"/>
        </w:rPr>
        <w:t>προτεινόμενος</w:t>
      </w:r>
      <w:r w:rsidR="001A0360" w:rsidRPr="001A0360">
        <w:rPr>
          <w:rFonts w:ascii="Calibri" w:hAnsi="Calibri" w:cs="Calibri"/>
          <w:sz w:val="24"/>
          <w:szCs w:val="24"/>
          <w:lang w:val="el-GR"/>
        </w:rPr>
        <w:t xml:space="preserve"> </w:t>
      </w:r>
      <w:r w:rsidR="001A0360">
        <w:rPr>
          <w:rFonts w:ascii="Calibri" w:hAnsi="Calibri" w:cs="Calibri"/>
          <w:sz w:val="24"/>
          <w:szCs w:val="24"/>
          <w:lang w:val="el-GR"/>
        </w:rPr>
        <w:t>Κώδικας</w:t>
      </w:r>
      <w:r w:rsidR="001A0360" w:rsidRPr="001A0360">
        <w:rPr>
          <w:rFonts w:ascii="Calibri" w:hAnsi="Calibri" w:cs="Calibri"/>
          <w:sz w:val="24"/>
          <w:szCs w:val="24"/>
          <w:lang w:val="el-GR"/>
        </w:rPr>
        <w:t xml:space="preserve"> </w:t>
      </w:r>
      <w:r w:rsidR="00C50B4F">
        <w:rPr>
          <w:rFonts w:ascii="Calibri" w:hAnsi="Calibri" w:cs="Calibri"/>
          <w:sz w:val="24"/>
          <w:szCs w:val="24"/>
          <w:lang w:val="el-GR"/>
        </w:rPr>
        <w:t xml:space="preserve">Δεοντολογίας </w:t>
      </w:r>
      <w:r w:rsidR="001A0360">
        <w:rPr>
          <w:rFonts w:ascii="Calibri" w:hAnsi="Calibri" w:cs="Calibri"/>
          <w:sz w:val="24"/>
          <w:szCs w:val="24"/>
          <w:lang w:val="el-GR"/>
        </w:rPr>
        <w:t>και</w:t>
      </w:r>
      <w:r w:rsidR="001A0360" w:rsidRPr="001A0360">
        <w:rPr>
          <w:rFonts w:ascii="Calibri" w:hAnsi="Calibri" w:cs="Calibri"/>
          <w:sz w:val="24"/>
          <w:szCs w:val="24"/>
          <w:lang w:val="el-GR"/>
        </w:rPr>
        <w:t xml:space="preserve"> </w:t>
      </w:r>
      <w:r w:rsidR="001A0360">
        <w:rPr>
          <w:rFonts w:ascii="Calibri" w:hAnsi="Calibri" w:cs="Calibri"/>
          <w:sz w:val="24"/>
          <w:szCs w:val="24"/>
          <w:lang w:val="el-GR"/>
        </w:rPr>
        <w:t>οι</w:t>
      </w:r>
      <w:r w:rsidR="001A0360" w:rsidRPr="001A0360">
        <w:rPr>
          <w:rFonts w:ascii="Calibri" w:hAnsi="Calibri" w:cs="Calibri"/>
          <w:sz w:val="24"/>
          <w:szCs w:val="24"/>
          <w:lang w:val="el-GR"/>
        </w:rPr>
        <w:t xml:space="preserve"> </w:t>
      </w:r>
      <w:r w:rsidR="001A0360">
        <w:rPr>
          <w:rFonts w:ascii="Calibri" w:hAnsi="Calibri" w:cs="Calibri"/>
          <w:sz w:val="24"/>
          <w:szCs w:val="24"/>
          <w:lang w:val="el-GR"/>
        </w:rPr>
        <w:t>καθοδηγητικές</w:t>
      </w:r>
      <w:r w:rsidR="001A0360" w:rsidRPr="001A0360">
        <w:rPr>
          <w:rFonts w:ascii="Calibri" w:hAnsi="Calibri" w:cs="Calibri"/>
          <w:sz w:val="24"/>
          <w:szCs w:val="24"/>
          <w:lang w:val="el-GR"/>
        </w:rPr>
        <w:t xml:space="preserve"> </w:t>
      </w:r>
      <w:r w:rsidR="001A0360">
        <w:rPr>
          <w:rFonts w:ascii="Calibri" w:hAnsi="Calibri" w:cs="Calibri"/>
          <w:sz w:val="24"/>
          <w:szCs w:val="24"/>
          <w:lang w:val="el-GR"/>
        </w:rPr>
        <w:t>γραμμές</w:t>
      </w:r>
      <w:r w:rsidR="00A5147D" w:rsidRPr="001A0360">
        <w:rPr>
          <w:rFonts w:ascii="Calibri" w:hAnsi="Calibri" w:cs="Calibri"/>
          <w:sz w:val="24"/>
          <w:szCs w:val="24"/>
          <w:lang w:val="el-GR"/>
        </w:rPr>
        <w:t xml:space="preserve"> (</w:t>
      </w:r>
      <w:r w:rsidR="001A0360">
        <w:rPr>
          <w:rFonts w:ascii="Calibri" w:hAnsi="Calibri" w:cs="Calibri"/>
          <w:sz w:val="24"/>
          <w:szCs w:val="24"/>
          <w:lang w:val="el-GR"/>
        </w:rPr>
        <w:t>παράγραφος</w:t>
      </w:r>
      <w:r w:rsidR="00A5147D" w:rsidRPr="001A0360">
        <w:rPr>
          <w:rFonts w:ascii="Calibri" w:hAnsi="Calibri" w:cs="Calibri"/>
          <w:sz w:val="24"/>
          <w:szCs w:val="24"/>
          <w:lang w:val="el-GR"/>
        </w:rPr>
        <w:t xml:space="preserve"> </w:t>
      </w:r>
      <w:r w:rsidR="00644EBB" w:rsidRPr="001A0360">
        <w:rPr>
          <w:rFonts w:ascii="Calibri" w:hAnsi="Calibri" w:cs="Calibri"/>
          <w:sz w:val="24"/>
          <w:szCs w:val="24"/>
          <w:lang w:val="el-GR"/>
        </w:rPr>
        <w:t>61</w:t>
      </w:r>
      <w:r w:rsidR="00A5147D" w:rsidRPr="001A0360">
        <w:rPr>
          <w:rFonts w:ascii="Calibri" w:hAnsi="Calibri" w:cs="Calibri"/>
          <w:sz w:val="24"/>
          <w:szCs w:val="24"/>
          <w:lang w:val="el-GR"/>
        </w:rPr>
        <w:t xml:space="preserve">), </w:t>
      </w:r>
      <w:r w:rsidR="001A0360">
        <w:rPr>
          <w:rFonts w:ascii="Calibri" w:hAnsi="Calibri" w:cs="Calibri"/>
          <w:sz w:val="24"/>
          <w:szCs w:val="24"/>
          <w:lang w:val="el-GR"/>
        </w:rPr>
        <w:t>καθώς επίσης και η εκπαίδευση</w:t>
      </w:r>
      <w:r w:rsidR="00A5147D" w:rsidRPr="001A0360">
        <w:rPr>
          <w:rFonts w:ascii="Calibri" w:hAnsi="Calibri" w:cs="Calibri"/>
          <w:sz w:val="24"/>
          <w:szCs w:val="24"/>
          <w:lang w:val="el-GR"/>
        </w:rPr>
        <w:t xml:space="preserve"> (</w:t>
      </w:r>
      <w:r w:rsidR="001A0360">
        <w:rPr>
          <w:rFonts w:ascii="Calibri" w:hAnsi="Calibri" w:cs="Calibri"/>
          <w:sz w:val="24"/>
          <w:szCs w:val="24"/>
          <w:lang w:val="el-GR"/>
        </w:rPr>
        <w:t>παράγραφος</w:t>
      </w:r>
      <w:r w:rsidR="00A5147D" w:rsidRPr="001A0360">
        <w:rPr>
          <w:rFonts w:ascii="Calibri" w:hAnsi="Calibri" w:cs="Calibri"/>
          <w:sz w:val="24"/>
          <w:szCs w:val="24"/>
          <w:lang w:val="el-GR"/>
        </w:rPr>
        <w:t xml:space="preserve"> </w:t>
      </w:r>
      <w:r w:rsidR="00644EBB" w:rsidRPr="001A0360">
        <w:rPr>
          <w:rFonts w:ascii="Calibri" w:hAnsi="Calibri" w:cs="Calibri"/>
          <w:sz w:val="24"/>
          <w:szCs w:val="24"/>
          <w:lang w:val="el-GR"/>
        </w:rPr>
        <w:t>63</w:t>
      </w:r>
      <w:r w:rsidR="00A5147D" w:rsidRPr="001A0360">
        <w:rPr>
          <w:rFonts w:ascii="Calibri" w:hAnsi="Calibri" w:cs="Calibri"/>
          <w:sz w:val="24"/>
          <w:szCs w:val="24"/>
          <w:lang w:val="el-GR"/>
        </w:rPr>
        <w:t xml:space="preserve">), </w:t>
      </w:r>
      <w:r w:rsidR="001A0360">
        <w:rPr>
          <w:rFonts w:ascii="Calibri" w:hAnsi="Calibri" w:cs="Calibri"/>
          <w:sz w:val="24"/>
          <w:szCs w:val="24"/>
          <w:lang w:val="el-GR"/>
        </w:rPr>
        <w:t>θα πρέπει να δίνουν ιδιαίτερη προσοχή</w:t>
      </w:r>
      <w:r w:rsidR="00A5147D" w:rsidRPr="001A0360">
        <w:rPr>
          <w:rFonts w:ascii="Calibri" w:hAnsi="Calibri" w:cs="Calibri"/>
          <w:sz w:val="24"/>
          <w:szCs w:val="24"/>
          <w:lang w:val="el-GR"/>
        </w:rPr>
        <w:t xml:space="preserve"> </w:t>
      </w:r>
      <w:r w:rsidR="001A0360">
        <w:rPr>
          <w:rFonts w:ascii="Calibri" w:hAnsi="Calibri" w:cs="Calibri"/>
          <w:sz w:val="24"/>
          <w:szCs w:val="24"/>
          <w:lang w:val="el-GR"/>
        </w:rPr>
        <w:t xml:space="preserve">στην πρόληψη </w:t>
      </w:r>
      <w:r w:rsidR="00C50B4F">
        <w:rPr>
          <w:rFonts w:ascii="Calibri" w:hAnsi="Calibri" w:cs="Calibri"/>
          <w:sz w:val="24"/>
          <w:szCs w:val="24"/>
          <w:lang w:val="el-GR"/>
        </w:rPr>
        <w:t xml:space="preserve">της </w:t>
      </w:r>
      <w:r w:rsidR="001A0360">
        <w:rPr>
          <w:rFonts w:ascii="Calibri" w:hAnsi="Calibri" w:cs="Calibri"/>
          <w:sz w:val="24"/>
          <w:szCs w:val="24"/>
          <w:lang w:val="el-GR"/>
        </w:rPr>
        <w:t>σύγκρουσης συμφερόντων</w:t>
      </w:r>
      <w:r w:rsidR="00A5147D" w:rsidRPr="001A0360">
        <w:rPr>
          <w:rFonts w:ascii="Calibri" w:hAnsi="Calibri" w:cs="Calibri"/>
          <w:sz w:val="24"/>
          <w:szCs w:val="24"/>
          <w:lang w:val="el-GR"/>
        </w:rPr>
        <w:t xml:space="preserve">. </w:t>
      </w:r>
      <w:r w:rsidR="001A0360">
        <w:rPr>
          <w:rFonts w:ascii="Calibri" w:hAnsi="Calibri" w:cs="Calibri"/>
          <w:sz w:val="24"/>
          <w:szCs w:val="24"/>
          <w:lang w:val="el-GR"/>
        </w:rPr>
        <w:t>Η</w:t>
      </w:r>
      <w:r w:rsidR="001A0360" w:rsidRPr="001A0360">
        <w:rPr>
          <w:rFonts w:ascii="Calibri" w:hAnsi="Calibri" w:cs="Calibri"/>
          <w:sz w:val="24"/>
          <w:szCs w:val="24"/>
          <w:lang w:val="el-GR"/>
        </w:rPr>
        <w:t xml:space="preserve"> </w:t>
      </w:r>
      <w:r w:rsidR="001A0360">
        <w:rPr>
          <w:rFonts w:ascii="Calibri" w:hAnsi="Calibri" w:cs="Calibri"/>
          <w:sz w:val="24"/>
          <w:szCs w:val="24"/>
          <w:lang w:val="el-GR"/>
        </w:rPr>
        <w:t>αντιμετώπιση</w:t>
      </w:r>
      <w:r w:rsidR="001A0360" w:rsidRPr="001A0360">
        <w:rPr>
          <w:rFonts w:ascii="Calibri" w:hAnsi="Calibri" w:cs="Calibri"/>
          <w:sz w:val="24"/>
          <w:szCs w:val="24"/>
          <w:lang w:val="el-GR"/>
        </w:rPr>
        <w:t xml:space="preserve"> </w:t>
      </w:r>
      <w:r w:rsidR="001A0360">
        <w:rPr>
          <w:rFonts w:ascii="Calibri" w:hAnsi="Calibri" w:cs="Calibri"/>
          <w:sz w:val="24"/>
          <w:szCs w:val="24"/>
          <w:lang w:val="el-GR"/>
        </w:rPr>
        <w:t>του</w:t>
      </w:r>
      <w:r w:rsidR="001A0360" w:rsidRPr="001A0360">
        <w:rPr>
          <w:rFonts w:ascii="Calibri" w:hAnsi="Calibri" w:cs="Calibri"/>
          <w:sz w:val="24"/>
          <w:szCs w:val="24"/>
          <w:lang w:val="el-GR"/>
        </w:rPr>
        <w:t xml:space="preserve"> </w:t>
      </w:r>
      <w:r w:rsidR="001A0360">
        <w:rPr>
          <w:rFonts w:ascii="Calibri" w:hAnsi="Calibri" w:cs="Calibri"/>
          <w:sz w:val="24"/>
          <w:szCs w:val="24"/>
          <w:lang w:val="el-GR"/>
        </w:rPr>
        <w:t>θέματος</w:t>
      </w:r>
      <w:r w:rsidR="001A0360" w:rsidRPr="001A0360">
        <w:rPr>
          <w:rFonts w:ascii="Calibri" w:hAnsi="Calibri" w:cs="Calibri"/>
          <w:sz w:val="24"/>
          <w:szCs w:val="24"/>
          <w:lang w:val="el-GR"/>
        </w:rPr>
        <w:t xml:space="preserve"> </w:t>
      </w:r>
      <w:r w:rsidR="001A0360">
        <w:rPr>
          <w:rFonts w:ascii="Calibri" w:hAnsi="Calibri" w:cs="Calibri"/>
          <w:sz w:val="24"/>
          <w:szCs w:val="24"/>
          <w:lang w:val="el-GR"/>
        </w:rPr>
        <w:t>αυτού</w:t>
      </w:r>
      <w:r w:rsidR="00A5147D" w:rsidRPr="001A0360">
        <w:rPr>
          <w:rFonts w:cstheme="minorHAnsi"/>
          <w:sz w:val="24"/>
          <w:szCs w:val="24"/>
          <w:lang w:val="el-GR"/>
        </w:rPr>
        <w:t xml:space="preserve"> </w:t>
      </w:r>
      <w:r w:rsidR="001A0360">
        <w:rPr>
          <w:rFonts w:cstheme="minorHAnsi"/>
          <w:sz w:val="24"/>
          <w:szCs w:val="24"/>
          <w:lang w:val="el-GR"/>
        </w:rPr>
        <w:t>θα</w:t>
      </w:r>
      <w:r w:rsidR="001A0360" w:rsidRPr="001A0360">
        <w:rPr>
          <w:rFonts w:cstheme="minorHAnsi"/>
          <w:sz w:val="24"/>
          <w:szCs w:val="24"/>
          <w:lang w:val="el-GR"/>
        </w:rPr>
        <w:t xml:space="preserve"> </w:t>
      </w:r>
      <w:r w:rsidR="00C50B4F">
        <w:rPr>
          <w:rFonts w:cstheme="minorHAnsi"/>
          <w:sz w:val="24"/>
          <w:szCs w:val="24"/>
          <w:lang w:val="el-GR"/>
        </w:rPr>
        <w:t xml:space="preserve">χρειαστεί </w:t>
      </w:r>
      <w:r w:rsidR="001A0360">
        <w:rPr>
          <w:rFonts w:cstheme="minorHAnsi"/>
          <w:sz w:val="24"/>
          <w:szCs w:val="24"/>
          <w:lang w:val="el-GR"/>
        </w:rPr>
        <w:t>περαιτέρω</w:t>
      </w:r>
      <w:r w:rsidR="001A0360" w:rsidRPr="001A0360">
        <w:rPr>
          <w:rFonts w:cstheme="minorHAnsi"/>
          <w:sz w:val="24"/>
          <w:szCs w:val="24"/>
          <w:lang w:val="el-GR"/>
        </w:rPr>
        <w:t xml:space="preserve"> </w:t>
      </w:r>
      <w:r w:rsidR="001A0360">
        <w:rPr>
          <w:rFonts w:cstheme="minorHAnsi"/>
          <w:sz w:val="24"/>
          <w:szCs w:val="24"/>
          <w:lang w:val="el-GR"/>
        </w:rPr>
        <w:t>εντατικό</w:t>
      </w:r>
      <w:r w:rsidR="001A0360" w:rsidRPr="001A0360">
        <w:rPr>
          <w:rFonts w:cstheme="minorHAnsi"/>
          <w:sz w:val="24"/>
          <w:szCs w:val="24"/>
          <w:lang w:val="el-GR"/>
        </w:rPr>
        <w:t xml:space="preserve"> </w:t>
      </w:r>
      <w:r w:rsidR="001A0360">
        <w:rPr>
          <w:rFonts w:cstheme="minorHAnsi"/>
          <w:sz w:val="24"/>
          <w:szCs w:val="24"/>
          <w:lang w:val="el-GR"/>
        </w:rPr>
        <w:t>και</w:t>
      </w:r>
      <w:r w:rsidR="001A0360" w:rsidRPr="001A0360">
        <w:rPr>
          <w:rFonts w:cstheme="minorHAnsi"/>
          <w:sz w:val="24"/>
          <w:szCs w:val="24"/>
          <w:lang w:val="el-GR"/>
        </w:rPr>
        <w:t xml:space="preserve"> </w:t>
      </w:r>
      <w:r w:rsidR="001A0360">
        <w:rPr>
          <w:rFonts w:cstheme="minorHAnsi"/>
          <w:sz w:val="24"/>
          <w:szCs w:val="24"/>
          <w:lang w:val="el-GR"/>
        </w:rPr>
        <w:t>προληπτικό</w:t>
      </w:r>
      <w:r w:rsidR="001A0360" w:rsidRPr="001A0360">
        <w:rPr>
          <w:rFonts w:cstheme="minorHAnsi"/>
          <w:sz w:val="24"/>
          <w:szCs w:val="24"/>
          <w:lang w:val="el-GR"/>
        </w:rPr>
        <w:t xml:space="preserve"> </w:t>
      </w:r>
      <w:r w:rsidR="001A0360">
        <w:rPr>
          <w:rFonts w:cstheme="minorHAnsi"/>
          <w:sz w:val="24"/>
          <w:szCs w:val="24"/>
          <w:lang w:val="el-GR"/>
        </w:rPr>
        <w:t>συντονισμό</w:t>
      </w:r>
      <w:r w:rsidR="001A0360" w:rsidRPr="001A0360">
        <w:rPr>
          <w:rFonts w:cstheme="minorHAnsi"/>
          <w:sz w:val="24"/>
          <w:szCs w:val="24"/>
          <w:lang w:val="el-GR"/>
        </w:rPr>
        <w:t xml:space="preserve"> </w:t>
      </w:r>
      <w:r w:rsidR="001A0360">
        <w:rPr>
          <w:rFonts w:cstheme="minorHAnsi"/>
          <w:sz w:val="24"/>
          <w:szCs w:val="24"/>
          <w:lang w:val="el-GR"/>
        </w:rPr>
        <w:t>αποφάσεων</w:t>
      </w:r>
      <w:r w:rsidR="00A5147D" w:rsidRPr="001A0360">
        <w:rPr>
          <w:rFonts w:cstheme="minorHAnsi"/>
          <w:sz w:val="24"/>
          <w:szCs w:val="24"/>
          <w:lang w:val="el-GR"/>
        </w:rPr>
        <w:t xml:space="preserve"> </w:t>
      </w:r>
      <w:r w:rsidR="001A0360">
        <w:rPr>
          <w:rFonts w:cstheme="minorHAnsi"/>
          <w:sz w:val="24"/>
          <w:szCs w:val="24"/>
          <w:lang w:val="el-GR"/>
        </w:rPr>
        <w:t>που</w:t>
      </w:r>
      <w:r w:rsidR="001A0360" w:rsidRPr="001A0360">
        <w:rPr>
          <w:rFonts w:cstheme="minorHAnsi"/>
          <w:sz w:val="24"/>
          <w:szCs w:val="24"/>
          <w:lang w:val="el-GR"/>
        </w:rPr>
        <w:t xml:space="preserve"> </w:t>
      </w:r>
      <w:r w:rsidR="001A0360">
        <w:rPr>
          <w:rFonts w:cstheme="minorHAnsi"/>
          <w:sz w:val="24"/>
          <w:szCs w:val="24"/>
          <w:lang w:val="el-GR"/>
        </w:rPr>
        <w:t>λαμβάνουν</w:t>
      </w:r>
      <w:r w:rsidR="001A0360" w:rsidRPr="001A0360">
        <w:rPr>
          <w:rFonts w:cstheme="minorHAnsi"/>
          <w:sz w:val="24"/>
          <w:szCs w:val="24"/>
          <w:lang w:val="el-GR"/>
        </w:rPr>
        <w:t xml:space="preserve"> </w:t>
      </w:r>
      <w:r w:rsidR="001A0360">
        <w:rPr>
          <w:rFonts w:cstheme="minorHAnsi"/>
          <w:sz w:val="24"/>
          <w:szCs w:val="24"/>
          <w:lang w:val="el-GR"/>
        </w:rPr>
        <w:t>διάφορα</w:t>
      </w:r>
      <w:r w:rsidR="001A0360" w:rsidRPr="001A0360">
        <w:rPr>
          <w:rFonts w:cstheme="minorHAnsi"/>
          <w:sz w:val="24"/>
          <w:szCs w:val="24"/>
          <w:lang w:val="el-GR"/>
        </w:rPr>
        <w:t xml:space="preserve"> </w:t>
      </w:r>
      <w:r w:rsidR="001A0360">
        <w:rPr>
          <w:rFonts w:cstheme="minorHAnsi"/>
          <w:sz w:val="24"/>
          <w:szCs w:val="24"/>
          <w:lang w:val="el-GR"/>
        </w:rPr>
        <w:t>όργανα/επιτροπές με αρμοδιότητες σ</w:t>
      </w:r>
      <w:r w:rsidR="00C50B4F">
        <w:rPr>
          <w:rFonts w:cstheme="minorHAnsi"/>
          <w:sz w:val="24"/>
          <w:szCs w:val="24"/>
          <w:lang w:val="el-GR"/>
        </w:rPr>
        <w:t>ε αυτό το</w:t>
      </w:r>
      <w:r w:rsidR="001A0360">
        <w:rPr>
          <w:rFonts w:cstheme="minorHAnsi"/>
          <w:sz w:val="24"/>
          <w:szCs w:val="24"/>
          <w:lang w:val="el-GR"/>
        </w:rPr>
        <w:t xml:space="preserve"> πεδίο</w:t>
      </w:r>
      <w:r w:rsidR="00A5147D" w:rsidRPr="001A0360">
        <w:rPr>
          <w:rFonts w:cstheme="minorHAnsi"/>
          <w:sz w:val="24"/>
          <w:szCs w:val="24"/>
          <w:lang w:val="el-GR"/>
        </w:rPr>
        <w:t xml:space="preserve">, </w:t>
      </w:r>
      <w:r w:rsidR="001A0360">
        <w:rPr>
          <w:rFonts w:cstheme="minorHAnsi"/>
          <w:sz w:val="24"/>
          <w:szCs w:val="24"/>
          <w:lang w:val="el-GR"/>
        </w:rPr>
        <w:t>με απώτερο σκοπό</w:t>
      </w:r>
      <w:r w:rsidR="001D7414">
        <w:rPr>
          <w:rFonts w:cstheme="minorHAnsi"/>
          <w:sz w:val="24"/>
          <w:szCs w:val="24"/>
          <w:lang w:val="el-GR"/>
        </w:rPr>
        <w:t xml:space="preserve"> την παροχή εναρμονισμένης προσέγγισης</w:t>
      </w:r>
      <w:r w:rsidR="00A5147D" w:rsidRPr="001A0360">
        <w:rPr>
          <w:rFonts w:cstheme="minorHAnsi"/>
          <w:sz w:val="24"/>
          <w:szCs w:val="24"/>
          <w:lang w:val="el-GR"/>
        </w:rPr>
        <w:t xml:space="preserve">, </w:t>
      </w:r>
      <w:r w:rsidR="001D7414">
        <w:rPr>
          <w:rFonts w:cstheme="minorHAnsi"/>
          <w:sz w:val="24"/>
          <w:szCs w:val="24"/>
          <w:lang w:val="el-GR"/>
        </w:rPr>
        <w:t>όπως συστήνεται στην παράγραφο</w:t>
      </w:r>
      <w:r w:rsidR="00A5147D" w:rsidRPr="001A0360">
        <w:rPr>
          <w:rFonts w:cstheme="minorHAnsi"/>
          <w:sz w:val="24"/>
          <w:szCs w:val="24"/>
          <w:lang w:val="el-GR"/>
        </w:rPr>
        <w:t xml:space="preserve"> </w:t>
      </w:r>
      <w:r w:rsidR="00644EBB" w:rsidRPr="001A0360">
        <w:rPr>
          <w:rFonts w:cstheme="minorHAnsi"/>
          <w:sz w:val="24"/>
          <w:szCs w:val="24"/>
          <w:lang w:val="el-GR"/>
        </w:rPr>
        <w:t>14</w:t>
      </w:r>
      <w:r w:rsidR="00BE416A" w:rsidRPr="001A0360">
        <w:rPr>
          <w:rFonts w:cstheme="minorHAnsi"/>
          <w:sz w:val="24"/>
          <w:szCs w:val="24"/>
          <w:lang w:val="el-GR"/>
        </w:rPr>
        <w:t>8</w:t>
      </w:r>
      <w:r w:rsidR="00A5147D" w:rsidRPr="001A0360">
        <w:rPr>
          <w:rFonts w:cstheme="minorHAnsi"/>
          <w:sz w:val="24"/>
          <w:szCs w:val="24"/>
          <w:lang w:val="el-GR"/>
        </w:rPr>
        <w:t>.</w:t>
      </w:r>
      <w:r w:rsidR="00A5147D" w:rsidRPr="001A0360">
        <w:rPr>
          <w:rFonts w:cstheme="minorHAnsi"/>
          <w:color w:val="FF0000"/>
          <w:sz w:val="24"/>
          <w:szCs w:val="24"/>
          <w:lang w:val="el-GR"/>
        </w:rPr>
        <w:t xml:space="preserve"> </w:t>
      </w:r>
    </w:p>
    <w:p w14:paraId="57428B01" w14:textId="77777777" w:rsidR="00A5147D" w:rsidRPr="001A0360" w:rsidRDefault="00A5147D" w:rsidP="00A5147D">
      <w:pPr>
        <w:pStyle w:val="ListParagraph"/>
        <w:rPr>
          <w:rFonts w:ascii="Calibri" w:eastAsia="Calibri" w:hAnsi="Calibri" w:cs="Calibri"/>
          <w:sz w:val="24"/>
          <w:szCs w:val="24"/>
          <w:lang w:val="el-GR"/>
        </w:rPr>
      </w:pPr>
    </w:p>
    <w:p w14:paraId="2EDB8652" w14:textId="47AEBC90" w:rsidR="00A5147D" w:rsidRPr="00742EBA" w:rsidRDefault="001D7414" w:rsidP="00A5147D">
      <w:pPr>
        <w:numPr>
          <w:ilvl w:val="0"/>
          <w:numId w:val="1"/>
        </w:numPr>
        <w:tabs>
          <w:tab w:val="clear" w:pos="6095"/>
          <w:tab w:val="left" w:pos="709"/>
        </w:tabs>
        <w:ind w:left="0" w:firstLine="0"/>
        <w:rPr>
          <w:rFonts w:cstheme="minorHAnsi"/>
          <w:sz w:val="24"/>
          <w:szCs w:val="24"/>
          <w:lang w:val="el-GR"/>
        </w:rPr>
      </w:pPr>
      <w:r>
        <w:rPr>
          <w:rFonts w:ascii="Calibri" w:eastAsia="Calibri" w:hAnsi="Calibri" w:cs="Calibri"/>
          <w:sz w:val="24"/>
          <w:szCs w:val="24"/>
          <w:lang w:val="el-GR"/>
        </w:rPr>
        <w:lastRenderedPageBreak/>
        <w:t>Η</w:t>
      </w:r>
      <w:r w:rsidR="00A5147D" w:rsidRPr="001D7414">
        <w:rPr>
          <w:rFonts w:ascii="Calibri" w:eastAsia="Calibri" w:hAnsi="Calibri" w:cs="Calibri"/>
          <w:sz w:val="24"/>
          <w:szCs w:val="24"/>
          <w:lang w:val="el-GR"/>
        </w:rPr>
        <w:t xml:space="preserve"> </w:t>
      </w:r>
      <w:r w:rsidR="00A5147D" w:rsidRPr="000538B6">
        <w:rPr>
          <w:rFonts w:ascii="Calibri" w:eastAsia="Calibri" w:hAnsi="Calibri" w:cs="Calibri"/>
          <w:sz w:val="24"/>
          <w:szCs w:val="24"/>
        </w:rPr>
        <w:t>GET</w:t>
      </w:r>
      <w:r w:rsidR="00A5147D" w:rsidRPr="001D7414">
        <w:rPr>
          <w:rFonts w:ascii="Calibri" w:eastAsia="Calibri" w:hAnsi="Calibri" w:cs="Calibri"/>
          <w:sz w:val="24"/>
          <w:szCs w:val="24"/>
          <w:lang w:val="el-GR"/>
        </w:rPr>
        <w:t xml:space="preserve"> </w:t>
      </w:r>
      <w:r>
        <w:rPr>
          <w:rFonts w:ascii="Calibri" w:eastAsia="Calibri" w:hAnsi="Calibri" w:cs="Calibri"/>
          <w:sz w:val="24"/>
          <w:szCs w:val="24"/>
          <w:lang w:val="el-GR"/>
        </w:rPr>
        <w:t>έχει</w:t>
      </w:r>
      <w:r w:rsidRPr="001D7414">
        <w:rPr>
          <w:rFonts w:ascii="Calibri" w:eastAsia="Calibri" w:hAnsi="Calibri" w:cs="Calibri"/>
          <w:sz w:val="24"/>
          <w:szCs w:val="24"/>
          <w:lang w:val="el-GR"/>
        </w:rPr>
        <w:t xml:space="preserve"> </w:t>
      </w:r>
      <w:r>
        <w:rPr>
          <w:rFonts w:ascii="Calibri" w:eastAsia="Calibri" w:hAnsi="Calibri" w:cs="Calibri"/>
          <w:sz w:val="24"/>
          <w:szCs w:val="24"/>
          <w:lang w:val="el-GR"/>
        </w:rPr>
        <w:t>επίσης</w:t>
      </w:r>
      <w:r w:rsidRPr="001D7414">
        <w:rPr>
          <w:rFonts w:ascii="Calibri" w:eastAsia="Calibri" w:hAnsi="Calibri" w:cs="Calibri"/>
          <w:sz w:val="24"/>
          <w:szCs w:val="24"/>
          <w:lang w:val="el-GR"/>
        </w:rPr>
        <w:t xml:space="preserve"> </w:t>
      </w:r>
      <w:proofErr w:type="spellStart"/>
      <w:r>
        <w:rPr>
          <w:rFonts w:ascii="Calibri" w:eastAsia="Calibri" w:hAnsi="Calibri" w:cs="Calibri"/>
          <w:sz w:val="24"/>
          <w:szCs w:val="24"/>
          <w:lang w:val="el-GR"/>
        </w:rPr>
        <w:t>ενδιασμούς</w:t>
      </w:r>
      <w:proofErr w:type="spellEnd"/>
      <w:r w:rsidR="00A5147D" w:rsidRPr="001D7414">
        <w:rPr>
          <w:rFonts w:ascii="Calibri" w:eastAsia="Calibri" w:hAnsi="Calibri" w:cs="Calibri"/>
          <w:sz w:val="24"/>
          <w:szCs w:val="24"/>
          <w:lang w:val="el-GR"/>
        </w:rPr>
        <w:t xml:space="preserve"> </w:t>
      </w:r>
      <w:r>
        <w:rPr>
          <w:rFonts w:ascii="Calibri" w:eastAsia="Calibri" w:hAnsi="Calibri" w:cs="Calibri"/>
          <w:sz w:val="24"/>
          <w:szCs w:val="24"/>
          <w:lang w:val="el-GR"/>
        </w:rPr>
        <w:t>για</w:t>
      </w:r>
      <w:r w:rsidRPr="001D7414">
        <w:rPr>
          <w:rFonts w:ascii="Calibri" w:eastAsia="Calibri" w:hAnsi="Calibri" w:cs="Calibri"/>
          <w:sz w:val="24"/>
          <w:szCs w:val="24"/>
          <w:lang w:val="el-GR"/>
        </w:rPr>
        <w:t xml:space="preserve"> </w:t>
      </w:r>
      <w:r>
        <w:rPr>
          <w:rFonts w:ascii="Calibri" w:eastAsia="Calibri" w:hAnsi="Calibri" w:cs="Calibri"/>
          <w:sz w:val="24"/>
          <w:szCs w:val="24"/>
          <w:lang w:val="el-GR"/>
        </w:rPr>
        <w:t>το</w:t>
      </w:r>
      <w:r w:rsidRPr="001D7414">
        <w:rPr>
          <w:rFonts w:ascii="Calibri" w:eastAsia="Calibri" w:hAnsi="Calibri" w:cs="Calibri"/>
          <w:sz w:val="24"/>
          <w:szCs w:val="24"/>
          <w:lang w:val="el-GR"/>
        </w:rPr>
        <w:t xml:space="preserve"> </w:t>
      </w:r>
      <w:r>
        <w:rPr>
          <w:rFonts w:ascii="Calibri" w:eastAsia="Calibri" w:hAnsi="Calibri" w:cs="Calibri"/>
          <w:sz w:val="24"/>
          <w:szCs w:val="24"/>
          <w:lang w:val="el-GR"/>
        </w:rPr>
        <w:t>αν</w:t>
      </w:r>
      <w:r w:rsidRPr="001D7414">
        <w:rPr>
          <w:rFonts w:ascii="Calibri" w:eastAsia="Calibri" w:hAnsi="Calibri" w:cs="Calibri"/>
          <w:sz w:val="24"/>
          <w:szCs w:val="24"/>
          <w:lang w:val="el-GR"/>
        </w:rPr>
        <w:t xml:space="preserve"> </w:t>
      </w:r>
      <w:r>
        <w:rPr>
          <w:rFonts w:ascii="Calibri" w:eastAsia="Calibri" w:hAnsi="Calibri" w:cs="Calibri"/>
          <w:sz w:val="24"/>
          <w:szCs w:val="24"/>
          <w:lang w:val="el-GR"/>
        </w:rPr>
        <w:t>ολόκληρο</w:t>
      </w:r>
      <w:r w:rsidRPr="001D7414">
        <w:rPr>
          <w:rFonts w:ascii="Calibri" w:eastAsia="Calibri" w:hAnsi="Calibri" w:cs="Calibri"/>
          <w:sz w:val="24"/>
          <w:szCs w:val="24"/>
          <w:lang w:val="el-GR"/>
        </w:rPr>
        <w:t xml:space="preserve"> </w:t>
      </w:r>
      <w:r>
        <w:rPr>
          <w:rFonts w:ascii="Calibri" w:eastAsia="Calibri" w:hAnsi="Calibri" w:cs="Calibri"/>
          <w:sz w:val="24"/>
          <w:szCs w:val="24"/>
          <w:lang w:val="el-GR"/>
        </w:rPr>
        <w:t>το</w:t>
      </w:r>
      <w:r w:rsidRPr="001D7414">
        <w:rPr>
          <w:rFonts w:ascii="Calibri" w:eastAsia="Calibri" w:hAnsi="Calibri" w:cs="Calibri"/>
          <w:sz w:val="24"/>
          <w:szCs w:val="24"/>
          <w:lang w:val="el-GR"/>
        </w:rPr>
        <w:t xml:space="preserve"> </w:t>
      </w:r>
      <w:r>
        <w:rPr>
          <w:rFonts w:ascii="Calibri" w:eastAsia="Calibri" w:hAnsi="Calibri" w:cs="Calibri"/>
          <w:sz w:val="24"/>
          <w:szCs w:val="24"/>
          <w:lang w:val="el-GR"/>
        </w:rPr>
        <w:t>φάσμα</w:t>
      </w:r>
      <w:r w:rsidR="00A5147D" w:rsidRPr="001D7414">
        <w:rPr>
          <w:rFonts w:ascii="Calibri" w:eastAsia="Calibri" w:hAnsi="Calibri" w:cs="Calibri"/>
          <w:sz w:val="24"/>
          <w:szCs w:val="24"/>
          <w:lang w:val="el-GR"/>
        </w:rPr>
        <w:t xml:space="preserve"> </w:t>
      </w:r>
      <w:r>
        <w:rPr>
          <w:rFonts w:ascii="Calibri" w:eastAsia="Calibri" w:hAnsi="Calibri" w:cs="Calibri"/>
          <w:sz w:val="24"/>
          <w:szCs w:val="24"/>
          <w:lang w:val="el-GR"/>
        </w:rPr>
        <w:t>των</w:t>
      </w:r>
      <w:r w:rsidRPr="001D7414">
        <w:rPr>
          <w:rFonts w:ascii="Calibri" w:eastAsia="Calibri" w:hAnsi="Calibri" w:cs="Calibri"/>
          <w:sz w:val="24"/>
          <w:szCs w:val="24"/>
          <w:lang w:val="el-GR"/>
        </w:rPr>
        <w:t xml:space="preserve"> </w:t>
      </w:r>
      <w:r w:rsidR="00156E66">
        <w:rPr>
          <w:rFonts w:ascii="Calibri" w:eastAsia="Calibri" w:hAnsi="Calibri" w:cs="Calibri"/>
          <w:sz w:val="24"/>
          <w:szCs w:val="24"/>
          <w:lang w:val="en-US"/>
        </w:rPr>
        <w:t>PTEFs</w:t>
      </w:r>
      <w:r w:rsidR="00156E66" w:rsidRPr="002B7C4B">
        <w:rPr>
          <w:rFonts w:ascii="Calibri" w:eastAsia="Calibri" w:hAnsi="Calibri" w:cs="Calibri"/>
          <w:sz w:val="24"/>
          <w:szCs w:val="24"/>
          <w:lang w:val="el-GR"/>
        </w:rPr>
        <w:t xml:space="preserve"> </w:t>
      </w:r>
      <w:r>
        <w:rPr>
          <w:rFonts w:ascii="Calibri" w:eastAsia="Calibri" w:hAnsi="Calibri" w:cs="Calibri"/>
          <w:sz w:val="24"/>
          <w:szCs w:val="24"/>
          <w:lang w:val="el-GR"/>
        </w:rPr>
        <w:t>θα</w:t>
      </w:r>
      <w:r w:rsidRPr="001D7414">
        <w:rPr>
          <w:rFonts w:ascii="Calibri" w:eastAsia="Calibri" w:hAnsi="Calibri" w:cs="Calibri"/>
          <w:sz w:val="24"/>
          <w:szCs w:val="24"/>
          <w:lang w:val="el-GR"/>
        </w:rPr>
        <w:t xml:space="preserve"> </w:t>
      </w:r>
      <w:r w:rsidR="00156E66">
        <w:rPr>
          <w:rFonts w:ascii="Calibri" w:eastAsia="Calibri" w:hAnsi="Calibri" w:cs="Calibri"/>
          <w:sz w:val="24"/>
          <w:szCs w:val="24"/>
          <w:lang w:val="el-GR"/>
        </w:rPr>
        <w:t xml:space="preserve">εμπίπτει </w:t>
      </w:r>
      <w:r>
        <w:rPr>
          <w:rFonts w:ascii="Calibri" w:eastAsia="Calibri" w:hAnsi="Calibri" w:cs="Calibri"/>
          <w:sz w:val="24"/>
          <w:szCs w:val="24"/>
          <w:lang w:val="el-GR"/>
        </w:rPr>
        <w:t>στην</w:t>
      </w:r>
      <w:r w:rsidRPr="001D7414">
        <w:rPr>
          <w:rFonts w:ascii="Calibri" w:eastAsia="Calibri" w:hAnsi="Calibri" w:cs="Calibri"/>
          <w:sz w:val="24"/>
          <w:szCs w:val="24"/>
          <w:lang w:val="el-GR"/>
        </w:rPr>
        <w:t xml:space="preserve"> </w:t>
      </w:r>
      <w:r>
        <w:rPr>
          <w:rFonts w:ascii="Calibri" w:eastAsia="Calibri" w:hAnsi="Calibri" w:cs="Calibri"/>
          <w:sz w:val="24"/>
          <w:szCs w:val="24"/>
          <w:lang w:val="el-GR"/>
        </w:rPr>
        <w:t>απαίτηση</w:t>
      </w:r>
      <w:r w:rsidRPr="001D7414">
        <w:rPr>
          <w:rFonts w:ascii="Calibri" w:eastAsia="Calibri" w:hAnsi="Calibri" w:cs="Calibri"/>
          <w:sz w:val="24"/>
          <w:szCs w:val="24"/>
          <w:lang w:val="el-GR"/>
        </w:rPr>
        <w:t xml:space="preserve"> </w:t>
      </w:r>
      <w:r>
        <w:rPr>
          <w:rFonts w:ascii="Calibri" w:eastAsia="Calibri" w:hAnsi="Calibri" w:cs="Calibri"/>
          <w:sz w:val="24"/>
          <w:szCs w:val="24"/>
          <w:lang w:val="el-GR"/>
        </w:rPr>
        <w:t>της</w:t>
      </w:r>
      <w:r w:rsidRPr="001D7414">
        <w:rPr>
          <w:rFonts w:ascii="Calibri" w:eastAsia="Calibri" w:hAnsi="Calibri" w:cs="Calibri"/>
          <w:sz w:val="24"/>
          <w:szCs w:val="24"/>
          <w:lang w:val="el-GR"/>
        </w:rPr>
        <w:t xml:space="preserve"> </w:t>
      </w:r>
      <w:r w:rsidR="00A5147D" w:rsidRPr="000538B6">
        <w:rPr>
          <w:rFonts w:ascii="Calibri" w:eastAsia="Calibri" w:hAnsi="Calibri" w:cs="Calibri"/>
          <w:sz w:val="24"/>
          <w:szCs w:val="24"/>
        </w:rPr>
        <w:t>ad</w:t>
      </w:r>
      <w:r w:rsidR="00A5147D" w:rsidRPr="001D7414">
        <w:rPr>
          <w:rFonts w:ascii="Calibri" w:eastAsia="Calibri" w:hAnsi="Calibri" w:cs="Calibri"/>
          <w:sz w:val="24"/>
          <w:szCs w:val="24"/>
          <w:lang w:val="el-GR"/>
        </w:rPr>
        <w:t>-</w:t>
      </w:r>
      <w:r w:rsidR="00A5147D" w:rsidRPr="000538B6">
        <w:rPr>
          <w:rFonts w:ascii="Calibri" w:eastAsia="Calibri" w:hAnsi="Calibri" w:cs="Calibri"/>
          <w:sz w:val="24"/>
          <w:szCs w:val="24"/>
        </w:rPr>
        <w:t>hoc</w:t>
      </w:r>
      <w:r w:rsidR="00A5147D" w:rsidRPr="001D7414">
        <w:rPr>
          <w:rFonts w:ascii="Calibri" w:eastAsia="Calibri" w:hAnsi="Calibri" w:cs="Calibri"/>
          <w:sz w:val="24"/>
          <w:szCs w:val="24"/>
          <w:lang w:val="el-GR"/>
        </w:rPr>
        <w:t xml:space="preserve"> </w:t>
      </w:r>
      <w:r>
        <w:rPr>
          <w:rFonts w:ascii="Calibri" w:eastAsia="Calibri" w:hAnsi="Calibri" w:cs="Calibri"/>
          <w:sz w:val="24"/>
          <w:szCs w:val="24"/>
          <w:lang w:val="el-GR"/>
        </w:rPr>
        <w:t>αποκάλυψης</w:t>
      </w:r>
      <w:r w:rsidR="00A5147D" w:rsidRPr="001D7414">
        <w:rPr>
          <w:rFonts w:ascii="Calibri" w:eastAsia="Calibri" w:hAnsi="Calibri" w:cs="Calibri"/>
          <w:sz w:val="24"/>
          <w:szCs w:val="24"/>
          <w:lang w:val="el-GR"/>
        </w:rPr>
        <w:t xml:space="preserve">, </w:t>
      </w:r>
      <w:r>
        <w:rPr>
          <w:rFonts w:ascii="Calibri" w:eastAsia="Calibri" w:hAnsi="Calibri" w:cs="Calibri"/>
          <w:sz w:val="24"/>
          <w:szCs w:val="24"/>
          <w:lang w:val="el-GR"/>
        </w:rPr>
        <w:t>δεδομένου</w:t>
      </w:r>
      <w:r w:rsidRPr="001D7414">
        <w:rPr>
          <w:rFonts w:ascii="Calibri" w:eastAsia="Calibri" w:hAnsi="Calibri" w:cs="Calibri"/>
          <w:sz w:val="24"/>
          <w:szCs w:val="24"/>
          <w:lang w:val="el-GR"/>
        </w:rPr>
        <w:t xml:space="preserve"> </w:t>
      </w:r>
      <w:r>
        <w:rPr>
          <w:rFonts w:ascii="Calibri" w:eastAsia="Calibri" w:hAnsi="Calibri" w:cs="Calibri"/>
          <w:sz w:val="24"/>
          <w:szCs w:val="24"/>
          <w:lang w:val="el-GR"/>
        </w:rPr>
        <w:t>ότι</w:t>
      </w:r>
      <w:r w:rsidR="00A5147D" w:rsidRPr="001D7414">
        <w:rPr>
          <w:rFonts w:ascii="Calibri" w:eastAsia="Calibri" w:hAnsi="Calibri" w:cs="Calibri"/>
          <w:sz w:val="24"/>
          <w:szCs w:val="24"/>
          <w:lang w:val="el-GR"/>
        </w:rPr>
        <w:t xml:space="preserve"> </w:t>
      </w:r>
      <w:r>
        <w:rPr>
          <w:rFonts w:ascii="Calibri" w:eastAsia="Calibri" w:hAnsi="Calibri" w:cs="Calibri"/>
          <w:sz w:val="24"/>
          <w:szCs w:val="24"/>
          <w:lang w:val="el-GR"/>
        </w:rPr>
        <w:t>ο</w:t>
      </w:r>
      <w:r w:rsidRPr="001D7414">
        <w:rPr>
          <w:rFonts w:ascii="Calibri" w:eastAsia="Calibri" w:hAnsi="Calibri" w:cs="Calibri"/>
          <w:sz w:val="24"/>
          <w:szCs w:val="24"/>
          <w:lang w:val="el-GR"/>
        </w:rPr>
        <w:t xml:space="preserve"> </w:t>
      </w:r>
      <w:r>
        <w:rPr>
          <w:rFonts w:ascii="Calibri" w:eastAsia="Calibri" w:hAnsi="Calibri" w:cs="Calibri"/>
          <w:sz w:val="24"/>
          <w:szCs w:val="24"/>
          <w:lang w:val="el-GR"/>
        </w:rPr>
        <w:t>νόμος</w:t>
      </w:r>
      <w:r w:rsidRPr="001D7414">
        <w:rPr>
          <w:rFonts w:ascii="Calibri" w:eastAsia="Calibri" w:hAnsi="Calibri" w:cs="Calibri"/>
          <w:sz w:val="24"/>
          <w:szCs w:val="24"/>
          <w:lang w:val="el-GR"/>
        </w:rPr>
        <w:t xml:space="preserve"> </w:t>
      </w:r>
      <w:r w:rsidR="00156E66">
        <w:rPr>
          <w:rFonts w:ascii="Calibri" w:eastAsia="Calibri" w:hAnsi="Calibri" w:cs="Calibri"/>
          <w:sz w:val="24"/>
          <w:szCs w:val="24"/>
          <w:lang w:val="el-GR"/>
        </w:rPr>
        <w:t xml:space="preserve">ορίζει </w:t>
      </w:r>
      <w:r>
        <w:rPr>
          <w:rFonts w:ascii="Calibri" w:eastAsia="Calibri" w:hAnsi="Calibri" w:cs="Calibri"/>
          <w:sz w:val="24"/>
          <w:szCs w:val="24"/>
          <w:lang w:val="el-GR"/>
        </w:rPr>
        <w:t>μια</w:t>
      </w:r>
      <w:r w:rsidRPr="001D7414">
        <w:rPr>
          <w:rFonts w:ascii="Calibri" w:eastAsia="Calibri" w:hAnsi="Calibri" w:cs="Calibri"/>
          <w:sz w:val="24"/>
          <w:szCs w:val="24"/>
          <w:lang w:val="el-GR"/>
        </w:rPr>
        <w:t xml:space="preserve"> </w:t>
      </w:r>
      <w:r>
        <w:rPr>
          <w:rFonts w:ascii="Calibri" w:eastAsia="Calibri" w:hAnsi="Calibri" w:cs="Calibri"/>
          <w:sz w:val="24"/>
          <w:szCs w:val="24"/>
          <w:lang w:val="el-GR"/>
        </w:rPr>
        <w:t>τέτοια</w:t>
      </w:r>
      <w:r w:rsidRPr="001D7414">
        <w:rPr>
          <w:rFonts w:ascii="Calibri" w:eastAsia="Calibri" w:hAnsi="Calibri" w:cs="Calibri"/>
          <w:sz w:val="24"/>
          <w:szCs w:val="24"/>
          <w:lang w:val="el-GR"/>
        </w:rPr>
        <w:t xml:space="preserve"> </w:t>
      </w:r>
      <w:r>
        <w:rPr>
          <w:rFonts w:ascii="Calibri" w:eastAsia="Calibri" w:hAnsi="Calibri" w:cs="Calibri"/>
          <w:sz w:val="24"/>
          <w:szCs w:val="24"/>
          <w:lang w:val="el-GR"/>
        </w:rPr>
        <w:t>υποχρέωση</w:t>
      </w:r>
      <w:r w:rsidR="00A5147D" w:rsidRPr="001D7414">
        <w:rPr>
          <w:rFonts w:ascii="Calibri" w:eastAsia="Calibri" w:hAnsi="Calibri" w:cs="Calibri"/>
          <w:sz w:val="24"/>
          <w:szCs w:val="24"/>
          <w:lang w:val="el-GR"/>
        </w:rPr>
        <w:t xml:space="preserve"> </w:t>
      </w:r>
      <w:r>
        <w:rPr>
          <w:rFonts w:ascii="Calibri" w:eastAsia="Calibri" w:hAnsi="Calibri" w:cs="Calibri"/>
          <w:sz w:val="24"/>
          <w:szCs w:val="24"/>
          <w:lang w:val="el-GR"/>
        </w:rPr>
        <w:t>όταν λειτουργοί έχουν την αρμοδιότητα</w:t>
      </w:r>
      <w:r w:rsidR="00A5147D" w:rsidRPr="001D7414">
        <w:rPr>
          <w:rFonts w:ascii="Calibri" w:eastAsia="Calibri" w:hAnsi="Calibri" w:cs="Calibri"/>
          <w:sz w:val="24"/>
          <w:szCs w:val="24"/>
          <w:lang w:val="el-GR"/>
        </w:rPr>
        <w:t xml:space="preserve"> </w:t>
      </w:r>
      <w:r>
        <w:rPr>
          <w:rFonts w:ascii="Calibri" w:eastAsia="Calibri" w:hAnsi="Calibri" w:cs="Calibri"/>
          <w:sz w:val="24"/>
          <w:szCs w:val="24"/>
          <w:lang w:val="el-GR"/>
        </w:rPr>
        <w:t>να ξεκινήσουν</w:t>
      </w:r>
      <w:r w:rsidR="00A5147D" w:rsidRPr="001D7414">
        <w:rPr>
          <w:rFonts w:ascii="Calibri" w:eastAsia="Calibri" w:hAnsi="Calibri" w:cs="Calibri"/>
          <w:sz w:val="24"/>
          <w:szCs w:val="24"/>
          <w:lang w:val="el-GR"/>
        </w:rPr>
        <w:t xml:space="preserve"> </w:t>
      </w:r>
      <w:r>
        <w:rPr>
          <w:rFonts w:ascii="Calibri" w:eastAsia="Calibri" w:hAnsi="Calibri" w:cs="Calibri"/>
          <w:sz w:val="24"/>
          <w:szCs w:val="24"/>
          <w:lang w:val="el-GR"/>
        </w:rPr>
        <w:t>και</w:t>
      </w:r>
      <w:r w:rsidR="00A5147D" w:rsidRPr="001D7414">
        <w:rPr>
          <w:rFonts w:ascii="Calibri" w:eastAsia="Calibri" w:hAnsi="Calibri" w:cs="Calibri"/>
          <w:sz w:val="24"/>
          <w:szCs w:val="24"/>
          <w:lang w:val="el-GR"/>
        </w:rPr>
        <w:t>/</w:t>
      </w:r>
      <w:r>
        <w:rPr>
          <w:rFonts w:ascii="Calibri" w:eastAsia="Calibri" w:hAnsi="Calibri" w:cs="Calibri"/>
          <w:sz w:val="24"/>
          <w:szCs w:val="24"/>
          <w:lang w:val="el-GR"/>
        </w:rPr>
        <w:t>ή</w:t>
      </w:r>
      <w:r w:rsidR="00A5147D" w:rsidRPr="001D7414">
        <w:rPr>
          <w:rFonts w:ascii="Calibri" w:eastAsia="Calibri" w:hAnsi="Calibri" w:cs="Calibri"/>
          <w:sz w:val="24"/>
          <w:szCs w:val="24"/>
          <w:lang w:val="el-GR"/>
        </w:rPr>
        <w:t xml:space="preserve"> </w:t>
      </w:r>
      <w:r>
        <w:rPr>
          <w:rFonts w:ascii="Calibri" w:eastAsia="Calibri" w:hAnsi="Calibri" w:cs="Calibri"/>
          <w:sz w:val="24"/>
          <w:szCs w:val="24"/>
          <w:lang w:val="el-GR"/>
        </w:rPr>
        <w:t>να</w:t>
      </w:r>
      <w:r w:rsidRPr="001D7414">
        <w:rPr>
          <w:rFonts w:ascii="Calibri" w:eastAsia="Calibri" w:hAnsi="Calibri" w:cs="Calibri"/>
          <w:sz w:val="24"/>
          <w:szCs w:val="24"/>
          <w:lang w:val="el-GR"/>
        </w:rPr>
        <w:t xml:space="preserve"> </w:t>
      </w:r>
      <w:r w:rsidR="00156E66">
        <w:rPr>
          <w:rFonts w:ascii="Calibri" w:eastAsia="Calibri" w:hAnsi="Calibri" w:cs="Calibri"/>
          <w:sz w:val="24"/>
          <w:szCs w:val="24"/>
          <w:lang w:val="el-GR"/>
        </w:rPr>
        <w:t xml:space="preserve">διαμορφώσουν </w:t>
      </w:r>
      <w:r>
        <w:rPr>
          <w:rFonts w:ascii="Calibri" w:eastAsia="Calibri" w:hAnsi="Calibri" w:cs="Calibri"/>
          <w:sz w:val="24"/>
          <w:szCs w:val="24"/>
          <w:lang w:val="el-GR"/>
        </w:rPr>
        <w:t>το περιεχόμενο και</w:t>
      </w:r>
      <w:r w:rsidR="00A5147D" w:rsidRPr="001D7414">
        <w:rPr>
          <w:rFonts w:ascii="Calibri" w:eastAsia="Calibri" w:hAnsi="Calibri" w:cs="Calibri"/>
          <w:sz w:val="24"/>
          <w:szCs w:val="24"/>
          <w:lang w:val="el-GR"/>
        </w:rPr>
        <w:t>/</w:t>
      </w:r>
      <w:r>
        <w:rPr>
          <w:rFonts w:ascii="Calibri" w:eastAsia="Calibri" w:hAnsi="Calibri" w:cs="Calibri"/>
          <w:sz w:val="24"/>
          <w:szCs w:val="24"/>
          <w:lang w:val="el-GR"/>
        </w:rPr>
        <w:t>ή να καθορίσουν</w:t>
      </w:r>
      <w:r w:rsidR="00A5147D" w:rsidRPr="001D7414">
        <w:rPr>
          <w:rFonts w:ascii="Calibri" w:eastAsia="Calibri" w:hAnsi="Calibri" w:cs="Calibri"/>
          <w:sz w:val="24"/>
          <w:szCs w:val="24"/>
          <w:lang w:val="el-GR"/>
        </w:rPr>
        <w:t xml:space="preserve"> </w:t>
      </w:r>
      <w:r>
        <w:rPr>
          <w:rFonts w:ascii="Calibri" w:eastAsia="Calibri" w:hAnsi="Calibri" w:cs="Calibri"/>
          <w:sz w:val="24"/>
          <w:szCs w:val="24"/>
          <w:lang w:val="el-GR"/>
        </w:rPr>
        <w:t>το τελικό αποτέλεσμα</w:t>
      </w:r>
      <w:r w:rsidR="00A5147D" w:rsidRPr="001D7414">
        <w:rPr>
          <w:rFonts w:ascii="Calibri" w:eastAsia="Calibri" w:hAnsi="Calibri" w:cs="Calibri"/>
          <w:sz w:val="24"/>
          <w:szCs w:val="24"/>
          <w:lang w:val="el-GR"/>
        </w:rPr>
        <w:t xml:space="preserve"> </w:t>
      </w:r>
      <w:r>
        <w:rPr>
          <w:rFonts w:ascii="Calibri" w:eastAsia="Calibri" w:hAnsi="Calibri" w:cs="Calibri"/>
          <w:sz w:val="24"/>
          <w:szCs w:val="24"/>
          <w:lang w:val="el-GR"/>
        </w:rPr>
        <w:t>της διαδικασίας λήψης δημοσίων αποφάσεων</w:t>
      </w:r>
      <w:r w:rsidR="00A5147D" w:rsidRPr="001D7414">
        <w:rPr>
          <w:rFonts w:ascii="Calibri" w:eastAsia="Calibri" w:hAnsi="Calibri" w:cs="Calibri"/>
          <w:sz w:val="24"/>
          <w:szCs w:val="24"/>
          <w:lang w:val="el-GR"/>
        </w:rPr>
        <w:t xml:space="preserve">. </w:t>
      </w:r>
      <w:r w:rsidR="00DB0C19">
        <w:rPr>
          <w:rFonts w:ascii="Calibri" w:eastAsia="Calibri" w:hAnsi="Calibri" w:cs="Calibri"/>
          <w:sz w:val="24"/>
          <w:szCs w:val="24"/>
          <w:lang w:val="el-GR"/>
        </w:rPr>
        <w:t>Όπως</w:t>
      </w:r>
      <w:r w:rsidR="00DB0C19" w:rsidRPr="00742EBA">
        <w:rPr>
          <w:rFonts w:ascii="Calibri" w:eastAsia="Calibri" w:hAnsi="Calibri" w:cs="Calibri"/>
          <w:sz w:val="24"/>
          <w:szCs w:val="24"/>
          <w:lang w:val="el-GR"/>
        </w:rPr>
        <w:t xml:space="preserve"> </w:t>
      </w:r>
      <w:r w:rsidR="00DB0C19">
        <w:rPr>
          <w:rFonts w:ascii="Calibri" w:eastAsia="Calibri" w:hAnsi="Calibri" w:cs="Calibri"/>
          <w:sz w:val="24"/>
          <w:szCs w:val="24"/>
          <w:lang w:val="el-GR"/>
        </w:rPr>
        <w:t>τονίσθηκε</w:t>
      </w:r>
      <w:r w:rsidR="00DB0C19" w:rsidRPr="00742EBA">
        <w:rPr>
          <w:rFonts w:ascii="Calibri" w:eastAsia="Calibri" w:hAnsi="Calibri" w:cs="Calibri"/>
          <w:sz w:val="24"/>
          <w:szCs w:val="24"/>
          <w:lang w:val="el-GR"/>
        </w:rPr>
        <w:t xml:space="preserve"> </w:t>
      </w:r>
      <w:r w:rsidR="00DB0C19">
        <w:rPr>
          <w:rFonts w:ascii="Calibri" w:eastAsia="Calibri" w:hAnsi="Calibri" w:cs="Calibri"/>
          <w:sz w:val="24"/>
          <w:szCs w:val="24"/>
          <w:lang w:val="el-GR"/>
        </w:rPr>
        <w:t>προηγουμένως</w:t>
      </w:r>
      <w:r w:rsidR="00DB0C19" w:rsidRPr="00742EBA">
        <w:rPr>
          <w:rFonts w:ascii="Calibri" w:eastAsia="Calibri" w:hAnsi="Calibri" w:cs="Calibri"/>
          <w:sz w:val="24"/>
          <w:szCs w:val="24"/>
          <w:lang w:val="el-GR"/>
        </w:rPr>
        <w:t xml:space="preserve"> </w:t>
      </w:r>
      <w:r w:rsidR="00DB0C19">
        <w:rPr>
          <w:rFonts w:ascii="Calibri" w:eastAsia="Calibri" w:hAnsi="Calibri" w:cs="Calibri"/>
          <w:sz w:val="24"/>
          <w:szCs w:val="24"/>
          <w:lang w:val="el-GR"/>
        </w:rPr>
        <w:t>στην</w:t>
      </w:r>
      <w:r w:rsidR="00DB0C19" w:rsidRPr="00742EBA">
        <w:rPr>
          <w:rFonts w:ascii="Calibri" w:eastAsia="Calibri" w:hAnsi="Calibri" w:cs="Calibri"/>
          <w:sz w:val="24"/>
          <w:szCs w:val="24"/>
          <w:lang w:val="el-GR"/>
        </w:rPr>
        <w:t xml:space="preserve"> </w:t>
      </w:r>
      <w:r w:rsidR="00DB0C19">
        <w:rPr>
          <w:rFonts w:ascii="Calibri" w:eastAsia="Calibri" w:hAnsi="Calibri" w:cs="Calibri"/>
          <w:sz w:val="24"/>
          <w:szCs w:val="24"/>
          <w:lang w:val="el-GR"/>
        </w:rPr>
        <w:t>έκθεση</w:t>
      </w:r>
      <w:r w:rsidR="00DB0C19" w:rsidRPr="00742EBA">
        <w:rPr>
          <w:rFonts w:ascii="Calibri" w:eastAsia="Calibri" w:hAnsi="Calibri" w:cs="Calibri"/>
          <w:sz w:val="24"/>
          <w:szCs w:val="24"/>
          <w:lang w:val="el-GR"/>
        </w:rPr>
        <w:t xml:space="preserve"> </w:t>
      </w:r>
      <w:r w:rsidR="00DB0C19">
        <w:rPr>
          <w:rFonts w:ascii="Calibri" w:eastAsia="Calibri" w:hAnsi="Calibri" w:cs="Calibri"/>
          <w:sz w:val="24"/>
          <w:szCs w:val="24"/>
          <w:lang w:val="el-GR"/>
        </w:rPr>
        <w:t>αυτή</w:t>
      </w:r>
      <w:r w:rsidR="00A5147D" w:rsidRPr="00742EBA">
        <w:rPr>
          <w:rFonts w:ascii="Calibri" w:eastAsia="Calibri" w:hAnsi="Calibri" w:cs="Calibri"/>
          <w:sz w:val="24"/>
          <w:szCs w:val="24"/>
          <w:lang w:val="el-GR"/>
        </w:rPr>
        <w:t xml:space="preserve">, </w:t>
      </w:r>
      <w:r w:rsidR="00DB0C19">
        <w:rPr>
          <w:rFonts w:ascii="Calibri" w:eastAsia="Calibri" w:hAnsi="Calibri" w:cs="Calibri"/>
          <w:sz w:val="24"/>
          <w:szCs w:val="24"/>
          <w:lang w:val="el-GR"/>
        </w:rPr>
        <w:t>είναι</w:t>
      </w:r>
      <w:r w:rsidR="00DB0C19" w:rsidRPr="00742EBA">
        <w:rPr>
          <w:rFonts w:ascii="Calibri" w:eastAsia="Calibri" w:hAnsi="Calibri" w:cs="Calibri"/>
          <w:sz w:val="24"/>
          <w:szCs w:val="24"/>
          <w:lang w:val="el-GR"/>
        </w:rPr>
        <w:t xml:space="preserve"> </w:t>
      </w:r>
      <w:r w:rsidR="00DB0C19">
        <w:rPr>
          <w:rFonts w:ascii="Calibri" w:eastAsia="Calibri" w:hAnsi="Calibri" w:cs="Calibri"/>
          <w:sz w:val="24"/>
          <w:szCs w:val="24"/>
          <w:lang w:val="el-GR"/>
        </w:rPr>
        <w:t>σημαντικό</w:t>
      </w:r>
      <w:r w:rsidR="00DB0C19" w:rsidRPr="00742EBA">
        <w:rPr>
          <w:rFonts w:ascii="Calibri" w:eastAsia="Calibri" w:hAnsi="Calibri" w:cs="Calibri"/>
          <w:sz w:val="24"/>
          <w:szCs w:val="24"/>
          <w:lang w:val="el-GR"/>
        </w:rPr>
        <w:t xml:space="preserve"> </w:t>
      </w:r>
      <w:r w:rsidR="00DB0C19">
        <w:rPr>
          <w:rFonts w:ascii="Calibri" w:eastAsia="Calibri" w:hAnsi="Calibri" w:cs="Calibri"/>
          <w:sz w:val="24"/>
          <w:szCs w:val="24"/>
          <w:lang w:val="el-GR"/>
        </w:rPr>
        <w:t>όλα</w:t>
      </w:r>
      <w:r w:rsidR="00DB0C19" w:rsidRPr="00742EBA">
        <w:rPr>
          <w:rFonts w:ascii="Calibri" w:eastAsia="Calibri" w:hAnsi="Calibri" w:cs="Calibri"/>
          <w:sz w:val="24"/>
          <w:szCs w:val="24"/>
          <w:lang w:val="el-GR"/>
        </w:rPr>
        <w:t xml:space="preserve"> </w:t>
      </w:r>
      <w:r w:rsidR="00DB0C19">
        <w:rPr>
          <w:rFonts w:ascii="Calibri" w:eastAsia="Calibri" w:hAnsi="Calibri" w:cs="Calibri"/>
          <w:sz w:val="24"/>
          <w:szCs w:val="24"/>
          <w:lang w:val="el-GR"/>
        </w:rPr>
        <w:t>τα</w:t>
      </w:r>
      <w:r w:rsidR="00DB0C19" w:rsidRPr="00742EBA">
        <w:rPr>
          <w:rFonts w:ascii="Calibri" w:eastAsia="Calibri" w:hAnsi="Calibri" w:cs="Calibri"/>
          <w:sz w:val="24"/>
          <w:szCs w:val="24"/>
          <w:lang w:val="el-GR"/>
        </w:rPr>
        <w:t xml:space="preserve"> </w:t>
      </w:r>
      <w:r w:rsidR="00DB0C19">
        <w:rPr>
          <w:rFonts w:ascii="Calibri" w:eastAsia="Calibri" w:hAnsi="Calibri" w:cs="Calibri"/>
          <w:sz w:val="24"/>
          <w:szCs w:val="24"/>
          <w:lang w:val="el-GR"/>
        </w:rPr>
        <w:t>άτομα</w:t>
      </w:r>
      <w:r w:rsidR="00DB0C19" w:rsidRPr="00742EBA">
        <w:rPr>
          <w:rFonts w:ascii="Calibri" w:eastAsia="Calibri" w:hAnsi="Calibri" w:cs="Calibri"/>
          <w:sz w:val="24"/>
          <w:szCs w:val="24"/>
          <w:lang w:val="el-GR"/>
        </w:rPr>
        <w:t xml:space="preserve"> </w:t>
      </w:r>
      <w:r w:rsidR="00DB0C19">
        <w:rPr>
          <w:rFonts w:ascii="Calibri" w:eastAsia="Calibri" w:hAnsi="Calibri" w:cs="Calibri"/>
          <w:sz w:val="24"/>
          <w:szCs w:val="24"/>
          <w:lang w:val="el-GR"/>
        </w:rPr>
        <w:t>που</w:t>
      </w:r>
      <w:r w:rsidR="00DB0C19" w:rsidRPr="00742EBA">
        <w:rPr>
          <w:rFonts w:ascii="Calibri" w:eastAsia="Calibri" w:hAnsi="Calibri" w:cs="Calibri"/>
          <w:sz w:val="24"/>
          <w:szCs w:val="24"/>
          <w:lang w:val="el-GR"/>
        </w:rPr>
        <w:t xml:space="preserve"> </w:t>
      </w:r>
      <w:r w:rsidR="00DB0C19">
        <w:rPr>
          <w:rFonts w:ascii="Calibri" w:eastAsia="Calibri" w:hAnsi="Calibri" w:cs="Calibri"/>
          <w:sz w:val="24"/>
          <w:szCs w:val="24"/>
          <w:lang w:val="el-GR"/>
        </w:rPr>
        <w:t>είναι</w:t>
      </w:r>
      <w:r w:rsidR="00DB0C19" w:rsidRPr="00742EBA">
        <w:rPr>
          <w:rFonts w:ascii="Calibri" w:eastAsia="Calibri" w:hAnsi="Calibri" w:cs="Calibri"/>
          <w:sz w:val="24"/>
          <w:szCs w:val="24"/>
          <w:lang w:val="el-GR"/>
        </w:rPr>
        <w:t xml:space="preserve"> </w:t>
      </w:r>
      <w:r w:rsidR="00DB0C19">
        <w:rPr>
          <w:rFonts w:ascii="Calibri" w:eastAsia="Calibri" w:hAnsi="Calibri" w:cs="Calibri"/>
          <w:sz w:val="24"/>
          <w:szCs w:val="24"/>
          <w:lang w:val="el-GR"/>
        </w:rPr>
        <w:t>διορισμένοι</w:t>
      </w:r>
      <w:r w:rsidR="00DB0C19" w:rsidRPr="00742EBA">
        <w:rPr>
          <w:rFonts w:ascii="Calibri" w:eastAsia="Calibri" w:hAnsi="Calibri" w:cs="Calibri"/>
          <w:sz w:val="24"/>
          <w:szCs w:val="24"/>
          <w:lang w:val="el-GR"/>
        </w:rPr>
        <w:t xml:space="preserve"> </w:t>
      </w:r>
      <w:r w:rsidR="00742EBA">
        <w:rPr>
          <w:rFonts w:ascii="Calibri" w:eastAsia="Calibri" w:hAnsi="Calibri" w:cs="Calibri"/>
          <w:sz w:val="24"/>
          <w:szCs w:val="24"/>
          <w:lang w:val="el-GR"/>
        </w:rPr>
        <w:t>σε</w:t>
      </w:r>
      <w:r w:rsidR="00742EBA" w:rsidRPr="00742EBA">
        <w:rPr>
          <w:rFonts w:ascii="Calibri" w:eastAsia="Calibri" w:hAnsi="Calibri" w:cs="Calibri"/>
          <w:sz w:val="24"/>
          <w:szCs w:val="24"/>
          <w:lang w:val="el-GR"/>
        </w:rPr>
        <w:t xml:space="preserve"> </w:t>
      </w:r>
      <w:r w:rsidR="00742EBA">
        <w:rPr>
          <w:rFonts w:ascii="Calibri" w:eastAsia="Calibri" w:hAnsi="Calibri" w:cs="Calibri"/>
          <w:sz w:val="24"/>
          <w:szCs w:val="24"/>
          <w:lang w:val="el-GR"/>
        </w:rPr>
        <w:t>πολιτική</w:t>
      </w:r>
      <w:r w:rsidR="00742EBA" w:rsidRPr="00742EBA">
        <w:rPr>
          <w:rFonts w:ascii="Calibri" w:eastAsia="Calibri" w:hAnsi="Calibri" w:cs="Calibri"/>
          <w:sz w:val="24"/>
          <w:szCs w:val="24"/>
          <w:lang w:val="el-GR"/>
        </w:rPr>
        <w:t xml:space="preserve"> </w:t>
      </w:r>
      <w:r w:rsidR="00742EBA">
        <w:rPr>
          <w:rFonts w:ascii="Calibri" w:eastAsia="Calibri" w:hAnsi="Calibri" w:cs="Calibri"/>
          <w:sz w:val="24"/>
          <w:szCs w:val="24"/>
          <w:lang w:val="el-GR"/>
        </w:rPr>
        <w:t>βάση</w:t>
      </w:r>
      <w:r w:rsidR="00A5147D" w:rsidRPr="00742EBA">
        <w:rPr>
          <w:rFonts w:cstheme="minorHAnsi"/>
          <w:sz w:val="24"/>
          <w:szCs w:val="24"/>
          <w:lang w:val="el-GR"/>
        </w:rPr>
        <w:t xml:space="preserve">, </w:t>
      </w:r>
      <w:r w:rsidR="00156E66">
        <w:rPr>
          <w:rFonts w:cstheme="minorHAnsi"/>
          <w:sz w:val="24"/>
          <w:szCs w:val="24"/>
          <w:lang w:val="el-GR"/>
        </w:rPr>
        <w:t xml:space="preserve">τα οποία </w:t>
      </w:r>
      <w:r w:rsidR="00742EBA">
        <w:rPr>
          <w:rFonts w:cstheme="minorHAnsi"/>
          <w:sz w:val="24"/>
          <w:szCs w:val="24"/>
          <w:lang w:val="el-GR"/>
        </w:rPr>
        <w:t xml:space="preserve">εκτελούν </w:t>
      </w:r>
      <w:r w:rsidR="00156E66">
        <w:rPr>
          <w:rFonts w:cstheme="minorHAnsi"/>
          <w:sz w:val="24"/>
          <w:szCs w:val="24"/>
          <w:lang w:val="el-GR"/>
        </w:rPr>
        <w:t xml:space="preserve">ανώτατα </w:t>
      </w:r>
      <w:r w:rsidR="00742EBA">
        <w:rPr>
          <w:rFonts w:cstheme="minorHAnsi"/>
          <w:sz w:val="24"/>
          <w:szCs w:val="24"/>
          <w:lang w:val="el-GR"/>
        </w:rPr>
        <w:t>εκτελεστικ</w:t>
      </w:r>
      <w:r w:rsidR="00156E66">
        <w:rPr>
          <w:rFonts w:cstheme="minorHAnsi"/>
          <w:sz w:val="24"/>
          <w:szCs w:val="24"/>
          <w:lang w:val="el-GR"/>
        </w:rPr>
        <w:t>ά καθήκοντα</w:t>
      </w:r>
      <w:r w:rsidR="00A5147D" w:rsidRPr="00742EBA">
        <w:rPr>
          <w:rFonts w:cstheme="minorHAnsi"/>
          <w:sz w:val="24"/>
          <w:szCs w:val="24"/>
          <w:lang w:val="el-GR"/>
        </w:rPr>
        <w:t xml:space="preserve">, </w:t>
      </w:r>
      <w:r w:rsidR="00742EBA">
        <w:rPr>
          <w:rFonts w:cstheme="minorHAnsi"/>
          <w:sz w:val="24"/>
          <w:szCs w:val="24"/>
          <w:lang w:val="el-GR"/>
        </w:rPr>
        <w:t xml:space="preserve">να υπόκεινται στα </w:t>
      </w:r>
      <w:r w:rsidR="00156E66">
        <w:rPr>
          <w:rFonts w:cstheme="minorHAnsi"/>
          <w:sz w:val="24"/>
          <w:szCs w:val="24"/>
          <w:lang w:val="el-GR"/>
        </w:rPr>
        <w:t xml:space="preserve">πιο ψηλά </w:t>
      </w:r>
      <w:r w:rsidR="00742EBA">
        <w:rPr>
          <w:rFonts w:cstheme="minorHAnsi"/>
          <w:sz w:val="24"/>
          <w:szCs w:val="24"/>
          <w:lang w:val="el-GR"/>
        </w:rPr>
        <w:t>πρότυπα ακεραιότητας</w:t>
      </w:r>
      <w:r w:rsidR="00A5147D" w:rsidRPr="00742EBA">
        <w:rPr>
          <w:rFonts w:ascii="Calibri" w:eastAsia="Calibri" w:hAnsi="Calibri" w:cs="Calibri"/>
          <w:sz w:val="24"/>
          <w:szCs w:val="24"/>
          <w:lang w:val="el-GR"/>
        </w:rPr>
        <w:t xml:space="preserve">. </w:t>
      </w:r>
      <w:r w:rsidR="00742EBA">
        <w:rPr>
          <w:rFonts w:ascii="Calibri" w:eastAsia="Calibri" w:hAnsi="Calibri" w:cs="Calibri"/>
          <w:sz w:val="24"/>
          <w:szCs w:val="24"/>
          <w:lang w:val="el-GR"/>
        </w:rPr>
        <w:t>Αυτός</w:t>
      </w:r>
      <w:r w:rsidR="00742EBA" w:rsidRPr="00742EBA">
        <w:rPr>
          <w:rFonts w:ascii="Calibri" w:eastAsia="Calibri" w:hAnsi="Calibri" w:cs="Calibri"/>
          <w:sz w:val="24"/>
          <w:szCs w:val="24"/>
          <w:lang w:val="el-GR"/>
        </w:rPr>
        <w:t xml:space="preserve"> </w:t>
      </w:r>
      <w:r w:rsidR="00742EBA">
        <w:rPr>
          <w:rFonts w:ascii="Calibri" w:eastAsia="Calibri" w:hAnsi="Calibri" w:cs="Calibri"/>
          <w:sz w:val="24"/>
          <w:szCs w:val="24"/>
          <w:lang w:val="el-GR"/>
        </w:rPr>
        <w:t>είναι</w:t>
      </w:r>
      <w:r w:rsidR="00742EBA" w:rsidRPr="00742EBA">
        <w:rPr>
          <w:rFonts w:ascii="Calibri" w:eastAsia="Calibri" w:hAnsi="Calibri" w:cs="Calibri"/>
          <w:sz w:val="24"/>
          <w:szCs w:val="24"/>
          <w:lang w:val="el-GR"/>
        </w:rPr>
        <w:t xml:space="preserve"> </w:t>
      </w:r>
      <w:r w:rsidR="00742EBA">
        <w:rPr>
          <w:rFonts w:ascii="Calibri" w:eastAsia="Calibri" w:hAnsi="Calibri" w:cs="Calibri"/>
          <w:sz w:val="24"/>
          <w:szCs w:val="24"/>
          <w:lang w:val="el-GR"/>
        </w:rPr>
        <w:t>ένας</w:t>
      </w:r>
      <w:r w:rsidR="00742EBA" w:rsidRPr="00742EBA">
        <w:rPr>
          <w:rFonts w:ascii="Calibri" w:eastAsia="Calibri" w:hAnsi="Calibri" w:cs="Calibri"/>
          <w:sz w:val="24"/>
          <w:szCs w:val="24"/>
          <w:lang w:val="el-GR"/>
        </w:rPr>
        <w:t xml:space="preserve"> </w:t>
      </w:r>
      <w:r w:rsidR="00742EBA">
        <w:rPr>
          <w:rFonts w:ascii="Calibri" w:eastAsia="Calibri" w:hAnsi="Calibri" w:cs="Calibri"/>
          <w:sz w:val="24"/>
          <w:szCs w:val="24"/>
          <w:lang w:val="el-GR"/>
        </w:rPr>
        <w:t>τομέας</w:t>
      </w:r>
      <w:r w:rsidR="00742EBA" w:rsidRPr="00742EBA">
        <w:rPr>
          <w:rFonts w:ascii="Calibri" w:eastAsia="Calibri" w:hAnsi="Calibri" w:cs="Calibri"/>
          <w:sz w:val="24"/>
          <w:szCs w:val="24"/>
          <w:lang w:val="el-GR"/>
        </w:rPr>
        <w:t xml:space="preserve"> </w:t>
      </w:r>
      <w:r w:rsidR="00742EBA">
        <w:rPr>
          <w:rFonts w:ascii="Calibri" w:eastAsia="Calibri" w:hAnsi="Calibri" w:cs="Calibri"/>
          <w:sz w:val="24"/>
          <w:szCs w:val="24"/>
          <w:lang w:val="el-GR"/>
        </w:rPr>
        <w:t>που</w:t>
      </w:r>
      <w:r w:rsidR="00742EBA" w:rsidRPr="00742EBA">
        <w:rPr>
          <w:rFonts w:ascii="Calibri" w:eastAsia="Calibri" w:hAnsi="Calibri" w:cs="Calibri"/>
          <w:sz w:val="24"/>
          <w:szCs w:val="24"/>
          <w:lang w:val="el-GR"/>
        </w:rPr>
        <w:t xml:space="preserve"> </w:t>
      </w:r>
      <w:r w:rsidR="00742EBA">
        <w:rPr>
          <w:rFonts w:ascii="Calibri" w:eastAsia="Calibri" w:hAnsi="Calibri" w:cs="Calibri"/>
          <w:sz w:val="24"/>
          <w:szCs w:val="24"/>
          <w:lang w:val="el-GR"/>
        </w:rPr>
        <w:t>πρέπει</w:t>
      </w:r>
      <w:r w:rsidR="00742EBA" w:rsidRPr="00742EBA">
        <w:rPr>
          <w:rFonts w:ascii="Calibri" w:eastAsia="Calibri" w:hAnsi="Calibri" w:cs="Calibri"/>
          <w:sz w:val="24"/>
          <w:szCs w:val="24"/>
          <w:lang w:val="el-GR"/>
        </w:rPr>
        <w:t xml:space="preserve"> </w:t>
      </w:r>
      <w:r w:rsidR="00742EBA">
        <w:rPr>
          <w:rFonts w:ascii="Calibri" w:eastAsia="Calibri" w:hAnsi="Calibri" w:cs="Calibri"/>
          <w:sz w:val="24"/>
          <w:szCs w:val="24"/>
          <w:lang w:val="el-GR"/>
        </w:rPr>
        <w:t>να</w:t>
      </w:r>
      <w:r w:rsidR="00742EBA" w:rsidRPr="00742EBA">
        <w:rPr>
          <w:rFonts w:ascii="Calibri" w:eastAsia="Calibri" w:hAnsi="Calibri" w:cs="Calibri"/>
          <w:sz w:val="24"/>
          <w:szCs w:val="24"/>
          <w:lang w:val="el-GR"/>
        </w:rPr>
        <w:t xml:space="preserve"> </w:t>
      </w:r>
      <w:r w:rsidR="00156E66">
        <w:rPr>
          <w:rFonts w:ascii="Calibri" w:eastAsia="Calibri" w:hAnsi="Calibri" w:cs="Calibri"/>
          <w:sz w:val="24"/>
          <w:szCs w:val="24"/>
          <w:lang w:val="el-GR"/>
        </w:rPr>
        <w:t xml:space="preserve">τύχει ειδικής προσοχής </w:t>
      </w:r>
      <w:r w:rsidR="00742EBA">
        <w:rPr>
          <w:rFonts w:ascii="Calibri" w:eastAsia="Calibri" w:hAnsi="Calibri" w:cs="Calibri"/>
          <w:sz w:val="24"/>
          <w:szCs w:val="24"/>
          <w:lang w:val="el-GR"/>
        </w:rPr>
        <w:t>ιδιαίτερα</w:t>
      </w:r>
      <w:r w:rsidR="00A5147D" w:rsidRPr="00742EBA">
        <w:rPr>
          <w:rFonts w:ascii="Calibri" w:eastAsia="Calibri" w:hAnsi="Calibri" w:cs="Calibri"/>
          <w:sz w:val="24"/>
          <w:szCs w:val="24"/>
          <w:lang w:val="el-GR"/>
        </w:rPr>
        <w:t xml:space="preserve"> </w:t>
      </w:r>
      <w:r w:rsidR="00156E66">
        <w:rPr>
          <w:rFonts w:ascii="Calibri" w:eastAsia="Calibri" w:hAnsi="Calibri" w:cs="Calibri"/>
          <w:sz w:val="24"/>
          <w:szCs w:val="24"/>
          <w:lang w:val="el-GR"/>
        </w:rPr>
        <w:t xml:space="preserve">κατά την υλοποίηση </w:t>
      </w:r>
      <w:r w:rsidR="00742EBA">
        <w:rPr>
          <w:rFonts w:ascii="Calibri" w:eastAsia="Calibri" w:hAnsi="Calibri" w:cs="Calibri"/>
          <w:sz w:val="24"/>
          <w:szCs w:val="24"/>
          <w:lang w:val="el-GR"/>
        </w:rPr>
        <w:t>τη</w:t>
      </w:r>
      <w:r w:rsidR="00156E66">
        <w:rPr>
          <w:rFonts w:ascii="Calibri" w:eastAsia="Calibri" w:hAnsi="Calibri" w:cs="Calibri"/>
          <w:sz w:val="24"/>
          <w:szCs w:val="24"/>
          <w:lang w:val="el-GR"/>
        </w:rPr>
        <w:t>ς</w:t>
      </w:r>
      <w:r w:rsidR="00742EBA">
        <w:rPr>
          <w:rFonts w:ascii="Calibri" w:eastAsia="Calibri" w:hAnsi="Calibri" w:cs="Calibri"/>
          <w:sz w:val="24"/>
          <w:szCs w:val="24"/>
          <w:lang w:val="el-GR"/>
        </w:rPr>
        <w:t xml:space="preserve"> σύστα</w:t>
      </w:r>
      <w:r w:rsidR="002A5D68">
        <w:rPr>
          <w:rFonts w:ascii="Calibri" w:eastAsia="Calibri" w:hAnsi="Calibri" w:cs="Calibri"/>
          <w:sz w:val="24"/>
          <w:szCs w:val="24"/>
          <w:lang w:val="el-GR"/>
        </w:rPr>
        <w:t>ση</w:t>
      </w:r>
      <w:r w:rsidR="00156E66">
        <w:rPr>
          <w:rFonts w:ascii="Calibri" w:eastAsia="Calibri" w:hAnsi="Calibri" w:cs="Calibri"/>
          <w:sz w:val="24"/>
          <w:szCs w:val="24"/>
          <w:lang w:val="el-GR"/>
        </w:rPr>
        <w:t>ς</w:t>
      </w:r>
      <w:r w:rsidR="00742EBA">
        <w:rPr>
          <w:rFonts w:ascii="Calibri" w:eastAsia="Calibri" w:hAnsi="Calibri" w:cs="Calibri"/>
          <w:sz w:val="24"/>
          <w:szCs w:val="24"/>
          <w:lang w:val="el-GR"/>
        </w:rPr>
        <w:t xml:space="preserve"> στην παράγραφο</w:t>
      </w:r>
      <w:r w:rsidR="00A5147D" w:rsidRPr="00742EBA">
        <w:rPr>
          <w:rFonts w:ascii="Calibri" w:eastAsia="Calibri" w:hAnsi="Calibri" w:cs="Calibri"/>
          <w:sz w:val="24"/>
          <w:szCs w:val="24"/>
          <w:lang w:val="el-GR"/>
        </w:rPr>
        <w:t xml:space="preserve"> </w:t>
      </w:r>
      <w:r w:rsidR="00644EBB" w:rsidRPr="00742EBA">
        <w:rPr>
          <w:rFonts w:ascii="Calibri" w:eastAsia="Calibri" w:hAnsi="Calibri" w:cs="Calibri"/>
          <w:sz w:val="24"/>
          <w:szCs w:val="24"/>
          <w:lang w:val="el-GR"/>
        </w:rPr>
        <w:t>4</w:t>
      </w:r>
      <w:r w:rsidR="00BB61F5" w:rsidRPr="00742EBA">
        <w:rPr>
          <w:rFonts w:ascii="Calibri" w:eastAsia="Calibri" w:hAnsi="Calibri" w:cs="Calibri"/>
          <w:sz w:val="24"/>
          <w:szCs w:val="24"/>
          <w:lang w:val="el-GR"/>
        </w:rPr>
        <w:t>5</w:t>
      </w:r>
      <w:r w:rsidR="00A5147D" w:rsidRPr="00742EBA">
        <w:rPr>
          <w:rFonts w:ascii="Calibri" w:eastAsia="Calibri" w:hAnsi="Calibri" w:cs="Calibri"/>
          <w:sz w:val="24"/>
          <w:szCs w:val="24"/>
          <w:lang w:val="el-GR"/>
        </w:rPr>
        <w:t xml:space="preserve">. </w:t>
      </w:r>
    </w:p>
    <w:p w14:paraId="36BCD347" w14:textId="77777777" w:rsidR="00A5147D" w:rsidRPr="00742EBA" w:rsidRDefault="00A5147D" w:rsidP="00A5147D">
      <w:pPr>
        <w:pStyle w:val="ListParagraph"/>
        <w:rPr>
          <w:rFonts w:cstheme="minorHAnsi"/>
          <w:sz w:val="24"/>
          <w:szCs w:val="24"/>
          <w:lang w:val="el-GR"/>
        </w:rPr>
      </w:pPr>
    </w:p>
    <w:p w14:paraId="05021C52" w14:textId="39CA252B" w:rsidR="00A5147D" w:rsidRPr="00D96585" w:rsidRDefault="00742EBA" w:rsidP="00A5147D">
      <w:pPr>
        <w:pStyle w:val="Heading2"/>
        <w:spacing w:before="0"/>
        <w:rPr>
          <w:rFonts w:asciiTheme="minorHAnsi" w:hAnsiTheme="minorHAnsi" w:cstheme="minorHAnsi"/>
          <w:b w:val="0"/>
          <w:bCs w:val="0"/>
          <w:color w:val="auto"/>
          <w:sz w:val="24"/>
          <w:szCs w:val="24"/>
          <w:u w:val="single"/>
          <w:lang w:val="el-GR"/>
        </w:rPr>
      </w:pPr>
      <w:bookmarkStart w:id="104" w:name="_Toc342554254"/>
      <w:bookmarkStart w:id="105" w:name="_Toc342640929"/>
      <w:bookmarkStart w:id="106" w:name="_Toc479580435"/>
      <w:bookmarkStart w:id="107" w:name="_Toc117264354"/>
      <w:bookmarkStart w:id="108" w:name="_Toc136879352"/>
      <w:bookmarkEnd w:id="100"/>
      <w:bookmarkEnd w:id="101"/>
      <w:r>
        <w:rPr>
          <w:rFonts w:asciiTheme="minorHAnsi" w:hAnsiTheme="minorHAnsi" w:cstheme="minorHAnsi"/>
          <w:b w:val="0"/>
          <w:bCs w:val="0"/>
          <w:color w:val="auto"/>
          <w:sz w:val="24"/>
          <w:szCs w:val="24"/>
          <w:u w:val="single"/>
          <w:lang w:val="el-GR"/>
        </w:rPr>
        <w:t>Απαγόρευση</w:t>
      </w:r>
      <w:r w:rsidRPr="00D96585">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ή</w:t>
      </w:r>
      <w:r w:rsidRPr="00D96585">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περιορισμός</w:t>
      </w:r>
      <w:r w:rsidRPr="00D96585">
        <w:rPr>
          <w:rFonts w:asciiTheme="minorHAnsi" w:hAnsiTheme="minorHAnsi" w:cstheme="minorHAnsi"/>
          <w:b w:val="0"/>
          <w:bCs w:val="0"/>
          <w:color w:val="auto"/>
          <w:sz w:val="24"/>
          <w:szCs w:val="24"/>
          <w:u w:val="single"/>
          <w:lang w:val="el-GR"/>
        </w:rPr>
        <w:t xml:space="preserve"> </w:t>
      </w:r>
      <w:r w:rsidR="00BD319A">
        <w:rPr>
          <w:rFonts w:asciiTheme="minorHAnsi" w:hAnsiTheme="minorHAnsi" w:cstheme="minorHAnsi"/>
          <w:b w:val="0"/>
          <w:bCs w:val="0"/>
          <w:color w:val="auto"/>
          <w:sz w:val="24"/>
          <w:szCs w:val="24"/>
          <w:u w:val="single"/>
          <w:lang w:val="el-GR"/>
        </w:rPr>
        <w:t>ορισμένων</w:t>
      </w:r>
      <w:r w:rsidRPr="00D96585">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δραστηριοτήτων</w:t>
      </w:r>
      <w:bookmarkEnd w:id="104"/>
      <w:bookmarkEnd w:id="105"/>
      <w:bookmarkEnd w:id="106"/>
      <w:bookmarkEnd w:id="107"/>
      <w:bookmarkEnd w:id="108"/>
    </w:p>
    <w:p w14:paraId="3D051AE1" w14:textId="77777777" w:rsidR="00A5147D" w:rsidRPr="00D96585" w:rsidRDefault="00A5147D" w:rsidP="00A5147D">
      <w:pPr>
        <w:keepNext/>
        <w:tabs>
          <w:tab w:val="left" w:pos="567"/>
        </w:tabs>
        <w:suppressAutoHyphens/>
        <w:rPr>
          <w:rFonts w:cstheme="minorHAnsi"/>
          <w:sz w:val="24"/>
          <w:szCs w:val="24"/>
          <w:u w:val="single"/>
          <w:lang w:val="el-GR"/>
        </w:rPr>
      </w:pPr>
    </w:p>
    <w:p w14:paraId="07E50036" w14:textId="1584C3D2" w:rsidR="00A5147D" w:rsidRPr="00742EBA" w:rsidRDefault="00742EBA" w:rsidP="00A5147D">
      <w:pPr>
        <w:pStyle w:val="Heading3"/>
        <w:spacing w:before="0"/>
        <w:rPr>
          <w:rFonts w:asciiTheme="minorHAnsi" w:hAnsiTheme="minorHAnsi" w:cstheme="minorHAnsi"/>
          <w:b w:val="0"/>
          <w:bCs w:val="0"/>
          <w:i/>
          <w:iCs/>
          <w:color w:val="auto"/>
          <w:sz w:val="24"/>
          <w:szCs w:val="24"/>
          <w:lang w:val="el-GR"/>
        </w:rPr>
      </w:pPr>
      <w:bookmarkStart w:id="109" w:name="_Toc342554256"/>
      <w:bookmarkStart w:id="110" w:name="_Toc342640931"/>
      <w:bookmarkStart w:id="111" w:name="_Toc479580436"/>
      <w:bookmarkStart w:id="112" w:name="_Toc117264355"/>
      <w:bookmarkStart w:id="113" w:name="_Toc136879353"/>
      <w:r>
        <w:rPr>
          <w:rFonts w:asciiTheme="minorHAnsi" w:hAnsiTheme="minorHAnsi" w:cstheme="minorHAnsi"/>
          <w:b w:val="0"/>
          <w:bCs w:val="0"/>
          <w:i/>
          <w:iCs/>
          <w:color w:val="auto"/>
          <w:sz w:val="24"/>
          <w:szCs w:val="24"/>
          <w:lang w:val="el-GR"/>
        </w:rPr>
        <w:t>Ασυμβατ</w:t>
      </w:r>
      <w:r w:rsidR="00156E66">
        <w:rPr>
          <w:rFonts w:asciiTheme="minorHAnsi" w:hAnsiTheme="minorHAnsi" w:cstheme="minorHAnsi"/>
          <w:b w:val="0"/>
          <w:bCs w:val="0"/>
          <w:i/>
          <w:iCs/>
          <w:color w:val="auto"/>
          <w:sz w:val="24"/>
          <w:szCs w:val="24"/>
          <w:lang w:val="el-GR"/>
        </w:rPr>
        <w:t>ότητες</w:t>
      </w:r>
      <w:r w:rsidR="00A5147D" w:rsidRPr="00742EBA">
        <w:rPr>
          <w:rFonts w:asciiTheme="minorHAnsi" w:hAnsiTheme="minorHAnsi" w:cstheme="minorHAnsi"/>
          <w:b w:val="0"/>
          <w:bCs w:val="0"/>
          <w:i/>
          <w:iCs/>
          <w:color w:val="auto"/>
          <w:sz w:val="24"/>
          <w:szCs w:val="24"/>
          <w:lang w:val="el-GR"/>
        </w:rPr>
        <w:t xml:space="preserve">, </w:t>
      </w:r>
      <w:r>
        <w:rPr>
          <w:rFonts w:asciiTheme="minorHAnsi" w:hAnsiTheme="minorHAnsi" w:cstheme="minorHAnsi"/>
          <w:b w:val="0"/>
          <w:bCs w:val="0"/>
          <w:i/>
          <w:iCs/>
          <w:color w:val="auto"/>
          <w:sz w:val="24"/>
          <w:szCs w:val="24"/>
          <w:lang w:val="el-GR"/>
        </w:rPr>
        <w:t>εξωτερικές</w:t>
      </w:r>
      <w:r w:rsidRPr="00742EBA">
        <w:rPr>
          <w:rFonts w:asciiTheme="minorHAnsi" w:hAnsiTheme="minorHAnsi" w:cstheme="minorHAnsi"/>
          <w:b w:val="0"/>
          <w:bCs w:val="0"/>
          <w:i/>
          <w:iCs/>
          <w:color w:val="auto"/>
          <w:sz w:val="24"/>
          <w:szCs w:val="24"/>
          <w:lang w:val="el-GR"/>
        </w:rPr>
        <w:t xml:space="preserve"> </w:t>
      </w:r>
      <w:r>
        <w:rPr>
          <w:rFonts w:asciiTheme="minorHAnsi" w:hAnsiTheme="minorHAnsi" w:cstheme="minorHAnsi"/>
          <w:b w:val="0"/>
          <w:bCs w:val="0"/>
          <w:i/>
          <w:iCs/>
          <w:color w:val="auto"/>
          <w:sz w:val="24"/>
          <w:szCs w:val="24"/>
          <w:lang w:val="el-GR"/>
        </w:rPr>
        <w:t>δραστηριότητες και οικονομικά συμφέροντα</w:t>
      </w:r>
      <w:bookmarkEnd w:id="109"/>
      <w:bookmarkEnd w:id="110"/>
      <w:bookmarkEnd w:id="111"/>
      <w:bookmarkEnd w:id="112"/>
      <w:bookmarkEnd w:id="113"/>
    </w:p>
    <w:p w14:paraId="7745BC41" w14:textId="77777777" w:rsidR="00A5147D" w:rsidRPr="00742EBA" w:rsidRDefault="00A5147D" w:rsidP="00A5147D">
      <w:pPr>
        <w:keepNext/>
        <w:tabs>
          <w:tab w:val="left" w:pos="567"/>
        </w:tabs>
        <w:suppressAutoHyphens/>
        <w:rPr>
          <w:rFonts w:cstheme="minorHAnsi"/>
          <w:sz w:val="24"/>
          <w:szCs w:val="24"/>
          <w:u w:val="single"/>
          <w:lang w:val="el-GR"/>
        </w:rPr>
      </w:pPr>
    </w:p>
    <w:p w14:paraId="495402FF" w14:textId="2FE1262A" w:rsidR="00A5147D" w:rsidRPr="00F907DB" w:rsidRDefault="00742EBA" w:rsidP="00A5147D">
      <w:pPr>
        <w:keepNext/>
        <w:numPr>
          <w:ilvl w:val="0"/>
          <w:numId w:val="1"/>
        </w:numPr>
        <w:tabs>
          <w:tab w:val="clear" w:pos="6095"/>
          <w:tab w:val="left" w:pos="709"/>
        </w:tabs>
        <w:ind w:left="0" w:firstLine="0"/>
        <w:rPr>
          <w:rFonts w:eastAsia="Times New Roman" w:cstheme="minorHAnsi"/>
          <w:color w:val="000000"/>
          <w:sz w:val="24"/>
          <w:szCs w:val="24"/>
          <w:lang w:val="el-GR" w:eastAsia="fr-FR"/>
        </w:rPr>
      </w:pPr>
      <w:r>
        <w:rPr>
          <w:rFonts w:cstheme="minorHAnsi"/>
          <w:sz w:val="24"/>
          <w:szCs w:val="24"/>
          <w:lang w:val="el-GR"/>
        </w:rPr>
        <w:t>Σύμφωνα</w:t>
      </w:r>
      <w:r w:rsidRPr="00742EBA">
        <w:rPr>
          <w:rFonts w:cstheme="minorHAnsi"/>
          <w:sz w:val="24"/>
          <w:szCs w:val="24"/>
          <w:lang w:val="el-GR"/>
        </w:rPr>
        <w:t xml:space="preserve"> </w:t>
      </w:r>
      <w:r>
        <w:rPr>
          <w:rFonts w:cstheme="minorHAnsi"/>
          <w:sz w:val="24"/>
          <w:szCs w:val="24"/>
          <w:lang w:val="el-GR"/>
        </w:rPr>
        <w:t>με</w:t>
      </w:r>
      <w:r w:rsidRPr="00742EBA">
        <w:rPr>
          <w:rFonts w:cstheme="minorHAnsi"/>
          <w:sz w:val="24"/>
          <w:szCs w:val="24"/>
          <w:lang w:val="el-GR"/>
        </w:rPr>
        <w:t xml:space="preserve"> </w:t>
      </w:r>
      <w:r>
        <w:rPr>
          <w:rFonts w:cstheme="minorHAnsi"/>
          <w:sz w:val="24"/>
          <w:szCs w:val="24"/>
          <w:lang w:val="el-GR"/>
        </w:rPr>
        <w:t>το</w:t>
      </w:r>
      <w:r w:rsidRPr="00742EBA">
        <w:rPr>
          <w:rFonts w:cstheme="minorHAnsi"/>
          <w:sz w:val="24"/>
          <w:szCs w:val="24"/>
          <w:lang w:val="el-GR"/>
        </w:rPr>
        <w:t xml:space="preserve"> </w:t>
      </w:r>
      <w:r>
        <w:rPr>
          <w:rFonts w:cstheme="minorHAnsi"/>
          <w:sz w:val="24"/>
          <w:szCs w:val="24"/>
          <w:lang w:val="el-GR"/>
        </w:rPr>
        <w:t>Άρθρο</w:t>
      </w:r>
      <w:r w:rsidR="00A5147D" w:rsidRPr="00742EBA">
        <w:rPr>
          <w:rFonts w:cstheme="minorHAnsi"/>
          <w:sz w:val="24"/>
          <w:szCs w:val="24"/>
          <w:lang w:val="el-GR"/>
        </w:rPr>
        <w:t xml:space="preserve"> 41 </w:t>
      </w:r>
      <w:r>
        <w:rPr>
          <w:rFonts w:cstheme="minorHAnsi"/>
          <w:sz w:val="24"/>
          <w:szCs w:val="24"/>
          <w:lang w:val="el-GR"/>
        </w:rPr>
        <w:t>του</w:t>
      </w:r>
      <w:r w:rsidRPr="00742EBA">
        <w:rPr>
          <w:rFonts w:cstheme="minorHAnsi"/>
          <w:sz w:val="24"/>
          <w:szCs w:val="24"/>
          <w:lang w:val="el-GR"/>
        </w:rPr>
        <w:t xml:space="preserve"> </w:t>
      </w:r>
      <w:r>
        <w:rPr>
          <w:rFonts w:cstheme="minorHAnsi"/>
          <w:sz w:val="24"/>
          <w:szCs w:val="24"/>
          <w:lang w:val="el-GR"/>
        </w:rPr>
        <w:t>Συντάγματος</w:t>
      </w:r>
      <w:r w:rsidR="00A5147D" w:rsidRPr="00742EBA">
        <w:rPr>
          <w:rFonts w:cstheme="minorHAnsi"/>
          <w:sz w:val="24"/>
          <w:szCs w:val="24"/>
          <w:lang w:val="el-GR"/>
        </w:rPr>
        <w:t xml:space="preserve">, </w:t>
      </w:r>
      <w:r>
        <w:rPr>
          <w:rFonts w:cstheme="minorHAnsi"/>
          <w:sz w:val="24"/>
          <w:szCs w:val="24"/>
          <w:lang w:val="el-GR"/>
        </w:rPr>
        <w:t>το</w:t>
      </w:r>
      <w:r w:rsidRPr="00742EBA">
        <w:rPr>
          <w:rFonts w:cstheme="minorHAnsi"/>
          <w:sz w:val="24"/>
          <w:szCs w:val="24"/>
          <w:lang w:val="el-GR"/>
        </w:rPr>
        <w:t xml:space="preserve"> </w:t>
      </w:r>
      <w:r>
        <w:rPr>
          <w:rFonts w:cstheme="minorHAnsi"/>
          <w:sz w:val="24"/>
          <w:szCs w:val="24"/>
          <w:lang w:val="el-GR"/>
        </w:rPr>
        <w:t>αξίωμα</w:t>
      </w:r>
      <w:r w:rsidRPr="00742EBA">
        <w:rPr>
          <w:rFonts w:cstheme="minorHAnsi"/>
          <w:sz w:val="24"/>
          <w:szCs w:val="24"/>
          <w:lang w:val="el-GR"/>
        </w:rPr>
        <w:t xml:space="preserve"> </w:t>
      </w:r>
      <w:r>
        <w:rPr>
          <w:rFonts w:cstheme="minorHAnsi"/>
          <w:sz w:val="24"/>
          <w:szCs w:val="24"/>
          <w:lang w:val="el-GR"/>
        </w:rPr>
        <w:t>του</w:t>
      </w:r>
      <w:r w:rsidRPr="00742EBA">
        <w:rPr>
          <w:rFonts w:cstheme="minorHAnsi"/>
          <w:sz w:val="24"/>
          <w:szCs w:val="24"/>
          <w:lang w:val="el-GR"/>
        </w:rPr>
        <w:t xml:space="preserve"> </w:t>
      </w:r>
      <w:r>
        <w:rPr>
          <w:rFonts w:cstheme="minorHAnsi"/>
          <w:sz w:val="24"/>
          <w:szCs w:val="24"/>
          <w:lang w:val="el-GR"/>
        </w:rPr>
        <w:t>Προέδρου</w:t>
      </w:r>
      <w:r w:rsidRPr="00742EBA">
        <w:rPr>
          <w:rFonts w:cstheme="minorHAnsi"/>
          <w:sz w:val="24"/>
          <w:szCs w:val="24"/>
          <w:lang w:val="el-GR"/>
        </w:rPr>
        <w:t xml:space="preserve"> </w:t>
      </w:r>
      <w:r>
        <w:rPr>
          <w:rFonts w:cstheme="minorHAnsi"/>
          <w:sz w:val="24"/>
          <w:szCs w:val="24"/>
          <w:lang w:val="el-GR"/>
        </w:rPr>
        <w:t>είναι</w:t>
      </w:r>
      <w:r w:rsidRPr="00742EBA">
        <w:rPr>
          <w:rFonts w:cstheme="minorHAnsi"/>
          <w:sz w:val="24"/>
          <w:szCs w:val="24"/>
          <w:lang w:val="el-GR"/>
        </w:rPr>
        <w:t xml:space="preserve"> </w:t>
      </w:r>
      <w:r w:rsidR="00156E66">
        <w:rPr>
          <w:rFonts w:cstheme="minorHAnsi"/>
          <w:sz w:val="24"/>
          <w:szCs w:val="24"/>
          <w:lang w:val="el-GR"/>
        </w:rPr>
        <w:t xml:space="preserve">ασυμβίβαστο </w:t>
      </w:r>
      <w:proofErr w:type="spellStart"/>
      <w:r>
        <w:rPr>
          <w:rFonts w:cstheme="minorHAnsi"/>
          <w:sz w:val="24"/>
          <w:szCs w:val="24"/>
          <w:lang w:val="el-GR"/>
        </w:rPr>
        <w:t>μ</w:t>
      </w:r>
      <w:r w:rsidRPr="00742EBA">
        <w:rPr>
          <w:rFonts w:cstheme="minorHAnsi"/>
          <w:sz w:val="24"/>
          <w:szCs w:val="24"/>
          <w:lang w:val="el-GR"/>
        </w:rPr>
        <w:t>’</w:t>
      </w:r>
      <w:r>
        <w:rPr>
          <w:rFonts w:cstheme="minorHAnsi"/>
          <w:sz w:val="24"/>
          <w:szCs w:val="24"/>
          <w:lang w:val="el-GR"/>
        </w:rPr>
        <w:t>αυτό</w:t>
      </w:r>
      <w:proofErr w:type="spellEnd"/>
      <w:r w:rsidRPr="00742EBA">
        <w:rPr>
          <w:rFonts w:cstheme="minorHAnsi"/>
          <w:sz w:val="24"/>
          <w:szCs w:val="24"/>
          <w:lang w:val="el-GR"/>
        </w:rPr>
        <w:t xml:space="preserve"> </w:t>
      </w:r>
      <w:r>
        <w:rPr>
          <w:rFonts w:cstheme="minorHAnsi"/>
          <w:sz w:val="24"/>
          <w:szCs w:val="24"/>
          <w:lang w:val="el-GR"/>
        </w:rPr>
        <w:t>ενός</w:t>
      </w:r>
      <w:r w:rsidRPr="00742EBA">
        <w:rPr>
          <w:rFonts w:cstheme="minorHAnsi"/>
          <w:sz w:val="24"/>
          <w:szCs w:val="24"/>
          <w:lang w:val="el-GR"/>
        </w:rPr>
        <w:t xml:space="preserve"> </w:t>
      </w:r>
      <w:r>
        <w:rPr>
          <w:rFonts w:cstheme="minorHAnsi"/>
          <w:sz w:val="24"/>
          <w:szCs w:val="24"/>
          <w:lang w:val="el-GR"/>
        </w:rPr>
        <w:t>υπουργού</w:t>
      </w:r>
      <w:r w:rsidRPr="00742EBA">
        <w:rPr>
          <w:rFonts w:cstheme="minorHAnsi"/>
          <w:sz w:val="24"/>
          <w:szCs w:val="24"/>
          <w:lang w:val="el-GR"/>
        </w:rPr>
        <w:t xml:space="preserve"> </w:t>
      </w:r>
      <w:r>
        <w:rPr>
          <w:rFonts w:cstheme="minorHAnsi"/>
          <w:sz w:val="24"/>
          <w:szCs w:val="24"/>
          <w:lang w:val="el-GR"/>
        </w:rPr>
        <w:t>ή</w:t>
      </w:r>
      <w:r w:rsidRPr="00742EBA">
        <w:rPr>
          <w:rFonts w:cstheme="minorHAnsi"/>
          <w:sz w:val="24"/>
          <w:szCs w:val="24"/>
          <w:lang w:val="el-GR"/>
        </w:rPr>
        <w:t xml:space="preserve"> </w:t>
      </w:r>
      <w:r w:rsidR="008F6525">
        <w:rPr>
          <w:rFonts w:cstheme="minorHAnsi"/>
          <w:sz w:val="24"/>
          <w:szCs w:val="24"/>
          <w:lang w:val="el-GR"/>
        </w:rPr>
        <w:t xml:space="preserve">βουλευτού </w:t>
      </w:r>
      <w:r>
        <w:rPr>
          <w:rFonts w:cstheme="minorHAnsi"/>
          <w:sz w:val="24"/>
          <w:szCs w:val="24"/>
          <w:lang w:val="el-GR"/>
        </w:rPr>
        <w:t>ή</w:t>
      </w:r>
      <w:r w:rsidRPr="00742EBA">
        <w:rPr>
          <w:rFonts w:cstheme="minorHAnsi"/>
          <w:sz w:val="24"/>
          <w:szCs w:val="24"/>
          <w:lang w:val="el-GR"/>
        </w:rPr>
        <w:t xml:space="preserve"> </w:t>
      </w:r>
      <w:r>
        <w:rPr>
          <w:rFonts w:cstheme="minorHAnsi"/>
          <w:sz w:val="24"/>
          <w:szCs w:val="24"/>
          <w:lang w:val="el-GR"/>
        </w:rPr>
        <w:t>μέλους</w:t>
      </w:r>
      <w:r w:rsidR="00A5147D" w:rsidRPr="00742EBA">
        <w:rPr>
          <w:rFonts w:cstheme="minorHAnsi"/>
          <w:sz w:val="24"/>
          <w:szCs w:val="24"/>
          <w:lang w:val="el-GR"/>
        </w:rPr>
        <w:t xml:space="preserve"> </w:t>
      </w:r>
      <w:r w:rsidR="00156E66">
        <w:rPr>
          <w:rFonts w:cstheme="minorHAnsi"/>
          <w:sz w:val="24"/>
          <w:szCs w:val="24"/>
          <w:lang w:val="el-GR"/>
        </w:rPr>
        <w:t xml:space="preserve">Κοινοτικής Συνέλευσης </w:t>
      </w:r>
      <w:r>
        <w:rPr>
          <w:rFonts w:eastAsia="Times New Roman" w:cstheme="minorHAnsi"/>
          <w:color w:val="000000"/>
          <w:sz w:val="24"/>
          <w:szCs w:val="24"/>
          <w:lang w:val="el-GR" w:eastAsia="fr-FR"/>
        </w:rPr>
        <w:t>ή</w:t>
      </w:r>
      <w:r w:rsidRPr="00742EBA">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μέλους οποιουδήποτε δημοτικού συμβουλίου</w:t>
      </w:r>
      <w:r w:rsidR="00A5147D" w:rsidRPr="00742EBA">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 xml:space="preserve">συμπεριλαμβανομένου </w:t>
      </w:r>
      <w:proofErr w:type="spellStart"/>
      <w:r>
        <w:rPr>
          <w:rFonts w:eastAsia="Times New Roman" w:cstheme="minorHAnsi"/>
          <w:color w:val="000000"/>
          <w:sz w:val="24"/>
          <w:szCs w:val="24"/>
          <w:lang w:val="el-GR" w:eastAsia="fr-FR"/>
        </w:rPr>
        <w:t>μ’αυτό</w:t>
      </w:r>
      <w:proofErr w:type="spellEnd"/>
      <w:r>
        <w:rPr>
          <w:rFonts w:eastAsia="Times New Roman" w:cstheme="minorHAnsi"/>
          <w:color w:val="000000"/>
          <w:sz w:val="24"/>
          <w:szCs w:val="24"/>
          <w:lang w:val="el-GR" w:eastAsia="fr-FR"/>
        </w:rPr>
        <w:t xml:space="preserve"> του δημάρχου ή μέλους</w:t>
      </w:r>
      <w:r w:rsidR="00F907DB">
        <w:rPr>
          <w:rFonts w:eastAsia="Times New Roman" w:cstheme="minorHAnsi"/>
          <w:color w:val="000000"/>
          <w:sz w:val="24"/>
          <w:szCs w:val="24"/>
          <w:lang w:val="el-GR" w:eastAsia="fr-FR"/>
        </w:rPr>
        <w:t xml:space="preserve"> των ενόπλων δυνάμεων ή των δυνάμεων ασφαλείας της Δημοκρατίας</w:t>
      </w:r>
      <w:r w:rsidR="00A5147D" w:rsidRPr="00742EBA">
        <w:rPr>
          <w:rFonts w:eastAsia="Times New Roman" w:cstheme="minorHAnsi"/>
          <w:color w:val="000000"/>
          <w:sz w:val="24"/>
          <w:szCs w:val="24"/>
          <w:lang w:val="el-GR" w:eastAsia="fr-FR"/>
        </w:rPr>
        <w:t xml:space="preserve"> </w:t>
      </w:r>
      <w:r w:rsidR="00F907DB">
        <w:rPr>
          <w:rFonts w:eastAsia="Times New Roman" w:cstheme="minorHAnsi"/>
          <w:color w:val="000000"/>
          <w:sz w:val="24"/>
          <w:szCs w:val="24"/>
          <w:lang w:val="el-GR" w:eastAsia="fr-FR"/>
        </w:rPr>
        <w:t>ή δημοσίου ή δημοτικού αξιώματος</w:t>
      </w:r>
      <w:r w:rsidR="00A5147D" w:rsidRPr="00742EBA">
        <w:rPr>
          <w:rFonts w:eastAsia="Times New Roman" w:cstheme="minorHAnsi"/>
          <w:color w:val="000000"/>
          <w:sz w:val="24"/>
          <w:szCs w:val="24"/>
          <w:lang w:val="el-GR" w:eastAsia="fr-FR"/>
        </w:rPr>
        <w:t xml:space="preserve">. </w:t>
      </w:r>
      <w:r w:rsidR="00A5147D" w:rsidRPr="00F907DB">
        <w:rPr>
          <w:rFonts w:eastAsia="Times New Roman" w:cstheme="minorHAnsi"/>
          <w:color w:val="000000"/>
          <w:sz w:val="24"/>
          <w:szCs w:val="24"/>
          <w:lang w:val="el-GR" w:eastAsia="fr-FR"/>
        </w:rPr>
        <w:t>“</w:t>
      </w:r>
      <w:r w:rsidR="00F907DB">
        <w:rPr>
          <w:rFonts w:eastAsia="Times New Roman" w:cstheme="minorHAnsi"/>
          <w:color w:val="000000"/>
          <w:sz w:val="24"/>
          <w:szCs w:val="24"/>
          <w:lang w:val="el-GR" w:eastAsia="fr-FR"/>
        </w:rPr>
        <w:t>Δημόσιο</w:t>
      </w:r>
      <w:r w:rsidR="00F907DB" w:rsidRPr="00F907DB">
        <w:rPr>
          <w:rFonts w:eastAsia="Times New Roman" w:cstheme="minorHAnsi"/>
          <w:color w:val="000000"/>
          <w:sz w:val="24"/>
          <w:szCs w:val="24"/>
          <w:lang w:val="el-GR" w:eastAsia="fr-FR"/>
        </w:rPr>
        <w:t xml:space="preserve"> </w:t>
      </w:r>
      <w:r w:rsidR="00F907DB">
        <w:rPr>
          <w:rFonts w:eastAsia="Times New Roman" w:cstheme="minorHAnsi"/>
          <w:color w:val="000000"/>
          <w:sz w:val="24"/>
          <w:szCs w:val="24"/>
          <w:lang w:val="el-GR" w:eastAsia="fr-FR"/>
        </w:rPr>
        <w:t>αξίωμα</w:t>
      </w:r>
      <w:r w:rsidR="00A5147D" w:rsidRPr="00F907DB">
        <w:rPr>
          <w:rFonts w:eastAsia="Times New Roman" w:cstheme="minorHAnsi"/>
          <w:color w:val="000000"/>
          <w:sz w:val="24"/>
          <w:szCs w:val="24"/>
          <w:lang w:val="el-GR" w:eastAsia="fr-FR"/>
        </w:rPr>
        <w:t xml:space="preserve">” </w:t>
      </w:r>
      <w:r w:rsidR="00F907DB">
        <w:rPr>
          <w:rFonts w:eastAsia="Times New Roman" w:cstheme="minorHAnsi"/>
          <w:color w:val="000000"/>
          <w:sz w:val="24"/>
          <w:szCs w:val="24"/>
          <w:lang w:val="el-GR" w:eastAsia="fr-FR"/>
        </w:rPr>
        <w:t>σημαίνει</w:t>
      </w:r>
      <w:r w:rsidR="00F907DB" w:rsidRPr="00F907DB">
        <w:rPr>
          <w:rFonts w:eastAsia="Times New Roman" w:cstheme="minorHAnsi"/>
          <w:color w:val="000000"/>
          <w:sz w:val="24"/>
          <w:szCs w:val="24"/>
          <w:lang w:val="el-GR" w:eastAsia="fr-FR"/>
        </w:rPr>
        <w:t xml:space="preserve"> </w:t>
      </w:r>
      <w:r w:rsidR="00F907DB">
        <w:rPr>
          <w:rFonts w:eastAsia="Times New Roman" w:cstheme="minorHAnsi"/>
          <w:color w:val="000000"/>
          <w:sz w:val="24"/>
          <w:szCs w:val="24"/>
          <w:lang w:val="el-GR" w:eastAsia="fr-FR"/>
        </w:rPr>
        <w:t>οποιοδήποτε</w:t>
      </w:r>
      <w:r w:rsidR="00F907DB" w:rsidRPr="00F907DB">
        <w:rPr>
          <w:rFonts w:eastAsia="Times New Roman" w:cstheme="minorHAnsi"/>
          <w:color w:val="000000"/>
          <w:sz w:val="24"/>
          <w:szCs w:val="24"/>
          <w:lang w:val="el-GR" w:eastAsia="fr-FR"/>
        </w:rPr>
        <w:t xml:space="preserve"> </w:t>
      </w:r>
      <w:r w:rsidR="00F907DB">
        <w:rPr>
          <w:rFonts w:eastAsia="Times New Roman" w:cstheme="minorHAnsi"/>
          <w:color w:val="000000"/>
          <w:sz w:val="24"/>
          <w:szCs w:val="24"/>
          <w:lang w:val="el-GR" w:eastAsia="fr-FR"/>
        </w:rPr>
        <w:t>αξίωμα</w:t>
      </w:r>
      <w:r w:rsidR="00A5147D" w:rsidRPr="00F907DB">
        <w:rPr>
          <w:rFonts w:eastAsia="Times New Roman" w:cstheme="minorHAnsi"/>
          <w:color w:val="000000"/>
          <w:sz w:val="24"/>
          <w:szCs w:val="24"/>
          <w:lang w:val="el-GR" w:eastAsia="fr-FR"/>
        </w:rPr>
        <w:t xml:space="preserve"> </w:t>
      </w:r>
      <w:r w:rsidR="00156E66">
        <w:rPr>
          <w:rFonts w:eastAsia="Times New Roman" w:cstheme="minorHAnsi"/>
          <w:color w:val="000000"/>
          <w:sz w:val="24"/>
          <w:szCs w:val="24"/>
          <w:lang w:val="el-GR" w:eastAsia="fr-FR"/>
        </w:rPr>
        <w:t xml:space="preserve">επ’ αμοιβή </w:t>
      </w:r>
      <w:r w:rsidR="00F907DB">
        <w:rPr>
          <w:rFonts w:eastAsia="Times New Roman" w:cstheme="minorHAnsi"/>
          <w:color w:val="000000"/>
          <w:sz w:val="24"/>
          <w:szCs w:val="24"/>
          <w:lang w:val="el-GR" w:eastAsia="fr-FR"/>
        </w:rPr>
        <w:t>στη</w:t>
      </w:r>
      <w:r w:rsidR="00F907DB" w:rsidRPr="00F907DB">
        <w:rPr>
          <w:rFonts w:eastAsia="Times New Roman" w:cstheme="minorHAnsi"/>
          <w:color w:val="000000"/>
          <w:sz w:val="24"/>
          <w:szCs w:val="24"/>
          <w:lang w:val="el-GR" w:eastAsia="fr-FR"/>
        </w:rPr>
        <w:t xml:space="preserve"> </w:t>
      </w:r>
      <w:r w:rsidR="00F907DB">
        <w:rPr>
          <w:rFonts w:eastAsia="Times New Roman" w:cstheme="minorHAnsi"/>
          <w:color w:val="000000"/>
          <w:sz w:val="24"/>
          <w:szCs w:val="24"/>
          <w:lang w:val="el-GR" w:eastAsia="fr-FR"/>
        </w:rPr>
        <w:t>δημόσια</w:t>
      </w:r>
      <w:r w:rsidR="00F907DB" w:rsidRPr="00F907DB">
        <w:rPr>
          <w:rFonts w:eastAsia="Times New Roman" w:cstheme="minorHAnsi"/>
          <w:color w:val="000000"/>
          <w:sz w:val="24"/>
          <w:szCs w:val="24"/>
          <w:lang w:val="el-GR" w:eastAsia="fr-FR"/>
        </w:rPr>
        <w:t xml:space="preserve"> </w:t>
      </w:r>
      <w:r w:rsidR="00F907DB">
        <w:rPr>
          <w:rFonts w:eastAsia="Times New Roman" w:cstheme="minorHAnsi"/>
          <w:color w:val="000000"/>
          <w:sz w:val="24"/>
          <w:szCs w:val="24"/>
          <w:lang w:val="el-GR" w:eastAsia="fr-FR"/>
        </w:rPr>
        <w:t>υπηρεσία</w:t>
      </w:r>
      <w:r w:rsidR="00F907DB" w:rsidRPr="00F907DB">
        <w:rPr>
          <w:rFonts w:eastAsia="Times New Roman" w:cstheme="minorHAnsi"/>
          <w:color w:val="000000"/>
          <w:sz w:val="24"/>
          <w:szCs w:val="24"/>
          <w:lang w:val="el-GR" w:eastAsia="fr-FR"/>
        </w:rPr>
        <w:t xml:space="preserve"> </w:t>
      </w:r>
      <w:r w:rsidR="00F907DB">
        <w:rPr>
          <w:rFonts w:eastAsia="Times New Roman" w:cstheme="minorHAnsi"/>
          <w:color w:val="000000"/>
          <w:sz w:val="24"/>
          <w:szCs w:val="24"/>
          <w:lang w:val="el-GR" w:eastAsia="fr-FR"/>
        </w:rPr>
        <w:t>της</w:t>
      </w:r>
      <w:r w:rsidR="00F907DB" w:rsidRPr="00F907DB">
        <w:rPr>
          <w:rFonts w:eastAsia="Times New Roman" w:cstheme="minorHAnsi"/>
          <w:color w:val="000000"/>
          <w:sz w:val="24"/>
          <w:szCs w:val="24"/>
          <w:lang w:val="el-GR" w:eastAsia="fr-FR"/>
        </w:rPr>
        <w:t xml:space="preserve"> </w:t>
      </w:r>
      <w:r w:rsidR="00F907DB">
        <w:rPr>
          <w:rFonts w:eastAsia="Times New Roman" w:cstheme="minorHAnsi"/>
          <w:color w:val="000000"/>
          <w:sz w:val="24"/>
          <w:szCs w:val="24"/>
          <w:lang w:val="el-GR" w:eastAsia="fr-FR"/>
        </w:rPr>
        <w:t>Δημοκρατίας</w:t>
      </w:r>
      <w:r w:rsidR="00A5147D" w:rsidRPr="00F907DB">
        <w:rPr>
          <w:rFonts w:eastAsia="Times New Roman" w:cstheme="minorHAnsi"/>
          <w:color w:val="000000"/>
          <w:sz w:val="24"/>
          <w:szCs w:val="24"/>
          <w:lang w:val="el-GR" w:eastAsia="fr-FR"/>
        </w:rPr>
        <w:t xml:space="preserve"> (</w:t>
      </w:r>
      <w:r w:rsidR="00F907DB">
        <w:rPr>
          <w:rFonts w:eastAsia="Times New Roman" w:cstheme="minorHAnsi"/>
          <w:color w:val="000000"/>
          <w:sz w:val="24"/>
          <w:szCs w:val="24"/>
          <w:lang w:val="el-GR" w:eastAsia="fr-FR"/>
        </w:rPr>
        <w:t>ή</w:t>
      </w:r>
      <w:r w:rsidR="00156E66">
        <w:rPr>
          <w:rFonts w:eastAsia="Times New Roman" w:cstheme="minorHAnsi"/>
          <w:color w:val="000000"/>
          <w:sz w:val="24"/>
          <w:szCs w:val="24"/>
          <w:lang w:val="el-GR" w:eastAsia="fr-FR"/>
        </w:rPr>
        <w:t xml:space="preserve"> Κοινοτικής Συνέλευσης</w:t>
      </w:r>
      <w:r w:rsidR="00A5147D" w:rsidRPr="00F907DB">
        <w:rPr>
          <w:rFonts w:eastAsia="Times New Roman" w:cstheme="minorHAnsi"/>
          <w:color w:val="000000"/>
          <w:sz w:val="24"/>
          <w:szCs w:val="24"/>
          <w:lang w:val="el-GR" w:eastAsia="fr-FR"/>
        </w:rPr>
        <w:t xml:space="preserve">), </w:t>
      </w:r>
      <w:r w:rsidR="00156E66">
        <w:rPr>
          <w:rFonts w:eastAsia="Times New Roman" w:cstheme="minorHAnsi"/>
          <w:color w:val="000000"/>
          <w:sz w:val="24"/>
          <w:szCs w:val="24"/>
          <w:lang w:val="el-GR" w:eastAsia="fr-FR"/>
        </w:rPr>
        <w:t xml:space="preserve">η αμοιβή </w:t>
      </w:r>
      <w:r w:rsidR="00F907DB">
        <w:rPr>
          <w:rFonts w:eastAsia="Times New Roman" w:cstheme="minorHAnsi"/>
          <w:color w:val="000000"/>
          <w:sz w:val="24"/>
          <w:szCs w:val="24"/>
          <w:lang w:val="el-GR" w:eastAsia="fr-FR"/>
        </w:rPr>
        <w:t>του</w:t>
      </w:r>
      <w:r w:rsidR="00F907DB" w:rsidRPr="00F907DB">
        <w:rPr>
          <w:rFonts w:eastAsia="Times New Roman" w:cstheme="minorHAnsi"/>
          <w:color w:val="000000"/>
          <w:sz w:val="24"/>
          <w:szCs w:val="24"/>
          <w:lang w:val="el-GR" w:eastAsia="fr-FR"/>
        </w:rPr>
        <w:t xml:space="preserve"> </w:t>
      </w:r>
      <w:r w:rsidR="00F907DB">
        <w:rPr>
          <w:rFonts w:eastAsia="Times New Roman" w:cstheme="minorHAnsi"/>
          <w:color w:val="000000"/>
          <w:sz w:val="24"/>
          <w:szCs w:val="24"/>
          <w:lang w:val="el-GR" w:eastAsia="fr-FR"/>
        </w:rPr>
        <w:t>οποίου</w:t>
      </w:r>
      <w:r w:rsidR="00F907DB" w:rsidRPr="00F907DB">
        <w:rPr>
          <w:rFonts w:eastAsia="Times New Roman" w:cstheme="minorHAnsi"/>
          <w:color w:val="000000"/>
          <w:sz w:val="24"/>
          <w:szCs w:val="24"/>
          <w:lang w:val="el-GR" w:eastAsia="fr-FR"/>
        </w:rPr>
        <w:t xml:space="preserve"> </w:t>
      </w:r>
      <w:r w:rsidR="00F907DB">
        <w:rPr>
          <w:rFonts w:eastAsia="Times New Roman" w:cstheme="minorHAnsi"/>
          <w:color w:val="000000"/>
          <w:sz w:val="24"/>
          <w:szCs w:val="24"/>
          <w:lang w:val="el-GR" w:eastAsia="fr-FR"/>
        </w:rPr>
        <w:t>είναι</w:t>
      </w:r>
      <w:r w:rsidR="00F907DB" w:rsidRPr="00F907DB">
        <w:rPr>
          <w:rFonts w:eastAsia="Times New Roman" w:cstheme="minorHAnsi"/>
          <w:color w:val="000000"/>
          <w:sz w:val="24"/>
          <w:szCs w:val="24"/>
          <w:lang w:val="el-GR" w:eastAsia="fr-FR"/>
        </w:rPr>
        <w:t xml:space="preserve"> </w:t>
      </w:r>
      <w:r w:rsidR="00F907DB">
        <w:rPr>
          <w:rFonts w:eastAsia="Times New Roman" w:cstheme="minorHAnsi"/>
          <w:color w:val="000000"/>
          <w:sz w:val="24"/>
          <w:szCs w:val="24"/>
          <w:lang w:val="el-GR" w:eastAsia="fr-FR"/>
        </w:rPr>
        <w:t xml:space="preserve">υπό τον έλεγχο είτε της Δημοκρατίας </w:t>
      </w:r>
      <w:r w:rsidR="00A5147D" w:rsidRPr="00F907DB">
        <w:rPr>
          <w:rFonts w:eastAsia="Times New Roman" w:cstheme="minorHAnsi"/>
          <w:color w:val="000000"/>
          <w:sz w:val="24"/>
          <w:szCs w:val="24"/>
          <w:lang w:val="el-GR" w:eastAsia="fr-FR"/>
        </w:rPr>
        <w:t>(</w:t>
      </w:r>
      <w:r w:rsidR="00F907DB">
        <w:rPr>
          <w:rFonts w:eastAsia="Times New Roman" w:cstheme="minorHAnsi"/>
          <w:color w:val="000000"/>
          <w:sz w:val="24"/>
          <w:szCs w:val="24"/>
          <w:lang w:val="el-GR" w:eastAsia="fr-FR"/>
        </w:rPr>
        <w:t>ή</w:t>
      </w:r>
      <w:r w:rsidR="00156E66">
        <w:rPr>
          <w:rFonts w:eastAsia="Times New Roman" w:cstheme="minorHAnsi"/>
          <w:color w:val="000000"/>
          <w:sz w:val="24"/>
          <w:szCs w:val="24"/>
          <w:lang w:val="el-GR" w:eastAsia="fr-FR"/>
        </w:rPr>
        <w:t xml:space="preserve"> της Κοινοτικής Συνέλευσης</w:t>
      </w:r>
      <w:r w:rsidR="00A5147D" w:rsidRPr="00F907DB">
        <w:rPr>
          <w:rFonts w:eastAsia="Times New Roman" w:cstheme="minorHAnsi"/>
          <w:color w:val="000000"/>
          <w:sz w:val="24"/>
          <w:szCs w:val="24"/>
          <w:lang w:val="el-GR" w:eastAsia="fr-FR"/>
        </w:rPr>
        <w:t xml:space="preserve">) </w:t>
      </w:r>
      <w:r w:rsidR="00F907DB">
        <w:rPr>
          <w:rFonts w:eastAsia="Times New Roman" w:cstheme="minorHAnsi"/>
          <w:color w:val="000000"/>
          <w:sz w:val="24"/>
          <w:szCs w:val="24"/>
          <w:lang w:val="el-GR" w:eastAsia="fr-FR"/>
        </w:rPr>
        <w:t>και περιλαμβάνει οποιοδήποτε αξίωμα σε οποι</w:t>
      </w:r>
      <w:r w:rsidR="00156E66">
        <w:rPr>
          <w:rFonts w:eastAsia="Times New Roman" w:cstheme="minorHAnsi"/>
          <w:color w:val="000000"/>
          <w:sz w:val="24"/>
          <w:szCs w:val="24"/>
          <w:lang w:val="el-GR" w:eastAsia="fr-FR"/>
        </w:rPr>
        <w:t>ο</w:t>
      </w:r>
      <w:r w:rsidR="00F907DB">
        <w:rPr>
          <w:rFonts w:eastAsia="Times New Roman" w:cstheme="minorHAnsi"/>
          <w:color w:val="000000"/>
          <w:sz w:val="24"/>
          <w:szCs w:val="24"/>
          <w:lang w:val="el-GR" w:eastAsia="fr-FR"/>
        </w:rPr>
        <w:t xml:space="preserve">δήποτε </w:t>
      </w:r>
      <w:proofErr w:type="spellStart"/>
      <w:r w:rsidR="00156E66" w:rsidRPr="002B7C4B">
        <w:rPr>
          <w:rFonts w:eastAsia="Times New Roman" w:cstheme="minorHAnsi"/>
          <w:color w:val="000000"/>
          <w:sz w:val="24"/>
          <w:szCs w:val="24"/>
          <w:lang w:val="el-GR" w:eastAsia="fr-FR"/>
        </w:rPr>
        <w:t>νομικόν</w:t>
      </w:r>
      <w:proofErr w:type="spellEnd"/>
      <w:r w:rsidR="00156E66" w:rsidRPr="002B7C4B">
        <w:rPr>
          <w:rFonts w:eastAsia="Times New Roman" w:cstheme="minorHAnsi"/>
          <w:color w:val="000000"/>
          <w:sz w:val="24"/>
          <w:szCs w:val="24"/>
          <w:lang w:val="el-GR" w:eastAsia="fr-FR"/>
        </w:rPr>
        <w:t xml:space="preserve"> </w:t>
      </w:r>
      <w:proofErr w:type="spellStart"/>
      <w:r w:rsidR="00156E66" w:rsidRPr="002B7C4B">
        <w:rPr>
          <w:rFonts w:eastAsia="Times New Roman" w:cstheme="minorHAnsi"/>
          <w:color w:val="000000"/>
          <w:sz w:val="24"/>
          <w:szCs w:val="24"/>
          <w:lang w:val="el-GR" w:eastAsia="fr-FR"/>
        </w:rPr>
        <w:t>πρόσωπον</w:t>
      </w:r>
      <w:proofErr w:type="spellEnd"/>
      <w:r w:rsidR="00156E66" w:rsidRPr="002B7C4B">
        <w:rPr>
          <w:rFonts w:eastAsia="Times New Roman" w:cstheme="minorHAnsi"/>
          <w:color w:val="000000"/>
          <w:sz w:val="24"/>
          <w:szCs w:val="24"/>
          <w:lang w:val="el-GR" w:eastAsia="fr-FR"/>
        </w:rPr>
        <w:t xml:space="preserve"> δημοσίου δικαίου ή </w:t>
      </w:r>
      <w:proofErr w:type="spellStart"/>
      <w:r w:rsidR="00156E66" w:rsidRPr="002B7C4B">
        <w:rPr>
          <w:rFonts w:eastAsia="Times New Roman" w:cstheme="minorHAnsi"/>
          <w:color w:val="000000"/>
          <w:sz w:val="24"/>
          <w:szCs w:val="24"/>
          <w:lang w:val="el-GR" w:eastAsia="fr-FR"/>
        </w:rPr>
        <w:t>οργανισμόν</w:t>
      </w:r>
      <w:proofErr w:type="spellEnd"/>
      <w:r w:rsidR="00156E66" w:rsidRPr="002B7C4B">
        <w:rPr>
          <w:rFonts w:eastAsia="Times New Roman" w:cstheme="minorHAnsi"/>
          <w:color w:val="000000"/>
          <w:sz w:val="24"/>
          <w:szCs w:val="24"/>
          <w:lang w:val="el-GR" w:eastAsia="fr-FR"/>
        </w:rPr>
        <w:t xml:space="preserve"> κοινής ωφελείας.</w:t>
      </w:r>
    </w:p>
    <w:p w14:paraId="3703D45E" w14:textId="77777777" w:rsidR="00A5147D" w:rsidRPr="00F907DB" w:rsidRDefault="00A5147D" w:rsidP="00A5147D">
      <w:pPr>
        <w:rPr>
          <w:rFonts w:eastAsia="Times New Roman" w:cstheme="minorHAnsi"/>
          <w:color w:val="000000"/>
          <w:sz w:val="24"/>
          <w:szCs w:val="24"/>
          <w:lang w:val="el-GR" w:eastAsia="fr-FR"/>
        </w:rPr>
      </w:pPr>
    </w:p>
    <w:p w14:paraId="28F6EAEC" w14:textId="70DC9455" w:rsidR="00A5147D" w:rsidRPr="00F907DB" w:rsidRDefault="00F907DB" w:rsidP="00A5147D">
      <w:pPr>
        <w:numPr>
          <w:ilvl w:val="0"/>
          <w:numId w:val="1"/>
        </w:numPr>
        <w:tabs>
          <w:tab w:val="clear" w:pos="6095"/>
          <w:tab w:val="left" w:pos="709"/>
        </w:tabs>
        <w:ind w:left="0" w:firstLine="0"/>
        <w:rPr>
          <w:rFonts w:eastAsia="Times New Roman" w:cstheme="minorHAnsi"/>
          <w:color w:val="000000"/>
          <w:sz w:val="24"/>
          <w:szCs w:val="24"/>
          <w:lang w:val="el-GR" w:eastAsia="fr-FR"/>
        </w:rPr>
      </w:pPr>
      <w:r>
        <w:rPr>
          <w:rFonts w:eastAsia="Times New Roman" w:cstheme="minorHAnsi"/>
          <w:color w:val="000000"/>
          <w:sz w:val="24"/>
          <w:szCs w:val="24"/>
          <w:lang w:val="el-GR" w:eastAsia="fr-FR"/>
        </w:rPr>
        <w:t>Κατά</w:t>
      </w:r>
      <w:r w:rsidRPr="00F907DB">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την</w:t>
      </w:r>
      <w:r w:rsidRPr="00F907DB">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θητεία</w:t>
      </w:r>
      <w:r w:rsidRPr="00F907DB">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του</w:t>
      </w:r>
      <w:r w:rsidRPr="00F907DB">
        <w:rPr>
          <w:rFonts w:eastAsia="Times New Roman" w:cstheme="minorHAnsi"/>
          <w:color w:val="000000"/>
          <w:sz w:val="24"/>
          <w:szCs w:val="24"/>
          <w:lang w:val="el-GR" w:eastAsia="fr-FR"/>
        </w:rPr>
        <w:t>/</w:t>
      </w:r>
      <w:r>
        <w:rPr>
          <w:rFonts w:eastAsia="Times New Roman" w:cstheme="minorHAnsi"/>
          <w:color w:val="000000"/>
          <w:sz w:val="24"/>
          <w:szCs w:val="24"/>
          <w:lang w:val="el-GR" w:eastAsia="fr-FR"/>
        </w:rPr>
        <w:t>ης</w:t>
      </w:r>
      <w:r w:rsidR="00A5147D" w:rsidRPr="00F907DB">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ο</w:t>
      </w:r>
      <w:r w:rsidR="002A5D68">
        <w:rPr>
          <w:rFonts w:eastAsia="Times New Roman" w:cstheme="minorHAnsi"/>
          <w:color w:val="000000"/>
          <w:sz w:val="24"/>
          <w:szCs w:val="24"/>
          <w:lang w:val="el-GR" w:eastAsia="fr-FR"/>
        </w:rPr>
        <w:t>/η</w:t>
      </w:r>
      <w:r w:rsidRPr="00F907DB">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Πρόεδρος</w:t>
      </w:r>
      <w:r w:rsidRPr="00F907DB">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της</w:t>
      </w:r>
      <w:r w:rsidRPr="00F907DB">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Δημοκρατίας</w:t>
      </w:r>
      <w:r w:rsidR="00A5147D" w:rsidRPr="00F907DB">
        <w:rPr>
          <w:rFonts w:eastAsia="Times New Roman" w:cstheme="minorHAnsi"/>
          <w:color w:val="000000"/>
          <w:sz w:val="24"/>
          <w:szCs w:val="24"/>
          <w:lang w:val="el-GR" w:eastAsia="fr-FR"/>
        </w:rPr>
        <w:t xml:space="preserve"> </w:t>
      </w:r>
      <w:r w:rsidR="00514F18">
        <w:rPr>
          <w:rFonts w:eastAsia="Times New Roman" w:cstheme="minorHAnsi"/>
          <w:color w:val="000000"/>
          <w:sz w:val="24"/>
          <w:szCs w:val="24"/>
          <w:lang w:val="el-GR" w:eastAsia="fr-FR"/>
        </w:rPr>
        <w:t xml:space="preserve">δεν </w:t>
      </w:r>
      <w:r>
        <w:rPr>
          <w:rFonts w:eastAsia="Times New Roman" w:cstheme="minorHAnsi"/>
          <w:color w:val="000000"/>
          <w:sz w:val="24"/>
          <w:szCs w:val="24"/>
          <w:lang w:val="el-GR" w:eastAsia="fr-FR"/>
        </w:rPr>
        <w:t>μπορεί</w:t>
      </w:r>
      <w:r w:rsidRPr="00F907DB">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να</w:t>
      </w:r>
      <w:r w:rsidRPr="00F907DB">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εμπλακεί</w:t>
      </w:r>
      <w:r w:rsidR="00A5147D" w:rsidRPr="00F907DB">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είτε</w:t>
      </w:r>
      <w:r w:rsidRPr="00F907DB">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άμεσα</w:t>
      </w:r>
      <w:r w:rsidRPr="00F907DB">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είτε</w:t>
      </w:r>
      <w:r w:rsidRPr="00F907DB">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έμμεσα</w:t>
      </w:r>
      <w:r w:rsidR="00A5147D" w:rsidRPr="00F907DB">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για</w:t>
      </w:r>
      <w:r w:rsidRPr="00F907DB">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λογαριασμό του/ης</w:t>
      </w:r>
      <w:r w:rsidR="00A5147D" w:rsidRPr="00F907DB">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ή για τον λογαριασμό οποιουδήποτε άλλου ατόμου</w:t>
      </w:r>
      <w:r w:rsidR="00A5147D" w:rsidRPr="00F907DB">
        <w:rPr>
          <w:rFonts w:eastAsia="Times New Roman" w:cstheme="minorHAnsi"/>
          <w:color w:val="000000"/>
          <w:sz w:val="24"/>
          <w:szCs w:val="24"/>
          <w:lang w:val="el-GR" w:eastAsia="fr-FR"/>
        </w:rPr>
        <w:t xml:space="preserve">, </w:t>
      </w:r>
      <w:r>
        <w:rPr>
          <w:rFonts w:eastAsia="Times New Roman" w:cstheme="minorHAnsi"/>
          <w:color w:val="000000"/>
          <w:sz w:val="24"/>
          <w:szCs w:val="24"/>
          <w:lang w:val="el-GR" w:eastAsia="fr-FR"/>
        </w:rPr>
        <w:t xml:space="preserve">στην εξάσκηση οποιασδήποτε </w:t>
      </w:r>
      <w:r w:rsidR="0062187B">
        <w:rPr>
          <w:rFonts w:eastAsia="Times New Roman" w:cstheme="minorHAnsi"/>
          <w:color w:val="000000"/>
          <w:sz w:val="24"/>
          <w:szCs w:val="24"/>
          <w:lang w:val="el-GR" w:eastAsia="fr-FR"/>
        </w:rPr>
        <w:t xml:space="preserve">κερδοσκοπικής </w:t>
      </w:r>
      <w:r>
        <w:rPr>
          <w:rFonts w:eastAsia="Times New Roman" w:cstheme="minorHAnsi"/>
          <w:color w:val="000000"/>
          <w:sz w:val="24"/>
          <w:szCs w:val="24"/>
          <w:lang w:val="el-GR" w:eastAsia="fr-FR"/>
        </w:rPr>
        <w:t>ή επιχείρησης ή επαγγέλματος</w:t>
      </w:r>
      <w:r w:rsidR="00A5147D" w:rsidRPr="00F907DB">
        <w:rPr>
          <w:rFonts w:eastAsia="Times New Roman" w:cstheme="minorHAnsi"/>
          <w:color w:val="000000"/>
          <w:sz w:val="24"/>
          <w:szCs w:val="24"/>
          <w:lang w:val="el-GR" w:eastAsia="fr-FR"/>
        </w:rPr>
        <w:t>.</w:t>
      </w:r>
    </w:p>
    <w:p w14:paraId="239F323C" w14:textId="77777777" w:rsidR="00A5147D" w:rsidRPr="00F907DB" w:rsidRDefault="00A5147D" w:rsidP="00A5147D">
      <w:pPr>
        <w:rPr>
          <w:rFonts w:eastAsia="Times New Roman" w:cstheme="minorHAnsi"/>
          <w:color w:val="000000"/>
          <w:sz w:val="24"/>
          <w:szCs w:val="24"/>
          <w:lang w:val="el-GR" w:eastAsia="fr-FR"/>
        </w:rPr>
      </w:pPr>
    </w:p>
    <w:p w14:paraId="2D56DAC0" w14:textId="01F1BEEB" w:rsidR="00A5147D" w:rsidRPr="00645A1B" w:rsidRDefault="00645A1B" w:rsidP="00A5147D">
      <w:pPr>
        <w:numPr>
          <w:ilvl w:val="0"/>
          <w:numId w:val="1"/>
        </w:numPr>
        <w:tabs>
          <w:tab w:val="clear" w:pos="6095"/>
          <w:tab w:val="left" w:pos="709"/>
        </w:tabs>
        <w:ind w:left="0" w:firstLine="0"/>
        <w:rPr>
          <w:rFonts w:eastAsia="Times New Roman" w:cstheme="minorHAnsi"/>
          <w:color w:val="000000"/>
          <w:sz w:val="24"/>
          <w:szCs w:val="24"/>
          <w:lang w:val="el-GR" w:eastAsia="fr-FR"/>
        </w:rPr>
      </w:pPr>
      <w:r>
        <w:rPr>
          <w:rFonts w:cstheme="minorHAnsi"/>
          <w:bCs/>
          <w:sz w:val="24"/>
          <w:szCs w:val="24"/>
          <w:lang w:val="el-GR"/>
        </w:rPr>
        <w:t>Το</w:t>
      </w:r>
      <w:r w:rsidRPr="00645A1B">
        <w:rPr>
          <w:rFonts w:cstheme="minorHAnsi"/>
          <w:bCs/>
          <w:sz w:val="24"/>
          <w:szCs w:val="24"/>
          <w:lang w:val="el-GR"/>
        </w:rPr>
        <w:t xml:space="preserve"> </w:t>
      </w:r>
      <w:r>
        <w:rPr>
          <w:rFonts w:cstheme="minorHAnsi"/>
          <w:bCs/>
          <w:sz w:val="24"/>
          <w:szCs w:val="24"/>
          <w:lang w:val="el-GR"/>
        </w:rPr>
        <w:t>αξίωμα</w:t>
      </w:r>
      <w:r w:rsidRPr="00645A1B">
        <w:rPr>
          <w:rFonts w:cstheme="minorHAnsi"/>
          <w:bCs/>
          <w:sz w:val="24"/>
          <w:szCs w:val="24"/>
          <w:lang w:val="el-GR"/>
        </w:rPr>
        <w:t xml:space="preserve"> </w:t>
      </w:r>
      <w:r>
        <w:rPr>
          <w:rFonts w:cstheme="minorHAnsi"/>
          <w:bCs/>
          <w:sz w:val="24"/>
          <w:szCs w:val="24"/>
          <w:lang w:val="el-GR"/>
        </w:rPr>
        <w:t>ενός</w:t>
      </w:r>
      <w:r w:rsidRPr="00645A1B">
        <w:rPr>
          <w:rFonts w:cstheme="minorHAnsi"/>
          <w:bCs/>
          <w:sz w:val="24"/>
          <w:szCs w:val="24"/>
          <w:lang w:val="el-GR"/>
        </w:rPr>
        <w:t xml:space="preserve"> </w:t>
      </w:r>
      <w:r>
        <w:rPr>
          <w:rFonts w:cstheme="minorHAnsi"/>
          <w:bCs/>
          <w:sz w:val="24"/>
          <w:szCs w:val="24"/>
          <w:lang w:val="el-GR"/>
        </w:rPr>
        <w:t>υπουργού</w:t>
      </w:r>
      <w:r w:rsidRPr="00645A1B">
        <w:rPr>
          <w:rFonts w:cstheme="minorHAnsi"/>
          <w:bCs/>
          <w:sz w:val="24"/>
          <w:szCs w:val="24"/>
          <w:lang w:val="el-GR"/>
        </w:rPr>
        <w:t xml:space="preserve"> </w:t>
      </w:r>
      <w:r>
        <w:rPr>
          <w:rFonts w:cstheme="minorHAnsi"/>
          <w:bCs/>
          <w:sz w:val="24"/>
          <w:szCs w:val="24"/>
          <w:lang w:val="el-GR"/>
        </w:rPr>
        <w:t>είναι</w:t>
      </w:r>
      <w:r w:rsidRPr="00645A1B">
        <w:rPr>
          <w:rFonts w:cstheme="minorHAnsi"/>
          <w:bCs/>
          <w:sz w:val="24"/>
          <w:szCs w:val="24"/>
          <w:lang w:val="el-GR"/>
        </w:rPr>
        <w:t xml:space="preserve"> </w:t>
      </w:r>
      <w:r w:rsidR="008F6525">
        <w:rPr>
          <w:rFonts w:cstheme="minorHAnsi"/>
          <w:bCs/>
          <w:sz w:val="24"/>
          <w:szCs w:val="24"/>
          <w:lang w:val="el-GR"/>
        </w:rPr>
        <w:t xml:space="preserve">ασυμβίβαστο </w:t>
      </w:r>
      <w:proofErr w:type="spellStart"/>
      <w:r>
        <w:rPr>
          <w:rFonts w:cstheme="minorHAnsi"/>
          <w:bCs/>
          <w:sz w:val="24"/>
          <w:szCs w:val="24"/>
          <w:lang w:val="el-GR"/>
        </w:rPr>
        <w:t>μ</w:t>
      </w:r>
      <w:r w:rsidRPr="00645A1B">
        <w:rPr>
          <w:rFonts w:cstheme="minorHAnsi"/>
          <w:bCs/>
          <w:sz w:val="24"/>
          <w:szCs w:val="24"/>
          <w:lang w:val="el-GR"/>
        </w:rPr>
        <w:t>’</w:t>
      </w:r>
      <w:r>
        <w:rPr>
          <w:rFonts w:cstheme="minorHAnsi"/>
          <w:bCs/>
          <w:sz w:val="24"/>
          <w:szCs w:val="24"/>
          <w:lang w:val="el-GR"/>
        </w:rPr>
        <w:t>αυτό</w:t>
      </w:r>
      <w:proofErr w:type="spellEnd"/>
      <w:r w:rsidRPr="00645A1B">
        <w:rPr>
          <w:rFonts w:cstheme="minorHAnsi"/>
          <w:bCs/>
          <w:sz w:val="24"/>
          <w:szCs w:val="24"/>
          <w:lang w:val="el-GR"/>
        </w:rPr>
        <w:t xml:space="preserve"> </w:t>
      </w:r>
      <w:r w:rsidR="008F6525">
        <w:rPr>
          <w:rFonts w:cstheme="minorHAnsi"/>
          <w:bCs/>
          <w:sz w:val="24"/>
          <w:szCs w:val="24"/>
          <w:lang w:val="el-GR"/>
        </w:rPr>
        <w:t xml:space="preserve">του βουλευτού </w:t>
      </w:r>
      <w:r>
        <w:rPr>
          <w:rFonts w:cstheme="minorHAnsi"/>
          <w:bCs/>
          <w:sz w:val="24"/>
          <w:szCs w:val="24"/>
          <w:lang w:val="el-GR"/>
        </w:rPr>
        <w:t>ή</w:t>
      </w:r>
      <w:r w:rsidRPr="00645A1B">
        <w:rPr>
          <w:rFonts w:cstheme="minorHAnsi"/>
          <w:bCs/>
          <w:sz w:val="24"/>
          <w:szCs w:val="24"/>
          <w:lang w:val="el-GR"/>
        </w:rPr>
        <w:t xml:space="preserve"> </w:t>
      </w:r>
      <w:r>
        <w:rPr>
          <w:rFonts w:cstheme="minorHAnsi"/>
          <w:bCs/>
          <w:sz w:val="24"/>
          <w:szCs w:val="24"/>
          <w:lang w:val="el-GR"/>
        </w:rPr>
        <w:t>μέλους</w:t>
      </w:r>
      <w:r w:rsidRPr="00645A1B">
        <w:rPr>
          <w:rFonts w:cstheme="minorHAnsi"/>
          <w:bCs/>
          <w:sz w:val="24"/>
          <w:szCs w:val="24"/>
          <w:lang w:val="el-GR"/>
        </w:rPr>
        <w:t xml:space="preserve"> </w:t>
      </w:r>
      <w:r>
        <w:rPr>
          <w:rFonts w:cstheme="minorHAnsi"/>
          <w:bCs/>
          <w:sz w:val="24"/>
          <w:szCs w:val="24"/>
          <w:lang w:val="el-GR"/>
        </w:rPr>
        <w:t>οποιουδήποτε</w:t>
      </w:r>
      <w:r w:rsidRPr="00645A1B">
        <w:rPr>
          <w:rFonts w:cstheme="minorHAnsi"/>
          <w:bCs/>
          <w:sz w:val="24"/>
          <w:szCs w:val="24"/>
          <w:lang w:val="el-GR"/>
        </w:rPr>
        <w:t xml:space="preserve"> </w:t>
      </w:r>
      <w:r>
        <w:rPr>
          <w:rFonts w:cstheme="minorHAnsi"/>
          <w:bCs/>
          <w:sz w:val="24"/>
          <w:szCs w:val="24"/>
          <w:lang w:val="el-GR"/>
        </w:rPr>
        <w:t>δημοτικού</w:t>
      </w:r>
      <w:r w:rsidRPr="00645A1B">
        <w:rPr>
          <w:rFonts w:cstheme="minorHAnsi"/>
          <w:bCs/>
          <w:sz w:val="24"/>
          <w:szCs w:val="24"/>
          <w:lang w:val="el-GR"/>
        </w:rPr>
        <w:t xml:space="preserve"> </w:t>
      </w:r>
      <w:r>
        <w:rPr>
          <w:rFonts w:cstheme="minorHAnsi"/>
          <w:bCs/>
          <w:sz w:val="24"/>
          <w:szCs w:val="24"/>
          <w:lang w:val="el-GR"/>
        </w:rPr>
        <w:t>συμβουλίου</w:t>
      </w:r>
      <w:r w:rsidR="00A5147D" w:rsidRPr="00645A1B">
        <w:rPr>
          <w:rFonts w:cstheme="minorHAnsi"/>
          <w:bCs/>
          <w:sz w:val="24"/>
          <w:szCs w:val="24"/>
          <w:lang w:val="el-GR"/>
        </w:rPr>
        <w:t xml:space="preserve"> </w:t>
      </w:r>
      <w:r>
        <w:rPr>
          <w:rFonts w:cstheme="minorHAnsi"/>
          <w:bCs/>
          <w:sz w:val="24"/>
          <w:szCs w:val="24"/>
          <w:lang w:val="el-GR"/>
        </w:rPr>
        <w:t xml:space="preserve">περιλαμβανομένου </w:t>
      </w:r>
      <w:r w:rsidR="008F6525">
        <w:rPr>
          <w:rFonts w:cstheme="minorHAnsi"/>
          <w:bCs/>
          <w:sz w:val="24"/>
          <w:szCs w:val="24"/>
          <w:lang w:val="el-GR"/>
        </w:rPr>
        <w:t xml:space="preserve">και του </w:t>
      </w:r>
      <w:r>
        <w:rPr>
          <w:rFonts w:cstheme="minorHAnsi"/>
          <w:bCs/>
          <w:sz w:val="24"/>
          <w:szCs w:val="24"/>
          <w:lang w:val="el-GR"/>
        </w:rPr>
        <w:t xml:space="preserve">δημάρχου ή </w:t>
      </w:r>
      <w:r w:rsidR="008F6525">
        <w:rPr>
          <w:rFonts w:cstheme="minorHAnsi"/>
          <w:bCs/>
          <w:sz w:val="24"/>
          <w:szCs w:val="24"/>
          <w:lang w:val="el-GR"/>
        </w:rPr>
        <w:t xml:space="preserve"> </w:t>
      </w:r>
      <w:r>
        <w:rPr>
          <w:rFonts w:cstheme="minorHAnsi"/>
          <w:bCs/>
          <w:sz w:val="24"/>
          <w:szCs w:val="24"/>
          <w:lang w:val="el-GR"/>
        </w:rPr>
        <w:t>μέλους των ενόπλων δυνάμεων ή</w:t>
      </w:r>
      <w:r w:rsidR="008F6525">
        <w:rPr>
          <w:rFonts w:cstheme="minorHAnsi"/>
          <w:bCs/>
          <w:sz w:val="24"/>
          <w:szCs w:val="24"/>
          <w:lang w:val="el-GR"/>
        </w:rPr>
        <w:t xml:space="preserve"> των</w:t>
      </w:r>
      <w:r>
        <w:rPr>
          <w:rFonts w:cstheme="minorHAnsi"/>
          <w:bCs/>
          <w:sz w:val="24"/>
          <w:szCs w:val="24"/>
          <w:lang w:val="el-GR"/>
        </w:rPr>
        <w:t xml:space="preserve"> δυνάμεων ασφαλείας της Δημοκρατίας</w:t>
      </w:r>
      <w:r w:rsidR="00A5147D" w:rsidRPr="00645A1B">
        <w:rPr>
          <w:rFonts w:cstheme="minorHAnsi"/>
          <w:bCs/>
          <w:sz w:val="24"/>
          <w:szCs w:val="24"/>
          <w:lang w:val="el-GR"/>
        </w:rPr>
        <w:t xml:space="preserve"> </w:t>
      </w:r>
      <w:r>
        <w:rPr>
          <w:rFonts w:cstheme="minorHAnsi"/>
          <w:bCs/>
          <w:sz w:val="24"/>
          <w:szCs w:val="24"/>
          <w:lang w:val="el-GR"/>
        </w:rPr>
        <w:t xml:space="preserve">ή </w:t>
      </w:r>
      <w:r w:rsidR="008F6525">
        <w:rPr>
          <w:rFonts w:cstheme="minorHAnsi"/>
          <w:bCs/>
          <w:sz w:val="24"/>
          <w:szCs w:val="24"/>
          <w:lang w:val="el-GR"/>
        </w:rPr>
        <w:t xml:space="preserve">προς </w:t>
      </w:r>
      <w:r>
        <w:rPr>
          <w:rFonts w:cstheme="minorHAnsi"/>
          <w:bCs/>
          <w:sz w:val="24"/>
          <w:szCs w:val="24"/>
          <w:lang w:val="el-GR"/>
        </w:rPr>
        <w:t xml:space="preserve">δημόσιο ή </w:t>
      </w:r>
      <w:r w:rsidR="008F6525">
        <w:rPr>
          <w:rFonts w:cstheme="minorHAnsi"/>
          <w:bCs/>
          <w:sz w:val="24"/>
          <w:szCs w:val="24"/>
          <w:lang w:val="el-GR"/>
        </w:rPr>
        <w:t xml:space="preserve">δημοτικό </w:t>
      </w:r>
      <w:r>
        <w:rPr>
          <w:rFonts w:cstheme="minorHAnsi"/>
          <w:bCs/>
          <w:sz w:val="24"/>
          <w:szCs w:val="24"/>
          <w:lang w:val="el-GR"/>
        </w:rPr>
        <w:t>αξίωμα</w:t>
      </w:r>
      <w:r w:rsidR="00A5147D" w:rsidRPr="00645A1B">
        <w:rPr>
          <w:rFonts w:cstheme="minorHAnsi"/>
          <w:bCs/>
          <w:sz w:val="24"/>
          <w:szCs w:val="24"/>
          <w:lang w:val="el-GR"/>
        </w:rPr>
        <w:t>.</w:t>
      </w:r>
    </w:p>
    <w:p w14:paraId="7812BF01" w14:textId="77777777" w:rsidR="00A5147D" w:rsidRPr="00645A1B" w:rsidRDefault="00A5147D" w:rsidP="00A5147D">
      <w:pPr>
        <w:rPr>
          <w:rFonts w:eastAsia="Times New Roman" w:cstheme="minorHAnsi"/>
          <w:color w:val="000000"/>
          <w:sz w:val="24"/>
          <w:szCs w:val="24"/>
          <w:lang w:val="el-GR" w:eastAsia="fr-FR"/>
        </w:rPr>
      </w:pPr>
    </w:p>
    <w:p w14:paraId="7B163B34" w14:textId="09CF9AA1" w:rsidR="008D35D6" w:rsidRPr="008D35D6" w:rsidRDefault="00A5147D" w:rsidP="008D35D6">
      <w:pPr>
        <w:numPr>
          <w:ilvl w:val="0"/>
          <w:numId w:val="1"/>
        </w:numPr>
        <w:tabs>
          <w:tab w:val="clear" w:pos="6095"/>
          <w:tab w:val="left" w:pos="709"/>
        </w:tabs>
        <w:ind w:left="0" w:firstLine="0"/>
        <w:rPr>
          <w:rFonts w:eastAsia="Times New Roman" w:cstheme="minorHAnsi"/>
          <w:color w:val="000000"/>
          <w:sz w:val="24"/>
          <w:szCs w:val="24"/>
          <w:lang w:val="el-GR" w:eastAsia="fr-FR"/>
        </w:rPr>
      </w:pPr>
      <w:r w:rsidRPr="00645A1B">
        <w:rPr>
          <w:rFonts w:cstheme="minorHAnsi"/>
          <w:sz w:val="24"/>
          <w:szCs w:val="24"/>
          <w:lang w:val="el-GR"/>
        </w:rPr>
        <w:t xml:space="preserve"> </w:t>
      </w:r>
      <w:r w:rsidR="008F6525">
        <w:rPr>
          <w:rFonts w:ascii="Calibri" w:eastAsia="Times New Roman" w:hAnsi="Calibri" w:cs="Calibri"/>
          <w:sz w:val="24"/>
          <w:szCs w:val="20"/>
          <w:lang w:val="el-GR"/>
        </w:rPr>
        <w:t>Ο</w:t>
      </w:r>
      <w:r w:rsidR="008F6525" w:rsidRPr="00F24205">
        <w:rPr>
          <w:rFonts w:ascii="Calibri" w:eastAsia="Times New Roman" w:hAnsi="Calibri" w:cs="Calibri"/>
          <w:sz w:val="24"/>
          <w:szCs w:val="20"/>
          <w:lang w:val="el-GR"/>
        </w:rPr>
        <w:t xml:space="preserve"> </w:t>
      </w:r>
      <w:r w:rsidR="008F6525">
        <w:rPr>
          <w:rFonts w:ascii="Calibri" w:eastAsia="Times New Roman" w:hAnsi="Calibri" w:cs="Calibri"/>
          <w:sz w:val="24"/>
          <w:szCs w:val="20"/>
          <w:lang w:val="el-GR"/>
        </w:rPr>
        <w:t>Νόμος</w:t>
      </w:r>
      <w:r w:rsidR="008F6525" w:rsidRPr="00F24205">
        <w:rPr>
          <w:rFonts w:ascii="Calibri" w:eastAsia="Times New Roman" w:hAnsi="Calibri" w:cs="Calibri"/>
          <w:sz w:val="24"/>
          <w:szCs w:val="20"/>
          <w:lang w:val="el-GR"/>
        </w:rPr>
        <w:t xml:space="preserve"> </w:t>
      </w:r>
      <w:r w:rsidR="008F6525">
        <w:rPr>
          <w:rFonts w:ascii="Calibri" w:eastAsia="Times New Roman" w:hAnsi="Calibri" w:cs="Calibri"/>
          <w:sz w:val="24"/>
          <w:szCs w:val="20"/>
          <w:lang w:val="el-GR"/>
        </w:rPr>
        <w:t>περί Ασυμβίβαστου προς την ‘</w:t>
      </w:r>
      <w:proofErr w:type="spellStart"/>
      <w:r w:rsidR="008F6525">
        <w:rPr>
          <w:rFonts w:ascii="Calibri" w:eastAsia="Times New Roman" w:hAnsi="Calibri" w:cs="Calibri"/>
          <w:sz w:val="24"/>
          <w:szCs w:val="20"/>
          <w:lang w:val="el-GR"/>
        </w:rPr>
        <w:t>Ασκηση</w:t>
      </w:r>
      <w:proofErr w:type="spellEnd"/>
      <w:r w:rsidR="008F6525">
        <w:rPr>
          <w:rFonts w:ascii="Calibri" w:eastAsia="Times New Roman" w:hAnsi="Calibri" w:cs="Calibri"/>
          <w:sz w:val="24"/>
          <w:szCs w:val="20"/>
          <w:lang w:val="el-GR"/>
        </w:rPr>
        <w:t xml:space="preserve"> των</w:t>
      </w:r>
      <w:r w:rsidR="008F6525" w:rsidRPr="00F24205">
        <w:rPr>
          <w:rFonts w:ascii="Calibri" w:eastAsia="Times New Roman" w:hAnsi="Calibri" w:cs="Calibri"/>
          <w:sz w:val="24"/>
          <w:szCs w:val="20"/>
          <w:lang w:val="el-GR"/>
        </w:rPr>
        <w:t xml:space="preserve"> </w:t>
      </w:r>
      <w:r w:rsidR="008F6525">
        <w:rPr>
          <w:rFonts w:ascii="Calibri" w:eastAsia="Times New Roman" w:hAnsi="Calibri" w:cs="Calibri"/>
          <w:sz w:val="24"/>
          <w:szCs w:val="20"/>
          <w:lang w:val="el-GR"/>
        </w:rPr>
        <w:t>Καθηκόντων</w:t>
      </w:r>
      <w:r w:rsidR="008F6525" w:rsidRPr="00F24205">
        <w:rPr>
          <w:rFonts w:ascii="Calibri" w:eastAsia="Times New Roman" w:hAnsi="Calibri" w:cs="Calibri"/>
          <w:sz w:val="24"/>
          <w:szCs w:val="20"/>
          <w:lang w:val="el-GR"/>
        </w:rPr>
        <w:t xml:space="preserve"> </w:t>
      </w:r>
      <w:r w:rsidR="008F6525">
        <w:rPr>
          <w:rFonts w:ascii="Calibri" w:eastAsia="Times New Roman" w:hAnsi="Calibri" w:cs="Calibri"/>
          <w:sz w:val="24"/>
          <w:szCs w:val="20"/>
          <w:lang w:val="el-GR"/>
        </w:rPr>
        <w:t>Ορισμένων</w:t>
      </w:r>
      <w:r w:rsidR="008F6525" w:rsidRPr="00F24205">
        <w:rPr>
          <w:rFonts w:ascii="Calibri" w:eastAsia="Times New Roman" w:hAnsi="Calibri" w:cs="Calibri"/>
          <w:sz w:val="24"/>
          <w:szCs w:val="20"/>
          <w:lang w:val="el-GR"/>
        </w:rPr>
        <w:t xml:space="preserve"> </w:t>
      </w:r>
      <w:r w:rsidR="008F6525">
        <w:rPr>
          <w:rFonts w:ascii="Calibri" w:eastAsia="Times New Roman" w:hAnsi="Calibri" w:cs="Calibri"/>
          <w:sz w:val="24"/>
          <w:szCs w:val="20"/>
          <w:lang w:val="el-GR"/>
        </w:rPr>
        <w:t>Αξιωματούχων</w:t>
      </w:r>
      <w:r w:rsidR="008F6525" w:rsidRPr="00F24205">
        <w:rPr>
          <w:rFonts w:ascii="Calibri" w:eastAsia="Times New Roman" w:hAnsi="Calibri" w:cs="Calibri"/>
          <w:sz w:val="24"/>
          <w:szCs w:val="20"/>
          <w:lang w:val="el-GR"/>
        </w:rPr>
        <w:t xml:space="preserve"> </w:t>
      </w:r>
      <w:r w:rsidR="008F6525">
        <w:rPr>
          <w:rFonts w:ascii="Calibri" w:eastAsia="Times New Roman" w:hAnsi="Calibri" w:cs="Calibri"/>
          <w:sz w:val="24"/>
          <w:szCs w:val="20"/>
          <w:lang w:val="el-GR"/>
        </w:rPr>
        <w:t>της</w:t>
      </w:r>
      <w:r w:rsidR="008F6525" w:rsidRPr="00F24205">
        <w:rPr>
          <w:rFonts w:ascii="Calibri" w:eastAsia="Times New Roman" w:hAnsi="Calibri" w:cs="Calibri"/>
          <w:sz w:val="24"/>
          <w:szCs w:val="20"/>
          <w:lang w:val="el-GR"/>
        </w:rPr>
        <w:t xml:space="preserve"> </w:t>
      </w:r>
      <w:r w:rsidR="008F6525">
        <w:rPr>
          <w:rFonts w:ascii="Calibri" w:eastAsia="Times New Roman" w:hAnsi="Calibri" w:cs="Calibri"/>
          <w:sz w:val="24"/>
          <w:szCs w:val="20"/>
          <w:lang w:val="el-GR"/>
        </w:rPr>
        <w:t>Δημοκρατίας</w:t>
      </w:r>
      <w:r w:rsidR="008F6525" w:rsidRPr="00F24205">
        <w:rPr>
          <w:rFonts w:ascii="Calibri" w:eastAsia="Times New Roman" w:hAnsi="Calibri" w:cs="Calibri"/>
          <w:sz w:val="24"/>
          <w:szCs w:val="20"/>
          <w:lang w:val="el-GR"/>
        </w:rPr>
        <w:t xml:space="preserve"> </w:t>
      </w:r>
      <w:r w:rsidR="008F6525">
        <w:rPr>
          <w:rFonts w:ascii="Calibri" w:eastAsia="Times New Roman" w:hAnsi="Calibri" w:cs="Calibri"/>
          <w:sz w:val="24"/>
          <w:szCs w:val="20"/>
          <w:lang w:val="el-GR"/>
        </w:rPr>
        <w:t>Ορισμένων Επαγγελματικών και</w:t>
      </w:r>
      <w:r w:rsidR="008F6525" w:rsidRPr="00F24205">
        <w:rPr>
          <w:rFonts w:ascii="Calibri" w:eastAsia="Times New Roman" w:hAnsi="Calibri" w:cs="Calibri"/>
          <w:sz w:val="24"/>
          <w:szCs w:val="20"/>
          <w:lang w:val="el-GR"/>
        </w:rPr>
        <w:t xml:space="preserve"> </w:t>
      </w:r>
      <w:r w:rsidR="008F6525">
        <w:rPr>
          <w:rFonts w:ascii="Calibri" w:eastAsia="Times New Roman" w:hAnsi="Calibri" w:cs="Calibri"/>
          <w:sz w:val="24"/>
          <w:szCs w:val="20"/>
          <w:lang w:val="el-GR"/>
        </w:rPr>
        <w:t>Άλλων</w:t>
      </w:r>
      <w:r w:rsidR="008F6525" w:rsidRPr="00F24205">
        <w:rPr>
          <w:rFonts w:ascii="Calibri" w:eastAsia="Times New Roman" w:hAnsi="Calibri" w:cs="Calibri"/>
          <w:sz w:val="24"/>
          <w:szCs w:val="20"/>
          <w:lang w:val="el-GR"/>
        </w:rPr>
        <w:t xml:space="preserve"> </w:t>
      </w:r>
      <w:r w:rsidR="008F6525">
        <w:rPr>
          <w:rFonts w:ascii="Calibri" w:eastAsia="Times New Roman" w:hAnsi="Calibri" w:cs="Calibri"/>
          <w:sz w:val="24"/>
          <w:szCs w:val="20"/>
          <w:lang w:val="el-GR"/>
        </w:rPr>
        <w:t>Συναφών</w:t>
      </w:r>
      <w:r w:rsidR="008F6525" w:rsidRPr="00F24205">
        <w:rPr>
          <w:rFonts w:ascii="Calibri" w:eastAsia="Times New Roman" w:hAnsi="Calibri" w:cs="Calibri"/>
          <w:sz w:val="24"/>
          <w:szCs w:val="20"/>
          <w:lang w:val="el-GR"/>
        </w:rPr>
        <w:t xml:space="preserve"> </w:t>
      </w:r>
      <w:r w:rsidR="008F6525">
        <w:rPr>
          <w:rFonts w:ascii="Calibri" w:eastAsia="Times New Roman" w:hAnsi="Calibri" w:cs="Calibri"/>
          <w:sz w:val="24"/>
          <w:szCs w:val="20"/>
          <w:lang w:val="el-GR"/>
        </w:rPr>
        <w:t>Δραστηριοτήτων</w:t>
      </w:r>
      <w:r w:rsidR="008F6525" w:rsidRPr="00F24205">
        <w:rPr>
          <w:rFonts w:ascii="Calibri" w:eastAsia="Times New Roman" w:hAnsi="Calibri" w:cs="Calibri"/>
          <w:sz w:val="24"/>
          <w:szCs w:val="20"/>
          <w:lang w:val="el-GR"/>
        </w:rPr>
        <w:t xml:space="preserve"> </w:t>
      </w:r>
      <w:r w:rsidR="008F6525">
        <w:rPr>
          <w:rFonts w:ascii="Calibri" w:eastAsia="Times New Roman" w:hAnsi="Calibri" w:cs="Calibri"/>
          <w:sz w:val="24"/>
          <w:szCs w:val="20"/>
          <w:lang w:val="el-GR"/>
        </w:rPr>
        <w:t xml:space="preserve">τους </w:t>
      </w:r>
      <w:r w:rsidR="008F6525" w:rsidRPr="00645A1B">
        <w:rPr>
          <w:rFonts w:cstheme="minorHAnsi"/>
          <w:sz w:val="24"/>
          <w:szCs w:val="24"/>
          <w:lang w:val="el-GR"/>
        </w:rPr>
        <w:t xml:space="preserve"> </w:t>
      </w:r>
      <w:r w:rsidRPr="00645A1B">
        <w:rPr>
          <w:rFonts w:cstheme="minorHAnsi"/>
          <w:sz w:val="24"/>
          <w:szCs w:val="24"/>
          <w:lang w:val="el-GR"/>
        </w:rPr>
        <w:t>(</w:t>
      </w:r>
      <w:r w:rsidR="00645A1B">
        <w:rPr>
          <w:rFonts w:cstheme="minorHAnsi"/>
          <w:sz w:val="24"/>
          <w:szCs w:val="24"/>
          <w:lang w:val="el-GR"/>
        </w:rPr>
        <w:t>Νόμος</w:t>
      </w:r>
      <w:r w:rsidRPr="00645A1B">
        <w:rPr>
          <w:rFonts w:cstheme="minorHAnsi"/>
          <w:sz w:val="24"/>
          <w:szCs w:val="24"/>
          <w:lang w:val="el-GR"/>
        </w:rPr>
        <w:t xml:space="preserve"> 7(</w:t>
      </w:r>
      <w:r w:rsidRPr="004E251E">
        <w:rPr>
          <w:rFonts w:cstheme="minorHAnsi"/>
          <w:sz w:val="24"/>
          <w:szCs w:val="24"/>
        </w:rPr>
        <w:t>I</w:t>
      </w:r>
      <w:r w:rsidRPr="00645A1B">
        <w:rPr>
          <w:rFonts w:cstheme="minorHAnsi"/>
          <w:sz w:val="24"/>
          <w:szCs w:val="24"/>
          <w:lang w:val="el-GR"/>
        </w:rPr>
        <w:t xml:space="preserve">)/2008) </w:t>
      </w:r>
      <w:r w:rsidR="00645A1B">
        <w:rPr>
          <w:rFonts w:cstheme="minorHAnsi"/>
          <w:sz w:val="24"/>
          <w:szCs w:val="24"/>
          <w:lang w:val="el-GR"/>
        </w:rPr>
        <w:t xml:space="preserve">προβλέπει </w:t>
      </w:r>
      <w:r w:rsidR="008F6525">
        <w:rPr>
          <w:rFonts w:eastAsia="Times New Roman" w:cstheme="minorHAnsi"/>
          <w:color w:val="000000"/>
          <w:sz w:val="24"/>
          <w:szCs w:val="24"/>
          <w:lang w:val="el-GR" w:eastAsia="fr-FR"/>
        </w:rPr>
        <w:t xml:space="preserve">ασυμβίβαστο </w:t>
      </w:r>
      <w:r w:rsidR="00645A1B" w:rsidRPr="00676FCA">
        <w:rPr>
          <w:rFonts w:cstheme="minorHAnsi"/>
          <w:sz w:val="24"/>
          <w:szCs w:val="24"/>
          <w:lang w:val="el-GR"/>
        </w:rPr>
        <w:t>με κάποιες δράσεις</w:t>
      </w:r>
      <w:r w:rsidRPr="00676FCA">
        <w:rPr>
          <w:rFonts w:cstheme="minorHAnsi"/>
          <w:sz w:val="24"/>
          <w:szCs w:val="24"/>
          <w:lang w:val="el-GR"/>
        </w:rPr>
        <w:t xml:space="preserve">, </w:t>
      </w:r>
      <w:r w:rsidR="00645A1B" w:rsidRPr="00676FCA">
        <w:rPr>
          <w:rFonts w:cstheme="minorHAnsi"/>
          <w:sz w:val="24"/>
          <w:szCs w:val="24"/>
          <w:lang w:val="el-GR"/>
        </w:rPr>
        <w:t>δραστηριότητες</w:t>
      </w:r>
      <w:r w:rsidRPr="00E07AED">
        <w:rPr>
          <w:rFonts w:cstheme="minorHAnsi"/>
          <w:sz w:val="24"/>
          <w:szCs w:val="24"/>
          <w:lang w:val="el-GR"/>
        </w:rPr>
        <w:t xml:space="preserve">, </w:t>
      </w:r>
      <w:r w:rsidR="00645A1B" w:rsidRPr="00E07AED">
        <w:rPr>
          <w:rFonts w:cstheme="minorHAnsi"/>
          <w:sz w:val="24"/>
          <w:szCs w:val="24"/>
          <w:lang w:val="el-GR"/>
        </w:rPr>
        <w:t>ή λειτουργίες</w:t>
      </w:r>
      <w:r w:rsidRPr="00E07AED">
        <w:rPr>
          <w:rFonts w:cstheme="minorHAnsi"/>
          <w:sz w:val="24"/>
          <w:szCs w:val="24"/>
          <w:lang w:val="el-GR"/>
        </w:rPr>
        <w:t xml:space="preserve"> </w:t>
      </w:r>
      <w:r w:rsidR="00645A1B" w:rsidRPr="00AD2AD8">
        <w:rPr>
          <w:rFonts w:cstheme="minorHAnsi"/>
          <w:sz w:val="24"/>
          <w:szCs w:val="24"/>
          <w:lang w:val="el-GR"/>
        </w:rPr>
        <w:t xml:space="preserve">σε σχέση με </w:t>
      </w:r>
      <w:r w:rsidR="008F6525">
        <w:rPr>
          <w:rFonts w:cstheme="minorHAnsi"/>
          <w:sz w:val="24"/>
          <w:szCs w:val="24"/>
          <w:lang w:val="el-GR"/>
        </w:rPr>
        <w:t>ορισμένους αξιωματούχους</w:t>
      </w:r>
      <w:r w:rsidRPr="00676FCA">
        <w:rPr>
          <w:rFonts w:cstheme="minorHAnsi"/>
          <w:sz w:val="24"/>
          <w:szCs w:val="24"/>
          <w:lang w:val="el-GR"/>
        </w:rPr>
        <w:t xml:space="preserve">. </w:t>
      </w:r>
      <w:r w:rsidR="00645A1B" w:rsidRPr="00E07AED">
        <w:rPr>
          <w:rFonts w:cstheme="minorHAnsi"/>
          <w:sz w:val="24"/>
          <w:szCs w:val="24"/>
          <w:lang w:val="el-GR"/>
        </w:rPr>
        <w:t>Οι ασυμβατότητες είναι, ως ακολούθως</w:t>
      </w:r>
      <w:r w:rsidRPr="00AD2AD8">
        <w:rPr>
          <w:rFonts w:cstheme="minorHAnsi"/>
          <w:sz w:val="24"/>
          <w:szCs w:val="24"/>
          <w:lang w:val="el-GR"/>
        </w:rPr>
        <w:t>:</w:t>
      </w:r>
    </w:p>
    <w:p w14:paraId="7FCA02B2" w14:textId="2F190BDF" w:rsidR="00A5147D" w:rsidRPr="00645A1B" w:rsidRDefault="00A5147D" w:rsidP="00A5147D">
      <w:pPr>
        <w:autoSpaceDE w:val="0"/>
        <w:autoSpaceDN w:val="0"/>
        <w:adjustRightInd w:val="0"/>
        <w:ind w:left="142"/>
        <w:rPr>
          <w:rFonts w:cstheme="minorHAnsi"/>
          <w:sz w:val="24"/>
          <w:szCs w:val="24"/>
          <w:lang w:val="el-GR"/>
        </w:rPr>
      </w:pPr>
      <w:r w:rsidRPr="00645A1B">
        <w:rPr>
          <w:rFonts w:cstheme="minorHAnsi"/>
          <w:sz w:val="24"/>
          <w:szCs w:val="24"/>
          <w:lang w:val="el-GR"/>
        </w:rPr>
        <w:t>(</w:t>
      </w:r>
      <w:r w:rsidR="00645A1B">
        <w:rPr>
          <w:rFonts w:cstheme="minorHAnsi"/>
          <w:sz w:val="24"/>
          <w:szCs w:val="24"/>
          <w:lang w:val="el-GR"/>
        </w:rPr>
        <w:t>α</w:t>
      </w:r>
      <w:r w:rsidRPr="00645A1B">
        <w:rPr>
          <w:rFonts w:cstheme="minorHAnsi"/>
          <w:sz w:val="24"/>
          <w:szCs w:val="24"/>
          <w:lang w:val="el-GR"/>
        </w:rPr>
        <w:t xml:space="preserve">) </w:t>
      </w:r>
      <w:r w:rsidR="00645A1B">
        <w:rPr>
          <w:rFonts w:cstheme="minorHAnsi"/>
          <w:sz w:val="24"/>
          <w:szCs w:val="24"/>
          <w:lang w:val="el-GR"/>
        </w:rPr>
        <w:t>η</w:t>
      </w:r>
      <w:r w:rsidR="00645A1B" w:rsidRPr="00645A1B">
        <w:rPr>
          <w:rFonts w:cstheme="minorHAnsi"/>
          <w:sz w:val="24"/>
          <w:szCs w:val="24"/>
          <w:lang w:val="el-GR"/>
        </w:rPr>
        <w:t xml:space="preserve"> </w:t>
      </w:r>
      <w:r w:rsidR="00645A1B">
        <w:rPr>
          <w:rFonts w:cstheme="minorHAnsi"/>
          <w:sz w:val="24"/>
          <w:szCs w:val="24"/>
          <w:lang w:val="el-GR"/>
        </w:rPr>
        <w:t>παροχή</w:t>
      </w:r>
      <w:r w:rsidR="00645A1B" w:rsidRPr="00645A1B">
        <w:rPr>
          <w:rFonts w:cstheme="minorHAnsi"/>
          <w:sz w:val="24"/>
          <w:szCs w:val="24"/>
          <w:lang w:val="el-GR"/>
        </w:rPr>
        <w:t xml:space="preserve"> </w:t>
      </w:r>
      <w:r w:rsidR="00AF74BA">
        <w:rPr>
          <w:rFonts w:cstheme="minorHAnsi"/>
          <w:sz w:val="24"/>
          <w:szCs w:val="24"/>
          <w:lang w:val="el-GR"/>
        </w:rPr>
        <w:t xml:space="preserve">προς </w:t>
      </w:r>
      <w:r w:rsidR="00645A1B">
        <w:rPr>
          <w:rFonts w:cstheme="minorHAnsi"/>
          <w:sz w:val="24"/>
          <w:szCs w:val="24"/>
          <w:lang w:val="el-GR"/>
        </w:rPr>
        <w:t>το</w:t>
      </w:r>
      <w:r w:rsidR="00645A1B" w:rsidRPr="00645A1B">
        <w:rPr>
          <w:rFonts w:cstheme="minorHAnsi"/>
          <w:sz w:val="24"/>
          <w:szCs w:val="24"/>
          <w:lang w:val="el-GR"/>
        </w:rPr>
        <w:t xml:space="preserve"> </w:t>
      </w:r>
      <w:r w:rsidR="00645A1B">
        <w:rPr>
          <w:rFonts w:cstheme="minorHAnsi"/>
          <w:sz w:val="24"/>
          <w:szCs w:val="24"/>
          <w:lang w:val="el-GR"/>
        </w:rPr>
        <w:t>δημόσιο</w:t>
      </w:r>
      <w:r w:rsidR="00645A1B" w:rsidRPr="00645A1B">
        <w:rPr>
          <w:rFonts w:cstheme="minorHAnsi"/>
          <w:sz w:val="24"/>
          <w:szCs w:val="24"/>
          <w:lang w:val="el-GR"/>
        </w:rPr>
        <w:t xml:space="preserve"> </w:t>
      </w:r>
      <w:r w:rsidR="00645A1B">
        <w:rPr>
          <w:rFonts w:cstheme="minorHAnsi"/>
          <w:sz w:val="24"/>
          <w:szCs w:val="24"/>
          <w:lang w:val="el-GR"/>
        </w:rPr>
        <w:t>τομέα</w:t>
      </w:r>
      <w:r w:rsidRPr="00645A1B">
        <w:rPr>
          <w:rFonts w:cstheme="minorHAnsi"/>
          <w:sz w:val="24"/>
          <w:szCs w:val="24"/>
          <w:lang w:val="el-GR"/>
        </w:rPr>
        <w:t xml:space="preserve"> </w:t>
      </w:r>
      <w:r w:rsidR="00645A1B">
        <w:rPr>
          <w:rFonts w:cstheme="minorHAnsi"/>
          <w:sz w:val="24"/>
          <w:szCs w:val="24"/>
          <w:lang w:val="el-GR"/>
        </w:rPr>
        <w:t>ή</w:t>
      </w:r>
      <w:r w:rsidR="00645A1B" w:rsidRPr="00645A1B">
        <w:rPr>
          <w:rFonts w:cstheme="minorHAnsi"/>
          <w:sz w:val="24"/>
          <w:szCs w:val="24"/>
          <w:lang w:val="el-GR"/>
        </w:rPr>
        <w:t xml:space="preserve"> </w:t>
      </w:r>
      <w:r w:rsidR="00645A1B">
        <w:rPr>
          <w:rFonts w:cstheme="minorHAnsi"/>
          <w:sz w:val="24"/>
          <w:szCs w:val="24"/>
          <w:lang w:val="el-GR"/>
        </w:rPr>
        <w:t>σε</w:t>
      </w:r>
      <w:r w:rsidR="00645A1B" w:rsidRPr="00645A1B">
        <w:rPr>
          <w:rFonts w:cstheme="minorHAnsi"/>
          <w:sz w:val="24"/>
          <w:szCs w:val="24"/>
          <w:lang w:val="el-GR"/>
        </w:rPr>
        <w:t xml:space="preserve"> </w:t>
      </w:r>
      <w:r w:rsidR="00645A1B">
        <w:rPr>
          <w:rFonts w:cstheme="minorHAnsi"/>
          <w:sz w:val="24"/>
          <w:szCs w:val="24"/>
          <w:lang w:val="el-GR"/>
        </w:rPr>
        <w:t>οποιαδήποτε</w:t>
      </w:r>
      <w:r w:rsidR="00645A1B" w:rsidRPr="00645A1B">
        <w:rPr>
          <w:rFonts w:cstheme="minorHAnsi"/>
          <w:sz w:val="24"/>
          <w:szCs w:val="24"/>
          <w:lang w:val="el-GR"/>
        </w:rPr>
        <w:t xml:space="preserve"> </w:t>
      </w:r>
      <w:r w:rsidR="00645A1B">
        <w:rPr>
          <w:rFonts w:cstheme="minorHAnsi"/>
          <w:sz w:val="24"/>
          <w:szCs w:val="24"/>
          <w:lang w:val="el-GR"/>
        </w:rPr>
        <w:t>δημόσια</w:t>
      </w:r>
      <w:r w:rsidR="00645A1B" w:rsidRPr="00645A1B">
        <w:rPr>
          <w:rFonts w:cstheme="minorHAnsi"/>
          <w:sz w:val="24"/>
          <w:szCs w:val="24"/>
          <w:lang w:val="el-GR"/>
        </w:rPr>
        <w:t xml:space="preserve"> </w:t>
      </w:r>
      <w:r w:rsidR="00645A1B">
        <w:rPr>
          <w:rFonts w:cstheme="minorHAnsi"/>
          <w:sz w:val="24"/>
          <w:szCs w:val="24"/>
          <w:lang w:val="el-GR"/>
        </w:rPr>
        <w:t>οντότητα</w:t>
      </w:r>
      <w:r w:rsidRPr="00645A1B">
        <w:rPr>
          <w:rFonts w:cstheme="minorHAnsi"/>
          <w:sz w:val="24"/>
          <w:szCs w:val="24"/>
          <w:lang w:val="el-GR"/>
        </w:rPr>
        <w:t xml:space="preserve"> </w:t>
      </w:r>
      <w:r w:rsidR="00645A1B">
        <w:rPr>
          <w:rFonts w:cstheme="minorHAnsi"/>
          <w:sz w:val="24"/>
          <w:szCs w:val="24"/>
          <w:lang w:val="el-GR"/>
        </w:rPr>
        <w:t>νομικ</w:t>
      </w:r>
      <w:r w:rsidR="002B4B8A">
        <w:rPr>
          <w:rFonts w:cstheme="minorHAnsi"/>
          <w:sz w:val="24"/>
          <w:szCs w:val="24"/>
          <w:lang w:val="el-GR"/>
        </w:rPr>
        <w:t>ών</w:t>
      </w:r>
      <w:r w:rsidRPr="00645A1B">
        <w:rPr>
          <w:rFonts w:cstheme="minorHAnsi"/>
          <w:sz w:val="24"/>
          <w:szCs w:val="24"/>
          <w:lang w:val="el-GR"/>
        </w:rPr>
        <w:t xml:space="preserve">, </w:t>
      </w:r>
      <w:r w:rsidR="00645A1B">
        <w:rPr>
          <w:rFonts w:cstheme="minorHAnsi"/>
          <w:sz w:val="24"/>
          <w:szCs w:val="24"/>
          <w:lang w:val="el-GR"/>
        </w:rPr>
        <w:t>ελεγκτικ</w:t>
      </w:r>
      <w:r w:rsidR="002B4B8A">
        <w:rPr>
          <w:rFonts w:cstheme="minorHAnsi"/>
          <w:sz w:val="24"/>
          <w:szCs w:val="24"/>
          <w:lang w:val="el-GR"/>
        </w:rPr>
        <w:t>ών</w:t>
      </w:r>
      <w:r w:rsidRPr="00645A1B">
        <w:rPr>
          <w:rFonts w:cstheme="minorHAnsi"/>
          <w:sz w:val="24"/>
          <w:szCs w:val="24"/>
          <w:lang w:val="el-GR"/>
        </w:rPr>
        <w:t xml:space="preserve">, </w:t>
      </w:r>
      <w:r w:rsidR="00645A1B">
        <w:rPr>
          <w:rFonts w:cstheme="minorHAnsi"/>
          <w:sz w:val="24"/>
          <w:szCs w:val="24"/>
          <w:lang w:val="el-GR"/>
        </w:rPr>
        <w:t>λογιστικ</w:t>
      </w:r>
      <w:r w:rsidR="002B4B8A">
        <w:rPr>
          <w:rFonts w:cstheme="minorHAnsi"/>
          <w:sz w:val="24"/>
          <w:szCs w:val="24"/>
          <w:lang w:val="el-GR"/>
        </w:rPr>
        <w:t>ών</w:t>
      </w:r>
      <w:r w:rsidRPr="00645A1B">
        <w:rPr>
          <w:rFonts w:cstheme="minorHAnsi"/>
          <w:sz w:val="24"/>
          <w:szCs w:val="24"/>
          <w:lang w:val="el-GR"/>
        </w:rPr>
        <w:t xml:space="preserve">, </w:t>
      </w:r>
      <w:r w:rsidR="00645A1B">
        <w:rPr>
          <w:rFonts w:cstheme="minorHAnsi"/>
          <w:sz w:val="24"/>
          <w:szCs w:val="24"/>
          <w:lang w:val="el-GR"/>
        </w:rPr>
        <w:t>συμβουλευτικ</w:t>
      </w:r>
      <w:r w:rsidR="002B4B8A">
        <w:rPr>
          <w:rFonts w:cstheme="minorHAnsi"/>
          <w:sz w:val="24"/>
          <w:szCs w:val="24"/>
          <w:lang w:val="el-GR"/>
        </w:rPr>
        <w:t>ών</w:t>
      </w:r>
      <w:r w:rsidR="00645A1B">
        <w:rPr>
          <w:rFonts w:cstheme="minorHAnsi"/>
          <w:sz w:val="24"/>
          <w:szCs w:val="24"/>
          <w:lang w:val="el-GR"/>
        </w:rPr>
        <w:t xml:space="preserve"> υπηρεσ</w:t>
      </w:r>
      <w:r w:rsidR="002B4B8A">
        <w:rPr>
          <w:rFonts w:cstheme="minorHAnsi"/>
          <w:sz w:val="24"/>
          <w:szCs w:val="24"/>
          <w:lang w:val="el-GR"/>
        </w:rPr>
        <w:t>ιών</w:t>
      </w:r>
      <w:r w:rsidRPr="00645A1B">
        <w:rPr>
          <w:rFonts w:cstheme="minorHAnsi"/>
          <w:sz w:val="24"/>
          <w:szCs w:val="24"/>
          <w:lang w:val="el-GR"/>
        </w:rPr>
        <w:t xml:space="preserve">, </w:t>
      </w:r>
      <w:r w:rsidR="00645A1B">
        <w:rPr>
          <w:rFonts w:cstheme="minorHAnsi"/>
          <w:sz w:val="24"/>
          <w:szCs w:val="24"/>
          <w:lang w:val="el-GR"/>
        </w:rPr>
        <w:t xml:space="preserve">συμπεριλαμβανομένης της </w:t>
      </w:r>
      <w:r w:rsidR="00AF74BA">
        <w:rPr>
          <w:rFonts w:cstheme="minorHAnsi"/>
          <w:sz w:val="24"/>
          <w:szCs w:val="24"/>
          <w:lang w:val="el-GR"/>
        </w:rPr>
        <w:t xml:space="preserve">εκπόνησης </w:t>
      </w:r>
      <w:r w:rsidR="00645A1B">
        <w:rPr>
          <w:rFonts w:cstheme="minorHAnsi"/>
          <w:sz w:val="24"/>
          <w:szCs w:val="24"/>
          <w:lang w:val="el-GR"/>
        </w:rPr>
        <w:t>μελετών</w:t>
      </w:r>
      <w:r w:rsidRPr="00645A1B">
        <w:rPr>
          <w:rFonts w:cstheme="minorHAnsi"/>
          <w:sz w:val="24"/>
          <w:szCs w:val="24"/>
          <w:lang w:val="el-GR"/>
        </w:rPr>
        <w:t xml:space="preserve"> </w:t>
      </w:r>
      <w:r w:rsidR="00645A1B">
        <w:rPr>
          <w:rFonts w:cstheme="minorHAnsi"/>
          <w:sz w:val="24"/>
          <w:szCs w:val="24"/>
          <w:lang w:val="el-GR"/>
        </w:rPr>
        <w:t>ή οποι</w:t>
      </w:r>
      <w:r w:rsidR="00AF74BA">
        <w:rPr>
          <w:rFonts w:cstheme="minorHAnsi"/>
          <w:sz w:val="24"/>
          <w:szCs w:val="24"/>
          <w:lang w:val="el-GR"/>
        </w:rPr>
        <w:t>ασ</w:t>
      </w:r>
      <w:r w:rsidR="00645A1B">
        <w:rPr>
          <w:rFonts w:cstheme="minorHAnsi"/>
          <w:sz w:val="24"/>
          <w:szCs w:val="24"/>
          <w:lang w:val="el-GR"/>
        </w:rPr>
        <w:t xml:space="preserve">δήποτε </w:t>
      </w:r>
      <w:r w:rsidR="00514F18">
        <w:rPr>
          <w:rFonts w:cstheme="minorHAnsi"/>
          <w:sz w:val="24"/>
          <w:szCs w:val="24"/>
          <w:lang w:val="el-GR"/>
        </w:rPr>
        <w:t>άλλης φύσ</w:t>
      </w:r>
      <w:r w:rsidR="00AF74BA">
        <w:rPr>
          <w:rFonts w:cstheme="minorHAnsi"/>
          <w:sz w:val="24"/>
          <w:szCs w:val="24"/>
          <w:lang w:val="el-GR"/>
        </w:rPr>
        <w:t>εω</w:t>
      </w:r>
      <w:r w:rsidR="00514F18">
        <w:rPr>
          <w:rFonts w:cstheme="minorHAnsi"/>
          <w:sz w:val="24"/>
          <w:szCs w:val="24"/>
          <w:lang w:val="el-GR"/>
        </w:rPr>
        <w:t>ς</w:t>
      </w:r>
      <w:r w:rsidR="00AF74BA">
        <w:rPr>
          <w:rFonts w:cstheme="minorHAnsi"/>
          <w:sz w:val="24"/>
          <w:szCs w:val="24"/>
          <w:lang w:val="el-GR"/>
        </w:rPr>
        <w:t xml:space="preserve"> υπηρεσιών</w:t>
      </w:r>
      <w:r w:rsidR="002B4B8A">
        <w:rPr>
          <w:rFonts w:cstheme="minorHAnsi"/>
          <w:sz w:val="24"/>
          <w:szCs w:val="24"/>
          <w:lang w:val="el-GR"/>
        </w:rPr>
        <w:t>,</w:t>
      </w:r>
    </w:p>
    <w:p w14:paraId="03D65903" w14:textId="3CABC89C" w:rsidR="00A5147D" w:rsidRPr="002B4B8A" w:rsidRDefault="00A5147D" w:rsidP="00A5147D">
      <w:pPr>
        <w:autoSpaceDE w:val="0"/>
        <w:autoSpaceDN w:val="0"/>
        <w:adjustRightInd w:val="0"/>
        <w:ind w:left="142"/>
        <w:rPr>
          <w:rFonts w:cstheme="minorHAnsi"/>
          <w:sz w:val="24"/>
          <w:szCs w:val="24"/>
          <w:lang w:val="el-GR"/>
        </w:rPr>
      </w:pPr>
      <w:r w:rsidRPr="002B4B8A">
        <w:rPr>
          <w:rFonts w:cstheme="minorHAnsi"/>
          <w:sz w:val="24"/>
          <w:szCs w:val="24"/>
          <w:lang w:val="el-GR"/>
        </w:rPr>
        <w:t>(</w:t>
      </w:r>
      <w:r w:rsidR="002B4B8A">
        <w:rPr>
          <w:rFonts w:cstheme="minorHAnsi"/>
          <w:sz w:val="24"/>
          <w:szCs w:val="24"/>
          <w:lang w:val="el-GR"/>
        </w:rPr>
        <w:t>β</w:t>
      </w:r>
      <w:r w:rsidRPr="002B4B8A">
        <w:rPr>
          <w:rFonts w:cstheme="minorHAnsi"/>
          <w:sz w:val="24"/>
          <w:szCs w:val="24"/>
          <w:lang w:val="el-GR"/>
        </w:rPr>
        <w:t xml:space="preserve">) </w:t>
      </w:r>
      <w:r w:rsidR="002B4B8A">
        <w:rPr>
          <w:rFonts w:cstheme="minorHAnsi"/>
          <w:sz w:val="24"/>
          <w:szCs w:val="24"/>
          <w:lang w:val="el-GR"/>
        </w:rPr>
        <w:t>η</w:t>
      </w:r>
      <w:r w:rsidR="002B4B8A" w:rsidRPr="002B4B8A">
        <w:rPr>
          <w:rFonts w:cstheme="minorHAnsi"/>
          <w:sz w:val="24"/>
          <w:szCs w:val="24"/>
          <w:lang w:val="el-GR"/>
        </w:rPr>
        <w:t xml:space="preserve"> </w:t>
      </w:r>
      <w:r w:rsidR="00AF74BA">
        <w:rPr>
          <w:rFonts w:cstheme="minorHAnsi"/>
          <w:sz w:val="24"/>
          <w:szCs w:val="24"/>
          <w:lang w:val="el-GR"/>
        </w:rPr>
        <w:t xml:space="preserve">ιδιότητα </w:t>
      </w:r>
      <w:r w:rsidR="002B4B8A">
        <w:rPr>
          <w:rFonts w:cstheme="minorHAnsi"/>
          <w:sz w:val="24"/>
          <w:szCs w:val="24"/>
          <w:lang w:val="el-GR"/>
        </w:rPr>
        <w:t>μέλους</w:t>
      </w:r>
      <w:r w:rsidR="002B4B8A" w:rsidRPr="002B4B8A">
        <w:rPr>
          <w:rFonts w:cstheme="minorHAnsi"/>
          <w:sz w:val="24"/>
          <w:szCs w:val="24"/>
          <w:lang w:val="el-GR"/>
        </w:rPr>
        <w:t xml:space="preserve"> </w:t>
      </w:r>
      <w:r w:rsidR="002B4B8A">
        <w:rPr>
          <w:rFonts w:cstheme="minorHAnsi"/>
          <w:sz w:val="24"/>
          <w:szCs w:val="24"/>
          <w:lang w:val="el-GR"/>
        </w:rPr>
        <w:t>διοικητικού</w:t>
      </w:r>
      <w:r w:rsidR="002B4B8A" w:rsidRPr="002B4B8A">
        <w:rPr>
          <w:rFonts w:cstheme="minorHAnsi"/>
          <w:sz w:val="24"/>
          <w:szCs w:val="24"/>
          <w:lang w:val="el-GR"/>
        </w:rPr>
        <w:t xml:space="preserve"> </w:t>
      </w:r>
      <w:r w:rsidR="002B4B8A">
        <w:rPr>
          <w:rFonts w:cstheme="minorHAnsi"/>
          <w:sz w:val="24"/>
          <w:szCs w:val="24"/>
          <w:lang w:val="el-GR"/>
        </w:rPr>
        <w:t>συμβουλίου</w:t>
      </w:r>
      <w:r w:rsidRPr="002B4B8A">
        <w:rPr>
          <w:rFonts w:cstheme="minorHAnsi"/>
          <w:sz w:val="24"/>
          <w:szCs w:val="24"/>
          <w:lang w:val="el-GR"/>
        </w:rPr>
        <w:t xml:space="preserve">, </w:t>
      </w:r>
      <w:r w:rsidR="00AF74BA">
        <w:rPr>
          <w:rFonts w:cstheme="minorHAnsi"/>
          <w:sz w:val="24"/>
          <w:szCs w:val="24"/>
          <w:lang w:val="el-GR"/>
        </w:rPr>
        <w:t>διοικητ</w:t>
      </w:r>
      <w:r w:rsidR="001367D6">
        <w:rPr>
          <w:rFonts w:cstheme="minorHAnsi"/>
          <w:sz w:val="24"/>
          <w:szCs w:val="24"/>
          <w:lang w:val="el-GR"/>
        </w:rPr>
        <w:t>ή</w:t>
      </w:r>
      <w:r w:rsidRPr="002B4B8A">
        <w:rPr>
          <w:rFonts w:cstheme="minorHAnsi"/>
          <w:sz w:val="24"/>
          <w:szCs w:val="24"/>
          <w:lang w:val="el-GR"/>
        </w:rPr>
        <w:t xml:space="preserve">, </w:t>
      </w:r>
      <w:r w:rsidR="002B4B8A">
        <w:rPr>
          <w:rFonts w:cstheme="minorHAnsi"/>
          <w:sz w:val="24"/>
          <w:szCs w:val="24"/>
          <w:lang w:val="el-GR"/>
        </w:rPr>
        <w:t>γενικού</w:t>
      </w:r>
      <w:r w:rsidR="002B4B8A" w:rsidRPr="002B4B8A">
        <w:rPr>
          <w:rFonts w:cstheme="minorHAnsi"/>
          <w:sz w:val="24"/>
          <w:szCs w:val="24"/>
          <w:lang w:val="el-GR"/>
        </w:rPr>
        <w:t xml:space="preserve"> </w:t>
      </w:r>
      <w:r w:rsidR="002B4B8A">
        <w:rPr>
          <w:rFonts w:cstheme="minorHAnsi"/>
          <w:sz w:val="24"/>
          <w:szCs w:val="24"/>
          <w:lang w:val="el-GR"/>
        </w:rPr>
        <w:t>διευθυντή</w:t>
      </w:r>
      <w:r w:rsidRPr="002B4B8A">
        <w:rPr>
          <w:rFonts w:cstheme="minorHAnsi"/>
          <w:sz w:val="24"/>
          <w:szCs w:val="24"/>
          <w:lang w:val="el-GR"/>
        </w:rPr>
        <w:t xml:space="preserve"> </w:t>
      </w:r>
      <w:r w:rsidR="002B4B8A">
        <w:rPr>
          <w:rFonts w:cstheme="minorHAnsi"/>
          <w:sz w:val="24"/>
          <w:szCs w:val="24"/>
          <w:lang w:val="el-GR"/>
        </w:rPr>
        <w:t>ή</w:t>
      </w:r>
      <w:r w:rsidR="002B4B8A" w:rsidRPr="002B4B8A">
        <w:rPr>
          <w:rFonts w:cstheme="minorHAnsi"/>
          <w:sz w:val="24"/>
          <w:szCs w:val="24"/>
          <w:lang w:val="el-GR"/>
        </w:rPr>
        <w:t xml:space="preserve"> </w:t>
      </w:r>
      <w:r w:rsidR="002B4B8A">
        <w:rPr>
          <w:rFonts w:cstheme="minorHAnsi"/>
          <w:sz w:val="24"/>
          <w:szCs w:val="24"/>
          <w:lang w:val="el-GR"/>
        </w:rPr>
        <w:t>των</w:t>
      </w:r>
      <w:r w:rsidR="002B4B8A" w:rsidRPr="002B4B8A">
        <w:rPr>
          <w:rFonts w:cstheme="minorHAnsi"/>
          <w:sz w:val="24"/>
          <w:szCs w:val="24"/>
          <w:lang w:val="el-GR"/>
        </w:rPr>
        <w:t xml:space="preserve"> </w:t>
      </w:r>
      <w:r w:rsidR="00AF74BA">
        <w:rPr>
          <w:rFonts w:cstheme="minorHAnsi"/>
          <w:sz w:val="24"/>
          <w:szCs w:val="24"/>
          <w:lang w:val="el-GR"/>
        </w:rPr>
        <w:t xml:space="preserve">αναπληρωτών τους, </w:t>
      </w:r>
      <w:r w:rsidR="002B4B8A">
        <w:rPr>
          <w:rFonts w:cstheme="minorHAnsi"/>
          <w:sz w:val="24"/>
          <w:szCs w:val="24"/>
          <w:lang w:val="el-GR"/>
        </w:rPr>
        <w:t>εταιρεία</w:t>
      </w:r>
      <w:r w:rsidR="00AF74BA">
        <w:rPr>
          <w:rFonts w:cstheme="minorHAnsi"/>
          <w:sz w:val="24"/>
          <w:szCs w:val="24"/>
          <w:lang w:val="el-GR"/>
        </w:rPr>
        <w:t>ς</w:t>
      </w:r>
      <w:r w:rsidRPr="002B4B8A">
        <w:rPr>
          <w:rFonts w:cstheme="minorHAnsi"/>
          <w:sz w:val="24"/>
          <w:szCs w:val="24"/>
          <w:lang w:val="el-GR"/>
        </w:rPr>
        <w:t xml:space="preserve">, </w:t>
      </w:r>
      <w:r w:rsidR="002B4B8A">
        <w:rPr>
          <w:rFonts w:cstheme="minorHAnsi"/>
          <w:sz w:val="24"/>
          <w:szCs w:val="24"/>
          <w:lang w:val="el-GR"/>
        </w:rPr>
        <w:t>συνεταιρισμ</w:t>
      </w:r>
      <w:r w:rsidR="00AF74BA">
        <w:rPr>
          <w:rFonts w:cstheme="minorHAnsi"/>
          <w:sz w:val="24"/>
          <w:szCs w:val="24"/>
          <w:lang w:val="el-GR"/>
        </w:rPr>
        <w:t>ού</w:t>
      </w:r>
      <w:r w:rsidRPr="002B4B8A">
        <w:rPr>
          <w:rFonts w:cstheme="minorHAnsi"/>
          <w:sz w:val="24"/>
          <w:szCs w:val="24"/>
          <w:lang w:val="el-GR"/>
        </w:rPr>
        <w:t xml:space="preserve">, </w:t>
      </w:r>
      <w:r w:rsidR="002B4B8A">
        <w:rPr>
          <w:rFonts w:cstheme="minorHAnsi"/>
          <w:sz w:val="24"/>
          <w:szCs w:val="24"/>
          <w:lang w:val="el-GR"/>
        </w:rPr>
        <w:t>κοινοπραξία</w:t>
      </w:r>
      <w:r w:rsidR="00AF74BA">
        <w:rPr>
          <w:rFonts w:cstheme="minorHAnsi"/>
          <w:sz w:val="24"/>
          <w:szCs w:val="24"/>
          <w:lang w:val="el-GR"/>
        </w:rPr>
        <w:t>ς</w:t>
      </w:r>
      <w:r w:rsidRPr="002B4B8A">
        <w:rPr>
          <w:rFonts w:cstheme="minorHAnsi"/>
          <w:sz w:val="24"/>
          <w:szCs w:val="24"/>
          <w:lang w:val="el-GR"/>
        </w:rPr>
        <w:t xml:space="preserve"> </w:t>
      </w:r>
      <w:r w:rsidR="002B4B8A">
        <w:rPr>
          <w:rFonts w:cstheme="minorHAnsi"/>
          <w:sz w:val="24"/>
          <w:szCs w:val="24"/>
          <w:lang w:val="el-GR"/>
        </w:rPr>
        <w:t>ή</w:t>
      </w:r>
      <w:r w:rsidRPr="002B4B8A">
        <w:rPr>
          <w:rFonts w:cstheme="minorHAnsi"/>
          <w:sz w:val="24"/>
          <w:szCs w:val="24"/>
          <w:lang w:val="el-GR"/>
        </w:rPr>
        <w:t xml:space="preserve"> </w:t>
      </w:r>
      <w:r w:rsidR="002B4B8A">
        <w:rPr>
          <w:rFonts w:cstheme="minorHAnsi"/>
          <w:sz w:val="24"/>
          <w:szCs w:val="24"/>
          <w:lang w:val="el-GR"/>
        </w:rPr>
        <w:t>επιχείρηση</w:t>
      </w:r>
      <w:r w:rsidR="00AF74BA">
        <w:rPr>
          <w:rFonts w:cstheme="minorHAnsi"/>
          <w:sz w:val="24"/>
          <w:szCs w:val="24"/>
          <w:lang w:val="el-GR"/>
        </w:rPr>
        <w:t>ς</w:t>
      </w:r>
      <w:r w:rsidR="002B4B8A" w:rsidRPr="002B4B8A">
        <w:rPr>
          <w:rFonts w:cstheme="minorHAnsi"/>
          <w:sz w:val="24"/>
          <w:szCs w:val="24"/>
          <w:lang w:val="el-GR"/>
        </w:rPr>
        <w:t xml:space="preserve"> </w:t>
      </w:r>
      <w:r w:rsidR="002B4B8A">
        <w:rPr>
          <w:rFonts w:cstheme="minorHAnsi"/>
          <w:sz w:val="24"/>
          <w:szCs w:val="24"/>
          <w:lang w:val="el-GR"/>
        </w:rPr>
        <w:t>του</w:t>
      </w:r>
      <w:r w:rsidR="002B4B8A" w:rsidRPr="002B4B8A">
        <w:rPr>
          <w:rFonts w:cstheme="minorHAnsi"/>
          <w:sz w:val="24"/>
          <w:szCs w:val="24"/>
          <w:lang w:val="el-GR"/>
        </w:rPr>
        <w:t xml:space="preserve"> </w:t>
      </w:r>
      <w:r w:rsidR="002B4B8A">
        <w:rPr>
          <w:rFonts w:cstheme="minorHAnsi"/>
          <w:sz w:val="24"/>
          <w:szCs w:val="24"/>
          <w:lang w:val="el-GR"/>
        </w:rPr>
        <w:t>δημοσίου τομέα</w:t>
      </w:r>
      <w:r w:rsidRPr="002B4B8A">
        <w:rPr>
          <w:rFonts w:cstheme="minorHAnsi"/>
          <w:sz w:val="24"/>
          <w:szCs w:val="24"/>
          <w:lang w:val="el-GR"/>
        </w:rPr>
        <w:t xml:space="preserve"> </w:t>
      </w:r>
      <w:r w:rsidR="002B4B8A">
        <w:rPr>
          <w:rFonts w:cstheme="minorHAnsi"/>
          <w:sz w:val="24"/>
          <w:szCs w:val="24"/>
          <w:lang w:val="el-GR"/>
        </w:rPr>
        <w:t>στην οποία</w:t>
      </w:r>
      <w:r w:rsidRPr="002B4B8A">
        <w:rPr>
          <w:rFonts w:cstheme="minorHAnsi"/>
          <w:sz w:val="24"/>
          <w:szCs w:val="24"/>
          <w:lang w:val="el-GR"/>
        </w:rPr>
        <w:t xml:space="preserve"> </w:t>
      </w:r>
      <w:r w:rsidR="00AF74BA">
        <w:rPr>
          <w:rFonts w:cstheme="minorHAnsi"/>
          <w:sz w:val="24"/>
          <w:szCs w:val="24"/>
          <w:lang w:val="el-GR"/>
        </w:rPr>
        <w:t xml:space="preserve">παραχωρήθηκε </w:t>
      </w:r>
      <w:r w:rsidR="002B4B8A">
        <w:rPr>
          <w:rFonts w:cstheme="minorHAnsi"/>
          <w:sz w:val="24"/>
          <w:szCs w:val="24"/>
          <w:lang w:val="el-GR"/>
        </w:rPr>
        <w:t xml:space="preserve">ή θα </w:t>
      </w:r>
      <w:r w:rsidR="00AF74BA">
        <w:rPr>
          <w:rFonts w:cstheme="minorHAnsi"/>
          <w:sz w:val="24"/>
          <w:szCs w:val="24"/>
          <w:lang w:val="el-GR"/>
        </w:rPr>
        <w:t xml:space="preserve">παραχωρηθεί </w:t>
      </w:r>
      <w:r w:rsidR="002B4B8A">
        <w:rPr>
          <w:rFonts w:cstheme="minorHAnsi"/>
          <w:sz w:val="24"/>
          <w:szCs w:val="24"/>
          <w:lang w:val="el-GR"/>
        </w:rPr>
        <w:t>οποι</w:t>
      </w:r>
      <w:r w:rsidR="00AF74BA">
        <w:rPr>
          <w:rFonts w:cstheme="minorHAnsi"/>
          <w:sz w:val="24"/>
          <w:szCs w:val="24"/>
          <w:lang w:val="el-GR"/>
        </w:rPr>
        <w:t>α</w:t>
      </w:r>
      <w:r w:rsidR="002B4B8A">
        <w:rPr>
          <w:rFonts w:cstheme="minorHAnsi"/>
          <w:sz w:val="24"/>
          <w:szCs w:val="24"/>
          <w:lang w:val="el-GR"/>
        </w:rPr>
        <w:t xml:space="preserve">δήποτε </w:t>
      </w:r>
      <w:r w:rsidR="00AF74BA">
        <w:rPr>
          <w:rFonts w:cstheme="minorHAnsi"/>
          <w:sz w:val="24"/>
          <w:szCs w:val="24"/>
          <w:lang w:val="el-GR"/>
        </w:rPr>
        <w:t xml:space="preserve"> σύμβαση δημοσίου </w:t>
      </w:r>
      <w:r w:rsidR="002B4B8A">
        <w:rPr>
          <w:rFonts w:cstheme="minorHAnsi"/>
          <w:sz w:val="24"/>
          <w:szCs w:val="24"/>
          <w:lang w:val="el-GR"/>
        </w:rPr>
        <w:t>για την προμήθεια</w:t>
      </w:r>
      <w:r w:rsidRPr="002B4B8A">
        <w:rPr>
          <w:rFonts w:cstheme="minorHAnsi"/>
          <w:sz w:val="24"/>
          <w:szCs w:val="24"/>
          <w:lang w:val="el-GR"/>
        </w:rPr>
        <w:t xml:space="preserve"> </w:t>
      </w:r>
      <w:r w:rsidR="002B4B8A">
        <w:rPr>
          <w:rFonts w:cstheme="minorHAnsi"/>
          <w:sz w:val="24"/>
          <w:szCs w:val="24"/>
          <w:lang w:val="el-GR"/>
        </w:rPr>
        <w:t>προϊόντων</w:t>
      </w:r>
      <w:r w:rsidRPr="002B4B8A">
        <w:rPr>
          <w:rFonts w:cstheme="minorHAnsi"/>
          <w:sz w:val="24"/>
          <w:szCs w:val="24"/>
          <w:lang w:val="el-GR"/>
        </w:rPr>
        <w:t xml:space="preserve"> </w:t>
      </w:r>
      <w:r w:rsidR="002B4B8A">
        <w:rPr>
          <w:rFonts w:cstheme="minorHAnsi"/>
          <w:sz w:val="24"/>
          <w:szCs w:val="24"/>
          <w:lang w:val="el-GR"/>
        </w:rPr>
        <w:t xml:space="preserve">ή την </w:t>
      </w:r>
      <w:r w:rsidR="00AF74BA">
        <w:rPr>
          <w:rFonts w:cstheme="minorHAnsi"/>
          <w:sz w:val="24"/>
          <w:szCs w:val="24"/>
          <w:lang w:val="el-GR"/>
        </w:rPr>
        <w:t xml:space="preserve">εκτέλεση </w:t>
      </w:r>
      <w:r w:rsidR="002B4B8A">
        <w:rPr>
          <w:rFonts w:cstheme="minorHAnsi"/>
          <w:sz w:val="24"/>
          <w:szCs w:val="24"/>
          <w:lang w:val="el-GR"/>
        </w:rPr>
        <w:t>έργου</w:t>
      </w:r>
      <w:r w:rsidRPr="002B4B8A">
        <w:rPr>
          <w:rFonts w:cstheme="minorHAnsi"/>
          <w:sz w:val="24"/>
          <w:szCs w:val="24"/>
          <w:lang w:val="el-GR"/>
        </w:rPr>
        <w:t xml:space="preserve"> </w:t>
      </w:r>
      <w:r w:rsidR="002B4B8A">
        <w:rPr>
          <w:rFonts w:cstheme="minorHAnsi"/>
          <w:sz w:val="24"/>
          <w:szCs w:val="24"/>
          <w:lang w:val="el-GR"/>
        </w:rPr>
        <w:t xml:space="preserve">ή την </w:t>
      </w:r>
      <w:r w:rsidR="00AF74BA">
        <w:rPr>
          <w:rFonts w:cstheme="minorHAnsi"/>
          <w:sz w:val="24"/>
          <w:szCs w:val="24"/>
          <w:lang w:val="el-GR"/>
        </w:rPr>
        <w:t xml:space="preserve">παροχή </w:t>
      </w:r>
      <w:r w:rsidR="002B4B8A">
        <w:rPr>
          <w:rFonts w:cstheme="minorHAnsi"/>
          <w:sz w:val="24"/>
          <w:szCs w:val="24"/>
          <w:lang w:val="el-GR"/>
        </w:rPr>
        <w:t>οποι</w:t>
      </w:r>
      <w:r w:rsidR="00AF74BA">
        <w:rPr>
          <w:rFonts w:cstheme="minorHAnsi"/>
          <w:sz w:val="24"/>
          <w:szCs w:val="24"/>
          <w:lang w:val="el-GR"/>
        </w:rPr>
        <w:t>ο</w:t>
      </w:r>
      <w:r w:rsidR="002B4B8A">
        <w:rPr>
          <w:rFonts w:cstheme="minorHAnsi"/>
          <w:sz w:val="24"/>
          <w:szCs w:val="24"/>
          <w:lang w:val="el-GR"/>
        </w:rPr>
        <w:t>νδήποτε υπηρεσιών,</w:t>
      </w:r>
      <w:r w:rsidR="00AF74BA" w:rsidRPr="00AF74BA">
        <w:rPr>
          <w:rFonts w:ascii="Verdana" w:hAnsi="Verdana"/>
          <w:color w:val="000000"/>
          <w:sz w:val="23"/>
          <w:szCs w:val="23"/>
          <w:lang w:val="el-GR"/>
        </w:rPr>
        <w:t xml:space="preserve"> </w:t>
      </w:r>
    </w:p>
    <w:p w14:paraId="51217353" w14:textId="500DBFF7" w:rsidR="00A5147D" w:rsidRPr="002B4B8A" w:rsidRDefault="00A5147D" w:rsidP="00A5147D">
      <w:pPr>
        <w:autoSpaceDE w:val="0"/>
        <w:autoSpaceDN w:val="0"/>
        <w:adjustRightInd w:val="0"/>
        <w:ind w:left="142"/>
        <w:rPr>
          <w:rFonts w:cstheme="minorHAnsi"/>
          <w:sz w:val="24"/>
          <w:szCs w:val="24"/>
          <w:lang w:val="el-GR"/>
        </w:rPr>
      </w:pPr>
      <w:r w:rsidRPr="002B4B8A">
        <w:rPr>
          <w:rFonts w:cstheme="minorHAnsi"/>
          <w:sz w:val="24"/>
          <w:szCs w:val="24"/>
          <w:lang w:val="el-GR"/>
        </w:rPr>
        <w:t>(</w:t>
      </w:r>
      <w:r w:rsidR="002B4B8A">
        <w:rPr>
          <w:rFonts w:cstheme="minorHAnsi"/>
          <w:sz w:val="24"/>
          <w:szCs w:val="24"/>
          <w:lang w:val="el-GR"/>
        </w:rPr>
        <w:t>γ</w:t>
      </w:r>
      <w:r w:rsidRPr="002B4B8A">
        <w:rPr>
          <w:rFonts w:cstheme="minorHAnsi"/>
          <w:sz w:val="24"/>
          <w:szCs w:val="24"/>
          <w:lang w:val="el-GR"/>
        </w:rPr>
        <w:t xml:space="preserve">) </w:t>
      </w:r>
      <w:r w:rsidR="002B4B8A">
        <w:rPr>
          <w:rFonts w:cstheme="minorHAnsi"/>
          <w:sz w:val="24"/>
          <w:szCs w:val="24"/>
          <w:lang w:val="el-GR"/>
        </w:rPr>
        <w:t>η</w:t>
      </w:r>
      <w:r w:rsidR="002B4B8A" w:rsidRPr="002B4B8A">
        <w:rPr>
          <w:rFonts w:cstheme="minorHAnsi"/>
          <w:sz w:val="24"/>
          <w:szCs w:val="24"/>
          <w:lang w:val="el-GR"/>
        </w:rPr>
        <w:t xml:space="preserve"> </w:t>
      </w:r>
      <w:r w:rsidR="002B4B8A">
        <w:rPr>
          <w:rFonts w:cstheme="minorHAnsi"/>
          <w:sz w:val="24"/>
          <w:szCs w:val="24"/>
          <w:lang w:val="el-GR"/>
        </w:rPr>
        <w:t>υποβολή</w:t>
      </w:r>
      <w:r w:rsidRPr="002B4B8A">
        <w:rPr>
          <w:rFonts w:cstheme="minorHAnsi"/>
          <w:sz w:val="24"/>
          <w:szCs w:val="24"/>
          <w:lang w:val="el-GR"/>
        </w:rPr>
        <w:t xml:space="preserve"> </w:t>
      </w:r>
      <w:r w:rsidR="002B4B8A">
        <w:rPr>
          <w:rFonts w:cstheme="minorHAnsi"/>
          <w:sz w:val="24"/>
          <w:szCs w:val="24"/>
          <w:lang w:val="el-GR"/>
        </w:rPr>
        <w:t>προσφοράς</w:t>
      </w:r>
      <w:r w:rsidRPr="002B4B8A">
        <w:rPr>
          <w:rFonts w:cstheme="minorHAnsi"/>
          <w:sz w:val="24"/>
          <w:szCs w:val="24"/>
          <w:lang w:val="el-GR"/>
        </w:rPr>
        <w:t xml:space="preserve"> </w:t>
      </w:r>
      <w:r w:rsidR="002B4B8A">
        <w:rPr>
          <w:rFonts w:cstheme="minorHAnsi"/>
          <w:sz w:val="24"/>
          <w:szCs w:val="24"/>
          <w:lang w:val="el-GR"/>
        </w:rPr>
        <w:t>ή</w:t>
      </w:r>
      <w:r w:rsidR="002B4B8A" w:rsidRPr="002B4B8A">
        <w:rPr>
          <w:rFonts w:cstheme="minorHAnsi"/>
          <w:sz w:val="24"/>
          <w:szCs w:val="24"/>
          <w:lang w:val="el-GR"/>
        </w:rPr>
        <w:t xml:space="preserve"> </w:t>
      </w:r>
      <w:r w:rsidR="001367D6">
        <w:rPr>
          <w:rFonts w:cstheme="minorHAnsi"/>
          <w:sz w:val="24"/>
          <w:szCs w:val="24"/>
          <w:lang w:val="el-GR"/>
        </w:rPr>
        <w:t xml:space="preserve">η </w:t>
      </w:r>
      <w:r w:rsidR="002B4B8A">
        <w:rPr>
          <w:rFonts w:cstheme="minorHAnsi"/>
          <w:sz w:val="24"/>
          <w:szCs w:val="24"/>
          <w:lang w:val="el-GR"/>
        </w:rPr>
        <w:t>ανάληψη</w:t>
      </w:r>
      <w:r w:rsidR="002B4B8A" w:rsidRPr="002B4B8A">
        <w:rPr>
          <w:rFonts w:cstheme="minorHAnsi"/>
          <w:sz w:val="24"/>
          <w:szCs w:val="24"/>
          <w:lang w:val="el-GR"/>
        </w:rPr>
        <w:t xml:space="preserve"> </w:t>
      </w:r>
      <w:r w:rsidR="001367D6">
        <w:rPr>
          <w:rFonts w:cstheme="minorHAnsi"/>
          <w:sz w:val="24"/>
          <w:szCs w:val="24"/>
          <w:lang w:val="el-GR"/>
        </w:rPr>
        <w:t xml:space="preserve">οποιασδήποτε σύμβασης </w:t>
      </w:r>
      <w:r w:rsidR="002B4B8A">
        <w:rPr>
          <w:rFonts w:cstheme="minorHAnsi"/>
          <w:sz w:val="24"/>
          <w:szCs w:val="24"/>
          <w:lang w:val="el-GR"/>
        </w:rPr>
        <w:t>για</w:t>
      </w:r>
      <w:r w:rsidR="002B4B8A" w:rsidRPr="002B4B8A">
        <w:rPr>
          <w:rFonts w:cstheme="minorHAnsi"/>
          <w:sz w:val="24"/>
          <w:szCs w:val="24"/>
          <w:lang w:val="el-GR"/>
        </w:rPr>
        <w:t xml:space="preserve"> </w:t>
      </w:r>
      <w:r w:rsidR="002B4B8A">
        <w:rPr>
          <w:rFonts w:cstheme="minorHAnsi"/>
          <w:sz w:val="24"/>
          <w:szCs w:val="24"/>
          <w:lang w:val="el-GR"/>
        </w:rPr>
        <w:t>προμήθεια</w:t>
      </w:r>
      <w:r w:rsidRPr="002B4B8A">
        <w:rPr>
          <w:rFonts w:cstheme="minorHAnsi"/>
          <w:sz w:val="24"/>
          <w:szCs w:val="24"/>
          <w:lang w:val="el-GR"/>
        </w:rPr>
        <w:t xml:space="preserve"> </w:t>
      </w:r>
      <w:r w:rsidR="002B4B8A">
        <w:rPr>
          <w:rFonts w:cstheme="minorHAnsi"/>
          <w:sz w:val="24"/>
          <w:szCs w:val="24"/>
          <w:lang w:val="el-GR"/>
        </w:rPr>
        <w:t>έργων</w:t>
      </w:r>
      <w:r w:rsidR="002B4B8A" w:rsidRPr="002B4B8A">
        <w:rPr>
          <w:rFonts w:cstheme="minorHAnsi"/>
          <w:sz w:val="24"/>
          <w:szCs w:val="24"/>
          <w:lang w:val="el-GR"/>
        </w:rPr>
        <w:t xml:space="preserve"> </w:t>
      </w:r>
      <w:r w:rsidR="002B4B8A">
        <w:rPr>
          <w:rFonts w:cstheme="minorHAnsi"/>
          <w:sz w:val="24"/>
          <w:szCs w:val="24"/>
          <w:lang w:val="el-GR"/>
        </w:rPr>
        <w:t>ή</w:t>
      </w:r>
      <w:r w:rsidR="002B4B8A" w:rsidRPr="002B4B8A">
        <w:rPr>
          <w:rFonts w:cstheme="minorHAnsi"/>
          <w:sz w:val="24"/>
          <w:szCs w:val="24"/>
          <w:lang w:val="el-GR"/>
        </w:rPr>
        <w:t xml:space="preserve"> </w:t>
      </w:r>
      <w:r w:rsidR="002B4B8A">
        <w:rPr>
          <w:rFonts w:cstheme="minorHAnsi"/>
          <w:sz w:val="24"/>
          <w:szCs w:val="24"/>
          <w:lang w:val="el-GR"/>
        </w:rPr>
        <w:t>υπηρεσιών</w:t>
      </w:r>
      <w:r w:rsidRPr="002B4B8A">
        <w:rPr>
          <w:rFonts w:cstheme="minorHAnsi"/>
          <w:sz w:val="24"/>
          <w:szCs w:val="24"/>
          <w:lang w:val="el-GR"/>
        </w:rPr>
        <w:t xml:space="preserve"> </w:t>
      </w:r>
      <w:r w:rsidR="001367D6">
        <w:rPr>
          <w:rFonts w:cstheme="minorHAnsi"/>
          <w:sz w:val="24"/>
          <w:szCs w:val="24"/>
          <w:lang w:val="el-GR"/>
        </w:rPr>
        <w:t xml:space="preserve">προς το </w:t>
      </w:r>
      <w:r w:rsidR="002B4B8A">
        <w:rPr>
          <w:rFonts w:cstheme="minorHAnsi"/>
          <w:sz w:val="24"/>
          <w:szCs w:val="24"/>
          <w:lang w:val="el-GR"/>
        </w:rPr>
        <w:t>δημόσιο</w:t>
      </w:r>
      <w:r w:rsidR="002B4B8A" w:rsidRPr="002B4B8A">
        <w:rPr>
          <w:rFonts w:cstheme="minorHAnsi"/>
          <w:sz w:val="24"/>
          <w:szCs w:val="24"/>
          <w:lang w:val="el-GR"/>
        </w:rPr>
        <w:t xml:space="preserve"> </w:t>
      </w:r>
      <w:r w:rsidR="002B4B8A">
        <w:rPr>
          <w:rFonts w:cstheme="minorHAnsi"/>
          <w:sz w:val="24"/>
          <w:szCs w:val="24"/>
          <w:lang w:val="el-GR"/>
        </w:rPr>
        <w:t>τομέα</w:t>
      </w:r>
      <w:r w:rsidR="00676FCA" w:rsidRPr="002B7C4B">
        <w:rPr>
          <w:rFonts w:cstheme="minorHAnsi"/>
          <w:sz w:val="24"/>
          <w:szCs w:val="24"/>
          <w:lang w:val="el-GR"/>
        </w:rPr>
        <w:t>,</w:t>
      </w:r>
      <w:r w:rsidRPr="002B4B8A">
        <w:rPr>
          <w:rFonts w:cstheme="minorHAnsi"/>
          <w:sz w:val="24"/>
          <w:szCs w:val="24"/>
          <w:lang w:val="el-GR"/>
        </w:rPr>
        <w:t xml:space="preserve"> </w:t>
      </w:r>
      <w:r w:rsidR="002B4B8A">
        <w:rPr>
          <w:rFonts w:cstheme="minorHAnsi"/>
          <w:sz w:val="24"/>
          <w:szCs w:val="24"/>
          <w:lang w:val="el-GR"/>
        </w:rPr>
        <w:t>σε</w:t>
      </w:r>
      <w:r w:rsidR="002B4B8A" w:rsidRPr="002B4B8A">
        <w:rPr>
          <w:rFonts w:cstheme="minorHAnsi"/>
          <w:sz w:val="24"/>
          <w:szCs w:val="24"/>
          <w:lang w:val="el-GR"/>
        </w:rPr>
        <w:t xml:space="preserve"> </w:t>
      </w:r>
      <w:r w:rsidR="002B4B8A">
        <w:rPr>
          <w:rFonts w:cstheme="minorHAnsi"/>
          <w:sz w:val="24"/>
          <w:szCs w:val="24"/>
          <w:lang w:val="el-GR"/>
        </w:rPr>
        <w:t>οποιαδήποτε</w:t>
      </w:r>
      <w:r w:rsidR="002B4B8A" w:rsidRPr="002B4B8A">
        <w:rPr>
          <w:rFonts w:cstheme="minorHAnsi"/>
          <w:sz w:val="24"/>
          <w:szCs w:val="24"/>
          <w:lang w:val="el-GR"/>
        </w:rPr>
        <w:t xml:space="preserve"> </w:t>
      </w:r>
      <w:r w:rsidR="002B4B8A">
        <w:rPr>
          <w:rFonts w:cstheme="minorHAnsi"/>
          <w:sz w:val="24"/>
          <w:szCs w:val="24"/>
          <w:lang w:val="el-GR"/>
        </w:rPr>
        <w:t>δημόσια</w:t>
      </w:r>
      <w:r w:rsidR="002B4B8A" w:rsidRPr="002B4B8A">
        <w:rPr>
          <w:rFonts w:cstheme="minorHAnsi"/>
          <w:sz w:val="24"/>
          <w:szCs w:val="24"/>
          <w:lang w:val="el-GR"/>
        </w:rPr>
        <w:t xml:space="preserve"> </w:t>
      </w:r>
      <w:r w:rsidR="002B4B8A">
        <w:rPr>
          <w:rFonts w:cstheme="minorHAnsi"/>
          <w:sz w:val="24"/>
          <w:szCs w:val="24"/>
          <w:lang w:val="el-GR"/>
        </w:rPr>
        <w:t>οντότητα</w:t>
      </w:r>
      <w:r w:rsidRPr="002B4B8A">
        <w:rPr>
          <w:rFonts w:cstheme="minorHAnsi"/>
          <w:sz w:val="24"/>
          <w:szCs w:val="24"/>
          <w:lang w:val="el-GR"/>
        </w:rPr>
        <w:t xml:space="preserve"> </w:t>
      </w:r>
      <w:r w:rsidR="002B4B8A">
        <w:rPr>
          <w:rFonts w:cstheme="minorHAnsi"/>
          <w:sz w:val="24"/>
          <w:szCs w:val="24"/>
          <w:lang w:val="el-GR"/>
        </w:rPr>
        <w:t>ή</w:t>
      </w:r>
      <w:r w:rsidRPr="002B4B8A">
        <w:rPr>
          <w:rFonts w:cstheme="minorHAnsi"/>
          <w:sz w:val="24"/>
          <w:szCs w:val="24"/>
          <w:lang w:val="el-GR"/>
        </w:rPr>
        <w:t xml:space="preserve"> </w:t>
      </w:r>
      <w:r w:rsidR="00951842">
        <w:rPr>
          <w:rFonts w:cstheme="minorHAnsi"/>
          <w:sz w:val="24"/>
          <w:szCs w:val="24"/>
          <w:lang w:val="el-GR"/>
        </w:rPr>
        <w:t xml:space="preserve">κρατική </w:t>
      </w:r>
      <w:r w:rsidR="002B4B8A">
        <w:rPr>
          <w:rFonts w:cstheme="minorHAnsi"/>
          <w:sz w:val="24"/>
          <w:szCs w:val="24"/>
          <w:lang w:val="el-GR"/>
        </w:rPr>
        <w:t>ή</w:t>
      </w:r>
      <w:r w:rsidR="002B4B8A" w:rsidRPr="002B4B8A">
        <w:rPr>
          <w:rFonts w:cstheme="minorHAnsi"/>
          <w:sz w:val="24"/>
          <w:szCs w:val="24"/>
          <w:lang w:val="el-GR"/>
        </w:rPr>
        <w:t xml:space="preserve"> </w:t>
      </w:r>
      <w:proofErr w:type="spellStart"/>
      <w:r w:rsidR="002B4B8A">
        <w:rPr>
          <w:rFonts w:cstheme="minorHAnsi"/>
          <w:sz w:val="24"/>
          <w:szCs w:val="24"/>
          <w:lang w:val="el-GR"/>
        </w:rPr>
        <w:t>ημι</w:t>
      </w:r>
      <w:r w:rsidR="00951842">
        <w:rPr>
          <w:rFonts w:cstheme="minorHAnsi"/>
          <w:sz w:val="24"/>
          <w:szCs w:val="24"/>
          <w:lang w:val="el-GR"/>
        </w:rPr>
        <w:t>κρατική</w:t>
      </w:r>
      <w:proofErr w:type="spellEnd"/>
      <w:r w:rsidR="002B4B8A" w:rsidRPr="002B4B8A">
        <w:rPr>
          <w:rFonts w:cstheme="minorHAnsi"/>
          <w:sz w:val="24"/>
          <w:szCs w:val="24"/>
          <w:lang w:val="el-GR"/>
        </w:rPr>
        <w:t xml:space="preserve"> </w:t>
      </w:r>
      <w:r w:rsidR="002B4B8A">
        <w:rPr>
          <w:rFonts w:cstheme="minorHAnsi"/>
          <w:sz w:val="24"/>
          <w:szCs w:val="24"/>
          <w:lang w:val="el-GR"/>
        </w:rPr>
        <w:t>εταιρεία</w:t>
      </w:r>
      <w:r w:rsidR="00951842">
        <w:rPr>
          <w:rFonts w:cstheme="minorHAnsi"/>
          <w:sz w:val="24"/>
          <w:szCs w:val="24"/>
          <w:lang w:val="el-GR"/>
        </w:rPr>
        <w:t xml:space="preserve"> </w:t>
      </w:r>
      <w:r w:rsidR="00951842" w:rsidRPr="002B7C4B">
        <w:rPr>
          <w:rFonts w:cstheme="minorHAnsi"/>
          <w:sz w:val="24"/>
          <w:szCs w:val="24"/>
          <w:lang w:val="el-GR"/>
        </w:rPr>
        <w:t xml:space="preserve">από τον ίδιο τον αξιωματούχο ατομικά ή από εταιρεία, συνεταιρισμό, </w:t>
      </w:r>
      <w:r w:rsidR="00951842" w:rsidRPr="002B7C4B">
        <w:rPr>
          <w:rFonts w:cstheme="minorHAnsi"/>
          <w:sz w:val="24"/>
          <w:szCs w:val="24"/>
          <w:lang w:val="el-GR"/>
        </w:rPr>
        <w:lastRenderedPageBreak/>
        <w:t>επιχείρηση ή κοινοπραξία, στην οποία συμμετέχει είτε ως απλός μέτοχος είτε ως μέλος του διοικητικού συμβουλίου με οποιαδήποτε ιδιότητα, είτε ως νομικός σύμβουλος αυτών</w:t>
      </w:r>
      <w:r w:rsidR="00C44A92">
        <w:rPr>
          <w:rFonts w:cstheme="minorHAnsi"/>
          <w:sz w:val="24"/>
          <w:szCs w:val="24"/>
          <w:lang w:val="el-GR"/>
        </w:rPr>
        <w:t>,</w:t>
      </w:r>
    </w:p>
    <w:p w14:paraId="0B520994" w14:textId="77159E7A" w:rsidR="00A5147D" w:rsidRPr="00514F18" w:rsidRDefault="00A5147D" w:rsidP="00A5147D">
      <w:pPr>
        <w:autoSpaceDE w:val="0"/>
        <w:autoSpaceDN w:val="0"/>
        <w:adjustRightInd w:val="0"/>
        <w:ind w:left="142"/>
        <w:rPr>
          <w:rFonts w:cstheme="minorHAnsi"/>
          <w:sz w:val="24"/>
          <w:szCs w:val="24"/>
          <w:lang w:val="el-GR"/>
        </w:rPr>
      </w:pPr>
      <w:r w:rsidRPr="00514F18">
        <w:rPr>
          <w:rFonts w:cstheme="minorHAnsi"/>
          <w:sz w:val="24"/>
          <w:szCs w:val="24"/>
          <w:lang w:val="el-GR"/>
        </w:rPr>
        <w:t>(</w:t>
      </w:r>
      <w:r w:rsidR="00514F18">
        <w:rPr>
          <w:rFonts w:cstheme="minorHAnsi"/>
          <w:sz w:val="24"/>
          <w:szCs w:val="24"/>
          <w:lang w:val="el-GR"/>
        </w:rPr>
        <w:t>δ</w:t>
      </w:r>
      <w:r w:rsidRPr="00514F18">
        <w:rPr>
          <w:rFonts w:cstheme="minorHAnsi"/>
          <w:sz w:val="24"/>
          <w:szCs w:val="24"/>
          <w:lang w:val="el-GR"/>
        </w:rPr>
        <w:t xml:space="preserve">) </w:t>
      </w:r>
      <w:r w:rsidR="00514F18">
        <w:rPr>
          <w:rFonts w:cstheme="minorHAnsi"/>
          <w:sz w:val="24"/>
          <w:szCs w:val="24"/>
          <w:lang w:val="el-GR"/>
        </w:rPr>
        <w:t>η</w:t>
      </w:r>
      <w:r w:rsidR="00514F18" w:rsidRPr="00514F18">
        <w:rPr>
          <w:rFonts w:cstheme="minorHAnsi"/>
          <w:sz w:val="24"/>
          <w:szCs w:val="24"/>
          <w:lang w:val="el-GR"/>
        </w:rPr>
        <w:t xml:space="preserve"> </w:t>
      </w:r>
      <w:r w:rsidR="001367D6">
        <w:rPr>
          <w:rFonts w:cstheme="minorHAnsi"/>
          <w:sz w:val="24"/>
          <w:szCs w:val="24"/>
          <w:lang w:val="el-GR"/>
        </w:rPr>
        <w:t xml:space="preserve">ιδιότητα διοικητικού συμβούλου </w:t>
      </w:r>
      <w:r w:rsidR="00514F18">
        <w:rPr>
          <w:rFonts w:cstheme="minorHAnsi"/>
          <w:sz w:val="24"/>
          <w:szCs w:val="24"/>
          <w:lang w:val="el-GR"/>
        </w:rPr>
        <w:t>ή</w:t>
      </w:r>
      <w:r w:rsidR="00514F18" w:rsidRPr="00514F18">
        <w:rPr>
          <w:rFonts w:cstheme="minorHAnsi"/>
          <w:sz w:val="24"/>
          <w:szCs w:val="24"/>
          <w:lang w:val="el-GR"/>
        </w:rPr>
        <w:t xml:space="preserve"> </w:t>
      </w:r>
      <w:r w:rsidR="00514F18">
        <w:rPr>
          <w:rFonts w:cstheme="minorHAnsi"/>
          <w:sz w:val="24"/>
          <w:szCs w:val="24"/>
          <w:lang w:val="el-GR"/>
        </w:rPr>
        <w:t>μέλους</w:t>
      </w:r>
      <w:r w:rsidR="00514F18" w:rsidRPr="00514F18">
        <w:rPr>
          <w:rFonts w:cstheme="minorHAnsi"/>
          <w:sz w:val="24"/>
          <w:szCs w:val="24"/>
          <w:lang w:val="el-GR"/>
        </w:rPr>
        <w:t xml:space="preserve"> </w:t>
      </w:r>
      <w:r w:rsidR="00514F18">
        <w:rPr>
          <w:rFonts w:cstheme="minorHAnsi"/>
          <w:sz w:val="24"/>
          <w:szCs w:val="24"/>
          <w:lang w:val="el-GR"/>
        </w:rPr>
        <w:t>του</w:t>
      </w:r>
      <w:r w:rsidR="00514F18" w:rsidRPr="00514F18">
        <w:rPr>
          <w:rFonts w:cstheme="minorHAnsi"/>
          <w:sz w:val="24"/>
          <w:szCs w:val="24"/>
          <w:lang w:val="el-GR"/>
        </w:rPr>
        <w:t xml:space="preserve"> </w:t>
      </w:r>
      <w:r w:rsidR="00514F18">
        <w:rPr>
          <w:rFonts w:cstheme="minorHAnsi"/>
          <w:sz w:val="24"/>
          <w:szCs w:val="24"/>
          <w:lang w:val="el-GR"/>
        </w:rPr>
        <w:t>διοικητικού</w:t>
      </w:r>
      <w:r w:rsidR="00514F18" w:rsidRPr="00514F18">
        <w:rPr>
          <w:rFonts w:cstheme="minorHAnsi"/>
          <w:sz w:val="24"/>
          <w:szCs w:val="24"/>
          <w:lang w:val="el-GR"/>
        </w:rPr>
        <w:t xml:space="preserve"> </w:t>
      </w:r>
      <w:r w:rsidR="00514F18">
        <w:rPr>
          <w:rFonts w:cstheme="minorHAnsi"/>
          <w:sz w:val="24"/>
          <w:szCs w:val="24"/>
          <w:lang w:val="el-GR"/>
        </w:rPr>
        <w:t>συμβουλίου</w:t>
      </w:r>
      <w:r w:rsidR="00514F18" w:rsidRPr="00514F18">
        <w:rPr>
          <w:rFonts w:cstheme="minorHAnsi"/>
          <w:sz w:val="24"/>
          <w:szCs w:val="24"/>
          <w:lang w:val="el-GR"/>
        </w:rPr>
        <w:t xml:space="preserve"> </w:t>
      </w:r>
      <w:r w:rsidR="00514F18">
        <w:rPr>
          <w:rFonts w:cstheme="minorHAnsi"/>
          <w:sz w:val="24"/>
          <w:szCs w:val="24"/>
          <w:lang w:val="el-GR"/>
        </w:rPr>
        <w:t>δημόσιας</w:t>
      </w:r>
      <w:r w:rsidR="001367D6">
        <w:rPr>
          <w:rFonts w:cstheme="minorHAnsi"/>
          <w:sz w:val="24"/>
          <w:szCs w:val="24"/>
          <w:lang w:val="el-GR"/>
        </w:rPr>
        <w:t xml:space="preserve"> εταιρείας</w:t>
      </w:r>
      <w:r w:rsidR="00514F18">
        <w:rPr>
          <w:rFonts w:cstheme="minorHAnsi"/>
          <w:sz w:val="24"/>
          <w:szCs w:val="24"/>
          <w:lang w:val="el-GR"/>
        </w:rPr>
        <w:t>,</w:t>
      </w:r>
      <w:r w:rsidRPr="00514F18">
        <w:rPr>
          <w:rFonts w:cstheme="minorHAnsi"/>
          <w:sz w:val="24"/>
          <w:szCs w:val="24"/>
          <w:lang w:val="el-GR"/>
        </w:rPr>
        <w:t xml:space="preserve"> </w:t>
      </w:r>
      <w:r w:rsidR="00514F18">
        <w:rPr>
          <w:rFonts w:cstheme="minorHAnsi"/>
          <w:sz w:val="24"/>
          <w:szCs w:val="24"/>
          <w:lang w:val="el-GR"/>
        </w:rPr>
        <w:t>και</w:t>
      </w:r>
    </w:p>
    <w:p w14:paraId="65461EBF" w14:textId="5600ACF6" w:rsidR="00A5147D" w:rsidRDefault="00514F18" w:rsidP="00A5147D">
      <w:pPr>
        <w:autoSpaceDE w:val="0"/>
        <w:autoSpaceDN w:val="0"/>
        <w:adjustRightInd w:val="0"/>
        <w:ind w:left="142"/>
        <w:rPr>
          <w:rFonts w:cstheme="minorHAnsi"/>
          <w:sz w:val="24"/>
          <w:szCs w:val="24"/>
          <w:lang w:val="el-GR"/>
        </w:rPr>
      </w:pPr>
      <w:r w:rsidRPr="00FA2C5A">
        <w:rPr>
          <w:rFonts w:cstheme="minorHAnsi"/>
          <w:sz w:val="24"/>
          <w:szCs w:val="24"/>
          <w:lang w:val="el-GR"/>
        </w:rPr>
        <w:t>(ε</w:t>
      </w:r>
      <w:r w:rsidR="00A5147D" w:rsidRPr="00FA2C5A">
        <w:rPr>
          <w:rFonts w:cstheme="minorHAnsi"/>
          <w:sz w:val="24"/>
          <w:szCs w:val="24"/>
          <w:lang w:val="el-GR"/>
        </w:rPr>
        <w:t xml:space="preserve">) </w:t>
      </w:r>
      <w:r>
        <w:rPr>
          <w:rFonts w:cstheme="minorHAnsi"/>
          <w:sz w:val="24"/>
          <w:szCs w:val="24"/>
          <w:lang w:val="el-GR"/>
        </w:rPr>
        <w:t>η</w:t>
      </w:r>
      <w:r w:rsidRPr="00FA2C5A">
        <w:rPr>
          <w:rFonts w:cstheme="minorHAnsi"/>
          <w:sz w:val="24"/>
          <w:szCs w:val="24"/>
          <w:lang w:val="el-GR"/>
        </w:rPr>
        <w:t xml:space="preserve"> </w:t>
      </w:r>
      <w:r w:rsidR="001367D6">
        <w:rPr>
          <w:rFonts w:cstheme="minorHAnsi"/>
          <w:sz w:val="24"/>
          <w:szCs w:val="24"/>
          <w:lang w:val="el-GR"/>
        </w:rPr>
        <w:t xml:space="preserve">ιδιότητα </w:t>
      </w:r>
      <w:r w:rsidR="00FA2C5A">
        <w:rPr>
          <w:rFonts w:cstheme="minorHAnsi"/>
          <w:sz w:val="24"/>
          <w:szCs w:val="24"/>
          <w:lang w:val="el-GR"/>
        </w:rPr>
        <w:t>μέλους</w:t>
      </w:r>
      <w:r w:rsidR="00FA2C5A" w:rsidRPr="00FA2C5A">
        <w:rPr>
          <w:rFonts w:cstheme="minorHAnsi"/>
          <w:sz w:val="24"/>
          <w:szCs w:val="24"/>
          <w:lang w:val="el-GR"/>
        </w:rPr>
        <w:t xml:space="preserve"> </w:t>
      </w:r>
      <w:r w:rsidR="00FA2C5A">
        <w:rPr>
          <w:rFonts w:cstheme="minorHAnsi"/>
          <w:sz w:val="24"/>
          <w:szCs w:val="24"/>
          <w:lang w:val="el-GR"/>
        </w:rPr>
        <w:t>του</w:t>
      </w:r>
      <w:r w:rsidR="00FA2C5A" w:rsidRPr="00FA2C5A">
        <w:rPr>
          <w:rFonts w:cstheme="minorHAnsi"/>
          <w:sz w:val="24"/>
          <w:szCs w:val="24"/>
          <w:lang w:val="el-GR"/>
        </w:rPr>
        <w:t xml:space="preserve"> </w:t>
      </w:r>
      <w:r w:rsidR="00FA2C5A">
        <w:rPr>
          <w:rFonts w:cstheme="minorHAnsi"/>
          <w:sz w:val="24"/>
          <w:szCs w:val="24"/>
          <w:lang w:val="el-GR"/>
        </w:rPr>
        <w:t>διοικητικού</w:t>
      </w:r>
      <w:r w:rsidR="00FA2C5A" w:rsidRPr="00FA2C5A">
        <w:rPr>
          <w:rFonts w:cstheme="minorHAnsi"/>
          <w:sz w:val="24"/>
          <w:szCs w:val="24"/>
          <w:lang w:val="el-GR"/>
        </w:rPr>
        <w:t xml:space="preserve"> </w:t>
      </w:r>
      <w:r w:rsidR="00FA2C5A">
        <w:rPr>
          <w:rFonts w:cstheme="minorHAnsi"/>
          <w:sz w:val="24"/>
          <w:szCs w:val="24"/>
          <w:lang w:val="el-GR"/>
        </w:rPr>
        <w:t>συμβουλίου</w:t>
      </w:r>
      <w:r w:rsidR="00A5147D" w:rsidRPr="00FA2C5A">
        <w:rPr>
          <w:rFonts w:cstheme="minorHAnsi"/>
          <w:sz w:val="24"/>
          <w:szCs w:val="24"/>
          <w:lang w:val="el-GR"/>
        </w:rPr>
        <w:t xml:space="preserve"> </w:t>
      </w:r>
      <w:r w:rsidR="00FA2C5A">
        <w:rPr>
          <w:rFonts w:cstheme="minorHAnsi"/>
          <w:sz w:val="24"/>
          <w:szCs w:val="24"/>
          <w:lang w:val="el-GR"/>
        </w:rPr>
        <w:t>ή</w:t>
      </w:r>
      <w:r w:rsidR="00FA2C5A" w:rsidRPr="00FA2C5A">
        <w:rPr>
          <w:rFonts w:cstheme="minorHAnsi"/>
          <w:sz w:val="24"/>
          <w:szCs w:val="24"/>
          <w:lang w:val="el-GR"/>
        </w:rPr>
        <w:t xml:space="preserve"> </w:t>
      </w:r>
      <w:r w:rsidR="00FA2C5A">
        <w:rPr>
          <w:rFonts w:cstheme="minorHAnsi"/>
          <w:sz w:val="24"/>
          <w:szCs w:val="24"/>
          <w:lang w:val="el-GR"/>
        </w:rPr>
        <w:t>διευθυντή</w:t>
      </w:r>
      <w:r w:rsidR="00FA2C5A" w:rsidRPr="00FA2C5A">
        <w:rPr>
          <w:rFonts w:cstheme="minorHAnsi"/>
          <w:sz w:val="24"/>
          <w:szCs w:val="24"/>
          <w:lang w:val="el-GR"/>
        </w:rPr>
        <w:t xml:space="preserve"> </w:t>
      </w:r>
      <w:r w:rsidR="00FA2C5A">
        <w:rPr>
          <w:rFonts w:cstheme="minorHAnsi"/>
          <w:sz w:val="24"/>
          <w:szCs w:val="24"/>
          <w:lang w:val="el-GR"/>
        </w:rPr>
        <w:t>ιδιωτικής</w:t>
      </w:r>
      <w:r w:rsidR="00FA2C5A" w:rsidRPr="00FA2C5A">
        <w:rPr>
          <w:rFonts w:cstheme="minorHAnsi"/>
          <w:sz w:val="24"/>
          <w:szCs w:val="24"/>
          <w:lang w:val="el-GR"/>
        </w:rPr>
        <w:t xml:space="preserve"> </w:t>
      </w:r>
      <w:r w:rsidR="00FA2C5A">
        <w:rPr>
          <w:rFonts w:cstheme="minorHAnsi"/>
          <w:sz w:val="24"/>
          <w:szCs w:val="24"/>
          <w:lang w:val="el-GR"/>
        </w:rPr>
        <w:t>εταιρείας</w:t>
      </w:r>
      <w:r w:rsidR="00FA2C5A" w:rsidRPr="00FA2C5A">
        <w:rPr>
          <w:rFonts w:cstheme="minorHAnsi"/>
          <w:sz w:val="24"/>
          <w:szCs w:val="24"/>
          <w:lang w:val="el-GR"/>
        </w:rPr>
        <w:t xml:space="preserve"> </w:t>
      </w:r>
      <w:r w:rsidR="00FA2C5A">
        <w:rPr>
          <w:rFonts w:cstheme="minorHAnsi"/>
          <w:sz w:val="24"/>
          <w:szCs w:val="24"/>
          <w:lang w:val="el-GR"/>
        </w:rPr>
        <w:t>ή</w:t>
      </w:r>
      <w:r w:rsidR="00FA2C5A" w:rsidRPr="00FA2C5A">
        <w:rPr>
          <w:rFonts w:cstheme="minorHAnsi"/>
          <w:sz w:val="24"/>
          <w:szCs w:val="24"/>
          <w:lang w:val="el-GR"/>
        </w:rPr>
        <w:t xml:space="preserve"> </w:t>
      </w:r>
      <w:r w:rsidR="00FA2C5A">
        <w:rPr>
          <w:rFonts w:cstheme="minorHAnsi"/>
          <w:sz w:val="24"/>
          <w:szCs w:val="24"/>
          <w:lang w:val="el-GR"/>
        </w:rPr>
        <w:t>η</w:t>
      </w:r>
      <w:r w:rsidR="00FA2C5A" w:rsidRPr="00FA2C5A">
        <w:rPr>
          <w:rFonts w:cstheme="minorHAnsi"/>
          <w:sz w:val="24"/>
          <w:szCs w:val="24"/>
          <w:lang w:val="el-GR"/>
        </w:rPr>
        <w:t xml:space="preserve"> </w:t>
      </w:r>
      <w:r w:rsidR="001367D6">
        <w:rPr>
          <w:rFonts w:cstheme="minorHAnsi"/>
          <w:sz w:val="24"/>
          <w:szCs w:val="24"/>
          <w:lang w:val="el-GR"/>
        </w:rPr>
        <w:t xml:space="preserve">ιδιότητα </w:t>
      </w:r>
      <w:r w:rsidR="00FA2C5A">
        <w:rPr>
          <w:rFonts w:cstheme="minorHAnsi"/>
          <w:sz w:val="24"/>
          <w:szCs w:val="24"/>
          <w:lang w:val="el-GR"/>
        </w:rPr>
        <w:t>μέλους</w:t>
      </w:r>
      <w:r w:rsidR="00FA2C5A" w:rsidRPr="00FA2C5A">
        <w:rPr>
          <w:rFonts w:cstheme="minorHAnsi"/>
          <w:sz w:val="24"/>
          <w:szCs w:val="24"/>
          <w:lang w:val="el-GR"/>
        </w:rPr>
        <w:t xml:space="preserve"> </w:t>
      </w:r>
      <w:r w:rsidR="00FA2C5A">
        <w:rPr>
          <w:rFonts w:cstheme="minorHAnsi"/>
          <w:sz w:val="24"/>
          <w:szCs w:val="24"/>
          <w:lang w:val="el-GR"/>
        </w:rPr>
        <w:t>διοικητικού</w:t>
      </w:r>
      <w:r w:rsidR="00FA2C5A" w:rsidRPr="00FA2C5A">
        <w:rPr>
          <w:rFonts w:cstheme="minorHAnsi"/>
          <w:sz w:val="24"/>
          <w:szCs w:val="24"/>
          <w:lang w:val="el-GR"/>
        </w:rPr>
        <w:t xml:space="preserve"> </w:t>
      </w:r>
      <w:r w:rsidR="00FA2C5A">
        <w:rPr>
          <w:rFonts w:cstheme="minorHAnsi"/>
          <w:sz w:val="24"/>
          <w:szCs w:val="24"/>
          <w:lang w:val="el-GR"/>
        </w:rPr>
        <w:t>συμβουλίου</w:t>
      </w:r>
      <w:r w:rsidR="00A5147D" w:rsidRPr="00FA2C5A">
        <w:rPr>
          <w:rFonts w:cstheme="minorHAnsi"/>
          <w:sz w:val="24"/>
          <w:szCs w:val="24"/>
          <w:lang w:val="el-GR"/>
        </w:rPr>
        <w:t xml:space="preserve"> </w:t>
      </w:r>
      <w:r w:rsidR="00FA2C5A">
        <w:rPr>
          <w:rFonts w:cstheme="minorHAnsi"/>
          <w:sz w:val="24"/>
          <w:szCs w:val="24"/>
          <w:lang w:val="el-GR"/>
        </w:rPr>
        <w:t xml:space="preserve">ή διευθυντή </w:t>
      </w:r>
      <w:proofErr w:type="spellStart"/>
      <w:r w:rsidR="001367D6">
        <w:rPr>
          <w:rFonts w:cstheme="minorHAnsi"/>
          <w:sz w:val="24"/>
          <w:szCs w:val="24"/>
          <w:lang w:val="el-GR"/>
        </w:rPr>
        <w:t>ημικρατικού</w:t>
      </w:r>
      <w:proofErr w:type="spellEnd"/>
      <w:r w:rsidR="001367D6">
        <w:rPr>
          <w:rFonts w:cstheme="minorHAnsi"/>
          <w:sz w:val="24"/>
          <w:szCs w:val="24"/>
          <w:lang w:val="el-GR"/>
        </w:rPr>
        <w:t xml:space="preserve"> </w:t>
      </w:r>
      <w:r w:rsidR="00FA2C5A">
        <w:rPr>
          <w:rFonts w:cstheme="minorHAnsi"/>
          <w:sz w:val="24"/>
          <w:szCs w:val="24"/>
          <w:lang w:val="el-GR"/>
        </w:rPr>
        <w:t>οργανισμού</w:t>
      </w:r>
      <w:r w:rsidR="001367D6">
        <w:rPr>
          <w:rFonts w:cstheme="minorHAnsi"/>
          <w:sz w:val="24"/>
          <w:szCs w:val="24"/>
          <w:lang w:val="el-GR"/>
        </w:rPr>
        <w:t>,</w:t>
      </w:r>
      <w:r w:rsidR="00A5147D" w:rsidRPr="00FA2C5A">
        <w:rPr>
          <w:rFonts w:cstheme="minorHAnsi"/>
          <w:sz w:val="24"/>
          <w:szCs w:val="24"/>
          <w:lang w:val="el-GR"/>
        </w:rPr>
        <w:t xml:space="preserve"> </w:t>
      </w:r>
      <w:r w:rsidR="00FA2C5A">
        <w:rPr>
          <w:rFonts w:cstheme="minorHAnsi"/>
          <w:sz w:val="24"/>
          <w:szCs w:val="24"/>
          <w:lang w:val="el-GR"/>
        </w:rPr>
        <w:t xml:space="preserve">που ασχολείται με </w:t>
      </w:r>
      <w:r w:rsidR="00D36C7F">
        <w:rPr>
          <w:rFonts w:cstheme="minorHAnsi"/>
          <w:sz w:val="24"/>
          <w:szCs w:val="24"/>
          <w:lang w:val="el-GR"/>
        </w:rPr>
        <w:t xml:space="preserve">την </w:t>
      </w:r>
      <w:r w:rsidR="00FA2C5A">
        <w:rPr>
          <w:rFonts w:cstheme="minorHAnsi"/>
          <w:sz w:val="24"/>
          <w:szCs w:val="24"/>
          <w:lang w:val="el-GR"/>
        </w:rPr>
        <w:t>ηλεκτρονικ</w:t>
      </w:r>
      <w:r w:rsidR="001367D6">
        <w:rPr>
          <w:rFonts w:cstheme="minorHAnsi"/>
          <w:sz w:val="24"/>
          <w:szCs w:val="24"/>
          <w:lang w:val="el-GR"/>
        </w:rPr>
        <w:t>ά</w:t>
      </w:r>
      <w:r w:rsidR="00FA2C5A">
        <w:rPr>
          <w:rFonts w:cstheme="minorHAnsi"/>
          <w:sz w:val="24"/>
          <w:szCs w:val="24"/>
          <w:lang w:val="el-GR"/>
        </w:rPr>
        <w:t xml:space="preserve"> ή έντυπ</w:t>
      </w:r>
      <w:r w:rsidR="001367D6">
        <w:rPr>
          <w:rFonts w:cstheme="minorHAnsi"/>
          <w:sz w:val="24"/>
          <w:szCs w:val="24"/>
          <w:lang w:val="el-GR"/>
        </w:rPr>
        <w:t>α μέσα  ενημέρωσης</w:t>
      </w:r>
      <w:r w:rsidR="00A5147D" w:rsidRPr="00FA2C5A">
        <w:rPr>
          <w:rFonts w:cstheme="minorHAnsi"/>
          <w:sz w:val="24"/>
          <w:szCs w:val="24"/>
          <w:lang w:val="el-GR"/>
        </w:rPr>
        <w:t xml:space="preserve">. </w:t>
      </w:r>
    </w:p>
    <w:p w14:paraId="4A3FC874" w14:textId="2C949304" w:rsidR="008F6525" w:rsidRPr="00FA2C5A" w:rsidRDefault="008F6525" w:rsidP="002B7C4B">
      <w:pPr>
        <w:autoSpaceDE w:val="0"/>
        <w:autoSpaceDN w:val="0"/>
        <w:adjustRightInd w:val="0"/>
        <w:rPr>
          <w:rFonts w:cstheme="minorHAnsi"/>
          <w:sz w:val="24"/>
          <w:szCs w:val="24"/>
          <w:lang w:val="el-GR"/>
        </w:rPr>
      </w:pPr>
    </w:p>
    <w:p w14:paraId="4E167721" w14:textId="77777777" w:rsidR="00A5147D" w:rsidRPr="00FA2C5A" w:rsidRDefault="00A5147D" w:rsidP="00A5147D">
      <w:pPr>
        <w:tabs>
          <w:tab w:val="left" w:pos="709"/>
        </w:tabs>
        <w:rPr>
          <w:rFonts w:eastAsia="Times New Roman" w:cstheme="minorHAnsi"/>
          <w:color w:val="000000"/>
          <w:sz w:val="24"/>
          <w:szCs w:val="24"/>
          <w:lang w:val="el-GR" w:eastAsia="fr-FR"/>
        </w:rPr>
      </w:pPr>
      <w:bookmarkStart w:id="114" w:name="_Toc342554257"/>
      <w:bookmarkStart w:id="115" w:name="_Toc342640932"/>
      <w:bookmarkStart w:id="116" w:name="_Toc479580437"/>
    </w:p>
    <w:p w14:paraId="4EE4FC7D" w14:textId="479E074B" w:rsidR="00A5147D" w:rsidRPr="004E251E" w:rsidRDefault="00FA2C5A" w:rsidP="00A5147D">
      <w:pPr>
        <w:pStyle w:val="Heading3"/>
        <w:spacing w:before="0"/>
        <w:rPr>
          <w:rFonts w:asciiTheme="minorHAnsi" w:hAnsiTheme="minorHAnsi" w:cstheme="minorHAnsi"/>
          <w:b w:val="0"/>
          <w:bCs w:val="0"/>
          <w:i/>
          <w:iCs/>
          <w:color w:val="auto"/>
          <w:sz w:val="24"/>
          <w:szCs w:val="24"/>
        </w:rPr>
      </w:pPr>
      <w:bookmarkStart w:id="117" w:name="_Toc117264356"/>
      <w:bookmarkStart w:id="118" w:name="_Toc136879354"/>
      <w:r>
        <w:rPr>
          <w:rFonts w:asciiTheme="minorHAnsi" w:hAnsiTheme="minorHAnsi" w:cstheme="minorHAnsi"/>
          <w:b w:val="0"/>
          <w:bCs w:val="0"/>
          <w:i/>
          <w:iCs/>
          <w:color w:val="auto"/>
          <w:sz w:val="24"/>
          <w:szCs w:val="24"/>
          <w:lang w:val="el-GR"/>
        </w:rPr>
        <w:t>Συμβόλαια με κρατικές αρχές</w:t>
      </w:r>
      <w:bookmarkEnd w:id="114"/>
      <w:bookmarkEnd w:id="115"/>
      <w:bookmarkEnd w:id="116"/>
      <w:bookmarkEnd w:id="117"/>
      <w:bookmarkEnd w:id="118"/>
    </w:p>
    <w:p w14:paraId="41B71689" w14:textId="77777777" w:rsidR="00A5147D" w:rsidRPr="004E251E" w:rsidRDefault="00A5147D" w:rsidP="00A5147D">
      <w:pPr>
        <w:tabs>
          <w:tab w:val="left" w:pos="567"/>
        </w:tabs>
        <w:suppressAutoHyphens/>
        <w:rPr>
          <w:rFonts w:cstheme="minorHAnsi"/>
          <w:b/>
          <w:bCs/>
          <w:color w:val="FF0000"/>
          <w:sz w:val="24"/>
          <w:szCs w:val="24"/>
        </w:rPr>
      </w:pPr>
    </w:p>
    <w:p w14:paraId="27E8586B" w14:textId="40521CFD" w:rsidR="00A5147D" w:rsidRPr="00591E7D" w:rsidRDefault="00FA2C5A" w:rsidP="00A5147D">
      <w:pPr>
        <w:numPr>
          <w:ilvl w:val="0"/>
          <w:numId w:val="1"/>
        </w:numPr>
        <w:tabs>
          <w:tab w:val="clear" w:pos="6095"/>
          <w:tab w:val="left" w:pos="709"/>
        </w:tabs>
        <w:ind w:left="0" w:firstLine="0"/>
        <w:rPr>
          <w:rFonts w:ascii="Calibri" w:eastAsia="Calibri" w:hAnsi="Calibri" w:cs="Calibri"/>
          <w:sz w:val="24"/>
          <w:szCs w:val="24"/>
          <w:lang w:val="el-GR"/>
        </w:rPr>
      </w:pPr>
      <w:bookmarkStart w:id="119" w:name="_Hlk117244468"/>
      <w:r>
        <w:rPr>
          <w:rFonts w:cstheme="minorHAnsi"/>
          <w:sz w:val="24"/>
          <w:szCs w:val="24"/>
          <w:lang w:val="el-GR"/>
        </w:rPr>
        <w:t>Ο</w:t>
      </w:r>
      <w:r w:rsidRPr="00BD319A">
        <w:rPr>
          <w:rFonts w:cstheme="minorHAnsi"/>
          <w:sz w:val="24"/>
          <w:szCs w:val="24"/>
          <w:lang w:val="el-GR"/>
        </w:rPr>
        <w:t xml:space="preserve"> </w:t>
      </w:r>
      <w:r>
        <w:rPr>
          <w:rFonts w:cstheme="minorHAnsi"/>
          <w:sz w:val="24"/>
          <w:szCs w:val="24"/>
          <w:lang w:val="el-GR"/>
        </w:rPr>
        <w:t>Νόμος</w:t>
      </w:r>
      <w:r w:rsidRPr="00BD319A">
        <w:rPr>
          <w:rFonts w:cstheme="minorHAnsi"/>
          <w:sz w:val="24"/>
          <w:szCs w:val="24"/>
          <w:lang w:val="el-GR"/>
        </w:rPr>
        <w:t xml:space="preserve"> </w:t>
      </w:r>
      <w:r>
        <w:rPr>
          <w:rFonts w:cstheme="minorHAnsi"/>
          <w:sz w:val="24"/>
          <w:szCs w:val="24"/>
          <w:lang w:val="el-GR"/>
        </w:rPr>
        <w:t>που</w:t>
      </w:r>
      <w:r w:rsidRPr="00BD319A">
        <w:rPr>
          <w:rFonts w:cstheme="minorHAnsi"/>
          <w:sz w:val="24"/>
          <w:szCs w:val="24"/>
          <w:lang w:val="el-GR"/>
        </w:rPr>
        <w:t xml:space="preserve"> </w:t>
      </w:r>
      <w:r>
        <w:rPr>
          <w:rFonts w:cstheme="minorHAnsi"/>
          <w:sz w:val="24"/>
          <w:szCs w:val="24"/>
          <w:lang w:val="el-GR"/>
        </w:rPr>
        <w:t>σχετίζεται</w:t>
      </w:r>
      <w:r w:rsidRPr="00BD319A">
        <w:rPr>
          <w:rFonts w:cstheme="minorHAnsi"/>
          <w:sz w:val="24"/>
          <w:szCs w:val="24"/>
          <w:lang w:val="el-GR"/>
        </w:rPr>
        <w:t xml:space="preserve"> </w:t>
      </w:r>
      <w:r>
        <w:rPr>
          <w:rFonts w:cstheme="minorHAnsi"/>
          <w:sz w:val="24"/>
          <w:szCs w:val="24"/>
          <w:lang w:val="el-GR"/>
        </w:rPr>
        <w:t>με</w:t>
      </w:r>
      <w:r w:rsidR="00951842" w:rsidRPr="00951842">
        <w:rPr>
          <w:rFonts w:ascii="Calibri" w:eastAsia="Times New Roman" w:hAnsi="Calibri" w:cs="Calibri"/>
          <w:sz w:val="24"/>
          <w:szCs w:val="20"/>
          <w:lang w:val="el-GR"/>
        </w:rPr>
        <w:t xml:space="preserve"> </w:t>
      </w:r>
      <w:r w:rsidR="00951842">
        <w:rPr>
          <w:rFonts w:ascii="Calibri" w:eastAsia="Times New Roman" w:hAnsi="Calibri" w:cs="Calibri"/>
          <w:sz w:val="24"/>
          <w:szCs w:val="20"/>
          <w:lang w:val="el-GR"/>
        </w:rPr>
        <w:t>το Ασυμβίβαστο προς την ‘</w:t>
      </w:r>
      <w:proofErr w:type="spellStart"/>
      <w:r w:rsidR="00951842">
        <w:rPr>
          <w:rFonts w:ascii="Calibri" w:eastAsia="Times New Roman" w:hAnsi="Calibri" w:cs="Calibri"/>
          <w:sz w:val="24"/>
          <w:szCs w:val="20"/>
          <w:lang w:val="el-GR"/>
        </w:rPr>
        <w:t>Ασκηση</w:t>
      </w:r>
      <w:proofErr w:type="spellEnd"/>
      <w:r w:rsidR="00951842">
        <w:rPr>
          <w:rFonts w:ascii="Calibri" w:eastAsia="Times New Roman" w:hAnsi="Calibri" w:cs="Calibri"/>
          <w:sz w:val="24"/>
          <w:szCs w:val="20"/>
          <w:lang w:val="el-GR"/>
        </w:rPr>
        <w:t xml:space="preserve"> των</w:t>
      </w:r>
      <w:r w:rsidR="00951842" w:rsidRPr="00F24205">
        <w:rPr>
          <w:rFonts w:ascii="Calibri" w:eastAsia="Times New Roman" w:hAnsi="Calibri" w:cs="Calibri"/>
          <w:sz w:val="24"/>
          <w:szCs w:val="20"/>
          <w:lang w:val="el-GR"/>
        </w:rPr>
        <w:t xml:space="preserve"> </w:t>
      </w:r>
      <w:r w:rsidR="00951842">
        <w:rPr>
          <w:rFonts w:ascii="Calibri" w:eastAsia="Times New Roman" w:hAnsi="Calibri" w:cs="Calibri"/>
          <w:sz w:val="24"/>
          <w:szCs w:val="20"/>
          <w:lang w:val="el-GR"/>
        </w:rPr>
        <w:t>Καθηκόντων</w:t>
      </w:r>
      <w:r w:rsidR="00951842" w:rsidRPr="00F24205">
        <w:rPr>
          <w:rFonts w:ascii="Calibri" w:eastAsia="Times New Roman" w:hAnsi="Calibri" w:cs="Calibri"/>
          <w:sz w:val="24"/>
          <w:szCs w:val="20"/>
          <w:lang w:val="el-GR"/>
        </w:rPr>
        <w:t xml:space="preserve"> </w:t>
      </w:r>
      <w:r w:rsidR="00951842">
        <w:rPr>
          <w:rFonts w:ascii="Calibri" w:eastAsia="Times New Roman" w:hAnsi="Calibri" w:cs="Calibri"/>
          <w:sz w:val="24"/>
          <w:szCs w:val="20"/>
          <w:lang w:val="el-GR"/>
        </w:rPr>
        <w:t>Ορισμένων</w:t>
      </w:r>
      <w:r w:rsidR="00951842" w:rsidRPr="00F24205">
        <w:rPr>
          <w:rFonts w:ascii="Calibri" w:eastAsia="Times New Roman" w:hAnsi="Calibri" w:cs="Calibri"/>
          <w:sz w:val="24"/>
          <w:szCs w:val="20"/>
          <w:lang w:val="el-GR"/>
        </w:rPr>
        <w:t xml:space="preserve"> </w:t>
      </w:r>
      <w:r w:rsidR="00951842">
        <w:rPr>
          <w:rFonts w:ascii="Calibri" w:eastAsia="Times New Roman" w:hAnsi="Calibri" w:cs="Calibri"/>
          <w:sz w:val="24"/>
          <w:szCs w:val="20"/>
          <w:lang w:val="el-GR"/>
        </w:rPr>
        <w:t>Αξιωματούχων</w:t>
      </w:r>
      <w:r w:rsidR="00951842" w:rsidRPr="00F24205">
        <w:rPr>
          <w:rFonts w:ascii="Calibri" w:eastAsia="Times New Roman" w:hAnsi="Calibri" w:cs="Calibri"/>
          <w:sz w:val="24"/>
          <w:szCs w:val="20"/>
          <w:lang w:val="el-GR"/>
        </w:rPr>
        <w:t xml:space="preserve"> </w:t>
      </w:r>
      <w:r w:rsidR="00951842">
        <w:rPr>
          <w:rFonts w:ascii="Calibri" w:eastAsia="Times New Roman" w:hAnsi="Calibri" w:cs="Calibri"/>
          <w:sz w:val="24"/>
          <w:szCs w:val="20"/>
          <w:lang w:val="el-GR"/>
        </w:rPr>
        <w:t>της</w:t>
      </w:r>
      <w:r w:rsidR="00951842" w:rsidRPr="00F24205">
        <w:rPr>
          <w:rFonts w:ascii="Calibri" w:eastAsia="Times New Roman" w:hAnsi="Calibri" w:cs="Calibri"/>
          <w:sz w:val="24"/>
          <w:szCs w:val="20"/>
          <w:lang w:val="el-GR"/>
        </w:rPr>
        <w:t xml:space="preserve"> </w:t>
      </w:r>
      <w:r w:rsidR="00951842">
        <w:rPr>
          <w:rFonts w:ascii="Calibri" w:eastAsia="Times New Roman" w:hAnsi="Calibri" w:cs="Calibri"/>
          <w:sz w:val="24"/>
          <w:szCs w:val="20"/>
          <w:lang w:val="el-GR"/>
        </w:rPr>
        <w:t>Δημοκρατίας</w:t>
      </w:r>
      <w:r w:rsidR="00951842" w:rsidRPr="00F24205">
        <w:rPr>
          <w:rFonts w:ascii="Calibri" w:eastAsia="Times New Roman" w:hAnsi="Calibri" w:cs="Calibri"/>
          <w:sz w:val="24"/>
          <w:szCs w:val="20"/>
          <w:lang w:val="el-GR"/>
        </w:rPr>
        <w:t xml:space="preserve"> </w:t>
      </w:r>
      <w:r w:rsidR="00951842">
        <w:rPr>
          <w:rFonts w:ascii="Calibri" w:eastAsia="Times New Roman" w:hAnsi="Calibri" w:cs="Calibri"/>
          <w:sz w:val="24"/>
          <w:szCs w:val="20"/>
          <w:lang w:val="el-GR"/>
        </w:rPr>
        <w:t>Ορισμένων Επαγγελματικών και</w:t>
      </w:r>
      <w:r w:rsidR="00951842" w:rsidRPr="00F24205">
        <w:rPr>
          <w:rFonts w:ascii="Calibri" w:eastAsia="Times New Roman" w:hAnsi="Calibri" w:cs="Calibri"/>
          <w:sz w:val="24"/>
          <w:szCs w:val="20"/>
          <w:lang w:val="el-GR"/>
        </w:rPr>
        <w:t xml:space="preserve"> </w:t>
      </w:r>
      <w:r w:rsidR="00951842">
        <w:rPr>
          <w:rFonts w:ascii="Calibri" w:eastAsia="Times New Roman" w:hAnsi="Calibri" w:cs="Calibri"/>
          <w:sz w:val="24"/>
          <w:szCs w:val="20"/>
          <w:lang w:val="el-GR"/>
        </w:rPr>
        <w:t>Άλλων</w:t>
      </w:r>
      <w:r w:rsidR="00951842" w:rsidRPr="00F24205">
        <w:rPr>
          <w:rFonts w:ascii="Calibri" w:eastAsia="Times New Roman" w:hAnsi="Calibri" w:cs="Calibri"/>
          <w:sz w:val="24"/>
          <w:szCs w:val="20"/>
          <w:lang w:val="el-GR"/>
        </w:rPr>
        <w:t xml:space="preserve"> </w:t>
      </w:r>
      <w:r w:rsidR="00951842">
        <w:rPr>
          <w:rFonts w:ascii="Calibri" w:eastAsia="Times New Roman" w:hAnsi="Calibri" w:cs="Calibri"/>
          <w:sz w:val="24"/>
          <w:szCs w:val="20"/>
          <w:lang w:val="el-GR"/>
        </w:rPr>
        <w:t>Συναφών</w:t>
      </w:r>
      <w:r w:rsidR="00951842" w:rsidRPr="00F24205">
        <w:rPr>
          <w:rFonts w:ascii="Calibri" w:eastAsia="Times New Roman" w:hAnsi="Calibri" w:cs="Calibri"/>
          <w:sz w:val="24"/>
          <w:szCs w:val="20"/>
          <w:lang w:val="el-GR"/>
        </w:rPr>
        <w:t xml:space="preserve"> </w:t>
      </w:r>
      <w:r w:rsidR="00951842">
        <w:rPr>
          <w:rFonts w:ascii="Calibri" w:eastAsia="Times New Roman" w:hAnsi="Calibri" w:cs="Calibri"/>
          <w:sz w:val="24"/>
          <w:szCs w:val="20"/>
          <w:lang w:val="el-GR"/>
        </w:rPr>
        <w:t>Δραστηριοτήτων</w:t>
      </w:r>
      <w:r w:rsidR="00951842" w:rsidRPr="00F24205">
        <w:rPr>
          <w:rFonts w:ascii="Calibri" w:eastAsia="Times New Roman" w:hAnsi="Calibri" w:cs="Calibri"/>
          <w:sz w:val="24"/>
          <w:szCs w:val="20"/>
          <w:lang w:val="el-GR"/>
        </w:rPr>
        <w:t xml:space="preserve"> </w:t>
      </w:r>
      <w:r w:rsidR="00A5147D" w:rsidRPr="00BD319A">
        <w:rPr>
          <w:rFonts w:ascii="Calibri" w:eastAsia="Calibri" w:hAnsi="Calibri" w:cs="Calibri"/>
          <w:sz w:val="24"/>
          <w:szCs w:val="24"/>
          <w:lang w:val="el-GR"/>
        </w:rPr>
        <w:t>(</w:t>
      </w:r>
      <w:r w:rsidR="00BD319A">
        <w:rPr>
          <w:rFonts w:ascii="Calibri" w:eastAsia="Calibri" w:hAnsi="Calibri" w:cs="Calibri"/>
          <w:sz w:val="24"/>
          <w:szCs w:val="24"/>
          <w:lang w:val="el-GR"/>
        </w:rPr>
        <w:t>Άρθρο</w:t>
      </w:r>
      <w:r w:rsidR="00A5147D" w:rsidRPr="00BD319A">
        <w:rPr>
          <w:rFonts w:ascii="Calibri" w:eastAsia="Calibri" w:hAnsi="Calibri" w:cs="Calibri"/>
          <w:sz w:val="24"/>
          <w:szCs w:val="24"/>
          <w:lang w:val="el-GR"/>
        </w:rPr>
        <w:t xml:space="preserve"> 3.1, </w:t>
      </w:r>
      <w:r w:rsidR="00BD319A">
        <w:rPr>
          <w:rFonts w:ascii="Calibri" w:eastAsia="Calibri" w:hAnsi="Calibri" w:cs="Calibri"/>
          <w:sz w:val="24"/>
          <w:szCs w:val="24"/>
          <w:lang w:val="el-GR"/>
        </w:rPr>
        <w:t>Νόμος</w:t>
      </w:r>
      <w:r w:rsidR="00A5147D" w:rsidRPr="00BD319A">
        <w:rPr>
          <w:rFonts w:ascii="Calibri" w:eastAsia="Calibri" w:hAnsi="Calibri" w:cs="Calibri"/>
          <w:sz w:val="24"/>
          <w:szCs w:val="24"/>
          <w:lang w:val="el-GR"/>
        </w:rPr>
        <w:t xml:space="preserve"> 7(</w:t>
      </w:r>
      <w:r w:rsidR="00A5147D" w:rsidRPr="004E251E">
        <w:rPr>
          <w:rFonts w:ascii="Calibri" w:eastAsia="Calibri" w:hAnsi="Calibri" w:cs="Calibri"/>
          <w:sz w:val="24"/>
          <w:szCs w:val="24"/>
        </w:rPr>
        <w:t>I</w:t>
      </w:r>
      <w:r w:rsidR="00A5147D" w:rsidRPr="00BD319A">
        <w:rPr>
          <w:rFonts w:ascii="Calibri" w:eastAsia="Calibri" w:hAnsi="Calibri" w:cs="Calibri"/>
          <w:sz w:val="24"/>
          <w:szCs w:val="24"/>
          <w:lang w:val="el-GR"/>
        </w:rPr>
        <w:t xml:space="preserve">)/2008) </w:t>
      </w:r>
      <w:r w:rsidR="00951842">
        <w:rPr>
          <w:rFonts w:ascii="Calibri" w:eastAsia="Calibri" w:hAnsi="Calibri" w:cs="Calibri"/>
          <w:sz w:val="24"/>
          <w:szCs w:val="24"/>
          <w:lang w:val="el-GR"/>
        </w:rPr>
        <w:t xml:space="preserve">απαγορεύει </w:t>
      </w:r>
      <w:r w:rsidR="00BD319A">
        <w:rPr>
          <w:rFonts w:ascii="Calibri" w:eastAsia="Calibri" w:hAnsi="Calibri" w:cs="Calibri"/>
          <w:sz w:val="24"/>
          <w:szCs w:val="24"/>
          <w:lang w:val="el-GR"/>
        </w:rPr>
        <w:t>την</w:t>
      </w:r>
      <w:r w:rsidR="00BD319A" w:rsidRPr="00BD319A">
        <w:rPr>
          <w:rFonts w:ascii="Calibri" w:eastAsia="Calibri" w:hAnsi="Calibri" w:cs="Calibri"/>
          <w:sz w:val="24"/>
          <w:szCs w:val="24"/>
          <w:lang w:val="el-GR"/>
        </w:rPr>
        <w:t xml:space="preserve"> </w:t>
      </w:r>
      <w:r w:rsidR="00676FCA">
        <w:rPr>
          <w:rFonts w:cstheme="minorHAnsi"/>
          <w:sz w:val="24"/>
          <w:szCs w:val="24"/>
          <w:lang w:val="el-GR"/>
        </w:rPr>
        <w:t>υποβολή</w:t>
      </w:r>
      <w:r w:rsidR="00676FCA" w:rsidRPr="002B4B8A">
        <w:rPr>
          <w:rFonts w:cstheme="minorHAnsi"/>
          <w:sz w:val="24"/>
          <w:szCs w:val="24"/>
          <w:lang w:val="el-GR"/>
        </w:rPr>
        <w:t xml:space="preserve"> </w:t>
      </w:r>
      <w:r w:rsidR="00676FCA">
        <w:rPr>
          <w:rFonts w:cstheme="minorHAnsi"/>
          <w:sz w:val="24"/>
          <w:szCs w:val="24"/>
          <w:lang w:val="el-GR"/>
        </w:rPr>
        <w:t>προσφοράς</w:t>
      </w:r>
      <w:r w:rsidR="00676FCA" w:rsidRPr="002B4B8A">
        <w:rPr>
          <w:rFonts w:cstheme="minorHAnsi"/>
          <w:sz w:val="24"/>
          <w:szCs w:val="24"/>
          <w:lang w:val="el-GR"/>
        </w:rPr>
        <w:t xml:space="preserve"> </w:t>
      </w:r>
      <w:r w:rsidR="00676FCA">
        <w:rPr>
          <w:rFonts w:cstheme="minorHAnsi"/>
          <w:sz w:val="24"/>
          <w:szCs w:val="24"/>
          <w:lang w:val="el-GR"/>
        </w:rPr>
        <w:t>ή</w:t>
      </w:r>
      <w:r w:rsidR="00676FCA" w:rsidRPr="002B4B8A">
        <w:rPr>
          <w:rFonts w:cstheme="minorHAnsi"/>
          <w:sz w:val="24"/>
          <w:szCs w:val="24"/>
          <w:lang w:val="el-GR"/>
        </w:rPr>
        <w:t xml:space="preserve"> </w:t>
      </w:r>
      <w:r w:rsidR="00676FCA">
        <w:rPr>
          <w:rFonts w:cstheme="minorHAnsi"/>
          <w:sz w:val="24"/>
          <w:szCs w:val="24"/>
          <w:lang w:val="el-GR"/>
        </w:rPr>
        <w:t>την ανάληψη</w:t>
      </w:r>
      <w:r w:rsidR="00676FCA" w:rsidRPr="002B4B8A">
        <w:rPr>
          <w:rFonts w:cstheme="minorHAnsi"/>
          <w:sz w:val="24"/>
          <w:szCs w:val="24"/>
          <w:lang w:val="el-GR"/>
        </w:rPr>
        <w:t xml:space="preserve"> </w:t>
      </w:r>
      <w:r w:rsidR="00676FCA">
        <w:rPr>
          <w:rFonts w:cstheme="minorHAnsi"/>
          <w:sz w:val="24"/>
          <w:szCs w:val="24"/>
          <w:lang w:val="el-GR"/>
        </w:rPr>
        <w:t>οποιασδήποτε σύμβασης για</w:t>
      </w:r>
      <w:r w:rsidR="00676FCA" w:rsidRPr="002B4B8A">
        <w:rPr>
          <w:rFonts w:cstheme="minorHAnsi"/>
          <w:sz w:val="24"/>
          <w:szCs w:val="24"/>
          <w:lang w:val="el-GR"/>
        </w:rPr>
        <w:t xml:space="preserve"> </w:t>
      </w:r>
      <w:r w:rsidR="00676FCA">
        <w:rPr>
          <w:rFonts w:cstheme="minorHAnsi"/>
          <w:sz w:val="24"/>
          <w:szCs w:val="24"/>
          <w:lang w:val="el-GR"/>
        </w:rPr>
        <w:t>προμήθεια</w:t>
      </w:r>
      <w:r w:rsidR="00676FCA" w:rsidRPr="002B4B8A">
        <w:rPr>
          <w:rFonts w:cstheme="minorHAnsi"/>
          <w:sz w:val="24"/>
          <w:szCs w:val="24"/>
          <w:lang w:val="el-GR"/>
        </w:rPr>
        <w:t xml:space="preserve"> </w:t>
      </w:r>
      <w:r w:rsidR="00676FCA">
        <w:rPr>
          <w:rFonts w:cstheme="minorHAnsi"/>
          <w:sz w:val="24"/>
          <w:szCs w:val="24"/>
          <w:lang w:val="el-GR"/>
        </w:rPr>
        <w:t>έργων</w:t>
      </w:r>
      <w:r w:rsidR="00676FCA" w:rsidRPr="002B4B8A">
        <w:rPr>
          <w:rFonts w:cstheme="minorHAnsi"/>
          <w:sz w:val="24"/>
          <w:szCs w:val="24"/>
          <w:lang w:val="el-GR"/>
        </w:rPr>
        <w:t xml:space="preserve"> </w:t>
      </w:r>
      <w:r w:rsidR="00676FCA">
        <w:rPr>
          <w:rFonts w:cstheme="minorHAnsi"/>
          <w:sz w:val="24"/>
          <w:szCs w:val="24"/>
          <w:lang w:val="el-GR"/>
        </w:rPr>
        <w:t>ή</w:t>
      </w:r>
      <w:r w:rsidR="00676FCA" w:rsidRPr="002B4B8A">
        <w:rPr>
          <w:rFonts w:cstheme="minorHAnsi"/>
          <w:sz w:val="24"/>
          <w:szCs w:val="24"/>
          <w:lang w:val="el-GR"/>
        </w:rPr>
        <w:t xml:space="preserve"> </w:t>
      </w:r>
      <w:r w:rsidR="00676FCA">
        <w:rPr>
          <w:rFonts w:cstheme="minorHAnsi"/>
          <w:sz w:val="24"/>
          <w:szCs w:val="24"/>
          <w:lang w:val="el-GR"/>
        </w:rPr>
        <w:t>υπηρεσιών</w:t>
      </w:r>
      <w:r w:rsidR="00676FCA" w:rsidRPr="002B4B8A">
        <w:rPr>
          <w:rFonts w:cstheme="minorHAnsi"/>
          <w:sz w:val="24"/>
          <w:szCs w:val="24"/>
          <w:lang w:val="el-GR"/>
        </w:rPr>
        <w:t xml:space="preserve"> </w:t>
      </w:r>
      <w:r w:rsidR="00676FCA">
        <w:rPr>
          <w:rFonts w:cstheme="minorHAnsi"/>
          <w:sz w:val="24"/>
          <w:szCs w:val="24"/>
          <w:lang w:val="el-GR"/>
        </w:rPr>
        <w:t>προς το δημόσιο</w:t>
      </w:r>
      <w:r w:rsidR="00676FCA" w:rsidRPr="002B4B8A">
        <w:rPr>
          <w:rFonts w:cstheme="minorHAnsi"/>
          <w:sz w:val="24"/>
          <w:szCs w:val="24"/>
          <w:lang w:val="el-GR"/>
        </w:rPr>
        <w:t xml:space="preserve"> </w:t>
      </w:r>
      <w:r w:rsidR="00676FCA">
        <w:rPr>
          <w:rFonts w:cstheme="minorHAnsi"/>
          <w:sz w:val="24"/>
          <w:szCs w:val="24"/>
          <w:lang w:val="el-GR"/>
        </w:rPr>
        <w:t>τομέα</w:t>
      </w:r>
      <w:r w:rsidR="00676FCA" w:rsidRPr="00455CDB">
        <w:rPr>
          <w:rFonts w:cstheme="minorHAnsi"/>
          <w:sz w:val="24"/>
          <w:szCs w:val="24"/>
          <w:lang w:val="el-GR"/>
        </w:rPr>
        <w:t>,</w:t>
      </w:r>
      <w:r w:rsidR="00676FCA" w:rsidRPr="002B4B8A">
        <w:rPr>
          <w:rFonts w:cstheme="minorHAnsi"/>
          <w:sz w:val="24"/>
          <w:szCs w:val="24"/>
          <w:lang w:val="el-GR"/>
        </w:rPr>
        <w:t xml:space="preserve"> </w:t>
      </w:r>
      <w:r w:rsidR="00676FCA">
        <w:rPr>
          <w:rFonts w:cstheme="minorHAnsi"/>
          <w:sz w:val="24"/>
          <w:szCs w:val="24"/>
          <w:lang w:val="el-GR"/>
        </w:rPr>
        <w:t>σε</w:t>
      </w:r>
      <w:r w:rsidR="00676FCA" w:rsidRPr="002B4B8A">
        <w:rPr>
          <w:rFonts w:cstheme="minorHAnsi"/>
          <w:sz w:val="24"/>
          <w:szCs w:val="24"/>
          <w:lang w:val="el-GR"/>
        </w:rPr>
        <w:t xml:space="preserve"> </w:t>
      </w:r>
      <w:r w:rsidR="00676FCA">
        <w:rPr>
          <w:rFonts w:cstheme="minorHAnsi"/>
          <w:sz w:val="24"/>
          <w:szCs w:val="24"/>
          <w:lang w:val="el-GR"/>
        </w:rPr>
        <w:t>οποιαδήποτε</w:t>
      </w:r>
      <w:r w:rsidR="00676FCA" w:rsidRPr="002B4B8A">
        <w:rPr>
          <w:rFonts w:cstheme="minorHAnsi"/>
          <w:sz w:val="24"/>
          <w:szCs w:val="24"/>
          <w:lang w:val="el-GR"/>
        </w:rPr>
        <w:t xml:space="preserve"> </w:t>
      </w:r>
      <w:r w:rsidR="00676FCA">
        <w:rPr>
          <w:rFonts w:cstheme="minorHAnsi"/>
          <w:sz w:val="24"/>
          <w:szCs w:val="24"/>
          <w:lang w:val="el-GR"/>
        </w:rPr>
        <w:t>δημόσια</w:t>
      </w:r>
      <w:r w:rsidR="00676FCA" w:rsidRPr="002B4B8A">
        <w:rPr>
          <w:rFonts w:cstheme="minorHAnsi"/>
          <w:sz w:val="24"/>
          <w:szCs w:val="24"/>
          <w:lang w:val="el-GR"/>
        </w:rPr>
        <w:t xml:space="preserve"> </w:t>
      </w:r>
      <w:r w:rsidR="00676FCA">
        <w:rPr>
          <w:rFonts w:cstheme="minorHAnsi"/>
          <w:sz w:val="24"/>
          <w:szCs w:val="24"/>
          <w:lang w:val="el-GR"/>
        </w:rPr>
        <w:t>οντότητα</w:t>
      </w:r>
      <w:r w:rsidR="00676FCA" w:rsidRPr="002B4B8A">
        <w:rPr>
          <w:rFonts w:cstheme="minorHAnsi"/>
          <w:sz w:val="24"/>
          <w:szCs w:val="24"/>
          <w:lang w:val="el-GR"/>
        </w:rPr>
        <w:t xml:space="preserve"> </w:t>
      </w:r>
      <w:r w:rsidR="00676FCA">
        <w:rPr>
          <w:rFonts w:cstheme="minorHAnsi"/>
          <w:sz w:val="24"/>
          <w:szCs w:val="24"/>
          <w:lang w:val="el-GR"/>
        </w:rPr>
        <w:t>ή</w:t>
      </w:r>
      <w:r w:rsidR="00676FCA" w:rsidRPr="002B4B8A">
        <w:rPr>
          <w:rFonts w:cstheme="minorHAnsi"/>
          <w:sz w:val="24"/>
          <w:szCs w:val="24"/>
          <w:lang w:val="el-GR"/>
        </w:rPr>
        <w:t xml:space="preserve"> </w:t>
      </w:r>
      <w:r w:rsidR="00676FCA">
        <w:rPr>
          <w:rFonts w:cstheme="minorHAnsi"/>
          <w:sz w:val="24"/>
          <w:szCs w:val="24"/>
          <w:lang w:val="el-GR"/>
        </w:rPr>
        <w:t>κρατική ή</w:t>
      </w:r>
      <w:r w:rsidR="00676FCA" w:rsidRPr="002B4B8A">
        <w:rPr>
          <w:rFonts w:cstheme="minorHAnsi"/>
          <w:sz w:val="24"/>
          <w:szCs w:val="24"/>
          <w:lang w:val="el-GR"/>
        </w:rPr>
        <w:t xml:space="preserve"> </w:t>
      </w:r>
      <w:proofErr w:type="spellStart"/>
      <w:r w:rsidR="00676FCA">
        <w:rPr>
          <w:rFonts w:cstheme="minorHAnsi"/>
          <w:sz w:val="24"/>
          <w:szCs w:val="24"/>
          <w:lang w:val="el-GR"/>
        </w:rPr>
        <w:t>ημικρατική</w:t>
      </w:r>
      <w:proofErr w:type="spellEnd"/>
      <w:r w:rsidR="00676FCA" w:rsidRPr="002B4B8A">
        <w:rPr>
          <w:rFonts w:cstheme="minorHAnsi"/>
          <w:sz w:val="24"/>
          <w:szCs w:val="24"/>
          <w:lang w:val="el-GR"/>
        </w:rPr>
        <w:t xml:space="preserve"> </w:t>
      </w:r>
      <w:r w:rsidR="00676FCA">
        <w:rPr>
          <w:rFonts w:cstheme="minorHAnsi"/>
          <w:sz w:val="24"/>
          <w:szCs w:val="24"/>
          <w:lang w:val="el-GR"/>
        </w:rPr>
        <w:t xml:space="preserve">εταιρεία </w:t>
      </w:r>
      <w:r w:rsidR="00676FCA" w:rsidRPr="00455CDB">
        <w:rPr>
          <w:rFonts w:cstheme="minorHAnsi"/>
          <w:sz w:val="24"/>
          <w:szCs w:val="24"/>
          <w:lang w:val="el-GR"/>
        </w:rPr>
        <w:t>από τον ίδιο τον αξιωματούχο ατομικά ή από εταιρεία, συνεταιρισμό, επιχείρηση ή κοινοπραξία, στην οποία συμμετέχει είτε ως απλός μέτοχος είτε ως μέλος του διοικητικού συμβουλίου με οποιαδήποτε ιδιότητα, είτε ως νομικός</w:t>
      </w:r>
      <w:r w:rsidR="00676FCA">
        <w:rPr>
          <w:rFonts w:cstheme="minorHAnsi"/>
          <w:sz w:val="24"/>
          <w:szCs w:val="24"/>
          <w:lang w:val="el-GR"/>
        </w:rPr>
        <w:t xml:space="preserve"> τους</w:t>
      </w:r>
      <w:r w:rsidR="00676FCA" w:rsidRPr="00455CDB">
        <w:rPr>
          <w:rFonts w:cstheme="minorHAnsi"/>
          <w:sz w:val="24"/>
          <w:szCs w:val="24"/>
          <w:lang w:val="el-GR"/>
        </w:rPr>
        <w:t xml:space="preserve"> σύμβου</w:t>
      </w:r>
      <w:r w:rsidR="00676FCA">
        <w:rPr>
          <w:rFonts w:cstheme="minorHAnsi"/>
          <w:sz w:val="24"/>
          <w:szCs w:val="24"/>
          <w:lang w:val="el-GR"/>
        </w:rPr>
        <w:t>λος</w:t>
      </w:r>
      <w:r w:rsidR="00676FCA">
        <w:rPr>
          <w:rFonts w:eastAsia="Calibri" w:cstheme="minorHAnsi"/>
          <w:sz w:val="24"/>
          <w:szCs w:val="24"/>
          <w:lang w:val="el-GR"/>
        </w:rPr>
        <w:t>, την ιδιότητα</w:t>
      </w:r>
      <w:r w:rsidR="00591E7D">
        <w:rPr>
          <w:rFonts w:eastAsia="Calibri" w:cstheme="minorHAnsi"/>
          <w:sz w:val="24"/>
          <w:szCs w:val="24"/>
          <w:lang w:val="el-GR"/>
        </w:rPr>
        <w:t xml:space="preserve"> </w:t>
      </w:r>
      <w:r w:rsidR="00676FCA">
        <w:rPr>
          <w:rFonts w:eastAsia="Calibri" w:cstheme="minorHAnsi"/>
          <w:sz w:val="24"/>
          <w:szCs w:val="24"/>
          <w:lang w:val="el-GR"/>
        </w:rPr>
        <w:t xml:space="preserve">του διοικητικού συμβούλου </w:t>
      </w:r>
      <w:r w:rsidR="00591E7D">
        <w:rPr>
          <w:rFonts w:eastAsia="Calibri" w:cstheme="minorHAnsi"/>
          <w:sz w:val="24"/>
          <w:szCs w:val="24"/>
          <w:lang w:val="el-GR"/>
        </w:rPr>
        <w:t>ή μέλο</w:t>
      </w:r>
      <w:r w:rsidR="00676FCA">
        <w:rPr>
          <w:rFonts w:eastAsia="Calibri" w:cstheme="minorHAnsi"/>
          <w:sz w:val="24"/>
          <w:szCs w:val="24"/>
          <w:lang w:val="el-GR"/>
        </w:rPr>
        <w:t>υ</w:t>
      </w:r>
      <w:r w:rsidR="00591E7D">
        <w:rPr>
          <w:rFonts w:eastAsia="Calibri" w:cstheme="minorHAnsi"/>
          <w:sz w:val="24"/>
          <w:szCs w:val="24"/>
          <w:lang w:val="el-GR"/>
        </w:rPr>
        <w:t>ς του διοικητικού συμβουλίου</w:t>
      </w:r>
      <w:r w:rsidR="00A5147D" w:rsidRPr="00BD319A">
        <w:rPr>
          <w:rFonts w:eastAsia="Calibri" w:cstheme="minorHAnsi"/>
          <w:sz w:val="24"/>
          <w:szCs w:val="24"/>
          <w:lang w:val="el-GR"/>
        </w:rPr>
        <w:t xml:space="preserve"> </w:t>
      </w:r>
      <w:r w:rsidR="00591E7D">
        <w:rPr>
          <w:rFonts w:eastAsia="Calibri" w:cstheme="minorHAnsi"/>
          <w:sz w:val="24"/>
          <w:szCs w:val="24"/>
          <w:lang w:val="el-GR"/>
        </w:rPr>
        <w:t>δημόσιας οντότητας</w:t>
      </w:r>
      <w:r w:rsidR="00A5147D" w:rsidRPr="00BD319A">
        <w:rPr>
          <w:rFonts w:eastAsia="Calibri" w:cstheme="minorHAnsi"/>
          <w:sz w:val="24"/>
          <w:szCs w:val="24"/>
          <w:lang w:val="el-GR"/>
        </w:rPr>
        <w:t xml:space="preserve">.  </w:t>
      </w:r>
      <w:r w:rsidR="00591E7D">
        <w:rPr>
          <w:rFonts w:eastAsia="Calibri" w:cstheme="minorHAnsi"/>
          <w:sz w:val="24"/>
          <w:szCs w:val="24"/>
          <w:lang w:val="el-GR"/>
        </w:rPr>
        <w:t>Ο</w:t>
      </w:r>
      <w:r w:rsidR="00591E7D" w:rsidRPr="00591E7D">
        <w:rPr>
          <w:rFonts w:eastAsia="Calibri" w:cstheme="minorHAnsi"/>
          <w:sz w:val="24"/>
          <w:szCs w:val="24"/>
          <w:lang w:val="el-GR"/>
        </w:rPr>
        <w:t xml:space="preserve"> </w:t>
      </w:r>
      <w:r w:rsidR="00591E7D">
        <w:rPr>
          <w:rFonts w:eastAsia="Calibri" w:cstheme="minorHAnsi"/>
          <w:sz w:val="24"/>
          <w:szCs w:val="24"/>
          <w:lang w:val="el-GR"/>
        </w:rPr>
        <w:t>κάτοχος</w:t>
      </w:r>
      <w:r w:rsidR="00591E7D" w:rsidRPr="00591E7D">
        <w:rPr>
          <w:rFonts w:eastAsia="Calibri" w:cstheme="minorHAnsi"/>
          <w:sz w:val="24"/>
          <w:szCs w:val="24"/>
          <w:lang w:val="el-GR"/>
        </w:rPr>
        <w:t xml:space="preserve"> </w:t>
      </w:r>
      <w:r w:rsidR="00591E7D">
        <w:rPr>
          <w:rFonts w:eastAsia="Calibri" w:cstheme="minorHAnsi"/>
          <w:sz w:val="24"/>
          <w:szCs w:val="24"/>
          <w:lang w:val="el-GR"/>
        </w:rPr>
        <w:t>του</w:t>
      </w:r>
      <w:r w:rsidR="00591E7D" w:rsidRPr="00591E7D">
        <w:rPr>
          <w:rFonts w:eastAsia="Calibri" w:cstheme="minorHAnsi"/>
          <w:sz w:val="24"/>
          <w:szCs w:val="24"/>
          <w:lang w:val="el-GR"/>
        </w:rPr>
        <w:t xml:space="preserve"> </w:t>
      </w:r>
      <w:r w:rsidR="00591E7D">
        <w:rPr>
          <w:rFonts w:eastAsia="Calibri" w:cstheme="minorHAnsi"/>
          <w:sz w:val="24"/>
          <w:szCs w:val="24"/>
          <w:lang w:val="el-GR"/>
        </w:rPr>
        <w:t>αξιώματος</w:t>
      </w:r>
      <w:r w:rsidR="00A5147D" w:rsidRPr="00591E7D">
        <w:rPr>
          <w:rFonts w:eastAsia="Calibri" w:cstheme="minorHAnsi"/>
          <w:sz w:val="24"/>
          <w:szCs w:val="24"/>
          <w:lang w:val="el-GR"/>
        </w:rPr>
        <w:t xml:space="preserve"> </w:t>
      </w:r>
      <w:r w:rsidR="00591E7D">
        <w:rPr>
          <w:rFonts w:eastAsia="Calibri" w:cstheme="minorHAnsi"/>
          <w:sz w:val="24"/>
          <w:szCs w:val="24"/>
          <w:lang w:val="el-GR"/>
        </w:rPr>
        <w:t>δεν</w:t>
      </w:r>
      <w:r w:rsidR="00591E7D" w:rsidRPr="00591E7D">
        <w:rPr>
          <w:rFonts w:eastAsia="Calibri" w:cstheme="minorHAnsi"/>
          <w:sz w:val="24"/>
          <w:szCs w:val="24"/>
          <w:lang w:val="el-GR"/>
        </w:rPr>
        <w:t xml:space="preserve"> </w:t>
      </w:r>
      <w:r w:rsidR="00591E7D">
        <w:rPr>
          <w:rFonts w:eastAsia="Calibri" w:cstheme="minorHAnsi"/>
          <w:sz w:val="24"/>
          <w:szCs w:val="24"/>
          <w:lang w:val="el-GR"/>
        </w:rPr>
        <w:t>μπορεί</w:t>
      </w:r>
      <w:r w:rsidR="00591E7D" w:rsidRPr="00591E7D">
        <w:rPr>
          <w:rFonts w:eastAsia="Calibri" w:cstheme="minorHAnsi"/>
          <w:sz w:val="24"/>
          <w:szCs w:val="24"/>
          <w:lang w:val="el-GR"/>
        </w:rPr>
        <w:t xml:space="preserve"> </w:t>
      </w:r>
      <w:r w:rsidR="00591E7D">
        <w:rPr>
          <w:rFonts w:eastAsia="Calibri" w:cstheme="minorHAnsi"/>
          <w:sz w:val="24"/>
          <w:szCs w:val="24"/>
          <w:lang w:val="el-GR"/>
        </w:rPr>
        <w:t>επίσης</w:t>
      </w:r>
      <w:r w:rsidR="00591E7D" w:rsidRPr="00591E7D">
        <w:rPr>
          <w:rFonts w:eastAsia="Calibri" w:cstheme="minorHAnsi"/>
          <w:sz w:val="24"/>
          <w:szCs w:val="24"/>
          <w:lang w:val="el-GR"/>
        </w:rPr>
        <w:t xml:space="preserve"> </w:t>
      </w:r>
      <w:r w:rsidR="00591E7D">
        <w:rPr>
          <w:rFonts w:eastAsia="Calibri" w:cstheme="minorHAnsi"/>
          <w:sz w:val="24"/>
          <w:szCs w:val="24"/>
          <w:lang w:val="el-GR"/>
        </w:rPr>
        <w:t>να</w:t>
      </w:r>
      <w:r w:rsidR="00591E7D" w:rsidRPr="00591E7D">
        <w:rPr>
          <w:rFonts w:eastAsia="Calibri" w:cstheme="minorHAnsi"/>
          <w:sz w:val="24"/>
          <w:szCs w:val="24"/>
          <w:lang w:val="el-GR"/>
        </w:rPr>
        <w:t xml:space="preserve"> </w:t>
      </w:r>
      <w:r w:rsidR="00591E7D">
        <w:rPr>
          <w:rFonts w:eastAsia="Calibri" w:cstheme="minorHAnsi"/>
          <w:sz w:val="24"/>
          <w:szCs w:val="24"/>
          <w:lang w:val="el-GR"/>
        </w:rPr>
        <w:t>αναλάβει</w:t>
      </w:r>
      <w:r w:rsidR="00591E7D" w:rsidRPr="00591E7D">
        <w:rPr>
          <w:rFonts w:eastAsia="Calibri" w:cstheme="minorHAnsi"/>
          <w:sz w:val="24"/>
          <w:szCs w:val="24"/>
          <w:lang w:val="el-GR"/>
        </w:rPr>
        <w:t xml:space="preserve"> </w:t>
      </w:r>
      <w:r w:rsidR="00591E7D">
        <w:rPr>
          <w:rFonts w:eastAsia="Calibri" w:cstheme="minorHAnsi"/>
          <w:sz w:val="24"/>
          <w:szCs w:val="24"/>
          <w:lang w:val="el-GR"/>
        </w:rPr>
        <w:t>την</w:t>
      </w:r>
      <w:r w:rsidR="00591E7D" w:rsidRPr="00591E7D">
        <w:rPr>
          <w:rFonts w:eastAsia="Calibri" w:cstheme="minorHAnsi"/>
          <w:sz w:val="24"/>
          <w:szCs w:val="24"/>
          <w:lang w:val="el-GR"/>
        </w:rPr>
        <w:t xml:space="preserve"> </w:t>
      </w:r>
      <w:r w:rsidR="00676FCA">
        <w:rPr>
          <w:rFonts w:eastAsia="Calibri" w:cstheme="minorHAnsi"/>
          <w:sz w:val="24"/>
          <w:szCs w:val="24"/>
          <w:lang w:val="el-GR"/>
        </w:rPr>
        <w:t xml:space="preserve">ιδιότητα </w:t>
      </w:r>
      <w:r w:rsidR="00676FCA">
        <w:rPr>
          <w:rFonts w:cstheme="minorHAnsi"/>
          <w:sz w:val="24"/>
          <w:szCs w:val="24"/>
          <w:lang w:val="el-GR"/>
        </w:rPr>
        <w:t>μέλους</w:t>
      </w:r>
      <w:r w:rsidR="00676FCA" w:rsidRPr="00FA2C5A">
        <w:rPr>
          <w:rFonts w:cstheme="minorHAnsi"/>
          <w:sz w:val="24"/>
          <w:szCs w:val="24"/>
          <w:lang w:val="el-GR"/>
        </w:rPr>
        <w:t xml:space="preserve"> </w:t>
      </w:r>
      <w:r w:rsidR="00676FCA">
        <w:rPr>
          <w:rFonts w:cstheme="minorHAnsi"/>
          <w:sz w:val="24"/>
          <w:szCs w:val="24"/>
          <w:lang w:val="el-GR"/>
        </w:rPr>
        <w:t>του</w:t>
      </w:r>
      <w:r w:rsidR="00676FCA" w:rsidRPr="00FA2C5A">
        <w:rPr>
          <w:rFonts w:cstheme="minorHAnsi"/>
          <w:sz w:val="24"/>
          <w:szCs w:val="24"/>
          <w:lang w:val="el-GR"/>
        </w:rPr>
        <w:t xml:space="preserve"> </w:t>
      </w:r>
      <w:r w:rsidR="00676FCA">
        <w:rPr>
          <w:rFonts w:cstheme="minorHAnsi"/>
          <w:sz w:val="24"/>
          <w:szCs w:val="24"/>
          <w:lang w:val="el-GR"/>
        </w:rPr>
        <w:t>διοικητικού</w:t>
      </w:r>
      <w:r w:rsidR="00676FCA" w:rsidRPr="00FA2C5A">
        <w:rPr>
          <w:rFonts w:cstheme="minorHAnsi"/>
          <w:sz w:val="24"/>
          <w:szCs w:val="24"/>
          <w:lang w:val="el-GR"/>
        </w:rPr>
        <w:t xml:space="preserve"> </w:t>
      </w:r>
      <w:r w:rsidR="00676FCA">
        <w:rPr>
          <w:rFonts w:cstheme="minorHAnsi"/>
          <w:sz w:val="24"/>
          <w:szCs w:val="24"/>
          <w:lang w:val="el-GR"/>
        </w:rPr>
        <w:t>συμβουλίου</w:t>
      </w:r>
      <w:r w:rsidR="00676FCA" w:rsidRPr="00FA2C5A">
        <w:rPr>
          <w:rFonts w:cstheme="minorHAnsi"/>
          <w:sz w:val="24"/>
          <w:szCs w:val="24"/>
          <w:lang w:val="el-GR"/>
        </w:rPr>
        <w:t xml:space="preserve"> </w:t>
      </w:r>
      <w:r w:rsidR="00676FCA">
        <w:rPr>
          <w:rFonts w:cstheme="minorHAnsi"/>
          <w:sz w:val="24"/>
          <w:szCs w:val="24"/>
          <w:lang w:val="el-GR"/>
        </w:rPr>
        <w:t>ή</w:t>
      </w:r>
      <w:r w:rsidR="00676FCA" w:rsidRPr="00FA2C5A">
        <w:rPr>
          <w:rFonts w:cstheme="minorHAnsi"/>
          <w:sz w:val="24"/>
          <w:szCs w:val="24"/>
          <w:lang w:val="el-GR"/>
        </w:rPr>
        <w:t xml:space="preserve"> </w:t>
      </w:r>
      <w:r w:rsidR="00676FCA">
        <w:rPr>
          <w:rFonts w:cstheme="minorHAnsi"/>
          <w:sz w:val="24"/>
          <w:szCs w:val="24"/>
          <w:lang w:val="el-GR"/>
        </w:rPr>
        <w:t>διευθυντή</w:t>
      </w:r>
      <w:r w:rsidR="00676FCA" w:rsidRPr="00FA2C5A">
        <w:rPr>
          <w:rFonts w:cstheme="minorHAnsi"/>
          <w:sz w:val="24"/>
          <w:szCs w:val="24"/>
          <w:lang w:val="el-GR"/>
        </w:rPr>
        <w:t xml:space="preserve"> </w:t>
      </w:r>
      <w:r w:rsidR="00676FCA">
        <w:rPr>
          <w:rFonts w:cstheme="minorHAnsi"/>
          <w:sz w:val="24"/>
          <w:szCs w:val="24"/>
          <w:lang w:val="el-GR"/>
        </w:rPr>
        <w:t>ιδιωτικής</w:t>
      </w:r>
      <w:r w:rsidR="00676FCA" w:rsidRPr="00FA2C5A">
        <w:rPr>
          <w:rFonts w:cstheme="minorHAnsi"/>
          <w:sz w:val="24"/>
          <w:szCs w:val="24"/>
          <w:lang w:val="el-GR"/>
        </w:rPr>
        <w:t xml:space="preserve"> </w:t>
      </w:r>
      <w:r w:rsidR="00676FCA">
        <w:rPr>
          <w:rFonts w:cstheme="minorHAnsi"/>
          <w:sz w:val="24"/>
          <w:szCs w:val="24"/>
          <w:lang w:val="el-GR"/>
        </w:rPr>
        <w:t>εταιρείας</w:t>
      </w:r>
      <w:r w:rsidR="00676FCA" w:rsidRPr="00FA2C5A">
        <w:rPr>
          <w:rFonts w:cstheme="minorHAnsi"/>
          <w:sz w:val="24"/>
          <w:szCs w:val="24"/>
          <w:lang w:val="el-GR"/>
        </w:rPr>
        <w:t xml:space="preserve"> </w:t>
      </w:r>
      <w:r w:rsidR="00676FCA">
        <w:rPr>
          <w:rFonts w:cstheme="minorHAnsi"/>
          <w:sz w:val="24"/>
          <w:szCs w:val="24"/>
          <w:lang w:val="el-GR"/>
        </w:rPr>
        <w:t>ή</w:t>
      </w:r>
      <w:r w:rsidR="00676FCA" w:rsidRPr="00FA2C5A">
        <w:rPr>
          <w:rFonts w:cstheme="minorHAnsi"/>
          <w:sz w:val="24"/>
          <w:szCs w:val="24"/>
          <w:lang w:val="el-GR"/>
        </w:rPr>
        <w:t xml:space="preserve"> </w:t>
      </w:r>
      <w:r w:rsidR="008D35D6">
        <w:rPr>
          <w:rFonts w:cstheme="minorHAnsi"/>
          <w:sz w:val="24"/>
          <w:szCs w:val="24"/>
          <w:lang w:val="el-GR"/>
        </w:rPr>
        <w:t>τ</w:t>
      </w:r>
      <w:r w:rsidR="00676FCA">
        <w:rPr>
          <w:rFonts w:cstheme="minorHAnsi"/>
          <w:sz w:val="24"/>
          <w:szCs w:val="24"/>
          <w:lang w:val="el-GR"/>
        </w:rPr>
        <w:t>η</w:t>
      </w:r>
      <w:r w:rsidR="008D35D6">
        <w:rPr>
          <w:rFonts w:cstheme="minorHAnsi"/>
          <w:sz w:val="24"/>
          <w:szCs w:val="24"/>
          <w:lang w:val="el-GR"/>
        </w:rPr>
        <w:t>ν</w:t>
      </w:r>
      <w:r w:rsidR="00676FCA" w:rsidRPr="00FA2C5A">
        <w:rPr>
          <w:rFonts w:cstheme="minorHAnsi"/>
          <w:sz w:val="24"/>
          <w:szCs w:val="24"/>
          <w:lang w:val="el-GR"/>
        </w:rPr>
        <w:t xml:space="preserve"> </w:t>
      </w:r>
      <w:r w:rsidR="00676FCA">
        <w:rPr>
          <w:rFonts w:cstheme="minorHAnsi"/>
          <w:sz w:val="24"/>
          <w:szCs w:val="24"/>
          <w:lang w:val="el-GR"/>
        </w:rPr>
        <w:t>ιδιότητα μέλους</w:t>
      </w:r>
      <w:r w:rsidR="00676FCA" w:rsidRPr="00FA2C5A">
        <w:rPr>
          <w:rFonts w:cstheme="minorHAnsi"/>
          <w:sz w:val="24"/>
          <w:szCs w:val="24"/>
          <w:lang w:val="el-GR"/>
        </w:rPr>
        <w:t xml:space="preserve"> </w:t>
      </w:r>
      <w:r w:rsidR="00676FCA">
        <w:rPr>
          <w:rFonts w:cstheme="minorHAnsi"/>
          <w:sz w:val="24"/>
          <w:szCs w:val="24"/>
          <w:lang w:val="el-GR"/>
        </w:rPr>
        <w:t>διοικητικού</w:t>
      </w:r>
      <w:r w:rsidR="00676FCA" w:rsidRPr="00FA2C5A">
        <w:rPr>
          <w:rFonts w:cstheme="minorHAnsi"/>
          <w:sz w:val="24"/>
          <w:szCs w:val="24"/>
          <w:lang w:val="el-GR"/>
        </w:rPr>
        <w:t xml:space="preserve"> </w:t>
      </w:r>
      <w:r w:rsidR="00676FCA">
        <w:rPr>
          <w:rFonts w:cstheme="minorHAnsi"/>
          <w:sz w:val="24"/>
          <w:szCs w:val="24"/>
          <w:lang w:val="el-GR"/>
        </w:rPr>
        <w:t>συμβουλίου</w:t>
      </w:r>
      <w:r w:rsidR="00676FCA" w:rsidRPr="00FA2C5A">
        <w:rPr>
          <w:rFonts w:cstheme="minorHAnsi"/>
          <w:sz w:val="24"/>
          <w:szCs w:val="24"/>
          <w:lang w:val="el-GR"/>
        </w:rPr>
        <w:t xml:space="preserve"> </w:t>
      </w:r>
      <w:r w:rsidR="00676FCA">
        <w:rPr>
          <w:rFonts w:cstheme="minorHAnsi"/>
          <w:sz w:val="24"/>
          <w:szCs w:val="24"/>
          <w:lang w:val="el-GR"/>
        </w:rPr>
        <w:t xml:space="preserve">ή διευθυντή </w:t>
      </w:r>
      <w:proofErr w:type="spellStart"/>
      <w:r w:rsidR="00676FCA">
        <w:rPr>
          <w:rFonts w:cstheme="minorHAnsi"/>
          <w:sz w:val="24"/>
          <w:szCs w:val="24"/>
          <w:lang w:val="el-GR"/>
        </w:rPr>
        <w:t>ημικρατικού</w:t>
      </w:r>
      <w:proofErr w:type="spellEnd"/>
      <w:r w:rsidR="00676FCA">
        <w:rPr>
          <w:rFonts w:cstheme="minorHAnsi"/>
          <w:sz w:val="24"/>
          <w:szCs w:val="24"/>
          <w:lang w:val="el-GR"/>
        </w:rPr>
        <w:t xml:space="preserve"> οργανισμού,</w:t>
      </w:r>
      <w:r w:rsidR="00676FCA" w:rsidRPr="00FA2C5A">
        <w:rPr>
          <w:rFonts w:cstheme="minorHAnsi"/>
          <w:sz w:val="24"/>
          <w:szCs w:val="24"/>
          <w:lang w:val="el-GR"/>
        </w:rPr>
        <w:t xml:space="preserve"> </w:t>
      </w:r>
      <w:r w:rsidR="00676FCA">
        <w:rPr>
          <w:rFonts w:cstheme="minorHAnsi"/>
          <w:sz w:val="24"/>
          <w:szCs w:val="24"/>
          <w:lang w:val="el-GR"/>
        </w:rPr>
        <w:t>που ασχολείται με την ηλεκτρονικά ή έντυπα μέσα  ενημέρωσης</w:t>
      </w:r>
      <w:r w:rsidR="00A5147D" w:rsidRPr="00591E7D">
        <w:rPr>
          <w:rFonts w:eastAsia="Calibri" w:cstheme="minorHAnsi"/>
          <w:sz w:val="24"/>
          <w:szCs w:val="24"/>
          <w:lang w:val="el-GR"/>
        </w:rPr>
        <w:t>.</w:t>
      </w:r>
    </w:p>
    <w:bookmarkEnd w:id="119"/>
    <w:p w14:paraId="1794C1C3" w14:textId="77777777" w:rsidR="00A5147D" w:rsidRPr="00591E7D" w:rsidRDefault="00A5147D" w:rsidP="00A5147D">
      <w:pPr>
        <w:rPr>
          <w:rFonts w:cstheme="minorHAnsi"/>
          <w:sz w:val="24"/>
          <w:szCs w:val="24"/>
          <w:lang w:val="el-GR"/>
        </w:rPr>
      </w:pPr>
    </w:p>
    <w:p w14:paraId="40DA14DB" w14:textId="2A8C5296" w:rsidR="00A5147D" w:rsidRPr="004E251E" w:rsidRDefault="00591E7D" w:rsidP="00A5147D">
      <w:pPr>
        <w:pStyle w:val="Heading3"/>
        <w:spacing w:before="0"/>
        <w:rPr>
          <w:rFonts w:asciiTheme="minorHAnsi" w:hAnsiTheme="minorHAnsi" w:cstheme="minorHAnsi"/>
          <w:b w:val="0"/>
          <w:bCs w:val="0"/>
          <w:i/>
          <w:iCs/>
          <w:color w:val="auto"/>
          <w:sz w:val="24"/>
          <w:szCs w:val="24"/>
        </w:rPr>
      </w:pPr>
      <w:bookmarkStart w:id="120" w:name="_Toc342554255"/>
      <w:bookmarkStart w:id="121" w:name="_Toc342640930"/>
      <w:bookmarkStart w:id="122" w:name="_Toc479580438"/>
      <w:bookmarkStart w:id="123" w:name="_Toc117264357"/>
      <w:bookmarkStart w:id="124" w:name="_Toc136879355"/>
      <w:bookmarkStart w:id="125" w:name="_Toc342554259"/>
      <w:bookmarkStart w:id="126" w:name="_Toc342640934"/>
      <w:bookmarkStart w:id="127" w:name="_Toc342554258"/>
      <w:bookmarkStart w:id="128" w:name="_Toc342640933"/>
      <w:r>
        <w:rPr>
          <w:rFonts w:asciiTheme="minorHAnsi" w:hAnsiTheme="minorHAnsi" w:cstheme="minorHAnsi"/>
          <w:b w:val="0"/>
          <w:bCs w:val="0"/>
          <w:i/>
          <w:iCs/>
          <w:color w:val="auto"/>
          <w:sz w:val="24"/>
          <w:szCs w:val="24"/>
          <w:lang w:val="el-GR"/>
        </w:rPr>
        <w:t>Δώρα</w:t>
      </w:r>
      <w:bookmarkEnd w:id="120"/>
      <w:bookmarkEnd w:id="121"/>
      <w:bookmarkEnd w:id="122"/>
      <w:bookmarkEnd w:id="123"/>
      <w:bookmarkEnd w:id="124"/>
      <w:r w:rsidR="00A5147D" w:rsidRPr="004E251E">
        <w:rPr>
          <w:rFonts w:asciiTheme="minorHAnsi" w:hAnsiTheme="minorHAnsi" w:cstheme="minorHAnsi"/>
          <w:b w:val="0"/>
          <w:bCs w:val="0"/>
          <w:i/>
          <w:iCs/>
          <w:color w:val="auto"/>
          <w:sz w:val="24"/>
          <w:szCs w:val="24"/>
        </w:rPr>
        <w:t xml:space="preserve"> </w:t>
      </w:r>
      <w:bookmarkEnd w:id="125"/>
      <w:bookmarkEnd w:id="126"/>
    </w:p>
    <w:p w14:paraId="095EE62F" w14:textId="77777777" w:rsidR="00A5147D" w:rsidRPr="004E251E" w:rsidRDefault="00A5147D" w:rsidP="00A5147D">
      <w:pPr>
        <w:keepNext/>
        <w:contextualSpacing/>
        <w:rPr>
          <w:rFonts w:eastAsia="Calibri" w:cstheme="minorHAnsi"/>
          <w:sz w:val="24"/>
          <w:szCs w:val="24"/>
        </w:rPr>
      </w:pPr>
    </w:p>
    <w:p w14:paraId="18B15DA3" w14:textId="0184AC88" w:rsidR="00A5147D" w:rsidRPr="00591E7D" w:rsidRDefault="00591E7D" w:rsidP="00A5147D">
      <w:pPr>
        <w:keepNext/>
        <w:numPr>
          <w:ilvl w:val="0"/>
          <w:numId w:val="1"/>
        </w:numPr>
        <w:tabs>
          <w:tab w:val="clear" w:pos="6095"/>
          <w:tab w:val="left" w:pos="709"/>
        </w:tabs>
        <w:ind w:left="0" w:firstLine="0"/>
        <w:contextualSpacing/>
        <w:rPr>
          <w:rFonts w:eastAsia="Calibri" w:cstheme="minorHAnsi"/>
          <w:sz w:val="24"/>
          <w:szCs w:val="24"/>
          <w:lang w:val="el-GR"/>
        </w:rPr>
      </w:pPr>
      <w:r>
        <w:rPr>
          <w:rFonts w:eastAsia="Calibri" w:cstheme="minorHAnsi"/>
          <w:sz w:val="24"/>
          <w:szCs w:val="24"/>
          <w:lang w:val="el-GR"/>
        </w:rPr>
        <w:t>Σύμφωνα</w:t>
      </w:r>
      <w:r w:rsidRPr="00591E7D">
        <w:rPr>
          <w:rFonts w:eastAsia="Calibri" w:cstheme="minorHAnsi"/>
          <w:sz w:val="24"/>
          <w:szCs w:val="24"/>
          <w:lang w:val="el-GR"/>
        </w:rPr>
        <w:t xml:space="preserve"> </w:t>
      </w:r>
      <w:r>
        <w:rPr>
          <w:rFonts w:eastAsia="Calibri" w:cstheme="minorHAnsi"/>
          <w:sz w:val="24"/>
          <w:szCs w:val="24"/>
          <w:lang w:val="el-GR"/>
        </w:rPr>
        <w:t>με</w:t>
      </w:r>
      <w:r w:rsidRPr="00591E7D">
        <w:rPr>
          <w:rFonts w:eastAsia="Calibri" w:cstheme="minorHAnsi"/>
          <w:sz w:val="24"/>
          <w:szCs w:val="24"/>
          <w:lang w:val="el-GR"/>
        </w:rPr>
        <w:t xml:space="preserve"> </w:t>
      </w:r>
      <w:r>
        <w:rPr>
          <w:rFonts w:eastAsia="Calibri" w:cstheme="minorHAnsi"/>
          <w:sz w:val="24"/>
          <w:szCs w:val="24"/>
          <w:lang w:val="el-GR"/>
        </w:rPr>
        <w:t>τ</w:t>
      </w:r>
      <w:r w:rsidR="00676FCA">
        <w:rPr>
          <w:rFonts w:eastAsia="Calibri" w:cstheme="minorHAnsi"/>
          <w:sz w:val="24"/>
          <w:szCs w:val="24"/>
          <w:lang w:val="el-GR"/>
        </w:rPr>
        <w:t>ην</w:t>
      </w:r>
      <w:r w:rsidRPr="00591E7D">
        <w:rPr>
          <w:rFonts w:eastAsia="Calibri" w:cstheme="minorHAnsi"/>
          <w:sz w:val="24"/>
          <w:szCs w:val="24"/>
          <w:lang w:val="el-GR"/>
        </w:rPr>
        <w:t xml:space="preserve"> </w:t>
      </w:r>
      <w:r>
        <w:rPr>
          <w:rFonts w:eastAsia="Calibri" w:cstheme="minorHAnsi"/>
          <w:sz w:val="24"/>
          <w:szCs w:val="24"/>
          <w:lang w:val="el-GR"/>
        </w:rPr>
        <w:t>Χάρτ</w:t>
      </w:r>
      <w:r w:rsidR="00676FCA">
        <w:rPr>
          <w:rFonts w:eastAsia="Calibri" w:cstheme="minorHAnsi"/>
          <w:sz w:val="24"/>
          <w:szCs w:val="24"/>
          <w:lang w:val="el-GR"/>
        </w:rPr>
        <w:t>α Δεοντολογίας</w:t>
      </w:r>
      <w:r w:rsidR="00A5147D" w:rsidRPr="00591E7D">
        <w:rPr>
          <w:rFonts w:eastAsia="Calibri" w:cstheme="minorHAnsi"/>
          <w:sz w:val="24"/>
          <w:szCs w:val="24"/>
          <w:lang w:val="el-GR"/>
        </w:rPr>
        <w:t xml:space="preserve">, </w:t>
      </w:r>
      <w:r w:rsidR="00676FCA">
        <w:rPr>
          <w:rFonts w:eastAsia="Calibri" w:cstheme="minorHAnsi"/>
          <w:sz w:val="24"/>
          <w:szCs w:val="24"/>
          <w:lang w:val="el-GR"/>
        </w:rPr>
        <w:t xml:space="preserve">τα </w:t>
      </w:r>
      <w:r>
        <w:rPr>
          <w:rFonts w:eastAsia="Calibri" w:cstheme="minorHAnsi"/>
          <w:sz w:val="24"/>
          <w:szCs w:val="24"/>
          <w:lang w:val="el-GR"/>
        </w:rPr>
        <w:t>μέλη</w:t>
      </w:r>
      <w:r w:rsidRPr="00591E7D">
        <w:rPr>
          <w:rFonts w:eastAsia="Calibri" w:cstheme="minorHAnsi"/>
          <w:sz w:val="24"/>
          <w:szCs w:val="24"/>
          <w:lang w:val="el-GR"/>
        </w:rPr>
        <w:t xml:space="preserve"> </w:t>
      </w:r>
      <w:r w:rsidR="00676FCA">
        <w:rPr>
          <w:rFonts w:eastAsia="Calibri" w:cstheme="minorHAnsi"/>
          <w:sz w:val="24"/>
          <w:szCs w:val="24"/>
          <w:lang w:val="el-GR"/>
        </w:rPr>
        <w:t xml:space="preserve">της </w:t>
      </w:r>
      <w:r>
        <w:rPr>
          <w:rFonts w:eastAsia="Calibri" w:cstheme="minorHAnsi"/>
          <w:sz w:val="24"/>
          <w:szCs w:val="24"/>
          <w:lang w:val="el-GR"/>
        </w:rPr>
        <w:t>Κυβέρνησης</w:t>
      </w:r>
      <w:r w:rsidR="00A5147D" w:rsidRPr="00591E7D">
        <w:rPr>
          <w:rFonts w:eastAsia="Calibri" w:cstheme="minorHAnsi"/>
          <w:sz w:val="24"/>
          <w:szCs w:val="24"/>
          <w:lang w:val="el-GR"/>
        </w:rPr>
        <w:t xml:space="preserve"> </w:t>
      </w:r>
      <w:r>
        <w:rPr>
          <w:rFonts w:eastAsia="Calibri" w:cstheme="minorHAnsi"/>
          <w:sz w:val="24"/>
          <w:szCs w:val="24"/>
          <w:lang w:val="el-GR"/>
        </w:rPr>
        <w:t>δεν</w:t>
      </w:r>
      <w:r w:rsidRPr="00591E7D">
        <w:rPr>
          <w:rFonts w:eastAsia="Calibri" w:cstheme="minorHAnsi"/>
          <w:sz w:val="24"/>
          <w:szCs w:val="24"/>
          <w:lang w:val="el-GR"/>
        </w:rPr>
        <w:t xml:space="preserve"> </w:t>
      </w:r>
      <w:r>
        <w:rPr>
          <w:rFonts w:eastAsia="Calibri" w:cstheme="minorHAnsi"/>
          <w:sz w:val="24"/>
          <w:szCs w:val="24"/>
          <w:lang w:val="el-GR"/>
        </w:rPr>
        <w:t>πρέπει</w:t>
      </w:r>
      <w:r w:rsidRPr="00591E7D">
        <w:rPr>
          <w:rFonts w:eastAsia="Calibri" w:cstheme="minorHAnsi"/>
          <w:sz w:val="24"/>
          <w:szCs w:val="24"/>
          <w:lang w:val="el-GR"/>
        </w:rPr>
        <w:t xml:space="preserve"> </w:t>
      </w:r>
      <w:r>
        <w:rPr>
          <w:rFonts w:eastAsia="Calibri" w:cstheme="minorHAnsi"/>
          <w:sz w:val="24"/>
          <w:szCs w:val="24"/>
          <w:lang w:val="el-GR"/>
        </w:rPr>
        <w:t>να</w:t>
      </w:r>
      <w:r w:rsidRPr="00591E7D">
        <w:rPr>
          <w:rFonts w:eastAsia="Calibri" w:cstheme="minorHAnsi"/>
          <w:sz w:val="24"/>
          <w:szCs w:val="24"/>
          <w:lang w:val="el-GR"/>
        </w:rPr>
        <w:t xml:space="preserve"> </w:t>
      </w:r>
      <w:r>
        <w:rPr>
          <w:rFonts w:eastAsia="Calibri" w:cstheme="minorHAnsi"/>
          <w:sz w:val="24"/>
          <w:szCs w:val="24"/>
          <w:lang w:val="el-GR"/>
        </w:rPr>
        <w:t>δεχθούν</w:t>
      </w:r>
      <w:r w:rsidRPr="00591E7D">
        <w:rPr>
          <w:rFonts w:eastAsia="Calibri" w:cstheme="minorHAnsi"/>
          <w:sz w:val="24"/>
          <w:szCs w:val="24"/>
          <w:lang w:val="el-GR"/>
        </w:rPr>
        <w:t xml:space="preserve"> </w:t>
      </w:r>
      <w:r>
        <w:rPr>
          <w:rFonts w:eastAsia="Calibri" w:cstheme="minorHAnsi"/>
          <w:sz w:val="24"/>
          <w:szCs w:val="24"/>
          <w:lang w:val="el-GR"/>
        </w:rPr>
        <w:t>οποιεσδήποτε</w:t>
      </w:r>
      <w:r w:rsidRPr="00591E7D">
        <w:rPr>
          <w:rFonts w:eastAsia="Calibri" w:cstheme="minorHAnsi"/>
          <w:sz w:val="24"/>
          <w:szCs w:val="24"/>
          <w:lang w:val="el-GR"/>
        </w:rPr>
        <w:t xml:space="preserve"> </w:t>
      </w:r>
      <w:r>
        <w:rPr>
          <w:rFonts w:eastAsia="Calibri" w:cstheme="minorHAnsi"/>
          <w:sz w:val="24"/>
          <w:szCs w:val="24"/>
          <w:lang w:val="el-GR"/>
        </w:rPr>
        <w:t>προσκλήσεις</w:t>
      </w:r>
      <w:r w:rsidR="00A5147D" w:rsidRPr="00591E7D">
        <w:rPr>
          <w:rFonts w:eastAsia="Calibri" w:cstheme="minorHAnsi"/>
          <w:sz w:val="24"/>
          <w:szCs w:val="24"/>
          <w:lang w:val="el-GR"/>
        </w:rPr>
        <w:t xml:space="preserve"> </w:t>
      </w:r>
      <w:r>
        <w:rPr>
          <w:rFonts w:eastAsia="Calibri" w:cstheme="minorHAnsi"/>
          <w:sz w:val="24"/>
          <w:szCs w:val="24"/>
          <w:lang w:val="el-GR"/>
        </w:rPr>
        <w:t>για</w:t>
      </w:r>
      <w:r w:rsidRPr="00591E7D">
        <w:rPr>
          <w:rFonts w:eastAsia="Calibri" w:cstheme="minorHAnsi"/>
          <w:sz w:val="24"/>
          <w:szCs w:val="24"/>
          <w:lang w:val="el-GR"/>
        </w:rPr>
        <w:t xml:space="preserve"> </w:t>
      </w:r>
      <w:r>
        <w:rPr>
          <w:rFonts w:eastAsia="Calibri" w:cstheme="minorHAnsi"/>
          <w:sz w:val="24"/>
          <w:szCs w:val="24"/>
          <w:lang w:val="el-GR"/>
        </w:rPr>
        <w:t>προσωπική</w:t>
      </w:r>
      <w:r w:rsidRPr="00591E7D">
        <w:rPr>
          <w:rFonts w:eastAsia="Calibri" w:cstheme="minorHAnsi"/>
          <w:sz w:val="24"/>
          <w:szCs w:val="24"/>
          <w:lang w:val="el-GR"/>
        </w:rPr>
        <w:t xml:space="preserve"> </w:t>
      </w:r>
      <w:r>
        <w:rPr>
          <w:rFonts w:eastAsia="Calibri" w:cstheme="minorHAnsi"/>
          <w:sz w:val="24"/>
          <w:szCs w:val="24"/>
          <w:lang w:val="el-GR"/>
        </w:rPr>
        <w:t>φιλοξενία</w:t>
      </w:r>
      <w:r w:rsidR="00A5147D" w:rsidRPr="00591E7D">
        <w:rPr>
          <w:rFonts w:eastAsia="Calibri" w:cstheme="minorHAnsi"/>
          <w:sz w:val="24"/>
          <w:szCs w:val="24"/>
          <w:lang w:val="el-GR"/>
        </w:rPr>
        <w:t xml:space="preserve"> </w:t>
      </w:r>
      <w:r>
        <w:rPr>
          <w:rFonts w:eastAsia="Calibri" w:cstheme="minorHAnsi"/>
          <w:sz w:val="24"/>
          <w:szCs w:val="24"/>
          <w:lang w:val="el-GR"/>
        </w:rPr>
        <w:t>από</w:t>
      </w:r>
      <w:r w:rsidRPr="00591E7D">
        <w:rPr>
          <w:rFonts w:eastAsia="Calibri" w:cstheme="minorHAnsi"/>
          <w:sz w:val="24"/>
          <w:szCs w:val="24"/>
          <w:lang w:val="el-GR"/>
        </w:rPr>
        <w:t xml:space="preserve"> </w:t>
      </w:r>
      <w:r>
        <w:rPr>
          <w:rFonts w:eastAsia="Calibri" w:cstheme="minorHAnsi"/>
          <w:sz w:val="24"/>
          <w:szCs w:val="24"/>
          <w:lang w:val="el-GR"/>
        </w:rPr>
        <w:t>μια</w:t>
      </w:r>
      <w:r w:rsidRPr="00591E7D">
        <w:rPr>
          <w:rFonts w:eastAsia="Calibri" w:cstheme="minorHAnsi"/>
          <w:sz w:val="24"/>
          <w:szCs w:val="24"/>
          <w:lang w:val="el-GR"/>
        </w:rPr>
        <w:t xml:space="preserve"> </w:t>
      </w:r>
      <w:r w:rsidR="0064188C">
        <w:rPr>
          <w:rFonts w:eastAsia="Calibri" w:cstheme="minorHAnsi"/>
          <w:sz w:val="24"/>
          <w:szCs w:val="24"/>
          <w:lang w:val="el-GR"/>
        </w:rPr>
        <w:t>ξένη</w:t>
      </w:r>
      <w:r w:rsidRPr="00591E7D">
        <w:rPr>
          <w:rFonts w:eastAsia="Calibri" w:cstheme="minorHAnsi"/>
          <w:sz w:val="24"/>
          <w:szCs w:val="24"/>
          <w:lang w:val="el-GR"/>
        </w:rPr>
        <w:t xml:space="preserve"> </w:t>
      </w:r>
      <w:r>
        <w:rPr>
          <w:rFonts w:eastAsia="Calibri" w:cstheme="minorHAnsi"/>
          <w:sz w:val="24"/>
          <w:szCs w:val="24"/>
          <w:lang w:val="el-GR"/>
        </w:rPr>
        <w:t>κυβέρνηση</w:t>
      </w:r>
      <w:r w:rsidR="00A5147D" w:rsidRPr="00591E7D">
        <w:rPr>
          <w:rFonts w:eastAsia="Calibri" w:cstheme="minorHAnsi"/>
          <w:sz w:val="24"/>
          <w:szCs w:val="24"/>
          <w:lang w:val="el-GR"/>
        </w:rPr>
        <w:t xml:space="preserve"> </w:t>
      </w:r>
      <w:r>
        <w:rPr>
          <w:rFonts w:eastAsia="Calibri" w:cstheme="minorHAnsi"/>
          <w:sz w:val="24"/>
          <w:szCs w:val="24"/>
          <w:lang w:val="el-GR"/>
        </w:rPr>
        <w:t>ή από φ</w:t>
      </w:r>
      <w:r w:rsidR="00D36C7F">
        <w:rPr>
          <w:rFonts w:eastAsia="Calibri" w:cstheme="minorHAnsi"/>
          <w:sz w:val="24"/>
          <w:szCs w:val="24"/>
          <w:lang w:val="el-GR"/>
        </w:rPr>
        <w:t>υ</w:t>
      </w:r>
      <w:r>
        <w:rPr>
          <w:rFonts w:eastAsia="Calibri" w:cstheme="minorHAnsi"/>
          <w:sz w:val="24"/>
          <w:szCs w:val="24"/>
          <w:lang w:val="el-GR"/>
        </w:rPr>
        <w:t>σικά ή νομικά άτομα, των</w:t>
      </w:r>
      <w:r w:rsidR="00676FCA" w:rsidRPr="00676FCA">
        <w:rPr>
          <w:rFonts w:eastAsia="Calibri" w:cstheme="minorHAnsi"/>
          <w:sz w:val="24"/>
          <w:szCs w:val="24"/>
          <w:lang w:val="el-GR"/>
        </w:rPr>
        <w:t xml:space="preserve"> </w:t>
      </w:r>
      <w:r w:rsidR="00676FCA">
        <w:rPr>
          <w:rFonts w:eastAsia="Calibri" w:cstheme="minorHAnsi"/>
          <w:sz w:val="24"/>
          <w:szCs w:val="24"/>
          <w:lang w:val="el-GR"/>
        </w:rPr>
        <w:t>η δραστηριότητα</w:t>
      </w:r>
      <w:r>
        <w:rPr>
          <w:rFonts w:eastAsia="Calibri" w:cstheme="minorHAnsi"/>
          <w:sz w:val="24"/>
          <w:szCs w:val="24"/>
          <w:lang w:val="el-GR"/>
        </w:rPr>
        <w:t xml:space="preserve"> οποίων σχετίζεται με το υπουργείο τους</w:t>
      </w:r>
      <w:r w:rsidR="00A5147D" w:rsidRPr="00591E7D">
        <w:rPr>
          <w:rFonts w:eastAsia="Calibri" w:cstheme="minorHAnsi"/>
          <w:sz w:val="24"/>
          <w:szCs w:val="24"/>
          <w:lang w:val="el-GR"/>
        </w:rPr>
        <w:t xml:space="preserve">. </w:t>
      </w:r>
    </w:p>
    <w:p w14:paraId="6761F168" w14:textId="77777777" w:rsidR="00A5147D" w:rsidRPr="00591E7D" w:rsidRDefault="00A5147D" w:rsidP="00A5147D">
      <w:pPr>
        <w:contextualSpacing/>
        <w:rPr>
          <w:rFonts w:eastAsia="Calibri" w:cstheme="minorHAnsi"/>
          <w:sz w:val="24"/>
          <w:szCs w:val="24"/>
          <w:lang w:val="el-GR"/>
        </w:rPr>
      </w:pPr>
    </w:p>
    <w:p w14:paraId="33770FA7" w14:textId="56B6C6C2" w:rsidR="00A5147D" w:rsidRPr="00164174" w:rsidRDefault="00591E7D" w:rsidP="00A5147D">
      <w:pPr>
        <w:numPr>
          <w:ilvl w:val="0"/>
          <w:numId w:val="1"/>
        </w:numPr>
        <w:tabs>
          <w:tab w:val="clear" w:pos="6095"/>
          <w:tab w:val="left" w:pos="709"/>
        </w:tabs>
        <w:ind w:left="0" w:firstLine="0"/>
        <w:contextualSpacing/>
        <w:rPr>
          <w:rFonts w:eastAsia="Calibri" w:cstheme="minorHAnsi"/>
          <w:sz w:val="24"/>
          <w:szCs w:val="24"/>
          <w:lang w:val="el-GR"/>
        </w:rPr>
      </w:pPr>
      <w:r>
        <w:rPr>
          <w:rFonts w:eastAsia="Calibri" w:cstheme="minorHAnsi"/>
          <w:sz w:val="24"/>
          <w:szCs w:val="24"/>
          <w:lang w:val="el-GR"/>
        </w:rPr>
        <w:t>Για</w:t>
      </w:r>
      <w:r w:rsidRPr="00426AEF">
        <w:rPr>
          <w:rFonts w:eastAsia="Calibri" w:cstheme="minorHAnsi"/>
          <w:sz w:val="24"/>
          <w:szCs w:val="24"/>
          <w:lang w:val="el-GR"/>
        </w:rPr>
        <w:t xml:space="preserve"> </w:t>
      </w:r>
      <w:r>
        <w:rPr>
          <w:rFonts w:eastAsia="Calibri" w:cstheme="minorHAnsi"/>
          <w:sz w:val="24"/>
          <w:szCs w:val="24"/>
          <w:lang w:val="el-GR"/>
        </w:rPr>
        <w:t>την</w:t>
      </w:r>
      <w:r w:rsidRPr="00426AEF">
        <w:rPr>
          <w:rFonts w:eastAsia="Calibri" w:cstheme="minorHAnsi"/>
          <w:sz w:val="24"/>
          <w:szCs w:val="24"/>
          <w:lang w:val="el-GR"/>
        </w:rPr>
        <w:t xml:space="preserve"> </w:t>
      </w:r>
      <w:r>
        <w:rPr>
          <w:rFonts w:eastAsia="Calibri" w:cstheme="minorHAnsi"/>
          <w:sz w:val="24"/>
          <w:szCs w:val="24"/>
          <w:lang w:val="el-GR"/>
        </w:rPr>
        <w:t>αποδοχή</w:t>
      </w:r>
      <w:r w:rsidRPr="00426AEF">
        <w:rPr>
          <w:rFonts w:eastAsia="Calibri" w:cstheme="minorHAnsi"/>
          <w:sz w:val="24"/>
          <w:szCs w:val="24"/>
          <w:lang w:val="el-GR"/>
        </w:rPr>
        <w:t xml:space="preserve"> </w:t>
      </w:r>
      <w:r>
        <w:rPr>
          <w:rFonts w:eastAsia="Calibri" w:cstheme="minorHAnsi"/>
          <w:sz w:val="24"/>
          <w:szCs w:val="24"/>
          <w:lang w:val="el-GR"/>
        </w:rPr>
        <w:t>δώρων</w:t>
      </w:r>
      <w:r w:rsidR="00FC633E" w:rsidRPr="00426AEF">
        <w:rPr>
          <w:rFonts w:eastAsia="Calibri" w:cstheme="minorHAnsi"/>
          <w:sz w:val="24"/>
          <w:szCs w:val="24"/>
          <w:lang w:val="el-GR"/>
        </w:rPr>
        <w:t>,</w:t>
      </w:r>
      <w:r w:rsidR="00A5147D" w:rsidRPr="00426AEF">
        <w:rPr>
          <w:rFonts w:eastAsia="Calibri" w:cstheme="minorHAnsi"/>
          <w:sz w:val="24"/>
          <w:szCs w:val="24"/>
          <w:lang w:val="el-GR"/>
        </w:rPr>
        <w:t xml:space="preserve"> </w:t>
      </w:r>
      <w:r>
        <w:rPr>
          <w:rFonts w:eastAsia="Calibri" w:cstheme="minorHAnsi"/>
          <w:sz w:val="24"/>
          <w:szCs w:val="24"/>
          <w:lang w:val="el-GR"/>
        </w:rPr>
        <w:t>η</w:t>
      </w:r>
      <w:r w:rsidRPr="00426AEF">
        <w:rPr>
          <w:rFonts w:eastAsia="Calibri" w:cstheme="minorHAnsi"/>
          <w:sz w:val="24"/>
          <w:szCs w:val="24"/>
          <w:lang w:val="el-GR"/>
        </w:rPr>
        <w:t xml:space="preserve"> </w:t>
      </w:r>
      <w:r>
        <w:rPr>
          <w:rFonts w:eastAsia="Calibri" w:cstheme="minorHAnsi"/>
          <w:sz w:val="24"/>
          <w:szCs w:val="24"/>
          <w:lang w:val="el-GR"/>
        </w:rPr>
        <w:t>αξία</w:t>
      </w:r>
      <w:r w:rsidRPr="00426AEF">
        <w:rPr>
          <w:rFonts w:eastAsia="Calibri" w:cstheme="minorHAnsi"/>
          <w:sz w:val="24"/>
          <w:szCs w:val="24"/>
          <w:lang w:val="el-GR"/>
        </w:rPr>
        <w:t xml:space="preserve"> </w:t>
      </w:r>
      <w:r>
        <w:rPr>
          <w:rFonts w:eastAsia="Calibri" w:cstheme="minorHAnsi"/>
          <w:sz w:val="24"/>
          <w:szCs w:val="24"/>
          <w:lang w:val="el-GR"/>
        </w:rPr>
        <w:t>των</w:t>
      </w:r>
      <w:r w:rsidRPr="00426AEF">
        <w:rPr>
          <w:rFonts w:eastAsia="Calibri" w:cstheme="minorHAnsi"/>
          <w:sz w:val="24"/>
          <w:szCs w:val="24"/>
          <w:lang w:val="el-GR"/>
        </w:rPr>
        <w:t xml:space="preserve"> </w:t>
      </w:r>
      <w:r>
        <w:rPr>
          <w:rFonts w:eastAsia="Calibri" w:cstheme="minorHAnsi"/>
          <w:sz w:val="24"/>
          <w:szCs w:val="24"/>
          <w:lang w:val="el-GR"/>
        </w:rPr>
        <w:t>οποίων</w:t>
      </w:r>
      <w:r w:rsidRPr="00426AEF">
        <w:rPr>
          <w:rFonts w:eastAsia="Calibri" w:cstheme="minorHAnsi"/>
          <w:sz w:val="24"/>
          <w:szCs w:val="24"/>
          <w:lang w:val="el-GR"/>
        </w:rPr>
        <w:t xml:space="preserve"> </w:t>
      </w:r>
      <w:r>
        <w:rPr>
          <w:rFonts w:eastAsia="Calibri" w:cstheme="minorHAnsi"/>
          <w:sz w:val="24"/>
          <w:szCs w:val="24"/>
          <w:lang w:val="el-GR"/>
        </w:rPr>
        <w:t>υπερβαίνει</w:t>
      </w:r>
      <w:r w:rsidRPr="00426AEF">
        <w:rPr>
          <w:rFonts w:eastAsia="Calibri" w:cstheme="minorHAnsi"/>
          <w:sz w:val="24"/>
          <w:szCs w:val="24"/>
          <w:lang w:val="el-GR"/>
        </w:rPr>
        <w:t xml:space="preserve"> </w:t>
      </w:r>
      <w:r>
        <w:rPr>
          <w:rFonts w:eastAsia="Calibri" w:cstheme="minorHAnsi"/>
          <w:sz w:val="24"/>
          <w:szCs w:val="24"/>
          <w:lang w:val="el-GR"/>
        </w:rPr>
        <w:t>το</w:t>
      </w:r>
      <w:r w:rsidR="00A5147D" w:rsidRPr="00426AEF">
        <w:rPr>
          <w:rFonts w:eastAsia="Calibri" w:cstheme="minorHAnsi"/>
          <w:sz w:val="24"/>
          <w:szCs w:val="24"/>
          <w:lang w:val="el-GR"/>
        </w:rPr>
        <w:t xml:space="preserve"> €150 </w:t>
      </w:r>
      <w:r>
        <w:rPr>
          <w:rFonts w:eastAsia="Calibri" w:cstheme="minorHAnsi"/>
          <w:sz w:val="24"/>
          <w:szCs w:val="24"/>
          <w:lang w:val="el-GR"/>
        </w:rPr>
        <w:t>υπάρχει</w:t>
      </w:r>
      <w:r w:rsidRPr="00426AEF">
        <w:rPr>
          <w:rFonts w:eastAsia="Calibri" w:cstheme="minorHAnsi"/>
          <w:sz w:val="24"/>
          <w:szCs w:val="24"/>
          <w:lang w:val="el-GR"/>
        </w:rPr>
        <w:t xml:space="preserve"> </w:t>
      </w:r>
      <w:r>
        <w:rPr>
          <w:rFonts w:eastAsia="Calibri" w:cstheme="minorHAnsi"/>
          <w:sz w:val="24"/>
          <w:szCs w:val="24"/>
          <w:lang w:val="el-GR"/>
        </w:rPr>
        <w:t>μια</w:t>
      </w:r>
      <w:r w:rsidRPr="00426AEF">
        <w:rPr>
          <w:rFonts w:eastAsia="Calibri" w:cstheme="minorHAnsi"/>
          <w:sz w:val="24"/>
          <w:szCs w:val="24"/>
          <w:lang w:val="el-GR"/>
        </w:rPr>
        <w:t xml:space="preserve"> </w:t>
      </w:r>
      <w:r>
        <w:rPr>
          <w:rFonts w:eastAsia="Calibri" w:cstheme="minorHAnsi"/>
          <w:sz w:val="24"/>
          <w:szCs w:val="24"/>
          <w:lang w:val="el-GR"/>
        </w:rPr>
        <w:t>διαδικασία</w:t>
      </w:r>
      <w:r w:rsidR="00A5147D" w:rsidRPr="00426AEF">
        <w:rPr>
          <w:rFonts w:eastAsia="Calibri" w:cstheme="minorHAnsi"/>
          <w:sz w:val="24"/>
          <w:szCs w:val="24"/>
          <w:lang w:val="el-GR"/>
        </w:rPr>
        <w:t xml:space="preserve"> </w:t>
      </w:r>
      <w:r>
        <w:rPr>
          <w:rFonts w:eastAsia="Calibri" w:cstheme="minorHAnsi"/>
          <w:sz w:val="24"/>
          <w:szCs w:val="24"/>
          <w:lang w:val="el-GR"/>
        </w:rPr>
        <w:t>που</w:t>
      </w:r>
      <w:r w:rsidRPr="00426AEF">
        <w:rPr>
          <w:rFonts w:eastAsia="Calibri" w:cstheme="minorHAnsi"/>
          <w:sz w:val="24"/>
          <w:szCs w:val="24"/>
          <w:lang w:val="el-GR"/>
        </w:rPr>
        <w:t xml:space="preserve"> </w:t>
      </w:r>
      <w:r>
        <w:rPr>
          <w:rFonts w:eastAsia="Calibri" w:cstheme="minorHAnsi"/>
          <w:sz w:val="24"/>
          <w:szCs w:val="24"/>
          <w:lang w:val="el-GR"/>
        </w:rPr>
        <w:t>πρέπει</w:t>
      </w:r>
      <w:r w:rsidR="00A75502">
        <w:rPr>
          <w:rFonts w:eastAsia="Calibri" w:cstheme="minorHAnsi"/>
          <w:sz w:val="24"/>
          <w:szCs w:val="24"/>
          <w:lang w:val="el-GR"/>
        </w:rPr>
        <w:t xml:space="preserve"> </w:t>
      </w:r>
      <w:r>
        <w:rPr>
          <w:rFonts w:eastAsia="Calibri" w:cstheme="minorHAnsi"/>
          <w:sz w:val="24"/>
          <w:szCs w:val="24"/>
          <w:lang w:val="el-GR"/>
        </w:rPr>
        <w:t>να</w:t>
      </w:r>
      <w:r w:rsidRPr="00426AEF">
        <w:rPr>
          <w:rFonts w:eastAsia="Calibri" w:cstheme="minorHAnsi"/>
          <w:sz w:val="24"/>
          <w:szCs w:val="24"/>
          <w:lang w:val="el-GR"/>
        </w:rPr>
        <w:t xml:space="preserve"> </w:t>
      </w:r>
      <w:r>
        <w:rPr>
          <w:rFonts w:eastAsia="Calibri" w:cstheme="minorHAnsi"/>
          <w:sz w:val="24"/>
          <w:szCs w:val="24"/>
          <w:lang w:val="el-GR"/>
        </w:rPr>
        <w:t>ακολουθηθεί</w:t>
      </w:r>
      <w:r w:rsidR="00A5147D" w:rsidRPr="00426AEF">
        <w:rPr>
          <w:rFonts w:eastAsia="Calibri" w:cstheme="minorHAnsi"/>
          <w:sz w:val="24"/>
          <w:szCs w:val="24"/>
          <w:lang w:val="el-GR"/>
        </w:rPr>
        <w:t xml:space="preserve">, </w:t>
      </w:r>
      <w:r w:rsidR="00E82136">
        <w:rPr>
          <w:rFonts w:eastAsia="Calibri" w:cstheme="minorHAnsi"/>
          <w:sz w:val="24"/>
          <w:szCs w:val="24"/>
          <w:lang w:val="el-GR"/>
        </w:rPr>
        <w:t xml:space="preserve">με θεσμοθέτηση από το </w:t>
      </w:r>
      <w:r w:rsidR="00426AEF">
        <w:rPr>
          <w:rFonts w:eastAsia="Calibri" w:cstheme="minorHAnsi"/>
          <w:sz w:val="24"/>
          <w:szCs w:val="24"/>
          <w:lang w:val="el-GR"/>
        </w:rPr>
        <w:t>Υπουργικ</w:t>
      </w:r>
      <w:r w:rsidR="00E82136">
        <w:rPr>
          <w:rFonts w:eastAsia="Calibri" w:cstheme="minorHAnsi"/>
          <w:sz w:val="24"/>
          <w:szCs w:val="24"/>
          <w:lang w:val="el-GR"/>
        </w:rPr>
        <w:t>ό</w:t>
      </w:r>
      <w:r w:rsidR="00426AEF">
        <w:rPr>
          <w:rFonts w:eastAsia="Calibri" w:cstheme="minorHAnsi"/>
          <w:sz w:val="24"/>
          <w:szCs w:val="24"/>
          <w:lang w:val="el-GR"/>
        </w:rPr>
        <w:t xml:space="preserve"> Συμβούλιο</w:t>
      </w:r>
      <w:r w:rsidR="00A75502">
        <w:rPr>
          <w:rFonts w:eastAsia="Calibri" w:cstheme="minorHAnsi"/>
          <w:sz w:val="24"/>
          <w:szCs w:val="24"/>
          <w:lang w:val="el-GR"/>
        </w:rPr>
        <w:t>,</w:t>
      </w:r>
      <w:r w:rsidR="00A5147D" w:rsidRPr="00426AEF">
        <w:rPr>
          <w:rFonts w:eastAsia="Calibri" w:cstheme="minorHAnsi"/>
          <w:sz w:val="24"/>
          <w:szCs w:val="24"/>
          <w:lang w:val="el-GR"/>
        </w:rPr>
        <w:t xml:space="preserve"> </w:t>
      </w:r>
      <w:r w:rsidR="00E82136">
        <w:rPr>
          <w:rFonts w:eastAsia="Calibri" w:cstheme="minorHAnsi"/>
          <w:sz w:val="24"/>
          <w:szCs w:val="24"/>
          <w:lang w:val="el-GR"/>
        </w:rPr>
        <w:t xml:space="preserve">σε συνάρτηση </w:t>
      </w:r>
      <w:r w:rsidR="00426AEF">
        <w:rPr>
          <w:rFonts w:eastAsia="Calibri" w:cstheme="minorHAnsi"/>
          <w:sz w:val="24"/>
          <w:szCs w:val="24"/>
          <w:lang w:val="el-GR"/>
        </w:rPr>
        <w:t>με μια σχετική σύσταση από το Γενικό Λογιστήριο της Δημοκρατίας</w:t>
      </w:r>
      <w:r w:rsidR="00A5147D" w:rsidRPr="00426AEF">
        <w:rPr>
          <w:rFonts w:eastAsia="Calibri" w:cstheme="minorHAnsi"/>
          <w:sz w:val="24"/>
          <w:szCs w:val="24"/>
          <w:lang w:val="el-GR"/>
        </w:rPr>
        <w:t xml:space="preserve">. </w:t>
      </w:r>
      <w:r w:rsidR="00426AEF">
        <w:rPr>
          <w:rFonts w:eastAsia="Calibri" w:cstheme="minorHAnsi"/>
          <w:sz w:val="24"/>
          <w:szCs w:val="24"/>
          <w:lang w:val="el-GR"/>
        </w:rPr>
        <w:t>Για</w:t>
      </w:r>
      <w:r w:rsidR="00426AEF" w:rsidRPr="00426AEF">
        <w:rPr>
          <w:rFonts w:eastAsia="Calibri" w:cstheme="minorHAnsi"/>
          <w:sz w:val="24"/>
          <w:szCs w:val="24"/>
          <w:lang w:val="el-GR"/>
        </w:rPr>
        <w:t xml:space="preserve"> </w:t>
      </w:r>
      <w:r w:rsidR="00426AEF">
        <w:rPr>
          <w:rFonts w:eastAsia="Calibri" w:cstheme="minorHAnsi"/>
          <w:sz w:val="24"/>
          <w:szCs w:val="24"/>
          <w:lang w:val="el-GR"/>
        </w:rPr>
        <w:t>δώρα</w:t>
      </w:r>
      <w:r w:rsidR="00426AEF" w:rsidRPr="00426AEF">
        <w:rPr>
          <w:rFonts w:eastAsia="Calibri" w:cstheme="minorHAnsi"/>
          <w:sz w:val="24"/>
          <w:szCs w:val="24"/>
          <w:lang w:val="el-GR"/>
        </w:rPr>
        <w:t xml:space="preserve"> </w:t>
      </w:r>
      <w:r w:rsidR="00426AEF">
        <w:rPr>
          <w:rFonts w:eastAsia="Calibri" w:cstheme="minorHAnsi"/>
          <w:sz w:val="24"/>
          <w:szCs w:val="24"/>
          <w:lang w:val="el-GR"/>
        </w:rPr>
        <w:t>που</w:t>
      </w:r>
      <w:r w:rsidR="00426AEF" w:rsidRPr="00426AEF">
        <w:rPr>
          <w:rFonts w:eastAsia="Calibri" w:cstheme="minorHAnsi"/>
          <w:sz w:val="24"/>
          <w:szCs w:val="24"/>
          <w:lang w:val="el-GR"/>
        </w:rPr>
        <w:t xml:space="preserve"> </w:t>
      </w:r>
      <w:r w:rsidR="00426AEF">
        <w:rPr>
          <w:rFonts w:eastAsia="Calibri" w:cstheme="minorHAnsi"/>
          <w:sz w:val="24"/>
          <w:szCs w:val="24"/>
          <w:lang w:val="el-GR"/>
        </w:rPr>
        <w:t>έχουν</w:t>
      </w:r>
      <w:r w:rsidR="00426AEF" w:rsidRPr="00426AEF">
        <w:rPr>
          <w:rFonts w:eastAsia="Calibri" w:cstheme="minorHAnsi"/>
          <w:sz w:val="24"/>
          <w:szCs w:val="24"/>
          <w:lang w:val="el-GR"/>
        </w:rPr>
        <w:t xml:space="preserve"> </w:t>
      </w:r>
      <w:r w:rsidR="00426AEF">
        <w:rPr>
          <w:rFonts w:eastAsia="Calibri" w:cstheme="minorHAnsi"/>
          <w:sz w:val="24"/>
          <w:szCs w:val="24"/>
          <w:lang w:val="el-GR"/>
        </w:rPr>
        <w:t>ένα</w:t>
      </w:r>
      <w:r w:rsidR="00426AEF" w:rsidRPr="00426AEF">
        <w:rPr>
          <w:rFonts w:eastAsia="Calibri" w:cstheme="minorHAnsi"/>
          <w:sz w:val="24"/>
          <w:szCs w:val="24"/>
          <w:lang w:val="el-GR"/>
        </w:rPr>
        <w:t xml:space="preserve"> </w:t>
      </w:r>
      <w:r w:rsidR="00426AEF">
        <w:rPr>
          <w:rFonts w:eastAsia="Calibri" w:cstheme="minorHAnsi"/>
          <w:sz w:val="24"/>
          <w:szCs w:val="24"/>
          <w:lang w:val="el-GR"/>
        </w:rPr>
        <w:t>απλά</w:t>
      </w:r>
      <w:r w:rsidR="00426AEF" w:rsidRPr="00426AEF">
        <w:rPr>
          <w:rFonts w:eastAsia="Calibri" w:cstheme="minorHAnsi"/>
          <w:sz w:val="24"/>
          <w:szCs w:val="24"/>
          <w:lang w:val="el-GR"/>
        </w:rPr>
        <w:t xml:space="preserve"> </w:t>
      </w:r>
      <w:r w:rsidR="00426AEF">
        <w:rPr>
          <w:rFonts w:eastAsia="Calibri" w:cstheme="minorHAnsi"/>
          <w:sz w:val="24"/>
          <w:szCs w:val="24"/>
          <w:lang w:val="el-GR"/>
        </w:rPr>
        <w:t>φιλοφρονητικό</w:t>
      </w:r>
      <w:r w:rsidR="00426AEF" w:rsidRPr="00426AEF">
        <w:rPr>
          <w:rFonts w:eastAsia="Calibri" w:cstheme="minorHAnsi"/>
          <w:sz w:val="24"/>
          <w:szCs w:val="24"/>
          <w:lang w:val="el-GR"/>
        </w:rPr>
        <w:t xml:space="preserve"> </w:t>
      </w:r>
      <w:r w:rsidR="00426AEF">
        <w:rPr>
          <w:rFonts w:eastAsia="Calibri" w:cstheme="minorHAnsi"/>
          <w:sz w:val="24"/>
          <w:szCs w:val="24"/>
          <w:lang w:val="el-GR"/>
        </w:rPr>
        <w:t>χαρακτήρα</w:t>
      </w:r>
      <w:r w:rsidR="00A5147D" w:rsidRPr="00426AEF">
        <w:rPr>
          <w:rFonts w:eastAsia="Calibri" w:cstheme="minorHAnsi"/>
          <w:sz w:val="24"/>
          <w:szCs w:val="24"/>
          <w:lang w:val="el-GR"/>
        </w:rPr>
        <w:t xml:space="preserve"> </w:t>
      </w:r>
      <w:r w:rsidR="00426AEF">
        <w:rPr>
          <w:rFonts w:eastAsia="Calibri" w:cstheme="minorHAnsi"/>
          <w:sz w:val="24"/>
          <w:szCs w:val="24"/>
          <w:lang w:val="el-GR"/>
        </w:rPr>
        <w:t>ή</w:t>
      </w:r>
      <w:r w:rsidR="00A5147D" w:rsidRPr="00426AEF">
        <w:rPr>
          <w:rFonts w:eastAsia="Calibri" w:cstheme="minorHAnsi"/>
          <w:sz w:val="24"/>
          <w:szCs w:val="24"/>
          <w:lang w:val="el-GR"/>
        </w:rPr>
        <w:t xml:space="preserve"> </w:t>
      </w:r>
      <w:r w:rsidR="00426AEF" w:rsidRPr="00426AEF">
        <w:rPr>
          <w:rFonts w:eastAsia="Calibri" w:cstheme="minorHAnsi"/>
          <w:sz w:val="24"/>
          <w:szCs w:val="24"/>
          <w:lang w:val="el-GR"/>
        </w:rPr>
        <w:t>μ</w:t>
      </w:r>
      <w:r w:rsidR="00426AEF">
        <w:rPr>
          <w:rFonts w:eastAsia="Calibri" w:cstheme="minorHAnsi"/>
          <w:sz w:val="24"/>
          <w:szCs w:val="24"/>
          <w:lang w:val="el-GR"/>
        </w:rPr>
        <w:t>ικρή</w:t>
      </w:r>
      <w:r w:rsidR="00426AEF" w:rsidRPr="00426AEF">
        <w:rPr>
          <w:rFonts w:eastAsia="Calibri" w:cstheme="minorHAnsi"/>
          <w:sz w:val="24"/>
          <w:szCs w:val="24"/>
          <w:lang w:val="el-GR"/>
        </w:rPr>
        <w:t xml:space="preserve"> </w:t>
      </w:r>
      <w:r w:rsidR="00426AEF">
        <w:rPr>
          <w:rFonts w:eastAsia="Calibri" w:cstheme="minorHAnsi"/>
          <w:sz w:val="24"/>
          <w:szCs w:val="24"/>
          <w:lang w:val="el-GR"/>
        </w:rPr>
        <w:t>αξία</w:t>
      </w:r>
      <w:r w:rsidR="00A5147D" w:rsidRPr="00426AEF">
        <w:rPr>
          <w:rFonts w:eastAsia="Calibri" w:cstheme="minorHAnsi"/>
          <w:sz w:val="24"/>
          <w:szCs w:val="24"/>
          <w:lang w:val="el-GR"/>
        </w:rPr>
        <w:t xml:space="preserve">, </w:t>
      </w:r>
      <w:r w:rsidR="00426AEF">
        <w:rPr>
          <w:rFonts w:eastAsia="Calibri" w:cstheme="minorHAnsi"/>
          <w:sz w:val="24"/>
          <w:szCs w:val="24"/>
          <w:lang w:val="el-GR"/>
        </w:rPr>
        <w:t>που</w:t>
      </w:r>
      <w:r w:rsidR="00426AEF" w:rsidRPr="00426AEF">
        <w:rPr>
          <w:rFonts w:eastAsia="Calibri" w:cstheme="minorHAnsi"/>
          <w:sz w:val="24"/>
          <w:szCs w:val="24"/>
          <w:lang w:val="el-GR"/>
        </w:rPr>
        <w:t xml:space="preserve"> </w:t>
      </w:r>
      <w:r w:rsidR="0064188C">
        <w:rPr>
          <w:rFonts w:eastAsia="Calibri" w:cstheme="minorHAnsi"/>
          <w:sz w:val="24"/>
          <w:szCs w:val="24"/>
          <w:lang w:val="el-GR"/>
        </w:rPr>
        <w:t>ανταλλάσσονται</w:t>
      </w:r>
      <w:r w:rsidR="00426AEF" w:rsidRPr="00426AEF">
        <w:rPr>
          <w:rFonts w:eastAsia="Calibri" w:cstheme="minorHAnsi"/>
          <w:sz w:val="24"/>
          <w:szCs w:val="24"/>
          <w:lang w:val="el-GR"/>
        </w:rPr>
        <w:t xml:space="preserve"> </w:t>
      </w:r>
      <w:r w:rsidR="00426AEF">
        <w:rPr>
          <w:rFonts w:eastAsia="Calibri" w:cstheme="minorHAnsi"/>
          <w:sz w:val="24"/>
          <w:szCs w:val="24"/>
          <w:lang w:val="el-GR"/>
        </w:rPr>
        <w:t>μέσω</w:t>
      </w:r>
      <w:r w:rsidR="00426AEF" w:rsidRPr="00426AEF">
        <w:rPr>
          <w:rFonts w:eastAsia="Calibri" w:cstheme="minorHAnsi"/>
          <w:sz w:val="24"/>
          <w:szCs w:val="24"/>
          <w:lang w:val="el-GR"/>
        </w:rPr>
        <w:t xml:space="preserve"> </w:t>
      </w:r>
      <w:r w:rsidR="00426AEF">
        <w:rPr>
          <w:rFonts w:eastAsia="Calibri" w:cstheme="minorHAnsi"/>
          <w:sz w:val="24"/>
          <w:szCs w:val="24"/>
          <w:lang w:val="el-GR"/>
        </w:rPr>
        <w:t>πρωτοκόλλου</w:t>
      </w:r>
      <w:r w:rsidR="00A5147D" w:rsidRPr="00426AEF">
        <w:rPr>
          <w:rFonts w:eastAsia="Calibri" w:cstheme="minorHAnsi"/>
          <w:sz w:val="24"/>
          <w:szCs w:val="24"/>
          <w:lang w:val="el-GR"/>
        </w:rPr>
        <w:t xml:space="preserve">, </w:t>
      </w:r>
      <w:r w:rsidR="00426AEF">
        <w:rPr>
          <w:rFonts w:eastAsia="Calibri" w:cstheme="minorHAnsi"/>
          <w:sz w:val="24"/>
          <w:szCs w:val="24"/>
          <w:lang w:val="el-GR"/>
        </w:rPr>
        <w:t>είτε</w:t>
      </w:r>
      <w:r w:rsidR="00426AEF" w:rsidRPr="00426AEF">
        <w:rPr>
          <w:rFonts w:eastAsia="Calibri" w:cstheme="minorHAnsi"/>
          <w:sz w:val="24"/>
          <w:szCs w:val="24"/>
          <w:lang w:val="el-GR"/>
        </w:rPr>
        <w:t xml:space="preserve"> </w:t>
      </w:r>
      <w:r w:rsidR="00426AEF">
        <w:rPr>
          <w:rFonts w:eastAsia="Calibri" w:cstheme="minorHAnsi"/>
          <w:sz w:val="24"/>
          <w:szCs w:val="24"/>
          <w:lang w:val="el-GR"/>
        </w:rPr>
        <w:t>στην</w:t>
      </w:r>
      <w:r w:rsidR="00426AEF" w:rsidRPr="00426AEF">
        <w:rPr>
          <w:rFonts w:eastAsia="Calibri" w:cstheme="minorHAnsi"/>
          <w:sz w:val="24"/>
          <w:szCs w:val="24"/>
          <w:lang w:val="el-GR"/>
        </w:rPr>
        <w:t xml:space="preserve"> </w:t>
      </w:r>
      <w:r w:rsidR="00426AEF">
        <w:rPr>
          <w:rFonts w:eastAsia="Calibri" w:cstheme="minorHAnsi"/>
          <w:sz w:val="24"/>
          <w:szCs w:val="24"/>
          <w:lang w:val="el-GR"/>
        </w:rPr>
        <w:t>Κύπρο</w:t>
      </w:r>
      <w:r w:rsidR="00426AEF" w:rsidRPr="00426AEF">
        <w:rPr>
          <w:rFonts w:eastAsia="Calibri" w:cstheme="minorHAnsi"/>
          <w:sz w:val="24"/>
          <w:szCs w:val="24"/>
          <w:lang w:val="el-GR"/>
        </w:rPr>
        <w:t xml:space="preserve"> </w:t>
      </w:r>
      <w:r w:rsidR="00426AEF">
        <w:rPr>
          <w:rFonts w:eastAsia="Calibri" w:cstheme="minorHAnsi"/>
          <w:sz w:val="24"/>
          <w:szCs w:val="24"/>
          <w:lang w:val="el-GR"/>
        </w:rPr>
        <w:t>είτε</w:t>
      </w:r>
      <w:r w:rsidR="00426AEF" w:rsidRPr="00426AEF">
        <w:rPr>
          <w:rFonts w:eastAsia="Calibri" w:cstheme="minorHAnsi"/>
          <w:sz w:val="24"/>
          <w:szCs w:val="24"/>
          <w:lang w:val="el-GR"/>
        </w:rPr>
        <w:t xml:space="preserve"> </w:t>
      </w:r>
      <w:r w:rsidR="00426AEF">
        <w:rPr>
          <w:rFonts w:eastAsia="Calibri" w:cstheme="minorHAnsi"/>
          <w:sz w:val="24"/>
          <w:szCs w:val="24"/>
          <w:lang w:val="el-GR"/>
        </w:rPr>
        <w:t>στο</w:t>
      </w:r>
      <w:r w:rsidR="00426AEF" w:rsidRPr="00426AEF">
        <w:rPr>
          <w:rFonts w:eastAsia="Calibri" w:cstheme="minorHAnsi"/>
          <w:sz w:val="24"/>
          <w:szCs w:val="24"/>
          <w:lang w:val="el-GR"/>
        </w:rPr>
        <w:t xml:space="preserve"> </w:t>
      </w:r>
      <w:r w:rsidR="00426AEF">
        <w:rPr>
          <w:rFonts w:eastAsia="Calibri" w:cstheme="minorHAnsi"/>
          <w:sz w:val="24"/>
          <w:szCs w:val="24"/>
          <w:lang w:val="el-GR"/>
        </w:rPr>
        <w:t>εξωτερικό</w:t>
      </w:r>
      <w:r w:rsidR="00A5147D" w:rsidRPr="00426AEF">
        <w:rPr>
          <w:rFonts w:eastAsia="Calibri" w:cstheme="minorHAnsi"/>
          <w:sz w:val="24"/>
          <w:szCs w:val="24"/>
          <w:lang w:val="el-GR"/>
        </w:rPr>
        <w:t xml:space="preserve">, </w:t>
      </w:r>
      <w:r w:rsidR="00426AEF">
        <w:rPr>
          <w:rFonts w:eastAsia="Calibri" w:cstheme="minorHAnsi"/>
          <w:sz w:val="24"/>
          <w:szCs w:val="24"/>
          <w:lang w:val="el-GR"/>
        </w:rPr>
        <w:t>μέσα</w:t>
      </w:r>
      <w:r w:rsidR="00426AEF" w:rsidRPr="00426AEF">
        <w:rPr>
          <w:rFonts w:eastAsia="Calibri" w:cstheme="minorHAnsi"/>
          <w:sz w:val="24"/>
          <w:szCs w:val="24"/>
          <w:lang w:val="el-GR"/>
        </w:rPr>
        <w:t xml:space="preserve"> </w:t>
      </w:r>
      <w:r w:rsidR="00426AEF">
        <w:rPr>
          <w:rFonts w:eastAsia="Calibri" w:cstheme="minorHAnsi"/>
          <w:sz w:val="24"/>
          <w:szCs w:val="24"/>
          <w:lang w:val="el-GR"/>
        </w:rPr>
        <w:t>στα</w:t>
      </w:r>
      <w:r w:rsidR="00426AEF" w:rsidRPr="00426AEF">
        <w:rPr>
          <w:rFonts w:eastAsia="Calibri" w:cstheme="minorHAnsi"/>
          <w:sz w:val="24"/>
          <w:szCs w:val="24"/>
          <w:lang w:val="el-GR"/>
        </w:rPr>
        <w:t xml:space="preserve"> </w:t>
      </w:r>
      <w:r w:rsidR="00426AEF">
        <w:rPr>
          <w:rFonts w:eastAsia="Calibri" w:cstheme="minorHAnsi"/>
          <w:sz w:val="24"/>
          <w:szCs w:val="24"/>
          <w:lang w:val="el-GR"/>
        </w:rPr>
        <w:t>πλαίσια</w:t>
      </w:r>
      <w:r w:rsidR="00426AEF" w:rsidRPr="00426AEF">
        <w:rPr>
          <w:rFonts w:eastAsia="Calibri" w:cstheme="minorHAnsi"/>
          <w:sz w:val="24"/>
          <w:szCs w:val="24"/>
          <w:lang w:val="el-GR"/>
        </w:rPr>
        <w:t xml:space="preserve"> </w:t>
      </w:r>
      <w:r w:rsidR="00426AEF">
        <w:rPr>
          <w:rFonts w:eastAsia="Calibri" w:cstheme="minorHAnsi"/>
          <w:sz w:val="24"/>
          <w:szCs w:val="24"/>
          <w:lang w:val="el-GR"/>
        </w:rPr>
        <w:t>επ</w:t>
      </w:r>
      <w:r w:rsidR="00A75502">
        <w:rPr>
          <w:rFonts w:eastAsia="Calibri" w:cstheme="minorHAnsi"/>
          <w:sz w:val="24"/>
          <w:szCs w:val="24"/>
          <w:lang w:val="el-GR"/>
        </w:rPr>
        <w:t>ι</w:t>
      </w:r>
      <w:r w:rsidR="00426AEF">
        <w:rPr>
          <w:rFonts w:eastAsia="Calibri" w:cstheme="minorHAnsi"/>
          <w:sz w:val="24"/>
          <w:szCs w:val="24"/>
          <w:lang w:val="el-GR"/>
        </w:rPr>
        <w:t>σ</w:t>
      </w:r>
      <w:r w:rsidR="00A75502">
        <w:rPr>
          <w:rFonts w:eastAsia="Calibri" w:cstheme="minorHAnsi"/>
          <w:sz w:val="24"/>
          <w:szCs w:val="24"/>
          <w:lang w:val="el-GR"/>
        </w:rPr>
        <w:t>ή</w:t>
      </w:r>
      <w:r w:rsidR="00426AEF">
        <w:rPr>
          <w:rFonts w:eastAsia="Calibri" w:cstheme="minorHAnsi"/>
          <w:sz w:val="24"/>
          <w:szCs w:val="24"/>
          <w:lang w:val="el-GR"/>
        </w:rPr>
        <w:t>μων επισκέψεων</w:t>
      </w:r>
      <w:r w:rsidR="00A5147D" w:rsidRPr="00426AEF">
        <w:rPr>
          <w:rFonts w:eastAsia="Calibri" w:cstheme="minorHAnsi"/>
          <w:sz w:val="24"/>
          <w:szCs w:val="24"/>
          <w:lang w:val="el-GR"/>
        </w:rPr>
        <w:t xml:space="preserve">, </w:t>
      </w:r>
      <w:r w:rsidR="00426AEF">
        <w:rPr>
          <w:rFonts w:eastAsia="Calibri" w:cstheme="minorHAnsi"/>
          <w:sz w:val="24"/>
          <w:szCs w:val="24"/>
          <w:lang w:val="el-GR"/>
        </w:rPr>
        <w:t>συναντήσεων ή</w:t>
      </w:r>
      <w:r w:rsidR="00A5147D" w:rsidRPr="00426AEF">
        <w:rPr>
          <w:rFonts w:eastAsia="Calibri" w:cstheme="minorHAnsi"/>
          <w:sz w:val="24"/>
          <w:szCs w:val="24"/>
          <w:lang w:val="el-GR"/>
        </w:rPr>
        <w:t xml:space="preserve"> </w:t>
      </w:r>
      <w:r w:rsidR="00426AEF">
        <w:rPr>
          <w:rFonts w:eastAsia="Calibri" w:cstheme="minorHAnsi"/>
          <w:sz w:val="24"/>
          <w:szCs w:val="24"/>
          <w:lang w:val="el-GR"/>
        </w:rPr>
        <w:t>αποστολών</w:t>
      </w:r>
      <w:r w:rsidR="00A5147D" w:rsidRPr="00426AEF">
        <w:rPr>
          <w:rFonts w:eastAsia="Calibri" w:cstheme="minorHAnsi"/>
          <w:sz w:val="24"/>
          <w:szCs w:val="24"/>
          <w:lang w:val="el-GR"/>
        </w:rPr>
        <w:t xml:space="preserve">, </w:t>
      </w:r>
      <w:r w:rsidR="00426AEF">
        <w:rPr>
          <w:rFonts w:eastAsia="Calibri" w:cstheme="minorHAnsi"/>
          <w:sz w:val="24"/>
          <w:szCs w:val="24"/>
          <w:lang w:val="el-GR"/>
        </w:rPr>
        <w:t>ή άλλες δωρεές</w:t>
      </w:r>
      <w:r w:rsidR="00A5147D" w:rsidRPr="00426AEF">
        <w:rPr>
          <w:rFonts w:eastAsia="Calibri" w:cstheme="minorHAnsi"/>
          <w:sz w:val="24"/>
          <w:szCs w:val="24"/>
          <w:lang w:val="el-GR"/>
        </w:rPr>
        <w:t xml:space="preserve">, </w:t>
      </w:r>
      <w:r w:rsidR="00426AEF">
        <w:rPr>
          <w:rFonts w:eastAsia="Calibri" w:cstheme="minorHAnsi"/>
          <w:sz w:val="24"/>
          <w:szCs w:val="24"/>
          <w:lang w:val="el-GR"/>
        </w:rPr>
        <w:t>για τις οποίες</w:t>
      </w:r>
      <w:r w:rsidR="00A5147D" w:rsidRPr="00426AEF">
        <w:rPr>
          <w:rFonts w:eastAsia="Calibri" w:cstheme="minorHAnsi"/>
          <w:sz w:val="24"/>
          <w:szCs w:val="24"/>
          <w:lang w:val="el-GR"/>
        </w:rPr>
        <w:t xml:space="preserve"> </w:t>
      </w:r>
      <w:r w:rsidR="00426AEF">
        <w:rPr>
          <w:rFonts w:eastAsia="Calibri" w:cstheme="minorHAnsi"/>
          <w:sz w:val="24"/>
          <w:szCs w:val="24"/>
          <w:lang w:val="el-GR"/>
        </w:rPr>
        <w:t xml:space="preserve">η </w:t>
      </w:r>
      <w:r w:rsidR="0064188C">
        <w:rPr>
          <w:rFonts w:eastAsia="Calibri" w:cstheme="minorHAnsi"/>
          <w:sz w:val="24"/>
          <w:szCs w:val="24"/>
          <w:lang w:val="el-GR"/>
        </w:rPr>
        <w:t>μη</w:t>
      </w:r>
      <w:r w:rsidR="00426AEF">
        <w:rPr>
          <w:rFonts w:eastAsia="Calibri" w:cstheme="minorHAnsi"/>
          <w:sz w:val="24"/>
          <w:szCs w:val="24"/>
          <w:lang w:val="el-GR"/>
        </w:rPr>
        <w:t xml:space="preserve"> αποδοχή ή επιστροφή του δώρου θεωρείται</w:t>
      </w:r>
      <w:r w:rsidR="00A5147D" w:rsidRPr="00426AEF">
        <w:rPr>
          <w:rFonts w:eastAsia="Calibri" w:cstheme="minorHAnsi"/>
          <w:sz w:val="24"/>
          <w:szCs w:val="24"/>
          <w:lang w:val="el-GR"/>
        </w:rPr>
        <w:t xml:space="preserve"> </w:t>
      </w:r>
      <w:r w:rsidR="00426AEF">
        <w:rPr>
          <w:rFonts w:eastAsia="Calibri" w:cstheme="minorHAnsi"/>
          <w:sz w:val="24"/>
          <w:szCs w:val="24"/>
          <w:lang w:val="el-GR"/>
        </w:rPr>
        <w:t>ακατάλληλη</w:t>
      </w:r>
      <w:r w:rsidR="00A5147D" w:rsidRPr="00426AEF">
        <w:rPr>
          <w:rFonts w:eastAsia="Calibri" w:cstheme="minorHAnsi"/>
          <w:sz w:val="24"/>
          <w:szCs w:val="24"/>
          <w:lang w:val="el-GR"/>
        </w:rPr>
        <w:t xml:space="preserve"> –  </w:t>
      </w:r>
      <w:r w:rsidR="00426AEF">
        <w:rPr>
          <w:rFonts w:eastAsia="Calibri" w:cstheme="minorHAnsi"/>
          <w:sz w:val="24"/>
          <w:szCs w:val="24"/>
          <w:lang w:val="el-GR"/>
        </w:rPr>
        <w:t>θα πρέπει να εφαρμόζονται οι πιο καλές πρακτικές της ΕΕ</w:t>
      </w:r>
      <w:r w:rsidR="00A5147D" w:rsidRPr="00426AEF">
        <w:rPr>
          <w:rFonts w:eastAsia="Calibri" w:cstheme="minorHAnsi"/>
          <w:sz w:val="24"/>
          <w:szCs w:val="24"/>
          <w:lang w:val="el-GR"/>
        </w:rPr>
        <w:t>.</w:t>
      </w:r>
      <w:r w:rsidR="00F25F93">
        <w:rPr>
          <w:rStyle w:val="FootnoteReference"/>
          <w:rFonts w:eastAsia="Calibri" w:cstheme="minorHAnsi"/>
          <w:sz w:val="24"/>
          <w:szCs w:val="24"/>
        </w:rPr>
        <w:footnoteReference w:id="51"/>
      </w:r>
      <w:r w:rsidR="00A5147D" w:rsidRPr="00426AEF">
        <w:rPr>
          <w:rFonts w:eastAsia="Calibri" w:cstheme="minorHAnsi"/>
          <w:sz w:val="24"/>
          <w:szCs w:val="24"/>
          <w:lang w:val="el-GR"/>
        </w:rPr>
        <w:t xml:space="preserve"> </w:t>
      </w:r>
      <w:r w:rsidR="00426AEF">
        <w:rPr>
          <w:rFonts w:eastAsia="Calibri" w:cstheme="minorHAnsi"/>
          <w:sz w:val="24"/>
          <w:szCs w:val="24"/>
          <w:lang w:val="el-GR"/>
        </w:rPr>
        <w:t>Αυτό</w:t>
      </w:r>
      <w:r w:rsidR="00426AEF" w:rsidRPr="00426AEF">
        <w:rPr>
          <w:rFonts w:eastAsia="Calibri" w:cstheme="minorHAnsi"/>
          <w:sz w:val="24"/>
          <w:szCs w:val="24"/>
          <w:lang w:val="el-GR"/>
        </w:rPr>
        <w:t xml:space="preserve"> </w:t>
      </w:r>
      <w:r w:rsidR="00426AEF">
        <w:rPr>
          <w:rFonts w:eastAsia="Calibri" w:cstheme="minorHAnsi"/>
          <w:sz w:val="24"/>
          <w:szCs w:val="24"/>
          <w:lang w:val="el-GR"/>
        </w:rPr>
        <w:t>σημαίνει</w:t>
      </w:r>
      <w:r w:rsidR="00426AEF" w:rsidRPr="00426AEF">
        <w:rPr>
          <w:rFonts w:eastAsia="Calibri" w:cstheme="minorHAnsi"/>
          <w:sz w:val="24"/>
          <w:szCs w:val="24"/>
          <w:lang w:val="el-GR"/>
        </w:rPr>
        <w:t xml:space="preserve"> </w:t>
      </w:r>
      <w:r w:rsidR="00426AEF">
        <w:rPr>
          <w:rFonts w:eastAsia="Calibri" w:cstheme="minorHAnsi"/>
          <w:sz w:val="24"/>
          <w:szCs w:val="24"/>
          <w:lang w:val="el-GR"/>
        </w:rPr>
        <w:t>ότι</w:t>
      </w:r>
      <w:r w:rsidR="00426AEF" w:rsidRPr="00426AEF">
        <w:rPr>
          <w:rFonts w:eastAsia="Calibri" w:cstheme="minorHAnsi"/>
          <w:sz w:val="24"/>
          <w:szCs w:val="24"/>
          <w:lang w:val="el-GR"/>
        </w:rPr>
        <w:t xml:space="preserve"> </w:t>
      </w:r>
      <w:r w:rsidR="00426AEF">
        <w:rPr>
          <w:rFonts w:eastAsia="Calibri" w:cstheme="minorHAnsi"/>
          <w:sz w:val="24"/>
          <w:szCs w:val="24"/>
          <w:lang w:val="el-GR"/>
        </w:rPr>
        <w:t>γενικά</w:t>
      </w:r>
      <w:r w:rsidR="00426AEF" w:rsidRPr="00426AEF">
        <w:rPr>
          <w:rFonts w:eastAsia="Calibri" w:cstheme="minorHAnsi"/>
          <w:sz w:val="24"/>
          <w:szCs w:val="24"/>
          <w:lang w:val="el-GR"/>
        </w:rPr>
        <w:t xml:space="preserve"> </w:t>
      </w:r>
      <w:r w:rsidR="00426AEF">
        <w:rPr>
          <w:rFonts w:eastAsia="Calibri" w:cstheme="minorHAnsi"/>
          <w:sz w:val="24"/>
          <w:szCs w:val="24"/>
          <w:lang w:val="el-GR"/>
        </w:rPr>
        <w:t>τα</w:t>
      </w:r>
      <w:r w:rsidR="00426AEF" w:rsidRPr="00426AEF">
        <w:rPr>
          <w:rFonts w:eastAsia="Calibri" w:cstheme="minorHAnsi"/>
          <w:sz w:val="24"/>
          <w:szCs w:val="24"/>
          <w:lang w:val="el-GR"/>
        </w:rPr>
        <w:t xml:space="preserve"> </w:t>
      </w:r>
      <w:r w:rsidR="00426AEF">
        <w:rPr>
          <w:rFonts w:eastAsia="Calibri" w:cstheme="minorHAnsi"/>
          <w:sz w:val="24"/>
          <w:szCs w:val="24"/>
          <w:lang w:val="el-GR"/>
        </w:rPr>
        <w:t>δώρα</w:t>
      </w:r>
      <w:r w:rsidR="00426AEF" w:rsidRPr="00426AEF">
        <w:rPr>
          <w:rFonts w:eastAsia="Calibri" w:cstheme="minorHAnsi"/>
          <w:sz w:val="24"/>
          <w:szCs w:val="24"/>
          <w:lang w:val="el-GR"/>
        </w:rPr>
        <w:t xml:space="preserve"> </w:t>
      </w:r>
      <w:r w:rsidR="00426AEF">
        <w:rPr>
          <w:rFonts w:eastAsia="Calibri" w:cstheme="minorHAnsi"/>
          <w:sz w:val="24"/>
          <w:szCs w:val="24"/>
          <w:lang w:val="el-GR"/>
        </w:rPr>
        <w:t>που</w:t>
      </w:r>
      <w:r w:rsidR="00426AEF" w:rsidRPr="00426AEF">
        <w:rPr>
          <w:rFonts w:eastAsia="Calibri" w:cstheme="minorHAnsi"/>
          <w:sz w:val="24"/>
          <w:szCs w:val="24"/>
          <w:lang w:val="el-GR"/>
        </w:rPr>
        <w:t xml:space="preserve"> </w:t>
      </w:r>
      <w:r w:rsidR="00426AEF">
        <w:rPr>
          <w:rFonts w:eastAsia="Calibri" w:cstheme="minorHAnsi"/>
          <w:sz w:val="24"/>
          <w:szCs w:val="24"/>
          <w:lang w:val="el-GR"/>
        </w:rPr>
        <w:t>υπερβαίνουν</w:t>
      </w:r>
      <w:r w:rsidR="00426AEF" w:rsidRPr="00426AEF">
        <w:rPr>
          <w:rFonts w:eastAsia="Calibri" w:cstheme="minorHAnsi"/>
          <w:sz w:val="24"/>
          <w:szCs w:val="24"/>
          <w:lang w:val="el-GR"/>
        </w:rPr>
        <w:t xml:space="preserve"> </w:t>
      </w:r>
      <w:r w:rsidR="00426AEF">
        <w:rPr>
          <w:rFonts w:eastAsia="Calibri" w:cstheme="minorHAnsi"/>
          <w:sz w:val="24"/>
          <w:szCs w:val="24"/>
          <w:lang w:val="el-GR"/>
        </w:rPr>
        <w:t>την</w:t>
      </w:r>
      <w:r w:rsidR="00426AEF" w:rsidRPr="00426AEF">
        <w:rPr>
          <w:rFonts w:eastAsia="Calibri" w:cstheme="minorHAnsi"/>
          <w:sz w:val="24"/>
          <w:szCs w:val="24"/>
          <w:lang w:val="el-GR"/>
        </w:rPr>
        <w:t xml:space="preserve"> </w:t>
      </w:r>
      <w:r w:rsidR="00426AEF">
        <w:rPr>
          <w:rFonts w:eastAsia="Calibri" w:cstheme="minorHAnsi"/>
          <w:sz w:val="24"/>
          <w:szCs w:val="24"/>
          <w:lang w:val="el-GR"/>
        </w:rPr>
        <w:t>αξία</w:t>
      </w:r>
      <w:r w:rsidR="00426AEF" w:rsidRPr="00426AEF">
        <w:rPr>
          <w:rFonts w:eastAsia="Calibri" w:cstheme="minorHAnsi"/>
          <w:sz w:val="24"/>
          <w:szCs w:val="24"/>
          <w:lang w:val="el-GR"/>
        </w:rPr>
        <w:t xml:space="preserve"> </w:t>
      </w:r>
      <w:r w:rsidR="00426AEF">
        <w:rPr>
          <w:rFonts w:eastAsia="Calibri" w:cstheme="minorHAnsi"/>
          <w:sz w:val="24"/>
          <w:szCs w:val="24"/>
          <w:lang w:val="el-GR"/>
        </w:rPr>
        <w:t>των</w:t>
      </w:r>
      <w:r w:rsidR="00A5147D" w:rsidRPr="00426AEF">
        <w:rPr>
          <w:rFonts w:eastAsia="Calibri" w:cstheme="minorHAnsi"/>
          <w:sz w:val="24"/>
          <w:szCs w:val="24"/>
          <w:lang w:val="el-GR"/>
        </w:rPr>
        <w:t xml:space="preserve"> €150 </w:t>
      </w:r>
      <w:r w:rsidR="00426AEF">
        <w:rPr>
          <w:rFonts w:eastAsia="Calibri" w:cstheme="minorHAnsi"/>
          <w:sz w:val="24"/>
          <w:szCs w:val="24"/>
          <w:lang w:val="el-GR"/>
        </w:rPr>
        <w:t>δεν</w:t>
      </w:r>
      <w:r w:rsidR="00426AEF" w:rsidRPr="00426AEF">
        <w:rPr>
          <w:rFonts w:eastAsia="Calibri" w:cstheme="minorHAnsi"/>
          <w:sz w:val="24"/>
          <w:szCs w:val="24"/>
          <w:lang w:val="el-GR"/>
        </w:rPr>
        <w:t xml:space="preserve"> </w:t>
      </w:r>
      <w:r w:rsidR="00426AEF">
        <w:rPr>
          <w:rFonts w:eastAsia="Calibri" w:cstheme="minorHAnsi"/>
          <w:sz w:val="24"/>
          <w:szCs w:val="24"/>
          <w:lang w:val="el-GR"/>
        </w:rPr>
        <w:t>πρέπει να γίνονται αποδεκτά</w:t>
      </w:r>
      <w:r w:rsidR="00A5147D" w:rsidRPr="00426AEF">
        <w:rPr>
          <w:rFonts w:eastAsia="Calibri" w:cstheme="minorHAnsi"/>
          <w:sz w:val="24"/>
          <w:szCs w:val="24"/>
          <w:lang w:val="el-GR"/>
        </w:rPr>
        <w:t xml:space="preserve">, </w:t>
      </w:r>
      <w:r w:rsidR="00426AEF">
        <w:rPr>
          <w:rFonts w:eastAsia="Calibri" w:cstheme="minorHAnsi"/>
          <w:sz w:val="24"/>
          <w:szCs w:val="24"/>
          <w:lang w:val="el-GR"/>
        </w:rPr>
        <w:t>εκτός αν η άρνηση τους δεν θα ήταν προς όφελος του δημοσίου συμφέροντος</w:t>
      </w:r>
      <w:r w:rsidR="00A5147D" w:rsidRPr="00426AEF">
        <w:rPr>
          <w:rFonts w:eastAsia="Calibri" w:cstheme="minorHAnsi"/>
          <w:sz w:val="24"/>
          <w:szCs w:val="24"/>
          <w:lang w:val="el-GR"/>
        </w:rPr>
        <w:t xml:space="preserve">. </w:t>
      </w:r>
      <w:r w:rsidR="00426AEF">
        <w:rPr>
          <w:rFonts w:eastAsia="Calibri" w:cstheme="minorHAnsi"/>
          <w:sz w:val="24"/>
          <w:szCs w:val="24"/>
          <w:lang w:val="el-GR"/>
        </w:rPr>
        <w:t>Αυτά</w:t>
      </w:r>
      <w:r w:rsidR="00426AEF" w:rsidRPr="00164174">
        <w:rPr>
          <w:rFonts w:eastAsia="Calibri" w:cstheme="minorHAnsi"/>
          <w:sz w:val="24"/>
          <w:szCs w:val="24"/>
          <w:lang w:val="el-GR"/>
        </w:rPr>
        <w:t xml:space="preserve"> </w:t>
      </w:r>
      <w:r w:rsidR="00426AEF">
        <w:rPr>
          <w:rFonts w:eastAsia="Calibri" w:cstheme="minorHAnsi"/>
          <w:sz w:val="24"/>
          <w:szCs w:val="24"/>
          <w:lang w:val="el-GR"/>
        </w:rPr>
        <w:t>τα</w:t>
      </w:r>
      <w:r w:rsidR="00426AEF" w:rsidRPr="00164174">
        <w:rPr>
          <w:rFonts w:eastAsia="Calibri" w:cstheme="minorHAnsi"/>
          <w:sz w:val="24"/>
          <w:szCs w:val="24"/>
          <w:lang w:val="el-GR"/>
        </w:rPr>
        <w:t xml:space="preserve"> </w:t>
      </w:r>
      <w:r w:rsidR="00426AEF">
        <w:rPr>
          <w:rFonts w:eastAsia="Calibri" w:cstheme="minorHAnsi"/>
          <w:sz w:val="24"/>
          <w:szCs w:val="24"/>
          <w:lang w:val="el-GR"/>
        </w:rPr>
        <w:t>δώρα</w:t>
      </w:r>
      <w:r w:rsidR="00426AEF" w:rsidRPr="00164174">
        <w:rPr>
          <w:rFonts w:eastAsia="Calibri" w:cstheme="minorHAnsi"/>
          <w:sz w:val="24"/>
          <w:szCs w:val="24"/>
          <w:lang w:val="el-GR"/>
        </w:rPr>
        <w:t xml:space="preserve"> </w:t>
      </w:r>
      <w:r w:rsidR="00164174">
        <w:rPr>
          <w:rFonts w:eastAsia="Calibri" w:cstheme="minorHAnsi"/>
          <w:sz w:val="24"/>
          <w:szCs w:val="24"/>
          <w:lang w:val="el-GR"/>
        </w:rPr>
        <w:t>πρέπει</w:t>
      </w:r>
      <w:r w:rsidR="00164174" w:rsidRPr="00164174">
        <w:rPr>
          <w:rFonts w:eastAsia="Calibri" w:cstheme="minorHAnsi"/>
          <w:sz w:val="24"/>
          <w:szCs w:val="24"/>
          <w:lang w:val="el-GR"/>
        </w:rPr>
        <w:t xml:space="preserve"> </w:t>
      </w:r>
      <w:r w:rsidR="00164174">
        <w:rPr>
          <w:rFonts w:eastAsia="Calibri" w:cstheme="minorHAnsi"/>
          <w:sz w:val="24"/>
          <w:szCs w:val="24"/>
          <w:lang w:val="el-GR"/>
        </w:rPr>
        <w:t>στη</w:t>
      </w:r>
      <w:r w:rsidR="00164174" w:rsidRPr="00164174">
        <w:rPr>
          <w:rFonts w:eastAsia="Calibri" w:cstheme="minorHAnsi"/>
          <w:sz w:val="24"/>
          <w:szCs w:val="24"/>
          <w:lang w:val="el-GR"/>
        </w:rPr>
        <w:t xml:space="preserve"> </w:t>
      </w:r>
      <w:r w:rsidR="00164174">
        <w:rPr>
          <w:rFonts w:eastAsia="Calibri" w:cstheme="minorHAnsi"/>
          <w:sz w:val="24"/>
          <w:szCs w:val="24"/>
          <w:lang w:val="el-GR"/>
        </w:rPr>
        <w:t>συνέχεια</w:t>
      </w:r>
      <w:r w:rsidR="00164174" w:rsidRPr="00164174">
        <w:rPr>
          <w:rFonts w:eastAsia="Calibri" w:cstheme="minorHAnsi"/>
          <w:sz w:val="24"/>
          <w:szCs w:val="24"/>
          <w:lang w:val="el-GR"/>
        </w:rPr>
        <w:t xml:space="preserve"> </w:t>
      </w:r>
      <w:r w:rsidR="00164174">
        <w:rPr>
          <w:rFonts w:eastAsia="Calibri" w:cstheme="minorHAnsi"/>
          <w:sz w:val="24"/>
          <w:szCs w:val="24"/>
          <w:lang w:val="el-GR"/>
        </w:rPr>
        <w:t>να</w:t>
      </w:r>
      <w:r w:rsidR="00164174" w:rsidRPr="00164174">
        <w:rPr>
          <w:rFonts w:eastAsia="Calibri" w:cstheme="minorHAnsi"/>
          <w:sz w:val="24"/>
          <w:szCs w:val="24"/>
          <w:lang w:val="el-GR"/>
        </w:rPr>
        <w:t xml:space="preserve"> </w:t>
      </w:r>
      <w:r w:rsidR="00164174">
        <w:rPr>
          <w:rFonts w:eastAsia="Calibri" w:cstheme="minorHAnsi"/>
          <w:sz w:val="24"/>
          <w:szCs w:val="24"/>
          <w:lang w:val="el-GR"/>
        </w:rPr>
        <w:t>χρησιμοποιηθούν</w:t>
      </w:r>
      <w:r w:rsidR="00164174" w:rsidRPr="00164174">
        <w:rPr>
          <w:rFonts w:eastAsia="Calibri" w:cstheme="minorHAnsi"/>
          <w:sz w:val="24"/>
          <w:szCs w:val="24"/>
          <w:lang w:val="el-GR"/>
        </w:rPr>
        <w:t xml:space="preserve"> </w:t>
      </w:r>
      <w:r w:rsidR="00164174">
        <w:rPr>
          <w:rFonts w:eastAsia="Calibri" w:cstheme="minorHAnsi"/>
          <w:sz w:val="24"/>
          <w:szCs w:val="24"/>
          <w:lang w:val="el-GR"/>
        </w:rPr>
        <w:t>για</w:t>
      </w:r>
      <w:r w:rsidR="00164174" w:rsidRPr="00164174">
        <w:rPr>
          <w:rFonts w:eastAsia="Calibri" w:cstheme="minorHAnsi"/>
          <w:sz w:val="24"/>
          <w:szCs w:val="24"/>
          <w:lang w:val="el-GR"/>
        </w:rPr>
        <w:t xml:space="preserve"> </w:t>
      </w:r>
      <w:r w:rsidR="00164174">
        <w:rPr>
          <w:rFonts w:eastAsia="Calibri" w:cstheme="minorHAnsi"/>
          <w:sz w:val="24"/>
          <w:szCs w:val="24"/>
          <w:lang w:val="el-GR"/>
        </w:rPr>
        <w:t>το</w:t>
      </w:r>
      <w:r w:rsidR="00164174" w:rsidRPr="00164174">
        <w:rPr>
          <w:rFonts w:eastAsia="Calibri" w:cstheme="minorHAnsi"/>
          <w:sz w:val="24"/>
          <w:szCs w:val="24"/>
          <w:lang w:val="el-GR"/>
        </w:rPr>
        <w:t xml:space="preserve"> </w:t>
      </w:r>
      <w:r w:rsidR="00164174">
        <w:rPr>
          <w:rFonts w:eastAsia="Calibri" w:cstheme="minorHAnsi"/>
          <w:sz w:val="24"/>
          <w:szCs w:val="24"/>
          <w:lang w:val="el-GR"/>
        </w:rPr>
        <w:t>κοινό</w:t>
      </w:r>
      <w:r w:rsidR="00164174" w:rsidRPr="00164174">
        <w:rPr>
          <w:rFonts w:eastAsia="Calibri" w:cstheme="minorHAnsi"/>
          <w:sz w:val="24"/>
          <w:szCs w:val="24"/>
          <w:lang w:val="el-GR"/>
        </w:rPr>
        <w:t xml:space="preserve"> </w:t>
      </w:r>
      <w:r w:rsidR="00164174">
        <w:rPr>
          <w:rFonts w:eastAsia="Calibri" w:cstheme="minorHAnsi"/>
          <w:sz w:val="24"/>
          <w:szCs w:val="24"/>
          <w:lang w:val="el-GR"/>
        </w:rPr>
        <w:t>καλό</w:t>
      </w:r>
      <w:r w:rsidR="00A5147D" w:rsidRPr="00164174">
        <w:rPr>
          <w:rFonts w:eastAsia="Calibri" w:cstheme="minorHAnsi"/>
          <w:sz w:val="24"/>
          <w:szCs w:val="24"/>
          <w:lang w:val="el-GR"/>
        </w:rPr>
        <w:t xml:space="preserve">, </w:t>
      </w:r>
      <w:r w:rsidR="00164174">
        <w:rPr>
          <w:rFonts w:eastAsia="Calibri" w:cstheme="minorHAnsi"/>
          <w:sz w:val="24"/>
          <w:szCs w:val="24"/>
          <w:lang w:val="el-GR"/>
        </w:rPr>
        <w:t>που</w:t>
      </w:r>
      <w:r w:rsidR="00164174" w:rsidRPr="00164174">
        <w:rPr>
          <w:rFonts w:eastAsia="Calibri" w:cstheme="minorHAnsi"/>
          <w:sz w:val="24"/>
          <w:szCs w:val="24"/>
          <w:lang w:val="el-GR"/>
        </w:rPr>
        <w:t xml:space="preserve"> </w:t>
      </w:r>
      <w:r w:rsidR="00164174">
        <w:rPr>
          <w:rFonts w:eastAsia="Calibri" w:cstheme="minorHAnsi"/>
          <w:sz w:val="24"/>
          <w:szCs w:val="24"/>
          <w:lang w:val="el-GR"/>
        </w:rPr>
        <w:t>σημαίνει</w:t>
      </w:r>
      <w:r w:rsidR="00A5147D" w:rsidRPr="00164174">
        <w:rPr>
          <w:rFonts w:eastAsia="Calibri" w:cstheme="minorHAnsi"/>
          <w:sz w:val="24"/>
          <w:szCs w:val="24"/>
          <w:lang w:val="el-GR"/>
        </w:rPr>
        <w:t xml:space="preserve"> </w:t>
      </w:r>
      <w:r w:rsidR="00164174">
        <w:rPr>
          <w:rFonts w:eastAsia="Calibri" w:cstheme="minorHAnsi"/>
          <w:sz w:val="24"/>
          <w:szCs w:val="24"/>
          <w:lang w:val="el-GR"/>
        </w:rPr>
        <w:t>ότι</w:t>
      </w:r>
      <w:r w:rsidR="00164174" w:rsidRPr="00164174">
        <w:rPr>
          <w:rFonts w:eastAsia="Calibri" w:cstheme="minorHAnsi"/>
          <w:sz w:val="24"/>
          <w:szCs w:val="24"/>
          <w:lang w:val="el-GR"/>
        </w:rPr>
        <w:t xml:space="preserve"> </w:t>
      </w:r>
      <w:r w:rsidR="00164174">
        <w:rPr>
          <w:rFonts w:eastAsia="Calibri" w:cstheme="minorHAnsi"/>
          <w:sz w:val="24"/>
          <w:szCs w:val="24"/>
          <w:lang w:val="el-GR"/>
        </w:rPr>
        <w:t>ο</w:t>
      </w:r>
      <w:r w:rsidR="00164174" w:rsidRPr="00164174">
        <w:rPr>
          <w:rFonts w:eastAsia="Calibri" w:cstheme="minorHAnsi"/>
          <w:sz w:val="24"/>
          <w:szCs w:val="24"/>
          <w:lang w:val="el-GR"/>
        </w:rPr>
        <w:t xml:space="preserve"> </w:t>
      </w:r>
      <w:r w:rsidR="00164174">
        <w:rPr>
          <w:rFonts w:eastAsia="Calibri" w:cstheme="minorHAnsi"/>
          <w:sz w:val="24"/>
          <w:szCs w:val="24"/>
          <w:lang w:val="el-GR"/>
        </w:rPr>
        <w:t>αποδέκτης</w:t>
      </w:r>
      <w:r w:rsidR="00164174" w:rsidRPr="00164174">
        <w:rPr>
          <w:rFonts w:eastAsia="Calibri" w:cstheme="minorHAnsi"/>
          <w:sz w:val="24"/>
          <w:szCs w:val="24"/>
          <w:lang w:val="el-GR"/>
        </w:rPr>
        <w:t xml:space="preserve"> </w:t>
      </w:r>
      <w:r w:rsidR="00164174">
        <w:rPr>
          <w:rFonts w:eastAsia="Calibri" w:cstheme="minorHAnsi"/>
          <w:sz w:val="24"/>
          <w:szCs w:val="24"/>
          <w:lang w:val="el-GR"/>
        </w:rPr>
        <w:t>είτε</w:t>
      </w:r>
      <w:r w:rsidR="00164174" w:rsidRPr="00164174">
        <w:rPr>
          <w:rFonts w:eastAsia="Calibri" w:cstheme="minorHAnsi"/>
          <w:sz w:val="24"/>
          <w:szCs w:val="24"/>
          <w:lang w:val="el-GR"/>
        </w:rPr>
        <w:t xml:space="preserve"> </w:t>
      </w:r>
      <w:r w:rsidR="00164174">
        <w:rPr>
          <w:rFonts w:eastAsia="Calibri" w:cstheme="minorHAnsi"/>
          <w:sz w:val="24"/>
          <w:szCs w:val="24"/>
          <w:lang w:val="el-GR"/>
        </w:rPr>
        <w:t>αγοράζει</w:t>
      </w:r>
      <w:r w:rsidR="00164174" w:rsidRPr="00164174">
        <w:rPr>
          <w:rFonts w:eastAsia="Calibri" w:cstheme="minorHAnsi"/>
          <w:sz w:val="24"/>
          <w:szCs w:val="24"/>
          <w:lang w:val="el-GR"/>
        </w:rPr>
        <w:t xml:space="preserve"> </w:t>
      </w:r>
      <w:r w:rsidR="00164174">
        <w:rPr>
          <w:rFonts w:eastAsia="Calibri" w:cstheme="minorHAnsi"/>
          <w:sz w:val="24"/>
          <w:szCs w:val="24"/>
          <w:lang w:val="el-GR"/>
        </w:rPr>
        <w:t>το</w:t>
      </w:r>
      <w:r w:rsidR="00164174" w:rsidRPr="00164174">
        <w:rPr>
          <w:rFonts w:eastAsia="Calibri" w:cstheme="minorHAnsi"/>
          <w:sz w:val="24"/>
          <w:szCs w:val="24"/>
          <w:lang w:val="el-GR"/>
        </w:rPr>
        <w:t xml:space="preserve"> </w:t>
      </w:r>
      <w:r w:rsidR="00164174">
        <w:rPr>
          <w:rFonts w:eastAsia="Calibri" w:cstheme="minorHAnsi"/>
          <w:sz w:val="24"/>
          <w:szCs w:val="24"/>
          <w:lang w:val="el-GR"/>
        </w:rPr>
        <w:t>δώρο</w:t>
      </w:r>
      <w:r w:rsidR="00A5147D" w:rsidRPr="00164174">
        <w:rPr>
          <w:rFonts w:eastAsia="Calibri" w:cstheme="minorHAnsi"/>
          <w:sz w:val="24"/>
          <w:szCs w:val="24"/>
          <w:lang w:val="el-GR"/>
        </w:rPr>
        <w:t xml:space="preserve"> </w:t>
      </w:r>
      <w:r w:rsidR="00164174">
        <w:rPr>
          <w:rFonts w:eastAsia="Calibri" w:cstheme="minorHAnsi"/>
          <w:sz w:val="24"/>
          <w:szCs w:val="24"/>
          <w:lang w:val="el-GR"/>
        </w:rPr>
        <w:t>και</w:t>
      </w:r>
      <w:r w:rsidR="00164174" w:rsidRPr="00164174">
        <w:rPr>
          <w:rFonts w:eastAsia="Calibri" w:cstheme="minorHAnsi"/>
          <w:sz w:val="24"/>
          <w:szCs w:val="24"/>
          <w:lang w:val="el-GR"/>
        </w:rPr>
        <w:t xml:space="preserve"> </w:t>
      </w:r>
      <w:r w:rsidR="00164174">
        <w:rPr>
          <w:rFonts w:eastAsia="Calibri" w:cstheme="minorHAnsi"/>
          <w:sz w:val="24"/>
          <w:szCs w:val="24"/>
          <w:lang w:val="el-GR"/>
        </w:rPr>
        <w:t xml:space="preserve">ακολούθως καταθέτει ένα ποσό </w:t>
      </w:r>
      <w:r w:rsidR="00676FCA">
        <w:rPr>
          <w:rFonts w:eastAsia="Calibri" w:cstheme="minorHAnsi"/>
          <w:sz w:val="24"/>
          <w:szCs w:val="24"/>
          <w:lang w:val="el-GR"/>
        </w:rPr>
        <w:t xml:space="preserve">ίσο </w:t>
      </w:r>
      <w:r w:rsidR="00164174">
        <w:rPr>
          <w:rFonts w:eastAsia="Calibri" w:cstheme="minorHAnsi"/>
          <w:sz w:val="24"/>
          <w:szCs w:val="24"/>
          <w:lang w:val="el-GR"/>
        </w:rPr>
        <w:t>με την αξία του δώρου στους Δημόσιους Λογαριασμούς</w:t>
      </w:r>
      <w:r w:rsidR="00A5147D" w:rsidRPr="00164174">
        <w:rPr>
          <w:rFonts w:eastAsia="Calibri" w:cstheme="minorHAnsi"/>
          <w:sz w:val="24"/>
          <w:szCs w:val="24"/>
          <w:lang w:val="el-GR"/>
        </w:rPr>
        <w:t xml:space="preserve"> </w:t>
      </w:r>
      <w:r w:rsidR="00164174">
        <w:rPr>
          <w:rFonts w:eastAsia="Calibri" w:cstheme="minorHAnsi"/>
          <w:sz w:val="24"/>
          <w:szCs w:val="24"/>
          <w:lang w:val="el-GR"/>
        </w:rPr>
        <w:t>ή τοποθετεί το δώρο στις εγκαταστάσεις του Υπουργείου ή του Προεδρικού Μεγάρου</w:t>
      </w:r>
      <w:r w:rsidR="00A5147D" w:rsidRPr="00164174">
        <w:rPr>
          <w:rFonts w:eastAsia="Calibri" w:cstheme="minorHAnsi"/>
          <w:sz w:val="24"/>
          <w:szCs w:val="24"/>
          <w:lang w:val="el-GR"/>
        </w:rPr>
        <w:t xml:space="preserve">. </w:t>
      </w:r>
    </w:p>
    <w:p w14:paraId="79A05095" w14:textId="77777777" w:rsidR="00A5147D" w:rsidRPr="00164174" w:rsidRDefault="00A5147D" w:rsidP="00A5147D">
      <w:pPr>
        <w:contextualSpacing/>
        <w:rPr>
          <w:rFonts w:eastAsia="Calibri" w:cstheme="minorHAnsi"/>
          <w:sz w:val="24"/>
          <w:szCs w:val="24"/>
          <w:lang w:val="el-GR"/>
        </w:rPr>
      </w:pPr>
    </w:p>
    <w:p w14:paraId="164058F2" w14:textId="22AFE65D" w:rsidR="00A5147D" w:rsidRPr="00A75502" w:rsidRDefault="00A75502" w:rsidP="00A5147D">
      <w:pPr>
        <w:numPr>
          <w:ilvl w:val="0"/>
          <w:numId w:val="1"/>
        </w:numPr>
        <w:tabs>
          <w:tab w:val="clear" w:pos="6095"/>
          <w:tab w:val="left" w:pos="709"/>
        </w:tabs>
        <w:ind w:left="0" w:firstLine="0"/>
        <w:contextualSpacing/>
        <w:rPr>
          <w:rFonts w:eastAsia="Calibri" w:cstheme="minorHAnsi"/>
          <w:sz w:val="24"/>
          <w:szCs w:val="24"/>
          <w:lang w:val="el-GR"/>
        </w:rPr>
      </w:pPr>
      <w:r>
        <w:rPr>
          <w:rFonts w:eastAsia="Calibri" w:cstheme="minorHAnsi"/>
          <w:sz w:val="24"/>
          <w:szCs w:val="24"/>
          <w:lang w:val="el-GR"/>
        </w:rPr>
        <w:t>Όταν</w:t>
      </w:r>
      <w:r w:rsidRPr="00A75502">
        <w:rPr>
          <w:rFonts w:eastAsia="Calibri" w:cstheme="minorHAnsi"/>
          <w:sz w:val="24"/>
          <w:szCs w:val="24"/>
          <w:lang w:val="el-GR"/>
        </w:rPr>
        <w:t xml:space="preserve"> </w:t>
      </w:r>
      <w:r>
        <w:rPr>
          <w:rFonts w:eastAsia="Calibri" w:cstheme="minorHAnsi"/>
          <w:sz w:val="24"/>
          <w:szCs w:val="24"/>
          <w:lang w:val="el-GR"/>
        </w:rPr>
        <w:t>ένα</w:t>
      </w:r>
      <w:r w:rsidRPr="00A75502">
        <w:rPr>
          <w:rFonts w:eastAsia="Calibri" w:cstheme="minorHAnsi"/>
          <w:sz w:val="24"/>
          <w:szCs w:val="24"/>
          <w:lang w:val="el-GR"/>
        </w:rPr>
        <w:t xml:space="preserve"> </w:t>
      </w:r>
      <w:r>
        <w:rPr>
          <w:rFonts w:eastAsia="Calibri" w:cstheme="minorHAnsi"/>
          <w:sz w:val="24"/>
          <w:szCs w:val="24"/>
          <w:lang w:val="el-GR"/>
        </w:rPr>
        <w:t>δώρο</w:t>
      </w:r>
      <w:r w:rsidRPr="00A75502">
        <w:rPr>
          <w:rFonts w:eastAsia="Calibri" w:cstheme="minorHAnsi"/>
          <w:sz w:val="24"/>
          <w:szCs w:val="24"/>
          <w:lang w:val="el-GR"/>
        </w:rPr>
        <w:t xml:space="preserve"> </w:t>
      </w:r>
      <w:r>
        <w:rPr>
          <w:rFonts w:eastAsia="Calibri" w:cstheme="minorHAnsi"/>
          <w:sz w:val="24"/>
          <w:szCs w:val="24"/>
          <w:lang w:val="el-GR"/>
        </w:rPr>
        <w:t>δίνεται</w:t>
      </w:r>
      <w:r w:rsidRPr="00A75502">
        <w:rPr>
          <w:rFonts w:eastAsia="Calibri" w:cstheme="minorHAnsi"/>
          <w:sz w:val="24"/>
          <w:szCs w:val="24"/>
          <w:lang w:val="el-GR"/>
        </w:rPr>
        <w:t xml:space="preserve"> </w:t>
      </w:r>
      <w:r>
        <w:rPr>
          <w:rFonts w:eastAsia="Calibri" w:cstheme="minorHAnsi"/>
          <w:sz w:val="24"/>
          <w:szCs w:val="24"/>
          <w:lang w:val="el-GR"/>
        </w:rPr>
        <w:t>απευθείας</w:t>
      </w:r>
      <w:r w:rsidRPr="00A75502">
        <w:rPr>
          <w:rFonts w:eastAsia="Calibri" w:cstheme="minorHAnsi"/>
          <w:sz w:val="24"/>
          <w:szCs w:val="24"/>
          <w:lang w:val="el-GR"/>
        </w:rPr>
        <w:t xml:space="preserve"> </w:t>
      </w:r>
      <w:r>
        <w:rPr>
          <w:rFonts w:eastAsia="Calibri" w:cstheme="minorHAnsi"/>
          <w:sz w:val="24"/>
          <w:szCs w:val="24"/>
          <w:lang w:val="el-GR"/>
        </w:rPr>
        <w:t>στο</w:t>
      </w:r>
      <w:r w:rsidRPr="00A75502">
        <w:rPr>
          <w:rFonts w:eastAsia="Calibri" w:cstheme="minorHAnsi"/>
          <w:sz w:val="24"/>
          <w:szCs w:val="24"/>
          <w:lang w:val="el-GR"/>
        </w:rPr>
        <w:t xml:space="preserve"> </w:t>
      </w:r>
      <w:r>
        <w:rPr>
          <w:rFonts w:eastAsia="Calibri" w:cstheme="minorHAnsi"/>
          <w:sz w:val="24"/>
          <w:szCs w:val="24"/>
          <w:lang w:val="el-GR"/>
        </w:rPr>
        <w:t>Υπουργείο</w:t>
      </w:r>
      <w:r w:rsidR="00A5147D" w:rsidRPr="00A75502">
        <w:rPr>
          <w:rFonts w:eastAsia="Calibri" w:cstheme="minorHAnsi"/>
          <w:sz w:val="24"/>
          <w:szCs w:val="24"/>
          <w:lang w:val="el-GR"/>
        </w:rPr>
        <w:t xml:space="preserve"> </w:t>
      </w:r>
      <w:r>
        <w:rPr>
          <w:rFonts w:eastAsia="Calibri" w:cstheme="minorHAnsi"/>
          <w:sz w:val="24"/>
          <w:szCs w:val="24"/>
          <w:lang w:val="el-GR"/>
        </w:rPr>
        <w:t>ή</w:t>
      </w:r>
      <w:r w:rsidRPr="00A75502">
        <w:rPr>
          <w:rFonts w:eastAsia="Calibri" w:cstheme="minorHAnsi"/>
          <w:sz w:val="24"/>
          <w:szCs w:val="24"/>
          <w:lang w:val="el-GR"/>
        </w:rPr>
        <w:t xml:space="preserve"> </w:t>
      </w:r>
      <w:r>
        <w:rPr>
          <w:rFonts w:eastAsia="Calibri" w:cstheme="minorHAnsi"/>
          <w:sz w:val="24"/>
          <w:szCs w:val="24"/>
          <w:lang w:val="el-GR"/>
        </w:rPr>
        <w:t>την</w:t>
      </w:r>
      <w:r w:rsidRPr="00A75502">
        <w:rPr>
          <w:rFonts w:eastAsia="Calibri" w:cstheme="minorHAnsi"/>
          <w:sz w:val="24"/>
          <w:szCs w:val="24"/>
          <w:lang w:val="el-GR"/>
        </w:rPr>
        <w:t xml:space="preserve"> </w:t>
      </w:r>
      <w:r>
        <w:rPr>
          <w:rFonts w:eastAsia="Calibri" w:cstheme="minorHAnsi"/>
          <w:sz w:val="24"/>
          <w:szCs w:val="24"/>
          <w:lang w:val="el-GR"/>
        </w:rPr>
        <w:t>Προεδρία</w:t>
      </w:r>
      <w:r w:rsidR="00A5147D" w:rsidRPr="00A75502">
        <w:rPr>
          <w:rFonts w:eastAsia="Calibri" w:cstheme="minorHAnsi"/>
          <w:sz w:val="24"/>
          <w:szCs w:val="24"/>
          <w:lang w:val="el-GR"/>
        </w:rPr>
        <w:t xml:space="preserve"> </w:t>
      </w:r>
      <w:r>
        <w:rPr>
          <w:rFonts w:eastAsia="Calibri" w:cstheme="minorHAnsi"/>
          <w:sz w:val="24"/>
          <w:szCs w:val="24"/>
          <w:lang w:val="el-GR"/>
        </w:rPr>
        <w:t>και</w:t>
      </w:r>
      <w:r w:rsidRPr="00A75502">
        <w:rPr>
          <w:rFonts w:eastAsia="Calibri" w:cstheme="minorHAnsi"/>
          <w:sz w:val="24"/>
          <w:szCs w:val="24"/>
          <w:lang w:val="el-GR"/>
        </w:rPr>
        <w:t xml:space="preserve"> </w:t>
      </w:r>
      <w:r>
        <w:rPr>
          <w:rFonts w:eastAsia="Calibri" w:cstheme="minorHAnsi"/>
          <w:sz w:val="24"/>
          <w:szCs w:val="24"/>
          <w:lang w:val="el-GR"/>
        </w:rPr>
        <w:t>όχι</w:t>
      </w:r>
      <w:r w:rsidRPr="00A75502">
        <w:rPr>
          <w:rFonts w:eastAsia="Calibri" w:cstheme="minorHAnsi"/>
          <w:sz w:val="24"/>
          <w:szCs w:val="24"/>
          <w:lang w:val="el-GR"/>
        </w:rPr>
        <w:t xml:space="preserve"> </w:t>
      </w:r>
      <w:r>
        <w:rPr>
          <w:rFonts w:eastAsia="Calibri" w:cstheme="minorHAnsi"/>
          <w:sz w:val="24"/>
          <w:szCs w:val="24"/>
          <w:lang w:val="el-GR"/>
        </w:rPr>
        <w:t>σε</w:t>
      </w:r>
      <w:r w:rsidRPr="00A75502">
        <w:rPr>
          <w:rFonts w:eastAsia="Calibri" w:cstheme="minorHAnsi"/>
          <w:sz w:val="24"/>
          <w:szCs w:val="24"/>
          <w:lang w:val="el-GR"/>
        </w:rPr>
        <w:t xml:space="preserve"> </w:t>
      </w:r>
      <w:r>
        <w:rPr>
          <w:rFonts w:eastAsia="Calibri" w:cstheme="minorHAnsi"/>
          <w:sz w:val="24"/>
          <w:szCs w:val="24"/>
          <w:lang w:val="el-GR"/>
        </w:rPr>
        <w:t>ένα</w:t>
      </w:r>
      <w:r w:rsidRPr="00A75502">
        <w:rPr>
          <w:rFonts w:eastAsia="Calibri" w:cstheme="minorHAnsi"/>
          <w:sz w:val="24"/>
          <w:szCs w:val="24"/>
          <w:lang w:val="el-GR"/>
        </w:rPr>
        <w:t xml:space="preserve"> </w:t>
      </w:r>
      <w:r>
        <w:rPr>
          <w:rFonts w:eastAsia="Calibri" w:cstheme="minorHAnsi"/>
          <w:sz w:val="24"/>
          <w:szCs w:val="24"/>
          <w:lang w:val="el-GR"/>
        </w:rPr>
        <w:t>λειτουργό</w:t>
      </w:r>
      <w:r w:rsidR="00A5147D" w:rsidRPr="00A75502">
        <w:rPr>
          <w:rFonts w:eastAsia="Calibri" w:cstheme="minorHAnsi"/>
          <w:sz w:val="24"/>
          <w:szCs w:val="24"/>
          <w:lang w:val="el-GR"/>
        </w:rPr>
        <w:t xml:space="preserve">, </w:t>
      </w:r>
      <w:r>
        <w:rPr>
          <w:rFonts w:eastAsia="Calibri" w:cstheme="minorHAnsi"/>
          <w:sz w:val="24"/>
          <w:szCs w:val="24"/>
          <w:lang w:val="el-GR"/>
        </w:rPr>
        <w:t>τότε</w:t>
      </w:r>
      <w:r w:rsidRPr="00A75502">
        <w:rPr>
          <w:rFonts w:eastAsia="Calibri" w:cstheme="minorHAnsi"/>
          <w:sz w:val="24"/>
          <w:szCs w:val="24"/>
          <w:lang w:val="el-GR"/>
        </w:rPr>
        <w:t xml:space="preserve"> </w:t>
      </w:r>
      <w:r>
        <w:rPr>
          <w:rFonts w:eastAsia="Calibri" w:cstheme="minorHAnsi"/>
          <w:sz w:val="24"/>
          <w:szCs w:val="24"/>
          <w:lang w:val="el-GR"/>
        </w:rPr>
        <w:t>ισχύει η δευτεροβάθμια νομοθεσία</w:t>
      </w:r>
      <w:r w:rsidR="00A5147D" w:rsidRPr="00A75502">
        <w:rPr>
          <w:rFonts w:eastAsia="Calibri" w:cstheme="minorHAnsi"/>
          <w:sz w:val="24"/>
          <w:szCs w:val="24"/>
          <w:lang w:val="el-GR"/>
        </w:rPr>
        <w:t xml:space="preserve">, </w:t>
      </w:r>
      <w:r>
        <w:rPr>
          <w:rFonts w:eastAsia="Calibri" w:cstheme="minorHAnsi"/>
          <w:sz w:val="24"/>
          <w:szCs w:val="24"/>
          <w:lang w:val="el-GR"/>
        </w:rPr>
        <w:t>ιδιαίτερα, οι Κανονισμοί Κυβερνητικ</w:t>
      </w:r>
      <w:r w:rsidR="00E82136">
        <w:rPr>
          <w:rFonts w:eastAsia="Calibri" w:cstheme="minorHAnsi"/>
          <w:sz w:val="24"/>
          <w:szCs w:val="24"/>
          <w:lang w:val="el-GR"/>
        </w:rPr>
        <w:t>ών</w:t>
      </w:r>
      <w:r>
        <w:rPr>
          <w:rFonts w:eastAsia="Calibri" w:cstheme="minorHAnsi"/>
          <w:sz w:val="24"/>
          <w:szCs w:val="24"/>
          <w:lang w:val="el-GR"/>
        </w:rPr>
        <w:t xml:space="preserve"> </w:t>
      </w:r>
      <w:r w:rsidR="00E82136">
        <w:rPr>
          <w:rFonts w:eastAsia="Calibri" w:cstheme="minorHAnsi"/>
          <w:sz w:val="24"/>
          <w:szCs w:val="24"/>
          <w:lang w:val="el-GR"/>
        </w:rPr>
        <w:lastRenderedPageBreak/>
        <w:t xml:space="preserve">Αποθηκών </w:t>
      </w:r>
      <w:r>
        <w:rPr>
          <w:rFonts w:eastAsia="Calibri" w:cstheme="minorHAnsi"/>
          <w:sz w:val="24"/>
          <w:szCs w:val="24"/>
          <w:lang w:val="el-GR"/>
        </w:rPr>
        <w:t>της Κυπριακής Δημοκρατίας</w:t>
      </w:r>
      <w:r w:rsidR="00A5147D" w:rsidRPr="00A75502">
        <w:rPr>
          <w:rFonts w:eastAsia="Calibri" w:cstheme="minorHAnsi"/>
          <w:sz w:val="24"/>
          <w:szCs w:val="24"/>
          <w:lang w:val="el-GR"/>
        </w:rPr>
        <w:t xml:space="preserve">. </w:t>
      </w:r>
      <w:r>
        <w:rPr>
          <w:rFonts w:eastAsia="Calibri" w:cstheme="minorHAnsi"/>
          <w:sz w:val="24"/>
          <w:szCs w:val="24"/>
          <w:lang w:val="el-GR"/>
        </w:rPr>
        <w:t>Σύμφωνα</w:t>
      </w:r>
      <w:r w:rsidRPr="00A75502">
        <w:rPr>
          <w:rFonts w:eastAsia="Calibri" w:cstheme="minorHAnsi"/>
          <w:sz w:val="24"/>
          <w:szCs w:val="24"/>
          <w:lang w:val="el-GR"/>
        </w:rPr>
        <w:t xml:space="preserve"> </w:t>
      </w:r>
      <w:r>
        <w:rPr>
          <w:rFonts w:eastAsia="Calibri" w:cstheme="minorHAnsi"/>
          <w:sz w:val="24"/>
          <w:szCs w:val="24"/>
          <w:lang w:val="el-GR"/>
        </w:rPr>
        <w:t>με</w:t>
      </w:r>
      <w:r w:rsidRPr="00A75502">
        <w:rPr>
          <w:rFonts w:eastAsia="Calibri" w:cstheme="minorHAnsi"/>
          <w:sz w:val="24"/>
          <w:szCs w:val="24"/>
          <w:lang w:val="el-GR"/>
        </w:rPr>
        <w:t xml:space="preserve"> </w:t>
      </w:r>
      <w:r>
        <w:rPr>
          <w:rFonts w:eastAsia="Calibri" w:cstheme="minorHAnsi"/>
          <w:sz w:val="24"/>
          <w:szCs w:val="24"/>
          <w:lang w:val="el-GR"/>
        </w:rPr>
        <w:t>το</w:t>
      </w:r>
      <w:r w:rsidRPr="00A75502">
        <w:rPr>
          <w:rFonts w:eastAsia="Calibri" w:cstheme="minorHAnsi"/>
          <w:sz w:val="24"/>
          <w:szCs w:val="24"/>
          <w:lang w:val="el-GR"/>
        </w:rPr>
        <w:t xml:space="preserve"> </w:t>
      </w:r>
      <w:r>
        <w:rPr>
          <w:rFonts w:eastAsia="Calibri" w:cstheme="minorHAnsi"/>
          <w:sz w:val="24"/>
          <w:szCs w:val="24"/>
          <w:lang w:val="el-GR"/>
        </w:rPr>
        <w:t>Άρθρο</w:t>
      </w:r>
      <w:r w:rsidR="00A5147D" w:rsidRPr="00A75502">
        <w:rPr>
          <w:rFonts w:eastAsia="Calibri" w:cstheme="minorHAnsi"/>
          <w:sz w:val="24"/>
          <w:szCs w:val="24"/>
          <w:lang w:val="el-GR"/>
        </w:rPr>
        <w:t xml:space="preserve"> 49 (</w:t>
      </w:r>
      <w:r>
        <w:rPr>
          <w:rFonts w:eastAsia="Calibri" w:cstheme="minorHAnsi"/>
          <w:sz w:val="24"/>
          <w:szCs w:val="24"/>
          <w:lang w:val="el-GR"/>
        </w:rPr>
        <w:t>γ</w:t>
      </w:r>
      <w:r w:rsidR="00A5147D" w:rsidRPr="00A75502">
        <w:rPr>
          <w:rFonts w:eastAsia="Calibri" w:cstheme="minorHAnsi"/>
          <w:sz w:val="24"/>
          <w:szCs w:val="24"/>
          <w:lang w:val="el-GR"/>
        </w:rPr>
        <w:t xml:space="preserve">) </w:t>
      </w:r>
      <w:r>
        <w:rPr>
          <w:rFonts w:eastAsia="Calibri" w:cstheme="minorHAnsi"/>
          <w:sz w:val="24"/>
          <w:szCs w:val="24"/>
          <w:lang w:val="el-GR"/>
        </w:rPr>
        <w:t>των</w:t>
      </w:r>
      <w:r w:rsidRPr="00A75502">
        <w:rPr>
          <w:rFonts w:eastAsia="Calibri" w:cstheme="minorHAnsi"/>
          <w:sz w:val="24"/>
          <w:szCs w:val="24"/>
          <w:lang w:val="el-GR"/>
        </w:rPr>
        <w:t xml:space="preserve"> </w:t>
      </w:r>
      <w:r>
        <w:rPr>
          <w:rFonts w:eastAsia="Calibri" w:cstheme="minorHAnsi"/>
          <w:sz w:val="24"/>
          <w:szCs w:val="24"/>
          <w:lang w:val="el-GR"/>
        </w:rPr>
        <w:t>Κανονισμών</w:t>
      </w:r>
      <w:r w:rsidRPr="00A75502">
        <w:rPr>
          <w:rFonts w:eastAsia="Calibri" w:cstheme="minorHAnsi"/>
          <w:sz w:val="24"/>
          <w:szCs w:val="24"/>
          <w:lang w:val="el-GR"/>
        </w:rPr>
        <w:t xml:space="preserve"> </w:t>
      </w:r>
      <w:r>
        <w:rPr>
          <w:rFonts w:eastAsia="Calibri" w:cstheme="minorHAnsi"/>
          <w:sz w:val="24"/>
          <w:szCs w:val="24"/>
          <w:lang w:val="el-GR"/>
        </w:rPr>
        <w:t>αυτών</w:t>
      </w:r>
      <w:r w:rsidR="00A5147D" w:rsidRPr="00A75502">
        <w:rPr>
          <w:rFonts w:eastAsia="Calibri" w:cstheme="minorHAnsi"/>
          <w:sz w:val="24"/>
          <w:szCs w:val="24"/>
          <w:lang w:val="el-GR"/>
        </w:rPr>
        <w:t xml:space="preserve">, </w:t>
      </w:r>
      <w:r>
        <w:rPr>
          <w:rFonts w:eastAsia="Calibri" w:cstheme="minorHAnsi"/>
          <w:sz w:val="24"/>
          <w:szCs w:val="24"/>
          <w:lang w:val="el-GR"/>
        </w:rPr>
        <w:t>τέτοια</w:t>
      </w:r>
      <w:r w:rsidRPr="00A75502">
        <w:rPr>
          <w:rFonts w:eastAsia="Calibri" w:cstheme="minorHAnsi"/>
          <w:sz w:val="24"/>
          <w:szCs w:val="24"/>
          <w:lang w:val="el-GR"/>
        </w:rPr>
        <w:t xml:space="preserve"> </w:t>
      </w:r>
      <w:r>
        <w:rPr>
          <w:rFonts w:eastAsia="Calibri" w:cstheme="minorHAnsi"/>
          <w:sz w:val="24"/>
          <w:szCs w:val="24"/>
          <w:lang w:val="el-GR"/>
        </w:rPr>
        <w:t>δώρα</w:t>
      </w:r>
      <w:r w:rsidR="00A5147D" w:rsidRPr="00A75502">
        <w:rPr>
          <w:rFonts w:eastAsia="Calibri" w:cstheme="minorHAnsi"/>
          <w:sz w:val="24"/>
          <w:szCs w:val="24"/>
          <w:lang w:val="el-GR"/>
        </w:rPr>
        <w:t xml:space="preserve"> </w:t>
      </w:r>
      <w:r>
        <w:rPr>
          <w:rFonts w:eastAsia="Calibri" w:cstheme="minorHAnsi"/>
          <w:sz w:val="24"/>
          <w:szCs w:val="24"/>
          <w:lang w:val="el-GR"/>
        </w:rPr>
        <w:t>καταχωρούνται</w:t>
      </w:r>
      <w:r w:rsidRPr="00A75502">
        <w:rPr>
          <w:rFonts w:eastAsia="Calibri" w:cstheme="minorHAnsi"/>
          <w:sz w:val="24"/>
          <w:szCs w:val="24"/>
          <w:lang w:val="el-GR"/>
        </w:rPr>
        <w:t xml:space="preserve"> </w:t>
      </w:r>
      <w:r>
        <w:rPr>
          <w:rFonts w:eastAsia="Calibri" w:cstheme="minorHAnsi"/>
          <w:sz w:val="24"/>
          <w:szCs w:val="24"/>
          <w:lang w:val="el-GR"/>
        </w:rPr>
        <w:t>σε</w:t>
      </w:r>
      <w:r w:rsidRPr="00A75502">
        <w:rPr>
          <w:rFonts w:eastAsia="Calibri" w:cstheme="minorHAnsi"/>
          <w:sz w:val="24"/>
          <w:szCs w:val="24"/>
          <w:lang w:val="el-GR"/>
        </w:rPr>
        <w:t xml:space="preserve"> </w:t>
      </w:r>
      <w:r>
        <w:rPr>
          <w:rFonts w:eastAsia="Calibri" w:cstheme="minorHAnsi"/>
          <w:sz w:val="24"/>
          <w:szCs w:val="24"/>
          <w:lang w:val="el-GR"/>
        </w:rPr>
        <w:t>ένα</w:t>
      </w:r>
      <w:r w:rsidRPr="00A75502">
        <w:rPr>
          <w:rFonts w:eastAsia="Calibri" w:cstheme="minorHAnsi"/>
          <w:sz w:val="24"/>
          <w:szCs w:val="24"/>
          <w:lang w:val="el-GR"/>
        </w:rPr>
        <w:t xml:space="preserve"> </w:t>
      </w:r>
      <w:r>
        <w:rPr>
          <w:rFonts w:eastAsia="Calibri" w:cstheme="minorHAnsi"/>
          <w:sz w:val="24"/>
          <w:szCs w:val="24"/>
          <w:lang w:val="el-GR"/>
        </w:rPr>
        <w:t>ειδικό</w:t>
      </w:r>
      <w:r w:rsidRPr="00A75502">
        <w:rPr>
          <w:rFonts w:eastAsia="Calibri" w:cstheme="minorHAnsi"/>
          <w:sz w:val="24"/>
          <w:szCs w:val="24"/>
          <w:lang w:val="el-GR"/>
        </w:rPr>
        <w:t xml:space="preserve"> </w:t>
      </w:r>
      <w:r>
        <w:rPr>
          <w:rFonts w:eastAsia="Calibri" w:cstheme="minorHAnsi"/>
          <w:sz w:val="24"/>
          <w:szCs w:val="24"/>
          <w:lang w:val="el-GR"/>
        </w:rPr>
        <w:t>μητρώο</w:t>
      </w:r>
      <w:r w:rsidR="00A5147D" w:rsidRPr="00A75502">
        <w:rPr>
          <w:rFonts w:eastAsia="Calibri" w:cstheme="minorHAnsi"/>
          <w:sz w:val="24"/>
          <w:szCs w:val="24"/>
          <w:lang w:val="el-GR"/>
        </w:rPr>
        <w:t xml:space="preserve"> </w:t>
      </w:r>
      <w:r>
        <w:rPr>
          <w:rFonts w:eastAsia="Calibri" w:cstheme="minorHAnsi"/>
          <w:sz w:val="24"/>
          <w:szCs w:val="24"/>
          <w:lang w:val="el-GR"/>
        </w:rPr>
        <w:t>που</w:t>
      </w:r>
      <w:r w:rsidRPr="00A75502">
        <w:rPr>
          <w:rFonts w:eastAsia="Calibri" w:cstheme="minorHAnsi"/>
          <w:sz w:val="24"/>
          <w:szCs w:val="24"/>
          <w:lang w:val="el-GR"/>
        </w:rPr>
        <w:t xml:space="preserve"> </w:t>
      </w:r>
      <w:r>
        <w:rPr>
          <w:rFonts w:eastAsia="Calibri" w:cstheme="minorHAnsi"/>
          <w:sz w:val="24"/>
          <w:szCs w:val="24"/>
          <w:lang w:val="el-GR"/>
        </w:rPr>
        <w:t>διατηρείται</w:t>
      </w:r>
      <w:r w:rsidRPr="00A75502">
        <w:rPr>
          <w:rFonts w:eastAsia="Calibri" w:cstheme="minorHAnsi"/>
          <w:sz w:val="24"/>
          <w:szCs w:val="24"/>
          <w:lang w:val="el-GR"/>
        </w:rPr>
        <w:t xml:space="preserve"> </w:t>
      </w:r>
      <w:r>
        <w:rPr>
          <w:rFonts w:eastAsia="Calibri" w:cstheme="minorHAnsi"/>
          <w:sz w:val="24"/>
          <w:szCs w:val="24"/>
          <w:lang w:val="el-GR"/>
        </w:rPr>
        <w:t>από</w:t>
      </w:r>
      <w:r w:rsidRPr="00A75502">
        <w:rPr>
          <w:rFonts w:eastAsia="Calibri" w:cstheme="minorHAnsi"/>
          <w:sz w:val="24"/>
          <w:szCs w:val="24"/>
          <w:lang w:val="el-GR"/>
        </w:rPr>
        <w:t xml:space="preserve"> </w:t>
      </w:r>
      <w:r>
        <w:rPr>
          <w:rFonts w:eastAsia="Calibri" w:cstheme="minorHAnsi"/>
          <w:sz w:val="24"/>
          <w:szCs w:val="24"/>
          <w:lang w:val="el-GR"/>
        </w:rPr>
        <w:t>την</w:t>
      </w:r>
      <w:r w:rsidRPr="00A75502">
        <w:rPr>
          <w:rFonts w:eastAsia="Calibri" w:cstheme="minorHAnsi"/>
          <w:sz w:val="24"/>
          <w:szCs w:val="24"/>
          <w:lang w:val="el-GR"/>
        </w:rPr>
        <w:t xml:space="preserve"> </w:t>
      </w:r>
      <w:r>
        <w:rPr>
          <w:rFonts w:eastAsia="Calibri" w:cstheme="minorHAnsi"/>
          <w:sz w:val="24"/>
          <w:szCs w:val="24"/>
          <w:lang w:val="el-GR"/>
        </w:rPr>
        <w:t>αποθήκη</w:t>
      </w:r>
      <w:r w:rsidR="00A5147D" w:rsidRPr="00A75502">
        <w:rPr>
          <w:rFonts w:eastAsia="Calibri" w:cstheme="minorHAnsi"/>
          <w:sz w:val="24"/>
          <w:szCs w:val="24"/>
          <w:lang w:val="el-GR"/>
        </w:rPr>
        <w:t xml:space="preserve"> (</w:t>
      </w:r>
      <w:r w:rsidR="00A5147D" w:rsidRPr="004E251E">
        <w:rPr>
          <w:rFonts w:eastAsia="Calibri" w:cstheme="minorHAnsi"/>
          <w:sz w:val="24"/>
          <w:szCs w:val="24"/>
        </w:rPr>
        <w:t>GEN</w:t>
      </w:r>
      <w:r w:rsidR="00A5147D" w:rsidRPr="00A75502">
        <w:rPr>
          <w:rFonts w:eastAsia="Calibri" w:cstheme="minorHAnsi"/>
          <w:sz w:val="24"/>
          <w:szCs w:val="24"/>
          <w:lang w:val="el-GR"/>
        </w:rPr>
        <w:t xml:space="preserve"> 29), </w:t>
      </w:r>
      <w:r>
        <w:rPr>
          <w:rFonts w:eastAsia="Calibri" w:cstheme="minorHAnsi"/>
          <w:sz w:val="24"/>
          <w:szCs w:val="24"/>
          <w:lang w:val="el-GR"/>
        </w:rPr>
        <w:t>με μια ακριβή αναφορά για το είδος του</w:t>
      </w:r>
      <w:r w:rsidR="00A5147D" w:rsidRPr="00A75502">
        <w:rPr>
          <w:rFonts w:eastAsia="Calibri" w:cstheme="minorHAnsi"/>
          <w:sz w:val="24"/>
          <w:szCs w:val="24"/>
          <w:lang w:val="el-GR"/>
        </w:rPr>
        <w:t xml:space="preserve">, </w:t>
      </w:r>
      <w:r>
        <w:rPr>
          <w:rFonts w:eastAsia="Calibri" w:cstheme="minorHAnsi"/>
          <w:sz w:val="24"/>
          <w:szCs w:val="24"/>
          <w:lang w:val="el-GR"/>
        </w:rPr>
        <w:t>την καταγωγή του</w:t>
      </w:r>
      <w:r w:rsidR="00A5147D" w:rsidRPr="00A75502">
        <w:rPr>
          <w:rFonts w:eastAsia="Calibri" w:cstheme="minorHAnsi"/>
          <w:sz w:val="24"/>
          <w:szCs w:val="24"/>
          <w:lang w:val="el-GR"/>
        </w:rPr>
        <w:t xml:space="preserve">, </w:t>
      </w:r>
      <w:r>
        <w:rPr>
          <w:rFonts w:eastAsia="Calibri" w:cstheme="minorHAnsi"/>
          <w:sz w:val="24"/>
          <w:szCs w:val="24"/>
          <w:lang w:val="el-GR"/>
        </w:rPr>
        <w:t>ακριβή ή υπολογισμένη αξία</w:t>
      </w:r>
      <w:r w:rsidR="00A5147D" w:rsidRPr="00A75502">
        <w:rPr>
          <w:rFonts w:eastAsia="Calibri" w:cstheme="minorHAnsi"/>
          <w:sz w:val="24"/>
          <w:szCs w:val="24"/>
          <w:lang w:val="el-GR"/>
        </w:rPr>
        <w:t xml:space="preserve"> </w:t>
      </w:r>
      <w:r>
        <w:rPr>
          <w:rFonts w:eastAsia="Calibri" w:cstheme="minorHAnsi"/>
          <w:sz w:val="24"/>
          <w:szCs w:val="24"/>
          <w:lang w:val="el-GR"/>
        </w:rPr>
        <w:t>και την ημερομηνία κατά την οποία</w:t>
      </w:r>
      <w:r w:rsidR="00A5147D" w:rsidRPr="00A75502">
        <w:rPr>
          <w:rFonts w:eastAsia="Calibri" w:cstheme="minorHAnsi"/>
          <w:sz w:val="24"/>
          <w:szCs w:val="24"/>
          <w:lang w:val="el-GR"/>
        </w:rPr>
        <w:t xml:space="preserve"> </w:t>
      </w:r>
      <w:r>
        <w:rPr>
          <w:rFonts w:eastAsia="Calibri" w:cstheme="minorHAnsi"/>
          <w:sz w:val="24"/>
          <w:szCs w:val="24"/>
          <w:lang w:val="el-GR"/>
        </w:rPr>
        <w:t>παραλήφθηκε το δώρο</w:t>
      </w:r>
      <w:r w:rsidR="00A5147D" w:rsidRPr="00A75502">
        <w:rPr>
          <w:rFonts w:eastAsia="Calibri" w:cstheme="minorHAnsi"/>
          <w:sz w:val="24"/>
          <w:szCs w:val="24"/>
          <w:lang w:val="el-GR"/>
        </w:rPr>
        <w:t xml:space="preserve">. </w:t>
      </w:r>
      <w:r>
        <w:rPr>
          <w:rFonts w:eastAsia="Calibri" w:cstheme="minorHAnsi"/>
          <w:sz w:val="24"/>
          <w:szCs w:val="24"/>
          <w:lang w:val="el-GR"/>
        </w:rPr>
        <w:t>Ακολούθως</w:t>
      </w:r>
      <w:r w:rsidRPr="00A75502">
        <w:rPr>
          <w:rFonts w:eastAsia="Calibri" w:cstheme="minorHAnsi"/>
          <w:sz w:val="24"/>
          <w:szCs w:val="24"/>
          <w:lang w:val="el-GR"/>
        </w:rPr>
        <w:t xml:space="preserve"> </w:t>
      </w:r>
      <w:r>
        <w:rPr>
          <w:rFonts w:eastAsia="Calibri" w:cstheme="minorHAnsi"/>
          <w:sz w:val="24"/>
          <w:szCs w:val="24"/>
          <w:lang w:val="el-GR"/>
        </w:rPr>
        <w:t>το</w:t>
      </w:r>
      <w:r w:rsidRPr="00A75502">
        <w:rPr>
          <w:rFonts w:eastAsia="Calibri" w:cstheme="minorHAnsi"/>
          <w:sz w:val="24"/>
          <w:szCs w:val="24"/>
          <w:lang w:val="el-GR"/>
        </w:rPr>
        <w:t xml:space="preserve"> </w:t>
      </w:r>
      <w:r>
        <w:rPr>
          <w:rFonts w:eastAsia="Calibri" w:cstheme="minorHAnsi"/>
          <w:sz w:val="24"/>
          <w:szCs w:val="24"/>
          <w:lang w:val="el-GR"/>
        </w:rPr>
        <w:t>δώρο</w:t>
      </w:r>
      <w:r w:rsidRPr="00A75502">
        <w:rPr>
          <w:rFonts w:eastAsia="Calibri" w:cstheme="minorHAnsi"/>
          <w:sz w:val="24"/>
          <w:szCs w:val="24"/>
          <w:lang w:val="el-GR"/>
        </w:rPr>
        <w:t xml:space="preserve"> </w:t>
      </w:r>
      <w:r>
        <w:rPr>
          <w:rFonts w:eastAsia="Calibri" w:cstheme="minorHAnsi"/>
          <w:sz w:val="24"/>
          <w:szCs w:val="24"/>
          <w:lang w:val="el-GR"/>
        </w:rPr>
        <w:t>αποθηκεύεται</w:t>
      </w:r>
      <w:r w:rsidRPr="00A75502">
        <w:rPr>
          <w:rFonts w:eastAsia="Calibri" w:cstheme="minorHAnsi"/>
          <w:sz w:val="24"/>
          <w:szCs w:val="24"/>
          <w:lang w:val="el-GR"/>
        </w:rPr>
        <w:t xml:space="preserve"> </w:t>
      </w:r>
      <w:r>
        <w:rPr>
          <w:rFonts w:eastAsia="Calibri" w:cstheme="minorHAnsi"/>
          <w:sz w:val="24"/>
          <w:szCs w:val="24"/>
          <w:lang w:val="el-GR"/>
        </w:rPr>
        <w:t>σε</w:t>
      </w:r>
      <w:r w:rsidRPr="00A75502">
        <w:rPr>
          <w:rFonts w:eastAsia="Calibri" w:cstheme="minorHAnsi"/>
          <w:sz w:val="24"/>
          <w:szCs w:val="24"/>
          <w:lang w:val="el-GR"/>
        </w:rPr>
        <w:t xml:space="preserve"> </w:t>
      </w:r>
      <w:r>
        <w:rPr>
          <w:rFonts w:eastAsia="Calibri" w:cstheme="minorHAnsi"/>
          <w:sz w:val="24"/>
          <w:szCs w:val="24"/>
          <w:lang w:val="el-GR"/>
        </w:rPr>
        <w:t>μια</w:t>
      </w:r>
      <w:r w:rsidRPr="00A75502">
        <w:rPr>
          <w:rFonts w:eastAsia="Calibri" w:cstheme="minorHAnsi"/>
          <w:sz w:val="24"/>
          <w:szCs w:val="24"/>
          <w:lang w:val="el-GR"/>
        </w:rPr>
        <w:t xml:space="preserve"> </w:t>
      </w:r>
      <w:r>
        <w:rPr>
          <w:rFonts w:eastAsia="Calibri" w:cstheme="minorHAnsi"/>
          <w:sz w:val="24"/>
          <w:szCs w:val="24"/>
          <w:lang w:val="el-GR"/>
        </w:rPr>
        <w:t>ειδική</w:t>
      </w:r>
      <w:r w:rsidRPr="00A75502">
        <w:rPr>
          <w:rFonts w:eastAsia="Calibri" w:cstheme="minorHAnsi"/>
          <w:sz w:val="24"/>
          <w:szCs w:val="24"/>
          <w:lang w:val="el-GR"/>
        </w:rPr>
        <w:t xml:space="preserve"> </w:t>
      </w:r>
      <w:r>
        <w:rPr>
          <w:rFonts w:eastAsia="Calibri" w:cstheme="minorHAnsi"/>
          <w:sz w:val="24"/>
          <w:szCs w:val="24"/>
          <w:lang w:val="el-GR"/>
        </w:rPr>
        <w:t>βιτρίνα</w:t>
      </w:r>
      <w:r w:rsidR="00A5147D" w:rsidRPr="00A75502">
        <w:rPr>
          <w:rFonts w:eastAsia="Calibri" w:cstheme="minorHAnsi"/>
          <w:sz w:val="24"/>
          <w:szCs w:val="24"/>
          <w:lang w:val="el-GR"/>
        </w:rPr>
        <w:t xml:space="preserve"> </w:t>
      </w:r>
      <w:r>
        <w:rPr>
          <w:rFonts w:eastAsia="Calibri" w:cstheme="minorHAnsi"/>
          <w:sz w:val="24"/>
          <w:szCs w:val="24"/>
          <w:lang w:val="el-GR"/>
        </w:rPr>
        <w:t>σε</w:t>
      </w:r>
      <w:r w:rsidRPr="00A75502">
        <w:rPr>
          <w:rFonts w:eastAsia="Calibri" w:cstheme="minorHAnsi"/>
          <w:sz w:val="24"/>
          <w:szCs w:val="24"/>
          <w:lang w:val="el-GR"/>
        </w:rPr>
        <w:t xml:space="preserve"> </w:t>
      </w:r>
      <w:r>
        <w:rPr>
          <w:rFonts w:eastAsia="Calibri" w:cstheme="minorHAnsi"/>
          <w:sz w:val="24"/>
          <w:szCs w:val="24"/>
          <w:lang w:val="el-GR"/>
        </w:rPr>
        <w:t>μια</w:t>
      </w:r>
      <w:r w:rsidRPr="00A75502">
        <w:rPr>
          <w:rFonts w:eastAsia="Calibri" w:cstheme="minorHAnsi"/>
          <w:sz w:val="24"/>
          <w:szCs w:val="24"/>
          <w:lang w:val="el-GR"/>
        </w:rPr>
        <w:t xml:space="preserve"> </w:t>
      </w:r>
      <w:r>
        <w:rPr>
          <w:rFonts w:eastAsia="Calibri" w:cstheme="minorHAnsi"/>
          <w:sz w:val="24"/>
          <w:szCs w:val="24"/>
          <w:lang w:val="el-GR"/>
        </w:rPr>
        <w:t>κύρια</w:t>
      </w:r>
      <w:r w:rsidRPr="00A75502">
        <w:rPr>
          <w:rFonts w:eastAsia="Calibri" w:cstheme="minorHAnsi"/>
          <w:sz w:val="24"/>
          <w:szCs w:val="24"/>
          <w:lang w:val="el-GR"/>
        </w:rPr>
        <w:t xml:space="preserve"> </w:t>
      </w:r>
      <w:r>
        <w:rPr>
          <w:rFonts w:eastAsia="Calibri" w:cstheme="minorHAnsi"/>
          <w:sz w:val="24"/>
          <w:szCs w:val="24"/>
          <w:lang w:val="el-GR"/>
        </w:rPr>
        <w:t>ή κεντρική θέση ενός κρατικού κτιρίου ή σε μια αποθήκη</w:t>
      </w:r>
      <w:r w:rsidR="00A5147D" w:rsidRPr="00A75502">
        <w:rPr>
          <w:rFonts w:eastAsia="Calibri" w:cstheme="minorHAnsi"/>
          <w:sz w:val="24"/>
          <w:szCs w:val="24"/>
          <w:lang w:val="el-GR"/>
        </w:rPr>
        <w:t>.</w:t>
      </w:r>
    </w:p>
    <w:p w14:paraId="3DA0F649" w14:textId="77777777" w:rsidR="00A5147D" w:rsidRPr="00A75502" w:rsidRDefault="00A5147D" w:rsidP="00A5147D">
      <w:pPr>
        <w:contextualSpacing/>
        <w:rPr>
          <w:rFonts w:eastAsia="Calibri" w:cstheme="minorHAnsi"/>
          <w:sz w:val="24"/>
          <w:szCs w:val="24"/>
          <w:lang w:val="el-GR"/>
        </w:rPr>
      </w:pPr>
    </w:p>
    <w:p w14:paraId="6315151A" w14:textId="35897224" w:rsidR="00A5147D" w:rsidRPr="00D96585" w:rsidRDefault="00D96585" w:rsidP="00A5147D">
      <w:pPr>
        <w:numPr>
          <w:ilvl w:val="0"/>
          <w:numId w:val="1"/>
        </w:numPr>
        <w:tabs>
          <w:tab w:val="clear" w:pos="6095"/>
          <w:tab w:val="left" w:pos="709"/>
        </w:tabs>
        <w:ind w:left="0" w:firstLine="0"/>
        <w:contextualSpacing/>
        <w:rPr>
          <w:rFonts w:eastAsia="Calibri" w:cstheme="minorHAnsi"/>
          <w:sz w:val="24"/>
          <w:szCs w:val="24"/>
          <w:lang w:val="el-GR"/>
        </w:rPr>
      </w:pPr>
      <w:r>
        <w:rPr>
          <w:rFonts w:eastAsia="Calibri" w:cstheme="minorHAnsi"/>
          <w:sz w:val="24"/>
          <w:szCs w:val="24"/>
          <w:lang w:val="el-GR"/>
        </w:rPr>
        <w:t>Δώρα</w:t>
      </w:r>
      <w:r w:rsidRPr="00D96585">
        <w:rPr>
          <w:rFonts w:eastAsia="Calibri" w:cstheme="minorHAnsi"/>
          <w:sz w:val="24"/>
          <w:szCs w:val="24"/>
          <w:lang w:val="el-GR"/>
        </w:rPr>
        <w:t xml:space="preserve"> </w:t>
      </w:r>
      <w:r>
        <w:rPr>
          <w:rFonts w:eastAsia="Calibri" w:cstheme="minorHAnsi"/>
          <w:sz w:val="24"/>
          <w:szCs w:val="24"/>
          <w:lang w:val="el-GR"/>
        </w:rPr>
        <w:t>που</w:t>
      </w:r>
      <w:r w:rsidRPr="00D96585">
        <w:rPr>
          <w:rFonts w:eastAsia="Calibri" w:cstheme="minorHAnsi"/>
          <w:sz w:val="24"/>
          <w:szCs w:val="24"/>
          <w:lang w:val="el-GR"/>
        </w:rPr>
        <w:t xml:space="preserve"> </w:t>
      </w:r>
      <w:r>
        <w:rPr>
          <w:rFonts w:eastAsia="Calibri" w:cstheme="minorHAnsi"/>
          <w:sz w:val="24"/>
          <w:szCs w:val="24"/>
          <w:lang w:val="el-GR"/>
        </w:rPr>
        <w:t>προσφέρονται</w:t>
      </w:r>
      <w:r w:rsidRPr="00D96585">
        <w:rPr>
          <w:rFonts w:eastAsia="Calibri" w:cstheme="minorHAnsi"/>
          <w:sz w:val="24"/>
          <w:szCs w:val="24"/>
          <w:lang w:val="el-GR"/>
        </w:rPr>
        <w:t xml:space="preserve"> </w:t>
      </w:r>
      <w:r>
        <w:rPr>
          <w:rFonts w:eastAsia="Calibri" w:cstheme="minorHAnsi"/>
          <w:sz w:val="24"/>
          <w:szCs w:val="24"/>
          <w:lang w:val="el-GR"/>
        </w:rPr>
        <w:t>στον</w:t>
      </w:r>
      <w:r w:rsidRPr="00D96585">
        <w:rPr>
          <w:rFonts w:eastAsia="Calibri" w:cstheme="minorHAnsi"/>
          <w:sz w:val="24"/>
          <w:szCs w:val="24"/>
          <w:lang w:val="el-GR"/>
        </w:rPr>
        <w:t xml:space="preserve"> </w:t>
      </w:r>
      <w:r>
        <w:rPr>
          <w:rFonts w:eastAsia="Calibri" w:cstheme="minorHAnsi"/>
          <w:sz w:val="24"/>
          <w:szCs w:val="24"/>
          <w:lang w:val="el-GR"/>
        </w:rPr>
        <w:t>Πρόεδρο</w:t>
      </w:r>
      <w:r w:rsidRPr="00D96585">
        <w:rPr>
          <w:rFonts w:eastAsia="Calibri" w:cstheme="minorHAnsi"/>
          <w:sz w:val="24"/>
          <w:szCs w:val="24"/>
          <w:lang w:val="el-GR"/>
        </w:rPr>
        <w:t xml:space="preserve"> </w:t>
      </w:r>
      <w:r>
        <w:rPr>
          <w:rFonts w:eastAsia="Calibri" w:cstheme="minorHAnsi"/>
          <w:sz w:val="24"/>
          <w:szCs w:val="24"/>
          <w:lang w:val="el-GR"/>
        </w:rPr>
        <w:t>της</w:t>
      </w:r>
      <w:r w:rsidRPr="00D96585">
        <w:rPr>
          <w:rFonts w:eastAsia="Calibri" w:cstheme="minorHAnsi"/>
          <w:sz w:val="24"/>
          <w:szCs w:val="24"/>
          <w:lang w:val="el-GR"/>
        </w:rPr>
        <w:t xml:space="preserve"> </w:t>
      </w:r>
      <w:r>
        <w:rPr>
          <w:rFonts w:eastAsia="Calibri" w:cstheme="minorHAnsi"/>
          <w:sz w:val="24"/>
          <w:szCs w:val="24"/>
          <w:lang w:val="el-GR"/>
        </w:rPr>
        <w:t>Δημοκρατίας</w:t>
      </w:r>
      <w:r w:rsidR="00A5147D" w:rsidRPr="00D96585">
        <w:rPr>
          <w:rFonts w:eastAsia="Calibri" w:cstheme="minorHAnsi"/>
          <w:sz w:val="24"/>
          <w:szCs w:val="24"/>
          <w:lang w:val="el-GR"/>
        </w:rPr>
        <w:t xml:space="preserve">, </w:t>
      </w:r>
      <w:r>
        <w:rPr>
          <w:rFonts w:eastAsia="Calibri" w:cstheme="minorHAnsi"/>
          <w:sz w:val="24"/>
          <w:szCs w:val="24"/>
          <w:lang w:val="el-GR"/>
        </w:rPr>
        <w:t>εντός</w:t>
      </w:r>
      <w:r w:rsidRPr="00D96585">
        <w:rPr>
          <w:rFonts w:eastAsia="Calibri" w:cstheme="minorHAnsi"/>
          <w:sz w:val="24"/>
          <w:szCs w:val="24"/>
          <w:lang w:val="el-GR"/>
        </w:rPr>
        <w:t xml:space="preserve"> </w:t>
      </w:r>
      <w:r>
        <w:rPr>
          <w:rFonts w:eastAsia="Calibri" w:cstheme="minorHAnsi"/>
          <w:sz w:val="24"/>
          <w:szCs w:val="24"/>
          <w:lang w:val="el-GR"/>
        </w:rPr>
        <w:t>του</w:t>
      </w:r>
      <w:r w:rsidRPr="00D96585">
        <w:rPr>
          <w:rFonts w:eastAsia="Calibri" w:cstheme="minorHAnsi"/>
          <w:sz w:val="24"/>
          <w:szCs w:val="24"/>
          <w:lang w:val="el-GR"/>
        </w:rPr>
        <w:t xml:space="preserve"> </w:t>
      </w:r>
      <w:r>
        <w:rPr>
          <w:rFonts w:eastAsia="Calibri" w:cstheme="minorHAnsi"/>
          <w:sz w:val="24"/>
          <w:szCs w:val="24"/>
          <w:lang w:val="el-GR"/>
        </w:rPr>
        <w:t>πλαισίου</w:t>
      </w:r>
      <w:r w:rsidRPr="00D96585">
        <w:rPr>
          <w:rFonts w:eastAsia="Calibri" w:cstheme="minorHAnsi"/>
          <w:sz w:val="24"/>
          <w:szCs w:val="24"/>
          <w:lang w:val="el-GR"/>
        </w:rPr>
        <w:t xml:space="preserve"> </w:t>
      </w:r>
      <w:r>
        <w:rPr>
          <w:rFonts w:eastAsia="Calibri" w:cstheme="minorHAnsi"/>
          <w:sz w:val="24"/>
          <w:szCs w:val="24"/>
          <w:lang w:val="el-GR"/>
        </w:rPr>
        <w:t>της</w:t>
      </w:r>
      <w:r w:rsidRPr="00D96585">
        <w:rPr>
          <w:rFonts w:eastAsia="Calibri" w:cstheme="minorHAnsi"/>
          <w:sz w:val="24"/>
          <w:szCs w:val="24"/>
          <w:lang w:val="el-GR"/>
        </w:rPr>
        <w:t xml:space="preserve"> </w:t>
      </w:r>
      <w:r>
        <w:rPr>
          <w:rFonts w:eastAsia="Calibri" w:cstheme="minorHAnsi"/>
          <w:sz w:val="24"/>
          <w:szCs w:val="24"/>
          <w:lang w:val="el-GR"/>
        </w:rPr>
        <w:t>πρακτικής</w:t>
      </w:r>
      <w:r w:rsidRPr="00D96585">
        <w:rPr>
          <w:rFonts w:eastAsia="Calibri" w:cstheme="minorHAnsi"/>
          <w:sz w:val="24"/>
          <w:szCs w:val="24"/>
          <w:lang w:val="el-GR"/>
        </w:rPr>
        <w:t xml:space="preserve"> </w:t>
      </w:r>
      <w:r>
        <w:rPr>
          <w:rFonts w:eastAsia="Calibri" w:cstheme="minorHAnsi"/>
          <w:sz w:val="24"/>
          <w:szCs w:val="24"/>
          <w:lang w:val="el-GR"/>
        </w:rPr>
        <w:t>του</w:t>
      </w:r>
      <w:r w:rsidRPr="00D96585">
        <w:rPr>
          <w:rFonts w:eastAsia="Calibri" w:cstheme="minorHAnsi"/>
          <w:sz w:val="24"/>
          <w:szCs w:val="24"/>
          <w:lang w:val="el-GR"/>
        </w:rPr>
        <w:t xml:space="preserve"> </w:t>
      </w:r>
      <w:r>
        <w:rPr>
          <w:rFonts w:eastAsia="Calibri" w:cstheme="minorHAnsi"/>
          <w:sz w:val="24"/>
          <w:szCs w:val="24"/>
          <w:lang w:val="el-GR"/>
        </w:rPr>
        <w:t>πρωτοκόλλου</w:t>
      </w:r>
      <w:r w:rsidR="00A5147D" w:rsidRPr="00D96585">
        <w:rPr>
          <w:rFonts w:eastAsia="Calibri" w:cstheme="minorHAnsi"/>
          <w:sz w:val="24"/>
          <w:szCs w:val="24"/>
          <w:lang w:val="el-GR"/>
        </w:rPr>
        <w:t xml:space="preserve">, </w:t>
      </w:r>
      <w:r>
        <w:rPr>
          <w:rFonts w:eastAsia="Calibri" w:cstheme="minorHAnsi"/>
          <w:sz w:val="24"/>
          <w:szCs w:val="24"/>
          <w:lang w:val="el-GR"/>
        </w:rPr>
        <w:t>είτε</w:t>
      </w:r>
      <w:r w:rsidRPr="00D96585">
        <w:rPr>
          <w:rFonts w:eastAsia="Calibri" w:cstheme="minorHAnsi"/>
          <w:sz w:val="24"/>
          <w:szCs w:val="24"/>
          <w:lang w:val="el-GR"/>
        </w:rPr>
        <w:t xml:space="preserve"> </w:t>
      </w:r>
      <w:r>
        <w:rPr>
          <w:rFonts w:eastAsia="Calibri" w:cstheme="minorHAnsi"/>
          <w:sz w:val="24"/>
          <w:szCs w:val="24"/>
          <w:lang w:val="el-GR"/>
        </w:rPr>
        <w:t>στην</w:t>
      </w:r>
      <w:r w:rsidRPr="00D96585">
        <w:rPr>
          <w:rFonts w:eastAsia="Calibri" w:cstheme="minorHAnsi"/>
          <w:sz w:val="24"/>
          <w:szCs w:val="24"/>
          <w:lang w:val="el-GR"/>
        </w:rPr>
        <w:t xml:space="preserve"> </w:t>
      </w:r>
      <w:r>
        <w:rPr>
          <w:rFonts w:eastAsia="Calibri" w:cstheme="minorHAnsi"/>
          <w:sz w:val="24"/>
          <w:szCs w:val="24"/>
          <w:lang w:val="el-GR"/>
        </w:rPr>
        <w:t>Κύπρο</w:t>
      </w:r>
      <w:r w:rsidRPr="00D96585">
        <w:rPr>
          <w:rFonts w:eastAsia="Calibri" w:cstheme="minorHAnsi"/>
          <w:sz w:val="24"/>
          <w:szCs w:val="24"/>
          <w:lang w:val="el-GR"/>
        </w:rPr>
        <w:t xml:space="preserve"> </w:t>
      </w:r>
      <w:r>
        <w:rPr>
          <w:rFonts w:eastAsia="Calibri" w:cstheme="minorHAnsi"/>
          <w:sz w:val="24"/>
          <w:szCs w:val="24"/>
          <w:lang w:val="el-GR"/>
        </w:rPr>
        <w:t>είτε</w:t>
      </w:r>
      <w:r w:rsidRPr="00D96585">
        <w:rPr>
          <w:rFonts w:eastAsia="Calibri" w:cstheme="minorHAnsi"/>
          <w:sz w:val="24"/>
          <w:szCs w:val="24"/>
          <w:lang w:val="el-GR"/>
        </w:rPr>
        <w:t xml:space="preserve"> </w:t>
      </w:r>
      <w:r>
        <w:rPr>
          <w:rFonts w:eastAsia="Calibri" w:cstheme="minorHAnsi"/>
          <w:sz w:val="24"/>
          <w:szCs w:val="24"/>
          <w:lang w:val="el-GR"/>
        </w:rPr>
        <w:t>στο</w:t>
      </w:r>
      <w:r w:rsidRPr="00D96585">
        <w:rPr>
          <w:rFonts w:eastAsia="Calibri" w:cstheme="minorHAnsi"/>
          <w:sz w:val="24"/>
          <w:szCs w:val="24"/>
          <w:lang w:val="el-GR"/>
        </w:rPr>
        <w:t xml:space="preserve"> </w:t>
      </w:r>
      <w:r>
        <w:rPr>
          <w:rFonts w:eastAsia="Calibri" w:cstheme="minorHAnsi"/>
          <w:sz w:val="24"/>
          <w:szCs w:val="24"/>
          <w:lang w:val="el-GR"/>
        </w:rPr>
        <w:t>εξωτερικό</w:t>
      </w:r>
      <w:r w:rsidR="00A5147D" w:rsidRPr="00D96585">
        <w:rPr>
          <w:rFonts w:eastAsia="Calibri" w:cstheme="minorHAnsi"/>
          <w:sz w:val="24"/>
          <w:szCs w:val="24"/>
          <w:lang w:val="el-GR"/>
        </w:rPr>
        <w:t xml:space="preserve">, </w:t>
      </w:r>
      <w:r>
        <w:rPr>
          <w:rFonts w:eastAsia="Calibri" w:cstheme="minorHAnsi"/>
          <w:sz w:val="24"/>
          <w:szCs w:val="24"/>
          <w:lang w:val="el-GR"/>
        </w:rPr>
        <w:t>στα</w:t>
      </w:r>
      <w:r w:rsidRPr="00D96585">
        <w:rPr>
          <w:rFonts w:eastAsia="Calibri" w:cstheme="minorHAnsi"/>
          <w:sz w:val="24"/>
          <w:szCs w:val="24"/>
          <w:lang w:val="el-GR"/>
        </w:rPr>
        <w:t xml:space="preserve"> </w:t>
      </w:r>
      <w:r>
        <w:rPr>
          <w:rFonts w:eastAsia="Calibri" w:cstheme="minorHAnsi"/>
          <w:sz w:val="24"/>
          <w:szCs w:val="24"/>
          <w:lang w:val="el-GR"/>
        </w:rPr>
        <w:t>πλαίσια</w:t>
      </w:r>
      <w:r w:rsidRPr="00D96585">
        <w:rPr>
          <w:rFonts w:eastAsia="Calibri" w:cstheme="minorHAnsi"/>
          <w:sz w:val="24"/>
          <w:szCs w:val="24"/>
          <w:lang w:val="el-GR"/>
        </w:rPr>
        <w:t xml:space="preserve"> </w:t>
      </w:r>
      <w:r>
        <w:rPr>
          <w:rFonts w:eastAsia="Calibri" w:cstheme="minorHAnsi"/>
          <w:sz w:val="24"/>
          <w:szCs w:val="24"/>
          <w:lang w:val="el-GR"/>
        </w:rPr>
        <w:t>επ</w:t>
      </w:r>
      <w:r w:rsidR="005541DE">
        <w:rPr>
          <w:rFonts w:eastAsia="Calibri" w:cstheme="minorHAnsi"/>
          <w:sz w:val="24"/>
          <w:szCs w:val="24"/>
          <w:lang w:val="el-GR"/>
        </w:rPr>
        <w:t>ι</w:t>
      </w:r>
      <w:r>
        <w:rPr>
          <w:rFonts w:eastAsia="Calibri" w:cstheme="minorHAnsi"/>
          <w:sz w:val="24"/>
          <w:szCs w:val="24"/>
          <w:lang w:val="el-GR"/>
        </w:rPr>
        <w:t>σ</w:t>
      </w:r>
      <w:r w:rsidR="005541DE">
        <w:rPr>
          <w:rFonts w:eastAsia="Calibri" w:cstheme="minorHAnsi"/>
          <w:sz w:val="24"/>
          <w:szCs w:val="24"/>
          <w:lang w:val="el-GR"/>
        </w:rPr>
        <w:t>ή</w:t>
      </w:r>
      <w:r>
        <w:rPr>
          <w:rFonts w:eastAsia="Calibri" w:cstheme="minorHAnsi"/>
          <w:sz w:val="24"/>
          <w:szCs w:val="24"/>
          <w:lang w:val="el-GR"/>
        </w:rPr>
        <w:t>μων</w:t>
      </w:r>
      <w:r w:rsidRPr="00D96585">
        <w:rPr>
          <w:rFonts w:eastAsia="Calibri" w:cstheme="minorHAnsi"/>
          <w:sz w:val="24"/>
          <w:szCs w:val="24"/>
          <w:lang w:val="el-GR"/>
        </w:rPr>
        <w:t xml:space="preserve"> </w:t>
      </w:r>
      <w:r>
        <w:rPr>
          <w:rFonts w:eastAsia="Calibri" w:cstheme="minorHAnsi"/>
          <w:sz w:val="24"/>
          <w:szCs w:val="24"/>
          <w:lang w:val="el-GR"/>
        </w:rPr>
        <w:t>επισκέψεων</w:t>
      </w:r>
      <w:r w:rsidR="00A5147D" w:rsidRPr="00D96585">
        <w:rPr>
          <w:rFonts w:eastAsia="Calibri" w:cstheme="minorHAnsi"/>
          <w:sz w:val="24"/>
          <w:szCs w:val="24"/>
          <w:lang w:val="el-GR"/>
        </w:rPr>
        <w:t xml:space="preserve">, </w:t>
      </w:r>
      <w:r>
        <w:rPr>
          <w:rFonts w:eastAsia="Calibri" w:cstheme="minorHAnsi"/>
          <w:sz w:val="24"/>
          <w:szCs w:val="24"/>
          <w:lang w:val="el-GR"/>
        </w:rPr>
        <w:t>συναντήσεων ή αποστολών</w:t>
      </w:r>
      <w:r w:rsidR="00A5147D" w:rsidRPr="00D96585">
        <w:rPr>
          <w:rFonts w:eastAsia="Calibri" w:cstheme="minorHAnsi"/>
          <w:sz w:val="24"/>
          <w:szCs w:val="24"/>
          <w:lang w:val="el-GR"/>
        </w:rPr>
        <w:t xml:space="preserve">, </w:t>
      </w:r>
      <w:r>
        <w:rPr>
          <w:rFonts w:eastAsia="Calibri" w:cstheme="minorHAnsi"/>
          <w:sz w:val="24"/>
          <w:szCs w:val="24"/>
          <w:lang w:val="el-GR"/>
        </w:rPr>
        <w:t>οι άλλες δωρεές</w:t>
      </w:r>
      <w:r w:rsidR="00A5147D" w:rsidRPr="00D96585">
        <w:rPr>
          <w:rFonts w:eastAsia="Calibri" w:cstheme="minorHAnsi"/>
          <w:sz w:val="24"/>
          <w:szCs w:val="24"/>
          <w:lang w:val="el-GR"/>
        </w:rPr>
        <w:t xml:space="preserve">, </w:t>
      </w:r>
      <w:r>
        <w:rPr>
          <w:rFonts w:eastAsia="Calibri" w:cstheme="minorHAnsi"/>
          <w:sz w:val="24"/>
          <w:szCs w:val="24"/>
          <w:lang w:val="el-GR"/>
        </w:rPr>
        <w:t xml:space="preserve">για τις οποίες ή μη αποδοχή </w:t>
      </w:r>
      <w:r w:rsidR="005541DE">
        <w:rPr>
          <w:rFonts w:eastAsia="Calibri" w:cstheme="minorHAnsi"/>
          <w:sz w:val="24"/>
          <w:szCs w:val="24"/>
          <w:lang w:val="el-GR"/>
        </w:rPr>
        <w:t xml:space="preserve">τους </w:t>
      </w:r>
      <w:r>
        <w:rPr>
          <w:rFonts w:eastAsia="Calibri" w:cstheme="minorHAnsi"/>
          <w:sz w:val="24"/>
          <w:szCs w:val="24"/>
          <w:lang w:val="el-GR"/>
        </w:rPr>
        <w:t xml:space="preserve">ή </w:t>
      </w:r>
      <w:r w:rsidR="005541DE">
        <w:rPr>
          <w:rFonts w:eastAsia="Calibri" w:cstheme="minorHAnsi"/>
          <w:sz w:val="24"/>
          <w:szCs w:val="24"/>
          <w:lang w:val="el-GR"/>
        </w:rPr>
        <w:t xml:space="preserve">η </w:t>
      </w:r>
      <w:r>
        <w:rPr>
          <w:rFonts w:eastAsia="Calibri" w:cstheme="minorHAnsi"/>
          <w:sz w:val="24"/>
          <w:szCs w:val="24"/>
          <w:lang w:val="el-GR"/>
        </w:rPr>
        <w:t>επιστροφή τ</w:t>
      </w:r>
      <w:r w:rsidR="005541DE">
        <w:rPr>
          <w:rFonts w:eastAsia="Calibri" w:cstheme="minorHAnsi"/>
          <w:sz w:val="24"/>
          <w:szCs w:val="24"/>
          <w:lang w:val="el-GR"/>
        </w:rPr>
        <w:t>ου</w:t>
      </w:r>
      <w:r>
        <w:rPr>
          <w:rFonts w:eastAsia="Calibri" w:cstheme="minorHAnsi"/>
          <w:sz w:val="24"/>
          <w:szCs w:val="24"/>
          <w:lang w:val="el-GR"/>
        </w:rPr>
        <w:t xml:space="preserve"> δ</w:t>
      </w:r>
      <w:r w:rsidR="005541DE">
        <w:rPr>
          <w:rFonts w:eastAsia="Calibri" w:cstheme="minorHAnsi"/>
          <w:sz w:val="24"/>
          <w:szCs w:val="24"/>
          <w:lang w:val="el-GR"/>
        </w:rPr>
        <w:t>ώρου</w:t>
      </w:r>
      <w:r w:rsidR="00A5147D" w:rsidRPr="00D96585">
        <w:rPr>
          <w:rFonts w:eastAsia="Calibri" w:cstheme="minorHAnsi"/>
          <w:sz w:val="24"/>
          <w:szCs w:val="24"/>
          <w:lang w:val="el-GR"/>
        </w:rPr>
        <w:t xml:space="preserve"> </w:t>
      </w:r>
      <w:r>
        <w:rPr>
          <w:rFonts w:eastAsia="Calibri" w:cstheme="minorHAnsi"/>
          <w:sz w:val="24"/>
          <w:szCs w:val="24"/>
          <w:lang w:val="el-GR"/>
        </w:rPr>
        <w:t>θεωρείται ακατάλληλη</w:t>
      </w:r>
      <w:r w:rsidR="00A5147D" w:rsidRPr="00D96585">
        <w:rPr>
          <w:rFonts w:eastAsia="Calibri" w:cstheme="minorHAnsi"/>
          <w:sz w:val="24"/>
          <w:szCs w:val="24"/>
          <w:lang w:val="el-GR"/>
        </w:rPr>
        <w:t xml:space="preserve">, </w:t>
      </w:r>
      <w:r>
        <w:rPr>
          <w:rFonts w:eastAsia="Calibri" w:cstheme="minorHAnsi"/>
          <w:sz w:val="24"/>
          <w:szCs w:val="24"/>
          <w:lang w:val="el-GR"/>
        </w:rPr>
        <w:t>διατηρούνται στο Προεδρικό Μέγαρο</w:t>
      </w:r>
      <w:r w:rsidR="00A5147D" w:rsidRPr="00D96585">
        <w:rPr>
          <w:rFonts w:eastAsia="Calibri" w:cstheme="minorHAnsi"/>
          <w:sz w:val="24"/>
          <w:szCs w:val="24"/>
          <w:lang w:val="el-GR"/>
        </w:rPr>
        <w:t xml:space="preserve">, </w:t>
      </w:r>
      <w:r>
        <w:rPr>
          <w:rFonts w:eastAsia="Calibri" w:cstheme="minorHAnsi"/>
          <w:sz w:val="24"/>
          <w:szCs w:val="24"/>
          <w:lang w:val="el-GR"/>
        </w:rPr>
        <w:t>σύμφωνα με την ίδια διαδικασία που περιγράφεται πιο πάνω</w:t>
      </w:r>
      <w:r w:rsidR="00A5147D" w:rsidRPr="00D96585">
        <w:rPr>
          <w:rFonts w:eastAsia="Calibri" w:cstheme="minorHAnsi"/>
          <w:sz w:val="24"/>
          <w:szCs w:val="24"/>
          <w:lang w:val="el-GR"/>
        </w:rPr>
        <w:t>.</w:t>
      </w:r>
    </w:p>
    <w:p w14:paraId="3AD76455" w14:textId="77777777" w:rsidR="00A5147D" w:rsidRPr="00D96585" w:rsidRDefault="00A5147D" w:rsidP="00A5147D">
      <w:pPr>
        <w:pStyle w:val="ListParagraph"/>
        <w:rPr>
          <w:rFonts w:eastAsia="Calibri" w:cstheme="minorHAnsi"/>
          <w:sz w:val="24"/>
          <w:szCs w:val="24"/>
          <w:lang w:val="el-GR"/>
        </w:rPr>
      </w:pPr>
    </w:p>
    <w:p w14:paraId="7430DB34" w14:textId="1ECAF6E3" w:rsidR="00A5147D" w:rsidRPr="00FD3F68" w:rsidRDefault="00D96585" w:rsidP="00A5147D">
      <w:pPr>
        <w:numPr>
          <w:ilvl w:val="0"/>
          <w:numId w:val="1"/>
        </w:numPr>
        <w:tabs>
          <w:tab w:val="clear" w:pos="6095"/>
          <w:tab w:val="left" w:pos="709"/>
        </w:tabs>
        <w:ind w:left="0" w:firstLine="0"/>
        <w:contextualSpacing/>
        <w:rPr>
          <w:rFonts w:eastAsia="Calibri" w:cstheme="minorHAnsi"/>
          <w:sz w:val="24"/>
          <w:szCs w:val="24"/>
          <w:lang w:val="el-GR"/>
        </w:rPr>
      </w:pPr>
      <w:r>
        <w:rPr>
          <w:rFonts w:eastAsia="Calibri" w:cstheme="minorHAnsi"/>
          <w:sz w:val="24"/>
          <w:szCs w:val="24"/>
          <w:lang w:val="el-GR"/>
        </w:rPr>
        <w:t>Η</w:t>
      </w:r>
      <w:r w:rsidR="00A5147D" w:rsidRPr="00D96585">
        <w:rPr>
          <w:rFonts w:eastAsia="Calibri" w:cstheme="minorHAnsi"/>
          <w:sz w:val="24"/>
          <w:szCs w:val="24"/>
          <w:lang w:val="el-GR"/>
        </w:rPr>
        <w:t xml:space="preserve"> </w:t>
      </w:r>
      <w:r w:rsidR="00A5147D" w:rsidRPr="004E251E">
        <w:rPr>
          <w:rFonts w:eastAsia="Calibri" w:cstheme="minorHAnsi"/>
          <w:sz w:val="24"/>
          <w:szCs w:val="24"/>
        </w:rPr>
        <w:t>GET</w:t>
      </w:r>
      <w:r w:rsidR="00A5147D" w:rsidRPr="00D96585">
        <w:rPr>
          <w:rFonts w:eastAsia="Calibri" w:cstheme="minorHAnsi"/>
          <w:sz w:val="24"/>
          <w:szCs w:val="24"/>
          <w:lang w:val="el-GR"/>
        </w:rPr>
        <w:t xml:space="preserve"> </w:t>
      </w:r>
      <w:r>
        <w:rPr>
          <w:rFonts w:eastAsia="Calibri" w:cstheme="minorHAnsi"/>
          <w:sz w:val="24"/>
          <w:szCs w:val="24"/>
          <w:lang w:val="el-GR"/>
        </w:rPr>
        <w:t>σημειώνει</w:t>
      </w:r>
      <w:r w:rsidRPr="00D96585">
        <w:rPr>
          <w:rFonts w:eastAsia="Calibri" w:cstheme="minorHAnsi"/>
          <w:sz w:val="24"/>
          <w:szCs w:val="24"/>
          <w:lang w:val="el-GR"/>
        </w:rPr>
        <w:t xml:space="preserve"> </w:t>
      </w:r>
      <w:r>
        <w:rPr>
          <w:rFonts w:eastAsia="Calibri" w:cstheme="minorHAnsi"/>
          <w:sz w:val="24"/>
          <w:szCs w:val="24"/>
          <w:lang w:val="el-GR"/>
        </w:rPr>
        <w:t>ότι</w:t>
      </w:r>
      <w:r w:rsidR="00A5147D" w:rsidRPr="00D96585">
        <w:rPr>
          <w:rFonts w:eastAsia="Calibri" w:cstheme="minorHAnsi"/>
          <w:sz w:val="24"/>
          <w:szCs w:val="24"/>
          <w:lang w:val="el-GR"/>
        </w:rPr>
        <w:t xml:space="preserve"> </w:t>
      </w:r>
      <w:r>
        <w:rPr>
          <w:rFonts w:eastAsia="Calibri" w:cstheme="minorHAnsi"/>
          <w:sz w:val="24"/>
          <w:szCs w:val="24"/>
          <w:lang w:val="el-GR"/>
        </w:rPr>
        <w:t>η</w:t>
      </w:r>
      <w:r w:rsidRPr="00D96585">
        <w:rPr>
          <w:rFonts w:eastAsia="Calibri" w:cstheme="minorHAnsi"/>
          <w:sz w:val="24"/>
          <w:szCs w:val="24"/>
          <w:lang w:val="el-GR"/>
        </w:rPr>
        <w:t xml:space="preserve"> </w:t>
      </w:r>
      <w:r w:rsidR="0007009F">
        <w:rPr>
          <w:rFonts w:eastAsia="Calibri" w:cstheme="minorHAnsi"/>
          <w:sz w:val="24"/>
          <w:szCs w:val="24"/>
          <w:lang w:val="el-GR"/>
        </w:rPr>
        <w:t xml:space="preserve">πρόνοια </w:t>
      </w:r>
      <w:r w:rsidR="00E07AED">
        <w:rPr>
          <w:rFonts w:eastAsia="Calibri" w:cstheme="minorHAnsi"/>
          <w:sz w:val="24"/>
          <w:szCs w:val="24"/>
          <w:lang w:val="el-GR"/>
        </w:rPr>
        <w:t xml:space="preserve">της </w:t>
      </w:r>
      <w:r>
        <w:rPr>
          <w:rFonts w:eastAsia="Calibri" w:cstheme="minorHAnsi"/>
          <w:sz w:val="24"/>
          <w:szCs w:val="24"/>
          <w:lang w:val="el-GR"/>
        </w:rPr>
        <w:t>Χάρτ</w:t>
      </w:r>
      <w:r w:rsidR="0007009F">
        <w:rPr>
          <w:rFonts w:eastAsia="Calibri" w:cstheme="minorHAnsi"/>
          <w:sz w:val="24"/>
          <w:szCs w:val="24"/>
          <w:lang w:val="el-GR"/>
        </w:rPr>
        <w:t>α</w:t>
      </w:r>
      <w:r w:rsidR="00E07AED">
        <w:rPr>
          <w:rFonts w:eastAsia="Calibri" w:cstheme="minorHAnsi"/>
          <w:sz w:val="24"/>
          <w:szCs w:val="24"/>
          <w:lang w:val="el-GR"/>
        </w:rPr>
        <w:t>ς</w:t>
      </w:r>
      <w:r w:rsidRPr="00D96585">
        <w:rPr>
          <w:rFonts w:eastAsia="Calibri" w:cstheme="minorHAnsi"/>
          <w:sz w:val="24"/>
          <w:szCs w:val="24"/>
          <w:lang w:val="el-GR"/>
        </w:rPr>
        <w:t xml:space="preserve"> </w:t>
      </w:r>
      <w:r w:rsidR="0007009F">
        <w:rPr>
          <w:rFonts w:eastAsia="Calibri" w:cstheme="minorHAnsi"/>
          <w:sz w:val="24"/>
          <w:szCs w:val="24"/>
          <w:lang w:val="el-GR"/>
        </w:rPr>
        <w:t xml:space="preserve">Δεοντολογίας </w:t>
      </w:r>
      <w:r w:rsidR="00E07AED">
        <w:rPr>
          <w:rFonts w:eastAsia="Calibri" w:cstheme="minorHAnsi"/>
          <w:sz w:val="24"/>
          <w:szCs w:val="24"/>
          <w:lang w:val="el-GR"/>
        </w:rPr>
        <w:t>για τα δώρα</w:t>
      </w:r>
      <w:r w:rsidR="00E07AED" w:rsidRPr="00D96585">
        <w:rPr>
          <w:rFonts w:eastAsia="Calibri" w:cstheme="minorHAnsi"/>
          <w:sz w:val="24"/>
          <w:szCs w:val="24"/>
          <w:lang w:val="el-GR"/>
        </w:rPr>
        <w:t xml:space="preserve"> </w:t>
      </w:r>
      <w:r>
        <w:rPr>
          <w:rFonts w:eastAsia="Calibri" w:cstheme="minorHAnsi"/>
          <w:sz w:val="24"/>
          <w:szCs w:val="24"/>
          <w:lang w:val="el-GR"/>
        </w:rPr>
        <w:t>περιορίζει</w:t>
      </w:r>
      <w:r w:rsidRPr="00D96585">
        <w:rPr>
          <w:rFonts w:eastAsia="Calibri" w:cstheme="minorHAnsi"/>
          <w:sz w:val="24"/>
          <w:szCs w:val="24"/>
          <w:lang w:val="el-GR"/>
        </w:rPr>
        <w:t xml:space="preserve"> </w:t>
      </w:r>
      <w:r>
        <w:rPr>
          <w:rFonts w:eastAsia="Calibri" w:cstheme="minorHAnsi"/>
          <w:sz w:val="24"/>
          <w:szCs w:val="24"/>
          <w:lang w:val="el-GR"/>
        </w:rPr>
        <w:t>τ</w:t>
      </w:r>
      <w:r w:rsidR="0007009F">
        <w:rPr>
          <w:rFonts w:eastAsia="Calibri" w:cstheme="minorHAnsi"/>
          <w:sz w:val="24"/>
          <w:szCs w:val="24"/>
          <w:lang w:val="el-GR"/>
        </w:rPr>
        <w:t>ην</w:t>
      </w:r>
      <w:r w:rsidRPr="00D96585">
        <w:rPr>
          <w:rFonts w:eastAsia="Calibri" w:cstheme="minorHAnsi"/>
          <w:sz w:val="24"/>
          <w:szCs w:val="24"/>
          <w:lang w:val="el-GR"/>
        </w:rPr>
        <w:t xml:space="preserve"> </w:t>
      </w:r>
      <w:r w:rsidR="00E07AED">
        <w:rPr>
          <w:rFonts w:eastAsia="Calibri" w:cstheme="minorHAnsi"/>
          <w:sz w:val="24"/>
          <w:szCs w:val="24"/>
          <w:lang w:val="el-GR"/>
        </w:rPr>
        <w:t xml:space="preserve">εφαρμόσιμη </w:t>
      </w:r>
      <w:r>
        <w:rPr>
          <w:rFonts w:eastAsia="Calibri" w:cstheme="minorHAnsi"/>
          <w:sz w:val="24"/>
          <w:szCs w:val="24"/>
          <w:lang w:val="el-GR"/>
        </w:rPr>
        <w:t>απαγόρευση</w:t>
      </w:r>
      <w:r w:rsidR="00A5147D" w:rsidRPr="00D96585">
        <w:rPr>
          <w:rFonts w:eastAsia="Calibri" w:cstheme="minorHAnsi"/>
          <w:sz w:val="24"/>
          <w:szCs w:val="24"/>
          <w:lang w:val="el-GR"/>
        </w:rPr>
        <w:t xml:space="preserve"> </w:t>
      </w:r>
      <w:r w:rsidR="0007009F">
        <w:rPr>
          <w:rFonts w:eastAsia="Calibri" w:cstheme="minorHAnsi"/>
          <w:sz w:val="24"/>
          <w:szCs w:val="24"/>
          <w:lang w:val="el-GR"/>
        </w:rPr>
        <w:t>στην περίπτωση που</w:t>
      </w:r>
      <w:r w:rsidR="00E07AED">
        <w:rPr>
          <w:rFonts w:eastAsia="Calibri" w:cstheme="minorHAnsi"/>
          <w:sz w:val="24"/>
          <w:szCs w:val="24"/>
          <w:lang w:val="el-GR"/>
        </w:rPr>
        <w:t xml:space="preserve"> (το δώρο)</w:t>
      </w:r>
      <w:r w:rsidR="0007009F">
        <w:rPr>
          <w:rFonts w:eastAsia="Calibri" w:cstheme="minorHAnsi"/>
          <w:sz w:val="24"/>
          <w:szCs w:val="24"/>
          <w:lang w:val="el-GR"/>
        </w:rPr>
        <w:t xml:space="preserve"> </w:t>
      </w:r>
      <w:r>
        <w:rPr>
          <w:rFonts w:eastAsia="Calibri" w:cstheme="minorHAnsi"/>
          <w:sz w:val="24"/>
          <w:szCs w:val="24"/>
          <w:lang w:val="el-GR"/>
        </w:rPr>
        <w:t xml:space="preserve">παραλαμβάνεται από ένα </w:t>
      </w:r>
      <w:r w:rsidR="0007009F">
        <w:rPr>
          <w:rFonts w:eastAsia="Calibri" w:cstheme="minorHAnsi"/>
          <w:sz w:val="24"/>
          <w:szCs w:val="24"/>
          <w:lang w:val="el-GR"/>
        </w:rPr>
        <w:t xml:space="preserve">δωρεοδόχο </w:t>
      </w:r>
      <w:r>
        <w:rPr>
          <w:rFonts w:eastAsia="Calibri" w:cstheme="minorHAnsi"/>
          <w:sz w:val="24"/>
          <w:szCs w:val="24"/>
          <w:lang w:val="el-GR"/>
        </w:rPr>
        <w:t>του οποίου η δραστηριότητα σχετίζεται με το υπουργείο</w:t>
      </w:r>
      <w:r w:rsidR="00A5147D" w:rsidRPr="00D96585">
        <w:rPr>
          <w:rFonts w:eastAsia="Calibri" w:cstheme="minorHAnsi"/>
          <w:sz w:val="24"/>
          <w:szCs w:val="24"/>
          <w:lang w:val="el-GR"/>
        </w:rPr>
        <w:t xml:space="preserve">. </w:t>
      </w:r>
      <w:r>
        <w:rPr>
          <w:rFonts w:eastAsia="Calibri" w:cstheme="minorHAnsi"/>
          <w:sz w:val="24"/>
          <w:szCs w:val="24"/>
          <w:lang w:val="el-GR"/>
        </w:rPr>
        <w:t>Κατά</w:t>
      </w:r>
      <w:r w:rsidRPr="00D96585">
        <w:rPr>
          <w:rFonts w:eastAsia="Calibri" w:cstheme="minorHAnsi"/>
          <w:sz w:val="24"/>
          <w:szCs w:val="24"/>
          <w:lang w:val="el-GR"/>
        </w:rPr>
        <w:t xml:space="preserve"> </w:t>
      </w:r>
      <w:r>
        <w:rPr>
          <w:rFonts w:eastAsia="Calibri" w:cstheme="minorHAnsi"/>
          <w:sz w:val="24"/>
          <w:szCs w:val="24"/>
          <w:lang w:val="el-GR"/>
        </w:rPr>
        <w:t>την</w:t>
      </w:r>
      <w:r w:rsidRPr="00D96585">
        <w:rPr>
          <w:rFonts w:eastAsia="Calibri" w:cstheme="minorHAnsi"/>
          <w:sz w:val="24"/>
          <w:szCs w:val="24"/>
          <w:lang w:val="el-GR"/>
        </w:rPr>
        <w:t xml:space="preserve"> </w:t>
      </w:r>
      <w:r>
        <w:rPr>
          <w:rFonts w:eastAsia="Calibri" w:cstheme="minorHAnsi"/>
          <w:sz w:val="24"/>
          <w:szCs w:val="24"/>
          <w:lang w:val="el-GR"/>
        </w:rPr>
        <w:t>άποψη</w:t>
      </w:r>
      <w:r w:rsidRPr="00D96585">
        <w:rPr>
          <w:rFonts w:eastAsia="Calibri" w:cstheme="minorHAnsi"/>
          <w:sz w:val="24"/>
          <w:szCs w:val="24"/>
          <w:lang w:val="el-GR"/>
        </w:rPr>
        <w:t xml:space="preserve"> </w:t>
      </w:r>
      <w:r>
        <w:rPr>
          <w:rFonts w:eastAsia="Calibri" w:cstheme="minorHAnsi"/>
          <w:sz w:val="24"/>
          <w:szCs w:val="24"/>
          <w:lang w:val="el-GR"/>
        </w:rPr>
        <w:t>της</w:t>
      </w:r>
      <w:r w:rsidR="00672D4E" w:rsidRPr="00D96585">
        <w:rPr>
          <w:rFonts w:eastAsia="Calibri" w:cstheme="minorHAnsi"/>
          <w:sz w:val="24"/>
          <w:szCs w:val="24"/>
          <w:lang w:val="el-GR"/>
        </w:rPr>
        <w:t xml:space="preserve"> </w:t>
      </w:r>
      <w:r w:rsidR="00672D4E">
        <w:rPr>
          <w:rFonts w:eastAsia="Calibri" w:cstheme="minorHAnsi"/>
          <w:sz w:val="24"/>
          <w:szCs w:val="24"/>
        </w:rPr>
        <w:t>GET</w:t>
      </w:r>
      <w:r w:rsidR="00672D4E" w:rsidRPr="00D96585">
        <w:rPr>
          <w:rFonts w:eastAsia="Calibri" w:cstheme="minorHAnsi"/>
          <w:sz w:val="24"/>
          <w:szCs w:val="24"/>
          <w:lang w:val="el-GR"/>
        </w:rPr>
        <w:t xml:space="preserve">, </w:t>
      </w:r>
      <w:r>
        <w:rPr>
          <w:rFonts w:eastAsia="Calibri" w:cstheme="minorHAnsi"/>
          <w:sz w:val="24"/>
          <w:szCs w:val="24"/>
          <w:lang w:val="el-GR"/>
        </w:rPr>
        <w:t>η</w:t>
      </w:r>
      <w:r w:rsidRPr="00D96585">
        <w:rPr>
          <w:rFonts w:eastAsia="Calibri" w:cstheme="minorHAnsi"/>
          <w:sz w:val="24"/>
          <w:szCs w:val="24"/>
          <w:lang w:val="el-GR"/>
        </w:rPr>
        <w:t xml:space="preserve"> </w:t>
      </w:r>
      <w:r>
        <w:rPr>
          <w:rFonts w:eastAsia="Calibri" w:cstheme="minorHAnsi"/>
          <w:sz w:val="24"/>
          <w:szCs w:val="24"/>
          <w:lang w:val="el-GR"/>
        </w:rPr>
        <w:t>απαγόρευση</w:t>
      </w:r>
      <w:r w:rsidRPr="00D96585">
        <w:rPr>
          <w:rFonts w:eastAsia="Calibri" w:cstheme="minorHAnsi"/>
          <w:sz w:val="24"/>
          <w:szCs w:val="24"/>
          <w:lang w:val="el-GR"/>
        </w:rPr>
        <w:t xml:space="preserve"> </w:t>
      </w:r>
      <w:r>
        <w:rPr>
          <w:rFonts w:eastAsia="Calibri" w:cstheme="minorHAnsi"/>
          <w:sz w:val="24"/>
          <w:szCs w:val="24"/>
          <w:lang w:val="el-GR"/>
        </w:rPr>
        <w:t>θα</w:t>
      </w:r>
      <w:r w:rsidRPr="00D96585">
        <w:rPr>
          <w:rFonts w:eastAsia="Calibri" w:cstheme="minorHAnsi"/>
          <w:sz w:val="24"/>
          <w:szCs w:val="24"/>
          <w:lang w:val="el-GR"/>
        </w:rPr>
        <w:t xml:space="preserve"> </w:t>
      </w:r>
      <w:r>
        <w:rPr>
          <w:rFonts w:eastAsia="Calibri" w:cstheme="minorHAnsi"/>
          <w:sz w:val="24"/>
          <w:szCs w:val="24"/>
          <w:lang w:val="el-GR"/>
        </w:rPr>
        <w:t>έπρεπε</w:t>
      </w:r>
      <w:r w:rsidRPr="00D96585">
        <w:rPr>
          <w:rFonts w:eastAsia="Calibri" w:cstheme="minorHAnsi"/>
          <w:sz w:val="24"/>
          <w:szCs w:val="24"/>
          <w:lang w:val="el-GR"/>
        </w:rPr>
        <w:t xml:space="preserve"> </w:t>
      </w:r>
      <w:r>
        <w:rPr>
          <w:rFonts w:eastAsia="Calibri" w:cstheme="minorHAnsi"/>
          <w:sz w:val="24"/>
          <w:szCs w:val="24"/>
          <w:lang w:val="el-GR"/>
        </w:rPr>
        <w:t>μάλλον</w:t>
      </w:r>
      <w:r w:rsidRPr="00D96585">
        <w:rPr>
          <w:rFonts w:eastAsia="Calibri" w:cstheme="minorHAnsi"/>
          <w:sz w:val="24"/>
          <w:szCs w:val="24"/>
          <w:lang w:val="el-GR"/>
        </w:rPr>
        <w:t xml:space="preserve"> </w:t>
      </w:r>
      <w:r>
        <w:rPr>
          <w:rFonts w:eastAsia="Calibri" w:cstheme="minorHAnsi"/>
          <w:sz w:val="24"/>
          <w:szCs w:val="24"/>
          <w:lang w:val="el-GR"/>
        </w:rPr>
        <w:t>να</w:t>
      </w:r>
      <w:r w:rsidRPr="00D96585">
        <w:rPr>
          <w:rFonts w:eastAsia="Calibri" w:cstheme="minorHAnsi"/>
          <w:sz w:val="24"/>
          <w:szCs w:val="24"/>
          <w:lang w:val="el-GR"/>
        </w:rPr>
        <w:t xml:space="preserve"> </w:t>
      </w:r>
      <w:r>
        <w:rPr>
          <w:rFonts w:eastAsia="Calibri" w:cstheme="minorHAnsi"/>
          <w:sz w:val="24"/>
          <w:szCs w:val="24"/>
          <w:lang w:val="el-GR"/>
        </w:rPr>
        <w:t>ισχύει</w:t>
      </w:r>
      <w:r w:rsidRPr="00D96585">
        <w:rPr>
          <w:rFonts w:eastAsia="Calibri" w:cstheme="minorHAnsi"/>
          <w:sz w:val="24"/>
          <w:szCs w:val="24"/>
          <w:lang w:val="el-GR"/>
        </w:rPr>
        <w:t xml:space="preserve"> </w:t>
      </w:r>
      <w:r>
        <w:rPr>
          <w:rFonts w:eastAsia="Calibri" w:cstheme="minorHAnsi"/>
          <w:sz w:val="24"/>
          <w:szCs w:val="24"/>
          <w:lang w:val="el-GR"/>
        </w:rPr>
        <w:t>σε</w:t>
      </w:r>
      <w:r w:rsidRPr="00D96585">
        <w:rPr>
          <w:rFonts w:eastAsia="Calibri" w:cstheme="minorHAnsi"/>
          <w:sz w:val="24"/>
          <w:szCs w:val="24"/>
          <w:lang w:val="el-GR"/>
        </w:rPr>
        <w:t xml:space="preserve"> </w:t>
      </w:r>
      <w:r>
        <w:rPr>
          <w:rFonts w:eastAsia="Calibri" w:cstheme="minorHAnsi"/>
          <w:sz w:val="24"/>
          <w:szCs w:val="24"/>
          <w:lang w:val="el-GR"/>
        </w:rPr>
        <w:t>οποιοδήποτε</w:t>
      </w:r>
      <w:r w:rsidRPr="00D96585">
        <w:rPr>
          <w:rFonts w:eastAsia="Calibri" w:cstheme="minorHAnsi"/>
          <w:sz w:val="24"/>
          <w:szCs w:val="24"/>
          <w:lang w:val="el-GR"/>
        </w:rPr>
        <w:t xml:space="preserve"> </w:t>
      </w:r>
      <w:r>
        <w:rPr>
          <w:rFonts w:eastAsia="Calibri" w:cstheme="minorHAnsi"/>
          <w:sz w:val="24"/>
          <w:szCs w:val="24"/>
          <w:lang w:val="el-GR"/>
        </w:rPr>
        <w:t>δώρο</w:t>
      </w:r>
      <w:r w:rsidR="00A5147D" w:rsidRPr="00D96585">
        <w:rPr>
          <w:rFonts w:eastAsia="Calibri" w:cstheme="minorHAnsi"/>
          <w:sz w:val="24"/>
          <w:szCs w:val="24"/>
          <w:lang w:val="el-GR"/>
        </w:rPr>
        <w:t xml:space="preserve"> </w:t>
      </w:r>
      <w:r>
        <w:rPr>
          <w:rFonts w:eastAsia="Calibri" w:cstheme="minorHAnsi"/>
          <w:sz w:val="24"/>
          <w:szCs w:val="24"/>
          <w:lang w:val="el-GR"/>
        </w:rPr>
        <w:t>ή</w:t>
      </w:r>
      <w:r w:rsidRPr="00D96585">
        <w:rPr>
          <w:rFonts w:eastAsia="Calibri" w:cstheme="minorHAnsi"/>
          <w:sz w:val="24"/>
          <w:szCs w:val="24"/>
          <w:lang w:val="el-GR"/>
        </w:rPr>
        <w:t xml:space="preserve"> </w:t>
      </w:r>
      <w:r>
        <w:rPr>
          <w:rFonts w:eastAsia="Calibri" w:cstheme="minorHAnsi"/>
          <w:sz w:val="24"/>
          <w:szCs w:val="24"/>
          <w:lang w:val="el-GR"/>
        </w:rPr>
        <w:t>όφελος</w:t>
      </w:r>
      <w:r w:rsidR="00A5147D" w:rsidRPr="00D96585">
        <w:rPr>
          <w:rFonts w:eastAsia="Calibri" w:cstheme="minorHAnsi"/>
          <w:sz w:val="24"/>
          <w:szCs w:val="24"/>
          <w:lang w:val="el-GR"/>
        </w:rPr>
        <w:t xml:space="preserve"> </w:t>
      </w:r>
      <w:r>
        <w:rPr>
          <w:rFonts w:eastAsia="Calibri" w:cstheme="minorHAnsi"/>
          <w:sz w:val="24"/>
          <w:szCs w:val="24"/>
          <w:lang w:val="el-GR"/>
        </w:rPr>
        <w:t>που θα μπορούσε να επηρεάσει</w:t>
      </w:r>
      <w:r w:rsidR="00A5147D" w:rsidRPr="00D96585">
        <w:rPr>
          <w:rFonts w:eastAsia="Calibri" w:cstheme="minorHAnsi"/>
          <w:sz w:val="24"/>
          <w:szCs w:val="24"/>
          <w:lang w:val="el-GR"/>
        </w:rPr>
        <w:t xml:space="preserve">, </w:t>
      </w:r>
      <w:r>
        <w:rPr>
          <w:rFonts w:eastAsia="Calibri" w:cstheme="minorHAnsi"/>
          <w:sz w:val="24"/>
          <w:szCs w:val="24"/>
          <w:lang w:val="el-GR"/>
        </w:rPr>
        <w:t>ή φαίνεται ότι επηρεάζει</w:t>
      </w:r>
      <w:r w:rsidR="00A5147D" w:rsidRPr="00D96585">
        <w:rPr>
          <w:rFonts w:eastAsia="Calibri" w:cstheme="minorHAnsi"/>
          <w:sz w:val="24"/>
          <w:szCs w:val="24"/>
          <w:lang w:val="el-GR"/>
        </w:rPr>
        <w:t xml:space="preserve">, </w:t>
      </w:r>
      <w:r>
        <w:rPr>
          <w:rFonts w:eastAsia="Calibri" w:cstheme="minorHAnsi"/>
          <w:sz w:val="24"/>
          <w:szCs w:val="24"/>
          <w:lang w:val="el-GR"/>
        </w:rPr>
        <w:t>την εκτέλεση των καθηκόντων των</w:t>
      </w:r>
      <w:r w:rsidR="0007009F">
        <w:rPr>
          <w:rFonts w:eastAsia="Calibri" w:cstheme="minorHAnsi"/>
          <w:sz w:val="24"/>
          <w:szCs w:val="24"/>
          <w:lang w:val="el-GR"/>
        </w:rPr>
        <w:t xml:space="preserve"> </w:t>
      </w:r>
      <w:r w:rsidR="0007009F">
        <w:rPr>
          <w:rFonts w:eastAsia="Calibri" w:cstheme="minorHAnsi"/>
          <w:sz w:val="24"/>
          <w:szCs w:val="24"/>
          <w:lang w:val="en-US"/>
        </w:rPr>
        <w:t>PTEFs</w:t>
      </w:r>
      <w:r w:rsidR="00A5147D" w:rsidRPr="00D96585">
        <w:rPr>
          <w:rFonts w:eastAsia="Calibri" w:cstheme="minorHAnsi"/>
          <w:sz w:val="24"/>
          <w:szCs w:val="24"/>
          <w:lang w:val="el-GR"/>
        </w:rPr>
        <w:t xml:space="preserve">. </w:t>
      </w:r>
      <w:r w:rsidR="00C751C5">
        <w:rPr>
          <w:rFonts w:eastAsia="Calibri" w:cstheme="minorHAnsi"/>
          <w:sz w:val="24"/>
          <w:szCs w:val="24"/>
          <w:lang w:val="el-GR"/>
        </w:rPr>
        <w:t>Η</w:t>
      </w:r>
      <w:r w:rsidR="00C751C5" w:rsidRPr="00C751C5">
        <w:rPr>
          <w:rFonts w:eastAsia="Calibri" w:cstheme="minorHAnsi"/>
          <w:sz w:val="24"/>
          <w:szCs w:val="24"/>
          <w:lang w:val="el-GR"/>
        </w:rPr>
        <w:t xml:space="preserve"> </w:t>
      </w:r>
      <w:r w:rsidR="00C751C5">
        <w:rPr>
          <w:rFonts w:eastAsia="Calibri" w:cstheme="minorHAnsi"/>
          <w:sz w:val="24"/>
          <w:szCs w:val="24"/>
          <w:lang w:val="el-GR"/>
        </w:rPr>
        <w:t>πρακτική</w:t>
      </w:r>
      <w:r w:rsidR="00C751C5" w:rsidRPr="00C751C5">
        <w:rPr>
          <w:rFonts w:eastAsia="Calibri" w:cstheme="minorHAnsi"/>
          <w:sz w:val="24"/>
          <w:szCs w:val="24"/>
          <w:lang w:val="el-GR"/>
        </w:rPr>
        <w:t xml:space="preserve"> </w:t>
      </w:r>
      <w:r w:rsidR="00C751C5">
        <w:rPr>
          <w:rFonts w:eastAsia="Calibri" w:cstheme="minorHAnsi"/>
          <w:sz w:val="24"/>
          <w:szCs w:val="24"/>
          <w:lang w:val="el-GR"/>
        </w:rPr>
        <w:t>έχει</w:t>
      </w:r>
      <w:r w:rsidR="00C751C5" w:rsidRPr="00C751C5">
        <w:rPr>
          <w:rFonts w:eastAsia="Calibri" w:cstheme="minorHAnsi"/>
          <w:sz w:val="24"/>
          <w:szCs w:val="24"/>
          <w:lang w:val="el-GR"/>
        </w:rPr>
        <w:t xml:space="preserve"> </w:t>
      </w:r>
      <w:r w:rsidR="00C751C5">
        <w:rPr>
          <w:rFonts w:eastAsia="Calibri" w:cstheme="minorHAnsi"/>
          <w:sz w:val="24"/>
          <w:szCs w:val="24"/>
          <w:lang w:val="el-GR"/>
        </w:rPr>
        <w:t>αποδείξει</w:t>
      </w:r>
      <w:r w:rsidR="00C751C5" w:rsidRPr="00C751C5">
        <w:rPr>
          <w:rFonts w:eastAsia="Calibri" w:cstheme="minorHAnsi"/>
          <w:sz w:val="24"/>
          <w:szCs w:val="24"/>
          <w:lang w:val="el-GR"/>
        </w:rPr>
        <w:t xml:space="preserve"> </w:t>
      </w:r>
      <w:r w:rsidR="00C751C5">
        <w:rPr>
          <w:rFonts w:eastAsia="Calibri" w:cstheme="minorHAnsi"/>
          <w:sz w:val="24"/>
          <w:szCs w:val="24"/>
          <w:lang w:val="el-GR"/>
        </w:rPr>
        <w:t>κάποιες</w:t>
      </w:r>
      <w:r w:rsidR="00C751C5" w:rsidRPr="00C751C5">
        <w:rPr>
          <w:rFonts w:eastAsia="Calibri" w:cstheme="minorHAnsi"/>
          <w:sz w:val="24"/>
          <w:szCs w:val="24"/>
          <w:lang w:val="el-GR"/>
        </w:rPr>
        <w:t xml:space="preserve"> </w:t>
      </w:r>
      <w:r w:rsidR="0007009F">
        <w:rPr>
          <w:rFonts w:eastAsia="Calibri" w:cstheme="minorHAnsi"/>
          <w:sz w:val="24"/>
          <w:szCs w:val="24"/>
          <w:lang w:val="el-GR"/>
        </w:rPr>
        <w:t xml:space="preserve">προκλήσεις </w:t>
      </w:r>
      <w:r w:rsidR="00C751C5">
        <w:rPr>
          <w:rFonts w:eastAsia="Calibri" w:cstheme="minorHAnsi"/>
          <w:sz w:val="24"/>
          <w:szCs w:val="24"/>
          <w:lang w:val="el-GR"/>
        </w:rPr>
        <w:t>στον</w:t>
      </w:r>
      <w:r w:rsidR="00C751C5" w:rsidRPr="00C751C5">
        <w:rPr>
          <w:rFonts w:eastAsia="Calibri" w:cstheme="minorHAnsi"/>
          <w:sz w:val="24"/>
          <w:szCs w:val="24"/>
          <w:lang w:val="el-GR"/>
        </w:rPr>
        <w:t xml:space="preserve"> </w:t>
      </w:r>
      <w:r w:rsidR="00C751C5">
        <w:rPr>
          <w:rFonts w:eastAsia="Calibri" w:cstheme="minorHAnsi"/>
          <w:sz w:val="24"/>
          <w:szCs w:val="24"/>
          <w:lang w:val="el-GR"/>
        </w:rPr>
        <w:t>τομέα</w:t>
      </w:r>
      <w:r w:rsidR="00C751C5" w:rsidRPr="00C751C5">
        <w:rPr>
          <w:rFonts w:eastAsia="Calibri" w:cstheme="minorHAnsi"/>
          <w:sz w:val="24"/>
          <w:szCs w:val="24"/>
          <w:lang w:val="el-GR"/>
        </w:rPr>
        <w:t xml:space="preserve"> </w:t>
      </w:r>
      <w:r w:rsidR="005541DE">
        <w:rPr>
          <w:rFonts w:eastAsia="Calibri" w:cstheme="minorHAnsi"/>
          <w:sz w:val="24"/>
          <w:szCs w:val="24"/>
          <w:lang w:val="el-GR"/>
        </w:rPr>
        <w:t>αυτό</w:t>
      </w:r>
      <w:r w:rsidR="00A5147D" w:rsidRPr="00C751C5">
        <w:rPr>
          <w:rFonts w:eastAsia="Calibri" w:cstheme="minorHAnsi"/>
          <w:sz w:val="24"/>
          <w:szCs w:val="24"/>
          <w:lang w:val="el-GR"/>
        </w:rPr>
        <w:t xml:space="preserve">, </w:t>
      </w:r>
      <w:r w:rsidR="00C751C5">
        <w:rPr>
          <w:rFonts w:eastAsia="Calibri" w:cstheme="minorHAnsi"/>
          <w:sz w:val="24"/>
          <w:szCs w:val="24"/>
          <w:lang w:val="el-GR"/>
        </w:rPr>
        <w:t>συμπεριλαμβανομένων</w:t>
      </w:r>
      <w:r w:rsidR="00C751C5" w:rsidRPr="00C751C5">
        <w:rPr>
          <w:rFonts w:eastAsia="Calibri" w:cstheme="minorHAnsi"/>
          <w:sz w:val="24"/>
          <w:szCs w:val="24"/>
          <w:lang w:val="el-GR"/>
        </w:rPr>
        <w:t xml:space="preserve"> </w:t>
      </w:r>
      <w:r w:rsidR="00C751C5">
        <w:rPr>
          <w:rFonts w:eastAsia="Calibri" w:cstheme="minorHAnsi"/>
          <w:sz w:val="24"/>
          <w:szCs w:val="24"/>
          <w:lang w:val="el-GR"/>
        </w:rPr>
        <w:t>πρόσφατων</w:t>
      </w:r>
      <w:r w:rsidR="00C751C5" w:rsidRPr="00C751C5">
        <w:rPr>
          <w:rFonts w:eastAsia="Calibri" w:cstheme="minorHAnsi"/>
          <w:sz w:val="24"/>
          <w:szCs w:val="24"/>
          <w:lang w:val="el-GR"/>
        </w:rPr>
        <w:t xml:space="preserve"> </w:t>
      </w:r>
      <w:r w:rsidR="00C751C5">
        <w:rPr>
          <w:rFonts w:eastAsia="Calibri" w:cstheme="minorHAnsi"/>
          <w:sz w:val="24"/>
          <w:szCs w:val="24"/>
          <w:lang w:val="el-GR"/>
        </w:rPr>
        <w:t>ανησυχιών</w:t>
      </w:r>
      <w:r w:rsidR="00A5147D" w:rsidRPr="00C751C5">
        <w:rPr>
          <w:rFonts w:eastAsia="Calibri" w:cstheme="minorHAnsi"/>
          <w:sz w:val="24"/>
          <w:szCs w:val="24"/>
          <w:lang w:val="el-GR"/>
        </w:rPr>
        <w:t xml:space="preserve"> </w:t>
      </w:r>
      <w:r w:rsidR="00C751C5">
        <w:rPr>
          <w:rFonts w:eastAsia="Calibri" w:cstheme="minorHAnsi"/>
          <w:sz w:val="24"/>
          <w:szCs w:val="24"/>
          <w:lang w:val="el-GR"/>
        </w:rPr>
        <w:t>σε</w:t>
      </w:r>
      <w:r w:rsidR="00C751C5" w:rsidRPr="00C751C5">
        <w:rPr>
          <w:rFonts w:eastAsia="Calibri" w:cstheme="minorHAnsi"/>
          <w:sz w:val="24"/>
          <w:szCs w:val="24"/>
          <w:lang w:val="el-GR"/>
        </w:rPr>
        <w:t xml:space="preserve"> </w:t>
      </w:r>
      <w:r w:rsidR="00C751C5">
        <w:rPr>
          <w:rFonts w:eastAsia="Calibri" w:cstheme="minorHAnsi"/>
          <w:sz w:val="24"/>
          <w:szCs w:val="24"/>
          <w:lang w:val="el-GR"/>
        </w:rPr>
        <w:t>σχέση</w:t>
      </w:r>
      <w:r w:rsidR="00C751C5" w:rsidRPr="00C751C5">
        <w:rPr>
          <w:rFonts w:eastAsia="Calibri" w:cstheme="minorHAnsi"/>
          <w:sz w:val="24"/>
          <w:szCs w:val="24"/>
          <w:lang w:val="el-GR"/>
        </w:rPr>
        <w:t xml:space="preserve"> </w:t>
      </w:r>
      <w:r w:rsidR="00C751C5">
        <w:rPr>
          <w:rFonts w:eastAsia="Calibri" w:cstheme="minorHAnsi"/>
          <w:sz w:val="24"/>
          <w:szCs w:val="24"/>
          <w:lang w:val="el-GR"/>
        </w:rPr>
        <w:t>με</w:t>
      </w:r>
      <w:r w:rsidR="00C751C5" w:rsidRPr="00C751C5">
        <w:rPr>
          <w:rFonts w:eastAsia="Calibri" w:cstheme="minorHAnsi"/>
          <w:sz w:val="24"/>
          <w:szCs w:val="24"/>
          <w:lang w:val="el-GR"/>
        </w:rPr>
        <w:t xml:space="preserve"> </w:t>
      </w:r>
      <w:r w:rsidR="00C751C5">
        <w:rPr>
          <w:rFonts w:eastAsia="Calibri" w:cstheme="minorHAnsi"/>
          <w:sz w:val="24"/>
          <w:szCs w:val="24"/>
          <w:lang w:val="el-GR"/>
        </w:rPr>
        <w:t>τη</w:t>
      </w:r>
      <w:r w:rsidR="00C751C5" w:rsidRPr="00C751C5">
        <w:rPr>
          <w:rFonts w:eastAsia="Calibri" w:cstheme="minorHAnsi"/>
          <w:sz w:val="24"/>
          <w:szCs w:val="24"/>
          <w:lang w:val="el-GR"/>
        </w:rPr>
        <w:t xml:space="preserve"> </w:t>
      </w:r>
      <w:r w:rsidR="00C751C5">
        <w:rPr>
          <w:rFonts w:eastAsia="Calibri" w:cstheme="minorHAnsi"/>
          <w:sz w:val="24"/>
          <w:szCs w:val="24"/>
          <w:lang w:val="el-GR"/>
        </w:rPr>
        <w:t>φιλοξενία</w:t>
      </w:r>
      <w:r w:rsidR="00C751C5" w:rsidRPr="00C751C5">
        <w:rPr>
          <w:rFonts w:eastAsia="Calibri" w:cstheme="minorHAnsi"/>
          <w:sz w:val="24"/>
          <w:szCs w:val="24"/>
          <w:lang w:val="el-GR"/>
        </w:rPr>
        <w:t xml:space="preserve"> </w:t>
      </w:r>
      <w:r w:rsidR="00C751C5">
        <w:rPr>
          <w:rFonts w:eastAsia="Calibri" w:cstheme="minorHAnsi"/>
          <w:sz w:val="24"/>
          <w:szCs w:val="24"/>
          <w:lang w:val="el-GR"/>
        </w:rPr>
        <w:t xml:space="preserve">που </w:t>
      </w:r>
      <w:r w:rsidR="0007009F">
        <w:rPr>
          <w:rFonts w:eastAsia="Calibri" w:cstheme="minorHAnsi"/>
          <w:sz w:val="24"/>
          <w:szCs w:val="24"/>
          <w:lang w:val="el-GR"/>
        </w:rPr>
        <w:t xml:space="preserve">δέχθηκε </w:t>
      </w:r>
      <w:r w:rsidR="00C751C5">
        <w:rPr>
          <w:rFonts w:eastAsia="Calibri" w:cstheme="minorHAnsi"/>
          <w:sz w:val="24"/>
          <w:szCs w:val="24"/>
          <w:lang w:val="el-GR"/>
        </w:rPr>
        <w:t>ο Πρόεδρος</w:t>
      </w:r>
      <w:r w:rsidR="00A5147D" w:rsidRPr="00C751C5">
        <w:rPr>
          <w:rFonts w:eastAsia="Calibri" w:cstheme="minorHAnsi"/>
          <w:sz w:val="24"/>
          <w:szCs w:val="24"/>
          <w:lang w:val="el-GR"/>
        </w:rPr>
        <w:t xml:space="preserve"> (</w:t>
      </w:r>
      <w:r w:rsidR="00C751C5">
        <w:rPr>
          <w:rFonts w:eastAsia="Calibri" w:cstheme="minorHAnsi"/>
          <w:sz w:val="24"/>
          <w:szCs w:val="24"/>
          <w:lang w:val="el-GR"/>
        </w:rPr>
        <w:t>ο οποίος</w:t>
      </w:r>
      <w:r w:rsidR="00A5147D" w:rsidRPr="00C751C5">
        <w:rPr>
          <w:rFonts w:eastAsia="Calibri" w:cstheme="minorHAnsi"/>
          <w:sz w:val="24"/>
          <w:szCs w:val="24"/>
          <w:lang w:val="el-GR"/>
        </w:rPr>
        <w:t xml:space="preserve">, </w:t>
      </w:r>
      <w:r w:rsidR="00C751C5">
        <w:rPr>
          <w:rFonts w:eastAsia="Calibri" w:cstheme="minorHAnsi"/>
          <w:sz w:val="24"/>
          <w:szCs w:val="24"/>
          <w:lang w:val="el-GR"/>
        </w:rPr>
        <w:t xml:space="preserve">όπως έχει </w:t>
      </w:r>
      <w:r w:rsidR="00E07AED">
        <w:rPr>
          <w:rFonts w:eastAsia="Calibri" w:cstheme="minorHAnsi"/>
          <w:sz w:val="24"/>
          <w:szCs w:val="24"/>
          <w:lang w:val="el-GR"/>
        </w:rPr>
        <w:t xml:space="preserve">σημειωθεί </w:t>
      </w:r>
      <w:r w:rsidR="00C751C5">
        <w:rPr>
          <w:rFonts w:eastAsia="Calibri" w:cstheme="minorHAnsi"/>
          <w:sz w:val="24"/>
          <w:szCs w:val="24"/>
          <w:lang w:val="el-GR"/>
        </w:rPr>
        <w:t>προηγουμένως</w:t>
      </w:r>
      <w:r w:rsidR="00A5147D" w:rsidRPr="00C751C5">
        <w:rPr>
          <w:rFonts w:eastAsia="Calibri" w:cstheme="minorHAnsi"/>
          <w:sz w:val="24"/>
          <w:szCs w:val="24"/>
          <w:lang w:val="el-GR"/>
        </w:rPr>
        <w:t xml:space="preserve">, </w:t>
      </w:r>
      <w:r w:rsidR="00C751C5">
        <w:rPr>
          <w:rFonts w:eastAsia="Calibri" w:cstheme="minorHAnsi"/>
          <w:sz w:val="24"/>
          <w:szCs w:val="24"/>
          <w:lang w:val="el-GR"/>
        </w:rPr>
        <w:t>δεν καλύπτεται από τ</w:t>
      </w:r>
      <w:r w:rsidR="00E07AED" w:rsidRPr="002B7C4B">
        <w:rPr>
          <w:rFonts w:eastAsia="Calibri" w:cstheme="minorHAnsi"/>
          <w:sz w:val="24"/>
          <w:szCs w:val="24"/>
          <w:lang w:val="el-GR"/>
        </w:rPr>
        <w:t>η</w:t>
      </w:r>
      <w:r w:rsidR="00C751C5">
        <w:rPr>
          <w:rFonts w:eastAsia="Calibri" w:cstheme="minorHAnsi"/>
          <w:sz w:val="24"/>
          <w:szCs w:val="24"/>
          <w:lang w:val="el-GR"/>
        </w:rPr>
        <w:t xml:space="preserve"> Χάρτ</w:t>
      </w:r>
      <w:r w:rsidR="0007009F">
        <w:rPr>
          <w:rFonts w:eastAsia="Calibri" w:cstheme="minorHAnsi"/>
          <w:sz w:val="24"/>
          <w:szCs w:val="24"/>
          <w:lang w:val="el-GR"/>
        </w:rPr>
        <w:t>α Δεοντολογίας</w:t>
      </w:r>
      <w:r w:rsidR="00A5147D" w:rsidRPr="00C751C5">
        <w:rPr>
          <w:rFonts w:eastAsia="Calibri" w:cstheme="minorHAnsi"/>
          <w:sz w:val="24"/>
          <w:szCs w:val="24"/>
          <w:lang w:val="el-GR"/>
        </w:rPr>
        <w:t>).</w:t>
      </w:r>
      <w:r w:rsidR="00A5147D" w:rsidRPr="000538B6">
        <w:rPr>
          <w:rStyle w:val="FootnoteReference"/>
          <w:rFonts w:eastAsia="Calibri" w:cstheme="minorHAnsi"/>
          <w:sz w:val="24"/>
          <w:szCs w:val="24"/>
        </w:rPr>
        <w:footnoteReference w:id="52"/>
      </w:r>
      <w:r w:rsidR="00A5147D" w:rsidRPr="00C751C5">
        <w:rPr>
          <w:rFonts w:eastAsia="Calibri" w:cstheme="minorHAnsi"/>
          <w:sz w:val="24"/>
          <w:szCs w:val="24"/>
          <w:lang w:val="el-GR"/>
        </w:rPr>
        <w:t xml:space="preserve"> </w:t>
      </w:r>
      <w:r w:rsidR="00FD3F68">
        <w:rPr>
          <w:rFonts w:eastAsia="Calibri" w:cstheme="minorHAnsi"/>
          <w:sz w:val="24"/>
          <w:szCs w:val="24"/>
          <w:lang w:val="el-GR"/>
        </w:rPr>
        <w:t>Κατά</w:t>
      </w:r>
      <w:r w:rsidR="00FD3F68" w:rsidRPr="00FD3F68">
        <w:rPr>
          <w:rFonts w:eastAsia="Calibri" w:cstheme="minorHAnsi"/>
          <w:sz w:val="24"/>
          <w:szCs w:val="24"/>
          <w:lang w:val="el-GR"/>
        </w:rPr>
        <w:t xml:space="preserve"> </w:t>
      </w:r>
      <w:r w:rsidR="00FD3F68">
        <w:rPr>
          <w:rFonts w:eastAsia="Calibri" w:cstheme="minorHAnsi"/>
          <w:sz w:val="24"/>
          <w:szCs w:val="24"/>
          <w:lang w:val="el-GR"/>
        </w:rPr>
        <w:t>τη</w:t>
      </w:r>
      <w:r w:rsidR="00FD3F68" w:rsidRPr="00FD3F68">
        <w:rPr>
          <w:rFonts w:eastAsia="Calibri" w:cstheme="minorHAnsi"/>
          <w:sz w:val="24"/>
          <w:szCs w:val="24"/>
          <w:lang w:val="el-GR"/>
        </w:rPr>
        <w:t xml:space="preserve"> </w:t>
      </w:r>
      <w:r w:rsidR="00FD3F68">
        <w:rPr>
          <w:rFonts w:eastAsia="Calibri" w:cstheme="minorHAnsi"/>
          <w:sz w:val="24"/>
          <w:szCs w:val="24"/>
          <w:lang w:val="el-GR"/>
        </w:rPr>
        <w:t>σύνταξη</w:t>
      </w:r>
      <w:r w:rsidR="00A5147D" w:rsidRPr="00FD3F68">
        <w:rPr>
          <w:rFonts w:eastAsia="Calibri" w:cstheme="minorHAnsi"/>
          <w:sz w:val="24"/>
          <w:szCs w:val="24"/>
          <w:lang w:val="el-GR"/>
        </w:rPr>
        <w:t xml:space="preserve"> </w:t>
      </w:r>
      <w:r w:rsidR="00FD3F68">
        <w:rPr>
          <w:rFonts w:eastAsia="Calibri" w:cstheme="minorHAnsi"/>
          <w:sz w:val="24"/>
          <w:szCs w:val="24"/>
          <w:lang w:val="el-GR"/>
        </w:rPr>
        <w:t>του</w:t>
      </w:r>
      <w:r w:rsidR="00FD3F68" w:rsidRPr="00FD3F68">
        <w:rPr>
          <w:rFonts w:eastAsia="Calibri" w:cstheme="minorHAnsi"/>
          <w:sz w:val="24"/>
          <w:szCs w:val="24"/>
          <w:lang w:val="el-GR"/>
        </w:rPr>
        <w:t xml:space="preserve"> </w:t>
      </w:r>
      <w:r w:rsidR="00FD3F68">
        <w:rPr>
          <w:rFonts w:eastAsia="Calibri" w:cstheme="minorHAnsi"/>
          <w:sz w:val="24"/>
          <w:szCs w:val="24"/>
          <w:lang w:val="el-GR"/>
        </w:rPr>
        <w:t>προτεινόμενου</w:t>
      </w:r>
      <w:r w:rsidR="00FD3F68" w:rsidRPr="00FD3F68">
        <w:rPr>
          <w:rFonts w:eastAsia="Calibri" w:cstheme="minorHAnsi"/>
          <w:sz w:val="24"/>
          <w:szCs w:val="24"/>
          <w:lang w:val="el-GR"/>
        </w:rPr>
        <w:t xml:space="preserve"> </w:t>
      </w:r>
      <w:r w:rsidR="00FD3F68">
        <w:rPr>
          <w:rFonts w:eastAsia="Calibri" w:cstheme="minorHAnsi"/>
          <w:sz w:val="24"/>
          <w:szCs w:val="24"/>
          <w:lang w:val="el-GR"/>
        </w:rPr>
        <w:t>Κώδικα</w:t>
      </w:r>
      <w:r w:rsidR="00FD3F68" w:rsidRPr="00FD3F68">
        <w:rPr>
          <w:rFonts w:eastAsia="Calibri" w:cstheme="minorHAnsi"/>
          <w:sz w:val="24"/>
          <w:szCs w:val="24"/>
          <w:lang w:val="el-GR"/>
        </w:rPr>
        <w:t xml:space="preserve"> </w:t>
      </w:r>
      <w:r w:rsidR="0007009F">
        <w:rPr>
          <w:rFonts w:eastAsia="Calibri" w:cstheme="minorHAnsi"/>
          <w:sz w:val="24"/>
          <w:szCs w:val="24"/>
          <w:lang w:val="el-GR"/>
        </w:rPr>
        <w:t xml:space="preserve">Δεοντολογίας </w:t>
      </w:r>
      <w:r w:rsidR="00981A2D" w:rsidRPr="00FD3F68">
        <w:rPr>
          <w:rFonts w:eastAsia="Calibri" w:cstheme="minorHAnsi"/>
          <w:sz w:val="24"/>
          <w:szCs w:val="24"/>
          <w:lang w:val="el-GR"/>
        </w:rPr>
        <w:t>(</w:t>
      </w:r>
      <w:r w:rsidR="00FD3F68">
        <w:rPr>
          <w:rFonts w:eastAsia="Calibri" w:cstheme="minorHAnsi"/>
          <w:sz w:val="24"/>
          <w:szCs w:val="24"/>
          <w:lang w:val="el-GR"/>
        </w:rPr>
        <w:t>παράγραφος</w:t>
      </w:r>
      <w:r w:rsidR="00981A2D" w:rsidRPr="00FD3F68">
        <w:rPr>
          <w:rFonts w:eastAsia="Calibri" w:cstheme="minorHAnsi"/>
          <w:sz w:val="24"/>
          <w:szCs w:val="24"/>
          <w:lang w:val="el-GR"/>
        </w:rPr>
        <w:t xml:space="preserve"> 61)</w:t>
      </w:r>
      <w:r w:rsidR="00A5147D" w:rsidRPr="00FD3F68">
        <w:rPr>
          <w:rFonts w:eastAsia="Calibri" w:cstheme="minorHAnsi"/>
          <w:sz w:val="24"/>
          <w:szCs w:val="24"/>
          <w:lang w:val="el-GR"/>
        </w:rPr>
        <w:t xml:space="preserve">, </w:t>
      </w:r>
      <w:r w:rsidR="00FD3F68">
        <w:rPr>
          <w:rFonts w:eastAsia="Calibri" w:cstheme="minorHAnsi"/>
          <w:sz w:val="24"/>
          <w:szCs w:val="24"/>
          <w:lang w:val="el-GR"/>
        </w:rPr>
        <w:t>είναι</w:t>
      </w:r>
      <w:r w:rsidR="00FD3F68" w:rsidRPr="00FD3F68">
        <w:rPr>
          <w:rFonts w:eastAsia="Calibri" w:cstheme="minorHAnsi"/>
          <w:sz w:val="24"/>
          <w:szCs w:val="24"/>
          <w:lang w:val="el-GR"/>
        </w:rPr>
        <w:t xml:space="preserve"> </w:t>
      </w:r>
      <w:r w:rsidR="00FD3F68">
        <w:rPr>
          <w:rFonts w:eastAsia="Calibri" w:cstheme="minorHAnsi"/>
          <w:sz w:val="24"/>
          <w:szCs w:val="24"/>
          <w:lang w:val="el-GR"/>
        </w:rPr>
        <w:t>σημαντικό</w:t>
      </w:r>
      <w:r w:rsidR="00FD3F68" w:rsidRPr="00FD3F68">
        <w:rPr>
          <w:rFonts w:eastAsia="Calibri" w:cstheme="minorHAnsi"/>
          <w:sz w:val="24"/>
          <w:szCs w:val="24"/>
          <w:lang w:val="el-GR"/>
        </w:rPr>
        <w:t xml:space="preserve"> </w:t>
      </w:r>
      <w:r w:rsidR="00FD3F68">
        <w:rPr>
          <w:rFonts w:eastAsia="Calibri" w:cstheme="minorHAnsi"/>
          <w:sz w:val="24"/>
          <w:szCs w:val="24"/>
          <w:lang w:val="el-GR"/>
        </w:rPr>
        <w:t>να</w:t>
      </w:r>
      <w:r w:rsidR="00FD3F68" w:rsidRPr="00FD3F68">
        <w:rPr>
          <w:rFonts w:eastAsia="Calibri" w:cstheme="minorHAnsi"/>
          <w:sz w:val="24"/>
          <w:szCs w:val="24"/>
          <w:lang w:val="el-GR"/>
        </w:rPr>
        <w:t xml:space="preserve"> </w:t>
      </w:r>
      <w:r w:rsidR="00FD3F68">
        <w:rPr>
          <w:rFonts w:eastAsia="Calibri" w:cstheme="minorHAnsi"/>
          <w:sz w:val="24"/>
          <w:szCs w:val="24"/>
          <w:lang w:val="el-GR"/>
        </w:rPr>
        <w:t>συμπεριληφθούν</w:t>
      </w:r>
      <w:r w:rsidR="00FD3F68" w:rsidRPr="00FD3F68">
        <w:rPr>
          <w:rFonts w:eastAsia="Calibri" w:cstheme="minorHAnsi"/>
          <w:sz w:val="24"/>
          <w:szCs w:val="24"/>
          <w:lang w:val="el-GR"/>
        </w:rPr>
        <w:t xml:space="preserve"> </w:t>
      </w:r>
      <w:r w:rsidR="00E07AED">
        <w:rPr>
          <w:rFonts w:eastAsia="Calibri" w:cstheme="minorHAnsi"/>
          <w:sz w:val="24"/>
          <w:szCs w:val="24"/>
          <w:lang w:val="el-GR"/>
        </w:rPr>
        <w:t xml:space="preserve">αποτελεσματικές </w:t>
      </w:r>
      <w:r w:rsidR="00FD3F68">
        <w:rPr>
          <w:rFonts w:eastAsia="Calibri" w:cstheme="minorHAnsi"/>
          <w:sz w:val="24"/>
          <w:szCs w:val="24"/>
          <w:lang w:val="el-GR"/>
        </w:rPr>
        <w:t>πρόνοιες</w:t>
      </w:r>
      <w:r w:rsidR="00FD3F68" w:rsidRPr="00FD3F68">
        <w:rPr>
          <w:rFonts w:eastAsia="Calibri" w:cstheme="minorHAnsi"/>
          <w:sz w:val="24"/>
          <w:szCs w:val="24"/>
          <w:lang w:val="el-GR"/>
        </w:rPr>
        <w:t xml:space="preserve"> </w:t>
      </w:r>
      <w:r w:rsidR="00FD3F68">
        <w:rPr>
          <w:rFonts w:eastAsia="Calibri" w:cstheme="minorHAnsi"/>
          <w:sz w:val="24"/>
          <w:szCs w:val="24"/>
          <w:lang w:val="el-GR"/>
        </w:rPr>
        <w:t>για</w:t>
      </w:r>
      <w:r w:rsidR="00FD3F68" w:rsidRPr="00FD3F68">
        <w:rPr>
          <w:rFonts w:eastAsia="Calibri" w:cstheme="minorHAnsi"/>
          <w:sz w:val="24"/>
          <w:szCs w:val="24"/>
          <w:lang w:val="el-GR"/>
        </w:rPr>
        <w:t xml:space="preserve"> </w:t>
      </w:r>
      <w:r w:rsidR="00FD3F68">
        <w:rPr>
          <w:rFonts w:eastAsia="Calibri" w:cstheme="minorHAnsi"/>
          <w:sz w:val="24"/>
          <w:szCs w:val="24"/>
          <w:lang w:val="el-GR"/>
        </w:rPr>
        <w:t>δώρα</w:t>
      </w:r>
      <w:r w:rsidR="00A5147D" w:rsidRPr="00FD3F68">
        <w:rPr>
          <w:rFonts w:eastAsia="Calibri" w:cstheme="minorHAnsi"/>
          <w:sz w:val="24"/>
          <w:szCs w:val="24"/>
          <w:lang w:val="el-GR"/>
        </w:rPr>
        <w:t xml:space="preserve"> </w:t>
      </w:r>
      <w:r w:rsidR="00FD3F68">
        <w:rPr>
          <w:rFonts w:eastAsia="Calibri" w:cstheme="minorHAnsi"/>
          <w:sz w:val="24"/>
          <w:szCs w:val="24"/>
          <w:lang w:val="el-GR"/>
        </w:rPr>
        <w:t>και αυτό το θέμα να λ</w:t>
      </w:r>
      <w:r w:rsidR="005541DE">
        <w:rPr>
          <w:rFonts w:eastAsia="Calibri" w:cstheme="minorHAnsi"/>
          <w:sz w:val="24"/>
          <w:szCs w:val="24"/>
          <w:lang w:val="el-GR"/>
        </w:rPr>
        <w:t>αμβάν</w:t>
      </w:r>
      <w:r w:rsidR="00FD3F68">
        <w:rPr>
          <w:rFonts w:eastAsia="Calibri" w:cstheme="minorHAnsi"/>
          <w:sz w:val="24"/>
          <w:szCs w:val="24"/>
          <w:lang w:val="el-GR"/>
        </w:rPr>
        <w:t xml:space="preserve">ει επίσης τη </w:t>
      </w:r>
      <w:r w:rsidR="00E07AED">
        <w:rPr>
          <w:rFonts w:eastAsia="Calibri" w:cstheme="minorHAnsi"/>
          <w:sz w:val="24"/>
          <w:szCs w:val="24"/>
          <w:lang w:val="el-GR"/>
        </w:rPr>
        <w:t xml:space="preserve">λεπτομερή </w:t>
      </w:r>
      <w:r w:rsidR="00FD3F68">
        <w:rPr>
          <w:rFonts w:eastAsia="Calibri" w:cstheme="minorHAnsi"/>
          <w:sz w:val="24"/>
          <w:szCs w:val="24"/>
          <w:lang w:val="el-GR"/>
        </w:rPr>
        <w:t>προσοχή</w:t>
      </w:r>
      <w:r w:rsidR="00A5147D" w:rsidRPr="00FD3F68">
        <w:rPr>
          <w:rFonts w:eastAsia="Calibri" w:cstheme="minorHAnsi"/>
          <w:sz w:val="24"/>
          <w:szCs w:val="24"/>
          <w:lang w:val="el-GR"/>
        </w:rPr>
        <w:t xml:space="preserve"> </w:t>
      </w:r>
      <w:r w:rsidR="00FD3F68">
        <w:rPr>
          <w:rFonts w:eastAsia="Calibri" w:cstheme="minorHAnsi"/>
          <w:sz w:val="24"/>
          <w:szCs w:val="24"/>
          <w:lang w:val="el-GR"/>
        </w:rPr>
        <w:t>στην προτεινόμενη καθοδήγηση</w:t>
      </w:r>
      <w:r w:rsidR="00A5147D" w:rsidRPr="00FD3F68">
        <w:rPr>
          <w:rFonts w:eastAsia="Calibri" w:cstheme="minorHAnsi"/>
          <w:sz w:val="24"/>
          <w:szCs w:val="24"/>
          <w:lang w:val="el-GR"/>
        </w:rPr>
        <w:t xml:space="preserve"> </w:t>
      </w:r>
      <w:r w:rsidR="00FD3F68">
        <w:rPr>
          <w:rFonts w:eastAsia="Calibri" w:cstheme="minorHAnsi"/>
          <w:sz w:val="24"/>
          <w:szCs w:val="24"/>
          <w:lang w:val="el-GR"/>
        </w:rPr>
        <w:t xml:space="preserve">και στα μέτρα </w:t>
      </w:r>
      <w:r w:rsidR="00E07AED">
        <w:rPr>
          <w:rFonts w:eastAsia="Calibri" w:cstheme="minorHAnsi"/>
          <w:sz w:val="24"/>
          <w:szCs w:val="24"/>
          <w:lang w:val="el-GR"/>
        </w:rPr>
        <w:t xml:space="preserve">για </w:t>
      </w:r>
      <w:r w:rsidR="00FD3F68">
        <w:rPr>
          <w:rFonts w:eastAsia="Calibri" w:cstheme="minorHAnsi"/>
          <w:sz w:val="24"/>
          <w:szCs w:val="24"/>
          <w:lang w:val="el-GR"/>
        </w:rPr>
        <w:t xml:space="preserve">αύξηση της ευαισθητοποίησης </w:t>
      </w:r>
      <w:r w:rsidR="00E07AED">
        <w:rPr>
          <w:rFonts w:eastAsia="Calibri" w:cstheme="minorHAnsi"/>
          <w:sz w:val="24"/>
          <w:szCs w:val="24"/>
          <w:lang w:val="el-GR"/>
        </w:rPr>
        <w:t xml:space="preserve"> των </w:t>
      </w:r>
      <w:r w:rsidR="00E07AED">
        <w:rPr>
          <w:rFonts w:eastAsia="Calibri" w:cstheme="minorHAnsi"/>
          <w:sz w:val="24"/>
          <w:szCs w:val="24"/>
          <w:lang w:val="en-US"/>
        </w:rPr>
        <w:t>PTEFs</w:t>
      </w:r>
      <w:r w:rsidR="00E07AED" w:rsidRPr="002B7C4B">
        <w:rPr>
          <w:rFonts w:eastAsia="Calibri" w:cstheme="minorHAnsi"/>
          <w:sz w:val="24"/>
          <w:szCs w:val="24"/>
          <w:lang w:val="el-GR"/>
        </w:rPr>
        <w:t xml:space="preserve"> </w:t>
      </w:r>
      <w:r w:rsidR="00A5147D" w:rsidRPr="00FD3F68">
        <w:rPr>
          <w:rFonts w:eastAsia="Calibri" w:cstheme="minorHAnsi"/>
          <w:sz w:val="24"/>
          <w:szCs w:val="24"/>
          <w:lang w:val="el-GR"/>
        </w:rPr>
        <w:t>(</w:t>
      </w:r>
      <w:r w:rsidR="00FD3F68">
        <w:rPr>
          <w:rFonts w:eastAsia="Calibri" w:cstheme="minorHAnsi"/>
          <w:sz w:val="24"/>
          <w:szCs w:val="24"/>
          <w:lang w:val="el-GR"/>
        </w:rPr>
        <w:t>συμπεριλαμβανομένου του Προέδρου</w:t>
      </w:r>
      <w:r w:rsidR="00A5147D" w:rsidRPr="00FD3F68">
        <w:rPr>
          <w:rFonts w:eastAsia="Calibri" w:cstheme="minorHAnsi"/>
          <w:sz w:val="24"/>
          <w:szCs w:val="24"/>
          <w:lang w:val="el-GR"/>
        </w:rPr>
        <w:t xml:space="preserve">).  </w:t>
      </w:r>
    </w:p>
    <w:p w14:paraId="1156614A" w14:textId="77777777" w:rsidR="00A5147D" w:rsidRPr="00FD3F68" w:rsidRDefault="00A5147D" w:rsidP="00A5147D">
      <w:pPr>
        <w:rPr>
          <w:rFonts w:cstheme="minorHAnsi"/>
          <w:i/>
          <w:iCs/>
          <w:sz w:val="24"/>
          <w:szCs w:val="24"/>
          <w:lang w:val="el-GR"/>
        </w:rPr>
      </w:pPr>
    </w:p>
    <w:p w14:paraId="39DF100D" w14:textId="7086A2EE" w:rsidR="00A5147D" w:rsidRPr="004E251E" w:rsidRDefault="00FD3F68" w:rsidP="00A5147D">
      <w:pPr>
        <w:pStyle w:val="Heading3"/>
        <w:spacing w:before="0"/>
        <w:rPr>
          <w:rFonts w:asciiTheme="minorHAnsi" w:hAnsiTheme="minorHAnsi" w:cstheme="minorHAnsi"/>
          <w:b w:val="0"/>
          <w:bCs w:val="0"/>
          <w:i/>
          <w:iCs/>
          <w:color w:val="auto"/>
          <w:sz w:val="24"/>
          <w:szCs w:val="24"/>
        </w:rPr>
      </w:pPr>
      <w:bookmarkStart w:id="129" w:name="_Toc342554260"/>
      <w:bookmarkStart w:id="130" w:name="_Toc342640935"/>
      <w:bookmarkStart w:id="131" w:name="_Toc479580439"/>
      <w:bookmarkStart w:id="132" w:name="_Toc117264358"/>
      <w:bookmarkStart w:id="133" w:name="_Toc136879356"/>
      <w:r>
        <w:rPr>
          <w:rFonts w:asciiTheme="minorHAnsi" w:hAnsiTheme="minorHAnsi" w:cstheme="minorHAnsi"/>
          <w:b w:val="0"/>
          <w:bCs w:val="0"/>
          <w:i/>
          <w:iCs/>
          <w:color w:val="auto"/>
          <w:sz w:val="24"/>
          <w:szCs w:val="24"/>
          <w:lang w:val="el-GR"/>
        </w:rPr>
        <w:t>Κατάχρηση δημοσίων πόρων</w:t>
      </w:r>
      <w:bookmarkEnd w:id="129"/>
      <w:bookmarkEnd w:id="130"/>
      <w:bookmarkEnd w:id="131"/>
      <w:bookmarkEnd w:id="132"/>
      <w:bookmarkEnd w:id="133"/>
    </w:p>
    <w:p w14:paraId="3D779718" w14:textId="77777777" w:rsidR="00A5147D" w:rsidRPr="004E251E" w:rsidRDefault="00A5147D" w:rsidP="00A5147D">
      <w:pPr>
        <w:tabs>
          <w:tab w:val="left" w:pos="567"/>
        </w:tabs>
        <w:suppressAutoHyphens/>
        <w:rPr>
          <w:rFonts w:cstheme="minorHAnsi"/>
          <w:i/>
          <w:iCs/>
          <w:sz w:val="24"/>
          <w:szCs w:val="24"/>
          <w:u w:val="single"/>
        </w:rPr>
      </w:pPr>
    </w:p>
    <w:p w14:paraId="2FEC3B6D" w14:textId="203465B8" w:rsidR="00A5147D" w:rsidRPr="00F7062A" w:rsidRDefault="00FD3F68" w:rsidP="00A5147D">
      <w:pPr>
        <w:numPr>
          <w:ilvl w:val="0"/>
          <w:numId w:val="1"/>
        </w:numPr>
        <w:tabs>
          <w:tab w:val="clear" w:pos="6095"/>
          <w:tab w:val="left" w:pos="709"/>
        </w:tabs>
        <w:ind w:left="0" w:firstLine="0"/>
        <w:contextualSpacing/>
        <w:rPr>
          <w:rFonts w:cstheme="minorHAnsi"/>
          <w:sz w:val="24"/>
          <w:szCs w:val="24"/>
          <w:lang w:val="el-GR"/>
        </w:rPr>
      </w:pPr>
      <w:r>
        <w:rPr>
          <w:rFonts w:eastAsia="Calibri" w:cstheme="minorHAnsi"/>
          <w:sz w:val="24"/>
          <w:szCs w:val="24"/>
          <w:lang w:val="el-GR"/>
        </w:rPr>
        <w:t>Η</w:t>
      </w:r>
      <w:r w:rsidRPr="00F7062A">
        <w:rPr>
          <w:rFonts w:eastAsia="Calibri" w:cstheme="minorHAnsi"/>
          <w:sz w:val="24"/>
          <w:szCs w:val="24"/>
          <w:lang w:val="el-GR"/>
        </w:rPr>
        <w:t xml:space="preserve"> </w:t>
      </w:r>
      <w:r>
        <w:rPr>
          <w:rFonts w:eastAsia="Calibri" w:cstheme="minorHAnsi"/>
          <w:sz w:val="24"/>
          <w:szCs w:val="24"/>
          <w:lang w:val="el-GR"/>
        </w:rPr>
        <w:t>κατάχρηση</w:t>
      </w:r>
      <w:r w:rsidRPr="00F7062A">
        <w:rPr>
          <w:rFonts w:eastAsia="Calibri" w:cstheme="minorHAnsi"/>
          <w:sz w:val="24"/>
          <w:szCs w:val="24"/>
          <w:lang w:val="el-GR"/>
        </w:rPr>
        <w:t xml:space="preserve"> </w:t>
      </w:r>
      <w:r>
        <w:rPr>
          <w:rFonts w:eastAsia="Calibri" w:cstheme="minorHAnsi"/>
          <w:sz w:val="24"/>
          <w:szCs w:val="24"/>
          <w:lang w:val="el-GR"/>
        </w:rPr>
        <w:t>δημοσίων</w:t>
      </w:r>
      <w:r w:rsidRPr="00F7062A">
        <w:rPr>
          <w:rFonts w:eastAsia="Calibri" w:cstheme="minorHAnsi"/>
          <w:sz w:val="24"/>
          <w:szCs w:val="24"/>
          <w:lang w:val="el-GR"/>
        </w:rPr>
        <w:t xml:space="preserve"> </w:t>
      </w:r>
      <w:r>
        <w:rPr>
          <w:rFonts w:eastAsia="Calibri" w:cstheme="minorHAnsi"/>
          <w:sz w:val="24"/>
          <w:szCs w:val="24"/>
          <w:lang w:val="el-GR"/>
        </w:rPr>
        <w:t>πόρων</w:t>
      </w:r>
      <w:r w:rsidRPr="00F7062A">
        <w:rPr>
          <w:rFonts w:eastAsia="Calibri" w:cstheme="minorHAnsi"/>
          <w:sz w:val="24"/>
          <w:szCs w:val="24"/>
          <w:lang w:val="el-GR"/>
        </w:rPr>
        <w:t xml:space="preserve"> </w:t>
      </w:r>
      <w:r>
        <w:rPr>
          <w:rFonts w:eastAsia="Calibri" w:cstheme="minorHAnsi"/>
          <w:sz w:val="24"/>
          <w:szCs w:val="24"/>
          <w:lang w:val="el-GR"/>
        </w:rPr>
        <w:t>αποτελεί</w:t>
      </w:r>
      <w:r w:rsidRPr="00F7062A">
        <w:rPr>
          <w:rFonts w:eastAsia="Calibri" w:cstheme="minorHAnsi"/>
          <w:sz w:val="24"/>
          <w:szCs w:val="24"/>
          <w:lang w:val="el-GR"/>
        </w:rPr>
        <w:t xml:space="preserve"> </w:t>
      </w:r>
      <w:r>
        <w:rPr>
          <w:rFonts w:eastAsia="Calibri" w:cstheme="minorHAnsi"/>
          <w:sz w:val="24"/>
          <w:szCs w:val="24"/>
          <w:lang w:val="el-GR"/>
        </w:rPr>
        <w:t>ποινικό</w:t>
      </w:r>
      <w:r w:rsidRPr="00F7062A">
        <w:rPr>
          <w:rFonts w:eastAsia="Calibri" w:cstheme="minorHAnsi"/>
          <w:sz w:val="24"/>
          <w:szCs w:val="24"/>
          <w:lang w:val="el-GR"/>
        </w:rPr>
        <w:t xml:space="preserve"> </w:t>
      </w:r>
      <w:r>
        <w:rPr>
          <w:rFonts w:eastAsia="Calibri" w:cstheme="minorHAnsi"/>
          <w:sz w:val="24"/>
          <w:szCs w:val="24"/>
          <w:lang w:val="el-GR"/>
        </w:rPr>
        <w:t>αδίκημα</w:t>
      </w:r>
      <w:r w:rsidR="00A5147D" w:rsidRPr="00F7062A">
        <w:rPr>
          <w:rFonts w:eastAsia="Calibri" w:cstheme="minorHAnsi"/>
          <w:sz w:val="24"/>
          <w:szCs w:val="24"/>
          <w:lang w:val="el-GR"/>
        </w:rPr>
        <w:t xml:space="preserve">, </w:t>
      </w:r>
      <w:r>
        <w:rPr>
          <w:rFonts w:eastAsia="Calibri" w:cstheme="minorHAnsi"/>
          <w:sz w:val="24"/>
          <w:szCs w:val="24"/>
          <w:lang w:val="el-GR"/>
        </w:rPr>
        <w:t>που</w:t>
      </w:r>
      <w:r w:rsidRPr="00F7062A">
        <w:rPr>
          <w:rFonts w:eastAsia="Calibri" w:cstheme="minorHAnsi"/>
          <w:sz w:val="24"/>
          <w:szCs w:val="24"/>
          <w:lang w:val="el-GR"/>
        </w:rPr>
        <w:t xml:space="preserve"> </w:t>
      </w:r>
      <w:r>
        <w:rPr>
          <w:rFonts w:eastAsia="Calibri" w:cstheme="minorHAnsi"/>
          <w:sz w:val="24"/>
          <w:szCs w:val="24"/>
          <w:lang w:val="el-GR"/>
        </w:rPr>
        <w:t>τιμωρείται</w:t>
      </w:r>
      <w:r w:rsidR="00A5147D" w:rsidRPr="00F7062A">
        <w:rPr>
          <w:rFonts w:eastAsia="Calibri" w:cstheme="minorHAnsi"/>
          <w:sz w:val="24"/>
          <w:szCs w:val="24"/>
          <w:lang w:val="el-GR"/>
        </w:rPr>
        <w:t xml:space="preserve">, </w:t>
      </w:r>
      <w:r>
        <w:rPr>
          <w:rFonts w:eastAsia="Calibri" w:cstheme="minorHAnsi"/>
          <w:sz w:val="24"/>
          <w:szCs w:val="24"/>
          <w:lang w:val="el-GR"/>
        </w:rPr>
        <w:t>σύμφωνα</w:t>
      </w:r>
      <w:r w:rsidRPr="00F7062A">
        <w:rPr>
          <w:rFonts w:eastAsia="Calibri" w:cstheme="minorHAnsi"/>
          <w:sz w:val="24"/>
          <w:szCs w:val="24"/>
          <w:lang w:val="el-GR"/>
        </w:rPr>
        <w:t xml:space="preserve"> </w:t>
      </w:r>
      <w:r>
        <w:rPr>
          <w:rFonts w:eastAsia="Calibri" w:cstheme="minorHAnsi"/>
          <w:sz w:val="24"/>
          <w:szCs w:val="24"/>
          <w:lang w:val="el-GR"/>
        </w:rPr>
        <w:t>με</w:t>
      </w:r>
      <w:r w:rsidRPr="00F7062A">
        <w:rPr>
          <w:rFonts w:eastAsia="Calibri" w:cstheme="minorHAnsi"/>
          <w:sz w:val="24"/>
          <w:szCs w:val="24"/>
          <w:lang w:val="el-GR"/>
        </w:rPr>
        <w:t xml:space="preserve"> </w:t>
      </w:r>
      <w:r>
        <w:rPr>
          <w:rFonts w:eastAsia="Calibri" w:cstheme="minorHAnsi"/>
          <w:sz w:val="24"/>
          <w:szCs w:val="24"/>
          <w:lang w:val="el-GR"/>
        </w:rPr>
        <w:t>τον</w:t>
      </w:r>
      <w:r w:rsidRPr="00F7062A">
        <w:rPr>
          <w:rFonts w:eastAsia="Calibri" w:cstheme="minorHAnsi"/>
          <w:sz w:val="24"/>
          <w:szCs w:val="24"/>
          <w:lang w:val="el-GR"/>
        </w:rPr>
        <w:t xml:space="preserve"> </w:t>
      </w:r>
      <w:r>
        <w:rPr>
          <w:rFonts w:eastAsia="Calibri" w:cstheme="minorHAnsi"/>
          <w:sz w:val="24"/>
          <w:szCs w:val="24"/>
          <w:lang w:val="el-GR"/>
        </w:rPr>
        <w:t>Νόμο</w:t>
      </w:r>
      <w:r w:rsidRPr="00F7062A">
        <w:rPr>
          <w:rFonts w:eastAsia="Calibri" w:cstheme="minorHAnsi"/>
          <w:sz w:val="24"/>
          <w:szCs w:val="24"/>
          <w:lang w:val="el-GR"/>
        </w:rPr>
        <w:t xml:space="preserve"> </w:t>
      </w:r>
      <w:r>
        <w:rPr>
          <w:rFonts w:eastAsia="Calibri" w:cstheme="minorHAnsi"/>
          <w:sz w:val="24"/>
          <w:szCs w:val="24"/>
          <w:lang w:val="el-GR"/>
        </w:rPr>
        <w:t>περί</w:t>
      </w:r>
      <w:r w:rsidR="00A5147D" w:rsidRPr="00F7062A">
        <w:rPr>
          <w:rFonts w:eastAsia="Calibri" w:cstheme="minorHAnsi"/>
          <w:sz w:val="24"/>
          <w:szCs w:val="24"/>
          <w:lang w:val="el-GR"/>
        </w:rPr>
        <w:t xml:space="preserve"> </w:t>
      </w:r>
      <w:r>
        <w:rPr>
          <w:rFonts w:eastAsia="Calibri" w:cstheme="minorHAnsi"/>
          <w:sz w:val="24"/>
          <w:szCs w:val="24"/>
          <w:lang w:val="el-GR"/>
        </w:rPr>
        <w:t>Αθεμίτου</w:t>
      </w:r>
      <w:r w:rsidRPr="00F7062A">
        <w:rPr>
          <w:rFonts w:eastAsia="Calibri" w:cstheme="minorHAnsi"/>
          <w:sz w:val="24"/>
          <w:szCs w:val="24"/>
          <w:lang w:val="el-GR"/>
        </w:rPr>
        <w:t xml:space="preserve"> </w:t>
      </w:r>
      <w:r w:rsidR="00F7062A">
        <w:rPr>
          <w:rFonts w:eastAsia="Calibri" w:cstheme="minorHAnsi"/>
          <w:sz w:val="24"/>
          <w:szCs w:val="24"/>
          <w:lang w:val="el-GR"/>
        </w:rPr>
        <w:t>Κτήσ</w:t>
      </w:r>
      <w:r w:rsidR="00E07AED">
        <w:rPr>
          <w:rFonts w:eastAsia="Calibri" w:cstheme="minorHAnsi"/>
          <w:sz w:val="24"/>
          <w:szCs w:val="24"/>
          <w:lang w:val="el-GR"/>
        </w:rPr>
        <w:t>η</w:t>
      </w:r>
      <w:r w:rsidR="00F7062A">
        <w:rPr>
          <w:rFonts w:eastAsia="Calibri" w:cstheme="minorHAnsi"/>
          <w:sz w:val="24"/>
          <w:szCs w:val="24"/>
          <w:lang w:val="el-GR"/>
        </w:rPr>
        <w:t>ς</w:t>
      </w:r>
      <w:r w:rsidR="00F7062A" w:rsidRPr="00F7062A">
        <w:rPr>
          <w:rFonts w:eastAsia="Calibri" w:cstheme="minorHAnsi"/>
          <w:sz w:val="24"/>
          <w:szCs w:val="24"/>
          <w:lang w:val="el-GR"/>
        </w:rPr>
        <w:t xml:space="preserve"> </w:t>
      </w:r>
      <w:r w:rsidR="00F7062A">
        <w:rPr>
          <w:rFonts w:eastAsia="Calibri" w:cstheme="minorHAnsi"/>
          <w:sz w:val="24"/>
          <w:szCs w:val="24"/>
          <w:lang w:val="el-GR"/>
        </w:rPr>
        <w:t>Περιουσιακού</w:t>
      </w:r>
      <w:r w:rsidR="00F7062A" w:rsidRPr="00F7062A">
        <w:rPr>
          <w:rFonts w:eastAsia="Calibri" w:cstheme="minorHAnsi"/>
          <w:sz w:val="24"/>
          <w:szCs w:val="24"/>
          <w:lang w:val="el-GR"/>
        </w:rPr>
        <w:t xml:space="preserve"> </w:t>
      </w:r>
      <w:r w:rsidR="00F7062A">
        <w:rPr>
          <w:rFonts w:eastAsia="Calibri" w:cstheme="minorHAnsi"/>
          <w:sz w:val="24"/>
          <w:szCs w:val="24"/>
          <w:lang w:val="el-GR"/>
        </w:rPr>
        <w:t>Οφέλους</w:t>
      </w:r>
      <w:r w:rsidR="00F7062A" w:rsidRPr="00F7062A">
        <w:rPr>
          <w:rFonts w:eastAsia="Calibri" w:cstheme="minorHAnsi"/>
          <w:sz w:val="24"/>
          <w:szCs w:val="24"/>
          <w:lang w:val="el-GR"/>
        </w:rPr>
        <w:t xml:space="preserve"> </w:t>
      </w:r>
      <w:r w:rsidR="00F7062A">
        <w:rPr>
          <w:rFonts w:eastAsia="Calibri" w:cstheme="minorHAnsi"/>
          <w:sz w:val="24"/>
          <w:szCs w:val="24"/>
          <w:lang w:val="el-GR"/>
        </w:rPr>
        <w:t>υπό</w:t>
      </w:r>
      <w:r w:rsidR="00F7062A" w:rsidRPr="00F7062A">
        <w:rPr>
          <w:rFonts w:eastAsia="Calibri" w:cstheme="minorHAnsi"/>
          <w:sz w:val="24"/>
          <w:szCs w:val="24"/>
          <w:lang w:val="el-GR"/>
        </w:rPr>
        <w:t xml:space="preserve"> </w:t>
      </w:r>
      <w:r w:rsidR="00F7062A">
        <w:rPr>
          <w:rFonts w:eastAsia="Calibri" w:cstheme="minorHAnsi"/>
          <w:sz w:val="24"/>
          <w:szCs w:val="24"/>
          <w:lang w:val="el-GR"/>
        </w:rPr>
        <w:t>Ορισμένων</w:t>
      </w:r>
      <w:r w:rsidR="00F7062A" w:rsidRPr="00F7062A">
        <w:rPr>
          <w:rFonts w:eastAsia="Calibri" w:cstheme="minorHAnsi"/>
          <w:sz w:val="24"/>
          <w:szCs w:val="24"/>
          <w:lang w:val="el-GR"/>
        </w:rPr>
        <w:t xml:space="preserve"> </w:t>
      </w:r>
      <w:r w:rsidR="00F7062A">
        <w:rPr>
          <w:rFonts w:eastAsia="Calibri" w:cstheme="minorHAnsi"/>
          <w:sz w:val="24"/>
          <w:szCs w:val="24"/>
          <w:lang w:val="el-GR"/>
        </w:rPr>
        <w:t>Αξιωματούχων</w:t>
      </w:r>
      <w:r w:rsidR="00F7062A" w:rsidRPr="00F7062A">
        <w:rPr>
          <w:rFonts w:eastAsia="Calibri" w:cstheme="minorHAnsi"/>
          <w:sz w:val="24"/>
          <w:szCs w:val="24"/>
          <w:lang w:val="el-GR"/>
        </w:rPr>
        <w:t xml:space="preserve"> </w:t>
      </w:r>
      <w:r w:rsidR="00F7062A">
        <w:rPr>
          <w:rFonts w:eastAsia="Calibri" w:cstheme="minorHAnsi"/>
          <w:sz w:val="24"/>
          <w:szCs w:val="24"/>
          <w:lang w:val="el-GR"/>
        </w:rPr>
        <w:t>και</w:t>
      </w:r>
      <w:r w:rsidR="00F7062A" w:rsidRPr="00F7062A">
        <w:rPr>
          <w:rFonts w:eastAsia="Calibri" w:cstheme="minorHAnsi"/>
          <w:sz w:val="24"/>
          <w:szCs w:val="24"/>
          <w:lang w:val="el-GR"/>
        </w:rPr>
        <w:t xml:space="preserve"> </w:t>
      </w:r>
      <w:r w:rsidR="00F7062A">
        <w:rPr>
          <w:rFonts w:eastAsia="Calibri" w:cstheme="minorHAnsi"/>
          <w:sz w:val="24"/>
          <w:szCs w:val="24"/>
          <w:lang w:val="el-GR"/>
        </w:rPr>
        <w:t>Λειτουργ</w:t>
      </w:r>
      <w:r w:rsidR="005541DE">
        <w:rPr>
          <w:rFonts w:eastAsia="Calibri" w:cstheme="minorHAnsi"/>
          <w:sz w:val="24"/>
          <w:szCs w:val="24"/>
          <w:lang w:val="el-GR"/>
        </w:rPr>
        <w:t>ών</w:t>
      </w:r>
      <w:r w:rsidR="00F7062A" w:rsidRPr="00F7062A">
        <w:rPr>
          <w:rFonts w:eastAsia="Calibri" w:cstheme="minorHAnsi"/>
          <w:sz w:val="24"/>
          <w:szCs w:val="24"/>
          <w:lang w:val="el-GR"/>
        </w:rPr>
        <w:t xml:space="preserve"> </w:t>
      </w:r>
      <w:r w:rsidR="00F7062A">
        <w:rPr>
          <w:rFonts w:eastAsia="Calibri" w:cstheme="minorHAnsi"/>
          <w:sz w:val="24"/>
          <w:szCs w:val="24"/>
          <w:lang w:val="el-GR"/>
        </w:rPr>
        <w:t>του</w:t>
      </w:r>
      <w:r w:rsidR="00F7062A" w:rsidRPr="00F7062A">
        <w:rPr>
          <w:rFonts w:eastAsia="Calibri" w:cstheme="minorHAnsi"/>
          <w:sz w:val="24"/>
          <w:szCs w:val="24"/>
          <w:lang w:val="el-GR"/>
        </w:rPr>
        <w:t xml:space="preserve"> </w:t>
      </w:r>
      <w:r w:rsidR="00F7062A">
        <w:rPr>
          <w:rFonts w:eastAsia="Calibri" w:cstheme="minorHAnsi"/>
          <w:sz w:val="24"/>
          <w:szCs w:val="24"/>
          <w:lang w:val="el-GR"/>
        </w:rPr>
        <w:t>Δημοσίου</w:t>
      </w:r>
      <w:r w:rsidR="00A5147D" w:rsidRPr="00F7062A">
        <w:rPr>
          <w:rFonts w:eastAsia="Calibri" w:cstheme="minorHAnsi"/>
          <w:sz w:val="24"/>
          <w:szCs w:val="24"/>
          <w:lang w:val="el-GR"/>
        </w:rPr>
        <w:t xml:space="preserve"> (</w:t>
      </w:r>
      <w:r w:rsidR="00F7062A">
        <w:rPr>
          <w:rFonts w:eastAsia="Calibri" w:cstheme="minorHAnsi"/>
          <w:sz w:val="24"/>
          <w:szCs w:val="24"/>
          <w:lang w:val="el-GR"/>
        </w:rPr>
        <w:t>Νόμος</w:t>
      </w:r>
      <w:r w:rsidR="00A5147D" w:rsidRPr="00F7062A">
        <w:rPr>
          <w:rFonts w:eastAsia="Calibri" w:cstheme="minorHAnsi"/>
          <w:sz w:val="24"/>
          <w:szCs w:val="24"/>
          <w:lang w:val="el-GR"/>
        </w:rPr>
        <w:t xml:space="preserve"> 51(</w:t>
      </w:r>
      <w:r w:rsidR="00A5147D" w:rsidRPr="004E251E">
        <w:rPr>
          <w:rFonts w:eastAsia="Calibri" w:cstheme="minorHAnsi"/>
          <w:sz w:val="24"/>
          <w:szCs w:val="24"/>
        </w:rPr>
        <w:t>I</w:t>
      </w:r>
      <w:r w:rsidR="00A5147D" w:rsidRPr="00F7062A">
        <w:rPr>
          <w:rFonts w:eastAsia="Calibri" w:cstheme="minorHAnsi"/>
          <w:sz w:val="24"/>
          <w:szCs w:val="24"/>
          <w:lang w:val="el-GR"/>
        </w:rPr>
        <w:t xml:space="preserve">)/2004), </w:t>
      </w:r>
      <w:r w:rsidR="00F7062A">
        <w:rPr>
          <w:rFonts w:eastAsia="Calibri" w:cstheme="minorHAnsi"/>
          <w:sz w:val="24"/>
          <w:szCs w:val="24"/>
          <w:lang w:val="el-GR"/>
        </w:rPr>
        <w:t>με</w:t>
      </w:r>
      <w:r w:rsidR="00F7062A" w:rsidRPr="00F7062A">
        <w:rPr>
          <w:rFonts w:eastAsia="Calibri" w:cstheme="minorHAnsi"/>
          <w:sz w:val="24"/>
          <w:szCs w:val="24"/>
          <w:lang w:val="el-GR"/>
        </w:rPr>
        <w:t xml:space="preserve"> </w:t>
      </w:r>
      <w:r w:rsidR="00F7062A">
        <w:rPr>
          <w:rFonts w:eastAsia="Calibri" w:cstheme="minorHAnsi"/>
          <w:sz w:val="24"/>
          <w:szCs w:val="24"/>
          <w:lang w:val="el-GR"/>
        </w:rPr>
        <w:t>ποινή</w:t>
      </w:r>
      <w:r w:rsidR="00F7062A" w:rsidRPr="00F7062A">
        <w:rPr>
          <w:rFonts w:eastAsia="Calibri" w:cstheme="minorHAnsi"/>
          <w:sz w:val="24"/>
          <w:szCs w:val="24"/>
          <w:lang w:val="el-GR"/>
        </w:rPr>
        <w:t xml:space="preserve"> </w:t>
      </w:r>
      <w:r w:rsidR="00F7062A">
        <w:rPr>
          <w:rFonts w:eastAsia="Calibri" w:cstheme="minorHAnsi"/>
          <w:sz w:val="24"/>
          <w:szCs w:val="24"/>
          <w:lang w:val="el-GR"/>
        </w:rPr>
        <w:t>φυλάκισης</w:t>
      </w:r>
      <w:r w:rsidR="00F7062A" w:rsidRPr="00F7062A">
        <w:rPr>
          <w:rFonts w:eastAsia="Calibri" w:cstheme="minorHAnsi"/>
          <w:sz w:val="24"/>
          <w:szCs w:val="24"/>
          <w:lang w:val="el-GR"/>
        </w:rPr>
        <w:t xml:space="preserve"> </w:t>
      </w:r>
      <w:r w:rsidR="00F7062A">
        <w:rPr>
          <w:rFonts w:eastAsia="Calibri" w:cstheme="minorHAnsi"/>
          <w:sz w:val="24"/>
          <w:szCs w:val="24"/>
          <w:lang w:val="el-GR"/>
        </w:rPr>
        <w:t>μέχρι</w:t>
      </w:r>
      <w:r w:rsidR="00F7062A" w:rsidRPr="00F7062A">
        <w:rPr>
          <w:rFonts w:eastAsia="Calibri" w:cstheme="minorHAnsi"/>
          <w:sz w:val="24"/>
          <w:szCs w:val="24"/>
          <w:lang w:val="el-GR"/>
        </w:rPr>
        <w:t xml:space="preserve"> </w:t>
      </w:r>
      <w:r w:rsidR="00F7062A">
        <w:rPr>
          <w:rFonts w:eastAsia="Calibri" w:cstheme="minorHAnsi"/>
          <w:sz w:val="24"/>
          <w:szCs w:val="24"/>
          <w:lang w:val="el-GR"/>
        </w:rPr>
        <w:t>επτά</w:t>
      </w:r>
      <w:r w:rsidR="00F7062A" w:rsidRPr="00F7062A">
        <w:rPr>
          <w:rFonts w:eastAsia="Calibri" w:cstheme="minorHAnsi"/>
          <w:sz w:val="24"/>
          <w:szCs w:val="24"/>
          <w:lang w:val="el-GR"/>
        </w:rPr>
        <w:t xml:space="preserve"> </w:t>
      </w:r>
      <w:r w:rsidR="00F7062A">
        <w:rPr>
          <w:rFonts w:eastAsia="Calibri" w:cstheme="minorHAnsi"/>
          <w:sz w:val="24"/>
          <w:szCs w:val="24"/>
          <w:lang w:val="el-GR"/>
        </w:rPr>
        <w:t>χρόν</w:t>
      </w:r>
      <w:r w:rsidR="005541DE">
        <w:rPr>
          <w:rFonts w:eastAsia="Calibri" w:cstheme="minorHAnsi"/>
          <w:sz w:val="24"/>
          <w:szCs w:val="24"/>
          <w:lang w:val="el-GR"/>
        </w:rPr>
        <w:t>ια</w:t>
      </w:r>
      <w:r w:rsidR="00A5147D" w:rsidRPr="00F7062A">
        <w:rPr>
          <w:rFonts w:cstheme="minorHAnsi"/>
          <w:sz w:val="24"/>
          <w:szCs w:val="24"/>
          <w:lang w:val="el-GR"/>
        </w:rPr>
        <w:t xml:space="preserve"> </w:t>
      </w:r>
      <w:r w:rsidR="00F7062A">
        <w:rPr>
          <w:rFonts w:cstheme="minorHAnsi"/>
          <w:sz w:val="24"/>
          <w:szCs w:val="24"/>
          <w:lang w:val="el-GR"/>
        </w:rPr>
        <w:t>και</w:t>
      </w:r>
      <w:r w:rsidR="00A5147D" w:rsidRPr="00F7062A">
        <w:rPr>
          <w:rFonts w:cstheme="minorHAnsi"/>
          <w:sz w:val="24"/>
          <w:szCs w:val="24"/>
          <w:lang w:val="el-GR"/>
        </w:rPr>
        <w:t>/</w:t>
      </w:r>
      <w:r w:rsidR="00F7062A">
        <w:rPr>
          <w:rFonts w:cstheme="minorHAnsi"/>
          <w:sz w:val="24"/>
          <w:szCs w:val="24"/>
          <w:lang w:val="el-GR"/>
        </w:rPr>
        <w:t>ή</w:t>
      </w:r>
      <w:r w:rsidR="00A5147D" w:rsidRPr="00F7062A">
        <w:rPr>
          <w:rFonts w:cstheme="minorHAnsi"/>
          <w:sz w:val="24"/>
          <w:szCs w:val="24"/>
          <w:lang w:val="el-GR"/>
        </w:rPr>
        <w:t xml:space="preserve"> </w:t>
      </w:r>
      <w:r w:rsidR="00F7062A">
        <w:rPr>
          <w:rFonts w:cstheme="minorHAnsi"/>
          <w:sz w:val="24"/>
          <w:szCs w:val="24"/>
          <w:lang w:val="el-GR"/>
        </w:rPr>
        <w:t>πρόστιμο</w:t>
      </w:r>
      <w:r w:rsidR="00A5147D" w:rsidRPr="00F7062A">
        <w:rPr>
          <w:rFonts w:cstheme="minorHAnsi"/>
          <w:sz w:val="24"/>
          <w:szCs w:val="24"/>
          <w:lang w:val="el-GR"/>
        </w:rPr>
        <w:t xml:space="preserve"> €42</w:t>
      </w:r>
      <w:r w:rsidR="00A5147D" w:rsidRPr="004E251E">
        <w:rPr>
          <w:rFonts w:cstheme="minorHAnsi"/>
          <w:sz w:val="24"/>
          <w:szCs w:val="24"/>
        </w:rPr>
        <w:t> </w:t>
      </w:r>
      <w:r w:rsidR="00A5147D" w:rsidRPr="00F7062A">
        <w:rPr>
          <w:rFonts w:cstheme="minorHAnsi"/>
          <w:sz w:val="24"/>
          <w:szCs w:val="24"/>
          <w:lang w:val="el-GR"/>
        </w:rPr>
        <w:t xml:space="preserve">715 </w:t>
      </w:r>
      <w:r w:rsidR="00E07AED">
        <w:rPr>
          <w:rFonts w:cstheme="minorHAnsi"/>
          <w:sz w:val="24"/>
          <w:szCs w:val="24"/>
          <w:lang w:val="el-GR"/>
        </w:rPr>
        <w:t xml:space="preserve">πλέον </w:t>
      </w:r>
      <w:r w:rsidR="00F7062A">
        <w:rPr>
          <w:rFonts w:cstheme="minorHAnsi"/>
          <w:sz w:val="24"/>
          <w:szCs w:val="24"/>
          <w:lang w:val="el-GR"/>
        </w:rPr>
        <w:t>τη</w:t>
      </w:r>
      <w:r w:rsidR="00EA0BFC">
        <w:rPr>
          <w:rFonts w:cstheme="minorHAnsi"/>
          <w:sz w:val="24"/>
          <w:szCs w:val="24"/>
          <w:lang w:val="el-GR"/>
        </w:rPr>
        <w:t xml:space="preserve"> δήμευση </w:t>
      </w:r>
      <w:r w:rsidR="00F7062A">
        <w:rPr>
          <w:rFonts w:cstheme="minorHAnsi"/>
          <w:sz w:val="24"/>
          <w:szCs w:val="24"/>
          <w:lang w:val="el-GR"/>
        </w:rPr>
        <w:t>του χρηματικού</w:t>
      </w:r>
      <w:r w:rsidR="00EA0BFC">
        <w:rPr>
          <w:rFonts w:cstheme="minorHAnsi"/>
          <w:sz w:val="24"/>
          <w:szCs w:val="24"/>
          <w:lang w:val="el-GR"/>
        </w:rPr>
        <w:t xml:space="preserve"> οφέλους</w:t>
      </w:r>
      <w:r w:rsidR="00A5147D" w:rsidRPr="00F7062A">
        <w:rPr>
          <w:rFonts w:cstheme="minorHAnsi"/>
          <w:sz w:val="24"/>
          <w:szCs w:val="24"/>
          <w:lang w:val="el-GR"/>
        </w:rPr>
        <w:t>.</w:t>
      </w:r>
      <w:r w:rsidR="00A5147D" w:rsidRPr="00F7062A">
        <w:rPr>
          <w:rFonts w:eastAsia="Calibri" w:cstheme="minorHAnsi"/>
          <w:sz w:val="24"/>
          <w:szCs w:val="24"/>
          <w:lang w:val="el-GR"/>
        </w:rPr>
        <w:t xml:space="preserve"> </w:t>
      </w:r>
    </w:p>
    <w:p w14:paraId="14B097EC" w14:textId="77777777" w:rsidR="00A5147D" w:rsidRPr="00F7062A" w:rsidRDefault="00A5147D" w:rsidP="00A5147D">
      <w:pPr>
        <w:tabs>
          <w:tab w:val="left" w:pos="709"/>
        </w:tabs>
        <w:contextualSpacing/>
        <w:rPr>
          <w:rFonts w:cstheme="minorHAnsi"/>
          <w:i/>
          <w:iCs/>
          <w:sz w:val="24"/>
          <w:szCs w:val="24"/>
          <w:lang w:val="el-GR"/>
        </w:rPr>
      </w:pPr>
    </w:p>
    <w:p w14:paraId="55C0EB9C" w14:textId="2F46A288" w:rsidR="00A5147D" w:rsidRPr="004E251E" w:rsidRDefault="00F7062A" w:rsidP="00A5147D">
      <w:pPr>
        <w:pStyle w:val="Heading3"/>
        <w:spacing w:before="0"/>
        <w:rPr>
          <w:rFonts w:asciiTheme="minorHAnsi" w:hAnsiTheme="minorHAnsi" w:cstheme="minorHAnsi"/>
          <w:b w:val="0"/>
          <w:bCs w:val="0"/>
          <w:i/>
          <w:iCs/>
          <w:color w:val="auto"/>
          <w:sz w:val="24"/>
          <w:szCs w:val="24"/>
        </w:rPr>
      </w:pPr>
      <w:bookmarkStart w:id="134" w:name="_Toc479580440"/>
      <w:bookmarkStart w:id="135" w:name="_Toc117264359"/>
      <w:bookmarkStart w:id="136" w:name="_Toc136879357"/>
      <w:r>
        <w:rPr>
          <w:rFonts w:asciiTheme="minorHAnsi" w:hAnsiTheme="minorHAnsi" w:cstheme="minorHAnsi"/>
          <w:b w:val="0"/>
          <w:bCs w:val="0"/>
          <w:i/>
          <w:iCs/>
          <w:color w:val="auto"/>
          <w:sz w:val="24"/>
          <w:szCs w:val="24"/>
          <w:lang w:val="el-GR"/>
        </w:rPr>
        <w:t>Κατάχρηση</w:t>
      </w:r>
      <w:r w:rsidRPr="00F7062A">
        <w:rPr>
          <w:rFonts w:asciiTheme="minorHAnsi" w:hAnsiTheme="minorHAnsi" w:cstheme="minorHAnsi"/>
          <w:b w:val="0"/>
          <w:bCs w:val="0"/>
          <w:i/>
          <w:iCs/>
          <w:color w:val="auto"/>
          <w:sz w:val="24"/>
          <w:szCs w:val="24"/>
          <w:lang w:val="en-US"/>
        </w:rPr>
        <w:t xml:space="preserve"> </w:t>
      </w:r>
      <w:r>
        <w:rPr>
          <w:rFonts w:asciiTheme="minorHAnsi" w:hAnsiTheme="minorHAnsi" w:cstheme="minorHAnsi"/>
          <w:b w:val="0"/>
          <w:bCs w:val="0"/>
          <w:i/>
          <w:iCs/>
          <w:color w:val="auto"/>
          <w:sz w:val="24"/>
          <w:szCs w:val="24"/>
          <w:lang w:val="el-GR"/>
        </w:rPr>
        <w:t>εμπιστευτικών</w:t>
      </w:r>
      <w:r w:rsidRPr="00F7062A">
        <w:rPr>
          <w:rFonts w:asciiTheme="minorHAnsi" w:hAnsiTheme="minorHAnsi" w:cstheme="minorHAnsi"/>
          <w:b w:val="0"/>
          <w:bCs w:val="0"/>
          <w:i/>
          <w:iCs/>
          <w:color w:val="auto"/>
          <w:sz w:val="24"/>
          <w:szCs w:val="24"/>
          <w:lang w:val="en-US"/>
        </w:rPr>
        <w:t xml:space="preserve"> </w:t>
      </w:r>
      <w:r>
        <w:rPr>
          <w:rFonts w:asciiTheme="minorHAnsi" w:hAnsiTheme="minorHAnsi" w:cstheme="minorHAnsi"/>
          <w:b w:val="0"/>
          <w:bCs w:val="0"/>
          <w:i/>
          <w:iCs/>
          <w:color w:val="auto"/>
          <w:sz w:val="24"/>
          <w:szCs w:val="24"/>
          <w:lang w:val="el-GR"/>
        </w:rPr>
        <w:t>πληροφοριών</w:t>
      </w:r>
      <w:bookmarkEnd w:id="134"/>
      <w:bookmarkEnd w:id="135"/>
      <w:bookmarkEnd w:id="136"/>
    </w:p>
    <w:p w14:paraId="651BA652" w14:textId="77777777" w:rsidR="00A5147D" w:rsidRPr="004E251E" w:rsidRDefault="00A5147D" w:rsidP="00A5147D">
      <w:pPr>
        <w:rPr>
          <w:rFonts w:cstheme="minorHAnsi"/>
          <w:sz w:val="24"/>
          <w:szCs w:val="24"/>
        </w:rPr>
      </w:pPr>
    </w:p>
    <w:p w14:paraId="70C89225" w14:textId="5B4773B6" w:rsidR="00A5147D" w:rsidRPr="00124260" w:rsidRDefault="00F7062A"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Η</w:t>
      </w:r>
      <w:r w:rsidRPr="00F7062A">
        <w:rPr>
          <w:rFonts w:cstheme="minorHAnsi"/>
          <w:sz w:val="24"/>
          <w:szCs w:val="24"/>
          <w:lang w:val="el-GR"/>
        </w:rPr>
        <w:t xml:space="preserve"> </w:t>
      </w:r>
      <w:r>
        <w:rPr>
          <w:rFonts w:cstheme="minorHAnsi"/>
          <w:sz w:val="24"/>
          <w:szCs w:val="24"/>
          <w:lang w:val="el-GR"/>
        </w:rPr>
        <w:t>κατάχρηση</w:t>
      </w:r>
      <w:r w:rsidRPr="00F7062A">
        <w:rPr>
          <w:rFonts w:cstheme="minorHAnsi"/>
          <w:sz w:val="24"/>
          <w:szCs w:val="24"/>
          <w:lang w:val="el-GR"/>
        </w:rPr>
        <w:t xml:space="preserve"> </w:t>
      </w:r>
      <w:r>
        <w:rPr>
          <w:rFonts w:cstheme="minorHAnsi"/>
          <w:sz w:val="24"/>
          <w:szCs w:val="24"/>
          <w:lang w:val="el-GR"/>
        </w:rPr>
        <w:t>εμπιστευτικών</w:t>
      </w:r>
      <w:r w:rsidRPr="00F7062A">
        <w:rPr>
          <w:rFonts w:cstheme="minorHAnsi"/>
          <w:sz w:val="24"/>
          <w:szCs w:val="24"/>
          <w:lang w:val="el-GR"/>
        </w:rPr>
        <w:t xml:space="preserve"> </w:t>
      </w:r>
      <w:r>
        <w:rPr>
          <w:rFonts w:cstheme="minorHAnsi"/>
          <w:sz w:val="24"/>
          <w:szCs w:val="24"/>
          <w:lang w:val="el-GR"/>
        </w:rPr>
        <w:t>πληροφορίων</w:t>
      </w:r>
      <w:r w:rsidR="00A5147D" w:rsidRPr="00F7062A">
        <w:rPr>
          <w:rFonts w:cstheme="minorHAnsi"/>
          <w:sz w:val="24"/>
          <w:szCs w:val="24"/>
          <w:lang w:val="el-GR"/>
        </w:rPr>
        <w:t xml:space="preserve"> </w:t>
      </w:r>
      <w:r>
        <w:rPr>
          <w:rFonts w:cstheme="minorHAnsi"/>
          <w:sz w:val="24"/>
          <w:szCs w:val="24"/>
          <w:lang w:val="el-GR"/>
        </w:rPr>
        <w:t>καλύπτεται</w:t>
      </w:r>
      <w:r w:rsidRPr="00F7062A">
        <w:rPr>
          <w:rFonts w:cstheme="minorHAnsi"/>
          <w:sz w:val="24"/>
          <w:szCs w:val="24"/>
          <w:lang w:val="el-GR"/>
        </w:rPr>
        <w:t xml:space="preserve"> </w:t>
      </w:r>
      <w:r>
        <w:rPr>
          <w:rFonts w:cstheme="minorHAnsi"/>
          <w:sz w:val="24"/>
          <w:szCs w:val="24"/>
          <w:lang w:val="el-GR"/>
        </w:rPr>
        <w:t>από</w:t>
      </w:r>
      <w:r w:rsidRPr="00F7062A">
        <w:rPr>
          <w:rFonts w:cstheme="minorHAnsi"/>
          <w:sz w:val="24"/>
          <w:szCs w:val="24"/>
          <w:lang w:val="el-GR"/>
        </w:rPr>
        <w:t xml:space="preserve"> </w:t>
      </w:r>
      <w:r>
        <w:rPr>
          <w:rFonts w:cstheme="minorHAnsi"/>
          <w:sz w:val="24"/>
          <w:szCs w:val="24"/>
          <w:lang w:val="el-GR"/>
        </w:rPr>
        <w:t>τον</w:t>
      </w:r>
      <w:r w:rsidRPr="00F7062A">
        <w:rPr>
          <w:rFonts w:cstheme="minorHAnsi"/>
          <w:sz w:val="24"/>
          <w:szCs w:val="24"/>
          <w:lang w:val="el-GR"/>
        </w:rPr>
        <w:t xml:space="preserve"> </w:t>
      </w:r>
      <w:r>
        <w:rPr>
          <w:rFonts w:cstheme="minorHAnsi"/>
          <w:sz w:val="24"/>
          <w:szCs w:val="24"/>
          <w:lang w:val="el-GR"/>
        </w:rPr>
        <w:t>Νόμο</w:t>
      </w:r>
      <w:r w:rsidRPr="00F7062A">
        <w:rPr>
          <w:rFonts w:cstheme="minorHAnsi"/>
          <w:sz w:val="24"/>
          <w:szCs w:val="24"/>
          <w:lang w:val="el-GR"/>
        </w:rPr>
        <w:t xml:space="preserve"> </w:t>
      </w:r>
      <w:r>
        <w:rPr>
          <w:rFonts w:cstheme="minorHAnsi"/>
          <w:sz w:val="24"/>
          <w:szCs w:val="24"/>
          <w:lang w:val="el-GR"/>
        </w:rPr>
        <w:t>περί</w:t>
      </w:r>
      <w:r w:rsidRPr="00F7062A">
        <w:rPr>
          <w:rFonts w:cstheme="minorHAnsi"/>
          <w:sz w:val="24"/>
          <w:szCs w:val="24"/>
          <w:lang w:val="el-GR"/>
        </w:rPr>
        <w:t xml:space="preserve"> </w:t>
      </w:r>
      <w:r>
        <w:rPr>
          <w:rFonts w:cstheme="minorHAnsi"/>
          <w:sz w:val="24"/>
          <w:szCs w:val="24"/>
          <w:lang w:val="el-GR"/>
        </w:rPr>
        <w:t>Κανόνων</w:t>
      </w:r>
      <w:r w:rsidRPr="00F7062A">
        <w:rPr>
          <w:rFonts w:cstheme="minorHAnsi"/>
          <w:sz w:val="24"/>
          <w:szCs w:val="24"/>
          <w:lang w:val="el-GR"/>
        </w:rPr>
        <w:t xml:space="preserve"> </w:t>
      </w:r>
      <w:r>
        <w:rPr>
          <w:rFonts w:cstheme="minorHAnsi"/>
          <w:sz w:val="24"/>
          <w:szCs w:val="24"/>
          <w:lang w:val="el-GR"/>
        </w:rPr>
        <w:t>Ασφαλείας</w:t>
      </w:r>
      <w:r w:rsidRPr="00F7062A">
        <w:rPr>
          <w:rFonts w:cstheme="minorHAnsi"/>
          <w:sz w:val="24"/>
          <w:szCs w:val="24"/>
          <w:lang w:val="el-GR"/>
        </w:rPr>
        <w:t xml:space="preserve"> </w:t>
      </w:r>
      <w:r>
        <w:rPr>
          <w:rFonts w:cstheme="minorHAnsi"/>
          <w:sz w:val="24"/>
          <w:szCs w:val="24"/>
          <w:lang w:val="el-GR"/>
        </w:rPr>
        <w:t>Διαβαθμισμένων</w:t>
      </w:r>
      <w:r w:rsidRPr="00F7062A">
        <w:rPr>
          <w:rFonts w:cstheme="minorHAnsi"/>
          <w:sz w:val="24"/>
          <w:szCs w:val="24"/>
          <w:lang w:val="el-GR"/>
        </w:rPr>
        <w:t xml:space="preserve"> </w:t>
      </w:r>
      <w:r>
        <w:rPr>
          <w:rFonts w:cstheme="minorHAnsi"/>
          <w:sz w:val="24"/>
          <w:szCs w:val="24"/>
          <w:lang w:val="el-GR"/>
        </w:rPr>
        <w:t>Πληροφοριών</w:t>
      </w:r>
      <w:r w:rsidR="00A5147D" w:rsidRPr="00F7062A">
        <w:rPr>
          <w:rFonts w:ascii="Calibri" w:eastAsia="Calibri" w:hAnsi="Calibri" w:cs="Calibri"/>
          <w:sz w:val="24"/>
          <w:szCs w:val="24"/>
          <w:lang w:val="el-GR"/>
        </w:rPr>
        <w:t xml:space="preserve">, </w:t>
      </w:r>
      <w:r>
        <w:rPr>
          <w:rFonts w:ascii="Calibri" w:eastAsia="Calibri" w:hAnsi="Calibri" w:cs="Calibri"/>
          <w:sz w:val="24"/>
          <w:szCs w:val="24"/>
          <w:lang w:val="el-GR"/>
        </w:rPr>
        <w:t>Εγγράφων</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και</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Υλικού</w:t>
      </w:r>
      <w:r w:rsidR="00A5147D" w:rsidRPr="00F7062A">
        <w:rPr>
          <w:rFonts w:ascii="Calibri" w:eastAsia="Calibri" w:hAnsi="Calibri" w:cs="Calibri"/>
          <w:sz w:val="24"/>
          <w:szCs w:val="24"/>
          <w:lang w:val="el-GR"/>
        </w:rPr>
        <w:t xml:space="preserve"> </w:t>
      </w:r>
      <w:r>
        <w:rPr>
          <w:rFonts w:ascii="Calibri" w:eastAsia="Calibri" w:hAnsi="Calibri" w:cs="Calibri"/>
          <w:sz w:val="24"/>
          <w:szCs w:val="24"/>
          <w:lang w:val="el-GR"/>
        </w:rPr>
        <w:t>και</w:t>
      </w:r>
      <w:r w:rsidR="00EA0BFC">
        <w:rPr>
          <w:rFonts w:ascii="Calibri" w:eastAsia="Calibri" w:hAnsi="Calibri" w:cs="Calibri"/>
          <w:sz w:val="24"/>
          <w:szCs w:val="24"/>
          <w:lang w:val="el-GR"/>
        </w:rPr>
        <w:t xml:space="preserve"> για</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Συναφή</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Θέματα</w:t>
      </w:r>
      <w:r w:rsidR="00A5147D" w:rsidRPr="00F7062A">
        <w:rPr>
          <w:rFonts w:ascii="Calibri" w:eastAsia="Calibri" w:hAnsi="Calibri" w:cs="Calibri"/>
          <w:sz w:val="24"/>
          <w:szCs w:val="24"/>
          <w:lang w:val="el-GR"/>
        </w:rPr>
        <w:t xml:space="preserve"> </w:t>
      </w:r>
      <w:r>
        <w:rPr>
          <w:rFonts w:ascii="Calibri" w:eastAsia="Calibri" w:hAnsi="Calibri" w:cs="Calibri"/>
          <w:sz w:val="24"/>
          <w:szCs w:val="24"/>
          <w:lang w:val="el-GR"/>
        </w:rPr>
        <w:t>του</w:t>
      </w:r>
      <w:r w:rsidR="00A5147D" w:rsidRPr="00F7062A">
        <w:rPr>
          <w:rFonts w:ascii="Calibri" w:eastAsia="Calibri" w:hAnsi="Calibri" w:cs="Calibri"/>
          <w:sz w:val="24"/>
          <w:szCs w:val="24"/>
          <w:lang w:val="el-GR"/>
        </w:rPr>
        <w:t xml:space="preserve"> 2021 (</w:t>
      </w:r>
      <w:r>
        <w:rPr>
          <w:rFonts w:ascii="Calibri" w:eastAsia="Calibri" w:hAnsi="Calibri" w:cs="Calibri"/>
          <w:sz w:val="24"/>
          <w:szCs w:val="24"/>
          <w:lang w:val="el-GR"/>
        </w:rPr>
        <w:t>Νόμος</w:t>
      </w:r>
      <w:r w:rsidR="00A5147D" w:rsidRPr="00F7062A">
        <w:rPr>
          <w:rFonts w:ascii="Calibri" w:eastAsia="Calibri" w:hAnsi="Calibri" w:cs="Calibri"/>
          <w:sz w:val="24"/>
          <w:szCs w:val="24"/>
          <w:lang w:val="el-GR"/>
        </w:rPr>
        <w:t xml:space="preserve"> 84(Ι)/2021), </w:t>
      </w:r>
      <w:r>
        <w:rPr>
          <w:rFonts w:ascii="Calibri" w:eastAsia="Calibri" w:hAnsi="Calibri" w:cs="Calibri"/>
          <w:sz w:val="24"/>
          <w:szCs w:val="24"/>
          <w:lang w:val="el-GR"/>
        </w:rPr>
        <w:t>που</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διατυπώνει</w:t>
      </w:r>
      <w:r w:rsidR="00A5147D" w:rsidRPr="00F7062A">
        <w:rPr>
          <w:rFonts w:ascii="Calibri" w:eastAsia="Calibri" w:hAnsi="Calibri" w:cs="Calibri"/>
          <w:sz w:val="24"/>
          <w:szCs w:val="24"/>
          <w:lang w:val="el-GR"/>
        </w:rPr>
        <w:t xml:space="preserve"> </w:t>
      </w:r>
      <w:r>
        <w:rPr>
          <w:rFonts w:ascii="Calibri" w:eastAsia="Calibri" w:hAnsi="Calibri" w:cs="Calibri"/>
          <w:sz w:val="24"/>
          <w:szCs w:val="24"/>
          <w:lang w:val="el-GR"/>
        </w:rPr>
        <w:t>μια</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λίστα</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ατόμων</w:t>
      </w:r>
      <w:r w:rsidR="00A5147D" w:rsidRPr="00F7062A">
        <w:rPr>
          <w:rFonts w:ascii="Calibri" w:eastAsia="Calibri" w:hAnsi="Calibri" w:cs="Calibri"/>
          <w:sz w:val="24"/>
          <w:szCs w:val="24"/>
          <w:lang w:val="el-GR"/>
        </w:rPr>
        <w:t xml:space="preserve"> </w:t>
      </w:r>
      <w:r>
        <w:rPr>
          <w:rFonts w:ascii="Calibri" w:eastAsia="Calibri" w:hAnsi="Calibri" w:cs="Calibri"/>
          <w:sz w:val="24"/>
          <w:szCs w:val="24"/>
          <w:lang w:val="el-GR"/>
        </w:rPr>
        <w:t>που</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επηρεάζονται</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από</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τον</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νόμο</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αυτό</w:t>
      </w:r>
      <w:r w:rsidR="00A5147D" w:rsidRPr="00F7062A">
        <w:rPr>
          <w:rFonts w:ascii="Calibri" w:eastAsia="Calibri" w:hAnsi="Calibri" w:cs="Calibri"/>
          <w:sz w:val="24"/>
          <w:szCs w:val="24"/>
          <w:lang w:val="el-GR"/>
        </w:rPr>
        <w:t xml:space="preserve">, </w:t>
      </w:r>
      <w:r>
        <w:rPr>
          <w:rFonts w:ascii="Calibri" w:eastAsia="Calibri" w:hAnsi="Calibri" w:cs="Calibri"/>
          <w:sz w:val="24"/>
          <w:szCs w:val="24"/>
          <w:lang w:val="el-GR"/>
        </w:rPr>
        <w:t>ειδικότερα</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αυτοί</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που</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χειρίζονται</w:t>
      </w:r>
      <w:r w:rsidR="00A5147D" w:rsidRPr="00F7062A">
        <w:rPr>
          <w:rFonts w:ascii="Calibri" w:eastAsia="Calibri" w:hAnsi="Calibri" w:cs="Calibri"/>
          <w:sz w:val="24"/>
          <w:szCs w:val="24"/>
          <w:lang w:val="el-GR"/>
        </w:rPr>
        <w:t xml:space="preserve"> </w:t>
      </w:r>
      <w:r>
        <w:rPr>
          <w:rFonts w:ascii="Calibri" w:eastAsia="Calibri" w:hAnsi="Calibri" w:cs="Calibri"/>
          <w:sz w:val="24"/>
          <w:szCs w:val="24"/>
          <w:lang w:val="el-GR"/>
        </w:rPr>
        <w:t>διαβαθμισμένες</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πληροφορίες</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του</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Κράτους</w:t>
      </w:r>
      <w:r w:rsidR="00A5147D" w:rsidRPr="00F7062A">
        <w:rPr>
          <w:rFonts w:ascii="Calibri" w:eastAsia="Calibri" w:hAnsi="Calibri" w:cs="Calibri"/>
          <w:sz w:val="24"/>
          <w:szCs w:val="24"/>
          <w:lang w:val="el-GR"/>
        </w:rPr>
        <w:t xml:space="preserve"> </w:t>
      </w:r>
      <w:r>
        <w:rPr>
          <w:rFonts w:ascii="Calibri" w:eastAsia="Calibri" w:hAnsi="Calibri" w:cs="Calibri"/>
          <w:sz w:val="24"/>
          <w:szCs w:val="24"/>
          <w:lang w:val="el-GR"/>
        </w:rPr>
        <w:t>και</w:t>
      </w:r>
      <w:r w:rsidR="00A5147D" w:rsidRPr="00F7062A">
        <w:rPr>
          <w:rFonts w:ascii="Calibri" w:eastAsia="Calibri" w:hAnsi="Calibri" w:cs="Calibri"/>
          <w:sz w:val="24"/>
          <w:szCs w:val="24"/>
          <w:lang w:val="el-GR"/>
        </w:rPr>
        <w:t xml:space="preserve"> </w:t>
      </w:r>
      <w:r>
        <w:rPr>
          <w:rFonts w:ascii="Calibri" w:eastAsia="Calibri" w:hAnsi="Calibri" w:cs="Calibri"/>
          <w:sz w:val="24"/>
          <w:szCs w:val="24"/>
          <w:lang w:val="el-GR"/>
        </w:rPr>
        <w:t>τ</w:t>
      </w:r>
      <w:r w:rsidR="00EA0BFC">
        <w:rPr>
          <w:rFonts w:ascii="Calibri" w:eastAsia="Calibri" w:hAnsi="Calibri" w:cs="Calibri"/>
          <w:sz w:val="24"/>
          <w:szCs w:val="24"/>
          <w:lang w:val="el-GR"/>
        </w:rPr>
        <w:t>ης</w:t>
      </w:r>
      <w:r w:rsidRPr="00F7062A">
        <w:rPr>
          <w:rFonts w:ascii="Calibri" w:eastAsia="Calibri" w:hAnsi="Calibri" w:cs="Calibri"/>
          <w:sz w:val="24"/>
          <w:szCs w:val="24"/>
          <w:lang w:val="el-GR"/>
        </w:rPr>
        <w:t xml:space="preserve"> </w:t>
      </w:r>
      <w:r>
        <w:rPr>
          <w:rFonts w:ascii="Calibri" w:eastAsia="Calibri" w:hAnsi="Calibri" w:cs="Calibri"/>
          <w:sz w:val="24"/>
          <w:szCs w:val="24"/>
          <w:lang w:val="el-GR"/>
        </w:rPr>
        <w:t>ΕΕ</w:t>
      </w:r>
      <w:r w:rsidR="00A5147D" w:rsidRPr="00F7062A">
        <w:rPr>
          <w:rFonts w:ascii="Calibri" w:eastAsia="Calibri" w:hAnsi="Calibri" w:cs="Calibri"/>
          <w:sz w:val="24"/>
          <w:szCs w:val="24"/>
          <w:lang w:val="el-GR"/>
        </w:rPr>
        <w:t>.</w:t>
      </w:r>
      <w:r w:rsidR="00A5147D" w:rsidRPr="004E251E">
        <w:rPr>
          <w:rStyle w:val="FootnoteReference"/>
          <w:rFonts w:ascii="Calibri" w:eastAsia="Calibri" w:hAnsi="Calibri" w:cs="Calibri"/>
          <w:sz w:val="24"/>
          <w:szCs w:val="24"/>
        </w:rPr>
        <w:footnoteReference w:id="53"/>
      </w:r>
      <w:r w:rsidR="00A5147D" w:rsidRPr="00F7062A">
        <w:rPr>
          <w:rFonts w:ascii="Calibri" w:eastAsia="Calibri" w:hAnsi="Calibri" w:cs="Calibri"/>
          <w:sz w:val="24"/>
          <w:szCs w:val="24"/>
          <w:lang w:val="el-GR"/>
        </w:rPr>
        <w:t xml:space="preserve"> </w:t>
      </w:r>
      <w:r w:rsidR="00124260">
        <w:rPr>
          <w:rFonts w:ascii="Calibri" w:eastAsia="Calibri" w:hAnsi="Calibri" w:cs="Calibri"/>
          <w:sz w:val="24"/>
          <w:szCs w:val="24"/>
          <w:lang w:val="el-GR"/>
        </w:rPr>
        <w:t>Επίσης</w:t>
      </w:r>
      <w:r w:rsidR="00124260" w:rsidRPr="00124260">
        <w:rPr>
          <w:rFonts w:ascii="Calibri" w:eastAsia="Calibri" w:hAnsi="Calibri" w:cs="Calibri"/>
          <w:sz w:val="24"/>
          <w:szCs w:val="24"/>
          <w:lang w:val="el-GR"/>
        </w:rPr>
        <w:t xml:space="preserve"> </w:t>
      </w:r>
      <w:r w:rsidR="00124260">
        <w:rPr>
          <w:rFonts w:ascii="Calibri" w:eastAsia="Calibri" w:hAnsi="Calibri" w:cs="Calibri"/>
          <w:sz w:val="24"/>
          <w:szCs w:val="24"/>
          <w:lang w:val="el-GR"/>
        </w:rPr>
        <w:t>προβλέπει</w:t>
      </w:r>
      <w:r w:rsidR="00124260" w:rsidRPr="00124260">
        <w:rPr>
          <w:rFonts w:ascii="Calibri" w:eastAsia="Calibri" w:hAnsi="Calibri" w:cs="Calibri"/>
          <w:sz w:val="24"/>
          <w:szCs w:val="24"/>
          <w:lang w:val="el-GR"/>
        </w:rPr>
        <w:t xml:space="preserve"> </w:t>
      </w:r>
      <w:r w:rsidR="00124260">
        <w:rPr>
          <w:rFonts w:ascii="Calibri" w:eastAsia="Calibri" w:hAnsi="Calibri" w:cs="Calibri"/>
          <w:sz w:val="24"/>
          <w:szCs w:val="24"/>
          <w:lang w:val="el-GR"/>
        </w:rPr>
        <w:t>την</w:t>
      </w:r>
      <w:r w:rsidR="00124260" w:rsidRPr="00124260">
        <w:rPr>
          <w:rFonts w:ascii="Calibri" w:eastAsia="Calibri" w:hAnsi="Calibri" w:cs="Calibri"/>
          <w:sz w:val="24"/>
          <w:szCs w:val="24"/>
          <w:lang w:val="el-GR"/>
        </w:rPr>
        <w:t xml:space="preserve"> </w:t>
      </w:r>
      <w:r w:rsidR="00124260">
        <w:rPr>
          <w:rFonts w:ascii="Calibri" w:eastAsia="Calibri" w:hAnsi="Calibri" w:cs="Calibri"/>
          <w:sz w:val="24"/>
          <w:szCs w:val="24"/>
          <w:lang w:val="el-GR"/>
        </w:rPr>
        <w:t>παρακολούθηση</w:t>
      </w:r>
      <w:r w:rsidR="00124260" w:rsidRPr="00124260">
        <w:rPr>
          <w:rFonts w:ascii="Calibri" w:eastAsia="Calibri" w:hAnsi="Calibri" w:cs="Calibri"/>
          <w:sz w:val="24"/>
          <w:szCs w:val="24"/>
          <w:lang w:val="el-GR"/>
        </w:rPr>
        <w:t xml:space="preserve"> </w:t>
      </w:r>
      <w:r w:rsidR="00124260">
        <w:rPr>
          <w:rFonts w:ascii="Calibri" w:eastAsia="Calibri" w:hAnsi="Calibri" w:cs="Calibri"/>
          <w:sz w:val="24"/>
          <w:szCs w:val="24"/>
          <w:lang w:val="el-GR"/>
        </w:rPr>
        <w:t>των</w:t>
      </w:r>
      <w:r w:rsidR="00124260" w:rsidRPr="00124260">
        <w:rPr>
          <w:rFonts w:ascii="Calibri" w:eastAsia="Calibri" w:hAnsi="Calibri" w:cs="Calibri"/>
          <w:sz w:val="24"/>
          <w:szCs w:val="24"/>
          <w:lang w:val="el-GR"/>
        </w:rPr>
        <w:t xml:space="preserve"> </w:t>
      </w:r>
      <w:r w:rsidR="00124260">
        <w:rPr>
          <w:rFonts w:ascii="Calibri" w:eastAsia="Calibri" w:hAnsi="Calibri" w:cs="Calibri"/>
          <w:sz w:val="24"/>
          <w:szCs w:val="24"/>
          <w:lang w:val="el-GR"/>
        </w:rPr>
        <w:t>ατόμων</w:t>
      </w:r>
      <w:r w:rsidR="00124260" w:rsidRPr="00124260">
        <w:rPr>
          <w:rFonts w:ascii="Calibri" w:eastAsia="Calibri" w:hAnsi="Calibri" w:cs="Calibri"/>
          <w:sz w:val="24"/>
          <w:szCs w:val="24"/>
          <w:lang w:val="el-GR"/>
        </w:rPr>
        <w:t xml:space="preserve"> </w:t>
      </w:r>
      <w:r w:rsidR="00124260">
        <w:rPr>
          <w:rFonts w:ascii="Calibri" w:eastAsia="Calibri" w:hAnsi="Calibri" w:cs="Calibri"/>
          <w:sz w:val="24"/>
          <w:szCs w:val="24"/>
          <w:lang w:val="el-GR"/>
        </w:rPr>
        <w:t>αυτών</w:t>
      </w:r>
      <w:r w:rsidR="00124260" w:rsidRPr="00124260">
        <w:rPr>
          <w:rFonts w:ascii="Calibri" w:eastAsia="Calibri" w:hAnsi="Calibri" w:cs="Calibri"/>
          <w:sz w:val="24"/>
          <w:szCs w:val="24"/>
          <w:lang w:val="el-GR"/>
        </w:rPr>
        <w:t xml:space="preserve"> </w:t>
      </w:r>
      <w:r w:rsidR="00124260">
        <w:rPr>
          <w:rFonts w:ascii="Calibri" w:eastAsia="Calibri" w:hAnsi="Calibri" w:cs="Calibri"/>
          <w:sz w:val="24"/>
          <w:szCs w:val="24"/>
          <w:lang w:val="el-GR"/>
        </w:rPr>
        <w:t>μέσω</w:t>
      </w:r>
      <w:r w:rsidR="00124260" w:rsidRPr="00124260">
        <w:rPr>
          <w:rFonts w:ascii="Calibri" w:eastAsia="Calibri" w:hAnsi="Calibri" w:cs="Calibri"/>
          <w:sz w:val="24"/>
          <w:szCs w:val="24"/>
          <w:lang w:val="el-GR"/>
        </w:rPr>
        <w:t xml:space="preserve"> </w:t>
      </w:r>
      <w:r w:rsidR="00124260">
        <w:rPr>
          <w:rFonts w:ascii="Calibri" w:eastAsia="Calibri" w:hAnsi="Calibri" w:cs="Calibri"/>
          <w:sz w:val="24"/>
          <w:szCs w:val="24"/>
          <w:lang w:val="el-GR"/>
        </w:rPr>
        <w:t>ενός</w:t>
      </w:r>
      <w:r w:rsidR="00124260" w:rsidRPr="00124260">
        <w:rPr>
          <w:rFonts w:ascii="Calibri" w:eastAsia="Calibri" w:hAnsi="Calibri" w:cs="Calibri"/>
          <w:sz w:val="24"/>
          <w:szCs w:val="24"/>
          <w:lang w:val="el-GR"/>
        </w:rPr>
        <w:t xml:space="preserve"> </w:t>
      </w:r>
      <w:r w:rsidR="00124260">
        <w:rPr>
          <w:rFonts w:ascii="Calibri" w:eastAsia="Calibri" w:hAnsi="Calibri" w:cs="Calibri"/>
          <w:sz w:val="24"/>
          <w:szCs w:val="24"/>
          <w:lang w:val="el-GR"/>
        </w:rPr>
        <w:t>συστήματος</w:t>
      </w:r>
      <w:r w:rsidR="00124260" w:rsidRPr="00124260">
        <w:rPr>
          <w:rFonts w:ascii="Calibri" w:eastAsia="Calibri" w:hAnsi="Calibri" w:cs="Calibri"/>
          <w:sz w:val="24"/>
          <w:szCs w:val="24"/>
          <w:lang w:val="el-GR"/>
        </w:rPr>
        <w:t xml:space="preserve"> </w:t>
      </w:r>
      <w:r w:rsidR="00124260">
        <w:rPr>
          <w:rFonts w:ascii="Calibri" w:eastAsia="Calibri" w:hAnsi="Calibri" w:cs="Calibri"/>
          <w:sz w:val="24"/>
          <w:szCs w:val="24"/>
          <w:lang w:val="el-GR"/>
        </w:rPr>
        <w:lastRenderedPageBreak/>
        <w:t>επαλήθευσης</w:t>
      </w:r>
      <w:r w:rsidR="00A5147D" w:rsidRPr="00124260">
        <w:rPr>
          <w:rFonts w:ascii="Calibri" w:eastAsia="Calibri" w:hAnsi="Calibri" w:cs="Calibri"/>
          <w:sz w:val="24"/>
          <w:szCs w:val="24"/>
          <w:lang w:val="el-GR"/>
        </w:rPr>
        <w:t xml:space="preserve"> </w:t>
      </w:r>
      <w:r w:rsidR="00124260">
        <w:rPr>
          <w:rFonts w:ascii="Calibri" w:eastAsia="Calibri" w:hAnsi="Calibri" w:cs="Calibri"/>
          <w:sz w:val="24"/>
          <w:szCs w:val="24"/>
          <w:lang w:val="el-GR"/>
        </w:rPr>
        <w:t>για να</w:t>
      </w:r>
      <w:r w:rsidR="00630576">
        <w:rPr>
          <w:rFonts w:ascii="Calibri" w:eastAsia="Calibri" w:hAnsi="Calibri" w:cs="Calibri"/>
          <w:sz w:val="24"/>
          <w:szCs w:val="24"/>
          <w:lang w:val="el-GR"/>
        </w:rPr>
        <w:t xml:space="preserve"> διασφαλιστεί</w:t>
      </w:r>
      <w:r w:rsidR="00A5147D" w:rsidRPr="00124260">
        <w:rPr>
          <w:rFonts w:ascii="Calibri" w:eastAsia="Calibri" w:hAnsi="Calibri" w:cs="Calibri"/>
          <w:sz w:val="24"/>
          <w:szCs w:val="24"/>
          <w:lang w:val="el-GR"/>
        </w:rPr>
        <w:t xml:space="preserve">, </w:t>
      </w:r>
      <w:r w:rsidR="00124260">
        <w:rPr>
          <w:rFonts w:ascii="Calibri" w:eastAsia="Calibri" w:hAnsi="Calibri" w:cs="Calibri"/>
          <w:i/>
          <w:iCs/>
          <w:sz w:val="24"/>
          <w:szCs w:val="24"/>
          <w:lang w:val="el-GR"/>
        </w:rPr>
        <w:t xml:space="preserve">ανάμεσα </w:t>
      </w:r>
      <w:proofErr w:type="spellStart"/>
      <w:r w:rsidR="00124260">
        <w:rPr>
          <w:rFonts w:ascii="Calibri" w:eastAsia="Calibri" w:hAnsi="Calibri" w:cs="Calibri"/>
          <w:i/>
          <w:iCs/>
          <w:sz w:val="24"/>
          <w:szCs w:val="24"/>
          <w:lang w:val="el-GR"/>
        </w:rPr>
        <w:t>σ’αλλα</w:t>
      </w:r>
      <w:proofErr w:type="spellEnd"/>
      <w:r w:rsidR="00A5147D" w:rsidRPr="00124260">
        <w:rPr>
          <w:rFonts w:ascii="Calibri" w:eastAsia="Calibri" w:hAnsi="Calibri" w:cs="Calibri"/>
          <w:sz w:val="24"/>
          <w:szCs w:val="24"/>
          <w:lang w:val="el-GR"/>
        </w:rPr>
        <w:t xml:space="preserve">, </w:t>
      </w:r>
      <w:r w:rsidR="00124260">
        <w:rPr>
          <w:rFonts w:ascii="Calibri" w:eastAsia="Calibri" w:hAnsi="Calibri" w:cs="Calibri"/>
          <w:sz w:val="24"/>
          <w:szCs w:val="24"/>
          <w:lang w:val="el-GR"/>
        </w:rPr>
        <w:t>έμπιστοι</w:t>
      </w:r>
      <w:r w:rsidR="00A5147D" w:rsidRPr="00124260">
        <w:rPr>
          <w:rFonts w:ascii="Calibri" w:eastAsia="Calibri" w:hAnsi="Calibri" w:cs="Calibri"/>
          <w:sz w:val="24"/>
          <w:szCs w:val="24"/>
          <w:lang w:val="el-GR"/>
        </w:rPr>
        <w:t xml:space="preserve">, </w:t>
      </w:r>
      <w:r w:rsidR="00630576">
        <w:rPr>
          <w:rFonts w:ascii="Calibri" w:eastAsia="Calibri" w:hAnsi="Calibri" w:cs="Calibri"/>
          <w:sz w:val="24"/>
          <w:szCs w:val="24"/>
          <w:lang w:val="el-GR"/>
        </w:rPr>
        <w:t xml:space="preserve">ότι είναι </w:t>
      </w:r>
      <w:r w:rsidR="00124260">
        <w:rPr>
          <w:rFonts w:ascii="Calibri" w:eastAsia="Calibri" w:hAnsi="Calibri" w:cs="Calibri"/>
          <w:sz w:val="24"/>
          <w:szCs w:val="24"/>
          <w:lang w:val="el-GR"/>
        </w:rPr>
        <w:t>αξιόπιστοι</w:t>
      </w:r>
      <w:r w:rsidR="00A5147D" w:rsidRPr="00124260">
        <w:rPr>
          <w:rFonts w:ascii="Calibri" w:eastAsia="Calibri" w:hAnsi="Calibri" w:cs="Calibri"/>
          <w:sz w:val="24"/>
          <w:szCs w:val="24"/>
          <w:lang w:val="el-GR"/>
        </w:rPr>
        <w:t xml:space="preserve"> </w:t>
      </w:r>
      <w:r w:rsidR="00124260">
        <w:rPr>
          <w:rFonts w:ascii="Calibri" w:eastAsia="Calibri" w:hAnsi="Calibri" w:cs="Calibri"/>
          <w:sz w:val="24"/>
          <w:szCs w:val="24"/>
          <w:lang w:val="el-GR"/>
        </w:rPr>
        <w:t>και μ</w:t>
      </w:r>
      <w:r w:rsidR="00CC10B6">
        <w:rPr>
          <w:rFonts w:ascii="Calibri" w:eastAsia="Calibri" w:hAnsi="Calibri" w:cs="Calibri"/>
          <w:sz w:val="24"/>
          <w:szCs w:val="24"/>
          <w:lang w:val="el-GR"/>
        </w:rPr>
        <w:t>η</w:t>
      </w:r>
      <w:r w:rsidR="00124260">
        <w:rPr>
          <w:rFonts w:ascii="Calibri" w:eastAsia="Calibri" w:hAnsi="Calibri" w:cs="Calibri"/>
          <w:sz w:val="24"/>
          <w:szCs w:val="24"/>
          <w:lang w:val="el-GR"/>
        </w:rPr>
        <w:t xml:space="preserve"> ευάλωτοι σε εξωτερική πίεση</w:t>
      </w:r>
      <w:r w:rsidR="00A5147D" w:rsidRPr="00124260">
        <w:rPr>
          <w:rFonts w:ascii="Calibri" w:eastAsia="Calibri" w:hAnsi="Calibri" w:cs="Calibri"/>
          <w:sz w:val="24"/>
          <w:szCs w:val="24"/>
          <w:lang w:val="el-GR"/>
        </w:rPr>
        <w:t>.</w:t>
      </w:r>
      <w:r w:rsidR="00A5147D" w:rsidRPr="004E251E">
        <w:rPr>
          <w:rStyle w:val="FootnoteReference"/>
          <w:rFonts w:ascii="Calibri" w:eastAsia="Calibri" w:hAnsi="Calibri" w:cs="Calibri"/>
          <w:sz w:val="24"/>
          <w:szCs w:val="24"/>
        </w:rPr>
        <w:footnoteReference w:id="54"/>
      </w:r>
    </w:p>
    <w:p w14:paraId="599B8708" w14:textId="77777777" w:rsidR="00A5147D" w:rsidRPr="00124260" w:rsidRDefault="00A5147D" w:rsidP="00A5147D">
      <w:pPr>
        <w:rPr>
          <w:rFonts w:ascii="Calibri" w:eastAsia="Calibri" w:hAnsi="Calibri" w:cs="Calibri"/>
          <w:i/>
          <w:iCs/>
          <w:sz w:val="24"/>
          <w:szCs w:val="24"/>
          <w:lang w:val="el-GR"/>
        </w:rPr>
      </w:pPr>
    </w:p>
    <w:p w14:paraId="3E9825D5" w14:textId="758B0EB3" w:rsidR="00A5147D" w:rsidRPr="00124260" w:rsidRDefault="00124260" w:rsidP="00A5147D">
      <w:pPr>
        <w:numPr>
          <w:ilvl w:val="0"/>
          <w:numId w:val="1"/>
        </w:numPr>
        <w:tabs>
          <w:tab w:val="clear" w:pos="6095"/>
          <w:tab w:val="left" w:pos="709"/>
        </w:tabs>
        <w:ind w:left="0" w:firstLine="0"/>
        <w:rPr>
          <w:rFonts w:eastAsia="Calibri" w:cstheme="minorHAnsi"/>
          <w:sz w:val="24"/>
          <w:szCs w:val="24"/>
          <w:lang w:val="el-GR"/>
        </w:rPr>
      </w:pPr>
      <w:r>
        <w:rPr>
          <w:rFonts w:eastAsia="Calibri" w:cstheme="minorHAnsi"/>
          <w:sz w:val="24"/>
          <w:szCs w:val="24"/>
          <w:lang w:val="el-GR"/>
        </w:rPr>
        <w:t>Είναι</w:t>
      </w:r>
      <w:r w:rsidRPr="00124260">
        <w:rPr>
          <w:rFonts w:eastAsia="Calibri" w:cstheme="minorHAnsi"/>
          <w:sz w:val="24"/>
          <w:szCs w:val="24"/>
          <w:lang w:val="el-GR"/>
        </w:rPr>
        <w:t xml:space="preserve"> </w:t>
      </w:r>
      <w:r>
        <w:rPr>
          <w:rFonts w:eastAsia="Calibri" w:cstheme="minorHAnsi"/>
          <w:sz w:val="24"/>
          <w:szCs w:val="24"/>
          <w:lang w:val="el-GR"/>
        </w:rPr>
        <w:t>η</w:t>
      </w:r>
      <w:r w:rsidRPr="00124260">
        <w:rPr>
          <w:rFonts w:eastAsia="Calibri" w:cstheme="minorHAnsi"/>
          <w:sz w:val="24"/>
          <w:szCs w:val="24"/>
          <w:lang w:val="el-GR"/>
        </w:rPr>
        <w:t xml:space="preserve"> </w:t>
      </w:r>
      <w:r>
        <w:rPr>
          <w:rFonts w:eastAsia="Calibri" w:cstheme="minorHAnsi"/>
          <w:sz w:val="24"/>
          <w:szCs w:val="24"/>
          <w:lang w:val="el-GR"/>
        </w:rPr>
        <w:t>Κυπριακή</w:t>
      </w:r>
      <w:r w:rsidRPr="00124260">
        <w:rPr>
          <w:rFonts w:eastAsia="Calibri" w:cstheme="minorHAnsi"/>
          <w:sz w:val="24"/>
          <w:szCs w:val="24"/>
          <w:lang w:val="el-GR"/>
        </w:rPr>
        <w:t xml:space="preserve"> </w:t>
      </w:r>
      <w:r>
        <w:rPr>
          <w:rFonts w:eastAsia="Calibri" w:cstheme="minorHAnsi"/>
          <w:sz w:val="24"/>
          <w:szCs w:val="24"/>
          <w:lang w:val="el-GR"/>
        </w:rPr>
        <w:t>Αρχή</w:t>
      </w:r>
      <w:r w:rsidRPr="00124260">
        <w:rPr>
          <w:rFonts w:eastAsia="Calibri" w:cstheme="minorHAnsi"/>
          <w:sz w:val="24"/>
          <w:szCs w:val="24"/>
          <w:lang w:val="el-GR"/>
        </w:rPr>
        <w:t xml:space="preserve"> </w:t>
      </w:r>
      <w:r>
        <w:rPr>
          <w:rFonts w:eastAsia="Calibri" w:cstheme="minorHAnsi"/>
          <w:sz w:val="24"/>
          <w:szCs w:val="24"/>
          <w:lang w:val="el-GR"/>
        </w:rPr>
        <w:t>Εθνικής</w:t>
      </w:r>
      <w:r w:rsidRPr="00124260">
        <w:rPr>
          <w:rFonts w:eastAsia="Calibri" w:cstheme="minorHAnsi"/>
          <w:sz w:val="24"/>
          <w:szCs w:val="24"/>
          <w:lang w:val="el-GR"/>
        </w:rPr>
        <w:t xml:space="preserve"> </w:t>
      </w:r>
      <w:r>
        <w:rPr>
          <w:rFonts w:eastAsia="Calibri" w:cstheme="minorHAnsi"/>
          <w:sz w:val="24"/>
          <w:szCs w:val="24"/>
          <w:lang w:val="el-GR"/>
        </w:rPr>
        <w:t>Ασφαλείας</w:t>
      </w:r>
      <w:r w:rsidR="00A5147D" w:rsidRPr="00124260">
        <w:rPr>
          <w:rFonts w:eastAsia="Calibri" w:cstheme="minorHAnsi"/>
          <w:sz w:val="24"/>
          <w:szCs w:val="24"/>
          <w:lang w:val="el-GR"/>
        </w:rPr>
        <w:t xml:space="preserve"> (</w:t>
      </w:r>
      <w:r>
        <w:rPr>
          <w:rFonts w:eastAsia="Calibri" w:cstheme="minorHAnsi"/>
          <w:sz w:val="24"/>
          <w:szCs w:val="24"/>
          <w:lang w:val="el-GR"/>
        </w:rPr>
        <w:t>δηλαδή</w:t>
      </w:r>
      <w:r w:rsidRPr="00124260">
        <w:rPr>
          <w:rFonts w:eastAsia="Calibri" w:cstheme="minorHAnsi"/>
          <w:sz w:val="24"/>
          <w:szCs w:val="24"/>
          <w:lang w:val="el-GR"/>
        </w:rPr>
        <w:t xml:space="preserve"> </w:t>
      </w:r>
      <w:r>
        <w:rPr>
          <w:rFonts w:eastAsia="Calibri" w:cstheme="minorHAnsi"/>
          <w:sz w:val="24"/>
          <w:szCs w:val="24"/>
          <w:lang w:val="el-GR"/>
        </w:rPr>
        <w:t>το</w:t>
      </w:r>
      <w:r w:rsidRPr="00124260">
        <w:rPr>
          <w:rFonts w:eastAsia="Calibri" w:cstheme="minorHAnsi"/>
          <w:sz w:val="24"/>
          <w:szCs w:val="24"/>
          <w:lang w:val="el-GR"/>
        </w:rPr>
        <w:t xml:space="preserve"> </w:t>
      </w:r>
      <w:r>
        <w:rPr>
          <w:rFonts w:eastAsia="Calibri" w:cstheme="minorHAnsi"/>
          <w:sz w:val="24"/>
          <w:szCs w:val="24"/>
          <w:lang w:val="el-GR"/>
        </w:rPr>
        <w:t>Υπουργείο</w:t>
      </w:r>
      <w:r w:rsidRPr="00124260">
        <w:rPr>
          <w:rFonts w:eastAsia="Calibri" w:cstheme="minorHAnsi"/>
          <w:sz w:val="24"/>
          <w:szCs w:val="24"/>
          <w:lang w:val="el-GR"/>
        </w:rPr>
        <w:t xml:space="preserve"> </w:t>
      </w:r>
      <w:r>
        <w:rPr>
          <w:rFonts w:eastAsia="Calibri" w:cstheme="minorHAnsi"/>
          <w:sz w:val="24"/>
          <w:szCs w:val="24"/>
          <w:lang w:val="el-GR"/>
        </w:rPr>
        <w:t>Άμυνας</w:t>
      </w:r>
      <w:r w:rsidR="00A5147D" w:rsidRPr="00124260">
        <w:rPr>
          <w:rFonts w:eastAsia="Calibri" w:cstheme="minorHAnsi"/>
          <w:sz w:val="24"/>
          <w:szCs w:val="24"/>
          <w:lang w:val="el-GR"/>
        </w:rPr>
        <w:t>),</w:t>
      </w:r>
      <w:r w:rsidR="00A5147D" w:rsidRPr="004E251E">
        <w:rPr>
          <w:rStyle w:val="FootnoteReference"/>
          <w:rFonts w:eastAsia="Calibri" w:cstheme="minorHAnsi"/>
          <w:sz w:val="24"/>
          <w:szCs w:val="24"/>
        </w:rPr>
        <w:footnoteReference w:id="55"/>
      </w:r>
      <w:r w:rsidR="00A5147D" w:rsidRPr="00124260">
        <w:rPr>
          <w:rFonts w:eastAsia="Calibri" w:cstheme="minorHAnsi"/>
          <w:sz w:val="24"/>
          <w:szCs w:val="24"/>
          <w:lang w:val="el-GR"/>
        </w:rPr>
        <w:t xml:space="preserve"> </w:t>
      </w:r>
      <w:r>
        <w:rPr>
          <w:rFonts w:eastAsia="Calibri" w:cstheme="minorHAnsi"/>
          <w:sz w:val="24"/>
          <w:szCs w:val="24"/>
          <w:lang w:val="el-GR"/>
        </w:rPr>
        <w:t>που</w:t>
      </w:r>
      <w:r w:rsidRPr="00124260">
        <w:rPr>
          <w:rFonts w:eastAsia="Calibri" w:cstheme="minorHAnsi"/>
          <w:sz w:val="24"/>
          <w:szCs w:val="24"/>
          <w:lang w:val="el-GR"/>
        </w:rPr>
        <w:t xml:space="preserve"> </w:t>
      </w:r>
      <w:r>
        <w:rPr>
          <w:rFonts w:eastAsia="Calibri" w:cstheme="minorHAnsi"/>
          <w:sz w:val="24"/>
          <w:szCs w:val="24"/>
          <w:lang w:val="el-GR"/>
        </w:rPr>
        <w:t>επιβλέπει</w:t>
      </w:r>
      <w:r w:rsidRPr="00124260">
        <w:rPr>
          <w:rFonts w:eastAsia="Calibri" w:cstheme="minorHAnsi"/>
          <w:sz w:val="24"/>
          <w:szCs w:val="24"/>
          <w:lang w:val="el-GR"/>
        </w:rPr>
        <w:t xml:space="preserve"> </w:t>
      </w:r>
      <w:r>
        <w:rPr>
          <w:rFonts w:eastAsia="Calibri" w:cstheme="minorHAnsi"/>
          <w:sz w:val="24"/>
          <w:szCs w:val="24"/>
          <w:lang w:val="el-GR"/>
        </w:rPr>
        <w:t>και</w:t>
      </w:r>
      <w:r w:rsidRPr="00124260">
        <w:rPr>
          <w:rFonts w:eastAsia="Calibri" w:cstheme="minorHAnsi"/>
          <w:sz w:val="24"/>
          <w:szCs w:val="24"/>
          <w:lang w:val="el-GR"/>
        </w:rPr>
        <w:t xml:space="preserve"> </w:t>
      </w:r>
      <w:r>
        <w:rPr>
          <w:rFonts w:eastAsia="Calibri" w:cstheme="minorHAnsi"/>
          <w:sz w:val="24"/>
          <w:szCs w:val="24"/>
          <w:lang w:val="el-GR"/>
        </w:rPr>
        <w:t>παρακολουθεί</w:t>
      </w:r>
      <w:r w:rsidR="00A5147D" w:rsidRPr="00124260">
        <w:rPr>
          <w:rFonts w:eastAsia="Calibri" w:cstheme="minorHAnsi"/>
          <w:sz w:val="24"/>
          <w:szCs w:val="24"/>
          <w:lang w:val="el-GR"/>
        </w:rPr>
        <w:t xml:space="preserve"> </w:t>
      </w:r>
      <w:r>
        <w:rPr>
          <w:rFonts w:eastAsia="Calibri" w:cstheme="minorHAnsi"/>
          <w:sz w:val="24"/>
          <w:szCs w:val="24"/>
          <w:lang w:val="el-GR"/>
        </w:rPr>
        <w:t>την συμμόρφωση με τους</w:t>
      </w:r>
      <w:r w:rsidR="00A5147D" w:rsidRPr="00124260">
        <w:rPr>
          <w:rFonts w:eastAsia="Calibri" w:cstheme="minorHAnsi"/>
          <w:sz w:val="24"/>
          <w:szCs w:val="24"/>
          <w:lang w:val="el-GR"/>
        </w:rPr>
        <w:t xml:space="preserve"> </w:t>
      </w:r>
      <w:r>
        <w:rPr>
          <w:rFonts w:eastAsia="Calibri" w:cstheme="minorHAnsi"/>
          <w:sz w:val="24"/>
          <w:szCs w:val="24"/>
          <w:lang w:val="el-GR"/>
        </w:rPr>
        <w:t>όρους ασφαλείας για διαβαθμισμένες πληροφορίες</w:t>
      </w:r>
      <w:r w:rsidR="00A5147D" w:rsidRPr="00124260">
        <w:rPr>
          <w:rFonts w:eastAsia="Calibri" w:cstheme="minorHAnsi"/>
          <w:sz w:val="24"/>
          <w:szCs w:val="24"/>
          <w:lang w:val="el-GR"/>
        </w:rPr>
        <w:t xml:space="preserve"> </w:t>
      </w:r>
      <w:r>
        <w:rPr>
          <w:rFonts w:eastAsia="Calibri" w:cstheme="minorHAnsi"/>
          <w:sz w:val="24"/>
          <w:szCs w:val="24"/>
          <w:lang w:val="el-GR"/>
        </w:rPr>
        <w:t>του Κράτους και της ΕΕ</w:t>
      </w:r>
      <w:r w:rsidR="00A5147D" w:rsidRPr="00124260">
        <w:rPr>
          <w:rFonts w:eastAsia="Calibri" w:cstheme="minorHAnsi"/>
          <w:sz w:val="24"/>
          <w:szCs w:val="24"/>
          <w:lang w:val="el-GR"/>
        </w:rPr>
        <w:t xml:space="preserve"> (</w:t>
      </w:r>
      <w:r>
        <w:rPr>
          <w:rFonts w:eastAsia="Calibri" w:cstheme="minorHAnsi"/>
          <w:sz w:val="24"/>
          <w:szCs w:val="24"/>
          <w:lang w:val="el-GR"/>
        </w:rPr>
        <w:t>Άρθρο</w:t>
      </w:r>
      <w:r w:rsidR="00A5147D" w:rsidRPr="00124260">
        <w:rPr>
          <w:rFonts w:ascii="Calibri" w:eastAsia="Calibri" w:hAnsi="Calibri" w:cs="Calibri"/>
          <w:sz w:val="24"/>
          <w:szCs w:val="24"/>
          <w:lang w:val="el-GR"/>
        </w:rPr>
        <w:t xml:space="preserve"> 5 </w:t>
      </w:r>
      <w:r>
        <w:rPr>
          <w:rFonts w:ascii="Calibri" w:eastAsia="Calibri" w:hAnsi="Calibri" w:cs="Calibri"/>
          <w:sz w:val="24"/>
          <w:szCs w:val="24"/>
          <w:lang w:val="el-GR"/>
        </w:rPr>
        <w:t xml:space="preserve">του Νόμου </w:t>
      </w:r>
      <w:r w:rsidR="00A5147D" w:rsidRPr="00124260">
        <w:rPr>
          <w:rFonts w:ascii="Calibri" w:eastAsia="Calibri" w:hAnsi="Calibri" w:cs="Calibri"/>
          <w:sz w:val="24"/>
          <w:szCs w:val="24"/>
          <w:lang w:val="el-GR"/>
        </w:rPr>
        <w:t>84(Ι)/2021</w:t>
      </w:r>
      <w:r w:rsidR="00A5147D" w:rsidRPr="00124260">
        <w:rPr>
          <w:rFonts w:eastAsia="Calibri" w:cstheme="minorHAnsi"/>
          <w:sz w:val="24"/>
          <w:szCs w:val="24"/>
          <w:lang w:val="el-GR"/>
        </w:rPr>
        <w:t>).</w:t>
      </w:r>
    </w:p>
    <w:p w14:paraId="6DF033BE" w14:textId="77777777" w:rsidR="00A5147D" w:rsidRPr="00124260" w:rsidRDefault="00A5147D" w:rsidP="00A5147D">
      <w:pPr>
        <w:rPr>
          <w:rFonts w:eastAsia="Calibri" w:cstheme="minorHAnsi"/>
          <w:sz w:val="24"/>
          <w:szCs w:val="24"/>
          <w:lang w:val="el-GR"/>
        </w:rPr>
      </w:pPr>
    </w:p>
    <w:p w14:paraId="32FDF849" w14:textId="286453E4" w:rsidR="00A5147D" w:rsidRPr="001B648B" w:rsidRDefault="00124260" w:rsidP="00A5147D">
      <w:pPr>
        <w:numPr>
          <w:ilvl w:val="0"/>
          <w:numId w:val="1"/>
        </w:numPr>
        <w:tabs>
          <w:tab w:val="clear" w:pos="6095"/>
          <w:tab w:val="left" w:pos="709"/>
        </w:tabs>
        <w:ind w:left="0" w:firstLine="0"/>
        <w:rPr>
          <w:rFonts w:eastAsia="Calibri" w:cstheme="minorHAnsi"/>
          <w:sz w:val="24"/>
          <w:szCs w:val="24"/>
          <w:lang w:val="el-GR"/>
        </w:rPr>
      </w:pPr>
      <w:r>
        <w:rPr>
          <w:rFonts w:eastAsia="Calibri" w:cstheme="minorHAnsi"/>
          <w:sz w:val="24"/>
          <w:szCs w:val="24"/>
          <w:lang w:val="el-GR"/>
        </w:rPr>
        <w:t>Ο</w:t>
      </w:r>
      <w:r w:rsidRPr="00124260">
        <w:rPr>
          <w:rFonts w:eastAsia="Calibri" w:cstheme="minorHAnsi"/>
          <w:sz w:val="24"/>
          <w:szCs w:val="24"/>
          <w:lang w:val="el-GR"/>
        </w:rPr>
        <w:t xml:space="preserve"> </w:t>
      </w:r>
      <w:r>
        <w:rPr>
          <w:rFonts w:eastAsia="Calibri" w:cstheme="minorHAnsi"/>
          <w:sz w:val="24"/>
          <w:szCs w:val="24"/>
          <w:lang w:val="el-GR"/>
        </w:rPr>
        <w:t>Νόμος</w:t>
      </w:r>
      <w:r w:rsidRPr="00124260">
        <w:rPr>
          <w:rFonts w:eastAsia="Calibri" w:cstheme="minorHAnsi"/>
          <w:sz w:val="24"/>
          <w:szCs w:val="24"/>
          <w:lang w:val="el-GR"/>
        </w:rPr>
        <w:t xml:space="preserve"> </w:t>
      </w:r>
      <w:r>
        <w:rPr>
          <w:rFonts w:eastAsia="Calibri" w:cstheme="minorHAnsi"/>
          <w:sz w:val="24"/>
          <w:szCs w:val="24"/>
          <w:lang w:val="el-GR"/>
        </w:rPr>
        <w:t>παραθέτει</w:t>
      </w:r>
      <w:r w:rsidRPr="00124260">
        <w:rPr>
          <w:rFonts w:eastAsia="Calibri" w:cstheme="minorHAnsi"/>
          <w:sz w:val="24"/>
          <w:szCs w:val="24"/>
          <w:lang w:val="el-GR"/>
        </w:rPr>
        <w:t xml:space="preserve"> </w:t>
      </w:r>
      <w:r>
        <w:rPr>
          <w:rFonts w:eastAsia="Calibri" w:cstheme="minorHAnsi"/>
          <w:sz w:val="24"/>
          <w:szCs w:val="24"/>
          <w:lang w:val="el-GR"/>
        </w:rPr>
        <w:t>επίσης</w:t>
      </w:r>
      <w:r w:rsidRPr="00124260">
        <w:rPr>
          <w:rFonts w:eastAsia="Calibri" w:cstheme="minorHAnsi"/>
          <w:sz w:val="24"/>
          <w:szCs w:val="24"/>
          <w:lang w:val="el-GR"/>
        </w:rPr>
        <w:t xml:space="preserve"> </w:t>
      </w:r>
      <w:r>
        <w:rPr>
          <w:rFonts w:eastAsia="Calibri" w:cstheme="minorHAnsi"/>
          <w:sz w:val="24"/>
          <w:szCs w:val="24"/>
          <w:lang w:val="el-GR"/>
        </w:rPr>
        <w:t>τα</w:t>
      </w:r>
      <w:r w:rsidRPr="00124260">
        <w:rPr>
          <w:rFonts w:eastAsia="Calibri" w:cstheme="minorHAnsi"/>
          <w:sz w:val="24"/>
          <w:szCs w:val="24"/>
          <w:lang w:val="el-GR"/>
        </w:rPr>
        <w:t xml:space="preserve"> </w:t>
      </w:r>
      <w:r>
        <w:rPr>
          <w:rFonts w:eastAsia="Calibri" w:cstheme="minorHAnsi"/>
          <w:sz w:val="24"/>
          <w:szCs w:val="24"/>
          <w:lang w:val="el-GR"/>
        </w:rPr>
        <w:t>αδικήματα</w:t>
      </w:r>
      <w:r w:rsidRPr="00124260">
        <w:rPr>
          <w:rFonts w:eastAsia="Calibri" w:cstheme="minorHAnsi"/>
          <w:sz w:val="24"/>
          <w:szCs w:val="24"/>
          <w:lang w:val="el-GR"/>
        </w:rPr>
        <w:t xml:space="preserve"> </w:t>
      </w:r>
      <w:r>
        <w:rPr>
          <w:rFonts w:eastAsia="Calibri" w:cstheme="minorHAnsi"/>
          <w:sz w:val="24"/>
          <w:szCs w:val="24"/>
          <w:lang w:val="el-GR"/>
        </w:rPr>
        <w:t>και</w:t>
      </w:r>
      <w:r w:rsidRPr="00124260">
        <w:rPr>
          <w:rFonts w:eastAsia="Calibri" w:cstheme="minorHAnsi"/>
          <w:sz w:val="24"/>
          <w:szCs w:val="24"/>
          <w:lang w:val="el-GR"/>
        </w:rPr>
        <w:t xml:space="preserve"> </w:t>
      </w:r>
      <w:r>
        <w:rPr>
          <w:rFonts w:eastAsia="Calibri" w:cstheme="minorHAnsi"/>
          <w:sz w:val="24"/>
          <w:szCs w:val="24"/>
          <w:lang w:val="el-GR"/>
        </w:rPr>
        <w:t>τις</w:t>
      </w:r>
      <w:r w:rsidRPr="00124260">
        <w:rPr>
          <w:rFonts w:eastAsia="Calibri" w:cstheme="minorHAnsi"/>
          <w:sz w:val="24"/>
          <w:szCs w:val="24"/>
          <w:lang w:val="el-GR"/>
        </w:rPr>
        <w:t xml:space="preserve"> </w:t>
      </w:r>
      <w:r>
        <w:rPr>
          <w:rFonts w:eastAsia="Calibri" w:cstheme="minorHAnsi"/>
          <w:sz w:val="24"/>
          <w:szCs w:val="24"/>
          <w:lang w:val="el-GR"/>
        </w:rPr>
        <w:t>ποινές</w:t>
      </w:r>
      <w:r w:rsidRPr="00124260">
        <w:rPr>
          <w:rFonts w:eastAsia="Calibri" w:cstheme="minorHAnsi"/>
          <w:sz w:val="24"/>
          <w:szCs w:val="24"/>
          <w:lang w:val="el-GR"/>
        </w:rPr>
        <w:t xml:space="preserve"> </w:t>
      </w:r>
      <w:r>
        <w:rPr>
          <w:rFonts w:eastAsia="Calibri" w:cstheme="minorHAnsi"/>
          <w:sz w:val="24"/>
          <w:szCs w:val="24"/>
          <w:lang w:val="el-GR"/>
        </w:rPr>
        <w:t>για</w:t>
      </w:r>
      <w:r w:rsidRPr="00124260">
        <w:rPr>
          <w:rFonts w:eastAsia="Calibri" w:cstheme="minorHAnsi"/>
          <w:sz w:val="24"/>
          <w:szCs w:val="24"/>
          <w:lang w:val="el-GR"/>
        </w:rPr>
        <w:t xml:space="preserve"> </w:t>
      </w:r>
      <w:r>
        <w:rPr>
          <w:rFonts w:eastAsia="Calibri" w:cstheme="minorHAnsi"/>
          <w:sz w:val="24"/>
          <w:szCs w:val="24"/>
          <w:lang w:val="el-GR"/>
        </w:rPr>
        <w:t>την</w:t>
      </w:r>
      <w:r w:rsidRPr="00124260">
        <w:rPr>
          <w:rFonts w:eastAsia="Calibri" w:cstheme="minorHAnsi"/>
          <w:sz w:val="24"/>
          <w:szCs w:val="24"/>
          <w:lang w:val="el-GR"/>
        </w:rPr>
        <w:t xml:space="preserve"> </w:t>
      </w:r>
      <w:r>
        <w:rPr>
          <w:rFonts w:eastAsia="Calibri" w:cstheme="minorHAnsi"/>
          <w:sz w:val="24"/>
          <w:szCs w:val="24"/>
          <w:lang w:val="el-GR"/>
        </w:rPr>
        <w:t>κατάχρηση</w:t>
      </w:r>
      <w:r w:rsidR="00A5147D" w:rsidRPr="00124260">
        <w:rPr>
          <w:rFonts w:eastAsia="Calibri" w:cstheme="minorHAnsi"/>
          <w:sz w:val="24"/>
          <w:szCs w:val="24"/>
          <w:lang w:val="el-GR"/>
        </w:rPr>
        <w:t xml:space="preserve"> </w:t>
      </w:r>
      <w:r w:rsidR="001B648B">
        <w:rPr>
          <w:rFonts w:eastAsia="Calibri" w:cstheme="minorHAnsi"/>
          <w:sz w:val="24"/>
          <w:szCs w:val="24"/>
          <w:lang w:val="el-GR"/>
        </w:rPr>
        <w:t>εμπιστευτικών πληροφοριών</w:t>
      </w:r>
      <w:r w:rsidR="00A5147D" w:rsidRPr="00124260">
        <w:rPr>
          <w:rFonts w:eastAsia="Calibri" w:cstheme="minorHAnsi"/>
          <w:sz w:val="24"/>
          <w:szCs w:val="24"/>
          <w:lang w:val="el-GR"/>
        </w:rPr>
        <w:t xml:space="preserve">. </w:t>
      </w:r>
      <w:r w:rsidR="001B648B">
        <w:rPr>
          <w:rFonts w:eastAsia="Calibri" w:cstheme="minorHAnsi"/>
          <w:sz w:val="24"/>
          <w:szCs w:val="24"/>
          <w:lang w:val="el-GR"/>
        </w:rPr>
        <w:t>Ιδιαίτερα</w:t>
      </w:r>
      <w:r w:rsidR="00A5147D" w:rsidRPr="001B648B">
        <w:rPr>
          <w:rFonts w:eastAsia="Calibri" w:cstheme="minorHAnsi"/>
          <w:sz w:val="24"/>
          <w:szCs w:val="24"/>
          <w:lang w:val="el-GR"/>
        </w:rPr>
        <w:t xml:space="preserve">, </w:t>
      </w:r>
      <w:r w:rsidR="001B648B">
        <w:rPr>
          <w:rFonts w:eastAsia="Calibri" w:cstheme="minorHAnsi"/>
          <w:sz w:val="24"/>
          <w:szCs w:val="24"/>
          <w:lang w:val="el-GR"/>
        </w:rPr>
        <w:t>οποιοσδήποτε</w:t>
      </w:r>
      <w:r w:rsidR="001B648B" w:rsidRPr="001B648B">
        <w:rPr>
          <w:rFonts w:eastAsia="Calibri" w:cstheme="minorHAnsi"/>
          <w:sz w:val="24"/>
          <w:szCs w:val="24"/>
          <w:lang w:val="el-GR"/>
        </w:rPr>
        <w:t xml:space="preserve"> </w:t>
      </w:r>
      <w:r w:rsidR="001B648B">
        <w:rPr>
          <w:rFonts w:eastAsia="Calibri" w:cstheme="minorHAnsi"/>
          <w:sz w:val="24"/>
          <w:szCs w:val="24"/>
          <w:lang w:val="el-GR"/>
        </w:rPr>
        <w:t>που</w:t>
      </w:r>
      <w:r w:rsidR="001B648B" w:rsidRPr="001B648B">
        <w:rPr>
          <w:rFonts w:eastAsia="Calibri" w:cstheme="minorHAnsi"/>
          <w:sz w:val="24"/>
          <w:szCs w:val="24"/>
          <w:lang w:val="el-GR"/>
        </w:rPr>
        <w:t xml:space="preserve"> </w:t>
      </w:r>
      <w:r w:rsidR="001B648B">
        <w:rPr>
          <w:rFonts w:eastAsia="Calibri" w:cstheme="minorHAnsi"/>
          <w:sz w:val="24"/>
          <w:szCs w:val="24"/>
          <w:lang w:val="el-GR"/>
        </w:rPr>
        <w:t>έχει</w:t>
      </w:r>
      <w:r w:rsidR="001B648B" w:rsidRPr="001B648B">
        <w:rPr>
          <w:rFonts w:eastAsia="Calibri" w:cstheme="minorHAnsi"/>
          <w:sz w:val="24"/>
          <w:szCs w:val="24"/>
          <w:lang w:val="el-GR"/>
        </w:rPr>
        <w:t xml:space="preserve"> </w:t>
      </w:r>
      <w:r w:rsidR="001B648B">
        <w:rPr>
          <w:rFonts w:eastAsia="Calibri" w:cstheme="minorHAnsi"/>
          <w:sz w:val="24"/>
          <w:szCs w:val="24"/>
          <w:lang w:val="el-GR"/>
        </w:rPr>
        <w:t>πρόσβαση</w:t>
      </w:r>
      <w:r w:rsidR="001B648B" w:rsidRPr="001B648B">
        <w:rPr>
          <w:rFonts w:eastAsia="Calibri" w:cstheme="minorHAnsi"/>
          <w:sz w:val="24"/>
          <w:szCs w:val="24"/>
          <w:lang w:val="el-GR"/>
        </w:rPr>
        <w:t xml:space="preserve"> </w:t>
      </w:r>
      <w:r w:rsidR="001B648B">
        <w:rPr>
          <w:rFonts w:eastAsia="Calibri" w:cstheme="minorHAnsi"/>
          <w:sz w:val="24"/>
          <w:szCs w:val="24"/>
          <w:lang w:val="el-GR"/>
        </w:rPr>
        <w:t>σε</w:t>
      </w:r>
      <w:r w:rsidR="001B648B" w:rsidRPr="001B648B">
        <w:rPr>
          <w:rFonts w:eastAsia="Calibri" w:cstheme="minorHAnsi"/>
          <w:sz w:val="24"/>
          <w:szCs w:val="24"/>
          <w:lang w:val="el-GR"/>
        </w:rPr>
        <w:t xml:space="preserve"> </w:t>
      </w:r>
      <w:r w:rsidR="001B648B">
        <w:rPr>
          <w:rFonts w:eastAsia="Calibri" w:cstheme="minorHAnsi"/>
          <w:sz w:val="24"/>
          <w:szCs w:val="24"/>
          <w:lang w:val="el-GR"/>
        </w:rPr>
        <w:t>εμπιστευτικές</w:t>
      </w:r>
      <w:r w:rsidR="001B648B" w:rsidRPr="001B648B">
        <w:rPr>
          <w:rFonts w:eastAsia="Calibri" w:cstheme="minorHAnsi"/>
          <w:sz w:val="24"/>
          <w:szCs w:val="24"/>
          <w:lang w:val="el-GR"/>
        </w:rPr>
        <w:t xml:space="preserve"> </w:t>
      </w:r>
      <w:r w:rsidR="001B648B">
        <w:rPr>
          <w:rFonts w:eastAsia="Calibri" w:cstheme="minorHAnsi"/>
          <w:sz w:val="24"/>
          <w:szCs w:val="24"/>
          <w:lang w:val="el-GR"/>
        </w:rPr>
        <w:t>πληροφορίες</w:t>
      </w:r>
      <w:r w:rsidR="00A5147D" w:rsidRPr="001B648B">
        <w:rPr>
          <w:rFonts w:eastAsia="Calibri" w:cstheme="minorHAnsi"/>
          <w:sz w:val="24"/>
          <w:szCs w:val="24"/>
          <w:lang w:val="el-GR"/>
        </w:rPr>
        <w:t xml:space="preserve"> </w:t>
      </w:r>
      <w:r w:rsidR="001B648B">
        <w:rPr>
          <w:rFonts w:eastAsia="Calibri" w:cstheme="minorHAnsi"/>
          <w:sz w:val="24"/>
          <w:szCs w:val="24"/>
          <w:lang w:val="el-GR"/>
        </w:rPr>
        <w:t>και</w:t>
      </w:r>
      <w:r w:rsidR="00A5147D" w:rsidRPr="001B648B">
        <w:rPr>
          <w:rFonts w:eastAsia="Calibri" w:cstheme="minorHAnsi"/>
          <w:sz w:val="24"/>
          <w:szCs w:val="24"/>
          <w:lang w:val="el-GR"/>
        </w:rPr>
        <w:t xml:space="preserve"> </w:t>
      </w:r>
      <w:r w:rsidR="001B648B">
        <w:rPr>
          <w:rFonts w:eastAsia="Calibri" w:cstheme="minorHAnsi"/>
          <w:sz w:val="24"/>
          <w:szCs w:val="24"/>
          <w:lang w:val="el-GR"/>
        </w:rPr>
        <w:t>τις</w:t>
      </w:r>
      <w:r w:rsidR="001B648B" w:rsidRPr="001B648B">
        <w:rPr>
          <w:rFonts w:eastAsia="Calibri" w:cstheme="minorHAnsi"/>
          <w:sz w:val="24"/>
          <w:szCs w:val="24"/>
          <w:lang w:val="el-GR"/>
        </w:rPr>
        <w:t xml:space="preserve"> </w:t>
      </w:r>
      <w:r w:rsidR="001B648B">
        <w:rPr>
          <w:rFonts w:eastAsia="Calibri" w:cstheme="minorHAnsi"/>
          <w:sz w:val="24"/>
          <w:szCs w:val="24"/>
          <w:lang w:val="el-GR"/>
        </w:rPr>
        <w:t>διαδίδει</w:t>
      </w:r>
      <w:r w:rsidR="001B648B" w:rsidRPr="001B648B">
        <w:rPr>
          <w:rFonts w:eastAsia="Calibri" w:cstheme="minorHAnsi"/>
          <w:sz w:val="24"/>
          <w:szCs w:val="24"/>
          <w:lang w:val="el-GR"/>
        </w:rPr>
        <w:t xml:space="preserve"> </w:t>
      </w:r>
      <w:r w:rsidR="001B648B">
        <w:rPr>
          <w:rFonts w:eastAsia="Calibri" w:cstheme="minorHAnsi"/>
          <w:sz w:val="24"/>
          <w:szCs w:val="24"/>
          <w:lang w:val="el-GR"/>
        </w:rPr>
        <w:t>ή</w:t>
      </w:r>
      <w:r w:rsidR="001B648B" w:rsidRPr="001B648B">
        <w:rPr>
          <w:rFonts w:eastAsia="Calibri" w:cstheme="minorHAnsi"/>
          <w:sz w:val="24"/>
          <w:szCs w:val="24"/>
          <w:lang w:val="el-GR"/>
        </w:rPr>
        <w:t xml:space="preserve"> </w:t>
      </w:r>
      <w:r w:rsidR="001B648B">
        <w:rPr>
          <w:rFonts w:eastAsia="Calibri" w:cstheme="minorHAnsi"/>
          <w:sz w:val="24"/>
          <w:szCs w:val="24"/>
          <w:lang w:val="el-GR"/>
        </w:rPr>
        <w:t>διαρρέει</w:t>
      </w:r>
      <w:r w:rsidR="00A5147D" w:rsidRPr="001B648B">
        <w:rPr>
          <w:rFonts w:eastAsia="Calibri" w:cstheme="minorHAnsi"/>
          <w:sz w:val="24"/>
          <w:szCs w:val="24"/>
          <w:lang w:val="el-GR"/>
        </w:rPr>
        <w:t xml:space="preserve"> </w:t>
      </w:r>
      <w:r w:rsidR="001B648B">
        <w:rPr>
          <w:rFonts w:eastAsia="Calibri" w:cstheme="minorHAnsi"/>
          <w:sz w:val="24"/>
          <w:szCs w:val="24"/>
          <w:lang w:val="el-GR"/>
        </w:rPr>
        <w:t>και</w:t>
      </w:r>
      <w:r w:rsidR="00A5147D" w:rsidRPr="001B648B">
        <w:rPr>
          <w:rFonts w:eastAsia="Calibri" w:cstheme="minorHAnsi"/>
          <w:sz w:val="24"/>
          <w:szCs w:val="24"/>
          <w:lang w:val="el-GR"/>
        </w:rPr>
        <w:t>/</w:t>
      </w:r>
      <w:r w:rsidR="001B648B">
        <w:rPr>
          <w:rFonts w:eastAsia="Calibri" w:cstheme="minorHAnsi"/>
          <w:sz w:val="24"/>
          <w:szCs w:val="24"/>
          <w:lang w:val="el-GR"/>
        </w:rPr>
        <w:t>ή</w:t>
      </w:r>
      <w:r w:rsidR="00A5147D" w:rsidRPr="001B648B">
        <w:rPr>
          <w:rFonts w:eastAsia="Calibri" w:cstheme="minorHAnsi"/>
          <w:sz w:val="24"/>
          <w:szCs w:val="24"/>
          <w:lang w:val="el-GR"/>
        </w:rPr>
        <w:t xml:space="preserve"> </w:t>
      </w:r>
      <w:r w:rsidR="001B648B">
        <w:rPr>
          <w:rFonts w:eastAsia="Calibri" w:cstheme="minorHAnsi"/>
          <w:sz w:val="24"/>
          <w:szCs w:val="24"/>
          <w:lang w:val="el-GR"/>
        </w:rPr>
        <w:t>δεν</w:t>
      </w:r>
      <w:r w:rsidR="001B648B" w:rsidRPr="001B648B">
        <w:rPr>
          <w:rFonts w:eastAsia="Calibri" w:cstheme="minorHAnsi"/>
          <w:sz w:val="24"/>
          <w:szCs w:val="24"/>
          <w:lang w:val="el-GR"/>
        </w:rPr>
        <w:t xml:space="preserve"> </w:t>
      </w:r>
      <w:r w:rsidR="001B648B">
        <w:rPr>
          <w:rFonts w:eastAsia="Calibri" w:cstheme="minorHAnsi"/>
          <w:sz w:val="24"/>
          <w:szCs w:val="24"/>
          <w:lang w:val="el-GR"/>
        </w:rPr>
        <w:t>συμμορφώνεται</w:t>
      </w:r>
      <w:r w:rsidR="001B648B" w:rsidRPr="001B648B">
        <w:rPr>
          <w:rFonts w:eastAsia="Calibri" w:cstheme="minorHAnsi"/>
          <w:sz w:val="24"/>
          <w:szCs w:val="24"/>
          <w:lang w:val="el-GR"/>
        </w:rPr>
        <w:t xml:space="preserve"> </w:t>
      </w:r>
      <w:r w:rsidR="001B648B">
        <w:rPr>
          <w:rFonts w:eastAsia="Calibri" w:cstheme="minorHAnsi"/>
          <w:sz w:val="24"/>
          <w:szCs w:val="24"/>
          <w:lang w:val="el-GR"/>
        </w:rPr>
        <w:t>με</w:t>
      </w:r>
      <w:r w:rsidR="001B648B" w:rsidRPr="001B648B">
        <w:rPr>
          <w:rFonts w:eastAsia="Calibri" w:cstheme="minorHAnsi"/>
          <w:sz w:val="24"/>
          <w:szCs w:val="24"/>
          <w:lang w:val="el-GR"/>
        </w:rPr>
        <w:t xml:space="preserve"> </w:t>
      </w:r>
      <w:r w:rsidR="001B648B">
        <w:rPr>
          <w:rFonts w:eastAsia="Calibri" w:cstheme="minorHAnsi"/>
          <w:sz w:val="24"/>
          <w:szCs w:val="24"/>
          <w:lang w:val="el-GR"/>
        </w:rPr>
        <w:t>τον</w:t>
      </w:r>
      <w:r w:rsidR="001B648B" w:rsidRPr="001B648B">
        <w:rPr>
          <w:rFonts w:eastAsia="Calibri" w:cstheme="minorHAnsi"/>
          <w:sz w:val="24"/>
          <w:szCs w:val="24"/>
          <w:lang w:val="el-GR"/>
        </w:rPr>
        <w:t xml:space="preserve"> </w:t>
      </w:r>
      <w:r w:rsidR="001B648B">
        <w:rPr>
          <w:rFonts w:eastAsia="Calibri" w:cstheme="minorHAnsi"/>
          <w:sz w:val="24"/>
          <w:szCs w:val="24"/>
          <w:lang w:val="el-GR"/>
        </w:rPr>
        <w:t>Νόμο</w:t>
      </w:r>
      <w:r w:rsidR="00A5147D" w:rsidRPr="001B648B">
        <w:rPr>
          <w:rFonts w:ascii="Calibri" w:eastAsia="Calibri" w:hAnsi="Calibri" w:cs="Calibri"/>
          <w:sz w:val="24"/>
          <w:szCs w:val="24"/>
          <w:lang w:val="el-GR"/>
        </w:rPr>
        <w:t xml:space="preserve"> 84(Ι)/2021 </w:t>
      </w:r>
      <w:r w:rsidR="001B648B">
        <w:rPr>
          <w:rFonts w:ascii="Calibri" w:eastAsia="Calibri" w:hAnsi="Calibri" w:cs="Calibri"/>
          <w:sz w:val="24"/>
          <w:szCs w:val="24"/>
          <w:lang w:val="el-GR"/>
        </w:rPr>
        <w:t>ή κανονισμούς ή διατάγματα που εκδίδονται βάσει αυτού</w:t>
      </w:r>
      <w:r w:rsidR="00A5147D" w:rsidRPr="001B648B">
        <w:rPr>
          <w:rFonts w:eastAsia="Calibri" w:cstheme="minorHAnsi"/>
          <w:sz w:val="24"/>
          <w:szCs w:val="24"/>
          <w:lang w:val="el-GR"/>
        </w:rPr>
        <w:t xml:space="preserve">, </w:t>
      </w:r>
      <w:r w:rsidR="001B648B">
        <w:rPr>
          <w:rFonts w:eastAsia="Calibri" w:cstheme="minorHAnsi"/>
          <w:sz w:val="24"/>
          <w:szCs w:val="24"/>
          <w:lang w:val="el-GR"/>
        </w:rPr>
        <w:t>διαπρά</w:t>
      </w:r>
      <w:r w:rsidR="00794345">
        <w:rPr>
          <w:rFonts w:eastAsia="Calibri" w:cstheme="minorHAnsi"/>
          <w:sz w:val="24"/>
          <w:szCs w:val="24"/>
          <w:lang w:val="el-GR"/>
        </w:rPr>
        <w:t>ττ</w:t>
      </w:r>
      <w:r w:rsidR="001B648B">
        <w:rPr>
          <w:rFonts w:eastAsia="Calibri" w:cstheme="minorHAnsi"/>
          <w:sz w:val="24"/>
          <w:szCs w:val="24"/>
          <w:lang w:val="el-GR"/>
        </w:rPr>
        <w:t>ει έγκλημα και υπόκειται</w:t>
      </w:r>
      <w:r w:rsidR="00A5147D" w:rsidRPr="001B648B">
        <w:rPr>
          <w:rFonts w:eastAsia="Calibri" w:cstheme="minorHAnsi"/>
          <w:sz w:val="24"/>
          <w:szCs w:val="24"/>
          <w:lang w:val="el-GR"/>
        </w:rPr>
        <w:t xml:space="preserve"> </w:t>
      </w:r>
      <w:r w:rsidR="001B648B">
        <w:rPr>
          <w:rFonts w:eastAsia="Calibri" w:cstheme="minorHAnsi"/>
          <w:sz w:val="24"/>
          <w:szCs w:val="24"/>
          <w:lang w:val="el-GR"/>
        </w:rPr>
        <w:t>σε ποινή φυλάκισης επτά χρόνων και</w:t>
      </w:r>
      <w:r w:rsidR="00A5147D" w:rsidRPr="001B648B">
        <w:rPr>
          <w:rFonts w:eastAsia="Calibri" w:cstheme="minorHAnsi"/>
          <w:sz w:val="24"/>
          <w:szCs w:val="24"/>
          <w:lang w:val="el-GR"/>
        </w:rPr>
        <w:t>/</w:t>
      </w:r>
      <w:r w:rsidR="001B648B">
        <w:rPr>
          <w:rFonts w:eastAsia="Calibri" w:cstheme="minorHAnsi"/>
          <w:sz w:val="24"/>
          <w:szCs w:val="24"/>
          <w:lang w:val="el-GR"/>
        </w:rPr>
        <w:t>ή</w:t>
      </w:r>
      <w:r w:rsidR="00A5147D" w:rsidRPr="001B648B">
        <w:rPr>
          <w:rFonts w:eastAsia="Calibri" w:cstheme="minorHAnsi"/>
          <w:sz w:val="24"/>
          <w:szCs w:val="24"/>
          <w:lang w:val="el-GR"/>
        </w:rPr>
        <w:t xml:space="preserve"> </w:t>
      </w:r>
      <w:r w:rsidR="001B648B">
        <w:rPr>
          <w:rFonts w:eastAsia="Calibri" w:cstheme="minorHAnsi"/>
          <w:sz w:val="24"/>
          <w:szCs w:val="24"/>
          <w:lang w:val="el-GR"/>
        </w:rPr>
        <w:t>πρόστιμο</w:t>
      </w:r>
      <w:r w:rsidR="00A5147D" w:rsidRPr="001B648B">
        <w:rPr>
          <w:rFonts w:eastAsia="Calibri" w:cstheme="minorHAnsi"/>
          <w:sz w:val="24"/>
          <w:szCs w:val="24"/>
          <w:lang w:val="el-GR"/>
        </w:rPr>
        <w:t xml:space="preserve"> €350</w:t>
      </w:r>
      <w:r w:rsidR="00A5147D" w:rsidRPr="004E251E">
        <w:rPr>
          <w:rFonts w:eastAsia="Calibri" w:cstheme="minorHAnsi"/>
          <w:sz w:val="24"/>
          <w:szCs w:val="24"/>
        </w:rPr>
        <w:t> </w:t>
      </w:r>
      <w:r w:rsidR="00A5147D" w:rsidRPr="001B648B">
        <w:rPr>
          <w:rFonts w:eastAsia="Calibri" w:cstheme="minorHAnsi"/>
          <w:sz w:val="24"/>
          <w:szCs w:val="24"/>
          <w:lang w:val="el-GR"/>
        </w:rPr>
        <w:t>000.</w:t>
      </w:r>
      <w:r w:rsidR="00A5147D" w:rsidRPr="004E251E">
        <w:rPr>
          <w:rStyle w:val="FootnoteReference"/>
          <w:rFonts w:eastAsia="Calibri" w:cstheme="minorHAnsi"/>
          <w:sz w:val="24"/>
          <w:szCs w:val="24"/>
        </w:rPr>
        <w:footnoteReference w:id="56"/>
      </w:r>
      <w:r w:rsidR="00A5147D" w:rsidRPr="001B648B">
        <w:rPr>
          <w:rFonts w:eastAsia="Calibri" w:cstheme="minorHAnsi"/>
          <w:sz w:val="24"/>
          <w:szCs w:val="24"/>
          <w:lang w:val="el-GR"/>
        </w:rPr>
        <w:t xml:space="preserve"> </w:t>
      </w:r>
    </w:p>
    <w:p w14:paraId="542AD086" w14:textId="77777777" w:rsidR="00A5147D" w:rsidRPr="001B648B" w:rsidRDefault="00A5147D" w:rsidP="00A5147D">
      <w:pPr>
        <w:rPr>
          <w:rFonts w:eastAsia="Calibri" w:cstheme="minorHAnsi"/>
          <w:sz w:val="24"/>
          <w:szCs w:val="24"/>
          <w:lang w:val="el-GR"/>
        </w:rPr>
      </w:pPr>
    </w:p>
    <w:p w14:paraId="098E93E0" w14:textId="390A4EB1" w:rsidR="00A5147D" w:rsidRPr="001B648B" w:rsidRDefault="001B648B" w:rsidP="00A5147D">
      <w:pPr>
        <w:numPr>
          <w:ilvl w:val="0"/>
          <w:numId w:val="1"/>
        </w:numPr>
        <w:tabs>
          <w:tab w:val="clear" w:pos="6095"/>
          <w:tab w:val="left" w:pos="709"/>
        </w:tabs>
        <w:ind w:left="0" w:firstLine="0"/>
        <w:rPr>
          <w:rFonts w:eastAsia="Calibri" w:cstheme="minorHAnsi"/>
          <w:sz w:val="24"/>
          <w:szCs w:val="24"/>
          <w:lang w:val="el-GR"/>
        </w:rPr>
      </w:pPr>
      <w:r>
        <w:rPr>
          <w:rFonts w:eastAsia="Calibri" w:cstheme="minorHAnsi"/>
          <w:sz w:val="24"/>
          <w:szCs w:val="24"/>
          <w:lang w:val="el-GR"/>
        </w:rPr>
        <w:t>Εξίσου</w:t>
      </w:r>
      <w:r w:rsidRPr="001B648B">
        <w:rPr>
          <w:rFonts w:eastAsia="Calibri" w:cstheme="minorHAnsi"/>
          <w:sz w:val="24"/>
          <w:szCs w:val="24"/>
          <w:lang w:val="el-GR"/>
        </w:rPr>
        <w:t xml:space="preserve"> </w:t>
      </w:r>
      <w:r>
        <w:rPr>
          <w:rFonts w:eastAsia="Calibri" w:cstheme="minorHAnsi"/>
          <w:sz w:val="24"/>
          <w:szCs w:val="24"/>
          <w:lang w:val="el-GR"/>
        </w:rPr>
        <w:t>σημαντική</w:t>
      </w:r>
      <w:r w:rsidRPr="001B648B">
        <w:rPr>
          <w:rFonts w:eastAsia="Calibri" w:cstheme="minorHAnsi"/>
          <w:sz w:val="24"/>
          <w:szCs w:val="24"/>
          <w:lang w:val="el-GR"/>
        </w:rPr>
        <w:t xml:space="preserve"> </w:t>
      </w:r>
      <w:r>
        <w:rPr>
          <w:rFonts w:eastAsia="Calibri" w:cstheme="minorHAnsi"/>
          <w:sz w:val="24"/>
          <w:szCs w:val="24"/>
          <w:lang w:val="el-GR"/>
        </w:rPr>
        <w:t>είναι</w:t>
      </w:r>
      <w:r w:rsidRPr="001B648B">
        <w:rPr>
          <w:rFonts w:eastAsia="Calibri" w:cstheme="minorHAnsi"/>
          <w:sz w:val="24"/>
          <w:szCs w:val="24"/>
          <w:lang w:val="el-GR"/>
        </w:rPr>
        <w:t xml:space="preserve"> </w:t>
      </w:r>
      <w:r>
        <w:rPr>
          <w:rFonts w:eastAsia="Calibri" w:cstheme="minorHAnsi"/>
          <w:sz w:val="24"/>
          <w:szCs w:val="24"/>
          <w:lang w:val="el-GR"/>
        </w:rPr>
        <w:t>η</w:t>
      </w:r>
      <w:r w:rsidRPr="001B648B">
        <w:rPr>
          <w:rFonts w:eastAsia="Calibri" w:cstheme="minorHAnsi"/>
          <w:sz w:val="24"/>
          <w:szCs w:val="24"/>
          <w:lang w:val="el-GR"/>
        </w:rPr>
        <w:t xml:space="preserve"> </w:t>
      </w:r>
      <w:r>
        <w:rPr>
          <w:rFonts w:eastAsia="Calibri" w:cstheme="minorHAnsi"/>
          <w:sz w:val="24"/>
          <w:szCs w:val="24"/>
          <w:lang w:val="el-GR"/>
        </w:rPr>
        <w:t>πρόνοια</w:t>
      </w:r>
      <w:r w:rsidRPr="001B648B">
        <w:rPr>
          <w:rFonts w:eastAsia="Calibri" w:cstheme="minorHAnsi"/>
          <w:sz w:val="24"/>
          <w:szCs w:val="24"/>
          <w:lang w:val="el-GR"/>
        </w:rPr>
        <w:t xml:space="preserve"> </w:t>
      </w:r>
      <w:r>
        <w:rPr>
          <w:rFonts w:eastAsia="Calibri" w:cstheme="minorHAnsi"/>
          <w:sz w:val="24"/>
          <w:szCs w:val="24"/>
          <w:lang w:val="el-GR"/>
        </w:rPr>
        <w:t>στους</w:t>
      </w:r>
      <w:r w:rsidRPr="001B648B">
        <w:rPr>
          <w:rFonts w:eastAsia="Calibri" w:cstheme="minorHAnsi"/>
          <w:sz w:val="24"/>
          <w:szCs w:val="24"/>
          <w:lang w:val="el-GR"/>
        </w:rPr>
        <w:t xml:space="preserve"> </w:t>
      </w:r>
      <w:r>
        <w:rPr>
          <w:rFonts w:eastAsia="Calibri" w:cstheme="minorHAnsi"/>
          <w:sz w:val="24"/>
          <w:szCs w:val="24"/>
          <w:lang w:val="el-GR"/>
        </w:rPr>
        <w:t>όρους</w:t>
      </w:r>
      <w:r w:rsidRPr="001B648B">
        <w:rPr>
          <w:rFonts w:eastAsia="Calibri" w:cstheme="minorHAnsi"/>
          <w:sz w:val="24"/>
          <w:szCs w:val="24"/>
          <w:lang w:val="el-GR"/>
        </w:rPr>
        <w:t xml:space="preserve"> </w:t>
      </w:r>
      <w:r>
        <w:rPr>
          <w:rFonts w:eastAsia="Calibri" w:cstheme="minorHAnsi"/>
          <w:sz w:val="24"/>
          <w:szCs w:val="24"/>
          <w:lang w:val="el-GR"/>
        </w:rPr>
        <w:t>Διορισμού</w:t>
      </w:r>
      <w:r w:rsidRPr="001B648B">
        <w:rPr>
          <w:rFonts w:eastAsia="Calibri" w:cstheme="minorHAnsi"/>
          <w:sz w:val="24"/>
          <w:szCs w:val="24"/>
          <w:lang w:val="el-GR"/>
        </w:rPr>
        <w:t xml:space="preserve"> </w:t>
      </w:r>
      <w:r>
        <w:rPr>
          <w:rFonts w:eastAsia="Calibri" w:cstheme="minorHAnsi"/>
          <w:sz w:val="24"/>
          <w:szCs w:val="24"/>
          <w:lang w:val="el-GR"/>
        </w:rPr>
        <w:t>των</w:t>
      </w:r>
      <w:r w:rsidR="003E7E71">
        <w:rPr>
          <w:rFonts w:eastAsia="Calibri" w:cstheme="minorHAnsi"/>
          <w:sz w:val="24"/>
          <w:szCs w:val="24"/>
          <w:lang w:val="el-GR"/>
        </w:rPr>
        <w:t xml:space="preserve"> </w:t>
      </w:r>
      <w:r w:rsidR="003E7E71">
        <w:rPr>
          <w:rFonts w:eastAsia="Calibri" w:cstheme="minorHAnsi"/>
          <w:sz w:val="24"/>
          <w:szCs w:val="24"/>
          <w:lang w:val="en-US"/>
        </w:rPr>
        <w:t>PTEFs</w:t>
      </w:r>
      <w:r w:rsidR="00A5147D" w:rsidRPr="001B648B">
        <w:rPr>
          <w:rFonts w:eastAsia="Calibri" w:cstheme="minorHAnsi"/>
          <w:sz w:val="24"/>
          <w:szCs w:val="24"/>
          <w:lang w:val="el-GR"/>
        </w:rPr>
        <w:t xml:space="preserve">, </w:t>
      </w:r>
      <w:r>
        <w:rPr>
          <w:rFonts w:eastAsia="Calibri" w:cstheme="minorHAnsi"/>
          <w:sz w:val="24"/>
          <w:szCs w:val="24"/>
          <w:lang w:val="el-GR"/>
        </w:rPr>
        <w:t>που</w:t>
      </w:r>
      <w:r w:rsidRPr="001B648B">
        <w:rPr>
          <w:rFonts w:eastAsia="Calibri" w:cstheme="minorHAnsi"/>
          <w:sz w:val="24"/>
          <w:szCs w:val="24"/>
          <w:lang w:val="el-GR"/>
        </w:rPr>
        <w:t xml:space="preserve"> </w:t>
      </w:r>
      <w:r>
        <w:rPr>
          <w:rFonts w:eastAsia="Calibri" w:cstheme="minorHAnsi"/>
          <w:sz w:val="24"/>
          <w:szCs w:val="24"/>
          <w:lang w:val="el-GR"/>
        </w:rPr>
        <w:t>περιέχονται</w:t>
      </w:r>
      <w:r w:rsidRPr="001B648B">
        <w:rPr>
          <w:rFonts w:eastAsia="Calibri" w:cstheme="minorHAnsi"/>
          <w:sz w:val="24"/>
          <w:szCs w:val="24"/>
          <w:lang w:val="el-GR"/>
        </w:rPr>
        <w:t xml:space="preserve"> </w:t>
      </w:r>
      <w:r>
        <w:rPr>
          <w:rFonts w:eastAsia="Calibri" w:cstheme="minorHAnsi"/>
          <w:sz w:val="24"/>
          <w:szCs w:val="24"/>
          <w:lang w:val="el-GR"/>
        </w:rPr>
        <w:t>στα</w:t>
      </w:r>
      <w:r w:rsidRPr="001B648B">
        <w:rPr>
          <w:rFonts w:eastAsia="Calibri" w:cstheme="minorHAnsi"/>
          <w:sz w:val="24"/>
          <w:szCs w:val="24"/>
          <w:lang w:val="el-GR"/>
        </w:rPr>
        <w:t xml:space="preserve"> </w:t>
      </w:r>
      <w:r>
        <w:rPr>
          <w:rFonts w:eastAsia="Calibri" w:cstheme="minorHAnsi"/>
          <w:sz w:val="24"/>
          <w:szCs w:val="24"/>
          <w:lang w:val="el-GR"/>
        </w:rPr>
        <w:t>συμβόλαια</w:t>
      </w:r>
      <w:r w:rsidRPr="001B648B">
        <w:rPr>
          <w:rFonts w:eastAsia="Calibri" w:cstheme="minorHAnsi"/>
          <w:sz w:val="24"/>
          <w:szCs w:val="24"/>
          <w:lang w:val="el-GR"/>
        </w:rPr>
        <w:t xml:space="preserve"> </w:t>
      </w:r>
      <w:proofErr w:type="spellStart"/>
      <w:r>
        <w:rPr>
          <w:rFonts w:eastAsia="Calibri" w:cstheme="minorHAnsi"/>
          <w:sz w:val="24"/>
          <w:szCs w:val="24"/>
          <w:lang w:val="el-GR"/>
        </w:rPr>
        <w:t>εργοδότησης</w:t>
      </w:r>
      <w:proofErr w:type="spellEnd"/>
      <w:r w:rsidRPr="001B648B">
        <w:rPr>
          <w:rFonts w:eastAsia="Calibri" w:cstheme="minorHAnsi"/>
          <w:sz w:val="24"/>
          <w:szCs w:val="24"/>
          <w:lang w:val="el-GR"/>
        </w:rPr>
        <w:t xml:space="preserve"> </w:t>
      </w:r>
      <w:r>
        <w:rPr>
          <w:rFonts w:eastAsia="Calibri" w:cstheme="minorHAnsi"/>
          <w:sz w:val="24"/>
          <w:szCs w:val="24"/>
          <w:lang w:val="el-GR"/>
        </w:rPr>
        <w:t>τους</w:t>
      </w:r>
      <w:r w:rsidR="00A5147D" w:rsidRPr="001B648B">
        <w:rPr>
          <w:rFonts w:eastAsia="Calibri" w:cstheme="minorHAnsi"/>
          <w:sz w:val="24"/>
          <w:szCs w:val="24"/>
          <w:lang w:val="el-GR"/>
        </w:rPr>
        <w:t>,</w:t>
      </w:r>
      <w:r w:rsidR="00A5147D" w:rsidRPr="001B648B">
        <w:rPr>
          <w:rFonts w:eastAsia="Calibri" w:cstheme="minorHAnsi"/>
          <w:b/>
          <w:bCs/>
          <w:color w:val="FF0000"/>
          <w:sz w:val="24"/>
          <w:szCs w:val="24"/>
          <w:lang w:val="el-GR"/>
        </w:rPr>
        <w:t xml:space="preserve"> </w:t>
      </w:r>
      <w:r>
        <w:rPr>
          <w:rFonts w:eastAsia="Calibri" w:cstheme="minorHAnsi"/>
          <w:sz w:val="24"/>
          <w:szCs w:val="24"/>
          <w:lang w:val="el-GR"/>
        </w:rPr>
        <w:t>που</w:t>
      </w:r>
      <w:r w:rsidRPr="001B648B">
        <w:rPr>
          <w:rFonts w:eastAsia="Calibri" w:cstheme="minorHAnsi"/>
          <w:sz w:val="24"/>
          <w:szCs w:val="24"/>
          <w:lang w:val="el-GR"/>
        </w:rPr>
        <w:t xml:space="preserve"> </w:t>
      </w:r>
      <w:r>
        <w:rPr>
          <w:rFonts w:eastAsia="Calibri" w:cstheme="minorHAnsi"/>
          <w:sz w:val="24"/>
          <w:szCs w:val="24"/>
          <w:lang w:val="el-GR"/>
        </w:rPr>
        <w:t>τονίζει</w:t>
      </w:r>
      <w:r w:rsidRPr="001B648B">
        <w:rPr>
          <w:rFonts w:eastAsia="Calibri" w:cstheme="minorHAnsi"/>
          <w:sz w:val="24"/>
          <w:szCs w:val="24"/>
          <w:lang w:val="el-GR"/>
        </w:rPr>
        <w:t xml:space="preserve"> </w:t>
      </w:r>
      <w:r>
        <w:rPr>
          <w:rFonts w:eastAsia="Calibri" w:cstheme="minorHAnsi"/>
          <w:sz w:val="24"/>
          <w:szCs w:val="24"/>
          <w:lang w:val="el-GR"/>
        </w:rPr>
        <w:t>την</w:t>
      </w:r>
      <w:r w:rsidRPr="001B648B">
        <w:rPr>
          <w:rFonts w:eastAsia="Calibri" w:cstheme="minorHAnsi"/>
          <w:sz w:val="24"/>
          <w:szCs w:val="24"/>
          <w:lang w:val="el-GR"/>
        </w:rPr>
        <w:t xml:space="preserve"> </w:t>
      </w:r>
      <w:r>
        <w:rPr>
          <w:rFonts w:eastAsia="Calibri" w:cstheme="minorHAnsi"/>
          <w:sz w:val="24"/>
          <w:szCs w:val="24"/>
          <w:lang w:val="el-GR"/>
        </w:rPr>
        <w:t>υποχρέωση</w:t>
      </w:r>
      <w:r w:rsidRPr="001B648B">
        <w:rPr>
          <w:rFonts w:eastAsia="Calibri" w:cstheme="minorHAnsi"/>
          <w:sz w:val="24"/>
          <w:szCs w:val="24"/>
          <w:lang w:val="el-GR"/>
        </w:rPr>
        <w:t xml:space="preserve"> </w:t>
      </w:r>
      <w:r>
        <w:rPr>
          <w:rFonts w:eastAsia="Calibri" w:cstheme="minorHAnsi"/>
          <w:sz w:val="24"/>
          <w:szCs w:val="24"/>
          <w:lang w:val="el-GR"/>
        </w:rPr>
        <w:t>να</w:t>
      </w:r>
      <w:r w:rsidRPr="001B648B">
        <w:rPr>
          <w:rFonts w:eastAsia="Calibri" w:cstheme="minorHAnsi"/>
          <w:sz w:val="24"/>
          <w:szCs w:val="24"/>
          <w:lang w:val="el-GR"/>
        </w:rPr>
        <w:t xml:space="preserve"> </w:t>
      </w:r>
      <w:r>
        <w:rPr>
          <w:rFonts w:eastAsia="Calibri" w:cstheme="minorHAnsi"/>
          <w:sz w:val="24"/>
          <w:szCs w:val="24"/>
          <w:lang w:val="el-GR"/>
        </w:rPr>
        <w:t>διατηρηθεί απόλυτη εμπιστευτικότητα οποι</w:t>
      </w:r>
      <w:r w:rsidR="00CC10B6">
        <w:rPr>
          <w:rFonts w:eastAsia="Calibri" w:cstheme="minorHAnsi"/>
          <w:sz w:val="24"/>
          <w:szCs w:val="24"/>
          <w:lang w:val="el-GR"/>
        </w:rPr>
        <w:t>ων</w:t>
      </w:r>
      <w:r>
        <w:rPr>
          <w:rFonts w:eastAsia="Calibri" w:cstheme="minorHAnsi"/>
          <w:sz w:val="24"/>
          <w:szCs w:val="24"/>
          <w:lang w:val="el-GR"/>
        </w:rPr>
        <w:t>δήποτε πληροφορ</w:t>
      </w:r>
      <w:r w:rsidR="00CC10B6">
        <w:rPr>
          <w:rFonts w:eastAsia="Calibri" w:cstheme="minorHAnsi"/>
          <w:sz w:val="24"/>
          <w:szCs w:val="24"/>
          <w:lang w:val="el-GR"/>
        </w:rPr>
        <w:t>ιών</w:t>
      </w:r>
      <w:r w:rsidR="00A5147D" w:rsidRPr="001B648B">
        <w:rPr>
          <w:rFonts w:eastAsia="Calibri" w:cstheme="minorHAnsi"/>
          <w:sz w:val="24"/>
          <w:szCs w:val="24"/>
          <w:lang w:val="el-GR"/>
        </w:rPr>
        <w:t xml:space="preserve">, </w:t>
      </w:r>
      <w:r>
        <w:rPr>
          <w:rFonts w:eastAsia="Calibri" w:cstheme="minorHAnsi"/>
          <w:sz w:val="24"/>
          <w:szCs w:val="24"/>
          <w:lang w:val="el-GR"/>
        </w:rPr>
        <w:t>εγγράφων ή δεδομένων που περιέρχονται στην γνώση τους</w:t>
      </w:r>
      <w:r w:rsidR="00A5147D" w:rsidRPr="001B648B">
        <w:rPr>
          <w:rFonts w:eastAsia="Calibri" w:cstheme="minorHAnsi"/>
          <w:sz w:val="24"/>
          <w:szCs w:val="24"/>
          <w:lang w:val="el-GR"/>
        </w:rPr>
        <w:t xml:space="preserve">, </w:t>
      </w:r>
      <w:r>
        <w:rPr>
          <w:rFonts w:eastAsia="Calibri" w:cstheme="minorHAnsi"/>
          <w:sz w:val="24"/>
          <w:szCs w:val="24"/>
          <w:lang w:val="el-GR"/>
        </w:rPr>
        <w:t>μέσα στα πλαίσια των καθηκόντων και ευθυνών τους</w:t>
      </w:r>
      <w:r w:rsidR="00A5147D" w:rsidRPr="001B648B">
        <w:rPr>
          <w:rFonts w:eastAsia="Calibri" w:cstheme="minorHAnsi"/>
          <w:sz w:val="24"/>
          <w:szCs w:val="24"/>
          <w:lang w:val="el-GR"/>
        </w:rPr>
        <w:t>.</w:t>
      </w:r>
    </w:p>
    <w:p w14:paraId="3DCBC121" w14:textId="0C728F60" w:rsidR="00A5147D" w:rsidRPr="001B648B" w:rsidRDefault="00A5147D" w:rsidP="00A5147D">
      <w:pPr>
        <w:tabs>
          <w:tab w:val="left" w:pos="709"/>
        </w:tabs>
        <w:rPr>
          <w:rFonts w:eastAsia="Calibri" w:cstheme="minorHAnsi"/>
          <w:sz w:val="24"/>
          <w:szCs w:val="24"/>
          <w:lang w:val="el-GR"/>
        </w:rPr>
      </w:pPr>
    </w:p>
    <w:p w14:paraId="4CBCF723" w14:textId="4EC0A7A9" w:rsidR="00A5147D" w:rsidRPr="004E251E" w:rsidRDefault="001B648B" w:rsidP="00A5147D">
      <w:pPr>
        <w:pStyle w:val="Heading3"/>
        <w:spacing w:before="0"/>
        <w:rPr>
          <w:rFonts w:asciiTheme="minorHAnsi" w:hAnsiTheme="minorHAnsi" w:cstheme="minorHAnsi"/>
          <w:b w:val="0"/>
          <w:bCs w:val="0"/>
          <w:i/>
          <w:iCs/>
          <w:color w:val="auto"/>
          <w:sz w:val="24"/>
          <w:szCs w:val="24"/>
        </w:rPr>
      </w:pPr>
      <w:bookmarkStart w:id="137" w:name="_Toc479580441"/>
      <w:bookmarkStart w:id="138" w:name="_Toc117264360"/>
      <w:bookmarkStart w:id="139" w:name="_Toc136879358"/>
      <w:r>
        <w:rPr>
          <w:rFonts w:asciiTheme="minorHAnsi" w:hAnsiTheme="minorHAnsi" w:cstheme="minorHAnsi"/>
          <w:b w:val="0"/>
          <w:bCs w:val="0"/>
          <w:i/>
          <w:iCs/>
          <w:color w:val="auto"/>
          <w:sz w:val="24"/>
          <w:szCs w:val="24"/>
          <w:lang w:val="el-GR"/>
        </w:rPr>
        <w:t xml:space="preserve">Περιορισμοί μετά την </w:t>
      </w:r>
      <w:proofErr w:type="spellStart"/>
      <w:r>
        <w:rPr>
          <w:rFonts w:asciiTheme="minorHAnsi" w:hAnsiTheme="minorHAnsi" w:cstheme="minorHAnsi"/>
          <w:b w:val="0"/>
          <w:bCs w:val="0"/>
          <w:i/>
          <w:iCs/>
          <w:color w:val="auto"/>
          <w:sz w:val="24"/>
          <w:szCs w:val="24"/>
          <w:lang w:val="el-GR"/>
        </w:rPr>
        <w:t>εργοδότηση</w:t>
      </w:r>
      <w:bookmarkEnd w:id="127"/>
      <w:bookmarkEnd w:id="128"/>
      <w:bookmarkEnd w:id="137"/>
      <w:bookmarkEnd w:id="138"/>
      <w:bookmarkEnd w:id="139"/>
      <w:proofErr w:type="spellEnd"/>
      <w:r w:rsidR="00A5147D" w:rsidRPr="004E251E">
        <w:rPr>
          <w:rFonts w:asciiTheme="minorHAnsi" w:hAnsiTheme="minorHAnsi" w:cstheme="minorHAnsi"/>
          <w:b w:val="0"/>
          <w:bCs w:val="0"/>
          <w:i/>
          <w:iCs/>
          <w:color w:val="auto"/>
          <w:sz w:val="24"/>
          <w:szCs w:val="24"/>
        </w:rPr>
        <w:t xml:space="preserve"> </w:t>
      </w:r>
    </w:p>
    <w:p w14:paraId="0861E5FD" w14:textId="77777777" w:rsidR="00A5147D" w:rsidRPr="001B648B" w:rsidRDefault="00A5147D" w:rsidP="00A5147D">
      <w:pPr>
        <w:rPr>
          <w:rFonts w:cstheme="minorHAnsi"/>
          <w:sz w:val="24"/>
          <w:szCs w:val="24"/>
          <w:lang w:val="el-GR"/>
        </w:rPr>
      </w:pPr>
    </w:p>
    <w:p w14:paraId="2EC0E072" w14:textId="63AFBE64" w:rsidR="00A5147D" w:rsidRPr="00080B9B" w:rsidRDefault="001B648B"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lastRenderedPageBreak/>
        <w:t>Για</w:t>
      </w:r>
      <w:r w:rsidRPr="005A23AE">
        <w:rPr>
          <w:rFonts w:cstheme="minorHAnsi"/>
          <w:sz w:val="24"/>
          <w:szCs w:val="24"/>
          <w:lang w:val="el-GR"/>
        </w:rPr>
        <w:t xml:space="preserve"> </w:t>
      </w:r>
      <w:r>
        <w:rPr>
          <w:rFonts w:cstheme="minorHAnsi"/>
          <w:sz w:val="24"/>
          <w:szCs w:val="24"/>
          <w:lang w:val="el-GR"/>
        </w:rPr>
        <w:t>πρώην</w:t>
      </w:r>
      <w:r w:rsidRPr="005A23AE">
        <w:rPr>
          <w:rFonts w:cstheme="minorHAnsi"/>
          <w:sz w:val="24"/>
          <w:szCs w:val="24"/>
          <w:lang w:val="el-GR"/>
        </w:rPr>
        <w:t xml:space="preserve"> </w:t>
      </w:r>
      <w:r>
        <w:rPr>
          <w:rFonts w:cstheme="minorHAnsi"/>
          <w:sz w:val="24"/>
          <w:szCs w:val="24"/>
          <w:lang w:val="el-GR"/>
        </w:rPr>
        <w:t>υπαλλήλους</w:t>
      </w:r>
      <w:r w:rsidRPr="005A23AE">
        <w:rPr>
          <w:rFonts w:cstheme="minorHAnsi"/>
          <w:sz w:val="24"/>
          <w:szCs w:val="24"/>
          <w:lang w:val="el-GR"/>
        </w:rPr>
        <w:t xml:space="preserve"> </w:t>
      </w:r>
      <w:r>
        <w:rPr>
          <w:rFonts w:cstheme="minorHAnsi"/>
          <w:sz w:val="24"/>
          <w:szCs w:val="24"/>
          <w:lang w:val="el-GR"/>
        </w:rPr>
        <w:t>του</w:t>
      </w:r>
      <w:r w:rsidRPr="005A23AE">
        <w:rPr>
          <w:rFonts w:cstheme="minorHAnsi"/>
          <w:sz w:val="24"/>
          <w:szCs w:val="24"/>
          <w:lang w:val="el-GR"/>
        </w:rPr>
        <w:t xml:space="preserve"> </w:t>
      </w:r>
      <w:r>
        <w:rPr>
          <w:rFonts w:cstheme="minorHAnsi"/>
          <w:sz w:val="24"/>
          <w:szCs w:val="24"/>
          <w:lang w:val="el-GR"/>
        </w:rPr>
        <w:t>δημοσίου</w:t>
      </w:r>
      <w:r w:rsidRPr="005A23AE">
        <w:rPr>
          <w:rFonts w:cstheme="minorHAnsi"/>
          <w:sz w:val="24"/>
          <w:szCs w:val="24"/>
          <w:lang w:val="el-GR"/>
        </w:rPr>
        <w:t xml:space="preserve"> </w:t>
      </w:r>
      <w:r>
        <w:rPr>
          <w:rFonts w:cstheme="minorHAnsi"/>
          <w:sz w:val="24"/>
          <w:szCs w:val="24"/>
          <w:lang w:val="el-GR"/>
        </w:rPr>
        <w:t>τομέα</w:t>
      </w:r>
      <w:r w:rsidR="00A5147D" w:rsidRPr="005A23AE">
        <w:rPr>
          <w:rFonts w:cstheme="minorHAnsi"/>
          <w:sz w:val="24"/>
          <w:szCs w:val="24"/>
          <w:lang w:val="el-GR"/>
        </w:rPr>
        <w:t xml:space="preserve">, </w:t>
      </w:r>
      <w:r>
        <w:rPr>
          <w:rFonts w:cstheme="minorHAnsi"/>
          <w:sz w:val="24"/>
          <w:szCs w:val="24"/>
          <w:lang w:val="el-GR"/>
        </w:rPr>
        <w:t>που</w:t>
      </w:r>
      <w:r w:rsidRPr="005A23AE">
        <w:rPr>
          <w:rFonts w:cstheme="minorHAnsi"/>
          <w:sz w:val="24"/>
          <w:szCs w:val="24"/>
          <w:lang w:val="el-GR"/>
        </w:rPr>
        <w:t xml:space="preserve"> </w:t>
      </w:r>
      <w:r>
        <w:rPr>
          <w:rFonts w:cstheme="minorHAnsi"/>
          <w:sz w:val="24"/>
          <w:szCs w:val="24"/>
          <w:lang w:val="el-GR"/>
        </w:rPr>
        <w:t>αναζητούν</w:t>
      </w:r>
      <w:r w:rsidRPr="005A23AE">
        <w:rPr>
          <w:rFonts w:cstheme="minorHAnsi"/>
          <w:sz w:val="24"/>
          <w:szCs w:val="24"/>
          <w:lang w:val="el-GR"/>
        </w:rPr>
        <w:t xml:space="preserve"> </w:t>
      </w:r>
      <w:r>
        <w:rPr>
          <w:rFonts w:cstheme="minorHAnsi"/>
          <w:sz w:val="24"/>
          <w:szCs w:val="24"/>
          <w:lang w:val="el-GR"/>
        </w:rPr>
        <w:t>να</w:t>
      </w:r>
      <w:r w:rsidRPr="005A23AE">
        <w:rPr>
          <w:rFonts w:cstheme="minorHAnsi"/>
          <w:sz w:val="24"/>
          <w:szCs w:val="24"/>
          <w:lang w:val="el-GR"/>
        </w:rPr>
        <w:t xml:space="preserve"> </w:t>
      </w:r>
      <w:r>
        <w:rPr>
          <w:rFonts w:cstheme="minorHAnsi"/>
          <w:sz w:val="24"/>
          <w:szCs w:val="24"/>
          <w:lang w:val="el-GR"/>
        </w:rPr>
        <w:t>συνεχίσουν</w:t>
      </w:r>
      <w:r w:rsidRPr="005A23AE">
        <w:rPr>
          <w:rFonts w:cstheme="minorHAnsi"/>
          <w:sz w:val="24"/>
          <w:szCs w:val="24"/>
          <w:lang w:val="el-GR"/>
        </w:rPr>
        <w:t xml:space="preserve"> </w:t>
      </w:r>
      <w:r w:rsidR="005A23AE">
        <w:rPr>
          <w:rFonts w:cstheme="minorHAnsi"/>
          <w:sz w:val="24"/>
          <w:szCs w:val="24"/>
          <w:lang w:val="el-GR"/>
        </w:rPr>
        <w:t>να</w:t>
      </w:r>
      <w:r w:rsidR="005A23AE" w:rsidRPr="005A23AE">
        <w:rPr>
          <w:rFonts w:cstheme="minorHAnsi"/>
          <w:sz w:val="24"/>
          <w:szCs w:val="24"/>
          <w:lang w:val="el-GR"/>
        </w:rPr>
        <w:t xml:space="preserve"> </w:t>
      </w:r>
      <w:r w:rsidR="005A23AE">
        <w:rPr>
          <w:rFonts w:cstheme="minorHAnsi"/>
          <w:sz w:val="24"/>
          <w:szCs w:val="24"/>
          <w:lang w:val="el-GR"/>
        </w:rPr>
        <w:t>εργάζονται</w:t>
      </w:r>
      <w:r w:rsidR="005A23AE" w:rsidRPr="005A23AE">
        <w:rPr>
          <w:rFonts w:cstheme="minorHAnsi"/>
          <w:sz w:val="24"/>
          <w:szCs w:val="24"/>
          <w:lang w:val="el-GR"/>
        </w:rPr>
        <w:t xml:space="preserve"> </w:t>
      </w:r>
      <w:r w:rsidR="005A23AE">
        <w:rPr>
          <w:rFonts w:cstheme="minorHAnsi"/>
          <w:sz w:val="24"/>
          <w:szCs w:val="24"/>
          <w:lang w:val="el-GR"/>
        </w:rPr>
        <w:t>στον</w:t>
      </w:r>
      <w:r w:rsidR="005A23AE" w:rsidRPr="005A23AE">
        <w:rPr>
          <w:rFonts w:cstheme="minorHAnsi"/>
          <w:sz w:val="24"/>
          <w:szCs w:val="24"/>
          <w:lang w:val="el-GR"/>
        </w:rPr>
        <w:t xml:space="preserve"> </w:t>
      </w:r>
      <w:r w:rsidR="005A23AE">
        <w:rPr>
          <w:rFonts w:cstheme="minorHAnsi"/>
          <w:sz w:val="24"/>
          <w:szCs w:val="24"/>
          <w:lang w:val="el-GR"/>
        </w:rPr>
        <w:t>ιδιωτικό</w:t>
      </w:r>
      <w:r w:rsidR="005A23AE" w:rsidRPr="005A23AE">
        <w:rPr>
          <w:rFonts w:cstheme="minorHAnsi"/>
          <w:sz w:val="24"/>
          <w:szCs w:val="24"/>
          <w:lang w:val="el-GR"/>
        </w:rPr>
        <w:t xml:space="preserve"> </w:t>
      </w:r>
      <w:r w:rsidR="005A23AE">
        <w:rPr>
          <w:rFonts w:cstheme="minorHAnsi"/>
          <w:sz w:val="24"/>
          <w:szCs w:val="24"/>
          <w:lang w:val="el-GR"/>
        </w:rPr>
        <w:t>τομέα</w:t>
      </w:r>
      <w:r w:rsidR="00A5147D" w:rsidRPr="005A23AE">
        <w:rPr>
          <w:rFonts w:cstheme="minorHAnsi"/>
          <w:sz w:val="24"/>
          <w:szCs w:val="24"/>
          <w:lang w:val="el-GR"/>
        </w:rPr>
        <w:t xml:space="preserve">, </w:t>
      </w:r>
      <w:r w:rsidR="005A23AE">
        <w:rPr>
          <w:rFonts w:cstheme="minorHAnsi"/>
          <w:sz w:val="24"/>
          <w:szCs w:val="24"/>
          <w:lang w:val="el-GR"/>
        </w:rPr>
        <w:t>ισχύει ο</w:t>
      </w:r>
      <w:r w:rsidR="005A23AE" w:rsidRPr="005A23AE">
        <w:rPr>
          <w:rFonts w:cstheme="minorHAnsi"/>
          <w:sz w:val="24"/>
          <w:szCs w:val="24"/>
          <w:lang w:val="el-GR"/>
        </w:rPr>
        <w:t xml:space="preserve"> </w:t>
      </w:r>
      <w:r w:rsidR="005A23AE">
        <w:rPr>
          <w:rFonts w:cstheme="minorHAnsi"/>
          <w:sz w:val="24"/>
          <w:szCs w:val="24"/>
          <w:lang w:val="el-GR"/>
        </w:rPr>
        <w:t>Νόμος</w:t>
      </w:r>
      <w:r w:rsidR="00A5147D" w:rsidRPr="005A23AE">
        <w:rPr>
          <w:rFonts w:cstheme="minorHAnsi"/>
          <w:sz w:val="24"/>
          <w:szCs w:val="24"/>
          <w:lang w:val="el-GR"/>
        </w:rPr>
        <w:t xml:space="preserve"> </w:t>
      </w:r>
      <w:r w:rsidR="005A23AE">
        <w:rPr>
          <w:rFonts w:cstheme="minorHAnsi"/>
          <w:sz w:val="24"/>
          <w:szCs w:val="24"/>
          <w:lang w:val="el-GR"/>
        </w:rPr>
        <w:t>περί</w:t>
      </w:r>
      <w:r w:rsidR="005A23AE" w:rsidRPr="005A23AE">
        <w:rPr>
          <w:rFonts w:cstheme="minorHAnsi"/>
          <w:sz w:val="24"/>
          <w:szCs w:val="24"/>
          <w:lang w:val="el-GR"/>
        </w:rPr>
        <w:t xml:space="preserve"> </w:t>
      </w:r>
      <w:r w:rsidR="005A23AE">
        <w:rPr>
          <w:rFonts w:cstheme="minorHAnsi"/>
          <w:sz w:val="24"/>
          <w:szCs w:val="24"/>
          <w:lang w:val="el-GR"/>
        </w:rPr>
        <w:t>του</w:t>
      </w:r>
      <w:r w:rsidR="005A23AE" w:rsidRPr="005A23AE">
        <w:rPr>
          <w:rFonts w:cstheme="minorHAnsi"/>
          <w:sz w:val="24"/>
          <w:szCs w:val="24"/>
          <w:lang w:val="el-GR"/>
        </w:rPr>
        <w:t xml:space="preserve"> </w:t>
      </w:r>
      <w:r w:rsidR="005A23AE">
        <w:rPr>
          <w:rFonts w:cstheme="minorHAnsi"/>
          <w:sz w:val="24"/>
          <w:szCs w:val="24"/>
          <w:lang w:val="el-GR"/>
        </w:rPr>
        <w:t>Ελέγχου</w:t>
      </w:r>
      <w:r w:rsidR="005A23AE" w:rsidRPr="005A23AE">
        <w:rPr>
          <w:rFonts w:cstheme="minorHAnsi"/>
          <w:sz w:val="24"/>
          <w:szCs w:val="24"/>
          <w:lang w:val="el-GR"/>
        </w:rPr>
        <w:t xml:space="preserve"> </w:t>
      </w:r>
      <w:r w:rsidR="005A23AE">
        <w:rPr>
          <w:rFonts w:cstheme="minorHAnsi"/>
          <w:sz w:val="24"/>
          <w:szCs w:val="24"/>
          <w:lang w:val="el-GR"/>
        </w:rPr>
        <w:t>της</w:t>
      </w:r>
      <w:r w:rsidR="005A23AE" w:rsidRPr="005A23AE">
        <w:rPr>
          <w:rFonts w:cstheme="minorHAnsi"/>
          <w:sz w:val="24"/>
          <w:szCs w:val="24"/>
          <w:lang w:val="el-GR"/>
        </w:rPr>
        <w:t xml:space="preserve"> </w:t>
      </w:r>
      <w:r w:rsidR="005A23AE">
        <w:rPr>
          <w:rFonts w:cstheme="minorHAnsi"/>
          <w:sz w:val="24"/>
          <w:szCs w:val="24"/>
          <w:lang w:val="el-GR"/>
        </w:rPr>
        <w:t>Ανάληψης</w:t>
      </w:r>
      <w:r w:rsidR="005A23AE" w:rsidRPr="005A23AE">
        <w:rPr>
          <w:rFonts w:cstheme="minorHAnsi"/>
          <w:sz w:val="24"/>
          <w:szCs w:val="24"/>
          <w:lang w:val="el-GR"/>
        </w:rPr>
        <w:t xml:space="preserve"> </w:t>
      </w:r>
      <w:r w:rsidR="005A23AE">
        <w:rPr>
          <w:rFonts w:cstheme="minorHAnsi"/>
          <w:sz w:val="24"/>
          <w:szCs w:val="24"/>
          <w:lang w:val="el-GR"/>
        </w:rPr>
        <w:t>Εργασίας</w:t>
      </w:r>
      <w:r w:rsidR="005A23AE" w:rsidRPr="005A23AE">
        <w:rPr>
          <w:rFonts w:cstheme="minorHAnsi"/>
          <w:sz w:val="24"/>
          <w:szCs w:val="24"/>
          <w:lang w:val="el-GR"/>
        </w:rPr>
        <w:t xml:space="preserve"> </w:t>
      </w:r>
      <w:r w:rsidR="005A23AE">
        <w:rPr>
          <w:rFonts w:cstheme="minorHAnsi"/>
          <w:sz w:val="24"/>
          <w:szCs w:val="24"/>
          <w:lang w:val="el-GR"/>
        </w:rPr>
        <w:t>στον</w:t>
      </w:r>
      <w:r w:rsidR="005A23AE" w:rsidRPr="005A23AE">
        <w:rPr>
          <w:rFonts w:cstheme="minorHAnsi"/>
          <w:sz w:val="24"/>
          <w:szCs w:val="24"/>
          <w:lang w:val="el-GR"/>
        </w:rPr>
        <w:t xml:space="preserve"> </w:t>
      </w:r>
      <w:r w:rsidR="005A23AE">
        <w:rPr>
          <w:rFonts w:cstheme="minorHAnsi"/>
          <w:sz w:val="24"/>
          <w:szCs w:val="24"/>
          <w:lang w:val="el-GR"/>
        </w:rPr>
        <w:t>Ιδιωτικό Τομέα από Πρώην Κρατ</w:t>
      </w:r>
      <w:r w:rsidR="00823E25">
        <w:rPr>
          <w:rFonts w:cstheme="minorHAnsi"/>
          <w:sz w:val="24"/>
          <w:szCs w:val="24"/>
          <w:lang w:val="el-GR"/>
        </w:rPr>
        <w:t>ι</w:t>
      </w:r>
      <w:r w:rsidR="005A23AE">
        <w:rPr>
          <w:rFonts w:cstheme="minorHAnsi"/>
          <w:sz w:val="24"/>
          <w:szCs w:val="24"/>
          <w:lang w:val="el-GR"/>
        </w:rPr>
        <w:t>κούς Αξιωματούχους</w:t>
      </w:r>
      <w:r w:rsidR="00A5147D" w:rsidRPr="005A23AE">
        <w:rPr>
          <w:rFonts w:cstheme="minorHAnsi"/>
          <w:sz w:val="24"/>
          <w:szCs w:val="24"/>
          <w:lang w:val="el-GR"/>
        </w:rPr>
        <w:t xml:space="preserve"> </w:t>
      </w:r>
      <w:r w:rsidR="005A23AE">
        <w:rPr>
          <w:rFonts w:cstheme="minorHAnsi"/>
          <w:sz w:val="24"/>
          <w:szCs w:val="24"/>
          <w:lang w:val="el-GR"/>
        </w:rPr>
        <w:t>και Ορισμένους Πρώην Υπαλλήλους του Δημοσίου και του Ευρύτερου Δημοσίου Τομέα</w:t>
      </w:r>
      <w:r w:rsidR="00A5147D" w:rsidRPr="005A23AE">
        <w:rPr>
          <w:rFonts w:cstheme="minorHAnsi"/>
          <w:sz w:val="24"/>
          <w:szCs w:val="24"/>
          <w:lang w:val="el-GR"/>
        </w:rPr>
        <w:t xml:space="preserve"> (</w:t>
      </w:r>
      <w:r w:rsidR="005A23AE">
        <w:rPr>
          <w:rFonts w:cstheme="minorHAnsi"/>
          <w:sz w:val="24"/>
          <w:szCs w:val="24"/>
          <w:lang w:val="el-GR"/>
        </w:rPr>
        <w:t>Νόμος</w:t>
      </w:r>
      <w:r w:rsidR="00A5147D" w:rsidRPr="004E251E">
        <w:rPr>
          <w:rFonts w:cstheme="minorHAnsi"/>
          <w:sz w:val="24"/>
          <w:szCs w:val="24"/>
        </w:rPr>
        <w:t> </w:t>
      </w:r>
      <w:r w:rsidR="00A5147D" w:rsidRPr="005A23AE">
        <w:rPr>
          <w:rFonts w:cstheme="minorHAnsi"/>
          <w:sz w:val="24"/>
          <w:szCs w:val="24"/>
          <w:lang w:val="el-GR"/>
        </w:rPr>
        <w:t>114(</w:t>
      </w:r>
      <w:r w:rsidR="00A5147D" w:rsidRPr="004E251E">
        <w:rPr>
          <w:rFonts w:cstheme="minorHAnsi"/>
          <w:sz w:val="24"/>
          <w:szCs w:val="24"/>
        </w:rPr>
        <w:t>I</w:t>
      </w:r>
      <w:r w:rsidR="00A5147D" w:rsidRPr="005A23AE">
        <w:rPr>
          <w:rFonts w:cstheme="minorHAnsi"/>
          <w:sz w:val="24"/>
          <w:szCs w:val="24"/>
          <w:lang w:val="el-GR"/>
        </w:rPr>
        <w:t xml:space="preserve">)/2007). </w:t>
      </w:r>
      <w:r w:rsidR="00080B9B">
        <w:rPr>
          <w:rFonts w:cstheme="minorHAnsi"/>
          <w:sz w:val="24"/>
          <w:szCs w:val="24"/>
          <w:lang w:val="el-GR"/>
        </w:rPr>
        <w:t>Διατυπώνει</w:t>
      </w:r>
      <w:r w:rsidR="00080B9B" w:rsidRPr="00080B9B">
        <w:rPr>
          <w:rFonts w:cstheme="minorHAnsi"/>
          <w:sz w:val="24"/>
          <w:szCs w:val="24"/>
          <w:lang w:val="el-GR"/>
        </w:rPr>
        <w:t xml:space="preserve"> </w:t>
      </w:r>
      <w:r w:rsidR="00080B9B">
        <w:rPr>
          <w:rFonts w:cstheme="minorHAnsi"/>
          <w:sz w:val="24"/>
          <w:szCs w:val="24"/>
          <w:lang w:val="el-GR"/>
        </w:rPr>
        <w:t>περιορισμούς</w:t>
      </w:r>
      <w:r w:rsidR="00080B9B" w:rsidRPr="00080B9B">
        <w:rPr>
          <w:rFonts w:cstheme="minorHAnsi"/>
          <w:sz w:val="24"/>
          <w:szCs w:val="24"/>
          <w:lang w:val="el-GR"/>
        </w:rPr>
        <w:t xml:space="preserve"> </w:t>
      </w:r>
      <w:r w:rsidR="00080B9B">
        <w:rPr>
          <w:rFonts w:cstheme="minorHAnsi"/>
          <w:sz w:val="24"/>
          <w:szCs w:val="24"/>
          <w:lang w:val="el-GR"/>
        </w:rPr>
        <w:t>για</w:t>
      </w:r>
      <w:r w:rsidR="00080B9B" w:rsidRPr="00080B9B">
        <w:rPr>
          <w:rFonts w:cstheme="minorHAnsi"/>
          <w:sz w:val="24"/>
          <w:szCs w:val="24"/>
          <w:lang w:val="el-GR"/>
        </w:rPr>
        <w:t xml:space="preserve"> </w:t>
      </w:r>
      <w:r w:rsidR="00080B9B">
        <w:rPr>
          <w:rFonts w:cstheme="minorHAnsi"/>
          <w:sz w:val="24"/>
          <w:szCs w:val="24"/>
          <w:lang w:val="el-GR"/>
        </w:rPr>
        <w:t>τις</w:t>
      </w:r>
      <w:r w:rsidR="00080B9B" w:rsidRPr="00080B9B">
        <w:rPr>
          <w:rFonts w:cstheme="minorHAnsi"/>
          <w:sz w:val="24"/>
          <w:szCs w:val="24"/>
          <w:lang w:val="el-GR"/>
        </w:rPr>
        <w:t xml:space="preserve"> </w:t>
      </w:r>
      <w:r w:rsidR="00080B9B">
        <w:rPr>
          <w:rFonts w:cstheme="minorHAnsi"/>
          <w:sz w:val="24"/>
          <w:szCs w:val="24"/>
          <w:lang w:val="el-GR"/>
        </w:rPr>
        <w:t>ευκαιρίες</w:t>
      </w:r>
      <w:r w:rsidR="00080B9B" w:rsidRPr="00080B9B">
        <w:rPr>
          <w:rFonts w:cstheme="minorHAnsi"/>
          <w:sz w:val="24"/>
          <w:szCs w:val="24"/>
          <w:lang w:val="el-GR"/>
        </w:rPr>
        <w:t xml:space="preserve"> </w:t>
      </w:r>
      <w:proofErr w:type="spellStart"/>
      <w:r w:rsidR="00080B9B">
        <w:rPr>
          <w:rFonts w:cstheme="minorHAnsi"/>
          <w:sz w:val="24"/>
          <w:szCs w:val="24"/>
          <w:lang w:val="el-GR"/>
        </w:rPr>
        <w:t>εργοδότησης</w:t>
      </w:r>
      <w:proofErr w:type="spellEnd"/>
      <w:r w:rsidR="00080B9B" w:rsidRPr="00080B9B">
        <w:rPr>
          <w:rFonts w:cstheme="minorHAnsi"/>
          <w:sz w:val="24"/>
          <w:szCs w:val="24"/>
          <w:lang w:val="el-GR"/>
        </w:rPr>
        <w:t xml:space="preserve"> </w:t>
      </w:r>
      <w:r w:rsidR="00080B9B">
        <w:rPr>
          <w:rFonts w:cstheme="minorHAnsi"/>
          <w:sz w:val="24"/>
          <w:szCs w:val="24"/>
          <w:lang w:val="el-GR"/>
        </w:rPr>
        <w:t>τους</w:t>
      </w:r>
      <w:r w:rsidR="00A5147D" w:rsidRPr="00080B9B">
        <w:rPr>
          <w:rFonts w:cstheme="minorHAnsi"/>
          <w:sz w:val="24"/>
          <w:szCs w:val="24"/>
          <w:lang w:val="el-GR"/>
        </w:rPr>
        <w:t xml:space="preserve"> </w:t>
      </w:r>
      <w:r w:rsidR="00080B9B">
        <w:rPr>
          <w:rFonts w:cstheme="minorHAnsi"/>
          <w:sz w:val="24"/>
          <w:szCs w:val="24"/>
          <w:lang w:val="el-GR"/>
        </w:rPr>
        <w:t>στον</w:t>
      </w:r>
      <w:r w:rsidR="00080B9B" w:rsidRPr="00080B9B">
        <w:rPr>
          <w:rFonts w:cstheme="minorHAnsi"/>
          <w:sz w:val="24"/>
          <w:szCs w:val="24"/>
          <w:lang w:val="el-GR"/>
        </w:rPr>
        <w:t xml:space="preserve"> </w:t>
      </w:r>
      <w:r w:rsidR="00080B9B">
        <w:rPr>
          <w:rFonts w:cstheme="minorHAnsi"/>
          <w:sz w:val="24"/>
          <w:szCs w:val="24"/>
          <w:lang w:val="el-GR"/>
        </w:rPr>
        <w:t>ιδιωτικό</w:t>
      </w:r>
      <w:r w:rsidR="00080B9B" w:rsidRPr="00080B9B">
        <w:rPr>
          <w:rFonts w:cstheme="minorHAnsi"/>
          <w:sz w:val="24"/>
          <w:szCs w:val="24"/>
          <w:lang w:val="el-GR"/>
        </w:rPr>
        <w:t xml:space="preserve"> </w:t>
      </w:r>
      <w:r w:rsidR="00080B9B">
        <w:rPr>
          <w:rFonts w:cstheme="minorHAnsi"/>
          <w:sz w:val="24"/>
          <w:szCs w:val="24"/>
          <w:lang w:val="el-GR"/>
        </w:rPr>
        <w:t>τομέα</w:t>
      </w:r>
      <w:r w:rsidR="00080B9B" w:rsidRPr="00080B9B">
        <w:rPr>
          <w:rFonts w:cstheme="minorHAnsi"/>
          <w:sz w:val="24"/>
          <w:szCs w:val="24"/>
          <w:lang w:val="el-GR"/>
        </w:rPr>
        <w:t xml:space="preserve"> </w:t>
      </w:r>
      <w:r w:rsidR="00080B9B">
        <w:rPr>
          <w:rFonts w:cstheme="minorHAnsi"/>
          <w:sz w:val="24"/>
          <w:szCs w:val="24"/>
          <w:lang w:val="el-GR"/>
        </w:rPr>
        <w:t>με</w:t>
      </w:r>
      <w:r w:rsidR="00080B9B" w:rsidRPr="00080B9B">
        <w:rPr>
          <w:rFonts w:cstheme="minorHAnsi"/>
          <w:sz w:val="24"/>
          <w:szCs w:val="24"/>
          <w:lang w:val="el-GR"/>
        </w:rPr>
        <w:t xml:space="preserve"> </w:t>
      </w:r>
      <w:r w:rsidR="00080B9B">
        <w:rPr>
          <w:rFonts w:cstheme="minorHAnsi"/>
          <w:sz w:val="24"/>
          <w:szCs w:val="24"/>
          <w:lang w:val="el-GR"/>
        </w:rPr>
        <w:t>σκοπό</w:t>
      </w:r>
      <w:r w:rsidR="00080B9B" w:rsidRPr="00080B9B">
        <w:rPr>
          <w:rFonts w:cstheme="minorHAnsi"/>
          <w:sz w:val="24"/>
          <w:szCs w:val="24"/>
          <w:lang w:val="el-GR"/>
        </w:rPr>
        <w:t xml:space="preserve"> </w:t>
      </w:r>
      <w:r w:rsidR="00080B9B">
        <w:rPr>
          <w:rFonts w:cstheme="minorHAnsi"/>
          <w:sz w:val="24"/>
          <w:szCs w:val="24"/>
          <w:lang w:val="el-GR"/>
        </w:rPr>
        <w:t>την</w:t>
      </w:r>
      <w:r w:rsidR="00080B9B" w:rsidRPr="00080B9B">
        <w:rPr>
          <w:rFonts w:cstheme="minorHAnsi"/>
          <w:sz w:val="24"/>
          <w:szCs w:val="24"/>
          <w:lang w:val="el-GR"/>
        </w:rPr>
        <w:t xml:space="preserve"> </w:t>
      </w:r>
      <w:r w:rsidR="00080B9B">
        <w:rPr>
          <w:rFonts w:cstheme="minorHAnsi"/>
          <w:sz w:val="24"/>
          <w:szCs w:val="24"/>
          <w:lang w:val="el-GR"/>
        </w:rPr>
        <w:t>προστασία</w:t>
      </w:r>
      <w:r w:rsidR="00A5147D" w:rsidRPr="00080B9B">
        <w:rPr>
          <w:rFonts w:cstheme="minorHAnsi"/>
          <w:sz w:val="24"/>
          <w:szCs w:val="24"/>
          <w:lang w:val="el-GR"/>
        </w:rPr>
        <w:t xml:space="preserve"> </w:t>
      </w:r>
      <w:r w:rsidR="00080B9B">
        <w:rPr>
          <w:rFonts w:cstheme="minorHAnsi"/>
          <w:sz w:val="24"/>
          <w:szCs w:val="24"/>
          <w:lang w:val="el-GR"/>
        </w:rPr>
        <w:t>του</w:t>
      </w:r>
      <w:r w:rsidR="00080B9B" w:rsidRPr="00080B9B">
        <w:rPr>
          <w:rFonts w:cstheme="minorHAnsi"/>
          <w:sz w:val="24"/>
          <w:szCs w:val="24"/>
          <w:lang w:val="el-GR"/>
        </w:rPr>
        <w:t xml:space="preserve"> </w:t>
      </w:r>
      <w:r w:rsidR="00080B9B">
        <w:rPr>
          <w:rFonts w:cstheme="minorHAnsi"/>
          <w:sz w:val="24"/>
          <w:szCs w:val="24"/>
          <w:lang w:val="el-GR"/>
        </w:rPr>
        <w:t>δημοσίου</w:t>
      </w:r>
      <w:r w:rsidR="00080B9B" w:rsidRPr="00080B9B">
        <w:rPr>
          <w:rFonts w:cstheme="minorHAnsi"/>
          <w:sz w:val="24"/>
          <w:szCs w:val="24"/>
          <w:lang w:val="el-GR"/>
        </w:rPr>
        <w:t xml:space="preserve"> </w:t>
      </w:r>
      <w:r w:rsidR="00080B9B">
        <w:rPr>
          <w:rFonts w:cstheme="minorHAnsi"/>
          <w:sz w:val="24"/>
          <w:szCs w:val="24"/>
          <w:lang w:val="el-GR"/>
        </w:rPr>
        <w:t>συμφέροντος</w:t>
      </w:r>
      <w:r w:rsidR="00A5147D" w:rsidRPr="00080B9B">
        <w:rPr>
          <w:rFonts w:cstheme="minorHAnsi"/>
          <w:sz w:val="24"/>
          <w:szCs w:val="24"/>
          <w:lang w:val="el-GR"/>
        </w:rPr>
        <w:t xml:space="preserve"> </w:t>
      </w:r>
      <w:r w:rsidR="00080B9B">
        <w:rPr>
          <w:rFonts w:cstheme="minorHAnsi"/>
          <w:sz w:val="24"/>
          <w:szCs w:val="24"/>
          <w:lang w:val="el-GR"/>
        </w:rPr>
        <w:t>από</w:t>
      </w:r>
      <w:r w:rsidR="00080B9B" w:rsidRPr="00080B9B">
        <w:rPr>
          <w:rFonts w:cstheme="minorHAnsi"/>
          <w:sz w:val="24"/>
          <w:szCs w:val="24"/>
          <w:lang w:val="el-GR"/>
        </w:rPr>
        <w:t xml:space="preserve"> </w:t>
      </w:r>
      <w:r w:rsidR="00080B9B">
        <w:rPr>
          <w:rFonts w:cstheme="minorHAnsi"/>
          <w:sz w:val="24"/>
          <w:szCs w:val="24"/>
          <w:lang w:val="el-GR"/>
        </w:rPr>
        <w:t>την</w:t>
      </w:r>
      <w:r w:rsidR="00080B9B" w:rsidRPr="00080B9B">
        <w:rPr>
          <w:rFonts w:cstheme="minorHAnsi"/>
          <w:sz w:val="24"/>
          <w:szCs w:val="24"/>
          <w:lang w:val="el-GR"/>
        </w:rPr>
        <w:t xml:space="preserve"> </w:t>
      </w:r>
      <w:r w:rsidR="00080B9B">
        <w:rPr>
          <w:rFonts w:cstheme="minorHAnsi"/>
          <w:sz w:val="24"/>
          <w:szCs w:val="24"/>
          <w:lang w:val="el-GR"/>
        </w:rPr>
        <w:t>πιθανότητα</w:t>
      </w:r>
      <w:r w:rsidR="00080B9B" w:rsidRPr="00080B9B">
        <w:rPr>
          <w:rFonts w:cstheme="minorHAnsi"/>
          <w:sz w:val="24"/>
          <w:szCs w:val="24"/>
          <w:lang w:val="el-GR"/>
        </w:rPr>
        <w:t xml:space="preserve"> </w:t>
      </w:r>
      <w:r w:rsidR="00080B9B">
        <w:rPr>
          <w:rFonts w:cstheme="minorHAnsi"/>
          <w:sz w:val="24"/>
          <w:szCs w:val="24"/>
          <w:lang w:val="el-GR"/>
        </w:rPr>
        <w:t>οι</w:t>
      </w:r>
      <w:r w:rsidR="00080B9B" w:rsidRPr="00080B9B">
        <w:rPr>
          <w:rFonts w:cstheme="minorHAnsi"/>
          <w:sz w:val="24"/>
          <w:szCs w:val="24"/>
          <w:lang w:val="el-GR"/>
        </w:rPr>
        <w:t xml:space="preserve"> </w:t>
      </w:r>
      <w:r w:rsidR="003E7E71">
        <w:rPr>
          <w:rFonts w:cstheme="minorHAnsi"/>
          <w:sz w:val="24"/>
          <w:szCs w:val="24"/>
          <w:lang w:val="el-GR"/>
        </w:rPr>
        <w:t xml:space="preserve">προνομιακές </w:t>
      </w:r>
      <w:r w:rsidR="00080B9B">
        <w:rPr>
          <w:rFonts w:cstheme="minorHAnsi"/>
          <w:sz w:val="24"/>
          <w:szCs w:val="24"/>
          <w:lang w:val="el-GR"/>
        </w:rPr>
        <w:t>πληροφορίες να χρησιμοποιηθούν για το όφελος φυσικών προσώπων</w:t>
      </w:r>
      <w:r w:rsidR="00A5147D" w:rsidRPr="00080B9B">
        <w:rPr>
          <w:rFonts w:cstheme="minorHAnsi"/>
          <w:sz w:val="24"/>
          <w:szCs w:val="24"/>
          <w:lang w:val="el-GR"/>
        </w:rPr>
        <w:t xml:space="preserve"> </w:t>
      </w:r>
      <w:r w:rsidR="00080B9B">
        <w:rPr>
          <w:rFonts w:cstheme="minorHAnsi"/>
          <w:sz w:val="24"/>
          <w:szCs w:val="24"/>
          <w:lang w:val="el-GR"/>
        </w:rPr>
        <w:t>και οντοτήτων ιδιωτικού δικαίου</w:t>
      </w:r>
      <w:r w:rsidR="00A5147D" w:rsidRPr="00080B9B">
        <w:rPr>
          <w:rFonts w:cstheme="minorHAnsi"/>
          <w:sz w:val="24"/>
          <w:szCs w:val="24"/>
          <w:lang w:val="el-GR"/>
        </w:rPr>
        <w:t xml:space="preserve"> </w:t>
      </w:r>
      <w:r w:rsidR="00080B9B">
        <w:rPr>
          <w:rFonts w:cstheme="minorHAnsi"/>
          <w:sz w:val="24"/>
          <w:szCs w:val="24"/>
          <w:lang w:val="el-GR"/>
        </w:rPr>
        <w:t>και εναντίον των συμφερόντων του Κράτους</w:t>
      </w:r>
      <w:r w:rsidR="00A5147D" w:rsidRPr="00080B9B">
        <w:rPr>
          <w:rFonts w:cstheme="minorHAnsi"/>
          <w:sz w:val="24"/>
          <w:szCs w:val="24"/>
          <w:lang w:val="el-GR"/>
        </w:rPr>
        <w:t xml:space="preserve">, </w:t>
      </w:r>
      <w:r w:rsidR="00080B9B">
        <w:rPr>
          <w:rFonts w:cstheme="minorHAnsi"/>
          <w:sz w:val="24"/>
          <w:szCs w:val="24"/>
          <w:lang w:val="el-GR"/>
        </w:rPr>
        <w:t xml:space="preserve">ως αποτέλεσμα μιας θέσης που </w:t>
      </w:r>
      <w:r w:rsidR="000E066E">
        <w:rPr>
          <w:rFonts w:cstheme="minorHAnsi"/>
          <w:sz w:val="24"/>
          <w:szCs w:val="24"/>
          <w:lang w:val="el-GR"/>
        </w:rPr>
        <w:t xml:space="preserve">ο/η ίδιος/α </w:t>
      </w:r>
      <w:r w:rsidR="00080B9B">
        <w:rPr>
          <w:rFonts w:cstheme="minorHAnsi"/>
          <w:sz w:val="24"/>
          <w:szCs w:val="24"/>
          <w:lang w:val="el-GR"/>
        </w:rPr>
        <w:t>κατείχε προηγουμένως</w:t>
      </w:r>
      <w:r w:rsidR="00A5147D" w:rsidRPr="00080B9B">
        <w:rPr>
          <w:rFonts w:cstheme="minorHAnsi"/>
          <w:sz w:val="24"/>
          <w:szCs w:val="24"/>
          <w:lang w:val="el-GR"/>
        </w:rPr>
        <w:t xml:space="preserve">. </w:t>
      </w:r>
    </w:p>
    <w:p w14:paraId="6E01F061" w14:textId="1C4A9E6D" w:rsidR="003E7E71" w:rsidRPr="00080B9B" w:rsidRDefault="003E7E71" w:rsidP="00A5147D">
      <w:pPr>
        <w:tabs>
          <w:tab w:val="left" w:pos="709"/>
        </w:tabs>
        <w:rPr>
          <w:rFonts w:cstheme="minorHAnsi"/>
          <w:sz w:val="24"/>
          <w:szCs w:val="24"/>
          <w:lang w:val="el-GR"/>
        </w:rPr>
      </w:pPr>
    </w:p>
    <w:p w14:paraId="1EBC5F42" w14:textId="30420759" w:rsidR="00A5147D" w:rsidRPr="00680742" w:rsidRDefault="00080B9B"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Πιο</w:t>
      </w:r>
      <w:r w:rsidRPr="00080B9B">
        <w:rPr>
          <w:rFonts w:cstheme="minorHAnsi"/>
          <w:sz w:val="24"/>
          <w:szCs w:val="24"/>
          <w:lang w:val="el-GR"/>
        </w:rPr>
        <w:t xml:space="preserve"> </w:t>
      </w:r>
      <w:r>
        <w:rPr>
          <w:rFonts w:cstheme="minorHAnsi"/>
          <w:sz w:val="24"/>
          <w:szCs w:val="24"/>
          <w:lang w:val="el-GR"/>
        </w:rPr>
        <w:t>συγκεκρι</w:t>
      </w:r>
      <w:r w:rsidR="000E066E">
        <w:rPr>
          <w:rFonts w:cstheme="minorHAnsi"/>
          <w:sz w:val="24"/>
          <w:szCs w:val="24"/>
          <w:lang w:val="el-GR"/>
        </w:rPr>
        <w:t>μ</w:t>
      </w:r>
      <w:r>
        <w:rPr>
          <w:rFonts w:cstheme="minorHAnsi"/>
          <w:sz w:val="24"/>
          <w:szCs w:val="24"/>
          <w:lang w:val="el-GR"/>
        </w:rPr>
        <w:t>ένα</w:t>
      </w:r>
      <w:r w:rsidR="00A5147D" w:rsidRPr="00080B9B">
        <w:rPr>
          <w:rFonts w:cstheme="minorHAnsi"/>
          <w:sz w:val="24"/>
          <w:szCs w:val="24"/>
          <w:lang w:val="el-GR"/>
        </w:rPr>
        <w:t xml:space="preserve">, </w:t>
      </w:r>
      <w:r>
        <w:rPr>
          <w:rFonts w:cstheme="minorHAnsi"/>
          <w:sz w:val="24"/>
          <w:szCs w:val="24"/>
          <w:lang w:val="el-GR"/>
        </w:rPr>
        <w:t>αξιωματούχοι</w:t>
      </w:r>
      <w:r w:rsidRPr="00080B9B">
        <w:rPr>
          <w:rFonts w:cstheme="minorHAnsi"/>
          <w:sz w:val="24"/>
          <w:szCs w:val="24"/>
          <w:lang w:val="el-GR"/>
        </w:rPr>
        <w:t xml:space="preserve"> </w:t>
      </w:r>
      <w:r>
        <w:rPr>
          <w:rFonts w:cstheme="minorHAnsi"/>
          <w:sz w:val="24"/>
          <w:szCs w:val="24"/>
          <w:lang w:val="el-GR"/>
        </w:rPr>
        <w:t>πρέπει</w:t>
      </w:r>
      <w:r w:rsidRPr="00080B9B">
        <w:rPr>
          <w:rFonts w:cstheme="minorHAnsi"/>
          <w:sz w:val="24"/>
          <w:szCs w:val="24"/>
          <w:lang w:val="el-GR"/>
        </w:rPr>
        <w:t xml:space="preserve"> </w:t>
      </w:r>
      <w:r>
        <w:rPr>
          <w:rFonts w:cstheme="minorHAnsi"/>
          <w:sz w:val="24"/>
          <w:szCs w:val="24"/>
          <w:lang w:val="el-GR"/>
        </w:rPr>
        <w:t>να</w:t>
      </w:r>
      <w:r w:rsidRPr="00080B9B">
        <w:rPr>
          <w:rFonts w:cstheme="minorHAnsi"/>
          <w:sz w:val="24"/>
          <w:szCs w:val="24"/>
          <w:lang w:val="el-GR"/>
        </w:rPr>
        <w:t xml:space="preserve"> </w:t>
      </w:r>
      <w:r>
        <w:rPr>
          <w:rFonts w:cstheme="minorHAnsi"/>
          <w:sz w:val="24"/>
          <w:szCs w:val="24"/>
          <w:lang w:val="el-GR"/>
        </w:rPr>
        <w:t>κάνουν</w:t>
      </w:r>
      <w:r w:rsidRPr="00080B9B">
        <w:rPr>
          <w:rFonts w:cstheme="minorHAnsi"/>
          <w:sz w:val="24"/>
          <w:szCs w:val="24"/>
          <w:lang w:val="el-GR"/>
        </w:rPr>
        <w:t xml:space="preserve"> </w:t>
      </w:r>
      <w:r>
        <w:rPr>
          <w:rFonts w:cstheme="minorHAnsi"/>
          <w:sz w:val="24"/>
          <w:szCs w:val="24"/>
          <w:lang w:val="el-GR"/>
        </w:rPr>
        <w:t>αίτηση</w:t>
      </w:r>
      <w:r w:rsidRPr="00080B9B">
        <w:rPr>
          <w:rFonts w:cstheme="minorHAnsi"/>
          <w:sz w:val="24"/>
          <w:szCs w:val="24"/>
          <w:lang w:val="el-GR"/>
        </w:rPr>
        <w:t xml:space="preserve"> </w:t>
      </w:r>
      <w:r>
        <w:rPr>
          <w:rFonts w:cstheme="minorHAnsi"/>
          <w:sz w:val="24"/>
          <w:szCs w:val="24"/>
          <w:lang w:val="el-GR"/>
        </w:rPr>
        <w:t>στην</w:t>
      </w:r>
      <w:r w:rsidRPr="00080B9B">
        <w:rPr>
          <w:rFonts w:cstheme="minorHAnsi"/>
          <w:sz w:val="24"/>
          <w:szCs w:val="24"/>
          <w:lang w:val="el-GR"/>
        </w:rPr>
        <w:t xml:space="preserve"> </w:t>
      </w:r>
      <w:r>
        <w:rPr>
          <w:rFonts w:cstheme="minorHAnsi"/>
          <w:sz w:val="24"/>
          <w:szCs w:val="24"/>
          <w:lang w:val="el-GR"/>
        </w:rPr>
        <w:t>Ανεξάρτητη</w:t>
      </w:r>
      <w:r w:rsidRPr="00080B9B">
        <w:rPr>
          <w:rFonts w:cstheme="minorHAnsi"/>
          <w:sz w:val="24"/>
          <w:szCs w:val="24"/>
          <w:lang w:val="el-GR"/>
        </w:rPr>
        <w:t xml:space="preserve"> </w:t>
      </w:r>
      <w:r>
        <w:rPr>
          <w:rFonts w:cstheme="minorHAnsi"/>
          <w:sz w:val="24"/>
          <w:szCs w:val="24"/>
          <w:lang w:val="el-GR"/>
        </w:rPr>
        <w:t>Ειδική</w:t>
      </w:r>
      <w:r w:rsidRPr="00080B9B">
        <w:rPr>
          <w:rFonts w:cstheme="minorHAnsi"/>
          <w:sz w:val="24"/>
          <w:szCs w:val="24"/>
          <w:lang w:val="el-GR"/>
        </w:rPr>
        <w:t xml:space="preserve"> </w:t>
      </w:r>
      <w:r>
        <w:rPr>
          <w:rFonts w:cstheme="minorHAnsi"/>
          <w:sz w:val="24"/>
          <w:szCs w:val="24"/>
          <w:lang w:val="el-GR"/>
        </w:rPr>
        <w:t>Επιτροπή</w:t>
      </w:r>
      <w:r w:rsidR="00A5147D" w:rsidRPr="00080B9B">
        <w:rPr>
          <w:rFonts w:cstheme="minorHAnsi"/>
          <w:sz w:val="24"/>
          <w:szCs w:val="24"/>
          <w:lang w:val="el-GR"/>
        </w:rPr>
        <w:t xml:space="preserve"> (</w:t>
      </w:r>
      <w:r>
        <w:rPr>
          <w:rFonts w:cstheme="minorHAnsi"/>
          <w:sz w:val="24"/>
          <w:szCs w:val="24"/>
          <w:lang w:val="el-GR"/>
        </w:rPr>
        <w:t>βλέπε</w:t>
      </w:r>
      <w:r w:rsidRPr="00080B9B">
        <w:rPr>
          <w:rFonts w:cstheme="minorHAnsi"/>
          <w:sz w:val="24"/>
          <w:szCs w:val="24"/>
          <w:lang w:val="el-GR"/>
        </w:rPr>
        <w:t xml:space="preserve"> </w:t>
      </w:r>
      <w:r>
        <w:rPr>
          <w:rFonts w:cstheme="minorHAnsi"/>
          <w:sz w:val="24"/>
          <w:szCs w:val="24"/>
          <w:lang w:val="el-GR"/>
        </w:rPr>
        <w:t>π</w:t>
      </w:r>
      <w:r w:rsidR="000E066E">
        <w:rPr>
          <w:rFonts w:cstheme="minorHAnsi"/>
          <w:sz w:val="24"/>
          <w:szCs w:val="24"/>
          <w:lang w:val="el-GR"/>
        </w:rPr>
        <w:t>α</w:t>
      </w:r>
      <w:r>
        <w:rPr>
          <w:rFonts w:cstheme="minorHAnsi"/>
          <w:sz w:val="24"/>
          <w:szCs w:val="24"/>
          <w:lang w:val="el-GR"/>
        </w:rPr>
        <w:t>ραγράφους</w:t>
      </w:r>
      <w:r w:rsidR="00BB61F5" w:rsidRPr="00080B9B">
        <w:rPr>
          <w:rFonts w:cstheme="minorHAnsi"/>
          <w:sz w:val="24"/>
          <w:szCs w:val="24"/>
          <w:lang w:val="el-GR"/>
        </w:rPr>
        <w:t xml:space="preserve"> 13</w:t>
      </w:r>
      <w:r w:rsidR="00BE416A" w:rsidRPr="00080B9B">
        <w:rPr>
          <w:rFonts w:cstheme="minorHAnsi"/>
          <w:sz w:val="24"/>
          <w:szCs w:val="24"/>
          <w:lang w:val="el-GR"/>
        </w:rPr>
        <w:t>7</w:t>
      </w:r>
      <w:r w:rsidR="00BB61F5" w:rsidRPr="00080B9B">
        <w:rPr>
          <w:rFonts w:cstheme="minorHAnsi"/>
          <w:sz w:val="24"/>
          <w:szCs w:val="24"/>
          <w:lang w:val="el-GR"/>
        </w:rPr>
        <w:t>-13</w:t>
      </w:r>
      <w:r w:rsidR="00BE416A" w:rsidRPr="00080B9B">
        <w:rPr>
          <w:rFonts w:cstheme="minorHAnsi"/>
          <w:sz w:val="24"/>
          <w:szCs w:val="24"/>
          <w:lang w:val="el-GR"/>
        </w:rPr>
        <w:t>8</w:t>
      </w:r>
      <w:r w:rsidR="00A5147D" w:rsidRPr="00080B9B">
        <w:rPr>
          <w:rFonts w:cstheme="minorHAnsi"/>
          <w:sz w:val="24"/>
          <w:szCs w:val="24"/>
          <w:lang w:val="el-GR"/>
        </w:rPr>
        <w:t xml:space="preserve">) </w:t>
      </w:r>
      <w:r>
        <w:rPr>
          <w:rFonts w:cstheme="minorHAnsi"/>
          <w:sz w:val="24"/>
          <w:szCs w:val="24"/>
          <w:lang w:val="el-GR"/>
        </w:rPr>
        <w:t xml:space="preserve">για οποιαδήποτε </w:t>
      </w:r>
      <w:proofErr w:type="spellStart"/>
      <w:r>
        <w:rPr>
          <w:rFonts w:cstheme="minorHAnsi"/>
          <w:sz w:val="24"/>
          <w:szCs w:val="24"/>
          <w:lang w:val="el-GR"/>
        </w:rPr>
        <w:t>εργοδότηση</w:t>
      </w:r>
      <w:proofErr w:type="spellEnd"/>
      <w:r w:rsidR="00A5147D" w:rsidRPr="00080B9B">
        <w:rPr>
          <w:rFonts w:cstheme="minorHAnsi"/>
          <w:sz w:val="24"/>
          <w:szCs w:val="24"/>
          <w:lang w:val="el-GR"/>
        </w:rPr>
        <w:t xml:space="preserve"> </w:t>
      </w:r>
      <w:r>
        <w:rPr>
          <w:rFonts w:cstheme="minorHAnsi"/>
          <w:sz w:val="24"/>
          <w:szCs w:val="24"/>
          <w:lang w:val="el-GR"/>
        </w:rPr>
        <w:t>που επιθυμούν να αναλάβουν στον ιδιωτικό τομέα</w:t>
      </w:r>
      <w:r w:rsidR="00A5147D" w:rsidRPr="00080B9B">
        <w:rPr>
          <w:rFonts w:cstheme="minorHAnsi"/>
          <w:sz w:val="24"/>
          <w:szCs w:val="24"/>
          <w:lang w:val="el-GR"/>
        </w:rPr>
        <w:t xml:space="preserve"> </w:t>
      </w:r>
      <w:r>
        <w:rPr>
          <w:rFonts w:cstheme="minorHAnsi"/>
          <w:sz w:val="24"/>
          <w:szCs w:val="24"/>
          <w:lang w:val="el-GR"/>
        </w:rPr>
        <w:t>εντός δύο χρόνων από την αποχώρηση τους από το αξίωμα</w:t>
      </w:r>
      <w:r w:rsidR="00A5147D" w:rsidRPr="00080B9B">
        <w:rPr>
          <w:rFonts w:cstheme="minorHAnsi"/>
          <w:sz w:val="24"/>
          <w:szCs w:val="24"/>
          <w:lang w:val="el-GR"/>
        </w:rPr>
        <w:t xml:space="preserve">. </w:t>
      </w:r>
      <w:r>
        <w:rPr>
          <w:rFonts w:cstheme="minorHAnsi"/>
          <w:sz w:val="24"/>
          <w:szCs w:val="24"/>
          <w:lang w:val="el-GR"/>
        </w:rPr>
        <w:t>Η</w:t>
      </w:r>
      <w:r w:rsidRPr="00A473FC">
        <w:rPr>
          <w:rFonts w:cstheme="minorHAnsi"/>
          <w:sz w:val="24"/>
          <w:szCs w:val="24"/>
          <w:lang w:val="el-GR"/>
        </w:rPr>
        <w:t xml:space="preserve"> </w:t>
      </w:r>
      <w:r>
        <w:rPr>
          <w:rFonts w:cstheme="minorHAnsi"/>
          <w:sz w:val="24"/>
          <w:szCs w:val="24"/>
          <w:lang w:val="el-GR"/>
        </w:rPr>
        <w:t>Επιτροπή</w:t>
      </w:r>
      <w:r w:rsidRPr="00A473FC">
        <w:rPr>
          <w:rFonts w:cstheme="minorHAnsi"/>
          <w:sz w:val="24"/>
          <w:szCs w:val="24"/>
          <w:lang w:val="el-GR"/>
        </w:rPr>
        <w:t xml:space="preserve"> </w:t>
      </w:r>
      <w:r>
        <w:rPr>
          <w:rFonts w:cstheme="minorHAnsi"/>
          <w:sz w:val="24"/>
          <w:szCs w:val="24"/>
          <w:lang w:val="el-GR"/>
        </w:rPr>
        <w:t>ετοιμάζει</w:t>
      </w:r>
      <w:r w:rsidRPr="00A473FC">
        <w:rPr>
          <w:rFonts w:cstheme="minorHAnsi"/>
          <w:sz w:val="24"/>
          <w:szCs w:val="24"/>
          <w:lang w:val="el-GR"/>
        </w:rPr>
        <w:t xml:space="preserve"> </w:t>
      </w:r>
      <w:r>
        <w:rPr>
          <w:rFonts w:cstheme="minorHAnsi"/>
          <w:sz w:val="24"/>
          <w:szCs w:val="24"/>
          <w:lang w:val="el-GR"/>
        </w:rPr>
        <w:t>μια</w:t>
      </w:r>
      <w:r w:rsidRPr="00A473FC">
        <w:rPr>
          <w:rFonts w:cstheme="minorHAnsi"/>
          <w:sz w:val="24"/>
          <w:szCs w:val="24"/>
          <w:lang w:val="el-GR"/>
        </w:rPr>
        <w:t xml:space="preserve"> </w:t>
      </w:r>
      <w:r>
        <w:rPr>
          <w:rFonts w:cstheme="minorHAnsi"/>
          <w:sz w:val="24"/>
          <w:szCs w:val="24"/>
          <w:lang w:val="el-GR"/>
        </w:rPr>
        <w:t>λεπτομερή</w:t>
      </w:r>
      <w:r w:rsidRPr="00A473FC">
        <w:rPr>
          <w:rFonts w:cstheme="minorHAnsi"/>
          <w:sz w:val="24"/>
          <w:szCs w:val="24"/>
          <w:lang w:val="el-GR"/>
        </w:rPr>
        <w:t xml:space="preserve"> </w:t>
      </w:r>
      <w:r>
        <w:rPr>
          <w:rFonts w:cstheme="minorHAnsi"/>
          <w:sz w:val="24"/>
          <w:szCs w:val="24"/>
          <w:lang w:val="el-GR"/>
        </w:rPr>
        <w:t>και</w:t>
      </w:r>
      <w:r w:rsidRPr="00A473FC">
        <w:rPr>
          <w:rFonts w:cstheme="minorHAnsi"/>
          <w:sz w:val="24"/>
          <w:szCs w:val="24"/>
          <w:lang w:val="el-GR"/>
        </w:rPr>
        <w:t xml:space="preserve"> </w:t>
      </w:r>
      <w:r>
        <w:rPr>
          <w:rFonts w:cstheme="minorHAnsi"/>
          <w:sz w:val="24"/>
          <w:szCs w:val="24"/>
          <w:lang w:val="el-GR"/>
        </w:rPr>
        <w:t>αιτιολογημένη</w:t>
      </w:r>
      <w:r w:rsidRPr="00A473FC">
        <w:rPr>
          <w:rFonts w:cstheme="minorHAnsi"/>
          <w:sz w:val="24"/>
          <w:szCs w:val="24"/>
          <w:lang w:val="el-GR"/>
        </w:rPr>
        <w:t xml:space="preserve"> </w:t>
      </w:r>
      <w:r>
        <w:rPr>
          <w:rFonts w:cstheme="minorHAnsi"/>
          <w:sz w:val="24"/>
          <w:szCs w:val="24"/>
          <w:lang w:val="el-GR"/>
        </w:rPr>
        <w:t>απόφαση</w:t>
      </w:r>
      <w:r w:rsidR="00A5147D" w:rsidRPr="00A473FC">
        <w:rPr>
          <w:rFonts w:eastAsia="Times New Roman" w:cstheme="minorHAnsi"/>
          <w:sz w:val="24"/>
          <w:szCs w:val="24"/>
          <w:lang w:val="el-GR" w:eastAsia="el-GR"/>
        </w:rPr>
        <w:t xml:space="preserve">, </w:t>
      </w:r>
      <w:r w:rsidR="003E7E71">
        <w:rPr>
          <w:rFonts w:eastAsia="Times New Roman" w:cstheme="minorHAnsi"/>
          <w:sz w:val="24"/>
          <w:szCs w:val="24"/>
          <w:lang w:val="el-GR" w:eastAsia="el-GR"/>
        </w:rPr>
        <w:t xml:space="preserve">η οποία μπορεί </w:t>
      </w:r>
      <w:r w:rsidR="00A473FC">
        <w:rPr>
          <w:rFonts w:eastAsia="Times New Roman" w:cstheme="minorHAnsi"/>
          <w:sz w:val="24"/>
          <w:szCs w:val="24"/>
          <w:lang w:val="el-GR" w:eastAsia="el-GR"/>
        </w:rPr>
        <w:t>είτε</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να</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επι</w:t>
      </w:r>
      <w:r w:rsidR="000E066E">
        <w:rPr>
          <w:rFonts w:eastAsia="Times New Roman" w:cstheme="minorHAnsi"/>
          <w:sz w:val="24"/>
          <w:szCs w:val="24"/>
          <w:lang w:val="el-GR" w:eastAsia="el-GR"/>
        </w:rPr>
        <w:t>τ</w:t>
      </w:r>
      <w:r w:rsidR="00A473FC">
        <w:rPr>
          <w:rFonts w:eastAsia="Times New Roman" w:cstheme="minorHAnsi"/>
          <w:sz w:val="24"/>
          <w:szCs w:val="24"/>
          <w:lang w:val="el-GR" w:eastAsia="el-GR"/>
        </w:rPr>
        <w:t>ρέψει</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τον</w:t>
      </w:r>
      <w:r w:rsidR="00A473FC" w:rsidRPr="00A473FC">
        <w:rPr>
          <w:rFonts w:eastAsia="Times New Roman" w:cstheme="minorHAnsi"/>
          <w:sz w:val="24"/>
          <w:szCs w:val="24"/>
          <w:lang w:val="el-GR" w:eastAsia="el-GR"/>
        </w:rPr>
        <w:t xml:space="preserve"> </w:t>
      </w:r>
      <w:proofErr w:type="spellStart"/>
      <w:r w:rsidR="00A473FC">
        <w:rPr>
          <w:rFonts w:eastAsia="Times New Roman" w:cstheme="minorHAnsi"/>
          <w:sz w:val="24"/>
          <w:szCs w:val="24"/>
          <w:lang w:val="el-GR" w:eastAsia="el-GR"/>
        </w:rPr>
        <w:t>αιτητή</w:t>
      </w:r>
      <w:proofErr w:type="spellEnd"/>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να</w:t>
      </w:r>
      <w:r w:rsidR="00A473FC" w:rsidRPr="00A473FC">
        <w:rPr>
          <w:rFonts w:eastAsia="Times New Roman" w:cstheme="minorHAnsi"/>
          <w:sz w:val="24"/>
          <w:szCs w:val="24"/>
          <w:lang w:val="el-GR" w:eastAsia="el-GR"/>
        </w:rPr>
        <w:t xml:space="preserve"> </w:t>
      </w:r>
      <w:proofErr w:type="spellStart"/>
      <w:r w:rsidR="00A473FC">
        <w:rPr>
          <w:rFonts w:eastAsia="Times New Roman" w:cstheme="minorHAnsi"/>
          <w:sz w:val="24"/>
          <w:szCs w:val="24"/>
          <w:lang w:val="el-GR" w:eastAsia="el-GR"/>
        </w:rPr>
        <w:t>εργοδοτηθεί</w:t>
      </w:r>
      <w:proofErr w:type="spellEnd"/>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άνευ</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όρων</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από</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ένα</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συγκεκριμένο</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εργοδότη</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του</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ιδιωτικού</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τομέα</w:t>
      </w:r>
      <w:r w:rsidR="00A5147D"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 xml:space="preserve">ή να αναλάβει μια </w:t>
      </w:r>
      <w:proofErr w:type="spellStart"/>
      <w:r w:rsidR="00A473FC">
        <w:rPr>
          <w:rFonts w:eastAsia="Times New Roman" w:cstheme="minorHAnsi"/>
          <w:sz w:val="24"/>
          <w:szCs w:val="24"/>
          <w:lang w:val="el-GR" w:eastAsia="el-GR"/>
        </w:rPr>
        <w:t>εργοδότηση</w:t>
      </w:r>
      <w:proofErr w:type="spellEnd"/>
      <w:r w:rsidR="00A473FC">
        <w:rPr>
          <w:rFonts w:eastAsia="Times New Roman" w:cstheme="minorHAnsi"/>
          <w:sz w:val="24"/>
          <w:szCs w:val="24"/>
          <w:lang w:val="el-GR" w:eastAsia="el-GR"/>
        </w:rPr>
        <w:t xml:space="preserve"> στον ιδιωτικό τομέα</w:t>
      </w:r>
      <w:r w:rsidR="00A5147D"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που υπόκειται σε περιορισμούς ή όρους</w:t>
      </w:r>
      <w:r w:rsidR="00A5147D"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Αυτοί</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οι</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περιορισμοί</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ή</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όροι</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μπορούν</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να</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επιβληθούν</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σε</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σχέση</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με</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τη</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φύση</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των</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καθηκόντων</w:t>
      </w:r>
      <w:r w:rsidR="00A5147D"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που</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θα</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εκτελεσθούν</w:t>
      </w:r>
      <w:r w:rsidR="00A5147D"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στο</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πλαίσιο</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της</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 xml:space="preserve">ανάληψης μιας </w:t>
      </w:r>
      <w:proofErr w:type="spellStart"/>
      <w:r w:rsidR="00A473FC">
        <w:rPr>
          <w:rFonts w:eastAsia="Times New Roman" w:cstheme="minorHAnsi"/>
          <w:sz w:val="24"/>
          <w:szCs w:val="24"/>
          <w:lang w:val="el-GR" w:eastAsia="el-GR"/>
        </w:rPr>
        <w:t>εργοδότησης</w:t>
      </w:r>
      <w:proofErr w:type="spellEnd"/>
      <w:r w:rsidR="00A473FC">
        <w:rPr>
          <w:rFonts w:eastAsia="Times New Roman" w:cstheme="minorHAnsi"/>
          <w:sz w:val="24"/>
          <w:szCs w:val="24"/>
          <w:lang w:val="el-GR" w:eastAsia="el-GR"/>
        </w:rPr>
        <w:t xml:space="preserve"> με ένα συγκεκριμένο εργοδότη</w:t>
      </w:r>
      <w:r w:rsidR="00A5147D"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ή σχετικά με τον χρόνο της ανάληψης της εργασίας για τον συγκεκριμένο εργοδότη</w:t>
      </w:r>
      <w:r w:rsidR="00A5147D"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Κυρώσεις</w:t>
      </w:r>
      <w:r w:rsidR="00A5147D"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που</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αποτελούνται</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από</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πρόστιμα</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ή</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φυλάκιση</w:t>
      </w:r>
      <w:r w:rsidR="00A5147D"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ισχύουν</w:t>
      </w:r>
      <w:r w:rsidR="00A473FC"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σε περίπτωση παράβασης</w:t>
      </w:r>
      <w:r w:rsidR="00A5147D"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βλέπε παράγραφο</w:t>
      </w:r>
      <w:r w:rsidR="00A5147D" w:rsidRPr="00A473FC">
        <w:rPr>
          <w:rFonts w:eastAsia="Times New Roman" w:cstheme="minorHAnsi"/>
          <w:sz w:val="24"/>
          <w:szCs w:val="24"/>
          <w:lang w:val="el-GR" w:eastAsia="el-GR"/>
        </w:rPr>
        <w:t xml:space="preserve"> </w:t>
      </w:r>
      <w:r w:rsidR="00BB61F5" w:rsidRPr="00A473FC">
        <w:rPr>
          <w:rFonts w:eastAsia="Times New Roman" w:cstheme="minorHAnsi"/>
          <w:sz w:val="24"/>
          <w:szCs w:val="24"/>
          <w:lang w:val="el-GR" w:eastAsia="el-GR"/>
        </w:rPr>
        <w:t>13</w:t>
      </w:r>
      <w:r w:rsidR="00BE416A" w:rsidRPr="00A473FC">
        <w:rPr>
          <w:rFonts w:eastAsia="Times New Roman" w:cstheme="minorHAnsi"/>
          <w:sz w:val="24"/>
          <w:szCs w:val="24"/>
          <w:lang w:val="el-GR" w:eastAsia="el-GR"/>
        </w:rPr>
        <w:t>8</w:t>
      </w:r>
      <w:r w:rsidR="00A5147D"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για λεπτομέρειες</w:t>
      </w:r>
      <w:r w:rsidR="00A5147D" w:rsidRPr="00A473FC">
        <w:rPr>
          <w:rFonts w:eastAsia="Times New Roman" w:cstheme="minorHAnsi"/>
          <w:sz w:val="24"/>
          <w:szCs w:val="24"/>
          <w:lang w:val="el-GR" w:eastAsia="el-GR"/>
        </w:rPr>
        <w:t>).</w:t>
      </w:r>
      <w:r w:rsidR="001137CA" w:rsidRPr="00A473FC">
        <w:rPr>
          <w:rFonts w:eastAsia="Times New Roman" w:cstheme="minorHAnsi"/>
          <w:sz w:val="24"/>
          <w:szCs w:val="24"/>
          <w:lang w:val="el-GR" w:eastAsia="el-GR"/>
        </w:rPr>
        <w:t xml:space="preserve"> </w:t>
      </w:r>
      <w:r w:rsidR="00A473FC">
        <w:rPr>
          <w:rFonts w:eastAsia="Times New Roman" w:cstheme="minorHAnsi"/>
          <w:sz w:val="24"/>
          <w:szCs w:val="24"/>
          <w:lang w:val="el-GR" w:eastAsia="el-GR"/>
        </w:rPr>
        <w:t>Αναφέρθηκε</w:t>
      </w:r>
      <w:r w:rsidR="00A473FC" w:rsidRPr="00680742">
        <w:rPr>
          <w:rFonts w:eastAsia="Times New Roman" w:cstheme="minorHAnsi"/>
          <w:sz w:val="24"/>
          <w:szCs w:val="24"/>
          <w:lang w:val="el-GR" w:eastAsia="el-GR"/>
        </w:rPr>
        <w:t xml:space="preserve"> </w:t>
      </w:r>
      <w:r w:rsidR="00A473FC">
        <w:rPr>
          <w:rFonts w:eastAsia="Times New Roman" w:cstheme="minorHAnsi"/>
          <w:sz w:val="24"/>
          <w:szCs w:val="24"/>
          <w:lang w:val="el-GR" w:eastAsia="el-GR"/>
        </w:rPr>
        <w:t>στην</w:t>
      </w:r>
      <w:r w:rsidR="00A473FC" w:rsidRPr="00680742">
        <w:rPr>
          <w:rFonts w:eastAsia="Times New Roman" w:cstheme="minorHAnsi"/>
          <w:sz w:val="24"/>
          <w:szCs w:val="24"/>
          <w:lang w:val="el-GR" w:eastAsia="el-GR"/>
        </w:rPr>
        <w:t xml:space="preserve"> </w:t>
      </w:r>
      <w:r w:rsidR="001137CA" w:rsidRPr="000538B6">
        <w:rPr>
          <w:rFonts w:eastAsia="Times New Roman" w:cstheme="minorHAnsi"/>
          <w:sz w:val="24"/>
          <w:szCs w:val="24"/>
          <w:lang w:eastAsia="el-GR"/>
        </w:rPr>
        <w:t>GET</w:t>
      </w:r>
      <w:r w:rsidR="001137CA" w:rsidRPr="00680742">
        <w:rPr>
          <w:rFonts w:eastAsia="Times New Roman" w:cstheme="minorHAnsi"/>
          <w:sz w:val="24"/>
          <w:szCs w:val="24"/>
          <w:lang w:val="el-GR" w:eastAsia="el-GR"/>
        </w:rPr>
        <w:t xml:space="preserve">, </w:t>
      </w:r>
      <w:r w:rsidR="00A473FC">
        <w:rPr>
          <w:rFonts w:eastAsia="Times New Roman" w:cstheme="minorHAnsi"/>
          <w:sz w:val="24"/>
          <w:szCs w:val="24"/>
          <w:lang w:val="el-GR" w:eastAsia="el-GR"/>
        </w:rPr>
        <w:t>μετά</w:t>
      </w:r>
      <w:r w:rsidR="00A473FC" w:rsidRPr="00680742">
        <w:rPr>
          <w:rFonts w:eastAsia="Times New Roman" w:cstheme="minorHAnsi"/>
          <w:sz w:val="24"/>
          <w:szCs w:val="24"/>
          <w:lang w:val="el-GR" w:eastAsia="el-GR"/>
        </w:rPr>
        <w:t xml:space="preserve"> </w:t>
      </w:r>
      <w:r w:rsidR="00A473FC">
        <w:rPr>
          <w:rFonts w:eastAsia="Times New Roman" w:cstheme="minorHAnsi"/>
          <w:sz w:val="24"/>
          <w:szCs w:val="24"/>
          <w:lang w:val="el-GR" w:eastAsia="el-GR"/>
        </w:rPr>
        <w:t>από</w:t>
      </w:r>
      <w:r w:rsidR="00A473FC" w:rsidRPr="00680742">
        <w:rPr>
          <w:rFonts w:eastAsia="Times New Roman" w:cstheme="minorHAnsi"/>
          <w:sz w:val="24"/>
          <w:szCs w:val="24"/>
          <w:lang w:val="el-GR" w:eastAsia="el-GR"/>
        </w:rPr>
        <w:t xml:space="preserve"> </w:t>
      </w:r>
      <w:r w:rsidR="00A473FC">
        <w:rPr>
          <w:rFonts w:eastAsia="Times New Roman" w:cstheme="minorHAnsi"/>
          <w:sz w:val="24"/>
          <w:szCs w:val="24"/>
          <w:lang w:val="el-GR" w:eastAsia="el-GR"/>
        </w:rPr>
        <w:t>την</w:t>
      </w:r>
      <w:r w:rsidR="00A473FC" w:rsidRPr="00680742">
        <w:rPr>
          <w:rFonts w:eastAsia="Times New Roman" w:cstheme="minorHAnsi"/>
          <w:sz w:val="24"/>
          <w:szCs w:val="24"/>
          <w:lang w:val="el-GR" w:eastAsia="el-GR"/>
        </w:rPr>
        <w:t xml:space="preserve"> </w:t>
      </w:r>
      <w:r w:rsidR="00A473FC">
        <w:rPr>
          <w:rFonts w:eastAsia="Times New Roman" w:cstheme="minorHAnsi"/>
          <w:sz w:val="24"/>
          <w:szCs w:val="24"/>
          <w:lang w:val="el-GR" w:eastAsia="el-GR"/>
        </w:rPr>
        <w:t>επί</w:t>
      </w:r>
      <w:r w:rsidR="00A473FC" w:rsidRPr="00680742">
        <w:rPr>
          <w:rFonts w:eastAsia="Times New Roman" w:cstheme="minorHAnsi"/>
          <w:sz w:val="24"/>
          <w:szCs w:val="24"/>
          <w:lang w:val="el-GR" w:eastAsia="el-GR"/>
        </w:rPr>
        <w:t xml:space="preserve"> </w:t>
      </w:r>
      <w:r w:rsidR="00A473FC">
        <w:rPr>
          <w:rFonts w:eastAsia="Times New Roman" w:cstheme="minorHAnsi"/>
          <w:sz w:val="24"/>
          <w:szCs w:val="24"/>
          <w:lang w:val="el-GR" w:eastAsia="el-GR"/>
        </w:rPr>
        <w:t>τόπου</w:t>
      </w:r>
      <w:r w:rsidR="00A473FC" w:rsidRPr="00680742">
        <w:rPr>
          <w:rFonts w:eastAsia="Times New Roman" w:cstheme="minorHAnsi"/>
          <w:sz w:val="24"/>
          <w:szCs w:val="24"/>
          <w:lang w:val="el-GR" w:eastAsia="el-GR"/>
        </w:rPr>
        <w:t xml:space="preserve"> </w:t>
      </w:r>
      <w:r w:rsidR="00A473FC">
        <w:rPr>
          <w:rFonts w:eastAsia="Times New Roman" w:cstheme="minorHAnsi"/>
          <w:sz w:val="24"/>
          <w:szCs w:val="24"/>
          <w:lang w:val="el-GR" w:eastAsia="el-GR"/>
        </w:rPr>
        <w:t>επίσκεψη</w:t>
      </w:r>
      <w:r w:rsidR="001137CA" w:rsidRPr="00680742">
        <w:rPr>
          <w:rFonts w:eastAsia="Times New Roman" w:cstheme="minorHAnsi"/>
          <w:sz w:val="24"/>
          <w:szCs w:val="24"/>
          <w:lang w:val="el-GR" w:eastAsia="el-GR"/>
        </w:rPr>
        <w:t xml:space="preserve">, </w:t>
      </w:r>
      <w:r w:rsidR="00680742">
        <w:rPr>
          <w:rFonts w:eastAsia="Times New Roman" w:cstheme="minorHAnsi"/>
          <w:sz w:val="24"/>
          <w:szCs w:val="24"/>
          <w:lang w:val="el-GR" w:eastAsia="el-GR"/>
        </w:rPr>
        <w:t>ότι</w:t>
      </w:r>
      <w:r w:rsidR="00680742" w:rsidRPr="00680742">
        <w:rPr>
          <w:rFonts w:eastAsia="Times New Roman" w:cstheme="minorHAnsi"/>
          <w:sz w:val="24"/>
          <w:szCs w:val="24"/>
          <w:lang w:val="el-GR" w:eastAsia="el-GR"/>
        </w:rPr>
        <w:t xml:space="preserve"> </w:t>
      </w:r>
      <w:r w:rsidR="00680742">
        <w:rPr>
          <w:rFonts w:eastAsia="Times New Roman" w:cstheme="minorHAnsi"/>
          <w:sz w:val="24"/>
          <w:szCs w:val="24"/>
          <w:lang w:val="el-GR" w:eastAsia="el-GR"/>
        </w:rPr>
        <w:t>μια</w:t>
      </w:r>
      <w:r w:rsidR="00680742" w:rsidRPr="00680742">
        <w:rPr>
          <w:rFonts w:eastAsia="Times New Roman" w:cstheme="minorHAnsi"/>
          <w:sz w:val="24"/>
          <w:szCs w:val="24"/>
          <w:lang w:val="el-GR" w:eastAsia="el-GR"/>
        </w:rPr>
        <w:t xml:space="preserve"> </w:t>
      </w:r>
      <w:r w:rsidR="00680742">
        <w:rPr>
          <w:rFonts w:eastAsia="Times New Roman" w:cstheme="minorHAnsi"/>
          <w:sz w:val="24"/>
          <w:szCs w:val="24"/>
          <w:lang w:val="el-GR" w:eastAsia="el-GR"/>
        </w:rPr>
        <w:t>τροποποίηση</w:t>
      </w:r>
      <w:r w:rsidR="00680742" w:rsidRPr="00680742">
        <w:rPr>
          <w:rFonts w:eastAsia="Times New Roman" w:cstheme="minorHAnsi"/>
          <w:sz w:val="24"/>
          <w:szCs w:val="24"/>
          <w:lang w:val="el-GR" w:eastAsia="el-GR"/>
        </w:rPr>
        <w:t xml:space="preserve"> </w:t>
      </w:r>
      <w:r w:rsidR="00680742">
        <w:rPr>
          <w:rFonts w:eastAsia="Times New Roman" w:cstheme="minorHAnsi"/>
          <w:sz w:val="24"/>
          <w:szCs w:val="24"/>
          <w:lang w:val="el-GR" w:eastAsia="el-GR"/>
        </w:rPr>
        <w:t>του</w:t>
      </w:r>
      <w:r w:rsidR="00680742" w:rsidRPr="00680742">
        <w:rPr>
          <w:rFonts w:eastAsia="Times New Roman" w:cstheme="minorHAnsi"/>
          <w:sz w:val="24"/>
          <w:szCs w:val="24"/>
          <w:lang w:val="el-GR" w:eastAsia="el-GR"/>
        </w:rPr>
        <w:t xml:space="preserve"> </w:t>
      </w:r>
      <w:r w:rsidR="00680742">
        <w:rPr>
          <w:rFonts w:eastAsia="Times New Roman" w:cstheme="minorHAnsi"/>
          <w:sz w:val="24"/>
          <w:szCs w:val="24"/>
          <w:lang w:val="el-GR" w:eastAsia="el-GR"/>
        </w:rPr>
        <w:t>Νόμου</w:t>
      </w:r>
      <w:r w:rsidR="00680742" w:rsidRPr="00680742">
        <w:rPr>
          <w:rFonts w:eastAsia="Times New Roman" w:cstheme="minorHAnsi"/>
          <w:sz w:val="24"/>
          <w:szCs w:val="24"/>
          <w:lang w:val="el-GR" w:eastAsia="el-GR"/>
        </w:rPr>
        <w:t xml:space="preserve"> </w:t>
      </w:r>
      <w:r w:rsidR="00680742">
        <w:rPr>
          <w:rFonts w:eastAsia="Times New Roman" w:cstheme="minorHAnsi"/>
          <w:sz w:val="24"/>
          <w:szCs w:val="24"/>
          <w:lang w:val="el-GR" w:eastAsia="el-GR"/>
        </w:rPr>
        <w:t>βρί</w:t>
      </w:r>
      <w:r w:rsidR="000E066E">
        <w:rPr>
          <w:rFonts w:eastAsia="Times New Roman" w:cstheme="minorHAnsi"/>
          <w:sz w:val="24"/>
          <w:szCs w:val="24"/>
          <w:lang w:val="el-GR" w:eastAsia="el-GR"/>
        </w:rPr>
        <w:t>σ</w:t>
      </w:r>
      <w:r w:rsidR="00680742">
        <w:rPr>
          <w:rFonts w:eastAsia="Times New Roman" w:cstheme="minorHAnsi"/>
          <w:sz w:val="24"/>
          <w:szCs w:val="24"/>
          <w:lang w:val="el-GR" w:eastAsia="el-GR"/>
        </w:rPr>
        <w:t>κεται</w:t>
      </w:r>
      <w:r w:rsidR="00680742" w:rsidRPr="00680742">
        <w:rPr>
          <w:rFonts w:eastAsia="Times New Roman" w:cstheme="minorHAnsi"/>
          <w:sz w:val="24"/>
          <w:szCs w:val="24"/>
          <w:lang w:val="el-GR" w:eastAsia="el-GR"/>
        </w:rPr>
        <w:t xml:space="preserve"> </w:t>
      </w:r>
      <w:r w:rsidR="00680742">
        <w:rPr>
          <w:rFonts w:eastAsia="Times New Roman" w:cstheme="minorHAnsi"/>
          <w:sz w:val="24"/>
          <w:szCs w:val="24"/>
          <w:lang w:val="el-GR" w:eastAsia="el-GR"/>
        </w:rPr>
        <w:t>τώρα</w:t>
      </w:r>
      <w:r w:rsidR="00680742" w:rsidRPr="00680742">
        <w:rPr>
          <w:rFonts w:eastAsia="Times New Roman" w:cstheme="minorHAnsi"/>
          <w:sz w:val="24"/>
          <w:szCs w:val="24"/>
          <w:lang w:val="el-GR" w:eastAsia="el-GR"/>
        </w:rPr>
        <w:t xml:space="preserve"> </w:t>
      </w:r>
      <w:r w:rsidR="00973266">
        <w:rPr>
          <w:rFonts w:eastAsia="Times New Roman" w:cstheme="minorHAnsi"/>
          <w:sz w:val="24"/>
          <w:szCs w:val="24"/>
          <w:lang w:val="el-GR" w:eastAsia="el-GR"/>
        </w:rPr>
        <w:t>υπό</w:t>
      </w:r>
      <w:r w:rsidR="00680742" w:rsidRPr="00680742">
        <w:rPr>
          <w:rFonts w:eastAsia="Times New Roman" w:cstheme="minorHAnsi"/>
          <w:sz w:val="24"/>
          <w:szCs w:val="24"/>
          <w:lang w:val="el-GR" w:eastAsia="el-GR"/>
        </w:rPr>
        <w:t xml:space="preserve"> </w:t>
      </w:r>
      <w:r w:rsidR="00A14BFA">
        <w:rPr>
          <w:rFonts w:eastAsia="Times New Roman" w:cstheme="minorHAnsi"/>
          <w:sz w:val="24"/>
          <w:szCs w:val="24"/>
          <w:lang w:val="el-GR" w:eastAsia="el-GR"/>
        </w:rPr>
        <w:t xml:space="preserve">εξέταση </w:t>
      </w:r>
      <w:r w:rsidR="00680742">
        <w:rPr>
          <w:rFonts w:eastAsia="Times New Roman" w:cstheme="minorHAnsi"/>
          <w:sz w:val="24"/>
          <w:szCs w:val="24"/>
          <w:lang w:val="el-GR" w:eastAsia="el-GR"/>
        </w:rPr>
        <w:t>από το Ανώτατο Δικαστήριο</w:t>
      </w:r>
      <w:r w:rsidR="00D14342" w:rsidRPr="00680742">
        <w:rPr>
          <w:rFonts w:eastAsia="Times New Roman" w:cs="Calibri"/>
          <w:sz w:val="24"/>
          <w:szCs w:val="24"/>
          <w:lang w:val="el-GR" w:eastAsia="el-GR"/>
        </w:rPr>
        <w:t xml:space="preserve"> </w:t>
      </w:r>
      <w:r w:rsidR="00680742">
        <w:rPr>
          <w:rFonts w:eastAsia="Times New Roman" w:cs="Calibri"/>
          <w:sz w:val="24"/>
          <w:szCs w:val="24"/>
          <w:lang w:val="el-GR" w:eastAsia="el-GR"/>
        </w:rPr>
        <w:t>μετά από παραπομπή για την συνταγματικότητα τ</w:t>
      </w:r>
      <w:r w:rsidR="000E066E">
        <w:rPr>
          <w:rFonts w:eastAsia="Times New Roman" w:cs="Calibri"/>
          <w:sz w:val="24"/>
          <w:szCs w:val="24"/>
          <w:lang w:val="el-GR" w:eastAsia="el-GR"/>
        </w:rPr>
        <w:t>ης</w:t>
      </w:r>
      <w:r w:rsidR="00680742">
        <w:rPr>
          <w:rFonts w:eastAsia="Times New Roman" w:cs="Calibri"/>
          <w:sz w:val="24"/>
          <w:szCs w:val="24"/>
          <w:lang w:val="el-GR" w:eastAsia="el-GR"/>
        </w:rPr>
        <w:t xml:space="preserve"> από τον Πρόεδρο της Δημοκρατίας</w:t>
      </w:r>
      <w:r w:rsidR="00D14342" w:rsidRPr="00680742">
        <w:rPr>
          <w:rFonts w:eastAsia="Times New Roman" w:cs="Calibri"/>
          <w:sz w:val="24"/>
          <w:szCs w:val="24"/>
          <w:lang w:val="el-GR" w:eastAsia="el-GR"/>
        </w:rPr>
        <w:t>.</w:t>
      </w:r>
    </w:p>
    <w:p w14:paraId="3B9F1C67" w14:textId="77777777" w:rsidR="00A5147D" w:rsidRPr="00680742" w:rsidRDefault="00A5147D" w:rsidP="00A5147D">
      <w:pPr>
        <w:pStyle w:val="ListParagraph"/>
        <w:rPr>
          <w:rFonts w:eastAsia="Times New Roman" w:cstheme="minorHAnsi"/>
          <w:sz w:val="24"/>
          <w:szCs w:val="24"/>
          <w:lang w:val="el-GR" w:eastAsia="el-GR"/>
        </w:rPr>
      </w:pPr>
    </w:p>
    <w:p w14:paraId="62116273" w14:textId="1FDAFB31" w:rsidR="00A5147D" w:rsidRPr="00BD2FA6" w:rsidRDefault="00680742" w:rsidP="00A5147D">
      <w:pPr>
        <w:keepNext/>
        <w:tabs>
          <w:tab w:val="left" w:pos="709"/>
        </w:tabs>
        <w:jc w:val="center"/>
        <w:rPr>
          <w:rFonts w:cstheme="minorHAnsi"/>
          <w:i/>
          <w:iCs/>
          <w:sz w:val="24"/>
          <w:szCs w:val="24"/>
          <w:lang w:val="el-GR"/>
        </w:rPr>
      </w:pPr>
      <w:r>
        <w:rPr>
          <w:rFonts w:cstheme="minorHAnsi"/>
          <w:i/>
          <w:iCs/>
          <w:sz w:val="24"/>
          <w:szCs w:val="24"/>
          <w:lang w:val="el-GR"/>
        </w:rPr>
        <w:t>Αποφάσεις</w:t>
      </w:r>
      <w:r w:rsidRPr="00BD2FA6">
        <w:rPr>
          <w:rFonts w:cstheme="minorHAnsi"/>
          <w:i/>
          <w:iCs/>
          <w:sz w:val="24"/>
          <w:szCs w:val="24"/>
          <w:lang w:val="el-GR"/>
        </w:rPr>
        <w:t xml:space="preserve"> </w:t>
      </w:r>
      <w:r>
        <w:rPr>
          <w:rFonts w:cstheme="minorHAnsi"/>
          <w:i/>
          <w:iCs/>
          <w:sz w:val="24"/>
          <w:szCs w:val="24"/>
          <w:lang w:val="el-GR"/>
        </w:rPr>
        <w:t>της</w:t>
      </w:r>
      <w:r w:rsidRPr="00BD2FA6">
        <w:rPr>
          <w:rFonts w:cstheme="minorHAnsi"/>
          <w:i/>
          <w:iCs/>
          <w:sz w:val="24"/>
          <w:szCs w:val="24"/>
          <w:lang w:val="el-GR"/>
        </w:rPr>
        <w:t xml:space="preserve"> </w:t>
      </w:r>
      <w:r>
        <w:rPr>
          <w:rFonts w:cstheme="minorHAnsi"/>
          <w:i/>
          <w:iCs/>
          <w:sz w:val="24"/>
          <w:szCs w:val="24"/>
          <w:lang w:val="el-GR"/>
        </w:rPr>
        <w:t>Ανεξάρτητης</w:t>
      </w:r>
      <w:r w:rsidRPr="00BD2FA6">
        <w:rPr>
          <w:rFonts w:cstheme="minorHAnsi"/>
          <w:i/>
          <w:iCs/>
          <w:sz w:val="24"/>
          <w:szCs w:val="24"/>
          <w:lang w:val="el-GR"/>
        </w:rPr>
        <w:t xml:space="preserve"> </w:t>
      </w:r>
      <w:r>
        <w:rPr>
          <w:rFonts w:cstheme="minorHAnsi"/>
          <w:i/>
          <w:iCs/>
          <w:sz w:val="24"/>
          <w:szCs w:val="24"/>
          <w:lang w:val="el-GR"/>
        </w:rPr>
        <w:t>Ειδικής</w:t>
      </w:r>
      <w:r w:rsidRPr="00BD2FA6">
        <w:rPr>
          <w:rFonts w:cstheme="minorHAnsi"/>
          <w:i/>
          <w:iCs/>
          <w:sz w:val="24"/>
          <w:szCs w:val="24"/>
          <w:lang w:val="el-GR"/>
        </w:rPr>
        <w:t xml:space="preserve"> </w:t>
      </w:r>
      <w:r>
        <w:rPr>
          <w:rFonts w:cstheme="minorHAnsi"/>
          <w:i/>
          <w:iCs/>
          <w:sz w:val="24"/>
          <w:szCs w:val="24"/>
          <w:lang w:val="el-GR"/>
        </w:rPr>
        <w:t>Επιτροπής</w:t>
      </w:r>
      <w:r w:rsidR="00A5147D" w:rsidRPr="00BD2FA6">
        <w:rPr>
          <w:rFonts w:cstheme="minorHAnsi"/>
          <w:i/>
          <w:iCs/>
          <w:sz w:val="24"/>
          <w:szCs w:val="24"/>
          <w:lang w:val="el-GR"/>
        </w:rPr>
        <w:t xml:space="preserve"> </w:t>
      </w:r>
    </w:p>
    <w:p w14:paraId="4FFAB71C" w14:textId="45B26BCF" w:rsidR="00A5147D" w:rsidRPr="00680742" w:rsidRDefault="00680742" w:rsidP="00A5147D">
      <w:pPr>
        <w:keepNext/>
        <w:tabs>
          <w:tab w:val="left" w:pos="709"/>
        </w:tabs>
        <w:jc w:val="center"/>
        <w:rPr>
          <w:rFonts w:cstheme="minorHAnsi"/>
          <w:i/>
          <w:iCs/>
          <w:sz w:val="24"/>
          <w:szCs w:val="24"/>
          <w:lang w:val="el-GR"/>
        </w:rPr>
      </w:pPr>
      <w:r>
        <w:rPr>
          <w:rFonts w:cstheme="minorHAnsi"/>
          <w:i/>
          <w:iCs/>
          <w:sz w:val="24"/>
          <w:szCs w:val="24"/>
          <w:lang w:val="el-GR"/>
        </w:rPr>
        <w:t>για</w:t>
      </w:r>
      <w:r w:rsidRPr="00680742">
        <w:rPr>
          <w:rFonts w:cstheme="minorHAnsi"/>
          <w:i/>
          <w:iCs/>
          <w:sz w:val="24"/>
          <w:szCs w:val="24"/>
          <w:lang w:val="el-GR"/>
        </w:rPr>
        <w:t xml:space="preserve"> </w:t>
      </w:r>
      <w:r>
        <w:rPr>
          <w:rFonts w:cstheme="minorHAnsi"/>
          <w:i/>
          <w:iCs/>
          <w:sz w:val="24"/>
          <w:szCs w:val="24"/>
          <w:lang w:val="el-GR"/>
        </w:rPr>
        <w:t>τον</w:t>
      </w:r>
      <w:r w:rsidRPr="00680742">
        <w:rPr>
          <w:rFonts w:cstheme="minorHAnsi"/>
          <w:i/>
          <w:iCs/>
          <w:sz w:val="24"/>
          <w:szCs w:val="24"/>
          <w:lang w:val="el-GR"/>
        </w:rPr>
        <w:t xml:space="preserve"> </w:t>
      </w:r>
      <w:r>
        <w:rPr>
          <w:rFonts w:cstheme="minorHAnsi"/>
          <w:i/>
          <w:iCs/>
          <w:sz w:val="24"/>
          <w:szCs w:val="24"/>
          <w:lang w:val="el-GR"/>
        </w:rPr>
        <w:t>Έλεγχο</w:t>
      </w:r>
      <w:r w:rsidRPr="00680742">
        <w:rPr>
          <w:rFonts w:cstheme="minorHAnsi"/>
          <w:i/>
          <w:iCs/>
          <w:sz w:val="24"/>
          <w:szCs w:val="24"/>
          <w:lang w:val="el-GR"/>
        </w:rPr>
        <w:t xml:space="preserve"> </w:t>
      </w:r>
      <w:r>
        <w:rPr>
          <w:rFonts w:cstheme="minorHAnsi"/>
          <w:i/>
          <w:iCs/>
          <w:sz w:val="24"/>
          <w:szCs w:val="24"/>
          <w:lang w:val="el-GR"/>
        </w:rPr>
        <w:t>Ανάληψης</w:t>
      </w:r>
      <w:r w:rsidRPr="00680742">
        <w:rPr>
          <w:rFonts w:cstheme="minorHAnsi"/>
          <w:i/>
          <w:iCs/>
          <w:sz w:val="24"/>
          <w:szCs w:val="24"/>
          <w:lang w:val="el-GR"/>
        </w:rPr>
        <w:t xml:space="preserve"> </w:t>
      </w:r>
      <w:r>
        <w:rPr>
          <w:rFonts w:cstheme="minorHAnsi"/>
          <w:i/>
          <w:iCs/>
          <w:sz w:val="24"/>
          <w:szCs w:val="24"/>
          <w:lang w:val="el-GR"/>
        </w:rPr>
        <w:t>Εργασίας</w:t>
      </w:r>
      <w:r w:rsidRPr="00680742">
        <w:rPr>
          <w:rFonts w:cstheme="minorHAnsi"/>
          <w:i/>
          <w:iCs/>
          <w:sz w:val="24"/>
          <w:szCs w:val="24"/>
          <w:lang w:val="el-GR"/>
        </w:rPr>
        <w:t xml:space="preserve"> </w:t>
      </w:r>
      <w:r>
        <w:rPr>
          <w:rFonts w:cstheme="minorHAnsi"/>
          <w:i/>
          <w:iCs/>
          <w:sz w:val="24"/>
          <w:szCs w:val="24"/>
          <w:lang w:val="el-GR"/>
        </w:rPr>
        <w:t>στον</w:t>
      </w:r>
      <w:r w:rsidRPr="00680742">
        <w:rPr>
          <w:rFonts w:cstheme="minorHAnsi"/>
          <w:i/>
          <w:iCs/>
          <w:sz w:val="24"/>
          <w:szCs w:val="24"/>
          <w:lang w:val="el-GR"/>
        </w:rPr>
        <w:t xml:space="preserve"> </w:t>
      </w:r>
      <w:r>
        <w:rPr>
          <w:rFonts w:cstheme="minorHAnsi"/>
          <w:i/>
          <w:iCs/>
          <w:sz w:val="24"/>
          <w:szCs w:val="24"/>
          <w:lang w:val="el-GR"/>
        </w:rPr>
        <w:t>Ιδιωτικό</w:t>
      </w:r>
      <w:r w:rsidRPr="00680742">
        <w:rPr>
          <w:rFonts w:cstheme="minorHAnsi"/>
          <w:i/>
          <w:iCs/>
          <w:sz w:val="24"/>
          <w:szCs w:val="24"/>
          <w:lang w:val="el-GR"/>
        </w:rPr>
        <w:t xml:space="preserve"> </w:t>
      </w:r>
      <w:r>
        <w:rPr>
          <w:rFonts w:cstheme="minorHAnsi"/>
          <w:i/>
          <w:iCs/>
          <w:sz w:val="24"/>
          <w:szCs w:val="24"/>
          <w:lang w:val="el-GR"/>
        </w:rPr>
        <w:t>Τομέα</w:t>
      </w:r>
    </w:p>
    <w:p w14:paraId="604F8523" w14:textId="77777777" w:rsidR="00A5147D" w:rsidRPr="00680742" w:rsidRDefault="00A5147D" w:rsidP="00A5147D">
      <w:pPr>
        <w:keepNext/>
        <w:tabs>
          <w:tab w:val="left" w:pos="709"/>
        </w:tabs>
        <w:jc w:val="center"/>
        <w:rPr>
          <w:rFonts w:cstheme="minorHAnsi"/>
          <w:i/>
          <w:iCs/>
          <w:sz w:val="20"/>
          <w:szCs w:val="20"/>
          <w:lang w:val="el-GR"/>
        </w:rPr>
      </w:pPr>
    </w:p>
    <w:tbl>
      <w:tblPr>
        <w:tblStyle w:val="TableGrid"/>
        <w:tblW w:w="0" w:type="auto"/>
        <w:tblLook w:val="04A0" w:firstRow="1" w:lastRow="0" w:firstColumn="1" w:lastColumn="0" w:noHBand="0" w:noVBand="1"/>
      </w:tblPr>
      <w:tblGrid>
        <w:gridCol w:w="1812"/>
        <w:gridCol w:w="1812"/>
        <w:gridCol w:w="1812"/>
        <w:gridCol w:w="1812"/>
        <w:gridCol w:w="1812"/>
      </w:tblGrid>
      <w:tr w:rsidR="00680742" w:rsidRPr="004E251E" w14:paraId="34D7A36B" w14:textId="77777777" w:rsidTr="00CF2E8A">
        <w:trPr>
          <w:tblHeader/>
        </w:trPr>
        <w:tc>
          <w:tcPr>
            <w:tcW w:w="1812" w:type="dxa"/>
            <w:shd w:val="clear" w:color="auto" w:fill="BFBFBF" w:themeFill="background1" w:themeFillShade="BF"/>
          </w:tcPr>
          <w:p w14:paraId="65B372FE" w14:textId="5433B44A" w:rsidR="00A5147D" w:rsidRPr="004E251E" w:rsidRDefault="00680742" w:rsidP="00680742">
            <w:pPr>
              <w:keepNext/>
              <w:tabs>
                <w:tab w:val="left" w:pos="709"/>
              </w:tabs>
              <w:jc w:val="center"/>
              <w:rPr>
                <w:rFonts w:cstheme="minorHAnsi"/>
                <w:b/>
                <w:bCs/>
                <w:sz w:val="20"/>
                <w:szCs w:val="20"/>
              </w:rPr>
            </w:pPr>
            <w:r>
              <w:rPr>
                <w:rFonts w:cstheme="minorHAnsi"/>
                <w:b/>
                <w:bCs/>
                <w:sz w:val="20"/>
                <w:szCs w:val="20"/>
                <w:lang w:val="el-GR"/>
              </w:rPr>
              <w:t>ΕΤΟΣ</w:t>
            </w:r>
          </w:p>
        </w:tc>
        <w:tc>
          <w:tcPr>
            <w:tcW w:w="1812" w:type="dxa"/>
            <w:shd w:val="clear" w:color="auto" w:fill="BFBFBF" w:themeFill="background1" w:themeFillShade="BF"/>
          </w:tcPr>
          <w:p w14:paraId="304F6DF7" w14:textId="23D95A40" w:rsidR="00A5147D" w:rsidRPr="004E251E" w:rsidRDefault="00680742" w:rsidP="00680742">
            <w:pPr>
              <w:keepNext/>
              <w:tabs>
                <w:tab w:val="left" w:pos="709"/>
              </w:tabs>
              <w:jc w:val="center"/>
              <w:rPr>
                <w:rFonts w:cstheme="minorHAnsi"/>
                <w:b/>
                <w:bCs/>
                <w:sz w:val="20"/>
                <w:szCs w:val="20"/>
              </w:rPr>
            </w:pPr>
            <w:r>
              <w:rPr>
                <w:rFonts w:cstheme="minorHAnsi"/>
                <w:b/>
                <w:bCs/>
                <w:sz w:val="20"/>
                <w:szCs w:val="20"/>
                <w:lang w:val="el-GR"/>
              </w:rPr>
              <w:t>ΑΡΙΘΜΟΣ ΥΠΟΘΕΣΕΩΝ</w:t>
            </w:r>
          </w:p>
        </w:tc>
        <w:tc>
          <w:tcPr>
            <w:tcW w:w="1812" w:type="dxa"/>
            <w:shd w:val="clear" w:color="auto" w:fill="BFBFBF" w:themeFill="background1" w:themeFillShade="BF"/>
          </w:tcPr>
          <w:p w14:paraId="723A6196" w14:textId="37736608" w:rsidR="00A5147D" w:rsidRPr="004E251E" w:rsidRDefault="00680742" w:rsidP="000E066E">
            <w:pPr>
              <w:keepNext/>
              <w:tabs>
                <w:tab w:val="left" w:pos="709"/>
              </w:tabs>
              <w:jc w:val="center"/>
              <w:rPr>
                <w:rFonts w:cstheme="minorHAnsi"/>
                <w:b/>
                <w:bCs/>
                <w:sz w:val="20"/>
                <w:szCs w:val="20"/>
              </w:rPr>
            </w:pPr>
            <w:r>
              <w:rPr>
                <w:rFonts w:cstheme="minorHAnsi"/>
                <w:b/>
                <w:bCs/>
                <w:sz w:val="20"/>
                <w:szCs w:val="20"/>
                <w:lang w:val="el-GR"/>
              </w:rPr>
              <w:t>ΕΓΚΡΙ</w:t>
            </w:r>
            <w:r w:rsidR="000E066E">
              <w:rPr>
                <w:rFonts w:cstheme="minorHAnsi"/>
                <w:b/>
                <w:bCs/>
                <w:sz w:val="20"/>
                <w:szCs w:val="20"/>
                <w:lang w:val="el-GR"/>
              </w:rPr>
              <w:t>ΘΗΚΑΝ</w:t>
            </w:r>
            <w:r>
              <w:rPr>
                <w:rFonts w:cstheme="minorHAnsi"/>
                <w:b/>
                <w:bCs/>
                <w:sz w:val="20"/>
                <w:szCs w:val="20"/>
                <w:lang w:val="el-GR"/>
              </w:rPr>
              <w:t xml:space="preserve"> ΧΩΡΙΣ ΟΡΟΥΣ</w:t>
            </w:r>
          </w:p>
        </w:tc>
        <w:tc>
          <w:tcPr>
            <w:tcW w:w="1812" w:type="dxa"/>
            <w:shd w:val="clear" w:color="auto" w:fill="BFBFBF" w:themeFill="background1" w:themeFillShade="BF"/>
          </w:tcPr>
          <w:p w14:paraId="44BEB4EC" w14:textId="4C059ADF" w:rsidR="00A5147D" w:rsidRPr="004E251E" w:rsidRDefault="00680742" w:rsidP="000E066E">
            <w:pPr>
              <w:keepNext/>
              <w:tabs>
                <w:tab w:val="left" w:pos="709"/>
              </w:tabs>
              <w:jc w:val="center"/>
              <w:rPr>
                <w:rFonts w:cstheme="minorHAnsi"/>
                <w:b/>
                <w:bCs/>
                <w:sz w:val="20"/>
                <w:szCs w:val="20"/>
              </w:rPr>
            </w:pPr>
            <w:r>
              <w:rPr>
                <w:rFonts w:cstheme="minorHAnsi"/>
                <w:b/>
                <w:bCs/>
                <w:sz w:val="20"/>
                <w:szCs w:val="20"/>
                <w:lang w:val="el-GR"/>
              </w:rPr>
              <w:t>ΕΓΚΡΙ</w:t>
            </w:r>
            <w:r w:rsidR="000E066E">
              <w:rPr>
                <w:rFonts w:cstheme="minorHAnsi"/>
                <w:b/>
                <w:bCs/>
                <w:sz w:val="20"/>
                <w:szCs w:val="20"/>
                <w:lang w:val="el-GR"/>
              </w:rPr>
              <w:t>ΘΗΚΑΝ</w:t>
            </w:r>
            <w:r>
              <w:rPr>
                <w:rFonts w:cstheme="minorHAnsi"/>
                <w:b/>
                <w:bCs/>
                <w:sz w:val="20"/>
                <w:szCs w:val="20"/>
                <w:lang w:val="el-GR"/>
              </w:rPr>
              <w:t xml:space="preserve"> ΜΕ ΟΡΟΥΣ</w:t>
            </w:r>
          </w:p>
        </w:tc>
        <w:tc>
          <w:tcPr>
            <w:tcW w:w="1812" w:type="dxa"/>
            <w:shd w:val="clear" w:color="auto" w:fill="BFBFBF" w:themeFill="background1" w:themeFillShade="BF"/>
          </w:tcPr>
          <w:p w14:paraId="632F9E45" w14:textId="5962A661" w:rsidR="00A5147D" w:rsidRPr="004E251E" w:rsidRDefault="00680742" w:rsidP="000E066E">
            <w:pPr>
              <w:keepNext/>
              <w:tabs>
                <w:tab w:val="left" w:pos="709"/>
              </w:tabs>
              <w:jc w:val="center"/>
              <w:rPr>
                <w:rFonts w:cstheme="minorHAnsi"/>
                <w:b/>
                <w:bCs/>
                <w:sz w:val="20"/>
                <w:szCs w:val="20"/>
              </w:rPr>
            </w:pPr>
            <w:r>
              <w:rPr>
                <w:rFonts w:cstheme="minorHAnsi"/>
                <w:b/>
                <w:bCs/>
                <w:sz w:val="20"/>
                <w:szCs w:val="20"/>
                <w:lang w:val="el-GR"/>
              </w:rPr>
              <w:t>ΑΠΟΡΡΙΦΘ</w:t>
            </w:r>
            <w:r w:rsidR="000E066E">
              <w:rPr>
                <w:rFonts w:cstheme="minorHAnsi"/>
                <w:b/>
                <w:bCs/>
                <w:sz w:val="20"/>
                <w:szCs w:val="20"/>
                <w:lang w:val="el-GR"/>
              </w:rPr>
              <w:t>ΗΚΑΝ</w:t>
            </w:r>
          </w:p>
        </w:tc>
      </w:tr>
      <w:tr w:rsidR="00680742" w:rsidRPr="004E251E" w14:paraId="108E9EB3" w14:textId="77777777" w:rsidTr="00CF2E8A">
        <w:tc>
          <w:tcPr>
            <w:tcW w:w="1812" w:type="dxa"/>
          </w:tcPr>
          <w:p w14:paraId="4FA51E5B"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2019</w:t>
            </w:r>
          </w:p>
        </w:tc>
        <w:tc>
          <w:tcPr>
            <w:tcW w:w="1812" w:type="dxa"/>
          </w:tcPr>
          <w:p w14:paraId="0C8A64C6"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11</w:t>
            </w:r>
          </w:p>
        </w:tc>
        <w:tc>
          <w:tcPr>
            <w:tcW w:w="1812" w:type="dxa"/>
          </w:tcPr>
          <w:p w14:paraId="3448BFFF" w14:textId="78EDCA8E" w:rsidR="00A5147D" w:rsidRPr="004E251E" w:rsidRDefault="00123D10" w:rsidP="00A5147D">
            <w:pPr>
              <w:keepNext/>
              <w:tabs>
                <w:tab w:val="left" w:pos="709"/>
              </w:tabs>
              <w:jc w:val="center"/>
              <w:rPr>
                <w:rFonts w:cstheme="minorHAnsi"/>
                <w:sz w:val="20"/>
                <w:szCs w:val="20"/>
              </w:rPr>
            </w:pPr>
            <w:r>
              <w:rPr>
                <w:rFonts w:cstheme="minorHAnsi"/>
                <w:sz w:val="20"/>
                <w:szCs w:val="20"/>
              </w:rPr>
              <w:t>6</w:t>
            </w:r>
          </w:p>
        </w:tc>
        <w:tc>
          <w:tcPr>
            <w:tcW w:w="1812" w:type="dxa"/>
          </w:tcPr>
          <w:p w14:paraId="65FA58B9"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1</w:t>
            </w:r>
          </w:p>
        </w:tc>
        <w:tc>
          <w:tcPr>
            <w:tcW w:w="1812" w:type="dxa"/>
          </w:tcPr>
          <w:p w14:paraId="502AAF29"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4</w:t>
            </w:r>
          </w:p>
        </w:tc>
      </w:tr>
      <w:tr w:rsidR="00680742" w:rsidRPr="004E251E" w14:paraId="53D9DE53" w14:textId="77777777" w:rsidTr="00CF2E8A">
        <w:tc>
          <w:tcPr>
            <w:tcW w:w="1812" w:type="dxa"/>
          </w:tcPr>
          <w:p w14:paraId="4A6AF498"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2020</w:t>
            </w:r>
          </w:p>
        </w:tc>
        <w:tc>
          <w:tcPr>
            <w:tcW w:w="1812" w:type="dxa"/>
          </w:tcPr>
          <w:p w14:paraId="04365492"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17</w:t>
            </w:r>
          </w:p>
        </w:tc>
        <w:tc>
          <w:tcPr>
            <w:tcW w:w="1812" w:type="dxa"/>
          </w:tcPr>
          <w:p w14:paraId="3357275A"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10</w:t>
            </w:r>
          </w:p>
        </w:tc>
        <w:tc>
          <w:tcPr>
            <w:tcW w:w="1812" w:type="dxa"/>
          </w:tcPr>
          <w:p w14:paraId="318D7805"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6</w:t>
            </w:r>
          </w:p>
        </w:tc>
        <w:tc>
          <w:tcPr>
            <w:tcW w:w="1812" w:type="dxa"/>
          </w:tcPr>
          <w:p w14:paraId="1B4226DE"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1</w:t>
            </w:r>
          </w:p>
        </w:tc>
      </w:tr>
      <w:tr w:rsidR="00680742" w:rsidRPr="004E251E" w14:paraId="06DFD344" w14:textId="77777777" w:rsidTr="00CF2E8A">
        <w:tc>
          <w:tcPr>
            <w:tcW w:w="1812" w:type="dxa"/>
          </w:tcPr>
          <w:p w14:paraId="68330186" w14:textId="77777777" w:rsidR="00A5147D" w:rsidRPr="004E251E" w:rsidRDefault="00A5147D" w:rsidP="00CF2E8A">
            <w:pPr>
              <w:tabs>
                <w:tab w:val="left" w:pos="709"/>
              </w:tabs>
              <w:jc w:val="center"/>
              <w:rPr>
                <w:rFonts w:cstheme="minorHAnsi"/>
                <w:sz w:val="20"/>
                <w:szCs w:val="20"/>
              </w:rPr>
            </w:pPr>
            <w:r w:rsidRPr="004E251E">
              <w:rPr>
                <w:rFonts w:cstheme="minorHAnsi"/>
                <w:sz w:val="20"/>
                <w:szCs w:val="20"/>
              </w:rPr>
              <w:t>2021</w:t>
            </w:r>
          </w:p>
        </w:tc>
        <w:tc>
          <w:tcPr>
            <w:tcW w:w="1812" w:type="dxa"/>
          </w:tcPr>
          <w:p w14:paraId="07CE56B0" w14:textId="77777777" w:rsidR="00A5147D" w:rsidRPr="004E251E" w:rsidRDefault="00A5147D" w:rsidP="00CF2E8A">
            <w:pPr>
              <w:tabs>
                <w:tab w:val="left" w:pos="709"/>
              </w:tabs>
              <w:jc w:val="center"/>
              <w:rPr>
                <w:rFonts w:cstheme="minorHAnsi"/>
                <w:sz w:val="20"/>
                <w:szCs w:val="20"/>
              </w:rPr>
            </w:pPr>
            <w:r w:rsidRPr="004E251E">
              <w:rPr>
                <w:rFonts w:cstheme="minorHAnsi"/>
                <w:sz w:val="20"/>
                <w:szCs w:val="20"/>
              </w:rPr>
              <w:t>21</w:t>
            </w:r>
          </w:p>
        </w:tc>
        <w:tc>
          <w:tcPr>
            <w:tcW w:w="1812" w:type="dxa"/>
          </w:tcPr>
          <w:p w14:paraId="11E04BB9" w14:textId="77777777" w:rsidR="00A5147D" w:rsidRPr="004E251E" w:rsidRDefault="00A5147D" w:rsidP="00CF2E8A">
            <w:pPr>
              <w:tabs>
                <w:tab w:val="left" w:pos="709"/>
              </w:tabs>
              <w:jc w:val="center"/>
              <w:rPr>
                <w:rFonts w:cstheme="minorHAnsi"/>
                <w:sz w:val="20"/>
                <w:szCs w:val="20"/>
              </w:rPr>
            </w:pPr>
            <w:r w:rsidRPr="004E251E">
              <w:rPr>
                <w:rFonts w:cstheme="minorHAnsi"/>
                <w:sz w:val="20"/>
                <w:szCs w:val="20"/>
              </w:rPr>
              <w:t>8</w:t>
            </w:r>
          </w:p>
        </w:tc>
        <w:tc>
          <w:tcPr>
            <w:tcW w:w="1812" w:type="dxa"/>
          </w:tcPr>
          <w:p w14:paraId="64C5AB02" w14:textId="77777777" w:rsidR="00A5147D" w:rsidRPr="004E251E" w:rsidRDefault="00A5147D" w:rsidP="00CF2E8A">
            <w:pPr>
              <w:tabs>
                <w:tab w:val="left" w:pos="709"/>
              </w:tabs>
              <w:jc w:val="center"/>
              <w:rPr>
                <w:rFonts w:cstheme="minorHAnsi"/>
                <w:sz w:val="20"/>
                <w:szCs w:val="20"/>
              </w:rPr>
            </w:pPr>
            <w:r w:rsidRPr="004E251E">
              <w:rPr>
                <w:rFonts w:cstheme="minorHAnsi"/>
                <w:sz w:val="20"/>
                <w:szCs w:val="20"/>
              </w:rPr>
              <w:t>7</w:t>
            </w:r>
          </w:p>
        </w:tc>
        <w:tc>
          <w:tcPr>
            <w:tcW w:w="1812" w:type="dxa"/>
          </w:tcPr>
          <w:p w14:paraId="0E3E4B6A" w14:textId="77777777" w:rsidR="00A5147D" w:rsidRPr="004E251E" w:rsidRDefault="00A5147D" w:rsidP="00CF2E8A">
            <w:pPr>
              <w:tabs>
                <w:tab w:val="left" w:pos="709"/>
              </w:tabs>
              <w:jc w:val="center"/>
              <w:rPr>
                <w:rFonts w:cstheme="minorHAnsi"/>
                <w:sz w:val="20"/>
                <w:szCs w:val="20"/>
              </w:rPr>
            </w:pPr>
            <w:r w:rsidRPr="004E251E">
              <w:rPr>
                <w:rFonts w:cstheme="minorHAnsi"/>
                <w:sz w:val="20"/>
                <w:szCs w:val="20"/>
              </w:rPr>
              <w:t>6</w:t>
            </w:r>
          </w:p>
        </w:tc>
      </w:tr>
      <w:tr w:rsidR="00680742" w:rsidRPr="004E251E" w14:paraId="1CCA5161" w14:textId="77777777" w:rsidTr="00CF2E8A">
        <w:tc>
          <w:tcPr>
            <w:tcW w:w="1812" w:type="dxa"/>
          </w:tcPr>
          <w:p w14:paraId="53B87C31" w14:textId="77777777" w:rsidR="00A5147D" w:rsidRPr="004E251E" w:rsidRDefault="00A5147D" w:rsidP="00CF2E8A">
            <w:pPr>
              <w:tabs>
                <w:tab w:val="left" w:pos="709"/>
              </w:tabs>
              <w:jc w:val="center"/>
              <w:rPr>
                <w:rFonts w:cstheme="minorHAnsi"/>
                <w:sz w:val="20"/>
                <w:szCs w:val="20"/>
              </w:rPr>
            </w:pPr>
            <w:r w:rsidRPr="004E251E">
              <w:rPr>
                <w:rFonts w:cstheme="minorHAnsi"/>
                <w:sz w:val="20"/>
                <w:szCs w:val="20"/>
              </w:rPr>
              <w:t>2022</w:t>
            </w:r>
          </w:p>
        </w:tc>
        <w:tc>
          <w:tcPr>
            <w:tcW w:w="1812" w:type="dxa"/>
          </w:tcPr>
          <w:p w14:paraId="67814F3F" w14:textId="77777777" w:rsidR="00A5147D" w:rsidRPr="004E251E" w:rsidRDefault="00A5147D" w:rsidP="00CF2E8A">
            <w:pPr>
              <w:tabs>
                <w:tab w:val="left" w:pos="709"/>
              </w:tabs>
              <w:jc w:val="center"/>
              <w:rPr>
                <w:rFonts w:cstheme="minorHAnsi"/>
                <w:sz w:val="20"/>
                <w:szCs w:val="20"/>
              </w:rPr>
            </w:pPr>
            <w:r w:rsidRPr="004E251E">
              <w:rPr>
                <w:rFonts w:cstheme="minorHAnsi"/>
                <w:sz w:val="20"/>
                <w:szCs w:val="20"/>
              </w:rPr>
              <w:t>13</w:t>
            </w:r>
          </w:p>
        </w:tc>
        <w:tc>
          <w:tcPr>
            <w:tcW w:w="1812" w:type="dxa"/>
          </w:tcPr>
          <w:p w14:paraId="66CA0FDB" w14:textId="77777777" w:rsidR="00A5147D" w:rsidRPr="004E251E" w:rsidRDefault="00A5147D" w:rsidP="00CF2E8A">
            <w:pPr>
              <w:tabs>
                <w:tab w:val="left" w:pos="709"/>
              </w:tabs>
              <w:jc w:val="center"/>
              <w:rPr>
                <w:rFonts w:cstheme="minorHAnsi"/>
                <w:sz w:val="20"/>
                <w:szCs w:val="20"/>
              </w:rPr>
            </w:pPr>
            <w:r w:rsidRPr="004E251E">
              <w:rPr>
                <w:rFonts w:cstheme="minorHAnsi"/>
                <w:sz w:val="20"/>
                <w:szCs w:val="20"/>
              </w:rPr>
              <w:t>4</w:t>
            </w:r>
          </w:p>
        </w:tc>
        <w:tc>
          <w:tcPr>
            <w:tcW w:w="1812" w:type="dxa"/>
          </w:tcPr>
          <w:p w14:paraId="70CF3AF1" w14:textId="77777777" w:rsidR="00A5147D" w:rsidRPr="004E251E" w:rsidRDefault="00A5147D" w:rsidP="00CF2E8A">
            <w:pPr>
              <w:tabs>
                <w:tab w:val="left" w:pos="709"/>
              </w:tabs>
              <w:jc w:val="center"/>
              <w:rPr>
                <w:rFonts w:cstheme="minorHAnsi"/>
                <w:sz w:val="20"/>
                <w:szCs w:val="20"/>
              </w:rPr>
            </w:pPr>
            <w:r w:rsidRPr="004E251E">
              <w:rPr>
                <w:rFonts w:cstheme="minorHAnsi"/>
                <w:sz w:val="20"/>
                <w:szCs w:val="20"/>
              </w:rPr>
              <w:t>1</w:t>
            </w:r>
          </w:p>
        </w:tc>
        <w:tc>
          <w:tcPr>
            <w:tcW w:w="1812" w:type="dxa"/>
          </w:tcPr>
          <w:p w14:paraId="59152F74" w14:textId="77777777" w:rsidR="00A5147D" w:rsidRPr="004E251E" w:rsidRDefault="00A5147D" w:rsidP="00CF2E8A">
            <w:pPr>
              <w:tabs>
                <w:tab w:val="left" w:pos="709"/>
              </w:tabs>
              <w:jc w:val="center"/>
              <w:rPr>
                <w:rFonts w:cstheme="minorHAnsi"/>
                <w:sz w:val="20"/>
                <w:szCs w:val="20"/>
              </w:rPr>
            </w:pPr>
            <w:r w:rsidRPr="004E251E">
              <w:rPr>
                <w:rFonts w:cstheme="minorHAnsi"/>
                <w:sz w:val="20"/>
                <w:szCs w:val="20"/>
              </w:rPr>
              <w:t>8</w:t>
            </w:r>
          </w:p>
        </w:tc>
      </w:tr>
    </w:tbl>
    <w:p w14:paraId="18A0C0B8" w14:textId="77777777" w:rsidR="00A5147D" w:rsidRPr="004E251E" w:rsidRDefault="00A5147D" w:rsidP="00A5147D">
      <w:pPr>
        <w:pStyle w:val="ListParagraph"/>
        <w:rPr>
          <w:rFonts w:eastAsia="Times New Roman" w:cstheme="minorHAnsi"/>
          <w:sz w:val="24"/>
          <w:szCs w:val="24"/>
          <w:lang w:eastAsia="el-GR"/>
        </w:rPr>
      </w:pPr>
    </w:p>
    <w:p w14:paraId="6A0E1B72" w14:textId="6D2176BF" w:rsidR="00A5147D" w:rsidRPr="003B2919" w:rsidRDefault="00680742" w:rsidP="00A5147D">
      <w:pPr>
        <w:numPr>
          <w:ilvl w:val="0"/>
          <w:numId w:val="1"/>
        </w:numPr>
        <w:tabs>
          <w:tab w:val="clear" w:pos="6095"/>
          <w:tab w:val="left" w:pos="709"/>
        </w:tabs>
        <w:ind w:left="0" w:firstLine="0"/>
        <w:rPr>
          <w:rFonts w:cstheme="minorHAnsi"/>
          <w:sz w:val="24"/>
          <w:szCs w:val="24"/>
          <w:lang w:val="el-GR"/>
        </w:rPr>
      </w:pPr>
      <w:r>
        <w:rPr>
          <w:rFonts w:eastAsia="Times New Roman" w:cstheme="minorHAnsi"/>
          <w:sz w:val="24"/>
          <w:szCs w:val="24"/>
          <w:lang w:val="el-GR" w:eastAsia="el-GR"/>
        </w:rPr>
        <w:t>Η</w:t>
      </w:r>
      <w:r w:rsidR="00A5147D" w:rsidRPr="008E6E2E">
        <w:rPr>
          <w:rFonts w:eastAsia="Times New Roman" w:cstheme="minorHAnsi"/>
          <w:sz w:val="24"/>
          <w:szCs w:val="24"/>
          <w:lang w:val="el-GR" w:eastAsia="el-GR"/>
        </w:rPr>
        <w:t xml:space="preserve"> </w:t>
      </w:r>
      <w:r w:rsidR="00A5147D" w:rsidRPr="004E251E">
        <w:rPr>
          <w:rFonts w:eastAsia="Times New Roman" w:cstheme="minorHAnsi"/>
          <w:sz w:val="24"/>
          <w:szCs w:val="24"/>
          <w:lang w:eastAsia="el-GR"/>
        </w:rPr>
        <w:t>GET</w:t>
      </w:r>
      <w:r w:rsidR="00A5147D" w:rsidRPr="008E6E2E">
        <w:rPr>
          <w:rFonts w:eastAsia="Times New Roman" w:cstheme="minorHAnsi"/>
          <w:sz w:val="24"/>
          <w:szCs w:val="24"/>
          <w:lang w:val="el-GR" w:eastAsia="el-GR"/>
        </w:rPr>
        <w:t xml:space="preserve"> </w:t>
      </w:r>
      <w:r>
        <w:rPr>
          <w:rFonts w:eastAsia="Times New Roman" w:cstheme="minorHAnsi"/>
          <w:sz w:val="24"/>
          <w:szCs w:val="24"/>
          <w:lang w:val="el-GR" w:eastAsia="el-GR"/>
        </w:rPr>
        <w:t>σημειώνει</w:t>
      </w:r>
      <w:r w:rsidRPr="008E6E2E">
        <w:rPr>
          <w:rFonts w:eastAsia="Times New Roman" w:cstheme="minorHAnsi"/>
          <w:sz w:val="24"/>
          <w:szCs w:val="24"/>
          <w:lang w:val="el-GR" w:eastAsia="el-GR"/>
        </w:rPr>
        <w:t xml:space="preserve"> </w:t>
      </w:r>
      <w:r>
        <w:rPr>
          <w:rFonts w:eastAsia="Times New Roman" w:cstheme="minorHAnsi"/>
          <w:sz w:val="24"/>
          <w:szCs w:val="24"/>
          <w:lang w:val="el-GR" w:eastAsia="el-GR"/>
        </w:rPr>
        <w:t>ότι</w:t>
      </w:r>
      <w:r w:rsidR="00A5147D" w:rsidRPr="008E6E2E">
        <w:rPr>
          <w:rFonts w:eastAsia="Times New Roman" w:cstheme="minorHAnsi"/>
          <w:sz w:val="24"/>
          <w:szCs w:val="24"/>
          <w:lang w:val="el-GR" w:eastAsia="el-GR"/>
        </w:rPr>
        <w:t xml:space="preserve"> </w:t>
      </w:r>
      <w:r>
        <w:rPr>
          <w:rFonts w:eastAsia="Times New Roman" w:cstheme="minorHAnsi"/>
          <w:sz w:val="24"/>
          <w:szCs w:val="24"/>
          <w:lang w:val="el-GR" w:eastAsia="el-GR"/>
        </w:rPr>
        <w:t>το</w:t>
      </w:r>
      <w:r w:rsidRPr="008E6E2E">
        <w:rPr>
          <w:rFonts w:eastAsia="Times New Roman" w:cstheme="minorHAnsi"/>
          <w:sz w:val="24"/>
          <w:szCs w:val="24"/>
          <w:lang w:val="el-GR" w:eastAsia="el-GR"/>
        </w:rPr>
        <w:t xml:space="preserve"> </w:t>
      </w:r>
      <w:r>
        <w:rPr>
          <w:rFonts w:eastAsia="Times New Roman" w:cstheme="minorHAnsi"/>
          <w:sz w:val="24"/>
          <w:szCs w:val="24"/>
          <w:lang w:val="el-GR" w:eastAsia="el-GR"/>
        </w:rPr>
        <w:t>θέμα</w:t>
      </w:r>
      <w:r w:rsidRPr="008E6E2E">
        <w:rPr>
          <w:rFonts w:eastAsia="Times New Roman" w:cstheme="minorHAnsi"/>
          <w:sz w:val="24"/>
          <w:szCs w:val="24"/>
          <w:lang w:val="el-GR" w:eastAsia="el-GR"/>
        </w:rPr>
        <w:t xml:space="preserve"> </w:t>
      </w:r>
      <w:r w:rsidR="008E6E2E">
        <w:rPr>
          <w:rFonts w:eastAsia="Times New Roman" w:cstheme="minorHAnsi"/>
          <w:sz w:val="24"/>
          <w:szCs w:val="24"/>
          <w:lang w:val="el-GR" w:eastAsia="el-GR"/>
        </w:rPr>
        <w:t>με</w:t>
      </w:r>
      <w:r w:rsidRPr="008E6E2E">
        <w:rPr>
          <w:rFonts w:eastAsia="Times New Roman" w:cstheme="minorHAnsi"/>
          <w:sz w:val="24"/>
          <w:szCs w:val="24"/>
          <w:lang w:val="el-GR" w:eastAsia="el-GR"/>
        </w:rPr>
        <w:t xml:space="preserve"> </w:t>
      </w:r>
      <w:r w:rsidR="008E6E2E">
        <w:rPr>
          <w:rFonts w:eastAsia="Times New Roman" w:cstheme="minorHAnsi"/>
          <w:sz w:val="24"/>
          <w:szCs w:val="24"/>
          <w:lang w:val="el-GR" w:eastAsia="el-GR"/>
        </w:rPr>
        <w:t>τις</w:t>
      </w:r>
      <w:r w:rsidR="008E6E2E" w:rsidRPr="008E6E2E">
        <w:rPr>
          <w:rFonts w:eastAsia="Times New Roman" w:cstheme="minorHAnsi"/>
          <w:sz w:val="24"/>
          <w:szCs w:val="24"/>
          <w:lang w:val="el-GR" w:eastAsia="el-GR"/>
        </w:rPr>
        <w:t xml:space="preserve"> </w:t>
      </w:r>
      <w:r>
        <w:rPr>
          <w:rFonts w:eastAsia="Times New Roman" w:cstheme="minorHAnsi"/>
          <w:sz w:val="24"/>
          <w:szCs w:val="24"/>
          <w:lang w:val="el-GR" w:eastAsia="el-GR"/>
        </w:rPr>
        <w:t>περιστρεφόμεν</w:t>
      </w:r>
      <w:r w:rsidR="008E6E2E">
        <w:rPr>
          <w:rFonts w:eastAsia="Times New Roman" w:cstheme="minorHAnsi"/>
          <w:sz w:val="24"/>
          <w:szCs w:val="24"/>
          <w:lang w:val="el-GR" w:eastAsia="el-GR"/>
        </w:rPr>
        <w:t>ες</w:t>
      </w:r>
      <w:r w:rsidR="008E6E2E" w:rsidRPr="008E6E2E">
        <w:rPr>
          <w:rFonts w:eastAsia="Times New Roman" w:cstheme="minorHAnsi"/>
          <w:sz w:val="24"/>
          <w:szCs w:val="24"/>
          <w:lang w:val="el-GR" w:eastAsia="el-GR"/>
        </w:rPr>
        <w:t xml:space="preserve"> </w:t>
      </w:r>
      <w:r w:rsidR="008E6E2E">
        <w:rPr>
          <w:rFonts w:eastAsia="Times New Roman" w:cstheme="minorHAnsi"/>
          <w:sz w:val="24"/>
          <w:szCs w:val="24"/>
          <w:lang w:val="el-GR" w:eastAsia="el-GR"/>
        </w:rPr>
        <w:t>πόρτες</w:t>
      </w:r>
      <w:r w:rsidR="00A14BFA">
        <w:rPr>
          <w:rFonts w:cstheme="minorHAnsi"/>
          <w:color w:val="000000"/>
          <w:sz w:val="24"/>
          <w:szCs w:val="24"/>
          <w:lang w:val="el-GR"/>
        </w:rPr>
        <w:t xml:space="preserve"> (μεταπήδηση στον ιδιωτικό τομέα)</w:t>
      </w:r>
      <w:r w:rsidR="00A14BFA" w:rsidRPr="00A60538">
        <w:rPr>
          <w:rFonts w:cstheme="minorHAnsi"/>
          <w:color w:val="000000"/>
          <w:sz w:val="24"/>
          <w:szCs w:val="24"/>
          <w:lang w:val="el-GR"/>
        </w:rPr>
        <w:t xml:space="preserve">, </w:t>
      </w:r>
      <w:r w:rsidR="00A5147D" w:rsidRPr="008E6E2E">
        <w:rPr>
          <w:rFonts w:eastAsia="Times New Roman" w:cstheme="minorHAnsi"/>
          <w:sz w:val="24"/>
          <w:szCs w:val="24"/>
          <w:lang w:val="el-GR" w:eastAsia="el-GR"/>
        </w:rPr>
        <w:t xml:space="preserve"> </w:t>
      </w:r>
      <w:r w:rsidR="008E6E2E">
        <w:rPr>
          <w:rFonts w:eastAsia="Times New Roman" w:cstheme="minorHAnsi"/>
          <w:sz w:val="24"/>
          <w:szCs w:val="24"/>
          <w:lang w:val="el-GR" w:eastAsia="el-GR"/>
        </w:rPr>
        <w:t xml:space="preserve">είναι </w:t>
      </w:r>
      <w:r w:rsidR="00A14BFA">
        <w:rPr>
          <w:rFonts w:eastAsia="Times New Roman" w:cstheme="minorHAnsi"/>
          <w:sz w:val="24"/>
          <w:szCs w:val="24"/>
          <w:lang w:val="el-GR" w:eastAsia="el-GR"/>
        </w:rPr>
        <w:t xml:space="preserve">αρκετά </w:t>
      </w:r>
      <w:r w:rsidR="008E6E2E">
        <w:rPr>
          <w:rFonts w:eastAsia="Times New Roman" w:cstheme="minorHAnsi"/>
          <w:sz w:val="24"/>
          <w:szCs w:val="24"/>
          <w:lang w:val="el-GR" w:eastAsia="el-GR"/>
        </w:rPr>
        <w:t>επίκαιρο στην Κύπρο</w:t>
      </w:r>
      <w:r w:rsidR="00A5147D" w:rsidRPr="008E6E2E">
        <w:rPr>
          <w:rFonts w:eastAsia="Times New Roman" w:cstheme="minorHAnsi"/>
          <w:sz w:val="24"/>
          <w:szCs w:val="24"/>
          <w:lang w:val="el-GR" w:eastAsia="el-GR"/>
        </w:rPr>
        <w:t xml:space="preserve">. </w:t>
      </w:r>
      <w:r w:rsidR="008E6E2E">
        <w:rPr>
          <w:rFonts w:eastAsia="Times New Roman" w:cstheme="minorHAnsi"/>
          <w:sz w:val="24"/>
          <w:szCs w:val="24"/>
          <w:lang w:val="el-GR" w:eastAsia="el-GR"/>
        </w:rPr>
        <w:t>Οι</w:t>
      </w:r>
      <w:r w:rsidR="008E6E2E" w:rsidRPr="00BD2FA6">
        <w:rPr>
          <w:rFonts w:eastAsia="Times New Roman" w:cstheme="minorHAnsi"/>
          <w:sz w:val="24"/>
          <w:szCs w:val="24"/>
          <w:lang w:val="el-GR" w:eastAsia="el-GR"/>
        </w:rPr>
        <w:t xml:space="preserve"> </w:t>
      </w:r>
      <w:r w:rsidR="00A14BFA">
        <w:rPr>
          <w:rFonts w:eastAsia="Times New Roman" w:cstheme="minorHAnsi"/>
          <w:sz w:val="24"/>
          <w:szCs w:val="24"/>
          <w:lang w:val="el-GR" w:eastAsia="el-GR"/>
        </w:rPr>
        <w:t xml:space="preserve">σχετικοί </w:t>
      </w:r>
      <w:r w:rsidR="008E6E2E">
        <w:rPr>
          <w:rFonts w:eastAsia="Times New Roman" w:cstheme="minorHAnsi"/>
          <w:sz w:val="24"/>
          <w:szCs w:val="24"/>
          <w:lang w:val="el-GR" w:eastAsia="el-GR"/>
        </w:rPr>
        <w:t>κανόνες</w:t>
      </w:r>
      <w:r w:rsidR="008E6E2E" w:rsidRPr="00BD2FA6">
        <w:rPr>
          <w:rFonts w:eastAsia="Times New Roman" w:cstheme="minorHAnsi"/>
          <w:sz w:val="24"/>
          <w:szCs w:val="24"/>
          <w:lang w:val="el-GR" w:eastAsia="el-GR"/>
        </w:rPr>
        <w:t xml:space="preserve"> </w:t>
      </w:r>
      <w:r w:rsidR="008E6E2E">
        <w:rPr>
          <w:rFonts w:eastAsia="Times New Roman" w:cstheme="minorHAnsi"/>
          <w:sz w:val="24"/>
          <w:szCs w:val="24"/>
          <w:lang w:val="el-GR" w:eastAsia="el-GR"/>
        </w:rPr>
        <w:t>υιοθετήθηκαν</w:t>
      </w:r>
      <w:r w:rsidR="008E6E2E" w:rsidRPr="00BD2FA6">
        <w:rPr>
          <w:rFonts w:eastAsia="Times New Roman" w:cstheme="minorHAnsi"/>
          <w:sz w:val="24"/>
          <w:szCs w:val="24"/>
          <w:lang w:val="el-GR" w:eastAsia="el-GR"/>
        </w:rPr>
        <w:t xml:space="preserve"> </w:t>
      </w:r>
      <w:r w:rsidR="008E6E2E">
        <w:rPr>
          <w:rFonts w:eastAsia="Times New Roman" w:cstheme="minorHAnsi"/>
          <w:sz w:val="24"/>
          <w:szCs w:val="24"/>
          <w:lang w:val="el-GR" w:eastAsia="el-GR"/>
        </w:rPr>
        <w:t>το</w:t>
      </w:r>
      <w:r w:rsidR="00A5147D" w:rsidRPr="00BD2FA6">
        <w:rPr>
          <w:rFonts w:eastAsia="Times New Roman" w:cstheme="minorHAnsi"/>
          <w:sz w:val="24"/>
          <w:szCs w:val="24"/>
          <w:lang w:val="el-GR" w:eastAsia="el-GR"/>
        </w:rPr>
        <w:t xml:space="preserve"> 2007 (</w:t>
      </w:r>
      <w:r w:rsidR="008E6E2E">
        <w:rPr>
          <w:rFonts w:eastAsia="Times New Roman" w:cstheme="minorHAnsi"/>
          <w:sz w:val="24"/>
          <w:szCs w:val="24"/>
          <w:lang w:val="el-GR" w:eastAsia="el-GR"/>
        </w:rPr>
        <w:t>ως</w:t>
      </w:r>
      <w:r w:rsidR="00A14BFA">
        <w:rPr>
          <w:rFonts w:eastAsia="Times New Roman" w:cstheme="minorHAnsi"/>
          <w:sz w:val="24"/>
          <w:szCs w:val="24"/>
          <w:lang w:val="el-GR" w:eastAsia="el-GR"/>
        </w:rPr>
        <w:t xml:space="preserve"> έχουν τροποποιηθεί</w:t>
      </w:r>
      <w:r w:rsidR="00A5147D" w:rsidRPr="00BD2FA6">
        <w:rPr>
          <w:rFonts w:eastAsia="Times New Roman" w:cstheme="minorHAnsi"/>
          <w:sz w:val="24"/>
          <w:szCs w:val="24"/>
          <w:lang w:val="el-GR" w:eastAsia="el-GR"/>
        </w:rPr>
        <w:t xml:space="preserve">). </w:t>
      </w:r>
      <w:r w:rsidR="008E6E2E">
        <w:rPr>
          <w:rFonts w:eastAsia="Times New Roman" w:cstheme="minorHAnsi"/>
          <w:sz w:val="24"/>
          <w:szCs w:val="24"/>
          <w:lang w:val="el-GR" w:eastAsia="el-GR"/>
        </w:rPr>
        <w:t>Τα</w:t>
      </w:r>
      <w:r w:rsidR="008E6E2E" w:rsidRPr="008E6E2E">
        <w:rPr>
          <w:rFonts w:eastAsia="Times New Roman" w:cstheme="minorHAnsi"/>
          <w:sz w:val="24"/>
          <w:szCs w:val="24"/>
          <w:lang w:val="el-GR" w:eastAsia="el-GR"/>
        </w:rPr>
        <w:t xml:space="preserve"> </w:t>
      </w:r>
      <w:r w:rsidR="008E6E2E">
        <w:rPr>
          <w:rFonts w:eastAsia="Times New Roman" w:cstheme="minorHAnsi"/>
          <w:sz w:val="24"/>
          <w:szCs w:val="24"/>
          <w:lang w:val="el-GR" w:eastAsia="el-GR"/>
        </w:rPr>
        <w:t>μέσα</w:t>
      </w:r>
      <w:r w:rsidR="008E6E2E" w:rsidRPr="008E6E2E">
        <w:rPr>
          <w:rFonts w:eastAsia="Times New Roman" w:cstheme="minorHAnsi"/>
          <w:sz w:val="24"/>
          <w:szCs w:val="24"/>
          <w:lang w:val="el-GR" w:eastAsia="el-GR"/>
        </w:rPr>
        <w:t xml:space="preserve"> </w:t>
      </w:r>
      <w:r w:rsidR="008E6E2E">
        <w:rPr>
          <w:rFonts w:eastAsia="Times New Roman" w:cstheme="minorHAnsi"/>
          <w:sz w:val="24"/>
          <w:szCs w:val="24"/>
          <w:lang w:val="el-GR" w:eastAsia="el-GR"/>
        </w:rPr>
        <w:t>ενημέρωσης</w:t>
      </w:r>
      <w:r w:rsidR="008E6E2E" w:rsidRPr="008E6E2E">
        <w:rPr>
          <w:rFonts w:eastAsia="Times New Roman" w:cstheme="minorHAnsi"/>
          <w:sz w:val="24"/>
          <w:szCs w:val="24"/>
          <w:lang w:val="el-GR" w:eastAsia="el-GR"/>
        </w:rPr>
        <w:t xml:space="preserve"> </w:t>
      </w:r>
      <w:r w:rsidR="008E6E2E">
        <w:rPr>
          <w:rFonts w:eastAsia="Times New Roman" w:cstheme="minorHAnsi"/>
          <w:sz w:val="24"/>
          <w:szCs w:val="24"/>
          <w:lang w:val="el-GR" w:eastAsia="el-GR"/>
        </w:rPr>
        <w:t>έχουν</w:t>
      </w:r>
      <w:r w:rsidR="008E6E2E" w:rsidRPr="008E6E2E">
        <w:rPr>
          <w:rFonts w:eastAsia="Times New Roman" w:cstheme="minorHAnsi"/>
          <w:sz w:val="24"/>
          <w:szCs w:val="24"/>
          <w:lang w:val="el-GR" w:eastAsia="el-GR"/>
        </w:rPr>
        <w:t xml:space="preserve"> </w:t>
      </w:r>
      <w:r w:rsidR="008E6E2E">
        <w:rPr>
          <w:rFonts w:eastAsia="Times New Roman" w:cstheme="minorHAnsi"/>
          <w:sz w:val="24"/>
          <w:szCs w:val="24"/>
          <w:lang w:val="el-GR" w:eastAsia="el-GR"/>
        </w:rPr>
        <w:t>αποκαλύψει</w:t>
      </w:r>
      <w:r w:rsidR="00A5147D" w:rsidRPr="008E6E2E">
        <w:rPr>
          <w:sz w:val="24"/>
          <w:szCs w:val="24"/>
          <w:lang w:val="el-GR"/>
        </w:rPr>
        <w:t xml:space="preserve">, </w:t>
      </w:r>
      <w:r w:rsidR="008E6E2E">
        <w:rPr>
          <w:sz w:val="24"/>
          <w:szCs w:val="24"/>
          <w:lang w:val="el-GR"/>
        </w:rPr>
        <w:t>σε</w:t>
      </w:r>
      <w:r w:rsidR="008E6E2E" w:rsidRPr="008E6E2E">
        <w:rPr>
          <w:sz w:val="24"/>
          <w:szCs w:val="24"/>
          <w:lang w:val="el-GR"/>
        </w:rPr>
        <w:t xml:space="preserve"> </w:t>
      </w:r>
      <w:r w:rsidR="008E6E2E">
        <w:rPr>
          <w:sz w:val="24"/>
          <w:szCs w:val="24"/>
          <w:lang w:val="el-GR"/>
        </w:rPr>
        <w:t>αρκετές</w:t>
      </w:r>
      <w:r w:rsidR="008E6E2E" w:rsidRPr="008E6E2E">
        <w:rPr>
          <w:sz w:val="24"/>
          <w:szCs w:val="24"/>
          <w:lang w:val="el-GR"/>
        </w:rPr>
        <w:t xml:space="preserve"> </w:t>
      </w:r>
      <w:r w:rsidR="008E6E2E">
        <w:rPr>
          <w:sz w:val="24"/>
          <w:szCs w:val="24"/>
          <w:lang w:val="el-GR"/>
        </w:rPr>
        <w:t>περιπτώσεις</w:t>
      </w:r>
      <w:r w:rsidR="00193F38" w:rsidRPr="008E6E2E">
        <w:rPr>
          <w:sz w:val="24"/>
          <w:szCs w:val="24"/>
          <w:lang w:val="el-GR"/>
        </w:rPr>
        <w:t xml:space="preserve"> (</w:t>
      </w:r>
      <w:r w:rsidR="008E6E2E">
        <w:rPr>
          <w:sz w:val="24"/>
          <w:szCs w:val="24"/>
          <w:lang w:val="el-GR"/>
        </w:rPr>
        <w:t>ειδικά</w:t>
      </w:r>
      <w:r w:rsidR="008E6E2E" w:rsidRPr="008E6E2E">
        <w:rPr>
          <w:sz w:val="24"/>
          <w:szCs w:val="24"/>
          <w:lang w:val="el-GR"/>
        </w:rPr>
        <w:t xml:space="preserve"> </w:t>
      </w:r>
      <w:r w:rsidR="008E6E2E">
        <w:rPr>
          <w:sz w:val="24"/>
          <w:szCs w:val="24"/>
          <w:lang w:val="el-GR"/>
        </w:rPr>
        <w:t>πριν</w:t>
      </w:r>
      <w:r w:rsidR="008E6E2E" w:rsidRPr="008E6E2E">
        <w:rPr>
          <w:sz w:val="24"/>
          <w:szCs w:val="24"/>
          <w:lang w:val="el-GR"/>
        </w:rPr>
        <w:t xml:space="preserve"> </w:t>
      </w:r>
      <w:r w:rsidR="008E6E2E">
        <w:rPr>
          <w:sz w:val="24"/>
          <w:szCs w:val="24"/>
          <w:lang w:val="el-GR"/>
        </w:rPr>
        <w:t>το</w:t>
      </w:r>
      <w:r w:rsidR="00193F38" w:rsidRPr="008E6E2E">
        <w:rPr>
          <w:sz w:val="24"/>
          <w:szCs w:val="24"/>
          <w:lang w:val="el-GR"/>
        </w:rPr>
        <w:t xml:space="preserve"> 2007)</w:t>
      </w:r>
      <w:r w:rsidR="00A5147D" w:rsidRPr="008E6E2E">
        <w:rPr>
          <w:sz w:val="24"/>
          <w:szCs w:val="24"/>
          <w:lang w:val="el-GR"/>
        </w:rPr>
        <w:t>,</w:t>
      </w:r>
      <w:r w:rsidR="00123D10" w:rsidRPr="008E6E2E">
        <w:rPr>
          <w:sz w:val="24"/>
          <w:szCs w:val="24"/>
          <w:lang w:val="el-GR"/>
        </w:rPr>
        <w:t xml:space="preserve"> </w:t>
      </w:r>
      <w:r w:rsidR="008E6E2E">
        <w:rPr>
          <w:sz w:val="24"/>
          <w:szCs w:val="24"/>
          <w:lang w:val="el-GR"/>
        </w:rPr>
        <w:t>την</w:t>
      </w:r>
      <w:r w:rsidR="008E6E2E" w:rsidRPr="008E6E2E">
        <w:rPr>
          <w:sz w:val="24"/>
          <w:szCs w:val="24"/>
          <w:lang w:val="el-GR"/>
        </w:rPr>
        <w:t xml:space="preserve"> </w:t>
      </w:r>
      <w:r w:rsidR="008E6E2E">
        <w:rPr>
          <w:sz w:val="24"/>
          <w:szCs w:val="24"/>
          <w:lang w:val="el-GR"/>
        </w:rPr>
        <w:t>ύπαρξη</w:t>
      </w:r>
      <w:r w:rsidR="008E6E2E" w:rsidRPr="008E6E2E">
        <w:rPr>
          <w:sz w:val="24"/>
          <w:szCs w:val="24"/>
          <w:lang w:val="el-GR"/>
        </w:rPr>
        <w:t xml:space="preserve"> </w:t>
      </w:r>
      <w:r w:rsidR="008E6E2E">
        <w:rPr>
          <w:sz w:val="24"/>
          <w:szCs w:val="24"/>
          <w:lang w:val="el-GR"/>
        </w:rPr>
        <w:t>μιας</w:t>
      </w:r>
      <w:r w:rsidR="008E6E2E" w:rsidRPr="008E6E2E">
        <w:rPr>
          <w:sz w:val="24"/>
          <w:szCs w:val="24"/>
          <w:lang w:val="el-GR"/>
        </w:rPr>
        <w:t xml:space="preserve"> </w:t>
      </w:r>
      <w:r w:rsidR="008E6E2E">
        <w:rPr>
          <w:sz w:val="24"/>
          <w:szCs w:val="24"/>
          <w:lang w:val="el-GR"/>
        </w:rPr>
        <w:t>απευθείας</w:t>
      </w:r>
      <w:r w:rsidR="008E6E2E" w:rsidRPr="008E6E2E">
        <w:rPr>
          <w:sz w:val="24"/>
          <w:szCs w:val="24"/>
          <w:lang w:val="el-GR"/>
        </w:rPr>
        <w:t xml:space="preserve"> </w:t>
      </w:r>
      <w:r w:rsidR="008E6E2E">
        <w:rPr>
          <w:sz w:val="24"/>
          <w:szCs w:val="24"/>
          <w:lang w:val="el-GR"/>
        </w:rPr>
        <w:t>σχέσης</w:t>
      </w:r>
      <w:r w:rsidR="008E6E2E" w:rsidRPr="008E6E2E">
        <w:rPr>
          <w:sz w:val="24"/>
          <w:szCs w:val="24"/>
          <w:lang w:val="el-GR"/>
        </w:rPr>
        <w:t xml:space="preserve"> </w:t>
      </w:r>
      <w:r w:rsidR="008E6E2E">
        <w:rPr>
          <w:sz w:val="24"/>
          <w:szCs w:val="24"/>
          <w:lang w:val="el-GR"/>
        </w:rPr>
        <w:t>μεταξύ</w:t>
      </w:r>
      <w:r w:rsidR="008E6E2E" w:rsidRPr="008E6E2E">
        <w:rPr>
          <w:sz w:val="24"/>
          <w:szCs w:val="24"/>
          <w:lang w:val="el-GR"/>
        </w:rPr>
        <w:t xml:space="preserve"> </w:t>
      </w:r>
      <w:r w:rsidR="008E6E2E">
        <w:rPr>
          <w:sz w:val="24"/>
          <w:szCs w:val="24"/>
          <w:lang w:val="el-GR"/>
        </w:rPr>
        <w:t>της</w:t>
      </w:r>
      <w:r w:rsidR="008E6E2E" w:rsidRPr="008E6E2E">
        <w:rPr>
          <w:sz w:val="24"/>
          <w:szCs w:val="24"/>
          <w:lang w:val="el-GR"/>
        </w:rPr>
        <w:t xml:space="preserve"> </w:t>
      </w:r>
      <w:r w:rsidR="008E6E2E">
        <w:rPr>
          <w:sz w:val="24"/>
          <w:szCs w:val="24"/>
          <w:lang w:val="el-GR"/>
        </w:rPr>
        <w:t>δραστηριότητας</w:t>
      </w:r>
      <w:r w:rsidR="008E6E2E" w:rsidRPr="008E6E2E">
        <w:rPr>
          <w:sz w:val="24"/>
          <w:szCs w:val="24"/>
          <w:lang w:val="el-GR"/>
        </w:rPr>
        <w:t xml:space="preserve"> </w:t>
      </w:r>
      <w:r w:rsidR="008E6E2E">
        <w:rPr>
          <w:sz w:val="24"/>
          <w:szCs w:val="24"/>
          <w:lang w:val="el-GR"/>
        </w:rPr>
        <w:t>που</w:t>
      </w:r>
      <w:r w:rsidR="008E6E2E" w:rsidRPr="008E6E2E">
        <w:rPr>
          <w:sz w:val="24"/>
          <w:szCs w:val="24"/>
          <w:lang w:val="el-GR"/>
        </w:rPr>
        <w:t xml:space="preserve"> </w:t>
      </w:r>
      <w:r w:rsidR="008E6E2E">
        <w:rPr>
          <w:sz w:val="24"/>
          <w:szCs w:val="24"/>
          <w:lang w:val="el-GR"/>
        </w:rPr>
        <w:t>εκτελείται</w:t>
      </w:r>
      <w:r w:rsidR="008E6E2E" w:rsidRPr="008E6E2E">
        <w:rPr>
          <w:sz w:val="24"/>
          <w:szCs w:val="24"/>
          <w:lang w:val="el-GR"/>
        </w:rPr>
        <w:t xml:space="preserve"> </w:t>
      </w:r>
      <w:r w:rsidR="008E6E2E">
        <w:rPr>
          <w:sz w:val="24"/>
          <w:szCs w:val="24"/>
          <w:lang w:val="el-GR"/>
        </w:rPr>
        <w:t>από</w:t>
      </w:r>
      <w:r w:rsidR="00A14BFA">
        <w:rPr>
          <w:sz w:val="24"/>
          <w:szCs w:val="24"/>
          <w:lang w:val="el-GR"/>
        </w:rPr>
        <w:t xml:space="preserve"> </w:t>
      </w:r>
      <w:r w:rsidR="00A14BFA">
        <w:rPr>
          <w:sz w:val="24"/>
          <w:szCs w:val="24"/>
          <w:lang w:val="en-US"/>
        </w:rPr>
        <w:t>PTEF</w:t>
      </w:r>
      <w:r w:rsidR="008E6E2E" w:rsidRPr="008E6E2E">
        <w:rPr>
          <w:sz w:val="24"/>
          <w:szCs w:val="24"/>
          <w:lang w:val="el-GR"/>
        </w:rPr>
        <w:t xml:space="preserve"> </w:t>
      </w:r>
      <w:r w:rsidR="008E6E2E">
        <w:rPr>
          <w:sz w:val="24"/>
          <w:szCs w:val="24"/>
          <w:lang w:val="el-GR"/>
        </w:rPr>
        <w:t>ενώ</w:t>
      </w:r>
      <w:r w:rsidR="008E6E2E" w:rsidRPr="008E6E2E">
        <w:rPr>
          <w:sz w:val="24"/>
          <w:szCs w:val="24"/>
          <w:lang w:val="el-GR"/>
        </w:rPr>
        <w:t xml:space="preserve"> </w:t>
      </w:r>
      <w:r w:rsidR="008E6E2E">
        <w:rPr>
          <w:sz w:val="24"/>
          <w:szCs w:val="24"/>
          <w:lang w:val="el-GR"/>
        </w:rPr>
        <w:t>έχουν</w:t>
      </w:r>
      <w:r w:rsidR="008E6E2E" w:rsidRPr="008E6E2E">
        <w:rPr>
          <w:sz w:val="24"/>
          <w:szCs w:val="24"/>
          <w:lang w:val="el-GR"/>
        </w:rPr>
        <w:t xml:space="preserve"> </w:t>
      </w:r>
      <w:r w:rsidR="008E6E2E">
        <w:rPr>
          <w:sz w:val="24"/>
          <w:szCs w:val="24"/>
          <w:lang w:val="el-GR"/>
        </w:rPr>
        <w:t>το</w:t>
      </w:r>
      <w:r w:rsidR="008E6E2E" w:rsidRPr="008E6E2E">
        <w:rPr>
          <w:sz w:val="24"/>
          <w:szCs w:val="24"/>
          <w:lang w:val="el-GR"/>
        </w:rPr>
        <w:t xml:space="preserve"> </w:t>
      </w:r>
      <w:r w:rsidR="008E6E2E">
        <w:rPr>
          <w:sz w:val="24"/>
          <w:szCs w:val="24"/>
          <w:lang w:val="el-GR"/>
        </w:rPr>
        <w:t>αξίωμα</w:t>
      </w:r>
      <w:r w:rsidR="008E6E2E" w:rsidRPr="008E6E2E">
        <w:rPr>
          <w:sz w:val="24"/>
          <w:szCs w:val="24"/>
          <w:lang w:val="el-GR"/>
        </w:rPr>
        <w:t xml:space="preserve">, </w:t>
      </w:r>
      <w:r w:rsidR="008E6E2E">
        <w:rPr>
          <w:sz w:val="24"/>
          <w:szCs w:val="24"/>
          <w:lang w:val="el-GR"/>
        </w:rPr>
        <w:t>και</w:t>
      </w:r>
      <w:r w:rsidR="008E6E2E" w:rsidRPr="008E6E2E">
        <w:rPr>
          <w:sz w:val="24"/>
          <w:szCs w:val="24"/>
          <w:lang w:val="el-GR"/>
        </w:rPr>
        <w:t xml:space="preserve"> </w:t>
      </w:r>
      <w:r w:rsidR="008E6E2E">
        <w:rPr>
          <w:sz w:val="24"/>
          <w:szCs w:val="24"/>
          <w:lang w:val="el-GR"/>
        </w:rPr>
        <w:t>τις</w:t>
      </w:r>
      <w:r w:rsidR="008E6E2E" w:rsidRPr="008E6E2E">
        <w:rPr>
          <w:sz w:val="24"/>
          <w:szCs w:val="24"/>
          <w:lang w:val="el-GR"/>
        </w:rPr>
        <w:t xml:space="preserve"> </w:t>
      </w:r>
      <w:r w:rsidR="008E6E2E">
        <w:rPr>
          <w:sz w:val="24"/>
          <w:szCs w:val="24"/>
          <w:lang w:val="el-GR"/>
        </w:rPr>
        <w:t xml:space="preserve">νέες αρμοδιότητες που αποκτούν στον ιδιωτικό τομέα </w:t>
      </w:r>
      <w:r w:rsidR="000E066E">
        <w:rPr>
          <w:sz w:val="24"/>
          <w:szCs w:val="24"/>
          <w:lang w:val="el-GR"/>
        </w:rPr>
        <w:t>μετ</w:t>
      </w:r>
      <w:r w:rsidR="008E6E2E">
        <w:rPr>
          <w:sz w:val="24"/>
          <w:szCs w:val="24"/>
          <w:lang w:val="el-GR"/>
        </w:rPr>
        <w:t>έπειτα</w:t>
      </w:r>
      <w:r w:rsidR="00193F38" w:rsidRPr="008E6E2E">
        <w:rPr>
          <w:sz w:val="24"/>
          <w:szCs w:val="24"/>
          <w:lang w:val="el-GR"/>
        </w:rPr>
        <w:t xml:space="preserve"> (</w:t>
      </w:r>
      <w:r w:rsidR="008E6E2E">
        <w:rPr>
          <w:sz w:val="24"/>
          <w:szCs w:val="24"/>
          <w:lang w:val="el-GR"/>
        </w:rPr>
        <w:t>π</w:t>
      </w:r>
      <w:r w:rsidR="00A5147D" w:rsidRPr="008E6E2E">
        <w:rPr>
          <w:sz w:val="24"/>
          <w:szCs w:val="24"/>
          <w:lang w:val="el-GR"/>
        </w:rPr>
        <w:t>.</w:t>
      </w:r>
      <w:r w:rsidR="008E6E2E">
        <w:rPr>
          <w:sz w:val="24"/>
          <w:szCs w:val="24"/>
          <w:lang w:val="el-GR"/>
        </w:rPr>
        <w:t>χ</w:t>
      </w:r>
      <w:r w:rsidR="00A5147D" w:rsidRPr="008E6E2E">
        <w:rPr>
          <w:sz w:val="24"/>
          <w:szCs w:val="24"/>
          <w:lang w:val="el-GR"/>
        </w:rPr>
        <w:t xml:space="preserve">. </w:t>
      </w:r>
      <w:r w:rsidR="008E6E2E">
        <w:rPr>
          <w:sz w:val="24"/>
          <w:szCs w:val="24"/>
          <w:lang w:val="el-GR"/>
        </w:rPr>
        <w:t>στους τομείς υγείας, ενέργειας, τραπεζ</w:t>
      </w:r>
      <w:r w:rsidR="000E066E">
        <w:rPr>
          <w:sz w:val="24"/>
          <w:szCs w:val="24"/>
          <w:lang w:val="el-GR"/>
        </w:rPr>
        <w:t>ικό</w:t>
      </w:r>
      <w:r w:rsidR="00A5147D" w:rsidRPr="008E6E2E">
        <w:rPr>
          <w:sz w:val="24"/>
          <w:szCs w:val="24"/>
          <w:lang w:val="el-GR"/>
        </w:rPr>
        <w:t xml:space="preserve">, </w:t>
      </w:r>
      <w:r w:rsidR="008E6E2E">
        <w:rPr>
          <w:sz w:val="24"/>
          <w:szCs w:val="24"/>
          <w:lang w:val="el-GR"/>
        </w:rPr>
        <w:t>κλπ</w:t>
      </w:r>
      <w:r w:rsidR="00A5147D" w:rsidRPr="008E6E2E">
        <w:rPr>
          <w:sz w:val="24"/>
          <w:szCs w:val="24"/>
          <w:lang w:val="el-GR"/>
        </w:rPr>
        <w:t xml:space="preserve">.). </w:t>
      </w:r>
      <w:r w:rsidR="008E6E2E">
        <w:rPr>
          <w:sz w:val="24"/>
          <w:szCs w:val="24"/>
          <w:lang w:val="el-GR"/>
        </w:rPr>
        <w:t>Η</w:t>
      </w:r>
      <w:r w:rsidR="00A5147D" w:rsidRPr="00823E25">
        <w:rPr>
          <w:sz w:val="24"/>
          <w:szCs w:val="24"/>
          <w:lang w:val="el-GR"/>
        </w:rPr>
        <w:t xml:space="preserve"> </w:t>
      </w:r>
      <w:r w:rsidR="00A5147D" w:rsidRPr="00942C8B">
        <w:rPr>
          <w:sz w:val="24"/>
          <w:szCs w:val="24"/>
        </w:rPr>
        <w:t>GET</w:t>
      </w:r>
      <w:r w:rsidR="00A5147D" w:rsidRPr="00823E25">
        <w:rPr>
          <w:sz w:val="24"/>
          <w:szCs w:val="24"/>
          <w:lang w:val="el-GR"/>
        </w:rPr>
        <w:t xml:space="preserve"> </w:t>
      </w:r>
      <w:r w:rsidR="008E6E2E">
        <w:rPr>
          <w:sz w:val="24"/>
          <w:szCs w:val="24"/>
          <w:lang w:val="el-GR"/>
        </w:rPr>
        <w:t>καλωσορίζει</w:t>
      </w:r>
      <w:r w:rsidR="008E6E2E" w:rsidRPr="00823E25">
        <w:rPr>
          <w:sz w:val="24"/>
          <w:szCs w:val="24"/>
          <w:lang w:val="el-GR"/>
        </w:rPr>
        <w:t xml:space="preserve"> </w:t>
      </w:r>
      <w:r w:rsidR="008E6E2E">
        <w:rPr>
          <w:sz w:val="24"/>
          <w:szCs w:val="24"/>
          <w:lang w:val="el-GR"/>
        </w:rPr>
        <w:t>το</w:t>
      </w:r>
      <w:r w:rsidR="008E6E2E" w:rsidRPr="00823E25">
        <w:rPr>
          <w:sz w:val="24"/>
          <w:szCs w:val="24"/>
          <w:lang w:val="el-GR"/>
        </w:rPr>
        <w:t xml:space="preserve"> </w:t>
      </w:r>
      <w:r w:rsidR="008E6E2E">
        <w:rPr>
          <w:sz w:val="24"/>
          <w:szCs w:val="24"/>
          <w:lang w:val="el-GR"/>
        </w:rPr>
        <w:t>ότι</w:t>
      </w:r>
      <w:r w:rsidR="008E6E2E" w:rsidRPr="00823E25">
        <w:rPr>
          <w:sz w:val="24"/>
          <w:szCs w:val="24"/>
          <w:lang w:val="el-GR"/>
        </w:rPr>
        <w:t xml:space="preserve"> </w:t>
      </w:r>
      <w:r w:rsidR="008E6E2E">
        <w:rPr>
          <w:sz w:val="24"/>
          <w:szCs w:val="24"/>
          <w:lang w:val="el-GR"/>
        </w:rPr>
        <w:t>ο</w:t>
      </w:r>
      <w:r w:rsidR="008E6E2E" w:rsidRPr="00823E25">
        <w:rPr>
          <w:sz w:val="24"/>
          <w:szCs w:val="24"/>
          <w:lang w:val="el-GR"/>
        </w:rPr>
        <w:t xml:space="preserve"> </w:t>
      </w:r>
      <w:r w:rsidR="008E6E2E">
        <w:rPr>
          <w:sz w:val="24"/>
          <w:szCs w:val="24"/>
          <w:lang w:val="el-GR"/>
        </w:rPr>
        <w:t>νόμος</w:t>
      </w:r>
      <w:r w:rsidR="008E6E2E" w:rsidRPr="00823E25">
        <w:rPr>
          <w:sz w:val="24"/>
          <w:szCs w:val="24"/>
          <w:lang w:val="el-GR"/>
        </w:rPr>
        <w:t xml:space="preserve"> </w:t>
      </w:r>
      <w:r w:rsidR="008E6E2E">
        <w:rPr>
          <w:sz w:val="24"/>
          <w:szCs w:val="24"/>
          <w:lang w:val="el-GR"/>
        </w:rPr>
        <w:t>προβλέπει</w:t>
      </w:r>
      <w:r w:rsidR="008E6E2E" w:rsidRPr="00823E25">
        <w:rPr>
          <w:sz w:val="24"/>
          <w:szCs w:val="24"/>
          <w:lang w:val="el-GR"/>
        </w:rPr>
        <w:t xml:space="preserve"> </w:t>
      </w:r>
      <w:r w:rsidR="008E6E2E">
        <w:rPr>
          <w:sz w:val="24"/>
          <w:szCs w:val="24"/>
          <w:lang w:val="el-GR"/>
        </w:rPr>
        <w:t>για</w:t>
      </w:r>
      <w:r w:rsidR="008E6E2E" w:rsidRPr="00823E25">
        <w:rPr>
          <w:sz w:val="24"/>
          <w:szCs w:val="24"/>
          <w:lang w:val="el-GR"/>
        </w:rPr>
        <w:t xml:space="preserve"> </w:t>
      </w:r>
      <w:r w:rsidR="008E6E2E">
        <w:rPr>
          <w:sz w:val="24"/>
          <w:szCs w:val="24"/>
          <w:lang w:val="el-GR"/>
        </w:rPr>
        <w:t>την</w:t>
      </w:r>
      <w:r w:rsidR="008E6E2E" w:rsidRPr="00823E25">
        <w:rPr>
          <w:sz w:val="24"/>
          <w:szCs w:val="24"/>
          <w:lang w:val="el-GR"/>
        </w:rPr>
        <w:t xml:space="preserve"> </w:t>
      </w:r>
      <w:r w:rsidR="008E6E2E">
        <w:rPr>
          <w:sz w:val="24"/>
          <w:szCs w:val="24"/>
          <w:lang w:val="el-GR"/>
        </w:rPr>
        <w:t>Επιτροπή</w:t>
      </w:r>
      <w:r w:rsidR="008E6E2E" w:rsidRPr="00823E25">
        <w:rPr>
          <w:sz w:val="24"/>
          <w:szCs w:val="24"/>
          <w:lang w:val="el-GR"/>
        </w:rPr>
        <w:t xml:space="preserve"> </w:t>
      </w:r>
      <w:r w:rsidR="008E6E2E">
        <w:rPr>
          <w:sz w:val="24"/>
          <w:szCs w:val="24"/>
          <w:lang w:val="el-GR"/>
        </w:rPr>
        <w:t>να</w:t>
      </w:r>
      <w:r w:rsidR="008E6E2E" w:rsidRPr="00823E25">
        <w:rPr>
          <w:sz w:val="24"/>
          <w:szCs w:val="24"/>
          <w:lang w:val="el-GR"/>
        </w:rPr>
        <w:t xml:space="preserve"> </w:t>
      </w:r>
      <w:r w:rsidR="008E6E2E">
        <w:rPr>
          <w:sz w:val="24"/>
          <w:szCs w:val="24"/>
          <w:lang w:val="el-GR"/>
        </w:rPr>
        <w:t>ενεργήσει</w:t>
      </w:r>
      <w:r w:rsidR="008E6E2E" w:rsidRPr="00823E25">
        <w:rPr>
          <w:sz w:val="24"/>
          <w:szCs w:val="24"/>
          <w:lang w:val="el-GR"/>
        </w:rPr>
        <w:t xml:space="preserve"> </w:t>
      </w:r>
      <w:r w:rsidR="008E6E2E">
        <w:rPr>
          <w:sz w:val="24"/>
          <w:szCs w:val="24"/>
          <w:lang w:val="el-GR"/>
        </w:rPr>
        <w:t>όταν</w:t>
      </w:r>
      <w:r w:rsidR="008E6E2E" w:rsidRPr="00823E25">
        <w:rPr>
          <w:sz w:val="24"/>
          <w:szCs w:val="24"/>
          <w:lang w:val="el-GR"/>
        </w:rPr>
        <w:t xml:space="preserve"> </w:t>
      </w:r>
      <w:r w:rsidR="008E6E2E">
        <w:rPr>
          <w:sz w:val="24"/>
          <w:szCs w:val="24"/>
          <w:lang w:val="el-GR"/>
        </w:rPr>
        <w:t>κληθεί</w:t>
      </w:r>
      <w:r w:rsidR="00A5147D" w:rsidRPr="00823E25">
        <w:rPr>
          <w:sz w:val="24"/>
          <w:szCs w:val="24"/>
          <w:lang w:val="el-GR"/>
        </w:rPr>
        <w:t xml:space="preserve"> </w:t>
      </w:r>
      <w:r w:rsidR="00617B6B">
        <w:rPr>
          <w:sz w:val="24"/>
          <w:szCs w:val="24"/>
          <w:lang w:val="el-GR"/>
        </w:rPr>
        <w:t xml:space="preserve">(αλλά) </w:t>
      </w:r>
      <w:r w:rsidR="008E6E2E">
        <w:rPr>
          <w:sz w:val="24"/>
          <w:szCs w:val="24"/>
          <w:lang w:val="el-GR"/>
        </w:rPr>
        <w:t>και</w:t>
      </w:r>
      <w:r w:rsidR="008E6E2E" w:rsidRPr="00823E25">
        <w:rPr>
          <w:sz w:val="24"/>
          <w:szCs w:val="24"/>
          <w:lang w:val="el-GR"/>
        </w:rPr>
        <w:t xml:space="preserve"> </w:t>
      </w:r>
      <w:r w:rsidR="00A14BFA">
        <w:rPr>
          <w:sz w:val="24"/>
          <w:szCs w:val="24"/>
          <w:lang w:val="el-GR"/>
        </w:rPr>
        <w:t xml:space="preserve">αυτεπάγγελτα </w:t>
      </w:r>
      <w:r w:rsidR="000E066E">
        <w:rPr>
          <w:i/>
          <w:iCs/>
          <w:sz w:val="24"/>
          <w:szCs w:val="24"/>
          <w:lang w:val="el-GR"/>
        </w:rPr>
        <w:t>(</w:t>
      </w:r>
      <w:r w:rsidR="000E066E">
        <w:rPr>
          <w:i/>
          <w:iCs/>
          <w:sz w:val="24"/>
          <w:szCs w:val="24"/>
          <w:lang w:val="en-US"/>
        </w:rPr>
        <w:t>e</w:t>
      </w:r>
      <w:r w:rsidR="00A5147D" w:rsidRPr="004E251E">
        <w:rPr>
          <w:i/>
          <w:iCs/>
          <w:sz w:val="24"/>
          <w:szCs w:val="24"/>
        </w:rPr>
        <w:t>x</w:t>
      </w:r>
      <w:r w:rsidR="00A5147D" w:rsidRPr="00823E25">
        <w:rPr>
          <w:i/>
          <w:iCs/>
          <w:sz w:val="24"/>
          <w:szCs w:val="24"/>
          <w:lang w:val="el-GR"/>
        </w:rPr>
        <w:t xml:space="preserve"> </w:t>
      </w:r>
      <w:r w:rsidR="00A5147D" w:rsidRPr="004E251E">
        <w:rPr>
          <w:i/>
          <w:iCs/>
          <w:sz w:val="24"/>
          <w:szCs w:val="24"/>
        </w:rPr>
        <w:t>officio</w:t>
      </w:r>
      <w:r w:rsidR="000E066E" w:rsidRPr="000E066E">
        <w:rPr>
          <w:i/>
          <w:iCs/>
          <w:sz w:val="24"/>
          <w:szCs w:val="24"/>
          <w:lang w:val="el-GR"/>
        </w:rPr>
        <w:t>)</w:t>
      </w:r>
      <w:r w:rsidR="00A5147D" w:rsidRPr="00823E25">
        <w:rPr>
          <w:i/>
          <w:iCs/>
          <w:sz w:val="24"/>
          <w:szCs w:val="24"/>
          <w:lang w:val="el-GR"/>
        </w:rPr>
        <w:t xml:space="preserve"> </w:t>
      </w:r>
      <w:r w:rsidR="00A5147D" w:rsidRPr="00823E25">
        <w:rPr>
          <w:sz w:val="24"/>
          <w:szCs w:val="24"/>
          <w:lang w:val="el-GR"/>
        </w:rPr>
        <w:t>(</w:t>
      </w:r>
      <w:r w:rsidR="008E6E2E">
        <w:rPr>
          <w:sz w:val="24"/>
          <w:szCs w:val="24"/>
          <w:lang w:val="el-GR"/>
        </w:rPr>
        <w:t>μπορεί</w:t>
      </w:r>
      <w:r w:rsidR="008E6E2E" w:rsidRPr="00823E25">
        <w:rPr>
          <w:sz w:val="24"/>
          <w:szCs w:val="24"/>
          <w:lang w:val="el-GR"/>
        </w:rPr>
        <w:t xml:space="preserve"> </w:t>
      </w:r>
      <w:r w:rsidR="008E6E2E">
        <w:rPr>
          <w:sz w:val="24"/>
          <w:szCs w:val="24"/>
          <w:lang w:val="el-GR"/>
        </w:rPr>
        <w:t>να</w:t>
      </w:r>
      <w:r w:rsidR="008E6E2E" w:rsidRPr="00823E25">
        <w:rPr>
          <w:sz w:val="24"/>
          <w:szCs w:val="24"/>
          <w:lang w:val="el-GR"/>
        </w:rPr>
        <w:t xml:space="preserve"> </w:t>
      </w:r>
      <w:r w:rsidR="008E6E2E">
        <w:rPr>
          <w:sz w:val="24"/>
          <w:szCs w:val="24"/>
          <w:lang w:val="el-GR"/>
        </w:rPr>
        <w:t>καλέσει</w:t>
      </w:r>
      <w:r w:rsidR="008E6E2E" w:rsidRPr="00823E25">
        <w:rPr>
          <w:sz w:val="24"/>
          <w:szCs w:val="24"/>
          <w:lang w:val="el-GR"/>
        </w:rPr>
        <w:t xml:space="preserve"> </w:t>
      </w:r>
      <w:r w:rsidR="008E6E2E">
        <w:rPr>
          <w:sz w:val="24"/>
          <w:szCs w:val="24"/>
          <w:lang w:val="el-GR"/>
        </w:rPr>
        <w:t>ένα</w:t>
      </w:r>
      <w:r w:rsidR="008E6E2E" w:rsidRPr="00823E25">
        <w:rPr>
          <w:sz w:val="24"/>
          <w:szCs w:val="24"/>
          <w:lang w:val="el-GR"/>
        </w:rPr>
        <w:t xml:space="preserve"> </w:t>
      </w:r>
      <w:r w:rsidR="008E6E2E">
        <w:rPr>
          <w:sz w:val="24"/>
          <w:szCs w:val="24"/>
          <w:lang w:val="el-GR"/>
        </w:rPr>
        <w:t>άτομο</w:t>
      </w:r>
      <w:r w:rsidR="008E6E2E" w:rsidRPr="00823E25">
        <w:rPr>
          <w:sz w:val="24"/>
          <w:szCs w:val="24"/>
          <w:lang w:val="el-GR"/>
        </w:rPr>
        <w:t xml:space="preserve"> </w:t>
      </w:r>
      <w:r w:rsidR="008E6E2E">
        <w:rPr>
          <w:sz w:val="24"/>
          <w:szCs w:val="24"/>
          <w:lang w:val="el-GR"/>
        </w:rPr>
        <w:t>όταν</w:t>
      </w:r>
      <w:r w:rsidR="008E6E2E" w:rsidRPr="00823E25">
        <w:rPr>
          <w:sz w:val="24"/>
          <w:szCs w:val="24"/>
          <w:lang w:val="el-GR"/>
        </w:rPr>
        <w:t xml:space="preserve"> </w:t>
      </w:r>
      <w:r w:rsidR="00823E25">
        <w:rPr>
          <w:sz w:val="24"/>
          <w:szCs w:val="24"/>
          <w:lang w:val="el-GR"/>
        </w:rPr>
        <w:t>διαπιστώσει</w:t>
      </w:r>
      <w:r w:rsidR="00823E25" w:rsidRPr="00823E25">
        <w:rPr>
          <w:sz w:val="24"/>
          <w:szCs w:val="24"/>
          <w:lang w:val="el-GR"/>
        </w:rPr>
        <w:t xml:space="preserve"> </w:t>
      </w:r>
      <w:r w:rsidR="00823E25">
        <w:rPr>
          <w:sz w:val="24"/>
          <w:szCs w:val="24"/>
          <w:lang w:val="el-GR"/>
        </w:rPr>
        <w:t>ότι</w:t>
      </w:r>
      <w:r w:rsidR="00A5147D" w:rsidRPr="00823E25">
        <w:rPr>
          <w:sz w:val="24"/>
          <w:szCs w:val="24"/>
          <w:lang w:val="el-GR"/>
        </w:rPr>
        <w:t xml:space="preserve"> </w:t>
      </w:r>
      <w:r w:rsidR="00823E25">
        <w:rPr>
          <w:sz w:val="24"/>
          <w:szCs w:val="24"/>
          <w:lang w:val="el-GR"/>
        </w:rPr>
        <w:t>υπήρξε</w:t>
      </w:r>
      <w:r w:rsidR="00823E25" w:rsidRPr="00823E25">
        <w:rPr>
          <w:sz w:val="24"/>
          <w:szCs w:val="24"/>
          <w:lang w:val="el-GR"/>
        </w:rPr>
        <w:t xml:space="preserve"> </w:t>
      </w:r>
      <w:r w:rsidR="00823E25">
        <w:rPr>
          <w:sz w:val="24"/>
          <w:szCs w:val="24"/>
          <w:lang w:val="el-GR"/>
        </w:rPr>
        <w:t>παραβίαση</w:t>
      </w:r>
      <w:r w:rsidR="00823E25" w:rsidRPr="00823E25">
        <w:rPr>
          <w:sz w:val="24"/>
          <w:szCs w:val="24"/>
          <w:lang w:val="el-GR"/>
        </w:rPr>
        <w:t xml:space="preserve"> </w:t>
      </w:r>
      <w:r w:rsidR="00823E25">
        <w:rPr>
          <w:sz w:val="24"/>
          <w:szCs w:val="24"/>
          <w:lang w:val="el-GR"/>
        </w:rPr>
        <w:t>του</w:t>
      </w:r>
      <w:r w:rsidR="00823E25" w:rsidRPr="00823E25">
        <w:rPr>
          <w:sz w:val="24"/>
          <w:szCs w:val="24"/>
          <w:lang w:val="el-GR"/>
        </w:rPr>
        <w:t xml:space="preserve"> </w:t>
      </w:r>
      <w:r w:rsidR="00823E25">
        <w:rPr>
          <w:sz w:val="24"/>
          <w:szCs w:val="24"/>
          <w:lang w:val="el-GR"/>
        </w:rPr>
        <w:t>νόμου</w:t>
      </w:r>
      <w:r w:rsidR="00A5147D" w:rsidRPr="00823E25">
        <w:rPr>
          <w:sz w:val="24"/>
          <w:szCs w:val="24"/>
          <w:lang w:val="el-GR"/>
        </w:rPr>
        <w:t xml:space="preserve">), </w:t>
      </w:r>
      <w:r w:rsidR="00823E25">
        <w:rPr>
          <w:sz w:val="24"/>
          <w:szCs w:val="24"/>
          <w:lang w:val="el-GR"/>
        </w:rPr>
        <w:t>όμως σημειώνει ότι</w:t>
      </w:r>
      <w:r w:rsidR="00A5147D" w:rsidRPr="00823E25">
        <w:rPr>
          <w:sz w:val="24"/>
          <w:szCs w:val="24"/>
          <w:lang w:val="el-GR"/>
        </w:rPr>
        <w:t xml:space="preserve">, </w:t>
      </w:r>
      <w:r w:rsidR="00823E25">
        <w:rPr>
          <w:sz w:val="24"/>
          <w:szCs w:val="24"/>
          <w:lang w:val="el-GR"/>
        </w:rPr>
        <w:t>στην πράξη</w:t>
      </w:r>
      <w:r w:rsidR="00A5147D" w:rsidRPr="00823E25">
        <w:rPr>
          <w:sz w:val="24"/>
          <w:szCs w:val="24"/>
          <w:lang w:val="el-GR"/>
        </w:rPr>
        <w:t xml:space="preserve">, </w:t>
      </w:r>
      <w:r w:rsidR="00823E25">
        <w:rPr>
          <w:sz w:val="24"/>
          <w:szCs w:val="24"/>
          <w:lang w:val="el-GR"/>
        </w:rPr>
        <w:t xml:space="preserve">η δραστηριότητα της </w:t>
      </w:r>
      <w:r w:rsidR="00617B6B">
        <w:rPr>
          <w:sz w:val="24"/>
          <w:szCs w:val="24"/>
          <w:lang w:val="el-GR"/>
        </w:rPr>
        <w:t xml:space="preserve">επικεντρώνεται </w:t>
      </w:r>
      <w:r w:rsidR="00823E25">
        <w:rPr>
          <w:sz w:val="24"/>
          <w:szCs w:val="24"/>
          <w:lang w:val="el-GR"/>
        </w:rPr>
        <w:t xml:space="preserve">ως επί το </w:t>
      </w:r>
      <w:proofErr w:type="spellStart"/>
      <w:r w:rsidR="00823E25">
        <w:rPr>
          <w:sz w:val="24"/>
          <w:szCs w:val="24"/>
          <w:lang w:val="el-GR"/>
        </w:rPr>
        <w:t>πλείσ</w:t>
      </w:r>
      <w:r w:rsidR="00617B6B">
        <w:rPr>
          <w:sz w:val="24"/>
          <w:szCs w:val="24"/>
          <w:lang w:val="el-GR"/>
        </w:rPr>
        <w:t>τ</w:t>
      </w:r>
      <w:r w:rsidR="00823E25">
        <w:rPr>
          <w:sz w:val="24"/>
          <w:szCs w:val="24"/>
          <w:lang w:val="el-GR"/>
        </w:rPr>
        <w:t>ον</w:t>
      </w:r>
      <w:proofErr w:type="spellEnd"/>
      <w:r w:rsidR="00A5147D" w:rsidRPr="00823E25">
        <w:rPr>
          <w:sz w:val="24"/>
          <w:szCs w:val="24"/>
          <w:lang w:val="el-GR"/>
        </w:rPr>
        <w:t xml:space="preserve"> </w:t>
      </w:r>
      <w:r w:rsidR="00823E25">
        <w:rPr>
          <w:sz w:val="24"/>
          <w:szCs w:val="24"/>
          <w:lang w:val="el-GR"/>
        </w:rPr>
        <w:t xml:space="preserve">στην ανταπόκριση </w:t>
      </w:r>
      <w:r w:rsidR="00617B6B">
        <w:rPr>
          <w:sz w:val="24"/>
          <w:szCs w:val="24"/>
          <w:lang w:val="el-GR"/>
        </w:rPr>
        <w:t xml:space="preserve">της </w:t>
      </w:r>
      <w:r w:rsidR="00823E25">
        <w:rPr>
          <w:sz w:val="24"/>
          <w:szCs w:val="24"/>
          <w:lang w:val="el-GR"/>
        </w:rPr>
        <w:t>σε αιτήματα για εξουσιοδότηση</w:t>
      </w:r>
      <w:r w:rsidR="00A5147D" w:rsidRPr="00823E25">
        <w:rPr>
          <w:sz w:val="24"/>
          <w:szCs w:val="24"/>
          <w:lang w:val="el-GR"/>
        </w:rPr>
        <w:t xml:space="preserve"> </w:t>
      </w:r>
      <w:r w:rsidR="00823E25">
        <w:rPr>
          <w:sz w:val="24"/>
          <w:szCs w:val="24"/>
          <w:lang w:val="el-GR"/>
        </w:rPr>
        <w:t xml:space="preserve">για </w:t>
      </w:r>
      <w:r w:rsidR="00617B6B">
        <w:rPr>
          <w:sz w:val="24"/>
          <w:szCs w:val="24"/>
          <w:lang w:val="el-GR"/>
        </w:rPr>
        <w:t xml:space="preserve">ενασχόληση με </w:t>
      </w:r>
      <w:r w:rsidR="00823E25">
        <w:rPr>
          <w:sz w:val="24"/>
          <w:szCs w:val="24"/>
          <w:lang w:val="el-GR"/>
        </w:rPr>
        <w:t>ιδιωτικές δραστηριότητες</w:t>
      </w:r>
      <w:r w:rsidR="00A5147D" w:rsidRPr="00823E25">
        <w:rPr>
          <w:sz w:val="24"/>
          <w:szCs w:val="24"/>
          <w:lang w:val="el-GR"/>
        </w:rPr>
        <w:t xml:space="preserve">. </w:t>
      </w:r>
      <w:r w:rsidR="00823E25">
        <w:rPr>
          <w:sz w:val="24"/>
          <w:szCs w:val="24"/>
          <w:lang w:val="el-GR"/>
        </w:rPr>
        <w:t>Τα</w:t>
      </w:r>
      <w:r w:rsidR="00823E25" w:rsidRPr="00823E25">
        <w:rPr>
          <w:sz w:val="24"/>
          <w:szCs w:val="24"/>
          <w:lang w:val="el-GR"/>
        </w:rPr>
        <w:t xml:space="preserve"> </w:t>
      </w:r>
      <w:r w:rsidR="00823E25">
        <w:rPr>
          <w:sz w:val="24"/>
          <w:szCs w:val="24"/>
          <w:lang w:val="el-GR"/>
        </w:rPr>
        <w:t>στοιχεία</w:t>
      </w:r>
      <w:r w:rsidR="00823E25" w:rsidRPr="00823E25">
        <w:rPr>
          <w:sz w:val="24"/>
          <w:szCs w:val="24"/>
          <w:lang w:val="el-GR"/>
        </w:rPr>
        <w:t xml:space="preserve"> </w:t>
      </w:r>
      <w:r w:rsidR="00823E25">
        <w:rPr>
          <w:sz w:val="24"/>
          <w:szCs w:val="24"/>
          <w:lang w:val="el-GR"/>
        </w:rPr>
        <w:t>που</w:t>
      </w:r>
      <w:r w:rsidR="00823E25" w:rsidRPr="00823E25">
        <w:rPr>
          <w:sz w:val="24"/>
          <w:szCs w:val="24"/>
          <w:lang w:val="el-GR"/>
        </w:rPr>
        <w:t xml:space="preserve"> </w:t>
      </w:r>
      <w:r w:rsidR="00823E25">
        <w:rPr>
          <w:sz w:val="24"/>
          <w:szCs w:val="24"/>
          <w:lang w:val="el-GR"/>
        </w:rPr>
        <w:t>παρέχονται</w:t>
      </w:r>
      <w:r w:rsidR="00A5147D" w:rsidRPr="00823E25">
        <w:rPr>
          <w:sz w:val="24"/>
          <w:szCs w:val="24"/>
          <w:lang w:val="el-GR"/>
        </w:rPr>
        <w:t xml:space="preserve"> (</w:t>
      </w:r>
      <w:r w:rsidR="00823E25">
        <w:rPr>
          <w:sz w:val="24"/>
          <w:szCs w:val="24"/>
          <w:lang w:val="el-GR"/>
        </w:rPr>
        <w:t>βλέπε</w:t>
      </w:r>
      <w:r w:rsidR="00823E25" w:rsidRPr="00823E25">
        <w:rPr>
          <w:sz w:val="24"/>
          <w:szCs w:val="24"/>
          <w:lang w:val="el-GR"/>
        </w:rPr>
        <w:t xml:space="preserve"> </w:t>
      </w:r>
      <w:r w:rsidR="00823E25">
        <w:rPr>
          <w:sz w:val="24"/>
          <w:szCs w:val="24"/>
          <w:lang w:val="el-GR"/>
        </w:rPr>
        <w:t>τον</w:t>
      </w:r>
      <w:r w:rsidR="00823E25" w:rsidRPr="00823E25">
        <w:rPr>
          <w:sz w:val="24"/>
          <w:szCs w:val="24"/>
          <w:lang w:val="el-GR"/>
        </w:rPr>
        <w:t xml:space="preserve"> </w:t>
      </w:r>
      <w:r w:rsidR="00823E25">
        <w:rPr>
          <w:sz w:val="24"/>
          <w:szCs w:val="24"/>
          <w:lang w:val="el-GR"/>
        </w:rPr>
        <w:t>πίνακα</w:t>
      </w:r>
      <w:r w:rsidR="00823E25" w:rsidRPr="00823E25">
        <w:rPr>
          <w:sz w:val="24"/>
          <w:szCs w:val="24"/>
          <w:lang w:val="el-GR"/>
        </w:rPr>
        <w:t xml:space="preserve"> </w:t>
      </w:r>
      <w:r w:rsidR="00823E25">
        <w:rPr>
          <w:sz w:val="24"/>
          <w:szCs w:val="24"/>
          <w:lang w:val="el-GR"/>
        </w:rPr>
        <w:t>πιο</w:t>
      </w:r>
      <w:r w:rsidR="00823E25" w:rsidRPr="00823E25">
        <w:rPr>
          <w:sz w:val="24"/>
          <w:szCs w:val="24"/>
          <w:lang w:val="el-GR"/>
        </w:rPr>
        <w:t xml:space="preserve"> </w:t>
      </w:r>
      <w:r w:rsidR="00823E25">
        <w:rPr>
          <w:sz w:val="24"/>
          <w:szCs w:val="24"/>
          <w:lang w:val="el-GR"/>
        </w:rPr>
        <w:t>πάνω</w:t>
      </w:r>
      <w:r w:rsidR="00A5147D" w:rsidRPr="00823E25">
        <w:rPr>
          <w:sz w:val="24"/>
          <w:szCs w:val="24"/>
          <w:lang w:val="el-GR"/>
        </w:rPr>
        <w:t xml:space="preserve">) </w:t>
      </w:r>
      <w:r w:rsidR="00823E25">
        <w:rPr>
          <w:sz w:val="24"/>
          <w:szCs w:val="24"/>
          <w:lang w:val="el-GR"/>
        </w:rPr>
        <w:t>επίσης υποδεικνύουν ένα περιορισμένο αριθμό αιτημάτων</w:t>
      </w:r>
      <w:r w:rsidR="00A5147D" w:rsidRPr="00823E25">
        <w:rPr>
          <w:sz w:val="24"/>
          <w:szCs w:val="24"/>
          <w:lang w:val="el-GR"/>
        </w:rPr>
        <w:t xml:space="preserve">. </w:t>
      </w:r>
      <w:r w:rsidR="00823E25">
        <w:rPr>
          <w:sz w:val="24"/>
          <w:szCs w:val="24"/>
          <w:lang w:val="el-GR"/>
        </w:rPr>
        <w:t>Επιπρόσθετα</w:t>
      </w:r>
      <w:r w:rsidR="00A5147D" w:rsidRPr="00823E25">
        <w:rPr>
          <w:sz w:val="24"/>
          <w:szCs w:val="24"/>
          <w:lang w:val="el-GR"/>
        </w:rPr>
        <w:t xml:space="preserve">, </w:t>
      </w:r>
      <w:r w:rsidR="00823E25">
        <w:rPr>
          <w:sz w:val="24"/>
          <w:szCs w:val="24"/>
          <w:lang w:val="el-GR"/>
        </w:rPr>
        <w:t>δεν</w:t>
      </w:r>
      <w:r w:rsidR="00823E25" w:rsidRPr="00823E25">
        <w:rPr>
          <w:sz w:val="24"/>
          <w:szCs w:val="24"/>
          <w:lang w:val="el-GR"/>
        </w:rPr>
        <w:t xml:space="preserve"> </w:t>
      </w:r>
      <w:r w:rsidR="00823E25">
        <w:rPr>
          <w:sz w:val="24"/>
          <w:szCs w:val="24"/>
          <w:lang w:val="el-GR"/>
        </w:rPr>
        <w:t>είναι</w:t>
      </w:r>
      <w:r w:rsidR="00823E25" w:rsidRPr="00823E25">
        <w:rPr>
          <w:sz w:val="24"/>
          <w:szCs w:val="24"/>
          <w:lang w:val="el-GR"/>
        </w:rPr>
        <w:t xml:space="preserve"> </w:t>
      </w:r>
      <w:r w:rsidR="00823E25">
        <w:rPr>
          <w:sz w:val="24"/>
          <w:szCs w:val="24"/>
          <w:lang w:val="el-GR"/>
        </w:rPr>
        <w:t>δυνατό</w:t>
      </w:r>
      <w:r w:rsidR="00823E25" w:rsidRPr="00823E25">
        <w:rPr>
          <w:sz w:val="24"/>
          <w:szCs w:val="24"/>
          <w:lang w:val="el-GR"/>
        </w:rPr>
        <w:t xml:space="preserve"> </w:t>
      </w:r>
      <w:r w:rsidR="00823E25">
        <w:rPr>
          <w:sz w:val="24"/>
          <w:szCs w:val="24"/>
          <w:lang w:val="el-GR"/>
        </w:rPr>
        <w:t>να</w:t>
      </w:r>
      <w:r w:rsidR="00823E25" w:rsidRPr="00823E25">
        <w:rPr>
          <w:sz w:val="24"/>
          <w:szCs w:val="24"/>
          <w:lang w:val="el-GR"/>
        </w:rPr>
        <w:t xml:space="preserve"> </w:t>
      </w:r>
      <w:r w:rsidR="00823E25">
        <w:rPr>
          <w:sz w:val="24"/>
          <w:szCs w:val="24"/>
          <w:lang w:val="el-GR"/>
        </w:rPr>
        <w:t>δούμε</w:t>
      </w:r>
      <w:r w:rsidR="00823E25" w:rsidRPr="00823E25">
        <w:rPr>
          <w:sz w:val="24"/>
          <w:szCs w:val="24"/>
          <w:lang w:val="el-GR"/>
        </w:rPr>
        <w:t xml:space="preserve"> </w:t>
      </w:r>
      <w:r w:rsidR="00823E25">
        <w:rPr>
          <w:sz w:val="24"/>
          <w:szCs w:val="24"/>
          <w:lang w:val="el-GR"/>
        </w:rPr>
        <w:t>από</w:t>
      </w:r>
      <w:r w:rsidR="00823E25" w:rsidRPr="00823E25">
        <w:rPr>
          <w:sz w:val="24"/>
          <w:szCs w:val="24"/>
          <w:lang w:val="el-GR"/>
        </w:rPr>
        <w:t xml:space="preserve"> </w:t>
      </w:r>
      <w:r w:rsidR="00823E25">
        <w:rPr>
          <w:sz w:val="24"/>
          <w:szCs w:val="24"/>
          <w:lang w:val="el-GR"/>
        </w:rPr>
        <w:t>τα</w:t>
      </w:r>
      <w:r w:rsidR="00823E25" w:rsidRPr="00823E25">
        <w:rPr>
          <w:sz w:val="24"/>
          <w:szCs w:val="24"/>
          <w:lang w:val="el-GR"/>
        </w:rPr>
        <w:t xml:space="preserve"> </w:t>
      </w:r>
      <w:r w:rsidR="00617B6B">
        <w:rPr>
          <w:sz w:val="24"/>
          <w:szCs w:val="24"/>
          <w:lang w:val="el-GR"/>
        </w:rPr>
        <w:t xml:space="preserve">εν λόγω </w:t>
      </w:r>
      <w:r w:rsidR="00823E25">
        <w:rPr>
          <w:sz w:val="24"/>
          <w:szCs w:val="24"/>
          <w:lang w:val="el-GR"/>
        </w:rPr>
        <w:t>στοιχεία</w:t>
      </w:r>
      <w:r w:rsidR="00823E25" w:rsidRPr="00823E25">
        <w:rPr>
          <w:sz w:val="24"/>
          <w:szCs w:val="24"/>
          <w:lang w:val="el-GR"/>
        </w:rPr>
        <w:t xml:space="preserve"> </w:t>
      </w:r>
      <w:r w:rsidR="00617B6B">
        <w:rPr>
          <w:sz w:val="24"/>
          <w:szCs w:val="24"/>
          <w:lang w:val="el-GR"/>
        </w:rPr>
        <w:t xml:space="preserve">για </w:t>
      </w:r>
      <w:r w:rsidR="00823E25">
        <w:rPr>
          <w:sz w:val="24"/>
          <w:szCs w:val="24"/>
          <w:lang w:val="el-GR"/>
        </w:rPr>
        <w:t>π</w:t>
      </w:r>
      <w:r w:rsidR="00617B6B">
        <w:rPr>
          <w:sz w:val="24"/>
          <w:szCs w:val="24"/>
          <w:lang w:val="el-GR"/>
        </w:rPr>
        <w:t>ο</w:t>
      </w:r>
      <w:r w:rsidR="00823E25">
        <w:rPr>
          <w:sz w:val="24"/>
          <w:szCs w:val="24"/>
          <w:lang w:val="el-GR"/>
        </w:rPr>
        <w:t>ιο</w:t>
      </w:r>
      <w:r w:rsidR="00823E25" w:rsidRPr="00823E25">
        <w:rPr>
          <w:sz w:val="24"/>
          <w:szCs w:val="24"/>
          <w:lang w:val="el-GR"/>
        </w:rPr>
        <w:t xml:space="preserve"> </w:t>
      </w:r>
      <w:r w:rsidR="00823E25">
        <w:rPr>
          <w:sz w:val="24"/>
          <w:szCs w:val="24"/>
          <w:lang w:val="el-GR"/>
        </w:rPr>
        <w:t xml:space="preserve">είδος υποθέσεων </w:t>
      </w:r>
      <w:r w:rsidR="00617B6B">
        <w:rPr>
          <w:sz w:val="24"/>
          <w:szCs w:val="24"/>
          <w:lang w:val="el-GR"/>
        </w:rPr>
        <w:t xml:space="preserve">έγινε χειρισμός </w:t>
      </w:r>
      <w:r w:rsidR="00823E25">
        <w:rPr>
          <w:sz w:val="24"/>
          <w:szCs w:val="24"/>
          <w:lang w:val="el-GR"/>
        </w:rPr>
        <w:t>και την αιτιολόγηση</w:t>
      </w:r>
      <w:r w:rsidR="00A5147D" w:rsidRPr="00823E25">
        <w:rPr>
          <w:sz w:val="24"/>
          <w:szCs w:val="24"/>
          <w:lang w:val="el-GR"/>
        </w:rPr>
        <w:t xml:space="preserve"> </w:t>
      </w:r>
      <w:r w:rsidR="00823E25">
        <w:rPr>
          <w:sz w:val="24"/>
          <w:szCs w:val="24"/>
          <w:lang w:val="el-GR"/>
        </w:rPr>
        <w:t>πίσω από τις αποφάσεις που λήφθηκαν</w:t>
      </w:r>
      <w:r w:rsidR="00A5147D" w:rsidRPr="00823E25">
        <w:rPr>
          <w:sz w:val="24"/>
          <w:szCs w:val="24"/>
          <w:lang w:val="el-GR"/>
        </w:rPr>
        <w:t xml:space="preserve">. </w:t>
      </w:r>
      <w:r w:rsidR="00E34628">
        <w:rPr>
          <w:sz w:val="24"/>
          <w:szCs w:val="24"/>
          <w:lang w:val="el-GR"/>
        </w:rPr>
        <w:t>Η</w:t>
      </w:r>
      <w:r w:rsidR="00A5147D" w:rsidRPr="00E34628">
        <w:rPr>
          <w:rFonts w:eastAsia="Times New Roman" w:cstheme="minorHAnsi"/>
          <w:sz w:val="24"/>
          <w:szCs w:val="24"/>
          <w:lang w:val="el-GR" w:eastAsia="el-GR"/>
        </w:rPr>
        <w:t xml:space="preserve"> </w:t>
      </w:r>
      <w:r w:rsidR="00A5147D" w:rsidRPr="004E251E">
        <w:rPr>
          <w:rFonts w:eastAsia="Times New Roman" w:cstheme="minorHAnsi"/>
          <w:sz w:val="24"/>
          <w:szCs w:val="24"/>
          <w:lang w:eastAsia="el-GR"/>
        </w:rPr>
        <w:t>GET</w:t>
      </w:r>
      <w:r w:rsidR="00A5147D" w:rsidRPr="00E34628">
        <w:rPr>
          <w:rFonts w:eastAsia="Times New Roman" w:cstheme="minorHAnsi"/>
          <w:sz w:val="24"/>
          <w:szCs w:val="24"/>
          <w:lang w:val="el-GR" w:eastAsia="el-GR"/>
        </w:rPr>
        <w:t xml:space="preserve"> </w:t>
      </w:r>
      <w:r w:rsidR="00E34628">
        <w:rPr>
          <w:rFonts w:eastAsia="Times New Roman" w:cstheme="minorHAnsi"/>
          <w:sz w:val="24"/>
          <w:szCs w:val="24"/>
          <w:lang w:val="el-GR" w:eastAsia="el-GR"/>
        </w:rPr>
        <w:t>σημειώνει</w:t>
      </w:r>
      <w:r w:rsidR="00E34628" w:rsidRPr="00E34628">
        <w:rPr>
          <w:rFonts w:eastAsia="Times New Roman" w:cstheme="minorHAnsi"/>
          <w:sz w:val="24"/>
          <w:szCs w:val="24"/>
          <w:lang w:val="el-GR" w:eastAsia="el-GR"/>
        </w:rPr>
        <w:t xml:space="preserve"> </w:t>
      </w:r>
      <w:r w:rsidR="00E34628">
        <w:rPr>
          <w:rFonts w:eastAsia="Times New Roman" w:cstheme="minorHAnsi"/>
          <w:sz w:val="24"/>
          <w:szCs w:val="24"/>
          <w:lang w:val="el-GR" w:eastAsia="el-GR"/>
        </w:rPr>
        <w:t>επίσης</w:t>
      </w:r>
      <w:r w:rsidR="00A5147D" w:rsidRPr="00E34628">
        <w:rPr>
          <w:rFonts w:eastAsia="Times New Roman" w:cstheme="minorHAnsi"/>
          <w:sz w:val="24"/>
          <w:szCs w:val="24"/>
          <w:lang w:val="el-GR" w:eastAsia="el-GR"/>
        </w:rPr>
        <w:t xml:space="preserve"> </w:t>
      </w:r>
      <w:r w:rsidR="00E34628">
        <w:rPr>
          <w:rFonts w:eastAsia="Times New Roman" w:cstheme="minorHAnsi"/>
          <w:sz w:val="24"/>
          <w:szCs w:val="24"/>
          <w:lang w:val="el-GR" w:eastAsia="el-GR"/>
        </w:rPr>
        <w:t>ότι</w:t>
      </w:r>
      <w:r w:rsidR="00A5147D" w:rsidRPr="00E34628">
        <w:rPr>
          <w:rFonts w:eastAsia="Times New Roman" w:cstheme="minorHAnsi"/>
          <w:sz w:val="24"/>
          <w:szCs w:val="24"/>
          <w:lang w:val="el-GR" w:eastAsia="el-GR"/>
        </w:rPr>
        <w:t xml:space="preserve"> </w:t>
      </w:r>
      <w:r w:rsidR="00E34628">
        <w:rPr>
          <w:rFonts w:eastAsia="Times New Roman" w:cstheme="minorHAnsi"/>
          <w:sz w:val="24"/>
          <w:szCs w:val="24"/>
          <w:lang w:val="el-GR" w:eastAsia="el-GR"/>
        </w:rPr>
        <w:t>οι</w:t>
      </w:r>
      <w:r w:rsidR="00E34628" w:rsidRPr="00E34628">
        <w:rPr>
          <w:rFonts w:eastAsia="Times New Roman" w:cstheme="minorHAnsi"/>
          <w:sz w:val="24"/>
          <w:szCs w:val="24"/>
          <w:lang w:val="el-GR" w:eastAsia="el-GR"/>
        </w:rPr>
        <w:t xml:space="preserve"> </w:t>
      </w:r>
      <w:r w:rsidR="00E34628">
        <w:rPr>
          <w:rFonts w:eastAsia="Times New Roman" w:cstheme="minorHAnsi"/>
          <w:sz w:val="24"/>
          <w:szCs w:val="24"/>
          <w:lang w:val="el-GR" w:eastAsia="el-GR"/>
        </w:rPr>
        <w:t>ισχύοντες</w:t>
      </w:r>
      <w:r w:rsidR="00E34628" w:rsidRPr="00E34628">
        <w:rPr>
          <w:rFonts w:eastAsia="Times New Roman" w:cstheme="minorHAnsi"/>
          <w:sz w:val="24"/>
          <w:szCs w:val="24"/>
          <w:lang w:val="el-GR" w:eastAsia="el-GR"/>
        </w:rPr>
        <w:t xml:space="preserve"> </w:t>
      </w:r>
      <w:r w:rsidR="00E34628">
        <w:rPr>
          <w:rFonts w:eastAsia="Times New Roman" w:cstheme="minorHAnsi"/>
          <w:sz w:val="24"/>
          <w:szCs w:val="24"/>
          <w:lang w:val="el-GR" w:eastAsia="el-GR"/>
        </w:rPr>
        <w:t>κανόνες</w:t>
      </w:r>
      <w:r w:rsidR="00A5147D" w:rsidRPr="00E34628">
        <w:rPr>
          <w:rFonts w:eastAsia="Times New Roman" w:cstheme="minorHAnsi"/>
          <w:sz w:val="24"/>
          <w:szCs w:val="24"/>
          <w:lang w:val="el-GR" w:eastAsia="el-GR"/>
        </w:rPr>
        <w:t xml:space="preserve"> </w:t>
      </w:r>
      <w:r w:rsidR="00E34628">
        <w:rPr>
          <w:rFonts w:eastAsia="Times New Roman" w:cstheme="minorHAnsi"/>
          <w:sz w:val="24"/>
          <w:szCs w:val="24"/>
          <w:lang w:val="el-GR" w:eastAsia="el-GR"/>
        </w:rPr>
        <w:t>δεν</w:t>
      </w:r>
      <w:r w:rsidR="00E34628" w:rsidRPr="00E34628">
        <w:rPr>
          <w:rFonts w:eastAsia="Times New Roman" w:cstheme="minorHAnsi"/>
          <w:sz w:val="24"/>
          <w:szCs w:val="24"/>
          <w:lang w:val="el-GR" w:eastAsia="el-GR"/>
        </w:rPr>
        <w:t xml:space="preserve"> </w:t>
      </w:r>
      <w:r w:rsidR="00E34628">
        <w:rPr>
          <w:rFonts w:eastAsia="Times New Roman" w:cstheme="minorHAnsi"/>
          <w:sz w:val="24"/>
          <w:szCs w:val="24"/>
          <w:lang w:val="el-GR" w:eastAsia="el-GR"/>
        </w:rPr>
        <w:t>καλύπτουν</w:t>
      </w:r>
      <w:r w:rsidR="00A5147D" w:rsidRPr="00E34628">
        <w:rPr>
          <w:rFonts w:eastAsia="Times New Roman" w:cstheme="minorHAnsi"/>
          <w:sz w:val="24"/>
          <w:szCs w:val="24"/>
          <w:lang w:val="el-GR" w:eastAsia="el-GR"/>
        </w:rPr>
        <w:t xml:space="preserve"> </w:t>
      </w:r>
      <w:r w:rsidR="00E34628">
        <w:rPr>
          <w:rFonts w:eastAsia="Times New Roman" w:cstheme="minorHAnsi"/>
          <w:sz w:val="24"/>
          <w:szCs w:val="24"/>
          <w:lang w:val="el-GR" w:eastAsia="el-GR"/>
        </w:rPr>
        <w:t>όλους τους</w:t>
      </w:r>
      <w:r w:rsidR="00A5147D" w:rsidRPr="00E34628">
        <w:rPr>
          <w:rFonts w:eastAsia="Times New Roman" w:cstheme="minorHAnsi"/>
          <w:sz w:val="24"/>
          <w:szCs w:val="24"/>
          <w:lang w:val="el-GR" w:eastAsia="el-GR"/>
        </w:rPr>
        <w:t xml:space="preserve"> </w:t>
      </w:r>
      <w:r w:rsidR="003B2919">
        <w:rPr>
          <w:rFonts w:eastAsia="Times New Roman" w:cstheme="minorHAnsi"/>
          <w:sz w:val="24"/>
          <w:szCs w:val="24"/>
          <w:lang w:val="el-GR" w:eastAsia="el-GR"/>
        </w:rPr>
        <w:t>πολιτικά διορισθέντες</w:t>
      </w:r>
      <w:r w:rsidR="00027935" w:rsidRPr="00E34628">
        <w:rPr>
          <w:rFonts w:eastAsia="Times New Roman" w:cstheme="minorHAnsi"/>
          <w:sz w:val="24"/>
          <w:szCs w:val="24"/>
          <w:lang w:val="el-GR" w:eastAsia="el-GR"/>
        </w:rPr>
        <w:t xml:space="preserve"> </w:t>
      </w:r>
      <w:r w:rsidR="003B2919">
        <w:rPr>
          <w:rFonts w:eastAsia="Times New Roman" w:cstheme="minorHAnsi"/>
          <w:sz w:val="24"/>
          <w:szCs w:val="24"/>
          <w:lang w:val="el-GR" w:eastAsia="el-GR"/>
        </w:rPr>
        <w:t xml:space="preserve">σύμφωνα με το πεδίο </w:t>
      </w:r>
      <w:r w:rsidR="003B2919">
        <w:rPr>
          <w:rFonts w:eastAsia="Times New Roman" w:cstheme="minorHAnsi"/>
          <w:sz w:val="24"/>
          <w:szCs w:val="24"/>
          <w:lang w:val="el-GR" w:eastAsia="el-GR"/>
        </w:rPr>
        <w:lastRenderedPageBreak/>
        <w:t>εφαρμογής του</w:t>
      </w:r>
      <w:r w:rsidR="00027935" w:rsidRPr="00E34628">
        <w:rPr>
          <w:rFonts w:eastAsia="Times New Roman" w:cstheme="minorHAnsi"/>
          <w:sz w:val="24"/>
          <w:szCs w:val="24"/>
          <w:lang w:val="el-GR" w:eastAsia="el-GR"/>
        </w:rPr>
        <w:t xml:space="preserve"> </w:t>
      </w:r>
      <w:r w:rsidR="00A5147D" w:rsidRPr="004E251E">
        <w:rPr>
          <w:rFonts w:eastAsia="Times New Roman" w:cstheme="minorHAnsi"/>
          <w:i/>
          <w:iCs/>
          <w:sz w:val="24"/>
          <w:szCs w:val="24"/>
          <w:lang w:eastAsia="el-GR"/>
        </w:rPr>
        <w:t>personae</w:t>
      </w:r>
      <w:r w:rsidR="00A5147D" w:rsidRPr="00E34628">
        <w:rPr>
          <w:rFonts w:eastAsia="Times New Roman" w:cstheme="minorHAnsi"/>
          <w:sz w:val="24"/>
          <w:szCs w:val="24"/>
          <w:lang w:val="el-GR" w:eastAsia="el-GR"/>
        </w:rPr>
        <w:t xml:space="preserve"> </w:t>
      </w:r>
      <w:r w:rsidR="003B2919">
        <w:rPr>
          <w:rFonts w:eastAsia="Times New Roman" w:cstheme="minorHAnsi"/>
          <w:sz w:val="24"/>
          <w:szCs w:val="24"/>
          <w:lang w:val="el-GR" w:eastAsia="el-GR"/>
        </w:rPr>
        <w:t>τους</w:t>
      </w:r>
      <w:r w:rsidR="00A5147D" w:rsidRPr="00E34628">
        <w:rPr>
          <w:rFonts w:eastAsia="Times New Roman" w:cstheme="minorHAnsi"/>
          <w:sz w:val="24"/>
          <w:szCs w:val="24"/>
          <w:lang w:val="el-GR" w:eastAsia="el-GR"/>
        </w:rPr>
        <w:t xml:space="preserve"> (</w:t>
      </w:r>
      <w:r w:rsidR="003B2919">
        <w:rPr>
          <w:rFonts w:eastAsia="Times New Roman" w:cstheme="minorHAnsi"/>
          <w:sz w:val="24"/>
          <w:szCs w:val="24"/>
          <w:lang w:val="el-GR" w:eastAsia="el-GR"/>
        </w:rPr>
        <w:t>Άρθρο</w:t>
      </w:r>
      <w:r w:rsidR="00A5147D" w:rsidRPr="004E251E">
        <w:rPr>
          <w:rFonts w:eastAsia="Times New Roman" w:cstheme="minorHAnsi"/>
          <w:sz w:val="24"/>
          <w:szCs w:val="24"/>
          <w:lang w:eastAsia="el-GR"/>
        </w:rPr>
        <w:t> </w:t>
      </w:r>
      <w:r w:rsidR="00A5147D" w:rsidRPr="00E34628">
        <w:rPr>
          <w:rFonts w:eastAsia="Times New Roman" w:cstheme="minorHAnsi"/>
          <w:sz w:val="24"/>
          <w:szCs w:val="24"/>
          <w:lang w:val="el-GR" w:eastAsia="el-GR"/>
        </w:rPr>
        <w:t xml:space="preserve">4, </w:t>
      </w:r>
      <w:r w:rsidR="003B2919">
        <w:rPr>
          <w:rFonts w:eastAsia="Times New Roman" w:cstheme="minorHAnsi"/>
          <w:sz w:val="24"/>
          <w:szCs w:val="24"/>
          <w:lang w:val="el-GR" w:eastAsia="el-GR"/>
        </w:rPr>
        <w:t>Νόμος</w:t>
      </w:r>
      <w:r w:rsidR="00A5147D" w:rsidRPr="004E251E">
        <w:rPr>
          <w:rFonts w:cstheme="minorHAnsi"/>
          <w:sz w:val="24"/>
          <w:szCs w:val="24"/>
        </w:rPr>
        <w:t> </w:t>
      </w:r>
      <w:r w:rsidR="00A5147D" w:rsidRPr="00E34628">
        <w:rPr>
          <w:rFonts w:cstheme="minorHAnsi"/>
          <w:sz w:val="24"/>
          <w:szCs w:val="24"/>
          <w:lang w:val="el-GR"/>
        </w:rPr>
        <w:t>114(</w:t>
      </w:r>
      <w:r w:rsidR="00A5147D" w:rsidRPr="004E251E">
        <w:rPr>
          <w:rFonts w:cstheme="minorHAnsi"/>
          <w:sz w:val="24"/>
          <w:szCs w:val="24"/>
        </w:rPr>
        <w:t>I</w:t>
      </w:r>
      <w:r w:rsidR="00A5147D" w:rsidRPr="00E34628">
        <w:rPr>
          <w:rFonts w:cstheme="minorHAnsi"/>
          <w:sz w:val="24"/>
          <w:szCs w:val="24"/>
          <w:lang w:val="el-GR"/>
        </w:rPr>
        <w:t>)/2007</w:t>
      </w:r>
      <w:r w:rsidR="00A5147D" w:rsidRPr="00E34628">
        <w:rPr>
          <w:rFonts w:eastAsia="Times New Roman" w:cstheme="minorHAnsi"/>
          <w:sz w:val="24"/>
          <w:szCs w:val="24"/>
          <w:lang w:val="el-GR" w:eastAsia="el-GR"/>
        </w:rPr>
        <w:t>)</w:t>
      </w:r>
      <w:r w:rsidR="00027935" w:rsidRPr="00E34628">
        <w:rPr>
          <w:rFonts w:eastAsia="Times New Roman" w:cstheme="minorHAnsi"/>
          <w:sz w:val="24"/>
          <w:szCs w:val="24"/>
          <w:lang w:val="el-GR" w:eastAsia="el-GR"/>
        </w:rPr>
        <w:t>.</w:t>
      </w:r>
      <w:r w:rsidR="00A5147D" w:rsidRPr="004E251E">
        <w:rPr>
          <w:rStyle w:val="FootnoteReference"/>
          <w:rFonts w:eastAsia="Times New Roman" w:cstheme="minorHAnsi"/>
          <w:sz w:val="24"/>
          <w:szCs w:val="24"/>
          <w:lang w:eastAsia="el-GR"/>
        </w:rPr>
        <w:footnoteReference w:id="57"/>
      </w:r>
      <w:r w:rsidR="001137CA" w:rsidRPr="00E34628">
        <w:rPr>
          <w:rFonts w:eastAsia="Times New Roman" w:cstheme="minorHAnsi"/>
          <w:sz w:val="24"/>
          <w:szCs w:val="24"/>
          <w:lang w:val="el-GR" w:eastAsia="el-GR"/>
        </w:rPr>
        <w:t xml:space="preserve"> </w:t>
      </w:r>
      <w:r w:rsidR="003B2919" w:rsidRPr="003B2919">
        <w:rPr>
          <w:rFonts w:eastAsia="Times New Roman" w:cstheme="minorHAnsi"/>
          <w:b/>
          <w:sz w:val="24"/>
          <w:szCs w:val="24"/>
          <w:lang w:val="el-GR" w:eastAsia="el-GR"/>
        </w:rPr>
        <w:t xml:space="preserve">Η </w:t>
      </w:r>
      <w:r w:rsidR="00A5147D" w:rsidRPr="004E251E">
        <w:rPr>
          <w:rFonts w:eastAsia="Times New Roman" w:cstheme="minorHAnsi"/>
          <w:b/>
          <w:bCs/>
          <w:sz w:val="24"/>
          <w:szCs w:val="24"/>
          <w:lang w:eastAsia="el-GR"/>
        </w:rPr>
        <w:t>GRECO</w:t>
      </w:r>
      <w:r w:rsidR="00A5147D" w:rsidRPr="003B2919">
        <w:rPr>
          <w:rFonts w:eastAsia="Times New Roman" w:cstheme="minorHAnsi"/>
          <w:b/>
          <w:bCs/>
          <w:sz w:val="24"/>
          <w:szCs w:val="24"/>
          <w:lang w:val="el-GR" w:eastAsia="el-GR"/>
        </w:rPr>
        <w:t xml:space="preserve"> </w:t>
      </w:r>
      <w:r w:rsidR="001B09F4">
        <w:rPr>
          <w:rFonts w:eastAsia="Times New Roman" w:cstheme="minorHAnsi"/>
          <w:b/>
          <w:bCs/>
          <w:sz w:val="24"/>
          <w:szCs w:val="24"/>
          <w:lang w:val="el-GR" w:eastAsia="el-GR"/>
        </w:rPr>
        <w:t>συνιστά</w:t>
      </w:r>
      <w:r w:rsidR="00A5147D" w:rsidRPr="003B2919">
        <w:rPr>
          <w:rFonts w:cstheme="minorHAnsi"/>
          <w:b/>
          <w:bCs/>
          <w:sz w:val="24"/>
          <w:szCs w:val="24"/>
          <w:lang w:val="el-GR"/>
        </w:rPr>
        <w:t xml:space="preserve"> </w:t>
      </w:r>
      <w:r w:rsidR="003B2919">
        <w:rPr>
          <w:rFonts w:cstheme="minorHAnsi"/>
          <w:b/>
          <w:bCs/>
          <w:sz w:val="24"/>
          <w:szCs w:val="24"/>
          <w:lang w:val="el-GR"/>
        </w:rPr>
        <w:t>ότι</w:t>
      </w:r>
      <w:r w:rsidR="003B2919" w:rsidRPr="003B2919">
        <w:rPr>
          <w:rFonts w:cstheme="minorHAnsi"/>
          <w:b/>
          <w:bCs/>
          <w:sz w:val="24"/>
          <w:szCs w:val="24"/>
          <w:lang w:val="el-GR"/>
        </w:rPr>
        <w:t xml:space="preserve"> </w:t>
      </w:r>
      <w:r w:rsidR="003B2919">
        <w:rPr>
          <w:rFonts w:cstheme="minorHAnsi"/>
          <w:b/>
          <w:bCs/>
          <w:sz w:val="24"/>
          <w:szCs w:val="24"/>
          <w:lang w:val="el-GR"/>
        </w:rPr>
        <w:t>το</w:t>
      </w:r>
      <w:r w:rsidR="003B2919" w:rsidRPr="003B2919">
        <w:rPr>
          <w:rFonts w:cstheme="minorHAnsi"/>
          <w:b/>
          <w:bCs/>
          <w:sz w:val="24"/>
          <w:szCs w:val="24"/>
          <w:lang w:val="el-GR"/>
        </w:rPr>
        <w:t xml:space="preserve"> </w:t>
      </w:r>
      <w:r w:rsidR="003B2919">
        <w:rPr>
          <w:rFonts w:cstheme="minorHAnsi"/>
          <w:b/>
          <w:bCs/>
          <w:sz w:val="24"/>
          <w:szCs w:val="24"/>
          <w:lang w:val="el-GR"/>
        </w:rPr>
        <w:t>καθεστώς</w:t>
      </w:r>
      <w:r w:rsidR="003B2919" w:rsidRPr="003B2919">
        <w:rPr>
          <w:rFonts w:cstheme="minorHAnsi"/>
          <w:b/>
          <w:bCs/>
          <w:sz w:val="24"/>
          <w:szCs w:val="24"/>
          <w:lang w:val="el-GR"/>
        </w:rPr>
        <w:t xml:space="preserve"> </w:t>
      </w:r>
      <w:r w:rsidR="003B2919">
        <w:rPr>
          <w:rFonts w:cstheme="minorHAnsi"/>
          <w:b/>
          <w:bCs/>
          <w:sz w:val="24"/>
          <w:szCs w:val="24"/>
          <w:lang w:val="el-GR"/>
        </w:rPr>
        <w:t>μετά</w:t>
      </w:r>
      <w:r w:rsidR="003B2919" w:rsidRPr="003B2919">
        <w:rPr>
          <w:rFonts w:cstheme="minorHAnsi"/>
          <w:b/>
          <w:bCs/>
          <w:sz w:val="24"/>
          <w:szCs w:val="24"/>
          <w:lang w:val="el-GR"/>
        </w:rPr>
        <w:t xml:space="preserve"> </w:t>
      </w:r>
      <w:r w:rsidR="003B2919">
        <w:rPr>
          <w:rFonts w:cstheme="minorHAnsi"/>
          <w:b/>
          <w:bCs/>
          <w:sz w:val="24"/>
          <w:szCs w:val="24"/>
          <w:lang w:val="el-GR"/>
        </w:rPr>
        <w:t>την</w:t>
      </w:r>
      <w:r w:rsidR="003B2919" w:rsidRPr="003B2919">
        <w:rPr>
          <w:rFonts w:cstheme="minorHAnsi"/>
          <w:b/>
          <w:bCs/>
          <w:sz w:val="24"/>
          <w:szCs w:val="24"/>
          <w:lang w:val="el-GR"/>
        </w:rPr>
        <w:t xml:space="preserve"> </w:t>
      </w:r>
      <w:proofErr w:type="spellStart"/>
      <w:r w:rsidR="003B2919">
        <w:rPr>
          <w:rFonts w:cstheme="minorHAnsi"/>
          <w:b/>
          <w:bCs/>
          <w:sz w:val="24"/>
          <w:szCs w:val="24"/>
          <w:lang w:val="el-GR"/>
        </w:rPr>
        <w:t>εργοδότηση</w:t>
      </w:r>
      <w:proofErr w:type="spellEnd"/>
      <w:r w:rsidR="00A5147D" w:rsidRPr="003B2919">
        <w:rPr>
          <w:rFonts w:cstheme="minorHAnsi"/>
          <w:b/>
          <w:bCs/>
          <w:sz w:val="24"/>
          <w:szCs w:val="24"/>
          <w:lang w:val="el-GR"/>
        </w:rPr>
        <w:t xml:space="preserve"> </w:t>
      </w:r>
      <w:r w:rsidR="003B2919">
        <w:rPr>
          <w:rFonts w:cstheme="minorHAnsi"/>
          <w:b/>
          <w:bCs/>
          <w:sz w:val="24"/>
          <w:szCs w:val="24"/>
          <w:lang w:val="el-GR"/>
        </w:rPr>
        <w:t>πρέπει</w:t>
      </w:r>
      <w:r w:rsidR="003B2919" w:rsidRPr="003B2919">
        <w:rPr>
          <w:rFonts w:cstheme="minorHAnsi"/>
          <w:b/>
          <w:bCs/>
          <w:sz w:val="24"/>
          <w:szCs w:val="24"/>
          <w:lang w:val="el-GR"/>
        </w:rPr>
        <w:t xml:space="preserve"> </w:t>
      </w:r>
      <w:r w:rsidR="003B2919">
        <w:rPr>
          <w:rFonts w:cstheme="minorHAnsi"/>
          <w:b/>
          <w:bCs/>
          <w:sz w:val="24"/>
          <w:szCs w:val="24"/>
          <w:lang w:val="el-GR"/>
        </w:rPr>
        <w:t>να</w:t>
      </w:r>
      <w:r w:rsidR="003B2919" w:rsidRPr="003B2919">
        <w:rPr>
          <w:rFonts w:cstheme="minorHAnsi"/>
          <w:b/>
          <w:bCs/>
          <w:sz w:val="24"/>
          <w:szCs w:val="24"/>
          <w:lang w:val="el-GR"/>
        </w:rPr>
        <w:t xml:space="preserve"> </w:t>
      </w:r>
      <w:r w:rsidR="003B2919">
        <w:rPr>
          <w:rFonts w:cstheme="minorHAnsi"/>
          <w:b/>
          <w:bCs/>
          <w:sz w:val="24"/>
          <w:szCs w:val="24"/>
          <w:lang w:val="el-GR"/>
        </w:rPr>
        <w:t>αναθεωρηθεί</w:t>
      </w:r>
      <w:r w:rsidR="00A5147D" w:rsidRPr="003B2919">
        <w:rPr>
          <w:rFonts w:cstheme="minorHAnsi"/>
          <w:b/>
          <w:bCs/>
          <w:sz w:val="24"/>
          <w:szCs w:val="24"/>
          <w:lang w:val="el-GR"/>
        </w:rPr>
        <w:t xml:space="preserve"> </w:t>
      </w:r>
      <w:r w:rsidR="003B2919">
        <w:rPr>
          <w:rFonts w:cstheme="minorHAnsi"/>
          <w:b/>
          <w:bCs/>
          <w:sz w:val="24"/>
          <w:szCs w:val="24"/>
          <w:lang w:val="el-GR"/>
        </w:rPr>
        <w:t>ούτως</w:t>
      </w:r>
      <w:r w:rsidR="003B2919" w:rsidRPr="003B2919">
        <w:rPr>
          <w:rFonts w:cstheme="minorHAnsi"/>
          <w:b/>
          <w:bCs/>
          <w:sz w:val="24"/>
          <w:szCs w:val="24"/>
          <w:lang w:val="el-GR"/>
        </w:rPr>
        <w:t xml:space="preserve"> </w:t>
      </w:r>
      <w:r w:rsidR="003B2919">
        <w:rPr>
          <w:rFonts w:cstheme="minorHAnsi"/>
          <w:b/>
          <w:bCs/>
          <w:sz w:val="24"/>
          <w:szCs w:val="24"/>
          <w:lang w:val="el-GR"/>
        </w:rPr>
        <w:t>ώστε</w:t>
      </w:r>
      <w:r w:rsidR="00A5147D" w:rsidRPr="003B2919">
        <w:rPr>
          <w:rFonts w:cstheme="minorHAnsi"/>
          <w:b/>
          <w:bCs/>
          <w:sz w:val="24"/>
          <w:szCs w:val="24"/>
          <w:lang w:val="el-GR"/>
        </w:rPr>
        <w:t xml:space="preserve"> </w:t>
      </w:r>
      <w:r w:rsidR="003B2919">
        <w:rPr>
          <w:rFonts w:cstheme="minorHAnsi"/>
          <w:b/>
          <w:bCs/>
          <w:sz w:val="24"/>
          <w:szCs w:val="24"/>
          <w:lang w:val="el-GR"/>
        </w:rPr>
        <w:t>να</w:t>
      </w:r>
      <w:r w:rsidR="003B2919" w:rsidRPr="003B2919">
        <w:rPr>
          <w:rFonts w:cstheme="minorHAnsi"/>
          <w:b/>
          <w:bCs/>
          <w:sz w:val="24"/>
          <w:szCs w:val="24"/>
          <w:lang w:val="el-GR"/>
        </w:rPr>
        <w:t xml:space="preserve"> </w:t>
      </w:r>
      <w:r w:rsidR="003B2919">
        <w:rPr>
          <w:rFonts w:cstheme="minorHAnsi"/>
          <w:b/>
          <w:bCs/>
          <w:sz w:val="24"/>
          <w:szCs w:val="24"/>
          <w:lang w:val="el-GR"/>
        </w:rPr>
        <w:t>βελτιωθεί</w:t>
      </w:r>
      <w:r w:rsidR="003B2919" w:rsidRPr="003B2919">
        <w:rPr>
          <w:rFonts w:cstheme="minorHAnsi"/>
          <w:b/>
          <w:bCs/>
          <w:sz w:val="24"/>
          <w:szCs w:val="24"/>
          <w:lang w:val="el-GR"/>
        </w:rPr>
        <w:t xml:space="preserve"> </w:t>
      </w:r>
      <w:r w:rsidR="003B2919">
        <w:rPr>
          <w:rFonts w:cstheme="minorHAnsi"/>
          <w:b/>
          <w:bCs/>
          <w:sz w:val="24"/>
          <w:szCs w:val="24"/>
          <w:lang w:val="el-GR"/>
        </w:rPr>
        <w:t>η</w:t>
      </w:r>
      <w:r w:rsidR="003B2919" w:rsidRPr="003B2919">
        <w:rPr>
          <w:rFonts w:cstheme="minorHAnsi"/>
          <w:b/>
          <w:bCs/>
          <w:sz w:val="24"/>
          <w:szCs w:val="24"/>
          <w:lang w:val="el-GR"/>
        </w:rPr>
        <w:t xml:space="preserve"> </w:t>
      </w:r>
      <w:r w:rsidR="003B2919">
        <w:rPr>
          <w:rFonts w:cstheme="minorHAnsi"/>
          <w:b/>
          <w:bCs/>
          <w:sz w:val="24"/>
          <w:szCs w:val="24"/>
          <w:lang w:val="el-GR"/>
        </w:rPr>
        <w:t>διαφάνεια και η αποτελεσματικότητα του</w:t>
      </w:r>
      <w:r w:rsidR="00A5147D" w:rsidRPr="003B2919">
        <w:rPr>
          <w:rFonts w:cstheme="minorHAnsi"/>
          <w:b/>
          <w:bCs/>
          <w:sz w:val="24"/>
          <w:szCs w:val="24"/>
          <w:lang w:val="el-GR"/>
        </w:rPr>
        <w:t xml:space="preserve"> </w:t>
      </w:r>
      <w:r w:rsidR="003B2919">
        <w:rPr>
          <w:rFonts w:cstheme="minorHAnsi"/>
          <w:b/>
          <w:bCs/>
          <w:sz w:val="24"/>
          <w:szCs w:val="24"/>
          <w:lang w:val="el-GR"/>
        </w:rPr>
        <w:t>και ότι πρέπει να διευρυνθεί το πεδίο του</w:t>
      </w:r>
      <w:r w:rsidR="00A5147D" w:rsidRPr="003B2919">
        <w:rPr>
          <w:rFonts w:cs="Calibri"/>
          <w:b/>
          <w:bCs/>
          <w:sz w:val="24"/>
          <w:szCs w:val="24"/>
          <w:lang w:val="el-GR"/>
        </w:rPr>
        <w:t xml:space="preserve"> </w:t>
      </w:r>
      <w:r w:rsidR="003B2919">
        <w:rPr>
          <w:rFonts w:cs="Calibri"/>
          <w:b/>
          <w:bCs/>
          <w:sz w:val="24"/>
          <w:szCs w:val="24"/>
          <w:lang w:val="el-GR"/>
        </w:rPr>
        <w:t>για να καλύψει όλα τα άτομα</w:t>
      </w:r>
      <w:r w:rsidR="00A5147D" w:rsidRPr="003B2919">
        <w:rPr>
          <w:rFonts w:cs="Calibri"/>
          <w:b/>
          <w:bCs/>
          <w:sz w:val="24"/>
          <w:szCs w:val="24"/>
          <w:lang w:val="el-GR"/>
        </w:rPr>
        <w:t xml:space="preserve"> </w:t>
      </w:r>
      <w:r w:rsidR="003B2919">
        <w:rPr>
          <w:rFonts w:cs="Calibri"/>
          <w:b/>
          <w:bCs/>
          <w:sz w:val="24"/>
          <w:szCs w:val="24"/>
          <w:lang w:val="el-GR"/>
        </w:rPr>
        <w:t xml:space="preserve">με </w:t>
      </w:r>
      <w:r w:rsidR="00617B6B">
        <w:rPr>
          <w:rFonts w:cs="Calibri"/>
          <w:b/>
          <w:bCs/>
          <w:sz w:val="24"/>
          <w:szCs w:val="24"/>
          <w:lang w:val="el-GR"/>
        </w:rPr>
        <w:t>ανώτατα εκτελεστικά καθήκοντα</w:t>
      </w:r>
      <w:r w:rsidR="00A5147D" w:rsidRPr="003B2919">
        <w:rPr>
          <w:rFonts w:cs="Calibri"/>
          <w:b/>
          <w:bCs/>
          <w:sz w:val="24"/>
          <w:szCs w:val="24"/>
          <w:lang w:val="el-GR"/>
        </w:rPr>
        <w:t>.</w:t>
      </w:r>
    </w:p>
    <w:p w14:paraId="3A3FE4FE" w14:textId="77777777" w:rsidR="00A5147D" w:rsidRPr="003B2919" w:rsidRDefault="00A5147D" w:rsidP="00A5147D">
      <w:pPr>
        <w:rPr>
          <w:rFonts w:cstheme="minorHAnsi"/>
          <w:sz w:val="24"/>
          <w:szCs w:val="24"/>
          <w:lang w:val="el-GR"/>
        </w:rPr>
      </w:pPr>
    </w:p>
    <w:p w14:paraId="4040B26D" w14:textId="22912B69" w:rsidR="00A5147D" w:rsidRPr="003B2919" w:rsidRDefault="003B2919" w:rsidP="00A61452">
      <w:pPr>
        <w:pStyle w:val="Heading2"/>
        <w:spacing w:before="0"/>
        <w:rPr>
          <w:rFonts w:asciiTheme="minorHAnsi" w:hAnsiTheme="minorHAnsi" w:cstheme="minorHAnsi"/>
          <w:b w:val="0"/>
          <w:bCs w:val="0"/>
          <w:color w:val="auto"/>
          <w:sz w:val="24"/>
          <w:szCs w:val="24"/>
          <w:u w:val="single"/>
          <w:lang w:val="el-GR"/>
        </w:rPr>
      </w:pPr>
      <w:bookmarkStart w:id="140" w:name="_Toc342554261"/>
      <w:bookmarkStart w:id="141" w:name="_Toc342640936"/>
      <w:bookmarkStart w:id="142" w:name="_Toc479580442"/>
      <w:bookmarkStart w:id="143" w:name="_Toc117264361"/>
      <w:bookmarkStart w:id="144" w:name="_Toc136879359"/>
      <w:r>
        <w:rPr>
          <w:rFonts w:asciiTheme="minorHAnsi" w:hAnsiTheme="minorHAnsi" w:cstheme="minorHAnsi"/>
          <w:b w:val="0"/>
          <w:bCs w:val="0"/>
          <w:color w:val="auto"/>
          <w:sz w:val="24"/>
          <w:szCs w:val="24"/>
          <w:u w:val="single"/>
          <w:lang w:val="el-GR"/>
        </w:rPr>
        <w:t>Δήλωση</w:t>
      </w:r>
      <w:r w:rsidRPr="003B2919">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περιουσιακών</w:t>
      </w:r>
      <w:r w:rsidRPr="003B2919">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στοιχείων</w:t>
      </w:r>
      <w:r w:rsidR="00A5147D" w:rsidRPr="003B2919">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εισοδήματος</w:t>
      </w:r>
      <w:r w:rsidR="00A5147D" w:rsidRPr="003B2919">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υποχρεώσεων και συμφερόντων</w:t>
      </w:r>
      <w:bookmarkStart w:id="145" w:name="_Toc479580443"/>
      <w:bookmarkEnd w:id="140"/>
      <w:bookmarkEnd w:id="141"/>
      <w:bookmarkEnd w:id="142"/>
      <w:bookmarkEnd w:id="143"/>
      <w:bookmarkEnd w:id="144"/>
    </w:p>
    <w:p w14:paraId="0D09C463" w14:textId="77777777" w:rsidR="00A5147D" w:rsidRPr="003B2919" w:rsidRDefault="00A5147D" w:rsidP="00A61452">
      <w:pPr>
        <w:keepNext/>
        <w:rPr>
          <w:lang w:val="el-GR"/>
        </w:rPr>
      </w:pPr>
    </w:p>
    <w:p w14:paraId="4ABFB3B3" w14:textId="600088A3" w:rsidR="00A5147D" w:rsidRPr="003B2919" w:rsidRDefault="003B2919" w:rsidP="00A61452">
      <w:pPr>
        <w:pStyle w:val="Heading3"/>
        <w:spacing w:before="0"/>
        <w:rPr>
          <w:rFonts w:asciiTheme="minorHAnsi" w:hAnsiTheme="minorHAnsi" w:cstheme="minorHAnsi"/>
          <w:b w:val="0"/>
          <w:bCs w:val="0"/>
          <w:i/>
          <w:iCs/>
          <w:color w:val="auto"/>
          <w:sz w:val="24"/>
          <w:szCs w:val="24"/>
          <w:lang w:val="el-GR"/>
        </w:rPr>
      </w:pPr>
      <w:bookmarkStart w:id="146" w:name="_Toc117264362"/>
      <w:bookmarkStart w:id="147" w:name="_Toc136879360"/>
      <w:r>
        <w:rPr>
          <w:rFonts w:asciiTheme="minorHAnsi" w:hAnsiTheme="minorHAnsi" w:cstheme="minorHAnsi"/>
          <w:b w:val="0"/>
          <w:bCs w:val="0"/>
          <w:i/>
          <w:iCs/>
          <w:color w:val="auto"/>
          <w:sz w:val="24"/>
          <w:szCs w:val="24"/>
          <w:lang w:val="el-GR"/>
        </w:rPr>
        <w:t>Απαιτήσεις για δηλώσεις</w:t>
      </w:r>
      <w:bookmarkEnd w:id="145"/>
      <w:bookmarkEnd w:id="146"/>
      <w:bookmarkEnd w:id="147"/>
      <w:r w:rsidR="00A5147D" w:rsidRPr="003B2919">
        <w:rPr>
          <w:rFonts w:asciiTheme="minorHAnsi" w:hAnsiTheme="minorHAnsi" w:cstheme="minorHAnsi"/>
          <w:b w:val="0"/>
          <w:bCs w:val="0"/>
          <w:i/>
          <w:iCs/>
          <w:color w:val="auto"/>
          <w:sz w:val="24"/>
          <w:szCs w:val="24"/>
          <w:lang w:val="el-GR"/>
        </w:rPr>
        <w:t xml:space="preserve"> </w:t>
      </w:r>
    </w:p>
    <w:p w14:paraId="375DBA89" w14:textId="77777777" w:rsidR="00A5147D" w:rsidRPr="003B2919" w:rsidRDefault="00A5147D" w:rsidP="00A61452">
      <w:pPr>
        <w:keepNext/>
        <w:tabs>
          <w:tab w:val="left" w:pos="709"/>
        </w:tabs>
        <w:rPr>
          <w:rFonts w:ascii="Calibri" w:eastAsia="Calibri" w:hAnsi="Calibri" w:cs="Calibri"/>
          <w:sz w:val="24"/>
          <w:szCs w:val="24"/>
          <w:lang w:val="el-GR"/>
        </w:rPr>
      </w:pPr>
    </w:p>
    <w:p w14:paraId="64FDBDB9" w14:textId="37D57400" w:rsidR="00D352A6" w:rsidRPr="00A8154D" w:rsidRDefault="003B2919" w:rsidP="00A61452">
      <w:pPr>
        <w:keepNext/>
        <w:numPr>
          <w:ilvl w:val="0"/>
          <w:numId w:val="1"/>
        </w:numPr>
        <w:tabs>
          <w:tab w:val="clear" w:pos="6095"/>
          <w:tab w:val="left" w:pos="709"/>
        </w:tabs>
        <w:ind w:left="0" w:firstLine="0"/>
        <w:rPr>
          <w:rFonts w:ascii="Calibri" w:eastAsia="Calibri" w:hAnsi="Calibri" w:cs="Calibri"/>
          <w:sz w:val="24"/>
          <w:szCs w:val="24"/>
          <w:lang w:val="el-GR"/>
        </w:rPr>
      </w:pPr>
      <w:r>
        <w:rPr>
          <w:rFonts w:ascii="Calibri" w:eastAsia="Calibri" w:hAnsi="Calibri" w:cs="Calibri"/>
          <w:sz w:val="24"/>
          <w:szCs w:val="24"/>
          <w:lang w:val="el-GR"/>
        </w:rPr>
        <w:t>Υπάρχουν</w:t>
      </w:r>
      <w:r w:rsidRPr="00A8154D">
        <w:rPr>
          <w:rFonts w:ascii="Calibri" w:eastAsia="Calibri" w:hAnsi="Calibri" w:cs="Calibri"/>
          <w:sz w:val="24"/>
          <w:szCs w:val="24"/>
          <w:lang w:val="el-GR"/>
        </w:rPr>
        <w:t xml:space="preserve"> </w:t>
      </w:r>
      <w:r>
        <w:rPr>
          <w:rFonts w:ascii="Calibri" w:eastAsia="Calibri" w:hAnsi="Calibri" w:cs="Calibri"/>
          <w:sz w:val="24"/>
          <w:szCs w:val="24"/>
          <w:lang w:val="el-GR"/>
        </w:rPr>
        <w:t>δύο</w:t>
      </w:r>
      <w:r w:rsidRPr="00A8154D">
        <w:rPr>
          <w:rFonts w:ascii="Calibri" w:eastAsia="Calibri" w:hAnsi="Calibri" w:cs="Calibri"/>
          <w:sz w:val="24"/>
          <w:szCs w:val="24"/>
          <w:lang w:val="el-GR"/>
        </w:rPr>
        <w:t xml:space="preserve"> </w:t>
      </w:r>
      <w:r>
        <w:rPr>
          <w:rFonts w:ascii="Calibri" w:eastAsia="Calibri" w:hAnsi="Calibri" w:cs="Calibri"/>
          <w:sz w:val="24"/>
          <w:szCs w:val="24"/>
          <w:lang w:val="el-GR"/>
        </w:rPr>
        <w:t>παράλληλα</w:t>
      </w:r>
      <w:r w:rsidR="0068657C">
        <w:rPr>
          <w:rFonts w:ascii="Calibri" w:eastAsia="Calibri" w:hAnsi="Calibri" w:cs="Calibri"/>
          <w:sz w:val="24"/>
          <w:szCs w:val="24"/>
          <w:lang w:val="el-GR"/>
        </w:rPr>
        <w:t>,</w:t>
      </w:r>
      <w:r w:rsidRPr="00A8154D">
        <w:rPr>
          <w:rFonts w:ascii="Calibri" w:eastAsia="Calibri" w:hAnsi="Calibri" w:cs="Calibri"/>
          <w:sz w:val="24"/>
          <w:szCs w:val="24"/>
          <w:lang w:val="el-GR"/>
        </w:rPr>
        <w:t xml:space="preserve"> </w:t>
      </w:r>
      <w:r>
        <w:rPr>
          <w:rFonts w:ascii="Calibri" w:eastAsia="Calibri" w:hAnsi="Calibri" w:cs="Calibri"/>
          <w:sz w:val="24"/>
          <w:szCs w:val="24"/>
          <w:lang w:val="el-GR"/>
        </w:rPr>
        <w:t>αλλά</w:t>
      </w:r>
      <w:r w:rsidRPr="00A8154D">
        <w:rPr>
          <w:rFonts w:ascii="Calibri" w:eastAsia="Calibri" w:hAnsi="Calibri" w:cs="Calibri"/>
          <w:sz w:val="24"/>
          <w:szCs w:val="24"/>
          <w:lang w:val="el-GR"/>
        </w:rPr>
        <w:t xml:space="preserve"> </w:t>
      </w:r>
      <w:r>
        <w:rPr>
          <w:rFonts w:ascii="Calibri" w:eastAsia="Calibri" w:hAnsi="Calibri" w:cs="Calibri"/>
          <w:sz w:val="24"/>
          <w:szCs w:val="24"/>
          <w:lang w:val="el-GR"/>
        </w:rPr>
        <w:t>αυτόνομα</w:t>
      </w:r>
      <w:r w:rsidRPr="00A8154D">
        <w:rPr>
          <w:rFonts w:ascii="Calibri" w:eastAsia="Calibri" w:hAnsi="Calibri" w:cs="Calibri"/>
          <w:sz w:val="24"/>
          <w:szCs w:val="24"/>
          <w:lang w:val="el-GR"/>
        </w:rPr>
        <w:t xml:space="preserve"> </w:t>
      </w:r>
      <w:r>
        <w:rPr>
          <w:rFonts w:ascii="Calibri" w:eastAsia="Calibri" w:hAnsi="Calibri" w:cs="Calibri"/>
          <w:sz w:val="24"/>
          <w:szCs w:val="24"/>
          <w:lang w:val="el-GR"/>
        </w:rPr>
        <w:t>συστήματα</w:t>
      </w:r>
      <w:r w:rsidRPr="00A8154D">
        <w:rPr>
          <w:rFonts w:ascii="Calibri" w:eastAsia="Calibri" w:hAnsi="Calibri" w:cs="Calibri"/>
          <w:sz w:val="24"/>
          <w:szCs w:val="24"/>
          <w:lang w:val="el-GR"/>
        </w:rPr>
        <w:t xml:space="preserve"> </w:t>
      </w:r>
      <w:r>
        <w:rPr>
          <w:rFonts w:ascii="Calibri" w:eastAsia="Calibri" w:hAnsi="Calibri" w:cs="Calibri"/>
          <w:sz w:val="24"/>
          <w:szCs w:val="24"/>
          <w:lang w:val="el-GR"/>
        </w:rPr>
        <w:t>οικονομικής</w:t>
      </w:r>
      <w:r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αναφοράς</w:t>
      </w:r>
      <w:r w:rsidR="00A5147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ένα</w:t>
      </w:r>
      <w:r w:rsidR="00A8154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για</w:t>
      </w:r>
      <w:r w:rsidR="00A8154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τον</w:t>
      </w:r>
      <w:r w:rsidR="00A8154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Πρόεδρο</w:t>
      </w:r>
      <w:r w:rsidR="00A5147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υπουργούς και μέλη της Βουλής</w:t>
      </w:r>
      <w:r w:rsidR="00A5147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Νόμος</w:t>
      </w:r>
      <w:r w:rsidR="00A5147D" w:rsidRPr="00A8154D">
        <w:rPr>
          <w:rFonts w:ascii="Calibri" w:eastAsia="Calibri" w:hAnsi="Calibri" w:cs="Calibri"/>
          <w:sz w:val="24"/>
          <w:szCs w:val="24"/>
          <w:lang w:val="el-GR"/>
        </w:rPr>
        <w:t xml:space="preserve"> </w:t>
      </w:r>
      <w:r w:rsidR="00A5147D" w:rsidRPr="00A8154D">
        <w:rPr>
          <w:rFonts w:ascii="Calibri" w:eastAsia="Calibri" w:hAnsi="Calibri" w:cs="Calibri"/>
          <w:bCs/>
          <w:sz w:val="24"/>
          <w:szCs w:val="24"/>
          <w:lang w:val="el-GR"/>
        </w:rPr>
        <w:t>49(</w:t>
      </w:r>
      <w:r w:rsidR="00A5147D" w:rsidRPr="004E251E">
        <w:rPr>
          <w:rFonts w:ascii="Calibri" w:eastAsia="Calibri" w:hAnsi="Calibri" w:cs="Calibri"/>
          <w:bCs/>
          <w:sz w:val="24"/>
          <w:szCs w:val="24"/>
        </w:rPr>
        <w:t>I</w:t>
      </w:r>
      <w:r w:rsidR="00A5147D" w:rsidRPr="00A8154D">
        <w:rPr>
          <w:rFonts w:ascii="Calibri" w:eastAsia="Calibri" w:hAnsi="Calibri" w:cs="Calibri"/>
          <w:bCs/>
          <w:sz w:val="24"/>
          <w:szCs w:val="24"/>
          <w:lang w:val="el-GR"/>
        </w:rPr>
        <w:t xml:space="preserve">)/2004), </w:t>
      </w:r>
      <w:r w:rsidR="00A8154D">
        <w:rPr>
          <w:rFonts w:ascii="Calibri" w:eastAsia="Calibri" w:hAnsi="Calibri" w:cs="Calibri"/>
          <w:bCs/>
          <w:sz w:val="24"/>
          <w:szCs w:val="24"/>
          <w:lang w:val="el-GR"/>
        </w:rPr>
        <w:t xml:space="preserve">και ένα άλλο για τα ούτω καλούμενα </w:t>
      </w:r>
      <w:r w:rsidR="00BF4691">
        <w:rPr>
          <w:rFonts w:ascii="Calibri" w:eastAsia="Calibri" w:hAnsi="Calibri" w:cs="Calibri"/>
          <w:bCs/>
          <w:sz w:val="24"/>
          <w:szCs w:val="24"/>
          <w:lang w:val="el-GR"/>
        </w:rPr>
        <w:t xml:space="preserve">δημόσια </w:t>
      </w:r>
      <w:r w:rsidR="00A8154D">
        <w:rPr>
          <w:rFonts w:ascii="Calibri" w:eastAsia="Calibri" w:hAnsi="Calibri" w:cs="Calibri"/>
          <w:bCs/>
          <w:sz w:val="24"/>
          <w:szCs w:val="24"/>
          <w:lang w:val="el-GR"/>
        </w:rPr>
        <w:t>εκτεθ</w:t>
      </w:r>
      <w:r w:rsidR="0068657C">
        <w:rPr>
          <w:rFonts w:ascii="Calibri" w:eastAsia="Calibri" w:hAnsi="Calibri" w:cs="Calibri"/>
          <w:bCs/>
          <w:sz w:val="24"/>
          <w:szCs w:val="24"/>
          <w:lang w:val="el-GR"/>
        </w:rPr>
        <w:t>ε</w:t>
      </w:r>
      <w:r w:rsidR="00A8154D">
        <w:rPr>
          <w:rFonts w:ascii="Calibri" w:eastAsia="Calibri" w:hAnsi="Calibri" w:cs="Calibri"/>
          <w:bCs/>
          <w:sz w:val="24"/>
          <w:szCs w:val="24"/>
          <w:lang w:val="el-GR"/>
        </w:rPr>
        <w:t>ιμένα</w:t>
      </w:r>
      <w:r w:rsidR="00A5147D" w:rsidRPr="00A8154D">
        <w:rPr>
          <w:rFonts w:ascii="Calibri" w:eastAsia="Calibri" w:hAnsi="Calibri" w:cs="Calibri"/>
          <w:bCs/>
          <w:sz w:val="24"/>
          <w:szCs w:val="24"/>
          <w:lang w:val="el-GR"/>
        </w:rPr>
        <w:t xml:space="preserve"> </w:t>
      </w:r>
      <w:r w:rsidR="00A8154D">
        <w:rPr>
          <w:rFonts w:ascii="Calibri" w:eastAsia="Calibri" w:hAnsi="Calibri" w:cs="Calibri"/>
          <w:bCs/>
          <w:sz w:val="24"/>
          <w:szCs w:val="24"/>
          <w:lang w:val="el-GR"/>
        </w:rPr>
        <w:t>άτομα</w:t>
      </w:r>
      <w:r w:rsidR="00A5147D" w:rsidRPr="00A8154D">
        <w:rPr>
          <w:rFonts w:ascii="Calibri" w:eastAsia="Calibri" w:hAnsi="Calibri" w:cs="Calibri"/>
          <w:bCs/>
          <w:sz w:val="24"/>
          <w:szCs w:val="24"/>
          <w:lang w:val="el-GR"/>
        </w:rPr>
        <w:t xml:space="preserve"> (</w:t>
      </w:r>
      <w:r w:rsidR="00A8154D">
        <w:rPr>
          <w:rFonts w:ascii="Calibri" w:eastAsia="Calibri" w:hAnsi="Calibri" w:cs="Calibri"/>
          <w:bCs/>
          <w:sz w:val="24"/>
          <w:szCs w:val="24"/>
          <w:lang w:val="el-GR"/>
        </w:rPr>
        <w:t>Νόμος</w:t>
      </w:r>
      <w:r w:rsidR="00A5147D" w:rsidRPr="00A8154D">
        <w:rPr>
          <w:rFonts w:ascii="Calibri" w:eastAsia="Calibri" w:hAnsi="Calibri" w:cs="Calibri"/>
          <w:bCs/>
          <w:sz w:val="24"/>
          <w:szCs w:val="24"/>
          <w:lang w:val="el-GR"/>
        </w:rPr>
        <w:t xml:space="preserve"> 50(</w:t>
      </w:r>
      <w:r w:rsidR="00A5147D" w:rsidRPr="004E251E">
        <w:rPr>
          <w:rFonts w:ascii="Calibri" w:eastAsia="Calibri" w:hAnsi="Calibri" w:cs="Calibri"/>
          <w:bCs/>
          <w:sz w:val="24"/>
          <w:szCs w:val="24"/>
        </w:rPr>
        <w:t>I</w:t>
      </w:r>
      <w:r w:rsidR="00A5147D" w:rsidRPr="00A8154D">
        <w:rPr>
          <w:rFonts w:ascii="Calibri" w:eastAsia="Calibri" w:hAnsi="Calibri" w:cs="Calibri"/>
          <w:bCs/>
          <w:sz w:val="24"/>
          <w:szCs w:val="24"/>
          <w:lang w:val="el-GR"/>
        </w:rPr>
        <w:t xml:space="preserve">)/2004). </w:t>
      </w:r>
      <w:r w:rsidR="00A8154D">
        <w:rPr>
          <w:rFonts w:ascii="Calibri" w:eastAsia="Calibri" w:hAnsi="Calibri" w:cs="Calibri"/>
          <w:bCs/>
          <w:sz w:val="24"/>
          <w:szCs w:val="24"/>
          <w:lang w:val="el-GR"/>
        </w:rPr>
        <w:t>Δηλώσεις</w:t>
      </w:r>
      <w:r w:rsidR="00A8154D" w:rsidRPr="00A8154D">
        <w:rPr>
          <w:rFonts w:ascii="Calibri" w:eastAsia="Calibri" w:hAnsi="Calibri" w:cs="Calibri"/>
          <w:bCs/>
          <w:sz w:val="24"/>
          <w:szCs w:val="24"/>
          <w:lang w:val="el-GR"/>
        </w:rPr>
        <w:t xml:space="preserve"> </w:t>
      </w:r>
      <w:r w:rsidR="00A8154D">
        <w:rPr>
          <w:rFonts w:ascii="Calibri" w:eastAsia="Calibri" w:hAnsi="Calibri" w:cs="Calibri"/>
          <w:bCs/>
          <w:sz w:val="24"/>
          <w:szCs w:val="24"/>
          <w:lang w:val="el-GR"/>
        </w:rPr>
        <w:t>περιουσιακών</w:t>
      </w:r>
      <w:r w:rsidR="00A8154D" w:rsidRPr="00A8154D">
        <w:rPr>
          <w:rFonts w:ascii="Calibri" w:eastAsia="Calibri" w:hAnsi="Calibri" w:cs="Calibri"/>
          <w:bCs/>
          <w:sz w:val="24"/>
          <w:szCs w:val="24"/>
          <w:lang w:val="el-GR"/>
        </w:rPr>
        <w:t xml:space="preserve"> </w:t>
      </w:r>
      <w:r w:rsidR="00A8154D">
        <w:rPr>
          <w:rFonts w:ascii="Calibri" w:eastAsia="Calibri" w:hAnsi="Calibri" w:cs="Calibri"/>
          <w:bCs/>
          <w:sz w:val="24"/>
          <w:szCs w:val="24"/>
          <w:lang w:val="el-GR"/>
        </w:rPr>
        <w:t>στοιχείων</w:t>
      </w:r>
      <w:r w:rsidR="00A5147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πρέπει</w:t>
      </w:r>
      <w:r w:rsidR="00A8154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να</w:t>
      </w:r>
      <w:r w:rsidR="00A8154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υποβληθούν</w:t>
      </w:r>
      <w:r w:rsidR="00A8154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εντός</w:t>
      </w:r>
      <w:r w:rsidR="00A8154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τριών</w:t>
      </w:r>
      <w:r w:rsidR="00A8154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μηνών</w:t>
      </w:r>
      <w:r w:rsidR="00A5147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από</w:t>
      </w:r>
      <w:r w:rsidR="00A8154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την</w:t>
      </w:r>
      <w:r w:rsidR="00A8154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ανάληψη</w:t>
      </w:r>
      <w:r w:rsidR="00A8154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του</w:t>
      </w:r>
      <w:r w:rsidR="00A8154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αξιώματος</w:t>
      </w:r>
      <w:r w:rsidR="00A5147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και</w:t>
      </w:r>
      <w:r w:rsidR="00A8154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κάθε</w:t>
      </w:r>
      <w:r w:rsidR="00A8154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τρία</w:t>
      </w:r>
      <w:r w:rsidR="00A8154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χρόνια</w:t>
      </w:r>
      <w:r w:rsidR="00A8154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μετέπειτα</w:t>
      </w:r>
      <w:r w:rsidR="00A5147D" w:rsidRPr="00A8154D">
        <w:rPr>
          <w:rFonts w:ascii="Calibri" w:eastAsia="Calibri" w:hAnsi="Calibri" w:cs="Calibri"/>
          <w:sz w:val="24"/>
          <w:szCs w:val="24"/>
          <w:lang w:val="el-GR"/>
        </w:rPr>
        <w:t xml:space="preserve">, </w:t>
      </w:r>
      <w:r w:rsidR="00A8154D">
        <w:rPr>
          <w:rFonts w:ascii="Calibri" w:eastAsia="Calibri" w:hAnsi="Calibri" w:cs="Calibri"/>
          <w:sz w:val="24"/>
          <w:szCs w:val="24"/>
          <w:lang w:val="el-GR"/>
        </w:rPr>
        <w:t>κατά την διάρκεια της θητείας τους, καθώς επίσης και εντός τριών μηνών από το τέλος της θητείας τους</w:t>
      </w:r>
      <w:r w:rsidR="00A5147D" w:rsidRPr="00A8154D">
        <w:rPr>
          <w:rFonts w:ascii="Calibri" w:eastAsia="Calibri" w:hAnsi="Calibri" w:cs="Calibri"/>
          <w:sz w:val="24"/>
          <w:szCs w:val="24"/>
          <w:lang w:val="el-GR"/>
        </w:rPr>
        <w:t xml:space="preserve">. </w:t>
      </w:r>
    </w:p>
    <w:p w14:paraId="23297578" w14:textId="77777777" w:rsidR="00D352A6" w:rsidRPr="00A8154D" w:rsidRDefault="00D352A6" w:rsidP="00D352A6">
      <w:pPr>
        <w:tabs>
          <w:tab w:val="left" w:pos="709"/>
        </w:tabs>
        <w:rPr>
          <w:rFonts w:ascii="Calibri" w:eastAsia="Calibri" w:hAnsi="Calibri" w:cs="Calibri"/>
          <w:sz w:val="24"/>
          <w:szCs w:val="24"/>
          <w:lang w:val="el-GR"/>
        </w:rPr>
      </w:pPr>
    </w:p>
    <w:p w14:paraId="6D0910FB" w14:textId="23743C34" w:rsidR="00A5147D" w:rsidRPr="000F0BD6" w:rsidRDefault="00A8154D" w:rsidP="00D352A6">
      <w:pPr>
        <w:numPr>
          <w:ilvl w:val="0"/>
          <w:numId w:val="1"/>
        </w:numPr>
        <w:tabs>
          <w:tab w:val="clear" w:pos="6095"/>
          <w:tab w:val="left" w:pos="709"/>
        </w:tabs>
        <w:ind w:left="0" w:firstLine="0"/>
        <w:rPr>
          <w:rFonts w:ascii="Calibri" w:eastAsia="Calibri" w:hAnsi="Calibri" w:cs="Calibri"/>
          <w:sz w:val="24"/>
          <w:szCs w:val="24"/>
          <w:lang w:val="el-GR"/>
        </w:rPr>
      </w:pPr>
      <w:r>
        <w:rPr>
          <w:rFonts w:cstheme="minorHAnsi"/>
          <w:sz w:val="24"/>
          <w:szCs w:val="24"/>
          <w:lang w:val="el-GR"/>
        </w:rPr>
        <w:t>Τ</w:t>
      </w:r>
      <w:r w:rsidR="00BF4691">
        <w:rPr>
          <w:rFonts w:cstheme="minorHAnsi"/>
          <w:sz w:val="24"/>
          <w:szCs w:val="24"/>
          <w:lang w:val="el-GR"/>
        </w:rPr>
        <w:t xml:space="preserve">α στοιχεία </w:t>
      </w:r>
      <w:r>
        <w:rPr>
          <w:rFonts w:cstheme="minorHAnsi"/>
          <w:sz w:val="24"/>
          <w:szCs w:val="24"/>
          <w:lang w:val="el-GR"/>
        </w:rPr>
        <w:t>της</w:t>
      </w:r>
      <w:r w:rsidRPr="006B4E41">
        <w:rPr>
          <w:rFonts w:cstheme="minorHAnsi"/>
          <w:sz w:val="24"/>
          <w:szCs w:val="24"/>
          <w:lang w:val="el-GR"/>
        </w:rPr>
        <w:t xml:space="preserve"> </w:t>
      </w:r>
      <w:r>
        <w:rPr>
          <w:rFonts w:cstheme="minorHAnsi"/>
          <w:sz w:val="24"/>
          <w:szCs w:val="24"/>
          <w:lang w:val="el-GR"/>
        </w:rPr>
        <w:t>δήλωσης</w:t>
      </w:r>
      <w:r w:rsidRPr="006B4E41">
        <w:rPr>
          <w:rFonts w:cstheme="minorHAnsi"/>
          <w:sz w:val="24"/>
          <w:szCs w:val="24"/>
          <w:lang w:val="el-GR"/>
        </w:rPr>
        <w:t xml:space="preserve"> </w:t>
      </w:r>
      <w:r>
        <w:rPr>
          <w:rFonts w:cstheme="minorHAnsi"/>
          <w:sz w:val="24"/>
          <w:szCs w:val="24"/>
          <w:lang w:val="el-GR"/>
        </w:rPr>
        <w:t>περιλαμβάνουν</w:t>
      </w:r>
      <w:r w:rsidR="00A5147D" w:rsidRPr="006B4E41">
        <w:rPr>
          <w:rFonts w:cstheme="minorHAnsi"/>
          <w:sz w:val="24"/>
          <w:szCs w:val="24"/>
          <w:lang w:val="el-GR"/>
        </w:rPr>
        <w:t xml:space="preserve">: </w:t>
      </w:r>
      <w:r>
        <w:rPr>
          <w:rFonts w:cstheme="minorHAnsi"/>
          <w:sz w:val="24"/>
          <w:szCs w:val="24"/>
          <w:lang w:val="el-GR"/>
        </w:rPr>
        <w:t>ακίνητη</w:t>
      </w:r>
      <w:r w:rsidRPr="006B4E41">
        <w:rPr>
          <w:rFonts w:cstheme="minorHAnsi"/>
          <w:sz w:val="24"/>
          <w:szCs w:val="24"/>
          <w:lang w:val="el-GR"/>
        </w:rPr>
        <w:t xml:space="preserve"> </w:t>
      </w:r>
      <w:r>
        <w:rPr>
          <w:rFonts w:cstheme="minorHAnsi"/>
          <w:sz w:val="24"/>
          <w:szCs w:val="24"/>
          <w:lang w:val="el-GR"/>
        </w:rPr>
        <w:t>περιουσία</w:t>
      </w:r>
      <w:r w:rsidR="00A5147D" w:rsidRPr="006B4E41">
        <w:rPr>
          <w:rFonts w:eastAsia="Calibri" w:cstheme="minorHAnsi"/>
          <w:sz w:val="24"/>
          <w:szCs w:val="24"/>
          <w:lang w:val="el-GR"/>
        </w:rPr>
        <w:t xml:space="preserve">, </w:t>
      </w:r>
      <w:r>
        <w:rPr>
          <w:rFonts w:eastAsia="Calibri" w:cstheme="minorHAnsi"/>
          <w:sz w:val="24"/>
          <w:szCs w:val="24"/>
          <w:lang w:val="el-GR"/>
        </w:rPr>
        <w:t>συμπεριλαμβανομένων</w:t>
      </w:r>
      <w:r w:rsidRPr="006B4E41">
        <w:rPr>
          <w:rFonts w:eastAsia="Calibri" w:cstheme="minorHAnsi"/>
          <w:sz w:val="24"/>
          <w:szCs w:val="24"/>
          <w:lang w:val="el-GR"/>
        </w:rPr>
        <w:t xml:space="preserve"> </w:t>
      </w:r>
      <w:r>
        <w:rPr>
          <w:rFonts w:eastAsia="Calibri" w:cstheme="minorHAnsi"/>
          <w:sz w:val="24"/>
          <w:szCs w:val="24"/>
          <w:lang w:val="el-GR"/>
        </w:rPr>
        <w:t>τίτλων</w:t>
      </w:r>
      <w:r w:rsidRPr="006B4E41">
        <w:rPr>
          <w:rFonts w:eastAsia="Calibri" w:cstheme="minorHAnsi"/>
          <w:sz w:val="24"/>
          <w:szCs w:val="24"/>
          <w:lang w:val="el-GR"/>
        </w:rPr>
        <w:t xml:space="preserve"> </w:t>
      </w:r>
      <w:r>
        <w:rPr>
          <w:rFonts w:eastAsia="Calibri" w:cstheme="minorHAnsi"/>
          <w:sz w:val="24"/>
          <w:szCs w:val="24"/>
          <w:lang w:val="el-GR"/>
        </w:rPr>
        <w:t>και</w:t>
      </w:r>
      <w:r w:rsidRPr="006B4E41">
        <w:rPr>
          <w:rFonts w:eastAsia="Calibri" w:cstheme="minorHAnsi"/>
          <w:sz w:val="24"/>
          <w:szCs w:val="24"/>
          <w:lang w:val="el-GR"/>
        </w:rPr>
        <w:t xml:space="preserve"> </w:t>
      </w:r>
      <w:r>
        <w:rPr>
          <w:rFonts w:eastAsia="Calibri" w:cstheme="minorHAnsi"/>
          <w:sz w:val="24"/>
          <w:szCs w:val="24"/>
          <w:lang w:val="el-GR"/>
        </w:rPr>
        <w:t>επιβαρύνσεων</w:t>
      </w:r>
      <w:r w:rsidR="006B4E41" w:rsidRPr="006B4E41">
        <w:rPr>
          <w:rFonts w:eastAsia="Calibri" w:cstheme="minorHAnsi"/>
          <w:sz w:val="24"/>
          <w:szCs w:val="24"/>
          <w:lang w:val="el-GR"/>
        </w:rPr>
        <w:t xml:space="preserve"> </w:t>
      </w:r>
      <w:r w:rsidR="00BF4691">
        <w:rPr>
          <w:rFonts w:eastAsia="Calibri" w:cstheme="minorHAnsi"/>
          <w:sz w:val="24"/>
          <w:szCs w:val="24"/>
          <w:lang w:val="el-GR"/>
        </w:rPr>
        <w:t xml:space="preserve">επ’ αυτής </w:t>
      </w:r>
      <w:r w:rsidR="006B4E41">
        <w:rPr>
          <w:rFonts w:eastAsia="Calibri" w:cstheme="minorHAnsi"/>
          <w:sz w:val="24"/>
          <w:szCs w:val="24"/>
          <w:lang w:val="el-GR"/>
        </w:rPr>
        <w:t>με</w:t>
      </w:r>
      <w:r w:rsidR="006B4E41" w:rsidRPr="006B4E41">
        <w:rPr>
          <w:rFonts w:eastAsia="Calibri" w:cstheme="minorHAnsi"/>
          <w:sz w:val="24"/>
          <w:szCs w:val="24"/>
          <w:lang w:val="el-GR"/>
        </w:rPr>
        <w:t xml:space="preserve"> </w:t>
      </w:r>
      <w:r w:rsidR="006B4E41">
        <w:rPr>
          <w:rFonts w:eastAsia="Calibri" w:cstheme="minorHAnsi"/>
          <w:sz w:val="24"/>
          <w:szCs w:val="24"/>
          <w:lang w:val="el-GR"/>
        </w:rPr>
        <w:t>πλήρη</w:t>
      </w:r>
      <w:r w:rsidR="006B4E41" w:rsidRPr="006B4E41">
        <w:rPr>
          <w:rFonts w:eastAsia="Calibri" w:cstheme="minorHAnsi"/>
          <w:sz w:val="24"/>
          <w:szCs w:val="24"/>
          <w:lang w:val="el-GR"/>
        </w:rPr>
        <w:t xml:space="preserve"> </w:t>
      </w:r>
      <w:r w:rsidR="006B4E41">
        <w:rPr>
          <w:rFonts w:eastAsia="Calibri" w:cstheme="minorHAnsi"/>
          <w:sz w:val="24"/>
          <w:szCs w:val="24"/>
          <w:lang w:val="el-GR"/>
        </w:rPr>
        <w:t>περιγραφή</w:t>
      </w:r>
      <w:r w:rsidR="006B4E41" w:rsidRPr="006B4E41">
        <w:rPr>
          <w:rFonts w:eastAsia="Calibri" w:cstheme="minorHAnsi"/>
          <w:sz w:val="24"/>
          <w:szCs w:val="24"/>
          <w:lang w:val="el-GR"/>
        </w:rPr>
        <w:t xml:space="preserve"> </w:t>
      </w:r>
      <w:r w:rsidR="006B4E41">
        <w:rPr>
          <w:rFonts w:eastAsia="Calibri" w:cstheme="minorHAnsi"/>
          <w:sz w:val="24"/>
          <w:szCs w:val="24"/>
          <w:lang w:val="el-GR"/>
        </w:rPr>
        <w:t>του</w:t>
      </w:r>
      <w:r w:rsidR="006B4E41" w:rsidRPr="006B4E41">
        <w:rPr>
          <w:rFonts w:eastAsia="Calibri" w:cstheme="minorHAnsi"/>
          <w:sz w:val="24"/>
          <w:szCs w:val="24"/>
          <w:lang w:val="el-GR"/>
        </w:rPr>
        <w:t xml:space="preserve"> </w:t>
      </w:r>
      <w:r w:rsidR="006B4E41">
        <w:rPr>
          <w:rFonts w:eastAsia="Calibri" w:cstheme="minorHAnsi"/>
          <w:sz w:val="24"/>
          <w:szCs w:val="24"/>
          <w:lang w:val="el-GR"/>
        </w:rPr>
        <w:t>είδους</w:t>
      </w:r>
      <w:r w:rsidR="00A5147D" w:rsidRPr="006B4E41">
        <w:rPr>
          <w:rFonts w:eastAsia="Calibri" w:cstheme="minorHAnsi"/>
          <w:sz w:val="24"/>
          <w:szCs w:val="24"/>
          <w:lang w:val="el-GR"/>
        </w:rPr>
        <w:t xml:space="preserve">, </w:t>
      </w:r>
      <w:r w:rsidR="00BF4691">
        <w:rPr>
          <w:rFonts w:eastAsia="Calibri" w:cstheme="minorHAnsi"/>
          <w:sz w:val="24"/>
          <w:szCs w:val="24"/>
          <w:lang w:val="el-GR"/>
        </w:rPr>
        <w:t>την έκταση</w:t>
      </w:r>
      <w:r w:rsidR="00A5147D" w:rsidRPr="006B4E41">
        <w:rPr>
          <w:rFonts w:eastAsia="Calibri" w:cstheme="minorHAnsi"/>
          <w:sz w:val="24"/>
          <w:szCs w:val="24"/>
          <w:lang w:val="el-GR"/>
        </w:rPr>
        <w:t xml:space="preserve">, </w:t>
      </w:r>
      <w:r w:rsidR="006B4E41">
        <w:rPr>
          <w:rFonts w:eastAsia="Calibri" w:cstheme="minorHAnsi"/>
          <w:sz w:val="24"/>
          <w:szCs w:val="24"/>
          <w:lang w:val="el-GR"/>
        </w:rPr>
        <w:t>τα</w:t>
      </w:r>
      <w:r w:rsidR="006B4E41" w:rsidRPr="006B4E41">
        <w:rPr>
          <w:rFonts w:eastAsia="Calibri" w:cstheme="minorHAnsi"/>
          <w:sz w:val="24"/>
          <w:szCs w:val="24"/>
          <w:lang w:val="el-GR"/>
        </w:rPr>
        <w:t xml:space="preserve"> </w:t>
      </w:r>
      <w:r w:rsidR="006B4E41">
        <w:rPr>
          <w:rFonts w:eastAsia="Calibri" w:cstheme="minorHAnsi"/>
          <w:sz w:val="24"/>
          <w:szCs w:val="24"/>
          <w:lang w:val="el-GR"/>
        </w:rPr>
        <w:t>τοπογραφικά</w:t>
      </w:r>
      <w:r w:rsidR="00BF4691">
        <w:rPr>
          <w:rFonts w:eastAsia="Calibri" w:cstheme="minorHAnsi"/>
          <w:sz w:val="24"/>
          <w:szCs w:val="24"/>
          <w:lang w:val="el-GR"/>
        </w:rPr>
        <w:t xml:space="preserve"> στοιχεία</w:t>
      </w:r>
      <w:r w:rsidR="00A5147D" w:rsidRPr="006B4E41">
        <w:rPr>
          <w:rFonts w:eastAsia="Calibri" w:cstheme="minorHAnsi"/>
          <w:sz w:val="24"/>
          <w:szCs w:val="24"/>
          <w:lang w:val="el-GR"/>
        </w:rPr>
        <w:t xml:space="preserve">, </w:t>
      </w:r>
      <w:r w:rsidR="006B4E41">
        <w:rPr>
          <w:rFonts w:eastAsia="Calibri" w:cstheme="minorHAnsi"/>
          <w:sz w:val="24"/>
          <w:szCs w:val="24"/>
          <w:lang w:val="el-GR"/>
        </w:rPr>
        <w:t>τ</w:t>
      </w:r>
      <w:r w:rsidR="0068657C">
        <w:rPr>
          <w:rFonts w:eastAsia="Calibri" w:cstheme="minorHAnsi"/>
          <w:sz w:val="24"/>
          <w:szCs w:val="24"/>
          <w:lang w:val="el-GR"/>
        </w:rPr>
        <w:t>α</w:t>
      </w:r>
      <w:r w:rsidR="006B4E41" w:rsidRPr="006B4E41">
        <w:rPr>
          <w:rFonts w:eastAsia="Calibri" w:cstheme="minorHAnsi"/>
          <w:sz w:val="24"/>
          <w:szCs w:val="24"/>
          <w:lang w:val="el-GR"/>
        </w:rPr>
        <w:t xml:space="preserve"> </w:t>
      </w:r>
      <w:r w:rsidR="006B4E41">
        <w:rPr>
          <w:rFonts w:eastAsia="Calibri" w:cstheme="minorHAnsi"/>
          <w:sz w:val="24"/>
          <w:szCs w:val="24"/>
          <w:lang w:val="el-GR"/>
        </w:rPr>
        <w:t>μέσ</w:t>
      </w:r>
      <w:r w:rsidR="0068657C">
        <w:rPr>
          <w:rFonts w:eastAsia="Calibri" w:cstheme="minorHAnsi"/>
          <w:sz w:val="24"/>
          <w:szCs w:val="24"/>
          <w:lang w:val="el-GR"/>
        </w:rPr>
        <w:t>α</w:t>
      </w:r>
      <w:r w:rsidR="006B4E41" w:rsidRPr="006B4E41">
        <w:rPr>
          <w:rFonts w:eastAsia="Calibri" w:cstheme="minorHAnsi"/>
          <w:sz w:val="24"/>
          <w:szCs w:val="24"/>
          <w:lang w:val="el-GR"/>
        </w:rPr>
        <w:t xml:space="preserve"> </w:t>
      </w:r>
      <w:r w:rsidR="006B4E41">
        <w:rPr>
          <w:rFonts w:eastAsia="Calibri" w:cstheme="minorHAnsi"/>
          <w:sz w:val="24"/>
          <w:szCs w:val="24"/>
          <w:lang w:val="el-GR"/>
        </w:rPr>
        <w:t>και</w:t>
      </w:r>
      <w:r w:rsidR="006B4E41" w:rsidRPr="006B4E41">
        <w:rPr>
          <w:rFonts w:eastAsia="Calibri" w:cstheme="minorHAnsi"/>
          <w:sz w:val="24"/>
          <w:szCs w:val="24"/>
          <w:lang w:val="el-GR"/>
        </w:rPr>
        <w:t xml:space="preserve"> </w:t>
      </w:r>
      <w:r w:rsidR="006B4E41">
        <w:rPr>
          <w:rFonts w:eastAsia="Calibri" w:cstheme="minorHAnsi"/>
          <w:sz w:val="24"/>
          <w:szCs w:val="24"/>
          <w:lang w:val="el-GR"/>
        </w:rPr>
        <w:t>το</w:t>
      </w:r>
      <w:r w:rsidR="006B4E41" w:rsidRPr="006B4E41">
        <w:rPr>
          <w:rFonts w:eastAsia="Calibri" w:cstheme="minorHAnsi"/>
          <w:sz w:val="24"/>
          <w:szCs w:val="24"/>
          <w:lang w:val="el-GR"/>
        </w:rPr>
        <w:t xml:space="preserve"> </w:t>
      </w:r>
      <w:r w:rsidR="006B4E41">
        <w:rPr>
          <w:rFonts w:eastAsia="Calibri" w:cstheme="minorHAnsi"/>
          <w:sz w:val="24"/>
          <w:szCs w:val="24"/>
          <w:lang w:val="el-GR"/>
        </w:rPr>
        <w:t>αρχικό</w:t>
      </w:r>
      <w:r w:rsidR="006B4E41" w:rsidRPr="006B4E41">
        <w:rPr>
          <w:rFonts w:eastAsia="Calibri" w:cstheme="minorHAnsi"/>
          <w:sz w:val="24"/>
          <w:szCs w:val="24"/>
          <w:lang w:val="el-GR"/>
        </w:rPr>
        <w:t xml:space="preserve"> </w:t>
      </w:r>
      <w:r w:rsidR="006B4E41">
        <w:rPr>
          <w:rFonts w:eastAsia="Calibri" w:cstheme="minorHAnsi"/>
          <w:sz w:val="24"/>
          <w:szCs w:val="24"/>
          <w:lang w:val="el-GR"/>
        </w:rPr>
        <w:t>κόστος</w:t>
      </w:r>
      <w:r w:rsidR="006B4E41" w:rsidRPr="006B4E41">
        <w:rPr>
          <w:rFonts w:eastAsia="Calibri" w:cstheme="minorHAnsi"/>
          <w:sz w:val="24"/>
          <w:szCs w:val="24"/>
          <w:lang w:val="el-GR"/>
        </w:rPr>
        <w:t xml:space="preserve"> </w:t>
      </w:r>
      <w:r w:rsidR="006B4E41">
        <w:rPr>
          <w:rFonts w:eastAsia="Calibri" w:cstheme="minorHAnsi"/>
          <w:sz w:val="24"/>
          <w:szCs w:val="24"/>
          <w:lang w:val="el-GR"/>
        </w:rPr>
        <w:t>απόκτησης</w:t>
      </w:r>
      <w:r w:rsidR="006B4E41" w:rsidRPr="006B4E41">
        <w:rPr>
          <w:rFonts w:eastAsia="Calibri" w:cstheme="minorHAnsi"/>
          <w:sz w:val="24"/>
          <w:szCs w:val="24"/>
          <w:lang w:val="el-GR"/>
        </w:rPr>
        <w:t xml:space="preserve"> </w:t>
      </w:r>
      <w:r w:rsidR="006B4E41">
        <w:rPr>
          <w:rFonts w:eastAsia="Calibri" w:cstheme="minorHAnsi"/>
          <w:sz w:val="24"/>
          <w:szCs w:val="24"/>
          <w:lang w:val="el-GR"/>
        </w:rPr>
        <w:t>της</w:t>
      </w:r>
      <w:r w:rsidR="006B4E41" w:rsidRPr="006B4E41">
        <w:rPr>
          <w:rFonts w:eastAsia="Calibri" w:cstheme="minorHAnsi"/>
          <w:sz w:val="24"/>
          <w:szCs w:val="24"/>
          <w:lang w:val="el-GR"/>
        </w:rPr>
        <w:t xml:space="preserve"> </w:t>
      </w:r>
      <w:r w:rsidR="006B4E41">
        <w:rPr>
          <w:rFonts w:eastAsia="Calibri" w:cstheme="minorHAnsi"/>
          <w:sz w:val="24"/>
          <w:szCs w:val="24"/>
          <w:lang w:val="el-GR"/>
        </w:rPr>
        <w:t>περιουσίας</w:t>
      </w:r>
      <w:r w:rsidR="006B4E41" w:rsidRPr="006B4E41">
        <w:rPr>
          <w:rFonts w:eastAsia="Calibri" w:cstheme="minorHAnsi"/>
          <w:sz w:val="24"/>
          <w:szCs w:val="24"/>
          <w:lang w:val="el-GR"/>
        </w:rPr>
        <w:t>,</w:t>
      </w:r>
      <w:r w:rsidR="00A5147D" w:rsidRPr="006B4E41">
        <w:rPr>
          <w:rFonts w:cstheme="minorHAnsi"/>
          <w:sz w:val="24"/>
          <w:szCs w:val="24"/>
          <w:lang w:val="el-GR"/>
        </w:rPr>
        <w:t xml:space="preserve"> </w:t>
      </w:r>
      <w:r w:rsidR="006B4E41">
        <w:rPr>
          <w:rFonts w:cstheme="minorHAnsi"/>
          <w:sz w:val="24"/>
          <w:szCs w:val="24"/>
          <w:lang w:val="el-GR"/>
        </w:rPr>
        <w:t>όλα</w:t>
      </w:r>
      <w:r w:rsidR="006B4E41" w:rsidRPr="006B4E41">
        <w:rPr>
          <w:rFonts w:cstheme="minorHAnsi"/>
          <w:sz w:val="24"/>
          <w:szCs w:val="24"/>
          <w:lang w:val="el-GR"/>
        </w:rPr>
        <w:t xml:space="preserve"> </w:t>
      </w:r>
      <w:r w:rsidR="006B4E41">
        <w:rPr>
          <w:rFonts w:cstheme="minorHAnsi"/>
          <w:sz w:val="24"/>
          <w:szCs w:val="24"/>
          <w:lang w:val="el-GR"/>
        </w:rPr>
        <w:t>τα</w:t>
      </w:r>
      <w:r w:rsidR="006B4E41" w:rsidRPr="006B4E41">
        <w:rPr>
          <w:rFonts w:cstheme="minorHAnsi"/>
          <w:sz w:val="24"/>
          <w:szCs w:val="24"/>
          <w:lang w:val="el-GR"/>
        </w:rPr>
        <w:t xml:space="preserve"> </w:t>
      </w:r>
      <w:r w:rsidR="006B4E41">
        <w:rPr>
          <w:rFonts w:cstheme="minorHAnsi"/>
          <w:sz w:val="24"/>
          <w:szCs w:val="24"/>
          <w:lang w:val="el-GR"/>
        </w:rPr>
        <w:t>μέσα</w:t>
      </w:r>
      <w:r w:rsidR="006B4E41" w:rsidRPr="006B4E41">
        <w:rPr>
          <w:rFonts w:cstheme="minorHAnsi"/>
          <w:sz w:val="24"/>
          <w:szCs w:val="24"/>
          <w:lang w:val="el-GR"/>
        </w:rPr>
        <w:t xml:space="preserve"> </w:t>
      </w:r>
      <w:r w:rsidR="006B4E41">
        <w:rPr>
          <w:rFonts w:cstheme="minorHAnsi"/>
          <w:sz w:val="24"/>
          <w:szCs w:val="24"/>
          <w:lang w:val="el-GR"/>
        </w:rPr>
        <w:t>μεταφοράς</w:t>
      </w:r>
      <w:r w:rsidR="00A5147D" w:rsidRPr="006B4E41">
        <w:rPr>
          <w:rFonts w:eastAsia="Calibri" w:cstheme="minorHAnsi"/>
          <w:sz w:val="24"/>
          <w:szCs w:val="24"/>
          <w:lang w:val="el-GR"/>
        </w:rPr>
        <w:t xml:space="preserve"> </w:t>
      </w:r>
      <w:r w:rsidR="006B4E41">
        <w:rPr>
          <w:rFonts w:eastAsia="Calibri" w:cstheme="minorHAnsi"/>
          <w:sz w:val="24"/>
          <w:szCs w:val="24"/>
          <w:lang w:val="el-GR"/>
        </w:rPr>
        <w:t>περιλαμβανομένων και σκαφών,</w:t>
      </w:r>
      <w:r w:rsidR="00A5147D" w:rsidRPr="006B4E41">
        <w:rPr>
          <w:rFonts w:cstheme="minorHAnsi"/>
          <w:sz w:val="24"/>
          <w:szCs w:val="24"/>
          <w:lang w:val="el-GR"/>
        </w:rPr>
        <w:t xml:space="preserve"> </w:t>
      </w:r>
      <w:r w:rsidR="00BF4691">
        <w:rPr>
          <w:rFonts w:cstheme="minorHAnsi"/>
          <w:sz w:val="24"/>
          <w:szCs w:val="24"/>
          <w:lang w:val="el-GR"/>
        </w:rPr>
        <w:t xml:space="preserve">το </w:t>
      </w:r>
      <w:r w:rsidR="006B4E41">
        <w:rPr>
          <w:rFonts w:cstheme="minorHAnsi"/>
          <w:sz w:val="24"/>
          <w:szCs w:val="24"/>
          <w:lang w:val="el-GR"/>
        </w:rPr>
        <w:t>ουσι</w:t>
      </w:r>
      <w:r w:rsidR="00BF4691">
        <w:rPr>
          <w:rFonts w:cstheme="minorHAnsi"/>
          <w:sz w:val="24"/>
          <w:szCs w:val="24"/>
          <w:lang w:val="el-GR"/>
        </w:rPr>
        <w:t>αστικό</w:t>
      </w:r>
      <w:r w:rsidR="006B4E41">
        <w:rPr>
          <w:rFonts w:cstheme="minorHAnsi"/>
          <w:sz w:val="24"/>
          <w:szCs w:val="24"/>
          <w:lang w:val="el-GR"/>
        </w:rPr>
        <w:t xml:space="preserve"> οικονομικό συμφέρον σε οποιαδήποτε επιχείρηση,</w:t>
      </w:r>
      <w:r w:rsidR="00A5147D" w:rsidRPr="006B4E41">
        <w:rPr>
          <w:rFonts w:cstheme="minorHAnsi"/>
          <w:sz w:val="24"/>
          <w:szCs w:val="24"/>
          <w:lang w:val="el-GR"/>
        </w:rPr>
        <w:t xml:space="preserve"> </w:t>
      </w:r>
      <w:r w:rsidR="006B4E41">
        <w:rPr>
          <w:rFonts w:cstheme="minorHAnsi"/>
          <w:sz w:val="24"/>
          <w:szCs w:val="24"/>
          <w:lang w:val="el-GR"/>
        </w:rPr>
        <w:t xml:space="preserve">περιουσιακά στοιχεία </w:t>
      </w:r>
      <w:r w:rsidR="00BF4691">
        <w:rPr>
          <w:rFonts w:cstheme="minorHAnsi"/>
          <w:sz w:val="24"/>
          <w:szCs w:val="24"/>
          <w:lang w:val="el-GR"/>
        </w:rPr>
        <w:t xml:space="preserve">κάθε είδους </w:t>
      </w:r>
      <w:r w:rsidR="006B4E41">
        <w:rPr>
          <w:rFonts w:eastAsia="Calibri" w:cstheme="minorHAnsi"/>
          <w:sz w:val="24"/>
          <w:szCs w:val="24"/>
          <w:lang w:val="el-GR"/>
        </w:rPr>
        <w:t>που αποτελούνται από χρεόγραφα</w:t>
      </w:r>
      <w:r w:rsidR="00A5147D" w:rsidRPr="006B4E41">
        <w:rPr>
          <w:rFonts w:eastAsia="Calibri" w:cstheme="minorHAnsi"/>
          <w:sz w:val="24"/>
          <w:szCs w:val="24"/>
          <w:lang w:val="el-GR"/>
        </w:rPr>
        <w:t>,</w:t>
      </w:r>
      <w:r w:rsidR="00BF4691">
        <w:rPr>
          <w:rFonts w:eastAsia="Calibri" w:cstheme="minorHAnsi"/>
          <w:sz w:val="24"/>
          <w:szCs w:val="24"/>
          <w:lang w:val="el-GR"/>
        </w:rPr>
        <w:t xml:space="preserve"> χρεωστικά</w:t>
      </w:r>
      <w:r w:rsidR="00A5147D" w:rsidRPr="006B4E41">
        <w:rPr>
          <w:rFonts w:eastAsia="Calibri" w:cstheme="minorHAnsi"/>
          <w:sz w:val="24"/>
          <w:szCs w:val="24"/>
          <w:lang w:val="el-GR"/>
        </w:rPr>
        <w:t xml:space="preserve"> </w:t>
      </w:r>
      <w:r w:rsidR="006B4E41">
        <w:rPr>
          <w:rFonts w:eastAsia="Calibri" w:cstheme="minorHAnsi"/>
          <w:sz w:val="24"/>
          <w:szCs w:val="24"/>
          <w:lang w:val="el-GR"/>
        </w:rPr>
        <w:t>ομόλογα</w:t>
      </w:r>
      <w:r w:rsidR="00A5147D" w:rsidRPr="006B4E41">
        <w:rPr>
          <w:rFonts w:eastAsia="Calibri" w:cstheme="minorHAnsi"/>
          <w:sz w:val="24"/>
          <w:szCs w:val="24"/>
          <w:lang w:val="el-GR"/>
        </w:rPr>
        <w:t xml:space="preserve">, </w:t>
      </w:r>
      <w:r w:rsidR="006B4E41">
        <w:rPr>
          <w:rFonts w:eastAsia="Calibri" w:cstheme="minorHAnsi"/>
          <w:sz w:val="24"/>
          <w:szCs w:val="24"/>
          <w:lang w:val="el-GR"/>
        </w:rPr>
        <w:t>μετοχές και μερίσματα</w:t>
      </w:r>
      <w:r w:rsidR="00A5147D" w:rsidRPr="006B4E41">
        <w:rPr>
          <w:rFonts w:eastAsia="Calibri" w:cstheme="minorHAnsi"/>
          <w:sz w:val="24"/>
          <w:szCs w:val="24"/>
          <w:lang w:val="el-GR"/>
        </w:rPr>
        <w:t xml:space="preserve"> </w:t>
      </w:r>
      <w:r w:rsidR="00BF4691">
        <w:rPr>
          <w:rFonts w:eastAsia="Calibri" w:cstheme="minorHAnsi"/>
          <w:sz w:val="24"/>
          <w:szCs w:val="24"/>
          <w:lang w:val="el-GR"/>
        </w:rPr>
        <w:t xml:space="preserve">προς ίδιον </w:t>
      </w:r>
      <w:r w:rsidR="006B4E41">
        <w:rPr>
          <w:rFonts w:eastAsia="Calibri" w:cstheme="minorHAnsi"/>
          <w:sz w:val="24"/>
          <w:szCs w:val="24"/>
          <w:lang w:val="el-GR"/>
        </w:rPr>
        <w:t xml:space="preserve">οικονομικό </w:t>
      </w:r>
      <w:r w:rsidR="00BF4691">
        <w:rPr>
          <w:rFonts w:eastAsia="Calibri" w:cstheme="minorHAnsi"/>
          <w:sz w:val="24"/>
          <w:szCs w:val="24"/>
          <w:lang w:val="el-GR"/>
        </w:rPr>
        <w:t xml:space="preserve">όφελος </w:t>
      </w:r>
      <w:r w:rsidR="006B4E41">
        <w:rPr>
          <w:rFonts w:eastAsia="Calibri" w:cstheme="minorHAnsi"/>
          <w:sz w:val="24"/>
          <w:szCs w:val="24"/>
          <w:lang w:val="el-GR"/>
        </w:rPr>
        <w:t>του/ης</w:t>
      </w:r>
      <w:r w:rsidR="00A5147D" w:rsidRPr="006B4E41">
        <w:rPr>
          <w:rFonts w:eastAsia="Calibri" w:cstheme="minorHAnsi"/>
          <w:sz w:val="24"/>
          <w:szCs w:val="24"/>
          <w:lang w:val="el-GR"/>
        </w:rPr>
        <w:t xml:space="preserve"> </w:t>
      </w:r>
      <w:r w:rsidR="000F0BD6">
        <w:rPr>
          <w:rFonts w:eastAsia="Calibri" w:cstheme="minorHAnsi"/>
          <w:sz w:val="24"/>
          <w:szCs w:val="24"/>
          <w:lang w:val="el-GR"/>
        </w:rPr>
        <w:t>σε ιδιωτικές και δημόσιες εταιρείες</w:t>
      </w:r>
      <w:r w:rsidR="00A5147D" w:rsidRPr="006B4E41">
        <w:rPr>
          <w:rFonts w:eastAsia="Calibri" w:cstheme="minorHAnsi"/>
          <w:sz w:val="24"/>
          <w:szCs w:val="24"/>
          <w:lang w:val="el-GR"/>
        </w:rPr>
        <w:t xml:space="preserve">, </w:t>
      </w:r>
      <w:r w:rsidR="000F0BD6">
        <w:rPr>
          <w:rFonts w:eastAsia="Calibri" w:cstheme="minorHAnsi"/>
          <w:sz w:val="24"/>
          <w:szCs w:val="24"/>
          <w:lang w:val="el-GR"/>
        </w:rPr>
        <w:t>καταθέσεις σε εμπορικές τράπεζες</w:t>
      </w:r>
      <w:r w:rsidR="00A5147D" w:rsidRPr="006B4E41">
        <w:rPr>
          <w:rFonts w:eastAsia="Calibri" w:cstheme="minorHAnsi"/>
          <w:sz w:val="24"/>
          <w:szCs w:val="24"/>
          <w:lang w:val="el-GR"/>
        </w:rPr>
        <w:t xml:space="preserve">, </w:t>
      </w:r>
      <w:r w:rsidR="000F0BD6">
        <w:rPr>
          <w:rFonts w:eastAsia="Calibri" w:cstheme="minorHAnsi"/>
          <w:sz w:val="24"/>
          <w:szCs w:val="24"/>
          <w:lang w:val="el-GR"/>
        </w:rPr>
        <w:t>ταμιευτήρια ή συνεργατικές εταιρείες</w:t>
      </w:r>
      <w:r w:rsidR="00A5147D" w:rsidRPr="006B4E41">
        <w:rPr>
          <w:rFonts w:eastAsia="Calibri" w:cstheme="minorHAnsi"/>
          <w:sz w:val="24"/>
          <w:szCs w:val="24"/>
          <w:lang w:val="el-GR"/>
        </w:rPr>
        <w:t xml:space="preserve">, </w:t>
      </w:r>
      <w:r w:rsidR="00BF4691">
        <w:rPr>
          <w:rFonts w:eastAsia="Calibri" w:cstheme="minorHAnsi"/>
          <w:sz w:val="24"/>
          <w:szCs w:val="24"/>
          <w:lang w:val="el-GR"/>
        </w:rPr>
        <w:t xml:space="preserve">τα εισοδήματα </w:t>
      </w:r>
      <w:r w:rsidR="000F0BD6">
        <w:rPr>
          <w:rFonts w:eastAsia="Calibri" w:cstheme="minorHAnsi"/>
          <w:sz w:val="24"/>
          <w:szCs w:val="24"/>
          <w:lang w:val="el-GR"/>
        </w:rPr>
        <w:t xml:space="preserve">ή </w:t>
      </w:r>
      <w:r w:rsidR="00BF4691">
        <w:rPr>
          <w:rFonts w:eastAsia="Calibri" w:cstheme="minorHAnsi"/>
          <w:sz w:val="24"/>
          <w:szCs w:val="24"/>
          <w:lang w:val="el-GR"/>
        </w:rPr>
        <w:t xml:space="preserve">ωφελήματα </w:t>
      </w:r>
      <w:r w:rsidR="000F0BD6">
        <w:rPr>
          <w:rFonts w:eastAsia="Calibri" w:cstheme="minorHAnsi"/>
          <w:sz w:val="24"/>
          <w:szCs w:val="24"/>
          <w:lang w:val="el-GR"/>
        </w:rPr>
        <w:t>από</w:t>
      </w:r>
      <w:r w:rsidR="000D37D9">
        <w:rPr>
          <w:rFonts w:eastAsia="Calibri" w:cstheme="minorHAnsi"/>
          <w:sz w:val="24"/>
          <w:szCs w:val="24"/>
          <w:lang w:val="el-GR"/>
        </w:rPr>
        <w:t xml:space="preserve"> </w:t>
      </w:r>
      <w:r w:rsidR="000D37D9" w:rsidRPr="002B7C4B">
        <w:rPr>
          <w:rFonts w:eastAsia="Calibri" w:cstheme="minorHAnsi"/>
          <w:sz w:val="24"/>
          <w:szCs w:val="24"/>
          <w:lang w:val="el-GR"/>
        </w:rPr>
        <w:t>ασφαλιστικά συμβόλαια και οποιαδήποτε άλλα εισοδήματα.</w:t>
      </w:r>
      <w:r w:rsidR="00A5147D" w:rsidRPr="002B7C4B">
        <w:rPr>
          <w:rFonts w:eastAsia="Calibri" w:cstheme="minorHAnsi"/>
          <w:sz w:val="24"/>
          <w:szCs w:val="24"/>
          <w:lang w:val="el-GR"/>
        </w:rPr>
        <w:t xml:space="preserve"> </w:t>
      </w:r>
      <w:r w:rsidR="000F0BD6">
        <w:rPr>
          <w:rFonts w:cstheme="minorHAnsi"/>
          <w:sz w:val="24"/>
          <w:szCs w:val="24"/>
          <w:lang w:val="el-GR"/>
        </w:rPr>
        <w:t>Επιπρόσθετα</w:t>
      </w:r>
      <w:r w:rsidR="00A5147D" w:rsidRPr="000F0BD6">
        <w:rPr>
          <w:rFonts w:cstheme="minorHAnsi"/>
          <w:iCs/>
          <w:sz w:val="24"/>
          <w:szCs w:val="24"/>
          <w:lang w:val="el-GR"/>
        </w:rPr>
        <w:t xml:space="preserve">, </w:t>
      </w:r>
      <w:r w:rsidR="000F0BD6">
        <w:rPr>
          <w:rFonts w:cstheme="minorHAnsi"/>
          <w:iCs/>
          <w:sz w:val="24"/>
          <w:szCs w:val="24"/>
          <w:lang w:val="el-GR"/>
        </w:rPr>
        <w:t>οι</w:t>
      </w:r>
      <w:r w:rsidR="000F0BD6" w:rsidRPr="000F0BD6">
        <w:rPr>
          <w:rFonts w:cstheme="minorHAnsi"/>
          <w:iCs/>
          <w:sz w:val="24"/>
          <w:szCs w:val="24"/>
          <w:lang w:val="el-GR"/>
        </w:rPr>
        <w:t xml:space="preserve"> </w:t>
      </w:r>
      <w:r w:rsidR="000F0BD6">
        <w:rPr>
          <w:rFonts w:cstheme="minorHAnsi"/>
          <w:iCs/>
          <w:sz w:val="24"/>
          <w:szCs w:val="24"/>
          <w:lang w:val="el-GR"/>
        </w:rPr>
        <w:t>δηλώσεις</w:t>
      </w:r>
      <w:r w:rsidR="000F0BD6" w:rsidRPr="000F0BD6">
        <w:rPr>
          <w:rFonts w:cstheme="minorHAnsi"/>
          <w:iCs/>
          <w:sz w:val="24"/>
          <w:szCs w:val="24"/>
          <w:lang w:val="el-GR"/>
        </w:rPr>
        <w:t xml:space="preserve"> </w:t>
      </w:r>
      <w:r w:rsidR="000F0BD6">
        <w:rPr>
          <w:rFonts w:cstheme="minorHAnsi"/>
          <w:iCs/>
          <w:sz w:val="24"/>
          <w:szCs w:val="24"/>
          <w:lang w:val="el-GR"/>
        </w:rPr>
        <w:t>πρέπει</w:t>
      </w:r>
      <w:r w:rsidR="000F0BD6" w:rsidRPr="000F0BD6">
        <w:rPr>
          <w:rFonts w:cstheme="minorHAnsi"/>
          <w:iCs/>
          <w:sz w:val="24"/>
          <w:szCs w:val="24"/>
          <w:lang w:val="el-GR"/>
        </w:rPr>
        <w:t xml:space="preserve"> </w:t>
      </w:r>
      <w:r w:rsidR="000F0BD6">
        <w:rPr>
          <w:rFonts w:cstheme="minorHAnsi"/>
          <w:iCs/>
          <w:sz w:val="24"/>
          <w:szCs w:val="24"/>
          <w:lang w:val="el-GR"/>
        </w:rPr>
        <w:t>να</w:t>
      </w:r>
      <w:r w:rsidR="000F0BD6" w:rsidRPr="000F0BD6">
        <w:rPr>
          <w:rFonts w:cstheme="minorHAnsi"/>
          <w:iCs/>
          <w:sz w:val="24"/>
          <w:szCs w:val="24"/>
          <w:lang w:val="el-GR"/>
        </w:rPr>
        <w:t xml:space="preserve"> </w:t>
      </w:r>
      <w:r w:rsidR="000D37D9">
        <w:rPr>
          <w:rFonts w:cstheme="minorHAnsi"/>
          <w:iCs/>
          <w:sz w:val="24"/>
          <w:szCs w:val="24"/>
          <w:lang w:val="el-GR"/>
        </w:rPr>
        <w:t xml:space="preserve">περιλαμβάνουν </w:t>
      </w:r>
      <w:r w:rsidR="000F0BD6">
        <w:rPr>
          <w:rFonts w:cstheme="minorHAnsi"/>
          <w:iCs/>
          <w:sz w:val="24"/>
          <w:szCs w:val="24"/>
          <w:lang w:val="el-GR"/>
        </w:rPr>
        <w:t>οποιαδήποτε</w:t>
      </w:r>
      <w:r w:rsidR="000F0BD6" w:rsidRPr="000F0BD6">
        <w:rPr>
          <w:rFonts w:cstheme="minorHAnsi"/>
          <w:iCs/>
          <w:sz w:val="24"/>
          <w:szCs w:val="24"/>
          <w:lang w:val="el-GR"/>
        </w:rPr>
        <w:t xml:space="preserve"> </w:t>
      </w:r>
      <w:r w:rsidR="000F0BD6">
        <w:rPr>
          <w:rFonts w:cstheme="minorHAnsi"/>
          <w:iCs/>
          <w:sz w:val="24"/>
          <w:szCs w:val="24"/>
          <w:lang w:val="el-GR"/>
        </w:rPr>
        <w:t>διαφοροποίηση</w:t>
      </w:r>
      <w:r w:rsidR="000F0BD6" w:rsidRPr="000F0BD6">
        <w:rPr>
          <w:rFonts w:cstheme="minorHAnsi"/>
          <w:iCs/>
          <w:sz w:val="24"/>
          <w:szCs w:val="24"/>
          <w:lang w:val="el-GR"/>
        </w:rPr>
        <w:t xml:space="preserve"> </w:t>
      </w:r>
      <w:r w:rsidR="000F0BD6">
        <w:rPr>
          <w:rFonts w:cstheme="minorHAnsi"/>
          <w:iCs/>
          <w:sz w:val="24"/>
          <w:szCs w:val="24"/>
          <w:lang w:val="el-GR"/>
        </w:rPr>
        <w:t>στα</w:t>
      </w:r>
      <w:r w:rsidR="000F0BD6" w:rsidRPr="000F0BD6">
        <w:rPr>
          <w:rFonts w:cstheme="minorHAnsi"/>
          <w:iCs/>
          <w:sz w:val="24"/>
          <w:szCs w:val="24"/>
          <w:lang w:val="el-GR"/>
        </w:rPr>
        <w:t xml:space="preserve"> </w:t>
      </w:r>
      <w:r w:rsidR="000F0BD6">
        <w:rPr>
          <w:rFonts w:cstheme="minorHAnsi"/>
          <w:iCs/>
          <w:sz w:val="24"/>
          <w:szCs w:val="24"/>
          <w:lang w:val="el-GR"/>
        </w:rPr>
        <w:t>περιουσιακά</w:t>
      </w:r>
      <w:r w:rsidR="000F0BD6" w:rsidRPr="000F0BD6">
        <w:rPr>
          <w:rFonts w:cstheme="minorHAnsi"/>
          <w:iCs/>
          <w:sz w:val="24"/>
          <w:szCs w:val="24"/>
          <w:lang w:val="el-GR"/>
        </w:rPr>
        <w:t xml:space="preserve"> </w:t>
      </w:r>
      <w:r w:rsidR="000F0BD6">
        <w:rPr>
          <w:rFonts w:cstheme="minorHAnsi"/>
          <w:iCs/>
          <w:sz w:val="24"/>
          <w:szCs w:val="24"/>
          <w:lang w:val="el-GR"/>
        </w:rPr>
        <w:t>στοιχεία</w:t>
      </w:r>
      <w:r w:rsidR="00A5147D" w:rsidRPr="000F0BD6">
        <w:rPr>
          <w:rFonts w:cstheme="minorHAnsi"/>
          <w:iCs/>
          <w:sz w:val="24"/>
          <w:szCs w:val="24"/>
          <w:lang w:val="el-GR"/>
        </w:rPr>
        <w:t xml:space="preserve">, </w:t>
      </w:r>
      <w:r w:rsidR="000D37D9">
        <w:rPr>
          <w:rFonts w:cstheme="minorHAnsi"/>
          <w:iCs/>
          <w:sz w:val="24"/>
          <w:szCs w:val="24"/>
          <w:lang w:val="el-GR"/>
        </w:rPr>
        <w:t xml:space="preserve">η οποία </w:t>
      </w:r>
      <w:r w:rsidR="000F0BD6">
        <w:rPr>
          <w:rFonts w:cstheme="minorHAnsi"/>
          <w:iCs/>
          <w:sz w:val="24"/>
          <w:szCs w:val="24"/>
          <w:lang w:val="el-GR"/>
        </w:rPr>
        <w:t>έχει</w:t>
      </w:r>
      <w:r w:rsidR="000F0BD6" w:rsidRPr="000F0BD6">
        <w:rPr>
          <w:rFonts w:cstheme="minorHAnsi"/>
          <w:iCs/>
          <w:sz w:val="24"/>
          <w:szCs w:val="24"/>
          <w:lang w:val="el-GR"/>
        </w:rPr>
        <w:t xml:space="preserve"> </w:t>
      </w:r>
      <w:r w:rsidR="000D37D9">
        <w:rPr>
          <w:rFonts w:cstheme="minorHAnsi"/>
          <w:iCs/>
          <w:sz w:val="24"/>
          <w:szCs w:val="24"/>
          <w:lang w:val="el-GR"/>
        </w:rPr>
        <w:t xml:space="preserve">μεσολαβήσει </w:t>
      </w:r>
      <w:r w:rsidR="000F0BD6">
        <w:rPr>
          <w:rFonts w:cstheme="minorHAnsi"/>
          <w:iCs/>
          <w:sz w:val="24"/>
          <w:szCs w:val="24"/>
          <w:lang w:val="el-GR"/>
        </w:rPr>
        <w:t>από</w:t>
      </w:r>
      <w:r w:rsidR="000F0BD6" w:rsidRPr="000F0BD6">
        <w:rPr>
          <w:rFonts w:cstheme="minorHAnsi"/>
          <w:iCs/>
          <w:sz w:val="24"/>
          <w:szCs w:val="24"/>
          <w:lang w:val="el-GR"/>
        </w:rPr>
        <w:t xml:space="preserve"> </w:t>
      </w:r>
      <w:r w:rsidR="000F0BD6">
        <w:rPr>
          <w:rFonts w:cstheme="minorHAnsi"/>
          <w:iCs/>
          <w:sz w:val="24"/>
          <w:szCs w:val="24"/>
          <w:lang w:val="el-GR"/>
        </w:rPr>
        <w:t>την</w:t>
      </w:r>
      <w:r w:rsidR="000F0BD6" w:rsidRPr="000F0BD6">
        <w:rPr>
          <w:rFonts w:cstheme="minorHAnsi"/>
          <w:iCs/>
          <w:sz w:val="24"/>
          <w:szCs w:val="24"/>
          <w:lang w:val="el-GR"/>
        </w:rPr>
        <w:t xml:space="preserve"> </w:t>
      </w:r>
      <w:r w:rsidR="000F0BD6">
        <w:rPr>
          <w:rFonts w:cstheme="minorHAnsi"/>
          <w:iCs/>
          <w:sz w:val="24"/>
          <w:szCs w:val="24"/>
          <w:lang w:val="el-GR"/>
        </w:rPr>
        <w:t>αμέσως προηγούμενη δήλωση</w:t>
      </w:r>
      <w:r w:rsidR="00A5147D" w:rsidRPr="000F0BD6">
        <w:rPr>
          <w:rFonts w:cstheme="minorHAnsi"/>
          <w:iCs/>
          <w:sz w:val="24"/>
          <w:szCs w:val="24"/>
          <w:lang w:val="el-GR"/>
        </w:rPr>
        <w:t xml:space="preserve">, </w:t>
      </w:r>
      <w:r w:rsidR="000F0BD6">
        <w:rPr>
          <w:rFonts w:cstheme="minorHAnsi"/>
          <w:iCs/>
          <w:sz w:val="24"/>
          <w:szCs w:val="24"/>
          <w:lang w:val="el-GR"/>
        </w:rPr>
        <w:t xml:space="preserve">μαζί με επαρκή επεξήγηση </w:t>
      </w:r>
      <w:r w:rsidR="000D37D9">
        <w:rPr>
          <w:rFonts w:cstheme="minorHAnsi"/>
          <w:iCs/>
          <w:sz w:val="24"/>
          <w:szCs w:val="24"/>
          <w:lang w:val="el-GR"/>
        </w:rPr>
        <w:t>που να δικαιολογούν τ</w:t>
      </w:r>
      <w:r w:rsidR="000F0BD6">
        <w:rPr>
          <w:rFonts w:cstheme="minorHAnsi"/>
          <w:iCs/>
          <w:sz w:val="24"/>
          <w:szCs w:val="24"/>
          <w:lang w:val="el-GR"/>
        </w:rPr>
        <w:t xml:space="preserve">η διαφοροποίηση αυτή, και </w:t>
      </w:r>
      <w:r w:rsidR="000D37D9">
        <w:rPr>
          <w:rFonts w:cstheme="minorHAnsi"/>
          <w:iCs/>
          <w:sz w:val="24"/>
          <w:szCs w:val="24"/>
          <w:lang w:val="el-GR"/>
        </w:rPr>
        <w:t xml:space="preserve">κατάσταση </w:t>
      </w:r>
      <w:r w:rsidR="000F0BD6">
        <w:rPr>
          <w:rFonts w:cstheme="minorHAnsi"/>
          <w:iCs/>
          <w:sz w:val="24"/>
          <w:szCs w:val="24"/>
          <w:lang w:val="el-GR"/>
        </w:rPr>
        <w:t>των χρεών που κατέχονται</w:t>
      </w:r>
      <w:r w:rsidR="00A5147D" w:rsidRPr="000F0BD6">
        <w:rPr>
          <w:rFonts w:cstheme="minorHAnsi"/>
          <w:iCs/>
          <w:sz w:val="24"/>
          <w:szCs w:val="24"/>
          <w:lang w:val="el-GR"/>
        </w:rPr>
        <w:t>.</w:t>
      </w:r>
      <w:r w:rsidR="00A5147D" w:rsidRPr="000F0BD6">
        <w:rPr>
          <w:rFonts w:eastAsia="Calibri" w:cstheme="minorHAnsi"/>
          <w:color w:val="FF0000"/>
          <w:sz w:val="24"/>
          <w:szCs w:val="24"/>
          <w:lang w:val="el-GR"/>
        </w:rPr>
        <w:t xml:space="preserve"> </w:t>
      </w:r>
      <w:r w:rsidR="000F0BD6" w:rsidRPr="000F0BD6">
        <w:rPr>
          <w:rFonts w:eastAsia="Calibri" w:cstheme="minorHAnsi"/>
          <w:color w:val="000000" w:themeColor="text1"/>
          <w:sz w:val="24"/>
          <w:szCs w:val="24"/>
          <w:lang w:val="el-GR"/>
        </w:rPr>
        <w:t>Τα περιουσιακά στοιχεία</w:t>
      </w:r>
      <w:r w:rsidR="000F0BD6" w:rsidRPr="000F0BD6">
        <w:rPr>
          <w:rFonts w:cstheme="minorHAnsi"/>
          <w:sz w:val="24"/>
          <w:szCs w:val="24"/>
          <w:lang w:val="el-GR"/>
        </w:rPr>
        <w:t xml:space="preserve">, </w:t>
      </w:r>
      <w:r w:rsidR="000F0BD6">
        <w:rPr>
          <w:rFonts w:cstheme="minorHAnsi"/>
          <w:sz w:val="24"/>
          <w:szCs w:val="24"/>
          <w:lang w:val="el-GR"/>
        </w:rPr>
        <w:t>εισόδημα</w:t>
      </w:r>
      <w:r w:rsidR="000F0BD6" w:rsidRPr="000F0BD6">
        <w:rPr>
          <w:rFonts w:cstheme="minorHAnsi"/>
          <w:sz w:val="24"/>
          <w:szCs w:val="24"/>
          <w:lang w:val="el-GR"/>
        </w:rPr>
        <w:t xml:space="preserve"> </w:t>
      </w:r>
      <w:r w:rsidR="000F0BD6">
        <w:rPr>
          <w:rFonts w:cstheme="minorHAnsi"/>
          <w:sz w:val="24"/>
          <w:szCs w:val="24"/>
          <w:lang w:val="el-GR"/>
        </w:rPr>
        <w:t>και</w:t>
      </w:r>
      <w:r w:rsidR="000F0BD6" w:rsidRPr="000F0BD6">
        <w:rPr>
          <w:rFonts w:cstheme="minorHAnsi"/>
          <w:sz w:val="24"/>
          <w:szCs w:val="24"/>
          <w:lang w:val="el-GR"/>
        </w:rPr>
        <w:t xml:space="preserve"> </w:t>
      </w:r>
      <w:r w:rsidR="000F0BD6">
        <w:rPr>
          <w:rFonts w:cstheme="minorHAnsi"/>
          <w:sz w:val="24"/>
          <w:szCs w:val="24"/>
          <w:lang w:val="el-GR"/>
        </w:rPr>
        <w:t>υποχρεώσεις</w:t>
      </w:r>
      <w:r w:rsidR="000D37D9">
        <w:rPr>
          <w:rFonts w:cstheme="minorHAnsi"/>
          <w:sz w:val="24"/>
          <w:szCs w:val="24"/>
          <w:lang w:val="el-GR"/>
        </w:rPr>
        <w:t xml:space="preserve"> των</w:t>
      </w:r>
      <w:r w:rsidR="000F0BD6" w:rsidRPr="000F0BD6">
        <w:rPr>
          <w:rFonts w:cstheme="minorHAnsi"/>
          <w:sz w:val="24"/>
          <w:szCs w:val="24"/>
          <w:lang w:val="el-GR"/>
        </w:rPr>
        <w:t xml:space="preserve"> </w:t>
      </w:r>
      <w:r w:rsidR="000F0BD6">
        <w:rPr>
          <w:rFonts w:cstheme="minorHAnsi"/>
          <w:sz w:val="24"/>
          <w:szCs w:val="24"/>
          <w:lang w:val="el-GR"/>
        </w:rPr>
        <w:t>συζύγων</w:t>
      </w:r>
      <w:r w:rsidR="000F0BD6" w:rsidRPr="000F0BD6">
        <w:rPr>
          <w:rFonts w:cstheme="minorHAnsi"/>
          <w:sz w:val="24"/>
          <w:szCs w:val="24"/>
          <w:lang w:val="el-GR"/>
        </w:rPr>
        <w:t xml:space="preserve"> </w:t>
      </w:r>
      <w:r w:rsidR="000F0BD6">
        <w:rPr>
          <w:rFonts w:cstheme="minorHAnsi"/>
          <w:sz w:val="24"/>
          <w:szCs w:val="24"/>
          <w:lang w:val="el-GR"/>
        </w:rPr>
        <w:t>και</w:t>
      </w:r>
      <w:r w:rsidR="000F0BD6" w:rsidRPr="000F0BD6">
        <w:rPr>
          <w:rFonts w:cstheme="minorHAnsi"/>
          <w:sz w:val="24"/>
          <w:szCs w:val="24"/>
          <w:lang w:val="el-GR"/>
        </w:rPr>
        <w:t xml:space="preserve"> </w:t>
      </w:r>
      <w:r w:rsidR="000F0BD6">
        <w:rPr>
          <w:rFonts w:cstheme="minorHAnsi"/>
          <w:sz w:val="24"/>
          <w:szCs w:val="24"/>
          <w:lang w:val="el-GR"/>
        </w:rPr>
        <w:t>ανηλίκων</w:t>
      </w:r>
      <w:r w:rsidR="000F0BD6" w:rsidRPr="000F0BD6">
        <w:rPr>
          <w:rFonts w:cstheme="minorHAnsi"/>
          <w:sz w:val="24"/>
          <w:szCs w:val="24"/>
          <w:lang w:val="el-GR"/>
        </w:rPr>
        <w:t xml:space="preserve"> </w:t>
      </w:r>
      <w:r w:rsidR="000F0BD6">
        <w:rPr>
          <w:rFonts w:cstheme="minorHAnsi"/>
          <w:sz w:val="24"/>
          <w:szCs w:val="24"/>
          <w:lang w:val="el-GR"/>
        </w:rPr>
        <w:t>τέκνων</w:t>
      </w:r>
      <w:r w:rsidR="00A5147D" w:rsidRPr="000F0BD6">
        <w:rPr>
          <w:rFonts w:cstheme="minorHAnsi"/>
          <w:sz w:val="24"/>
          <w:szCs w:val="24"/>
          <w:lang w:val="el-GR"/>
        </w:rPr>
        <w:t xml:space="preserve"> </w:t>
      </w:r>
      <w:r w:rsidR="000F0BD6">
        <w:rPr>
          <w:rFonts w:cstheme="minorHAnsi"/>
          <w:sz w:val="24"/>
          <w:szCs w:val="24"/>
          <w:lang w:val="el-GR"/>
        </w:rPr>
        <w:t>πρέπει επίσης να δηλωθ</w:t>
      </w:r>
      <w:r w:rsidR="00340107">
        <w:rPr>
          <w:rFonts w:cstheme="minorHAnsi"/>
          <w:sz w:val="24"/>
          <w:szCs w:val="24"/>
          <w:lang w:val="el-GR"/>
        </w:rPr>
        <w:t>ούν</w:t>
      </w:r>
      <w:r w:rsidR="002F01EE" w:rsidRPr="000F0BD6">
        <w:rPr>
          <w:rFonts w:cstheme="minorHAnsi"/>
          <w:sz w:val="24"/>
          <w:szCs w:val="24"/>
          <w:lang w:val="el-GR"/>
        </w:rPr>
        <w:t xml:space="preserve">, </w:t>
      </w:r>
      <w:bookmarkStart w:id="148" w:name="_Hlk132889370"/>
      <w:r w:rsidR="000F0BD6">
        <w:rPr>
          <w:rFonts w:cstheme="minorHAnsi"/>
          <w:sz w:val="24"/>
          <w:szCs w:val="24"/>
          <w:lang w:val="el-GR"/>
        </w:rPr>
        <w:t>αλλά αυτή η πληροφορία δεν δημοσιεύεται</w:t>
      </w:r>
      <w:r w:rsidR="002F01EE" w:rsidRPr="000F0BD6">
        <w:rPr>
          <w:rFonts w:cstheme="minorHAnsi"/>
          <w:sz w:val="24"/>
          <w:szCs w:val="24"/>
          <w:lang w:val="el-GR"/>
        </w:rPr>
        <w:t>.</w:t>
      </w:r>
      <w:r w:rsidR="002F01EE" w:rsidRPr="00B95983">
        <w:rPr>
          <w:rStyle w:val="FootnoteReference"/>
          <w:rFonts w:cstheme="minorHAnsi"/>
          <w:sz w:val="24"/>
          <w:szCs w:val="24"/>
        </w:rPr>
        <w:footnoteReference w:id="58"/>
      </w:r>
      <w:r w:rsidR="00A5147D" w:rsidRPr="000F0BD6">
        <w:rPr>
          <w:rFonts w:ascii="Verdana" w:hAnsi="Verdana" w:cs="Calibri"/>
          <w:sz w:val="20"/>
          <w:szCs w:val="20"/>
          <w:lang w:val="el-GR"/>
        </w:rPr>
        <w:t xml:space="preserve"> </w:t>
      </w:r>
      <w:bookmarkEnd w:id="148"/>
    </w:p>
    <w:p w14:paraId="0FDD58C9" w14:textId="77777777" w:rsidR="00A5147D" w:rsidRPr="000F0BD6" w:rsidRDefault="00A5147D" w:rsidP="00A5147D">
      <w:pPr>
        <w:pStyle w:val="ListParagraph"/>
        <w:rPr>
          <w:rFonts w:cstheme="minorHAnsi"/>
          <w:sz w:val="24"/>
          <w:szCs w:val="24"/>
          <w:lang w:val="el-GR"/>
        </w:rPr>
      </w:pPr>
    </w:p>
    <w:p w14:paraId="3DC3A151" w14:textId="00D6B72E" w:rsidR="00A61452" w:rsidRPr="00443EEE" w:rsidRDefault="000F0BD6" w:rsidP="00994096">
      <w:pPr>
        <w:numPr>
          <w:ilvl w:val="0"/>
          <w:numId w:val="1"/>
        </w:numPr>
        <w:tabs>
          <w:tab w:val="clear" w:pos="6095"/>
          <w:tab w:val="left" w:pos="709"/>
        </w:tabs>
        <w:ind w:left="0" w:firstLine="0"/>
        <w:rPr>
          <w:rFonts w:cstheme="minorHAnsi"/>
          <w:iCs/>
          <w:sz w:val="24"/>
          <w:szCs w:val="24"/>
          <w:lang w:val="el-GR"/>
        </w:rPr>
      </w:pPr>
      <w:r>
        <w:rPr>
          <w:rFonts w:cstheme="minorHAnsi"/>
          <w:sz w:val="24"/>
          <w:szCs w:val="24"/>
          <w:lang w:val="el-GR"/>
        </w:rPr>
        <w:t>Κατά</w:t>
      </w:r>
      <w:r w:rsidRPr="000F0BD6">
        <w:rPr>
          <w:rFonts w:cstheme="minorHAnsi"/>
          <w:sz w:val="24"/>
          <w:szCs w:val="24"/>
          <w:lang w:val="el-GR"/>
        </w:rPr>
        <w:t xml:space="preserve"> </w:t>
      </w:r>
      <w:r>
        <w:rPr>
          <w:rFonts w:cstheme="minorHAnsi"/>
          <w:sz w:val="24"/>
          <w:szCs w:val="24"/>
          <w:lang w:val="el-GR"/>
        </w:rPr>
        <w:t>τη</w:t>
      </w:r>
      <w:r w:rsidRPr="000F0BD6">
        <w:rPr>
          <w:rFonts w:cstheme="minorHAnsi"/>
          <w:sz w:val="24"/>
          <w:szCs w:val="24"/>
          <w:lang w:val="el-GR"/>
        </w:rPr>
        <w:t xml:space="preserve"> </w:t>
      </w:r>
      <w:r>
        <w:rPr>
          <w:rFonts w:cstheme="minorHAnsi"/>
          <w:sz w:val="24"/>
          <w:szCs w:val="24"/>
          <w:lang w:val="el-GR"/>
        </w:rPr>
        <w:t>διάρκεια</w:t>
      </w:r>
      <w:r w:rsidRPr="000F0BD6">
        <w:rPr>
          <w:rFonts w:cstheme="minorHAnsi"/>
          <w:sz w:val="24"/>
          <w:szCs w:val="24"/>
          <w:lang w:val="el-GR"/>
        </w:rPr>
        <w:t xml:space="preserve"> </w:t>
      </w:r>
      <w:r>
        <w:rPr>
          <w:rFonts w:cstheme="minorHAnsi"/>
          <w:sz w:val="24"/>
          <w:szCs w:val="24"/>
          <w:lang w:val="el-GR"/>
        </w:rPr>
        <w:t>της</w:t>
      </w:r>
      <w:r w:rsidRPr="000F0BD6">
        <w:rPr>
          <w:rFonts w:cstheme="minorHAnsi"/>
          <w:sz w:val="24"/>
          <w:szCs w:val="24"/>
          <w:lang w:val="el-GR"/>
        </w:rPr>
        <w:t xml:space="preserve"> </w:t>
      </w:r>
      <w:r>
        <w:rPr>
          <w:rFonts w:cstheme="minorHAnsi"/>
          <w:sz w:val="24"/>
          <w:szCs w:val="24"/>
          <w:lang w:val="el-GR"/>
        </w:rPr>
        <w:t>επί</w:t>
      </w:r>
      <w:r w:rsidRPr="000F0BD6">
        <w:rPr>
          <w:rFonts w:cstheme="minorHAnsi"/>
          <w:sz w:val="24"/>
          <w:szCs w:val="24"/>
          <w:lang w:val="el-GR"/>
        </w:rPr>
        <w:t xml:space="preserve"> </w:t>
      </w:r>
      <w:r>
        <w:rPr>
          <w:rFonts w:cstheme="minorHAnsi"/>
          <w:sz w:val="24"/>
          <w:szCs w:val="24"/>
          <w:lang w:val="el-GR"/>
        </w:rPr>
        <w:t>τόπου</w:t>
      </w:r>
      <w:r w:rsidRPr="000F0BD6">
        <w:rPr>
          <w:rFonts w:cstheme="minorHAnsi"/>
          <w:sz w:val="24"/>
          <w:szCs w:val="24"/>
          <w:lang w:val="el-GR"/>
        </w:rPr>
        <w:t xml:space="preserve"> </w:t>
      </w:r>
      <w:r>
        <w:rPr>
          <w:rFonts w:cstheme="minorHAnsi"/>
          <w:sz w:val="24"/>
          <w:szCs w:val="24"/>
          <w:lang w:val="el-GR"/>
        </w:rPr>
        <w:t>επίσκεψης</w:t>
      </w:r>
      <w:r w:rsidR="00A5147D" w:rsidRPr="000F0BD6">
        <w:rPr>
          <w:rFonts w:cstheme="minorHAnsi"/>
          <w:sz w:val="24"/>
          <w:szCs w:val="24"/>
          <w:lang w:val="el-GR"/>
        </w:rPr>
        <w:t xml:space="preserve">, </w:t>
      </w:r>
      <w:r>
        <w:rPr>
          <w:rFonts w:cstheme="minorHAnsi"/>
          <w:sz w:val="24"/>
          <w:szCs w:val="24"/>
          <w:lang w:val="el-GR"/>
        </w:rPr>
        <w:t>η</w:t>
      </w:r>
      <w:r w:rsidR="00A5147D" w:rsidRPr="000F0BD6">
        <w:rPr>
          <w:rFonts w:cstheme="minorHAnsi"/>
          <w:sz w:val="24"/>
          <w:szCs w:val="24"/>
          <w:lang w:val="el-GR"/>
        </w:rPr>
        <w:t xml:space="preserve"> </w:t>
      </w:r>
      <w:r w:rsidR="00A5147D" w:rsidRPr="004E251E">
        <w:rPr>
          <w:rFonts w:cstheme="minorHAnsi"/>
          <w:sz w:val="24"/>
          <w:szCs w:val="24"/>
        </w:rPr>
        <w:t>GET</w:t>
      </w:r>
      <w:r w:rsidR="00A5147D" w:rsidRPr="000F0BD6">
        <w:rPr>
          <w:rFonts w:cstheme="minorHAnsi"/>
          <w:sz w:val="24"/>
          <w:szCs w:val="24"/>
          <w:lang w:val="el-GR"/>
        </w:rPr>
        <w:t xml:space="preserve"> </w:t>
      </w:r>
      <w:r>
        <w:rPr>
          <w:rFonts w:cstheme="minorHAnsi"/>
          <w:sz w:val="24"/>
          <w:szCs w:val="24"/>
          <w:lang w:val="el-GR"/>
        </w:rPr>
        <w:t>άκουσε</w:t>
      </w:r>
      <w:r w:rsidRPr="000F0BD6">
        <w:rPr>
          <w:rFonts w:cstheme="minorHAnsi"/>
          <w:sz w:val="24"/>
          <w:szCs w:val="24"/>
          <w:lang w:val="el-GR"/>
        </w:rPr>
        <w:t xml:space="preserve"> </w:t>
      </w:r>
      <w:r>
        <w:rPr>
          <w:rFonts w:cstheme="minorHAnsi"/>
          <w:sz w:val="24"/>
          <w:szCs w:val="24"/>
          <w:lang w:val="el-GR"/>
        </w:rPr>
        <w:t>επαναλαμβανόμενη κριτική</w:t>
      </w:r>
      <w:r w:rsidR="00A5147D" w:rsidRPr="000F0BD6">
        <w:rPr>
          <w:rFonts w:cstheme="minorHAnsi"/>
          <w:sz w:val="24"/>
          <w:szCs w:val="24"/>
          <w:lang w:val="el-GR"/>
        </w:rPr>
        <w:t xml:space="preserve"> </w:t>
      </w:r>
      <w:r>
        <w:rPr>
          <w:rFonts w:cstheme="minorHAnsi"/>
          <w:sz w:val="24"/>
          <w:szCs w:val="24"/>
          <w:lang w:val="el-GR"/>
        </w:rPr>
        <w:t>αναφορικά με την αποτελεσματικότητα του συστήματος</w:t>
      </w:r>
      <w:r w:rsidR="00A5147D" w:rsidRPr="000F0BD6">
        <w:rPr>
          <w:rFonts w:cstheme="minorHAnsi"/>
          <w:sz w:val="24"/>
          <w:szCs w:val="24"/>
          <w:lang w:val="el-GR"/>
        </w:rPr>
        <w:t xml:space="preserve">. </w:t>
      </w:r>
      <w:r>
        <w:rPr>
          <w:rFonts w:cstheme="minorHAnsi"/>
          <w:sz w:val="24"/>
          <w:szCs w:val="24"/>
          <w:lang w:val="el-GR"/>
        </w:rPr>
        <w:t>Οι</w:t>
      </w:r>
      <w:r w:rsidRPr="000F0BD6">
        <w:rPr>
          <w:rFonts w:cstheme="minorHAnsi"/>
          <w:sz w:val="24"/>
          <w:szCs w:val="24"/>
          <w:lang w:val="el-GR"/>
        </w:rPr>
        <w:t xml:space="preserve"> </w:t>
      </w:r>
      <w:r>
        <w:rPr>
          <w:rFonts w:cstheme="minorHAnsi"/>
          <w:sz w:val="24"/>
          <w:szCs w:val="24"/>
          <w:lang w:val="el-GR"/>
        </w:rPr>
        <w:t>συζητήσεις</w:t>
      </w:r>
      <w:r w:rsidRPr="000F0BD6">
        <w:rPr>
          <w:rFonts w:cstheme="minorHAnsi"/>
          <w:sz w:val="24"/>
          <w:szCs w:val="24"/>
          <w:lang w:val="el-GR"/>
        </w:rPr>
        <w:t xml:space="preserve"> </w:t>
      </w:r>
      <w:r>
        <w:rPr>
          <w:rFonts w:cstheme="minorHAnsi"/>
          <w:sz w:val="24"/>
          <w:szCs w:val="24"/>
          <w:lang w:val="el-GR"/>
        </w:rPr>
        <w:t>συνεχίζονταν</w:t>
      </w:r>
      <w:r w:rsidRPr="000F0BD6">
        <w:rPr>
          <w:rFonts w:cstheme="minorHAnsi"/>
          <w:sz w:val="24"/>
          <w:szCs w:val="24"/>
          <w:lang w:val="el-GR"/>
        </w:rPr>
        <w:t xml:space="preserve"> </w:t>
      </w:r>
      <w:r>
        <w:rPr>
          <w:rFonts w:cstheme="minorHAnsi"/>
          <w:sz w:val="24"/>
          <w:szCs w:val="24"/>
          <w:lang w:val="el-GR"/>
        </w:rPr>
        <w:t>εντός</w:t>
      </w:r>
      <w:r w:rsidRPr="000F0BD6">
        <w:rPr>
          <w:rFonts w:cstheme="minorHAnsi"/>
          <w:sz w:val="24"/>
          <w:szCs w:val="24"/>
          <w:lang w:val="el-GR"/>
        </w:rPr>
        <w:t xml:space="preserve"> </w:t>
      </w:r>
      <w:r>
        <w:rPr>
          <w:rFonts w:cstheme="minorHAnsi"/>
          <w:sz w:val="24"/>
          <w:szCs w:val="24"/>
          <w:lang w:val="el-GR"/>
        </w:rPr>
        <w:t>της</w:t>
      </w:r>
      <w:r w:rsidRPr="000F0BD6">
        <w:rPr>
          <w:rFonts w:cstheme="minorHAnsi"/>
          <w:sz w:val="24"/>
          <w:szCs w:val="24"/>
          <w:lang w:val="el-GR"/>
        </w:rPr>
        <w:t xml:space="preserve"> </w:t>
      </w:r>
      <w:r>
        <w:rPr>
          <w:rFonts w:cstheme="minorHAnsi"/>
          <w:sz w:val="24"/>
          <w:szCs w:val="24"/>
          <w:lang w:val="el-GR"/>
        </w:rPr>
        <w:t>Κυβέρνησης για το πώς</w:t>
      </w:r>
      <w:r w:rsidRPr="000F0BD6">
        <w:rPr>
          <w:rFonts w:cstheme="minorHAnsi"/>
          <w:sz w:val="24"/>
          <w:szCs w:val="24"/>
          <w:lang w:val="el-GR"/>
        </w:rPr>
        <w:t xml:space="preserve"> </w:t>
      </w:r>
      <w:r>
        <w:rPr>
          <w:rFonts w:cstheme="minorHAnsi"/>
          <w:sz w:val="24"/>
          <w:szCs w:val="24"/>
          <w:lang w:val="el-GR"/>
        </w:rPr>
        <w:t xml:space="preserve">να </w:t>
      </w:r>
      <w:r w:rsidR="000D37D9">
        <w:rPr>
          <w:rFonts w:cstheme="minorHAnsi"/>
          <w:sz w:val="24"/>
          <w:szCs w:val="24"/>
          <w:lang w:val="el-GR"/>
        </w:rPr>
        <w:t xml:space="preserve">αναβαθμιστούν οι </w:t>
      </w:r>
      <w:r>
        <w:rPr>
          <w:rFonts w:cstheme="minorHAnsi"/>
          <w:sz w:val="24"/>
          <w:szCs w:val="24"/>
          <w:lang w:val="el-GR"/>
        </w:rPr>
        <w:t>απαιτήσεις</w:t>
      </w:r>
      <w:r w:rsidR="007D71D3">
        <w:rPr>
          <w:rFonts w:cstheme="minorHAnsi"/>
          <w:sz w:val="24"/>
          <w:szCs w:val="24"/>
          <w:lang w:val="el-GR"/>
        </w:rPr>
        <w:t xml:space="preserve"> για οικονομική αναφορά</w:t>
      </w:r>
      <w:r w:rsidR="00A5147D" w:rsidRPr="000F0BD6">
        <w:rPr>
          <w:rFonts w:cstheme="minorHAnsi"/>
          <w:sz w:val="24"/>
          <w:szCs w:val="24"/>
          <w:lang w:val="el-GR"/>
        </w:rPr>
        <w:t xml:space="preserve">. </w:t>
      </w:r>
      <w:r w:rsidR="007D71D3">
        <w:rPr>
          <w:rFonts w:cstheme="minorHAnsi"/>
          <w:sz w:val="24"/>
          <w:szCs w:val="24"/>
          <w:lang w:val="el-GR"/>
        </w:rPr>
        <w:t>Η</w:t>
      </w:r>
      <w:r w:rsidR="00A61452" w:rsidRPr="007D71D3">
        <w:rPr>
          <w:rFonts w:ascii="Calibri" w:eastAsia="Calibri" w:hAnsi="Calibri" w:cs="Calibri"/>
          <w:bCs/>
          <w:sz w:val="24"/>
          <w:szCs w:val="24"/>
          <w:lang w:val="el-GR"/>
        </w:rPr>
        <w:t xml:space="preserve"> </w:t>
      </w:r>
      <w:r w:rsidR="00A61452" w:rsidRPr="00B95983">
        <w:rPr>
          <w:rFonts w:ascii="Calibri" w:eastAsia="Calibri" w:hAnsi="Calibri" w:cs="Calibri"/>
          <w:bCs/>
          <w:sz w:val="24"/>
          <w:szCs w:val="24"/>
        </w:rPr>
        <w:t>GET</w:t>
      </w:r>
      <w:r w:rsidR="00A61452" w:rsidRPr="007D71D3">
        <w:rPr>
          <w:rFonts w:ascii="Calibri" w:eastAsia="Calibri" w:hAnsi="Calibri" w:cs="Calibri"/>
          <w:bCs/>
          <w:sz w:val="24"/>
          <w:szCs w:val="24"/>
          <w:lang w:val="el-GR"/>
        </w:rPr>
        <w:t xml:space="preserve"> </w:t>
      </w:r>
      <w:r w:rsidR="007D71D3">
        <w:rPr>
          <w:rFonts w:ascii="Calibri" w:eastAsia="Calibri" w:hAnsi="Calibri" w:cs="Calibri"/>
          <w:bCs/>
          <w:sz w:val="24"/>
          <w:szCs w:val="24"/>
          <w:lang w:val="el-GR"/>
        </w:rPr>
        <w:t>πληροφορήθηκε</w:t>
      </w:r>
      <w:r w:rsidR="00A61452" w:rsidRPr="007D71D3">
        <w:rPr>
          <w:rFonts w:ascii="Calibri" w:eastAsia="Calibri" w:hAnsi="Calibri" w:cs="Calibri"/>
          <w:bCs/>
          <w:sz w:val="24"/>
          <w:szCs w:val="24"/>
          <w:lang w:val="el-GR"/>
        </w:rPr>
        <w:t xml:space="preserve">, </w:t>
      </w:r>
      <w:r w:rsidR="007D71D3">
        <w:rPr>
          <w:rFonts w:ascii="Calibri" w:eastAsia="Calibri" w:hAnsi="Calibri" w:cs="Calibri"/>
          <w:bCs/>
          <w:sz w:val="24"/>
          <w:szCs w:val="24"/>
          <w:lang w:val="el-GR"/>
        </w:rPr>
        <w:t>μετά</w:t>
      </w:r>
      <w:r w:rsidR="007D71D3" w:rsidRPr="007D71D3">
        <w:rPr>
          <w:rFonts w:ascii="Calibri" w:eastAsia="Calibri" w:hAnsi="Calibri" w:cs="Calibri"/>
          <w:bCs/>
          <w:sz w:val="24"/>
          <w:szCs w:val="24"/>
          <w:lang w:val="el-GR"/>
        </w:rPr>
        <w:t xml:space="preserve"> </w:t>
      </w:r>
      <w:r w:rsidR="007D71D3">
        <w:rPr>
          <w:rFonts w:ascii="Calibri" w:eastAsia="Calibri" w:hAnsi="Calibri" w:cs="Calibri"/>
          <w:bCs/>
          <w:sz w:val="24"/>
          <w:szCs w:val="24"/>
          <w:lang w:val="el-GR"/>
        </w:rPr>
        <w:t>την</w:t>
      </w:r>
      <w:r w:rsidR="007D71D3" w:rsidRPr="007D71D3">
        <w:rPr>
          <w:rFonts w:ascii="Calibri" w:eastAsia="Calibri" w:hAnsi="Calibri" w:cs="Calibri"/>
          <w:bCs/>
          <w:sz w:val="24"/>
          <w:szCs w:val="24"/>
          <w:lang w:val="el-GR"/>
        </w:rPr>
        <w:t xml:space="preserve"> </w:t>
      </w:r>
      <w:r w:rsidR="007D71D3">
        <w:rPr>
          <w:rFonts w:ascii="Calibri" w:eastAsia="Calibri" w:hAnsi="Calibri" w:cs="Calibri"/>
          <w:bCs/>
          <w:sz w:val="24"/>
          <w:szCs w:val="24"/>
          <w:lang w:val="el-GR"/>
        </w:rPr>
        <w:t>επί</w:t>
      </w:r>
      <w:r w:rsidR="007D71D3" w:rsidRPr="007D71D3">
        <w:rPr>
          <w:rFonts w:ascii="Calibri" w:eastAsia="Calibri" w:hAnsi="Calibri" w:cs="Calibri"/>
          <w:bCs/>
          <w:sz w:val="24"/>
          <w:szCs w:val="24"/>
          <w:lang w:val="el-GR"/>
        </w:rPr>
        <w:t xml:space="preserve"> </w:t>
      </w:r>
      <w:r w:rsidR="007D71D3">
        <w:rPr>
          <w:rFonts w:ascii="Calibri" w:eastAsia="Calibri" w:hAnsi="Calibri" w:cs="Calibri"/>
          <w:bCs/>
          <w:sz w:val="24"/>
          <w:szCs w:val="24"/>
          <w:lang w:val="el-GR"/>
        </w:rPr>
        <w:t>τόπου</w:t>
      </w:r>
      <w:r w:rsidR="007D71D3" w:rsidRPr="007D71D3">
        <w:rPr>
          <w:rFonts w:ascii="Calibri" w:eastAsia="Calibri" w:hAnsi="Calibri" w:cs="Calibri"/>
          <w:bCs/>
          <w:sz w:val="24"/>
          <w:szCs w:val="24"/>
          <w:lang w:val="el-GR"/>
        </w:rPr>
        <w:t xml:space="preserve"> </w:t>
      </w:r>
      <w:r w:rsidR="007D71D3">
        <w:rPr>
          <w:rFonts w:ascii="Calibri" w:eastAsia="Calibri" w:hAnsi="Calibri" w:cs="Calibri"/>
          <w:bCs/>
          <w:sz w:val="24"/>
          <w:szCs w:val="24"/>
          <w:lang w:val="el-GR"/>
        </w:rPr>
        <w:t>επίσκεψη</w:t>
      </w:r>
      <w:r w:rsidR="00A61452" w:rsidRPr="007D71D3">
        <w:rPr>
          <w:rFonts w:ascii="Calibri" w:eastAsia="Calibri" w:hAnsi="Calibri" w:cs="Calibri"/>
          <w:bCs/>
          <w:sz w:val="24"/>
          <w:szCs w:val="24"/>
          <w:lang w:val="el-GR"/>
        </w:rPr>
        <w:t xml:space="preserve">, </w:t>
      </w:r>
      <w:r w:rsidR="007D71D3">
        <w:rPr>
          <w:rFonts w:ascii="Calibri" w:eastAsia="Calibri" w:hAnsi="Calibri" w:cs="Calibri"/>
          <w:bCs/>
          <w:sz w:val="24"/>
          <w:szCs w:val="24"/>
          <w:lang w:val="el-GR"/>
        </w:rPr>
        <w:t>ότι</w:t>
      </w:r>
      <w:r w:rsidR="007D71D3" w:rsidRPr="007D71D3">
        <w:rPr>
          <w:rFonts w:ascii="Calibri" w:eastAsia="Calibri" w:hAnsi="Calibri" w:cs="Calibri"/>
          <w:bCs/>
          <w:sz w:val="24"/>
          <w:szCs w:val="24"/>
          <w:lang w:val="el-GR"/>
        </w:rPr>
        <w:t xml:space="preserve"> </w:t>
      </w:r>
      <w:r w:rsidR="007D71D3">
        <w:rPr>
          <w:rFonts w:ascii="Calibri" w:eastAsia="Calibri" w:hAnsi="Calibri" w:cs="Calibri"/>
          <w:bCs/>
          <w:sz w:val="24"/>
          <w:szCs w:val="24"/>
          <w:lang w:val="el-GR"/>
        </w:rPr>
        <w:t>δύο</w:t>
      </w:r>
      <w:r w:rsidR="007D71D3" w:rsidRPr="007D71D3">
        <w:rPr>
          <w:rFonts w:ascii="Calibri" w:eastAsia="Calibri" w:hAnsi="Calibri" w:cs="Calibri"/>
          <w:bCs/>
          <w:sz w:val="24"/>
          <w:szCs w:val="24"/>
          <w:lang w:val="el-GR"/>
        </w:rPr>
        <w:t xml:space="preserve"> </w:t>
      </w:r>
      <w:r w:rsidR="007D71D3">
        <w:rPr>
          <w:rFonts w:ascii="Calibri" w:eastAsia="Calibri" w:hAnsi="Calibri" w:cs="Calibri"/>
          <w:bCs/>
          <w:sz w:val="24"/>
          <w:szCs w:val="24"/>
          <w:lang w:val="el-GR"/>
        </w:rPr>
        <w:t>νομοσχέδια</w:t>
      </w:r>
      <w:r w:rsidR="00A61452" w:rsidRPr="007D71D3">
        <w:rPr>
          <w:sz w:val="24"/>
          <w:szCs w:val="24"/>
          <w:lang w:val="el-GR"/>
        </w:rPr>
        <w:t xml:space="preserve">, </w:t>
      </w:r>
      <w:r w:rsidR="007D71D3">
        <w:rPr>
          <w:sz w:val="24"/>
          <w:szCs w:val="24"/>
          <w:lang w:val="el-GR"/>
        </w:rPr>
        <w:t>που</w:t>
      </w:r>
      <w:r w:rsidR="007D71D3" w:rsidRPr="007D71D3">
        <w:rPr>
          <w:sz w:val="24"/>
          <w:szCs w:val="24"/>
          <w:lang w:val="el-GR"/>
        </w:rPr>
        <w:t xml:space="preserve"> </w:t>
      </w:r>
      <w:r w:rsidR="007D71D3">
        <w:rPr>
          <w:sz w:val="24"/>
          <w:szCs w:val="24"/>
          <w:lang w:val="el-GR"/>
        </w:rPr>
        <w:t xml:space="preserve">αναθεωρούν τους </w:t>
      </w:r>
      <w:r w:rsidR="007D71D3">
        <w:rPr>
          <w:sz w:val="24"/>
          <w:szCs w:val="24"/>
          <w:lang w:val="el-GR"/>
        </w:rPr>
        <w:lastRenderedPageBreak/>
        <w:t>υφιστάμενους νόμους</w:t>
      </w:r>
      <w:r w:rsidR="00A61452" w:rsidRPr="007D71D3">
        <w:rPr>
          <w:sz w:val="24"/>
          <w:szCs w:val="24"/>
          <w:lang w:val="el-GR"/>
        </w:rPr>
        <w:t xml:space="preserve">, </w:t>
      </w:r>
      <w:r w:rsidR="007D71D3">
        <w:rPr>
          <w:sz w:val="24"/>
          <w:szCs w:val="24"/>
          <w:lang w:val="el-GR"/>
        </w:rPr>
        <w:t>συζητούνται στην ανάλογη Κοινοβουλευτική Επιτροπή</w:t>
      </w:r>
      <w:r w:rsidR="00A61452" w:rsidRPr="007D71D3">
        <w:rPr>
          <w:sz w:val="24"/>
          <w:szCs w:val="24"/>
          <w:lang w:val="el-GR"/>
        </w:rPr>
        <w:t xml:space="preserve">. </w:t>
      </w:r>
      <w:r w:rsidR="00340107">
        <w:rPr>
          <w:sz w:val="24"/>
          <w:szCs w:val="24"/>
          <w:lang w:val="el-GR"/>
        </w:rPr>
        <w:t>Το</w:t>
      </w:r>
      <w:r w:rsidR="00340107" w:rsidRPr="00340107">
        <w:rPr>
          <w:sz w:val="24"/>
          <w:szCs w:val="24"/>
          <w:lang w:val="el-GR"/>
        </w:rPr>
        <w:t xml:space="preserve"> </w:t>
      </w:r>
      <w:r w:rsidR="00340107">
        <w:rPr>
          <w:sz w:val="24"/>
          <w:szCs w:val="24"/>
          <w:lang w:val="el-GR"/>
        </w:rPr>
        <w:t>Υφυπουργείο</w:t>
      </w:r>
      <w:r w:rsidR="00340107" w:rsidRPr="00340107">
        <w:rPr>
          <w:sz w:val="24"/>
          <w:szCs w:val="24"/>
          <w:lang w:val="el-GR"/>
        </w:rPr>
        <w:t xml:space="preserve"> </w:t>
      </w:r>
      <w:r w:rsidR="000D37D9">
        <w:rPr>
          <w:sz w:val="24"/>
          <w:szCs w:val="24"/>
          <w:lang w:val="el-GR"/>
        </w:rPr>
        <w:t xml:space="preserve">για τη </w:t>
      </w:r>
      <w:r w:rsidR="00340107">
        <w:rPr>
          <w:sz w:val="24"/>
          <w:szCs w:val="24"/>
          <w:lang w:val="el-GR"/>
        </w:rPr>
        <w:t>Ψηφιακή</w:t>
      </w:r>
      <w:r w:rsidR="00340107" w:rsidRPr="00340107">
        <w:rPr>
          <w:sz w:val="24"/>
          <w:szCs w:val="24"/>
          <w:lang w:val="el-GR"/>
        </w:rPr>
        <w:t xml:space="preserve"> </w:t>
      </w:r>
      <w:r w:rsidR="00340107">
        <w:rPr>
          <w:sz w:val="24"/>
          <w:szCs w:val="24"/>
          <w:lang w:val="el-GR"/>
        </w:rPr>
        <w:t>Πολιτική</w:t>
      </w:r>
      <w:r w:rsidR="00A61452" w:rsidRPr="00340107">
        <w:rPr>
          <w:sz w:val="24"/>
          <w:szCs w:val="24"/>
          <w:lang w:val="el-GR"/>
        </w:rPr>
        <w:t xml:space="preserve"> </w:t>
      </w:r>
      <w:r w:rsidR="00340107">
        <w:rPr>
          <w:sz w:val="24"/>
          <w:szCs w:val="24"/>
          <w:lang w:val="el-GR"/>
        </w:rPr>
        <w:t>έχει</w:t>
      </w:r>
      <w:r w:rsidR="00340107" w:rsidRPr="00340107">
        <w:rPr>
          <w:sz w:val="24"/>
          <w:szCs w:val="24"/>
          <w:lang w:val="el-GR"/>
        </w:rPr>
        <w:t xml:space="preserve"> </w:t>
      </w:r>
      <w:r w:rsidR="00340107">
        <w:rPr>
          <w:sz w:val="24"/>
          <w:szCs w:val="24"/>
          <w:lang w:val="el-GR"/>
        </w:rPr>
        <w:t>ήδη</w:t>
      </w:r>
      <w:r w:rsidR="00340107" w:rsidRPr="00340107">
        <w:rPr>
          <w:sz w:val="24"/>
          <w:szCs w:val="24"/>
          <w:lang w:val="el-GR"/>
        </w:rPr>
        <w:t xml:space="preserve"> </w:t>
      </w:r>
      <w:r w:rsidR="00340107">
        <w:rPr>
          <w:sz w:val="24"/>
          <w:szCs w:val="24"/>
          <w:lang w:val="el-GR"/>
        </w:rPr>
        <w:t>ετοιμάσει</w:t>
      </w:r>
      <w:r w:rsidR="00A61452" w:rsidRPr="00340107">
        <w:rPr>
          <w:sz w:val="24"/>
          <w:szCs w:val="24"/>
          <w:lang w:val="el-GR"/>
        </w:rPr>
        <w:t xml:space="preserve"> </w:t>
      </w:r>
      <w:r w:rsidR="00340107">
        <w:rPr>
          <w:sz w:val="24"/>
          <w:szCs w:val="24"/>
          <w:lang w:val="el-GR"/>
        </w:rPr>
        <w:t>μια</w:t>
      </w:r>
      <w:r w:rsidR="00340107" w:rsidRPr="00340107">
        <w:rPr>
          <w:sz w:val="24"/>
          <w:szCs w:val="24"/>
          <w:lang w:val="el-GR"/>
        </w:rPr>
        <w:t xml:space="preserve"> </w:t>
      </w:r>
      <w:r w:rsidR="00340107">
        <w:rPr>
          <w:sz w:val="24"/>
          <w:szCs w:val="24"/>
          <w:lang w:val="el-GR"/>
        </w:rPr>
        <w:t>ηλεκτρονική</w:t>
      </w:r>
      <w:r w:rsidR="00340107" w:rsidRPr="00340107">
        <w:rPr>
          <w:sz w:val="24"/>
          <w:szCs w:val="24"/>
          <w:lang w:val="el-GR"/>
        </w:rPr>
        <w:t xml:space="preserve"> </w:t>
      </w:r>
      <w:r w:rsidR="00340107">
        <w:rPr>
          <w:sz w:val="24"/>
          <w:szCs w:val="24"/>
          <w:lang w:val="el-GR"/>
        </w:rPr>
        <w:t>πλατφόρμα</w:t>
      </w:r>
      <w:r w:rsidR="00A61452" w:rsidRPr="00340107">
        <w:rPr>
          <w:sz w:val="24"/>
          <w:szCs w:val="24"/>
          <w:lang w:val="el-GR"/>
        </w:rPr>
        <w:t xml:space="preserve"> </w:t>
      </w:r>
      <w:r w:rsidR="00340107">
        <w:rPr>
          <w:sz w:val="24"/>
          <w:szCs w:val="24"/>
          <w:lang w:val="el-GR"/>
        </w:rPr>
        <w:t xml:space="preserve">που θα </w:t>
      </w:r>
      <w:r w:rsidR="000D37D9">
        <w:rPr>
          <w:sz w:val="24"/>
          <w:szCs w:val="24"/>
          <w:lang w:val="el-GR"/>
        </w:rPr>
        <w:t xml:space="preserve">τεθεί σε εφαρμογή </w:t>
      </w:r>
      <w:r w:rsidR="00340107">
        <w:rPr>
          <w:sz w:val="24"/>
          <w:szCs w:val="24"/>
          <w:lang w:val="el-GR"/>
        </w:rPr>
        <w:t>μόλις θεσπισ</w:t>
      </w:r>
      <w:r w:rsidR="000D37D9">
        <w:rPr>
          <w:sz w:val="24"/>
          <w:szCs w:val="24"/>
          <w:lang w:val="el-GR"/>
        </w:rPr>
        <w:t>τ</w:t>
      </w:r>
      <w:r w:rsidR="00340107">
        <w:rPr>
          <w:sz w:val="24"/>
          <w:szCs w:val="24"/>
          <w:lang w:val="el-GR"/>
        </w:rPr>
        <w:t>ούν οι αναθεωρημένοι νόμοι</w:t>
      </w:r>
      <w:r w:rsidR="00A61452" w:rsidRPr="00340107">
        <w:rPr>
          <w:sz w:val="24"/>
          <w:szCs w:val="24"/>
          <w:lang w:val="el-GR"/>
        </w:rPr>
        <w:t xml:space="preserve">. </w:t>
      </w:r>
      <w:r w:rsidR="00340107">
        <w:rPr>
          <w:sz w:val="24"/>
          <w:szCs w:val="24"/>
          <w:lang w:val="el-GR"/>
        </w:rPr>
        <w:t>Η</w:t>
      </w:r>
      <w:r w:rsidR="00340107" w:rsidRPr="00BD2FA6">
        <w:rPr>
          <w:sz w:val="24"/>
          <w:szCs w:val="24"/>
          <w:lang w:val="el-GR"/>
        </w:rPr>
        <w:t xml:space="preserve"> </w:t>
      </w:r>
      <w:r w:rsidR="00340107">
        <w:rPr>
          <w:sz w:val="24"/>
          <w:szCs w:val="24"/>
          <w:lang w:val="el-GR"/>
        </w:rPr>
        <w:t>πλατφόρμα</w:t>
      </w:r>
      <w:r w:rsidR="00A61452" w:rsidRPr="00BD2FA6">
        <w:rPr>
          <w:sz w:val="24"/>
          <w:szCs w:val="24"/>
          <w:lang w:val="el-GR"/>
        </w:rPr>
        <w:t xml:space="preserve"> </w:t>
      </w:r>
      <w:r w:rsidR="0060347E">
        <w:rPr>
          <w:sz w:val="24"/>
          <w:szCs w:val="24"/>
          <w:lang w:val="el-GR"/>
        </w:rPr>
        <w:t>προορίζεται</w:t>
      </w:r>
      <w:r w:rsidR="0060347E" w:rsidRPr="00BD2FA6">
        <w:rPr>
          <w:sz w:val="24"/>
          <w:szCs w:val="24"/>
          <w:lang w:val="el-GR"/>
        </w:rPr>
        <w:t xml:space="preserve"> </w:t>
      </w:r>
      <w:r w:rsidR="0060347E">
        <w:rPr>
          <w:sz w:val="24"/>
          <w:szCs w:val="24"/>
          <w:lang w:val="el-GR"/>
        </w:rPr>
        <w:t>για</w:t>
      </w:r>
      <w:r w:rsidR="0060347E" w:rsidRPr="00BD2FA6">
        <w:rPr>
          <w:sz w:val="24"/>
          <w:szCs w:val="24"/>
          <w:lang w:val="el-GR"/>
        </w:rPr>
        <w:t xml:space="preserve"> </w:t>
      </w:r>
      <w:r w:rsidR="0060347E">
        <w:rPr>
          <w:sz w:val="24"/>
          <w:szCs w:val="24"/>
          <w:lang w:val="el-GR"/>
        </w:rPr>
        <w:t>την</w:t>
      </w:r>
      <w:r w:rsidR="0060347E" w:rsidRPr="00BD2FA6">
        <w:rPr>
          <w:sz w:val="24"/>
          <w:szCs w:val="24"/>
          <w:lang w:val="el-GR"/>
        </w:rPr>
        <w:t xml:space="preserve"> </w:t>
      </w:r>
      <w:r w:rsidR="0060347E">
        <w:rPr>
          <w:sz w:val="24"/>
          <w:szCs w:val="24"/>
          <w:lang w:val="el-GR"/>
        </w:rPr>
        <w:t>ηλεκτρονική</w:t>
      </w:r>
      <w:r w:rsidR="0060347E" w:rsidRPr="00BD2FA6">
        <w:rPr>
          <w:sz w:val="24"/>
          <w:szCs w:val="24"/>
          <w:lang w:val="el-GR"/>
        </w:rPr>
        <w:t xml:space="preserve"> </w:t>
      </w:r>
      <w:r w:rsidR="0060347E">
        <w:rPr>
          <w:sz w:val="24"/>
          <w:szCs w:val="24"/>
          <w:lang w:val="el-GR"/>
        </w:rPr>
        <w:t>υποβολή</w:t>
      </w:r>
      <w:r w:rsidR="00A61452" w:rsidRPr="00BD2FA6">
        <w:rPr>
          <w:sz w:val="24"/>
          <w:szCs w:val="24"/>
          <w:lang w:val="el-GR"/>
        </w:rPr>
        <w:t xml:space="preserve"> </w:t>
      </w:r>
      <w:r w:rsidR="0060347E">
        <w:rPr>
          <w:sz w:val="24"/>
          <w:szCs w:val="24"/>
          <w:lang w:val="el-GR"/>
        </w:rPr>
        <w:t>οικονομικών</w:t>
      </w:r>
      <w:r w:rsidR="0060347E" w:rsidRPr="00BD2FA6">
        <w:rPr>
          <w:sz w:val="24"/>
          <w:szCs w:val="24"/>
          <w:lang w:val="el-GR"/>
        </w:rPr>
        <w:t xml:space="preserve"> </w:t>
      </w:r>
      <w:r w:rsidR="0060347E">
        <w:rPr>
          <w:sz w:val="24"/>
          <w:szCs w:val="24"/>
          <w:lang w:val="el-GR"/>
        </w:rPr>
        <w:t>δηλώσεων</w:t>
      </w:r>
      <w:r w:rsidR="00A61452" w:rsidRPr="00BD2FA6">
        <w:rPr>
          <w:sz w:val="24"/>
          <w:szCs w:val="24"/>
          <w:lang w:val="el-GR"/>
        </w:rPr>
        <w:t xml:space="preserve">. </w:t>
      </w:r>
      <w:r w:rsidR="0060347E">
        <w:rPr>
          <w:sz w:val="24"/>
          <w:szCs w:val="24"/>
          <w:lang w:val="el-GR"/>
        </w:rPr>
        <w:t>Ο</w:t>
      </w:r>
      <w:r w:rsidR="0060347E" w:rsidRPr="0060347E">
        <w:rPr>
          <w:sz w:val="24"/>
          <w:szCs w:val="24"/>
          <w:lang w:val="el-GR"/>
        </w:rPr>
        <w:t xml:space="preserve"> </w:t>
      </w:r>
      <w:r w:rsidR="0060347E">
        <w:rPr>
          <w:sz w:val="24"/>
          <w:szCs w:val="24"/>
          <w:lang w:val="el-GR"/>
        </w:rPr>
        <w:t>καταθέτης</w:t>
      </w:r>
      <w:r w:rsidR="00A61452" w:rsidRPr="0060347E">
        <w:rPr>
          <w:sz w:val="24"/>
          <w:szCs w:val="24"/>
          <w:lang w:val="el-GR"/>
        </w:rPr>
        <w:t xml:space="preserve">, </w:t>
      </w:r>
      <w:r w:rsidR="0060347E">
        <w:rPr>
          <w:sz w:val="24"/>
          <w:szCs w:val="24"/>
          <w:lang w:val="el-GR"/>
        </w:rPr>
        <w:t>εκτός</w:t>
      </w:r>
      <w:r w:rsidR="0060347E" w:rsidRPr="0060347E">
        <w:rPr>
          <w:sz w:val="24"/>
          <w:szCs w:val="24"/>
          <w:lang w:val="el-GR"/>
        </w:rPr>
        <w:t xml:space="preserve"> </w:t>
      </w:r>
      <w:r w:rsidR="0060347E">
        <w:rPr>
          <w:sz w:val="24"/>
          <w:szCs w:val="24"/>
          <w:lang w:val="el-GR"/>
        </w:rPr>
        <w:t>από</w:t>
      </w:r>
      <w:r w:rsidR="0060347E" w:rsidRPr="0060347E">
        <w:rPr>
          <w:sz w:val="24"/>
          <w:szCs w:val="24"/>
          <w:lang w:val="el-GR"/>
        </w:rPr>
        <w:t xml:space="preserve"> </w:t>
      </w:r>
      <w:r w:rsidR="0060347E">
        <w:rPr>
          <w:sz w:val="24"/>
          <w:szCs w:val="24"/>
          <w:lang w:val="el-GR"/>
        </w:rPr>
        <w:t>την</w:t>
      </w:r>
      <w:r w:rsidR="0060347E" w:rsidRPr="0060347E">
        <w:rPr>
          <w:sz w:val="24"/>
          <w:szCs w:val="24"/>
          <w:lang w:val="el-GR"/>
        </w:rPr>
        <w:t xml:space="preserve"> </w:t>
      </w:r>
      <w:r w:rsidR="0060347E">
        <w:rPr>
          <w:sz w:val="24"/>
          <w:szCs w:val="24"/>
          <w:lang w:val="el-GR"/>
        </w:rPr>
        <w:t>αρχική</w:t>
      </w:r>
      <w:r w:rsidR="0060347E" w:rsidRPr="0060347E">
        <w:rPr>
          <w:sz w:val="24"/>
          <w:szCs w:val="24"/>
          <w:lang w:val="el-GR"/>
        </w:rPr>
        <w:t xml:space="preserve"> </w:t>
      </w:r>
      <w:r w:rsidR="0060347E">
        <w:rPr>
          <w:sz w:val="24"/>
          <w:szCs w:val="24"/>
          <w:lang w:val="el-GR"/>
        </w:rPr>
        <w:t>υποβολή</w:t>
      </w:r>
      <w:r w:rsidR="00A61452" w:rsidRPr="0060347E">
        <w:rPr>
          <w:sz w:val="24"/>
          <w:szCs w:val="24"/>
          <w:lang w:val="el-GR"/>
        </w:rPr>
        <w:t xml:space="preserve">, </w:t>
      </w:r>
      <w:r w:rsidR="0060347E">
        <w:rPr>
          <w:sz w:val="24"/>
          <w:szCs w:val="24"/>
          <w:lang w:val="el-GR"/>
        </w:rPr>
        <w:t>θα</w:t>
      </w:r>
      <w:r w:rsidR="0060347E" w:rsidRPr="0060347E">
        <w:rPr>
          <w:sz w:val="24"/>
          <w:szCs w:val="24"/>
          <w:lang w:val="el-GR"/>
        </w:rPr>
        <w:t xml:space="preserve"> </w:t>
      </w:r>
      <w:r w:rsidR="0060347E">
        <w:rPr>
          <w:sz w:val="24"/>
          <w:szCs w:val="24"/>
          <w:lang w:val="el-GR"/>
        </w:rPr>
        <w:t>έχει</w:t>
      </w:r>
      <w:r w:rsidR="0060347E" w:rsidRPr="0060347E">
        <w:rPr>
          <w:sz w:val="24"/>
          <w:szCs w:val="24"/>
          <w:lang w:val="el-GR"/>
        </w:rPr>
        <w:t xml:space="preserve"> </w:t>
      </w:r>
      <w:r w:rsidR="0060347E">
        <w:rPr>
          <w:sz w:val="24"/>
          <w:szCs w:val="24"/>
          <w:lang w:val="el-GR"/>
        </w:rPr>
        <w:t>την</w:t>
      </w:r>
      <w:r w:rsidR="0060347E" w:rsidRPr="0060347E">
        <w:rPr>
          <w:sz w:val="24"/>
          <w:szCs w:val="24"/>
          <w:lang w:val="el-GR"/>
        </w:rPr>
        <w:t xml:space="preserve"> </w:t>
      </w:r>
      <w:r w:rsidR="0060347E">
        <w:rPr>
          <w:sz w:val="24"/>
          <w:szCs w:val="24"/>
          <w:lang w:val="el-GR"/>
        </w:rPr>
        <w:t>ευκαιρία</w:t>
      </w:r>
      <w:r w:rsidR="00A61452" w:rsidRPr="0060347E">
        <w:rPr>
          <w:sz w:val="24"/>
          <w:szCs w:val="24"/>
          <w:lang w:val="el-GR"/>
        </w:rPr>
        <w:t xml:space="preserve"> </w:t>
      </w:r>
      <w:r w:rsidR="0060347E">
        <w:rPr>
          <w:sz w:val="24"/>
          <w:szCs w:val="24"/>
          <w:lang w:val="el-GR"/>
        </w:rPr>
        <w:t>να</w:t>
      </w:r>
      <w:r w:rsidR="0060347E" w:rsidRPr="0060347E">
        <w:rPr>
          <w:sz w:val="24"/>
          <w:szCs w:val="24"/>
          <w:lang w:val="el-GR"/>
        </w:rPr>
        <w:t xml:space="preserve"> </w:t>
      </w:r>
      <w:r w:rsidR="0060347E">
        <w:rPr>
          <w:sz w:val="24"/>
          <w:szCs w:val="24"/>
          <w:lang w:val="el-GR"/>
        </w:rPr>
        <w:t>τροποποιήσει</w:t>
      </w:r>
      <w:r w:rsidR="0060347E" w:rsidRPr="0060347E">
        <w:rPr>
          <w:sz w:val="24"/>
          <w:szCs w:val="24"/>
          <w:lang w:val="el-GR"/>
        </w:rPr>
        <w:t xml:space="preserve"> </w:t>
      </w:r>
      <w:r w:rsidR="0060347E">
        <w:rPr>
          <w:sz w:val="24"/>
          <w:szCs w:val="24"/>
          <w:lang w:val="el-GR"/>
        </w:rPr>
        <w:t>την</w:t>
      </w:r>
      <w:r w:rsidR="0060347E" w:rsidRPr="0060347E">
        <w:rPr>
          <w:sz w:val="24"/>
          <w:szCs w:val="24"/>
          <w:lang w:val="el-GR"/>
        </w:rPr>
        <w:t xml:space="preserve"> </w:t>
      </w:r>
      <w:r w:rsidR="0060347E">
        <w:rPr>
          <w:sz w:val="24"/>
          <w:szCs w:val="24"/>
          <w:lang w:val="el-GR"/>
        </w:rPr>
        <w:t>δήλωση του/ης</w:t>
      </w:r>
      <w:r w:rsidR="00A61452" w:rsidRPr="0060347E">
        <w:rPr>
          <w:sz w:val="24"/>
          <w:szCs w:val="24"/>
          <w:lang w:val="el-GR"/>
        </w:rPr>
        <w:t xml:space="preserve"> </w:t>
      </w:r>
      <w:r w:rsidR="000D37D9">
        <w:rPr>
          <w:sz w:val="24"/>
          <w:szCs w:val="24"/>
          <w:lang w:val="el-GR"/>
        </w:rPr>
        <w:t xml:space="preserve">όπου </w:t>
      </w:r>
      <w:r w:rsidR="0060347E">
        <w:rPr>
          <w:sz w:val="24"/>
          <w:szCs w:val="24"/>
          <w:lang w:val="el-GR"/>
        </w:rPr>
        <w:t>υπάρχει διαφοροποίηση για τα περιουσιακά στοιχεία</w:t>
      </w:r>
      <w:r w:rsidR="00A61452" w:rsidRPr="0060347E">
        <w:rPr>
          <w:sz w:val="24"/>
          <w:szCs w:val="24"/>
          <w:lang w:val="el-GR"/>
        </w:rPr>
        <w:t xml:space="preserve">. </w:t>
      </w:r>
      <w:r w:rsidR="0060347E">
        <w:rPr>
          <w:sz w:val="24"/>
          <w:szCs w:val="24"/>
          <w:lang w:val="el-GR"/>
        </w:rPr>
        <w:t>Επιπλέον</w:t>
      </w:r>
      <w:r w:rsidR="00A61452" w:rsidRPr="0060347E">
        <w:rPr>
          <w:sz w:val="24"/>
          <w:szCs w:val="24"/>
          <w:lang w:val="el-GR"/>
        </w:rPr>
        <w:t xml:space="preserve">, </w:t>
      </w:r>
      <w:r w:rsidR="0060347E">
        <w:rPr>
          <w:sz w:val="24"/>
          <w:szCs w:val="24"/>
          <w:lang w:val="el-GR"/>
        </w:rPr>
        <w:t>η</w:t>
      </w:r>
      <w:r w:rsidR="0060347E" w:rsidRPr="0060347E">
        <w:rPr>
          <w:sz w:val="24"/>
          <w:szCs w:val="24"/>
          <w:lang w:val="el-GR"/>
        </w:rPr>
        <w:t xml:space="preserve"> </w:t>
      </w:r>
      <w:r w:rsidR="0060347E">
        <w:rPr>
          <w:sz w:val="24"/>
          <w:szCs w:val="24"/>
          <w:lang w:val="el-GR"/>
        </w:rPr>
        <w:t>πλατφόρμα</w:t>
      </w:r>
      <w:r w:rsidR="0060347E" w:rsidRPr="0060347E">
        <w:rPr>
          <w:sz w:val="24"/>
          <w:szCs w:val="24"/>
          <w:lang w:val="el-GR"/>
        </w:rPr>
        <w:t xml:space="preserve"> </w:t>
      </w:r>
      <w:r w:rsidR="0060347E">
        <w:rPr>
          <w:sz w:val="24"/>
          <w:szCs w:val="24"/>
          <w:lang w:val="el-GR"/>
        </w:rPr>
        <w:t>διευκολύνει</w:t>
      </w:r>
      <w:r w:rsidR="0060347E" w:rsidRPr="0060347E">
        <w:rPr>
          <w:sz w:val="24"/>
          <w:szCs w:val="24"/>
          <w:lang w:val="el-GR"/>
        </w:rPr>
        <w:t xml:space="preserve"> </w:t>
      </w:r>
      <w:r w:rsidR="0060347E">
        <w:rPr>
          <w:sz w:val="24"/>
          <w:szCs w:val="24"/>
          <w:lang w:val="el-GR"/>
        </w:rPr>
        <w:t>όχι</w:t>
      </w:r>
      <w:r w:rsidR="0060347E" w:rsidRPr="0060347E">
        <w:rPr>
          <w:sz w:val="24"/>
          <w:szCs w:val="24"/>
          <w:lang w:val="el-GR"/>
        </w:rPr>
        <w:t xml:space="preserve"> </w:t>
      </w:r>
      <w:r w:rsidR="0060347E">
        <w:rPr>
          <w:sz w:val="24"/>
          <w:szCs w:val="24"/>
          <w:lang w:val="el-GR"/>
        </w:rPr>
        <w:t>μόνο</w:t>
      </w:r>
      <w:r w:rsidR="0060347E" w:rsidRPr="0060347E">
        <w:rPr>
          <w:sz w:val="24"/>
          <w:szCs w:val="24"/>
          <w:lang w:val="el-GR"/>
        </w:rPr>
        <w:t xml:space="preserve"> </w:t>
      </w:r>
      <w:r w:rsidR="0060347E">
        <w:rPr>
          <w:sz w:val="24"/>
          <w:szCs w:val="24"/>
          <w:lang w:val="el-GR"/>
        </w:rPr>
        <w:t>την</w:t>
      </w:r>
      <w:r w:rsidR="0060347E" w:rsidRPr="0060347E">
        <w:rPr>
          <w:sz w:val="24"/>
          <w:szCs w:val="24"/>
          <w:lang w:val="el-GR"/>
        </w:rPr>
        <w:t xml:space="preserve"> </w:t>
      </w:r>
      <w:r w:rsidR="0060347E">
        <w:rPr>
          <w:sz w:val="24"/>
          <w:szCs w:val="24"/>
          <w:lang w:val="el-GR"/>
        </w:rPr>
        <w:t>ηλεκτρονική</w:t>
      </w:r>
      <w:r w:rsidR="0060347E" w:rsidRPr="0060347E">
        <w:rPr>
          <w:sz w:val="24"/>
          <w:szCs w:val="24"/>
          <w:lang w:val="el-GR"/>
        </w:rPr>
        <w:t xml:space="preserve"> </w:t>
      </w:r>
      <w:r w:rsidR="0060347E">
        <w:rPr>
          <w:sz w:val="24"/>
          <w:szCs w:val="24"/>
          <w:lang w:val="el-GR"/>
        </w:rPr>
        <w:t>υποβολή</w:t>
      </w:r>
      <w:r w:rsidR="00A61452" w:rsidRPr="0060347E">
        <w:rPr>
          <w:sz w:val="24"/>
          <w:szCs w:val="24"/>
          <w:lang w:val="el-GR"/>
        </w:rPr>
        <w:t xml:space="preserve">, </w:t>
      </w:r>
      <w:r w:rsidR="0060347E">
        <w:rPr>
          <w:sz w:val="24"/>
          <w:szCs w:val="24"/>
          <w:lang w:val="el-GR"/>
        </w:rPr>
        <w:t>αλλά</w:t>
      </w:r>
      <w:r w:rsidR="0060347E" w:rsidRPr="0060347E">
        <w:rPr>
          <w:sz w:val="24"/>
          <w:szCs w:val="24"/>
          <w:lang w:val="el-GR"/>
        </w:rPr>
        <w:t xml:space="preserve"> </w:t>
      </w:r>
      <w:r w:rsidR="0060347E">
        <w:rPr>
          <w:sz w:val="24"/>
          <w:szCs w:val="24"/>
          <w:lang w:val="el-GR"/>
        </w:rPr>
        <w:t>σκοπεύει</w:t>
      </w:r>
      <w:r w:rsidR="0060347E" w:rsidRPr="0060347E">
        <w:rPr>
          <w:sz w:val="24"/>
          <w:szCs w:val="24"/>
          <w:lang w:val="el-GR"/>
        </w:rPr>
        <w:t xml:space="preserve"> </w:t>
      </w:r>
      <w:r w:rsidR="0060347E">
        <w:rPr>
          <w:sz w:val="24"/>
          <w:szCs w:val="24"/>
          <w:lang w:val="el-GR"/>
        </w:rPr>
        <w:t>επίσης να προσφέρει ένα αποτελεσματικό ψηφιακό μηχανισμό ελέγχου σχετικά με την ακρίβεια των υποβληθέντων δηλώσεων</w:t>
      </w:r>
      <w:r w:rsidR="00A61452" w:rsidRPr="0060347E">
        <w:rPr>
          <w:sz w:val="24"/>
          <w:szCs w:val="24"/>
          <w:lang w:val="el-GR"/>
        </w:rPr>
        <w:t xml:space="preserve">. </w:t>
      </w:r>
      <w:r w:rsidR="0060347E">
        <w:rPr>
          <w:sz w:val="24"/>
          <w:szCs w:val="24"/>
          <w:lang w:val="el-GR"/>
        </w:rPr>
        <w:t>Για</w:t>
      </w:r>
      <w:r w:rsidR="0060347E" w:rsidRPr="0060347E">
        <w:rPr>
          <w:sz w:val="24"/>
          <w:szCs w:val="24"/>
          <w:lang w:val="el-GR"/>
        </w:rPr>
        <w:t xml:space="preserve"> </w:t>
      </w:r>
      <w:r w:rsidR="0060347E">
        <w:rPr>
          <w:sz w:val="24"/>
          <w:szCs w:val="24"/>
          <w:lang w:val="el-GR"/>
        </w:rPr>
        <w:t>τον</w:t>
      </w:r>
      <w:r w:rsidR="0060347E" w:rsidRPr="0060347E">
        <w:rPr>
          <w:sz w:val="24"/>
          <w:szCs w:val="24"/>
          <w:lang w:val="el-GR"/>
        </w:rPr>
        <w:t xml:space="preserve"> </w:t>
      </w:r>
      <w:r w:rsidR="0060347E">
        <w:rPr>
          <w:sz w:val="24"/>
          <w:szCs w:val="24"/>
          <w:lang w:val="el-GR"/>
        </w:rPr>
        <w:t>σκοπό</w:t>
      </w:r>
      <w:r w:rsidR="0060347E" w:rsidRPr="0060347E">
        <w:rPr>
          <w:sz w:val="24"/>
          <w:szCs w:val="24"/>
          <w:lang w:val="el-GR"/>
        </w:rPr>
        <w:t xml:space="preserve"> </w:t>
      </w:r>
      <w:r w:rsidR="0060347E">
        <w:rPr>
          <w:sz w:val="24"/>
          <w:szCs w:val="24"/>
          <w:lang w:val="el-GR"/>
        </w:rPr>
        <w:t>αυτό</w:t>
      </w:r>
      <w:r w:rsidR="00A61452" w:rsidRPr="0060347E">
        <w:rPr>
          <w:sz w:val="24"/>
          <w:szCs w:val="24"/>
          <w:lang w:val="el-GR"/>
        </w:rPr>
        <w:t xml:space="preserve">, </w:t>
      </w:r>
      <w:r w:rsidR="0060347E">
        <w:rPr>
          <w:sz w:val="24"/>
          <w:szCs w:val="24"/>
          <w:lang w:val="el-GR"/>
        </w:rPr>
        <w:t>η</w:t>
      </w:r>
      <w:r w:rsidR="0060347E" w:rsidRPr="0060347E">
        <w:rPr>
          <w:sz w:val="24"/>
          <w:szCs w:val="24"/>
          <w:lang w:val="el-GR"/>
        </w:rPr>
        <w:t xml:space="preserve"> </w:t>
      </w:r>
      <w:r w:rsidR="0060347E">
        <w:rPr>
          <w:sz w:val="24"/>
          <w:szCs w:val="24"/>
          <w:lang w:val="el-GR"/>
        </w:rPr>
        <w:t>πλατφόρμα</w:t>
      </w:r>
      <w:r w:rsidR="0060347E" w:rsidRPr="0060347E">
        <w:rPr>
          <w:sz w:val="24"/>
          <w:szCs w:val="24"/>
          <w:lang w:val="el-GR"/>
        </w:rPr>
        <w:t xml:space="preserve"> </w:t>
      </w:r>
      <w:r w:rsidR="0060347E">
        <w:rPr>
          <w:sz w:val="24"/>
          <w:szCs w:val="24"/>
          <w:lang w:val="el-GR"/>
        </w:rPr>
        <w:t>πρέπει</w:t>
      </w:r>
      <w:r w:rsidR="0060347E" w:rsidRPr="0060347E">
        <w:rPr>
          <w:sz w:val="24"/>
          <w:szCs w:val="24"/>
          <w:lang w:val="el-GR"/>
        </w:rPr>
        <w:t xml:space="preserve"> </w:t>
      </w:r>
      <w:r w:rsidR="0060347E">
        <w:rPr>
          <w:sz w:val="24"/>
          <w:szCs w:val="24"/>
          <w:lang w:val="el-GR"/>
        </w:rPr>
        <w:t>να</w:t>
      </w:r>
      <w:r w:rsidR="0060347E" w:rsidRPr="0060347E">
        <w:rPr>
          <w:sz w:val="24"/>
          <w:szCs w:val="24"/>
          <w:lang w:val="el-GR"/>
        </w:rPr>
        <w:t xml:space="preserve"> </w:t>
      </w:r>
      <w:r w:rsidR="0060347E">
        <w:rPr>
          <w:sz w:val="24"/>
          <w:szCs w:val="24"/>
          <w:lang w:val="el-GR"/>
        </w:rPr>
        <w:t>συνδεθεί</w:t>
      </w:r>
      <w:r w:rsidR="0060347E" w:rsidRPr="0060347E">
        <w:rPr>
          <w:sz w:val="24"/>
          <w:szCs w:val="24"/>
          <w:lang w:val="el-GR"/>
        </w:rPr>
        <w:t xml:space="preserve"> </w:t>
      </w:r>
      <w:r w:rsidR="0060347E">
        <w:rPr>
          <w:sz w:val="24"/>
          <w:szCs w:val="24"/>
          <w:lang w:val="el-GR"/>
        </w:rPr>
        <w:t>ηλεκτρονικά</w:t>
      </w:r>
      <w:r w:rsidR="00A61452" w:rsidRPr="0060347E">
        <w:rPr>
          <w:sz w:val="24"/>
          <w:szCs w:val="24"/>
          <w:lang w:val="el-GR"/>
        </w:rPr>
        <w:t xml:space="preserve"> </w:t>
      </w:r>
      <w:r w:rsidR="0060347E">
        <w:rPr>
          <w:sz w:val="24"/>
          <w:szCs w:val="24"/>
          <w:lang w:val="el-GR"/>
        </w:rPr>
        <w:t>με</w:t>
      </w:r>
      <w:r w:rsidR="0060347E" w:rsidRPr="0060347E">
        <w:rPr>
          <w:sz w:val="24"/>
          <w:szCs w:val="24"/>
          <w:lang w:val="el-GR"/>
        </w:rPr>
        <w:t xml:space="preserve"> </w:t>
      </w:r>
      <w:r w:rsidR="0060347E">
        <w:rPr>
          <w:sz w:val="24"/>
          <w:szCs w:val="24"/>
          <w:lang w:val="el-GR"/>
        </w:rPr>
        <w:t>τ</w:t>
      </w:r>
      <w:r w:rsidR="000D37D9">
        <w:rPr>
          <w:sz w:val="24"/>
          <w:szCs w:val="24"/>
          <w:lang w:val="el-GR"/>
        </w:rPr>
        <w:t>η</w:t>
      </w:r>
      <w:r w:rsidR="0060347E" w:rsidRPr="0060347E">
        <w:rPr>
          <w:sz w:val="24"/>
          <w:szCs w:val="24"/>
          <w:lang w:val="el-GR"/>
        </w:rPr>
        <w:t xml:space="preserve"> </w:t>
      </w:r>
      <w:r w:rsidR="0060347E">
        <w:rPr>
          <w:sz w:val="24"/>
          <w:szCs w:val="24"/>
          <w:lang w:val="el-GR"/>
        </w:rPr>
        <w:t>βάση δεδομένων</w:t>
      </w:r>
      <w:r w:rsidR="00A61452" w:rsidRPr="0060347E">
        <w:rPr>
          <w:sz w:val="24"/>
          <w:szCs w:val="24"/>
          <w:lang w:val="el-GR"/>
        </w:rPr>
        <w:t xml:space="preserve"> </w:t>
      </w:r>
      <w:r w:rsidR="0060347E">
        <w:rPr>
          <w:sz w:val="24"/>
          <w:szCs w:val="24"/>
          <w:lang w:val="el-GR"/>
        </w:rPr>
        <w:t>άλλων κυβερνητικών τμημάτων</w:t>
      </w:r>
      <w:r w:rsidR="00A61452" w:rsidRPr="0060347E">
        <w:rPr>
          <w:sz w:val="24"/>
          <w:szCs w:val="24"/>
          <w:lang w:val="el-GR"/>
        </w:rPr>
        <w:t xml:space="preserve"> (</w:t>
      </w:r>
      <w:r w:rsidR="0060347E">
        <w:rPr>
          <w:sz w:val="24"/>
          <w:szCs w:val="24"/>
          <w:lang w:val="el-GR"/>
        </w:rPr>
        <w:t>π</w:t>
      </w:r>
      <w:r w:rsidR="00BE416A" w:rsidRPr="0060347E">
        <w:rPr>
          <w:sz w:val="24"/>
          <w:szCs w:val="24"/>
          <w:lang w:val="el-GR"/>
        </w:rPr>
        <w:t>.</w:t>
      </w:r>
      <w:r w:rsidR="0060347E">
        <w:rPr>
          <w:sz w:val="24"/>
          <w:szCs w:val="24"/>
          <w:lang w:val="el-GR"/>
        </w:rPr>
        <w:t>χ</w:t>
      </w:r>
      <w:r w:rsidR="00BE416A" w:rsidRPr="0060347E">
        <w:rPr>
          <w:sz w:val="24"/>
          <w:szCs w:val="24"/>
          <w:lang w:val="el-GR"/>
        </w:rPr>
        <w:t>.</w:t>
      </w:r>
      <w:r w:rsidR="00A61452" w:rsidRPr="0060347E">
        <w:rPr>
          <w:sz w:val="24"/>
          <w:szCs w:val="24"/>
          <w:lang w:val="el-GR"/>
        </w:rPr>
        <w:t xml:space="preserve"> </w:t>
      </w:r>
      <w:r w:rsidR="0060347E">
        <w:rPr>
          <w:sz w:val="24"/>
          <w:szCs w:val="24"/>
          <w:lang w:val="el-GR"/>
        </w:rPr>
        <w:t>Τμήμα Φορολογίας</w:t>
      </w:r>
      <w:r w:rsidR="00A61452" w:rsidRPr="0060347E">
        <w:rPr>
          <w:sz w:val="24"/>
          <w:szCs w:val="24"/>
          <w:lang w:val="el-GR"/>
        </w:rPr>
        <w:t xml:space="preserve">, </w:t>
      </w:r>
      <w:r w:rsidR="0060347E">
        <w:rPr>
          <w:sz w:val="24"/>
          <w:szCs w:val="24"/>
          <w:lang w:val="el-GR"/>
        </w:rPr>
        <w:t>Κτηματολόγιο</w:t>
      </w:r>
      <w:r w:rsidR="00A61452" w:rsidRPr="0060347E">
        <w:rPr>
          <w:sz w:val="24"/>
          <w:szCs w:val="24"/>
          <w:lang w:val="el-GR"/>
        </w:rPr>
        <w:t xml:space="preserve"> </w:t>
      </w:r>
      <w:proofErr w:type="spellStart"/>
      <w:r w:rsidR="0060347E">
        <w:rPr>
          <w:sz w:val="24"/>
          <w:szCs w:val="24"/>
          <w:lang w:val="el-GR"/>
        </w:rPr>
        <w:t>κλπ</w:t>
      </w:r>
      <w:proofErr w:type="spellEnd"/>
      <w:r w:rsidR="00A61452" w:rsidRPr="0060347E">
        <w:rPr>
          <w:sz w:val="24"/>
          <w:szCs w:val="24"/>
          <w:lang w:val="el-GR"/>
        </w:rPr>
        <w:t xml:space="preserve">). </w:t>
      </w:r>
      <w:r w:rsidR="00443EEE">
        <w:rPr>
          <w:sz w:val="24"/>
          <w:szCs w:val="24"/>
          <w:lang w:val="el-GR"/>
        </w:rPr>
        <w:t>Το</w:t>
      </w:r>
      <w:r w:rsidR="00443EEE" w:rsidRPr="00443EEE">
        <w:rPr>
          <w:sz w:val="24"/>
          <w:szCs w:val="24"/>
          <w:lang w:val="el-GR"/>
        </w:rPr>
        <w:t xml:space="preserve"> </w:t>
      </w:r>
      <w:r w:rsidR="00443EEE">
        <w:rPr>
          <w:sz w:val="24"/>
          <w:szCs w:val="24"/>
          <w:lang w:val="el-GR"/>
        </w:rPr>
        <w:t>νομοσχέδιο</w:t>
      </w:r>
      <w:r w:rsidR="00A61452" w:rsidRPr="00443EEE">
        <w:rPr>
          <w:sz w:val="24"/>
          <w:szCs w:val="24"/>
          <w:lang w:val="el-GR"/>
        </w:rPr>
        <w:t xml:space="preserve">, </w:t>
      </w:r>
      <w:r w:rsidR="00443EEE">
        <w:rPr>
          <w:sz w:val="24"/>
          <w:szCs w:val="24"/>
          <w:lang w:val="el-GR"/>
        </w:rPr>
        <w:t>όπως</w:t>
      </w:r>
      <w:r w:rsidR="00443EEE" w:rsidRPr="00443EEE">
        <w:rPr>
          <w:sz w:val="24"/>
          <w:szCs w:val="24"/>
          <w:lang w:val="el-GR"/>
        </w:rPr>
        <w:t xml:space="preserve"> </w:t>
      </w:r>
      <w:r w:rsidR="00443EEE">
        <w:rPr>
          <w:sz w:val="24"/>
          <w:szCs w:val="24"/>
          <w:lang w:val="el-GR"/>
        </w:rPr>
        <w:t>είναι</w:t>
      </w:r>
      <w:r w:rsidR="00443EEE" w:rsidRPr="00443EEE">
        <w:rPr>
          <w:sz w:val="24"/>
          <w:szCs w:val="24"/>
          <w:lang w:val="el-GR"/>
        </w:rPr>
        <w:t xml:space="preserve"> </w:t>
      </w:r>
      <w:r w:rsidR="00443EEE">
        <w:rPr>
          <w:sz w:val="24"/>
          <w:szCs w:val="24"/>
          <w:lang w:val="el-GR"/>
        </w:rPr>
        <w:t>τώρα</w:t>
      </w:r>
      <w:r w:rsidR="00A61452" w:rsidRPr="00443EEE">
        <w:rPr>
          <w:sz w:val="24"/>
          <w:szCs w:val="24"/>
          <w:lang w:val="el-GR"/>
        </w:rPr>
        <w:t xml:space="preserve">, </w:t>
      </w:r>
      <w:r w:rsidR="00443EEE">
        <w:rPr>
          <w:sz w:val="24"/>
          <w:szCs w:val="24"/>
          <w:lang w:val="el-GR"/>
        </w:rPr>
        <w:t>προβλέπει</w:t>
      </w:r>
      <w:r w:rsidR="00443EEE" w:rsidRPr="00443EEE">
        <w:rPr>
          <w:sz w:val="24"/>
          <w:szCs w:val="24"/>
          <w:lang w:val="el-GR"/>
        </w:rPr>
        <w:t xml:space="preserve"> </w:t>
      </w:r>
      <w:r w:rsidR="00443EEE">
        <w:rPr>
          <w:sz w:val="24"/>
          <w:szCs w:val="24"/>
          <w:lang w:val="el-GR"/>
        </w:rPr>
        <w:t>ότι</w:t>
      </w:r>
      <w:r w:rsidR="00443EEE" w:rsidRPr="00443EEE">
        <w:rPr>
          <w:sz w:val="24"/>
          <w:szCs w:val="24"/>
          <w:lang w:val="el-GR"/>
        </w:rPr>
        <w:t xml:space="preserve"> </w:t>
      </w:r>
      <w:r w:rsidR="00443EEE">
        <w:rPr>
          <w:sz w:val="24"/>
          <w:szCs w:val="24"/>
          <w:lang w:val="el-GR"/>
        </w:rPr>
        <w:t>οι</w:t>
      </w:r>
      <w:r w:rsidR="00443EEE" w:rsidRPr="00443EEE">
        <w:rPr>
          <w:sz w:val="24"/>
          <w:szCs w:val="24"/>
          <w:lang w:val="el-GR"/>
        </w:rPr>
        <w:t xml:space="preserve"> </w:t>
      </w:r>
      <w:r w:rsidR="00443EEE">
        <w:rPr>
          <w:sz w:val="24"/>
          <w:szCs w:val="24"/>
          <w:lang w:val="el-GR"/>
        </w:rPr>
        <w:t xml:space="preserve">πληροφορίες στην ηλεκτρονική πλατφόρμα θα </w:t>
      </w:r>
      <w:r w:rsidR="000D37D9">
        <w:rPr>
          <w:sz w:val="24"/>
          <w:szCs w:val="24"/>
          <w:lang w:val="el-GR"/>
        </w:rPr>
        <w:t xml:space="preserve">είναι </w:t>
      </w:r>
      <w:r w:rsidR="00443EEE">
        <w:rPr>
          <w:sz w:val="24"/>
          <w:szCs w:val="24"/>
          <w:lang w:val="el-GR"/>
        </w:rPr>
        <w:t>διαθέσιμες στο κοινό</w:t>
      </w:r>
      <w:r w:rsidR="00A61452" w:rsidRPr="00443EEE">
        <w:rPr>
          <w:sz w:val="24"/>
          <w:szCs w:val="24"/>
          <w:lang w:val="el-GR"/>
        </w:rPr>
        <w:t>.</w:t>
      </w:r>
    </w:p>
    <w:p w14:paraId="15106FC7" w14:textId="77777777" w:rsidR="00A61452" w:rsidRPr="00443EEE" w:rsidRDefault="00A61452" w:rsidP="00A61452">
      <w:pPr>
        <w:pStyle w:val="ListParagraph"/>
        <w:rPr>
          <w:rFonts w:cstheme="minorHAnsi"/>
          <w:sz w:val="24"/>
          <w:szCs w:val="24"/>
          <w:lang w:val="el-GR"/>
        </w:rPr>
      </w:pPr>
    </w:p>
    <w:p w14:paraId="60FB7A07" w14:textId="1348608E" w:rsidR="00FA26E7" w:rsidRPr="00871B69" w:rsidRDefault="00443EEE" w:rsidP="00994096">
      <w:pPr>
        <w:numPr>
          <w:ilvl w:val="0"/>
          <w:numId w:val="1"/>
        </w:numPr>
        <w:tabs>
          <w:tab w:val="clear" w:pos="6095"/>
          <w:tab w:val="left" w:pos="709"/>
        </w:tabs>
        <w:ind w:left="0" w:firstLine="0"/>
        <w:rPr>
          <w:rFonts w:cstheme="minorHAnsi"/>
          <w:iCs/>
          <w:sz w:val="24"/>
          <w:szCs w:val="24"/>
          <w:lang w:val="el-GR"/>
        </w:rPr>
      </w:pPr>
      <w:r>
        <w:rPr>
          <w:rFonts w:cstheme="minorHAnsi"/>
          <w:sz w:val="24"/>
          <w:szCs w:val="24"/>
          <w:lang w:val="el-GR"/>
        </w:rPr>
        <w:t>Η</w:t>
      </w:r>
      <w:r w:rsidR="00A5147D" w:rsidRPr="00443EEE">
        <w:rPr>
          <w:rFonts w:cstheme="minorHAnsi"/>
          <w:sz w:val="24"/>
          <w:szCs w:val="24"/>
          <w:lang w:val="el-GR"/>
        </w:rPr>
        <w:t xml:space="preserve"> </w:t>
      </w:r>
      <w:r w:rsidR="00A5147D" w:rsidRPr="004E251E">
        <w:rPr>
          <w:rFonts w:cstheme="minorHAnsi"/>
          <w:sz w:val="24"/>
          <w:szCs w:val="24"/>
        </w:rPr>
        <w:t>GET</w:t>
      </w:r>
      <w:r w:rsidRPr="00443EEE">
        <w:rPr>
          <w:rFonts w:cstheme="minorHAnsi"/>
          <w:sz w:val="24"/>
          <w:szCs w:val="24"/>
          <w:lang w:val="el-GR"/>
        </w:rPr>
        <w:t xml:space="preserve"> </w:t>
      </w:r>
      <w:r>
        <w:rPr>
          <w:rFonts w:cstheme="minorHAnsi"/>
          <w:sz w:val="24"/>
          <w:szCs w:val="24"/>
          <w:lang w:val="el-GR"/>
        </w:rPr>
        <w:t>βλέπει</w:t>
      </w:r>
      <w:r w:rsidRPr="00443EEE">
        <w:rPr>
          <w:rFonts w:cstheme="minorHAnsi"/>
          <w:sz w:val="24"/>
          <w:szCs w:val="24"/>
          <w:lang w:val="el-GR"/>
        </w:rPr>
        <w:t xml:space="preserve"> </w:t>
      </w:r>
      <w:r w:rsidR="003E77A2">
        <w:rPr>
          <w:rFonts w:cstheme="minorHAnsi"/>
          <w:sz w:val="24"/>
          <w:szCs w:val="24"/>
          <w:lang w:val="el-GR"/>
        </w:rPr>
        <w:t xml:space="preserve">διάφορα </w:t>
      </w:r>
      <w:r>
        <w:rPr>
          <w:rFonts w:cstheme="minorHAnsi"/>
          <w:sz w:val="24"/>
          <w:szCs w:val="24"/>
          <w:lang w:val="el-GR"/>
        </w:rPr>
        <w:t>σημαντικά</w:t>
      </w:r>
      <w:r w:rsidRPr="00443EEE">
        <w:rPr>
          <w:rFonts w:cstheme="minorHAnsi"/>
          <w:sz w:val="24"/>
          <w:szCs w:val="24"/>
          <w:lang w:val="el-GR"/>
        </w:rPr>
        <w:t xml:space="preserve"> </w:t>
      </w:r>
      <w:r w:rsidR="00194321">
        <w:rPr>
          <w:rFonts w:cstheme="minorHAnsi"/>
          <w:sz w:val="24"/>
          <w:szCs w:val="24"/>
          <w:lang w:val="el-GR"/>
        </w:rPr>
        <w:t>ελαττώματα</w:t>
      </w:r>
      <w:r>
        <w:rPr>
          <w:rFonts w:cstheme="minorHAnsi"/>
          <w:sz w:val="24"/>
          <w:szCs w:val="24"/>
          <w:lang w:val="el-GR"/>
        </w:rPr>
        <w:t xml:space="preserve"> στο παρόν στάδιο</w:t>
      </w:r>
      <w:r w:rsidR="00A5147D" w:rsidRPr="00443EEE">
        <w:rPr>
          <w:rFonts w:cstheme="minorHAnsi"/>
          <w:sz w:val="24"/>
          <w:szCs w:val="24"/>
          <w:lang w:val="el-GR"/>
        </w:rPr>
        <w:t xml:space="preserve">. </w:t>
      </w:r>
      <w:r>
        <w:rPr>
          <w:rFonts w:cstheme="minorHAnsi"/>
          <w:sz w:val="24"/>
          <w:szCs w:val="24"/>
          <w:lang w:val="el-GR"/>
        </w:rPr>
        <w:t>Πρώτο</w:t>
      </w:r>
      <w:r w:rsidR="00A5147D" w:rsidRPr="00443EEE">
        <w:rPr>
          <w:rFonts w:cstheme="minorHAnsi"/>
          <w:sz w:val="24"/>
          <w:szCs w:val="24"/>
          <w:lang w:val="el-GR"/>
        </w:rPr>
        <w:t xml:space="preserve">, </w:t>
      </w:r>
      <w:r>
        <w:rPr>
          <w:rFonts w:cstheme="minorHAnsi"/>
          <w:sz w:val="24"/>
          <w:szCs w:val="24"/>
          <w:lang w:val="el-GR"/>
        </w:rPr>
        <w:t>σχετικά</w:t>
      </w:r>
      <w:r w:rsidRPr="00443EEE">
        <w:rPr>
          <w:rFonts w:cstheme="minorHAnsi"/>
          <w:sz w:val="24"/>
          <w:szCs w:val="24"/>
          <w:lang w:val="el-GR"/>
        </w:rPr>
        <w:t xml:space="preserve"> </w:t>
      </w:r>
      <w:r>
        <w:rPr>
          <w:rFonts w:cstheme="minorHAnsi"/>
          <w:sz w:val="24"/>
          <w:szCs w:val="24"/>
          <w:lang w:val="el-GR"/>
        </w:rPr>
        <w:t>με</w:t>
      </w:r>
      <w:r w:rsidRPr="00443EEE">
        <w:rPr>
          <w:rFonts w:cstheme="minorHAnsi"/>
          <w:sz w:val="24"/>
          <w:szCs w:val="24"/>
          <w:lang w:val="el-GR"/>
        </w:rPr>
        <w:t xml:space="preserve"> </w:t>
      </w:r>
      <w:r>
        <w:rPr>
          <w:rFonts w:cstheme="minorHAnsi"/>
          <w:sz w:val="24"/>
          <w:szCs w:val="24"/>
          <w:lang w:val="el-GR"/>
        </w:rPr>
        <w:t>την</w:t>
      </w:r>
      <w:r w:rsidRPr="00443EEE">
        <w:rPr>
          <w:rFonts w:cstheme="minorHAnsi"/>
          <w:sz w:val="24"/>
          <w:szCs w:val="24"/>
          <w:lang w:val="el-GR"/>
        </w:rPr>
        <w:t xml:space="preserve"> </w:t>
      </w:r>
      <w:r>
        <w:rPr>
          <w:rFonts w:cstheme="minorHAnsi"/>
          <w:sz w:val="24"/>
          <w:szCs w:val="24"/>
          <w:lang w:val="el-GR"/>
        </w:rPr>
        <w:t>μορφή</w:t>
      </w:r>
      <w:r w:rsidRPr="00443EEE">
        <w:rPr>
          <w:rFonts w:cstheme="minorHAnsi"/>
          <w:sz w:val="24"/>
          <w:szCs w:val="24"/>
          <w:lang w:val="el-GR"/>
        </w:rPr>
        <w:t xml:space="preserve"> </w:t>
      </w:r>
      <w:r>
        <w:rPr>
          <w:rFonts w:cstheme="minorHAnsi"/>
          <w:sz w:val="24"/>
          <w:szCs w:val="24"/>
          <w:lang w:val="el-GR"/>
        </w:rPr>
        <w:t>και</w:t>
      </w:r>
      <w:r w:rsidRPr="00443EEE">
        <w:rPr>
          <w:rFonts w:cstheme="minorHAnsi"/>
          <w:sz w:val="24"/>
          <w:szCs w:val="24"/>
          <w:lang w:val="el-GR"/>
        </w:rPr>
        <w:t xml:space="preserve"> </w:t>
      </w:r>
      <w:r>
        <w:rPr>
          <w:rFonts w:cstheme="minorHAnsi"/>
          <w:sz w:val="24"/>
          <w:szCs w:val="24"/>
          <w:lang w:val="el-GR"/>
        </w:rPr>
        <w:t>τ</w:t>
      </w:r>
      <w:r w:rsidR="00D969BB">
        <w:rPr>
          <w:rFonts w:cstheme="minorHAnsi"/>
          <w:sz w:val="24"/>
          <w:szCs w:val="24"/>
          <w:lang w:val="el-GR"/>
        </w:rPr>
        <w:t>ο</w:t>
      </w:r>
      <w:r w:rsidRPr="00443EEE">
        <w:rPr>
          <w:rFonts w:cstheme="minorHAnsi"/>
          <w:sz w:val="24"/>
          <w:szCs w:val="24"/>
          <w:lang w:val="el-GR"/>
        </w:rPr>
        <w:t xml:space="preserve"> </w:t>
      </w:r>
      <w:r>
        <w:rPr>
          <w:rFonts w:cstheme="minorHAnsi"/>
          <w:sz w:val="24"/>
          <w:szCs w:val="24"/>
          <w:lang w:val="el-GR"/>
        </w:rPr>
        <w:t>περιεχόμεν</w:t>
      </w:r>
      <w:r w:rsidR="00D969BB">
        <w:rPr>
          <w:rFonts w:cstheme="minorHAnsi"/>
          <w:sz w:val="24"/>
          <w:szCs w:val="24"/>
          <w:lang w:val="el-GR"/>
        </w:rPr>
        <w:t>ο</w:t>
      </w:r>
      <w:r w:rsidRPr="00443EEE">
        <w:rPr>
          <w:rFonts w:cstheme="minorHAnsi"/>
          <w:sz w:val="24"/>
          <w:szCs w:val="24"/>
          <w:lang w:val="el-GR"/>
        </w:rPr>
        <w:t xml:space="preserve"> </w:t>
      </w:r>
      <w:r>
        <w:rPr>
          <w:rFonts w:cstheme="minorHAnsi"/>
          <w:sz w:val="24"/>
          <w:szCs w:val="24"/>
          <w:lang w:val="el-GR"/>
        </w:rPr>
        <w:t>της</w:t>
      </w:r>
      <w:r w:rsidRPr="00443EEE">
        <w:rPr>
          <w:rFonts w:cstheme="minorHAnsi"/>
          <w:sz w:val="24"/>
          <w:szCs w:val="24"/>
          <w:lang w:val="el-GR"/>
        </w:rPr>
        <w:t xml:space="preserve"> </w:t>
      </w:r>
      <w:r>
        <w:rPr>
          <w:rFonts w:cstheme="minorHAnsi"/>
          <w:sz w:val="24"/>
          <w:szCs w:val="24"/>
          <w:lang w:val="el-GR"/>
        </w:rPr>
        <w:t>δήλωσης</w:t>
      </w:r>
      <w:r w:rsidR="00A5147D" w:rsidRPr="00443EEE">
        <w:rPr>
          <w:rFonts w:cstheme="minorHAnsi"/>
          <w:sz w:val="24"/>
          <w:szCs w:val="24"/>
          <w:lang w:val="el-GR"/>
        </w:rPr>
        <w:t xml:space="preserve">, </w:t>
      </w:r>
      <w:r>
        <w:rPr>
          <w:rFonts w:cstheme="minorHAnsi"/>
          <w:sz w:val="24"/>
          <w:szCs w:val="24"/>
          <w:lang w:val="el-GR"/>
        </w:rPr>
        <w:t>δεν</w:t>
      </w:r>
      <w:r w:rsidRPr="00443EEE">
        <w:rPr>
          <w:rFonts w:cstheme="minorHAnsi"/>
          <w:sz w:val="24"/>
          <w:szCs w:val="24"/>
          <w:lang w:val="el-GR"/>
        </w:rPr>
        <w:t xml:space="preserve"> </w:t>
      </w:r>
      <w:r>
        <w:rPr>
          <w:rFonts w:cstheme="minorHAnsi"/>
          <w:sz w:val="24"/>
          <w:szCs w:val="24"/>
          <w:lang w:val="el-GR"/>
        </w:rPr>
        <w:t>υπάρχει</w:t>
      </w:r>
      <w:r w:rsidRPr="00443EEE">
        <w:rPr>
          <w:rFonts w:cstheme="minorHAnsi"/>
          <w:sz w:val="24"/>
          <w:szCs w:val="24"/>
          <w:lang w:val="el-GR"/>
        </w:rPr>
        <w:t xml:space="preserve"> </w:t>
      </w:r>
      <w:r>
        <w:rPr>
          <w:rFonts w:cstheme="minorHAnsi"/>
          <w:sz w:val="24"/>
          <w:szCs w:val="24"/>
          <w:lang w:val="el-GR"/>
        </w:rPr>
        <w:t>απαίτηση</w:t>
      </w:r>
      <w:r w:rsidRPr="00443EEE">
        <w:rPr>
          <w:rFonts w:cstheme="minorHAnsi"/>
          <w:sz w:val="24"/>
          <w:szCs w:val="24"/>
          <w:lang w:val="el-GR"/>
        </w:rPr>
        <w:t xml:space="preserve"> </w:t>
      </w:r>
      <w:r>
        <w:rPr>
          <w:rFonts w:cstheme="minorHAnsi"/>
          <w:sz w:val="24"/>
          <w:szCs w:val="24"/>
          <w:lang w:val="el-GR"/>
        </w:rPr>
        <w:t>για</w:t>
      </w:r>
      <w:r w:rsidRPr="00443EEE">
        <w:rPr>
          <w:rFonts w:cstheme="minorHAnsi"/>
          <w:sz w:val="24"/>
          <w:szCs w:val="24"/>
          <w:lang w:val="el-GR"/>
        </w:rPr>
        <w:t xml:space="preserve"> </w:t>
      </w:r>
      <w:r>
        <w:rPr>
          <w:rFonts w:cstheme="minorHAnsi"/>
          <w:sz w:val="24"/>
          <w:szCs w:val="24"/>
          <w:lang w:val="el-GR"/>
        </w:rPr>
        <w:t>ηλεκτρονική</w:t>
      </w:r>
      <w:r w:rsidRPr="00443EEE">
        <w:rPr>
          <w:rFonts w:cstheme="minorHAnsi"/>
          <w:sz w:val="24"/>
          <w:szCs w:val="24"/>
          <w:lang w:val="el-GR"/>
        </w:rPr>
        <w:t xml:space="preserve"> </w:t>
      </w:r>
      <w:r>
        <w:rPr>
          <w:rFonts w:cstheme="minorHAnsi"/>
          <w:sz w:val="24"/>
          <w:szCs w:val="24"/>
          <w:lang w:val="el-GR"/>
        </w:rPr>
        <w:t>υποβολή</w:t>
      </w:r>
      <w:r w:rsidR="00A5147D" w:rsidRPr="00443EEE">
        <w:rPr>
          <w:rFonts w:cstheme="minorHAnsi"/>
          <w:sz w:val="24"/>
          <w:szCs w:val="24"/>
          <w:lang w:val="el-GR"/>
        </w:rPr>
        <w:t xml:space="preserve"> </w:t>
      </w:r>
      <w:r>
        <w:rPr>
          <w:rFonts w:cstheme="minorHAnsi"/>
          <w:sz w:val="24"/>
          <w:szCs w:val="24"/>
          <w:lang w:val="el-GR"/>
        </w:rPr>
        <w:t>και κάποια πεδία είναι μπερδεμένα</w:t>
      </w:r>
      <w:r w:rsidR="00A5147D" w:rsidRPr="00443EEE">
        <w:rPr>
          <w:rFonts w:cstheme="minorHAnsi"/>
          <w:sz w:val="24"/>
          <w:szCs w:val="24"/>
          <w:lang w:val="el-GR"/>
        </w:rPr>
        <w:t xml:space="preserve">, </w:t>
      </w:r>
      <w:r>
        <w:rPr>
          <w:rFonts w:cstheme="minorHAnsi"/>
          <w:sz w:val="24"/>
          <w:szCs w:val="24"/>
          <w:lang w:val="el-GR"/>
        </w:rPr>
        <w:t>ασαφή</w:t>
      </w:r>
      <w:r w:rsidR="00A5147D" w:rsidRPr="00443EEE">
        <w:rPr>
          <w:rFonts w:cstheme="minorHAnsi"/>
          <w:sz w:val="24"/>
          <w:szCs w:val="24"/>
          <w:lang w:val="el-GR"/>
        </w:rPr>
        <w:t xml:space="preserve">, </w:t>
      </w:r>
      <w:r>
        <w:rPr>
          <w:rFonts w:cstheme="minorHAnsi"/>
          <w:sz w:val="24"/>
          <w:szCs w:val="24"/>
          <w:lang w:val="el-GR"/>
        </w:rPr>
        <w:t>και ανοικτά προς ερμηνεία</w:t>
      </w:r>
      <w:r w:rsidR="00A5147D" w:rsidRPr="00443EEE">
        <w:rPr>
          <w:rFonts w:cstheme="minorHAnsi"/>
          <w:sz w:val="24"/>
          <w:szCs w:val="24"/>
          <w:lang w:val="el-GR"/>
        </w:rPr>
        <w:t xml:space="preserve">. </w:t>
      </w:r>
      <w:r w:rsidR="00D969BB">
        <w:rPr>
          <w:rFonts w:cstheme="minorHAnsi"/>
          <w:sz w:val="24"/>
          <w:szCs w:val="24"/>
          <w:lang w:val="el-GR"/>
        </w:rPr>
        <w:t>Επιπλέον</w:t>
      </w:r>
      <w:r w:rsidR="00A5147D" w:rsidRPr="00443EEE">
        <w:rPr>
          <w:rFonts w:cstheme="minorHAnsi"/>
          <w:sz w:val="24"/>
          <w:szCs w:val="24"/>
          <w:lang w:val="el-GR"/>
        </w:rPr>
        <w:t xml:space="preserve">, </w:t>
      </w:r>
      <w:r>
        <w:rPr>
          <w:rFonts w:cstheme="minorHAnsi"/>
          <w:sz w:val="24"/>
          <w:szCs w:val="24"/>
          <w:lang w:val="el-GR"/>
        </w:rPr>
        <w:t>φαίνεται</w:t>
      </w:r>
      <w:r w:rsidRPr="00443EEE">
        <w:rPr>
          <w:rFonts w:cstheme="minorHAnsi"/>
          <w:sz w:val="24"/>
          <w:szCs w:val="24"/>
          <w:lang w:val="el-GR"/>
        </w:rPr>
        <w:t xml:space="preserve"> </w:t>
      </w:r>
      <w:r>
        <w:rPr>
          <w:rFonts w:cstheme="minorHAnsi"/>
          <w:sz w:val="24"/>
          <w:szCs w:val="24"/>
          <w:lang w:val="el-GR"/>
        </w:rPr>
        <w:t>ότι</w:t>
      </w:r>
      <w:r w:rsidRPr="00443EEE">
        <w:rPr>
          <w:rFonts w:cstheme="minorHAnsi"/>
          <w:sz w:val="24"/>
          <w:szCs w:val="24"/>
          <w:lang w:val="el-GR"/>
        </w:rPr>
        <w:t xml:space="preserve"> </w:t>
      </w:r>
      <w:r>
        <w:rPr>
          <w:rFonts w:cstheme="minorHAnsi"/>
          <w:sz w:val="24"/>
          <w:szCs w:val="24"/>
          <w:lang w:val="el-GR"/>
        </w:rPr>
        <w:t>είναι</w:t>
      </w:r>
      <w:r w:rsidRPr="00443EEE">
        <w:rPr>
          <w:rFonts w:cstheme="minorHAnsi"/>
          <w:sz w:val="24"/>
          <w:szCs w:val="24"/>
          <w:lang w:val="el-GR"/>
        </w:rPr>
        <w:t xml:space="preserve"> </w:t>
      </w:r>
      <w:r>
        <w:rPr>
          <w:rFonts w:cstheme="minorHAnsi"/>
          <w:sz w:val="24"/>
          <w:szCs w:val="24"/>
          <w:lang w:val="el-GR"/>
        </w:rPr>
        <w:t>απαραίτητη</w:t>
      </w:r>
      <w:r w:rsidRPr="00443EEE">
        <w:rPr>
          <w:rFonts w:cstheme="minorHAnsi"/>
          <w:sz w:val="24"/>
          <w:szCs w:val="24"/>
          <w:lang w:val="el-GR"/>
        </w:rPr>
        <w:t xml:space="preserve"> </w:t>
      </w:r>
      <w:r w:rsidR="003E77A2">
        <w:rPr>
          <w:rFonts w:cstheme="minorHAnsi"/>
          <w:sz w:val="24"/>
          <w:szCs w:val="24"/>
          <w:lang w:val="el-GR"/>
        </w:rPr>
        <w:t xml:space="preserve">πιο αναλυτική κατάσταση </w:t>
      </w:r>
      <w:r>
        <w:rPr>
          <w:rFonts w:cstheme="minorHAnsi"/>
          <w:sz w:val="24"/>
          <w:szCs w:val="24"/>
          <w:lang w:val="el-GR"/>
        </w:rPr>
        <w:t>για</w:t>
      </w:r>
      <w:r w:rsidRPr="00443EEE">
        <w:rPr>
          <w:rFonts w:cstheme="minorHAnsi"/>
          <w:sz w:val="24"/>
          <w:szCs w:val="24"/>
          <w:lang w:val="el-GR"/>
        </w:rPr>
        <w:t xml:space="preserve"> </w:t>
      </w:r>
      <w:r>
        <w:rPr>
          <w:rFonts w:cstheme="minorHAnsi"/>
          <w:sz w:val="24"/>
          <w:szCs w:val="24"/>
          <w:lang w:val="el-GR"/>
        </w:rPr>
        <w:t>κάλυψη</w:t>
      </w:r>
      <w:r w:rsidRPr="00443EEE">
        <w:rPr>
          <w:rFonts w:cstheme="minorHAnsi"/>
          <w:sz w:val="24"/>
          <w:szCs w:val="24"/>
          <w:lang w:val="el-GR"/>
        </w:rPr>
        <w:t xml:space="preserve"> </w:t>
      </w:r>
      <w:r>
        <w:rPr>
          <w:rFonts w:cstheme="minorHAnsi"/>
          <w:sz w:val="24"/>
          <w:szCs w:val="24"/>
          <w:lang w:val="el-GR"/>
        </w:rPr>
        <w:t>της</w:t>
      </w:r>
      <w:r w:rsidRPr="00443EEE">
        <w:rPr>
          <w:rFonts w:cstheme="minorHAnsi"/>
          <w:sz w:val="24"/>
          <w:szCs w:val="24"/>
          <w:lang w:val="el-GR"/>
        </w:rPr>
        <w:t xml:space="preserve"> </w:t>
      </w:r>
      <w:r>
        <w:rPr>
          <w:rFonts w:cstheme="minorHAnsi"/>
          <w:sz w:val="24"/>
          <w:szCs w:val="24"/>
          <w:lang w:val="el-GR"/>
        </w:rPr>
        <w:t>κινητής</w:t>
      </w:r>
      <w:r w:rsidRPr="00443EEE">
        <w:rPr>
          <w:rFonts w:cstheme="minorHAnsi"/>
          <w:sz w:val="24"/>
          <w:szCs w:val="24"/>
          <w:lang w:val="el-GR"/>
        </w:rPr>
        <w:t xml:space="preserve"> </w:t>
      </w:r>
      <w:r>
        <w:rPr>
          <w:rFonts w:cstheme="minorHAnsi"/>
          <w:sz w:val="24"/>
          <w:szCs w:val="24"/>
          <w:lang w:val="el-GR"/>
        </w:rPr>
        <w:t>περιουσίας</w:t>
      </w:r>
      <w:r w:rsidR="00A5147D" w:rsidRPr="00443EEE">
        <w:rPr>
          <w:rFonts w:cstheme="minorHAnsi"/>
          <w:sz w:val="24"/>
          <w:szCs w:val="24"/>
          <w:lang w:val="el-GR"/>
        </w:rPr>
        <w:t xml:space="preserve"> (</w:t>
      </w:r>
      <w:r>
        <w:rPr>
          <w:rFonts w:cstheme="minorHAnsi"/>
          <w:sz w:val="24"/>
          <w:szCs w:val="24"/>
          <w:lang w:val="el-GR"/>
        </w:rPr>
        <w:t>ένα κενό</w:t>
      </w:r>
      <w:r w:rsidR="00A5147D" w:rsidRPr="00443EEE">
        <w:rPr>
          <w:rFonts w:cstheme="minorHAnsi"/>
          <w:sz w:val="24"/>
          <w:szCs w:val="24"/>
          <w:lang w:val="el-GR"/>
        </w:rPr>
        <w:t xml:space="preserve"> </w:t>
      </w:r>
      <w:r>
        <w:rPr>
          <w:rFonts w:cstheme="minorHAnsi"/>
          <w:sz w:val="24"/>
          <w:szCs w:val="24"/>
          <w:lang w:val="el-GR"/>
        </w:rPr>
        <w:t xml:space="preserve">που </w:t>
      </w:r>
      <w:r w:rsidR="003E77A2">
        <w:rPr>
          <w:rFonts w:cstheme="minorHAnsi"/>
          <w:sz w:val="24"/>
          <w:szCs w:val="24"/>
          <w:lang w:val="el-GR"/>
        </w:rPr>
        <w:t xml:space="preserve">έχει </w:t>
      </w:r>
      <w:r>
        <w:rPr>
          <w:rFonts w:cstheme="minorHAnsi"/>
          <w:sz w:val="24"/>
          <w:szCs w:val="24"/>
          <w:lang w:val="el-GR"/>
        </w:rPr>
        <w:t>ήδη εντοπισθεί</w:t>
      </w:r>
      <w:r w:rsidR="00A5147D" w:rsidRPr="00443EEE">
        <w:rPr>
          <w:rFonts w:cstheme="minorHAnsi"/>
          <w:sz w:val="24"/>
          <w:szCs w:val="24"/>
          <w:lang w:val="el-GR"/>
        </w:rPr>
        <w:t xml:space="preserve">, </w:t>
      </w:r>
      <w:r>
        <w:rPr>
          <w:rFonts w:cstheme="minorHAnsi"/>
          <w:sz w:val="24"/>
          <w:szCs w:val="24"/>
          <w:lang w:val="el-GR"/>
        </w:rPr>
        <w:t xml:space="preserve">το οποίο </w:t>
      </w:r>
      <w:r w:rsidR="003E77A2">
        <w:rPr>
          <w:rFonts w:cstheme="minorHAnsi"/>
          <w:sz w:val="24"/>
          <w:szCs w:val="24"/>
          <w:lang w:val="el-GR"/>
        </w:rPr>
        <w:t xml:space="preserve">έτυχε </w:t>
      </w:r>
      <w:r>
        <w:rPr>
          <w:rFonts w:cstheme="minorHAnsi"/>
          <w:sz w:val="24"/>
          <w:szCs w:val="24"/>
          <w:lang w:val="el-GR"/>
        </w:rPr>
        <w:t>σύστασης στον Τέταρτο Γύρο Αξιολόγησης</w:t>
      </w:r>
      <w:r w:rsidR="00A5147D" w:rsidRPr="00443EEE">
        <w:rPr>
          <w:rFonts w:cstheme="minorHAnsi"/>
          <w:sz w:val="24"/>
          <w:szCs w:val="24"/>
          <w:lang w:val="el-GR"/>
        </w:rPr>
        <w:t xml:space="preserve">). </w:t>
      </w:r>
      <w:r>
        <w:rPr>
          <w:rFonts w:cstheme="minorHAnsi"/>
          <w:sz w:val="24"/>
          <w:szCs w:val="24"/>
          <w:lang w:val="el-GR"/>
        </w:rPr>
        <w:t>Δεύτερο</w:t>
      </w:r>
      <w:r w:rsidR="00A5147D" w:rsidRPr="00871B69">
        <w:rPr>
          <w:rFonts w:cstheme="minorHAnsi"/>
          <w:sz w:val="24"/>
          <w:szCs w:val="24"/>
          <w:lang w:val="el-GR"/>
        </w:rPr>
        <w:t xml:space="preserve">, </w:t>
      </w:r>
      <w:r>
        <w:rPr>
          <w:rFonts w:cstheme="minorHAnsi"/>
          <w:sz w:val="24"/>
          <w:szCs w:val="24"/>
          <w:lang w:val="el-GR"/>
        </w:rPr>
        <w:t>σχετικά</w:t>
      </w:r>
      <w:r w:rsidRPr="00871B69">
        <w:rPr>
          <w:rFonts w:cstheme="minorHAnsi"/>
          <w:sz w:val="24"/>
          <w:szCs w:val="24"/>
          <w:lang w:val="el-GR"/>
        </w:rPr>
        <w:t xml:space="preserve"> </w:t>
      </w:r>
      <w:r>
        <w:rPr>
          <w:rFonts w:cstheme="minorHAnsi"/>
          <w:sz w:val="24"/>
          <w:szCs w:val="24"/>
          <w:lang w:val="el-GR"/>
        </w:rPr>
        <w:t>με</w:t>
      </w:r>
      <w:r w:rsidRPr="00871B69">
        <w:rPr>
          <w:rFonts w:cstheme="minorHAnsi"/>
          <w:sz w:val="24"/>
          <w:szCs w:val="24"/>
          <w:lang w:val="el-GR"/>
        </w:rPr>
        <w:t xml:space="preserve"> </w:t>
      </w:r>
      <w:r>
        <w:rPr>
          <w:rFonts w:cstheme="minorHAnsi"/>
          <w:sz w:val="24"/>
          <w:szCs w:val="24"/>
          <w:lang w:val="el-GR"/>
        </w:rPr>
        <w:t>την</w:t>
      </w:r>
      <w:r w:rsidRPr="00871B69">
        <w:rPr>
          <w:rFonts w:cstheme="minorHAnsi"/>
          <w:sz w:val="24"/>
          <w:szCs w:val="24"/>
          <w:lang w:val="el-GR"/>
        </w:rPr>
        <w:t xml:space="preserve"> </w:t>
      </w:r>
      <w:r>
        <w:rPr>
          <w:rFonts w:cstheme="minorHAnsi"/>
          <w:sz w:val="24"/>
          <w:szCs w:val="24"/>
          <w:lang w:val="el-GR"/>
        </w:rPr>
        <w:t>περιοδικότητα</w:t>
      </w:r>
      <w:r w:rsidRPr="00871B69">
        <w:rPr>
          <w:rFonts w:cstheme="minorHAnsi"/>
          <w:sz w:val="24"/>
          <w:szCs w:val="24"/>
          <w:lang w:val="el-GR"/>
        </w:rPr>
        <w:t xml:space="preserve"> </w:t>
      </w:r>
      <w:r>
        <w:rPr>
          <w:rFonts w:cstheme="minorHAnsi"/>
          <w:sz w:val="24"/>
          <w:szCs w:val="24"/>
          <w:lang w:val="el-GR"/>
        </w:rPr>
        <w:t>της</w:t>
      </w:r>
      <w:r w:rsidRPr="00871B69">
        <w:rPr>
          <w:rFonts w:cstheme="minorHAnsi"/>
          <w:sz w:val="24"/>
          <w:szCs w:val="24"/>
          <w:lang w:val="el-GR"/>
        </w:rPr>
        <w:t xml:space="preserve"> </w:t>
      </w:r>
      <w:r>
        <w:rPr>
          <w:rFonts w:cstheme="minorHAnsi"/>
          <w:sz w:val="24"/>
          <w:szCs w:val="24"/>
          <w:lang w:val="el-GR"/>
        </w:rPr>
        <w:t>υποβολής</w:t>
      </w:r>
      <w:r w:rsidR="00A5147D" w:rsidRPr="00871B69">
        <w:rPr>
          <w:rFonts w:cstheme="minorHAnsi"/>
          <w:sz w:val="24"/>
          <w:szCs w:val="24"/>
          <w:lang w:val="el-GR"/>
        </w:rPr>
        <w:t xml:space="preserve">, </w:t>
      </w:r>
      <w:r>
        <w:rPr>
          <w:rFonts w:cstheme="minorHAnsi"/>
          <w:sz w:val="24"/>
          <w:szCs w:val="24"/>
          <w:lang w:val="el-GR"/>
        </w:rPr>
        <w:t>η</w:t>
      </w:r>
      <w:r w:rsidRPr="00871B69">
        <w:rPr>
          <w:rFonts w:cstheme="minorHAnsi"/>
          <w:sz w:val="24"/>
          <w:szCs w:val="24"/>
          <w:lang w:val="el-GR"/>
        </w:rPr>
        <w:t xml:space="preserve"> </w:t>
      </w:r>
      <w:r>
        <w:rPr>
          <w:rFonts w:cstheme="minorHAnsi"/>
          <w:sz w:val="24"/>
          <w:szCs w:val="24"/>
          <w:lang w:val="el-GR"/>
        </w:rPr>
        <w:t>τακτική</w:t>
      </w:r>
      <w:r w:rsidRPr="00871B69">
        <w:rPr>
          <w:rFonts w:cstheme="minorHAnsi"/>
          <w:sz w:val="24"/>
          <w:szCs w:val="24"/>
          <w:lang w:val="el-GR"/>
        </w:rPr>
        <w:t xml:space="preserve"> </w:t>
      </w:r>
      <w:r>
        <w:rPr>
          <w:rFonts w:cstheme="minorHAnsi"/>
          <w:sz w:val="24"/>
          <w:szCs w:val="24"/>
          <w:lang w:val="el-GR"/>
        </w:rPr>
        <w:t>αναφορά</w:t>
      </w:r>
      <w:r w:rsidRPr="00871B69">
        <w:rPr>
          <w:rFonts w:cstheme="minorHAnsi"/>
          <w:sz w:val="24"/>
          <w:szCs w:val="24"/>
          <w:lang w:val="el-GR"/>
        </w:rPr>
        <w:t xml:space="preserve"> </w:t>
      </w:r>
      <w:r>
        <w:rPr>
          <w:rFonts w:cstheme="minorHAnsi"/>
          <w:sz w:val="24"/>
          <w:szCs w:val="24"/>
          <w:lang w:val="el-GR"/>
        </w:rPr>
        <w:t>είναι</w:t>
      </w:r>
      <w:r w:rsidRPr="00871B69">
        <w:rPr>
          <w:rFonts w:cstheme="minorHAnsi"/>
          <w:sz w:val="24"/>
          <w:szCs w:val="24"/>
          <w:lang w:val="el-GR"/>
        </w:rPr>
        <w:t xml:space="preserve"> </w:t>
      </w:r>
      <w:r>
        <w:rPr>
          <w:rFonts w:cstheme="minorHAnsi"/>
          <w:sz w:val="24"/>
          <w:szCs w:val="24"/>
          <w:lang w:val="el-GR"/>
        </w:rPr>
        <w:t>κάθε</w:t>
      </w:r>
      <w:r w:rsidRPr="00871B69">
        <w:rPr>
          <w:rFonts w:cstheme="minorHAnsi"/>
          <w:sz w:val="24"/>
          <w:szCs w:val="24"/>
          <w:lang w:val="el-GR"/>
        </w:rPr>
        <w:t xml:space="preserve"> </w:t>
      </w:r>
      <w:r>
        <w:rPr>
          <w:rFonts w:cstheme="minorHAnsi"/>
          <w:sz w:val="24"/>
          <w:szCs w:val="24"/>
          <w:lang w:val="el-GR"/>
        </w:rPr>
        <w:t>τρία</w:t>
      </w:r>
      <w:r w:rsidRPr="00871B69">
        <w:rPr>
          <w:rFonts w:cstheme="minorHAnsi"/>
          <w:sz w:val="24"/>
          <w:szCs w:val="24"/>
          <w:lang w:val="el-GR"/>
        </w:rPr>
        <w:t xml:space="preserve"> </w:t>
      </w:r>
      <w:r>
        <w:rPr>
          <w:rFonts w:cstheme="minorHAnsi"/>
          <w:sz w:val="24"/>
          <w:szCs w:val="24"/>
          <w:lang w:val="el-GR"/>
        </w:rPr>
        <w:t>χρόνια</w:t>
      </w:r>
      <w:r w:rsidR="003E77A2">
        <w:rPr>
          <w:rFonts w:cstheme="minorHAnsi"/>
          <w:sz w:val="24"/>
          <w:szCs w:val="24"/>
          <w:lang w:val="el-GR"/>
        </w:rPr>
        <w:t xml:space="preserve"> που</w:t>
      </w:r>
      <w:r w:rsidRPr="00871B69">
        <w:rPr>
          <w:rFonts w:cstheme="minorHAnsi"/>
          <w:sz w:val="24"/>
          <w:szCs w:val="24"/>
          <w:lang w:val="el-GR"/>
        </w:rPr>
        <w:t xml:space="preserve"> </w:t>
      </w:r>
      <w:r w:rsidR="00871B69">
        <w:rPr>
          <w:rFonts w:cstheme="minorHAnsi"/>
          <w:sz w:val="24"/>
          <w:szCs w:val="24"/>
          <w:lang w:val="el-GR"/>
        </w:rPr>
        <w:t>φαίνεται</w:t>
      </w:r>
      <w:r w:rsidR="003E77A2">
        <w:rPr>
          <w:rFonts w:cstheme="minorHAnsi"/>
          <w:sz w:val="24"/>
          <w:szCs w:val="24"/>
          <w:lang w:val="el-GR"/>
        </w:rPr>
        <w:t xml:space="preserve"> (να είναι)</w:t>
      </w:r>
      <w:r w:rsidR="00871B69">
        <w:rPr>
          <w:rFonts w:cstheme="minorHAnsi"/>
          <w:sz w:val="24"/>
          <w:szCs w:val="24"/>
          <w:lang w:val="el-GR"/>
        </w:rPr>
        <w:t xml:space="preserve"> μια μάλλον μεγάλη περίοδο</w:t>
      </w:r>
      <w:r w:rsidR="003E77A2">
        <w:rPr>
          <w:rFonts w:cstheme="minorHAnsi"/>
          <w:sz w:val="24"/>
          <w:szCs w:val="24"/>
          <w:lang w:val="el-GR"/>
        </w:rPr>
        <w:t>ς</w:t>
      </w:r>
      <w:r w:rsidR="00A5147D" w:rsidRPr="00871B69">
        <w:rPr>
          <w:rFonts w:cstheme="minorHAnsi"/>
          <w:sz w:val="24"/>
          <w:szCs w:val="24"/>
          <w:lang w:val="el-GR"/>
        </w:rPr>
        <w:t xml:space="preserve">, </w:t>
      </w:r>
      <w:r w:rsidR="00871B69">
        <w:rPr>
          <w:rFonts w:cstheme="minorHAnsi"/>
          <w:sz w:val="24"/>
          <w:szCs w:val="24"/>
          <w:lang w:val="el-GR"/>
        </w:rPr>
        <w:t xml:space="preserve">ειδικά </w:t>
      </w:r>
      <w:r w:rsidR="003E77A2">
        <w:rPr>
          <w:rFonts w:cstheme="minorHAnsi"/>
          <w:sz w:val="24"/>
          <w:szCs w:val="24"/>
          <w:lang w:val="el-GR"/>
        </w:rPr>
        <w:t xml:space="preserve">όταν </w:t>
      </w:r>
      <w:r w:rsidR="00194321">
        <w:rPr>
          <w:rFonts w:cstheme="minorHAnsi"/>
          <w:sz w:val="24"/>
          <w:szCs w:val="24"/>
          <w:lang w:val="el-GR"/>
        </w:rPr>
        <w:t>στο μεταξύ</w:t>
      </w:r>
      <w:r w:rsidR="003E77A2">
        <w:rPr>
          <w:rFonts w:cstheme="minorHAnsi"/>
          <w:sz w:val="24"/>
          <w:szCs w:val="24"/>
          <w:lang w:val="el-GR"/>
        </w:rPr>
        <w:t xml:space="preserve"> υπήρξε</w:t>
      </w:r>
      <w:r w:rsidR="00194321">
        <w:rPr>
          <w:rFonts w:cstheme="minorHAnsi"/>
          <w:sz w:val="24"/>
          <w:szCs w:val="24"/>
          <w:lang w:val="el-GR"/>
        </w:rPr>
        <w:t xml:space="preserve"> </w:t>
      </w:r>
      <w:r w:rsidR="00871B69">
        <w:rPr>
          <w:rFonts w:cstheme="minorHAnsi"/>
          <w:sz w:val="24"/>
          <w:szCs w:val="24"/>
          <w:lang w:val="el-GR"/>
        </w:rPr>
        <w:t>μια ο</w:t>
      </w:r>
      <w:r w:rsidR="00194321">
        <w:rPr>
          <w:rFonts w:cstheme="minorHAnsi"/>
          <w:sz w:val="24"/>
          <w:szCs w:val="24"/>
          <w:lang w:val="el-GR"/>
        </w:rPr>
        <w:t>υ</w:t>
      </w:r>
      <w:r w:rsidR="00871B69">
        <w:rPr>
          <w:rFonts w:cstheme="minorHAnsi"/>
          <w:sz w:val="24"/>
          <w:szCs w:val="24"/>
          <w:lang w:val="el-GR"/>
        </w:rPr>
        <w:t>σιαστική διαφοροποίηση περιουσίας</w:t>
      </w:r>
      <w:r w:rsidR="00A5147D" w:rsidRPr="00871B69">
        <w:rPr>
          <w:rFonts w:cstheme="minorHAnsi"/>
          <w:sz w:val="24"/>
          <w:szCs w:val="24"/>
          <w:lang w:val="el-GR"/>
        </w:rPr>
        <w:t>.</w:t>
      </w:r>
      <w:r w:rsidR="009B1F11" w:rsidRPr="00871B69">
        <w:rPr>
          <w:rFonts w:cstheme="minorHAnsi"/>
          <w:sz w:val="24"/>
          <w:szCs w:val="24"/>
          <w:lang w:val="el-GR"/>
        </w:rPr>
        <w:t xml:space="preserve"> </w:t>
      </w:r>
      <w:r w:rsidR="00871B69">
        <w:rPr>
          <w:rFonts w:cstheme="minorHAnsi"/>
          <w:sz w:val="24"/>
          <w:szCs w:val="24"/>
          <w:lang w:val="el-GR"/>
        </w:rPr>
        <w:t>Η</w:t>
      </w:r>
      <w:r w:rsidR="00871B69" w:rsidRPr="00871B69">
        <w:rPr>
          <w:rFonts w:cstheme="minorHAnsi"/>
          <w:sz w:val="24"/>
          <w:szCs w:val="24"/>
          <w:lang w:val="el-GR"/>
        </w:rPr>
        <w:t xml:space="preserve"> </w:t>
      </w:r>
      <w:r w:rsidR="00871B69">
        <w:rPr>
          <w:rFonts w:cstheme="minorHAnsi"/>
          <w:sz w:val="24"/>
          <w:szCs w:val="24"/>
          <w:lang w:val="el-GR"/>
        </w:rPr>
        <w:t>πιο</w:t>
      </w:r>
      <w:r w:rsidR="00871B69" w:rsidRPr="00871B69">
        <w:rPr>
          <w:rFonts w:cstheme="minorHAnsi"/>
          <w:sz w:val="24"/>
          <w:szCs w:val="24"/>
          <w:lang w:val="el-GR"/>
        </w:rPr>
        <w:t xml:space="preserve"> </w:t>
      </w:r>
      <w:r w:rsidR="00871B69">
        <w:rPr>
          <w:rFonts w:cstheme="minorHAnsi"/>
          <w:sz w:val="24"/>
          <w:szCs w:val="24"/>
          <w:lang w:val="el-GR"/>
        </w:rPr>
        <w:t>συχνή</w:t>
      </w:r>
      <w:r w:rsidR="00871B69" w:rsidRPr="00871B69">
        <w:rPr>
          <w:rFonts w:cstheme="minorHAnsi"/>
          <w:sz w:val="24"/>
          <w:szCs w:val="24"/>
          <w:lang w:val="el-GR"/>
        </w:rPr>
        <w:t xml:space="preserve"> </w:t>
      </w:r>
      <w:r w:rsidR="00871B69">
        <w:rPr>
          <w:rFonts w:cstheme="minorHAnsi"/>
          <w:sz w:val="24"/>
          <w:szCs w:val="24"/>
          <w:lang w:val="el-GR"/>
        </w:rPr>
        <w:t>αναφορά</w:t>
      </w:r>
      <w:r w:rsidR="009B1F11" w:rsidRPr="00871B69">
        <w:rPr>
          <w:rFonts w:cstheme="minorHAnsi"/>
          <w:sz w:val="24"/>
          <w:szCs w:val="24"/>
          <w:lang w:val="el-GR"/>
        </w:rPr>
        <w:t xml:space="preserve">, </w:t>
      </w:r>
      <w:r w:rsidR="003E77A2">
        <w:rPr>
          <w:rFonts w:cstheme="minorHAnsi"/>
          <w:sz w:val="24"/>
          <w:szCs w:val="24"/>
          <w:lang w:val="el-GR"/>
        </w:rPr>
        <w:t xml:space="preserve">για παράδειγμα </w:t>
      </w:r>
      <w:r w:rsidR="00871B69">
        <w:rPr>
          <w:rFonts w:cstheme="minorHAnsi"/>
          <w:sz w:val="24"/>
          <w:szCs w:val="24"/>
          <w:lang w:val="el-GR"/>
        </w:rPr>
        <w:t>σε</w:t>
      </w:r>
      <w:r w:rsidR="00871B69" w:rsidRPr="00871B69">
        <w:rPr>
          <w:rFonts w:cstheme="minorHAnsi"/>
          <w:sz w:val="24"/>
          <w:szCs w:val="24"/>
          <w:lang w:val="el-GR"/>
        </w:rPr>
        <w:t xml:space="preserve"> </w:t>
      </w:r>
      <w:r w:rsidR="00871B69">
        <w:rPr>
          <w:rFonts w:cstheme="minorHAnsi"/>
          <w:sz w:val="24"/>
          <w:szCs w:val="24"/>
          <w:lang w:val="el-GR"/>
        </w:rPr>
        <w:t>ετήσια</w:t>
      </w:r>
      <w:r w:rsidR="00871B69" w:rsidRPr="00871B69">
        <w:rPr>
          <w:rFonts w:cstheme="minorHAnsi"/>
          <w:sz w:val="24"/>
          <w:szCs w:val="24"/>
          <w:lang w:val="el-GR"/>
        </w:rPr>
        <w:t xml:space="preserve"> </w:t>
      </w:r>
      <w:r w:rsidR="00871B69">
        <w:rPr>
          <w:rFonts w:cstheme="minorHAnsi"/>
          <w:sz w:val="24"/>
          <w:szCs w:val="24"/>
          <w:lang w:val="el-GR"/>
        </w:rPr>
        <w:t>βάση</w:t>
      </w:r>
      <w:r w:rsidR="009B1F11" w:rsidRPr="00871B69">
        <w:rPr>
          <w:rFonts w:cstheme="minorHAnsi"/>
          <w:sz w:val="24"/>
          <w:szCs w:val="24"/>
          <w:lang w:val="el-GR"/>
        </w:rPr>
        <w:t xml:space="preserve"> </w:t>
      </w:r>
      <w:r w:rsidR="00871B69">
        <w:rPr>
          <w:rFonts w:cstheme="minorHAnsi"/>
          <w:sz w:val="24"/>
          <w:szCs w:val="24"/>
          <w:lang w:val="el-GR"/>
        </w:rPr>
        <w:t>ή</w:t>
      </w:r>
      <w:r w:rsidR="00871B69" w:rsidRPr="00871B69">
        <w:rPr>
          <w:rFonts w:cstheme="minorHAnsi"/>
          <w:sz w:val="24"/>
          <w:szCs w:val="24"/>
          <w:lang w:val="el-GR"/>
        </w:rPr>
        <w:t xml:space="preserve"> </w:t>
      </w:r>
      <w:r w:rsidR="00871B69">
        <w:rPr>
          <w:rFonts w:cstheme="minorHAnsi"/>
          <w:sz w:val="24"/>
          <w:szCs w:val="24"/>
          <w:lang w:val="el-GR"/>
        </w:rPr>
        <w:t>όταν</w:t>
      </w:r>
      <w:r w:rsidR="00871B69" w:rsidRPr="00871B69">
        <w:rPr>
          <w:rFonts w:cstheme="minorHAnsi"/>
          <w:sz w:val="24"/>
          <w:szCs w:val="24"/>
          <w:lang w:val="el-GR"/>
        </w:rPr>
        <w:t xml:space="preserve"> </w:t>
      </w:r>
      <w:r w:rsidR="003E77A2">
        <w:rPr>
          <w:rFonts w:cstheme="minorHAnsi"/>
          <w:sz w:val="24"/>
          <w:szCs w:val="24"/>
          <w:lang w:val="el-GR"/>
        </w:rPr>
        <w:t xml:space="preserve">συμβαίνουν </w:t>
      </w:r>
      <w:r w:rsidR="00871B69">
        <w:rPr>
          <w:rFonts w:cstheme="minorHAnsi"/>
          <w:sz w:val="24"/>
          <w:szCs w:val="24"/>
          <w:lang w:val="el-GR"/>
        </w:rPr>
        <w:t>ουσιαστικές</w:t>
      </w:r>
      <w:r w:rsidR="00871B69" w:rsidRPr="00871B69">
        <w:rPr>
          <w:rFonts w:cstheme="minorHAnsi"/>
          <w:sz w:val="24"/>
          <w:szCs w:val="24"/>
          <w:lang w:val="el-GR"/>
        </w:rPr>
        <w:t xml:space="preserve"> </w:t>
      </w:r>
      <w:r w:rsidR="00871B69">
        <w:rPr>
          <w:rFonts w:cstheme="minorHAnsi"/>
          <w:sz w:val="24"/>
          <w:szCs w:val="24"/>
          <w:lang w:val="el-GR"/>
        </w:rPr>
        <w:t>αλλαγές</w:t>
      </w:r>
      <w:r w:rsidR="00871B69" w:rsidRPr="00871B69">
        <w:rPr>
          <w:rFonts w:cstheme="minorHAnsi"/>
          <w:sz w:val="24"/>
          <w:szCs w:val="24"/>
          <w:lang w:val="el-GR"/>
        </w:rPr>
        <w:t xml:space="preserve"> </w:t>
      </w:r>
      <w:r w:rsidR="00871B69">
        <w:rPr>
          <w:rFonts w:cstheme="minorHAnsi"/>
          <w:sz w:val="24"/>
          <w:szCs w:val="24"/>
          <w:lang w:val="el-GR"/>
        </w:rPr>
        <w:t>σ</w:t>
      </w:r>
      <w:r w:rsidR="003E77A2">
        <w:rPr>
          <w:rFonts w:cstheme="minorHAnsi"/>
          <w:sz w:val="24"/>
          <w:szCs w:val="24"/>
          <w:lang w:val="el-GR"/>
        </w:rPr>
        <w:t>τα</w:t>
      </w:r>
      <w:r w:rsidR="00871B69" w:rsidRPr="00871B69">
        <w:rPr>
          <w:rFonts w:cstheme="minorHAnsi"/>
          <w:sz w:val="24"/>
          <w:szCs w:val="24"/>
          <w:lang w:val="el-GR"/>
        </w:rPr>
        <w:t xml:space="preserve"> </w:t>
      </w:r>
      <w:r w:rsidR="00871B69">
        <w:rPr>
          <w:rFonts w:cstheme="minorHAnsi"/>
          <w:sz w:val="24"/>
          <w:szCs w:val="24"/>
          <w:lang w:val="el-GR"/>
        </w:rPr>
        <w:t>περιουσιακά</w:t>
      </w:r>
      <w:r w:rsidR="00871B69" w:rsidRPr="00871B69">
        <w:rPr>
          <w:rFonts w:cstheme="minorHAnsi"/>
          <w:sz w:val="24"/>
          <w:szCs w:val="24"/>
          <w:lang w:val="el-GR"/>
        </w:rPr>
        <w:t xml:space="preserve"> </w:t>
      </w:r>
      <w:r w:rsidR="00871B69">
        <w:rPr>
          <w:rFonts w:cstheme="minorHAnsi"/>
          <w:sz w:val="24"/>
          <w:szCs w:val="24"/>
          <w:lang w:val="el-GR"/>
        </w:rPr>
        <w:t>στοιχεία και συμφέροντα</w:t>
      </w:r>
      <w:r w:rsidR="00FC633E" w:rsidRPr="00871B69">
        <w:rPr>
          <w:rFonts w:cstheme="minorHAnsi"/>
          <w:sz w:val="24"/>
          <w:szCs w:val="24"/>
          <w:lang w:val="el-GR"/>
        </w:rPr>
        <w:t>,</w:t>
      </w:r>
      <w:r w:rsidR="009B1F11" w:rsidRPr="00871B69">
        <w:rPr>
          <w:rFonts w:cstheme="minorHAnsi"/>
          <w:sz w:val="24"/>
          <w:szCs w:val="24"/>
          <w:lang w:val="el-GR"/>
        </w:rPr>
        <w:t xml:space="preserve"> </w:t>
      </w:r>
      <w:r w:rsidR="00871B69">
        <w:rPr>
          <w:rFonts w:cstheme="minorHAnsi"/>
          <w:sz w:val="24"/>
          <w:szCs w:val="24"/>
          <w:lang w:val="el-GR"/>
        </w:rPr>
        <w:t>θα έκαναν το σύστημα δήλωσης πιο αποτελεσματικό και αιτιολογημένο</w:t>
      </w:r>
      <w:r w:rsidR="009B1F11" w:rsidRPr="00871B69">
        <w:rPr>
          <w:rFonts w:cstheme="minorHAnsi"/>
          <w:sz w:val="24"/>
          <w:szCs w:val="24"/>
          <w:lang w:val="el-GR"/>
        </w:rPr>
        <w:t xml:space="preserve">. </w:t>
      </w:r>
      <w:bookmarkStart w:id="149" w:name="_Hlk134003966"/>
      <w:r w:rsidR="00871B69">
        <w:rPr>
          <w:rFonts w:cstheme="minorHAnsi"/>
          <w:sz w:val="24"/>
          <w:szCs w:val="24"/>
          <w:lang w:val="el-GR"/>
        </w:rPr>
        <w:t>Η</w:t>
      </w:r>
      <w:r w:rsidR="00BE416A" w:rsidRPr="00871B69">
        <w:rPr>
          <w:rFonts w:cstheme="minorHAnsi"/>
          <w:sz w:val="24"/>
          <w:szCs w:val="24"/>
          <w:lang w:val="el-GR"/>
        </w:rPr>
        <w:t xml:space="preserve"> </w:t>
      </w:r>
      <w:r w:rsidR="00BE416A" w:rsidRPr="000538B6">
        <w:rPr>
          <w:rFonts w:cstheme="minorHAnsi"/>
          <w:sz w:val="24"/>
          <w:szCs w:val="24"/>
        </w:rPr>
        <w:t>GET</w:t>
      </w:r>
      <w:r w:rsidR="00BE416A" w:rsidRPr="00871B69">
        <w:rPr>
          <w:rFonts w:cstheme="minorHAnsi"/>
          <w:sz w:val="24"/>
          <w:szCs w:val="24"/>
          <w:lang w:val="el-GR"/>
        </w:rPr>
        <w:t xml:space="preserve"> </w:t>
      </w:r>
      <w:r w:rsidR="00871B69">
        <w:rPr>
          <w:rFonts w:cstheme="minorHAnsi"/>
          <w:sz w:val="24"/>
          <w:szCs w:val="24"/>
          <w:lang w:val="el-GR"/>
        </w:rPr>
        <w:t>κατανοεί</w:t>
      </w:r>
      <w:r w:rsidR="00871B69" w:rsidRPr="00871B69">
        <w:rPr>
          <w:rFonts w:cstheme="minorHAnsi"/>
          <w:sz w:val="24"/>
          <w:szCs w:val="24"/>
          <w:lang w:val="el-GR"/>
        </w:rPr>
        <w:t xml:space="preserve"> </w:t>
      </w:r>
      <w:r w:rsidR="00871B69">
        <w:rPr>
          <w:rFonts w:cstheme="minorHAnsi"/>
          <w:sz w:val="24"/>
          <w:szCs w:val="24"/>
          <w:lang w:val="el-GR"/>
        </w:rPr>
        <w:t>ότι</w:t>
      </w:r>
      <w:r w:rsidR="00871B69" w:rsidRPr="00871B69">
        <w:rPr>
          <w:rFonts w:cstheme="minorHAnsi"/>
          <w:sz w:val="24"/>
          <w:szCs w:val="24"/>
          <w:lang w:val="el-GR"/>
        </w:rPr>
        <w:t xml:space="preserve"> </w:t>
      </w:r>
      <w:r w:rsidR="00871B69">
        <w:rPr>
          <w:rFonts w:cstheme="minorHAnsi"/>
          <w:sz w:val="24"/>
          <w:szCs w:val="24"/>
          <w:lang w:val="el-GR"/>
        </w:rPr>
        <w:t>υπάρχει</w:t>
      </w:r>
      <w:r w:rsidR="00871B69" w:rsidRPr="00871B69">
        <w:rPr>
          <w:rFonts w:cstheme="minorHAnsi"/>
          <w:sz w:val="24"/>
          <w:szCs w:val="24"/>
          <w:lang w:val="el-GR"/>
        </w:rPr>
        <w:t xml:space="preserve"> </w:t>
      </w:r>
      <w:r w:rsidR="00871B69">
        <w:rPr>
          <w:rFonts w:cstheme="minorHAnsi"/>
          <w:sz w:val="24"/>
          <w:szCs w:val="24"/>
          <w:lang w:val="el-GR"/>
        </w:rPr>
        <w:t>μια</w:t>
      </w:r>
      <w:r w:rsidR="00871B69" w:rsidRPr="00871B69">
        <w:rPr>
          <w:rFonts w:cstheme="minorHAnsi"/>
          <w:sz w:val="24"/>
          <w:szCs w:val="24"/>
          <w:lang w:val="el-GR"/>
        </w:rPr>
        <w:t xml:space="preserve"> </w:t>
      </w:r>
      <w:r w:rsidR="00871B69">
        <w:rPr>
          <w:rFonts w:cstheme="minorHAnsi"/>
          <w:sz w:val="24"/>
          <w:szCs w:val="24"/>
          <w:lang w:val="el-GR"/>
        </w:rPr>
        <w:t>συζήτηση</w:t>
      </w:r>
      <w:r w:rsidR="00871B69" w:rsidRPr="00871B69">
        <w:rPr>
          <w:rFonts w:cstheme="minorHAnsi"/>
          <w:sz w:val="24"/>
          <w:szCs w:val="24"/>
          <w:lang w:val="el-GR"/>
        </w:rPr>
        <w:t xml:space="preserve"> </w:t>
      </w:r>
      <w:r w:rsidR="00871B69">
        <w:rPr>
          <w:rFonts w:cstheme="minorHAnsi"/>
          <w:sz w:val="24"/>
          <w:szCs w:val="24"/>
          <w:lang w:val="el-GR"/>
        </w:rPr>
        <w:t>εν</w:t>
      </w:r>
      <w:r w:rsidR="00871B69" w:rsidRPr="00871B69">
        <w:rPr>
          <w:rFonts w:cstheme="minorHAnsi"/>
          <w:sz w:val="24"/>
          <w:szCs w:val="24"/>
          <w:lang w:val="el-GR"/>
        </w:rPr>
        <w:t xml:space="preserve"> </w:t>
      </w:r>
      <w:r w:rsidR="00871B69">
        <w:rPr>
          <w:rFonts w:cstheme="minorHAnsi"/>
          <w:sz w:val="24"/>
          <w:szCs w:val="24"/>
          <w:lang w:val="el-GR"/>
        </w:rPr>
        <w:t>εξελίξει</w:t>
      </w:r>
      <w:r w:rsidR="00BE416A" w:rsidRPr="00871B69">
        <w:rPr>
          <w:rFonts w:cstheme="minorHAnsi"/>
          <w:sz w:val="24"/>
          <w:szCs w:val="24"/>
          <w:lang w:val="el-GR"/>
        </w:rPr>
        <w:t xml:space="preserve"> (</w:t>
      </w:r>
      <w:r w:rsidR="00871B69">
        <w:rPr>
          <w:rFonts w:cstheme="minorHAnsi"/>
          <w:sz w:val="24"/>
          <w:szCs w:val="24"/>
          <w:lang w:val="el-GR"/>
        </w:rPr>
        <w:t>με</w:t>
      </w:r>
      <w:r w:rsidR="00871B69" w:rsidRPr="00871B69">
        <w:rPr>
          <w:rFonts w:cstheme="minorHAnsi"/>
          <w:sz w:val="24"/>
          <w:szCs w:val="24"/>
          <w:lang w:val="el-GR"/>
        </w:rPr>
        <w:t xml:space="preserve"> </w:t>
      </w:r>
      <w:r w:rsidR="00871B69">
        <w:rPr>
          <w:rFonts w:cstheme="minorHAnsi"/>
          <w:sz w:val="24"/>
          <w:szCs w:val="24"/>
          <w:lang w:val="el-GR"/>
        </w:rPr>
        <w:t>μερικά</w:t>
      </w:r>
      <w:r w:rsidR="00871B69" w:rsidRPr="00871B69">
        <w:rPr>
          <w:rFonts w:cstheme="minorHAnsi"/>
          <w:sz w:val="24"/>
          <w:szCs w:val="24"/>
          <w:lang w:val="el-GR"/>
        </w:rPr>
        <w:t xml:space="preserve"> </w:t>
      </w:r>
      <w:r w:rsidR="00871B69">
        <w:rPr>
          <w:rFonts w:cstheme="minorHAnsi"/>
          <w:sz w:val="24"/>
          <w:szCs w:val="24"/>
          <w:lang w:val="el-GR"/>
        </w:rPr>
        <w:t>αρχικά</w:t>
      </w:r>
      <w:r w:rsidR="00871B69" w:rsidRPr="00871B69">
        <w:rPr>
          <w:rFonts w:cstheme="minorHAnsi"/>
          <w:sz w:val="24"/>
          <w:szCs w:val="24"/>
          <w:lang w:val="el-GR"/>
        </w:rPr>
        <w:t xml:space="preserve"> </w:t>
      </w:r>
      <w:r w:rsidR="00871B69">
        <w:rPr>
          <w:rFonts w:cstheme="minorHAnsi"/>
          <w:sz w:val="24"/>
          <w:szCs w:val="24"/>
          <w:lang w:val="el-GR"/>
        </w:rPr>
        <w:t>βήματα</w:t>
      </w:r>
      <w:r w:rsidR="003E77A2" w:rsidRPr="002B7C4B">
        <w:rPr>
          <w:rFonts w:cstheme="minorHAnsi"/>
          <w:sz w:val="24"/>
          <w:szCs w:val="24"/>
          <w:lang w:val="el-GR"/>
        </w:rPr>
        <w:t xml:space="preserve"> </w:t>
      </w:r>
      <w:r w:rsidR="003E77A2">
        <w:rPr>
          <w:rFonts w:cstheme="minorHAnsi"/>
          <w:sz w:val="24"/>
          <w:szCs w:val="24"/>
          <w:lang w:val="el-GR"/>
        </w:rPr>
        <w:t>υπό προετοιμασία</w:t>
      </w:r>
      <w:r w:rsidR="00BE416A" w:rsidRPr="00871B69">
        <w:rPr>
          <w:rFonts w:cstheme="minorHAnsi"/>
          <w:sz w:val="24"/>
          <w:szCs w:val="24"/>
          <w:lang w:val="el-GR"/>
        </w:rPr>
        <w:t xml:space="preserve">, </w:t>
      </w:r>
      <w:r w:rsidR="00871B69">
        <w:rPr>
          <w:rFonts w:cstheme="minorHAnsi"/>
          <w:sz w:val="24"/>
          <w:szCs w:val="24"/>
          <w:lang w:val="el-GR"/>
        </w:rPr>
        <w:t>βλέπε παράγραφο</w:t>
      </w:r>
      <w:r w:rsidR="00BE416A" w:rsidRPr="00871B69">
        <w:rPr>
          <w:rFonts w:cstheme="minorHAnsi"/>
          <w:sz w:val="24"/>
          <w:szCs w:val="24"/>
          <w:lang w:val="el-GR"/>
        </w:rPr>
        <w:t xml:space="preserve"> 127) </w:t>
      </w:r>
      <w:r w:rsidR="00871B69">
        <w:rPr>
          <w:rFonts w:cstheme="minorHAnsi"/>
          <w:sz w:val="24"/>
          <w:szCs w:val="24"/>
          <w:lang w:val="el-GR"/>
        </w:rPr>
        <w:t>για τον τρόπο αντιμετώπισης ορισμένων από αυτές τ</w:t>
      </w:r>
      <w:r w:rsidR="00194321">
        <w:rPr>
          <w:rFonts w:cstheme="minorHAnsi"/>
          <w:sz w:val="24"/>
          <w:szCs w:val="24"/>
          <w:lang w:val="el-GR"/>
        </w:rPr>
        <w:t>ι</w:t>
      </w:r>
      <w:r w:rsidR="00871B69">
        <w:rPr>
          <w:rFonts w:cstheme="minorHAnsi"/>
          <w:sz w:val="24"/>
          <w:szCs w:val="24"/>
          <w:lang w:val="el-GR"/>
        </w:rPr>
        <w:t>ς ελλείψεις</w:t>
      </w:r>
      <w:r w:rsidR="00BE416A" w:rsidRPr="00871B69">
        <w:rPr>
          <w:rFonts w:cstheme="minorHAnsi"/>
          <w:sz w:val="24"/>
          <w:szCs w:val="24"/>
          <w:lang w:val="el-GR"/>
        </w:rPr>
        <w:t xml:space="preserve">. </w:t>
      </w:r>
      <w:bookmarkEnd w:id="149"/>
    </w:p>
    <w:p w14:paraId="2A85468C" w14:textId="77777777" w:rsidR="00FA26E7" w:rsidRPr="00871B69" w:rsidRDefault="00FA26E7" w:rsidP="00FA26E7">
      <w:pPr>
        <w:pStyle w:val="ListParagraph"/>
        <w:rPr>
          <w:rFonts w:cstheme="minorHAnsi"/>
          <w:sz w:val="24"/>
          <w:szCs w:val="24"/>
          <w:lang w:val="el-GR"/>
        </w:rPr>
      </w:pPr>
    </w:p>
    <w:p w14:paraId="39A3C434" w14:textId="6A052490" w:rsidR="00A5147D" w:rsidRPr="00C93751" w:rsidRDefault="002B3173" w:rsidP="00994096">
      <w:pPr>
        <w:numPr>
          <w:ilvl w:val="0"/>
          <w:numId w:val="1"/>
        </w:numPr>
        <w:tabs>
          <w:tab w:val="clear" w:pos="6095"/>
          <w:tab w:val="left" w:pos="709"/>
        </w:tabs>
        <w:ind w:left="0" w:firstLine="0"/>
        <w:rPr>
          <w:rFonts w:cstheme="minorHAnsi"/>
          <w:iCs/>
          <w:sz w:val="24"/>
          <w:szCs w:val="24"/>
          <w:lang w:val="el-GR"/>
        </w:rPr>
      </w:pPr>
      <w:r>
        <w:rPr>
          <w:rFonts w:cstheme="minorHAnsi"/>
          <w:sz w:val="24"/>
          <w:szCs w:val="24"/>
          <w:lang w:val="el-GR"/>
        </w:rPr>
        <w:t>Τέλος</w:t>
      </w:r>
      <w:r w:rsidR="00A5147D" w:rsidRPr="002B3173">
        <w:rPr>
          <w:rFonts w:cstheme="minorHAnsi"/>
          <w:sz w:val="24"/>
          <w:szCs w:val="24"/>
          <w:lang w:val="el-GR"/>
        </w:rPr>
        <w:t xml:space="preserve">, </w:t>
      </w:r>
      <w:r>
        <w:rPr>
          <w:rFonts w:cstheme="minorHAnsi"/>
          <w:sz w:val="24"/>
          <w:szCs w:val="24"/>
          <w:lang w:val="el-GR"/>
        </w:rPr>
        <w:t>οι</w:t>
      </w:r>
      <w:r w:rsidRPr="002B3173">
        <w:rPr>
          <w:rFonts w:cstheme="minorHAnsi"/>
          <w:sz w:val="24"/>
          <w:szCs w:val="24"/>
          <w:lang w:val="el-GR"/>
        </w:rPr>
        <w:t xml:space="preserve"> </w:t>
      </w:r>
      <w:r>
        <w:rPr>
          <w:rFonts w:cstheme="minorHAnsi"/>
          <w:sz w:val="24"/>
          <w:szCs w:val="24"/>
          <w:lang w:val="el-GR"/>
        </w:rPr>
        <w:t>απαιτήσεις</w:t>
      </w:r>
      <w:r w:rsidRPr="002B3173">
        <w:rPr>
          <w:rFonts w:cstheme="minorHAnsi"/>
          <w:sz w:val="24"/>
          <w:szCs w:val="24"/>
          <w:lang w:val="el-GR"/>
        </w:rPr>
        <w:t xml:space="preserve"> </w:t>
      </w:r>
      <w:r>
        <w:rPr>
          <w:rFonts w:cstheme="minorHAnsi"/>
          <w:sz w:val="24"/>
          <w:szCs w:val="24"/>
          <w:lang w:val="el-GR"/>
        </w:rPr>
        <w:t>για</w:t>
      </w:r>
      <w:r w:rsidRPr="002B3173">
        <w:rPr>
          <w:rFonts w:cstheme="minorHAnsi"/>
          <w:sz w:val="24"/>
          <w:szCs w:val="24"/>
          <w:lang w:val="el-GR"/>
        </w:rPr>
        <w:t xml:space="preserve"> </w:t>
      </w:r>
      <w:r>
        <w:rPr>
          <w:rFonts w:cstheme="minorHAnsi"/>
          <w:sz w:val="24"/>
          <w:szCs w:val="24"/>
          <w:lang w:val="el-GR"/>
        </w:rPr>
        <w:t>οικονομική</w:t>
      </w:r>
      <w:r w:rsidRPr="002B3173">
        <w:rPr>
          <w:rFonts w:cstheme="minorHAnsi"/>
          <w:sz w:val="24"/>
          <w:szCs w:val="24"/>
          <w:lang w:val="el-GR"/>
        </w:rPr>
        <w:t xml:space="preserve"> </w:t>
      </w:r>
      <w:r>
        <w:rPr>
          <w:rFonts w:cstheme="minorHAnsi"/>
          <w:sz w:val="24"/>
          <w:szCs w:val="24"/>
          <w:lang w:val="el-GR"/>
        </w:rPr>
        <w:t>δήλωση</w:t>
      </w:r>
      <w:r w:rsidRPr="002B3173">
        <w:rPr>
          <w:rFonts w:cstheme="minorHAnsi"/>
          <w:sz w:val="24"/>
          <w:szCs w:val="24"/>
          <w:lang w:val="el-GR"/>
        </w:rPr>
        <w:t xml:space="preserve"> </w:t>
      </w:r>
      <w:r>
        <w:rPr>
          <w:rFonts w:cstheme="minorHAnsi"/>
          <w:sz w:val="24"/>
          <w:szCs w:val="24"/>
          <w:lang w:val="el-GR"/>
        </w:rPr>
        <w:t>δεν</w:t>
      </w:r>
      <w:r w:rsidRPr="002B3173">
        <w:rPr>
          <w:rFonts w:cstheme="minorHAnsi"/>
          <w:sz w:val="24"/>
          <w:szCs w:val="24"/>
          <w:lang w:val="el-GR"/>
        </w:rPr>
        <w:t xml:space="preserve"> </w:t>
      </w:r>
      <w:r>
        <w:rPr>
          <w:rFonts w:cstheme="minorHAnsi"/>
          <w:sz w:val="24"/>
          <w:szCs w:val="24"/>
          <w:lang w:val="el-GR"/>
        </w:rPr>
        <w:t>ισχύουν</w:t>
      </w:r>
      <w:r w:rsidRPr="002B3173">
        <w:rPr>
          <w:rFonts w:cstheme="minorHAnsi"/>
          <w:sz w:val="24"/>
          <w:szCs w:val="24"/>
          <w:lang w:val="el-GR"/>
        </w:rPr>
        <w:t xml:space="preserve"> </w:t>
      </w:r>
      <w:r>
        <w:rPr>
          <w:rFonts w:cstheme="minorHAnsi"/>
          <w:sz w:val="24"/>
          <w:szCs w:val="24"/>
          <w:lang w:val="el-GR"/>
        </w:rPr>
        <w:t>για</w:t>
      </w:r>
      <w:r w:rsidRPr="002B3173">
        <w:rPr>
          <w:rFonts w:cstheme="minorHAnsi"/>
          <w:sz w:val="24"/>
          <w:szCs w:val="24"/>
          <w:lang w:val="el-GR"/>
        </w:rPr>
        <w:t xml:space="preserve"> </w:t>
      </w:r>
      <w:r>
        <w:rPr>
          <w:rFonts w:cstheme="minorHAnsi"/>
          <w:sz w:val="24"/>
          <w:szCs w:val="24"/>
          <w:lang w:val="el-GR"/>
        </w:rPr>
        <w:t>όλες</w:t>
      </w:r>
      <w:r w:rsidRPr="002B3173">
        <w:rPr>
          <w:rFonts w:cstheme="minorHAnsi"/>
          <w:sz w:val="24"/>
          <w:szCs w:val="24"/>
          <w:lang w:val="el-GR"/>
        </w:rPr>
        <w:t xml:space="preserve"> </w:t>
      </w:r>
      <w:r>
        <w:rPr>
          <w:rFonts w:cstheme="minorHAnsi"/>
          <w:sz w:val="24"/>
          <w:szCs w:val="24"/>
          <w:lang w:val="el-GR"/>
        </w:rPr>
        <w:t>τις</w:t>
      </w:r>
      <w:r w:rsidRPr="002B3173">
        <w:rPr>
          <w:rFonts w:cstheme="minorHAnsi"/>
          <w:sz w:val="24"/>
          <w:szCs w:val="24"/>
          <w:lang w:val="el-GR"/>
        </w:rPr>
        <w:t xml:space="preserve"> </w:t>
      </w:r>
      <w:r>
        <w:rPr>
          <w:rFonts w:cstheme="minorHAnsi"/>
          <w:sz w:val="24"/>
          <w:szCs w:val="24"/>
          <w:lang w:val="el-GR"/>
        </w:rPr>
        <w:t>κατηγορίες</w:t>
      </w:r>
      <w:r w:rsidRPr="002B3173">
        <w:rPr>
          <w:rFonts w:cstheme="minorHAnsi"/>
          <w:sz w:val="24"/>
          <w:szCs w:val="24"/>
          <w:lang w:val="el-GR"/>
        </w:rPr>
        <w:t xml:space="preserve"> </w:t>
      </w:r>
      <w:r>
        <w:rPr>
          <w:rFonts w:cstheme="minorHAnsi"/>
          <w:sz w:val="24"/>
          <w:szCs w:val="24"/>
          <w:lang w:val="el-GR"/>
        </w:rPr>
        <w:t>των</w:t>
      </w:r>
      <w:r w:rsidRPr="002B3173">
        <w:rPr>
          <w:rFonts w:cstheme="minorHAnsi"/>
          <w:sz w:val="24"/>
          <w:szCs w:val="24"/>
          <w:lang w:val="el-GR"/>
        </w:rPr>
        <w:t xml:space="preserve"> </w:t>
      </w:r>
      <w:r w:rsidR="003E77A2">
        <w:rPr>
          <w:rFonts w:cstheme="minorHAnsi"/>
          <w:sz w:val="24"/>
          <w:szCs w:val="24"/>
          <w:lang w:val="en-US"/>
        </w:rPr>
        <w:t>PTEFs</w:t>
      </w:r>
      <w:r w:rsidR="003E77A2" w:rsidRPr="002B7C4B">
        <w:rPr>
          <w:rFonts w:cstheme="minorHAnsi"/>
          <w:sz w:val="24"/>
          <w:szCs w:val="24"/>
          <w:lang w:val="el-GR"/>
        </w:rPr>
        <w:t xml:space="preserve"> </w:t>
      </w:r>
      <w:r>
        <w:rPr>
          <w:rFonts w:cstheme="minorHAnsi"/>
          <w:sz w:val="24"/>
          <w:szCs w:val="24"/>
          <w:lang w:val="el-GR"/>
        </w:rPr>
        <w:t>που</w:t>
      </w:r>
      <w:r w:rsidRPr="002B3173">
        <w:rPr>
          <w:rFonts w:cstheme="minorHAnsi"/>
          <w:sz w:val="24"/>
          <w:szCs w:val="24"/>
          <w:lang w:val="el-GR"/>
        </w:rPr>
        <w:t xml:space="preserve"> </w:t>
      </w:r>
      <w:r>
        <w:rPr>
          <w:rFonts w:cstheme="minorHAnsi"/>
          <w:sz w:val="24"/>
          <w:szCs w:val="24"/>
          <w:lang w:val="el-GR"/>
        </w:rPr>
        <w:t>καλύπτονται</w:t>
      </w:r>
      <w:r w:rsidRPr="002B3173">
        <w:rPr>
          <w:rFonts w:cstheme="minorHAnsi"/>
          <w:sz w:val="24"/>
          <w:szCs w:val="24"/>
          <w:lang w:val="el-GR"/>
        </w:rPr>
        <w:t xml:space="preserve"> </w:t>
      </w:r>
      <w:r>
        <w:rPr>
          <w:rFonts w:cstheme="minorHAnsi"/>
          <w:sz w:val="24"/>
          <w:szCs w:val="24"/>
          <w:lang w:val="el-GR"/>
        </w:rPr>
        <w:t>στην</w:t>
      </w:r>
      <w:r w:rsidRPr="002B3173">
        <w:rPr>
          <w:rFonts w:cstheme="minorHAnsi"/>
          <w:sz w:val="24"/>
          <w:szCs w:val="24"/>
          <w:lang w:val="el-GR"/>
        </w:rPr>
        <w:t xml:space="preserve"> </w:t>
      </w:r>
      <w:r>
        <w:rPr>
          <w:rFonts w:cstheme="minorHAnsi"/>
          <w:sz w:val="24"/>
          <w:szCs w:val="24"/>
          <w:lang w:val="el-GR"/>
        </w:rPr>
        <w:t>παρούσα</w:t>
      </w:r>
      <w:r w:rsidRPr="002B3173">
        <w:rPr>
          <w:rFonts w:cstheme="minorHAnsi"/>
          <w:sz w:val="24"/>
          <w:szCs w:val="24"/>
          <w:lang w:val="el-GR"/>
        </w:rPr>
        <w:t xml:space="preserve"> </w:t>
      </w:r>
      <w:r>
        <w:rPr>
          <w:rFonts w:cstheme="minorHAnsi"/>
          <w:sz w:val="24"/>
          <w:szCs w:val="24"/>
          <w:lang w:val="el-GR"/>
        </w:rPr>
        <w:t>έκθεση</w:t>
      </w:r>
      <w:r w:rsidR="00A5147D" w:rsidRPr="002B3173">
        <w:rPr>
          <w:rFonts w:cstheme="minorHAnsi"/>
          <w:sz w:val="24"/>
          <w:szCs w:val="24"/>
          <w:lang w:val="el-GR"/>
        </w:rPr>
        <w:t xml:space="preserve">, </w:t>
      </w:r>
      <w:r>
        <w:rPr>
          <w:rFonts w:cstheme="minorHAnsi"/>
          <w:sz w:val="24"/>
          <w:szCs w:val="24"/>
          <w:lang w:val="el-GR"/>
        </w:rPr>
        <w:t>παρά</w:t>
      </w:r>
      <w:r w:rsidRPr="002B3173">
        <w:rPr>
          <w:rFonts w:cstheme="minorHAnsi"/>
          <w:sz w:val="24"/>
          <w:szCs w:val="24"/>
          <w:lang w:val="el-GR"/>
        </w:rPr>
        <w:t xml:space="preserve"> </w:t>
      </w:r>
      <w:r>
        <w:rPr>
          <w:rFonts w:cstheme="minorHAnsi"/>
          <w:sz w:val="24"/>
          <w:szCs w:val="24"/>
          <w:lang w:val="el-GR"/>
        </w:rPr>
        <w:t>μόνο</w:t>
      </w:r>
      <w:r w:rsidRPr="002B3173">
        <w:rPr>
          <w:rFonts w:cstheme="minorHAnsi"/>
          <w:sz w:val="24"/>
          <w:szCs w:val="24"/>
          <w:lang w:val="el-GR"/>
        </w:rPr>
        <w:t xml:space="preserve"> </w:t>
      </w:r>
      <w:r w:rsidR="00A41B2E">
        <w:rPr>
          <w:rFonts w:cstheme="minorHAnsi"/>
          <w:sz w:val="24"/>
          <w:szCs w:val="24"/>
          <w:lang w:val="el-GR"/>
        </w:rPr>
        <w:t xml:space="preserve">για </w:t>
      </w:r>
      <w:r>
        <w:rPr>
          <w:rFonts w:cstheme="minorHAnsi"/>
          <w:sz w:val="24"/>
          <w:szCs w:val="24"/>
          <w:lang w:val="el-GR"/>
        </w:rPr>
        <w:t>τον</w:t>
      </w:r>
      <w:r w:rsidRPr="002B3173">
        <w:rPr>
          <w:rFonts w:cstheme="minorHAnsi"/>
          <w:sz w:val="24"/>
          <w:szCs w:val="24"/>
          <w:lang w:val="el-GR"/>
        </w:rPr>
        <w:t xml:space="preserve"> </w:t>
      </w:r>
      <w:r>
        <w:rPr>
          <w:rFonts w:cstheme="minorHAnsi"/>
          <w:sz w:val="24"/>
          <w:szCs w:val="24"/>
          <w:lang w:val="el-GR"/>
        </w:rPr>
        <w:t>Πρόεδρο</w:t>
      </w:r>
      <w:r w:rsidR="00A5147D" w:rsidRPr="002B3173">
        <w:rPr>
          <w:rFonts w:cstheme="minorHAnsi"/>
          <w:sz w:val="24"/>
          <w:szCs w:val="24"/>
          <w:lang w:val="el-GR"/>
        </w:rPr>
        <w:t xml:space="preserve">, </w:t>
      </w:r>
      <w:r>
        <w:rPr>
          <w:rFonts w:cstheme="minorHAnsi"/>
          <w:sz w:val="24"/>
          <w:szCs w:val="24"/>
          <w:lang w:val="el-GR"/>
        </w:rPr>
        <w:t>υπουργούς</w:t>
      </w:r>
      <w:r w:rsidR="00A5147D" w:rsidRPr="002B3173">
        <w:rPr>
          <w:rFonts w:cstheme="minorHAnsi"/>
          <w:sz w:val="24"/>
          <w:szCs w:val="24"/>
          <w:lang w:val="el-GR"/>
        </w:rPr>
        <w:t>/</w:t>
      </w:r>
      <w:r>
        <w:rPr>
          <w:rFonts w:cstheme="minorHAnsi"/>
          <w:sz w:val="24"/>
          <w:szCs w:val="24"/>
          <w:lang w:val="el-GR"/>
        </w:rPr>
        <w:t>υφυπουργούς</w:t>
      </w:r>
      <w:r w:rsidR="00A5147D" w:rsidRPr="002B3173">
        <w:rPr>
          <w:rFonts w:cstheme="minorHAnsi"/>
          <w:sz w:val="24"/>
          <w:szCs w:val="24"/>
          <w:lang w:val="el-GR"/>
        </w:rPr>
        <w:t xml:space="preserve"> (</w:t>
      </w:r>
      <w:r>
        <w:rPr>
          <w:rFonts w:cstheme="minorHAnsi"/>
          <w:sz w:val="24"/>
          <w:szCs w:val="24"/>
          <w:lang w:val="el-GR"/>
        </w:rPr>
        <w:t>Νόμος</w:t>
      </w:r>
      <w:r w:rsidR="00FC633E" w:rsidRPr="000538B6">
        <w:rPr>
          <w:rFonts w:cstheme="minorHAnsi"/>
          <w:sz w:val="24"/>
          <w:szCs w:val="24"/>
        </w:rPr>
        <w:t> </w:t>
      </w:r>
      <w:r w:rsidR="00A5147D" w:rsidRPr="002B3173">
        <w:rPr>
          <w:rFonts w:cstheme="minorHAnsi"/>
          <w:sz w:val="24"/>
          <w:szCs w:val="24"/>
          <w:lang w:val="el-GR"/>
        </w:rPr>
        <w:t>49(</w:t>
      </w:r>
      <w:r w:rsidR="00A5147D" w:rsidRPr="000538B6">
        <w:rPr>
          <w:rFonts w:cstheme="minorHAnsi"/>
          <w:sz w:val="24"/>
          <w:szCs w:val="24"/>
        </w:rPr>
        <w:t>I</w:t>
      </w:r>
      <w:r w:rsidR="00A5147D" w:rsidRPr="002B3173">
        <w:rPr>
          <w:rFonts w:cstheme="minorHAnsi"/>
          <w:sz w:val="24"/>
          <w:szCs w:val="24"/>
          <w:lang w:val="el-GR"/>
        </w:rPr>
        <w:t xml:space="preserve">)/2004), </w:t>
      </w:r>
      <w:r w:rsidR="007F4EDE">
        <w:rPr>
          <w:rFonts w:cstheme="minorHAnsi"/>
          <w:sz w:val="24"/>
          <w:szCs w:val="24"/>
          <w:lang w:val="el-GR"/>
        </w:rPr>
        <w:t>και τον κυβερνητικό εκπρόσωπο</w:t>
      </w:r>
      <w:r w:rsidR="00A5147D" w:rsidRPr="002B3173">
        <w:rPr>
          <w:rFonts w:cstheme="minorHAnsi"/>
          <w:sz w:val="24"/>
          <w:szCs w:val="24"/>
          <w:lang w:val="el-GR"/>
        </w:rPr>
        <w:t xml:space="preserve">, </w:t>
      </w:r>
      <w:r w:rsidR="007F4EDE">
        <w:rPr>
          <w:rFonts w:cstheme="minorHAnsi"/>
          <w:sz w:val="24"/>
          <w:szCs w:val="24"/>
          <w:lang w:val="el-GR"/>
        </w:rPr>
        <w:t>τον διευθυντή του Γραφείου του Προέδρου</w:t>
      </w:r>
      <w:r w:rsidR="00A5147D" w:rsidRPr="002B3173">
        <w:rPr>
          <w:rFonts w:cstheme="minorHAnsi"/>
          <w:sz w:val="24"/>
          <w:szCs w:val="24"/>
          <w:lang w:val="el-GR"/>
        </w:rPr>
        <w:t xml:space="preserve">, </w:t>
      </w:r>
      <w:r w:rsidR="007F4EDE">
        <w:rPr>
          <w:rFonts w:cstheme="minorHAnsi"/>
          <w:sz w:val="24"/>
          <w:szCs w:val="24"/>
          <w:lang w:val="el-GR"/>
        </w:rPr>
        <w:t>τους Επιτρόπους</w:t>
      </w:r>
      <w:r w:rsidR="00A5147D" w:rsidRPr="002B3173">
        <w:rPr>
          <w:rFonts w:cstheme="minorHAnsi"/>
          <w:sz w:val="24"/>
          <w:szCs w:val="24"/>
          <w:lang w:val="el-GR"/>
        </w:rPr>
        <w:t xml:space="preserve">, </w:t>
      </w:r>
      <w:r w:rsidR="007F4EDE">
        <w:rPr>
          <w:rFonts w:cstheme="minorHAnsi"/>
          <w:sz w:val="24"/>
          <w:szCs w:val="24"/>
          <w:lang w:val="el-GR"/>
        </w:rPr>
        <w:t>και τον Γραμματέα του Υπουργικού Συμβουλίου</w:t>
      </w:r>
      <w:r w:rsidR="00A5147D" w:rsidRPr="002B3173">
        <w:rPr>
          <w:rFonts w:cstheme="minorHAnsi"/>
          <w:sz w:val="24"/>
          <w:szCs w:val="24"/>
          <w:lang w:val="el-GR"/>
        </w:rPr>
        <w:t xml:space="preserve"> (</w:t>
      </w:r>
      <w:r w:rsidR="007F4EDE">
        <w:rPr>
          <w:rFonts w:cstheme="minorHAnsi"/>
          <w:sz w:val="24"/>
          <w:szCs w:val="24"/>
          <w:lang w:val="el-GR"/>
        </w:rPr>
        <w:t>Νόμος</w:t>
      </w:r>
      <w:r w:rsidR="00336DED" w:rsidRPr="000538B6">
        <w:rPr>
          <w:rFonts w:cstheme="minorHAnsi"/>
          <w:sz w:val="24"/>
          <w:szCs w:val="24"/>
        </w:rPr>
        <w:t> </w:t>
      </w:r>
      <w:r w:rsidR="00A5147D" w:rsidRPr="002B3173">
        <w:rPr>
          <w:rFonts w:cstheme="minorHAnsi"/>
          <w:sz w:val="24"/>
          <w:szCs w:val="24"/>
          <w:lang w:val="el-GR"/>
        </w:rPr>
        <w:t>50(</w:t>
      </w:r>
      <w:r w:rsidR="00A5147D" w:rsidRPr="000538B6">
        <w:rPr>
          <w:rFonts w:cstheme="minorHAnsi"/>
          <w:sz w:val="24"/>
          <w:szCs w:val="24"/>
        </w:rPr>
        <w:t>I</w:t>
      </w:r>
      <w:r w:rsidR="00A5147D" w:rsidRPr="002B3173">
        <w:rPr>
          <w:rFonts w:cstheme="minorHAnsi"/>
          <w:sz w:val="24"/>
          <w:szCs w:val="24"/>
          <w:lang w:val="el-GR"/>
        </w:rPr>
        <w:t xml:space="preserve">)/2004). </w:t>
      </w:r>
      <w:bookmarkStart w:id="150" w:name="_Hlk132871466"/>
      <w:bookmarkStart w:id="151" w:name="_Hlk132889460"/>
      <w:r w:rsidR="007F4EDE">
        <w:rPr>
          <w:rFonts w:cstheme="minorHAnsi"/>
          <w:sz w:val="24"/>
          <w:szCs w:val="24"/>
          <w:lang w:val="el-GR"/>
        </w:rPr>
        <w:t>Επομένως</w:t>
      </w:r>
      <w:r w:rsidR="00871376" w:rsidRPr="007F4EDE">
        <w:rPr>
          <w:rFonts w:cstheme="minorHAnsi"/>
          <w:sz w:val="24"/>
          <w:szCs w:val="24"/>
          <w:lang w:val="el-GR"/>
        </w:rPr>
        <w:t xml:space="preserve">, </w:t>
      </w:r>
      <w:r w:rsidR="00A41B2E">
        <w:rPr>
          <w:rFonts w:cstheme="minorHAnsi"/>
          <w:sz w:val="24"/>
          <w:szCs w:val="24"/>
          <w:lang w:val="el-GR"/>
        </w:rPr>
        <w:t>ο αναπληρωτής Κυβερνητικός εκπρόσωπος</w:t>
      </w:r>
      <w:r w:rsidR="00994096" w:rsidRPr="007F4EDE">
        <w:rPr>
          <w:rFonts w:cstheme="minorHAnsi"/>
          <w:sz w:val="24"/>
          <w:szCs w:val="24"/>
          <w:lang w:val="el-GR"/>
        </w:rPr>
        <w:t xml:space="preserve">, </w:t>
      </w:r>
      <w:r w:rsidR="007F4EDE">
        <w:rPr>
          <w:rFonts w:cstheme="minorHAnsi"/>
          <w:sz w:val="24"/>
          <w:szCs w:val="24"/>
          <w:lang w:val="el-GR"/>
        </w:rPr>
        <w:t>ο</w:t>
      </w:r>
      <w:r w:rsidR="007F4EDE" w:rsidRPr="007F4EDE">
        <w:rPr>
          <w:rFonts w:cstheme="minorHAnsi"/>
          <w:sz w:val="24"/>
          <w:szCs w:val="24"/>
          <w:lang w:val="el-GR"/>
        </w:rPr>
        <w:t xml:space="preserve"> </w:t>
      </w:r>
      <w:r w:rsidR="007F4EDE">
        <w:rPr>
          <w:rFonts w:cstheme="minorHAnsi"/>
          <w:sz w:val="24"/>
          <w:szCs w:val="24"/>
          <w:lang w:val="el-GR"/>
        </w:rPr>
        <w:t>διευθυντής</w:t>
      </w:r>
      <w:r w:rsidR="007F4EDE" w:rsidRPr="007F4EDE">
        <w:rPr>
          <w:rFonts w:cstheme="minorHAnsi"/>
          <w:sz w:val="24"/>
          <w:szCs w:val="24"/>
          <w:lang w:val="el-GR"/>
        </w:rPr>
        <w:t xml:space="preserve"> </w:t>
      </w:r>
      <w:r w:rsidR="007F4EDE">
        <w:rPr>
          <w:rFonts w:cstheme="minorHAnsi"/>
          <w:sz w:val="24"/>
          <w:szCs w:val="24"/>
          <w:lang w:val="el-GR"/>
        </w:rPr>
        <w:t>του</w:t>
      </w:r>
      <w:r w:rsidR="007F4EDE" w:rsidRPr="007F4EDE">
        <w:rPr>
          <w:rFonts w:cstheme="minorHAnsi"/>
          <w:sz w:val="24"/>
          <w:szCs w:val="24"/>
          <w:lang w:val="el-GR"/>
        </w:rPr>
        <w:t xml:space="preserve"> </w:t>
      </w:r>
      <w:r w:rsidR="007F4EDE">
        <w:rPr>
          <w:rFonts w:cstheme="minorHAnsi"/>
          <w:sz w:val="24"/>
          <w:szCs w:val="24"/>
          <w:lang w:val="el-GR"/>
        </w:rPr>
        <w:t>Γραφείου</w:t>
      </w:r>
      <w:r w:rsidR="007F4EDE" w:rsidRPr="007F4EDE">
        <w:rPr>
          <w:rFonts w:cstheme="minorHAnsi"/>
          <w:sz w:val="24"/>
          <w:szCs w:val="24"/>
          <w:lang w:val="el-GR"/>
        </w:rPr>
        <w:t xml:space="preserve"> </w:t>
      </w:r>
      <w:r w:rsidR="007F4EDE">
        <w:rPr>
          <w:rFonts w:cstheme="minorHAnsi"/>
          <w:sz w:val="24"/>
          <w:szCs w:val="24"/>
          <w:lang w:val="el-GR"/>
        </w:rPr>
        <w:t>Τύπου</w:t>
      </w:r>
      <w:r w:rsidR="007F4EDE" w:rsidRPr="007F4EDE">
        <w:rPr>
          <w:rFonts w:cstheme="minorHAnsi"/>
          <w:sz w:val="24"/>
          <w:szCs w:val="24"/>
          <w:lang w:val="el-GR"/>
        </w:rPr>
        <w:t xml:space="preserve"> </w:t>
      </w:r>
      <w:r w:rsidR="007F4EDE">
        <w:rPr>
          <w:rFonts w:cstheme="minorHAnsi"/>
          <w:sz w:val="24"/>
          <w:szCs w:val="24"/>
          <w:lang w:val="el-GR"/>
        </w:rPr>
        <w:t>του</w:t>
      </w:r>
      <w:r w:rsidR="007F4EDE" w:rsidRPr="007F4EDE">
        <w:rPr>
          <w:rFonts w:cstheme="minorHAnsi"/>
          <w:sz w:val="24"/>
          <w:szCs w:val="24"/>
          <w:lang w:val="el-GR"/>
        </w:rPr>
        <w:t xml:space="preserve"> </w:t>
      </w:r>
      <w:r w:rsidR="007F4EDE">
        <w:rPr>
          <w:rFonts w:cstheme="minorHAnsi"/>
          <w:sz w:val="24"/>
          <w:szCs w:val="24"/>
          <w:lang w:val="el-GR"/>
        </w:rPr>
        <w:t>Προέδρου</w:t>
      </w:r>
      <w:r w:rsidR="00994096" w:rsidRPr="007F4EDE">
        <w:rPr>
          <w:rFonts w:cstheme="minorHAnsi"/>
          <w:sz w:val="24"/>
          <w:szCs w:val="24"/>
          <w:lang w:val="el-GR"/>
        </w:rPr>
        <w:t xml:space="preserve">, </w:t>
      </w:r>
      <w:r w:rsidR="007F4EDE">
        <w:rPr>
          <w:rFonts w:cstheme="minorHAnsi"/>
          <w:sz w:val="24"/>
          <w:szCs w:val="24"/>
          <w:lang w:val="el-GR"/>
        </w:rPr>
        <w:t>σύμβουλοι</w:t>
      </w:r>
      <w:r w:rsidR="007F4EDE" w:rsidRPr="007F4EDE">
        <w:rPr>
          <w:rFonts w:cstheme="minorHAnsi"/>
          <w:sz w:val="24"/>
          <w:szCs w:val="24"/>
          <w:lang w:val="el-GR"/>
        </w:rPr>
        <w:t xml:space="preserve"> </w:t>
      </w:r>
      <w:r w:rsidR="007F4EDE">
        <w:rPr>
          <w:rFonts w:cstheme="minorHAnsi"/>
          <w:sz w:val="24"/>
          <w:szCs w:val="24"/>
          <w:lang w:val="el-GR"/>
        </w:rPr>
        <w:t>το</w:t>
      </w:r>
      <w:r w:rsidR="00194321">
        <w:rPr>
          <w:rFonts w:cstheme="minorHAnsi"/>
          <w:sz w:val="24"/>
          <w:szCs w:val="24"/>
          <w:lang w:val="el-GR"/>
        </w:rPr>
        <w:t>υ</w:t>
      </w:r>
      <w:r w:rsidR="007F4EDE" w:rsidRPr="007F4EDE">
        <w:rPr>
          <w:rFonts w:cstheme="minorHAnsi"/>
          <w:sz w:val="24"/>
          <w:szCs w:val="24"/>
          <w:lang w:val="el-GR"/>
        </w:rPr>
        <w:t xml:space="preserve"> </w:t>
      </w:r>
      <w:r w:rsidR="007F4EDE">
        <w:rPr>
          <w:rFonts w:cstheme="minorHAnsi"/>
          <w:sz w:val="24"/>
          <w:szCs w:val="24"/>
          <w:lang w:val="el-GR"/>
        </w:rPr>
        <w:t>Προέδρου</w:t>
      </w:r>
      <w:r w:rsidR="007F4EDE" w:rsidRPr="007F4EDE">
        <w:rPr>
          <w:rFonts w:cstheme="minorHAnsi"/>
          <w:sz w:val="24"/>
          <w:szCs w:val="24"/>
          <w:lang w:val="el-GR"/>
        </w:rPr>
        <w:t xml:space="preserve"> </w:t>
      </w:r>
      <w:r w:rsidR="007F4EDE">
        <w:rPr>
          <w:rFonts w:cstheme="minorHAnsi"/>
          <w:sz w:val="24"/>
          <w:szCs w:val="24"/>
          <w:lang w:val="el-GR"/>
        </w:rPr>
        <w:t>και</w:t>
      </w:r>
      <w:r w:rsidR="00994096" w:rsidRPr="007F4EDE">
        <w:rPr>
          <w:rFonts w:cstheme="minorHAnsi"/>
          <w:sz w:val="24"/>
          <w:szCs w:val="24"/>
          <w:lang w:val="el-GR"/>
        </w:rPr>
        <w:t xml:space="preserve"> </w:t>
      </w:r>
      <w:r w:rsidR="00994096" w:rsidRPr="000538B6">
        <w:rPr>
          <w:rFonts w:cstheme="minorHAnsi"/>
          <w:sz w:val="24"/>
          <w:szCs w:val="24"/>
        </w:rPr>
        <w:t>CPTA</w:t>
      </w:r>
      <w:r w:rsidR="00A41B2E">
        <w:rPr>
          <w:rFonts w:cstheme="minorHAnsi"/>
          <w:sz w:val="24"/>
          <w:szCs w:val="24"/>
          <w:lang w:val="en-US"/>
        </w:rPr>
        <w:t>s</w:t>
      </w:r>
      <w:r w:rsidR="00981A2D" w:rsidRPr="007F4EDE">
        <w:rPr>
          <w:rFonts w:cstheme="minorHAnsi"/>
          <w:sz w:val="24"/>
          <w:szCs w:val="24"/>
          <w:lang w:val="el-GR"/>
        </w:rPr>
        <w:t xml:space="preserve"> </w:t>
      </w:r>
      <w:r w:rsidR="007F4EDE">
        <w:rPr>
          <w:rFonts w:cstheme="minorHAnsi"/>
          <w:sz w:val="24"/>
          <w:szCs w:val="24"/>
          <w:lang w:val="el-GR"/>
        </w:rPr>
        <w:t>που</w:t>
      </w:r>
      <w:r w:rsidR="007F4EDE" w:rsidRPr="007F4EDE">
        <w:rPr>
          <w:rFonts w:cstheme="minorHAnsi"/>
          <w:sz w:val="24"/>
          <w:szCs w:val="24"/>
          <w:lang w:val="el-GR"/>
        </w:rPr>
        <w:t xml:space="preserve"> </w:t>
      </w:r>
      <w:r w:rsidR="007F4EDE">
        <w:rPr>
          <w:rFonts w:cstheme="minorHAnsi"/>
          <w:sz w:val="24"/>
          <w:szCs w:val="24"/>
          <w:lang w:val="el-GR"/>
        </w:rPr>
        <w:t>έχουν</w:t>
      </w:r>
      <w:r w:rsidR="00194321">
        <w:rPr>
          <w:rFonts w:cstheme="minorHAnsi"/>
          <w:sz w:val="24"/>
          <w:szCs w:val="24"/>
          <w:lang w:val="el-GR"/>
        </w:rPr>
        <w:t xml:space="preserve"> </w:t>
      </w:r>
      <w:r w:rsidR="007F4EDE">
        <w:rPr>
          <w:rFonts w:cstheme="minorHAnsi"/>
          <w:sz w:val="24"/>
          <w:szCs w:val="24"/>
          <w:lang w:val="el-GR"/>
        </w:rPr>
        <w:t>προ</w:t>
      </w:r>
      <w:r w:rsidR="00194321">
        <w:rPr>
          <w:rFonts w:cstheme="minorHAnsi"/>
          <w:sz w:val="24"/>
          <w:szCs w:val="24"/>
          <w:lang w:val="el-GR"/>
        </w:rPr>
        <w:t>σ</w:t>
      </w:r>
      <w:r w:rsidR="007F4EDE">
        <w:rPr>
          <w:rFonts w:cstheme="minorHAnsi"/>
          <w:sz w:val="24"/>
          <w:szCs w:val="24"/>
          <w:lang w:val="el-GR"/>
        </w:rPr>
        <w:t xml:space="preserve">ληφθεί κατά την κρίση της κεντρικής κυβέρνησης για να </w:t>
      </w:r>
      <w:r w:rsidR="00A41B2E">
        <w:rPr>
          <w:rFonts w:cstheme="minorHAnsi"/>
          <w:sz w:val="24"/>
          <w:szCs w:val="24"/>
          <w:lang w:val="el-GR"/>
        </w:rPr>
        <w:t xml:space="preserve">παρέχουν συμβουλή </w:t>
      </w:r>
      <w:r w:rsidR="007F4EDE">
        <w:rPr>
          <w:rFonts w:cstheme="minorHAnsi"/>
          <w:sz w:val="24"/>
          <w:szCs w:val="24"/>
          <w:lang w:val="el-GR"/>
        </w:rPr>
        <w:t>σε</w:t>
      </w:r>
      <w:r w:rsidR="00A41B2E" w:rsidRPr="002B7C4B">
        <w:rPr>
          <w:rFonts w:cstheme="minorHAnsi"/>
          <w:sz w:val="24"/>
          <w:szCs w:val="24"/>
          <w:lang w:val="el-GR"/>
        </w:rPr>
        <w:t xml:space="preserve"> </w:t>
      </w:r>
      <w:r w:rsidR="00A41B2E">
        <w:rPr>
          <w:rFonts w:cstheme="minorHAnsi"/>
          <w:sz w:val="24"/>
          <w:szCs w:val="24"/>
          <w:lang w:val="en-US"/>
        </w:rPr>
        <w:t>PTEFs</w:t>
      </w:r>
      <w:r w:rsidR="00994096" w:rsidRPr="007F4EDE">
        <w:rPr>
          <w:rFonts w:cstheme="minorHAnsi"/>
          <w:sz w:val="24"/>
          <w:szCs w:val="24"/>
          <w:lang w:val="el-GR"/>
        </w:rPr>
        <w:t xml:space="preserve">, </w:t>
      </w:r>
      <w:r w:rsidR="007F4EDE">
        <w:rPr>
          <w:rFonts w:cstheme="minorHAnsi"/>
          <w:sz w:val="24"/>
          <w:szCs w:val="24"/>
          <w:lang w:val="el-GR"/>
        </w:rPr>
        <w:t>δεν υποχρεώνονται στο παρόν στάδιο να υποβάλουν οικονομικές δηλώσεις</w:t>
      </w:r>
      <w:r w:rsidR="00FA26E7" w:rsidRPr="007F4EDE">
        <w:rPr>
          <w:rFonts w:cstheme="minorHAnsi"/>
          <w:sz w:val="24"/>
          <w:szCs w:val="24"/>
          <w:lang w:val="el-GR"/>
        </w:rPr>
        <w:t>.</w:t>
      </w:r>
      <w:r w:rsidR="00CF5A74" w:rsidRPr="007F4EDE">
        <w:rPr>
          <w:rFonts w:cstheme="minorHAnsi"/>
          <w:sz w:val="24"/>
          <w:szCs w:val="24"/>
          <w:lang w:val="el-GR"/>
        </w:rPr>
        <w:t xml:space="preserve"> </w:t>
      </w:r>
      <w:bookmarkEnd w:id="150"/>
      <w:r w:rsidR="007F4EDE">
        <w:rPr>
          <w:rFonts w:cstheme="minorHAnsi"/>
          <w:sz w:val="24"/>
          <w:szCs w:val="24"/>
          <w:lang w:val="el-GR"/>
        </w:rPr>
        <w:t>Η</w:t>
      </w:r>
      <w:r w:rsidR="00CF5A74" w:rsidRPr="007F4EDE">
        <w:rPr>
          <w:rFonts w:cstheme="minorHAnsi"/>
          <w:sz w:val="24"/>
          <w:szCs w:val="24"/>
          <w:lang w:val="el-GR"/>
        </w:rPr>
        <w:t xml:space="preserve"> </w:t>
      </w:r>
      <w:r w:rsidR="00CF5A74" w:rsidRPr="000538B6">
        <w:rPr>
          <w:rFonts w:cstheme="minorHAnsi"/>
          <w:sz w:val="24"/>
          <w:szCs w:val="24"/>
        </w:rPr>
        <w:t>GET</w:t>
      </w:r>
      <w:r w:rsidR="00CF5A74" w:rsidRPr="007F4EDE">
        <w:rPr>
          <w:rFonts w:cstheme="minorHAnsi"/>
          <w:sz w:val="24"/>
          <w:szCs w:val="24"/>
          <w:lang w:val="el-GR"/>
        </w:rPr>
        <w:t xml:space="preserve"> </w:t>
      </w:r>
      <w:r w:rsidR="007F4EDE">
        <w:rPr>
          <w:rFonts w:cstheme="minorHAnsi"/>
          <w:sz w:val="24"/>
          <w:szCs w:val="24"/>
          <w:lang w:val="el-GR"/>
        </w:rPr>
        <w:t>είναι</w:t>
      </w:r>
      <w:r w:rsidR="007F4EDE" w:rsidRPr="007F4EDE">
        <w:rPr>
          <w:rFonts w:cstheme="minorHAnsi"/>
          <w:sz w:val="24"/>
          <w:szCs w:val="24"/>
          <w:lang w:val="el-GR"/>
        </w:rPr>
        <w:t xml:space="preserve"> </w:t>
      </w:r>
      <w:r w:rsidR="007F4EDE">
        <w:rPr>
          <w:rFonts w:cstheme="minorHAnsi"/>
          <w:sz w:val="24"/>
          <w:szCs w:val="24"/>
          <w:lang w:val="el-GR"/>
        </w:rPr>
        <w:t>της</w:t>
      </w:r>
      <w:r w:rsidR="007F4EDE" w:rsidRPr="007F4EDE">
        <w:rPr>
          <w:rFonts w:cstheme="minorHAnsi"/>
          <w:sz w:val="24"/>
          <w:szCs w:val="24"/>
          <w:lang w:val="el-GR"/>
        </w:rPr>
        <w:t xml:space="preserve"> </w:t>
      </w:r>
      <w:r w:rsidR="007F4EDE">
        <w:rPr>
          <w:rFonts w:cstheme="minorHAnsi"/>
          <w:sz w:val="24"/>
          <w:szCs w:val="24"/>
          <w:lang w:val="el-GR"/>
        </w:rPr>
        <w:t>άποψης</w:t>
      </w:r>
      <w:r w:rsidR="00CF5A74" w:rsidRPr="007F4EDE">
        <w:rPr>
          <w:rFonts w:cstheme="minorHAnsi"/>
          <w:sz w:val="24"/>
          <w:szCs w:val="24"/>
          <w:lang w:val="el-GR"/>
        </w:rPr>
        <w:t xml:space="preserve"> </w:t>
      </w:r>
      <w:r w:rsidR="007F4EDE">
        <w:rPr>
          <w:rFonts w:cstheme="minorHAnsi"/>
          <w:sz w:val="24"/>
          <w:szCs w:val="24"/>
          <w:lang w:val="el-GR"/>
        </w:rPr>
        <w:t>ότι</w:t>
      </w:r>
      <w:r w:rsidR="00587975" w:rsidRPr="007F4EDE">
        <w:rPr>
          <w:rFonts w:cstheme="minorHAnsi"/>
          <w:sz w:val="24"/>
          <w:szCs w:val="24"/>
          <w:lang w:val="el-GR"/>
        </w:rPr>
        <w:t xml:space="preserve"> </w:t>
      </w:r>
      <w:r w:rsidR="007F4EDE">
        <w:rPr>
          <w:rFonts w:cstheme="minorHAnsi"/>
          <w:sz w:val="24"/>
          <w:szCs w:val="24"/>
          <w:lang w:val="el-GR"/>
        </w:rPr>
        <w:t>εφόσον</w:t>
      </w:r>
      <w:r w:rsidR="007F4EDE" w:rsidRPr="007F4EDE">
        <w:rPr>
          <w:rFonts w:cstheme="minorHAnsi"/>
          <w:sz w:val="24"/>
          <w:szCs w:val="24"/>
          <w:lang w:val="el-GR"/>
        </w:rPr>
        <w:t xml:space="preserve"> </w:t>
      </w:r>
      <w:r w:rsidR="007F4EDE">
        <w:rPr>
          <w:rFonts w:cstheme="minorHAnsi"/>
          <w:sz w:val="24"/>
          <w:szCs w:val="24"/>
          <w:lang w:val="el-GR"/>
        </w:rPr>
        <w:t>αυτά</w:t>
      </w:r>
      <w:r w:rsidR="007F4EDE" w:rsidRPr="007F4EDE">
        <w:rPr>
          <w:rFonts w:cstheme="minorHAnsi"/>
          <w:sz w:val="24"/>
          <w:szCs w:val="24"/>
          <w:lang w:val="el-GR"/>
        </w:rPr>
        <w:t xml:space="preserve"> </w:t>
      </w:r>
      <w:r w:rsidR="007F4EDE">
        <w:rPr>
          <w:rFonts w:cstheme="minorHAnsi"/>
          <w:sz w:val="24"/>
          <w:szCs w:val="24"/>
          <w:lang w:val="el-GR"/>
        </w:rPr>
        <w:t>τα</w:t>
      </w:r>
      <w:r w:rsidR="007F4EDE" w:rsidRPr="007F4EDE">
        <w:rPr>
          <w:rFonts w:cstheme="minorHAnsi"/>
          <w:sz w:val="24"/>
          <w:szCs w:val="24"/>
          <w:lang w:val="el-GR"/>
        </w:rPr>
        <w:t xml:space="preserve"> </w:t>
      </w:r>
      <w:r w:rsidR="007F4EDE">
        <w:rPr>
          <w:rFonts w:cstheme="minorHAnsi"/>
          <w:sz w:val="24"/>
          <w:szCs w:val="24"/>
          <w:lang w:val="el-GR"/>
        </w:rPr>
        <w:t>άτομα</w:t>
      </w:r>
      <w:r w:rsidR="007F4EDE" w:rsidRPr="007F4EDE">
        <w:rPr>
          <w:rFonts w:cstheme="minorHAnsi"/>
          <w:sz w:val="24"/>
          <w:szCs w:val="24"/>
          <w:lang w:val="el-GR"/>
        </w:rPr>
        <w:t xml:space="preserve"> </w:t>
      </w:r>
      <w:r w:rsidR="007F4EDE">
        <w:rPr>
          <w:rFonts w:cstheme="minorHAnsi"/>
          <w:sz w:val="24"/>
          <w:szCs w:val="24"/>
          <w:lang w:val="el-GR"/>
        </w:rPr>
        <w:t>εμπιστοσύνης</w:t>
      </w:r>
      <w:r w:rsidR="00587975" w:rsidRPr="007F4EDE">
        <w:rPr>
          <w:rFonts w:cstheme="minorHAnsi"/>
          <w:sz w:val="24"/>
          <w:szCs w:val="24"/>
          <w:lang w:val="el-GR"/>
        </w:rPr>
        <w:t xml:space="preserve"> </w:t>
      </w:r>
      <w:r w:rsidR="007F4EDE">
        <w:rPr>
          <w:rFonts w:cstheme="minorHAnsi"/>
          <w:sz w:val="24"/>
          <w:szCs w:val="24"/>
          <w:lang w:val="el-GR"/>
        </w:rPr>
        <w:t>έχουν</w:t>
      </w:r>
      <w:r w:rsidR="007F4EDE" w:rsidRPr="007F4EDE">
        <w:rPr>
          <w:rFonts w:cstheme="minorHAnsi"/>
          <w:sz w:val="24"/>
          <w:szCs w:val="24"/>
          <w:lang w:val="el-GR"/>
        </w:rPr>
        <w:t xml:space="preserve"> </w:t>
      </w:r>
      <w:r w:rsidR="007F4EDE">
        <w:rPr>
          <w:rFonts w:cstheme="minorHAnsi"/>
          <w:sz w:val="24"/>
          <w:szCs w:val="24"/>
          <w:lang w:val="el-GR"/>
        </w:rPr>
        <w:t>ρόλο</w:t>
      </w:r>
      <w:r w:rsidR="007F4EDE" w:rsidRPr="007F4EDE">
        <w:rPr>
          <w:rFonts w:cstheme="minorHAnsi"/>
          <w:sz w:val="24"/>
          <w:szCs w:val="24"/>
          <w:lang w:val="el-GR"/>
        </w:rPr>
        <w:t xml:space="preserve"> </w:t>
      </w:r>
      <w:r w:rsidR="007F4EDE">
        <w:rPr>
          <w:rFonts w:cstheme="minorHAnsi"/>
          <w:sz w:val="24"/>
          <w:szCs w:val="24"/>
          <w:lang w:val="el-GR"/>
        </w:rPr>
        <w:t>στη</w:t>
      </w:r>
      <w:r w:rsidR="007F4EDE" w:rsidRPr="007F4EDE">
        <w:rPr>
          <w:rFonts w:cstheme="minorHAnsi"/>
          <w:sz w:val="24"/>
          <w:szCs w:val="24"/>
          <w:lang w:val="el-GR"/>
        </w:rPr>
        <w:t xml:space="preserve"> </w:t>
      </w:r>
      <w:r w:rsidR="007F4EDE">
        <w:rPr>
          <w:rFonts w:cstheme="minorHAnsi"/>
          <w:sz w:val="24"/>
          <w:szCs w:val="24"/>
          <w:lang w:val="el-GR"/>
        </w:rPr>
        <w:t>λήψη</w:t>
      </w:r>
      <w:r w:rsidR="007F4EDE" w:rsidRPr="007F4EDE">
        <w:rPr>
          <w:rFonts w:cstheme="minorHAnsi"/>
          <w:sz w:val="24"/>
          <w:szCs w:val="24"/>
          <w:lang w:val="el-GR"/>
        </w:rPr>
        <w:t xml:space="preserve"> </w:t>
      </w:r>
      <w:r w:rsidR="007F4EDE">
        <w:rPr>
          <w:rFonts w:cstheme="minorHAnsi"/>
          <w:sz w:val="24"/>
          <w:szCs w:val="24"/>
          <w:lang w:val="el-GR"/>
        </w:rPr>
        <w:t>αποφάσεων</w:t>
      </w:r>
      <w:r w:rsidR="007F4EDE" w:rsidRPr="007F4EDE">
        <w:rPr>
          <w:rFonts w:cstheme="minorHAnsi"/>
          <w:sz w:val="24"/>
          <w:szCs w:val="24"/>
          <w:lang w:val="el-GR"/>
        </w:rPr>
        <w:t>/</w:t>
      </w:r>
      <w:r w:rsidR="007F4EDE">
        <w:rPr>
          <w:rFonts w:cstheme="minorHAnsi"/>
          <w:sz w:val="24"/>
          <w:szCs w:val="24"/>
          <w:lang w:val="el-GR"/>
        </w:rPr>
        <w:t>διαμόρφωση πολιτικών</w:t>
      </w:r>
      <w:r w:rsidR="00587975" w:rsidRPr="007F4EDE">
        <w:rPr>
          <w:rFonts w:cstheme="minorHAnsi"/>
          <w:sz w:val="24"/>
          <w:szCs w:val="24"/>
          <w:lang w:val="el-GR"/>
        </w:rPr>
        <w:t>,</w:t>
      </w:r>
      <w:r w:rsidR="00CF5A74" w:rsidRPr="007F4EDE">
        <w:rPr>
          <w:rFonts w:cstheme="minorHAnsi"/>
          <w:sz w:val="24"/>
          <w:szCs w:val="24"/>
          <w:lang w:val="el-GR"/>
        </w:rPr>
        <w:t xml:space="preserve"> </w:t>
      </w:r>
      <w:r w:rsidR="007F4EDE">
        <w:rPr>
          <w:rFonts w:cstheme="minorHAnsi"/>
          <w:sz w:val="24"/>
          <w:szCs w:val="24"/>
          <w:lang w:val="el-GR"/>
        </w:rPr>
        <w:t>πρέπει να καλύπτονται από παρόμοιες απαιτήσεις αποκάλυψης</w:t>
      </w:r>
      <w:r w:rsidR="00CF5A74" w:rsidRPr="007F4EDE">
        <w:rPr>
          <w:rFonts w:cstheme="minorHAnsi"/>
          <w:sz w:val="24"/>
          <w:szCs w:val="24"/>
          <w:lang w:val="el-GR"/>
        </w:rPr>
        <w:t xml:space="preserve">. </w:t>
      </w:r>
      <w:r w:rsidR="007F4EDE">
        <w:rPr>
          <w:rFonts w:cstheme="minorHAnsi"/>
          <w:sz w:val="24"/>
          <w:szCs w:val="24"/>
          <w:lang w:val="el-GR"/>
        </w:rPr>
        <w:t>Κάνοντας</w:t>
      </w:r>
      <w:r w:rsidR="007F4EDE" w:rsidRPr="007F4EDE">
        <w:rPr>
          <w:rFonts w:cstheme="minorHAnsi"/>
          <w:sz w:val="24"/>
          <w:szCs w:val="24"/>
          <w:lang w:val="el-GR"/>
        </w:rPr>
        <w:t xml:space="preserve"> </w:t>
      </w:r>
      <w:r w:rsidR="007F4EDE">
        <w:rPr>
          <w:rFonts w:cstheme="minorHAnsi"/>
          <w:sz w:val="24"/>
          <w:szCs w:val="24"/>
          <w:lang w:val="el-GR"/>
        </w:rPr>
        <w:t>αυτό</w:t>
      </w:r>
      <w:r w:rsidR="007F4EDE" w:rsidRPr="007F4EDE">
        <w:rPr>
          <w:rFonts w:cstheme="minorHAnsi"/>
          <w:sz w:val="24"/>
          <w:szCs w:val="24"/>
          <w:lang w:val="el-GR"/>
        </w:rPr>
        <w:t xml:space="preserve">, </w:t>
      </w:r>
      <w:r w:rsidR="007F4EDE">
        <w:rPr>
          <w:rFonts w:cstheme="minorHAnsi"/>
          <w:sz w:val="24"/>
          <w:szCs w:val="24"/>
          <w:lang w:val="el-GR"/>
        </w:rPr>
        <w:t>πρέπει</w:t>
      </w:r>
      <w:r w:rsidR="007F4EDE" w:rsidRPr="007F4EDE">
        <w:rPr>
          <w:rFonts w:cstheme="minorHAnsi"/>
          <w:sz w:val="24"/>
          <w:szCs w:val="24"/>
          <w:lang w:val="el-GR"/>
        </w:rPr>
        <w:t xml:space="preserve"> </w:t>
      </w:r>
      <w:r w:rsidR="007F4EDE">
        <w:rPr>
          <w:rFonts w:cstheme="minorHAnsi"/>
          <w:sz w:val="24"/>
          <w:szCs w:val="24"/>
          <w:lang w:val="el-GR"/>
        </w:rPr>
        <w:t>να</w:t>
      </w:r>
      <w:r w:rsidR="007F4EDE" w:rsidRPr="007F4EDE">
        <w:rPr>
          <w:rFonts w:cstheme="minorHAnsi"/>
          <w:sz w:val="24"/>
          <w:szCs w:val="24"/>
          <w:lang w:val="el-GR"/>
        </w:rPr>
        <w:t xml:space="preserve"> </w:t>
      </w:r>
      <w:r w:rsidR="007F4EDE">
        <w:rPr>
          <w:rFonts w:cstheme="minorHAnsi"/>
          <w:sz w:val="24"/>
          <w:szCs w:val="24"/>
          <w:lang w:val="el-GR"/>
        </w:rPr>
        <w:t>δ</w:t>
      </w:r>
      <w:r w:rsidR="00A41B2E">
        <w:rPr>
          <w:rFonts w:cstheme="minorHAnsi"/>
          <w:sz w:val="24"/>
          <w:szCs w:val="24"/>
          <w:lang w:val="en-US"/>
        </w:rPr>
        <w:t>o</w:t>
      </w:r>
      <w:proofErr w:type="spellStart"/>
      <w:r w:rsidR="007F4EDE">
        <w:rPr>
          <w:rFonts w:cstheme="minorHAnsi"/>
          <w:sz w:val="24"/>
          <w:szCs w:val="24"/>
          <w:lang w:val="el-GR"/>
        </w:rPr>
        <w:t>θεί</w:t>
      </w:r>
      <w:proofErr w:type="spellEnd"/>
      <w:r w:rsidR="007F4EDE" w:rsidRPr="007F4EDE">
        <w:rPr>
          <w:rFonts w:cstheme="minorHAnsi"/>
          <w:sz w:val="24"/>
          <w:szCs w:val="24"/>
          <w:lang w:val="el-GR"/>
        </w:rPr>
        <w:t xml:space="preserve"> </w:t>
      </w:r>
      <w:r w:rsidR="007F4EDE">
        <w:rPr>
          <w:rFonts w:cstheme="minorHAnsi"/>
          <w:sz w:val="24"/>
          <w:szCs w:val="24"/>
          <w:lang w:val="el-GR"/>
        </w:rPr>
        <w:t>η</w:t>
      </w:r>
      <w:r w:rsidR="007F4EDE" w:rsidRPr="007F4EDE">
        <w:rPr>
          <w:rFonts w:cstheme="minorHAnsi"/>
          <w:sz w:val="24"/>
          <w:szCs w:val="24"/>
          <w:lang w:val="el-GR"/>
        </w:rPr>
        <w:t xml:space="preserve"> </w:t>
      </w:r>
      <w:r w:rsidR="007F4EDE">
        <w:rPr>
          <w:rFonts w:cstheme="minorHAnsi"/>
          <w:sz w:val="24"/>
          <w:szCs w:val="24"/>
          <w:lang w:val="el-GR"/>
        </w:rPr>
        <w:t>δέουσα</w:t>
      </w:r>
      <w:r w:rsidR="007F4EDE" w:rsidRPr="007F4EDE">
        <w:rPr>
          <w:rFonts w:cstheme="minorHAnsi"/>
          <w:sz w:val="24"/>
          <w:szCs w:val="24"/>
          <w:lang w:val="el-GR"/>
        </w:rPr>
        <w:t xml:space="preserve"> </w:t>
      </w:r>
      <w:r w:rsidR="007F4EDE">
        <w:rPr>
          <w:rFonts w:cstheme="minorHAnsi"/>
          <w:sz w:val="24"/>
          <w:szCs w:val="24"/>
          <w:lang w:val="el-GR"/>
        </w:rPr>
        <w:t>προσοχή</w:t>
      </w:r>
      <w:r w:rsidR="0009739C" w:rsidRPr="007F4EDE">
        <w:rPr>
          <w:rFonts w:cstheme="minorHAnsi"/>
          <w:sz w:val="24"/>
          <w:szCs w:val="24"/>
          <w:lang w:val="el-GR"/>
        </w:rPr>
        <w:t xml:space="preserve"> </w:t>
      </w:r>
      <w:r w:rsidR="007F4EDE">
        <w:rPr>
          <w:rFonts w:cstheme="minorHAnsi"/>
          <w:sz w:val="24"/>
          <w:szCs w:val="24"/>
          <w:lang w:val="el-GR"/>
        </w:rPr>
        <w:t>στο</w:t>
      </w:r>
      <w:r w:rsidR="007F4EDE" w:rsidRPr="007F4EDE">
        <w:rPr>
          <w:rFonts w:cstheme="minorHAnsi"/>
          <w:sz w:val="24"/>
          <w:szCs w:val="24"/>
          <w:lang w:val="el-GR"/>
        </w:rPr>
        <w:t xml:space="preserve"> </w:t>
      </w:r>
      <w:r w:rsidR="007F4EDE">
        <w:rPr>
          <w:rFonts w:cstheme="minorHAnsi"/>
          <w:sz w:val="24"/>
          <w:szCs w:val="24"/>
          <w:lang w:val="el-GR"/>
        </w:rPr>
        <w:t>θέμα</w:t>
      </w:r>
      <w:r w:rsidR="007F4EDE" w:rsidRPr="007F4EDE">
        <w:rPr>
          <w:rFonts w:cstheme="minorHAnsi"/>
          <w:sz w:val="24"/>
          <w:szCs w:val="24"/>
          <w:lang w:val="el-GR"/>
        </w:rPr>
        <w:t xml:space="preserve"> </w:t>
      </w:r>
      <w:r w:rsidR="007F4EDE">
        <w:rPr>
          <w:rFonts w:cstheme="minorHAnsi"/>
          <w:sz w:val="24"/>
          <w:szCs w:val="24"/>
          <w:lang w:val="el-GR"/>
        </w:rPr>
        <w:t>της</w:t>
      </w:r>
      <w:r w:rsidR="007F4EDE" w:rsidRPr="007F4EDE">
        <w:rPr>
          <w:rFonts w:cstheme="minorHAnsi"/>
          <w:sz w:val="24"/>
          <w:szCs w:val="24"/>
          <w:lang w:val="el-GR"/>
        </w:rPr>
        <w:t xml:space="preserve"> </w:t>
      </w:r>
      <w:r w:rsidR="007F4EDE">
        <w:rPr>
          <w:rFonts w:cstheme="minorHAnsi"/>
          <w:sz w:val="24"/>
          <w:szCs w:val="24"/>
          <w:lang w:val="el-GR"/>
        </w:rPr>
        <w:t>συμπερίληψης</w:t>
      </w:r>
      <w:r w:rsidR="0009739C" w:rsidRPr="007F4EDE">
        <w:rPr>
          <w:rFonts w:cstheme="minorHAnsi"/>
          <w:sz w:val="24"/>
          <w:szCs w:val="24"/>
          <w:lang w:val="el-GR"/>
        </w:rPr>
        <w:t xml:space="preserve"> </w:t>
      </w:r>
      <w:r w:rsidR="007F4EDE">
        <w:rPr>
          <w:rFonts w:cstheme="minorHAnsi"/>
          <w:sz w:val="24"/>
          <w:szCs w:val="24"/>
          <w:lang w:val="el-GR"/>
        </w:rPr>
        <w:t>οικονομικών</w:t>
      </w:r>
      <w:r w:rsidR="007F4EDE" w:rsidRPr="007F4EDE">
        <w:rPr>
          <w:rFonts w:cstheme="minorHAnsi"/>
          <w:sz w:val="24"/>
          <w:szCs w:val="24"/>
          <w:lang w:val="el-GR"/>
        </w:rPr>
        <w:t xml:space="preserve"> </w:t>
      </w:r>
      <w:r w:rsidR="007F4EDE">
        <w:rPr>
          <w:rFonts w:cstheme="minorHAnsi"/>
          <w:sz w:val="24"/>
          <w:szCs w:val="24"/>
          <w:lang w:val="el-GR"/>
        </w:rPr>
        <w:t>πληροφοριών</w:t>
      </w:r>
      <w:r w:rsidR="007F4EDE" w:rsidRPr="007F4EDE">
        <w:rPr>
          <w:rFonts w:cstheme="minorHAnsi"/>
          <w:sz w:val="24"/>
          <w:szCs w:val="24"/>
          <w:lang w:val="el-GR"/>
        </w:rPr>
        <w:t xml:space="preserve"> </w:t>
      </w:r>
      <w:r w:rsidR="007F4EDE">
        <w:rPr>
          <w:rFonts w:cstheme="minorHAnsi"/>
          <w:sz w:val="24"/>
          <w:szCs w:val="24"/>
          <w:lang w:val="el-GR"/>
        </w:rPr>
        <w:t>για</w:t>
      </w:r>
      <w:r w:rsidR="007F4EDE" w:rsidRPr="007F4EDE">
        <w:rPr>
          <w:rFonts w:cstheme="minorHAnsi"/>
          <w:sz w:val="24"/>
          <w:szCs w:val="24"/>
          <w:lang w:val="el-GR"/>
        </w:rPr>
        <w:t xml:space="preserve"> </w:t>
      </w:r>
      <w:r w:rsidR="007F4EDE">
        <w:rPr>
          <w:rFonts w:cstheme="minorHAnsi"/>
          <w:sz w:val="24"/>
          <w:szCs w:val="24"/>
          <w:lang w:val="el-GR"/>
        </w:rPr>
        <w:t>συζύγους</w:t>
      </w:r>
      <w:r w:rsidR="007F4EDE" w:rsidRPr="007F4EDE">
        <w:rPr>
          <w:rFonts w:cstheme="minorHAnsi"/>
          <w:sz w:val="24"/>
          <w:szCs w:val="24"/>
          <w:lang w:val="el-GR"/>
        </w:rPr>
        <w:t xml:space="preserve"> </w:t>
      </w:r>
      <w:r w:rsidR="007F4EDE">
        <w:rPr>
          <w:rFonts w:cstheme="minorHAnsi"/>
          <w:sz w:val="24"/>
          <w:szCs w:val="24"/>
          <w:lang w:val="el-GR"/>
        </w:rPr>
        <w:t>και</w:t>
      </w:r>
      <w:r w:rsidR="007F4EDE" w:rsidRPr="007F4EDE">
        <w:rPr>
          <w:rFonts w:cstheme="minorHAnsi"/>
          <w:sz w:val="24"/>
          <w:szCs w:val="24"/>
          <w:lang w:val="el-GR"/>
        </w:rPr>
        <w:t xml:space="preserve"> </w:t>
      </w:r>
      <w:r w:rsidR="007F4EDE">
        <w:rPr>
          <w:rFonts w:cstheme="minorHAnsi"/>
          <w:sz w:val="24"/>
          <w:szCs w:val="24"/>
          <w:lang w:val="el-GR"/>
        </w:rPr>
        <w:t>εξαρτώμενα</w:t>
      </w:r>
      <w:r w:rsidR="007F4EDE" w:rsidRPr="007F4EDE">
        <w:rPr>
          <w:rFonts w:cstheme="minorHAnsi"/>
          <w:sz w:val="24"/>
          <w:szCs w:val="24"/>
          <w:lang w:val="el-GR"/>
        </w:rPr>
        <w:t xml:space="preserve"> </w:t>
      </w:r>
      <w:r w:rsidR="007F4EDE">
        <w:rPr>
          <w:rFonts w:cstheme="minorHAnsi"/>
          <w:sz w:val="24"/>
          <w:szCs w:val="24"/>
          <w:lang w:val="el-GR"/>
        </w:rPr>
        <w:t>μέλη</w:t>
      </w:r>
      <w:r w:rsidR="007F4EDE" w:rsidRPr="007F4EDE">
        <w:rPr>
          <w:rFonts w:cstheme="minorHAnsi"/>
          <w:sz w:val="24"/>
          <w:szCs w:val="24"/>
          <w:lang w:val="el-GR"/>
        </w:rPr>
        <w:t xml:space="preserve"> </w:t>
      </w:r>
      <w:r w:rsidR="007F4EDE">
        <w:rPr>
          <w:rFonts w:cstheme="minorHAnsi"/>
          <w:sz w:val="24"/>
          <w:szCs w:val="24"/>
          <w:lang w:val="el-GR"/>
        </w:rPr>
        <w:t>της</w:t>
      </w:r>
      <w:r w:rsidR="007F4EDE" w:rsidRPr="007F4EDE">
        <w:rPr>
          <w:rFonts w:cstheme="minorHAnsi"/>
          <w:sz w:val="24"/>
          <w:szCs w:val="24"/>
          <w:lang w:val="el-GR"/>
        </w:rPr>
        <w:t xml:space="preserve"> </w:t>
      </w:r>
      <w:r w:rsidR="007F4EDE">
        <w:rPr>
          <w:rFonts w:cstheme="minorHAnsi"/>
          <w:sz w:val="24"/>
          <w:szCs w:val="24"/>
          <w:lang w:val="el-GR"/>
        </w:rPr>
        <w:t>οικογένειας</w:t>
      </w:r>
      <w:r w:rsidR="0009739C" w:rsidRPr="007F4EDE">
        <w:rPr>
          <w:rFonts w:cstheme="minorHAnsi"/>
          <w:sz w:val="24"/>
          <w:szCs w:val="24"/>
          <w:lang w:val="el-GR"/>
        </w:rPr>
        <w:t xml:space="preserve"> </w:t>
      </w:r>
      <w:r w:rsidR="007F4EDE">
        <w:rPr>
          <w:rFonts w:cstheme="minorHAnsi"/>
          <w:sz w:val="24"/>
          <w:szCs w:val="24"/>
          <w:lang w:val="el-GR"/>
        </w:rPr>
        <w:t>στις δηλώσεις τους</w:t>
      </w:r>
      <w:r w:rsidR="00336DED" w:rsidRPr="007F4EDE">
        <w:rPr>
          <w:rFonts w:cstheme="minorHAnsi"/>
          <w:sz w:val="24"/>
          <w:szCs w:val="24"/>
          <w:lang w:val="el-GR"/>
        </w:rPr>
        <w:t xml:space="preserve"> (</w:t>
      </w:r>
      <w:r w:rsidR="00A41B2E">
        <w:rPr>
          <w:rFonts w:cstheme="minorHAnsi"/>
          <w:sz w:val="24"/>
          <w:szCs w:val="24"/>
          <w:lang w:val="el-GR"/>
        </w:rPr>
        <w:t xml:space="preserve">είναι κατανοητό </w:t>
      </w:r>
      <w:r w:rsidR="007F4EDE">
        <w:rPr>
          <w:rFonts w:cstheme="minorHAnsi"/>
          <w:sz w:val="24"/>
          <w:szCs w:val="24"/>
          <w:lang w:val="el-GR"/>
        </w:rPr>
        <w:t>ότι τέτοιες πληροφορ</w:t>
      </w:r>
      <w:r w:rsidR="00C93751">
        <w:rPr>
          <w:rFonts w:cstheme="minorHAnsi"/>
          <w:sz w:val="24"/>
          <w:szCs w:val="24"/>
          <w:lang w:val="el-GR"/>
        </w:rPr>
        <w:t>ίες δεν χρειάζεται απαραίτητα να δημοσιοποι</w:t>
      </w:r>
      <w:r w:rsidR="00A41B2E">
        <w:rPr>
          <w:rFonts w:cstheme="minorHAnsi"/>
          <w:sz w:val="24"/>
          <w:szCs w:val="24"/>
          <w:lang w:val="el-GR"/>
        </w:rPr>
        <w:t>ούνται</w:t>
      </w:r>
      <w:r w:rsidR="00336DED" w:rsidRPr="007F4EDE">
        <w:rPr>
          <w:rFonts w:cstheme="minorHAnsi"/>
          <w:sz w:val="24"/>
          <w:szCs w:val="24"/>
          <w:lang w:val="el-GR"/>
        </w:rPr>
        <w:t>).</w:t>
      </w:r>
      <w:r w:rsidR="00336DED" w:rsidRPr="00C93751">
        <w:rPr>
          <w:rFonts w:cstheme="minorHAnsi"/>
          <w:b/>
          <w:iCs/>
          <w:sz w:val="24"/>
          <w:szCs w:val="24"/>
          <w:lang w:val="el-GR"/>
        </w:rPr>
        <w:t xml:space="preserve"> </w:t>
      </w:r>
      <w:r w:rsidR="00C93751" w:rsidRPr="00C93751">
        <w:rPr>
          <w:rFonts w:cstheme="minorHAnsi"/>
          <w:b/>
          <w:iCs/>
          <w:sz w:val="24"/>
          <w:szCs w:val="24"/>
          <w:lang w:val="el-GR"/>
        </w:rPr>
        <w:t xml:space="preserve">Η </w:t>
      </w:r>
      <w:r w:rsidR="00A5147D" w:rsidRPr="000538B6">
        <w:rPr>
          <w:rFonts w:cstheme="minorHAnsi"/>
          <w:b/>
          <w:bCs/>
          <w:sz w:val="24"/>
          <w:szCs w:val="24"/>
        </w:rPr>
        <w:t>GRECO</w:t>
      </w:r>
      <w:r w:rsidR="00A5147D" w:rsidRPr="00C93751">
        <w:rPr>
          <w:rFonts w:cstheme="minorHAnsi"/>
          <w:b/>
          <w:bCs/>
          <w:sz w:val="24"/>
          <w:szCs w:val="24"/>
          <w:lang w:val="el-GR"/>
        </w:rPr>
        <w:t xml:space="preserve"> </w:t>
      </w:r>
      <w:r w:rsidR="001B09F4">
        <w:rPr>
          <w:rFonts w:cstheme="minorHAnsi"/>
          <w:b/>
          <w:bCs/>
          <w:sz w:val="24"/>
          <w:szCs w:val="24"/>
          <w:lang w:val="el-GR"/>
        </w:rPr>
        <w:t>συνιστά</w:t>
      </w:r>
      <w:r w:rsidR="00A5147D" w:rsidRPr="00C93751">
        <w:rPr>
          <w:rFonts w:cstheme="minorHAnsi"/>
          <w:b/>
          <w:bCs/>
          <w:sz w:val="24"/>
          <w:szCs w:val="24"/>
          <w:lang w:val="el-GR"/>
        </w:rPr>
        <w:t xml:space="preserve"> </w:t>
      </w:r>
      <w:r w:rsidR="0009739C" w:rsidRPr="00C93751">
        <w:rPr>
          <w:rFonts w:cstheme="minorHAnsi"/>
          <w:b/>
          <w:bCs/>
          <w:sz w:val="24"/>
          <w:szCs w:val="24"/>
          <w:lang w:val="el-GR"/>
        </w:rPr>
        <w:t>(</w:t>
      </w:r>
      <w:proofErr w:type="spellStart"/>
      <w:r w:rsidR="0009739C" w:rsidRPr="000538B6">
        <w:rPr>
          <w:rFonts w:cstheme="minorHAnsi"/>
          <w:b/>
          <w:bCs/>
          <w:sz w:val="24"/>
          <w:szCs w:val="24"/>
        </w:rPr>
        <w:t>i</w:t>
      </w:r>
      <w:proofErr w:type="spellEnd"/>
      <w:r w:rsidR="0009739C" w:rsidRPr="00C93751">
        <w:rPr>
          <w:rFonts w:cstheme="minorHAnsi"/>
          <w:b/>
          <w:bCs/>
          <w:sz w:val="24"/>
          <w:szCs w:val="24"/>
          <w:lang w:val="el-GR"/>
        </w:rPr>
        <w:t>)</w:t>
      </w:r>
      <w:r w:rsidR="00D352A6" w:rsidRPr="000538B6">
        <w:rPr>
          <w:rFonts w:cstheme="minorHAnsi"/>
          <w:b/>
          <w:bCs/>
          <w:sz w:val="24"/>
          <w:szCs w:val="24"/>
        </w:rPr>
        <w:t> </w:t>
      </w:r>
      <w:r w:rsidR="00C93751">
        <w:rPr>
          <w:rFonts w:cstheme="minorHAnsi"/>
          <w:b/>
          <w:bCs/>
          <w:sz w:val="24"/>
          <w:szCs w:val="24"/>
          <w:lang w:val="el-GR"/>
        </w:rPr>
        <w:t>την</w:t>
      </w:r>
      <w:r w:rsidR="00C93751" w:rsidRPr="00C93751">
        <w:rPr>
          <w:rFonts w:cstheme="minorHAnsi"/>
          <w:b/>
          <w:bCs/>
          <w:sz w:val="24"/>
          <w:szCs w:val="24"/>
          <w:lang w:val="el-GR"/>
        </w:rPr>
        <w:t xml:space="preserve"> </w:t>
      </w:r>
      <w:r w:rsidR="00C93751">
        <w:rPr>
          <w:rFonts w:cstheme="minorHAnsi"/>
          <w:b/>
          <w:bCs/>
          <w:sz w:val="24"/>
          <w:szCs w:val="24"/>
          <w:lang w:val="el-GR"/>
        </w:rPr>
        <w:t>επέκταση</w:t>
      </w:r>
      <w:r w:rsidR="00C93751" w:rsidRPr="00C93751">
        <w:rPr>
          <w:rFonts w:cstheme="minorHAnsi"/>
          <w:b/>
          <w:bCs/>
          <w:sz w:val="24"/>
          <w:szCs w:val="24"/>
          <w:lang w:val="el-GR"/>
        </w:rPr>
        <w:t xml:space="preserve"> </w:t>
      </w:r>
      <w:r w:rsidR="00C93751">
        <w:rPr>
          <w:rFonts w:cstheme="minorHAnsi"/>
          <w:b/>
          <w:bCs/>
          <w:sz w:val="24"/>
          <w:szCs w:val="24"/>
          <w:lang w:val="el-GR"/>
        </w:rPr>
        <w:t>σε</w:t>
      </w:r>
      <w:r w:rsidR="00C93751" w:rsidRPr="00C93751">
        <w:rPr>
          <w:rFonts w:cstheme="minorHAnsi"/>
          <w:b/>
          <w:bCs/>
          <w:sz w:val="24"/>
          <w:szCs w:val="24"/>
          <w:lang w:val="el-GR"/>
        </w:rPr>
        <w:t xml:space="preserve"> </w:t>
      </w:r>
      <w:r w:rsidR="00C93751">
        <w:rPr>
          <w:rFonts w:cstheme="minorHAnsi"/>
          <w:b/>
          <w:bCs/>
          <w:sz w:val="24"/>
          <w:szCs w:val="24"/>
          <w:lang w:val="el-GR"/>
        </w:rPr>
        <w:t>όλα</w:t>
      </w:r>
      <w:r w:rsidR="00C93751" w:rsidRPr="00C93751">
        <w:rPr>
          <w:rFonts w:cstheme="minorHAnsi"/>
          <w:b/>
          <w:bCs/>
          <w:sz w:val="24"/>
          <w:szCs w:val="24"/>
          <w:lang w:val="el-GR"/>
        </w:rPr>
        <w:t xml:space="preserve"> </w:t>
      </w:r>
      <w:r w:rsidR="00C93751">
        <w:rPr>
          <w:rFonts w:cstheme="minorHAnsi"/>
          <w:b/>
          <w:bCs/>
          <w:sz w:val="24"/>
          <w:szCs w:val="24"/>
          <w:lang w:val="el-GR"/>
        </w:rPr>
        <w:t>τα</w:t>
      </w:r>
      <w:r w:rsidR="00C93751" w:rsidRPr="00C93751">
        <w:rPr>
          <w:rFonts w:cstheme="minorHAnsi"/>
          <w:b/>
          <w:bCs/>
          <w:sz w:val="24"/>
          <w:szCs w:val="24"/>
          <w:lang w:val="el-GR"/>
        </w:rPr>
        <w:t xml:space="preserve"> </w:t>
      </w:r>
      <w:r w:rsidR="00C93751">
        <w:rPr>
          <w:rFonts w:cstheme="minorHAnsi"/>
          <w:b/>
          <w:bCs/>
          <w:sz w:val="24"/>
          <w:szCs w:val="24"/>
          <w:lang w:val="el-GR"/>
        </w:rPr>
        <w:t>άτομα</w:t>
      </w:r>
      <w:r w:rsidR="00C93751" w:rsidRPr="00C93751">
        <w:rPr>
          <w:rFonts w:cstheme="minorHAnsi"/>
          <w:b/>
          <w:bCs/>
          <w:sz w:val="24"/>
          <w:szCs w:val="24"/>
          <w:lang w:val="el-GR"/>
        </w:rPr>
        <w:t xml:space="preserve"> </w:t>
      </w:r>
      <w:r w:rsidR="00C93751">
        <w:rPr>
          <w:rFonts w:cstheme="minorHAnsi"/>
          <w:b/>
          <w:bCs/>
          <w:sz w:val="24"/>
          <w:szCs w:val="24"/>
          <w:lang w:val="el-GR"/>
        </w:rPr>
        <w:t>που</w:t>
      </w:r>
      <w:r w:rsidR="00C93751" w:rsidRPr="00C93751">
        <w:rPr>
          <w:rFonts w:cstheme="minorHAnsi"/>
          <w:b/>
          <w:bCs/>
          <w:sz w:val="24"/>
          <w:szCs w:val="24"/>
          <w:lang w:val="el-GR"/>
        </w:rPr>
        <w:t xml:space="preserve"> </w:t>
      </w:r>
      <w:r w:rsidR="00C93751">
        <w:rPr>
          <w:rFonts w:cstheme="minorHAnsi"/>
          <w:b/>
          <w:bCs/>
          <w:sz w:val="24"/>
          <w:szCs w:val="24"/>
          <w:lang w:val="el-GR"/>
        </w:rPr>
        <w:t>τους</w:t>
      </w:r>
      <w:r w:rsidR="00C93751" w:rsidRPr="00C93751">
        <w:rPr>
          <w:rFonts w:cstheme="minorHAnsi"/>
          <w:b/>
          <w:bCs/>
          <w:sz w:val="24"/>
          <w:szCs w:val="24"/>
          <w:lang w:val="el-GR"/>
        </w:rPr>
        <w:t xml:space="preserve"> </w:t>
      </w:r>
      <w:r w:rsidR="00C93751">
        <w:rPr>
          <w:rFonts w:cstheme="minorHAnsi"/>
          <w:b/>
          <w:bCs/>
          <w:sz w:val="24"/>
          <w:szCs w:val="24"/>
          <w:lang w:val="el-GR"/>
        </w:rPr>
        <w:t>έχουν</w:t>
      </w:r>
      <w:r w:rsidR="00C93751" w:rsidRPr="00C93751">
        <w:rPr>
          <w:rFonts w:cstheme="minorHAnsi"/>
          <w:b/>
          <w:bCs/>
          <w:sz w:val="24"/>
          <w:szCs w:val="24"/>
          <w:lang w:val="el-GR"/>
        </w:rPr>
        <w:t xml:space="preserve"> </w:t>
      </w:r>
      <w:r w:rsidR="00C93751">
        <w:rPr>
          <w:rFonts w:cstheme="minorHAnsi"/>
          <w:b/>
          <w:bCs/>
          <w:sz w:val="24"/>
          <w:szCs w:val="24"/>
          <w:lang w:val="el-GR"/>
        </w:rPr>
        <w:t>ανατεθεί</w:t>
      </w:r>
      <w:r w:rsidR="00C93751" w:rsidRPr="00C93751">
        <w:rPr>
          <w:rFonts w:cstheme="minorHAnsi"/>
          <w:b/>
          <w:bCs/>
          <w:sz w:val="24"/>
          <w:szCs w:val="24"/>
          <w:lang w:val="el-GR"/>
        </w:rPr>
        <w:t xml:space="preserve"> </w:t>
      </w:r>
      <w:r w:rsidR="00A41B2E">
        <w:rPr>
          <w:rFonts w:cstheme="minorHAnsi"/>
          <w:b/>
          <w:bCs/>
          <w:sz w:val="24"/>
          <w:szCs w:val="24"/>
          <w:lang w:val="el-GR"/>
        </w:rPr>
        <w:t xml:space="preserve">ανώτατα </w:t>
      </w:r>
      <w:r w:rsidR="00C93751">
        <w:rPr>
          <w:rFonts w:cstheme="minorHAnsi"/>
          <w:b/>
          <w:bCs/>
          <w:sz w:val="24"/>
          <w:szCs w:val="24"/>
          <w:lang w:val="el-GR"/>
        </w:rPr>
        <w:t>εκτελεστικ</w:t>
      </w:r>
      <w:r w:rsidR="00A41B2E">
        <w:rPr>
          <w:rFonts w:cstheme="minorHAnsi"/>
          <w:b/>
          <w:bCs/>
          <w:sz w:val="24"/>
          <w:szCs w:val="24"/>
          <w:lang w:val="el-GR"/>
        </w:rPr>
        <w:t>ά</w:t>
      </w:r>
      <w:r w:rsidR="00C93751" w:rsidRPr="00C93751">
        <w:rPr>
          <w:rFonts w:cstheme="minorHAnsi"/>
          <w:b/>
          <w:bCs/>
          <w:sz w:val="24"/>
          <w:szCs w:val="24"/>
          <w:lang w:val="el-GR"/>
        </w:rPr>
        <w:t xml:space="preserve"> </w:t>
      </w:r>
      <w:r w:rsidR="00A41B2E">
        <w:rPr>
          <w:rFonts w:cstheme="minorHAnsi"/>
          <w:b/>
          <w:bCs/>
          <w:sz w:val="24"/>
          <w:szCs w:val="24"/>
          <w:lang w:val="el-GR"/>
        </w:rPr>
        <w:t xml:space="preserve">καθήκοντα </w:t>
      </w:r>
      <w:r w:rsidR="00FA26E7" w:rsidRPr="00C93751">
        <w:rPr>
          <w:rFonts w:cstheme="minorHAnsi"/>
          <w:b/>
          <w:bCs/>
          <w:sz w:val="24"/>
          <w:szCs w:val="24"/>
          <w:lang w:val="el-GR"/>
        </w:rPr>
        <w:t>(</w:t>
      </w:r>
      <w:r w:rsidR="00C93751">
        <w:rPr>
          <w:rFonts w:cstheme="minorHAnsi"/>
          <w:b/>
          <w:bCs/>
          <w:sz w:val="24"/>
          <w:szCs w:val="24"/>
          <w:lang w:val="el-GR"/>
        </w:rPr>
        <w:t>συμπεριλαμβανομένων</w:t>
      </w:r>
      <w:r w:rsidR="00C93751" w:rsidRPr="00C93751">
        <w:rPr>
          <w:rFonts w:cstheme="minorHAnsi"/>
          <w:b/>
          <w:bCs/>
          <w:sz w:val="24"/>
          <w:szCs w:val="24"/>
          <w:lang w:val="el-GR"/>
        </w:rPr>
        <w:t xml:space="preserve"> </w:t>
      </w:r>
      <w:r w:rsidR="00C93751">
        <w:rPr>
          <w:rFonts w:cstheme="minorHAnsi"/>
          <w:b/>
          <w:bCs/>
          <w:sz w:val="24"/>
          <w:szCs w:val="24"/>
          <w:lang w:val="el-GR"/>
        </w:rPr>
        <w:t>των</w:t>
      </w:r>
      <w:r w:rsidR="00C93751" w:rsidRPr="00C93751">
        <w:rPr>
          <w:rFonts w:cstheme="minorHAnsi"/>
          <w:b/>
          <w:bCs/>
          <w:sz w:val="24"/>
          <w:szCs w:val="24"/>
          <w:lang w:val="el-GR"/>
        </w:rPr>
        <w:t xml:space="preserve"> </w:t>
      </w:r>
      <w:r w:rsidR="00A41B2E">
        <w:rPr>
          <w:rFonts w:cstheme="minorHAnsi"/>
          <w:b/>
          <w:bCs/>
          <w:sz w:val="24"/>
          <w:szCs w:val="24"/>
          <w:lang w:val="el-GR"/>
        </w:rPr>
        <w:t xml:space="preserve">αναπληρωτών </w:t>
      </w:r>
      <w:r w:rsidR="00C93751">
        <w:rPr>
          <w:rFonts w:cstheme="minorHAnsi"/>
          <w:b/>
          <w:bCs/>
          <w:sz w:val="24"/>
          <w:szCs w:val="24"/>
          <w:lang w:val="el-GR"/>
        </w:rPr>
        <w:t>εκπροσώπων</w:t>
      </w:r>
      <w:r w:rsidR="00FA26E7" w:rsidRPr="00C93751">
        <w:rPr>
          <w:rFonts w:cstheme="minorHAnsi"/>
          <w:b/>
          <w:bCs/>
          <w:sz w:val="24"/>
          <w:szCs w:val="24"/>
          <w:lang w:val="el-GR"/>
        </w:rPr>
        <w:t xml:space="preserve">, </w:t>
      </w:r>
      <w:r w:rsidR="00C93751">
        <w:rPr>
          <w:rFonts w:cstheme="minorHAnsi"/>
          <w:b/>
          <w:bCs/>
          <w:sz w:val="24"/>
          <w:szCs w:val="24"/>
          <w:lang w:val="el-GR"/>
        </w:rPr>
        <w:t>το</w:t>
      </w:r>
      <w:r w:rsidR="00A41B2E">
        <w:rPr>
          <w:rFonts w:cstheme="minorHAnsi"/>
          <w:b/>
          <w:bCs/>
          <w:sz w:val="24"/>
          <w:szCs w:val="24"/>
          <w:lang w:val="el-GR"/>
        </w:rPr>
        <w:t>υ</w:t>
      </w:r>
      <w:r w:rsidR="00C93751" w:rsidRPr="00C93751">
        <w:rPr>
          <w:rFonts w:cstheme="minorHAnsi"/>
          <w:b/>
          <w:bCs/>
          <w:sz w:val="24"/>
          <w:szCs w:val="24"/>
          <w:lang w:val="el-GR"/>
        </w:rPr>
        <w:t xml:space="preserve"> </w:t>
      </w:r>
      <w:r w:rsidR="00C93751">
        <w:rPr>
          <w:rFonts w:cstheme="minorHAnsi"/>
          <w:b/>
          <w:bCs/>
          <w:sz w:val="24"/>
          <w:szCs w:val="24"/>
          <w:lang w:val="el-GR"/>
        </w:rPr>
        <w:t>διευθυντή</w:t>
      </w:r>
      <w:r w:rsidR="00C93751" w:rsidRPr="00C93751">
        <w:rPr>
          <w:rFonts w:cstheme="minorHAnsi"/>
          <w:b/>
          <w:bCs/>
          <w:sz w:val="24"/>
          <w:szCs w:val="24"/>
          <w:lang w:val="el-GR"/>
        </w:rPr>
        <w:t xml:space="preserve"> </w:t>
      </w:r>
      <w:r w:rsidR="00C93751">
        <w:rPr>
          <w:rFonts w:cstheme="minorHAnsi"/>
          <w:b/>
          <w:bCs/>
          <w:sz w:val="24"/>
          <w:szCs w:val="24"/>
          <w:lang w:val="el-GR"/>
        </w:rPr>
        <w:t>του</w:t>
      </w:r>
      <w:r w:rsidR="00C93751" w:rsidRPr="00C93751">
        <w:rPr>
          <w:rFonts w:cstheme="minorHAnsi"/>
          <w:b/>
          <w:bCs/>
          <w:sz w:val="24"/>
          <w:szCs w:val="24"/>
          <w:lang w:val="el-GR"/>
        </w:rPr>
        <w:t xml:space="preserve"> </w:t>
      </w:r>
      <w:r w:rsidR="00C93751">
        <w:rPr>
          <w:rFonts w:cstheme="minorHAnsi"/>
          <w:b/>
          <w:bCs/>
          <w:sz w:val="24"/>
          <w:szCs w:val="24"/>
          <w:lang w:val="el-GR"/>
        </w:rPr>
        <w:t>Γραφείου</w:t>
      </w:r>
      <w:r w:rsidR="00C93751" w:rsidRPr="00C93751">
        <w:rPr>
          <w:rFonts w:cstheme="minorHAnsi"/>
          <w:b/>
          <w:bCs/>
          <w:sz w:val="24"/>
          <w:szCs w:val="24"/>
          <w:lang w:val="el-GR"/>
        </w:rPr>
        <w:t xml:space="preserve"> </w:t>
      </w:r>
      <w:r w:rsidR="00C93751">
        <w:rPr>
          <w:rFonts w:cstheme="minorHAnsi"/>
          <w:b/>
          <w:bCs/>
          <w:sz w:val="24"/>
          <w:szCs w:val="24"/>
          <w:lang w:val="el-GR"/>
        </w:rPr>
        <w:t>Τύπου</w:t>
      </w:r>
      <w:r w:rsidR="00C93751" w:rsidRPr="00C93751">
        <w:rPr>
          <w:rFonts w:cstheme="minorHAnsi"/>
          <w:b/>
          <w:bCs/>
          <w:sz w:val="24"/>
          <w:szCs w:val="24"/>
          <w:lang w:val="el-GR"/>
        </w:rPr>
        <w:t xml:space="preserve"> </w:t>
      </w:r>
      <w:r w:rsidR="00C93751">
        <w:rPr>
          <w:rFonts w:cstheme="minorHAnsi"/>
          <w:b/>
          <w:bCs/>
          <w:sz w:val="24"/>
          <w:szCs w:val="24"/>
          <w:lang w:val="el-GR"/>
        </w:rPr>
        <w:t>του</w:t>
      </w:r>
      <w:r w:rsidR="00C93751" w:rsidRPr="00C93751">
        <w:rPr>
          <w:rFonts w:cstheme="minorHAnsi"/>
          <w:b/>
          <w:bCs/>
          <w:sz w:val="24"/>
          <w:szCs w:val="24"/>
          <w:lang w:val="el-GR"/>
        </w:rPr>
        <w:t xml:space="preserve"> </w:t>
      </w:r>
      <w:r w:rsidR="00C93751">
        <w:rPr>
          <w:rFonts w:cstheme="minorHAnsi"/>
          <w:b/>
          <w:bCs/>
          <w:sz w:val="24"/>
          <w:szCs w:val="24"/>
          <w:lang w:val="el-GR"/>
        </w:rPr>
        <w:t>Προέδρου</w:t>
      </w:r>
      <w:r w:rsidR="00FA26E7" w:rsidRPr="00C93751">
        <w:rPr>
          <w:rFonts w:cstheme="minorHAnsi"/>
          <w:b/>
          <w:bCs/>
          <w:sz w:val="24"/>
          <w:szCs w:val="24"/>
          <w:lang w:val="el-GR"/>
        </w:rPr>
        <w:t xml:space="preserve">, </w:t>
      </w:r>
      <w:r w:rsidR="00A41B2E">
        <w:rPr>
          <w:rFonts w:cstheme="minorHAnsi"/>
          <w:b/>
          <w:bCs/>
          <w:sz w:val="24"/>
          <w:szCs w:val="24"/>
          <w:lang w:val="el-GR"/>
        </w:rPr>
        <w:t xml:space="preserve">των συμβούλων </w:t>
      </w:r>
      <w:r w:rsidR="00C93751">
        <w:rPr>
          <w:rFonts w:cstheme="minorHAnsi"/>
          <w:b/>
          <w:bCs/>
          <w:sz w:val="24"/>
          <w:szCs w:val="24"/>
          <w:lang w:val="el-GR"/>
        </w:rPr>
        <w:t>του</w:t>
      </w:r>
      <w:r w:rsidR="00C93751" w:rsidRPr="00C93751">
        <w:rPr>
          <w:rFonts w:cstheme="minorHAnsi"/>
          <w:b/>
          <w:bCs/>
          <w:sz w:val="24"/>
          <w:szCs w:val="24"/>
          <w:lang w:val="el-GR"/>
        </w:rPr>
        <w:t xml:space="preserve"> </w:t>
      </w:r>
      <w:r w:rsidR="00C93751">
        <w:rPr>
          <w:rFonts w:cstheme="minorHAnsi"/>
          <w:b/>
          <w:bCs/>
          <w:sz w:val="24"/>
          <w:szCs w:val="24"/>
          <w:lang w:val="el-GR"/>
        </w:rPr>
        <w:t>Προέδρου</w:t>
      </w:r>
      <w:r w:rsidR="00C93751" w:rsidRPr="00C93751">
        <w:rPr>
          <w:rFonts w:cstheme="minorHAnsi"/>
          <w:b/>
          <w:bCs/>
          <w:sz w:val="24"/>
          <w:szCs w:val="24"/>
          <w:lang w:val="el-GR"/>
        </w:rPr>
        <w:t xml:space="preserve"> </w:t>
      </w:r>
      <w:r w:rsidR="00C93751">
        <w:rPr>
          <w:rFonts w:cstheme="minorHAnsi"/>
          <w:b/>
          <w:bCs/>
          <w:sz w:val="24"/>
          <w:szCs w:val="24"/>
          <w:lang w:val="el-GR"/>
        </w:rPr>
        <w:t>και</w:t>
      </w:r>
      <w:r w:rsidR="00C93751" w:rsidRPr="00C93751">
        <w:rPr>
          <w:rFonts w:cstheme="minorHAnsi"/>
          <w:b/>
          <w:bCs/>
          <w:sz w:val="24"/>
          <w:szCs w:val="24"/>
          <w:lang w:val="el-GR"/>
        </w:rPr>
        <w:t xml:space="preserve"> </w:t>
      </w:r>
      <w:r w:rsidR="00A41B2E">
        <w:rPr>
          <w:rFonts w:cstheme="minorHAnsi"/>
          <w:b/>
          <w:bCs/>
          <w:sz w:val="24"/>
          <w:szCs w:val="24"/>
          <w:lang w:val="el-GR"/>
        </w:rPr>
        <w:t xml:space="preserve">των </w:t>
      </w:r>
      <w:r w:rsidR="00FA26E7" w:rsidRPr="000538B6">
        <w:rPr>
          <w:rFonts w:cstheme="minorHAnsi"/>
          <w:b/>
          <w:bCs/>
          <w:sz w:val="24"/>
          <w:szCs w:val="24"/>
        </w:rPr>
        <w:t>CPTA</w:t>
      </w:r>
      <w:r w:rsidR="00A41B2E">
        <w:rPr>
          <w:rFonts w:cstheme="minorHAnsi"/>
          <w:b/>
          <w:bCs/>
          <w:sz w:val="24"/>
          <w:szCs w:val="24"/>
          <w:lang w:val="en-US"/>
        </w:rPr>
        <w:t>s</w:t>
      </w:r>
      <w:r w:rsidR="00C93751" w:rsidRPr="00C93751">
        <w:rPr>
          <w:rFonts w:cstheme="minorHAnsi"/>
          <w:b/>
          <w:bCs/>
          <w:sz w:val="24"/>
          <w:szCs w:val="24"/>
          <w:lang w:val="el-GR"/>
        </w:rPr>
        <w:t xml:space="preserve"> </w:t>
      </w:r>
      <w:r w:rsidR="00C93751">
        <w:rPr>
          <w:rFonts w:cstheme="minorHAnsi"/>
          <w:b/>
          <w:bCs/>
          <w:sz w:val="24"/>
          <w:szCs w:val="24"/>
          <w:lang w:val="el-GR"/>
        </w:rPr>
        <w:t>που</w:t>
      </w:r>
      <w:r w:rsidR="00C93751" w:rsidRPr="00C93751">
        <w:rPr>
          <w:rFonts w:cstheme="minorHAnsi"/>
          <w:b/>
          <w:bCs/>
          <w:sz w:val="24"/>
          <w:szCs w:val="24"/>
          <w:lang w:val="el-GR"/>
        </w:rPr>
        <w:t xml:space="preserve"> </w:t>
      </w:r>
      <w:r w:rsidR="00C93751">
        <w:rPr>
          <w:rFonts w:cstheme="minorHAnsi"/>
          <w:b/>
          <w:bCs/>
          <w:sz w:val="24"/>
          <w:szCs w:val="24"/>
          <w:lang w:val="el-GR"/>
        </w:rPr>
        <w:t>έχουν</w:t>
      </w:r>
      <w:r w:rsidR="00C93751" w:rsidRPr="00C93751">
        <w:rPr>
          <w:rFonts w:cstheme="minorHAnsi"/>
          <w:b/>
          <w:bCs/>
          <w:sz w:val="24"/>
          <w:szCs w:val="24"/>
          <w:lang w:val="el-GR"/>
        </w:rPr>
        <w:t xml:space="preserve"> </w:t>
      </w:r>
      <w:r w:rsidR="00C93751">
        <w:rPr>
          <w:rFonts w:cstheme="minorHAnsi"/>
          <w:b/>
          <w:bCs/>
          <w:sz w:val="24"/>
          <w:szCs w:val="24"/>
          <w:lang w:val="el-GR"/>
        </w:rPr>
        <w:t>προσληφθεί</w:t>
      </w:r>
      <w:r w:rsidR="00C93751" w:rsidRPr="00C93751">
        <w:rPr>
          <w:rFonts w:cstheme="minorHAnsi"/>
          <w:b/>
          <w:bCs/>
          <w:sz w:val="24"/>
          <w:szCs w:val="24"/>
          <w:lang w:val="el-GR"/>
        </w:rPr>
        <w:t xml:space="preserve"> </w:t>
      </w:r>
      <w:r w:rsidR="00C93751">
        <w:rPr>
          <w:rFonts w:cstheme="minorHAnsi"/>
          <w:b/>
          <w:bCs/>
          <w:sz w:val="24"/>
          <w:szCs w:val="24"/>
          <w:lang w:val="el-GR"/>
        </w:rPr>
        <w:t>κατά</w:t>
      </w:r>
      <w:r w:rsidR="00C93751" w:rsidRPr="00C93751">
        <w:rPr>
          <w:rFonts w:cstheme="minorHAnsi"/>
          <w:b/>
          <w:bCs/>
          <w:sz w:val="24"/>
          <w:szCs w:val="24"/>
          <w:lang w:val="el-GR"/>
        </w:rPr>
        <w:t xml:space="preserve"> </w:t>
      </w:r>
      <w:r w:rsidR="00C93751">
        <w:rPr>
          <w:rFonts w:cstheme="minorHAnsi"/>
          <w:b/>
          <w:bCs/>
          <w:sz w:val="24"/>
          <w:szCs w:val="24"/>
          <w:lang w:val="el-GR"/>
        </w:rPr>
        <w:t>τη</w:t>
      </w:r>
      <w:r w:rsidR="00A41B2E">
        <w:rPr>
          <w:rFonts w:cstheme="minorHAnsi"/>
          <w:b/>
          <w:bCs/>
          <w:sz w:val="24"/>
          <w:szCs w:val="24"/>
          <w:lang w:val="el-GR"/>
        </w:rPr>
        <w:t xml:space="preserve"> διακριτική ευχέρεια </w:t>
      </w:r>
      <w:r w:rsidR="00C93751">
        <w:rPr>
          <w:rFonts w:cstheme="minorHAnsi"/>
          <w:b/>
          <w:bCs/>
          <w:sz w:val="24"/>
          <w:szCs w:val="24"/>
          <w:lang w:val="el-GR"/>
        </w:rPr>
        <w:t>της</w:t>
      </w:r>
      <w:r w:rsidR="00C93751" w:rsidRPr="00C93751">
        <w:rPr>
          <w:rFonts w:cstheme="minorHAnsi"/>
          <w:b/>
          <w:bCs/>
          <w:sz w:val="24"/>
          <w:szCs w:val="24"/>
          <w:lang w:val="el-GR"/>
        </w:rPr>
        <w:t xml:space="preserve"> </w:t>
      </w:r>
      <w:r w:rsidR="00C93751">
        <w:rPr>
          <w:rFonts w:cstheme="minorHAnsi"/>
          <w:b/>
          <w:bCs/>
          <w:sz w:val="24"/>
          <w:szCs w:val="24"/>
          <w:lang w:val="el-GR"/>
        </w:rPr>
        <w:t>κεντρικής</w:t>
      </w:r>
      <w:r w:rsidR="00C93751" w:rsidRPr="00C93751">
        <w:rPr>
          <w:rFonts w:cstheme="minorHAnsi"/>
          <w:b/>
          <w:bCs/>
          <w:sz w:val="24"/>
          <w:szCs w:val="24"/>
          <w:lang w:val="el-GR"/>
        </w:rPr>
        <w:t xml:space="preserve"> </w:t>
      </w:r>
      <w:r w:rsidR="00C93751">
        <w:rPr>
          <w:rFonts w:cstheme="minorHAnsi"/>
          <w:b/>
          <w:bCs/>
          <w:sz w:val="24"/>
          <w:szCs w:val="24"/>
          <w:lang w:val="el-GR"/>
        </w:rPr>
        <w:t>κυβέρνησης</w:t>
      </w:r>
      <w:r w:rsidR="00981A2D" w:rsidRPr="00C93751">
        <w:rPr>
          <w:rFonts w:cstheme="minorHAnsi"/>
          <w:b/>
          <w:bCs/>
          <w:sz w:val="24"/>
          <w:szCs w:val="24"/>
          <w:lang w:val="el-GR"/>
        </w:rPr>
        <w:t xml:space="preserve"> </w:t>
      </w:r>
      <w:r w:rsidR="00C93751">
        <w:rPr>
          <w:rFonts w:cstheme="minorHAnsi"/>
          <w:b/>
          <w:bCs/>
          <w:sz w:val="24"/>
          <w:szCs w:val="24"/>
          <w:lang w:val="el-GR"/>
        </w:rPr>
        <w:t>για</w:t>
      </w:r>
      <w:r w:rsidR="00C93751" w:rsidRPr="00C93751">
        <w:rPr>
          <w:rFonts w:cstheme="minorHAnsi"/>
          <w:b/>
          <w:bCs/>
          <w:sz w:val="24"/>
          <w:szCs w:val="24"/>
          <w:lang w:val="el-GR"/>
        </w:rPr>
        <w:t xml:space="preserve"> </w:t>
      </w:r>
      <w:r w:rsidR="00C93751">
        <w:rPr>
          <w:rFonts w:cstheme="minorHAnsi"/>
          <w:b/>
          <w:bCs/>
          <w:sz w:val="24"/>
          <w:szCs w:val="24"/>
          <w:lang w:val="el-GR"/>
        </w:rPr>
        <w:t>να</w:t>
      </w:r>
      <w:r w:rsidR="00C93751" w:rsidRPr="00C93751">
        <w:rPr>
          <w:rFonts w:cstheme="minorHAnsi"/>
          <w:b/>
          <w:bCs/>
          <w:sz w:val="24"/>
          <w:szCs w:val="24"/>
          <w:lang w:val="el-GR"/>
        </w:rPr>
        <w:t xml:space="preserve"> </w:t>
      </w:r>
      <w:r w:rsidR="00C93751">
        <w:rPr>
          <w:rFonts w:cstheme="minorHAnsi"/>
          <w:b/>
          <w:bCs/>
          <w:sz w:val="24"/>
          <w:szCs w:val="24"/>
          <w:lang w:val="el-GR"/>
        </w:rPr>
        <w:t>συμβουλεύουν</w:t>
      </w:r>
      <w:r w:rsidR="00C93751" w:rsidRPr="00C93751">
        <w:rPr>
          <w:rFonts w:cstheme="minorHAnsi"/>
          <w:b/>
          <w:bCs/>
          <w:sz w:val="24"/>
          <w:szCs w:val="24"/>
          <w:lang w:val="el-GR"/>
        </w:rPr>
        <w:t xml:space="preserve"> </w:t>
      </w:r>
      <w:r w:rsidR="00C93751">
        <w:rPr>
          <w:rFonts w:cstheme="minorHAnsi"/>
          <w:b/>
          <w:bCs/>
          <w:sz w:val="24"/>
          <w:szCs w:val="24"/>
          <w:lang w:val="el-GR"/>
        </w:rPr>
        <w:t>τα</w:t>
      </w:r>
      <w:r w:rsidR="00C93751" w:rsidRPr="00C93751">
        <w:rPr>
          <w:rFonts w:cstheme="minorHAnsi"/>
          <w:b/>
          <w:bCs/>
          <w:sz w:val="24"/>
          <w:szCs w:val="24"/>
          <w:lang w:val="el-GR"/>
        </w:rPr>
        <w:t xml:space="preserve"> </w:t>
      </w:r>
      <w:r w:rsidR="00C93751">
        <w:rPr>
          <w:rFonts w:cstheme="minorHAnsi"/>
          <w:b/>
          <w:bCs/>
          <w:sz w:val="24"/>
          <w:szCs w:val="24"/>
          <w:lang w:val="el-GR"/>
        </w:rPr>
        <w:t>άτομα</w:t>
      </w:r>
      <w:r w:rsidR="00C93751" w:rsidRPr="00C93751">
        <w:rPr>
          <w:rFonts w:cstheme="minorHAnsi"/>
          <w:b/>
          <w:bCs/>
          <w:sz w:val="24"/>
          <w:szCs w:val="24"/>
          <w:lang w:val="el-GR"/>
        </w:rPr>
        <w:t xml:space="preserve"> </w:t>
      </w:r>
      <w:r w:rsidR="00C93751">
        <w:rPr>
          <w:rFonts w:cstheme="minorHAnsi"/>
          <w:b/>
          <w:bCs/>
          <w:sz w:val="24"/>
          <w:szCs w:val="24"/>
          <w:lang w:val="el-GR"/>
        </w:rPr>
        <w:t>που</w:t>
      </w:r>
      <w:r w:rsidR="00C93751" w:rsidRPr="00C93751">
        <w:rPr>
          <w:rFonts w:cstheme="minorHAnsi"/>
          <w:b/>
          <w:bCs/>
          <w:sz w:val="24"/>
          <w:szCs w:val="24"/>
          <w:lang w:val="el-GR"/>
        </w:rPr>
        <w:t xml:space="preserve"> </w:t>
      </w:r>
      <w:r w:rsidR="00C93751">
        <w:rPr>
          <w:rFonts w:cstheme="minorHAnsi"/>
          <w:b/>
          <w:bCs/>
          <w:sz w:val="24"/>
          <w:szCs w:val="24"/>
          <w:lang w:val="el-GR"/>
        </w:rPr>
        <w:t>τους</w:t>
      </w:r>
      <w:r w:rsidR="00C93751" w:rsidRPr="00C93751">
        <w:rPr>
          <w:rFonts w:cstheme="minorHAnsi"/>
          <w:b/>
          <w:bCs/>
          <w:sz w:val="24"/>
          <w:szCs w:val="24"/>
          <w:lang w:val="el-GR"/>
        </w:rPr>
        <w:t xml:space="preserve"> </w:t>
      </w:r>
      <w:r w:rsidR="00C93751">
        <w:rPr>
          <w:rFonts w:cstheme="minorHAnsi"/>
          <w:b/>
          <w:bCs/>
          <w:sz w:val="24"/>
          <w:szCs w:val="24"/>
          <w:lang w:val="el-GR"/>
        </w:rPr>
        <w:t>έχουν</w:t>
      </w:r>
      <w:r w:rsidR="00C93751" w:rsidRPr="00C93751">
        <w:rPr>
          <w:rFonts w:cstheme="minorHAnsi"/>
          <w:b/>
          <w:bCs/>
          <w:sz w:val="24"/>
          <w:szCs w:val="24"/>
          <w:lang w:val="el-GR"/>
        </w:rPr>
        <w:t xml:space="preserve"> </w:t>
      </w:r>
      <w:r w:rsidR="00C93751">
        <w:rPr>
          <w:rFonts w:cstheme="minorHAnsi"/>
          <w:b/>
          <w:bCs/>
          <w:sz w:val="24"/>
          <w:szCs w:val="24"/>
          <w:lang w:val="el-GR"/>
        </w:rPr>
        <w:t>ανατεθεί</w:t>
      </w:r>
      <w:r w:rsidR="00A41B2E">
        <w:rPr>
          <w:rFonts w:cstheme="minorHAnsi"/>
          <w:b/>
          <w:bCs/>
          <w:sz w:val="24"/>
          <w:szCs w:val="24"/>
          <w:lang w:val="el-GR"/>
        </w:rPr>
        <w:t xml:space="preserve"> ανώτατα εκτελεστικά καθήκοντα</w:t>
      </w:r>
      <w:r w:rsidR="00D00F65" w:rsidRPr="00C93751">
        <w:rPr>
          <w:rFonts w:cstheme="minorHAnsi"/>
          <w:b/>
          <w:bCs/>
          <w:sz w:val="24"/>
          <w:szCs w:val="24"/>
          <w:lang w:val="el-GR"/>
        </w:rPr>
        <w:t>)</w:t>
      </w:r>
      <w:r w:rsidR="00FA26E7" w:rsidRPr="00C93751">
        <w:rPr>
          <w:rFonts w:cstheme="minorHAnsi"/>
          <w:b/>
          <w:bCs/>
          <w:sz w:val="24"/>
          <w:szCs w:val="24"/>
          <w:lang w:val="el-GR"/>
        </w:rPr>
        <w:t xml:space="preserve"> </w:t>
      </w:r>
      <w:r w:rsidR="00C93751">
        <w:rPr>
          <w:rFonts w:cstheme="minorHAnsi"/>
          <w:b/>
          <w:bCs/>
          <w:sz w:val="24"/>
          <w:szCs w:val="24"/>
          <w:lang w:val="el-GR"/>
        </w:rPr>
        <w:t>το</w:t>
      </w:r>
      <w:r w:rsidR="001E3D78">
        <w:rPr>
          <w:rFonts w:cstheme="minorHAnsi"/>
          <w:b/>
          <w:bCs/>
          <w:sz w:val="24"/>
          <w:szCs w:val="24"/>
          <w:lang w:val="el-GR"/>
        </w:rPr>
        <w:t>υ</w:t>
      </w:r>
      <w:r w:rsidR="00C93751" w:rsidRPr="00C93751">
        <w:rPr>
          <w:rFonts w:cstheme="minorHAnsi"/>
          <w:b/>
          <w:bCs/>
          <w:sz w:val="24"/>
          <w:szCs w:val="24"/>
          <w:lang w:val="el-GR"/>
        </w:rPr>
        <w:t xml:space="preserve"> </w:t>
      </w:r>
      <w:r w:rsidR="00C93751">
        <w:rPr>
          <w:rFonts w:cstheme="minorHAnsi"/>
          <w:b/>
          <w:bCs/>
          <w:sz w:val="24"/>
          <w:szCs w:val="24"/>
          <w:lang w:val="el-GR"/>
        </w:rPr>
        <w:t>καθήκον</w:t>
      </w:r>
      <w:r w:rsidR="001E3D78">
        <w:rPr>
          <w:rFonts w:cstheme="minorHAnsi"/>
          <w:b/>
          <w:bCs/>
          <w:sz w:val="24"/>
          <w:szCs w:val="24"/>
          <w:lang w:val="el-GR"/>
        </w:rPr>
        <w:t>τος</w:t>
      </w:r>
      <w:r w:rsidR="00C93751" w:rsidRPr="00C93751">
        <w:rPr>
          <w:rFonts w:cstheme="minorHAnsi"/>
          <w:b/>
          <w:bCs/>
          <w:sz w:val="24"/>
          <w:szCs w:val="24"/>
          <w:lang w:val="el-GR"/>
        </w:rPr>
        <w:t xml:space="preserve"> </w:t>
      </w:r>
      <w:r w:rsidR="00C93751">
        <w:rPr>
          <w:rFonts w:cstheme="minorHAnsi"/>
          <w:b/>
          <w:bCs/>
          <w:sz w:val="24"/>
          <w:szCs w:val="24"/>
          <w:lang w:val="el-GR"/>
        </w:rPr>
        <w:t>να</w:t>
      </w:r>
      <w:r w:rsidR="00C93751" w:rsidRPr="00C93751">
        <w:rPr>
          <w:rFonts w:cstheme="minorHAnsi"/>
          <w:b/>
          <w:bCs/>
          <w:sz w:val="24"/>
          <w:szCs w:val="24"/>
          <w:lang w:val="el-GR"/>
        </w:rPr>
        <w:t xml:space="preserve"> </w:t>
      </w:r>
      <w:r w:rsidR="00C93751">
        <w:rPr>
          <w:rFonts w:cstheme="minorHAnsi"/>
          <w:b/>
          <w:bCs/>
          <w:sz w:val="24"/>
          <w:szCs w:val="24"/>
          <w:lang w:val="el-GR"/>
        </w:rPr>
        <w:t>δηλώνουν</w:t>
      </w:r>
      <w:r w:rsidR="00C93751" w:rsidRPr="00C93751">
        <w:rPr>
          <w:rFonts w:cstheme="minorHAnsi"/>
          <w:b/>
          <w:bCs/>
          <w:sz w:val="24"/>
          <w:szCs w:val="24"/>
          <w:lang w:val="el-GR"/>
        </w:rPr>
        <w:t xml:space="preserve"> </w:t>
      </w:r>
      <w:r w:rsidR="00C93751">
        <w:rPr>
          <w:rFonts w:cstheme="minorHAnsi"/>
          <w:b/>
          <w:bCs/>
          <w:sz w:val="24"/>
          <w:szCs w:val="24"/>
          <w:lang w:val="el-GR"/>
        </w:rPr>
        <w:t>τα</w:t>
      </w:r>
      <w:r w:rsidR="00C93751" w:rsidRPr="00C93751">
        <w:rPr>
          <w:rFonts w:cstheme="minorHAnsi"/>
          <w:b/>
          <w:bCs/>
          <w:sz w:val="24"/>
          <w:szCs w:val="24"/>
          <w:lang w:val="el-GR"/>
        </w:rPr>
        <w:t xml:space="preserve"> </w:t>
      </w:r>
      <w:r w:rsidR="00C93751">
        <w:rPr>
          <w:rFonts w:cstheme="minorHAnsi"/>
          <w:b/>
          <w:bCs/>
          <w:sz w:val="24"/>
          <w:szCs w:val="24"/>
          <w:lang w:val="el-GR"/>
        </w:rPr>
        <w:t>οικονομικά</w:t>
      </w:r>
      <w:r w:rsidR="00C93751" w:rsidRPr="00C93751">
        <w:rPr>
          <w:rFonts w:cstheme="minorHAnsi"/>
          <w:b/>
          <w:bCs/>
          <w:sz w:val="24"/>
          <w:szCs w:val="24"/>
          <w:lang w:val="el-GR"/>
        </w:rPr>
        <w:t xml:space="preserve"> </w:t>
      </w:r>
      <w:r w:rsidR="00C93751">
        <w:rPr>
          <w:rFonts w:cstheme="minorHAnsi"/>
          <w:b/>
          <w:bCs/>
          <w:sz w:val="24"/>
          <w:szCs w:val="24"/>
          <w:lang w:val="el-GR"/>
        </w:rPr>
        <w:t>συμφέροντα</w:t>
      </w:r>
      <w:r w:rsidR="00C93751" w:rsidRPr="00C93751">
        <w:rPr>
          <w:rFonts w:cstheme="minorHAnsi"/>
          <w:b/>
          <w:bCs/>
          <w:sz w:val="24"/>
          <w:szCs w:val="24"/>
          <w:lang w:val="el-GR"/>
        </w:rPr>
        <w:t xml:space="preserve"> </w:t>
      </w:r>
      <w:r w:rsidR="00C93751">
        <w:rPr>
          <w:rFonts w:cstheme="minorHAnsi"/>
          <w:b/>
          <w:bCs/>
          <w:sz w:val="24"/>
          <w:szCs w:val="24"/>
          <w:lang w:val="el-GR"/>
        </w:rPr>
        <w:t>τους</w:t>
      </w:r>
      <w:r w:rsidR="0009739C" w:rsidRPr="00C93751">
        <w:rPr>
          <w:rFonts w:cstheme="minorHAnsi"/>
          <w:b/>
          <w:bCs/>
          <w:sz w:val="24"/>
          <w:szCs w:val="24"/>
          <w:lang w:val="el-GR"/>
        </w:rPr>
        <w:t xml:space="preserve">, </w:t>
      </w:r>
      <w:r w:rsidR="00C93751">
        <w:rPr>
          <w:rFonts w:cstheme="minorHAnsi"/>
          <w:b/>
          <w:bCs/>
          <w:sz w:val="24"/>
          <w:szCs w:val="24"/>
          <w:lang w:val="el-GR"/>
        </w:rPr>
        <w:t>και</w:t>
      </w:r>
      <w:r w:rsidR="00C93751" w:rsidRPr="00C93751">
        <w:rPr>
          <w:rFonts w:cstheme="minorHAnsi"/>
          <w:b/>
          <w:bCs/>
          <w:sz w:val="24"/>
          <w:szCs w:val="24"/>
          <w:lang w:val="el-GR"/>
        </w:rPr>
        <w:t xml:space="preserve"> </w:t>
      </w:r>
      <w:r w:rsidR="00C93751">
        <w:rPr>
          <w:rFonts w:cstheme="minorHAnsi"/>
          <w:b/>
          <w:bCs/>
          <w:sz w:val="24"/>
          <w:szCs w:val="24"/>
          <w:lang w:val="el-GR"/>
        </w:rPr>
        <w:t>να</w:t>
      </w:r>
      <w:r w:rsidR="00C93751" w:rsidRPr="00C93751">
        <w:rPr>
          <w:rFonts w:cstheme="minorHAnsi"/>
          <w:b/>
          <w:bCs/>
          <w:sz w:val="24"/>
          <w:szCs w:val="24"/>
          <w:lang w:val="el-GR"/>
        </w:rPr>
        <w:t xml:space="preserve"> </w:t>
      </w:r>
      <w:r w:rsidR="00A41B2E">
        <w:rPr>
          <w:rFonts w:cstheme="minorHAnsi"/>
          <w:b/>
          <w:bCs/>
          <w:sz w:val="24"/>
          <w:szCs w:val="24"/>
          <w:lang w:val="el-GR"/>
        </w:rPr>
        <w:t xml:space="preserve">αξιολογηθεί η </w:t>
      </w:r>
      <w:r w:rsidR="00C93751">
        <w:rPr>
          <w:rFonts w:cstheme="minorHAnsi"/>
          <w:b/>
          <w:bCs/>
          <w:sz w:val="24"/>
          <w:szCs w:val="24"/>
          <w:lang w:val="el-GR"/>
        </w:rPr>
        <w:t>συμπερίληψη</w:t>
      </w:r>
      <w:r w:rsidR="00A41B2E">
        <w:rPr>
          <w:rFonts w:cstheme="minorHAnsi"/>
          <w:b/>
          <w:bCs/>
          <w:sz w:val="24"/>
          <w:szCs w:val="24"/>
          <w:lang w:val="el-GR"/>
        </w:rPr>
        <w:t xml:space="preserve"> των</w:t>
      </w:r>
      <w:r w:rsidR="00C93751" w:rsidRPr="00C93751">
        <w:rPr>
          <w:rFonts w:cstheme="minorHAnsi"/>
          <w:b/>
          <w:bCs/>
          <w:sz w:val="24"/>
          <w:szCs w:val="24"/>
          <w:lang w:val="el-GR"/>
        </w:rPr>
        <w:t xml:space="preserve"> </w:t>
      </w:r>
      <w:r w:rsidR="00C93751">
        <w:rPr>
          <w:rFonts w:cstheme="minorHAnsi"/>
          <w:b/>
          <w:bCs/>
          <w:sz w:val="24"/>
          <w:szCs w:val="24"/>
          <w:lang w:val="el-GR"/>
        </w:rPr>
        <w:t>πληροφοριών</w:t>
      </w:r>
      <w:r w:rsidR="00C93751" w:rsidRPr="00C93751">
        <w:rPr>
          <w:rFonts w:cstheme="minorHAnsi"/>
          <w:b/>
          <w:bCs/>
          <w:sz w:val="24"/>
          <w:szCs w:val="24"/>
          <w:lang w:val="el-GR"/>
        </w:rPr>
        <w:t xml:space="preserve"> </w:t>
      </w:r>
      <w:r w:rsidR="00C93751">
        <w:rPr>
          <w:rFonts w:cstheme="minorHAnsi"/>
          <w:b/>
          <w:bCs/>
          <w:sz w:val="24"/>
          <w:szCs w:val="24"/>
          <w:lang w:val="el-GR"/>
        </w:rPr>
        <w:t>για</w:t>
      </w:r>
      <w:r w:rsidR="00C93751" w:rsidRPr="00C93751">
        <w:rPr>
          <w:rFonts w:cstheme="minorHAnsi"/>
          <w:b/>
          <w:bCs/>
          <w:sz w:val="24"/>
          <w:szCs w:val="24"/>
          <w:lang w:val="el-GR"/>
        </w:rPr>
        <w:t xml:space="preserve"> </w:t>
      </w:r>
      <w:r w:rsidR="00C93751">
        <w:rPr>
          <w:rFonts w:cstheme="minorHAnsi"/>
          <w:b/>
          <w:bCs/>
          <w:sz w:val="24"/>
          <w:szCs w:val="24"/>
          <w:lang w:val="el-GR"/>
        </w:rPr>
        <w:t>συζύγους,</w:t>
      </w:r>
      <w:r w:rsidR="00C93751" w:rsidRPr="00C93751">
        <w:rPr>
          <w:rFonts w:cstheme="minorHAnsi"/>
          <w:b/>
          <w:bCs/>
          <w:sz w:val="24"/>
          <w:szCs w:val="24"/>
          <w:lang w:val="el-GR"/>
        </w:rPr>
        <w:t xml:space="preserve"> </w:t>
      </w:r>
      <w:r w:rsidR="00C93751">
        <w:rPr>
          <w:rFonts w:cstheme="minorHAnsi"/>
          <w:b/>
          <w:bCs/>
          <w:sz w:val="24"/>
          <w:szCs w:val="24"/>
          <w:lang w:val="el-GR"/>
        </w:rPr>
        <w:t xml:space="preserve">πολιτικούς </w:t>
      </w:r>
      <w:proofErr w:type="spellStart"/>
      <w:r w:rsidR="00A41B2E">
        <w:rPr>
          <w:rFonts w:cstheme="minorHAnsi"/>
          <w:b/>
          <w:bCs/>
          <w:sz w:val="24"/>
          <w:szCs w:val="24"/>
          <w:lang w:val="el-GR"/>
        </w:rPr>
        <w:t>συμβίους</w:t>
      </w:r>
      <w:proofErr w:type="spellEnd"/>
      <w:r w:rsidR="00A41B2E">
        <w:rPr>
          <w:rFonts w:cstheme="minorHAnsi"/>
          <w:b/>
          <w:bCs/>
          <w:sz w:val="24"/>
          <w:szCs w:val="24"/>
          <w:lang w:val="el-GR"/>
        </w:rPr>
        <w:t xml:space="preserve"> </w:t>
      </w:r>
      <w:r w:rsidR="00C93751">
        <w:rPr>
          <w:rFonts w:cstheme="minorHAnsi"/>
          <w:b/>
          <w:bCs/>
          <w:sz w:val="24"/>
          <w:szCs w:val="24"/>
          <w:lang w:val="el-GR"/>
        </w:rPr>
        <w:t>και</w:t>
      </w:r>
      <w:r w:rsidR="00C93751" w:rsidRPr="00C93751">
        <w:rPr>
          <w:rFonts w:cstheme="minorHAnsi"/>
          <w:b/>
          <w:bCs/>
          <w:sz w:val="24"/>
          <w:szCs w:val="24"/>
          <w:lang w:val="el-GR"/>
        </w:rPr>
        <w:t xml:space="preserve"> </w:t>
      </w:r>
      <w:r w:rsidR="00C93751">
        <w:rPr>
          <w:rFonts w:cstheme="minorHAnsi"/>
          <w:b/>
          <w:bCs/>
          <w:sz w:val="24"/>
          <w:szCs w:val="24"/>
          <w:lang w:val="el-GR"/>
        </w:rPr>
        <w:t>εξαρτώμενα</w:t>
      </w:r>
      <w:r w:rsidR="00C93751" w:rsidRPr="00C93751">
        <w:rPr>
          <w:rFonts w:cstheme="minorHAnsi"/>
          <w:b/>
          <w:bCs/>
          <w:sz w:val="24"/>
          <w:szCs w:val="24"/>
          <w:lang w:val="el-GR"/>
        </w:rPr>
        <w:t xml:space="preserve"> </w:t>
      </w:r>
      <w:r w:rsidR="00C93751">
        <w:rPr>
          <w:rFonts w:cstheme="minorHAnsi"/>
          <w:b/>
          <w:bCs/>
          <w:sz w:val="24"/>
          <w:szCs w:val="24"/>
          <w:lang w:val="el-GR"/>
        </w:rPr>
        <w:t>μέλη της οικογένειας</w:t>
      </w:r>
      <w:r w:rsidR="00981A2D" w:rsidRPr="00C93751">
        <w:rPr>
          <w:rFonts w:cstheme="minorHAnsi"/>
          <w:b/>
          <w:bCs/>
          <w:sz w:val="24"/>
          <w:szCs w:val="24"/>
          <w:lang w:val="el-GR"/>
        </w:rPr>
        <w:t xml:space="preserve">, </w:t>
      </w:r>
      <w:r w:rsidR="0009739C" w:rsidRPr="00C93751">
        <w:rPr>
          <w:rFonts w:cstheme="minorHAnsi"/>
          <w:b/>
          <w:bCs/>
          <w:sz w:val="24"/>
          <w:szCs w:val="24"/>
          <w:lang w:val="el-GR"/>
        </w:rPr>
        <w:t>(</w:t>
      </w:r>
      <w:r w:rsidR="00AD2AD8">
        <w:rPr>
          <w:rFonts w:cstheme="minorHAnsi"/>
          <w:b/>
          <w:bCs/>
          <w:sz w:val="24"/>
          <w:szCs w:val="24"/>
          <w:lang w:val="el-GR"/>
        </w:rPr>
        <w:t xml:space="preserve">είναι </w:t>
      </w:r>
      <w:r w:rsidR="00D969BB">
        <w:rPr>
          <w:rFonts w:cstheme="minorHAnsi"/>
          <w:b/>
          <w:bCs/>
          <w:sz w:val="24"/>
          <w:szCs w:val="24"/>
          <w:lang w:val="el-GR"/>
        </w:rPr>
        <w:t>κατανοητό</w:t>
      </w:r>
      <w:r w:rsidR="00AD2AD8">
        <w:rPr>
          <w:rFonts w:cstheme="minorHAnsi"/>
          <w:b/>
          <w:bCs/>
          <w:sz w:val="24"/>
          <w:szCs w:val="24"/>
          <w:lang w:val="el-GR"/>
        </w:rPr>
        <w:t xml:space="preserve"> </w:t>
      </w:r>
      <w:r w:rsidR="00C93751">
        <w:rPr>
          <w:rFonts w:cstheme="minorHAnsi"/>
          <w:b/>
          <w:bCs/>
          <w:sz w:val="24"/>
          <w:szCs w:val="24"/>
          <w:lang w:val="el-GR"/>
        </w:rPr>
        <w:t xml:space="preserve">ότι </w:t>
      </w:r>
      <w:r w:rsidR="00AD2AD8">
        <w:rPr>
          <w:rFonts w:cstheme="minorHAnsi"/>
          <w:b/>
          <w:bCs/>
          <w:sz w:val="24"/>
          <w:szCs w:val="24"/>
          <w:lang w:val="el-GR"/>
        </w:rPr>
        <w:t xml:space="preserve">οι </w:t>
      </w:r>
      <w:r w:rsidR="00C93751">
        <w:rPr>
          <w:rFonts w:cstheme="minorHAnsi"/>
          <w:b/>
          <w:bCs/>
          <w:sz w:val="24"/>
          <w:szCs w:val="24"/>
          <w:lang w:val="el-GR"/>
        </w:rPr>
        <w:t>τελευταίες πληροφορίες</w:t>
      </w:r>
      <w:r w:rsidR="0009739C" w:rsidRPr="00C93751">
        <w:rPr>
          <w:rFonts w:cstheme="minorHAnsi"/>
          <w:b/>
          <w:bCs/>
          <w:sz w:val="24"/>
          <w:szCs w:val="24"/>
          <w:lang w:val="el-GR"/>
        </w:rPr>
        <w:t xml:space="preserve"> </w:t>
      </w:r>
      <w:r w:rsidR="00C93751">
        <w:rPr>
          <w:rFonts w:cstheme="minorHAnsi"/>
          <w:b/>
          <w:bCs/>
          <w:sz w:val="24"/>
          <w:szCs w:val="24"/>
          <w:lang w:val="el-GR"/>
        </w:rPr>
        <w:t>δεν</w:t>
      </w:r>
      <w:r w:rsidR="00AD2AD8">
        <w:rPr>
          <w:rFonts w:cstheme="minorHAnsi"/>
          <w:b/>
          <w:bCs/>
          <w:sz w:val="24"/>
          <w:szCs w:val="24"/>
          <w:lang w:val="el-GR"/>
        </w:rPr>
        <w:t xml:space="preserve"> είναι αναγκαίο να δημοσιεύονται</w:t>
      </w:r>
      <w:r w:rsidR="0009739C" w:rsidRPr="00C93751">
        <w:rPr>
          <w:rFonts w:cstheme="minorHAnsi"/>
          <w:b/>
          <w:bCs/>
          <w:sz w:val="24"/>
          <w:szCs w:val="24"/>
          <w:lang w:val="el-GR"/>
        </w:rPr>
        <w:t xml:space="preserve">); </w:t>
      </w:r>
      <w:bookmarkEnd w:id="151"/>
      <w:r w:rsidR="00667B43" w:rsidRPr="00C93751">
        <w:rPr>
          <w:rFonts w:ascii="Calibri" w:hAnsi="Calibri" w:cs="Calibri"/>
          <w:b/>
          <w:bCs/>
          <w:color w:val="000000"/>
          <w:sz w:val="24"/>
          <w:szCs w:val="24"/>
          <w:lang w:val="el-GR"/>
        </w:rPr>
        <w:t>(</w:t>
      </w:r>
      <w:r w:rsidR="00667B43" w:rsidRPr="000538B6">
        <w:rPr>
          <w:rFonts w:ascii="Calibri" w:hAnsi="Calibri" w:cs="Calibri"/>
          <w:b/>
          <w:bCs/>
          <w:color w:val="000000"/>
          <w:sz w:val="24"/>
          <w:szCs w:val="24"/>
        </w:rPr>
        <w:t>ii</w:t>
      </w:r>
      <w:r w:rsidR="00667B43" w:rsidRPr="00C93751">
        <w:rPr>
          <w:rFonts w:ascii="Calibri" w:hAnsi="Calibri" w:cs="Calibri"/>
          <w:b/>
          <w:bCs/>
          <w:color w:val="000000"/>
          <w:sz w:val="24"/>
          <w:szCs w:val="24"/>
          <w:lang w:val="el-GR"/>
        </w:rPr>
        <w:t xml:space="preserve">) </w:t>
      </w:r>
      <w:r w:rsidR="00010A1B">
        <w:rPr>
          <w:rFonts w:ascii="Calibri" w:hAnsi="Calibri" w:cs="Calibri"/>
          <w:b/>
          <w:bCs/>
          <w:color w:val="000000"/>
          <w:sz w:val="24"/>
          <w:szCs w:val="24"/>
          <w:lang w:val="el-GR"/>
        </w:rPr>
        <w:t>τον επανασχεδιασμό των</w:t>
      </w:r>
      <w:r w:rsidR="00C93751">
        <w:rPr>
          <w:rFonts w:ascii="Calibri" w:hAnsi="Calibri" w:cs="Calibri"/>
          <w:b/>
          <w:bCs/>
          <w:color w:val="000000"/>
          <w:sz w:val="24"/>
          <w:szCs w:val="24"/>
          <w:lang w:val="el-GR"/>
        </w:rPr>
        <w:t xml:space="preserve"> δηλώσε</w:t>
      </w:r>
      <w:r w:rsidR="00010A1B">
        <w:rPr>
          <w:rFonts w:ascii="Calibri" w:hAnsi="Calibri" w:cs="Calibri"/>
          <w:b/>
          <w:bCs/>
          <w:color w:val="000000"/>
          <w:sz w:val="24"/>
          <w:szCs w:val="24"/>
          <w:lang w:val="el-GR"/>
        </w:rPr>
        <w:t>ων</w:t>
      </w:r>
      <w:r w:rsidR="00C93751">
        <w:rPr>
          <w:rFonts w:ascii="Calibri" w:hAnsi="Calibri" w:cs="Calibri"/>
          <w:b/>
          <w:bCs/>
          <w:color w:val="000000"/>
          <w:sz w:val="24"/>
          <w:szCs w:val="24"/>
          <w:lang w:val="el-GR"/>
        </w:rPr>
        <w:t xml:space="preserve"> περιουσιακών στοιχείων</w:t>
      </w:r>
      <w:r w:rsidR="00A5147D" w:rsidRPr="00C93751">
        <w:rPr>
          <w:rFonts w:ascii="Calibri" w:hAnsi="Calibri" w:cs="Calibri"/>
          <w:b/>
          <w:bCs/>
          <w:color w:val="000000"/>
          <w:sz w:val="24"/>
          <w:szCs w:val="24"/>
          <w:lang w:val="el-GR"/>
        </w:rPr>
        <w:t xml:space="preserve"> </w:t>
      </w:r>
      <w:r w:rsidR="00010A1B">
        <w:rPr>
          <w:rFonts w:ascii="Calibri" w:hAnsi="Calibri" w:cs="Calibri"/>
          <w:b/>
          <w:bCs/>
          <w:color w:val="000000"/>
          <w:sz w:val="24"/>
          <w:szCs w:val="24"/>
          <w:lang w:val="el-GR"/>
        </w:rPr>
        <w:t xml:space="preserve">για παροχή </w:t>
      </w:r>
      <w:r w:rsidR="00AD2AD8">
        <w:rPr>
          <w:rFonts w:ascii="Calibri" w:hAnsi="Calibri" w:cs="Calibri"/>
          <w:b/>
          <w:bCs/>
          <w:color w:val="000000"/>
          <w:sz w:val="24"/>
          <w:szCs w:val="24"/>
          <w:lang w:val="el-GR"/>
        </w:rPr>
        <w:t xml:space="preserve">αναλυτικότερης </w:t>
      </w:r>
      <w:r w:rsidR="00D969BB">
        <w:rPr>
          <w:rFonts w:ascii="Calibri" w:hAnsi="Calibri" w:cs="Calibri"/>
          <w:b/>
          <w:bCs/>
          <w:color w:val="000000"/>
          <w:sz w:val="24"/>
          <w:szCs w:val="24"/>
          <w:lang w:val="el-GR"/>
        </w:rPr>
        <w:t>πληροφόρησης</w:t>
      </w:r>
      <w:r w:rsidR="00AD2AD8">
        <w:rPr>
          <w:rFonts w:ascii="Calibri" w:hAnsi="Calibri" w:cs="Calibri"/>
          <w:b/>
          <w:bCs/>
          <w:color w:val="000000"/>
          <w:sz w:val="24"/>
          <w:szCs w:val="24"/>
          <w:lang w:val="el-GR"/>
        </w:rPr>
        <w:t xml:space="preserve"> </w:t>
      </w:r>
      <w:r w:rsidR="00010A1B">
        <w:rPr>
          <w:rFonts w:ascii="Calibri" w:hAnsi="Calibri" w:cs="Calibri"/>
          <w:b/>
          <w:bCs/>
          <w:color w:val="000000"/>
          <w:sz w:val="24"/>
          <w:szCs w:val="24"/>
          <w:lang w:val="el-GR"/>
        </w:rPr>
        <w:t xml:space="preserve">και </w:t>
      </w:r>
      <w:r w:rsidR="00010A1B">
        <w:rPr>
          <w:rFonts w:ascii="Calibri" w:hAnsi="Calibri" w:cs="Calibri"/>
          <w:b/>
          <w:bCs/>
          <w:color w:val="000000"/>
          <w:sz w:val="24"/>
          <w:szCs w:val="24"/>
          <w:lang w:val="el-GR"/>
        </w:rPr>
        <w:lastRenderedPageBreak/>
        <w:t xml:space="preserve">καλύτερης </w:t>
      </w:r>
      <w:proofErr w:type="spellStart"/>
      <w:r w:rsidR="00010A1B">
        <w:rPr>
          <w:rFonts w:ascii="Calibri" w:hAnsi="Calibri" w:cs="Calibri"/>
          <w:b/>
          <w:bCs/>
          <w:color w:val="000000"/>
          <w:sz w:val="24"/>
          <w:szCs w:val="24"/>
          <w:lang w:val="el-GR"/>
        </w:rPr>
        <w:t>συγκρισιμότητας</w:t>
      </w:r>
      <w:proofErr w:type="spellEnd"/>
      <w:r w:rsidR="00010A1B" w:rsidRPr="00010A1B">
        <w:rPr>
          <w:rFonts w:ascii="Calibri" w:hAnsi="Calibri" w:cs="Calibri"/>
          <w:b/>
          <w:bCs/>
          <w:color w:val="000000"/>
          <w:sz w:val="24"/>
          <w:szCs w:val="24"/>
          <w:lang w:val="el-GR"/>
        </w:rPr>
        <w:t>,</w:t>
      </w:r>
      <w:r w:rsidR="00A5147D" w:rsidRPr="00C93751">
        <w:rPr>
          <w:rFonts w:ascii="Calibri" w:hAnsi="Calibri" w:cs="Calibri"/>
          <w:b/>
          <w:bCs/>
          <w:color w:val="000000"/>
          <w:sz w:val="24"/>
          <w:szCs w:val="24"/>
          <w:lang w:val="el-GR"/>
        </w:rPr>
        <w:t xml:space="preserve"> (</w:t>
      </w:r>
      <w:r w:rsidR="00A5147D" w:rsidRPr="000538B6">
        <w:rPr>
          <w:rFonts w:ascii="Calibri" w:hAnsi="Calibri" w:cs="Calibri"/>
          <w:b/>
          <w:bCs/>
          <w:color w:val="000000"/>
          <w:sz w:val="24"/>
          <w:szCs w:val="24"/>
        </w:rPr>
        <w:t>ii</w:t>
      </w:r>
      <w:r w:rsidR="009B1F11" w:rsidRPr="000538B6">
        <w:rPr>
          <w:rFonts w:ascii="Calibri" w:hAnsi="Calibri" w:cs="Calibri"/>
          <w:b/>
          <w:bCs/>
          <w:color w:val="000000"/>
          <w:sz w:val="24"/>
          <w:szCs w:val="24"/>
        </w:rPr>
        <w:t>i</w:t>
      </w:r>
      <w:r w:rsidR="00A5147D" w:rsidRPr="00C93751">
        <w:rPr>
          <w:rFonts w:ascii="Calibri" w:hAnsi="Calibri" w:cs="Calibri"/>
          <w:b/>
          <w:bCs/>
          <w:color w:val="000000"/>
          <w:sz w:val="24"/>
          <w:szCs w:val="24"/>
          <w:lang w:val="el-GR"/>
        </w:rPr>
        <w:t>)</w:t>
      </w:r>
      <w:r w:rsidR="00D352A6" w:rsidRPr="000538B6">
        <w:rPr>
          <w:rFonts w:ascii="Calibri" w:hAnsi="Calibri" w:cs="Calibri"/>
          <w:b/>
          <w:bCs/>
          <w:color w:val="000000"/>
          <w:sz w:val="24"/>
          <w:szCs w:val="24"/>
        </w:rPr>
        <w:t> </w:t>
      </w:r>
      <w:r w:rsidR="00BD2FA6">
        <w:rPr>
          <w:rFonts w:ascii="Calibri" w:hAnsi="Calibri" w:cs="Calibri"/>
          <w:b/>
          <w:bCs/>
          <w:color w:val="000000"/>
          <w:sz w:val="24"/>
          <w:szCs w:val="24"/>
          <w:lang w:val="el-GR"/>
        </w:rPr>
        <w:t>την υποβολή τους</w:t>
      </w:r>
      <w:r w:rsidR="00A5147D" w:rsidRPr="00C93751">
        <w:rPr>
          <w:rFonts w:ascii="Calibri" w:hAnsi="Calibri" w:cs="Calibri"/>
          <w:b/>
          <w:bCs/>
          <w:color w:val="000000"/>
          <w:sz w:val="24"/>
          <w:szCs w:val="24"/>
          <w:lang w:val="el-GR"/>
        </w:rPr>
        <w:t xml:space="preserve"> </w:t>
      </w:r>
      <w:r w:rsidR="00134D42">
        <w:rPr>
          <w:rFonts w:ascii="Calibri" w:hAnsi="Calibri" w:cs="Calibri"/>
          <w:b/>
          <w:bCs/>
          <w:color w:val="000000"/>
          <w:sz w:val="24"/>
          <w:szCs w:val="24"/>
          <w:lang w:val="el-GR"/>
        </w:rPr>
        <w:t>διαδικτυακά</w:t>
      </w:r>
      <w:r w:rsidR="00A5147D" w:rsidRPr="00C93751">
        <w:rPr>
          <w:rFonts w:ascii="Calibri" w:hAnsi="Calibri" w:cs="Calibri"/>
          <w:b/>
          <w:bCs/>
          <w:color w:val="000000"/>
          <w:sz w:val="24"/>
          <w:szCs w:val="24"/>
          <w:lang w:val="el-GR"/>
        </w:rPr>
        <w:t xml:space="preserve"> </w:t>
      </w:r>
      <w:r w:rsidR="00134D42">
        <w:rPr>
          <w:rFonts w:ascii="Calibri" w:hAnsi="Calibri" w:cs="Calibri"/>
          <w:b/>
          <w:bCs/>
          <w:color w:val="000000"/>
          <w:sz w:val="24"/>
          <w:szCs w:val="24"/>
          <w:lang w:val="el-GR"/>
        </w:rPr>
        <w:t>σε μορφή που να είναι αναγνώσιμη από μηχανή για να επιτραπεί η αυτοματοποιημένη επεξεργασία και επαλήθευση,</w:t>
      </w:r>
      <w:r w:rsidR="0009739C" w:rsidRPr="00C93751">
        <w:rPr>
          <w:rFonts w:ascii="Calibri" w:hAnsi="Calibri" w:cs="Calibri"/>
          <w:b/>
          <w:bCs/>
          <w:color w:val="000000"/>
          <w:sz w:val="24"/>
          <w:szCs w:val="24"/>
          <w:lang w:val="el-GR"/>
        </w:rPr>
        <w:t xml:space="preserve"> </w:t>
      </w:r>
      <w:r w:rsidR="00134D42">
        <w:rPr>
          <w:rFonts w:ascii="Calibri" w:hAnsi="Calibri" w:cs="Calibri"/>
          <w:b/>
          <w:bCs/>
          <w:color w:val="000000"/>
          <w:sz w:val="24"/>
          <w:szCs w:val="24"/>
          <w:lang w:val="el-GR"/>
        </w:rPr>
        <w:t>και</w:t>
      </w:r>
      <w:r w:rsidR="00A5147D" w:rsidRPr="00C93751">
        <w:rPr>
          <w:rFonts w:ascii="Calibri" w:hAnsi="Calibri" w:cs="Calibri"/>
          <w:b/>
          <w:bCs/>
          <w:color w:val="000000"/>
          <w:sz w:val="24"/>
          <w:szCs w:val="24"/>
          <w:lang w:val="el-GR"/>
        </w:rPr>
        <w:t xml:space="preserve"> (</w:t>
      </w:r>
      <w:r w:rsidR="00A5147D" w:rsidRPr="000538B6">
        <w:rPr>
          <w:rFonts w:ascii="Calibri" w:hAnsi="Calibri" w:cs="Calibri"/>
          <w:b/>
          <w:bCs/>
          <w:color w:val="000000"/>
          <w:sz w:val="24"/>
          <w:szCs w:val="24"/>
        </w:rPr>
        <w:t>i</w:t>
      </w:r>
      <w:r w:rsidR="009B1F11" w:rsidRPr="000538B6">
        <w:rPr>
          <w:rFonts w:ascii="Calibri" w:hAnsi="Calibri" w:cs="Calibri"/>
          <w:b/>
          <w:bCs/>
          <w:color w:val="000000"/>
          <w:sz w:val="24"/>
          <w:szCs w:val="24"/>
        </w:rPr>
        <w:t>v</w:t>
      </w:r>
      <w:r w:rsidR="00A5147D" w:rsidRPr="00C93751">
        <w:rPr>
          <w:rFonts w:ascii="Calibri" w:hAnsi="Calibri" w:cs="Calibri"/>
          <w:b/>
          <w:bCs/>
          <w:color w:val="000000"/>
          <w:sz w:val="24"/>
          <w:szCs w:val="24"/>
          <w:lang w:val="el-GR"/>
        </w:rPr>
        <w:t xml:space="preserve">) </w:t>
      </w:r>
      <w:bookmarkStart w:id="152" w:name="_Hlk132889514"/>
      <w:r w:rsidR="00134D42">
        <w:rPr>
          <w:rFonts w:ascii="Calibri" w:hAnsi="Calibri" w:cs="Calibri"/>
          <w:b/>
          <w:bCs/>
          <w:color w:val="000000"/>
          <w:sz w:val="24"/>
          <w:szCs w:val="24"/>
          <w:lang w:val="el-GR"/>
        </w:rPr>
        <w:t>την αναθεώρηση της συχνότητας της υποχρέωσης αποκάλυψης</w:t>
      </w:r>
      <w:r w:rsidR="00D352A6" w:rsidRPr="00C93751">
        <w:rPr>
          <w:rFonts w:ascii="Calibri" w:hAnsi="Calibri" w:cs="Calibri"/>
          <w:b/>
          <w:bCs/>
          <w:color w:val="000000"/>
          <w:sz w:val="24"/>
          <w:szCs w:val="24"/>
          <w:lang w:val="el-GR"/>
        </w:rPr>
        <w:t xml:space="preserve"> </w:t>
      </w:r>
      <w:r w:rsidR="00134D42">
        <w:rPr>
          <w:rFonts w:ascii="Calibri" w:hAnsi="Calibri" w:cs="Calibri"/>
          <w:b/>
          <w:bCs/>
          <w:color w:val="000000"/>
          <w:sz w:val="24"/>
          <w:szCs w:val="24"/>
          <w:lang w:val="el-GR"/>
        </w:rPr>
        <w:t>με σκοπό τ</w:t>
      </w:r>
      <w:r w:rsidR="00AD2AD8">
        <w:rPr>
          <w:rFonts w:ascii="Calibri" w:hAnsi="Calibri" w:cs="Calibri"/>
          <w:b/>
          <w:bCs/>
          <w:color w:val="000000"/>
          <w:sz w:val="24"/>
          <w:szCs w:val="24"/>
          <w:lang w:val="el-GR"/>
        </w:rPr>
        <w:t xml:space="preserve">ην </w:t>
      </w:r>
      <w:r w:rsidR="00D969BB">
        <w:rPr>
          <w:rFonts w:ascii="Calibri" w:hAnsi="Calibri" w:cs="Calibri"/>
          <w:b/>
          <w:bCs/>
          <w:color w:val="000000"/>
          <w:sz w:val="24"/>
          <w:szCs w:val="24"/>
          <w:lang w:val="el-GR"/>
        </w:rPr>
        <w:t>ενίσχυση</w:t>
      </w:r>
      <w:r w:rsidR="00AD2AD8">
        <w:rPr>
          <w:rFonts w:ascii="Calibri" w:hAnsi="Calibri" w:cs="Calibri"/>
          <w:b/>
          <w:bCs/>
          <w:color w:val="000000"/>
          <w:sz w:val="24"/>
          <w:szCs w:val="24"/>
          <w:lang w:val="el-GR"/>
        </w:rPr>
        <w:t xml:space="preserve"> </w:t>
      </w:r>
      <w:r w:rsidR="00134D42">
        <w:rPr>
          <w:rFonts w:ascii="Calibri" w:hAnsi="Calibri" w:cs="Calibri"/>
          <w:b/>
          <w:bCs/>
          <w:color w:val="000000"/>
          <w:sz w:val="24"/>
          <w:szCs w:val="24"/>
          <w:lang w:val="el-GR"/>
        </w:rPr>
        <w:t>της χρησιμότητας των πληροφοριών που παραλαμβάνονται</w:t>
      </w:r>
      <w:r w:rsidR="00667B43" w:rsidRPr="00C93751">
        <w:rPr>
          <w:rFonts w:ascii="Calibri" w:hAnsi="Calibri" w:cs="Calibri"/>
          <w:b/>
          <w:bCs/>
          <w:color w:val="000000"/>
          <w:sz w:val="24"/>
          <w:szCs w:val="24"/>
          <w:lang w:val="el-GR"/>
        </w:rPr>
        <w:t xml:space="preserve"> </w:t>
      </w:r>
      <w:r w:rsidR="00134D42">
        <w:rPr>
          <w:rFonts w:ascii="Calibri" w:hAnsi="Calibri" w:cs="Calibri"/>
          <w:b/>
          <w:bCs/>
          <w:color w:val="000000"/>
          <w:sz w:val="24"/>
          <w:szCs w:val="24"/>
          <w:lang w:val="el-GR"/>
        </w:rPr>
        <w:t xml:space="preserve">και τη </w:t>
      </w:r>
      <w:r w:rsidR="00A930CF">
        <w:rPr>
          <w:rFonts w:ascii="Calibri" w:hAnsi="Calibri" w:cs="Calibri"/>
          <w:b/>
          <w:bCs/>
          <w:color w:val="000000"/>
          <w:sz w:val="24"/>
          <w:szCs w:val="24"/>
          <w:lang w:val="el-GR"/>
        </w:rPr>
        <w:t>συνολική αποτελεσματικότητα του συστήματος</w:t>
      </w:r>
      <w:r w:rsidR="00D352A6" w:rsidRPr="00C93751">
        <w:rPr>
          <w:rFonts w:ascii="Calibri" w:hAnsi="Calibri" w:cs="Calibri"/>
          <w:b/>
          <w:bCs/>
          <w:color w:val="000000"/>
          <w:sz w:val="24"/>
          <w:szCs w:val="24"/>
          <w:lang w:val="el-GR"/>
        </w:rPr>
        <w:t>.</w:t>
      </w:r>
      <w:bookmarkEnd w:id="152"/>
    </w:p>
    <w:p w14:paraId="5AAAC6AC" w14:textId="77777777" w:rsidR="00A5147D" w:rsidRPr="00C93751" w:rsidRDefault="00A5147D" w:rsidP="00A5147D">
      <w:pPr>
        <w:pStyle w:val="ListParagraph"/>
        <w:rPr>
          <w:rFonts w:cstheme="minorHAnsi"/>
          <w:sz w:val="24"/>
          <w:szCs w:val="24"/>
          <w:lang w:val="el-GR"/>
        </w:rPr>
      </w:pPr>
    </w:p>
    <w:p w14:paraId="64948EC5" w14:textId="26B62A46" w:rsidR="00A5147D" w:rsidRPr="001E1809" w:rsidRDefault="00A930CF" w:rsidP="00A5147D">
      <w:pPr>
        <w:numPr>
          <w:ilvl w:val="0"/>
          <w:numId w:val="1"/>
        </w:numPr>
        <w:tabs>
          <w:tab w:val="clear" w:pos="6095"/>
          <w:tab w:val="left" w:pos="709"/>
        </w:tabs>
        <w:ind w:left="0" w:firstLine="0"/>
        <w:rPr>
          <w:rFonts w:ascii="Calibri" w:hAnsi="Calibri" w:cs="Calibri"/>
          <w:b/>
          <w:bCs/>
          <w:color w:val="000000"/>
          <w:sz w:val="24"/>
          <w:szCs w:val="24"/>
          <w:lang w:val="el-GR"/>
        </w:rPr>
      </w:pPr>
      <w:r>
        <w:rPr>
          <w:rFonts w:cstheme="minorHAnsi"/>
          <w:sz w:val="24"/>
          <w:szCs w:val="24"/>
          <w:lang w:val="el-GR"/>
        </w:rPr>
        <w:t>Επιπλέον</w:t>
      </w:r>
      <w:r w:rsidR="00A5147D" w:rsidRPr="00A930CF">
        <w:rPr>
          <w:rFonts w:cstheme="minorHAnsi"/>
          <w:sz w:val="24"/>
          <w:szCs w:val="24"/>
          <w:lang w:val="el-GR"/>
        </w:rPr>
        <w:t xml:space="preserve">, </w:t>
      </w:r>
      <w:r>
        <w:rPr>
          <w:rFonts w:cstheme="minorHAnsi"/>
          <w:sz w:val="24"/>
          <w:szCs w:val="24"/>
          <w:lang w:val="el-GR"/>
        </w:rPr>
        <w:t>το</w:t>
      </w:r>
      <w:r w:rsidRPr="00A930CF">
        <w:rPr>
          <w:rFonts w:cstheme="minorHAnsi"/>
          <w:sz w:val="24"/>
          <w:szCs w:val="24"/>
          <w:lang w:val="el-GR"/>
        </w:rPr>
        <w:t xml:space="preserve"> </w:t>
      </w:r>
      <w:r>
        <w:rPr>
          <w:rFonts w:cstheme="minorHAnsi"/>
          <w:sz w:val="24"/>
          <w:szCs w:val="24"/>
          <w:lang w:val="el-GR"/>
        </w:rPr>
        <w:t>παρόν</w:t>
      </w:r>
      <w:r w:rsidRPr="00A930CF">
        <w:rPr>
          <w:rFonts w:cstheme="minorHAnsi"/>
          <w:sz w:val="24"/>
          <w:szCs w:val="24"/>
          <w:lang w:val="el-GR"/>
        </w:rPr>
        <w:t xml:space="preserve"> </w:t>
      </w:r>
      <w:r>
        <w:rPr>
          <w:rFonts w:cstheme="minorHAnsi"/>
          <w:sz w:val="24"/>
          <w:szCs w:val="24"/>
          <w:lang w:val="el-GR"/>
        </w:rPr>
        <w:t>σύστημα</w:t>
      </w:r>
      <w:r w:rsidRPr="00A930CF">
        <w:rPr>
          <w:rFonts w:cstheme="minorHAnsi"/>
          <w:sz w:val="24"/>
          <w:szCs w:val="24"/>
          <w:lang w:val="el-GR"/>
        </w:rPr>
        <w:t xml:space="preserve"> </w:t>
      </w:r>
      <w:r w:rsidR="00AD2AD8">
        <w:rPr>
          <w:rFonts w:cstheme="minorHAnsi"/>
          <w:sz w:val="24"/>
          <w:szCs w:val="24"/>
          <w:lang w:val="el-GR"/>
        </w:rPr>
        <w:t xml:space="preserve">εποπτείας </w:t>
      </w:r>
      <w:r>
        <w:rPr>
          <w:rFonts w:cstheme="minorHAnsi"/>
          <w:sz w:val="24"/>
          <w:szCs w:val="24"/>
          <w:lang w:val="el-GR"/>
        </w:rPr>
        <w:t>και</w:t>
      </w:r>
      <w:r w:rsidRPr="00A930CF">
        <w:rPr>
          <w:rFonts w:cstheme="minorHAnsi"/>
          <w:sz w:val="24"/>
          <w:szCs w:val="24"/>
          <w:lang w:val="el-GR"/>
        </w:rPr>
        <w:t xml:space="preserve"> </w:t>
      </w:r>
      <w:r w:rsidR="00AD2AD8">
        <w:rPr>
          <w:rFonts w:cstheme="minorHAnsi"/>
          <w:sz w:val="24"/>
          <w:szCs w:val="24"/>
          <w:lang w:val="el-GR"/>
        </w:rPr>
        <w:t xml:space="preserve">εφαρμογής </w:t>
      </w:r>
      <w:r>
        <w:rPr>
          <w:rFonts w:cstheme="minorHAnsi"/>
          <w:sz w:val="24"/>
          <w:szCs w:val="24"/>
          <w:lang w:val="el-GR"/>
        </w:rPr>
        <w:t>χρειάζεται αναβάθμιση</w:t>
      </w:r>
      <w:r w:rsidR="00A5147D" w:rsidRPr="00A930CF">
        <w:rPr>
          <w:rFonts w:cstheme="minorHAnsi"/>
          <w:sz w:val="24"/>
          <w:szCs w:val="24"/>
          <w:lang w:val="el-GR"/>
        </w:rPr>
        <w:t xml:space="preserve">. </w:t>
      </w:r>
      <w:r>
        <w:rPr>
          <w:rFonts w:cstheme="minorHAnsi"/>
          <w:sz w:val="24"/>
          <w:szCs w:val="24"/>
          <w:lang w:val="el-GR"/>
        </w:rPr>
        <w:t>Από</w:t>
      </w:r>
      <w:r w:rsidRPr="00A930CF">
        <w:rPr>
          <w:rFonts w:cstheme="minorHAnsi"/>
          <w:sz w:val="24"/>
          <w:szCs w:val="24"/>
          <w:lang w:val="el-GR"/>
        </w:rPr>
        <w:t xml:space="preserve"> </w:t>
      </w:r>
      <w:r>
        <w:rPr>
          <w:rFonts w:cstheme="minorHAnsi"/>
          <w:sz w:val="24"/>
          <w:szCs w:val="24"/>
          <w:lang w:val="el-GR"/>
        </w:rPr>
        <w:t>τις</w:t>
      </w:r>
      <w:r w:rsidRPr="00A930CF">
        <w:rPr>
          <w:rFonts w:cstheme="minorHAnsi"/>
          <w:sz w:val="24"/>
          <w:szCs w:val="24"/>
          <w:lang w:val="el-GR"/>
        </w:rPr>
        <w:t xml:space="preserve"> </w:t>
      </w:r>
      <w:r>
        <w:rPr>
          <w:rFonts w:cstheme="minorHAnsi"/>
          <w:sz w:val="24"/>
          <w:szCs w:val="24"/>
          <w:lang w:val="el-GR"/>
        </w:rPr>
        <w:t>αρμόδιες</w:t>
      </w:r>
      <w:r w:rsidRPr="00A930CF">
        <w:rPr>
          <w:rFonts w:cstheme="minorHAnsi"/>
          <w:sz w:val="24"/>
          <w:szCs w:val="24"/>
          <w:lang w:val="el-GR"/>
        </w:rPr>
        <w:t xml:space="preserve"> </w:t>
      </w:r>
      <w:r>
        <w:rPr>
          <w:rFonts w:cstheme="minorHAnsi"/>
          <w:sz w:val="24"/>
          <w:szCs w:val="24"/>
          <w:lang w:val="el-GR"/>
        </w:rPr>
        <w:t>επιτροπές</w:t>
      </w:r>
      <w:r w:rsidRPr="00A930CF">
        <w:rPr>
          <w:rFonts w:cstheme="minorHAnsi"/>
          <w:sz w:val="24"/>
          <w:szCs w:val="24"/>
          <w:lang w:val="el-GR"/>
        </w:rPr>
        <w:t xml:space="preserve"> </w:t>
      </w:r>
      <w:r w:rsidR="00A5147D" w:rsidRPr="00A930CF">
        <w:rPr>
          <w:rFonts w:cstheme="minorHAnsi"/>
          <w:sz w:val="24"/>
          <w:szCs w:val="24"/>
          <w:lang w:val="el-GR"/>
        </w:rPr>
        <w:t>(</w:t>
      </w:r>
      <w:r>
        <w:rPr>
          <w:rFonts w:cstheme="minorHAnsi"/>
          <w:sz w:val="24"/>
          <w:szCs w:val="24"/>
          <w:lang w:val="el-GR"/>
        </w:rPr>
        <w:t>βλέπε</w:t>
      </w:r>
      <w:r w:rsidRPr="00A930CF">
        <w:rPr>
          <w:rFonts w:cstheme="minorHAnsi"/>
          <w:sz w:val="24"/>
          <w:szCs w:val="24"/>
          <w:lang w:val="el-GR"/>
        </w:rPr>
        <w:t xml:space="preserve"> </w:t>
      </w:r>
      <w:r>
        <w:rPr>
          <w:rFonts w:cstheme="minorHAnsi"/>
          <w:sz w:val="24"/>
          <w:szCs w:val="24"/>
          <w:lang w:val="el-GR"/>
        </w:rPr>
        <w:t>παραγράφους</w:t>
      </w:r>
      <w:r w:rsidR="00BB61F5" w:rsidRPr="00A930CF">
        <w:rPr>
          <w:rFonts w:cstheme="minorHAnsi"/>
          <w:sz w:val="24"/>
          <w:szCs w:val="24"/>
          <w:lang w:val="el-GR"/>
        </w:rPr>
        <w:t xml:space="preserve"> 13</w:t>
      </w:r>
      <w:r w:rsidR="00BE416A" w:rsidRPr="00A930CF">
        <w:rPr>
          <w:rFonts w:cstheme="minorHAnsi"/>
          <w:sz w:val="24"/>
          <w:szCs w:val="24"/>
          <w:lang w:val="el-GR"/>
        </w:rPr>
        <w:t>9</w:t>
      </w:r>
      <w:r w:rsidR="00BB61F5" w:rsidRPr="00A930CF">
        <w:rPr>
          <w:rFonts w:cstheme="minorHAnsi"/>
          <w:sz w:val="24"/>
          <w:szCs w:val="24"/>
          <w:lang w:val="el-GR"/>
        </w:rPr>
        <w:t>-14</w:t>
      </w:r>
      <w:r w:rsidR="00BE416A" w:rsidRPr="00A930CF">
        <w:rPr>
          <w:rFonts w:cstheme="minorHAnsi"/>
          <w:sz w:val="24"/>
          <w:szCs w:val="24"/>
          <w:lang w:val="el-GR"/>
        </w:rPr>
        <w:t>5</w:t>
      </w:r>
      <w:r w:rsidR="00A5147D" w:rsidRPr="00A930CF">
        <w:rPr>
          <w:rFonts w:cstheme="minorHAnsi"/>
          <w:sz w:val="24"/>
          <w:szCs w:val="24"/>
          <w:lang w:val="el-GR"/>
        </w:rPr>
        <w:t xml:space="preserve">) </w:t>
      </w:r>
      <w:r>
        <w:rPr>
          <w:rFonts w:cstheme="minorHAnsi"/>
          <w:sz w:val="24"/>
          <w:szCs w:val="24"/>
          <w:lang w:val="el-GR"/>
        </w:rPr>
        <w:t>λείπει</w:t>
      </w:r>
      <w:r w:rsidRPr="00A930CF">
        <w:rPr>
          <w:rFonts w:cstheme="minorHAnsi"/>
          <w:sz w:val="24"/>
          <w:szCs w:val="24"/>
          <w:lang w:val="el-GR"/>
        </w:rPr>
        <w:t xml:space="preserve"> </w:t>
      </w:r>
      <w:r>
        <w:rPr>
          <w:rFonts w:cstheme="minorHAnsi"/>
          <w:sz w:val="24"/>
          <w:szCs w:val="24"/>
          <w:lang w:val="el-GR"/>
        </w:rPr>
        <w:t>η</w:t>
      </w:r>
      <w:r w:rsidRPr="00A930CF">
        <w:rPr>
          <w:rFonts w:cstheme="minorHAnsi"/>
          <w:sz w:val="24"/>
          <w:szCs w:val="24"/>
          <w:lang w:val="el-GR"/>
        </w:rPr>
        <w:t xml:space="preserve"> </w:t>
      </w:r>
      <w:r>
        <w:rPr>
          <w:rFonts w:cstheme="minorHAnsi"/>
          <w:sz w:val="24"/>
          <w:szCs w:val="24"/>
          <w:lang w:val="el-GR"/>
        </w:rPr>
        <w:t>ανεξαρτησία</w:t>
      </w:r>
      <w:r w:rsidR="00A5147D" w:rsidRPr="00A930CF">
        <w:rPr>
          <w:rFonts w:cstheme="minorHAnsi"/>
          <w:sz w:val="24"/>
          <w:szCs w:val="24"/>
          <w:lang w:val="el-GR"/>
        </w:rPr>
        <w:t xml:space="preserve">, </w:t>
      </w:r>
      <w:r>
        <w:rPr>
          <w:rFonts w:cstheme="minorHAnsi"/>
          <w:sz w:val="24"/>
          <w:szCs w:val="24"/>
          <w:lang w:val="el-GR"/>
        </w:rPr>
        <w:t>το</w:t>
      </w:r>
      <w:r w:rsidRPr="00A930CF">
        <w:rPr>
          <w:rFonts w:cstheme="minorHAnsi"/>
          <w:sz w:val="24"/>
          <w:szCs w:val="24"/>
          <w:lang w:val="el-GR"/>
        </w:rPr>
        <w:t xml:space="preserve"> </w:t>
      </w:r>
      <w:r>
        <w:rPr>
          <w:rFonts w:cstheme="minorHAnsi"/>
          <w:sz w:val="24"/>
          <w:szCs w:val="24"/>
          <w:lang w:val="el-GR"/>
        </w:rPr>
        <w:t>προσωπικό</w:t>
      </w:r>
      <w:r w:rsidR="00FC633E" w:rsidRPr="00A930CF">
        <w:rPr>
          <w:rFonts w:cstheme="minorHAnsi"/>
          <w:sz w:val="24"/>
          <w:szCs w:val="24"/>
          <w:lang w:val="el-GR"/>
        </w:rPr>
        <w:t>,</w:t>
      </w:r>
      <w:r w:rsidRPr="00A930CF">
        <w:rPr>
          <w:rFonts w:cstheme="minorHAnsi"/>
          <w:sz w:val="24"/>
          <w:szCs w:val="24"/>
          <w:lang w:val="el-GR"/>
        </w:rPr>
        <w:t xml:space="preserve"> </w:t>
      </w:r>
      <w:r w:rsidR="00AD2AD8">
        <w:rPr>
          <w:rFonts w:cstheme="minorHAnsi"/>
          <w:sz w:val="24"/>
          <w:szCs w:val="24"/>
          <w:lang w:val="el-GR"/>
        </w:rPr>
        <w:t xml:space="preserve">η </w:t>
      </w:r>
      <w:r>
        <w:rPr>
          <w:rFonts w:cstheme="minorHAnsi"/>
          <w:sz w:val="24"/>
          <w:szCs w:val="24"/>
          <w:lang w:val="el-GR"/>
        </w:rPr>
        <w:t>οικονομική εμπειρογνωμοσύνη</w:t>
      </w:r>
      <w:r w:rsidR="00A5147D" w:rsidRPr="00A930CF">
        <w:rPr>
          <w:rFonts w:cstheme="minorHAnsi"/>
          <w:sz w:val="24"/>
          <w:szCs w:val="24"/>
          <w:lang w:val="el-GR"/>
        </w:rPr>
        <w:t xml:space="preserve">, </w:t>
      </w:r>
      <w:r>
        <w:rPr>
          <w:rFonts w:cstheme="minorHAnsi"/>
          <w:sz w:val="24"/>
          <w:szCs w:val="24"/>
          <w:lang w:val="el-GR"/>
        </w:rPr>
        <w:t xml:space="preserve">και </w:t>
      </w:r>
      <w:r w:rsidR="00AD2AD8">
        <w:rPr>
          <w:rFonts w:cstheme="minorHAnsi"/>
          <w:sz w:val="24"/>
          <w:szCs w:val="24"/>
          <w:lang w:val="el-GR"/>
        </w:rPr>
        <w:t xml:space="preserve">οι </w:t>
      </w:r>
      <w:r>
        <w:rPr>
          <w:rFonts w:cstheme="minorHAnsi"/>
          <w:sz w:val="24"/>
          <w:szCs w:val="24"/>
          <w:lang w:val="el-GR"/>
        </w:rPr>
        <w:t>εξουσίες για να διεξάγουν αποτελεσματικές επαληθεύσεις</w:t>
      </w:r>
      <w:r w:rsidR="00A5147D" w:rsidRPr="00A930CF">
        <w:rPr>
          <w:rFonts w:cstheme="minorHAnsi"/>
          <w:sz w:val="24"/>
          <w:szCs w:val="24"/>
          <w:lang w:val="el-GR"/>
        </w:rPr>
        <w:t xml:space="preserve"> </w:t>
      </w:r>
      <w:r>
        <w:rPr>
          <w:rFonts w:cstheme="minorHAnsi"/>
          <w:sz w:val="24"/>
          <w:szCs w:val="24"/>
          <w:lang w:val="el-GR"/>
        </w:rPr>
        <w:t xml:space="preserve">και να μπορούν να </w:t>
      </w:r>
      <w:r w:rsidR="00AD2AD8">
        <w:rPr>
          <w:rFonts w:cstheme="minorHAnsi"/>
          <w:sz w:val="24"/>
          <w:szCs w:val="24"/>
          <w:lang w:val="el-GR"/>
        </w:rPr>
        <w:t xml:space="preserve">εντοπίσουν </w:t>
      </w:r>
      <w:r w:rsidR="00B76330">
        <w:rPr>
          <w:rFonts w:cstheme="minorHAnsi"/>
          <w:sz w:val="24"/>
          <w:szCs w:val="24"/>
          <w:lang w:val="el-GR"/>
        </w:rPr>
        <w:t>κρυφές ροές</w:t>
      </w:r>
      <w:r w:rsidR="00424A6A" w:rsidRPr="002B7C4B">
        <w:rPr>
          <w:rFonts w:cstheme="minorHAnsi"/>
          <w:sz w:val="24"/>
          <w:szCs w:val="24"/>
          <w:lang w:val="el-GR"/>
        </w:rPr>
        <w:t xml:space="preserve"> </w:t>
      </w:r>
      <w:r w:rsidR="00424A6A">
        <w:rPr>
          <w:rFonts w:cstheme="minorHAnsi"/>
          <w:sz w:val="24"/>
          <w:szCs w:val="24"/>
          <w:lang w:val="el-GR"/>
        </w:rPr>
        <w:t>χρημάτων</w:t>
      </w:r>
      <w:r w:rsidR="00A5147D" w:rsidRPr="00A930CF">
        <w:rPr>
          <w:rFonts w:cstheme="minorHAnsi"/>
          <w:sz w:val="24"/>
          <w:szCs w:val="24"/>
          <w:lang w:val="el-GR"/>
        </w:rPr>
        <w:t xml:space="preserve">. </w:t>
      </w:r>
      <w:r w:rsidR="00B76330">
        <w:rPr>
          <w:rFonts w:cstheme="minorHAnsi"/>
          <w:sz w:val="24"/>
          <w:szCs w:val="24"/>
          <w:lang w:val="el-GR"/>
        </w:rPr>
        <w:t>Στο</w:t>
      </w:r>
      <w:r w:rsidR="00B76330" w:rsidRPr="00B76330">
        <w:rPr>
          <w:rFonts w:cstheme="minorHAnsi"/>
          <w:sz w:val="24"/>
          <w:szCs w:val="24"/>
          <w:lang w:val="el-GR"/>
        </w:rPr>
        <w:t xml:space="preserve"> </w:t>
      </w:r>
      <w:r w:rsidR="00B76330">
        <w:rPr>
          <w:rFonts w:cstheme="minorHAnsi"/>
          <w:sz w:val="24"/>
          <w:szCs w:val="24"/>
          <w:lang w:val="el-GR"/>
        </w:rPr>
        <w:t>παρόν</w:t>
      </w:r>
      <w:r w:rsidR="00B76330" w:rsidRPr="00B76330">
        <w:rPr>
          <w:rFonts w:cstheme="minorHAnsi"/>
          <w:sz w:val="24"/>
          <w:szCs w:val="24"/>
          <w:lang w:val="el-GR"/>
        </w:rPr>
        <w:t xml:space="preserve"> </w:t>
      </w:r>
      <w:r w:rsidR="00B76330">
        <w:rPr>
          <w:rFonts w:cstheme="minorHAnsi"/>
          <w:sz w:val="24"/>
          <w:szCs w:val="24"/>
          <w:lang w:val="el-GR"/>
        </w:rPr>
        <w:t>στάδιο</w:t>
      </w:r>
      <w:r w:rsidR="00A5147D" w:rsidRPr="00B76330">
        <w:rPr>
          <w:rFonts w:cstheme="minorHAnsi"/>
          <w:sz w:val="24"/>
          <w:szCs w:val="24"/>
          <w:lang w:val="el-GR"/>
        </w:rPr>
        <w:t xml:space="preserve">, </w:t>
      </w:r>
      <w:r w:rsidR="00B76330">
        <w:rPr>
          <w:rFonts w:cstheme="minorHAnsi"/>
          <w:sz w:val="24"/>
          <w:szCs w:val="24"/>
          <w:lang w:val="el-GR"/>
        </w:rPr>
        <w:t>το</w:t>
      </w:r>
      <w:r w:rsidR="00B76330" w:rsidRPr="00B76330">
        <w:rPr>
          <w:rFonts w:cstheme="minorHAnsi"/>
          <w:sz w:val="24"/>
          <w:szCs w:val="24"/>
          <w:lang w:val="el-GR"/>
        </w:rPr>
        <w:t xml:space="preserve"> </w:t>
      </w:r>
      <w:r w:rsidR="00B76330">
        <w:rPr>
          <w:rFonts w:cstheme="minorHAnsi"/>
          <w:sz w:val="24"/>
          <w:szCs w:val="24"/>
          <w:lang w:val="el-GR"/>
        </w:rPr>
        <w:t>είδος</w:t>
      </w:r>
      <w:r w:rsidR="00B76330" w:rsidRPr="00B76330">
        <w:rPr>
          <w:rFonts w:cstheme="minorHAnsi"/>
          <w:sz w:val="24"/>
          <w:szCs w:val="24"/>
          <w:lang w:val="el-GR"/>
        </w:rPr>
        <w:t xml:space="preserve"> </w:t>
      </w:r>
      <w:r w:rsidR="00B76330">
        <w:rPr>
          <w:rFonts w:cstheme="minorHAnsi"/>
          <w:sz w:val="24"/>
          <w:szCs w:val="24"/>
          <w:lang w:val="el-GR"/>
        </w:rPr>
        <w:t>επαλήθευσης</w:t>
      </w:r>
      <w:r w:rsidR="00B76330" w:rsidRPr="00B76330">
        <w:rPr>
          <w:rFonts w:cstheme="minorHAnsi"/>
          <w:sz w:val="24"/>
          <w:szCs w:val="24"/>
          <w:lang w:val="el-GR"/>
        </w:rPr>
        <w:t xml:space="preserve"> </w:t>
      </w:r>
      <w:r w:rsidR="00B76330">
        <w:rPr>
          <w:rFonts w:cstheme="minorHAnsi"/>
          <w:sz w:val="24"/>
          <w:szCs w:val="24"/>
          <w:lang w:val="el-GR"/>
        </w:rPr>
        <w:t>που</w:t>
      </w:r>
      <w:r w:rsidR="00B76330" w:rsidRPr="00B76330">
        <w:rPr>
          <w:rFonts w:cstheme="minorHAnsi"/>
          <w:sz w:val="24"/>
          <w:szCs w:val="24"/>
          <w:lang w:val="el-GR"/>
        </w:rPr>
        <w:t xml:space="preserve"> </w:t>
      </w:r>
      <w:r w:rsidR="00B76330">
        <w:rPr>
          <w:rFonts w:cstheme="minorHAnsi"/>
          <w:sz w:val="24"/>
          <w:szCs w:val="24"/>
          <w:lang w:val="el-GR"/>
        </w:rPr>
        <w:t>διεξάγεται</w:t>
      </w:r>
      <w:r w:rsidR="00A5147D" w:rsidRPr="00B76330">
        <w:rPr>
          <w:rFonts w:cstheme="minorHAnsi"/>
          <w:sz w:val="24"/>
          <w:szCs w:val="24"/>
          <w:lang w:val="el-GR"/>
        </w:rPr>
        <w:t xml:space="preserve"> </w:t>
      </w:r>
      <w:r w:rsidR="00B76330">
        <w:rPr>
          <w:rFonts w:cstheme="minorHAnsi"/>
          <w:sz w:val="24"/>
          <w:szCs w:val="24"/>
          <w:lang w:val="el-GR"/>
        </w:rPr>
        <w:t>είναι</w:t>
      </w:r>
      <w:r w:rsidR="00A5147D" w:rsidRPr="00B76330">
        <w:rPr>
          <w:rFonts w:cstheme="minorHAnsi"/>
          <w:sz w:val="24"/>
          <w:szCs w:val="24"/>
          <w:lang w:val="el-GR"/>
        </w:rPr>
        <w:t xml:space="preserve"> </w:t>
      </w:r>
      <w:r w:rsidR="00B76330">
        <w:rPr>
          <w:rFonts w:cstheme="minorHAnsi"/>
          <w:sz w:val="24"/>
          <w:szCs w:val="24"/>
          <w:lang w:val="el-GR"/>
        </w:rPr>
        <w:t>φορμαλιστικό</w:t>
      </w:r>
      <w:r w:rsidR="00A5147D" w:rsidRPr="00B76330">
        <w:rPr>
          <w:rFonts w:cstheme="minorHAnsi"/>
          <w:sz w:val="24"/>
          <w:szCs w:val="24"/>
          <w:lang w:val="el-GR"/>
        </w:rPr>
        <w:t xml:space="preserve">, </w:t>
      </w:r>
      <w:r w:rsidR="00B76330">
        <w:rPr>
          <w:rFonts w:cstheme="minorHAnsi"/>
          <w:sz w:val="24"/>
          <w:szCs w:val="24"/>
          <w:lang w:val="el-GR"/>
        </w:rPr>
        <w:t xml:space="preserve">χωρίς να </w:t>
      </w:r>
      <w:r w:rsidR="00424A6A">
        <w:rPr>
          <w:rFonts w:cstheme="minorHAnsi"/>
          <w:sz w:val="24"/>
          <w:szCs w:val="24"/>
          <w:lang w:val="el-GR"/>
        </w:rPr>
        <w:t xml:space="preserve">προχωρεί πιο </w:t>
      </w:r>
      <w:r w:rsidR="00B76330">
        <w:rPr>
          <w:rFonts w:cstheme="minorHAnsi"/>
          <w:sz w:val="24"/>
          <w:szCs w:val="24"/>
          <w:lang w:val="el-GR"/>
        </w:rPr>
        <w:t xml:space="preserve">πέρα και χωρίς </w:t>
      </w:r>
      <w:r w:rsidR="00973266">
        <w:rPr>
          <w:rFonts w:cstheme="minorHAnsi"/>
          <w:sz w:val="24"/>
          <w:szCs w:val="24"/>
          <w:lang w:val="el-GR"/>
        </w:rPr>
        <w:t>διασταυρωμένο</w:t>
      </w:r>
      <w:r w:rsidR="00B76330">
        <w:rPr>
          <w:rFonts w:cstheme="minorHAnsi"/>
          <w:sz w:val="24"/>
          <w:szCs w:val="24"/>
          <w:lang w:val="el-GR"/>
        </w:rPr>
        <w:t xml:space="preserve"> έλεγχο δεδομένων</w:t>
      </w:r>
      <w:r w:rsidR="00A5147D" w:rsidRPr="00B76330">
        <w:rPr>
          <w:rFonts w:cstheme="minorHAnsi"/>
          <w:sz w:val="24"/>
          <w:szCs w:val="24"/>
          <w:lang w:val="el-GR"/>
        </w:rPr>
        <w:t xml:space="preserve"> </w:t>
      </w:r>
      <w:r w:rsidR="00B76330">
        <w:rPr>
          <w:rFonts w:cstheme="minorHAnsi"/>
          <w:sz w:val="24"/>
          <w:szCs w:val="24"/>
          <w:lang w:val="el-GR"/>
        </w:rPr>
        <w:t xml:space="preserve">με </w:t>
      </w:r>
      <w:r w:rsidR="00973266">
        <w:rPr>
          <w:rFonts w:cstheme="minorHAnsi"/>
          <w:sz w:val="24"/>
          <w:szCs w:val="24"/>
          <w:lang w:val="el-GR"/>
        </w:rPr>
        <w:t>άλλες</w:t>
      </w:r>
      <w:r w:rsidR="00B76330">
        <w:rPr>
          <w:rFonts w:cstheme="minorHAnsi"/>
          <w:sz w:val="24"/>
          <w:szCs w:val="24"/>
          <w:lang w:val="el-GR"/>
        </w:rPr>
        <w:t xml:space="preserve"> βάσεις δεδομένων</w:t>
      </w:r>
      <w:r w:rsidR="00A5147D" w:rsidRPr="00B76330">
        <w:rPr>
          <w:rFonts w:cstheme="minorHAnsi"/>
          <w:sz w:val="24"/>
          <w:szCs w:val="24"/>
          <w:lang w:val="el-GR"/>
        </w:rPr>
        <w:t xml:space="preserve">. </w:t>
      </w:r>
      <w:r w:rsidR="00B76330">
        <w:rPr>
          <w:rFonts w:cstheme="minorHAnsi"/>
          <w:sz w:val="24"/>
          <w:szCs w:val="24"/>
          <w:lang w:val="el-GR"/>
        </w:rPr>
        <w:t>Επιπλέον</w:t>
      </w:r>
      <w:r w:rsidR="00A5147D" w:rsidRPr="00B76330">
        <w:rPr>
          <w:rFonts w:cstheme="minorHAnsi"/>
          <w:sz w:val="24"/>
          <w:szCs w:val="24"/>
          <w:lang w:val="el-GR"/>
        </w:rPr>
        <w:t xml:space="preserve">, </w:t>
      </w:r>
      <w:r w:rsidR="00B76330">
        <w:rPr>
          <w:rFonts w:cstheme="minorHAnsi"/>
          <w:sz w:val="24"/>
          <w:szCs w:val="24"/>
          <w:lang w:val="el-GR"/>
        </w:rPr>
        <w:t>ενώ</w:t>
      </w:r>
      <w:r w:rsidR="00B76330" w:rsidRPr="00B76330">
        <w:rPr>
          <w:rFonts w:cstheme="minorHAnsi"/>
          <w:sz w:val="24"/>
          <w:szCs w:val="24"/>
          <w:lang w:val="el-GR"/>
        </w:rPr>
        <w:t xml:space="preserve"> </w:t>
      </w:r>
      <w:r w:rsidR="00B76330">
        <w:rPr>
          <w:rFonts w:cstheme="minorHAnsi"/>
          <w:sz w:val="24"/>
          <w:szCs w:val="24"/>
          <w:lang w:val="el-GR"/>
        </w:rPr>
        <w:t>είναι</w:t>
      </w:r>
      <w:r w:rsidR="00B76330" w:rsidRPr="00B76330">
        <w:rPr>
          <w:rFonts w:cstheme="minorHAnsi"/>
          <w:sz w:val="24"/>
          <w:szCs w:val="24"/>
          <w:lang w:val="el-GR"/>
        </w:rPr>
        <w:t xml:space="preserve"> </w:t>
      </w:r>
      <w:r w:rsidR="00B76330">
        <w:rPr>
          <w:rFonts w:cstheme="minorHAnsi"/>
          <w:sz w:val="24"/>
          <w:szCs w:val="24"/>
          <w:lang w:val="el-GR"/>
        </w:rPr>
        <w:t>δυνατό</w:t>
      </w:r>
      <w:r w:rsidR="00B76330" w:rsidRPr="00B76330">
        <w:rPr>
          <w:rFonts w:cstheme="minorHAnsi"/>
          <w:sz w:val="24"/>
          <w:szCs w:val="24"/>
          <w:lang w:val="el-GR"/>
        </w:rPr>
        <w:t xml:space="preserve"> </w:t>
      </w:r>
      <w:r w:rsidR="00B76330">
        <w:rPr>
          <w:rFonts w:cstheme="minorHAnsi"/>
          <w:sz w:val="24"/>
          <w:szCs w:val="24"/>
          <w:lang w:val="el-GR"/>
        </w:rPr>
        <w:t>για</w:t>
      </w:r>
      <w:r w:rsidR="00B76330" w:rsidRPr="00B76330">
        <w:rPr>
          <w:rFonts w:cstheme="minorHAnsi"/>
          <w:sz w:val="24"/>
          <w:szCs w:val="24"/>
          <w:lang w:val="el-GR"/>
        </w:rPr>
        <w:t xml:space="preserve"> </w:t>
      </w:r>
      <w:r w:rsidR="00B76330">
        <w:rPr>
          <w:rFonts w:cstheme="minorHAnsi"/>
          <w:sz w:val="24"/>
          <w:szCs w:val="24"/>
          <w:lang w:val="el-GR"/>
        </w:rPr>
        <w:t>το</w:t>
      </w:r>
      <w:r w:rsidR="00B76330" w:rsidRPr="00B76330">
        <w:rPr>
          <w:rFonts w:cstheme="minorHAnsi"/>
          <w:sz w:val="24"/>
          <w:szCs w:val="24"/>
          <w:lang w:val="el-GR"/>
        </w:rPr>
        <w:t xml:space="preserve"> </w:t>
      </w:r>
      <w:r w:rsidR="00B76330">
        <w:rPr>
          <w:rFonts w:cstheme="minorHAnsi"/>
          <w:sz w:val="24"/>
          <w:szCs w:val="24"/>
          <w:lang w:val="el-GR"/>
        </w:rPr>
        <w:t>κοινό</w:t>
      </w:r>
      <w:r w:rsidR="00B76330" w:rsidRPr="00B76330">
        <w:rPr>
          <w:rFonts w:cstheme="minorHAnsi"/>
          <w:sz w:val="24"/>
          <w:szCs w:val="24"/>
          <w:lang w:val="el-GR"/>
        </w:rPr>
        <w:t xml:space="preserve"> </w:t>
      </w:r>
      <w:r w:rsidR="00B76330">
        <w:rPr>
          <w:rFonts w:cstheme="minorHAnsi"/>
          <w:sz w:val="24"/>
          <w:szCs w:val="24"/>
          <w:lang w:val="el-GR"/>
        </w:rPr>
        <w:t>να</w:t>
      </w:r>
      <w:r w:rsidR="00B76330" w:rsidRPr="00B76330">
        <w:rPr>
          <w:rFonts w:cstheme="minorHAnsi"/>
          <w:sz w:val="24"/>
          <w:szCs w:val="24"/>
          <w:lang w:val="el-GR"/>
        </w:rPr>
        <w:t xml:space="preserve"> </w:t>
      </w:r>
      <w:r w:rsidR="00B76330">
        <w:rPr>
          <w:rFonts w:cstheme="minorHAnsi"/>
          <w:sz w:val="24"/>
          <w:szCs w:val="24"/>
          <w:lang w:val="el-GR"/>
        </w:rPr>
        <w:t>υποβάλει</w:t>
      </w:r>
      <w:r w:rsidR="00B76330" w:rsidRPr="00B76330">
        <w:rPr>
          <w:rFonts w:cstheme="minorHAnsi"/>
          <w:sz w:val="24"/>
          <w:szCs w:val="24"/>
          <w:lang w:val="el-GR"/>
        </w:rPr>
        <w:t xml:space="preserve"> </w:t>
      </w:r>
      <w:r w:rsidR="00B76330">
        <w:rPr>
          <w:rFonts w:cstheme="minorHAnsi"/>
          <w:sz w:val="24"/>
          <w:szCs w:val="24"/>
          <w:lang w:val="el-GR"/>
        </w:rPr>
        <w:t>παράπονα</w:t>
      </w:r>
      <w:r w:rsidR="00A5147D" w:rsidRPr="00B76330">
        <w:rPr>
          <w:rFonts w:cstheme="minorHAnsi"/>
          <w:sz w:val="24"/>
          <w:szCs w:val="24"/>
          <w:lang w:val="el-GR"/>
        </w:rPr>
        <w:t xml:space="preserve"> </w:t>
      </w:r>
      <w:r w:rsidR="00B76330">
        <w:rPr>
          <w:rFonts w:cstheme="minorHAnsi"/>
          <w:sz w:val="24"/>
          <w:szCs w:val="24"/>
          <w:lang w:val="el-GR"/>
        </w:rPr>
        <w:t>στις αρμόδιες επιτροπές</w:t>
      </w:r>
      <w:r w:rsidR="00A5147D" w:rsidRPr="00B76330">
        <w:rPr>
          <w:rFonts w:cstheme="minorHAnsi"/>
          <w:sz w:val="24"/>
          <w:szCs w:val="24"/>
          <w:lang w:val="el-GR"/>
        </w:rPr>
        <w:t xml:space="preserve">, </w:t>
      </w:r>
      <w:r w:rsidR="00B76330">
        <w:rPr>
          <w:rFonts w:cstheme="minorHAnsi"/>
          <w:sz w:val="24"/>
          <w:szCs w:val="24"/>
          <w:lang w:val="el-GR"/>
        </w:rPr>
        <w:t xml:space="preserve">αυτή δεν είναι </w:t>
      </w:r>
      <w:r w:rsidR="00424A6A">
        <w:rPr>
          <w:rFonts w:cstheme="minorHAnsi"/>
          <w:sz w:val="24"/>
          <w:szCs w:val="24"/>
          <w:lang w:val="el-GR"/>
        </w:rPr>
        <w:t xml:space="preserve">συνήθης </w:t>
      </w:r>
      <w:r w:rsidR="00B76330">
        <w:rPr>
          <w:rFonts w:cstheme="minorHAnsi"/>
          <w:sz w:val="24"/>
          <w:szCs w:val="24"/>
          <w:lang w:val="el-GR"/>
        </w:rPr>
        <w:t>πρακτική</w:t>
      </w:r>
      <w:r w:rsidR="00A5147D" w:rsidRPr="00B76330">
        <w:rPr>
          <w:rFonts w:cstheme="minorHAnsi"/>
          <w:sz w:val="24"/>
          <w:szCs w:val="24"/>
          <w:lang w:val="el-GR"/>
        </w:rPr>
        <w:t xml:space="preserve">. </w:t>
      </w:r>
      <w:r w:rsidR="00B76330">
        <w:rPr>
          <w:rFonts w:cstheme="minorHAnsi"/>
          <w:sz w:val="24"/>
          <w:szCs w:val="24"/>
          <w:lang w:val="el-GR"/>
        </w:rPr>
        <w:t>Όσον</w:t>
      </w:r>
      <w:r w:rsidR="00B76330" w:rsidRPr="00B76330">
        <w:rPr>
          <w:rFonts w:cstheme="minorHAnsi"/>
          <w:sz w:val="24"/>
          <w:szCs w:val="24"/>
          <w:lang w:val="el-GR"/>
        </w:rPr>
        <w:t xml:space="preserve"> </w:t>
      </w:r>
      <w:r w:rsidR="00B76330">
        <w:rPr>
          <w:rFonts w:cstheme="minorHAnsi"/>
          <w:sz w:val="24"/>
          <w:szCs w:val="24"/>
          <w:lang w:val="el-GR"/>
        </w:rPr>
        <w:t>αφορά</w:t>
      </w:r>
      <w:r w:rsidR="00B76330" w:rsidRPr="00B76330">
        <w:rPr>
          <w:rFonts w:cstheme="minorHAnsi"/>
          <w:sz w:val="24"/>
          <w:szCs w:val="24"/>
          <w:lang w:val="el-GR"/>
        </w:rPr>
        <w:t xml:space="preserve"> </w:t>
      </w:r>
      <w:r w:rsidR="00B76330">
        <w:rPr>
          <w:rFonts w:cstheme="minorHAnsi"/>
          <w:sz w:val="24"/>
          <w:szCs w:val="24"/>
          <w:lang w:val="el-GR"/>
        </w:rPr>
        <w:t>την</w:t>
      </w:r>
      <w:r w:rsidR="00424A6A">
        <w:rPr>
          <w:rFonts w:cstheme="minorHAnsi"/>
          <w:sz w:val="24"/>
          <w:szCs w:val="24"/>
          <w:lang w:val="el-GR"/>
        </w:rPr>
        <w:t xml:space="preserve"> εφαρμογή</w:t>
      </w:r>
      <w:r w:rsidR="00A5147D" w:rsidRPr="00B76330">
        <w:rPr>
          <w:rFonts w:cstheme="minorHAnsi"/>
          <w:sz w:val="24"/>
          <w:szCs w:val="24"/>
          <w:lang w:val="el-GR"/>
        </w:rPr>
        <w:t xml:space="preserve">, </w:t>
      </w:r>
      <w:r w:rsidR="00B76330">
        <w:rPr>
          <w:rFonts w:cstheme="minorHAnsi"/>
          <w:sz w:val="24"/>
          <w:szCs w:val="24"/>
          <w:lang w:val="el-GR"/>
        </w:rPr>
        <w:t>το σ</w:t>
      </w:r>
      <w:r w:rsidR="00864D92">
        <w:rPr>
          <w:rFonts w:cstheme="minorHAnsi"/>
          <w:sz w:val="24"/>
          <w:szCs w:val="24"/>
          <w:lang w:val="el-GR"/>
        </w:rPr>
        <w:t>ύ</w:t>
      </w:r>
      <w:r w:rsidR="00B76330">
        <w:rPr>
          <w:rFonts w:cstheme="minorHAnsi"/>
          <w:sz w:val="24"/>
          <w:szCs w:val="24"/>
          <w:lang w:val="el-GR"/>
        </w:rPr>
        <w:t>στ</w:t>
      </w:r>
      <w:r w:rsidR="00864D92">
        <w:rPr>
          <w:rFonts w:cstheme="minorHAnsi"/>
          <w:sz w:val="24"/>
          <w:szCs w:val="24"/>
          <w:lang w:val="el-GR"/>
        </w:rPr>
        <w:t>η</w:t>
      </w:r>
      <w:r w:rsidR="00B76330">
        <w:rPr>
          <w:rFonts w:cstheme="minorHAnsi"/>
          <w:sz w:val="24"/>
          <w:szCs w:val="24"/>
          <w:lang w:val="el-GR"/>
        </w:rPr>
        <w:t xml:space="preserve">μα έχει </w:t>
      </w:r>
      <w:r w:rsidR="00864D92">
        <w:rPr>
          <w:rFonts w:cstheme="minorHAnsi"/>
          <w:sz w:val="24"/>
          <w:szCs w:val="24"/>
          <w:lang w:val="el-GR"/>
        </w:rPr>
        <w:t xml:space="preserve">επίσης </w:t>
      </w:r>
      <w:r w:rsidR="00B76330">
        <w:rPr>
          <w:rFonts w:cstheme="minorHAnsi"/>
          <w:sz w:val="24"/>
          <w:szCs w:val="24"/>
          <w:lang w:val="el-GR"/>
        </w:rPr>
        <w:t>βασικά ελαττώματα</w:t>
      </w:r>
      <w:r w:rsidR="00A5147D" w:rsidRPr="00B76330">
        <w:rPr>
          <w:rFonts w:cstheme="minorHAnsi"/>
          <w:sz w:val="24"/>
          <w:szCs w:val="24"/>
          <w:lang w:val="el-GR"/>
        </w:rPr>
        <w:t xml:space="preserve">. </w:t>
      </w:r>
      <w:r w:rsidR="00B76330">
        <w:rPr>
          <w:rFonts w:cstheme="minorHAnsi"/>
          <w:sz w:val="24"/>
          <w:szCs w:val="24"/>
          <w:lang w:val="el-GR"/>
        </w:rPr>
        <w:t>Ο</w:t>
      </w:r>
      <w:r w:rsidR="00B76330" w:rsidRPr="00B76330">
        <w:rPr>
          <w:rFonts w:cstheme="minorHAnsi"/>
          <w:sz w:val="24"/>
          <w:szCs w:val="24"/>
          <w:lang w:val="el-GR"/>
        </w:rPr>
        <w:t xml:space="preserve"> </w:t>
      </w:r>
      <w:r w:rsidR="00B76330">
        <w:rPr>
          <w:rFonts w:cstheme="minorHAnsi"/>
          <w:sz w:val="24"/>
          <w:szCs w:val="24"/>
          <w:lang w:val="el-GR"/>
        </w:rPr>
        <w:t>Νόμος</w:t>
      </w:r>
      <w:r w:rsidR="00B76330" w:rsidRPr="00B76330">
        <w:rPr>
          <w:rFonts w:cstheme="minorHAnsi"/>
          <w:sz w:val="24"/>
          <w:szCs w:val="24"/>
          <w:lang w:val="el-GR"/>
        </w:rPr>
        <w:t xml:space="preserve"> </w:t>
      </w:r>
      <w:r w:rsidR="00A5147D" w:rsidRPr="00B76330">
        <w:rPr>
          <w:rFonts w:cstheme="minorHAnsi"/>
          <w:sz w:val="24"/>
          <w:szCs w:val="24"/>
          <w:lang w:val="el-GR"/>
        </w:rPr>
        <w:t>49(</w:t>
      </w:r>
      <w:r w:rsidR="00A5147D" w:rsidRPr="004E251E">
        <w:rPr>
          <w:rFonts w:cstheme="minorHAnsi"/>
          <w:sz w:val="24"/>
          <w:szCs w:val="24"/>
        </w:rPr>
        <w:t>I</w:t>
      </w:r>
      <w:r w:rsidR="00A5147D" w:rsidRPr="00B76330">
        <w:rPr>
          <w:rFonts w:cstheme="minorHAnsi"/>
          <w:sz w:val="24"/>
          <w:szCs w:val="24"/>
          <w:lang w:val="el-GR"/>
        </w:rPr>
        <w:t xml:space="preserve">)2004 </w:t>
      </w:r>
      <w:r w:rsidR="00B76330">
        <w:rPr>
          <w:rFonts w:cstheme="minorHAnsi"/>
          <w:sz w:val="24"/>
          <w:szCs w:val="24"/>
          <w:lang w:val="el-GR"/>
        </w:rPr>
        <w:t>δεν</w:t>
      </w:r>
      <w:r w:rsidR="00B76330" w:rsidRPr="00B76330">
        <w:rPr>
          <w:rFonts w:cstheme="minorHAnsi"/>
          <w:sz w:val="24"/>
          <w:szCs w:val="24"/>
          <w:lang w:val="el-GR"/>
        </w:rPr>
        <w:t xml:space="preserve"> </w:t>
      </w:r>
      <w:r w:rsidR="00B76330">
        <w:rPr>
          <w:rFonts w:cstheme="minorHAnsi"/>
          <w:sz w:val="24"/>
          <w:szCs w:val="24"/>
          <w:lang w:val="el-GR"/>
        </w:rPr>
        <w:t>προβλέπει</w:t>
      </w:r>
      <w:r w:rsidR="00A5147D" w:rsidRPr="00B76330">
        <w:rPr>
          <w:rFonts w:eastAsia="Calibri" w:cstheme="minorHAnsi"/>
          <w:bCs/>
          <w:sz w:val="24"/>
          <w:szCs w:val="24"/>
          <w:lang w:val="el-GR"/>
        </w:rPr>
        <w:t xml:space="preserve"> </w:t>
      </w:r>
      <w:r w:rsidR="00B76330">
        <w:rPr>
          <w:rFonts w:eastAsia="Calibri" w:cstheme="minorHAnsi"/>
          <w:bCs/>
          <w:sz w:val="24"/>
          <w:szCs w:val="24"/>
          <w:lang w:val="el-GR"/>
        </w:rPr>
        <w:t>οποιαδήποτε</w:t>
      </w:r>
      <w:r w:rsidR="00B76330" w:rsidRPr="00B76330">
        <w:rPr>
          <w:rFonts w:eastAsia="Calibri" w:cstheme="minorHAnsi"/>
          <w:bCs/>
          <w:sz w:val="24"/>
          <w:szCs w:val="24"/>
          <w:lang w:val="el-GR"/>
        </w:rPr>
        <w:t xml:space="preserve"> </w:t>
      </w:r>
      <w:r w:rsidR="00B76330">
        <w:rPr>
          <w:rFonts w:eastAsia="Calibri" w:cstheme="minorHAnsi"/>
          <w:bCs/>
          <w:sz w:val="24"/>
          <w:szCs w:val="24"/>
          <w:lang w:val="el-GR"/>
        </w:rPr>
        <w:t>καθορισμένη</w:t>
      </w:r>
      <w:r w:rsidR="00B76330" w:rsidRPr="00B76330">
        <w:rPr>
          <w:rFonts w:eastAsia="Calibri" w:cstheme="minorHAnsi"/>
          <w:bCs/>
          <w:sz w:val="24"/>
          <w:szCs w:val="24"/>
          <w:lang w:val="el-GR"/>
        </w:rPr>
        <w:t xml:space="preserve"> </w:t>
      </w:r>
      <w:r w:rsidR="00B76330">
        <w:rPr>
          <w:rFonts w:eastAsia="Calibri" w:cstheme="minorHAnsi"/>
          <w:bCs/>
          <w:sz w:val="24"/>
          <w:szCs w:val="24"/>
          <w:lang w:val="el-GR"/>
        </w:rPr>
        <w:t>κύρωση</w:t>
      </w:r>
      <w:r w:rsidR="00A5147D" w:rsidRPr="00B76330">
        <w:rPr>
          <w:rFonts w:eastAsia="Calibri" w:cstheme="minorHAnsi"/>
          <w:bCs/>
          <w:sz w:val="24"/>
          <w:szCs w:val="24"/>
          <w:lang w:val="el-GR"/>
        </w:rPr>
        <w:t xml:space="preserve"> </w:t>
      </w:r>
      <w:r w:rsidR="00B76330">
        <w:rPr>
          <w:rFonts w:eastAsia="Calibri" w:cstheme="minorHAnsi"/>
          <w:bCs/>
          <w:sz w:val="24"/>
          <w:szCs w:val="24"/>
          <w:lang w:val="el-GR"/>
        </w:rPr>
        <w:t>σε</w:t>
      </w:r>
      <w:r w:rsidR="00B76330" w:rsidRPr="00B76330">
        <w:rPr>
          <w:rFonts w:eastAsia="Calibri" w:cstheme="minorHAnsi"/>
          <w:bCs/>
          <w:sz w:val="24"/>
          <w:szCs w:val="24"/>
          <w:lang w:val="el-GR"/>
        </w:rPr>
        <w:t xml:space="preserve"> </w:t>
      </w:r>
      <w:r w:rsidR="00B76330">
        <w:rPr>
          <w:rFonts w:eastAsia="Calibri" w:cstheme="minorHAnsi"/>
          <w:bCs/>
          <w:sz w:val="24"/>
          <w:szCs w:val="24"/>
          <w:lang w:val="el-GR"/>
        </w:rPr>
        <w:t>περιπτώσεις παραλείψεων</w:t>
      </w:r>
      <w:r w:rsidR="00A5147D" w:rsidRPr="00B76330">
        <w:rPr>
          <w:rFonts w:eastAsia="Calibri" w:cstheme="minorHAnsi"/>
          <w:bCs/>
          <w:sz w:val="24"/>
          <w:szCs w:val="24"/>
          <w:lang w:val="el-GR"/>
        </w:rPr>
        <w:t xml:space="preserve"> </w:t>
      </w:r>
      <w:r w:rsidR="00B76330">
        <w:rPr>
          <w:rFonts w:eastAsia="Calibri" w:cstheme="minorHAnsi"/>
          <w:bCs/>
          <w:sz w:val="24"/>
          <w:szCs w:val="24"/>
          <w:lang w:val="el-GR"/>
        </w:rPr>
        <w:t>υποβολής δήλωσης ή για ψευδείς δηλώσεις</w:t>
      </w:r>
      <w:r w:rsidR="00A5147D" w:rsidRPr="00B76330">
        <w:rPr>
          <w:rFonts w:eastAsia="Calibri" w:cstheme="minorHAnsi"/>
          <w:bCs/>
          <w:sz w:val="24"/>
          <w:szCs w:val="24"/>
          <w:lang w:val="el-GR"/>
        </w:rPr>
        <w:t xml:space="preserve">. </w:t>
      </w:r>
      <w:r w:rsidR="00B76330">
        <w:rPr>
          <w:rFonts w:eastAsia="Calibri" w:cstheme="minorHAnsi"/>
          <w:bCs/>
          <w:sz w:val="24"/>
          <w:szCs w:val="24"/>
          <w:lang w:val="el-GR"/>
        </w:rPr>
        <w:t>Επιπρόσθετα</w:t>
      </w:r>
      <w:r w:rsidR="00A5147D" w:rsidRPr="00B76330">
        <w:rPr>
          <w:rFonts w:eastAsia="Calibri" w:cstheme="minorHAnsi"/>
          <w:bCs/>
          <w:sz w:val="24"/>
          <w:szCs w:val="24"/>
          <w:lang w:val="el-GR"/>
        </w:rPr>
        <w:t xml:space="preserve">, </w:t>
      </w:r>
      <w:r w:rsidR="00B76330">
        <w:rPr>
          <w:rFonts w:eastAsia="Calibri" w:cstheme="minorHAnsi"/>
          <w:bCs/>
          <w:sz w:val="24"/>
          <w:szCs w:val="24"/>
          <w:lang w:val="el-GR"/>
        </w:rPr>
        <w:t>αφήνει</w:t>
      </w:r>
      <w:r w:rsidR="00B76330" w:rsidRPr="00B76330">
        <w:rPr>
          <w:rFonts w:eastAsia="Calibri" w:cstheme="minorHAnsi"/>
          <w:bCs/>
          <w:sz w:val="24"/>
          <w:szCs w:val="24"/>
          <w:lang w:val="el-GR"/>
        </w:rPr>
        <w:t xml:space="preserve"> </w:t>
      </w:r>
      <w:r w:rsidR="00B76330">
        <w:rPr>
          <w:rFonts w:eastAsia="Calibri" w:cstheme="minorHAnsi"/>
          <w:bCs/>
          <w:sz w:val="24"/>
          <w:szCs w:val="24"/>
          <w:lang w:val="el-GR"/>
        </w:rPr>
        <w:t>στην</w:t>
      </w:r>
      <w:r w:rsidR="00B76330" w:rsidRPr="00B76330">
        <w:rPr>
          <w:rFonts w:eastAsia="Calibri" w:cstheme="minorHAnsi"/>
          <w:bCs/>
          <w:sz w:val="24"/>
          <w:szCs w:val="24"/>
          <w:lang w:val="el-GR"/>
        </w:rPr>
        <w:t xml:space="preserve"> </w:t>
      </w:r>
      <w:r w:rsidR="00B76330">
        <w:rPr>
          <w:rFonts w:eastAsia="Calibri" w:cstheme="minorHAnsi"/>
          <w:bCs/>
          <w:sz w:val="24"/>
          <w:szCs w:val="24"/>
          <w:lang w:val="el-GR"/>
        </w:rPr>
        <w:t>κρίση</w:t>
      </w:r>
      <w:r w:rsidR="00B76330" w:rsidRPr="00B76330">
        <w:rPr>
          <w:rFonts w:eastAsia="Calibri" w:cstheme="minorHAnsi"/>
          <w:bCs/>
          <w:sz w:val="24"/>
          <w:szCs w:val="24"/>
          <w:lang w:val="el-GR"/>
        </w:rPr>
        <w:t xml:space="preserve"> </w:t>
      </w:r>
      <w:r w:rsidR="00B76330">
        <w:rPr>
          <w:rFonts w:eastAsia="Calibri" w:cstheme="minorHAnsi"/>
          <w:bCs/>
          <w:sz w:val="24"/>
          <w:szCs w:val="24"/>
          <w:lang w:val="el-GR"/>
        </w:rPr>
        <w:t>του</w:t>
      </w:r>
      <w:r w:rsidR="00B76330" w:rsidRPr="00B76330">
        <w:rPr>
          <w:rFonts w:eastAsia="Calibri" w:cstheme="minorHAnsi"/>
          <w:bCs/>
          <w:sz w:val="24"/>
          <w:szCs w:val="24"/>
          <w:lang w:val="el-GR"/>
        </w:rPr>
        <w:t xml:space="preserve"> </w:t>
      </w:r>
      <w:r w:rsidR="00B76330">
        <w:rPr>
          <w:rFonts w:eastAsia="Calibri" w:cstheme="minorHAnsi"/>
          <w:bCs/>
          <w:sz w:val="24"/>
          <w:szCs w:val="24"/>
          <w:lang w:val="el-GR"/>
        </w:rPr>
        <w:t>Προέδρου</w:t>
      </w:r>
      <w:r w:rsidR="00B76330" w:rsidRPr="00B76330">
        <w:rPr>
          <w:rFonts w:eastAsia="Calibri" w:cstheme="minorHAnsi"/>
          <w:bCs/>
          <w:sz w:val="24"/>
          <w:szCs w:val="24"/>
          <w:lang w:val="el-GR"/>
        </w:rPr>
        <w:t xml:space="preserve"> </w:t>
      </w:r>
      <w:r w:rsidR="00B76330">
        <w:rPr>
          <w:rFonts w:eastAsia="Calibri" w:cstheme="minorHAnsi"/>
          <w:bCs/>
          <w:sz w:val="24"/>
          <w:szCs w:val="24"/>
          <w:lang w:val="el-GR"/>
        </w:rPr>
        <w:t>την</w:t>
      </w:r>
      <w:r w:rsidR="00B76330" w:rsidRPr="00B76330">
        <w:rPr>
          <w:rFonts w:eastAsia="Calibri" w:cstheme="minorHAnsi"/>
          <w:bCs/>
          <w:sz w:val="24"/>
          <w:szCs w:val="24"/>
          <w:lang w:val="el-GR"/>
        </w:rPr>
        <w:t xml:space="preserve"> </w:t>
      </w:r>
      <w:r w:rsidR="00B76330">
        <w:rPr>
          <w:rFonts w:eastAsia="Calibri" w:cstheme="minorHAnsi"/>
          <w:bCs/>
          <w:sz w:val="24"/>
          <w:szCs w:val="24"/>
          <w:lang w:val="el-GR"/>
        </w:rPr>
        <w:t>απόφαση</w:t>
      </w:r>
      <w:r w:rsidR="00A5147D" w:rsidRPr="00B76330">
        <w:rPr>
          <w:rFonts w:eastAsia="Calibri" w:cstheme="minorHAnsi"/>
          <w:bCs/>
          <w:sz w:val="24"/>
          <w:szCs w:val="24"/>
          <w:lang w:val="el-GR"/>
        </w:rPr>
        <w:t xml:space="preserve"> </w:t>
      </w:r>
      <w:r w:rsidR="00B76330">
        <w:rPr>
          <w:rFonts w:eastAsia="Calibri" w:cstheme="minorHAnsi"/>
          <w:bCs/>
          <w:sz w:val="24"/>
          <w:szCs w:val="24"/>
          <w:lang w:val="el-GR"/>
        </w:rPr>
        <w:t>να</w:t>
      </w:r>
      <w:r w:rsidR="00B76330" w:rsidRPr="00B76330">
        <w:rPr>
          <w:rFonts w:eastAsia="Calibri" w:cstheme="minorHAnsi"/>
          <w:bCs/>
          <w:sz w:val="24"/>
          <w:szCs w:val="24"/>
          <w:lang w:val="el-GR"/>
        </w:rPr>
        <w:t xml:space="preserve"> </w:t>
      </w:r>
      <w:r w:rsidR="00B76330">
        <w:rPr>
          <w:rFonts w:eastAsia="Calibri" w:cstheme="minorHAnsi"/>
          <w:bCs/>
          <w:sz w:val="24"/>
          <w:szCs w:val="24"/>
          <w:lang w:val="el-GR"/>
        </w:rPr>
        <w:t>υποβάλει</w:t>
      </w:r>
      <w:r w:rsidR="00B76330" w:rsidRPr="00B76330">
        <w:rPr>
          <w:rFonts w:eastAsia="Calibri" w:cstheme="minorHAnsi"/>
          <w:bCs/>
          <w:sz w:val="24"/>
          <w:szCs w:val="24"/>
          <w:lang w:val="el-GR"/>
        </w:rPr>
        <w:t xml:space="preserve"> </w:t>
      </w:r>
      <w:r w:rsidR="00B76330">
        <w:rPr>
          <w:rFonts w:eastAsia="Calibri" w:cstheme="minorHAnsi"/>
          <w:bCs/>
          <w:sz w:val="24"/>
          <w:szCs w:val="24"/>
          <w:lang w:val="el-GR"/>
        </w:rPr>
        <w:t>κύρωση</w:t>
      </w:r>
      <w:r w:rsidR="00A5147D" w:rsidRPr="00B76330">
        <w:rPr>
          <w:rFonts w:eastAsia="Calibri" w:cstheme="minorHAnsi"/>
          <w:bCs/>
          <w:sz w:val="24"/>
          <w:szCs w:val="24"/>
          <w:lang w:val="el-GR"/>
        </w:rPr>
        <w:t xml:space="preserve"> </w:t>
      </w:r>
      <w:r w:rsidR="00B76330">
        <w:rPr>
          <w:rFonts w:eastAsia="Calibri" w:cstheme="minorHAnsi"/>
          <w:bCs/>
          <w:sz w:val="24"/>
          <w:szCs w:val="24"/>
          <w:lang w:val="el-GR"/>
        </w:rPr>
        <w:t>σε ένα υπουργό</w:t>
      </w:r>
      <w:r w:rsidR="00A5147D" w:rsidRPr="00B76330">
        <w:rPr>
          <w:rFonts w:eastAsia="Calibri" w:cstheme="minorHAnsi"/>
          <w:bCs/>
          <w:sz w:val="24"/>
          <w:szCs w:val="24"/>
          <w:lang w:val="el-GR"/>
        </w:rPr>
        <w:t>/</w:t>
      </w:r>
      <w:r w:rsidR="00B76330">
        <w:rPr>
          <w:rFonts w:eastAsia="Calibri" w:cstheme="minorHAnsi"/>
          <w:bCs/>
          <w:sz w:val="24"/>
          <w:szCs w:val="24"/>
          <w:lang w:val="el-GR"/>
        </w:rPr>
        <w:t>υφυπουργό</w:t>
      </w:r>
      <w:r w:rsidR="00A5147D" w:rsidRPr="00B76330">
        <w:rPr>
          <w:rFonts w:eastAsia="Calibri" w:cstheme="minorHAnsi"/>
          <w:bCs/>
          <w:sz w:val="24"/>
          <w:szCs w:val="24"/>
          <w:lang w:val="el-GR"/>
        </w:rPr>
        <w:t xml:space="preserve"> </w:t>
      </w:r>
      <w:r w:rsidR="00B76330">
        <w:rPr>
          <w:rFonts w:eastAsia="Calibri" w:cstheme="minorHAnsi"/>
          <w:bCs/>
          <w:sz w:val="24"/>
          <w:szCs w:val="24"/>
          <w:lang w:val="el-GR"/>
        </w:rPr>
        <w:t>για παράλειψη υποβολής ή για λανθασμένη υποβολή</w:t>
      </w:r>
      <w:r w:rsidR="00A5147D" w:rsidRPr="00B76330">
        <w:rPr>
          <w:rFonts w:eastAsia="Calibri" w:cstheme="minorHAnsi"/>
          <w:bCs/>
          <w:sz w:val="24"/>
          <w:szCs w:val="24"/>
          <w:lang w:val="el-GR"/>
        </w:rPr>
        <w:t xml:space="preserve">. </w:t>
      </w:r>
      <w:r w:rsidR="00AF476E">
        <w:rPr>
          <w:rFonts w:eastAsia="Calibri" w:cstheme="minorHAnsi"/>
          <w:bCs/>
          <w:sz w:val="24"/>
          <w:szCs w:val="24"/>
          <w:lang w:val="el-GR"/>
        </w:rPr>
        <w:t>Τίποτε</w:t>
      </w:r>
      <w:r w:rsidR="00AF476E" w:rsidRPr="00AF476E">
        <w:rPr>
          <w:rFonts w:eastAsia="Calibri" w:cstheme="minorHAnsi"/>
          <w:bCs/>
          <w:sz w:val="24"/>
          <w:szCs w:val="24"/>
          <w:lang w:val="el-GR"/>
        </w:rPr>
        <w:t xml:space="preserve"> </w:t>
      </w:r>
      <w:r w:rsidR="00AF476E">
        <w:rPr>
          <w:rFonts w:eastAsia="Calibri" w:cstheme="minorHAnsi"/>
          <w:bCs/>
          <w:sz w:val="24"/>
          <w:szCs w:val="24"/>
          <w:lang w:val="el-GR"/>
        </w:rPr>
        <w:t>δεν</w:t>
      </w:r>
      <w:r w:rsidR="00AF476E" w:rsidRPr="00AF476E">
        <w:rPr>
          <w:rFonts w:eastAsia="Calibri" w:cstheme="minorHAnsi"/>
          <w:bCs/>
          <w:sz w:val="24"/>
          <w:szCs w:val="24"/>
          <w:lang w:val="el-GR"/>
        </w:rPr>
        <w:t xml:space="preserve"> </w:t>
      </w:r>
      <w:r w:rsidR="00AF476E">
        <w:rPr>
          <w:rFonts w:eastAsia="Calibri" w:cstheme="minorHAnsi"/>
          <w:bCs/>
          <w:sz w:val="24"/>
          <w:szCs w:val="24"/>
          <w:lang w:val="el-GR"/>
        </w:rPr>
        <w:t>αναφέρεται</w:t>
      </w:r>
      <w:r w:rsidR="00AF476E" w:rsidRPr="00AF476E">
        <w:rPr>
          <w:rFonts w:eastAsia="Calibri" w:cstheme="minorHAnsi"/>
          <w:bCs/>
          <w:sz w:val="24"/>
          <w:szCs w:val="24"/>
          <w:lang w:val="el-GR"/>
        </w:rPr>
        <w:t xml:space="preserve"> </w:t>
      </w:r>
      <w:r w:rsidR="00AF476E">
        <w:rPr>
          <w:rFonts w:eastAsia="Calibri" w:cstheme="minorHAnsi"/>
          <w:bCs/>
          <w:sz w:val="24"/>
          <w:szCs w:val="24"/>
          <w:lang w:val="el-GR"/>
        </w:rPr>
        <w:t>για</w:t>
      </w:r>
      <w:r w:rsidR="00AF476E" w:rsidRPr="00AF476E">
        <w:rPr>
          <w:rFonts w:eastAsia="Calibri" w:cstheme="minorHAnsi"/>
          <w:bCs/>
          <w:sz w:val="24"/>
          <w:szCs w:val="24"/>
          <w:lang w:val="el-GR"/>
        </w:rPr>
        <w:t xml:space="preserve"> </w:t>
      </w:r>
      <w:r w:rsidR="00AF476E">
        <w:rPr>
          <w:rFonts w:eastAsia="Calibri" w:cstheme="minorHAnsi"/>
          <w:bCs/>
          <w:sz w:val="24"/>
          <w:szCs w:val="24"/>
          <w:lang w:val="el-GR"/>
        </w:rPr>
        <w:t>το</w:t>
      </w:r>
      <w:r w:rsidR="00AF476E" w:rsidRPr="00AF476E">
        <w:rPr>
          <w:rFonts w:eastAsia="Calibri" w:cstheme="minorHAnsi"/>
          <w:bCs/>
          <w:sz w:val="24"/>
          <w:szCs w:val="24"/>
          <w:lang w:val="el-GR"/>
        </w:rPr>
        <w:t xml:space="preserve"> </w:t>
      </w:r>
      <w:r w:rsidR="00AF476E">
        <w:rPr>
          <w:rFonts w:eastAsia="Calibri" w:cstheme="minorHAnsi"/>
          <w:bCs/>
          <w:sz w:val="24"/>
          <w:szCs w:val="24"/>
          <w:lang w:val="el-GR"/>
        </w:rPr>
        <w:t>πώς</w:t>
      </w:r>
      <w:r w:rsidR="00AF476E" w:rsidRPr="00AF476E">
        <w:rPr>
          <w:rFonts w:eastAsia="Calibri" w:cstheme="minorHAnsi"/>
          <w:bCs/>
          <w:sz w:val="24"/>
          <w:szCs w:val="24"/>
          <w:lang w:val="el-GR"/>
        </w:rPr>
        <w:t xml:space="preserve"> </w:t>
      </w:r>
      <w:r w:rsidR="00AF476E">
        <w:rPr>
          <w:rFonts w:eastAsia="Calibri" w:cstheme="minorHAnsi"/>
          <w:bCs/>
          <w:sz w:val="24"/>
          <w:szCs w:val="24"/>
          <w:lang w:val="el-GR"/>
        </w:rPr>
        <w:t>ο</w:t>
      </w:r>
      <w:r w:rsidR="00AF476E" w:rsidRPr="00AF476E">
        <w:rPr>
          <w:rFonts w:eastAsia="Calibri" w:cstheme="minorHAnsi"/>
          <w:bCs/>
          <w:sz w:val="24"/>
          <w:szCs w:val="24"/>
          <w:lang w:val="el-GR"/>
        </w:rPr>
        <w:t xml:space="preserve"> </w:t>
      </w:r>
      <w:r w:rsidR="00AF476E">
        <w:rPr>
          <w:rFonts w:eastAsia="Calibri" w:cstheme="minorHAnsi"/>
          <w:bCs/>
          <w:sz w:val="24"/>
          <w:szCs w:val="24"/>
          <w:lang w:val="el-GR"/>
        </w:rPr>
        <w:t>Πρόεδρος</w:t>
      </w:r>
      <w:r w:rsidR="00AF476E" w:rsidRPr="00AF476E">
        <w:rPr>
          <w:rFonts w:eastAsia="Calibri" w:cstheme="minorHAnsi"/>
          <w:bCs/>
          <w:sz w:val="24"/>
          <w:szCs w:val="24"/>
          <w:lang w:val="el-GR"/>
        </w:rPr>
        <w:t xml:space="preserve"> </w:t>
      </w:r>
      <w:r w:rsidR="00AF476E">
        <w:rPr>
          <w:rFonts w:eastAsia="Calibri" w:cstheme="minorHAnsi"/>
          <w:bCs/>
          <w:sz w:val="24"/>
          <w:szCs w:val="24"/>
          <w:lang w:val="el-GR"/>
        </w:rPr>
        <w:t>ο</w:t>
      </w:r>
      <w:r w:rsidR="00AF476E" w:rsidRPr="00AF476E">
        <w:rPr>
          <w:rFonts w:eastAsia="Calibri" w:cstheme="minorHAnsi"/>
          <w:bCs/>
          <w:sz w:val="24"/>
          <w:szCs w:val="24"/>
          <w:lang w:val="el-GR"/>
        </w:rPr>
        <w:t>/</w:t>
      </w:r>
      <w:r w:rsidR="00AF476E">
        <w:rPr>
          <w:rFonts w:eastAsia="Calibri" w:cstheme="minorHAnsi"/>
          <w:bCs/>
          <w:sz w:val="24"/>
          <w:szCs w:val="24"/>
          <w:lang w:val="el-GR"/>
        </w:rPr>
        <w:t>η</w:t>
      </w:r>
      <w:r w:rsidR="00AF476E" w:rsidRPr="00AF476E">
        <w:rPr>
          <w:rFonts w:eastAsia="Calibri" w:cstheme="minorHAnsi"/>
          <w:bCs/>
          <w:sz w:val="24"/>
          <w:szCs w:val="24"/>
          <w:lang w:val="el-GR"/>
        </w:rPr>
        <w:t xml:space="preserve"> </w:t>
      </w:r>
      <w:r w:rsidR="00AF476E">
        <w:rPr>
          <w:rFonts w:eastAsia="Calibri" w:cstheme="minorHAnsi"/>
          <w:bCs/>
          <w:sz w:val="24"/>
          <w:szCs w:val="24"/>
          <w:lang w:val="el-GR"/>
        </w:rPr>
        <w:t>ίδιος</w:t>
      </w:r>
      <w:r w:rsidR="00AF476E" w:rsidRPr="00AF476E">
        <w:rPr>
          <w:rFonts w:eastAsia="Calibri" w:cstheme="minorHAnsi"/>
          <w:bCs/>
          <w:sz w:val="24"/>
          <w:szCs w:val="24"/>
          <w:lang w:val="el-GR"/>
        </w:rPr>
        <w:t>/</w:t>
      </w:r>
      <w:r w:rsidR="00AF476E">
        <w:rPr>
          <w:rFonts w:eastAsia="Calibri" w:cstheme="minorHAnsi"/>
          <w:bCs/>
          <w:sz w:val="24"/>
          <w:szCs w:val="24"/>
          <w:lang w:val="el-GR"/>
        </w:rPr>
        <w:t>α</w:t>
      </w:r>
      <w:r w:rsidR="00A5147D" w:rsidRPr="00AF476E">
        <w:rPr>
          <w:rFonts w:eastAsia="Calibri" w:cstheme="minorHAnsi"/>
          <w:bCs/>
          <w:sz w:val="24"/>
          <w:szCs w:val="24"/>
          <w:lang w:val="el-GR"/>
        </w:rPr>
        <w:t xml:space="preserve"> </w:t>
      </w:r>
      <w:r w:rsidR="00AF476E">
        <w:rPr>
          <w:rFonts w:eastAsia="Calibri" w:cstheme="minorHAnsi"/>
          <w:bCs/>
          <w:sz w:val="24"/>
          <w:szCs w:val="24"/>
          <w:lang w:val="el-GR"/>
        </w:rPr>
        <w:t>θα</w:t>
      </w:r>
      <w:r w:rsidR="00AF476E" w:rsidRPr="00AF476E">
        <w:rPr>
          <w:rFonts w:eastAsia="Calibri" w:cstheme="minorHAnsi"/>
          <w:bCs/>
          <w:sz w:val="24"/>
          <w:szCs w:val="24"/>
          <w:lang w:val="el-GR"/>
        </w:rPr>
        <w:t xml:space="preserve"> </w:t>
      </w:r>
      <w:r w:rsidR="00AF476E">
        <w:rPr>
          <w:rFonts w:eastAsia="Calibri" w:cstheme="minorHAnsi"/>
          <w:bCs/>
          <w:sz w:val="24"/>
          <w:szCs w:val="24"/>
          <w:lang w:val="el-GR"/>
        </w:rPr>
        <w:t>τιμωρείτο στην περίπτωση μιας παράβασης οικονομικής αποκάλυψης</w:t>
      </w:r>
      <w:r w:rsidR="00A5147D" w:rsidRPr="00AF476E">
        <w:rPr>
          <w:rFonts w:eastAsia="Calibri" w:cstheme="minorHAnsi"/>
          <w:bCs/>
          <w:sz w:val="24"/>
          <w:szCs w:val="24"/>
          <w:lang w:val="el-GR"/>
        </w:rPr>
        <w:t xml:space="preserve">. </w:t>
      </w:r>
      <w:r w:rsidR="00AF476E">
        <w:rPr>
          <w:rFonts w:eastAsia="Calibri" w:cstheme="minorHAnsi"/>
          <w:bCs/>
          <w:sz w:val="24"/>
          <w:szCs w:val="24"/>
          <w:lang w:val="el-GR"/>
        </w:rPr>
        <w:t>Όσον</w:t>
      </w:r>
      <w:r w:rsidR="00AF476E" w:rsidRPr="00AF476E">
        <w:rPr>
          <w:rFonts w:eastAsia="Calibri" w:cstheme="minorHAnsi"/>
          <w:bCs/>
          <w:sz w:val="24"/>
          <w:szCs w:val="24"/>
          <w:lang w:val="el-GR"/>
        </w:rPr>
        <w:t xml:space="preserve"> </w:t>
      </w:r>
      <w:r w:rsidR="00AF476E">
        <w:rPr>
          <w:rFonts w:eastAsia="Calibri" w:cstheme="minorHAnsi"/>
          <w:bCs/>
          <w:sz w:val="24"/>
          <w:szCs w:val="24"/>
          <w:lang w:val="el-GR"/>
        </w:rPr>
        <w:t>αφορά</w:t>
      </w:r>
      <w:r w:rsidR="00AF476E" w:rsidRPr="00AF476E">
        <w:rPr>
          <w:rFonts w:eastAsia="Calibri" w:cstheme="minorHAnsi"/>
          <w:bCs/>
          <w:sz w:val="24"/>
          <w:szCs w:val="24"/>
          <w:lang w:val="el-GR"/>
        </w:rPr>
        <w:t xml:space="preserve"> </w:t>
      </w:r>
      <w:r w:rsidR="00AF476E">
        <w:rPr>
          <w:rFonts w:eastAsia="Calibri" w:cstheme="minorHAnsi"/>
          <w:bCs/>
          <w:sz w:val="24"/>
          <w:szCs w:val="24"/>
          <w:lang w:val="el-GR"/>
        </w:rPr>
        <w:t>τον</w:t>
      </w:r>
      <w:r w:rsidR="00AF476E" w:rsidRPr="00AF476E">
        <w:rPr>
          <w:rFonts w:eastAsia="Calibri" w:cstheme="minorHAnsi"/>
          <w:bCs/>
          <w:sz w:val="24"/>
          <w:szCs w:val="24"/>
          <w:lang w:val="el-GR"/>
        </w:rPr>
        <w:t xml:space="preserve"> </w:t>
      </w:r>
      <w:r w:rsidR="00AF476E">
        <w:rPr>
          <w:rFonts w:eastAsia="Calibri" w:cstheme="minorHAnsi"/>
          <w:bCs/>
          <w:sz w:val="24"/>
          <w:szCs w:val="24"/>
          <w:lang w:val="el-GR"/>
        </w:rPr>
        <w:t>Νόμο</w:t>
      </w:r>
      <w:r w:rsidR="00A5147D" w:rsidRPr="00AF476E">
        <w:rPr>
          <w:rFonts w:cstheme="minorHAnsi"/>
          <w:sz w:val="24"/>
          <w:szCs w:val="24"/>
          <w:lang w:val="el-GR"/>
        </w:rPr>
        <w:t xml:space="preserve"> 50(</w:t>
      </w:r>
      <w:r w:rsidR="00A5147D" w:rsidRPr="004E251E">
        <w:rPr>
          <w:rFonts w:cstheme="minorHAnsi"/>
          <w:sz w:val="24"/>
          <w:szCs w:val="24"/>
        </w:rPr>
        <w:t>I</w:t>
      </w:r>
      <w:r w:rsidR="00A5147D" w:rsidRPr="00AF476E">
        <w:rPr>
          <w:rFonts w:cstheme="minorHAnsi"/>
          <w:sz w:val="24"/>
          <w:szCs w:val="24"/>
          <w:lang w:val="el-GR"/>
        </w:rPr>
        <w:t xml:space="preserve">)2004 </w:t>
      </w:r>
      <w:r w:rsidR="00AF476E">
        <w:rPr>
          <w:rFonts w:cstheme="minorHAnsi"/>
          <w:sz w:val="24"/>
          <w:szCs w:val="24"/>
          <w:lang w:val="el-GR"/>
        </w:rPr>
        <w:t>για</w:t>
      </w:r>
      <w:r w:rsidR="00AF476E" w:rsidRPr="00AF476E">
        <w:rPr>
          <w:rFonts w:cstheme="minorHAnsi"/>
          <w:sz w:val="24"/>
          <w:szCs w:val="24"/>
          <w:lang w:val="el-GR"/>
        </w:rPr>
        <w:t xml:space="preserve"> </w:t>
      </w:r>
      <w:r w:rsidR="00AF476E">
        <w:rPr>
          <w:rFonts w:cstheme="minorHAnsi"/>
          <w:sz w:val="24"/>
          <w:szCs w:val="24"/>
          <w:lang w:val="el-GR"/>
        </w:rPr>
        <w:t>τις</w:t>
      </w:r>
      <w:r w:rsidR="00AF476E" w:rsidRPr="00AF476E">
        <w:rPr>
          <w:rFonts w:cstheme="minorHAnsi"/>
          <w:sz w:val="24"/>
          <w:szCs w:val="24"/>
          <w:lang w:val="el-GR"/>
        </w:rPr>
        <w:t xml:space="preserve"> </w:t>
      </w:r>
      <w:r w:rsidR="00AC1871">
        <w:rPr>
          <w:rFonts w:cstheme="minorHAnsi"/>
          <w:sz w:val="24"/>
          <w:szCs w:val="24"/>
          <w:lang w:val="el-GR"/>
        </w:rPr>
        <w:t xml:space="preserve">υποχρεώσεις </w:t>
      </w:r>
      <w:r w:rsidR="00AF476E">
        <w:rPr>
          <w:rFonts w:cstheme="minorHAnsi"/>
          <w:sz w:val="24"/>
          <w:szCs w:val="24"/>
          <w:lang w:val="el-GR"/>
        </w:rPr>
        <w:t>αποκάλυψης</w:t>
      </w:r>
      <w:r w:rsidR="00AF476E" w:rsidRPr="00AF476E">
        <w:rPr>
          <w:rFonts w:cstheme="minorHAnsi"/>
          <w:sz w:val="24"/>
          <w:szCs w:val="24"/>
          <w:lang w:val="el-GR"/>
        </w:rPr>
        <w:t xml:space="preserve"> </w:t>
      </w:r>
      <w:r w:rsidR="00AF476E">
        <w:rPr>
          <w:rFonts w:cstheme="minorHAnsi"/>
          <w:sz w:val="24"/>
          <w:szCs w:val="24"/>
          <w:lang w:val="el-GR"/>
        </w:rPr>
        <w:t>περιουσιακών</w:t>
      </w:r>
      <w:r w:rsidR="00AF476E" w:rsidRPr="00AF476E">
        <w:rPr>
          <w:rFonts w:cstheme="minorHAnsi"/>
          <w:sz w:val="24"/>
          <w:szCs w:val="24"/>
          <w:lang w:val="el-GR"/>
        </w:rPr>
        <w:t xml:space="preserve"> </w:t>
      </w:r>
      <w:r w:rsidR="00AF476E">
        <w:rPr>
          <w:rFonts w:cstheme="minorHAnsi"/>
          <w:sz w:val="24"/>
          <w:szCs w:val="24"/>
          <w:lang w:val="el-GR"/>
        </w:rPr>
        <w:t>στοιχείων</w:t>
      </w:r>
      <w:r w:rsidR="00A5147D" w:rsidRPr="00AF476E">
        <w:rPr>
          <w:rFonts w:cstheme="minorHAnsi"/>
          <w:sz w:val="24"/>
          <w:szCs w:val="24"/>
          <w:lang w:val="el-GR"/>
        </w:rPr>
        <w:t xml:space="preserve"> </w:t>
      </w:r>
      <w:r w:rsidR="00AF476E">
        <w:rPr>
          <w:rFonts w:cstheme="minorHAnsi"/>
          <w:sz w:val="24"/>
          <w:szCs w:val="24"/>
          <w:lang w:val="el-GR"/>
        </w:rPr>
        <w:t>για</w:t>
      </w:r>
      <w:r w:rsidR="00AC1871">
        <w:rPr>
          <w:rFonts w:cstheme="minorHAnsi"/>
          <w:sz w:val="24"/>
          <w:szCs w:val="24"/>
          <w:lang w:val="el-GR"/>
        </w:rPr>
        <w:t xml:space="preserve"> δημόσια εκτεθειμένα πρόσωπα</w:t>
      </w:r>
      <w:r w:rsidR="00A5147D" w:rsidRPr="00AF476E">
        <w:rPr>
          <w:rFonts w:cstheme="minorHAnsi"/>
          <w:sz w:val="24"/>
          <w:szCs w:val="24"/>
          <w:lang w:val="el-GR"/>
        </w:rPr>
        <w:t xml:space="preserve">, </w:t>
      </w:r>
      <w:r w:rsidR="00AF476E">
        <w:rPr>
          <w:rFonts w:cstheme="minorHAnsi"/>
          <w:sz w:val="24"/>
          <w:szCs w:val="24"/>
          <w:lang w:val="el-GR"/>
        </w:rPr>
        <w:t>αυτός</w:t>
      </w:r>
      <w:r w:rsidR="00AF476E" w:rsidRPr="00AF476E">
        <w:rPr>
          <w:rFonts w:cstheme="minorHAnsi"/>
          <w:sz w:val="24"/>
          <w:szCs w:val="24"/>
          <w:lang w:val="el-GR"/>
        </w:rPr>
        <w:t xml:space="preserve"> </w:t>
      </w:r>
      <w:r w:rsidR="00AF476E">
        <w:rPr>
          <w:rFonts w:cstheme="minorHAnsi"/>
          <w:sz w:val="24"/>
          <w:szCs w:val="24"/>
          <w:lang w:val="el-GR"/>
        </w:rPr>
        <w:t>προβλέπει</w:t>
      </w:r>
      <w:r w:rsidR="00AF476E" w:rsidRPr="00AF476E">
        <w:rPr>
          <w:rFonts w:cstheme="minorHAnsi"/>
          <w:sz w:val="24"/>
          <w:szCs w:val="24"/>
          <w:lang w:val="el-GR"/>
        </w:rPr>
        <w:t xml:space="preserve"> </w:t>
      </w:r>
      <w:r w:rsidR="00AF476E">
        <w:rPr>
          <w:rFonts w:cstheme="minorHAnsi"/>
          <w:sz w:val="24"/>
          <w:szCs w:val="24"/>
          <w:lang w:val="el-GR"/>
        </w:rPr>
        <w:t>κυρώσεις</w:t>
      </w:r>
      <w:r w:rsidR="00AF476E" w:rsidRPr="00AF476E">
        <w:rPr>
          <w:rFonts w:cstheme="minorHAnsi"/>
          <w:sz w:val="24"/>
          <w:szCs w:val="24"/>
          <w:lang w:val="el-GR"/>
        </w:rPr>
        <w:t xml:space="preserve"> </w:t>
      </w:r>
      <w:r w:rsidR="00AF476E">
        <w:rPr>
          <w:rFonts w:cstheme="minorHAnsi"/>
          <w:sz w:val="24"/>
          <w:szCs w:val="24"/>
          <w:lang w:val="el-GR"/>
        </w:rPr>
        <w:t>για</w:t>
      </w:r>
      <w:r w:rsidR="00AF476E" w:rsidRPr="00AF476E">
        <w:rPr>
          <w:rFonts w:cstheme="minorHAnsi"/>
          <w:sz w:val="24"/>
          <w:szCs w:val="24"/>
          <w:lang w:val="el-GR"/>
        </w:rPr>
        <w:t xml:space="preserve"> </w:t>
      </w:r>
      <w:r w:rsidR="00AF476E">
        <w:rPr>
          <w:rFonts w:cstheme="minorHAnsi"/>
          <w:sz w:val="24"/>
          <w:szCs w:val="24"/>
          <w:lang w:val="el-GR"/>
        </w:rPr>
        <w:t>ψευδείς</w:t>
      </w:r>
      <w:r w:rsidR="00AF476E" w:rsidRPr="00AF476E">
        <w:rPr>
          <w:rFonts w:cstheme="minorHAnsi"/>
          <w:sz w:val="24"/>
          <w:szCs w:val="24"/>
          <w:lang w:val="el-GR"/>
        </w:rPr>
        <w:t xml:space="preserve"> </w:t>
      </w:r>
      <w:r w:rsidR="00AF476E">
        <w:rPr>
          <w:rFonts w:cstheme="minorHAnsi"/>
          <w:sz w:val="24"/>
          <w:szCs w:val="24"/>
          <w:lang w:val="el-GR"/>
        </w:rPr>
        <w:t>δηλώσεις</w:t>
      </w:r>
      <w:r w:rsidR="00A5147D" w:rsidRPr="00AF476E">
        <w:rPr>
          <w:rFonts w:cstheme="minorHAnsi"/>
          <w:sz w:val="24"/>
          <w:szCs w:val="24"/>
          <w:lang w:val="el-GR"/>
        </w:rPr>
        <w:t xml:space="preserve"> (</w:t>
      </w:r>
      <w:r w:rsidR="00AF476E">
        <w:rPr>
          <w:rFonts w:cstheme="minorHAnsi"/>
          <w:sz w:val="24"/>
          <w:szCs w:val="24"/>
          <w:lang w:val="el-GR"/>
        </w:rPr>
        <w:t>φυλάκιση μέχρι ένα χρόνο ή</w:t>
      </w:r>
      <w:r w:rsidR="00A5147D" w:rsidRPr="00AF476E">
        <w:rPr>
          <w:rFonts w:cstheme="minorHAnsi"/>
          <w:sz w:val="24"/>
          <w:szCs w:val="24"/>
          <w:lang w:val="el-GR"/>
        </w:rPr>
        <w:t>/</w:t>
      </w:r>
      <w:r w:rsidR="00AF476E">
        <w:rPr>
          <w:rFonts w:cstheme="minorHAnsi"/>
          <w:sz w:val="24"/>
          <w:szCs w:val="24"/>
          <w:lang w:val="el-GR"/>
        </w:rPr>
        <w:t>και πρόστιμο</w:t>
      </w:r>
      <w:r w:rsidR="00A5147D" w:rsidRPr="00AF476E">
        <w:rPr>
          <w:rFonts w:cstheme="minorHAnsi"/>
          <w:sz w:val="24"/>
          <w:szCs w:val="24"/>
          <w:lang w:val="el-GR"/>
        </w:rPr>
        <w:t xml:space="preserve">) </w:t>
      </w:r>
      <w:r w:rsidR="00AF476E">
        <w:rPr>
          <w:rFonts w:cstheme="minorHAnsi"/>
          <w:sz w:val="24"/>
          <w:szCs w:val="24"/>
          <w:lang w:val="el-GR"/>
        </w:rPr>
        <w:t>και μη-αποκάλυψη</w:t>
      </w:r>
      <w:r w:rsidR="00A5147D" w:rsidRPr="00AF476E">
        <w:rPr>
          <w:rFonts w:cstheme="minorHAnsi"/>
          <w:sz w:val="24"/>
          <w:szCs w:val="24"/>
          <w:lang w:val="el-GR"/>
        </w:rPr>
        <w:t xml:space="preserve"> (</w:t>
      </w:r>
      <w:r w:rsidR="00AF476E">
        <w:rPr>
          <w:rFonts w:cstheme="minorHAnsi"/>
          <w:sz w:val="24"/>
          <w:szCs w:val="24"/>
          <w:lang w:val="el-GR"/>
        </w:rPr>
        <w:t>πρόστιμο</w:t>
      </w:r>
      <w:r w:rsidR="00A5147D" w:rsidRPr="00AF476E">
        <w:rPr>
          <w:rFonts w:cstheme="minorHAnsi"/>
          <w:sz w:val="24"/>
          <w:szCs w:val="24"/>
          <w:lang w:val="el-GR"/>
        </w:rPr>
        <w:t xml:space="preserve">), </w:t>
      </w:r>
      <w:r w:rsidR="00AF476E">
        <w:rPr>
          <w:rFonts w:cstheme="minorHAnsi"/>
          <w:sz w:val="24"/>
          <w:szCs w:val="24"/>
          <w:lang w:val="el-GR"/>
        </w:rPr>
        <w:t xml:space="preserve">ωστόσο δεν αναφέρει τίποτε για </w:t>
      </w:r>
      <w:r w:rsidR="00AC1871">
        <w:rPr>
          <w:rFonts w:cstheme="minorHAnsi"/>
          <w:sz w:val="24"/>
          <w:szCs w:val="24"/>
          <w:lang w:val="el-GR"/>
        </w:rPr>
        <w:t xml:space="preserve">καθυστερημένη </w:t>
      </w:r>
      <w:r w:rsidR="00AF476E">
        <w:rPr>
          <w:rFonts w:cstheme="minorHAnsi"/>
          <w:sz w:val="24"/>
          <w:szCs w:val="24"/>
          <w:lang w:val="el-GR"/>
        </w:rPr>
        <w:t>υποβολή</w:t>
      </w:r>
      <w:r w:rsidR="00A5147D" w:rsidRPr="00AF476E">
        <w:rPr>
          <w:rFonts w:cstheme="minorHAnsi"/>
          <w:sz w:val="24"/>
          <w:szCs w:val="24"/>
          <w:lang w:val="el-GR"/>
        </w:rPr>
        <w:t xml:space="preserve"> </w:t>
      </w:r>
      <w:r w:rsidR="00AF476E">
        <w:rPr>
          <w:rFonts w:cstheme="minorHAnsi"/>
          <w:sz w:val="24"/>
          <w:szCs w:val="24"/>
          <w:lang w:val="el-GR"/>
        </w:rPr>
        <w:t>και</w:t>
      </w:r>
      <w:r w:rsidR="00A5147D" w:rsidRPr="00AF476E">
        <w:rPr>
          <w:rFonts w:cstheme="minorHAnsi"/>
          <w:sz w:val="24"/>
          <w:szCs w:val="24"/>
          <w:lang w:val="el-GR"/>
        </w:rPr>
        <w:t xml:space="preserve"> </w:t>
      </w:r>
      <w:r w:rsidR="00AF476E">
        <w:rPr>
          <w:rFonts w:cstheme="minorHAnsi"/>
          <w:sz w:val="24"/>
          <w:szCs w:val="24"/>
          <w:lang w:val="el-GR"/>
        </w:rPr>
        <w:t>ατελείς δηλώσεις</w:t>
      </w:r>
      <w:r w:rsidR="00A5147D" w:rsidRPr="00AF476E">
        <w:rPr>
          <w:rFonts w:cstheme="minorHAnsi"/>
          <w:sz w:val="24"/>
          <w:szCs w:val="24"/>
          <w:lang w:val="el-GR"/>
        </w:rPr>
        <w:t>.</w:t>
      </w:r>
      <w:r w:rsidR="00FC633E" w:rsidRPr="00AF476E">
        <w:rPr>
          <w:rFonts w:cstheme="minorHAnsi"/>
          <w:sz w:val="24"/>
          <w:szCs w:val="24"/>
          <w:lang w:val="el-GR"/>
        </w:rPr>
        <w:t xml:space="preserve"> </w:t>
      </w:r>
      <w:bookmarkStart w:id="153" w:name="_Hlk134005120"/>
      <w:r w:rsidR="00AF476E">
        <w:rPr>
          <w:rFonts w:cstheme="minorHAnsi"/>
          <w:sz w:val="24"/>
          <w:szCs w:val="24"/>
          <w:lang w:val="el-GR"/>
        </w:rPr>
        <w:t>Δεν</w:t>
      </w:r>
      <w:r w:rsidR="00AF476E" w:rsidRPr="00AF476E">
        <w:rPr>
          <w:rFonts w:cstheme="minorHAnsi"/>
          <w:sz w:val="24"/>
          <w:szCs w:val="24"/>
          <w:lang w:val="el-GR"/>
        </w:rPr>
        <w:t xml:space="preserve"> </w:t>
      </w:r>
      <w:r w:rsidR="00AF476E">
        <w:rPr>
          <w:rFonts w:cstheme="minorHAnsi"/>
          <w:sz w:val="24"/>
          <w:szCs w:val="24"/>
          <w:lang w:val="el-GR"/>
        </w:rPr>
        <w:t>έχει</w:t>
      </w:r>
      <w:r w:rsidR="00AF476E" w:rsidRPr="00AF476E">
        <w:rPr>
          <w:rFonts w:cstheme="minorHAnsi"/>
          <w:sz w:val="24"/>
          <w:szCs w:val="24"/>
          <w:lang w:val="el-GR"/>
        </w:rPr>
        <w:t xml:space="preserve"> </w:t>
      </w:r>
      <w:r w:rsidR="00AC1871">
        <w:rPr>
          <w:rFonts w:cstheme="minorHAnsi"/>
          <w:sz w:val="24"/>
          <w:szCs w:val="24"/>
          <w:lang w:val="el-GR"/>
        </w:rPr>
        <w:t xml:space="preserve">επιβληθεί </w:t>
      </w:r>
      <w:r w:rsidR="00AF476E">
        <w:rPr>
          <w:rFonts w:cstheme="minorHAnsi"/>
          <w:sz w:val="24"/>
          <w:szCs w:val="24"/>
          <w:lang w:val="el-GR"/>
        </w:rPr>
        <w:t>καμιά</w:t>
      </w:r>
      <w:r w:rsidR="00AF476E" w:rsidRPr="00AF476E">
        <w:rPr>
          <w:rFonts w:cstheme="minorHAnsi"/>
          <w:sz w:val="24"/>
          <w:szCs w:val="24"/>
          <w:lang w:val="el-GR"/>
        </w:rPr>
        <w:t xml:space="preserve"> </w:t>
      </w:r>
      <w:r w:rsidR="00AF476E">
        <w:rPr>
          <w:rFonts w:cstheme="minorHAnsi"/>
          <w:sz w:val="24"/>
          <w:szCs w:val="24"/>
          <w:lang w:val="el-GR"/>
        </w:rPr>
        <w:t>κύρωση</w:t>
      </w:r>
      <w:r w:rsidR="00AF476E" w:rsidRPr="00AF476E">
        <w:rPr>
          <w:rFonts w:cstheme="minorHAnsi"/>
          <w:sz w:val="24"/>
          <w:szCs w:val="24"/>
          <w:lang w:val="el-GR"/>
        </w:rPr>
        <w:t xml:space="preserve"> </w:t>
      </w:r>
      <w:r w:rsidR="00AF476E">
        <w:rPr>
          <w:rFonts w:cstheme="minorHAnsi"/>
          <w:sz w:val="24"/>
          <w:szCs w:val="24"/>
          <w:lang w:val="el-GR"/>
        </w:rPr>
        <w:t>δυνάμει</w:t>
      </w:r>
      <w:r w:rsidR="00AF476E" w:rsidRPr="00AF476E">
        <w:rPr>
          <w:rFonts w:cstheme="minorHAnsi"/>
          <w:sz w:val="24"/>
          <w:szCs w:val="24"/>
          <w:lang w:val="el-GR"/>
        </w:rPr>
        <w:t xml:space="preserve"> </w:t>
      </w:r>
      <w:r w:rsidR="00AF476E">
        <w:rPr>
          <w:rFonts w:cstheme="minorHAnsi"/>
          <w:sz w:val="24"/>
          <w:szCs w:val="24"/>
          <w:lang w:val="el-GR"/>
        </w:rPr>
        <w:t>του</w:t>
      </w:r>
      <w:r w:rsidR="00AF476E" w:rsidRPr="00AF476E">
        <w:rPr>
          <w:rFonts w:cstheme="minorHAnsi"/>
          <w:sz w:val="24"/>
          <w:szCs w:val="24"/>
          <w:lang w:val="el-GR"/>
        </w:rPr>
        <w:t xml:space="preserve"> </w:t>
      </w:r>
      <w:r w:rsidR="00AF476E">
        <w:rPr>
          <w:rFonts w:cstheme="minorHAnsi"/>
          <w:sz w:val="24"/>
          <w:szCs w:val="24"/>
          <w:lang w:val="el-GR"/>
        </w:rPr>
        <w:t>Νόμου</w:t>
      </w:r>
      <w:r w:rsidR="00AF476E" w:rsidRPr="00AF476E">
        <w:rPr>
          <w:rFonts w:cstheme="minorHAnsi"/>
          <w:sz w:val="24"/>
          <w:szCs w:val="24"/>
          <w:lang w:val="el-GR"/>
        </w:rPr>
        <w:t xml:space="preserve"> </w:t>
      </w:r>
      <w:r w:rsidR="00FB0AA3" w:rsidRPr="00AF476E">
        <w:rPr>
          <w:rFonts w:cstheme="minorHAnsi"/>
          <w:sz w:val="24"/>
          <w:szCs w:val="24"/>
          <w:lang w:val="el-GR"/>
        </w:rPr>
        <w:t>49(</w:t>
      </w:r>
      <w:r w:rsidR="00FB0AA3" w:rsidRPr="004E251E">
        <w:rPr>
          <w:rFonts w:cstheme="minorHAnsi"/>
          <w:sz w:val="24"/>
          <w:szCs w:val="24"/>
        </w:rPr>
        <w:t>I</w:t>
      </w:r>
      <w:r w:rsidR="00FB0AA3" w:rsidRPr="00AF476E">
        <w:rPr>
          <w:rFonts w:cstheme="minorHAnsi"/>
          <w:sz w:val="24"/>
          <w:szCs w:val="24"/>
          <w:lang w:val="el-GR"/>
        </w:rPr>
        <w:t xml:space="preserve">)2004 </w:t>
      </w:r>
      <w:r w:rsidR="00AF476E">
        <w:rPr>
          <w:rFonts w:cstheme="minorHAnsi"/>
          <w:sz w:val="24"/>
          <w:szCs w:val="24"/>
          <w:lang w:val="el-GR"/>
        </w:rPr>
        <w:t>όσον</w:t>
      </w:r>
      <w:r w:rsidR="00AF476E" w:rsidRPr="00AF476E">
        <w:rPr>
          <w:rFonts w:cstheme="minorHAnsi"/>
          <w:sz w:val="24"/>
          <w:szCs w:val="24"/>
          <w:lang w:val="el-GR"/>
        </w:rPr>
        <w:t xml:space="preserve"> </w:t>
      </w:r>
      <w:r w:rsidR="00AF476E">
        <w:rPr>
          <w:rFonts w:cstheme="minorHAnsi"/>
          <w:sz w:val="24"/>
          <w:szCs w:val="24"/>
          <w:lang w:val="el-GR"/>
        </w:rPr>
        <w:t>αφορά</w:t>
      </w:r>
      <w:r w:rsidR="00AF476E" w:rsidRPr="00AF476E">
        <w:rPr>
          <w:rFonts w:cstheme="minorHAnsi"/>
          <w:sz w:val="24"/>
          <w:szCs w:val="24"/>
          <w:lang w:val="el-GR"/>
        </w:rPr>
        <w:t xml:space="preserve"> </w:t>
      </w:r>
      <w:r w:rsidR="00AF476E">
        <w:rPr>
          <w:rFonts w:cstheme="minorHAnsi"/>
          <w:sz w:val="24"/>
          <w:szCs w:val="24"/>
          <w:lang w:val="el-GR"/>
        </w:rPr>
        <w:t>τον</w:t>
      </w:r>
      <w:r w:rsidR="00AF476E" w:rsidRPr="00AF476E">
        <w:rPr>
          <w:rFonts w:cstheme="minorHAnsi"/>
          <w:sz w:val="24"/>
          <w:szCs w:val="24"/>
          <w:lang w:val="el-GR"/>
        </w:rPr>
        <w:t xml:space="preserve"> </w:t>
      </w:r>
      <w:r w:rsidR="00AF476E">
        <w:rPr>
          <w:rFonts w:cstheme="minorHAnsi"/>
          <w:sz w:val="24"/>
          <w:szCs w:val="24"/>
          <w:lang w:val="el-GR"/>
        </w:rPr>
        <w:t>Πρόεδρο</w:t>
      </w:r>
      <w:r w:rsidR="00FB0AA3" w:rsidRPr="00AF476E">
        <w:rPr>
          <w:rFonts w:cstheme="minorHAnsi"/>
          <w:sz w:val="24"/>
          <w:szCs w:val="24"/>
          <w:lang w:val="el-GR"/>
        </w:rPr>
        <w:t xml:space="preserve"> </w:t>
      </w:r>
      <w:r w:rsidR="00AF476E">
        <w:rPr>
          <w:rFonts w:cstheme="minorHAnsi"/>
          <w:sz w:val="24"/>
          <w:szCs w:val="24"/>
          <w:lang w:val="el-GR"/>
        </w:rPr>
        <w:t>και τους υπουργούς</w:t>
      </w:r>
      <w:r w:rsidR="00FB0AA3" w:rsidRPr="00AF476E">
        <w:rPr>
          <w:rFonts w:cstheme="minorHAnsi"/>
          <w:sz w:val="24"/>
          <w:szCs w:val="24"/>
          <w:lang w:val="el-GR"/>
        </w:rPr>
        <w:t xml:space="preserve">. </w:t>
      </w:r>
      <w:r w:rsidR="00AF476E">
        <w:rPr>
          <w:rFonts w:cstheme="minorHAnsi"/>
          <w:sz w:val="24"/>
          <w:szCs w:val="24"/>
          <w:lang w:val="el-GR"/>
        </w:rPr>
        <w:t>Σύμφωνα</w:t>
      </w:r>
      <w:r w:rsidR="00AF476E" w:rsidRPr="00AF476E">
        <w:rPr>
          <w:rFonts w:cstheme="minorHAnsi"/>
          <w:sz w:val="24"/>
          <w:szCs w:val="24"/>
          <w:lang w:val="el-GR"/>
        </w:rPr>
        <w:t xml:space="preserve"> </w:t>
      </w:r>
      <w:r w:rsidR="00AF476E">
        <w:rPr>
          <w:rFonts w:cstheme="minorHAnsi"/>
          <w:sz w:val="24"/>
          <w:szCs w:val="24"/>
          <w:lang w:val="el-GR"/>
        </w:rPr>
        <w:t>με</w:t>
      </w:r>
      <w:r w:rsidR="00AF476E" w:rsidRPr="00AF476E">
        <w:rPr>
          <w:rFonts w:cstheme="minorHAnsi"/>
          <w:sz w:val="24"/>
          <w:szCs w:val="24"/>
          <w:lang w:val="el-GR"/>
        </w:rPr>
        <w:t xml:space="preserve"> </w:t>
      </w:r>
      <w:r w:rsidR="00AF476E">
        <w:rPr>
          <w:rFonts w:cstheme="minorHAnsi"/>
          <w:sz w:val="24"/>
          <w:szCs w:val="24"/>
          <w:lang w:val="el-GR"/>
        </w:rPr>
        <w:t>τον</w:t>
      </w:r>
      <w:r w:rsidR="00AF476E" w:rsidRPr="00AF476E">
        <w:rPr>
          <w:rFonts w:cstheme="minorHAnsi"/>
          <w:sz w:val="24"/>
          <w:szCs w:val="24"/>
          <w:lang w:val="el-GR"/>
        </w:rPr>
        <w:t xml:space="preserve"> </w:t>
      </w:r>
      <w:r w:rsidR="00AF476E">
        <w:rPr>
          <w:rFonts w:cstheme="minorHAnsi"/>
          <w:sz w:val="24"/>
          <w:szCs w:val="24"/>
          <w:lang w:val="el-GR"/>
        </w:rPr>
        <w:t>Νόμο</w:t>
      </w:r>
      <w:r w:rsidR="00FB0AA3" w:rsidRPr="00AF476E">
        <w:rPr>
          <w:rFonts w:cstheme="minorHAnsi"/>
          <w:sz w:val="24"/>
          <w:szCs w:val="24"/>
          <w:lang w:val="el-GR"/>
        </w:rPr>
        <w:t xml:space="preserve"> 50(</w:t>
      </w:r>
      <w:r w:rsidR="00FB0AA3" w:rsidRPr="004E251E">
        <w:rPr>
          <w:rFonts w:cstheme="minorHAnsi"/>
          <w:sz w:val="24"/>
          <w:szCs w:val="24"/>
        </w:rPr>
        <w:t>I</w:t>
      </w:r>
      <w:r w:rsidR="00FB0AA3" w:rsidRPr="00AF476E">
        <w:rPr>
          <w:rFonts w:cstheme="minorHAnsi"/>
          <w:sz w:val="24"/>
          <w:szCs w:val="24"/>
          <w:lang w:val="el-GR"/>
        </w:rPr>
        <w:t xml:space="preserve">)2004, </w:t>
      </w:r>
      <w:r w:rsidR="00AF476E">
        <w:rPr>
          <w:rFonts w:cstheme="minorHAnsi"/>
          <w:sz w:val="24"/>
          <w:szCs w:val="24"/>
          <w:lang w:val="el-GR"/>
        </w:rPr>
        <w:t>κάποιες</w:t>
      </w:r>
      <w:r w:rsidR="00AF476E" w:rsidRPr="00AF476E">
        <w:rPr>
          <w:rFonts w:cstheme="minorHAnsi"/>
          <w:sz w:val="24"/>
          <w:szCs w:val="24"/>
          <w:lang w:val="el-GR"/>
        </w:rPr>
        <w:t xml:space="preserve"> </w:t>
      </w:r>
      <w:r w:rsidR="00AF476E">
        <w:rPr>
          <w:rFonts w:cstheme="minorHAnsi"/>
          <w:sz w:val="24"/>
          <w:szCs w:val="24"/>
          <w:lang w:val="el-GR"/>
        </w:rPr>
        <w:t>κυρώσεις</w:t>
      </w:r>
      <w:r w:rsidR="00FB0AA3" w:rsidRPr="00AF476E">
        <w:rPr>
          <w:rFonts w:cstheme="minorHAnsi"/>
          <w:sz w:val="24"/>
          <w:szCs w:val="24"/>
          <w:lang w:val="el-GR"/>
        </w:rPr>
        <w:t xml:space="preserve"> (</w:t>
      </w:r>
      <w:r w:rsidR="00AF476E">
        <w:rPr>
          <w:rFonts w:cstheme="minorHAnsi"/>
          <w:sz w:val="24"/>
          <w:szCs w:val="24"/>
          <w:lang w:val="el-GR"/>
        </w:rPr>
        <w:t>πρόστιμα</w:t>
      </w:r>
      <w:r w:rsidR="00FB0AA3" w:rsidRPr="00AF476E">
        <w:rPr>
          <w:rFonts w:cstheme="minorHAnsi"/>
          <w:sz w:val="24"/>
          <w:szCs w:val="24"/>
          <w:lang w:val="el-GR"/>
        </w:rPr>
        <w:t xml:space="preserve">) </w:t>
      </w:r>
      <w:r w:rsidR="00AF476E">
        <w:rPr>
          <w:rFonts w:cstheme="minorHAnsi"/>
          <w:sz w:val="24"/>
          <w:szCs w:val="24"/>
          <w:lang w:val="el-GR"/>
        </w:rPr>
        <w:t>έχουν</w:t>
      </w:r>
      <w:r w:rsidR="00AF476E" w:rsidRPr="00AF476E">
        <w:rPr>
          <w:rFonts w:cstheme="minorHAnsi"/>
          <w:sz w:val="24"/>
          <w:szCs w:val="24"/>
          <w:lang w:val="el-GR"/>
        </w:rPr>
        <w:t xml:space="preserve"> </w:t>
      </w:r>
      <w:r w:rsidR="00AF476E">
        <w:rPr>
          <w:rFonts w:cstheme="minorHAnsi"/>
          <w:sz w:val="24"/>
          <w:szCs w:val="24"/>
          <w:lang w:val="el-GR"/>
        </w:rPr>
        <w:t>επιβληθεί</w:t>
      </w:r>
      <w:r w:rsidR="00FB0AA3" w:rsidRPr="00AF476E">
        <w:rPr>
          <w:rFonts w:cstheme="minorHAnsi"/>
          <w:sz w:val="24"/>
          <w:szCs w:val="24"/>
          <w:lang w:val="el-GR"/>
        </w:rPr>
        <w:t xml:space="preserve"> (</w:t>
      </w:r>
      <w:r w:rsidR="00AF476E">
        <w:rPr>
          <w:rFonts w:cstheme="minorHAnsi"/>
          <w:sz w:val="24"/>
          <w:szCs w:val="24"/>
          <w:lang w:val="el-GR"/>
        </w:rPr>
        <w:t>συμπεριλαμβανομέν</w:t>
      </w:r>
      <w:r w:rsidR="00AC1871">
        <w:rPr>
          <w:rFonts w:cstheme="minorHAnsi"/>
          <w:sz w:val="24"/>
          <w:szCs w:val="24"/>
          <w:lang w:val="el-GR"/>
        </w:rPr>
        <w:t>ης και της περίπτωσης</w:t>
      </w:r>
      <w:r w:rsidR="00AF476E" w:rsidRPr="00AF476E">
        <w:rPr>
          <w:rFonts w:cstheme="minorHAnsi"/>
          <w:sz w:val="24"/>
          <w:szCs w:val="24"/>
          <w:lang w:val="el-GR"/>
        </w:rPr>
        <w:t xml:space="preserve"> </w:t>
      </w:r>
      <w:r w:rsidR="00AC1871">
        <w:rPr>
          <w:rFonts w:cstheme="minorHAnsi"/>
          <w:sz w:val="24"/>
          <w:szCs w:val="24"/>
          <w:lang w:val="el-GR"/>
        </w:rPr>
        <w:t xml:space="preserve">ενός </w:t>
      </w:r>
      <w:r w:rsidR="00AF476E">
        <w:rPr>
          <w:rFonts w:cstheme="minorHAnsi"/>
          <w:sz w:val="24"/>
          <w:szCs w:val="24"/>
          <w:lang w:val="el-GR"/>
        </w:rPr>
        <w:t>Επ</w:t>
      </w:r>
      <w:r w:rsidR="00AC1871">
        <w:rPr>
          <w:rFonts w:cstheme="minorHAnsi"/>
          <w:sz w:val="24"/>
          <w:szCs w:val="24"/>
          <w:lang w:val="el-GR"/>
        </w:rPr>
        <w:t>ι</w:t>
      </w:r>
      <w:r w:rsidR="00AF476E">
        <w:rPr>
          <w:rFonts w:cstheme="minorHAnsi"/>
          <w:sz w:val="24"/>
          <w:szCs w:val="24"/>
          <w:lang w:val="el-GR"/>
        </w:rPr>
        <w:t>τρ</w:t>
      </w:r>
      <w:r w:rsidR="00AC1871">
        <w:rPr>
          <w:rFonts w:cstheme="minorHAnsi"/>
          <w:sz w:val="24"/>
          <w:szCs w:val="24"/>
          <w:lang w:val="el-GR"/>
        </w:rPr>
        <w:t>ό</w:t>
      </w:r>
      <w:r w:rsidR="00AF476E">
        <w:rPr>
          <w:rFonts w:cstheme="minorHAnsi"/>
          <w:sz w:val="24"/>
          <w:szCs w:val="24"/>
          <w:lang w:val="el-GR"/>
        </w:rPr>
        <w:t>πο</w:t>
      </w:r>
      <w:r w:rsidR="00AC1871">
        <w:rPr>
          <w:rFonts w:cstheme="minorHAnsi"/>
          <w:sz w:val="24"/>
          <w:szCs w:val="24"/>
          <w:lang w:val="el-GR"/>
        </w:rPr>
        <w:t>υ</w:t>
      </w:r>
      <w:r w:rsidR="00FB0AA3" w:rsidRPr="00AF476E">
        <w:rPr>
          <w:rFonts w:cstheme="minorHAnsi"/>
          <w:sz w:val="24"/>
          <w:szCs w:val="24"/>
          <w:lang w:val="el-GR"/>
        </w:rPr>
        <w:t xml:space="preserve">), </w:t>
      </w:r>
      <w:r w:rsidR="00AF476E">
        <w:rPr>
          <w:rFonts w:cstheme="minorHAnsi"/>
          <w:sz w:val="24"/>
          <w:szCs w:val="24"/>
          <w:lang w:val="el-GR"/>
        </w:rPr>
        <w:t>καθώς επίσης και</w:t>
      </w:r>
      <w:r w:rsidR="00FB0AA3" w:rsidRPr="00AF476E">
        <w:rPr>
          <w:rFonts w:cstheme="minorHAnsi"/>
          <w:sz w:val="24"/>
          <w:szCs w:val="24"/>
          <w:lang w:val="el-GR"/>
        </w:rPr>
        <w:t xml:space="preserve"> </w:t>
      </w:r>
      <w:r w:rsidR="00AF476E">
        <w:rPr>
          <w:rFonts w:cstheme="minorHAnsi"/>
          <w:sz w:val="24"/>
          <w:szCs w:val="24"/>
          <w:lang w:val="el-GR"/>
        </w:rPr>
        <w:t>την δημοσίευση διαδικτυακά του ονόματος του ατόμου</w:t>
      </w:r>
      <w:r w:rsidR="00FB0AA3" w:rsidRPr="00AF476E">
        <w:rPr>
          <w:rFonts w:cstheme="minorHAnsi"/>
          <w:sz w:val="24"/>
          <w:szCs w:val="24"/>
          <w:lang w:val="el-GR"/>
        </w:rPr>
        <w:t xml:space="preserve"> </w:t>
      </w:r>
      <w:r w:rsidR="00AF476E">
        <w:rPr>
          <w:rFonts w:cstheme="minorHAnsi"/>
          <w:sz w:val="24"/>
          <w:szCs w:val="24"/>
          <w:lang w:val="el-GR"/>
        </w:rPr>
        <w:t>που δεν υπέβαλε την αποκάλυψη</w:t>
      </w:r>
      <w:r w:rsidR="00FC633E" w:rsidRPr="00AF476E">
        <w:rPr>
          <w:rFonts w:cstheme="minorHAnsi"/>
          <w:sz w:val="24"/>
          <w:szCs w:val="24"/>
          <w:lang w:val="el-GR"/>
        </w:rPr>
        <w:t>.</w:t>
      </w:r>
      <w:r w:rsidR="00FB0AA3" w:rsidRPr="00AF476E">
        <w:rPr>
          <w:rFonts w:cstheme="minorHAnsi"/>
          <w:sz w:val="24"/>
          <w:szCs w:val="24"/>
          <w:lang w:val="el-GR"/>
        </w:rPr>
        <w:t xml:space="preserve"> </w:t>
      </w:r>
      <w:bookmarkEnd w:id="153"/>
      <w:r w:rsidR="00AF476E" w:rsidRPr="00AF476E">
        <w:rPr>
          <w:rFonts w:cstheme="minorHAnsi"/>
          <w:b/>
          <w:sz w:val="24"/>
          <w:szCs w:val="24"/>
          <w:lang w:val="el-GR"/>
        </w:rPr>
        <w:t>Η</w:t>
      </w:r>
      <w:r w:rsidR="00AF476E" w:rsidRPr="001E1809">
        <w:rPr>
          <w:rFonts w:cstheme="minorHAnsi"/>
          <w:sz w:val="24"/>
          <w:szCs w:val="24"/>
          <w:lang w:val="el-GR"/>
        </w:rPr>
        <w:t xml:space="preserve"> </w:t>
      </w:r>
      <w:r w:rsidR="00A5147D" w:rsidRPr="004E251E">
        <w:rPr>
          <w:rFonts w:cstheme="minorHAnsi"/>
          <w:b/>
          <w:bCs/>
          <w:sz w:val="24"/>
          <w:szCs w:val="24"/>
        </w:rPr>
        <w:t>GRECO</w:t>
      </w:r>
      <w:r w:rsidR="00A5147D" w:rsidRPr="001E1809">
        <w:rPr>
          <w:rFonts w:cstheme="minorHAnsi"/>
          <w:b/>
          <w:bCs/>
          <w:sz w:val="24"/>
          <w:szCs w:val="24"/>
          <w:lang w:val="el-GR"/>
        </w:rPr>
        <w:t xml:space="preserve"> </w:t>
      </w:r>
      <w:r w:rsidR="001B09F4">
        <w:rPr>
          <w:rFonts w:cstheme="minorHAnsi"/>
          <w:b/>
          <w:bCs/>
          <w:sz w:val="24"/>
          <w:szCs w:val="24"/>
          <w:lang w:val="el-GR"/>
        </w:rPr>
        <w:t>συνιστά</w:t>
      </w:r>
      <w:r w:rsidR="00A5147D" w:rsidRPr="004E251E">
        <w:rPr>
          <w:rFonts w:cstheme="minorHAnsi"/>
          <w:b/>
          <w:bCs/>
          <w:sz w:val="24"/>
          <w:szCs w:val="24"/>
        </w:rPr>
        <w:t> </w:t>
      </w:r>
      <w:r w:rsidR="00A5147D" w:rsidRPr="001E1809">
        <w:rPr>
          <w:rFonts w:cstheme="minorHAnsi"/>
          <w:b/>
          <w:bCs/>
          <w:sz w:val="24"/>
          <w:szCs w:val="24"/>
          <w:lang w:val="el-GR"/>
        </w:rPr>
        <w:t>(</w:t>
      </w:r>
      <w:proofErr w:type="spellStart"/>
      <w:r w:rsidR="00A5147D" w:rsidRPr="004E251E">
        <w:rPr>
          <w:rFonts w:cstheme="minorHAnsi"/>
          <w:b/>
          <w:bCs/>
          <w:sz w:val="24"/>
          <w:szCs w:val="24"/>
        </w:rPr>
        <w:t>i</w:t>
      </w:r>
      <w:proofErr w:type="spellEnd"/>
      <w:r w:rsidR="00A5147D" w:rsidRPr="001E1809">
        <w:rPr>
          <w:rFonts w:cstheme="minorHAnsi"/>
          <w:b/>
          <w:bCs/>
          <w:sz w:val="24"/>
          <w:szCs w:val="24"/>
          <w:lang w:val="el-GR"/>
        </w:rPr>
        <w:t>)</w:t>
      </w:r>
      <w:r w:rsidR="00A5147D" w:rsidRPr="004E251E">
        <w:rPr>
          <w:rFonts w:cstheme="minorHAnsi"/>
          <w:b/>
          <w:bCs/>
          <w:sz w:val="24"/>
          <w:szCs w:val="24"/>
        </w:rPr>
        <w:t> </w:t>
      </w:r>
      <w:r w:rsidR="00AF476E">
        <w:rPr>
          <w:rFonts w:cstheme="minorHAnsi"/>
          <w:b/>
          <w:bCs/>
          <w:sz w:val="24"/>
          <w:szCs w:val="24"/>
          <w:lang w:val="el-GR"/>
        </w:rPr>
        <w:t>τη</w:t>
      </w:r>
      <w:r w:rsidR="00AF476E" w:rsidRPr="001E1809">
        <w:rPr>
          <w:rFonts w:cstheme="minorHAnsi"/>
          <w:b/>
          <w:bCs/>
          <w:sz w:val="24"/>
          <w:szCs w:val="24"/>
          <w:lang w:val="el-GR"/>
        </w:rPr>
        <w:t xml:space="preserve"> </w:t>
      </w:r>
      <w:r w:rsidR="00AC1871">
        <w:rPr>
          <w:rFonts w:cstheme="minorHAnsi"/>
          <w:b/>
          <w:bCs/>
          <w:sz w:val="24"/>
          <w:szCs w:val="24"/>
          <w:lang w:val="el-GR"/>
        </w:rPr>
        <w:t xml:space="preserve">διασφάλιση </w:t>
      </w:r>
      <w:r w:rsidR="00AF476E">
        <w:rPr>
          <w:rFonts w:cstheme="minorHAnsi"/>
          <w:b/>
          <w:bCs/>
          <w:sz w:val="24"/>
          <w:szCs w:val="24"/>
          <w:lang w:val="el-GR"/>
        </w:rPr>
        <w:t>ουσιαστικών</w:t>
      </w:r>
      <w:r w:rsidR="00AF476E" w:rsidRPr="001E1809">
        <w:rPr>
          <w:rFonts w:cstheme="minorHAnsi"/>
          <w:b/>
          <w:bCs/>
          <w:sz w:val="24"/>
          <w:szCs w:val="24"/>
          <w:lang w:val="el-GR"/>
        </w:rPr>
        <w:t xml:space="preserve"> </w:t>
      </w:r>
      <w:r w:rsidR="00AF476E">
        <w:rPr>
          <w:rFonts w:cstheme="minorHAnsi"/>
          <w:b/>
          <w:bCs/>
          <w:sz w:val="24"/>
          <w:szCs w:val="24"/>
          <w:lang w:val="el-GR"/>
        </w:rPr>
        <w:t>επαληθεύσεων</w:t>
      </w:r>
      <w:r w:rsidR="00A5147D" w:rsidRPr="001E1809">
        <w:rPr>
          <w:rFonts w:cstheme="minorHAnsi"/>
          <w:b/>
          <w:bCs/>
          <w:sz w:val="24"/>
          <w:szCs w:val="24"/>
          <w:lang w:val="el-GR"/>
        </w:rPr>
        <w:t xml:space="preserve"> </w:t>
      </w:r>
      <w:r w:rsidR="00AF476E">
        <w:rPr>
          <w:rFonts w:cstheme="minorHAnsi"/>
          <w:b/>
          <w:bCs/>
          <w:sz w:val="24"/>
          <w:szCs w:val="24"/>
          <w:lang w:val="el-GR"/>
        </w:rPr>
        <w:t>οικονομικών</w:t>
      </w:r>
      <w:r w:rsidR="00AF476E" w:rsidRPr="001E1809">
        <w:rPr>
          <w:rFonts w:cstheme="minorHAnsi"/>
          <w:b/>
          <w:bCs/>
          <w:sz w:val="24"/>
          <w:szCs w:val="24"/>
          <w:lang w:val="el-GR"/>
        </w:rPr>
        <w:t xml:space="preserve"> </w:t>
      </w:r>
      <w:r w:rsidR="00AF476E">
        <w:rPr>
          <w:rFonts w:cstheme="minorHAnsi"/>
          <w:b/>
          <w:bCs/>
          <w:sz w:val="24"/>
          <w:szCs w:val="24"/>
          <w:lang w:val="el-GR"/>
        </w:rPr>
        <w:t>δηλώσεων</w:t>
      </w:r>
      <w:r w:rsidR="00A5147D" w:rsidRPr="001E1809">
        <w:rPr>
          <w:rFonts w:cstheme="minorHAnsi"/>
          <w:b/>
          <w:bCs/>
          <w:sz w:val="24"/>
          <w:szCs w:val="24"/>
          <w:lang w:val="el-GR"/>
        </w:rPr>
        <w:t xml:space="preserve"> </w:t>
      </w:r>
      <w:r w:rsidR="00AF476E">
        <w:rPr>
          <w:rFonts w:cstheme="minorHAnsi"/>
          <w:b/>
          <w:bCs/>
          <w:sz w:val="24"/>
          <w:szCs w:val="24"/>
          <w:lang w:val="el-GR"/>
        </w:rPr>
        <w:t>ατόμων</w:t>
      </w:r>
      <w:r w:rsidR="00A5147D" w:rsidRPr="001E1809">
        <w:rPr>
          <w:rFonts w:cstheme="minorHAnsi"/>
          <w:b/>
          <w:bCs/>
          <w:sz w:val="24"/>
          <w:szCs w:val="24"/>
          <w:lang w:val="el-GR"/>
        </w:rPr>
        <w:t xml:space="preserve"> </w:t>
      </w:r>
      <w:r w:rsidR="00AF476E">
        <w:rPr>
          <w:rFonts w:cstheme="minorHAnsi"/>
          <w:b/>
          <w:bCs/>
          <w:sz w:val="24"/>
          <w:szCs w:val="24"/>
          <w:lang w:val="el-GR"/>
        </w:rPr>
        <w:t>που</w:t>
      </w:r>
      <w:r w:rsidR="00AF476E" w:rsidRPr="001E1809">
        <w:rPr>
          <w:rFonts w:cstheme="minorHAnsi"/>
          <w:b/>
          <w:bCs/>
          <w:sz w:val="24"/>
          <w:szCs w:val="24"/>
          <w:lang w:val="el-GR"/>
        </w:rPr>
        <w:t xml:space="preserve"> </w:t>
      </w:r>
      <w:r w:rsidR="00AF476E">
        <w:rPr>
          <w:rFonts w:cstheme="minorHAnsi"/>
          <w:b/>
          <w:bCs/>
          <w:sz w:val="24"/>
          <w:szCs w:val="24"/>
          <w:lang w:val="el-GR"/>
        </w:rPr>
        <w:t>τους</w:t>
      </w:r>
      <w:r w:rsidR="00AF476E" w:rsidRPr="001E1809">
        <w:rPr>
          <w:rFonts w:cstheme="minorHAnsi"/>
          <w:b/>
          <w:bCs/>
          <w:sz w:val="24"/>
          <w:szCs w:val="24"/>
          <w:lang w:val="el-GR"/>
        </w:rPr>
        <w:t xml:space="preserve"> </w:t>
      </w:r>
      <w:r w:rsidR="00AF476E">
        <w:rPr>
          <w:rFonts w:cstheme="minorHAnsi"/>
          <w:b/>
          <w:bCs/>
          <w:sz w:val="24"/>
          <w:szCs w:val="24"/>
          <w:lang w:val="el-GR"/>
        </w:rPr>
        <w:t>έχουν</w:t>
      </w:r>
      <w:r w:rsidR="00AF476E" w:rsidRPr="001E1809">
        <w:rPr>
          <w:rFonts w:cstheme="minorHAnsi"/>
          <w:b/>
          <w:bCs/>
          <w:sz w:val="24"/>
          <w:szCs w:val="24"/>
          <w:lang w:val="el-GR"/>
        </w:rPr>
        <w:t xml:space="preserve"> </w:t>
      </w:r>
      <w:r w:rsidR="00AF476E">
        <w:rPr>
          <w:rFonts w:cstheme="minorHAnsi"/>
          <w:b/>
          <w:bCs/>
          <w:sz w:val="24"/>
          <w:szCs w:val="24"/>
          <w:lang w:val="el-GR"/>
        </w:rPr>
        <w:t>ανατεθεί</w:t>
      </w:r>
      <w:r w:rsidR="00AF476E" w:rsidRPr="001E1809">
        <w:rPr>
          <w:rFonts w:cstheme="minorHAnsi"/>
          <w:b/>
          <w:bCs/>
          <w:sz w:val="24"/>
          <w:szCs w:val="24"/>
          <w:lang w:val="el-GR"/>
        </w:rPr>
        <w:t xml:space="preserve"> </w:t>
      </w:r>
      <w:r w:rsidR="00AC1871">
        <w:rPr>
          <w:rFonts w:cstheme="minorHAnsi"/>
          <w:b/>
          <w:bCs/>
          <w:sz w:val="24"/>
          <w:szCs w:val="24"/>
          <w:lang w:val="el-GR"/>
        </w:rPr>
        <w:t xml:space="preserve">ανώτατα </w:t>
      </w:r>
      <w:r w:rsidR="00AF476E">
        <w:rPr>
          <w:rFonts w:cstheme="minorHAnsi"/>
          <w:b/>
          <w:bCs/>
          <w:sz w:val="24"/>
          <w:szCs w:val="24"/>
          <w:lang w:val="el-GR"/>
        </w:rPr>
        <w:t>εκτελεστικ</w:t>
      </w:r>
      <w:r w:rsidR="00AC1871">
        <w:rPr>
          <w:rFonts w:cstheme="minorHAnsi"/>
          <w:b/>
          <w:bCs/>
          <w:sz w:val="24"/>
          <w:szCs w:val="24"/>
          <w:lang w:val="el-GR"/>
        </w:rPr>
        <w:t xml:space="preserve">ά </w:t>
      </w:r>
      <w:r w:rsidR="00E32E91">
        <w:rPr>
          <w:rFonts w:cstheme="minorHAnsi"/>
          <w:b/>
          <w:bCs/>
          <w:sz w:val="24"/>
          <w:szCs w:val="24"/>
          <w:lang w:val="el-GR"/>
        </w:rPr>
        <w:t>καθήκοντα</w:t>
      </w:r>
      <w:r w:rsidR="00AF476E" w:rsidRPr="001E1809">
        <w:rPr>
          <w:rFonts w:cstheme="minorHAnsi"/>
          <w:b/>
          <w:bCs/>
          <w:sz w:val="24"/>
          <w:szCs w:val="24"/>
          <w:lang w:val="el-GR"/>
        </w:rPr>
        <w:t>,</w:t>
      </w:r>
      <w:r w:rsidR="00A5147D" w:rsidRPr="001E1809">
        <w:rPr>
          <w:rFonts w:cstheme="minorHAnsi"/>
          <w:b/>
          <w:bCs/>
          <w:sz w:val="24"/>
          <w:szCs w:val="24"/>
          <w:lang w:val="el-GR"/>
        </w:rPr>
        <w:t xml:space="preserve"> (</w:t>
      </w:r>
      <w:r w:rsidR="00A5147D" w:rsidRPr="004E251E">
        <w:rPr>
          <w:rFonts w:cstheme="minorHAnsi"/>
          <w:b/>
          <w:bCs/>
          <w:sz w:val="24"/>
          <w:szCs w:val="24"/>
        </w:rPr>
        <w:t>ii</w:t>
      </w:r>
      <w:r w:rsidR="00A5147D" w:rsidRPr="001E1809">
        <w:rPr>
          <w:rFonts w:cstheme="minorHAnsi"/>
          <w:b/>
          <w:bCs/>
          <w:sz w:val="24"/>
          <w:szCs w:val="24"/>
          <w:lang w:val="el-GR"/>
        </w:rPr>
        <w:t xml:space="preserve">) </w:t>
      </w:r>
      <w:r w:rsidR="008F0B54">
        <w:rPr>
          <w:rFonts w:cstheme="minorHAnsi"/>
          <w:b/>
          <w:bCs/>
          <w:sz w:val="24"/>
          <w:szCs w:val="24"/>
          <w:lang w:val="el-GR"/>
        </w:rPr>
        <w:t xml:space="preserve">να δοθεί για το σκοπό αυτό </w:t>
      </w:r>
      <w:r w:rsidR="001E1809">
        <w:rPr>
          <w:rFonts w:cstheme="minorHAnsi"/>
          <w:b/>
          <w:bCs/>
          <w:sz w:val="24"/>
          <w:szCs w:val="24"/>
          <w:lang w:val="el-GR"/>
        </w:rPr>
        <w:t>επαρκής</w:t>
      </w:r>
      <w:r w:rsidR="001E1809" w:rsidRPr="001E1809">
        <w:rPr>
          <w:rFonts w:cstheme="minorHAnsi"/>
          <w:b/>
          <w:bCs/>
          <w:sz w:val="24"/>
          <w:szCs w:val="24"/>
          <w:lang w:val="el-GR"/>
        </w:rPr>
        <w:t xml:space="preserve"> </w:t>
      </w:r>
      <w:r w:rsidR="001E1809">
        <w:rPr>
          <w:rFonts w:cstheme="minorHAnsi"/>
          <w:b/>
          <w:bCs/>
          <w:sz w:val="24"/>
          <w:szCs w:val="24"/>
          <w:lang w:val="el-GR"/>
        </w:rPr>
        <w:t>εξουσία</w:t>
      </w:r>
      <w:r w:rsidR="001E1809" w:rsidRPr="001E1809">
        <w:rPr>
          <w:rFonts w:cstheme="minorHAnsi"/>
          <w:b/>
          <w:bCs/>
          <w:sz w:val="24"/>
          <w:szCs w:val="24"/>
          <w:lang w:val="el-GR"/>
        </w:rPr>
        <w:t xml:space="preserve">, </w:t>
      </w:r>
      <w:r w:rsidR="001E1809">
        <w:rPr>
          <w:rFonts w:cstheme="minorHAnsi"/>
          <w:b/>
          <w:bCs/>
          <w:sz w:val="24"/>
          <w:szCs w:val="24"/>
          <w:lang w:val="el-GR"/>
        </w:rPr>
        <w:t>εξειδίκευση</w:t>
      </w:r>
      <w:r w:rsidR="00A5147D" w:rsidRPr="001E1809">
        <w:rPr>
          <w:rFonts w:cstheme="minorHAnsi"/>
          <w:b/>
          <w:bCs/>
          <w:sz w:val="24"/>
          <w:szCs w:val="24"/>
          <w:lang w:val="el-GR"/>
        </w:rPr>
        <w:t xml:space="preserve">, </w:t>
      </w:r>
      <w:r w:rsidR="001E1809">
        <w:rPr>
          <w:rFonts w:cstheme="minorHAnsi"/>
          <w:b/>
          <w:bCs/>
          <w:sz w:val="24"/>
          <w:szCs w:val="24"/>
          <w:lang w:val="el-GR"/>
        </w:rPr>
        <w:t>πόροι</w:t>
      </w:r>
      <w:r w:rsidR="00A5147D" w:rsidRPr="001E1809">
        <w:rPr>
          <w:rFonts w:cstheme="minorHAnsi"/>
          <w:b/>
          <w:bCs/>
          <w:sz w:val="24"/>
          <w:szCs w:val="24"/>
          <w:lang w:val="el-GR"/>
        </w:rPr>
        <w:t xml:space="preserve">, </w:t>
      </w:r>
      <w:r w:rsidR="001E1809">
        <w:rPr>
          <w:rFonts w:cstheme="minorHAnsi"/>
          <w:b/>
          <w:bCs/>
          <w:sz w:val="24"/>
          <w:szCs w:val="24"/>
          <w:lang w:val="el-GR"/>
        </w:rPr>
        <w:t>και</w:t>
      </w:r>
      <w:r w:rsidR="001E1809" w:rsidRPr="001E1809">
        <w:rPr>
          <w:rFonts w:cstheme="minorHAnsi"/>
          <w:b/>
          <w:bCs/>
          <w:sz w:val="24"/>
          <w:szCs w:val="24"/>
          <w:lang w:val="el-GR"/>
        </w:rPr>
        <w:t xml:space="preserve"> </w:t>
      </w:r>
      <w:r w:rsidR="001E1809">
        <w:rPr>
          <w:rFonts w:cstheme="minorHAnsi"/>
          <w:b/>
          <w:bCs/>
          <w:sz w:val="24"/>
          <w:szCs w:val="24"/>
          <w:lang w:val="el-GR"/>
        </w:rPr>
        <w:t>ανεξαρτησία,</w:t>
      </w:r>
      <w:r w:rsidR="00A5147D" w:rsidRPr="001E1809">
        <w:rPr>
          <w:rFonts w:cstheme="minorHAnsi"/>
          <w:b/>
          <w:bCs/>
          <w:sz w:val="24"/>
          <w:szCs w:val="24"/>
          <w:lang w:val="el-GR"/>
        </w:rPr>
        <w:t xml:space="preserve"> </w:t>
      </w:r>
      <w:r w:rsidR="001E1809">
        <w:rPr>
          <w:rFonts w:cstheme="minorHAnsi"/>
          <w:b/>
          <w:bCs/>
          <w:sz w:val="24"/>
          <w:szCs w:val="24"/>
          <w:lang w:val="el-GR"/>
        </w:rPr>
        <w:t>και</w:t>
      </w:r>
      <w:r w:rsidR="00A5147D" w:rsidRPr="001E1809">
        <w:rPr>
          <w:rFonts w:cstheme="minorHAnsi"/>
          <w:b/>
          <w:bCs/>
          <w:sz w:val="24"/>
          <w:szCs w:val="24"/>
          <w:lang w:val="el-GR"/>
        </w:rPr>
        <w:t xml:space="preserve"> (</w:t>
      </w:r>
      <w:r w:rsidR="00A5147D" w:rsidRPr="004E251E">
        <w:rPr>
          <w:rFonts w:cstheme="minorHAnsi"/>
          <w:b/>
          <w:bCs/>
          <w:sz w:val="24"/>
          <w:szCs w:val="24"/>
        </w:rPr>
        <w:t>iii</w:t>
      </w:r>
      <w:r w:rsidR="00A5147D" w:rsidRPr="001E1809">
        <w:rPr>
          <w:rFonts w:cstheme="minorHAnsi"/>
          <w:b/>
          <w:bCs/>
          <w:sz w:val="24"/>
          <w:szCs w:val="24"/>
          <w:lang w:val="el-GR"/>
        </w:rPr>
        <w:t xml:space="preserve">) </w:t>
      </w:r>
      <w:r w:rsidR="008F0B54">
        <w:rPr>
          <w:rFonts w:cstheme="minorHAnsi"/>
          <w:b/>
          <w:bCs/>
          <w:sz w:val="24"/>
          <w:szCs w:val="24"/>
          <w:lang w:val="el-GR"/>
        </w:rPr>
        <w:t xml:space="preserve">να τεθούν σε εφαρμογή </w:t>
      </w:r>
      <w:r w:rsidR="001E1809">
        <w:rPr>
          <w:rFonts w:cstheme="minorHAnsi"/>
          <w:b/>
          <w:bCs/>
          <w:sz w:val="24"/>
          <w:szCs w:val="24"/>
          <w:lang w:val="el-GR"/>
        </w:rPr>
        <w:t>ξεκάθαρες επιπτώσεις και αποτελεσματικές</w:t>
      </w:r>
      <w:r w:rsidR="00A5147D" w:rsidRPr="001E1809">
        <w:rPr>
          <w:rFonts w:cstheme="minorHAnsi"/>
          <w:b/>
          <w:bCs/>
          <w:sz w:val="24"/>
          <w:szCs w:val="24"/>
          <w:lang w:val="el-GR"/>
        </w:rPr>
        <w:t xml:space="preserve">, </w:t>
      </w:r>
      <w:r w:rsidR="008F0B54">
        <w:rPr>
          <w:rFonts w:cstheme="minorHAnsi"/>
          <w:b/>
          <w:bCs/>
          <w:sz w:val="24"/>
          <w:szCs w:val="24"/>
          <w:lang w:val="el-GR"/>
        </w:rPr>
        <w:t xml:space="preserve">αναλογικές </w:t>
      </w:r>
      <w:r w:rsidR="001E1809">
        <w:rPr>
          <w:rFonts w:cstheme="minorHAnsi"/>
          <w:b/>
          <w:bCs/>
          <w:sz w:val="24"/>
          <w:szCs w:val="24"/>
          <w:lang w:val="el-GR"/>
        </w:rPr>
        <w:t>και αποτρεπτικές</w:t>
      </w:r>
      <w:r w:rsidR="00A5147D" w:rsidRPr="001E1809">
        <w:rPr>
          <w:rFonts w:cstheme="minorHAnsi"/>
          <w:b/>
          <w:bCs/>
          <w:sz w:val="24"/>
          <w:szCs w:val="24"/>
          <w:lang w:val="el-GR"/>
        </w:rPr>
        <w:t xml:space="preserve"> </w:t>
      </w:r>
      <w:r w:rsidR="001E1809">
        <w:rPr>
          <w:rFonts w:cstheme="minorHAnsi"/>
          <w:b/>
          <w:bCs/>
          <w:sz w:val="24"/>
          <w:szCs w:val="24"/>
          <w:lang w:val="el-GR"/>
        </w:rPr>
        <w:t>κυρώσεις</w:t>
      </w:r>
      <w:r w:rsidR="00A5147D" w:rsidRPr="001E1809">
        <w:rPr>
          <w:rFonts w:cstheme="minorHAnsi"/>
          <w:b/>
          <w:bCs/>
          <w:sz w:val="24"/>
          <w:szCs w:val="24"/>
          <w:lang w:val="el-GR"/>
        </w:rPr>
        <w:t xml:space="preserve"> </w:t>
      </w:r>
      <w:r w:rsidR="001E1809">
        <w:rPr>
          <w:rFonts w:cstheme="minorHAnsi"/>
          <w:b/>
          <w:bCs/>
          <w:sz w:val="24"/>
          <w:szCs w:val="24"/>
          <w:lang w:val="el-GR"/>
        </w:rPr>
        <w:t xml:space="preserve">για </w:t>
      </w:r>
      <w:r w:rsidR="008F0B54">
        <w:rPr>
          <w:rFonts w:cstheme="minorHAnsi"/>
          <w:b/>
          <w:bCs/>
          <w:sz w:val="24"/>
          <w:szCs w:val="24"/>
          <w:lang w:val="el-GR"/>
        </w:rPr>
        <w:t xml:space="preserve">να διασφαλιστεί η αλήθεια </w:t>
      </w:r>
      <w:r w:rsidR="001E1809">
        <w:rPr>
          <w:rFonts w:cstheme="minorHAnsi"/>
          <w:b/>
          <w:bCs/>
          <w:sz w:val="24"/>
          <w:szCs w:val="24"/>
          <w:lang w:val="el-GR"/>
        </w:rPr>
        <w:t>των πληροφοριών που</w:t>
      </w:r>
      <w:r w:rsidR="00A5147D" w:rsidRPr="001E1809">
        <w:rPr>
          <w:rFonts w:cstheme="minorHAnsi"/>
          <w:b/>
          <w:bCs/>
          <w:sz w:val="24"/>
          <w:szCs w:val="24"/>
          <w:lang w:val="el-GR"/>
        </w:rPr>
        <w:t xml:space="preserve"> </w:t>
      </w:r>
      <w:r w:rsidR="001E1809">
        <w:rPr>
          <w:rFonts w:cstheme="minorHAnsi"/>
          <w:b/>
          <w:bCs/>
          <w:sz w:val="24"/>
          <w:szCs w:val="24"/>
          <w:lang w:val="el-GR"/>
        </w:rPr>
        <w:t>δηλώνονται</w:t>
      </w:r>
      <w:r w:rsidR="00A5147D" w:rsidRPr="001E1809">
        <w:rPr>
          <w:rFonts w:cstheme="minorHAnsi"/>
          <w:b/>
          <w:bCs/>
          <w:sz w:val="24"/>
          <w:szCs w:val="24"/>
          <w:lang w:val="el-GR"/>
        </w:rPr>
        <w:t xml:space="preserve">, </w:t>
      </w:r>
      <w:r w:rsidR="001E1809">
        <w:rPr>
          <w:rFonts w:cstheme="minorHAnsi"/>
          <w:b/>
          <w:bCs/>
          <w:sz w:val="24"/>
          <w:szCs w:val="24"/>
          <w:lang w:val="el-GR"/>
        </w:rPr>
        <w:t xml:space="preserve">καθώς επίσης και </w:t>
      </w:r>
      <w:r w:rsidR="008F0B54">
        <w:rPr>
          <w:rFonts w:cstheme="minorHAnsi"/>
          <w:b/>
          <w:bCs/>
          <w:sz w:val="24"/>
          <w:szCs w:val="24"/>
          <w:lang w:val="el-GR"/>
        </w:rPr>
        <w:t xml:space="preserve">η </w:t>
      </w:r>
      <w:r w:rsidR="00E32E91">
        <w:rPr>
          <w:rFonts w:cstheme="minorHAnsi"/>
          <w:b/>
          <w:bCs/>
          <w:sz w:val="24"/>
          <w:szCs w:val="24"/>
          <w:lang w:val="el-GR"/>
        </w:rPr>
        <w:t xml:space="preserve">ουσιαστικά </w:t>
      </w:r>
      <w:r w:rsidR="001E1809">
        <w:rPr>
          <w:rFonts w:cstheme="minorHAnsi"/>
          <w:b/>
          <w:bCs/>
          <w:sz w:val="24"/>
          <w:szCs w:val="24"/>
          <w:lang w:val="el-GR"/>
        </w:rPr>
        <w:t>έγκαιρη υποβολή δήλωσης</w:t>
      </w:r>
      <w:r w:rsidR="00A5147D" w:rsidRPr="001E1809">
        <w:rPr>
          <w:rFonts w:cstheme="minorHAnsi"/>
          <w:b/>
          <w:bCs/>
          <w:sz w:val="24"/>
          <w:szCs w:val="24"/>
          <w:lang w:val="el-GR"/>
        </w:rPr>
        <w:t xml:space="preserve">. </w:t>
      </w:r>
    </w:p>
    <w:p w14:paraId="3236170D" w14:textId="77777777" w:rsidR="00A5147D" w:rsidRPr="001E1809" w:rsidRDefault="00A5147D" w:rsidP="00A5147D">
      <w:pPr>
        <w:rPr>
          <w:rFonts w:ascii="Calibri" w:hAnsi="Calibri" w:cs="Calibri"/>
          <w:sz w:val="24"/>
          <w:szCs w:val="24"/>
          <w:lang w:val="el-GR"/>
        </w:rPr>
      </w:pPr>
    </w:p>
    <w:p w14:paraId="601F0E62" w14:textId="5623D7E6" w:rsidR="00A5147D" w:rsidRPr="001E1809" w:rsidRDefault="001E1809" w:rsidP="00A5147D">
      <w:pPr>
        <w:pStyle w:val="Heading2"/>
        <w:spacing w:before="0"/>
        <w:rPr>
          <w:rFonts w:asciiTheme="minorHAnsi" w:hAnsiTheme="minorHAnsi" w:cstheme="minorHAnsi"/>
          <w:b w:val="0"/>
          <w:bCs w:val="0"/>
          <w:color w:val="auto"/>
          <w:sz w:val="24"/>
          <w:szCs w:val="24"/>
          <w:u w:val="single"/>
          <w:lang w:val="el-GR"/>
        </w:rPr>
      </w:pPr>
      <w:bookmarkStart w:id="154" w:name="_Toc479580445"/>
      <w:bookmarkStart w:id="155" w:name="_Toc117264364"/>
      <w:bookmarkStart w:id="156" w:name="_Toc136879361"/>
      <w:r>
        <w:rPr>
          <w:rFonts w:asciiTheme="minorHAnsi" w:hAnsiTheme="minorHAnsi" w:cstheme="minorHAnsi"/>
          <w:b w:val="0"/>
          <w:bCs w:val="0"/>
          <w:color w:val="auto"/>
          <w:sz w:val="24"/>
          <w:szCs w:val="24"/>
          <w:u w:val="single"/>
          <w:lang w:val="el-GR"/>
        </w:rPr>
        <w:t>Λογοδοσία</w:t>
      </w:r>
      <w:r w:rsidRPr="001E1809">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και</w:t>
      </w:r>
      <w:r w:rsidRPr="001E1809">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μηχανισμοί</w:t>
      </w:r>
      <w:r w:rsidRPr="001E1809">
        <w:rPr>
          <w:rFonts w:asciiTheme="minorHAnsi" w:hAnsiTheme="minorHAnsi" w:cstheme="minorHAnsi"/>
          <w:b w:val="0"/>
          <w:bCs w:val="0"/>
          <w:color w:val="auto"/>
          <w:sz w:val="24"/>
          <w:szCs w:val="24"/>
          <w:u w:val="single"/>
          <w:lang w:val="el-GR"/>
        </w:rPr>
        <w:t xml:space="preserve"> </w:t>
      </w:r>
      <w:r w:rsidR="008F0B54">
        <w:rPr>
          <w:rFonts w:asciiTheme="minorHAnsi" w:hAnsiTheme="minorHAnsi" w:cstheme="minorHAnsi"/>
          <w:b w:val="0"/>
          <w:bCs w:val="0"/>
          <w:color w:val="auto"/>
          <w:sz w:val="24"/>
          <w:szCs w:val="24"/>
          <w:u w:val="single"/>
          <w:lang w:val="el-GR"/>
        </w:rPr>
        <w:t>εφαρμογής</w:t>
      </w:r>
      <w:bookmarkEnd w:id="154"/>
      <w:bookmarkEnd w:id="155"/>
      <w:bookmarkEnd w:id="156"/>
    </w:p>
    <w:p w14:paraId="2277BC71" w14:textId="77777777" w:rsidR="00A5147D" w:rsidRPr="001E1809" w:rsidRDefault="00A5147D" w:rsidP="00A5147D">
      <w:pPr>
        <w:keepNext/>
        <w:rPr>
          <w:rFonts w:cstheme="minorHAnsi"/>
          <w:sz w:val="24"/>
          <w:szCs w:val="24"/>
          <w:lang w:val="el-GR"/>
        </w:rPr>
      </w:pPr>
    </w:p>
    <w:p w14:paraId="6684F1AC" w14:textId="381E6859" w:rsidR="00A5147D" w:rsidRPr="001E1809" w:rsidRDefault="008F0B54" w:rsidP="00A5147D">
      <w:pPr>
        <w:pStyle w:val="Heading3"/>
        <w:spacing w:before="0"/>
        <w:rPr>
          <w:rFonts w:asciiTheme="minorHAnsi" w:hAnsiTheme="minorHAnsi" w:cstheme="minorHAnsi"/>
          <w:b w:val="0"/>
          <w:bCs w:val="0"/>
          <w:i/>
          <w:iCs/>
          <w:color w:val="auto"/>
          <w:sz w:val="24"/>
          <w:szCs w:val="24"/>
          <w:u w:val="single"/>
          <w:lang w:val="el-GR"/>
        </w:rPr>
      </w:pPr>
      <w:bookmarkStart w:id="157" w:name="_Toc136879362"/>
      <w:r>
        <w:rPr>
          <w:rFonts w:asciiTheme="minorHAnsi" w:hAnsiTheme="minorHAnsi" w:cstheme="minorHAnsi"/>
          <w:b w:val="0"/>
          <w:bCs w:val="0"/>
          <w:i/>
          <w:iCs/>
          <w:color w:val="auto"/>
          <w:sz w:val="24"/>
          <w:szCs w:val="24"/>
          <w:lang w:val="el-GR"/>
        </w:rPr>
        <w:t>Μη-ποινικοί μηχανισμοί</w:t>
      </w:r>
      <w:r w:rsidR="001E1809">
        <w:rPr>
          <w:rFonts w:asciiTheme="minorHAnsi" w:hAnsiTheme="minorHAnsi" w:cstheme="minorHAnsi"/>
          <w:b w:val="0"/>
          <w:bCs w:val="0"/>
          <w:i/>
          <w:iCs/>
          <w:color w:val="auto"/>
          <w:sz w:val="24"/>
          <w:szCs w:val="24"/>
          <w:lang w:val="el-GR"/>
        </w:rPr>
        <w:t xml:space="preserve"> λογοδοσίας</w:t>
      </w:r>
      <w:bookmarkEnd w:id="157"/>
    </w:p>
    <w:p w14:paraId="15383D49" w14:textId="77777777" w:rsidR="00A5147D" w:rsidRPr="001E1809" w:rsidRDefault="00A5147D" w:rsidP="00A5147D">
      <w:pPr>
        <w:keepNext/>
        <w:pBdr>
          <w:top w:val="nil"/>
          <w:left w:val="nil"/>
          <w:bottom w:val="nil"/>
          <w:right w:val="nil"/>
          <w:between w:val="nil"/>
          <w:bar w:val="nil"/>
        </w:pBdr>
        <w:tabs>
          <w:tab w:val="left" w:pos="709"/>
        </w:tabs>
        <w:rPr>
          <w:rFonts w:eastAsia="Calibri" w:cstheme="minorHAnsi"/>
          <w:sz w:val="24"/>
          <w:szCs w:val="24"/>
          <w:u w:color="000000"/>
          <w:bdr w:val="nil"/>
          <w:lang w:val="el-GR"/>
        </w:rPr>
      </w:pPr>
    </w:p>
    <w:p w14:paraId="2993DF48" w14:textId="22FB378A" w:rsidR="00A5147D" w:rsidRPr="001E1809" w:rsidRDefault="001E1809" w:rsidP="00A5147D">
      <w:pPr>
        <w:keepNext/>
        <w:pBdr>
          <w:top w:val="nil"/>
          <w:left w:val="nil"/>
          <w:bottom w:val="nil"/>
          <w:right w:val="nil"/>
          <w:between w:val="nil"/>
          <w:bar w:val="nil"/>
        </w:pBdr>
        <w:tabs>
          <w:tab w:val="left" w:pos="567"/>
        </w:tabs>
        <w:rPr>
          <w:rFonts w:eastAsia="Calibri" w:cstheme="minorHAnsi"/>
          <w:i/>
          <w:iCs/>
          <w:sz w:val="24"/>
          <w:szCs w:val="24"/>
          <w:u w:val="single"/>
          <w:bdr w:val="nil"/>
          <w:lang w:val="el-GR"/>
        </w:rPr>
      </w:pPr>
      <w:r>
        <w:rPr>
          <w:rFonts w:eastAsia="Calibri" w:cstheme="minorHAnsi"/>
          <w:i/>
          <w:iCs/>
          <w:sz w:val="24"/>
          <w:szCs w:val="24"/>
          <w:u w:val="single"/>
          <w:bdr w:val="nil"/>
          <w:lang w:val="el-GR"/>
        </w:rPr>
        <w:t>Η Αρχή Κατά της Διαφθοράς</w:t>
      </w:r>
      <w:r w:rsidR="00A5147D" w:rsidRPr="001E1809">
        <w:rPr>
          <w:rFonts w:eastAsia="Calibri" w:cstheme="minorHAnsi"/>
          <w:i/>
          <w:iCs/>
          <w:sz w:val="24"/>
          <w:szCs w:val="24"/>
          <w:u w:val="single"/>
          <w:bdr w:val="nil"/>
          <w:lang w:val="el-GR"/>
        </w:rPr>
        <w:t xml:space="preserve"> </w:t>
      </w:r>
    </w:p>
    <w:p w14:paraId="28E984C1" w14:textId="77777777" w:rsidR="00A5147D" w:rsidRPr="001E1809" w:rsidRDefault="00A5147D" w:rsidP="00A5147D">
      <w:pPr>
        <w:keepNext/>
        <w:pBdr>
          <w:top w:val="nil"/>
          <w:left w:val="nil"/>
          <w:bottom w:val="nil"/>
          <w:right w:val="nil"/>
          <w:between w:val="nil"/>
          <w:bar w:val="nil"/>
        </w:pBdr>
        <w:tabs>
          <w:tab w:val="left" w:pos="709"/>
        </w:tabs>
        <w:rPr>
          <w:rFonts w:eastAsia="Calibri" w:cstheme="minorHAnsi"/>
          <w:color w:val="FF0000"/>
          <w:sz w:val="24"/>
          <w:szCs w:val="24"/>
          <w:u w:color="000000"/>
          <w:bdr w:val="nil"/>
          <w:lang w:val="el-GR"/>
        </w:rPr>
      </w:pPr>
    </w:p>
    <w:p w14:paraId="2196B16A" w14:textId="7FFA0DC4" w:rsidR="00A5147D" w:rsidRPr="00204A14" w:rsidRDefault="001E1809" w:rsidP="00A5147D">
      <w:pPr>
        <w:keepNext/>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lang w:val="el-GR"/>
        </w:rPr>
      </w:pPr>
      <w:bookmarkStart w:id="158" w:name="_Ref137452986"/>
      <w:r>
        <w:rPr>
          <w:rFonts w:eastAsia="Calibri" w:cstheme="minorHAnsi"/>
          <w:sz w:val="24"/>
          <w:szCs w:val="24"/>
          <w:u w:color="000000"/>
          <w:bdr w:val="nil"/>
          <w:lang w:val="el-GR"/>
        </w:rPr>
        <w:t>Ο</w:t>
      </w:r>
      <w:r w:rsidRPr="001E1809">
        <w:rPr>
          <w:rFonts w:eastAsia="Calibri" w:cstheme="minorHAnsi"/>
          <w:sz w:val="24"/>
          <w:szCs w:val="24"/>
          <w:u w:color="000000"/>
          <w:bdr w:val="nil"/>
          <w:lang w:val="el-GR"/>
        </w:rPr>
        <w:t xml:space="preserve"> </w:t>
      </w:r>
      <w:r>
        <w:rPr>
          <w:rFonts w:eastAsia="Calibri" w:cstheme="minorHAnsi"/>
          <w:sz w:val="24"/>
          <w:szCs w:val="24"/>
          <w:u w:color="000000"/>
          <w:bdr w:val="nil"/>
          <w:lang w:val="el-GR"/>
        </w:rPr>
        <w:t>Νόμος</w:t>
      </w:r>
      <w:r w:rsidRPr="001E1809">
        <w:rPr>
          <w:rFonts w:eastAsia="Calibri" w:cstheme="minorHAnsi"/>
          <w:sz w:val="24"/>
          <w:szCs w:val="24"/>
          <w:u w:color="000000"/>
          <w:bdr w:val="nil"/>
          <w:lang w:val="el-GR"/>
        </w:rPr>
        <w:t xml:space="preserve"> </w:t>
      </w:r>
      <w:r>
        <w:rPr>
          <w:rFonts w:eastAsia="Calibri" w:cstheme="minorHAnsi"/>
          <w:sz w:val="24"/>
          <w:szCs w:val="24"/>
          <w:u w:color="000000"/>
          <w:bdr w:val="nil"/>
          <w:lang w:val="el-GR"/>
        </w:rPr>
        <w:t>περί</w:t>
      </w:r>
      <w:r w:rsidRPr="001E1809">
        <w:rPr>
          <w:rFonts w:eastAsia="Calibri" w:cstheme="minorHAnsi"/>
          <w:sz w:val="24"/>
          <w:szCs w:val="24"/>
          <w:u w:color="000000"/>
          <w:bdr w:val="nil"/>
          <w:lang w:val="el-GR"/>
        </w:rPr>
        <w:t xml:space="preserve"> </w:t>
      </w:r>
      <w:r>
        <w:rPr>
          <w:rFonts w:eastAsia="Calibri" w:cstheme="minorHAnsi"/>
          <w:sz w:val="24"/>
          <w:szCs w:val="24"/>
          <w:u w:color="000000"/>
          <w:bdr w:val="nil"/>
          <w:lang w:val="el-GR"/>
        </w:rPr>
        <w:t>της</w:t>
      </w:r>
      <w:r w:rsidRPr="001E1809">
        <w:rPr>
          <w:rFonts w:eastAsia="Calibri" w:cstheme="minorHAnsi"/>
          <w:sz w:val="24"/>
          <w:szCs w:val="24"/>
          <w:u w:color="000000"/>
          <w:bdr w:val="nil"/>
          <w:lang w:val="el-GR"/>
        </w:rPr>
        <w:t xml:space="preserve"> </w:t>
      </w:r>
      <w:r>
        <w:rPr>
          <w:rFonts w:eastAsia="Calibri" w:cstheme="minorHAnsi"/>
          <w:sz w:val="24"/>
          <w:szCs w:val="24"/>
          <w:u w:color="000000"/>
          <w:bdr w:val="nil"/>
          <w:lang w:val="el-GR"/>
        </w:rPr>
        <w:t>Ίδρυσης</w:t>
      </w:r>
      <w:r w:rsidRPr="001E1809">
        <w:rPr>
          <w:rFonts w:eastAsia="Calibri" w:cstheme="minorHAnsi"/>
          <w:sz w:val="24"/>
          <w:szCs w:val="24"/>
          <w:u w:color="000000"/>
          <w:bdr w:val="nil"/>
          <w:lang w:val="el-GR"/>
        </w:rPr>
        <w:t xml:space="preserve"> </w:t>
      </w:r>
      <w:r>
        <w:rPr>
          <w:rFonts w:eastAsia="Calibri" w:cstheme="minorHAnsi"/>
          <w:sz w:val="24"/>
          <w:szCs w:val="24"/>
          <w:u w:color="000000"/>
          <w:bdr w:val="nil"/>
          <w:lang w:val="el-GR"/>
        </w:rPr>
        <w:t>και</w:t>
      </w:r>
      <w:r w:rsidRPr="001E1809">
        <w:rPr>
          <w:rFonts w:eastAsia="Calibri" w:cstheme="minorHAnsi"/>
          <w:sz w:val="24"/>
          <w:szCs w:val="24"/>
          <w:u w:color="000000"/>
          <w:bdr w:val="nil"/>
          <w:lang w:val="el-GR"/>
        </w:rPr>
        <w:t xml:space="preserve"> </w:t>
      </w:r>
      <w:r>
        <w:rPr>
          <w:rFonts w:eastAsia="Calibri" w:cstheme="minorHAnsi"/>
          <w:sz w:val="24"/>
          <w:szCs w:val="24"/>
          <w:u w:color="000000"/>
          <w:bdr w:val="nil"/>
          <w:lang w:val="el-GR"/>
        </w:rPr>
        <w:t>Λειτουργίας</w:t>
      </w:r>
      <w:r w:rsidRPr="001E1809">
        <w:rPr>
          <w:rFonts w:eastAsia="Calibri" w:cstheme="minorHAnsi"/>
          <w:sz w:val="24"/>
          <w:szCs w:val="24"/>
          <w:u w:color="000000"/>
          <w:bdr w:val="nil"/>
          <w:lang w:val="el-GR"/>
        </w:rPr>
        <w:t xml:space="preserve"> </w:t>
      </w:r>
      <w:r>
        <w:rPr>
          <w:rFonts w:eastAsia="Calibri" w:cstheme="minorHAnsi"/>
          <w:sz w:val="24"/>
          <w:szCs w:val="24"/>
          <w:u w:color="000000"/>
          <w:bdr w:val="nil"/>
          <w:lang w:val="el-GR"/>
        </w:rPr>
        <w:t>μιας</w:t>
      </w:r>
      <w:r w:rsidRPr="001E1809">
        <w:rPr>
          <w:rFonts w:eastAsia="Calibri" w:cstheme="minorHAnsi"/>
          <w:sz w:val="24"/>
          <w:szCs w:val="24"/>
          <w:u w:color="000000"/>
          <w:bdr w:val="nil"/>
          <w:lang w:val="el-GR"/>
        </w:rPr>
        <w:t xml:space="preserve"> </w:t>
      </w:r>
      <w:r>
        <w:rPr>
          <w:rFonts w:eastAsia="Calibri" w:cstheme="minorHAnsi"/>
          <w:sz w:val="24"/>
          <w:szCs w:val="24"/>
          <w:u w:color="000000"/>
          <w:bdr w:val="nil"/>
          <w:lang w:val="el-GR"/>
        </w:rPr>
        <w:t>Ανεξάρτητης</w:t>
      </w:r>
      <w:r w:rsidRPr="001E1809">
        <w:rPr>
          <w:rFonts w:eastAsia="Calibri" w:cstheme="minorHAnsi"/>
          <w:sz w:val="24"/>
          <w:szCs w:val="24"/>
          <w:u w:color="000000"/>
          <w:bdr w:val="nil"/>
          <w:lang w:val="el-GR"/>
        </w:rPr>
        <w:t xml:space="preserve"> </w:t>
      </w:r>
      <w:r>
        <w:rPr>
          <w:rFonts w:eastAsia="Calibri" w:cstheme="minorHAnsi"/>
          <w:sz w:val="24"/>
          <w:szCs w:val="24"/>
          <w:u w:color="000000"/>
          <w:bdr w:val="nil"/>
          <w:lang w:val="el-GR"/>
        </w:rPr>
        <w:t>Αρχής</w:t>
      </w:r>
      <w:r w:rsidRPr="001E1809">
        <w:rPr>
          <w:rFonts w:eastAsia="Calibri" w:cstheme="minorHAnsi"/>
          <w:sz w:val="24"/>
          <w:szCs w:val="24"/>
          <w:u w:color="000000"/>
          <w:bdr w:val="nil"/>
          <w:lang w:val="el-GR"/>
        </w:rPr>
        <w:t xml:space="preserve"> </w:t>
      </w:r>
      <w:r w:rsidR="00345BD0">
        <w:rPr>
          <w:rFonts w:eastAsia="Calibri" w:cstheme="minorHAnsi"/>
          <w:sz w:val="24"/>
          <w:szCs w:val="24"/>
          <w:u w:color="000000"/>
          <w:bdr w:val="nil"/>
          <w:lang w:val="el-GR"/>
        </w:rPr>
        <w:t>κ</w:t>
      </w:r>
      <w:r>
        <w:rPr>
          <w:rFonts w:eastAsia="Calibri" w:cstheme="minorHAnsi"/>
          <w:sz w:val="24"/>
          <w:szCs w:val="24"/>
          <w:u w:color="000000"/>
          <w:bdr w:val="nil"/>
          <w:lang w:val="el-GR"/>
        </w:rPr>
        <w:t>ατά</w:t>
      </w:r>
      <w:r w:rsidRPr="001E1809">
        <w:rPr>
          <w:rFonts w:eastAsia="Calibri" w:cstheme="minorHAnsi"/>
          <w:sz w:val="24"/>
          <w:szCs w:val="24"/>
          <w:u w:color="000000"/>
          <w:bdr w:val="nil"/>
          <w:lang w:val="el-GR"/>
        </w:rPr>
        <w:t xml:space="preserve"> </w:t>
      </w:r>
      <w:r>
        <w:rPr>
          <w:rFonts w:eastAsia="Calibri" w:cstheme="minorHAnsi"/>
          <w:sz w:val="24"/>
          <w:szCs w:val="24"/>
          <w:u w:color="000000"/>
          <w:bdr w:val="nil"/>
          <w:lang w:val="el-GR"/>
        </w:rPr>
        <w:t>της</w:t>
      </w:r>
      <w:r w:rsidRPr="001E1809">
        <w:rPr>
          <w:rFonts w:eastAsia="Calibri" w:cstheme="minorHAnsi"/>
          <w:sz w:val="24"/>
          <w:szCs w:val="24"/>
          <w:u w:color="000000"/>
          <w:bdr w:val="nil"/>
          <w:lang w:val="el-GR"/>
        </w:rPr>
        <w:t xml:space="preserve"> </w:t>
      </w:r>
      <w:r>
        <w:rPr>
          <w:rFonts w:eastAsia="Calibri" w:cstheme="minorHAnsi"/>
          <w:sz w:val="24"/>
          <w:szCs w:val="24"/>
          <w:u w:color="000000"/>
          <w:bdr w:val="nil"/>
          <w:lang w:val="el-GR"/>
        </w:rPr>
        <w:t>Διαφθοράς</w:t>
      </w:r>
      <w:r w:rsidR="00A5147D" w:rsidRPr="001E1809">
        <w:rPr>
          <w:rFonts w:cstheme="minorHAnsi"/>
          <w:sz w:val="24"/>
          <w:szCs w:val="24"/>
          <w:lang w:val="el-GR"/>
        </w:rPr>
        <w:t xml:space="preserve"> </w:t>
      </w:r>
      <w:r>
        <w:rPr>
          <w:rFonts w:cstheme="minorHAnsi"/>
          <w:sz w:val="24"/>
          <w:szCs w:val="24"/>
          <w:lang w:val="el-GR"/>
        </w:rPr>
        <w:t>προβλέπει</w:t>
      </w:r>
      <w:r w:rsidRPr="001E1809">
        <w:rPr>
          <w:rFonts w:cstheme="minorHAnsi"/>
          <w:sz w:val="24"/>
          <w:szCs w:val="24"/>
          <w:lang w:val="el-GR"/>
        </w:rPr>
        <w:t xml:space="preserve"> </w:t>
      </w:r>
      <w:r>
        <w:rPr>
          <w:rFonts w:cstheme="minorHAnsi"/>
          <w:sz w:val="24"/>
          <w:szCs w:val="24"/>
          <w:lang w:val="el-GR"/>
        </w:rPr>
        <w:t>μια</w:t>
      </w:r>
      <w:r w:rsidRPr="001E1809">
        <w:rPr>
          <w:rFonts w:cstheme="minorHAnsi"/>
          <w:sz w:val="24"/>
          <w:szCs w:val="24"/>
          <w:lang w:val="el-GR"/>
        </w:rPr>
        <w:t xml:space="preserve"> </w:t>
      </w:r>
      <w:r>
        <w:rPr>
          <w:rFonts w:cstheme="minorHAnsi"/>
          <w:sz w:val="24"/>
          <w:szCs w:val="24"/>
          <w:lang w:val="el-GR"/>
        </w:rPr>
        <w:t>Ανεξάρτητη Αρχή</w:t>
      </w:r>
      <w:r w:rsidR="00A5147D" w:rsidRPr="001E1809">
        <w:rPr>
          <w:rFonts w:ascii="Calibri" w:eastAsia="Calibri" w:hAnsi="Calibri" w:cs="Calibri"/>
          <w:sz w:val="24"/>
          <w:szCs w:val="24"/>
          <w:lang w:val="el-GR"/>
        </w:rPr>
        <w:t xml:space="preserve"> </w:t>
      </w:r>
      <w:r>
        <w:rPr>
          <w:rFonts w:ascii="Calibri" w:eastAsia="Calibri" w:hAnsi="Calibri" w:cs="Calibri"/>
          <w:sz w:val="24"/>
          <w:szCs w:val="24"/>
          <w:lang w:val="el-GR"/>
        </w:rPr>
        <w:t>που αποτελείται από τον Επίτροπο Διαφάνειας και τέσσερα μέλη</w:t>
      </w:r>
      <w:r w:rsidR="00A5147D" w:rsidRPr="001E1809">
        <w:rPr>
          <w:rFonts w:ascii="Calibri" w:eastAsia="Calibri" w:hAnsi="Calibri" w:cs="Calibri"/>
          <w:sz w:val="24"/>
          <w:szCs w:val="24"/>
          <w:lang w:val="el-GR"/>
        </w:rPr>
        <w:t xml:space="preserve">.  </w:t>
      </w:r>
      <w:r>
        <w:rPr>
          <w:rFonts w:ascii="Calibri" w:eastAsia="Calibri" w:hAnsi="Calibri" w:cs="Calibri"/>
          <w:sz w:val="24"/>
          <w:szCs w:val="24"/>
          <w:lang w:val="el-GR"/>
        </w:rPr>
        <w:t>Όλα</w:t>
      </w:r>
      <w:r w:rsidRPr="00204A14">
        <w:rPr>
          <w:rFonts w:ascii="Calibri" w:eastAsia="Calibri" w:hAnsi="Calibri" w:cs="Calibri"/>
          <w:sz w:val="24"/>
          <w:szCs w:val="24"/>
          <w:lang w:val="el-GR"/>
        </w:rPr>
        <w:t xml:space="preserve"> </w:t>
      </w:r>
      <w:r>
        <w:rPr>
          <w:rFonts w:ascii="Calibri" w:eastAsia="Calibri" w:hAnsi="Calibri" w:cs="Calibri"/>
          <w:sz w:val="24"/>
          <w:szCs w:val="24"/>
          <w:lang w:val="el-GR"/>
        </w:rPr>
        <w:t>τα</w:t>
      </w:r>
      <w:r w:rsidRPr="00204A14">
        <w:rPr>
          <w:rFonts w:ascii="Calibri" w:eastAsia="Calibri" w:hAnsi="Calibri" w:cs="Calibri"/>
          <w:sz w:val="24"/>
          <w:szCs w:val="24"/>
          <w:lang w:val="el-GR"/>
        </w:rPr>
        <w:t xml:space="preserve"> </w:t>
      </w:r>
      <w:r>
        <w:rPr>
          <w:rFonts w:ascii="Calibri" w:eastAsia="Calibri" w:hAnsi="Calibri" w:cs="Calibri"/>
          <w:sz w:val="24"/>
          <w:szCs w:val="24"/>
          <w:lang w:val="el-GR"/>
        </w:rPr>
        <w:t>πέντε</w:t>
      </w:r>
      <w:r w:rsidRPr="00204A14">
        <w:rPr>
          <w:rFonts w:ascii="Calibri" w:eastAsia="Calibri" w:hAnsi="Calibri" w:cs="Calibri"/>
          <w:sz w:val="24"/>
          <w:szCs w:val="24"/>
          <w:lang w:val="el-GR"/>
        </w:rPr>
        <w:t xml:space="preserve"> </w:t>
      </w:r>
      <w:r>
        <w:rPr>
          <w:rFonts w:ascii="Calibri" w:eastAsia="Calibri" w:hAnsi="Calibri" w:cs="Calibri"/>
          <w:sz w:val="24"/>
          <w:szCs w:val="24"/>
          <w:lang w:val="el-GR"/>
        </w:rPr>
        <w:t>μέλη</w:t>
      </w:r>
      <w:r w:rsidRPr="00204A14">
        <w:rPr>
          <w:rFonts w:ascii="Calibri" w:eastAsia="Calibri" w:hAnsi="Calibri" w:cs="Calibri"/>
          <w:sz w:val="24"/>
          <w:szCs w:val="24"/>
          <w:lang w:val="el-GR"/>
        </w:rPr>
        <w:t xml:space="preserve"> </w:t>
      </w:r>
      <w:r>
        <w:rPr>
          <w:rFonts w:ascii="Calibri" w:eastAsia="Calibri" w:hAnsi="Calibri" w:cs="Calibri"/>
          <w:sz w:val="24"/>
          <w:szCs w:val="24"/>
          <w:lang w:val="el-GR"/>
        </w:rPr>
        <w:t>είναι</w:t>
      </w:r>
      <w:r w:rsidRPr="00204A14">
        <w:rPr>
          <w:rFonts w:ascii="Calibri" w:eastAsia="Calibri" w:hAnsi="Calibri" w:cs="Calibri"/>
          <w:sz w:val="24"/>
          <w:szCs w:val="24"/>
          <w:lang w:val="el-GR"/>
        </w:rPr>
        <w:t xml:space="preserve"> </w:t>
      </w:r>
      <w:r>
        <w:rPr>
          <w:rFonts w:ascii="Calibri" w:eastAsia="Calibri" w:hAnsi="Calibri" w:cs="Calibri"/>
          <w:sz w:val="24"/>
          <w:szCs w:val="24"/>
          <w:lang w:val="el-GR"/>
        </w:rPr>
        <w:t>διορισμένα</w:t>
      </w:r>
      <w:r w:rsidRPr="00204A14">
        <w:rPr>
          <w:rFonts w:ascii="Calibri" w:eastAsia="Calibri" w:hAnsi="Calibri" w:cs="Calibri"/>
          <w:sz w:val="24"/>
          <w:szCs w:val="24"/>
          <w:lang w:val="el-GR"/>
        </w:rPr>
        <w:t xml:space="preserve"> </w:t>
      </w:r>
      <w:r w:rsidR="00864D92">
        <w:rPr>
          <w:rFonts w:ascii="Calibri" w:eastAsia="Calibri" w:hAnsi="Calibri" w:cs="Calibri"/>
          <w:sz w:val="24"/>
          <w:szCs w:val="24"/>
          <w:lang w:val="el-GR"/>
        </w:rPr>
        <w:t>α</w:t>
      </w:r>
      <w:r>
        <w:rPr>
          <w:rFonts w:ascii="Calibri" w:eastAsia="Calibri" w:hAnsi="Calibri" w:cs="Calibri"/>
          <w:sz w:val="24"/>
          <w:szCs w:val="24"/>
          <w:lang w:val="el-GR"/>
        </w:rPr>
        <w:t>πό</w:t>
      </w:r>
      <w:r w:rsidRPr="00204A14">
        <w:rPr>
          <w:rFonts w:ascii="Calibri" w:eastAsia="Calibri" w:hAnsi="Calibri" w:cs="Calibri"/>
          <w:sz w:val="24"/>
          <w:szCs w:val="24"/>
          <w:lang w:val="el-GR"/>
        </w:rPr>
        <w:t xml:space="preserve"> </w:t>
      </w:r>
      <w:r>
        <w:rPr>
          <w:rFonts w:ascii="Calibri" w:eastAsia="Calibri" w:hAnsi="Calibri" w:cs="Calibri"/>
          <w:sz w:val="24"/>
          <w:szCs w:val="24"/>
          <w:lang w:val="el-GR"/>
        </w:rPr>
        <w:t>τον</w:t>
      </w:r>
      <w:r w:rsidRPr="00204A14">
        <w:rPr>
          <w:rFonts w:ascii="Calibri" w:eastAsia="Calibri" w:hAnsi="Calibri" w:cs="Calibri"/>
          <w:sz w:val="24"/>
          <w:szCs w:val="24"/>
          <w:lang w:val="el-GR"/>
        </w:rPr>
        <w:t xml:space="preserve"> </w:t>
      </w:r>
      <w:r>
        <w:rPr>
          <w:rFonts w:ascii="Calibri" w:eastAsia="Calibri" w:hAnsi="Calibri" w:cs="Calibri"/>
          <w:sz w:val="24"/>
          <w:szCs w:val="24"/>
          <w:lang w:val="el-GR"/>
        </w:rPr>
        <w:t>Πρόεδρο</w:t>
      </w:r>
      <w:r w:rsidRPr="00204A14">
        <w:rPr>
          <w:rFonts w:ascii="Calibri" w:eastAsia="Calibri" w:hAnsi="Calibri" w:cs="Calibri"/>
          <w:sz w:val="24"/>
          <w:szCs w:val="24"/>
          <w:lang w:val="el-GR"/>
        </w:rPr>
        <w:t xml:space="preserve"> </w:t>
      </w:r>
      <w:r>
        <w:rPr>
          <w:rFonts w:ascii="Calibri" w:eastAsia="Calibri" w:hAnsi="Calibri" w:cs="Calibri"/>
          <w:sz w:val="24"/>
          <w:szCs w:val="24"/>
          <w:lang w:val="el-GR"/>
        </w:rPr>
        <w:t>της</w:t>
      </w:r>
      <w:r w:rsidRPr="00204A14">
        <w:rPr>
          <w:rFonts w:ascii="Calibri" w:eastAsia="Calibri" w:hAnsi="Calibri" w:cs="Calibri"/>
          <w:sz w:val="24"/>
          <w:szCs w:val="24"/>
          <w:lang w:val="el-GR"/>
        </w:rPr>
        <w:t xml:space="preserve"> </w:t>
      </w:r>
      <w:r>
        <w:rPr>
          <w:rFonts w:ascii="Calibri" w:eastAsia="Calibri" w:hAnsi="Calibri" w:cs="Calibri"/>
          <w:sz w:val="24"/>
          <w:szCs w:val="24"/>
          <w:lang w:val="el-GR"/>
        </w:rPr>
        <w:t>Δημοκρατίας</w:t>
      </w:r>
      <w:r w:rsidR="00A5147D"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η</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απόφαση</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του</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οποίου</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είναι</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βασισμένη</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πάνω</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στη</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σύσταση</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ενός</w:t>
      </w:r>
      <w:r w:rsidR="00204A14" w:rsidRPr="00204A14">
        <w:rPr>
          <w:rFonts w:ascii="Calibri" w:eastAsia="Calibri" w:hAnsi="Calibri" w:cs="Calibri"/>
          <w:sz w:val="24"/>
          <w:szCs w:val="24"/>
          <w:lang w:val="el-GR"/>
        </w:rPr>
        <w:t xml:space="preserve"> </w:t>
      </w:r>
      <w:r w:rsidR="00345BD0">
        <w:rPr>
          <w:rFonts w:ascii="Calibri" w:eastAsia="Calibri" w:hAnsi="Calibri" w:cs="Calibri"/>
          <w:sz w:val="24"/>
          <w:szCs w:val="24"/>
          <w:lang w:val="el-GR"/>
        </w:rPr>
        <w:t xml:space="preserve">Γνωμοδοτικού </w:t>
      </w:r>
      <w:r w:rsidR="00204A14">
        <w:rPr>
          <w:rFonts w:ascii="Calibri" w:eastAsia="Calibri" w:hAnsi="Calibri" w:cs="Calibri"/>
          <w:sz w:val="24"/>
          <w:szCs w:val="24"/>
          <w:lang w:val="el-GR"/>
        </w:rPr>
        <w:t>Συμβουλίου</w:t>
      </w:r>
      <w:r w:rsidR="00A5147D"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που προτείνει μια λίστα προσοντούχων υποψηφίων</w:t>
      </w:r>
      <w:r w:rsidR="00A5147D"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τριών για κάθε θέση</w:t>
      </w:r>
      <w:r w:rsidR="00A5147D"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Αυτή</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η</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λίστα</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ακολούθως</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υποβάλλεται</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στην</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Κοινοβουλευτική</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Επιτροπή</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Νομικών</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Υποθέσεων</w:t>
      </w:r>
      <w:r w:rsidR="00A5147D" w:rsidRPr="00204A14">
        <w:rPr>
          <w:rFonts w:ascii="Calibri" w:eastAsia="Calibri" w:hAnsi="Calibri" w:cs="Calibri"/>
          <w:sz w:val="24"/>
          <w:szCs w:val="24"/>
          <w:lang w:val="el-GR"/>
        </w:rPr>
        <w:t xml:space="preserve">, </w:t>
      </w:r>
      <w:bookmarkStart w:id="159" w:name="_Hlk132889564"/>
      <w:r w:rsidR="00204A14">
        <w:rPr>
          <w:rFonts w:ascii="Calibri" w:eastAsia="Calibri" w:hAnsi="Calibri" w:cs="Calibri"/>
          <w:sz w:val="24"/>
          <w:szCs w:val="24"/>
          <w:lang w:val="el-GR"/>
        </w:rPr>
        <w:t>και</w:t>
      </w:r>
      <w:r w:rsidR="00287501"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μετά</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από μια εμπιστευτική συζήτηση ενώπιον της αναφερόμενης επιτροπής</w:t>
      </w:r>
      <w:r w:rsidR="00287501"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το Συμβούλιο υποβάλει την λίστα στον Πρόεδρο</w:t>
      </w:r>
      <w:bookmarkEnd w:id="159"/>
      <w:r w:rsidR="00A5147D" w:rsidRPr="00204A14">
        <w:rPr>
          <w:rFonts w:ascii="Calibri" w:eastAsia="Calibri" w:hAnsi="Calibri" w:cs="Calibri"/>
          <w:sz w:val="24"/>
          <w:szCs w:val="24"/>
          <w:lang w:val="el-GR"/>
        </w:rPr>
        <w:t xml:space="preserve">. </w:t>
      </w:r>
      <w:r w:rsidR="00A5147D" w:rsidRPr="004E251E">
        <w:rPr>
          <w:rFonts w:ascii="Calibri" w:eastAsia="Calibri" w:hAnsi="Calibri" w:cs="Calibri"/>
          <w:sz w:val="24"/>
          <w:szCs w:val="24"/>
        </w:rPr>
        <w:t>T</w:t>
      </w:r>
      <w:r w:rsidR="00204A14">
        <w:rPr>
          <w:rFonts w:ascii="Calibri" w:eastAsia="Calibri" w:hAnsi="Calibri" w:cs="Calibri"/>
          <w:sz w:val="24"/>
          <w:szCs w:val="24"/>
          <w:lang w:val="el-GR"/>
        </w:rPr>
        <w:t>ο</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Συμβουλευτικό</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Συμβούλιο</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αποτελείται</w:t>
      </w:r>
      <w:r w:rsidR="00A5147D"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από</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πέντε</w:t>
      </w:r>
      <w:r w:rsidR="00A5147D"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μέλη</w:t>
      </w:r>
      <w:r w:rsidR="00A5147D"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ένα</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συνταξιούχο</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δικαστή</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του</w:t>
      </w:r>
      <w:r w:rsidR="00204A14" w:rsidRPr="00204A14">
        <w:rPr>
          <w:rFonts w:ascii="Calibri" w:eastAsia="Calibri" w:hAnsi="Calibri" w:cs="Calibri"/>
          <w:sz w:val="24"/>
          <w:szCs w:val="24"/>
          <w:lang w:val="el-GR"/>
        </w:rPr>
        <w:t xml:space="preserve"> </w:t>
      </w:r>
      <w:proofErr w:type="spellStart"/>
      <w:r w:rsidR="00204A14">
        <w:rPr>
          <w:rFonts w:ascii="Calibri" w:eastAsia="Calibri" w:hAnsi="Calibri" w:cs="Calibri"/>
          <w:sz w:val="24"/>
          <w:szCs w:val="24"/>
          <w:lang w:val="el-GR"/>
        </w:rPr>
        <w:t>Ανωτάτου</w:t>
      </w:r>
      <w:proofErr w:type="spellEnd"/>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Δικαστηρίου</w:t>
      </w:r>
      <w:r w:rsidR="00A5147D"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και</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τέσσερα</w:t>
      </w:r>
      <w:r w:rsidR="00204A14" w:rsidRPr="00204A14">
        <w:rPr>
          <w:rFonts w:ascii="Calibri" w:eastAsia="Calibri" w:hAnsi="Calibri" w:cs="Calibri"/>
          <w:sz w:val="24"/>
          <w:szCs w:val="24"/>
          <w:lang w:val="el-GR"/>
        </w:rPr>
        <w:t xml:space="preserve"> </w:t>
      </w:r>
      <w:r w:rsidR="00A5147D" w:rsidRPr="004E251E">
        <w:rPr>
          <w:rFonts w:ascii="Calibri" w:eastAsia="Calibri" w:hAnsi="Calibri" w:cs="Calibri"/>
          <w:i/>
          <w:iCs/>
          <w:sz w:val="24"/>
          <w:szCs w:val="24"/>
        </w:rPr>
        <w:t>ex</w:t>
      </w:r>
      <w:r w:rsidR="00A5147D" w:rsidRPr="00204A14">
        <w:rPr>
          <w:rFonts w:ascii="Calibri" w:eastAsia="Calibri" w:hAnsi="Calibri" w:cs="Calibri"/>
          <w:i/>
          <w:iCs/>
          <w:sz w:val="24"/>
          <w:szCs w:val="24"/>
          <w:lang w:val="el-GR"/>
        </w:rPr>
        <w:t xml:space="preserve"> </w:t>
      </w:r>
      <w:r w:rsidR="00A5147D" w:rsidRPr="004E251E">
        <w:rPr>
          <w:rFonts w:ascii="Calibri" w:eastAsia="Calibri" w:hAnsi="Calibri" w:cs="Calibri"/>
          <w:i/>
          <w:iCs/>
          <w:sz w:val="24"/>
          <w:szCs w:val="24"/>
        </w:rPr>
        <w:t>officio</w:t>
      </w:r>
      <w:r w:rsidR="00A5147D" w:rsidRPr="00204A14">
        <w:rPr>
          <w:rFonts w:ascii="Calibri" w:eastAsia="Calibri" w:hAnsi="Calibri" w:cs="Calibri"/>
          <w:i/>
          <w:iCs/>
          <w:sz w:val="24"/>
          <w:szCs w:val="24"/>
          <w:lang w:val="el-GR"/>
        </w:rPr>
        <w:t xml:space="preserve"> </w:t>
      </w:r>
      <w:r w:rsidR="00204A14">
        <w:rPr>
          <w:rFonts w:ascii="Calibri" w:eastAsia="Calibri" w:hAnsi="Calibri" w:cs="Calibri"/>
          <w:sz w:val="24"/>
          <w:szCs w:val="24"/>
          <w:lang w:val="el-GR"/>
        </w:rPr>
        <w:t>μέλη</w:t>
      </w:r>
      <w:r w:rsidR="00A5147D"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τον</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lastRenderedPageBreak/>
        <w:t>Πρόεδρο</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της</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Κυπριακής</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Ακαδημίας</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Επιστημών</w:t>
      </w:r>
      <w:r w:rsidR="00A5147D"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Γραμμάτων</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και</w:t>
      </w:r>
      <w:r w:rsidR="00204A14"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Τεχνών</w:t>
      </w:r>
      <w:r w:rsidR="00A5147D"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 xml:space="preserve">τον Πρόεδρο του </w:t>
      </w:r>
      <w:proofErr w:type="spellStart"/>
      <w:r w:rsidR="00345BD0">
        <w:rPr>
          <w:rFonts w:ascii="Calibri" w:eastAsia="Calibri" w:hAnsi="Calibri" w:cs="Calibri"/>
          <w:sz w:val="24"/>
          <w:szCs w:val="24"/>
          <w:lang w:val="el-GR"/>
        </w:rPr>
        <w:t>Παγκύπριου</w:t>
      </w:r>
      <w:proofErr w:type="spellEnd"/>
      <w:r w:rsidR="00345BD0">
        <w:rPr>
          <w:rFonts w:ascii="Calibri" w:eastAsia="Calibri" w:hAnsi="Calibri" w:cs="Calibri"/>
          <w:sz w:val="24"/>
          <w:szCs w:val="24"/>
          <w:lang w:val="el-GR"/>
        </w:rPr>
        <w:t xml:space="preserve"> </w:t>
      </w:r>
      <w:r w:rsidR="00204A14">
        <w:rPr>
          <w:rFonts w:ascii="Calibri" w:eastAsia="Calibri" w:hAnsi="Calibri" w:cs="Calibri"/>
          <w:sz w:val="24"/>
          <w:szCs w:val="24"/>
          <w:lang w:val="el-GR"/>
        </w:rPr>
        <w:t>Δικηγορικού Συλλόγου</w:t>
      </w:r>
      <w:r w:rsidR="00A5147D" w:rsidRPr="00204A14">
        <w:rPr>
          <w:rFonts w:ascii="Calibri" w:eastAsia="Calibri" w:hAnsi="Calibri" w:cs="Calibri"/>
          <w:sz w:val="24"/>
          <w:szCs w:val="24"/>
          <w:lang w:val="el-GR"/>
        </w:rPr>
        <w:t xml:space="preserve">, </w:t>
      </w:r>
      <w:r w:rsidR="00204A14">
        <w:rPr>
          <w:rFonts w:ascii="Calibri" w:eastAsia="Calibri" w:hAnsi="Calibri" w:cs="Calibri"/>
          <w:sz w:val="24"/>
          <w:szCs w:val="24"/>
          <w:lang w:val="el-GR"/>
        </w:rPr>
        <w:t xml:space="preserve">τον Πρόεδρο του </w:t>
      </w:r>
      <w:r w:rsidR="00864D92">
        <w:rPr>
          <w:rFonts w:ascii="Calibri" w:eastAsia="Calibri" w:hAnsi="Calibri" w:cs="Calibri"/>
          <w:sz w:val="24"/>
          <w:szCs w:val="24"/>
          <w:lang w:val="el-GR"/>
        </w:rPr>
        <w:t>Συνδέσμ</w:t>
      </w:r>
      <w:r w:rsidR="00204A14">
        <w:rPr>
          <w:rFonts w:ascii="Calibri" w:eastAsia="Calibri" w:hAnsi="Calibri" w:cs="Calibri"/>
          <w:sz w:val="24"/>
          <w:szCs w:val="24"/>
          <w:lang w:val="el-GR"/>
        </w:rPr>
        <w:t>ου Εγκεκριμένων Λογιστών Κύπρου</w:t>
      </w:r>
      <w:r w:rsidR="00864D92">
        <w:rPr>
          <w:rFonts w:ascii="Calibri" w:eastAsia="Calibri" w:hAnsi="Calibri" w:cs="Calibri"/>
          <w:sz w:val="24"/>
          <w:szCs w:val="24"/>
          <w:lang w:val="el-GR"/>
        </w:rPr>
        <w:t xml:space="preserve"> και τον Πρόεδρο της Συνόδου Πρυτάνεων Κυπριακών Πανεπιστημίων</w:t>
      </w:r>
      <w:r w:rsidR="00A5147D" w:rsidRPr="00204A14">
        <w:rPr>
          <w:rFonts w:ascii="Calibri" w:eastAsia="Calibri" w:hAnsi="Calibri" w:cs="Calibri"/>
          <w:sz w:val="24"/>
          <w:szCs w:val="24"/>
          <w:lang w:val="el-GR"/>
        </w:rPr>
        <w:t>.</w:t>
      </w:r>
      <w:bookmarkEnd w:id="158"/>
      <w:r w:rsidR="00A5147D" w:rsidRPr="00204A14">
        <w:rPr>
          <w:rFonts w:ascii="Calibri" w:eastAsia="Calibri" w:hAnsi="Calibri" w:cs="Calibri"/>
          <w:sz w:val="24"/>
          <w:szCs w:val="24"/>
          <w:lang w:val="el-GR"/>
        </w:rPr>
        <w:t xml:space="preserve"> </w:t>
      </w:r>
    </w:p>
    <w:p w14:paraId="2D20E60F" w14:textId="77777777" w:rsidR="00A5147D" w:rsidRPr="00204A14" w:rsidRDefault="00A5147D" w:rsidP="00A5147D">
      <w:pPr>
        <w:keepNext/>
        <w:pBdr>
          <w:top w:val="nil"/>
          <w:left w:val="nil"/>
          <w:bottom w:val="nil"/>
          <w:right w:val="nil"/>
          <w:between w:val="nil"/>
          <w:bar w:val="nil"/>
        </w:pBdr>
        <w:tabs>
          <w:tab w:val="left" w:pos="709"/>
        </w:tabs>
        <w:rPr>
          <w:rFonts w:eastAsia="Calibri" w:cstheme="minorHAnsi"/>
          <w:sz w:val="24"/>
          <w:szCs w:val="24"/>
          <w:u w:color="000000"/>
          <w:bdr w:val="nil"/>
          <w:lang w:val="el-GR"/>
        </w:rPr>
      </w:pPr>
    </w:p>
    <w:p w14:paraId="622689EA" w14:textId="765FC586" w:rsidR="00A5147D" w:rsidRPr="00BC211D" w:rsidRDefault="00BC211D" w:rsidP="00A5147D">
      <w:pPr>
        <w:numPr>
          <w:ilvl w:val="0"/>
          <w:numId w:val="1"/>
        </w:numPr>
        <w:tabs>
          <w:tab w:val="clear" w:pos="6095"/>
          <w:tab w:val="left" w:pos="709"/>
        </w:tabs>
        <w:ind w:left="0" w:firstLine="0"/>
        <w:rPr>
          <w:rFonts w:ascii="Calibri" w:eastAsia="Calibri" w:hAnsi="Calibri" w:cs="Calibri"/>
          <w:sz w:val="24"/>
          <w:szCs w:val="24"/>
          <w:lang w:val="el-GR"/>
        </w:rPr>
      </w:pPr>
      <w:r>
        <w:rPr>
          <w:rFonts w:ascii="Calibri" w:eastAsia="Calibri" w:hAnsi="Calibri" w:cs="Calibri"/>
          <w:sz w:val="24"/>
          <w:szCs w:val="24"/>
          <w:lang w:val="el-GR"/>
        </w:rPr>
        <w:t>Η</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Αρχή</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Κατά</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της</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Διαφθοράς</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μπορεί</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να</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διερευνήσει</w:t>
      </w:r>
      <w:r w:rsidR="00A5147D" w:rsidRPr="00BC211D">
        <w:rPr>
          <w:rFonts w:ascii="Calibri" w:eastAsia="Calibri" w:hAnsi="Calibri" w:cs="Calibri"/>
          <w:sz w:val="24"/>
          <w:szCs w:val="24"/>
          <w:lang w:val="el-GR"/>
        </w:rPr>
        <w:t xml:space="preserve"> </w:t>
      </w:r>
      <w:r w:rsidR="00345BD0">
        <w:rPr>
          <w:rFonts w:ascii="Calibri" w:eastAsia="Calibri" w:hAnsi="Calibri" w:cs="Calibri"/>
          <w:sz w:val="24"/>
          <w:szCs w:val="24"/>
          <w:lang w:val="el-GR"/>
        </w:rPr>
        <w:t xml:space="preserve">καταγγελίες </w:t>
      </w:r>
      <w:r>
        <w:rPr>
          <w:rFonts w:ascii="Calibri" w:eastAsia="Calibri" w:hAnsi="Calibri" w:cs="Calibri"/>
          <w:sz w:val="24"/>
          <w:szCs w:val="24"/>
          <w:lang w:val="el-GR"/>
        </w:rPr>
        <w:t>εναντίον</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οποιουδήποτε</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δημοσίου υπαλλήλου</w:t>
      </w:r>
      <w:r w:rsidR="00A5147D" w:rsidRPr="00BC211D">
        <w:rPr>
          <w:rFonts w:ascii="Calibri" w:eastAsia="Calibri" w:hAnsi="Calibri" w:cs="Calibri"/>
          <w:sz w:val="24"/>
          <w:szCs w:val="24"/>
          <w:lang w:val="el-GR"/>
        </w:rPr>
        <w:t xml:space="preserve"> </w:t>
      </w:r>
      <w:r>
        <w:rPr>
          <w:rFonts w:ascii="Calibri" w:eastAsia="Calibri" w:hAnsi="Calibri" w:cs="Calibri"/>
          <w:sz w:val="24"/>
          <w:szCs w:val="24"/>
          <w:lang w:val="el-GR"/>
        </w:rPr>
        <w:t>ή αξιωματούχου</w:t>
      </w:r>
      <w:r w:rsidR="00A5147D" w:rsidRPr="00BC211D">
        <w:rPr>
          <w:rFonts w:ascii="Calibri" w:eastAsia="Calibri" w:hAnsi="Calibri" w:cs="Calibri"/>
          <w:sz w:val="24"/>
          <w:szCs w:val="24"/>
          <w:lang w:val="el-GR"/>
        </w:rPr>
        <w:t xml:space="preserve">, </w:t>
      </w:r>
      <w:r>
        <w:rPr>
          <w:rFonts w:ascii="Calibri" w:eastAsia="Calibri" w:hAnsi="Calibri" w:cs="Calibri"/>
          <w:sz w:val="24"/>
          <w:szCs w:val="24"/>
          <w:lang w:val="el-GR"/>
        </w:rPr>
        <w:t>συμπεριλαμβανομένου του Προέδρου της Δημοκρατίας</w:t>
      </w:r>
      <w:r w:rsidR="00A5147D" w:rsidRPr="00BC211D">
        <w:rPr>
          <w:rFonts w:ascii="Calibri" w:eastAsia="Calibri" w:hAnsi="Calibri" w:cs="Calibri"/>
          <w:sz w:val="24"/>
          <w:szCs w:val="24"/>
          <w:lang w:val="el-GR"/>
        </w:rPr>
        <w:t xml:space="preserve">.  </w:t>
      </w:r>
      <w:r>
        <w:rPr>
          <w:rFonts w:ascii="Calibri" w:eastAsia="Calibri" w:hAnsi="Calibri" w:cs="Calibri"/>
          <w:sz w:val="24"/>
          <w:szCs w:val="24"/>
          <w:lang w:val="el-GR"/>
        </w:rPr>
        <w:t>Από</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την</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άποψη</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αυτή</w:t>
      </w:r>
      <w:r w:rsidR="00A5147D" w:rsidRPr="00BC211D">
        <w:rPr>
          <w:rFonts w:ascii="Calibri" w:eastAsia="Calibri" w:hAnsi="Calibri" w:cs="Calibri"/>
          <w:sz w:val="24"/>
          <w:szCs w:val="24"/>
          <w:lang w:val="el-GR"/>
        </w:rPr>
        <w:t xml:space="preserve">, </w:t>
      </w:r>
      <w:r>
        <w:rPr>
          <w:rFonts w:ascii="Calibri" w:eastAsia="Calibri" w:hAnsi="Calibri" w:cs="Calibri"/>
          <w:sz w:val="24"/>
          <w:szCs w:val="24"/>
          <w:lang w:val="el-GR"/>
        </w:rPr>
        <w:t>έχει</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πρόσβαση</w:t>
      </w:r>
      <w:r w:rsidR="00A5147D" w:rsidRPr="00BC211D">
        <w:rPr>
          <w:rFonts w:ascii="Calibri" w:eastAsia="Calibri" w:hAnsi="Calibri" w:cs="Calibri"/>
          <w:sz w:val="24"/>
          <w:szCs w:val="24"/>
          <w:lang w:val="el-GR"/>
        </w:rPr>
        <w:t xml:space="preserve">, </w:t>
      </w:r>
      <w:r>
        <w:rPr>
          <w:rFonts w:ascii="Calibri" w:eastAsia="Calibri" w:hAnsi="Calibri" w:cs="Calibri"/>
          <w:sz w:val="24"/>
          <w:szCs w:val="24"/>
          <w:lang w:val="el-GR"/>
        </w:rPr>
        <w:t>ανάμεσα</w:t>
      </w:r>
      <w:r w:rsidRPr="00BC211D">
        <w:rPr>
          <w:rFonts w:ascii="Calibri" w:eastAsia="Calibri" w:hAnsi="Calibri" w:cs="Calibri"/>
          <w:sz w:val="24"/>
          <w:szCs w:val="24"/>
          <w:lang w:val="el-GR"/>
        </w:rPr>
        <w:t xml:space="preserve"> </w:t>
      </w:r>
      <w:proofErr w:type="spellStart"/>
      <w:r>
        <w:rPr>
          <w:rFonts w:ascii="Calibri" w:eastAsia="Calibri" w:hAnsi="Calibri" w:cs="Calibri"/>
          <w:sz w:val="24"/>
          <w:szCs w:val="24"/>
          <w:lang w:val="el-GR"/>
        </w:rPr>
        <w:t>σ</w:t>
      </w:r>
      <w:r w:rsidRPr="00BC211D">
        <w:rPr>
          <w:rFonts w:ascii="Calibri" w:eastAsia="Calibri" w:hAnsi="Calibri" w:cs="Calibri"/>
          <w:sz w:val="24"/>
          <w:szCs w:val="24"/>
          <w:lang w:val="el-GR"/>
        </w:rPr>
        <w:t>’</w:t>
      </w:r>
      <w:r>
        <w:rPr>
          <w:rFonts w:ascii="Calibri" w:eastAsia="Calibri" w:hAnsi="Calibri" w:cs="Calibri"/>
          <w:sz w:val="24"/>
          <w:szCs w:val="24"/>
          <w:lang w:val="el-GR"/>
        </w:rPr>
        <w:t>άλλα</w:t>
      </w:r>
      <w:proofErr w:type="spellEnd"/>
      <w:r w:rsidR="00A5147D" w:rsidRPr="00BC211D">
        <w:rPr>
          <w:rFonts w:ascii="Calibri" w:eastAsia="Calibri" w:hAnsi="Calibri" w:cs="Calibri"/>
          <w:sz w:val="24"/>
          <w:szCs w:val="24"/>
          <w:lang w:val="el-GR"/>
        </w:rPr>
        <w:t xml:space="preserve">, </w:t>
      </w:r>
      <w:r>
        <w:rPr>
          <w:rFonts w:ascii="Calibri" w:eastAsia="Calibri" w:hAnsi="Calibri" w:cs="Calibri"/>
          <w:sz w:val="24"/>
          <w:szCs w:val="24"/>
          <w:lang w:val="el-GR"/>
        </w:rPr>
        <w:t>σε</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πληροφορίες</w:t>
      </w:r>
      <w:r w:rsidR="00A5147D" w:rsidRPr="00BC211D">
        <w:rPr>
          <w:rFonts w:ascii="Calibri" w:eastAsia="Calibri" w:hAnsi="Calibri" w:cs="Calibri"/>
          <w:sz w:val="24"/>
          <w:szCs w:val="24"/>
          <w:lang w:val="el-GR"/>
        </w:rPr>
        <w:t xml:space="preserve">, </w:t>
      </w:r>
      <w:r>
        <w:rPr>
          <w:rFonts w:ascii="Calibri" w:eastAsia="Calibri" w:hAnsi="Calibri" w:cs="Calibri"/>
          <w:sz w:val="24"/>
          <w:szCs w:val="24"/>
          <w:lang w:val="el-GR"/>
        </w:rPr>
        <w:t>βάσεις</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δεδομένων</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και</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μπορεί να πάρει καταθέσεις</w:t>
      </w:r>
      <w:r w:rsidR="00A5147D" w:rsidRPr="00BC211D">
        <w:rPr>
          <w:rFonts w:ascii="Calibri" w:eastAsia="Calibri" w:hAnsi="Calibri" w:cs="Calibri"/>
          <w:sz w:val="24"/>
          <w:szCs w:val="24"/>
          <w:lang w:val="el-GR"/>
        </w:rPr>
        <w:t xml:space="preserve"> </w:t>
      </w:r>
      <w:r>
        <w:rPr>
          <w:rFonts w:ascii="Calibri" w:eastAsia="Calibri" w:hAnsi="Calibri" w:cs="Calibri"/>
          <w:sz w:val="24"/>
          <w:szCs w:val="24"/>
          <w:lang w:val="el-GR"/>
        </w:rPr>
        <w:t>και να προσλάβει ειδικούς</w:t>
      </w:r>
      <w:r w:rsidR="00A5147D" w:rsidRPr="00BC211D">
        <w:rPr>
          <w:rFonts w:ascii="Calibri" w:eastAsia="Calibri" w:hAnsi="Calibri" w:cs="Calibri"/>
          <w:sz w:val="24"/>
          <w:szCs w:val="24"/>
          <w:lang w:val="el-GR"/>
        </w:rPr>
        <w:t xml:space="preserve"> </w:t>
      </w:r>
      <w:r>
        <w:rPr>
          <w:rFonts w:ascii="Calibri" w:eastAsia="Calibri" w:hAnsi="Calibri" w:cs="Calibri"/>
          <w:sz w:val="24"/>
          <w:szCs w:val="24"/>
          <w:lang w:val="el-GR"/>
        </w:rPr>
        <w:t>για την εκτέλεση συγκεκριμένων ενεργειών</w:t>
      </w:r>
      <w:r w:rsidR="00345BD0">
        <w:rPr>
          <w:rFonts w:ascii="Calibri" w:eastAsia="Calibri" w:hAnsi="Calibri" w:cs="Calibri"/>
          <w:sz w:val="24"/>
          <w:szCs w:val="24"/>
          <w:lang w:val="el-GR"/>
        </w:rPr>
        <w:t xml:space="preserve"> διερεύνησης</w:t>
      </w:r>
      <w:r w:rsidR="00A5147D" w:rsidRPr="00BC211D">
        <w:rPr>
          <w:rFonts w:ascii="Calibri" w:eastAsia="Calibri" w:hAnsi="Calibri" w:cs="Calibri"/>
          <w:sz w:val="24"/>
          <w:szCs w:val="24"/>
          <w:lang w:val="el-GR"/>
        </w:rPr>
        <w:t xml:space="preserve">. </w:t>
      </w:r>
      <w:r>
        <w:rPr>
          <w:rFonts w:ascii="Calibri" w:eastAsia="Calibri" w:hAnsi="Calibri" w:cs="Calibri"/>
          <w:sz w:val="24"/>
          <w:szCs w:val="24"/>
          <w:lang w:val="el-GR"/>
        </w:rPr>
        <w:t>Κανονισμοί</w:t>
      </w:r>
      <w:r w:rsidRPr="00BC211D">
        <w:rPr>
          <w:rFonts w:ascii="Calibri" w:eastAsia="Calibri" w:hAnsi="Calibri" w:cs="Calibri"/>
          <w:sz w:val="24"/>
          <w:szCs w:val="24"/>
          <w:lang w:val="el-GR"/>
        </w:rPr>
        <w:t xml:space="preserve"> </w:t>
      </w:r>
      <w:r w:rsidR="00345BD0" w:rsidRPr="002B7C4B">
        <w:rPr>
          <w:rFonts w:ascii="Calibri" w:eastAsia="Calibri" w:hAnsi="Calibri" w:cs="Calibri"/>
          <w:sz w:val="24"/>
          <w:szCs w:val="24"/>
          <w:lang w:val="el-GR"/>
        </w:rPr>
        <w:t>αναφορικ</w:t>
      </w:r>
      <w:r w:rsidR="00345BD0">
        <w:rPr>
          <w:rFonts w:ascii="Calibri" w:eastAsia="Calibri" w:hAnsi="Calibri" w:cs="Calibri"/>
          <w:sz w:val="24"/>
          <w:szCs w:val="24"/>
          <w:lang w:val="el-GR"/>
        </w:rPr>
        <w:t xml:space="preserve">ά με </w:t>
      </w:r>
      <w:r>
        <w:rPr>
          <w:rFonts w:ascii="Calibri" w:eastAsia="Calibri" w:hAnsi="Calibri" w:cs="Calibri"/>
          <w:sz w:val="24"/>
          <w:szCs w:val="24"/>
          <w:lang w:val="el-GR"/>
        </w:rPr>
        <w:t>την</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επιλογή</w:t>
      </w:r>
      <w:r w:rsidRPr="00BC211D">
        <w:rPr>
          <w:rFonts w:ascii="Calibri" w:eastAsia="Calibri" w:hAnsi="Calibri" w:cs="Calibri"/>
          <w:sz w:val="24"/>
          <w:szCs w:val="24"/>
          <w:lang w:val="el-GR"/>
        </w:rPr>
        <w:t xml:space="preserve"> </w:t>
      </w:r>
      <w:r>
        <w:rPr>
          <w:rFonts w:ascii="Calibri" w:eastAsia="Calibri" w:hAnsi="Calibri" w:cs="Calibri"/>
          <w:sz w:val="24"/>
          <w:szCs w:val="24"/>
          <w:lang w:val="el-GR"/>
        </w:rPr>
        <w:t>εξειδικευμέ</w:t>
      </w:r>
      <w:r w:rsidR="00345BD0">
        <w:rPr>
          <w:rFonts w:ascii="Calibri" w:eastAsia="Calibri" w:hAnsi="Calibri" w:cs="Calibri"/>
          <w:sz w:val="24"/>
          <w:szCs w:val="24"/>
          <w:lang w:val="el-GR"/>
        </w:rPr>
        <w:t>νων</w:t>
      </w:r>
      <w:r w:rsidRPr="00BC211D">
        <w:rPr>
          <w:rFonts w:ascii="Calibri" w:eastAsia="Calibri" w:hAnsi="Calibri" w:cs="Calibri"/>
          <w:sz w:val="24"/>
          <w:szCs w:val="24"/>
          <w:lang w:val="el-GR"/>
        </w:rPr>
        <w:t xml:space="preserve"> </w:t>
      </w:r>
      <w:r w:rsidR="00345BD0">
        <w:rPr>
          <w:rFonts w:ascii="Calibri" w:eastAsia="Calibri" w:hAnsi="Calibri" w:cs="Calibri"/>
          <w:sz w:val="24"/>
          <w:szCs w:val="24"/>
          <w:lang w:val="el-GR"/>
        </w:rPr>
        <w:t xml:space="preserve">λειτουργών επιθεώρησης </w:t>
      </w:r>
      <w:r>
        <w:rPr>
          <w:rFonts w:cs="Calibri"/>
          <w:sz w:val="24"/>
          <w:szCs w:val="24"/>
          <w:lang w:val="el-GR"/>
        </w:rPr>
        <w:t>που</w:t>
      </w:r>
      <w:r w:rsidRPr="00BC211D">
        <w:rPr>
          <w:rFonts w:cs="Calibri"/>
          <w:sz w:val="24"/>
          <w:szCs w:val="24"/>
          <w:lang w:val="el-GR"/>
        </w:rPr>
        <w:t xml:space="preserve"> </w:t>
      </w:r>
      <w:r>
        <w:rPr>
          <w:rFonts w:cs="Calibri"/>
          <w:sz w:val="24"/>
          <w:szCs w:val="24"/>
          <w:lang w:val="el-GR"/>
        </w:rPr>
        <w:t>χρειάζ</w:t>
      </w:r>
      <w:r w:rsidR="00345BD0">
        <w:rPr>
          <w:rFonts w:cs="Calibri"/>
          <w:sz w:val="24"/>
          <w:szCs w:val="24"/>
          <w:lang w:val="el-GR"/>
        </w:rPr>
        <w:t>ον</w:t>
      </w:r>
      <w:r>
        <w:rPr>
          <w:rFonts w:cs="Calibri"/>
          <w:sz w:val="24"/>
          <w:szCs w:val="24"/>
          <w:lang w:val="el-GR"/>
        </w:rPr>
        <w:t>ται</w:t>
      </w:r>
      <w:r w:rsidRPr="00BC211D">
        <w:rPr>
          <w:rFonts w:cs="Calibri"/>
          <w:sz w:val="24"/>
          <w:szCs w:val="24"/>
          <w:lang w:val="el-GR"/>
        </w:rPr>
        <w:t xml:space="preserve"> </w:t>
      </w:r>
      <w:r>
        <w:rPr>
          <w:rFonts w:cs="Calibri"/>
          <w:sz w:val="24"/>
          <w:szCs w:val="24"/>
          <w:lang w:val="el-GR"/>
        </w:rPr>
        <w:t>για</w:t>
      </w:r>
      <w:r w:rsidRPr="00BC211D">
        <w:rPr>
          <w:rFonts w:cs="Calibri"/>
          <w:sz w:val="24"/>
          <w:szCs w:val="24"/>
          <w:lang w:val="el-GR"/>
        </w:rPr>
        <w:t xml:space="preserve"> </w:t>
      </w:r>
      <w:r>
        <w:rPr>
          <w:rFonts w:cs="Calibri"/>
          <w:sz w:val="24"/>
          <w:szCs w:val="24"/>
          <w:lang w:val="el-GR"/>
        </w:rPr>
        <w:t>να</w:t>
      </w:r>
      <w:r w:rsidRPr="00BC211D">
        <w:rPr>
          <w:rFonts w:cs="Calibri"/>
          <w:sz w:val="24"/>
          <w:szCs w:val="24"/>
          <w:lang w:val="el-GR"/>
        </w:rPr>
        <w:t xml:space="preserve"> </w:t>
      </w:r>
      <w:r>
        <w:rPr>
          <w:rFonts w:cs="Calibri"/>
          <w:sz w:val="24"/>
          <w:szCs w:val="24"/>
          <w:lang w:val="el-GR"/>
        </w:rPr>
        <w:t>επιτευχθεί</w:t>
      </w:r>
      <w:r w:rsidRPr="00BC211D">
        <w:rPr>
          <w:rFonts w:cs="Calibri"/>
          <w:sz w:val="24"/>
          <w:szCs w:val="24"/>
          <w:lang w:val="el-GR"/>
        </w:rPr>
        <w:t xml:space="preserve"> </w:t>
      </w:r>
      <w:r w:rsidR="00E23BF3">
        <w:rPr>
          <w:rFonts w:cs="Calibri"/>
          <w:sz w:val="24"/>
          <w:szCs w:val="24"/>
          <w:lang w:val="el-GR"/>
        </w:rPr>
        <w:t xml:space="preserve">η </w:t>
      </w:r>
      <w:r>
        <w:rPr>
          <w:rFonts w:cs="Calibri"/>
          <w:sz w:val="24"/>
          <w:szCs w:val="24"/>
          <w:lang w:val="el-GR"/>
        </w:rPr>
        <w:t>πλήρης</w:t>
      </w:r>
      <w:r w:rsidRPr="00BC211D">
        <w:rPr>
          <w:rFonts w:cs="Calibri"/>
          <w:sz w:val="24"/>
          <w:szCs w:val="24"/>
          <w:lang w:val="el-GR"/>
        </w:rPr>
        <w:t xml:space="preserve"> </w:t>
      </w:r>
      <w:r>
        <w:rPr>
          <w:rFonts w:cs="Calibri"/>
          <w:sz w:val="24"/>
          <w:szCs w:val="24"/>
          <w:lang w:val="el-GR"/>
        </w:rPr>
        <w:t>λειτουργικότητα της Αρχής</w:t>
      </w:r>
      <w:r w:rsidR="00A5147D" w:rsidRPr="00BC211D">
        <w:rPr>
          <w:rFonts w:cs="Calibri"/>
          <w:sz w:val="24"/>
          <w:szCs w:val="24"/>
          <w:lang w:val="el-GR"/>
        </w:rPr>
        <w:t xml:space="preserve"> </w:t>
      </w:r>
      <w:r w:rsidR="00E23BF3">
        <w:rPr>
          <w:rFonts w:cs="Calibri"/>
          <w:sz w:val="24"/>
          <w:szCs w:val="24"/>
          <w:lang w:val="el-GR"/>
        </w:rPr>
        <w:t xml:space="preserve">και </w:t>
      </w:r>
      <w:r w:rsidR="00345BD0">
        <w:rPr>
          <w:rFonts w:cs="Calibri"/>
          <w:sz w:val="24"/>
          <w:szCs w:val="24"/>
          <w:lang w:val="el-GR"/>
        </w:rPr>
        <w:t>τ</w:t>
      </w:r>
      <w:r w:rsidR="00E23BF3">
        <w:rPr>
          <w:rFonts w:cs="Calibri"/>
          <w:sz w:val="24"/>
          <w:szCs w:val="24"/>
          <w:lang w:val="el-GR"/>
        </w:rPr>
        <w:t>η</w:t>
      </w:r>
      <w:r w:rsidR="00345BD0">
        <w:rPr>
          <w:rFonts w:cs="Calibri"/>
          <w:sz w:val="24"/>
          <w:szCs w:val="24"/>
          <w:lang w:val="el-GR"/>
        </w:rPr>
        <w:t>ν</w:t>
      </w:r>
      <w:r w:rsidR="00E23BF3">
        <w:rPr>
          <w:rFonts w:cs="Calibri"/>
          <w:sz w:val="24"/>
          <w:szCs w:val="24"/>
          <w:lang w:val="el-GR"/>
        </w:rPr>
        <w:t xml:space="preserve"> περαιτέρω προσθήκη</w:t>
      </w:r>
      <w:r w:rsidR="00E23BF3" w:rsidRPr="00E23BF3">
        <w:rPr>
          <w:rFonts w:cs="Calibri"/>
          <w:sz w:val="24"/>
          <w:szCs w:val="24"/>
          <w:lang w:val="el-GR"/>
        </w:rPr>
        <w:t xml:space="preserve"> </w:t>
      </w:r>
      <w:r w:rsidR="00E23BF3">
        <w:rPr>
          <w:rFonts w:cs="Calibri"/>
          <w:sz w:val="24"/>
          <w:szCs w:val="24"/>
          <w:lang w:val="el-GR"/>
        </w:rPr>
        <w:t>μιας σειράς κυρώσεων</w:t>
      </w:r>
      <w:r w:rsidR="00B70A40">
        <w:rPr>
          <w:rFonts w:cs="Calibri"/>
          <w:sz w:val="24"/>
          <w:szCs w:val="24"/>
          <w:lang w:val="el-GR"/>
        </w:rPr>
        <w:t>,</w:t>
      </w:r>
      <w:r w:rsidR="00A5147D" w:rsidRPr="00BC211D">
        <w:rPr>
          <w:rFonts w:cs="Calibri"/>
          <w:sz w:val="24"/>
          <w:szCs w:val="24"/>
          <w:lang w:val="el-GR"/>
        </w:rPr>
        <w:t xml:space="preserve"> </w:t>
      </w:r>
      <w:bookmarkStart w:id="160" w:name="_Hlk132889596"/>
      <w:r w:rsidR="00E23BF3">
        <w:rPr>
          <w:rFonts w:cs="Calibri"/>
          <w:sz w:val="24"/>
          <w:szCs w:val="24"/>
          <w:lang w:val="el-GR"/>
        </w:rPr>
        <w:t>θεσπίσθηκαν και τέθηκαν σε ισχύ στις</w:t>
      </w:r>
      <w:r w:rsidR="00287501" w:rsidRPr="00BC211D">
        <w:rPr>
          <w:rFonts w:cs="Calibri"/>
          <w:sz w:val="24"/>
          <w:szCs w:val="24"/>
          <w:lang w:val="el-GR"/>
        </w:rPr>
        <w:t xml:space="preserve"> 16 </w:t>
      </w:r>
      <w:r w:rsidR="00E23BF3">
        <w:rPr>
          <w:rFonts w:cs="Calibri"/>
          <w:sz w:val="24"/>
          <w:szCs w:val="24"/>
          <w:lang w:val="el-GR"/>
        </w:rPr>
        <w:t>Δεκεμβρίου</w:t>
      </w:r>
      <w:r w:rsidR="00287501" w:rsidRPr="00BC211D">
        <w:rPr>
          <w:rFonts w:cs="Calibri"/>
          <w:sz w:val="24"/>
          <w:szCs w:val="24"/>
          <w:lang w:val="el-GR"/>
        </w:rPr>
        <w:t xml:space="preserve"> 2022</w:t>
      </w:r>
      <w:r w:rsidR="00A5147D" w:rsidRPr="00BC211D">
        <w:rPr>
          <w:rFonts w:cs="Calibri"/>
          <w:sz w:val="24"/>
          <w:szCs w:val="24"/>
          <w:lang w:val="el-GR"/>
        </w:rPr>
        <w:t>.</w:t>
      </w:r>
      <w:bookmarkEnd w:id="160"/>
    </w:p>
    <w:p w14:paraId="7B85C63F" w14:textId="77777777" w:rsidR="00A5147D" w:rsidRPr="00BC211D" w:rsidRDefault="00A5147D" w:rsidP="00A5147D">
      <w:pPr>
        <w:tabs>
          <w:tab w:val="left" w:pos="709"/>
        </w:tabs>
        <w:rPr>
          <w:rFonts w:ascii="Calibri" w:eastAsia="Calibri" w:hAnsi="Calibri" w:cs="Calibri"/>
          <w:sz w:val="24"/>
          <w:szCs w:val="24"/>
          <w:lang w:val="el-GR"/>
        </w:rPr>
      </w:pPr>
    </w:p>
    <w:p w14:paraId="561362D6" w14:textId="7AAB4F5D" w:rsidR="00A5147D" w:rsidRPr="00E23BF3" w:rsidRDefault="00E23BF3" w:rsidP="00A5147D">
      <w:pPr>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lang w:val="el-GR"/>
        </w:rPr>
      </w:pPr>
      <w:r>
        <w:rPr>
          <w:rFonts w:ascii="Calibri" w:eastAsia="Calibri" w:hAnsi="Calibri" w:cs="Calibri"/>
          <w:sz w:val="24"/>
          <w:szCs w:val="24"/>
          <w:lang w:val="el-GR"/>
        </w:rPr>
        <w:t>Δυνάμει</w:t>
      </w:r>
      <w:r w:rsidRPr="00E23BF3">
        <w:rPr>
          <w:rFonts w:ascii="Calibri" w:eastAsia="Calibri" w:hAnsi="Calibri" w:cs="Calibri"/>
          <w:sz w:val="24"/>
          <w:szCs w:val="24"/>
          <w:lang w:val="el-GR"/>
        </w:rPr>
        <w:t xml:space="preserve"> </w:t>
      </w:r>
      <w:r>
        <w:rPr>
          <w:rFonts w:ascii="Calibri" w:eastAsia="Calibri" w:hAnsi="Calibri" w:cs="Calibri"/>
          <w:sz w:val="24"/>
          <w:szCs w:val="24"/>
          <w:lang w:val="el-GR"/>
        </w:rPr>
        <w:t>του</w:t>
      </w:r>
      <w:r w:rsidRPr="00E23BF3">
        <w:rPr>
          <w:rFonts w:ascii="Calibri" w:eastAsia="Calibri" w:hAnsi="Calibri" w:cs="Calibri"/>
          <w:sz w:val="24"/>
          <w:szCs w:val="24"/>
          <w:lang w:val="el-GR"/>
        </w:rPr>
        <w:t xml:space="preserve"> </w:t>
      </w:r>
      <w:r>
        <w:rPr>
          <w:rFonts w:ascii="Calibri" w:eastAsia="Calibri" w:hAnsi="Calibri" w:cs="Calibri"/>
          <w:sz w:val="24"/>
          <w:szCs w:val="24"/>
          <w:lang w:val="el-GR"/>
        </w:rPr>
        <w:t>Νόμου</w:t>
      </w:r>
      <w:r w:rsidR="00A5147D" w:rsidRPr="00E23BF3">
        <w:rPr>
          <w:rFonts w:cstheme="minorHAnsi"/>
          <w:sz w:val="24"/>
          <w:szCs w:val="24"/>
          <w:lang w:val="el-GR"/>
        </w:rPr>
        <w:t xml:space="preserve"> </w:t>
      </w:r>
      <w:r>
        <w:rPr>
          <w:rFonts w:cstheme="minorHAnsi"/>
          <w:sz w:val="24"/>
          <w:szCs w:val="24"/>
          <w:lang w:val="el-GR"/>
        </w:rPr>
        <w:t>περί</w:t>
      </w:r>
      <w:r w:rsidRPr="00E23BF3">
        <w:rPr>
          <w:rFonts w:cstheme="minorHAnsi"/>
          <w:sz w:val="24"/>
          <w:szCs w:val="24"/>
          <w:lang w:val="el-GR"/>
        </w:rPr>
        <w:t xml:space="preserve"> </w:t>
      </w:r>
      <w:r>
        <w:rPr>
          <w:rFonts w:cstheme="minorHAnsi"/>
          <w:sz w:val="24"/>
          <w:szCs w:val="24"/>
          <w:lang w:val="el-GR"/>
        </w:rPr>
        <w:t>Διαφάνειας</w:t>
      </w:r>
      <w:r w:rsidRPr="00E23BF3">
        <w:rPr>
          <w:rFonts w:cstheme="minorHAnsi"/>
          <w:sz w:val="24"/>
          <w:szCs w:val="24"/>
          <w:lang w:val="el-GR"/>
        </w:rPr>
        <w:t xml:space="preserve"> </w:t>
      </w:r>
      <w:r>
        <w:rPr>
          <w:rFonts w:cstheme="minorHAnsi"/>
          <w:sz w:val="24"/>
          <w:szCs w:val="24"/>
          <w:lang w:val="el-GR"/>
        </w:rPr>
        <w:t>στις</w:t>
      </w:r>
      <w:r w:rsidRPr="00E23BF3">
        <w:rPr>
          <w:rFonts w:cstheme="minorHAnsi"/>
          <w:sz w:val="24"/>
          <w:szCs w:val="24"/>
          <w:lang w:val="el-GR"/>
        </w:rPr>
        <w:t xml:space="preserve"> </w:t>
      </w:r>
      <w:r>
        <w:rPr>
          <w:rFonts w:cstheme="minorHAnsi"/>
          <w:sz w:val="24"/>
          <w:szCs w:val="24"/>
          <w:lang w:val="el-GR"/>
        </w:rPr>
        <w:t>Διαδικασίες</w:t>
      </w:r>
      <w:r w:rsidRPr="00E23BF3">
        <w:rPr>
          <w:rFonts w:cstheme="minorHAnsi"/>
          <w:sz w:val="24"/>
          <w:szCs w:val="24"/>
          <w:lang w:val="el-GR"/>
        </w:rPr>
        <w:t xml:space="preserve"> </w:t>
      </w:r>
      <w:r>
        <w:rPr>
          <w:rFonts w:cstheme="minorHAnsi"/>
          <w:sz w:val="24"/>
          <w:szCs w:val="24"/>
          <w:lang w:val="el-GR"/>
        </w:rPr>
        <w:t>Λήψης</w:t>
      </w:r>
      <w:r w:rsidRPr="00E23BF3">
        <w:rPr>
          <w:rFonts w:cstheme="minorHAnsi"/>
          <w:sz w:val="24"/>
          <w:szCs w:val="24"/>
          <w:lang w:val="el-GR"/>
        </w:rPr>
        <w:t xml:space="preserve"> </w:t>
      </w:r>
      <w:r>
        <w:rPr>
          <w:rFonts w:cstheme="minorHAnsi"/>
          <w:sz w:val="24"/>
          <w:szCs w:val="24"/>
          <w:lang w:val="el-GR"/>
        </w:rPr>
        <w:t>Δημοσίων</w:t>
      </w:r>
      <w:r w:rsidRPr="00E23BF3">
        <w:rPr>
          <w:rFonts w:cstheme="minorHAnsi"/>
          <w:sz w:val="24"/>
          <w:szCs w:val="24"/>
          <w:lang w:val="el-GR"/>
        </w:rPr>
        <w:t xml:space="preserve"> </w:t>
      </w:r>
      <w:r>
        <w:rPr>
          <w:rFonts w:cstheme="minorHAnsi"/>
          <w:sz w:val="24"/>
          <w:szCs w:val="24"/>
          <w:lang w:val="el-GR"/>
        </w:rPr>
        <w:t>Αποφάσεων</w:t>
      </w:r>
      <w:r w:rsidRPr="00E23BF3">
        <w:rPr>
          <w:rFonts w:cstheme="minorHAnsi"/>
          <w:sz w:val="24"/>
          <w:szCs w:val="24"/>
          <w:lang w:val="el-GR"/>
        </w:rPr>
        <w:t xml:space="preserve"> </w:t>
      </w:r>
      <w:r>
        <w:rPr>
          <w:rFonts w:cstheme="minorHAnsi"/>
          <w:sz w:val="24"/>
          <w:szCs w:val="24"/>
          <w:lang w:val="el-GR"/>
        </w:rPr>
        <w:t>και</w:t>
      </w:r>
      <w:r w:rsidRPr="00E23BF3">
        <w:rPr>
          <w:rFonts w:cstheme="minorHAnsi"/>
          <w:sz w:val="24"/>
          <w:szCs w:val="24"/>
          <w:lang w:val="el-GR"/>
        </w:rPr>
        <w:t xml:space="preserve"> </w:t>
      </w:r>
      <w:r>
        <w:rPr>
          <w:rFonts w:cstheme="minorHAnsi"/>
          <w:sz w:val="24"/>
          <w:szCs w:val="24"/>
          <w:lang w:val="el-GR"/>
        </w:rPr>
        <w:t>Συναφών</w:t>
      </w:r>
      <w:r w:rsidRPr="00E23BF3">
        <w:rPr>
          <w:rFonts w:cstheme="minorHAnsi"/>
          <w:sz w:val="24"/>
          <w:szCs w:val="24"/>
          <w:lang w:val="el-GR"/>
        </w:rPr>
        <w:t xml:space="preserve"> </w:t>
      </w:r>
      <w:r>
        <w:rPr>
          <w:rFonts w:cstheme="minorHAnsi"/>
          <w:sz w:val="24"/>
          <w:szCs w:val="24"/>
          <w:lang w:val="el-GR"/>
        </w:rPr>
        <w:t>Θεμάτων</w:t>
      </w:r>
      <w:r w:rsidRPr="00E23BF3">
        <w:rPr>
          <w:rFonts w:cstheme="minorHAnsi"/>
          <w:sz w:val="24"/>
          <w:szCs w:val="24"/>
          <w:lang w:val="el-GR"/>
        </w:rPr>
        <w:t xml:space="preserve"> </w:t>
      </w:r>
      <w:r w:rsidR="00A5147D" w:rsidRPr="00E23BF3">
        <w:rPr>
          <w:rFonts w:cstheme="minorHAnsi"/>
          <w:sz w:val="24"/>
          <w:szCs w:val="24"/>
          <w:lang w:val="el-GR"/>
        </w:rPr>
        <w:t>(</w:t>
      </w:r>
      <w:r>
        <w:rPr>
          <w:rFonts w:cstheme="minorHAnsi"/>
          <w:sz w:val="24"/>
          <w:szCs w:val="24"/>
          <w:lang w:val="el-GR"/>
        </w:rPr>
        <w:t>Νόμος</w:t>
      </w:r>
      <w:r w:rsidR="00A5147D" w:rsidRPr="00E23BF3">
        <w:rPr>
          <w:rFonts w:cstheme="minorHAnsi"/>
          <w:sz w:val="24"/>
          <w:szCs w:val="24"/>
          <w:lang w:val="el-GR"/>
        </w:rPr>
        <w:t xml:space="preserve"> 20(</w:t>
      </w:r>
      <w:r w:rsidR="00A5147D" w:rsidRPr="004E251E">
        <w:rPr>
          <w:rFonts w:cstheme="minorHAnsi"/>
          <w:sz w:val="24"/>
          <w:szCs w:val="24"/>
        </w:rPr>
        <w:t>I</w:t>
      </w:r>
      <w:r w:rsidR="00A5147D" w:rsidRPr="00E23BF3">
        <w:rPr>
          <w:rFonts w:cstheme="minorHAnsi"/>
          <w:sz w:val="24"/>
          <w:szCs w:val="24"/>
          <w:lang w:val="el-GR"/>
        </w:rPr>
        <w:t>)/2022)</w:t>
      </w:r>
      <w:r w:rsidR="00A5147D" w:rsidRPr="00E23BF3">
        <w:rPr>
          <w:rFonts w:ascii="Calibri" w:eastAsia="Calibri" w:hAnsi="Calibri" w:cs="Calibri"/>
          <w:sz w:val="24"/>
          <w:szCs w:val="24"/>
          <w:lang w:val="el-GR"/>
        </w:rPr>
        <w:t xml:space="preserve">, </w:t>
      </w:r>
      <w:r>
        <w:rPr>
          <w:rFonts w:ascii="Calibri" w:eastAsia="Calibri" w:hAnsi="Calibri" w:cs="Calibri"/>
          <w:sz w:val="24"/>
          <w:szCs w:val="24"/>
          <w:lang w:val="el-GR"/>
        </w:rPr>
        <w:t>η</w:t>
      </w:r>
      <w:r w:rsidRPr="00E23BF3">
        <w:rPr>
          <w:rFonts w:ascii="Calibri" w:eastAsia="Calibri" w:hAnsi="Calibri" w:cs="Calibri"/>
          <w:sz w:val="24"/>
          <w:szCs w:val="24"/>
          <w:lang w:val="el-GR"/>
        </w:rPr>
        <w:t xml:space="preserve"> </w:t>
      </w:r>
      <w:r>
        <w:rPr>
          <w:rFonts w:ascii="Calibri" w:eastAsia="Calibri" w:hAnsi="Calibri" w:cs="Calibri"/>
          <w:sz w:val="24"/>
          <w:szCs w:val="24"/>
          <w:lang w:val="el-GR"/>
        </w:rPr>
        <w:t>Αρχή</w:t>
      </w:r>
      <w:r w:rsidR="00A5147D" w:rsidRPr="00E23BF3">
        <w:rPr>
          <w:rFonts w:ascii="Calibri" w:eastAsia="Calibri" w:hAnsi="Calibri" w:cs="Calibri"/>
          <w:sz w:val="24"/>
          <w:szCs w:val="24"/>
          <w:lang w:val="el-GR"/>
        </w:rPr>
        <w:t xml:space="preserve"> </w:t>
      </w:r>
      <w:r w:rsidR="00C93DC5">
        <w:rPr>
          <w:rFonts w:ascii="Calibri" w:eastAsia="Calibri" w:hAnsi="Calibri" w:cs="Calibri"/>
          <w:sz w:val="24"/>
          <w:szCs w:val="24"/>
          <w:lang w:val="el-GR"/>
        </w:rPr>
        <w:t xml:space="preserve">όταν εξετάζει θέματα σύγκρουσης συμφερόντων </w:t>
      </w:r>
      <w:r>
        <w:rPr>
          <w:rFonts w:ascii="Calibri" w:eastAsia="Calibri" w:hAnsi="Calibri" w:cs="Calibri"/>
          <w:sz w:val="24"/>
          <w:szCs w:val="24"/>
          <w:lang w:val="el-GR"/>
        </w:rPr>
        <w:t>έχει</w:t>
      </w:r>
      <w:r w:rsidRPr="00E23BF3">
        <w:rPr>
          <w:rFonts w:ascii="Calibri" w:eastAsia="Calibri" w:hAnsi="Calibri" w:cs="Calibri"/>
          <w:sz w:val="24"/>
          <w:szCs w:val="24"/>
          <w:lang w:val="el-GR"/>
        </w:rPr>
        <w:t xml:space="preserve"> </w:t>
      </w:r>
      <w:r>
        <w:rPr>
          <w:rFonts w:ascii="Calibri" w:eastAsia="Calibri" w:hAnsi="Calibri" w:cs="Calibri"/>
          <w:sz w:val="24"/>
          <w:szCs w:val="24"/>
          <w:lang w:val="el-GR"/>
        </w:rPr>
        <w:t>επίσης</w:t>
      </w:r>
      <w:r w:rsidRPr="00E23BF3">
        <w:rPr>
          <w:rFonts w:ascii="Calibri" w:eastAsia="Calibri" w:hAnsi="Calibri" w:cs="Calibri"/>
          <w:sz w:val="24"/>
          <w:szCs w:val="24"/>
          <w:lang w:val="el-GR"/>
        </w:rPr>
        <w:t xml:space="preserve"> </w:t>
      </w:r>
      <w:r>
        <w:rPr>
          <w:rFonts w:ascii="Calibri" w:eastAsia="Calibri" w:hAnsi="Calibri" w:cs="Calibri"/>
          <w:sz w:val="24"/>
          <w:szCs w:val="24"/>
          <w:lang w:val="el-GR"/>
        </w:rPr>
        <w:t>ένα</w:t>
      </w:r>
      <w:r w:rsidRPr="00E23BF3">
        <w:rPr>
          <w:rFonts w:ascii="Calibri" w:eastAsia="Calibri" w:hAnsi="Calibri" w:cs="Calibri"/>
          <w:sz w:val="24"/>
          <w:szCs w:val="24"/>
          <w:lang w:val="el-GR"/>
        </w:rPr>
        <w:t xml:space="preserve"> </w:t>
      </w:r>
      <w:r>
        <w:rPr>
          <w:rFonts w:ascii="Calibri" w:eastAsia="Calibri" w:hAnsi="Calibri" w:cs="Calibri"/>
          <w:sz w:val="24"/>
          <w:szCs w:val="24"/>
          <w:lang w:val="el-GR"/>
        </w:rPr>
        <w:t>εποπτικό</w:t>
      </w:r>
      <w:r w:rsidRPr="00E23BF3">
        <w:rPr>
          <w:rFonts w:ascii="Calibri" w:eastAsia="Calibri" w:hAnsi="Calibri" w:cs="Calibri"/>
          <w:sz w:val="24"/>
          <w:szCs w:val="24"/>
          <w:lang w:val="el-GR"/>
        </w:rPr>
        <w:t xml:space="preserve"> </w:t>
      </w:r>
      <w:r>
        <w:rPr>
          <w:rFonts w:ascii="Calibri" w:eastAsia="Calibri" w:hAnsi="Calibri" w:cs="Calibri"/>
          <w:sz w:val="24"/>
          <w:szCs w:val="24"/>
          <w:lang w:val="el-GR"/>
        </w:rPr>
        <w:t>ρόλο</w:t>
      </w:r>
      <w:r w:rsidR="00A5147D" w:rsidRPr="00E23BF3">
        <w:rPr>
          <w:rFonts w:ascii="Calibri" w:eastAsia="Calibri" w:hAnsi="Calibri" w:cs="Calibri"/>
          <w:sz w:val="24"/>
          <w:szCs w:val="24"/>
          <w:lang w:val="el-GR"/>
        </w:rPr>
        <w:t xml:space="preserve"> </w:t>
      </w:r>
      <w:r>
        <w:rPr>
          <w:rFonts w:ascii="Calibri" w:eastAsia="Calibri" w:hAnsi="Calibri" w:cs="Calibri"/>
          <w:sz w:val="24"/>
          <w:szCs w:val="24"/>
          <w:lang w:val="el-GR"/>
        </w:rPr>
        <w:t>σχετικά με τις επαφές των δημοσίων λειτουργών</w:t>
      </w:r>
      <w:r w:rsidR="00A5147D" w:rsidRPr="00E23BF3">
        <w:rPr>
          <w:rFonts w:ascii="Calibri" w:eastAsia="Calibri" w:hAnsi="Calibri" w:cs="Calibri"/>
          <w:sz w:val="24"/>
          <w:szCs w:val="24"/>
          <w:lang w:val="el-GR"/>
        </w:rPr>
        <w:t xml:space="preserve"> </w:t>
      </w:r>
      <w:r>
        <w:rPr>
          <w:rFonts w:ascii="Calibri" w:eastAsia="Calibri" w:hAnsi="Calibri" w:cs="Calibri"/>
          <w:sz w:val="24"/>
          <w:szCs w:val="24"/>
          <w:lang w:val="el-GR"/>
        </w:rPr>
        <w:t>με αντιπροσώπους</w:t>
      </w:r>
      <w:r w:rsidR="00A5147D" w:rsidRPr="00E23BF3">
        <w:rPr>
          <w:rFonts w:ascii="Calibri" w:eastAsia="Calibri" w:hAnsi="Calibri" w:cs="Calibri"/>
          <w:sz w:val="24"/>
          <w:szCs w:val="24"/>
          <w:lang w:val="el-GR"/>
        </w:rPr>
        <w:t xml:space="preserve"> </w:t>
      </w:r>
      <w:r>
        <w:rPr>
          <w:rFonts w:ascii="Calibri" w:eastAsia="Calibri" w:hAnsi="Calibri" w:cs="Calibri"/>
          <w:sz w:val="24"/>
          <w:szCs w:val="24"/>
          <w:lang w:val="el-GR"/>
        </w:rPr>
        <w:t>ομάδων</w:t>
      </w:r>
      <w:r w:rsidR="00A5147D" w:rsidRPr="00E23BF3">
        <w:rPr>
          <w:rFonts w:ascii="Calibri" w:eastAsia="Calibri" w:hAnsi="Calibri" w:cs="Calibri"/>
          <w:sz w:val="24"/>
          <w:szCs w:val="24"/>
          <w:lang w:val="el-GR"/>
        </w:rPr>
        <w:t xml:space="preserve"> </w:t>
      </w:r>
      <w:r>
        <w:rPr>
          <w:rFonts w:ascii="Calibri" w:eastAsia="Calibri" w:hAnsi="Calibri" w:cs="Calibri"/>
          <w:sz w:val="24"/>
          <w:szCs w:val="24"/>
          <w:lang w:val="el-GR"/>
        </w:rPr>
        <w:t>συγκεκριμένου συμφέροντος</w:t>
      </w:r>
      <w:r w:rsidR="00A5147D" w:rsidRPr="00E23BF3">
        <w:rPr>
          <w:rFonts w:ascii="Calibri" w:eastAsia="Calibri" w:hAnsi="Calibri" w:cs="Calibri"/>
          <w:sz w:val="24"/>
          <w:szCs w:val="24"/>
          <w:lang w:val="el-GR"/>
        </w:rPr>
        <w:t xml:space="preserve">. </w:t>
      </w:r>
      <w:r w:rsidR="00C93DC5">
        <w:rPr>
          <w:rFonts w:ascii="Calibri" w:eastAsia="Calibri" w:hAnsi="Calibri" w:cs="Calibri"/>
          <w:sz w:val="24"/>
          <w:szCs w:val="24"/>
          <w:lang w:val="el-GR"/>
        </w:rPr>
        <w:t>Οι κ</w:t>
      </w:r>
      <w:r>
        <w:rPr>
          <w:rFonts w:ascii="Calibri" w:eastAsia="Calibri" w:hAnsi="Calibri" w:cs="Calibri"/>
          <w:sz w:val="24"/>
          <w:szCs w:val="24"/>
          <w:lang w:val="el-GR"/>
        </w:rPr>
        <w:t>υρώσεις</w:t>
      </w:r>
      <w:r w:rsidRPr="00E23BF3">
        <w:rPr>
          <w:rFonts w:ascii="Calibri" w:eastAsia="Calibri" w:hAnsi="Calibri" w:cs="Calibri"/>
          <w:sz w:val="24"/>
          <w:szCs w:val="24"/>
          <w:lang w:val="el-GR"/>
        </w:rPr>
        <w:t xml:space="preserve"> </w:t>
      </w:r>
      <w:r>
        <w:rPr>
          <w:rFonts w:ascii="Calibri" w:eastAsia="Calibri" w:hAnsi="Calibri" w:cs="Calibri"/>
          <w:sz w:val="24"/>
          <w:szCs w:val="24"/>
          <w:lang w:val="el-GR"/>
        </w:rPr>
        <w:t>για</w:t>
      </w:r>
      <w:r w:rsidRPr="00E23BF3">
        <w:rPr>
          <w:rFonts w:ascii="Calibri" w:eastAsia="Calibri" w:hAnsi="Calibri" w:cs="Calibri"/>
          <w:sz w:val="24"/>
          <w:szCs w:val="24"/>
          <w:lang w:val="el-GR"/>
        </w:rPr>
        <w:t xml:space="preserve"> </w:t>
      </w:r>
      <w:r>
        <w:rPr>
          <w:rFonts w:ascii="Calibri" w:eastAsia="Calibri" w:hAnsi="Calibri" w:cs="Calibri"/>
          <w:sz w:val="24"/>
          <w:szCs w:val="24"/>
          <w:lang w:val="el-GR"/>
        </w:rPr>
        <w:t>παραβάσεις</w:t>
      </w:r>
      <w:r w:rsidRPr="00E23BF3">
        <w:rPr>
          <w:rFonts w:ascii="Calibri" w:eastAsia="Calibri" w:hAnsi="Calibri" w:cs="Calibri"/>
          <w:sz w:val="24"/>
          <w:szCs w:val="24"/>
          <w:lang w:val="el-GR"/>
        </w:rPr>
        <w:t xml:space="preserve"> </w:t>
      </w:r>
      <w:r>
        <w:rPr>
          <w:rFonts w:ascii="Calibri" w:eastAsia="Calibri" w:hAnsi="Calibri" w:cs="Calibri"/>
          <w:sz w:val="24"/>
          <w:szCs w:val="24"/>
          <w:lang w:val="el-GR"/>
        </w:rPr>
        <w:t>του</w:t>
      </w:r>
      <w:r w:rsidRPr="00E23BF3">
        <w:rPr>
          <w:rFonts w:ascii="Calibri" w:eastAsia="Calibri" w:hAnsi="Calibri" w:cs="Calibri"/>
          <w:sz w:val="24"/>
          <w:szCs w:val="24"/>
          <w:lang w:val="el-GR"/>
        </w:rPr>
        <w:t xml:space="preserve"> </w:t>
      </w:r>
      <w:r>
        <w:rPr>
          <w:rFonts w:ascii="Calibri" w:eastAsia="Calibri" w:hAnsi="Calibri" w:cs="Calibri"/>
          <w:sz w:val="24"/>
          <w:szCs w:val="24"/>
          <w:lang w:val="el-GR"/>
        </w:rPr>
        <w:t>προαναφερθέντ</w:t>
      </w:r>
      <w:r w:rsidR="00C93DC5">
        <w:rPr>
          <w:rFonts w:ascii="Calibri" w:eastAsia="Calibri" w:hAnsi="Calibri" w:cs="Calibri"/>
          <w:sz w:val="24"/>
          <w:szCs w:val="24"/>
          <w:lang w:val="el-GR"/>
        </w:rPr>
        <w:t>ος</w:t>
      </w:r>
      <w:r w:rsidRPr="00E23BF3">
        <w:rPr>
          <w:rFonts w:ascii="Calibri" w:eastAsia="Calibri" w:hAnsi="Calibri" w:cs="Calibri"/>
          <w:sz w:val="24"/>
          <w:szCs w:val="24"/>
          <w:lang w:val="el-GR"/>
        </w:rPr>
        <w:t xml:space="preserve"> </w:t>
      </w:r>
      <w:r>
        <w:rPr>
          <w:rFonts w:ascii="Calibri" w:eastAsia="Calibri" w:hAnsi="Calibri" w:cs="Calibri"/>
          <w:sz w:val="24"/>
          <w:szCs w:val="24"/>
          <w:lang w:val="el-GR"/>
        </w:rPr>
        <w:t>Νόμου</w:t>
      </w:r>
      <w:r w:rsidRPr="00E23BF3">
        <w:rPr>
          <w:rFonts w:ascii="Calibri" w:eastAsia="Calibri" w:hAnsi="Calibri" w:cs="Calibri"/>
          <w:sz w:val="24"/>
          <w:szCs w:val="24"/>
          <w:lang w:val="el-GR"/>
        </w:rPr>
        <w:t xml:space="preserve"> </w:t>
      </w:r>
      <w:r>
        <w:rPr>
          <w:rFonts w:ascii="Calibri" w:eastAsia="Calibri" w:hAnsi="Calibri" w:cs="Calibri"/>
          <w:sz w:val="24"/>
          <w:szCs w:val="24"/>
          <w:lang w:val="el-GR"/>
        </w:rPr>
        <w:t>αποτελούν</w:t>
      </w:r>
      <w:r w:rsidR="00C93DC5">
        <w:rPr>
          <w:rFonts w:ascii="Calibri" w:eastAsia="Calibri" w:hAnsi="Calibri" w:cs="Calibri"/>
          <w:sz w:val="24"/>
          <w:szCs w:val="24"/>
          <w:lang w:val="el-GR"/>
        </w:rPr>
        <w:t>ται από</w:t>
      </w:r>
      <w:r w:rsidRPr="00E23BF3">
        <w:rPr>
          <w:rFonts w:ascii="Calibri" w:eastAsia="Calibri" w:hAnsi="Calibri" w:cs="Calibri"/>
          <w:sz w:val="24"/>
          <w:szCs w:val="24"/>
          <w:lang w:val="el-GR"/>
        </w:rPr>
        <w:t xml:space="preserve"> </w:t>
      </w:r>
      <w:r>
        <w:rPr>
          <w:rFonts w:ascii="Calibri" w:eastAsia="Calibri" w:hAnsi="Calibri" w:cs="Calibri"/>
          <w:sz w:val="24"/>
          <w:szCs w:val="24"/>
          <w:lang w:val="el-GR"/>
        </w:rPr>
        <w:t>διοικητικά</w:t>
      </w:r>
      <w:r w:rsidRPr="00E23BF3">
        <w:rPr>
          <w:rFonts w:ascii="Calibri" w:eastAsia="Calibri" w:hAnsi="Calibri" w:cs="Calibri"/>
          <w:sz w:val="24"/>
          <w:szCs w:val="24"/>
          <w:lang w:val="el-GR"/>
        </w:rPr>
        <w:t xml:space="preserve"> </w:t>
      </w:r>
      <w:r>
        <w:rPr>
          <w:rFonts w:ascii="Calibri" w:eastAsia="Calibri" w:hAnsi="Calibri" w:cs="Calibri"/>
          <w:sz w:val="24"/>
          <w:szCs w:val="24"/>
          <w:lang w:val="el-GR"/>
        </w:rPr>
        <w:t>πρόστιμα</w:t>
      </w:r>
      <w:r w:rsidR="00A5147D" w:rsidRPr="00E23BF3">
        <w:rPr>
          <w:rFonts w:ascii="Calibri" w:eastAsia="Calibri" w:hAnsi="Calibri" w:cs="Calibri"/>
          <w:sz w:val="24"/>
          <w:szCs w:val="24"/>
          <w:lang w:val="el-GR"/>
        </w:rPr>
        <w:t xml:space="preserve"> (</w:t>
      </w:r>
      <w:r>
        <w:rPr>
          <w:rFonts w:ascii="Calibri" w:eastAsia="Calibri" w:hAnsi="Calibri" w:cs="Calibri"/>
          <w:sz w:val="24"/>
          <w:szCs w:val="24"/>
          <w:lang w:val="el-GR"/>
        </w:rPr>
        <w:t>μέχρι</w:t>
      </w:r>
      <w:r w:rsidR="00A5147D" w:rsidRPr="00E23BF3">
        <w:rPr>
          <w:rFonts w:ascii="Calibri" w:eastAsia="Calibri" w:hAnsi="Calibri" w:cs="Calibri"/>
          <w:sz w:val="24"/>
          <w:szCs w:val="24"/>
          <w:lang w:val="el-GR"/>
        </w:rPr>
        <w:t xml:space="preserve"> </w:t>
      </w:r>
      <w:r w:rsidR="00A5147D" w:rsidRPr="00E23BF3">
        <w:rPr>
          <w:rFonts w:cstheme="minorHAnsi"/>
          <w:sz w:val="24"/>
          <w:szCs w:val="24"/>
          <w:lang w:val="el-GR"/>
        </w:rPr>
        <w:t>€</w:t>
      </w:r>
      <w:r w:rsidR="00A5147D" w:rsidRPr="00E23BF3">
        <w:rPr>
          <w:rFonts w:ascii="Calibri" w:eastAsia="Calibri" w:hAnsi="Calibri" w:cs="Calibri"/>
          <w:sz w:val="24"/>
          <w:szCs w:val="24"/>
          <w:lang w:val="el-GR"/>
        </w:rPr>
        <w:t xml:space="preserve">100 000), </w:t>
      </w:r>
      <w:r>
        <w:rPr>
          <w:rFonts w:ascii="Calibri" w:eastAsia="Calibri" w:hAnsi="Calibri" w:cs="Calibri"/>
          <w:sz w:val="24"/>
          <w:szCs w:val="24"/>
          <w:lang w:val="el-GR"/>
        </w:rPr>
        <w:t xml:space="preserve">αναστολή και ανάκληση της εγγραφής στο μητρώο </w:t>
      </w:r>
      <w:proofErr w:type="spellStart"/>
      <w:r>
        <w:rPr>
          <w:rFonts w:ascii="Calibri" w:eastAsia="Calibri" w:hAnsi="Calibri" w:cs="Calibri"/>
          <w:sz w:val="24"/>
          <w:szCs w:val="24"/>
          <w:lang w:val="el-GR"/>
        </w:rPr>
        <w:t>λομπιστών</w:t>
      </w:r>
      <w:proofErr w:type="spellEnd"/>
      <w:r w:rsidR="00A5147D" w:rsidRPr="00E23BF3">
        <w:rPr>
          <w:rFonts w:ascii="Calibri" w:eastAsia="Calibri" w:hAnsi="Calibri" w:cs="Calibri"/>
          <w:sz w:val="24"/>
          <w:szCs w:val="24"/>
          <w:lang w:val="el-GR"/>
        </w:rPr>
        <w:t xml:space="preserve">. </w:t>
      </w:r>
    </w:p>
    <w:p w14:paraId="40C380A3" w14:textId="77777777" w:rsidR="00A5147D" w:rsidRPr="00E23BF3" w:rsidRDefault="00A5147D" w:rsidP="00A5147D">
      <w:pPr>
        <w:pStyle w:val="ListParagraph"/>
        <w:rPr>
          <w:rFonts w:eastAsia="Calibri" w:cstheme="minorHAnsi"/>
          <w:b/>
          <w:bCs/>
          <w:sz w:val="24"/>
          <w:szCs w:val="24"/>
          <w:u w:color="000000"/>
          <w:bdr w:val="nil"/>
          <w:lang w:val="el-GR"/>
        </w:rPr>
      </w:pPr>
    </w:p>
    <w:p w14:paraId="272ABF57" w14:textId="73A7E726" w:rsidR="00A5147D" w:rsidRPr="00E23BF3" w:rsidRDefault="00E23BF3" w:rsidP="00A5147D">
      <w:pPr>
        <w:keepNext/>
        <w:pBdr>
          <w:top w:val="nil"/>
          <w:left w:val="nil"/>
          <w:bottom w:val="nil"/>
          <w:right w:val="nil"/>
          <w:between w:val="nil"/>
          <w:bar w:val="nil"/>
        </w:pBdr>
        <w:tabs>
          <w:tab w:val="left" w:pos="567"/>
        </w:tabs>
        <w:rPr>
          <w:rFonts w:eastAsia="Calibri" w:cstheme="minorHAnsi"/>
          <w:i/>
          <w:iCs/>
          <w:sz w:val="24"/>
          <w:szCs w:val="24"/>
          <w:u w:val="single"/>
          <w:bdr w:val="nil"/>
          <w:lang w:val="el-GR"/>
        </w:rPr>
      </w:pPr>
      <w:r>
        <w:rPr>
          <w:rFonts w:eastAsia="Calibri" w:cstheme="minorHAnsi"/>
          <w:i/>
          <w:iCs/>
          <w:sz w:val="24"/>
          <w:szCs w:val="24"/>
          <w:u w:val="single"/>
          <w:bdr w:val="nil"/>
          <w:lang w:val="el-GR"/>
        </w:rPr>
        <w:t>Επιτροπή</w:t>
      </w:r>
      <w:r w:rsidRPr="00E23BF3">
        <w:rPr>
          <w:rFonts w:eastAsia="Calibri" w:cstheme="minorHAnsi"/>
          <w:i/>
          <w:iCs/>
          <w:sz w:val="24"/>
          <w:szCs w:val="24"/>
          <w:u w:val="single"/>
          <w:bdr w:val="nil"/>
          <w:lang w:val="el-GR"/>
        </w:rPr>
        <w:t xml:space="preserve"> </w:t>
      </w:r>
      <w:r>
        <w:rPr>
          <w:rFonts w:eastAsia="Calibri" w:cstheme="minorHAnsi"/>
          <w:i/>
          <w:iCs/>
          <w:sz w:val="24"/>
          <w:szCs w:val="24"/>
          <w:u w:val="single"/>
          <w:bdr w:val="nil"/>
          <w:lang w:val="el-GR"/>
        </w:rPr>
        <w:t>για</w:t>
      </w:r>
      <w:r w:rsidRPr="00E23BF3">
        <w:rPr>
          <w:rFonts w:eastAsia="Calibri" w:cstheme="minorHAnsi"/>
          <w:i/>
          <w:iCs/>
          <w:sz w:val="24"/>
          <w:szCs w:val="24"/>
          <w:u w:val="single"/>
          <w:bdr w:val="nil"/>
          <w:lang w:val="el-GR"/>
        </w:rPr>
        <w:t xml:space="preserve"> </w:t>
      </w:r>
      <w:r>
        <w:rPr>
          <w:rFonts w:eastAsia="Calibri" w:cstheme="minorHAnsi"/>
          <w:i/>
          <w:iCs/>
          <w:sz w:val="24"/>
          <w:szCs w:val="24"/>
          <w:u w:val="single"/>
          <w:bdr w:val="nil"/>
          <w:lang w:val="el-GR"/>
        </w:rPr>
        <w:t>την</w:t>
      </w:r>
      <w:r w:rsidRPr="00E23BF3">
        <w:rPr>
          <w:rFonts w:eastAsia="Calibri" w:cstheme="minorHAnsi"/>
          <w:i/>
          <w:iCs/>
          <w:sz w:val="24"/>
          <w:szCs w:val="24"/>
          <w:u w:val="single"/>
          <w:bdr w:val="nil"/>
          <w:lang w:val="el-GR"/>
        </w:rPr>
        <w:t xml:space="preserve"> </w:t>
      </w:r>
      <w:r>
        <w:rPr>
          <w:rFonts w:eastAsia="Calibri" w:cstheme="minorHAnsi"/>
          <w:i/>
          <w:iCs/>
          <w:sz w:val="24"/>
          <w:szCs w:val="24"/>
          <w:u w:val="single"/>
          <w:bdr w:val="nil"/>
          <w:lang w:val="el-GR"/>
        </w:rPr>
        <w:t>Διερεύνηση</w:t>
      </w:r>
      <w:r w:rsidRPr="00E23BF3">
        <w:rPr>
          <w:rFonts w:eastAsia="Calibri" w:cstheme="minorHAnsi"/>
          <w:i/>
          <w:iCs/>
          <w:sz w:val="24"/>
          <w:szCs w:val="24"/>
          <w:u w:val="single"/>
          <w:bdr w:val="nil"/>
          <w:lang w:val="el-GR"/>
        </w:rPr>
        <w:t xml:space="preserve"> </w:t>
      </w:r>
      <w:r w:rsidR="00C93DC5">
        <w:rPr>
          <w:rFonts w:eastAsia="Calibri" w:cstheme="minorHAnsi"/>
          <w:i/>
          <w:iCs/>
          <w:sz w:val="24"/>
          <w:szCs w:val="24"/>
          <w:u w:val="single"/>
          <w:bdr w:val="nil"/>
          <w:lang w:val="el-GR"/>
        </w:rPr>
        <w:t>του Ασυμβίβαστου</w:t>
      </w:r>
    </w:p>
    <w:p w14:paraId="2DFB2314" w14:textId="77777777" w:rsidR="00A5147D" w:rsidRPr="00E23BF3" w:rsidRDefault="00A5147D" w:rsidP="00A5147D">
      <w:pPr>
        <w:keepNext/>
        <w:pBdr>
          <w:top w:val="nil"/>
          <w:left w:val="nil"/>
          <w:bottom w:val="nil"/>
          <w:right w:val="nil"/>
          <w:between w:val="nil"/>
          <w:bar w:val="nil"/>
        </w:pBdr>
        <w:tabs>
          <w:tab w:val="left" w:pos="709"/>
        </w:tabs>
        <w:rPr>
          <w:rFonts w:eastAsia="Calibri" w:cstheme="minorHAnsi"/>
          <w:sz w:val="24"/>
          <w:szCs w:val="24"/>
          <w:u w:color="000000"/>
          <w:bdr w:val="nil"/>
          <w:lang w:val="el-GR"/>
        </w:rPr>
      </w:pPr>
    </w:p>
    <w:p w14:paraId="167D9221" w14:textId="7CF7D229" w:rsidR="00A5147D" w:rsidRPr="006756E8" w:rsidRDefault="00C93DC5" w:rsidP="00A5147D">
      <w:pPr>
        <w:keepNext/>
        <w:numPr>
          <w:ilvl w:val="0"/>
          <w:numId w:val="1"/>
        </w:numPr>
        <w:pBdr>
          <w:top w:val="nil"/>
          <w:left w:val="nil"/>
          <w:bottom w:val="nil"/>
          <w:right w:val="nil"/>
          <w:between w:val="nil"/>
          <w:bar w:val="nil"/>
        </w:pBdr>
        <w:tabs>
          <w:tab w:val="clear" w:pos="6095"/>
          <w:tab w:val="left" w:pos="709"/>
        </w:tabs>
        <w:ind w:left="0" w:firstLine="0"/>
        <w:rPr>
          <w:rFonts w:eastAsia="Calibri" w:cstheme="minorHAnsi"/>
          <w:color w:val="FF0000"/>
          <w:sz w:val="24"/>
          <w:szCs w:val="24"/>
          <w:u w:color="000000"/>
          <w:bdr w:val="nil"/>
          <w:lang w:val="el-GR"/>
        </w:rPr>
      </w:pPr>
      <w:r>
        <w:rPr>
          <w:rFonts w:eastAsia="Calibri" w:cstheme="minorHAnsi"/>
          <w:sz w:val="24"/>
          <w:szCs w:val="24"/>
          <w:u w:color="000000"/>
          <w:bdr w:val="nil"/>
          <w:lang w:val="el-GR"/>
        </w:rPr>
        <w:t xml:space="preserve">Στο πλαίσιο του </w:t>
      </w:r>
      <w:r w:rsidR="00E23BF3">
        <w:rPr>
          <w:rFonts w:eastAsia="Calibri" w:cstheme="minorHAnsi"/>
          <w:sz w:val="24"/>
          <w:szCs w:val="24"/>
          <w:u w:color="000000"/>
          <w:bdr w:val="nil"/>
          <w:lang w:val="el-GR"/>
        </w:rPr>
        <w:t>Νόμο</w:t>
      </w:r>
      <w:r>
        <w:rPr>
          <w:rFonts w:eastAsia="Calibri" w:cstheme="minorHAnsi"/>
          <w:sz w:val="24"/>
          <w:szCs w:val="24"/>
          <w:u w:color="000000"/>
          <w:bdr w:val="nil"/>
          <w:lang w:val="el-GR"/>
        </w:rPr>
        <w:t>υ</w:t>
      </w:r>
      <w:r w:rsidR="00E23BF3" w:rsidRPr="006756E8">
        <w:rPr>
          <w:rFonts w:eastAsia="Calibri" w:cstheme="minorHAnsi"/>
          <w:sz w:val="24"/>
          <w:szCs w:val="24"/>
          <w:u w:color="000000"/>
          <w:bdr w:val="nil"/>
          <w:lang w:val="el-GR"/>
        </w:rPr>
        <w:t xml:space="preserve"> </w:t>
      </w:r>
      <w:r w:rsidR="00E23BF3">
        <w:rPr>
          <w:rFonts w:eastAsia="Calibri" w:cstheme="minorHAnsi"/>
          <w:sz w:val="24"/>
          <w:szCs w:val="24"/>
          <w:u w:color="000000"/>
          <w:bdr w:val="nil"/>
          <w:lang w:val="el-GR"/>
        </w:rPr>
        <w:t>περί</w:t>
      </w:r>
      <w:r w:rsidR="00E23BF3" w:rsidRPr="006756E8">
        <w:rPr>
          <w:rFonts w:eastAsia="Calibri" w:cstheme="minorHAnsi"/>
          <w:sz w:val="24"/>
          <w:szCs w:val="24"/>
          <w:u w:color="000000"/>
          <w:bdr w:val="nil"/>
          <w:lang w:val="el-GR"/>
        </w:rPr>
        <w:t xml:space="preserve"> </w:t>
      </w:r>
      <w:r>
        <w:rPr>
          <w:rFonts w:ascii="Calibri" w:eastAsia="Times New Roman" w:hAnsi="Calibri" w:cs="Calibri"/>
          <w:sz w:val="24"/>
          <w:szCs w:val="20"/>
          <w:lang w:val="el-GR"/>
        </w:rPr>
        <w:t>Ασυμβίβαστου προς την ‘</w:t>
      </w:r>
      <w:proofErr w:type="spellStart"/>
      <w:r>
        <w:rPr>
          <w:rFonts w:ascii="Calibri" w:eastAsia="Times New Roman" w:hAnsi="Calibri" w:cs="Calibri"/>
          <w:sz w:val="24"/>
          <w:szCs w:val="20"/>
          <w:lang w:val="el-GR"/>
        </w:rPr>
        <w:t>Ασκηση</w:t>
      </w:r>
      <w:proofErr w:type="spellEnd"/>
      <w:r>
        <w:rPr>
          <w:rFonts w:ascii="Calibri" w:eastAsia="Times New Roman" w:hAnsi="Calibri" w:cs="Calibri"/>
          <w:sz w:val="24"/>
          <w:szCs w:val="20"/>
          <w:lang w:val="el-GR"/>
        </w:rPr>
        <w:t xml:space="preserve"> των</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Καθηκόντων</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Ορισμένων</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Αξιωματούχων</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της</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Δημοκρατίας</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Ορισμένων Επαγγελματικών και</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Άλλων</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Συναφών</w:t>
      </w:r>
      <w:r w:rsidRPr="00F24205">
        <w:rPr>
          <w:rFonts w:ascii="Calibri" w:eastAsia="Times New Roman" w:hAnsi="Calibri" w:cs="Calibri"/>
          <w:sz w:val="24"/>
          <w:szCs w:val="20"/>
          <w:lang w:val="el-GR"/>
        </w:rPr>
        <w:t xml:space="preserve"> </w:t>
      </w:r>
      <w:r>
        <w:rPr>
          <w:rFonts w:ascii="Calibri" w:eastAsia="Times New Roman" w:hAnsi="Calibri" w:cs="Calibri"/>
          <w:sz w:val="24"/>
          <w:szCs w:val="20"/>
          <w:lang w:val="el-GR"/>
        </w:rPr>
        <w:t xml:space="preserve">Δραστηριοτήτων </w:t>
      </w:r>
      <w:r w:rsidR="00A5147D" w:rsidRPr="006756E8">
        <w:rPr>
          <w:rFonts w:eastAsia="Calibri" w:cstheme="minorHAnsi"/>
          <w:sz w:val="24"/>
          <w:szCs w:val="24"/>
          <w:u w:color="000000"/>
          <w:bdr w:val="nil"/>
          <w:lang w:val="el-GR"/>
        </w:rPr>
        <w:t>(</w:t>
      </w:r>
      <w:r w:rsidR="00E23BF3">
        <w:rPr>
          <w:rFonts w:eastAsia="Calibri" w:cstheme="minorHAnsi"/>
          <w:sz w:val="24"/>
          <w:szCs w:val="24"/>
          <w:u w:color="000000"/>
          <w:bdr w:val="nil"/>
          <w:lang w:val="el-GR"/>
        </w:rPr>
        <w:t>Νόμος</w:t>
      </w:r>
      <w:r w:rsidR="00A5147D" w:rsidRPr="006756E8">
        <w:rPr>
          <w:rFonts w:eastAsia="Calibri" w:cstheme="minorHAnsi"/>
          <w:sz w:val="24"/>
          <w:szCs w:val="24"/>
          <w:u w:color="000000"/>
          <w:bdr w:val="nil"/>
          <w:lang w:val="el-GR"/>
        </w:rPr>
        <w:t xml:space="preserve"> </w:t>
      </w:r>
      <w:r w:rsidR="00587975" w:rsidRPr="006756E8">
        <w:rPr>
          <w:rFonts w:eastAsia="Calibri" w:cstheme="minorHAnsi"/>
          <w:sz w:val="24"/>
          <w:szCs w:val="24"/>
          <w:u w:color="000000"/>
          <w:bdr w:val="nil"/>
          <w:lang w:val="el-GR"/>
        </w:rPr>
        <w:t>7</w:t>
      </w:r>
      <w:r w:rsidR="00A5147D" w:rsidRPr="006756E8">
        <w:rPr>
          <w:rFonts w:eastAsia="Calibri" w:cstheme="minorHAnsi"/>
          <w:sz w:val="24"/>
          <w:szCs w:val="24"/>
          <w:u w:color="000000"/>
          <w:bdr w:val="nil"/>
          <w:lang w:val="el-GR"/>
        </w:rPr>
        <w:t>(</w:t>
      </w:r>
      <w:r w:rsidR="00A5147D" w:rsidRPr="004E251E">
        <w:rPr>
          <w:rFonts w:eastAsia="Calibri" w:cstheme="minorHAnsi"/>
          <w:sz w:val="24"/>
          <w:szCs w:val="24"/>
          <w:u w:color="000000"/>
          <w:bdr w:val="nil"/>
        </w:rPr>
        <w:t>I</w:t>
      </w:r>
      <w:r w:rsidR="00A5147D" w:rsidRPr="006756E8">
        <w:rPr>
          <w:rFonts w:eastAsia="Calibri" w:cstheme="minorHAnsi"/>
          <w:sz w:val="24"/>
          <w:szCs w:val="24"/>
          <w:u w:color="000000"/>
          <w:bdr w:val="nil"/>
          <w:lang w:val="el-GR"/>
        </w:rPr>
        <w:t xml:space="preserve">)/2008) </w:t>
      </w:r>
      <w:r>
        <w:rPr>
          <w:rFonts w:eastAsia="Calibri" w:cstheme="minorHAnsi"/>
          <w:sz w:val="24"/>
          <w:szCs w:val="24"/>
          <w:u w:color="000000"/>
          <w:bdr w:val="nil"/>
          <w:lang w:val="el-GR"/>
        </w:rPr>
        <w:t xml:space="preserve">καθιδρύεται </w:t>
      </w:r>
      <w:r w:rsidR="006756E8">
        <w:rPr>
          <w:rFonts w:eastAsia="Calibri" w:cstheme="minorHAnsi"/>
          <w:sz w:val="24"/>
          <w:szCs w:val="24"/>
          <w:u w:color="000000"/>
          <w:bdr w:val="nil"/>
          <w:lang w:val="el-GR"/>
        </w:rPr>
        <w:t>Επιτροπή</w:t>
      </w:r>
      <w:r w:rsidR="006756E8" w:rsidRPr="006756E8">
        <w:rPr>
          <w:rFonts w:eastAsia="Calibri" w:cstheme="minorHAnsi"/>
          <w:sz w:val="24"/>
          <w:szCs w:val="24"/>
          <w:u w:color="000000"/>
          <w:bdr w:val="nil"/>
          <w:lang w:val="el-GR"/>
        </w:rPr>
        <w:t xml:space="preserve"> </w:t>
      </w:r>
      <w:r w:rsidR="006756E8">
        <w:rPr>
          <w:rFonts w:eastAsia="Calibri" w:cstheme="minorHAnsi"/>
          <w:sz w:val="24"/>
          <w:szCs w:val="24"/>
          <w:u w:color="000000"/>
          <w:bdr w:val="nil"/>
          <w:lang w:val="el-GR"/>
        </w:rPr>
        <w:t>Διερεύνηση</w:t>
      </w:r>
      <w:r>
        <w:rPr>
          <w:rFonts w:eastAsia="Calibri" w:cstheme="minorHAnsi"/>
          <w:sz w:val="24"/>
          <w:szCs w:val="24"/>
          <w:u w:color="000000"/>
          <w:bdr w:val="nil"/>
          <w:lang w:val="el-GR"/>
        </w:rPr>
        <w:t>ς</w:t>
      </w:r>
      <w:r w:rsidR="006756E8" w:rsidRPr="006756E8">
        <w:rPr>
          <w:rFonts w:eastAsia="Calibri" w:cstheme="minorHAnsi"/>
          <w:sz w:val="24"/>
          <w:szCs w:val="24"/>
          <w:u w:color="000000"/>
          <w:bdr w:val="nil"/>
          <w:lang w:val="el-GR"/>
        </w:rPr>
        <w:t xml:space="preserve"> </w:t>
      </w:r>
      <w:r w:rsidR="006756E8" w:rsidRPr="002B7C4B">
        <w:rPr>
          <w:rFonts w:ascii="Calibri" w:eastAsia="Times New Roman" w:hAnsi="Calibri" w:cs="Calibri"/>
          <w:sz w:val="24"/>
          <w:szCs w:val="20"/>
          <w:lang w:val="el-GR"/>
        </w:rPr>
        <w:t>Ασ</w:t>
      </w:r>
      <w:r w:rsidRPr="002B7C4B">
        <w:rPr>
          <w:rFonts w:ascii="Calibri" w:eastAsia="Times New Roman" w:hAnsi="Calibri" w:cs="Calibri"/>
          <w:sz w:val="24"/>
          <w:szCs w:val="20"/>
          <w:lang w:val="el-GR"/>
        </w:rPr>
        <w:t>υμβίβαστου η οποία</w:t>
      </w:r>
      <w:r w:rsidRPr="002B7C4B">
        <w:rPr>
          <w:rFonts w:ascii="Verdana" w:hAnsi="Verdana"/>
          <w:color w:val="000000"/>
          <w:sz w:val="23"/>
          <w:szCs w:val="23"/>
          <w:lang w:val="el-GR"/>
        </w:rPr>
        <w:t xml:space="preserve"> </w:t>
      </w:r>
      <w:r w:rsidRPr="002B7C4B">
        <w:rPr>
          <w:rFonts w:ascii="Calibri" w:eastAsia="Times New Roman" w:hAnsi="Calibri" w:cs="Calibri"/>
          <w:sz w:val="24"/>
          <w:szCs w:val="20"/>
          <w:lang w:val="el-GR"/>
        </w:rPr>
        <w:t>αποτελείται από ένα συνταξιούχο δικαστή, ο οποίος ενεργεί ως πρόεδρος της Επιτροπής, το Γενικό Λογιστή της Δημοκρατίας, από ένα Εισαγγελέα της Δημοκρατίας του Γραφείου του Γενικού Εισαγγελέα της Δημοκρατίας και από το Γενικό Διευθυντή της Βουλής των Αντιπροσώπων που θα ενεργούν ως μέλη και θα διορίζονται</w:t>
      </w:r>
      <w:r>
        <w:rPr>
          <w:rFonts w:ascii="Calibri" w:eastAsia="Times New Roman" w:hAnsi="Calibri" w:cs="Calibri"/>
          <w:sz w:val="24"/>
          <w:szCs w:val="20"/>
          <w:lang w:val="el-GR"/>
        </w:rPr>
        <w:t xml:space="preserve"> όλοι</w:t>
      </w:r>
      <w:r w:rsidRPr="002B7C4B">
        <w:rPr>
          <w:rFonts w:ascii="Calibri" w:eastAsia="Times New Roman" w:hAnsi="Calibri" w:cs="Calibri"/>
          <w:sz w:val="24"/>
          <w:szCs w:val="20"/>
          <w:lang w:val="el-GR"/>
        </w:rPr>
        <w:t xml:space="preserve"> από το Υπουργικό Συμβούλιο. </w:t>
      </w:r>
    </w:p>
    <w:p w14:paraId="6A5BC9FD" w14:textId="77777777" w:rsidR="00A5147D" w:rsidRPr="006756E8" w:rsidRDefault="00A5147D" w:rsidP="00A5147D">
      <w:pPr>
        <w:pBdr>
          <w:top w:val="nil"/>
          <w:left w:val="nil"/>
          <w:bottom w:val="nil"/>
          <w:right w:val="nil"/>
          <w:between w:val="nil"/>
          <w:bar w:val="nil"/>
        </w:pBdr>
        <w:tabs>
          <w:tab w:val="left" w:pos="709"/>
        </w:tabs>
        <w:rPr>
          <w:rFonts w:eastAsia="Calibri" w:cstheme="minorHAnsi"/>
          <w:color w:val="FF0000"/>
          <w:sz w:val="24"/>
          <w:szCs w:val="24"/>
          <w:u w:color="000000"/>
          <w:bdr w:val="nil"/>
          <w:lang w:val="el-GR"/>
        </w:rPr>
      </w:pPr>
    </w:p>
    <w:p w14:paraId="5E60CC1F" w14:textId="0B532A0C" w:rsidR="00A5147D" w:rsidRPr="00F82D83" w:rsidRDefault="006756E8" w:rsidP="00A5147D">
      <w:pPr>
        <w:numPr>
          <w:ilvl w:val="0"/>
          <w:numId w:val="1"/>
        </w:numPr>
        <w:pBdr>
          <w:top w:val="nil"/>
          <w:left w:val="nil"/>
          <w:bottom w:val="nil"/>
          <w:right w:val="nil"/>
          <w:between w:val="nil"/>
          <w:bar w:val="nil"/>
        </w:pBdr>
        <w:tabs>
          <w:tab w:val="clear" w:pos="6095"/>
          <w:tab w:val="left" w:pos="709"/>
        </w:tabs>
        <w:ind w:left="0" w:firstLine="0"/>
        <w:rPr>
          <w:rFonts w:eastAsia="Calibri" w:cstheme="minorHAnsi"/>
          <w:color w:val="FF0000"/>
          <w:sz w:val="24"/>
          <w:szCs w:val="24"/>
          <w:u w:color="000000"/>
          <w:bdr w:val="nil"/>
          <w:lang w:val="el-GR"/>
        </w:rPr>
      </w:pPr>
      <w:r>
        <w:rPr>
          <w:rFonts w:eastAsia="Calibri" w:cstheme="minorHAnsi"/>
          <w:sz w:val="24"/>
          <w:szCs w:val="24"/>
          <w:u w:color="000000"/>
          <w:bdr w:val="nil"/>
          <w:lang w:val="el-GR"/>
        </w:rPr>
        <w:t>Αυτή</w:t>
      </w:r>
      <w:r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διερευνά</w:t>
      </w:r>
      <w:r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είτε</w:t>
      </w:r>
      <w:r w:rsidR="00C93DC5">
        <w:rPr>
          <w:rFonts w:eastAsia="Calibri" w:cstheme="minorHAnsi"/>
          <w:sz w:val="24"/>
          <w:szCs w:val="24"/>
          <w:u w:color="000000"/>
          <w:bdr w:val="nil"/>
          <w:lang w:val="el-GR"/>
        </w:rPr>
        <w:t xml:space="preserve"> αυτεπάγγελτα</w:t>
      </w:r>
      <w:r w:rsidR="00A5147D"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κατόπιν</w:t>
      </w:r>
      <w:r w:rsidRPr="006756E8">
        <w:rPr>
          <w:rFonts w:eastAsia="Calibri" w:cstheme="minorHAnsi"/>
          <w:sz w:val="24"/>
          <w:szCs w:val="24"/>
          <w:u w:color="000000"/>
          <w:bdr w:val="nil"/>
          <w:lang w:val="el-GR"/>
        </w:rPr>
        <w:t xml:space="preserve"> </w:t>
      </w:r>
      <w:r w:rsidR="00C93DC5">
        <w:rPr>
          <w:rFonts w:eastAsia="Calibri" w:cstheme="minorHAnsi"/>
          <w:sz w:val="24"/>
          <w:szCs w:val="24"/>
          <w:u w:color="000000"/>
          <w:bdr w:val="nil"/>
          <w:lang w:val="el-GR"/>
        </w:rPr>
        <w:t xml:space="preserve">καταγγελίας </w:t>
      </w:r>
      <w:r>
        <w:rPr>
          <w:rFonts w:eastAsia="Calibri" w:cstheme="minorHAnsi"/>
          <w:sz w:val="24"/>
          <w:szCs w:val="24"/>
          <w:u w:color="000000"/>
          <w:bdr w:val="nil"/>
          <w:lang w:val="el-GR"/>
        </w:rPr>
        <w:t>ή μετά από γραπτή αποκάλυψη του ατόμου που</w:t>
      </w:r>
      <w:r>
        <w:rPr>
          <w:rFonts w:eastAsia="Calibri" w:cstheme="minorHAnsi"/>
          <w:sz w:val="24"/>
          <w:szCs w:val="24"/>
          <w:u w:color="000000"/>
          <w:bdr w:val="nil"/>
          <w:lang w:val="hy-AM"/>
        </w:rPr>
        <w:t xml:space="preserve"> </w:t>
      </w:r>
      <w:r>
        <w:rPr>
          <w:rFonts w:eastAsia="Calibri" w:cstheme="minorHAnsi"/>
          <w:sz w:val="24"/>
          <w:szCs w:val="24"/>
          <w:u w:color="000000"/>
          <w:bdr w:val="nil"/>
          <w:lang w:val="el-GR"/>
        </w:rPr>
        <w:t>αναλαμβάνει</w:t>
      </w:r>
      <w:r w:rsidR="00C93DC5">
        <w:rPr>
          <w:rFonts w:eastAsia="Calibri" w:cstheme="minorHAnsi"/>
          <w:sz w:val="24"/>
          <w:szCs w:val="24"/>
          <w:u w:color="000000"/>
          <w:bdr w:val="nil"/>
          <w:lang w:val="el-GR"/>
        </w:rPr>
        <w:t xml:space="preserve"> αξίωμα</w:t>
      </w:r>
      <w:r w:rsidR="00A5147D"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Αν</w:t>
      </w:r>
      <w:r w:rsidRPr="006756E8">
        <w:rPr>
          <w:rFonts w:eastAsia="Calibri" w:cstheme="minorHAnsi"/>
          <w:sz w:val="24"/>
          <w:szCs w:val="24"/>
          <w:u w:color="000000"/>
          <w:bdr w:val="nil"/>
          <w:lang w:val="el-GR"/>
        </w:rPr>
        <w:t xml:space="preserve"> </w:t>
      </w:r>
      <w:r w:rsidR="00C93DC5">
        <w:rPr>
          <w:rFonts w:eastAsia="Calibri" w:cstheme="minorHAnsi"/>
          <w:sz w:val="24"/>
          <w:szCs w:val="24"/>
          <w:u w:color="000000"/>
          <w:bdr w:val="nil"/>
          <w:lang w:val="el-GR"/>
        </w:rPr>
        <w:t xml:space="preserve">αποφανθεί </w:t>
      </w:r>
      <w:r>
        <w:rPr>
          <w:rFonts w:eastAsia="Calibri" w:cstheme="minorHAnsi"/>
          <w:sz w:val="24"/>
          <w:szCs w:val="24"/>
          <w:u w:color="000000"/>
          <w:bdr w:val="nil"/>
          <w:lang w:val="el-GR"/>
        </w:rPr>
        <w:t>ότι</w:t>
      </w:r>
      <w:r w:rsidR="00A5147D" w:rsidRPr="006756E8">
        <w:rPr>
          <w:rFonts w:eastAsia="Calibri" w:cstheme="minorHAnsi"/>
          <w:sz w:val="24"/>
          <w:szCs w:val="24"/>
          <w:u w:color="000000"/>
          <w:bdr w:val="nil"/>
          <w:lang w:val="el-GR"/>
        </w:rPr>
        <w:t xml:space="preserve"> </w:t>
      </w:r>
      <w:r w:rsidR="00973266">
        <w:rPr>
          <w:rFonts w:eastAsia="Calibri" w:cstheme="minorHAnsi"/>
          <w:sz w:val="24"/>
          <w:szCs w:val="24"/>
          <w:u w:color="000000"/>
          <w:bdr w:val="nil"/>
          <w:lang w:val="el-GR"/>
        </w:rPr>
        <w:t>συντρέχουν</w:t>
      </w:r>
      <w:r w:rsidR="00874728">
        <w:rPr>
          <w:rFonts w:eastAsia="Calibri" w:cstheme="minorHAnsi"/>
          <w:sz w:val="24"/>
          <w:szCs w:val="24"/>
          <w:u w:color="000000"/>
          <w:bdr w:val="nil"/>
          <w:lang w:val="el-GR"/>
        </w:rPr>
        <w:t xml:space="preserve"> λόγοι </w:t>
      </w:r>
      <w:r w:rsidR="00973266">
        <w:rPr>
          <w:rFonts w:eastAsia="Calibri" w:cstheme="minorHAnsi"/>
          <w:sz w:val="24"/>
          <w:szCs w:val="24"/>
          <w:u w:color="000000"/>
          <w:bdr w:val="nil"/>
          <w:lang w:val="el-GR"/>
        </w:rPr>
        <w:t>ασυμβίβαστου</w:t>
      </w:r>
      <w:r w:rsidR="00874728">
        <w:rPr>
          <w:rFonts w:eastAsia="Calibri" w:cstheme="minorHAnsi"/>
          <w:sz w:val="24"/>
          <w:szCs w:val="24"/>
          <w:u w:color="000000"/>
          <w:bdr w:val="nil"/>
          <w:lang w:val="el-GR"/>
        </w:rPr>
        <w:t xml:space="preserve"> </w:t>
      </w:r>
      <w:r>
        <w:rPr>
          <w:rFonts w:eastAsia="Calibri" w:cstheme="minorHAnsi"/>
          <w:sz w:val="24"/>
          <w:szCs w:val="24"/>
          <w:u w:color="000000"/>
          <w:bdr w:val="nil"/>
          <w:lang w:val="el-GR"/>
        </w:rPr>
        <w:t>και</w:t>
      </w:r>
      <w:r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υπήρχε</w:t>
      </w:r>
      <w:r w:rsidRPr="006756E8">
        <w:rPr>
          <w:rFonts w:eastAsia="Calibri" w:cstheme="minorHAnsi"/>
          <w:sz w:val="24"/>
          <w:szCs w:val="24"/>
          <w:u w:color="000000"/>
          <w:bdr w:val="nil"/>
          <w:lang w:val="el-GR"/>
        </w:rPr>
        <w:t xml:space="preserve"> </w:t>
      </w:r>
      <w:r w:rsidR="00874728">
        <w:rPr>
          <w:rFonts w:eastAsia="Calibri" w:cstheme="minorHAnsi"/>
          <w:sz w:val="24"/>
          <w:szCs w:val="24"/>
          <w:u w:color="000000"/>
          <w:bdr w:val="nil"/>
          <w:lang w:val="el-GR"/>
        </w:rPr>
        <w:t xml:space="preserve">επηρεασμός </w:t>
      </w:r>
      <w:r>
        <w:rPr>
          <w:rFonts w:eastAsia="Calibri" w:cstheme="minorHAnsi"/>
          <w:sz w:val="24"/>
          <w:szCs w:val="24"/>
          <w:u w:color="000000"/>
          <w:bdr w:val="nil"/>
          <w:lang w:val="el-GR"/>
        </w:rPr>
        <w:t>από</w:t>
      </w:r>
      <w:r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ένα</w:t>
      </w:r>
      <w:r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αξιωματούχο</w:t>
      </w:r>
      <w:r w:rsidR="00A5147D"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κλπ</w:t>
      </w:r>
      <w:r w:rsidR="00A5147D"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τότε</w:t>
      </w:r>
      <w:r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διεξάγεται</w:t>
      </w:r>
      <w:r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έρευνα</w:t>
      </w:r>
      <w:r w:rsidR="00A5147D"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και</w:t>
      </w:r>
      <w:r w:rsidRPr="006756E8">
        <w:rPr>
          <w:rFonts w:eastAsia="Calibri" w:cstheme="minorHAnsi"/>
          <w:sz w:val="24"/>
          <w:szCs w:val="24"/>
          <w:u w:color="000000"/>
          <w:bdr w:val="nil"/>
          <w:lang w:val="el-GR"/>
        </w:rPr>
        <w:t xml:space="preserve"> </w:t>
      </w:r>
      <w:r w:rsidR="00874728">
        <w:rPr>
          <w:rFonts w:eastAsia="Calibri" w:cstheme="minorHAnsi"/>
          <w:sz w:val="24"/>
          <w:szCs w:val="24"/>
          <w:u w:color="000000"/>
          <w:bdr w:val="nil"/>
          <w:lang w:val="el-GR"/>
        </w:rPr>
        <w:t xml:space="preserve">συντάσσεται </w:t>
      </w:r>
      <w:r>
        <w:rPr>
          <w:rFonts w:eastAsia="Calibri" w:cstheme="minorHAnsi"/>
          <w:sz w:val="24"/>
          <w:szCs w:val="24"/>
          <w:u w:color="000000"/>
          <w:bdr w:val="nil"/>
          <w:lang w:val="el-GR"/>
        </w:rPr>
        <w:t>αιτιολογημέν</w:t>
      </w:r>
      <w:r w:rsidR="00874728">
        <w:rPr>
          <w:rFonts w:eastAsia="Calibri" w:cstheme="minorHAnsi"/>
          <w:sz w:val="24"/>
          <w:szCs w:val="24"/>
          <w:u w:color="000000"/>
          <w:bdr w:val="nil"/>
          <w:lang w:val="el-GR"/>
        </w:rPr>
        <w:t>ο</w:t>
      </w:r>
      <w:r>
        <w:rPr>
          <w:rFonts w:eastAsia="Calibri" w:cstheme="minorHAnsi"/>
          <w:sz w:val="24"/>
          <w:szCs w:val="24"/>
          <w:u w:color="000000"/>
          <w:bdr w:val="nil"/>
          <w:lang w:val="el-GR"/>
        </w:rPr>
        <w:t xml:space="preserve"> </w:t>
      </w:r>
      <w:r w:rsidR="00874728">
        <w:rPr>
          <w:rFonts w:eastAsia="Calibri" w:cstheme="minorHAnsi"/>
          <w:sz w:val="24"/>
          <w:szCs w:val="24"/>
          <w:u w:color="000000"/>
          <w:bdr w:val="nil"/>
          <w:lang w:val="el-GR"/>
        </w:rPr>
        <w:t xml:space="preserve">πόρισμα το οποίο υποβάλλεται </w:t>
      </w:r>
      <w:r>
        <w:rPr>
          <w:rFonts w:eastAsia="Calibri" w:cstheme="minorHAnsi"/>
          <w:sz w:val="24"/>
          <w:szCs w:val="24"/>
          <w:u w:color="000000"/>
          <w:bdr w:val="nil"/>
          <w:lang w:val="el-GR"/>
        </w:rPr>
        <w:t>στο όργανο διορισμού</w:t>
      </w:r>
      <w:r w:rsidR="00A5147D"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του εν λόγω αξιωματούχου</w:t>
      </w:r>
      <w:r w:rsidR="00A5147D"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Η</w:t>
      </w:r>
      <w:r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διαδικασία</w:t>
      </w:r>
      <w:r w:rsidR="00874728">
        <w:rPr>
          <w:rFonts w:eastAsia="Calibri" w:cstheme="minorHAnsi"/>
          <w:sz w:val="24"/>
          <w:szCs w:val="24"/>
          <w:u w:color="000000"/>
          <w:bdr w:val="nil"/>
          <w:lang w:val="el-GR"/>
        </w:rPr>
        <w:t xml:space="preserve"> διερεύνησης</w:t>
      </w:r>
      <w:r w:rsidR="00A5147D"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τα</w:t>
      </w:r>
      <w:r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συμπεράσματα</w:t>
      </w:r>
      <w:r w:rsidR="00A5147D"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και</w:t>
      </w:r>
      <w:r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οι</w:t>
      </w:r>
      <w:r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κλήσεις</w:t>
      </w:r>
      <w:r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μαρτύρων</w:t>
      </w:r>
      <w:r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ενώπιον</w:t>
      </w:r>
      <w:r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της</w:t>
      </w:r>
      <w:r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Επιτροπής</w:t>
      </w:r>
      <w:r w:rsidR="00A5147D"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υπόκεινται</w:t>
      </w:r>
      <w:r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σε</w:t>
      </w:r>
      <w:r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κανονισμούς</w:t>
      </w:r>
      <w:r w:rsidR="00A5147D"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που έχουν εκδοθεί από το Υπουργικό Συμβούλιο</w:t>
      </w:r>
      <w:r w:rsidR="00A5147D"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και έχουν εγκριθεί από την Βουλή των Αντιπροσώπων</w:t>
      </w:r>
      <w:r w:rsidR="00A5147D" w:rsidRPr="006756E8">
        <w:rPr>
          <w:rFonts w:eastAsia="Calibri" w:cstheme="minorHAnsi"/>
          <w:sz w:val="24"/>
          <w:szCs w:val="24"/>
          <w:u w:color="000000"/>
          <w:bdr w:val="nil"/>
          <w:lang w:val="el-GR"/>
        </w:rPr>
        <w:t xml:space="preserve">. </w:t>
      </w:r>
      <w:r>
        <w:rPr>
          <w:rFonts w:eastAsia="Calibri" w:cstheme="minorHAnsi"/>
          <w:sz w:val="24"/>
          <w:szCs w:val="24"/>
          <w:u w:color="000000"/>
          <w:bdr w:val="nil"/>
          <w:lang w:val="el-GR"/>
        </w:rPr>
        <w:t>Τ</w:t>
      </w:r>
      <w:r w:rsidR="00874728">
        <w:rPr>
          <w:rFonts w:eastAsia="Calibri" w:cstheme="minorHAnsi"/>
          <w:sz w:val="24"/>
          <w:szCs w:val="24"/>
          <w:u w:color="000000"/>
          <w:bdr w:val="nil"/>
          <w:lang w:val="el-GR"/>
        </w:rPr>
        <w:t>ο</w:t>
      </w:r>
      <w:r w:rsidRPr="00F82D83">
        <w:rPr>
          <w:rFonts w:eastAsia="Calibri" w:cstheme="minorHAnsi"/>
          <w:sz w:val="24"/>
          <w:szCs w:val="24"/>
          <w:u w:color="000000"/>
          <w:bdr w:val="nil"/>
          <w:lang w:val="el-GR"/>
        </w:rPr>
        <w:t xml:space="preserve"> </w:t>
      </w:r>
      <w:r>
        <w:rPr>
          <w:rFonts w:eastAsia="Calibri" w:cstheme="minorHAnsi"/>
          <w:sz w:val="24"/>
          <w:szCs w:val="24"/>
          <w:u w:color="000000"/>
          <w:bdr w:val="nil"/>
          <w:lang w:val="el-GR"/>
        </w:rPr>
        <w:t>αιτιολογημέν</w:t>
      </w:r>
      <w:r w:rsidR="00874728">
        <w:rPr>
          <w:rFonts w:eastAsia="Calibri" w:cstheme="minorHAnsi"/>
          <w:sz w:val="24"/>
          <w:szCs w:val="24"/>
          <w:u w:color="000000"/>
          <w:bdr w:val="nil"/>
          <w:lang w:val="el-GR"/>
        </w:rPr>
        <w:t>ο</w:t>
      </w:r>
      <w:r w:rsidRPr="00F82D83">
        <w:rPr>
          <w:rFonts w:eastAsia="Calibri" w:cstheme="minorHAnsi"/>
          <w:sz w:val="24"/>
          <w:szCs w:val="24"/>
          <w:u w:color="000000"/>
          <w:bdr w:val="nil"/>
          <w:lang w:val="el-GR"/>
        </w:rPr>
        <w:t xml:space="preserve"> </w:t>
      </w:r>
      <w:r w:rsidR="00874728">
        <w:rPr>
          <w:rFonts w:eastAsia="Calibri" w:cstheme="minorHAnsi"/>
          <w:sz w:val="24"/>
          <w:szCs w:val="24"/>
          <w:u w:color="000000"/>
          <w:bdr w:val="nil"/>
          <w:lang w:val="el-GR"/>
        </w:rPr>
        <w:t xml:space="preserve">πόρισμα συνιστά </w:t>
      </w:r>
      <w:r w:rsidR="00F82D83">
        <w:rPr>
          <w:rFonts w:eastAsia="Calibri" w:cstheme="minorHAnsi"/>
          <w:sz w:val="24"/>
          <w:szCs w:val="24"/>
          <w:u w:color="000000"/>
          <w:bdr w:val="nil"/>
          <w:lang w:val="el-GR"/>
        </w:rPr>
        <w:t>διοικητική</w:t>
      </w:r>
      <w:r w:rsidR="00F82D83" w:rsidRPr="00F82D83">
        <w:rPr>
          <w:rFonts w:eastAsia="Calibri" w:cstheme="minorHAnsi"/>
          <w:sz w:val="24"/>
          <w:szCs w:val="24"/>
          <w:u w:color="000000"/>
          <w:bdr w:val="nil"/>
          <w:lang w:val="el-GR"/>
        </w:rPr>
        <w:t xml:space="preserve"> </w:t>
      </w:r>
      <w:r w:rsidR="00F82D83">
        <w:rPr>
          <w:rFonts w:eastAsia="Calibri" w:cstheme="minorHAnsi"/>
          <w:sz w:val="24"/>
          <w:szCs w:val="24"/>
          <w:u w:color="000000"/>
          <w:bdr w:val="nil"/>
          <w:lang w:val="el-GR"/>
        </w:rPr>
        <w:t>πράξη</w:t>
      </w:r>
      <w:r w:rsidR="00F82D83" w:rsidRPr="00F82D83">
        <w:rPr>
          <w:rFonts w:eastAsia="Calibri" w:cstheme="minorHAnsi"/>
          <w:sz w:val="24"/>
          <w:szCs w:val="24"/>
          <w:u w:color="000000"/>
          <w:bdr w:val="nil"/>
          <w:lang w:val="el-GR"/>
        </w:rPr>
        <w:t xml:space="preserve"> </w:t>
      </w:r>
      <w:r w:rsidR="00F82D83">
        <w:rPr>
          <w:rFonts w:eastAsia="Calibri" w:cstheme="minorHAnsi"/>
          <w:sz w:val="24"/>
          <w:szCs w:val="24"/>
          <w:u w:color="000000"/>
          <w:bdr w:val="nil"/>
          <w:lang w:val="el-GR"/>
        </w:rPr>
        <w:t>για</w:t>
      </w:r>
      <w:r w:rsidR="00F82D83" w:rsidRPr="00F82D83">
        <w:rPr>
          <w:rFonts w:eastAsia="Calibri" w:cstheme="minorHAnsi"/>
          <w:sz w:val="24"/>
          <w:szCs w:val="24"/>
          <w:u w:color="000000"/>
          <w:bdr w:val="nil"/>
          <w:lang w:val="el-GR"/>
        </w:rPr>
        <w:t xml:space="preserve"> </w:t>
      </w:r>
      <w:r w:rsidR="00F82D83">
        <w:rPr>
          <w:rFonts w:eastAsia="Calibri" w:cstheme="minorHAnsi"/>
          <w:sz w:val="24"/>
          <w:szCs w:val="24"/>
          <w:u w:color="000000"/>
          <w:bdr w:val="nil"/>
          <w:lang w:val="el-GR"/>
        </w:rPr>
        <w:t>την</w:t>
      </w:r>
      <w:r w:rsidR="00F82D83" w:rsidRPr="00F82D83">
        <w:rPr>
          <w:rFonts w:eastAsia="Calibri" w:cstheme="minorHAnsi"/>
          <w:sz w:val="24"/>
          <w:szCs w:val="24"/>
          <w:u w:color="000000"/>
          <w:bdr w:val="nil"/>
          <w:lang w:val="el-GR"/>
        </w:rPr>
        <w:t xml:space="preserve"> </w:t>
      </w:r>
      <w:r w:rsidR="00F82D83">
        <w:rPr>
          <w:rFonts w:eastAsia="Calibri" w:cstheme="minorHAnsi"/>
          <w:sz w:val="24"/>
          <w:szCs w:val="24"/>
          <w:u w:color="000000"/>
          <w:bdr w:val="nil"/>
          <w:lang w:val="el-GR"/>
        </w:rPr>
        <w:t>οποία</w:t>
      </w:r>
      <w:r w:rsidR="00F82D83" w:rsidRPr="00F82D83">
        <w:rPr>
          <w:rFonts w:eastAsia="Calibri" w:cstheme="minorHAnsi"/>
          <w:sz w:val="24"/>
          <w:szCs w:val="24"/>
          <w:u w:color="000000"/>
          <w:bdr w:val="nil"/>
          <w:lang w:val="el-GR"/>
        </w:rPr>
        <w:t xml:space="preserve"> </w:t>
      </w:r>
      <w:r w:rsidR="00F82D83">
        <w:rPr>
          <w:rFonts w:eastAsia="Calibri" w:cstheme="minorHAnsi"/>
          <w:sz w:val="24"/>
          <w:szCs w:val="24"/>
          <w:u w:color="000000"/>
          <w:bdr w:val="nil"/>
          <w:lang w:val="el-GR"/>
        </w:rPr>
        <w:t>μπορεί</w:t>
      </w:r>
      <w:r w:rsidR="00F82D83" w:rsidRPr="00F82D83">
        <w:rPr>
          <w:rFonts w:eastAsia="Calibri" w:cstheme="minorHAnsi"/>
          <w:sz w:val="24"/>
          <w:szCs w:val="24"/>
          <w:u w:color="000000"/>
          <w:bdr w:val="nil"/>
          <w:lang w:val="el-GR"/>
        </w:rPr>
        <w:t xml:space="preserve"> </w:t>
      </w:r>
      <w:r w:rsidR="00F82D83">
        <w:rPr>
          <w:rFonts w:eastAsia="Calibri" w:cstheme="minorHAnsi"/>
          <w:sz w:val="24"/>
          <w:szCs w:val="24"/>
          <w:u w:color="000000"/>
          <w:bdr w:val="nil"/>
          <w:lang w:val="el-GR"/>
        </w:rPr>
        <w:t>να</w:t>
      </w:r>
      <w:r w:rsidR="00F82D83" w:rsidRPr="00F82D83">
        <w:rPr>
          <w:rFonts w:eastAsia="Calibri" w:cstheme="minorHAnsi"/>
          <w:sz w:val="24"/>
          <w:szCs w:val="24"/>
          <w:u w:color="000000"/>
          <w:bdr w:val="nil"/>
          <w:lang w:val="el-GR"/>
        </w:rPr>
        <w:t xml:space="preserve"> </w:t>
      </w:r>
      <w:r w:rsidR="00F82D83">
        <w:rPr>
          <w:rFonts w:eastAsia="Calibri" w:cstheme="minorHAnsi"/>
          <w:sz w:val="24"/>
          <w:szCs w:val="24"/>
          <w:u w:color="000000"/>
          <w:bdr w:val="nil"/>
          <w:lang w:val="el-GR"/>
        </w:rPr>
        <w:t>ασκηθεί</w:t>
      </w:r>
      <w:r w:rsidR="00F82D83" w:rsidRPr="00F82D83">
        <w:rPr>
          <w:rFonts w:eastAsia="Calibri" w:cstheme="minorHAnsi"/>
          <w:sz w:val="24"/>
          <w:szCs w:val="24"/>
          <w:u w:color="000000"/>
          <w:bdr w:val="nil"/>
          <w:lang w:val="el-GR"/>
        </w:rPr>
        <w:t xml:space="preserve"> </w:t>
      </w:r>
      <w:r w:rsidR="00F82D83">
        <w:rPr>
          <w:rFonts w:eastAsia="Calibri" w:cstheme="minorHAnsi"/>
          <w:sz w:val="24"/>
          <w:szCs w:val="24"/>
          <w:u w:color="000000"/>
          <w:bdr w:val="nil"/>
          <w:lang w:val="el-GR"/>
        </w:rPr>
        <w:t>έφεση</w:t>
      </w:r>
      <w:r w:rsidR="00F82D83" w:rsidRPr="00F82D83">
        <w:rPr>
          <w:rFonts w:eastAsia="Calibri" w:cstheme="minorHAnsi"/>
          <w:sz w:val="24"/>
          <w:szCs w:val="24"/>
          <w:u w:color="000000"/>
          <w:bdr w:val="nil"/>
          <w:lang w:val="el-GR"/>
        </w:rPr>
        <w:t xml:space="preserve"> </w:t>
      </w:r>
      <w:r w:rsidR="00F82D83">
        <w:rPr>
          <w:rFonts w:eastAsia="Calibri" w:cstheme="minorHAnsi"/>
          <w:sz w:val="24"/>
          <w:szCs w:val="24"/>
          <w:u w:color="000000"/>
          <w:bdr w:val="nil"/>
          <w:lang w:val="el-GR"/>
        </w:rPr>
        <w:t>στο</w:t>
      </w:r>
      <w:r w:rsidR="00F82D83" w:rsidRPr="00F82D83">
        <w:rPr>
          <w:rFonts w:eastAsia="Calibri" w:cstheme="minorHAnsi"/>
          <w:sz w:val="24"/>
          <w:szCs w:val="24"/>
          <w:u w:color="000000"/>
          <w:bdr w:val="nil"/>
          <w:lang w:val="el-GR"/>
        </w:rPr>
        <w:t xml:space="preserve"> </w:t>
      </w:r>
      <w:r w:rsidR="00F82D83">
        <w:rPr>
          <w:rFonts w:eastAsia="Calibri" w:cstheme="minorHAnsi"/>
          <w:sz w:val="24"/>
          <w:szCs w:val="24"/>
          <w:u w:color="000000"/>
          <w:bdr w:val="nil"/>
          <w:lang w:val="el-GR"/>
        </w:rPr>
        <w:t>Ανώτατο Δικαστήριο</w:t>
      </w:r>
      <w:r w:rsidR="00A5147D" w:rsidRPr="00F82D83">
        <w:rPr>
          <w:rFonts w:eastAsia="Calibri" w:cstheme="minorHAnsi"/>
          <w:sz w:val="24"/>
          <w:szCs w:val="24"/>
          <w:u w:color="000000"/>
          <w:bdr w:val="nil"/>
          <w:lang w:val="el-GR"/>
        </w:rPr>
        <w:t xml:space="preserve">. </w:t>
      </w:r>
    </w:p>
    <w:p w14:paraId="4283999A" w14:textId="77777777" w:rsidR="00A5147D" w:rsidRPr="00F82D83" w:rsidRDefault="00A5147D" w:rsidP="00A5147D">
      <w:pPr>
        <w:pBdr>
          <w:top w:val="nil"/>
          <w:left w:val="nil"/>
          <w:bottom w:val="nil"/>
          <w:right w:val="nil"/>
          <w:between w:val="nil"/>
          <w:bar w:val="nil"/>
        </w:pBdr>
        <w:tabs>
          <w:tab w:val="left" w:pos="709"/>
        </w:tabs>
        <w:rPr>
          <w:rFonts w:eastAsia="Calibri" w:cstheme="minorHAnsi"/>
          <w:color w:val="FF0000"/>
          <w:sz w:val="24"/>
          <w:szCs w:val="24"/>
          <w:u w:color="000000"/>
          <w:bdr w:val="nil"/>
          <w:lang w:val="el-GR"/>
        </w:rPr>
      </w:pPr>
    </w:p>
    <w:p w14:paraId="4DA888B4" w14:textId="688D98AC" w:rsidR="00A5147D" w:rsidRPr="00F82D83" w:rsidRDefault="00F82D83" w:rsidP="00A5147D">
      <w:pPr>
        <w:numPr>
          <w:ilvl w:val="0"/>
          <w:numId w:val="1"/>
        </w:numPr>
        <w:tabs>
          <w:tab w:val="clear" w:pos="6095"/>
          <w:tab w:val="num" w:pos="681"/>
          <w:tab w:val="num" w:pos="709"/>
        </w:tabs>
        <w:ind w:left="0" w:right="-144" w:firstLine="0"/>
        <w:rPr>
          <w:rFonts w:cstheme="minorHAnsi"/>
          <w:sz w:val="24"/>
          <w:szCs w:val="24"/>
          <w:lang w:val="el-GR"/>
        </w:rPr>
      </w:pPr>
      <w:r>
        <w:rPr>
          <w:rFonts w:cstheme="minorHAnsi"/>
          <w:sz w:val="24"/>
          <w:szCs w:val="24"/>
          <w:lang w:val="el-GR"/>
        </w:rPr>
        <w:t>Ανεξάρτητα</w:t>
      </w:r>
      <w:r w:rsidRPr="00F82D83">
        <w:rPr>
          <w:rFonts w:cstheme="minorHAnsi"/>
          <w:sz w:val="24"/>
          <w:szCs w:val="24"/>
          <w:lang w:val="el-GR"/>
        </w:rPr>
        <w:t xml:space="preserve"> </w:t>
      </w:r>
      <w:r>
        <w:rPr>
          <w:rFonts w:cstheme="minorHAnsi"/>
          <w:sz w:val="24"/>
          <w:szCs w:val="24"/>
          <w:lang w:val="el-GR"/>
        </w:rPr>
        <w:t>από</w:t>
      </w:r>
      <w:r w:rsidRPr="00F82D83">
        <w:rPr>
          <w:rFonts w:cstheme="minorHAnsi"/>
          <w:sz w:val="24"/>
          <w:szCs w:val="24"/>
          <w:lang w:val="el-GR"/>
        </w:rPr>
        <w:t xml:space="preserve"> </w:t>
      </w:r>
      <w:r>
        <w:rPr>
          <w:rFonts w:cstheme="minorHAnsi"/>
          <w:sz w:val="24"/>
          <w:szCs w:val="24"/>
          <w:lang w:val="el-GR"/>
        </w:rPr>
        <w:t>οποιεσδήποτε</w:t>
      </w:r>
      <w:r w:rsidRPr="00F82D83">
        <w:rPr>
          <w:rFonts w:cstheme="minorHAnsi"/>
          <w:sz w:val="24"/>
          <w:szCs w:val="24"/>
          <w:lang w:val="el-GR"/>
        </w:rPr>
        <w:t xml:space="preserve"> </w:t>
      </w:r>
      <w:r>
        <w:rPr>
          <w:rFonts w:cstheme="minorHAnsi"/>
          <w:sz w:val="24"/>
          <w:szCs w:val="24"/>
          <w:lang w:val="el-GR"/>
        </w:rPr>
        <w:t>άλλες</w:t>
      </w:r>
      <w:r w:rsidRPr="00F82D83">
        <w:rPr>
          <w:rFonts w:cstheme="minorHAnsi"/>
          <w:sz w:val="24"/>
          <w:szCs w:val="24"/>
          <w:lang w:val="el-GR"/>
        </w:rPr>
        <w:t xml:space="preserve"> </w:t>
      </w:r>
      <w:r>
        <w:rPr>
          <w:rFonts w:cstheme="minorHAnsi"/>
          <w:sz w:val="24"/>
          <w:szCs w:val="24"/>
          <w:lang w:val="el-GR"/>
        </w:rPr>
        <w:t>νομικές</w:t>
      </w:r>
      <w:r w:rsidR="00874728">
        <w:rPr>
          <w:rFonts w:cstheme="minorHAnsi"/>
          <w:sz w:val="24"/>
          <w:szCs w:val="24"/>
          <w:lang w:val="el-GR"/>
        </w:rPr>
        <w:t xml:space="preserve"> συνέπειες</w:t>
      </w:r>
      <w:r w:rsidR="00A5147D" w:rsidRPr="00F82D83">
        <w:rPr>
          <w:rFonts w:cstheme="minorHAnsi"/>
          <w:sz w:val="24"/>
          <w:szCs w:val="24"/>
          <w:lang w:val="el-GR"/>
        </w:rPr>
        <w:t xml:space="preserve">, </w:t>
      </w:r>
      <w:r>
        <w:rPr>
          <w:rFonts w:cstheme="minorHAnsi"/>
          <w:sz w:val="24"/>
          <w:szCs w:val="24"/>
          <w:lang w:val="el-GR"/>
        </w:rPr>
        <w:t>όλες</w:t>
      </w:r>
      <w:r w:rsidRPr="00F82D83">
        <w:rPr>
          <w:rFonts w:cstheme="minorHAnsi"/>
          <w:sz w:val="24"/>
          <w:szCs w:val="24"/>
          <w:lang w:val="el-GR"/>
        </w:rPr>
        <w:t xml:space="preserve"> </w:t>
      </w:r>
      <w:r w:rsidR="00874728" w:rsidRPr="002B7C4B">
        <w:rPr>
          <w:rFonts w:cstheme="minorHAnsi"/>
          <w:sz w:val="24"/>
          <w:szCs w:val="24"/>
          <w:lang w:val="el-GR"/>
        </w:rPr>
        <w:t xml:space="preserve">οι πράξεις, οι συμβάσεις, τα προνόμια, οι επιχορηγήσεις ή άλλες παραχωρήσεις δικαιωμάτων που έγιναν επ’ </w:t>
      </w:r>
      <w:proofErr w:type="spellStart"/>
      <w:r w:rsidR="00874728" w:rsidRPr="002B7C4B">
        <w:rPr>
          <w:rFonts w:cstheme="minorHAnsi"/>
          <w:sz w:val="24"/>
          <w:szCs w:val="24"/>
          <w:lang w:val="el-GR"/>
        </w:rPr>
        <w:t>ωφελεία</w:t>
      </w:r>
      <w:proofErr w:type="spellEnd"/>
      <w:r w:rsidR="00874728" w:rsidRPr="002B7C4B">
        <w:rPr>
          <w:rFonts w:cstheme="minorHAnsi"/>
          <w:sz w:val="24"/>
          <w:szCs w:val="24"/>
          <w:lang w:val="el-GR"/>
        </w:rPr>
        <w:t xml:space="preserve"> του ευρεθέντος κατά τρόπο ασυμβίβαστο</w:t>
      </w:r>
      <w:r w:rsidR="00A5147D" w:rsidRPr="00F82D83">
        <w:rPr>
          <w:rFonts w:cstheme="minorHAnsi"/>
          <w:sz w:val="24"/>
          <w:szCs w:val="24"/>
          <w:lang w:val="el-GR"/>
        </w:rPr>
        <w:t xml:space="preserve"> </w:t>
      </w:r>
      <w:r>
        <w:rPr>
          <w:rFonts w:cstheme="minorHAnsi"/>
          <w:sz w:val="24"/>
          <w:szCs w:val="24"/>
          <w:lang w:val="el-GR"/>
        </w:rPr>
        <w:t>είναι άκυρ</w:t>
      </w:r>
      <w:r w:rsidR="00874728">
        <w:rPr>
          <w:rFonts w:cstheme="minorHAnsi"/>
          <w:sz w:val="24"/>
          <w:szCs w:val="24"/>
          <w:lang w:val="el-GR"/>
        </w:rPr>
        <w:t xml:space="preserve">ες </w:t>
      </w:r>
      <w:r w:rsidR="00A5147D" w:rsidRPr="00F82D83">
        <w:rPr>
          <w:rFonts w:cstheme="minorHAnsi"/>
          <w:sz w:val="24"/>
          <w:szCs w:val="24"/>
          <w:lang w:val="el-GR"/>
        </w:rPr>
        <w:t xml:space="preserve"> </w:t>
      </w:r>
      <w:r>
        <w:rPr>
          <w:rFonts w:cstheme="minorHAnsi"/>
          <w:sz w:val="24"/>
          <w:szCs w:val="24"/>
          <w:lang w:val="el-GR"/>
        </w:rPr>
        <w:t>σε σχέση με το</w:t>
      </w:r>
      <w:r w:rsidR="00874728">
        <w:rPr>
          <w:rFonts w:cstheme="minorHAnsi"/>
          <w:sz w:val="24"/>
          <w:szCs w:val="24"/>
          <w:lang w:val="el-GR"/>
        </w:rPr>
        <w:t>ν</w:t>
      </w:r>
      <w:r>
        <w:rPr>
          <w:rFonts w:cstheme="minorHAnsi"/>
          <w:sz w:val="24"/>
          <w:szCs w:val="24"/>
          <w:lang w:val="el-GR"/>
        </w:rPr>
        <w:t xml:space="preserve"> αξιωματούχο</w:t>
      </w:r>
      <w:r w:rsidR="00A5147D" w:rsidRPr="00F82D83">
        <w:rPr>
          <w:rFonts w:cstheme="minorHAnsi"/>
          <w:sz w:val="24"/>
          <w:szCs w:val="24"/>
          <w:lang w:val="el-GR"/>
        </w:rPr>
        <w:t xml:space="preserve"> </w:t>
      </w:r>
      <w:r>
        <w:rPr>
          <w:rFonts w:cstheme="minorHAnsi"/>
          <w:sz w:val="24"/>
          <w:szCs w:val="24"/>
          <w:lang w:val="el-GR"/>
        </w:rPr>
        <w:t>που βρέθηκε ένοχος για παράβαση του νόμου</w:t>
      </w:r>
      <w:r w:rsidR="00A5147D" w:rsidRPr="00F82D83">
        <w:rPr>
          <w:rFonts w:cstheme="minorHAnsi"/>
          <w:sz w:val="24"/>
          <w:szCs w:val="24"/>
          <w:lang w:val="el-GR"/>
        </w:rPr>
        <w:t xml:space="preserve">. </w:t>
      </w:r>
      <w:r>
        <w:rPr>
          <w:rFonts w:cstheme="minorHAnsi"/>
          <w:sz w:val="24"/>
          <w:szCs w:val="24"/>
          <w:lang w:val="el-GR"/>
        </w:rPr>
        <w:t>Ψευδείς</w:t>
      </w:r>
      <w:r w:rsidRPr="00F82D83">
        <w:rPr>
          <w:rFonts w:cstheme="minorHAnsi"/>
          <w:sz w:val="24"/>
          <w:szCs w:val="24"/>
          <w:lang w:val="el-GR"/>
        </w:rPr>
        <w:t xml:space="preserve"> </w:t>
      </w:r>
      <w:r>
        <w:rPr>
          <w:rFonts w:cstheme="minorHAnsi"/>
          <w:sz w:val="24"/>
          <w:szCs w:val="24"/>
          <w:lang w:val="el-GR"/>
        </w:rPr>
        <w:t>ή</w:t>
      </w:r>
      <w:r w:rsidRPr="00F82D83">
        <w:rPr>
          <w:rFonts w:cstheme="minorHAnsi"/>
          <w:sz w:val="24"/>
          <w:szCs w:val="24"/>
          <w:lang w:val="el-GR"/>
        </w:rPr>
        <w:t xml:space="preserve"> </w:t>
      </w:r>
      <w:r>
        <w:rPr>
          <w:rFonts w:cstheme="minorHAnsi"/>
          <w:sz w:val="24"/>
          <w:szCs w:val="24"/>
          <w:lang w:val="el-GR"/>
        </w:rPr>
        <w:t>αναληθείς</w:t>
      </w:r>
      <w:r w:rsidRPr="00F82D83">
        <w:rPr>
          <w:rFonts w:cstheme="minorHAnsi"/>
          <w:sz w:val="24"/>
          <w:szCs w:val="24"/>
          <w:lang w:val="el-GR"/>
        </w:rPr>
        <w:t xml:space="preserve"> </w:t>
      </w:r>
      <w:r>
        <w:rPr>
          <w:rFonts w:cstheme="minorHAnsi"/>
          <w:sz w:val="24"/>
          <w:szCs w:val="24"/>
          <w:lang w:val="el-GR"/>
        </w:rPr>
        <w:t>δηλώσεις</w:t>
      </w:r>
      <w:r w:rsidRPr="00F82D83">
        <w:rPr>
          <w:rFonts w:cstheme="minorHAnsi"/>
          <w:sz w:val="24"/>
          <w:szCs w:val="24"/>
          <w:lang w:val="el-GR"/>
        </w:rPr>
        <w:t xml:space="preserve"> </w:t>
      </w:r>
      <w:r>
        <w:rPr>
          <w:rFonts w:cstheme="minorHAnsi"/>
          <w:sz w:val="24"/>
          <w:szCs w:val="24"/>
          <w:lang w:val="el-GR"/>
        </w:rPr>
        <w:t>στην</w:t>
      </w:r>
      <w:r w:rsidRPr="00F82D83">
        <w:rPr>
          <w:rFonts w:cstheme="minorHAnsi"/>
          <w:sz w:val="24"/>
          <w:szCs w:val="24"/>
          <w:lang w:val="el-GR"/>
        </w:rPr>
        <w:t xml:space="preserve"> </w:t>
      </w:r>
      <w:r>
        <w:rPr>
          <w:rFonts w:cstheme="minorHAnsi"/>
          <w:sz w:val="24"/>
          <w:szCs w:val="24"/>
          <w:lang w:val="el-GR"/>
        </w:rPr>
        <w:t>Επιτροπή</w:t>
      </w:r>
      <w:r w:rsidR="00A5147D" w:rsidRPr="00F82D83">
        <w:rPr>
          <w:rFonts w:cstheme="minorHAnsi"/>
          <w:sz w:val="24"/>
          <w:szCs w:val="24"/>
          <w:lang w:val="el-GR"/>
        </w:rPr>
        <w:t xml:space="preserve"> </w:t>
      </w:r>
      <w:r>
        <w:rPr>
          <w:rFonts w:cstheme="minorHAnsi"/>
          <w:sz w:val="24"/>
          <w:szCs w:val="24"/>
          <w:lang w:val="el-GR"/>
        </w:rPr>
        <w:t>υπόκεινται</w:t>
      </w:r>
      <w:r w:rsidRPr="00F82D83">
        <w:rPr>
          <w:rFonts w:cstheme="minorHAnsi"/>
          <w:sz w:val="24"/>
          <w:szCs w:val="24"/>
          <w:lang w:val="el-GR"/>
        </w:rPr>
        <w:t xml:space="preserve"> </w:t>
      </w:r>
      <w:r>
        <w:rPr>
          <w:rFonts w:cstheme="minorHAnsi"/>
          <w:sz w:val="24"/>
          <w:szCs w:val="24"/>
          <w:lang w:val="el-GR"/>
        </w:rPr>
        <w:t>σε</w:t>
      </w:r>
      <w:r w:rsidRPr="00F82D83">
        <w:rPr>
          <w:rFonts w:cstheme="minorHAnsi"/>
          <w:sz w:val="24"/>
          <w:szCs w:val="24"/>
          <w:lang w:val="el-GR"/>
        </w:rPr>
        <w:t xml:space="preserve"> </w:t>
      </w:r>
      <w:r>
        <w:rPr>
          <w:rFonts w:cstheme="minorHAnsi"/>
          <w:sz w:val="24"/>
          <w:szCs w:val="24"/>
          <w:lang w:val="el-GR"/>
        </w:rPr>
        <w:t>ποινική</w:t>
      </w:r>
      <w:r w:rsidRPr="00F82D83">
        <w:rPr>
          <w:rFonts w:cstheme="minorHAnsi"/>
          <w:sz w:val="24"/>
          <w:szCs w:val="24"/>
          <w:lang w:val="el-GR"/>
        </w:rPr>
        <w:t xml:space="preserve"> </w:t>
      </w:r>
      <w:r>
        <w:rPr>
          <w:rFonts w:cstheme="minorHAnsi"/>
          <w:sz w:val="24"/>
          <w:szCs w:val="24"/>
          <w:lang w:val="el-GR"/>
        </w:rPr>
        <w:t>ευθύνη</w:t>
      </w:r>
      <w:r w:rsidR="00A5147D" w:rsidRPr="00F82D83">
        <w:rPr>
          <w:rFonts w:cstheme="minorHAnsi"/>
          <w:sz w:val="24"/>
          <w:szCs w:val="24"/>
          <w:lang w:val="el-GR"/>
        </w:rPr>
        <w:t xml:space="preserve">, </w:t>
      </w:r>
      <w:r>
        <w:rPr>
          <w:rFonts w:cstheme="minorHAnsi"/>
          <w:sz w:val="24"/>
          <w:szCs w:val="24"/>
          <w:lang w:val="el-GR"/>
        </w:rPr>
        <w:t>που μπορεί να υπόκειται σε πρόστιμ</w:t>
      </w:r>
      <w:r w:rsidR="00F94185">
        <w:rPr>
          <w:rFonts w:cstheme="minorHAnsi"/>
          <w:sz w:val="24"/>
          <w:szCs w:val="24"/>
          <w:lang w:val="el-GR"/>
        </w:rPr>
        <w:t>ο</w:t>
      </w:r>
      <w:r>
        <w:rPr>
          <w:rFonts w:cstheme="minorHAnsi"/>
          <w:sz w:val="24"/>
          <w:szCs w:val="24"/>
          <w:lang w:val="el-GR"/>
        </w:rPr>
        <w:t xml:space="preserve"> και/ή φυλάκιση</w:t>
      </w:r>
      <w:r w:rsidR="00A5147D" w:rsidRPr="00F82D83">
        <w:rPr>
          <w:rFonts w:cstheme="minorHAnsi"/>
          <w:sz w:val="24"/>
          <w:szCs w:val="24"/>
          <w:lang w:val="el-GR"/>
        </w:rPr>
        <w:t xml:space="preserve">. </w:t>
      </w:r>
      <w:bookmarkStart w:id="161" w:name="_Hlk120804178"/>
    </w:p>
    <w:bookmarkEnd w:id="161"/>
    <w:p w14:paraId="6A04DA12" w14:textId="68C5D042" w:rsidR="00C93DC5" w:rsidRPr="00F82D83" w:rsidRDefault="00C93DC5" w:rsidP="00A5147D">
      <w:pPr>
        <w:pBdr>
          <w:top w:val="nil"/>
          <w:left w:val="nil"/>
          <w:bottom w:val="nil"/>
          <w:right w:val="nil"/>
          <w:between w:val="nil"/>
          <w:bar w:val="nil"/>
        </w:pBdr>
        <w:tabs>
          <w:tab w:val="left" w:pos="709"/>
        </w:tabs>
        <w:rPr>
          <w:rFonts w:eastAsia="Calibri" w:cstheme="minorHAnsi"/>
          <w:sz w:val="24"/>
          <w:szCs w:val="24"/>
          <w:u w:color="000000"/>
          <w:bdr w:val="nil"/>
          <w:lang w:val="el-GR"/>
        </w:rPr>
      </w:pPr>
    </w:p>
    <w:p w14:paraId="40634F0E" w14:textId="3F6F1976" w:rsidR="00A5147D" w:rsidRPr="004D562D" w:rsidRDefault="004D562D" w:rsidP="00A5147D">
      <w:pPr>
        <w:pBdr>
          <w:top w:val="nil"/>
          <w:left w:val="nil"/>
          <w:bottom w:val="nil"/>
          <w:right w:val="nil"/>
          <w:between w:val="nil"/>
          <w:bar w:val="nil"/>
        </w:pBdr>
        <w:tabs>
          <w:tab w:val="left" w:pos="567"/>
        </w:tabs>
        <w:rPr>
          <w:rFonts w:eastAsia="Calibri" w:cstheme="minorHAnsi"/>
          <w:i/>
          <w:iCs/>
          <w:color w:val="FF0000"/>
          <w:sz w:val="24"/>
          <w:szCs w:val="24"/>
          <w:u w:val="single"/>
          <w:bdr w:val="nil"/>
          <w:lang w:val="el-GR"/>
        </w:rPr>
      </w:pPr>
      <w:bookmarkStart w:id="162" w:name="_Hlk120804287"/>
      <w:r>
        <w:rPr>
          <w:rFonts w:eastAsia="Calibri" w:cstheme="minorHAnsi"/>
          <w:i/>
          <w:iCs/>
          <w:sz w:val="24"/>
          <w:szCs w:val="24"/>
          <w:u w:val="single"/>
          <w:bdr w:val="nil"/>
        </w:rPr>
        <w:t>A</w:t>
      </w:r>
      <w:proofErr w:type="spellStart"/>
      <w:r>
        <w:rPr>
          <w:rFonts w:eastAsia="Calibri" w:cstheme="minorHAnsi"/>
          <w:i/>
          <w:iCs/>
          <w:sz w:val="24"/>
          <w:szCs w:val="24"/>
          <w:u w:val="single"/>
          <w:bdr w:val="nil"/>
          <w:lang w:val="el-GR"/>
        </w:rPr>
        <w:t>νεξάρτη</w:t>
      </w:r>
      <w:r w:rsidR="00874728">
        <w:rPr>
          <w:rFonts w:eastAsia="Calibri" w:cstheme="minorHAnsi"/>
          <w:i/>
          <w:iCs/>
          <w:sz w:val="24"/>
          <w:szCs w:val="24"/>
          <w:u w:val="single"/>
          <w:bdr w:val="nil"/>
          <w:lang w:val="el-GR"/>
        </w:rPr>
        <w:t>τη</w:t>
      </w:r>
      <w:proofErr w:type="spellEnd"/>
      <w:r w:rsidRPr="004D562D">
        <w:rPr>
          <w:rFonts w:eastAsia="Calibri" w:cstheme="minorHAnsi"/>
          <w:i/>
          <w:iCs/>
          <w:sz w:val="24"/>
          <w:szCs w:val="24"/>
          <w:u w:val="single"/>
          <w:bdr w:val="nil"/>
          <w:lang w:val="el-GR"/>
        </w:rPr>
        <w:t xml:space="preserve"> </w:t>
      </w:r>
      <w:r>
        <w:rPr>
          <w:rFonts w:eastAsia="Calibri" w:cstheme="minorHAnsi"/>
          <w:i/>
          <w:iCs/>
          <w:sz w:val="24"/>
          <w:szCs w:val="24"/>
          <w:u w:val="single"/>
          <w:bdr w:val="nil"/>
          <w:lang w:val="el-GR"/>
        </w:rPr>
        <w:t>Ειδικ</w:t>
      </w:r>
      <w:r w:rsidR="00874728">
        <w:rPr>
          <w:rFonts w:eastAsia="Calibri" w:cstheme="minorHAnsi"/>
          <w:i/>
          <w:iCs/>
          <w:sz w:val="24"/>
          <w:szCs w:val="24"/>
          <w:u w:val="single"/>
          <w:bdr w:val="nil"/>
          <w:lang w:val="el-GR"/>
        </w:rPr>
        <w:t>ή</w:t>
      </w:r>
      <w:r w:rsidRPr="004D562D">
        <w:rPr>
          <w:rFonts w:eastAsia="Calibri" w:cstheme="minorHAnsi"/>
          <w:i/>
          <w:iCs/>
          <w:sz w:val="24"/>
          <w:szCs w:val="24"/>
          <w:u w:val="single"/>
          <w:bdr w:val="nil"/>
          <w:lang w:val="el-GR"/>
        </w:rPr>
        <w:t xml:space="preserve"> </w:t>
      </w:r>
      <w:r>
        <w:rPr>
          <w:rFonts w:eastAsia="Calibri" w:cstheme="minorHAnsi"/>
          <w:i/>
          <w:iCs/>
          <w:sz w:val="24"/>
          <w:szCs w:val="24"/>
          <w:u w:val="single"/>
          <w:bdr w:val="nil"/>
          <w:lang w:val="el-GR"/>
        </w:rPr>
        <w:t>Επιτροπ</w:t>
      </w:r>
      <w:r w:rsidR="00874728">
        <w:rPr>
          <w:rFonts w:eastAsia="Calibri" w:cstheme="minorHAnsi"/>
          <w:i/>
          <w:iCs/>
          <w:sz w:val="24"/>
          <w:szCs w:val="24"/>
          <w:u w:val="single"/>
          <w:bdr w:val="nil"/>
          <w:lang w:val="el-GR"/>
        </w:rPr>
        <w:t>ή</w:t>
      </w:r>
      <w:r w:rsidR="00A5147D" w:rsidRPr="004D562D">
        <w:rPr>
          <w:rFonts w:eastAsia="Calibri" w:cstheme="minorHAnsi"/>
          <w:i/>
          <w:iCs/>
          <w:sz w:val="24"/>
          <w:szCs w:val="24"/>
          <w:u w:val="single"/>
          <w:bdr w:val="nil"/>
          <w:lang w:val="el-GR"/>
        </w:rPr>
        <w:t xml:space="preserve"> </w:t>
      </w:r>
      <w:r>
        <w:rPr>
          <w:rFonts w:eastAsia="Calibri" w:cstheme="minorHAnsi"/>
          <w:i/>
          <w:iCs/>
          <w:sz w:val="24"/>
          <w:szCs w:val="24"/>
          <w:u w:val="single"/>
          <w:bdr w:val="nil"/>
          <w:lang w:val="el-GR"/>
        </w:rPr>
        <w:t>για</w:t>
      </w:r>
      <w:r w:rsidRPr="004D562D">
        <w:rPr>
          <w:rFonts w:eastAsia="Calibri" w:cstheme="minorHAnsi"/>
          <w:i/>
          <w:iCs/>
          <w:sz w:val="24"/>
          <w:szCs w:val="24"/>
          <w:u w:val="single"/>
          <w:bdr w:val="nil"/>
          <w:lang w:val="el-GR"/>
        </w:rPr>
        <w:t xml:space="preserve"> </w:t>
      </w:r>
      <w:r>
        <w:rPr>
          <w:rFonts w:eastAsia="Calibri" w:cstheme="minorHAnsi"/>
          <w:i/>
          <w:iCs/>
          <w:sz w:val="24"/>
          <w:szCs w:val="24"/>
          <w:u w:val="single"/>
          <w:bdr w:val="nil"/>
          <w:lang w:val="el-GR"/>
        </w:rPr>
        <w:t>τον</w:t>
      </w:r>
      <w:r w:rsidRPr="004D562D">
        <w:rPr>
          <w:rFonts w:eastAsia="Calibri" w:cstheme="minorHAnsi"/>
          <w:i/>
          <w:iCs/>
          <w:sz w:val="24"/>
          <w:szCs w:val="24"/>
          <w:u w:val="single"/>
          <w:bdr w:val="nil"/>
          <w:lang w:val="el-GR"/>
        </w:rPr>
        <w:t xml:space="preserve"> </w:t>
      </w:r>
      <w:r>
        <w:rPr>
          <w:rFonts w:eastAsia="Calibri" w:cstheme="minorHAnsi"/>
          <w:i/>
          <w:iCs/>
          <w:sz w:val="24"/>
          <w:szCs w:val="24"/>
          <w:u w:val="single"/>
          <w:bdr w:val="nil"/>
          <w:lang w:val="el-GR"/>
        </w:rPr>
        <w:t>Έλεγχο</w:t>
      </w:r>
      <w:r w:rsidRPr="004D562D">
        <w:rPr>
          <w:rFonts w:eastAsia="Calibri" w:cstheme="minorHAnsi"/>
          <w:i/>
          <w:iCs/>
          <w:sz w:val="24"/>
          <w:szCs w:val="24"/>
          <w:u w:val="single"/>
          <w:bdr w:val="nil"/>
          <w:lang w:val="el-GR"/>
        </w:rPr>
        <w:t xml:space="preserve"> </w:t>
      </w:r>
      <w:r>
        <w:rPr>
          <w:rFonts w:eastAsia="Calibri" w:cstheme="minorHAnsi"/>
          <w:i/>
          <w:iCs/>
          <w:sz w:val="24"/>
          <w:szCs w:val="24"/>
          <w:u w:val="single"/>
          <w:bdr w:val="nil"/>
          <w:lang w:val="el-GR"/>
        </w:rPr>
        <w:t>της Ανάληψης Εργασίας</w:t>
      </w:r>
      <w:r w:rsidR="00A5147D" w:rsidRPr="004D562D">
        <w:rPr>
          <w:rFonts w:eastAsia="Calibri" w:cstheme="minorHAnsi"/>
          <w:i/>
          <w:iCs/>
          <w:sz w:val="24"/>
          <w:szCs w:val="24"/>
          <w:u w:val="single"/>
          <w:bdr w:val="nil"/>
          <w:lang w:val="el-GR"/>
        </w:rPr>
        <w:t xml:space="preserve"> </w:t>
      </w:r>
      <w:r>
        <w:rPr>
          <w:rFonts w:eastAsia="Calibri" w:cstheme="minorHAnsi"/>
          <w:i/>
          <w:iCs/>
          <w:sz w:val="24"/>
          <w:szCs w:val="24"/>
          <w:u w:val="single"/>
          <w:bdr w:val="nil"/>
          <w:lang w:val="el-GR"/>
        </w:rPr>
        <w:t>στο</w:t>
      </w:r>
      <w:r w:rsidR="00A20DDF">
        <w:rPr>
          <w:rFonts w:eastAsia="Calibri" w:cstheme="minorHAnsi"/>
          <w:i/>
          <w:iCs/>
          <w:sz w:val="24"/>
          <w:szCs w:val="24"/>
          <w:u w:val="single"/>
          <w:bdr w:val="nil"/>
          <w:lang w:val="el-GR"/>
        </w:rPr>
        <w:t>ν</w:t>
      </w:r>
      <w:r>
        <w:rPr>
          <w:rFonts w:eastAsia="Calibri" w:cstheme="minorHAnsi"/>
          <w:i/>
          <w:iCs/>
          <w:sz w:val="24"/>
          <w:szCs w:val="24"/>
          <w:u w:val="single"/>
          <w:bdr w:val="nil"/>
          <w:lang w:val="el-GR"/>
        </w:rPr>
        <w:t xml:space="preserve"> Ιδιωτικό Τομέα</w:t>
      </w:r>
    </w:p>
    <w:bookmarkEnd w:id="162"/>
    <w:p w14:paraId="3CDC918C" w14:textId="77777777" w:rsidR="00A5147D" w:rsidRPr="004D562D" w:rsidRDefault="00A5147D" w:rsidP="00A5147D">
      <w:pPr>
        <w:rPr>
          <w:rFonts w:cstheme="minorHAnsi"/>
          <w:sz w:val="24"/>
          <w:szCs w:val="24"/>
          <w:lang w:val="el-GR"/>
        </w:rPr>
      </w:pPr>
    </w:p>
    <w:p w14:paraId="74C869F1" w14:textId="380E0FAB" w:rsidR="00A5147D" w:rsidRPr="004D562D" w:rsidRDefault="004D562D" w:rsidP="00A5147D">
      <w:pPr>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lang w:val="el-GR"/>
        </w:rPr>
      </w:pPr>
      <w:r>
        <w:rPr>
          <w:rFonts w:cstheme="minorHAnsi"/>
          <w:sz w:val="24"/>
          <w:szCs w:val="24"/>
          <w:lang w:val="el-GR"/>
        </w:rPr>
        <w:lastRenderedPageBreak/>
        <w:t>Δυνάμει</w:t>
      </w:r>
      <w:r w:rsidRPr="004D562D">
        <w:rPr>
          <w:rFonts w:cstheme="minorHAnsi"/>
          <w:sz w:val="24"/>
          <w:szCs w:val="24"/>
          <w:lang w:val="el-GR"/>
        </w:rPr>
        <w:t xml:space="preserve"> </w:t>
      </w:r>
      <w:r>
        <w:rPr>
          <w:rFonts w:cstheme="minorHAnsi"/>
          <w:sz w:val="24"/>
          <w:szCs w:val="24"/>
          <w:lang w:val="el-GR"/>
        </w:rPr>
        <w:t>του</w:t>
      </w:r>
      <w:r w:rsidRPr="004D562D">
        <w:rPr>
          <w:rFonts w:cstheme="minorHAnsi"/>
          <w:sz w:val="24"/>
          <w:szCs w:val="24"/>
          <w:lang w:val="el-GR"/>
        </w:rPr>
        <w:t xml:space="preserve"> </w:t>
      </w:r>
      <w:r>
        <w:rPr>
          <w:rFonts w:cstheme="minorHAnsi"/>
          <w:sz w:val="24"/>
          <w:szCs w:val="24"/>
          <w:lang w:val="el-GR"/>
        </w:rPr>
        <w:t>Νόμου</w:t>
      </w:r>
      <w:r w:rsidRPr="004D562D">
        <w:rPr>
          <w:rFonts w:cstheme="minorHAnsi"/>
          <w:sz w:val="24"/>
          <w:szCs w:val="24"/>
          <w:lang w:val="el-GR"/>
        </w:rPr>
        <w:t xml:space="preserve"> </w:t>
      </w:r>
      <w:r w:rsidR="00874728">
        <w:rPr>
          <w:rFonts w:cstheme="minorHAnsi"/>
          <w:sz w:val="24"/>
          <w:szCs w:val="24"/>
          <w:lang w:val="el-GR"/>
        </w:rPr>
        <w:t>περί του Ε</w:t>
      </w:r>
      <w:r>
        <w:rPr>
          <w:rFonts w:cstheme="minorHAnsi"/>
          <w:sz w:val="24"/>
          <w:szCs w:val="24"/>
          <w:lang w:val="el-GR"/>
        </w:rPr>
        <w:t>λ</w:t>
      </w:r>
      <w:r w:rsidR="00874728">
        <w:rPr>
          <w:rFonts w:cstheme="minorHAnsi"/>
          <w:sz w:val="24"/>
          <w:szCs w:val="24"/>
          <w:lang w:val="el-GR"/>
        </w:rPr>
        <w:t>έ</w:t>
      </w:r>
      <w:r>
        <w:rPr>
          <w:rFonts w:cstheme="minorHAnsi"/>
          <w:sz w:val="24"/>
          <w:szCs w:val="24"/>
          <w:lang w:val="el-GR"/>
        </w:rPr>
        <w:t>γχο</w:t>
      </w:r>
      <w:r w:rsidR="00874728">
        <w:rPr>
          <w:rFonts w:cstheme="minorHAnsi"/>
          <w:sz w:val="24"/>
          <w:szCs w:val="24"/>
          <w:lang w:val="el-GR"/>
        </w:rPr>
        <w:t>υ</w:t>
      </w:r>
      <w:r w:rsidRPr="004D562D">
        <w:rPr>
          <w:rFonts w:cstheme="minorHAnsi"/>
          <w:sz w:val="24"/>
          <w:szCs w:val="24"/>
          <w:lang w:val="el-GR"/>
        </w:rPr>
        <w:t xml:space="preserve"> </w:t>
      </w:r>
      <w:r>
        <w:rPr>
          <w:rFonts w:cstheme="minorHAnsi"/>
          <w:sz w:val="24"/>
          <w:szCs w:val="24"/>
          <w:lang w:val="el-GR"/>
        </w:rPr>
        <w:t>Ανάληψης</w:t>
      </w:r>
      <w:r w:rsidRPr="004D562D">
        <w:rPr>
          <w:rFonts w:cstheme="minorHAnsi"/>
          <w:sz w:val="24"/>
          <w:szCs w:val="24"/>
          <w:lang w:val="el-GR"/>
        </w:rPr>
        <w:t xml:space="preserve"> </w:t>
      </w:r>
      <w:r>
        <w:rPr>
          <w:rFonts w:cstheme="minorHAnsi"/>
          <w:sz w:val="24"/>
          <w:szCs w:val="24"/>
          <w:lang w:val="el-GR"/>
        </w:rPr>
        <w:t>Εργασίας</w:t>
      </w:r>
      <w:r w:rsidRPr="004D562D">
        <w:rPr>
          <w:rFonts w:cstheme="minorHAnsi"/>
          <w:sz w:val="24"/>
          <w:szCs w:val="24"/>
          <w:lang w:val="el-GR"/>
        </w:rPr>
        <w:t xml:space="preserve"> </w:t>
      </w:r>
      <w:r>
        <w:rPr>
          <w:rFonts w:cstheme="minorHAnsi"/>
          <w:sz w:val="24"/>
          <w:szCs w:val="24"/>
          <w:lang w:val="el-GR"/>
        </w:rPr>
        <w:t>στον</w:t>
      </w:r>
      <w:r w:rsidRPr="004D562D">
        <w:rPr>
          <w:rFonts w:cstheme="minorHAnsi"/>
          <w:sz w:val="24"/>
          <w:szCs w:val="24"/>
          <w:lang w:val="el-GR"/>
        </w:rPr>
        <w:t xml:space="preserve"> </w:t>
      </w:r>
      <w:r>
        <w:rPr>
          <w:rFonts w:cstheme="minorHAnsi"/>
          <w:sz w:val="24"/>
          <w:szCs w:val="24"/>
          <w:lang w:val="el-GR"/>
        </w:rPr>
        <w:t>Ιδιωτικό</w:t>
      </w:r>
      <w:r w:rsidRPr="004D562D">
        <w:rPr>
          <w:rFonts w:cstheme="minorHAnsi"/>
          <w:sz w:val="24"/>
          <w:szCs w:val="24"/>
          <w:lang w:val="el-GR"/>
        </w:rPr>
        <w:t xml:space="preserve"> </w:t>
      </w:r>
      <w:r>
        <w:rPr>
          <w:rFonts w:cstheme="minorHAnsi"/>
          <w:sz w:val="24"/>
          <w:szCs w:val="24"/>
          <w:lang w:val="el-GR"/>
        </w:rPr>
        <w:t>Τομέα</w:t>
      </w:r>
      <w:r w:rsidR="00A5147D" w:rsidRPr="004D562D">
        <w:rPr>
          <w:rFonts w:cstheme="minorHAnsi"/>
          <w:sz w:val="24"/>
          <w:szCs w:val="24"/>
          <w:lang w:val="el-GR"/>
        </w:rPr>
        <w:t xml:space="preserve"> </w:t>
      </w:r>
      <w:r>
        <w:rPr>
          <w:rFonts w:cstheme="minorHAnsi"/>
          <w:sz w:val="24"/>
          <w:szCs w:val="24"/>
          <w:lang w:val="el-GR"/>
        </w:rPr>
        <w:t>από</w:t>
      </w:r>
      <w:r w:rsidRPr="004D562D">
        <w:rPr>
          <w:rFonts w:cstheme="minorHAnsi"/>
          <w:sz w:val="24"/>
          <w:szCs w:val="24"/>
          <w:lang w:val="el-GR"/>
        </w:rPr>
        <w:t xml:space="preserve"> </w:t>
      </w:r>
      <w:r>
        <w:rPr>
          <w:rFonts w:cstheme="minorHAnsi"/>
          <w:sz w:val="24"/>
          <w:szCs w:val="24"/>
          <w:lang w:val="el-GR"/>
        </w:rPr>
        <w:t>Πρώην</w:t>
      </w:r>
      <w:r w:rsidRPr="004D562D">
        <w:rPr>
          <w:rFonts w:cstheme="minorHAnsi"/>
          <w:sz w:val="24"/>
          <w:szCs w:val="24"/>
          <w:lang w:val="el-GR"/>
        </w:rPr>
        <w:t xml:space="preserve"> </w:t>
      </w:r>
      <w:r>
        <w:rPr>
          <w:rFonts w:cstheme="minorHAnsi"/>
          <w:sz w:val="24"/>
          <w:szCs w:val="24"/>
          <w:lang w:val="el-GR"/>
        </w:rPr>
        <w:t>Κρατικούς</w:t>
      </w:r>
      <w:r w:rsidRPr="004D562D">
        <w:rPr>
          <w:rFonts w:cstheme="minorHAnsi"/>
          <w:sz w:val="24"/>
          <w:szCs w:val="24"/>
          <w:lang w:val="el-GR"/>
        </w:rPr>
        <w:t xml:space="preserve"> </w:t>
      </w:r>
      <w:r>
        <w:rPr>
          <w:rFonts w:cstheme="minorHAnsi"/>
          <w:sz w:val="24"/>
          <w:szCs w:val="24"/>
          <w:lang w:val="el-GR"/>
        </w:rPr>
        <w:t>Αξιωματούχους</w:t>
      </w:r>
      <w:r w:rsidR="00A5147D" w:rsidRPr="004D562D">
        <w:rPr>
          <w:rFonts w:cstheme="minorHAnsi"/>
          <w:sz w:val="24"/>
          <w:szCs w:val="24"/>
          <w:lang w:val="el-GR"/>
        </w:rPr>
        <w:t xml:space="preserve"> </w:t>
      </w:r>
      <w:r>
        <w:rPr>
          <w:rFonts w:cstheme="minorHAnsi"/>
          <w:sz w:val="24"/>
          <w:szCs w:val="24"/>
          <w:lang w:val="el-GR"/>
        </w:rPr>
        <w:t>και</w:t>
      </w:r>
      <w:r w:rsidRPr="004D562D">
        <w:rPr>
          <w:rFonts w:cstheme="minorHAnsi"/>
          <w:sz w:val="24"/>
          <w:szCs w:val="24"/>
          <w:lang w:val="el-GR"/>
        </w:rPr>
        <w:t xml:space="preserve"> </w:t>
      </w:r>
      <w:r>
        <w:rPr>
          <w:rFonts w:cstheme="minorHAnsi"/>
          <w:sz w:val="24"/>
          <w:szCs w:val="24"/>
          <w:lang w:val="el-GR"/>
        </w:rPr>
        <w:t>Ορισμένους</w:t>
      </w:r>
      <w:r w:rsidR="00A5147D" w:rsidRPr="004D562D">
        <w:rPr>
          <w:rFonts w:cstheme="minorHAnsi"/>
          <w:sz w:val="24"/>
          <w:szCs w:val="24"/>
          <w:lang w:val="el-GR"/>
        </w:rPr>
        <w:t xml:space="preserve"> </w:t>
      </w:r>
      <w:r>
        <w:rPr>
          <w:rFonts w:cstheme="minorHAnsi"/>
          <w:sz w:val="24"/>
          <w:szCs w:val="24"/>
          <w:lang w:val="el-GR"/>
        </w:rPr>
        <w:t>Πρώην Υπαλλήλους του Δημοσίου και του Ευρύτερου Δημοσίου Τομέα</w:t>
      </w:r>
      <w:r w:rsidR="00A5147D" w:rsidRPr="004D562D">
        <w:rPr>
          <w:rFonts w:cstheme="minorHAnsi"/>
          <w:sz w:val="24"/>
          <w:szCs w:val="24"/>
          <w:lang w:val="el-GR"/>
        </w:rPr>
        <w:t xml:space="preserve"> (</w:t>
      </w:r>
      <w:r>
        <w:rPr>
          <w:rFonts w:cstheme="minorHAnsi"/>
          <w:sz w:val="24"/>
          <w:szCs w:val="24"/>
          <w:lang w:val="el-GR"/>
        </w:rPr>
        <w:t>Νόμος</w:t>
      </w:r>
      <w:r w:rsidR="00A5147D" w:rsidRPr="004E251E">
        <w:rPr>
          <w:rFonts w:cstheme="minorHAnsi"/>
          <w:sz w:val="24"/>
          <w:szCs w:val="24"/>
        </w:rPr>
        <w:t> </w:t>
      </w:r>
      <w:r w:rsidR="00A5147D" w:rsidRPr="004D562D">
        <w:rPr>
          <w:rFonts w:cstheme="minorHAnsi"/>
          <w:sz w:val="24"/>
          <w:szCs w:val="24"/>
          <w:lang w:val="el-GR"/>
        </w:rPr>
        <w:t>114(</w:t>
      </w:r>
      <w:r w:rsidR="00A5147D" w:rsidRPr="004E251E">
        <w:rPr>
          <w:rFonts w:cstheme="minorHAnsi"/>
          <w:sz w:val="24"/>
          <w:szCs w:val="24"/>
        </w:rPr>
        <w:t>I</w:t>
      </w:r>
      <w:r w:rsidR="00A5147D" w:rsidRPr="004D562D">
        <w:rPr>
          <w:rFonts w:cstheme="minorHAnsi"/>
          <w:sz w:val="24"/>
          <w:szCs w:val="24"/>
          <w:lang w:val="el-GR"/>
        </w:rPr>
        <w:t xml:space="preserve">)/2007), </w:t>
      </w:r>
      <w:r w:rsidR="00874728">
        <w:rPr>
          <w:rFonts w:cstheme="minorHAnsi"/>
          <w:sz w:val="24"/>
          <w:szCs w:val="24"/>
          <w:lang w:val="el-GR"/>
        </w:rPr>
        <w:t xml:space="preserve">καθιδρύθηκε </w:t>
      </w:r>
      <w:r>
        <w:rPr>
          <w:rFonts w:cstheme="minorHAnsi"/>
          <w:sz w:val="24"/>
          <w:szCs w:val="24"/>
          <w:lang w:val="el-GR"/>
        </w:rPr>
        <w:t>μια Ανεξάρτητη Ειδική Επιτροπή</w:t>
      </w:r>
      <w:r w:rsidR="00A5147D" w:rsidRPr="004D562D">
        <w:rPr>
          <w:rFonts w:cstheme="minorHAnsi"/>
          <w:sz w:val="24"/>
          <w:szCs w:val="24"/>
          <w:lang w:val="el-GR"/>
        </w:rPr>
        <w:t xml:space="preserve">. </w:t>
      </w:r>
      <w:r>
        <w:rPr>
          <w:rFonts w:cstheme="minorHAnsi"/>
          <w:sz w:val="24"/>
          <w:szCs w:val="24"/>
          <w:lang w:val="el-GR"/>
        </w:rPr>
        <w:t>Αυτή</w:t>
      </w:r>
      <w:r w:rsidRPr="004D562D">
        <w:rPr>
          <w:rFonts w:cstheme="minorHAnsi"/>
          <w:sz w:val="24"/>
          <w:szCs w:val="24"/>
          <w:lang w:val="el-GR"/>
        </w:rPr>
        <w:t xml:space="preserve"> </w:t>
      </w:r>
      <w:r>
        <w:rPr>
          <w:rFonts w:cstheme="minorHAnsi"/>
          <w:sz w:val="24"/>
          <w:szCs w:val="24"/>
          <w:lang w:val="el-GR"/>
        </w:rPr>
        <w:t>αποτελείται</w:t>
      </w:r>
      <w:r w:rsidRPr="004D562D">
        <w:rPr>
          <w:rFonts w:cstheme="minorHAnsi"/>
          <w:sz w:val="24"/>
          <w:szCs w:val="24"/>
          <w:lang w:val="el-GR"/>
        </w:rPr>
        <w:t xml:space="preserve"> </w:t>
      </w:r>
      <w:r>
        <w:rPr>
          <w:rFonts w:cstheme="minorHAnsi"/>
          <w:sz w:val="24"/>
          <w:szCs w:val="24"/>
          <w:lang w:val="el-GR"/>
        </w:rPr>
        <w:t>από</w:t>
      </w:r>
      <w:r w:rsidRPr="004D562D">
        <w:rPr>
          <w:rFonts w:cstheme="minorHAnsi"/>
          <w:sz w:val="24"/>
          <w:szCs w:val="24"/>
          <w:lang w:val="el-GR"/>
        </w:rPr>
        <w:t xml:space="preserve"> </w:t>
      </w:r>
      <w:r>
        <w:rPr>
          <w:rFonts w:cstheme="minorHAnsi"/>
          <w:sz w:val="24"/>
          <w:szCs w:val="24"/>
          <w:lang w:val="el-GR"/>
        </w:rPr>
        <w:t>ένα</w:t>
      </w:r>
      <w:r w:rsidRPr="004D562D">
        <w:rPr>
          <w:rFonts w:cstheme="minorHAnsi"/>
          <w:sz w:val="24"/>
          <w:szCs w:val="24"/>
          <w:lang w:val="el-GR"/>
        </w:rPr>
        <w:t xml:space="preserve"> </w:t>
      </w:r>
      <w:r w:rsidR="00923F12">
        <w:rPr>
          <w:rFonts w:cstheme="minorHAnsi"/>
          <w:sz w:val="24"/>
          <w:szCs w:val="24"/>
          <w:lang w:val="el-GR"/>
        </w:rPr>
        <w:t xml:space="preserve">εκπρόσωπο </w:t>
      </w:r>
      <w:r>
        <w:rPr>
          <w:rFonts w:cstheme="minorHAnsi"/>
          <w:sz w:val="24"/>
          <w:szCs w:val="24"/>
          <w:lang w:val="el-GR"/>
        </w:rPr>
        <w:t>της</w:t>
      </w:r>
      <w:r w:rsidRPr="004D562D">
        <w:rPr>
          <w:rFonts w:cstheme="minorHAnsi"/>
          <w:sz w:val="24"/>
          <w:szCs w:val="24"/>
          <w:lang w:val="el-GR"/>
        </w:rPr>
        <w:t xml:space="preserve"> </w:t>
      </w:r>
      <w:r>
        <w:rPr>
          <w:rFonts w:cstheme="minorHAnsi"/>
          <w:sz w:val="24"/>
          <w:szCs w:val="24"/>
          <w:lang w:val="el-GR"/>
        </w:rPr>
        <w:t>Νομικής</w:t>
      </w:r>
      <w:r w:rsidRPr="004D562D">
        <w:rPr>
          <w:rFonts w:cstheme="minorHAnsi"/>
          <w:sz w:val="24"/>
          <w:szCs w:val="24"/>
          <w:lang w:val="el-GR"/>
        </w:rPr>
        <w:t xml:space="preserve"> </w:t>
      </w:r>
      <w:r>
        <w:rPr>
          <w:rFonts w:cstheme="minorHAnsi"/>
          <w:sz w:val="24"/>
          <w:szCs w:val="24"/>
          <w:lang w:val="el-GR"/>
        </w:rPr>
        <w:t>Υπηρεσίας</w:t>
      </w:r>
      <w:r w:rsidRPr="004D562D">
        <w:rPr>
          <w:rFonts w:cstheme="minorHAnsi"/>
          <w:sz w:val="24"/>
          <w:szCs w:val="24"/>
          <w:lang w:val="el-GR"/>
        </w:rPr>
        <w:t xml:space="preserve"> </w:t>
      </w:r>
      <w:r>
        <w:rPr>
          <w:rFonts w:cstheme="minorHAnsi"/>
          <w:sz w:val="24"/>
          <w:szCs w:val="24"/>
          <w:lang w:val="el-GR"/>
        </w:rPr>
        <w:t>της</w:t>
      </w:r>
      <w:r w:rsidRPr="004D562D">
        <w:rPr>
          <w:rFonts w:cstheme="minorHAnsi"/>
          <w:sz w:val="24"/>
          <w:szCs w:val="24"/>
          <w:lang w:val="el-GR"/>
        </w:rPr>
        <w:t xml:space="preserve"> </w:t>
      </w:r>
      <w:r>
        <w:rPr>
          <w:rFonts w:cstheme="minorHAnsi"/>
          <w:sz w:val="24"/>
          <w:szCs w:val="24"/>
          <w:lang w:val="el-GR"/>
        </w:rPr>
        <w:t>Δημοκρατίας</w:t>
      </w:r>
      <w:r w:rsidR="00A5147D"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διορισμένο</w:t>
      </w:r>
      <w:r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από</w:t>
      </w:r>
      <w:r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τον</w:t>
      </w:r>
      <w:r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Γενικό</w:t>
      </w:r>
      <w:r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Εισαγγελέα</w:t>
      </w:r>
      <w:r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της</w:t>
      </w:r>
      <w:r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Δημοκρατίας</w:t>
      </w:r>
      <w:r w:rsidR="00A5147D"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που</w:t>
      </w:r>
      <w:r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θα</w:t>
      </w:r>
      <w:r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είναι</w:t>
      </w:r>
      <w:r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ο</w:t>
      </w:r>
      <w:r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Πρόεδρος</w:t>
      </w:r>
      <w:r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της</w:t>
      </w:r>
      <w:r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Επιτροπής</w:t>
      </w:r>
      <w:r w:rsidRPr="004D562D">
        <w:rPr>
          <w:rFonts w:eastAsia="Calibri" w:cstheme="minorHAnsi"/>
          <w:sz w:val="24"/>
          <w:szCs w:val="24"/>
          <w:u w:color="000000"/>
          <w:bdr w:val="nil"/>
          <w:lang w:val="el-GR"/>
        </w:rPr>
        <w:t>,</w:t>
      </w:r>
      <w:r w:rsidR="00A5147D"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 xml:space="preserve">ένα </w:t>
      </w:r>
      <w:r w:rsidR="00923F12">
        <w:rPr>
          <w:rFonts w:eastAsia="Calibri" w:cstheme="minorHAnsi"/>
          <w:sz w:val="24"/>
          <w:szCs w:val="24"/>
          <w:u w:color="000000"/>
          <w:bdr w:val="nil"/>
          <w:lang w:val="el-GR"/>
        </w:rPr>
        <w:t xml:space="preserve">εκπρόσωπο </w:t>
      </w:r>
      <w:r>
        <w:rPr>
          <w:rFonts w:eastAsia="Calibri" w:cstheme="minorHAnsi"/>
          <w:sz w:val="24"/>
          <w:szCs w:val="24"/>
          <w:u w:color="000000"/>
          <w:bdr w:val="nil"/>
          <w:lang w:val="el-GR"/>
        </w:rPr>
        <w:t>της Ελεγκτικής Υπηρεσίας</w:t>
      </w:r>
      <w:r w:rsidR="00A5147D"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διορισμένο από τον Γενικό Ελεγκτή της Δημοκρατίας,</w:t>
      </w:r>
      <w:r w:rsidR="00A5147D"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 xml:space="preserve">και ένα </w:t>
      </w:r>
      <w:r w:rsidR="00923F12">
        <w:rPr>
          <w:rFonts w:eastAsia="Calibri" w:cstheme="minorHAnsi"/>
          <w:sz w:val="24"/>
          <w:szCs w:val="24"/>
          <w:u w:color="000000"/>
          <w:bdr w:val="nil"/>
          <w:lang w:val="el-GR"/>
        </w:rPr>
        <w:t xml:space="preserve">εκπρόσωπο </w:t>
      </w:r>
      <w:r>
        <w:rPr>
          <w:rFonts w:eastAsia="Calibri" w:cstheme="minorHAnsi"/>
          <w:sz w:val="24"/>
          <w:szCs w:val="24"/>
          <w:u w:color="000000"/>
          <w:bdr w:val="nil"/>
          <w:lang w:val="el-GR"/>
        </w:rPr>
        <w:t>του Γενικού Λογιστηρίου της Δημοκρατίας</w:t>
      </w:r>
      <w:r w:rsidR="00A5147D" w:rsidRPr="004D562D">
        <w:rPr>
          <w:rFonts w:eastAsia="Calibri" w:cstheme="minorHAnsi"/>
          <w:sz w:val="24"/>
          <w:szCs w:val="24"/>
          <w:u w:color="000000"/>
          <w:bdr w:val="nil"/>
          <w:lang w:val="el-GR"/>
        </w:rPr>
        <w:t xml:space="preserve">, </w:t>
      </w:r>
      <w:r>
        <w:rPr>
          <w:rFonts w:eastAsia="Calibri" w:cstheme="minorHAnsi"/>
          <w:sz w:val="24"/>
          <w:szCs w:val="24"/>
          <w:u w:color="000000"/>
          <w:bdr w:val="nil"/>
          <w:lang w:val="el-GR"/>
        </w:rPr>
        <w:t>διορισμένο από τον Γενικό Λογιστή</w:t>
      </w:r>
      <w:r w:rsidR="00A5147D" w:rsidRPr="004D562D">
        <w:rPr>
          <w:rFonts w:eastAsia="Calibri" w:cstheme="minorHAnsi"/>
          <w:sz w:val="24"/>
          <w:szCs w:val="24"/>
          <w:u w:color="000000"/>
          <w:bdr w:val="nil"/>
          <w:lang w:val="el-GR"/>
        </w:rPr>
        <w:t>.</w:t>
      </w:r>
    </w:p>
    <w:p w14:paraId="47954AB2" w14:textId="77777777" w:rsidR="00A5147D" w:rsidRPr="004D562D" w:rsidRDefault="00A5147D" w:rsidP="00A5147D">
      <w:pPr>
        <w:pBdr>
          <w:top w:val="nil"/>
          <w:left w:val="nil"/>
          <w:bottom w:val="nil"/>
          <w:right w:val="nil"/>
          <w:between w:val="nil"/>
          <w:bar w:val="nil"/>
        </w:pBdr>
        <w:tabs>
          <w:tab w:val="left" w:pos="709"/>
        </w:tabs>
        <w:rPr>
          <w:rFonts w:eastAsia="Calibri" w:cstheme="minorHAnsi"/>
          <w:sz w:val="24"/>
          <w:szCs w:val="24"/>
          <w:u w:color="000000"/>
          <w:bdr w:val="nil"/>
          <w:lang w:val="el-GR"/>
        </w:rPr>
      </w:pPr>
    </w:p>
    <w:p w14:paraId="455F6A27" w14:textId="273FE93A" w:rsidR="00A5147D" w:rsidRPr="00771963" w:rsidRDefault="004D562D" w:rsidP="00A5147D">
      <w:pPr>
        <w:numPr>
          <w:ilvl w:val="0"/>
          <w:numId w:val="1"/>
        </w:numPr>
        <w:tabs>
          <w:tab w:val="clear" w:pos="6095"/>
          <w:tab w:val="left" w:pos="709"/>
        </w:tabs>
        <w:ind w:left="0" w:firstLine="0"/>
        <w:rPr>
          <w:rFonts w:cstheme="minorHAnsi"/>
          <w:sz w:val="24"/>
          <w:szCs w:val="24"/>
          <w:lang w:val="el-GR"/>
        </w:rPr>
      </w:pPr>
      <w:bookmarkStart w:id="163" w:name="_Hlk120804374"/>
      <w:r>
        <w:rPr>
          <w:rFonts w:cstheme="minorHAnsi"/>
          <w:sz w:val="24"/>
          <w:szCs w:val="24"/>
          <w:lang w:val="el-GR"/>
        </w:rPr>
        <w:t>Η</w:t>
      </w:r>
      <w:r w:rsidRPr="004D562D">
        <w:rPr>
          <w:rFonts w:cstheme="minorHAnsi"/>
          <w:sz w:val="24"/>
          <w:szCs w:val="24"/>
          <w:lang w:val="el-GR"/>
        </w:rPr>
        <w:t xml:space="preserve"> </w:t>
      </w:r>
      <w:r w:rsidR="00923F12">
        <w:rPr>
          <w:rFonts w:cstheme="minorHAnsi"/>
          <w:sz w:val="24"/>
          <w:szCs w:val="24"/>
          <w:lang w:val="el-GR"/>
        </w:rPr>
        <w:t xml:space="preserve">αρμοδιότητα </w:t>
      </w:r>
      <w:r>
        <w:rPr>
          <w:rFonts w:cstheme="minorHAnsi"/>
          <w:sz w:val="24"/>
          <w:szCs w:val="24"/>
          <w:lang w:val="el-GR"/>
        </w:rPr>
        <w:t>της</w:t>
      </w:r>
      <w:r w:rsidRPr="004D562D">
        <w:rPr>
          <w:rFonts w:cstheme="minorHAnsi"/>
          <w:sz w:val="24"/>
          <w:szCs w:val="24"/>
          <w:lang w:val="el-GR"/>
        </w:rPr>
        <w:t xml:space="preserve"> </w:t>
      </w:r>
      <w:r>
        <w:rPr>
          <w:rFonts w:cstheme="minorHAnsi"/>
          <w:sz w:val="24"/>
          <w:szCs w:val="24"/>
          <w:lang w:val="el-GR"/>
        </w:rPr>
        <w:t>είναι</w:t>
      </w:r>
      <w:r w:rsidRPr="004D562D">
        <w:rPr>
          <w:rFonts w:cstheme="minorHAnsi"/>
          <w:sz w:val="24"/>
          <w:szCs w:val="24"/>
          <w:lang w:val="el-GR"/>
        </w:rPr>
        <w:t xml:space="preserve"> </w:t>
      </w:r>
      <w:r>
        <w:rPr>
          <w:rFonts w:cstheme="minorHAnsi"/>
          <w:sz w:val="24"/>
          <w:szCs w:val="24"/>
          <w:lang w:val="el-GR"/>
        </w:rPr>
        <w:t>να</w:t>
      </w:r>
      <w:r w:rsidRPr="004D562D">
        <w:rPr>
          <w:rFonts w:cstheme="minorHAnsi"/>
          <w:sz w:val="24"/>
          <w:szCs w:val="24"/>
          <w:lang w:val="el-GR"/>
        </w:rPr>
        <w:t xml:space="preserve"> </w:t>
      </w:r>
      <w:r>
        <w:rPr>
          <w:rFonts w:cstheme="minorHAnsi"/>
          <w:sz w:val="24"/>
          <w:szCs w:val="24"/>
          <w:lang w:val="el-GR"/>
        </w:rPr>
        <w:t>εξετάζει</w:t>
      </w:r>
      <w:r w:rsidRPr="004D562D">
        <w:rPr>
          <w:rFonts w:cstheme="minorHAnsi"/>
          <w:sz w:val="24"/>
          <w:szCs w:val="24"/>
          <w:lang w:val="el-GR"/>
        </w:rPr>
        <w:t xml:space="preserve"> </w:t>
      </w:r>
      <w:r>
        <w:rPr>
          <w:rFonts w:cstheme="minorHAnsi"/>
          <w:sz w:val="24"/>
          <w:szCs w:val="24"/>
          <w:lang w:val="el-GR"/>
        </w:rPr>
        <w:t>αιτήσεις</w:t>
      </w:r>
      <w:r w:rsidRPr="004D562D">
        <w:rPr>
          <w:rFonts w:cstheme="minorHAnsi"/>
          <w:sz w:val="24"/>
          <w:szCs w:val="24"/>
          <w:lang w:val="el-GR"/>
        </w:rPr>
        <w:t xml:space="preserve"> </w:t>
      </w:r>
      <w:r>
        <w:rPr>
          <w:rFonts w:cstheme="minorHAnsi"/>
          <w:sz w:val="24"/>
          <w:szCs w:val="24"/>
          <w:lang w:val="el-GR"/>
        </w:rPr>
        <w:t>από</w:t>
      </w:r>
      <w:r w:rsidRPr="004D562D">
        <w:rPr>
          <w:rFonts w:cstheme="minorHAnsi"/>
          <w:sz w:val="24"/>
          <w:szCs w:val="24"/>
          <w:lang w:val="el-GR"/>
        </w:rPr>
        <w:t xml:space="preserve"> </w:t>
      </w:r>
      <w:r>
        <w:rPr>
          <w:rFonts w:cstheme="minorHAnsi"/>
          <w:sz w:val="24"/>
          <w:szCs w:val="24"/>
          <w:lang w:val="el-GR"/>
        </w:rPr>
        <w:t>πρώην</w:t>
      </w:r>
      <w:r w:rsidRPr="004D562D">
        <w:rPr>
          <w:rFonts w:cstheme="minorHAnsi"/>
          <w:sz w:val="24"/>
          <w:szCs w:val="24"/>
          <w:lang w:val="el-GR"/>
        </w:rPr>
        <w:t xml:space="preserve"> </w:t>
      </w:r>
      <w:r>
        <w:rPr>
          <w:rFonts w:cstheme="minorHAnsi"/>
          <w:sz w:val="24"/>
          <w:szCs w:val="24"/>
          <w:lang w:val="el-GR"/>
        </w:rPr>
        <w:t>κρατικούς</w:t>
      </w:r>
      <w:r w:rsidRPr="004D562D">
        <w:rPr>
          <w:rFonts w:cstheme="minorHAnsi"/>
          <w:sz w:val="24"/>
          <w:szCs w:val="24"/>
          <w:lang w:val="el-GR"/>
        </w:rPr>
        <w:t xml:space="preserve"> </w:t>
      </w:r>
      <w:r>
        <w:rPr>
          <w:rFonts w:cstheme="minorHAnsi"/>
          <w:sz w:val="24"/>
          <w:szCs w:val="24"/>
          <w:lang w:val="el-GR"/>
        </w:rPr>
        <w:t>αξιωματούχους</w:t>
      </w:r>
      <w:r w:rsidRPr="004D562D">
        <w:rPr>
          <w:rFonts w:cstheme="minorHAnsi"/>
          <w:sz w:val="24"/>
          <w:szCs w:val="24"/>
          <w:lang w:val="el-GR"/>
        </w:rPr>
        <w:t xml:space="preserve"> </w:t>
      </w:r>
      <w:r>
        <w:rPr>
          <w:rFonts w:cstheme="minorHAnsi"/>
          <w:sz w:val="24"/>
          <w:szCs w:val="24"/>
          <w:lang w:val="el-GR"/>
        </w:rPr>
        <w:t>και</w:t>
      </w:r>
      <w:r w:rsidRPr="004D562D">
        <w:rPr>
          <w:rFonts w:cstheme="minorHAnsi"/>
          <w:sz w:val="24"/>
          <w:szCs w:val="24"/>
          <w:lang w:val="el-GR"/>
        </w:rPr>
        <w:t xml:space="preserve"> </w:t>
      </w:r>
      <w:r>
        <w:rPr>
          <w:rFonts w:cstheme="minorHAnsi"/>
          <w:sz w:val="24"/>
          <w:szCs w:val="24"/>
          <w:lang w:val="el-GR"/>
        </w:rPr>
        <w:t>να</w:t>
      </w:r>
      <w:r w:rsidRPr="004D562D">
        <w:rPr>
          <w:rFonts w:cstheme="minorHAnsi"/>
          <w:sz w:val="24"/>
          <w:szCs w:val="24"/>
          <w:lang w:val="el-GR"/>
        </w:rPr>
        <w:t xml:space="preserve"> </w:t>
      </w:r>
      <w:r>
        <w:rPr>
          <w:rFonts w:cstheme="minorHAnsi"/>
          <w:sz w:val="24"/>
          <w:szCs w:val="24"/>
          <w:lang w:val="el-GR"/>
        </w:rPr>
        <w:t xml:space="preserve">αποφασίζει αν ο </w:t>
      </w:r>
      <w:proofErr w:type="spellStart"/>
      <w:r>
        <w:rPr>
          <w:rFonts w:cstheme="minorHAnsi"/>
          <w:sz w:val="24"/>
          <w:szCs w:val="24"/>
          <w:lang w:val="el-GR"/>
        </w:rPr>
        <w:t>αιτητής</w:t>
      </w:r>
      <w:proofErr w:type="spellEnd"/>
      <w:r>
        <w:rPr>
          <w:rFonts w:cstheme="minorHAnsi"/>
          <w:sz w:val="24"/>
          <w:szCs w:val="24"/>
          <w:lang w:val="el-GR"/>
        </w:rPr>
        <w:t xml:space="preserve"> μπορεί να αναλάβει εργασία στον ιδιωτικό τομέα ή όχι</w:t>
      </w:r>
      <w:r w:rsidR="00A5147D" w:rsidRPr="004D562D">
        <w:rPr>
          <w:rFonts w:cstheme="minorHAnsi"/>
          <w:sz w:val="24"/>
          <w:szCs w:val="24"/>
          <w:lang w:val="el-GR"/>
        </w:rPr>
        <w:t xml:space="preserve">. </w:t>
      </w:r>
      <w:r>
        <w:rPr>
          <w:rFonts w:cstheme="minorHAnsi"/>
          <w:sz w:val="24"/>
          <w:szCs w:val="24"/>
          <w:lang w:val="el-GR"/>
        </w:rPr>
        <w:t>Αυτή</w:t>
      </w:r>
      <w:r w:rsidRPr="00771963">
        <w:rPr>
          <w:rFonts w:cstheme="minorHAnsi"/>
          <w:sz w:val="24"/>
          <w:szCs w:val="24"/>
          <w:lang w:val="el-GR"/>
        </w:rPr>
        <w:t xml:space="preserve"> </w:t>
      </w:r>
      <w:r>
        <w:rPr>
          <w:rFonts w:cstheme="minorHAnsi"/>
          <w:sz w:val="24"/>
          <w:szCs w:val="24"/>
          <w:lang w:val="el-GR"/>
        </w:rPr>
        <w:t>διερευνά</w:t>
      </w:r>
      <w:r w:rsidRPr="00771963">
        <w:rPr>
          <w:rFonts w:cstheme="minorHAnsi"/>
          <w:sz w:val="24"/>
          <w:szCs w:val="24"/>
          <w:lang w:val="el-GR"/>
        </w:rPr>
        <w:t xml:space="preserve"> </w:t>
      </w:r>
      <w:r w:rsidR="00923F12">
        <w:rPr>
          <w:rFonts w:cstheme="minorHAnsi"/>
          <w:sz w:val="24"/>
          <w:szCs w:val="24"/>
          <w:lang w:val="el-GR"/>
        </w:rPr>
        <w:t xml:space="preserve">αυτεπάγγελτα </w:t>
      </w:r>
      <w:r>
        <w:rPr>
          <w:rFonts w:cstheme="minorHAnsi"/>
          <w:sz w:val="24"/>
          <w:szCs w:val="24"/>
          <w:lang w:val="el-GR"/>
        </w:rPr>
        <w:t>ή</w:t>
      </w:r>
      <w:r w:rsidRPr="00771963">
        <w:rPr>
          <w:rFonts w:cstheme="minorHAnsi"/>
          <w:sz w:val="24"/>
          <w:szCs w:val="24"/>
          <w:lang w:val="el-GR"/>
        </w:rPr>
        <w:t xml:space="preserve"> </w:t>
      </w:r>
      <w:r>
        <w:rPr>
          <w:rFonts w:cstheme="minorHAnsi"/>
          <w:sz w:val="24"/>
          <w:szCs w:val="24"/>
          <w:lang w:val="el-GR"/>
        </w:rPr>
        <w:t>κατόπιν</w:t>
      </w:r>
      <w:r w:rsidRPr="00771963">
        <w:rPr>
          <w:rFonts w:cstheme="minorHAnsi"/>
          <w:sz w:val="24"/>
          <w:szCs w:val="24"/>
          <w:lang w:val="el-GR"/>
        </w:rPr>
        <w:t xml:space="preserve"> </w:t>
      </w:r>
      <w:r w:rsidR="00923F12">
        <w:rPr>
          <w:rFonts w:cstheme="minorHAnsi"/>
          <w:sz w:val="24"/>
          <w:szCs w:val="24"/>
          <w:lang w:val="el-GR"/>
        </w:rPr>
        <w:t xml:space="preserve">καταγγελίας </w:t>
      </w:r>
      <w:r>
        <w:rPr>
          <w:rFonts w:cstheme="minorHAnsi"/>
          <w:sz w:val="24"/>
          <w:szCs w:val="24"/>
          <w:lang w:val="el-GR"/>
        </w:rPr>
        <w:t>ή</w:t>
      </w:r>
      <w:r w:rsidRPr="00771963">
        <w:rPr>
          <w:rFonts w:cstheme="minorHAnsi"/>
          <w:sz w:val="24"/>
          <w:szCs w:val="24"/>
          <w:lang w:val="el-GR"/>
        </w:rPr>
        <w:t xml:space="preserve"> </w:t>
      </w:r>
      <w:r>
        <w:rPr>
          <w:rFonts w:cstheme="minorHAnsi"/>
          <w:sz w:val="24"/>
          <w:szCs w:val="24"/>
          <w:lang w:val="el-GR"/>
        </w:rPr>
        <w:t>μετά</w:t>
      </w:r>
      <w:r w:rsidRPr="00771963">
        <w:rPr>
          <w:rFonts w:cstheme="minorHAnsi"/>
          <w:sz w:val="24"/>
          <w:szCs w:val="24"/>
          <w:lang w:val="el-GR"/>
        </w:rPr>
        <w:t xml:space="preserve"> </w:t>
      </w:r>
      <w:r>
        <w:rPr>
          <w:rFonts w:cstheme="minorHAnsi"/>
          <w:sz w:val="24"/>
          <w:szCs w:val="24"/>
          <w:lang w:val="el-GR"/>
        </w:rPr>
        <w:t>από</w:t>
      </w:r>
      <w:r w:rsidR="00A5147D" w:rsidRPr="00771963">
        <w:rPr>
          <w:rFonts w:cstheme="minorHAnsi"/>
          <w:sz w:val="24"/>
          <w:szCs w:val="24"/>
          <w:lang w:val="el-GR"/>
        </w:rPr>
        <w:t xml:space="preserve"> </w:t>
      </w:r>
      <w:r w:rsidR="00771963">
        <w:rPr>
          <w:rFonts w:cstheme="minorHAnsi"/>
          <w:sz w:val="24"/>
          <w:szCs w:val="24"/>
          <w:lang w:val="el-GR"/>
        </w:rPr>
        <w:t>γραπτή αποκάλυψη του ατόμου που αναλαμβάνει καθήκοντα</w:t>
      </w:r>
      <w:r w:rsidR="00A5147D" w:rsidRPr="00771963">
        <w:rPr>
          <w:rFonts w:cstheme="minorHAnsi"/>
          <w:sz w:val="24"/>
          <w:szCs w:val="24"/>
          <w:lang w:val="el-GR"/>
        </w:rPr>
        <w:t xml:space="preserve">. </w:t>
      </w:r>
      <w:r w:rsidR="00A20DDF">
        <w:rPr>
          <w:rFonts w:cstheme="minorHAnsi"/>
          <w:sz w:val="24"/>
          <w:szCs w:val="24"/>
          <w:lang w:val="el-GR"/>
        </w:rPr>
        <w:t>Π</w:t>
      </w:r>
      <w:r w:rsidR="00771963">
        <w:rPr>
          <w:rFonts w:cstheme="minorHAnsi"/>
          <w:sz w:val="24"/>
          <w:szCs w:val="24"/>
          <w:lang w:val="el-GR"/>
        </w:rPr>
        <w:t>αραβάσεις</w:t>
      </w:r>
      <w:r w:rsidR="00771963" w:rsidRPr="00771963">
        <w:rPr>
          <w:rFonts w:cstheme="minorHAnsi"/>
          <w:sz w:val="24"/>
          <w:szCs w:val="24"/>
          <w:lang w:val="el-GR"/>
        </w:rPr>
        <w:t xml:space="preserve"> </w:t>
      </w:r>
      <w:r w:rsidR="00923F12">
        <w:rPr>
          <w:rFonts w:cstheme="minorHAnsi"/>
          <w:sz w:val="24"/>
          <w:szCs w:val="24"/>
          <w:lang w:val="el-GR"/>
        </w:rPr>
        <w:t xml:space="preserve">των διατάξεων </w:t>
      </w:r>
      <w:r w:rsidR="00771963">
        <w:rPr>
          <w:rFonts w:cstheme="minorHAnsi"/>
          <w:sz w:val="24"/>
          <w:szCs w:val="24"/>
          <w:lang w:val="el-GR"/>
        </w:rPr>
        <w:t>μπορεί</w:t>
      </w:r>
      <w:r w:rsidR="00771963" w:rsidRPr="00771963">
        <w:rPr>
          <w:rFonts w:cstheme="minorHAnsi"/>
          <w:sz w:val="24"/>
          <w:szCs w:val="24"/>
          <w:lang w:val="el-GR"/>
        </w:rPr>
        <w:t xml:space="preserve"> </w:t>
      </w:r>
      <w:r w:rsidR="00771963">
        <w:rPr>
          <w:rFonts w:cstheme="minorHAnsi"/>
          <w:sz w:val="24"/>
          <w:szCs w:val="24"/>
          <w:lang w:val="el-GR"/>
        </w:rPr>
        <w:t>να</w:t>
      </w:r>
      <w:r w:rsidR="00771963" w:rsidRPr="00771963">
        <w:rPr>
          <w:rFonts w:cstheme="minorHAnsi"/>
          <w:sz w:val="24"/>
          <w:szCs w:val="24"/>
          <w:lang w:val="el-GR"/>
        </w:rPr>
        <w:t xml:space="preserve"> </w:t>
      </w:r>
      <w:r w:rsidR="00923F12">
        <w:rPr>
          <w:rFonts w:cstheme="minorHAnsi"/>
          <w:sz w:val="24"/>
          <w:szCs w:val="24"/>
          <w:lang w:val="el-GR"/>
        </w:rPr>
        <w:t xml:space="preserve">επιφέρουν </w:t>
      </w:r>
      <w:r w:rsidR="00771963">
        <w:rPr>
          <w:rFonts w:cstheme="minorHAnsi"/>
          <w:sz w:val="24"/>
          <w:szCs w:val="24"/>
          <w:lang w:val="el-GR"/>
        </w:rPr>
        <w:t>κυρώσεις που περιλαμβάνουν πρόστιμα</w:t>
      </w:r>
      <w:r w:rsidR="00A5147D" w:rsidRPr="00771963">
        <w:rPr>
          <w:rFonts w:cstheme="minorHAnsi"/>
          <w:sz w:val="24"/>
          <w:szCs w:val="24"/>
          <w:lang w:val="el-GR"/>
        </w:rPr>
        <w:t xml:space="preserve"> (</w:t>
      </w:r>
      <w:r w:rsidR="00771963">
        <w:rPr>
          <w:rFonts w:cstheme="minorHAnsi"/>
          <w:sz w:val="24"/>
          <w:szCs w:val="24"/>
          <w:lang w:val="el-GR"/>
        </w:rPr>
        <w:t>μέχρι</w:t>
      </w:r>
      <w:r w:rsidR="00A5147D" w:rsidRPr="00771963">
        <w:rPr>
          <w:rFonts w:cstheme="minorHAnsi"/>
          <w:sz w:val="24"/>
          <w:szCs w:val="24"/>
          <w:lang w:val="el-GR"/>
        </w:rPr>
        <w:t xml:space="preserve"> €30 000) </w:t>
      </w:r>
      <w:r w:rsidR="00771963">
        <w:rPr>
          <w:rFonts w:cstheme="minorHAnsi"/>
          <w:sz w:val="24"/>
          <w:szCs w:val="24"/>
          <w:lang w:val="el-GR"/>
        </w:rPr>
        <w:t>ή φυλάκιση</w:t>
      </w:r>
      <w:r w:rsidR="00A5147D" w:rsidRPr="00771963">
        <w:rPr>
          <w:rFonts w:cstheme="minorHAnsi"/>
          <w:sz w:val="24"/>
          <w:szCs w:val="24"/>
          <w:lang w:val="el-GR"/>
        </w:rPr>
        <w:t xml:space="preserve"> (</w:t>
      </w:r>
      <w:r w:rsidR="00771963">
        <w:rPr>
          <w:rFonts w:cstheme="minorHAnsi"/>
          <w:sz w:val="24"/>
          <w:szCs w:val="24"/>
          <w:lang w:val="el-GR"/>
        </w:rPr>
        <w:t>μέχρι τρία χρόνια</w:t>
      </w:r>
      <w:r w:rsidR="00A5147D" w:rsidRPr="00771963">
        <w:rPr>
          <w:rFonts w:cstheme="minorHAnsi"/>
          <w:sz w:val="24"/>
          <w:szCs w:val="24"/>
          <w:lang w:val="el-GR"/>
        </w:rPr>
        <w:t xml:space="preserve">). </w:t>
      </w:r>
    </w:p>
    <w:bookmarkEnd w:id="163"/>
    <w:p w14:paraId="78782BB0" w14:textId="77777777" w:rsidR="00A5147D" w:rsidRPr="00771963" w:rsidRDefault="00A5147D" w:rsidP="00A5147D">
      <w:pPr>
        <w:pBdr>
          <w:top w:val="nil"/>
          <w:left w:val="nil"/>
          <w:bottom w:val="nil"/>
          <w:right w:val="nil"/>
          <w:between w:val="nil"/>
          <w:bar w:val="nil"/>
        </w:pBdr>
        <w:tabs>
          <w:tab w:val="left" w:pos="709"/>
        </w:tabs>
        <w:rPr>
          <w:rFonts w:cstheme="minorHAnsi"/>
          <w:sz w:val="24"/>
          <w:szCs w:val="24"/>
          <w:lang w:val="el-GR"/>
        </w:rPr>
      </w:pPr>
    </w:p>
    <w:p w14:paraId="3530F0C1" w14:textId="46627483" w:rsidR="00A5147D" w:rsidRPr="00771963" w:rsidRDefault="00923F12" w:rsidP="00A5147D">
      <w:pPr>
        <w:keepNext/>
        <w:pBdr>
          <w:top w:val="nil"/>
          <w:left w:val="nil"/>
          <w:bottom w:val="nil"/>
          <w:right w:val="nil"/>
          <w:between w:val="nil"/>
          <w:bar w:val="nil"/>
        </w:pBdr>
        <w:tabs>
          <w:tab w:val="left" w:pos="567"/>
        </w:tabs>
        <w:rPr>
          <w:rFonts w:eastAsia="Calibri" w:cstheme="minorHAnsi"/>
          <w:i/>
          <w:iCs/>
          <w:sz w:val="24"/>
          <w:szCs w:val="24"/>
          <w:u w:val="single"/>
          <w:bdr w:val="nil"/>
          <w:lang w:val="el-GR"/>
        </w:rPr>
      </w:pPr>
      <w:bookmarkStart w:id="164" w:name="_Hlk120804613"/>
      <w:r>
        <w:rPr>
          <w:rFonts w:ascii="Calibri" w:eastAsia="Calibri" w:hAnsi="Calibri" w:cs="Calibri"/>
          <w:i/>
          <w:iCs/>
          <w:sz w:val="24"/>
          <w:szCs w:val="24"/>
          <w:u w:val="single"/>
          <w:lang w:val="el-GR"/>
        </w:rPr>
        <w:t xml:space="preserve">Ειδική </w:t>
      </w:r>
      <w:r w:rsidR="00771963">
        <w:rPr>
          <w:rFonts w:ascii="Calibri" w:eastAsia="Calibri" w:hAnsi="Calibri" w:cs="Calibri"/>
          <w:i/>
          <w:iCs/>
          <w:sz w:val="24"/>
          <w:szCs w:val="24"/>
          <w:u w:val="single"/>
          <w:lang w:val="el-GR"/>
        </w:rPr>
        <w:t>Κοινοβουλευτική</w:t>
      </w:r>
      <w:r w:rsidR="00771963" w:rsidRPr="00771963">
        <w:rPr>
          <w:rFonts w:ascii="Calibri" w:eastAsia="Calibri" w:hAnsi="Calibri" w:cs="Calibri"/>
          <w:i/>
          <w:iCs/>
          <w:sz w:val="24"/>
          <w:szCs w:val="24"/>
          <w:u w:val="single"/>
          <w:lang w:val="el-GR"/>
        </w:rPr>
        <w:t xml:space="preserve"> </w:t>
      </w:r>
      <w:r w:rsidR="00771963">
        <w:rPr>
          <w:rFonts w:ascii="Calibri" w:eastAsia="Calibri" w:hAnsi="Calibri" w:cs="Calibri"/>
          <w:i/>
          <w:iCs/>
          <w:sz w:val="24"/>
          <w:szCs w:val="24"/>
          <w:u w:val="single"/>
          <w:lang w:val="el-GR"/>
        </w:rPr>
        <w:t>Επιτροπή</w:t>
      </w:r>
      <w:r w:rsidR="00771963" w:rsidRPr="00771963">
        <w:rPr>
          <w:rFonts w:ascii="Calibri" w:eastAsia="Calibri" w:hAnsi="Calibri" w:cs="Calibri"/>
          <w:i/>
          <w:iCs/>
          <w:sz w:val="24"/>
          <w:szCs w:val="24"/>
          <w:u w:val="single"/>
          <w:lang w:val="el-GR"/>
        </w:rPr>
        <w:t xml:space="preserve"> </w:t>
      </w:r>
      <w:r w:rsidR="00771963">
        <w:rPr>
          <w:rFonts w:ascii="Calibri" w:eastAsia="Calibri" w:hAnsi="Calibri" w:cs="Calibri"/>
          <w:i/>
          <w:iCs/>
          <w:sz w:val="24"/>
          <w:szCs w:val="24"/>
          <w:u w:val="single"/>
          <w:lang w:val="el-GR"/>
        </w:rPr>
        <w:t>για</w:t>
      </w:r>
      <w:r w:rsidR="00771963" w:rsidRPr="00771963">
        <w:rPr>
          <w:rFonts w:ascii="Calibri" w:eastAsia="Calibri" w:hAnsi="Calibri" w:cs="Calibri"/>
          <w:i/>
          <w:iCs/>
          <w:sz w:val="24"/>
          <w:szCs w:val="24"/>
          <w:u w:val="single"/>
          <w:lang w:val="el-GR"/>
        </w:rPr>
        <w:t xml:space="preserve"> </w:t>
      </w:r>
      <w:r w:rsidR="00771963">
        <w:rPr>
          <w:rFonts w:ascii="Calibri" w:eastAsia="Calibri" w:hAnsi="Calibri" w:cs="Calibri"/>
          <w:i/>
          <w:iCs/>
          <w:sz w:val="24"/>
          <w:szCs w:val="24"/>
          <w:u w:val="single"/>
          <w:lang w:val="el-GR"/>
        </w:rPr>
        <w:t>τη</w:t>
      </w:r>
      <w:r w:rsidR="00771963" w:rsidRPr="00771963">
        <w:rPr>
          <w:rFonts w:ascii="Calibri" w:eastAsia="Calibri" w:hAnsi="Calibri" w:cs="Calibri"/>
          <w:i/>
          <w:iCs/>
          <w:sz w:val="24"/>
          <w:szCs w:val="24"/>
          <w:u w:val="single"/>
          <w:lang w:val="el-GR"/>
        </w:rPr>
        <w:t xml:space="preserve"> </w:t>
      </w:r>
      <w:r w:rsidR="00771963">
        <w:rPr>
          <w:rFonts w:ascii="Calibri" w:eastAsia="Calibri" w:hAnsi="Calibri" w:cs="Calibri"/>
          <w:i/>
          <w:iCs/>
          <w:sz w:val="24"/>
          <w:szCs w:val="24"/>
          <w:u w:val="single"/>
          <w:lang w:val="el-GR"/>
        </w:rPr>
        <w:t>Δήλωση</w:t>
      </w:r>
      <w:r w:rsidR="00771963" w:rsidRPr="00771963">
        <w:rPr>
          <w:rFonts w:ascii="Calibri" w:eastAsia="Calibri" w:hAnsi="Calibri" w:cs="Calibri"/>
          <w:i/>
          <w:iCs/>
          <w:sz w:val="24"/>
          <w:szCs w:val="24"/>
          <w:u w:val="single"/>
          <w:lang w:val="el-GR"/>
        </w:rPr>
        <w:t xml:space="preserve"> </w:t>
      </w:r>
      <w:r w:rsidR="00771963">
        <w:rPr>
          <w:rFonts w:ascii="Calibri" w:eastAsia="Calibri" w:hAnsi="Calibri" w:cs="Calibri"/>
          <w:i/>
          <w:iCs/>
          <w:sz w:val="24"/>
          <w:szCs w:val="24"/>
          <w:u w:val="single"/>
          <w:lang w:val="el-GR"/>
        </w:rPr>
        <w:t>και</w:t>
      </w:r>
      <w:r w:rsidR="00771963" w:rsidRPr="00771963">
        <w:rPr>
          <w:rFonts w:ascii="Calibri" w:eastAsia="Calibri" w:hAnsi="Calibri" w:cs="Calibri"/>
          <w:i/>
          <w:iCs/>
          <w:sz w:val="24"/>
          <w:szCs w:val="24"/>
          <w:u w:val="single"/>
          <w:lang w:val="el-GR"/>
        </w:rPr>
        <w:t xml:space="preserve"> </w:t>
      </w:r>
      <w:r w:rsidR="00771963">
        <w:rPr>
          <w:rFonts w:ascii="Calibri" w:eastAsia="Calibri" w:hAnsi="Calibri" w:cs="Calibri"/>
          <w:i/>
          <w:iCs/>
          <w:sz w:val="24"/>
          <w:szCs w:val="24"/>
          <w:u w:val="single"/>
          <w:lang w:val="el-GR"/>
        </w:rPr>
        <w:t>Εξέταση</w:t>
      </w:r>
      <w:r w:rsidR="00771963" w:rsidRPr="00771963">
        <w:rPr>
          <w:rFonts w:ascii="Calibri" w:eastAsia="Calibri" w:hAnsi="Calibri" w:cs="Calibri"/>
          <w:i/>
          <w:iCs/>
          <w:sz w:val="24"/>
          <w:szCs w:val="24"/>
          <w:u w:val="single"/>
          <w:lang w:val="el-GR"/>
        </w:rPr>
        <w:t xml:space="preserve"> </w:t>
      </w:r>
      <w:r w:rsidR="00771963">
        <w:rPr>
          <w:rFonts w:ascii="Calibri" w:eastAsia="Calibri" w:hAnsi="Calibri" w:cs="Calibri"/>
          <w:i/>
          <w:iCs/>
          <w:sz w:val="24"/>
          <w:szCs w:val="24"/>
          <w:u w:val="single"/>
          <w:lang w:val="el-GR"/>
        </w:rPr>
        <w:t>Οικονομικών</w:t>
      </w:r>
      <w:r w:rsidR="00771963" w:rsidRPr="00771963">
        <w:rPr>
          <w:rFonts w:ascii="Calibri" w:eastAsia="Calibri" w:hAnsi="Calibri" w:cs="Calibri"/>
          <w:i/>
          <w:iCs/>
          <w:sz w:val="24"/>
          <w:szCs w:val="24"/>
          <w:u w:val="single"/>
          <w:lang w:val="el-GR"/>
        </w:rPr>
        <w:t xml:space="preserve"> </w:t>
      </w:r>
      <w:r w:rsidR="00771963">
        <w:rPr>
          <w:rFonts w:ascii="Calibri" w:eastAsia="Calibri" w:hAnsi="Calibri" w:cs="Calibri"/>
          <w:i/>
          <w:iCs/>
          <w:sz w:val="24"/>
          <w:szCs w:val="24"/>
          <w:u w:val="single"/>
          <w:lang w:val="el-GR"/>
        </w:rPr>
        <w:t>Συμφερόντων</w:t>
      </w:r>
    </w:p>
    <w:bookmarkEnd w:id="164"/>
    <w:p w14:paraId="3190F2A8" w14:textId="77777777" w:rsidR="00A5147D" w:rsidRPr="00771963" w:rsidRDefault="00A5147D" w:rsidP="00A5147D">
      <w:pPr>
        <w:keepNext/>
        <w:pBdr>
          <w:top w:val="nil"/>
          <w:left w:val="nil"/>
          <w:bottom w:val="nil"/>
          <w:right w:val="nil"/>
          <w:between w:val="nil"/>
          <w:bar w:val="nil"/>
        </w:pBdr>
        <w:tabs>
          <w:tab w:val="left" w:pos="709"/>
        </w:tabs>
        <w:rPr>
          <w:rFonts w:eastAsia="Calibri" w:cstheme="minorHAnsi"/>
          <w:sz w:val="24"/>
          <w:szCs w:val="24"/>
          <w:u w:color="000000"/>
          <w:bdr w:val="nil"/>
          <w:lang w:val="el-GR"/>
        </w:rPr>
      </w:pPr>
    </w:p>
    <w:p w14:paraId="20B9E901" w14:textId="18BA91FD" w:rsidR="00A5147D" w:rsidRPr="00771963" w:rsidRDefault="00771963" w:rsidP="00A5147D">
      <w:pPr>
        <w:keepNext/>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lang w:val="el-GR"/>
        </w:rPr>
      </w:pPr>
      <w:r>
        <w:rPr>
          <w:rFonts w:cstheme="minorHAnsi"/>
          <w:sz w:val="24"/>
          <w:szCs w:val="24"/>
          <w:lang w:val="el-GR"/>
        </w:rPr>
        <w:t>Ο</w:t>
      </w:r>
      <w:r w:rsidRPr="00771963">
        <w:rPr>
          <w:rFonts w:cstheme="minorHAnsi"/>
          <w:sz w:val="24"/>
          <w:szCs w:val="24"/>
          <w:lang w:val="el-GR"/>
        </w:rPr>
        <w:t xml:space="preserve"> </w:t>
      </w:r>
      <w:r>
        <w:rPr>
          <w:rFonts w:cstheme="minorHAnsi"/>
          <w:sz w:val="24"/>
          <w:szCs w:val="24"/>
          <w:lang w:val="el-GR"/>
        </w:rPr>
        <w:t>Νόμος</w:t>
      </w:r>
      <w:r w:rsidRPr="00771963">
        <w:rPr>
          <w:rFonts w:cstheme="minorHAnsi"/>
          <w:sz w:val="24"/>
          <w:szCs w:val="24"/>
          <w:lang w:val="el-GR"/>
        </w:rPr>
        <w:t xml:space="preserve"> </w:t>
      </w:r>
      <w:r w:rsidR="00923F12">
        <w:rPr>
          <w:rFonts w:cstheme="minorHAnsi"/>
          <w:sz w:val="24"/>
          <w:szCs w:val="24"/>
          <w:lang w:val="el-GR"/>
        </w:rPr>
        <w:t xml:space="preserve">περί </w:t>
      </w:r>
      <w:r>
        <w:rPr>
          <w:rFonts w:cstheme="minorHAnsi"/>
          <w:sz w:val="24"/>
          <w:szCs w:val="24"/>
          <w:lang w:val="el-GR"/>
        </w:rPr>
        <w:t>το</w:t>
      </w:r>
      <w:r w:rsidR="00923F12">
        <w:rPr>
          <w:rFonts w:cstheme="minorHAnsi"/>
          <w:sz w:val="24"/>
          <w:szCs w:val="24"/>
          <w:lang w:val="el-GR"/>
        </w:rPr>
        <w:t>υ</w:t>
      </w:r>
      <w:r w:rsidRPr="00771963">
        <w:rPr>
          <w:rFonts w:cstheme="minorHAnsi"/>
          <w:sz w:val="24"/>
          <w:szCs w:val="24"/>
          <w:lang w:val="el-GR"/>
        </w:rPr>
        <w:t xml:space="preserve"> </w:t>
      </w:r>
      <w:r>
        <w:rPr>
          <w:rFonts w:cstheme="minorHAnsi"/>
          <w:sz w:val="24"/>
          <w:szCs w:val="24"/>
          <w:lang w:val="el-GR"/>
        </w:rPr>
        <w:t>Πρ</w:t>
      </w:r>
      <w:r w:rsidR="00923F12">
        <w:rPr>
          <w:rFonts w:cstheme="minorHAnsi"/>
          <w:sz w:val="24"/>
          <w:szCs w:val="24"/>
          <w:lang w:val="el-GR"/>
        </w:rPr>
        <w:t>οέ</w:t>
      </w:r>
      <w:r>
        <w:rPr>
          <w:rFonts w:cstheme="minorHAnsi"/>
          <w:sz w:val="24"/>
          <w:szCs w:val="24"/>
          <w:lang w:val="el-GR"/>
        </w:rPr>
        <w:t>δρο</w:t>
      </w:r>
      <w:r w:rsidR="00923F12">
        <w:rPr>
          <w:rFonts w:cstheme="minorHAnsi"/>
          <w:sz w:val="24"/>
          <w:szCs w:val="24"/>
          <w:lang w:val="el-GR"/>
        </w:rPr>
        <w:t>υ</w:t>
      </w:r>
      <w:r w:rsidR="00A5147D" w:rsidRPr="00771963">
        <w:rPr>
          <w:rFonts w:eastAsia="Calibri" w:cstheme="minorHAnsi"/>
          <w:bCs/>
          <w:sz w:val="24"/>
          <w:szCs w:val="24"/>
          <w:lang w:val="el-GR"/>
        </w:rPr>
        <w:t xml:space="preserve">, </w:t>
      </w:r>
      <w:r>
        <w:rPr>
          <w:rFonts w:eastAsia="Calibri" w:cstheme="minorHAnsi"/>
          <w:bCs/>
          <w:sz w:val="24"/>
          <w:szCs w:val="24"/>
          <w:lang w:val="el-GR"/>
        </w:rPr>
        <w:t>Υπουργ</w:t>
      </w:r>
      <w:r w:rsidR="00923F12">
        <w:rPr>
          <w:rFonts w:eastAsia="Calibri" w:cstheme="minorHAnsi"/>
          <w:bCs/>
          <w:sz w:val="24"/>
          <w:szCs w:val="24"/>
          <w:lang w:val="el-GR"/>
        </w:rPr>
        <w:t>ών</w:t>
      </w:r>
      <w:r w:rsidR="00A5147D" w:rsidRPr="00771963">
        <w:rPr>
          <w:rFonts w:eastAsia="Calibri" w:cstheme="minorHAnsi"/>
          <w:bCs/>
          <w:sz w:val="24"/>
          <w:szCs w:val="24"/>
          <w:lang w:val="el-GR"/>
        </w:rPr>
        <w:t xml:space="preserve">, </w:t>
      </w:r>
      <w:r>
        <w:rPr>
          <w:rFonts w:eastAsia="Calibri" w:cstheme="minorHAnsi"/>
          <w:bCs/>
          <w:sz w:val="24"/>
          <w:szCs w:val="24"/>
          <w:lang w:val="el-GR"/>
        </w:rPr>
        <w:t>και</w:t>
      </w:r>
      <w:r w:rsidRPr="00771963">
        <w:rPr>
          <w:rFonts w:eastAsia="Calibri" w:cstheme="minorHAnsi"/>
          <w:bCs/>
          <w:sz w:val="24"/>
          <w:szCs w:val="24"/>
          <w:lang w:val="el-GR"/>
        </w:rPr>
        <w:t xml:space="preserve"> </w:t>
      </w:r>
      <w:r w:rsidR="00923F12">
        <w:rPr>
          <w:rFonts w:eastAsia="Calibri" w:cstheme="minorHAnsi"/>
          <w:bCs/>
          <w:sz w:val="24"/>
          <w:szCs w:val="24"/>
          <w:lang w:val="el-GR"/>
        </w:rPr>
        <w:t xml:space="preserve">Βουλευτών </w:t>
      </w:r>
      <w:r w:rsidR="00A5147D" w:rsidRPr="00771963">
        <w:rPr>
          <w:rFonts w:eastAsia="Calibri" w:cstheme="minorHAnsi"/>
          <w:bCs/>
          <w:sz w:val="24"/>
          <w:szCs w:val="24"/>
          <w:lang w:val="el-GR"/>
        </w:rPr>
        <w:t>(</w:t>
      </w:r>
      <w:r>
        <w:rPr>
          <w:rFonts w:eastAsia="Calibri" w:cstheme="minorHAnsi"/>
          <w:bCs/>
          <w:sz w:val="24"/>
          <w:szCs w:val="24"/>
          <w:lang w:val="el-GR"/>
        </w:rPr>
        <w:t>Δήλωση</w:t>
      </w:r>
      <w:r w:rsidRPr="00771963">
        <w:rPr>
          <w:rFonts w:eastAsia="Calibri" w:cstheme="minorHAnsi"/>
          <w:bCs/>
          <w:sz w:val="24"/>
          <w:szCs w:val="24"/>
          <w:lang w:val="el-GR"/>
        </w:rPr>
        <w:t xml:space="preserve"> </w:t>
      </w:r>
      <w:r>
        <w:rPr>
          <w:rFonts w:eastAsia="Calibri" w:cstheme="minorHAnsi"/>
          <w:bCs/>
          <w:sz w:val="24"/>
          <w:szCs w:val="24"/>
          <w:lang w:val="el-GR"/>
        </w:rPr>
        <w:t>και</w:t>
      </w:r>
      <w:r w:rsidRPr="00771963">
        <w:rPr>
          <w:rFonts w:eastAsia="Calibri" w:cstheme="minorHAnsi"/>
          <w:bCs/>
          <w:sz w:val="24"/>
          <w:szCs w:val="24"/>
          <w:lang w:val="el-GR"/>
        </w:rPr>
        <w:t xml:space="preserve"> </w:t>
      </w:r>
      <w:r>
        <w:rPr>
          <w:rFonts w:eastAsia="Calibri" w:cstheme="minorHAnsi"/>
          <w:bCs/>
          <w:sz w:val="24"/>
          <w:szCs w:val="24"/>
          <w:lang w:val="el-GR"/>
        </w:rPr>
        <w:t>Έλεγχος</w:t>
      </w:r>
      <w:r w:rsidRPr="00771963">
        <w:rPr>
          <w:rFonts w:eastAsia="Calibri" w:cstheme="minorHAnsi"/>
          <w:bCs/>
          <w:sz w:val="24"/>
          <w:szCs w:val="24"/>
          <w:lang w:val="el-GR"/>
        </w:rPr>
        <w:t xml:space="preserve"> </w:t>
      </w:r>
      <w:r>
        <w:rPr>
          <w:rFonts w:eastAsia="Calibri" w:cstheme="minorHAnsi"/>
          <w:bCs/>
          <w:sz w:val="24"/>
          <w:szCs w:val="24"/>
          <w:lang w:val="el-GR"/>
        </w:rPr>
        <w:t>Περιουσιακών</w:t>
      </w:r>
      <w:r w:rsidRPr="00771963">
        <w:rPr>
          <w:rFonts w:eastAsia="Calibri" w:cstheme="minorHAnsi"/>
          <w:bCs/>
          <w:sz w:val="24"/>
          <w:szCs w:val="24"/>
          <w:lang w:val="el-GR"/>
        </w:rPr>
        <w:t xml:space="preserve"> </w:t>
      </w:r>
      <w:r>
        <w:rPr>
          <w:rFonts w:eastAsia="Calibri" w:cstheme="minorHAnsi"/>
          <w:bCs/>
          <w:sz w:val="24"/>
          <w:szCs w:val="24"/>
          <w:lang w:val="el-GR"/>
        </w:rPr>
        <w:t>Στοιχείων</w:t>
      </w:r>
      <w:r w:rsidR="00A5147D" w:rsidRPr="00771963">
        <w:rPr>
          <w:rFonts w:eastAsia="Calibri" w:cstheme="minorHAnsi"/>
          <w:bCs/>
          <w:sz w:val="24"/>
          <w:szCs w:val="24"/>
          <w:lang w:val="el-GR"/>
        </w:rPr>
        <w:t>)</w:t>
      </w:r>
      <w:r w:rsidR="00A5147D" w:rsidRPr="00771963">
        <w:rPr>
          <w:rFonts w:eastAsia="Calibri" w:cstheme="minorHAnsi"/>
          <w:bCs/>
          <w:i/>
          <w:iCs/>
          <w:sz w:val="24"/>
          <w:szCs w:val="24"/>
          <w:lang w:val="el-GR"/>
        </w:rPr>
        <w:t xml:space="preserve"> </w:t>
      </w:r>
      <w:r w:rsidR="00A5147D" w:rsidRPr="00771963">
        <w:rPr>
          <w:rFonts w:eastAsia="Calibri" w:cstheme="minorHAnsi"/>
          <w:bCs/>
          <w:sz w:val="24"/>
          <w:szCs w:val="24"/>
          <w:lang w:val="el-GR"/>
        </w:rPr>
        <w:t>(</w:t>
      </w:r>
      <w:r>
        <w:rPr>
          <w:rFonts w:eastAsia="Calibri" w:cstheme="minorHAnsi"/>
          <w:bCs/>
          <w:sz w:val="24"/>
          <w:szCs w:val="24"/>
          <w:lang w:val="el-GR"/>
        </w:rPr>
        <w:t>Νόμος</w:t>
      </w:r>
      <w:r w:rsidR="00A5147D" w:rsidRPr="00771963">
        <w:rPr>
          <w:rFonts w:eastAsia="Calibri" w:cstheme="minorHAnsi"/>
          <w:bCs/>
          <w:sz w:val="24"/>
          <w:szCs w:val="24"/>
          <w:lang w:val="el-GR"/>
        </w:rPr>
        <w:t xml:space="preserve"> 49(</w:t>
      </w:r>
      <w:r w:rsidR="00A5147D" w:rsidRPr="004E251E">
        <w:rPr>
          <w:rFonts w:eastAsia="Calibri" w:cstheme="minorHAnsi"/>
          <w:bCs/>
          <w:sz w:val="24"/>
          <w:szCs w:val="24"/>
        </w:rPr>
        <w:t>I</w:t>
      </w:r>
      <w:r w:rsidR="00A5147D" w:rsidRPr="00771963">
        <w:rPr>
          <w:rFonts w:eastAsia="Calibri" w:cstheme="minorHAnsi"/>
          <w:bCs/>
          <w:sz w:val="24"/>
          <w:szCs w:val="24"/>
          <w:lang w:val="el-GR"/>
        </w:rPr>
        <w:t xml:space="preserve">)/2004) </w:t>
      </w:r>
      <w:r>
        <w:rPr>
          <w:rFonts w:eastAsia="Calibri" w:cstheme="minorHAnsi"/>
          <w:bCs/>
          <w:sz w:val="24"/>
          <w:szCs w:val="24"/>
          <w:lang w:val="el-GR"/>
        </w:rPr>
        <w:t>προβλέπει</w:t>
      </w:r>
      <w:r w:rsidRPr="00771963">
        <w:rPr>
          <w:rFonts w:eastAsia="Calibri" w:cstheme="minorHAnsi"/>
          <w:bCs/>
          <w:sz w:val="24"/>
          <w:szCs w:val="24"/>
          <w:lang w:val="el-GR"/>
        </w:rPr>
        <w:t xml:space="preserve"> </w:t>
      </w:r>
      <w:r>
        <w:rPr>
          <w:rFonts w:eastAsia="Calibri" w:cstheme="minorHAnsi"/>
          <w:bCs/>
          <w:sz w:val="24"/>
          <w:szCs w:val="24"/>
          <w:lang w:val="el-GR"/>
        </w:rPr>
        <w:t>μια</w:t>
      </w:r>
      <w:r w:rsidRPr="00771963">
        <w:rPr>
          <w:rFonts w:eastAsia="Calibri" w:cstheme="minorHAnsi"/>
          <w:bCs/>
          <w:sz w:val="24"/>
          <w:szCs w:val="24"/>
          <w:lang w:val="el-GR"/>
        </w:rPr>
        <w:t xml:space="preserve"> </w:t>
      </w:r>
      <w:r w:rsidR="00BC453F">
        <w:rPr>
          <w:rFonts w:eastAsia="Calibri" w:cstheme="minorHAnsi"/>
          <w:bCs/>
          <w:sz w:val="24"/>
          <w:szCs w:val="24"/>
          <w:lang w:val="el-GR"/>
        </w:rPr>
        <w:t xml:space="preserve">Ειδική </w:t>
      </w:r>
      <w:r>
        <w:rPr>
          <w:rFonts w:eastAsia="Calibri" w:cstheme="minorHAnsi"/>
          <w:bCs/>
          <w:sz w:val="24"/>
          <w:szCs w:val="24"/>
          <w:lang w:val="el-GR"/>
        </w:rPr>
        <w:t>Κοινοβουλευτική</w:t>
      </w:r>
      <w:r w:rsidRPr="00771963">
        <w:rPr>
          <w:rFonts w:eastAsia="Calibri" w:cstheme="minorHAnsi"/>
          <w:bCs/>
          <w:sz w:val="24"/>
          <w:szCs w:val="24"/>
          <w:lang w:val="el-GR"/>
        </w:rPr>
        <w:t xml:space="preserve"> </w:t>
      </w:r>
      <w:r>
        <w:rPr>
          <w:rFonts w:eastAsia="Calibri" w:cstheme="minorHAnsi"/>
          <w:bCs/>
          <w:sz w:val="24"/>
          <w:szCs w:val="24"/>
          <w:lang w:val="el-GR"/>
        </w:rPr>
        <w:t>Επιτροπή</w:t>
      </w:r>
      <w:r w:rsidR="00A5147D" w:rsidRPr="00771963">
        <w:rPr>
          <w:rFonts w:eastAsia="Calibri" w:cstheme="minorHAnsi"/>
          <w:sz w:val="24"/>
          <w:szCs w:val="24"/>
          <w:lang w:val="el-GR"/>
        </w:rPr>
        <w:t xml:space="preserve"> </w:t>
      </w:r>
      <w:r>
        <w:rPr>
          <w:rFonts w:eastAsia="Calibri" w:cstheme="minorHAnsi"/>
          <w:sz w:val="24"/>
          <w:szCs w:val="24"/>
          <w:lang w:val="el-GR"/>
        </w:rPr>
        <w:t>για τη Δήλωση και Εξέταση Οικονομικών Συμφερόντων</w:t>
      </w:r>
      <w:r w:rsidR="00A5147D" w:rsidRPr="00771963">
        <w:rPr>
          <w:rFonts w:eastAsia="Calibri" w:cstheme="minorHAnsi"/>
          <w:bCs/>
          <w:sz w:val="24"/>
          <w:szCs w:val="24"/>
          <w:lang w:val="el-GR"/>
        </w:rPr>
        <w:t xml:space="preserve"> (“</w:t>
      </w:r>
      <w:r>
        <w:rPr>
          <w:rFonts w:eastAsia="Calibri" w:cstheme="minorHAnsi"/>
          <w:bCs/>
          <w:sz w:val="24"/>
          <w:szCs w:val="24"/>
          <w:lang w:val="el-GR"/>
        </w:rPr>
        <w:t>η Επιτροπή</w:t>
      </w:r>
      <w:r w:rsidR="00A5147D" w:rsidRPr="00771963">
        <w:rPr>
          <w:rFonts w:eastAsia="Calibri" w:cstheme="minorHAnsi"/>
          <w:bCs/>
          <w:sz w:val="24"/>
          <w:szCs w:val="24"/>
          <w:lang w:val="el-GR"/>
        </w:rPr>
        <w:t xml:space="preserve">”), </w:t>
      </w:r>
      <w:r>
        <w:rPr>
          <w:rFonts w:eastAsia="Calibri" w:cstheme="minorHAnsi"/>
          <w:bCs/>
          <w:sz w:val="24"/>
          <w:szCs w:val="24"/>
          <w:lang w:val="el-GR"/>
        </w:rPr>
        <w:t>που διασφαλίζει την συμμόρφωση με την υποχρέωση υποβολής δηλώσεων περιουσιακών στοιχείων</w:t>
      </w:r>
      <w:r w:rsidR="00A5147D" w:rsidRPr="00771963">
        <w:rPr>
          <w:rFonts w:eastAsia="Calibri" w:cstheme="minorHAnsi"/>
          <w:bCs/>
          <w:sz w:val="24"/>
          <w:szCs w:val="24"/>
          <w:lang w:val="el-GR"/>
        </w:rPr>
        <w:t xml:space="preserve">. </w:t>
      </w:r>
    </w:p>
    <w:p w14:paraId="172C9A44" w14:textId="77777777" w:rsidR="00A5147D" w:rsidRPr="00771963" w:rsidRDefault="00A5147D" w:rsidP="00A5147D">
      <w:pPr>
        <w:pBdr>
          <w:top w:val="nil"/>
          <w:left w:val="nil"/>
          <w:bottom w:val="nil"/>
          <w:right w:val="nil"/>
          <w:between w:val="nil"/>
          <w:bar w:val="nil"/>
        </w:pBdr>
        <w:tabs>
          <w:tab w:val="left" w:pos="709"/>
        </w:tabs>
        <w:rPr>
          <w:rFonts w:eastAsia="Calibri" w:cstheme="minorHAnsi"/>
          <w:sz w:val="24"/>
          <w:szCs w:val="24"/>
          <w:u w:color="000000"/>
          <w:bdr w:val="nil"/>
          <w:lang w:val="el-GR"/>
        </w:rPr>
      </w:pPr>
    </w:p>
    <w:p w14:paraId="2526E072" w14:textId="5E170082" w:rsidR="00A5147D" w:rsidRPr="00771963" w:rsidRDefault="00771963" w:rsidP="00A5147D">
      <w:pPr>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lang w:val="el-GR"/>
        </w:rPr>
      </w:pPr>
      <w:r>
        <w:rPr>
          <w:rFonts w:eastAsia="Calibri" w:cstheme="minorHAnsi"/>
          <w:sz w:val="24"/>
          <w:szCs w:val="24"/>
          <w:u w:color="000000"/>
          <w:bdr w:val="nil"/>
          <w:lang w:val="el-GR"/>
        </w:rPr>
        <w:t>Ο</w:t>
      </w:r>
      <w:r w:rsidRPr="00771963">
        <w:rPr>
          <w:rFonts w:eastAsia="Calibri" w:cstheme="minorHAnsi"/>
          <w:sz w:val="24"/>
          <w:szCs w:val="24"/>
          <w:u w:color="000000"/>
          <w:bdr w:val="nil"/>
          <w:lang w:val="el-GR"/>
        </w:rPr>
        <w:t xml:space="preserve"> </w:t>
      </w:r>
      <w:r>
        <w:rPr>
          <w:rFonts w:eastAsia="Calibri" w:cstheme="minorHAnsi"/>
          <w:sz w:val="24"/>
          <w:szCs w:val="24"/>
          <w:u w:color="000000"/>
          <w:bdr w:val="nil"/>
          <w:lang w:val="el-GR"/>
        </w:rPr>
        <w:t>Νόμος</w:t>
      </w:r>
      <w:r w:rsidRPr="00771963">
        <w:rPr>
          <w:rFonts w:eastAsia="Calibri" w:cstheme="minorHAnsi"/>
          <w:sz w:val="24"/>
          <w:szCs w:val="24"/>
          <w:u w:color="000000"/>
          <w:bdr w:val="nil"/>
          <w:lang w:val="el-GR"/>
        </w:rPr>
        <w:t xml:space="preserve"> </w:t>
      </w:r>
      <w:r>
        <w:rPr>
          <w:rFonts w:eastAsia="Calibri" w:cstheme="minorHAnsi"/>
          <w:sz w:val="24"/>
          <w:szCs w:val="24"/>
          <w:u w:color="000000"/>
          <w:bdr w:val="nil"/>
          <w:lang w:val="el-GR"/>
        </w:rPr>
        <w:t>προβλέπει</w:t>
      </w:r>
      <w:r w:rsidRPr="00771963">
        <w:rPr>
          <w:rFonts w:eastAsia="Calibri" w:cstheme="minorHAnsi"/>
          <w:sz w:val="24"/>
          <w:szCs w:val="24"/>
          <w:u w:color="000000"/>
          <w:bdr w:val="nil"/>
          <w:lang w:val="el-GR"/>
        </w:rPr>
        <w:t xml:space="preserve"> </w:t>
      </w:r>
      <w:r>
        <w:rPr>
          <w:rFonts w:eastAsia="Calibri" w:cstheme="minorHAnsi"/>
          <w:sz w:val="24"/>
          <w:szCs w:val="24"/>
          <w:u w:color="000000"/>
          <w:bdr w:val="nil"/>
          <w:lang w:val="el-GR"/>
        </w:rPr>
        <w:t>καθοδήγηση</w:t>
      </w:r>
      <w:r w:rsidR="00A5147D" w:rsidRPr="00771963">
        <w:rPr>
          <w:rFonts w:cstheme="minorHAnsi"/>
          <w:sz w:val="24"/>
          <w:szCs w:val="24"/>
          <w:lang w:val="el-GR"/>
        </w:rPr>
        <w:t xml:space="preserve"> </w:t>
      </w:r>
      <w:r>
        <w:rPr>
          <w:rFonts w:cstheme="minorHAnsi"/>
          <w:sz w:val="24"/>
          <w:szCs w:val="24"/>
          <w:lang w:val="el-GR"/>
        </w:rPr>
        <w:t>για</w:t>
      </w:r>
      <w:r w:rsidRPr="00771963">
        <w:rPr>
          <w:rFonts w:cstheme="minorHAnsi"/>
          <w:sz w:val="24"/>
          <w:szCs w:val="24"/>
          <w:lang w:val="el-GR"/>
        </w:rPr>
        <w:t xml:space="preserve"> </w:t>
      </w:r>
      <w:r>
        <w:rPr>
          <w:rFonts w:cstheme="minorHAnsi"/>
          <w:sz w:val="24"/>
          <w:szCs w:val="24"/>
          <w:lang w:val="el-GR"/>
        </w:rPr>
        <w:t>το</w:t>
      </w:r>
      <w:r w:rsidRPr="00771963">
        <w:rPr>
          <w:rFonts w:cstheme="minorHAnsi"/>
          <w:sz w:val="24"/>
          <w:szCs w:val="24"/>
          <w:lang w:val="el-GR"/>
        </w:rPr>
        <w:t xml:space="preserve"> </w:t>
      </w:r>
      <w:r>
        <w:rPr>
          <w:rFonts w:cstheme="minorHAnsi"/>
          <w:sz w:val="24"/>
          <w:szCs w:val="24"/>
          <w:lang w:val="el-GR"/>
        </w:rPr>
        <w:t>πότε</w:t>
      </w:r>
      <w:r w:rsidRPr="00771963">
        <w:rPr>
          <w:rFonts w:cstheme="minorHAnsi"/>
          <w:sz w:val="24"/>
          <w:szCs w:val="24"/>
          <w:lang w:val="el-GR"/>
        </w:rPr>
        <w:t xml:space="preserve"> </w:t>
      </w:r>
      <w:r>
        <w:rPr>
          <w:rFonts w:cstheme="minorHAnsi"/>
          <w:sz w:val="24"/>
          <w:szCs w:val="24"/>
          <w:lang w:val="el-GR"/>
        </w:rPr>
        <w:t>μια</w:t>
      </w:r>
      <w:r w:rsidRPr="00771963">
        <w:rPr>
          <w:rFonts w:cstheme="minorHAnsi"/>
          <w:sz w:val="24"/>
          <w:szCs w:val="24"/>
          <w:lang w:val="el-GR"/>
        </w:rPr>
        <w:t xml:space="preserve"> </w:t>
      </w:r>
      <w:r>
        <w:rPr>
          <w:rFonts w:cstheme="minorHAnsi"/>
          <w:sz w:val="24"/>
          <w:szCs w:val="24"/>
          <w:lang w:val="el-GR"/>
        </w:rPr>
        <w:t>διαδικασία</w:t>
      </w:r>
      <w:r w:rsidRPr="00771963">
        <w:rPr>
          <w:rFonts w:cstheme="minorHAnsi"/>
          <w:sz w:val="24"/>
          <w:szCs w:val="24"/>
          <w:lang w:val="el-GR"/>
        </w:rPr>
        <w:t xml:space="preserve"> </w:t>
      </w:r>
      <w:r>
        <w:rPr>
          <w:rFonts w:cstheme="minorHAnsi"/>
          <w:sz w:val="24"/>
          <w:szCs w:val="24"/>
          <w:lang w:val="el-GR"/>
        </w:rPr>
        <w:t>μπορεί</w:t>
      </w:r>
      <w:r w:rsidRPr="00771963">
        <w:rPr>
          <w:rFonts w:cstheme="minorHAnsi"/>
          <w:sz w:val="24"/>
          <w:szCs w:val="24"/>
          <w:lang w:val="el-GR"/>
        </w:rPr>
        <w:t xml:space="preserve"> </w:t>
      </w:r>
      <w:r>
        <w:rPr>
          <w:rFonts w:cstheme="minorHAnsi"/>
          <w:sz w:val="24"/>
          <w:szCs w:val="24"/>
          <w:lang w:val="el-GR"/>
        </w:rPr>
        <w:t>να</w:t>
      </w:r>
      <w:r w:rsidRPr="00771963">
        <w:rPr>
          <w:rFonts w:cstheme="minorHAnsi"/>
          <w:sz w:val="24"/>
          <w:szCs w:val="24"/>
          <w:lang w:val="el-GR"/>
        </w:rPr>
        <w:t xml:space="preserve"> </w:t>
      </w:r>
      <w:r>
        <w:rPr>
          <w:rFonts w:cstheme="minorHAnsi"/>
          <w:sz w:val="24"/>
          <w:szCs w:val="24"/>
          <w:lang w:val="el-GR"/>
        </w:rPr>
        <w:t>ξεκινήσει</w:t>
      </w:r>
      <w:r w:rsidR="00A5147D" w:rsidRPr="00771963">
        <w:rPr>
          <w:rFonts w:cstheme="minorHAnsi"/>
          <w:sz w:val="24"/>
          <w:szCs w:val="24"/>
          <w:lang w:val="el-GR"/>
        </w:rPr>
        <w:t xml:space="preserve">, </w:t>
      </w:r>
      <w:r>
        <w:rPr>
          <w:rFonts w:cstheme="minorHAnsi"/>
          <w:sz w:val="24"/>
          <w:szCs w:val="24"/>
          <w:lang w:val="el-GR"/>
        </w:rPr>
        <w:t>για</w:t>
      </w:r>
      <w:r w:rsidRPr="00771963">
        <w:rPr>
          <w:rFonts w:cstheme="minorHAnsi"/>
          <w:sz w:val="24"/>
          <w:szCs w:val="24"/>
          <w:lang w:val="el-GR"/>
        </w:rPr>
        <w:t xml:space="preserve"> </w:t>
      </w:r>
      <w:r>
        <w:rPr>
          <w:rFonts w:cstheme="minorHAnsi"/>
          <w:sz w:val="24"/>
          <w:szCs w:val="24"/>
          <w:lang w:val="el-GR"/>
        </w:rPr>
        <w:t>παράδειγμα</w:t>
      </w:r>
      <w:r w:rsidR="00A5147D" w:rsidRPr="00771963">
        <w:rPr>
          <w:rFonts w:cstheme="minorHAnsi"/>
          <w:sz w:val="24"/>
          <w:szCs w:val="24"/>
          <w:lang w:val="el-GR"/>
        </w:rPr>
        <w:t xml:space="preserve">, </w:t>
      </w:r>
      <w:r>
        <w:rPr>
          <w:rFonts w:cstheme="minorHAnsi"/>
          <w:sz w:val="24"/>
          <w:szCs w:val="24"/>
          <w:lang w:val="el-GR"/>
        </w:rPr>
        <w:t>κατόπιν</w:t>
      </w:r>
      <w:r w:rsidRPr="00771963">
        <w:rPr>
          <w:rFonts w:cstheme="minorHAnsi"/>
          <w:sz w:val="24"/>
          <w:szCs w:val="24"/>
          <w:lang w:val="el-GR"/>
        </w:rPr>
        <w:t xml:space="preserve"> </w:t>
      </w:r>
      <w:r w:rsidR="00BC453F">
        <w:rPr>
          <w:rFonts w:cstheme="minorHAnsi"/>
          <w:sz w:val="24"/>
          <w:szCs w:val="24"/>
          <w:lang w:val="el-GR"/>
        </w:rPr>
        <w:t xml:space="preserve">καταγγελίας </w:t>
      </w:r>
      <w:r>
        <w:rPr>
          <w:rFonts w:cstheme="minorHAnsi"/>
          <w:sz w:val="24"/>
          <w:szCs w:val="24"/>
          <w:lang w:val="el-GR"/>
        </w:rPr>
        <w:t>υποδεικνύοντας ότι λεπτομέρειες λείπουν από τη δήλωση</w:t>
      </w:r>
      <w:r w:rsidR="00A5147D" w:rsidRPr="00771963">
        <w:rPr>
          <w:rFonts w:cstheme="minorHAnsi"/>
          <w:sz w:val="24"/>
          <w:szCs w:val="24"/>
          <w:lang w:val="el-GR"/>
        </w:rPr>
        <w:t xml:space="preserve">, </w:t>
      </w:r>
      <w:r>
        <w:rPr>
          <w:rFonts w:cstheme="minorHAnsi"/>
          <w:sz w:val="24"/>
          <w:szCs w:val="24"/>
          <w:lang w:val="el-GR"/>
        </w:rPr>
        <w:t>ή όταν είναι φανερό ότι η δήλωση είναι λανθασμένη</w:t>
      </w:r>
      <w:r w:rsidR="00A5147D" w:rsidRPr="00771963">
        <w:rPr>
          <w:rFonts w:cstheme="minorHAnsi"/>
          <w:sz w:val="24"/>
          <w:szCs w:val="24"/>
          <w:lang w:val="el-GR"/>
        </w:rPr>
        <w:t xml:space="preserve">. </w:t>
      </w:r>
      <w:r>
        <w:rPr>
          <w:rFonts w:cstheme="minorHAnsi"/>
          <w:sz w:val="24"/>
          <w:szCs w:val="24"/>
          <w:lang w:val="el-GR"/>
        </w:rPr>
        <w:t>Οποιοσδήποτε</w:t>
      </w:r>
      <w:r w:rsidRPr="00771963">
        <w:rPr>
          <w:rFonts w:cstheme="minorHAnsi"/>
          <w:sz w:val="24"/>
          <w:szCs w:val="24"/>
          <w:lang w:val="el-GR"/>
        </w:rPr>
        <w:t xml:space="preserve"> </w:t>
      </w:r>
      <w:r>
        <w:rPr>
          <w:rFonts w:cstheme="minorHAnsi"/>
          <w:sz w:val="24"/>
          <w:szCs w:val="24"/>
          <w:lang w:val="el-GR"/>
        </w:rPr>
        <w:t>μπορεί</w:t>
      </w:r>
      <w:r w:rsidRPr="00771963">
        <w:rPr>
          <w:rFonts w:cstheme="minorHAnsi"/>
          <w:sz w:val="24"/>
          <w:szCs w:val="24"/>
          <w:lang w:val="el-GR"/>
        </w:rPr>
        <w:t xml:space="preserve"> </w:t>
      </w:r>
      <w:r>
        <w:rPr>
          <w:rFonts w:cstheme="minorHAnsi"/>
          <w:sz w:val="24"/>
          <w:szCs w:val="24"/>
          <w:lang w:val="el-GR"/>
        </w:rPr>
        <w:t>να</w:t>
      </w:r>
      <w:r w:rsidRPr="00771963">
        <w:rPr>
          <w:rFonts w:cstheme="minorHAnsi"/>
          <w:sz w:val="24"/>
          <w:szCs w:val="24"/>
          <w:lang w:val="el-GR"/>
        </w:rPr>
        <w:t xml:space="preserve"> </w:t>
      </w:r>
      <w:r>
        <w:rPr>
          <w:rFonts w:cstheme="minorHAnsi"/>
          <w:sz w:val="24"/>
          <w:szCs w:val="24"/>
          <w:lang w:val="el-GR"/>
        </w:rPr>
        <w:t>υποβάλει</w:t>
      </w:r>
      <w:r w:rsidRPr="00771963">
        <w:rPr>
          <w:rFonts w:cstheme="minorHAnsi"/>
          <w:sz w:val="24"/>
          <w:szCs w:val="24"/>
          <w:lang w:val="el-GR"/>
        </w:rPr>
        <w:t xml:space="preserve"> </w:t>
      </w:r>
      <w:r w:rsidR="00BC453F">
        <w:rPr>
          <w:rFonts w:cstheme="minorHAnsi"/>
          <w:sz w:val="24"/>
          <w:szCs w:val="24"/>
          <w:lang w:val="el-GR"/>
        </w:rPr>
        <w:t xml:space="preserve">καταγγελία </w:t>
      </w:r>
      <w:r>
        <w:rPr>
          <w:rFonts w:cstheme="minorHAnsi"/>
          <w:sz w:val="24"/>
          <w:szCs w:val="24"/>
          <w:lang w:val="el-GR"/>
        </w:rPr>
        <w:t>στην</w:t>
      </w:r>
      <w:r w:rsidRPr="00771963">
        <w:rPr>
          <w:rFonts w:cstheme="minorHAnsi"/>
          <w:sz w:val="24"/>
          <w:szCs w:val="24"/>
          <w:lang w:val="el-GR"/>
        </w:rPr>
        <w:t xml:space="preserve"> </w:t>
      </w:r>
      <w:r>
        <w:rPr>
          <w:rFonts w:cstheme="minorHAnsi"/>
          <w:sz w:val="24"/>
          <w:szCs w:val="24"/>
          <w:lang w:val="el-GR"/>
        </w:rPr>
        <w:t>Επιτροπή</w:t>
      </w:r>
      <w:r w:rsidRPr="00771963">
        <w:rPr>
          <w:rFonts w:cstheme="minorHAnsi"/>
          <w:sz w:val="24"/>
          <w:szCs w:val="24"/>
          <w:lang w:val="el-GR"/>
        </w:rPr>
        <w:t xml:space="preserve"> </w:t>
      </w:r>
      <w:r>
        <w:rPr>
          <w:rFonts w:cstheme="minorHAnsi"/>
          <w:sz w:val="24"/>
          <w:szCs w:val="24"/>
          <w:lang w:val="el-GR"/>
        </w:rPr>
        <w:t>αυτή</w:t>
      </w:r>
      <w:r w:rsidRPr="00771963">
        <w:rPr>
          <w:rFonts w:cstheme="minorHAnsi"/>
          <w:sz w:val="24"/>
          <w:szCs w:val="24"/>
          <w:lang w:val="el-GR"/>
        </w:rPr>
        <w:t xml:space="preserve">, </w:t>
      </w:r>
      <w:r>
        <w:rPr>
          <w:rFonts w:cstheme="minorHAnsi"/>
          <w:sz w:val="24"/>
          <w:szCs w:val="24"/>
          <w:lang w:val="el-GR"/>
        </w:rPr>
        <w:t>με</w:t>
      </w:r>
      <w:r w:rsidRPr="00771963">
        <w:rPr>
          <w:rFonts w:cstheme="minorHAnsi"/>
          <w:sz w:val="24"/>
          <w:szCs w:val="24"/>
          <w:lang w:val="el-GR"/>
        </w:rPr>
        <w:t xml:space="preserve"> </w:t>
      </w:r>
      <w:r w:rsidR="00BC453F">
        <w:rPr>
          <w:rFonts w:cstheme="minorHAnsi"/>
          <w:sz w:val="24"/>
          <w:szCs w:val="24"/>
          <w:lang w:val="el-GR"/>
        </w:rPr>
        <w:t xml:space="preserve">ένορκη </w:t>
      </w:r>
      <w:r>
        <w:rPr>
          <w:rFonts w:cstheme="minorHAnsi"/>
          <w:sz w:val="24"/>
          <w:szCs w:val="24"/>
          <w:lang w:val="el-GR"/>
        </w:rPr>
        <w:t>γραπτή δήλωση</w:t>
      </w:r>
      <w:r w:rsidR="00A5147D" w:rsidRPr="00771963">
        <w:rPr>
          <w:rFonts w:cstheme="minorHAnsi"/>
          <w:sz w:val="24"/>
          <w:szCs w:val="24"/>
          <w:lang w:val="el-GR"/>
        </w:rPr>
        <w:t xml:space="preserve">. </w:t>
      </w:r>
    </w:p>
    <w:p w14:paraId="5F7D42AA" w14:textId="77777777" w:rsidR="00A5147D" w:rsidRPr="00771963" w:rsidRDefault="00A5147D" w:rsidP="00A5147D">
      <w:pPr>
        <w:pBdr>
          <w:top w:val="nil"/>
          <w:left w:val="nil"/>
          <w:bottom w:val="nil"/>
          <w:right w:val="nil"/>
          <w:between w:val="nil"/>
          <w:bar w:val="nil"/>
        </w:pBdr>
        <w:tabs>
          <w:tab w:val="left" w:pos="709"/>
        </w:tabs>
        <w:rPr>
          <w:rFonts w:eastAsia="Calibri" w:cstheme="minorHAnsi"/>
          <w:sz w:val="24"/>
          <w:szCs w:val="24"/>
          <w:u w:color="000000"/>
          <w:bdr w:val="nil"/>
          <w:lang w:val="el-GR"/>
        </w:rPr>
      </w:pPr>
    </w:p>
    <w:p w14:paraId="14E497DF" w14:textId="3762375D" w:rsidR="00287501" w:rsidRPr="004047FF" w:rsidRDefault="004047FF" w:rsidP="00287501">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Οποιοσδήποτε</w:t>
      </w:r>
      <w:r w:rsidRPr="004047FF">
        <w:rPr>
          <w:rFonts w:cstheme="minorHAnsi"/>
          <w:sz w:val="24"/>
          <w:szCs w:val="24"/>
          <w:lang w:val="el-GR"/>
        </w:rPr>
        <w:t xml:space="preserve"> </w:t>
      </w:r>
      <w:r>
        <w:rPr>
          <w:rFonts w:cstheme="minorHAnsi"/>
          <w:sz w:val="24"/>
          <w:szCs w:val="24"/>
          <w:lang w:val="el-GR"/>
        </w:rPr>
        <w:t>που</w:t>
      </w:r>
      <w:r w:rsidRPr="004047FF">
        <w:rPr>
          <w:rFonts w:cstheme="minorHAnsi"/>
          <w:sz w:val="24"/>
          <w:szCs w:val="24"/>
          <w:lang w:val="el-GR"/>
        </w:rPr>
        <w:t xml:space="preserve"> </w:t>
      </w:r>
      <w:r>
        <w:rPr>
          <w:rFonts w:cstheme="minorHAnsi"/>
          <w:sz w:val="24"/>
          <w:szCs w:val="24"/>
          <w:lang w:val="el-GR"/>
        </w:rPr>
        <w:t>παρεμποδίζει</w:t>
      </w:r>
      <w:r w:rsidRPr="004047FF">
        <w:rPr>
          <w:rFonts w:cstheme="minorHAnsi"/>
          <w:sz w:val="24"/>
          <w:szCs w:val="24"/>
          <w:lang w:val="el-GR"/>
        </w:rPr>
        <w:t xml:space="preserve"> </w:t>
      </w:r>
      <w:r w:rsidR="00BC453F">
        <w:rPr>
          <w:rFonts w:cstheme="minorHAnsi"/>
          <w:sz w:val="24"/>
          <w:szCs w:val="24"/>
          <w:lang w:val="el-GR"/>
        </w:rPr>
        <w:t xml:space="preserve">το ελεγκτικό </w:t>
      </w:r>
      <w:r w:rsidR="00973266">
        <w:rPr>
          <w:rFonts w:cstheme="minorHAnsi"/>
          <w:sz w:val="24"/>
          <w:szCs w:val="24"/>
          <w:lang w:val="el-GR"/>
        </w:rPr>
        <w:t>έργο</w:t>
      </w:r>
      <w:r w:rsidR="00BC453F">
        <w:rPr>
          <w:rFonts w:cstheme="minorHAnsi"/>
          <w:sz w:val="24"/>
          <w:szCs w:val="24"/>
          <w:lang w:val="el-GR"/>
        </w:rPr>
        <w:t xml:space="preserve"> </w:t>
      </w:r>
      <w:r>
        <w:rPr>
          <w:rFonts w:cstheme="minorHAnsi"/>
          <w:sz w:val="24"/>
          <w:szCs w:val="24"/>
          <w:lang w:val="el-GR"/>
        </w:rPr>
        <w:t>ή</w:t>
      </w:r>
      <w:r w:rsidRPr="004047FF">
        <w:rPr>
          <w:rFonts w:cstheme="minorHAnsi"/>
          <w:sz w:val="24"/>
          <w:szCs w:val="24"/>
          <w:lang w:val="el-GR"/>
        </w:rPr>
        <w:t xml:space="preserve"> </w:t>
      </w:r>
      <w:r>
        <w:rPr>
          <w:rFonts w:cstheme="minorHAnsi"/>
          <w:sz w:val="24"/>
          <w:szCs w:val="24"/>
          <w:lang w:val="el-GR"/>
        </w:rPr>
        <w:t>αρνείται</w:t>
      </w:r>
      <w:r w:rsidRPr="004047FF">
        <w:rPr>
          <w:rFonts w:cstheme="minorHAnsi"/>
          <w:sz w:val="24"/>
          <w:szCs w:val="24"/>
          <w:lang w:val="el-GR"/>
        </w:rPr>
        <w:t xml:space="preserve"> </w:t>
      </w:r>
      <w:r>
        <w:rPr>
          <w:rFonts w:cstheme="minorHAnsi"/>
          <w:sz w:val="24"/>
          <w:szCs w:val="24"/>
          <w:lang w:val="el-GR"/>
        </w:rPr>
        <w:t>να</w:t>
      </w:r>
      <w:r w:rsidRPr="004047FF">
        <w:rPr>
          <w:rFonts w:cstheme="minorHAnsi"/>
          <w:sz w:val="24"/>
          <w:szCs w:val="24"/>
          <w:lang w:val="el-GR"/>
        </w:rPr>
        <w:t xml:space="preserve"> </w:t>
      </w:r>
      <w:r>
        <w:rPr>
          <w:rFonts w:cstheme="minorHAnsi"/>
          <w:sz w:val="24"/>
          <w:szCs w:val="24"/>
          <w:lang w:val="el-GR"/>
        </w:rPr>
        <w:t>παρέχει</w:t>
      </w:r>
      <w:r w:rsidRPr="004047FF">
        <w:rPr>
          <w:rFonts w:cstheme="minorHAnsi"/>
          <w:sz w:val="24"/>
          <w:szCs w:val="24"/>
          <w:lang w:val="el-GR"/>
        </w:rPr>
        <w:t xml:space="preserve"> </w:t>
      </w:r>
      <w:r>
        <w:rPr>
          <w:rFonts w:cstheme="minorHAnsi"/>
          <w:sz w:val="24"/>
          <w:szCs w:val="24"/>
          <w:lang w:val="el-GR"/>
        </w:rPr>
        <w:t>αποδεικτικά</w:t>
      </w:r>
      <w:r w:rsidRPr="004047FF">
        <w:rPr>
          <w:rFonts w:cstheme="minorHAnsi"/>
          <w:sz w:val="24"/>
          <w:szCs w:val="24"/>
          <w:lang w:val="el-GR"/>
        </w:rPr>
        <w:t xml:space="preserve"> </w:t>
      </w:r>
      <w:r>
        <w:rPr>
          <w:rFonts w:cstheme="minorHAnsi"/>
          <w:sz w:val="24"/>
          <w:szCs w:val="24"/>
          <w:lang w:val="el-GR"/>
        </w:rPr>
        <w:t>στοιχεία</w:t>
      </w:r>
      <w:r w:rsidR="00A5147D" w:rsidRPr="004047FF">
        <w:rPr>
          <w:rFonts w:cstheme="minorHAnsi"/>
          <w:sz w:val="24"/>
          <w:szCs w:val="24"/>
          <w:lang w:val="el-GR"/>
        </w:rPr>
        <w:t xml:space="preserve">, </w:t>
      </w:r>
      <w:r>
        <w:rPr>
          <w:rFonts w:cstheme="minorHAnsi"/>
          <w:sz w:val="24"/>
          <w:szCs w:val="24"/>
          <w:lang w:val="el-GR"/>
        </w:rPr>
        <w:t>θα</w:t>
      </w:r>
      <w:r w:rsidRPr="004047FF">
        <w:rPr>
          <w:rFonts w:cstheme="minorHAnsi"/>
          <w:sz w:val="24"/>
          <w:szCs w:val="24"/>
          <w:lang w:val="el-GR"/>
        </w:rPr>
        <w:t xml:space="preserve"> </w:t>
      </w:r>
      <w:r>
        <w:rPr>
          <w:rFonts w:cstheme="minorHAnsi"/>
          <w:sz w:val="24"/>
          <w:szCs w:val="24"/>
          <w:lang w:val="el-GR"/>
        </w:rPr>
        <w:t>θεωρηθεί</w:t>
      </w:r>
      <w:r w:rsidRPr="004047FF">
        <w:rPr>
          <w:rFonts w:cstheme="minorHAnsi"/>
          <w:sz w:val="24"/>
          <w:szCs w:val="24"/>
          <w:lang w:val="el-GR"/>
        </w:rPr>
        <w:t xml:space="preserve"> </w:t>
      </w:r>
      <w:r>
        <w:rPr>
          <w:rFonts w:cstheme="minorHAnsi"/>
          <w:sz w:val="24"/>
          <w:szCs w:val="24"/>
          <w:lang w:val="el-GR"/>
        </w:rPr>
        <w:t>ένοχος αδικήματος</w:t>
      </w:r>
      <w:r w:rsidR="00A5147D" w:rsidRPr="004047FF">
        <w:rPr>
          <w:rFonts w:cstheme="minorHAnsi"/>
          <w:sz w:val="24"/>
          <w:szCs w:val="24"/>
          <w:lang w:val="el-GR"/>
        </w:rPr>
        <w:t xml:space="preserve"> </w:t>
      </w:r>
      <w:r>
        <w:rPr>
          <w:rFonts w:cstheme="minorHAnsi"/>
          <w:sz w:val="24"/>
          <w:szCs w:val="24"/>
          <w:lang w:val="el-GR"/>
        </w:rPr>
        <w:t>και</w:t>
      </w:r>
      <w:r w:rsidR="00A5147D" w:rsidRPr="004047FF">
        <w:rPr>
          <w:rFonts w:cstheme="minorHAnsi"/>
          <w:sz w:val="24"/>
          <w:szCs w:val="24"/>
          <w:lang w:val="el-GR"/>
        </w:rPr>
        <w:t xml:space="preserve">, </w:t>
      </w:r>
      <w:r>
        <w:rPr>
          <w:rFonts w:cstheme="minorHAnsi"/>
          <w:sz w:val="24"/>
          <w:szCs w:val="24"/>
          <w:lang w:val="el-GR"/>
        </w:rPr>
        <w:t>αν καταδικαστεί</w:t>
      </w:r>
      <w:r w:rsidR="00A5147D" w:rsidRPr="004047FF">
        <w:rPr>
          <w:rFonts w:cstheme="minorHAnsi"/>
          <w:sz w:val="24"/>
          <w:szCs w:val="24"/>
          <w:lang w:val="el-GR"/>
        </w:rPr>
        <w:t xml:space="preserve">, </w:t>
      </w:r>
      <w:r>
        <w:rPr>
          <w:rFonts w:cstheme="minorHAnsi"/>
          <w:sz w:val="24"/>
          <w:szCs w:val="24"/>
          <w:lang w:val="el-GR"/>
        </w:rPr>
        <w:t>του επιβάλλεται πρόστιμο που δεν υπερβ</w:t>
      </w:r>
      <w:r w:rsidR="00A20DDF">
        <w:rPr>
          <w:rFonts w:cstheme="minorHAnsi"/>
          <w:sz w:val="24"/>
          <w:szCs w:val="24"/>
          <w:lang w:val="el-GR"/>
        </w:rPr>
        <w:t>αί</w:t>
      </w:r>
      <w:r>
        <w:rPr>
          <w:rFonts w:cstheme="minorHAnsi"/>
          <w:sz w:val="24"/>
          <w:szCs w:val="24"/>
          <w:lang w:val="el-GR"/>
        </w:rPr>
        <w:t>νει</w:t>
      </w:r>
      <w:r w:rsidR="00A5147D" w:rsidRPr="004047FF">
        <w:rPr>
          <w:rFonts w:cstheme="minorHAnsi"/>
          <w:sz w:val="24"/>
          <w:szCs w:val="24"/>
          <w:lang w:val="el-GR"/>
        </w:rPr>
        <w:t xml:space="preserve"> €5 000 </w:t>
      </w:r>
      <w:r>
        <w:rPr>
          <w:rFonts w:cstheme="minorHAnsi"/>
          <w:sz w:val="24"/>
          <w:szCs w:val="24"/>
          <w:lang w:val="el-GR"/>
        </w:rPr>
        <w:t>και</w:t>
      </w:r>
      <w:r w:rsidR="00A5147D" w:rsidRPr="004047FF">
        <w:rPr>
          <w:rFonts w:cstheme="minorHAnsi"/>
          <w:sz w:val="24"/>
          <w:szCs w:val="24"/>
          <w:lang w:val="el-GR"/>
        </w:rPr>
        <w:t>/</w:t>
      </w:r>
      <w:r>
        <w:rPr>
          <w:rFonts w:cstheme="minorHAnsi"/>
          <w:sz w:val="24"/>
          <w:szCs w:val="24"/>
          <w:lang w:val="el-GR"/>
        </w:rPr>
        <w:t>ή</w:t>
      </w:r>
      <w:r w:rsidR="00A5147D" w:rsidRPr="004047FF">
        <w:rPr>
          <w:rFonts w:cstheme="minorHAnsi"/>
          <w:sz w:val="24"/>
          <w:szCs w:val="24"/>
          <w:lang w:val="el-GR"/>
        </w:rPr>
        <w:t xml:space="preserve"> </w:t>
      </w:r>
      <w:r>
        <w:rPr>
          <w:rFonts w:cstheme="minorHAnsi"/>
          <w:sz w:val="24"/>
          <w:szCs w:val="24"/>
          <w:lang w:val="el-GR"/>
        </w:rPr>
        <w:t>ποινή φυλάκισης που δεν υπερβαίνει τον ένα χρόνο</w:t>
      </w:r>
      <w:r w:rsidR="00A5147D" w:rsidRPr="004047FF">
        <w:rPr>
          <w:rFonts w:cstheme="minorHAnsi"/>
          <w:sz w:val="24"/>
          <w:szCs w:val="24"/>
          <w:lang w:val="el-GR"/>
        </w:rPr>
        <w:t xml:space="preserve">. </w:t>
      </w:r>
      <w:r>
        <w:rPr>
          <w:rFonts w:cstheme="minorHAnsi"/>
          <w:sz w:val="24"/>
          <w:szCs w:val="24"/>
          <w:lang w:val="el-GR"/>
        </w:rPr>
        <w:t>Ο</w:t>
      </w:r>
      <w:r w:rsidRPr="004047FF">
        <w:rPr>
          <w:rFonts w:cstheme="minorHAnsi"/>
          <w:sz w:val="24"/>
          <w:szCs w:val="24"/>
          <w:lang w:val="el-GR"/>
        </w:rPr>
        <w:t xml:space="preserve"> </w:t>
      </w:r>
      <w:r>
        <w:rPr>
          <w:rFonts w:cstheme="minorHAnsi"/>
          <w:sz w:val="24"/>
          <w:szCs w:val="24"/>
          <w:lang w:val="el-GR"/>
        </w:rPr>
        <w:t>έλεγχος</w:t>
      </w:r>
      <w:r w:rsidRPr="004047FF">
        <w:rPr>
          <w:rFonts w:cstheme="minorHAnsi"/>
          <w:sz w:val="24"/>
          <w:szCs w:val="24"/>
          <w:lang w:val="el-GR"/>
        </w:rPr>
        <w:t xml:space="preserve"> </w:t>
      </w:r>
      <w:r>
        <w:rPr>
          <w:rFonts w:cstheme="minorHAnsi"/>
          <w:sz w:val="24"/>
          <w:szCs w:val="24"/>
          <w:lang w:val="el-GR"/>
        </w:rPr>
        <w:t>των</w:t>
      </w:r>
      <w:r w:rsidRPr="004047FF">
        <w:rPr>
          <w:rFonts w:cstheme="minorHAnsi"/>
          <w:sz w:val="24"/>
          <w:szCs w:val="24"/>
          <w:lang w:val="el-GR"/>
        </w:rPr>
        <w:t xml:space="preserve"> </w:t>
      </w:r>
      <w:r>
        <w:rPr>
          <w:rFonts w:cstheme="minorHAnsi"/>
          <w:sz w:val="24"/>
          <w:szCs w:val="24"/>
          <w:lang w:val="el-GR"/>
        </w:rPr>
        <w:t>περιουσιακών</w:t>
      </w:r>
      <w:r w:rsidRPr="004047FF">
        <w:rPr>
          <w:rFonts w:cstheme="minorHAnsi"/>
          <w:sz w:val="24"/>
          <w:szCs w:val="24"/>
          <w:lang w:val="el-GR"/>
        </w:rPr>
        <w:t xml:space="preserve"> </w:t>
      </w:r>
      <w:r>
        <w:rPr>
          <w:rFonts w:cstheme="minorHAnsi"/>
          <w:sz w:val="24"/>
          <w:szCs w:val="24"/>
          <w:lang w:val="el-GR"/>
        </w:rPr>
        <w:t>στοιχείων</w:t>
      </w:r>
      <w:r w:rsidR="00A5147D" w:rsidRPr="004047FF">
        <w:rPr>
          <w:rFonts w:cstheme="minorHAnsi"/>
          <w:sz w:val="24"/>
          <w:szCs w:val="24"/>
          <w:lang w:val="el-GR"/>
        </w:rPr>
        <w:t xml:space="preserve"> </w:t>
      </w:r>
      <w:r>
        <w:rPr>
          <w:rFonts w:cstheme="minorHAnsi"/>
          <w:sz w:val="24"/>
          <w:szCs w:val="24"/>
          <w:lang w:val="el-GR"/>
        </w:rPr>
        <w:t>πρέπει</w:t>
      </w:r>
      <w:r w:rsidRPr="004047FF">
        <w:rPr>
          <w:rFonts w:cstheme="minorHAnsi"/>
          <w:sz w:val="24"/>
          <w:szCs w:val="24"/>
          <w:lang w:val="el-GR"/>
        </w:rPr>
        <w:t xml:space="preserve"> </w:t>
      </w:r>
      <w:r>
        <w:rPr>
          <w:rFonts w:cstheme="minorHAnsi"/>
          <w:sz w:val="24"/>
          <w:szCs w:val="24"/>
          <w:lang w:val="el-GR"/>
        </w:rPr>
        <w:t>να</w:t>
      </w:r>
      <w:r w:rsidRPr="004047FF">
        <w:rPr>
          <w:rFonts w:cstheme="minorHAnsi"/>
          <w:sz w:val="24"/>
          <w:szCs w:val="24"/>
          <w:lang w:val="el-GR"/>
        </w:rPr>
        <w:t xml:space="preserve"> </w:t>
      </w:r>
      <w:r>
        <w:rPr>
          <w:rFonts w:cstheme="minorHAnsi"/>
          <w:sz w:val="24"/>
          <w:szCs w:val="24"/>
          <w:lang w:val="el-GR"/>
        </w:rPr>
        <w:t>συμπληρωθεί</w:t>
      </w:r>
      <w:r w:rsidRPr="004047FF">
        <w:rPr>
          <w:rFonts w:cstheme="minorHAnsi"/>
          <w:sz w:val="24"/>
          <w:szCs w:val="24"/>
          <w:lang w:val="el-GR"/>
        </w:rPr>
        <w:t xml:space="preserve"> </w:t>
      </w:r>
      <w:r>
        <w:rPr>
          <w:rFonts w:cstheme="minorHAnsi"/>
          <w:sz w:val="24"/>
          <w:szCs w:val="24"/>
          <w:lang w:val="el-GR"/>
        </w:rPr>
        <w:t>εντός</w:t>
      </w:r>
      <w:r w:rsidRPr="004047FF">
        <w:rPr>
          <w:rFonts w:cstheme="minorHAnsi"/>
          <w:sz w:val="24"/>
          <w:szCs w:val="24"/>
          <w:lang w:val="el-GR"/>
        </w:rPr>
        <w:t xml:space="preserve"> </w:t>
      </w:r>
      <w:r>
        <w:rPr>
          <w:rFonts w:cstheme="minorHAnsi"/>
          <w:sz w:val="24"/>
          <w:szCs w:val="24"/>
          <w:lang w:val="el-GR"/>
        </w:rPr>
        <w:t>τριών μηνών</w:t>
      </w:r>
      <w:r w:rsidR="00A5147D" w:rsidRPr="004047FF">
        <w:rPr>
          <w:rFonts w:cstheme="minorHAnsi"/>
          <w:sz w:val="24"/>
          <w:szCs w:val="24"/>
          <w:lang w:val="el-GR"/>
        </w:rPr>
        <w:t xml:space="preserve"> </w:t>
      </w:r>
      <w:r>
        <w:rPr>
          <w:rFonts w:cstheme="minorHAnsi"/>
          <w:sz w:val="24"/>
          <w:szCs w:val="24"/>
          <w:lang w:val="el-GR"/>
        </w:rPr>
        <w:t>από την παραλαβή της δήλωσης</w:t>
      </w:r>
      <w:r w:rsidR="00A5147D" w:rsidRPr="004047FF">
        <w:rPr>
          <w:rFonts w:cstheme="minorHAnsi"/>
          <w:sz w:val="24"/>
          <w:szCs w:val="24"/>
          <w:lang w:val="el-GR"/>
        </w:rPr>
        <w:t xml:space="preserve">. </w:t>
      </w:r>
      <w:r>
        <w:rPr>
          <w:rFonts w:cstheme="minorHAnsi"/>
          <w:sz w:val="24"/>
          <w:szCs w:val="24"/>
          <w:lang w:val="el-GR"/>
        </w:rPr>
        <w:t>Αφού</w:t>
      </w:r>
      <w:r w:rsidRPr="004F79C1">
        <w:rPr>
          <w:rFonts w:cstheme="minorHAnsi"/>
          <w:sz w:val="24"/>
          <w:szCs w:val="24"/>
          <w:lang w:val="el-GR"/>
        </w:rPr>
        <w:t xml:space="preserve"> </w:t>
      </w:r>
      <w:r>
        <w:rPr>
          <w:rFonts w:cstheme="minorHAnsi"/>
          <w:sz w:val="24"/>
          <w:szCs w:val="24"/>
          <w:lang w:val="el-GR"/>
        </w:rPr>
        <w:t>συμπληρωθεί</w:t>
      </w:r>
      <w:r w:rsidRPr="004F79C1">
        <w:rPr>
          <w:rFonts w:cstheme="minorHAnsi"/>
          <w:sz w:val="24"/>
          <w:szCs w:val="24"/>
          <w:lang w:val="el-GR"/>
        </w:rPr>
        <w:t xml:space="preserve"> </w:t>
      </w:r>
      <w:r>
        <w:rPr>
          <w:rFonts w:cstheme="minorHAnsi"/>
          <w:sz w:val="24"/>
          <w:szCs w:val="24"/>
          <w:lang w:val="el-GR"/>
        </w:rPr>
        <w:t>ο</w:t>
      </w:r>
      <w:r w:rsidRPr="004F79C1">
        <w:rPr>
          <w:rFonts w:cstheme="minorHAnsi"/>
          <w:sz w:val="24"/>
          <w:szCs w:val="24"/>
          <w:lang w:val="el-GR"/>
        </w:rPr>
        <w:t xml:space="preserve"> </w:t>
      </w:r>
      <w:r>
        <w:rPr>
          <w:rFonts w:cstheme="minorHAnsi"/>
          <w:sz w:val="24"/>
          <w:szCs w:val="24"/>
          <w:lang w:val="el-GR"/>
        </w:rPr>
        <w:t>έλεγχος</w:t>
      </w:r>
      <w:r w:rsidR="00A5147D" w:rsidRPr="004F79C1">
        <w:rPr>
          <w:rFonts w:cstheme="minorHAnsi"/>
          <w:sz w:val="24"/>
          <w:szCs w:val="24"/>
          <w:lang w:val="el-GR"/>
        </w:rPr>
        <w:t xml:space="preserve">, </w:t>
      </w:r>
      <w:r>
        <w:rPr>
          <w:rFonts w:cstheme="minorHAnsi"/>
          <w:sz w:val="24"/>
          <w:szCs w:val="24"/>
          <w:lang w:val="el-GR"/>
        </w:rPr>
        <w:t>συντάσσεται</w:t>
      </w:r>
      <w:r w:rsidRPr="004F79C1">
        <w:rPr>
          <w:rFonts w:cstheme="minorHAnsi"/>
          <w:sz w:val="24"/>
          <w:szCs w:val="24"/>
          <w:lang w:val="el-GR"/>
        </w:rPr>
        <w:t xml:space="preserve"> </w:t>
      </w:r>
      <w:r>
        <w:rPr>
          <w:rFonts w:cstheme="minorHAnsi"/>
          <w:sz w:val="24"/>
          <w:szCs w:val="24"/>
          <w:lang w:val="el-GR"/>
        </w:rPr>
        <w:t>μια</w:t>
      </w:r>
      <w:r w:rsidRPr="004F79C1">
        <w:rPr>
          <w:rFonts w:cstheme="minorHAnsi"/>
          <w:sz w:val="24"/>
          <w:szCs w:val="24"/>
          <w:lang w:val="el-GR"/>
        </w:rPr>
        <w:t xml:space="preserve"> </w:t>
      </w:r>
      <w:r>
        <w:rPr>
          <w:rFonts w:cstheme="minorHAnsi"/>
          <w:sz w:val="24"/>
          <w:szCs w:val="24"/>
          <w:lang w:val="el-GR"/>
        </w:rPr>
        <w:t>έκθεση</w:t>
      </w:r>
      <w:r w:rsidR="00A5147D" w:rsidRPr="004F79C1">
        <w:rPr>
          <w:rFonts w:cstheme="minorHAnsi"/>
          <w:sz w:val="24"/>
          <w:szCs w:val="24"/>
          <w:lang w:val="el-GR"/>
        </w:rPr>
        <w:t>.</w:t>
      </w:r>
      <w:r w:rsidR="00287501" w:rsidRPr="004F79C1">
        <w:rPr>
          <w:rFonts w:cstheme="minorHAnsi"/>
          <w:sz w:val="24"/>
          <w:szCs w:val="24"/>
          <w:lang w:val="el-GR"/>
        </w:rPr>
        <w:t xml:space="preserve"> </w:t>
      </w:r>
      <w:bookmarkStart w:id="165" w:name="_Hlk132889612"/>
      <w:r>
        <w:rPr>
          <w:rFonts w:cstheme="minorHAnsi"/>
          <w:sz w:val="24"/>
          <w:szCs w:val="24"/>
          <w:lang w:val="el-GR"/>
        </w:rPr>
        <w:t>Σύμφωνα</w:t>
      </w:r>
      <w:r w:rsidRPr="004047FF">
        <w:rPr>
          <w:rFonts w:cstheme="minorHAnsi"/>
          <w:sz w:val="24"/>
          <w:szCs w:val="24"/>
          <w:lang w:val="el-GR"/>
        </w:rPr>
        <w:t xml:space="preserve"> </w:t>
      </w:r>
      <w:r>
        <w:rPr>
          <w:rFonts w:cstheme="minorHAnsi"/>
          <w:sz w:val="24"/>
          <w:szCs w:val="24"/>
          <w:lang w:val="el-GR"/>
        </w:rPr>
        <w:t>με</w:t>
      </w:r>
      <w:r w:rsidRPr="004047FF">
        <w:rPr>
          <w:rFonts w:cstheme="minorHAnsi"/>
          <w:sz w:val="24"/>
          <w:szCs w:val="24"/>
          <w:lang w:val="el-GR"/>
        </w:rPr>
        <w:t xml:space="preserve"> </w:t>
      </w:r>
      <w:r>
        <w:rPr>
          <w:rFonts w:cstheme="minorHAnsi"/>
          <w:sz w:val="24"/>
          <w:szCs w:val="24"/>
          <w:lang w:val="el-GR"/>
        </w:rPr>
        <w:t>τον</w:t>
      </w:r>
      <w:r w:rsidRPr="004047FF">
        <w:rPr>
          <w:rFonts w:cstheme="minorHAnsi"/>
          <w:sz w:val="24"/>
          <w:szCs w:val="24"/>
          <w:lang w:val="el-GR"/>
        </w:rPr>
        <w:t xml:space="preserve"> </w:t>
      </w:r>
      <w:r>
        <w:rPr>
          <w:rFonts w:cstheme="minorHAnsi"/>
          <w:sz w:val="24"/>
          <w:szCs w:val="24"/>
          <w:lang w:val="el-GR"/>
        </w:rPr>
        <w:t>νόμο</w:t>
      </w:r>
      <w:r w:rsidR="00287501" w:rsidRPr="004047FF">
        <w:rPr>
          <w:rFonts w:cstheme="minorHAnsi"/>
          <w:sz w:val="24"/>
          <w:szCs w:val="24"/>
          <w:lang w:val="el-GR"/>
        </w:rPr>
        <w:t xml:space="preserve">, </w:t>
      </w:r>
      <w:r>
        <w:rPr>
          <w:rFonts w:cstheme="minorHAnsi"/>
          <w:sz w:val="24"/>
          <w:szCs w:val="24"/>
          <w:lang w:val="el-GR"/>
        </w:rPr>
        <w:t>για</w:t>
      </w:r>
      <w:r w:rsidRPr="004047FF">
        <w:rPr>
          <w:rFonts w:cstheme="minorHAnsi"/>
          <w:sz w:val="24"/>
          <w:szCs w:val="24"/>
          <w:lang w:val="el-GR"/>
        </w:rPr>
        <w:t xml:space="preserve"> </w:t>
      </w:r>
      <w:r>
        <w:rPr>
          <w:rFonts w:cstheme="minorHAnsi"/>
          <w:sz w:val="24"/>
          <w:szCs w:val="24"/>
          <w:lang w:val="el-GR"/>
        </w:rPr>
        <w:t>να</w:t>
      </w:r>
      <w:r w:rsidRPr="004047FF">
        <w:rPr>
          <w:rFonts w:cstheme="minorHAnsi"/>
          <w:sz w:val="24"/>
          <w:szCs w:val="24"/>
          <w:lang w:val="el-GR"/>
        </w:rPr>
        <w:t xml:space="preserve"> </w:t>
      </w:r>
      <w:r>
        <w:rPr>
          <w:rFonts w:cstheme="minorHAnsi"/>
          <w:sz w:val="24"/>
          <w:szCs w:val="24"/>
          <w:lang w:val="el-GR"/>
        </w:rPr>
        <w:t>εκπληρώσει</w:t>
      </w:r>
      <w:r w:rsidRPr="004047FF">
        <w:rPr>
          <w:rFonts w:cstheme="minorHAnsi"/>
          <w:sz w:val="24"/>
          <w:szCs w:val="24"/>
          <w:lang w:val="el-GR"/>
        </w:rPr>
        <w:t xml:space="preserve"> </w:t>
      </w:r>
      <w:r>
        <w:rPr>
          <w:rFonts w:cstheme="minorHAnsi"/>
          <w:sz w:val="24"/>
          <w:szCs w:val="24"/>
          <w:lang w:val="el-GR"/>
        </w:rPr>
        <w:t>την</w:t>
      </w:r>
      <w:r w:rsidRPr="004047FF">
        <w:rPr>
          <w:rFonts w:cstheme="minorHAnsi"/>
          <w:sz w:val="24"/>
          <w:szCs w:val="24"/>
          <w:lang w:val="el-GR"/>
        </w:rPr>
        <w:t xml:space="preserve"> </w:t>
      </w:r>
      <w:r>
        <w:rPr>
          <w:rFonts w:cstheme="minorHAnsi"/>
          <w:sz w:val="24"/>
          <w:szCs w:val="24"/>
          <w:lang w:val="el-GR"/>
        </w:rPr>
        <w:t>εντολή</w:t>
      </w:r>
      <w:r w:rsidRPr="004047FF">
        <w:rPr>
          <w:rFonts w:cstheme="minorHAnsi"/>
          <w:sz w:val="24"/>
          <w:szCs w:val="24"/>
          <w:lang w:val="el-GR"/>
        </w:rPr>
        <w:t xml:space="preserve"> </w:t>
      </w:r>
      <w:r>
        <w:rPr>
          <w:rFonts w:cstheme="minorHAnsi"/>
          <w:sz w:val="24"/>
          <w:szCs w:val="24"/>
          <w:lang w:val="el-GR"/>
        </w:rPr>
        <w:t>της</w:t>
      </w:r>
      <w:r w:rsidR="00287501" w:rsidRPr="004047FF">
        <w:rPr>
          <w:rFonts w:cstheme="minorHAnsi"/>
          <w:sz w:val="24"/>
          <w:szCs w:val="24"/>
          <w:lang w:val="el-GR"/>
        </w:rPr>
        <w:t xml:space="preserve">, </w:t>
      </w:r>
      <w:r>
        <w:rPr>
          <w:rFonts w:cstheme="minorHAnsi"/>
          <w:sz w:val="24"/>
          <w:szCs w:val="24"/>
          <w:lang w:val="el-GR"/>
        </w:rPr>
        <w:t>η</w:t>
      </w:r>
      <w:r w:rsidRPr="004047FF">
        <w:rPr>
          <w:rFonts w:cstheme="minorHAnsi"/>
          <w:sz w:val="24"/>
          <w:szCs w:val="24"/>
          <w:lang w:val="el-GR"/>
        </w:rPr>
        <w:t xml:space="preserve"> </w:t>
      </w:r>
      <w:r>
        <w:rPr>
          <w:rFonts w:cstheme="minorHAnsi"/>
          <w:sz w:val="24"/>
          <w:szCs w:val="24"/>
          <w:lang w:val="el-GR"/>
        </w:rPr>
        <w:t>Επιτροπή</w:t>
      </w:r>
      <w:r w:rsidRPr="004047FF">
        <w:rPr>
          <w:rFonts w:cstheme="minorHAnsi"/>
          <w:sz w:val="24"/>
          <w:szCs w:val="24"/>
          <w:lang w:val="el-GR"/>
        </w:rPr>
        <w:t xml:space="preserve"> </w:t>
      </w:r>
      <w:r>
        <w:rPr>
          <w:rFonts w:cstheme="minorHAnsi"/>
          <w:sz w:val="24"/>
          <w:szCs w:val="24"/>
          <w:lang w:val="el-GR"/>
        </w:rPr>
        <w:t>μπορεί</w:t>
      </w:r>
      <w:r w:rsidRPr="004047FF">
        <w:rPr>
          <w:rFonts w:cstheme="minorHAnsi"/>
          <w:sz w:val="24"/>
          <w:szCs w:val="24"/>
          <w:lang w:val="el-GR"/>
        </w:rPr>
        <w:t xml:space="preserve"> </w:t>
      </w:r>
      <w:r>
        <w:rPr>
          <w:rFonts w:cstheme="minorHAnsi"/>
          <w:sz w:val="24"/>
          <w:szCs w:val="24"/>
          <w:lang w:val="el-GR"/>
        </w:rPr>
        <w:t>να</w:t>
      </w:r>
      <w:r w:rsidRPr="004047FF">
        <w:rPr>
          <w:rFonts w:cstheme="minorHAnsi"/>
          <w:sz w:val="24"/>
          <w:szCs w:val="24"/>
          <w:lang w:val="el-GR"/>
        </w:rPr>
        <w:t xml:space="preserve"> </w:t>
      </w:r>
      <w:r>
        <w:rPr>
          <w:rFonts w:cstheme="minorHAnsi"/>
          <w:sz w:val="24"/>
          <w:szCs w:val="24"/>
          <w:lang w:val="el-GR"/>
        </w:rPr>
        <w:t>παραπέμψει</w:t>
      </w:r>
      <w:r w:rsidRPr="004047FF">
        <w:rPr>
          <w:rFonts w:cstheme="minorHAnsi"/>
          <w:sz w:val="24"/>
          <w:szCs w:val="24"/>
          <w:lang w:val="el-GR"/>
        </w:rPr>
        <w:t xml:space="preserve"> </w:t>
      </w:r>
      <w:r>
        <w:rPr>
          <w:rFonts w:cstheme="minorHAnsi"/>
          <w:sz w:val="24"/>
          <w:szCs w:val="24"/>
          <w:lang w:val="el-GR"/>
        </w:rPr>
        <w:t>τον</w:t>
      </w:r>
      <w:r w:rsidRPr="004047FF">
        <w:rPr>
          <w:rFonts w:cstheme="minorHAnsi"/>
          <w:sz w:val="24"/>
          <w:szCs w:val="24"/>
          <w:lang w:val="el-GR"/>
        </w:rPr>
        <w:t xml:space="preserve"> </w:t>
      </w:r>
      <w:r>
        <w:rPr>
          <w:rFonts w:cstheme="minorHAnsi"/>
          <w:sz w:val="24"/>
          <w:szCs w:val="24"/>
          <w:lang w:val="el-GR"/>
        </w:rPr>
        <w:t>λογιστικό</w:t>
      </w:r>
      <w:r w:rsidRPr="004047FF">
        <w:rPr>
          <w:rFonts w:cstheme="minorHAnsi"/>
          <w:sz w:val="24"/>
          <w:szCs w:val="24"/>
          <w:lang w:val="el-GR"/>
        </w:rPr>
        <w:t xml:space="preserve"> </w:t>
      </w:r>
      <w:r>
        <w:rPr>
          <w:rFonts w:cstheme="minorHAnsi"/>
          <w:sz w:val="24"/>
          <w:szCs w:val="24"/>
          <w:lang w:val="el-GR"/>
        </w:rPr>
        <w:t>και</w:t>
      </w:r>
      <w:r w:rsidRPr="004047FF">
        <w:rPr>
          <w:rFonts w:cstheme="minorHAnsi"/>
          <w:sz w:val="24"/>
          <w:szCs w:val="24"/>
          <w:lang w:val="el-GR"/>
        </w:rPr>
        <w:t xml:space="preserve"> </w:t>
      </w:r>
      <w:r>
        <w:rPr>
          <w:rFonts w:cstheme="minorHAnsi"/>
          <w:sz w:val="24"/>
          <w:szCs w:val="24"/>
          <w:lang w:val="el-GR"/>
        </w:rPr>
        <w:t>οικονομικό</w:t>
      </w:r>
      <w:r w:rsidRPr="004047FF">
        <w:rPr>
          <w:rFonts w:cstheme="minorHAnsi"/>
          <w:sz w:val="24"/>
          <w:szCs w:val="24"/>
          <w:lang w:val="el-GR"/>
        </w:rPr>
        <w:t xml:space="preserve"> </w:t>
      </w:r>
      <w:r>
        <w:rPr>
          <w:rFonts w:cstheme="minorHAnsi"/>
          <w:sz w:val="24"/>
          <w:szCs w:val="24"/>
          <w:lang w:val="el-GR"/>
        </w:rPr>
        <w:t>έλεγχο</w:t>
      </w:r>
      <w:r w:rsidRPr="004047FF">
        <w:rPr>
          <w:rFonts w:cstheme="minorHAnsi"/>
          <w:sz w:val="24"/>
          <w:szCs w:val="24"/>
          <w:lang w:val="el-GR"/>
        </w:rPr>
        <w:t xml:space="preserve"> </w:t>
      </w:r>
      <w:r>
        <w:rPr>
          <w:rFonts w:cstheme="minorHAnsi"/>
          <w:sz w:val="24"/>
          <w:szCs w:val="24"/>
          <w:lang w:val="el-GR"/>
        </w:rPr>
        <w:t>των</w:t>
      </w:r>
      <w:r w:rsidRPr="004047FF">
        <w:rPr>
          <w:rFonts w:cstheme="minorHAnsi"/>
          <w:sz w:val="24"/>
          <w:szCs w:val="24"/>
          <w:lang w:val="el-GR"/>
        </w:rPr>
        <w:t xml:space="preserve"> </w:t>
      </w:r>
      <w:r>
        <w:rPr>
          <w:rFonts w:cstheme="minorHAnsi"/>
          <w:sz w:val="24"/>
          <w:szCs w:val="24"/>
          <w:lang w:val="el-GR"/>
        </w:rPr>
        <w:t>δηλώσεων</w:t>
      </w:r>
      <w:r w:rsidRPr="004047FF">
        <w:rPr>
          <w:rFonts w:cstheme="minorHAnsi"/>
          <w:sz w:val="24"/>
          <w:szCs w:val="24"/>
          <w:lang w:val="el-GR"/>
        </w:rPr>
        <w:t xml:space="preserve"> </w:t>
      </w:r>
      <w:r>
        <w:rPr>
          <w:rFonts w:cstheme="minorHAnsi"/>
          <w:sz w:val="24"/>
          <w:szCs w:val="24"/>
          <w:lang w:val="el-GR"/>
        </w:rPr>
        <w:t>σε</w:t>
      </w:r>
      <w:r w:rsidRPr="004047FF">
        <w:rPr>
          <w:rFonts w:cstheme="minorHAnsi"/>
          <w:sz w:val="24"/>
          <w:szCs w:val="24"/>
          <w:lang w:val="el-GR"/>
        </w:rPr>
        <w:t xml:space="preserve"> </w:t>
      </w:r>
      <w:r>
        <w:rPr>
          <w:rFonts w:cstheme="minorHAnsi"/>
          <w:sz w:val="24"/>
          <w:szCs w:val="24"/>
          <w:lang w:val="el-GR"/>
        </w:rPr>
        <w:t>ένα</w:t>
      </w:r>
      <w:r w:rsidRPr="004047FF">
        <w:rPr>
          <w:rFonts w:cstheme="minorHAnsi"/>
          <w:sz w:val="24"/>
          <w:szCs w:val="24"/>
          <w:lang w:val="el-GR"/>
        </w:rPr>
        <w:t xml:space="preserve"> </w:t>
      </w:r>
      <w:r>
        <w:rPr>
          <w:rFonts w:cstheme="minorHAnsi"/>
          <w:sz w:val="24"/>
          <w:szCs w:val="24"/>
          <w:lang w:val="el-GR"/>
        </w:rPr>
        <w:t>επαγγελματία</w:t>
      </w:r>
      <w:r w:rsidRPr="004047FF">
        <w:rPr>
          <w:rFonts w:cstheme="minorHAnsi"/>
          <w:sz w:val="24"/>
          <w:szCs w:val="24"/>
          <w:lang w:val="el-GR"/>
        </w:rPr>
        <w:t xml:space="preserve"> </w:t>
      </w:r>
      <w:r>
        <w:rPr>
          <w:rFonts w:cstheme="minorHAnsi"/>
          <w:sz w:val="24"/>
          <w:szCs w:val="24"/>
          <w:lang w:val="el-GR"/>
        </w:rPr>
        <w:t>ελεγκτή</w:t>
      </w:r>
      <w:r w:rsidR="00287501" w:rsidRPr="004047FF">
        <w:rPr>
          <w:rFonts w:cstheme="minorHAnsi"/>
          <w:sz w:val="24"/>
          <w:szCs w:val="24"/>
          <w:lang w:val="el-GR"/>
        </w:rPr>
        <w:t xml:space="preserve">, </w:t>
      </w:r>
      <w:r>
        <w:rPr>
          <w:rFonts w:cstheme="minorHAnsi"/>
          <w:sz w:val="24"/>
          <w:szCs w:val="24"/>
          <w:lang w:val="el-GR"/>
        </w:rPr>
        <w:t>που</w:t>
      </w:r>
      <w:r w:rsidRPr="004047FF">
        <w:rPr>
          <w:rFonts w:cstheme="minorHAnsi"/>
          <w:sz w:val="24"/>
          <w:szCs w:val="24"/>
          <w:lang w:val="el-GR"/>
        </w:rPr>
        <w:t xml:space="preserve"> </w:t>
      </w:r>
      <w:r>
        <w:rPr>
          <w:rFonts w:cstheme="minorHAnsi"/>
          <w:sz w:val="24"/>
          <w:szCs w:val="24"/>
          <w:lang w:val="el-GR"/>
        </w:rPr>
        <w:t>είναι</w:t>
      </w:r>
      <w:r w:rsidRPr="004047FF">
        <w:rPr>
          <w:rFonts w:cstheme="minorHAnsi"/>
          <w:sz w:val="24"/>
          <w:szCs w:val="24"/>
          <w:lang w:val="el-GR"/>
        </w:rPr>
        <w:t xml:space="preserve"> </w:t>
      </w:r>
      <w:proofErr w:type="spellStart"/>
      <w:r>
        <w:rPr>
          <w:rFonts w:cstheme="minorHAnsi"/>
          <w:sz w:val="24"/>
          <w:szCs w:val="24"/>
          <w:lang w:val="el-GR"/>
        </w:rPr>
        <w:t>αδειοδοτημένος</w:t>
      </w:r>
      <w:proofErr w:type="spellEnd"/>
      <w:r w:rsidRPr="004047FF">
        <w:rPr>
          <w:rFonts w:cstheme="minorHAnsi"/>
          <w:sz w:val="24"/>
          <w:szCs w:val="24"/>
          <w:lang w:val="el-GR"/>
        </w:rPr>
        <w:t xml:space="preserve"> </w:t>
      </w:r>
      <w:r>
        <w:rPr>
          <w:rFonts w:cstheme="minorHAnsi"/>
          <w:sz w:val="24"/>
          <w:szCs w:val="24"/>
          <w:lang w:val="el-GR"/>
        </w:rPr>
        <w:t>ως</w:t>
      </w:r>
      <w:r w:rsidRPr="004047FF">
        <w:rPr>
          <w:rFonts w:cstheme="minorHAnsi"/>
          <w:sz w:val="24"/>
          <w:szCs w:val="24"/>
          <w:lang w:val="el-GR"/>
        </w:rPr>
        <w:t xml:space="preserve"> </w:t>
      </w:r>
      <w:r>
        <w:rPr>
          <w:rFonts w:cstheme="minorHAnsi"/>
          <w:sz w:val="24"/>
          <w:szCs w:val="24"/>
          <w:lang w:val="el-GR"/>
        </w:rPr>
        <w:t>επαγγελματίας</w:t>
      </w:r>
      <w:r w:rsidRPr="004047FF">
        <w:rPr>
          <w:rFonts w:cstheme="minorHAnsi"/>
          <w:sz w:val="24"/>
          <w:szCs w:val="24"/>
          <w:lang w:val="el-GR"/>
        </w:rPr>
        <w:t xml:space="preserve"> </w:t>
      </w:r>
      <w:r>
        <w:rPr>
          <w:rFonts w:cstheme="minorHAnsi"/>
          <w:sz w:val="24"/>
          <w:szCs w:val="24"/>
          <w:lang w:val="el-GR"/>
        </w:rPr>
        <w:t>σύμφωνα</w:t>
      </w:r>
      <w:r w:rsidRPr="004047FF">
        <w:rPr>
          <w:rFonts w:cstheme="minorHAnsi"/>
          <w:sz w:val="24"/>
          <w:szCs w:val="24"/>
          <w:lang w:val="el-GR"/>
        </w:rPr>
        <w:t xml:space="preserve"> </w:t>
      </w:r>
      <w:r>
        <w:rPr>
          <w:rFonts w:cstheme="minorHAnsi"/>
          <w:sz w:val="24"/>
          <w:szCs w:val="24"/>
          <w:lang w:val="el-GR"/>
        </w:rPr>
        <w:t>με</w:t>
      </w:r>
      <w:r w:rsidRPr="004047FF">
        <w:rPr>
          <w:rFonts w:cstheme="minorHAnsi"/>
          <w:sz w:val="24"/>
          <w:szCs w:val="24"/>
          <w:lang w:val="el-GR"/>
        </w:rPr>
        <w:t xml:space="preserve"> </w:t>
      </w:r>
      <w:r>
        <w:rPr>
          <w:rFonts w:cstheme="minorHAnsi"/>
          <w:sz w:val="24"/>
          <w:szCs w:val="24"/>
          <w:lang w:val="el-GR"/>
        </w:rPr>
        <w:t>τους</w:t>
      </w:r>
      <w:r w:rsidRPr="004047FF">
        <w:rPr>
          <w:rFonts w:cstheme="minorHAnsi"/>
          <w:sz w:val="24"/>
          <w:szCs w:val="24"/>
          <w:lang w:val="el-GR"/>
        </w:rPr>
        <w:t xml:space="preserve"> </w:t>
      </w:r>
      <w:r>
        <w:rPr>
          <w:rFonts w:cstheme="minorHAnsi"/>
          <w:sz w:val="24"/>
          <w:szCs w:val="24"/>
          <w:lang w:val="el-GR"/>
        </w:rPr>
        <w:t>νόμους</w:t>
      </w:r>
      <w:r w:rsidRPr="004047FF">
        <w:rPr>
          <w:rFonts w:cstheme="minorHAnsi"/>
          <w:sz w:val="24"/>
          <w:szCs w:val="24"/>
          <w:lang w:val="el-GR"/>
        </w:rPr>
        <w:t xml:space="preserve"> </w:t>
      </w:r>
      <w:r>
        <w:rPr>
          <w:rFonts w:cstheme="minorHAnsi"/>
          <w:sz w:val="24"/>
          <w:szCs w:val="24"/>
          <w:lang w:val="el-GR"/>
        </w:rPr>
        <w:t>της</w:t>
      </w:r>
      <w:r w:rsidRPr="004047FF">
        <w:rPr>
          <w:rFonts w:cstheme="minorHAnsi"/>
          <w:sz w:val="24"/>
          <w:szCs w:val="24"/>
          <w:lang w:val="el-GR"/>
        </w:rPr>
        <w:t xml:space="preserve"> </w:t>
      </w:r>
      <w:r>
        <w:rPr>
          <w:rFonts w:cstheme="minorHAnsi"/>
          <w:sz w:val="24"/>
          <w:szCs w:val="24"/>
          <w:lang w:val="el-GR"/>
        </w:rPr>
        <w:t>Δημοκρατίας</w:t>
      </w:r>
      <w:r w:rsidR="00287501" w:rsidRPr="004047FF">
        <w:rPr>
          <w:rFonts w:cstheme="minorHAnsi"/>
          <w:sz w:val="24"/>
          <w:szCs w:val="24"/>
          <w:lang w:val="el-GR"/>
        </w:rPr>
        <w:t xml:space="preserve"> </w:t>
      </w:r>
      <w:r>
        <w:rPr>
          <w:rFonts w:cstheme="minorHAnsi"/>
          <w:sz w:val="24"/>
          <w:szCs w:val="24"/>
          <w:lang w:val="el-GR"/>
        </w:rPr>
        <w:t>και που επιλέγεται από μια λίστα</w:t>
      </w:r>
      <w:r w:rsidR="00287501" w:rsidRPr="004047FF">
        <w:rPr>
          <w:rFonts w:cstheme="minorHAnsi"/>
          <w:sz w:val="24"/>
          <w:szCs w:val="24"/>
          <w:lang w:val="el-GR"/>
        </w:rPr>
        <w:t xml:space="preserve"> </w:t>
      </w:r>
      <w:r>
        <w:rPr>
          <w:rFonts w:cstheme="minorHAnsi"/>
          <w:sz w:val="24"/>
          <w:szCs w:val="24"/>
          <w:lang w:val="el-GR"/>
        </w:rPr>
        <w:t>που ετοιμάζεται με μια ομόφωνη απόφαση του Προέδρου της Βουλής</w:t>
      </w:r>
      <w:r w:rsidR="00287501" w:rsidRPr="004047FF">
        <w:rPr>
          <w:rFonts w:cstheme="minorHAnsi"/>
          <w:sz w:val="24"/>
          <w:szCs w:val="24"/>
          <w:lang w:val="el-GR"/>
        </w:rPr>
        <w:t xml:space="preserve">, </w:t>
      </w:r>
      <w:r>
        <w:rPr>
          <w:rFonts w:cstheme="minorHAnsi"/>
          <w:sz w:val="24"/>
          <w:szCs w:val="24"/>
          <w:lang w:val="el-GR"/>
        </w:rPr>
        <w:t>του Υπουργού Οικονομικών και του Γενικού Ελεγκτή</w:t>
      </w:r>
      <w:r w:rsidR="00287501" w:rsidRPr="004047FF">
        <w:rPr>
          <w:rFonts w:cstheme="minorHAnsi"/>
          <w:sz w:val="24"/>
          <w:szCs w:val="24"/>
          <w:lang w:val="el-GR"/>
        </w:rPr>
        <w:t>.</w:t>
      </w:r>
      <w:bookmarkEnd w:id="165"/>
    </w:p>
    <w:p w14:paraId="5B044647" w14:textId="77777777" w:rsidR="00A5147D" w:rsidRPr="004047FF" w:rsidRDefault="00A5147D" w:rsidP="00A5147D">
      <w:pPr>
        <w:tabs>
          <w:tab w:val="left" w:pos="709"/>
        </w:tabs>
        <w:rPr>
          <w:rFonts w:cstheme="minorHAnsi"/>
          <w:sz w:val="24"/>
          <w:szCs w:val="24"/>
          <w:lang w:val="el-GR"/>
        </w:rPr>
      </w:pPr>
    </w:p>
    <w:p w14:paraId="4E08EDCE" w14:textId="781EF321" w:rsidR="00A5147D" w:rsidRPr="00A20DDF" w:rsidRDefault="00A20DDF" w:rsidP="00A5147D">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Αν</w:t>
      </w:r>
      <w:r w:rsidRPr="00A20DDF">
        <w:rPr>
          <w:rFonts w:cstheme="minorHAnsi"/>
          <w:sz w:val="24"/>
          <w:szCs w:val="24"/>
          <w:lang w:val="el-GR"/>
        </w:rPr>
        <w:t xml:space="preserve"> </w:t>
      </w:r>
      <w:r>
        <w:rPr>
          <w:rFonts w:cstheme="minorHAnsi"/>
          <w:sz w:val="24"/>
          <w:szCs w:val="24"/>
          <w:lang w:val="el-GR"/>
        </w:rPr>
        <w:t>η</w:t>
      </w:r>
      <w:r w:rsidRPr="00A20DDF">
        <w:rPr>
          <w:rFonts w:cstheme="minorHAnsi"/>
          <w:sz w:val="24"/>
          <w:szCs w:val="24"/>
          <w:lang w:val="el-GR"/>
        </w:rPr>
        <w:t xml:space="preserve"> </w:t>
      </w:r>
      <w:r>
        <w:rPr>
          <w:rFonts w:cstheme="minorHAnsi"/>
          <w:sz w:val="24"/>
          <w:szCs w:val="24"/>
          <w:lang w:val="el-GR"/>
        </w:rPr>
        <w:t>Επιτροπή</w:t>
      </w:r>
      <w:r w:rsidRPr="00A20DDF">
        <w:rPr>
          <w:rFonts w:cstheme="minorHAnsi"/>
          <w:sz w:val="24"/>
          <w:szCs w:val="24"/>
          <w:lang w:val="el-GR"/>
        </w:rPr>
        <w:t xml:space="preserve"> </w:t>
      </w:r>
      <w:r>
        <w:rPr>
          <w:rFonts w:cstheme="minorHAnsi"/>
          <w:sz w:val="24"/>
          <w:szCs w:val="24"/>
          <w:lang w:val="el-GR"/>
        </w:rPr>
        <w:t>διαπιστώσει</w:t>
      </w:r>
      <w:r w:rsidRPr="00A20DDF">
        <w:rPr>
          <w:rFonts w:cstheme="minorHAnsi"/>
          <w:sz w:val="24"/>
          <w:szCs w:val="24"/>
          <w:lang w:val="el-GR"/>
        </w:rPr>
        <w:t xml:space="preserve"> </w:t>
      </w:r>
      <w:r>
        <w:rPr>
          <w:rFonts w:cstheme="minorHAnsi"/>
          <w:sz w:val="24"/>
          <w:szCs w:val="24"/>
          <w:lang w:val="el-GR"/>
        </w:rPr>
        <w:t>λόγους</w:t>
      </w:r>
      <w:r w:rsidRPr="00A20DDF">
        <w:rPr>
          <w:rFonts w:cstheme="minorHAnsi"/>
          <w:sz w:val="24"/>
          <w:szCs w:val="24"/>
          <w:lang w:val="el-GR"/>
        </w:rPr>
        <w:t xml:space="preserve"> </w:t>
      </w:r>
      <w:r>
        <w:rPr>
          <w:rFonts w:cstheme="minorHAnsi"/>
          <w:sz w:val="24"/>
          <w:szCs w:val="24"/>
          <w:lang w:val="el-GR"/>
        </w:rPr>
        <w:t>για</w:t>
      </w:r>
      <w:r w:rsidRPr="00A20DDF">
        <w:rPr>
          <w:rFonts w:cstheme="minorHAnsi"/>
          <w:sz w:val="24"/>
          <w:szCs w:val="24"/>
          <w:lang w:val="el-GR"/>
        </w:rPr>
        <w:t xml:space="preserve"> </w:t>
      </w:r>
      <w:r>
        <w:rPr>
          <w:rFonts w:cstheme="minorHAnsi"/>
          <w:sz w:val="24"/>
          <w:szCs w:val="24"/>
          <w:lang w:val="el-GR"/>
        </w:rPr>
        <w:t>περαιτέρω</w:t>
      </w:r>
      <w:r w:rsidRPr="00A20DDF">
        <w:rPr>
          <w:rFonts w:cstheme="minorHAnsi"/>
          <w:sz w:val="24"/>
          <w:szCs w:val="24"/>
          <w:lang w:val="el-GR"/>
        </w:rPr>
        <w:t xml:space="preserve"> </w:t>
      </w:r>
      <w:r>
        <w:rPr>
          <w:rFonts w:cstheme="minorHAnsi"/>
          <w:sz w:val="24"/>
          <w:szCs w:val="24"/>
          <w:lang w:val="el-GR"/>
        </w:rPr>
        <w:t>διερεύνηση</w:t>
      </w:r>
      <w:r w:rsidRPr="00A20DDF">
        <w:rPr>
          <w:rFonts w:cstheme="minorHAnsi"/>
          <w:sz w:val="24"/>
          <w:szCs w:val="24"/>
          <w:lang w:val="el-GR"/>
        </w:rPr>
        <w:t xml:space="preserve"> </w:t>
      </w:r>
      <w:r>
        <w:rPr>
          <w:rFonts w:cstheme="minorHAnsi"/>
          <w:sz w:val="24"/>
          <w:szCs w:val="24"/>
          <w:lang w:val="el-GR"/>
        </w:rPr>
        <w:t>βάσει</w:t>
      </w:r>
      <w:r w:rsidRPr="00A20DDF">
        <w:rPr>
          <w:rFonts w:cstheme="minorHAnsi"/>
          <w:sz w:val="24"/>
          <w:szCs w:val="24"/>
          <w:lang w:val="el-GR"/>
        </w:rPr>
        <w:t xml:space="preserve"> </w:t>
      </w:r>
      <w:r>
        <w:rPr>
          <w:rFonts w:cstheme="minorHAnsi"/>
          <w:sz w:val="24"/>
          <w:szCs w:val="24"/>
          <w:lang w:val="el-GR"/>
        </w:rPr>
        <w:t>της</w:t>
      </w:r>
      <w:r w:rsidRPr="00A20DDF">
        <w:rPr>
          <w:rFonts w:cstheme="minorHAnsi"/>
          <w:sz w:val="24"/>
          <w:szCs w:val="24"/>
          <w:lang w:val="el-GR"/>
        </w:rPr>
        <w:t xml:space="preserve"> </w:t>
      </w:r>
      <w:r>
        <w:rPr>
          <w:rFonts w:cstheme="minorHAnsi"/>
          <w:sz w:val="24"/>
          <w:szCs w:val="24"/>
          <w:lang w:val="el-GR"/>
        </w:rPr>
        <w:t>έκθεσης</w:t>
      </w:r>
      <w:r w:rsidRPr="00A20DDF">
        <w:rPr>
          <w:rFonts w:cstheme="minorHAnsi"/>
          <w:sz w:val="24"/>
          <w:szCs w:val="24"/>
          <w:lang w:val="el-GR"/>
        </w:rPr>
        <w:t xml:space="preserve"> </w:t>
      </w:r>
      <w:r>
        <w:rPr>
          <w:rFonts w:cstheme="minorHAnsi"/>
          <w:sz w:val="24"/>
          <w:szCs w:val="24"/>
          <w:lang w:val="el-GR"/>
        </w:rPr>
        <w:t>αυτής</w:t>
      </w:r>
      <w:r w:rsidR="00A5147D" w:rsidRPr="00A20DDF">
        <w:rPr>
          <w:rFonts w:cstheme="minorHAnsi"/>
          <w:sz w:val="24"/>
          <w:szCs w:val="24"/>
          <w:lang w:val="el-GR"/>
        </w:rPr>
        <w:t xml:space="preserve">, </w:t>
      </w:r>
      <w:r>
        <w:rPr>
          <w:rFonts w:cstheme="minorHAnsi"/>
          <w:sz w:val="24"/>
          <w:szCs w:val="24"/>
          <w:lang w:val="el-GR"/>
        </w:rPr>
        <w:t>ενημερώνει τον ελεγχόμενο Πρόεδρο ή Υπουργό</w:t>
      </w:r>
      <w:r w:rsidR="00A5147D" w:rsidRPr="00A20DDF">
        <w:rPr>
          <w:rFonts w:cstheme="minorHAnsi"/>
          <w:sz w:val="24"/>
          <w:szCs w:val="24"/>
          <w:lang w:val="el-GR"/>
        </w:rPr>
        <w:t xml:space="preserve">. </w:t>
      </w:r>
      <w:r>
        <w:rPr>
          <w:rFonts w:cstheme="minorHAnsi"/>
          <w:sz w:val="24"/>
          <w:szCs w:val="24"/>
          <w:lang w:val="el-GR"/>
        </w:rPr>
        <w:t>Ο</w:t>
      </w:r>
      <w:r w:rsidRPr="00A20DDF">
        <w:rPr>
          <w:rFonts w:cstheme="minorHAnsi"/>
          <w:sz w:val="24"/>
          <w:szCs w:val="24"/>
          <w:lang w:val="el-GR"/>
        </w:rPr>
        <w:t xml:space="preserve"> </w:t>
      </w:r>
      <w:r>
        <w:rPr>
          <w:rFonts w:cstheme="minorHAnsi"/>
          <w:sz w:val="24"/>
          <w:szCs w:val="24"/>
          <w:lang w:val="el-GR"/>
        </w:rPr>
        <w:t>τελε</w:t>
      </w:r>
      <w:r w:rsidR="00B0490E">
        <w:rPr>
          <w:rFonts w:cstheme="minorHAnsi"/>
          <w:sz w:val="24"/>
          <w:szCs w:val="24"/>
          <w:lang w:val="el-GR"/>
        </w:rPr>
        <w:t>υ</w:t>
      </w:r>
      <w:r>
        <w:rPr>
          <w:rFonts w:cstheme="minorHAnsi"/>
          <w:sz w:val="24"/>
          <w:szCs w:val="24"/>
          <w:lang w:val="el-GR"/>
        </w:rPr>
        <w:t>ταίος</w:t>
      </w:r>
      <w:r w:rsidRPr="00A20DDF">
        <w:rPr>
          <w:rFonts w:cstheme="minorHAnsi"/>
          <w:sz w:val="24"/>
          <w:szCs w:val="24"/>
          <w:lang w:val="el-GR"/>
        </w:rPr>
        <w:t xml:space="preserve"> </w:t>
      </w:r>
      <w:r>
        <w:rPr>
          <w:rFonts w:cstheme="minorHAnsi"/>
          <w:sz w:val="24"/>
          <w:szCs w:val="24"/>
          <w:lang w:val="el-GR"/>
        </w:rPr>
        <w:t>θα</w:t>
      </w:r>
      <w:r w:rsidRPr="00A20DDF">
        <w:rPr>
          <w:rFonts w:cstheme="minorHAnsi"/>
          <w:sz w:val="24"/>
          <w:szCs w:val="24"/>
          <w:lang w:val="el-GR"/>
        </w:rPr>
        <w:t xml:space="preserve"> </w:t>
      </w:r>
      <w:r>
        <w:rPr>
          <w:rFonts w:cstheme="minorHAnsi"/>
          <w:sz w:val="24"/>
          <w:szCs w:val="24"/>
          <w:lang w:val="el-GR"/>
        </w:rPr>
        <w:t>έχει</w:t>
      </w:r>
      <w:r w:rsidRPr="00A20DDF">
        <w:rPr>
          <w:rFonts w:cstheme="minorHAnsi"/>
          <w:sz w:val="24"/>
          <w:szCs w:val="24"/>
          <w:lang w:val="el-GR"/>
        </w:rPr>
        <w:t xml:space="preserve"> </w:t>
      </w:r>
      <w:r>
        <w:rPr>
          <w:rFonts w:cstheme="minorHAnsi"/>
          <w:sz w:val="24"/>
          <w:szCs w:val="24"/>
          <w:lang w:val="el-GR"/>
        </w:rPr>
        <w:t>ένα</w:t>
      </w:r>
      <w:r w:rsidRPr="00A20DDF">
        <w:rPr>
          <w:rFonts w:cstheme="minorHAnsi"/>
          <w:sz w:val="24"/>
          <w:szCs w:val="24"/>
          <w:lang w:val="el-GR"/>
        </w:rPr>
        <w:t xml:space="preserve"> </w:t>
      </w:r>
      <w:r>
        <w:rPr>
          <w:rFonts w:cstheme="minorHAnsi"/>
          <w:sz w:val="24"/>
          <w:szCs w:val="24"/>
          <w:lang w:val="el-GR"/>
        </w:rPr>
        <w:t>μήνα</w:t>
      </w:r>
      <w:r w:rsidRPr="00A20DDF">
        <w:rPr>
          <w:rFonts w:cstheme="minorHAnsi"/>
          <w:sz w:val="24"/>
          <w:szCs w:val="24"/>
          <w:lang w:val="el-GR"/>
        </w:rPr>
        <w:t xml:space="preserve"> </w:t>
      </w:r>
      <w:r>
        <w:rPr>
          <w:rFonts w:cstheme="minorHAnsi"/>
          <w:sz w:val="24"/>
          <w:szCs w:val="24"/>
          <w:lang w:val="el-GR"/>
        </w:rPr>
        <w:t>για</w:t>
      </w:r>
      <w:r w:rsidRPr="00A20DDF">
        <w:rPr>
          <w:rFonts w:cstheme="minorHAnsi"/>
          <w:sz w:val="24"/>
          <w:szCs w:val="24"/>
          <w:lang w:val="el-GR"/>
        </w:rPr>
        <w:t xml:space="preserve"> </w:t>
      </w:r>
      <w:r>
        <w:rPr>
          <w:rFonts w:cstheme="minorHAnsi"/>
          <w:sz w:val="24"/>
          <w:szCs w:val="24"/>
          <w:lang w:val="el-GR"/>
        </w:rPr>
        <w:t>να</w:t>
      </w:r>
      <w:r w:rsidRPr="00A20DDF">
        <w:rPr>
          <w:rFonts w:cstheme="minorHAnsi"/>
          <w:sz w:val="24"/>
          <w:szCs w:val="24"/>
          <w:lang w:val="el-GR"/>
        </w:rPr>
        <w:t xml:space="preserve"> </w:t>
      </w:r>
      <w:r>
        <w:rPr>
          <w:rFonts w:cstheme="minorHAnsi"/>
          <w:sz w:val="24"/>
          <w:szCs w:val="24"/>
          <w:lang w:val="el-GR"/>
        </w:rPr>
        <w:t>ανταποκριθεί</w:t>
      </w:r>
      <w:r w:rsidRPr="00A20DDF">
        <w:rPr>
          <w:rFonts w:cstheme="minorHAnsi"/>
          <w:sz w:val="24"/>
          <w:szCs w:val="24"/>
          <w:lang w:val="el-GR"/>
        </w:rPr>
        <w:t xml:space="preserve"> </w:t>
      </w:r>
      <w:r>
        <w:rPr>
          <w:rFonts w:cstheme="minorHAnsi"/>
          <w:sz w:val="24"/>
          <w:szCs w:val="24"/>
          <w:lang w:val="el-GR"/>
        </w:rPr>
        <w:t>από</w:t>
      </w:r>
      <w:r w:rsidRPr="00A20DDF">
        <w:rPr>
          <w:rFonts w:cstheme="minorHAnsi"/>
          <w:sz w:val="24"/>
          <w:szCs w:val="24"/>
          <w:lang w:val="el-GR"/>
        </w:rPr>
        <w:t xml:space="preserve"> </w:t>
      </w:r>
      <w:r>
        <w:rPr>
          <w:rFonts w:cstheme="minorHAnsi"/>
          <w:sz w:val="24"/>
          <w:szCs w:val="24"/>
          <w:lang w:val="el-GR"/>
        </w:rPr>
        <w:t>τη</w:t>
      </w:r>
      <w:r w:rsidRPr="00A20DDF">
        <w:rPr>
          <w:rFonts w:cstheme="minorHAnsi"/>
          <w:sz w:val="24"/>
          <w:szCs w:val="24"/>
          <w:lang w:val="el-GR"/>
        </w:rPr>
        <w:t xml:space="preserve"> </w:t>
      </w:r>
      <w:r>
        <w:rPr>
          <w:rFonts w:cstheme="minorHAnsi"/>
          <w:sz w:val="24"/>
          <w:szCs w:val="24"/>
          <w:lang w:val="el-GR"/>
        </w:rPr>
        <w:t>ημερομηνία</w:t>
      </w:r>
      <w:r w:rsidR="00A5147D" w:rsidRPr="00A20DDF">
        <w:rPr>
          <w:rFonts w:cstheme="minorHAnsi"/>
          <w:sz w:val="24"/>
          <w:szCs w:val="24"/>
          <w:lang w:val="el-GR"/>
        </w:rPr>
        <w:t xml:space="preserve"> </w:t>
      </w:r>
      <w:r>
        <w:rPr>
          <w:rFonts w:cstheme="minorHAnsi"/>
          <w:sz w:val="24"/>
          <w:szCs w:val="24"/>
          <w:lang w:val="el-GR"/>
        </w:rPr>
        <w:t>κοινοποίησης</w:t>
      </w:r>
      <w:r w:rsidR="00A5147D" w:rsidRPr="00A20DDF">
        <w:rPr>
          <w:rFonts w:cstheme="minorHAnsi"/>
          <w:sz w:val="24"/>
          <w:szCs w:val="24"/>
          <w:lang w:val="el-GR"/>
        </w:rPr>
        <w:t xml:space="preserve"> </w:t>
      </w:r>
      <w:r>
        <w:rPr>
          <w:rFonts w:cstheme="minorHAnsi"/>
          <w:sz w:val="24"/>
          <w:szCs w:val="24"/>
          <w:lang w:val="el-GR"/>
        </w:rPr>
        <w:t>και θα παρέχει τις αιτούμενες πληροφορίες</w:t>
      </w:r>
      <w:r w:rsidR="00A5147D" w:rsidRPr="00A20DDF">
        <w:rPr>
          <w:rFonts w:cstheme="minorHAnsi"/>
          <w:sz w:val="24"/>
          <w:szCs w:val="24"/>
          <w:lang w:val="el-GR"/>
        </w:rPr>
        <w:t xml:space="preserve">. </w:t>
      </w:r>
      <w:r>
        <w:rPr>
          <w:rFonts w:cstheme="minorHAnsi"/>
          <w:sz w:val="24"/>
          <w:szCs w:val="24"/>
          <w:lang w:val="el-GR"/>
        </w:rPr>
        <w:t>Αν</w:t>
      </w:r>
      <w:r w:rsidRPr="00A20DDF">
        <w:rPr>
          <w:rFonts w:cstheme="minorHAnsi"/>
          <w:sz w:val="24"/>
          <w:szCs w:val="24"/>
          <w:lang w:val="el-GR"/>
        </w:rPr>
        <w:t xml:space="preserve"> </w:t>
      </w:r>
      <w:r>
        <w:rPr>
          <w:rFonts w:cstheme="minorHAnsi"/>
          <w:sz w:val="24"/>
          <w:szCs w:val="24"/>
          <w:lang w:val="el-GR"/>
        </w:rPr>
        <w:t>η</w:t>
      </w:r>
      <w:r w:rsidRPr="00A20DDF">
        <w:rPr>
          <w:rFonts w:cstheme="minorHAnsi"/>
          <w:sz w:val="24"/>
          <w:szCs w:val="24"/>
          <w:lang w:val="el-GR"/>
        </w:rPr>
        <w:t xml:space="preserve"> </w:t>
      </w:r>
      <w:r>
        <w:rPr>
          <w:rFonts w:cstheme="minorHAnsi"/>
          <w:sz w:val="24"/>
          <w:szCs w:val="24"/>
          <w:lang w:val="el-GR"/>
        </w:rPr>
        <w:t>Επιτροπή</w:t>
      </w:r>
      <w:r w:rsidRPr="00A20DDF">
        <w:rPr>
          <w:rFonts w:cstheme="minorHAnsi"/>
          <w:sz w:val="24"/>
          <w:szCs w:val="24"/>
          <w:lang w:val="el-GR"/>
        </w:rPr>
        <w:t xml:space="preserve"> </w:t>
      </w:r>
      <w:r>
        <w:rPr>
          <w:rFonts w:cstheme="minorHAnsi"/>
          <w:sz w:val="24"/>
          <w:szCs w:val="24"/>
          <w:lang w:val="el-GR"/>
        </w:rPr>
        <w:t>δεν</w:t>
      </w:r>
      <w:r w:rsidRPr="00A20DDF">
        <w:rPr>
          <w:rFonts w:cstheme="minorHAnsi"/>
          <w:sz w:val="24"/>
          <w:szCs w:val="24"/>
          <w:lang w:val="el-GR"/>
        </w:rPr>
        <w:t xml:space="preserve"> </w:t>
      </w:r>
      <w:r>
        <w:rPr>
          <w:rFonts w:cstheme="minorHAnsi"/>
          <w:sz w:val="24"/>
          <w:szCs w:val="24"/>
          <w:lang w:val="el-GR"/>
        </w:rPr>
        <w:t>διαπιστώσει</w:t>
      </w:r>
      <w:r w:rsidRPr="00A20DDF">
        <w:rPr>
          <w:rFonts w:cstheme="minorHAnsi"/>
          <w:sz w:val="24"/>
          <w:szCs w:val="24"/>
          <w:lang w:val="el-GR"/>
        </w:rPr>
        <w:t xml:space="preserve"> </w:t>
      </w:r>
      <w:r>
        <w:rPr>
          <w:rFonts w:cstheme="minorHAnsi"/>
          <w:sz w:val="24"/>
          <w:szCs w:val="24"/>
          <w:lang w:val="el-GR"/>
        </w:rPr>
        <w:t>λόγο</w:t>
      </w:r>
      <w:r w:rsidRPr="00A20DDF">
        <w:rPr>
          <w:rFonts w:cstheme="minorHAnsi"/>
          <w:sz w:val="24"/>
          <w:szCs w:val="24"/>
          <w:lang w:val="el-GR"/>
        </w:rPr>
        <w:t xml:space="preserve"> </w:t>
      </w:r>
      <w:r>
        <w:rPr>
          <w:rFonts w:cstheme="minorHAnsi"/>
          <w:sz w:val="24"/>
          <w:szCs w:val="24"/>
          <w:lang w:val="el-GR"/>
        </w:rPr>
        <w:t>για</w:t>
      </w:r>
      <w:r w:rsidRPr="00A20DDF">
        <w:rPr>
          <w:rFonts w:cstheme="minorHAnsi"/>
          <w:sz w:val="24"/>
          <w:szCs w:val="24"/>
          <w:lang w:val="el-GR"/>
        </w:rPr>
        <w:t xml:space="preserve"> </w:t>
      </w:r>
      <w:r>
        <w:rPr>
          <w:rFonts w:cstheme="minorHAnsi"/>
          <w:sz w:val="24"/>
          <w:szCs w:val="24"/>
          <w:lang w:val="el-GR"/>
        </w:rPr>
        <w:t>οποιαδήποτε</w:t>
      </w:r>
      <w:r w:rsidRPr="00A20DDF">
        <w:rPr>
          <w:rFonts w:cstheme="minorHAnsi"/>
          <w:sz w:val="24"/>
          <w:szCs w:val="24"/>
          <w:lang w:val="el-GR"/>
        </w:rPr>
        <w:t xml:space="preserve"> </w:t>
      </w:r>
      <w:r>
        <w:rPr>
          <w:rFonts w:cstheme="minorHAnsi"/>
          <w:sz w:val="24"/>
          <w:szCs w:val="24"/>
          <w:lang w:val="el-GR"/>
        </w:rPr>
        <w:t>περαιτέρω</w:t>
      </w:r>
      <w:r w:rsidRPr="00A20DDF">
        <w:rPr>
          <w:rFonts w:cstheme="minorHAnsi"/>
          <w:sz w:val="24"/>
          <w:szCs w:val="24"/>
          <w:lang w:val="el-GR"/>
        </w:rPr>
        <w:t xml:space="preserve"> </w:t>
      </w:r>
      <w:r>
        <w:rPr>
          <w:rFonts w:cstheme="minorHAnsi"/>
          <w:sz w:val="24"/>
          <w:szCs w:val="24"/>
          <w:lang w:val="el-GR"/>
        </w:rPr>
        <w:t>διερεύνηση</w:t>
      </w:r>
      <w:r w:rsidR="00A5147D" w:rsidRPr="00A20DDF">
        <w:rPr>
          <w:rFonts w:cstheme="minorHAnsi"/>
          <w:sz w:val="24"/>
          <w:szCs w:val="24"/>
          <w:lang w:val="el-GR"/>
        </w:rPr>
        <w:t xml:space="preserve">, </w:t>
      </w:r>
      <w:r>
        <w:rPr>
          <w:rFonts w:cstheme="minorHAnsi"/>
          <w:sz w:val="24"/>
          <w:szCs w:val="24"/>
          <w:lang w:val="el-GR"/>
        </w:rPr>
        <w:t>ετοιμάζει</w:t>
      </w:r>
      <w:r w:rsidRPr="00A20DDF">
        <w:rPr>
          <w:rFonts w:cstheme="minorHAnsi"/>
          <w:sz w:val="24"/>
          <w:szCs w:val="24"/>
          <w:lang w:val="el-GR"/>
        </w:rPr>
        <w:t xml:space="preserve"> </w:t>
      </w:r>
      <w:r>
        <w:rPr>
          <w:rFonts w:cstheme="minorHAnsi"/>
          <w:sz w:val="24"/>
          <w:szCs w:val="24"/>
          <w:lang w:val="el-GR"/>
        </w:rPr>
        <w:t>μια</w:t>
      </w:r>
      <w:r w:rsidRPr="00A20DDF">
        <w:rPr>
          <w:rFonts w:cstheme="minorHAnsi"/>
          <w:sz w:val="24"/>
          <w:szCs w:val="24"/>
          <w:lang w:val="el-GR"/>
        </w:rPr>
        <w:t xml:space="preserve"> </w:t>
      </w:r>
      <w:r>
        <w:rPr>
          <w:rFonts w:cstheme="minorHAnsi"/>
          <w:sz w:val="24"/>
          <w:szCs w:val="24"/>
          <w:lang w:val="el-GR"/>
        </w:rPr>
        <w:t xml:space="preserve">έκθεση την οποία </w:t>
      </w:r>
      <w:r w:rsidR="00B0490E">
        <w:rPr>
          <w:rFonts w:cstheme="minorHAnsi"/>
          <w:sz w:val="24"/>
          <w:szCs w:val="24"/>
          <w:lang w:val="el-GR"/>
        </w:rPr>
        <w:t>απο</w:t>
      </w:r>
      <w:r>
        <w:rPr>
          <w:rFonts w:cstheme="minorHAnsi"/>
          <w:sz w:val="24"/>
          <w:szCs w:val="24"/>
          <w:lang w:val="el-GR"/>
        </w:rPr>
        <w:t>στέλλει</w:t>
      </w:r>
      <w:r w:rsidR="00A5147D" w:rsidRPr="00A20DDF">
        <w:rPr>
          <w:rFonts w:cstheme="minorHAnsi"/>
          <w:sz w:val="24"/>
          <w:szCs w:val="24"/>
          <w:lang w:val="el-GR"/>
        </w:rPr>
        <w:t xml:space="preserve">, </w:t>
      </w:r>
      <w:r>
        <w:rPr>
          <w:rFonts w:cstheme="minorHAnsi"/>
          <w:sz w:val="24"/>
          <w:szCs w:val="24"/>
          <w:lang w:val="el-GR"/>
        </w:rPr>
        <w:t>μαζί με την έκθεση του ελεγκτή</w:t>
      </w:r>
      <w:r w:rsidR="00A5147D" w:rsidRPr="00A20DDF">
        <w:rPr>
          <w:rFonts w:cstheme="minorHAnsi"/>
          <w:sz w:val="24"/>
          <w:szCs w:val="24"/>
          <w:lang w:val="el-GR"/>
        </w:rPr>
        <w:t xml:space="preserve">, </w:t>
      </w:r>
      <w:r>
        <w:rPr>
          <w:rFonts w:cstheme="minorHAnsi"/>
          <w:sz w:val="24"/>
          <w:szCs w:val="24"/>
          <w:lang w:val="el-GR"/>
        </w:rPr>
        <w:t>στο ελεγχόμενο Πρόεδρο ή Υπουργό</w:t>
      </w:r>
      <w:r w:rsidR="00A5147D" w:rsidRPr="00A20DDF">
        <w:rPr>
          <w:rFonts w:cstheme="minorHAnsi"/>
          <w:sz w:val="24"/>
          <w:szCs w:val="24"/>
          <w:lang w:val="el-GR"/>
        </w:rPr>
        <w:t xml:space="preserve">. </w:t>
      </w:r>
      <w:r>
        <w:rPr>
          <w:rFonts w:cstheme="minorHAnsi"/>
          <w:sz w:val="24"/>
          <w:szCs w:val="24"/>
          <w:lang w:val="el-GR"/>
        </w:rPr>
        <w:t>Αν</w:t>
      </w:r>
      <w:r w:rsidRPr="00A20DDF">
        <w:rPr>
          <w:rFonts w:cstheme="minorHAnsi"/>
          <w:sz w:val="24"/>
          <w:szCs w:val="24"/>
          <w:lang w:val="el-GR"/>
        </w:rPr>
        <w:t xml:space="preserve"> </w:t>
      </w:r>
      <w:r>
        <w:rPr>
          <w:rFonts w:cstheme="minorHAnsi"/>
          <w:sz w:val="24"/>
          <w:szCs w:val="24"/>
          <w:lang w:val="el-GR"/>
        </w:rPr>
        <w:t>υπάρχουν</w:t>
      </w:r>
      <w:r w:rsidRPr="00A20DDF">
        <w:rPr>
          <w:rFonts w:cstheme="minorHAnsi"/>
          <w:sz w:val="24"/>
          <w:szCs w:val="24"/>
          <w:lang w:val="el-GR"/>
        </w:rPr>
        <w:t xml:space="preserve"> </w:t>
      </w:r>
      <w:r>
        <w:rPr>
          <w:rFonts w:cstheme="minorHAnsi"/>
          <w:sz w:val="24"/>
          <w:szCs w:val="24"/>
          <w:lang w:val="el-GR"/>
        </w:rPr>
        <w:t>λόγοι</w:t>
      </w:r>
      <w:r w:rsidRPr="00A20DDF">
        <w:rPr>
          <w:rFonts w:cstheme="minorHAnsi"/>
          <w:sz w:val="24"/>
          <w:szCs w:val="24"/>
          <w:lang w:val="el-GR"/>
        </w:rPr>
        <w:t xml:space="preserve"> </w:t>
      </w:r>
      <w:r>
        <w:rPr>
          <w:rFonts w:cstheme="minorHAnsi"/>
          <w:sz w:val="24"/>
          <w:szCs w:val="24"/>
          <w:lang w:val="el-GR"/>
        </w:rPr>
        <w:t>για</w:t>
      </w:r>
      <w:r w:rsidRPr="00A20DDF">
        <w:rPr>
          <w:rFonts w:cstheme="minorHAnsi"/>
          <w:sz w:val="24"/>
          <w:szCs w:val="24"/>
          <w:lang w:val="el-GR"/>
        </w:rPr>
        <w:t xml:space="preserve"> </w:t>
      </w:r>
      <w:r>
        <w:rPr>
          <w:rFonts w:cstheme="minorHAnsi"/>
          <w:sz w:val="24"/>
          <w:szCs w:val="24"/>
          <w:lang w:val="el-GR"/>
        </w:rPr>
        <w:t>συνέχιση</w:t>
      </w:r>
      <w:r w:rsidRPr="00A20DDF">
        <w:rPr>
          <w:rFonts w:cstheme="minorHAnsi"/>
          <w:sz w:val="24"/>
          <w:szCs w:val="24"/>
          <w:lang w:val="el-GR"/>
        </w:rPr>
        <w:t xml:space="preserve"> </w:t>
      </w:r>
      <w:r>
        <w:rPr>
          <w:rFonts w:cstheme="minorHAnsi"/>
          <w:sz w:val="24"/>
          <w:szCs w:val="24"/>
          <w:lang w:val="el-GR"/>
        </w:rPr>
        <w:t>της</w:t>
      </w:r>
      <w:r w:rsidRPr="00A20DDF">
        <w:rPr>
          <w:rFonts w:cstheme="minorHAnsi"/>
          <w:sz w:val="24"/>
          <w:szCs w:val="24"/>
          <w:lang w:val="el-GR"/>
        </w:rPr>
        <w:t xml:space="preserve"> </w:t>
      </w:r>
      <w:r>
        <w:rPr>
          <w:rFonts w:cstheme="minorHAnsi"/>
          <w:sz w:val="24"/>
          <w:szCs w:val="24"/>
          <w:lang w:val="el-GR"/>
        </w:rPr>
        <w:t>έρευνας</w:t>
      </w:r>
      <w:r w:rsidR="00A5147D" w:rsidRPr="00A20DDF">
        <w:rPr>
          <w:rFonts w:cstheme="minorHAnsi"/>
          <w:sz w:val="24"/>
          <w:szCs w:val="24"/>
          <w:lang w:val="el-GR"/>
        </w:rPr>
        <w:t xml:space="preserve">, </w:t>
      </w:r>
      <w:r>
        <w:rPr>
          <w:rFonts w:cstheme="minorHAnsi"/>
          <w:sz w:val="24"/>
          <w:szCs w:val="24"/>
          <w:lang w:val="el-GR"/>
        </w:rPr>
        <w:t>ο</w:t>
      </w:r>
      <w:r w:rsidRPr="00A20DDF">
        <w:rPr>
          <w:rFonts w:cstheme="minorHAnsi"/>
          <w:sz w:val="24"/>
          <w:szCs w:val="24"/>
          <w:lang w:val="el-GR"/>
        </w:rPr>
        <w:t xml:space="preserve"> </w:t>
      </w:r>
      <w:r>
        <w:rPr>
          <w:rFonts w:cstheme="minorHAnsi"/>
          <w:sz w:val="24"/>
          <w:szCs w:val="24"/>
          <w:lang w:val="el-GR"/>
        </w:rPr>
        <w:t>ελεγχόμενος</w:t>
      </w:r>
      <w:r w:rsidRPr="00A20DDF">
        <w:rPr>
          <w:rFonts w:cstheme="minorHAnsi"/>
          <w:sz w:val="24"/>
          <w:szCs w:val="24"/>
          <w:lang w:val="el-GR"/>
        </w:rPr>
        <w:t xml:space="preserve"> </w:t>
      </w:r>
      <w:r>
        <w:rPr>
          <w:rFonts w:cstheme="minorHAnsi"/>
          <w:sz w:val="24"/>
          <w:szCs w:val="24"/>
          <w:lang w:val="el-GR"/>
        </w:rPr>
        <w:t>Πρόεδρος</w:t>
      </w:r>
      <w:r w:rsidRPr="00A20DDF">
        <w:rPr>
          <w:rFonts w:cstheme="minorHAnsi"/>
          <w:sz w:val="24"/>
          <w:szCs w:val="24"/>
          <w:lang w:val="el-GR"/>
        </w:rPr>
        <w:t xml:space="preserve"> </w:t>
      </w:r>
      <w:r>
        <w:rPr>
          <w:rFonts w:cstheme="minorHAnsi"/>
          <w:sz w:val="24"/>
          <w:szCs w:val="24"/>
          <w:lang w:val="el-GR"/>
        </w:rPr>
        <w:t>ή</w:t>
      </w:r>
      <w:r w:rsidRPr="00A20DDF">
        <w:rPr>
          <w:rFonts w:cstheme="minorHAnsi"/>
          <w:sz w:val="24"/>
          <w:szCs w:val="24"/>
          <w:lang w:val="el-GR"/>
        </w:rPr>
        <w:t xml:space="preserve"> </w:t>
      </w:r>
      <w:r>
        <w:rPr>
          <w:rFonts w:cstheme="minorHAnsi"/>
          <w:sz w:val="24"/>
          <w:szCs w:val="24"/>
          <w:lang w:val="el-GR"/>
        </w:rPr>
        <w:t>Υπουργός ενημερώνεται περί αυτού από την Επιτροπή</w:t>
      </w:r>
      <w:r w:rsidR="00A5147D" w:rsidRPr="00A20DDF">
        <w:rPr>
          <w:rFonts w:cstheme="minorHAnsi"/>
          <w:sz w:val="24"/>
          <w:szCs w:val="24"/>
          <w:lang w:val="el-GR"/>
        </w:rPr>
        <w:t xml:space="preserve">. </w:t>
      </w:r>
      <w:bookmarkStart w:id="166" w:name="_Hlk120804654"/>
    </w:p>
    <w:bookmarkEnd w:id="166"/>
    <w:p w14:paraId="4797D3C6" w14:textId="77777777" w:rsidR="00A5147D" w:rsidRPr="00A20DDF" w:rsidRDefault="00A5147D" w:rsidP="00A5147D">
      <w:pPr>
        <w:tabs>
          <w:tab w:val="left" w:pos="709"/>
        </w:tabs>
        <w:rPr>
          <w:rFonts w:cstheme="minorHAnsi"/>
          <w:sz w:val="24"/>
          <w:szCs w:val="24"/>
          <w:lang w:val="el-GR"/>
        </w:rPr>
      </w:pPr>
    </w:p>
    <w:p w14:paraId="26A427E6" w14:textId="2E1F2AF2" w:rsidR="00A5147D" w:rsidRPr="00DD6EDC" w:rsidRDefault="000425F2" w:rsidP="00A5147D">
      <w:pPr>
        <w:numPr>
          <w:ilvl w:val="0"/>
          <w:numId w:val="1"/>
        </w:numPr>
        <w:tabs>
          <w:tab w:val="clear" w:pos="6095"/>
          <w:tab w:val="left" w:pos="709"/>
        </w:tabs>
        <w:ind w:left="0" w:firstLine="0"/>
        <w:rPr>
          <w:rFonts w:cstheme="minorHAnsi"/>
          <w:sz w:val="24"/>
          <w:szCs w:val="24"/>
          <w:lang w:val="el-GR"/>
        </w:rPr>
      </w:pPr>
      <w:r>
        <w:rPr>
          <w:rFonts w:eastAsia="Calibri" w:cstheme="minorHAnsi"/>
          <w:bCs/>
          <w:sz w:val="24"/>
          <w:szCs w:val="24"/>
          <w:lang w:val="en-US"/>
        </w:rPr>
        <w:lastRenderedPageBreak/>
        <w:t>O</w:t>
      </w:r>
      <w:r w:rsidRPr="000425F2">
        <w:rPr>
          <w:rFonts w:eastAsia="Calibri" w:cstheme="minorHAnsi"/>
          <w:bCs/>
          <w:sz w:val="24"/>
          <w:szCs w:val="24"/>
          <w:lang w:val="el-GR"/>
        </w:rPr>
        <w:t xml:space="preserve"> </w:t>
      </w:r>
      <w:r>
        <w:rPr>
          <w:rFonts w:eastAsia="Calibri" w:cstheme="minorHAnsi"/>
          <w:bCs/>
          <w:sz w:val="24"/>
          <w:szCs w:val="24"/>
          <w:lang w:val="el-GR"/>
        </w:rPr>
        <w:t>Νόμος</w:t>
      </w:r>
      <w:r w:rsidR="00A5147D" w:rsidRPr="000425F2">
        <w:rPr>
          <w:rFonts w:eastAsia="Calibri" w:cstheme="minorHAnsi"/>
          <w:bCs/>
          <w:sz w:val="24"/>
          <w:szCs w:val="24"/>
          <w:lang w:val="el-GR"/>
        </w:rPr>
        <w:t xml:space="preserve"> 49(</w:t>
      </w:r>
      <w:r w:rsidR="00A5147D" w:rsidRPr="004E251E">
        <w:rPr>
          <w:rFonts w:eastAsia="Calibri" w:cstheme="minorHAnsi"/>
          <w:bCs/>
          <w:sz w:val="24"/>
          <w:szCs w:val="24"/>
        </w:rPr>
        <w:t>I</w:t>
      </w:r>
      <w:r w:rsidR="00A5147D" w:rsidRPr="000425F2">
        <w:rPr>
          <w:rFonts w:eastAsia="Calibri" w:cstheme="minorHAnsi"/>
          <w:bCs/>
          <w:sz w:val="24"/>
          <w:szCs w:val="24"/>
          <w:lang w:val="el-GR"/>
        </w:rPr>
        <w:t xml:space="preserve">)/2004 </w:t>
      </w:r>
      <w:r>
        <w:rPr>
          <w:rFonts w:eastAsia="Calibri" w:cstheme="minorHAnsi"/>
          <w:bCs/>
          <w:sz w:val="24"/>
          <w:szCs w:val="24"/>
          <w:lang w:val="el-GR"/>
        </w:rPr>
        <w:t>δεν</w:t>
      </w:r>
      <w:r w:rsidRPr="000425F2">
        <w:rPr>
          <w:rFonts w:eastAsia="Calibri" w:cstheme="minorHAnsi"/>
          <w:bCs/>
          <w:sz w:val="24"/>
          <w:szCs w:val="24"/>
          <w:lang w:val="el-GR"/>
        </w:rPr>
        <w:t xml:space="preserve"> </w:t>
      </w:r>
      <w:r>
        <w:rPr>
          <w:rFonts w:eastAsia="Calibri" w:cstheme="minorHAnsi"/>
          <w:bCs/>
          <w:sz w:val="24"/>
          <w:szCs w:val="24"/>
          <w:lang w:val="el-GR"/>
        </w:rPr>
        <w:t>προβλέπει</w:t>
      </w:r>
      <w:r w:rsidRPr="000425F2">
        <w:rPr>
          <w:rFonts w:eastAsia="Calibri" w:cstheme="minorHAnsi"/>
          <w:bCs/>
          <w:sz w:val="24"/>
          <w:szCs w:val="24"/>
          <w:lang w:val="el-GR"/>
        </w:rPr>
        <w:t xml:space="preserve"> </w:t>
      </w:r>
      <w:r>
        <w:rPr>
          <w:rFonts w:eastAsia="Calibri" w:cstheme="minorHAnsi"/>
          <w:bCs/>
          <w:sz w:val="24"/>
          <w:szCs w:val="24"/>
          <w:lang w:val="el-GR"/>
        </w:rPr>
        <w:t>οποιαδήποτε</w:t>
      </w:r>
      <w:r w:rsidRPr="000425F2">
        <w:rPr>
          <w:rFonts w:eastAsia="Calibri" w:cstheme="minorHAnsi"/>
          <w:bCs/>
          <w:sz w:val="24"/>
          <w:szCs w:val="24"/>
          <w:lang w:val="el-GR"/>
        </w:rPr>
        <w:t xml:space="preserve"> </w:t>
      </w:r>
      <w:r>
        <w:rPr>
          <w:rFonts w:eastAsia="Calibri" w:cstheme="minorHAnsi"/>
          <w:bCs/>
          <w:sz w:val="24"/>
          <w:szCs w:val="24"/>
          <w:lang w:val="el-GR"/>
        </w:rPr>
        <w:t>καθορισμένη</w:t>
      </w:r>
      <w:r w:rsidRPr="000425F2">
        <w:rPr>
          <w:rFonts w:eastAsia="Calibri" w:cstheme="minorHAnsi"/>
          <w:bCs/>
          <w:sz w:val="24"/>
          <w:szCs w:val="24"/>
          <w:lang w:val="el-GR"/>
        </w:rPr>
        <w:t xml:space="preserve"> </w:t>
      </w:r>
      <w:r>
        <w:rPr>
          <w:rFonts w:eastAsia="Calibri" w:cstheme="minorHAnsi"/>
          <w:bCs/>
          <w:sz w:val="24"/>
          <w:szCs w:val="24"/>
          <w:lang w:val="el-GR"/>
        </w:rPr>
        <w:t>κύρωση</w:t>
      </w:r>
      <w:r w:rsidR="00A5147D" w:rsidRPr="000425F2">
        <w:rPr>
          <w:rFonts w:eastAsia="Calibri" w:cstheme="minorHAnsi"/>
          <w:bCs/>
          <w:sz w:val="24"/>
          <w:szCs w:val="24"/>
          <w:lang w:val="el-GR"/>
        </w:rPr>
        <w:t xml:space="preserve"> </w:t>
      </w:r>
      <w:r>
        <w:rPr>
          <w:rFonts w:eastAsia="Calibri" w:cstheme="minorHAnsi"/>
          <w:bCs/>
          <w:sz w:val="24"/>
          <w:szCs w:val="24"/>
          <w:lang w:val="el-GR"/>
        </w:rPr>
        <w:t>σε</w:t>
      </w:r>
      <w:r w:rsidRPr="000425F2">
        <w:rPr>
          <w:rFonts w:eastAsia="Calibri" w:cstheme="minorHAnsi"/>
          <w:bCs/>
          <w:sz w:val="24"/>
          <w:szCs w:val="24"/>
          <w:lang w:val="el-GR"/>
        </w:rPr>
        <w:t xml:space="preserve"> </w:t>
      </w:r>
      <w:r>
        <w:rPr>
          <w:rFonts w:eastAsia="Calibri" w:cstheme="minorHAnsi"/>
          <w:bCs/>
          <w:sz w:val="24"/>
          <w:szCs w:val="24"/>
          <w:lang w:val="el-GR"/>
        </w:rPr>
        <w:t>περιπτώσεις παράλειψης</w:t>
      </w:r>
      <w:r w:rsidR="00A5147D" w:rsidRPr="000425F2">
        <w:rPr>
          <w:rFonts w:eastAsia="Calibri" w:cstheme="minorHAnsi"/>
          <w:bCs/>
          <w:sz w:val="24"/>
          <w:szCs w:val="24"/>
          <w:lang w:val="el-GR"/>
        </w:rPr>
        <w:t xml:space="preserve"> </w:t>
      </w:r>
      <w:r>
        <w:rPr>
          <w:rFonts w:eastAsia="Calibri" w:cstheme="minorHAnsi"/>
          <w:bCs/>
          <w:sz w:val="24"/>
          <w:szCs w:val="24"/>
          <w:lang w:val="el-GR"/>
        </w:rPr>
        <w:t>υποβολής δήλωσης</w:t>
      </w:r>
      <w:r w:rsidR="00A5147D" w:rsidRPr="000425F2">
        <w:rPr>
          <w:rFonts w:eastAsia="Calibri" w:cstheme="minorHAnsi"/>
          <w:bCs/>
          <w:sz w:val="24"/>
          <w:szCs w:val="24"/>
          <w:lang w:val="el-GR"/>
        </w:rPr>
        <w:t xml:space="preserve"> </w:t>
      </w:r>
      <w:r>
        <w:rPr>
          <w:rFonts w:eastAsia="Calibri" w:cstheme="minorHAnsi"/>
          <w:bCs/>
          <w:sz w:val="24"/>
          <w:szCs w:val="24"/>
          <w:lang w:val="el-GR"/>
        </w:rPr>
        <w:t>ή για ψευδείς δηλώσεις</w:t>
      </w:r>
      <w:r w:rsidR="00A5147D" w:rsidRPr="000425F2">
        <w:rPr>
          <w:rFonts w:eastAsia="Calibri" w:cstheme="minorHAnsi"/>
          <w:bCs/>
          <w:sz w:val="24"/>
          <w:szCs w:val="24"/>
          <w:lang w:val="el-GR"/>
        </w:rPr>
        <w:t>.</w:t>
      </w:r>
      <w:r w:rsidR="00A5147D" w:rsidRPr="000425F2">
        <w:rPr>
          <w:rFonts w:cstheme="minorHAnsi"/>
          <w:sz w:val="24"/>
          <w:szCs w:val="24"/>
          <w:lang w:val="el-GR"/>
        </w:rPr>
        <w:t xml:space="preserve"> </w:t>
      </w:r>
      <w:r w:rsidR="00DD6EDC">
        <w:rPr>
          <w:rFonts w:cstheme="minorHAnsi"/>
          <w:sz w:val="24"/>
          <w:szCs w:val="24"/>
          <w:lang w:val="el-GR"/>
        </w:rPr>
        <w:t>Ωστόσο</w:t>
      </w:r>
      <w:r w:rsidR="00DD6EDC" w:rsidRPr="00DD6EDC">
        <w:rPr>
          <w:rFonts w:cstheme="minorHAnsi"/>
          <w:sz w:val="24"/>
          <w:szCs w:val="24"/>
          <w:lang w:val="el-GR"/>
        </w:rPr>
        <w:t xml:space="preserve">, </w:t>
      </w:r>
      <w:r w:rsidR="00DD6EDC">
        <w:rPr>
          <w:rFonts w:cstheme="minorHAnsi"/>
          <w:sz w:val="24"/>
          <w:szCs w:val="24"/>
          <w:lang w:val="el-GR"/>
        </w:rPr>
        <w:t>προβλέπει</w:t>
      </w:r>
      <w:r w:rsidR="00DD6EDC" w:rsidRPr="00DD6EDC">
        <w:rPr>
          <w:rFonts w:cstheme="minorHAnsi"/>
          <w:sz w:val="24"/>
          <w:szCs w:val="24"/>
          <w:lang w:val="el-GR"/>
        </w:rPr>
        <w:t xml:space="preserve"> </w:t>
      </w:r>
      <w:r w:rsidR="00DD6EDC">
        <w:rPr>
          <w:rFonts w:cstheme="minorHAnsi"/>
          <w:sz w:val="24"/>
          <w:szCs w:val="24"/>
          <w:lang w:val="el-GR"/>
        </w:rPr>
        <w:t>ότι</w:t>
      </w:r>
      <w:r w:rsidR="00DD6EDC" w:rsidRPr="00DD6EDC">
        <w:rPr>
          <w:rFonts w:cstheme="minorHAnsi"/>
          <w:sz w:val="24"/>
          <w:szCs w:val="24"/>
          <w:lang w:val="el-GR"/>
        </w:rPr>
        <w:t xml:space="preserve"> </w:t>
      </w:r>
      <w:r w:rsidR="00DD6EDC">
        <w:rPr>
          <w:rFonts w:cstheme="minorHAnsi"/>
          <w:sz w:val="24"/>
          <w:szCs w:val="24"/>
          <w:lang w:val="el-GR"/>
        </w:rPr>
        <w:t>οι</w:t>
      </w:r>
      <w:r w:rsidR="00DD6EDC" w:rsidRPr="00DD6EDC">
        <w:rPr>
          <w:rFonts w:cstheme="minorHAnsi"/>
          <w:sz w:val="24"/>
          <w:szCs w:val="24"/>
          <w:lang w:val="el-GR"/>
        </w:rPr>
        <w:t xml:space="preserve"> </w:t>
      </w:r>
      <w:r w:rsidR="00ED1259">
        <w:rPr>
          <w:rFonts w:cstheme="minorHAnsi"/>
          <w:sz w:val="24"/>
          <w:szCs w:val="24"/>
          <w:lang w:val="el-GR"/>
        </w:rPr>
        <w:t xml:space="preserve">συνέπειες αποφασίζονται </w:t>
      </w:r>
      <w:r w:rsidR="00DD6EDC">
        <w:rPr>
          <w:rFonts w:cstheme="minorHAnsi"/>
          <w:sz w:val="24"/>
          <w:szCs w:val="24"/>
          <w:lang w:val="el-GR"/>
        </w:rPr>
        <w:t>από</w:t>
      </w:r>
      <w:r w:rsidR="00DD6EDC" w:rsidRPr="00DD6EDC">
        <w:rPr>
          <w:rFonts w:cstheme="minorHAnsi"/>
          <w:sz w:val="24"/>
          <w:szCs w:val="24"/>
          <w:lang w:val="el-GR"/>
        </w:rPr>
        <w:t xml:space="preserve"> </w:t>
      </w:r>
      <w:r w:rsidR="00DD6EDC">
        <w:rPr>
          <w:rFonts w:cstheme="minorHAnsi"/>
          <w:sz w:val="24"/>
          <w:szCs w:val="24"/>
          <w:lang w:val="el-GR"/>
        </w:rPr>
        <w:t>τον</w:t>
      </w:r>
      <w:r w:rsidR="00DD6EDC" w:rsidRPr="00DD6EDC">
        <w:rPr>
          <w:rFonts w:cstheme="minorHAnsi"/>
          <w:sz w:val="24"/>
          <w:szCs w:val="24"/>
          <w:lang w:val="el-GR"/>
        </w:rPr>
        <w:t xml:space="preserve"> </w:t>
      </w:r>
      <w:r w:rsidR="00DD6EDC">
        <w:rPr>
          <w:rFonts w:cstheme="minorHAnsi"/>
          <w:sz w:val="24"/>
          <w:szCs w:val="24"/>
          <w:lang w:val="el-GR"/>
        </w:rPr>
        <w:t>Πρόεδρο</w:t>
      </w:r>
      <w:r w:rsidR="00A5147D" w:rsidRPr="00DD6EDC">
        <w:rPr>
          <w:rFonts w:cstheme="minorHAnsi"/>
          <w:sz w:val="24"/>
          <w:szCs w:val="24"/>
          <w:lang w:val="el-GR"/>
        </w:rPr>
        <w:t xml:space="preserve">. </w:t>
      </w:r>
    </w:p>
    <w:p w14:paraId="029B7BA6" w14:textId="77777777" w:rsidR="00A5147D" w:rsidRPr="00DD6EDC" w:rsidRDefault="00A5147D" w:rsidP="00A5147D">
      <w:pPr>
        <w:pStyle w:val="ListParagraph"/>
        <w:rPr>
          <w:rFonts w:cstheme="minorHAnsi"/>
          <w:sz w:val="24"/>
          <w:szCs w:val="24"/>
          <w:lang w:val="el-GR"/>
        </w:rPr>
      </w:pPr>
    </w:p>
    <w:p w14:paraId="21E341A9" w14:textId="083B746C" w:rsidR="00A5147D" w:rsidRPr="004E251E" w:rsidRDefault="00DD6EDC" w:rsidP="00A5147D">
      <w:pPr>
        <w:tabs>
          <w:tab w:val="left" w:pos="709"/>
        </w:tabs>
        <w:rPr>
          <w:rFonts w:cstheme="minorHAnsi"/>
          <w:i/>
          <w:iCs/>
          <w:sz w:val="24"/>
          <w:szCs w:val="24"/>
          <w:u w:val="single"/>
        </w:rPr>
      </w:pPr>
      <w:r>
        <w:rPr>
          <w:rFonts w:cstheme="minorHAnsi"/>
          <w:i/>
          <w:iCs/>
          <w:sz w:val="24"/>
          <w:szCs w:val="24"/>
          <w:u w:val="single"/>
          <w:lang w:val="el-GR"/>
        </w:rPr>
        <w:t>Συμβούλιο Δήλωσης Περιουσιακών Στοιχείων</w:t>
      </w:r>
      <w:r w:rsidR="00A5147D" w:rsidRPr="004E251E">
        <w:rPr>
          <w:rFonts w:cstheme="minorHAnsi"/>
          <w:i/>
          <w:iCs/>
          <w:sz w:val="24"/>
          <w:szCs w:val="24"/>
          <w:u w:val="single"/>
        </w:rPr>
        <w:t xml:space="preserve"> </w:t>
      </w:r>
    </w:p>
    <w:p w14:paraId="265AA646" w14:textId="77777777" w:rsidR="00A5147D" w:rsidRPr="004E251E" w:rsidRDefault="00A5147D" w:rsidP="00A5147D">
      <w:pPr>
        <w:tabs>
          <w:tab w:val="left" w:pos="709"/>
        </w:tabs>
        <w:rPr>
          <w:rFonts w:cstheme="minorHAnsi"/>
          <w:i/>
          <w:iCs/>
          <w:sz w:val="24"/>
          <w:szCs w:val="24"/>
          <w:u w:val="single"/>
        </w:rPr>
      </w:pPr>
    </w:p>
    <w:p w14:paraId="7EA9868B" w14:textId="6D2A8C3C" w:rsidR="00A5147D" w:rsidRPr="00DD6EDC" w:rsidRDefault="00ED1259" w:rsidP="00A5147D">
      <w:pPr>
        <w:keepNext/>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lang w:val="el-GR"/>
        </w:rPr>
      </w:pPr>
      <w:r>
        <w:rPr>
          <w:rFonts w:eastAsia="Calibri" w:cstheme="minorHAnsi"/>
          <w:sz w:val="24"/>
          <w:szCs w:val="24"/>
          <w:u w:color="000000"/>
          <w:bdr w:val="nil"/>
          <w:lang w:val="el-GR"/>
        </w:rPr>
        <w:t>Τέλος</w:t>
      </w:r>
      <w:r w:rsidR="00A5147D" w:rsidRPr="00DD6EDC">
        <w:rPr>
          <w:rFonts w:eastAsia="Calibri" w:cstheme="minorHAnsi"/>
          <w:sz w:val="24"/>
          <w:szCs w:val="24"/>
          <w:u w:color="000000"/>
          <w:bdr w:val="nil"/>
          <w:lang w:val="el-GR"/>
        </w:rPr>
        <w:t xml:space="preserve">, </w:t>
      </w:r>
      <w:r w:rsidR="00DD6EDC">
        <w:rPr>
          <w:rFonts w:eastAsia="Calibri" w:cstheme="minorHAnsi"/>
          <w:sz w:val="24"/>
          <w:szCs w:val="24"/>
          <w:u w:color="000000"/>
          <w:bdr w:val="nil"/>
          <w:lang w:val="el-GR"/>
        </w:rPr>
        <w:t>ο</w:t>
      </w:r>
      <w:r w:rsidR="00DD6EDC" w:rsidRPr="00DD6EDC">
        <w:rPr>
          <w:rFonts w:eastAsia="Calibri" w:cstheme="minorHAnsi"/>
          <w:sz w:val="24"/>
          <w:szCs w:val="24"/>
          <w:u w:color="000000"/>
          <w:bdr w:val="nil"/>
          <w:lang w:val="el-GR"/>
        </w:rPr>
        <w:t xml:space="preserve"> </w:t>
      </w:r>
      <w:r w:rsidR="00DD6EDC">
        <w:rPr>
          <w:rFonts w:eastAsia="Calibri" w:cstheme="minorHAnsi"/>
          <w:sz w:val="24"/>
          <w:szCs w:val="24"/>
          <w:u w:color="000000"/>
          <w:bdr w:val="nil"/>
          <w:lang w:val="el-GR"/>
        </w:rPr>
        <w:t>Νόμος</w:t>
      </w:r>
      <w:r w:rsidR="00A5147D" w:rsidRPr="00DD6EDC">
        <w:rPr>
          <w:rFonts w:eastAsia="Calibri" w:cstheme="minorHAnsi"/>
          <w:bCs/>
          <w:sz w:val="24"/>
          <w:szCs w:val="24"/>
          <w:lang w:val="el-GR"/>
        </w:rPr>
        <w:t xml:space="preserve"> 50(</w:t>
      </w:r>
      <w:r w:rsidR="00A5147D" w:rsidRPr="004E251E">
        <w:rPr>
          <w:rFonts w:eastAsia="Calibri" w:cstheme="minorHAnsi"/>
          <w:bCs/>
          <w:sz w:val="24"/>
          <w:szCs w:val="24"/>
        </w:rPr>
        <w:t>I</w:t>
      </w:r>
      <w:r w:rsidR="00A5147D" w:rsidRPr="00DD6EDC">
        <w:rPr>
          <w:rFonts w:eastAsia="Calibri" w:cstheme="minorHAnsi"/>
          <w:bCs/>
          <w:sz w:val="24"/>
          <w:szCs w:val="24"/>
          <w:lang w:val="el-GR"/>
        </w:rPr>
        <w:t xml:space="preserve">)/2004 </w:t>
      </w:r>
      <w:r>
        <w:rPr>
          <w:rFonts w:eastAsia="Calibri" w:cstheme="minorHAnsi"/>
          <w:bCs/>
          <w:sz w:val="24"/>
          <w:szCs w:val="24"/>
          <w:lang w:val="el-GR"/>
        </w:rPr>
        <w:t xml:space="preserve">καθιδρύει </w:t>
      </w:r>
      <w:r w:rsidR="00DD6EDC">
        <w:rPr>
          <w:rFonts w:eastAsia="Calibri" w:cstheme="minorHAnsi"/>
          <w:bCs/>
          <w:sz w:val="24"/>
          <w:szCs w:val="24"/>
          <w:lang w:val="el-GR"/>
        </w:rPr>
        <w:t>Συμβούλιο</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Δήλωσης</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Περιουσιακών</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Στοιχείων</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που</w:t>
      </w:r>
      <w:r w:rsidR="00DD6EDC" w:rsidRPr="00DD6EDC">
        <w:rPr>
          <w:rFonts w:eastAsia="Calibri" w:cstheme="minorHAnsi"/>
          <w:bCs/>
          <w:sz w:val="24"/>
          <w:szCs w:val="24"/>
          <w:lang w:val="el-GR"/>
        </w:rPr>
        <w:t xml:space="preserve"> </w:t>
      </w:r>
      <w:r>
        <w:rPr>
          <w:rFonts w:eastAsia="Calibri" w:cstheme="minorHAnsi"/>
          <w:bCs/>
          <w:sz w:val="24"/>
          <w:szCs w:val="24"/>
          <w:lang w:val="el-GR"/>
        </w:rPr>
        <w:t xml:space="preserve">διασφαλίζει </w:t>
      </w:r>
      <w:r w:rsidR="00DD6EDC">
        <w:rPr>
          <w:rFonts w:eastAsia="Calibri" w:cstheme="minorHAnsi"/>
          <w:bCs/>
          <w:sz w:val="24"/>
          <w:szCs w:val="24"/>
          <w:lang w:val="el-GR"/>
        </w:rPr>
        <w:t>τη</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συμμόρφωση με την υποχρέωση των πολιτικά εκ</w:t>
      </w:r>
      <w:r w:rsidR="00FA32CD">
        <w:rPr>
          <w:rFonts w:eastAsia="Calibri" w:cstheme="minorHAnsi"/>
          <w:bCs/>
          <w:sz w:val="24"/>
          <w:szCs w:val="24"/>
          <w:lang w:val="el-GR"/>
        </w:rPr>
        <w:t>τεθει</w:t>
      </w:r>
      <w:r w:rsidR="00DD6EDC">
        <w:rPr>
          <w:rFonts w:eastAsia="Calibri" w:cstheme="minorHAnsi"/>
          <w:bCs/>
          <w:sz w:val="24"/>
          <w:szCs w:val="24"/>
          <w:lang w:val="el-GR"/>
        </w:rPr>
        <w:t xml:space="preserve">μένων </w:t>
      </w:r>
      <w:r>
        <w:rPr>
          <w:rFonts w:eastAsia="Calibri" w:cstheme="minorHAnsi"/>
          <w:bCs/>
          <w:sz w:val="24"/>
          <w:szCs w:val="24"/>
          <w:lang w:val="el-GR"/>
        </w:rPr>
        <w:t xml:space="preserve">προσώπων </w:t>
      </w:r>
      <w:r w:rsidR="00DD6EDC">
        <w:rPr>
          <w:rFonts w:eastAsia="Calibri" w:cstheme="minorHAnsi"/>
          <w:bCs/>
          <w:sz w:val="24"/>
          <w:szCs w:val="24"/>
          <w:lang w:val="el-GR"/>
        </w:rPr>
        <w:t xml:space="preserve">να υποβάλουν δηλώσεις περιουσιακών </w:t>
      </w:r>
      <w:r w:rsidR="00973266">
        <w:rPr>
          <w:rFonts w:eastAsia="Calibri" w:cstheme="minorHAnsi"/>
          <w:bCs/>
          <w:sz w:val="24"/>
          <w:szCs w:val="24"/>
          <w:lang w:val="el-GR"/>
        </w:rPr>
        <w:t>στοιχείων</w:t>
      </w:r>
      <w:r w:rsidR="00A5147D" w:rsidRPr="00DD6EDC">
        <w:rPr>
          <w:rFonts w:eastAsia="Calibri" w:cstheme="minorHAnsi"/>
          <w:bCs/>
          <w:sz w:val="24"/>
          <w:szCs w:val="24"/>
          <w:lang w:val="el-GR"/>
        </w:rPr>
        <w:t xml:space="preserve">. </w:t>
      </w:r>
      <w:r w:rsidR="00DD6EDC">
        <w:rPr>
          <w:rFonts w:eastAsia="Calibri" w:cstheme="minorHAnsi"/>
          <w:bCs/>
          <w:sz w:val="24"/>
          <w:szCs w:val="24"/>
          <w:lang w:val="el-GR"/>
        </w:rPr>
        <w:t>Το</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Συμβούλιο</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αποτελείται</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από</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τρία</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μέλη</w:t>
      </w:r>
      <w:r w:rsidR="00A5147D" w:rsidRPr="00DD6EDC">
        <w:rPr>
          <w:rFonts w:eastAsia="Calibri" w:cstheme="minorHAnsi"/>
          <w:bCs/>
          <w:sz w:val="24"/>
          <w:szCs w:val="24"/>
          <w:lang w:val="el-GR"/>
        </w:rPr>
        <w:t xml:space="preserve">, </w:t>
      </w:r>
      <w:r w:rsidR="00DD6EDC">
        <w:rPr>
          <w:rFonts w:eastAsia="Calibri" w:cstheme="minorHAnsi"/>
          <w:bCs/>
          <w:sz w:val="24"/>
          <w:szCs w:val="24"/>
          <w:lang w:val="el-GR"/>
        </w:rPr>
        <w:t>που</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περιλαμβάνει</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ένα</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δικηγόρο</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αναγνωρισμένου</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κύρους</w:t>
      </w:r>
      <w:r w:rsidR="00A5147D" w:rsidRPr="00DD6EDC">
        <w:rPr>
          <w:rFonts w:eastAsia="Calibri" w:cstheme="minorHAnsi"/>
          <w:bCs/>
          <w:sz w:val="24"/>
          <w:szCs w:val="24"/>
          <w:lang w:val="el-GR"/>
        </w:rPr>
        <w:t xml:space="preserve"> </w:t>
      </w:r>
      <w:r w:rsidR="00DD6EDC">
        <w:rPr>
          <w:rFonts w:eastAsia="Calibri" w:cstheme="minorHAnsi"/>
          <w:bCs/>
          <w:sz w:val="24"/>
          <w:szCs w:val="24"/>
          <w:lang w:val="el-GR"/>
        </w:rPr>
        <w:t>και</w:t>
      </w:r>
      <w:r w:rsidR="00A5147D" w:rsidRPr="00DD6EDC">
        <w:rPr>
          <w:rFonts w:eastAsia="Calibri" w:cstheme="minorHAnsi"/>
          <w:bCs/>
          <w:sz w:val="24"/>
          <w:szCs w:val="24"/>
          <w:lang w:val="el-GR"/>
        </w:rPr>
        <w:t xml:space="preserve"> </w:t>
      </w:r>
      <w:r w:rsidR="00DD6EDC">
        <w:rPr>
          <w:rFonts w:eastAsia="Calibri" w:cstheme="minorHAnsi"/>
          <w:bCs/>
          <w:sz w:val="24"/>
          <w:szCs w:val="24"/>
          <w:lang w:val="el-GR"/>
        </w:rPr>
        <w:t>αξιοπιστίας</w:t>
      </w:r>
      <w:r w:rsidR="00A5147D" w:rsidRPr="00DD6EDC">
        <w:rPr>
          <w:rFonts w:eastAsia="Calibri" w:cstheme="minorHAnsi"/>
          <w:bCs/>
          <w:sz w:val="24"/>
          <w:szCs w:val="24"/>
          <w:lang w:val="el-GR"/>
        </w:rPr>
        <w:t xml:space="preserve"> </w:t>
      </w:r>
      <w:r w:rsidR="00DD6EDC">
        <w:rPr>
          <w:rFonts w:eastAsia="Calibri" w:cstheme="minorHAnsi"/>
          <w:bCs/>
          <w:sz w:val="24"/>
          <w:szCs w:val="24"/>
          <w:lang w:val="el-GR"/>
        </w:rPr>
        <w:t>ως</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Πρόεδρο</w:t>
      </w:r>
      <w:r w:rsidR="00A5147D" w:rsidRPr="00DD6EDC">
        <w:rPr>
          <w:rFonts w:eastAsia="Calibri" w:cstheme="minorHAnsi"/>
          <w:bCs/>
          <w:sz w:val="24"/>
          <w:szCs w:val="24"/>
          <w:lang w:val="el-GR"/>
        </w:rPr>
        <w:t xml:space="preserve"> </w:t>
      </w:r>
      <w:r w:rsidR="00DD6EDC">
        <w:rPr>
          <w:rFonts w:eastAsia="Calibri" w:cstheme="minorHAnsi"/>
          <w:bCs/>
          <w:sz w:val="24"/>
          <w:szCs w:val="24"/>
          <w:lang w:val="el-GR"/>
        </w:rPr>
        <w:t>και δύο άλλα άτομα αναγνωρισμένου κύρους</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και αξιοπιστίας</w:t>
      </w:r>
      <w:r w:rsidR="00A5147D" w:rsidRPr="00DD6EDC">
        <w:rPr>
          <w:rFonts w:eastAsia="Calibri" w:cstheme="minorHAnsi"/>
          <w:bCs/>
          <w:sz w:val="24"/>
          <w:szCs w:val="24"/>
          <w:lang w:val="el-GR"/>
        </w:rPr>
        <w:t xml:space="preserve"> </w:t>
      </w:r>
      <w:r w:rsidR="00DD6EDC">
        <w:rPr>
          <w:rFonts w:eastAsia="Calibri" w:cstheme="minorHAnsi"/>
          <w:bCs/>
          <w:sz w:val="24"/>
          <w:szCs w:val="24"/>
          <w:lang w:val="el-GR"/>
        </w:rPr>
        <w:t>ως μέλη</w:t>
      </w:r>
      <w:r w:rsidR="00A5147D" w:rsidRPr="00DD6EDC">
        <w:rPr>
          <w:rFonts w:eastAsia="Calibri" w:cstheme="minorHAnsi"/>
          <w:bCs/>
          <w:sz w:val="24"/>
          <w:szCs w:val="24"/>
          <w:lang w:val="el-GR"/>
        </w:rPr>
        <w:t xml:space="preserve">, </w:t>
      </w:r>
      <w:r w:rsidR="00DD6EDC">
        <w:rPr>
          <w:rFonts w:eastAsia="Calibri" w:cstheme="minorHAnsi"/>
          <w:bCs/>
          <w:sz w:val="24"/>
          <w:szCs w:val="24"/>
          <w:lang w:val="el-GR"/>
        </w:rPr>
        <w:t>διορισμένοι από το Υπουργικό Συμβούλιο</w:t>
      </w:r>
      <w:r w:rsidR="00A5147D" w:rsidRPr="00DD6EDC">
        <w:rPr>
          <w:rFonts w:eastAsia="Calibri" w:cstheme="minorHAnsi"/>
          <w:bCs/>
          <w:sz w:val="24"/>
          <w:szCs w:val="24"/>
          <w:lang w:val="el-GR"/>
        </w:rPr>
        <w:t xml:space="preserve">. </w:t>
      </w:r>
      <w:r w:rsidR="00DD6EDC">
        <w:rPr>
          <w:rFonts w:eastAsia="Calibri" w:cstheme="minorHAnsi"/>
          <w:bCs/>
          <w:sz w:val="24"/>
          <w:szCs w:val="24"/>
          <w:lang w:val="el-GR"/>
        </w:rPr>
        <w:t>Η</w:t>
      </w:r>
      <w:r w:rsidR="00A5147D" w:rsidRPr="00DD6EDC">
        <w:rPr>
          <w:rFonts w:eastAsia="Calibri" w:cstheme="minorHAnsi"/>
          <w:bCs/>
          <w:sz w:val="24"/>
          <w:szCs w:val="24"/>
          <w:lang w:val="el-GR"/>
        </w:rPr>
        <w:t xml:space="preserve"> </w:t>
      </w:r>
      <w:r w:rsidR="00A5147D" w:rsidRPr="004E251E">
        <w:rPr>
          <w:rFonts w:eastAsia="Calibri" w:cstheme="minorHAnsi"/>
          <w:bCs/>
          <w:sz w:val="24"/>
          <w:szCs w:val="24"/>
        </w:rPr>
        <w:t>GET</w:t>
      </w:r>
      <w:r w:rsidR="00A5147D" w:rsidRPr="00DD6EDC">
        <w:rPr>
          <w:rFonts w:eastAsia="Calibri" w:cstheme="minorHAnsi"/>
          <w:bCs/>
          <w:sz w:val="24"/>
          <w:szCs w:val="24"/>
          <w:lang w:val="el-GR"/>
        </w:rPr>
        <w:t xml:space="preserve"> </w:t>
      </w:r>
      <w:r w:rsidR="00DD6EDC">
        <w:rPr>
          <w:rFonts w:eastAsia="Calibri" w:cstheme="minorHAnsi"/>
          <w:bCs/>
          <w:sz w:val="24"/>
          <w:szCs w:val="24"/>
          <w:lang w:val="el-GR"/>
        </w:rPr>
        <w:t>ενημερώθηκε</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ότι</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το</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Συμβούλιο</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στο</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παρόν</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στάδιο</w:t>
      </w:r>
      <w:r w:rsidR="00DD6EDC" w:rsidRPr="00DD6EDC">
        <w:rPr>
          <w:rFonts w:eastAsia="Calibri" w:cstheme="minorHAnsi"/>
          <w:bCs/>
          <w:sz w:val="24"/>
          <w:szCs w:val="24"/>
          <w:lang w:val="el-GR"/>
        </w:rPr>
        <w:t xml:space="preserve"> </w:t>
      </w:r>
      <w:r w:rsidR="00DD6EDC">
        <w:rPr>
          <w:rFonts w:eastAsia="Calibri" w:cstheme="minorHAnsi"/>
          <w:bCs/>
          <w:sz w:val="24"/>
          <w:szCs w:val="24"/>
          <w:lang w:val="el-GR"/>
        </w:rPr>
        <w:t>παρακολουθεί</w:t>
      </w:r>
      <w:r w:rsidR="00A5147D" w:rsidRPr="00DD6EDC">
        <w:rPr>
          <w:rFonts w:eastAsia="Calibri" w:cstheme="minorHAnsi"/>
          <w:bCs/>
          <w:sz w:val="24"/>
          <w:szCs w:val="24"/>
          <w:lang w:val="el-GR"/>
        </w:rPr>
        <w:t xml:space="preserve"> </w:t>
      </w:r>
      <w:r w:rsidR="00DD6EDC">
        <w:rPr>
          <w:rFonts w:eastAsia="Calibri" w:cstheme="minorHAnsi"/>
          <w:bCs/>
          <w:sz w:val="24"/>
          <w:szCs w:val="24"/>
          <w:lang w:val="el-GR"/>
        </w:rPr>
        <w:t xml:space="preserve">τις δηλώσεις περιουσιακών στοιχείων περίπου </w:t>
      </w:r>
      <w:r w:rsidR="00A5147D" w:rsidRPr="00DD6EDC">
        <w:rPr>
          <w:rFonts w:eastAsia="Calibri" w:cstheme="minorHAnsi"/>
          <w:bCs/>
          <w:sz w:val="24"/>
          <w:szCs w:val="24"/>
          <w:lang w:val="el-GR"/>
        </w:rPr>
        <w:t xml:space="preserve">1 000 </w:t>
      </w:r>
      <w:r w:rsidR="00DD6EDC">
        <w:rPr>
          <w:rFonts w:eastAsia="Calibri" w:cstheme="minorHAnsi"/>
          <w:bCs/>
          <w:sz w:val="24"/>
          <w:szCs w:val="24"/>
          <w:lang w:val="el-GR"/>
        </w:rPr>
        <w:t>ατόμων</w:t>
      </w:r>
      <w:r w:rsidR="00A5147D" w:rsidRPr="00DD6EDC">
        <w:rPr>
          <w:rFonts w:eastAsia="Calibri" w:cstheme="minorHAnsi"/>
          <w:bCs/>
          <w:sz w:val="24"/>
          <w:szCs w:val="24"/>
          <w:lang w:val="el-GR"/>
        </w:rPr>
        <w:t xml:space="preserve">. </w:t>
      </w:r>
    </w:p>
    <w:p w14:paraId="489B8EC3" w14:textId="77777777" w:rsidR="00A5147D" w:rsidRPr="00DD6EDC" w:rsidRDefault="00A5147D" w:rsidP="00A5147D">
      <w:pPr>
        <w:keepNext/>
        <w:pBdr>
          <w:top w:val="nil"/>
          <w:left w:val="nil"/>
          <w:bottom w:val="nil"/>
          <w:right w:val="nil"/>
          <w:between w:val="nil"/>
          <w:bar w:val="nil"/>
        </w:pBdr>
        <w:tabs>
          <w:tab w:val="left" w:pos="709"/>
        </w:tabs>
        <w:rPr>
          <w:rFonts w:eastAsia="Calibri" w:cstheme="minorHAnsi"/>
          <w:sz w:val="24"/>
          <w:szCs w:val="24"/>
          <w:u w:color="000000"/>
          <w:bdr w:val="nil"/>
          <w:lang w:val="el-GR"/>
        </w:rPr>
      </w:pPr>
    </w:p>
    <w:p w14:paraId="12C0A9E1" w14:textId="38281DF0" w:rsidR="00A5147D" w:rsidRPr="00244077" w:rsidRDefault="00244077" w:rsidP="00A5147D">
      <w:pPr>
        <w:keepNext/>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lang w:val="el-GR"/>
        </w:rPr>
      </w:pPr>
      <w:r>
        <w:rPr>
          <w:rFonts w:eastAsia="Calibri" w:cstheme="minorHAnsi"/>
          <w:bCs/>
          <w:sz w:val="24"/>
          <w:szCs w:val="24"/>
          <w:lang w:val="el-GR"/>
        </w:rPr>
        <w:t>Ο</w:t>
      </w:r>
      <w:r w:rsidRPr="00244077">
        <w:rPr>
          <w:rFonts w:eastAsia="Calibri" w:cstheme="minorHAnsi"/>
          <w:bCs/>
          <w:sz w:val="24"/>
          <w:szCs w:val="24"/>
          <w:lang w:val="el-GR"/>
        </w:rPr>
        <w:t xml:space="preserve"> </w:t>
      </w:r>
      <w:r>
        <w:rPr>
          <w:rFonts w:eastAsia="Calibri" w:cstheme="minorHAnsi"/>
          <w:bCs/>
          <w:sz w:val="24"/>
          <w:szCs w:val="24"/>
          <w:lang w:val="el-GR"/>
        </w:rPr>
        <w:t>Νόμος</w:t>
      </w:r>
      <w:r w:rsidRPr="00244077">
        <w:rPr>
          <w:rFonts w:eastAsia="Calibri" w:cstheme="minorHAnsi"/>
          <w:bCs/>
          <w:sz w:val="24"/>
          <w:szCs w:val="24"/>
          <w:lang w:val="el-GR"/>
        </w:rPr>
        <w:t xml:space="preserve"> </w:t>
      </w:r>
      <w:r>
        <w:rPr>
          <w:rFonts w:eastAsia="Calibri" w:cstheme="minorHAnsi"/>
          <w:bCs/>
          <w:sz w:val="24"/>
          <w:szCs w:val="24"/>
          <w:lang w:val="el-GR"/>
        </w:rPr>
        <w:t>καθιερώνει</w:t>
      </w:r>
      <w:r w:rsidRPr="00244077">
        <w:rPr>
          <w:rFonts w:eastAsia="Calibri" w:cstheme="minorHAnsi"/>
          <w:bCs/>
          <w:sz w:val="24"/>
          <w:szCs w:val="24"/>
          <w:lang w:val="el-GR"/>
        </w:rPr>
        <w:t xml:space="preserve"> </w:t>
      </w:r>
      <w:r>
        <w:rPr>
          <w:rFonts w:eastAsia="Calibri" w:cstheme="minorHAnsi"/>
          <w:bCs/>
          <w:sz w:val="24"/>
          <w:szCs w:val="24"/>
          <w:lang w:val="el-GR"/>
        </w:rPr>
        <w:t>περαιτέρω</w:t>
      </w:r>
      <w:r w:rsidRPr="00244077">
        <w:rPr>
          <w:rFonts w:eastAsia="Calibri" w:cstheme="minorHAnsi"/>
          <w:bCs/>
          <w:sz w:val="24"/>
          <w:szCs w:val="24"/>
          <w:lang w:val="el-GR"/>
        </w:rPr>
        <w:t xml:space="preserve"> </w:t>
      </w:r>
      <w:r>
        <w:rPr>
          <w:rFonts w:eastAsia="Calibri" w:cstheme="minorHAnsi"/>
          <w:bCs/>
          <w:sz w:val="24"/>
          <w:szCs w:val="24"/>
          <w:lang w:val="el-GR"/>
        </w:rPr>
        <w:t>ότι</w:t>
      </w:r>
      <w:r w:rsidR="00A5147D" w:rsidRPr="00244077">
        <w:rPr>
          <w:rFonts w:eastAsia="Calibri" w:cstheme="minorHAnsi"/>
          <w:bCs/>
          <w:sz w:val="24"/>
          <w:szCs w:val="24"/>
          <w:lang w:val="el-GR"/>
        </w:rPr>
        <w:t xml:space="preserve"> </w:t>
      </w:r>
      <w:r>
        <w:rPr>
          <w:rFonts w:eastAsia="Calibri" w:cstheme="minorHAnsi"/>
          <w:bCs/>
          <w:sz w:val="24"/>
          <w:szCs w:val="24"/>
          <w:lang w:val="el-GR"/>
        </w:rPr>
        <w:t>η</w:t>
      </w:r>
      <w:r w:rsidRPr="00244077">
        <w:rPr>
          <w:rFonts w:eastAsia="Calibri" w:cstheme="minorHAnsi"/>
          <w:bCs/>
          <w:sz w:val="24"/>
          <w:szCs w:val="24"/>
          <w:lang w:val="el-GR"/>
        </w:rPr>
        <w:t xml:space="preserve"> </w:t>
      </w:r>
      <w:r>
        <w:rPr>
          <w:rFonts w:eastAsia="Calibri" w:cstheme="minorHAnsi"/>
          <w:bCs/>
          <w:sz w:val="24"/>
          <w:szCs w:val="24"/>
          <w:lang w:val="el-GR"/>
        </w:rPr>
        <w:t>εργασία</w:t>
      </w:r>
      <w:r w:rsidRPr="00244077">
        <w:rPr>
          <w:rFonts w:eastAsia="Calibri" w:cstheme="minorHAnsi"/>
          <w:bCs/>
          <w:sz w:val="24"/>
          <w:szCs w:val="24"/>
          <w:lang w:val="el-GR"/>
        </w:rPr>
        <w:t xml:space="preserve"> </w:t>
      </w:r>
      <w:r>
        <w:rPr>
          <w:rFonts w:eastAsia="Calibri" w:cstheme="minorHAnsi"/>
          <w:bCs/>
          <w:sz w:val="24"/>
          <w:szCs w:val="24"/>
          <w:lang w:val="el-GR"/>
        </w:rPr>
        <w:t>συμμόρφωσης</w:t>
      </w:r>
      <w:r w:rsidRPr="00244077">
        <w:rPr>
          <w:rFonts w:eastAsia="Calibri" w:cstheme="minorHAnsi"/>
          <w:bCs/>
          <w:sz w:val="24"/>
          <w:szCs w:val="24"/>
          <w:lang w:val="el-GR"/>
        </w:rPr>
        <w:t xml:space="preserve"> </w:t>
      </w:r>
      <w:r>
        <w:rPr>
          <w:rFonts w:eastAsia="Calibri" w:cstheme="minorHAnsi"/>
          <w:bCs/>
          <w:sz w:val="24"/>
          <w:szCs w:val="24"/>
          <w:lang w:val="el-GR"/>
        </w:rPr>
        <w:t>μπορεί</w:t>
      </w:r>
      <w:r w:rsidRPr="00244077">
        <w:rPr>
          <w:rFonts w:eastAsia="Calibri" w:cstheme="minorHAnsi"/>
          <w:bCs/>
          <w:sz w:val="24"/>
          <w:szCs w:val="24"/>
          <w:lang w:val="el-GR"/>
        </w:rPr>
        <w:t xml:space="preserve"> </w:t>
      </w:r>
      <w:r>
        <w:rPr>
          <w:rFonts w:eastAsia="Calibri" w:cstheme="minorHAnsi"/>
          <w:bCs/>
          <w:sz w:val="24"/>
          <w:szCs w:val="24"/>
          <w:lang w:val="el-GR"/>
        </w:rPr>
        <w:t>να</w:t>
      </w:r>
      <w:r w:rsidRPr="00244077">
        <w:rPr>
          <w:rFonts w:eastAsia="Calibri" w:cstheme="minorHAnsi"/>
          <w:bCs/>
          <w:sz w:val="24"/>
          <w:szCs w:val="24"/>
          <w:lang w:val="el-GR"/>
        </w:rPr>
        <w:t xml:space="preserve"> </w:t>
      </w:r>
      <w:r>
        <w:rPr>
          <w:rFonts w:eastAsia="Calibri" w:cstheme="minorHAnsi"/>
          <w:bCs/>
          <w:sz w:val="24"/>
          <w:szCs w:val="24"/>
          <w:lang w:val="el-GR"/>
        </w:rPr>
        <w:t>διεξαχθεί</w:t>
      </w:r>
      <w:r w:rsidR="00A5147D" w:rsidRPr="00244077">
        <w:rPr>
          <w:rFonts w:eastAsia="Calibri" w:cstheme="minorHAnsi"/>
          <w:bCs/>
          <w:sz w:val="24"/>
          <w:szCs w:val="24"/>
          <w:lang w:val="el-GR"/>
        </w:rPr>
        <w:t xml:space="preserve"> </w:t>
      </w:r>
      <w:r w:rsidR="00A5147D" w:rsidRPr="004E251E">
        <w:rPr>
          <w:rFonts w:eastAsia="Calibri" w:cstheme="minorHAnsi"/>
          <w:bCs/>
          <w:i/>
          <w:iCs/>
          <w:sz w:val="24"/>
          <w:szCs w:val="24"/>
        </w:rPr>
        <w:t>ex</w:t>
      </w:r>
      <w:r w:rsidR="00A5147D" w:rsidRPr="00244077">
        <w:rPr>
          <w:rFonts w:eastAsia="Calibri" w:cstheme="minorHAnsi"/>
          <w:bCs/>
          <w:i/>
          <w:iCs/>
          <w:sz w:val="24"/>
          <w:szCs w:val="24"/>
          <w:lang w:val="el-GR"/>
        </w:rPr>
        <w:t xml:space="preserve"> </w:t>
      </w:r>
      <w:r w:rsidR="00A5147D" w:rsidRPr="004E251E">
        <w:rPr>
          <w:rFonts w:eastAsia="Calibri" w:cstheme="minorHAnsi"/>
          <w:bCs/>
          <w:i/>
          <w:iCs/>
          <w:sz w:val="24"/>
          <w:szCs w:val="24"/>
        </w:rPr>
        <w:t>officio</w:t>
      </w:r>
      <w:r w:rsidR="00A5147D" w:rsidRPr="00244077">
        <w:rPr>
          <w:rFonts w:eastAsia="Calibri" w:cstheme="minorHAnsi"/>
          <w:bCs/>
          <w:sz w:val="24"/>
          <w:szCs w:val="24"/>
          <w:lang w:val="el-GR"/>
        </w:rPr>
        <w:t xml:space="preserve"> </w:t>
      </w:r>
      <w:r>
        <w:rPr>
          <w:rFonts w:eastAsia="Calibri" w:cstheme="minorHAnsi"/>
          <w:bCs/>
          <w:sz w:val="24"/>
          <w:szCs w:val="24"/>
          <w:lang w:val="el-GR"/>
        </w:rPr>
        <w:t>αν</w:t>
      </w:r>
      <w:r w:rsidRPr="00244077">
        <w:rPr>
          <w:rFonts w:eastAsia="Calibri" w:cstheme="minorHAnsi"/>
          <w:bCs/>
          <w:sz w:val="24"/>
          <w:szCs w:val="24"/>
          <w:lang w:val="el-GR"/>
        </w:rPr>
        <w:t xml:space="preserve"> </w:t>
      </w:r>
      <w:r>
        <w:rPr>
          <w:rFonts w:eastAsia="Calibri" w:cstheme="minorHAnsi"/>
          <w:bCs/>
          <w:sz w:val="24"/>
          <w:szCs w:val="24"/>
          <w:lang w:val="el-GR"/>
        </w:rPr>
        <w:t>εντοπισθούν</w:t>
      </w:r>
      <w:r w:rsidR="00A5147D" w:rsidRPr="00244077">
        <w:rPr>
          <w:rFonts w:eastAsia="Calibri" w:cstheme="minorHAnsi"/>
          <w:bCs/>
          <w:sz w:val="24"/>
          <w:szCs w:val="24"/>
          <w:lang w:val="el-GR"/>
        </w:rPr>
        <w:t xml:space="preserve"> </w:t>
      </w:r>
      <w:r>
        <w:rPr>
          <w:rFonts w:eastAsia="Calibri" w:cstheme="minorHAnsi"/>
          <w:bCs/>
          <w:sz w:val="24"/>
          <w:szCs w:val="24"/>
          <w:lang w:val="el-GR"/>
        </w:rPr>
        <w:t>ατασθαλίες</w:t>
      </w:r>
      <w:r w:rsidR="00A5147D" w:rsidRPr="00244077">
        <w:rPr>
          <w:rFonts w:eastAsia="Calibri" w:cstheme="minorHAnsi"/>
          <w:bCs/>
          <w:sz w:val="24"/>
          <w:szCs w:val="24"/>
          <w:lang w:val="el-GR"/>
        </w:rPr>
        <w:t xml:space="preserve"> </w:t>
      </w:r>
      <w:r>
        <w:rPr>
          <w:rFonts w:eastAsia="Calibri" w:cstheme="minorHAnsi"/>
          <w:bCs/>
          <w:sz w:val="24"/>
          <w:szCs w:val="24"/>
          <w:lang w:val="el-GR"/>
        </w:rPr>
        <w:t>ή κατόπιν δημοσίου παραπόνου</w:t>
      </w:r>
      <w:r w:rsidR="00A5147D" w:rsidRPr="00244077">
        <w:rPr>
          <w:rFonts w:eastAsia="Calibri" w:cstheme="minorHAnsi"/>
          <w:bCs/>
          <w:sz w:val="24"/>
          <w:szCs w:val="24"/>
          <w:lang w:val="el-GR"/>
        </w:rPr>
        <w:t xml:space="preserve">, </w:t>
      </w:r>
      <w:r>
        <w:rPr>
          <w:rFonts w:eastAsia="Calibri" w:cstheme="minorHAnsi"/>
          <w:bCs/>
          <w:sz w:val="24"/>
          <w:szCs w:val="24"/>
          <w:lang w:val="el-GR"/>
        </w:rPr>
        <w:t>στην οποία περίπτωση καλούνται εγκεκριμένοι ελεγκτές</w:t>
      </w:r>
      <w:r w:rsidR="00FA32CD">
        <w:rPr>
          <w:rFonts w:eastAsia="Calibri" w:cstheme="minorHAnsi"/>
          <w:bCs/>
          <w:sz w:val="24"/>
          <w:szCs w:val="24"/>
          <w:lang w:val="el-GR"/>
        </w:rPr>
        <w:t xml:space="preserve"> στην δ</w:t>
      </w:r>
      <w:r>
        <w:rPr>
          <w:rFonts w:eastAsia="Calibri" w:cstheme="minorHAnsi"/>
          <w:bCs/>
          <w:sz w:val="24"/>
          <w:szCs w:val="24"/>
          <w:lang w:val="el-GR"/>
        </w:rPr>
        <w:t>ιαδικασία</w:t>
      </w:r>
      <w:r w:rsidR="00A5147D" w:rsidRPr="00244077">
        <w:rPr>
          <w:rFonts w:eastAsia="Calibri" w:cstheme="minorHAnsi"/>
          <w:bCs/>
          <w:sz w:val="24"/>
          <w:szCs w:val="24"/>
          <w:lang w:val="el-GR"/>
        </w:rPr>
        <w:t xml:space="preserve"> </w:t>
      </w:r>
      <w:r>
        <w:rPr>
          <w:rFonts w:eastAsia="Calibri" w:cstheme="minorHAnsi"/>
          <w:bCs/>
          <w:sz w:val="24"/>
          <w:szCs w:val="24"/>
          <w:lang w:val="el-GR"/>
        </w:rPr>
        <w:t>επιβεβαίωση</w:t>
      </w:r>
      <w:r w:rsidR="00FA32CD">
        <w:rPr>
          <w:rFonts w:eastAsia="Calibri" w:cstheme="minorHAnsi"/>
          <w:bCs/>
          <w:sz w:val="24"/>
          <w:szCs w:val="24"/>
          <w:lang w:val="el-GR"/>
        </w:rPr>
        <w:t>ς</w:t>
      </w:r>
      <w:r>
        <w:rPr>
          <w:rFonts w:eastAsia="Calibri" w:cstheme="minorHAnsi"/>
          <w:bCs/>
          <w:sz w:val="24"/>
          <w:szCs w:val="24"/>
          <w:lang w:val="el-GR"/>
        </w:rPr>
        <w:t xml:space="preserve"> των</w:t>
      </w:r>
      <w:r w:rsidR="00ED1259">
        <w:rPr>
          <w:rFonts w:eastAsia="Calibri" w:cstheme="minorHAnsi"/>
          <w:bCs/>
          <w:sz w:val="24"/>
          <w:szCs w:val="24"/>
          <w:lang w:val="el-GR"/>
        </w:rPr>
        <w:t xml:space="preserve"> δηλώσεων</w:t>
      </w:r>
      <w:r w:rsidR="00A5147D" w:rsidRPr="00244077">
        <w:rPr>
          <w:rFonts w:eastAsia="Calibri" w:cstheme="minorHAnsi"/>
          <w:bCs/>
          <w:sz w:val="24"/>
          <w:szCs w:val="24"/>
          <w:lang w:val="el-GR"/>
        </w:rPr>
        <w:t xml:space="preserve">. </w:t>
      </w:r>
      <w:r>
        <w:rPr>
          <w:rFonts w:eastAsia="Calibri" w:cstheme="minorHAnsi"/>
          <w:bCs/>
          <w:sz w:val="24"/>
          <w:szCs w:val="24"/>
          <w:lang w:val="el-GR"/>
        </w:rPr>
        <w:t>Σύμφωνα</w:t>
      </w:r>
      <w:r w:rsidRPr="00244077">
        <w:rPr>
          <w:rFonts w:eastAsia="Calibri" w:cstheme="minorHAnsi"/>
          <w:bCs/>
          <w:sz w:val="24"/>
          <w:szCs w:val="24"/>
          <w:lang w:val="el-GR"/>
        </w:rPr>
        <w:t xml:space="preserve"> </w:t>
      </w:r>
      <w:r>
        <w:rPr>
          <w:rFonts w:eastAsia="Calibri" w:cstheme="minorHAnsi"/>
          <w:bCs/>
          <w:sz w:val="24"/>
          <w:szCs w:val="24"/>
          <w:lang w:val="el-GR"/>
        </w:rPr>
        <w:t>με</w:t>
      </w:r>
      <w:r w:rsidRPr="00244077">
        <w:rPr>
          <w:rFonts w:eastAsia="Calibri" w:cstheme="minorHAnsi"/>
          <w:bCs/>
          <w:sz w:val="24"/>
          <w:szCs w:val="24"/>
          <w:lang w:val="el-GR"/>
        </w:rPr>
        <w:t xml:space="preserve"> </w:t>
      </w:r>
      <w:r>
        <w:rPr>
          <w:rFonts w:eastAsia="Calibri" w:cstheme="minorHAnsi"/>
          <w:bCs/>
          <w:sz w:val="24"/>
          <w:szCs w:val="24"/>
          <w:lang w:val="el-GR"/>
        </w:rPr>
        <w:t>τις</w:t>
      </w:r>
      <w:r w:rsidRPr="00244077">
        <w:rPr>
          <w:rFonts w:eastAsia="Calibri" w:cstheme="minorHAnsi"/>
          <w:bCs/>
          <w:sz w:val="24"/>
          <w:szCs w:val="24"/>
          <w:lang w:val="el-GR"/>
        </w:rPr>
        <w:t xml:space="preserve"> </w:t>
      </w:r>
      <w:r>
        <w:rPr>
          <w:rFonts w:eastAsia="Calibri" w:cstheme="minorHAnsi"/>
          <w:bCs/>
          <w:sz w:val="24"/>
          <w:szCs w:val="24"/>
          <w:lang w:val="el-GR"/>
        </w:rPr>
        <w:t>εφαρμόσι</w:t>
      </w:r>
      <w:r w:rsidR="00ED1259">
        <w:rPr>
          <w:rFonts w:eastAsia="Calibri" w:cstheme="minorHAnsi"/>
          <w:bCs/>
          <w:sz w:val="24"/>
          <w:szCs w:val="24"/>
          <w:lang w:val="el-GR"/>
        </w:rPr>
        <w:t>μ</w:t>
      </w:r>
      <w:r>
        <w:rPr>
          <w:rFonts w:eastAsia="Calibri" w:cstheme="minorHAnsi"/>
          <w:bCs/>
          <w:sz w:val="24"/>
          <w:szCs w:val="24"/>
          <w:lang w:val="el-GR"/>
        </w:rPr>
        <w:t>ες</w:t>
      </w:r>
      <w:r w:rsidRPr="00244077">
        <w:rPr>
          <w:rFonts w:eastAsia="Calibri" w:cstheme="minorHAnsi"/>
          <w:bCs/>
          <w:sz w:val="24"/>
          <w:szCs w:val="24"/>
          <w:lang w:val="el-GR"/>
        </w:rPr>
        <w:t xml:space="preserve"> </w:t>
      </w:r>
      <w:r>
        <w:rPr>
          <w:rFonts w:eastAsia="Calibri" w:cstheme="minorHAnsi"/>
          <w:bCs/>
          <w:sz w:val="24"/>
          <w:szCs w:val="24"/>
          <w:lang w:val="el-GR"/>
        </w:rPr>
        <w:t>κυρώσεις</w:t>
      </w:r>
      <w:r w:rsidR="00A5147D" w:rsidRPr="00244077">
        <w:rPr>
          <w:rFonts w:cstheme="minorHAnsi"/>
          <w:sz w:val="24"/>
          <w:szCs w:val="24"/>
          <w:lang w:val="el-GR"/>
        </w:rPr>
        <w:t xml:space="preserve">, </w:t>
      </w:r>
      <w:r>
        <w:rPr>
          <w:rFonts w:cstheme="minorHAnsi"/>
          <w:sz w:val="24"/>
          <w:szCs w:val="24"/>
          <w:lang w:val="el-GR"/>
        </w:rPr>
        <w:t>η</w:t>
      </w:r>
      <w:r w:rsidRPr="00244077">
        <w:rPr>
          <w:rFonts w:cstheme="minorHAnsi"/>
          <w:sz w:val="24"/>
          <w:szCs w:val="24"/>
          <w:lang w:val="el-GR"/>
        </w:rPr>
        <w:t xml:space="preserve"> </w:t>
      </w:r>
      <w:r>
        <w:rPr>
          <w:rFonts w:cstheme="minorHAnsi"/>
          <w:sz w:val="24"/>
          <w:szCs w:val="24"/>
          <w:lang w:val="el-GR"/>
        </w:rPr>
        <w:t>μη</w:t>
      </w:r>
      <w:r w:rsidRPr="00244077">
        <w:rPr>
          <w:rFonts w:cstheme="minorHAnsi"/>
          <w:sz w:val="24"/>
          <w:szCs w:val="24"/>
          <w:lang w:val="el-GR"/>
        </w:rPr>
        <w:t>-</w:t>
      </w:r>
      <w:r>
        <w:rPr>
          <w:rFonts w:cstheme="minorHAnsi"/>
          <w:sz w:val="24"/>
          <w:szCs w:val="24"/>
          <w:lang w:val="el-GR"/>
        </w:rPr>
        <w:t>υποβολή</w:t>
      </w:r>
      <w:r w:rsidRPr="00244077">
        <w:rPr>
          <w:rFonts w:cstheme="minorHAnsi"/>
          <w:sz w:val="24"/>
          <w:szCs w:val="24"/>
          <w:lang w:val="el-GR"/>
        </w:rPr>
        <w:t xml:space="preserve"> </w:t>
      </w:r>
      <w:r>
        <w:rPr>
          <w:rFonts w:cstheme="minorHAnsi"/>
          <w:sz w:val="24"/>
          <w:szCs w:val="24"/>
          <w:lang w:val="el-GR"/>
        </w:rPr>
        <w:t>δήλωσης</w:t>
      </w:r>
      <w:r w:rsidR="00A5147D" w:rsidRPr="00244077">
        <w:rPr>
          <w:rFonts w:cstheme="minorHAnsi"/>
          <w:sz w:val="24"/>
          <w:szCs w:val="24"/>
          <w:lang w:val="el-GR"/>
        </w:rPr>
        <w:t xml:space="preserve"> </w:t>
      </w:r>
      <w:r>
        <w:rPr>
          <w:rFonts w:cstheme="minorHAnsi"/>
          <w:sz w:val="24"/>
          <w:szCs w:val="24"/>
          <w:lang w:val="el-GR"/>
        </w:rPr>
        <w:t>τιμωρείται</w:t>
      </w:r>
      <w:r w:rsidRPr="00244077">
        <w:rPr>
          <w:rFonts w:cstheme="minorHAnsi"/>
          <w:sz w:val="24"/>
          <w:szCs w:val="24"/>
          <w:lang w:val="el-GR"/>
        </w:rPr>
        <w:t xml:space="preserve"> </w:t>
      </w:r>
      <w:r>
        <w:rPr>
          <w:rFonts w:cstheme="minorHAnsi"/>
          <w:sz w:val="24"/>
          <w:szCs w:val="24"/>
          <w:lang w:val="el-GR"/>
        </w:rPr>
        <w:t>με</w:t>
      </w:r>
      <w:r w:rsidRPr="00244077">
        <w:rPr>
          <w:rFonts w:cstheme="minorHAnsi"/>
          <w:sz w:val="24"/>
          <w:szCs w:val="24"/>
          <w:lang w:val="el-GR"/>
        </w:rPr>
        <w:t xml:space="preserve"> </w:t>
      </w:r>
      <w:r>
        <w:rPr>
          <w:rFonts w:cstheme="minorHAnsi"/>
          <w:sz w:val="24"/>
          <w:szCs w:val="24"/>
          <w:lang w:val="el-GR"/>
        </w:rPr>
        <w:t>πρόστιμο</w:t>
      </w:r>
      <w:r w:rsidR="00A5147D" w:rsidRPr="00244077">
        <w:rPr>
          <w:rFonts w:cstheme="minorHAnsi"/>
          <w:sz w:val="24"/>
          <w:szCs w:val="24"/>
          <w:lang w:val="el-GR"/>
        </w:rPr>
        <w:t xml:space="preserve"> (</w:t>
      </w:r>
      <w:r>
        <w:rPr>
          <w:rFonts w:cstheme="minorHAnsi"/>
          <w:sz w:val="24"/>
          <w:szCs w:val="24"/>
          <w:lang w:val="el-GR"/>
        </w:rPr>
        <w:t>μέχρι</w:t>
      </w:r>
      <w:r w:rsidR="00A5147D" w:rsidRPr="00244077">
        <w:rPr>
          <w:rFonts w:cstheme="minorHAnsi"/>
          <w:sz w:val="24"/>
          <w:szCs w:val="24"/>
          <w:lang w:val="el-GR"/>
        </w:rPr>
        <w:t xml:space="preserve"> €5 000 </w:t>
      </w:r>
      <w:r>
        <w:rPr>
          <w:rFonts w:cstheme="minorHAnsi"/>
          <w:sz w:val="24"/>
          <w:szCs w:val="24"/>
          <w:lang w:val="el-GR"/>
        </w:rPr>
        <w:t>και</w:t>
      </w:r>
      <w:r w:rsidRPr="00244077">
        <w:rPr>
          <w:rFonts w:cstheme="minorHAnsi"/>
          <w:sz w:val="24"/>
          <w:szCs w:val="24"/>
          <w:lang w:val="el-GR"/>
        </w:rPr>
        <w:t xml:space="preserve"> </w:t>
      </w:r>
      <w:r>
        <w:rPr>
          <w:rFonts w:cstheme="minorHAnsi"/>
          <w:sz w:val="24"/>
          <w:szCs w:val="24"/>
          <w:lang w:val="el-GR"/>
        </w:rPr>
        <w:t>μέχρι</w:t>
      </w:r>
      <w:r w:rsidR="00A5147D" w:rsidRPr="00244077">
        <w:rPr>
          <w:rFonts w:cstheme="minorHAnsi"/>
          <w:sz w:val="24"/>
          <w:szCs w:val="24"/>
          <w:lang w:val="el-GR"/>
        </w:rPr>
        <w:t xml:space="preserve"> €100 </w:t>
      </w:r>
      <w:r>
        <w:rPr>
          <w:rFonts w:cstheme="minorHAnsi"/>
          <w:sz w:val="24"/>
          <w:szCs w:val="24"/>
          <w:lang w:val="el-GR"/>
        </w:rPr>
        <w:t>για κάθε μέρα συνέχισης της παράλειψης</w:t>
      </w:r>
      <w:r w:rsidR="00A5147D" w:rsidRPr="00244077">
        <w:rPr>
          <w:rFonts w:cstheme="minorHAnsi"/>
          <w:sz w:val="24"/>
          <w:szCs w:val="24"/>
          <w:lang w:val="el-GR"/>
        </w:rPr>
        <w:t xml:space="preserve">) </w:t>
      </w:r>
      <w:r>
        <w:rPr>
          <w:rFonts w:cstheme="minorHAnsi"/>
          <w:sz w:val="24"/>
          <w:szCs w:val="24"/>
          <w:lang w:val="el-GR"/>
        </w:rPr>
        <w:t>και φυλάκιση</w:t>
      </w:r>
      <w:r w:rsidR="00A5147D" w:rsidRPr="00244077">
        <w:rPr>
          <w:rFonts w:cstheme="minorHAnsi"/>
          <w:sz w:val="24"/>
          <w:szCs w:val="24"/>
          <w:lang w:val="el-GR"/>
        </w:rPr>
        <w:t xml:space="preserve"> (</w:t>
      </w:r>
      <w:r>
        <w:rPr>
          <w:rFonts w:cstheme="minorHAnsi"/>
          <w:sz w:val="24"/>
          <w:szCs w:val="24"/>
          <w:lang w:val="el-GR"/>
        </w:rPr>
        <w:t>μέχρι ένα χρόνο</w:t>
      </w:r>
      <w:r w:rsidR="00A5147D" w:rsidRPr="00244077">
        <w:rPr>
          <w:rFonts w:cstheme="minorHAnsi"/>
          <w:sz w:val="24"/>
          <w:szCs w:val="24"/>
          <w:lang w:val="el-GR"/>
        </w:rPr>
        <w:t xml:space="preserve">). </w:t>
      </w:r>
      <w:r>
        <w:rPr>
          <w:rFonts w:cstheme="minorHAnsi"/>
          <w:sz w:val="24"/>
          <w:szCs w:val="24"/>
          <w:lang w:val="el-GR"/>
        </w:rPr>
        <w:t>Πρόστιμο</w:t>
      </w:r>
      <w:r w:rsidRPr="004F79C1">
        <w:rPr>
          <w:rFonts w:cstheme="minorHAnsi"/>
          <w:sz w:val="24"/>
          <w:szCs w:val="24"/>
          <w:lang w:val="el-GR"/>
        </w:rPr>
        <w:t xml:space="preserve"> </w:t>
      </w:r>
      <w:r>
        <w:rPr>
          <w:rFonts w:cstheme="minorHAnsi"/>
          <w:sz w:val="24"/>
          <w:szCs w:val="24"/>
          <w:lang w:val="el-GR"/>
        </w:rPr>
        <w:t>που</w:t>
      </w:r>
      <w:r w:rsidRPr="004F79C1">
        <w:rPr>
          <w:rFonts w:cstheme="minorHAnsi"/>
          <w:sz w:val="24"/>
          <w:szCs w:val="24"/>
          <w:lang w:val="el-GR"/>
        </w:rPr>
        <w:t xml:space="preserve"> </w:t>
      </w:r>
      <w:r>
        <w:rPr>
          <w:rFonts w:cstheme="minorHAnsi"/>
          <w:sz w:val="24"/>
          <w:szCs w:val="24"/>
          <w:lang w:val="el-GR"/>
        </w:rPr>
        <w:t>δεν</w:t>
      </w:r>
      <w:r w:rsidRPr="004F79C1">
        <w:rPr>
          <w:rFonts w:cstheme="minorHAnsi"/>
          <w:sz w:val="24"/>
          <w:szCs w:val="24"/>
          <w:lang w:val="el-GR"/>
        </w:rPr>
        <w:t xml:space="preserve"> </w:t>
      </w:r>
      <w:r>
        <w:rPr>
          <w:rFonts w:cstheme="minorHAnsi"/>
          <w:sz w:val="24"/>
          <w:szCs w:val="24"/>
          <w:lang w:val="el-GR"/>
        </w:rPr>
        <w:t>υπερβαίνει</w:t>
      </w:r>
      <w:r w:rsidRPr="004F79C1">
        <w:rPr>
          <w:rFonts w:cstheme="minorHAnsi"/>
          <w:sz w:val="24"/>
          <w:szCs w:val="24"/>
          <w:lang w:val="el-GR"/>
        </w:rPr>
        <w:t xml:space="preserve"> </w:t>
      </w:r>
      <w:r w:rsidR="00A5147D" w:rsidRPr="004F79C1">
        <w:rPr>
          <w:rFonts w:cstheme="minorHAnsi"/>
          <w:sz w:val="24"/>
          <w:szCs w:val="24"/>
          <w:lang w:val="el-GR"/>
        </w:rPr>
        <w:t>€5</w:t>
      </w:r>
      <w:r w:rsidR="00A5147D" w:rsidRPr="004E251E">
        <w:rPr>
          <w:rFonts w:cstheme="minorHAnsi"/>
          <w:sz w:val="24"/>
          <w:szCs w:val="24"/>
        </w:rPr>
        <w:t> </w:t>
      </w:r>
      <w:r w:rsidR="00A5147D" w:rsidRPr="004F79C1">
        <w:rPr>
          <w:rFonts w:cstheme="minorHAnsi"/>
          <w:sz w:val="24"/>
          <w:szCs w:val="24"/>
          <w:lang w:val="el-GR"/>
        </w:rPr>
        <w:t xml:space="preserve">125 </w:t>
      </w:r>
      <w:r>
        <w:rPr>
          <w:rFonts w:cstheme="minorHAnsi"/>
          <w:sz w:val="24"/>
          <w:szCs w:val="24"/>
          <w:lang w:val="el-GR"/>
        </w:rPr>
        <w:t>επιβάλλεται</w:t>
      </w:r>
      <w:r w:rsidRPr="004F79C1">
        <w:rPr>
          <w:rFonts w:cstheme="minorHAnsi"/>
          <w:sz w:val="24"/>
          <w:szCs w:val="24"/>
          <w:lang w:val="el-GR"/>
        </w:rPr>
        <w:t xml:space="preserve"> </w:t>
      </w:r>
      <w:r>
        <w:rPr>
          <w:rFonts w:cstheme="minorHAnsi"/>
          <w:sz w:val="24"/>
          <w:szCs w:val="24"/>
          <w:lang w:val="el-GR"/>
        </w:rPr>
        <w:t>στην</w:t>
      </w:r>
      <w:r w:rsidRPr="004F79C1">
        <w:rPr>
          <w:rFonts w:cstheme="minorHAnsi"/>
          <w:sz w:val="24"/>
          <w:szCs w:val="24"/>
          <w:lang w:val="el-GR"/>
        </w:rPr>
        <w:t xml:space="preserve"> </w:t>
      </w:r>
      <w:r>
        <w:rPr>
          <w:rFonts w:cstheme="minorHAnsi"/>
          <w:sz w:val="24"/>
          <w:szCs w:val="24"/>
          <w:lang w:val="el-GR"/>
        </w:rPr>
        <w:t>περίπτωση</w:t>
      </w:r>
      <w:r w:rsidRPr="004F79C1">
        <w:rPr>
          <w:rFonts w:cstheme="minorHAnsi"/>
          <w:sz w:val="24"/>
          <w:szCs w:val="24"/>
          <w:lang w:val="el-GR"/>
        </w:rPr>
        <w:t xml:space="preserve"> </w:t>
      </w:r>
      <w:r>
        <w:rPr>
          <w:rFonts w:cstheme="minorHAnsi"/>
          <w:sz w:val="24"/>
          <w:szCs w:val="24"/>
          <w:lang w:val="el-GR"/>
        </w:rPr>
        <w:t>ψευδούς</w:t>
      </w:r>
      <w:r w:rsidRPr="004F79C1">
        <w:rPr>
          <w:rFonts w:cstheme="minorHAnsi"/>
          <w:sz w:val="24"/>
          <w:szCs w:val="24"/>
          <w:lang w:val="el-GR"/>
        </w:rPr>
        <w:t xml:space="preserve"> </w:t>
      </w:r>
      <w:r>
        <w:rPr>
          <w:rFonts w:cstheme="minorHAnsi"/>
          <w:sz w:val="24"/>
          <w:szCs w:val="24"/>
          <w:lang w:val="el-GR"/>
        </w:rPr>
        <w:t>δήλωσης</w:t>
      </w:r>
      <w:r w:rsidR="00A5147D" w:rsidRPr="004F79C1">
        <w:rPr>
          <w:rFonts w:cstheme="minorHAnsi"/>
          <w:sz w:val="24"/>
          <w:szCs w:val="24"/>
          <w:lang w:val="el-GR"/>
        </w:rPr>
        <w:t xml:space="preserve">. </w:t>
      </w:r>
      <w:r>
        <w:rPr>
          <w:rFonts w:cstheme="minorHAnsi"/>
          <w:sz w:val="24"/>
          <w:szCs w:val="24"/>
          <w:lang w:val="en-US"/>
        </w:rPr>
        <w:t>O</w:t>
      </w:r>
      <w:proofErr w:type="spellStart"/>
      <w:r>
        <w:rPr>
          <w:rFonts w:cstheme="minorHAnsi"/>
          <w:sz w:val="24"/>
          <w:szCs w:val="24"/>
          <w:lang w:val="el-GR"/>
        </w:rPr>
        <w:t>ποιοσδήποτε</w:t>
      </w:r>
      <w:proofErr w:type="spellEnd"/>
      <w:r w:rsidRPr="00244077">
        <w:rPr>
          <w:rFonts w:cstheme="minorHAnsi"/>
          <w:sz w:val="24"/>
          <w:szCs w:val="24"/>
          <w:lang w:val="el-GR"/>
        </w:rPr>
        <w:t xml:space="preserve"> </w:t>
      </w:r>
      <w:r>
        <w:rPr>
          <w:rFonts w:cstheme="minorHAnsi"/>
          <w:sz w:val="24"/>
          <w:szCs w:val="24"/>
          <w:lang w:val="el-GR"/>
        </w:rPr>
        <w:t>παρεμποδίζει</w:t>
      </w:r>
      <w:r w:rsidRPr="00244077">
        <w:rPr>
          <w:rFonts w:cstheme="minorHAnsi"/>
          <w:sz w:val="24"/>
          <w:szCs w:val="24"/>
          <w:lang w:val="el-GR"/>
        </w:rPr>
        <w:t xml:space="preserve"> </w:t>
      </w:r>
      <w:r>
        <w:rPr>
          <w:rFonts w:cstheme="minorHAnsi"/>
          <w:sz w:val="24"/>
          <w:szCs w:val="24"/>
          <w:lang w:val="el-GR"/>
        </w:rPr>
        <w:t>την</w:t>
      </w:r>
      <w:r w:rsidRPr="00244077">
        <w:rPr>
          <w:rFonts w:cstheme="minorHAnsi"/>
          <w:sz w:val="24"/>
          <w:szCs w:val="24"/>
          <w:lang w:val="el-GR"/>
        </w:rPr>
        <w:t xml:space="preserve"> </w:t>
      </w:r>
      <w:r>
        <w:rPr>
          <w:rFonts w:cstheme="minorHAnsi"/>
          <w:sz w:val="24"/>
          <w:szCs w:val="24"/>
          <w:lang w:val="el-GR"/>
        </w:rPr>
        <w:t>ελεγκτική</w:t>
      </w:r>
      <w:r w:rsidRPr="00244077">
        <w:rPr>
          <w:rFonts w:cstheme="minorHAnsi"/>
          <w:sz w:val="24"/>
          <w:szCs w:val="24"/>
          <w:lang w:val="el-GR"/>
        </w:rPr>
        <w:t xml:space="preserve"> </w:t>
      </w:r>
      <w:r>
        <w:rPr>
          <w:rFonts w:cstheme="minorHAnsi"/>
          <w:sz w:val="24"/>
          <w:szCs w:val="24"/>
          <w:lang w:val="el-GR"/>
        </w:rPr>
        <w:t>εργασία</w:t>
      </w:r>
      <w:r w:rsidR="00A5147D" w:rsidRPr="00244077">
        <w:rPr>
          <w:rFonts w:cstheme="minorHAnsi"/>
          <w:sz w:val="24"/>
          <w:szCs w:val="24"/>
          <w:lang w:val="el-GR"/>
        </w:rPr>
        <w:t xml:space="preserve"> </w:t>
      </w:r>
      <w:r>
        <w:rPr>
          <w:rFonts w:cstheme="minorHAnsi"/>
          <w:sz w:val="24"/>
          <w:szCs w:val="24"/>
          <w:lang w:val="el-GR"/>
        </w:rPr>
        <w:t>ή</w:t>
      </w:r>
      <w:r w:rsidRPr="00244077">
        <w:rPr>
          <w:rFonts w:cstheme="minorHAnsi"/>
          <w:sz w:val="24"/>
          <w:szCs w:val="24"/>
          <w:lang w:val="el-GR"/>
        </w:rPr>
        <w:t xml:space="preserve"> </w:t>
      </w:r>
      <w:r>
        <w:rPr>
          <w:rFonts w:cstheme="minorHAnsi"/>
          <w:sz w:val="24"/>
          <w:szCs w:val="24"/>
          <w:lang w:val="el-GR"/>
        </w:rPr>
        <w:t>αρνείται</w:t>
      </w:r>
      <w:r w:rsidRPr="00244077">
        <w:rPr>
          <w:rFonts w:cstheme="minorHAnsi"/>
          <w:sz w:val="24"/>
          <w:szCs w:val="24"/>
          <w:lang w:val="el-GR"/>
        </w:rPr>
        <w:t xml:space="preserve"> </w:t>
      </w:r>
      <w:r>
        <w:rPr>
          <w:rFonts w:cstheme="minorHAnsi"/>
          <w:sz w:val="24"/>
          <w:szCs w:val="24"/>
          <w:lang w:val="el-GR"/>
        </w:rPr>
        <w:t>να</w:t>
      </w:r>
      <w:r w:rsidRPr="00244077">
        <w:rPr>
          <w:rFonts w:cstheme="minorHAnsi"/>
          <w:sz w:val="24"/>
          <w:szCs w:val="24"/>
          <w:lang w:val="el-GR"/>
        </w:rPr>
        <w:t xml:space="preserve"> </w:t>
      </w:r>
      <w:r>
        <w:rPr>
          <w:rFonts w:cstheme="minorHAnsi"/>
          <w:sz w:val="24"/>
          <w:szCs w:val="24"/>
          <w:lang w:val="el-GR"/>
        </w:rPr>
        <w:t>παρέχει</w:t>
      </w:r>
      <w:r w:rsidRPr="00244077">
        <w:rPr>
          <w:rFonts w:cstheme="minorHAnsi"/>
          <w:sz w:val="24"/>
          <w:szCs w:val="24"/>
          <w:lang w:val="el-GR"/>
        </w:rPr>
        <w:t xml:space="preserve"> </w:t>
      </w:r>
      <w:r>
        <w:rPr>
          <w:rFonts w:cstheme="minorHAnsi"/>
          <w:sz w:val="24"/>
          <w:szCs w:val="24"/>
          <w:lang w:val="el-GR"/>
        </w:rPr>
        <w:t>αποδεικτικά</w:t>
      </w:r>
      <w:r w:rsidRPr="00244077">
        <w:rPr>
          <w:rFonts w:cstheme="minorHAnsi"/>
          <w:sz w:val="24"/>
          <w:szCs w:val="24"/>
          <w:lang w:val="el-GR"/>
        </w:rPr>
        <w:t xml:space="preserve"> </w:t>
      </w:r>
      <w:r>
        <w:rPr>
          <w:rFonts w:cstheme="minorHAnsi"/>
          <w:sz w:val="24"/>
          <w:szCs w:val="24"/>
          <w:lang w:val="el-GR"/>
        </w:rPr>
        <w:t>στοιχεία</w:t>
      </w:r>
      <w:r w:rsidR="00A5147D" w:rsidRPr="00244077">
        <w:rPr>
          <w:rFonts w:cstheme="minorHAnsi"/>
          <w:sz w:val="24"/>
          <w:szCs w:val="24"/>
          <w:lang w:val="el-GR"/>
        </w:rPr>
        <w:t xml:space="preserve">, </w:t>
      </w:r>
      <w:r>
        <w:rPr>
          <w:rFonts w:cstheme="minorHAnsi"/>
          <w:sz w:val="24"/>
          <w:szCs w:val="24"/>
          <w:lang w:val="el-GR"/>
        </w:rPr>
        <w:t>θα</w:t>
      </w:r>
      <w:r w:rsidRPr="00244077">
        <w:rPr>
          <w:rFonts w:cstheme="minorHAnsi"/>
          <w:sz w:val="24"/>
          <w:szCs w:val="24"/>
          <w:lang w:val="el-GR"/>
        </w:rPr>
        <w:t xml:space="preserve"> </w:t>
      </w:r>
      <w:r>
        <w:rPr>
          <w:rFonts w:cstheme="minorHAnsi"/>
          <w:sz w:val="24"/>
          <w:szCs w:val="24"/>
          <w:lang w:val="el-GR"/>
        </w:rPr>
        <w:t>θεωρηθεί</w:t>
      </w:r>
      <w:r w:rsidRPr="00244077">
        <w:rPr>
          <w:rFonts w:cstheme="minorHAnsi"/>
          <w:sz w:val="24"/>
          <w:szCs w:val="24"/>
          <w:lang w:val="el-GR"/>
        </w:rPr>
        <w:t xml:space="preserve"> </w:t>
      </w:r>
      <w:r>
        <w:rPr>
          <w:rFonts w:cstheme="minorHAnsi"/>
          <w:sz w:val="24"/>
          <w:szCs w:val="24"/>
          <w:lang w:val="el-GR"/>
        </w:rPr>
        <w:t>ένοχος</w:t>
      </w:r>
      <w:r w:rsidR="00A5147D" w:rsidRPr="00244077">
        <w:rPr>
          <w:rFonts w:cstheme="minorHAnsi"/>
          <w:sz w:val="24"/>
          <w:szCs w:val="24"/>
          <w:lang w:val="el-GR"/>
        </w:rPr>
        <w:t xml:space="preserve"> </w:t>
      </w:r>
      <w:r>
        <w:rPr>
          <w:rFonts w:cstheme="minorHAnsi"/>
          <w:sz w:val="24"/>
          <w:szCs w:val="24"/>
          <w:lang w:val="el-GR"/>
        </w:rPr>
        <w:t>αδικήματος</w:t>
      </w:r>
      <w:r w:rsidR="00A5147D" w:rsidRPr="00244077">
        <w:rPr>
          <w:rFonts w:cstheme="minorHAnsi"/>
          <w:sz w:val="24"/>
          <w:szCs w:val="24"/>
          <w:lang w:val="el-GR"/>
        </w:rPr>
        <w:t xml:space="preserve"> </w:t>
      </w:r>
      <w:r>
        <w:rPr>
          <w:rFonts w:cstheme="minorHAnsi"/>
          <w:sz w:val="24"/>
          <w:szCs w:val="24"/>
          <w:lang w:val="el-GR"/>
        </w:rPr>
        <w:t>και</w:t>
      </w:r>
      <w:r w:rsidR="00A5147D" w:rsidRPr="00244077">
        <w:rPr>
          <w:rFonts w:cstheme="minorHAnsi"/>
          <w:sz w:val="24"/>
          <w:szCs w:val="24"/>
          <w:lang w:val="el-GR"/>
        </w:rPr>
        <w:t xml:space="preserve">, </w:t>
      </w:r>
      <w:r>
        <w:rPr>
          <w:rFonts w:cstheme="minorHAnsi"/>
          <w:sz w:val="24"/>
          <w:szCs w:val="24"/>
          <w:lang w:val="el-GR"/>
        </w:rPr>
        <w:t>αν</w:t>
      </w:r>
      <w:r w:rsidRPr="00244077">
        <w:rPr>
          <w:rFonts w:cstheme="minorHAnsi"/>
          <w:sz w:val="24"/>
          <w:szCs w:val="24"/>
          <w:lang w:val="el-GR"/>
        </w:rPr>
        <w:t xml:space="preserve"> </w:t>
      </w:r>
      <w:r>
        <w:rPr>
          <w:rFonts w:cstheme="minorHAnsi"/>
          <w:sz w:val="24"/>
          <w:szCs w:val="24"/>
          <w:lang w:val="el-GR"/>
        </w:rPr>
        <w:t>καταδικαστεί</w:t>
      </w:r>
      <w:r w:rsidR="00A5147D" w:rsidRPr="00244077">
        <w:rPr>
          <w:rFonts w:cstheme="minorHAnsi"/>
          <w:sz w:val="24"/>
          <w:szCs w:val="24"/>
          <w:lang w:val="el-GR"/>
        </w:rPr>
        <w:t xml:space="preserve">, </w:t>
      </w:r>
      <w:r>
        <w:rPr>
          <w:rFonts w:cstheme="minorHAnsi"/>
          <w:sz w:val="24"/>
          <w:szCs w:val="24"/>
          <w:lang w:val="el-GR"/>
        </w:rPr>
        <w:t>θα</w:t>
      </w:r>
      <w:r w:rsidRPr="00244077">
        <w:rPr>
          <w:rFonts w:cstheme="minorHAnsi"/>
          <w:sz w:val="24"/>
          <w:szCs w:val="24"/>
          <w:lang w:val="el-GR"/>
        </w:rPr>
        <w:t xml:space="preserve"> </w:t>
      </w:r>
      <w:r>
        <w:rPr>
          <w:rFonts w:cstheme="minorHAnsi"/>
          <w:sz w:val="24"/>
          <w:szCs w:val="24"/>
          <w:lang w:val="el-GR"/>
        </w:rPr>
        <w:t>του</w:t>
      </w:r>
      <w:r w:rsidRPr="00244077">
        <w:rPr>
          <w:rFonts w:cstheme="minorHAnsi"/>
          <w:sz w:val="24"/>
          <w:szCs w:val="24"/>
          <w:lang w:val="el-GR"/>
        </w:rPr>
        <w:t xml:space="preserve"> </w:t>
      </w:r>
      <w:r>
        <w:rPr>
          <w:rFonts w:cstheme="minorHAnsi"/>
          <w:sz w:val="24"/>
          <w:szCs w:val="24"/>
          <w:lang w:val="el-GR"/>
        </w:rPr>
        <w:t>επιβληθεί πρόστιμο που δεν υπερβαίνει</w:t>
      </w:r>
      <w:r w:rsidR="00A5147D" w:rsidRPr="00244077">
        <w:rPr>
          <w:rFonts w:cstheme="minorHAnsi"/>
          <w:sz w:val="24"/>
          <w:szCs w:val="24"/>
          <w:lang w:val="el-GR"/>
        </w:rPr>
        <w:t xml:space="preserve"> €5 000 </w:t>
      </w:r>
      <w:r>
        <w:rPr>
          <w:rFonts w:cstheme="minorHAnsi"/>
          <w:sz w:val="24"/>
          <w:szCs w:val="24"/>
          <w:lang w:val="el-GR"/>
        </w:rPr>
        <w:t>και</w:t>
      </w:r>
      <w:r w:rsidR="00A5147D" w:rsidRPr="00244077">
        <w:rPr>
          <w:rFonts w:cstheme="minorHAnsi"/>
          <w:sz w:val="24"/>
          <w:szCs w:val="24"/>
          <w:lang w:val="el-GR"/>
        </w:rPr>
        <w:t>/</w:t>
      </w:r>
      <w:r>
        <w:rPr>
          <w:rFonts w:cstheme="minorHAnsi"/>
          <w:sz w:val="24"/>
          <w:szCs w:val="24"/>
          <w:lang w:val="el-GR"/>
        </w:rPr>
        <w:t>ή</w:t>
      </w:r>
      <w:r w:rsidR="00A5147D" w:rsidRPr="00244077">
        <w:rPr>
          <w:rFonts w:cstheme="minorHAnsi"/>
          <w:sz w:val="24"/>
          <w:szCs w:val="24"/>
          <w:lang w:val="el-GR"/>
        </w:rPr>
        <w:t xml:space="preserve"> </w:t>
      </w:r>
      <w:r>
        <w:rPr>
          <w:rFonts w:cstheme="minorHAnsi"/>
          <w:sz w:val="24"/>
          <w:szCs w:val="24"/>
          <w:lang w:val="el-GR"/>
        </w:rPr>
        <w:t>ποινή φ</w:t>
      </w:r>
      <w:r w:rsidR="00FA32CD">
        <w:rPr>
          <w:rFonts w:cstheme="minorHAnsi"/>
          <w:sz w:val="24"/>
          <w:szCs w:val="24"/>
          <w:lang w:val="el-GR"/>
        </w:rPr>
        <w:t>υ</w:t>
      </w:r>
      <w:r>
        <w:rPr>
          <w:rFonts w:cstheme="minorHAnsi"/>
          <w:sz w:val="24"/>
          <w:szCs w:val="24"/>
          <w:lang w:val="el-GR"/>
        </w:rPr>
        <w:t>λάκισης</w:t>
      </w:r>
      <w:r w:rsidR="00A5147D" w:rsidRPr="00244077">
        <w:rPr>
          <w:rFonts w:cstheme="minorHAnsi"/>
          <w:sz w:val="24"/>
          <w:szCs w:val="24"/>
          <w:lang w:val="el-GR"/>
        </w:rPr>
        <w:t xml:space="preserve"> </w:t>
      </w:r>
      <w:r>
        <w:rPr>
          <w:rFonts w:cstheme="minorHAnsi"/>
          <w:sz w:val="24"/>
          <w:szCs w:val="24"/>
          <w:lang w:val="el-GR"/>
        </w:rPr>
        <w:t>που δεν υπερβαίνει τον ένα χρόνο</w:t>
      </w:r>
      <w:r w:rsidR="00A5147D" w:rsidRPr="00244077">
        <w:rPr>
          <w:rFonts w:cstheme="minorHAnsi"/>
          <w:sz w:val="24"/>
          <w:szCs w:val="24"/>
          <w:lang w:val="el-GR"/>
        </w:rPr>
        <w:t>.</w:t>
      </w:r>
    </w:p>
    <w:p w14:paraId="0441EAD1" w14:textId="77777777" w:rsidR="00A5147D" w:rsidRPr="00244077" w:rsidRDefault="00A5147D" w:rsidP="00A5147D">
      <w:pPr>
        <w:pBdr>
          <w:top w:val="nil"/>
          <w:left w:val="nil"/>
          <w:bottom w:val="nil"/>
          <w:right w:val="nil"/>
          <w:between w:val="nil"/>
          <w:bar w:val="nil"/>
        </w:pBdr>
        <w:tabs>
          <w:tab w:val="left" w:pos="709"/>
        </w:tabs>
        <w:rPr>
          <w:rFonts w:eastAsia="Calibri" w:cstheme="minorHAnsi"/>
          <w:sz w:val="24"/>
          <w:szCs w:val="24"/>
          <w:u w:color="000000"/>
          <w:bdr w:val="nil"/>
          <w:lang w:val="el-GR"/>
        </w:rPr>
      </w:pPr>
    </w:p>
    <w:p w14:paraId="6FDA11BD" w14:textId="79EFC209" w:rsidR="00A5147D" w:rsidRPr="00054436" w:rsidRDefault="00244077" w:rsidP="00A5147D">
      <w:pPr>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lang w:val="el-GR"/>
        </w:rPr>
      </w:pPr>
      <w:r>
        <w:rPr>
          <w:rFonts w:eastAsia="Calibri" w:cstheme="minorHAnsi"/>
          <w:sz w:val="24"/>
          <w:szCs w:val="24"/>
          <w:u w:color="000000"/>
          <w:bdr w:val="nil"/>
          <w:lang w:val="el-GR"/>
        </w:rPr>
        <w:t>Όπως</w:t>
      </w:r>
      <w:r w:rsidRPr="00C05720">
        <w:rPr>
          <w:rFonts w:eastAsia="Calibri" w:cstheme="minorHAnsi"/>
          <w:sz w:val="24"/>
          <w:szCs w:val="24"/>
          <w:u w:color="000000"/>
          <w:bdr w:val="nil"/>
          <w:lang w:val="el-GR"/>
        </w:rPr>
        <w:t xml:space="preserve"> </w:t>
      </w:r>
      <w:r>
        <w:rPr>
          <w:rFonts w:eastAsia="Calibri" w:cstheme="minorHAnsi"/>
          <w:sz w:val="24"/>
          <w:szCs w:val="24"/>
          <w:u w:color="000000"/>
          <w:bdr w:val="nil"/>
          <w:lang w:val="el-GR"/>
        </w:rPr>
        <w:t>έχει</w:t>
      </w:r>
      <w:r w:rsidRPr="00C05720">
        <w:rPr>
          <w:rFonts w:eastAsia="Calibri" w:cstheme="minorHAnsi"/>
          <w:sz w:val="24"/>
          <w:szCs w:val="24"/>
          <w:u w:color="000000"/>
          <w:bdr w:val="nil"/>
          <w:lang w:val="el-GR"/>
        </w:rPr>
        <w:t xml:space="preserve"> </w:t>
      </w:r>
      <w:r>
        <w:rPr>
          <w:rFonts w:eastAsia="Calibri" w:cstheme="minorHAnsi"/>
          <w:sz w:val="24"/>
          <w:szCs w:val="24"/>
          <w:u w:color="000000"/>
          <w:bdr w:val="nil"/>
          <w:lang w:val="el-GR"/>
        </w:rPr>
        <w:t>ήδη</w:t>
      </w:r>
      <w:r w:rsidRPr="00C05720">
        <w:rPr>
          <w:rFonts w:eastAsia="Calibri" w:cstheme="minorHAnsi"/>
          <w:sz w:val="24"/>
          <w:szCs w:val="24"/>
          <w:u w:color="000000"/>
          <w:bdr w:val="nil"/>
          <w:lang w:val="el-GR"/>
        </w:rPr>
        <w:t xml:space="preserve"> </w:t>
      </w:r>
      <w:r>
        <w:rPr>
          <w:rFonts w:eastAsia="Calibri" w:cstheme="minorHAnsi"/>
          <w:sz w:val="24"/>
          <w:szCs w:val="24"/>
          <w:u w:color="000000"/>
          <w:bdr w:val="nil"/>
          <w:lang w:val="el-GR"/>
        </w:rPr>
        <w:t>τονισθεί</w:t>
      </w:r>
      <w:r w:rsidR="00A5147D" w:rsidRPr="00C05720">
        <w:rPr>
          <w:rFonts w:eastAsia="Calibri" w:cstheme="minorHAnsi"/>
          <w:sz w:val="24"/>
          <w:szCs w:val="24"/>
          <w:u w:color="000000"/>
          <w:bdr w:val="nil"/>
          <w:lang w:val="el-GR"/>
        </w:rPr>
        <w:t xml:space="preserve">, </w:t>
      </w:r>
      <w:r>
        <w:rPr>
          <w:rFonts w:eastAsia="Calibri" w:cstheme="minorHAnsi"/>
          <w:sz w:val="24"/>
          <w:szCs w:val="24"/>
          <w:u w:color="000000"/>
          <w:bdr w:val="nil"/>
          <w:lang w:val="el-GR"/>
        </w:rPr>
        <w:t>υπ</w:t>
      </w:r>
      <w:r w:rsidR="00C05720">
        <w:rPr>
          <w:rFonts w:eastAsia="Calibri" w:cstheme="minorHAnsi"/>
          <w:sz w:val="24"/>
          <w:szCs w:val="24"/>
          <w:u w:color="000000"/>
          <w:bdr w:val="nil"/>
          <w:lang w:val="el-GR"/>
        </w:rPr>
        <w:t>άρχει</w:t>
      </w:r>
      <w:r w:rsidR="00C05720" w:rsidRPr="00C05720">
        <w:rPr>
          <w:rFonts w:eastAsia="Calibri" w:cstheme="minorHAnsi"/>
          <w:sz w:val="24"/>
          <w:szCs w:val="24"/>
          <w:u w:color="000000"/>
          <w:bdr w:val="nil"/>
          <w:lang w:val="el-GR"/>
        </w:rPr>
        <w:t xml:space="preserve"> </w:t>
      </w:r>
      <w:r w:rsidR="00FA32CD">
        <w:rPr>
          <w:rFonts w:eastAsia="Calibri" w:cstheme="minorHAnsi"/>
          <w:sz w:val="24"/>
          <w:szCs w:val="24"/>
          <w:u w:color="000000"/>
          <w:bdr w:val="nil"/>
          <w:lang w:val="el-GR"/>
        </w:rPr>
        <w:t xml:space="preserve">μια </w:t>
      </w:r>
      <w:r w:rsidR="00C05720">
        <w:rPr>
          <w:rFonts w:eastAsia="Calibri" w:cstheme="minorHAnsi"/>
          <w:sz w:val="24"/>
          <w:szCs w:val="24"/>
          <w:u w:color="000000"/>
          <w:bdr w:val="nil"/>
          <w:lang w:val="el-GR"/>
        </w:rPr>
        <w:t>πληθώρα</w:t>
      </w:r>
      <w:r w:rsidR="00C05720" w:rsidRPr="00C05720">
        <w:rPr>
          <w:rFonts w:eastAsia="Calibri" w:cstheme="minorHAnsi"/>
          <w:sz w:val="24"/>
          <w:szCs w:val="24"/>
          <w:u w:color="000000"/>
          <w:bdr w:val="nil"/>
          <w:lang w:val="el-GR"/>
        </w:rPr>
        <w:t xml:space="preserve"> </w:t>
      </w:r>
      <w:r w:rsidR="00C05720">
        <w:rPr>
          <w:rFonts w:eastAsia="Calibri" w:cstheme="minorHAnsi"/>
          <w:sz w:val="24"/>
          <w:szCs w:val="24"/>
          <w:u w:color="000000"/>
          <w:bdr w:val="nil"/>
          <w:lang w:val="el-GR"/>
        </w:rPr>
        <w:t>επιτροπών</w:t>
      </w:r>
      <w:r w:rsidR="00C05720" w:rsidRPr="00C05720">
        <w:rPr>
          <w:rFonts w:eastAsia="Calibri" w:cstheme="minorHAnsi"/>
          <w:sz w:val="24"/>
          <w:szCs w:val="24"/>
          <w:u w:color="000000"/>
          <w:bdr w:val="nil"/>
          <w:lang w:val="el-GR"/>
        </w:rPr>
        <w:t>/</w:t>
      </w:r>
      <w:r w:rsidR="00ED1259">
        <w:rPr>
          <w:rFonts w:eastAsia="Calibri" w:cstheme="minorHAnsi"/>
          <w:sz w:val="24"/>
          <w:szCs w:val="24"/>
          <w:u w:color="000000"/>
          <w:bdr w:val="nil"/>
          <w:lang w:val="el-GR"/>
        </w:rPr>
        <w:t>φορέων</w:t>
      </w:r>
      <w:r w:rsidR="00A5147D" w:rsidRPr="00C05720">
        <w:rPr>
          <w:rFonts w:eastAsia="Calibri" w:cstheme="minorHAnsi"/>
          <w:sz w:val="24"/>
          <w:szCs w:val="24"/>
          <w:u w:color="000000"/>
          <w:bdr w:val="nil"/>
          <w:lang w:val="el-GR"/>
        </w:rPr>
        <w:t xml:space="preserve"> </w:t>
      </w:r>
      <w:r w:rsidR="00C05720">
        <w:rPr>
          <w:rFonts w:eastAsia="Calibri" w:cstheme="minorHAnsi"/>
          <w:sz w:val="24"/>
          <w:szCs w:val="24"/>
          <w:u w:color="000000"/>
          <w:bdr w:val="nil"/>
          <w:lang w:val="el-GR"/>
        </w:rPr>
        <w:t>στο τομέα καταπολέμησης της διαφθοράς</w:t>
      </w:r>
      <w:r w:rsidR="00A5147D" w:rsidRPr="00C05720">
        <w:rPr>
          <w:rFonts w:eastAsia="Calibri" w:cstheme="minorHAnsi"/>
          <w:sz w:val="24"/>
          <w:szCs w:val="24"/>
          <w:u w:color="000000"/>
          <w:bdr w:val="nil"/>
          <w:lang w:val="el-GR"/>
        </w:rPr>
        <w:t xml:space="preserve"> </w:t>
      </w:r>
      <w:r w:rsidR="00C05720">
        <w:rPr>
          <w:rFonts w:eastAsia="Calibri" w:cstheme="minorHAnsi"/>
          <w:sz w:val="24"/>
          <w:szCs w:val="24"/>
          <w:u w:color="000000"/>
          <w:bdr w:val="nil"/>
          <w:lang w:val="el-GR"/>
        </w:rPr>
        <w:t xml:space="preserve">με </w:t>
      </w:r>
      <w:r w:rsidR="00ED1259">
        <w:rPr>
          <w:rFonts w:eastAsia="Calibri" w:cstheme="minorHAnsi"/>
          <w:sz w:val="24"/>
          <w:szCs w:val="24"/>
          <w:u w:color="000000"/>
          <w:bdr w:val="nil"/>
          <w:lang w:val="el-GR"/>
        </w:rPr>
        <w:t xml:space="preserve">διαφορετικούς όρους </w:t>
      </w:r>
      <w:r w:rsidR="00C05720">
        <w:rPr>
          <w:rFonts w:eastAsia="Calibri" w:cstheme="minorHAnsi"/>
          <w:sz w:val="24"/>
          <w:szCs w:val="24"/>
          <w:u w:color="000000"/>
          <w:bdr w:val="nil"/>
          <w:lang w:val="el-GR"/>
        </w:rPr>
        <w:t>εντολ</w:t>
      </w:r>
      <w:r w:rsidR="00ED1259">
        <w:rPr>
          <w:rFonts w:eastAsia="Calibri" w:cstheme="minorHAnsi"/>
          <w:sz w:val="24"/>
          <w:szCs w:val="24"/>
          <w:u w:color="000000"/>
          <w:bdr w:val="nil"/>
          <w:lang w:val="el-GR"/>
        </w:rPr>
        <w:t>ή</w:t>
      </w:r>
      <w:r w:rsidR="00C05720">
        <w:rPr>
          <w:rFonts w:eastAsia="Calibri" w:cstheme="minorHAnsi"/>
          <w:sz w:val="24"/>
          <w:szCs w:val="24"/>
          <w:u w:color="000000"/>
          <w:bdr w:val="nil"/>
          <w:lang w:val="el-GR"/>
        </w:rPr>
        <w:t>ς</w:t>
      </w:r>
      <w:r w:rsidR="00A5147D" w:rsidRPr="00C05720">
        <w:rPr>
          <w:rFonts w:eastAsia="Calibri" w:cstheme="minorHAnsi"/>
          <w:sz w:val="24"/>
          <w:szCs w:val="24"/>
          <w:u w:color="000000"/>
          <w:bdr w:val="nil"/>
          <w:lang w:val="el-GR"/>
        </w:rPr>
        <w:t xml:space="preserve">. </w:t>
      </w:r>
      <w:r w:rsidR="0052657C">
        <w:rPr>
          <w:rFonts w:eastAsia="Calibri" w:cstheme="minorHAnsi"/>
          <w:sz w:val="24"/>
          <w:szCs w:val="24"/>
          <w:u w:color="000000"/>
          <w:bdr w:val="nil"/>
          <w:lang w:val="el-GR"/>
        </w:rPr>
        <w:t>Αντί</w:t>
      </w:r>
      <w:r w:rsidR="0052657C" w:rsidRPr="0052657C">
        <w:rPr>
          <w:rFonts w:eastAsia="Calibri" w:cstheme="minorHAnsi"/>
          <w:sz w:val="24"/>
          <w:szCs w:val="24"/>
          <w:u w:color="000000"/>
          <w:bdr w:val="nil"/>
          <w:lang w:val="el-GR"/>
        </w:rPr>
        <w:t xml:space="preserve"> </w:t>
      </w:r>
      <w:r w:rsidR="0052657C">
        <w:rPr>
          <w:rFonts w:eastAsia="Calibri" w:cstheme="minorHAnsi"/>
          <w:sz w:val="24"/>
          <w:szCs w:val="24"/>
          <w:u w:color="000000"/>
          <w:bdr w:val="nil"/>
          <w:lang w:val="el-GR"/>
        </w:rPr>
        <w:t>αυτό</w:t>
      </w:r>
      <w:r w:rsidR="0052657C" w:rsidRPr="0052657C">
        <w:rPr>
          <w:rFonts w:eastAsia="Calibri" w:cstheme="minorHAnsi"/>
          <w:sz w:val="24"/>
          <w:szCs w:val="24"/>
          <w:u w:color="000000"/>
          <w:bdr w:val="nil"/>
          <w:lang w:val="el-GR"/>
        </w:rPr>
        <w:t xml:space="preserve"> </w:t>
      </w:r>
      <w:r w:rsidR="0052657C">
        <w:rPr>
          <w:rFonts w:eastAsia="Calibri" w:cstheme="minorHAnsi"/>
          <w:sz w:val="24"/>
          <w:szCs w:val="24"/>
          <w:u w:color="000000"/>
          <w:bdr w:val="nil"/>
          <w:lang w:val="el-GR"/>
        </w:rPr>
        <w:t>να</w:t>
      </w:r>
      <w:r w:rsidR="0052657C" w:rsidRPr="0052657C">
        <w:rPr>
          <w:rFonts w:eastAsia="Calibri" w:cstheme="minorHAnsi"/>
          <w:sz w:val="24"/>
          <w:szCs w:val="24"/>
          <w:u w:color="000000"/>
          <w:bdr w:val="nil"/>
          <w:lang w:val="el-GR"/>
        </w:rPr>
        <w:t xml:space="preserve"> </w:t>
      </w:r>
      <w:r w:rsidR="0052657C">
        <w:rPr>
          <w:rFonts w:eastAsia="Calibri" w:cstheme="minorHAnsi"/>
          <w:sz w:val="24"/>
          <w:szCs w:val="24"/>
          <w:u w:color="000000"/>
          <w:bdr w:val="nil"/>
          <w:lang w:val="el-GR"/>
        </w:rPr>
        <w:t>είναι</w:t>
      </w:r>
      <w:r w:rsidR="0052657C" w:rsidRPr="0052657C">
        <w:rPr>
          <w:rFonts w:eastAsia="Calibri" w:cstheme="minorHAnsi"/>
          <w:sz w:val="24"/>
          <w:szCs w:val="24"/>
          <w:u w:color="000000"/>
          <w:bdr w:val="nil"/>
          <w:lang w:val="el-GR"/>
        </w:rPr>
        <w:t xml:space="preserve"> </w:t>
      </w:r>
      <w:r w:rsidR="0052657C">
        <w:rPr>
          <w:rFonts w:eastAsia="Calibri" w:cstheme="minorHAnsi"/>
          <w:sz w:val="24"/>
          <w:szCs w:val="24"/>
          <w:u w:color="000000"/>
          <w:bdr w:val="nil"/>
          <w:lang w:val="el-GR"/>
        </w:rPr>
        <w:t>ένα</w:t>
      </w:r>
      <w:r w:rsidR="00ED1259">
        <w:rPr>
          <w:rFonts w:eastAsia="Calibri" w:cstheme="minorHAnsi"/>
          <w:sz w:val="24"/>
          <w:szCs w:val="24"/>
          <w:u w:color="000000"/>
          <w:bdr w:val="nil"/>
          <w:lang w:val="el-GR"/>
        </w:rPr>
        <w:t xml:space="preserve"> πλεονέκτημα</w:t>
      </w:r>
      <w:r w:rsidR="00A5147D" w:rsidRPr="0052657C">
        <w:rPr>
          <w:rFonts w:eastAsia="Calibri" w:cstheme="minorHAnsi"/>
          <w:sz w:val="24"/>
          <w:szCs w:val="24"/>
          <w:u w:color="000000"/>
          <w:bdr w:val="nil"/>
          <w:lang w:val="el-GR"/>
        </w:rPr>
        <w:t xml:space="preserve">, </w:t>
      </w:r>
      <w:r w:rsidR="0052657C">
        <w:rPr>
          <w:rFonts w:eastAsia="Calibri" w:cstheme="minorHAnsi"/>
          <w:sz w:val="24"/>
          <w:szCs w:val="24"/>
          <w:u w:color="000000"/>
          <w:bdr w:val="nil"/>
          <w:lang w:val="el-GR"/>
        </w:rPr>
        <w:t>παρουσιάζεται</w:t>
      </w:r>
      <w:r w:rsidR="0052657C" w:rsidRPr="0052657C">
        <w:rPr>
          <w:rFonts w:eastAsia="Calibri" w:cstheme="minorHAnsi"/>
          <w:sz w:val="24"/>
          <w:szCs w:val="24"/>
          <w:u w:color="000000"/>
          <w:bdr w:val="nil"/>
          <w:lang w:val="el-GR"/>
        </w:rPr>
        <w:t xml:space="preserve"> </w:t>
      </w:r>
      <w:r w:rsidR="0052657C">
        <w:rPr>
          <w:rFonts w:eastAsia="Calibri" w:cstheme="minorHAnsi"/>
          <w:sz w:val="24"/>
          <w:szCs w:val="24"/>
          <w:u w:color="000000"/>
          <w:bdr w:val="nil"/>
          <w:lang w:val="el-GR"/>
        </w:rPr>
        <w:t>σαν</w:t>
      </w:r>
      <w:r w:rsidR="0052657C" w:rsidRPr="0052657C">
        <w:rPr>
          <w:rFonts w:eastAsia="Calibri" w:cstheme="minorHAnsi"/>
          <w:sz w:val="24"/>
          <w:szCs w:val="24"/>
          <w:u w:color="000000"/>
          <w:bdr w:val="nil"/>
          <w:lang w:val="el-GR"/>
        </w:rPr>
        <w:t xml:space="preserve"> </w:t>
      </w:r>
      <w:r w:rsidR="0052657C">
        <w:rPr>
          <w:rFonts w:eastAsia="Calibri" w:cstheme="minorHAnsi"/>
          <w:sz w:val="24"/>
          <w:szCs w:val="24"/>
          <w:u w:color="000000"/>
          <w:bdr w:val="nil"/>
          <w:lang w:val="el-GR"/>
        </w:rPr>
        <w:t>μια</w:t>
      </w:r>
      <w:r w:rsidR="0052657C" w:rsidRPr="0052657C">
        <w:rPr>
          <w:rFonts w:eastAsia="Calibri" w:cstheme="minorHAnsi"/>
          <w:sz w:val="24"/>
          <w:szCs w:val="24"/>
          <w:u w:color="000000"/>
          <w:bdr w:val="nil"/>
          <w:lang w:val="el-GR"/>
        </w:rPr>
        <w:t xml:space="preserve"> </w:t>
      </w:r>
      <w:r w:rsidR="0052657C">
        <w:rPr>
          <w:rFonts w:eastAsia="Calibri" w:cstheme="minorHAnsi"/>
          <w:sz w:val="24"/>
          <w:szCs w:val="24"/>
          <w:u w:color="000000"/>
          <w:bdr w:val="nil"/>
          <w:lang w:val="el-GR"/>
        </w:rPr>
        <w:t>κύρια</w:t>
      </w:r>
      <w:r w:rsidR="0052657C" w:rsidRPr="0052657C">
        <w:rPr>
          <w:rFonts w:eastAsia="Calibri" w:cstheme="minorHAnsi"/>
          <w:sz w:val="24"/>
          <w:szCs w:val="24"/>
          <w:u w:color="000000"/>
          <w:bdr w:val="nil"/>
          <w:lang w:val="el-GR"/>
        </w:rPr>
        <w:t xml:space="preserve"> </w:t>
      </w:r>
      <w:r w:rsidR="0052657C">
        <w:rPr>
          <w:rFonts w:eastAsia="Calibri" w:cstheme="minorHAnsi"/>
          <w:sz w:val="24"/>
          <w:szCs w:val="24"/>
          <w:u w:color="000000"/>
          <w:bdr w:val="nil"/>
          <w:lang w:val="el-GR"/>
        </w:rPr>
        <w:t>αδυναμία</w:t>
      </w:r>
      <w:r w:rsidR="00A5147D" w:rsidRPr="0052657C">
        <w:rPr>
          <w:rFonts w:eastAsia="Calibri" w:cstheme="minorHAnsi"/>
          <w:sz w:val="24"/>
          <w:szCs w:val="24"/>
          <w:u w:color="000000"/>
          <w:bdr w:val="nil"/>
          <w:lang w:val="el-GR"/>
        </w:rPr>
        <w:t xml:space="preserve"> </w:t>
      </w:r>
      <w:r w:rsidR="0052657C">
        <w:rPr>
          <w:rFonts w:eastAsia="Calibri" w:cstheme="minorHAnsi"/>
          <w:sz w:val="24"/>
          <w:szCs w:val="24"/>
          <w:u w:color="000000"/>
          <w:bdr w:val="nil"/>
          <w:lang w:val="el-GR"/>
        </w:rPr>
        <w:t>του</w:t>
      </w:r>
      <w:r w:rsidR="0052657C" w:rsidRPr="0052657C">
        <w:rPr>
          <w:rFonts w:eastAsia="Calibri" w:cstheme="minorHAnsi"/>
          <w:sz w:val="24"/>
          <w:szCs w:val="24"/>
          <w:u w:color="000000"/>
          <w:bdr w:val="nil"/>
          <w:lang w:val="el-GR"/>
        </w:rPr>
        <w:t xml:space="preserve"> </w:t>
      </w:r>
      <w:r w:rsidR="0052657C">
        <w:rPr>
          <w:rFonts w:eastAsia="Calibri" w:cstheme="minorHAnsi"/>
          <w:sz w:val="24"/>
          <w:szCs w:val="24"/>
          <w:u w:color="000000"/>
          <w:bdr w:val="nil"/>
          <w:lang w:val="el-GR"/>
        </w:rPr>
        <w:t>συστήματος</w:t>
      </w:r>
      <w:r w:rsidR="0052657C" w:rsidRPr="0052657C">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 xml:space="preserve">ακεραιότητας και </w:t>
      </w:r>
      <w:r w:rsidR="0052657C">
        <w:rPr>
          <w:rFonts w:eastAsia="Calibri" w:cstheme="minorHAnsi"/>
          <w:sz w:val="24"/>
          <w:szCs w:val="24"/>
          <w:u w:color="000000"/>
          <w:bdr w:val="nil"/>
          <w:lang w:val="el-GR"/>
        </w:rPr>
        <w:t>κατά της διαφθοράς</w:t>
      </w:r>
      <w:r w:rsidR="00A5147D" w:rsidRPr="0052657C">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 xml:space="preserve">που κατά την </w:t>
      </w:r>
      <w:r w:rsidR="00FA32CD">
        <w:rPr>
          <w:rFonts w:eastAsia="Calibri" w:cstheme="minorHAnsi"/>
          <w:sz w:val="24"/>
          <w:szCs w:val="24"/>
          <w:u w:color="000000"/>
          <w:bdr w:val="nil"/>
          <w:lang w:val="el-GR"/>
        </w:rPr>
        <w:t>ά</w:t>
      </w:r>
      <w:r w:rsidR="00B1663B">
        <w:rPr>
          <w:rFonts w:eastAsia="Calibri" w:cstheme="minorHAnsi"/>
          <w:sz w:val="24"/>
          <w:szCs w:val="24"/>
          <w:u w:color="000000"/>
          <w:bdr w:val="nil"/>
          <w:lang w:val="el-GR"/>
        </w:rPr>
        <w:t>π</w:t>
      </w:r>
      <w:r w:rsidR="00FA32CD">
        <w:rPr>
          <w:rFonts w:eastAsia="Calibri" w:cstheme="minorHAnsi"/>
          <w:sz w:val="24"/>
          <w:szCs w:val="24"/>
          <w:u w:color="000000"/>
          <w:bdr w:val="nil"/>
          <w:lang w:val="el-GR"/>
        </w:rPr>
        <w:t>ο</w:t>
      </w:r>
      <w:r w:rsidR="00B1663B">
        <w:rPr>
          <w:rFonts w:eastAsia="Calibri" w:cstheme="minorHAnsi"/>
          <w:sz w:val="24"/>
          <w:szCs w:val="24"/>
          <w:u w:color="000000"/>
          <w:bdr w:val="nil"/>
          <w:lang w:val="el-GR"/>
        </w:rPr>
        <w:t>ψη των πολιτών στερείται συνοχή</w:t>
      </w:r>
      <w:r w:rsidR="00E24EA3">
        <w:rPr>
          <w:rFonts w:eastAsia="Calibri" w:cstheme="minorHAnsi"/>
          <w:sz w:val="24"/>
          <w:szCs w:val="24"/>
          <w:u w:color="000000"/>
          <w:bdr w:val="nil"/>
          <w:lang w:val="el-GR"/>
        </w:rPr>
        <w:t>ς</w:t>
      </w:r>
      <w:r w:rsidR="00B1663B">
        <w:rPr>
          <w:rFonts w:eastAsia="Calibri" w:cstheme="minorHAnsi"/>
          <w:sz w:val="24"/>
          <w:szCs w:val="24"/>
          <w:u w:color="000000"/>
          <w:bdr w:val="nil"/>
          <w:lang w:val="el-GR"/>
        </w:rPr>
        <w:t xml:space="preserve"> και αποτελεσματικότητα</w:t>
      </w:r>
      <w:r w:rsidR="00E24EA3">
        <w:rPr>
          <w:rFonts w:eastAsia="Calibri" w:cstheme="minorHAnsi"/>
          <w:sz w:val="24"/>
          <w:szCs w:val="24"/>
          <w:u w:color="000000"/>
          <w:bdr w:val="nil"/>
          <w:lang w:val="el-GR"/>
        </w:rPr>
        <w:t>ς</w:t>
      </w:r>
      <w:r w:rsidR="00A5147D" w:rsidRPr="0052657C">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Η</w:t>
      </w:r>
      <w:r w:rsidR="00B1663B" w:rsidRPr="004F79C1">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άποψη</w:t>
      </w:r>
      <w:r w:rsidR="00B1663B" w:rsidRPr="004F79C1">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αυτή</w:t>
      </w:r>
      <w:r w:rsidR="00B1663B" w:rsidRPr="004F79C1">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αντανακλάται</w:t>
      </w:r>
      <w:r w:rsidR="00B1663B" w:rsidRPr="004F79C1">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επίσης</w:t>
      </w:r>
      <w:r w:rsidR="00B1663B" w:rsidRPr="004F79C1">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σε</w:t>
      </w:r>
      <w:r w:rsidR="00B1663B" w:rsidRPr="004F79C1">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πολλαπλές</w:t>
      </w:r>
      <w:r w:rsidR="00E24EA3">
        <w:rPr>
          <w:rFonts w:eastAsia="Calibri" w:cstheme="minorHAnsi"/>
          <w:sz w:val="24"/>
          <w:szCs w:val="24"/>
          <w:u w:color="000000"/>
          <w:bdr w:val="nil"/>
          <w:lang w:val="el-GR"/>
        </w:rPr>
        <w:t xml:space="preserve"> επιτόπιες</w:t>
      </w:r>
      <w:r w:rsidR="00B1663B" w:rsidRPr="004F79C1">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συνεντεύξεις</w:t>
      </w:r>
      <w:r w:rsidR="00FC633E" w:rsidRPr="004F79C1">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Η</w:t>
      </w:r>
      <w:r w:rsidR="00B1663B" w:rsidRPr="00054436">
        <w:rPr>
          <w:rFonts w:eastAsia="Calibri" w:cstheme="minorHAnsi"/>
          <w:sz w:val="24"/>
          <w:szCs w:val="24"/>
          <w:u w:color="000000"/>
          <w:bdr w:val="nil"/>
          <w:lang w:val="el-GR"/>
        </w:rPr>
        <w:t xml:space="preserve"> </w:t>
      </w:r>
      <w:r w:rsidR="00A5147D" w:rsidRPr="004E251E">
        <w:rPr>
          <w:rFonts w:eastAsia="Calibri" w:cstheme="minorHAnsi"/>
          <w:sz w:val="24"/>
          <w:szCs w:val="24"/>
          <w:u w:color="000000"/>
          <w:bdr w:val="nil"/>
        </w:rPr>
        <w:t>GET</w:t>
      </w:r>
      <w:r w:rsidR="00A5147D"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απέχει</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από</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το</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να</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είναι</w:t>
      </w:r>
      <w:r w:rsidR="00B1663B" w:rsidRPr="00054436">
        <w:rPr>
          <w:rFonts w:eastAsia="Calibri" w:cstheme="minorHAnsi"/>
          <w:sz w:val="24"/>
          <w:szCs w:val="24"/>
          <w:u w:color="000000"/>
          <w:bdr w:val="nil"/>
          <w:lang w:val="el-GR"/>
        </w:rPr>
        <w:t xml:space="preserve"> </w:t>
      </w:r>
      <w:r w:rsidR="00E24EA3">
        <w:rPr>
          <w:rFonts w:eastAsia="Calibri" w:cstheme="minorHAnsi"/>
          <w:sz w:val="24"/>
          <w:szCs w:val="24"/>
          <w:u w:color="000000"/>
          <w:bdr w:val="nil"/>
          <w:lang w:val="el-GR"/>
        </w:rPr>
        <w:t xml:space="preserve">περιγραφική </w:t>
      </w:r>
      <w:r w:rsidR="00B1663B">
        <w:rPr>
          <w:rFonts w:eastAsia="Calibri" w:cstheme="minorHAnsi"/>
          <w:sz w:val="24"/>
          <w:szCs w:val="24"/>
          <w:u w:color="000000"/>
          <w:bdr w:val="nil"/>
          <w:lang w:val="el-GR"/>
        </w:rPr>
        <w:t>για</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το</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πώς</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η</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Κύπρος</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οργανώνει</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την</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θεσμική</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της</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διάταξη</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ωστόσο</w:t>
      </w:r>
      <w:r w:rsidR="00A5147D"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θεωρεί</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ότι</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η</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εμπειρία</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που</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έχει</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αναπτυχθεί</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μέχρι</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τώρα</w:t>
      </w:r>
      <w:r w:rsidR="00A5147D"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με</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μια</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πληθώρα</w:t>
      </w:r>
      <w:r w:rsidR="00B1663B" w:rsidRPr="00054436">
        <w:rPr>
          <w:rFonts w:eastAsia="Calibri" w:cstheme="minorHAnsi"/>
          <w:sz w:val="24"/>
          <w:szCs w:val="24"/>
          <w:u w:color="000000"/>
          <w:bdr w:val="nil"/>
          <w:lang w:val="el-GR"/>
        </w:rPr>
        <w:t xml:space="preserve"> </w:t>
      </w:r>
      <w:r w:rsidR="00B1663B">
        <w:rPr>
          <w:rFonts w:eastAsia="Calibri" w:cstheme="minorHAnsi"/>
          <w:sz w:val="24"/>
          <w:szCs w:val="24"/>
          <w:u w:color="000000"/>
          <w:bdr w:val="nil"/>
          <w:lang w:val="el-GR"/>
        </w:rPr>
        <w:t>επιτροπών</w:t>
      </w:r>
      <w:r w:rsidR="00B1663B" w:rsidRPr="00054436">
        <w:rPr>
          <w:rFonts w:eastAsia="Calibri" w:cstheme="minorHAnsi"/>
          <w:sz w:val="24"/>
          <w:szCs w:val="24"/>
          <w:u w:color="000000"/>
          <w:bdr w:val="nil"/>
          <w:lang w:val="el-GR"/>
        </w:rPr>
        <w:t>/</w:t>
      </w:r>
      <w:r w:rsidR="00B1663B">
        <w:rPr>
          <w:rFonts w:eastAsia="Calibri" w:cstheme="minorHAnsi"/>
          <w:sz w:val="24"/>
          <w:szCs w:val="24"/>
          <w:u w:color="000000"/>
          <w:bdr w:val="nil"/>
          <w:lang w:val="el-GR"/>
        </w:rPr>
        <w:t>οργάνων</w:t>
      </w:r>
      <w:r w:rsidR="00B1663B" w:rsidRPr="00054436">
        <w:rPr>
          <w:rFonts w:eastAsia="Calibri" w:cstheme="minorHAnsi"/>
          <w:sz w:val="24"/>
          <w:szCs w:val="24"/>
          <w:u w:color="000000"/>
          <w:bdr w:val="nil"/>
          <w:lang w:val="el-GR"/>
        </w:rPr>
        <w:t xml:space="preserve"> </w:t>
      </w:r>
      <w:r w:rsidR="00E24EA3">
        <w:rPr>
          <w:rFonts w:eastAsia="Calibri" w:cstheme="minorHAnsi"/>
          <w:sz w:val="24"/>
          <w:szCs w:val="24"/>
          <w:u w:color="000000"/>
          <w:bdr w:val="nil"/>
          <w:lang w:val="el-GR"/>
        </w:rPr>
        <w:t xml:space="preserve">εποπτείας </w:t>
      </w:r>
      <w:r w:rsidR="00054436">
        <w:rPr>
          <w:rFonts w:eastAsia="Calibri" w:cstheme="minorHAnsi"/>
          <w:sz w:val="24"/>
          <w:szCs w:val="24"/>
          <w:u w:color="000000"/>
          <w:bdr w:val="nil"/>
          <w:lang w:val="el-GR"/>
        </w:rPr>
        <w:t>πρέπει</w:t>
      </w:r>
      <w:r w:rsidR="00054436" w:rsidRPr="00054436">
        <w:rPr>
          <w:rFonts w:eastAsia="Calibri" w:cstheme="minorHAnsi"/>
          <w:sz w:val="24"/>
          <w:szCs w:val="24"/>
          <w:u w:color="000000"/>
          <w:bdr w:val="nil"/>
          <w:lang w:val="el-GR"/>
        </w:rPr>
        <w:t xml:space="preserve"> </w:t>
      </w:r>
      <w:r w:rsidR="00054436">
        <w:rPr>
          <w:rFonts w:eastAsia="Calibri" w:cstheme="minorHAnsi"/>
          <w:sz w:val="24"/>
          <w:szCs w:val="24"/>
          <w:u w:color="000000"/>
          <w:bdr w:val="nil"/>
          <w:lang w:val="el-GR"/>
        </w:rPr>
        <w:t>να</w:t>
      </w:r>
      <w:r w:rsidR="00054436" w:rsidRPr="00054436">
        <w:rPr>
          <w:rFonts w:eastAsia="Calibri" w:cstheme="minorHAnsi"/>
          <w:sz w:val="24"/>
          <w:szCs w:val="24"/>
          <w:u w:color="000000"/>
          <w:bdr w:val="nil"/>
          <w:lang w:val="el-GR"/>
        </w:rPr>
        <w:t xml:space="preserve"> </w:t>
      </w:r>
      <w:r w:rsidR="00054436">
        <w:rPr>
          <w:rFonts w:eastAsia="Calibri" w:cstheme="minorHAnsi"/>
          <w:sz w:val="24"/>
          <w:szCs w:val="24"/>
          <w:u w:color="000000"/>
          <w:bdr w:val="nil"/>
          <w:lang w:val="el-GR"/>
        </w:rPr>
        <w:t>αξιολογηθεί</w:t>
      </w:r>
      <w:r w:rsidR="00A5147D" w:rsidRPr="00054436">
        <w:rPr>
          <w:rFonts w:eastAsia="Calibri" w:cstheme="minorHAnsi"/>
          <w:sz w:val="24"/>
          <w:szCs w:val="24"/>
          <w:u w:color="000000"/>
          <w:bdr w:val="nil"/>
          <w:lang w:val="el-GR"/>
        </w:rPr>
        <w:t xml:space="preserve"> </w:t>
      </w:r>
      <w:r w:rsidR="00054436">
        <w:rPr>
          <w:rFonts w:eastAsia="Calibri" w:cstheme="minorHAnsi"/>
          <w:sz w:val="24"/>
          <w:szCs w:val="24"/>
          <w:u w:color="000000"/>
          <w:bdr w:val="nil"/>
          <w:lang w:val="el-GR"/>
        </w:rPr>
        <w:t xml:space="preserve">και εναλλακτικές λύσεις, </w:t>
      </w:r>
      <w:r w:rsidR="00E24EA3">
        <w:rPr>
          <w:rFonts w:eastAsia="Calibri" w:cstheme="minorHAnsi"/>
          <w:sz w:val="24"/>
          <w:szCs w:val="24"/>
          <w:u w:color="000000"/>
          <w:bdr w:val="nil"/>
          <w:lang w:val="el-GR"/>
        </w:rPr>
        <w:t xml:space="preserve">πρέπει να εξετασθούν </w:t>
      </w:r>
      <w:r w:rsidR="00054436">
        <w:rPr>
          <w:rFonts w:eastAsia="Calibri" w:cstheme="minorHAnsi"/>
          <w:sz w:val="24"/>
          <w:szCs w:val="24"/>
          <w:u w:color="000000"/>
          <w:bdr w:val="nil"/>
          <w:lang w:val="el-GR"/>
        </w:rPr>
        <w:t>όπως</w:t>
      </w:r>
      <w:r w:rsidR="00054436" w:rsidRPr="00054436">
        <w:rPr>
          <w:rFonts w:eastAsia="Calibri" w:cstheme="minorHAnsi"/>
          <w:sz w:val="24"/>
          <w:szCs w:val="24"/>
          <w:u w:color="000000"/>
          <w:bdr w:val="nil"/>
          <w:lang w:val="el-GR"/>
        </w:rPr>
        <w:t xml:space="preserve"> </w:t>
      </w:r>
      <w:r w:rsidR="00054436">
        <w:rPr>
          <w:rFonts w:eastAsia="Calibri" w:cstheme="minorHAnsi"/>
          <w:sz w:val="24"/>
          <w:szCs w:val="24"/>
          <w:u w:color="000000"/>
          <w:bdr w:val="nil"/>
          <w:lang w:val="el-GR"/>
        </w:rPr>
        <w:t>η ενοποίηση με ένα μικρότερο αριθμό και να αναλάβει τον ηγετικό ρόλο</w:t>
      </w:r>
      <w:r w:rsidR="00E24EA3" w:rsidRPr="00E24EA3">
        <w:rPr>
          <w:rFonts w:eastAsia="Calibri" w:cstheme="minorHAnsi"/>
          <w:sz w:val="24"/>
          <w:szCs w:val="24"/>
          <w:u w:color="000000"/>
          <w:bdr w:val="nil"/>
          <w:lang w:val="el-GR"/>
        </w:rPr>
        <w:t xml:space="preserve"> </w:t>
      </w:r>
      <w:r w:rsidR="00E24EA3">
        <w:rPr>
          <w:rFonts w:eastAsia="Calibri" w:cstheme="minorHAnsi"/>
          <w:sz w:val="24"/>
          <w:szCs w:val="24"/>
          <w:u w:color="000000"/>
          <w:bdr w:val="nil"/>
          <w:lang w:val="el-GR"/>
        </w:rPr>
        <w:t>ένας θεσμός</w:t>
      </w:r>
      <w:r w:rsidR="00A5147D" w:rsidRPr="00054436">
        <w:rPr>
          <w:rFonts w:eastAsia="Calibri" w:cstheme="minorHAnsi"/>
          <w:sz w:val="24"/>
          <w:szCs w:val="24"/>
          <w:u w:color="000000"/>
          <w:bdr w:val="nil"/>
          <w:lang w:val="el-GR"/>
        </w:rPr>
        <w:t xml:space="preserve">. </w:t>
      </w:r>
    </w:p>
    <w:p w14:paraId="1BE77A3F" w14:textId="77777777" w:rsidR="00A5147D" w:rsidRPr="00054436" w:rsidRDefault="00A5147D" w:rsidP="00A5147D">
      <w:pPr>
        <w:pStyle w:val="ListParagraph"/>
        <w:rPr>
          <w:rFonts w:eastAsia="Calibri" w:cstheme="minorHAnsi"/>
          <w:sz w:val="24"/>
          <w:szCs w:val="24"/>
          <w:u w:color="000000"/>
          <w:bdr w:val="nil"/>
          <w:lang w:val="el-GR"/>
        </w:rPr>
      </w:pPr>
    </w:p>
    <w:p w14:paraId="1A497CA9" w14:textId="480B93ED" w:rsidR="00A5147D" w:rsidRPr="00EC45E5" w:rsidRDefault="00054436" w:rsidP="00A5147D">
      <w:pPr>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lang w:val="el-GR"/>
        </w:rPr>
      </w:pPr>
      <w:r>
        <w:rPr>
          <w:rFonts w:eastAsia="Calibri" w:cstheme="minorHAnsi"/>
          <w:sz w:val="24"/>
          <w:szCs w:val="24"/>
          <w:u w:color="000000"/>
          <w:bdr w:val="nil"/>
          <w:lang w:val="el-GR"/>
        </w:rPr>
        <w:t>Η</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πρόσφατη</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δημιουργία</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της</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Αρχής</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Κατά</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της</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Διαφθοράς</w:t>
      </w:r>
      <w:r w:rsidR="00A5147D"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θεωρήθηκε</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από</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πολλούς από τους συνομιλητές που συναντήσαμε σαν μια ενθαρρυντική εξέλιξη</w:t>
      </w:r>
      <w:r w:rsidR="00A5147D"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Η</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Αρχή</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είν</w:t>
      </w:r>
      <w:r w:rsidR="00FA32CD">
        <w:rPr>
          <w:rFonts w:eastAsia="Calibri" w:cstheme="minorHAnsi"/>
          <w:sz w:val="24"/>
          <w:szCs w:val="24"/>
          <w:u w:color="000000"/>
          <w:bdr w:val="nil"/>
          <w:lang w:val="el-GR"/>
        </w:rPr>
        <w:t>α</w:t>
      </w:r>
      <w:r>
        <w:rPr>
          <w:rFonts w:eastAsia="Calibri" w:cstheme="minorHAnsi"/>
          <w:sz w:val="24"/>
          <w:szCs w:val="24"/>
          <w:u w:color="000000"/>
          <w:bdr w:val="nil"/>
          <w:lang w:val="el-GR"/>
        </w:rPr>
        <w:t>ι</w:t>
      </w:r>
      <w:r w:rsidRPr="00054436">
        <w:rPr>
          <w:rFonts w:eastAsia="Calibri" w:cstheme="minorHAnsi"/>
          <w:sz w:val="24"/>
          <w:szCs w:val="24"/>
          <w:u w:color="000000"/>
          <w:bdr w:val="nil"/>
          <w:lang w:val="el-GR"/>
        </w:rPr>
        <w:t xml:space="preserve"> </w:t>
      </w:r>
      <w:r w:rsidR="00E24EA3">
        <w:rPr>
          <w:rFonts w:eastAsia="Calibri" w:cstheme="minorHAnsi"/>
          <w:sz w:val="24"/>
          <w:szCs w:val="24"/>
          <w:u w:color="000000"/>
          <w:bdr w:val="nil"/>
          <w:lang w:val="el-GR"/>
        </w:rPr>
        <w:t xml:space="preserve">επιφορτισμένη </w:t>
      </w:r>
      <w:r>
        <w:rPr>
          <w:rFonts w:eastAsia="Calibri" w:cstheme="minorHAnsi"/>
          <w:sz w:val="24"/>
          <w:szCs w:val="24"/>
          <w:u w:color="000000"/>
          <w:bdr w:val="nil"/>
          <w:lang w:val="el-GR"/>
        </w:rPr>
        <w:t>τόσο</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με</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προληπτικά</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καθήκοντα</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όσο</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και</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με</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ερευνητικές</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εξουσίες</w:t>
      </w:r>
      <w:r w:rsidR="00A5147D"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και</w:t>
      </w:r>
      <w:r w:rsidRPr="00054436">
        <w:rPr>
          <w:rFonts w:eastAsia="Calibri" w:cstheme="minorHAnsi"/>
          <w:sz w:val="24"/>
          <w:szCs w:val="24"/>
          <w:u w:color="000000"/>
          <w:bdr w:val="nil"/>
          <w:lang w:val="el-GR"/>
        </w:rPr>
        <w:t xml:space="preserve"> </w:t>
      </w:r>
      <w:r>
        <w:rPr>
          <w:rFonts w:eastAsia="Calibri" w:cstheme="minorHAnsi"/>
          <w:sz w:val="24"/>
          <w:szCs w:val="24"/>
          <w:u w:color="000000"/>
          <w:bdr w:val="nil"/>
          <w:lang w:val="el-GR"/>
        </w:rPr>
        <w:t>έχει την κύρια ευθύνη στην επίβλεψη της υλοποίησης της Στρατηγικής Κατά της Διαφθοράς και</w:t>
      </w:r>
      <w:r w:rsidR="00FA32CD">
        <w:rPr>
          <w:rFonts w:eastAsia="Calibri" w:cstheme="minorHAnsi"/>
          <w:sz w:val="24"/>
          <w:szCs w:val="24"/>
          <w:u w:color="000000"/>
          <w:bdr w:val="nil"/>
          <w:lang w:val="el-GR"/>
        </w:rPr>
        <w:t xml:space="preserve"> </w:t>
      </w:r>
      <w:r>
        <w:rPr>
          <w:rFonts w:eastAsia="Calibri" w:cstheme="minorHAnsi"/>
          <w:sz w:val="24"/>
          <w:szCs w:val="24"/>
          <w:u w:color="000000"/>
          <w:bdr w:val="nil"/>
          <w:lang w:val="el-GR"/>
        </w:rPr>
        <w:t xml:space="preserve">του Σχεδίου Δράσης </w:t>
      </w:r>
      <w:r w:rsidR="007C3017">
        <w:rPr>
          <w:rFonts w:eastAsia="Calibri" w:cstheme="minorHAnsi"/>
          <w:sz w:val="24"/>
          <w:szCs w:val="24"/>
          <w:u w:color="000000"/>
          <w:bdr w:val="nil"/>
          <w:lang w:val="el-GR"/>
        </w:rPr>
        <w:t>της</w:t>
      </w:r>
      <w:r w:rsidR="00A5147D" w:rsidRPr="00054436">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Ωστόσο</w:t>
      </w:r>
      <w:r w:rsidR="00A5147D"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η</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Αρχή</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συστάθηκε</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δια</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νόμου</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στις</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αρχές</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του</w:t>
      </w:r>
      <w:r w:rsidR="007C3017" w:rsidRPr="007C3017">
        <w:rPr>
          <w:rFonts w:eastAsia="Calibri" w:cstheme="minorHAnsi"/>
          <w:sz w:val="24"/>
          <w:szCs w:val="24"/>
          <w:u w:color="000000"/>
          <w:bdr w:val="nil"/>
          <w:lang w:val="el-GR"/>
        </w:rPr>
        <w:t xml:space="preserve"> 2022</w:t>
      </w:r>
      <w:r w:rsidR="00A5147D"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και</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μόλις</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υιοθέτησε</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τους</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κανονισμούς</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λειτουργίας της</w:t>
      </w:r>
      <w:r w:rsidR="00A5147D"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το τέλος του ιδίου χρόνου</w:t>
      </w:r>
      <w:r w:rsidR="00A5147D" w:rsidRPr="004E251E">
        <w:rPr>
          <w:rStyle w:val="FootnoteReference"/>
          <w:rFonts w:eastAsia="Calibri" w:cstheme="minorHAnsi"/>
          <w:sz w:val="24"/>
          <w:szCs w:val="24"/>
          <w:u w:color="000000"/>
          <w:bdr w:val="nil"/>
        </w:rPr>
        <w:footnoteReference w:id="59"/>
      </w:r>
      <w:r w:rsidR="00A5147D"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και ακόμα προσλαμβάνει το προσωπικό της</w:t>
      </w:r>
      <w:r w:rsidR="00A5147D"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Η</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Αρχή</w:t>
      </w:r>
      <w:r w:rsidR="007C3017" w:rsidRPr="007C3017">
        <w:rPr>
          <w:rFonts w:eastAsia="Calibri" w:cstheme="minorHAnsi"/>
          <w:sz w:val="24"/>
          <w:szCs w:val="24"/>
          <w:u w:color="000000"/>
          <w:bdr w:val="nil"/>
          <w:lang w:val="el-GR"/>
        </w:rPr>
        <w:t xml:space="preserve"> </w:t>
      </w:r>
      <w:proofErr w:type="spellStart"/>
      <w:r w:rsidR="007C3017">
        <w:rPr>
          <w:rFonts w:eastAsia="Calibri" w:cstheme="minorHAnsi"/>
          <w:sz w:val="24"/>
          <w:szCs w:val="24"/>
          <w:u w:color="000000"/>
          <w:bdr w:val="nil"/>
          <w:lang w:val="el-GR"/>
        </w:rPr>
        <w:t>αναμένετο</w:t>
      </w:r>
      <w:proofErr w:type="spellEnd"/>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να</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ξεκινήσει</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την</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εργασία</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της</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στο</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πρώτο</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μισό του</w:t>
      </w:r>
      <w:r w:rsidR="00A5147D" w:rsidRPr="007C3017">
        <w:rPr>
          <w:rFonts w:eastAsia="Calibri" w:cstheme="minorHAnsi"/>
          <w:sz w:val="24"/>
          <w:szCs w:val="24"/>
          <w:u w:color="000000"/>
          <w:bdr w:val="nil"/>
          <w:lang w:val="el-GR"/>
        </w:rPr>
        <w:t xml:space="preserve"> 2023. </w:t>
      </w:r>
      <w:r w:rsidR="007C3017">
        <w:rPr>
          <w:rFonts w:eastAsia="Calibri" w:cstheme="minorHAnsi"/>
          <w:sz w:val="24"/>
          <w:szCs w:val="24"/>
          <w:u w:color="000000"/>
          <w:bdr w:val="nil"/>
          <w:lang w:val="el-GR"/>
        </w:rPr>
        <w:t>Κατά</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τον</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χρόνο</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της</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επίσκεψης</w:t>
      </w:r>
      <w:r w:rsidR="00A5147D"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ειπώθηκε</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ότι</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η</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Αρχή</w:t>
      </w:r>
      <w:r w:rsidR="00A5147D" w:rsidRPr="007C3017">
        <w:rPr>
          <w:rFonts w:eastAsia="Calibri" w:cstheme="minorHAnsi"/>
          <w:sz w:val="24"/>
          <w:szCs w:val="24"/>
          <w:u w:color="000000"/>
          <w:bdr w:val="nil"/>
          <w:lang w:val="el-GR"/>
        </w:rPr>
        <w:t xml:space="preserve"> </w:t>
      </w:r>
      <w:r w:rsidR="00FA32CD">
        <w:rPr>
          <w:rFonts w:eastAsia="Calibri" w:cstheme="minorHAnsi"/>
          <w:sz w:val="24"/>
          <w:szCs w:val="24"/>
          <w:u w:color="000000"/>
          <w:bdr w:val="nil"/>
          <w:lang w:val="el-GR"/>
        </w:rPr>
        <w:t xml:space="preserve">ήταν </w:t>
      </w:r>
      <w:r w:rsidR="007C3017">
        <w:rPr>
          <w:rFonts w:eastAsia="Calibri" w:cstheme="minorHAnsi"/>
          <w:sz w:val="24"/>
          <w:szCs w:val="24"/>
          <w:u w:color="000000"/>
          <w:bdr w:val="nil"/>
          <w:lang w:val="el-GR"/>
        </w:rPr>
        <w:t>υπερφορτωμένη</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με</w:t>
      </w:r>
      <w:r w:rsidR="007C3017" w:rsidRPr="007C3017">
        <w:rPr>
          <w:rFonts w:eastAsia="Calibri" w:cstheme="minorHAnsi"/>
          <w:sz w:val="24"/>
          <w:szCs w:val="24"/>
          <w:u w:color="000000"/>
          <w:bdr w:val="nil"/>
          <w:lang w:val="el-GR"/>
        </w:rPr>
        <w:t xml:space="preserve"> </w:t>
      </w:r>
      <w:r w:rsidR="00E24EA3">
        <w:rPr>
          <w:rFonts w:eastAsia="Calibri" w:cstheme="minorHAnsi"/>
          <w:sz w:val="24"/>
          <w:szCs w:val="24"/>
          <w:u w:color="000000"/>
          <w:bdr w:val="nil"/>
          <w:lang w:val="el-GR"/>
        </w:rPr>
        <w:t xml:space="preserve">καταγγελίες </w:t>
      </w:r>
      <w:r w:rsidR="007C3017">
        <w:rPr>
          <w:rFonts w:eastAsia="Calibri" w:cstheme="minorHAnsi"/>
          <w:sz w:val="24"/>
          <w:szCs w:val="24"/>
          <w:u w:color="000000"/>
          <w:bdr w:val="nil"/>
          <w:lang w:val="el-GR"/>
        </w:rPr>
        <w:t>από</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πολίτες</w:t>
      </w:r>
      <w:r w:rsidR="00A5147D"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και με ψηλές προσδοκίες του κοινού για τον ρόλο της</w:t>
      </w:r>
      <w:r w:rsidR="00A5147D"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όμως οι πόροι που ήταν στην διάθεση της ήταν περιορισμένοι</w:t>
      </w:r>
      <w:r w:rsidR="00A5147D"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Από</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άποψη</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προσωπικού</w:t>
      </w:r>
      <w:r w:rsidR="00D249CC"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υπήρχε</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ένας</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νομικός</w:t>
      </w:r>
      <w:r w:rsidR="007C3017"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σύμβουλος</w:t>
      </w:r>
      <w:r w:rsidR="00A5147D"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ένας διοικητικός λειτουργός</w:t>
      </w:r>
      <w:r w:rsidR="00A5147D"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και δύο άτομα με συμβόλαιο</w:t>
      </w:r>
      <w:r w:rsidR="00A5147D" w:rsidRPr="007C3017">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Οι</w:t>
      </w:r>
      <w:r w:rsidR="007C3017" w:rsidRPr="00FA32CD">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δύο</w:t>
      </w:r>
      <w:r w:rsidR="007C3017" w:rsidRPr="00FA32CD">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πιο</w:t>
      </w:r>
      <w:r w:rsidR="007C3017" w:rsidRPr="00FA32CD">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μεγάλες</w:t>
      </w:r>
      <w:r w:rsidR="007C3017" w:rsidRPr="00FA32CD">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υποθέσεις</w:t>
      </w:r>
      <w:r w:rsidR="007C3017" w:rsidRPr="00FA32CD">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με</w:t>
      </w:r>
      <w:r w:rsidR="007C3017" w:rsidRPr="00FA32CD">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τις</w:t>
      </w:r>
      <w:r w:rsidR="007C3017" w:rsidRPr="00FA32CD">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οποίες</w:t>
      </w:r>
      <w:r w:rsidR="007C3017" w:rsidRPr="00FA32CD">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πρέπει</w:t>
      </w:r>
      <w:r w:rsidR="007C3017" w:rsidRPr="00FA32CD">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να</w:t>
      </w:r>
      <w:r w:rsidR="007C3017" w:rsidRPr="00FA32CD">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ασχοληθεί</w:t>
      </w:r>
      <w:r w:rsidR="007C3017" w:rsidRPr="00FA32CD">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η</w:t>
      </w:r>
      <w:r w:rsidR="007C3017" w:rsidRPr="00FA32CD">
        <w:rPr>
          <w:rFonts w:eastAsia="Calibri" w:cstheme="minorHAnsi"/>
          <w:sz w:val="24"/>
          <w:szCs w:val="24"/>
          <w:u w:color="000000"/>
          <w:bdr w:val="nil"/>
          <w:lang w:val="el-GR"/>
        </w:rPr>
        <w:t xml:space="preserve"> </w:t>
      </w:r>
      <w:r w:rsidR="007C3017">
        <w:rPr>
          <w:rFonts w:eastAsia="Calibri" w:cstheme="minorHAnsi"/>
          <w:sz w:val="24"/>
          <w:szCs w:val="24"/>
          <w:u w:color="000000"/>
          <w:bdr w:val="nil"/>
          <w:lang w:val="el-GR"/>
        </w:rPr>
        <w:t>Αρχή</w:t>
      </w:r>
      <w:r w:rsidR="007C3017" w:rsidRPr="00FA32CD">
        <w:rPr>
          <w:rFonts w:eastAsia="Calibri" w:cstheme="minorHAnsi"/>
          <w:sz w:val="24"/>
          <w:szCs w:val="24"/>
          <w:u w:color="000000"/>
          <w:bdr w:val="nil"/>
          <w:lang w:val="el-GR"/>
        </w:rPr>
        <w:t xml:space="preserve"> </w:t>
      </w:r>
      <w:r w:rsidR="00FA32CD">
        <w:rPr>
          <w:rFonts w:eastAsia="Calibri" w:cstheme="minorHAnsi"/>
          <w:sz w:val="24"/>
          <w:szCs w:val="24"/>
          <w:u w:color="000000"/>
          <w:bdr w:val="nil"/>
          <w:lang w:val="el-GR"/>
        </w:rPr>
        <w:t>σχετίζονται</w:t>
      </w:r>
      <w:r w:rsidR="00FA32CD" w:rsidRPr="00FA32CD">
        <w:rPr>
          <w:rFonts w:eastAsia="Calibri" w:cstheme="minorHAnsi"/>
          <w:sz w:val="24"/>
          <w:szCs w:val="24"/>
          <w:u w:color="000000"/>
          <w:bdr w:val="nil"/>
          <w:lang w:val="el-GR"/>
        </w:rPr>
        <w:t xml:space="preserve"> </w:t>
      </w:r>
      <w:r w:rsidR="00FA32CD">
        <w:rPr>
          <w:rFonts w:eastAsia="Calibri" w:cstheme="minorHAnsi"/>
          <w:sz w:val="24"/>
          <w:szCs w:val="24"/>
          <w:u w:color="000000"/>
          <w:bdr w:val="nil"/>
          <w:lang w:val="el-GR"/>
        </w:rPr>
        <w:t>με</w:t>
      </w:r>
      <w:r w:rsidR="00FA32CD" w:rsidRPr="00FA32CD">
        <w:rPr>
          <w:rFonts w:eastAsia="Calibri" w:cstheme="minorHAnsi"/>
          <w:sz w:val="24"/>
          <w:szCs w:val="24"/>
          <w:u w:color="000000"/>
          <w:bdr w:val="nil"/>
          <w:lang w:val="el-GR"/>
        </w:rPr>
        <w:t xml:space="preserve"> </w:t>
      </w:r>
      <w:r w:rsidR="00FA32CD">
        <w:rPr>
          <w:rFonts w:eastAsia="Calibri" w:cstheme="minorHAnsi"/>
          <w:sz w:val="24"/>
          <w:szCs w:val="24"/>
          <w:u w:color="000000"/>
          <w:bdr w:val="nil"/>
          <w:lang w:val="el-GR"/>
        </w:rPr>
        <w:t>το</w:t>
      </w:r>
      <w:r w:rsidR="00FA32CD" w:rsidRPr="00FA32CD">
        <w:rPr>
          <w:rFonts w:eastAsia="Calibri" w:cstheme="minorHAnsi"/>
          <w:sz w:val="24"/>
          <w:szCs w:val="24"/>
          <w:u w:color="000000"/>
          <w:bdr w:val="nil"/>
          <w:lang w:val="el-GR"/>
        </w:rPr>
        <w:t xml:space="preserve"> </w:t>
      </w:r>
      <w:r w:rsidR="00FA32CD">
        <w:rPr>
          <w:rFonts w:eastAsia="Calibri" w:cstheme="minorHAnsi"/>
          <w:sz w:val="24"/>
          <w:szCs w:val="24"/>
          <w:u w:color="000000"/>
          <w:bdr w:val="nil"/>
          <w:lang w:val="el-GR"/>
        </w:rPr>
        <w:t>πρόγραμμα</w:t>
      </w:r>
      <w:r w:rsidR="00FA32CD" w:rsidRPr="00FA32CD">
        <w:rPr>
          <w:rFonts w:eastAsia="Calibri" w:cstheme="minorHAnsi"/>
          <w:sz w:val="24"/>
          <w:szCs w:val="24"/>
          <w:u w:color="000000"/>
          <w:bdr w:val="nil"/>
          <w:lang w:val="el-GR"/>
        </w:rPr>
        <w:t xml:space="preserve"> </w:t>
      </w:r>
      <w:r w:rsidR="00FA32CD">
        <w:rPr>
          <w:rFonts w:eastAsia="Calibri" w:cstheme="minorHAnsi"/>
          <w:sz w:val="24"/>
          <w:szCs w:val="24"/>
          <w:u w:color="000000"/>
          <w:bdr w:val="nil"/>
          <w:lang w:val="el-GR"/>
        </w:rPr>
        <w:lastRenderedPageBreak/>
        <w:t>των</w:t>
      </w:r>
      <w:r w:rsidR="00FA32CD" w:rsidRPr="00FA32CD">
        <w:rPr>
          <w:rFonts w:eastAsia="Calibri" w:cstheme="minorHAnsi"/>
          <w:sz w:val="24"/>
          <w:szCs w:val="24"/>
          <w:u w:color="000000"/>
          <w:bdr w:val="nil"/>
          <w:lang w:val="el-GR"/>
        </w:rPr>
        <w:t xml:space="preserve"> </w:t>
      </w:r>
      <w:r w:rsidR="00FA32CD">
        <w:rPr>
          <w:rFonts w:eastAsia="Calibri" w:cstheme="minorHAnsi"/>
          <w:sz w:val="24"/>
          <w:szCs w:val="24"/>
          <w:u w:color="000000"/>
          <w:bdr w:val="nil"/>
          <w:lang w:val="el-GR"/>
        </w:rPr>
        <w:t>διαβατηρίων</w:t>
      </w:r>
      <w:r w:rsidR="00FA32CD" w:rsidRPr="00FA32CD">
        <w:rPr>
          <w:rFonts w:eastAsia="Calibri" w:cstheme="minorHAnsi"/>
          <w:sz w:val="24"/>
          <w:szCs w:val="24"/>
          <w:u w:color="000000"/>
          <w:bdr w:val="nil"/>
          <w:lang w:val="el-GR"/>
        </w:rPr>
        <w:t xml:space="preserve"> </w:t>
      </w:r>
      <w:r w:rsidR="00FA32CD">
        <w:rPr>
          <w:rFonts w:eastAsia="Calibri" w:cstheme="minorHAnsi"/>
          <w:sz w:val="24"/>
          <w:szCs w:val="24"/>
          <w:u w:color="000000"/>
          <w:bdr w:val="nil"/>
          <w:lang w:val="el-GR"/>
        </w:rPr>
        <w:t>και</w:t>
      </w:r>
      <w:r w:rsidR="00FA32CD" w:rsidRPr="00FA32CD">
        <w:rPr>
          <w:rFonts w:eastAsia="Calibri" w:cstheme="minorHAnsi"/>
          <w:sz w:val="24"/>
          <w:szCs w:val="24"/>
          <w:u w:color="000000"/>
          <w:bdr w:val="nil"/>
          <w:lang w:val="el-GR"/>
        </w:rPr>
        <w:t xml:space="preserve"> </w:t>
      </w:r>
      <w:r w:rsidR="00FA32CD">
        <w:rPr>
          <w:rFonts w:eastAsia="Calibri" w:cstheme="minorHAnsi"/>
          <w:sz w:val="24"/>
          <w:szCs w:val="24"/>
          <w:u w:color="000000"/>
          <w:bdr w:val="nil"/>
          <w:lang w:val="el-GR"/>
        </w:rPr>
        <w:t>επένδυσης</w:t>
      </w:r>
      <w:r w:rsidR="00A5147D" w:rsidRPr="00FA32CD">
        <w:rPr>
          <w:rFonts w:eastAsia="Calibri" w:cstheme="minorHAnsi"/>
          <w:sz w:val="24"/>
          <w:szCs w:val="24"/>
          <w:u w:color="000000"/>
          <w:bdr w:val="nil"/>
          <w:lang w:val="el-GR"/>
        </w:rPr>
        <w:t xml:space="preserve"> </w:t>
      </w:r>
      <w:r w:rsidR="00FA32CD">
        <w:rPr>
          <w:rFonts w:eastAsia="Calibri" w:cstheme="minorHAnsi"/>
          <w:sz w:val="24"/>
          <w:szCs w:val="24"/>
          <w:u w:color="000000"/>
          <w:bdr w:val="nil"/>
          <w:lang w:val="el-GR"/>
        </w:rPr>
        <w:t>μαζί με παράπονα διαφθοράς και</w:t>
      </w:r>
      <w:r w:rsidR="00A5147D" w:rsidRPr="00FA32CD">
        <w:rPr>
          <w:rFonts w:eastAsia="Calibri" w:cstheme="minorHAnsi"/>
          <w:sz w:val="24"/>
          <w:szCs w:val="24"/>
          <w:u w:color="000000"/>
          <w:bdr w:val="nil"/>
          <w:lang w:val="el-GR"/>
        </w:rPr>
        <w:t xml:space="preserve"> </w:t>
      </w:r>
      <w:r w:rsidR="00FA32CD">
        <w:rPr>
          <w:rFonts w:eastAsia="Calibri" w:cstheme="minorHAnsi"/>
          <w:sz w:val="24"/>
          <w:szCs w:val="24"/>
          <w:u w:color="000000"/>
          <w:bdr w:val="nil"/>
          <w:lang w:val="el-GR"/>
        </w:rPr>
        <w:t>συμπαιγνίας σε μια έρευνα στις φυλακές</w:t>
      </w:r>
      <w:r w:rsidR="00A5147D" w:rsidRPr="00FA32CD">
        <w:rPr>
          <w:rFonts w:eastAsia="Calibri" w:cstheme="minorHAnsi"/>
          <w:sz w:val="24"/>
          <w:szCs w:val="24"/>
          <w:u w:color="000000"/>
          <w:bdr w:val="nil"/>
          <w:lang w:val="el-GR"/>
        </w:rPr>
        <w:t>.</w:t>
      </w:r>
      <w:r w:rsidR="00A5147D" w:rsidRPr="004E251E">
        <w:rPr>
          <w:rStyle w:val="FootnoteReference"/>
          <w:rFonts w:eastAsia="Calibri" w:cstheme="minorHAnsi"/>
          <w:sz w:val="24"/>
          <w:szCs w:val="24"/>
          <w:u w:color="000000"/>
          <w:bdr w:val="nil"/>
        </w:rPr>
        <w:footnoteReference w:id="60"/>
      </w:r>
      <w:r w:rsidR="00A5147D" w:rsidRPr="00FA32CD">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Η</w:t>
      </w:r>
      <w:r w:rsidR="00A5147D" w:rsidRPr="00975B65">
        <w:rPr>
          <w:rFonts w:eastAsia="Calibri" w:cstheme="minorHAnsi"/>
          <w:sz w:val="24"/>
          <w:szCs w:val="24"/>
          <w:u w:color="000000"/>
          <w:bdr w:val="nil"/>
          <w:lang w:val="el-GR"/>
        </w:rPr>
        <w:t xml:space="preserve"> </w:t>
      </w:r>
      <w:r w:rsidR="00A5147D" w:rsidRPr="004E251E">
        <w:rPr>
          <w:rFonts w:eastAsia="Calibri" w:cstheme="minorHAnsi"/>
          <w:sz w:val="24"/>
          <w:szCs w:val="24"/>
          <w:u w:color="000000"/>
          <w:bdr w:val="nil"/>
        </w:rPr>
        <w:t>GET</w:t>
      </w:r>
      <w:r w:rsidR="00A5147D"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ενημερώθηκε</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ότι</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η</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δημιουργία</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μιας</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ομάδας</w:t>
      </w:r>
      <w:r w:rsidR="00A5147D" w:rsidRPr="00975B65">
        <w:rPr>
          <w:rFonts w:eastAsia="Calibri" w:cstheme="minorHAnsi"/>
          <w:sz w:val="24"/>
          <w:szCs w:val="24"/>
          <w:u w:color="000000"/>
          <w:bdr w:val="nil"/>
          <w:lang w:val="el-GR"/>
        </w:rPr>
        <w:t xml:space="preserve"> (40-50) </w:t>
      </w:r>
      <w:r w:rsidR="00FB0E18">
        <w:rPr>
          <w:rFonts w:eastAsia="Calibri" w:cstheme="minorHAnsi"/>
          <w:sz w:val="24"/>
          <w:szCs w:val="24"/>
          <w:u w:color="000000"/>
          <w:bdr w:val="nil"/>
          <w:lang w:val="el-GR"/>
        </w:rPr>
        <w:t xml:space="preserve">λειτουργών επιθεώρησης </w:t>
      </w:r>
      <w:r w:rsidR="00975B65">
        <w:rPr>
          <w:rFonts w:eastAsia="Calibri" w:cstheme="minorHAnsi"/>
          <w:sz w:val="24"/>
          <w:szCs w:val="24"/>
          <w:u w:color="000000"/>
          <w:bdr w:val="nil"/>
          <w:lang w:val="el-GR"/>
        </w:rPr>
        <w:t>αποδεικν</w:t>
      </w:r>
      <w:r w:rsidR="00544646">
        <w:rPr>
          <w:rFonts w:eastAsia="Calibri" w:cstheme="minorHAnsi"/>
          <w:sz w:val="24"/>
          <w:szCs w:val="24"/>
          <w:u w:color="000000"/>
          <w:bdr w:val="nil"/>
          <w:lang w:val="el-GR"/>
        </w:rPr>
        <w:t>ύ</w:t>
      </w:r>
      <w:r w:rsidR="00975B65">
        <w:rPr>
          <w:rFonts w:eastAsia="Calibri" w:cstheme="minorHAnsi"/>
          <w:sz w:val="24"/>
          <w:szCs w:val="24"/>
          <w:u w:color="000000"/>
          <w:bdr w:val="nil"/>
          <w:lang w:val="el-GR"/>
        </w:rPr>
        <w:t>εται ότι είναι ιδιαίτερα δύσκολη</w:t>
      </w:r>
      <w:r w:rsidR="00A5147D"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Η</w:t>
      </w:r>
      <w:r w:rsidR="00A5147D" w:rsidRPr="00975B65">
        <w:rPr>
          <w:rFonts w:eastAsia="Calibri" w:cstheme="minorHAnsi"/>
          <w:sz w:val="24"/>
          <w:szCs w:val="24"/>
          <w:u w:color="000000"/>
          <w:bdr w:val="nil"/>
          <w:lang w:val="el-GR"/>
        </w:rPr>
        <w:t xml:space="preserve"> </w:t>
      </w:r>
      <w:r w:rsidR="00A5147D" w:rsidRPr="004E251E">
        <w:rPr>
          <w:rFonts w:eastAsia="Calibri" w:cstheme="minorHAnsi"/>
          <w:sz w:val="24"/>
          <w:szCs w:val="24"/>
          <w:u w:color="000000"/>
          <w:bdr w:val="nil"/>
        </w:rPr>
        <w:t>GET</w:t>
      </w:r>
      <w:r w:rsidR="00A5147D"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θεωρεί</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ότι</w:t>
      </w:r>
      <w:r w:rsidR="00A5147D"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είναι</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πολύ</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νωρίς</w:t>
      </w:r>
      <w:r w:rsidR="00A5147D"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να</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αξιολογηθεί</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ο</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ρόλος</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που</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θα</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παίξει</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η</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Αρχή</w:t>
      </w:r>
      <w:r w:rsidR="00A5147D"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στην</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παρούσα</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θεσμική</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διάταξη</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καταπολέμησης της διαφθοράς</w:t>
      </w:r>
      <w:r w:rsidR="00A5147D"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αφού ο θεσμός έχει δημιουργηθεί πρόσφατ</w:t>
      </w:r>
      <w:r w:rsidR="00544646">
        <w:rPr>
          <w:rFonts w:eastAsia="Calibri" w:cstheme="minorHAnsi"/>
          <w:sz w:val="24"/>
          <w:szCs w:val="24"/>
          <w:u w:color="000000"/>
          <w:bdr w:val="nil"/>
          <w:lang w:val="el-GR"/>
        </w:rPr>
        <w:t>α</w:t>
      </w:r>
      <w:r w:rsidR="00975B65">
        <w:rPr>
          <w:rFonts w:eastAsia="Calibri" w:cstheme="minorHAnsi"/>
          <w:sz w:val="24"/>
          <w:szCs w:val="24"/>
          <w:u w:color="000000"/>
          <w:bdr w:val="nil"/>
          <w:lang w:val="el-GR"/>
        </w:rPr>
        <w:t xml:space="preserve"> και έχει ξεκινήσει να λειτουργ</w:t>
      </w:r>
      <w:r w:rsidR="00FB0E18">
        <w:rPr>
          <w:rFonts w:eastAsia="Calibri" w:cstheme="minorHAnsi"/>
          <w:sz w:val="24"/>
          <w:szCs w:val="24"/>
          <w:u w:color="000000"/>
          <w:bdr w:val="nil"/>
          <w:lang w:val="el-GR"/>
        </w:rPr>
        <w:t>εί</w:t>
      </w:r>
      <w:r w:rsidR="00975B65">
        <w:rPr>
          <w:rFonts w:eastAsia="Calibri" w:cstheme="minorHAnsi"/>
          <w:sz w:val="24"/>
          <w:szCs w:val="24"/>
          <w:u w:color="000000"/>
          <w:bdr w:val="nil"/>
          <w:lang w:val="el-GR"/>
        </w:rPr>
        <w:t xml:space="preserve"> πρόσφατα</w:t>
      </w:r>
      <w:r w:rsidR="00A5147D"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Για</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να</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αποδείξει</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την</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αξία</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της</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και</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να</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επιβεβαιώσει την αξιοπιστία της η</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Αρχή</w:t>
      </w:r>
      <w:r w:rsidR="00A5147D"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θα χρειαστεί να εργασθεί προληπτικά και αποτελεσματικά</w:t>
      </w:r>
      <w:r w:rsidR="00A5147D"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Για</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να</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το</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κάνει</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αυτό</w:t>
      </w:r>
      <w:r w:rsidR="00A5147D"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χρειάζεται</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πρώτα</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η</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εξασφάλιση</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επαρκών</w:t>
      </w:r>
      <w:r w:rsidR="00975B65"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πόρων</w:t>
      </w:r>
      <w:r w:rsidR="00A5147D" w:rsidRPr="00975B65">
        <w:rPr>
          <w:rFonts w:eastAsia="Calibri" w:cstheme="minorHAnsi"/>
          <w:sz w:val="24"/>
          <w:szCs w:val="24"/>
          <w:u w:color="000000"/>
          <w:bdr w:val="nil"/>
          <w:lang w:val="el-GR"/>
        </w:rPr>
        <w:t xml:space="preserve"> </w:t>
      </w:r>
      <w:r w:rsidR="00975B65">
        <w:rPr>
          <w:rFonts w:eastAsia="Calibri" w:cstheme="minorHAnsi"/>
          <w:sz w:val="24"/>
          <w:szCs w:val="24"/>
          <w:u w:color="000000"/>
          <w:bdr w:val="nil"/>
          <w:lang w:val="el-GR"/>
        </w:rPr>
        <w:t>που επιτρέπουν την αποτελεσματική της λειτουργικότητα</w:t>
      </w:r>
      <w:r w:rsidR="00A5147D" w:rsidRPr="00975B65">
        <w:rPr>
          <w:rFonts w:eastAsia="Calibri" w:cstheme="minorHAnsi"/>
          <w:sz w:val="24"/>
          <w:szCs w:val="24"/>
          <w:u w:color="000000"/>
          <w:bdr w:val="nil"/>
          <w:lang w:val="el-GR"/>
        </w:rPr>
        <w:t xml:space="preserve">. </w:t>
      </w:r>
      <w:r w:rsidR="00975B65" w:rsidRPr="00975B65">
        <w:rPr>
          <w:rFonts w:eastAsia="Calibri" w:cstheme="minorHAnsi"/>
          <w:b/>
          <w:sz w:val="24"/>
          <w:szCs w:val="24"/>
          <w:u w:color="000000"/>
          <w:bdr w:val="nil"/>
          <w:lang w:val="el-GR"/>
        </w:rPr>
        <w:t>Η</w:t>
      </w:r>
      <w:r w:rsidR="00975B65" w:rsidRPr="00EC45E5">
        <w:rPr>
          <w:rFonts w:eastAsia="Calibri" w:cstheme="minorHAnsi"/>
          <w:b/>
          <w:sz w:val="24"/>
          <w:szCs w:val="24"/>
          <w:u w:color="000000"/>
          <w:bdr w:val="nil"/>
          <w:lang w:val="el-GR"/>
        </w:rPr>
        <w:t xml:space="preserve"> </w:t>
      </w:r>
      <w:r w:rsidR="00A5147D" w:rsidRPr="004E251E">
        <w:rPr>
          <w:rFonts w:eastAsia="Calibri" w:cstheme="minorHAnsi"/>
          <w:b/>
          <w:bCs/>
          <w:sz w:val="24"/>
          <w:szCs w:val="24"/>
          <w:u w:color="000000"/>
          <w:bdr w:val="nil"/>
        </w:rPr>
        <w:t>GRECO</w:t>
      </w:r>
      <w:r w:rsidR="00A5147D" w:rsidRPr="00EC45E5">
        <w:rPr>
          <w:rFonts w:eastAsia="Calibri" w:cstheme="minorHAnsi"/>
          <w:b/>
          <w:bCs/>
          <w:sz w:val="24"/>
          <w:szCs w:val="24"/>
          <w:u w:color="000000"/>
          <w:bdr w:val="nil"/>
          <w:lang w:val="el-GR"/>
        </w:rPr>
        <w:t xml:space="preserve"> </w:t>
      </w:r>
      <w:r w:rsidR="001B09F4">
        <w:rPr>
          <w:rFonts w:eastAsia="Calibri" w:cstheme="minorHAnsi"/>
          <w:b/>
          <w:bCs/>
          <w:sz w:val="24"/>
          <w:szCs w:val="24"/>
          <w:u w:color="000000"/>
          <w:bdr w:val="nil"/>
          <w:lang w:val="el-GR"/>
        </w:rPr>
        <w:t>συνιστά</w:t>
      </w:r>
      <w:r w:rsidR="00975B65" w:rsidRPr="00EC45E5">
        <w:rPr>
          <w:rFonts w:eastAsia="Calibri" w:cstheme="minorHAnsi"/>
          <w:b/>
          <w:bCs/>
          <w:sz w:val="24"/>
          <w:szCs w:val="24"/>
          <w:u w:color="000000"/>
          <w:bdr w:val="nil"/>
          <w:lang w:val="el-GR"/>
        </w:rPr>
        <w:t xml:space="preserve"> </w:t>
      </w:r>
      <w:r w:rsidR="00FB0E18">
        <w:rPr>
          <w:rFonts w:eastAsia="Calibri" w:cstheme="minorHAnsi"/>
          <w:b/>
          <w:bCs/>
          <w:sz w:val="24"/>
          <w:szCs w:val="24"/>
          <w:u w:color="000000"/>
          <w:bdr w:val="nil"/>
          <w:lang w:val="el-GR"/>
        </w:rPr>
        <w:t xml:space="preserve">όπως </w:t>
      </w:r>
      <w:r w:rsidR="00975B65">
        <w:rPr>
          <w:rFonts w:eastAsia="Calibri" w:cstheme="minorHAnsi"/>
          <w:b/>
          <w:bCs/>
          <w:sz w:val="24"/>
          <w:szCs w:val="24"/>
          <w:u w:color="000000"/>
          <w:bdr w:val="nil"/>
          <w:lang w:val="el-GR"/>
        </w:rPr>
        <w:t>η</w:t>
      </w:r>
      <w:r w:rsidR="00975B65" w:rsidRPr="00EC45E5">
        <w:rPr>
          <w:rFonts w:eastAsia="Calibri" w:cstheme="minorHAnsi"/>
          <w:b/>
          <w:bCs/>
          <w:sz w:val="24"/>
          <w:szCs w:val="24"/>
          <w:u w:color="000000"/>
          <w:bdr w:val="nil"/>
          <w:lang w:val="el-GR"/>
        </w:rPr>
        <w:t xml:space="preserve"> </w:t>
      </w:r>
      <w:r w:rsidR="00975B65">
        <w:rPr>
          <w:rFonts w:eastAsia="Calibri" w:cstheme="minorHAnsi"/>
          <w:b/>
          <w:bCs/>
          <w:sz w:val="24"/>
          <w:szCs w:val="24"/>
          <w:u w:color="000000"/>
          <w:bdr w:val="nil"/>
          <w:lang w:val="el-GR"/>
        </w:rPr>
        <w:t>Αρχή</w:t>
      </w:r>
      <w:r w:rsidR="00975B65" w:rsidRPr="00EC45E5">
        <w:rPr>
          <w:rFonts w:eastAsia="Calibri" w:cstheme="minorHAnsi"/>
          <w:b/>
          <w:bCs/>
          <w:sz w:val="24"/>
          <w:szCs w:val="24"/>
          <w:u w:color="000000"/>
          <w:bdr w:val="nil"/>
          <w:lang w:val="el-GR"/>
        </w:rPr>
        <w:t xml:space="preserve"> </w:t>
      </w:r>
      <w:r w:rsidR="00975B65">
        <w:rPr>
          <w:rFonts w:eastAsia="Calibri" w:cstheme="minorHAnsi"/>
          <w:b/>
          <w:bCs/>
          <w:sz w:val="24"/>
          <w:szCs w:val="24"/>
          <w:u w:color="000000"/>
          <w:bdr w:val="nil"/>
          <w:lang w:val="el-GR"/>
        </w:rPr>
        <w:t>Κατ</w:t>
      </w:r>
      <w:r w:rsidR="00EC45E5">
        <w:rPr>
          <w:rFonts w:eastAsia="Calibri" w:cstheme="minorHAnsi"/>
          <w:b/>
          <w:bCs/>
          <w:sz w:val="24"/>
          <w:szCs w:val="24"/>
          <w:u w:color="000000"/>
          <w:bdr w:val="nil"/>
          <w:lang w:val="el-GR"/>
        </w:rPr>
        <w:t>ά</w:t>
      </w:r>
      <w:r w:rsidR="00975B65" w:rsidRPr="00EC45E5">
        <w:rPr>
          <w:rFonts w:eastAsia="Calibri" w:cstheme="minorHAnsi"/>
          <w:b/>
          <w:bCs/>
          <w:sz w:val="24"/>
          <w:szCs w:val="24"/>
          <w:u w:color="000000"/>
          <w:bdr w:val="nil"/>
          <w:lang w:val="el-GR"/>
        </w:rPr>
        <w:t xml:space="preserve"> </w:t>
      </w:r>
      <w:r w:rsidR="00975B65">
        <w:rPr>
          <w:rFonts w:eastAsia="Calibri" w:cstheme="minorHAnsi"/>
          <w:b/>
          <w:bCs/>
          <w:sz w:val="24"/>
          <w:szCs w:val="24"/>
          <w:u w:color="000000"/>
          <w:bdr w:val="nil"/>
          <w:lang w:val="el-GR"/>
        </w:rPr>
        <w:t>της</w:t>
      </w:r>
      <w:r w:rsidR="00975B65" w:rsidRPr="00EC45E5">
        <w:rPr>
          <w:rFonts w:eastAsia="Calibri" w:cstheme="minorHAnsi"/>
          <w:b/>
          <w:bCs/>
          <w:sz w:val="24"/>
          <w:szCs w:val="24"/>
          <w:u w:color="000000"/>
          <w:bdr w:val="nil"/>
          <w:lang w:val="el-GR"/>
        </w:rPr>
        <w:t xml:space="preserve"> </w:t>
      </w:r>
      <w:r w:rsidR="00975B65">
        <w:rPr>
          <w:rFonts w:eastAsia="Calibri" w:cstheme="minorHAnsi"/>
          <w:b/>
          <w:bCs/>
          <w:sz w:val="24"/>
          <w:szCs w:val="24"/>
          <w:u w:color="000000"/>
          <w:bdr w:val="nil"/>
          <w:lang w:val="el-GR"/>
        </w:rPr>
        <w:t>Διαφθοράς</w:t>
      </w:r>
      <w:r w:rsidR="00EC45E5" w:rsidRPr="00EC45E5">
        <w:rPr>
          <w:rFonts w:eastAsia="Calibri" w:cstheme="minorHAnsi"/>
          <w:b/>
          <w:bCs/>
          <w:sz w:val="24"/>
          <w:szCs w:val="24"/>
          <w:u w:color="000000"/>
          <w:bdr w:val="nil"/>
          <w:lang w:val="el-GR"/>
        </w:rPr>
        <w:t xml:space="preserve"> </w:t>
      </w:r>
      <w:r w:rsidR="00FB0E18">
        <w:rPr>
          <w:rFonts w:eastAsia="Calibri" w:cstheme="minorHAnsi"/>
          <w:b/>
          <w:bCs/>
          <w:sz w:val="24"/>
          <w:szCs w:val="24"/>
          <w:u w:color="000000"/>
          <w:bdr w:val="nil"/>
          <w:lang w:val="el-GR"/>
        </w:rPr>
        <w:t xml:space="preserve">εφοδιαστεί </w:t>
      </w:r>
      <w:r w:rsidR="00EC45E5">
        <w:rPr>
          <w:rFonts w:eastAsia="Calibri" w:cstheme="minorHAnsi"/>
          <w:b/>
          <w:bCs/>
          <w:sz w:val="24"/>
          <w:szCs w:val="24"/>
          <w:u w:color="000000"/>
          <w:bdr w:val="nil"/>
          <w:lang w:val="el-GR"/>
        </w:rPr>
        <w:t>με</w:t>
      </w:r>
      <w:r w:rsidR="00EC45E5" w:rsidRPr="00EC45E5">
        <w:rPr>
          <w:rFonts w:eastAsia="Calibri" w:cstheme="minorHAnsi"/>
          <w:b/>
          <w:bCs/>
          <w:sz w:val="24"/>
          <w:szCs w:val="24"/>
          <w:u w:color="000000"/>
          <w:bdr w:val="nil"/>
          <w:lang w:val="el-GR"/>
        </w:rPr>
        <w:t xml:space="preserve"> </w:t>
      </w:r>
      <w:r w:rsidR="00EC45E5">
        <w:rPr>
          <w:rFonts w:eastAsia="Calibri" w:cstheme="minorHAnsi"/>
          <w:b/>
          <w:bCs/>
          <w:sz w:val="24"/>
          <w:szCs w:val="24"/>
          <w:u w:color="000000"/>
          <w:bdr w:val="nil"/>
          <w:lang w:val="el-GR"/>
        </w:rPr>
        <w:t>επαρκείς</w:t>
      </w:r>
      <w:r w:rsidR="00EC45E5" w:rsidRPr="00EC45E5">
        <w:rPr>
          <w:rFonts w:eastAsia="Calibri" w:cstheme="minorHAnsi"/>
          <w:b/>
          <w:bCs/>
          <w:sz w:val="24"/>
          <w:szCs w:val="24"/>
          <w:u w:color="000000"/>
          <w:bdr w:val="nil"/>
          <w:lang w:val="el-GR"/>
        </w:rPr>
        <w:t xml:space="preserve"> </w:t>
      </w:r>
      <w:r w:rsidR="00EC45E5">
        <w:rPr>
          <w:rFonts w:eastAsia="Calibri" w:cstheme="minorHAnsi"/>
          <w:b/>
          <w:bCs/>
          <w:sz w:val="24"/>
          <w:szCs w:val="24"/>
          <w:u w:color="000000"/>
          <w:bdr w:val="nil"/>
          <w:lang w:val="el-GR"/>
        </w:rPr>
        <w:t>υλικούς</w:t>
      </w:r>
      <w:r w:rsidR="00EC45E5" w:rsidRPr="00EC45E5">
        <w:rPr>
          <w:rFonts w:eastAsia="Calibri" w:cstheme="minorHAnsi"/>
          <w:b/>
          <w:bCs/>
          <w:sz w:val="24"/>
          <w:szCs w:val="24"/>
          <w:u w:color="000000"/>
          <w:bdr w:val="nil"/>
          <w:lang w:val="el-GR"/>
        </w:rPr>
        <w:t xml:space="preserve"> </w:t>
      </w:r>
      <w:r w:rsidR="00EC45E5">
        <w:rPr>
          <w:rFonts w:eastAsia="Calibri" w:cstheme="minorHAnsi"/>
          <w:b/>
          <w:bCs/>
          <w:sz w:val="24"/>
          <w:szCs w:val="24"/>
          <w:u w:color="000000"/>
          <w:bdr w:val="nil"/>
          <w:lang w:val="el-GR"/>
        </w:rPr>
        <w:t>και</w:t>
      </w:r>
      <w:r w:rsidR="00EC45E5" w:rsidRPr="00EC45E5">
        <w:rPr>
          <w:rFonts w:eastAsia="Calibri" w:cstheme="minorHAnsi"/>
          <w:b/>
          <w:bCs/>
          <w:sz w:val="24"/>
          <w:szCs w:val="24"/>
          <w:u w:color="000000"/>
          <w:bdr w:val="nil"/>
          <w:lang w:val="el-GR"/>
        </w:rPr>
        <w:t xml:space="preserve"> </w:t>
      </w:r>
      <w:r w:rsidR="00EC45E5">
        <w:rPr>
          <w:rFonts w:eastAsia="Calibri" w:cstheme="minorHAnsi"/>
          <w:b/>
          <w:bCs/>
          <w:sz w:val="24"/>
          <w:szCs w:val="24"/>
          <w:u w:color="000000"/>
          <w:bdr w:val="nil"/>
          <w:lang w:val="el-GR"/>
        </w:rPr>
        <w:t>οικονομικούς</w:t>
      </w:r>
      <w:r w:rsidR="00EC45E5" w:rsidRPr="00EC45E5">
        <w:rPr>
          <w:rFonts w:eastAsia="Calibri" w:cstheme="minorHAnsi"/>
          <w:b/>
          <w:bCs/>
          <w:sz w:val="24"/>
          <w:szCs w:val="24"/>
          <w:u w:color="000000"/>
          <w:bdr w:val="nil"/>
          <w:lang w:val="el-GR"/>
        </w:rPr>
        <w:t xml:space="preserve"> </w:t>
      </w:r>
      <w:r w:rsidR="00EC45E5">
        <w:rPr>
          <w:rFonts w:eastAsia="Calibri" w:cstheme="minorHAnsi"/>
          <w:b/>
          <w:bCs/>
          <w:sz w:val="24"/>
          <w:szCs w:val="24"/>
          <w:u w:color="000000"/>
          <w:bdr w:val="nil"/>
          <w:lang w:val="el-GR"/>
        </w:rPr>
        <w:t>πόρους</w:t>
      </w:r>
      <w:r w:rsidR="00EC45E5" w:rsidRPr="00EC45E5">
        <w:rPr>
          <w:rFonts w:eastAsia="Calibri" w:cstheme="minorHAnsi"/>
          <w:b/>
          <w:bCs/>
          <w:sz w:val="24"/>
          <w:szCs w:val="24"/>
          <w:u w:color="000000"/>
          <w:bdr w:val="nil"/>
          <w:lang w:val="el-GR"/>
        </w:rPr>
        <w:t xml:space="preserve"> </w:t>
      </w:r>
      <w:r w:rsidR="00EC45E5">
        <w:rPr>
          <w:rFonts w:eastAsia="Calibri" w:cstheme="minorHAnsi"/>
          <w:b/>
          <w:bCs/>
          <w:sz w:val="24"/>
          <w:szCs w:val="24"/>
          <w:u w:color="000000"/>
          <w:bdr w:val="nil"/>
          <w:lang w:val="el-GR"/>
        </w:rPr>
        <w:t>καθώς</w:t>
      </w:r>
      <w:r w:rsidR="00EC45E5" w:rsidRPr="00EC45E5">
        <w:rPr>
          <w:rFonts w:eastAsia="Calibri" w:cstheme="minorHAnsi"/>
          <w:b/>
          <w:bCs/>
          <w:sz w:val="24"/>
          <w:szCs w:val="24"/>
          <w:u w:color="000000"/>
          <w:bdr w:val="nil"/>
          <w:lang w:val="el-GR"/>
        </w:rPr>
        <w:t xml:space="preserve"> </w:t>
      </w:r>
      <w:r w:rsidR="00EC45E5">
        <w:rPr>
          <w:rFonts w:eastAsia="Calibri" w:cstheme="minorHAnsi"/>
          <w:b/>
          <w:bCs/>
          <w:sz w:val="24"/>
          <w:szCs w:val="24"/>
          <w:u w:color="000000"/>
          <w:bdr w:val="nil"/>
          <w:lang w:val="el-GR"/>
        </w:rPr>
        <w:t>επίσης</w:t>
      </w:r>
      <w:r w:rsidR="00EC45E5" w:rsidRPr="00EC45E5">
        <w:rPr>
          <w:rFonts w:eastAsia="Calibri" w:cstheme="minorHAnsi"/>
          <w:b/>
          <w:bCs/>
          <w:sz w:val="24"/>
          <w:szCs w:val="24"/>
          <w:u w:color="000000"/>
          <w:bdr w:val="nil"/>
          <w:lang w:val="el-GR"/>
        </w:rPr>
        <w:t xml:space="preserve"> </w:t>
      </w:r>
      <w:r w:rsidR="00EC45E5">
        <w:rPr>
          <w:rFonts w:eastAsia="Calibri" w:cstheme="minorHAnsi"/>
          <w:b/>
          <w:bCs/>
          <w:sz w:val="24"/>
          <w:szCs w:val="24"/>
          <w:u w:color="000000"/>
          <w:bdr w:val="nil"/>
          <w:lang w:val="el-GR"/>
        </w:rPr>
        <w:t>και</w:t>
      </w:r>
      <w:r w:rsidR="00EC45E5" w:rsidRPr="00EC45E5">
        <w:rPr>
          <w:rFonts w:eastAsia="Calibri" w:cstheme="minorHAnsi"/>
          <w:b/>
          <w:bCs/>
          <w:sz w:val="24"/>
          <w:szCs w:val="24"/>
          <w:u w:color="000000"/>
          <w:bdr w:val="nil"/>
          <w:lang w:val="el-GR"/>
        </w:rPr>
        <w:t xml:space="preserve"> </w:t>
      </w:r>
      <w:r w:rsidR="00EC45E5">
        <w:rPr>
          <w:rFonts w:eastAsia="Calibri" w:cstheme="minorHAnsi"/>
          <w:b/>
          <w:bCs/>
          <w:sz w:val="24"/>
          <w:szCs w:val="24"/>
          <w:u w:color="000000"/>
          <w:bdr w:val="nil"/>
          <w:lang w:val="el-GR"/>
        </w:rPr>
        <w:t>πόρους</w:t>
      </w:r>
      <w:r w:rsidR="00EC45E5" w:rsidRPr="00EC45E5">
        <w:rPr>
          <w:rFonts w:eastAsia="Calibri" w:cstheme="minorHAnsi"/>
          <w:b/>
          <w:bCs/>
          <w:sz w:val="24"/>
          <w:szCs w:val="24"/>
          <w:u w:color="000000"/>
          <w:bdr w:val="nil"/>
          <w:lang w:val="el-GR"/>
        </w:rPr>
        <w:t xml:space="preserve"> </w:t>
      </w:r>
      <w:r w:rsidR="00EC45E5">
        <w:rPr>
          <w:rFonts w:eastAsia="Calibri" w:cstheme="minorHAnsi"/>
          <w:b/>
          <w:bCs/>
          <w:sz w:val="24"/>
          <w:szCs w:val="24"/>
          <w:u w:color="000000"/>
          <w:bdr w:val="nil"/>
          <w:lang w:val="el-GR"/>
        </w:rPr>
        <w:t>προσωπικού</w:t>
      </w:r>
      <w:r w:rsidR="00A5147D" w:rsidRPr="00EC45E5">
        <w:rPr>
          <w:rFonts w:eastAsia="Calibri" w:cstheme="minorHAnsi"/>
          <w:b/>
          <w:bCs/>
          <w:sz w:val="24"/>
          <w:szCs w:val="24"/>
          <w:u w:color="000000"/>
          <w:bdr w:val="nil"/>
          <w:lang w:val="el-GR"/>
        </w:rPr>
        <w:t xml:space="preserve"> </w:t>
      </w:r>
      <w:r w:rsidR="00EC45E5">
        <w:rPr>
          <w:rFonts w:eastAsia="Calibri" w:cstheme="minorHAnsi"/>
          <w:b/>
          <w:bCs/>
          <w:sz w:val="24"/>
          <w:szCs w:val="24"/>
          <w:u w:color="000000"/>
          <w:bdr w:val="nil"/>
          <w:lang w:val="el-GR"/>
        </w:rPr>
        <w:t>για να εκτελεί τα καθήκοντα της προληπτικά και αποτελεσματικά</w:t>
      </w:r>
      <w:r w:rsidR="00A5147D" w:rsidRPr="00EC45E5">
        <w:rPr>
          <w:rFonts w:eastAsia="Calibri" w:cstheme="minorHAnsi"/>
          <w:b/>
          <w:bCs/>
          <w:sz w:val="24"/>
          <w:szCs w:val="24"/>
          <w:u w:color="000000"/>
          <w:bdr w:val="nil"/>
          <w:lang w:val="el-GR"/>
        </w:rPr>
        <w:t xml:space="preserve"> </w:t>
      </w:r>
      <w:r w:rsidR="00EC45E5">
        <w:rPr>
          <w:rFonts w:eastAsia="Calibri" w:cstheme="minorHAnsi"/>
          <w:b/>
          <w:bCs/>
          <w:sz w:val="24"/>
          <w:szCs w:val="24"/>
          <w:u w:color="000000"/>
          <w:bdr w:val="nil"/>
          <w:lang w:val="el-GR"/>
        </w:rPr>
        <w:t xml:space="preserve">σε σχέση με άτομα που τους έχουν ανατεθεί </w:t>
      </w:r>
      <w:r w:rsidR="00FB0E18">
        <w:rPr>
          <w:rFonts w:eastAsia="Calibri" w:cstheme="minorHAnsi"/>
          <w:b/>
          <w:bCs/>
          <w:sz w:val="24"/>
          <w:szCs w:val="24"/>
          <w:u w:color="000000"/>
          <w:bdr w:val="nil"/>
          <w:lang w:val="el-GR"/>
        </w:rPr>
        <w:t xml:space="preserve">ανώτατα </w:t>
      </w:r>
      <w:r w:rsidR="00EC45E5">
        <w:rPr>
          <w:rFonts w:eastAsia="Calibri" w:cstheme="minorHAnsi"/>
          <w:b/>
          <w:bCs/>
          <w:sz w:val="24"/>
          <w:szCs w:val="24"/>
          <w:u w:color="000000"/>
          <w:bdr w:val="nil"/>
          <w:lang w:val="el-GR"/>
        </w:rPr>
        <w:t>εκτελεστικ</w:t>
      </w:r>
      <w:r w:rsidR="00FB0E18">
        <w:rPr>
          <w:rFonts w:eastAsia="Calibri" w:cstheme="minorHAnsi"/>
          <w:b/>
          <w:bCs/>
          <w:sz w:val="24"/>
          <w:szCs w:val="24"/>
          <w:u w:color="000000"/>
          <w:bdr w:val="nil"/>
          <w:lang w:val="el-GR"/>
        </w:rPr>
        <w:t xml:space="preserve">ά καθήκοντα </w:t>
      </w:r>
      <w:r w:rsidR="00A5147D" w:rsidRPr="00EC45E5">
        <w:rPr>
          <w:rFonts w:eastAsia="Calibri" w:cstheme="minorHAnsi"/>
          <w:b/>
          <w:bCs/>
          <w:sz w:val="24"/>
          <w:szCs w:val="24"/>
          <w:u w:color="000000"/>
          <w:bdr w:val="nil"/>
          <w:lang w:val="el-GR"/>
        </w:rPr>
        <w:t xml:space="preserve">. </w:t>
      </w:r>
    </w:p>
    <w:p w14:paraId="10401499" w14:textId="77777777" w:rsidR="00A5147D" w:rsidRPr="00EC45E5" w:rsidRDefault="00A5147D" w:rsidP="00A5147D">
      <w:pPr>
        <w:pStyle w:val="ListParagraph"/>
        <w:rPr>
          <w:rFonts w:eastAsia="Calibri" w:cstheme="minorHAnsi"/>
          <w:sz w:val="24"/>
          <w:szCs w:val="24"/>
          <w:u w:color="000000"/>
          <w:bdr w:val="nil"/>
          <w:lang w:val="el-GR"/>
        </w:rPr>
      </w:pPr>
    </w:p>
    <w:p w14:paraId="0562E3B7" w14:textId="5A5D9D4A" w:rsidR="00A5147D" w:rsidRPr="00B557F4" w:rsidRDefault="00EC45E5" w:rsidP="00A5147D">
      <w:pPr>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lang w:val="el-GR"/>
        </w:rPr>
      </w:pPr>
      <w:r>
        <w:rPr>
          <w:rFonts w:eastAsia="Calibri" w:cstheme="minorHAnsi"/>
          <w:sz w:val="24"/>
          <w:szCs w:val="24"/>
          <w:u w:color="000000"/>
          <w:bdr w:val="nil"/>
          <w:lang w:val="el-GR"/>
        </w:rPr>
        <w:t>Μια</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άλλη</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πτυχή</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που</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η</w:t>
      </w:r>
      <w:r w:rsidRPr="00EC45E5">
        <w:rPr>
          <w:rFonts w:eastAsia="Calibri" w:cstheme="minorHAnsi"/>
          <w:sz w:val="24"/>
          <w:szCs w:val="24"/>
          <w:u w:color="000000"/>
          <w:bdr w:val="nil"/>
          <w:lang w:val="el-GR"/>
        </w:rPr>
        <w:t xml:space="preserve"> </w:t>
      </w:r>
      <w:r w:rsidR="00A5147D" w:rsidRPr="004E251E">
        <w:rPr>
          <w:rFonts w:eastAsia="Calibri" w:cstheme="minorHAnsi"/>
          <w:sz w:val="24"/>
          <w:szCs w:val="24"/>
          <w:u w:color="000000"/>
          <w:bdr w:val="nil"/>
        </w:rPr>
        <w:t>GET</w:t>
      </w:r>
      <w:r w:rsidR="00A5147D"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πιστεύει</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ακράδαντα</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ότι</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πρέπει</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να</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αντιμετωπισ</w:t>
      </w:r>
      <w:r w:rsidR="00A42D4E">
        <w:rPr>
          <w:rFonts w:eastAsia="Calibri" w:cstheme="minorHAnsi"/>
          <w:sz w:val="24"/>
          <w:szCs w:val="24"/>
          <w:u w:color="000000"/>
          <w:bdr w:val="nil"/>
          <w:lang w:val="el-GR"/>
        </w:rPr>
        <w:t>τ</w:t>
      </w:r>
      <w:r>
        <w:rPr>
          <w:rFonts w:eastAsia="Calibri" w:cstheme="minorHAnsi"/>
          <w:sz w:val="24"/>
          <w:szCs w:val="24"/>
          <w:u w:color="000000"/>
          <w:bdr w:val="nil"/>
          <w:lang w:val="el-GR"/>
        </w:rPr>
        <w:t>εί είν</w:t>
      </w:r>
      <w:r w:rsidR="00544646">
        <w:rPr>
          <w:rFonts w:eastAsia="Calibri" w:cstheme="minorHAnsi"/>
          <w:sz w:val="24"/>
          <w:szCs w:val="24"/>
          <w:u w:color="000000"/>
          <w:bdr w:val="nil"/>
          <w:lang w:val="el-GR"/>
        </w:rPr>
        <w:t>α</w:t>
      </w:r>
      <w:r>
        <w:rPr>
          <w:rFonts w:eastAsia="Calibri" w:cstheme="minorHAnsi"/>
          <w:sz w:val="24"/>
          <w:szCs w:val="24"/>
          <w:u w:color="000000"/>
          <w:bdr w:val="nil"/>
          <w:lang w:val="el-GR"/>
        </w:rPr>
        <w:t>ι αυτή της διαφάνειας της εργασίας των αντίστοιχων επιτρ</w:t>
      </w:r>
      <w:r w:rsidR="00544646">
        <w:rPr>
          <w:rFonts w:eastAsia="Calibri" w:cstheme="minorHAnsi"/>
          <w:sz w:val="24"/>
          <w:szCs w:val="24"/>
          <w:u w:color="000000"/>
          <w:bdr w:val="nil"/>
          <w:lang w:val="el-GR"/>
        </w:rPr>
        <w:t>ο</w:t>
      </w:r>
      <w:r>
        <w:rPr>
          <w:rFonts w:eastAsia="Calibri" w:cstheme="minorHAnsi"/>
          <w:sz w:val="24"/>
          <w:szCs w:val="24"/>
          <w:u w:color="000000"/>
          <w:bdr w:val="nil"/>
          <w:lang w:val="el-GR"/>
        </w:rPr>
        <w:t>π</w:t>
      </w:r>
      <w:r w:rsidR="00544646">
        <w:rPr>
          <w:rFonts w:eastAsia="Calibri" w:cstheme="minorHAnsi"/>
          <w:sz w:val="24"/>
          <w:szCs w:val="24"/>
          <w:u w:color="000000"/>
          <w:bdr w:val="nil"/>
          <w:lang w:val="el-GR"/>
        </w:rPr>
        <w:t>ώ</w:t>
      </w:r>
      <w:r>
        <w:rPr>
          <w:rFonts w:eastAsia="Calibri" w:cstheme="minorHAnsi"/>
          <w:sz w:val="24"/>
          <w:szCs w:val="24"/>
          <w:u w:color="000000"/>
          <w:bdr w:val="nil"/>
          <w:lang w:val="el-GR"/>
        </w:rPr>
        <w:t>ν</w:t>
      </w:r>
      <w:r w:rsidR="00A5147D"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Ενώ</w:t>
      </w:r>
      <w:r w:rsidRPr="00EC45E5">
        <w:rPr>
          <w:rFonts w:eastAsia="Calibri" w:cstheme="minorHAnsi"/>
          <w:sz w:val="24"/>
          <w:szCs w:val="24"/>
          <w:u w:color="000000"/>
          <w:bdr w:val="nil"/>
          <w:lang w:val="el-GR"/>
        </w:rPr>
        <w:t>,</w:t>
      </w:r>
      <w:r w:rsidR="00A5147D"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στην</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καλύτερη</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περίπτωση</w:t>
      </w:r>
      <w:r w:rsidR="00FB0E18">
        <w:rPr>
          <w:rFonts w:eastAsia="Calibri" w:cstheme="minorHAnsi"/>
          <w:sz w:val="24"/>
          <w:szCs w:val="24"/>
          <w:u w:color="000000"/>
          <w:bdr w:val="nil"/>
          <w:lang w:val="el-GR"/>
        </w:rPr>
        <w:t xml:space="preserve"> </w:t>
      </w:r>
      <w:r>
        <w:rPr>
          <w:rFonts w:eastAsia="Calibri" w:cstheme="minorHAnsi"/>
          <w:sz w:val="24"/>
          <w:szCs w:val="24"/>
          <w:u w:color="000000"/>
          <w:bdr w:val="nil"/>
          <w:lang w:val="el-GR"/>
        </w:rPr>
        <w:t>μπορεί</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να</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εμπίπτουν</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σε</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μια</w:t>
      </w:r>
      <w:r w:rsidRPr="00EC45E5">
        <w:rPr>
          <w:rFonts w:eastAsia="Calibri" w:cstheme="minorHAnsi"/>
          <w:sz w:val="24"/>
          <w:szCs w:val="24"/>
          <w:u w:color="000000"/>
          <w:bdr w:val="nil"/>
          <w:lang w:val="el-GR"/>
        </w:rPr>
        <w:t xml:space="preserve"> </w:t>
      </w:r>
      <w:r w:rsidR="00A4376A">
        <w:rPr>
          <w:rFonts w:eastAsia="Calibri" w:cstheme="minorHAnsi"/>
          <w:sz w:val="24"/>
          <w:szCs w:val="24"/>
          <w:u w:color="000000"/>
          <w:bdr w:val="nil"/>
          <w:lang w:val="el-GR"/>
        </w:rPr>
        <w:t>υποχρέωση</w:t>
      </w:r>
      <w:r w:rsidR="00FB0E18">
        <w:rPr>
          <w:rFonts w:eastAsia="Calibri" w:cstheme="minorHAnsi"/>
          <w:sz w:val="24"/>
          <w:szCs w:val="24"/>
          <w:u w:color="000000"/>
          <w:bdr w:val="nil"/>
          <w:lang w:val="el-GR"/>
        </w:rPr>
        <w:t xml:space="preserve"> </w:t>
      </w:r>
      <w:r>
        <w:rPr>
          <w:rFonts w:eastAsia="Calibri" w:cstheme="minorHAnsi"/>
          <w:sz w:val="24"/>
          <w:szCs w:val="24"/>
          <w:u w:color="000000"/>
          <w:bdr w:val="nil"/>
          <w:lang w:val="el-GR"/>
        </w:rPr>
        <w:t>να</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δώσουν</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αναφορά</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σε</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άλλα</w:t>
      </w:r>
      <w:r w:rsidRPr="00EC45E5">
        <w:rPr>
          <w:rFonts w:eastAsia="Calibri" w:cstheme="minorHAnsi"/>
          <w:sz w:val="24"/>
          <w:szCs w:val="24"/>
          <w:u w:color="000000"/>
          <w:bdr w:val="nil"/>
          <w:lang w:val="el-GR"/>
        </w:rPr>
        <w:t xml:space="preserve"> </w:t>
      </w:r>
      <w:r w:rsidR="00FB0E18">
        <w:rPr>
          <w:rFonts w:eastAsia="Calibri" w:cstheme="minorHAnsi"/>
          <w:sz w:val="24"/>
          <w:szCs w:val="24"/>
          <w:u w:color="000000"/>
          <w:bdr w:val="nil"/>
          <w:lang w:val="el-GR"/>
        </w:rPr>
        <w:t>κ</w:t>
      </w:r>
      <w:r>
        <w:rPr>
          <w:rFonts w:eastAsia="Calibri" w:cstheme="minorHAnsi"/>
          <w:sz w:val="24"/>
          <w:szCs w:val="24"/>
          <w:u w:color="000000"/>
          <w:bdr w:val="nil"/>
          <w:lang w:val="el-GR"/>
        </w:rPr>
        <w:t>ρατικά</w:t>
      </w:r>
      <w:r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όργανα</w:t>
      </w:r>
      <w:r w:rsidR="00A5147D"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π</w:t>
      </w:r>
      <w:r w:rsidR="00A5147D" w:rsidRPr="00EC45E5">
        <w:rPr>
          <w:rFonts w:eastAsia="Calibri" w:cstheme="minorHAnsi"/>
          <w:sz w:val="24"/>
          <w:szCs w:val="24"/>
          <w:u w:color="000000"/>
          <w:bdr w:val="nil"/>
          <w:lang w:val="el-GR"/>
        </w:rPr>
        <w:t>.</w:t>
      </w:r>
      <w:r>
        <w:rPr>
          <w:rFonts w:eastAsia="Calibri" w:cstheme="minorHAnsi"/>
          <w:sz w:val="24"/>
          <w:szCs w:val="24"/>
          <w:u w:color="000000"/>
          <w:bdr w:val="nil"/>
          <w:lang w:val="el-GR"/>
        </w:rPr>
        <w:t>χ</w:t>
      </w:r>
      <w:r w:rsidR="00A5147D"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Βουλή</w:t>
      </w:r>
      <w:r w:rsidR="00A5147D"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Πρόεδρο</w:t>
      </w:r>
      <w:r w:rsidR="00A5147D"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Γενικό Εισαγγελέα</w:t>
      </w:r>
      <w:r w:rsidR="00A5147D"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δεν δημοσιεύουν τακτι</w:t>
      </w:r>
      <w:r w:rsidR="00FB0E18">
        <w:rPr>
          <w:rFonts w:eastAsia="Calibri" w:cstheme="minorHAnsi"/>
          <w:sz w:val="24"/>
          <w:szCs w:val="24"/>
          <w:u w:color="000000"/>
          <w:bdr w:val="nil"/>
          <w:lang w:val="el-GR"/>
        </w:rPr>
        <w:t>κές</w:t>
      </w:r>
      <w:r>
        <w:rPr>
          <w:rFonts w:eastAsia="Calibri" w:cstheme="minorHAnsi"/>
          <w:sz w:val="24"/>
          <w:szCs w:val="24"/>
          <w:u w:color="000000"/>
          <w:bdr w:val="nil"/>
          <w:lang w:val="el-GR"/>
        </w:rPr>
        <w:t xml:space="preserve"> δημόσιες εκθέσεις που περιλαμβάνουν</w:t>
      </w:r>
      <w:r w:rsidR="00A5147D" w:rsidRPr="00EC45E5">
        <w:rPr>
          <w:rFonts w:eastAsia="Calibri" w:cstheme="minorHAnsi"/>
          <w:sz w:val="24"/>
          <w:szCs w:val="24"/>
          <w:u w:color="000000"/>
          <w:bdr w:val="nil"/>
          <w:lang w:val="el-GR"/>
        </w:rPr>
        <w:t xml:space="preserve">, </w:t>
      </w:r>
      <w:r w:rsidR="00A4376A">
        <w:rPr>
          <w:rFonts w:eastAsia="Calibri" w:cstheme="minorHAnsi"/>
          <w:sz w:val="24"/>
          <w:szCs w:val="24"/>
          <w:u w:color="000000"/>
          <w:bdr w:val="nil"/>
          <w:lang w:val="el-GR"/>
        </w:rPr>
        <w:t>μεταξύ άλλων</w:t>
      </w:r>
      <w:r w:rsidR="00A5147D"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στατιστικές</w:t>
      </w:r>
      <w:r w:rsidR="00A5147D"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ανάλυση τάσεων</w:t>
      </w:r>
      <w:r w:rsidR="00A5147D" w:rsidRPr="00EC45E5">
        <w:rPr>
          <w:rFonts w:eastAsia="Calibri" w:cstheme="minorHAnsi"/>
          <w:sz w:val="24"/>
          <w:szCs w:val="24"/>
          <w:u w:color="000000"/>
          <w:bdr w:val="nil"/>
          <w:lang w:val="el-GR"/>
        </w:rPr>
        <w:t xml:space="preserve">, </w:t>
      </w:r>
      <w:proofErr w:type="spellStart"/>
      <w:r>
        <w:rPr>
          <w:rFonts w:eastAsia="Calibri" w:cstheme="minorHAnsi"/>
          <w:sz w:val="24"/>
          <w:szCs w:val="24"/>
          <w:u w:color="000000"/>
          <w:bdr w:val="nil"/>
          <w:lang w:val="el-GR"/>
        </w:rPr>
        <w:t>ληφθείσες</w:t>
      </w:r>
      <w:proofErr w:type="spellEnd"/>
      <w:r>
        <w:rPr>
          <w:rFonts w:eastAsia="Calibri" w:cstheme="minorHAnsi"/>
          <w:sz w:val="24"/>
          <w:szCs w:val="24"/>
          <w:u w:color="000000"/>
          <w:bdr w:val="nil"/>
          <w:lang w:val="el-GR"/>
        </w:rPr>
        <w:t xml:space="preserve"> αποφάσεις</w:t>
      </w:r>
      <w:r w:rsidR="00A5147D" w:rsidRPr="00EC45E5">
        <w:rPr>
          <w:rFonts w:eastAsia="Calibri" w:cstheme="minorHAnsi"/>
          <w:sz w:val="24"/>
          <w:szCs w:val="24"/>
          <w:u w:color="000000"/>
          <w:bdr w:val="nil"/>
          <w:lang w:val="el-GR"/>
        </w:rPr>
        <w:t xml:space="preserve"> (</w:t>
      </w:r>
      <w:r>
        <w:rPr>
          <w:rFonts w:eastAsia="Calibri" w:cstheme="minorHAnsi"/>
          <w:sz w:val="24"/>
          <w:szCs w:val="24"/>
          <w:u w:color="000000"/>
          <w:bdr w:val="nil"/>
          <w:lang w:val="el-GR"/>
        </w:rPr>
        <w:t xml:space="preserve">με τη δέουσα τήρηση </w:t>
      </w:r>
      <w:r w:rsidR="00A42D4E">
        <w:rPr>
          <w:rFonts w:eastAsia="Calibri" w:cstheme="minorHAnsi"/>
          <w:sz w:val="24"/>
          <w:szCs w:val="24"/>
          <w:u w:color="000000"/>
          <w:bdr w:val="nil"/>
          <w:lang w:val="el-GR"/>
        </w:rPr>
        <w:t xml:space="preserve">των ζητημάτων που άπτονται </w:t>
      </w:r>
      <w:r w:rsidR="003933DC">
        <w:rPr>
          <w:rFonts w:eastAsia="Calibri" w:cstheme="minorHAnsi"/>
          <w:sz w:val="24"/>
          <w:szCs w:val="24"/>
          <w:u w:color="000000"/>
          <w:bdr w:val="nil"/>
          <w:lang w:val="el-GR"/>
        </w:rPr>
        <w:t>το</w:t>
      </w:r>
      <w:r w:rsidR="00A42D4E">
        <w:rPr>
          <w:rFonts w:eastAsia="Calibri" w:cstheme="minorHAnsi"/>
          <w:sz w:val="24"/>
          <w:szCs w:val="24"/>
          <w:u w:color="000000"/>
          <w:bdr w:val="nil"/>
          <w:lang w:val="el-GR"/>
        </w:rPr>
        <w:t>υ</w:t>
      </w:r>
      <w:r w:rsidR="003933DC">
        <w:rPr>
          <w:rFonts w:eastAsia="Calibri" w:cstheme="minorHAnsi"/>
          <w:sz w:val="24"/>
          <w:szCs w:val="24"/>
          <w:u w:color="000000"/>
          <w:bdr w:val="nil"/>
          <w:lang w:val="el-GR"/>
        </w:rPr>
        <w:t xml:space="preserve"> απ</w:t>
      </w:r>
      <w:r w:rsidR="00A42D4E">
        <w:rPr>
          <w:rFonts w:eastAsia="Calibri" w:cstheme="minorHAnsi"/>
          <w:sz w:val="24"/>
          <w:szCs w:val="24"/>
          <w:u w:color="000000"/>
          <w:bdr w:val="nil"/>
          <w:lang w:val="el-GR"/>
        </w:rPr>
        <w:t>ο</w:t>
      </w:r>
      <w:r w:rsidR="003933DC">
        <w:rPr>
          <w:rFonts w:eastAsia="Calibri" w:cstheme="minorHAnsi"/>
          <w:sz w:val="24"/>
          <w:szCs w:val="24"/>
          <w:u w:color="000000"/>
          <w:bdr w:val="nil"/>
          <w:lang w:val="el-GR"/>
        </w:rPr>
        <w:t>ρρ</w:t>
      </w:r>
      <w:r w:rsidR="00A42D4E">
        <w:rPr>
          <w:rFonts w:eastAsia="Calibri" w:cstheme="minorHAnsi"/>
          <w:sz w:val="24"/>
          <w:szCs w:val="24"/>
          <w:u w:color="000000"/>
          <w:bdr w:val="nil"/>
          <w:lang w:val="el-GR"/>
        </w:rPr>
        <w:t>ή</w:t>
      </w:r>
      <w:r w:rsidR="003933DC">
        <w:rPr>
          <w:rFonts w:eastAsia="Calibri" w:cstheme="minorHAnsi"/>
          <w:sz w:val="24"/>
          <w:szCs w:val="24"/>
          <w:u w:color="000000"/>
          <w:bdr w:val="nil"/>
          <w:lang w:val="el-GR"/>
        </w:rPr>
        <w:t>το</w:t>
      </w:r>
      <w:r w:rsidR="00A42D4E">
        <w:rPr>
          <w:rFonts w:eastAsia="Calibri" w:cstheme="minorHAnsi"/>
          <w:sz w:val="24"/>
          <w:szCs w:val="24"/>
          <w:u w:color="000000"/>
          <w:bdr w:val="nil"/>
          <w:lang w:val="el-GR"/>
        </w:rPr>
        <w:t>υ</w:t>
      </w:r>
      <w:r w:rsidR="00A5147D" w:rsidRPr="00EC45E5">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κλπ</w:t>
      </w:r>
      <w:r w:rsidR="00A5147D" w:rsidRPr="00EC45E5">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Επιπλέον</w:t>
      </w:r>
      <w:r w:rsidR="00A5147D"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δεν</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υπάρχουν</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θεσμικοί</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μηχανισμοί</w:t>
      </w:r>
      <w:r w:rsidR="00A5147D"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για</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συνεργασία</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και</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ανταλλαγή</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πληροφοριών</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μεταξύ των σχετικών οργάνων</w:t>
      </w:r>
      <w:r w:rsidR="00A5147D"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 xml:space="preserve">για </w:t>
      </w:r>
      <w:r w:rsidR="00FB0E18">
        <w:rPr>
          <w:rFonts w:eastAsia="Calibri" w:cstheme="minorHAnsi"/>
          <w:sz w:val="24"/>
          <w:szCs w:val="24"/>
          <w:u w:color="000000"/>
          <w:bdr w:val="nil"/>
          <w:lang w:val="el-GR"/>
        </w:rPr>
        <w:t xml:space="preserve">να αποφύγουν </w:t>
      </w:r>
      <w:r w:rsidR="003933DC">
        <w:rPr>
          <w:rFonts w:eastAsia="Calibri" w:cstheme="minorHAnsi"/>
          <w:sz w:val="24"/>
          <w:szCs w:val="24"/>
          <w:u w:color="000000"/>
          <w:bdr w:val="nil"/>
          <w:lang w:val="el-GR"/>
        </w:rPr>
        <w:t>επαναλ</w:t>
      </w:r>
      <w:r w:rsidR="00544646">
        <w:rPr>
          <w:rFonts w:eastAsia="Calibri" w:cstheme="minorHAnsi"/>
          <w:sz w:val="24"/>
          <w:szCs w:val="24"/>
          <w:u w:color="000000"/>
          <w:bdr w:val="nil"/>
          <w:lang w:val="el-GR"/>
        </w:rPr>
        <w:t>ή</w:t>
      </w:r>
      <w:r w:rsidR="003933DC">
        <w:rPr>
          <w:rFonts w:eastAsia="Calibri" w:cstheme="minorHAnsi"/>
          <w:sz w:val="24"/>
          <w:szCs w:val="24"/>
          <w:u w:color="000000"/>
          <w:bdr w:val="nil"/>
          <w:lang w:val="el-GR"/>
        </w:rPr>
        <w:t>ψε</w:t>
      </w:r>
      <w:r w:rsidR="00FB0E18">
        <w:rPr>
          <w:rFonts w:eastAsia="Calibri" w:cstheme="minorHAnsi"/>
          <w:sz w:val="24"/>
          <w:szCs w:val="24"/>
          <w:u w:color="000000"/>
          <w:bdr w:val="nil"/>
          <w:lang w:val="el-GR"/>
        </w:rPr>
        <w:t>ις</w:t>
      </w:r>
      <w:r w:rsidR="003933DC">
        <w:rPr>
          <w:rFonts w:eastAsia="Calibri" w:cstheme="minorHAnsi"/>
          <w:sz w:val="24"/>
          <w:szCs w:val="24"/>
          <w:u w:color="000000"/>
          <w:bdr w:val="nil"/>
          <w:lang w:val="el-GR"/>
        </w:rPr>
        <w:t xml:space="preserve"> και κεν</w:t>
      </w:r>
      <w:r w:rsidR="00FB0E18">
        <w:rPr>
          <w:rFonts w:eastAsia="Calibri" w:cstheme="minorHAnsi"/>
          <w:sz w:val="24"/>
          <w:szCs w:val="24"/>
          <w:u w:color="000000"/>
          <w:bdr w:val="nil"/>
          <w:lang w:val="el-GR"/>
        </w:rPr>
        <w:t>ά</w:t>
      </w:r>
      <w:r w:rsidR="00A5147D"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 xml:space="preserve">καθώς επίσης και </w:t>
      </w:r>
      <w:r w:rsidR="00A42D4E">
        <w:rPr>
          <w:rFonts w:eastAsia="Calibri" w:cstheme="minorHAnsi"/>
          <w:sz w:val="24"/>
          <w:szCs w:val="24"/>
          <w:u w:color="000000"/>
          <w:bdr w:val="nil"/>
          <w:lang w:val="el-GR"/>
        </w:rPr>
        <w:t xml:space="preserve">για </w:t>
      </w:r>
      <w:r w:rsidR="00FB0E18">
        <w:rPr>
          <w:rFonts w:eastAsia="Calibri" w:cstheme="minorHAnsi"/>
          <w:sz w:val="24"/>
          <w:szCs w:val="24"/>
          <w:u w:color="000000"/>
          <w:bdr w:val="nil"/>
          <w:lang w:val="el-GR"/>
        </w:rPr>
        <w:t xml:space="preserve">να μοιράζονται </w:t>
      </w:r>
      <w:r w:rsidR="003933DC">
        <w:rPr>
          <w:rFonts w:eastAsia="Calibri" w:cstheme="minorHAnsi"/>
          <w:sz w:val="24"/>
          <w:szCs w:val="24"/>
          <w:u w:color="000000"/>
          <w:bdr w:val="nil"/>
          <w:lang w:val="el-GR"/>
        </w:rPr>
        <w:t>πληροφορ</w:t>
      </w:r>
      <w:r w:rsidR="00FB0E18">
        <w:rPr>
          <w:rFonts w:eastAsia="Calibri" w:cstheme="minorHAnsi"/>
          <w:sz w:val="24"/>
          <w:szCs w:val="24"/>
          <w:u w:color="000000"/>
          <w:bdr w:val="nil"/>
          <w:lang w:val="el-GR"/>
        </w:rPr>
        <w:t>ίες</w:t>
      </w:r>
      <w:r w:rsidR="003933DC">
        <w:rPr>
          <w:rFonts w:eastAsia="Calibri" w:cstheme="minorHAnsi"/>
          <w:sz w:val="24"/>
          <w:szCs w:val="24"/>
          <w:u w:color="000000"/>
          <w:bdr w:val="nil"/>
          <w:lang w:val="el-GR"/>
        </w:rPr>
        <w:t xml:space="preserve"> και </w:t>
      </w:r>
      <w:r w:rsidR="00FB0E18">
        <w:rPr>
          <w:rFonts w:eastAsia="Calibri" w:cstheme="minorHAnsi"/>
          <w:sz w:val="24"/>
          <w:szCs w:val="24"/>
          <w:u w:color="000000"/>
          <w:bdr w:val="nil"/>
          <w:lang w:val="el-GR"/>
        </w:rPr>
        <w:t>να κτίζουν πάνω στην εμπειρία</w:t>
      </w:r>
      <w:r w:rsidR="00A5147D"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Τέλος</w:t>
      </w:r>
      <w:r w:rsidR="00A5147D"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όταν</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υπάρχει</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υποψία</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ότι</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μπορεί</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να</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έχει</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διαπραχθεί</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ποινικό</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αδίκημα</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διαφθοράς</w:t>
      </w:r>
      <w:r w:rsidR="00A5147D"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οι</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υποθέσεις</w:t>
      </w:r>
      <w:r w:rsidR="003933DC"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παραπέμπονται στο Γραφείο του Γενικού Εισαγγελέα</w:t>
      </w:r>
      <w:r w:rsidR="00A5147D"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που αποφασίζει αν θα ασκήσει δίωξη ή όχι</w:t>
      </w:r>
      <w:r w:rsidR="00A5147D" w:rsidRPr="003933DC">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Όμως</w:t>
      </w:r>
      <w:r w:rsidR="003933DC" w:rsidRPr="001B09F4">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η</w:t>
      </w:r>
      <w:r w:rsidR="00A5147D" w:rsidRPr="001B09F4">
        <w:rPr>
          <w:rFonts w:eastAsia="Calibri" w:cstheme="minorHAnsi"/>
          <w:sz w:val="24"/>
          <w:szCs w:val="24"/>
          <w:u w:color="000000"/>
          <w:bdr w:val="nil"/>
          <w:lang w:val="el-GR"/>
        </w:rPr>
        <w:t xml:space="preserve"> </w:t>
      </w:r>
      <w:r w:rsidR="00A5147D" w:rsidRPr="004E251E">
        <w:rPr>
          <w:rFonts w:eastAsia="Calibri" w:cstheme="minorHAnsi"/>
          <w:sz w:val="24"/>
          <w:szCs w:val="24"/>
          <w:u w:color="000000"/>
          <w:bdr w:val="nil"/>
        </w:rPr>
        <w:t>GET</w:t>
      </w:r>
      <w:r w:rsidR="00A5147D" w:rsidRPr="001B09F4">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δεν</w:t>
      </w:r>
      <w:r w:rsidR="003933DC" w:rsidRPr="001B09F4">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διαπίστωσε</w:t>
      </w:r>
      <w:r w:rsidR="003933DC" w:rsidRPr="001B09F4">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μια</w:t>
      </w:r>
      <w:r w:rsidR="003933DC" w:rsidRPr="001B09F4">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συνεπή</w:t>
      </w:r>
      <w:r w:rsidR="003933DC" w:rsidRPr="001B09F4">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τακτική</w:t>
      </w:r>
      <w:r w:rsidR="00A5147D" w:rsidRPr="001B09F4">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αναφορικά</w:t>
      </w:r>
      <w:r w:rsidR="003933DC" w:rsidRPr="001B09F4">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με</w:t>
      </w:r>
      <w:r w:rsidR="003933DC" w:rsidRPr="001B09F4">
        <w:rPr>
          <w:rFonts w:eastAsia="Calibri" w:cstheme="minorHAnsi"/>
          <w:sz w:val="24"/>
          <w:szCs w:val="24"/>
          <w:u w:color="000000"/>
          <w:bdr w:val="nil"/>
          <w:lang w:val="el-GR"/>
        </w:rPr>
        <w:t xml:space="preserve"> </w:t>
      </w:r>
      <w:r w:rsidR="003933DC">
        <w:rPr>
          <w:rFonts w:eastAsia="Calibri" w:cstheme="minorHAnsi"/>
          <w:sz w:val="24"/>
          <w:szCs w:val="24"/>
          <w:u w:color="000000"/>
          <w:bdr w:val="nil"/>
          <w:lang w:val="el-GR"/>
        </w:rPr>
        <w:t>διαδικασίες</w:t>
      </w:r>
      <w:r w:rsidR="003933DC"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ανατροφοδότησης</w:t>
      </w:r>
      <w:r w:rsidR="00A5147D" w:rsidRPr="001B09F4">
        <w:rPr>
          <w:rFonts w:eastAsia="Calibri" w:cstheme="minorHAnsi"/>
          <w:sz w:val="24"/>
          <w:szCs w:val="24"/>
          <w:u w:color="000000"/>
          <w:bdr w:val="nil"/>
          <w:lang w:val="el-GR"/>
        </w:rPr>
        <w:t xml:space="preserve"> </w:t>
      </w:r>
      <w:r w:rsidR="00A42D4E">
        <w:rPr>
          <w:rFonts w:eastAsia="Calibri" w:cstheme="minorHAnsi"/>
          <w:sz w:val="24"/>
          <w:szCs w:val="24"/>
          <w:u w:color="000000"/>
          <w:bdr w:val="nil"/>
          <w:lang w:val="el-GR"/>
        </w:rPr>
        <w:t xml:space="preserve">προς </w:t>
      </w:r>
      <w:r w:rsidR="001B09F4">
        <w:rPr>
          <w:rFonts w:eastAsia="Calibri" w:cstheme="minorHAnsi"/>
          <w:sz w:val="24"/>
          <w:szCs w:val="24"/>
          <w:u w:color="000000"/>
          <w:bdr w:val="nil"/>
          <w:lang w:val="el-GR"/>
        </w:rPr>
        <w:t>τα</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αρμόδια</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όργανα επίβλεψης</w:t>
      </w:r>
      <w:r w:rsidR="00A5147D"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 xml:space="preserve">για το αποτέλεσμα </w:t>
      </w:r>
      <w:r w:rsidR="00FB0E18">
        <w:rPr>
          <w:rFonts w:eastAsia="Calibri" w:cstheme="minorHAnsi"/>
          <w:sz w:val="24"/>
          <w:szCs w:val="24"/>
          <w:u w:color="000000"/>
          <w:bdr w:val="nil"/>
          <w:lang w:val="el-GR"/>
        </w:rPr>
        <w:t xml:space="preserve">της </w:t>
      </w:r>
      <w:r w:rsidR="001B09F4">
        <w:rPr>
          <w:rFonts w:eastAsia="Calibri" w:cstheme="minorHAnsi"/>
          <w:sz w:val="24"/>
          <w:szCs w:val="24"/>
          <w:u w:color="000000"/>
          <w:bdr w:val="nil"/>
          <w:lang w:val="el-GR"/>
        </w:rPr>
        <w:t xml:space="preserve">περαιτέρω </w:t>
      </w:r>
      <w:r w:rsidR="00FB0E18">
        <w:rPr>
          <w:rFonts w:eastAsia="Calibri" w:cstheme="minorHAnsi"/>
          <w:sz w:val="24"/>
          <w:szCs w:val="24"/>
          <w:u w:color="000000"/>
          <w:bdr w:val="nil"/>
          <w:lang w:val="el-GR"/>
        </w:rPr>
        <w:t xml:space="preserve">ενέργειας </w:t>
      </w:r>
      <w:r w:rsidR="001B09F4">
        <w:rPr>
          <w:rFonts w:eastAsia="Calibri" w:cstheme="minorHAnsi"/>
          <w:sz w:val="24"/>
          <w:szCs w:val="24"/>
          <w:u w:color="000000"/>
          <w:bdr w:val="nil"/>
          <w:lang w:val="el-GR"/>
        </w:rPr>
        <w:t>που έχει ληφθεί</w:t>
      </w:r>
      <w:r w:rsidR="00A5147D"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και για την έκβαση της υπόθεσης</w:t>
      </w:r>
      <w:r w:rsidR="00A5147D" w:rsidRPr="001B09F4">
        <w:rPr>
          <w:rFonts w:eastAsia="Calibri" w:cstheme="minorHAnsi"/>
          <w:sz w:val="24"/>
          <w:szCs w:val="24"/>
          <w:u w:color="000000"/>
          <w:bdr w:val="nil"/>
          <w:lang w:val="el-GR"/>
        </w:rPr>
        <w:t xml:space="preserve">. </w:t>
      </w:r>
      <w:bookmarkStart w:id="167" w:name="_Hlk132889638"/>
      <w:r w:rsidR="001B09F4">
        <w:rPr>
          <w:rFonts w:eastAsia="Calibri" w:cstheme="minorHAnsi"/>
          <w:sz w:val="24"/>
          <w:szCs w:val="24"/>
          <w:u w:color="000000"/>
          <w:bdr w:val="nil"/>
          <w:lang w:val="el-GR"/>
        </w:rPr>
        <w:t>Ωστόσο</w:t>
      </w:r>
      <w:r w:rsidR="00981A2D"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πρόνοιες</w:t>
      </w:r>
      <w:r w:rsidR="00BE7833"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που</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αφορούν</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την</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ανατροφοδότηση</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μεταξύ</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της</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Αρχής</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Κατά</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της</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Διαφθοράς</w:t>
      </w:r>
      <w:r w:rsidR="00BE7833"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και</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του</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Γενικού</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Εισαγγελέα</w:t>
      </w:r>
      <w:r w:rsidR="00BE7833"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σε</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σχέση</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με</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τις</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ποινικές</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ανακρίσεις</w:t>
      </w:r>
      <w:r w:rsidR="001B09F4"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διαφθοράς</w:t>
      </w:r>
      <w:r w:rsidR="00BE7833"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βρίσκονται στη σχε</w:t>
      </w:r>
      <w:r w:rsidR="00544646">
        <w:rPr>
          <w:rFonts w:eastAsia="Calibri" w:cstheme="minorHAnsi"/>
          <w:sz w:val="24"/>
          <w:szCs w:val="24"/>
          <w:u w:color="000000"/>
          <w:bdr w:val="nil"/>
          <w:lang w:val="el-GR"/>
        </w:rPr>
        <w:t>τ</w:t>
      </w:r>
      <w:r w:rsidR="001B09F4">
        <w:rPr>
          <w:rFonts w:eastAsia="Calibri" w:cstheme="minorHAnsi"/>
          <w:sz w:val="24"/>
          <w:szCs w:val="24"/>
          <w:u w:color="000000"/>
          <w:bdr w:val="nil"/>
          <w:lang w:val="el-GR"/>
        </w:rPr>
        <w:t>ική νομοθεσία</w:t>
      </w:r>
      <w:r w:rsidR="00BE7833"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Άρθρο</w:t>
      </w:r>
      <w:r w:rsidR="00BE7833" w:rsidRPr="001B09F4">
        <w:rPr>
          <w:rFonts w:eastAsia="Calibri" w:cstheme="minorHAnsi"/>
          <w:sz w:val="24"/>
          <w:szCs w:val="24"/>
          <w:u w:color="000000"/>
          <w:bdr w:val="nil"/>
          <w:lang w:val="el-GR"/>
        </w:rPr>
        <w:t xml:space="preserve"> 10, </w:t>
      </w:r>
      <w:r w:rsidR="001B09F4">
        <w:rPr>
          <w:rFonts w:eastAsia="Calibri" w:cstheme="minorHAnsi"/>
          <w:sz w:val="24"/>
          <w:szCs w:val="24"/>
          <w:u w:color="000000"/>
          <w:bdr w:val="nil"/>
          <w:lang w:val="el-GR"/>
        </w:rPr>
        <w:t>Νόμος</w:t>
      </w:r>
      <w:r w:rsidR="00BE7833" w:rsidRPr="001B09F4">
        <w:rPr>
          <w:rFonts w:cs="Calibri"/>
          <w:sz w:val="24"/>
          <w:szCs w:val="24"/>
          <w:lang w:val="el-GR"/>
        </w:rPr>
        <w:t xml:space="preserve"> 19(</w:t>
      </w:r>
      <w:r w:rsidR="00BE7833" w:rsidRPr="00B95983">
        <w:rPr>
          <w:rFonts w:cs="Calibri"/>
          <w:sz w:val="24"/>
          <w:szCs w:val="24"/>
        </w:rPr>
        <w:t>I</w:t>
      </w:r>
      <w:r w:rsidR="00BE7833" w:rsidRPr="001B09F4">
        <w:rPr>
          <w:rFonts w:cs="Calibri"/>
          <w:sz w:val="24"/>
          <w:szCs w:val="24"/>
          <w:lang w:val="el-GR"/>
        </w:rPr>
        <w:t xml:space="preserve">)/2022), </w:t>
      </w:r>
      <w:r w:rsidR="001B09F4">
        <w:rPr>
          <w:rFonts w:cs="Calibri"/>
          <w:sz w:val="24"/>
          <w:szCs w:val="24"/>
          <w:lang w:val="el-GR"/>
        </w:rPr>
        <w:t>που είναι μια ευπρόσδεκτη εξέλιξη</w:t>
      </w:r>
      <w:r w:rsidR="00BE7833"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αλλά είναι πολύ νωρίς για να αξιολογηθεί η λειτουργικότητα τους</w:t>
      </w:r>
      <w:r w:rsidR="00BE7833" w:rsidRPr="001B09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στην πράξη</w:t>
      </w:r>
      <w:r w:rsidR="00BE7833" w:rsidRPr="001B09F4">
        <w:rPr>
          <w:rFonts w:eastAsia="Calibri" w:cstheme="minorHAnsi"/>
          <w:sz w:val="24"/>
          <w:szCs w:val="24"/>
          <w:u w:color="000000"/>
          <w:bdr w:val="nil"/>
          <w:lang w:val="el-GR"/>
        </w:rPr>
        <w:t xml:space="preserve">. </w:t>
      </w:r>
      <w:bookmarkEnd w:id="167"/>
      <w:r w:rsidR="001B09F4">
        <w:rPr>
          <w:rFonts w:eastAsia="Calibri" w:cstheme="minorHAnsi"/>
          <w:sz w:val="24"/>
          <w:szCs w:val="24"/>
          <w:u w:color="000000"/>
          <w:bdr w:val="nil"/>
          <w:lang w:val="el-GR"/>
        </w:rPr>
        <w:t>Υπό</w:t>
      </w:r>
      <w:r w:rsidR="001B09F4" w:rsidRPr="00B557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το</w:t>
      </w:r>
      <w:r w:rsidR="001B09F4" w:rsidRPr="00B557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φως</w:t>
      </w:r>
      <w:r w:rsidR="001B09F4" w:rsidRPr="00B557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των</w:t>
      </w:r>
      <w:r w:rsidR="001B09F4" w:rsidRPr="00B557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προηγο</w:t>
      </w:r>
      <w:r w:rsidR="00544646">
        <w:rPr>
          <w:rFonts w:eastAsia="Calibri" w:cstheme="minorHAnsi"/>
          <w:sz w:val="24"/>
          <w:szCs w:val="24"/>
          <w:u w:color="000000"/>
          <w:bdr w:val="nil"/>
          <w:lang w:val="el-GR"/>
        </w:rPr>
        <w:t>ύ</w:t>
      </w:r>
      <w:r w:rsidR="001B09F4">
        <w:rPr>
          <w:rFonts w:eastAsia="Calibri" w:cstheme="minorHAnsi"/>
          <w:sz w:val="24"/>
          <w:szCs w:val="24"/>
          <w:u w:color="000000"/>
          <w:bdr w:val="nil"/>
          <w:lang w:val="el-GR"/>
        </w:rPr>
        <w:t>μ</w:t>
      </w:r>
      <w:r w:rsidR="00544646">
        <w:rPr>
          <w:rFonts w:eastAsia="Calibri" w:cstheme="minorHAnsi"/>
          <w:sz w:val="24"/>
          <w:szCs w:val="24"/>
          <w:u w:color="000000"/>
          <w:bdr w:val="nil"/>
          <w:lang w:val="el-GR"/>
        </w:rPr>
        <w:t>ε</w:t>
      </w:r>
      <w:r w:rsidR="001B09F4">
        <w:rPr>
          <w:rFonts w:eastAsia="Calibri" w:cstheme="minorHAnsi"/>
          <w:sz w:val="24"/>
          <w:szCs w:val="24"/>
          <w:u w:color="000000"/>
          <w:bdr w:val="nil"/>
          <w:lang w:val="el-GR"/>
        </w:rPr>
        <w:t>νων</w:t>
      </w:r>
      <w:r w:rsidR="001B09F4" w:rsidRPr="00B557F4">
        <w:rPr>
          <w:rFonts w:eastAsia="Calibri" w:cstheme="minorHAnsi"/>
          <w:sz w:val="24"/>
          <w:szCs w:val="24"/>
          <w:u w:color="000000"/>
          <w:bdr w:val="nil"/>
          <w:lang w:val="el-GR"/>
        </w:rPr>
        <w:t xml:space="preserve"> </w:t>
      </w:r>
      <w:r w:rsidR="001B09F4">
        <w:rPr>
          <w:rFonts w:eastAsia="Calibri" w:cstheme="minorHAnsi"/>
          <w:sz w:val="24"/>
          <w:szCs w:val="24"/>
          <w:u w:color="000000"/>
          <w:bdr w:val="nil"/>
          <w:lang w:val="el-GR"/>
        </w:rPr>
        <w:t>εκτιμήσεων</w:t>
      </w:r>
      <w:r w:rsidR="00A5147D" w:rsidRPr="00B557F4">
        <w:rPr>
          <w:rFonts w:eastAsia="Calibri" w:cstheme="minorHAnsi"/>
          <w:sz w:val="24"/>
          <w:szCs w:val="24"/>
          <w:u w:color="000000"/>
          <w:bdr w:val="nil"/>
          <w:lang w:val="el-GR"/>
        </w:rPr>
        <w:t xml:space="preserve">, </w:t>
      </w:r>
      <w:r w:rsidR="001B09F4" w:rsidRPr="001B09F4">
        <w:rPr>
          <w:rFonts w:eastAsia="Calibri" w:cstheme="minorHAnsi"/>
          <w:b/>
          <w:sz w:val="24"/>
          <w:szCs w:val="24"/>
          <w:u w:color="000000"/>
          <w:bdr w:val="nil"/>
          <w:lang w:val="el-GR"/>
        </w:rPr>
        <w:t>η</w:t>
      </w:r>
      <w:r w:rsidR="001B09F4" w:rsidRPr="00B557F4">
        <w:rPr>
          <w:rFonts w:eastAsia="Calibri" w:cstheme="minorHAnsi"/>
          <w:b/>
          <w:sz w:val="24"/>
          <w:szCs w:val="24"/>
          <w:u w:color="000000"/>
          <w:bdr w:val="nil"/>
          <w:lang w:val="el-GR"/>
        </w:rPr>
        <w:t xml:space="preserve"> </w:t>
      </w:r>
      <w:r w:rsidR="00A5147D" w:rsidRPr="004E251E">
        <w:rPr>
          <w:rFonts w:eastAsia="Calibri" w:cstheme="minorHAnsi"/>
          <w:b/>
          <w:bCs/>
          <w:sz w:val="24"/>
          <w:szCs w:val="24"/>
          <w:u w:color="000000"/>
          <w:bdr w:val="nil"/>
        </w:rPr>
        <w:t>GRECO</w:t>
      </w:r>
      <w:r w:rsidR="00F405B2">
        <w:rPr>
          <w:rFonts w:eastAsia="Calibri" w:cstheme="minorHAnsi"/>
          <w:b/>
          <w:bCs/>
          <w:sz w:val="24"/>
          <w:szCs w:val="24"/>
          <w:u w:color="000000"/>
          <w:bdr w:val="nil"/>
          <w:lang w:val="el-GR"/>
        </w:rPr>
        <w:t xml:space="preserve">, αναφορικά με </w:t>
      </w:r>
      <w:r w:rsidR="00B557F4">
        <w:rPr>
          <w:rFonts w:eastAsia="Calibri" w:cstheme="minorHAnsi"/>
          <w:b/>
          <w:bCs/>
          <w:sz w:val="24"/>
          <w:szCs w:val="24"/>
          <w:u w:color="000000"/>
          <w:bdr w:val="nil"/>
          <w:lang w:val="el-GR"/>
        </w:rPr>
        <w:t>τα</w:t>
      </w:r>
      <w:r w:rsidR="00B557F4"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εξειδικευμένα</w:t>
      </w:r>
      <w:r w:rsidR="00B557F4"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όργανα</w:t>
      </w:r>
      <w:r w:rsidR="00B557F4" w:rsidRPr="00B557F4">
        <w:rPr>
          <w:rFonts w:eastAsia="Calibri" w:cstheme="minorHAnsi"/>
          <w:b/>
          <w:bCs/>
          <w:sz w:val="24"/>
          <w:szCs w:val="24"/>
          <w:u w:color="000000"/>
          <w:bdr w:val="nil"/>
          <w:lang w:val="el-GR"/>
        </w:rPr>
        <w:t xml:space="preserve"> </w:t>
      </w:r>
      <w:r w:rsidR="00A42D4E">
        <w:rPr>
          <w:rFonts w:eastAsia="Calibri" w:cstheme="minorHAnsi"/>
          <w:b/>
          <w:bCs/>
          <w:sz w:val="24"/>
          <w:szCs w:val="24"/>
          <w:u w:color="000000"/>
          <w:bdr w:val="nil"/>
          <w:lang w:val="el-GR"/>
        </w:rPr>
        <w:t xml:space="preserve">για </w:t>
      </w:r>
      <w:r w:rsidR="00B557F4">
        <w:rPr>
          <w:rFonts w:eastAsia="Calibri" w:cstheme="minorHAnsi"/>
          <w:b/>
          <w:bCs/>
          <w:sz w:val="24"/>
          <w:szCs w:val="24"/>
          <w:u w:color="000000"/>
          <w:bdr w:val="nil"/>
          <w:lang w:val="el-GR"/>
        </w:rPr>
        <w:t>θέματα</w:t>
      </w:r>
      <w:r w:rsidR="00B557F4"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που</w:t>
      </w:r>
      <w:r w:rsidR="00B557F4"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σχετίζονται</w:t>
      </w:r>
      <w:r w:rsidR="00B557F4"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με</w:t>
      </w:r>
      <w:r w:rsidR="00B557F4"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την</w:t>
      </w:r>
      <w:r w:rsidR="00B557F4" w:rsidRPr="00B557F4">
        <w:rPr>
          <w:rFonts w:eastAsia="Calibri" w:cstheme="minorHAnsi"/>
          <w:b/>
          <w:bCs/>
          <w:sz w:val="24"/>
          <w:szCs w:val="24"/>
          <w:u w:color="000000"/>
          <w:bdr w:val="nil"/>
          <w:lang w:val="el-GR"/>
        </w:rPr>
        <w:t xml:space="preserve"> </w:t>
      </w:r>
      <w:r w:rsidR="008D35D6">
        <w:rPr>
          <w:rFonts w:eastAsia="Calibri" w:cstheme="minorHAnsi"/>
          <w:b/>
          <w:bCs/>
          <w:sz w:val="24"/>
          <w:szCs w:val="24"/>
          <w:u w:color="000000"/>
          <w:bdr w:val="nil"/>
          <w:lang w:val="el-GR"/>
        </w:rPr>
        <w:t xml:space="preserve">πρόληψη </w:t>
      </w:r>
      <w:r w:rsidR="00B557F4">
        <w:rPr>
          <w:rFonts w:eastAsia="Calibri" w:cstheme="minorHAnsi"/>
          <w:b/>
          <w:bCs/>
          <w:sz w:val="24"/>
          <w:szCs w:val="24"/>
          <w:u w:color="000000"/>
          <w:bdr w:val="nil"/>
          <w:lang w:val="el-GR"/>
        </w:rPr>
        <w:t>της</w:t>
      </w:r>
      <w:r w:rsidR="00B557F4"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διαφθοράς</w:t>
      </w:r>
      <w:r w:rsidR="00B557F4" w:rsidRPr="00B557F4">
        <w:rPr>
          <w:rFonts w:eastAsia="Calibri" w:cstheme="minorHAnsi"/>
          <w:b/>
          <w:bCs/>
          <w:sz w:val="24"/>
          <w:szCs w:val="24"/>
          <w:u w:color="000000"/>
          <w:bdr w:val="nil"/>
          <w:lang w:val="el-GR"/>
        </w:rPr>
        <w:t xml:space="preserve"> </w:t>
      </w:r>
      <w:r w:rsidR="00F405B2">
        <w:rPr>
          <w:rFonts w:eastAsia="Calibri" w:cstheme="minorHAnsi"/>
          <w:b/>
          <w:bCs/>
          <w:sz w:val="24"/>
          <w:szCs w:val="24"/>
          <w:u w:color="000000"/>
          <w:bdr w:val="nil"/>
          <w:lang w:val="el-GR"/>
        </w:rPr>
        <w:t xml:space="preserve">προσώπων </w:t>
      </w:r>
      <w:r w:rsidR="00B557F4">
        <w:rPr>
          <w:rFonts w:eastAsia="Calibri" w:cstheme="minorHAnsi"/>
          <w:b/>
          <w:bCs/>
          <w:sz w:val="24"/>
          <w:szCs w:val="24"/>
          <w:u w:color="000000"/>
          <w:bdr w:val="nil"/>
          <w:lang w:val="el-GR"/>
        </w:rPr>
        <w:t>που</w:t>
      </w:r>
      <w:r w:rsidR="00B557F4"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τους</w:t>
      </w:r>
      <w:r w:rsidR="00B557F4"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έχουν</w:t>
      </w:r>
      <w:r w:rsidR="00B557F4"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ανατεθεί</w:t>
      </w:r>
      <w:r w:rsidR="00B557F4" w:rsidRPr="00B557F4">
        <w:rPr>
          <w:rFonts w:eastAsia="Calibri" w:cstheme="minorHAnsi"/>
          <w:b/>
          <w:bCs/>
          <w:sz w:val="24"/>
          <w:szCs w:val="24"/>
          <w:u w:color="000000"/>
          <w:bdr w:val="nil"/>
          <w:lang w:val="el-GR"/>
        </w:rPr>
        <w:t xml:space="preserve"> </w:t>
      </w:r>
      <w:r w:rsidR="00A42D4E">
        <w:rPr>
          <w:rFonts w:eastAsia="Calibri" w:cstheme="minorHAnsi"/>
          <w:b/>
          <w:bCs/>
          <w:sz w:val="24"/>
          <w:szCs w:val="24"/>
          <w:u w:color="000000"/>
          <w:bdr w:val="nil"/>
          <w:lang w:val="el-GR"/>
        </w:rPr>
        <w:t xml:space="preserve">ανώτατα </w:t>
      </w:r>
      <w:r w:rsidR="00B557F4">
        <w:rPr>
          <w:rFonts w:eastAsia="Calibri" w:cstheme="minorHAnsi"/>
          <w:b/>
          <w:bCs/>
          <w:sz w:val="24"/>
          <w:szCs w:val="24"/>
          <w:u w:color="000000"/>
          <w:bdr w:val="nil"/>
          <w:lang w:val="el-GR"/>
        </w:rPr>
        <w:t>εκτελεστικ</w:t>
      </w:r>
      <w:r w:rsidR="00A42D4E">
        <w:rPr>
          <w:rFonts w:eastAsia="Calibri" w:cstheme="minorHAnsi"/>
          <w:b/>
          <w:bCs/>
          <w:sz w:val="24"/>
          <w:szCs w:val="24"/>
          <w:u w:color="000000"/>
          <w:bdr w:val="nil"/>
          <w:lang w:val="el-GR"/>
        </w:rPr>
        <w:t>ά</w:t>
      </w:r>
      <w:r w:rsidR="00B557F4" w:rsidRPr="00B557F4">
        <w:rPr>
          <w:rFonts w:eastAsia="Calibri" w:cstheme="minorHAnsi"/>
          <w:b/>
          <w:bCs/>
          <w:sz w:val="24"/>
          <w:szCs w:val="24"/>
          <w:u w:color="000000"/>
          <w:bdr w:val="nil"/>
          <w:lang w:val="el-GR"/>
        </w:rPr>
        <w:t xml:space="preserve"> </w:t>
      </w:r>
      <w:r w:rsidR="00A42D4E">
        <w:rPr>
          <w:rFonts w:eastAsia="Calibri" w:cstheme="minorHAnsi"/>
          <w:b/>
          <w:bCs/>
          <w:sz w:val="24"/>
          <w:szCs w:val="24"/>
          <w:u w:color="000000"/>
          <w:bdr w:val="nil"/>
          <w:lang w:val="el-GR"/>
        </w:rPr>
        <w:t>καθήκοντα</w:t>
      </w:r>
      <w:r w:rsidR="00F405B2" w:rsidRPr="00F405B2">
        <w:rPr>
          <w:rFonts w:eastAsia="Calibri" w:cstheme="minorHAnsi"/>
          <w:b/>
          <w:bCs/>
          <w:sz w:val="24"/>
          <w:szCs w:val="24"/>
          <w:u w:color="000000"/>
          <w:bdr w:val="nil"/>
          <w:lang w:val="el-GR"/>
        </w:rPr>
        <w:t xml:space="preserve"> </w:t>
      </w:r>
      <w:r w:rsidR="00F405B2">
        <w:rPr>
          <w:rFonts w:eastAsia="Calibri" w:cstheme="minorHAnsi"/>
          <w:b/>
          <w:bCs/>
          <w:sz w:val="24"/>
          <w:szCs w:val="24"/>
          <w:u w:color="000000"/>
          <w:bdr w:val="nil"/>
          <w:lang w:val="el-GR"/>
        </w:rPr>
        <w:t>συνιστά</w:t>
      </w:r>
      <w:r w:rsidR="00F405B2" w:rsidRPr="00B557F4">
        <w:rPr>
          <w:rFonts w:eastAsia="Calibri" w:cstheme="minorHAnsi"/>
          <w:b/>
          <w:bCs/>
          <w:sz w:val="24"/>
          <w:szCs w:val="24"/>
          <w:u w:color="000000"/>
          <w:bdr w:val="nil"/>
          <w:lang w:val="el-GR"/>
        </w:rPr>
        <w:t xml:space="preserve"> </w:t>
      </w:r>
      <w:r w:rsidR="00F405B2">
        <w:rPr>
          <w:rFonts w:eastAsia="Calibri" w:cstheme="minorHAnsi"/>
          <w:b/>
          <w:bCs/>
          <w:sz w:val="24"/>
          <w:szCs w:val="24"/>
          <w:u w:color="000000"/>
          <w:bdr w:val="nil"/>
          <w:lang w:val="el-GR"/>
        </w:rPr>
        <w:t>ότι</w:t>
      </w:r>
      <w:r w:rsidR="00A42D4E">
        <w:rPr>
          <w:rFonts w:eastAsia="Calibri" w:cstheme="minorHAnsi"/>
          <w:b/>
          <w:bCs/>
          <w:sz w:val="24"/>
          <w:szCs w:val="24"/>
          <w:u w:color="000000"/>
          <w:bdr w:val="nil"/>
          <w:lang w:val="el-GR"/>
        </w:rPr>
        <w:t xml:space="preserve"> </w:t>
      </w:r>
      <w:r w:rsidR="00A5147D" w:rsidRPr="00B557F4">
        <w:rPr>
          <w:rFonts w:eastAsia="Calibri" w:cstheme="minorHAnsi"/>
          <w:b/>
          <w:bCs/>
          <w:sz w:val="24"/>
          <w:szCs w:val="24"/>
          <w:u w:color="000000"/>
          <w:bdr w:val="nil"/>
          <w:lang w:val="el-GR"/>
        </w:rPr>
        <w:t>(</w:t>
      </w:r>
      <w:proofErr w:type="spellStart"/>
      <w:r w:rsidR="00A5147D" w:rsidRPr="004E251E">
        <w:rPr>
          <w:rFonts w:eastAsia="Calibri" w:cstheme="minorHAnsi"/>
          <w:b/>
          <w:bCs/>
          <w:sz w:val="24"/>
          <w:szCs w:val="24"/>
          <w:u w:color="000000"/>
          <w:bdr w:val="nil"/>
        </w:rPr>
        <w:t>i</w:t>
      </w:r>
      <w:proofErr w:type="spellEnd"/>
      <w:r w:rsidR="00A5147D" w:rsidRPr="00B557F4">
        <w:rPr>
          <w:rFonts w:eastAsia="Calibri" w:cstheme="minorHAnsi"/>
          <w:b/>
          <w:bCs/>
          <w:sz w:val="24"/>
          <w:szCs w:val="24"/>
          <w:u w:color="000000"/>
          <w:bdr w:val="nil"/>
          <w:lang w:val="el-GR"/>
        </w:rPr>
        <w:t xml:space="preserve">) </w:t>
      </w:r>
      <w:r w:rsidR="00F405B2">
        <w:rPr>
          <w:rFonts w:eastAsia="Calibri" w:cstheme="minorHAnsi"/>
          <w:b/>
          <w:bCs/>
          <w:sz w:val="24"/>
          <w:szCs w:val="24"/>
          <w:u w:color="000000"/>
          <w:bdr w:val="nil"/>
          <w:lang w:val="el-GR"/>
        </w:rPr>
        <w:t xml:space="preserve">πρέπει </w:t>
      </w:r>
      <w:r w:rsidR="00B557F4">
        <w:rPr>
          <w:rFonts w:eastAsia="Calibri" w:cstheme="minorHAnsi"/>
          <w:b/>
          <w:bCs/>
          <w:sz w:val="24"/>
          <w:szCs w:val="24"/>
          <w:u w:color="000000"/>
          <w:bdr w:val="nil"/>
          <w:lang w:val="el-GR"/>
        </w:rPr>
        <w:t>να</w:t>
      </w:r>
      <w:r w:rsidR="00B557F4"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ληφθούν</w:t>
      </w:r>
      <w:r w:rsidR="00B557F4"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μέτρα</w:t>
      </w:r>
      <w:r w:rsidR="00B557F4"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για</w:t>
      </w:r>
      <w:r w:rsidR="00B557F4" w:rsidRPr="00B557F4">
        <w:rPr>
          <w:rFonts w:eastAsia="Calibri" w:cstheme="minorHAnsi"/>
          <w:b/>
          <w:bCs/>
          <w:sz w:val="24"/>
          <w:szCs w:val="24"/>
          <w:u w:color="000000"/>
          <w:bdr w:val="nil"/>
          <w:lang w:val="el-GR"/>
        </w:rPr>
        <w:t xml:space="preserve"> </w:t>
      </w:r>
      <w:proofErr w:type="spellStart"/>
      <w:r w:rsidR="00B557F4">
        <w:rPr>
          <w:rFonts w:eastAsia="Calibri" w:cstheme="minorHAnsi"/>
          <w:b/>
          <w:bCs/>
          <w:sz w:val="24"/>
          <w:szCs w:val="24"/>
          <w:u w:color="000000"/>
          <w:bdr w:val="nil"/>
          <w:lang w:val="el-GR"/>
        </w:rPr>
        <w:t>εξορθολογισμό</w:t>
      </w:r>
      <w:proofErr w:type="spellEnd"/>
      <w:r w:rsidR="00B557F4"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των</w:t>
      </w:r>
      <w:r w:rsidR="00B557F4"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εργασιών τους</w:t>
      </w:r>
      <w:r w:rsidR="001046C6"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και</w:t>
      </w:r>
      <w:r w:rsidR="00516F13">
        <w:rPr>
          <w:rFonts w:eastAsia="Calibri" w:cstheme="minorHAnsi"/>
          <w:b/>
          <w:bCs/>
          <w:sz w:val="24"/>
          <w:szCs w:val="24"/>
          <w:u w:color="000000"/>
          <w:bdr w:val="nil"/>
          <w:lang w:val="el-GR"/>
        </w:rPr>
        <w:t xml:space="preserve"> για</w:t>
      </w:r>
      <w:r w:rsidR="00F405B2" w:rsidRPr="00F405B2">
        <w:rPr>
          <w:rFonts w:eastAsia="Calibri" w:cstheme="minorHAnsi"/>
          <w:b/>
          <w:bCs/>
          <w:sz w:val="24"/>
          <w:szCs w:val="24"/>
          <w:u w:color="000000"/>
          <w:bdr w:val="nil"/>
          <w:lang w:val="el-GR"/>
        </w:rPr>
        <w:t xml:space="preserve"> </w:t>
      </w:r>
      <w:r w:rsidR="001A7486">
        <w:rPr>
          <w:rFonts w:eastAsia="Calibri" w:cstheme="minorHAnsi"/>
          <w:b/>
          <w:bCs/>
          <w:sz w:val="24"/>
          <w:szCs w:val="24"/>
          <w:u w:color="000000"/>
          <w:bdr w:val="nil"/>
          <w:lang w:val="el-GR"/>
        </w:rPr>
        <w:t>αν</w:t>
      </w:r>
      <w:r w:rsidR="00516F13">
        <w:rPr>
          <w:rFonts w:eastAsia="Calibri" w:cstheme="minorHAnsi"/>
          <w:b/>
          <w:bCs/>
          <w:sz w:val="24"/>
          <w:szCs w:val="24"/>
          <w:u w:color="000000"/>
          <w:bdr w:val="nil"/>
          <w:lang w:val="el-GR"/>
        </w:rPr>
        <w:t>άπτυξη</w:t>
      </w:r>
      <w:r w:rsidR="001A7486">
        <w:rPr>
          <w:rFonts w:eastAsia="Calibri" w:cstheme="minorHAnsi"/>
          <w:b/>
          <w:bCs/>
          <w:sz w:val="24"/>
          <w:szCs w:val="24"/>
          <w:u w:color="000000"/>
          <w:bdr w:val="nil"/>
          <w:lang w:val="el-GR"/>
        </w:rPr>
        <w:t xml:space="preserve"> </w:t>
      </w:r>
      <w:r w:rsidR="00F405B2">
        <w:rPr>
          <w:rFonts w:eastAsia="Calibri" w:cstheme="minorHAnsi"/>
          <w:b/>
          <w:bCs/>
          <w:sz w:val="24"/>
          <w:szCs w:val="24"/>
          <w:u w:color="000000"/>
          <w:bdr w:val="nil"/>
          <w:lang w:val="el-GR"/>
        </w:rPr>
        <w:t>μεταξύ τους</w:t>
      </w:r>
      <w:r w:rsidR="00B557F4">
        <w:rPr>
          <w:rFonts w:eastAsia="Calibri" w:cstheme="minorHAnsi"/>
          <w:b/>
          <w:bCs/>
          <w:sz w:val="24"/>
          <w:szCs w:val="24"/>
          <w:u w:color="000000"/>
          <w:bdr w:val="nil"/>
          <w:lang w:val="el-GR"/>
        </w:rPr>
        <w:t xml:space="preserve"> αποτελεσματική</w:t>
      </w:r>
      <w:r w:rsidR="001A7486">
        <w:rPr>
          <w:rFonts w:eastAsia="Calibri" w:cstheme="minorHAnsi"/>
          <w:b/>
          <w:bCs/>
          <w:sz w:val="24"/>
          <w:szCs w:val="24"/>
          <w:u w:color="000000"/>
          <w:bdr w:val="nil"/>
          <w:lang w:val="el-GR"/>
        </w:rPr>
        <w:t>ς</w:t>
      </w:r>
      <w:r w:rsidR="00B557F4">
        <w:rPr>
          <w:rFonts w:eastAsia="Calibri" w:cstheme="minorHAnsi"/>
          <w:b/>
          <w:bCs/>
          <w:sz w:val="24"/>
          <w:szCs w:val="24"/>
          <w:u w:color="000000"/>
          <w:bdr w:val="nil"/>
          <w:lang w:val="el-GR"/>
        </w:rPr>
        <w:t xml:space="preserve"> θεσμοθετημένη</w:t>
      </w:r>
      <w:r w:rsidR="001A7486">
        <w:rPr>
          <w:rFonts w:eastAsia="Calibri" w:cstheme="minorHAnsi"/>
          <w:b/>
          <w:bCs/>
          <w:sz w:val="24"/>
          <w:szCs w:val="24"/>
          <w:u w:color="000000"/>
          <w:bdr w:val="nil"/>
          <w:lang w:val="el-GR"/>
        </w:rPr>
        <w:t>ς</w:t>
      </w:r>
      <w:r w:rsidR="00B557F4">
        <w:rPr>
          <w:rFonts w:eastAsia="Calibri" w:cstheme="minorHAnsi"/>
          <w:b/>
          <w:bCs/>
          <w:sz w:val="24"/>
          <w:szCs w:val="24"/>
          <w:u w:color="000000"/>
          <w:bdr w:val="nil"/>
          <w:lang w:val="el-GR"/>
        </w:rPr>
        <w:t xml:space="preserve"> συνεργασία</w:t>
      </w:r>
      <w:r w:rsidR="001A7486">
        <w:rPr>
          <w:rFonts w:eastAsia="Calibri" w:cstheme="minorHAnsi"/>
          <w:b/>
          <w:bCs/>
          <w:sz w:val="24"/>
          <w:szCs w:val="24"/>
          <w:u w:color="000000"/>
          <w:bdr w:val="nil"/>
          <w:lang w:val="el-GR"/>
        </w:rPr>
        <w:t>ς</w:t>
      </w:r>
      <w:r w:rsidR="00A5147D"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ανταλλαγή</w:t>
      </w:r>
      <w:r w:rsidR="001A7486">
        <w:rPr>
          <w:rFonts w:eastAsia="Calibri" w:cstheme="minorHAnsi"/>
          <w:b/>
          <w:bCs/>
          <w:sz w:val="24"/>
          <w:szCs w:val="24"/>
          <w:u w:color="000000"/>
          <w:bdr w:val="nil"/>
          <w:lang w:val="el-GR"/>
        </w:rPr>
        <w:t>ς</w:t>
      </w:r>
      <w:r w:rsidR="00B557F4">
        <w:rPr>
          <w:rFonts w:eastAsia="Calibri" w:cstheme="minorHAnsi"/>
          <w:b/>
          <w:bCs/>
          <w:sz w:val="24"/>
          <w:szCs w:val="24"/>
          <w:u w:color="000000"/>
          <w:bdr w:val="nil"/>
          <w:lang w:val="el-GR"/>
        </w:rPr>
        <w:t xml:space="preserve"> πληροφοριών</w:t>
      </w:r>
      <w:r w:rsidR="00A5147D"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 xml:space="preserve">και </w:t>
      </w:r>
      <w:r w:rsidR="00516F13">
        <w:rPr>
          <w:rFonts w:eastAsia="Calibri" w:cstheme="minorHAnsi"/>
          <w:b/>
          <w:bCs/>
          <w:sz w:val="24"/>
          <w:szCs w:val="24"/>
          <w:u w:color="000000"/>
          <w:bdr w:val="nil"/>
          <w:lang w:val="el-GR"/>
        </w:rPr>
        <w:t>διαδικασιών</w:t>
      </w:r>
      <w:r w:rsidR="00B557F4">
        <w:rPr>
          <w:rFonts w:eastAsia="Calibri" w:cstheme="minorHAnsi"/>
          <w:b/>
          <w:bCs/>
          <w:sz w:val="24"/>
          <w:szCs w:val="24"/>
          <w:u w:color="000000"/>
          <w:bdr w:val="nil"/>
          <w:lang w:val="el-GR"/>
        </w:rPr>
        <w:t xml:space="preserve"> ανατροφοδότησης, και</w:t>
      </w:r>
      <w:r w:rsidR="00FC27E7" w:rsidRPr="00B557F4">
        <w:rPr>
          <w:rFonts w:eastAsia="Calibri" w:cstheme="minorHAnsi"/>
          <w:b/>
          <w:bCs/>
          <w:sz w:val="24"/>
          <w:szCs w:val="24"/>
          <w:u w:color="000000"/>
          <w:bdr w:val="nil"/>
          <w:lang w:val="el-GR"/>
        </w:rPr>
        <w:t xml:space="preserve"> (</w:t>
      </w:r>
      <w:r w:rsidR="001046C6">
        <w:rPr>
          <w:rFonts w:eastAsia="Calibri" w:cstheme="minorHAnsi"/>
          <w:b/>
          <w:bCs/>
          <w:sz w:val="24"/>
          <w:szCs w:val="24"/>
          <w:u w:color="000000"/>
          <w:bdr w:val="nil"/>
        </w:rPr>
        <w:t>ii</w:t>
      </w:r>
      <w:r w:rsidR="00FC27E7"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ότι πρέπει να λειτουργούν με κατάλληλο επίπεδο διαφάνειας</w:t>
      </w:r>
      <w:r w:rsidR="00FC27E7"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και να εκδίδουν τακτικές εκθέσεις</w:t>
      </w:r>
      <w:r w:rsidR="00FC27E7" w:rsidRPr="00B557F4">
        <w:rPr>
          <w:rFonts w:eastAsia="Calibri" w:cstheme="minorHAnsi"/>
          <w:b/>
          <w:bCs/>
          <w:sz w:val="24"/>
          <w:szCs w:val="24"/>
          <w:u w:color="000000"/>
          <w:bdr w:val="nil"/>
          <w:lang w:val="el-GR"/>
        </w:rPr>
        <w:t xml:space="preserve"> </w:t>
      </w:r>
      <w:r w:rsidR="00B557F4">
        <w:rPr>
          <w:rFonts w:eastAsia="Calibri" w:cstheme="minorHAnsi"/>
          <w:b/>
          <w:bCs/>
          <w:sz w:val="24"/>
          <w:szCs w:val="24"/>
          <w:u w:color="000000"/>
          <w:bdr w:val="nil"/>
          <w:lang w:val="el-GR"/>
        </w:rPr>
        <w:t>για τη δραστηριότητα τους, οι οποίες</w:t>
      </w:r>
      <w:r w:rsidR="00F405B2">
        <w:rPr>
          <w:rFonts w:eastAsia="Calibri" w:cstheme="minorHAnsi"/>
          <w:b/>
          <w:bCs/>
          <w:sz w:val="24"/>
          <w:szCs w:val="24"/>
          <w:u w:color="000000"/>
          <w:bdr w:val="nil"/>
          <w:lang w:val="el-GR"/>
        </w:rPr>
        <w:t xml:space="preserve"> να</w:t>
      </w:r>
      <w:r w:rsidR="00B557F4">
        <w:rPr>
          <w:rFonts w:eastAsia="Calibri" w:cstheme="minorHAnsi"/>
          <w:b/>
          <w:bCs/>
          <w:sz w:val="24"/>
          <w:szCs w:val="24"/>
          <w:u w:color="000000"/>
          <w:bdr w:val="nil"/>
          <w:lang w:val="el-GR"/>
        </w:rPr>
        <w:t xml:space="preserve"> κοι</w:t>
      </w:r>
      <w:r w:rsidR="00544646">
        <w:rPr>
          <w:rFonts w:eastAsia="Calibri" w:cstheme="minorHAnsi"/>
          <w:b/>
          <w:bCs/>
          <w:sz w:val="24"/>
          <w:szCs w:val="24"/>
          <w:u w:color="000000"/>
          <w:bdr w:val="nil"/>
          <w:lang w:val="el-GR"/>
        </w:rPr>
        <w:t>ν</w:t>
      </w:r>
      <w:r w:rsidR="00B557F4">
        <w:rPr>
          <w:rFonts w:eastAsia="Calibri" w:cstheme="minorHAnsi"/>
          <w:b/>
          <w:bCs/>
          <w:sz w:val="24"/>
          <w:szCs w:val="24"/>
          <w:u w:color="000000"/>
          <w:bdr w:val="nil"/>
          <w:lang w:val="el-GR"/>
        </w:rPr>
        <w:t xml:space="preserve">οποιούνται </w:t>
      </w:r>
      <w:r w:rsidR="00F405B2">
        <w:rPr>
          <w:rFonts w:eastAsia="Calibri" w:cstheme="minorHAnsi"/>
          <w:b/>
          <w:bCs/>
          <w:sz w:val="24"/>
          <w:szCs w:val="24"/>
          <w:u w:color="000000"/>
          <w:bdr w:val="nil"/>
          <w:lang w:val="el-GR"/>
        </w:rPr>
        <w:t xml:space="preserve">κατάλληλα </w:t>
      </w:r>
      <w:r w:rsidR="00B557F4">
        <w:rPr>
          <w:rFonts w:eastAsia="Calibri" w:cstheme="minorHAnsi"/>
          <w:b/>
          <w:bCs/>
          <w:sz w:val="24"/>
          <w:szCs w:val="24"/>
          <w:u w:color="000000"/>
          <w:bdr w:val="nil"/>
          <w:lang w:val="el-GR"/>
        </w:rPr>
        <w:t>στο κοινό</w:t>
      </w:r>
      <w:r w:rsidR="00A5147D" w:rsidRPr="00B557F4">
        <w:rPr>
          <w:rFonts w:eastAsia="Calibri" w:cstheme="minorHAnsi"/>
          <w:b/>
          <w:bCs/>
          <w:sz w:val="24"/>
          <w:szCs w:val="24"/>
          <w:u w:color="000000"/>
          <w:bdr w:val="nil"/>
          <w:lang w:val="el-GR"/>
        </w:rPr>
        <w:t>.</w:t>
      </w:r>
    </w:p>
    <w:p w14:paraId="3DC68473" w14:textId="77777777" w:rsidR="00A5147D" w:rsidRPr="00B557F4" w:rsidRDefault="00A5147D" w:rsidP="00A5147D">
      <w:pPr>
        <w:pStyle w:val="ListParagraph"/>
        <w:rPr>
          <w:rFonts w:cstheme="minorHAnsi"/>
          <w:i/>
          <w:iCs/>
          <w:sz w:val="24"/>
          <w:szCs w:val="24"/>
          <w:highlight w:val="yellow"/>
          <w:lang w:val="el-GR"/>
        </w:rPr>
      </w:pPr>
    </w:p>
    <w:p w14:paraId="03D406A0" w14:textId="2E3B5AD9" w:rsidR="00A5147D" w:rsidRPr="004E251E" w:rsidRDefault="00B557F4" w:rsidP="00A5147D">
      <w:pPr>
        <w:pStyle w:val="Heading3"/>
        <w:spacing w:before="0"/>
        <w:rPr>
          <w:rFonts w:asciiTheme="minorHAnsi" w:hAnsiTheme="minorHAnsi" w:cstheme="minorHAnsi"/>
          <w:b w:val="0"/>
          <w:bCs w:val="0"/>
          <w:i/>
          <w:iCs/>
          <w:color w:val="auto"/>
          <w:sz w:val="24"/>
          <w:szCs w:val="24"/>
          <w:u w:val="single"/>
        </w:rPr>
      </w:pPr>
      <w:bookmarkStart w:id="168" w:name="_Toc136879363"/>
      <w:r>
        <w:rPr>
          <w:rFonts w:asciiTheme="minorHAnsi" w:hAnsiTheme="minorHAnsi" w:cstheme="minorHAnsi"/>
          <w:b w:val="0"/>
          <w:bCs w:val="0"/>
          <w:i/>
          <w:iCs/>
          <w:color w:val="auto"/>
          <w:sz w:val="24"/>
          <w:szCs w:val="24"/>
          <w:lang w:val="el-GR"/>
        </w:rPr>
        <w:t>Ποινικές διαδικασίες και</w:t>
      </w:r>
      <w:r>
        <w:rPr>
          <w:rFonts w:asciiTheme="minorHAnsi" w:hAnsiTheme="minorHAnsi" w:cstheme="minorHAnsi"/>
          <w:b w:val="0"/>
          <w:bCs w:val="0"/>
          <w:i/>
          <w:iCs/>
          <w:color w:val="auto"/>
          <w:sz w:val="24"/>
          <w:szCs w:val="24"/>
          <w:lang w:val="en-US"/>
        </w:rPr>
        <w:t xml:space="preserve"> </w:t>
      </w:r>
      <w:r>
        <w:rPr>
          <w:rFonts w:asciiTheme="minorHAnsi" w:hAnsiTheme="minorHAnsi" w:cstheme="minorHAnsi"/>
          <w:b w:val="0"/>
          <w:bCs w:val="0"/>
          <w:i/>
          <w:iCs/>
          <w:color w:val="auto"/>
          <w:sz w:val="24"/>
          <w:szCs w:val="24"/>
          <w:lang w:val="el-GR"/>
        </w:rPr>
        <w:t>ασυλίες</w:t>
      </w:r>
      <w:bookmarkEnd w:id="168"/>
    </w:p>
    <w:p w14:paraId="780EC93D" w14:textId="77777777" w:rsidR="00A5147D" w:rsidRPr="004E251E" w:rsidRDefault="00A5147D" w:rsidP="00A5147D">
      <w:pPr>
        <w:keepNext/>
        <w:tabs>
          <w:tab w:val="left" w:pos="567"/>
        </w:tabs>
        <w:suppressAutoHyphens/>
        <w:rPr>
          <w:rFonts w:cstheme="minorHAnsi"/>
          <w:sz w:val="24"/>
          <w:szCs w:val="24"/>
          <w:u w:val="single"/>
        </w:rPr>
      </w:pPr>
    </w:p>
    <w:p w14:paraId="59EFF3CD" w14:textId="2C16B1A1" w:rsidR="00E67EAD" w:rsidRPr="00C339D2" w:rsidRDefault="00B557F4" w:rsidP="00BE416A">
      <w:pPr>
        <w:numPr>
          <w:ilvl w:val="0"/>
          <w:numId w:val="1"/>
        </w:numPr>
        <w:tabs>
          <w:tab w:val="clear" w:pos="6095"/>
          <w:tab w:val="left" w:pos="709"/>
        </w:tabs>
        <w:ind w:left="0" w:firstLine="0"/>
        <w:rPr>
          <w:rFonts w:eastAsia="Times New Roman" w:cstheme="minorHAnsi"/>
          <w:sz w:val="24"/>
          <w:szCs w:val="24"/>
          <w:lang w:val="el-GR" w:eastAsia="fr-FR"/>
        </w:rPr>
      </w:pPr>
      <w:r>
        <w:rPr>
          <w:rFonts w:eastAsia="Times New Roman" w:cstheme="minorHAnsi"/>
          <w:sz w:val="24"/>
          <w:szCs w:val="24"/>
          <w:lang w:val="el-GR" w:eastAsia="fr-FR"/>
        </w:rPr>
        <w:t>Ποινικές</w:t>
      </w:r>
      <w:r w:rsidRPr="00B557F4">
        <w:rPr>
          <w:rFonts w:eastAsia="Times New Roman" w:cstheme="minorHAnsi"/>
          <w:sz w:val="24"/>
          <w:szCs w:val="24"/>
          <w:lang w:val="el-GR" w:eastAsia="fr-FR"/>
        </w:rPr>
        <w:t xml:space="preserve"> </w:t>
      </w:r>
      <w:r>
        <w:rPr>
          <w:rFonts w:eastAsia="Times New Roman" w:cstheme="minorHAnsi"/>
          <w:sz w:val="24"/>
          <w:szCs w:val="24"/>
          <w:lang w:val="el-GR" w:eastAsia="fr-FR"/>
        </w:rPr>
        <w:t>διαδικασίες</w:t>
      </w:r>
      <w:r w:rsidRPr="00B557F4">
        <w:rPr>
          <w:rFonts w:eastAsia="Times New Roman" w:cstheme="minorHAnsi"/>
          <w:sz w:val="24"/>
          <w:szCs w:val="24"/>
          <w:lang w:val="el-GR" w:eastAsia="fr-FR"/>
        </w:rPr>
        <w:t xml:space="preserve"> </w:t>
      </w:r>
      <w:r>
        <w:rPr>
          <w:rFonts w:eastAsia="Times New Roman" w:cstheme="minorHAnsi"/>
          <w:sz w:val="24"/>
          <w:szCs w:val="24"/>
          <w:lang w:val="el-GR" w:eastAsia="fr-FR"/>
        </w:rPr>
        <w:t>εναντίον</w:t>
      </w:r>
      <w:r w:rsidRPr="00B557F4">
        <w:rPr>
          <w:rFonts w:eastAsia="Times New Roman" w:cstheme="minorHAnsi"/>
          <w:sz w:val="24"/>
          <w:szCs w:val="24"/>
          <w:lang w:val="el-GR" w:eastAsia="fr-FR"/>
        </w:rPr>
        <w:t xml:space="preserve"> </w:t>
      </w:r>
      <w:r w:rsidR="00F405B2">
        <w:rPr>
          <w:rFonts w:eastAsia="Times New Roman" w:cstheme="minorHAnsi"/>
          <w:sz w:val="24"/>
          <w:szCs w:val="24"/>
          <w:lang w:val="el-GR" w:eastAsia="fr-FR"/>
        </w:rPr>
        <w:t xml:space="preserve">των </w:t>
      </w:r>
      <w:r w:rsidR="00F405B2">
        <w:rPr>
          <w:rFonts w:eastAsia="Times New Roman" w:cstheme="minorHAnsi"/>
          <w:sz w:val="24"/>
          <w:szCs w:val="24"/>
          <w:lang w:val="en-US" w:eastAsia="fr-FR"/>
        </w:rPr>
        <w:t>PTEFs</w:t>
      </w:r>
      <w:r w:rsidR="00F405B2" w:rsidRPr="002B7C4B">
        <w:rPr>
          <w:rFonts w:eastAsia="Times New Roman" w:cstheme="minorHAnsi"/>
          <w:sz w:val="24"/>
          <w:szCs w:val="24"/>
          <w:lang w:val="el-GR" w:eastAsia="fr-FR"/>
        </w:rPr>
        <w:t xml:space="preserve"> </w:t>
      </w:r>
      <w:r>
        <w:rPr>
          <w:rFonts w:eastAsia="Times New Roman" w:cstheme="minorHAnsi"/>
          <w:sz w:val="24"/>
          <w:szCs w:val="24"/>
          <w:lang w:val="el-GR" w:eastAsia="fr-FR"/>
        </w:rPr>
        <w:t>είναι οι ίδιες όπως για οποιοδήποτε άλλο πολίτη</w:t>
      </w:r>
      <w:r w:rsidR="00A5147D" w:rsidRPr="00B557F4">
        <w:rPr>
          <w:rFonts w:eastAsia="Times New Roman" w:cstheme="minorHAnsi"/>
          <w:sz w:val="24"/>
          <w:szCs w:val="24"/>
          <w:lang w:val="el-GR" w:eastAsia="fr-FR"/>
        </w:rPr>
        <w:t xml:space="preserve">. </w:t>
      </w:r>
      <w:r>
        <w:rPr>
          <w:rFonts w:eastAsia="Times New Roman" w:cstheme="minorHAnsi"/>
          <w:sz w:val="24"/>
          <w:szCs w:val="24"/>
          <w:lang w:val="el-GR" w:eastAsia="fr-FR"/>
        </w:rPr>
        <w:t>Η</w:t>
      </w:r>
      <w:r w:rsidRPr="00C339D2">
        <w:rPr>
          <w:rFonts w:eastAsia="Times New Roman" w:cstheme="minorHAnsi"/>
          <w:sz w:val="24"/>
          <w:szCs w:val="24"/>
          <w:lang w:val="el-GR" w:eastAsia="fr-FR"/>
        </w:rPr>
        <w:t xml:space="preserve"> </w:t>
      </w:r>
      <w:r>
        <w:rPr>
          <w:rFonts w:eastAsia="Times New Roman" w:cstheme="minorHAnsi"/>
          <w:sz w:val="24"/>
          <w:szCs w:val="24"/>
          <w:lang w:val="el-GR" w:eastAsia="fr-FR"/>
        </w:rPr>
        <w:t>μόνη</w:t>
      </w:r>
      <w:r w:rsidRPr="00C339D2">
        <w:rPr>
          <w:rFonts w:eastAsia="Times New Roman" w:cstheme="minorHAnsi"/>
          <w:sz w:val="24"/>
          <w:szCs w:val="24"/>
          <w:lang w:val="el-GR" w:eastAsia="fr-FR"/>
        </w:rPr>
        <w:t xml:space="preserve"> </w:t>
      </w:r>
      <w:r>
        <w:rPr>
          <w:rFonts w:eastAsia="Times New Roman" w:cstheme="minorHAnsi"/>
          <w:sz w:val="24"/>
          <w:szCs w:val="24"/>
          <w:lang w:val="el-GR" w:eastAsia="fr-FR"/>
        </w:rPr>
        <w:t>διαφορά</w:t>
      </w:r>
      <w:r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είναι</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η</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ασυλία</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σε</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ποινικές</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διαδικασίες</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που</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απολαμβάνει ο Πρόεδρος της Δημοκρατίας</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κατά την διάρκει</w:t>
      </w:r>
      <w:r w:rsidR="00544646">
        <w:rPr>
          <w:rFonts w:eastAsia="Times New Roman" w:cstheme="minorHAnsi"/>
          <w:sz w:val="24"/>
          <w:szCs w:val="24"/>
          <w:lang w:val="el-GR" w:eastAsia="fr-FR"/>
        </w:rPr>
        <w:t>α</w:t>
      </w:r>
      <w:r w:rsidR="00C339D2">
        <w:rPr>
          <w:rFonts w:eastAsia="Times New Roman" w:cstheme="minorHAnsi"/>
          <w:sz w:val="24"/>
          <w:szCs w:val="24"/>
          <w:lang w:val="el-GR" w:eastAsia="fr-FR"/>
        </w:rPr>
        <w:t xml:space="preserve"> της θητείας του/ης</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Ανάλογα</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αυτός</w:t>
      </w:r>
      <w:r w:rsidR="00A5147D" w:rsidRPr="00C339D2">
        <w:rPr>
          <w:rFonts w:eastAsia="Times New Roman" w:cstheme="minorHAnsi"/>
          <w:sz w:val="24"/>
          <w:szCs w:val="24"/>
          <w:lang w:val="el-GR" w:eastAsia="fr-FR"/>
        </w:rPr>
        <w:t>/</w:t>
      </w:r>
      <w:r w:rsidR="00C339D2">
        <w:rPr>
          <w:rFonts w:eastAsia="Times New Roman" w:cstheme="minorHAnsi"/>
          <w:sz w:val="24"/>
          <w:szCs w:val="24"/>
          <w:lang w:val="el-GR" w:eastAsia="fr-FR"/>
        </w:rPr>
        <w:t>ή</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δεν</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υπόκειται</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σε</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οποιαδήποτε</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ποινική</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δίωξη</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ή</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πολ</w:t>
      </w:r>
      <w:r w:rsidR="00544646">
        <w:rPr>
          <w:rFonts w:eastAsia="Times New Roman" w:cstheme="minorHAnsi"/>
          <w:sz w:val="24"/>
          <w:szCs w:val="24"/>
          <w:lang w:val="el-GR" w:eastAsia="fr-FR"/>
        </w:rPr>
        <w:t>ι</w:t>
      </w:r>
      <w:r w:rsidR="00C339D2">
        <w:rPr>
          <w:rFonts w:eastAsia="Times New Roman" w:cstheme="minorHAnsi"/>
          <w:sz w:val="24"/>
          <w:szCs w:val="24"/>
          <w:lang w:val="el-GR" w:eastAsia="fr-FR"/>
        </w:rPr>
        <w:t>τική</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αγωγή</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για</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δραστηριότητες</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που</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διεξάγονται</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κατά</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την</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εκτέλεση</w:t>
      </w:r>
      <w:r w:rsidR="00C339D2" w:rsidRPr="00C339D2">
        <w:rPr>
          <w:rFonts w:eastAsia="Times New Roman" w:cstheme="minorHAnsi"/>
          <w:sz w:val="24"/>
          <w:szCs w:val="24"/>
          <w:lang w:val="el-GR" w:eastAsia="fr-FR"/>
        </w:rPr>
        <w:t xml:space="preserve"> </w:t>
      </w:r>
      <w:r w:rsidR="007D6AAC">
        <w:rPr>
          <w:rFonts w:eastAsia="Times New Roman" w:cstheme="minorHAnsi"/>
          <w:sz w:val="24"/>
          <w:szCs w:val="24"/>
          <w:lang w:val="el-GR" w:eastAsia="fr-FR"/>
        </w:rPr>
        <w:t xml:space="preserve">των επίσημων καθηκόντων του </w:t>
      </w:r>
      <w:r w:rsidR="00C339D2">
        <w:rPr>
          <w:rFonts w:eastAsia="Times New Roman" w:cstheme="minorHAnsi"/>
          <w:sz w:val="24"/>
          <w:szCs w:val="24"/>
          <w:lang w:val="el-GR" w:eastAsia="fr-FR"/>
        </w:rPr>
        <w:t>κατά την διάρκεια της θητείας</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lastRenderedPageBreak/>
        <w:t>εκτός από τις εξαιρέσεις που προβλέπονται από το Άρθρο</w:t>
      </w:r>
      <w:r w:rsidR="00A5147D" w:rsidRPr="00C339D2">
        <w:rPr>
          <w:rFonts w:eastAsia="Times New Roman" w:cstheme="minorHAnsi"/>
          <w:sz w:val="24"/>
          <w:szCs w:val="24"/>
          <w:lang w:val="el-GR" w:eastAsia="fr-FR"/>
        </w:rPr>
        <w:t xml:space="preserve"> 45 </w:t>
      </w:r>
      <w:r w:rsidR="00C339D2">
        <w:rPr>
          <w:rFonts w:eastAsia="Times New Roman" w:cstheme="minorHAnsi"/>
          <w:sz w:val="24"/>
          <w:szCs w:val="24"/>
          <w:lang w:val="el-GR" w:eastAsia="fr-FR"/>
        </w:rPr>
        <w:t>του Συντάγματος</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δηλαδή,</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δίωξη για εσχάτη προδοσία</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και αδικήματα που εμπλέκουν</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την ατιμία ή την ηθική</w:t>
      </w:r>
      <w:r w:rsidR="007D6AAC">
        <w:rPr>
          <w:rFonts w:eastAsia="Times New Roman" w:cstheme="minorHAnsi"/>
          <w:sz w:val="24"/>
          <w:szCs w:val="24"/>
          <w:lang w:val="el-GR" w:eastAsia="fr-FR"/>
        </w:rPr>
        <w:t xml:space="preserve"> αισχρότητα</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Για</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να</w:t>
      </w:r>
      <w:r w:rsidR="00C339D2" w:rsidRPr="00C339D2">
        <w:rPr>
          <w:rFonts w:eastAsia="Times New Roman" w:cstheme="minorHAnsi"/>
          <w:sz w:val="24"/>
          <w:szCs w:val="24"/>
          <w:lang w:val="el-GR" w:eastAsia="fr-FR"/>
        </w:rPr>
        <w:t xml:space="preserve"> </w:t>
      </w:r>
      <w:r w:rsidR="007D6AAC">
        <w:rPr>
          <w:rFonts w:eastAsia="Times New Roman" w:cstheme="minorHAnsi"/>
          <w:sz w:val="24"/>
          <w:szCs w:val="24"/>
          <w:lang w:val="el-GR" w:eastAsia="fr-FR"/>
        </w:rPr>
        <w:t xml:space="preserve">αρθεί </w:t>
      </w:r>
      <w:r w:rsidR="00C339D2">
        <w:rPr>
          <w:rFonts w:eastAsia="Times New Roman" w:cstheme="minorHAnsi"/>
          <w:sz w:val="24"/>
          <w:szCs w:val="24"/>
          <w:lang w:val="el-GR" w:eastAsia="fr-FR"/>
        </w:rPr>
        <w:t>η</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ασυλία</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ο</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Πρόεδρος</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του</w:t>
      </w:r>
      <w:r w:rsidR="00C339D2" w:rsidRPr="00C339D2">
        <w:rPr>
          <w:rFonts w:eastAsia="Times New Roman" w:cstheme="minorHAnsi"/>
          <w:sz w:val="24"/>
          <w:szCs w:val="24"/>
          <w:lang w:val="el-GR" w:eastAsia="fr-FR"/>
        </w:rPr>
        <w:t xml:space="preserve"> </w:t>
      </w:r>
      <w:proofErr w:type="spellStart"/>
      <w:r w:rsidR="00C339D2">
        <w:rPr>
          <w:rFonts w:eastAsia="Times New Roman" w:cstheme="minorHAnsi"/>
          <w:sz w:val="24"/>
          <w:szCs w:val="24"/>
          <w:lang w:val="el-GR" w:eastAsia="fr-FR"/>
        </w:rPr>
        <w:t>Ανωτάτου</w:t>
      </w:r>
      <w:proofErr w:type="spellEnd"/>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Δικαστηρίου πρέπει να δώσει τη</w:t>
      </w:r>
      <w:r w:rsidR="00C339D2" w:rsidRPr="00C339D2">
        <w:rPr>
          <w:rFonts w:eastAsia="Times New Roman" w:cstheme="minorHAnsi"/>
          <w:sz w:val="24"/>
          <w:szCs w:val="24"/>
          <w:lang w:val="el-GR" w:eastAsia="fr-FR"/>
        </w:rPr>
        <w:t xml:space="preserve"> </w:t>
      </w:r>
      <w:r w:rsidR="007D6AAC">
        <w:rPr>
          <w:rFonts w:eastAsia="Times New Roman" w:cstheme="minorHAnsi"/>
          <w:sz w:val="24"/>
          <w:szCs w:val="24"/>
          <w:lang w:val="el-GR" w:eastAsia="fr-FR"/>
        </w:rPr>
        <w:t xml:space="preserve">άδεια </w:t>
      </w:r>
      <w:r w:rsidR="00C339D2">
        <w:rPr>
          <w:rFonts w:eastAsia="Times New Roman" w:cstheme="minorHAnsi"/>
          <w:sz w:val="24"/>
          <w:szCs w:val="24"/>
          <w:lang w:val="el-GR" w:eastAsia="fr-FR"/>
        </w:rPr>
        <w:t>του/ης στον Γενικό Εισαγγελέα</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Θεωρητικά</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η</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διαφθορά</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θα</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μπορούσε</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να</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εμπίπτει</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στις</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κατηγορίες</w:t>
      </w:r>
      <w:r w:rsidR="00C339D2"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αυτές</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ωστόσο το Ανώτατο Δικαστήριο</w:t>
      </w:r>
      <w:r w:rsidR="00A5147D" w:rsidRPr="00C339D2">
        <w:rPr>
          <w:rFonts w:eastAsia="Times New Roman" w:cstheme="minorHAnsi"/>
          <w:sz w:val="24"/>
          <w:szCs w:val="24"/>
          <w:lang w:val="el-GR" w:eastAsia="fr-FR"/>
        </w:rPr>
        <w:t xml:space="preserve"> </w:t>
      </w:r>
      <w:r w:rsidR="00C339D2">
        <w:rPr>
          <w:rFonts w:eastAsia="Times New Roman" w:cstheme="minorHAnsi"/>
          <w:sz w:val="24"/>
          <w:szCs w:val="24"/>
          <w:lang w:val="el-GR" w:eastAsia="fr-FR"/>
        </w:rPr>
        <w:t>δεν έχει</w:t>
      </w:r>
      <w:r w:rsidR="007D6AAC">
        <w:rPr>
          <w:rFonts w:eastAsia="Times New Roman" w:cstheme="minorHAnsi"/>
          <w:sz w:val="24"/>
          <w:szCs w:val="24"/>
          <w:lang w:val="el-GR" w:eastAsia="fr-FR"/>
        </w:rPr>
        <w:t xml:space="preserve"> ακόμη </w:t>
      </w:r>
      <w:r w:rsidR="00EB27B6">
        <w:rPr>
          <w:rFonts w:eastAsia="Times New Roman" w:cstheme="minorHAnsi"/>
          <w:sz w:val="24"/>
          <w:szCs w:val="24"/>
          <w:lang w:val="el-GR" w:eastAsia="fr-FR"/>
        </w:rPr>
        <w:t xml:space="preserve">αποφανθεί </w:t>
      </w:r>
      <w:r w:rsidR="007D6AAC">
        <w:rPr>
          <w:rFonts w:eastAsia="Times New Roman" w:cstheme="minorHAnsi"/>
          <w:sz w:val="24"/>
          <w:szCs w:val="24"/>
          <w:lang w:val="el-GR" w:eastAsia="fr-FR"/>
        </w:rPr>
        <w:t xml:space="preserve">πάνω σε </w:t>
      </w:r>
      <w:r w:rsidR="00EB27B6">
        <w:rPr>
          <w:rFonts w:eastAsia="Times New Roman" w:cstheme="minorHAnsi"/>
          <w:sz w:val="24"/>
          <w:szCs w:val="24"/>
          <w:lang w:val="el-GR" w:eastAsia="fr-FR"/>
        </w:rPr>
        <w:t>τέτοια</w:t>
      </w:r>
      <w:r w:rsidR="008D35D6">
        <w:rPr>
          <w:rFonts w:eastAsia="Times New Roman" w:cstheme="minorHAnsi"/>
          <w:sz w:val="24"/>
          <w:szCs w:val="24"/>
          <w:lang w:val="el-GR" w:eastAsia="fr-FR"/>
        </w:rPr>
        <w:t xml:space="preserve"> περίπτωση</w:t>
      </w:r>
      <w:bookmarkEnd w:id="11"/>
      <w:r w:rsidR="00BE416A" w:rsidRPr="00C339D2">
        <w:rPr>
          <w:rFonts w:eastAsia="Times New Roman" w:cstheme="minorHAnsi"/>
          <w:sz w:val="24"/>
          <w:szCs w:val="24"/>
          <w:lang w:val="el-GR" w:eastAsia="fr-FR"/>
        </w:rPr>
        <w:t xml:space="preserve">. </w:t>
      </w:r>
    </w:p>
    <w:p w14:paraId="7625F13F" w14:textId="77777777" w:rsidR="00E67EAD" w:rsidRPr="00C339D2" w:rsidRDefault="00E67EAD">
      <w:pPr>
        <w:rPr>
          <w:rFonts w:eastAsia="Times New Roman" w:cstheme="minorHAnsi"/>
          <w:sz w:val="24"/>
          <w:szCs w:val="24"/>
          <w:lang w:val="el-GR" w:eastAsia="fr-FR"/>
        </w:rPr>
      </w:pPr>
      <w:r w:rsidRPr="00C339D2">
        <w:rPr>
          <w:rFonts w:eastAsia="Times New Roman" w:cstheme="minorHAnsi"/>
          <w:sz w:val="24"/>
          <w:szCs w:val="24"/>
          <w:lang w:val="el-GR" w:eastAsia="fr-FR"/>
        </w:rPr>
        <w:br w:type="page"/>
      </w:r>
    </w:p>
    <w:p w14:paraId="775E290C" w14:textId="77777777" w:rsidR="00A5147D" w:rsidRPr="00C339D2" w:rsidRDefault="00A5147D" w:rsidP="00BE416A">
      <w:pPr>
        <w:numPr>
          <w:ilvl w:val="0"/>
          <w:numId w:val="1"/>
        </w:numPr>
        <w:tabs>
          <w:tab w:val="clear" w:pos="6095"/>
          <w:tab w:val="left" w:pos="709"/>
        </w:tabs>
        <w:ind w:left="0" w:firstLine="0"/>
        <w:rPr>
          <w:rFonts w:eastAsiaTheme="majorEastAsia" w:cstheme="majorBidi"/>
          <w:b/>
          <w:bCs/>
          <w:sz w:val="24"/>
          <w:szCs w:val="24"/>
          <w:lang w:val="el-GR"/>
        </w:rPr>
        <w:sectPr w:rsidR="00A5147D" w:rsidRPr="00C339D2" w:rsidSect="0017592A">
          <w:type w:val="continuous"/>
          <w:pgSz w:w="11906" w:h="16838" w:code="9"/>
          <w:pgMar w:top="1134" w:right="1418" w:bottom="1134" w:left="1418" w:header="567" w:footer="567" w:gutter="0"/>
          <w:cols w:space="708"/>
          <w:docGrid w:linePitch="360"/>
        </w:sectPr>
      </w:pPr>
    </w:p>
    <w:p w14:paraId="3FFA2CDA" w14:textId="7031E928" w:rsidR="00220066" w:rsidRPr="004F79C1" w:rsidRDefault="00220066" w:rsidP="00220066">
      <w:pPr>
        <w:pStyle w:val="Heading1"/>
        <w:tabs>
          <w:tab w:val="left" w:pos="709"/>
        </w:tabs>
        <w:spacing w:before="0"/>
        <w:rPr>
          <w:rFonts w:asciiTheme="minorHAnsi" w:hAnsiTheme="minorHAnsi"/>
          <w:color w:val="auto"/>
          <w:sz w:val="24"/>
          <w:szCs w:val="24"/>
          <w:lang w:val="el-GR"/>
        </w:rPr>
      </w:pPr>
      <w:bookmarkStart w:id="169" w:name="_Toc136879364"/>
      <w:r w:rsidRPr="004E251E">
        <w:rPr>
          <w:rFonts w:asciiTheme="minorHAnsi" w:hAnsiTheme="minorHAnsi"/>
          <w:color w:val="auto"/>
          <w:sz w:val="24"/>
          <w:szCs w:val="24"/>
        </w:rPr>
        <w:lastRenderedPageBreak/>
        <w:t>V</w:t>
      </w:r>
      <w:r w:rsidRPr="004F79C1">
        <w:rPr>
          <w:rFonts w:asciiTheme="minorHAnsi" w:hAnsiTheme="minorHAnsi"/>
          <w:color w:val="auto"/>
          <w:sz w:val="24"/>
          <w:szCs w:val="24"/>
          <w:lang w:val="el-GR"/>
        </w:rPr>
        <w:t>.</w:t>
      </w:r>
      <w:r w:rsidRPr="004F79C1">
        <w:rPr>
          <w:rFonts w:asciiTheme="minorHAnsi" w:hAnsiTheme="minorHAnsi"/>
          <w:color w:val="auto"/>
          <w:sz w:val="24"/>
          <w:szCs w:val="24"/>
          <w:lang w:val="el-GR"/>
        </w:rPr>
        <w:tab/>
      </w:r>
      <w:r w:rsidR="004F79C1">
        <w:rPr>
          <w:rFonts w:asciiTheme="minorHAnsi" w:hAnsiTheme="minorHAnsi"/>
          <w:color w:val="auto"/>
          <w:sz w:val="24"/>
          <w:szCs w:val="24"/>
          <w:lang w:val="el-GR"/>
        </w:rPr>
        <w:t>ΠΡΟΛΗΨΗ</w:t>
      </w:r>
      <w:r w:rsidR="004F79C1" w:rsidRPr="004F79C1">
        <w:rPr>
          <w:rFonts w:asciiTheme="minorHAnsi" w:hAnsiTheme="minorHAnsi"/>
          <w:color w:val="auto"/>
          <w:sz w:val="24"/>
          <w:szCs w:val="24"/>
          <w:lang w:val="el-GR"/>
        </w:rPr>
        <w:t xml:space="preserve"> </w:t>
      </w:r>
      <w:r w:rsidR="004F79C1">
        <w:rPr>
          <w:rFonts w:asciiTheme="minorHAnsi" w:hAnsiTheme="minorHAnsi"/>
          <w:color w:val="auto"/>
          <w:sz w:val="24"/>
          <w:szCs w:val="24"/>
          <w:lang w:val="el-GR"/>
        </w:rPr>
        <w:t>ΔΙΑΦΘΟΡΑΣ</w:t>
      </w:r>
      <w:r w:rsidR="004F79C1" w:rsidRPr="004F79C1">
        <w:rPr>
          <w:rFonts w:asciiTheme="minorHAnsi" w:hAnsiTheme="minorHAnsi"/>
          <w:color w:val="auto"/>
          <w:sz w:val="24"/>
          <w:szCs w:val="24"/>
          <w:lang w:val="el-GR"/>
        </w:rPr>
        <w:t xml:space="preserve"> </w:t>
      </w:r>
      <w:r w:rsidR="004F79C1">
        <w:rPr>
          <w:rFonts w:asciiTheme="minorHAnsi" w:hAnsiTheme="minorHAnsi"/>
          <w:color w:val="auto"/>
          <w:sz w:val="24"/>
          <w:szCs w:val="24"/>
          <w:lang w:val="el-GR"/>
        </w:rPr>
        <w:t>ΣΕ</w:t>
      </w:r>
      <w:r w:rsidR="004F79C1" w:rsidRPr="004F79C1">
        <w:rPr>
          <w:rFonts w:asciiTheme="minorHAnsi" w:hAnsiTheme="minorHAnsi"/>
          <w:color w:val="auto"/>
          <w:sz w:val="24"/>
          <w:szCs w:val="24"/>
          <w:lang w:val="el-GR"/>
        </w:rPr>
        <w:t xml:space="preserve"> </w:t>
      </w:r>
      <w:r w:rsidR="004F79C1">
        <w:rPr>
          <w:rFonts w:asciiTheme="minorHAnsi" w:hAnsiTheme="minorHAnsi"/>
          <w:color w:val="auto"/>
          <w:sz w:val="24"/>
          <w:szCs w:val="24"/>
          <w:lang w:val="el-GR"/>
        </w:rPr>
        <w:t>ΥΠΗΡΕΣΙΕΣ</w:t>
      </w:r>
      <w:r w:rsidR="004F79C1" w:rsidRPr="004F79C1">
        <w:rPr>
          <w:rFonts w:asciiTheme="minorHAnsi" w:hAnsiTheme="minorHAnsi"/>
          <w:color w:val="auto"/>
          <w:sz w:val="24"/>
          <w:szCs w:val="24"/>
          <w:lang w:val="el-GR"/>
        </w:rPr>
        <w:t xml:space="preserve"> </w:t>
      </w:r>
      <w:r w:rsidR="004F79C1">
        <w:rPr>
          <w:rFonts w:asciiTheme="minorHAnsi" w:hAnsiTheme="minorHAnsi"/>
          <w:color w:val="auto"/>
          <w:sz w:val="24"/>
          <w:szCs w:val="24"/>
          <w:lang w:val="el-GR"/>
        </w:rPr>
        <w:t>ΕΠΙΒΟΛΗΣ</w:t>
      </w:r>
      <w:r w:rsidR="004F79C1" w:rsidRPr="004F79C1">
        <w:rPr>
          <w:rFonts w:asciiTheme="minorHAnsi" w:hAnsiTheme="minorHAnsi"/>
          <w:color w:val="auto"/>
          <w:sz w:val="24"/>
          <w:szCs w:val="24"/>
          <w:lang w:val="el-GR"/>
        </w:rPr>
        <w:t xml:space="preserve"> </w:t>
      </w:r>
      <w:r w:rsidR="004F79C1">
        <w:rPr>
          <w:rFonts w:asciiTheme="minorHAnsi" w:hAnsiTheme="minorHAnsi"/>
          <w:color w:val="auto"/>
          <w:sz w:val="24"/>
          <w:szCs w:val="24"/>
          <w:lang w:val="el-GR"/>
        </w:rPr>
        <w:t>ΤΟΥ</w:t>
      </w:r>
      <w:r w:rsidR="004F79C1" w:rsidRPr="004F79C1">
        <w:rPr>
          <w:rFonts w:asciiTheme="minorHAnsi" w:hAnsiTheme="minorHAnsi"/>
          <w:color w:val="auto"/>
          <w:sz w:val="24"/>
          <w:szCs w:val="24"/>
          <w:lang w:val="el-GR"/>
        </w:rPr>
        <w:t xml:space="preserve"> </w:t>
      </w:r>
      <w:r w:rsidR="004F79C1">
        <w:rPr>
          <w:rFonts w:asciiTheme="minorHAnsi" w:hAnsiTheme="minorHAnsi"/>
          <w:color w:val="auto"/>
          <w:sz w:val="24"/>
          <w:szCs w:val="24"/>
          <w:lang w:val="el-GR"/>
        </w:rPr>
        <w:t>ΝΟΜΟΥ</w:t>
      </w:r>
      <w:bookmarkEnd w:id="169"/>
    </w:p>
    <w:p w14:paraId="7B976E27" w14:textId="77777777" w:rsidR="00220066" w:rsidRPr="004F79C1" w:rsidRDefault="00220066" w:rsidP="00220066">
      <w:pPr>
        <w:tabs>
          <w:tab w:val="left" w:pos="567"/>
          <w:tab w:val="left" w:pos="709"/>
        </w:tabs>
        <w:suppressAutoHyphens/>
        <w:rPr>
          <w:rFonts w:cstheme="minorHAnsi"/>
          <w:b/>
          <w:bCs/>
          <w:sz w:val="24"/>
          <w:szCs w:val="24"/>
          <w:lang w:val="el-GR"/>
        </w:rPr>
      </w:pPr>
    </w:p>
    <w:p w14:paraId="7B69BF88" w14:textId="384B5A2B" w:rsidR="00220066" w:rsidRPr="004F79C1" w:rsidRDefault="004F79C1" w:rsidP="00220066">
      <w:pPr>
        <w:pStyle w:val="Heading2"/>
        <w:tabs>
          <w:tab w:val="left" w:pos="709"/>
        </w:tabs>
        <w:spacing w:before="0"/>
        <w:rPr>
          <w:rFonts w:asciiTheme="minorHAnsi" w:hAnsiTheme="minorHAnsi"/>
          <w:b w:val="0"/>
          <w:bCs w:val="0"/>
          <w:color w:val="auto"/>
          <w:sz w:val="24"/>
          <w:szCs w:val="24"/>
          <w:u w:val="single"/>
          <w:lang w:val="el-GR"/>
        </w:rPr>
      </w:pPr>
      <w:bookmarkStart w:id="170" w:name="_Toc110430322"/>
      <w:bookmarkStart w:id="171" w:name="_Toc117445161"/>
      <w:bookmarkStart w:id="172" w:name="_Toc136879365"/>
      <w:r>
        <w:rPr>
          <w:rFonts w:asciiTheme="minorHAnsi" w:hAnsiTheme="minorHAnsi"/>
          <w:b w:val="0"/>
          <w:bCs w:val="0"/>
          <w:color w:val="auto"/>
          <w:sz w:val="24"/>
          <w:szCs w:val="24"/>
          <w:u w:val="single"/>
          <w:lang w:val="el-GR"/>
        </w:rPr>
        <w:t>Οργάνωση</w:t>
      </w:r>
      <w:r w:rsidRPr="004F79C1">
        <w:rPr>
          <w:rFonts w:asciiTheme="minorHAnsi" w:hAnsiTheme="minorHAnsi"/>
          <w:b w:val="0"/>
          <w:bCs w:val="0"/>
          <w:color w:val="auto"/>
          <w:sz w:val="24"/>
          <w:szCs w:val="24"/>
          <w:u w:val="single"/>
          <w:lang w:val="el-GR"/>
        </w:rPr>
        <w:t xml:space="preserve"> </w:t>
      </w:r>
      <w:r>
        <w:rPr>
          <w:rFonts w:asciiTheme="minorHAnsi" w:hAnsiTheme="minorHAnsi"/>
          <w:b w:val="0"/>
          <w:bCs w:val="0"/>
          <w:color w:val="auto"/>
          <w:sz w:val="24"/>
          <w:szCs w:val="24"/>
          <w:u w:val="single"/>
          <w:lang w:val="el-GR"/>
        </w:rPr>
        <w:t>και</w:t>
      </w:r>
      <w:r w:rsidRPr="004F79C1">
        <w:rPr>
          <w:rFonts w:asciiTheme="minorHAnsi" w:hAnsiTheme="minorHAnsi"/>
          <w:b w:val="0"/>
          <w:bCs w:val="0"/>
          <w:color w:val="auto"/>
          <w:sz w:val="24"/>
          <w:szCs w:val="24"/>
          <w:u w:val="single"/>
          <w:lang w:val="el-GR"/>
        </w:rPr>
        <w:t xml:space="preserve"> </w:t>
      </w:r>
      <w:r>
        <w:rPr>
          <w:rFonts w:asciiTheme="minorHAnsi" w:hAnsiTheme="minorHAnsi"/>
          <w:b w:val="0"/>
          <w:bCs w:val="0"/>
          <w:color w:val="auto"/>
          <w:sz w:val="24"/>
          <w:szCs w:val="24"/>
          <w:u w:val="single"/>
          <w:lang w:val="el-GR"/>
        </w:rPr>
        <w:t>λογοδοσία</w:t>
      </w:r>
      <w:r w:rsidRPr="004F79C1">
        <w:rPr>
          <w:rFonts w:asciiTheme="minorHAnsi" w:hAnsiTheme="minorHAnsi"/>
          <w:b w:val="0"/>
          <w:bCs w:val="0"/>
          <w:color w:val="auto"/>
          <w:sz w:val="24"/>
          <w:szCs w:val="24"/>
          <w:u w:val="single"/>
          <w:lang w:val="el-GR"/>
        </w:rPr>
        <w:t xml:space="preserve"> </w:t>
      </w:r>
      <w:r>
        <w:rPr>
          <w:rFonts w:asciiTheme="minorHAnsi" w:hAnsiTheme="minorHAnsi"/>
          <w:b w:val="0"/>
          <w:bCs w:val="0"/>
          <w:color w:val="auto"/>
          <w:sz w:val="24"/>
          <w:szCs w:val="24"/>
          <w:u w:val="single"/>
          <w:lang w:val="el-GR"/>
        </w:rPr>
        <w:t>σε</w:t>
      </w:r>
      <w:r w:rsidRPr="004F79C1">
        <w:rPr>
          <w:rFonts w:asciiTheme="minorHAnsi" w:hAnsiTheme="minorHAnsi"/>
          <w:b w:val="0"/>
          <w:bCs w:val="0"/>
          <w:color w:val="auto"/>
          <w:sz w:val="24"/>
          <w:szCs w:val="24"/>
          <w:u w:val="single"/>
          <w:lang w:val="el-GR"/>
        </w:rPr>
        <w:t xml:space="preserve"> </w:t>
      </w:r>
      <w:r>
        <w:rPr>
          <w:rFonts w:asciiTheme="minorHAnsi" w:hAnsiTheme="minorHAnsi"/>
          <w:b w:val="0"/>
          <w:bCs w:val="0"/>
          <w:color w:val="auto"/>
          <w:sz w:val="24"/>
          <w:szCs w:val="24"/>
          <w:u w:val="single"/>
          <w:lang w:val="el-GR"/>
        </w:rPr>
        <w:t>αρχές</w:t>
      </w:r>
      <w:r w:rsidRPr="004F79C1">
        <w:rPr>
          <w:rFonts w:asciiTheme="minorHAnsi" w:hAnsiTheme="minorHAnsi"/>
          <w:b w:val="0"/>
          <w:bCs w:val="0"/>
          <w:color w:val="auto"/>
          <w:sz w:val="24"/>
          <w:szCs w:val="24"/>
          <w:u w:val="single"/>
          <w:lang w:val="el-GR"/>
        </w:rPr>
        <w:t xml:space="preserve"> </w:t>
      </w:r>
      <w:r>
        <w:rPr>
          <w:rFonts w:asciiTheme="minorHAnsi" w:hAnsiTheme="minorHAnsi"/>
          <w:b w:val="0"/>
          <w:bCs w:val="0"/>
          <w:color w:val="auto"/>
          <w:sz w:val="24"/>
          <w:szCs w:val="24"/>
          <w:u w:val="single"/>
          <w:lang w:val="el-GR"/>
        </w:rPr>
        <w:t>επιβολής</w:t>
      </w:r>
      <w:r w:rsidRPr="004F79C1">
        <w:rPr>
          <w:rFonts w:asciiTheme="minorHAnsi" w:hAnsiTheme="minorHAnsi"/>
          <w:b w:val="0"/>
          <w:bCs w:val="0"/>
          <w:color w:val="auto"/>
          <w:sz w:val="24"/>
          <w:szCs w:val="24"/>
          <w:u w:val="single"/>
          <w:lang w:val="el-GR"/>
        </w:rPr>
        <w:t xml:space="preserve"> </w:t>
      </w:r>
      <w:r>
        <w:rPr>
          <w:rFonts w:asciiTheme="minorHAnsi" w:hAnsiTheme="minorHAnsi"/>
          <w:b w:val="0"/>
          <w:bCs w:val="0"/>
          <w:color w:val="auto"/>
          <w:sz w:val="24"/>
          <w:szCs w:val="24"/>
          <w:u w:val="single"/>
          <w:lang w:val="el-GR"/>
        </w:rPr>
        <w:t>του</w:t>
      </w:r>
      <w:r w:rsidRPr="004F79C1">
        <w:rPr>
          <w:rFonts w:asciiTheme="minorHAnsi" w:hAnsiTheme="minorHAnsi"/>
          <w:b w:val="0"/>
          <w:bCs w:val="0"/>
          <w:color w:val="auto"/>
          <w:sz w:val="24"/>
          <w:szCs w:val="24"/>
          <w:u w:val="single"/>
          <w:lang w:val="el-GR"/>
        </w:rPr>
        <w:t xml:space="preserve"> </w:t>
      </w:r>
      <w:r>
        <w:rPr>
          <w:rFonts w:asciiTheme="minorHAnsi" w:hAnsiTheme="minorHAnsi"/>
          <w:b w:val="0"/>
          <w:bCs w:val="0"/>
          <w:color w:val="auto"/>
          <w:sz w:val="24"/>
          <w:szCs w:val="24"/>
          <w:u w:val="single"/>
          <w:lang w:val="el-GR"/>
        </w:rPr>
        <w:t>νόμου</w:t>
      </w:r>
      <w:r w:rsidRPr="004F79C1">
        <w:rPr>
          <w:rFonts w:asciiTheme="minorHAnsi" w:hAnsiTheme="minorHAnsi"/>
          <w:b w:val="0"/>
          <w:bCs w:val="0"/>
          <w:color w:val="auto"/>
          <w:sz w:val="24"/>
          <w:szCs w:val="24"/>
          <w:u w:val="single"/>
          <w:lang w:val="el-GR"/>
        </w:rPr>
        <w:t>/</w:t>
      </w:r>
      <w:r>
        <w:rPr>
          <w:rFonts w:asciiTheme="minorHAnsi" w:hAnsiTheme="minorHAnsi"/>
          <w:b w:val="0"/>
          <w:bCs w:val="0"/>
          <w:color w:val="auto"/>
          <w:sz w:val="24"/>
          <w:szCs w:val="24"/>
          <w:u w:val="single"/>
          <w:lang w:val="el-GR"/>
        </w:rPr>
        <w:t>αστυνομικές</w:t>
      </w:r>
      <w:r w:rsidRPr="004F79C1">
        <w:rPr>
          <w:rFonts w:asciiTheme="minorHAnsi" w:hAnsiTheme="minorHAnsi"/>
          <w:b w:val="0"/>
          <w:bCs w:val="0"/>
          <w:color w:val="auto"/>
          <w:sz w:val="24"/>
          <w:szCs w:val="24"/>
          <w:u w:val="single"/>
          <w:lang w:val="el-GR"/>
        </w:rPr>
        <w:t xml:space="preserve"> </w:t>
      </w:r>
      <w:r>
        <w:rPr>
          <w:rFonts w:asciiTheme="minorHAnsi" w:hAnsiTheme="minorHAnsi"/>
          <w:b w:val="0"/>
          <w:bCs w:val="0"/>
          <w:color w:val="auto"/>
          <w:sz w:val="24"/>
          <w:szCs w:val="24"/>
          <w:u w:val="single"/>
          <w:lang w:val="el-GR"/>
        </w:rPr>
        <w:t>αρχές</w:t>
      </w:r>
      <w:bookmarkEnd w:id="170"/>
      <w:bookmarkEnd w:id="171"/>
      <w:bookmarkEnd w:id="172"/>
    </w:p>
    <w:p w14:paraId="22E5BDDE" w14:textId="77777777" w:rsidR="00220066" w:rsidRPr="004F79C1" w:rsidRDefault="00220066" w:rsidP="00220066">
      <w:pPr>
        <w:keepNext/>
        <w:tabs>
          <w:tab w:val="left" w:pos="709"/>
        </w:tabs>
        <w:rPr>
          <w:rFonts w:cstheme="minorHAnsi"/>
          <w:sz w:val="24"/>
          <w:szCs w:val="24"/>
          <w:lang w:val="el-GR"/>
        </w:rPr>
      </w:pPr>
    </w:p>
    <w:p w14:paraId="62B1B20E" w14:textId="340F5F2F" w:rsidR="00220066" w:rsidRPr="004F79C1" w:rsidRDefault="004F79C1" w:rsidP="00220066">
      <w:pPr>
        <w:pStyle w:val="Heading3"/>
        <w:tabs>
          <w:tab w:val="left" w:pos="709"/>
        </w:tabs>
        <w:spacing w:before="0"/>
        <w:rPr>
          <w:rFonts w:asciiTheme="minorHAnsi" w:hAnsiTheme="minorHAnsi"/>
          <w:b w:val="0"/>
          <w:i/>
          <w:color w:val="auto"/>
          <w:sz w:val="24"/>
          <w:szCs w:val="24"/>
          <w:lang w:val="el-GR"/>
        </w:rPr>
      </w:pPr>
      <w:bookmarkStart w:id="173" w:name="_Toc110430323"/>
      <w:bookmarkStart w:id="174" w:name="_Toc117445162"/>
      <w:bookmarkStart w:id="175" w:name="_Toc136879366"/>
      <w:r>
        <w:rPr>
          <w:rFonts w:asciiTheme="minorHAnsi" w:hAnsiTheme="minorHAnsi"/>
          <w:b w:val="0"/>
          <w:i/>
          <w:color w:val="auto"/>
          <w:sz w:val="24"/>
          <w:szCs w:val="24"/>
          <w:lang w:val="en-US"/>
        </w:rPr>
        <w:t>E</w:t>
      </w:r>
      <w:proofErr w:type="spellStart"/>
      <w:r>
        <w:rPr>
          <w:rFonts w:asciiTheme="minorHAnsi" w:hAnsiTheme="minorHAnsi"/>
          <w:b w:val="0"/>
          <w:i/>
          <w:color w:val="auto"/>
          <w:sz w:val="24"/>
          <w:szCs w:val="24"/>
          <w:lang w:val="el-GR"/>
        </w:rPr>
        <w:t>πισκόπηση</w:t>
      </w:r>
      <w:proofErr w:type="spellEnd"/>
      <w:r w:rsidRPr="004F79C1">
        <w:rPr>
          <w:rFonts w:asciiTheme="minorHAnsi" w:hAnsiTheme="minorHAnsi"/>
          <w:b w:val="0"/>
          <w:i/>
          <w:color w:val="auto"/>
          <w:sz w:val="24"/>
          <w:szCs w:val="24"/>
          <w:lang w:val="el-GR"/>
        </w:rPr>
        <w:t xml:space="preserve"> </w:t>
      </w:r>
      <w:r>
        <w:rPr>
          <w:rFonts w:asciiTheme="minorHAnsi" w:hAnsiTheme="minorHAnsi"/>
          <w:b w:val="0"/>
          <w:i/>
          <w:color w:val="auto"/>
          <w:sz w:val="24"/>
          <w:szCs w:val="24"/>
          <w:lang w:val="el-GR"/>
        </w:rPr>
        <w:t>διάφορων</w:t>
      </w:r>
      <w:r w:rsidRPr="004F79C1">
        <w:rPr>
          <w:rFonts w:asciiTheme="minorHAnsi" w:hAnsiTheme="minorHAnsi"/>
          <w:b w:val="0"/>
          <w:i/>
          <w:color w:val="auto"/>
          <w:sz w:val="24"/>
          <w:szCs w:val="24"/>
          <w:lang w:val="el-GR"/>
        </w:rPr>
        <w:t xml:space="preserve"> </w:t>
      </w:r>
      <w:r>
        <w:rPr>
          <w:rFonts w:asciiTheme="minorHAnsi" w:hAnsiTheme="minorHAnsi"/>
          <w:b w:val="0"/>
          <w:i/>
          <w:color w:val="auto"/>
          <w:sz w:val="24"/>
          <w:szCs w:val="24"/>
          <w:lang w:val="el-GR"/>
        </w:rPr>
        <w:t>αρχών</w:t>
      </w:r>
      <w:r w:rsidRPr="004F79C1">
        <w:rPr>
          <w:rFonts w:asciiTheme="minorHAnsi" w:hAnsiTheme="minorHAnsi"/>
          <w:b w:val="0"/>
          <w:i/>
          <w:color w:val="auto"/>
          <w:sz w:val="24"/>
          <w:szCs w:val="24"/>
          <w:lang w:val="el-GR"/>
        </w:rPr>
        <w:t xml:space="preserve"> </w:t>
      </w:r>
      <w:r>
        <w:rPr>
          <w:rFonts w:asciiTheme="minorHAnsi" w:hAnsiTheme="minorHAnsi"/>
          <w:b w:val="0"/>
          <w:i/>
          <w:color w:val="auto"/>
          <w:sz w:val="24"/>
          <w:szCs w:val="24"/>
          <w:lang w:val="el-GR"/>
        </w:rPr>
        <w:t>επιβολής</w:t>
      </w:r>
      <w:r w:rsidRPr="004F79C1">
        <w:rPr>
          <w:rFonts w:asciiTheme="minorHAnsi" w:hAnsiTheme="minorHAnsi"/>
          <w:b w:val="0"/>
          <w:i/>
          <w:color w:val="auto"/>
          <w:sz w:val="24"/>
          <w:szCs w:val="24"/>
          <w:lang w:val="el-GR"/>
        </w:rPr>
        <w:t xml:space="preserve"> </w:t>
      </w:r>
      <w:r>
        <w:rPr>
          <w:rFonts w:asciiTheme="minorHAnsi" w:hAnsiTheme="minorHAnsi"/>
          <w:b w:val="0"/>
          <w:i/>
          <w:color w:val="auto"/>
          <w:sz w:val="24"/>
          <w:szCs w:val="24"/>
          <w:lang w:val="el-GR"/>
        </w:rPr>
        <w:t>του</w:t>
      </w:r>
      <w:r w:rsidRPr="004F79C1">
        <w:rPr>
          <w:rFonts w:asciiTheme="minorHAnsi" w:hAnsiTheme="minorHAnsi"/>
          <w:b w:val="0"/>
          <w:i/>
          <w:color w:val="auto"/>
          <w:sz w:val="24"/>
          <w:szCs w:val="24"/>
          <w:lang w:val="el-GR"/>
        </w:rPr>
        <w:t xml:space="preserve"> </w:t>
      </w:r>
      <w:r>
        <w:rPr>
          <w:rFonts w:asciiTheme="minorHAnsi" w:hAnsiTheme="minorHAnsi"/>
          <w:b w:val="0"/>
          <w:i/>
          <w:color w:val="auto"/>
          <w:sz w:val="24"/>
          <w:szCs w:val="24"/>
          <w:lang w:val="el-GR"/>
        </w:rPr>
        <w:t>νόμου</w:t>
      </w:r>
      <w:bookmarkEnd w:id="173"/>
      <w:bookmarkEnd w:id="174"/>
      <w:bookmarkEnd w:id="175"/>
      <w:r w:rsidR="00220066" w:rsidRPr="004F79C1">
        <w:rPr>
          <w:rFonts w:asciiTheme="minorHAnsi" w:hAnsiTheme="minorHAnsi"/>
          <w:b w:val="0"/>
          <w:i/>
          <w:color w:val="auto"/>
          <w:sz w:val="24"/>
          <w:szCs w:val="24"/>
          <w:lang w:val="el-GR"/>
        </w:rPr>
        <w:t xml:space="preserve"> </w:t>
      </w:r>
    </w:p>
    <w:p w14:paraId="5608BD11" w14:textId="77777777" w:rsidR="00220066" w:rsidRPr="004F79C1" w:rsidRDefault="00220066" w:rsidP="00220066">
      <w:pPr>
        <w:widowControl w:val="0"/>
        <w:rPr>
          <w:rFonts w:cstheme="minorHAnsi"/>
          <w:sz w:val="24"/>
          <w:szCs w:val="24"/>
          <w:lang w:val="el-GR"/>
        </w:rPr>
      </w:pPr>
    </w:p>
    <w:p w14:paraId="284A2A4A" w14:textId="62CD1B04" w:rsidR="00220066" w:rsidRPr="004F79C1" w:rsidRDefault="004F79C1" w:rsidP="00220066">
      <w:pPr>
        <w:widowControl w:val="0"/>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Υπάρχουν</w:t>
      </w:r>
      <w:r w:rsidRPr="004F79C1">
        <w:rPr>
          <w:rFonts w:cstheme="minorHAnsi"/>
          <w:sz w:val="24"/>
          <w:szCs w:val="24"/>
          <w:lang w:val="el-GR"/>
        </w:rPr>
        <w:t xml:space="preserve"> </w:t>
      </w:r>
      <w:r>
        <w:rPr>
          <w:rFonts w:cstheme="minorHAnsi"/>
          <w:sz w:val="24"/>
          <w:szCs w:val="24"/>
          <w:lang w:val="el-GR"/>
        </w:rPr>
        <w:t>αρκετές</w:t>
      </w:r>
      <w:r w:rsidRPr="004F79C1">
        <w:rPr>
          <w:rFonts w:cstheme="minorHAnsi"/>
          <w:sz w:val="24"/>
          <w:szCs w:val="24"/>
          <w:lang w:val="el-GR"/>
        </w:rPr>
        <w:t xml:space="preserve"> </w:t>
      </w:r>
      <w:r>
        <w:rPr>
          <w:rFonts w:cstheme="minorHAnsi"/>
          <w:sz w:val="24"/>
          <w:szCs w:val="24"/>
          <w:lang w:val="el-GR"/>
        </w:rPr>
        <w:t>κυβερνητικές</w:t>
      </w:r>
      <w:r w:rsidRPr="004F79C1">
        <w:rPr>
          <w:rFonts w:cstheme="minorHAnsi"/>
          <w:sz w:val="24"/>
          <w:szCs w:val="24"/>
          <w:lang w:val="el-GR"/>
        </w:rPr>
        <w:t xml:space="preserve"> </w:t>
      </w:r>
      <w:r>
        <w:rPr>
          <w:rFonts w:cstheme="minorHAnsi"/>
          <w:sz w:val="24"/>
          <w:szCs w:val="24"/>
          <w:lang w:val="el-GR"/>
        </w:rPr>
        <w:t>υπηρεσίες</w:t>
      </w:r>
      <w:r w:rsidR="00220066" w:rsidRPr="004F79C1">
        <w:rPr>
          <w:rFonts w:eastAsia="Times New Roman" w:cstheme="minorHAnsi"/>
          <w:sz w:val="24"/>
          <w:szCs w:val="24"/>
          <w:lang w:val="el-GR" w:eastAsia="fr-FR"/>
        </w:rPr>
        <w:t xml:space="preserve"> </w:t>
      </w:r>
      <w:r>
        <w:rPr>
          <w:rFonts w:eastAsia="Times New Roman" w:cstheme="minorHAnsi"/>
          <w:sz w:val="24"/>
          <w:szCs w:val="24"/>
          <w:lang w:val="el-GR" w:eastAsia="fr-FR"/>
        </w:rPr>
        <w:t>που</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θεωρούνται</w:t>
      </w:r>
      <w:r w:rsidRPr="004F79C1">
        <w:rPr>
          <w:rFonts w:eastAsia="Times New Roman" w:cstheme="minorHAnsi"/>
          <w:sz w:val="24"/>
          <w:szCs w:val="24"/>
          <w:lang w:val="el-GR" w:eastAsia="fr-FR"/>
        </w:rPr>
        <w:t xml:space="preserve"> </w:t>
      </w:r>
      <w:r w:rsidR="000A1E9C">
        <w:rPr>
          <w:rFonts w:eastAsia="Times New Roman" w:cstheme="minorHAnsi"/>
          <w:sz w:val="24"/>
          <w:szCs w:val="24"/>
          <w:lang w:val="el-GR" w:eastAsia="fr-FR"/>
        </w:rPr>
        <w:t>Α</w:t>
      </w:r>
      <w:r>
        <w:rPr>
          <w:rFonts w:eastAsia="Times New Roman" w:cstheme="minorHAnsi"/>
          <w:sz w:val="24"/>
          <w:szCs w:val="24"/>
          <w:lang w:val="el-GR" w:eastAsia="fr-FR"/>
        </w:rPr>
        <w:t>ρχές</w:t>
      </w:r>
      <w:r w:rsidRPr="004F79C1">
        <w:rPr>
          <w:rFonts w:eastAsia="Times New Roman" w:cstheme="minorHAnsi"/>
          <w:sz w:val="24"/>
          <w:szCs w:val="24"/>
          <w:lang w:val="el-GR" w:eastAsia="fr-FR"/>
        </w:rPr>
        <w:t xml:space="preserve"> </w:t>
      </w:r>
      <w:r w:rsidR="000A1E9C">
        <w:rPr>
          <w:rFonts w:eastAsia="Times New Roman" w:cstheme="minorHAnsi"/>
          <w:sz w:val="24"/>
          <w:szCs w:val="24"/>
          <w:lang w:val="el-GR" w:eastAsia="fr-FR"/>
        </w:rPr>
        <w:t>Ε</w:t>
      </w:r>
      <w:r>
        <w:rPr>
          <w:rFonts w:eastAsia="Times New Roman" w:cstheme="minorHAnsi"/>
          <w:sz w:val="24"/>
          <w:szCs w:val="24"/>
          <w:lang w:val="el-GR" w:eastAsia="fr-FR"/>
        </w:rPr>
        <w:t>πιβολής</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του</w:t>
      </w:r>
      <w:r w:rsidRPr="004F79C1">
        <w:rPr>
          <w:rFonts w:eastAsia="Times New Roman" w:cstheme="minorHAnsi"/>
          <w:sz w:val="24"/>
          <w:szCs w:val="24"/>
          <w:lang w:val="el-GR" w:eastAsia="fr-FR"/>
        </w:rPr>
        <w:t xml:space="preserve"> </w:t>
      </w:r>
      <w:r w:rsidR="000A1E9C">
        <w:rPr>
          <w:rFonts w:eastAsia="Times New Roman" w:cstheme="minorHAnsi"/>
          <w:sz w:val="24"/>
          <w:szCs w:val="24"/>
          <w:lang w:val="el-GR" w:eastAsia="fr-FR"/>
        </w:rPr>
        <w:t>Ν</w:t>
      </w:r>
      <w:r>
        <w:rPr>
          <w:rFonts w:eastAsia="Times New Roman" w:cstheme="minorHAnsi"/>
          <w:sz w:val="24"/>
          <w:szCs w:val="24"/>
          <w:lang w:val="el-GR" w:eastAsia="fr-FR"/>
        </w:rPr>
        <w:t>όμου</w:t>
      </w:r>
      <w:r w:rsidR="00220066" w:rsidRPr="004F79C1">
        <w:rPr>
          <w:rFonts w:eastAsia="Times New Roman" w:cstheme="minorHAnsi"/>
          <w:sz w:val="24"/>
          <w:szCs w:val="24"/>
          <w:lang w:val="el-GR" w:eastAsia="fr-FR"/>
        </w:rPr>
        <w:t xml:space="preserve"> (</w:t>
      </w:r>
      <w:r>
        <w:rPr>
          <w:rFonts w:eastAsia="Times New Roman" w:cstheme="minorHAnsi"/>
          <w:sz w:val="24"/>
          <w:szCs w:val="24"/>
          <w:lang w:val="el-GR" w:eastAsia="fr-FR"/>
        </w:rPr>
        <w:t>στο</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εξής</w:t>
      </w:r>
      <w:r w:rsidR="00220066" w:rsidRPr="004F79C1">
        <w:rPr>
          <w:rFonts w:eastAsia="Times New Roman" w:cstheme="minorHAnsi"/>
          <w:sz w:val="24"/>
          <w:szCs w:val="24"/>
          <w:lang w:val="el-GR" w:eastAsia="fr-FR"/>
        </w:rPr>
        <w:t xml:space="preserve">: </w:t>
      </w:r>
      <w:r>
        <w:rPr>
          <w:rFonts w:eastAsia="Times New Roman" w:cstheme="minorHAnsi"/>
          <w:sz w:val="24"/>
          <w:szCs w:val="24"/>
          <w:lang w:val="el-GR" w:eastAsia="fr-FR"/>
        </w:rPr>
        <w:t>ΑΕΝ</w:t>
      </w:r>
      <w:r w:rsidR="00220066" w:rsidRPr="004F79C1">
        <w:rPr>
          <w:rFonts w:eastAsia="Times New Roman" w:cstheme="minorHAnsi"/>
          <w:sz w:val="24"/>
          <w:szCs w:val="24"/>
          <w:lang w:val="el-GR" w:eastAsia="fr-FR"/>
        </w:rPr>
        <w:t xml:space="preserve">), </w:t>
      </w:r>
      <w:r>
        <w:rPr>
          <w:rFonts w:eastAsia="Times New Roman" w:cstheme="minorHAnsi"/>
          <w:sz w:val="24"/>
          <w:szCs w:val="24"/>
          <w:lang w:val="el-GR" w:eastAsia="fr-FR"/>
        </w:rPr>
        <w:t>η</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κάθε</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μια</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στο</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πεδίο</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της</w:t>
      </w:r>
      <w:r w:rsidR="00220066" w:rsidRPr="004F79C1">
        <w:rPr>
          <w:rFonts w:eastAsia="Times New Roman" w:cstheme="minorHAnsi"/>
          <w:sz w:val="24"/>
          <w:szCs w:val="24"/>
          <w:lang w:val="el-GR" w:eastAsia="fr-FR"/>
        </w:rPr>
        <w:t xml:space="preserve">, </w:t>
      </w:r>
      <w:r>
        <w:rPr>
          <w:rFonts w:eastAsia="Times New Roman" w:cstheme="minorHAnsi"/>
          <w:sz w:val="24"/>
          <w:szCs w:val="24"/>
          <w:lang w:val="el-GR" w:eastAsia="fr-FR"/>
        </w:rPr>
        <w:t>όπως</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η</w:t>
      </w:r>
      <w:r w:rsidRPr="004F79C1">
        <w:rPr>
          <w:rFonts w:eastAsia="Times New Roman" w:cstheme="minorHAnsi"/>
          <w:sz w:val="24"/>
          <w:szCs w:val="24"/>
          <w:lang w:val="el-GR" w:eastAsia="fr-FR"/>
        </w:rPr>
        <w:t xml:space="preserve"> </w:t>
      </w:r>
      <w:r w:rsidR="009C4E34">
        <w:rPr>
          <w:rFonts w:eastAsia="Times New Roman" w:cstheme="minorHAnsi"/>
          <w:sz w:val="24"/>
          <w:szCs w:val="24"/>
          <w:lang w:val="el-GR" w:eastAsia="fr-FR"/>
        </w:rPr>
        <w:t>Αστυνομία</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Κύπρου</w:t>
      </w:r>
      <w:r w:rsidR="00220066" w:rsidRPr="004F79C1">
        <w:rPr>
          <w:rFonts w:eastAsia="Times New Roman" w:cstheme="minorHAnsi"/>
          <w:sz w:val="24"/>
          <w:szCs w:val="24"/>
          <w:lang w:val="el-GR" w:eastAsia="fr-FR"/>
        </w:rPr>
        <w:t xml:space="preserve"> </w:t>
      </w:r>
      <w:r>
        <w:rPr>
          <w:rFonts w:eastAsia="Times New Roman" w:cstheme="minorHAnsi"/>
          <w:sz w:val="24"/>
          <w:szCs w:val="24"/>
          <w:lang w:val="el-GR" w:eastAsia="fr-FR"/>
        </w:rPr>
        <w:t>που</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λειτουργεί</w:t>
      </w:r>
      <w:r w:rsidR="00220066" w:rsidRPr="004F79C1">
        <w:rPr>
          <w:rFonts w:eastAsia="Times New Roman" w:cstheme="minorHAnsi"/>
          <w:sz w:val="24"/>
          <w:szCs w:val="24"/>
          <w:lang w:val="el-GR" w:eastAsia="fr-FR"/>
        </w:rPr>
        <w:t xml:space="preserve"> </w:t>
      </w:r>
      <w:r>
        <w:rPr>
          <w:rFonts w:eastAsia="Times New Roman" w:cstheme="minorHAnsi"/>
          <w:sz w:val="24"/>
          <w:szCs w:val="24"/>
          <w:lang w:val="el-GR" w:eastAsia="fr-FR"/>
        </w:rPr>
        <w:t>υπό</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την</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αιγίδα</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του</w:t>
      </w:r>
      <w:r w:rsidRPr="004F79C1">
        <w:rPr>
          <w:rFonts w:eastAsia="Times New Roman" w:cstheme="minorHAnsi"/>
          <w:sz w:val="24"/>
          <w:szCs w:val="24"/>
          <w:lang w:val="el-GR" w:eastAsia="fr-FR"/>
        </w:rPr>
        <w:t xml:space="preserve"> </w:t>
      </w:r>
      <w:r w:rsidR="00973266">
        <w:rPr>
          <w:rFonts w:eastAsia="Times New Roman" w:cstheme="minorHAnsi"/>
          <w:sz w:val="24"/>
          <w:szCs w:val="24"/>
          <w:lang w:val="el-GR" w:eastAsia="fr-FR"/>
        </w:rPr>
        <w:t>Υπουργείου</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Δικαιοσύνης</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και</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Δημοσίας</w:t>
      </w:r>
      <w:r w:rsidRPr="004F79C1">
        <w:rPr>
          <w:rFonts w:eastAsia="Times New Roman" w:cstheme="minorHAnsi"/>
          <w:sz w:val="24"/>
          <w:szCs w:val="24"/>
          <w:lang w:val="el-GR" w:eastAsia="fr-FR"/>
        </w:rPr>
        <w:t xml:space="preserve"> </w:t>
      </w:r>
      <w:r>
        <w:rPr>
          <w:rFonts w:eastAsia="Times New Roman" w:cstheme="minorHAnsi"/>
          <w:sz w:val="24"/>
          <w:szCs w:val="24"/>
          <w:lang w:val="el-GR" w:eastAsia="fr-FR"/>
        </w:rPr>
        <w:t>Τάξεως</w:t>
      </w:r>
      <w:r w:rsidR="00220066" w:rsidRPr="004F79C1">
        <w:rPr>
          <w:rFonts w:eastAsia="Times New Roman" w:cstheme="minorHAnsi"/>
          <w:sz w:val="24"/>
          <w:szCs w:val="24"/>
          <w:lang w:val="el-GR" w:eastAsia="fr-FR"/>
        </w:rPr>
        <w:t xml:space="preserve">, </w:t>
      </w:r>
      <w:r>
        <w:rPr>
          <w:rFonts w:eastAsia="Times New Roman" w:cstheme="minorHAnsi"/>
          <w:sz w:val="24"/>
          <w:szCs w:val="24"/>
          <w:lang w:val="el-GR" w:eastAsia="fr-FR"/>
        </w:rPr>
        <w:t>το Τμήμα Τελωνείων που λειτουργεί</w:t>
      </w:r>
      <w:r w:rsidR="00220066" w:rsidRPr="004F79C1">
        <w:rPr>
          <w:rFonts w:eastAsia="Times New Roman" w:cstheme="minorHAnsi"/>
          <w:sz w:val="24"/>
          <w:szCs w:val="24"/>
          <w:lang w:val="el-GR" w:eastAsia="fr-FR"/>
        </w:rPr>
        <w:t xml:space="preserve"> </w:t>
      </w:r>
      <w:r>
        <w:rPr>
          <w:rFonts w:eastAsia="Times New Roman" w:cstheme="minorHAnsi"/>
          <w:sz w:val="24"/>
          <w:szCs w:val="24"/>
          <w:lang w:val="el-GR" w:eastAsia="fr-FR"/>
        </w:rPr>
        <w:t>υπό την αιγίδα του Υπουργείου Οικονομικών</w:t>
      </w:r>
      <w:r w:rsidR="00220066" w:rsidRPr="004F79C1">
        <w:rPr>
          <w:rFonts w:eastAsia="Times New Roman" w:cstheme="minorHAnsi"/>
          <w:sz w:val="24"/>
          <w:szCs w:val="24"/>
          <w:lang w:val="el-GR" w:eastAsia="fr-FR"/>
        </w:rPr>
        <w:t xml:space="preserve">, </w:t>
      </w:r>
      <w:r>
        <w:rPr>
          <w:rFonts w:eastAsia="Times New Roman" w:cstheme="minorHAnsi"/>
          <w:sz w:val="24"/>
          <w:szCs w:val="24"/>
          <w:lang w:val="el-GR" w:eastAsia="fr-FR"/>
        </w:rPr>
        <w:t>η Μονάδα Καταπολέμησης Αδικημάτων Συγκάλυψης (ΜΟ.Κ.Α.Σ.)</w:t>
      </w:r>
      <w:r w:rsidR="00220066" w:rsidRPr="004F79C1">
        <w:rPr>
          <w:rFonts w:eastAsia="Times New Roman" w:cstheme="minorHAnsi"/>
          <w:sz w:val="24"/>
          <w:szCs w:val="24"/>
          <w:lang w:val="el-GR" w:eastAsia="fr-FR"/>
        </w:rPr>
        <w:t xml:space="preserve"> </w:t>
      </w:r>
      <w:r w:rsidR="001A0E6A">
        <w:rPr>
          <w:rFonts w:eastAsia="Times New Roman" w:cstheme="minorHAnsi"/>
          <w:sz w:val="24"/>
          <w:szCs w:val="24"/>
          <w:lang w:val="el-GR" w:eastAsia="fr-FR"/>
        </w:rPr>
        <w:t>που λειτουργεί υπό την αιγίδα του Γραφείου του Γενικού Εισαγγελέα</w:t>
      </w:r>
      <w:r w:rsidR="00220066" w:rsidRPr="004F79C1">
        <w:rPr>
          <w:rFonts w:eastAsia="Times New Roman" w:cstheme="minorHAnsi"/>
          <w:sz w:val="24"/>
          <w:szCs w:val="24"/>
          <w:lang w:val="el-GR" w:eastAsia="fr-FR"/>
        </w:rPr>
        <w:t xml:space="preserve">, </w:t>
      </w:r>
      <w:r w:rsidR="001A0E6A">
        <w:rPr>
          <w:rFonts w:eastAsia="Times New Roman" w:cstheme="minorHAnsi"/>
          <w:sz w:val="24"/>
          <w:szCs w:val="24"/>
          <w:lang w:val="el-GR" w:eastAsia="fr-FR"/>
        </w:rPr>
        <w:t>το Τμήμα Φορολογίας</w:t>
      </w:r>
      <w:r w:rsidR="00220066" w:rsidRPr="004F79C1">
        <w:rPr>
          <w:rFonts w:eastAsia="Times New Roman" w:cstheme="minorHAnsi"/>
          <w:sz w:val="24"/>
          <w:szCs w:val="24"/>
          <w:lang w:val="el-GR" w:eastAsia="fr-FR"/>
        </w:rPr>
        <w:t xml:space="preserve">, </w:t>
      </w:r>
      <w:r w:rsidR="001A0E6A">
        <w:rPr>
          <w:rFonts w:eastAsia="Times New Roman" w:cstheme="minorHAnsi"/>
          <w:sz w:val="24"/>
          <w:szCs w:val="24"/>
          <w:lang w:val="el-GR" w:eastAsia="fr-FR"/>
        </w:rPr>
        <w:t>δημαρχεία</w:t>
      </w:r>
      <w:r w:rsidR="00220066" w:rsidRPr="004F79C1">
        <w:rPr>
          <w:rFonts w:eastAsia="Times New Roman" w:cstheme="minorHAnsi"/>
          <w:sz w:val="24"/>
          <w:szCs w:val="24"/>
          <w:lang w:val="el-GR" w:eastAsia="fr-FR"/>
        </w:rPr>
        <w:t xml:space="preserve">, </w:t>
      </w:r>
      <w:r w:rsidR="001A0E6A">
        <w:rPr>
          <w:rFonts w:eastAsia="Times New Roman" w:cstheme="minorHAnsi"/>
          <w:sz w:val="24"/>
          <w:szCs w:val="24"/>
          <w:lang w:val="el-GR" w:eastAsia="fr-FR"/>
        </w:rPr>
        <w:t>και άλλα</w:t>
      </w:r>
      <w:r w:rsidR="00220066" w:rsidRPr="004F79C1">
        <w:rPr>
          <w:rFonts w:eastAsia="Times New Roman" w:cstheme="minorHAnsi"/>
          <w:sz w:val="24"/>
          <w:szCs w:val="24"/>
          <w:lang w:val="el-GR" w:eastAsia="fr-FR"/>
        </w:rPr>
        <w:t xml:space="preserve">. </w:t>
      </w:r>
    </w:p>
    <w:p w14:paraId="40452F0D" w14:textId="77777777" w:rsidR="00220066" w:rsidRPr="004F79C1" w:rsidRDefault="00220066" w:rsidP="00220066">
      <w:pPr>
        <w:widowControl w:val="0"/>
        <w:tabs>
          <w:tab w:val="left" w:pos="709"/>
        </w:tabs>
        <w:rPr>
          <w:rFonts w:cstheme="minorHAnsi"/>
          <w:sz w:val="24"/>
          <w:szCs w:val="24"/>
          <w:lang w:val="el-GR"/>
        </w:rPr>
      </w:pPr>
    </w:p>
    <w:p w14:paraId="392ADB37" w14:textId="7800A2D6" w:rsidR="00220066" w:rsidRPr="00780CD5" w:rsidRDefault="001A0E6A" w:rsidP="00220066">
      <w:pPr>
        <w:widowControl w:val="0"/>
        <w:numPr>
          <w:ilvl w:val="0"/>
          <w:numId w:val="1"/>
        </w:numPr>
        <w:tabs>
          <w:tab w:val="clear" w:pos="6095"/>
          <w:tab w:val="left" w:pos="709"/>
        </w:tabs>
        <w:ind w:left="0" w:firstLine="0"/>
        <w:rPr>
          <w:rFonts w:cstheme="minorHAnsi"/>
          <w:sz w:val="24"/>
          <w:szCs w:val="24"/>
          <w:lang w:val="el-GR"/>
        </w:rPr>
      </w:pPr>
      <w:r>
        <w:rPr>
          <w:rFonts w:eastAsia="Times New Roman" w:cstheme="minorHAnsi"/>
          <w:sz w:val="24"/>
          <w:szCs w:val="24"/>
          <w:lang w:val="el-GR" w:eastAsia="fr-FR"/>
        </w:rPr>
        <w:t>Ωστόσο</w:t>
      </w:r>
      <w:r w:rsidR="00220066"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η</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κύρια</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υπηρεσία</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επιβολής</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του</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νόμου</w:t>
      </w:r>
      <w:r w:rsidR="00220066"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ειδικά</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όσον</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αφορά</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την</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διερεύνηση</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αδικημάτων διαφθοράς</w:t>
      </w:r>
      <w:r w:rsidR="00220066" w:rsidRPr="001A0E6A">
        <w:rPr>
          <w:rFonts w:eastAsia="Times New Roman" w:cstheme="minorHAnsi"/>
          <w:sz w:val="24"/>
          <w:szCs w:val="24"/>
          <w:lang w:val="el-GR" w:eastAsia="fr-FR"/>
        </w:rPr>
        <w:t xml:space="preserve">, </w:t>
      </w:r>
      <w:r>
        <w:rPr>
          <w:rFonts w:eastAsia="Times New Roman" w:cstheme="minorHAnsi"/>
          <w:sz w:val="24"/>
          <w:szCs w:val="24"/>
          <w:lang w:val="el-GR" w:eastAsia="fr-FR"/>
        </w:rPr>
        <w:t xml:space="preserve">είναι η </w:t>
      </w:r>
      <w:r w:rsidR="009C4E34">
        <w:rPr>
          <w:rFonts w:eastAsia="Times New Roman" w:cstheme="minorHAnsi"/>
          <w:sz w:val="24"/>
          <w:szCs w:val="24"/>
          <w:lang w:val="el-GR" w:eastAsia="fr-FR"/>
        </w:rPr>
        <w:t>Αστυνομία</w:t>
      </w:r>
      <w:r>
        <w:rPr>
          <w:rFonts w:eastAsia="Times New Roman" w:cstheme="minorHAnsi"/>
          <w:sz w:val="24"/>
          <w:szCs w:val="24"/>
          <w:lang w:val="el-GR" w:eastAsia="fr-FR"/>
        </w:rPr>
        <w:t xml:space="preserve"> Κύπρου</w:t>
      </w:r>
      <w:r w:rsidR="00220066" w:rsidRPr="001A0E6A">
        <w:rPr>
          <w:rFonts w:eastAsia="Times New Roman" w:cstheme="minorHAnsi"/>
          <w:sz w:val="24"/>
          <w:szCs w:val="24"/>
          <w:lang w:val="el-GR" w:eastAsia="fr-FR"/>
        </w:rPr>
        <w:t xml:space="preserve"> (</w:t>
      </w:r>
      <w:r>
        <w:rPr>
          <w:rFonts w:eastAsia="Times New Roman" w:cstheme="minorHAnsi"/>
          <w:sz w:val="24"/>
          <w:szCs w:val="24"/>
          <w:lang w:val="el-GR" w:eastAsia="fr-FR"/>
        </w:rPr>
        <w:t>στο εξής</w:t>
      </w:r>
      <w:r w:rsidR="00587B55" w:rsidRPr="001A0E6A">
        <w:rPr>
          <w:rFonts w:eastAsia="Times New Roman" w:cstheme="minorHAnsi"/>
          <w:sz w:val="24"/>
          <w:szCs w:val="24"/>
          <w:lang w:val="el-GR" w:eastAsia="fr-FR"/>
        </w:rPr>
        <w:t>:</w:t>
      </w:r>
      <w:r w:rsidR="00220066" w:rsidRPr="001A0E6A">
        <w:rPr>
          <w:rFonts w:eastAsia="Times New Roman" w:cstheme="minorHAnsi"/>
          <w:sz w:val="24"/>
          <w:szCs w:val="24"/>
          <w:lang w:val="el-GR" w:eastAsia="fr-FR"/>
        </w:rPr>
        <w:t xml:space="preserve"> </w:t>
      </w:r>
      <w:r>
        <w:rPr>
          <w:rFonts w:eastAsia="Times New Roman" w:cstheme="minorHAnsi"/>
          <w:sz w:val="24"/>
          <w:szCs w:val="24"/>
          <w:lang w:val="el-GR" w:eastAsia="fr-FR"/>
        </w:rPr>
        <w:t xml:space="preserve">η </w:t>
      </w:r>
      <w:r w:rsidR="009C4E34">
        <w:rPr>
          <w:rFonts w:eastAsia="Times New Roman" w:cstheme="minorHAnsi"/>
          <w:sz w:val="24"/>
          <w:szCs w:val="24"/>
          <w:lang w:val="el-GR" w:eastAsia="fr-FR"/>
        </w:rPr>
        <w:t>Αστυνομία</w:t>
      </w:r>
      <w:r w:rsidR="00220066"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Αυτό</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είναι</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επειδή</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η</w:t>
      </w:r>
      <w:r w:rsidRPr="001A0E6A">
        <w:rPr>
          <w:rFonts w:eastAsia="Times New Roman" w:cstheme="minorHAnsi"/>
          <w:sz w:val="24"/>
          <w:szCs w:val="24"/>
          <w:lang w:val="el-GR" w:eastAsia="fr-FR"/>
        </w:rPr>
        <w:t xml:space="preserve"> </w:t>
      </w:r>
      <w:r w:rsidR="009C4E34">
        <w:rPr>
          <w:rFonts w:eastAsia="Times New Roman" w:cstheme="minorHAnsi"/>
          <w:sz w:val="24"/>
          <w:szCs w:val="24"/>
          <w:lang w:val="el-GR" w:eastAsia="fr-FR"/>
        </w:rPr>
        <w:t>Αστυνομία</w:t>
      </w:r>
      <w:r w:rsidR="00220066"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κατά</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τον</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νόμο</w:t>
      </w:r>
      <w:r w:rsidR="00220066"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είναι</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ο</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μόνος</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οργανισμός</w:t>
      </w:r>
      <w:r w:rsidR="00220066" w:rsidRPr="001A0E6A">
        <w:rPr>
          <w:rFonts w:eastAsia="Times New Roman" w:cstheme="minorHAnsi"/>
          <w:sz w:val="24"/>
          <w:szCs w:val="24"/>
          <w:lang w:val="el-GR" w:eastAsia="fr-FR"/>
        </w:rPr>
        <w:t xml:space="preserve"> </w:t>
      </w:r>
      <w:r>
        <w:rPr>
          <w:rFonts w:eastAsia="Times New Roman" w:cstheme="minorHAnsi"/>
          <w:sz w:val="24"/>
          <w:szCs w:val="24"/>
          <w:lang w:val="el-GR" w:eastAsia="fr-FR"/>
        </w:rPr>
        <w:t>που</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αποτελείται</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από</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ορκωτούς</w:t>
      </w:r>
      <w:r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αξιωματούχους</w:t>
      </w:r>
      <w:r w:rsidR="00220066" w:rsidRPr="001A0E6A">
        <w:rPr>
          <w:rFonts w:eastAsia="Times New Roman" w:cstheme="minorHAnsi"/>
          <w:sz w:val="24"/>
          <w:szCs w:val="24"/>
          <w:lang w:val="el-GR" w:eastAsia="fr-FR"/>
        </w:rPr>
        <w:t xml:space="preserve"> </w:t>
      </w:r>
      <w:r>
        <w:rPr>
          <w:rFonts w:eastAsia="Times New Roman" w:cstheme="minorHAnsi"/>
          <w:sz w:val="24"/>
          <w:szCs w:val="24"/>
          <w:lang w:val="el-GR" w:eastAsia="fr-FR"/>
        </w:rPr>
        <w:t>που είναι εξουσιοδοτημένοι να οπλοφορούν</w:t>
      </w:r>
      <w:r w:rsidR="00220066"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να χρησιμοποιούν βία</w:t>
      </w:r>
      <w:r w:rsidR="00220066"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να διεξάγουν έρευνες και συλλήψεις</w:t>
      </w:r>
      <w:r w:rsidR="00220066" w:rsidRPr="001A0E6A">
        <w:rPr>
          <w:rFonts w:eastAsia="Times New Roman" w:cstheme="minorHAnsi"/>
          <w:sz w:val="24"/>
          <w:szCs w:val="24"/>
          <w:lang w:val="el-GR" w:eastAsia="fr-FR"/>
        </w:rPr>
        <w:t xml:space="preserve">, </w:t>
      </w:r>
      <w:r>
        <w:rPr>
          <w:rFonts w:eastAsia="Times New Roman" w:cstheme="minorHAnsi"/>
          <w:sz w:val="24"/>
          <w:szCs w:val="24"/>
          <w:lang w:val="el-GR" w:eastAsia="fr-FR"/>
        </w:rPr>
        <w:t xml:space="preserve">και να διερευνούν και να </w:t>
      </w:r>
      <w:r w:rsidR="000A1E9C">
        <w:rPr>
          <w:rFonts w:eastAsia="Times New Roman" w:cstheme="minorHAnsi"/>
          <w:sz w:val="24"/>
          <w:szCs w:val="24"/>
          <w:lang w:val="el-GR" w:eastAsia="fr-FR"/>
        </w:rPr>
        <w:t xml:space="preserve">ασκούν </w:t>
      </w:r>
      <w:r>
        <w:rPr>
          <w:rFonts w:eastAsia="Times New Roman" w:cstheme="minorHAnsi"/>
          <w:sz w:val="24"/>
          <w:szCs w:val="24"/>
          <w:lang w:val="el-GR" w:eastAsia="fr-FR"/>
        </w:rPr>
        <w:t>δίωξη</w:t>
      </w:r>
      <w:r w:rsidR="00220066"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ανάμεσα σε ένα ευρύ φάσμα άλλων εξουσιών</w:t>
      </w:r>
      <w:r w:rsidR="00220066" w:rsidRPr="001A0E6A">
        <w:rPr>
          <w:rFonts w:eastAsia="Times New Roman" w:cstheme="minorHAnsi"/>
          <w:sz w:val="24"/>
          <w:szCs w:val="24"/>
          <w:lang w:val="el-GR" w:eastAsia="fr-FR"/>
        </w:rPr>
        <w:t xml:space="preserve">. </w:t>
      </w:r>
      <w:r>
        <w:rPr>
          <w:rFonts w:eastAsia="Times New Roman" w:cstheme="minorHAnsi"/>
          <w:sz w:val="24"/>
          <w:szCs w:val="24"/>
          <w:lang w:val="el-GR" w:eastAsia="fr-FR"/>
        </w:rPr>
        <w:t>Επιπλέον</w:t>
      </w:r>
      <w:r w:rsidR="00220066" w:rsidRPr="00780CD5">
        <w:rPr>
          <w:rFonts w:eastAsia="Times New Roman" w:cstheme="minorHAnsi"/>
          <w:sz w:val="24"/>
          <w:szCs w:val="24"/>
          <w:lang w:val="el-GR" w:eastAsia="fr-FR"/>
        </w:rPr>
        <w:t xml:space="preserve">, </w:t>
      </w:r>
      <w:r>
        <w:rPr>
          <w:rFonts w:eastAsia="Times New Roman" w:cstheme="minorHAnsi"/>
          <w:sz w:val="24"/>
          <w:szCs w:val="24"/>
          <w:lang w:val="el-GR" w:eastAsia="fr-FR"/>
        </w:rPr>
        <w:t>μέλη</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της</w:t>
      </w:r>
      <w:r w:rsidRPr="00780CD5">
        <w:rPr>
          <w:rFonts w:eastAsia="Times New Roman" w:cstheme="minorHAnsi"/>
          <w:sz w:val="24"/>
          <w:szCs w:val="24"/>
          <w:lang w:val="el-GR" w:eastAsia="fr-FR"/>
        </w:rPr>
        <w:t xml:space="preserve"> </w:t>
      </w:r>
      <w:r w:rsidR="009C4E34">
        <w:rPr>
          <w:rFonts w:eastAsia="Times New Roman" w:cstheme="minorHAnsi"/>
          <w:sz w:val="24"/>
          <w:szCs w:val="24"/>
          <w:lang w:val="el-GR" w:eastAsia="fr-FR"/>
        </w:rPr>
        <w:t>Αστυνομία</w:t>
      </w:r>
      <w:r>
        <w:rPr>
          <w:rFonts w:eastAsia="Times New Roman" w:cstheme="minorHAnsi"/>
          <w:sz w:val="24"/>
          <w:szCs w:val="24"/>
          <w:lang w:val="el-GR" w:eastAsia="fr-FR"/>
        </w:rPr>
        <w:t>ς</w:t>
      </w:r>
      <w:r w:rsidR="00220066" w:rsidRPr="00780CD5">
        <w:rPr>
          <w:rFonts w:eastAsia="Times New Roman" w:cstheme="minorHAnsi"/>
          <w:sz w:val="24"/>
          <w:szCs w:val="24"/>
          <w:lang w:val="el-GR" w:eastAsia="fr-FR"/>
        </w:rPr>
        <w:t xml:space="preserve"> (</w:t>
      </w:r>
      <w:r>
        <w:rPr>
          <w:rFonts w:eastAsia="Times New Roman" w:cstheme="minorHAnsi"/>
          <w:sz w:val="24"/>
          <w:szCs w:val="24"/>
          <w:lang w:val="el-GR" w:eastAsia="fr-FR"/>
        </w:rPr>
        <w:t>στο</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εξής</w:t>
      </w:r>
      <w:r w:rsidR="00220066" w:rsidRPr="00780CD5">
        <w:rPr>
          <w:rFonts w:eastAsia="Times New Roman" w:cstheme="minorHAnsi"/>
          <w:sz w:val="24"/>
          <w:szCs w:val="24"/>
          <w:lang w:val="el-GR" w:eastAsia="fr-FR"/>
        </w:rPr>
        <w:t xml:space="preserve">: </w:t>
      </w:r>
      <w:r>
        <w:rPr>
          <w:rFonts w:eastAsia="Times New Roman" w:cstheme="minorHAnsi"/>
          <w:sz w:val="24"/>
          <w:szCs w:val="24"/>
          <w:lang w:val="el-GR" w:eastAsia="fr-FR"/>
        </w:rPr>
        <w:t>ΑΕΝ</w:t>
      </w:r>
      <w:r w:rsidRPr="00780CD5">
        <w:rPr>
          <w:rFonts w:eastAsia="Times New Roman" w:cstheme="minorHAnsi"/>
          <w:sz w:val="24"/>
          <w:szCs w:val="24"/>
          <w:lang w:val="el-GR" w:eastAsia="fr-FR"/>
        </w:rPr>
        <w:t xml:space="preserve"> – </w:t>
      </w:r>
      <w:r>
        <w:rPr>
          <w:rFonts w:eastAsia="Times New Roman" w:cstheme="minorHAnsi"/>
          <w:sz w:val="24"/>
          <w:szCs w:val="24"/>
          <w:lang w:val="el-GR" w:eastAsia="fr-FR"/>
        </w:rPr>
        <w:t>Αξιωματ</w:t>
      </w:r>
      <w:r w:rsidR="00415AFF">
        <w:rPr>
          <w:rFonts w:eastAsia="Times New Roman" w:cstheme="minorHAnsi"/>
          <w:sz w:val="24"/>
          <w:szCs w:val="24"/>
          <w:lang w:val="el-GR" w:eastAsia="fr-FR"/>
        </w:rPr>
        <w:t>ούχοι</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για</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την</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Επιβολή</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του</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Νόμου</w:t>
      </w:r>
      <w:r w:rsidR="00220066" w:rsidRPr="00780CD5">
        <w:rPr>
          <w:rFonts w:eastAsia="Times New Roman" w:cstheme="minorHAnsi"/>
          <w:sz w:val="24"/>
          <w:szCs w:val="24"/>
          <w:lang w:val="el-GR" w:eastAsia="fr-FR"/>
        </w:rPr>
        <w:t xml:space="preserve">) </w:t>
      </w:r>
      <w:r>
        <w:rPr>
          <w:rFonts w:eastAsia="Times New Roman" w:cstheme="minorHAnsi"/>
          <w:sz w:val="24"/>
          <w:szCs w:val="24"/>
          <w:lang w:val="el-GR" w:eastAsia="fr-FR"/>
        </w:rPr>
        <w:t>λειτουργούν</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επίσης</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ως</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φύλακες</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των</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συνόρων</w:t>
      </w:r>
      <w:r w:rsidR="00220066" w:rsidRPr="00780CD5">
        <w:rPr>
          <w:rFonts w:eastAsia="Times New Roman" w:cstheme="minorHAnsi"/>
          <w:sz w:val="24"/>
          <w:szCs w:val="24"/>
          <w:lang w:val="el-GR" w:eastAsia="fr-FR"/>
        </w:rPr>
        <w:t xml:space="preserve"> </w:t>
      </w:r>
      <w:r>
        <w:rPr>
          <w:rFonts w:eastAsia="Times New Roman" w:cstheme="minorHAnsi"/>
          <w:sz w:val="24"/>
          <w:szCs w:val="24"/>
          <w:lang w:val="el-GR" w:eastAsia="fr-FR"/>
        </w:rPr>
        <w:t>και</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φέρουν</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την</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κύρια</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λειτουργική</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ευθύνη</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για</w:t>
      </w:r>
      <w:r w:rsidRPr="00780CD5">
        <w:rPr>
          <w:rFonts w:eastAsia="Times New Roman" w:cstheme="minorHAnsi"/>
          <w:sz w:val="24"/>
          <w:szCs w:val="24"/>
          <w:lang w:val="el-GR" w:eastAsia="fr-FR"/>
        </w:rPr>
        <w:t xml:space="preserve"> </w:t>
      </w:r>
      <w:r>
        <w:rPr>
          <w:rFonts w:eastAsia="Times New Roman" w:cstheme="minorHAnsi"/>
          <w:sz w:val="24"/>
          <w:szCs w:val="24"/>
          <w:lang w:val="el-GR" w:eastAsia="fr-FR"/>
        </w:rPr>
        <w:t>την</w:t>
      </w:r>
      <w:r w:rsidRPr="00780CD5">
        <w:rPr>
          <w:rFonts w:eastAsia="Times New Roman" w:cstheme="minorHAnsi"/>
          <w:sz w:val="24"/>
          <w:szCs w:val="24"/>
          <w:lang w:val="el-GR" w:eastAsia="fr-FR"/>
        </w:rPr>
        <w:t xml:space="preserve"> </w:t>
      </w:r>
      <w:r w:rsidR="00780CD5">
        <w:rPr>
          <w:rFonts w:eastAsia="Times New Roman" w:cstheme="minorHAnsi"/>
          <w:sz w:val="24"/>
          <w:szCs w:val="24"/>
          <w:lang w:val="el-GR" w:eastAsia="fr-FR"/>
        </w:rPr>
        <w:t>συνοριακή επιτήρηση</w:t>
      </w:r>
      <w:r w:rsidR="00220066" w:rsidRPr="00780CD5">
        <w:rPr>
          <w:rFonts w:eastAsia="Times New Roman" w:cstheme="minorHAnsi"/>
          <w:sz w:val="24"/>
          <w:szCs w:val="24"/>
          <w:lang w:val="el-GR" w:eastAsia="fr-FR"/>
        </w:rPr>
        <w:t xml:space="preserve"> </w:t>
      </w:r>
      <w:r w:rsidR="00780CD5">
        <w:rPr>
          <w:rFonts w:eastAsia="Times New Roman" w:cstheme="minorHAnsi"/>
          <w:sz w:val="24"/>
          <w:szCs w:val="24"/>
          <w:lang w:val="el-GR" w:eastAsia="fr-FR"/>
        </w:rPr>
        <w:t>και τους συνοριακούς ελέγχους</w:t>
      </w:r>
      <w:r w:rsidR="00220066" w:rsidRPr="00780CD5">
        <w:rPr>
          <w:rFonts w:eastAsia="Times New Roman" w:cstheme="minorHAnsi"/>
          <w:sz w:val="24"/>
          <w:szCs w:val="24"/>
          <w:lang w:val="el-GR" w:eastAsia="fr-FR"/>
        </w:rPr>
        <w:t xml:space="preserve">, </w:t>
      </w:r>
      <w:r w:rsidR="00780CD5">
        <w:rPr>
          <w:rFonts w:eastAsia="Times New Roman" w:cstheme="minorHAnsi"/>
          <w:sz w:val="24"/>
          <w:szCs w:val="24"/>
          <w:lang w:val="el-GR" w:eastAsia="fr-FR"/>
        </w:rPr>
        <w:t>μέσω της Υπηρεσίας Αλλοδαπών και Μετανάστευσης</w:t>
      </w:r>
      <w:r w:rsidR="00220066" w:rsidRPr="00780CD5">
        <w:rPr>
          <w:rFonts w:eastAsia="Times New Roman" w:cstheme="minorHAnsi"/>
          <w:sz w:val="24"/>
          <w:szCs w:val="24"/>
          <w:lang w:val="el-GR" w:eastAsia="fr-FR"/>
        </w:rPr>
        <w:t xml:space="preserve">, </w:t>
      </w:r>
      <w:r w:rsidR="00780CD5">
        <w:rPr>
          <w:rFonts w:eastAsia="Times New Roman" w:cstheme="minorHAnsi"/>
          <w:sz w:val="24"/>
          <w:szCs w:val="24"/>
          <w:lang w:val="el-GR" w:eastAsia="fr-FR"/>
        </w:rPr>
        <w:t xml:space="preserve">της Μονάδας της Λιμενικής και Ναυτικής </w:t>
      </w:r>
      <w:r w:rsidR="009C4E34">
        <w:rPr>
          <w:rFonts w:eastAsia="Times New Roman" w:cstheme="minorHAnsi"/>
          <w:sz w:val="24"/>
          <w:szCs w:val="24"/>
          <w:lang w:val="el-GR" w:eastAsia="fr-FR"/>
        </w:rPr>
        <w:t>Αστυνομία</w:t>
      </w:r>
      <w:r w:rsidR="00780CD5">
        <w:rPr>
          <w:rFonts w:eastAsia="Times New Roman" w:cstheme="minorHAnsi"/>
          <w:sz w:val="24"/>
          <w:szCs w:val="24"/>
          <w:lang w:val="el-GR" w:eastAsia="fr-FR"/>
        </w:rPr>
        <w:t>ς</w:t>
      </w:r>
      <w:r w:rsidR="00220066" w:rsidRPr="00780CD5">
        <w:rPr>
          <w:rFonts w:eastAsia="Times New Roman" w:cstheme="minorHAnsi"/>
          <w:sz w:val="24"/>
          <w:szCs w:val="24"/>
          <w:lang w:val="el-GR" w:eastAsia="fr-FR"/>
        </w:rPr>
        <w:t xml:space="preserve">, </w:t>
      </w:r>
      <w:r w:rsidR="00780CD5">
        <w:rPr>
          <w:rFonts w:eastAsia="Times New Roman" w:cstheme="minorHAnsi"/>
          <w:sz w:val="24"/>
          <w:szCs w:val="24"/>
          <w:lang w:val="el-GR" w:eastAsia="fr-FR"/>
        </w:rPr>
        <w:t xml:space="preserve">καθώς επίσης και της Μονάδας Αεροπορικών Επιχειρήσεων της </w:t>
      </w:r>
      <w:r w:rsidR="009C4E34">
        <w:rPr>
          <w:rFonts w:eastAsia="Times New Roman" w:cstheme="minorHAnsi"/>
          <w:sz w:val="24"/>
          <w:szCs w:val="24"/>
          <w:lang w:val="el-GR" w:eastAsia="fr-FR"/>
        </w:rPr>
        <w:t>Αστυνομία</w:t>
      </w:r>
      <w:r w:rsidR="00780CD5">
        <w:rPr>
          <w:rFonts w:eastAsia="Times New Roman" w:cstheme="minorHAnsi"/>
          <w:sz w:val="24"/>
          <w:szCs w:val="24"/>
          <w:lang w:val="el-GR" w:eastAsia="fr-FR"/>
        </w:rPr>
        <w:t>ς</w:t>
      </w:r>
      <w:r w:rsidR="00220066" w:rsidRPr="00780CD5">
        <w:rPr>
          <w:rFonts w:eastAsia="Times New Roman" w:cstheme="minorHAnsi"/>
          <w:sz w:val="24"/>
          <w:szCs w:val="24"/>
          <w:lang w:val="el-GR" w:eastAsia="fr-FR"/>
        </w:rPr>
        <w:t xml:space="preserve">. </w:t>
      </w:r>
      <w:r w:rsidR="00780CD5">
        <w:rPr>
          <w:rFonts w:eastAsia="Times New Roman" w:cstheme="minorHAnsi"/>
          <w:sz w:val="24"/>
          <w:szCs w:val="24"/>
          <w:lang w:val="el-GR" w:eastAsia="fr-FR"/>
        </w:rPr>
        <w:t>Υπάρχουν</w:t>
      </w:r>
      <w:r w:rsidR="00780CD5" w:rsidRPr="00780CD5">
        <w:rPr>
          <w:rFonts w:eastAsia="Times New Roman" w:cstheme="minorHAnsi"/>
          <w:sz w:val="24"/>
          <w:szCs w:val="24"/>
          <w:lang w:val="el-GR" w:eastAsia="fr-FR"/>
        </w:rPr>
        <w:t xml:space="preserve"> </w:t>
      </w:r>
      <w:r w:rsidR="00780CD5">
        <w:rPr>
          <w:rFonts w:eastAsia="Times New Roman" w:cstheme="minorHAnsi"/>
          <w:sz w:val="24"/>
          <w:szCs w:val="24"/>
          <w:lang w:val="el-GR" w:eastAsia="fr-FR"/>
        </w:rPr>
        <w:t>κανάλια</w:t>
      </w:r>
      <w:r w:rsidR="00780CD5" w:rsidRPr="00780CD5">
        <w:rPr>
          <w:rFonts w:eastAsia="Times New Roman" w:cstheme="minorHAnsi"/>
          <w:sz w:val="24"/>
          <w:szCs w:val="24"/>
          <w:lang w:val="el-GR" w:eastAsia="fr-FR"/>
        </w:rPr>
        <w:t xml:space="preserve"> </w:t>
      </w:r>
      <w:r w:rsidR="000A1E9C">
        <w:rPr>
          <w:rFonts w:eastAsia="Times New Roman" w:cstheme="minorHAnsi"/>
          <w:sz w:val="24"/>
          <w:szCs w:val="24"/>
          <w:lang w:val="el-GR" w:eastAsia="fr-FR"/>
        </w:rPr>
        <w:t>που</w:t>
      </w:r>
      <w:r w:rsidR="00780CD5" w:rsidRPr="00780CD5">
        <w:rPr>
          <w:rFonts w:eastAsia="Times New Roman" w:cstheme="minorHAnsi"/>
          <w:sz w:val="24"/>
          <w:szCs w:val="24"/>
          <w:lang w:val="el-GR" w:eastAsia="fr-FR"/>
        </w:rPr>
        <w:t xml:space="preserve"> </w:t>
      </w:r>
      <w:r w:rsidR="00780CD5">
        <w:rPr>
          <w:rFonts w:eastAsia="Times New Roman" w:cstheme="minorHAnsi"/>
          <w:sz w:val="24"/>
          <w:szCs w:val="24"/>
          <w:lang w:val="el-GR" w:eastAsia="fr-FR"/>
        </w:rPr>
        <w:t>επιτρέ</w:t>
      </w:r>
      <w:r w:rsidR="000A1E9C">
        <w:rPr>
          <w:rFonts w:eastAsia="Times New Roman" w:cstheme="minorHAnsi"/>
          <w:sz w:val="24"/>
          <w:szCs w:val="24"/>
          <w:lang w:val="el-GR" w:eastAsia="fr-FR"/>
        </w:rPr>
        <w:t>π</w:t>
      </w:r>
      <w:r w:rsidR="00780CD5">
        <w:rPr>
          <w:rFonts w:eastAsia="Times New Roman" w:cstheme="minorHAnsi"/>
          <w:sz w:val="24"/>
          <w:szCs w:val="24"/>
          <w:lang w:val="el-GR" w:eastAsia="fr-FR"/>
        </w:rPr>
        <w:t>ουν</w:t>
      </w:r>
      <w:r w:rsidR="00220066" w:rsidRPr="00780CD5">
        <w:rPr>
          <w:rFonts w:cstheme="minorHAnsi"/>
          <w:sz w:val="24"/>
          <w:szCs w:val="24"/>
          <w:lang w:val="el-GR"/>
        </w:rPr>
        <w:t xml:space="preserve"> </w:t>
      </w:r>
      <w:r w:rsidR="00780CD5">
        <w:rPr>
          <w:rFonts w:cstheme="minorHAnsi"/>
          <w:sz w:val="24"/>
          <w:szCs w:val="24"/>
          <w:lang w:val="el-GR"/>
        </w:rPr>
        <w:t>την</w:t>
      </w:r>
      <w:r w:rsidR="00780CD5" w:rsidRPr="00780CD5">
        <w:rPr>
          <w:rFonts w:cstheme="minorHAnsi"/>
          <w:sz w:val="24"/>
          <w:szCs w:val="24"/>
          <w:lang w:val="el-GR"/>
        </w:rPr>
        <w:t xml:space="preserve"> </w:t>
      </w:r>
      <w:r w:rsidR="00780CD5">
        <w:rPr>
          <w:rFonts w:cstheme="minorHAnsi"/>
          <w:sz w:val="24"/>
          <w:szCs w:val="24"/>
          <w:lang w:val="el-GR"/>
        </w:rPr>
        <w:t>στενή</w:t>
      </w:r>
      <w:r w:rsidR="00780CD5" w:rsidRPr="00780CD5">
        <w:rPr>
          <w:rFonts w:cstheme="minorHAnsi"/>
          <w:sz w:val="24"/>
          <w:szCs w:val="24"/>
          <w:lang w:val="el-GR"/>
        </w:rPr>
        <w:t xml:space="preserve"> </w:t>
      </w:r>
      <w:r w:rsidR="00780CD5">
        <w:rPr>
          <w:rFonts w:cstheme="minorHAnsi"/>
          <w:sz w:val="24"/>
          <w:szCs w:val="24"/>
          <w:lang w:val="el-GR"/>
        </w:rPr>
        <w:t>και</w:t>
      </w:r>
      <w:r w:rsidR="00780CD5" w:rsidRPr="00780CD5">
        <w:rPr>
          <w:rFonts w:cstheme="minorHAnsi"/>
          <w:sz w:val="24"/>
          <w:szCs w:val="24"/>
          <w:lang w:val="el-GR"/>
        </w:rPr>
        <w:t xml:space="preserve"> </w:t>
      </w:r>
      <w:r w:rsidR="00780CD5">
        <w:rPr>
          <w:rFonts w:cstheme="minorHAnsi"/>
          <w:sz w:val="24"/>
          <w:szCs w:val="24"/>
          <w:lang w:val="el-GR"/>
        </w:rPr>
        <w:t>ταχεία</w:t>
      </w:r>
      <w:r w:rsidR="00780CD5" w:rsidRPr="00780CD5">
        <w:rPr>
          <w:rFonts w:cstheme="minorHAnsi"/>
          <w:sz w:val="24"/>
          <w:szCs w:val="24"/>
          <w:lang w:val="el-GR"/>
        </w:rPr>
        <w:t xml:space="preserve"> </w:t>
      </w:r>
      <w:r w:rsidR="00780CD5">
        <w:rPr>
          <w:rFonts w:cstheme="minorHAnsi"/>
          <w:sz w:val="24"/>
          <w:szCs w:val="24"/>
          <w:lang w:val="el-GR"/>
        </w:rPr>
        <w:t>συνεργασία</w:t>
      </w:r>
      <w:r w:rsidR="00220066" w:rsidRPr="00780CD5">
        <w:rPr>
          <w:rFonts w:cstheme="minorHAnsi"/>
          <w:sz w:val="24"/>
          <w:szCs w:val="24"/>
          <w:lang w:val="el-GR"/>
        </w:rPr>
        <w:t xml:space="preserve"> </w:t>
      </w:r>
      <w:r w:rsidR="00780CD5">
        <w:rPr>
          <w:rFonts w:cstheme="minorHAnsi"/>
          <w:sz w:val="24"/>
          <w:szCs w:val="24"/>
          <w:lang w:val="el-GR"/>
        </w:rPr>
        <w:t>εντός</w:t>
      </w:r>
      <w:r w:rsidR="00780CD5" w:rsidRPr="00780CD5">
        <w:rPr>
          <w:rFonts w:cstheme="minorHAnsi"/>
          <w:sz w:val="24"/>
          <w:szCs w:val="24"/>
          <w:lang w:val="el-GR"/>
        </w:rPr>
        <w:t xml:space="preserve"> </w:t>
      </w:r>
      <w:r w:rsidR="00780CD5">
        <w:rPr>
          <w:rFonts w:cstheme="minorHAnsi"/>
          <w:sz w:val="24"/>
          <w:szCs w:val="24"/>
          <w:lang w:val="el-GR"/>
        </w:rPr>
        <w:t>των</w:t>
      </w:r>
      <w:r w:rsidR="00780CD5" w:rsidRPr="00780CD5">
        <w:rPr>
          <w:rFonts w:cstheme="minorHAnsi"/>
          <w:sz w:val="24"/>
          <w:szCs w:val="24"/>
          <w:lang w:val="el-GR"/>
        </w:rPr>
        <w:t xml:space="preserve"> </w:t>
      </w:r>
      <w:r w:rsidR="00780CD5">
        <w:rPr>
          <w:rFonts w:cstheme="minorHAnsi"/>
          <w:sz w:val="24"/>
          <w:szCs w:val="24"/>
          <w:lang w:val="el-GR"/>
        </w:rPr>
        <w:t>δομών</w:t>
      </w:r>
      <w:r w:rsidR="00780CD5" w:rsidRPr="00780CD5">
        <w:rPr>
          <w:rFonts w:cstheme="minorHAnsi"/>
          <w:sz w:val="24"/>
          <w:szCs w:val="24"/>
          <w:lang w:val="el-GR"/>
        </w:rPr>
        <w:t xml:space="preserve"> </w:t>
      </w:r>
      <w:r w:rsidR="00780CD5">
        <w:rPr>
          <w:rFonts w:cstheme="minorHAnsi"/>
          <w:sz w:val="24"/>
          <w:szCs w:val="24"/>
          <w:lang w:val="el-GR"/>
        </w:rPr>
        <w:t>της</w:t>
      </w:r>
      <w:r w:rsidR="00780CD5" w:rsidRPr="00780CD5">
        <w:rPr>
          <w:rFonts w:cstheme="minorHAnsi"/>
          <w:sz w:val="24"/>
          <w:szCs w:val="24"/>
          <w:lang w:val="el-GR"/>
        </w:rPr>
        <w:t xml:space="preserve"> </w:t>
      </w:r>
      <w:r w:rsidR="00780CD5">
        <w:rPr>
          <w:rFonts w:cstheme="minorHAnsi"/>
          <w:sz w:val="24"/>
          <w:szCs w:val="24"/>
          <w:lang w:val="el-GR"/>
        </w:rPr>
        <w:t>ίδιας</w:t>
      </w:r>
      <w:r w:rsidR="00780CD5" w:rsidRPr="00780CD5">
        <w:rPr>
          <w:rFonts w:cstheme="minorHAnsi"/>
          <w:sz w:val="24"/>
          <w:szCs w:val="24"/>
          <w:lang w:val="el-GR"/>
        </w:rPr>
        <w:t xml:space="preserve"> </w:t>
      </w:r>
      <w:r w:rsidR="00780CD5">
        <w:rPr>
          <w:rFonts w:cstheme="minorHAnsi"/>
          <w:sz w:val="24"/>
          <w:szCs w:val="24"/>
          <w:lang w:val="el-GR"/>
        </w:rPr>
        <w:t>της</w:t>
      </w:r>
      <w:r w:rsidR="00780CD5" w:rsidRPr="00780CD5">
        <w:rPr>
          <w:rFonts w:cstheme="minorHAnsi"/>
          <w:sz w:val="24"/>
          <w:szCs w:val="24"/>
          <w:lang w:val="el-GR"/>
        </w:rPr>
        <w:t xml:space="preserve"> </w:t>
      </w:r>
      <w:r w:rsidR="009C4E34">
        <w:rPr>
          <w:rFonts w:cstheme="minorHAnsi"/>
          <w:sz w:val="24"/>
          <w:szCs w:val="24"/>
          <w:lang w:val="el-GR"/>
        </w:rPr>
        <w:t>Αστυνομία</w:t>
      </w:r>
      <w:r w:rsidR="00780CD5">
        <w:rPr>
          <w:rFonts w:cstheme="minorHAnsi"/>
          <w:sz w:val="24"/>
          <w:szCs w:val="24"/>
          <w:lang w:val="el-GR"/>
        </w:rPr>
        <w:t>ς</w:t>
      </w:r>
      <w:r w:rsidR="00220066" w:rsidRPr="00780CD5">
        <w:rPr>
          <w:rFonts w:cstheme="minorHAnsi"/>
          <w:sz w:val="24"/>
          <w:szCs w:val="24"/>
          <w:lang w:val="el-GR"/>
        </w:rPr>
        <w:t xml:space="preserve">, </w:t>
      </w:r>
      <w:r w:rsidR="00780CD5">
        <w:rPr>
          <w:rFonts w:cstheme="minorHAnsi"/>
          <w:sz w:val="24"/>
          <w:szCs w:val="24"/>
          <w:lang w:val="el-GR"/>
        </w:rPr>
        <w:t>καθώς επίσης και με άλλες ΥΕΝ (Υπηρεσίας Επιβολής του Νόμου),</w:t>
      </w:r>
      <w:r w:rsidR="00220066" w:rsidRPr="00780CD5">
        <w:rPr>
          <w:rFonts w:cstheme="minorHAnsi"/>
          <w:sz w:val="24"/>
          <w:szCs w:val="24"/>
          <w:lang w:val="el-GR"/>
        </w:rPr>
        <w:t xml:space="preserve"> (</w:t>
      </w:r>
      <w:r w:rsidR="00780CD5">
        <w:rPr>
          <w:rFonts w:cstheme="minorHAnsi"/>
          <w:sz w:val="24"/>
          <w:szCs w:val="24"/>
          <w:lang w:val="el-GR"/>
        </w:rPr>
        <w:t>π</w:t>
      </w:r>
      <w:r w:rsidR="00220066" w:rsidRPr="00780CD5">
        <w:rPr>
          <w:rFonts w:cstheme="minorHAnsi"/>
          <w:sz w:val="24"/>
          <w:szCs w:val="24"/>
          <w:lang w:val="el-GR"/>
        </w:rPr>
        <w:t>.</w:t>
      </w:r>
      <w:r w:rsidR="00780CD5">
        <w:rPr>
          <w:rFonts w:cstheme="minorHAnsi"/>
          <w:sz w:val="24"/>
          <w:szCs w:val="24"/>
          <w:lang w:val="el-GR"/>
        </w:rPr>
        <w:t>χ</w:t>
      </w:r>
      <w:r w:rsidR="00220066" w:rsidRPr="00780CD5">
        <w:rPr>
          <w:rFonts w:cstheme="minorHAnsi"/>
          <w:sz w:val="24"/>
          <w:szCs w:val="24"/>
          <w:lang w:val="el-GR"/>
        </w:rPr>
        <w:t xml:space="preserve">. </w:t>
      </w:r>
      <w:r w:rsidR="00780CD5">
        <w:rPr>
          <w:rFonts w:cstheme="minorHAnsi"/>
          <w:sz w:val="24"/>
          <w:szCs w:val="24"/>
          <w:lang w:val="el-GR"/>
        </w:rPr>
        <w:t xml:space="preserve">ανάπτυξη </w:t>
      </w:r>
      <w:r w:rsidR="00220066" w:rsidRPr="004E251E">
        <w:rPr>
          <w:rFonts w:cstheme="minorHAnsi"/>
          <w:sz w:val="24"/>
          <w:szCs w:val="24"/>
        </w:rPr>
        <w:t>MoU</w:t>
      </w:r>
      <w:r w:rsidR="00780CD5">
        <w:rPr>
          <w:rFonts w:cstheme="minorHAnsi"/>
          <w:sz w:val="24"/>
          <w:szCs w:val="24"/>
          <w:lang w:val="el-GR"/>
        </w:rPr>
        <w:t xml:space="preserve"> (Μνημονίων </w:t>
      </w:r>
      <w:proofErr w:type="spellStart"/>
      <w:r w:rsidR="00991B47">
        <w:rPr>
          <w:rFonts w:cstheme="minorHAnsi"/>
          <w:sz w:val="24"/>
          <w:szCs w:val="24"/>
          <w:lang w:val="el-GR"/>
        </w:rPr>
        <w:t>Συναντίληψης</w:t>
      </w:r>
      <w:proofErr w:type="spellEnd"/>
      <w:r w:rsidR="00991B47">
        <w:rPr>
          <w:rFonts w:cstheme="minorHAnsi"/>
          <w:sz w:val="24"/>
          <w:szCs w:val="24"/>
          <w:lang w:val="el-GR"/>
        </w:rPr>
        <w:t>)</w:t>
      </w:r>
      <w:r w:rsidR="00220066" w:rsidRPr="00780CD5">
        <w:rPr>
          <w:rFonts w:cstheme="minorHAnsi"/>
          <w:sz w:val="24"/>
          <w:szCs w:val="24"/>
          <w:lang w:val="el-GR"/>
        </w:rPr>
        <w:t xml:space="preserve">, </w:t>
      </w:r>
      <w:r w:rsidR="00463ACC">
        <w:rPr>
          <w:rFonts w:cstheme="minorHAnsi"/>
          <w:sz w:val="24"/>
          <w:szCs w:val="24"/>
          <w:lang w:val="el-GR"/>
        </w:rPr>
        <w:t>απευθείας</w:t>
      </w:r>
      <w:r w:rsidR="00991B47">
        <w:rPr>
          <w:rFonts w:cstheme="minorHAnsi"/>
          <w:sz w:val="24"/>
          <w:szCs w:val="24"/>
          <w:lang w:val="el-GR"/>
        </w:rPr>
        <w:t xml:space="preserve"> επαφή</w:t>
      </w:r>
      <w:r w:rsidR="00220066" w:rsidRPr="00780CD5">
        <w:rPr>
          <w:rFonts w:cstheme="minorHAnsi"/>
          <w:sz w:val="24"/>
          <w:szCs w:val="24"/>
          <w:lang w:val="el-GR"/>
        </w:rPr>
        <w:t xml:space="preserve">, </w:t>
      </w:r>
      <w:r w:rsidR="00991B47">
        <w:rPr>
          <w:rFonts w:cstheme="minorHAnsi"/>
          <w:sz w:val="24"/>
          <w:szCs w:val="24"/>
          <w:lang w:val="el-GR"/>
        </w:rPr>
        <w:t>πρόσβαση σε βάσεις δεδομένων</w:t>
      </w:r>
      <w:r w:rsidR="00220066" w:rsidRPr="00780CD5">
        <w:rPr>
          <w:rFonts w:cstheme="minorHAnsi"/>
          <w:sz w:val="24"/>
          <w:szCs w:val="24"/>
          <w:lang w:val="el-GR"/>
        </w:rPr>
        <w:t xml:space="preserve">, </w:t>
      </w:r>
      <w:r w:rsidR="00991B47">
        <w:rPr>
          <w:rFonts w:cstheme="minorHAnsi"/>
          <w:sz w:val="24"/>
          <w:szCs w:val="24"/>
          <w:lang w:val="el-GR"/>
        </w:rPr>
        <w:t>κλπ</w:t>
      </w:r>
      <w:r w:rsidR="00220066" w:rsidRPr="00780CD5">
        <w:rPr>
          <w:rFonts w:cstheme="minorHAnsi"/>
          <w:sz w:val="24"/>
          <w:szCs w:val="24"/>
          <w:lang w:val="el-GR"/>
        </w:rPr>
        <w:t>.).</w:t>
      </w:r>
    </w:p>
    <w:p w14:paraId="3C28B07C" w14:textId="77777777" w:rsidR="00220066" w:rsidRPr="00780CD5" w:rsidRDefault="00220066" w:rsidP="00220066">
      <w:pPr>
        <w:widowControl w:val="0"/>
        <w:tabs>
          <w:tab w:val="left" w:pos="709"/>
        </w:tabs>
        <w:rPr>
          <w:rFonts w:cstheme="minorHAnsi"/>
          <w:sz w:val="24"/>
          <w:szCs w:val="24"/>
          <w:lang w:val="el-GR"/>
        </w:rPr>
      </w:pPr>
    </w:p>
    <w:p w14:paraId="00076748" w14:textId="5738474B" w:rsidR="00220066" w:rsidRPr="00842FBA" w:rsidRDefault="00991B47" w:rsidP="00220066">
      <w:pPr>
        <w:widowControl w:val="0"/>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Η</w:t>
      </w:r>
      <w:r w:rsidRPr="00991B47">
        <w:rPr>
          <w:rFonts w:cstheme="minorHAnsi"/>
          <w:sz w:val="24"/>
          <w:szCs w:val="24"/>
          <w:lang w:val="el-GR"/>
        </w:rPr>
        <w:t xml:space="preserve"> </w:t>
      </w:r>
      <w:r w:rsidR="009C4E34">
        <w:rPr>
          <w:rFonts w:cstheme="minorHAnsi"/>
          <w:sz w:val="24"/>
          <w:szCs w:val="24"/>
          <w:lang w:val="el-GR"/>
        </w:rPr>
        <w:t>Αστυνομία</w:t>
      </w:r>
      <w:r w:rsidR="00220066" w:rsidRPr="00991B47">
        <w:rPr>
          <w:rFonts w:cstheme="minorHAnsi"/>
          <w:sz w:val="24"/>
          <w:szCs w:val="24"/>
          <w:lang w:val="el-GR"/>
        </w:rPr>
        <w:t xml:space="preserve"> </w:t>
      </w:r>
      <w:r>
        <w:rPr>
          <w:rFonts w:cstheme="minorHAnsi"/>
          <w:sz w:val="24"/>
          <w:szCs w:val="24"/>
          <w:lang w:val="el-GR"/>
        </w:rPr>
        <w:t>ιδρύθηκε το</w:t>
      </w:r>
      <w:r w:rsidR="00220066" w:rsidRPr="00991B47">
        <w:rPr>
          <w:rFonts w:cstheme="minorHAnsi"/>
          <w:sz w:val="24"/>
          <w:szCs w:val="24"/>
          <w:lang w:val="el-GR"/>
        </w:rPr>
        <w:t xml:space="preserve"> 1960, </w:t>
      </w:r>
      <w:r>
        <w:rPr>
          <w:rFonts w:cstheme="minorHAnsi"/>
          <w:sz w:val="24"/>
          <w:szCs w:val="24"/>
          <w:lang w:val="el-GR"/>
        </w:rPr>
        <w:t>μετά την ανεξαρτησία</w:t>
      </w:r>
      <w:r w:rsidR="00220066" w:rsidRPr="00991B47">
        <w:rPr>
          <w:rFonts w:cstheme="minorHAnsi"/>
          <w:sz w:val="24"/>
          <w:szCs w:val="24"/>
          <w:lang w:val="el-GR"/>
        </w:rPr>
        <w:t xml:space="preserve">. </w:t>
      </w:r>
      <w:r>
        <w:rPr>
          <w:rFonts w:cstheme="minorHAnsi"/>
          <w:sz w:val="24"/>
          <w:szCs w:val="24"/>
          <w:lang w:val="el-GR"/>
        </w:rPr>
        <w:t>Είναι</w:t>
      </w:r>
      <w:r w:rsidRPr="00991B47">
        <w:rPr>
          <w:rFonts w:cstheme="minorHAnsi"/>
          <w:sz w:val="24"/>
          <w:szCs w:val="24"/>
          <w:lang w:val="el-GR"/>
        </w:rPr>
        <w:t xml:space="preserve"> </w:t>
      </w:r>
      <w:r>
        <w:rPr>
          <w:rFonts w:cstheme="minorHAnsi"/>
          <w:sz w:val="24"/>
          <w:szCs w:val="24"/>
          <w:lang w:val="el-GR"/>
        </w:rPr>
        <w:t>ένας</w:t>
      </w:r>
      <w:r w:rsidRPr="00991B47">
        <w:rPr>
          <w:rFonts w:cstheme="minorHAnsi"/>
          <w:sz w:val="24"/>
          <w:szCs w:val="24"/>
          <w:lang w:val="el-GR"/>
        </w:rPr>
        <w:t xml:space="preserve"> </w:t>
      </w:r>
      <w:r>
        <w:rPr>
          <w:rFonts w:cstheme="minorHAnsi"/>
          <w:sz w:val="24"/>
          <w:szCs w:val="24"/>
          <w:lang w:val="el-GR"/>
        </w:rPr>
        <w:t>δημόσιος</w:t>
      </w:r>
      <w:r w:rsidRPr="00991B47">
        <w:rPr>
          <w:rFonts w:cstheme="minorHAnsi"/>
          <w:sz w:val="24"/>
          <w:szCs w:val="24"/>
          <w:lang w:val="el-GR"/>
        </w:rPr>
        <w:t xml:space="preserve"> </w:t>
      </w:r>
      <w:r>
        <w:rPr>
          <w:rFonts w:cstheme="minorHAnsi"/>
          <w:sz w:val="24"/>
          <w:szCs w:val="24"/>
          <w:lang w:val="el-GR"/>
        </w:rPr>
        <w:t>οργανισμός</w:t>
      </w:r>
      <w:r w:rsidR="00220066" w:rsidRPr="00991B47">
        <w:rPr>
          <w:rFonts w:cstheme="minorHAnsi"/>
          <w:sz w:val="24"/>
          <w:szCs w:val="24"/>
          <w:lang w:val="el-GR"/>
        </w:rPr>
        <w:t xml:space="preserve">, </w:t>
      </w:r>
      <w:r>
        <w:rPr>
          <w:rFonts w:cstheme="minorHAnsi"/>
          <w:sz w:val="24"/>
          <w:szCs w:val="24"/>
          <w:lang w:val="el-GR"/>
        </w:rPr>
        <w:t>σχετικά</w:t>
      </w:r>
      <w:r w:rsidRPr="00991B47">
        <w:rPr>
          <w:rFonts w:cstheme="minorHAnsi"/>
          <w:sz w:val="24"/>
          <w:szCs w:val="24"/>
          <w:lang w:val="el-GR"/>
        </w:rPr>
        <w:t xml:space="preserve"> </w:t>
      </w:r>
      <w:r>
        <w:rPr>
          <w:rFonts w:cstheme="minorHAnsi"/>
          <w:sz w:val="24"/>
          <w:szCs w:val="24"/>
          <w:lang w:val="el-GR"/>
        </w:rPr>
        <w:t>μικρού</w:t>
      </w:r>
      <w:r w:rsidRPr="00991B47">
        <w:rPr>
          <w:rFonts w:cstheme="minorHAnsi"/>
          <w:sz w:val="24"/>
          <w:szCs w:val="24"/>
          <w:lang w:val="el-GR"/>
        </w:rPr>
        <w:t xml:space="preserve"> </w:t>
      </w:r>
      <w:r>
        <w:rPr>
          <w:rFonts w:cstheme="minorHAnsi"/>
          <w:sz w:val="24"/>
          <w:szCs w:val="24"/>
          <w:lang w:val="el-GR"/>
        </w:rPr>
        <w:t>μεγέθους</w:t>
      </w:r>
      <w:r w:rsidR="00220066" w:rsidRPr="00991B47">
        <w:rPr>
          <w:rFonts w:cstheme="minorHAnsi"/>
          <w:sz w:val="24"/>
          <w:szCs w:val="24"/>
          <w:lang w:val="el-GR"/>
        </w:rPr>
        <w:t xml:space="preserve"> </w:t>
      </w:r>
      <w:r>
        <w:rPr>
          <w:rFonts w:cstheme="minorHAnsi"/>
          <w:sz w:val="24"/>
          <w:szCs w:val="24"/>
          <w:lang w:val="el-GR"/>
        </w:rPr>
        <w:t xml:space="preserve">που αποτελείται από περίπου </w:t>
      </w:r>
      <w:r w:rsidR="00607486" w:rsidRPr="00991B47">
        <w:rPr>
          <w:rFonts w:cstheme="minorHAnsi"/>
          <w:sz w:val="24"/>
          <w:szCs w:val="24"/>
          <w:lang w:val="el-GR"/>
        </w:rPr>
        <w:t>5 000</w:t>
      </w:r>
      <w:r w:rsidR="00220066" w:rsidRPr="00991B47">
        <w:rPr>
          <w:rFonts w:cstheme="minorHAnsi"/>
          <w:sz w:val="24"/>
          <w:szCs w:val="24"/>
          <w:lang w:val="el-GR"/>
        </w:rPr>
        <w:t xml:space="preserve"> </w:t>
      </w:r>
      <w:r w:rsidR="000A1E9C">
        <w:rPr>
          <w:rFonts w:cstheme="minorHAnsi"/>
          <w:sz w:val="24"/>
          <w:szCs w:val="24"/>
          <w:lang w:val="el-GR"/>
        </w:rPr>
        <w:t>Αστυφύλακες</w:t>
      </w:r>
      <w:r w:rsidR="00220066" w:rsidRPr="00991B47">
        <w:rPr>
          <w:rFonts w:cstheme="minorHAnsi"/>
          <w:sz w:val="24"/>
          <w:szCs w:val="24"/>
          <w:lang w:val="el-GR"/>
        </w:rPr>
        <w:t xml:space="preserve">. </w:t>
      </w:r>
      <w:r>
        <w:rPr>
          <w:rFonts w:cstheme="minorHAnsi"/>
          <w:sz w:val="24"/>
          <w:szCs w:val="24"/>
          <w:lang w:val="el-GR"/>
        </w:rPr>
        <w:t>Αυτός</w:t>
      </w:r>
      <w:r w:rsidRPr="000704B9">
        <w:rPr>
          <w:rFonts w:cstheme="minorHAnsi"/>
          <w:sz w:val="24"/>
          <w:szCs w:val="24"/>
          <w:lang w:val="el-GR"/>
        </w:rPr>
        <w:t xml:space="preserve"> </w:t>
      </w:r>
      <w:r>
        <w:rPr>
          <w:rFonts w:cstheme="minorHAnsi"/>
          <w:sz w:val="24"/>
          <w:szCs w:val="24"/>
          <w:lang w:val="el-GR"/>
        </w:rPr>
        <w:t>ο</w:t>
      </w:r>
      <w:r w:rsidRPr="000704B9">
        <w:rPr>
          <w:rFonts w:cstheme="minorHAnsi"/>
          <w:sz w:val="24"/>
          <w:szCs w:val="24"/>
          <w:lang w:val="el-GR"/>
        </w:rPr>
        <w:t xml:space="preserve"> </w:t>
      </w:r>
      <w:r>
        <w:rPr>
          <w:rFonts w:cstheme="minorHAnsi"/>
          <w:sz w:val="24"/>
          <w:szCs w:val="24"/>
          <w:lang w:val="el-GR"/>
        </w:rPr>
        <w:t>αριθμός</w:t>
      </w:r>
      <w:r w:rsidRPr="000704B9">
        <w:rPr>
          <w:rFonts w:cstheme="minorHAnsi"/>
          <w:sz w:val="24"/>
          <w:szCs w:val="24"/>
          <w:lang w:val="el-GR"/>
        </w:rPr>
        <w:t xml:space="preserve"> </w:t>
      </w:r>
      <w:r>
        <w:rPr>
          <w:rFonts w:cstheme="minorHAnsi"/>
          <w:sz w:val="24"/>
          <w:szCs w:val="24"/>
          <w:lang w:val="el-GR"/>
        </w:rPr>
        <w:t>συμπεριλαμβάνει</w:t>
      </w:r>
      <w:r w:rsidR="00220066" w:rsidRPr="000704B9">
        <w:rPr>
          <w:rFonts w:cstheme="minorHAnsi"/>
          <w:sz w:val="24"/>
          <w:szCs w:val="24"/>
          <w:lang w:val="el-GR"/>
        </w:rPr>
        <w:t xml:space="preserve"> </w:t>
      </w:r>
      <w:r>
        <w:rPr>
          <w:rFonts w:cstheme="minorHAnsi"/>
          <w:sz w:val="24"/>
          <w:szCs w:val="24"/>
          <w:lang w:val="el-GR"/>
        </w:rPr>
        <w:t>τους</w:t>
      </w:r>
      <w:r w:rsidRPr="000704B9">
        <w:rPr>
          <w:rFonts w:cstheme="minorHAnsi"/>
          <w:sz w:val="24"/>
          <w:szCs w:val="24"/>
          <w:lang w:val="el-GR"/>
        </w:rPr>
        <w:t xml:space="preserve"> </w:t>
      </w:r>
      <w:r w:rsidR="000704B9">
        <w:rPr>
          <w:rFonts w:cstheme="minorHAnsi"/>
          <w:sz w:val="24"/>
          <w:szCs w:val="24"/>
          <w:lang w:val="el-GR"/>
        </w:rPr>
        <w:t>Ειδικούς</w:t>
      </w:r>
      <w:r w:rsidR="000704B9" w:rsidRPr="000704B9">
        <w:rPr>
          <w:rFonts w:cstheme="minorHAnsi"/>
          <w:sz w:val="24"/>
          <w:szCs w:val="24"/>
          <w:lang w:val="el-GR"/>
        </w:rPr>
        <w:t xml:space="preserve"> </w:t>
      </w:r>
      <w:r w:rsidR="000704B9">
        <w:rPr>
          <w:rFonts w:cstheme="minorHAnsi"/>
          <w:sz w:val="24"/>
          <w:szCs w:val="24"/>
          <w:lang w:val="el-GR"/>
        </w:rPr>
        <w:t>Αστυφύλακες</w:t>
      </w:r>
      <w:r w:rsidR="000704B9" w:rsidRPr="000704B9">
        <w:rPr>
          <w:rFonts w:cstheme="minorHAnsi"/>
          <w:sz w:val="24"/>
          <w:szCs w:val="24"/>
          <w:lang w:val="el-GR"/>
        </w:rPr>
        <w:t xml:space="preserve"> </w:t>
      </w:r>
      <w:r w:rsidR="000704B9">
        <w:rPr>
          <w:rFonts w:cstheme="minorHAnsi"/>
          <w:sz w:val="24"/>
          <w:szCs w:val="24"/>
          <w:lang w:val="el-GR"/>
        </w:rPr>
        <w:t>της</w:t>
      </w:r>
      <w:r w:rsidR="000704B9" w:rsidRPr="000704B9">
        <w:rPr>
          <w:rFonts w:cstheme="minorHAnsi"/>
          <w:sz w:val="24"/>
          <w:szCs w:val="24"/>
          <w:lang w:val="el-GR"/>
        </w:rPr>
        <w:t xml:space="preserve"> </w:t>
      </w:r>
      <w:r w:rsidR="009C4E34">
        <w:rPr>
          <w:rFonts w:cstheme="minorHAnsi"/>
          <w:sz w:val="24"/>
          <w:szCs w:val="24"/>
          <w:lang w:val="el-GR"/>
        </w:rPr>
        <w:t>Αστυνομία</w:t>
      </w:r>
      <w:r w:rsidR="000704B9">
        <w:rPr>
          <w:rFonts w:cstheme="minorHAnsi"/>
          <w:sz w:val="24"/>
          <w:szCs w:val="24"/>
          <w:lang w:val="el-GR"/>
        </w:rPr>
        <w:t>ς</w:t>
      </w:r>
      <w:r w:rsidR="00220066" w:rsidRPr="000704B9">
        <w:rPr>
          <w:rFonts w:cstheme="minorHAnsi"/>
          <w:sz w:val="24"/>
          <w:szCs w:val="24"/>
          <w:lang w:val="el-GR"/>
        </w:rPr>
        <w:t xml:space="preserve">, </w:t>
      </w:r>
      <w:r w:rsidR="000704B9">
        <w:rPr>
          <w:rFonts w:cstheme="minorHAnsi"/>
          <w:sz w:val="24"/>
          <w:szCs w:val="24"/>
          <w:lang w:val="el-GR"/>
        </w:rPr>
        <w:t>που εκτελούν κυρίως</w:t>
      </w:r>
      <w:r w:rsidR="00220066" w:rsidRPr="000704B9">
        <w:rPr>
          <w:rFonts w:cstheme="minorHAnsi"/>
          <w:sz w:val="24"/>
          <w:szCs w:val="24"/>
          <w:lang w:val="el-GR"/>
        </w:rPr>
        <w:t xml:space="preserve"> </w:t>
      </w:r>
      <w:r w:rsidR="000704B9">
        <w:rPr>
          <w:rFonts w:cstheme="minorHAnsi"/>
          <w:sz w:val="24"/>
          <w:szCs w:val="24"/>
          <w:lang w:val="el-GR"/>
        </w:rPr>
        <w:t>βοηθητικά καθήκοντα</w:t>
      </w:r>
      <w:r w:rsidR="00220066" w:rsidRPr="000704B9">
        <w:rPr>
          <w:rFonts w:cstheme="minorHAnsi"/>
          <w:sz w:val="24"/>
          <w:szCs w:val="24"/>
          <w:lang w:val="el-GR"/>
        </w:rPr>
        <w:t xml:space="preserve">, </w:t>
      </w:r>
      <w:r w:rsidR="000704B9">
        <w:rPr>
          <w:rFonts w:cstheme="minorHAnsi"/>
          <w:sz w:val="24"/>
          <w:szCs w:val="24"/>
          <w:lang w:val="el-GR"/>
        </w:rPr>
        <w:t>όπως</w:t>
      </w:r>
      <w:r w:rsidR="00220066" w:rsidRPr="000704B9">
        <w:rPr>
          <w:rFonts w:cstheme="minorHAnsi"/>
          <w:sz w:val="24"/>
          <w:szCs w:val="24"/>
          <w:lang w:val="el-GR"/>
        </w:rPr>
        <w:t xml:space="preserve"> </w:t>
      </w:r>
      <w:r w:rsidR="000704B9">
        <w:rPr>
          <w:rFonts w:cstheme="minorHAnsi"/>
          <w:sz w:val="24"/>
          <w:szCs w:val="24"/>
          <w:lang w:val="el-GR"/>
        </w:rPr>
        <w:t>την φύλαξη</w:t>
      </w:r>
      <w:r w:rsidR="00220066" w:rsidRPr="000704B9">
        <w:rPr>
          <w:rFonts w:cstheme="minorHAnsi"/>
          <w:sz w:val="24"/>
          <w:szCs w:val="24"/>
          <w:lang w:val="el-GR"/>
        </w:rPr>
        <w:t xml:space="preserve">, </w:t>
      </w:r>
      <w:r w:rsidR="000704B9">
        <w:rPr>
          <w:rFonts w:cstheme="minorHAnsi"/>
          <w:sz w:val="24"/>
          <w:szCs w:val="24"/>
          <w:lang w:val="el-GR"/>
        </w:rPr>
        <w:t>την συνοδεία</w:t>
      </w:r>
      <w:r w:rsidR="00220066" w:rsidRPr="000704B9">
        <w:rPr>
          <w:rFonts w:cstheme="minorHAnsi"/>
          <w:sz w:val="24"/>
          <w:szCs w:val="24"/>
          <w:lang w:val="el-GR"/>
        </w:rPr>
        <w:t xml:space="preserve">, </w:t>
      </w:r>
      <w:r w:rsidR="000704B9">
        <w:rPr>
          <w:rFonts w:cstheme="minorHAnsi"/>
          <w:sz w:val="24"/>
          <w:szCs w:val="24"/>
          <w:lang w:val="el-GR"/>
        </w:rPr>
        <w:t>γραφειακές και άλλες εργασίες</w:t>
      </w:r>
      <w:r w:rsidR="00220066" w:rsidRPr="000704B9">
        <w:rPr>
          <w:rFonts w:cstheme="minorHAnsi"/>
          <w:sz w:val="24"/>
          <w:szCs w:val="24"/>
          <w:lang w:val="el-GR"/>
        </w:rPr>
        <w:t xml:space="preserve">. </w:t>
      </w:r>
      <w:r w:rsidR="000704B9">
        <w:rPr>
          <w:rFonts w:cstheme="minorHAnsi"/>
          <w:sz w:val="24"/>
          <w:szCs w:val="24"/>
          <w:lang w:val="el-GR"/>
        </w:rPr>
        <w:t>Συμπεριλαμβάνει</w:t>
      </w:r>
      <w:r w:rsidR="000704B9" w:rsidRPr="000704B9">
        <w:rPr>
          <w:rFonts w:cstheme="minorHAnsi"/>
          <w:sz w:val="24"/>
          <w:szCs w:val="24"/>
          <w:lang w:val="el-GR"/>
        </w:rPr>
        <w:t xml:space="preserve"> </w:t>
      </w:r>
      <w:r w:rsidR="000704B9">
        <w:rPr>
          <w:rFonts w:cstheme="minorHAnsi"/>
          <w:sz w:val="24"/>
          <w:szCs w:val="24"/>
          <w:lang w:val="el-GR"/>
        </w:rPr>
        <w:t>επίσης</w:t>
      </w:r>
      <w:r w:rsidR="000704B9" w:rsidRPr="000704B9">
        <w:rPr>
          <w:rFonts w:cstheme="minorHAnsi"/>
          <w:sz w:val="24"/>
          <w:szCs w:val="24"/>
          <w:lang w:val="el-GR"/>
        </w:rPr>
        <w:t xml:space="preserve"> </w:t>
      </w:r>
      <w:r w:rsidR="000704B9">
        <w:rPr>
          <w:rFonts w:cstheme="minorHAnsi"/>
          <w:sz w:val="24"/>
          <w:szCs w:val="24"/>
          <w:lang w:val="el-GR"/>
        </w:rPr>
        <w:t>εξειδικευμένο</w:t>
      </w:r>
      <w:r w:rsidR="000704B9" w:rsidRPr="000704B9">
        <w:rPr>
          <w:rFonts w:cstheme="minorHAnsi"/>
          <w:sz w:val="24"/>
          <w:szCs w:val="24"/>
          <w:lang w:val="el-GR"/>
        </w:rPr>
        <w:t xml:space="preserve"> </w:t>
      </w:r>
      <w:r w:rsidR="000704B9">
        <w:rPr>
          <w:rFonts w:cstheme="minorHAnsi"/>
          <w:sz w:val="24"/>
          <w:szCs w:val="24"/>
          <w:lang w:val="el-GR"/>
        </w:rPr>
        <w:t>προσωπικό</w:t>
      </w:r>
      <w:r w:rsidR="000704B9" w:rsidRPr="000704B9">
        <w:rPr>
          <w:rFonts w:cstheme="minorHAnsi"/>
          <w:sz w:val="24"/>
          <w:szCs w:val="24"/>
          <w:lang w:val="el-GR"/>
        </w:rPr>
        <w:t xml:space="preserve"> </w:t>
      </w:r>
      <w:r w:rsidR="000704B9">
        <w:rPr>
          <w:rFonts w:cstheme="minorHAnsi"/>
          <w:sz w:val="24"/>
          <w:szCs w:val="24"/>
          <w:lang w:val="el-GR"/>
        </w:rPr>
        <w:t>της</w:t>
      </w:r>
      <w:r w:rsidR="000704B9" w:rsidRPr="000704B9">
        <w:rPr>
          <w:rFonts w:cstheme="minorHAnsi"/>
          <w:sz w:val="24"/>
          <w:szCs w:val="24"/>
          <w:lang w:val="el-GR"/>
        </w:rPr>
        <w:t xml:space="preserve"> </w:t>
      </w:r>
      <w:r w:rsidR="009C4E34">
        <w:rPr>
          <w:rFonts w:cstheme="minorHAnsi"/>
          <w:sz w:val="24"/>
          <w:szCs w:val="24"/>
          <w:lang w:val="el-GR"/>
        </w:rPr>
        <w:t>Αστυνομία</w:t>
      </w:r>
      <w:r w:rsidR="000704B9">
        <w:rPr>
          <w:rFonts w:cstheme="minorHAnsi"/>
          <w:sz w:val="24"/>
          <w:szCs w:val="24"/>
          <w:lang w:val="el-GR"/>
        </w:rPr>
        <w:t>ς</w:t>
      </w:r>
      <w:r w:rsidR="00220066" w:rsidRPr="000704B9">
        <w:rPr>
          <w:rFonts w:cstheme="minorHAnsi"/>
          <w:sz w:val="24"/>
          <w:szCs w:val="24"/>
          <w:lang w:val="el-GR"/>
        </w:rPr>
        <w:t xml:space="preserve">, </w:t>
      </w:r>
      <w:r w:rsidR="000704B9">
        <w:rPr>
          <w:rFonts w:cstheme="minorHAnsi"/>
          <w:sz w:val="24"/>
          <w:szCs w:val="24"/>
          <w:lang w:val="el-GR"/>
        </w:rPr>
        <w:t>που επανδρώνει συγκεκριμένα τμήματα</w:t>
      </w:r>
      <w:r w:rsidR="00220066" w:rsidRPr="000704B9">
        <w:rPr>
          <w:rFonts w:cstheme="minorHAnsi"/>
          <w:sz w:val="24"/>
          <w:szCs w:val="24"/>
          <w:lang w:val="el-GR"/>
        </w:rPr>
        <w:t xml:space="preserve">, </w:t>
      </w:r>
      <w:r w:rsidR="000704B9">
        <w:rPr>
          <w:rFonts w:cstheme="minorHAnsi"/>
          <w:sz w:val="24"/>
          <w:szCs w:val="24"/>
          <w:lang w:val="el-GR"/>
        </w:rPr>
        <w:t>υπηρεσίες</w:t>
      </w:r>
      <w:r w:rsidR="00220066" w:rsidRPr="000704B9">
        <w:rPr>
          <w:rFonts w:cstheme="minorHAnsi"/>
          <w:sz w:val="24"/>
          <w:szCs w:val="24"/>
          <w:lang w:val="el-GR"/>
        </w:rPr>
        <w:t xml:space="preserve">, </w:t>
      </w:r>
      <w:r w:rsidR="000704B9">
        <w:rPr>
          <w:rFonts w:cstheme="minorHAnsi"/>
          <w:sz w:val="24"/>
          <w:szCs w:val="24"/>
          <w:lang w:val="el-GR"/>
        </w:rPr>
        <w:t xml:space="preserve">και μονάδες της </w:t>
      </w:r>
      <w:r w:rsidR="009C4E34">
        <w:rPr>
          <w:rFonts w:cstheme="minorHAnsi"/>
          <w:sz w:val="24"/>
          <w:szCs w:val="24"/>
          <w:lang w:val="el-GR"/>
        </w:rPr>
        <w:t>Αστυνομία</w:t>
      </w:r>
      <w:r w:rsidR="000704B9">
        <w:rPr>
          <w:rFonts w:cstheme="minorHAnsi"/>
          <w:sz w:val="24"/>
          <w:szCs w:val="24"/>
          <w:lang w:val="el-GR"/>
        </w:rPr>
        <w:t>ς</w:t>
      </w:r>
      <w:r w:rsidR="00220066" w:rsidRPr="000704B9">
        <w:rPr>
          <w:rFonts w:cstheme="minorHAnsi"/>
          <w:sz w:val="24"/>
          <w:szCs w:val="24"/>
          <w:lang w:val="el-GR"/>
        </w:rPr>
        <w:t xml:space="preserve">. </w:t>
      </w:r>
      <w:r w:rsidR="000704B9">
        <w:rPr>
          <w:rFonts w:cstheme="minorHAnsi"/>
          <w:sz w:val="24"/>
          <w:szCs w:val="24"/>
          <w:lang w:val="el-GR"/>
        </w:rPr>
        <w:t>Όσον</w:t>
      </w:r>
      <w:r w:rsidR="000704B9" w:rsidRPr="00842FBA">
        <w:rPr>
          <w:rFonts w:cstheme="minorHAnsi"/>
          <w:sz w:val="24"/>
          <w:szCs w:val="24"/>
          <w:lang w:val="el-GR"/>
        </w:rPr>
        <w:t xml:space="preserve"> </w:t>
      </w:r>
      <w:r w:rsidR="000704B9">
        <w:rPr>
          <w:rFonts w:cstheme="minorHAnsi"/>
          <w:sz w:val="24"/>
          <w:szCs w:val="24"/>
          <w:lang w:val="el-GR"/>
        </w:rPr>
        <w:t>αφορά</w:t>
      </w:r>
      <w:r w:rsidR="000704B9" w:rsidRPr="00842FBA">
        <w:rPr>
          <w:rFonts w:cstheme="minorHAnsi"/>
          <w:sz w:val="24"/>
          <w:szCs w:val="24"/>
          <w:lang w:val="el-GR"/>
        </w:rPr>
        <w:t xml:space="preserve"> </w:t>
      </w:r>
      <w:r w:rsidR="000704B9">
        <w:rPr>
          <w:rFonts w:cstheme="minorHAnsi"/>
          <w:sz w:val="24"/>
          <w:szCs w:val="24"/>
          <w:lang w:val="el-GR"/>
        </w:rPr>
        <w:t>το</w:t>
      </w:r>
      <w:r w:rsidR="000704B9" w:rsidRPr="00842FBA">
        <w:rPr>
          <w:rFonts w:cstheme="minorHAnsi"/>
          <w:sz w:val="24"/>
          <w:szCs w:val="24"/>
          <w:lang w:val="el-GR"/>
        </w:rPr>
        <w:t xml:space="preserve"> </w:t>
      </w:r>
      <w:r w:rsidR="000704B9">
        <w:rPr>
          <w:rFonts w:cstheme="minorHAnsi"/>
          <w:sz w:val="24"/>
          <w:szCs w:val="24"/>
          <w:lang w:val="el-GR"/>
        </w:rPr>
        <w:t>ισοζύγιο</w:t>
      </w:r>
      <w:r w:rsidR="000704B9" w:rsidRPr="00842FBA">
        <w:rPr>
          <w:rFonts w:cstheme="minorHAnsi"/>
          <w:sz w:val="24"/>
          <w:szCs w:val="24"/>
          <w:lang w:val="el-GR"/>
        </w:rPr>
        <w:t xml:space="preserve"> </w:t>
      </w:r>
      <w:r w:rsidR="000704B9">
        <w:rPr>
          <w:rFonts w:cstheme="minorHAnsi"/>
          <w:sz w:val="24"/>
          <w:szCs w:val="24"/>
          <w:lang w:val="el-GR"/>
        </w:rPr>
        <w:t>των</w:t>
      </w:r>
      <w:r w:rsidR="000704B9" w:rsidRPr="00842FBA">
        <w:rPr>
          <w:rFonts w:cstheme="minorHAnsi"/>
          <w:sz w:val="24"/>
          <w:szCs w:val="24"/>
          <w:lang w:val="el-GR"/>
        </w:rPr>
        <w:t xml:space="preserve"> </w:t>
      </w:r>
      <w:r w:rsidR="000704B9">
        <w:rPr>
          <w:rFonts w:cstheme="minorHAnsi"/>
          <w:sz w:val="24"/>
          <w:szCs w:val="24"/>
          <w:lang w:val="el-GR"/>
        </w:rPr>
        <w:t>φύλων</w:t>
      </w:r>
      <w:r w:rsidR="00220066" w:rsidRPr="00842FBA">
        <w:rPr>
          <w:rFonts w:cstheme="minorHAnsi"/>
          <w:sz w:val="24"/>
          <w:szCs w:val="24"/>
          <w:lang w:val="el-GR"/>
        </w:rPr>
        <w:t xml:space="preserve">, </w:t>
      </w:r>
      <w:r w:rsidR="00842FBA">
        <w:rPr>
          <w:rFonts w:cstheme="minorHAnsi"/>
          <w:sz w:val="24"/>
          <w:szCs w:val="24"/>
          <w:lang w:val="el-GR"/>
        </w:rPr>
        <w:t>οι άντρες είναι το</w:t>
      </w:r>
      <w:r w:rsidR="00220066" w:rsidRPr="00842FBA">
        <w:rPr>
          <w:rFonts w:cstheme="minorHAnsi"/>
          <w:sz w:val="24"/>
          <w:szCs w:val="24"/>
          <w:lang w:val="el-GR"/>
        </w:rPr>
        <w:t xml:space="preserve"> 75% </w:t>
      </w:r>
      <w:r w:rsidR="00842FBA">
        <w:rPr>
          <w:rFonts w:cstheme="minorHAnsi"/>
          <w:sz w:val="24"/>
          <w:szCs w:val="24"/>
          <w:lang w:val="el-GR"/>
        </w:rPr>
        <w:t>και οι γυναίκες</w:t>
      </w:r>
      <w:r w:rsidR="00220066" w:rsidRPr="00842FBA">
        <w:rPr>
          <w:rFonts w:cstheme="minorHAnsi"/>
          <w:sz w:val="24"/>
          <w:szCs w:val="24"/>
          <w:lang w:val="el-GR"/>
        </w:rPr>
        <w:t xml:space="preserve"> </w:t>
      </w:r>
      <w:r w:rsidR="00842FBA">
        <w:rPr>
          <w:rFonts w:cstheme="minorHAnsi"/>
          <w:sz w:val="24"/>
          <w:szCs w:val="24"/>
          <w:lang w:val="el-GR"/>
        </w:rPr>
        <w:t xml:space="preserve">το </w:t>
      </w:r>
      <w:r w:rsidR="00220066" w:rsidRPr="00842FBA">
        <w:rPr>
          <w:rFonts w:cstheme="minorHAnsi"/>
          <w:sz w:val="24"/>
          <w:szCs w:val="24"/>
          <w:lang w:val="el-GR"/>
        </w:rPr>
        <w:t xml:space="preserve">25% </w:t>
      </w:r>
      <w:r w:rsidR="00842FBA">
        <w:rPr>
          <w:rFonts w:cstheme="minorHAnsi"/>
          <w:sz w:val="24"/>
          <w:szCs w:val="24"/>
          <w:lang w:val="el-GR"/>
        </w:rPr>
        <w:t>περίπου</w:t>
      </w:r>
      <w:r w:rsidR="00220066" w:rsidRPr="00842FBA">
        <w:rPr>
          <w:rFonts w:cstheme="minorHAnsi"/>
          <w:sz w:val="24"/>
          <w:szCs w:val="24"/>
          <w:lang w:val="el-GR"/>
        </w:rPr>
        <w:t xml:space="preserve">. </w:t>
      </w:r>
    </w:p>
    <w:p w14:paraId="3711EDA7" w14:textId="6F991550" w:rsidR="00220066" w:rsidRPr="00842FBA" w:rsidRDefault="00220066" w:rsidP="00220066">
      <w:pPr>
        <w:widowControl w:val="0"/>
        <w:tabs>
          <w:tab w:val="left" w:pos="709"/>
        </w:tabs>
        <w:rPr>
          <w:rFonts w:cstheme="minorHAnsi"/>
          <w:sz w:val="24"/>
          <w:szCs w:val="24"/>
          <w:lang w:val="el-GR"/>
        </w:rPr>
      </w:pPr>
    </w:p>
    <w:tbl>
      <w:tblPr>
        <w:tblW w:w="9067" w:type="dxa"/>
        <w:tblCellMar>
          <w:left w:w="70" w:type="dxa"/>
          <w:right w:w="70" w:type="dxa"/>
        </w:tblCellMar>
        <w:tblLook w:val="04A0" w:firstRow="1" w:lastRow="0" w:firstColumn="1" w:lastColumn="0" w:noHBand="0" w:noVBand="1"/>
      </w:tblPr>
      <w:tblGrid>
        <w:gridCol w:w="4390"/>
        <w:gridCol w:w="1559"/>
        <w:gridCol w:w="1559"/>
        <w:gridCol w:w="1559"/>
      </w:tblGrid>
      <w:tr w:rsidR="00607486" w:rsidRPr="00607486" w14:paraId="05F658AD" w14:textId="77777777" w:rsidTr="00607486">
        <w:trPr>
          <w:trHeight w:val="260"/>
        </w:trPr>
        <w:tc>
          <w:tcPr>
            <w:tcW w:w="4390" w:type="dxa"/>
            <w:tcBorders>
              <w:top w:val="single" w:sz="4" w:space="0" w:color="auto"/>
              <w:left w:val="single" w:sz="4" w:space="0" w:color="auto"/>
              <w:bottom w:val="nil"/>
              <w:right w:val="single" w:sz="4" w:space="0" w:color="auto"/>
            </w:tcBorders>
            <w:shd w:val="clear" w:color="000000" w:fill="8DB4E2"/>
            <w:vAlign w:val="center"/>
            <w:hideMark/>
          </w:tcPr>
          <w:p w14:paraId="054F473C" w14:textId="12A51EEE" w:rsidR="00607486" w:rsidRPr="00607486" w:rsidRDefault="00842FBA" w:rsidP="00842FBA">
            <w:pPr>
              <w:jc w:val="center"/>
              <w:rPr>
                <w:rFonts w:eastAsia="Times New Roman" w:cstheme="minorHAnsi"/>
                <w:b/>
                <w:bCs/>
                <w:sz w:val="20"/>
                <w:szCs w:val="20"/>
                <w:lang w:val="fr-FR" w:eastAsia="fr-FR"/>
              </w:rPr>
            </w:pPr>
            <w:r>
              <w:rPr>
                <w:rFonts w:eastAsia="Times New Roman" w:cstheme="minorHAnsi"/>
                <w:b/>
                <w:bCs/>
                <w:sz w:val="20"/>
                <w:szCs w:val="20"/>
                <w:lang w:val="el-GR" w:eastAsia="fr-FR"/>
              </w:rPr>
              <w:t>ΒΑΘΜΟΣ</w:t>
            </w:r>
          </w:p>
        </w:tc>
        <w:tc>
          <w:tcPr>
            <w:tcW w:w="1559" w:type="dxa"/>
            <w:tcBorders>
              <w:top w:val="single" w:sz="4" w:space="0" w:color="auto"/>
              <w:left w:val="nil"/>
              <w:bottom w:val="single" w:sz="4" w:space="0" w:color="auto"/>
              <w:right w:val="single" w:sz="4" w:space="0" w:color="auto"/>
            </w:tcBorders>
            <w:shd w:val="clear" w:color="000000" w:fill="8DB4E2"/>
            <w:vAlign w:val="center"/>
            <w:hideMark/>
          </w:tcPr>
          <w:p w14:paraId="4D6C7351" w14:textId="499D1D90" w:rsidR="00607486" w:rsidRPr="00607486" w:rsidRDefault="00842FBA" w:rsidP="00842FBA">
            <w:pPr>
              <w:jc w:val="center"/>
              <w:rPr>
                <w:rFonts w:eastAsia="Times New Roman" w:cstheme="minorHAnsi"/>
                <w:b/>
                <w:bCs/>
                <w:sz w:val="20"/>
                <w:szCs w:val="20"/>
                <w:lang w:val="fr-FR" w:eastAsia="fr-FR"/>
              </w:rPr>
            </w:pPr>
            <w:r>
              <w:rPr>
                <w:rFonts w:eastAsia="Times New Roman" w:cstheme="minorHAnsi"/>
                <w:b/>
                <w:bCs/>
                <w:sz w:val="20"/>
                <w:szCs w:val="20"/>
                <w:lang w:val="el-GR" w:eastAsia="fr-FR"/>
              </w:rPr>
              <w:t>ΑΝΤΡΕΣ</w:t>
            </w:r>
            <w:r w:rsidR="00607486" w:rsidRPr="00607486">
              <w:rPr>
                <w:rFonts w:eastAsia="Times New Roman" w:cstheme="minorHAnsi"/>
                <w:b/>
                <w:bCs/>
                <w:sz w:val="20"/>
                <w:szCs w:val="20"/>
                <w:lang w:val="fr-FR" w:eastAsia="fr-FR"/>
              </w:rPr>
              <w:t xml:space="preserve"> </w:t>
            </w:r>
          </w:p>
        </w:tc>
        <w:tc>
          <w:tcPr>
            <w:tcW w:w="1559" w:type="dxa"/>
            <w:tcBorders>
              <w:top w:val="single" w:sz="4" w:space="0" w:color="auto"/>
              <w:left w:val="nil"/>
              <w:bottom w:val="single" w:sz="4" w:space="0" w:color="auto"/>
              <w:right w:val="single" w:sz="4" w:space="0" w:color="auto"/>
            </w:tcBorders>
            <w:shd w:val="clear" w:color="000000" w:fill="8DB4E2"/>
            <w:vAlign w:val="center"/>
            <w:hideMark/>
          </w:tcPr>
          <w:p w14:paraId="5490DA8E" w14:textId="48410CF0" w:rsidR="00607486" w:rsidRPr="00607486" w:rsidRDefault="00842FBA" w:rsidP="00842FBA">
            <w:pPr>
              <w:jc w:val="center"/>
              <w:rPr>
                <w:rFonts w:eastAsia="Times New Roman" w:cstheme="minorHAnsi"/>
                <w:b/>
                <w:bCs/>
                <w:sz w:val="20"/>
                <w:szCs w:val="20"/>
                <w:lang w:val="fr-FR" w:eastAsia="fr-FR"/>
              </w:rPr>
            </w:pPr>
            <w:r>
              <w:rPr>
                <w:rFonts w:eastAsia="Times New Roman" w:cstheme="minorHAnsi"/>
                <w:b/>
                <w:bCs/>
                <w:sz w:val="20"/>
                <w:szCs w:val="20"/>
                <w:lang w:val="el-GR" w:eastAsia="fr-FR"/>
              </w:rPr>
              <w:t>ΓΥΝΑΙΚΕΣ</w:t>
            </w:r>
          </w:p>
        </w:tc>
        <w:tc>
          <w:tcPr>
            <w:tcW w:w="1559" w:type="dxa"/>
            <w:tcBorders>
              <w:top w:val="single" w:sz="4" w:space="0" w:color="auto"/>
              <w:left w:val="nil"/>
              <w:bottom w:val="nil"/>
              <w:right w:val="single" w:sz="4" w:space="0" w:color="auto"/>
            </w:tcBorders>
            <w:shd w:val="clear" w:color="000000" w:fill="8DB4E2"/>
            <w:vAlign w:val="center"/>
            <w:hideMark/>
          </w:tcPr>
          <w:p w14:paraId="541D5FF0" w14:textId="65B7EB7A" w:rsidR="00607486" w:rsidRPr="00607486" w:rsidRDefault="00842FBA" w:rsidP="00842FBA">
            <w:pPr>
              <w:jc w:val="center"/>
              <w:rPr>
                <w:rFonts w:eastAsia="Times New Roman" w:cstheme="minorHAnsi"/>
                <w:b/>
                <w:bCs/>
                <w:sz w:val="20"/>
                <w:szCs w:val="20"/>
                <w:lang w:val="fr-FR" w:eastAsia="fr-FR"/>
              </w:rPr>
            </w:pPr>
            <w:r>
              <w:rPr>
                <w:rFonts w:eastAsia="Times New Roman" w:cstheme="minorHAnsi"/>
                <w:b/>
                <w:bCs/>
                <w:sz w:val="20"/>
                <w:szCs w:val="20"/>
                <w:lang w:val="el-GR" w:eastAsia="fr-FR"/>
              </w:rPr>
              <w:t>ΣΥΝΟΛΟ</w:t>
            </w:r>
          </w:p>
        </w:tc>
      </w:tr>
      <w:tr w:rsidR="00607486" w:rsidRPr="00607486" w14:paraId="34A317AF" w14:textId="77777777" w:rsidTr="00607486">
        <w:trPr>
          <w:trHeight w:val="278"/>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49A32" w14:textId="40ABF403" w:rsidR="00607486" w:rsidRPr="00607486" w:rsidRDefault="00842FBA" w:rsidP="00842FBA">
            <w:pPr>
              <w:jc w:val="left"/>
              <w:rPr>
                <w:rFonts w:eastAsia="Times New Roman" w:cstheme="minorHAnsi"/>
                <w:sz w:val="20"/>
                <w:szCs w:val="20"/>
                <w:lang w:val="fr-FR" w:eastAsia="fr-FR"/>
              </w:rPr>
            </w:pPr>
            <w:r>
              <w:rPr>
                <w:rFonts w:eastAsia="Times New Roman" w:cstheme="minorHAnsi"/>
                <w:sz w:val="20"/>
                <w:szCs w:val="20"/>
                <w:lang w:val="el-GR" w:eastAsia="fr-FR"/>
              </w:rPr>
              <w:t>ΑΡΧΗΓΟΣ ΤΗΣ ΑΣΤΥΝΟΜΙΑΣ</w:t>
            </w:r>
          </w:p>
        </w:tc>
        <w:tc>
          <w:tcPr>
            <w:tcW w:w="1559" w:type="dxa"/>
            <w:tcBorders>
              <w:top w:val="nil"/>
              <w:left w:val="nil"/>
              <w:bottom w:val="single" w:sz="4" w:space="0" w:color="auto"/>
              <w:right w:val="single" w:sz="4" w:space="0" w:color="auto"/>
            </w:tcBorders>
            <w:shd w:val="clear" w:color="auto" w:fill="auto"/>
            <w:vAlign w:val="center"/>
            <w:hideMark/>
          </w:tcPr>
          <w:p w14:paraId="698C5697"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1</w:t>
            </w:r>
          </w:p>
        </w:tc>
        <w:tc>
          <w:tcPr>
            <w:tcW w:w="1559" w:type="dxa"/>
            <w:tcBorders>
              <w:top w:val="nil"/>
              <w:left w:val="nil"/>
              <w:bottom w:val="single" w:sz="4" w:space="0" w:color="auto"/>
              <w:right w:val="single" w:sz="4" w:space="0" w:color="auto"/>
            </w:tcBorders>
            <w:shd w:val="clear" w:color="auto" w:fill="auto"/>
            <w:vAlign w:val="center"/>
            <w:hideMark/>
          </w:tcPr>
          <w:p w14:paraId="47E2C44F"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191E24A"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1</w:t>
            </w:r>
          </w:p>
        </w:tc>
      </w:tr>
      <w:tr w:rsidR="00607486" w:rsidRPr="00607486" w14:paraId="6092C905" w14:textId="77777777" w:rsidTr="00607486">
        <w:trPr>
          <w:trHeight w:val="139"/>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6FD07681" w14:textId="79AD1013" w:rsidR="00607486" w:rsidRPr="00607486" w:rsidRDefault="00842FBA" w:rsidP="00842FBA">
            <w:pPr>
              <w:jc w:val="left"/>
              <w:rPr>
                <w:rFonts w:eastAsia="Times New Roman" w:cstheme="minorHAnsi"/>
                <w:sz w:val="20"/>
                <w:szCs w:val="20"/>
                <w:lang w:val="fr-FR" w:eastAsia="fr-FR"/>
              </w:rPr>
            </w:pPr>
            <w:r>
              <w:rPr>
                <w:rFonts w:eastAsia="Times New Roman" w:cstheme="minorHAnsi"/>
                <w:sz w:val="20"/>
                <w:szCs w:val="20"/>
                <w:lang w:val="el-GR" w:eastAsia="fr-FR"/>
              </w:rPr>
              <w:t>ΥΠΑΡΧΗΓΟΣ ΤΗΣ ΑΣΤΥΝΟΜΙΑΣ</w:t>
            </w:r>
          </w:p>
        </w:tc>
        <w:tc>
          <w:tcPr>
            <w:tcW w:w="1559" w:type="dxa"/>
            <w:tcBorders>
              <w:top w:val="nil"/>
              <w:left w:val="nil"/>
              <w:bottom w:val="single" w:sz="4" w:space="0" w:color="auto"/>
              <w:right w:val="single" w:sz="4" w:space="0" w:color="auto"/>
            </w:tcBorders>
            <w:shd w:val="clear" w:color="auto" w:fill="auto"/>
            <w:vAlign w:val="center"/>
            <w:hideMark/>
          </w:tcPr>
          <w:p w14:paraId="2B5F1C37"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1</w:t>
            </w:r>
          </w:p>
        </w:tc>
        <w:tc>
          <w:tcPr>
            <w:tcW w:w="1559" w:type="dxa"/>
            <w:tcBorders>
              <w:top w:val="nil"/>
              <w:left w:val="nil"/>
              <w:bottom w:val="single" w:sz="4" w:space="0" w:color="auto"/>
              <w:right w:val="single" w:sz="4" w:space="0" w:color="auto"/>
            </w:tcBorders>
            <w:shd w:val="clear" w:color="auto" w:fill="auto"/>
            <w:vAlign w:val="center"/>
            <w:hideMark/>
          </w:tcPr>
          <w:p w14:paraId="7ACA2C70"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 </w:t>
            </w:r>
          </w:p>
        </w:tc>
        <w:tc>
          <w:tcPr>
            <w:tcW w:w="1559" w:type="dxa"/>
            <w:tcBorders>
              <w:top w:val="nil"/>
              <w:left w:val="nil"/>
              <w:bottom w:val="single" w:sz="4" w:space="0" w:color="auto"/>
              <w:right w:val="single" w:sz="4" w:space="0" w:color="auto"/>
            </w:tcBorders>
            <w:shd w:val="clear" w:color="auto" w:fill="auto"/>
            <w:vAlign w:val="center"/>
            <w:hideMark/>
          </w:tcPr>
          <w:p w14:paraId="3917C950"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1</w:t>
            </w:r>
          </w:p>
        </w:tc>
      </w:tr>
      <w:tr w:rsidR="00607486" w:rsidRPr="00607486" w14:paraId="666DBB53" w14:textId="77777777" w:rsidTr="00607486">
        <w:trPr>
          <w:trHeight w:val="158"/>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A369F2D" w14:textId="01BC43D6" w:rsidR="00607486" w:rsidRPr="00607486" w:rsidRDefault="00842FBA" w:rsidP="00842FBA">
            <w:pPr>
              <w:jc w:val="left"/>
              <w:rPr>
                <w:rFonts w:eastAsia="Times New Roman" w:cstheme="minorHAnsi"/>
                <w:sz w:val="20"/>
                <w:szCs w:val="20"/>
                <w:lang w:val="fr-FR" w:eastAsia="fr-FR"/>
              </w:rPr>
            </w:pPr>
            <w:r>
              <w:rPr>
                <w:rFonts w:eastAsia="Times New Roman" w:cstheme="minorHAnsi"/>
                <w:sz w:val="20"/>
                <w:szCs w:val="20"/>
                <w:lang w:val="el-GR" w:eastAsia="fr-FR"/>
              </w:rPr>
              <w:t>ΒΟΗΘΟΣ ΑΡΧΗΓΟΣ ΤΗΣ ΑΣΤΥΝΟΜΙΑΣ</w:t>
            </w:r>
          </w:p>
        </w:tc>
        <w:tc>
          <w:tcPr>
            <w:tcW w:w="1559" w:type="dxa"/>
            <w:tcBorders>
              <w:top w:val="nil"/>
              <w:left w:val="nil"/>
              <w:bottom w:val="single" w:sz="4" w:space="0" w:color="auto"/>
              <w:right w:val="single" w:sz="4" w:space="0" w:color="auto"/>
            </w:tcBorders>
            <w:shd w:val="clear" w:color="auto" w:fill="auto"/>
            <w:vAlign w:val="center"/>
            <w:hideMark/>
          </w:tcPr>
          <w:p w14:paraId="1C8583CD"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4</w:t>
            </w:r>
          </w:p>
        </w:tc>
        <w:tc>
          <w:tcPr>
            <w:tcW w:w="1559" w:type="dxa"/>
            <w:tcBorders>
              <w:top w:val="nil"/>
              <w:left w:val="nil"/>
              <w:bottom w:val="single" w:sz="4" w:space="0" w:color="auto"/>
              <w:right w:val="single" w:sz="4" w:space="0" w:color="auto"/>
            </w:tcBorders>
            <w:shd w:val="clear" w:color="auto" w:fill="auto"/>
            <w:vAlign w:val="center"/>
            <w:hideMark/>
          </w:tcPr>
          <w:p w14:paraId="491E0C17"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 </w:t>
            </w:r>
          </w:p>
        </w:tc>
        <w:tc>
          <w:tcPr>
            <w:tcW w:w="1559" w:type="dxa"/>
            <w:tcBorders>
              <w:top w:val="nil"/>
              <w:left w:val="nil"/>
              <w:bottom w:val="single" w:sz="4" w:space="0" w:color="auto"/>
              <w:right w:val="single" w:sz="4" w:space="0" w:color="auto"/>
            </w:tcBorders>
            <w:shd w:val="clear" w:color="auto" w:fill="auto"/>
            <w:vAlign w:val="center"/>
            <w:hideMark/>
          </w:tcPr>
          <w:p w14:paraId="20C2A62C"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4</w:t>
            </w:r>
          </w:p>
        </w:tc>
      </w:tr>
      <w:tr w:rsidR="00607486" w:rsidRPr="00607486" w14:paraId="4647D0F5" w14:textId="77777777" w:rsidTr="00607486">
        <w:trPr>
          <w:trHeight w:val="189"/>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AB85B16" w14:textId="29515EC0" w:rsidR="00607486" w:rsidRPr="00842FBA" w:rsidRDefault="00842FBA" w:rsidP="00607486">
            <w:pPr>
              <w:jc w:val="left"/>
              <w:rPr>
                <w:rFonts w:eastAsia="Times New Roman" w:cstheme="minorHAnsi"/>
                <w:sz w:val="20"/>
                <w:szCs w:val="20"/>
                <w:lang w:val="el-GR" w:eastAsia="fr-FR"/>
              </w:rPr>
            </w:pPr>
            <w:r>
              <w:rPr>
                <w:rFonts w:eastAsia="Times New Roman" w:cstheme="minorHAnsi"/>
                <w:sz w:val="20"/>
                <w:szCs w:val="20"/>
                <w:lang w:val="el-GR" w:eastAsia="fr-FR"/>
              </w:rPr>
              <w:t>ΑΝΩΤΕΡΟΣ ΑΣΤΥΝΟΜΟΣ</w:t>
            </w:r>
          </w:p>
        </w:tc>
        <w:tc>
          <w:tcPr>
            <w:tcW w:w="1559" w:type="dxa"/>
            <w:tcBorders>
              <w:top w:val="nil"/>
              <w:left w:val="nil"/>
              <w:bottom w:val="single" w:sz="4" w:space="0" w:color="auto"/>
              <w:right w:val="single" w:sz="4" w:space="0" w:color="auto"/>
            </w:tcBorders>
            <w:shd w:val="clear" w:color="auto" w:fill="auto"/>
            <w:vAlign w:val="center"/>
            <w:hideMark/>
          </w:tcPr>
          <w:p w14:paraId="2D8B1F1A"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7</w:t>
            </w:r>
          </w:p>
        </w:tc>
        <w:tc>
          <w:tcPr>
            <w:tcW w:w="1559" w:type="dxa"/>
            <w:tcBorders>
              <w:top w:val="nil"/>
              <w:left w:val="nil"/>
              <w:bottom w:val="single" w:sz="4" w:space="0" w:color="auto"/>
              <w:right w:val="single" w:sz="4" w:space="0" w:color="auto"/>
            </w:tcBorders>
            <w:shd w:val="clear" w:color="auto" w:fill="auto"/>
            <w:vAlign w:val="center"/>
            <w:hideMark/>
          </w:tcPr>
          <w:p w14:paraId="4D35068E"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 </w:t>
            </w:r>
          </w:p>
        </w:tc>
        <w:tc>
          <w:tcPr>
            <w:tcW w:w="1559" w:type="dxa"/>
            <w:tcBorders>
              <w:top w:val="nil"/>
              <w:left w:val="nil"/>
              <w:bottom w:val="single" w:sz="4" w:space="0" w:color="auto"/>
              <w:right w:val="single" w:sz="4" w:space="0" w:color="auto"/>
            </w:tcBorders>
            <w:shd w:val="clear" w:color="auto" w:fill="auto"/>
            <w:vAlign w:val="center"/>
            <w:hideMark/>
          </w:tcPr>
          <w:p w14:paraId="064954D3"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7</w:t>
            </w:r>
          </w:p>
        </w:tc>
      </w:tr>
      <w:tr w:rsidR="00607486" w:rsidRPr="00607486" w14:paraId="16FB652A" w14:textId="77777777" w:rsidTr="00607486">
        <w:trPr>
          <w:trHeight w:val="222"/>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C282A95" w14:textId="7D80C069" w:rsidR="00607486" w:rsidRPr="00607486" w:rsidRDefault="00842FBA" w:rsidP="00842FBA">
            <w:pPr>
              <w:jc w:val="left"/>
              <w:rPr>
                <w:rFonts w:eastAsia="Times New Roman" w:cstheme="minorHAnsi"/>
                <w:sz w:val="20"/>
                <w:szCs w:val="20"/>
                <w:lang w:val="fr-FR" w:eastAsia="fr-FR"/>
              </w:rPr>
            </w:pPr>
            <w:r>
              <w:rPr>
                <w:rFonts w:eastAsia="Times New Roman" w:cstheme="minorHAnsi"/>
                <w:sz w:val="20"/>
                <w:szCs w:val="20"/>
                <w:lang w:val="el-GR" w:eastAsia="fr-FR"/>
              </w:rPr>
              <w:t>ΑΣΤΥΝΟΜΟΣ</w:t>
            </w:r>
            <w:r w:rsidR="00607486" w:rsidRPr="00607486">
              <w:rPr>
                <w:rFonts w:eastAsia="Times New Roman" w:cstheme="minorHAnsi"/>
                <w:sz w:val="20"/>
                <w:szCs w:val="20"/>
                <w:lang w:val="fr-FR" w:eastAsia="fr-FR"/>
              </w:rPr>
              <w:t xml:space="preserve"> A'</w:t>
            </w:r>
          </w:p>
        </w:tc>
        <w:tc>
          <w:tcPr>
            <w:tcW w:w="1559" w:type="dxa"/>
            <w:tcBorders>
              <w:top w:val="nil"/>
              <w:left w:val="nil"/>
              <w:bottom w:val="single" w:sz="4" w:space="0" w:color="auto"/>
              <w:right w:val="single" w:sz="4" w:space="0" w:color="auto"/>
            </w:tcBorders>
            <w:shd w:val="clear" w:color="auto" w:fill="auto"/>
            <w:vAlign w:val="center"/>
            <w:hideMark/>
          </w:tcPr>
          <w:p w14:paraId="3BF67F54"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15</w:t>
            </w:r>
          </w:p>
        </w:tc>
        <w:tc>
          <w:tcPr>
            <w:tcW w:w="1559" w:type="dxa"/>
            <w:tcBorders>
              <w:top w:val="nil"/>
              <w:left w:val="nil"/>
              <w:bottom w:val="single" w:sz="4" w:space="0" w:color="auto"/>
              <w:right w:val="single" w:sz="4" w:space="0" w:color="auto"/>
            </w:tcBorders>
            <w:shd w:val="clear" w:color="auto" w:fill="auto"/>
            <w:vAlign w:val="center"/>
            <w:hideMark/>
          </w:tcPr>
          <w:p w14:paraId="7A7F9440"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B675A2F"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15</w:t>
            </w:r>
          </w:p>
        </w:tc>
      </w:tr>
      <w:tr w:rsidR="00607486" w:rsidRPr="00607486" w14:paraId="1AE8F9C3" w14:textId="77777777" w:rsidTr="00607486">
        <w:trPr>
          <w:trHeight w:val="253"/>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564B68D" w14:textId="66E9F541" w:rsidR="00607486" w:rsidRPr="00607486" w:rsidRDefault="00842FBA" w:rsidP="00842FBA">
            <w:pPr>
              <w:jc w:val="left"/>
              <w:rPr>
                <w:rFonts w:eastAsia="Times New Roman" w:cstheme="minorHAnsi"/>
                <w:sz w:val="20"/>
                <w:szCs w:val="20"/>
                <w:lang w:val="fr-FR" w:eastAsia="fr-FR"/>
              </w:rPr>
            </w:pPr>
            <w:r>
              <w:rPr>
                <w:rFonts w:eastAsia="Times New Roman" w:cstheme="minorHAnsi"/>
                <w:sz w:val="20"/>
                <w:szCs w:val="20"/>
                <w:lang w:val="el-GR" w:eastAsia="fr-FR"/>
              </w:rPr>
              <w:t>ΑΣΤΥΝΟΜΟΣ</w:t>
            </w:r>
            <w:r w:rsidR="00607486" w:rsidRPr="00607486">
              <w:rPr>
                <w:rFonts w:eastAsia="Times New Roman" w:cstheme="minorHAnsi"/>
                <w:sz w:val="20"/>
                <w:szCs w:val="20"/>
                <w:lang w:val="fr-FR" w:eastAsia="fr-FR"/>
              </w:rPr>
              <w:t xml:space="preserve"> B'</w:t>
            </w:r>
          </w:p>
        </w:tc>
        <w:tc>
          <w:tcPr>
            <w:tcW w:w="1559" w:type="dxa"/>
            <w:tcBorders>
              <w:top w:val="nil"/>
              <w:left w:val="nil"/>
              <w:bottom w:val="single" w:sz="4" w:space="0" w:color="auto"/>
              <w:right w:val="single" w:sz="4" w:space="0" w:color="auto"/>
            </w:tcBorders>
            <w:shd w:val="clear" w:color="auto" w:fill="auto"/>
            <w:vAlign w:val="center"/>
            <w:hideMark/>
          </w:tcPr>
          <w:p w14:paraId="43BC2533"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11</w:t>
            </w:r>
          </w:p>
        </w:tc>
        <w:tc>
          <w:tcPr>
            <w:tcW w:w="1559" w:type="dxa"/>
            <w:tcBorders>
              <w:top w:val="nil"/>
              <w:left w:val="nil"/>
              <w:bottom w:val="single" w:sz="4" w:space="0" w:color="auto"/>
              <w:right w:val="single" w:sz="4" w:space="0" w:color="auto"/>
            </w:tcBorders>
            <w:shd w:val="clear" w:color="auto" w:fill="auto"/>
            <w:vAlign w:val="center"/>
            <w:hideMark/>
          </w:tcPr>
          <w:p w14:paraId="23EBF789"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1</w:t>
            </w:r>
          </w:p>
        </w:tc>
        <w:tc>
          <w:tcPr>
            <w:tcW w:w="1559" w:type="dxa"/>
            <w:tcBorders>
              <w:top w:val="nil"/>
              <w:left w:val="nil"/>
              <w:bottom w:val="single" w:sz="4" w:space="0" w:color="auto"/>
              <w:right w:val="single" w:sz="4" w:space="0" w:color="auto"/>
            </w:tcBorders>
            <w:shd w:val="clear" w:color="auto" w:fill="auto"/>
            <w:vAlign w:val="center"/>
            <w:hideMark/>
          </w:tcPr>
          <w:p w14:paraId="2E840CBA"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12</w:t>
            </w:r>
          </w:p>
        </w:tc>
      </w:tr>
      <w:tr w:rsidR="00607486" w:rsidRPr="00607486" w14:paraId="4DD572BC" w14:textId="77777777" w:rsidTr="00607486">
        <w:trPr>
          <w:trHeight w:val="258"/>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6C27E89" w14:textId="2FF822A0" w:rsidR="00607486" w:rsidRPr="00607486" w:rsidRDefault="00842FBA" w:rsidP="00842FBA">
            <w:pPr>
              <w:jc w:val="left"/>
              <w:rPr>
                <w:rFonts w:eastAsia="Times New Roman" w:cstheme="minorHAnsi"/>
                <w:sz w:val="20"/>
                <w:szCs w:val="20"/>
                <w:lang w:val="fr-FR" w:eastAsia="fr-FR"/>
              </w:rPr>
            </w:pPr>
            <w:r>
              <w:rPr>
                <w:rFonts w:eastAsia="Times New Roman" w:cstheme="minorHAnsi"/>
                <w:sz w:val="20"/>
                <w:szCs w:val="20"/>
                <w:lang w:val="el-GR" w:eastAsia="fr-FR"/>
              </w:rPr>
              <w:t>ΑΝΩΤΕΡΟΣ ΥΠΑΣΤΥΝΟΜΟΣ</w:t>
            </w:r>
          </w:p>
        </w:tc>
        <w:tc>
          <w:tcPr>
            <w:tcW w:w="1559" w:type="dxa"/>
            <w:tcBorders>
              <w:top w:val="nil"/>
              <w:left w:val="nil"/>
              <w:bottom w:val="single" w:sz="4" w:space="0" w:color="auto"/>
              <w:right w:val="single" w:sz="4" w:space="0" w:color="auto"/>
            </w:tcBorders>
            <w:shd w:val="clear" w:color="auto" w:fill="auto"/>
            <w:vAlign w:val="center"/>
            <w:hideMark/>
          </w:tcPr>
          <w:p w14:paraId="1E7D3FAA"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59</w:t>
            </w:r>
          </w:p>
        </w:tc>
        <w:tc>
          <w:tcPr>
            <w:tcW w:w="1559" w:type="dxa"/>
            <w:tcBorders>
              <w:top w:val="nil"/>
              <w:left w:val="nil"/>
              <w:bottom w:val="single" w:sz="4" w:space="0" w:color="auto"/>
              <w:right w:val="single" w:sz="4" w:space="0" w:color="auto"/>
            </w:tcBorders>
            <w:shd w:val="clear" w:color="auto" w:fill="auto"/>
            <w:vAlign w:val="center"/>
            <w:hideMark/>
          </w:tcPr>
          <w:p w14:paraId="460013D4"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5</w:t>
            </w:r>
          </w:p>
        </w:tc>
        <w:tc>
          <w:tcPr>
            <w:tcW w:w="1559" w:type="dxa"/>
            <w:tcBorders>
              <w:top w:val="nil"/>
              <w:left w:val="nil"/>
              <w:bottom w:val="single" w:sz="4" w:space="0" w:color="auto"/>
              <w:right w:val="single" w:sz="4" w:space="0" w:color="auto"/>
            </w:tcBorders>
            <w:shd w:val="clear" w:color="auto" w:fill="auto"/>
            <w:vAlign w:val="center"/>
            <w:hideMark/>
          </w:tcPr>
          <w:p w14:paraId="0C059944"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64</w:t>
            </w:r>
          </w:p>
        </w:tc>
      </w:tr>
      <w:tr w:rsidR="00607486" w:rsidRPr="00607486" w14:paraId="69E472A2" w14:textId="77777777" w:rsidTr="00607486">
        <w:trPr>
          <w:trHeight w:val="289"/>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09F7682" w14:textId="1F4C9030" w:rsidR="00607486" w:rsidRPr="00607486" w:rsidRDefault="00842FBA" w:rsidP="00842FBA">
            <w:pPr>
              <w:jc w:val="left"/>
              <w:rPr>
                <w:rFonts w:eastAsia="Times New Roman" w:cstheme="minorHAnsi"/>
                <w:sz w:val="20"/>
                <w:szCs w:val="20"/>
                <w:lang w:val="fr-FR" w:eastAsia="fr-FR"/>
              </w:rPr>
            </w:pPr>
            <w:r>
              <w:rPr>
                <w:rFonts w:eastAsia="Times New Roman" w:cstheme="minorHAnsi"/>
                <w:sz w:val="20"/>
                <w:szCs w:val="20"/>
                <w:lang w:val="el-GR" w:eastAsia="fr-FR"/>
              </w:rPr>
              <w:t>ΥΠΑΣΤΥΝΟΜΟΣ</w:t>
            </w:r>
          </w:p>
        </w:tc>
        <w:tc>
          <w:tcPr>
            <w:tcW w:w="1559" w:type="dxa"/>
            <w:tcBorders>
              <w:top w:val="nil"/>
              <w:left w:val="nil"/>
              <w:bottom w:val="single" w:sz="4" w:space="0" w:color="auto"/>
              <w:right w:val="single" w:sz="4" w:space="0" w:color="auto"/>
            </w:tcBorders>
            <w:shd w:val="clear" w:color="auto" w:fill="auto"/>
            <w:vAlign w:val="center"/>
            <w:hideMark/>
          </w:tcPr>
          <w:p w14:paraId="50921565"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176</w:t>
            </w:r>
          </w:p>
        </w:tc>
        <w:tc>
          <w:tcPr>
            <w:tcW w:w="1559" w:type="dxa"/>
            <w:tcBorders>
              <w:top w:val="nil"/>
              <w:left w:val="nil"/>
              <w:bottom w:val="single" w:sz="4" w:space="0" w:color="auto"/>
              <w:right w:val="single" w:sz="4" w:space="0" w:color="auto"/>
            </w:tcBorders>
            <w:shd w:val="clear" w:color="auto" w:fill="auto"/>
            <w:vAlign w:val="center"/>
            <w:hideMark/>
          </w:tcPr>
          <w:p w14:paraId="0F4B9810"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22</w:t>
            </w:r>
          </w:p>
        </w:tc>
        <w:tc>
          <w:tcPr>
            <w:tcW w:w="1559" w:type="dxa"/>
            <w:tcBorders>
              <w:top w:val="nil"/>
              <w:left w:val="nil"/>
              <w:bottom w:val="single" w:sz="4" w:space="0" w:color="auto"/>
              <w:right w:val="single" w:sz="4" w:space="0" w:color="auto"/>
            </w:tcBorders>
            <w:shd w:val="clear" w:color="auto" w:fill="auto"/>
            <w:vAlign w:val="center"/>
            <w:hideMark/>
          </w:tcPr>
          <w:p w14:paraId="62156584"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198</w:t>
            </w:r>
          </w:p>
        </w:tc>
      </w:tr>
      <w:tr w:rsidR="00607486" w:rsidRPr="00607486" w14:paraId="71D595F5" w14:textId="77777777" w:rsidTr="00607486">
        <w:trPr>
          <w:trHeight w:val="28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C0EB073" w14:textId="67B38CBB" w:rsidR="00607486" w:rsidRPr="00842FBA" w:rsidRDefault="00842FBA" w:rsidP="00607486">
            <w:pPr>
              <w:jc w:val="left"/>
              <w:rPr>
                <w:rFonts w:eastAsia="Times New Roman" w:cstheme="minorHAnsi"/>
                <w:sz w:val="20"/>
                <w:szCs w:val="20"/>
                <w:lang w:val="el-GR" w:eastAsia="fr-FR"/>
              </w:rPr>
            </w:pPr>
            <w:r>
              <w:rPr>
                <w:rFonts w:eastAsia="Times New Roman" w:cstheme="minorHAnsi"/>
                <w:sz w:val="20"/>
                <w:szCs w:val="20"/>
                <w:lang w:val="el-GR" w:eastAsia="fr-FR"/>
              </w:rPr>
              <w:t>ΛΟΧΙΑΣ</w:t>
            </w:r>
          </w:p>
        </w:tc>
        <w:tc>
          <w:tcPr>
            <w:tcW w:w="1559" w:type="dxa"/>
            <w:tcBorders>
              <w:top w:val="nil"/>
              <w:left w:val="nil"/>
              <w:bottom w:val="single" w:sz="4" w:space="0" w:color="auto"/>
              <w:right w:val="single" w:sz="4" w:space="0" w:color="auto"/>
            </w:tcBorders>
            <w:shd w:val="clear" w:color="auto" w:fill="auto"/>
            <w:vAlign w:val="center"/>
            <w:hideMark/>
          </w:tcPr>
          <w:p w14:paraId="5A9438CB"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504</w:t>
            </w:r>
          </w:p>
        </w:tc>
        <w:tc>
          <w:tcPr>
            <w:tcW w:w="1559" w:type="dxa"/>
            <w:tcBorders>
              <w:top w:val="nil"/>
              <w:left w:val="nil"/>
              <w:bottom w:val="single" w:sz="4" w:space="0" w:color="auto"/>
              <w:right w:val="single" w:sz="4" w:space="0" w:color="auto"/>
            </w:tcBorders>
            <w:shd w:val="clear" w:color="auto" w:fill="auto"/>
            <w:vAlign w:val="center"/>
            <w:hideMark/>
          </w:tcPr>
          <w:p w14:paraId="035397E5"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98</w:t>
            </w:r>
          </w:p>
        </w:tc>
        <w:tc>
          <w:tcPr>
            <w:tcW w:w="1559" w:type="dxa"/>
            <w:tcBorders>
              <w:top w:val="nil"/>
              <w:left w:val="nil"/>
              <w:bottom w:val="single" w:sz="4" w:space="0" w:color="auto"/>
              <w:right w:val="single" w:sz="4" w:space="0" w:color="auto"/>
            </w:tcBorders>
            <w:shd w:val="clear" w:color="auto" w:fill="auto"/>
            <w:vAlign w:val="center"/>
            <w:hideMark/>
          </w:tcPr>
          <w:p w14:paraId="38F6DEFE"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602</w:t>
            </w:r>
          </w:p>
        </w:tc>
      </w:tr>
      <w:tr w:rsidR="00607486" w:rsidRPr="00607486" w14:paraId="6BF4A509" w14:textId="77777777" w:rsidTr="00607486">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9E6C720" w14:textId="2464C3E8" w:rsidR="00607486" w:rsidRPr="00607486" w:rsidRDefault="00842FBA" w:rsidP="00842FBA">
            <w:pPr>
              <w:jc w:val="left"/>
              <w:rPr>
                <w:rFonts w:eastAsia="Times New Roman" w:cstheme="minorHAnsi"/>
                <w:sz w:val="20"/>
                <w:szCs w:val="20"/>
                <w:lang w:val="fr-FR" w:eastAsia="fr-FR"/>
              </w:rPr>
            </w:pPr>
            <w:r>
              <w:rPr>
                <w:rFonts w:eastAsia="Times New Roman" w:cstheme="minorHAnsi"/>
                <w:sz w:val="20"/>
                <w:szCs w:val="20"/>
                <w:lang w:val="el-GR" w:eastAsia="fr-FR"/>
              </w:rPr>
              <w:t>ΑΣΤΥΦΥΛΑΚΑΣ</w:t>
            </w:r>
          </w:p>
        </w:tc>
        <w:tc>
          <w:tcPr>
            <w:tcW w:w="1559" w:type="dxa"/>
            <w:tcBorders>
              <w:top w:val="nil"/>
              <w:left w:val="nil"/>
              <w:bottom w:val="single" w:sz="4" w:space="0" w:color="auto"/>
              <w:right w:val="single" w:sz="4" w:space="0" w:color="auto"/>
            </w:tcBorders>
            <w:shd w:val="clear" w:color="auto" w:fill="auto"/>
            <w:vAlign w:val="center"/>
            <w:hideMark/>
          </w:tcPr>
          <w:p w14:paraId="1571D87D"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2336</w:t>
            </w:r>
          </w:p>
        </w:tc>
        <w:tc>
          <w:tcPr>
            <w:tcW w:w="1559" w:type="dxa"/>
            <w:tcBorders>
              <w:top w:val="nil"/>
              <w:left w:val="nil"/>
              <w:bottom w:val="single" w:sz="4" w:space="0" w:color="auto"/>
              <w:right w:val="single" w:sz="4" w:space="0" w:color="auto"/>
            </w:tcBorders>
            <w:shd w:val="clear" w:color="auto" w:fill="auto"/>
            <w:vAlign w:val="center"/>
            <w:hideMark/>
          </w:tcPr>
          <w:p w14:paraId="4B8B0049"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814</w:t>
            </w:r>
          </w:p>
        </w:tc>
        <w:tc>
          <w:tcPr>
            <w:tcW w:w="1559" w:type="dxa"/>
            <w:tcBorders>
              <w:top w:val="nil"/>
              <w:left w:val="nil"/>
              <w:bottom w:val="single" w:sz="4" w:space="0" w:color="auto"/>
              <w:right w:val="single" w:sz="4" w:space="0" w:color="auto"/>
            </w:tcBorders>
            <w:shd w:val="clear" w:color="auto" w:fill="auto"/>
            <w:vAlign w:val="center"/>
            <w:hideMark/>
          </w:tcPr>
          <w:p w14:paraId="2E96D84C"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3150</w:t>
            </w:r>
          </w:p>
        </w:tc>
      </w:tr>
      <w:tr w:rsidR="00607486" w:rsidRPr="00607486" w14:paraId="1F23782A" w14:textId="77777777" w:rsidTr="00607486">
        <w:trPr>
          <w:trHeight w:val="288"/>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36C4AC6" w14:textId="0398D3E0" w:rsidR="00607486" w:rsidRPr="00842FBA" w:rsidRDefault="00842FBA" w:rsidP="00842FBA">
            <w:pPr>
              <w:jc w:val="left"/>
              <w:rPr>
                <w:rFonts w:eastAsia="Times New Roman" w:cstheme="minorHAnsi"/>
                <w:sz w:val="20"/>
                <w:szCs w:val="20"/>
                <w:lang w:val="en-US" w:eastAsia="fr-FR"/>
              </w:rPr>
            </w:pPr>
            <w:r>
              <w:rPr>
                <w:rFonts w:eastAsia="Times New Roman" w:cstheme="minorHAnsi"/>
                <w:sz w:val="20"/>
                <w:szCs w:val="20"/>
                <w:lang w:val="el-GR" w:eastAsia="fr-FR"/>
              </w:rPr>
              <w:t>ΤΑΚΤΙΚΟΣ</w:t>
            </w:r>
            <w:r w:rsidR="00607486" w:rsidRPr="00607486">
              <w:rPr>
                <w:rFonts w:eastAsia="Times New Roman" w:cstheme="minorHAnsi"/>
                <w:sz w:val="20"/>
                <w:szCs w:val="20"/>
                <w:lang w:val="fr-FR" w:eastAsia="fr-FR"/>
              </w:rPr>
              <w:t xml:space="preserve"> </w:t>
            </w:r>
            <w:r>
              <w:rPr>
                <w:rFonts w:eastAsia="Times New Roman" w:cstheme="minorHAnsi"/>
                <w:sz w:val="20"/>
                <w:szCs w:val="20"/>
                <w:lang w:val="el-GR" w:eastAsia="fr-FR"/>
              </w:rPr>
              <w:t>ΕΙΔΙΚΟΣ ΑΣΤΥΦΥΛΑΚΑΣ</w:t>
            </w:r>
          </w:p>
        </w:tc>
        <w:tc>
          <w:tcPr>
            <w:tcW w:w="1559" w:type="dxa"/>
            <w:tcBorders>
              <w:top w:val="nil"/>
              <w:left w:val="nil"/>
              <w:bottom w:val="single" w:sz="4" w:space="0" w:color="auto"/>
              <w:right w:val="single" w:sz="4" w:space="0" w:color="auto"/>
            </w:tcBorders>
            <w:shd w:val="clear" w:color="auto" w:fill="auto"/>
            <w:vAlign w:val="center"/>
            <w:hideMark/>
          </w:tcPr>
          <w:p w14:paraId="0C7D5531"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4</w:t>
            </w:r>
          </w:p>
        </w:tc>
        <w:tc>
          <w:tcPr>
            <w:tcW w:w="1559" w:type="dxa"/>
            <w:tcBorders>
              <w:top w:val="nil"/>
              <w:left w:val="nil"/>
              <w:bottom w:val="single" w:sz="4" w:space="0" w:color="auto"/>
              <w:right w:val="single" w:sz="4" w:space="0" w:color="auto"/>
            </w:tcBorders>
            <w:shd w:val="clear" w:color="auto" w:fill="auto"/>
            <w:vAlign w:val="center"/>
            <w:hideMark/>
          </w:tcPr>
          <w:p w14:paraId="3F39E250"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27</w:t>
            </w:r>
          </w:p>
        </w:tc>
        <w:tc>
          <w:tcPr>
            <w:tcW w:w="1559" w:type="dxa"/>
            <w:tcBorders>
              <w:top w:val="nil"/>
              <w:left w:val="nil"/>
              <w:bottom w:val="single" w:sz="4" w:space="0" w:color="auto"/>
              <w:right w:val="single" w:sz="4" w:space="0" w:color="auto"/>
            </w:tcBorders>
            <w:shd w:val="clear" w:color="auto" w:fill="auto"/>
            <w:vAlign w:val="center"/>
            <w:hideMark/>
          </w:tcPr>
          <w:p w14:paraId="2AABE2AB"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31</w:t>
            </w:r>
          </w:p>
        </w:tc>
      </w:tr>
      <w:tr w:rsidR="00607486" w:rsidRPr="00607486" w14:paraId="6CF88167" w14:textId="77777777" w:rsidTr="00607486">
        <w:trPr>
          <w:trHeight w:val="263"/>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EC5A605" w14:textId="2880CD1E" w:rsidR="00607486" w:rsidRPr="00607486" w:rsidRDefault="00842FBA" w:rsidP="00842FBA">
            <w:pPr>
              <w:jc w:val="left"/>
              <w:rPr>
                <w:rFonts w:eastAsia="Times New Roman" w:cstheme="minorHAnsi"/>
                <w:sz w:val="20"/>
                <w:szCs w:val="20"/>
                <w:lang w:val="fr-FR" w:eastAsia="fr-FR"/>
              </w:rPr>
            </w:pPr>
            <w:r>
              <w:rPr>
                <w:rFonts w:eastAsia="Times New Roman" w:cstheme="minorHAnsi"/>
                <w:sz w:val="20"/>
                <w:szCs w:val="20"/>
                <w:lang w:val="el-GR" w:eastAsia="fr-FR"/>
              </w:rPr>
              <w:t>ΕΙΔΙΚΟΣ ΑΣΤΥΦΥΛΑΚΑΣ</w:t>
            </w:r>
          </w:p>
        </w:tc>
        <w:tc>
          <w:tcPr>
            <w:tcW w:w="1559" w:type="dxa"/>
            <w:tcBorders>
              <w:top w:val="nil"/>
              <w:left w:val="nil"/>
              <w:bottom w:val="single" w:sz="4" w:space="0" w:color="auto"/>
              <w:right w:val="single" w:sz="4" w:space="0" w:color="auto"/>
            </w:tcBorders>
            <w:shd w:val="clear" w:color="auto" w:fill="auto"/>
            <w:vAlign w:val="center"/>
            <w:hideMark/>
          </w:tcPr>
          <w:p w14:paraId="6F7EE195"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530</w:t>
            </w:r>
          </w:p>
        </w:tc>
        <w:tc>
          <w:tcPr>
            <w:tcW w:w="1559" w:type="dxa"/>
            <w:tcBorders>
              <w:top w:val="nil"/>
              <w:left w:val="nil"/>
              <w:bottom w:val="single" w:sz="4" w:space="0" w:color="auto"/>
              <w:right w:val="single" w:sz="4" w:space="0" w:color="auto"/>
            </w:tcBorders>
            <w:shd w:val="clear" w:color="auto" w:fill="auto"/>
            <w:vAlign w:val="center"/>
            <w:hideMark/>
          </w:tcPr>
          <w:p w14:paraId="71A1142D"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333</w:t>
            </w:r>
          </w:p>
        </w:tc>
        <w:tc>
          <w:tcPr>
            <w:tcW w:w="1559" w:type="dxa"/>
            <w:tcBorders>
              <w:top w:val="nil"/>
              <w:left w:val="nil"/>
              <w:bottom w:val="single" w:sz="4" w:space="0" w:color="auto"/>
              <w:right w:val="single" w:sz="4" w:space="0" w:color="auto"/>
            </w:tcBorders>
            <w:shd w:val="clear" w:color="auto" w:fill="auto"/>
            <w:vAlign w:val="center"/>
            <w:hideMark/>
          </w:tcPr>
          <w:p w14:paraId="4B8FF6B6"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863</w:t>
            </w:r>
          </w:p>
        </w:tc>
      </w:tr>
      <w:tr w:rsidR="00607486" w:rsidRPr="00607486" w14:paraId="0FD44256" w14:textId="77777777" w:rsidTr="00607486">
        <w:trPr>
          <w:trHeight w:val="282"/>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4892BBB" w14:textId="632594EB" w:rsidR="00607486" w:rsidRPr="00415AFF" w:rsidRDefault="00842FBA" w:rsidP="00842FBA">
            <w:pPr>
              <w:jc w:val="right"/>
              <w:rPr>
                <w:rFonts w:eastAsia="Times New Roman" w:cstheme="minorHAnsi"/>
                <w:b/>
                <w:bCs/>
                <w:sz w:val="20"/>
                <w:szCs w:val="20"/>
                <w:lang w:val="en-US" w:eastAsia="fr-FR"/>
              </w:rPr>
            </w:pPr>
            <w:r>
              <w:rPr>
                <w:rFonts w:eastAsia="Times New Roman" w:cstheme="minorHAnsi"/>
                <w:b/>
                <w:bCs/>
                <w:sz w:val="20"/>
                <w:szCs w:val="20"/>
                <w:lang w:val="el-GR" w:eastAsia="fr-FR"/>
              </w:rPr>
              <w:t>ΣΥΝΟΛΟ</w:t>
            </w:r>
          </w:p>
        </w:tc>
        <w:tc>
          <w:tcPr>
            <w:tcW w:w="1559" w:type="dxa"/>
            <w:tcBorders>
              <w:top w:val="nil"/>
              <w:left w:val="nil"/>
              <w:bottom w:val="single" w:sz="4" w:space="0" w:color="auto"/>
              <w:right w:val="single" w:sz="4" w:space="0" w:color="auto"/>
            </w:tcBorders>
            <w:shd w:val="clear" w:color="auto" w:fill="auto"/>
            <w:vAlign w:val="center"/>
            <w:hideMark/>
          </w:tcPr>
          <w:p w14:paraId="6D5F5A35" w14:textId="77777777" w:rsidR="00607486" w:rsidRPr="00607486" w:rsidRDefault="00607486" w:rsidP="00FF40BA">
            <w:pPr>
              <w:jc w:val="right"/>
              <w:rPr>
                <w:rFonts w:eastAsia="Times New Roman" w:cstheme="minorHAnsi"/>
                <w:b/>
                <w:bCs/>
                <w:sz w:val="20"/>
                <w:szCs w:val="20"/>
                <w:lang w:val="fr-FR" w:eastAsia="fr-FR"/>
              </w:rPr>
            </w:pPr>
            <w:r w:rsidRPr="00607486">
              <w:rPr>
                <w:rFonts w:eastAsia="Times New Roman" w:cstheme="minorHAnsi"/>
                <w:b/>
                <w:bCs/>
                <w:sz w:val="20"/>
                <w:szCs w:val="20"/>
                <w:lang w:val="fr-FR" w:eastAsia="fr-FR"/>
              </w:rPr>
              <w:t>3648</w:t>
            </w:r>
          </w:p>
        </w:tc>
        <w:tc>
          <w:tcPr>
            <w:tcW w:w="1559" w:type="dxa"/>
            <w:tcBorders>
              <w:top w:val="nil"/>
              <w:left w:val="nil"/>
              <w:bottom w:val="single" w:sz="4" w:space="0" w:color="auto"/>
              <w:right w:val="single" w:sz="4" w:space="0" w:color="auto"/>
            </w:tcBorders>
            <w:shd w:val="clear" w:color="auto" w:fill="auto"/>
            <w:vAlign w:val="center"/>
            <w:hideMark/>
          </w:tcPr>
          <w:p w14:paraId="7E1482B6" w14:textId="77777777" w:rsidR="00607486" w:rsidRPr="00607486" w:rsidRDefault="00607486" w:rsidP="00FF40BA">
            <w:pPr>
              <w:jc w:val="right"/>
              <w:rPr>
                <w:rFonts w:eastAsia="Times New Roman" w:cstheme="minorHAnsi"/>
                <w:b/>
                <w:bCs/>
                <w:sz w:val="20"/>
                <w:szCs w:val="20"/>
                <w:lang w:val="fr-FR" w:eastAsia="fr-FR"/>
              </w:rPr>
            </w:pPr>
            <w:r w:rsidRPr="00607486">
              <w:rPr>
                <w:rFonts w:eastAsia="Times New Roman" w:cstheme="minorHAnsi"/>
                <w:b/>
                <w:bCs/>
                <w:sz w:val="20"/>
                <w:szCs w:val="20"/>
                <w:lang w:val="fr-FR" w:eastAsia="fr-FR"/>
              </w:rPr>
              <w:t>1300</w:t>
            </w:r>
          </w:p>
        </w:tc>
        <w:tc>
          <w:tcPr>
            <w:tcW w:w="1559" w:type="dxa"/>
            <w:tcBorders>
              <w:top w:val="nil"/>
              <w:left w:val="nil"/>
              <w:bottom w:val="single" w:sz="4" w:space="0" w:color="auto"/>
              <w:right w:val="single" w:sz="4" w:space="0" w:color="auto"/>
            </w:tcBorders>
            <w:shd w:val="clear" w:color="auto" w:fill="auto"/>
            <w:vAlign w:val="center"/>
            <w:hideMark/>
          </w:tcPr>
          <w:p w14:paraId="73E769D7" w14:textId="77777777" w:rsidR="00607486" w:rsidRPr="00607486" w:rsidRDefault="00607486" w:rsidP="00FF40BA">
            <w:pPr>
              <w:jc w:val="right"/>
              <w:rPr>
                <w:rFonts w:eastAsia="Times New Roman" w:cstheme="minorHAnsi"/>
                <w:b/>
                <w:bCs/>
                <w:sz w:val="20"/>
                <w:szCs w:val="20"/>
                <w:lang w:val="fr-FR" w:eastAsia="fr-FR"/>
              </w:rPr>
            </w:pPr>
            <w:r w:rsidRPr="00607486">
              <w:rPr>
                <w:rFonts w:eastAsia="Times New Roman" w:cstheme="minorHAnsi"/>
                <w:b/>
                <w:bCs/>
                <w:sz w:val="20"/>
                <w:szCs w:val="20"/>
                <w:lang w:val="fr-FR" w:eastAsia="fr-FR"/>
              </w:rPr>
              <w:t>4948</w:t>
            </w:r>
          </w:p>
        </w:tc>
      </w:tr>
      <w:tr w:rsidR="00607486" w:rsidRPr="00607486" w14:paraId="2B011C31" w14:textId="77777777" w:rsidTr="00607486">
        <w:trPr>
          <w:trHeight w:val="271"/>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D01A000" w14:textId="1D3B6EF4" w:rsidR="00607486" w:rsidRPr="00607486" w:rsidRDefault="00560590" w:rsidP="00560590">
            <w:pPr>
              <w:jc w:val="left"/>
              <w:rPr>
                <w:rFonts w:eastAsia="Times New Roman" w:cstheme="minorHAnsi"/>
                <w:color w:val="000000"/>
                <w:sz w:val="20"/>
                <w:szCs w:val="20"/>
                <w:lang w:val="fr-FR" w:eastAsia="fr-FR"/>
              </w:rPr>
            </w:pPr>
            <w:r>
              <w:rPr>
                <w:rFonts w:eastAsia="Times New Roman" w:cstheme="minorHAnsi"/>
                <w:color w:val="000000"/>
                <w:sz w:val="20"/>
                <w:szCs w:val="20"/>
                <w:lang w:val="el-GR" w:eastAsia="fr-FR"/>
              </w:rPr>
              <w:lastRenderedPageBreak/>
              <w:t>ΕΞΕΙΔΙΚΕΥΜΕΝΟ ΠΡΟΣΩΠΙΚΟ</w:t>
            </w:r>
          </w:p>
        </w:tc>
        <w:tc>
          <w:tcPr>
            <w:tcW w:w="1559" w:type="dxa"/>
            <w:tcBorders>
              <w:top w:val="nil"/>
              <w:left w:val="nil"/>
              <w:bottom w:val="single" w:sz="4" w:space="0" w:color="auto"/>
              <w:right w:val="single" w:sz="4" w:space="0" w:color="auto"/>
            </w:tcBorders>
            <w:shd w:val="clear" w:color="auto" w:fill="auto"/>
            <w:vAlign w:val="center"/>
            <w:hideMark/>
          </w:tcPr>
          <w:p w14:paraId="22641A23"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62</w:t>
            </w:r>
          </w:p>
        </w:tc>
        <w:tc>
          <w:tcPr>
            <w:tcW w:w="1559" w:type="dxa"/>
            <w:tcBorders>
              <w:top w:val="nil"/>
              <w:left w:val="nil"/>
              <w:bottom w:val="single" w:sz="4" w:space="0" w:color="auto"/>
              <w:right w:val="single" w:sz="4" w:space="0" w:color="auto"/>
            </w:tcBorders>
            <w:shd w:val="clear" w:color="auto" w:fill="auto"/>
            <w:vAlign w:val="center"/>
            <w:hideMark/>
          </w:tcPr>
          <w:p w14:paraId="754B6709"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16</w:t>
            </w:r>
          </w:p>
        </w:tc>
        <w:tc>
          <w:tcPr>
            <w:tcW w:w="1559" w:type="dxa"/>
            <w:tcBorders>
              <w:top w:val="nil"/>
              <w:left w:val="nil"/>
              <w:bottom w:val="single" w:sz="4" w:space="0" w:color="auto"/>
              <w:right w:val="single" w:sz="4" w:space="0" w:color="auto"/>
            </w:tcBorders>
            <w:shd w:val="clear" w:color="auto" w:fill="auto"/>
            <w:vAlign w:val="center"/>
            <w:hideMark/>
          </w:tcPr>
          <w:p w14:paraId="68BCB88E"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78</w:t>
            </w:r>
          </w:p>
        </w:tc>
      </w:tr>
      <w:tr w:rsidR="00607486" w:rsidRPr="00607486" w14:paraId="52DE2F81" w14:textId="77777777" w:rsidTr="00607486">
        <w:trPr>
          <w:trHeight w:val="40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64A36043" w14:textId="25A829ED" w:rsidR="00607486" w:rsidRPr="00607486" w:rsidRDefault="00560590" w:rsidP="00560590">
            <w:pPr>
              <w:jc w:val="right"/>
              <w:rPr>
                <w:rFonts w:eastAsia="Times New Roman" w:cstheme="minorHAnsi"/>
                <w:b/>
                <w:bCs/>
                <w:sz w:val="20"/>
                <w:szCs w:val="20"/>
                <w:lang w:val="fr-FR" w:eastAsia="fr-FR"/>
              </w:rPr>
            </w:pPr>
            <w:r>
              <w:rPr>
                <w:rFonts w:eastAsia="Times New Roman" w:cstheme="minorHAnsi"/>
                <w:b/>
                <w:bCs/>
                <w:sz w:val="20"/>
                <w:szCs w:val="20"/>
                <w:lang w:val="el-GR" w:eastAsia="fr-FR"/>
              </w:rPr>
              <w:t>ΓΕΝΙΚΟ ΣΥΝΟΛΟ</w:t>
            </w:r>
          </w:p>
        </w:tc>
        <w:tc>
          <w:tcPr>
            <w:tcW w:w="1559" w:type="dxa"/>
            <w:tcBorders>
              <w:top w:val="nil"/>
              <w:left w:val="nil"/>
              <w:bottom w:val="single" w:sz="4" w:space="0" w:color="auto"/>
              <w:right w:val="single" w:sz="4" w:space="0" w:color="auto"/>
            </w:tcBorders>
            <w:shd w:val="clear" w:color="auto" w:fill="auto"/>
            <w:vAlign w:val="center"/>
            <w:hideMark/>
          </w:tcPr>
          <w:p w14:paraId="6AB0C9B9" w14:textId="77777777" w:rsidR="00607486" w:rsidRPr="00607486" w:rsidRDefault="00607486" w:rsidP="00FF40BA">
            <w:pPr>
              <w:jc w:val="right"/>
              <w:rPr>
                <w:rFonts w:eastAsia="Times New Roman" w:cstheme="minorHAnsi"/>
                <w:b/>
                <w:bCs/>
                <w:sz w:val="20"/>
                <w:szCs w:val="20"/>
                <w:lang w:val="fr-FR" w:eastAsia="fr-FR"/>
              </w:rPr>
            </w:pPr>
            <w:r w:rsidRPr="00607486">
              <w:rPr>
                <w:rFonts w:eastAsia="Times New Roman" w:cstheme="minorHAnsi"/>
                <w:b/>
                <w:bCs/>
                <w:sz w:val="20"/>
                <w:szCs w:val="20"/>
                <w:lang w:val="fr-FR" w:eastAsia="fr-FR"/>
              </w:rPr>
              <w:t>3710</w:t>
            </w:r>
          </w:p>
        </w:tc>
        <w:tc>
          <w:tcPr>
            <w:tcW w:w="1559" w:type="dxa"/>
            <w:tcBorders>
              <w:top w:val="nil"/>
              <w:left w:val="nil"/>
              <w:bottom w:val="single" w:sz="4" w:space="0" w:color="auto"/>
              <w:right w:val="single" w:sz="4" w:space="0" w:color="auto"/>
            </w:tcBorders>
            <w:shd w:val="clear" w:color="auto" w:fill="auto"/>
            <w:vAlign w:val="center"/>
            <w:hideMark/>
          </w:tcPr>
          <w:p w14:paraId="1B37A0D1" w14:textId="77777777" w:rsidR="00607486" w:rsidRPr="00607486" w:rsidRDefault="00607486" w:rsidP="00FF40BA">
            <w:pPr>
              <w:jc w:val="right"/>
              <w:rPr>
                <w:rFonts w:eastAsia="Times New Roman" w:cstheme="minorHAnsi"/>
                <w:b/>
                <w:bCs/>
                <w:sz w:val="20"/>
                <w:szCs w:val="20"/>
                <w:lang w:val="fr-FR" w:eastAsia="fr-FR"/>
              </w:rPr>
            </w:pPr>
            <w:r w:rsidRPr="00607486">
              <w:rPr>
                <w:rFonts w:eastAsia="Times New Roman" w:cstheme="minorHAnsi"/>
                <w:b/>
                <w:bCs/>
                <w:sz w:val="20"/>
                <w:szCs w:val="20"/>
                <w:lang w:val="fr-FR" w:eastAsia="fr-FR"/>
              </w:rPr>
              <w:t>1316</w:t>
            </w:r>
          </w:p>
        </w:tc>
        <w:tc>
          <w:tcPr>
            <w:tcW w:w="1559" w:type="dxa"/>
            <w:tcBorders>
              <w:top w:val="nil"/>
              <w:left w:val="nil"/>
              <w:bottom w:val="single" w:sz="4" w:space="0" w:color="auto"/>
              <w:right w:val="single" w:sz="4" w:space="0" w:color="auto"/>
            </w:tcBorders>
            <w:shd w:val="clear" w:color="auto" w:fill="auto"/>
            <w:vAlign w:val="center"/>
            <w:hideMark/>
          </w:tcPr>
          <w:p w14:paraId="402126E7" w14:textId="77777777" w:rsidR="00607486" w:rsidRPr="00607486" w:rsidRDefault="00607486" w:rsidP="00FF40BA">
            <w:pPr>
              <w:jc w:val="right"/>
              <w:rPr>
                <w:rFonts w:eastAsia="Times New Roman" w:cstheme="minorHAnsi"/>
                <w:b/>
                <w:bCs/>
                <w:sz w:val="20"/>
                <w:szCs w:val="20"/>
                <w:lang w:val="fr-FR" w:eastAsia="fr-FR"/>
              </w:rPr>
            </w:pPr>
            <w:r w:rsidRPr="00607486">
              <w:rPr>
                <w:rFonts w:eastAsia="Times New Roman" w:cstheme="minorHAnsi"/>
                <w:b/>
                <w:bCs/>
                <w:sz w:val="20"/>
                <w:szCs w:val="20"/>
                <w:lang w:val="fr-FR" w:eastAsia="fr-FR"/>
              </w:rPr>
              <w:t>5026</w:t>
            </w:r>
          </w:p>
        </w:tc>
      </w:tr>
    </w:tbl>
    <w:p w14:paraId="5ED3A0E3" w14:textId="77777777" w:rsidR="00607486" w:rsidRPr="00560590" w:rsidRDefault="00607486" w:rsidP="00220066">
      <w:pPr>
        <w:widowControl w:val="0"/>
        <w:tabs>
          <w:tab w:val="left" w:pos="709"/>
        </w:tabs>
        <w:rPr>
          <w:rFonts w:cstheme="minorHAnsi"/>
          <w:sz w:val="24"/>
          <w:szCs w:val="24"/>
          <w:lang w:val="en-US"/>
        </w:rPr>
      </w:pPr>
    </w:p>
    <w:p w14:paraId="155EC430" w14:textId="77777777" w:rsidR="00607486" w:rsidRPr="004E251E" w:rsidRDefault="00607486" w:rsidP="00220066">
      <w:pPr>
        <w:widowControl w:val="0"/>
        <w:tabs>
          <w:tab w:val="left" w:pos="709"/>
        </w:tabs>
        <w:rPr>
          <w:rFonts w:cstheme="minorHAnsi"/>
          <w:sz w:val="24"/>
          <w:szCs w:val="24"/>
        </w:rPr>
      </w:pPr>
    </w:p>
    <w:p w14:paraId="0EDB2B28" w14:textId="77777777" w:rsidR="00220066" w:rsidRPr="004E251E" w:rsidRDefault="00220066" w:rsidP="00220066">
      <w:pPr>
        <w:pStyle w:val="ListParagraph"/>
        <w:rPr>
          <w:rFonts w:cstheme="minorHAnsi"/>
          <w:sz w:val="24"/>
          <w:szCs w:val="24"/>
        </w:rPr>
      </w:pPr>
    </w:p>
    <w:tbl>
      <w:tblPr>
        <w:tblW w:w="0" w:type="auto"/>
        <w:tblInd w:w="-5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98"/>
        <w:gridCol w:w="1928"/>
        <w:gridCol w:w="1153"/>
        <w:gridCol w:w="1536"/>
        <w:gridCol w:w="675"/>
        <w:gridCol w:w="1327"/>
        <w:gridCol w:w="930"/>
        <w:gridCol w:w="675"/>
      </w:tblGrid>
      <w:tr w:rsidR="00560590" w:rsidRPr="00DB0C66" w14:paraId="6F290C91" w14:textId="77777777" w:rsidTr="00CF2E8A">
        <w:tc>
          <w:tcPr>
            <w:tcW w:w="0" w:type="auto"/>
            <w:vMerge w:val="restart"/>
            <w:tcBorders>
              <w:top w:val="double" w:sz="4" w:space="0" w:color="auto"/>
              <w:left w:val="double" w:sz="4" w:space="0" w:color="auto"/>
              <w:bottom w:val="double" w:sz="4" w:space="0" w:color="auto"/>
              <w:right w:val="single" w:sz="4" w:space="0" w:color="auto"/>
            </w:tcBorders>
            <w:shd w:val="clear" w:color="auto" w:fill="auto"/>
            <w:vAlign w:val="center"/>
            <w:hideMark/>
          </w:tcPr>
          <w:p w14:paraId="39317A5F" w14:textId="0D2F86D8" w:rsidR="00D54330" w:rsidRPr="00560590" w:rsidRDefault="00560590" w:rsidP="00560590">
            <w:pPr>
              <w:rPr>
                <w:rFonts w:cstheme="minorHAnsi"/>
                <w:b/>
                <w:bCs/>
                <w:sz w:val="18"/>
                <w:szCs w:val="18"/>
                <w:lang w:val="el-GR"/>
              </w:rPr>
            </w:pPr>
            <w:r>
              <w:rPr>
                <w:rFonts w:cstheme="minorHAnsi"/>
                <w:b/>
                <w:bCs/>
                <w:sz w:val="18"/>
                <w:szCs w:val="18"/>
                <w:lang w:val="el-GR"/>
              </w:rPr>
              <w:t>ΑΡ</w:t>
            </w:r>
            <w:r w:rsidR="00D54330" w:rsidRPr="00DB0C66">
              <w:rPr>
                <w:rFonts w:cstheme="minorHAnsi"/>
                <w:b/>
                <w:bCs/>
                <w:sz w:val="18"/>
                <w:szCs w:val="18"/>
              </w:rPr>
              <w:t xml:space="preserve">. </w:t>
            </w:r>
            <w:r>
              <w:rPr>
                <w:rFonts w:cstheme="minorHAnsi"/>
                <w:b/>
                <w:bCs/>
                <w:sz w:val="18"/>
                <w:szCs w:val="18"/>
                <w:lang w:val="el-GR"/>
              </w:rPr>
              <w:t>ΠΡΟΚΗΡΥΞΗΣ</w:t>
            </w:r>
          </w:p>
        </w:tc>
        <w:tc>
          <w:tcPr>
            <w:tcW w:w="0" w:type="auto"/>
            <w:vMerge w:val="restart"/>
            <w:tcBorders>
              <w:top w:val="double" w:sz="4" w:space="0" w:color="auto"/>
              <w:left w:val="single" w:sz="4" w:space="0" w:color="auto"/>
              <w:bottom w:val="double" w:sz="4" w:space="0" w:color="auto"/>
              <w:right w:val="single" w:sz="4" w:space="0" w:color="auto"/>
            </w:tcBorders>
            <w:shd w:val="clear" w:color="auto" w:fill="auto"/>
            <w:vAlign w:val="center"/>
            <w:hideMark/>
          </w:tcPr>
          <w:p w14:paraId="3A305F23" w14:textId="1A9B6626" w:rsidR="00D54330" w:rsidRPr="00DB0C66" w:rsidRDefault="00560590" w:rsidP="00560590">
            <w:pPr>
              <w:jc w:val="center"/>
              <w:rPr>
                <w:rFonts w:cstheme="minorHAnsi"/>
                <w:b/>
                <w:bCs/>
                <w:sz w:val="18"/>
                <w:szCs w:val="18"/>
              </w:rPr>
            </w:pPr>
            <w:r>
              <w:rPr>
                <w:rFonts w:cstheme="minorHAnsi"/>
                <w:b/>
                <w:bCs/>
                <w:sz w:val="18"/>
                <w:szCs w:val="18"/>
                <w:lang w:val="el-GR"/>
              </w:rPr>
              <w:t>ΗΜΕΡΟΜΗΝΙΑ</w:t>
            </w:r>
            <w:r w:rsidR="00D54330">
              <w:rPr>
                <w:rFonts w:cstheme="minorHAnsi"/>
                <w:b/>
                <w:bCs/>
                <w:sz w:val="18"/>
                <w:szCs w:val="18"/>
              </w:rPr>
              <w:t xml:space="preserve"> </w:t>
            </w:r>
            <w:r>
              <w:rPr>
                <w:rFonts w:cstheme="minorHAnsi"/>
                <w:b/>
                <w:bCs/>
                <w:sz w:val="18"/>
                <w:szCs w:val="18"/>
                <w:lang w:val="el-GR"/>
              </w:rPr>
              <w:t>ΠΡΟΚΗΡΥΞΗΣ</w:t>
            </w:r>
          </w:p>
        </w:tc>
        <w:tc>
          <w:tcPr>
            <w:tcW w:w="0" w:type="auto"/>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6CBE8646" w14:textId="5AE18649" w:rsidR="00D54330" w:rsidRPr="00DB0C66" w:rsidRDefault="00560590" w:rsidP="00560590">
            <w:pPr>
              <w:jc w:val="center"/>
              <w:rPr>
                <w:rFonts w:cstheme="minorHAnsi"/>
                <w:b/>
                <w:bCs/>
                <w:sz w:val="18"/>
                <w:szCs w:val="18"/>
              </w:rPr>
            </w:pPr>
            <w:r>
              <w:rPr>
                <w:rFonts w:cstheme="minorHAnsi"/>
                <w:b/>
                <w:bCs/>
                <w:sz w:val="18"/>
                <w:szCs w:val="18"/>
                <w:lang w:val="el-GR"/>
              </w:rPr>
              <w:t>ΑΙΤΗΣΕΙΣ</w:t>
            </w:r>
          </w:p>
        </w:tc>
        <w:tc>
          <w:tcPr>
            <w:tcW w:w="0" w:type="auto"/>
            <w:gridSpan w:val="3"/>
            <w:tcBorders>
              <w:top w:val="double" w:sz="4" w:space="0" w:color="auto"/>
              <w:left w:val="single" w:sz="4" w:space="0" w:color="auto"/>
              <w:bottom w:val="double" w:sz="4" w:space="0" w:color="auto"/>
              <w:right w:val="double" w:sz="4" w:space="0" w:color="auto"/>
            </w:tcBorders>
            <w:shd w:val="clear" w:color="auto" w:fill="auto"/>
            <w:hideMark/>
          </w:tcPr>
          <w:p w14:paraId="64320CFC" w14:textId="38A25BC7" w:rsidR="00D54330" w:rsidRPr="00DB0C66" w:rsidRDefault="00560590" w:rsidP="00560590">
            <w:pPr>
              <w:jc w:val="center"/>
              <w:rPr>
                <w:rFonts w:cstheme="minorHAnsi"/>
                <w:b/>
                <w:bCs/>
                <w:sz w:val="18"/>
                <w:szCs w:val="18"/>
              </w:rPr>
            </w:pPr>
            <w:r>
              <w:rPr>
                <w:rFonts w:cstheme="minorHAnsi"/>
                <w:b/>
                <w:bCs/>
                <w:sz w:val="18"/>
                <w:szCs w:val="18"/>
                <w:lang w:val="el-GR"/>
              </w:rPr>
              <w:t>ΠΡΟΣΛΗΨΗ</w:t>
            </w:r>
          </w:p>
        </w:tc>
      </w:tr>
      <w:tr w:rsidR="00560590" w:rsidRPr="00DB0C66" w14:paraId="02AFB97C" w14:textId="77777777" w:rsidTr="00CF2E8A">
        <w:tc>
          <w:tcPr>
            <w:tcW w:w="0" w:type="auto"/>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4D3FB88" w14:textId="77777777" w:rsidR="00D54330" w:rsidRPr="00DB0C66" w:rsidRDefault="00D54330" w:rsidP="00CF2E8A">
            <w:pPr>
              <w:rPr>
                <w:rFonts w:cstheme="minorHAnsi"/>
                <w:b/>
                <w:bCs/>
                <w:sz w:val="18"/>
                <w:szCs w:val="18"/>
              </w:rPr>
            </w:pPr>
          </w:p>
        </w:tc>
        <w:tc>
          <w:tcPr>
            <w:tcW w:w="0" w:type="auto"/>
            <w:vMerge/>
            <w:tcBorders>
              <w:top w:val="double" w:sz="4" w:space="0" w:color="auto"/>
              <w:left w:val="single" w:sz="4" w:space="0" w:color="auto"/>
              <w:bottom w:val="double" w:sz="4" w:space="0" w:color="auto"/>
              <w:right w:val="single" w:sz="4" w:space="0" w:color="auto"/>
            </w:tcBorders>
            <w:shd w:val="clear" w:color="auto" w:fill="auto"/>
            <w:vAlign w:val="center"/>
            <w:hideMark/>
          </w:tcPr>
          <w:p w14:paraId="236556C4" w14:textId="77777777" w:rsidR="00D54330" w:rsidRPr="00DB0C66" w:rsidRDefault="00D54330" w:rsidP="00CF2E8A">
            <w:pPr>
              <w:rPr>
                <w:rFonts w:cstheme="minorHAnsi"/>
                <w:b/>
                <w:bCs/>
                <w:sz w:val="18"/>
                <w:szCs w:val="18"/>
              </w:rPr>
            </w:pPr>
          </w:p>
        </w:tc>
        <w:tc>
          <w:tcPr>
            <w:tcW w:w="0" w:type="auto"/>
            <w:tcBorders>
              <w:top w:val="double" w:sz="4" w:space="0" w:color="auto"/>
              <w:left w:val="single" w:sz="4" w:space="0" w:color="auto"/>
              <w:bottom w:val="double" w:sz="4" w:space="0" w:color="auto"/>
              <w:right w:val="single" w:sz="4" w:space="0" w:color="auto"/>
            </w:tcBorders>
            <w:shd w:val="clear" w:color="auto" w:fill="auto"/>
            <w:vAlign w:val="center"/>
            <w:hideMark/>
          </w:tcPr>
          <w:p w14:paraId="01BE6630" w14:textId="00CA2E0D" w:rsidR="00D54330" w:rsidRPr="00560590" w:rsidRDefault="00560590" w:rsidP="00560590">
            <w:pPr>
              <w:rPr>
                <w:rFonts w:cstheme="minorHAnsi"/>
                <w:b/>
                <w:bCs/>
                <w:sz w:val="18"/>
                <w:szCs w:val="18"/>
                <w:lang w:val="el-GR"/>
              </w:rPr>
            </w:pPr>
            <w:r>
              <w:rPr>
                <w:rFonts w:cstheme="minorHAnsi"/>
                <w:b/>
                <w:bCs/>
                <w:sz w:val="18"/>
                <w:szCs w:val="18"/>
                <w:lang w:val="el-GR"/>
              </w:rPr>
              <w:t>ΑΡ</w:t>
            </w:r>
            <w:r w:rsidR="00D54330" w:rsidRPr="00DB0C66">
              <w:rPr>
                <w:rFonts w:cstheme="minorHAnsi"/>
                <w:b/>
                <w:bCs/>
                <w:sz w:val="18"/>
                <w:szCs w:val="18"/>
              </w:rPr>
              <w:t>. A</w:t>
            </w:r>
            <w:r>
              <w:rPr>
                <w:rFonts w:cstheme="minorHAnsi"/>
                <w:b/>
                <w:bCs/>
                <w:sz w:val="18"/>
                <w:szCs w:val="18"/>
                <w:lang w:val="el-GR"/>
              </w:rPr>
              <w:t>ΙΤΗΣΕΩΝ</w:t>
            </w:r>
          </w:p>
        </w:tc>
        <w:tc>
          <w:tcPr>
            <w:tcW w:w="0" w:type="auto"/>
            <w:tcBorders>
              <w:top w:val="double" w:sz="4" w:space="0" w:color="auto"/>
              <w:left w:val="single" w:sz="4" w:space="0" w:color="auto"/>
              <w:bottom w:val="double" w:sz="4" w:space="0" w:color="auto"/>
              <w:right w:val="single" w:sz="4" w:space="0" w:color="auto"/>
            </w:tcBorders>
            <w:shd w:val="clear" w:color="auto" w:fill="auto"/>
            <w:vAlign w:val="center"/>
            <w:hideMark/>
          </w:tcPr>
          <w:p w14:paraId="0062EFC5" w14:textId="02D678EB" w:rsidR="00D54330" w:rsidRPr="00DB0C66" w:rsidRDefault="00560590" w:rsidP="00560590">
            <w:pPr>
              <w:rPr>
                <w:rFonts w:cstheme="minorHAnsi"/>
                <w:b/>
                <w:bCs/>
                <w:sz w:val="18"/>
                <w:szCs w:val="18"/>
              </w:rPr>
            </w:pPr>
            <w:r>
              <w:rPr>
                <w:rFonts w:cstheme="minorHAnsi"/>
                <w:b/>
                <w:bCs/>
                <w:sz w:val="18"/>
                <w:szCs w:val="18"/>
                <w:lang w:val="el-GR"/>
              </w:rPr>
              <w:t>ΑΙΤΗΣΕΙΣ ΑΠΟ ΓΥΝΑΙΚΕΣ</w:t>
            </w:r>
          </w:p>
        </w:tc>
        <w:tc>
          <w:tcPr>
            <w:tcW w:w="0" w:type="auto"/>
            <w:tcBorders>
              <w:top w:val="double" w:sz="4" w:space="0" w:color="auto"/>
              <w:left w:val="single" w:sz="4" w:space="0" w:color="auto"/>
              <w:bottom w:val="double" w:sz="4" w:space="0" w:color="auto"/>
              <w:right w:val="single" w:sz="4" w:space="0" w:color="auto"/>
            </w:tcBorders>
            <w:shd w:val="clear" w:color="auto" w:fill="auto"/>
            <w:vAlign w:val="center"/>
            <w:hideMark/>
          </w:tcPr>
          <w:p w14:paraId="6E95121C" w14:textId="77777777" w:rsidR="00D54330" w:rsidRPr="00DB0C66" w:rsidRDefault="00D54330" w:rsidP="00CF2E8A">
            <w:pPr>
              <w:rPr>
                <w:rFonts w:cstheme="minorHAnsi"/>
                <w:b/>
                <w:bCs/>
                <w:sz w:val="18"/>
                <w:szCs w:val="18"/>
              </w:rPr>
            </w:pPr>
          </w:p>
          <w:p w14:paraId="67E4C030" w14:textId="77777777" w:rsidR="00D54330" w:rsidRPr="00DB0C66" w:rsidRDefault="00D54330" w:rsidP="00CF2E8A">
            <w:pPr>
              <w:rPr>
                <w:rFonts w:cstheme="minorHAnsi"/>
                <w:b/>
                <w:bCs/>
                <w:sz w:val="18"/>
                <w:szCs w:val="18"/>
                <w:lang w:val="el-GR"/>
              </w:rPr>
            </w:pPr>
            <w:r w:rsidRPr="00DB0C66">
              <w:rPr>
                <w:rFonts w:cstheme="minorHAnsi"/>
                <w:b/>
                <w:bCs/>
                <w:sz w:val="18"/>
                <w:szCs w:val="18"/>
                <w:lang w:val="el-GR"/>
              </w:rPr>
              <w:t>%</w:t>
            </w:r>
          </w:p>
        </w:tc>
        <w:tc>
          <w:tcPr>
            <w:tcW w:w="0" w:type="auto"/>
            <w:tcBorders>
              <w:top w:val="double" w:sz="4" w:space="0" w:color="auto"/>
              <w:left w:val="single" w:sz="4" w:space="0" w:color="auto"/>
              <w:bottom w:val="double" w:sz="4" w:space="0" w:color="auto"/>
              <w:right w:val="single" w:sz="4" w:space="0" w:color="auto"/>
            </w:tcBorders>
            <w:shd w:val="clear" w:color="auto" w:fill="auto"/>
            <w:vAlign w:val="center"/>
            <w:hideMark/>
          </w:tcPr>
          <w:p w14:paraId="4DADE367" w14:textId="60AB9A7F" w:rsidR="00D54330" w:rsidRPr="00DB0C66" w:rsidRDefault="00560590" w:rsidP="00CF2E8A">
            <w:pPr>
              <w:rPr>
                <w:rFonts w:cstheme="minorHAnsi"/>
                <w:b/>
                <w:bCs/>
                <w:sz w:val="18"/>
                <w:szCs w:val="18"/>
              </w:rPr>
            </w:pPr>
            <w:r>
              <w:rPr>
                <w:rFonts w:cstheme="minorHAnsi"/>
                <w:b/>
                <w:bCs/>
                <w:sz w:val="18"/>
                <w:szCs w:val="18"/>
                <w:lang w:val="el-GR"/>
              </w:rPr>
              <w:t>ΑΡ</w:t>
            </w:r>
            <w:r w:rsidR="00D54330">
              <w:rPr>
                <w:rFonts w:cstheme="minorHAnsi"/>
                <w:b/>
                <w:bCs/>
                <w:sz w:val="18"/>
                <w:szCs w:val="18"/>
              </w:rPr>
              <w:t>.</w:t>
            </w:r>
            <w:r w:rsidR="00D54330" w:rsidRPr="00DB0C66">
              <w:rPr>
                <w:rFonts w:cstheme="minorHAnsi"/>
                <w:b/>
                <w:bCs/>
                <w:sz w:val="18"/>
                <w:szCs w:val="18"/>
              </w:rPr>
              <w:t xml:space="preserve"> </w:t>
            </w:r>
          </w:p>
          <w:p w14:paraId="22F9CAD3" w14:textId="364D8BA5" w:rsidR="00D54330" w:rsidRPr="00DB0C66" w:rsidRDefault="00560590" w:rsidP="00560590">
            <w:pPr>
              <w:rPr>
                <w:rFonts w:cstheme="minorHAnsi"/>
                <w:b/>
                <w:bCs/>
                <w:sz w:val="18"/>
                <w:szCs w:val="18"/>
              </w:rPr>
            </w:pPr>
            <w:r>
              <w:rPr>
                <w:rFonts w:cstheme="minorHAnsi"/>
                <w:b/>
                <w:bCs/>
                <w:sz w:val="18"/>
                <w:szCs w:val="18"/>
                <w:lang w:val="el-GR"/>
              </w:rPr>
              <w:t>ΠΡΟΣΛΗΨΕΩΝ</w:t>
            </w:r>
          </w:p>
        </w:tc>
        <w:tc>
          <w:tcPr>
            <w:tcW w:w="0" w:type="auto"/>
            <w:tcBorders>
              <w:top w:val="double" w:sz="4" w:space="0" w:color="auto"/>
              <w:left w:val="single" w:sz="4" w:space="0" w:color="auto"/>
              <w:bottom w:val="double" w:sz="4" w:space="0" w:color="auto"/>
              <w:right w:val="single" w:sz="4" w:space="0" w:color="auto"/>
            </w:tcBorders>
            <w:shd w:val="clear" w:color="auto" w:fill="auto"/>
            <w:vAlign w:val="center"/>
            <w:hideMark/>
          </w:tcPr>
          <w:p w14:paraId="63E6C369" w14:textId="37332677" w:rsidR="00D54330" w:rsidRPr="00DB0C66" w:rsidRDefault="00560590" w:rsidP="00560590">
            <w:pPr>
              <w:rPr>
                <w:rFonts w:cstheme="minorHAnsi"/>
                <w:b/>
                <w:bCs/>
                <w:sz w:val="18"/>
                <w:szCs w:val="18"/>
              </w:rPr>
            </w:pPr>
            <w:r>
              <w:rPr>
                <w:rFonts w:cstheme="minorHAnsi"/>
                <w:b/>
                <w:bCs/>
                <w:sz w:val="18"/>
                <w:szCs w:val="18"/>
                <w:lang w:val="el-GR"/>
              </w:rPr>
              <w:t>ΓΥΝΑΙΚΕΣ</w:t>
            </w:r>
          </w:p>
        </w:tc>
        <w:tc>
          <w:tcPr>
            <w:tcW w:w="0" w:type="auto"/>
            <w:tcBorders>
              <w:top w:val="double" w:sz="4" w:space="0" w:color="auto"/>
              <w:left w:val="single" w:sz="4" w:space="0" w:color="auto"/>
              <w:bottom w:val="double" w:sz="4" w:space="0" w:color="auto"/>
              <w:right w:val="double" w:sz="4" w:space="0" w:color="auto"/>
            </w:tcBorders>
            <w:shd w:val="clear" w:color="auto" w:fill="auto"/>
            <w:vAlign w:val="center"/>
            <w:hideMark/>
          </w:tcPr>
          <w:p w14:paraId="26E38D48" w14:textId="77777777" w:rsidR="00D54330" w:rsidRPr="00DB0C66" w:rsidRDefault="00D54330" w:rsidP="00CF2E8A">
            <w:pPr>
              <w:rPr>
                <w:rFonts w:cstheme="minorHAnsi"/>
                <w:b/>
                <w:bCs/>
                <w:sz w:val="18"/>
                <w:szCs w:val="18"/>
                <w:lang w:val="el-GR"/>
              </w:rPr>
            </w:pPr>
            <w:r w:rsidRPr="00DB0C66">
              <w:rPr>
                <w:rFonts w:cstheme="minorHAnsi"/>
                <w:b/>
                <w:bCs/>
                <w:sz w:val="18"/>
                <w:szCs w:val="18"/>
                <w:lang w:val="el-GR"/>
              </w:rPr>
              <w:t>%</w:t>
            </w:r>
          </w:p>
        </w:tc>
      </w:tr>
      <w:tr w:rsidR="00560590" w:rsidRPr="00DB0C66" w14:paraId="6BB9BE2A" w14:textId="77777777" w:rsidTr="00CF2E8A">
        <w:tc>
          <w:tcPr>
            <w:tcW w:w="0" w:type="auto"/>
            <w:tcBorders>
              <w:top w:val="double" w:sz="4" w:space="0" w:color="auto"/>
              <w:left w:val="double" w:sz="4" w:space="0" w:color="auto"/>
              <w:bottom w:val="single" w:sz="4" w:space="0" w:color="auto"/>
              <w:right w:val="single" w:sz="4" w:space="0" w:color="auto"/>
            </w:tcBorders>
            <w:shd w:val="clear" w:color="auto" w:fill="auto"/>
            <w:hideMark/>
          </w:tcPr>
          <w:p w14:paraId="2A6B719C"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5186/211</w:t>
            </w:r>
          </w:p>
        </w:tc>
        <w:tc>
          <w:tcPr>
            <w:tcW w:w="0" w:type="auto"/>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76F243EA"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22/03/2019</w:t>
            </w:r>
          </w:p>
        </w:tc>
        <w:tc>
          <w:tcPr>
            <w:tcW w:w="0" w:type="auto"/>
            <w:tcBorders>
              <w:top w:val="double" w:sz="4" w:space="0" w:color="auto"/>
              <w:left w:val="single" w:sz="4" w:space="0" w:color="auto"/>
              <w:bottom w:val="single" w:sz="4" w:space="0" w:color="auto"/>
              <w:right w:val="single" w:sz="4" w:space="0" w:color="auto"/>
            </w:tcBorders>
            <w:shd w:val="clear" w:color="auto" w:fill="auto"/>
            <w:hideMark/>
          </w:tcPr>
          <w:p w14:paraId="47245B79"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1419</w:t>
            </w:r>
          </w:p>
        </w:tc>
        <w:tc>
          <w:tcPr>
            <w:tcW w:w="0" w:type="auto"/>
            <w:tcBorders>
              <w:top w:val="double" w:sz="4" w:space="0" w:color="auto"/>
              <w:left w:val="single" w:sz="4" w:space="0" w:color="auto"/>
              <w:bottom w:val="single" w:sz="4" w:space="0" w:color="auto"/>
              <w:right w:val="single" w:sz="4" w:space="0" w:color="auto"/>
            </w:tcBorders>
            <w:shd w:val="clear" w:color="auto" w:fill="auto"/>
            <w:hideMark/>
          </w:tcPr>
          <w:p w14:paraId="58D60759"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489</w:t>
            </w:r>
          </w:p>
        </w:tc>
        <w:tc>
          <w:tcPr>
            <w:tcW w:w="0" w:type="auto"/>
            <w:tcBorders>
              <w:top w:val="double" w:sz="4" w:space="0" w:color="auto"/>
              <w:left w:val="single" w:sz="4" w:space="0" w:color="auto"/>
              <w:bottom w:val="single" w:sz="4" w:space="0" w:color="auto"/>
              <w:right w:val="single" w:sz="4" w:space="0" w:color="auto"/>
            </w:tcBorders>
            <w:shd w:val="clear" w:color="auto" w:fill="auto"/>
            <w:hideMark/>
          </w:tcPr>
          <w:p w14:paraId="25E4CBBB"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34.46</w:t>
            </w:r>
          </w:p>
        </w:tc>
        <w:tc>
          <w:tcPr>
            <w:tcW w:w="0" w:type="auto"/>
            <w:tcBorders>
              <w:top w:val="double" w:sz="4" w:space="0" w:color="auto"/>
              <w:left w:val="single" w:sz="4" w:space="0" w:color="auto"/>
              <w:bottom w:val="single" w:sz="4" w:space="0" w:color="auto"/>
              <w:right w:val="single" w:sz="4" w:space="0" w:color="auto"/>
            </w:tcBorders>
            <w:shd w:val="clear" w:color="auto" w:fill="auto"/>
            <w:hideMark/>
          </w:tcPr>
          <w:p w14:paraId="55689C13"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127</w:t>
            </w:r>
          </w:p>
        </w:tc>
        <w:tc>
          <w:tcPr>
            <w:tcW w:w="0" w:type="auto"/>
            <w:tcBorders>
              <w:top w:val="double" w:sz="4" w:space="0" w:color="auto"/>
              <w:left w:val="single" w:sz="4" w:space="0" w:color="auto"/>
              <w:bottom w:val="single" w:sz="4" w:space="0" w:color="auto"/>
              <w:right w:val="single" w:sz="4" w:space="0" w:color="auto"/>
            </w:tcBorders>
            <w:shd w:val="clear" w:color="auto" w:fill="auto"/>
            <w:hideMark/>
          </w:tcPr>
          <w:p w14:paraId="29386842"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36</w:t>
            </w:r>
          </w:p>
        </w:tc>
        <w:tc>
          <w:tcPr>
            <w:tcW w:w="0" w:type="auto"/>
            <w:tcBorders>
              <w:top w:val="double" w:sz="4" w:space="0" w:color="auto"/>
              <w:left w:val="single" w:sz="4" w:space="0" w:color="auto"/>
              <w:bottom w:val="single" w:sz="4" w:space="0" w:color="auto"/>
              <w:right w:val="double" w:sz="4" w:space="0" w:color="auto"/>
            </w:tcBorders>
            <w:shd w:val="clear" w:color="auto" w:fill="auto"/>
            <w:hideMark/>
          </w:tcPr>
          <w:p w14:paraId="74048045"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28.35</w:t>
            </w:r>
          </w:p>
        </w:tc>
      </w:tr>
      <w:tr w:rsidR="00560590" w:rsidRPr="00DB0C66" w14:paraId="15773A45" w14:textId="77777777" w:rsidTr="00CF2E8A">
        <w:tc>
          <w:tcPr>
            <w:tcW w:w="0" w:type="auto"/>
            <w:tcBorders>
              <w:top w:val="single" w:sz="4" w:space="0" w:color="auto"/>
              <w:left w:val="double" w:sz="4" w:space="0" w:color="auto"/>
              <w:bottom w:val="single" w:sz="4" w:space="0" w:color="auto"/>
              <w:right w:val="single" w:sz="4" w:space="0" w:color="auto"/>
            </w:tcBorders>
            <w:shd w:val="clear" w:color="auto" w:fill="auto"/>
            <w:hideMark/>
          </w:tcPr>
          <w:p w14:paraId="4FC14F10"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5186/212</w:t>
            </w:r>
          </w:p>
        </w:tc>
        <w:tc>
          <w:tcPr>
            <w:tcW w:w="0" w:type="auto"/>
            <w:vMerge/>
            <w:tcBorders>
              <w:top w:val="double" w:sz="4" w:space="0" w:color="auto"/>
              <w:left w:val="single" w:sz="4" w:space="0" w:color="auto"/>
              <w:bottom w:val="single" w:sz="4" w:space="0" w:color="auto"/>
              <w:right w:val="single" w:sz="4" w:space="0" w:color="auto"/>
            </w:tcBorders>
            <w:shd w:val="clear" w:color="auto" w:fill="auto"/>
            <w:vAlign w:val="center"/>
            <w:hideMark/>
          </w:tcPr>
          <w:p w14:paraId="4602F1C1" w14:textId="77777777" w:rsidR="00D54330" w:rsidRPr="00DB0C66" w:rsidRDefault="00D54330" w:rsidP="00CF2E8A">
            <w:pPr>
              <w:rPr>
                <w:rFonts w:cstheme="minorHAnsi"/>
                <w:sz w:val="20"/>
                <w:szCs w:val="20"/>
                <w:lang w:val="el-GR"/>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143E3"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6664F"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FAE81"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42.38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6617A"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684A0"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10</w:t>
            </w:r>
          </w:p>
        </w:tc>
        <w:tc>
          <w:tcPr>
            <w:tcW w:w="0" w:type="auto"/>
            <w:tcBorders>
              <w:top w:val="single" w:sz="4" w:space="0" w:color="auto"/>
              <w:left w:val="single" w:sz="4" w:space="0" w:color="auto"/>
              <w:bottom w:val="single" w:sz="4" w:space="0" w:color="auto"/>
              <w:right w:val="double" w:sz="4" w:space="0" w:color="auto"/>
            </w:tcBorders>
            <w:shd w:val="clear" w:color="auto" w:fill="auto"/>
            <w:hideMark/>
          </w:tcPr>
          <w:p w14:paraId="4A5AB8FA"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41.67</w:t>
            </w:r>
          </w:p>
        </w:tc>
      </w:tr>
      <w:tr w:rsidR="00560590" w:rsidRPr="00DB0C66" w14:paraId="36858B1F" w14:textId="77777777" w:rsidTr="00CF2E8A">
        <w:tc>
          <w:tcPr>
            <w:tcW w:w="0" w:type="auto"/>
            <w:tcBorders>
              <w:top w:val="single" w:sz="4" w:space="0" w:color="auto"/>
              <w:left w:val="double" w:sz="4" w:space="0" w:color="auto"/>
              <w:bottom w:val="single" w:sz="4" w:space="0" w:color="auto"/>
              <w:right w:val="single" w:sz="4" w:space="0" w:color="auto"/>
            </w:tcBorders>
            <w:shd w:val="clear" w:color="auto" w:fill="auto"/>
            <w:hideMark/>
          </w:tcPr>
          <w:p w14:paraId="1A032EAD"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5247/1054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272E0"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13/12/2019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9DAE8D"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1345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E3362"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6207A"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8B51F"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294712"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51</w:t>
            </w:r>
          </w:p>
        </w:tc>
        <w:tc>
          <w:tcPr>
            <w:tcW w:w="0" w:type="auto"/>
            <w:tcBorders>
              <w:top w:val="single" w:sz="4" w:space="0" w:color="auto"/>
              <w:left w:val="single" w:sz="4" w:space="0" w:color="auto"/>
              <w:bottom w:val="single" w:sz="4" w:space="0" w:color="auto"/>
              <w:right w:val="double" w:sz="4" w:space="0" w:color="auto"/>
            </w:tcBorders>
            <w:shd w:val="clear" w:color="auto" w:fill="auto"/>
            <w:hideMark/>
          </w:tcPr>
          <w:p w14:paraId="5D984B17"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24.88</w:t>
            </w:r>
          </w:p>
        </w:tc>
      </w:tr>
      <w:tr w:rsidR="00560590" w:rsidRPr="00DB0C66" w14:paraId="76C32F9D" w14:textId="77777777" w:rsidTr="00CF2E8A">
        <w:tc>
          <w:tcPr>
            <w:tcW w:w="0" w:type="auto"/>
            <w:tcBorders>
              <w:top w:val="single" w:sz="4" w:space="0" w:color="auto"/>
              <w:left w:val="double" w:sz="4" w:space="0" w:color="auto"/>
              <w:bottom w:val="single" w:sz="4" w:space="0" w:color="auto"/>
              <w:right w:val="single" w:sz="4" w:space="0" w:color="auto"/>
            </w:tcBorders>
            <w:shd w:val="clear" w:color="auto" w:fill="auto"/>
            <w:hideMark/>
          </w:tcPr>
          <w:p w14:paraId="3C36EEF7"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5247/1055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A573E" w14:textId="77777777" w:rsidR="00D54330" w:rsidRPr="00DB0C66" w:rsidRDefault="00D54330" w:rsidP="00CF2E8A">
            <w:pPr>
              <w:rPr>
                <w:rFonts w:cstheme="minorHAnsi"/>
                <w:sz w:val="20"/>
                <w:szCs w:val="20"/>
                <w:lang w:val="el-GR"/>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1B360"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FB3927"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CC4762"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38.99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B7FFA"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C95995"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13</w:t>
            </w:r>
          </w:p>
        </w:tc>
        <w:tc>
          <w:tcPr>
            <w:tcW w:w="0" w:type="auto"/>
            <w:tcBorders>
              <w:top w:val="single" w:sz="4" w:space="0" w:color="auto"/>
              <w:left w:val="single" w:sz="4" w:space="0" w:color="auto"/>
              <w:bottom w:val="single" w:sz="4" w:space="0" w:color="auto"/>
              <w:right w:val="double" w:sz="4" w:space="0" w:color="auto"/>
            </w:tcBorders>
            <w:shd w:val="clear" w:color="auto" w:fill="auto"/>
            <w:hideMark/>
          </w:tcPr>
          <w:p w14:paraId="3F7E9912"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54.17</w:t>
            </w:r>
          </w:p>
        </w:tc>
      </w:tr>
      <w:tr w:rsidR="00560590" w:rsidRPr="00DB0C66" w14:paraId="3543FB5E" w14:textId="77777777" w:rsidTr="00CF2E8A">
        <w:tc>
          <w:tcPr>
            <w:tcW w:w="0" w:type="auto"/>
            <w:tcBorders>
              <w:top w:val="single" w:sz="4" w:space="0" w:color="auto"/>
              <w:left w:val="double" w:sz="4" w:space="0" w:color="auto"/>
              <w:bottom w:val="single" w:sz="4" w:space="0" w:color="auto"/>
              <w:right w:val="single" w:sz="4" w:space="0" w:color="auto"/>
            </w:tcBorders>
            <w:shd w:val="clear" w:color="auto" w:fill="auto"/>
            <w:hideMark/>
          </w:tcPr>
          <w:p w14:paraId="39067F57"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5313/866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4FF642"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06/11/2020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73106"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1486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06DFF"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8C008"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35.19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CBB811"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6130C1"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49</w:t>
            </w:r>
          </w:p>
        </w:tc>
        <w:tc>
          <w:tcPr>
            <w:tcW w:w="0" w:type="auto"/>
            <w:tcBorders>
              <w:top w:val="single" w:sz="4" w:space="0" w:color="auto"/>
              <w:left w:val="single" w:sz="4" w:space="0" w:color="auto"/>
              <w:bottom w:val="single" w:sz="4" w:space="0" w:color="auto"/>
              <w:right w:val="double" w:sz="4" w:space="0" w:color="auto"/>
            </w:tcBorders>
            <w:shd w:val="clear" w:color="auto" w:fill="auto"/>
            <w:hideMark/>
          </w:tcPr>
          <w:p w14:paraId="31982804"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21.49</w:t>
            </w:r>
          </w:p>
        </w:tc>
      </w:tr>
      <w:tr w:rsidR="00560590" w:rsidRPr="00DB0C66" w14:paraId="28D95CC6" w14:textId="77777777" w:rsidTr="00CF2E8A">
        <w:tc>
          <w:tcPr>
            <w:tcW w:w="0" w:type="auto"/>
            <w:tcBorders>
              <w:top w:val="single" w:sz="4" w:space="0" w:color="auto"/>
              <w:left w:val="double" w:sz="4" w:space="0" w:color="auto"/>
              <w:bottom w:val="single" w:sz="4" w:space="0" w:color="auto"/>
              <w:right w:val="single" w:sz="4" w:space="0" w:color="auto"/>
            </w:tcBorders>
            <w:shd w:val="clear" w:color="auto" w:fill="auto"/>
            <w:hideMark/>
          </w:tcPr>
          <w:p w14:paraId="0C0F1DCB"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5350/369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6A3A7"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14/05/2021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10C45"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707B4D"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6F058"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40.67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F42B9"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F9C7C"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15</w:t>
            </w:r>
          </w:p>
        </w:tc>
        <w:tc>
          <w:tcPr>
            <w:tcW w:w="0" w:type="auto"/>
            <w:tcBorders>
              <w:top w:val="single" w:sz="4" w:space="0" w:color="auto"/>
              <w:left w:val="single" w:sz="4" w:space="0" w:color="auto"/>
              <w:bottom w:val="single" w:sz="4" w:space="0" w:color="auto"/>
              <w:right w:val="double" w:sz="4" w:space="0" w:color="auto"/>
            </w:tcBorders>
            <w:shd w:val="clear" w:color="auto" w:fill="auto"/>
            <w:hideMark/>
          </w:tcPr>
          <w:p w14:paraId="5442FC64" w14:textId="77777777" w:rsidR="00D54330" w:rsidRPr="00DB0C66" w:rsidRDefault="00D54330" w:rsidP="00CF2E8A">
            <w:pPr>
              <w:spacing w:before="120" w:after="120"/>
              <w:rPr>
                <w:rFonts w:cstheme="minorHAnsi"/>
                <w:sz w:val="20"/>
                <w:szCs w:val="20"/>
                <w:lang w:val="el-GR"/>
              </w:rPr>
            </w:pPr>
            <w:r w:rsidRPr="00DB0C66">
              <w:rPr>
                <w:rFonts w:cstheme="minorHAnsi"/>
                <w:sz w:val="20"/>
                <w:szCs w:val="20"/>
                <w:lang w:val="el-GR"/>
              </w:rPr>
              <w:t>28.30</w:t>
            </w:r>
          </w:p>
        </w:tc>
      </w:tr>
      <w:tr w:rsidR="00560590" w:rsidRPr="00DB0C66" w14:paraId="76FAE244" w14:textId="77777777" w:rsidTr="00CF2E8A">
        <w:tc>
          <w:tcPr>
            <w:tcW w:w="0" w:type="auto"/>
            <w:gridSpan w:val="2"/>
            <w:tcBorders>
              <w:top w:val="single" w:sz="4" w:space="0" w:color="auto"/>
              <w:left w:val="double" w:sz="4" w:space="0" w:color="auto"/>
              <w:bottom w:val="double" w:sz="4" w:space="0" w:color="auto"/>
              <w:right w:val="single" w:sz="4" w:space="0" w:color="auto"/>
            </w:tcBorders>
            <w:shd w:val="clear" w:color="auto" w:fill="auto"/>
            <w:hideMark/>
          </w:tcPr>
          <w:p w14:paraId="35C8E69B" w14:textId="61AA9C3E" w:rsidR="00D54330" w:rsidRPr="008F7CF7" w:rsidRDefault="008F7CF7" w:rsidP="00CF2E8A">
            <w:pPr>
              <w:spacing w:before="120" w:after="120"/>
              <w:rPr>
                <w:rFonts w:cstheme="minorHAnsi"/>
                <w:b/>
                <w:bCs/>
                <w:sz w:val="20"/>
                <w:szCs w:val="20"/>
                <w:lang w:val="el-GR"/>
              </w:rPr>
            </w:pPr>
            <w:r>
              <w:rPr>
                <w:rFonts w:cstheme="minorHAnsi"/>
                <w:b/>
                <w:bCs/>
                <w:sz w:val="20"/>
                <w:szCs w:val="20"/>
                <w:lang w:val="el-GR"/>
              </w:rPr>
              <w:t>ΣΥΝΟΛΟ</w:t>
            </w:r>
          </w:p>
        </w:tc>
        <w:tc>
          <w:tcPr>
            <w:tcW w:w="0" w:type="auto"/>
            <w:tcBorders>
              <w:top w:val="single" w:sz="4" w:space="0" w:color="auto"/>
              <w:left w:val="single" w:sz="4" w:space="0" w:color="auto"/>
              <w:bottom w:val="double" w:sz="4" w:space="0" w:color="auto"/>
              <w:right w:val="single" w:sz="4" w:space="0" w:color="auto"/>
            </w:tcBorders>
            <w:shd w:val="clear" w:color="auto" w:fill="auto"/>
            <w:hideMark/>
          </w:tcPr>
          <w:p w14:paraId="77439781" w14:textId="77777777" w:rsidR="00D54330" w:rsidRPr="00DB0C66" w:rsidRDefault="00D54330" w:rsidP="00CF2E8A">
            <w:pPr>
              <w:spacing w:before="120" w:after="120"/>
              <w:rPr>
                <w:rFonts w:cstheme="minorHAnsi"/>
                <w:b/>
                <w:bCs/>
                <w:sz w:val="20"/>
                <w:szCs w:val="20"/>
                <w:lang w:val="el-GR"/>
              </w:rPr>
            </w:pPr>
            <w:r w:rsidRPr="00DB0C66">
              <w:rPr>
                <w:rFonts w:cstheme="minorHAnsi"/>
                <w:b/>
                <w:bCs/>
                <w:sz w:val="20"/>
                <w:szCs w:val="20"/>
                <w:lang w:val="el-GR"/>
              </w:rPr>
              <w:t>5268</w:t>
            </w:r>
          </w:p>
        </w:tc>
        <w:tc>
          <w:tcPr>
            <w:tcW w:w="0" w:type="auto"/>
            <w:tcBorders>
              <w:top w:val="single" w:sz="4" w:space="0" w:color="auto"/>
              <w:left w:val="single" w:sz="4" w:space="0" w:color="auto"/>
              <w:bottom w:val="double" w:sz="4" w:space="0" w:color="auto"/>
              <w:right w:val="single" w:sz="4" w:space="0" w:color="auto"/>
            </w:tcBorders>
            <w:shd w:val="clear" w:color="auto" w:fill="auto"/>
            <w:hideMark/>
          </w:tcPr>
          <w:p w14:paraId="77182FD6" w14:textId="77777777" w:rsidR="00D54330" w:rsidRPr="00DB0C66" w:rsidRDefault="00D54330" w:rsidP="00CF2E8A">
            <w:pPr>
              <w:spacing w:before="120" w:after="120"/>
              <w:rPr>
                <w:rFonts w:cstheme="minorHAnsi"/>
                <w:b/>
                <w:bCs/>
                <w:sz w:val="20"/>
                <w:szCs w:val="20"/>
                <w:lang w:val="el-GR"/>
              </w:rPr>
            </w:pPr>
            <w:r w:rsidRPr="00DB0C66">
              <w:rPr>
                <w:rFonts w:cstheme="minorHAnsi"/>
                <w:b/>
                <w:bCs/>
                <w:sz w:val="20"/>
                <w:szCs w:val="20"/>
                <w:lang w:val="el-GR"/>
              </w:rPr>
              <w:t>1883</w:t>
            </w:r>
          </w:p>
        </w:tc>
        <w:tc>
          <w:tcPr>
            <w:tcW w:w="0" w:type="auto"/>
            <w:tcBorders>
              <w:top w:val="single" w:sz="4" w:space="0" w:color="auto"/>
              <w:left w:val="single" w:sz="4" w:space="0" w:color="auto"/>
              <w:bottom w:val="double" w:sz="4" w:space="0" w:color="auto"/>
              <w:right w:val="single" w:sz="4" w:space="0" w:color="auto"/>
            </w:tcBorders>
            <w:shd w:val="clear" w:color="auto" w:fill="auto"/>
            <w:hideMark/>
          </w:tcPr>
          <w:p w14:paraId="75F02E3C" w14:textId="77777777" w:rsidR="00D54330" w:rsidRPr="00DB0C66" w:rsidRDefault="00D54330" w:rsidP="00CF2E8A">
            <w:pPr>
              <w:spacing w:before="120" w:after="120"/>
              <w:rPr>
                <w:rFonts w:cstheme="minorHAnsi"/>
                <w:b/>
                <w:bCs/>
                <w:sz w:val="20"/>
                <w:szCs w:val="20"/>
                <w:lang w:val="el-GR"/>
              </w:rPr>
            </w:pPr>
            <w:r w:rsidRPr="00DB0C66">
              <w:rPr>
                <w:rFonts w:cstheme="minorHAnsi"/>
                <w:b/>
                <w:bCs/>
                <w:sz w:val="20"/>
                <w:szCs w:val="20"/>
                <w:lang w:val="el-GR"/>
              </w:rPr>
              <w:t>35.74</w:t>
            </w:r>
          </w:p>
        </w:tc>
        <w:tc>
          <w:tcPr>
            <w:tcW w:w="0" w:type="auto"/>
            <w:tcBorders>
              <w:top w:val="single" w:sz="4" w:space="0" w:color="auto"/>
              <w:left w:val="single" w:sz="4" w:space="0" w:color="auto"/>
              <w:bottom w:val="double" w:sz="4" w:space="0" w:color="auto"/>
              <w:right w:val="single" w:sz="4" w:space="0" w:color="auto"/>
            </w:tcBorders>
            <w:shd w:val="clear" w:color="auto" w:fill="auto"/>
            <w:hideMark/>
          </w:tcPr>
          <w:p w14:paraId="1A2A99A1" w14:textId="77777777" w:rsidR="00D54330" w:rsidRPr="00DB0C66" w:rsidRDefault="00D54330" w:rsidP="00CF2E8A">
            <w:pPr>
              <w:spacing w:before="120" w:after="120"/>
              <w:rPr>
                <w:rFonts w:cstheme="minorHAnsi"/>
                <w:b/>
                <w:bCs/>
                <w:sz w:val="20"/>
                <w:szCs w:val="20"/>
                <w:lang w:val="el-GR"/>
              </w:rPr>
            </w:pPr>
            <w:r w:rsidRPr="00DB0C66">
              <w:rPr>
                <w:rFonts w:cstheme="minorHAnsi"/>
                <w:b/>
                <w:bCs/>
                <w:sz w:val="20"/>
                <w:szCs w:val="20"/>
                <w:lang w:val="el-GR"/>
              </w:rPr>
              <w:t>661</w:t>
            </w:r>
          </w:p>
        </w:tc>
        <w:tc>
          <w:tcPr>
            <w:tcW w:w="0" w:type="auto"/>
            <w:tcBorders>
              <w:top w:val="single" w:sz="4" w:space="0" w:color="auto"/>
              <w:left w:val="single" w:sz="4" w:space="0" w:color="auto"/>
              <w:bottom w:val="double" w:sz="4" w:space="0" w:color="auto"/>
              <w:right w:val="single" w:sz="4" w:space="0" w:color="auto"/>
            </w:tcBorders>
            <w:shd w:val="clear" w:color="auto" w:fill="auto"/>
            <w:hideMark/>
          </w:tcPr>
          <w:p w14:paraId="6F546344" w14:textId="77777777" w:rsidR="00D54330" w:rsidRPr="00DB0C66" w:rsidRDefault="00D54330" w:rsidP="00CF2E8A">
            <w:pPr>
              <w:spacing w:before="120" w:after="120"/>
              <w:rPr>
                <w:rFonts w:cstheme="minorHAnsi"/>
                <w:b/>
                <w:bCs/>
                <w:sz w:val="20"/>
                <w:szCs w:val="20"/>
                <w:lang w:val="el-GR"/>
              </w:rPr>
            </w:pPr>
            <w:r w:rsidRPr="00DB0C66">
              <w:rPr>
                <w:rFonts w:cstheme="minorHAnsi"/>
                <w:b/>
                <w:bCs/>
                <w:sz w:val="20"/>
                <w:szCs w:val="20"/>
                <w:lang w:val="el-GR"/>
              </w:rPr>
              <w:t>174</w:t>
            </w:r>
          </w:p>
        </w:tc>
        <w:tc>
          <w:tcPr>
            <w:tcW w:w="0" w:type="auto"/>
            <w:tcBorders>
              <w:top w:val="single" w:sz="4" w:space="0" w:color="auto"/>
              <w:left w:val="single" w:sz="4" w:space="0" w:color="auto"/>
              <w:bottom w:val="double" w:sz="4" w:space="0" w:color="auto"/>
              <w:right w:val="double" w:sz="4" w:space="0" w:color="auto"/>
            </w:tcBorders>
            <w:shd w:val="clear" w:color="auto" w:fill="auto"/>
            <w:hideMark/>
          </w:tcPr>
          <w:p w14:paraId="1371273C" w14:textId="77777777" w:rsidR="00D54330" w:rsidRPr="00DB0C66" w:rsidRDefault="00D54330" w:rsidP="00CF2E8A">
            <w:pPr>
              <w:spacing w:before="120" w:after="120"/>
              <w:rPr>
                <w:rFonts w:cstheme="minorHAnsi"/>
                <w:b/>
                <w:bCs/>
                <w:sz w:val="20"/>
                <w:szCs w:val="20"/>
                <w:lang w:val="el-GR"/>
              </w:rPr>
            </w:pPr>
            <w:r w:rsidRPr="00DB0C66">
              <w:rPr>
                <w:rFonts w:cstheme="minorHAnsi"/>
                <w:b/>
                <w:bCs/>
                <w:sz w:val="20"/>
                <w:szCs w:val="20"/>
                <w:lang w:val="el-GR"/>
              </w:rPr>
              <w:t>26.32</w:t>
            </w:r>
          </w:p>
        </w:tc>
      </w:tr>
    </w:tbl>
    <w:p w14:paraId="1CF8D8A1" w14:textId="77777777" w:rsidR="006D24DD" w:rsidRPr="006D24DD" w:rsidRDefault="006D24DD" w:rsidP="006D24DD">
      <w:pPr>
        <w:tabs>
          <w:tab w:val="left" w:pos="709"/>
        </w:tabs>
        <w:rPr>
          <w:rFonts w:ascii="Calibri" w:hAnsi="Calibri" w:cstheme="minorHAnsi"/>
          <w:sz w:val="24"/>
          <w:szCs w:val="24"/>
        </w:rPr>
      </w:pPr>
    </w:p>
    <w:p w14:paraId="091350B6" w14:textId="49D22772" w:rsidR="00220066" w:rsidRPr="004D2521" w:rsidRDefault="00560590" w:rsidP="00220066">
      <w:pPr>
        <w:numPr>
          <w:ilvl w:val="0"/>
          <w:numId w:val="1"/>
        </w:numPr>
        <w:tabs>
          <w:tab w:val="left" w:pos="709"/>
        </w:tabs>
        <w:ind w:left="0" w:firstLine="0"/>
        <w:rPr>
          <w:rFonts w:ascii="Calibri" w:hAnsi="Calibri" w:cstheme="minorHAnsi"/>
          <w:sz w:val="24"/>
          <w:szCs w:val="24"/>
          <w:lang w:val="el-GR"/>
        </w:rPr>
      </w:pPr>
      <w:r>
        <w:rPr>
          <w:rFonts w:cstheme="minorHAnsi"/>
          <w:sz w:val="24"/>
          <w:szCs w:val="24"/>
          <w:lang w:val="el-GR"/>
        </w:rPr>
        <w:t>Η</w:t>
      </w:r>
      <w:r w:rsidR="00220066" w:rsidRPr="00560590">
        <w:rPr>
          <w:rFonts w:cstheme="minorHAnsi"/>
          <w:sz w:val="24"/>
          <w:szCs w:val="24"/>
          <w:lang w:val="el-GR"/>
        </w:rPr>
        <w:t xml:space="preserve"> </w:t>
      </w:r>
      <w:r w:rsidR="00220066" w:rsidRPr="004E251E">
        <w:rPr>
          <w:rFonts w:cstheme="minorHAnsi"/>
          <w:sz w:val="24"/>
          <w:szCs w:val="24"/>
        </w:rPr>
        <w:t>GET</w:t>
      </w:r>
      <w:r w:rsidR="00220066" w:rsidRPr="00560590">
        <w:rPr>
          <w:rFonts w:cstheme="minorHAnsi"/>
          <w:sz w:val="24"/>
          <w:szCs w:val="24"/>
          <w:lang w:val="el-GR"/>
        </w:rPr>
        <w:t xml:space="preserve"> </w:t>
      </w:r>
      <w:r>
        <w:rPr>
          <w:rFonts w:cstheme="minorHAnsi"/>
          <w:sz w:val="24"/>
          <w:szCs w:val="24"/>
          <w:lang w:val="el-GR"/>
        </w:rPr>
        <w:t>σημειώνει</w:t>
      </w:r>
      <w:r w:rsidR="00220066" w:rsidRPr="00560590">
        <w:rPr>
          <w:rFonts w:cstheme="minorHAnsi"/>
          <w:sz w:val="24"/>
          <w:szCs w:val="24"/>
          <w:lang w:val="el-GR"/>
        </w:rPr>
        <w:t xml:space="preserve"> </w:t>
      </w:r>
      <w:r>
        <w:rPr>
          <w:rFonts w:cstheme="minorHAnsi"/>
          <w:sz w:val="24"/>
          <w:szCs w:val="24"/>
          <w:lang w:val="el-GR"/>
        </w:rPr>
        <w:t>ότι</w:t>
      </w:r>
      <w:r w:rsidR="00220066" w:rsidRPr="00560590">
        <w:rPr>
          <w:rFonts w:cstheme="minorHAnsi"/>
          <w:sz w:val="24"/>
          <w:szCs w:val="24"/>
          <w:lang w:val="el-GR"/>
        </w:rPr>
        <w:t xml:space="preserve"> </w:t>
      </w:r>
      <w:r>
        <w:rPr>
          <w:rFonts w:cstheme="minorHAnsi"/>
          <w:sz w:val="24"/>
          <w:szCs w:val="24"/>
          <w:lang w:val="el-GR"/>
        </w:rPr>
        <w:t>το</w:t>
      </w:r>
      <w:r w:rsidRPr="00560590">
        <w:rPr>
          <w:rFonts w:cstheme="minorHAnsi"/>
          <w:sz w:val="24"/>
          <w:szCs w:val="24"/>
          <w:lang w:val="el-GR"/>
        </w:rPr>
        <w:t xml:space="preserve"> </w:t>
      </w:r>
      <w:r>
        <w:rPr>
          <w:rFonts w:cstheme="minorHAnsi"/>
          <w:sz w:val="24"/>
          <w:szCs w:val="24"/>
          <w:lang w:val="el-GR"/>
        </w:rPr>
        <w:t>ποσοστό</w:t>
      </w:r>
      <w:r w:rsidRPr="00560590">
        <w:rPr>
          <w:rFonts w:cstheme="minorHAnsi"/>
          <w:sz w:val="24"/>
          <w:szCs w:val="24"/>
          <w:lang w:val="el-GR"/>
        </w:rPr>
        <w:t xml:space="preserve"> </w:t>
      </w:r>
      <w:r>
        <w:rPr>
          <w:rFonts w:cstheme="minorHAnsi"/>
          <w:sz w:val="24"/>
          <w:szCs w:val="24"/>
          <w:lang w:val="el-GR"/>
        </w:rPr>
        <w:t>των</w:t>
      </w:r>
      <w:r w:rsidRPr="00560590">
        <w:rPr>
          <w:rFonts w:cstheme="minorHAnsi"/>
          <w:sz w:val="24"/>
          <w:szCs w:val="24"/>
          <w:lang w:val="el-GR"/>
        </w:rPr>
        <w:t xml:space="preserve"> </w:t>
      </w:r>
      <w:r>
        <w:rPr>
          <w:rFonts w:cstheme="minorHAnsi"/>
          <w:sz w:val="24"/>
          <w:szCs w:val="24"/>
          <w:lang w:val="el-GR"/>
        </w:rPr>
        <w:t>γυναικών</w:t>
      </w:r>
      <w:r w:rsidRPr="00560590">
        <w:rPr>
          <w:rFonts w:cstheme="minorHAnsi"/>
          <w:sz w:val="24"/>
          <w:szCs w:val="24"/>
          <w:lang w:val="el-GR"/>
        </w:rPr>
        <w:t xml:space="preserve"> </w:t>
      </w:r>
      <w:r>
        <w:rPr>
          <w:rFonts w:cstheme="minorHAnsi"/>
          <w:sz w:val="24"/>
          <w:szCs w:val="24"/>
          <w:lang w:val="el-GR"/>
        </w:rPr>
        <w:t>στην</w:t>
      </w:r>
      <w:r w:rsidRPr="00560590">
        <w:rPr>
          <w:rFonts w:cstheme="minorHAnsi"/>
          <w:sz w:val="24"/>
          <w:szCs w:val="24"/>
          <w:lang w:val="el-GR"/>
        </w:rPr>
        <w:t xml:space="preserve"> </w:t>
      </w:r>
      <w:r w:rsidR="009C4E34">
        <w:rPr>
          <w:rFonts w:cstheme="minorHAnsi"/>
          <w:sz w:val="24"/>
          <w:szCs w:val="24"/>
          <w:lang w:val="el-GR"/>
        </w:rPr>
        <w:t>Αστυνομία</w:t>
      </w:r>
      <w:r w:rsidRPr="00560590">
        <w:rPr>
          <w:rFonts w:cstheme="minorHAnsi"/>
          <w:sz w:val="24"/>
          <w:szCs w:val="24"/>
          <w:lang w:val="el-GR"/>
        </w:rPr>
        <w:t xml:space="preserve"> </w:t>
      </w:r>
      <w:r>
        <w:rPr>
          <w:rFonts w:cstheme="minorHAnsi"/>
          <w:sz w:val="24"/>
          <w:szCs w:val="24"/>
          <w:lang w:val="el-GR"/>
        </w:rPr>
        <w:t>είναι</w:t>
      </w:r>
      <w:r w:rsidRPr="00560590">
        <w:rPr>
          <w:rFonts w:cstheme="minorHAnsi"/>
          <w:sz w:val="24"/>
          <w:szCs w:val="24"/>
          <w:lang w:val="el-GR"/>
        </w:rPr>
        <w:t xml:space="preserve"> </w:t>
      </w:r>
      <w:r>
        <w:rPr>
          <w:rFonts w:cstheme="minorHAnsi"/>
          <w:sz w:val="24"/>
          <w:szCs w:val="24"/>
          <w:lang w:val="el-GR"/>
        </w:rPr>
        <w:t>χαμηλό</w:t>
      </w:r>
      <w:r w:rsidR="00220066" w:rsidRPr="00560590">
        <w:rPr>
          <w:rFonts w:cstheme="minorHAnsi"/>
          <w:sz w:val="24"/>
          <w:szCs w:val="24"/>
          <w:lang w:val="el-GR"/>
        </w:rPr>
        <w:t xml:space="preserve">, </w:t>
      </w:r>
      <w:r>
        <w:rPr>
          <w:rFonts w:cstheme="minorHAnsi"/>
          <w:sz w:val="24"/>
          <w:szCs w:val="24"/>
          <w:lang w:val="el-GR"/>
        </w:rPr>
        <w:t>ειδικά</w:t>
      </w:r>
      <w:r w:rsidRPr="00560590">
        <w:rPr>
          <w:rFonts w:cstheme="minorHAnsi"/>
          <w:sz w:val="24"/>
          <w:szCs w:val="24"/>
          <w:lang w:val="el-GR"/>
        </w:rPr>
        <w:t xml:space="preserve"> </w:t>
      </w:r>
      <w:r>
        <w:rPr>
          <w:rFonts w:cstheme="minorHAnsi"/>
          <w:sz w:val="24"/>
          <w:szCs w:val="24"/>
          <w:lang w:val="el-GR"/>
        </w:rPr>
        <w:t>σ</w:t>
      </w:r>
      <w:r w:rsidR="008F7CF7">
        <w:rPr>
          <w:rFonts w:cstheme="minorHAnsi"/>
          <w:sz w:val="24"/>
          <w:szCs w:val="24"/>
          <w:lang w:val="el-GR"/>
        </w:rPr>
        <w:t>τ</w:t>
      </w:r>
      <w:r>
        <w:rPr>
          <w:rFonts w:cstheme="minorHAnsi"/>
          <w:sz w:val="24"/>
          <w:szCs w:val="24"/>
          <w:lang w:val="el-GR"/>
        </w:rPr>
        <w:t>ις</w:t>
      </w:r>
      <w:r w:rsidRPr="00560590">
        <w:rPr>
          <w:rFonts w:cstheme="minorHAnsi"/>
          <w:sz w:val="24"/>
          <w:szCs w:val="24"/>
          <w:lang w:val="el-GR"/>
        </w:rPr>
        <w:t xml:space="preserve"> </w:t>
      </w:r>
      <w:r>
        <w:rPr>
          <w:rFonts w:cstheme="minorHAnsi"/>
          <w:sz w:val="24"/>
          <w:szCs w:val="24"/>
          <w:lang w:val="el-GR"/>
        </w:rPr>
        <w:t>ψηλές</w:t>
      </w:r>
      <w:r w:rsidRPr="00560590">
        <w:rPr>
          <w:rFonts w:cstheme="minorHAnsi"/>
          <w:sz w:val="24"/>
          <w:szCs w:val="24"/>
          <w:lang w:val="el-GR"/>
        </w:rPr>
        <w:t xml:space="preserve"> </w:t>
      </w:r>
      <w:r>
        <w:rPr>
          <w:rFonts w:cstheme="minorHAnsi"/>
          <w:sz w:val="24"/>
          <w:szCs w:val="24"/>
          <w:lang w:val="el-GR"/>
        </w:rPr>
        <w:t>βαθμίδες</w:t>
      </w:r>
      <w:r w:rsidR="00220066" w:rsidRPr="00560590">
        <w:rPr>
          <w:rFonts w:cstheme="minorHAnsi"/>
          <w:sz w:val="24"/>
          <w:szCs w:val="24"/>
          <w:lang w:val="el-GR"/>
        </w:rPr>
        <w:t xml:space="preserve"> (</w:t>
      </w:r>
      <w:r>
        <w:rPr>
          <w:rFonts w:cstheme="minorHAnsi"/>
          <w:sz w:val="24"/>
          <w:szCs w:val="24"/>
          <w:lang w:val="el-GR"/>
        </w:rPr>
        <w:t>όπως αποδεικνύεται στον πίνακα πιο πάνω</w:t>
      </w:r>
      <w:r w:rsidR="00220066" w:rsidRPr="00560590">
        <w:rPr>
          <w:rFonts w:cstheme="minorHAnsi"/>
          <w:sz w:val="24"/>
          <w:szCs w:val="24"/>
          <w:lang w:val="el-GR"/>
        </w:rPr>
        <w:t>).</w:t>
      </w:r>
      <w:r w:rsidR="006407BC" w:rsidRPr="00560590">
        <w:rPr>
          <w:rFonts w:cstheme="minorHAnsi"/>
          <w:sz w:val="24"/>
          <w:szCs w:val="24"/>
          <w:lang w:val="el-GR"/>
        </w:rPr>
        <w:t xml:space="preserve"> </w:t>
      </w:r>
      <w:r>
        <w:rPr>
          <w:rFonts w:cstheme="minorHAnsi"/>
          <w:sz w:val="24"/>
          <w:szCs w:val="24"/>
          <w:lang w:val="el-GR"/>
        </w:rPr>
        <w:t>Από</w:t>
      </w:r>
      <w:r w:rsidRPr="00560590">
        <w:rPr>
          <w:rFonts w:cstheme="minorHAnsi"/>
          <w:sz w:val="24"/>
          <w:szCs w:val="24"/>
          <w:lang w:val="el-GR"/>
        </w:rPr>
        <w:t xml:space="preserve"> </w:t>
      </w:r>
      <w:r>
        <w:rPr>
          <w:rFonts w:cstheme="minorHAnsi"/>
          <w:sz w:val="24"/>
          <w:szCs w:val="24"/>
          <w:lang w:val="el-GR"/>
        </w:rPr>
        <w:t>το</w:t>
      </w:r>
      <w:r w:rsidR="006407BC" w:rsidRPr="00560590">
        <w:rPr>
          <w:rFonts w:cstheme="minorHAnsi"/>
          <w:sz w:val="24"/>
          <w:szCs w:val="24"/>
          <w:lang w:val="el-GR"/>
        </w:rPr>
        <w:t xml:space="preserve"> 2005, </w:t>
      </w:r>
      <w:r>
        <w:rPr>
          <w:rFonts w:cstheme="minorHAnsi"/>
          <w:sz w:val="24"/>
          <w:szCs w:val="24"/>
          <w:lang w:val="el-GR"/>
        </w:rPr>
        <w:t>υπήρχε</w:t>
      </w:r>
      <w:r w:rsidRPr="00560590">
        <w:rPr>
          <w:rFonts w:cstheme="minorHAnsi"/>
          <w:sz w:val="24"/>
          <w:szCs w:val="24"/>
          <w:lang w:val="el-GR"/>
        </w:rPr>
        <w:t xml:space="preserve"> </w:t>
      </w:r>
      <w:r>
        <w:rPr>
          <w:rFonts w:cstheme="minorHAnsi"/>
          <w:sz w:val="24"/>
          <w:szCs w:val="24"/>
          <w:lang w:val="el-GR"/>
        </w:rPr>
        <w:t>μια</w:t>
      </w:r>
      <w:r w:rsidRPr="00560590">
        <w:rPr>
          <w:rFonts w:cstheme="minorHAnsi"/>
          <w:sz w:val="24"/>
          <w:szCs w:val="24"/>
          <w:lang w:val="el-GR"/>
        </w:rPr>
        <w:t xml:space="preserve"> </w:t>
      </w:r>
      <w:r>
        <w:rPr>
          <w:rFonts w:cstheme="minorHAnsi"/>
          <w:sz w:val="24"/>
          <w:szCs w:val="24"/>
          <w:lang w:val="el-GR"/>
        </w:rPr>
        <w:t>αύξηση</w:t>
      </w:r>
      <w:r w:rsidR="006407BC" w:rsidRPr="00560590">
        <w:rPr>
          <w:rFonts w:cstheme="minorHAnsi"/>
          <w:sz w:val="24"/>
          <w:szCs w:val="24"/>
          <w:lang w:val="el-GR"/>
        </w:rPr>
        <w:t xml:space="preserve"> </w:t>
      </w:r>
      <w:r>
        <w:rPr>
          <w:rFonts w:cstheme="minorHAnsi"/>
          <w:sz w:val="24"/>
          <w:szCs w:val="24"/>
          <w:lang w:val="el-GR"/>
        </w:rPr>
        <w:t>στον</w:t>
      </w:r>
      <w:r w:rsidRPr="00560590">
        <w:rPr>
          <w:rFonts w:cstheme="minorHAnsi"/>
          <w:sz w:val="24"/>
          <w:szCs w:val="24"/>
          <w:lang w:val="el-GR"/>
        </w:rPr>
        <w:t xml:space="preserve"> </w:t>
      </w:r>
      <w:r>
        <w:rPr>
          <w:rFonts w:cstheme="minorHAnsi"/>
          <w:sz w:val="24"/>
          <w:szCs w:val="24"/>
          <w:lang w:val="el-GR"/>
        </w:rPr>
        <w:t>αριθμό</w:t>
      </w:r>
      <w:r w:rsidRPr="00560590">
        <w:rPr>
          <w:rFonts w:cstheme="minorHAnsi"/>
          <w:sz w:val="24"/>
          <w:szCs w:val="24"/>
          <w:lang w:val="el-GR"/>
        </w:rPr>
        <w:t xml:space="preserve"> </w:t>
      </w:r>
      <w:r>
        <w:rPr>
          <w:rFonts w:cstheme="minorHAnsi"/>
          <w:sz w:val="24"/>
          <w:szCs w:val="24"/>
          <w:lang w:val="el-GR"/>
        </w:rPr>
        <w:t>των</w:t>
      </w:r>
      <w:r w:rsidRPr="00560590">
        <w:rPr>
          <w:rFonts w:cstheme="minorHAnsi"/>
          <w:sz w:val="24"/>
          <w:szCs w:val="24"/>
          <w:lang w:val="el-GR"/>
        </w:rPr>
        <w:t xml:space="preserve"> </w:t>
      </w:r>
      <w:r>
        <w:rPr>
          <w:rFonts w:cstheme="minorHAnsi"/>
          <w:sz w:val="24"/>
          <w:szCs w:val="24"/>
          <w:lang w:val="el-GR"/>
        </w:rPr>
        <w:t>γυναικών</w:t>
      </w:r>
      <w:r w:rsidR="006407BC" w:rsidRPr="00560590">
        <w:rPr>
          <w:rFonts w:cstheme="minorHAnsi"/>
          <w:sz w:val="24"/>
          <w:szCs w:val="24"/>
          <w:lang w:val="el-GR"/>
        </w:rPr>
        <w:t xml:space="preserve"> </w:t>
      </w:r>
      <w:r>
        <w:rPr>
          <w:rFonts w:cstheme="minorHAnsi"/>
          <w:sz w:val="24"/>
          <w:szCs w:val="24"/>
          <w:lang w:val="el-GR"/>
        </w:rPr>
        <w:t>που</w:t>
      </w:r>
      <w:r w:rsidRPr="00560590">
        <w:rPr>
          <w:rFonts w:cstheme="minorHAnsi"/>
          <w:sz w:val="24"/>
          <w:szCs w:val="24"/>
          <w:lang w:val="el-GR"/>
        </w:rPr>
        <w:t xml:space="preserve"> </w:t>
      </w:r>
      <w:r>
        <w:rPr>
          <w:rFonts w:cstheme="minorHAnsi"/>
          <w:sz w:val="24"/>
          <w:szCs w:val="24"/>
          <w:lang w:val="el-GR"/>
        </w:rPr>
        <w:t>προσλαμβάνονται</w:t>
      </w:r>
      <w:r w:rsidRPr="00560590">
        <w:rPr>
          <w:rFonts w:cstheme="minorHAnsi"/>
          <w:sz w:val="24"/>
          <w:szCs w:val="24"/>
          <w:lang w:val="el-GR"/>
        </w:rPr>
        <w:t xml:space="preserve"> </w:t>
      </w:r>
      <w:r>
        <w:rPr>
          <w:rFonts w:cstheme="minorHAnsi"/>
          <w:sz w:val="24"/>
          <w:szCs w:val="24"/>
          <w:lang w:val="el-GR"/>
        </w:rPr>
        <w:t>σε</w:t>
      </w:r>
      <w:r w:rsidRPr="00560590">
        <w:rPr>
          <w:rFonts w:cstheme="minorHAnsi"/>
          <w:sz w:val="24"/>
          <w:szCs w:val="24"/>
          <w:lang w:val="el-GR"/>
        </w:rPr>
        <w:t xml:space="preserve"> </w:t>
      </w:r>
      <w:r>
        <w:rPr>
          <w:rFonts w:cstheme="minorHAnsi"/>
          <w:sz w:val="24"/>
          <w:szCs w:val="24"/>
          <w:lang w:val="el-GR"/>
        </w:rPr>
        <w:t>επίπεδο</w:t>
      </w:r>
      <w:r w:rsidRPr="00560590">
        <w:rPr>
          <w:rFonts w:cstheme="minorHAnsi"/>
          <w:sz w:val="24"/>
          <w:szCs w:val="24"/>
          <w:lang w:val="el-GR"/>
        </w:rPr>
        <w:t xml:space="preserve"> </w:t>
      </w:r>
      <w:r>
        <w:rPr>
          <w:rFonts w:cstheme="minorHAnsi"/>
          <w:sz w:val="24"/>
          <w:szCs w:val="24"/>
          <w:lang w:val="el-GR"/>
        </w:rPr>
        <w:t>εισόδου</w:t>
      </w:r>
      <w:r w:rsidR="006407BC" w:rsidRPr="00560590">
        <w:rPr>
          <w:rFonts w:cstheme="minorHAnsi"/>
          <w:sz w:val="24"/>
          <w:szCs w:val="24"/>
          <w:lang w:val="el-GR"/>
        </w:rPr>
        <w:t xml:space="preserve"> (</w:t>
      </w:r>
      <w:r>
        <w:rPr>
          <w:rFonts w:cstheme="minorHAnsi"/>
          <w:sz w:val="24"/>
          <w:szCs w:val="24"/>
          <w:lang w:val="el-GR"/>
        </w:rPr>
        <w:t>με σκοπό το ποσοστό του</w:t>
      </w:r>
      <w:r w:rsidR="00192743" w:rsidRPr="00560590">
        <w:rPr>
          <w:rFonts w:cstheme="minorHAnsi"/>
          <w:sz w:val="24"/>
          <w:szCs w:val="24"/>
          <w:lang w:val="el-GR"/>
        </w:rPr>
        <w:t xml:space="preserve"> 50%)</w:t>
      </w:r>
      <w:r>
        <w:rPr>
          <w:rFonts w:cstheme="minorHAnsi"/>
          <w:sz w:val="24"/>
          <w:szCs w:val="24"/>
          <w:lang w:val="el-GR"/>
        </w:rPr>
        <w:t>,</w:t>
      </w:r>
      <w:r w:rsidR="00192743" w:rsidRPr="00560590">
        <w:rPr>
          <w:rFonts w:cstheme="minorHAnsi"/>
          <w:sz w:val="24"/>
          <w:szCs w:val="24"/>
          <w:lang w:val="el-GR"/>
        </w:rPr>
        <w:t xml:space="preserve"> </w:t>
      </w:r>
      <w:r>
        <w:rPr>
          <w:rFonts w:cstheme="minorHAnsi"/>
          <w:sz w:val="24"/>
          <w:szCs w:val="24"/>
          <w:lang w:val="el-GR"/>
        </w:rPr>
        <w:t>ωστόσο</w:t>
      </w:r>
      <w:r w:rsidR="00192743" w:rsidRPr="00560590">
        <w:rPr>
          <w:rFonts w:cstheme="minorHAnsi"/>
          <w:sz w:val="24"/>
          <w:szCs w:val="24"/>
          <w:lang w:val="el-GR"/>
        </w:rPr>
        <w:t xml:space="preserve">, </w:t>
      </w:r>
      <w:r>
        <w:rPr>
          <w:rFonts w:cstheme="minorHAnsi"/>
          <w:sz w:val="24"/>
          <w:szCs w:val="24"/>
          <w:lang w:val="el-GR"/>
        </w:rPr>
        <w:t>αυτό το ποσοστό έχει μειωθεί</w:t>
      </w:r>
      <w:r w:rsidR="00192743" w:rsidRPr="00560590">
        <w:rPr>
          <w:rFonts w:cstheme="minorHAnsi"/>
          <w:sz w:val="24"/>
          <w:szCs w:val="24"/>
          <w:lang w:val="el-GR"/>
        </w:rPr>
        <w:t xml:space="preserve"> </w:t>
      </w:r>
      <w:r>
        <w:rPr>
          <w:rFonts w:cstheme="minorHAnsi"/>
          <w:sz w:val="24"/>
          <w:szCs w:val="24"/>
          <w:lang w:val="el-GR"/>
        </w:rPr>
        <w:t>τα τελευταία τρία χρόνια</w:t>
      </w:r>
      <w:r w:rsidR="00192743" w:rsidRPr="00560590">
        <w:rPr>
          <w:rFonts w:cstheme="minorHAnsi"/>
          <w:sz w:val="24"/>
          <w:szCs w:val="24"/>
          <w:lang w:val="el-GR"/>
        </w:rPr>
        <w:t xml:space="preserve"> (34% </w:t>
      </w:r>
      <w:r>
        <w:rPr>
          <w:rFonts w:cstheme="minorHAnsi"/>
          <w:sz w:val="24"/>
          <w:szCs w:val="24"/>
          <w:lang w:val="el-GR"/>
        </w:rPr>
        <w:t>το</w:t>
      </w:r>
      <w:r w:rsidR="00192743" w:rsidRPr="00560590">
        <w:rPr>
          <w:rFonts w:cstheme="minorHAnsi"/>
          <w:sz w:val="24"/>
          <w:szCs w:val="24"/>
          <w:lang w:val="el-GR"/>
        </w:rPr>
        <w:t xml:space="preserve"> 2020, 25% </w:t>
      </w:r>
      <w:r>
        <w:rPr>
          <w:rFonts w:cstheme="minorHAnsi"/>
          <w:sz w:val="24"/>
          <w:szCs w:val="24"/>
          <w:lang w:val="el-GR"/>
        </w:rPr>
        <w:t>το</w:t>
      </w:r>
      <w:r w:rsidR="00192743" w:rsidRPr="00560590">
        <w:rPr>
          <w:rFonts w:cstheme="minorHAnsi"/>
          <w:sz w:val="24"/>
          <w:szCs w:val="24"/>
          <w:lang w:val="el-GR"/>
        </w:rPr>
        <w:t xml:space="preserve"> 2021 </w:t>
      </w:r>
      <w:r>
        <w:rPr>
          <w:rFonts w:cstheme="minorHAnsi"/>
          <w:sz w:val="24"/>
          <w:szCs w:val="24"/>
          <w:lang w:val="el-GR"/>
        </w:rPr>
        <w:t>και</w:t>
      </w:r>
      <w:r w:rsidR="00192743" w:rsidRPr="00560590">
        <w:rPr>
          <w:rFonts w:cstheme="minorHAnsi"/>
          <w:sz w:val="24"/>
          <w:szCs w:val="24"/>
          <w:lang w:val="el-GR"/>
        </w:rPr>
        <w:t xml:space="preserve"> 26% </w:t>
      </w:r>
      <w:r>
        <w:rPr>
          <w:rFonts w:cstheme="minorHAnsi"/>
          <w:sz w:val="24"/>
          <w:szCs w:val="24"/>
          <w:lang w:val="el-GR"/>
        </w:rPr>
        <w:t>το</w:t>
      </w:r>
      <w:r w:rsidR="00192743" w:rsidRPr="00560590">
        <w:rPr>
          <w:rFonts w:cstheme="minorHAnsi"/>
          <w:sz w:val="24"/>
          <w:szCs w:val="24"/>
          <w:lang w:val="el-GR"/>
        </w:rPr>
        <w:t xml:space="preserve"> 2022</w:t>
      </w:r>
      <w:r w:rsidR="00FC2717" w:rsidRPr="00560590">
        <w:rPr>
          <w:rFonts w:cstheme="minorHAnsi"/>
          <w:sz w:val="24"/>
          <w:szCs w:val="24"/>
          <w:lang w:val="el-GR"/>
        </w:rPr>
        <w:t>)</w:t>
      </w:r>
      <w:r w:rsidR="00192743" w:rsidRPr="00560590">
        <w:rPr>
          <w:rFonts w:cstheme="minorHAnsi"/>
          <w:sz w:val="24"/>
          <w:szCs w:val="24"/>
          <w:lang w:val="el-GR"/>
        </w:rPr>
        <w:t xml:space="preserve">. </w:t>
      </w:r>
      <w:r>
        <w:rPr>
          <w:rFonts w:cstheme="minorHAnsi"/>
          <w:sz w:val="24"/>
          <w:szCs w:val="24"/>
          <w:lang w:val="el-GR"/>
        </w:rPr>
        <w:t>Η</w:t>
      </w:r>
      <w:r w:rsidR="00220066" w:rsidRPr="005E5EF5">
        <w:rPr>
          <w:rFonts w:cstheme="minorHAnsi"/>
          <w:sz w:val="24"/>
          <w:szCs w:val="24"/>
          <w:lang w:val="el-GR"/>
        </w:rPr>
        <w:t xml:space="preserve"> </w:t>
      </w:r>
      <w:r w:rsidR="00220066" w:rsidRPr="000538B6">
        <w:rPr>
          <w:rFonts w:cstheme="minorHAnsi"/>
          <w:sz w:val="24"/>
          <w:szCs w:val="24"/>
        </w:rPr>
        <w:t>GET</w:t>
      </w:r>
      <w:r w:rsidR="00220066" w:rsidRPr="005E5EF5">
        <w:rPr>
          <w:rFonts w:cstheme="minorHAnsi"/>
          <w:sz w:val="24"/>
          <w:szCs w:val="24"/>
          <w:lang w:val="el-GR"/>
        </w:rPr>
        <w:t xml:space="preserve"> </w:t>
      </w:r>
      <w:r>
        <w:rPr>
          <w:rFonts w:cstheme="minorHAnsi"/>
          <w:sz w:val="24"/>
          <w:szCs w:val="24"/>
          <w:lang w:val="el-GR"/>
        </w:rPr>
        <w:t>θεωρεί</w:t>
      </w:r>
      <w:r w:rsidRPr="005E5EF5">
        <w:rPr>
          <w:rFonts w:cstheme="minorHAnsi"/>
          <w:sz w:val="24"/>
          <w:szCs w:val="24"/>
          <w:lang w:val="el-GR"/>
        </w:rPr>
        <w:t xml:space="preserve"> </w:t>
      </w:r>
      <w:r>
        <w:rPr>
          <w:rFonts w:cstheme="minorHAnsi"/>
          <w:sz w:val="24"/>
          <w:szCs w:val="24"/>
          <w:lang w:val="el-GR"/>
        </w:rPr>
        <w:t>ότι</w:t>
      </w:r>
      <w:r w:rsidRPr="005E5EF5">
        <w:rPr>
          <w:rFonts w:cstheme="minorHAnsi"/>
          <w:sz w:val="24"/>
          <w:szCs w:val="24"/>
          <w:lang w:val="el-GR"/>
        </w:rPr>
        <w:t xml:space="preserve"> </w:t>
      </w:r>
      <w:r>
        <w:rPr>
          <w:rFonts w:cstheme="minorHAnsi"/>
          <w:sz w:val="24"/>
          <w:szCs w:val="24"/>
          <w:lang w:val="el-GR"/>
        </w:rPr>
        <w:t>χρειάζονται</w:t>
      </w:r>
      <w:r w:rsidRPr="005E5EF5">
        <w:rPr>
          <w:rFonts w:cstheme="minorHAnsi"/>
          <w:sz w:val="24"/>
          <w:szCs w:val="24"/>
          <w:lang w:val="el-GR"/>
        </w:rPr>
        <w:t xml:space="preserve"> </w:t>
      </w:r>
      <w:r>
        <w:rPr>
          <w:rFonts w:cstheme="minorHAnsi"/>
          <w:sz w:val="24"/>
          <w:szCs w:val="24"/>
          <w:lang w:val="el-GR"/>
        </w:rPr>
        <w:t>να</w:t>
      </w:r>
      <w:r w:rsidRPr="005E5EF5">
        <w:rPr>
          <w:rFonts w:cstheme="minorHAnsi"/>
          <w:sz w:val="24"/>
          <w:szCs w:val="24"/>
          <w:lang w:val="el-GR"/>
        </w:rPr>
        <w:t xml:space="preserve"> </w:t>
      </w:r>
      <w:r>
        <w:rPr>
          <w:rFonts w:cstheme="minorHAnsi"/>
          <w:sz w:val="24"/>
          <w:szCs w:val="24"/>
          <w:lang w:val="el-GR"/>
        </w:rPr>
        <w:t>γίνου</w:t>
      </w:r>
      <w:r w:rsidR="008F7CF7">
        <w:rPr>
          <w:rFonts w:cstheme="minorHAnsi"/>
          <w:sz w:val="24"/>
          <w:szCs w:val="24"/>
          <w:lang w:val="el-GR"/>
        </w:rPr>
        <w:t>ν</w:t>
      </w:r>
      <w:r w:rsidRPr="005E5EF5">
        <w:rPr>
          <w:rFonts w:cstheme="minorHAnsi"/>
          <w:sz w:val="24"/>
          <w:szCs w:val="24"/>
          <w:lang w:val="el-GR"/>
        </w:rPr>
        <w:t xml:space="preserve"> </w:t>
      </w:r>
      <w:proofErr w:type="spellStart"/>
      <w:r>
        <w:rPr>
          <w:rFonts w:cstheme="minorHAnsi"/>
          <w:sz w:val="24"/>
          <w:szCs w:val="24"/>
          <w:lang w:val="el-GR"/>
        </w:rPr>
        <w:t>κι</w:t>
      </w:r>
      <w:r w:rsidRPr="005E5EF5">
        <w:rPr>
          <w:rFonts w:cstheme="minorHAnsi"/>
          <w:sz w:val="24"/>
          <w:szCs w:val="24"/>
          <w:lang w:val="el-GR"/>
        </w:rPr>
        <w:t>’</w:t>
      </w:r>
      <w:r>
        <w:rPr>
          <w:rFonts w:cstheme="minorHAnsi"/>
          <w:sz w:val="24"/>
          <w:szCs w:val="24"/>
          <w:lang w:val="el-GR"/>
        </w:rPr>
        <w:t>άλλα</w:t>
      </w:r>
      <w:proofErr w:type="spellEnd"/>
      <w:r w:rsidR="005E5EF5" w:rsidRPr="005E5EF5">
        <w:rPr>
          <w:rFonts w:cstheme="minorHAnsi"/>
          <w:sz w:val="24"/>
          <w:szCs w:val="24"/>
          <w:lang w:val="el-GR"/>
        </w:rPr>
        <w:t xml:space="preserve"> </w:t>
      </w:r>
      <w:r w:rsidR="005E5EF5">
        <w:rPr>
          <w:rFonts w:cstheme="minorHAnsi"/>
          <w:sz w:val="24"/>
          <w:szCs w:val="24"/>
          <w:lang w:val="el-GR"/>
        </w:rPr>
        <w:t>για</w:t>
      </w:r>
      <w:r w:rsidR="005E5EF5" w:rsidRPr="005E5EF5">
        <w:rPr>
          <w:rFonts w:cstheme="minorHAnsi"/>
          <w:sz w:val="24"/>
          <w:szCs w:val="24"/>
          <w:lang w:val="el-GR"/>
        </w:rPr>
        <w:t xml:space="preserve"> </w:t>
      </w:r>
      <w:r w:rsidR="005E5EF5">
        <w:rPr>
          <w:rFonts w:cstheme="minorHAnsi"/>
          <w:sz w:val="24"/>
          <w:szCs w:val="24"/>
          <w:lang w:val="el-GR"/>
        </w:rPr>
        <w:t>να</w:t>
      </w:r>
      <w:r w:rsidR="005E5EF5" w:rsidRPr="005E5EF5">
        <w:rPr>
          <w:rFonts w:cstheme="minorHAnsi"/>
          <w:sz w:val="24"/>
          <w:szCs w:val="24"/>
          <w:lang w:val="el-GR"/>
        </w:rPr>
        <w:t xml:space="preserve"> </w:t>
      </w:r>
      <w:r w:rsidR="005E5EF5">
        <w:rPr>
          <w:rFonts w:cstheme="minorHAnsi"/>
          <w:sz w:val="24"/>
          <w:szCs w:val="24"/>
          <w:lang w:val="el-GR"/>
        </w:rPr>
        <w:t>εκπροσωπηθο</w:t>
      </w:r>
      <w:r w:rsidR="008F7CF7">
        <w:rPr>
          <w:rFonts w:cstheme="minorHAnsi"/>
          <w:sz w:val="24"/>
          <w:szCs w:val="24"/>
          <w:lang w:val="el-GR"/>
        </w:rPr>
        <w:t>ύ</w:t>
      </w:r>
      <w:r w:rsidR="005E5EF5">
        <w:rPr>
          <w:rFonts w:cstheme="minorHAnsi"/>
          <w:sz w:val="24"/>
          <w:szCs w:val="24"/>
          <w:lang w:val="el-GR"/>
        </w:rPr>
        <w:t>ν</w:t>
      </w:r>
      <w:r w:rsidR="005E5EF5" w:rsidRPr="005E5EF5">
        <w:rPr>
          <w:rFonts w:cstheme="minorHAnsi"/>
          <w:sz w:val="24"/>
          <w:szCs w:val="24"/>
          <w:lang w:val="el-GR"/>
        </w:rPr>
        <w:t xml:space="preserve"> </w:t>
      </w:r>
      <w:r w:rsidR="005E5EF5">
        <w:rPr>
          <w:rFonts w:cstheme="minorHAnsi"/>
          <w:sz w:val="24"/>
          <w:szCs w:val="24"/>
          <w:lang w:val="el-GR"/>
        </w:rPr>
        <w:t>καλύτερα</w:t>
      </w:r>
      <w:r w:rsidR="005E5EF5" w:rsidRPr="005E5EF5">
        <w:rPr>
          <w:rFonts w:cstheme="minorHAnsi"/>
          <w:sz w:val="24"/>
          <w:szCs w:val="24"/>
          <w:lang w:val="el-GR"/>
        </w:rPr>
        <w:t xml:space="preserve"> </w:t>
      </w:r>
      <w:r w:rsidR="005E5EF5">
        <w:rPr>
          <w:rFonts w:cstheme="minorHAnsi"/>
          <w:sz w:val="24"/>
          <w:szCs w:val="24"/>
          <w:lang w:val="el-GR"/>
        </w:rPr>
        <w:t>οι</w:t>
      </w:r>
      <w:r w:rsidR="005E5EF5" w:rsidRPr="005E5EF5">
        <w:rPr>
          <w:rFonts w:cstheme="minorHAnsi"/>
          <w:sz w:val="24"/>
          <w:szCs w:val="24"/>
          <w:lang w:val="el-GR"/>
        </w:rPr>
        <w:t xml:space="preserve"> </w:t>
      </w:r>
      <w:r w:rsidR="005E5EF5">
        <w:rPr>
          <w:rFonts w:cstheme="minorHAnsi"/>
          <w:sz w:val="24"/>
          <w:szCs w:val="24"/>
          <w:lang w:val="el-GR"/>
        </w:rPr>
        <w:t>γυναίκες στην αστυνομική δύναμη</w:t>
      </w:r>
      <w:r w:rsidR="00220066" w:rsidRPr="005E5EF5">
        <w:rPr>
          <w:rFonts w:cs="Calibri"/>
          <w:sz w:val="24"/>
          <w:szCs w:val="24"/>
          <w:lang w:val="el-GR"/>
        </w:rPr>
        <w:t xml:space="preserve">, </w:t>
      </w:r>
      <w:r w:rsidR="00973266">
        <w:rPr>
          <w:rFonts w:cs="Calibri"/>
          <w:sz w:val="24"/>
          <w:szCs w:val="24"/>
          <w:lang w:val="el-GR"/>
        </w:rPr>
        <w:t>συμπεριλαμβανομένων</w:t>
      </w:r>
      <w:r w:rsidR="005E5EF5">
        <w:rPr>
          <w:rFonts w:cs="Calibri"/>
          <w:sz w:val="24"/>
          <w:szCs w:val="24"/>
          <w:lang w:val="el-GR"/>
        </w:rPr>
        <w:t xml:space="preserve"> και σε στρατηγικές, διευθυντικές θέσεις και</w:t>
      </w:r>
      <w:r w:rsidR="00220066" w:rsidRPr="005E5EF5">
        <w:rPr>
          <w:rFonts w:cs="Calibri"/>
          <w:sz w:val="24"/>
          <w:szCs w:val="24"/>
          <w:lang w:val="el-GR"/>
        </w:rPr>
        <w:t xml:space="preserve">, </w:t>
      </w:r>
      <w:r w:rsidR="005E5EF5">
        <w:rPr>
          <w:rFonts w:cs="Calibri"/>
          <w:sz w:val="24"/>
          <w:szCs w:val="24"/>
          <w:lang w:val="el-GR"/>
        </w:rPr>
        <w:t>σε θέσεις χάραξης πολιτικής</w:t>
      </w:r>
      <w:r w:rsidR="00220066" w:rsidRPr="005E5EF5">
        <w:rPr>
          <w:rFonts w:cs="Calibri"/>
          <w:sz w:val="24"/>
          <w:szCs w:val="24"/>
          <w:lang w:val="el-GR"/>
        </w:rPr>
        <w:t xml:space="preserve">. </w:t>
      </w:r>
      <w:r w:rsidR="005E5EF5">
        <w:rPr>
          <w:rFonts w:cs="Calibri"/>
          <w:sz w:val="24"/>
          <w:szCs w:val="24"/>
          <w:lang w:val="el-GR"/>
        </w:rPr>
        <w:t>Η</w:t>
      </w:r>
      <w:r w:rsidR="005E5EF5" w:rsidRPr="005E5EF5">
        <w:rPr>
          <w:rFonts w:cs="Calibri"/>
          <w:sz w:val="24"/>
          <w:szCs w:val="24"/>
          <w:lang w:val="el-GR"/>
        </w:rPr>
        <w:t xml:space="preserve"> </w:t>
      </w:r>
      <w:r w:rsidR="005E5EF5">
        <w:rPr>
          <w:rFonts w:cs="Calibri"/>
          <w:sz w:val="24"/>
          <w:szCs w:val="24"/>
          <w:lang w:val="el-GR"/>
        </w:rPr>
        <w:t>αναζήτηση</w:t>
      </w:r>
      <w:r w:rsidR="005E5EF5" w:rsidRPr="005E5EF5">
        <w:rPr>
          <w:rFonts w:cs="Calibri"/>
          <w:sz w:val="24"/>
          <w:szCs w:val="24"/>
          <w:lang w:val="el-GR"/>
        </w:rPr>
        <w:t xml:space="preserve"> </w:t>
      </w:r>
      <w:r w:rsidR="005E5EF5">
        <w:rPr>
          <w:rFonts w:cs="Calibri"/>
          <w:sz w:val="24"/>
          <w:szCs w:val="24"/>
          <w:lang w:val="el-GR"/>
        </w:rPr>
        <w:t>ενός</w:t>
      </w:r>
      <w:r w:rsidR="005E5EF5" w:rsidRPr="005E5EF5">
        <w:rPr>
          <w:rFonts w:cs="Calibri"/>
          <w:sz w:val="24"/>
          <w:szCs w:val="24"/>
          <w:lang w:val="el-GR"/>
        </w:rPr>
        <w:t xml:space="preserve"> </w:t>
      </w:r>
      <w:r w:rsidR="005E5EF5">
        <w:rPr>
          <w:rFonts w:cs="Calibri"/>
          <w:sz w:val="24"/>
          <w:szCs w:val="24"/>
          <w:lang w:val="el-GR"/>
        </w:rPr>
        <w:t>καλύτερου</w:t>
      </w:r>
      <w:r w:rsidR="005E5EF5" w:rsidRPr="005E5EF5">
        <w:rPr>
          <w:rFonts w:cs="Calibri"/>
          <w:sz w:val="24"/>
          <w:szCs w:val="24"/>
          <w:lang w:val="el-GR"/>
        </w:rPr>
        <w:t xml:space="preserve"> </w:t>
      </w:r>
      <w:r w:rsidR="005E5EF5">
        <w:rPr>
          <w:rFonts w:cs="Calibri"/>
          <w:sz w:val="24"/>
          <w:szCs w:val="24"/>
          <w:lang w:val="el-GR"/>
        </w:rPr>
        <w:t>ισοζυγίου</w:t>
      </w:r>
      <w:r w:rsidR="005E5EF5" w:rsidRPr="005E5EF5">
        <w:rPr>
          <w:rFonts w:cs="Calibri"/>
          <w:sz w:val="24"/>
          <w:szCs w:val="24"/>
          <w:lang w:val="el-GR"/>
        </w:rPr>
        <w:t xml:space="preserve"> </w:t>
      </w:r>
      <w:r w:rsidR="005E5EF5">
        <w:rPr>
          <w:rFonts w:cs="Calibri"/>
          <w:sz w:val="24"/>
          <w:szCs w:val="24"/>
          <w:lang w:val="el-GR"/>
        </w:rPr>
        <w:t>φύλων</w:t>
      </w:r>
      <w:r w:rsidR="00220066" w:rsidRPr="005E5EF5">
        <w:rPr>
          <w:rFonts w:cs="Calibri"/>
          <w:sz w:val="24"/>
          <w:szCs w:val="24"/>
          <w:lang w:val="el-GR"/>
        </w:rPr>
        <w:t xml:space="preserve"> </w:t>
      </w:r>
      <w:r w:rsidR="005E5EF5">
        <w:rPr>
          <w:rFonts w:cs="Calibri"/>
          <w:sz w:val="24"/>
          <w:szCs w:val="24"/>
          <w:lang w:val="el-GR"/>
        </w:rPr>
        <w:t>δεν</w:t>
      </w:r>
      <w:r w:rsidR="005E5EF5" w:rsidRPr="005E5EF5">
        <w:rPr>
          <w:rFonts w:cs="Calibri"/>
          <w:sz w:val="24"/>
          <w:szCs w:val="24"/>
          <w:lang w:val="el-GR"/>
        </w:rPr>
        <w:t xml:space="preserve"> </w:t>
      </w:r>
      <w:r w:rsidR="005E5EF5">
        <w:rPr>
          <w:rFonts w:cs="Calibri"/>
          <w:sz w:val="24"/>
          <w:szCs w:val="24"/>
          <w:lang w:val="el-GR"/>
        </w:rPr>
        <w:t>είναι</w:t>
      </w:r>
      <w:r w:rsidR="005E5EF5" w:rsidRPr="005E5EF5">
        <w:rPr>
          <w:rFonts w:cs="Calibri"/>
          <w:sz w:val="24"/>
          <w:szCs w:val="24"/>
          <w:lang w:val="el-GR"/>
        </w:rPr>
        <w:t xml:space="preserve"> </w:t>
      </w:r>
      <w:r w:rsidR="005E5EF5">
        <w:rPr>
          <w:rFonts w:cs="Calibri"/>
          <w:sz w:val="24"/>
          <w:szCs w:val="24"/>
          <w:lang w:val="el-GR"/>
        </w:rPr>
        <w:t>μόνο</w:t>
      </w:r>
      <w:r w:rsidR="005E5EF5" w:rsidRPr="005E5EF5">
        <w:rPr>
          <w:rFonts w:cs="Calibri"/>
          <w:sz w:val="24"/>
          <w:szCs w:val="24"/>
          <w:lang w:val="el-GR"/>
        </w:rPr>
        <w:t xml:space="preserve"> </w:t>
      </w:r>
      <w:r w:rsidR="005E5EF5">
        <w:rPr>
          <w:rFonts w:cs="Calibri"/>
          <w:sz w:val="24"/>
          <w:szCs w:val="24"/>
          <w:lang w:val="el-GR"/>
        </w:rPr>
        <w:t>μια</w:t>
      </w:r>
      <w:r w:rsidR="005E5EF5" w:rsidRPr="005E5EF5">
        <w:rPr>
          <w:rFonts w:cs="Calibri"/>
          <w:sz w:val="24"/>
          <w:szCs w:val="24"/>
          <w:lang w:val="el-GR"/>
        </w:rPr>
        <w:t xml:space="preserve"> </w:t>
      </w:r>
      <w:r w:rsidR="005E5EF5">
        <w:rPr>
          <w:rFonts w:cs="Calibri"/>
          <w:sz w:val="24"/>
          <w:szCs w:val="24"/>
          <w:lang w:val="el-GR"/>
        </w:rPr>
        <w:t>απαίτηση</w:t>
      </w:r>
      <w:r w:rsidR="005E5EF5" w:rsidRPr="005E5EF5">
        <w:rPr>
          <w:rFonts w:cs="Calibri"/>
          <w:sz w:val="24"/>
          <w:szCs w:val="24"/>
          <w:lang w:val="el-GR"/>
        </w:rPr>
        <w:t xml:space="preserve"> </w:t>
      </w:r>
      <w:r w:rsidR="005E5EF5">
        <w:rPr>
          <w:rFonts w:cs="Calibri"/>
          <w:sz w:val="24"/>
          <w:szCs w:val="24"/>
          <w:lang w:val="el-GR"/>
        </w:rPr>
        <w:t>για</w:t>
      </w:r>
      <w:r w:rsidR="005E5EF5" w:rsidRPr="005E5EF5">
        <w:rPr>
          <w:rFonts w:cs="Calibri"/>
          <w:sz w:val="24"/>
          <w:szCs w:val="24"/>
          <w:lang w:val="el-GR"/>
        </w:rPr>
        <w:t xml:space="preserve"> </w:t>
      </w:r>
      <w:r w:rsidR="005E5EF5">
        <w:rPr>
          <w:rFonts w:cs="Calibri"/>
          <w:sz w:val="24"/>
          <w:szCs w:val="24"/>
          <w:lang w:val="el-GR"/>
        </w:rPr>
        <w:t>ισότητα</w:t>
      </w:r>
      <w:r w:rsidR="005E5EF5" w:rsidRPr="005E5EF5">
        <w:rPr>
          <w:rFonts w:cs="Calibri"/>
          <w:sz w:val="24"/>
          <w:szCs w:val="24"/>
          <w:lang w:val="el-GR"/>
        </w:rPr>
        <w:t xml:space="preserve"> </w:t>
      </w:r>
      <w:r w:rsidR="005E5EF5">
        <w:rPr>
          <w:rFonts w:cs="Calibri"/>
          <w:sz w:val="24"/>
          <w:szCs w:val="24"/>
          <w:lang w:val="el-GR"/>
        </w:rPr>
        <w:t>βάσει</w:t>
      </w:r>
      <w:r w:rsidR="005E5EF5" w:rsidRPr="005E5EF5">
        <w:rPr>
          <w:rFonts w:cs="Calibri"/>
          <w:sz w:val="24"/>
          <w:szCs w:val="24"/>
          <w:lang w:val="el-GR"/>
        </w:rPr>
        <w:t xml:space="preserve"> </w:t>
      </w:r>
      <w:r w:rsidR="005E5EF5">
        <w:rPr>
          <w:rFonts w:cs="Calibri"/>
          <w:sz w:val="24"/>
          <w:szCs w:val="24"/>
          <w:lang w:val="el-GR"/>
        </w:rPr>
        <w:t>του</w:t>
      </w:r>
      <w:r w:rsidR="005E5EF5" w:rsidRPr="005E5EF5">
        <w:rPr>
          <w:rFonts w:cs="Calibri"/>
          <w:sz w:val="24"/>
          <w:szCs w:val="24"/>
          <w:lang w:val="el-GR"/>
        </w:rPr>
        <w:t xml:space="preserve"> </w:t>
      </w:r>
      <w:r w:rsidR="005E5EF5">
        <w:rPr>
          <w:rFonts w:cs="Calibri"/>
          <w:sz w:val="24"/>
          <w:szCs w:val="24"/>
          <w:lang w:val="el-GR"/>
        </w:rPr>
        <w:t>διεθνούς</w:t>
      </w:r>
      <w:r w:rsidR="005E5EF5" w:rsidRPr="005E5EF5">
        <w:rPr>
          <w:rFonts w:cs="Calibri"/>
          <w:sz w:val="24"/>
          <w:szCs w:val="24"/>
          <w:lang w:val="el-GR"/>
        </w:rPr>
        <w:t xml:space="preserve"> </w:t>
      </w:r>
      <w:r w:rsidR="005E5EF5">
        <w:rPr>
          <w:rFonts w:cs="Calibri"/>
          <w:sz w:val="24"/>
          <w:szCs w:val="24"/>
          <w:lang w:val="el-GR"/>
        </w:rPr>
        <w:t>δικαίου</w:t>
      </w:r>
      <w:r w:rsidR="00587B55" w:rsidRPr="005E5EF5">
        <w:rPr>
          <w:rFonts w:cs="Calibri"/>
          <w:sz w:val="24"/>
          <w:szCs w:val="24"/>
          <w:lang w:val="el-GR"/>
        </w:rPr>
        <w:t>,</w:t>
      </w:r>
      <w:r w:rsidR="00220066" w:rsidRPr="005E5EF5">
        <w:rPr>
          <w:rFonts w:cs="Calibri"/>
          <w:sz w:val="24"/>
          <w:szCs w:val="24"/>
          <w:lang w:val="el-GR"/>
        </w:rPr>
        <w:t xml:space="preserve"> </w:t>
      </w:r>
      <w:r w:rsidR="005E5EF5">
        <w:rPr>
          <w:rFonts w:cs="Calibri"/>
          <w:sz w:val="24"/>
          <w:szCs w:val="24"/>
          <w:lang w:val="el-GR"/>
        </w:rPr>
        <w:t>αλλά</w:t>
      </w:r>
      <w:r w:rsidR="005E5EF5" w:rsidRPr="005E5EF5">
        <w:rPr>
          <w:rFonts w:cs="Calibri"/>
          <w:sz w:val="24"/>
          <w:szCs w:val="24"/>
          <w:lang w:val="el-GR"/>
        </w:rPr>
        <w:t xml:space="preserve"> </w:t>
      </w:r>
      <w:r w:rsidR="005E5EF5">
        <w:rPr>
          <w:rFonts w:cs="Calibri"/>
          <w:sz w:val="24"/>
          <w:szCs w:val="24"/>
          <w:lang w:val="el-GR"/>
        </w:rPr>
        <w:t>αυτή</w:t>
      </w:r>
      <w:r w:rsidR="005E5EF5" w:rsidRPr="005E5EF5">
        <w:rPr>
          <w:rFonts w:cs="Calibri"/>
          <w:sz w:val="24"/>
          <w:szCs w:val="24"/>
          <w:lang w:val="el-GR"/>
        </w:rPr>
        <w:t xml:space="preserve"> </w:t>
      </w:r>
      <w:r w:rsidR="005E5EF5">
        <w:rPr>
          <w:rFonts w:cs="Calibri"/>
          <w:sz w:val="24"/>
          <w:szCs w:val="24"/>
          <w:lang w:val="el-GR"/>
        </w:rPr>
        <w:t>μπορεί</w:t>
      </w:r>
      <w:r w:rsidR="005E5EF5" w:rsidRPr="005E5EF5">
        <w:rPr>
          <w:rFonts w:cs="Calibri"/>
          <w:sz w:val="24"/>
          <w:szCs w:val="24"/>
          <w:lang w:val="el-GR"/>
        </w:rPr>
        <w:t xml:space="preserve"> </w:t>
      </w:r>
      <w:r w:rsidR="005E5EF5">
        <w:rPr>
          <w:rFonts w:cs="Calibri"/>
          <w:sz w:val="24"/>
          <w:szCs w:val="24"/>
          <w:lang w:val="el-GR"/>
        </w:rPr>
        <w:t>επίσης</w:t>
      </w:r>
      <w:r w:rsidR="005E5EF5" w:rsidRPr="005E5EF5">
        <w:rPr>
          <w:rFonts w:cs="Calibri"/>
          <w:sz w:val="24"/>
          <w:szCs w:val="24"/>
          <w:lang w:val="el-GR"/>
        </w:rPr>
        <w:t xml:space="preserve"> </w:t>
      </w:r>
      <w:r w:rsidR="005E5EF5">
        <w:rPr>
          <w:rFonts w:cs="Calibri"/>
          <w:sz w:val="24"/>
          <w:szCs w:val="24"/>
          <w:lang w:val="el-GR"/>
        </w:rPr>
        <w:t>να</w:t>
      </w:r>
      <w:r w:rsidR="005E5EF5" w:rsidRPr="005E5EF5">
        <w:rPr>
          <w:rFonts w:cs="Calibri"/>
          <w:sz w:val="24"/>
          <w:szCs w:val="24"/>
          <w:lang w:val="el-GR"/>
        </w:rPr>
        <w:t xml:space="preserve"> </w:t>
      </w:r>
      <w:r w:rsidR="005E5EF5">
        <w:rPr>
          <w:rFonts w:cs="Calibri"/>
          <w:sz w:val="24"/>
          <w:szCs w:val="24"/>
          <w:lang w:val="el-GR"/>
        </w:rPr>
        <w:t>επιφέρει</w:t>
      </w:r>
      <w:r w:rsidR="005E5EF5" w:rsidRPr="005E5EF5">
        <w:rPr>
          <w:rFonts w:cs="Calibri"/>
          <w:sz w:val="24"/>
          <w:szCs w:val="24"/>
          <w:lang w:val="el-GR"/>
        </w:rPr>
        <w:t xml:space="preserve"> </w:t>
      </w:r>
      <w:r w:rsidR="005E5EF5">
        <w:rPr>
          <w:rFonts w:cs="Calibri"/>
          <w:sz w:val="24"/>
          <w:szCs w:val="24"/>
          <w:lang w:val="el-GR"/>
        </w:rPr>
        <w:t>ουσιαστικές</w:t>
      </w:r>
      <w:r w:rsidR="005E5EF5" w:rsidRPr="005E5EF5">
        <w:rPr>
          <w:rFonts w:cs="Calibri"/>
          <w:sz w:val="24"/>
          <w:szCs w:val="24"/>
          <w:lang w:val="el-GR"/>
        </w:rPr>
        <w:t xml:space="preserve"> </w:t>
      </w:r>
      <w:r w:rsidR="005E5EF5">
        <w:rPr>
          <w:rFonts w:cs="Calibri"/>
          <w:sz w:val="24"/>
          <w:szCs w:val="24"/>
          <w:lang w:val="el-GR"/>
        </w:rPr>
        <w:t>βελτιώσεις</w:t>
      </w:r>
      <w:r w:rsidR="00220066" w:rsidRPr="005E5EF5">
        <w:rPr>
          <w:rFonts w:cs="Calibri"/>
          <w:sz w:val="24"/>
          <w:szCs w:val="24"/>
          <w:lang w:val="el-GR"/>
        </w:rPr>
        <w:t xml:space="preserve"> </w:t>
      </w:r>
      <w:r w:rsidR="005E5EF5">
        <w:rPr>
          <w:rFonts w:cs="Calibri"/>
          <w:sz w:val="24"/>
          <w:szCs w:val="24"/>
          <w:lang w:val="el-GR"/>
        </w:rPr>
        <w:t>στην</w:t>
      </w:r>
      <w:r w:rsidR="005E5EF5" w:rsidRPr="005E5EF5">
        <w:rPr>
          <w:rFonts w:cs="Calibri"/>
          <w:sz w:val="24"/>
          <w:szCs w:val="24"/>
          <w:lang w:val="el-GR"/>
        </w:rPr>
        <w:t xml:space="preserve"> </w:t>
      </w:r>
      <w:r w:rsidR="005E5EF5">
        <w:rPr>
          <w:rFonts w:cs="Calibri"/>
          <w:sz w:val="24"/>
          <w:szCs w:val="24"/>
          <w:lang w:val="el-GR"/>
        </w:rPr>
        <w:t>καθημερι</w:t>
      </w:r>
      <w:r w:rsidR="008F7CF7">
        <w:rPr>
          <w:rFonts w:cs="Calibri"/>
          <w:sz w:val="24"/>
          <w:szCs w:val="24"/>
          <w:lang w:val="el-GR"/>
        </w:rPr>
        <w:t>ν</w:t>
      </w:r>
      <w:r w:rsidR="005E5EF5">
        <w:rPr>
          <w:rFonts w:cs="Calibri"/>
          <w:sz w:val="24"/>
          <w:szCs w:val="24"/>
          <w:lang w:val="el-GR"/>
        </w:rPr>
        <w:t xml:space="preserve">ή εργασία </w:t>
      </w:r>
      <w:r w:rsidR="00220066" w:rsidRPr="005E5EF5">
        <w:rPr>
          <w:rFonts w:cs="Calibri"/>
          <w:sz w:val="24"/>
          <w:szCs w:val="24"/>
          <w:lang w:val="el-GR"/>
        </w:rPr>
        <w:t>(</w:t>
      </w:r>
      <w:r w:rsidR="005E5EF5">
        <w:rPr>
          <w:rFonts w:cs="Calibri"/>
          <w:sz w:val="24"/>
          <w:szCs w:val="24"/>
          <w:lang w:val="el-GR"/>
        </w:rPr>
        <w:t>π</w:t>
      </w:r>
      <w:r w:rsidR="00220066" w:rsidRPr="005E5EF5">
        <w:rPr>
          <w:rFonts w:cs="Calibri"/>
          <w:sz w:val="24"/>
          <w:szCs w:val="24"/>
          <w:lang w:val="el-GR"/>
        </w:rPr>
        <w:t>.</w:t>
      </w:r>
      <w:r w:rsidR="005E5EF5">
        <w:rPr>
          <w:rFonts w:cs="Calibri"/>
          <w:sz w:val="24"/>
          <w:szCs w:val="24"/>
          <w:lang w:val="el-GR"/>
        </w:rPr>
        <w:t>χ</w:t>
      </w:r>
      <w:r w:rsidR="00220066" w:rsidRPr="005E5EF5">
        <w:rPr>
          <w:rFonts w:cs="Calibri"/>
          <w:sz w:val="24"/>
          <w:szCs w:val="24"/>
          <w:lang w:val="el-GR"/>
        </w:rPr>
        <w:t xml:space="preserve">. </w:t>
      </w:r>
      <w:r w:rsidR="005E5EF5">
        <w:rPr>
          <w:rFonts w:cs="Calibri"/>
          <w:sz w:val="24"/>
          <w:szCs w:val="24"/>
          <w:lang w:val="el-GR"/>
        </w:rPr>
        <w:t>στις επαφές με το κοινό</w:t>
      </w:r>
      <w:r w:rsidR="00220066" w:rsidRPr="005E5EF5">
        <w:rPr>
          <w:rFonts w:cs="Calibri"/>
          <w:sz w:val="24"/>
          <w:szCs w:val="24"/>
          <w:lang w:val="el-GR"/>
        </w:rPr>
        <w:t xml:space="preserve">, </w:t>
      </w:r>
      <w:r w:rsidR="005E5EF5">
        <w:rPr>
          <w:rFonts w:cs="Calibri"/>
          <w:sz w:val="24"/>
          <w:szCs w:val="24"/>
          <w:lang w:val="el-GR"/>
        </w:rPr>
        <w:t>στην δημιουργία ενός πιο ετερογενούς περιβάλλοντος</w:t>
      </w:r>
      <w:r w:rsidR="00220066" w:rsidRPr="005E5EF5">
        <w:rPr>
          <w:rFonts w:cs="Calibri"/>
          <w:sz w:val="24"/>
          <w:szCs w:val="24"/>
          <w:lang w:val="el-GR"/>
        </w:rPr>
        <w:t xml:space="preserve"> </w:t>
      </w:r>
      <w:r w:rsidR="005E5EF5">
        <w:rPr>
          <w:rFonts w:cs="Calibri"/>
          <w:sz w:val="24"/>
          <w:szCs w:val="24"/>
          <w:lang w:val="el-GR"/>
        </w:rPr>
        <w:t xml:space="preserve">σε κάποια τμήματα της </w:t>
      </w:r>
      <w:r w:rsidR="009C4E34">
        <w:rPr>
          <w:rFonts w:cs="Calibri"/>
          <w:sz w:val="24"/>
          <w:szCs w:val="24"/>
          <w:lang w:val="el-GR"/>
        </w:rPr>
        <w:t>Αστυνομία</w:t>
      </w:r>
      <w:r w:rsidR="005E5EF5">
        <w:rPr>
          <w:rFonts w:cs="Calibri"/>
          <w:sz w:val="24"/>
          <w:szCs w:val="24"/>
          <w:lang w:val="el-GR"/>
        </w:rPr>
        <w:t>ς</w:t>
      </w:r>
      <w:r w:rsidR="00220066" w:rsidRPr="005E5EF5">
        <w:rPr>
          <w:rFonts w:cs="Calibri"/>
          <w:sz w:val="24"/>
          <w:szCs w:val="24"/>
          <w:lang w:val="el-GR"/>
        </w:rPr>
        <w:t xml:space="preserve"> </w:t>
      </w:r>
      <w:r w:rsidR="005E5EF5">
        <w:rPr>
          <w:rFonts w:cs="Calibri"/>
          <w:sz w:val="24"/>
          <w:szCs w:val="24"/>
          <w:lang w:val="el-GR"/>
        </w:rPr>
        <w:t>που θα μπορούσε να αντιμετωπίσει</w:t>
      </w:r>
      <w:r w:rsidR="005E5EF5" w:rsidRPr="005E5EF5">
        <w:rPr>
          <w:rFonts w:cs="Calibri"/>
          <w:sz w:val="24"/>
          <w:szCs w:val="24"/>
          <w:lang w:val="el-GR"/>
        </w:rPr>
        <w:t xml:space="preserve"> </w:t>
      </w:r>
      <w:r w:rsidR="005E5EF5">
        <w:rPr>
          <w:rFonts w:cs="Calibri"/>
          <w:sz w:val="24"/>
          <w:szCs w:val="24"/>
          <w:lang w:val="el-GR"/>
        </w:rPr>
        <w:t>έν</w:t>
      </w:r>
      <w:r w:rsidR="008F7CF7">
        <w:rPr>
          <w:rFonts w:cs="Calibri"/>
          <w:sz w:val="24"/>
          <w:szCs w:val="24"/>
          <w:lang w:val="el-GR"/>
        </w:rPr>
        <w:t>α</w:t>
      </w:r>
      <w:r w:rsidR="005E5EF5">
        <w:rPr>
          <w:rFonts w:cs="Calibri"/>
          <w:sz w:val="24"/>
          <w:szCs w:val="24"/>
          <w:lang w:val="el-GR"/>
        </w:rPr>
        <w:t xml:space="preserve"> πιθανό κώδικα σιωπής</w:t>
      </w:r>
      <w:r w:rsidR="00220066" w:rsidRPr="005E5EF5">
        <w:rPr>
          <w:rFonts w:cs="Calibri"/>
          <w:sz w:val="24"/>
          <w:szCs w:val="24"/>
          <w:lang w:val="el-GR"/>
        </w:rPr>
        <w:t xml:space="preserve">, </w:t>
      </w:r>
      <w:r w:rsidR="005E5EF5">
        <w:rPr>
          <w:rFonts w:cs="Calibri"/>
          <w:sz w:val="24"/>
          <w:szCs w:val="24"/>
          <w:lang w:val="el-GR"/>
        </w:rPr>
        <w:t xml:space="preserve">αναπτύσσοντας περαιτέρω τις </w:t>
      </w:r>
      <w:proofErr w:type="spellStart"/>
      <w:r w:rsidR="005E5EF5">
        <w:rPr>
          <w:rFonts w:cs="Calibri"/>
          <w:sz w:val="24"/>
          <w:szCs w:val="24"/>
          <w:lang w:val="el-GR"/>
        </w:rPr>
        <w:t>ρουτίνες</w:t>
      </w:r>
      <w:proofErr w:type="spellEnd"/>
      <w:r w:rsidR="005E5EF5">
        <w:rPr>
          <w:rFonts w:cs="Calibri"/>
          <w:sz w:val="24"/>
          <w:szCs w:val="24"/>
          <w:lang w:val="el-GR"/>
        </w:rPr>
        <w:t xml:space="preserve"> των πολλαπλών ματιών</w:t>
      </w:r>
      <w:r w:rsidR="00220066" w:rsidRPr="005E5EF5">
        <w:rPr>
          <w:rFonts w:cs="Calibri"/>
          <w:sz w:val="24"/>
          <w:szCs w:val="24"/>
          <w:lang w:val="el-GR"/>
        </w:rPr>
        <w:t xml:space="preserve">, </w:t>
      </w:r>
      <w:r w:rsidR="005E5EF5">
        <w:rPr>
          <w:rFonts w:cs="Calibri"/>
          <w:sz w:val="24"/>
          <w:szCs w:val="24"/>
          <w:lang w:val="el-GR"/>
        </w:rPr>
        <w:t>κλπ</w:t>
      </w:r>
      <w:r w:rsidR="00220066" w:rsidRPr="005E5EF5">
        <w:rPr>
          <w:rFonts w:cs="Calibri"/>
          <w:sz w:val="24"/>
          <w:szCs w:val="24"/>
          <w:lang w:val="el-GR"/>
        </w:rPr>
        <w:t xml:space="preserve">.). </w:t>
      </w:r>
      <w:r w:rsidR="005E5EF5">
        <w:rPr>
          <w:rFonts w:cs="Calibri"/>
          <w:sz w:val="24"/>
          <w:szCs w:val="24"/>
          <w:lang w:val="el-GR"/>
        </w:rPr>
        <w:t>Σε</w:t>
      </w:r>
      <w:r w:rsidR="005E5EF5" w:rsidRPr="004D2521">
        <w:rPr>
          <w:rFonts w:cs="Calibri"/>
          <w:sz w:val="24"/>
          <w:szCs w:val="24"/>
          <w:lang w:val="el-GR"/>
        </w:rPr>
        <w:t xml:space="preserve"> </w:t>
      </w:r>
      <w:r w:rsidR="005E5EF5">
        <w:rPr>
          <w:rFonts w:cs="Calibri"/>
          <w:sz w:val="24"/>
          <w:szCs w:val="24"/>
          <w:lang w:val="el-GR"/>
        </w:rPr>
        <w:t>σχέση</w:t>
      </w:r>
      <w:r w:rsidR="005E5EF5" w:rsidRPr="004D2521">
        <w:rPr>
          <w:rFonts w:cs="Calibri"/>
          <w:sz w:val="24"/>
          <w:szCs w:val="24"/>
          <w:lang w:val="el-GR"/>
        </w:rPr>
        <w:t xml:space="preserve"> </w:t>
      </w:r>
      <w:proofErr w:type="spellStart"/>
      <w:r w:rsidR="005E5EF5">
        <w:rPr>
          <w:rFonts w:cs="Calibri"/>
          <w:sz w:val="24"/>
          <w:szCs w:val="24"/>
          <w:lang w:val="el-GR"/>
        </w:rPr>
        <w:t>μ</w:t>
      </w:r>
      <w:r w:rsidR="005E5EF5" w:rsidRPr="004D2521">
        <w:rPr>
          <w:rFonts w:cs="Calibri"/>
          <w:sz w:val="24"/>
          <w:szCs w:val="24"/>
          <w:lang w:val="el-GR"/>
        </w:rPr>
        <w:t>’</w:t>
      </w:r>
      <w:r w:rsidR="005E5EF5">
        <w:rPr>
          <w:rFonts w:cs="Calibri"/>
          <w:sz w:val="24"/>
          <w:szCs w:val="24"/>
          <w:lang w:val="el-GR"/>
        </w:rPr>
        <w:t>αυτό</w:t>
      </w:r>
      <w:proofErr w:type="spellEnd"/>
      <w:r w:rsidR="00220066" w:rsidRPr="004D2521">
        <w:rPr>
          <w:rFonts w:cs="Calibri"/>
          <w:sz w:val="24"/>
          <w:szCs w:val="24"/>
          <w:lang w:val="el-GR"/>
        </w:rPr>
        <w:t xml:space="preserve">, </w:t>
      </w:r>
      <w:r w:rsidR="005E5EF5">
        <w:rPr>
          <w:rFonts w:cs="Calibri"/>
          <w:sz w:val="24"/>
          <w:szCs w:val="24"/>
          <w:lang w:val="el-GR"/>
        </w:rPr>
        <w:t>η</w:t>
      </w:r>
      <w:r w:rsidR="00220066" w:rsidRPr="004D2521">
        <w:rPr>
          <w:rFonts w:cs="Calibri"/>
          <w:sz w:val="24"/>
          <w:szCs w:val="24"/>
          <w:lang w:val="el-GR"/>
        </w:rPr>
        <w:t xml:space="preserve"> </w:t>
      </w:r>
      <w:r w:rsidR="00220066" w:rsidRPr="000538B6">
        <w:rPr>
          <w:rFonts w:cs="Calibri"/>
          <w:sz w:val="24"/>
          <w:szCs w:val="24"/>
        </w:rPr>
        <w:t>GET</w:t>
      </w:r>
      <w:r w:rsidR="00220066" w:rsidRPr="004D2521">
        <w:rPr>
          <w:rFonts w:cs="Calibri"/>
          <w:sz w:val="24"/>
          <w:szCs w:val="24"/>
          <w:lang w:val="el-GR"/>
        </w:rPr>
        <w:t xml:space="preserve"> </w:t>
      </w:r>
      <w:r w:rsidR="004D2521">
        <w:rPr>
          <w:rFonts w:cs="Calibri"/>
          <w:sz w:val="24"/>
          <w:szCs w:val="24"/>
          <w:lang w:val="el-GR"/>
        </w:rPr>
        <w:t>θεωρεί</w:t>
      </w:r>
      <w:r w:rsidR="004D2521" w:rsidRPr="004D2521">
        <w:rPr>
          <w:rFonts w:cs="Calibri"/>
          <w:sz w:val="24"/>
          <w:szCs w:val="24"/>
          <w:lang w:val="el-GR"/>
        </w:rPr>
        <w:t xml:space="preserve"> </w:t>
      </w:r>
      <w:r w:rsidR="004D2521">
        <w:rPr>
          <w:rFonts w:cs="Calibri"/>
          <w:sz w:val="24"/>
          <w:szCs w:val="24"/>
          <w:lang w:val="el-GR"/>
        </w:rPr>
        <w:t>την</w:t>
      </w:r>
      <w:r w:rsidR="004D2521" w:rsidRPr="004D2521">
        <w:rPr>
          <w:rFonts w:cs="Calibri"/>
          <w:sz w:val="24"/>
          <w:szCs w:val="24"/>
          <w:lang w:val="el-GR"/>
        </w:rPr>
        <w:t xml:space="preserve"> </w:t>
      </w:r>
      <w:r w:rsidR="004D2521">
        <w:rPr>
          <w:rFonts w:cs="Calibri"/>
          <w:sz w:val="24"/>
          <w:szCs w:val="24"/>
          <w:lang w:val="el-GR"/>
        </w:rPr>
        <w:t>ποικιλομορφία</w:t>
      </w:r>
      <w:r w:rsidR="004D2521" w:rsidRPr="004D2521">
        <w:rPr>
          <w:rFonts w:cs="Calibri"/>
          <w:sz w:val="24"/>
          <w:szCs w:val="24"/>
          <w:lang w:val="el-GR"/>
        </w:rPr>
        <w:t xml:space="preserve"> </w:t>
      </w:r>
      <w:r w:rsidR="004D2521">
        <w:rPr>
          <w:rFonts w:cs="Calibri"/>
          <w:sz w:val="24"/>
          <w:szCs w:val="24"/>
          <w:lang w:val="el-GR"/>
        </w:rPr>
        <w:t>και</w:t>
      </w:r>
      <w:r w:rsidR="004D2521" w:rsidRPr="004D2521">
        <w:rPr>
          <w:rFonts w:cs="Calibri"/>
          <w:sz w:val="24"/>
          <w:szCs w:val="24"/>
          <w:lang w:val="el-GR"/>
        </w:rPr>
        <w:t xml:space="preserve"> </w:t>
      </w:r>
      <w:r w:rsidR="004D2521">
        <w:rPr>
          <w:rFonts w:cs="Calibri"/>
          <w:sz w:val="24"/>
          <w:szCs w:val="24"/>
          <w:lang w:val="el-GR"/>
        </w:rPr>
        <w:t>την</w:t>
      </w:r>
      <w:r w:rsidR="004D2521" w:rsidRPr="004D2521">
        <w:rPr>
          <w:rFonts w:cs="Calibri"/>
          <w:sz w:val="24"/>
          <w:szCs w:val="24"/>
          <w:lang w:val="el-GR"/>
        </w:rPr>
        <w:t xml:space="preserve"> </w:t>
      </w:r>
      <w:r w:rsidR="004D2521">
        <w:rPr>
          <w:rFonts w:cs="Calibri"/>
          <w:sz w:val="24"/>
          <w:szCs w:val="24"/>
          <w:lang w:val="el-GR"/>
        </w:rPr>
        <w:t>ισότητα</w:t>
      </w:r>
      <w:r w:rsidR="004D2521" w:rsidRPr="004D2521">
        <w:rPr>
          <w:rFonts w:cs="Calibri"/>
          <w:sz w:val="24"/>
          <w:szCs w:val="24"/>
          <w:lang w:val="el-GR"/>
        </w:rPr>
        <w:t xml:space="preserve"> </w:t>
      </w:r>
      <w:r w:rsidR="004D2521">
        <w:rPr>
          <w:rFonts w:cs="Calibri"/>
          <w:sz w:val="24"/>
          <w:szCs w:val="24"/>
          <w:lang w:val="el-GR"/>
        </w:rPr>
        <w:t>των</w:t>
      </w:r>
      <w:r w:rsidR="004D2521" w:rsidRPr="004D2521">
        <w:rPr>
          <w:rFonts w:cs="Calibri"/>
          <w:sz w:val="24"/>
          <w:szCs w:val="24"/>
          <w:lang w:val="el-GR"/>
        </w:rPr>
        <w:t xml:space="preserve"> </w:t>
      </w:r>
      <w:r w:rsidR="004D2521">
        <w:rPr>
          <w:rFonts w:cs="Calibri"/>
          <w:sz w:val="24"/>
          <w:szCs w:val="24"/>
          <w:lang w:val="el-GR"/>
        </w:rPr>
        <w:t>φύλων</w:t>
      </w:r>
      <w:r w:rsidR="00220066" w:rsidRPr="004D2521">
        <w:rPr>
          <w:rFonts w:cs="Calibri"/>
          <w:sz w:val="24"/>
          <w:szCs w:val="24"/>
          <w:lang w:val="el-GR"/>
        </w:rPr>
        <w:t xml:space="preserve"> </w:t>
      </w:r>
      <w:r w:rsidR="004D2521">
        <w:rPr>
          <w:rFonts w:cs="Calibri"/>
          <w:sz w:val="24"/>
          <w:szCs w:val="24"/>
          <w:lang w:val="el-GR"/>
        </w:rPr>
        <w:t>ένα</w:t>
      </w:r>
      <w:r w:rsidR="004D2521" w:rsidRPr="004D2521">
        <w:rPr>
          <w:rFonts w:cs="Calibri"/>
          <w:sz w:val="24"/>
          <w:szCs w:val="24"/>
          <w:lang w:val="el-GR"/>
        </w:rPr>
        <w:t xml:space="preserve"> </w:t>
      </w:r>
      <w:r w:rsidR="004D2521">
        <w:rPr>
          <w:rFonts w:cs="Calibri"/>
          <w:sz w:val="24"/>
          <w:szCs w:val="24"/>
          <w:lang w:val="el-GR"/>
        </w:rPr>
        <w:t xml:space="preserve">κύριο μηχανισμό στην πρόληψη της ομαδικής σκέψης και </w:t>
      </w:r>
      <w:r w:rsidR="000A1E9C">
        <w:rPr>
          <w:rFonts w:cs="Calibri"/>
          <w:sz w:val="24"/>
          <w:szCs w:val="24"/>
          <w:lang w:val="el-GR"/>
        </w:rPr>
        <w:t>κατά συνέπεια</w:t>
      </w:r>
      <w:r w:rsidR="004D2521">
        <w:rPr>
          <w:rFonts w:cs="Calibri"/>
          <w:sz w:val="24"/>
          <w:szCs w:val="24"/>
          <w:lang w:val="el-GR"/>
        </w:rPr>
        <w:t>, της διαφθοράς</w:t>
      </w:r>
      <w:r w:rsidR="00220066" w:rsidRPr="004D2521">
        <w:rPr>
          <w:rFonts w:cs="Calibri"/>
          <w:sz w:val="24"/>
          <w:szCs w:val="24"/>
          <w:lang w:val="el-GR"/>
        </w:rPr>
        <w:t xml:space="preserve">. </w:t>
      </w:r>
      <w:r w:rsidR="004D2521">
        <w:rPr>
          <w:rFonts w:cs="Calibri"/>
          <w:sz w:val="24"/>
          <w:szCs w:val="24"/>
          <w:lang w:val="el-GR"/>
        </w:rPr>
        <w:t>Ανάλογα</w:t>
      </w:r>
      <w:r w:rsidR="004D2521" w:rsidRPr="004D2521">
        <w:rPr>
          <w:rFonts w:cs="Calibri"/>
          <w:sz w:val="24"/>
          <w:szCs w:val="24"/>
          <w:lang w:val="el-GR"/>
        </w:rPr>
        <w:t>,</w:t>
      </w:r>
      <w:r w:rsidR="00220066" w:rsidRPr="004D2521">
        <w:rPr>
          <w:rFonts w:ascii="Calibri" w:hAnsi="Calibri" w:cstheme="minorHAnsi"/>
          <w:sz w:val="24"/>
          <w:szCs w:val="24"/>
          <w:lang w:val="el-GR"/>
        </w:rPr>
        <w:t xml:space="preserve"> </w:t>
      </w:r>
      <w:r w:rsidR="004D2521">
        <w:rPr>
          <w:rFonts w:ascii="Calibri" w:hAnsi="Calibri" w:cstheme="minorHAnsi"/>
          <w:sz w:val="24"/>
          <w:szCs w:val="24"/>
          <w:lang w:val="el-GR"/>
        </w:rPr>
        <w:t>γίνεται</w:t>
      </w:r>
      <w:r w:rsidR="004D2521" w:rsidRPr="004D2521">
        <w:rPr>
          <w:rFonts w:ascii="Calibri" w:hAnsi="Calibri" w:cstheme="minorHAnsi"/>
          <w:sz w:val="24"/>
          <w:szCs w:val="24"/>
          <w:lang w:val="el-GR"/>
        </w:rPr>
        <w:t xml:space="preserve"> </w:t>
      </w:r>
      <w:r w:rsidR="004D2521">
        <w:rPr>
          <w:rFonts w:ascii="Calibri" w:hAnsi="Calibri" w:cstheme="minorHAnsi"/>
          <w:sz w:val="24"/>
          <w:szCs w:val="24"/>
          <w:lang w:val="el-GR"/>
        </w:rPr>
        <w:t>μια</w:t>
      </w:r>
      <w:r w:rsidR="004D2521" w:rsidRPr="004D2521">
        <w:rPr>
          <w:rFonts w:ascii="Calibri" w:hAnsi="Calibri" w:cstheme="minorHAnsi"/>
          <w:sz w:val="24"/>
          <w:szCs w:val="24"/>
          <w:lang w:val="el-GR"/>
        </w:rPr>
        <w:t xml:space="preserve"> </w:t>
      </w:r>
      <w:r w:rsidR="004D2521">
        <w:rPr>
          <w:rFonts w:ascii="Calibri" w:hAnsi="Calibri" w:cstheme="minorHAnsi"/>
          <w:sz w:val="24"/>
          <w:szCs w:val="24"/>
          <w:lang w:val="el-GR"/>
        </w:rPr>
        <w:t>σύσταση</w:t>
      </w:r>
      <w:r w:rsidR="004D2521" w:rsidRPr="004D2521">
        <w:rPr>
          <w:rFonts w:ascii="Calibri" w:hAnsi="Calibri" w:cstheme="minorHAnsi"/>
          <w:sz w:val="24"/>
          <w:szCs w:val="24"/>
          <w:lang w:val="el-GR"/>
        </w:rPr>
        <w:t xml:space="preserve"> </w:t>
      </w:r>
      <w:r w:rsidR="004D2521">
        <w:rPr>
          <w:rFonts w:ascii="Calibri" w:hAnsi="Calibri" w:cstheme="minorHAnsi"/>
          <w:sz w:val="24"/>
          <w:szCs w:val="24"/>
          <w:lang w:val="el-GR"/>
        </w:rPr>
        <w:t>αργότερα στην έκθεση αυτή για</w:t>
      </w:r>
      <w:r w:rsidR="004D2521" w:rsidRPr="004D2521">
        <w:rPr>
          <w:rFonts w:ascii="Calibri" w:hAnsi="Calibri" w:cstheme="minorHAnsi"/>
          <w:sz w:val="24"/>
          <w:szCs w:val="24"/>
          <w:lang w:val="el-GR"/>
        </w:rPr>
        <w:t xml:space="preserve"> </w:t>
      </w:r>
      <w:r w:rsidR="004D2521">
        <w:rPr>
          <w:rFonts w:ascii="Calibri" w:hAnsi="Calibri" w:cstheme="minorHAnsi"/>
          <w:sz w:val="24"/>
          <w:szCs w:val="24"/>
          <w:lang w:val="el-GR"/>
        </w:rPr>
        <w:t>να</w:t>
      </w:r>
      <w:r w:rsidR="004D2521" w:rsidRPr="004D2521">
        <w:rPr>
          <w:rFonts w:ascii="Calibri" w:hAnsi="Calibri" w:cstheme="minorHAnsi"/>
          <w:sz w:val="24"/>
          <w:szCs w:val="24"/>
          <w:lang w:val="el-GR"/>
        </w:rPr>
        <w:t xml:space="preserve"> </w:t>
      </w:r>
      <w:r w:rsidR="00973266">
        <w:rPr>
          <w:rFonts w:ascii="Calibri" w:hAnsi="Calibri" w:cstheme="minorHAnsi"/>
          <w:sz w:val="24"/>
          <w:szCs w:val="24"/>
          <w:lang w:val="el-GR"/>
        </w:rPr>
        <w:t>δοθεί</w:t>
      </w:r>
      <w:r w:rsidR="004D2521" w:rsidRPr="004D2521">
        <w:rPr>
          <w:rFonts w:ascii="Calibri" w:hAnsi="Calibri" w:cstheme="minorHAnsi"/>
          <w:sz w:val="24"/>
          <w:szCs w:val="24"/>
          <w:lang w:val="el-GR"/>
        </w:rPr>
        <w:t xml:space="preserve"> </w:t>
      </w:r>
      <w:r w:rsidR="004D2521">
        <w:rPr>
          <w:rFonts w:ascii="Calibri" w:hAnsi="Calibri" w:cstheme="minorHAnsi"/>
          <w:sz w:val="24"/>
          <w:szCs w:val="24"/>
          <w:lang w:val="el-GR"/>
        </w:rPr>
        <w:t>ιδιαίτερη</w:t>
      </w:r>
      <w:r w:rsidR="004D2521" w:rsidRPr="004D2521">
        <w:rPr>
          <w:rFonts w:ascii="Calibri" w:hAnsi="Calibri" w:cstheme="minorHAnsi"/>
          <w:sz w:val="24"/>
          <w:szCs w:val="24"/>
          <w:lang w:val="el-GR"/>
        </w:rPr>
        <w:t xml:space="preserve"> </w:t>
      </w:r>
      <w:r w:rsidR="004D2521">
        <w:rPr>
          <w:rFonts w:ascii="Calibri" w:hAnsi="Calibri" w:cstheme="minorHAnsi"/>
          <w:sz w:val="24"/>
          <w:szCs w:val="24"/>
          <w:lang w:val="el-GR"/>
        </w:rPr>
        <w:t>προσοχή</w:t>
      </w:r>
      <w:r w:rsidR="00220066" w:rsidRPr="004D2521">
        <w:rPr>
          <w:rFonts w:ascii="Calibri" w:hAnsi="Calibri" w:cstheme="minorHAnsi"/>
          <w:sz w:val="24"/>
          <w:szCs w:val="24"/>
          <w:lang w:val="el-GR"/>
        </w:rPr>
        <w:t xml:space="preserve"> </w:t>
      </w:r>
      <w:r w:rsidR="004D2521">
        <w:rPr>
          <w:rFonts w:ascii="Calibri" w:hAnsi="Calibri" w:cstheme="minorHAnsi"/>
          <w:sz w:val="24"/>
          <w:szCs w:val="24"/>
          <w:lang w:val="el-GR"/>
        </w:rPr>
        <w:t>στην</w:t>
      </w:r>
      <w:r w:rsidR="004D2521" w:rsidRPr="004D2521">
        <w:rPr>
          <w:rFonts w:ascii="Calibri" w:hAnsi="Calibri" w:cstheme="minorHAnsi"/>
          <w:sz w:val="24"/>
          <w:szCs w:val="24"/>
          <w:lang w:val="el-GR"/>
        </w:rPr>
        <w:t xml:space="preserve"> </w:t>
      </w:r>
      <w:r w:rsidR="004D2521">
        <w:rPr>
          <w:rFonts w:ascii="Calibri" w:hAnsi="Calibri" w:cstheme="minorHAnsi"/>
          <w:sz w:val="24"/>
          <w:szCs w:val="24"/>
          <w:lang w:val="el-GR"/>
        </w:rPr>
        <w:t>ένταξη</w:t>
      </w:r>
      <w:r w:rsidR="004D2521" w:rsidRPr="004D2521">
        <w:rPr>
          <w:rFonts w:ascii="Calibri" w:hAnsi="Calibri" w:cstheme="minorHAnsi"/>
          <w:sz w:val="24"/>
          <w:szCs w:val="24"/>
          <w:lang w:val="el-GR"/>
        </w:rPr>
        <w:t xml:space="preserve"> </w:t>
      </w:r>
      <w:r w:rsidR="004D2521">
        <w:rPr>
          <w:rFonts w:ascii="Calibri" w:hAnsi="Calibri" w:cstheme="minorHAnsi"/>
          <w:sz w:val="24"/>
          <w:szCs w:val="24"/>
          <w:lang w:val="el-GR"/>
        </w:rPr>
        <w:t>γυναικών</w:t>
      </w:r>
      <w:r w:rsidR="004D2521" w:rsidRPr="004D2521">
        <w:rPr>
          <w:rFonts w:ascii="Calibri" w:hAnsi="Calibri" w:cstheme="minorHAnsi"/>
          <w:sz w:val="24"/>
          <w:szCs w:val="24"/>
          <w:lang w:val="el-GR"/>
        </w:rPr>
        <w:t xml:space="preserve"> </w:t>
      </w:r>
      <w:r w:rsidR="004D2521">
        <w:rPr>
          <w:rFonts w:ascii="Calibri" w:hAnsi="Calibri" w:cstheme="minorHAnsi"/>
          <w:sz w:val="24"/>
          <w:szCs w:val="24"/>
          <w:lang w:val="el-GR"/>
        </w:rPr>
        <w:t>σε</w:t>
      </w:r>
      <w:r w:rsidR="004D2521" w:rsidRPr="004D2521">
        <w:rPr>
          <w:rFonts w:ascii="Calibri" w:hAnsi="Calibri" w:cstheme="minorHAnsi"/>
          <w:sz w:val="24"/>
          <w:szCs w:val="24"/>
          <w:lang w:val="el-GR"/>
        </w:rPr>
        <w:t xml:space="preserve"> </w:t>
      </w:r>
      <w:r w:rsidR="004D2521">
        <w:rPr>
          <w:rFonts w:ascii="Calibri" w:hAnsi="Calibri" w:cstheme="minorHAnsi"/>
          <w:sz w:val="24"/>
          <w:szCs w:val="24"/>
          <w:lang w:val="el-GR"/>
        </w:rPr>
        <w:t>όλα</w:t>
      </w:r>
      <w:r w:rsidR="004D2521" w:rsidRPr="004D2521">
        <w:rPr>
          <w:rFonts w:ascii="Calibri" w:hAnsi="Calibri" w:cstheme="minorHAnsi"/>
          <w:sz w:val="24"/>
          <w:szCs w:val="24"/>
          <w:lang w:val="el-GR"/>
        </w:rPr>
        <w:t xml:space="preserve"> </w:t>
      </w:r>
      <w:r w:rsidR="004D2521">
        <w:rPr>
          <w:rFonts w:ascii="Calibri" w:hAnsi="Calibri" w:cstheme="minorHAnsi"/>
          <w:sz w:val="24"/>
          <w:szCs w:val="24"/>
          <w:lang w:val="el-GR"/>
        </w:rPr>
        <w:t>τα</w:t>
      </w:r>
      <w:r w:rsidR="004D2521" w:rsidRPr="004D2521">
        <w:rPr>
          <w:rFonts w:ascii="Calibri" w:hAnsi="Calibri" w:cstheme="minorHAnsi"/>
          <w:sz w:val="24"/>
          <w:szCs w:val="24"/>
          <w:lang w:val="el-GR"/>
        </w:rPr>
        <w:t xml:space="preserve"> </w:t>
      </w:r>
      <w:r w:rsidR="004D2521">
        <w:rPr>
          <w:rFonts w:ascii="Calibri" w:hAnsi="Calibri" w:cstheme="minorHAnsi"/>
          <w:sz w:val="24"/>
          <w:szCs w:val="24"/>
          <w:lang w:val="el-GR"/>
        </w:rPr>
        <w:t xml:space="preserve">επίπεδα στην </w:t>
      </w:r>
      <w:r w:rsidR="009C4E34">
        <w:rPr>
          <w:rFonts w:ascii="Calibri" w:hAnsi="Calibri" w:cstheme="minorHAnsi"/>
          <w:sz w:val="24"/>
          <w:szCs w:val="24"/>
          <w:lang w:val="el-GR"/>
        </w:rPr>
        <w:t>Αστυνομία</w:t>
      </w:r>
      <w:r w:rsidR="00220066" w:rsidRPr="004D2521">
        <w:rPr>
          <w:rFonts w:ascii="Calibri" w:hAnsi="Calibri" w:cstheme="minorHAnsi"/>
          <w:sz w:val="24"/>
          <w:szCs w:val="24"/>
          <w:lang w:val="el-GR"/>
        </w:rPr>
        <w:t xml:space="preserve"> (</w:t>
      </w:r>
      <w:r w:rsidR="004D2521">
        <w:rPr>
          <w:rFonts w:ascii="Calibri" w:hAnsi="Calibri" w:cstheme="minorHAnsi"/>
          <w:sz w:val="24"/>
          <w:szCs w:val="24"/>
          <w:lang w:val="el-GR"/>
        </w:rPr>
        <w:t>βλέπε παράγραφο</w:t>
      </w:r>
      <w:r w:rsidR="00BB61F5" w:rsidRPr="000538B6">
        <w:rPr>
          <w:rFonts w:ascii="Calibri" w:hAnsi="Calibri" w:cstheme="minorHAnsi"/>
          <w:sz w:val="24"/>
          <w:szCs w:val="24"/>
        </w:rPr>
        <w:t> </w:t>
      </w:r>
      <w:r w:rsidR="00BB61F5" w:rsidRPr="004D2521">
        <w:rPr>
          <w:rFonts w:ascii="Calibri" w:hAnsi="Calibri" w:cstheme="minorHAnsi"/>
          <w:sz w:val="24"/>
          <w:szCs w:val="24"/>
          <w:lang w:val="el-GR"/>
        </w:rPr>
        <w:t>19</w:t>
      </w:r>
      <w:r w:rsidR="00BE416A" w:rsidRPr="004D2521">
        <w:rPr>
          <w:rFonts w:ascii="Calibri" w:hAnsi="Calibri" w:cstheme="minorHAnsi"/>
          <w:sz w:val="24"/>
          <w:szCs w:val="24"/>
          <w:lang w:val="el-GR"/>
        </w:rPr>
        <w:t>6</w:t>
      </w:r>
      <w:r w:rsidR="00220066" w:rsidRPr="004D2521">
        <w:rPr>
          <w:rFonts w:ascii="Calibri" w:hAnsi="Calibri" w:cstheme="minorHAnsi"/>
          <w:sz w:val="24"/>
          <w:szCs w:val="24"/>
          <w:lang w:val="el-GR"/>
        </w:rPr>
        <w:t xml:space="preserve">). </w:t>
      </w:r>
    </w:p>
    <w:p w14:paraId="450C0BEA" w14:textId="77777777" w:rsidR="00220066" w:rsidRPr="004D2521" w:rsidRDefault="00220066" w:rsidP="00220066">
      <w:pPr>
        <w:widowControl w:val="0"/>
        <w:tabs>
          <w:tab w:val="left" w:pos="709"/>
        </w:tabs>
        <w:rPr>
          <w:rFonts w:cstheme="minorHAnsi"/>
          <w:sz w:val="24"/>
          <w:szCs w:val="24"/>
          <w:lang w:val="el-GR"/>
        </w:rPr>
      </w:pPr>
    </w:p>
    <w:p w14:paraId="7A31F9E1" w14:textId="714FB2B0" w:rsidR="00220066" w:rsidRPr="004D2521" w:rsidRDefault="004D2521" w:rsidP="00220066">
      <w:pPr>
        <w:widowControl w:val="0"/>
        <w:numPr>
          <w:ilvl w:val="0"/>
          <w:numId w:val="1"/>
        </w:numPr>
        <w:tabs>
          <w:tab w:val="clear" w:pos="6095"/>
          <w:tab w:val="left" w:pos="709"/>
        </w:tabs>
        <w:ind w:left="0" w:firstLine="0"/>
        <w:rPr>
          <w:rFonts w:cstheme="minorHAnsi"/>
          <w:sz w:val="24"/>
          <w:szCs w:val="24"/>
          <w:lang w:val="el-GR"/>
        </w:rPr>
      </w:pPr>
      <w:r>
        <w:rPr>
          <w:rFonts w:eastAsia="Times New Roman" w:cstheme="minorHAnsi"/>
          <w:sz w:val="24"/>
          <w:szCs w:val="24"/>
          <w:lang w:val="el-GR" w:eastAsia="fr-FR"/>
        </w:rPr>
        <w:t>Η</w:t>
      </w:r>
      <w:r w:rsidRPr="004D2521">
        <w:rPr>
          <w:rFonts w:eastAsia="Times New Roman" w:cstheme="minorHAnsi"/>
          <w:sz w:val="24"/>
          <w:szCs w:val="24"/>
          <w:lang w:val="el-GR" w:eastAsia="fr-FR"/>
        </w:rPr>
        <w:t xml:space="preserve"> </w:t>
      </w:r>
      <w:r>
        <w:rPr>
          <w:rFonts w:eastAsia="Times New Roman" w:cstheme="minorHAnsi"/>
          <w:sz w:val="24"/>
          <w:szCs w:val="24"/>
          <w:lang w:val="el-GR" w:eastAsia="fr-FR"/>
        </w:rPr>
        <w:t>οργάνωση</w:t>
      </w:r>
      <w:r w:rsidRPr="004D2521">
        <w:rPr>
          <w:rFonts w:eastAsia="Times New Roman" w:cstheme="minorHAnsi"/>
          <w:sz w:val="24"/>
          <w:szCs w:val="24"/>
          <w:lang w:val="el-GR" w:eastAsia="fr-FR"/>
        </w:rPr>
        <w:t xml:space="preserve"> </w:t>
      </w:r>
      <w:r>
        <w:rPr>
          <w:rFonts w:eastAsia="Times New Roman" w:cstheme="minorHAnsi"/>
          <w:sz w:val="24"/>
          <w:szCs w:val="24"/>
          <w:lang w:val="el-GR" w:eastAsia="fr-FR"/>
        </w:rPr>
        <w:t>και</w:t>
      </w:r>
      <w:r w:rsidRPr="004D2521">
        <w:rPr>
          <w:rFonts w:eastAsia="Times New Roman" w:cstheme="minorHAnsi"/>
          <w:sz w:val="24"/>
          <w:szCs w:val="24"/>
          <w:lang w:val="el-GR" w:eastAsia="fr-FR"/>
        </w:rPr>
        <w:t xml:space="preserve"> </w:t>
      </w:r>
      <w:r>
        <w:rPr>
          <w:rFonts w:eastAsia="Times New Roman" w:cstheme="minorHAnsi"/>
          <w:sz w:val="24"/>
          <w:szCs w:val="24"/>
          <w:lang w:val="el-GR" w:eastAsia="fr-FR"/>
        </w:rPr>
        <w:t>οι</w:t>
      </w:r>
      <w:r w:rsidRPr="004D2521">
        <w:rPr>
          <w:rFonts w:eastAsia="Times New Roman" w:cstheme="minorHAnsi"/>
          <w:sz w:val="24"/>
          <w:szCs w:val="24"/>
          <w:lang w:val="el-GR" w:eastAsia="fr-FR"/>
        </w:rPr>
        <w:t xml:space="preserve"> </w:t>
      </w:r>
      <w:r>
        <w:rPr>
          <w:rFonts w:eastAsia="Times New Roman" w:cstheme="minorHAnsi"/>
          <w:sz w:val="24"/>
          <w:szCs w:val="24"/>
          <w:lang w:val="el-GR" w:eastAsia="fr-FR"/>
        </w:rPr>
        <w:t>δραστηριότητες</w:t>
      </w:r>
      <w:r w:rsidRPr="004D2521">
        <w:rPr>
          <w:rFonts w:eastAsia="Times New Roman" w:cstheme="minorHAnsi"/>
          <w:sz w:val="24"/>
          <w:szCs w:val="24"/>
          <w:lang w:val="el-GR" w:eastAsia="fr-FR"/>
        </w:rPr>
        <w:t xml:space="preserve"> </w:t>
      </w:r>
      <w:r>
        <w:rPr>
          <w:rFonts w:eastAsia="Times New Roman" w:cstheme="minorHAnsi"/>
          <w:sz w:val="24"/>
          <w:szCs w:val="24"/>
          <w:lang w:val="el-GR" w:eastAsia="fr-FR"/>
        </w:rPr>
        <w:t>της</w:t>
      </w:r>
      <w:r w:rsidRPr="004D2521">
        <w:rPr>
          <w:rFonts w:eastAsia="Times New Roman" w:cstheme="minorHAnsi"/>
          <w:sz w:val="24"/>
          <w:szCs w:val="24"/>
          <w:lang w:val="el-GR" w:eastAsia="fr-FR"/>
        </w:rPr>
        <w:t xml:space="preserve"> </w:t>
      </w:r>
      <w:r w:rsidR="009C4E34">
        <w:rPr>
          <w:rFonts w:eastAsia="Times New Roman" w:cstheme="minorHAnsi"/>
          <w:sz w:val="24"/>
          <w:szCs w:val="24"/>
          <w:lang w:val="el-GR" w:eastAsia="fr-FR"/>
        </w:rPr>
        <w:t>Αστυνομία</w:t>
      </w:r>
      <w:r>
        <w:rPr>
          <w:rFonts w:eastAsia="Times New Roman" w:cstheme="minorHAnsi"/>
          <w:sz w:val="24"/>
          <w:szCs w:val="24"/>
          <w:lang w:val="el-GR" w:eastAsia="fr-FR"/>
        </w:rPr>
        <w:t>ς</w:t>
      </w:r>
      <w:r w:rsidR="00220066" w:rsidRPr="004D2521">
        <w:rPr>
          <w:rFonts w:cstheme="minorHAnsi"/>
          <w:sz w:val="24"/>
          <w:szCs w:val="24"/>
          <w:lang w:val="el-GR" w:eastAsia="fr-FR"/>
        </w:rPr>
        <w:t xml:space="preserve"> </w:t>
      </w:r>
      <w:proofErr w:type="spellStart"/>
      <w:r>
        <w:rPr>
          <w:rFonts w:cstheme="minorHAnsi"/>
          <w:sz w:val="24"/>
          <w:szCs w:val="24"/>
          <w:lang w:val="el-GR" w:eastAsia="fr-FR"/>
        </w:rPr>
        <w:t>διέπονται</w:t>
      </w:r>
      <w:proofErr w:type="spellEnd"/>
      <w:r w:rsidRPr="004D2521">
        <w:rPr>
          <w:rFonts w:cstheme="minorHAnsi"/>
          <w:sz w:val="24"/>
          <w:szCs w:val="24"/>
          <w:lang w:val="el-GR" w:eastAsia="fr-FR"/>
        </w:rPr>
        <w:t xml:space="preserve"> </w:t>
      </w:r>
      <w:r>
        <w:rPr>
          <w:rFonts w:cstheme="minorHAnsi"/>
          <w:sz w:val="24"/>
          <w:szCs w:val="24"/>
          <w:lang w:val="el-GR" w:eastAsia="fr-FR"/>
        </w:rPr>
        <w:t>από</w:t>
      </w:r>
      <w:r w:rsidRPr="004D2521">
        <w:rPr>
          <w:rFonts w:cstheme="minorHAnsi"/>
          <w:sz w:val="24"/>
          <w:szCs w:val="24"/>
          <w:lang w:val="el-GR" w:eastAsia="fr-FR"/>
        </w:rPr>
        <w:t xml:space="preserve"> </w:t>
      </w:r>
      <w:r>
        <w:rPr>
          <w:rFonts w:cstheme="minorHAnsi"/>
          <w:sz w:val="24"/>
          <w:szCs w:val="24"/>
          <w:lang w:val="el-GR" w:eastAsia="fr-FR"/>
        </w:rPr>
        <w:t>την</w:t>
      </w:r>
      <w:r w:rsidRPr="004D2521">
        <w:rPr>
          <w:rFonts w:cstheme="minorHAnsi"/>
          <w:sz w:val="24"/>
          <w:szCs w:val="24"/>
          <w:lang w:val="el-GR" w:eastAsia="fr-FR"/>
        </w:rPr>
        <w:t xml:space="preserve"> </w:t>
      </w:r>
      <w:r>
        <w:rPr>
          <w:rFonts w:cstheme="minorHAnsi"/>
          <w:sz w:val="24"/>
          <w:szCs w:val="24"/>
          <w:lang w:val="el-GR" w:eastAsia="fr-FR"/>
        </w:rPr>
        <w:t>ακόλουθη</w:t>
      </w:r>
      <w:r w:rsidRPr="004D2521">
        <w:rPr>
          <w:rFonts w:cstheme="minorHAnsi"/>
          <w:sz w:val="24"/>
          <w:szCs w:val="24"/>
          <w:lang w:val="el-GR" w:eastAsia="fr-FR"/>
        </w:rPr>
        <w:t xml:space="preserve"> </w:t>
      </w:r>
      <w:r>
        <w:rPr>
          <w:rFonts w:cstheme="minorHAnsi"/>
          <w:sz w:val="24"/>
          <w:szCs w:val="24"/>
          <w:lang w:val="el-GR" w:eastAsia="fr-FR"/>
        </w:rPr>
        <w:t>νομ</w:t>
      </w:r>
      <w:r w:rsidR="000A1E9C">
        <w:rPr>
          <w:rFonts w:cstheme="minorHAnsi"/>
          <w:sz w:val="24"/>
          <w:szCs w:val="24"/>
          <w:lang w:val="el-GR" w:eastAsia="fr-FR"/>
        </w:rPr>
        <w:t>ο</w:t>
      </w:r>
      <w:r>
        <w:rPr>
          <w:rFonts w:cstheme="minorHAnsi"/>
          <w:sz w:val="24"/>
          <w:szCs w:val="24"/>
          <w:lang w:val="el-GR" w:eastAsia="fr-FR"/>
        </w:rPr>
        <w:t>θεσία</w:t>
      </w:r>
      <w:r w:rsidRPr="004D2521">
        <w:rPr>
          <w:rFonts w:cstheme="minorHAnsi"/>
          <w:sz w:val="24"/>
          <w:szCs w:val="24"/>
          <w:lang w:val="el-GR" w:eastAsia="fr-FR"/>
        </w:rPr>
        <w:t xml:space="preserve"> </w:t>
      </w:r>
      <w:r>
        <w:rPr>
          <w:rFonts w:cstheme="minorHAnsi"/>
          <w:sz w:val="24"/>
          <w:szCs w:val="24"/>
          <w:lang w:val="el-GR" w:eastAsia="fr-FR"/>
        </w:rPr>
        <w:t>και</w:t>
      </w:r>
      <w:r w:rsidRPr="004D2521">
        <w:rPr>
          <w:rFonts w:cstheme="minorHAnsi"/>
          <w:sz w:val="24"/>
          <w:szCs w:val="24"/>
          <w:lang w:val="el-GR" w:eastAsia="fr-FR"/>
        </w:rPr>
        <w:t xml:space="preserve"> </w:t>
      </w:r>
      <w:r>
        <w:rPr>
          <w:rFonts w:cstheme="minorHAnsi"/>
          <w:sz w:val="24"/>
          <w:szCs w:val="24"/>
          <w:lang w:val="el-GR" w:eastAsia="fr-FR"/>
        </w:rPr>
        <w:t>κανονισμούς</w:t>
      </w:r>
      <w:r w:rsidR="00220066" w:rsidRPr="004D2521">
        <w:rPr>
          <w:rFonts w:cstheme="minorHAnsi"/>
          <w:sz w:val="24"/>
          <w:szCs w:val="24"/>
          <w:lang w:val="el-GR" w:eastAsia="fr-FR"/>
        </w:rPr>
        <w:t xml:space="preserve">:  </w:t>
      </w:r>
      <w:r>
        <w:rPr>
          <w:rFonts w:cstheme="minorHAnsi"/>
          <w:sz w:val="24"/>
          <w:szCs w:val="24"/>
          <w:lang w:val="el-GR" w:eastAsia="fr-FR"/>
        </w:rPr>
        <w:t>Το</w:t>
      </w:r>
      <w:r w:rsidRPr="004D2521">
        <w:rPr>
          <w:rFonts w:cstheme="minorHAnsi"/>
          <w:sz w:val="24"/>
          <w:szCs w:val="24"/>
          <w:lang w:val="el-GR" w:eastAsia="fr-FR"/>
        </w:rPr>
        <w:t xml:space="preserve"> </w:t>
      </w:r>
      <w:r>
        <w:rPr>
          <w:rFonts w:cstheme="minorHAnsi"/>
          <w:sz w:val="24"/>
          <w:szCs w:val="24"/>
          <w:lang w:val="el-GR" w:eastAsia="fr-FR"/>
        </w:rPr>
        <w:t>Σύνταγμα</w:t>
      </w:r>
      <w:r w:rsidR="00220066" w:rsidRPr="004D2521">
        <w:rPr>
          <w:rFonts w:cstheme="minorHAnsi"/>
          <w:sz w:val="24"/>
          <w:szCs w:val="24"/>
          <w:lang w:val="el-GR" w:eastAsia="fr-FR"/>
        </w:rPr>
        <w:t xml:space="preserve">, </w:t>
      </w:r>
      <w:r>
        <w:rPr>
          <w:rFonts w:cstheme="minorHAnsi"/>
          <w:sz w:val="24"/>
          <w:szCs w:val="24"/>
          <w:lang w:val="el-GR" w:eastAsia="fr-FR"/>
        </w:rPr>
        <w:t>ο</w:t>
      </w:r>
      <w:r w:rsidRPr="004D2521">
        <w:rPr>
          <w:rFonts w:cstheme="minorHAnsi"/>
          <w:sz w:val="24"/>
          <w:szCs w:val="24"/>
          <w:lang w:val="el-GR" w:eastAsia="fr-FR"/>
        </w:rPr>
        <w:t xml:space="preserve"> </w:t>
      </w:r>
      <w:r>
        <w:rPr>
          <w:rFonts w:cstheme="minorHAnsi"/>
          <w:sz w:val="24"/>
          <w:szCs w:val="24"/>
          <w:lang w:val="el-GR" w:eastAsia="fr-FR"/>
        </w:rPr>
        <w:t>Νόμος</w:t>
      </w:r>
      <w:r w:rsidRPr="004D2521">
        <w:rPr>
          <w:rFonts w:cstheme="minorHAnsi"/>
          <w:sz w:val="24"/>
          <w:szCs w:val="24"/>
          <w:lang w:val="el-GR" w:eastAsia="fr-FR"/>
        </w:rPr>
        <w:t xml:space="preserve"> </w:t>
      </w:r>
      <w:r>
        <w:rPr>
          <w:rFonts w:cstheme="minorHAnsi"/>
          <w:sz w:val="24"/>
          <w:szCs w:val="24"/>
          <w:lang w:val="el-GR" w:eastAsia="fr-FR"/>
        </w:rPr>
        <w:t>περί</w:t>
      </w:r>
      <w:r w:rsidRPr="004D2521">
        <w:rPr>
          <w:rFonts w:cstheme="minorHAnsi"/>
          <w:sz w:val="24"/>
          <w:szCs w:val="24"/>
          <w:lang w:val="el-GR" w:eastAsia="fr-FR"/>
        </w:rPr>
        <w:t xml:space="preserve"> </w:t>
      </w:r>
      <w:r>
        <w:rPr>
          <w:rFonts w:cstheme="minorHAnsi"/>
          <w:sz w:val="24"/>
          <w:szCs w:val="24"/>
          <w:lang w:val="el-GR" w:eastAsia="fr-FR"/>
        </w:rPr>
        <w:t>της</w:t>
      </w:r>
      <w:r w:rsidRPr="004D2521">
        <w:rPr>
          <w:rFonts w:cstheme="minorHAnsi"/>
          <w:sz w:val="24"/>
          <w:szCs w:val="24"/>
          <w:lang w:val="el-GR" w:eastAsia="fr-FR"/>
        </w:rPr>
        <w:t xml:space="preserve"> </w:t>
      </w:r>
      <w:r w:rsidR="009C4E34">
        <w:rPr>
          <w:rFonts w:cstheme="minorHAnsi"/>
          <w:sz w:val="24"/>
          <w:szCs w:val="24"/>
          <w:lang w:val="el-GR" w:eastAsia="fr-FR"/>
        </w:rPr>
        <w:t>Αστυνομία</w:t>
      </w:r>
      <w:r>
        <w:rPr>
          <w:rFonts w:cstheme="minorHAnsi"/>
          <w:sz w:val="24"/>
          <w:szCs w:val="24"/>
          <w:lang w:val="el-GR" w:eastAsia="fr-FR"/>
        </w:rPr>
        <w:t>ς</w:t>
      </w:r>
      <w:r w:rsidR="00220066" w:rsidRPr="004D2521">
        <w:rPr>
          <w:rFonts w:cstheme="minorHAnsi"/>
          <w:sz w:val="24"/>
          <w:szCs w:val="24"/>
          <w:lang w:val="el-GR" w:eastAsia="fr-FR"/>
        </w:rPr>
        <w:t xml:space="preserve"> 73(</w:t>
      </w:r>
      <w:r w:rsidR="00220066" w:rsidRPr="000538B6">
        <w:rPr>
          <w:rFonts w:cstheme="minorHAnsi"/>
          <w:sz w:val="24"/>
          <w:szCs w:val="24"/>
          <w:lang w:eastAsia="fr-FR"/>
        </w:rPr>
        <w:t>I</w:t>
      </w:r>
      <w:r w:rsidR="00220066" w:rsidRPr="004D2521">
        <w:rPr>
          <w:rFonts w:cstheme="minorHAnsi"/>
          <w:sz w:val="24"/>
          <w:szCs w:val="24"/>
          <w:lang w:val="el-GR" w:eastAsia="fr-FR"/>
        </w:rPr>
        <w:t xml:space="preserve">)/2004 – </w:t>
      </w:r>
      <w:r>
        <w:rPr>
          <w:rFonts w:cstheme="minorHAnsi"/>
          <w:sz w:val="24"/>
          <w:szCs w:val="24"/>
          <w:lang w:val="el-GR" w:eastAsia="fr-FR"/>
        </w:rPr>
        <w:t>όπως</w:t>
      </w:r>
      <w:r w:rsidRPr="004D2521">
        <w:rPr>
          <w:rFonts w:cstheme="minorHAnsi"/>
          <w:sz w:val="24"/>
          <w:szCs w:val="24"/>
          <w:lang w:val="el-GR" w:eastAsia="fr-FR"/>
        </w:rPr>
        <w:t xml:space="preserve"> </w:t>
      </w:r>
      <w:r>
        <w:rPr>
          <w:rFonts w:cstheme="minorHAnsi"/>
          <w:sz w:val="24"/>
          <w:szCs w:val="24"/>
          <w:lang w:val="el-GR" w:eastAsia="fr-FR"/>
        </w:rPr>
        <w:t>τροποποιήθηκε</w:t>
      </w:r>
      <w:r w:rsidR="00220066" w:rsidRPr="004D2521">
        <w:rPr>
          <w:rFonts w:cstheme="minorHAnsi"/>
          <w:sz w:val="24"/>
          <w:szCs w:val="24"/>
          <w:lang w:val="el-GR"/>
        </w:rPr>
        <w:t xml:space="preserve">, </w:t>
      </w:r>
      <w:r>
        <w:rPr>
          <w:rFonts w:cstheme="minorHAnsi"/>
          <w:sz w:val="24"/>
          <w:szCs w:val="24"/>
          <w:lang w:val="el-GR"/>
        </w:rPr>
        <w:t>Κανονισμοί</w:t>
      </w:r>
      <w:r w:rsidRPr="004D2521">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4D2521">
        <w:rPr>
          <w:rFonts w:cstheme="minorHAnsi"/>
          <w:sz w:val="24"/>
          <w:szCs w:val="24"/>
          <w:lang w:val="el-GR" w:eastAsia="fr-FR"/>
        </w:rPr>
        <w:t xml:space="preserve"> (</w:t>
      </w:r>
      <w:r>
        <w:rPr>
          <w:rFonts w:cstheme="minorHAnsi"/>
          <w:sz w:val="24"/>
          <w:szCs w:val="24"/>
          <w:lang w:val="el-GR" w:eastAsia="fr-FR"/>
        </w:rPr>
        <w:t>Γενικοί</w:t>
      </w:r>
      <w:r w:rsidR="00220066" w:rsidRPr="004D2521">
        <w:rPr>
          <w:rFonts w:cstheme="minorHAnsi"/>
          <w:sz w:val="24"/>
          <w:szCs w:val="24"/>
          <w:lang w:val="el-GR" w:eastAsia="fr-FR"/>
        </w:rPr>
        <w:t>) (</w:t>
      </w:r>
      <w:r>
        <w:rPr>
          <w:rFonts w:cstheme="minorHAnsi"/>
          <w:sz w:val="24"/>
          <w:szCs w:val="24"/>
          <w:lang w:val="el-GR" w:eastAsia="fr-FR"/>
        </w:rPr>
        <w:t>Κανον</w:t>
      </w:r>
      <w:r w:rsidR="008F7CF7">
        <w:rPr>
          <w:rFonts w:cstheme="minorHAnsi"/>
          <w:sz w:val="24"/>
          <w:szCs w:val="24"/>
          <w:lang w:val="el-GR" w:eastAsia="fr-FR"/>
        </w:rPr>
        <w:t>ι</w:t>
      </w:r>
      <w:r>
        <w:rPr>
          <w:rFonts w:cstheme="minorHAnsi"/>
          <w:sz w:val="24"/>
          <w:szCs w:val="24"/>
          <w:lang w:val="el-GR" w:eastAsia="fr-FR"/>
        </w:rPr>
        <w:t>στικ</w:t>
      </w:r>
      <w:r w:rsidR="008F7CF7">
        <w:rPr>
          <w:rFonts w:cstheme="minorHAnsi"/>
          <w:sz w:val="24"/>
          <w:szCs w:val="24"/>
          <w:lang w:val="el-GR" w:eastAsia="fr-FR"/>
        </w:rPr>
        <w:t>ή</w:t>
      </w:r>
      <w:r w:rsidRPr="004D2521">
        <w:rPr>
          <w:rFonts w:cstheme="minorHAnsi"/>
          <w:sz w:val="24"/>
          <w:szCs w:val="24"/>
          <w:lang w:val="el-GR" w:eastAsia="fr-FR"/>
        </w:rPr>
        <w:t xml:space="preserve"> </w:t>
      </w:r>
      <w:r>
        <w:rPr>
          <w:rFonts w:cstheme="minorHAnsi"/>
          <w:sz w:val="24"/>
          <w:szCs w:val="24"/>
          <w:lang w:val="el-GR" w:eastAsia="fr-FR"/>
        </w:rPr>
        <w:t>Διοικητική</w:t>
      </w:r>
      <w:r w:rsidRPr="004D2521">
        <w:rPr>
          <w:rFonts w:cstheme="minorHAnsi"/>
          <w:sz w:val="24"/>
          <w:szCs w:val="24"/>
          <w:lang w:val="el-GR" w:eastAsia="fr-FR"/>
        </w:rPr>
        <w:t xml:space="preserve"> </w:t>
      </w:r>
      <w:r>
        <w:rPr>
          <w:rFonts w:cstheme="minorHAnsi"/>
          <w:sz w:val="24"/>
          <w:szCs w:val="24"/>
          <w:lang w:val="el-GR" w:eastAsia="fr-FR"/>
        </w:rPr>
        <w:t>Πράξη</w:t>
      </w:r>
      <w:r w:rsidR="00220066" w:rsidRPr="004D2521">
        <w:rPr>
          <w:rFonts w:cstheme="minorHAnsi"/>
          <w:sz w:val="24"/>
          <w:szCs w:val="24"/>
          <w:lang w:val="el-GR" w:eastAsia="fr-FR"/>
        </w:rPr>
        <w:t xml:space="preserve"> 51/1989)</w:t>
      </w:r>
      <w:r w:rsidR="00220066" w:rsidRPr="004D2521">
        <w:rPr>
          <w:rFonts w:cstheme="minorHAnsi"/>
          <w:sz w:val="24"/>
          <w:szCs w:val="24"/>
          <w:lang w:val="el-GR"/>
        </w:rPr>
        <w:t xml:space="preserve">, </w:t>
      </w:r>
      <w:r>
        <w:rPr>
          <w:rFonts w:cstheme="minorHAnsi"/>
          <w:sz w:val="24"/>
          <w:szCs w:val="24"/>
          <w:lang w:val="el-GR"/>
        </w:rPr>
        <w:t>Κανονισμοί</w:t>
      </w:r>
      <w:r w:rsidRPr="004D2521">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4D2521">
        <w:rPr>
          <w:rFonts w:cstheme="minorHAnsi"/>
          <w:sz w:val="24"/>
          <w:szCs w:val="24"/>
          <w:lang w:val="el-GR" w:eastAsia="fr-FR"/>
        </w:rPr>
        <w:t xml:space="preserve"> (</w:t>
      </w:r>
      <w:r>
        <w:rPr>
          <w:rFonts w:cstheme="minorHAnsi"/>
          <w:sz w:val="24"/>
          <w:szCs w:val="24"/>
          <w:lang w:val="el-GR" w:eastAsia="fr-FR"/>
        </w:rPr>
        <w:t>Προαγωγές</w:t>
      </w:r>
      <w:r w:rsidR="00220066" w:rsidRPr="004D2521">
        <w:rPr>
          <w:rFonts w:cstheme="minorHAnsi"/>
          <w:sz w:val="24"/>
          <w:szCs w:val="24"/>
          <w:lang w:val="el-GR" w:eastAsia="fr-FR"/>
        </w:rPr>
        <w:t>) (</w:t>
      </w:r>
      <w:r>
        <w:rPr>
          <w:rFonts w:cstheme="minorHAnsi"/>
          <w:sz w:val="24"/>
          <w:szCs w:val="24"/>
          <w:lang w:val="el-GR" w:eastAsia="fr-FR"/>
        </w:rPr>
        <w:t>Κανον</w:t>
      </w:r>
      <w:r w:rsidR="008F7CF7">
        <w:rPr>
          <w:rFonts w:cstheme="minorHAnsi"/>
          <w:sz w:val="24"/>
          <w:szCs w:val="24"/>
          <w:lang w:val="el-GR" w:eastAsia="fr-FR"/>
        </w:rPr>
        <w:t>ι</w:t>
      </w:r>
      <w:r>
        <w:rPr>
          <w:rFonts w:cstheme="minorHAnsi"/>
          <w:sz w:val="24"/>
          <w:szCs w:val="24"/>
          <w:lang w:val="el-GR" w:eastAsia="fr-FR"/>
        </w:rPr>
        <w:t>στικ</w:t>
      </w:r>
      <w:r w:rsidR="008F7CF7">
        <w:rPr>
          <w:rFonts w:cstheme="minorHAnsi"/>
          <w:sz w:val="24"/>
          <w:szCs w:val="24"/>
          <w:lang w:val="el-GR" w:eastAsia="fr-FR"/>
        </w:rPr>
        <w:t>ή</w:t>
      </w:r>
      <w:r w:rsidRPr="004D2521">
        <w:rPr>
          <w:rFonts w:cstheme="minorHAnsi"/>
          <w:sz w:val="24"/>
          <w:szCs w:val="24"/>
          <w:lang w:val="el-GR" w:eastAsia="fr-FR"/>
        </w:rPr>
        <w:t xml:space="preserve"> </w:t>
      </w:r>
      <w:r>
        <w:rPr>
          <w:rFonts w:cstheme="minorHAnsi"/>
          <w:sz w:val="24"/>
          <w:szCs w:val="24"/>
          <w:lang w:val="el-GR" w:eastAsia="fr-FR"/>
        </w:rPr>
        <w:t>Διοικητική</w:t>
      </w:r>
      <w:r w:rsidRPr="004D2521">
        <w:rPr>
          <w:rFonts w:cstheme="minorHAnsi"/>
          <w:sz w:val="24"/>
          <w:szCs w:val="24"/>
          <w:lang w:val="el-GR" w:eastAsia="fr-FR"/>
        </w:rPr>
        <w:t xml:space="preserve"> </w:t>
      </w:r>
      <w:r>
        <w:rPr>
          <w:rFonts w:cstheme="minorHAnsi"/>
          <w:sz w:val="24"/>
          <w:szCs w:val="24"/>
          <w:lang w:val="el-GR" w:eastAsia="fr-FR"/>
        </w:rPr>
        <w:t>Πράξη</w:t>
      </w:r>
      <w:r w:rsidR="00220066" w:rsidRPr="004D2521">
        <w:rPr>
          <w:rFonts w:cstheme="minorHAnsi"/>
          <w:sz w:val="24"/>
          <w:szCs w:val="24"/>
          <w:lang w:val="el-GR" w:eastAsia="fr-FR"/>
        </w:rPr>
        <w:t xml:space="preserve"> </w:t>
      </w:r>
      <w:r w:rsidR="00220066" w:rsidRPr="000538B6">
        <w:rPr>
          <w:rFonts w:cstheme="minorHAnsi"/>
          <w:sz w:val="24"/>
          <w:szCs w:val="24"/>
          <w:lang w:eastAsia="fr-FR"/>
        </w:rPr>
        <w:t>Act </w:t>
      </w:r>
      <w:r w:rsidR="00220066" w:rsidRPr="004D2521">
        <w:rPr>
          <w:rFonts w:cstheme="minorHAnsi"/>
          <w:sz w:val="24"/>
          <w:szCs w:val="24"/>
          <w:lang w:val="el-GR" w:eastAsia="fr-FR"/>
        </w:rPr>
        <w:t xml:space="preserve">214/2004), </w:t>
      </w:r>
      <w:r>
        <w:rPr>
          <w:rFonts w:cstheme="minorHAnsi"/>
          <w:sz w:val="24"/>
          <w:szCs w:val="24"/>
          <w:lang w:val="el-GR" w:eastAsia="fr-FR"/>
        </w:rPr>
        <w:t>Κανονισμοί</w:t>
      </w:r>
      <w:r w:rsidRPr="004D2521">
        <w:rPr>
          <w:rFonts w:cstheme="minorHAnsi"/>
          <w:sz w:val="24"/>
          <w:szCs w:val="24"/>
          <w:lang w:val="el-GR" w:eastAsia="fr-FR"/>
        </w:rPr>
        <w:t xml:space="preserve"> </w:t>
      </w:r>
      <w:r w:rsidR="009C4E34">
        <w:rPr>
          <w:rFonts w:cstheme="minorHAnsi"/>
          <w:sz w:val="24"/>
          <w:szCs w:val="24"/>
          <w:lang w:val="el-GR" w:eastAsia="fr-FR"/>
        </w:rPr>
        <w:t>Αστυνομία</w:t>
      </w:r>
      <w:r>
        <w:rPr>
          <w:rFonts w:cstheme="minorHAnsi"/>
          <w:sz w:val="24"/>
          <w:szCs w:val="24"/>
          <w:lang w:val="el-GR" w:eastAsia="fr-FR"/>
        </w:rPr>
        <w:t>ς</w:t>
      </w:r>
      <w:r w:rsidR="00220066" w:rsidRPr="004D2521">
        <w:rPr>
          <w:rFonts w:cstheme="minorHAnsi"/>
          <w:sz w:val="24"/>
          <w:szCs w:val="24"/>
          <w:lang w:val="el-GR" w:eastAsia="fr-FR"/>
        </w:rPr>
        <w:t xml:space="preserve"> (</w:t>
      </w:r>
      <w:r>
        <w:rPr>
          <w:rFonts w:cstheme="minorHAnsi"/>
          <w:sz w:val="24"/>
          <w:szCs w:val="24"/>
          <w:lang w:val="el-GR" w:eastAsia="fr-FR"/>
        </w:rPr>
        <w:t>Πειθαρχικοί</w:t>
      </w:r>
      <w:r w:rsidR="00220066" w:rsidRPr="004D2521">
        <w:rPr>
          <w:rFonts w:cstheme="minorHAnsi"/>
          <w:sz w:val="24"/>
          <w:szCs w:val="24"/>
          <w:lang w:val="el-GR" w:eastAsia="fr-FR"/>
        </w:rPr>
        <w:t>) (</w:t>
      </w:r>
      <w:r>
        <w:rPr>
          <w:rFonts w:cstheme="minorHAnsi"/>
          <w:sz w:val="24"/>
          <w:szCs w:val="24"/>
          <w:lang w:val="el-GR" w:eastAsia="fr-FR"/>
        </w:rPr>
        <w:t>Κανον</w:t>
      </w:r>
      <w:r w:rsidR="008F7CF7">
        <w:rPr>
          <w:rFonts w:cstheme="minorHAnsi"/>
          <w:sz w:val="24"/>
          <w:szCs w:val="24"/>
          <w:lang w:val="el-GR" w:eastAsia="fr-FR"/>
        </w:rPr>
        <w:t>ι</w:t>
      </w:r>
      <w:r>
        <w:rPr>
          <w:rFonts w:cstheme="minorHAnsi"/>
          <w:sz w:val="24"/>
          <w:szCs w:val="24"/>
          <w:lang w:val="el-GR" w:eastAsia="fr-FR"/>
        </w:rPr>
        <w:t>στικ</w:t>
      </w:r>
      <w:r w:rsidR="008F7CF7">
        <w:rPr>
          <w:rFonts w:cstheme="minorHAnsi"/>
          <w:sz w:val="24"/>
          <w:szCs w:val="24"/>
          <w:lang w:val="el-GR" w:eastAsia="fr-FR"/>
        </w:rPr>
        <w:t>ή</w:t>
      </w:r>
      <w:r>
        <w:rPr>
          <w:rFonts w:cstheme="minorHAnsi"/>
          <w:sz w:val="24"/>
          <w:szCs w:val="24"/>
          <w:lang w:val="el-GR" w:eastAsia="fr-FR"/>
        </w:rPr>
        <w:t xml:space="preserve"> Διοικητική Πράξη</w:t>
      </w:r>
      <w:r w:rsidR="00220066" w:rsidRPr="004D2521">
        <w:rPr>
          <w:rFonts w:cstheme="minorHAnsi"/>
          <w:sz w:val="24"/>
          <w:szCs w:val="24"/>
          <w:lang w:val="el-GR" w:eastAsia="fr-FR"/>
        </w:rPr>
        <w:t xml:space="preserve"> 53/1989)</w:t>
      </w:r>
      <w:r w:rsidR="00220066" w:rsidRPr="004D2521">
        <w:rPr>
          <w:rFonts w:cstheme="minorHAnsi"/>
          <w:sz w:val="24"/>
          <w:szCs w:val="24"/>
          <w:lang w:val="el-GR"/>
        </w:rPr>
        <w:t xml:space="preserve">, </w:t>
      </w:r>
      <w:r>
        <w:rPr>
          <w:rFonts w:cstheme="minorHAnsi"/>
          <w:sz w:val="24"/>
          <w:szCs w:val="24"/>
          <w:lang w:val="el-GR"/>
        </w:rPr>
        <w:t>Κανονισμοί περί Ειδικών Αστυφυλάκων</w:t>
      </w:r>
      <w:r w:rsidR="00220066" w:rsidRPr="004D2521">
        <w:rPr>
          <w:rFonts w:cstheme="minorHAnsi"/>
          <w:sz w:val="24"/>
          <w:szCs w:val="24"/>
          <w:lang w:val="el-GR" w:eastAsia="fr-FR"/>
        </w:rPr>
        <w:t xml:space="preserve"> (</w:t>
      </w:r>
      <w:r>
        <w:rPr>
          <w:rFonts w:cstheme="minorHAnsi"/>
          <w:sz w:val="24"/>
          <w:szCs w:val="24"/>
          <w:lang w:val="el-GR" w:eastAsia="fr-FR"/>
        </w:rPr>
        <w:t>Διαδικασία Διορισμού</w:t>
      </w:r>
      <w:r w:rsidR="00220066" w:rsidRPr="004D2521">
        <w:rPr>
          <w:rFonts w:cstheme="minorHAnsi"/>
          <w:sz w:val="24"/>
          <w:szCs w:val="24"/>
          <w:lang w:val="el-GR" w:eastAsia="fr-FR"/>
        </w:rPr>
        <w:t xml:space="preserve"> </w:t>
      </w:r>
      <w:r>
        <w:rPr>
          <w:rFonts w:cstheme="minorHAnsi"/>
          <w:sz w:val="24"/>
          <w:szCs w:val="24"/>
          <w:lang w:val="el-GR" w:eastAsia="fr-FR"/>
        </w:rPr>
        <w:t xml:space="preserve">και Όροι </w:t>
      </w:r>
      <w:proofErr w:type="spellStart"/>
      <w:r>
        <w:rPr>
          <w:rFonts w:cstheme="minorHAnsi"/>
          <w:sz w:val="24"/>
          <w:szCs w:val="24"/>
          <w:lang w:val="el-GR" w:eastAsia="fr-FR"/>
        </w:rPr>
        <w:t>Εργοδότησης</w:t>
      </w:r>
      <w:proofErr w:type="spellEnd"/>
      <w:r w:rsidR="00220066" w:rsidRPr="004D2521">
        <w:rPr>
          <w:rFonts w:cstheme="minorHAnsi"/>
          <w:sz w:val="24"/>
          <w:szCs w:val="24"/>
          <w:lang w:val="el-GR" w:eastAsia="fr-FR"/>
        </w:rPr>
        <w:t>) (</w:t>
      </w:r>
      <w:r>
        <w:rPr>
          <w:rFonts w:cstheme="minorHAnsi"/>
          <w:sz w:val="24"/>
          <w:szCs w:val="24"/>
          <w:lang w:val="el-GR" w:eastAsia="fr-FR"/>
        </w:rPr>
        <w:t>Κανον</w:t>
      </w:r>
      <w:r w:rsidR="008F7CF7">
        <w:rPr>
          <w:rFonts w:cstheme="minorHAnsi"/>
          <w:sz w:val="24"/>
          <w:szCs w:val="24"/>
          <w:lang w:val="el-GR" w:eastAsia="fr-FR"/>
        </w:rPr>
        <w:t>ι</w:t>
      </w:r>
      <w:r>
        <w:rPr>
          <w:rFonts w:cstheme="minorHAnsi"/>
          <w:sz w:val="24"/>
          <w:szCs w:val="24"/>
          <w:lang w:val="el-GR" w:eastAsia="fr-FR"/>
        </w:rPr>
        <w:t>στικ</w:t>
      </w:r>
      <w:r w:rsidR="008F7CF7">
        <w:rPr>
          <w:rFonts w:cstheme="minorHAnsi"/>
          <w:sz w:val="24"/>
          <w:szCs w:val="24"/>
          <w:lang w:val="el-GR" w:eastAsia="fr-FR"/>
        </w:rPr>
        <w:t>ή</w:t>
      </w:r>
      <w:r>
        <w:rPr>
          <w:rFonts w:cstheme="minorHAnsi"/>
          <w:sz w:val="24"/>
          <w:szCs w:val="24"/>
          <w:lang w:val="el-GR" w:eastAsia="fr-FR"/>
        </w:rPr>
        <w:t xml:space="preserve"> Διοικητική Πράξη</w:t>
      </w:r>
      <w:r w:rsidR="00220066" w:rsidRPr="004D2521">
        <w:rPr>
          <w:rFonts w:cstheme="minorHAnsi"/>
          <w:sz w:val="24"/>
          <w:szCs w:val="24"/>
          <w:lang w:val="el-GR" w:eastAsia="fr-FR"/>
        </w:rPr>
        <w:t xml:space="preserve"> 216/2004), </w:t>
      </w:r>
      <w:r>
        <w:rPr>
          <w:rFonts w:cstheme="minorHAnsi"/>
          <w:sz w:val="24"/>
          <w:szCs w:val="24"/>
          <w:lang w:val="el-GR" w:eastAsia="fr-FR"/>
        </w:rPr>
        <w:t xml:space="preserve">Κανονισμοί </w:t>
      </w:r>
      <w:r w:rsidR="009C4E34">
        <w:rPr>
          <w:rFonts w:cstheme="minorHAnsi"/>
          <w:sz w:val="24"/>
          <w:szCs w:val="24"/>
          <w:lang w:val="el-GR" w:eastAsia="fr-FR"/>
        </w:rPr>
        <w:t>Αστυνομία</w:t>
      </w:r>
      <w:r>
        <w:rPr>
          <w:rFonts w:cstheme="minorHAnsi"/>
          <w:sz w:val="24"/>
          <w:szCs w:val="24"/>
          <w:lang w:val="el-GR" w:eastAsia="fr-FR"/>
        </w:rPr>
        <w:t>ς</w:t>
      </w:r>
      <w:r w:rsidR="00220066" w:rsidRPr="004D2521">
        <w:rPr>
          <w:rFonts w:cstheme="minorHAnsi"/>
          <w:sz w:val="24"/>
          <w:szCs w:val="24"/>
          <w:lang w:val="el-GR" w:eastAsia="fr-FR"/>
        </w:rPr>
        <w:t xml:space="preserve"> (</w:t>
      </w:r>
      <w:r>
        <w:rPr>
          <w:rFonts w:cstheme="minorHAnsi"/>
          <w:sz w:val="24"/>
          <w:szCs w:val="24"/>
          <w:lang w:val="el-GR" w:eastAsia="fr-FR"/>
        </w:rPr>
        <w:t xml:space="preserve">Προαγωγές </w:t>
      </w:r>
      <w:r w:rsidR="008F7CF7">
        <w:rPr>
          <w:rFonts w:cstheme="minorHAnsi"/>
          <w:sz w:val="24"/>
          <w:szCs w:val="24"/>
          <w:lang w:val="el-GR" w:eastAsia="fr-FR"/>
        </w:rPr>
        <w:t>Εξειδικευμένου</w:t>
      </w:r>
      <w:r w:rsidR="00220066" w:rsidRPr="004D2521">
        <w:rPr>
          <w:rFonts w:cstheme="minorHAnsi"/>
          <w:sz w:val="24"/>
          <w:szCs w:val="24"/>
          <w:lang w:val="el-GR" w:eastAsia="fr-FR"/>
        </w:rPr>
        <w:t xml:space="preserve"> – </w:t>
      </w:r>
      <w:r w:rsidR="008F7CF7">
        <w:rPr>
          <w:rFonts w:cstheme="minorHAnsi"/>
          <w:sz w:val="24"/>
          <w:szCs w:val="24"/>
          <w:lang w:val="el-GR" w:eastAsia="fr-FR"/>
        </w:rPr>
        <w:t>Επιστημονικού Προσωπικού</w:t>
      </w:r>
      <w:r w:rsidR="00220066" w:rsidRPr="004D2521">
        <w:rPr>
          <w:rFonts w:cstheme="minorHAnsi"/>
          <w:sz w:val="24"/>
          <w:szCs w:val="24"/>
          <w:lang w:val="el-GR" w:eastAsia="fr-FR"/>
        </w:rPr>
        <w:t>) (</w:t>
      </w:r>
      <w:r w:rsidR="008F7CF7">
        <w:rPr>
          <w:rFonts w:cstheme="minorHAnsi"/>
          <w:sz w:val="24"/>
          <w:szCs w:val="24"/>
          <w:lang w:val="el-GR" w:eastAsia="fr-FR"/>
        </w:rPr>
        <w:t>Κανονιστική Διοικητική Πράξη</w:t>
      </w:r>
      <w:r w:rsidR="00220066" w:rsidRPr="004D2521">
        <w:rPr>
          <w:rFonts w:cstheme="minorHAnsi"/>
          <w:sz w:val="24"/>
          <w:szCs w:val="24"/>
          <w:lang w:val="el-GR" w:eastAsia="fr-FR"/>
        </w:rPr>
        <w:t xml:space="preserve"> 191/2006)</w:t>
      </w:r>
      <w:r w:rsidR="00220066" w:rsidRPr="004D2521">
        <w:rPr>
          <w:rFonts w:cstheme="minorHAnsi"/>
          <w:sz w:val="24"/>
          <w:szCs w:val="24"/>
          <w:lang w:val="el-GR"/>
        </w:rPr>
        <w:t xml:space="preserve">, </w:t>
      </w:r>
      <w:r w:rsidR="008F7CF7">
        <w:rPr>
          <w:rFonts w:cstheme="minorHAnsi"/>
          <w:sz w:val="24"/>
          <w:szCs w:val="24"/>
          <w:lang w:val="el-GR"/>
        </w:rPr>
        <w:t>Πάγι</w:t>
      </w:r>
      <w:r w:rsidR="00416EC6">
        <w:rPr>
          <w:rFonts w:cstheme="minorHAnsi"/>
          <w:sz w:val="24"/>
          <w:szCs w:val="24"/>
          <w:lang w:val="el-GR"/>
        </w:rPr>
        <w:t>α</w:t>
      </w:r>
      <w:r w:rsidR="008F7CF7">
        <w:rPr>
          <w:rFonts w:cstheme="minorHAnsi"/>
          <w:sz w:val="24"/>
          <w:szCs w:val="24"/>
          <w:lang w:val="el-GR"/>
        </w:rPr>
        <w:t xml:space="preserve"> Διατ</w:t>
      </w:r>
      <w:r w:rsidR="00416EC6">
        <w:rPr>
          <w:rFonts w:cstheme="minorHAnsi"/>
          <w:sz w:val="24"/>
          <w:szCs w:val="24"/>
          <w:lang w:val="el-GR"/>
        </w:rPr>
        <w:t>άγματα</w:t>
      </w:r>
      <w:r w:rsidR="008F7CF7">
        <w:rPr>
          <w:rFonts w:cstheme="minorHAnsi"/>
          <w:sz w:val="24"/>
          <w:szCs w:val="24"/>
          <w:lang w:val="el-GR"/>
        </w:rPr>
        <w:t xml:space="preserve"> της </w:t>
      </w:r>
      <w:r w:rsidR="009C4E34">
        <w:rPr>
          <w:rFonts w:cstheme="minorHAnsi"/>
          <w:sz w:val="24"/>
          <w:szCs w:val="24"/>
          <w:lang w:val="el-GR"/>
        </w:rPr>
        <w:t>Αστυνομία</w:t>
      </w:r>
      <w:r w:rsidR="008F7CF7">
        <w:rPr>
          <w:rFonts w:cstheme="minorHAnsi"/>
          <w:sz w:val="24"/>
          <w:szCs w:val="24"/>
          <w:lang w:val="el-GR"/>
        </w:rPr>
        <w:t>ς</w:t>
      </w:r>
      <w:r w:rsidR="00220066" w:rsidRPr="004D2521">
        <w:rPr>
          <w:rFonts w:cstheme="minorHAnsi"/>
          <w:sz w:val="24"/>
          <w:szCs w:val="24"/>
          <w:lang w:val="el-GR" w:eastAsia="fr-FR"/>
        </w:rPr>
        <w:t xml:space="preserve"> (</w:t>
      </w:r>
      <w:r w:rsidR="008F7CF7">
        <w:rPr>
          <w:rFonts w:cstheme="minorHAnsi"/>
          <w:sz w:val="24"/>
          <w:szCs w:val="24"/>
          <w:lang w:val="el-GR" w:eastAsia="fr-FR"/>
        </w:rPr>
        <w:t xml:space="preserve">που εξέδωσε ο Αρχηγός της </w:t>
      </w:r>
      <w:r w:rsidR="009C4E34">
        <w:rPr>
          <w:rFonts w:cstheme="minorHAnsi"/>
          <w:sz w:val="24"/>
          <w:szCs w:val="24"/>
          <w:lang w:val="el-GR" w:eastAsia="fr-FR"/>
        </w:rPr>
        <w:t>Αστυνομία</w:t>
      </w:r>
      <w:r w:rsidR="008F7CF7">
        <w:rPr>
          <w:rFonts w:cstheme="minorHAnsi"/>
          <w:sz w:val="24"/>
          <w:szCs w:val="24"/>
          <w:lang w:val="el-GR" w:eastAsia="fr-FR"/>
        </w:rPr>
        <w:t>ς</w:t>
      </w:r>
      <w:r w:rsidR="00220066" w:rsidRPr="004D2521">
        <w:rPr>
          <w:rFonts w:cstheme="minorHAnsi"/>
          <w:sz w:val="24"/>
          <w:szCs w:val="24"/>
          <w:lang w:val="el-GR" w:eastAsia="fr-FR"/>
        </w:rPr>
        <w:t xml:space="preserve">), </w:t>
      </w:r>
      <w:r w:rsidR="008F7CF7">
        <w:rPr>
          <w:rFonts w:cstheme="minorHAnsi"/>
          <w:sz w:val="24"/>
          <w:szCs w:val="24"/>
          <w:lang w:val="el-GR" w:eastAsia="fr-FR"/>
        </w:rPr>
        <w:t>Ποινικός Κώδικας</w:t>
      </w:r>
      <w:r w:rsidR="00220066" w:rsidRPr="004D2521">
        <w:rPr>
          <w:rFonts w:cstheme="minorHAnsi"/>
          <w:sz w:val="24"/>
          <w:szCs w:val="24"/>
          <w:lang w:val="el-GR" w:eastAsia="fr-FR"/>
        </w:rPr>
        <w:t xml:space="preserve"> (</w:t>
      </w:r>
      <w:r w:rsidR="008F7CF7">
        <w:rPr>
          <w:rFonts w:cstheme="minorHAnsi"/>
          <w:sz w:val="24"/>
          <w:szCs w:val="24"/>
          <w:lang w:val="el-GR" w:eastAsia="fr-FR"/>
        </w:rPr>
        <w:t>Κεφάλαιο</w:t>
      </w:r>
      <w:r w:rsidR="00220066" w:rsidRPr="004D2521">
        <w:rPr>
          <w:rFonts w:cstheme="minorHAnsi"/>
          <w:sz w:val="24"/>
          <w:szCs w:val="24"/>
          <w:lang w:val="el-GR" w:eastAsia="fr-FR"/>
        </w:rPr>
        <w:t xml:space="preserve"> 154), </w:t>
      </w:r>
      <w:r w:rsidR="008F7CF7">
        <w:rPr>
          <w:rFonts w:cstheme="minorHAnsi"/>
          <w:sz w:val="24"/>
          <w:szCs w:val="24"/>
          <w:lang w:val="el-GR" w:eastAsia="fr-FR"/>
        </w:rPr>
        <w:t>Νόμος περί Ποινικής Διαδικασίας</w:t>
      </w:r>
      <w:r w:rsidR="00220066" w:rsidRPr="004D2521">
        <w:rPr>
          <w:rFonts w:cstheme="minorHAnsi"/>
          <w:sz w:val="24"/>
          <w:szCs w:val="24"/>
          <w:lang w:val="el-GR" w:eastAsia="fr-FR"/>
        </w:rPr>
        <w:t xml:space="preserve"> (</w:t>
      </w:r>
      <w:r w:rsidR="008F7CF7">
        <w:rPr>
          <w:rFonts w:cstheme="minorHAnsi"/>
          <w:sz w:val="24"/>
          <w:szCs w:val="24"/>
          <w:lang w:val="el-GR" w:eastAsia="fr-FR"/>
        </w:rPr>
        <w:t>Κεφάλαιο</w:t>
      </w:r>
      <w:r w:rsidR="00220066" w:rsidRPr="004D2521">
        <w:rPr>
          <w:rFonts w:cstheme="minorHAnsi"/>
          <w:sz w:val="24"/>
          <w:szCs w:val="24"/>
          <w:lang w:val="el-GR" w:eastAsia="fr-FR"/>
        </w:rPr>
        <w:t xml:space="preserve"> 155)</w:t>
      </w:r>
      <w:r w:rsidR="00220066" w:rsidRPr="004D2521">
        <w:rPr>
          <w:rFonts w:cstheme="minorHAnsi"/>
          <w:sz w:val="24"/>
          <w:szCs w:val="24"/>
          <w:lang w:val="el-GR"/>
        </w:rPr>
        <w:t xml:space="preserve"> </w:t>
      </w:r>
      <w:r w:rsidR="008F7CF7">
        <w:rPr>
          <w:rFonts w:cstheme="minorHAnsi"/>
          <w:sz w:val="24"/>
          <w:szCs w:val="24"/>
          <w:lang w:val="el-GR"/>
        </w:rPr>
        <w:t>και</w:t>
      </w:r>
      <w:r w:rsidR="008F7CF7" w:rsidRPr="008F7CF7">
        <w:rPr>
          <w:rFonts w:cstheme="minorHAnsi"/>
          <w:sz w:val="24"/>
          <w:szCs w:val="24"/>
          <w:lang w:val="el-GR"/>
        </w:rPr>
        <w:t xml:space="preserve"> </w:t>
      </w:r>
      <w:r w:rsidR="008F7CF7">
        <w:rPr>
          <w:rFonts w:cstheme="minorHAnsi"/>
          <w:sz w:val="24"/>
          <w:szCs w:val="24"/>
          <w:lang w:val="el-GR"/>
        </w:rPr>
        <w:t>Δίκαιο των Αποδεικτικών Στοιχείων</w:t>
      </w:r>
      <w:r w:rsidR="00220066" w:rsidRPr="004D2521">
        <w:rPr>
          <w:rFonts w:cstheme="minorHAnsi"/>
          <w:sz w:val="24"/>
          <w:szCs w:val="24"/>
          <w:lang w:val="el-GR" w:eastAsia="fr-FR"/>
        </w:rPr>
        <w:t xml:space="preserve"> (</w:t>
      </w:r>
      <w:r w:rsidR="008F7CF7">
        <w:rPr>
          <w:rFonts w:cstheme="minorHAnsi"/>
          <w:sz w:val="24"/>
          <w:szCs w:val="24"/>
          <w:lang w:val="el-GR" w:eastAsia="fr-FR"/>
        </w:rPr>
        <w:t>Κεφάλαιο</w:t>
      </w:r>
      <w:r w:rsidR="00220066" w:rsidRPr="004D2521">
        <w:rPr>
          <w:rFonts w:cstheme="minorHAnsi"/>
          <w:sz w:val="24"/>
          <w:szCs w:val="24"/>
          <w:lang w:val="el-GR" w:eastAsia="fr-FR"/>
        </w:rPr>
        <w:t xml:space="preserve"> 9). </w:t>
      </w:r>
    </w:p>
    <w:p w14:paraId="6A4C1FD3" w14:textId="77777777" w:rsidR="00220066" w:rsidRPr="004D2521" w:rsidRDefault="00220066" w:rsidP="00220066">
      <w:pPr>
        <w:widowControl w:val="0"/>
        <w:tabs>
          <w:tab w:val="left" w:pos="709"/>
        </w:tabs>
        <w:rPr>
          <w:rFonts w:cstheme="minorHAnsi"/>
          <w:sz w:val="24"/>
          <w:szCs w:val="24"/>
          <w:lang w:val="el-GR"/>
        </w:rPr>
      </w:pPr>
    </w:p>
    <w:p w14:paraId="056DE1DC" w14:textId="71925E50" w:rsidR="00220066" w:rsidRPr="00416EC6" w:rsidRDefault="00830454" w:rsidP="00220066">
      <w:pPr>
        <w:widowControl w:val="0"/>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Τα</w:t>
      </w:r>
      <w:r w:rsidRPr="00830454">
        <w:rPr>
          <w:rFonts w:cstheme="minorHAnsi"/>
          <w:sz w:val="24"/>
          <w:szCs w:val="24"/>
          <w:lang w:val="el-GR"/>
        </w:rPr>
        <w:t xml:space="preserve"> </w:t>
      </w:r>
      <w:r>
        <w:rPr>
          <w:rFonts w:cstheme="minorHAnsi"/>
          <w:sz w:val="24"/>
          <w:szCs w:val="24"/>
          <w:lang w:val="el-GR"/>
        </w:rPr>
        <w:t>καθήκοντα</w:t>
      </w:r>
      <w:r w:rsidRPr="00830454">
        <w:rPr>
          <w:rFonts w:cstheme="minorHAnsi"/>
          <w:sz w:val="24"/>
          <w:szCs w:val="24"/>
          <w:lang w:val="el-GR"/>
        </w:rPr>
        <w:t xml:space="preserve"> </w:t>
      </w:r>
      <w:r>
        <w:rPr>
          <w:rFonts w:cstheme="minorHAnsi"/>
          <w:sz w:val="24"/>
          <w:szCs w:val="24"/>
          <w:lang w:val="el-GR"/>
        </w:rPr>
        <w:t>και</w:t>
      </w:r>
      <w:r w:rsidRPr="00830454">
        <w:rPr>
          <w:rFonts w:cstheme="minorHAnsi"/>
          <w:sz w:val="24"/>
          <w:szCs w:val="24"/>
          <w:lang w:val="el-GR"/>
        </w:rPr>
        <w:t xml:space="preserve"> </w:t>
      </w:r>
      <w:r>
        <w:rPr>
          <w:rFonts w:cstheme="minorHAnsi"/>
          <w:sz w:val="24"/>
          <w:szCs w:val="24"/>
          <w:lang w:val="el-GR"/>
        </w:rPr>
        <w:t>οι</w:t>
      </w:r>
      <w:r w:rsidRPr="00830454">
        <w:rPr>
          <w:rFonts w:cstheme="minorHAnsi"/>
          <w:sz w:val="24"/>
          <w:szCs w:val="24"/>
          <w:lang w:val="el-GR"/>
        </w:rPr>
        <w:t xml:space="preserve"> </w:t>
      </w:r>
      <w:r>
        <w:rPr>
          <w:rFonts w:cstheme="minorHAnsi"/>
          <w:sz w:val="24"/>
          <w:szCs w:val="24"/>
          <w:lang w:val="el-GR"/>
        </w:rPr>
        <w:t>ευθύνες</w:t>
      </w:r>
      <w:r w:rsidRPr="00830454">
        <w:rPr>
          <w:rFonts w:cstheme="minorHAnsi"/>
          <w:sz w:val="24"/>
          <w:szCs w:val="24"/>
          <w:lang w:val="el-GR"/>
        </w:rPr>
        <w:t xml:space="preserve"> </w:t>
      </w:r>
      <w:r>
        <w:rPr>
          <w:rFonts w:cstheme="minorHAnsi"/>
          <w:sz w:val="24"/>
          <w:szCs w:val="24"/>
          <w:lang w:val="el-GR"/>
        </w:rPr>
        <w:t>της</w:t>
      </w:r>
      <w:r w:rsidRPr="00830454">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830454">
        <w:rPr>
          <w:rFonts w:cstheme="minorHAnsi"/>
          <w:sz w:val="24"/>
          <w:szCs w:val="24"/>
          <w:lang w:val="el-GR"/>
        </w:rPr>
        <w:t xml:space="preserve"> </w:t>
      </w:r>
      <w:r>
        <w:rPr>
          <w:rFonts w:cstheme="minorHAnsi"/>
          <w:sz w:val="24"/>
          <w:szCs w:val="24"/>
          <w:lang w:val="el-GR"/>
        </w:rPr>
        <w:t>διατυπώνονται</w:t>
      </w:r>
      <w:r w:rsidRPr="00830454">
        <w:rPr>
          <w:rFonts w:cstheme="minorHAnsi"/>
          <w:sz w:val="24"/>
          <w:szCs w:val="24"/>
          <w:lang w:val="el-GR"/>
        </w:rPr>
        <w:t xml:space="preserve"> </w:t>
      </w:r>
      <w:r>
        <w:rPr>
          <w:rFonts w:cstheme="minorHAnsi"/>
          <w:sz w:val="24"/>
          <w:szCs w:val="24"/>
          <w:lang w:val="el-GR"/>
        </w:rPr>
        <w:t>στον</w:t>
      </w:r>
      <w:r w:rsidRPr="00830454">
        <w:rPr>
          <w:rFonts w:cstheme="minorHAnsi"/>
          <w:sz w:val="24"/>
          <w:szCs w:val="24"/>
          <w:lang w:val="el-GR"/>
        </w:rPr>
        <w:t xml:space="preserve"> </w:t>
      </w:r>
      <w:r>
        <w:rPr>
          <w:rFonts w:cstheme="minorHAnsi"/>
          <w:sz w:val="24"/>
          <w:szCs w:val="24"/>
          <w:lang w:val="el-GR"/>
        </w:rPr>
        <w:t>Νόμο</w:t>
      </w:r>
      <w:r w:rsidRPr="00830454">
        <w:rPr>
          <w:rFonts w:cstheme="minorHAnsi"/>
          <w:sz w:val="24"/>
          <w:szCs w:val="24"/>
          <w:lang w:val="el-GR"/>
        </w:rPr>
        <w:t xml:space="preserve"> </w:t>
      </w:r>
      <w:r>
        <w:rPr>
          <w:rFonts w:cstheme="minorHAnsi"/>
          <w:sz w:val="24"/>
          <w:szCs w:val="24"/>
          <w:lang w:val="el-GR"/>
        </w:rPr>
        <w:t>περί</w:t>
      </w:r>
      <w:r w:rsidR="00973266">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Pr="00830454">
        <w:rPr>
          <w:rFonts w:cstheme="minorHAnsi"/>
          <w:sz w:val="24"/>
          <w:szCs w:val="24"/>
          <w:lang w:val="el-GR"/>
        </w:rPr>
        <w:t xml:space="preserve"> </w:t>
      </w:r>
      <w:r>
        <w:rPr>
          <w:rFonts w:cstheme="minorHAnsi"/>
          <w:sz w:val="24"/>
          <w:szCs w:val="24"/>
          <w:lang w:val="el-GR"/>
        </w:rPr>
        <w:t>και</w:t>
      </w:r>
      <w:r w:rsidRPr="00830454">
        <w:rPr>
          <w:rFonts w:cstheme="minorHAnsi"/>
          <w:sz w:val="24"/>
          <w:szCs w:val="24"/>
          <w:lang w:val="el-GR"/>
        </w:rPr>
        <w:t xml:space="preserve"> </w:t>
      </w:r>
      <w:r>
        <w:rPr>
          <w:rFonts w:cstheme="minorHAnsi"/>
          <w:sz w:val="24"/>
          <w:szCs w:val="24"/>
          <w:lang w:val="el-GR"/>
        </w:rPr>
        <w:t>συμπεριλαμβάνουν</w:t>
      </w:r>
      <w:r w:rsidRPr="00830454">
        <w:rPr>
          <w:rFonts w:cstheme="minorHAnsi"/>
          <w:sz w:val="24"/>
          <w:szCs w:val="24"/>
          <w:lang w:val="el-GR"/>
        </w:rPr>
        <w:t xml:space="preserve"> </w:t>
      </w:r>
      <w:r>
        <w:rPr>
          <w:rFonts w:cstheme="minorHAnsi"/>
          <w:sz w:val="24"/>
          <w:szCs w:val="24"/>
          <w:lang w:val="el-GR"/>
        </w:rPr>
        <w:t>την</w:t>
      </w:r>
      <w:r w:rsidRPr="00830454">
        <w:rPr>
          <w:rFonts w:cstheme="minorHAnsi"/>
          <w:sz w:val="24"/>
          <w:szCs w:val="24"/>
          <w:lang w:val="el-GR"/>
        </w:rPr>
        <w:t xml:space="preserve"> </w:t>
      </w:r>
      <w:r>
        <w:rPr>
          <w:rFonts w:cstheme="minorHAnsi"/>
          <w:sz w:val="24"/>
          <w:szCs w:val="24"/>
          <w:lang w:val="el-GR"/>
        </w:rPr>
        <w:t>διατήρηση</w:t>
      </w:r>
      <w:r w:rsidRPr="00830454">
        <w:rPr>
          <w:rFonts w:cstheme="minorHAnsi"/>
          <w:sz w:val="24"/>
          <w:szCs w:val="24"/>
          <w:lang w:val="el-GR"/>
        </w:rPr>
        <w:t xml:space="preserve"> </w:t>
      </w:r>
      <w:r>
        <w:rPr>
          <w:rFonts w:cstheme="minorHAnsi"/>
          <w:sz w:val="24"/>
          <w:szCs w:val="24"/>
          <w:lang w:val="el-GR"/>
        </w:rPr>
        <w:t>του</w:t>
      </w:r>
      <w:r w:rsidRPr="00830454">
        <w:rPr>
          <w:rFonts w:cstheme="minorHAnsi"/>
          <w:sz w:val="24"/>
          <w:szCs w:val="24"/>
          <w:lang w:val="el-GR"/>
        </w:rPr>
        <w:t xml:space="preserve"> </w:t>
      </w:r>
      <w:r>
        <w:rPr>
          <w:rFonts w:cstheme="minorHAnsi"/>
          <w:sz w:val="24"/>
          <w:szCs w:val="24"/>
          <w:lang w:val="el-GR"/>
        </w:rPr>
        <w:t>νόμου και της τάξης</w:t>
      </w:r>
      <w:r w:rsidR="00220066" w:rsidRPr="00830454">
        <w:rPr>
          <w:rFonts w:cstheme="minorHAnsi"/>
          <w:sz w:val="24"/>
          <w:szCs w:val="24"/>
          <w:lang w:val="el-GR"/>
        </w:rPr>
        <w:t xml:space="preserve">, </w:t>
      </w:r>
      <w:r>
        <w:rPr>
          <w:rFonts w:cstheme="minorHAnsi"/>
          <w:sz w:val="24"/>
          <w:szCs w:val="24"/>
          <w:lang w:val="el-GR"/>
        </w:rPr>
        <w:t xml:space="preserve">την πρόληψη και </w:t>
      </w:r>
      <w:r w:rsidR="00A7481D">
        <w:rPr>
          <w:rFonts w:cstheme="minorHAnsi"/>
          <w:sz w:val="24"/>
          <w:szCs w:val="24"/>
          <w:lang w:val="el-GR"/>
        </w:rPr>
        <w:t xml:space="preserve">την </w:t>
      </w:r>
      <w:r>
        <w:rPr>
          <w:rFonts w:cstheme="minorHAnsi"/>
          <w:sz w:val="24"/>
          <w:szCs w:val="24"/>
          <w:lang w:val="el-GR"/>
        </w:rPr>
        <w:t>ανίχ</w:t>
      </w:r>
      <w:r w:rsidR="00A7481D">
        <w:rPr>
          <w:rFonts w:cstheme="minorHAnsi"/>
          <w:sz w:val="24"/>
          <w:szCs w:val="24"/>
          <w:lang w:val="el-GR"/>
        </w:rPr>
        <w:t>ν</w:t>
      </w:r>
      <w:r>
        <w:rPr>
          <w:rFonts w:cstheme="minorHAnsi"/>
          <w:sz w:val="24"/>
          <w:szCs w:val="24"/>
          <w:lang w:val="el-GR"/>
        </w:rPr>
        <w:t>ευση του εγκλήματος</w:t>
      </w:r>
      <w:r w:rsidR="00220066" w:rsidRPr="00830454">
        <w:rPr>
          <w:rFonts w:cstheme="minorHAnsi"/>
          <w:sz w:val="24"/>
          <w:szCs w:val="24"/>
          <w:lang w:val="el-GR"/>
        </w:rPr>
        <w:t xml:space="preserve">, </w:t>
      </w:r>
      <w:r>
        <w:rPr>
          <w:rFonts w:cstheme="minorHAnsi"/>
          <w:sz w:val="24"/>
          <w:szCs w:val="24"/>
          <w:lang w:val="el-GR"/>
        </w:rPr>
        <w:t>καθώς επίσης και</w:t>
      </w:r>
      <w:r w:rsidR="00220066" w:rsidRPr="00830454">
        <w:rPr>
          <w:rFonts w:cstheme="minorHAnsi"/>
          <w:sz w:val="24"/>
          <w:szCs w:val="24"/>
          <w:lang w:val="el-GR"/>
        </w:rPr>
        <w:t xml:space="preserve">, </w:t>
      </w:r>
      <w:r>
        <w:rPr>
          <w:rFonts w:cstheme="minorHAnsi"/>
          <w:sz w:val="24"/>
          <w:szCs w:val="24"/>
          <w:lang w:val="el-GR"/>
        </w:rPr>
        <w:t>την σύλληψη και την προσαγωγή των παραβατών στην δικαιοσύνη</w:t>
      </w:r>
      <w:r w:rsidR="00220066" w:rsidRPr="00830454">
        <w:rPr>
          <w:rFonts w:cstheme="minorHAnsi"/>
          <w:sz w:val="24"/>
          <w:szCs w:val="24"/>
          <w:lang w:val="el-GR"/>
        </w:rPr>
        <w:t xml:space="preserve">. </w:t>
      </w:r>
      <w:r>
        <w:rPr>
          <w:rFonts w:cstheme="minorHAnsi"/>
          <w:sz w:val="24"/>
          <w:szCs w:val="24"/>
          <w:lang w:val="el-GR"/>
        </w:rPr>
        <w:t>Ωστόσο</w:t>
      </w:r>
      <w:r w:rsidR="00220066" w:rsidRPr="00830454">
        <w:rPr>
          <w:rFonts w:cstheme="minorHAnsi"/>
          <w:sz w:val="24"/>
          <w:szCs w:val="24"/>
          <w:lang w:val="el-GR"/>
        </w:rPr>
        <w:t xml:space="preserve">, </w:t>
      </w:r>
      <w:r>
        <w:rPr>
          <w:rFonts w:cstheme="minorHAnsi"/>
          <w:sz w:val="24"/>
          <w:szCs w:val="24"/>
          <w:lang w:val="el-GR"/>
        </w:rPr>
        <w:t>στα</w:t>
      </w:r>
      <w:r w:rsidRPr="00830454">
        <w:rPr>
          <w:rFonts w:cstheme="minorHAnsi"/>
          <w:sz w:val="24"/>
          <w:szCs w:val="24"/>
          <w:lang w:val="el-GR"/>
        </w:rPr>
        <w:t xml:space="preserve"> </w:t>
      </w:r>
      <w:r>
        <w:rPr>
          <w:rFonts w:cstheme="minorHAnsi"/>
          <w:sz w:val="24"/>
          <w:szCs w:val="24"/>
          <w:lang w:val="el-GR"/>
        </w:rPr>
        <w:t>πλαίσια</w:t>
      </w:r>
      <w:r w:rsidRPr="00830454">
        <w:rPr>
          <w:rFonts w:cstheme="minorHAnsi"/>
          <w:sz w:val="24"/>
          <w:szCs w:val="24"/>
          <w:lang w:val="el-GR"/>
        </w:rPr>
        <w:t xml:space="preserve"> </w:t>
      </w:r>
      <w:r>
        <w:rPr>
          <w:rFonts w:cstheme="minorHAnsi"/>
          <w:sz w:val="24"/>
          <w:szCs w:val="24"/>
          <w:lang w:val="el-GR"/>
        </w:rPr>
        <w:t>των</w:t>
      </w:r>
      <w:r w:rsidRPr="00830454">
        <w:rPr>
          <w:rFonts w:cstheme="minorHAnsi"/>
          <w:sz w:val="24"/>
          <w:szCs w:val="24"/>
          <w:lang w:val="el-GR"/>
        </w:rPr>
        <w:t xml:space="preserve"> </w:t>
      </w:r>
      <w:r>
        <w:rPr>
          <w:rFonts w:cstheme="minorHAnsi"/>
          <w:sz w:val="24"/>
          <w:szCs w:val="24"/>
          <w:lang w:val="el-GR"/>
        </w:rPr>
        <w:t>παγκοσμίων</w:t>
      </w:r>
      <w:r w:rsidRPr="00830454">
        <w:rPr>
          <w:rFonts w:cstheme="minorHAnsi"/>
          <w:sz w:val="24"/>
          <w:szCs w:val="24"/>
          <w:lang w:val="el-GR"/>
        </w:rPr>
        <w:t xml:space="preserve"> </w:t>
      </w:r>
      <w:r>
        <w:rPr>
          <w:rFonts w:cstheme="minorHAnsi"/>
          <w:sz w:val="24"/>
          <w:szCs w:val="24"/>
          <w:lang w:val="el-GR"/>
        </w:rPr>
        <w:t>κοινωνικών</w:t>
      </w:r>
      <w:r w:rsidRPr="00830454">
        <w:rPr>
          <w:rFonts w:cstheme="minorHAnsi"/>
          <w:sz w:val="24"/>
          <w:szCs w:val="24"/>
          <w:lang w:val="el-GR"/>
        </w:rPr>
        <w:t xml:space="preserve"> </w:t>
      </w:r>
      <w:r>
        <w:rPr>
          <w:rFonts w:cstheme="minorHAnsi"/>
          <w:sz w:val="24"/>
          <w:szCs w:val="24"/>
          <w:lang w:val="el-GR"/>
        </w:rPr>
        <w:t>οικονομικών</w:t>
      </w:r>
      <w:r w:rsidRPr="00830454">
        <w:rPr>
          <w:rFonts w:cstheme="minorHAnsi"/>
          <w:sz w:val="24"/>
          <w:szCs w:val="24"/>
          <w:lang w:val="el-GR"/>
        </w:rPr>
        <w:t xml:space="preserve"> </w:t>
      </w:r>
      <w:r>
        <w:rPr>
          <w:rFonts w:cstheme="minorHAnsi"/>
          <w:sz w:val="24"/>
          <w:szCs w:val="24"/>
          <w:lang w:val="el-GR"/>
        </w:rPr>
        <w:t>αλλαγών</w:t>
      </w:r>
      <w:r w:rsidR="00220066" w:rsidRPr="00830454">
        <w:rPr>
          <w:rFonts w:cstheme="minorHAnsi"/>
          <w:sz w:val="24"/>
          <w:szCs w:val="24"/>
          <w:lang w:val="el-GR"/>
        </w:rPr>
        <w:t xml:space="preserve"> </w:t>
      </w:r>
      <w:r>
        <w:rPr>
          <w:rFonts w:cstheme="minorHAnsi"/>
          <w:sz w:val="24"/>
          <w:szCs w:val="24"/>
          <w:lang w:val="el-GR"/>
        </w:rPr>
        <w:t>και</w:t>
      </w:r>
      <w:r w:rsidRPr="00830454">
        <w:rPr>
          <w:rFonts w:cstheme="minorHAnsi"/>
          <w:sz w:val="24"/>
          <w:szCs w:val="24"/>
          <w:lang w:val="el-GR"/>
        </w:rPr>
        <w:t xml:space="preserve"> </w:t>
      </w:r>
      <w:r>
        <w:rPr>
          <w:rFonts w:cstheme="minorHAnsi"/>
          <w:sz w:val="24"/>
          <w:szCs w:val="24"/>
          <w:lang w:val="el-GR"/>
        </w:rPr>
        <w:t>εξελίξεων</w:t>
      </w:r>
      <w:r w:rsidR="00220066" w:rsidRPr="00830454">
        <w:rPr>
          <w:rFonts w:cstheme="minorHAnsi"/>
          <w:sz w:val="24"/>
          <w:szCs w:val="24"/>
          <w:lang w:val="el-GR"/>
        </w:rPr>
        <w:t xml:space="preserve"> </w:t>
      </w:r>
      <w:r>
        <w:rPr>
          <w:rFonts w:cstheme="minorHAnsi"/>
          <w:sz w:val="24"/>
          <w:szCs w:val="24"/>
          <w:lang w:val="el-GR"/>
        </w:rPr>
        <w:t>που</w:t>
      </w:r>
      <w:r w:rsidRPr="00830454">
        <w:rPr>
          <w:rFonts w:cstheme="minorHAnsi"/>
          <w:sz w:val="24"/>
          <w:szCs w:val="24"/>
          <w:lang w:val="el-GR"/>
        </w:rPr>
        <w:t xml:space="preserve"> </w:t>
      </w:r>
      <w:r>
        <w:rPr>
          <w:rFonts w:cstheme="minorHAnsi"/>
          <w:sz w:val="24"/>
          <w:szCs w:val="24"/>
          <w:lang w:val="el-GR"/>
        </w:rPr>
        <w:t>έχουν</w:t>
      </w:r>
      <w:r w:rsidRPr="00830454">
        <w:rPr>
          <w:rFonts w:cstheme="minorHAnsi"/>
          <w:sz w:val="24"/>
          <w:szCs w:val="24"/>
          <w:lang w:val="el-GR"/>
        </w:rPr>
        <w:t xml:space="preserve"> </w:t>
      </w:r>
      <w:r>
        <w:rPr>
          <w:rFonts w:cstheme="minorHAnsi"/>
          <w:sz w:val="24"/>
          <w:szCs w:val="24"/>
          <w:lang w:val="el-GR"/>
        </w:rPr>
        <w:t>λάβει</w:t>
      </w:r>
      <w:r w:rsidRPr="00830454">
        <w:rPr>
          <w:rFonts w:cstheme="minorHAnsi"/>
          <w:sz w:val="24"/>
          <w:szCs w:val="24"/>
          <w:lang w:val="el-GR"/>
        </w:rPr>
        <w:t xml:space="preserve"> </w:t>
      </w:r>
      <w:r>
        <w:rPr>
          <w:rFonts w:cstheme="minorHAnsi"/>
          <w:sz w:val="24"/>
          <w:szCs w:val="24"/>
          <w:lang w:val="el-GR"/>
        </w:rPr>
        <w:t>χώρα</w:t>
      </w:r>
      <w:r w:rsidR="00220066" w:rsidRPr="00830454">
        <w:rPr>
          <w:rFonts w:cstheme="minorHAnsi"/>
          <w:sz w:val="24"/>
          <w:szCs w:val="24"/>
          <w:lang w:val="el-GR"/>
        </w:rPr>
        <w:t xml:space="preserve">, </w:t>
      </w:r>
      <w:r>
        <w:rPr>
          <w:rFonts w:cstheme="minorHAnsi"/>
          <w:sz w:val="24"/>
          <w:szCs w:val="24"/>
          <w:lang w:val="el-GR"/>
        </w:rPr>
        <w:t>καθώς</w:t>
      </w:r>
      <w:r w:rsidRPr="00830454">
        <w:rPr>
          <w:rFonts w:cstheme="minorHAnsi"/>
          <w:sz w:val="24"/>
          <w:szCs w:val="24"/>
          <w:lang w:val="el-GR"/>
        </w:rPr>
        <w:t xml:space="preserve"> </w:t>
      </w:r>
      <w:r>
        <w:rPr>
          <w:rFonts w:cstheme="minorHAnsi"/>
          <w:sz w:val="24"/>
          <w:szCs w:val="24"/>
          <w:lang w:val="el-GR"/>
        </w:rPr>
        <w:t>επίσης</w:t>
      </w:r>
      <w:r w:rsidR="00A7481D">
        <w:rPr>
          <w:rFonts w:cstheme="minorHAnsi"/>
          <w:sz w:val="24"/>
          <w:szCs w:val="24"/>
          <w:lang w:val="el-GR"/>
        </w:rPr>
        <w:t>,</w:t>
      </w:r>
      <w:r w:rsidRPr="00830454">
        <w:rPr>
          <w:rFonts w:cstheme="minorHAnsi"/>
          <w:sz w:val="24"/>
          <w:szCs w:val="24"/>
          <w:lang w:val="el-GR"/>
        </w:rPr>
        <w:t xml:space="preserve"> </w:t>
      </w:r>
      <w:r>
        <w:rPr>
          <w:rFonts w:cstheme="minorHAnsi"/>
          <w:sz w:val="24"/>
          <w:szCs w:val="24"/>
          <w:lang w:val="el-GR"/>
        </w:rPr>
        <w:t>και</w:t>
      </w:r>
      <w:r w:rsidR="00220066" w:rsidRPr="00830454">
        <w:rPr>
          <w:rFonts w:cstheme="minorHAnsi"/>
          <w:sz w:val="24"/>
          <w:szCs w:val="24"/>
          <w:lang w:val="el-GR"/>
        </w:rPr>
        <w:t xml:space="preserve"> </w:t>
      </w:r>
      <w:r>
        <w:rPr>
          <w:rFonts w:cstheme="minorHAnsi"/>
          <w:sz w:val="24"/>
          <w:szCs w:val="24"/>
          <w:lang w:val="el-GR"/>
        </w:rPr>
        <w:t>οι</w:t>
      </w:r>
      <w:r w:rsidRPr="00830454">
        <w:rPr>
          <w:rFonts w:cstheme="minorHAnsi"/>
          <w:sz w:val="24"/>
          <w:szCs w:val="24"/>
          <w:lang w:val="el-GR"/>
        </w:rPr>
        <w:t xml:space="preserve"> </w:t>
      </w:r>
      <w:r>
        <w:rPr>
          <w:rFonts w:cstheme="minorHAnsi"/>
          <w:sz w:val="24"/>
          <w:szCs w:val="24"/>
          <w:lang w:val="el-GR"/>
        </w:rPr>
        <w:t>ανάγκες</w:t>
      </w:r>
      <w:r w:rsidRPr="00830454">
        <w:rPr>
          <w:rFonts w:cstheme="minorHAnsi"/>
          <w:sz w:val="24"/>
          <w:szCs w:val="24"/>
          <w:lang w:val="el-GR"/>
        </w:rPr>
        <w:t xml:space="preserve"> </w:t>
      </w:r>
      <w:r>
        <w:rPr>
          <w:rFonts w:cstheme="minorHAnsi"/>
          <w:sz w:val="24"/>
          <w:szCs w:val="24"/>
          <w:lang w:val="el-GR"/>
        </w:rPr>
        <w:t>της</w:t>
      </w:r>
      <w:r w:rsidRPr="00830454">
        <w:rPr>
          <w:rFonts w:cstheme="minorHAnsi"/>
          <w:sz w:val="24"/>
          <w:szCs w:val="24"/>
          <w:lang w:val="el-GR"/>
        </w:rPr>
        <w:t xml:space="preserve"> </w:t>
      </w:r>
      <w:r>
        <w:rPr>
          <w:rFonts w:cstheme="minorHAnsi"/>
          <w:sz w:val="24"/>
          <w:szCs w:val="24"/>
          <w:lang w:val="el-GR"/>
        </w:rPr>
        <w:t>σύγχρονης</w:t>
      </w:r>
      <w:r w:rsidRPr="00830454">
        <w:rPr>
          <w:rFonts w:cstheme="minorHAnsi"/>
          <w:sz w:val="24"/>
          <w:szCs w:val="24"/>
          <w:lang w:val="el-GR"/>
        </w:rPr>
        <w:t xml:space="preserve"> </w:t>
      </w:r>
      <w:r>
        <w:rPr>
          <w:rFonts w:cstheme="minorHAnsi"/>
          <w:sz w:val="24"/>
          <w:szCs w:val="24"/>
          <w:lang w:val="el-GR"/>
        </w:rPr>
        <w:t>Κυπριακής</w:t>
      </w:r>
      <w:r w:rsidRPr="00830454">
        <w:rPr>
          <w:rFonts w:cstheme="minorHAnsi"/>
          <w:sz w:val="24"/>
          <w:szCs w:val="24"/>
          <w:lang w:val="el-GR"/>
        </w:rPr>
        <w:t xml:space="preserve"> </w:t>
      </w:r>
      <w:r>
        <w:rPr>
          <w:rFonts w:cstheme="minorHAnsi"/>
          <w:sz w:val="24"/>
          <w:szCs w:val="24"/>
          <w:lang w:val="el-GR"/>
        </w:rPr>
        <w:t>κοινωνίας</w:t>
      </w:r>
      <w:r w:rsidR="00220066" w:rsidRPr="00830454">
        <w:rPr>
          <w:rFonts w:cstheme="minorHAnsi"/>
          <w:sz w:val="24"/>
          <w:szCs w:val="24"/>
          <w:lang w:val="el-GR"/>
        </w:rPr>
        <w:t xml:space="preserve">, </w:t>
      </w:r>
      <w:r>
        <w:rPr>
          <w:rFonts w:cstheme="minorHAnsi"/>
          <w:sz w:val="24"/>
          <w:szCs w:val="24"/>
          <w:lang w:val="el-GR"/>
        </w:rPr>
        <w:t>η</w:t>
      </w:r>
      <w:r w:rsidRPr="00830454">
        <w:rPr>
          <w:rFonts w:cstheme="minorHAnsi"/>
          <w:sz w:val="24"/>
          <w:szCs w:val="24"/>
          <w:lang w:val="el-GR"/>
        </w:rPr>
        <w:t xml:space="preserve"> </w:t>
      </w:r>
      <w:r w:rsidR="009C4E34">
        <w:rPr>
          <w:rFonts w:cstheme="minorHAnsi"/>
          <w:sz w:val="24"/>
          <w:szCs w:val="24"/>
          <w:lang w:val="el-GR"/>
        </w:rPr>
        <w:t>Αστυνομία</w:t>
      </w:r>
      <w:r w:rsidR="00220066" w:rsidRPr="00830454">
        <w:rPr>
          <w:rFonts w:cstheme="minorHAnsi"/>
          <w:sz w:val="24"/>
          <w:szCs w:val="24"/>
          <w:lang w:val="el-GR"/>
        </w:rPr>
        <w:t xml:space="preserve"> </w:t>
      </w:r>
      <w:r>
        <w:rPr>
          <w:rFonts w:cstheme="minorHAnsi"/>
          <w:sz w:val="24"/>
          <w:szCs w:val="24"/>
          <w:lang w:val="el-GR"/>
        </w:rPr>
        <w:t>έχει</w:t>
      </w:r>
      <w:r w:rsidRPr="00830454">
        <w:rPr>
          <w:rFonts w:cstheme="minorHAnsi"/>
          <w:sz w:val="24"/>
          <w:szCs w:val="24"/>
          <w:lang w:val="el-GR"/>
        </w:rPr>
        <w:t xml:space="preserve"> </w:t>
      </w:r>
      <w:r>
        <w:rPr>
          <w:rFonts w:cstheme="minorHAnsi"/>
          <w:sz w:val="24"/>
          <w:szCs w:val="24"/>
          <w:lang w:val="el-GR"/>
        </w:rPr>
        <w:t>αρχίσει</w:t>
      </w:r>
      <w:r w:rsidRPr="00830454">
        <w:rPr>
          <w:rFonts w:cstheme="minorHAnsi"/>
          <w:sz w:val="24"/>
          <w:szCs w:val="24"/>
          <w:lang w:val="el-GR"/>
        </w:rPr>
        <w:t xml:space="preserve"> </w:t>
      </w:r>
      <w:r>
        <w:rPr>
          <w:rFonts w:cstheme="minorHAnsi"/>
          <w:sz w:val="24"/>
          <w:szCs w:val="24"/>
          <w:lang w:val="el-GR"/>
        </w:rPr>
        <w:t>να</w:t>
      </w:r>
      <w:r w:rsidRPr="00830454">
        <w:rPr>
          <w:rFonts w:cstheme="minorHAnsi"/>
          <w:sz w:val="24"/>
          <w:szCs w:val="24"/>
          <w:lang w:val="el-GR"/>
        </w:rPr>
        <w:t xml:space="preserve"> </w:t>
      </w:r>
      <w:r w:rsidR="00C9244D">
        <w:rPr>
          <w:rFonts w:cstheme="minorHAnsi"/>
          <w:sz w:val="24"/>
          <w:szCs w:val="24"/>
          <w:lang w:val="el-GR"/>
        </w:rPr>
        <w:t>διαφοροποιεί</w:t>
      </w:r>
      <w:r>
        <w:rPr>
          <w:rFonts w:cstheme="minorHAnsi"/>
          <w:sz w:val="24"/>
          <w:szCs w:val="24"/>
          <w:lang w:val="el-GR"/>
        </w:rPr>
        <w:t xml:space="preserve"> σταδιακά τον ρόλο και την αποστολή της</w:t>
      </w:r>
      <w:r w:rsidR="00220066" w:rsidRPr="00830454">
        <w:rPr>
          <w:rFonts w:cstheme="minorHAnsi"/>
          <w:sz w:val="24"/>
          <w:szCs w:val="24"/>
          <w:lang w:val="el-GR"/>
        </w:rPr>
        <w:t xml:space="preserve">, </w:t>
      </w:r>
      <w:r w:rsidR="00416EC6">
        <w:rPr>
          <w:rFonts w:cstheme="minorHAnsi"/>
          <w:sz w:val="24"/>
          <w:szCs w:val="24"/>
          <w:lang w:val="el-GR"/>
        </w:rPr>
        <w:t>αλλάζοντας από δύναμη σε οργάνωση</w:t>
      </w:r>
      <w:r w:rsidR="00220066" w:rsidRPr="00830454">
        <w:rPr>
          <w:rFonts w:cstheme="minorHAnsi"/>
          <w:sz w:val="24"/>
          <w:szCs w:val="24"/>
          <w:lang w:val="el-GR"/>
        </w:rPr>
        <w:t xml:space="preserve">, </w:t>
      </w:r>
      <w:r w:rsidR="00416EC6">
        <w:rPr>
          <w:rFonts w:cstheme="minorHAnsi"/>
          <w:sz w:val="24"/>
          <w:szCs w:val="24"/>
          <w:lang w:val="el-GR"/>
        </w:rPr>
        <w:t>που σκοπό έχει όχι μόνο την εκπλήρωση της αποστολής της</w:t>
      </w:r>
      <w:r w:rsidR="00220066" w:rsidRPr="00830454">
        <w:rPr>
          <w:rFonts w:cstheme="minorHAnsi"/>
          <w:sz w:val="24"/>
          <w:szCs w:val="24"/>
          <w:lang w:val="el-GR"/>
        </w:rPr>
        <w:t xml:space="preserve">, </w:t>
      </w:r>
      <w:r w:rsidR="00BA4606">
        <w:rPr>
          <w:rFonts w:cstheme="minorHAnsi"/>
          <w:sz w:val="24"/>
          <w:szCs w:val="24"/>
          <w:lang w:val="el-GR"/>
        </w:rPr>
        <w:t xml:space="preserve">όπως αυτή </w:t>
      </w:r>
      <w:r w:rsidR="00416EC6">
        <w:rPr>
          <w:rFonts w:cstheme="minorHAnsi"/>
          <w:sz w:val="24"/>
          <w:szCs w:val="24"/>
          <w:lang w:val="el-GR"/>
        </w:rPr>
        <w:t>διατυπώνεται από τον νόμο</w:t>
      </w:r>
      <w:r w:rsidR="00220066" w:rsidRPr="00830454">
        <w:rPr>
          <w:rFonts w:cstheme="minorHAnsi"/>
          <w:sz w:val="24"/>
          <w:szCs w:val="24"/>
          <w:lang w:val="el-GR"/>
        </w:rPr>
        <w:t xml:space="preserve">, </w:t>
      </w:r>
      <w:r w:rsidR="00416EC6">
        <w:rPr>
          <w:rFonts w:cstheme="minorHAnsi"/>
          <w:sz w:val="24"/>
          <w:szCs w:val="24"/>
          <w:lang w:val="el-GR"/>
        </w:rPr>
        <w:t>αλλά επίσης την παροχή υπηρεσιών και βοήθειας στο κοινό</w:t>
      </w:r>
      <w:r w:rsidR="00220066" w:rsidRPr="00830454">
        <w:rPr>
          <w:rFonts w:cstheme="minorHAnsi"/>
          <w:sz w:val="24"/>
          <w:szCs w:val="24"/>
          <w:lang w:val="el-GR"/>
        </w:rPr>
        <w:t xml:space="preserve">. </w:t>
      </w:r>
      <w:r w:rsidR="00416EC6">
        <w:rPr>
          <w:rFonts w:cstheme="minorHAnsi"/>
          <w:sz w:val="24"/>
          <w:szCs w:val="24"/>
          <w:lang w:val="el-GR"/>
        </w:rPr>
        <w:t>Ένα</w:t>
      </w:r>
      <w:r w:rsidR="00416EC6" w:rsidRPr="00416EC6">
        <w:rPr>
          <w:rFonts w:cstheme="minorHAnsi"/>
          <w:sz w:val="24"/>
          <w:szCs w:val="24"/>
          <w:lang w:val="el-GR"/>
        </w:rPr>
        <w:t xml:space="preserve"> </w:t>
      </w:r>
      <w:r w:rsidR="00416EC6">
        <w:rPr>
          <w:rFonts w:cstheme="minorHAnsi"/>
          <w:sz w:val="24"/>
          <w:szCs w:val="24"/>
          <w:lang w:val="el-GR"/>
        </w:rPr>
        <w:t>σημαντικό</w:t>
      </w:r>
      <w:r w:rsidR="00416EC6" w:rsidRPr="00416EC6">
        <w:rPr>
          <w:rFonts w:cstheme="minorHAnsi"/>
          <w:sz w:val="24"/>
          <w:szCs w:val="24"/>
          <w:lang w:val="el-GR"/>
        </w:rPr>
        <w:t xml:space="preserve"> </w:t>
      </w:r>
      <w:r w:rsidR="00416EC6">
        <w:rPr>
          <w:rFonts w:cstheme="minorHAnsi"/>
          <w:sz w:val="24"/>
          <w:szCs w:val="24"/>
          <w:lang w:val="el-GR"/>
        </w:rPr>
        <w:t>μέρος</w:t>
      </w:r>
      <w:r w:rsidR="00416EC6" w:rsidRPr="00416EC6">
        <w:rPr>
          <w:rFonts w:cstheme="minorHAnsi"/>
          <w:sz w:val="24"/>
          <w:szCs w:val="24"/>
          <w:lang w:val="el-GR"/>
        </w:rPr>
        <w:t xml:space="preserve"> </w:t>
      </w:r>
      <w:r w:rsidR="00416EC6">
        <w:rPr>
          <w:rFonts w:cstheme="minorHAnsi"/>
          <w:sz w:val="24"/>
          <w:szCs w:val="24"/>
          <w:lang w:val="el-GR"/>
        </w:rPr>
        <w:t>των</w:t>
      </w:r>
      <w:r w:rsidR="00416EC6" w:rsidRPr="00416EC6">
        <w:rPr>
          <w:rFonts w:cstheme="minorHAnsi"/>
          <w:sz w:val="24"/>
          <w:szCs w:val="24"/>
          <w:lang w:val="el-GR"/>
        </w:rPr>
        <w:t xml:space="preserve"> </w:t>
      </w:r>
      <w:r w:rsidR="00416EC6">
        <w:rPr>
          <w:rFonts w:cstheme="minorHAnsi"/>
          <w:sz w:val="24"/>
          <w:szCs w:val="24"/>
          <w:lang w:val="el-GR"/>
        </w:rPr>
        <w:t>ανθρωπίνων</w:t>
      </w:r>
      <w:r w:rsidR="00416EC6" w:rsidRPr="00416EC6">
        <w:rPr>
          <w:rFonts w:cstheme="minorHAnsi"/>
          <w:sz w:val="24"/>
          <w:szCs w:val="24"/>
          <w:lang w:val="el-GR"/>
        </w:rPr>
        <w:t xml:space="preserve"> </w:t>
      </w:r>
      <w:r w:rsidR="00416EC6">
        <w:rPr>
          <w:rFonts w:cstheme="minorHAnsi"/>
          <w:sz w:val="24"/>
          <w:szCs w:val="24"/>
          <w:lang w:val="el-GR"/>
        </w:rPr>
        <w:t>πόρων</w:t>
      </w:r>
      <w:r w:rsidR="00416EC6" w:rsidRPr="00416EC6">
        <w:rPr>
          <w:rFonts w:cstheme="minorHAnsi"/>
          <w:sz w:val="24"/>
          <w:szCs w:val="24"/>
          <w:lang w:val="el-GR"/>
        </w:rPr>
        <w:t xml:space="preserve"> </w:t>
      </w:r>
      <w:r w:rsidR="00416EC6">
        <w:rPr>
          <w:rFonts w:cstheme="minorHAnsi"/>
          <w:sz w:val="24"/>
          <w:szCs w:val="24"/>
          <w:lang w:val="el-GR"/>
        </w:rPr>
        <w:t>και</w:t>
      </w:r>
      <w:r w:rsidR="00416EC6" w:rsidRPr="00416EC6">
        <w:rPr>
          <w:rFonts w:cstheme="minorHAnsi"/>
          <w:sz w:val="24"/>
          <w:szCs w:val="24"/>
          <w:lang w:val="el-GR"/>
        </w:rPr>
        <w:t xml:space="preserve"> </w:t>
      </w:r>
      <w:r w:rsidR="00416EC6">
        <w:rPr>
          <w:rFonts w:cstheme="minorHAnsi"/>
          <w:sz w:val="24"/>
          <w:szCs w:val="24"/>
          <w:lang w:val="el-GR"/>
        </w:rPr>
        <w:t>μέσων</w:t>
      </w:r>
      <w:r w:rsidR="00416EC6" w:rsidRPr="00416EC6">
        <w:rPr>
          <w:rFonts w:cstheme="minorHAnsi"/>
          <w:sz w:val="24"/>
          <w:szCs w:val="24"/>
          <w:lang w:val="el-GR"/>
        </w:rPr>
        <w:t xml:space="preserve"> </w:t>
      </w:r>
      <w:r w:rsidR="00416EC6">
        <w:rPr>
          <w:rFonts w:cstheme="minorHAnsi"/>
          <w:sz w:val="24"/>
          <w:szCs w:val="24"/>
          <w:lang w:val="el-GR"/>
        </w:rPr>
        <w:t>της</w:t>
      </w:r>
      <w:r w:rsidR="00416EC6" w:rsidRPr="00416EC6">
        <w:rPr>
          <w:rFonts w:cstheme="minorHAnsi"/>
          <w:sz w:val="24"/>
          <w:szCs w:val="24"/>
          <w:lang w:val="el-GR"/>
        </w:rPr>
        <w:t xml:space="preserve"> </w:t>
      </w:r>
      <w:r w:rsidR="009C4E34">
        <w:rPr>
          <w:rFonts w:cstheme="minorHAnsi"/>
          <w:sz w:val="24"/>
          <w:szCs w:val="24"/>
          <w:lang w:val="el-GR"/>
        </w:rPr>
        <w:t>Αστυνομία</w:t>
      </w:r>
      <w:r w:rsidR="00416EC6">
        <w:rPr>
          <w:rFonts w:cstheme="minorHAnsi"/>
          <w:sz w:val="24"/>
          <w:szCs w:val="24"/>
          <w:lang w:val="el-GR"/>
        </w:rPr>
        <w:t>ς</w:t>
      </w:r>
      <w:r w:rsidR="00220066" w:rsidRPr="00416EC6">
        <w:rPr>
          <w:rFonts w:cstheme="minorHAnsi"/>
          <w:sz w:val="24"/>
          <w:szCs w:val="24"/>
          <w:lang w:val="el-GR"/>
        </w:rPr>
        <w:t xml:space="preserve"> </w:t>
      </w:r>
      <w:r w:rsidR="00416EC6">
        <w:rPr>
          <w:rFonts w:cstheme="minorHAnsi"/>
          <w:sz w:val="24"/>
          <w:szCs w:val="24"/>
          <w:lang w:val="el-GR"/>
        </w:rPr>
        <w:t>είναι αφιερωμένο στην επίτευξη του σκοπού αυτού</w:t>
      </w:r>
      <w:r w:rsidR="00220066" w:rsidRPr="00416EC6">
        <w:rPr>
          <w:rFonts w:cstheme="minorHAnsi"/>
          <w:sz w:val="24"/>
          <w:szCs w:val="24"/>
          <w:lang w:val="el-GR"/>
        </w:rPr>
        <w:t>.</w:t>
      </w:r>
    </w:p>
    <w:p w14:paraId="3546BCE1" w14:textId="77777777" w:rsidR="00220066" w:rsidRPr="00416EC6" w:rsidRDefault="00220066" w:rsidP="00220066">
      <w:pPr>
        <w:widowControl w:val="0"/>
        <w:tabs>
          <w:tab w:val="left" w:pos="709"/>
        </w:tabs>
        <w:rPr>
          <w:rFonts w:cstheme="minorHAnsi"/>
          <w:sz w:val="24"/>
          <w:szCs w:val="24"/>
          <w:lang w:val="el-GR"/>
        </w:rPr>
      </w:pPr>
    </w:p>
    <w:p w14:paraId="75C8CF7D" w14:textId="16C639D8" w:rsidR="00220066" w:rsidRPr="00416EC6" w:rsidRDefault="00416EC6" w:rsidP="00220066">
      <w:pPr>
        <w:widowControl w:val="0"/>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Η</w:t>
      </w:r>
      <w:r w:rsidRPr="00416EC6">
        <w:rPr>
          <w:rFonts w:cstheme="minorHAnsi"/>
          <w:sz w:val="24"/>
          <w:szCs w:val="24"/>
          <w:lang w:val="el-GR"/>
        </w:rPr>
        <w:t xml:space="preserve"> </w:t>
      </w:r>
      <w:r>
        <w:rPr>
          <w:rFonts w:cstheme="minorHAnsi"/>
          <w:sz w:val="24"/>
          <w:szCs w:val="24"/>
          <w:lang w:val="el-GR"/>
        </w:rPr>
        <w:t>οργάνωση</w:t>
      </w:r>
      <w:r w:rsidRPr="00416EC6">
        <w:rPr>
          <w:rFonts w:cstheme="minorHAnsi"/>
          <w:sz w:val="24"/>
          <w:szCs w:val="24"/>
          <w:lang w:val="el-GR"/>
        </w:rPr>
        <w:t xml:space="preserve"> </w:t>
      </w:r>
      <w:r>
        <w:rPr>
          <w:rFonts w:cstheme="minorHAnsi"/>
          <w:sz w:val="24"/>
          <w:szCs w:val="24"/>
          <w:lang w:val="el-GR"/>
        </w:rPr>
        <w:t>της</w:t>
      </w:r>
      <w:r w:rsidRPr="00416EC6">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Pr="00416EC6">
        <w:rPr>
          <w:rFonts w:cstheme="minorHAnsi"/>
          <w:sz w:val="24"/>
          <w:szCs w:val="24"/>
          <w:lang w:val="el-GR"/>
        </w:rPr>
        <w:t xml:space="preserve"> </w:t>
      </w:r>
      <w:r>
        <w:rPr>
          <w:rFonts w:cstheme="minorHAnsi"/>
          <w:sz w:val="24"/>
          <w:szCs w:val="24"/>
          <w:lang w:val="el-GR"/>
        </w:rPr>
        <w:t>είναι</w:t>
      </w:r>
      <w:r w:rsidRPr="00416EC6">
        <w:rPr>
          <w:rFonts w:cstheme="minorHAnsi"/>
          <w:sz w:val="24"/>
          <w:szCs w:val="24"/>
          <w:lang w:val="el-GR"/>
        </w:rPr>
        <w:t xml:space="preserve"> </w:t>
      </w:r>
      <w:r>
        <w:rPr>
          <w:rFonts w:cstheme="minorHAnsi"/>
          <w:sz w:val="24"/>
          <w:szCs w:val="24"/>
          <w:lang w:val="el-GR"/>
        </w:rPr>
        <w:t>βασισμένη</w:t>
      </w:r>
      <w:r w:rsidRPr="00416EC6">
        <w:rPr>
          <w:rFonts w:cstheme="minorHAnsi"/>
          <w:sz w:val="24"/>
          <w:szCs w:val="24"/>
          <w:lang w:val="el-GR"/>
        </w:rPr>
        <w:t xml:space="preserve"> </w:t>
      </w:r>
      <w:r>
        <w:rPr>
          <w:rFonts w:cstheme="minorHAnsi"/>
          <w:sz w:val="24"/>
          <w:szCs w:val="24"/>
          <w:lang w:val="el-GR"/>
        </w:rPr>
        <w:t>πάνω</w:t>
      </w:r>
      <w:r w:rsidRPr="00416EC6">
        <w:rPr>
          <w:rFonts w:cstheme="minorHAnsi"/>
          <w:sz w:val="24"/>
          <w:szCs w:val="24"/>
          <w:lang w:val="el-GR"/>
        </w:rPr>
        <w:t xml:space="preserve"> </w:t>
      </w:r>
      <w:r>
        <w:rPr>
          <w:rFonts w:cstheme="minorHAnsi"/>
          <w:sz w:val="24"/>
          <w:szCs w:val="24"/>
          <w:lang w:val="el-GR"/>
        </w:rPr>
        <w:t>σε</w:t>
      </w:r>
      <w:r w:rsidRPr="00416EC6">
        <w:rPr>
          <w:rFonts w:cstheme="minorHAnsi"/>
          <w:sz w:val="24"/>
          <w:szCs w:val="24"/>
          <w:lang w:val="el-GR"/>
        </w:rPr>
        <w:t xml:space="preserve"> </w:t>
      </w:r>
      <w:r>
        <w:rPr>
          <w:rFonts w:cstheme="minorHAnsi"/>
          <w:sz w:val="24"/>
          <w:szCs w:val="24"/>
          <w:lang w:val="el-GR"/>
        </w:rPr>
        <w:t>μια</w:t>
      </w:r>
      <w:r w:rsidRPr="00416EC6">
        <w:rPr>
          <w:rFonts w:cstheme="minorHAnsi"/>
          <w:sz w:val="24"/>
          <w:szCs w:val="24"/>
          <w:lang w:val="el-GR"/>
        </w:rPr>
        <w:t xml:space="preserve"> </w:t>
      </w:r>
      <w:r>
        <w:rPr>
          <w:rFonts w:cstheme="minorHAnsi"/>
          <w:sz w:val="24"/>
          <w:szCs w:val="24"/>
          <w:lang w:val="el-GR"/>
        </w:rPr>
        <w:t>ιεραρχική</w:t>
      </w:r>
      <w:r w:rsidRPr="00416EC6">
        <w:rPr>
          <w:rFonts w:cstheme="minorHAnsi"/>
          <w:sz w:val="24"/>
          <w:szCs w:val="24"/>
          <w:lang w:val="el-GR"/>
        </w:rPr>
        <w:t xml:space="preserve"> </w:t>
      </w:r>
      <w:r>
        <w:rPr>
          <w:rFonts w:cstheme="minorHAnsi"/>
          <w:sz w:val="24"/>
          <w:szCs w:val="24"/>
          <w:lang w:val="el-GR"/>
        </w:rPr>
        <w:t>δομή</w:t>
      </w:r>
      <w:r w:rsidR="00220066" w:rsidRPr="00416EC6">
        <w:rPr>
          <w:rFonts w:cstheme="minorHAnsi"/>
          <w:sz w:val="24"/>
          <w:szCs w:val="24"/>
          <w:lang w:val="el-GR"/>
        </w:rPr>
        <w:t xml:space="preserve">. </w:t>
      </w:r>
      <w:r>
        <w:rPr>
          <w:rFonts w:cstheme="minorHAnsi"/>
          <w:sz w:val="24"/>
          <w:szCs w:val="24"/>
          <w:lang w:val="el-GR"/>
        </w:rPr>
        <w:t>Η</w:t>
      </w:r>
      <w:r w:rsidRPr="00416EC6">
        <w:rPr>
          <w:rFonts w:cstheme="minorHAnsi"/>
          <w:sz w:val="24"/>
          <w:szCs w:val="24"/>
          <w:lang w:val="el-GR"/>
        </w:rPr>
        <w:t xml:space="preserve"> </w:t>
      </w:r>
      <w:r>
        <w:rPr>
          <w:rFonts w:cstheme="minorHAnsi"/>
          <w:sz w:val="24"/>
          <w:szCs w:val="24"/>
          <w:lang w:val="el-GR"/>
        </w:rPr>
        <w:t>διοίκηση</w:t>
      </w:r>
      <w:r w:rsidRPr="00416EC6">
        <w:rPr>
          <w:rFonts w:cstheme="minorHAnsi"/>
          <w:sz w:val="24"/>
          <w:szCs w:val="24"/>
          <w:lang w:val="el-GR"/>
        </w:rPr>
        <w:t xml:space="preserve"> </w:t>
      </w:r>
      <w:r>
        <w:rPr>
          <w:rFonts w:cstheme="minorHAnsi"/>
          <w:sz w:val="24"/>
          <w:szCs w:val="24"/>
          <w:lang w:val="el-GR"/>
        </w:rPr>
        <w:t>της</w:t>
      </w:r>
      <w:r w:rsidRPr="00416EC6">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Pr="00416EC6">
        <w:rPr>
          <w:rFonts w:cstheme="minorHAnsi"/>
          <w:sz w:val="24"/>
          <w:szCs w:val="24"/>
          <w:lang w:val="el-GR"/>
        </w:rPr>
        <w:t xml:space="preserve"> </w:t>
      </w:r>
      <w:r>
        <w:rPr>
          <w:rFonts w:cstheme="minorHAnsi"/>
          <w:sz w:val="24"/>
          <w:szCs w:val="24"/>
          <w:lang w:val="el-GR"/>
        </w:rPr>
        <w:t>κατοχυρώνεται</w:t>
      </w:r>
      <w:r w:rsidRPr="00416EC6">
        <w:rPr>
          <w:rFonts w:cstheme="minorHAnsi"/>
          <w:sz w:val="24"/>
          <w:szCs w:val="24"/>
          <w:lang w:val="el-GR"/>
        </w:rPr>
        <w:t xml:space="preserve"> </w:t>
      </w:r>
      <w:r>
        <w:rPr>
          <w:rFonts w:cstheme="minorHAnsi"/>
          <w:sz w:val="24"/>
          <w:szCs w:val="24"/>
          <w:lang w:val="el-GR"/>
        </w:rPr>
        <w:t>στον</w:t>
      </w:r>
      <w:r w:rsidRPr="00416EC6">
        <w:rPr>
          <w:rFonts w:cstheme="minorHAnsi"/>
          <w:sz w:val="24"/>
          <w:szCs w:val="24"/>
          <w:lang w:val="el-GR"/>
        </w:rPr>
        <w:t xml:space="preserve"> </w:t>
      </w:r>
      <w:r>
        <w:rPr>
          <w:rFonts w:cstheme="minorHAnsi"/>
          <w:sz w:val="24"/>
          <w:szCs w:val="24"/>
          <w:lang w:val="el-GR"/>
        </w:rPr>
        <w:t>Αρχηγό</w:t>
      </w:r>
      <w:r w:rsidRPr="00416EC6">
        <w:rPr>
          <w:rFonts w:cstheme="minorHAnsi"/>
          <w:sz w:val="24"/>
          <w:szCs w:val="24"/>
          <w:lang w:val="el-GR"/>
        </w:rPr>
        <w:t xml:space="preserve"> </w:t>
      </w:r>
      <w:r>
        <w:rPr>
          <w:rFonts w:cstheme="minorHAnsi"/>
          <w:sz w:val="24"/>
          <w:szCs w:val="24"/>
          <w:lang w:val="el-GR"/>
        </w:rPr>
        <w:t>της</w:t>
      </w:r>
      <w:r w:rsidRPr="00416EC6">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416EC6">
        <w:rPr>
          <w:rFonts w:cstheme="minorHAnsi"/>
          <w:sz w:val="24"/>
          <w:szCs w:val="24"/>
          <w:lang w:val="el-GR"/>
        </w:rPr>
        <w:t xml:space="preserve"> </w:t>
      </w:r>
      <w:r>
        <w:rPr>
          <w:rFonts w:cstheme="minorHAnsi"/>
          <w:sz w:val="24"/>
          <w:szCs w:val="24"/>
          <w:lang w:val="el-GR"/>
        </w:rPr>
        <w:t>που μπορεί</w:t>
      </w:r>
      <w:r w:rsidR="00220066" w:rsidRPr="00416EC6">
        <w:rPr>
          <w:rFonts w:cstheme="minorHAnsi"/>
          <w:sz w:val="24"/>
          <w:szCs w:val="24"/>
          <w:lang w:val="el-GR"/>
        </w:rPr>
        <w:t xml:space="preserve">, </w:t>
      </w:r>
      <w:r>
        <w:rPr>
          <w:rFonts w:cstheme="minorHAnsi"/>
          <w:sz w:val="24"/>
          <w:szCs w:val="24"/>
          <w:lang w:val="el-GR"/>
        </w:rPr>
        <w:t>για τον σκοπό αυτό</w:t>
      </w:r>
      <w:r w:rsidR="00220066" w:rsidRPr="00416EC6">
        <w:rPr>
          <w:rFonts w:cstheme="minorHAnsi"/>
          <w:sz w:val="24"/>
          <w:szCs w:val="24"/>
          <w:lang w:val="el-GR"/>
        </w:rPr>
        <w:t xml:space="preserve">, </w:t>
      </w:r>
      <w:r>
        <w:rPr>
          <w:rFonts w:cstheme="minorHAnsi"/>
          <w:sz w:val="24"/>
          <w:szCs w:val="24"/>
          <w:lang w:val="el-GR"/>
        </w:rPr>
        <w:t xml:space="preserve">να </w:t>
      </w:r>
      <w:r w:rsidR="00C9244D">
        <w:rPr>
          <w:rFonts w:cstheme="minorHAnsi"/>
          <w:sz w:val="24"/>
          <w:szCs w:val="24"/>
          <w:lang w:val="el-GR"/>
        </w:rPr>
        <w:t>εκδώσει</w:t>
      </w:r>
      <w:r>
        <w:rPr>
          <w:rFonts w:cstheme="minorHAnsi"/>
          <w:sz w:val="24"/>
          <w:szCs w:val="24"/>
          <w:lang w:val="el-GR"/>
        </w:rPr>
        <w:t xml:space="preserve"> Αστυνομικ</w:t>
      </w:r>
      <w:r w:rsidR="00BA4606">
        <w:rPr>
          <w:rFonts w:cstheme="minorHAnsi"/>
          <w:sz w:val="24"/>
          <w:szCs w:val="24"/>
          <w:lang w:val="el-GR"/>
        </w:rPr>
        <w:t>ές</w:t>
      </w:r>
      <w:r>
        <w:rPr>
          <w:rFonts w:cstheme="minorHAnsi"/>
          <w:sz w:val="24"/>
          <w:szCs w:val="24"/>
          <w:lang w:val="el-GR"/>
        </w:rPr>
        <w:t xml:space="preserve"> </w:t>
      </w:r>
      <w:r w:rsidR="00BA4606">
        <w:rPr>
          <w:rFonts w:cstheme="minorHAnsi"/>
          <w:sz w:val="24"/>
          <w:szCs w:val="24"/>
          <w:lang w:val="el-GR"/>
        </w:rPr>
        <w:t>Διατάξεις</w:t>
      </w:r>
      <w:r w:rsidR="00C9244D" w:rsidRPr="00BD7404">
        <w:rPr>
          <w:rFonts w:cstheme="minorHAnsi"/>
          <w:sz w:val="24"/>
          <w:szCs w:val="24"/>
          <w:lang w:val="el-GR"/>
        </w:rPr>
        <w:t xml:space="preserve"> </w:t>
      </w:r>
      <w:r>
        <w:rPr>
          <w:rFonts w:cstheme="minorHAnsi"/>
          <w:sz w:val="24"/>
          <w:szCs w:val="24"/>
          <w:lang w:val="el-GR"/>
        </w:rPr>
        <w:t>Πάγια Διατάγματα</w:t>
      </w:r>
      <w:r w:rsidR="00220066" w:rsidRPr="00416EC6">
        <w:rPr>
          <w:rFonts w:cstheme="minorHAnsi"/>
          <w:sz w:val="24"/>
          <w:szCs w:val="24"/>
          <w:lang w:val="el-GR"/>
        </w:rPr>
        <w:t xml:space="preserve">. </w:t>
      </w:r>
      <w:r>
        <w:rPr>
          <w:rFonts w:cstheme="minorHAnsi"/>
          <w:sz w:val="24"/>
          <w:szCs w:val="24"/>
          <w:lang w:val="el-GR"/>
        </w:rPr>
        <w:t>Ο</w:t>
      </w:r>
      <w:r w:rsidRPr="00416EC6">
        <w:rPr>
          <w:rFonts w:cstheme="minorHAnsi"/>
          <w:sz w:val="24"/>
          <w:szCs w:val="24"/>
          <w:lang w:val="el-GR"/>
        </w:rPr>
        <w:t xml:space="preserve"> </w:t>
      </w:r>
      <w:r>
        <w:rPr>
          <w:rFonts w:cstheme="minorHAnsi"/>
          <w:sz w:val="24"/>
          <w:szCs w:val="24"/>
          <w:lang w:val="el-GR"/>
        </w:rPr>
        <w:t>Αρχηγός</w:t>
      </w:r>
      <w:r w:rsidRPr="00416EC6">
        <w:rPr>
          <w:rFonts w:cstheme="minorHAnsi"/>
          <w:sz w:val="24"/>
          <w:szCs w:val="24"/>
          <w:lang w:val="el-GR"/>
        </w:rPr>
        <w:t xml:space="preserve"> </w:t>
      </w:r>
      <w:r>
        <w:rPr>
          <w:rFonts w:cstheme="minorHAnsi"/>
          <w:sz w:val="24"/>
          <w:szCs w:val="24"/>
          <w:lang w:val="el-GR"/>
        </w:rPr>
        <w:t>της</w:t>
      </w:r>
      <w:r w:rsidRPr="00416EC6">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416EC6">
        <w:rPr>
          <w:rFonts w:cstheme="minorHAnsi"/>
          <w:sz w:val="24"/>
          <w:szCs w:val="24"/>
          <w:lang w:val="el-GR"/>
        </w:rPr>
        <w:t xml:space="preserve"> </w:t>
      </w:r>
      <w:r>
        <w:rPr>
          <w:rFonts w:cstheme="minorHAnsi"/>
          <w:sz w:val="24"/>
          <w:szCs w:val="24"/>
          <w:lang w:val="el-GR"/>
        </w:rPr>
        <w:t>είναι</w:t>
      </w:r>
      <w:r w:rsidRPr="00416EC6">
        <w:rPr>
          <w:rFonts w:cstheme="minorHAnsi"/>
          <w:sz w:val="24"/>
          <w:szCs w:val="24"/>
          <w:lang w:val="el-GR"/>
        </w:rPr>
        <w:t xml:space="preserve"> </w:t>
      </w:r>
      <w:r>
        <w:rPr>
          <w:rFonts w:cstheme="minorHAnsi"/>
          <w:sz w:val="24"/>
          <w:szCs w:val="24"/>
          <w:lang w:val="el-GR"/>
        </w:rPr>
        <w:t>επίσης</w:t>
      </w:r>
      <w:r w:rsidRPr="00416EC6">
        <w:rPr>
          <w:rFonts w:cstheme="minorHAnsi"/>
          <w:sz w:val="24"/>
          <w:szCs w:val="24"/>
          <w:lang w:val="el-GR"/>
        </w:rPr>
        <w:t xml:space="preserve"> </w:t>
      </w:r>
      <w:r>
        <w:rPr>
          <w:rFonts w:cstheme="minorHAnsi"/>
          <w:sz w:val="24"/>
          <w:szCs w:val="24"/>
          <w:lang w:val="el-GR"/>
        </w:rPr>
        <w:t>υπεύθυνος</w:t>
      </w:r>
      <w:r w:rsidRPr="00416EC6">
        <w:rPr>
          <w:rFonts w:cstheme="minorHAnsi"/>
          <w:sz w:val="24"/>
          <w:szCs w:val="24"/>
          <w:lang w:val="el-GR"/>
        </w:rPr>
        <w:t xml:space="preserve"> </w:t>
      </w:r>
      <w:r>
        <w:rPr>
          <w:rFonts w:cstheme="minorHAnsi"/>
          <w:sz w:val="24"/>
          <w:szCs w:val="24"/>
          <w:lang w:val="el-GR"/>
        </w:rPr>
        <w:t>για</w:t>
      </w:r>
      <w:r w:rsidRPr="00416EC6">
        <w:rPr>
          <w:rFonts w:cstheme="minorHAnsi"/>
          <w:sz w:val="24"/>
          <w:szCs w:val="24"/>
          <w:lang w:val="el-GR"/>
        </w:rPr>
        <w:t xml:space="preserve"> </w:t>
      </w:r>
      <w:r>
        <w:rPr>
          <w:rFonts w:cstheme="minorHAnsi"/>
          <w:sz w:val="24"/>
          <w:szCs w:val="24"/>
          <w:lang w:val="el-GR"/>
        </w:rPr>
        <w:t>την</w:t>
      </w:r>
      <w:r w:rsidRPr="00416EC6">
        <w:rPr>
          <w:rFonts w:cstheme="minorHAnsi"/>
          <w:sz w:val="24"/>
          <w:szCs w:val="24"/>
          <w:lang w:val="el-GR"/>
        </w:rPr>
        <w:t xml:space="preserve"> </w:t>
      </w:r>
      <w:r w:rsidR="00463E2E">
        <w:rPr>
          <w:rFonts w:cstheme="minorHAnsi"/>
          <w:sz w:val="24"/>
          <w:szCs w:val="24"/>
          <w:lang w:val="el-GR"/>
        </w:rPr>
        <w:t>δ</w:t>
      </w:r>
      <w:r>
        <w:rPr>
          <w:rFonts w:cstheme="minorHAnsi"/>
          <w:sz w:val="24"/>
          <w:szCs w:val="24"/>
          <w:lang w:val="el-GR"/>
        </w:rPr>
        <w:t>ιάθεση</w:t>
      </w:r>
      <w:r w:rsidRPr="00416EC6">
        <w:rPr>
          <w:rFonts w:cstheme="minorHAnsi"/>
          <w:sz w:val="24"/>
          <w:szCs w:val="24"/>
          <w:lang w:val="el-GR"/>
        </w:rPr>
        <w:t xml:space="preserve"> </w:t>
      </w:r>
      <w:r>
        <w:rPr>
          <w:rFonts w:cstheme="minorHAnsi"/>
          <w:sz w:val="24"/>
          <w:szCs w:val="24"/>
          <w:lang w:val="el-GR"/>
        </w:rPr>
        <w:t>όλων</w:t>
      </w:r>
      <w:r w:rsidRPr="00416EC6">
        <w:rPr>
          <w:rFonts w:cstheme="minorHAnsi"/>
          <w:sz w:val="24"/>
          <w:szCs w:val="24"/>
          <w:lang w:val="el-GR"/>
        </w:rPr>
        <w:t xml:space="preserve"> </w:t>
      </w:r>
      <w:r>
        <w:rPr>
          <w:rFonts w:cstheme="minorHAnsi"/>
          <w:sz w:val="24"/>
          <w:szCs w:val="24"/>
          <w:lang w:val="el-GR"/>
        </w:rPr>
        <w:t>των</w:t>
      </w:r>
      <w:r w:rsidRPr="00416EC6">
        <w:rPr>
          <w:rFonts w:cstheme="minorHAnsi"/>
          <w:sz w:val="24"/>
          <w:szCs w:val="24"/>
          <w:lang w:val="el-GR"/>
        </w:rPr>
        <w:t xml:space="preserve"> </w:t>
      </w:r>
      <w:r>
        <w:rPr>
          <w:rFonts w:cstheme="minorHAnsi"/>
          <w:sz w:val="24"/>
          <w:szCs w:val="24"/>
          <w:lang w:val="el-GR"/>
        </w:rPr>
        <w:t>δημοσίων</w:t>
      </w:r>
      <w:r w:rsidRPr="00416EC6">
        <w:rPr>
          <w:rFonts w:cstheme="minorHAnsi"/>
          <w:sz w:val="24"/>
          <w:szCs w:val="24"/>
          <w:lang w:val="el-GR"/>
        </w:rPr>
        <w:t xml:space="preserve"> </w:t>
      </w:r>
      <w:r>
        <w:rPr>
          <w:rFonts w:cstheme="minorHAnsi"/>
          <w:sz w:val="24"/>
          <w:szCs w:val="24"/>
          <w:lang w:val="el-GR"/>
        </w:rPr>
        <w:t>ταμείων</w:t>
      </w:r>
      <w:r w:rsidR="00220066" w:rsidRPr="00416EC6">
        <w:rPr>
          <w:rFonts w:cstheme="minorHAnsi"/>
          <w:sz w:val="24"/>
          <w:szCs w:val="24"/>
          <w:lang w:val="el-GR"/>
        </w:rPr>
        <w:t xml:space="preserve">, </w:t>
      </w:r>
      <w:r>
        <w:rPr>
          <w:rFonts w:cstheme="minorHAnsi"/>
          <w:sz w:val="24"/>
          <w:szCs w:val="24"/>
          <w:lang w:val="el-GR"/>
        </w:rPr>
        <w:t xml:space="preserve">που προορίζονται για την σωστή λειτουργία της </w:t>
      </w:r>
      <w:r w:rsidR="009C4E34">
        <w:rPr>
          <w:rFonts w:cstheme="minorHAnsi"/>
          <w:sz w:val="24"/>
          <w:szCs w:val="24"/>
          <w:lang w:val="el-GR"/>
        </w:rPr>
        <w:t>Αστυνομία</w:t>
      </w:r>
      <w:r>
        <w:rPr>
          <w:rFonts w:cstheme="minorHAnsi"/>
          <w:sz w:val="24"/>
          <w:szCs w:val="24"/>
          <w:lang w:val="el-GR"/>
        </w:rPr>
        <w:t>ς</w:t>
      </w:r>
      <w:r w:rsidR="00220066" w:rsidRPr="00416EC6">
        <w:rPr>
          <w:rFonts w:cstheme="minorHAnsi"/>
          <w:sz w:val="24"/>
          <w:szCs w:val="24"/>
          <w:lang w:val="el-GR"/>
        </w:rPr>
        <w:t>.</w:t>
      </w:r>
    </w:p>
    <w:p w14:paraId="33CCF7C1" w14:textId="77777777" w:rsidR="00220066" w:rsidRPr="00416EC6" w:rsidRDefault="00220066" w:rsidP="00220066">
      <w:pPr>
        <w:widowControl w:val="0"/>
        <w:tabs>
          <w:tab w:val="left" w:pos="709"/>
        </w:tabs>
        <w:rPr>
          <w:rFonts w:cstheme="minorHAnsi"/>
          <w:sz w:val="24"/>
          <w:szCs w:val="24"/>
          <w:lang w:val="el-GR"/>
        </w:rPr>
      </w:pPr>
    </w:p>
    <w:p w14:paraId="59497F01" w14:textId="6DED4B24" w:rsidR="00220066" w:rsidRPr="00A7481D" w:rsidRDefault="00416EC6" w:rsidP="00220066">
      <w:pPr>
        <w:widowControl w:val="0"/>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Όσον</w:t>
      </w:r>
      <w:r w:rsidRPr="00A7481D">
        <w:rPr>
          <w:rFonts w:cstheme="minorHAnsi"/>
          <w:sz w:val="24"/>
          <w:szCs w:val="24"/>
          <w:lang w:val="el-GR"/>
        </w:rPr>
        <w:t xml:space="preserve"> </w:t>
      </w:r>
      <w:r>
        <w:rPr>
          <w:rFonts w:cstheme="minorHAnsi"/>
          <w:sz w:val="24"/>
          <w:szCs w:val="24"/>
          <w:lang w:val="el-GR"/>
        </w:rPr>
        <w:t>αφορά</w:t>
      </w:r>
      <w:r w:rsidRPr="00A7481D">
        <w:rPr>
          <w:rFonts w:cstheme="minorHAnsi"/>
          <w:sz w:val="24"/>
          <w:szCs w:val="24"/>
          <w:lang w:val="el-GR"/>
        </w:rPr>
        <w:t xml:space="preserve"> </w:t>
      </w:r>
      <w:r>
        <w:rPr>
          <w:rFonts w:cstheme="minorHAnsi"/>
          <w:sz w:val="24"/>
          <w:szCs w:val="24"/>
          <w:lang w:val="el-GR"/>
        </w:rPr>
        <w:t>την</w:t>
      </w:r>
      <w:r w:rsidRPr="00A7481D">
        <w:rPr>
          <w:rFonts w:cstheme="minorHAnsi"/>
          <w:sz w:val="24"/>
          <w:szCs w:val="24"/>
          <w:lang w:val="el-GR"/>
        </w:rPr>
        <w:t xml:space="preserve"> </w:t>
      </w:r>
      <w:r>
        <w:rPr>
          <w:rFonts w:cstheme="minorHAnsi"/>
          <w:sz w:val="24"/>
          <w:szCs w:val="24"/>
          <w:lang w:val="el-GR"/>
        </w:rPr>
        <w:t>διοικητική</w:t>
      </w:r>
      <w:r w:rsidRPr="00A7481D">
        <w:rPr>
          <w:rFonts w:cstheme="minorHAnsi"/>
          <w:sz w:val="24"/>
          <w:szCs w:val="24"/>
          <w:lang w:val="el-GR"/>
        </w:rPr>
        <w:t xml:space="preserve"> </w:t>
      </w:r>
      <w:r>
        <w:rPr>
          <w:rFonts w:cstheme="minorHAnsi"/>
          <w:sz w:val="24"/>
          <w:szCs w:val="24"/>
          <w:lang w:val="el-GR"/>
        </w:rPr>
        <w:t>και</w:t>
      </w:r>
      <w:r w:rsidRPr="00A7481D">
        <w:rPr>
          <w:rFonts w:cstheme="minorHAnsi"/>
          <w:sz w:val="24"/>
          <w:szCs w:val="24"/>
          <w:lang w:val="el-GR"/>
        </w:rPr>
        <w:t xml:space="preserve"> </w:t>
      </w:r>
      <w:r>
        <w:rPr>
          <w:rFonts w:cstheme="minorHAnsi"/>
          <w:sz w:val="24"/>
          <w:szCs w:val="24"/>
          <w:lang w:val="el-GR"/>
        </w:rPr>
        <w:t>λειτουργική</w:t>
      </w:r>
      <w:r w:rsidRPr="00A7481D">
        <w:rPr>
          <w:rFonts w:cstheme="minorHAnsi"/>
          <w:sz w:val="24"/>
          <w:szCs w:val="24"/>
          <w:lang w:val="el-GR"/>
        </w:rPr>
        <w:t xml:space="preserve"> </w:t>
      </w:r>
      <w:r>
        <w:rPr>
          <w:rFonts w:cstheme="minorHAnsi"/>
          <w:sz w:val="24"/>
          <w:szCs w:val="24"/>
          <w:lang w:val="el-GR"/>
        </w:rPr>
        <w:t>διάταξη</w:t>
      </w:r>
      <w:r w:rsidR="00220066" w:rsidRPr="00A7481D">
        <w:rPr>
          <w:rFonts w:cstheme="minorHAnsi"/>
          <w:sz w:val="24"/>
          <w:szCs w:val="24"/>
          <w:lang w:val="el-GR"/>
        </w:rPr>
        <w:t xml:space="preserve">, </w:t>
      </w:r>
      <w:r w:rsidR="00A7481D">
        <w:rPr>
          <w:rFonts w:cstheme="minorHAnsi"/>
          <w:sz w:val="24"/>
          <w:szCs w:val="24"/>
          <w:lang w:val="el-GR"/>
        </w:rPr>
        <w:t>η</w:t>
      </w:r>
      <w:r w:rsidR="00A7481D" w:rsidRPr="00A7481D">
        <w:rPr>
          <w:rFonts w:cstheme="minorHAnsi"/>
          <w:sz w:val="24"/>
          <w:szCs w:val="24"/>
          <w:lang w:val="el-GR"/>
        </w:rPr>
        <w:t xml:space="preserve"> </w:t>
      </w:r>
      <w:r w:rsidR="009C4E34">
        <w:rPr>
          <w:rFonts w:cstheme="minorHAnsi"/>
          <w:sz w:val="24"/>
          <w:szCs w:val="24"/>
          <w:lang w:val="el-GR"/>
        </w:rPr>
        <w:t>Αστυνομία</w:t>
      </w:r>
      <w:r w:rsidR="00A7481D" w:rsidRPr="00A7481D">
        <w:rPr>
          <w:rFonts w:cstheme="minorHAnsi"/>
          <w:sz w:val="24"/>
          <w:szCs w:val="24"/>
          <w:lang w:val="el-GR"/>
        </w:rPr>
        <w:t xml:space="preserve"> </w:t>
      </w:r>
      <w:r w:rsidR="00A7481D">
        <w:rPr>
          <w:rFonts w:cstheme="minorHAnsi"/>
          <w:sz w:val="24"/>
          <w:szCs w:val="24"/>
          <w:lang w:val="el-GR"/>
        </w:rPr>
        <w:t>Κύπρου</w:t>
      </w:r>
      <w:r w:rsidR="00220066" w:rsidRPr="00A7481D">
        <w:rPr>
          <w:rFonts w:cstheme="minorHAnsi"/>
          <w:sz w:val="24"/>
          <w:szCs w:val="24"/>
          <w:lang w:val="el-GR"/>
        </w:rPr>
        <w:t xml:space="preserve"> </w:t>
      </w:r>
      <w:r w:rsidR="00A7481D">
        <w:rPr>
          <w:rFonts w:cstheme="minorHAnsi"/>
          <w:sz w:val="24"/>
          <w:szCs w:val="24"/>
          <w:lang w:val="el-GR"/>
        </w:rPr>
        <w:t>χωρίζεται σε τμήματα</w:t>
      </w:r>
      <w:r w:rsidR="00220066" w:rsidRPr="00A7481D">
        <w:rPr>
          <w:rFonts w:cstheme="minorHAnsi"/>
          <w:sz w:val="24"/>
          <w:szCs w:val="24"/>
          <w:lang w:val="el-GR"/>
        </w:rPr>
        <w:t xml:space="preserve">, </w:t>
      </w:r>
      <w:r w:rsidR="00A7481D">
        <w:rPr>
          <w:rFonts w:cstheme="minorHAnsi"/>
          <w:sz w:val="24"/>
          <w:szCs w:val="24"/>
          <w:lang w:val="el-GR"/>
        </w:rPr>
        <w:t>διευθύνσεις</w:t>
      </w:r>
      <w:r w:rsidR="00220066" w:rsidRPr="00A7481D">
        <w:rPr>
          <w:rFonts w:cstheme="minorHAnsi"/>
          <w:sz w:val="24"/>
          <w:szCs w:val="24"/>
          <w:lang w:val="el-GR"/>
        </w:rPr>
        <w:t xml:space="preserve">, </w:t>
      </w:r>
      <w:r w:rsidR="00A7481D">
        <w:rPr>
          <w:rFonts w:cstheme="minorHAnsi"/>
          <w:sz w:val="24"/>
          <w:szCs w:val="24"/>
          <w:lang w:val="el-GR"/>
        </w:rPr>
        <w:t>υπηρεσίες</w:t>
      </w:r>
      <w:r w:rsidR="00220066" w:rsidRPr="00A7481D">
        <w:rPr>
          <w:rFonts w:cstheme="minorHAnsi"/>
          <w:sz w:val="24"/>
          <w:szCs w:val="24"/>
          <w:lang w:val="el-GR"/>
        </w:rPr>
        <w:t xml:space="preserve">, </w:t>
      </w:r>
      <w:r w:rsidR="00A7481D">
        <w:rPr>
          <w:rFonts w:cstheme="minorHAnsi"/>
          <w:sz w:val="24"/>
          <w:szCs w:val="24"/>
          <w:lang w:val="el-GR"/>
        </w:rPr>
        <w:t>μονάδες</w:t>
      </w:r>
      <w:r w:rsidR="00220066" w:rsidRPr="00A7481D">
        <w:rPr>
          <w:rFonts w:cstheme="minorHAnsi"/>
          <w:sz w:val="24"/>
          <w:szCs w:val="24"/>
          <w:lang w:val="el-GR"/>
        </w:rPr>
        <w:t xml:space="preserve">, </w:t>
      </w:r>
      <w:r w:rsidR="00A7481D">
        <w:rPr>
          <w:rFonts w:cstheme="minorHAnsi"/>
          <w:sz w:val="24"/>
          <w:szCs w:val="24"/>
          <w:lang w:val="el-GR"/>
        </w:rPr>
        <w:t>και επαρχίες</w:t>
      </w:r>
      <w:r w:rsidR="00220066" w:rsidRPr="00A7481D">
        <w:rPr>
          <w:rFonts w:cstheme="minorHAnsi"/>
          <w:sz w:val="24"/>
          <w:szCs w:val="24"/>
          <w:lang w:val="el-GR"/>
        </w:rPr>
        <w:t xml:space="preserve">. </w:t>
      </w:r>
      <w:r w:rsidR="00A7481D">
        <w:rPr>
          <w:rFonts w:cstheme="minorHAnsi"/>
          <w:sz w:val="24"/>
          <w:szCs w:val="24"/>
          <w:lang w:val="el-GR"/>
        </w:rPr>
        <w:t>Το</w:t>
      </w:r>
      <w:r w:rsidR="00A7481D" w:rsidRPr="00A7481D">
        <w:rPr>
          <w:rFonts w:cstheme="minorHAnsi"/>
          <w:sz w:val="24"/>
          <w:szCs w:val="24"/>
          <w:lang w:val="el-GR"/>
        </w:rPr>
        <w:t xml:space="preserve"> </w:t>
      </w:r>
      <w:r w:rsidR="00A7481D">
        <w:rPr>
          <w:rFonts w:cstheme="minorHAnsi"/>
          <w:sz w:val="24"/>
          <w:szCs w:val="24"/>
          <w:lang w:val="el-GR"/>
        </w:rPr>
        <w:t>Αρχηγείο</w:t>
      </w:r>
      <w:r w:rsidR="00A7481D" w:rsidRPr="00A7481D">
        <w:rPr>
          <w:rFonts w:cstheme="minorHAnsi"/>
          <w:sz w:val="24"/>
          <w:szCs w:val="24"/>
          <w:lang w:val="el-GR"/>
        </w:rPr>
        <w:t xml:space="preserve"> </w:t>
      </w:r>
      <w:r w:rsidR="00A7481D">
        <w:rPr>
          <w:rFonts w:cstheme="minorHAnsi"/>
          <w:sz w:val="24"/>
          <w:szCs w:val="24"/>
          <w:lang w:val="el-GR"/>
        </w:rPr>
        <w:t>της</w:t>
      </w:r>
      <w:r w:rsidR="00A7481D" w:rsidRPr="00A7481D">
        <w:rPr>
          <w:rFonts w:cstheme="minorHAnsi"/>
          <w:sz w:val="24"/>
          <w:szCs w:val="24"/>
          <w:lang w:val="el-GR"/>
        </w:rPr>
        <w:t xml:space="preserve"> </w:t>
      </w:r>
      <w:r w:rsidR="009C4E34">
        <w:rPr>
          <w:rFonts w:cstheme="minorHAnsi"/>
          <w:sz w:val="24"/>
          <w:szCs w:val="24"/>
          <w:lang w:val="el-GR"/>
        </w:rPr>
        <w:t>Αστυνομία</w:t>
      </w:r>
      <w:r w:rsidR="00A7481D">
        <w:rPr>
          <w:rFonts w:cstheme="minorHAnsi"/>
          <w:sz w:val="24"/>
          <w:szCs w:val="24"/>
          <w:lang w:val="el-GR"/>
        </w:rPr>
        <w:t>ς</w:t>
      </w:r>
      <w:r w:rsidR="00A7481D" w:rsidRPr="00A7481D">
        <w:rPr>
          <w:rFonts w:cstheme="minorHAnsi"/>
          <w:sz w:val="24"/>
          <w:szCs w:val="24"/>
          <w:lang w:val="el-GR"/>
        </w:rPr>
        <w:t xml:space="preserve"> </w:t>
      </w:r>
      <w:r w:rsidR="00A7481D">
        <w:rPr>
          <w:rFonts w:cstheme="minorHAnsi"/>
          <w:sz w:val="24"/>
          <w:szCs w:val="24"/>
          <w:lang w:val="el-GR"/>
        </w:rPr>
        <w:t>βρίσκεται</w:t>
      </w:r>
      <w:r w:rsidR="00A7481D" w:rsidRPr="00A7481D">
        <w:rPr>
          <w:rFonts w:cstheme="minorHAnsi"/>
          <w:sz w:val="24"/>
          <w:szCs w:val="24"/>
          <w:lang w:val="el-GR"/>
        </w:rPr>
        <w:t xml:space="preserve"> </w:t>
      </w:r>
      <w:r w:rsidR="00A7481D">
        <w:rPr>
          <w:rFonts w:cstheme="minorHAnsi"/>
          <w:sz w:val="24"/>
          <w:szCs w:val="24"/>
          <w:lang w:val="el-GR"/>
        </w:rPr>
        <w:t>στην</w:t>
      </w:r>
      <w:r w:rsidR="00A7481D" w:rsidRPr="00A7481D">
        <w:rPr>
          <w:rFonts w:cstheme="minorHAnsi"/>
          <w:sz w:val="24"/>
          <w:szCs w:val="24"/>
          <w:lang w:val="el-GR"/>
        </w:rPr>
        <w:t xml:space="preserve"> </w:t>
      </w:r>
      <w:r w:rsidR="00A7481D">
        <w:rPr>
          <w:rFonts w:cstheme="minorHAnsi"/>
          <w:sz w:val="24"/>
          <w:szCs w:val="24"/>
          <w:lang w:val="el-GR"/>
        </w:rPr>
        <w:t>Λευκωσία</w:t>
      </w:r>
      <w:r w:rsidR="00220066" w:rsidRPr="00A7481D">
        <w:rPr>
          <w:rFonts w:cstheme="minorHAnsi"/>
          <w:sz w:val="24"/>
          <w:szCs w:val="24"/>
          <w:lang w:val="el-GR"/>
        </w:rPr>
        <w:t xml:space="preserve"> </w:t>
      </w:r>
      <w:r w:rsidR="00A7481D">
        <w:rPr>
          <w:rFonts w:cstheme="minorHAnsi"/>
          <w:sz w:val="24"/>
          <w:szCs w:val="24"/>
          <w:lang w:val="el-GR"/>
        </w:rPr>
        <w:t>και</w:t>
      </w:r>
      <w:r w:rsidR="00A7481D" w:rsidRPr="00A7481D">
        <w:rPr>
          <w:rFonts w:cstheme="minorHAnsi"/>
          <w:sz w:val="24"/>
          <w:szCs w:val="24"/>
          <w:lang w:val="el-GR"/>
        </w:rPr>
        <w:t xml:space="preserve"> </w:t>
      </w:r>
      <w:r w:rsidR="00A7481D">
        <w:rPr>
          <w:rFonts w:cstheme="minorHAnsi"/>
          <w:sz w:val="24"/>
          <w:szCs w:val="24"/>
          <w:lang w:val="el-GR"/>
        </w:rPr>
        <w:t>χωρίζεται</w:t>
      </w:r>
      <w:r w:rsidR="00A7481D" w:rsidRPr="00A7481D">
        <w:rPr>
          <w:rFonts w:cstheme="minorHAnsi"/>
          <w:sz w:val="24"/>
          <w:szCs w:val="24"/>
          <w:lang w:val="el-GR"/>
        </w:rPr>
        <w:t xml:space="preserve"> </w:t>
      </w:r>
      <w:r w:rsidR="00A7481D">
        <w:rPr>
          <w:rFonts w:cstheme="minorHAnsi"/>
          <w:sz w:val="24"/>
          <w:szCs w:val="24"/>
          <w:lang w:val="el-GR"/>
        </w:rPr>
        <w:t>σε</w:t>
      </w:r>
      <w:r w:rsidR="00A7481D" w:rsidRPr="00A7481D">
        <w:rPr>
          <w:rFonts w:cstheme="minorHAnsi"/>
          <w:sz w:val="24"/>
          <w:szCs w:val="24"/>
          <w:lang w:val="el-GR"/>
        </w:rPr>
        <w:t xml:space="preserve"> </w:t>
      </w:r>
      <w:r w:rsidR="00A7481D">
        <w:rPr>
          <w:rFonts w:cstheme="minorHAnsi"/>
          <w:sz w:val="24"/>
          <w:szCs w:val="24"/>
          <w:lang w:val="el-GR"/>
        </w:rPr>
        <w:t>πέντε</w:t>
      </w:r>
      <w:r w:rsidR="00A7481D" w:rsidRPr="00A7481D">
        <w:rPr>
          <w:rFonts w:cstheme="minorHAnsi"/>
          <w:sz w:val="24"/>
          <w:szCs w:val="24"/>
          <w:lang w:val="el-GR"/>
        </w:rPr>
        <w:t xml:space="preserve"> </w:t>
      </w:r>
      <w:r w:rsidR="00A7481D">
        <w:rPr>
          <w:rFonts w:cstheme="minorHAnsi"/>
          <w:sz w:val="24"/>
          <w:szCs w:val="24"/>
          <w:lang w:val="el-GR"/>
        </w:rPr>
        <w:t>τμήματα</w:t>
      </w:r>
      <w:r w:rsidR="00220066" w:rsidRPr="00A7481D">
        <w:rPr>
          <w:rFonts w:cstheme="minorHAnsi"/>
          <w:sz w:val="24"/>
          <w:szCs w:val="24"/>
          <w:lang w:val="el-GR"/>
        </w:rPr>
        <w:t xml:space="preserve">, </w:t>
      </w:r>
      <w:r w:rsidR="00A7481D">
        <w:rPr>
          <w:rFonts w:cstheme="minorHAnsi"/>
          <w:sz w:val="24"/>
          <w:szCs w:val="24"/>
          <w:lang w:val="el-GR"/>
        </w:rPr>
        <w:t>τέσσερεις διευθύνσεις</w:t>
      </w:r>
      <w:r w:rsidR="00220066" w:rsidRPr="00A7481D">
        <w:rPr>
          <w:rFonts w:cstheme="minorHAnsi"/>
          <w:sz w:val="24"/>
          <w:szCs w:val="24"/>
          <w:lang w:val="el-GR"/>
        </w:rPr>
        <w:t xml:space="preserve">, </w:t>
      </w:r>
      <w:r w:rsidR="00A7481D">
        <w:rPr>
          <w:rFonts w:cstheme="minorHAnsi"/>
          <w:sz w:val="24"/>
          <w:szCs w:val="24"/>
          <w:lang w:val="el-GR"/>
        </w:rPr>
        <w:t>πέντε υπηρεσίες και πέντε μονάδες</w:t>
      </w:r>
      <w:r w:rsidR="00220066" w:rsidRPr="00A7481D">
        <w:rPr>
          <w:rFonts w:cstheme="minorHAnsi"/>
          <w:sz w:val="24"/>
          <w:szCs w:val="24"/>
          <w:lang w:val="el-GR"/>
        </w:rPr>
        <w:t xml:space="preserve">. </w:t>
      </w:r>
      <w:r w:rsidR="00A7481D">
        <w:rPr>
          <w:rFonts w:cstheme="minorHAnsi"/>
          <w:sz w:val="24"/>
          <w:szCs w:val="24"/>
          <w:lang w:val="el-GR"/>
        </w:rPr>
        <w:t>Η</w:t>
      </w:r>
      <w:r w:rsidR="00A7481D" w:rsidRPr="00AA0225">
        <w:rPr>
          <w:rFonts w:cstheme="minorHAnsi"/>
          <w:sz w:val="24"/>
          <w:szCs w:val="24"/>
          <w:lang w:val="el-GR"/>
        </w:rPr>
        <w:t xml:space="preserve"> </w:t>
      </w:r>
      <w:r w:rsidR="00A7481D">
        <w:rPr>
          <w:rFonts w:cstheme="minorHAnsi"/>
          <w:sz w:val="24"/>
          <w:szCs w:val="24"/>
          <w:lang w:val="el-GR"/>
        </w:rPr>
        <w:t>Κύπρος</w:t>
      </w:r>
      <w:r w:rsidR="00A7481D" w:rsidRPr="00AA0225">
        <w:rPr>
          <w:rFonts w:cstheme="minorHAnsi"/>
          <w:sz w:val="24"/>
          <w:szCs w:val="24"/>
          <w:lang w:val="el-GR"/>
        </w:rPr>
        <w:t xml:space="preserve"> </w:t>
      </w:r>
      <w:r w:rsidR="00A7481D">
        <w:rPr>
          <w:rFonts w:cstheme="minorHAnsi"/>
          <w:sz w:val="24"/>
          <w:szCs w:val="24"/>
          <w:lang w:val="el-GR"/>
        </w:rPr>
        <w:t>χωρίζεται</w:t>
      </w:r>
      <w:r w:rsidR="00A7481D" w:rsidRPr="00AA0225">
        <w:rPr>
          <w:rFonts w:cstheme="minorHAnsi"/>
          <w:sz w:val="24"/>
          <w:szCs w:val="24"/>
          <w:lang w:val="el-GR"/>
        </w:rPr>
        <w:t xml:space="preserve"> </w:t>
      </w:r>
      <w:r w:rsidR="00A7481D">
        <w:rPr>
          <w:rFonts w:cstheme="minorHAnsi"/>
          <w:sz w:val="24"/>
          <w:szCs w:val="24"/>
          <w:lang w:val="el-GR"/>
        </w:rPr>
        <w:t>σε</w:t>
      </w:r>
      <w:r w:rsidR="00A7481D" w:rsidRPr="00AA0225">
        <w:rPr>
          <w:rFonts w:cstheme="minorHAnsi"/>
          <w:sz w:val="24"/>
          <w:szCs w:val="24"/>
          <w:lang w:val="el-GR"/>
        </w:rPr>
        <w:t xml:space="preserve"> </w:t>
      </w:r>
      <w:r w:rsidR="00A7481D">
        <w:rPr>
          <w:rFonts w:cstheme="minorHAnsi"/>
          <w:sz w:val="24"/>
          <w:szCs w:val="24"/>
          <w:lang w:val="el-GR"/>
        </w:rPr>
        <w:t>έξι</w:t>
      </w:r>
      <w:r w:rsidR="00220066" w:rsidRPr="00AA0225">
        <w:rPr>
          <w:rFonts w:cstheme="minorHAnsi"/>
          <w:sz w:val="24"/>
          <w:szCs w:val="24"/>
          <w:lang w:val="el-GR"/>
        </w:rPr>
        <w:t xml:space="preserve"> </w:t>
      </w:r>
      <w:r w:rsidR="00463E2E">
        <w:rPr>
          <w:rFonts w:cstheme="minorHAnsi"/>
          <w:sz w:val="24"/>
          <w:szCs w:val="24"/>
          <w:lang w:val="el-GR"/>
        </w:rPr>
        <w:t>επιχειρησια</w:t>
      </w:r>
      <w:r w:rsidR="00A7481D">
        <w:rPr>
          <w:rFonts w:cstheme="minorHAnsi"/>
          <w:sz w:val="24"/>
          <w:szCs w:val="24"/>
          <w:lang w:val="el-GR"/>
        </w:rPr>
        <w:t>κές</w:t>
      </w:r>
      <w:r w:rsidR="00A7481D" w:rsidRPr="00AA0225">
        <w:rPr>
          <w:rFonts w:cstheme="minorHAnsi"/>
          <w:sz w:val="24"/>
          <w:szCs w:val="24"/>
          <w:lang w:val="el-GR"/>
        </w:rPr>
        <w:t xml:space="preserve"> </w:t>
      </w:r>
      <w:r w:rsidR="00A7481D">
        <w:rPr>
          <w:rFonts w:cstheme="minorHAnsi"/>
          <w:sz w:val="24"/>
          <w:szCs w:val="24"/>
          <w:lang w:val="el-GR"/>
        </w:rPr>
        <w:t>γεωγραφικές</w:t>
      </w:r>
      <w:r w:rsidR="00A7481D" w:rsidRPr="00AA0225">
        <w:rPr>
          <w:rFonts w:cstheme="minorHAnsi"/>
          <w:sz w:val="24"/>
          <w:szCs w:val="24"/>
          <w:lang w:val="el-GR"/>
        </w:rPr>
        <w:t xml:space="preserve"> </w:t>
      </w:r>
      <w:r w:rsidR="00A7481D">
        <w:rPr>
          <w:rFonts w:cstheme="minorHAnsi"/>
          <w:sz w:val="24"/>
          <w:szCs w:val="24"/>
          <w:lang w:val="el-GR"/>
        </w:rPr>
        <w:t>επαρχίες</w:t>
      </w:r>
      <w:r w:rsidR="00220066" w:rsidRPr="00AA0225">
        <w:rPr>
          <w:rFonts w:cstheme="minorHAnsi"/>
          <w:sz w:val="24"/>
          <w:szCs w:val="24"/>
          <w:lang w:val="el-GR"/>
        </w:rPr>
        <w:t xml:space="preserve">. </w:t>
      </w:r>
      <w:r w:rsidR="00BA4606">
        <w:rPr>
          <w:rFonts w:cstheme="minorHAnsi"/>
          <w:sz w:val="24"/>
          <w:szCs w:val="24"/>
          <w:lang w:val="el-GR"/>
        </w:rPr>
        <w:t>Αστυνομικές Διευθύνσεις (</w:t>
      </w:r>
      <w:r w:rsidR="00A7481D">
        <w:rPr>
          <w:rFonts w:cstheme="minorHAnsi"/>
          <w:sz w:val="24"/>
          <w:szCs w:val="24"/>
          <w:lang w:val="el-GR"/>
        </w:rPr>
        <w:t>Τμηματικά</w:t>
      </w:r>
      <w:r w:rsidR="00A7481D" w:rsidRPr="00A7481D">
        <w:rPr>
          <w:rFonts w:cstheme="minorHAnsi"/>
          <w:sz w:val="24"/>
          <w:szCs w:val="24"/>
          <w:lang w:val="el-GR"/>
        </w:rPr>
        <w:t xml:space="preserve"> </w:t>
      </w:r>
      <w:r w:rsidR="00A7481D">
        <w:rPr>
          <w:rFonts w:cstheme="minorHAnsi"/>
          <w:sz w:val="24"/>
          <w:szCs w:val="24"/>
          <w:lang w:val="el-GR"/>
        </w:rPr>
        <w:t>Αρχηγεία</w:t>
      </w:r>
      <w:r w:rsidR="00BA4606">
        <w:rPr>
          <w:rFonts w:cstheme="minorHAnsi"/>
          <w:sz w:val="24"/>
          <w:szCs w:val="24"/>
          <w:lang w:val="el-GR"/>
        </w:rPr>
        <w:t>)</w:t>
      </w:r>
      <w:r w:rsidR="00A7481D" w:rsidRPr="00A7481D">
        <w:rPr>
          <w:rFonts w:cstheme="minorHAnsi"/>
          <w:sz w:val="24"/>
          <w:szCs w:val="24"/>
          <w:lang w:val="el-GR"/>
        </w:rPr>
        <w:t xml:space="preserve"> </w:t>
      </w:r>
      <w:r w:rsidR="00A7481D">
        <w:rPr>
          <w:rFonts w:cstheme="minorHAnsi"/>
          <w:sz w:val="24"/>
          <w:szCs w:val="24"/>
          <w:lang w:val="el-GR"/>
        </w:rPr>
        <w:t>λειτουργούν</w:t>
      </w:r>
      <w:r w:rsidR="00A7481D" w:rsidRPr="00A7481D">
        <w:rPr>
          <w:rFonts w:cstheme="minorHAnsi"/>
          <w:sz w:val="24"/>
          <w:szCs w:val="24"/>
          <w:lang w:val="el-GR"/>
        </w:rPr>
        <w:t xml:space="preserve"> </w:t>
      </w:r>
      <w:r w:rsidR="00A7481D">
        <w:rPr>
          <w:rFonts w:cstheme="minorHAnsi"/>
          <w:sz w:val="24"/>
          <w:szCs w:val="24"/>
          <w:lang w:val="el-GR"/>
        </w:rPr>
        <w:t>σε</w:t>
      </w:r>
      <w:r w:rsidR="00A7481D" w:rsidRPr="00A7481D">
        <w:rPr>
          <w:rFonts w:cstheme="minorHAnsi"/>
          <w:sz w:val="24"/>
          <w:szCs w:val="24"/>
          <w:lang w:val="el-GR"/>
        </w:rPr>
        <w:t xml:space="preserve"> </w:t>
      </w:r>
      <w:r w:rsidR="00A7481D">
        <w:rPr>
          <w:rFonts w:cstheme="minorHAnsi"/>
          <w:sz w:val="24"/>
          <w:szCs w:val="24"/>
          <w:lang w:val="el-GR"/>
        </w:rPr>
        <w:t>κάθε</w:t>
      </w:r>
      <w:r w:rsidR="00A7481D" w:rsidRPr="00A7481D">
        <w:rPr>
          <w:rFonts w:cstheme="minorHAnsi"/>
          <w:sz w:val="24"/>
          <w:szCs w:val="24"/>
          <w:lang w:val="el-GR"/>
        </w:rPr>
        <w:t xml:space="preserve"> </w:t>
      </w:r>
      <w:r w:rsidR="00A7481D">
        <w:rPr>
          <w:rFonts w:cstheme="minorHAnsi"/>
          <w:sz w:val="24"/>
          <w:szCs w:val="24"/>
          <w:lang w:val="el-GR"/>
        </w:rPr>
        <w:t>επαρχία</w:t>
      </w:r>
      <w:r w:rsidR="00220066" w:rsidRPr="00A7481D">
        <w:rPr>
          <w:rFonts w:cstheme="minorHAnsi"/>
          <w:sz w:val="24"/>
          <w:szCs w:val="24"/>
          <w:lang w:val="el-GR"/>
        </w:rPr>
        <w:t xml:space="preserve">, </w:t>
      </w:r>
      <w:r w:rsidR="00A7481D">
        <w:rPr>
          <w:rFonts w:cstheme="minorHAnsi"/>
          <w:sz w:val="24"/>
          <w:szCs w:val="24"/>
          <w:lang w:val="el-GR"/>
        </w:rPr>
        <w:t>που</w:t>
      </w:r>
      <w:r w:rsidR="00A7481D" w:rsidRPr="00A7481D">
        <w:rPr>
          <w:rFonts w:cstheme="minorHAnsi"/>
          <w:sz w:val="24"/>
          <w:szCs w:val="24"/>
          <w:lang w:val="el-GR"/>
        </w:rPr>
        <w:t xml:space="preserve"> </w:t>
      </w:r>
      <w:r w:rsidR="00A7481D">
        <w:rPr>
          <w:rFonts w:cstheme="minorHAnsi"/>
          <w:sz w:val="24"/>
          <w:szCs w:val="24"/>
          <w:lang w:val="el-GR"/>
        </w:rPr>
        <w:t>βρίσκονται</w:t>
      </w:r>
      <w:r w:rsidR="00A7481D" w:rsidRPr="00A7481D">
        <w:rPr>
          <w:rFonts w:cstheme="minorHAnsi"/>
          <w:sz w:val="24"/>
          <w:szCs w:val="24"/>
          <w:lang w:val="el-GR"/>
        </w:rPr>
        <w:t xml:space="preserve"> </w:t>
      </w:r>
      <w:r w:rsidR="00A7481D">
        <w:rPr>
          <w:rFonts w:cstheme="minorHAnsi"/>
          <w:sz w:val="24"/>
          <w:szCs w:val="24"/>
          <w:lang w:val="el-GR"/>
        </w:rPr>
        <w:t>στην</w:t>
      </w:r>
      <w:r w:rsidR="00A7481D" w:rsidRPr="00A7481D">
        <w:rPr>
          <w:rFonts w:cstheme="minorHAnsi"/>
          <w:sz w:val="24"/>
          <w:szCs w:val="24"/>
          <w:lang w:val="el-GR"/>
        </w:rPr>
        <w:t xml:space="preserve"> </w:t>
      </w:r>
      <w:r w:rsidR="00A7481D">
        <w:rPr>
          <w:rFonts w:cstheme="minorHAnsi"/>
          <w:sz w:val="24"/>
          <w:szCs w:val="24"/>
          <w:lang w:val="el-GR"/>
        </w:rPr>
        <w:t>κεντρική</w:t>
      </w:r>
      <w:r w:rsidR="00A7481D" w:rsidRPr="00A7481D">
        <w:rPr>
          <w:rFonts w:cstheme="minorHAnsi"/>
          <w:sz w:val="24"/>
          <w:szCs w:val="24"/>
          <w:lang w:val="el-GR"/>
        </w:rPr>
        <w:t xml:space="preserve"> </w:t>
      </w:r>
      <w:r w:rsidR="00A7481D">
        <w:rPr>
          <w:rFonts w:cstheme="minorHAnsi"/>
          <w:sz w:val="24"/>
          <w:szCs w:val="24"/>
          <w:lang w:val="el-GR"/>
        </w:rPr>
        <w:t>πόλη</w:t>
      </w:r>
      <w:r w:rsidR="00A7481D" w:rsidRPr="00A7481D">
        <w:rPr>
          <w:rFonts w:cstheme="minorHAnsi"/>
          <w:sz w:val="24"/>
          <w:szCs w:val="24"/>
          <w:lang w:val="el-GR"/>
        </w:rPr>
        <w:t xml:space="preserve"> </w:t>
      </w:r>
      <w:r w:rsidR="00A7481D">
        <w:rPr>
          <w:rFonts w:cstheme="minorHAnsi"/>
          <w:sz w:val="24"/>
          <w:szCs w:val="24"/>
          <w:lang w:val="el-GR"/>
        </w:rPr>
        <w:t>της</w:t>
      </w:r>
      <w:r w:rsidR="00A7481D" w:rsidRPr="00A7481D">
        <w:rPr>
          <w:rFonts w:cstheme="minorHAnsi"/>
          <w:sz w:val="24"/>
          <w:szCs w:val="24"/>
          <w:lang w:val="el-GR"/>
        </w:rPr>
        <w:t xml:space="preserve"> </w:t>
      </w:r>
      <w:r w:rsidR="00A7481D">
        <w:rPr>
          <w:rFonts w:cstheme="minorHAnsi"/>
          <w:sz w:val="24"/>
          <w:szCs w:val="24"/>
          <w:lang w:val="el-GR"/>
        </w:rPr>
        <w:t>επαρχίας</w:t>
      </w:r>
      <w:r w:rsidR="00220066" w:rsidRPr="00A7481D">
        <w:rPr>
          <w:rFonts w:cstheme="minorHAnsi"/>
          <w:sz w:val="24"/>
          <w:szCs w:val="24"/>
          <w:lang w:val="el-GR"/>
        </w:rPr>
        <w:t xml:space="preserve">, </w:t>
      </w:r>
      <w:r w:rsidR="00A7481D">
        <w:rPr>
          <w:rFonts w:cstheme="minorHAnsi"/>
          <w:sz w:val="24"/>
          <w:szCs w:val="24"/>
          <w:lang w:val="el-GR"/>
        </w:rPr>
        <w:t>και το κάθε ένα έχει την δική του γεωγραφική/επαρχιακή δικαιοδοσία</w:t>
      </w:r>
      <w:r w:rsidR="00220066" w:rsidRPr="00A7481D">
        <w:rPr>
          <w:rFonts w:cstheme="minorHAnsi"/>
          <w:sz w:val="24"/>
          <w:szCs w:val="24"/>
          <w:lang w:val="el-GR"/>
        </w:rPr>
        <w:t>.</w:t>
      </w:r>
    </w:p>
    <w:p w14:paraId="739A25AC" w14:textId="77777777" w:rsidR="00220066" w:rsidRPr="00A7481D" w:rsidRDefault="00220066" w:rsidP="00220066">
      <w:pPr>
        <w:widowControl w:val="0"/>
        <w:tabs>
          <w:tab w:val="left" w:pos="709"/>
        </w:tabs>
        <w:rPr>
          <w:rFonts w:cstheme="minorHAnsi"/>
          <w:sz w:val="24"/>
          <w:szCs w:val="24"/>
          <w:lang w:val="el-GR"/>
        </w:rPr>
      </w:pPr>
    </w:p>
    <w:p w14:paraId="7BA42F4B" w14:textId="43689838" w:rsidR="00220066" w:rsidRPr="004E251E" w:rsidRDefault="00463E2E" w:rsidP="00220066">
      <w:pPr>
        <w:keepNext/>
        <w:widowControl w:val="0"/>
        <w:tabs>
          <w:tab w:val="left" w:pos="709"/>
        </w:tabs>
        <w:spacing w:after="80"/>
        <w:jc w:val="center"/>
        <w:rPr>
          <w:rFonts w:cstheme="minorHAnsi"/>
          <w:i/>
          <w:iCs/>
          <w:sz w:val="24"/>
          <w:szCs w:val="24"/>
        </w:rPr>
      </w:pPr>
      <w:r>
        <w:rPr>
          <w:rFonts w:cstheme="minorHAnsi"/>
          <w:i/>
          <w:iCs/>
          <w:sz w:val="24"/>
          <w:szCs w:val="24"/>
          <w:lang w:val="el-GR"/>
        </w:rPr>
        <w:lastRenderedPageBreak/>
        <w:t xml:space="preserve">Οργανόγραμμα της </w:t>
      </w:r>
      <w:r w:rsidR="009C4E34">
        <w:rPr>
          <w:rFonts w:cstheme="minorHAnsi"/>
          <w:i/>
          <w:iCs/>
          <w:sz w:val="24"/>
          <w:szCs w:val="24"/>
          <w:lang w:val="el-GR"/>
        </w:rPr>
        <w:t>Αστυνομία</w:t>
      </w:r>
      <w:r>
        <w:rPr>
          <w:rFonts w:cstheme="minorHAnsi"/>
          <w:i/>
          <w:iCs/>
          <w:sz w:val="24"/>
          <w:szCs w:val="24"/>
          <w:lang w:val="el-GR"/>
        </w:rPr>
        <w:t>ς Κύπρου</w:t>
      </w:r>
      <w:r w:rsidR="00BE7833" w:rsidRPr="00B95983">
        <w:rPr>
          <w:rStyle w:val="FootnoteReference"/>
          <w:rFonts w:cstheme="minorHAnsi"/>
          <w:i/>
          <w:iCs/>
          <w:sz w:val="24"/>
          <w:szCs w:val="24"/>
        </w:rPr>
        <w:footnoteReference w:id="61"/>
      </w:r>
    </w:p>
    <w:p w14:paraId="64B73B2B" w14:textId="77777777" w:rsidR="00220066" w:rsidRPr="004E251E" w:rsidRDefault="00220066" w:rsidP="00220066">
      <w:pPr>
        <w:keepNext/>
        <w:widowControl w:val="0"/>
        <w:tabs>
          <w:tab w:val="left" w:pos="709"/>
        </w:tabs>
        <w:rPr>
          <w:rFonts w:cstheme="minorHAnsi"/>
          <w:sz w:val="24"/>
          <w:szCs w:val="24"/>
        </w:rPr>
      </w:pPr>
    </w:p>
    <w:p w14:paraId="6465C240" w14:textId="77777777" w:rsidR="00220066" w:rsidRPr="004E251E" w:rsidRDefault="00220066" w:rsidP="00220066">
      <w:pPr>
        <w:keepNext/>
        <w:widowControl w:val="0"/>
        <w:tabs>
          <w:tab w:val="left" w:pos="709"/>
        </w:tabs>
        <w:rPr>
          <w:rFonts w:cstheme="minorHAnsi"/>
          <w:sz w:val="24"/>
          <w:szCs w:val="24"/>
        </w:rPr>
      </w:pPr>
      <w:r w:rsidRPr="004E251E">
        <w:rPr>
          <w:noProof/>
          <w:lang w:val="en-US"/>
        </w:rPr>
        <w:drawing>
          <wp:inline distT="0" distB="0" distL="0" distR="0" wp14:anchorId="12B353A0" wp14:editId="049BE217">
            <wp:extent cx="6210300" cy="431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10300" cy="4314825"/>
                    </a:xfrm>
                    <a:prstGeom prst="rect">
                      <a:avLst/>
                    </a:prstGeom>
                  </pic:spPr>
                </pic:pic>
              </a:graphicData>
            </a:graphic>
          </wp:inline>
        </w:drawing>
      </w:r>
    </w:p>
    <w:p w14:paraId="2EDA0517" w14:textId="77777777" w:rsidR="00220066" w:rsidRPr="00F00A90" w:rsidRDefault="00220066" w:rsidP="00220066">
      <w:pPr>
        <w:widowControl w:val="0"/>
        <w:rPr>
          <w:rFonts w:cstheme="minorHAnsi"/>
          <w:sz w:val="24"/>
          <w:szCs w:val="24"/>
          <w:lang w:val="en-US"/>
        </w:rPr>
      </w:pPr>
    </w:p>
    <w:p w14:paraId="7D021626" w14:textId="0B4C937B" w:rsidR="00220066" w:rsidRPr="00225BFB" w:rsidRDefault="00463E2E" w:rsidP="00220066">
      <w:pPr>
        <w:widowControl w:val="0"/>
        <w:numPr>
          <w:ilvl w:val="0"/>
          <w:numId w:val="1"/>
        </w:numPr>
        <w:tabs>
          <w:tab w:val="left" w:pos="709"/>
        </w:tabs>
        <w:ind w:left="0" w:firstLine="0"/>
        <w:rPr>
          <w:rFonts w:cstheme="minorHAnsi"/>
          <w:color w:val="FF0000"/>
          <w:sz w:val="24"/>
          <w:szCs w:val="24"/>
          <w:lang w:val="el-GR"/>
        </w:rPr>
      </w:pPr>
      <w:r>
        <w:rPr>
          <w:rFonts w:cstheme="minorHAnsi"/>
          <w:sz w:val="24"/>
          <w:szCs w:val="24"/>
          <w:lang w:val="el-GR"/>
        </w:rPr>
        <w:t>Η</w:t>
      </w:r>
      <w:r w:rsidRPr="00463E2E">
        <w:rPr>
          <w:rFonts w:cstheme="minorHAnsi"/>
          <w:sz w:val="24"/>
          <w:szCs w:val="24"/>
          <w:lang w:val="el-GR"/>
        </w:rPr>
        <w:t xml:space="preserve"> </w:t>
      </w:r>
      <w:r>
        <w:rPr>
          <w:rFonts w:cstheme="minorHAnsi"/>
          <w:sz w:val="24"/>
          <w:szCs w:val="24"/>
          <w:lang w:val="el-GR"/>
        </w:rPr>
        <w:t>Διεύθυνση</w:t>
      </w:r>
      <w:r w:rsidRPr="00463E2E">
        <w:rPr>
          <w:rFonts w:cstheme="minorHAnsi"/>
          <w:sz w:val="24"/>
          <w:szCs w:val="24"/>
          <w:lang w:val="el-GR"/>
        </w:rPr>
        <w:t xml:space="preserve"> </w:t>
      </w:r>
      <w:r>
        <w:rPr>
          <w:rFonts w:cstheme="minorHAnsi"/>
          <w:sz w:val="24"/>
          <w:szCs w:val="24"/>
          <w:lang w:val="el-GR"/>
        </w:rPr>
        <w:t>Οικονομικών</w:t>
      </w:r>
      <w:r w:rsidR="00220066" w:rsidRPr="00463E2E">
        <w:rPr>
          <w:rFonts w:cstheme="minorHAnsi"/>
          <w:sz w:val="24"/>
          <w:szCs w:val="24"/>
          <w:lang w:val="el-GR"/>
        </w:rPr>
        <w:t xml:space="preserve"> </w:t>
      </w:r>
      <w:r>
        <w:rPr>
          <w:rFonts w:cstheme="minorHAnsi"/>
          <w:sz w:val="24"/>
          <w:szCs w:val="24"/>
          <w:lang w:val="el-GR"/>
        </w:rPr>
        <w:t>της</w:t>
      </w:r>
      <w:r w:rsidRPr="00463E2E">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463E2E">
        <w:rPr>
          <w:rFonts w:cstheme="minorHAnsi"/>
          <w:sz w:val="24"/>
          <w:szCs w:val="24"/>
          <w:lang w:val="el-GR"/>
        </w:rPr>
        <w:t xml:space="preserve"> </w:t>
      </w:r>
      <w:r>
        <w:rPr>
          <w:rFonts w:cstheme="minorHAnsi"/>
          <w:sz w:val="24"/>
          <w:szCs w:val="24"/>
          <w:lang w:val="el-GR"/>
        </w:rPr>
        <w:t>διαχειρίζεται</w:t>
      </w:r>
      <w:r w:rsidRPr="00463E2E">
        <w:rPr>
          <w:rFonts w:cstheme="minorHAnsi"/>
          <w:sz w:val="24"/>
          <w:szCs w:val="24"/>
          <w:lang w:val="el-GR"/>
        </w:rPr>
        <w:t xml:space="preserve"> </w:t>
      </w:r>
      <w:r>
        <w:rPr>
          <w:rFonts w:cstheme="minorHAnsi"/>
          <w:sz w:val="24"/>
          <w:szCs w:val="24"/>
          <w:lang w:val="el-GR"/>
        </w:rPr>
        <w:t>τα</w:t>
      </w:r>
      <w:r w:rsidRPr="00463E2E">
        <w:rPr>
          <w:rFonts w:cstheme="minorHAnsi"/>
          <w:sz w:val="24"/>
          <w:szCs w:val="24"/>
          <w:lang w:val="el-GR"/>
        </w:rPr>
        <w:t xml:space="preserve"> </w:t>
      </w:r>
      <w:r>
        <w:rPr>
          <w:rFonts w:cstheme="minorHAnsi"/>
          <w:sz w:val="24"/>
          <w:szCs w:val="24"/>
          <w:lang w:val="el-GR"/>
        </w:rPr>
        <w:t>ταμεία</w:t>
      </w:r>
      <w:r w:rsidRPr="00463E2E">
        <w:rPr>
          <w:rFonts w:cstheme="minorHAnsi"/>
          <w:sz w:val="24"/>
          <w:szCs w:val="24"/>
          <w:lang w:val="el-GR"/>
        </w:rPr>
        <w:t xml:space="preserve"> </w:t>
      </w:r>
      <w:r>
        <w:rPr>
          <w:rFonts w:cstheme="minorHAnsi"/>
          <w:sz w:val="24"/>
          <w:szCs w:val="24"/>
          <w:lang w:val="el-GR"/>
        </w:rPr>
        <w:t>που</w:t>
      </w:r>
      <w:r w:rsidRPr="00463E2E">
        <w:rPr>
          <w:rFonts w:cstheme="minorHAnsi"/>
          <w:sz w:val="24"/>
          <w:szCs w:val="24"/>
          <w:lang w:val="el-GR"/>
        </w:rPr>
        <w:t xml:space="preserve"> </w:t>
      </w:r>
      <w:r>
        <w:rPr>
          <w:rFonts w:cstheme="minorHAnsi"/>
          <w:sz w:val="24"/>
          <w:szCs w:val="24"/>
          <w:lang w:val="el-GR"/>
        </w:rPr>
        <w:t>αφορούν τη</w:t>
      </w:r>
      <w:r w:rsidR="00EA5753">
        <w:rPr>
          <w:rFonts w:cstheme="minorHAnsi"/>
          <w:sz w:val="24"/>
          <w:szCs w:val="24"/>
          <w:lang w:val="el-GR"/>
        </w:rPr>
        <w:t>ν</w:t>
      </w:r>
      <w:r>
        <w:rPr>
          <w:rFonts w:cstheme="minorHAnsi"/>
          <w:sz w:val="24"/>
          <w:szCs w:val="24"/>
          <w:lang w:val="el-GR"/>
        </w:rPr>
        <w:t xml:space="preserve"> </w:t>
      </w:r>
      <w:r w:rsidR="009C4E34">
        <w:rPr>
          <w:rFonts w:cstheme="minorHAnsi"/>
          <w:sz w:val="24"/>
          <w:szCs w:val="24"/>
          <w:lang w:val="el-GR"/>
        </w:rPr>
        <w:t>Αστυνομία</w:t>
      </w:r>
      <w:r w:rsidR="00220066" w:rsidRPr="00463E2E">
        <w:rPr>
          <w:rFonts w:cstheme="minorHAnsi"/>
          <w:sz w:val="24"/>
          <w:szCs w:val="24"/>
          <w:lang w:val="el-GR"/>
        </w:rPr>
        <w:t xml:space="preserve"> </w:t>
      </w:r>
      <w:r>
        <w:rPr>
          <w:rFonts w:cstheme="minorHAnsi"/>
          <w:sz w:val="24"/>
          <w:szCs w:val="24"/>
          <w:lang w:val="el-GR"/>
        </w:rPr>
        <w:t>και</w:t>
      </w:r>
      <w:r w:rsidR="00220066" w:rsidRPr="00463E2E">
        <w:rPr>
          <w:rFonts w:cstheme="minorHAnsi"/>
          <w:sz w:val="24"/>
          <w:szCs w:val="24"/>
          <w:lang w:val="el-GR"/>
        </w:rPr>
        <w:t xml:space="preserve">, </w:t>
      </w:r>
      <w:r>
        <w:rPr>
          <w:rFonts w:cstheme="minorHAnsi"/>
          <w:sz w:val="24"/>
          <w:szCs w:val="24"/>
          <w:lang w:val="el-GR"/>
        </w:rPr>
        <w:t>γενικά</w:t>
      </w:r>
      <w:r w:rsidR="00220066" w:rsidRPr="00463E2E">
        <w:rPr>
          <w:rFonts w:cstheme="minorHAnsi"/>
          <w:sz w:val="24"/>
          <w:szCs w:val="24"/>
          <w:lang w:val="el-GR"/>
        </w:rPr>
        <w:t xml:space="preserve">, </w:t>
      </w:r>
      <w:r>
        <w:rPr>
          <w:rFonts w:cstheme="minorHAnsi"/>
          <w:sz w:val="24"/>
          <w:szCs w:val="24"/>
          <w:lang w:val="el-GR"/>
        </w:rPr>
        <w:t>όλα τα θέματα οικονομικής φύσης</w:t>
      </w:r>
      <w:r w:rsidR="00220066" w:rsidRPr="00463E2E">
        <w:rPr>
          <w:rFonts w:cstheme="minorHAnsi"/>
          <w:sz w:val="24"/>
          <w:szCs w:val="24"/>
          <w:lang w:val="el-GR"/>
        </w:rPr>
        <w:t xml:space="preserve">. </w:t>
      </w:r>
      <w:r>
        <w:rPr>
          <w:rFonts w:cstheme="minorHAnsi"/>
          <w:sz w:val="24"/>
          <w:szCs w:val="24"/>
          <w:lang w:val="el-GR"/>
        </w:rPr>
        <w:t>Η</w:t>
      </w:r>
      <w:r w:rsidRPr="00463E2E">
        <w:rPr>
          <w:rFonts w:cstheme="minorHAnsi"/>
          <w:sz w:val="24"/>
          <w:szCs w:val="24"/>
          <w:lang w:val="el-GR"/>
        </w:rPr>
        <w:t xml:space="preserve"> </w:t>
      </w:r>
      <w:r>
        <w:rPr>
          <w:rFonts w:cstheme="minorHAnsi"/>
          <w:sz w:val="24"/>
          <w:szCs w:val="24"/>
          <w:lang w:val="el-GR"/>
        </w:rPr>
        <w:t>δραστηριότητα</w:t>
      </w:r>
      <w:r w:rsidRPr="00463E2E">
        <w:rPr>
          <w:rFonts w:cstheme="minorHAnsi"/>
          <w:sz w:val="24"/>
          <w:szCs w:val="24"/>
          <w:lang w:val="el-GR"/>
        </w:rPr>
        <w:t xml:space="preserve"> </w:t>
      </w:r>
      <w:r>
        <w:rPr>
          <w:rFonts w:cstheme="minorHAnsi"/>
          <w:sz w:val="24"/>
          <w:szCs w:val="24"/>
          <w:lang w:val="el-GR"/>
        </w:rPr>
        <w:t>ελέγχου</w:t>
      </w:r>
      <w:r w:rsidRPr="00463E2E">
        <w:rPr>
          <w:rFonts w:cstheme="minorHAnsi"/>
          <w:sz w:val="24"/>
          <w:szCs w:val="24"/>
          <w:lang w:val="el-GR"/>
        </w:rPr>
        <w:t xml:space="preserve"> </w:t>
      </w:r>
      <w:r>
        <w:rPr>
          <w:rFonts w:cstheme="minorHAnsi"/>
          <w:sz w:val="24"/>
          <w:szCs w:val="24"/>
          <w:lang w:val="el-GR"/>
        </w:rPr>
        <w:t>στην</w:t>
      </w:r>
      <w:r w:rsidRPr="00463E2E">
        <w:rPr>
          <w:rFonts w:cstheme="minorHAnsi"/>
          <w:sz w:val="24"/>
          <w:szCs w:val="24"/>
          <w:lang w:val="el-GR"/>
        </w:rPr>
        <w:t xml:space="preserve"> </w:t>
      </w:r>
      <w:r>
        <w:rPr>
          <w:rFonts w:cstheme="minorHAnsi"/>
          <w:sz w:val="24"/>
          <w:szCs w:val="24"/>
          <w:lang w:val="el-GR"/>
        </w:rPr>
        <w:t>οικονομική</w:t>
      </w:r>
      <w:r w:rsidRPr="00463E2E">
        <w:rPr>
          <w:rFonts w:cstheme="minorHAnsi"/>
          <w:sz w:val="24"/>
          <w:szCs w:val="24"/>
          <w:lang w:val="el-GR"/>
        </w:rPr>
        <w:t xml:space="preserve"> </w:t>
      </w:r>
      <w:r w:rsidR="00C9244D">
        <w:rPr>
          <w:rFonts w:cstheme="minorHAnsi"/>
          <w:sz w:val="24"/>
          <w:szCs w:val="24"/>
          <w:lang w:val="el-GR"/>
        </w:rPr>
        <w:t>διαχείριση</w:t>
      </w:r>
      <w:r w:rsidR="00220066" w:rsidRPr="00463E2E">
        <w:rPr>
          <w:rFonts w:cstheme="minorHAnsi"/>
          <w:sz w:val="24"/>
          <w:szCs w:val="24"/>
          <w:lang w:val="el-GR"/>
        </w:rPr>
        <w:t xml:space="preserve"> </w:t>
      </w:r>
      <w:r>
        <w:rPr>
          <w:rFonts w:cstheme="minorHAnsi"/>
          <w:sz w:val="24"/>
          <w:szCs w:val="24"/>
          <w:lang w:val="el-GR"/>
        </w:rPr>
        <w:t>χωρίζεται σε τρία επίπεδα</w:t>
      </w:r>
      <w:r w:rsidR="00220066" w:rsidRPr="00463E2E">
        <w:rPr>
          <w:rFonts w:cstheme="minorHAnsi"/>
          <w:sz w:val="24"/>
          <w:szCs w:val="24"/>
          <w:lang w:val="el-GR"/>
        </w:rPr>
        <w:t xml:space="preserve">. </w:t>
      </w:r>
      <w:r>
        <w:rPr>
          <w:rFonts w:cstheme="minorHAnsi"/>
          <w:sz w:val="24"/>
          <w:szCs w:val="24"/>
          <w:lang w:val="el-GR"/>
        </w:rPr>
        <w:t>Το</w:t>
      </w:r>
      <w:r w:rsidRPr="00463E2E">
        <w:rPr>
          <w:rFonts w:cstheme="minorHAnsi"/>
          <w:sz w:val="24"/>
          <w:szCs w:val="24"/>
          <w:lang w:val="el-GR"/>
        </w:rPr>
        <w:t xml:space="preserve"> </w:t>
      </w:r>
      <w:r>
        <w:rPr>
          <w:rFonts w:cstheme="minorHAnsi"/>
          <w:sz w:val="24"/>
          <w:szCs w:val="24"/>
          <w:lang w:val="el-GR"/>
        </w:rPr>
        <w:t>πρώτο</w:t>
      </w:r>
      <w:r w:rsidRPr="00463E2E">
        <w:rPr>
          <w:rFonts w:cstheme="minorHAnsi"/>
          <w:sz w:val="24"/>
          <w:szCs w:val="24"/>
          <w:lang w:val="el-GR"/>
        </w:rPr>
        <w:t xml:space="preserve"> </w:t>
      </w:r>
      <w:r>
        <w:rPr>
          <w:rFonts w:cstheme="minorHAnsi"/>
          <w:sz w:val="24"/>
          <w:szCs w:val="24"/>
          <w:lang w:val="el-GR"/>
        </w:rPr>
        <w:t>επίπεδο</w:t>
      </w:r>
      <w:r w:rsidRPr="00463E2E">
        <w:rPr>
          <w:rFonts w:cstheme="minorHAnsi"/>
          <w:sz w:val="24"/>
          <w:szCs w:val="24"/>
          <w:lang w:val="el-GR"/>
        </w:rPr>
        <w:t xml:space="preserve"> </w:t>
      </w:r>
      <w:r>
        <w:rPr>
          <w:rFonts w:cstheme="minorHAnsi"/>
          <w:sz w:val="24"/>
          <w:szCs w:val="24"/>
          <w:lang w:val="el-GR"/>
        </w:rPr>
        <w:t>αφορά</w:t>
      </w:r>
      <w:r w:rsidRPr="00463E2E">
        <w:rPr>
          <w:rFonts w:cstheme="minorHAnsi"/>
          <w:sz w:val="24"/>
          <w:szCs w:val="24"/>
          <w:lang w:val="el-GR"/>
        </w:rPr>
        <w:t xml:space="preserve"> </w:t>
      </w:r>
      <w:r>
        <w:rPr>
          <w:rFonts w:cstheme="minorHAnsi"/>
          <w:sz w:val="24"/>
          <w:szCs w:val="24"/>
          <w:lang w:val="el-GR"/>
        </w:rPr>
        <w:t>στους</w:t>
      </w:r>
      <w:r w:rsidRPr="00463E2E">
        <w:rPr>
          <w:rFonts w:cstheme="minorHAnsi"/>
          <w:sz w:val="24"/>
          <w:szCs w:val="24"/>
          <w:lang w:val="el-GR"/>
        </w:rPr>
        <w:t xml:space="preserve"> </w:t>
      </w:r>
      <w:r>
        <w:rPr>
          <w:rFonts w:cstheme="minorHAnsi"/>
          <w:sz w:val="24"/>
          <w:szCs w:val="24"/>
          <w:lang w:val="el-GR"/>
        </w:rPr>
        <w:t>λειτουργούς</w:t>
      </w:r>
      <w:r w:rsidRPr="00463E2E">
        <w:rPr>
          <w:rFonts w:cstheme="minorHAnsi"/>
          <w:sz w:val="24"/>
          <w:szCs w:val="24"/>
          <w:lang w:val="el-GR"/>
        </w:rPr>
        <w:t xml:space="preserve"> </w:t>
      </w:r>
      <w:r>
        <w:rPr>
          <w:rFonts w:cstheme="minorHAnsi"/>
          <w:sz w:val="24"/>
          <w:szCs w:val="24"/>
          <w:lang w:val="el-GR"/>
        </w:rPr>
        <w:t>του</w:t>
      </w:r>
      <w:r w:rsidRPr="00463E2E">
        <w:rPr>
          <w:rFonts w:cstheme="minorHAnsi"/>
          <w:sz w:val="24"/>
          <w:szCs w:val="24"/>
          <w:lang w:val="el-GR"/>
        </w:rPr>
        <w:t xml:space="preserve"> </w:t>
      </w:r>
      <w:r>
        <w:rPr>
          <w:rFonts w:cstheme="minorHAnsi"/>
          <w:sz w:val="24"/>
          <w:szCs w:val="24"/>
          <w:lang w:val="el-GR"/>
        </w:rPr>
        <w:t>Γενικού</w:t>
      </w:r>
      <w:r w:rsidRPr="00463E2E">
        <w:rPr>
          <w:rFonts w:cstheme="minorHAnsi"/>
          <w:sz w:val="24"/>
          <w:szCs w:val="24"/>
          <w:lang w:val="el-GR"/>
        </w:rPr>
        <w:t xml:space="preserve"> </w:t>
      </w:r>
      <w:r>
        <w:rPr>
          <w:rFonts w:cstheme="minorHAnsi"/>
          <w:sz w:val="24"/>
          <w:szCs w:val="24"/>
          <w:lang w:val="el-GR"/>
        </w:rPr>
        <w:t>Λογιστηρίου</w:t>
      </w:r>
      <w:r w:rsidRPr="00463E2E">
        <w:rPr>
          <w:rFonts w:cstheme="minorHAnsi"/>
          <w:sz w:val="24"/>
          <w:szCs w:val="24"/>
          <w:lang w:val="el-GR"/>
        </w:rPr>
        <w:t xml:space="preserve"> </w:t>
      </w:r>
      <w:r>
        <w:rPr>
          <w:rFonts w:cstheme="minorHAnsi"/>
          <w:sz w:val="24"/>
          <w:szCs w:val="24"/>
          <w:lang w:val="el-GR"/>
        </w:rPr>
        <w:t>της</w:t>
      </w:r>
      <w:r w:rsidRPr="00463E2E">
        <w:rPr>
          <w:rFonts w:cstheme="minorHAnsi"/>
          <w:sz w:val="24"/>
          <w:szCs w:val="24"/>
          <w:lang w:val="el-GR"/>
        </w:rPr>
        <w:t xml:space="preserve"> </w:t>
      </w:r>
      <w:r>
        <w:rPr>
          <w:rFonts w:cstheme="minorHAnsi"/>
          <w:sz w:val="24"/>
          <w:szCs w:val="24"/>
          <w:lang w:val="el-GR"/>
        </w:rPr>
        <w:t>Δημοκρατίας</w:t>
      </w:r>
      <w:r w:rsidR="00220066" w:rsidRPr="00463E2E">
        <w:rPr>
          <w:rFonts w:cstheme="minorHAnsi"/>
          <w:sz w:val="24"/>
          <w:szCs w:val="24"/>
          <w:lang w:val="el-GR"/>
        </w:rPr>
        <w:t xml:space="preserve">, </w:t>
      </w:r>
      <w:r>
        <w:rPr>
          <w:rFonts w:cstheme="minorHAnsi"/>
          <w:sz w:val="24"/>
          <w:szCs w:val="24"/>
          <w:lang w:val="el-GR"/>
        </w:rPr>
        <w:t>το</w:t>
      </w:r>
      <w:r w:rsidRPr="00463E2E">
        <w:rPr>
          <w:rFonts w:cstheme="minorHAnsi"/>
          <w:sz w:val="24"/>
          <w:szCs w:val="24"/>
          <w:lang w:val="el-GR"/>
        </w:rPr>
        <w:t xml:space="preserve"> </w:t>
      </w:r>
      <w:r>
        <w:rPr>
          <w:rFonts w:cstheme="minorHAnsi"/>
          <w:sz w:val="24"/>
          <w:szCs w:val="24"/>
          <w:lang w:val="el-GR"/>
        </w:rPr>
        <w:t>δεύτερο</w:t>
      </w:r>
      <w:r w:rsidRPr="00463E2E">
        <w:rPr>
          <w:rFonts w:cstheme="minorHAnsi"/>
          <w:sz w:val="24"/>
          <w:szCs w:val="24"/>
          <w:lang w:val="el-GR"/>
        </w:rPr>
        <w:t xml:space="preserve"> </w:t>
      </w:r>
      <w:r>
        <w:rPr>
          <w:rFonts w:cstheme="minorHAnsi"/>
          <w:sz w:val="24"/>
          <w:szCs w:val="24"/>
          <w:lang w:val="el-GR"/>
        </w:rPr>
        <w:t>επίπεδο</w:t>
      </w:r>
      <w:r w:rsidRPr="00463E2E">
        <w:rPr>
          <w:rFonts w:cstheme="minorHAnsi"/>
          <w:sz w:val="24"/>
          <w:szCs w:val="24"/>
          <w:lang w:val="el-GR"/>
        </w:rPr>
        <w:t xml:space="preserve"> </w:t>
      </w:r>
      <w:r>
        <w:rPr>
          <w:rFonts w:cstheme="minorHAnsi"/>
          <w:sz w:val="24"/>
          <w:szCs w:val="24"/>
          <w:lang w:val="el-GR"/>
        </w:rPr>
        <w:t>στους</w:t>
      </w:r>
      <w:r w:rsidRPr="00463E2E">
        <w:rPr>
          <w:rFonts w:cstheme="minorHAnsi"/>
          <w:sz w:val="24"/>
          <w:szCs w:val="24"/>
          <w:lang w:val="el-GR"/>
        </w:rPr>
        <w:t xml:space="preserve"> </w:t>
      </w:r>
      <w:r>
        <w:rPr>
          <w:rFonts w:cstheme="minorHAnsi"/>
          <w:sz w:val="24"/>
          <w:szCs w:val="24"/>
          <w:lang w:val="el-GR"/>
        </w:rPr>
        <w:t>λειτουργούς</w:t>
      </w:r>
      <w:r w:rsidRPr="00463E2E">
        <w:rPr>
          <w:rFonts w:cstheme="minorHAnsi"/>
          <w:sz w:val="24"/>
          <w:szCs w:val="24"/>
          <w:lang w:val="el-GR"/>
        </w:rPr>
        <w:t xml:space="preserve"> </w:t>
      </w:r>
      <w:r>
        <w:rPr>
          <w:rFonts w:cstheme="minorHAnsi"/>
          <w:sz w:val="24"/>
          <w:szCs w:val="24"/>
          <w:lang w:val="el-GR"/>
        </w:rPr>
        <w:t>το</w:t>
      </w:r>
      <w:r w:rsidR="00EA5753">
        <w:rPr>
          <w:rFonts w:cstheme="minorHAnsi"/>
          <w:sz w:val="24"/>
          <w:szCs w:val="24"/>
          <w:lang w:val="el-GR"/>
        </w:rPr>
        <w:t>υ</w:t>
      </w:r>
      <w:r w:rsidRPr="00463E2E">
        <w:rPr>
          <w:rFonts w:cstheme="minorHAnsi"/>
          <w:sz w:val="24"/>
          <w:szCs w:val="24"/>
          <w:lang w:val="el-GR"/>
        </w:rPr>
        <w:t xml:space="preserve"> </w:t>
      </w:r>
      <w:r>
        <w:rPr>
          <w:rFonts w:cstheme="minorHAnsi"/>
          <w:sz w:val="24"/>
          <w:szCs w:val="24"/>
          <w:lang w:val="el-GR"/>
        </w:rPr>
        <w:t>Γενικού</w:t>
      </w:r>
      <w:r w:rsidRPr="00463E2E">
        <w:rPr>
          <w:rFonts w:cstheme="minorHAnsi"/>
          <w:sz w:val="24"/>
          <w:szCs w:val="24"/>
          <w:lang w:val="el-GR"/>
        </w:rPr>
        <w:t xml:space="preserve"> </w:t>
      </w:r>
      <w:r>
        <w:rPr>
          <w:rFonts w:cstheme="minorHAnsi"/>
          <w:sz w:val="24"/>
          <w:szCs w:val="24"/>
          <w:lang w:val="el-GR"/>
        </w:rPr>
        <w:t>Ελεγκτή</w:t>
      </w:r>
      <w:r w:rsidRPr="00463E2E">
        <w:rPr>
          <w:rFonts w:cstheme="minorHAnsi"/>
          <w:sz w:val="24"/>
          <w:szCs w:val="24"/>
          <w:lang w:val="el-GR"/>
        </w:rPr>
        <w:t xml:space="preserve"> </w:t>
      </w:r>
      <w:r>
        <w:rPr>
          <w:rFonts w:cstheme="minorHAnsi"/>
          <w:sz w:val="24"/>
          <w:szCs w:val="24"/>
          <w:lang w:val="el-GR"/>
        </w:rPr>
        <w:t>της</w:t>
      </w:r>
      <w:r w:rsidRPr="00463E2E">
        <w:rPr>
          <w:rFonts w:cstheme="minorHAnsi"/>
          <w:sz w:val="24"/>
          <w:szCs w:val="24"/>
          <w:lang w:val="el-GR"/>
        </w:rPr>
        <w:t xml:space="preserve"> </w:t>
      </w:r>
      <w:r>
        <w:rPr>
          <w:rFonts w:cstheme="minorHAnsi"/>
          <w:sz w:val="24"/>
          <w:szCs w:val="24"/>
          <w:lang w:val="el-GR"/>
        </w:rPr>
        <w:t>Δημοκρατίας</w:t>
      </w:r>
      <w:r w:rsidR="00220066" w:rsidRPr="00463E2E">
        <w:rPr>
          <w:rFonts w:cstheme="minorHAnsi"/>
          <w:sz w:val="24"/>
          <w:szCs w:val="24"/>
          <w:lang w:val="el-GR"/>
        </w:rPr>
        <w:t xml:space="preserve"> </w:t>
      </w:r>
      <w:r>
        <w:rPr>
          <w:rFonts w:cstheme="minorHAnsi"/>
          <w:sz w:val="24"/>
          <w:szCs w:val="24"/>
          <w:lang w:val="el-GR"/>
        </w:rPr>
        <w:t>και το τρίτο επίπεδο</w:t>
      </w:r>
      <w:r w:rsidR="00220066" w:rsidRPr="00463E2E">
        <w:rPr>
          <w:rFonts w:cstheme="minorHAnsi"/>
          <w:sz w:val="24"/>
          <w:szCs w:val="24"/>
          <w:lang w:val="el-GR"/>
        </w:rPr>
        <w:t xml:space="preserve">, </w:t>
      </w:r>
      <w:r w:rsidR="00225BFB">
        <w:rPr>
          <w:rFonts w:cstheme="minorHAnsi"/>
          <w:sz w:val="24"/>
          <w:szCs w:val="24"/>
          <w:lang w:val="el-GR"/>
        </w:rPr>
        <w:t>στα</w:t>
      </w:r>
      <w:r>
        <w:rPr>
          <w:rFonts w:cstheme="minorHAnsi"/>
          <w:sz w:val="24"/>
          <w:szCs w:val="24"/>
          <w:lang w:val="el-GR"/>
        </w:rPr>
        <w:t xml:space="preserve"> συν-χρηματοδοτούμενα προγράμματα της ΕΕ</w:t>
      </w:r>
      <w:r w:rsidR="00220066" w:rsidRPr="00463E2E">
        <w:rPr>
          <w:rFonts w:cstheme="minorHAnsi"/>
          <w:sz w:val="24"/>
          <w:szCs w:val="24"/>
          <w:lang w:val="el-GR"/>
        </w:rPr>
        <w:t xml:space="preserve">, </w:t>
      </w:r>
      <w:r w:rsidR="00225BFB">
        <w:rPr>
          <w:rFonts w:cstheme="minorHAnsi"/>
          <w:sz w:val="24"/>
          <w:szCs w:val="24"/>
          <w:lang w:val="el-GR"/>
        </w:rPr>
        <w:t>στην Διεύθυνση Γενικού Ελέγχου της Ευρωπαϊκής Επιτροπής</w:t>
      </w:r>
      <w:r w:rsidR="00220066" w:rsidRPr="00463E2E">
        <w:rPr>
          <w:rFonts w:cstheme="minorHAnsi"/>
          <w:sz w:val="24"/>
          <w:szCs w:val="24"/>
          <w:lang w:val="el-GR"/>
        </w:rPr>
        <w:t xml:space="preserve">. </w:t>
      </w:r>
      <w:r w:rsidR="00225BFB">
        <w:rPr>
          <w:rFonts w:cstheme="minorHAnsi"/>
          <w:sz w:val="24"/>
          <w:szCs w:val="24"/>
          <w:lang w:val="el-GR"/>
        </w:rPr>
        <w:t>Η</w:t>
      </w:r>
      <w:r w:rsidR="00225BFB" w:rsidRPr="00225BFB">
        <w:rPr>
          <w:rFonts w:cstheme="minorHAnsi"/>
          <w:sz w:val="24"/>
          <w:szCs w:val="24"/>
          <w:lang w:val="el-GR"/>
        </w:rPr>
        <w:t xml:space="preserve"> </w:t>
      </w:r>
      <w:r w:rsidR="00225BFB">
        <w:rPr>
          <w:rFonts w:cstheme="minorHAnsi"/>
          <w:sz w:val="24"/>
          <w:szCs w:val="24"/>
          <w:lang w:val="el-GR"/>
        </w:rPr>
        <w:t>μόνη</w:t>
      </w:r>
      <w:r w:rsidR="00225BFB" w:rsidRPr="00225BFB">
        <w:rPr>
          <w:rFonts w:cstheme="minorHAnsi"/>
          <w:sz w:val="24"/>
          <w:szCs w:val="24"/>
          <w:lang w:val="el-GR"/>
        </w:rPr>
        <w:t xml:space="preserve"> </w:t>
      </w:r>
      <w:r w:rsidR="00225BFB">
        <w:rPr>
          <w:rFonts w:cstheme="minorHAnsi"/>
          <w:sz w:val="24"/>
          <w:szCs w:val="24"/>
          <w:lang w:val="el-GR"/>
        </w:rPr>
        <w:t>έκθεση</w:t>
      </w:r>
      <w:r w:rsidR="00225BFB" w:rsidRPr="00225BFB">
        <w:rPr>
          <w:rFonts w:cstheme="minorHAnsi"/>
          <w:sz w:val="24"/>
          <w:szCs w:val="24"/>
          <w:lang w:val="el-GR"/>
        </w:rPr>
        <w:t xml:space="preserve"> </w:t>
      </w:r>
      <w:proofErr w:type="spellStart"/>
      <w:r w:rsidR="00225BFB">
        <w:rPr>
          <w:rFonts w:cstheme="minorHAnsi"/>
          <w:sz w:val="24"/>
          <w:szCs w:val="24"/>
          <w:lang w:val="el-GR"/>
        </w:rPr>
        <w:t>προσβάσιμη</w:t>
      </w:r>
      <w:proofErr w:type="spellEnd"/>
      <w:r w:rsidR="00225BFB" w:rsidRPr="00225BFB">
        <w:rPr>
          <w:rFonts w:cstheme="minorHAnsi"/>
          <w:sz w:val="24"/>
          <w:szCs w:val="24"/>
          <w:lang w:val="el-GR"/>
        </w:rPr>
        <w:t xml:space="preserve"> </w:t>
      </w:r>
      <w:r w:rsidR="00225BFB">
        <w:rPr>
          <w:rFonts w:cstheme="minorHAnsi"/>
          <w:sz w:val="24"/>
          <w:szCs w:val="24"/>
          <w:lang w:val="el-GR"/>
        </w:rPr>
        <w:t>στο</w:t>
      </w:r>
      <w:r w:rsidR="00225BFB" w:rsidRPr="00225BFB">
        <w:rPr>
          <w:rFonts w:cstheme="minorHAnsi"/>
          <w:sz w:val="24"/>
          <w:szCs w:val="24"/>
          <w:lang w:val="el-GR"/>
        </w:rPr>
        <w:t xml:space="preserve"> </w:t>
      </w:r>
      <w:r w:rsidR="00225BFB">
        <w:rPr>
          <w:rFonts w:cstheme="minorHAnsi"/>
          <w:sz w:val="24"/>
          <w:szCs w:val="24"/>
          <w:lang w:val="el-GR"/>
        </w:rPr>
        <w:t>κοινό</w:t>
      </w:r>
      <w:r w:rsidR="00220066" w:rsidRPr="00225BFB">
        <w:rPr>
          <w:rFonts w:cstheme="minorHAnsi"/>
          <w:sz w:val="24"/>
          <w:szCs w:val="24"/>
          <w:lang w:val="el-GR"/>
        </w:rPr>
        <w:t xml:space="preserve">, </w:t>
      </w:r>
      <w:r w:rsidR="00225BFB">
        <w:rPr>
          <w:rFonts w:cstheme="minorHAnsi"/>
          <w:sz w:val="24"/>
          <w:szCs w:val="24"/>
          <w:lang w:val="el-GR"/>
        </w:rPr>
        <w:t>που</w:t>
      </w:r>
      <w:r w:rsidR="00225BFB" w:rsidRPr="00225BFB">
        <w:rPr>
          <w:rFonts w:cstheme="minorHAnsi"/>
          <w:sz w:val="24"/>
          <w:szCs w:val="24"/>
          <w:lang w:val="el-GR"/>
        </w:rPr>
        <w:t xml:space="preserve"> </w:t>
      </w:r>
      <w:r w:rsidR="00225BFB">
        <w:rPr>
          <w:rFonts w:cstheme="minorHAnsi"/>
          <w:sz w:val="24"/>
          <w:szCs w:val="24"/>
          <w:lang w:val="el-GR"/>
        </w:rPr>
        <w:t>επίσης</w:t>
      </w:r>
      <w:r w:rsidR="00225BFB" w:rsidRPr="00225BFB">
        <w:rPr>
          <w:rFonts w:cstheme="minorHAnsi"/>
          <w:sz w:val="24"/>
          <w:szCs w:val="24"/>
          <w:lang w:val="el-GR"/>
        </w:rPr>
        <w:t xml:space="preserve"> </w:t>
      </w:r>
      <w:r w:rsidR="00225BFB">
        <w:rPr>
          <w:rFonts w:cstheme="minorHAnsi"/>
          <w:sz w:val="24"/>
          <w:szCs w:val="24"/>
          <w:lang w:val="el-GR"/>
        </w:rPr>
        <w:t>καλύπτει</w:t>
      </w:r>
      <w:r w:rsidR="00225BFB" w:rsidRPr="00225BFB">
        <w:rPr>
          <w:rFonts w:cstheme="minorHAnsi"/>
          <w:sz w:val="24"/>
          <w:szCs w:val="24"/>
          <w:lang w:val="el-GR"/>
        </w:rPr>
        <w:t xml:space="preserve"> </w:t>
      </w:r>
      <w:r w:rsidR="00225BFB">
        <w:rPr>
          <w:rFonts w:cstheme="minorHAnsi"/>
          <w:sz w:val="24"/>
          <w:szCs w:val="24"/>
          <w:lang w:val="el-GR"/>
        </w:rPr>
        <w:t>την</w:t>
      </w:r>
      <w:r w:rsidR="00225BFB" w:rsidRPr="00225BFB">
        <w:rPr>
          <w:rFonts w:cstheme="minorHAnsi"/>
          <w:sz w:val="24"/>
          <w:szCs w:val="24"/>
          <w:lang w:val="el-GR"/>
        </w:rPr>
        <w:t xml:space="preserve"> </w:t>
      </w:r>
      <w:r w:rsidR="00225BFB">
        <w:rPr>
          <w:rFonts w:cstheme="minorHAnsi"/>
          <w:sz w:val="24"/>
          <w:szCs w:val="24"/>
          <w:lang w:val="el-GR"/>
        </w:rPr>
        <w:t>οικονομική</w:t>
      </w:r>
      <w:r w:rsidR="00225BFB" w:rsidRPr="00225BFB">
        <w:rPr>
          <w:rFonts w:cstheme="minorHAnsi"/>
          <w:sz w:val="24"/>
          <w:szCs w:val="24"/>
          <w:lang w:val="el-GR"/>
        </w:rPr>
        <w:t xml:space="preserve"> </w:t>
      </w:r>
      <w:r w:rsidR="00225BFB">
        <w:rPr>
          <w:rFonts w:cstheme="minorHAnsi"/>
          <w:sz w:val="24"/>
          <w:szCs w:val="24"/>
          <w:lang w:val="el-GR"/>
        </w:rPr>
        <w:t>χρηματοδότηση</w:t>
      </w:r>
      <w:r w:rsidR="00225BFB" w:rsidRPr="00225BFB">
        <w:rPr>
          <w:rFonts w:cstheme="minorHAnsi"/>
          <w:sz w:val="24"/>
          <w:szCs w:val="24"/>
          <w:lang w:val="el-GR"/>
        </w:rPr>
        <w:t xml:space="preserve"> </w:t>
      </w:r>
      <w:r w:rsidR="00225BFB">
        <w:rPr>
          <w:rFonts w:cstheme="minorHAnsi"/>
          <w:sz w:val="24"/>
          <w:szCs w:val="24"/>
          <w:lang w:val="el-GR"/>
        </w:rPr>
        <w:t>της</w:t>
      </w:r>
      <w:r w:rsidR="00225BFB" w:rsidRPr="00225BFB">
        <w:rPr>
          <w:rFonts w:cstheme="minorHAnsi"/>
          <w:sz w:val="24"/>
          <w:szCs w:val="24"/>
          <w:lang w:val="el-GR"/>
        </w:rPr>
        <w:t xml:space="preserve"> </w:t>
      </w:r>
      <w:r w:rsidR="009C4E34">
        <w:rPr>
          <w:rFonts w:cstheme="minorHAnsi"/>
          <w:sz w:val="24"/>
          <w:szCs w:val="24"/>
          <w:lang w:val="el-GR"/>
        </w:rPr>
        <w:t>Αστυνομία</w:t>
      </w:r>
      <w:r w:rsidR="00225BFB">
        <w:rPr>
          <w:rFonts w:cstheme="minorHAnsi"/>
          <w:sz w:val="24"/>
          <w:szCs w:val="24"/>
          <w:lang w:val="el-GR"/>
        </w:rPr>
        <w:t>ς</w:t>
      </w:r>
      <w:r w:rsidR="00220066" w:rsidRPr="00225BFB">
        <w:rPr>
          <w:rFonts w:cstheme="minorHAnsi"/>
          <w:sz w:val="24"/>
          <w:szCs w:val="24"/>
          <w:lang w:val="el-GR"/>
        </w:rPr>
        <w:t xml:space="preserve">, </w:t>
      </w:r>
      <w:r w:rsidR="00225BFB">
        <w:rPr>
          <w:rFonts w:cstheme="minorHAnsi"/>
          <w:sz w:val="24"/>
          <w:szCs w:val="24"/>
          <w:lang w:val="el-GR"/>
        </w:rPr>
        <w:t>είναι η ετήσια έκθεση του Γενικού Ελεγκτή της Δημοκρατίας</w:t>
      </w:r>
      <w:r w:rsidR="00220066" w:rsidRPr="00225BFB">
        <w:rPr>
          <w:rFonts w:cstheme="minorHAnsi"/>
          <w:sz w:val="24"/>
          <w:szCs w:val="24"/>
          <w:lang w:val="el-GR"/>
        </w:rPr>
        <w:t>.</w:t>
      </w:r>
    </w:p>
    <w:p w14:paraId="5418A4FE" w14:textId="77777777" w:rsidR="00220066" w:rsidRPr="00225BFB" w:rsidRDefault="00220066" w:rsidP="00220066">
      <w:pPr>
        <w:widowControl w:val="0"/>
        <w:tabs>
          <w:tab w:val="left" w:pos="709"/>
        </w:tabs>
        <w:rPr>
          <w:rFonts w:cstheme="minorHAnsi"/>
          <w:sz w:val="24"/>
          <w:szCs w:val="24"/>
          <w:lang w:val="el-GR"/>
        </w:rPr>
      </w:pPr>
    </w:p>
    <w:p w14:paraId="507E8169" w14:textId="4B41D926" w:rsidR="00220066" w:rsidRPr="004E251E" w:rsidRDefault="00225BFB" w:rsidP="00220066">
      <w:pPr>
        <w:pStyle w:val="Heading3"/>
        <w:tabs>
          <w:tab w:val="left" w:pos="709"/>
        </w:tabs>
        <w:spacing w:before="0"/>
        <w:rPr>
          <w:rFonts w:asciiTheme="minorHAnsi" w:hAnsiTheme="minorHAnsi" w:cstheme="minorHAnsi"/>
          <w:b w:val="0"/>
          <w:i/>
          <w:color w:val="auto"/>
          <w:sz w:val="24"/>
          <w:szCs w:val="24"/>
        </w:rPr>
      </w:pPr>
      <w:bookmarkStart w:id="177" w:name="_Toc110430324"/>
      <w:bookmarkStart w:id="178" w:name="_Toc117445163"/>
      <w:bookmarkStart w:id="179" w:name="_Toc136879367"/>
      <w:r>
        <w:rPr>
          <w:rFonts w:asciiTheme="minorHAnsi" w:hAnsiTheme="minorHAnsi" w:cstheme="minorHAnsi"/>
          <w:b w:val="0"/>
          <w:i/>
          <w:color w:val="auto"/>
          <w:sz w:val="24"/>
          <w:szCs w:val="24"/>
          <w:lang w:val="el-GR"/>
        </w:rPr>
        <w:t>Πρόσβαση σε πληροφορίες</w:t>
      </w:r>
      <w:bookmarkEnd w:id="177"/>
      <w:bookmarkEnd w:id="178"/>
      <w:bookmarkEnd w:id="179"/>
    </w:p>
    <w:p w14:paraId="20376A85" w14:textId="77777777" w:rsidR="00220066" w:rsidRPr="004E251E" w:rsidRDefault="00220066" w:rsidP="00220066">
      <w:pPr>
        <w:keepNext/>
        <w:rPr>
          <w:rFonts w:cstheme="minorHAnsi"/>
          <w:color w:val="FF0000"/>
          <w:sz w:val="24"/>
          <w:szCs w:val="24"/>
        </w:rPr>
      </w:pPr>
    </w:p>
    <w:p w14:paraId="08FE2DD6" w14:textId="13C28677" w:rsidR="00220066" w:rsidRPr="00AA0225" w:rsidRDefault="00225BFB"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Η</w:t>
      </w:r>
      <w:r w:rsidRPr="00225BFB">
        <w:rPr>
          <w:rFonts w:cstheme="minorHAnsi"/>
          <w:sz w:val="24"/>
          <w:szCs w:val="24"/>
          <w:lang w:val="el-GR"/>
        </w:rPr>
        <w:t xml:space="preserve"> </w:t>
      </w:r>
      <w:r w:rsidR="009C4E34">
        <w:rPr>
          <w:rFonts w:cstheme="minorHAnsi"/>
          <w:sz w:val="24"/>
          <w:szCs w:val="24"/>
          <w:lang w:val="el-GR"/>
        </w:rPr>
        <w:t>Αστυνομία</w:t>
      </w:r>
      <w:r w:rsidRPr="00225BFB">
        <w:rPr>
          <w:rFonts w:cstheme="minorHAnsi"/>
          <w:sz w:val="24"/>
          <w:szCs w:val="24"/>
          <w:lang w:val="el-GR"/>
        </w:rPr>
        <w:t xml:space="preserve"> </w:t>
      </w:r>
      <w:r>
        <w:rPr>
          <w:rFonts w:cstheme="minorHAnsi"/>
          <w:sz w:val="24"/>
          <w:szCs w:val="24"/>
          <w:lang w:val="el-GR"/>
        </w:rPr>
        <w:t>εμπίπτει</w:t>
      </w:r>
      <w:r w:rsidRPr="00225BFB">
        <w:rPr>
          <w:rFonts w:cstheme="minorHAnsi"/>
          <w:sz w:val="24"/>
          <w:szCs w:val="24"/>
          <w:lang w:val="el-GR"/>
        </w:rPr>
        <w:t xml:space="preserve"> </w:t>
      </w:r>
      <w:r>
        <w:rPr>
          <w:rFonts w:cstheme="minorHAnsi"/>
          <w:sz w:val="24"/>
          <w:szCs w:val="24"/>
          <w:lang w:val="el-GR"/>
        </w:rPr>
        <w:t>στην</w:t>
      </w:r>
      <w:r w:rsidRPr="00225BFB">
        <w:rPr>
          <w:rFonts w:cstheme="minorHAnsi"/>
          <w:sz w:val="24"/>
          <w:szCs w:val="24"/>
          <w:lang w:val="el-GR"/>
        </w:rPr>
        <w:t xml:space="preserve"> </w:t>
      </w:r>
      <w:r>
        <w:rPr>
          <w:rFonts w:cstheme="minorHAnsi"/>
          <w:sz w:val="24"/>
          <w:szCs w:val="24"/>
          <w:lang w:val="el-GR"/>
        </w:rPr>
        <w:t>πρόσβαση</w:t>
      </w:r>
      <w:r w:rsidRPr="00225BFB">
        <w:rPr>
          <w:rFonts w:cstheme="minorHAnsi"/>
          <w:sz w:val="24"/>
          <w:szCs w:val="24"/>
          <w:lang w:val="el-GR"/>
        </w:rPr>
        <w:t xml:space="preserve"> </w:t>
      </w:r>
      <w:r>
        <w:rPr>
          <w:rFonts w:cstheme="minorHAnsi"/>
          <w:sz w:val="24"/>
          <w:szCs w:val="24"/>
          <w:lang w:val="el-GR"/>
        </w:rPr>
        <w:t>σε</w:t>
      </w:r>
      <w:r w:rsidRPr="00225BFB">
        <w:rPr>
          <w:rFonts w:cstheme="minorHAnsi"/>
          <w:sz w:val="24"/>
          <w:szCs w:val="24"/>
          <w:lang w:val="el-GR"/>
        </w:rPr>
        <w:t xml:space="preserve"> </w:t>
      </w:r>
      <w:r>
        <w:rPr>
          <w:rFonts w:cstheme="minorHAnsi"/>
          <w:sz w:val="24"/>
          <w:szCs w:val="24"/>
          <w:lang w:val="el-GR"/>
        </w:rPr>
        <w:t>κανονισμούς</w:t>
      </w:r>
      <w:r w:rsidRPr="00225BFB">
        <w:rPr>
          <w:rFonts w:cstheme="minorHAnsi"/>
          <w:sz w:val="24"/>
          <w:szCs w:val="24"/>
          <w:lang w:val="el-GR"/>
        </w:rPr>
        <w:t xml:space="preserve"> </w:t>
      </w:r>
      <w:r>
        <w:rPr>
          <w:rFonts w:cstheme="minorHAnsi"/>
          <w:sz w:val="24"/>
          <w:szCs w:val="24"/>
          <w:lang w:val="el-GR"/>
        </w:rPr>
        <w:t>πληροφόρησης</w:t>
      </w:r>
      <w:r w:rsidRPr="00225BFB">
        <w:rPr>
          <w:rFonts w:cstheme="minorHAnsi"/>
          <w:sz w:val="24"/>
          <w:szCs w:val="24"/>
          <w:lang w:val="el-GR"/>
        </w:rPr>
        <w:t xml:space="preserve"> </w:t>
      </w:r>
      <w:r>
        <w:rPr>
          <w:rFonts w:cstheme="minorHAnsi"/>
          <w:sz w:val="24"/>
          <w:szCs w:val="24"/>
          <w:lang w:val="el-GR"/>
        </w:rPr>
        <w:t>του</w:t>
      </w:r>
      <w:r w:rsidRPr="00225BFB">
        <w:rPr>
          <w:rFonts w:cstheme="minorHAnsi"/>
          <w:sz w:val="24"/>
          <w:szCs w:val="24"/>
          <w:lang w:val="el-GR"/>
        </w:rPr>
        <w:t xml:space="preserve"> </w:t>
      </w:r>
      <w:r>
        <w:rPr>
          <w:rFonts w:cstheme="minorHAnsi"/>
          <w:sz w:val="24"/>
          <w:szCs w:val="24"/>
          <w:lang w:val="el-GR"/>
        </w:rPr>
        <w:t>κοινού</w:t>
      </w:r>
      <w:r w:rsidR="00220066" w:rsidRPr="00225BFB">
        <w:rPr>
          <w:rFonts w:cstheme="minorHAnsi"/>
          <w:sz w:val="24"/>
          <w:szCs w:val="24"/>
          <w:lang w:val="el-GR"/>
        </w:rPr>
        <w:t xml:space="preserve"> </w:t>
      </w:r>
      <w:r>
        <w:rPr>
          <w:rFonts w:cstheme="minorHAnsi"/>
          <w:sz w:val="24"/>
          <w:szCs w:val="24"/>
          <w:lang w:val="el-GR"/>
        </w:rPr>
        <w:t>που</w:t>
      </w:r>
      <w:r w:rsidRPr="00225BFB">
        <w:rPr>
          <w:rFonts w:cstheme="minorHAnsi"/>
          <w:sz w:val="24"/>
          <w:szCs w:val="24"/>
          <w:lang w:val="el-GR"/>
        </w:rPr>
        <w:t xml:space="preserve"> </w:t>
      </w:r>
      <w:r>
        <w:rPr>
          <w:rFonts w:cstheme="minorHAnsi"/>
          <w:sz w:val="24"/>
          <w:szCs w:val="24"/>
          <w:lang w:val="el-GR"/>
        </w:rPr>
        <w:t>ισχύουν</w:t>
      </w:r>
      <w:r w:rsidRPr="00225BFB">
        <w:rPr>
          <w:rFonts w:cstheme="minorHAnsi"/>
          <w:sz w:val="24"/>
          <w:szCs w:val="24"/>
          <w:lang w:val="el-GR"/>
        </w:rPr>
        <w:t xml:space="preserve"> </w:t>
      </w:r>
      <w:r>
        <w:rPr>
          <w:rFonts w:cstheme="minorHAnsi"/>
          <w:sz w:val="24"/>
          <w:szCs w:val="24"/>
          <w:lang w:val="el-GR"/>
        </w:rPr>
        <w:t>σε</w:t>
      </w:r>
      <w:r w:rsidRPr="00225BFB">
        <w:rPr>
          <w:rFonts w:cstheme="minorHAnsi"/>
          <w:sz w:val="24"/>
          <w:szCs w:val="24"/>
          <w:lang w:val="el-GR"/>
        </w:rPr>
        <w:t xml:space="preserve"> </w:t>
      </w:r>
      <w:r>
        <w:rPr>
          <w:rFonts w:cstheme="minorHAnsi"/>
          <w:sz w:val="24"/>
          <w:szCs w:val="24"/>
          <w:lang w:val="el-GR"/>
        </w:rPr>
        <w:t>οποιαδήποτε</w:t>
      </w:r>
      <w:r w:rsidRPr="00225BFB">
        <w:rPr>
          <w:rFonts w:cstheme="minorHAnsi"/>
          <w:sz w:val="24"/>
          <w:szCs w:val="24"/>
          <w:lang w:val="el-GR"/>
        </w:rPr>
        <w:t xml:space="preserve"> </w:t>
      </w:r>
      <w:r>
        <w:rPr>
          <w:rFonts w:cstheme="minorHAnsi"/>
          <w:sz w:val="24"/>
          <w:szCs w:val="24"/>
          <w:lang w:val="el-GR"/>
        </w:rPr>
        <w:t>άλλη</w:t>
      </w:r>
      <w:r w:rsidRPr="00225BFB">
        <w:rPr>
          <w:rFonts w:cstheme="minorHAnsi"/>
          <w:sz w:val="24"/>
          <w:szCs w:val="24"/>
          <w:lang w:val="el-GR"/>
        </w:rPr>
        <w:t xml:space="preserve"> </w:t>
      </w:r>
      <w:r>
        <w:rPr>
          <w:rFonts w:cstheme="minorHAnsi"/>
          <w:sz w:val="24"/>
          <w:szCs w:val="24"/>
          <w:lang w:val="el-GR"/>
        </w:rPr>
        <w:t>δημόσια</w:t>
      </w:r>
      <w:r w:rsidRPr="00225BFB">
        <w:rPr>
          <w:rFonts w:cstheme="minorHAnsi"/>
          <w:sz w:val="24"/>
          <w:szCs w:val="24"/>
          <w:lang w:val="el-GR"/>
        </w:rPr>
        <w:t xml:space="preserve"> </w:t>
      </w:r>
      <w:r>
        <w:rPr>
          <w:rFonts w:cstheme="minorHAnsi"/>
          <w:sz w:val="24"/>
          <w:szCs w:val="24"/>
          <w:lang w:val="el-GR"/>
        </w:rPr>
        <w:t>αρχή</w:t>
      </w:r>
      <w:r w:rsidR="00220066" w:rsidRPr="00225BFB">
        <w:rPr>
          <w:rFonts w:cstheme="minorHAnsi"/>
          <w:sz w:val="24"/>
          <w:szCs w:val="24"/>
          <w:lang w:val="el-GR"/>
        </w:rPr>
        <w:t xml:space="preserve"> (</w:t>
      </w:r>
      <w:r>
        <w:rPr>
          <w:rFonts w:cstheme="minorHAnsi"/>
          <w:sz w:val="24"/>
          <w:szCs w:val="24"/>
          <w:lang w:val="el-GR"/>
        </w:rPr>
        <w:t>δηλαδή</w:t>
      </w:r>
      <w:r w:rsidRPr="00225BFB">
        <w:rPr>
          <w:rFonts w:cstheme="minorHAnsi"/>
          <w:sz w:val="24"/>
          <w:szCs w:val="24"/>
          <w:lang w:val="el-GR"/>
        </w:rPr>
        <w:t xml:space="preserve"> </w:t>
      </w:r>
      <w:r>
        <w:rPr>
          <w:rFonts w:cstheme="minorHAnsi"/>
          <w:sz w:val="24"/>
          <w:szCs w:val="24"/>
          <w:lang w:val="el-GR"/>
        </w:rPr>
        <w:t>τον</w:t>
      </w:r>
      <w:r w:rsidRPr="00225BFB">
        <w:rPr>
          <w:rFonts w:cstheme="minorHAnsi"/>
          <w:sz w:val="24"/>
          <w:szCs w:val="24"/>
          <w:lang w:val="el-GR"/>
        </w:rPr>
        <w:t xml:space="preserve"> </w:t>
      </w:r>
      <w:r>
        <w:rPr>
          <w:rFonts w:cstheme="minorHAnsi"/>
          <w:sz w:val="24"/>
          <w:szCs w:val="24"/>
          <w:lang w:val="el-GR"/>
        </w:rPr>
        <w:t>Νόμο</w:t>
      </w:r>
      <w:r w:rsidRPr="00225BFB">
        <w:rPr>
          <w:rFonts w:cstheme="minorHAnsi"/>
          <w:sz w:val="24"/>
          <w:szCs w:val="24"/>
          <w:lang w:val="el-GR"/>
        </w:rPr>
        <w:t xml:space="preserve"> </w:t>
      </w:r>
      <w:r>
        <w:rPr>
          <w:rFonts w:cstheme="minorHAnsi"/>
          <w:sz w:val="24"/>
          <w:szCs w:val="24"/>
          <w:lang w:val="el-GR"/>
        </w:rPr>
        <w:t>περί Δικαιώματος Πρόσβασης σε Δημόσιες Πληροφορίες</w:t>
      </w:r>
      <w:r w:rsidR="00220066" w:rsidRPr="00225BFB">
        <w:rPr>
          <w:rFonts w:cstheme="minorHAnsi"/>
          <w:sz w:val="24"/>
          <w:szCs w:val="24"/>
          <w:lang w:val="el-GR"/>
        </w:rPr>
        <w:t xml:space="preserve"> </w:t>
      </w:r>
      <w:r>
        <w:rPr>
          <w:rFonts w:cstheme="minorHAnsi"/>
          <w:sz w:val="24"/>
          <w:szCs w:val="24"/>
          <w:lang w:val="el-GR"/>
        </w:rPr>
        <w:t>του</w:t>
      </w:r>
      <w:r w:rsidR="00220066" w:rsidRPr="00225BFB">
        <w:rPr>
          <w:rFonts w:cstheme="minorHAnsi"/>
          <w:sz w:val="24"/>
          <w:szCs w:val="24"/>
          <w:lang w:val="el-GR"/>
        </w:rPr>
        <w:t xml:space="preserve"> 2017, </w:t>
      </w:r>
      <w:r>
        <w:rPr>
          <w:rFonts w:cstheme="minorHAnsi"/>
          <w:sz w:val="24"/>
          <w:szCs w:val="24"/>
          <w:lang w:val="el-GR"/>
        </w:rPr>
        <w:t>βλέπε επίσης το πρώτο μέρος της έκθεσης αυτής</w:t>
      </w:r>
      <w:r w:rsidR="00220066" w:rsidRPr="00225BFB">
        <w:rPr>
          <w:rFonts w:cstheme="minorHAnsi"/>
          <w:sz w:val="24"/>
          <w:szCs w:val="24"/>
          <w:lang w:val="el-GR"/>
        </w:rPr>
        <w:t xml:space="preserve">). </w:t>
      </w:r>
      <w:r>
        <w:rPr>
          <w:rFonts w:cstheme="minorHAnsi"/>
          <w:sz w:val="24"/>
          <w:szCs w:val="24"/>
          <w:lang w:val="el-GR"/>
        </w:rPr>
        <w:t>Επιπλέον</w:t>
      </w:r>
      <w:r w:rsidR="00220066" w:rsidRPr="00225BFB">
        <w:rPr>
          <w:rFonts w:cstheme="minorHAnsi"/>
          <w:sz w:val="24"/>
          <w:szCs w:val="24"/>
          <w:lang w:val="el-GR"/>
        </w:rPr>
        <w:t xml:space="preserve">, </w:t>
      </w:r>
      <w:r>
        <w:rPr>
          <w:rFonts w:cstheme="minorHAnsi"/>
          <w:sz w:val="24"/>
          <w:szCs w:val="24"/>
          <w:lang w:val="el-GR"/>
        </w:rPr>
        <w:t>ο</w:t>
      </w:r>
      <w:r w:rsidRPr="00225BFB">
        <w:rPr>
          <w:rFonts w:cstheme="minorHAnsi"/>
          <w:sz w:val="24"/>
          <w:szCs w:val="24"/>
          <w:lang w:val="el-GR"/>
        </w:rPr>
        <w:t xml:space="preserve"> </w:t>
      </w:r>
      <w:r>
        <w:rPr>
          <w:rFonts w:cstheme="minorHAnsi"/>
          <w:sz w:val="24"/>
          <w:szCs w:val="24"/>
          <w:lang w:val="el-GR"/>
        </w:rPr>
        <w:t>κατηγορούμενος</w:t>
      </w:r>
      <w:r w:rsidR="00220066" w:rsidRPr="00225BFB">
        <w:rPr>
          <w:rFonts w:cstheme="minorHAnsi"/>
          <w:sz w:val="24"/>
          <w:szCs w:val="24"/>
          <w:lang w:val="el-GR"/>
        </w:rPr>
        <w:t xml:space="preserve">, </w:t>
      </w:r>
      <w:r>
        <w:rPr>
          <w:rFonts w:cstheme="minorHAnsi"/>
          <w:sz w:val="24"/>
          <w:szCs w:val="24"/>
          <w:lang w:val="el-GR"/>
        </w:rPr>
        <w:t>καθώς</w:t>
      </w:r>
      <w:r w:rsidRPr="00225BFB">
        <w:rPr>
          <w:rFonts w:cstheme="minorHAnsi"/>
          <w:sz w:val="24"/>
          <w:szCs w:val="24"/>
          <w:lang w:val="el-GR"/>
        </w:rPr>
        <w:t xml:space="preserve"> </w:t>
      </w:r>
      <w:r>
        <w:rPr>
          <w:rFonts w:cstheme="minorHAnsi"/>
          <w:sz w:val="24"/>
          <w:szCs w:val="24"/>
          <w:lang w:val="el-GR"/>
        </w:rPr>
        <w:t>επίσης</w:t>
      </w:r>
      <w:r w:rsidRPr="00225BFB">
        <w:rPr>
          <w:rFonts w:cstheme="minorHAnsi"/>
          <w:sz w:val="24"/>
          <w:szCs w:val="24"/>
          <w:lang w:val="el-GR"/>
        </w:rPr>
        <w:t xml:space="preserve"> </w:t>
      </w:r>
      <w:r>
        <w:rPr>
          <w:rFonts w:cstheme="minorHAnsi"/>
          <w:sz w:val="24"/>
          <w:szCs w:val="24"/>
          <w:lang w:val="el-GR"/>
        </w:rPr>
        <w:t>και</w:t>
      </w:r>
      <w:r w:rsidRPr="00225BFB">
        <w:rPr>
          <w:rFonts w:cstheme="minorHAnsi"/>
          <w:sz w:val="24"/>
          <w:szCs w:val="24"/>
          <w:lang w:val="el-GR"/>
        </w:rPr>
        <w:t xml:space="preserve"> </w:t>
      </w:r>
      <w:r>
        <w:rPr>
          <w:rFonts w:cstheme="minorHAnsi"/>
          <w:sz w:val="24"/>
          <w:szCs w:val="24"/>
          <w:lang w:val="el-GR"/>
        </w:rPr>
        <w:t>άτομα</w:t>
      </w:r>
      <w:r w:rsidRPr="00225BFB">
        <w:rPr>
          <w:rFonts w:cstheme="minorHAnsi"/>
          <w:sz w:val="24"/>
          <w:szCs w:val="24"/>
          <w:lang w:val="el-GR"/>
        </w:rPr>
        <w:t xml:space="preserve"> </w:t>
      </w:r>
      <w:r>
        <w:rPr>
          <w:rFonts w:cstheme="minorHAnsi"/>
          <w:sz w:val="24"/>
          <w:szCs w:val="24"/>
          <w:lang w:val="el-GR"/>
        </w:rPr>
        <w:t>που</w:t>
      </w:r>
      <w:r w:rsidRPr="00225BFB">
        <w:rPr>
          <w:rFonts w:cstheme="minorHAnsi"/>
          <w:sz w:val="24"/>
          <w:szCs w:val="24"/>
          <w:lang w:val="el-GR"/>
        </w:rPr>
        <w:t xml:space="preserve"> </w:t>
      </w:r>
      <w:r>
        <w:rPr>
          <w:rFonts w:cstheme="minorHAnsi"/>
          <w:sz w:val="24"/>
          <w:szCs w:val="24"/>
          <w:lang w:val="el-GR"/>
        </w:rPr>
        <w:t>είναι</w:t>
      </w:r>
      <w:r w:rsidRPr="00225BFB">
        <w:rPr>
          <w:rFonts w:cstheme="minorHAnsi"/>
          <w:sz w:val="24"/>
          <w:szCs w:val="24"/>
          <w:lang w:val="el-GR"/>
        </w:rPr>
        <w:t xml:space="preserve"> </w:t>
      </w:r>
      <w:r>
        <w:rPr>
          <w:rFonts w:cstheme="minorHAnsi"/>
          <w:sz w:val="24"/>
          <w:szCs w:val="24"/>
          <w:lang w:val="el-GR"/>
        </w:rPr>
        <w:t>άμεσα</w:t>
      </w:r>
      <w:r w:rsidRPr="00225BFB">
        <w:rPr>
          <w:rFonts w:cstheme="minorHAnsi"/>
          <w:sz w:val="24"/>
          <w:szCs w:val="24"/>
          <w:lang w:val="el-GR"/>
        </w:rPr>
        <w:t xml:space="preserve"> </w:t>
      </w:r>
      <w:r>
        <w:rPr>
          <w:rFonts w:cstheme="minorHAnsi"/>
          <w:sz w:val="24"/>
          <w:szCs w:val="24"/>
          <w:lang w:val="el-GR"/>
        </w:rPr>
        <w:lastRenderedPageBreak/>
        <w:t>ενδιαφερόμενα</w:t>
      </w:r>
      <w:r w:rsidR="00220066" w:rsidRPr="00225BFB">
        <w:rPr>
          <w:rFonts w:cstheme="minorHAnsi"/>
          <w:sz w:val="24"/>
          <w:szCs w:val="24"/>
          <w:lang w:val="el-GR"/>
        </w:rPr>
        <w:t xml:space="preserve">, </w:t>
      </w:r>
      <w:r>
        <w:rPr>
          <w:rFonts w:cstheme="minorHAnsi"/>
          <w:sz w:val="24"/>
          <w:szCs w:val="24"/>
          <w:lang w:val="el-GR"/>
        </w:rPr>
        <w:t>δικαιούνται να ζητήσουν γρήγορη πρόσβαση</w:t>
      </w:r>
      <w:r w:rsidR="00220066" w:rsidRPr="00225BFB">
        <w:rPr>
          <w:rFonts w:cstheme="minorHAnsi"/>
          <w:sz w:val="24"/>
          <w:szCs w:val="24"/>
          <w:lang w:val="el-GR"/>
        </w:rPr>
        <w:t xml:space="preserve"> </w:t>
      </w:r>
      <w:r>
        <w:rPr>
          <w:rFonts w:cstheme="minorHAnsi"/>
          <w:sz w:val="24"/>
          <w:szCs w:val="24"/>
          <w:lang w:val="el-GR"/>
        </w:rPr>
        <w:t>σε σχετικά έγγραφα</w:t>
      </w:r>
      <w:r w:rsidR="00220066" w:rsidRPr="00225BFB">
        <w:rPr>
          <w:rFonts w:cstheme="minorHAnsi"/>
          <w:sz w:val="24"/>
          <w:szCs w:val="24"/>
          <w:lang w:val="el-GR"/>
        </w:rPr>
        <w:t xml:space="preserve"> </w:t>
      </w:r>
      <w:r>
        <w:rPr>
          <w:rFonts w:cstheme="minorHAnsi"/>
          <w:sz w:val="24"/>
          <w:szCs w:val="24"/>
          <w:lang w:val="el-GR"/>
        </w:rPr>
        <w:t>σε σχέση με την υπόθεση τους</w:t>
      </w:r>
      <w:r w:rsidR="00220066" w:rsidRPr="00225BFB">
        <w:rPr>
          <w:rFonts w:cstheme="minorHAnsi"/>
          <w:sz w:val="24"/>
          <w:szCs w:val="24"/>
          <w:lang w:val="el-GR"/>
        </w:rPr>
        <w:t xml:space="preserve">. </w:t>
      </w:r>
      <w:r w:rsidR="00AA0225">
        <w:rPr>
          <w:rFonts w:cstheme="minorHAnsi"/>
          <w:sz w:val="24"/>
          <w:szCs w:val="24"/>
          <w:lang w:val="el-GR"/>
        </w:rPr>
        <w:t>Οι</w:t>
      </w:r>
      <w:r w:rsidR="00AA0225" w:rsidRPr="00AA0225">
        <w:rPr>
          <w:rFonts w:cstheme="minorHAnsi"/>
          <w:sz w:val="24"/>
          <w:szCs w:val="24"/>
          <w:lang w:val="el-GR"/>
        </w:rPr>
        <w:t xml:space="preserve"> </w:t>
      </w:r>
      <w:r w:rsidR="00AA0225">
        <w:rPr>
          <w:rFonts w:cstheme="minorHAnsi"/>
          <w:sz w:val="24"/>
          <w:szCs w:val="24"/>
          <w:lang w:val="el-GR"/>
        </w:rPr>
        <w:t>μόνες</w:t>
      </w:r>
      <w:r w:rsidR="00AA0225" w:rsidRPr="00AA0225">
        <w:rPr>
          <w:rFonts w:cstheme="minorHAnsi"/>
          <w:sz w:val="24"/>
          <w:szCs w:val="24"/>
          <w:lang w:val="el-GR"/>
        </w:rPr>
        <w:t xml:space="preserve"> </w:t>
      </w:r>
      <w:r w:rsidR="00AA0225">
        <w:rPr>
          <w:rFonts w:cstheme="minorHAnsi"/>
          <w:sz w:val="24"/>
          <w:szCs w:val="24"/>
          <w:lang w:val="el-GR"/>
        </w:rPr>
        <w:t>πιθανές</w:t>
      </w:r>
      <w:r w:rsidR="00AA0225" w:rsidRPr="00AA0225">
        <w:rPr>
          <w:rFonts w:cstheme="minorHAnsi"/>
          <w:sz w:val="24"/>
          <w:szCs w:val="24"/>
          <w:lang w:val="el-GR"/>
        </w:rPr>
        <w:t xml:space="preserve"> </w:t>
      </w:r>
      <w:r w:rsidR="00AA0225">
        <w:rPr>
          <w:rFonts w:cstheme="minorHAnsi"/>
          <w:sz w:val="24"/>
          <w:szCs w:val="24"/>
          <w:lang w:val="el-GR"/>
        </w:rPr>
        <w:t>παρεκκλίσεις</w:t>
      </w:r>
      <w:r w:rsidR="00AA0225" w:rsidRPr="00AA0225">
        <w:rPr>
          <w:rFonts w:cstheme="minorHAnsi"/>
          <w:sz w:val="24"/>
          <w:szCs w:val="24"/>
          <w:lang w:val="el-GR"/>
        </w:rPr>
        <w:t xml:space="preserve"> </w:t>
      </w:r>
      <w:r w:rsidR="00AA0225">
        <w:rPr>
          <w:rFonts w:cstheme="minorHAnsi"/>
          <w:sz w:val="24"/>
          <w:szCs w:val="24"/>
          <w:lang w:val="el-GR"/>
        </w:rPr>
        <w:t>στην</w:t>
      </w:r>
      <w:r w:rsidR="00AA0225" w:rsidRPr="00AA0225">
        <w:rPr>
          <w:rFonts w:cstheme="minorHAnsi"/>
          <w:sz w:val="24"/>
          <w:szCs w:val="24"/>
          <w:lang w:val="el-GR"/>
        </w:rPr>
        <w:t xml:space="preserve"> </w:t>
      </w:r>
      <w:r w:rsidR="00AA0225">
        <w:rPr>
          <w:rFonts w:cstheme="minorHAnsi"/>
          <w:sz w:val="24"/>
          <w:szCs w:val="24"/>
          <w:lang w:val="el-GR"/>
        </w:rPr>
        <w:t>αρχή</w:t>
      </w:r>
      <w:r w:rsidR="00AA0225" w:rsidRPr="00AA0225">
        <w:rPr>
          <w:rFonts w:cstheme="minorHAnsi"/>
          <w:sz w:val="24"/>
          <w:szCs w:val="24"/>
          <w:lang w:val="el-GR"/>
        </w:rPr>
        <w:t xml:space="preserve"> </w:t>
      </w:r>
      <w:r w:rsidR="00AA0225">
        <w:rPr>
          <w:rFonts w:cstheme="minorHAnsi"/>
          <w:sz w:val="24"/>
          <w:szCs w:val="24"/>
          <w:lang w:val="el-GR"/>
        </w:rPr>
        <w:t>αυτή</w:t>
      </w:r>
      <w:r w:rsidR="00220066" w:rsidRPr="00AA0225">
        <w:rPr>
          <w:rFonts w:cstheme="minorHAnsi"/>
          <w:sz w:val="24"/>
          <w:szCs w:val="24"/>
          <w:lang w:val="el-GR"/>
        </w:rPr>
        <w:t xml:space="preserve"> </w:t>
      </w:r>
      <w:r w:rsidR="00AA0225">
        <w:rPr>
          <w:rFonts w:cstheme="minorHAnsi"/>
          <w:sz w:val="24"/>
          <w:szCs w:val="24"/>
          <w:lang w:val="el-GR"/>
        </w:rPr>
        <w:t>είναι</w:t>
      </w:r>
      <w:r w:rsidR="00AA0225" w:rsidRPr="00AA0225">
        <w:rPr>
          <w:rFonts w:cstheme="minorHAnsi"/>
          <w:sz w:val="24"/>
          <w:szCs w:val="24"/>
          <w:lang w:val="el-GR"/>
        </w:rPr>
        <w:t xml:space="preserve"> </w:t>
      </w:r>
      <w:r w:rsidR="00AA0225">
        <w:rPr>
          <w:rFonts w:cstheme="minorHAnsi"/>
          <w:sz w:val="24"/>
          <w:szCs w:val="24"/>
          <w:lang w:val="el-GR"/>
        </w:rPr>
        <w:t>στην</w:t>
      </w:r>
      <w:r w:rsidR="00AA0225" w:rsidRPr="00AA0225">
        <w:rPr>
          <w:rFonts w:cstheme="minorHAnsi"/>
          <w:sz w:val="24"/>
          <w:szCs w:val="24"/>
          <w:lang w:val="el-GR"/>
        </w:rPr>
        <w:t xml:space="preserve"> </w:t>
      </w:r>
      <w:r w:rsidR="00AA0225">
        <w:rPr>
          <w:rFonts w:cstheme="minorHAnsi"/>
          <w:sz w:val="24"/>
          <w:szCs w:val="24"/>
          <w:lang w:val="el-GR"/>
        </w:rPr>
        <w:t>περίπτωση</w:t>
      </w:r>
      <w:r w:rsidR="00AA0225" w:rsidRPr="00AA0225">
        <w:rPr>
          <w:rFonts w:cstheme="minorHAnsi"/>
          <w:sz w:val="24"/>
          <w:szCs w:val="24"/>
          <w:lang w:val="el-GR"/>
        </w:rPr>
        <w:t xml:space="preserve"> </w:t>
      </w:r>
      <w:r w:rsidR="00AA0225">
        <w:rPr>
          <w:rFonts w:cstheme="minorHAnsi"/>
          <w:sz w:val="24"/>
          <w:szCs w:val="24"/>
          <w:lang w:val="el-GR"/>
        </w:rPr>
        <w:t>σοβαρού</w:t>
      </w:r>
      <w:r w:rsidR="00AA0225" w:rsidRPr="00AA0225">
        <w:rPr>
          <w:rFonts w:cstheme="minorHAnsi"/>
          <w:sz w:val="24"/>
          <w:szCs w:val="24"/>
          <w:lang w:val="el-GR"/>
        </w:rPr>
        <w:t xml:space="preserve"> </w:t>
      </w:r>
      <w:r w:rsidR="00AA0225">
        <w:rPr>
          <w:rFonts w:cstheme="minorHAnsi"/>
          <w:sz w:val="24"/>
          <w:szCs w:val="24"/>
          <w:lang w:val="el-GR"/>
        </w:rPr>
        <w:t>κινδύνου</w:t>
      </w:r>
      <w:r w:rsidR="00220066" w:rsidRPr="00AA0225">
        <w:rPr>
          <w:rFonts w:cstheme="minorHAnsi"/>
          <w:sz w:val="24"/>
          <w:szCs w:val="24"/>
          <w:lang w:val="el-GR"/>
        </w:rPr>
        <w:t xml:space="preserve"> </w:t>
      </w:r>
      <w:r w:rsidR="00AA0225">
        <w:rPr>
          <w:rFonts w:cstheme="minorHAnsi"/>
          <w:sz w:val="24"/>
          <w:szCs w:val="24"/>
          <w:lang w:val="el-GR"/>
        </w:rPr>
        <w:t>στην</w:t>
      </w:r>
      <w:r w:rsidR="00AA0225" w:rsidRPr="00AA0225">
        <w:rPr>
          <w:rFonts w:cstheme="minorHAnsi"/>
          <w:sz w:val="24"/>
          <w:szCs w:val="24"/>
          <w:lang w:val="el-GR"/>
        </w:rPr>
        <w:t xml:space="preserve"> </w:t>
      </w:r>
      <w:r w:rsidR="00AA0225">
        <w:rPr>
          <w:rFonts w:cstheme="minorHAnsi"/>
          <w:sz w:val="24"/>
          <w:szCs w:val="24"/>
          <w:lang w:val="el-GR"/>
        </w:rPr>
        <w:t>ζωή</w:t>
      </w:r>
      <w:r w:rsidR="00AA0225" w:rsidRPr="00AA0225">
        <w:rPr>
          <w:rFonts w:cstheme="minorHAnsi"/>
          <w:sz w:val="24"/>
          <w:szCs w:val="24"/>
          <w:lang w:val="el-GR"/>
        </w:rPr>
        <w:t xml:space="preserve"> </w:t>
      </w:r>
      <w:r w:rsidR="00AA0225">
        <w:rPr>
          <w:rFonts w:cstheme="minorHAnsi"/>
          <w:sz w:val="24"/>
          <w:szCs w:val="24"/>
          <w:lang w:val="el-GR"/>
        </w:rPr>
        <w:t>ή</w:t>
      </w:r>
      <w:r w:rsidR="00AA0225" w:rsidRPr="00AA0225">
        <w:rPr>
          <w:rFonts w:cstheme="minorHAnsi"/>
          <w:sz w:val="24"/>
          <w:szCs w:val="24"/>
          <w:lang w:val="el-GR"/>
        </w:rPr>
        <w:t xml:space="preserve"> </w:t>
      </w:r>
      <w:r w:rsidR="00AA0225">
        <w:rPr>
          <w:rFonts w:cstheme="minorHAnsi"/>
          <w:sz w:val="24"/>
          <w:szCs w:val="24"/>
          <w:lang w:val="el-GR"/>
        </w:rPr>
        <w:t>θεμελιωδών</w:t>
      </w:r>
      <w:r w:rsidR="00AA0225" w:rsidRPr="00AA0225">
        <w:rPr>
          <w:rFonts w:cstheme="minorHAnsi"/>
          <w:sz w:val="24"/>
          <w:szCs w:val="24"/>
          <w:lang w:val="el-GR"/>
        </w:rPr>
        <w:t xml:space="preserve"> </w:t>
      </w:r>
      <w:r w:rsidR="00AA0225">
        <w:rPr>
          <w:rFonts w:cstheme="minorHAnsi"/>
          <w:sz w:val="24"/>
          <w:szCs w:val="24"/>
          <w:lang w:val="el-GR"/>
        </w:rPr>
        <w:t>δικαιωμάτων</w:t>
      </w:r>
      <w:r w:rsidR="00AA0225" w:rsidRPr="00AA0225">
        <w:rPr>
          <w:rFonts w:cstheme="minorHAnsi"/>
          <w:sz w:val="24"/>
          <w:szCs w:val="24"/>
          <w:lang w:val="el-GR"/>
        </w:rPr>
        <w:t xml:space="preserve"> </w:t>
      </w:r>
      <w:r w:rsidR="00AA0225">
        <w:rPr>
          <w:rFonts w:cstheme="minorHAnsi"/>
          <w:sz w:val="24"/>
          <w:szCs w:val="24"/>
          <w:lang w:val="el-GR"/>
        </w:rPr>
        <w:t>τρίτο</w:t>
      </w:r>
      <w:r w:rsidR="00BA4606">
        <w:rPr>
          <w:rFonts w:cstheme="minorHAnsi"/>
          <w:sz w:val="24"/>
          <w:szCs w:val="24"/>
          <w:lang w:val="el-GR"/>
        </w:rPr>
        <w:t>υ</w:t>
      </w:r>
      <w:r w:rsidR="00AA0225" w:rsidRPr="00AA0225">
        <w:rPr>
          <w:rFonts w:cstheme="minorHAnsi"/>
          <w:sz w:val="24"/>
          <w:szCs w:val="24"/>
          <w:lang w:val="el-GR"/>
        </w:rPr>
        <w:t xml:space="preserve"> </w:t>
      </w:r>
      <w:r w:rsidR="00AA0225">
        <w:rPr>
          <w:rFonts w:cstheme="minorHAnsi"/>
          <w:sz w:val="24"/>
          <w:szCs w:val="24"/>
          <w:lang w:val="el-GR"/>
        </w:rPr>
        <w:t>μέρο</w:t>
      </w:r>
      <w:r w:rsidR="00BA4606">
        <w:rPr>
          <w:rFonts w:cstheme="minorHAnsi"/>
          <w:sz w:val="24"/>
          <w:szCs w:val="24"/>
          <w:lang w:val="el-GR"/>
        </w:rPr>
        <w:t>υ</w:t>
      </w:r>
      <w:r w:rsidR="00AA0225">
        <w:rPr>
          <w:rFonts w:cstheme="minorHAnsi"/>
          <w:sz w:val="24"/>
          <w:szCs w:val="24"/>
          <w:lang w:val="el-GR"/>
        </w:rPr>
        <w:t>ς</w:t>
      </w:r>
      <w:r w:rsidR="00220066" w:rsidRPr="00AA0225">
        <w:rPr>
          <w:rFonts w:cstheme="minorHAnsi"/>
          <w:sz w:val="24"/>
          <w:szCs w:val="24"/>
          <w:lang w:val="el-GR"/>
        </w:rPr>
        <w:t xml:space="preserve">, </w:t>
      </w:r>
      <w:r w:rsidR="00AA0225">
        <w:rPr>
          <w:rFonts w:cstheme="minorHAnsi"/>
          <w:sz w:val="24"/>
          <w:szCs w:val="24"/>
          <w:lang w:val="el-GR"/>
        </w:rPr>
        <w:t>όταν είναι απόλυτα αναγκαίο για την προστασία σημαντικού δημοσίου συμφέροντος</w:t>
      </w:r>
      <w:r w:rsidR="00220066" w:rsidRPr="00AA0225">
        <w:rPr>
          <w:rFonts w:cstheme="minorHAnsi"/>
          <w:sz w:val="24"/>
          <w:szCs w:val="24"/>
          <w:lang w:val="el-GR"/>
        </w:rPr>
        <w:t xml:space="preserve">, </w:t>
      </w:r>
      <w:r w:rsidR="00AA0225">
        <w:rPr>
          <w:rFonts w:cstheme="minorHAnsi"/>
          <w:sz w:val="24"/>
          <w:szCs w:val="24"/>
          <w:lang w:val="el-GR"/>
        </w:rPr>
        <w:t>ή για λόγους ε</w:t>
      </w:r>
      <w:r w:rsidR="0094177F">
        <w:rPr>
          <w:rFonts w:cstheme="minorHAnsi"/>
          <w:sz w:val="24"/>
          <w:szCs w:val="24"/>
          <w:lang w:val="el-GR"/>
        </w:rPr>
        <w:t>θ</w:t>
      </w:r>
      <w:r w:rsidR="00AA0225">
        <w:rPr>
          <w:rFonts w:cstheme="minorHAnsi"/>
          <w:sz w:val="24"/>
          <w:szCs w:val="24"/>
          <w:lang w:val="el-GR"/>
        </w:rPr>
        <w:t>νικής ασφάλειας</w:t>
      </w:r>
      <w:r w:rsidR="00220066" w:rsidRPr="00AA0225">
        <w:rPr>
          <w:rFonts w:cstheme="minorHAnsi"/>
          <w:sz w:val="24"/>
          <w:szCs w:val="24"/>
          <w:lang w:val="el-GR"/>
        </w:rPr>
        <w:t xml:space="preserve"> (</w:t>
      </w:r>
      <w:r w:rsidR="00AA0225">
        <w:rPr>
          <w:rFonts w:cstheme="minorHAnsi"/>
          <w:sz w:val="24"/>
          <w:szCs w:val="24"/>
          <w:lang w:val="el-GR"/>
        </w:rPr>
        <w:t>Κεφάλαιο</w:t>
      </w:r>
      <w:r w:rsidR="00220066" w:rsidRPr="00AA0225">
        <w:rPr>
          <w:rFonts w:cstheme="minorHAnsi"/>
          <w:sz w:val="24"/>
          <w:szCs w:val="24"/>
          <w:lang w:val="el-GR"/>
        </w:rPr>
        <w:t xml:space="preserve"> 155, </w:t>
      </w:r>
      <w:r w:rsidR="00AA0225">
        <w:rPr>
          <w:rFonts w:cstheme="minorHAnsi"/>
          <w:sz w:val="24"/>
          <w:szCs w:val="24"/>
          <w:lang w:val="el-GR"/>
        </w:rPr>
        <w:t>Νόμος περί Ποινικής Διαδικασίας</w:t>
      </w:r>
      <w:r w:rsidR="00220066" w:rsidRPr="00AA0225">
        <w:rPr>
          <w:rFonts w:cstheme="minorHAnsi"/>
          <w:sz w:val="24"/>
          <w:szCs w:val="24"/>
          <w:lang w:val="el-GR"/>
        </w:rPr>
        <w:t xml:space="preserve">). </w:t>
      </w:r>
    </w:p>
    <w:p w14:paraId="1A312317" w14:textId="77777777" w:rsidR="00220066" w:rsidRPr="00AA0225" w:rsidRDefault="00220066" w:rsidP="00220066">
      <w:pPr>
        <w:keepNext/>
        <w:tabs>
          <w:tab w:val="left" w:pos="709"/>
        </w:tabs>
        <w:rPr>
          <w:rFonts w:cstheme="minorHAnsi"/>
          <w:color w:val="FF0000"/>
          <w:sz w:val="24"/>
          <w:szCs w:val="24"/>
          <w:lang w:val="el-GR"/>
        </w:rPr>
      </w:pPr>
    </w:p>
    <w:p w14:paraId="6A1BF39B" w14:textId="19859F01" w:rsidR="00220066" w:rsidRPr="00B60988" w:rsidRDefault="00AA0225" w:rsidP="00220066">
      <w:pPr>
        <w:numPr>
          <w:ilvl w:val="0"/>
          <w:numId w:val="1"/>
        </w:numPr>
        <w:tabs>
          <w:tab w:val="left" w:pos="709"/>
        </w:tabs>
        <w:ind w:left="0" w:firstLine="0"/>
        <w:rPr>
          <w:rFonts w:cstheme="minorHAnsi"/>
          <w:sz w:val="24"/>
          <w:szCs w:val="24"/>
          <w:lang w:val="el-GR"/>
        </w:rPr>
      </w:pPr>
      <w:r>
        <w:rPr>
          <w:rFonts w:cstheme="minorHAnsi"/>
          <w:sz w:val="24"/>
          <w:szCs w:val="24"/>
          <w:lang w:val="el-GR"/>
        </w:rPr>
        <w:t>Η</w:t>
      </w:r>
      <w:r w:rsidRPr="00AA0225">
        <w:rPr>
          <w:rFonts w:cstheme="minorHAnsi"/>
          <w:sz w:val="24"/>
          <w:szCs w:val="24"/>
          <w:lang w:val="el-GR"/>
        </w:rPr>
        <w:t xml:space="preserve"> </w:t>
      </w:r>
      <w:r w:rsidR="009C4E34">
        <w:rPr>
          <w:rFonts w:cstheme="minorHAnsi"/>
          <w:sz w:val="24"/>
          <w:szCs w:val="24"/>
          <w:lang w:val="el-GR"/>
        </w:rPr>
        <w:t>Αστυνομία</w:t>
      </w:r>
      <w:r w:rsidRPr="00AA0225">
        <w:rPr>
          <w:rFonts w:cstheme="minorHAnsi"/>
          <w:sz w:val="24"/>
          <w:szCs w:val="24"/>
          <w:lang w:val="el-GR"/>
        </w:rPr>
        <w:t xml:space="preserve"> </w:t>
      </w:r>
      <w:r>
        <w:rPr>
          <w:rFonts w:cstheme="minorHAnsi"/>
          <w:sz w:val="24"/>
          <w:szCs w:val="24"/>
          <w:lang w:val="el-GR"/>
        </w:rPr>
        <w:t>χρησιμοποιεί</w:t>
      </w:r>
      <w:r w:rsidRPr="00AA0225">
        <w:rPr>
          <w:rFonts w:cstheme="minorHAnsi"/>
          <w:sz w:val="24"/>
          <w:szCs w:val="24"/>
          <w:lang w:val="el-GR"/>
        </w:rPr>
        <w:t xml:space="preserve"> </w:t>
      </w:r>
      <w:r>
        <w:rPr>
          <w:rFonts w:cstheme="minorHAnsi"/>
          <w:sz w:val="24"/>
          <w:szCs w:val="24"/>
          <w:lang w:val="el-GR"/>
        </w:rPr>
        <w:t>διάφορα</w:t>
      </w:r>
      <w:r w:rsidRPr="00AA0225">
        <w:rPr>
          <w:rFonts w:cstheme="minorHAnsi"/>
          <w:sz w:val="24"/>
          <w:szCs w:val="24"/>
          <w:lang w:val="el-GR"/>
        </w:rPr>
        <w:t xml:space="preserve"> </w:t>
      </w:r>
      <w:r>
        <w:rPr>
          <w:rFonts w:cstheme="minorHAnsi"/>
          <w:sz w:val="24"/>
          <w:szCs w:val="24"/>
          <w:lang w:val="el-GR"/>
        </w:rPr>
        <w:t>μέσα</w:t>
      </w:r>
      <w:r w:rsidRPr="00AA0225">
        <w:rPr>
          <w:rFonts w:cstheme="minorHAnsi"/>
          <w:sz w:val="24"/>
          <w:szCs w:val="24"/>
          <w:lang w:val="el-GR"/>
        </w:rPr>
        <w:t xml:space="preserve"> </w:t>
      </w:r>
      <w:r>
        <w:rPr>
          <w:rFonts w:cstheme="minorHAnsi"/>
          <w:sz w:val="24"/>
          <w:szCs w:val="24"/>
          <w:lang w:val="el-GR"/>
        </w:rPr>
        <w:t>στην</w:t>
      </w:r>
      <w:r w:rsidRPr="00AA0225">
        <w:rPr>
          <w:rFonts w:cstheme="minorHAnsi"/>
          <w:sz w:val="24"/>
          <w:szCs w:val="24"/>
          <w:lang w:val="el-GR"/>
        </w:rPr>
        <w:t xml:space="preserve"> </w:t>
      </w:r>
      <w:r>
        <w:rPr>
          <w:rFonts w:cstheme="minorHAnsi"/>
          <w:sz w:val="24"/>
          <w:szCs w:val="24"/>
          <w:lang w:val="el-GR"/>
        </w:rPr>
        <w:t>διάθεση</w:t>
      </w:r>
      <w:r w:rsidRPr="00AA0225">
        <w:rPr>
          <w:rFonts w:cstheme="minorHAnsi"/>
          <w:sz w:val="24"/>
          <w:szCs w:val="24"/>
          <w:lang w:val="el-GR"/>
        </w:rPr>
        <w:t xml:space="preserve"> </w:t>
      </w:r>
      <w:r>
        <w:rPr>
          <w:rFonts w:cstheme="minorHAnsi"/>
          <w:sz w:val="24"/>
          <w:szCs w:val="24"/>
          <w:lang w:val="el-GR"/>
        </w:rPr>
        <w:t>της</w:t>
      </w:r>
      <w:r w:rsidR="00220066" w:rsidRPr="00AA0225">
        <w:rPr>
          <w:rFonts w:cstheme="minorHAnsi"/>
          <w:sz w:val="24"/>
          <w:szCs w:val="24"/>
          <w:lang w:val="el-GR"/>
        </w:rPr>
        <w:t xml:space="preserve"> </w:t>
      </w:r>
      <w:r>
        <w:rPr>
          <w:rFonts w:cstheme="minorHAnsi"/>
          <w:sz w:val="24"/>
          <w:szCs w:val="24"/>
          <w:lang w:val="el-GR"/>
        </w:rPr>
        <w:t>για</w:t>
      </w:r>
      <w:r w:rsidRPr="00AA0225">
        <w:rPr>
          <w:rFonts w:cstheme="minorHAnsi"/>
          <w:sz w:val="24"/>
          <w:szCs w:val="24"/>
          <w:lang w:val="el-GR"/>
        </w:rPr>
        <w:t xml:space="preserve"> </w:t>
      </w:r>
      <w:r>
        <w:rPr>
          <w:rFonts w:cstheme="minorHAnsi"/>
          <w:sz w:val="24"/>
          <w:szCs w:val="24"/>
          <w:lang w:val="el-GR"/>
        </w:rPr>
        <w:t>να</w:t>
      </w:r>
      <w:r w:rsidRPr="00AA0225">
        <w:rPr>
          <w:rFonts w:cstheme="minorHAnsi"/>
          <w:sz w:val="24"/>
          <w:szCs w:val="24"/>
          <w:lang w:val="el-GR"/>
        </w:rPr>
        <w:t xml:space="preserve"> </w:t>
      </w:r>
      <w:r>
        <w:rPr>
          <w:rFonts w:cstheme="minorHAnsi"/>
          <w:sz w:val="24"/>
          <w:szCs w:val="24"/>
          <w:lang w:val="el-GR"/>
        </w:rPr>
        <w:t>ενημερώσει</w:t>
      </w:r>
      <w:r w:rsidRPr="00AA0225">
        <w:rPr>
          <w:rFonts w:cstheme="minorHAnsi"/>
          <w:sz w:val="24"/>
          <w:szCs w:val="24"/>
          <w:lang w:val="el-GR"/>
        </w:rPr>
        <w:t xml:space="preserve"> </w:t>
      </w:r>
      <w:r>
        <w:rPr>
          <w:rFonts w:cstheme="minorHAnsi"/>
          <w:sz w:val="24"/>
          <w:szCs w:val="24"/>
          <w:lang w:val="el-GR"/>
        </w:rPr>
        <w:t>τους</w:t>
      </w:r>
      <w:r w:rsidRPr="00AA0225">
        <w:rPr>
          <w:rFonts w:cstheme="minorHAnsi"/>
          <w:sz w:val="24"/>
          <w:szCs w:val="24"/>
          <w:lang w:val="el-GR"/>
        </w:rPr>
        <w:t xml:space="preserve"> </w:t>
      </w:r>
      <w:r>
        <w:rPr>
          <w:rFonts w:cstheme="minorHAnsi"/>
          <w:sz w:val="24"/>
          <w:szCs w:val="24"/>
          <w:lang w:val="el-GR"/>
        </w:rPr>
        <w:t>πολίτες</w:t>
      </w:r>
      <w:r w:rsidR="00220066" w:rsidRPr="00AA0225">
        <w:rPr>
          <w:rFonts w:cstheme="minorHAnsi"/>
          <w:sz w:val="24"/>
          <w:szCs w:val="24"/>
          <w:lang w:val="el-GR"/>
        </w:rPr>
        <w:t xml:space="preserve">: </w:t>
      </w:r>
      <w:r>
        <w:rPr>
          <w:rFonts w:cstheme="minorHAnsi"/>
          <w:sz w:val="24"/>
          <w:szCs w:val="24"/>
          <w:lang w:val="el-GR"/>
        </w:rPr>
        <w:t>μέσω της θεσμικής της ιστοσελίδας</w:t>
      </w:r>
      <w:r w:rsidR="00220066" w:rsidRPr="00AA0225">
        <w:rPr>
          <w:rFonts w:cstheme="minorHAnsi"/>
          <w:sz w:val="24"/>
          <w:szCs w:val="24"/>
          <w:lang w:val="el-GR"/>
        </w:rPr>
        <w:t xml:space="preserve"> </w:t>
      </w:r>
      <w:r w:rsidR="00BA4606">
        <w:rPr>
          <w:rFonts w:cstheme="minorHAnsi"/>
          <w:sz w:val="24"/>
          <w:szCs w:val="24"/>
          <w:lang w:val="el-GR"/>
        </w:rPr>
        <w:t>(</w:t>
      </w:r>
      <w:hyperlink r:id="rId20" w:history="1">
        <w:r w:rsidR="00220066" w:rsidRPr="00AA0225">
          <w:rPr>
            <w:rStyle w:val="Hyperlink"/>
            <w:rFonts w:cstheme="minorHAnsi"/>
            <w:color w:val="000000" w:themeColor="text1"/>
            <w:sz w:val="24"/>
            <w:szCs w:val="24"/>
          </w:rPr>
          <w:t>institutional</w:t>
        </w:r>
        <w:r w:rsidR="00220066" w:rsidRPr="00AA0225">
          <w:rPr>
            <w:rStyle w:val="Hyperlink"/>
            <w:rFonts w:cstheme="minorHAnsi"/>
            <w:color w:val="000000" w:themeColor="text1"/>
            <w:sz w:val="24"/>
            <w:szCs w:val="24"/>
            <w:lang w:val="el-GR"/>
          </w:rPr>
          <w:t xml:space="preserve"> </w:t>
        </w:r>
        <w:r w:rsidR="00220066" w:rsidRPr="00AA0225">
          <w:rPr>
            <w:rStyle w:val="Hyperlink"/>
            <w:rFonts w:cstheme="minorHAnsi"/>
            <w:color w:val="000000" w:themeColor="text1"/>
            <w:sz w:val="24"/>
            <w:szCs w:val="24"/>
          </w:rPr>
          <w:t>website</w:t>
        </w:r>
      </w:hyperlink>
      <w:r w:rsidR="00BA4606">
        <w:rPr>
          <w:rStyle w:val="Hyperlink"/>
          <w:rFonts w:cstheme="minorHAnsi"/>
          <w:color w:val="000000" w:themeColor="text1"/>
          <w:sz w:val="24"/>
          <w:szCs w:val="24"/>
          <w:lang w:val="el-GR"/>
        </w:rPr>
        <w:t>)</w:t>
      </w:r>
      <w:r w:rsidR="00220066" w:rsidRPr="00AA0225">
        <w:rPr>
          <w:rFonts w:cstheme="minorHAnsi"/>
          <w:sz w:val="24"/>
          <w:szCs w:val="24"/>
          <w:lang w:val="el-GR"/>
        </w:rPr>
        <w:t xml:space="preserve">, </w:t>
      </w:r>
      <w:r>
        <w:rPr>
          <w:rFonts w:cstheme="minorHAnsi"/>
          <w:sz w:val="24"/>
          <w:szCs w:val="24"/>
          <w:lang w:val="el-GR"/>
        </w:rPr>
        <w:t>μέσω ανακοινώσεων τύπου</w:t>
      </w:r>
      <w:r w:rsidR="00220066" w:rsidRPr="00AA0225">
        <w:rPr>
          <w:rFonts w:cstheme="minorHAnsi"/>
          <w:sz w:val="24"/>
          <w:szCs w:val="24"/>
          <w:lang w:val="el-GR"/>
        </w:rPr>
        <w:t xml:space="preserve">, </w:t>
      </w:r>
      <w:r>
        <w:rPr>
          <w:rFonts w:cstheme="minorHAnsi"/>
          <w:sz w:val="24"/>
          <w:szCs w:val="24"/>
          <w:lang w:val="el-GR"/>
        </w:rPr>
        <w:t>ε</w:t>
      </w:r>
      <w:r w:rsidR="00DB36CF">
        <w:rPr>
          <w:rFonts w:cstheme="minorHAnsi"/>
          <w:sz w:val="24"/>
          <w:szCs w:val="24"/>
          <w:lang w:val="el-GR"/>
        </w:rPr>
        <w:t>τ</w:t>
      </w:r>
      <w:r>
        <w:rPr>
          <w:rFonts w:cstheme="minorHAnsi"/>
          <w:sz w:val="24"/>
          <w:szCs w:val="24"/>
          <w:lang w:val="el-GR"/>
        </w:rPr>
        <w:t>ήσιων εκθέσεων</w:t>
      </w:r>
      <w:r w:rsidR="00220066" w:rsidRPr="00AA0225">
        <w:rPr>
          <w:rFonts w:cstheme="minorHAnsi"/>
          <w:sz w:val="24"/>
          <w:szCs w:val="24"/>
          <w:lang w:val="el-GR"/>
        </w:rPr>
        <w:t xml:space="preserve"> </w:t>
      </w:r>
      <w:r>
        <w:rPr>
          <w:rFonts w:cstheme="minorHAnsi"/>
          <w:sz w:val="24"/>
          <w:szCs w:val="24"/>
          <w:lang w:val="el-GR"/>
        </w:rPr>
        <w:t>και μέσω</w:t>
      </w:r>
      <w:r w:rsidR="00220066" w:rsidRPr="00AA0225">
        <w:rPr>
          <w:rFonts w:cstheme="minorHAnsi"/>
          <w:sz w:val="24"/>
          <w:szCs w:val="24"/>
          <w:lang w:val="el-GR"/>
        </w:rPr>
        <w:t xml:space="preserve"> </w:t>
      </w:r>
      <w:proofErr w:type="spellStart"/>
      <w:r>
        <w:rPr>
          <w:rFonts w:cstheme="minorHAnsi"/>
          <w:sz w:val="24"/>
          <w:szCs w:val="24"/>
          <w:lang w:val="el-GR"/>
        </w:rPr>
        <w:t>επικαιροποιήσεων</w:t>
      </w:r>
      <w:proofErr w:type="spellEnd"/>
      <w:r>
        <w:rPr>
          <w:rFonts w:cstheme="minorHAnsi"/>
          <w:sz w:val="24"/>
          <w:szCs w:val="24"/>
          <w:lang w:val="el-GR"/>
        </w:rPr>
        <w:t xml:space="preserve"> των κοινωνικών μέσων</w:t>
      </w:r>
      <w:r w:rsidR="00220066" w:rsidRPr="00AA0225">
        <w:rPr>
          <w:rFonts w:cstheme="minorHAnsi"/>
          <w:sz w:val="24"/>
          <w:szCs w:val="24"/>
          <w:lang w:val="el-GR"/>
        </w:rPr>
        <w:t xml:space="preserve">. </w:t>
      </w:r>
      <w:r>
        <w:rPr>
          <w:rFonts w:cstheme="minorHAnsi"/>
          <w:sz w:val="24"/>
          <w:szCs w:val="24"/>
          <w:lang w:val="el-GR"/>
        </w:rPr>
        <w:t>Το</w:t>
      </w:r>
      <w:r w:rsidRPr="00AA0225">
        <w:rPr>
          <w:rFonts w:cstheme="minorHAnsi"/>
          <w:sz w:val="24"/>
          <w:szCs w:val="24"/>
          <w:lang w:val="el-GR"/>
        </w:rPr>
        <w:t xml:space="preserve"> </w:t>
      </w:r>
      <w:r>
        <w:rPr>
          <w:rFonts w:cstheme="minorHAnsi"/>
          <w:sz w:val="24"/>
          <w:szCs w:val="24"/>
          <w:lang w:val="el-GR"/>
        </w:rPr>
        <w:t>κοινό</w:t>
      </w:r>
      <w:r w:rsidRPr="00AA0225">
        <w:rPr>
          <w:rFonts w:cstheme="minorHAnsi"/>
          <w:sz w:val="24"/>
          <w:szCs w:val="24"/>
          <w:lang w:val="el-GR"/>
        </w:rPr>
        <w:t xml:space="preserve"> </w:t>
      </w:r>
      <w:r>
        <w:rPr>
          <w:rFonts w:cstheme="minorHAnsi"/>
          <w:sz w:val="24"/>
          <w:szCs w:val="24"/>
          <w:lang w:val="el-GR"/>
        </w:rPr>
        <w:t>μπορεί</w:t>
      </w:r>
      <w:r w:rsidRPr="00AA0225">
        <w:rPr>
          <w:rFonts w:cstheme="minorHAnsi"/>
          <w:sz w:val="24"/>
          <w:szCs w:val="24"/>
          <w:lang w:val="el-GR"/>
        </w:rPr>
        <w:t xml:space="preserve"> </w:t>
      </w:r>
      <w:r>
        <w:rPr>
          <w:rFonts w:cstheme="minorHAnsi"/>
          <w:sz w:val="24"/>
          <w:szCs w:val="24"/>
          <w:lang w:val="el-GR"/>
        </w:rPr>
        <w:t>να</w:t>
      </w:r>
      <w:r w:rsidRPr="00AA0225">
        <w:rPr>
          <w:rFonts w:cstheme="minorHAnsi"/>
          <w:sz w:val="24"/>
          <w:szCs w:val="24"/>
          <w:lang w:val="el-GR"/>
        </w:rPr>
        <w:t xml:space="preserve"> </w:t>
      </w:r>
      <w:r>
        <w:rPr>
          <w:rFonts w:cstheme="minorHAnsi"/>
          <w:sz w:val="24"/>
          <w:szCs w:val="24"/>
          <w:lang w:val="el-GR"/>
        </w:rPr>
        <w:t>έχει</w:t>
      </w:r>
      <w:r w:rsidRPr="00AA0225">
        <w:rPr>
          <w:rFonts w:cstheme="minorHAnsi"/>
          <w:sz w:val="24"/>
          <w:szCs w:val="24"/>
          <w:lang w:val="el-GR"/>
        </w:rPr>
        <w:t xml:space="preserve"> </w:t>
      </w:r>
      <w:r>
        <w:rPr>
          <w:rFonts w:cstheme="minorHAnsi"/>
          <w:sz w:val="24"/>
          <w:szCs w:val="24"/>
          <w:lang w:val="el-GR"/>
        </w:rPr>
        <w:t>πρόσβαση</w:t>
      </w:r>
      <w:r w:rsidRPr="00AA0225">
        <w:rPr>
          <w:rFonts w:cstheme="minorHAnsi"/>
          <w:sz w:val="24"/>
          <w:szCs w:val="24"/>
          <w:lang w:val="el-GR"/>
        </w:rPr>
        <w:t xml:space="preserve"> </w:t>
      </w:r>
      <w:r>
        <w:rPr>
          <w:rFonts w:cstheme="minorHAnsi"/>
          <w:sz w:val="24"/>
          <w:szCs w:val="24"/>
          <w:lang w:val="el-GR"/>
        </w:rPr>
        <w:t>σε</w:t>
      </w:r>
      <w:r w:rsidRPr="00AA0225">
        <w:rPr>
          <w:rFonts w:cstheme="minorHAnsi"/>
          <w:sz w:val="24"/>
          <w:szCs w:val="24"/>
          <w:lang w:val="el-GR"/>
        </w:rPr>
        <w:t xml:space="preserve"> </w:t>
      </w:r>
      <w:r>
        <w:rPr>
          <w:rFonts w:cstheme="minorHAnsi"/>
          <w:sz w:val="24"/>
          <w:szCs w:val="24"/>
          <w:lang w:val="el-GR"/>
        </w:rPr>
        <w:t>αστυνομικά</w:t>
      </w:r>
      <w:r w:rsidRPr="00AA0225">
        <w:rPr>
          <w:rFonts w:cstheme="minorHAnsi"/>
          <w:sz w:val="24"/>
          <w:szCs w:val="24"/>
          <w:lang w:val="el-GR"/>
        </w:rPr>
        <w:t xml:space="preserve"> </w:t>
      </w:r>
      <w:r>
        <w:rPr>
          <w:rFonts w:cstheme="minorHAnsi"/>
          <w:sz w:val="24"/>
          <w:szCs w:val="24"/>
          <w:lang w:val="el-GR"/>
        </w:rPr>
        <w:t>δελτία</w:t>
      </w:r>
      <w:r w:rsidR="00220066" w:rsidRPr="00AA0225">
        <w:rPr>
          <w:rFonts w:cstheme="minorHAnsi"/>
          <w:sz w:val="24"/>
          <w:szCs w:val="24"/>
          <w:lang w:val="el-GR"/>
        </w:rPr>
        <w:t xml:space="preserve">, </w:t>
      </w:r>
      <w:r>
        <w:rPr>
          <w:rFonts w:cstheme="minorHAnsi"/>
          <w:sz w:val="24"/>
          <w:szCs w:val="24"/>
          <w:lang w:val="el-GR"/>
        </w:rPr>
        <w:t>πληροφορίες</w:t>
      </w:r>
      <w:r w:rsidRPr="00AA0225">
        <w:rPr>
          <w:rFonts w:cstheme="minorHAnsi"/>
          <w:sz w:val="24"/>
          <w:szCs w:val="24"/>
          <w:lang w:val="el-GR"/>
        </w:rPr>
        <w:t xml:space="preserve"> </w:t>
      </w:r>
      <w:r>
        <w:rPr>
          <w:rFonts w:cstheme="minorHAnsi"/>
          <w:sz w:val="24"/>
          <w:szCs w:val="24"/>
          <w:lang w:val="el-GR"/>
        </w:rPr>
        <w:t>για</w:t>
      </w:r>
      <w:r w:rsidRPr="00AA0225">
        <w:rPr>
          <w:rFonts w:cstheme="minorHAnsi"/>
          <w:sz w:val="24"/>
          <w:szCs w:val="24"/>
          <w:lang w:val="el-GR"/>
        </w:rPr>
        <w:t xml:space="preserve"> </w:t>
      </w:r>
      <w:r>
        <w:rPr>
          <w:rFonts w:cstheme="minorHAnsi"/>
          <w:sz w:val="24"/>
          <w:szCs w:val="24"/>
          <w:lang w:val="el-GR"/>
        </w:rPr>
        <w:t>την</w:t>
      </w:r>
      <w:r w:rsidRPr="00AA0225">
        <w:rPr>
          <w:rFonts w:cstheme="minorHAnsi"/>
          <w:sz w:val="24"/>
          <w:szCs w:val="24"/>
          <w:lang w:val="el-GR"/>
        </w:rPr>
        <w:t xml:space="preserve"> </w:t>
      </w:r>
      <w:r>
        <w:rPr>
          <w:rFonts w:cstheme="minorHAnsi"/>
          <w:sz w:val="24"/>
          <w:szCs w:val="24"/>
          <w:lang w:val="el-GR"/>
        </w:rPr>
        <w:t>τροχαία</w:t>
      </w:r>
      <w:r w:rsidRPr="00AA0225">
        <w:rPr>
          <w:rFonts w:cstheme="minorHAnsi"/>
          <w:sz w:val="24"/>
          <w:szCs w:val="24"/>
          <w:lang w:val="el-GR"/>
        </w:rPr>
        <w:t xml:space="preserve"> </w:t>
      </w:r>
      <w:r>
        <w:rPr>
          <w:rFonts w:cstheme="minorHAnsi"/>
          <w:sz w:val="24"/>
          <w:szCs w:val="24"/>
          <w:lang w:val="el-GR"/>
        </w:rPr>
        <w:t>κίνηση</w:t>
      </w:r>
      <w:r w:rsidRPr="00AA0225">
        <w:rPr>
          <w:rFonts w:cstheme="minorHAnsi"/>
          <w:sz w:val="24"/>
          <w:szCs w:val="24"/>
          <w:lang w:val="el-GR"/>
        </w:rPr>
        <w:t xml:space="preserve"> </w:t>
      </w:r>
      <w:r>
        <w:rPr>
          <w:rFonts w:cstheme="minorHAnsi"/>
          <w:sz w:val="24"/>
          <w:szCs w:val="24"/>
          <w:lang w:val="el-GR"/>
        </w:rPr>
        <w:t>ή</w:t>
      </w:r>
      <w:r w:rsidRPr="00AA0225">
        <w:rPr>
          <w:rFonts w:cstheme="minorHAnsi"/>
          <w:sz w:val="24"/>
          <w:szCs w:val="24"/>
          <w:lang w:val="el-GR"/>
        </w:rPr>
        <w:t xml:space="preserve"> </w:t>
      </w:r>
      <w:r>
        <w:rPr>
          <w:rFonts w:cstheme="minorHAnsi"/>
          <w:sz w:val="24"/>
          <w:szCs w:val="24"/>
          <w:lang w:val="el-GR"/>
        </w:rPr>
        <w:t>οποιοδήποτε άλλο θέμα</w:t>
      </w:r>
      <w:r w:rsidR="00220066" w:rsidRPr="00AA0225">
        <w:rPr>
          <w:rFonts w:cstheme="minorHAnsi"/>
          <w:sz w:val="24"/>
          <w:szCs w:val="24"/>
          <w:lang w:val="el-GR"/>
        </w:rPr>
        <w:t xml:space="preserve"> </w:t>
      </w:r>
      <w:r>
        <w:rPr>
          <w:rFonts w:cstheme="minorHAnsi"/>
          <w:sz w:val="24"/>
          <w:szCs w:val="24"/>
          <w:lang w:val="el-GR"/>
        </w:rPr>
        <w:t>που αφορά τον πολίτη</w:t>
      </w:r>
      <w:r w:rsidR="00220066" w:rsidRPr="00AA0225">
        <w:rPr>
          <w:rFonts w:cstheme="minorHAnsi"/>
          <w:sz w:val="24"/>
          <w:szCs w:val="24"/>
          <w:lang w:val="el-GR"/>
        </w:rPr>
        <w:t xml:space="preserve"> </w:t>
      </w:r>
      <w:r>
        <w:rPr>
          <w:rFonts w:cstheme="minorHAnsi"/>
          <w:sz w:val="24"/>
          <w:szCs w:val="24"/>
          <w:lang w:val="el-GR"/>
        </w:rPr>
        <w:t>ή</w:t>
      </w:r>
      <w:r w:rsidR="00220066" w:rsidRPr="00AA0225">
        <w:rPr>
          <w:rFonts w:cstheme="minorHAnsi"/>
          <w:sz w:val="24"/>
          <w:szCs w:val="24"/>
          <w:lang w:val="el-GR"/>
        </w:rPr>
        <w:t xml:space="preserve"> </w:t>
      </w:r>
      <w:r>
        <w:rPr>
          <w:rFonts w:cstheme="minorHAnsi"/>
          <w:sz w:val="24"/>
          <w:szCs w:val="24"/>
          <w:lang w:val="el-GR"/>
        </w:rPr>
        <w:t>διάφορες συμβουλές που αφορούν</w:t>
      </w:r>
      <w:r w:rsidR="00B60988">
        <w:rPr>
          <w:rFonts w:cstheme="minorHAnsi"/>
          <w:sz w:val="24"/>
          <w:szCs w:val="24"/>
          <w:lang w:val="el-GR"/>
        </w:rPr>
        <w:t xml:space="preserve"> την ασφάλεια οποιασδήποτε μορφής</w:t>
      </w:r>
      <w:r w:rsidR="00220066" w:rsidRPr="00AA0225">
        <w:rPr>
          <w:rFonts w:cstheme="minorHAnsi"/>
          <w:sz w:val="24"/>
          <w:szCs w:val="24"/>
          <w:lang w:val="el-GR"/>
        </w:rPr>
        <w:t xml:space="preserve">. </w:t>
      </w:r>
      <w:r w:rsidR="00B60988">
        <w:rPr>
          <w:rFonts w:cstheme="minorHAnsi"/>
          <w:sz w:val="24"/>
          <w:szCs w:val="24"/>
          <w:lang w:val="el-GR"/>
        </w:rPr>
        <w:t>Επιπρόσθετα</w:t>
      </w:r>
      <w:r w:rsidR="00220066" w:rsidRPr="00B60988">
        <w:rPr>
          <w:rFonts w:cstheme="minorHAnsi"/>
          <w:sz w:val="24"/>
          <w:szCs w:val="24"/>
          <w:lang w:val="el-GR"/>
        </w:rPr>
        <w:t xml:space="preserve">, </w:t>
      </w:r>
      <w:r w:rsidR="00B60988">
        <w:rPr>
          <w:rFonts w:cstheme="minorHAnsi"/>
          <w:sz w:val="24"/>
          <w:szCs w:val="24"/>
          <w:lang w:val="el-GR"/>
        </w:rPr>
        <w:t>ο</w:t>
      </w:r>
      <w:r w:rsidR="00B60988" w:rsidRPr="00B60988">
        <w:rPr>
          <w:rFonts w:cstheme="minorHAnsi"/>
          <w:sz w:val="24"/>
          <w:szCs w:val="24"/>
          <w:lang w:val="el-GR"/>
        </w:rPr>
        <w:t xml:space="preserve"> </w:t>
      </w:r>
      <w:r w:rsidR="00B60988">
        <w:rPr>
          <w:rFonts w:cstheme="minorHAnsi"/>
          <w:sz w:val="24"/>
          <w:szCs w:val="24"/>
          <w:lang w:val="el-GR"/>
        </w:rPr>
        <w:t>κόσμος</w:t>
      </w:r>
      <w:r w:rsidR="00B60988" w:rsidRPr="00B60988">
        <w:rPr>
          <w:rFonts w:cstheme="minorHAnsi"/>
          <w:sz w:val="24"/>
          <w:szCs w:val="24"/>
          <w:lang w:val="el-GR"/>
        </w:rPr>
        <w:t xml:space="preserve"> </w:t>
      </w:r>
      <w:r w:rsidR="00B60988">
        <w:rPr>
          <w:rFonts w:cstheme="minorHAnsi"/>
          <w:sz w:val="24"/>
          <w:szCs w:val="24"/>
          <w:lang w:val="el-GR"/>
        </w:rPr>
        <w:t>έχει</w:t>
      </w:r>
      <w:r w:rsidR="00B60988" w:rsidRPr="00B60988">
        <w:rPr>
          <w:rFonts w:cstheme="minorHAnsi"/>
          <w:sz w:val="24"/>
          <w:szCs w:val="24"/>
          <w:lang w:val="el-GR"/>
        </w:rPr>
        <w:t xml:space="preserve"> </w:t>
      </w:r>
      <w:r w:rsidR="00B60988">
        <w:rPr>
          <w:rFonts w:cstheme="minorHAnsi"/>
          <w:sz w:val="24"/>
          <w:szCs w:val="24"/>
          <w:lang w:val="el-GR"/>
        </w:rPr>
        <w:t>πρόσβαση</w:t>
      </w:r>
      <w:r w:rsidR="00B60988" w:rsidRPr="00B60988">
        <w:rPr>
          <w:rFonts w:cstheme="minorHAnsi"/>
          <w:sz w:val="24"/>
          <w:szCs w:val="24"/>
          <w:lang w:val="el-GR"/>
        </w:rPr>
        <w:t xml:space="preserve"> </w:t>
      </w:r>
      <w:r w:rsidR="00B60988">
        <w:rPr>
          <w:rFonts w:cstheme="minorHAnsi"/>
          <w:sz w:val="24"/>
          <w:szCs w:val="24"/>
          <w:lang w:val="el-GR"/>
        </w:rPr>
        <w:t>σε</w:t>
      </w:r>
      <w:r w:rsidR="00B60988" w:rsidRPr="00B60988">
        <w:rPr>
          <w:rFonts w:cstheme="minorHAnsi"/>
          <w:sz w:val="24"/>
          <w:szCs w:val="24"/>
          <w:lang w:val="el-GR"/>
        </w:rPr>
        <w:t xml:space="preserve"> </w:t>
      </w:r>
      <w:r w:rsidR="00B60988">
        <w:rPr>
          <w:rFonts w:cstheme="minorHAnsi"/>
          <w:sz w:val="24"/>
          <w:szCs w:val="24"/>
          <w:lang w:val="el-GR"/>
        </w:rPr>
        <w:t>στατιστικά</w:t>
      </w:r>
      <w:r w:rsidR="00B60988" w:rsidRPr="00B60988">
        <w:rPr>
          <w:rFonts w:cstheme="minorHAnsi"/>
          <w:sz w:val="24"/>
          <w:szCs w:val="24"/>
          <w:lang w:val="el-GR"/>
        </w:rPr>
        <w:t xml:space="preserve"> </w:t>
      </w:r>
      <w:r w:rsidR="00B60988">
        <w:rPr>
          <w:rFonts w:cstheme="minorHAnsi"/>
          <w:sz w:val="24"/>
          <w:szCs w:val="24"/>
          <w:lang w:val="el-GR"/>
        </w:rPr>
        <w:t>μέσω</w:t>
      </w:r>
      <w:r w:rsidR="00B60988" w:rsidRPr="00B60988">
        <w:rPr>
          <w:rFonts w:cstheme="minorHAnsi"/>
          <w:sz w:val="24"/>
          <w:szCs w:val="24"/>
          <w:lang w:val="el-GR"/>
        </w:rPr>
        <w:t xml:space="preserve"> </w:t>
      </w:r>
      <w:r w:rsidR="00B60988">
        <w:rPr>
          <w:rFonts w:cstheme="minorHAnsi"/>
          <w:sz w:val="24"/>
          <w:szCs w:val="24"/>
          <w:lang w:val="el-GR"/>
        </w:rPr>
        <w:t>της</w:t>
      </w:r>
      <w:r w:rsidR="00B60988" w:rsidRPr="00B60988">
        <w:rPr>
          <w:rFonts w:cstheme="minorHAnsi"/>
          <w:sz w:val="24"/>
          <w:szCs w:val="24"/>
          <w:lang w:val="el-GR"/>
        </w:rPr>
        <w:t xml:space="preserve"> </w:t>
      </w:r>
      <w:r w:rsidR="00B60988">
        <w:rPr>
          <w:rFonts w:cstheme="minorHAnsi"/>
          <w:sz w:val="24"/>
          <w:szCs w:val="24"/>
          <w:lang w:val="el-GR"/>
        </w:rPr>
        <w:t>ιστοσελίδας</w:t>
      </w:r>
      <w:r w:rsidR="00B60988" w:rsidRPr="00B60988">
        <w:rPr>
          <w:rFonts w:cstheme="minorHAnsi"/>
          <w:sz w:val="24"/>
          <w:szCs w:val="24"/>
          <w:lang w:val="el-GR"/>
        </w:rPr>
        <w:t xml:space="preserve"> </w:t>
      </w:r>
      <w:r w:rsidR="00B60988">
        <w:rPr>
          <w:rFonts w:cstheme="minorHAnsi"/>
          <w:sz w:val="24"/>
          <w:szCs w:val="24"/>
          <w:lang w:val="el-GR"/>
        </w:rPr>
        <w:t>της</w:t>
      </w:r>
      <w:r w:rsidR="00B60988" w:rsidRPr="00B60988">
        <w:rPr>
          <w:rFonts w:cstheme="minorHAnsi"/>
          <w:sz w:val="24"/>
          <w:szCs w:val="24"/>
          <w:lang w:val="el-GR"/>
        </w:rPr>
        <w:t xml:space="preserve"> </w:t>
      </w:r>
      <w:r w:rsidR="009C4E34">
        <w:rPr>
          <w:rFonts w:cstheme="minorHAnsi"/>
          <w:sz w:val="24"/>
          <w:szCs w:val="24"/>
          <w:lang w:val="el-GR"/>
        </w:rPr>
        <w:t>Αστυνομία</w:t>
      </w:r>
      <w:r w:rsidR="00B60988">
        <w:rPr>
          <w:rFonts w:cstheme="minorHAnsi"/>
          <w:sz w:val="24"/>
          <w:szCs w:val="24"/>
          <w:lang w:val="el-GR"/>
        </w:rPr>
        <w:t>ς</w:t>
      </w:r>
      <w:r w:rsidR="00220066" w:rsidRPr="00B60988">
        <w:rPr>
          <w:rFonts w:cstheme="minorHAnsi"/>
          <w:sz w:val="24"/>
          <w:szCs w:val="24"/>
          <w:lang w:val="el-GR"/>
        </w:rPr>
        <w:t xml:space="preserve"> </w:t>
      </w:r>
      <w:r w:rsidR="00B60988">
        <w:rPr>
          <w:rFonts w:cstheme="minorHAnsi"/>
          <w:sz w:val="24"/>
          <w:szCs w:val="24"/>
          <w:lang w:val="el-GR"/>
        </w:rPr>
        <w:t>για τις ακόλουθες κατηγορίες</w:t>
      </w:r>
      <w:r w:rsidR="00220066" w:rsidRPr="00B60988">
        <w:rPr>
          <w:rFonts w:cstheme="minorHAnsi"/>
          <w:sz w:val="24"/>
          <w:szCs w:val="24"/>
          <w:lang w:val="el-GR"/>
        </w:rPr>
        <w:t xml:space="preserve">: </w:t>
      </w:r>
      <w:r w:rsidR="00B60988">
        <w:rPr>
          <w:rFonts w:cstheme="minorHAnsi"/>
          <w:sz w:val="24"/>
          <w:szCs w:val="24"/>
          <w:lang w:val="el-GR"/>
        </w:rPr>
        <w:t>σοβαρό έγκλημα</w:t>
      </w:r>
      <w:r w:rsidR="00220066" w:rsidRPr="00B60988">
        <w:rPr>
          <w:rFonts w:cstheme="minorHAnsi"/>
          <w:sz w:val="24"/>
          <w:szCs w:val="24"/>
          <w:lang w:val="el-GR"/>
        </w:rPr>
        <w:t xml:space="preserve">, </w:t>
      </w:r>
      <w:r w:rsidR="00B60988">
        <w:rPr>
          <w:rFonts w:cstheme="minorHAnsi"/>
          <w:sz w:val="24"/>
          <w:szCs w:val="24"/>
          <w:lang w:val="el-GR"/>
        </w:rPr>
        <w:t>οδικά</w:t>
      </w:r>
      <w:r w:rsidR="00220066" w:rsidRPr="00B60988">
        <w:rPr>
          <w:rFonts w:cstheme="minorHAnsi"/>
          <w:sz w:val="24"/>
          <w:szCs w:val="24"/>
          <w:lang w:val="el-GR"/>
        </w:rPr>
        <w:t>/</w:t>
      </w:r>
      <w:r w:rsidR="00B60988">
        <w:rPr>
          <w:rFonts w:cstheme="minorHAnsi"/>
          <w:sz w:val="24"/>
          <w:szCs w:val="24"/>
          <w:lang w:val="el-GR"/>
        </w:rPr>
        <w:t>τροχαία</w:t>
      </w:r>
      <w:r w:rsidR="00220066" w:rsidRPr="00B60988">
        <w:rPr>
          <w:rFonts w:cstheme="minorHAnsi"/>
          <w:sz w:val="24"/>
          <w:szCs w:val="24"/>
          <w:lang w:val="el-GR"/>
        </w:rPr>
        <w:t xml:space="preserve"> </w:t>
      </w:r>
      <w:r w:rsidR="00B60988">
        <w:rPr>
          <w:rFonts w:cstheme="minorHAnsi"/>
          <w:sz w:val="24"/>
          <w:szCs w:val="24"/>
          <w:lang w:val="el-GR"/>
        </w:rPr>
        <w:t>δυστυχήματα</w:t>
      </w:r>
      <w:r w:rsidR="00220066" w:rsidRPr="00B60988">
        <w:rPr>
          <w:rFonts w:cstheme="minorHAnsi"/>
          <w:sz w:val="24"/>
          <w:szCs w:val="24"/>
          <w:lang w:val="el-GR"/>
        </w:rPr>
        <w:t xml:space="preserve">, </w:t>
      </w:r>
      <w:r w:rsidR="00B60988">
        <w:rPr>
          <w:rFonts w:cstheme="minorHAnsi"/>
          <w:sz w:val="24"/>
          <w:szCs w:val="24"/>
          <w:lang w:val="el-GR"/>
        </w:rPr>
        <w:t>νεανικό έγκλημα</w:t>
      </w:r>
      <w:r w:rsidR="00220066" w:rsidRPr="00B60988">
        <w:rPr>
          <w:rFonts w:cstheme="minorHAnsi"/>
          <w:sz w:val="24"/>
          <w:szCs w:val="24"/>
          <w:lang w:val="el-GR"/>
        </w:rPr>
        <w:t xml:space="preserve">, </w:t>
      </w:r>
      <w:r w:rsidR="00B60988">
        <w:rPr>
          <w:rFonts w:cstheme="minorHAnsi"/>
          <w:sz w:val="24"/>
          <w:szCs w:val="24"/>
          <w:lang w:val="el-GR"/>
        </w:rPr>
        <w:t>και</w:t>
      </w:r>
      <w:r w:rsidR="00220066" w:rsidRPr="00B60988">
        <w:rPr>
          <w:rFonts w:cstheme="minorHAnsi"/>
          <w:sz w:val="24"/>
          <w:szCs w:val="24"/>
          <w:lang w:val="el-GR"/>
        </w:rPr>
        <w:t xml:space="preserve"> </w:t>
      </w:r>
      <w:r w:rsidR="00B60988">
        <w:rPr>
          <w:rFonts w:cstheme="minorHAnsi"/>
          <w:sz w:val="24"/>
          <w:szCs w:val="24"/>
          <w:lang w:val="el-GR"/>
        </w:rPr>
        <w:t>ναρκωτικά</w:t>
      </w:r>
      <w:r w:rsidR="00220066" w:rsidRPr="00B60988">
        <w:rPr>
          <w:rFonts w:cstheme="minorHAnsi"/>
          <w:sz w:val="24"/>
          <w:szCs w:val="24"/>
          <w:lang w:val="el-GR"/>
        </w:rPr>
        <w:t>.</w:t>
      </w:r>
    </w:p>
    <w:p w14:paraId="4D5D81BC" w14:textId="77777777" w:rsidR="00220066" w:rsidRPr="00B60988" w:rsidRDefault="00220066" w:rsidP="00220066">
      <w:pPr>
        <w:tabs>
          <w:tab w:val="left" w:pos="709"/>
        </w:tabs>
        <w:rPr>
          <w:rFonts w:cstheme="minorHAnsi"/>
          <w:sz w:val="24"/>
          <w:szCs w:val="24"/>
          <w:lang w:val="el-GR"/>
        </w:rPr>
      </w:pPr>
    </w:p>
    <w:p w14:paraId="1746EFE0" w14:textId="42861995" w:rsidR="00220066" w:rsidRPr="00B60988" w:rsidRDefault="00B60988" w:rsidP="00220066">
      <w:pPr>
        <w:pStyle w:val="Heading3"/>
        <w:tabs>
          <w:tab w:val="left" w:pos="709"/>
        </w:tabs>
        <w:spacing w:before="0"/>
        <w:rPr>
          <w:rFonts w:asciiTheme="minorHAnsi" w:hAnsiTheme="minorHAnsi" w:cstheme="minorHAnsi"/>
          <w:b w:val="0"/>
          <w:i/>
          <w:color w:val="auto"/>
          <w:sz w:val="24"/>
          <w:szCs w:val="24"/>
          <w:lang w:val="el-GR"/>
        </w:rPr>
      </w:pPr>
      <w:bookmarkStart w:id="180" w:name="_Toc110430325"/>
      <w:bookmarkStart w:id="181" w:name="_Toc117445164"/>
      <w:bookmarkStart w:id="182" w:name="_Toc136879368"/>
      <w:r>
        <w:rPr>
          <w:rFonts w:asciiTheme="minorHAnsi" w:hAnsiTheme="minorHAnsi" w:cstheme="minorHAnsi"/>
          <w:b w:val="0"/>
          <w:i/>
          <w:color w:val="auto"/>
          <w:sz w:val="24"/>
          <w:szCs w:val="24"/>
          <w:lang w:val="el-GR"/>
        </w:rPr>
        <w:t>Εμπιστοσύνη του κοινού</w:t>
      </w:r>
      <w:r w:rsidR="00220066" w:rsidRPr="00B60988">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σε αρχές επιβολής του νόμου</w:t>
      </w:r>
      <w:bookmarkEnd w:id="180"/>
      <w:bookmarkEnd w:id="181"/>
      <w:bookmarkEnd w:id="182"/>
    </w:p>
    <w:p w14:paraId="176D3167" w14:textId="77777777" w:rsidR="00220066" w:rsidRPr="00B60988" w:rsidRDefault="00220066" w:rsidP="00220066">
      <w:pPr>
        <w:tabs>
          <w:tab w:val="left" w:pos="709"/>
        </w:tabs>
        <w:rPr>
          <w:rFonts w:cstheme="minorHAnsi"/>
          <w:sz w:val="24"/>
          <w:szCs w:val="24"/>
          <w:lang w:val="el-GR"/>
        </w:rPr>
      </w:pPr>
    </w:p>
    <w:p w14:paraId="368945C1" w14:textId="48A5B7B0" w:rsidR="00220066" w:rsidRPr="00512474" w:rsidRDefault="00B60988" w:rsidP="00CF2E8A">
      <w:pPr>
        <w:numPr>
          <w:ilvl w:val="0"/>
          <w:numId w:val="1"/>
        </w:numPr>
        <w:tabs>
          <w:tab w:val="left" w:pos="709"/>
        </w:tabs>
        <w:ind w:left="0" w:firstLine="0"/>
        <w:rPr>
          <w:rFonts w:cstheme="minorHAnsi"/>
          <w:sz w:val="24"/>
          <w:szCs w:val="24"/>
          <w:lang w:val="el-GR"/>
        </w:rPr>
      </w:pPr>
      <w:r>
        <w:rPr>
          <w:rFonts w:cstheme="minorHAnsi"/>
          <w:sz w:val="24"/>
          <w:szCs w:val="24"/>
          <w:lang w:val="el-GR"/>
        </w:rPr>
        <w:t>Το</w:t>
      </w:r>
      <w:r w:rsidRPr="00B60988">
        <w:rPr>
          <w:rFonts w:cstheme="minorHAnsi"/>
          <w:sz w:val="24"/>
          <w:szCs w:val="24"/>
          <w:lang w:val="el-GR"/>
        </w:rPr>
        <w:t xml:space="preserve"> </w:t>
      </w:r>
      <w:r>
        <w:rPr>
          <w:rFonts w:cstheme="minorHAnsi"/>
          <w:sz w:val="24"/>
          <w:szCs w:val="24"/>
          <w:lang w:val="el-GR"/>
        </w:rPr>
        <w:t>Ευρωβαρόμετρο</w:t>
      </w:r>
      <w:r w:rsidRPr="00B60988">
        <w:rPr>
          <w:rFonts w:cstheme="minorHAnsi"/>
          <w:sz w:val="24"/>
          <w:szCs w:val="24"/>
          <w:lang w:val="el-GR"/>
        </w:rPr>
        <w:t xml:space="preserve"> </w:t>
      </w:r>
      <w:r>
        <w:rPr>
          <w:rFonts w:cstheme="minorHAnsi"/>
          <w:sz w:val="24"/>
          <w:szCs w:val="24"/>
          <w:lang w:val="el-GR"/>
        </w:rPr>
        <w:t>του</w:t>
      </w:r>
      <w:r w:rsidRPr="00B60988">
        <w:rPr>
          <w:rFonts w:cstheme="minorHAnsi"/>
          <w:sz w:val="24"/>
          <w:szCs w:val="24"/>
          <w:lang w:val="el-GR"/>
        </w:rPr>
        <w:t xml:space="preserve"> 2022 </w:t>
      </w:r>
      <w:r>
        <w:rPr>
          <w:rFonts w:cstheme="minorHAnsi"/>
          <w:sz w:val="24"/>
          <w:szCs w:val="24"/>
          <w:lang w:val="el-GR"/>
        </w:rPr>
        <w:t>για</w:t>
      </w:r>
      <w:r w:rsidRPr="00B60988">
        <w:rPr>
          <w:rFonts w:cstheme="minorHAnsi"/>
          <w:sz w:val="24"/>
          <w:szCs w:val="24"/>
          <w:lang w:val="el-GR"/>
        </w:rPr>
        <w:t xml:space="preserve"> </w:t>
      </w:r>
      <w:r>
        <w:rPr>
          <w:rFonts w:cstheme="minorHAnsi"/>
          <w:sz w:val="24"/>
          <w:szCs w:val="24"/>
          <w:lang w:val="el-GR"/>
        </w:rPr>
        <w:t>την</w:t>
      </w:r>
      <w:r w:rsidRPr="00B60988">
        <w:rPr>
          <w:rFonts w:cstheme="minorHAnsi"/>
          <w:sz w:val="24"/>
          <w:szCs w:val="24"/>
          <w:lang w:val="el-GR"/>
        </w:rPr>
        <w:t xml:space="preserve"> </w:t>
      </w:r>
      <w:r>
        <w:rPr>
          <w:rFonts w:cstheme="minorHAnsi"/>
          <w:sz w:val="24"/>
          <w:szCs w:val="24"/>
          <w:lang w:val="el-GR"/>
        </w:rPr>
        <w:t>Διαφθορά</w:t>
      </w:r>
      <w:r w:rsidR="00220066" w:rsidRPr="00B60988">
        <w:rPr>
          <w:rFonts w:cstheme="minorHAnsi"/>
          <w:sz w:val="24"/>
          <w:szCs w:val="24"/>
          <w:lang w:val="el-GR"/>
        </w:rPr>
        <w:t xml:space="preserve"> </w:t>
      </w:r>
      <w:hyperlink r:id="rId21" w:history="1">
        <w:r w:rsidR="00220066" w:rsidRPr="00B60988">
          <w:rPr>
            <w:rStyle w:val="Hyperlink"/>
            <w:rFonts w:cstheme="minorHAnsi"/>
            <w:color w:val="000000" w:themeColor="text1"/>
            <w:sz w:val="24"/>
            <w:szCs w:val="24"/>
            <w:lang w:val="el-GR"/>
          </w:rPr>
          <w:t xml:space="preserve">2022 </w:t>
        </w:r>
        <w:r w:rsidR="00220066" w:rsidRPr="00B60988">
          <w:rPr>
            <w:rStyle w:val="Hyperlink"/>
            <w:rFonts w:cstheme="minorHAnsi"/>
            <w:color w:val="000000" w:themeColor="text1"/>
            <w:sz w:val="24"/>
            <w:szCs w:val="24"/>
          </w:rPr>
          <w:t>Eurobarometer</w:t>
        </w:r>
        <w:r w:rsidR="00220066" w:rsidRPr="00B60988">
          <w:rPr>
            <w:rStyle w:val="Hyperlink"/>
            <w:rFonts w:cstheme="minorHAnsi"/>
            <w:color w:val="000000" w:themeColor="text1"/>
            <w:sz w:val="24"/>
            <w:szCs w:val="24"/>
            <w:lang w:val="el-GR"/>
          </w:rPr>
          <w:t xml:space="preserve"> </w:t>
        </w:r>
        <w:r w:rsidR="00220066" w:rsidRPr="00B60988">
          <w:rPr>
            <w:rStyle w:val="Hyperlink"/>
            <w:rFonts w:cstheme="minorHAnsi"/>
            <w:color w:val="000000" w:themeColor="text1"/>
            <w:sz w:val="24"/>
            <w:szCs w:val="24"/>
          </w:rPr>
          <w:t>on</w:t>
        </w:r>
        <w:r w:rsidR="00220066" w:rsidRPr="00B60988">
          <w:rPr>
            <w:rStyle w:val="Hyperlink"/>
            <w:rFonts w:cstheme="minorHAnsi"/>
            <w:color w:val="000000" w:themeColor="text1"/>
            <w:sz w:val="24"/>
            <w:szCs w:val="24"/>
            <w:lang w:val="el-GR"/>
          </w:rPr>
          <w:t xml:space="preserve"> </w:t>
        </w:r>
        <w:r w:rsidR="00220066" w:rsidRPr="00B60988">
          <w:rPr>
            <w:rStyle w:val="Hyperlink"/>
            <w:rFonts w:cstheme="minorHAnsi"/>
            <w:color w:val="000000" w:themeColor="text1"/>
            <w:sz w:val="24"/>
            <w:szCs w:val="24"/>
          </w:rPr>
          <w:t>Corruption</w:t>
        </w:r>
      </w:hyperlink>
      <w:r w:rsidR="00220066" w:rsidRPr="00B60988">
        <w:rPr>
          <w:rFonts w:cstheme="minorHAnsi"/>
          <w:sz w:val="24"/>
          <w:szCs w:val="24"/>
          <w:lang w:val="el-GR"/>
        </w:rPr>
        <w:t xml:space="preserve"> </w:t>
      </w:r>
      <w:r>
        <w:rPr>
          <w:rFonts w:cstheme="minorHAnsi"/>
          <w:sz w:val="24"/>
          <w:szCs w:val="24"/>
          <w:lang w:val="el-GR"/>
        </w:rPr>
        <w:t>δείχνει</w:t>
      </w:r>
      <w:r w:rsidRPr="00B60988">
        <w:rPr>
          <w:rFonts w:cstheme="minorHAnsi"/>
          <w:sz w:val="24"/>
          <w:szCs w:val="24"/>
          <w:lang w:val="el-GR"/>
        </w:rPr>
        <w:t xml:space="preserve"> </w:t>
      </w:r>
      <w:r>
        <w:rPr>
          <w:rFonts w:cstheme="minorHAnsi"/>
          <w:sz w:val="24"/>
          <w:szCs w:val="24"/>
          <w:lang w:val="el-GR"/>
        </w:rPr>
        <w:t>ότι</w:t>
      </w:r>
      <w:r w:rsidR="00220066" w:rsidRPr="00B60988">
        <w:rPr>
          <w:rFonts w:cstheme="minorHAnsi"/>
          <w:sz w:val="24"/>
          <w:szCs w:val="24"/>
          <w:lang w:val="el-GR"/>
        </w:rPr>
        <w:t xml:space="preserve"> </w:t>
      </w:r>
      <w:r w:rsidR="00220066" w:rsidRPr="00B60988">
        <w:rPr>
          <w:rFonts w:eastAsiaTheme="majorEastAsia" w:cstheme="minorHAnsi"/>
          <w:sz w:val="24"/>
          <w:szCs w:val="24"/>
          <w:lang w:val="el-GR"/>
        </w:rPr>
        <w:t xml:space="preserve">54% </w:t>
      </w:r>
      <w:r>
        <w:rPr>
          <w:rFonts w:eastAsiaTheme="majorEastAsia" w:cstheme="minorHAnsi"/>
          <w:sz w:val="24"/>
          <w:szCs w:val="24"/>
          <w:lang w:val="el-GR"/>
        </w:rPr>
        <w:t>των</w:t>
      </w:r>
      <w:r w:rsidRPr="00B60988">
        <w:rPr>
          <w:rFonts w:eastAsiaTheme="majorEastAsia" w:cstheme="minorHAnsi"/>
          <w:sz w:val="24"/>
          <w:szCs w:val="24"/>
          <w:lang w:val="el-GR"/>
        </w:rPr>
        <w:t xml:space="preserve"> </w:t>
      </w:r>
      <w:r>
        <w:rPr>
          <w:rFonts w:eastAsiaTheme="majorEastAsia" w:cstheme="minorHAnsi"/>
          <w:sz w:val="24"/>
          <w:szCs w:val="24"/>
          <w:lang w:val="el-GR"/>
        </w:rPr>
        <w:t>Κυπρ</w:t>
      </w:r>
      <w:r w:rsidR="00DB36CF">
        <w:rPr>
          <w:rFonts w:eastAsiaTheme="majorEastAsia" w:cstheme="minorHAnsi"/>
          <w:sz w:val="24"/>
          <w:szCs w:val="24"/>
          <w:lang w:val="el-GR"/>
        </w:rPr>
        <w:t>ίω</w:t>
      </w:r>
      <w:r>
        <w:rPr>
          <w:rFonts w:eastAsiaTheme="majorEastAsia" w:cstheme="minorHAnsi"/>
          <w:sz w:val="24"/>
          <w:szCs w:val="24"/>
          <w:lang w:val="el-GR"/>
        </w:rPr>
        <w:t>ν</w:t>
      </w:r>
      <w:r w:rsidRPr="00B60988">
        <w:rPr>
          <w:rFonts w:eastAsiaTheme="majorEastAsia" w:cstheme="minorHAnsi"/>
          <w:sz w:val="24"/>
          <w:szCs w:val="24"/>
          <w:lang w:val="el-GR"/>
        </w:rPr>
        <w:t xml:space="preserve"> </w:t>
      </w:r>
      <w:r>
        <w:rPr>
          <w:rFonts w:eastAsiaTheme="majorEastAsia" w:cstheme="minorHAnsi"/>
          <w:sz w:val="24"/>
          <w:szCs w:val="24"/>
          <w:lang w:val="el-GR"/>
        </w:rPr>
        <w:t>ερωτηθέντων</w:t>
      </w:r>
      <w:r w:rsidR="00220066" w:rsidRPr="00B60988">
        <w:rPr>
          <w:rFonts w:eastAsiaTheme="majorEastAsia" w:cstheme="minorHAnsi"/>
          <w:sz w:val="24"/>
          <w:szCs w:val="24"/>
          <w:lang w:val="el-GR"/>
        </w:rPr>
        <w:t xml:space="preserve"> </w:t>
      </w:r>
      <w:r w:rsidR="00BA4606">
        <w:rPr>
          <w:rFonts w:eastAsiaTheme="majorEastAsia" w:cstheme="minorHAnsi"/>
          <w:sz w:val="24"/>
          <w:szCs w:val="24"/>
          <w:lang w:val="el-GR"/>
        </w:rPr>
        <w:t>πιστεύουν</w:t>
      </w:r>
      <w:r w:rsidR="00BA4606" w:rsidRPr="00B60988">
        <w:rPr>
          <w:rFonts w:eastAsiaTheme="majorEastAsia" w:cstheme="minorHAnsi"/>
          <w:sz w:val="24"/>
          <w:szCs w:val="24"/>
          <w:lang w:val="el-GR"/>
        </w:rPr>
        <w:t xml:space="preserve"> </w:t>
      </w:r>
      <w:r>
        <w:rPr>
          <w:rFonts w:eastAsiaTheme="majorEastAsia" w:cstheme="minorHAnsi"/>
          <w:sz w:val="24"/>
          <w:szCs w:val="24"/>
          <w:lang w:val="el-GR"/>
        </w:rPr>
        <w:t xml:space="preserve">ότι το να δίνεις και να παίρνεις δωροδοκία είναι διαδεδομένη στην </w:t>
      </w:r>
      <w:r w:rsidR="009C4E34">
        <w:rPr>
          <w:rFonts w:eastAsiaTheme="majorEastAsia" w:cstheme="minorHAnsi"/>
          <w:sz w:val="24"/>
          <w:szCs w:val="24"/>
          <w:lang w:val="el-GR"/>
        </w:rPr>
        <w:t>Αστυνομία</w:t>
      </w:r>
      <w:r>
        <w:rPr>
          <w:rFonts w:eastAsiaTheme="majorEastAsia" w:cstheme="minorHAnsi"/>
          <w:sz w:val="24"/>
          <w:szCs w:val="24"/>
          <w:lang w:val="el-GR"/>
        </w:rPr>
        <w:t xml:space="preserve"> Κύπρου</w:t>
      </w:r>
      <w:r w:rsidR="00220066" w:rsidRPr="00B60988">
        <w:rPr>
          <w:rFonts w:cstheme="minorHAnsi"/>
          <w:sz w:val="24"/>
          <w:szCs w:val="24"/>
          <w:lang w:val="el-GR"/>
        </w:rPr>
        <w:t xml:space="preserve"> (</w:t>
      </w:r>
      <w:r>
        <w:rPr>
          <w:rFonts w:cstheme="minorHAnsi"/>
          <w:sz w:val="24"/>
          <w:szCs w:val="24"/>
          <w:lang w:val="el-GR"/>
        </w:rPr>
        <w:t>ο μέσος όρος στην ΕΕ</w:t>
      </w:r>
      <w:r w:rsidR="00220066" w:rsidRPr="00B60988">
        <w:rPr>
          <w:rFonts w:cstheme="minorHAnsi"/>
          <w:sz w:val="24"/>
          <w:szCs w:val="24"/>
          <w:lang w:val="el-GR"/>
        </w:rPr>
        <w:t xml:space="preserve">: 28%).  </w:t>
      </w:r>
      <w:r>
        <w:rPr>
          <w:rFonts w:cstheme="minorHAnsi"/>
          <w:sz w:val="24"/>
          <w:szCs w:val="24"/>
          <w:lang w:val="el-GR"/>
        </w:rPr>
        <w:t>Από</w:t>
      </w:r>
      <w:r w:rsidRPr="00B60988">
        <w:rPr>
          <w:rFonts w:cstheme="minorHAnsi"/>
          <w:sz w:val="24"/>
          <w:szCs w:val="24"/>
          <w:lang w:val="el-GR"/>
        </w:rPr>
        <w:t xml:space="preserve"> </w:t>
      </w:r>
      <w:r>
        <w:rPr>
          <w:rFonts w:cstheme="minorHAnsi"/>
          <w:sz w:val="24"/>
          <w:szCs w:val="24"/>
          <w:lang w:val="el-GR"/>
        </w:rPr>
        <w:t>την</w:t>
      </w:r>
      <w:r w:rsidRPr="00B60988">
        <w:rPr>
          <w:rFonts w:cstheme="minorHAnsi"/>
          <w:sz w:val="24"/>
          <w:szCs w:val="24"/>
          <w:lang w:val="el-GR"/>
        </w:rPr>
        <w:t xml:space="preserve"> </w:t>
      </w:r>
      <w:r>
        <w:rPr>
          <w:rFonts w:cstheme="minorHAnsi"/>
          <w:sz w:val="24"/>
          <w:szCs w:val="24"/>
          <w:lang w:val="el-GR"/>
        </w:rPr>
        <w:t>άλλη</w:t>
      </w:r>
      <w:r w:rsidR="00220066" w:rsidRPr="00B60988">
        <w:rPr>
          <w:rFonts w:cstheme="minorHAnsi"/>
          <w:sz w:val="24"/>
          <w:szCs w:val="24"/>
          <w:lang w:val="el-GR"/>
        </w:rPr>
        <w:t xml:space="preserve">, </w:t>
      </w:r>
      <w:r>
        <w:rPr>
          <w:rFonts w:cstheme="minorHAnsi"/>
          <w:sz w:val="24"/>
          <w:szCs w:val="24"/>
          <w:lang w:val="el-GR"/>
        </w:rPr>
        <w:t>οι</w:t>
      </w:r>
      <w:r w:rsidRPr="00B60988">
        <w:rPr>
          <w:rFonts w:cstheme="minorHAnsi"/>
          <w:sz w:val="24"/>
          <w:szCs w:val="24"/>
          <w:lang w:val="el-GR"/>
        </w:rPr>
        <w:t xml:space="preserve"> </w:t>
      </w:r>
      <w:r>
        <w:rPr>
          <w:rFonts w:cstheme="minorHAnsi"/>
          <w:sz w:val="24"/>
          <w:szCs w:val="24"/>
          <w:lang w:val="el-GR"/>
        </w:rPr>
        <w:t>ερωτηθέντες</w:t>
      </w:r>
      <w:r w:rsidR="00220066" w:rsidRPr="00B60988">
        <w:rPr>
          <w:rFonts w:cstheme="minorHAnsi"/>
          <w:sz w:val="24"/>
          <w:szCs w:val="24"/>
          <w:lang w:val="el-GR"/>
        </w:rPr>
        <w:t xml:space="preserve"> </w:t>
      </w:r>
      <w:r>
        <w:rPr>
          <w:rFonts w:cstheme="minorHAnsi"/>
          <w:sz w:val="24"/>
          <w:szCs w:val="24"/>
          <w:lang w:val="el-GR"/>
        </w:rPr>
        <w:t>θεωρούν</w:t>
      </w:r>
      <w:r w:rsidRPr="00B60988">
        <w:rPr>
          <w:rFonts w:cstheme="minorHAnsi"/>
          <w:sz w:val="24"/>
          <w:szCs w:val="24"/>
          <w:lang w:val="el-GR"/>
        </w:rPr>
        <w:t xml:space="preserve"> </w:t>
      </w:r>
      <w:r>
        <w:rPr>
          <w:rFonts w:cstheme="minorHAnsi"/>
          <w:sz w:val="24"/>
          <w:szCs w:val="24"/>
          <w:lang w:val="el-GR"/>
        </w:rPr>
        <w:t>την</w:t>
      </w:r>
      <w:r w:rsidRPr="00B60988">
        <w:rPr>
          <w:rFonts w:cstheme="minorHAnsi"/>
          <w:sz w:val="24"/>
          <w:szCs w:val="24"/>
          <w:lang w:val="el-GR"/>
        </w:rPr>
        <w:t xml:space="preserve"> </w:t>
      </w:r>
      <w:r w:rsidR="009C4E34">
        <w:rPr>
          <w:rFonts w:cstheme="minorHAnsi"/>
          <w:sz w:val="24"/>
          <w:szCs w:val="24"/>
          <w:lang w:val="el-GR"/>
        </w:rPr>
        <w:t>Αστυνομία</w:t>
      </w:r>
      <w:r w:rsidRPr="00B60988">
        <w:rPr>
          <w:rFonts w:cstheme="minorHAnsi"/>
          <w:sz w:val="24"/>
          <w:szCs w:val="24"/>
          <w:lang w:val="el-GR"/>
        </w:rPr>
        <w:t xml:space="preserve"> </w:t>
      </w:r>
      <w:r>
        <w:rPr>
          <w:rFonts w:cstheme="minorHAnsi"/>
          <w:sz w:val="24"/>
          <w:szCs w:val="24"/>
          <w:lang w:val="el-GR"/>
        </w:rPr>
        <w:t>ως</w:t>
      </w:r>
      <w:r w:rsidRPr="00B60988">
        <w:rPr>
          <w:rFonts w:cstheme="minorHAnsi"/>
          <w:sz w:val="24"/>
          <w:szCs w:val="24"/>
          <w:lang w:val="el-GR"/>
        </w:rPr>
        <w:t xml:space="preserve"> </w:t>
      </w:r>
      <w:r>
        <w:rPr>
          <w:rFonts w:cstheme="minorHAnsi"/>
          <w:sz w:val="24"/>
          <w:szCs w:val="24"/>
          <w:lang w:val="el-GR"/>
        </w:rPr>
        <w:t>τον</w:t>
      </w:r>
      <w:r w:rsidRPr="00B60988">
        <w:rPr>
          <w:rFonts w:cstheme="minorHAnsi"/>
          <w:sz w:val="24"/>
          <w:szCs w:val="24"/>
          <w:lang w:val="el-GR"/>
        </w:rPr>
        <w:t xml:space="preserve"> </w:t>
      </w:r>
      <w:r>
        <w:rPr>
          <w:rFonts w:cstheme="minorHAnsi"/>
          <w:sz w:val="24"/>
          <w:szCs w:val="24"/>
          <w:lang w:val="el-GR"/>
        </w:rPr>
        <w:t>πιο</w:t>
      </w:r>
      <w:r w:rsidRPr="00B60988">
        <w:rPr>
          <w:rFonts w:cstheme="minorHAnsi"/>
          <w:sz w:val="24"/>
          <w:szCs w:val="24"/>
          <w:lang w:val="el-GR"/>
        </w:rPr>
        <w:t xml:space="preserve"> </w:t>
      </w:r>
      <w:r>
        <w:rPr>
          <w:rFonts w:cstheme="minorHAnsi"/>
          <w:sz w:val="24"/>
          <w:szCs w:val="24"/>
          <w:lang w:val="el-GR"/>
        </w:rPr>
        <w:t>αξιόπιστο</w:t>
      </w:r>
      <w:r w:rsidRPr="00B60988">
        <w:rPr>
          <w:rFonts w:cstheme="minorHAnsi"/>
          <w:sz w:val="24"/>
          <w:szCs w:val="24"/>
          <w:lang w:val="el-GR"/>
        </w:rPr>
        <w:t xml:space="preserve"> </w:t>
      </w:r>
      <w:r>
        <w:rPr>
          <w:rFonts w:cstheme="minorHAnsi"/>
          <w:sz w:val="24"/>
          <w:szCs w:val="24"/>
          <w:lang w:val="el-GR"/>
        </w:rPr>
        <w:t>θεσμό</w:t>
      </w:r>
      <w:r w:rsidR="00220066" w:rsidRPr="00B60988">
        <w:rPr>
          <w:rFonts w:eastAsiaTheme="majorEastAsia" w:cstheme="minorHAnsi"/>
          <w:bCs/>
          <w:sz w:val="24"/>
          <w:szCs w:val="24"/>
          <w:lang w:val="el-GR"/>
        </w:rPr>
        <w:t xml:space="preserve"> </w:t>
      </w:r>
      <w:r>
        <w:rPr>
          <w:rFonts w:eastAsiaTheme="majorEastAsia" w:cstheme="minorHAnsi"/>
          <w:bCs/>
          <w:sz w:val="24"/>
          <w:szCs w:val="24"/>
          <w:lang w:val="el-GR"/>
        </w:rPr>
        <w:t>για να κάνουν ένα παράπονο που σχετίζεται με την διαφθορά</w:t>
      </w:r>
      <w:r w:rsidR="00220066" w:rsidRPr="00B60988">
        <w:rPr>
          <w:rFonts w:eastAsiaTheme="majorEastAsia" w:cstheme="minorHAnsi"/>
          <w:bCs/>
          <w:sz w:val="24"/>
          <w:szCs w:val="24"/>
          <w:lang w:val="el-GR"/>
        </w:rPr>
        <w:t xml:space="preserve"> (52%). </w:t>
      </w:r>
      <w:r>
        <w:rPr>
          <w:rFonts w:eastAsiaTheme="majorEastAsia" w:cstheme="minorHAnsi"/>
          <w:bCs/>
          <w:sz w:val="24"/>
          <w:szCs w:val="24"/>
          <w:lang w:val="el-GR"/>
        </w:rPr>
        <w:t>Μια</w:t>
      </w:r>
      <w:r w:rsidRPr="00512474">
        <w:rPr>
          <w:rFonts w:eastAsiaTheme="majorEastAsia" w:cstheme="minorHAnsi"/>
          <w:bCs/>
          <w:sz w:val="24"/>
          <w:szCs w:val="24"/>
          <w:lang w:val="el-GR"/>
        </w:rPr>
        <w:t xml:space="preserve"> </w:t>
      </w:r>
      <w:r>
        <w:rPr>
          <w:rFonts w:eastAsiaTheme="majorEastAsia" w:cstheme="minorHAnsi"/>
          <w:bCs/>
          <w:sz w:val="24"/>
          <w:szCs w:val="24"/>
          <w:lang w:val="el-GR"/>
        </w:rPr>
        <w:t>μεταγενέστερη</w:t>
      </w:r>
      <w:r w:rsidRPr="00512474">
        <w:rPr>
          <w:rFonts w:eastAsiaTheme="majorEastAsia" w:cstheme="minorHAnsi"/>
          <w:bCs/>
          <w:sz w:val="24"/>
          <w:szCs w:val="24"/>
          <w:lang w:val="el-GR"/>
        </w:rPr>
        <w:t xml:space="preserve"> </w:t>
      </w:r>
      <w:r>
        <w:rPr>
          <w:rFonts w:eastAsiaTheme="majorEastAsia" w:cstheme="minorHAnsi"/>
          <w:bCs/>
          <w:sz w:val="24"/>
          <w:szCs w:val="24"/>
          <w:lang w:val="el-GR"/>
        </w:rPr>
        <w:t>έρευνα</w:t>
      </w:r>
      <w:r w:rsidR="00220066" w:rsidRPr="00512474">
        <w:rPr>
          <w:rFonts w:eastAsiaTheme="majorEastAsia" w:cstheme="minorHAnsi"/>
          <w:bCs/>
          <w:sz w:val="24"/>
          <w:szCs w:val="24"/>
          <w:lang w:val="el-GR"/>
        </w:rPr>
        <w:t xml:space="preserve">, </w:t>
      </w:r>
      <w:r>
        <w:rPr>
          <w:rFonts w:eastAsiaTheme="majorEastAsia" w:cstheme="minorHAnsi"/>
          <w:bCs/>
          <w:sz w:val="24"/>
          <w:szCs w:val="24"/>
          <w:lang w:val="el-GR"/>
        </w:rPr>
        <w:t>που</w:t>
      </w:r>
      <w:r w:rsidRPr="00512474">
        <w:rPr>
          <w:rFonts w:eastAsiaTheme="majorEastAsia" w:cstheme="minorHAnsi"/>
          <w:bCs/>
          <w:sz w:val="24"/>
          <w:szCs w:val="24"/>
          <w:lang w:val="el-GR"/>
        </w:rPr>
        <w:t xml:space="preserve"> </w:t>
      </w:r>
      <w:r>
        <w:rPr>
          <w:rFonts w:eastAsiaTheme="majorEastAsia" w:cstheme="minorHAnsi"/>
          <w:bCs/>
          <w:sz w:val="24"/>
          <w:szCs w:val="24"/>
          <w:lang w:val="el-GR"/>
        </w:rPr>
        <w:t>εκδόθηκε</w:t>
      </w:r>
      <w:r w:rsidRPr="00512474">
        <w:rPr>
          <w:rFonts w:eastAsiaTheme="majorEastAsia" w:cstheme="minorHAnsi"/>
          <w:bCs/>
          <w:sz w:val="24"/>
          <w:szCs w:val="24"/>
          <w:lang w:val="el-GR"/>
        </w:rPr>
        <w:t xml:space="preserve"> </w:t>
      </w:r>
      <w:r>
        <w:rPr>
          <w:rFonts w:eastAsiaTheme="majorEastAsia" w:cstheme="minorHAnsi"/>
          <w:bCs/>
          <w:sz w:val="24"/>
          <w:szCs w:val="24"/>
          <w:lang w:val="el-GR"/>
        </w:rPr>
        <w:t>τον</w:t>
      </w:r>
      <w:r w:rsidRPr="00512474">
        <w:rPr>
          <w:rFonts w:eastAsiaTheme="majorEastAsia" w:cstheme="minorHAnsi"/>
          <w:bCs/>
          <w:sz w:val="24"/>
          <w:szCs w:val="24"/>
          <w:lang w:val="el-GR"/>
        </w:rPr>
        <w:t xml:space="preserve"> </w:t>
      </w:r>
      <w:r w:rsidR="00C9244D">
        <w:rPr>
          <w:rFonts w:eastAsiaTheme="majorEastAsia" w:cstheme="minorHAnsi"/>
          <w:bCs/>
          <w:sz w:val="24"/>
          <w:szCs w:val="24"/>
          <w:lang w:val="el-GR"/>
        </w:rPr>
        <w:t>Σεπτέμβρη</w:t>
      </w:r>
      <w:r w:rsidRPr="00512474">
        <w:rPr>
          <w:rFonts w:eastAsiaTheme="majorEastAsia" w:cstheme="minorHAnsi"/>
          <w:bCs/>
          <w:sz w:val="24"/>
          <w:szCs w:val="24"/>
          <w:lang w:val="el-GR"/>
        </w:rPr>
        <w:t xml:space="preserve"> </w:t>
      </w:r>
      <w:r>
        <w:rPr>
          <w:rFonts w:eastAsiaTheme="majorEastAsia" w:cstheme="minorHAnsi"/>
          <w:bCs/>
          <w:sz w:val="24"/>
          <w:szCs w:val="24"/>
          <w:lang w:val="el-GR"/>
        </w:rPr>
        <w:t>του</w:t>
      </w:r>
      <w:r w:rsidR="00220066" w:rsidRPr="00512474">
        <w:rPr>
          <w:rFonts w:eastAsiaTheme="majorEastAsia" w:cstheme="minorHAnsi"/>
          <w:bCs/>
          <w:sz w:val="24"/>
          <w:szCs w:val="24"/>
          <w:lang w:val="el-GR"/>
        </w:rPr>
        <w:t xml:space="preserve"> 2022, </w:t>
      </w:r>
      <w:r w:rsidR="00512474">
        <w:rPr>
          <w:rFonts w:eastAsiaTheme="majorEastAsia" w:cstheme="minorHAnsi"/>
          <w:bCs/>
          <w:sz w:val="24"/>
          <w:szCs w:val="24"/>
          <w:lang w:val="el-GR"/>
        </w:rPr>
        <w:t>η</w:t>
      </w:r>
      <w:r w:rsidR="00220066" w:rsidRPr="00512474">
        <w:rPr>
          <w:rFonts w:eastAsiaTheme="majorEastAsia" w:cstheme="minorHAnsi"/>
          <w:bCs/>
          <w:sz w:val="24"/>
          <w:szCs w:val="24"/>
          <w:lang w:val="el-GR"/>
        </w:rPr>
        <w:t xml:space="preserve"> </w:t>
      </w:r>
      <w:hyperlink r:id="rId22" w:history="1">
        <w:r w:rsidR="00220066" w:rsidRPr="00512474">
          <w:rPr>
            <w:rStyle w:val="Hyperlink"/>
            <w:rFonts w:eastAsiaTheme="majorEastAsia" w:cstheme="minorHAnsi"/>
            <w:bCs/>
            <w:color w:val="000000" w:themeColor="text1"/>
            <w:sz w:val="24"/>
            <w:szCs w:val="24"/>
          </w:rPr>
          <w:t>Standard</w:t>
        </w:r>
        <w:r w:rsidR="00220066" w:rsidRPr="00512474">
          <w:rPr>
            <w:rStyle w:val="Hyperlink"/>
            <w:rFonts w:eastAsiaTheme="majorEastAsia" w:cstheme="minorHAnsi"/>
            <w:bCs/>
            <w:color w:val="000000" w:themeColor="text1"/>
            <w:sz w:val="24"/>
            <w:szCs w:val="24"/>
            <w:lang w:val="el-GR"/>
          </w:rPr>
          <w:t xml:space="preserve"> </w:t>
        </w:r>
        <w:r w:rsidR="00220066" w:rsidRPr="00512474">
          <w:rPr>
            <w:rStyle w:val="Hyperlink"/>
            <w:rFonts w:eastAsiaTheme="majorEastAsia" w:cstheme="minorHAnsi"/>
            <w:bCs/>
            <w:color w:val="000000" w:themeColor="text1"/>
            <w:sz w:val="24"/>
            <w:szCs w:val="24"/>
          </w:rPr>
          <w:t>Eurobarometer</w:t>
        </w:r>
        <w:r w:rsidR="00220066" w:rsidRPr="00512474">
          <w:rPr>
            <w:rStyle w:val="Hyperlink"/>
            <w:rFonts w:eastAsiaTheme="majorEastAsia" w:cstheme="minorHAnsi"/>
            <w:bCs/>
            <w:color w:val="000000" w:themeColor="text1"/>
            <w:sz w:val="24"/>
            <w:szCs w:val="24"/>
            <w:lang w:val="el-GR"/>
          </w:rPr>
          <w:t xml:space="preserve"> 97</w:t>
        </w:r>
      </w:hyperlink>
      <w:r w:rsidR="00220066" w:rsidRPr="00512474">
        <w:rPr>
          <w:rFonts w:eastAsiaTheme="majorEastAsia" w:cstheme="minorHAnsi"/>
          <w:bCs/>
          <w:sz w:val="24"/>
          <w:szCs w:val="24"/>
          <w:lang w:val="el-GR"/>
        </w:rPr>
        <w:t xml:space="preserve">, </w:t>
      </w:r>
      <w:r w:rsidR="00512474">
        <w:rPr>
          <w:rFonts w:eastAsiaTheme="majorEastAsia" w:cstheme="minorHAnsi"/>
          <w:bCs/>
          <w:sz w:val="24"/>
          <w:szCs w:val="24"/>
          <w:lang w:val="el-GR"/>
        </w:rPr>
        <w:t>δείχνει</w:t>
      </w:r>
      <w:r w:rsidR="00512474" w:rsidRPr="00512474">
        <w:rPr>
          <w:rFonts w:eastAsiaTheme="majorEastAsia" w:cstheme="minorHAnsi"/>
          <w:bCs/>
          <w:sz w:val="24"/>
          <w:szCs w:val="24"/>
          <w:lang w:val="el-GR"/>
        </w:rPr>
        <w:t xml:space="preserve"> </w:t>
      </w:r>
      <w:r w:rsidR="00512474">
        <w:rPr>
          <w:rFonts w:eastAsiaTheme="majorEastAsia" w:cstheme="minorHAnsi"/>
          <w:bCs/>
          <w:sz w:val="24"/>
          <w:szCs w:val="24"/>
          <w:lang w:val="el-GR"/>
        </w:rPr>
        <w:t>ότι</w:t>
      </w:r>
      <w:r w:rsidR="00512474" w:rsidRPr="00512474">
        <w:rPr>
          <w:rFonts w:eastAsiaTheme="majorEastAsia" w:cstheme="minorHAnsi"/>
          <w:bCs/>
          <w:sz w:val="24"/>
          <w:szCs w:val="24"/>
          <w:lang w:val="el-GR"/>
        </w:rPr>
        <w:t xml:space="preserve"> </w:t>
      </w:r>
      <w:r w:rsidR="00512474">
        <w:rPr>
          <w:rFonts w:eastAsiaTheme="majorEastAsia" w:cstheme="minorHAnsi"/>
          <w:bCs/>
          <w:sz w:val="24"/>
          <w:szCs w:val="24"/>
          <w:lang w:val="el-GR"/>
        </w:rPr>
        <w:t>μόνο το</w:t>
      </w:r>
      <w:r w:rsidR="00220066" w:rsidRPr="00512474">
        <w:rPr>
          <w:rFonts w:eastAsiaTheme="majorEastAsia" w:cstheme="minorHAnsi"/>
          <w:bCs/>
          <w:sz w:val="24"/>
          <w:szCs w:val="24"/>
          <w:lang w:val="el-GR"/>
        </w:rPr>
        <w:t xml:space="preserve"> 51% </w:t>
      </w:r>
      <w:r w:rsidR="00512474">
        <w:rPr>
          <w:rFonts w:eastAsiaTheme="majorEastAsia" w:cstheme="minorHAnsi"/>
          <w:bCs/>
          <w:sz w:val="24"/>
          <w:szCs w:val="24"/>
          <w:lang w:val="el-GR"/>
        </w:rPr>
        <w:t xml:space="preserve">των Κυπρίων πολιτών εμπιστεύονται την </w:t>
      </w:r>
      <w:r w:rsidR="009C4E34">
        <w:rPr>
          <w:rFonts w:eastAsiaTheme="majorEastAsia" w:cstheme="minorHAnsi"/>
          <w:bCs/>
          <w:sz w:val="24"/>
          <w:szCs w:val="24"/>
          <w:lang w:val="el-GR"/>
        </w:rPr>
        <w:t>Αστυνομία</w:t>
      </w:r>
      <w:r w:rsidR="00512474">
        <w:rPr>
          <w:rFonts w:eastAsiaTheme="majorEastAsia" w:cstheme="minorHAnsi"/>
          <w:bCs/>
          <w:sz w:val="24"/>
          <w:szCs w:val="24"/>
          <w:lang w:val="el-GR"/>
        </w:rPr>
        <w:t xml:space="preserve"> τους</w:t>
      </w:r>
      <w:r w:rsidR="00220066" w:rsidRPr="00512474">
        <w:rPr>
          <w:rFonts w:eastAsiaTheme="majorEastAsia" w:cstheme="minorHAnsi"/>
          <w:bCs/>
          <w:sz w:val="24"/>
          <w:szCs w:val="24"/>
          <w:lang w:val="el-GR"/>
        </w:rPr>
        <w:t xml:space="preserve">, </w:t>
      </w:r>
      <w:r w:rsidR="00512474">
        <w:rPr>
          <w:rFonts w:eastAsiaTheme="majorEastAsia" w:cstheme="minorHAnsi"/>
          <w:bCs/>
          <w:sz w:val="24"/>
          <w:szCs w:val="24"/>
          <w:lang w:val="el-GR"/>
        </w:rPr>
        <w:t>που είναι ένας από τους χαμηλότερους βαθμούς εντός της ΕΕ</w:t>
      </w:r>
      <w:r w:rsidR="00220066" w:rsidRPr="00512474">
        <w:rPr>
          <w:rFonts w:eastAsiaTheme="majorEastAsia" w:cstheme="minorHAnsi"/>
          <w:bCs/>
          <w:sz w:val="24"/>
          <w:szCs w:val="24"/>
          <w:lang w:val="el-GR"/>
        </w:rPr>
        <w:t xml:space="preserve"> (</w:t>
      </w:r>
      <w:r w:rsidR="00512474">
        <w:rPr>
          <w:rFonts w:eastAsiaTheme="majorEastAsia" w:cstheme="minorHAnsi"/>
          <w:bCs/>
          <w:sz w:val="24"/>
          <w:szCs w:val="24"/>
          <w:lang w:val="el-GR"/>
        </w:rPr>
        <w:t>ο μέσος όρος της ΕΕ</w:t>
      </w:r>
      <w:r w:rsidR="00220066" w:rsidRPr="00512474">
        <w:rPr>
          <w:rFonts w:eastAsiaTheme="majorEastAsia" w:cstheme="minorHAnsi"/>
          <w:bCs/>
          <w:sz w:val="24"/>
          <w:szCs w:val="24"/>
          <w:lang w:val="el-GR"/>
        </w:rPr>
        <w:t>: 69</w:t>
      </w:r>
      <w:r w:rsidR="00DB36CF" w:rsidRPr="00DB36CF">
        <w:rPr>
          <w:rFonts w:eastAsiaTheme="majorEastAsia" w:cstheme="minorHAnsi"/>
          <w:bCs/>
          <w:sz w:val="24"/>
          <w:szCs w:val="24"/>
          <w:lang w:val="el-GR"/>
        </w:rPr>
        <w:t>%</w:t>
      </w:r>
      <w:r w:rsidR="00220066" w:rsidRPr="00512474">
        <w:rPr>
          <w:rFonts w:eastAsiaTheme="majorEastAsia" w:cstheme="minorHAnsi"/>
          <w:bCs/>
          <w:sz w:val="24"/>
          <w:szCs w:val="24"/>
          <w:lang w:val="el-GR"/>
        </w:rPr>
        <w:t xml:space="preserve">). </w:t>
      </w:r>
      <w:r w:rsidR="00512474">
        <w:rPr>
          <w:rFonts w:eastAsiaTheme="majorEastAsia" w:cstheme="minorHAnsi"/>
          <w:bCs/>
          <w:sz w:val="24"/>
          <w:szCs w:val="24"/>
          <w:lang w:val="el-GR"/>
        </w:rPr>
        <w:t>Η</w:t>
      </w:r>
      <w:r w:rsidR="00512474" w:rsidRPr="00512474">
        <w:rPr>
          <w:rFonts w:eastAsiaTheme="majorEastAsia" w:cstheme="minorHAnsi"/>
          <w:bCs/>
          <w:sz w:val="24"/>
          <w:szCs w:val="24"/>
          <w:lang w:val="el-GR"/>
        </w:rPr>
        <w:t xml:space="preserve"> </w:t>
      </w:r>
      <w:r w:rsidR="00512474">
        <w:rPr>
          <w:rFonts w:eastAsiaTheme="majorEastAsia" w:cstheme="minorHAnsi"/>
          <w:bCs/>
          <w:sz w:val="24"/>
          <w:szCs w:val="24"/>
          <w:lang w:val="el-GR"/>
        </w:rPr>
        <w:t>ίδια</w:t>
      </w:r>
      <w:r w:rsidR="00512474" w:rsidRPr="00512474">
        <w:rPr>
          <w:rFonts w:eastAsiaTheme="majorEastAsia" w:cstheme="minorHAnsi"/>
          <w:bCs/>
          <w:sz w:val="24"/>
          <w:szCs w:val="24"/>
          <w:lang w:val="el-GR"/>
        </w:rPr>
        <w:t xml:space="preserve"> </w:t>
      </w:r>
      <w:r w:rsidR="00512474">
        <w:rPr>
          <w:rFonts w:eastAsiaTheme="majorEastAsia" w:cstheme="minorHAnsi"/>
          <w:bCs/>
          <w:sz w:val="24"/>
          <w:szCs w:val="24"/>
          <w:lang w:val="el-GR"/>
        </w:rPr>
        <w:t>έκθεση</w:t>
      </w:r>
      <w:r w:rsidR="00512474" w:rsidRPr="00512474">
        <w:rPr>
          <w:rFonts w:eastAsiaTheme="majorEastAsia" w:cstheme="minorHAnsi"/>
          <w:bCs/>
          <w:sz w:val="24"/>
          <w:szCs w:val="24"/>
          <w:lang w:val="el-GR"/>
        </w:rPr>
        <w:t xml:space="preserve"> </w:t>
      </w:r>
      <w:r w:rsidR="00512474">
        <w:rPr>
          <w:rFonts w:eastAsiaTheme="majorEastAsia" w:cstheme="minorHAnsi"/>
          <w:bCs/>
          <w:sz w:val="24"/>
          <w:szCs w:val="24"/>
          <w:lang w:val="el-GR"/>
        </w:rPr>
        <w:t>δείχνει</w:t>
      </w:r>
      <w:r w:rsidR="00512474" w:rsidRPr="00512474">
        <w:rPr>
          <w:rFonts w:eastAsiaTheme="majorEastAsia" w:cstheme="minorHAnsi"/>
          <w:bCs/>
          <w:sz w:val="24"/>
          <w:szCs w:val="24"/>
          <w:lang w:val="el-GR"/>
        </w:rPr>
        <w:t xml:space="preserve"> </w:t>
      </w:r>
      <w:r w:rsidR="00512474">
        <w:rPr>
          <w:rFonts w:eastAsiaTheme="majorEastAsia" w:cstheme="minorHAnsi"/>
          <w:bCs/>
          <w:sz w:val="24"/>
          <w:szCs w:val="24"/>
          <w:lang w:val="el-GR"/>
        </w:rPr>
        <w:t>επίσης</w:t>
      </w:r>
      <w:r w:rsidR="00512474" w:rsidRPr="00512474">
        <w:rPr>
          <w:rFonts w:eastAsiaTheme="majorEastAsia" w:cstheme="minorHAnsi"/>
          <w:bCs/>
          <w:sz w:val="24"/>
          <w:szCs w:val="24"/>
          <w:lang w:val="el-GR"/>
        </w:rPr>
        <w:t xml:space="preserve"> </w:t>
      </w:r>
      <w:r w:rsidR="00512474">
        <w:rPr>
          <w:rFonts w:eastAsiaTheme="majorEastAsia" w:cstheme="minorHAnsi"/>
          <w:bCs/>
          <w:sz w:val="24"/>
          <w:szCs w:val="24"/>
          <w:lang w:val="el-GR"/>
        </w:rPr>
        <w:t>ότι</w:t>
      </w:r>
      <w:r w:rsidR="00512474" w:rsidRPr="00512474">
        <w:rPr>
          <w:rFonts w:eastAsiaTheme="majorEastAsia" w:cstheme="minorHAnsi"/>
          <w:bCs/>
          <w:sz w:val="24"/>
          <w:szCs w:val="24"/>
          <w:lang w:val="el-GR"/>
        </w:rPr>
        <w:t xml:space="preserve"> </w:t>
      </w:r>
      <w:r w:rsidR="00512474">
        <w:rPr>
          <w:rFonts w:eastAsiaTheme="majorEastAsia" w:cstheme="minorHAnsi"/>
          <w:bCs/>
          <w:sz w:val="24"/>
          <w:szCs w:val="24"/>
          <w:lang w:val="el-GR"/>
        </w:rPr>
        <w:t>το</w:t>
      </w:r>
      <w:r w:rsidR="00512474" w:rsidRPr="00512474">
        <w:rPr>
          <w:rFonts w:eastAsiaTheme="majorEastAsia" w:cstheme="minorHAnsi"/>
          <w:bCs/>
          <w:sz w:val="24"/>
          <w:szCs w:val="24"/>
          <w:lang w:val="el-GR"/>
        </w:rPr>
        <w:t xml:space="preserve"> </w:t>
      </w:r>
      <w:r w:rsidR="00512474">
        <w:rPr>
          <w:rFonts w:eastAsiaTheme="majorEastAsia" w:cstheme="minorHAnsi"/>
          <w:bCs/>
          <w:sz w:val="24"/>
          <w:szCs w:val="24"/>
          <w:lang w:val="el-GR"/>
        </w:rPr>
        <w:t>επίπεδο</w:t>
      </w:r>
      <w:r w:rsidR="00512474" w:rsidRPr="00512474">
        <w:rPr>
          <w:rFonts w:eastAsiaTheme="majorEastAsia" w:cstheme="minorHAnsi"/>
          <w:bCs/>
          <w:sz w:val="24"/>
          <w:szCs w:val="24"/>
          <w:lang w:val="el-GR"/>
        </w:rPr>
        <w:t xml:space="preserve"> </w:t>
      </w:r>
      <w:r w:rsidR="00512474">
        <w:rPr>
          <w:rFonts w:eastAsiaTheme="majorEastAsia" w:cstheme="minorHAnsi"/>
          <w:bCs/>
          <w:sz w:val="24"/>
          <w:szCs w:val="24"/>
          <w:lang w:val="el-GR"/>
        </w:rPr>
        <w:t>εμπιστοσύνης</w:t>
      </w:r>
      <w:r w:rsidR="00220066" w:rsidRPr="00512474">
        <w:rPr>
          <w:rFonts w:eastAsiaTheme="majorEastAsia" w:cstheme="minorHAnsi"/>
          <w:bCs/>
          <w:sz w:val="24"/>
          <w:szCs w:val="24"/>
          <w:lang w:val="el-GR"/>
        </w:rPr>
        <w:t xml:space="preserve"> </w:t>
      </w:r>
      <w:r w:rsidR="00512474">
        <w:rPr>
          <w:rFonts w:eastAsiaTheme="majorEastAsia" w:cstheme="minorHAnsi"/>
          <w:bCs/>
          <w:sz w:val="24"/>
          <w:szCs w:val="24"/>
          <w:lang w:val="el-GR"/>
        </w:rPr>
        <w:t>έχει</w:t>
      </w:r>
      <w:r w:rsidR="00512474" w:rsidRPr="00512474">
        <w:rPr>
          <w:rFonts w:eastAsiaTheme="majorEastAsia" w:cstheme="minorHAnsi"/>
          <w:bCs/>
          <w:sz w:val="24"/>
          <w:szCs w:val="24"/>
          <w:lang w:val="el-GR"/>
        </w:rPr>
        <w:t xml:space="preserve"> </w:t>
      </w:r>
      <w:r w:rsidR="00512474">
        <w:rPr>
          <w:rFonts w:eastAsiaTheme="majorEastAsia" w:cstheme="minorHAnsi"/>
          <w:bCs/>
          <w:sz w:val="24"/>
          <w:szCs w:val="24"/>
          <w:lang w:val="el-GR"/>
        </w:rPr>
        <w:t>χειροτερεύσει</w:t>
      </w:r>
      <w:r w:rsidR="00220066" w:rsidRPr="00512474">
        <w:rPr>
          <w:rFonts w:eastAsiaTheme="majorEastAsia" w:cstheme="minorHAnsi"/>
          <w:bCs/>
          <w:sz w:val="24"/>
          <w:szCs w:val="24"/>
          <w:lang w:val="el-GR"/>
        </w:rPr>
        <w:t xml:space="preserve"> </w:t>
      </w:r>
      <w:r w:rsidR="00BA4606">
        <w:rPr>
          <w:rFonts w:eastAsiaTheme="majorEastAsia" w:cstheme="minorHAnsi"/>
          <w:bCs/>
          <w:sz w:val="24"/>
          <w:szCs w:val="24"/>
          <w:lang w:val="el-GR"/>
        </w:rPr>
        <w:t xml:space="preserve">σε σύγκριση </w:t>
      </w:r>
      <w:r w:rsidR="00512474">
        <w:rPr>
          <w:rFonts w:eastAsiaTheme="majorEastAsia" w:cstheme="minorHAnsi"/>
          <w:bCs/>
          <w:sz w:val="24"/>
          <w:szCs w:val="24"/>
          <w:lang w:val="el-GR"/>
        </w:rPr>
        <w:t>με προηγούμενη έρευνα</w:t>
      </w:r>
      <w:r w:rsidR="00220066" w:rsidRPr="00512474">
        <w:rPr>
          <w:rFonts w:eastAsiaTheme="majorEastAsia" w:cstheme="minorHAnsi"/>
          <w:bCs/>
          <w:sz w:val="24"/>
          <w:szCs w:val="24"/>
          <w:lang w:val="el-GR"/>
        </w:rPr>
        <w:t xml:space="preserve"> (</w:t>
      </w:r>
      <w:r w:rsidR="00512474">
        <w:rPr>
          <w:rFonts w:eastAsiaTheme="majorEastAsia" w:cstheme="minorHAnsi"/>
          <w:bCs/>
          <w:sz w:val="24"/>
          <w:szCs w:val="24"/>
          <w:lang w:val="el-GR"/>
        </w:rPr>
        <w:t>μείωση κατά έξι βαθμούς</w:t>
      </w:r>
      <w:r w:rsidR="00220066" w:rsidRPr="00512474">
        <w:rPr>
          <w:rFonts w:eastAsiaTheme="majorEastAsia" w:cstheme="minorHAnsi"/>
          <w:bCs/>
          <w:sz w:val="24"/>
          <w:szCs w:val="24"/>
          <w:lang w:val="el-GR"/>
        </w:rPr>
        <w:t xml:space="preserve">). </w:t>
      </w:r>
    </w:p>
    <w:p w14:paraId="04C55EEF" w14:textId="77777777" w:rsidR="00CA1B66" w:rsidRPr="00512474" w:rsidRDefault="00CA1B66" w:rsidP="00CA1B66">
      <w:pPr>
        <w:tabs>
          <w:tab w:val="left" w:pos="709"/>
        </w:tabs>
        <w:rPr>
          <w:rFonts w:cstheme="minorHAnsi"/>
          <w:sz w:val="24"/>
          <w:szCs w:val="24"/>
          <w:lang w:val="el-GR"/>
        </w:rPr>
      </w:pPr>
    </w:p>
    <w:p w14:paraId="4B45D800" w14:textId="1519FE44" w:rsidR="00220066" w:rsidRPr="00DB0202" w:rsidRDefault="00512474" w:rsidP="00220066">
      <w:pPr>
        <w:numPr>
          <w:ilvl w:val="0"/>
          <w:numId w:val="1"/>
        </w:numPr>
        <w:tabs>
          <w:tab w:val="left" w:pos="709"/>
        </w:tabs>
        <w:ind w:left="0" w:firstLine="0"/>
        <w:rPr>
          <w:rFonts w:cstheme="minorHAnsi"/>
          <w:sz w:val="24"/>
          <w:szCs w:val="24"/>
          <w:lang w:val="el-GR"/>
        </w:rPr>
      </w:pPr>
      <w:r>
        <w:rPr>
          <w:rFonts w:cstheme="minorHAnsi"/>
          <w:sz w:val="24"/>
          <w:szCs w:val="24"/>
          <w:lang w:val="el-GR"/>
        </w:rPr>
        <w:t>Η</w:t>
      </w:r>
      <w:r w:rsidRPr="00512474">
        <w:rPr>
          <w:rFonts w:cstheme="minorHAnsi"/>
          <w:sz w:val="24"/>
          <w:szCs w:val="24"/>
          <w:lang w:val="el-GR"/>
        </w:rPr>
        <w:t xml:space="preserve"> </w:t>
      </w:r>
      <w:r w:rsidR="009C4E34">
        <w:rPr>
          <w:rFonts w:cstheme="minorHAnsi"/>
          <w:sz w:val="24"/>
          <w:szCs w:val="24"/>
          <w:lang w:val="el-GR"/>
        </w:rPr>
        <w:t>Αστυνομία</w:t>
      </w:r>
      <w:r w:rsidRPr="00512474">
        <w:rPr>
          <w:rFonts w:cstheme="minorHAnsi"/>
          <w:sz w:val="24"/>
          <w:szCs w:val="24"/>
          <w:lang w:val="el-GR"/>
        </w:rPr>
        <w:t xml:space="preserve"> </w:t>
      </w:r>
      <w:r>
        <w:rPr>
          <w:rFonts w:cstheme="minorHAnsi"/>
          <w:sz w:val="24"/>
          <w:szCs w:val="24"/>
          <w:lang w:val="el-GR"/>
        </w:rPr>
        <w:t>έχει</w:t>
      </w:r>
      <w:r w:rsidR="00220066" w:rsidRPr="00512474">
        <w:rPr>
          <w:rFonts w:cstheme="minorHAnsi"/>
          <w:sz w:val="24"/>
          <w:szCs w:val="24"/>
          <w:lang w:val="el-GR"/>
        </w:rPr>
        <w:t xml:space="preserve"> </w:t>
      </w:r>
      <w:r>
        <w:rPr>
          <w:rFonts w:cstheme="minorHAnsi"/>
          <w:sz w:val="24"/>
          <w:szCs w:val="24"/>
          <w:lang w:val="el-GR"/>
        </w:rPr>
        <w:t>αναθέσει</w:t>
      </w:r>
      <w:r w:rsidRPr="00512474">
        <w:rPr>
          <w:rFonts w:cstheme="minorHAnsi"/>
          <w:sz w:val="24"/>
          <w:szCs w:val="24"/>
          <w:lang w:val="el-GR"/>
        </w:rPr>
        <w:t xml:space="preserve"> </w:t>
      </w:r>
      <w:r>
        <w:rPr>
          <w:rFonts w:cstheme="minorHAnsi"/>
          <w:sz w:val="24"/>
          <w:szCs w:val="24"/>
          <w:lang w:val="el-GR"/>
        </w:rPr>
        <w:t>μερικές</w:t>
      </w:r>
      <w:r w:rsidRPr="00512474">
        <w:rPr>
          <w:rFonts w:cstheme="minorHAnsi"/>
          <w:sz w:val="24"/>
          <w:szCs w:val="24"/>
          <w:lang w:val="el-GR"/>
        </w:rPr>
        <w:t xml:space="preserve"> </w:t>
      </w:r>
      <w:r>
        <w:rPr>
          <w:rFonts w:cstheme="minorHAnsi"/>
          <w:sz w:val="24"/>
          <w:szCs w:val="24"/>
          <w:lang w:val="el-GR"/>
        </w:rPr>
        <w:t>μελέτες</w:t>
      </w:r>
      <w:r w:rsidRPr="00512474">
        <w:rPr>
          <w:rFonts w:cstheme="minorHAnsi"/>
          <w:sz w:val="24"/>
          <w:szCs w:val="24"/>
          <w:lang w:val="el-GR"/>
        </w:rPr>
        <w:t xml:space="preserve"> </w:t>
      </w:r>
      <w:r>
        <w:rPr>
          <w:rFonts w:cstheme="minorHAnsi"/>
          <w:sz w:val="24"/>
          <w:szCs w:val="24"/>
          <w:lang w:val="el-GR"/>
        </w:rPr>
        <w:t>που</w:t>
      </w:r>
      <w:r w:rsidRPr="00512474">
        <w:rPr>
          <w:rFonts w:cstheme="minorHAnsi"/>
          <w:sz w:val="24"/>
          <w:szCs w:val="24"/>
          <w:lang w:val="el-GR"/>
        </w:rPr>
        <w:t xml:space="preserve"> </w:t>
      </w:r>
      <w:r>
        <w:rPr>
          <w:rFonts w:cstheme="minorHAnsi"/>
          <w:sz w:val="24"/>
          <w:szCs w:val="24"/>
          <w:lang w:val="el-GR"/>
        </w:rPr>
        <w:t>αφορούν</w:t>
      </w:r>
      <w:r w:rsidRPr="00512474">
        <w:rPr>
          <w:rFonts w:cstheme="minorHAnsi"/>
          <w:sz w:val="24"/>
          <w:szCs w:val="24"/>
          <w:lang w:val="el-GR"/>
        </w:rPr>
        <w:t xml:space="preserve"> </w:t>
      </w:r>
      <w:r>
        <w:rPr>
          <w:rFonts w:cstheme="minorHAnsi"/>
          <w:sz w:val="24"/>
          <w:szCs w:val="24"/>
          <w:lang w:val="el-GR"/>
        </w:rPr>
        <w:t>την</w:t>
      </w:r>
      <w:r w:rsidRPr="00512474">
        <w:rPr>
          <w:rFonts w:cstheme="minorHAnsi"/>
          <w:sz w:val="24"/>
          <w:szCs w:val="24"/>
          <w:lang w:val="el-GR"/>
        </w:rPr>
        <w:t xml:space="preserve"> </w:t>
      </w:r>
      <w:r>
        <w:rPr>
          <w:rFonts w:cstheme="minorHAnsi"/>
          <w:sz w:val="24"/>
          <w:szCs w:val="24"/>
          <w:lang w:val="el-GR"/>
        </w:rPr>
        <w:t>δημόσια</w:t>
      </w:r>
      <w:r w:rsidRPr="00512474">
        <w:rPr>
          <w:rFonts w:cstheme="minorHAnsi"/>
          <w:sz w:val="24"/>
          <w:szCs w:val="24"/>
          <w:lang w:val="el-GR"/>
        </w:rPr>
        <w:t xml:space="preserve"> </w:t>
      </w:r>
      <w:r>
        <w:rPr>
          <w:rFonts w:cstheme="minorHAnsi"/>
          <w:sz w:val="24"/>
          <w:szCs w:val="24"/>
          <w:lang w:val="el-GR"/>
        </w:rPr>
        <w:t>εικόνα</w:t>
      </w:r>
      <w:r w:rsidRPr="00512474">
        <w:rPr>
          <w:rFonts w:cstheme="minorHAnsi"/>
          <w:sz w:val="24"/>
          <w:szCs w:val="24"/>
          <w:lang w:val="el-GR"/>
        </w:rPr>
        <w:t xml:space="preserve"> </w:t>
      </w:r>
      <w:r>
        <w:rPr>
          <w:rFonts w:cstheme="minorHAnsi"/>
          <w:sz w:val="24"/>
          <w:szCs w:val="24"/>
          <w:lang w:val="el-GR"/>
        </w:rPr>
        <w:t>της</w:t>
      </w:r>
      <w:r w:rsidR="00220066" w:rsidRPr="00512474">
        <w:rPr>
          <w:rFonts w:cstheme="minorHAnsi"/>
          <w:sz w:val="24"/>
          <w:szCs w:val="24"/>
          <w:lang w:val="el-GR"/>
        </w:rPr>
        <w:t xml:space="preserve"> </w:t>
      </w:r>
      <w:r>
        <w:rPr>
          <w:rFonts w:cstheme="minorHAnsi"/>
          <w:sz w:val="24"/>
          <w:szCs w:val="24"/>
          <w:lang w:val="el-GR"/>
        </w:rPr>
        <w:t>και</w:t>
      </w:r>
      <w:r w:rsidRPr="00512474">
        <w:rPr>
          <w:rFonts w:cstheme="minorHAnsi"/>
          <w:sz w:val="24"/>
          <w:szCs w:val="24"/>
          <w:lang w:val="el-GR"/>
        </w:rPr>
        <w:t xml:space="preserve"> </w:t>
      </w:r>
      <w:r>
        <w:rPr>
          <w:rFonts w:cstheme="minorHAnsi"/>
          <w:sz w:val="24"/>
          <w:szCs w:val="24"/>
          <w:lang w:val="el-GR"/>
        </w:rPr>
        <w:t>την</w:t>
      </w:r>
      <w:r w:rsidRPr="00512474">
        <w:rPr>
          <w:rFonts w:cstheme="minorHAnsi"/>
          <w:sz w:val="24"/>
          <w:szCs w:val="24"/>
          <w:lang w:val="el-GR"/>
        </w:rPr>
        <w:t xml:space="preserve"> </w:t>
      </w:r>
      <w:r>
        <w:rPr>
          <w:rFonts w:cstheme="minorHAnsi"/>
          <w:sz w:val="24"/>
          <w:szCs w:val="24"/>
          <w:lang w:val="el-GR"/>
        </w:rPr>
        <w:t>ικανοποίηση του κοινού</w:t>
      </w:r>
      <w:r w:rsidR="00220066" w:rsidRPr="00512474">
        <w:rPr>
          <w:rFonts w:cstheme="minorHAnsi"/>
          <w:sz w:val="24"/>
          <w:szCs w:val="24"/>
          <w:lang w:val="el-GR"/>
        </w:rPr>
        <w:t xml:space="preserve"> </w:t>
      </w:r>
      <w:r>
        <w:rPr>
          <w:rFonts w:cstheme="minorHAnsi"/>
          <w:sz w:val="24"/>
          <w:szCs w:val="24"/>
          <w:lang w:val="el-GR"/>
        </w:rPr>
        <w:t xml:space="preserve">με τις υπηρεσίες που παρέχονται από την </w:t>
      </w:r>
      <w:r w:rsidR="009C4E34">
        <w:rPr>
          <w:rFonts w:cstheme="minorHAnsi"/>
          <w:sz w:val="24"/>
          <w:szCs w:val="24"/>
          <w:lang w:val="el-GR"/>
        </w:rPr>
        <w:t>Αστυνομία</w:t>
      </w:r>
      <w:r w:rsidR="00220066" w:rsidRPr="00512474">
        <w:rPr>
          <w:rFonts w:cstheme="minorHAnsi"/>
          <w:sz w:val="24"/>
          <w:szCs w:val="24"/>
          <w:lang w:val="el-GR"/>
        </w:rPr>
        <w:t xml:space="preserve">, </w:t>
      </w:r>
      <w:r>
        <w:rPr>
          <w:rFonts w:cstheme="minorHAnsi"/>
          <w:sz w:val="24"/>
          <w:szCs w:val="24"/>
          <w:lang w:val="el-GR"/>
        </w:rPr>
        <w:t xml:space="preserve">στις οποίες συμπεριλήφθηκε το ζήτημα της </w:t>
      </w:r>
      <w:r w:rsidR="00C9244D">
        <w:rPr>
          <w:rFonts w:cstheme="minorHAnsi"/>
          <w:sz w:val="24"/>
          <w:szCs w:val="24"/>
          <w:lang w:val="el-GR"/>
        </w:rPr>
        <w:t>εμπιστοσύνης</w:t>
      </w:r>
      <w:r>
        <w:rPr>
          <w:rFonts w:cstheme="minorHAnsi"/>
          <w:sz w:val="24"/>
          <w:szCs w:val="24"/>
          <w:lang w:val="el-GR"/>
        </w:rPr>
        <w:t xml:space="preserve"> του πολίτη</w:t>
      </w:r>
      <w:r w:rsidR="00220066" w:rsidRPr="00512474">
        <w:rPr>
          <w:rFonts w:cstheme="minorHAnsi"/>
          <w:sz w:val="24"/>
          <w:szCs w:val="24"/>
          <w:lang w:val="el-GR"/>
        </w:rPr>
        <w:t xml:space="preserve">. </w:t>
      </w:r>
      <w:r>
        <w:rPr>
          <w:rFonts w:cstheme="minorHAnsi"/>
          <w:sz w:val="24"/>
          <w:szCs w:val="24"/>
          <w:lang w:val="el-GR"/>
        </w:rPr>
        <w:t>Μια</w:t>
      </w:r>
      <w:r w:rsidRPr="00512474">
        <w:rPr>
          <w:rFonts w:cstheme="minorHAnsi"/>
          <w:sz w:val="24"/>
          <w:szCs w:val="24"/>
          <w:lang w:val="el-GR"/>
        </w:rPr>
        <w:t xml:space="preserve"> </w:t>
      </w:r>
      <w:r>
        <w:rPr>
          <w:rFonts w:cstheme="minorHAnsi"/>
          <w:sz w:val="24"/>
          <w:szCs w:val="24"/>
          <w:lang w:val="el-GR"/>
        </w:rPr>
        <w:t>έρευνα</w:t>
      </w:r>
      <w:r w:rsidRPr="00512474">
        <w:rPr>
          <w:rFonts w:cstheme="minorHAnsi"/>
          <w:sz w:val="24"/>
          <w:szCs w:val="24"/>
          <w:lang w:val="el-GR"/>
        </w:rPr>
        <w:t xml:space="preserve"> </w:t>
      </w:r>
      <w:r>
        <w:rPr>
          <w:rFonts w:cstheme="minorHAnsi"/>
          <w:sz w:val="24"/>
          <w:szCs w:val="24"/>
          <w:lang w:val="el-GR"/>
        </w:rPr>
        <w:t>διεξάχθηκε</w:t>
      </w:r>
      <w:r w:rsidRPr="00512474">
        <w:rPr>
          <w:rFonts w:cstheme="minorHAnsi"/>
          <w:sz w:val="24"/>
          <w:szCs w:val="24"/>
          <w:lang w:val="el-GR"/>
        </w:rPr>
        <w:t xml:space="preserve"> </w:t>
      </w:r>
      <w:r>
        <w:rPr>
          <w:rFonts w:cstheme="minorHAnsi"/>
          <w:sz w:val="24"/>
          <w:szCs w:val="24"/>
          <w:lang w:val="el-GR"/>
        </w:rPr>
        <w:t>τον</w:t>
      </w:r>
      <w:r w:rsidRPr="00512474">
        <w:rPr>
          <w:rFonts w:cstheme="minorHAnsi"/>
          <w:sz w:val="24"/>
          <w:szCs w:val="24"/>
          <w:lang w:val="el-GR"/>
        </w:rPr>
        <w:t xml:space="preserve"> </w:t>
      </w:r>
      <w:r>
        <w:rPr>
          <w:rFonts w:cstheme="minorHAnsi"/>
          <w:sz w:val="24"/>
          <w:szCs w:val="24"/>
          <w:lang w:val="el-GR"/>
        </w:rPr>
        <w:t>Οκτώβριο</w:t>
      </w:r>
      <w:r w:rsidRPr="00512474">
        <w:rPr>
          <w:rFonts w:cstheme="minorHAnsi"/>
          <w:sz w:val="24"/>
          <w:szCs w:val="24"/>
          <w:lang w:val="el-GR"/>
        </w:rPr>
        <w:t xml:space="preserve"> – </w:t>
      </w:r>
      <w:r>
        <w:rPr>
          <w:rFonts w:cstheme="minorHAnsi"/>
          <w:sz w:val="24"/>
          <w:szCs w:val="24"/>
          <w:lang w:val="el-GR"/>
        </w:rPr>
        <w:t>Νοέμβριο</w:t>
      </w:r>
      <w:r w:rsidRPr="00512474">
        <w:rPr>
          <w:rFonts w:cstheme="minorHAnsi"/>
          <w:sz w:val="24"/>
          <w:szCs w:val="24"/>
          <w:lang w:val="el-GR"/>
        </w:rPr>
        <w:t xml:space="preserve"> </w:t>
      </w:r>
      <w:r>
        <w:rPr>
          <w:rFonts w:cstheme="minorHAnsi"/>
          <w:sz w:val="24"/>
          <w:szCs w:val="24"/>
          <w:lang w:val="el-GR"/>
        </w:rPr>
        <w:t>του</w:t>
      </w:r>
      <w:r w:rsidR="00492380" w:rsidRPr="00512474">
        <w:rPr>
          <w:rFonts w:cstheme="minorHAnsi"/>
          <w:sz w:val="24"/>
          <w:szCs w:val="24"/>
          <w:lang w:val="el-GR"/>
        </w:rPr>
        <w:t xml:space="preserve"> 2019</w:t>
      </w:r>
      <w:r w:rsidR="00220066" w:rsidRPr="00512474">
        <w:rPr>
          <w:rFonts w:cstheme="minorHAnsi"/>
          <w:sz w:val="24"/>
          <w:szCs w:val="24"/>
          <w:lang w:val="el-GR"/>
        </w:rPr>
        <w:t xml:space="preserve"> </w:t>
      </w:r>
      <w:r>
        <w:rPr>
          <w:rFonts w:cstheme="minorHAnsi"/>
          <w:sz w:val="24"/>
          <w:szCs w:val="24"/>
          <w:lang w:val="el-GR"/>
        </w:rPr>
        <w:t>για</w:t>
      </w:r>
      <w:r w:rsidRPr="00512474">
        <w:rPr>
          <w:rFonts w:cstheme="minorHAnsi"/>
          <w:sz w:val="24"/>
          <w:szCs w:val="24"/>
          <w:lang w:val="el-GR"/>
        </w:rPr>
        <w:t xml:space="preserve"> </w:t>
      </w:r>
      <w:r>
        <w:rPr>
          <w:rFonts w:cstheme="minorHAnsi"/>
          <w:sz w:val="24"/>
          <w:szCs w:val="24"/>
          <w:lang w:val="el-GR"/>
        </w:rPr>
        <w:t>τις</w:t>
      </w:r>
      <w:r w:rsidRPr="00512474">
        <w:rPr>
          <w:rFonts w:cstheme="minorHAnsi"/>
          <w:sz w:val="24"/>
          <w:szCs w:val="24"/>
          <w:lang w:val="el-GR"/>
        </w:rPr>
        <w:t xml:space="preserve"> </w:t>
      </w:r>
      <w:r>
        <w:rPr>
          <w:rFonts w:cstheme="minorHAnsi"/>
          <w:sz w:val="24"/>
          <w:szCs w:val="24"/>
          <w:lang w:val="el-GR"/>
        </w:rPr>
        <w:t xml:space="preserve">αντιλήψεις του κοινού που αφορούν την </w:t>
      </w:r>
      <w:r w:rsidR="009C4E34">
        <w:rPr>
          <w:rFonts w:cstheme="minorHAnsi"/>
          <w:sz w:val="24"/>
          <w:szCs w:val="24"/>
          <w:lang w:val="el-GR"/>
        </w:rPr>
        <w:t>Αστυνομία</w:t>
      </w:r>
      <w:r>
        <w:rPr>
          <w:rFonts w:cstheme="minorHAnsi"/>
          <w:sz w:val="24"/>
          <w:szCs w:val="24"/>
          <w:lang w:val="el-GR"/>
        </w:rPr>
        <w:t xml:space="preserve"> και άλλα δημόσια όργανα</w:t>
      </w:r>
      <w:r w:rsidR="00220066" w:rsidRPr="00512474">
        <w:rPr>
          <w:rFonts w:cstheme="minorHAnsi"/>
          <w:sz w:val="24"/>
          <w:szCs w:val="24"/>
          <w:lang w:val="el-GR"/>
        </w:rPr>
        <w:t xml:space="preserve">. </w:t>
      </w:r>
      <w:r>
        <w:rPr>
          <w:rFonts w:cstheme="minorHAnsi"/>
          <w:sz w:val="24"/>
          <w:szCs w:val="24"/>
          <w:lang w:val="el-GR"/>
        </w:rPr>
        <w:t>Με</w:t>
      </w:r>
      <w:r w:rsidRPr="00512474">
        <w:rPr>
          <w:rFonts w:cstheme="minorHAnsi"/>
          <w:sz w:val="24"/>
          <w:szCs w:val="24"/>
          <w:lang w:val="el-GR"/>
        </w:rPr>
        <w:t xml:space="preserve"> </w:t>
      </w:r>
      <w:r>
        <w:rPr>
          <w:rFonts w:cstheme="minorHAnsi"/>
          <w:sz w:val="24"/>
          <w:szCs w:val="24"/>
          <w:lang w:val="el-GR"/>
        </w:rPr>
        <w:t>ιδιαίτερη</w:t>
      </w:r>
      <w:r w:rsidRPr="00512474">
        <w:rPr>
          <w:rFonts w:cstheme="minorHAnsi"/>
          <w:sz w:val="24"/>
          <w:szCs w:val="24"/>
          <w:lang w:val="el-GR"/>
        </w:rPr>
        <w:t xml:space="preserve"> </w:t>
      </w:r>
      <w:r>
        <w:rPr>
          <w:rFonts w:cstheme="minorHAnsi"/>
          <w:sz w:val="24"/>
          <w:szCs w:val="24"/>
          <w:lang w:val="el-GR"/>
        </w:rPr>
        <w:t>αναφορά</w:t>
      </w:r>
      <w:r w:rsidRPr="00512474">
        <w:rPr>
          <w:rFonts w:cstheme="minorHAnsi"/>
          <w:sz w:val="24"/>
          <w:szCs w:val="24"/>
          <w:lang w:val="el-GR"/>
        </w:rPr>
        <w:t xml:space="preserve"> </w:t>
      </w:r>
      <w:r>
        <w:rPr>
          <w:rFonts w:cstheme="minorHAnsi"/>
          <w:sz w:val="24"/>
          <w:szCs w:val="24"/>
          <w:lang w:val="el-GR"/>
        </w:rPr>
        <w:t>στην</w:t>
      </w:r>
      <w:r w:rsidRPr="00512474">
        <w:rPr>
          <w:rFonts w:cstheme="minorHAnsi"/>
          <w:sz w:val="24"/>
          <w:szCs w:val="24"/>
          <w:lang w:val="el-GR"/>
        </w:rPr>
        <w:t xml:space="preserve"> </w:t>
      </w:r>
      <w:r>
        <w:rPr>
          <w:rFonts w:cstheme="minorHAnsi"/>
          <w:sz w:val="24"/>
          <w:szCs w:val="24"/>
          <w:lang w:val="el-GR"/>
        </w:rPr>
        <w:t>γενική</w:t>
      </w:r>
      <w:r w:rsidRPr="00512474">
        <w:rPr>
          <w:rFonts w:cstheme="minorHAnsi"/>
          <w:sz w:val="24"/>
          <w:szCs w:val="24"/>
          <w:lang w:val="el-GR"/>
        </w:rPr>
        <w:t xml:space="preserve"> </w:t>
      </w:r>
      <w:r>
        <w:rPr>
          <w:rFonts w:cstheme="minorHAnsi"/>
          <w:sz w:val="24"/>
          <w:szCs w:val="24"/>
          <w:lang w:val="el-GR"/>
        </w:rPr>
        <w:t>εικόνα</w:t>
      </w:r>
      <w:r w:rsidRPr="00512474">
        <w:rPr>
          <w:rFonts w:cstheme="minorHAnsi"/>
          <w:sz w:val="24"/>
          <w:szCs w:val="24"/>
          <w:lang w:val="el-GR"/>
        </w:rPr>
        <w:t xml:space="preserve"> </w:t>
      </w:r>
      <w:r>
        <w:rPr>
          <w:rFonts w:cstheme="minorHAnsi"/>
          <w:sz w:val="24"/>
          <w:szCs w:val="24"/>
          <w:lang w:val="el-GR"/>
        </w:rPr>
        <w:t>της</w:t>
      </w:r>
      <w:r w:rsidRPr="00512474">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492380" w:rsidRPr="00512474">
        <w:rPr>
          <w:rFonts w:cstheme="minorHAnsi"/>
          <w:sz w:val="24"/>
          <w:szCs w:val="24"/>
          <w:lang w:val="el-GR"/>
        </w:rPr>
        <w:t>,</w:t>
      </w:r>
      <w:r w:rsidR="00220066" w:rsidRPr="00512474">
        <w:rPr>
          <w:rFonts w:cstheme="minorHAnsi"/>
          <w:sz w:val="24"/>
          <w:szCs w:val="24"/>
          <w:lang w:val="el-GR"/>
        </w:rPr>
        <w:t xml:space="preserve"> 57.2% </w:t>
      </w:r>
      <w:r>
        <w:rPr>
          <w:rFonts w:cstheme="minorHAnsi"/>
          <w:sz w:val="24"/>
          <w:szCs w:val="24"/>
          <w:lang w:val="el-GR"/>
        </w:rPr>
        <w:t>έχει μια θετική εικόνα</w:t>
      </w:r>
      <w:r w:rsidR="00220066" w:rsidRPr="00512474">
        <w:rPr>
          <w:rFonts w:cstheme="minorHAnsi"/>
          <w:sz w:val="24"/>
          <w:szCs w:val="24"/>
          <w:lang w:val="el-GR"/>
        </w:rPr>
        <w:t xml:space="preserve">. </w:t>
      </w:r>
      <w:r>
        <w:rPr>
          <w:rFonts w:cstheme="minorHAnsi"/>
          <w:sz w:val="24"/>
          <w:szCs w:val="24"/>
          <w:lang w:val="el-GR"/>
        </w:rPr>
        <w:t>Σε</w:t>
      </w:r>
      <w:r w:rsidRPr="00512474">
        <w:rPr>
          <w:rFonts w:cstheme="minorHAnsi"/>
          <w:sz w:val="24"/>
          <w:szCs w:val="24"/>
          <w:lang w:val="el-GR"/>
        </w:rPr>
        <w:t xml:space="preserve"> </w:t>
      </w:r>
      <w:r>
        <w:rPr>
          <w:rFonts w:cstheme="minorHAnsi"/>
          <w:sz w:val="24"/>
          <w:szCs w:val="24"/>
          <w:lang w:val="el-GR"/>
        </w:rPr>
        <w:t>σχέση</w:t>
      </w:r>
      <w:r w:rsidRPr="00512474">
        <w:rPr>
          <w:rFonts w:cstheme="minorHAnsi"/>
          <w:sz w:val="24"/>
          <w:szCs w:val="24"/>
          <w:lang w:val="el-GR"/>
        </w:rPr>
        <w:t xml:space="preserve"> </w:t>
      </w:r>
      <w:r>
        <w:rPr>
          <w:rFonts w:cstheme="minorHAnsi"/>
          <w:sz w:val="24"/>
          <w:szCs w:val="24"/>
          <w:lang w:val="el-GR"/>
        </w:rPr>
        <w:t>με</w:t>
      </w:r>
      <w:r w:rsidRPr="00512474">
        <w:rPr>
          <w:rFonts w:cstheme="minorHAnsi"/>
          <w:sz w:val="24"/>
          <w:szCs w:val="24"/>
          <w:lang w:val="el-GR"/>
        </w:rPr>
        <w:t xml:space="preserve"> </w:t>
      </w:r>
      <w:r>
        <w:rPr>
          <w:rFonts w:cstheme="minorHAnsi"/>
          <w:sz w:val="24"/>
          <w:szCs w:val="24"/>
          <w:lang w:val="el-GR"/>
        </w:rPr>
        <w:t>άλλες</w:t>
      </w:r>
      <w:r w:rsidRPr="00512474">
        <w:rPr>
          <w:rFonts w:cstheme="minorHAnsi"/>
          <w:sz w:val="24"/>
          <w:szCs w:val="24"/>
          <w:lang w:val="el-GR"/>
        </w:rPr>
        <w:t xml:space="preserve"> </w:t>
      </w:r>
      <w:proofErr w:type="spellStart"/>
      <w:r>
        <w:rPr>
          <w:rFonts w:cstheme="minorHAnsi"/>
          <w:sz w:val="24"/>
          <w:szCs w:val="24"/>
          <w:lang w:val="el-GR"/>
        </w:rPr>
        <w:t>υπο</w:t>
      </w:r>
      <w:proofErr w:type="spellEnd"/>
      <w:r w:rsidRPr="00512474">
        <w:rPr>
          <w:rFonts w:cstheme="minorHAnsi"/>
          <w:sz w:val="24"/>
          <w:szCs w:val="24"/>
          <w:lang w:val="el-GR"/>
        </w:rPr>
        <w:t>-</w:t>
      </w:r>
      <w:r>
        <w:rPr>
          <w:rFonts w:cstheme="minorHAnsi"/>
          <w:sz w:val="24"/>
          <w:szCs w:val="24"/>
          <w:lang w:val="el-GR"/>
        </w:rPr>
        <w:t>κατηγορίες</w:t>
      </w:r>
      <w:r w:rsidRPr="00512474">
        <w:rPr>
          <w:rFonts w:cstheme="minorHAnsi"/>
          <w:sz w:val="24"/>
          <w:szCs w:val="24"/>
          <w:lang w:val="el-GR"/>
        </w:rPr>
        <w:t xml:space="preserve"> </w:t>
      </w:r>
      <w:r>
        <w:rPr>
          <w:rFonts w:cstheme="minorHAnsi"/>
          <w:sz w:val="24"/>
          <w:szCs w:val="24"/>
          <w:lang w:val="el-GR"/>
        </w:rPr>
        <w:t>ερωτήσεων</w:t>
      </w:r>
      <w:r w:rsidR="00220066" w:rsidRPr="00512474">
        <w:rPr>
          <w:rFonts w:cstheme="minorHAnsi"/>
          <w:sz w:val="24"/>
          <w:szCs w:val="24"/>
          <w:lang w:val="el-GR"/>
        </w:rPr>
        <w:t xml:space="preserve">, </w:t>
      </w:r>
      <w:r>
        <w:rPr>
          <w:rFonts w:cstheme="minorHAnsi"/>
          <w:sz w:val="24"/>
          <w:szCs w:val="24"/>
          <w:lang w:val="el-GR"/>
        </w:rPr>
        <w:t>διαφάνηκε</w:t>
      </w:r>
      <w:r w:rsidRPr="00512474">
        <w:rPr>
          <w:rFonts w:cstheme="minorHAnsi"/>
          <w:sz w:val="24"/>
          <w:szCs w:val="24"/>
          <w:lang w:val="el-GR"/>
        </w:rPr>
        <w:t xml:space="preserve"> </w:t>
      </w:r>
      <w:r>
        <w:rPr>
          <w:rFonts w:cstheme="minorHAnsi"/>
          <w:sz w:val="24"/>
          <w:szCs w:val="24"/>
          <w:lang w:val="el-GR"/>
        </w:rPr>
        <w:t>ότι</w:t>
      </w:r>
      <w:r w:rsidR="00220066" w:rsidRPr="00512474">
        <w:rPr>
          <w:rFonts w:cstheme="minorHAnsi"/>
          <w:sz w:val="24"/>
          <w:szCs w:val="24"/>
          <w:lang w:val="el-GR"/>
        </w:rPr>
        <w:t xml:space="preserve"> 54.4% </w:t>
      </w:r>
      <w:r>
        <w:rPr>
          <w:rFonts w:cstheme="minorHAnsi"/>
          <w:sz w:val="24"/>
          <w:szCs w:val="24"/>
          <w:lang w:val="el-GR"/>
        </w:rPr>
        <w:t xml:space="preserve">εμπιστεύεται την </w:t>
      </w:r>
      <w:r w:rsidR="009C4E34">
        <w:rPr>
          <w:rFonts w:cstheme="minorHAnsi"/>
          <w:sz w:val="24"/>
          <w:szCs w:val="24"/>
          <w:lang w:val="el-GR"/>
        </w:rPr>
        <w:t>Αστυνομία</w:t>
      </w:r>
      <w:r w:rsidR="00220066" w:rsidRPr="00512474">
        <w:rPr>
          <w:rFonts w:cstheme="minorHAnsi"/>
          <w:sz w:val="24"/>
          <w:szCs w:val="24"/>
          <w:lang w:val="el-GR"/>
        </w:rPr>
        <w:t xml:space="preserve"> </w:t>
      </w:r>
      <w:r>
        <w:rPr>
          <w:rFonts w:cstheme="minorHAnsi"/>
          <w:sz w:val="24"/>
          <w:szCs w:val="24"/>
          <w:lang w:val="el-GR"/>
        </w:rPr>
        <w:t>και</w:t>
      </w:r>
      <w:r w:rsidR="00220066" w:rsidRPr="00512474">
        <w:rPr>
          <w:rFonts w:cstheme="minorHAnsi"/>
          <w:sz w:val="24"/>
          <w:szCs w:val="24"/>
          <w:lang w:val="el-GR"/>
        </w:rPr>
        <w:t xml:space="preserve"> 88% </w:t>
      </w:r>
      <w:r>
        <w:rPr>
          <w:rFonts w:cstheme="minorHAnsi"/>
          <w:sz w:val="24"/>
          <w:szCs w:val="24"/>
          <w:lang w:val="el-GR"/>
        </w:rPr>
        <w:t>των πολιτών</w:t>
      </w:r>
      <w:r w:rsidR="00220066" w:rsidRPr="00512474">
        <w:rPr>
          <w:rFonts w:cstheme="minorHAnsi"/>
          <w:sz w:val="24"/>
          <w:szCs w:val="24"/>
          <w:lang w:val="el-GR"/>
        </w:rPr>
        <w:t xml:space="preserve"> </w:t>
      </w:r>
      <w:r w:rsidR="00DB0202">
        <w:rPr>
          <w:rFonts w:cstheme="minorHAnsi"/>
          <w:sz w:val="24"/>
          <w:szCs w:val="24"/>
          <w:lang w:val="el-GR"/>
        </w:rPr>
        <w:t>νιώθουν ασφαλισμένοι στην περιοχή κατοικίας τους</w:t>
      </w:r>
      <w:r w:rsidR="00220066" w:rsidRPr="00512474">
        <w:rPr>
          <w:rFonts w:cstheme="minorHAnsi"/>
          <w:sz w:val="24"/>
          <w:szCs w:val="24"/>
          <w:lang w:val="el-GR"/>
        </w:rPr>
        <w:t>.</w:t>
      </w:r>
      <w:r w:rsidR="00492380" w:rsidRPr="00512474">
        <w:rPr>
          <w:rFonts w:cstheme="minorHAnsi"/>
          <w:sz w:val="24"/>
          <w:szCs w:val="24"/>
          <w:lang w:val="el-GR"/>
        </w:rPr>
        <w:t xml:space="preserve"> </w:t>
      </w:r>
      <w:r w:rsidR="00DB0202">
        <w:rPr>
          <w:rFonts w:cstheme="minorHAnsi"/>
          <w:sz w:val="24"/>
          <w:szCs w:val="24"/>
          <w:lang w:val="el-GR"/>
        </w:rPr>
        <w:t>Μια</w:t>
      </w:r>
      <w:r w:rsidR="00DB0202" w:rsidRPr="00DB0202">
        <w:rPr>
          <w:rFonts w:cstheme="minorHAnsi"/>
          <w:sz w:val="24"/>
          <w:szCs w:val="24"/>
          <w:lang w:val="el-GR"/>
        </w:rPr>
        <w:t xml:space="preserve"> </w:t>
      </w:r>
      <w:r w:rsidR="00DB0202">
        <w:rPr>
          <w:rFonts w:cstheme="minorHAnsi"/>
          <w:sz w:val="24"/>
          <w:szCs w:val="24"/>
          <w:lang w:val="el-GR"/>
        </w:rPr>
        <w:t>πιο</w:t>
      </w:r>
      <w:r w:rsidR="00DB0202" w:rsidRPr="00DB0202">
        <w:rPr>
          <w:rFonts w:cstheme="minorHAnsi"/>
          <w:sz w:val="24"/>
          <w:szCs w:val="24"/>
          <w:lang w:val="el-GR"/>
        </w:rPr>
        <w:t xml:space="preserve"> </w:t>
      </w:r>
      <w:r w:rsidR="00DB0202">
        <w:rPr>
          <w:rFonts w:cstheme="minorHAnsi"/>
          <w:sz w:val="24"/>
          <w:szCs w:val="24"/>
          <w:lang w:val="el-GR"/>
        </w:rPr>
        <w:t>πρόσφατη</w:t>
      </w:r>
      <w:r w:rsidR="00DB0202" w:rsidRPr="00DB0202">
        <w:rPr>
          <w:rFonts w:cstheme="minorHAnsi"/>
          <w:sz w:val="24"/>
          <w:szCs w:val="24"/>
          <w:lang w:val="el-GR"/>
        </w:rPr>
        <w:t xml:space="preserve"> </w:t>
      </w:r>
      <w:r w:rsidR="00DB0202">
        <w:rPr>
          <w:rFonts w:cstheme="minorHAnsi"/>
          <w:sz w:val="24"/>
          <w:szCs w:val="24"/>
          <w:lang w:val="el-GR"/>
        </w:rPr>
        <w:t>μελέτη</w:t>
      </w:r>
      <w:r w:rsidR="00DB0202" w:rsidRPr="00DB0202">
        <w:rPr>
          <w:rFonts w:cstheme="minorHAnsi"/>
          <w:sz w:val="24"/>
          <w:szCs w:val="24"/>
          <w:lang w:val="el-GR"/>
        </w:rPr>
        <w:t xml:space="preserve"> </w:t>
      </w:r>
      <w:r w:rsidR="00DB0202">
        <w:rPr>
          <w:rFonts w:cstheme="minorHAnsi"/>
          <w:sz w:val="24"/>
          <w:szCs w:val="24"/>
          <w:lang w:val="el-GR"/>
        </w:rPr>
        <w:t>που</w:t>
      </w:r>
      <w:r w:rsidR="00DB0202" w:rsidRPr="00DB0202">
        <w:rPr>
          <w:rFonts w:cstheme="minorHAnsi"/>
          <w:sz w:val="24"/>
          <w:szCs w:val="24"/>
          <w:lang w:val="el-GR"/>
        </w:rPr>
        <w:t xml:space="preserve"> </w:t>
      </w:r>
      <w:r w:rsidR="00DB0202">
        <w:rPr>
          <w:rFonts w:cstheme="minorHAnsi"/>
          <w:sz w:val="24"/>
          <w:szCs w:val="24"/>
          <w:lang w:val="el-GR"/>
        </w:rPr>
        <w:t>διεξάχθηκε</w:t>
      </w:r>
      <w:r w:rsidR="00DB0202" w:rsidRPr="00DB0202">
        <w:rPr>
          <w:rFonts w:cstheme="minorHAnsi"/>
          <w:sz w:val="24"/>
          <w:szCs w:val="24"/>
          <w:lang w:val="el-GR"/>
        </w:rPr>
        <w:t xml:space="preserve"> </w:t>
      </w:r>
      <w:r w:rsidR="00DB0202">
        <w:rPr>
          <w:rFonts w:cstheme="minorHAnsi"/>
          <w:sz w:val="24"/>
          <w:szCs w:val="24"/>
          <w:lang w:val="el-GR"/>
        </w:rPr>
        <w:t>τον</w:t>
      </w:r>
      <w:r w:rsidR="00DB0202" w:rsidRPr="00DB0202">
        <w:rPr>
          <w:rFonts w:cstheme="minorHAnsi"/>
          <w:sz w:val="24"/>
          <w:szCs w:val="24"/>
          <w:lang w:val="el-GR"/>
        </w:rPr>
        <w:t xml:space="preserve"> </w:t>
      </w:r>
      <w:r w:rsidR="00DB0202">
        <w:rPr>
          <w:rFonts w:cstheme="minorHAnsi"/>
          <w:sz w:val="24"/>
          <w:szCs w:val="24"/>
          <w:lang w:val="el-GR"/>
        </w:rPr>
        <w:t>Ιούλιο του</w:t>
      </w:r>
      <w:r w:rsidR="00492380" w:rsidRPr="00DB0202">
        <w:rPr>
          <w:rFonts w:cstheme="minorHAnsi"/>
          <w:sz w:val="24"/>
          <w:szCs w:val="24"/>
          <w:lang w:val="el-GR"/>
        </w:rPr>
        <w:t xml:space="preserve"> 2022 </w:t>
      </w:r>
      <w:r w:rsidR="00DB0202">
        <w:rPr>
          <w:rFonts w:cstheme="minorHAnsi"/>
          <w:sz w:val="24"/>
          <w:szCs w:val="24"/>
          <w:lang w:val="el-GR"/>
        </w:rPr>
        <w:t>δείχνει ότι</w:t>
      </w:r>
      <w:r w:rsidR="00492380" w:rsidRPr="00DB0202">
        <w:rPr>
          <w:rFonts w:cstheme="minorHAnsi"/>
          <w:sz w:val="24"/>
          <w:szCs w:val="24"/>
          <w:lang w:val="el-GR"/>
        </w:rPr>
        <w:t xml:space="preserve"> 78% </w:t>
      </w:r>
      <w:r w:rsidR="00DB0202">
        <w:rPr>
          <w:rFonts w:cstheme="minorHAnsi"/>
          <w:sz w:val="24"/>
          <w:szCs w:val="24"/>
          <w:lang w:val="el-GR"/>
        </w:rPr>
        <w:t xml:space="preserve">των πολιτών </w:t>
      </w:r>
      <w:proofErr w:type="spellStart"/>
      <w:r w:rsidR="00DB0202">
        <w:rPr>
          <w:rFonts w:cstheme="minorHAnsi"/>
          <w:sz w:val="24"/>
          <w:szCs w:val="24"/>
          <w:lang w:val="el-GR"/>
        </w:rPr>
        <w:t>νιώθ</w:t>
      </w:r>
      <w:proofErr w:type="spellEnd"/>
      <w:r w:rsidR="00492380" w:rsidRPr="004E251E">
        <w:rPr>
          <w:rFonts w:cstheme="minorHAnsi"/>
          <w:sz w:val="24"/>
          <w:szCs w:val="24"/>
        </w:rPr>
        <w:t>o</w:t>
      </w:r>
      <w:proofErr w:type="spellStart"/>
      <w:r w:rsidR="00DB0202">
        <w:rPr>
          <w:rFonts w:cstheme="minorHAnsi"/>
          <w:sz w:val="24"/>
          <w:szCs w:val="24"/>
          <w:lang w:val="el-GR"/>
        </w:rPr>
        <w:t>υν</w:t>
      </w:r>
      <w:proofErr w:type="spellEnd"/>
      <w:r w:rsidR="00DB0202">
        <w:rPr>
          <w:rFonts w:cstheme="minorHAnsi"/>
          <w:sz w:val="24"/>
          <w:szCs w:val="24"/>
          <w:lang w:val="el-GR"/>
        </w:rPr>
        <w:t xml:space="preserve"> ασφαλισμένοι </w:t>
      </w:r>
      <w:r w:rsidR="00C9244D">
        <w:rPr>
          <w:rFonts w:cstheme="minorHAnsi"/>
          <w:sz w:val="24"/>
          <w:szCs w:val="24"/>
          <w:lang w:val="el-GR"/>
        </w:rPr>
        <w:t>εκεί</w:t>
      </w:r>
      <w:r w:rsidR="00DB0202">
        <w:rPr>
          <w:rFonts w:cstheme="minorHAnsi"/>
          <w:sz w:val="24"/>
          <w:szCs w:val="24"/>
          <w:lang w:val="el-GR"/>
        </w:rPr>
        <w:t xml:space="preserve"> όπου ζουν</w:t>
      </w:r>
      <w:r w:rsidR="00492380" w:rsidRPr="00DB0202">
        <w:rPr>
          <w:rFonts w:cstheme="minorHAnsi"/>
          <w:sz w:val="24"/>
          <w:szCs w:val="24"/>
          <w:lang w:val="el-GR"/>
        </w:rPr>
        <w:t xml:space="preserve">. </w:t>
      </w:r>
    </w:p>
    <w:p w14:paraId="0F961A3C" w14:textId="77777777" w:rsidR="0016084B" w:rsidRPr="00DB0202" w:rsidRDefault="0016084B" w:rsidP="0016084B">
      <w:pPr>
        <w:pStyle w:val="ListParagraph"/>
        <w:rPr>
          <w:rFonts w:cstheme="minorHAnsi"/>
          <w:sz w:val="24"/>
          <w:szCs w:val="24"/>
          <w:lang w:val="el-GR"/>
        </w:rPr>
      </w:pPr>
    </w:p>
    <w:p w14:paraId="4887684E" w14:textId="570DE7F9" w:rsidR="00CA1B66" w:rsidRPr="00DB0202" w:rsidRDefault="00DB0202" w:rsidP="00E74074">
      <w:pPr>
        <w:numPr>
          <w:ilvl w:val="0"/>
          <w:numId w:val="1"/>
        </w:numPr>
        <w:tabs>
          <w:tab w:val="left" w:pos="709"/>
        </w:tabs>
        <w:ind w:left="0" w:firstLine="0"/>
        <w:rPr>
          <w:rFonts w:cstheme="minorHAnsi"/>
          <w:sz w:val="24"/>
          <w:szCs w:val="24"/>
          <w:lang w:val="el-GR"/>
        </w:rPr>
      </w:pPr>
      <w:r>
        <w:rPr>
          <w:rFonts w:cstheme="minorHAnsi"/>
          <w:sz w:val="24"/>
          <w:szCs w:val="24"/>
          <w:lang w:val="el-GR"/>
        </w:rPr>
        <w:t>Η</w:t>
      </w:r>
      <w:r w:rsidR="0016084B" w:rsidRPr="00DB0202">
        <w:rPr>
          <w:rFonts w:cstheme="minorHAnsi"/>
          <w:sz w:val="24"/>
          <w:szCs w:val="24"/>
          <w:lang w:val="el-GR"/>
        </w:rPr>
        <w:t xml:space="preserve"> </w:t>
      </w:r>
      <w:r w:rsidR="0016084B" w:rsidRPr="0016084B">
        <w:rPr>
          <w:rFonts w:cstheme="minorHAnsi"/>
          <w:sz w:val="24"/>
          <w:szCs w:val="24"/>
        </w:rPr>
        <w:t>GET</w:t>
      </w:r>
      <w:r w:rsidR="0016084B" w:rsidRPr="00DB0202">
        <w:rPr>
          <w:rFonts w:cstheme="minorHAnsi"/>
          <w:sz w:val="24"/>
          <w:szCs w:val="24"/>
          <w:lang w:val="el-GR"/>
        </w:rPr>
        <w:t xml:space="preserve"> </w:t>
      </w:r>
      <w:r>
        <w:rPr>
          <w:rFonts w:cstheme="minorHAnsi"/>
          <w:sz w:val="24"/>
          <w:szCs w:val="24"/>
          <w:lang w:val="el-GR"/>
        </w:rPr>
        <w:t>αναγνωρίζει</w:t>
      </w:r>
      <w:r w:rsidRPr="00DB0202">
        <w:rPr>
          <w:rFonts w:cstheme="minorHAnsi"/>
          <w:sz w:val="24"/>
          <w:szCs w:val="24"/>
          <w:lang w:val="el-GR"/>
        </w:rPr>
        <w:t xml:space="preserve"> </w:t>
      </w:r>
      <w:r>
        <w:rPr>
          <w:rFonts w:cstheme="minorHAnsi"/>
          <w:sz w:val="24"/>
          <w:szCs w:val="24"/>
          <w:lang w:val="el-GR"/>
        </w:rPr>
        <w:t>ότι</w:t>
      </w:r>
      <w:r w:rsidRPr="00DB0202">
        <w:rPr>
          <w:rFonts w:cstheme="minorHAnsi"/>
          <w:sz w:val="24"/>
          <w:szCs w:val="24"/>
          <w:lang w:val="el-GR"/>
        </w:rPr>
        <w:t xml:space="preserve"> </w:t>
      </w:r>
      <w:r>
        <w:rPr>
          <w:rFonts w:cstheme="minorHAnsi"/>
          <w:sz w:val="24"/>
          <w:szCs w:val="24"/>
          <w:lang w:val="el-GR"/>
        </w:rPr>
        <w:t>υπάρχει</w:t>
      </w:r>
      <w:r w:rsidRPr="00DB0202">
        <w:rPr>
          <w:rFonts w:cstheme="minorHAnsi"/>
          <w:sz w:val="24"/>
          <w:szCs w:val="24"/>
          <w:lang w:val="el-GR"/>
        </w:rPr>
        <w:t xml:space="preserve"> </w:t>
      </w:r>
      <w:r>
        <w:rPr>
          <w:rFonts w:cstheme="minorHAnsi"/>
          <w:sz w:val="24"/>
          <w:szCs w:val="24"/>
          <w:lang w:val="el-GR"/>
        </w:rPr>
        <w:t>κάποια</w:t>
      </w:r>
      <w:r w:rsidRPr="00DB0202">
        <w:rPr>
          <w:rFonts w:cstheme="minorHAnsi"/>
          <w:sz w:val="24"/>
          <w:szCs w:val="24"/>
          <w:lang w:val="el-GR"/>
        </w:rPr>
        <w:t xml:space="preserve"> </w:t>
      </w:r>
      <w:r>
        <w:rPr>
          <w:rFonts w:cstheme="minorHAnsi"/>
          <w:sz w:val="24"/>
          <w:szCs w:val="24"/>
          <w:lang w:val="el-GR"/>
        </w:rPr>
        <w:t>ανισότητα</w:t>
      </w:r>
      <w:r w:rsidRPr="00DB0202">
        <w:rPr>
          <w:rFonts w:cstheme="minorHAnsi"/>
          <w:sz w:val="24"/>
          <w:szCs w:val="24"/>
          <w:lang w:val="el-GR"/>
        </w:rPr>
        <w:t xml:space="preserve"> </w:t>
      </w:r>
      <w:r>
        <w:rPr>
          <w:rFonts w:cstheme="minorHAnsi"/>
          <w:sz w:val="24"/>
          <w:szCs w:val="24"/>
          <w:lang w:val="el-GR"/>
        </w:rPr>
        <w:t>μεταξύ</w:t>
      </w:r>
      <w:r w:rsidRPr="00DB0202">
        <w:rPr>
          <w:rFonts w:cstheme="minorHAnsi"/>
          <w:sz w:val="24"/>
          <w:szCs w:val="24"/>
          <w:lang w:val="el-GR"/>
        </w:rPr>
        <w:t xml:space="preserve"> </w:t>
      </w:r>
      <w:r>
        <w:rPr>
          <w:rFonts w:cstheme="minorHAnsi"/>
          <w:sz w:val="24"/>
          <w:szCs w:val="24"/>
          <w:lang w:val="el-GR"/>
        </w:rPr>
        <w:t>της</w:t>
      </w:r>
      <w:r w:rsidRPr="00DB0202">
        <w:rPr>
          <w:rFonts w:cstheme="minorHAnsi"/>
          <w:sz w:val="24"/>
          <w:szCs w:val="24"/>
          <w:lang w:val="el-GR"/>
        </w:rPr>
        <w:t xml:space="preserve"> </w:t>
      </w:r>
      <w:r>
        <w:rPr>
          <w:rFonts w:cstheme="minorHAnsi"/>
          <w:sz w:val="24"/>
          <w:szCs w:val="24"/>
          <w:lang w:val="el-GR"/>
        </w:rPr>
        <w:t>αντίληψης</w:t>
      </w:r>
      <w:r w:rsidRPr="00DB0202">
        <w:rPr>
          <w:rFonts w:cstheme="minorHAnsi"/>
          <w:sz w:val="24"/>
          <w:szCs w:val="24"/>
          <w:lang w:val="el-GR"/>
        </w:rPr>
        <w:t xml:space="preserve"> </w:t>
      </w:r>
      <w:r>
        <w:rPr>
          <w:rFonts w:cstheme="minorHAnsi"/>
          <w:sz w:val="24"/>
          <w:szCs w:val="24"/>
          <w:lang w:val="el-GR"/>
        </w:rPr>
        <w:t>της</w:t>
      </w:r>
      <w:r w:rsidRPr="00DB0202">
        <w:rPr>
          <w:rFonts w:cstheme="minorHAnsi"/>
          <w:sz w:val="24"/>
          <w:szCs w:val="24"/>
          <w:lang w:val="el-GR"/>
        </w:rPr>
        <w:t xml:space="preserve"> </w:t>
      </w:r>
      <w:r>
        <w:rPr>
          <w:rFonts w:cstheme="minorHAnsi"/>
          <w:sz w:val="24"/>
          <w:szCs w:val="24"/>
          <w:lang w:val="el-GR"/>
        </w:rPr>
        <w:t>διαφθοράς</w:t>
      </w:r>
      <w:r w:rsidRPr="00DB0202">
        <w:rPr>
          <w:rFonts w:cstheme="minorHAnsi"/>
          <w:sz w:val="24"/>
          <w:szCs w:val="24"/>
          <w:lang w:val="el-GR"/>
        </w:rPr>
        <w:t xml:space="preserve"> </w:t>
      </w:r>
      <w:r>
        <w:rPr>
          <w:rFonts w:cstheme="minorHAnsi"/>
          <w:sz w:val="24"/>
          <w:szCs w:val="24"/>
          <w:lang w:val="el-GR"/>
        </w:rPr>
        <w:t>όπως</w:t>
      </w:r>
      <w:r w:rsidR="0016084B" w:rsidRPr="00DB0202">
        <w:rPr>
          <w:rFonts w:cstheme="minorHAnsi"/>
          <w:sz w:val="24"/>
          <w:szCs w:val="24"/>
          <w:lang w:val="el-GR"/>
        </w:rPr>
        <w:t xml:space="preserve"> </w:t>
      </w:r>
      <w:proofErr w:type="spellStart"/>
      <w:r>
        <w:rPr>
          <w:rFonts w:cstheme="minorHAnsi"/>
          <w:sz w:val="24"/>
          <w:szCs w:val="24"/>
          <w:lang w:val="el-GR"/>
        </w:rPr>
        <w:t>μετράται</w:t>
      </w:r>
      <w:proofErr w:type="spellEnd"/>
      <w:r w:rsidRPr="00DB0202">
        <w:rPr>
          <w:rFonts w:cstheme="minorHAnsi"/>
          <w:sz w:val="24"/>
          <w:szCs w:val="24"/>
          <w:lang w:val="el-GR"/>
        </w:rPr>
        <w:t xml:space="preserve"> </w:t>
      </w:r>
      <w:r>
        <w:rPr>
          <w:rFonts w:cstheme="minorHAnsi"/>
          <w:sz w:val="24"/>
          <w:szCs w:val="24"/>
          <w:lang w:val="el-GR"/>
        </w:rPr>
        <w:t>από</w:t>
      </w:r>
      <w:r w:rsidRPr="00DB0202">
        <w:rPr>
          <w:rFonts w:cstheme="minorHAnsi"/>
          <w:sz w:val="24"/>
          <w:szCs w:val="24"/>
          <w:lang w:val="el-GR"/>
        </w:rPr>
        <w:t xml:space="preserve"> </w:t>
      </w:r>
      <w:r>
        <w:rPr>
          <w:rFonts w:cstheme="minorHAnsi"/>
          <w:sz w:val="24"/>
          <w:szCs w:val="24"/>
          <w:lang w:val="el-GR"/>
        </w:rPr>
        <w:t>το</w:t>
      </w:r>
      <w:r w:rsidRPr="00DB0202">
        <w:rPr>
          <w:rFonts w:cstheme="minorHAnsi"/>
          <w:sz w:val="24"/>
          <w:szCs w:val="24"/>
          <w:lang w:val="el-GR"/>
        </w:rPr>
        <w:t xml:space="preserve"> </w:t>
      </w:r>
      <w:r>
        <w:rPr>
          <w:rFonts w:cstheme="minorHAnsi"/>
          <w:sz w:val="24"/>
          <w:szCs w:val="24"/>
          <w:lang w:val="el-GR"/>
        </w:rPr>
        <w:t>Ευρωβαρόμετρο</w:t>
      </w:r>
      <w:r w:rsidRPr="00DB0202">
        <w:rPr>
          <w:rFonts w:cstheme="minorHAnsi"/>
          <w:sz w:val="24"/>
          <w:szCs w:val="24"/>
          <w:lang w:val="el-GR"/>
        </w:rPr>
        <w:t xml:space="preserve"> </w:t>
      </w:r>
      <w:r>
        <w:rPr>
          <w:rFonts w:cstheme="minorHAnsi"/>
          <w:sz w:val="24"/>
          <w:szCs w:val="24"/>
          <w:lang w:val="el-GR"/>
        </w:rPr>
        <w:t>για</w:t>
      </w:r>
      <w:r w:rsidRPr="00DB0202">
        <w:rPr>
          <w:rFonts w:cstheme="minorHAnsi"/>
          <w:sz w:val="24"/>
          <w:szCs w:val="24"/>
          <w:lang w:val="el-GR"/>
        </w:rPr>
        <w:t xml:space="preserve"> </w:t>
      </w:r>
      <w:r>
        <w:rPr>
          <w:rFonts w:cstheme="minorHAnsi"/>
          <w:sz w:val="24"/>
          <w:szCs w:val="24"/>
          <w:lang w:val="el-GR"/>
        </w:rPr>
        <w:t>την</w:t>
      </w:r>
      <w:r w:rsidRPr="00DB0202">
        <w:rPr>
          <w:rFonts w:cstheme="minorHAnsi"/>
          <w:sz w:val="24"/>
          <w:szCs w:val="24"/>
          <w:lang w:val="el-GR"/>
        </w:rPr>
        <w:t xml:space="preserve"> </w:t>
      </w:r>
      <w:r>
        <w:rPr>
          <w:rFonts w:cstheme="minorHAnsi"/>
          <w:sz w:val="24"/>
          <w:szCs w:val="24"/>
          <w:lang w:val="el-GR"/>
        </w:rPr>
        <w:t>Διαφθορά</w:t>
      </w:r>
      <w:r w:rsidR="0016084B" w:rsidRPr="00DB0202">
        <w:rPr>
          <w:rFonts w:cstheme="minorHAnsi"/>
          <w:sz w:val="24"/>
          <w:szCs w:val="24"/>
          <w:lang w:val="el-GR"/>
        </w:rPr>
        <w:t xml:space="preserve"> </w:t>
      </w:r>
      <w:r>
        <w:rPr>
          <w:rFonts w:cstheme="minorHAnsi"/>
          <w:sz w:val="24"/>
          <w:szCs w:val="24"/>
          <w:lang w:val="el-GR"/>
        </w:rPr>
        <w:t xml:space="preserve">και τις έρευνες που διεξάχθηκαν από την </w:t>
      </w:r>
      <w:r w:rsidR="009C4E34">
        <w:rPr>
          <w:rFonts w:cstheme="minorHAnsi"/>
          <w:sz w:val="24"/>
          <w:szCs w:val="24"/>
          <w:lang w:val="el-GR"/>
        </w:rPr>
        <w:t>Αστυνομία</w:t>
      </w:r>
      <w:r w:rsidR="0016084B" w:rsidRPr="00DB0202">
        <w:rPr>
          <w:rFonts w:cstheme="minorHAnsi"/>
          <w:sz w:val="24"/>
          <w:szCs w:val="24"/>
          <w:lang w:val="el-GR"/>
        </w:rPr>
        <w:t xml:space="preserve"> </w:t>
      </w:r>
      <w:r>
        <w:rPr>
          <w:rFonts w:cstheme="minorHAnsi"/>
          <w:sz w:val="24"/>
          <w:szCs w:val="24"/>
          <w:lang w:val="el-GR"/>
        </w:rPr>
        <w:t>και εξερεύνησε την κατάσταση αυτή</w:t>
      </w:r>
      <w:r w:rsidR="0016084B" w:rsidRPr="00DB0202">
        <w:rPr>
          <w:rFonts w:cstheme="minorHAnsi"/>
          <w:sz w:val="24"/>
          <w:szCs w:val="24"/>
          <w:lang w:val="el-GR"/>
        </w:rPr>
        <w:t xml:space="preserve"> </w:t>
      </w:r>
      <w:r>
        <w:rPr>
          <w:rFonts w:cstheme="minorHAnsi"/>
          <w:sz w:val="24"/>
          <w:szCs w:val="24"/>
          <w:lang w:val="el-GR"/>
        </w:rPr>
        <w:t>επί τόπου</w:t>
      </w:r>
      <w:r w:rsidR="0016084B" w:rsidRPr="00DB0202">
        <w:rPr>
          <w:rFonts w:cstheme="minorHAnsi"/>
          <w:sz w:val="24"/>
          <w:szCs w:val="24"/>
          <w:lang w:val="el-GR"/>
        </w:rPr>
        <w:t xml:space="preserve"> </w:t>
      </w:r>
      <w:r>
        <w:rPr>
          <w:rFonts w:cstheme="minorHAnsi"/>
          <w:sz w:val="24"/>
          <w:szCs w:val="24"/>
          <w:lang w:val="el-GR"/>
        </w:rPr>
        <w:t>αλλά δεν πήρε ικανοποιητική εξήγηση για την ανισότητα</w:t>
      </w:r>
      <w:r w:rsidR="0016084B" w:rsidRPr="00DB0202">
        <w:rPr>
          <w:rFonts w:cstheme="minorHAnsi"/>
          <w:sz w:val="24"/>
          <w:szCs w:val="24"/>
          <w:lang w:val="el-GR"/>
        </w:rPr>
        <w:t xml:space="preserve">. </w:t>
      </w:r>
      <w:r>
        <w:rPr>
          <w:rFonts w:cstheme="minorHAnsi"/>
          <w:sz w:val="24"/>
          <w:szCs w:val="24"/>
          <w:lang w:val="el-GR"/>
        </w:rPr>
        <w:t>Παρά</w:t>
      </w:r>
      <w:r w:rsidRPr="00DB0202">
        <w:rPr>
          <w:rFonts w:cstheme="minorHAnsi"/>
          <w:sz w:val="24"/>
          <w:szCs w:val="24"/>
          <w:lang w:val="el-GR"/>
        </w:rPr>
        <w:t xml:space="preserve"> </w:t>
      </w:r>
      <w:r>
        <w:rPr>
          <w:rFonts w:cstheme="minorHAnsi"/>
          <w:sz w:val="24"/>
          <w:szCs w:val="24"/>
          <w:lang w:val="el-GR"/>
        </w:rPr>
        <w:t>να</w:t>
      </w:r>
      <w:r w:rsidRPr="00DB0202">
        <w:rPr>
          <w:rFonts w:cstheme="minorHAnsi"/>
          <w:sz w:val="24"/>
          <w:szCs w:val="24"/>
          <w:lang w:val="el-GR"/>
        </w:rPr>
        <w:t xml:space="preserve"> </w:t>
      </w:r>
      <w:r>
        <w:rPr>
          <w:rFonts w:cstheme="minorHAnsi"/>
          <w:sz w:val="24"/>
          <w:szCs w:val="24"/>
          <w:lang w:val="el-GR"/>
        </w:rPr>
        <w:t>συζητήσει</w:t>
      </w:r>
      <w:r w:rsidRPr="00DB0202">
        <w:rPr>
          <w:rFonts w:cstheme="minorHAnsi"/>
          <w:sz w:val="24"/>
          <w:szCs w:val="24"/>
          <w:lang w:val="el-GR"/>
        </w:rPr>
        <w:t xml:space="preserve"> </w:t>
      </w:r>
      <w:r>
        <w:rPr>
          <w:rFonts w:cstheme="minorHAnsi"/>
          <w:sz w:val="24"/>
          <w:szCs w:val="24"/>
          <w:lang w:val="el-GR"/>
        </w:rPr>
        <w:t>για</w:t>
      </w:r>
      <w:r w:rsidRPr="00DB0202">
        <w:rPr>
          <w:rFonts w:cstheme="minorHAnsi"/>
          <w:sz w:val="24"/>
          <w:szCs w:val="24"/>
          <w:lang w:val="el-GR"/>
        </w:rPr>
        <w:t xml:space="preserve"> </w:t>
      </w:r>
      <w:r>
        <w:rPr>
          <w:rFonts w:cstheme="minorHAnsi"/>
          <w:sz w:val="24"/>
          <w:szCs w:val="24"/>
          <w:lang w:val="el-GR"/>
        </w:rPr>
        <w:t>το</w:t>
      </w:r>
      <w:r w:rsidRPr="00DB0202">
        <w:rPr>
          <w:rFonts w:cstheme="minorHAnsi"/>
          <w:sz w:val="24"/>
          <w:szCs w:val="24"/>
          <w:lang w:val="el-GR"/>
        </w:rPr>
        <w:t xml:space="preserve"> </w:t>
      </w:r>
      <w:r>
        <w:rPr>
          <w:rFonts w:cstheme="minorHAnsi"/>
          <w:sz w:val="24"/>
          <w:szCs w:val="24"/>
          <w:lang w:val="el-GR"/>
        </w:rPr>
        <w:t>π</w:t>
      </w:r>
      <w:r w:rsidR="00DB36CF">
        <w:rPr>
          <w:rFonts w:cstheme="minorHAnsi"/>
          <w:sz w:val="24"/>
          <w:szCs w:val="24"/>
          <w:lang w:val="en-US"/>
        </w:rPr>
        <w:t>o</w:t>
      </w:r>
      <w:proofErr w:type="spellStart"/>
      <w:r>
        <w:rPr>
          <w:rFonts w:cstheme="minorHAnsi"/>
          <w:sz w:val="24"/>
          <w:szCs w:val="24"/>
          <w:lang w:val="el-GR"/>
        </w:rPr>
        <w:t>ια</w:t>
      </w:r>
      <w:proofErr w:type="spellEnd"/>
      <w:r w:rsidRPr="00DB0202">
        <w:rPr>
          <w:rFonts w:cstheme="minorHAnsi"/>
          <w:sz w:val="24"/>
          <w:szCs w:val="24"/>
          <w:lang w:val="el-GR"/>
        </w:rPr>
        <w:t xml:space="preserve"> </w:t>
      </w:r>
      <w:r>
        <w:rPr>
          <w:rFonts w:cstheme="minorHAnsi"/>
          <w:sz w:val="24"/>
          <w:szCs w:val="24"/>
          <w:lang w:val="el-GR"/>
        </w:rPr>
        <w:t>προηγούμενη</w:t>
      </w:r>
      <w:r w:rsidRPr="00DB0202">
        <w:rPr>
          <w:rFonts w:cstheme="minorHAnsi"/>
          <w:sz w:val="24"/>
          <w:szCs w:val="24"/>
          <w:lang w:val="el-GR"/>
        </w:rPr>
        <w:t xml:space="preserve"> </w:t>
      </w:r>
      <w:r>
        <w:rPr>
          <w:rFonts w:cstheme="minorHAnsi"/>
          <w:sz w:val="24"/>
          <w:szCs w:val="24"/>
          <w:lang w:val="el-GR"/>
        </w:rPr>
        <w:t>μελέτη</w:t>
      </w:r>
      <w:r w:rsidRPr="00DB0202">
        <w:rPr>
          <w:rFonts w:cstheme="minorHAnsi"/>
          <w:sz w:val="24"/>
          <w:szCs w:val="24"/>
          <w:lang w:val="el-GR"/>
        </w:rPr>
        <w:t xml:space="preserve"> </w:t>
      </w:r>
      <w:r>
        <w:rPr>
          <w:rFonts w:cstheme="minorHAnsi"/>
          <w:sz w:val="24"/>
          <w:szCs w:val="24"/>
          <w:lang w:val="el-GR"/>
        </w:rPr>
        <w:t>ήταν</w:t>
      </w:r>
      <w:r w:rsidRPr="00DB0202">
        <w:rPr>
          <w:rFonts w:cstheme="minorHAnsi"/>
          <w:sz w:val="24"/>
          <w:szCs w:val="24"/>
          <w:lang w:val="el-GR"/>
        </w:rPr>
        <w:t xml:space="preserve"> </w:t>
      </w:r>
      <w:r>
        <w:rPr>
          <w:rFonts w:cstheme="minorHAnsi"/>
          <w:sz w:val="24"/>
          <w:szCs w:val="24"/>
          <w:lang w:val="el-GR"/>
        </w:rPr>
        <w:t>ορθή</w:t>
      </w:r>
      <w:r w:rsidR="0016084B" w:rsidRPr="00DB0202">
        <w:rPr>
          <w:rFonts w:cstheme="minorHAnsi"/>
          <w:sz w:val="24"/>
          <w:szCs w:val="24"/>
          <w:lang w:val="el-GR"/>
        </w:rPr>
        <w:t xml:space="preserve">, </w:t>
      </w:r>
      <w:r>
        <w:rPr>
          <w:rFonts w:cstheme="minorHAnsi"/>
          <w:sz w:val="24"/>
          <w:szCs w:val="24"/>
          <w:lang w:val="el-GR"/>
        </w:rPr>
        <w:t>η</w:t>
      </w:r>
      <w:r w:rsidR="0016084B" w:rsidRPr="00DB0202">
        <w:rPr>
          <w:rFonts w:cstheme="minorHAnsi"/>
          <w:sz w:val="24"/>
          <w:szCs w:val="24"/>
          <w:lang w:val="el-GR"/>
        </w:rPr>
        <w:t xml:space="preserve"> </w:t>
      </w:r>
      <w:r w:rsidR="0016084B" w:rsidRPr="0016084B">
        <w:rPr>
          <w:rFonts w:cstheme="minorHAnsi"/>
          <w:sz w:val="24"/>
          <w:szCs w:val="24"/>
        </w:rPr>
        <w:t>GET</w:t>
      </w:r>
      <w:r w:rsidR="0016084B" w:rsidRPr="00DB0202">
        <w:rPr>
          <w:rFonts w:cstheme="minorHAnsi"/>
          <w:sz w:val="24"/>
          <w:szCs w:val="24"/>
          <w:lang w:val="el-GR"/>
        </w:rPr>
        <w:t xml:space="preserve"> </w:t>
      </w:r>
      <w:r>
        <w:rPr>
          <w:rFonts w:cstheme="minorHAnsi"/>
          <w:sz w:val="24"/>
          <w:szCs w:val="24"/>
          <w:lang w:val="el-GR"/>
        </w:rPr>
        <w:t>ενθαρρύνει</w:t>
      </w:r>
      <w:r w:rsidRPr="00DB0202">
        <w:rPr>
          <w:rFonts w:cstheme="minorHAnsi"/>
          <w:sz w:val="24"/>
          <w:szCs w:val="24"/>
          <w:lang w:val="el-GR"/>
        </w:rPr>
        <w:t xml:space="preserve"> </w:t>
      </w:r>
      <w:r>
        <w:rPr>
          <w:rFonts w:cstheme="minorHAnsi"/>
          <w:sz w:val="24"/>
          <w:szCs w:val="24"/>
          <w:lang w:val="el-GR"/>
        </w:rPr>
        <w:t>την</w:t>
      </w:r>
      <w:r w:rsidR="0016084B" w:rsidRPr="00DB0202">
        <w:rPr>
          <w:rFonts w:cstheme="minorHAnsi"/>
          <w:sz w:val="24"/>
          <w:szCs w:val="24"/>
          <w:lang w:val="el-GR"/>
        </w:rPr>
        <w:t xml:space="preserve"> </w:t>
      </w:r>
      <w:r>
        <w:rPr>
          <w:rFonts w:cstheme="minorHAnsi"/>
          <w:sz w:val="24"/>
          <w:szCs w:val="24"/>
          <w:lang w:val="el-GR"/>
        </w:rPr>
        <w:t xml:space="preserve">να </w:t>
      </w:r>
      <w:r w:rsidR="0094177F">
        <w:rPr>
          <w:rFonts w:cstheme="minorHAnsi"/>
          <w:sz w:val="24"/>
          <w:szCs w:val="24"/>
          <w:lang w:val="el-GR"/>
        </w:rPr>
        <w:t>επαγρυπνεί για τις αντιλήψεις αυτές</w:t>
      </w:r>
      <w:r w:rsidR="0016084B" w:rsidRPr="00DB0202">
        <w:rPr>
          <w:rFonts w:cstheme="minorHAnsi"/>
          <w:sz w:val="24"/>
          <w:szCs w:val="24"/>
          <w:lang w:val="el-GR"/>
        </w:rPr>
        <w:t xml:space="preserve"> </w:t>
      </w:r>
      <w:r w:rsidR="0094177F">
        <w:rPr>
          <w:rFonts w:cstheme="minorHAnsi"/>
          <w:sz w:val="24"/>
          <w:szCs w:val="24"/>
          <w:lang w:val="el-GR"/>
        </w:rPr>
        <w:t>και να τις αντιμετωπίσει με προληπτικό τρόπο</w:t>
      </w:r>
      <w:r w:rsidR="0094177F" w:rsidRPr="0094177F">
        <w:rPr>
          <w:rFonts w:cstheme="minorHAnsi"/>
          <w:sz w:val="24"/>
          <w:szCs w:val="24"/>
          <w:lang w:val="el-GR"/>
        </w:rPr>
        <w:t xml:space="preserve"> </w:t>
      </w:r>
      <w:r w:rsidR="0094177F">
        <w:rPr>
          <w:rFonts w:cstheme="minorHAnsi"/>
          <w:sz w:val="24"/>
          <w:szCs w:val="24"/>
          <w:lang w:val="el-GR"/>
        </w:rPr>
        <w:t>χωρίς εφησυχασμό</w:t>
      </w:r>
      <w:r w:rsidR="0016084B" w:rsidRPr="00DB0202">
        <w:rPr>
          <w:rFonts w:cstheme="minorHAnsi"/>
          <w:sz w:val="24"/>
          <w:szCs w:val="24"/>
          <w:lang w:val="el-GR"/>
        </w:rPr>
        <w:t xml:space="preserve">. </w:t>
      </w:r>
      <w:bookmarkStart w:id="183" w:name="_Hlk127208718"/>
    </w:p>
    <w:bookmarkEnd w:id="183"/>
    <w:p w14:paraId="5A4ECD96" w14:textId="77777777" w:rsidR="00220066" w:rsidRDefault="00220066" w:rsidP="00220066">
      <w:pPr>
        <w:tabs>
          <w:tab w:val="left" w:pos="709"/>
        </w:tabs>
        <w:rPr>
          <w:rFonts w:cstheme="minorHAnsi"/>
          <w:sz w:val="24"/>
          <w:szCs w:val="24"/>
          <w:lang w:val="el-GR"/>
        </w:rPr>
      </w:pPr>
    </w:p>
    <w:p w14:paraId="05F5DD3B" w14:textId="77777777" w:rsidR="00C9244D" w:rsidRDefault="00C9244D" w:rsidP="00220066">
      <w:pPr>
        <w:tabs>
          <w:tab w:val="left" w:pos="709"/>
        </w:tabs>
        <w:rPr>
          <w:rFonts w:cstheme="minorHAnsi"/>
          <w:sz w:val="24"/>
          <w:szCs w:val="24"/>
          <w:lang w:val="el-GR"/>
        </w:rPr>
      </w:pPr>
    </w:p>
    <w:p w14:paraId="29638F07" w14:textId="77777777" w:rsidR="00C9244D" w:rsidRPr="00DB0202" w:rsidRDefault="00C9244D" w:rsidP="00220066">
      <w:pPr>
        <w:tabs>
          <w:tab w:val="left" w:pos="709"/>
        </w:tabs>
        <w:rPr>
          <w:rFonts w:cstheme="minorHAnsi"/>
          <w:sz w:val="24"/>
          <w:szCs w:val="24"/>
          <w:lang w:val="el-GR"/>
        </w:rPr>
      </w:pPr>
    </w:p>
    <w:p w14:paraId="1C31C83D" w14:textId="443E9E09" w:rsidR="00220066" w:rsidRPr="004E251E" w:rsidRDefault="0094177F" w:rsidP="00220066">
      <w:pPr>
        <w:pStyle w:val="Heading3"/>
        <w:keepNext w:val="0"/>
        <w:keepLines w:val="0"/>
        <w:tabs>
          <w:tab w:val="left" w:pos="709"/>
        </w:tabs>
        <w:spacing w:before="0"/>
        <w:rPr>
          <w:rFonts w:asciiTheme="minorHAnsi" w:hAnsiTheme="minorHAnsi" w:cstheme="minorHAnsi"/>
          <w:b w:val="0"/>
          <w:i/>
          <w:color w:val="auto"/>
          <w:sz w:val="24"/>
          <w:szCs w:val="24"/>
        </w:rPr>
      </w:pPr>
      <w:bookmarkStart w:id="184" w:name="_Toc110430326"/>
      <w:bookmarkStart w:id="185" w:name="_Toc117445165"/>
      <w:bookmarkStart w:id="186" w:name="_Toc136879369"/>
      <w:r>
        <w:rPr>
          <w:rFonts w:asciiTheme="minorHAnsi" w:hAnsiTheme="minorHAnsi" w:cstheme="minorHAnsi"/>
          <w:b w:val="0"/>
          <w:i/>
          <w:color w:val="auto"/>
          <w:sz w:val="24"/>
          <w:szCs w:val="24"/>
          <w:lang w:val="el-GR"/>
        </w:rPr>
        <w:t>Συντεχνίες</w:t>
      </w:r>
      <w:r w:rsidRPr="0094177F">
        <w:rPr>
          <w:rFonts w:asciiTheme="minorHAnsi" w:hAnsiTheme="minorHAnsi" w:cstheme="minorHAnsi"/>
          <w:b w:val="0"/>
          <w:i/>
          <w:color w:val="auto"/>
          <w:sz w:val="24"/>
          <w:szCs w:val="24"/>
          <w:lang w:val="en-US"/>
        </w:rPr>
        <w:t xml:space="preserve"> </w:t>
      </w:r>
      <w:r>
        <w:rPr>
          <w:rFonts w:asciiTheme="minorHAnsi" w:hAnsiTheme="minorHAnsi" w:cstheme="minorHAnsi"/>
          <w:b w:val="0"/>
          <w:i/>
          <w:color w:val="auto"/>
          <w:sz w:val="24"/>
          <w:szCs w:val="24"/>
          <w:lang w:val="el-GR"/>
        </w:rPr>
        <w:t>και</w:t>
      </w:r>
      <w:r w:rsidRPr="0094177F">
        <w:rPr>
          <w:rFonts w:asciiTheme="minorHAnsi" w:hAnsiTheme="minorHAnsi" w:cstheme="minorHAnsi"/>
          <w:b w:val="0"/>
          <w:i/>
          <w:color w:val="auto"/>
          <w:sz w:val="24"/>
          <w:szCs w:val="24"/>
          <w:lang w:val="en-US"/>
        </w:rPr>
        <w:t xml:space="preserve"> </w:t>
      </w:r>
      <w:r>
        <w:rPr>
          <w:rFonts w:asciiTheme="minorHAnsi" w:hAnsiTheme="minorHAnsi" w:cstheme="minorHAnsi"/>
          <w:b w:val="0"/>
          <w:i/>
          <w:color w:val="auto"/>
          <w:sz w:val="24"/>
          <w:szCs w:val="24"/>
          <w:lang w:val="el-GR"/>
        </w:rPr>
        <w:t>επαγγελματικ</w:t>
      </w:r>
      <w:r w:rsidR="00DB36CF">
        <w:rPr>
          <w:rFonts w:asciiTheme="minorHAnsi" w:hAnsiTheme="minorHAnsi" w:cstheme="minorHAnsi"/>
          <w:b w:val="0"/>
          <w:i/>
          <w:color w:val="auto"/>
          <w:sz w:val="24"/>
          <w:szCs w:val="24"/>
          <w:lang w:val="el-GR"/>
        </w:rPr>
        <w:t>οί</w:t>
      </w:r>
      <w:r w:rsidRPr="0094177F">
        <w:rPr>
          <w:rFonts w:asciiTheme="minorHAnsi" w:hAnsiTheme="minorHAnsi" w:cstheme="minorHAnsi"/>
          <w:b w:val="0"/>
          <w:i/>
          <w:color w:val="auto"/>
          <w:sz w:val="24"/>
          <w:szCs w:val="24"/>
          <w:lang w:val="en-US"/>
        </w:rPr>
        <w:t xml:space="preserve"> </w:t>
      </w:r>
      <w:r>
        <w:rPr>
          <w:rFonts w:asciiTheme="minorHAnsi" w:hAnsiTheme="minorHAnsi" w:cstheme="minorHAnsi"/>
          <w:b w:val="0"/>
          <w:i/>
          <w:color w:val="auto"/>
          <w:sz w:val="24"/>
          <w:szCs w:val="24"/>
          <w:lang w:val="el-GR"/>
        </w:rPr>
        <w:t>σ</w:t>
      </w:r>
      <w:r w:rsidR="00DB36CF">
        <w:rPr>
          <w:rFonts w:asciiTheme="minorHAnsi" w:hAnsiTheme="minorHAnsi" w:cstheme="minorHAnsi"/>
          <w:b w:val="0"/>
          <w:i/>
          <w:color w:val="auto"/>
          <w:sz w:val="24"/>
          <w:szCs w:val="24"/>
          <w:lang w:val="el-GR"/>
        </w:rPr>
        <w:t>ύ</w:t>
      </w:r>
      <w:r>
        <w:rPr>
          <w:rFonts w:asciiTheme="minorHAnsi" w:hAnsiTheme="minorHAnsi" w:cstheme="minorHAnsi"/>
          <w:b w:val="0"/>
          <w:i/>
          <w:color w:val="auto"/>
          <w:sz w:val="24"/>
          <w:szCs w:val="24"/>
          <w:lang w:val="el-GR"/>
        </w:rPr>
        <w:t>νδ</w:t>
      </w:r>
      <w:r w:rsidR="00DB36CF">
        <w:rPr>
          <w:rFonts w:asciiTheme="minorHAnsi" w:hAnsiTheme="minorHAnsi" w:cstheme="minorHAnsi"/>
          <w:b w:val="0"/>
          <w:i/>
          <w:color w:val="auto"/>
          <w:sz w:val="24"/>
          <w:szCs w:val="24"/>
          <w:lang w:val="el-GR"/>
        </w:rPr>
        <w:t>ε</w:t>
      </w:r>
      <w:r>
        <w:rPr>
          <w:rFonts w:asciiTheme="minorHAnsi" w:hAnsiTheme="minorHAnsi" w:cstheme="minorHAnsi"/>
          <w:b w:val="0"/>
          <w:i/>
          <w:color w:val="auto"/>
          <w:sz w:val="24"/>
          <w:szCs w:val="24"/>
          <w:lang w:val="el-GR"/>
        </w:rPr>
        <w:t>σμ</w:t>
      </w:r>
      <w:bookmarkEnd w:id="184"/>
      <w:bookmarkEnd w:id="185"/>
      <w:bookmarkEnd w:id="186"/>
      <w:r w:rsidR="00DB36CF">
        <w:rPr>
          <w:rFonts w:asciiTheme="minorHAnsi" w:hAnsiTheme="minorHAnsi" w:cstheme="minorHAnsi"/>
          <w:b w:val="0"/>
          <w:i/>
          <w:color w:val="auto"/>
          <w:sz w:val="24"/>
          <w:szCs w:val="24"/>
          <w:lang w:val="el-GR"/>
        </w:rPr>
        <w:t>οι</w:t>
      </w:r>
    </w:p>
    <w:p w14:paraId="3CDB9058" w14:textId="77777777" w:rsidR="00220066" w:rsidRPr="004E251E" w:rsidRDefault="00220066" w:rsidP="00220066">
      <w:pPr>
        <w:tabs>
          <w:tab w:val="left" w:pos="709"/>
        </w:tabs>
        <w:rPr>
          <w:rFonts w:cstheme="minorHAnsi"/>
          <w:sz w:val="24"/>
          <w:szCs w:val="24"/>
        </w:rPr>
      </w:pPr>
    </w:p>
    <w:p w14:paraId="4E3D650C" w14:textId="0F4A0D03" w:rsidR="00220066" w:rsidRPr="00DB36CF" w:rsidRDefault="0094177F" w:rsidP="00220066">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lastRenderedPageBreak/>
        <w:t>Ο</w:t>
      </w:r>
      <w:r w:rsidRPr="0094177F">
        <w:rPr>
          <w:rFonts w:cstheme="minorHAnsi"/>
          <w:sz w:val="24"/>
          <w:szCs w:val="24"/>
          <w:lang w:val="el-GR"/>
        </w:rPr>
        <w:t xml:space="preserve"> </w:t>
      </w:r>
      <w:r w:rsidR="00DB36CF">
        <w:rPr>
          <w:rFonts w:cstheme="minorHAnsi"/>
          <w:sz w:val="24"/>
          <w:szCs w:val="24"/>
          <w:lang w:val="el-GR"/>
        </w:rPr>
        <w:t xml:space="preserve">περί </w:t>
      </w:r>
      <w:r w:rsidR="009C4E34">
        <w:rPr>
          <w:rFonts w:cstheme="minorHAnsi"/>
          <w:sz w:val="24"/>
          <w:szCs w:val="24"/>
          <w:lang w:val="el-GR"/>
        </w:rPr>
        <w:t>Αστυνομία</w:t>
      </w:r>
      <w:r>
        <w:rPr>
          <w:rFonts w:cstheme="minorHAnsi"/>
          <w:sz w:val="24"/>
          <w:szCs w:val="24"/>
          <w:lang w:val="el-GR"/>
        </w:rPr>
        <w:t>ς</w:t>
      </w:r>
      <w:r w:rsidRPr="0094177F">
        <w:rPr>
          <w:rFonts w:cstheme="minorHAnsi"/>
          <w:sz w:val="24"/>
          <w:szCs w:val="24"/>
          <w:lang w:val="el-GR"/>
        </w:rPr>
        <w:t xml:space="preserve"> </w:t>
      </w:r>
      <w:r w:rsidR="00DB36CF">
        <w:rPr>
          <w:rFonts w:cstheme="minorHAnsi"/>
          <w:sz w:val="24"/>
          <w:szCs w:val="24"/>
          <w:lang w:val="el-GR"/>
        </w:rPr>
        <w:t xml:space="preserve">Νόμος </w:t>
      </w:r>
      <w:r>
        <w:rPr>
          <w:rFonts w:cstheme="minorHAnsi"/>
          <w:sz w:val="24"/>
          <w:szCs w:val="24"/>
          <w:lang w:val="el-GR"/>
        </w:rPr>
        <w:t>προβλέπει</w:t>
      </w:r>
      <w:r w:rsidRPr="0094177F">
        <w:rPr>
          <w:rFonts w:cstheme="minorHAnsi"/>
          <w:sz w:val="24"/>
          <w:szCs w:val="24"/>
          <w:lang w:val="el-GR"/>
        </w:rPr>
        <w:t xml:space="preserve"> </w:t>
      </w:r>
      <w:r>
        <w:rPr>
          <w:rFonts w:cstheme="minorHAnsi"/>
          <w:sz w:val="24"/>
          <w:szCs w:val="24"/>
          <w:lang w:val="el-GR"/>
        </w:rPr>
        <w:t>την</w:t>
      </w:r>
      <w:r w:rsidRPr="0094177F">
        <w:rPr>
          <w:rFonts w:cstheme="minorHAnsi"/>
          <w:sz w:val="24"/>
          <w:szCs w:val="24"/>
          <w:lang w:val="el-GR"/>
        </w:rPr>
        <w:t xml:space="preserve"> </w:t>
      </w:r>
      <w:r>
        <w:rPr>
          <w:rFonts w:cstheme="minorHAnsi"/>
          <w:sz w:val="24"/>
          <w:szCs w:val="24"/>
          <w:lang w:val="el-GR"/>
        </w:rPr>
        <w:t>ίδρυση</w:t>
      </w:r>
      <w:r w:rsidRPr="0094177F">
        <w:rPr>
          <w:rFonts w:cstheme="minorHAnsi"/>
          <w:sz w:val="24"/>
          <w:szCs w:val="24"/>
          <w:lang w:val="el-GR"/>
        </w:rPr>
        <w:t xml:space="preserve"> </w:t>
      </w:r>
      <w:r>
        <w:rPr>
          <w:rFonts w:cstheme="minorHAnsi"/>
          <w:sz w:val="24"/>
          <w:szCs w:val="24"/>
          <w:lang w:val="el-GR"/>
        </w:rPr>
        <w:t>δύο</w:t>
      </w:r>
      <w:r w:rsidRPr="0094177F">
        <w:rPr>
          <w:rFonts w:cstheme="minorHAnsi"/>
          <w:sz w:val="24"/>
          <w:szCs w:val="24"/>
          <w:lang w:val="el-GR"/>
        </w:rPr>
        <w:t xml:space="preserve"> </w:t>
      </w:r>
      <w:r w:rsidR="00C9244D">
        <w:rPr>
          <w:rFonts w:cstheme="minorHAnsi"/>
          <w:sz w:val="24"/>
          <w:szCs w:val="24"/>
          <w:lang w:val="el-GR"/>
        </w:rPr>
        <w:t>επαγγελματικών</w:t>
      </w:r>
      <w:r w:rsidRPr="0094177F">
        <w:rPr>
          <w:rFonts w:cstheme="minorHAnsi"/>
          <w:sz w:val="24"/>
          <w:szCs w:val="24"/>
          <w:lang w:val="el-GR"/>
        </w:rPr>
        <w:t xml:space="preserve"> </w:t>
      </w:r>
      <w:r>
        <w:rPr>
          <w:rFonts w:cstheme="minorHAnsi"/>
          <w:sz w:val="24"/>
          <w:szCs w:val="24"/>
          <w:lang w:val="el-GR"/>
        </w:rPr>
        <w:t>συνδέσμων</w:t>
      </w:r>
      <w:r w:rsidR="00220066" w:rsidRPr="0094177F">
        <w:rPr>
          <w:rFonts w:cstheme="minorHAnsi"/>
          <w:sz w:val="24"/>
          <w:szCs w:val="24"/>
          <w:lang w:val="el-GR"/>
        </w:rPr>
        <w:t xml:space="preserve"> (</w:t>
      </w:r>
      <w:r>
        <w:rPr>
          <w:rFonts w:cstheme="minorHAnsi"/>
          <w:sz w:val="24"/>
          <w:szCs w:val="24"/>
          <w:lang w:val="el-GR"/>
        </w:rPr>
        <w:t>δηλαδή</w:t>
      </w:r>
      <w:r w:rsidR="00220066" w:rsidRPr="0094177F">
        <w:rPr>
          <w:rFonts w:cstheme="minorHAnsi"/>
          <w:sz w:val="24"/>
          <w:szCs w:val="24"/>
          <w:lang w:val="el-GR"/>
        </w:rPr>
        <w:t xml:space="preserve"> </w:t>
      </w:r>
      <w:r>
        <w:rPr>
          <w:rFonts w:cstheme="minorHAnsi"/>
          <w:sz w:val="24"/>
          <w:szCs w:val="24"/>
          <w:lang w:val="el-GR"/>
        </w:rPr>
        <w:t>ένα</w:t>
      </w:r>
      <w:r w:rsidRPr="0094177F">
        <w:rPr>
          <w:rFonts w:cstheme="minorHAnsi"/>
          <w:sz w:val="24"/>
          <w:szCs w:val="24"/>
          <w:lang w:val="el-GR"/>
        </w:rPr>
        <w:t xml:space="preserve"> </w:t>
      </w:r>
      <w:r>
        <w:rPr>
          <w:rFonts w:cstheme="minorHAnsi"/>
          <w:sz w:val="24"/>
          <w:szCs w:val="24"/>
          <w:lang w:val="el-GR"/>
        </w:rPr>
        <w:t>για</w:t>
      </w:r>
      <w:r w:rsidRPr="0094177F">
        <w:rPr>
          <w:rFonts w:cstheme="minorHAnsi"/>
          <w:sz w:val="24"/>
          <w:szCs w:val="24"/>
          <w:lang w:val="el-GR"/>
        </w:rPr>
        <w:t xml:space="preserve"> </w:t>
      </w:r>
      <w:r>
        <w:rPr>
          <w:rFonts w:cstheme="minorHAnsi"/>
          <w:sz w:val="24"/>
          <w:szCs w:val="24"/>
          <w:lang w:val="el-GR"/>
        </w:rPr>
        <w:t>τους</w:t>
      </w:r>
      <w:r w:rsidRPr="0094177F">
        <w:rPr>
          <w:rFonts w:cstheme="minorHAnsi"/>
          <w:sz w:val="24"/>
          <w:szCs w:val="24"/>
          <w:lang w:val="el-GR"/>
        </w:rPr>
        <w:t xml:space="preserve"> </w:t>
      </w:r>
      <w:r>
        <w:rPr>
          <w:rFonts w:cstheme="minorHAnsi"/>
          <w:sz w:val="24"/>
          <w:szCs w:val="24"/>
          <w:lang w:val="el-GR"/>
        </w:rPr>
        <w:t>ανώτερους</w:t>
      </w:r>
      <w:r w:rsidRPr="0094177F">
        <w:rPr>
          <w:rFonts w:cstheme="minorHAnsi"/>
          <w:sz w:val="24"/>
          <w:szCs w:val="24"/>
          <w:lang w:val="el-GR"/>
        </w:rPr>
        <w:t xml:space="preserve"> </w:t>
      </w:r>
      <w:r w:rsidR="00BA4606">
        <w:rPr>
          <w:rFonts w:cstheme="minorHAnsi"/>
          <w:sz w:val="24"/>
          <w:szCs w:val="24"/>
          <w:lang w:val="el-GR"/>
        </w:rPr>
        <w:t>αξιωματικούς</w:t>
      </w:r>
      <w:r w:rsidR="00BA4606" w:rsidRPr="0094177F">
        <w:rPr>
          <w:rFonts w:cstheme="minorHAnsi"/>
          <w:sz w:val="24"/>
          <w:szCs w:val="24"/>
          <w:lang w:val="el-GR"/>
        </w:rPr>
        <w:t xml:space="preserve"> </w:t>
      </w:r>
      <w:r>
        <w:rPr>
          <w:rFonts w:cstheme="minorHAnsi"/>
          <w:sz w:val="24"/>
          <w:szCs w:val="24"/>
          <w:lang w:val="el-GR"/>
        </w:rPr>
        <w:t>και</w:t>
      </w:r>
      <w:r w:rsidRPr="0094177F">
        <w:rPr>
          <w:rFonts w:cstheme="minorHAnsi"/>
          <w:sz w:val="24"/>
          <w:szCs w:val="24"/>
          <w:lang w:val="el-GR"/>
        </w:rPr>
        <w:t xml:space="preserve"> </w:t>
      </w:r>
      <w:r>
        <w:rPr>
          <w:rFonts w:cstheme="minorHAnsi"/>
          <w:sz w:val="24"/>
          <w:szCs w:val="24"/>
          <w:lang w:val="el-GR"/>
        </w:rPr>
        <w:t>ένα</w:t>
      </w:r>
      <w:r w:rsidRPr="0094177F">
        <w:rPr>
          <w:rFonts w:cstheme="minorHAnsi"/>
          <w:sz w:val="24"/>
          <w:szCs w:val="24"/>
          <w:lang w:val="el-GR"/>
        </w:rPr>
        <w:t xml:space="preserve"> </w:t>
      </w:r>
      <w:r>
        <w:rPr>
          <w:rFonts w:cstheme="minorHAnsi"/>
          <w:sz w:val="24"/>
          <w:szCs w:val="24"/>
          <w:lang w:val="el-GR"/>
        </w:rPr>
        <w:t>άλλο</w:t>
      </w:r>
      <w:r w:rsidR="00220066" w:rsidRPr="0094177F">
        <w:rPr>
          <w:rFonts w:cstheme="minorHAnsi"/>
          <w:sz w:val="24"/>
          <w:szCs w:val="24"/>
          <w:lang w:val="el-GR"/>
        </w:rPr>
        <w:t xml:space="preserve"> </w:t>
      </w:r>
      <w:r>
        <w:rPr>
          <w:rFonts w:cstheme="minorHAnsi"/>
          <w:sz w:val="24"/>
          <w:szCs w:val="24"/>
          <w:lang w:val="el-GR"/>
        </w:rPr>
        <w:t>για</w:t>
      </w:r>
      <w:r w:rsidRPr="0094177F">
        <w:rPr>
          <w:rFonts w:cstheme="minorHAnsi"/>
          <w:sz w:val="24"/>
          <w:szCs w:val="24"/>
          <w:lang w:val="el-GR"/>
        </w:rPr>
        <w:t xml:space="preserve"> </w:t>
      </w:r>
      <w:r>
        <w:rPr>
          <w:rFonts w:cstheme="minorHAnsi"/>
          <w:sz w:val="24"/>
          <w:szCs w:val="24"/>
          <w:lang w:val="el-GR"/>
        </w:rPr>
        <w:t>τις</w:t>
      </w:r>
      <w:r w:rsidRPr="0094177F">
        <w:rPr>
          <w:rFonts w:cstheme="minorHAnsi"/>
          <w:sz w:val="24"/>
          <w:szCs w:val="24"/>
          <w:lang w:val="el-GR"/>
        </w:rPr>
        <w:t xml:space="preserve"> </w:t>
      </w:r>
      <w:r>
        <w:rPr>
          <w:rFonts w:cstheme="minorHAnsi"/>
          <w:sz w:val="24"/>
          <w:szCs w:val="24"/>
          <w:lang w:val="el-GR"/>
        </w:rPr>
        <w:t>άλλες</w:t>
      </w:r>
      <w:r w:rsidRPr="0094177F">
        <w:rPr>
          <w:rFonts w:cstheme="minorHAnsi"/>
          <w:sz w:val="24"/>
          <w:szCs w:val="24"/>
          <w:lang w:val="el-GR"/>
        </w:rPr>
        <w:t xml:space="preserve"> </w:t>
      </w:r>
      <w:r>
        <w:rPr>
          <w:rFonts w:cstheme="minorHAnsi"/>
          <w:sz w:val="24"/>
          <w:szCs w:val="24"/>
          <w:lang w:val="el-GR"/>
        </w:rPr>
        <w:t>βαθμίδες</w:t>
      </w:r>
      <w:r w:rsidR="00220066" w:rsidRPr="0094177F">
        <w:rPr>
          <w:rFonts w:cstheme="minorHAnsi"/>
          <w:sz w:val="24"/>
          <w:szCs w:val="24"/>
          <w:lang w:val="el-GR"/>
        </w:rPr>
        <w:t xml:space="preserve">) </w:t>
      </w:r>
      <w:r>
        <w:rPr>
          <w:rFonts w:cstheme="minorHAnsi"/>
          <w:sz w:val="24"/>
          <w:szCs w:val="24"/>
          <w:lang w:val="el-GR"/>
        </w:rPr>
        <w:t>για</w:t>
      </w:r>
      <w:r w:rsidRPr="0094177F">
        <w:rPr>
          <w:rFonts w:cstheme="minorHAnsi"/>
          <w:sz w:val="24"/>
          <w:szCs w:val="24"/>
          <w:lang w:val="el-GR"/>
        </w:rPr>
        <w:t xml:space="preserve"> </w:t>
      </w:r>
      <w:r>
        <w:rPr>
          <w:rFonts w:cstheme="minorHAnsi"/>
          <w:sz w:val="24"/>
          <w:szCs w:val="24"/>
          <w:lang w:val="el-GR"/>
        </w:rPr>
        <w:t>θέματα</w:t>
      </w:r>
      <w:r w:rsidRPr="0094177F">
        <w:rPr>
          <w:rFonts w:cstheme="minorHAnsi"/>
          <w:sz w:val="24"/>
          <w:szCs w:val="24"/>
          <w:lang w:val="el-GR"/>
        </w:rPr>
        <w:t xml:space="preserve"> </w:t>
      </w:r>
      <w:r>
        <w:rPr>
          <w:rFonts w:cstheme="minorHAnsi"/>
          <w:sz w:val="24"/>
          <w:szCs w:val="24"/>
          <w:lang w:val="el-GR"/>
        </w:rPr>
        <w:t>που</w:t>
      </w:r>
      <w:r w:rsidRPr="0094177F">
        <w:rPr>
          <w:rFonts w:cstheme="minorHAnsi"/>
          <w:sz w:val="24"/>
          <w:szCs w:val="24"/>
          <w:lang w:val="el-GR"/>
        </w:rPr>
        <w:t xml:space="preserve"> </w:t>
      </w:r>
      <w:r>
        <w:rPr>
          <w:rFonts w:cstheme="minorHAnsi"/>
          <w:sz w:val="24"/>
          <w:szCs w:val="24"/>
          <w:lang w:val="el-GR"/>
        </w:rPr>
        <w:t>επηρεάζουν</w:t>
      </w:r>
      <w:r w:rsidRPr="0094177F">
        <w:rPr>
          <w:rFonts w:cstheme="minorHAnsi"/>
          <w:sz w:val="24"/>
          <w:szCs w:val="24"/>
          <w:lang w:val="el-GR"/>
        </w:rPr>
        <w:t xml:space="preserve"> </w:t>
      </w:r>
      <w:r>
        <w:rPr>
          <w:rFonts w:cstheme="minorHAnsi"/>
          <w:sz w:val="24"/>
          <w:szCs w:val="24"/>
          <w:lang w:val="el-GR"/>
        </w:rPr>
        <w:t>την</w:t>
      </w:r>
      <w:r w:rsidRPr="0094177F">
        <w:rPr>
          <w:rFonts w:cstheme="minorHAnsi"/>
          <w:sz w:val="24"/>
          <w:szCs w:val="24"/>
          <w:lang w:val="el-GR"/>
        </w:rPr>
        <w:t xml:space="preserve"> </w:t>
      </w:r>
      <w:r>
        <w:rPr>
          <w:rFonts w:cstheme="minorHAnsi"/>
          <w:sz w:val="24"/>
          <w:szCs w:val="24"/>
          <w:lang w:val="el-GR"/>
        </w:rPr>
        <w:t>ευημερία</w:t>
      </w:r>
      <w:r w:rsidRPr="0094177F">
        <w:rPr>
          <w:rFonts w:cstheme="minorHAnsi"/>
          <w:sz w:val="24"/>
          <w:szCs w:val="24"/>
          <w:lang w:val="el-GR"/>
        </w:rPr>
        <w:t xml:space="preserve"> </w:t>
      </w:r>
      <w:r>
        <w:rPr>
          <w:rFonts w:cstheme="minorHAnsi"/>
          <w:sz w:val="24"/>
          <w:szCs w:val="24"/>
          <w:lang w:val="el-GR"/>
        </w:rPr>
        <w:t>και</w:t>
      </w:r>
      <w:r w:rsidRPr="0094177F">
        <w:rPr>
          <w:rFonts w:cstheme="minorHAnsi"/>
          <w:sz w:val="24"/>
          <w:szCs w:val="24"/>
          <w:lang w:val="el-GR"/>
        </w:rPr>
        <w:t xml:space="preserve"> </w:t>
      </w:r>
      <w:r>
        <w:rPr>
          <w:rFonts w:cstheme="minorHAnsi"/>
          <w:sz w:val="24"/>
          <w:szCs w:val="24"/>
          <w:lang w:val="el-GR"/>
        </w:rPr>
        <w:t>την</w:t>
      </w:r>
      <w:r w:rsidRPr="0094177F">
        <w:rPr>
          <w:rFonts w:cstheme="minorHAnsi"/>
          <w:sz w:val="24"/>
          <w:szCs w:val="24"/>
          <w:lang w:val="el-GR"/>
        </w:rPr>
        <w:t xml:space="preserve"> </w:t>
      </w:r>
      <w:r>
        <w:rPr>
          <w:rFonts w:cstheme="minorHAnsi"/>
          <w:sz w:val="24"/>
          <w:szCs w:val="24"/>
          <w:lang w:val="el-GR"/>
        </w:rPr>
        <w:t>ε</w:t>
      </w:r>
      <w:r w:rsidR="00DB36CF">
        <w:rPr>
          <w:rFonts w:cstheme="minorHAnsi"/>
          <w:sz w:val="24"/>
          <w:szCs w:val="24"/>
          <w:lang w:val="el-GR"/>
        </w:rPr>
        <w:t>π</w:t>
      </w:r>
      <w:r>
        <w:rPr>
          <w:rFonts w:cstheme="minorHAnsi"/>
          <w:sz w:val="24"/>
          <w:szCs w:val="24"/>
          <w:lang w:val="el-GR"/>
        </w:rPr>
        <w:t>αγγελματική</w:t>
      </w:r>
      <w:r w:rsidRPr="0094177F">
        <w:rPr>
          <w:rFonts w:cstheme="minorHAnsi"/>
          <w:sz w:val="24"/>
          <w:szCs w:val="24"/>
          <w:lang w:val="el-GR"/>
        </w:rPr>
        <w:t xml:space="preserve"> </w:t>
      </w:r>
      <w:r>
        <w:rPr>
          <w:rFonts w:cstheme="minorHAnsi"/>
          <w:sz w:val="24"/>
          <w:szCs w:val="24"/>
          <w:lang w:val="el-GR"/>
        </w:rPr>
        <w:t>επάρκεια</w:t>
      </w:r>
      <w:r w:rsidRPr="0094177F">
        <w:rPr>
          <w:rFonts w:cstheme="minorHAnsi"/>
          <w:sz w:val="24"/>
          <w:szCs w:val="24"/>
          <w:lang w:val="el-GR"/>
        </w:rPr>
        <w:t xml:space="preserve"> </w:t>
      </w:r>
      <w:r>
        <w:rPr>
          <w:rFonts w:cstheme="minorHAnsi"/>
          <w:sz w:val="24"/>
          <w:szCs w:val="24"/>
          <w:lang w:val="el-GR"/>
        </w:rPr>
        <w:t>των</w:t>
      </w:r>
      <w:r w:rsidRPr="0094177F">
        <w:rPr>
          <w:rFonts w:cstheme="minorHAnsi"/>
          <w:sz w:val="24"/>
          <w:szCs w:val="24"/>
          <w:lang w:val="el-GR"/>
        </w:rPr>
        <w:t xml:space="preserve"> </w:t>
      </w:r>
      <w:r>
        <w:rPr>
          <w:rFonts w:cstheme="minorHAnsi"/>
          <w:sz w:val="24"/>
          <w:szCs w:val="24"/>
          <w:lang w:val="el-GR"/>
        </w:rPr>
        <w:t>μελών</w:t>
      </w:r>
      <w:r w:rsidRPr="0094177F">
        <w:rPr>
          <w:rFonts w:cstheme="minorHAnsi"/>
          <w:sz w:val="24"/>
          <w:szCs w:val="24"/>
          <w:lang w:val="el-GR"/>
        </w:rPr>
        <w:t xml:space="preserve"> </w:t>
      </w:r>
      <w:r>
        <w:rPr>
          <w:rFonts w:cstheme="minorHAnsi"/>
          <w:sz w:val="24"/>
          <w:szCs w:val="24"/>
          <w:lang w:val="el-GR"/>
        </w:rPr>
        <w:t>της</w:t>
      </w:r>
      <w:r w:rsidRPr="0094177F">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94177F">
        <w:rPr>
          <w:rFonts w:cstheme="minorHAnsi"/>
          <w:sz w:val="24"/>
          <w:szCs w:val="24"/>
          <w:lang w:val="el-GR"/>
        </w:rPr>
        <w:t xml:space="preserve">, </w:t>
      </w:r>
      <w:r>
        <w:rPr>
          <w:rFonts w:cstheme="minorHAnsi"/>
          <w:sz w:val="24"/>
          <w:szCs w:val="24"/>
          <w:lang w:val="el-GR"/>
        </w:rPr>
        <w:t>π</w:t>
      </w:r>
      <w:r w:rsidR="00220066" w:rsidRPr="0094177F">
        <w:rPr>
          <w:rFonts w:cstheme="minorHAnsi"/>
          <w:sz w:val="24"/>
          <w:szCs w:val="24"/>
          <w:lang w:val="el-GR"/>
        </w:rPr>
        <w:t>.</w:t>
      </w:r>
      <w:r>
        <w:rPr>
          <w:rFonts w:cstheme="minorHAnsi"/>
          <w:sz w:val="24"/>
          <w:szCs w:val="24"/>
          <w:lang w:val="el-GR"/>
        </w:rPr>
        <w:t>χ</w:t>
      </w:r>
      <w:r w:rsidR="00220066" w:rsidRPr="0094177F">
        <w:rPr>
          <w:rFonts w:cstheme="minorHAnsi"/>
          <w:sz w:val="24"/>
          <w:szCs w:val="24"/>
          <w:lang w:val="el-GR"/>
        </w:rPr>
        <w:t xml:space="preserve">. </w:t>
      </w:r>
      <w:r>
        <w:rPr>
          <w:rFonts w:cstheme="minorHAnsi"/>
          <w:sz w:val="24"/>
          <w:szCs w:val="24"/>
          <w:lang w:val="el-GR"/>
        </w:rPr>
        <w:t>σε σχέση με τους μισθούς, τις συντάξεις</w:t>
      </w:r>
      <w:r w:rsidR="00220066" w:rsidRPr="0094177F">
        <w:rPr>
          <w:rFonts w:cstheme="minorHAnsi"/>
          <w:sz w:val="24"/>
          <w:szCs w:val="24"/>
          <w:lang w:val="el-GR"/>
        </w:rPr>
        <w:t xml:space="preserve"> </w:t>
      </w:r>
      <w:r>
        <w:rPr>
          <w:rFonts w:cstheme="minorHAnsi"/>
          <w:sz w:val="24"/>
          <w:szCs w:val="24"/>
          <w:lang w:val="el-GR"/>
        </w:rPr>
        <w:t>και τους όρους της υπηρεσίας τους</w:t>
      </w:r>
      <w:r w:rsidR="00220066" w:rsidRPr="0094177F">
        <w:rPr>
          <w:rFonts w:cstheme="minorHAnsi"/>
          <w:sz w:val="24"/>
          <w:szCs w:val="24"/>
          <w:lang w:val="el-GR"/>
        </w:rPr>
        <w:t xml:space="preserve"> (</w:t>
      </w:r>
      <w:r>
        <w:rPr>
          <w:rFonts w:cstheme="minorHAnsi"/>
          <w:sz w:val="24"/>
          <w:szCs w:val="24"/>
          <w:lang w:val="el-GR"/>
        </w:rPr>
        <w:t>Άρθρο</w:t>
      </w:r>
      <w:r w:rsidR="00220066" w:rsidRPr="0094177F">
        <w:rPr>
          <w:rFonts w:cstheme="minorHAnsi"/>
          <w:sz w:val="24"/>
          <w:szCs w:val="24"/>
          <w:lang w:val="el-GR"/>
        </w:rPr>
        <w:t xml:space="preserve"> 56, </w:t>
      </w:r>
      <w:r>
        <w:rPr>
          <w:rFonts w:cstheme="minorHAnsi"/>
          <w:sz w:val="24"/>
          <w:szCs w:val="24"/>
          <w:lang w:val="el-GR"/>
        </w:rPr>
        <w:t xml:space="preserve">περί </w:t>
      </w:r>
      <w:r w:rsidR="009C4E34">
        <w:rPr>
          <w:rFonts w:cstheme="minorHAnsi"/>
          <w:sz w:val="24"/>
          <w:szCs w:val="24"/>
          <w:lang w:val="el-GR"/>
        </w:rPr>
        <w:t>Αστυνομία</w:t>
      </w:r>
      <w:r>
        <w:rPr>
          <w:rFonts w:cstheme="minorHAnsi"/>
          <w:sz w:val="24"/>
          <w:szCs w:val="24"/>
          <w:lang w:val="el-GR"/>
        </w:rPr>
        <w:t>ς</w:t>
      </w:r>
      <w:r w:rsidR="00DB36CF">
        <w:rPr>
          <w:rFonts w:cstheme="minorHAnsi"/>
          <w:sz w:val="24"/>
          <w:szCs w:val="24"/>
          <w:lang w:val="el-GR"/>
        </w:rPr>
        <w:t xml:space="preserve"> Νόμος</w:t>
      </w:r>
      <w:r w:rsidR="00220066" w:rsidRPr="0094177F">
        <w:rPr>
          <w:rFonts w:cstheme="minorHAnsi"/>
          <w:sz w:val="24"/>
          <w:szCs w:val="24"/>
          <w:lang w:val="el-GR"/>
        </w:rPr>
        <w:t xml:space="preserve">).  </w:t>
      </w:r>
      <w:r w:rsidR="001834F8">
        <w:rPr>
          <w:rFonts w:cstheme="minorHAnsi"/>
          <w:sz w:val="24"/>
          <w:szCs w:val="24"/>
          <w:lang w:val="el-GR"/>
        </w:rPr>
        <w:t>Αναλόγως</w:t>
      </w:r>
      <w:r w:rsidR="00220066" w:rsidRPr="00DB36CF">
        <w:rPr>
          <w:rFonts w:cstheme="minorHAnsi"/>
          <w:sz w:val="24"/>
          <w:szCs w:val="24"/>
          <w:lang w:val="el-GR"/>
        </w:rPr>
        <w:t xml:space="preserve">, </w:t>
      </w:r>
      <w:r w:rsidR="001834F8">
        <w:rPr>
          <w:rFonts w:cstheme="minorHAnsi"/>
          <w:sz w:val="24"/>
          <w:szCs w:val="24"/>
          <w:lang w:val="el-GR"/>
        </w:rPr>
        <w:t xml:space="preserve">ο Σύνδεσμος Ανωτέρων Αξιωματικών </w:t>
      </w:r>
      <w:r w:rsidR="009C4E34">
        <w:rPr>
          <w:rFonts w:cstheme="minorHAnsi"/>
          <w:sz w:val="24"/>
          <w:szCs w:val="24"/>
          <w:lang w:val="el-GR"/>
        </w:rPr>
        <w:t>Αστυνομία</w:t>
      </w:r>
      <w:r w:rsidR="001834F8">
        <w:rPr>
          <w:rFonts w:cstheme="minorHAnsi"/>
          <w:sz w:val="24"/>
          <w:szCs w:val="24"/>
          <w:lang w:val="el-GR"/>
        </w:rPr>
        <w:t>ς Κύπρου</w:t>
      </w:r>
      <w:r w:rsidR="00220066" w:rsidRPr="00DB36CF">
        <w:rPr>
          <w:rFonts w:cstheme="minorHAnsi"/>
          <w:sz w:val="24"/>
          <w:szCs w:val="24"/>
          <w:lang w:val="el-GR"/>
        </w:rPr>
        <w:t xml:space="preserve"> </w:t>
      </w:r>
      <w:r w:rsidR="00DB36CF">
        <w:rPr>
          <w:rFonts w:cstheme="minorHAnsi"/>
          <w:sz w:val="24"/>
          <w:szCs w:val="24"/>
          <w:lang w:val="el-GR"/>
        </w:rPr>
        <w:t>και</w:t>
      </w:r>
      <w:r w:rsidR="00DB36CF" w:rsidRPr="00DB36CF">
        <w:rPr>
          <w:rFonts w:cstheme="minorHAnsi"/>
          <w:sz w:val="24"/>
          <w:szCs w:val="24"/>
          <w:lang w:val="el-GR"/>
        </w:rPr>
        <w:t xml:space="preserve"> </w:t>
      </w:r>
      <w:r w:rsidR="00DB36CF">
        <w:rPr>
          <w:rFonts w:cstheme="minorHAnsi"/>
          <w:sz w:val="24"/>
          <w:szCs w:val="24"/>
          <w:lang w:val="el-GR"/>
        </w:rPr>
        <w:t>ο</w:t>
      </w:r>
      <w:r w:rsidR="00DB36CF" w:rsidRPr="00DB36CF">
        <w:rPr>
          <w:rFonts w:cstheme="minorHAnsi"/>
          <w:sz w:val="24"/>
          <w:szCs w:val="24"/>
          <w:lang w:val="el-GR"/>
        </w:rPr>
        <w:t xml:space="preserve"> </w:t>
      </w:r>
      <w:r w:rsidR="00DB36CF">
        <w:rPr>
          <w:rFonts w:cstheme="minorHAnsi"/>
          <w:sz w:val="24"/>
          <w:szCs w:val="24"/>
          <w:lang w:val="el-GR"/>
        </w:rPr>
        <w:t>Σ</w:t>
      </w:r>
      <w:r w:rsidR="00622A46">
        <w:rPr>
          <w:rFonts w:cstheme="minorHAnsi"/>
          <w:sz w:val="24"/>
          <w:szCs w:val="24"/>
          <w:lang w:val="el-GR"/>
        </w:rPr>
        <w:t>ύ</w:t>
      </w:r>
      <w:r w:rsidR="00DB36CF">
        <w:rPr>
          <w:rFonts w:cstheme="minorHAnsi"/>
          <w:sz w:val="24"/>
          <w:szCs w:val="24"/>
          <w:lang w:val="el-GR"/>
        </w:rPr>
        <w:t>νδεσμος</w:t>
      </w:r>
      <w:r w:rsidR="00DB36CF" w:rsidRPr="00DB36CF">
        <w:rPr>
          <w:rFonts w:cstheme="minorHAnsi"/>
          <w:sz w:val="24"/>
          <w:szCs w:val="24"/>
          <w:lang w:val="el-GR"/>
        </w:rPr>
        <w:t xml:space="preserve"> </w:t>
      </w:r>
      <w:r w:rsidR="009C4E34">
        <w:rPr>
          <w:rFonts w:cstheme="minorHAnsi"/>
          <w:sz w:val="24"/>
          <w:szCs w:val="24"/>
          <w:lang w:val="el-GR"/>
        </w:rPr>
        <w:t>Αστυνομία</w:t>
      </w:r>
      <w:r w:rsidR="00DB36CF">
        <w:rPr>
          <w:rFonts w:cstheme="minorHAnsi"/>
          <w:sz w:val="24"/>
          <w:szCs w:val="24"/>
          <w:lang w:val="el-GR"/>
        </w:rPr>
        <w:t>ς</w:t>
      </w:r>
      <w:r w:rsidR="00DB36CF" w:rsidRPr="00DB36CF">
        <w:rPr>
          <w:rFonts w:cstheme="minorHAnsi"/>
          <w:sz w:val="24"/>
          <w:szCs w:val="24"/>
          <w:lang w:val="el-GR"/>
        </w:rPr>
        <w:t xml:space="preserve"> </w:t>
      </w:r>
      <w:r w:rsidR="00DB36CF">
        <w:rPr>
          <w:rFonts w:cstheme="minorHAnsi"/>
          <w:sz w:val="24"/>
          <w:szCs w:val="24"/>
          <w:lang w:val="el-GR"/>
        </w:rPr>
        <w:t>Κύπρου</w:t>
      </w:r>
      <w:r w:rsidR="00220066" w:rsidRPr="00DB36CF">
        <w:rPr>
          <w:rFonts w:cstheme="minorHAnsi"/>
          <w:sz w:val="24"/>
          <w:szCs w:val="24"/>
          <w:lang w:val="el-GR"/>
        </w:rPr>
        <w:t xml:space="preserve"> </w:t>
      </w:r>
      <w:r w:rsidR="00DB36CF">
        <w:rPr>
          <w:rFonts w:cstheme="minorHAnsi"/>
          <w:sz w:val="24"/>
          <w:szCs w:val="24"/>
          <w:lang w:val="el-GR"/>
        </w:rPr>
        <w:t>για</w:t>
      </w:r>
      <w:r w:rsidR="00DB36CF" w:rsidRPr="00DB36CF">
        <w:rPr>
          <w:rFonts w:cstheme="minorHAnsi"/>
          <w:sz w:val="24"/>
          <w:szCs w:val="24"/>
          <w:lang w:val="el-GR"/>
        </w:rPr>
        <w:t xml:space="preserve"> </w:t>
      </w:r>
      <w:r w:rsidR="00DB36CF">
        <w:rPr>
          <w:rFonts w:cstheme="minorHAnsi"/>
          <w:sz w:val="24"/>
          <w:szCs w:val="24"/>
          <w:lang w:val="el-GR"/>
        </w:rPr>
        <w:t>τα</w:t>
      </w:r>
      <w:r w:rsidR="00DB36CF" w:rsidRPr="00DB36CF">
        <w:rPr>
          <w:rFonts w:cstheme="minorHAnsi"/>
          <w:sz w:val="24"/>
          <w:szCs w:val="24"/>
          <w:lang w:val="el-GR"/>
        </w:rPr>
        <w:t xml:space="preserve"> </w:t>
      </w:r>
      <w:r w:rsidR="00DB36CF">
        <w:rPr>
          <w:rFonts w:cstheme="minorHAnsi"/>
          <w:sz w:val="24"/>
          <w:szCs w:val="24"/>
          <w:lang w:val="el-GR"/>
        </w:rPr>
        <w:t>άλλα</w:t>
      </w:r>
      <w:r w:rsidR="00DB36CF" w:rsidRPr="00DB36CF">
        <w:rPr>
          <w:rFonts w:cstheme="minorHAnsi"/>
          <w:sz w:val="24"/>
          <w:szCs w:val="24"/>
          <w:lang w:val="el-GR"/>
        </w:rPr>
        <w:t xml:space="preserve"> </w:t>
      </w:r>
      <w:r w:rsidR="00DB36CF">
        <w:rPr>
          <w:rFonts w:cstheme="minorHAnsi"/>
          <w:sz w:val="24"/>
          <w:szCs w:val="24"/>
          <w:lang w:val="el-GR"/>
        </w:rPr>
        <w:t>μέλη</w:t>
      </w:r>
      <w:r w:rsidR="00DB36CF" w:rsidRPr="00DB36CF">
        <w:rPr>
          <w:rFonts w:cstheme="minorHAnsi"/>
          <w:sz w:val="24"/>
          <w:szCs w:val="24"/>
          <w:lang w:val="el-GR"/>
        </w:rPr>
        <w:t xml:space="preserve"> </w:t>
      </w:r>
      <w:r w:rsidR="00DB36CF">
        <w:rPr>
          <w:rFonts w:cstheme="minorHAnsi"/>
          <w:sz w:val="24"/>
          <w:szCs w:val="24"/>
          <w:lang w:val="el-GR"/>
        </w:rPr>
        <w:t>της</w:t>
      </w:r>
      <w:r w:rsidR="00DB36CF" w:rsidRPr="00DB36CF">
        <w:rPr>
          <w:rFonts w:cstheme="minorHAnsi"/>
          <w:sz w:val="24"/>
          <w:szCs w:val="24"/>
          <w:lang w:val="el-GR"/>
        </w:rPr>
        <w:t xml:space="preserve"> </w:t>
      </w:r>
      <w:r w:rsidR="009C4E34">
        <w:rPr>
          <w:rFonts w:cstheme="minorHAnsi"/>
          <w:sz w:val="24"/>
          <w:szCs w:val="24"/>
          <w:lang w:val="el-GR"/>
        </w:rPr>
        <w:t>Αστυνομία</w:t>
      </w:r>
      <w:r w:rsidR="00DB36CF">
        <w:rPr>
          <w:rFonts w:cstheme="minorHAnsi"/>
          <w:sz w:val="24"/>
          <w:szCs w:val="24"/>
          <w:lang w:val="el-GR"/>
        </w:rPr>
        <w:t>ς</w:t>
      </w:r>
      <w:r w:rsidR="00220066" w:rsidRPr="00DB36CF">
        <w:rPr>
          <w:rFonts w:cstheme="minorHAnsi"/>
          <w:sz w:val="24"/>
          <w:szCs w:val="24"/>
          <w:lang w:val="el-GR"/>
        </w:rPr>
        <w:t xml:space="preserve"> (</w:t>
      </w:r>
      <w:r w:rsidR="00DB36CF">
        <w:rPr>
          <w:rFonts w:cstheme="minorHAnsi"/>
          <w:sz w:val="24"/>
          <w:szCs w:val="24"/>
          <w:lang w:val="el-GR"/>
        </w:rPr>
        <w:t>μέχρι τον βαθμ</w:t>
      </w:r>
      <w:r w:rsidR="001834F8">
        <w:rPr>
          <w:rFonts w:cstheme="minorHAnsi"/>
          <w:sz w:val="24"/>
          <w:szCs w:val="24"/>
          <w:lang w:val="el-GR"/>
        </w:rPr>
        <w:t>ό</w:t>
      </w:r>
      <w:r w:rsidR="00DB36CF">
        <w:rPr>
          <w:rFonts w:cstheme="minorHAnsi"/>
          <w:sz w:val="24"/>
          <w:szCs w:val="24"/>
          <w:lang w:val="el-GR"/>
        </w:rPr>
        <w:t xml:space="preserve"> του</w:t>
      </w:r>
      <w:r w:rsidR="001834F8">
        <w:rPr>
          <w:rFonts w:cstheme="minorHAnsi"/>
          <w:sz w:val="24"/>
          <w:szCs w:val="24"/>
          <w:lang w:val="el-GR"/>
        </w:rPr>
        <w:t xml:space="preserve"> Αν</w:t>
      </w:r>
      <w:r w:rsidR="00622A46">
        <w:rPr>
          <w:rFonts w:cstheme="minorHAnsi"/>
          <w:sz w:val="24"/>
          <w:szCs w:val="24"/>
          <w:lang w:val="el-GR"/>
        </w:rPr>
        <w:t>ω</w:t>
      </w:r>
      <w:r w:rsidR="001834F8">
        <w:rPr>
          <w:rFonts w:cstheme="minorHAnsi"/>
          <w:sz w:val="24"/>
          <w:szCs w:val="24"/>
          <w:lang w:val="el-GR"/>
        </w:rPr>
        <w:t>τ</w:t>
      </w:r>
      <w:r w:rsidR="00622A46">
        <w:rPr>
          <w:rFonts w:cstheme="minorHAnsi"/>
          <w:sz w:val="24"/>
          <w:szCs w:val="24"/>
          <w:lang w:val="el-GR"/>
        </w:rPr>
        <w:t>έ</w:t>
      </w:r>
      <w:r w:rsidR="001834F8">
        <w:rPr>
          <w:rFonts w:cstheme="minorHAnsi"/>
          <w:sz w:val="24"/>
          <w:szCs w:val="24"/>
          <w:lang w:val="el-GR"/>
        </w:rPr>
        <w:t>ρου Υπαστυνόμου</w:t>
      </w:r>
      <w:r w:rsidR="00220066" w:rsidRPr="00DB36CF">
        <w:rPr>
          <w:rFonts w:cstheme="minorHAnsi"/>
          <w:sz w:val="24"/>
          <w:szCs w:val="24"/>
          <w:lang w:val="el-GR"/>
        </w:rPr>
        <w:t xml:space="preserve">) </w:t>
      </w:r>
      <w:r w:rsidR="00DB36CF">
        <w:rPr>
          <w:rFonts w:cstheme="minorHAnsi"/>
          <w:sz w:val="24"/>
          <w:szCs w:val="24"/>
          <w:lang w:val="el-GR"/>
        </w:rPr>
        <w:t>έχουν</w:t>
      </w:r>
      <w:r w:rsidR="00220066" w:rsidRPr="00DB36CF">
        <w:rPr>
          <w:rFonts w:cstheme="minorHAnsi"/>
          <w:sz w:val="24"/>
          <w:szCs w:val="24"/>
          <w:lang w:val="el-GR"/>
        </w:rPr>
        <w:t xml:space="preserve"> 50 </w:t>
      </w:r>
      <w:r w:rsidR="00DB36CF">
        <w:rPr>
          <w:rFonts w:cstheme="minorHAnsi"/>
          <w:sz w:val="24"/>
          <w:szCs w:val="24"/>
          <w:lang w:val="el-GR"/>
        </w:rPr>
        <w:t>και</w:t>
      </w:r>
      <w:r w:rsidR="00220066" w:rsidRPr="00DB36CF">
        <w:rPr>
          <w:rFonts w:cstheme="minorHAnsi"/>
          <w:sz w:val="24"/>
          <w:szCs w:val="24"/>
          <w:lang w:val="el-GR"/>
        </w:rPr>
        <w:t xml:space="preserve"> 3 000 </w:t>
      </w:r>
      <w:r w:rsidR="00DB36CF">
        <w:rPr>
          <w:rFonts w:cstheme="minorHAnsi"/>
          <w:sz w:val="24"/>
          <w:szCs w:val="24"/>
          <w:lang w:val="el-GR"/>
        </w:rPr>
        <w:t>μέλη</w:t>
      </w:r>
      <w:r w:rsidR="00DB36CF" w:rsidRPr="00DB36CF">
        <w:rPr>
          <w:rFonts w:cstheme="minorHAnsi"/>
          <w:sz w:val="24"/>
          <w:szCs w:val="24"/>
          <w:lang w:val="el-GR"/>
        </w:rPr>
        <w:t xml:space="preserve"> </w:t>
      </w:r>
      <w:r w:rsidR="00DB36CF">
        <w:rPr>
          <w:rFonts w:cstheme="minorHAnsi"/>
          <w:sz w:val="24"/>
          <w:szCs w:val="24"/>
          <w:lang w:val="el-GR"/>
        </w:rPr>
        <w:t>αντίστοιχα</w:t>
      </w:r>
      <w:r w:rsidR="00220066" w:rsidRPr="00DB36CF">
        <w:rPr>
          <w:rFonts w:cstheme="minorHAnsi"/>
          <w:sz w:val="24"/>
          <w:szCs w:val="24"/>
          <w:lang w:val="el-GR"/>
        </w:rPr>
        <w:t>.</w:t>
      </w:r>
    </w:p>
    <w:p w14:paraId="245A5879" w14:textId="77777777" w:rsidR="00220066" w:rsidRPr="00DB36CF" w:rsidRDefault="00220066" w:rsidP="00220066">
      <w:pPr>
        <w:rPr>
          <w:rFonts w:cstheme="minorHAnsi"/>
          <w:sz w:val="24"/>
          <w:szCs w:val="24"/>
          <w:lang w:val="el-GR"/>
        </w:rPr>
      </w:pPr>
    </w:p>
    <w:p w14:paraId="3900EF00" w14:textId="426D0DCC" w:rsidR="00220066" w:rsidRPr="001834F8" w:rsidRDefault="001834F8" w:rsidP="00220066">
      <w:pPr>
        <w:numPr>
          <w:ilvl w:val="0"/>
          <w:numId w:val="1"/>
        </w:numPr>
        <w:tabs>
          <w:tab w:val="clear" w:pos="6095"/>
          <w:tab w:val="left" w:pos="709"/>
        </w:tabs>
        <w:ind w:left="0" w:firstLine="0"/>
        <w:rPr>
          <w:rFonts w:cstheme="minorHAnsi"/>
          <w:sz w:val="24"/>
          <w:szCs w:val="24"/>
          <w:lang w:val="el-GR"/>
        </w:rPr>
      </w:pPr>
      <w:r>
        <w:rPr>
          <w:rFonts w:cstheme="minorHAnsi"/>
          <w:sz w:val="24"/>
          <w:szCs w:val="24"/>
          <w:lang w:val="el-GR"/>
        </w:rPr>
        <w:t>Επιπρόσθετα</w:t>
      </w:r>
      <w:r w:rsidR="00220066" w:rsidRPr="001834F8">
        <w:rPr>
          <w:rFonts w:cstheme="minorHAnsi"/>
          <w:sz w:val="24"/>
          <w:szCs w:val="24"/>
          <w:lang w:val="el-GR"/>
        </w:rPr>
        <w:t xml:space="preserve">, </w:t>
      </w:r>
      <w:r>
        <w:rPr>
          <w:rFonts w:cstheme="minorHAnsi"/>
          <w:sz w:val="24"/>
          <w:szCs w:val="24"/>
          <w:lang w:val="el-GR"/>
        </w:rPr>
        <w:t>έχουν</w:t>
      </w:r>
      <w:r w:rsidRPr="001834F8">
        <w:rPr>
          <w:rFonts w:cstheme="minorHAnsi"/>
          <w:sz w:val="24"/>
          <w:szCs w:val="24"/>
          <w:lang w:val="el-GR"/>
        </w:rPr>
        <w:t xml:space="preserve"> </w:t>
      </w:r>
      <w:r>
        <w:rPr>
          <w:rFonts w:cstheme="minorHAnsi"/>
          <w:sz w:val="24"/>
          <w:szCs w:val="24"/>
          <w:lang w:val="el-GR"/>
        </w:rPr>
        <w:t>δημιουργηθεί</w:t>
      </w:r>
      <w:r w:rsidRPr="001834F8">
        <w:rPr>
          <w:rFonts w:cstheme="minorHAnsi"/>
          <w:sz w:val="24"/>
          <w:szCs w:val="24"/>
          <w:lang w:val="el-GR"/>
        </w:rPr>
        <w:t xml:space="preserve"> </w:t>
      </w:r>
      <w:r>
        <w:rPr>
          <w:rFonts w:cstheme="minorHAnsi"/>
          <w:sz w:val="24"/>
          <w:szCs w:val="24"/>
          <w:lang w:val="el-GR"/>
        </w:rPr>
        <w:t>δύο</w:t>
      </w:r>
      <w:r w:rsidRPr="001834F8">
        <w:rPr>
          <w:rFonts w:cstheme="minorHAnsi"/>
          <w:sz w:val="24"/>
          <w:szCs w:val="24"/>
          <w:lang w:val="el-GR"/>
        </w:rPr>
        <w:t xml:space="preserve"> </w:t>
      </w:r>
      <w:r>
        <w:rPr>
          <w:rFonts w:cstheme="minorHAnsi"/>
          <w:sz w:val="24"/>
          <w:szCs w:val="24"/>
          <w:lang w:val="el-GR"/>
        </w:rPr>
        <w:t>άλλα</w:t>
      </w:r>
      <w:r w:rsidRPr="001834F8">
        <w:rPr>
          <w:rFonts w:cstheme="minorHAnsi"/>
          <w:sz w:val="24"/>
          <w:szCs w:val="24"/>
          <w:lang w:val="el-GR"/>
        </w:rPr>
        <w:t xml:space="preserve"> </w:t>
      </w:r>
      <w:r>
        <w:rPr>
          <w:rFonts w:cstheme="minorHAnsi"/>
          <w:sz w:val="24"/>
          <w:szCs w:val="24"/>
          <w:lang w:val="el-GR"/>
        </w:rPr>
        <w:t>παραρτήματα</w:t>
      </w:r>
      <w:r w:rsidRPr="001834F8">
        <w:rPr>
          <w:rFonts w:cstheme="minorHAnsi"/>
          <w:sz w:val="24"/>
          <w:szCs w:val="24"/>
          <w:lang w:val="el-GR"/>
        </w:rPr>
        <w:t xml:space="preserve"> </w:t>
      </w:r>
      <w:r>
        <w:rPr>
          <w:rFonts w:cstheme="minorHAnsi"/>
          <w:sz w:val="24"/>
          <w:szCs w:val="24"/>
          <w:lang w:val="el-GR"/>
        </w:rPr>
        <w:t>του</w:t>
      </w:r>
      <w:r w:rsidRPr="001834F8">
        <w:rPr>
          <w:rFonts w:cstheme="minorHAnsi"/>
          <w:sz w:val="24"/>
          <w:szCs w:val="24"/>
          <w:lang w:val="el-GR"/>
        </w:rPr>
        <w:t xml:space="preserve"> </w:t>
      </w:r>
      <w:r>
        <w:rPr>
          <w:rFonts w:cstheme="minorHAnsi"/>
          <w:sz w:val="24"/>
          <w:szCs w:val="24"/>
          <w:lang w:val="el-GR"/>
        </w:rPr>
        <w:t>Αστυνομικού</w:t>
      </w:r>
      <w:r w:rsidRPr="001834F8">
        <w:rPr>
          <w:rFonts w:cstheme="minorHAnsi"/>
          <w:sz w:val="24"/>
          <w:szCs w:val="24"/>
          <w:lang w:val="el-GR"/>
        </w:rPr>
        <w:t xml:space="preserve"> </w:t>
      </w:r>
      <w:r>
        <w:rPr>
          <w:rFonts w:cstheme="minorHAnsi"/>
          <w:sz w:val="24"/>
          <w:szCs w:val="24"/>
          <w:lang w:val="el-GR"/>
        </w:rPr>
        <w:t>Σώματος</w:t>
      </w:r>
      <w:r w:rsidR="00220066" w:rsidRPr="001834F8">
        <w:rPr>
          <w:rFonts w:cstheme="minorHAnsi"/>
          <w:sz w:val="24"/>
          <w:szCs w:val="24"/>
          <w:lang w:val="el-GR"/>
        </w:rPr>
        <w:t xml:space="preserve"> </w:t>
      </w:r>
      <w:r>
        <w:rPr>
          <w:rFonts w:cstheme="minorHAnsi"/>
          <w:sz w:val="24"/>
          <w:szCs w:val="24"/>
          <w:lang w:val="el-GR"/>
        </w:rPr>
        <w:t>που</w:t>
      </w:r>
      <w:r w:rsidRPr="001834F8">
        <w:rPr>
          <w:rFonts w:cstheme="minorHAnsi"/>
          <w:sz w:val="24"/>
          <w:szCs w:val="24"/>
          <w:lang w:val="el-GR"/>
        </w:rPr>
        <w:t xml:space="preserve"> </w:t>
      </w:r>
      <w:r>
        <w:rPr>
          <w:rFonts w:cstheme="minorHAnsi"/>
          <w:sz w:val="24"/>
          <w:szCs w:val="24"/>
          <w:lang w:val="el-GR"/>
        </w:rPr>
        <w:t>ανήκουν σε δύο ξεχωριστ</w:t>
      </w:r>
      <w:r w:rsidR="004D5145">
        <w:rPr>
          <w:rFonts w:cstheme="minorHAnsi"/>
          <w:sz w:val="24"/>
          <w:szCs w:val="24"/>
          <w:lang w:val="el-GR"/>
        </w:rPr>
        <w:t>ές Συντεχνίες</w:t>
      </w:r>
      <w:r w:rsidR="00220066" w:rsidRPr="001834F8">
        <w:rPr>
          <w:rFonts w:cstheme="minorHAnsi"/>
          <w:sz w:val="24"/>
          <w:szCs w:val="24"/>
          <w:lang w:val="el-GR"/>
        </w:rPr>
        <w:t xml:space="preserve">, </w:t>
      </w:r>
      <w:r w:rsidR="004D5145">
        <w:rPr>
          <w:rFonts w:cstheme="minorHAnsi"/>
          <w:sz w:val="24"/>
          <w:szCs w:val="24"/>
          <w:lang w:val="el-GR"/>
        </w:rPr>
        <w:t>δηλαδή την Ανεξάρτητη Συντεχνία Δημοσίων Υπαλλήλων</w:t>
      </w:r>
      <w:r w:rsidR="00220066" w:rsidRPr="001834F8">
        <w:rPr>
          <w:rFonts w:cstheme="minorHAnsi"/>
          <w:sz w:val="24"/>
          <w:szCs w:val="24"/>
          <w:lang w:val="el-GR"/>
        </w:rPr>
        <w:t xml:space="preserve"> </w:t>
      </w:r>
      <w:r w:rsidR="004D5145">
        <w:rPr>
          <w:rFonts w:cstheme="minorHAnsi"/>
          <w:sz w:val="24"/>
          <w:szCs w:val="24"/>
          <w:lang w:val="el-GR"/>
        </w:rPr>
        <w:t>και την Παγκύπρια Συντεχνία Ισότητα</w:t>
      </w:r>
      <w:r w:rsidR="00220066" w:rsidRPr="001834F8">
        <w:rPr>
          <w:rFonts w:cstheme="minorHAnsi"/>
          <w:sz w:val="24"/>
          <w:szCs w:val="24"/>
          <w:lang w:val="el-GR"/>
        </w:rPr>
        <w:t xml:space="preserve">. </w:t>
      </w:r>
      <w:r>
        <w:rPr>
          <w:rFonts w:cstheme="minorHAnsi"/>
          <w:sz w:val="24"/>
          <w:szCs w:val="24"/>
          <w:lang w:val="el-GR"/>
        </w:rPr>
        <w:t>Επιπλέον</w:t>
      </w:r>
      <w:r w:rsidR="00220066" w:rsidRPr="001834F8">
        <w:rPr>
          <w:rFonts w:cstheme="minorHAnsi"/>
          <w:sz w:val="24"/>
          <w:szCs w:val="24"/>
          <w:lang w:val="el-GR"/>
        </w:rPr>
        <w:t xml:space="preserve">, </w:t>
      </w:r>
      <w:r>
        <w:rPr>
          <w:rFonts w:cstheme="minorHAnsi"/>
          <w:sz w:val="24"/>
          <w:szCs w:val="24"/>
          <w:lang w:val="el-GR"/>
        </w:rPr>
        <w:t>ο</w:t>
      </w:r>
      <w:r w:rsidRPr="001834F8">
        <w:rPr>
          <w:rFonts w:cstheme="minorHAnsi"/>
          <w:sz w:val="24"/>
          <w:szCs w:val="24"/>
          <w:lang w:val="el-GR"/>
        </w:rPr>
        <w:t xml:space="preserve"> </w:t>
      </w:r>
      <w:r>
        <w:rPr>
          <w:rFonts w:cstheme="minorHAnsi"/>
          <w:sz w:val="24"/>
          <w:szCs w:val="24"/>
          <w:lang w:val="el-GR"/>
        </w:rPr>
        <w:t>Επαγγελματικός</w:t>
      </w:r>
      <w:r w:rsidRPr="001834F8">
        <w:rPr>
          <w:rFonts w:cstheme="minorHAnsi"/>
          <w:sz w:val="24"/>
          <w:szCs w:val="24"/>
          <w:lang w:val="el-GR"/>
        </w:rPr>
        <w:t xml:space="preserve"> </w:t>
      </w:r>
      <w:r>
        <w:rPr>
          <w:rFonts w:cstheme="minorHAnsi"/>
          <w:sz w:val="24"/>
          <w:szCs w:val="24"/>
          <w:lang w:val="el-GR"/>
        </w:rPr>
        <w:t>Σύνδεσμος</w:t>
      </w:r>
      <w:r w:rsidR="00220066" w:rsidRPr="001834F8">
        <w:rPr>
          <w:rFonts w:cstheme="minorHAnsi"/>
          <w:sz w:val="24"/>
          <w:szCs w:val="24"/>
          <w:lang w:val="el-GR"/>
        </w:rPr>
        <w:t xml:space="preserve"> </w:t>
      </w:r>
      <w:r>
        <w:rPr>
          <w:rFonts w:cstheme="minorHAnsi"/>
          <w:sz w:val="24"/>
          <w:szCs w:val="24"/>
          <w:lang w:val="el-GR"/>
        </w:rPr>
        <w:t>για</w:t>
      </w:r>
      <w:r w:rsidRPr="001834F8">
        <w:rPr>
          <w:rFonts w:cstheme="minorHAnsi"/>
          <w:sz w:val="24"/>
          <w:szCs w:val="24"/>
          <w:lang w:val="el-GR"/>
        </w:rPr>
        <w:t xml:space="preserve"> </w:t>
      </w:r>
      <w:r>
        <w:rPr>
          <w:rFonts w:cstheme="minorHAnsi"/>
          <w:sz w:val="24"/>
          <w:szCs w:val="24"/>
          <w:lang w:val="el-GR"/>
        </w:rPr>
        <w:t>Μέλη</w:t>
      </w:r>
      <w:r w:rsidRPr="001834F8">
        <w:rPr>
          <w:rFonts w:cstheme="minorHAnsi"/>
          <w:sz w:val="24"/>
          <w:szCs w:val="24"/>
          <w:lang w:val="el-GR"/>
        </w:rPr>
        <w:t xml:space="preserve"> </w:t>
      </w:r>
      <w:r>
        <w:rPr>
          <w:rFonts w:cstheme="minorHAnsi"/>
          <w:sz w:val="24"/>
          <w:szCs w:val="24"/>
          <w:lang w:val="el-GR"/>
        </w:rPr>
        <w:t>της</w:t>
      </w:r>
      <w:r w:rsidRPr="001834F8">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Pr="001834F8">
        <w:rPr>
          <w:rFonts w:cstheme="minorHAnsi"/>
          <w:sz w:val="24"/>
          <w:szCs w:val="24"/>
          <w:lang w:val="el-GR"/>
        </w:rPr>
        <w:t xml:space="preserve"> </w:t>
      </w:r>
      <w:r>
        <w:rPr>
          <w:rFonts w:cstheme="minorHAnsi"/>
          <w:sz w:val="24"/>
          <w:szCs w:val="24"/>
          <w:lang w:val="el-GR"/>
        </w:rPr>
        <w:t>Κύπρου</w:t>
      </w:r>
      <w:r w:rsidR="00220066" w:rsidRPr="001834F8">
        <w:rPr>
          <w:rFonts w:cstheme="minorHAnsi"/>
          <w:sz w:val="24"/>
          <w:szCs w:val="24"/>
          <w:lang w:val="el-GR"/>
        </w:rPr>
        <w:t xml:space="preserve">, </w:t>
      </w:r>
      <w:r>
        <w:rPr>
          <w:rFonts w:cstheme="minorHAnsi"/>
          <w:sz w:val="24"/>
          <w:szCs w:val="24"/>
          <w:lang w:val="el-GR"/>
        </w:rPr>
        <w:t>είναι</w:t>
      </w:r>
      <w:r w:rsidRPr="001834F8">
        <w:rPr>
          <w:rFonts w:cstheme="minorHAnsi"/>
          <w:sz w:val="24"/>
          <w:szCs w:val="24"/>
          <w:lang w:val="el-GR"/>
        </w:rPr>
        <w:t xml:space="preserve"> </w:t>
      </w:r>
      <w:r>
        <w:rPr>
          <w:rFonts w:cstheme="minorHAnsi"/>
          <w:sz w:val="24"/>
          <w:szCs w:val="24"/>
          <w:lang w:val="el-GR"/>
        </w:rPr>
        <w:t>το</w:t>
      </w:r>
      <w:r w:rsidRPr="001834F8">
        <w:rPr>
          <w:rFonts w:cstheme="minorHAnsi"/>
          <w:sz w:val="24"/>
          <w:szCs w:val="24"/>
          <w:lang w:val="el-GR"/>
        </w:rPr>
        <w:t xml:space="preserve"> </w:t>
      </w:r>
      <w:r>
        <w:rPr>
          <w:rFonts w:cstheme="minorHAnsi"/>
          <w:sz w:val="24"/>
          <w:szCs w:val="24"/>
          <w:lang w:val="el-GR"/>
        </w:rPr>
        <w:t>Παράρτημα</w:t>
      </w:r>
      <w:r w:rsidRPr="001834F8">
        <w:rPr>
          <w:rFonts w:cstheme="minorHAnsi"/>
          <w:sz w:val="24"/>
          <w:szCs w:val="24"/>
          <w:lang w:val="el-GR"/>
        </w:rPr>
        <w:t xml:space="preserve"> </w:t>
      </w:r>
      <w:r>
        <w:rPr>
          <w:rFonts w:cstheme="minorHAnsi"/>
          <w:sz w:val="24"/>
          <w:szCs w:val="24"/>
          <w:lang w:val="el-GR"/>
        </w:rPr>
        <w:t>Κύπρου</w:t>
      </w:r>
      <w:r w:rsidRPr="001834F8">
        <w:rPr>
          <w:rFonts w:cstheme="minorHAnsi"/>
          <w:sz w:val="24"/>
          <w:szCs w:val="24"/>
          <w:lang w:val="el-GR"/>
        </w:rPr>
        <w:t xml:space="preserve"> </w:t>
      </w:r>
      <w:r>
        <w:rPr>
          <w:rFonts w:cstheme="minorHAnsi"/>
          <w:sz w:val="24"/>
          <w:szCs w:val="24"/>
          <w:lang w:val="el-GR"/>
        </w:rPr>
        <w:t>του</w:t>
      </w:r>
      <w:r w:rsidRPr="001834F8">
        <w:rPr>
          <w:rFonts w:cstheme="minorHAnsi"/>
          <w:sz w:val="24"/>
          <w:szCs w:val="24"/>
          <w:lang w:val="el-GR"/>
        </w:rPr>
        <w:t xml:space="preserve"> </w:t>
      </w:r>
      <w:r>
        <w:rPr>
          <w:rFonts w:cstheme="minorHAnsi"/>
          <w:sz w:val="24"/>
          <w:szCs w:val="24"/>
          <w:lang w:val="el-GR"/>
        </w:rPr>
        <w:t>Διεθνούς</w:t>
      </w:r>
      <w:r w:rsidRPr="001834F8">
        <w:rPr>
          <w:rFonts w:cstheme="minorHAnsi"/>
          <w:sz w:val="24"/>
          <w:szCs w:val="24"/>
          <w:lang w:val="el-GR"/>
        </w:rPr>
        <w:t xml:space="preserve"> </w:t>
      </w:r>
      <w:r>
        <w:rPr>
          <w:rFonts w:cstheme="minorHAnsi"/>
          <w:sz w:val="24"/>
          <w:szCs w:val="24"/>
          <w:lang w:val="el-GR"/>
        </w:rPr>
        <w:t>Συνδέσμου</w:t>
      </w:r>
      <w:r w:rsidRPr="001834F8">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1834F8">
        <w:rPr>
          <w:rFonts w:cstheme="minorHAnsi"/>
          <w:sz w:val="24"/>
          <w:szCs w:val="24"/>
          <w:lang w:val="el-GR"/>
        </w:rPr>
        <w:t xml:space="preserve">, </w:t>
      </w:r>
      <w:r>
        <w:rPr>
          <w:rFonts w:cstheme="minorHAnsi"/>
          <w:sz w:val="24"/>
          <w:szCs w:val="24"/>
          <w:lang w:val="el-GR"/>
        </w:rPr>
        <w:t>που</w:t>
      </w:r>
      <w:r w:rsidRPr="001834F8">
        <w:rPr>
          <w:rFonts w:cstheme="minorHAnsi"/>
          <w:sz w:val="24"/>
          <w:szCs w:val="24"/>
          <w:lang w:val="el-GR"/>
        </w:rPr>
        <w:t xml:space="preserve"> </w:t>
      </w:r>
      <w:r w:rsidR="00622A46">
        <w:rPr>
          <w:rFonts w:cstheme="minorHAnsi"/>
          <w:sz w:val="24"/>
          <w:szCs w:val="24"/>
          <w:lang w:val="el-GR"/>
        </w:rPr>
        <w:t>δι</w:t>
      </w:r>
      <w:r>
        <w:rPr>
          <w:rFonts w:cstheme="minorHAnsi"/>
          <w:sz w:val="24"/>
          <w:szCs w:val="24"/>
          <w:lang w:val="el-GR"/>
        </w:rPr>
        <w:t>οργανώνει κοινωνικές συνάξεις</w:t>
      </w:r>
      <w:r w:rsidR="00220066" w:rsidRPr="001834F8">
        <w:rPr>
          <w:rFonts w:cstheme="minorHAnsi"/>
          <w:sz w:val="24"/>
          <w:szCs w:val="24"/>
          <w:lang w:val="el-GR"/>
        </w:rPr>
        <w:t xml:space="preserve"> (</w:t>
      </w:r>
      <w:r>
        <w:rPr>
          <w:rFonts w:cstheme="minorHAnsi"/>
          <w:sz w:val="24"/>
          <w:szCs w:val="24"/>
          <w:lang w:val="el-GR"/>
        </w:rPr>
        <w:t>ετήσιες</w:t>
      </w:r>
      <w:r w:rsidR="00220066" w:rsidRPr="001834F8">
        <w:rPr>
          <w:rFonts w:cstheme="minorHAnsi"/>
          <w:sz w:val="24"/>
          <w:szCs w:val="24"/>
          <w:lang w:val="el-GR"/>
        </w:rPr>
        <w:t xml:space="preserve">) </w:t>
      </w:r>
      <w:r>
        <w:rPr>
          <w:rFonts w:cstheme="minorHAnsi"/>
          <w:sz w:val="24"/>
          <w:szCs w:val="24"/>
          <w:lang w:val="el-GR"/>
        </w:rPr>
        <w:t>και εκπαιδεύσεις αστυνομικών</w:t>
      </w:r>
      <w:r w:rsidR="00220066" w:rsidRPr="001834F8">
        <w:rPr>
          <w:rFonts w:cstheme="minorHAnsi"/>
          <w:sz w:val="24"/>
          <w:szCs w:val="24"/>
          <w:lang w:val="el-GR"/>
        </w:rPr>
        <w:t xml:space="preserve">, </w:t>
      </w:r>
      <w:r>
        <w:rPr>
          <w:rFonts w:cstheme="minorHAnsi"/>
          <w:sz w:val="24"/>
          <w:szCs w:val="24"/>
          <w:lang w:val="el-GR"/>
        </w:rPr>
        <w:t>καθώς επίσης και επισκέψεις στο εξωτερικό</w:t>
      </w:r>
      <w:r w:rsidR="00220066" w:rsidRPr="001834F8">
        <w:rPr>
          <w:rFonts w:cstheme="minorHAnsi"/>
          <w:sz w:val="24"/>
          <w:szCs w:val="24"/>
          <w:lang w:val="el-GR"/>
        </w:rPr>
        <w:t>.</w:t>
      </w:r>
    </w:p>
    <w:p w14:paraId="73DDB30E" w14:textId="77777777" w:rsidR="00220066" w:rsidRPr="001834F8" w:rsidRDefault="00220066" w:rsidP="00220066">
      <w:pPr>
        <w:tabs>
          <w:tab w:val="left" w:pos="709"/>
        </w:tabs>
        <w:rPr>
          <w:rFonts w:cstheme="minorHAnsi"/>
          <w:sz w:val="24"/>
          <w:szCs w:val="24"/>
          <w:lang w:val="el-GR"/>
        </w:rPr>
      </w:pPr>
    </w:p>
    <w:p w14:paraId="1B2B1B0C" w14:textId="43B36C2A" w:rsidR="00220066" w:rsidRPr="004D5145" w:rsidRDefault="004D5145" w:rsidP="00220066">
      <w:pPr>
        <w:pStyle w:val="Heading2"/>
        <w:keepLines w:val="0"/>
        <w:widowControl w:val="0"/>
        <w:tabs>
          <w:tab w:val="left" w:pos="709"/>
        </w:tabs>
        <w:spacing w:before="0"/>
        <w:rPr>
          <w:rFonts w:asciiTheme="minorHAnsi" w:hAnsiTheme="minorHAnsi" w:cstheme="minorHAnsi"/>
          <w:b w:val="0"/>
          <w:bCs w:val="0"/>
          <w:color w:val="auto"/>
          <w:sz w:val="24"/>
          <w:szCs w:val="24"/>
          <w:u w:val="single"/>
          <w:lang w:val="el-GR"/>
        </w:rPr>
      </w:pPr>
      <w:bookmarkStart w:id="187" w:name="_Toc110430327"/>
      <w:bookmarkStart w:id="188" w:name="_Toc117445166"/>
      <w:bookmarkStart w:id="189" w:name="_Toc136879370"/>
      <w:r>
        <w:rPr>
          <w:rFonts w:asciiTheme="minorHAnsi" w:hAnsiTheme="minorHAnsi" w:cstheme="minorHAnsi"/>
          <w:b w:val="0"/>
          <w:bCs w:val="0"/>
          <w:color w:val="auto"/>
          <w:sz w:val="24"/>
          <w:szCs w:val="24"/>
          <w:u w:val="single"/>
          <w:lang w:val="el-GR"/>
        </w:rPr>
        <w:t>Πολιτική Ακεραιότητας και Κατά της Διαφθοράς</w:t>
      </w:r>
      <w:bookmarkEnd w:id="187"/>
      <w:bookmarkEnd w:id="188"/>
      <w:bookmarkEnd w:id="189"/>
    </w:p>
    <w:p w14:paraId="5FB951AE" w14:textId="77777777" w:rsidR="00220066" w:rsidRPr="004D5145" w:rsidRDefault="00220066" w:rsidP="00220066">
      <w:pPr>
        <w:keepNext/>
        <w:widowControl w:val="0"/>
        <w:tabs>
          <w:tab w:val="left" w:pos="709"/>
        </w:tabs>
        <w:rPr>
          <w:rFonts w:cstheme="minorHAnsi"/>
          <w:sz w:val="24"/>
          <w:szCs w:val="24"/>
          <w:lang w:val="el-GR"/>
        </w:rPr>
      </w:pPr>
    </w:p>
    <w:p w14:paraId="637F747F" w14:textId="6CB71968" w:rsidR="00220066" w:rsidRPr="003C498E" w:rsidRDefault="003C498E" w:rsidP="00220066">
      <w:pPr>
        <w:pStyle w:val="Heading3"/>
        <w:keepLines w:val="0"/>
        <w:widowControl w:val="0"/>
        <w:tabs>
          <w:tab w:val="left" w:pos="709"/>
        </w:tabs>
        <w:spacing w:before="0"/>
        <w:rPr>
          <w:rFonts w:asciiTheme="minorHAnsi" w:hAnsiTheme="minorHAnsi" w:cstheme="minorHAnsi"/>
          <w:b w:val="0"/>
          <w:i/>
          <w:color w:val="auto"/>
          <w:sz w:val="24"/>
          <w:szCs w:val="24"/>
          <w:lang w:val="el-GR"/>
        </w:rPr>
      </w:pPr>
      <w:bookmarkStart w:id="190" w:name="_Toc110430328"/>
      <w:bookmarkStart w:id="191" w:name="_Toc117445167"/>
      <w:bookmarkStart w:id="192" w:name="_Toc136879371"/>
      <w:r>
        <w:rPr>
          <w:rFonts w:asciiTheme="minorHAnsi" w:hAnsiTheme="minorHAnsi" w:cstheme="minorHAnsi"/>
          <w:b w:val="0"/>
          <w:i/>
          <w:color w:val="auto"/>
          <w:sz w:val="24"/>
          <w:szCs w:val="24"/>
          <w:lang w:val="el-GR"/>
        </w:rPr>
        <w:t>Πολιτική</w:t>
      </w:r>
      <w:r w:rsidR="00220066" w:rsidRPr="003C498E">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προγραμματισμός</w:t>
      </w:r>
      <w:r w:rsidRPr="003C498E">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και</w:t>
      </w:r>
      <w:r w:rsidRPr="003C498E">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μέτρα</w:t>
      </w:r>
      <w:r w:rsidRPr="003C498E">
        <w:rPr>
          <w:rFonts w:asciiTheme="minorHAnsi" w:hAnsiTheme="minorHAnsi" w:cstheme="minorHAnsi"/>
          <w:b w:val="0"/>
          <w:i/>
          <w:color w:val="auto"/>
          <w:sz w:val="24"/>
          <w:szCs w:val="24"/>
          <w:lang w:val="el-GR"/>
        </w:rPr>
        <w:t xml:space="preserve"> </w:t>
      </w:r>
      <w:r w:rsidR="00C9244D">
        <w:rPr>
          <w:rFonts w:asciiTheme="minorHAnsi" w:hAnsiTheme="minorHAnsi" w:cstheme="minorHAnsi"/>
          <w:b w:val="0"/>
          <w:i/>
          <w:color w:val="auto"/>
          <w:sz w:val="24"/>
          <w:szCs w:val="24"/>
          <w:lang w:val="el-GR"/>
        </w:rPr>
        <w:t>διαχείρισης</w:t>
      </w:r>
      <w:r w:rsidRPr="003C498E">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κινδύνου για τομείς</w:t>
      </w:r>
      <w:r w:rsidRPr="003C498E">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που είναι επιρρεπής στην διαφθορά</w:t>
      </w:r>
      <w:bookmarkEnd w:id="190"/>
      <w:bookmarkEnd w:id="191"/>
      <w:bookmarkEnd w:id="192"/>
      <w:r w:rsidR="00220066" w:rsidRPr="003C498E">
        <w:rPr>
          <w:rFonts w:asciiTheme="minorHAnsi" w:hAnsiTheme="minorHAnsi" w:cstheme="minorHAnsi"/>
          <w:b w:val="0"/>
          <w:i/>
          <w:color w:val="auto"/>
          <w:sz w:val="24"/>
          <w:szCs w:val="24"/>
          <w:lang w:val="el-GR"/>
        </w:rPr>
        <w:t xml:space="preserve"> </w:t>
      </w:r>
    </w:p>
    <w:p w14:paraId="2BA528BE" w14:textId="77777777" w:rsidR="00220066" w:rsidRPr="003C498E" w:rsidRDefault="00220066" w:rsidP="00220066">
      <w:pPr>
        <w:widowControl w:val="0"/>
        <w:rPr>
          <w:rFonts w:cstheme="minorHAnsi"/>
          <w:sz w:val="24"/>
          <w:szCs w:val="24"/>
          <w:lang w:val="el-GR"/>
        </w:rPr>
      </w:pPr>
    </w:p>
    <w:p w14:paraId="7A18DD7B" w14:textId="1ECB63CD" w:rsidR="00220066" w:rsidRPr="003C498E" w:rsidRDefault="003C498E" w:rsidP="00220066">
      <w:pPr>
        <w:widowControl w:val="0"/>
        <w:numPr>
          <w:ilvl w:val="0"/>
          <w:numId w:val="1"/>
        </w:numPr>
        <w:tabs>
          <w:tab w:val="left" w:pos="709"/>
        </w:tabs>
        <w:ind w:left="0" w:firstLine="0"/>
        <w:rPr>
          <w:rFonts w:cstheme="minorHAnsi"/>
          <w:sz w:val="24"/>
          <w:szCs w:val="24"/>
          <w:lang w:val="el-GR"/>
        </w:rPr>
      </w:pPr>
      <w:bookmarkStart w:id="193" w:name="_Hlk114567336"/>
      <w:r>
        <w:rPr>
          <w:rFonts w:cstheme="minorHAnsi"/>
          <w:sz w:val="24"/>
          <w:szCs w:val="24"/>
          <w:lang w:val="el-GR"/>
        </w:rPr>
        <w:t>Στα</w:t>
      </w:r>
      <w:r w:rsidRPr="003C498E">
        <w:rPr>
          <w:rFonts w:cstheme="minorHAnsi"/>
          <w:sz w:val="24"/>
          <w:szCs w:val="24"/>
          <w:lang w:val="el-GR"/>
        </w:rPr>
        <w:t xml:space="preserve"> </w:t>
      </w:r>
      <w:r>
        <w:rPr>
          <w:rFonts w:cstheme="minorHAnsi"/>
          <w:sz w:val="24"/>
          <w:szCs w:val="24"/>
          <w:lang w:val="el-GR"/>
        </w:rPr>
        <w:t>πλαίσια</w:t>
      </w:r>
      <w:r w:rsidRPr="003C498E">
        <w:rPr>
          <w:rFonts w:cstheme="minorHAnsi"/>
          <w:sz w:val="24"/>
          <w:szCs w:val="24"/>
          <w:lang w:val="el-GR"/>
        </w:rPr>
        <w:t xml:space="preserve"> </w:t>
      </w:r>
      <w:r>
        <w:rPr>
          <w:rFonts w:cstheme="minorHAnsi"/>
          <w:sz w:val="24"/>
          <w:szCs w:val="24"/>
          <w:lang w:val="el-GR"/>
        </w:rPr>
        <w:t>της</w:t>
      </w:r>
      <w:r w:rsidRPr="003C498E">
        <w:rPr>
          <w:rFonts w:cstheme="minorHAnsi"/>
          <w:sz w:val="24"/>
          <w:szCs w:val="24"/>
          <w:lang w:val="el-GR"/>
        </w:rPr>
        <w:t xml:space="preserve"> </w:t>
      </w:r>
      <w:r>
        <w:rPr>
          <w:rFonts w:cstheme="minorHAnsi"/>
          <w:sz w:val="24"/>
          <w:szCs w:val="24"/>
          <w:lang w:val="el-GR"/>
        </w:rPr>
        <w:t>Εθνικής</w:t>
      </w:r>
      <w:r w:rsidRPr="003C498E">
        <w:rPr>
          <w:rFonts w:cstheme="minorHAnsi"/>
          <w:sz w:val="24"/>
          <w:szCs w:val="24"/>
          <w:lang w:val="el-GR"/>
        </w:rPr>
        <w:t xml:space="preserve"> </w:t>
      </w:r>
      <w:r>
        <w:rPr>
          <w:rFonts w:cstheme="minorHAnsi"/>
          <w:sz w:val="24"/>
          <w:szCs w:val="24"/>
          <w:lang w:val="el-GR"/>
        </w:rPr>
        <w:t>Στρατηγικής</w:t>
      </w:r>
      <w:r w:rsidRPr="003C498E">
        <w:rPr>
          <w:rFonts w:cstheme="minorHAnsi"/>
          <w:sz w:val="24"/>
          <w:szCs w:val="24"/>
          <w:lang w:val="el-GR"/>
        </w:rPr>
        <w:t xml:space="preserve"> </w:t>
      </w:r>
      <w:r>
        <w:rPr>
          <w:rFonts w:cstheme="minorHAnsi"/>
          <w:sz w:val="24"/>
          <w:szCs w:val="24"/>
          <w:lang w:val="el-GR"/>
        </w:rPr>
        <w:t>Κατά</w:t>
      </w:r>
      <w:r w:rsidRPr="003C498E">
        <w:rPr>
          <w:rFonts w:cstheme="minorHAnsi"/>
          <w:sz w:val="24"/>
          <w:szCs w:val="24"/>
          <w:lang w:val="el-GR"/>
        </w:rPr>
        <w:t xml:space="preserve"> </w:t>
      </w:r>
      <w:r>
        <w:rPr>
          <w:rFonts w:cstheme="minorHAnsi"/>
          <w:sz w:val="24"/>
          <w:szCs w:val="24"/>
          <w:lang w:val="el-GR"/>
        </w:rPr>
        <w:t>της</w:t>
      </w:r>
      <w:r w:rsidRPr="003C498E">
        <w:rPr>
          <w:rFonts w:cstheme="minorHAnsi"/>
          <w:sz w:val="24"/>
          <w:szCs w:val="24"/>
          <w:lang w:val="el-GR"/>
        </w:rPr>
        <w:t xml:space="preserve"> </w:t>
      </w:r>
      <w:r>
        <w:rPr>
          <w:rFonts w:cstheme="minorHAnsi"/>
          <w:sz w:val="24"/>
          <w:szCs w:val="24"/>
          <w:lang w:val="el-GR"/>
        </w:rPr>
        <w:t>Διαφθοράς</w:t>
      </w:r>
      <w:r w:rsidR="00220066" w:rsidRPr="003C498E">
        <w:rPr>
          <w:rFonts w:cstheme="minorHAnsi"/>
          <w:sz w:val="24"/>
          <w:szCs w:val="24"/>
          <w:lang w:val="el-GR"/>
        </w:rPr>
        <w:t xml:space="preserve">, </w:t>
      </w:r>
      <w:r>
        <w:rPr>
          <w:rFonts w:cstheme="minorHAnsi"/>
          <w:sz w:val="24"/>
          <w:szCs w:val="24"/>
          <w:lang w:val="el-GR"/>
        </w:rPr>
        <w:t>ιδρ</w:t>
      </w:r>
      <w:r w:rsidR="00622A46">
        <w:rPr>
          <w:rFonts w:cstheme="minorHAnsi"/>
          <w:sz w:val="24"/>
          <w:szCs w:val="24"/>
          <w:lang w:val="el-GR"/>
        </w:rPr>
        <w:t>ύθηκε</w:t>
      </w:r>
      <w:r>
        <w:rPr>
          <w:rFonts w:cstheme="minorHAnsi"/>
          <w:sz w:val="24"/>
          <w:szCs w:val="24"/>
          <w:lang w:val="el-GR"/>
        </w:rPr>
        <w:t xml:space="preserve"> η</w:t>
      </w:r>
      <w:r w:rsidRPr="003C498E">
        <w:rPr>
          <w:rFonts w:cstheme="minorHAnsi"/>
          <w:sz w:val="24"/>
          <w:szCs w:val="24"/>
          <w:lang w:val="el-GR"/>
        </w:rPr>
        <w:t xml:space="preserve"> </w:t>
      </w:r>
      <w:r>
        <w:rPr>
          <w:rFonts w:cstheme="minorHAnsi"/>
          <w:sz w:val="24"/>
          <w:szCs w:val="24"/>
          <w:lang w:val="el-GR"/>
        </w:rPr>
        <w:t>Υπηρεσία</w:t>
      </w:r>
      <w:r w:rsidRPr="003C498E">
        <w:rPr>
          <w:rFonts w:cstheme="minorHAnsi"/>
          <w:sz w:val="24"/>
          <w:szCs w:val="24"/>
          <w:lang w:val="el-GR"/>
        </w:rPr>
        <w:t xml:space="preserve"> </w:t>
      </w:r>
      <w:r>
        <w:rPr>
          <w:rFonts w:cstheme="minorHAnsi"/>
          <w:sz w:val="24"/>
          <w:szCs w:val="24"/>
          <w:lang w:val="el-GR"/>
        </w:rPr>
        <w:t>Εσωτερικών</w:t>
      </w:r>
      <w:r w:rsidRPr="003C498E">
        <w:rPr>
          <w:rFonts w:cstheme="minorHAnsi"/>
          <w:sz w:val="24"/>
          <w:szCs w:val="24"/>
          <w:lang w:val="el-GR"/>
        </w:rPr>
        <w:t xml:space="preserve"> </w:t>
      </w:r>
      <w:r>
        <w:rPr>
          <w:rFonts w:cstheme="minorHAnsi"/>
          <w:sz w:val="24"/>
          <w:szCs w:val="24"/>
          <w:lang w:val="el-GR"/>
        </w:rPr>
        <w:t xml:space="preserve">Υποθέσεων της </w:t>
      </w:r>
      <w:r w:rsidR="009C4E34">
        <w:rPr>
          <w:rFonts w:cstheme="minorHAnsi"/>
          <w:sz w:val="24"/>
          <w:szCs w:val="24"/>
          <w:lang w:val="el-GR"/>
        </w:rPr>
        <w:t>Αστυνομία</w:t>
      </w:r>
      <w:r>
        <w:rPr>
          <w:rFonts w:cstheme="minorHAnsi"/>
          <w:sz w:val="24"/>
          <w:szCs w:val="24"/>
          <w:lang w:val="el-GR"/>
        </w:rPr>
        <w:t>ς</w:t>
      </w:r>
      <w:r w:rsidR="00220066" w:rsidRPr="003C498E">
        <w:rPr>
          <w:rFonts w:cstheme="minorHAnsi"/>
          <w:sz w:val="24"/>
          <w:szCs w:val="24"/>
          <w:lang w:val="el-GR"/>
        </w:rPr>
        <w:t xml:space="preserve"> (</w:t>
      </w:r>
      <w:r>
        <w:rPr>
          <w:rFonts w:cstheme="minorHAnsi"/>
          <w:sz w:val="24"/>
          <w:szCs w:val="24"/>
          <w:lang w:val="el-GR"/>
        </w:rPr>
        <w:t>στο εξής</w:t>
      </w:r>
      <w:r w:rsidR="00220066" w:rsidRPr="003C498E">
        <w:rPr>
          <w:rFonts w:cstheme="minorHAnsi"/>
          <w:sz w:val="24"/>
          <w:szCs w:val="24"/>
          <w:lang w:val="el-GR"/>
        </w:rPr>
        <w:t xml:space="preserve">: </w:t>
      </w:r>
      <w:r w:rsidR="00220066" w:rsidRPr="004E251E">
        <w:rPr>
          <w:rFonts w:cstheme="minorHAnsi"/>
          <w:sz w:val="24"/>
          <w:szCs w:val="24"/>
        </w:rPr>
        <w:t>P</w:t>
      </w:r>
      <w:r w:rsidR="00220066" w:rsidRPr="003C498E">
        <w:rPr>
          <w:rFonts w:cstheme="minorHAnsi"/>
          <w:sz w:val="24"/>
          <w:szCs w:val="24"/>
          <w:lang w:val="el-GR"/>
        </w:rPr>
        <w:t>.</w:t>
      </w:r>
      <w:r w:rsidR="00220066" w:rsidRPr="004E251E">
        <w:rPr>
          <w:rFonts w:cstheme="minorHAnsi"/>
          <w:sz w:val="24"/>
          <w:szCs w:val="24"/>
        </w:rPr>
        <w:t>I</w:t>
      </w:r>
      <w:r w:rsidR="00220066" w:rsidRPr="003C498E">
        <w:rPr>
          <w:rFonts w:cstheme="minorHAnsi"/>
          <w:sz w:val="24"/>
          <w:szCs w:val="24"/>
          <w:lang w:val="el-GR"/>
        </w:rPr>
        <w:t>.</w:t>
      </w:r>
      <w:r w:rsidR="00220066" w:rsidRPr="004E251E">
        <w:rPr>
          <w:rFonts w:cstheme="minorHAnsi"/>
          <w:sz w:val="24"/>
          <w:szCs w:val="24"/>
        </w:rPr>
        <w:t>A</w:t>
      </w:r>
      <w:r w:rsidR="00220066" w:rsidRPr="003C498E">
        <w:rPr>
          <w:rFonts w:cstheme="minorHAnsi"/>
          <w:sz w:val="24"/>
          <w:szCs w:val="24"/>
          <w:lang w:val="el-GR"/>
        </w:rPr>
        <w:t>.</w:t>
      </w:r>
      <w:r w:rsidR="00220066" w:rsidRPr="004E251E">
        <w:rPr>
          <w:rFonts w:cstheme="minorHAnsi"/>
          <w:sz w:val="24"/>
          <w:szCs w:val="24"/>
        </w:rPr>
        <w:t>S</w:t>
      </w:r>
      <w:r w:rsidR="00220066" w:rsidRPr="003C498E">
        <w:rPr>
          <w:rFonts w:cstheme="minorHAnsi"/>
          <w:sz w:val="24"/>
          <w:szCs w:val="24"/>
          <w:lang w:val="el-GR"/>
        </w:rPr>
        <w:t>.)</w:t>
      </w:r>
      <w:r w:rsidR="00622A46">
        <w:rPr>
          <w:rFonts w:cstheme="minorHAnsi"/>
          <w:sz w:val="24"/>
          <w:szCs w:val="24"/>
          <w:lang w:val="el-GR"/>
        </w:rPr>
        <w:t>,</w:t>
      </w:r>
      <w:r w:rsidR="00220066" w:rsidRPr="003C498E">
        <w:rPr>
          <w:rFonts w:cstheme="minorHAnsi"/>
          <w:sz w:val="24"/>
          <w:szCs w:val="24"/>
          <w:lang w:val="el-GR"/>
        </w:rPr>
        <w:t xml:space="preserve"> </w:t>
      </w:r>
      <w:r>
        <w:rPr>
          <w:rFonts w:cstheme="minorHAnsi"/>
          <w:sz w:val="24"/>
          <w:szCs w:val="24"/>
          <w:lang w:val="el-GR"/>
        </w:rPr>
        <w:t>άρχισε να λειτουργεί</w:t>
      </w:r>
      <w:r w:rsidR="00220066" w:rsidRPr="003C498E">
        <w:rPr>
          <w:rFonts w:cstheme="minorHAnsi"/>
          <w:sz w:val="24"/>
          <w:szCs w:val="24"/>
          <w:lang w:val="el-GR"/>
        </w:rPr>
        <w:t xml:space="preserve"> </w:t>
      </w:r>
      <w:r>
        <w:rPr>
          <w:rFonts w:cstheme="minorHAnsi"/>
          <w:sz w:val="24"/>
          <w:szCs w:val="24"/>
          <w:lang w:val="el-GR"/>
        </w:rPr>
        <w:t>τον Μάρτη του</w:t>
      </w:r>
      <w:r w:rsidR="00220066" w:rsidRPr="003C498E">
        <w:rPr>
          <w:rFonts w:cstheme="minorHAnsi"/>
          <w:sz w:val="24"/>
          <w:szCs w:val="24"/>
          <w:lang w:val="el-GR"/>
        </w:rPr>
        <w:t xml:space="preserve"> 2018. </w:t>
      </w:r>
      <w:r>
        <w:rPr>
          <w:rFonts w:cstheme="minorHAnsi"/>
          <w:sz w:val="24"/>
          <w:szCs w:val="24"/>
          <w:lang w:val="el-GR"/>
        </w:rPr>
        <w:t>Η</w:t>
      </w:r>
      <w:r w:rsidRPr="003C498E">
        <w:rPr>
          <w:rFonts w:cstheme="minorHAnsi"/>
          <w:sz w:val="24"/>
          <w:szCs w:val="24"/>
          <w:lang w:val="el-GR"/>
        </w:rPr>
        <w:t xml:space="preserve"> </w:t>
      </w:r>
      <w:r w:rsidR="00220066" w:rsidRPr="004E251E">
        <w:rPr>
          <w:rFonts w:cstheme="minorHAnsi"/>
          <w:sz w:val="24"/>
          <w:szCs w:val="24"/>
        </w:rPr>
        <w:t>P</w:t>
      </w:r>
      <w:r w:rsidR="00220066" w:rsidRPr="003C498E">
        <w:rPr>
          <w:rFonts w:cstheme="minorHAnsi"/>
          <w:sz w:val="24"/>
          <w:szCs w:val="24"/>
          <w:lang w:val="el-GR"/>
        </w:rPr>
        <w:t>.</w:t>
      </w:r>
      <w:r w:rsidR="00220066" w:rsidRPr="004E251E">
        <w:rPr>
          <w:rFonts w:cstheme="minorHAnsi"/>
          <w:sz w:val="24"/>
          <w:szCs w:val="24"/>
        </w:rPr>
        <w:t>I</w:t>
      </w:r>
      <w:r w:rsidR="00220066" w:rsidRPr="003C498E">
        <w:rPr>
          <w:rFonts w:cstheme="minorHAnsi"/>
          <w:sz w:val="24"/>
          <w:szCs w:val="24"/>
          <w:lang w:val="el-GR"/>
        </w:rPr>
        <w:t>.</w:t>
      </w:r>
      <w:r w:rsidR="00220066" w:rsidRPr="004E251E">
        <w:rPr>
          <w:rFonts w:cstheme="minorHAnsi"/>
          <w:sz w:val="24"/>
          <w:szCs w:val="24"/>
        </w:rPr>
        <w:t>A</w:t>
      </w:r>
      <w:r w:rsidR="00220066" w:rsidRPr="003C498E">
        <w:rPr>
          <w:rFonts w:cstheme="minorHAnsi"/>
          <w:sz w:val="24"/>
          <w:szCs w:val="24"/>
          <w:lang w:val="el-GR"/>
        </w:rPr>
        <w:t>.</w:t>
      </w:r>
      <w:r w:rsidR="00220066" w:rsidRPr="004E251E">
        <w:rPr>
          <w:rFonts w:cstheme="minorHAnsi"/>
          <w:sz w:val="24"/>
          <w:szCs w:val="24"/>
        </w:rPr>
        <w:t>S</w:t>
      </w:r>
      <w:r w:rsidR="00220066" w:rsidRPr="003C498E">
        <w:rPr>
          <w:rFonts w:cstheme="minorHAnsi"/>
          <w:sz w:val="24"/>
          <w:szCs w:val="24"/>
          <w:lang w:val="el-GR"/>
        </w:rPr>
        <w:t xml:space="preserve">. </w:t>
      </w:r>
      <w:r>
        <w:rPr>
          <w:rFonts w:cstheme="minorHAnsi"/>
          <w:sz w:val="24"/>
          <w:szCs w:val="24"/>
          <w:lang w:val="el-GR"/>
        </w:rPr>
        <w:t>διεξάγει</w:t>
      </w:r>
      <w:r w:rsidR="00220066" w:rsidRPr="003C498E">
        <w:rPr>
          <w:rFonts w:cstheme="minorHAnsi"/>
          <w:sz w:val="24"/>
          <w:szCs w:val="24"/>
          <w:lang w:val="el-GR"/>
        </w:rPr>
        <w:t xml:space="preserve">, </w:t>
      </w:r>
      <w:r>
        <w:rPr>
          <w:rFonts w:cstheme="minorHAnsi"/>
          <w:sz w:val="24"/>
          <w:szCs w:val="24"/>
          <w:lang w:val="el-GR"/>
        </w:rPr>
        <w:t>ανάμεσα</w:t>
      </w:r>
      <w:r w:rsidRPr="003C498E">
        <w:rPr>
          <w:rFonts w:cstheme="minorHAnsi"/>
          <w:sz w:val="24"/>
          <w:szCs w:val="24"/>
          <w:lang w:val="el-GR"/>
        </w:rPr>
        <w:t xml:space="preserve"> </w:t>
      </w:r>
      <w:proofErr w:type="spellStart"/>
      <w:r>
        <w:rPr>
          <w:rFonts w:cstheme="minorHAnsi"/>
          <w:sz w:val="24"/>
          <w:szCs w:val="24"/>
          <w:lang w:val="el-GR"/>
        </w:rPr>
        <w:t>σ</w:t>
      </w:r>
      <w:r w:rsidRPr="003C498E">
        <w:rPr>
          <w:rFonts w:cstheme="minorHAnsi"/>
          <w:sz w:val="24"/>
          <w:szCs w:val="24"/>
          <w:lang w:val="el-GR"/>
        </w:rPr>
        <w:t>’</w:t>
      </w:r>
      <w:r>
        <w:rPr>
          <w:rFonts w:cstheme="minorHAnsi"/>
          <w:sz w:val="24"/>
          <w:szCs w:val="24"/>
          <w:lang w:val="el-GR"/>
        </w:rPr>
        <w:t>άλλα</w:t>
      </w:r>
      <w:proofErr w:type="spellEnd"/>
      <w:r w:rsidR="00220066" w:rsidRPr="003C498E">
        <w:rPr>
          <w:rFonts w:cstheme="minorHAnsi"/>
          <w:sz w:val="24"/>
          <w:szCs w:val="24"/>
          <w:lang w:val="el-GR"/>
        </w:rPr>
        <w:t xml:space="preserve">, </w:t>
      </w:r>
      <w:r w:rsidR="00973266">
        <w:rPr>
          <w:rFonts w:cstheme="minorHAnsi"/>
          <w:sz w:val="24"/>
          <w:szCs w:val="24"/>
          <w:lang w:val="el-GR"/>
        </w:rPr>
        <w:t>ελέγχους</w:t>
      </w:r>
      <w:r w:rsidRPr="003C498E">
        <w:rPr>
          <w:rFonts w:cstheme="minorHAnsi"/>
          <w:sz w:val="24"/>
          <w:szCs w:val="24"/>
          <w:lang w:val="el-GR"/>
        </w:rPr>
        <w:t xml:space="preserve"> </w:t>
      </w:r>
      <w:r>
        <w:rPr>
          <w:rFonts w:cstheme="minorHAnsi"/>
          <w:sz w:val="24"/>
          <w:szCs w:val="24"/>
          <w:lang w:val="el-GR"/>
        </w:rPr>
        <w:t>ακεραιότητας</w:t>
      </w:r>
      <w:r w:rsidR="00220066" w:rsidRPr="003C498E">
        <w:rPr>
          <w:rFonts w:cstheme="minorHAnsi"/>
          <w:sz w:val="24"/>
          <w:szCs w:val="24"/>
          <w:lang w:val="el-GR"/>
        </w:rPr>
        <w:t xml:space="preserve">, </w:t>
      </w:r>
      <w:r>
        <w:rPr>
          <w:rFonts w:cstheme="minorHAnsi"/>
          <w:sz w:val="24"/>
          <w:szCs w:val="24"/>
          <w:lang w:val="el-GR"/>
        </w:rPr>
        <w:t>στα</w:t>
      </w:r>
      <w:r w:rsidRPr="003C498E">
        <w:rPr>
          <w:rFonts w:cstheme="minorHAnsi"/>
          <w:sz w:val="24"/>
          <w:szCs w:val="24"/>
          <w:lang w:val="el-GR"/>
        </w:rPr>
        <w:t xml:space="preserve"> </w:t>
      </w:r>
      <w:r>
        <w:rPr>
          <w:rFonts w:cstheme="minorHAnsi"/>
          <w:sz w:val="24"/>
          <w:szCs w:val="24"/>
          <w:lang w:val="el-GR"/>
        </w:rPr>
        <w:t>πλαίσια</w:t>
      </w:r>
      <w:r w:rsidRPr="003C498E">
        <w:rPr>
          <w:rFonts w:cstheme="minorHAnsi"/>
          <w:sz w:val="24"/>
          <w:szCs w:val="24"/>
          <w:lang w:val="el-GR"/>
        </w:rPr>
        <w:t xml:space="preserve"> </w:t>
      </w:r>
      <w:r>
        <w:rPr>
          <w:rFonts w:cstheme="minorHAnsi"/>
          <w:sz w:val="24"/>
          <w:szCs w:val="24"/>
          <w:lang w:val="el-GR"/>
        </w:rPr>
        <w:t>διερεύνησης πληροφοριών</w:t>
      </w:r>
      <w:r w:rsidR="00220066" w:rsidRPr="003C498E">
        <w:rPr>
          <w:rFonts w:cstheme="minorHAnsi"/>
          <w:sz w:val="24"/>
          <w:szCs w:val="24"/>
          <w:lang w:val="el-GR"/>
        </w:rPr>
        <w:t>/</w:t>
      </w:r>
      <w:r>
        <w:rPr>
          <w:rFonts w:cstheme="minorHAnsi"/>
          <w:sz w:val="24"/>
          <w:szCs w:val="24"/>
          <w:lang w:val="el-GR"/>
        </w:rPr>
        <w:t>παραπόνων</w:t>
      </w:r>
      <w:r w:rsidR="00220066" w:rsidRPr="003C498E">
        <w:rPr>
          <w:rFonts w:cstheme="minorHAnsi"/>
          <w:sz w:val="24"/>
          <w:szCs w:val="24"/>
          <w:lang w:val="el-GR"/>
        </w:rPr>
        <w:t xml:space="preserve"> </w:t>
      </w:r>
      <w:r>
        <w:rPr>
          <w:rFonts w:cstheme="minorHAnsi"/>
          <w:sz w:val="24"/>
          <w:szCs w:val="24"/>
          <w:lang w:val="el-GR"/>
        </w:rPr>
        <w:t>για την διαφθορά</w:t>
      </w:r>
      <w:r w:rsidR="00220066" w:rsidRPr="003C498E">
        <w:rPr>
          <w:rFonts w:cstheme="minorHAnsi"/>
          <w:sz w:val="24"/>
          <w:szCs w:val="24"/>
          <w:lang w:val="el-GR"/>
        </w:rPr>
        <w:t xml:space="preserve"> </w:t>
      </w:r>
      <w:r w:rsidR="00622A46">
        <w:rPr>
          <w:rFonts w:cstheme="minorHAnsi"/>
          <w:sz w:val="24"/>
          <w:szCs w:val="24"/>
          <w:lang w:val="el-GR"/>
        </w:rPr>
        <w:t xml:space="preserve">των </w:t>
      </w:r>
      <w:r>
        <w:rPr>
          <w:rFonts w:cstheme="minorHAnsi"/>
          <w:sz w:val="24"/>
          <w:szCs w:val="24"/>
          <w:lang w:val="el-GR"/>
        </w:rPr>
        <w:t>ΑΕΝ</w:t>
      </w:r>
      <w:r w:rsidR="00220066" w:rsidRPr="003C498E">
        <w:rPr>
          <w:rFonts w:cstheme="minorHAnsi"/>
          <w:sz w:val="24"/>
          <w:szCs w:val="24"/>
          <w:lang w:val="el-GR"/>
        </w:rPr>
        <w:t xml:space="preserve">. </w:t>
      </w:r>
      <w:r>
        <w:rPr>
          <w:rFonts w:cstheme="minorHAnsi"/>
          <w:sz w:val="24"/>
          <w:szCs w:val="24"/>
          <w:lang w:val="el-GR"/>
        </w:rPr>
        <w:t>Επίσης</w:t>
      </w:r>
      <w:r w:rsidR="00220066" w:rsidRPr="003C498E">
        <w:rPr>
          <w:rFonts w:cstheme="minorHAnsi"/>
          <w:sz w:val="24"/>
          <w:szCs w:val="24"/>
          <w:lang w:val="el-GR"/>
        </w:rPr>
        <w:t xml:space="preserve">, </w:t>
      </w:r>
      <w:r>
        <w:rPr>
          <w:rFonts w:cstheme="minorHAnsi"/>
          <w:sz w:val="24"/>
          <w:szCs w:val="24"/>
          <w:lang w:val="el-GR"/>
        </w:rPr>
        <w:t>στα</w:t>
      </w:r>
      <w:r w:rsidRPr="003C498E">
        <w:rPr>
          <w:rFonts w:cstheme="minorHAnsi"/>
          <w:sz w:val="24"/>
          <w:szCs w:val="24"/>
          <w:lang w:val="el-GR"/>
        </w:rPr>
        <w:t xml:space="preserve"> </w:t>
      </w:r>
      <w:r>
        <w:rPr>
          <w:rFonts w:cstheme="minorHAnsi"/>
          <w:sz w:val="24"/>
          <w:szCs w:val="24"/>
          <w:lang w:val="el-GR"/>
        </w:rPr>
        <w:t>πλαίσια</w:t>
      </w:r>
      <w:r w:rsidRPr="003C498E">
        <w:rPr>
          <w:rFonts w:cstheme="minorHAnsi"/>
          <w:sz w:val="24"/>
          <w:szCs w:val="24"/>
          <w:lang w:val="el-GR"/>
        </w:rPr>
        <w:t xml:space="preserve"> </w:t>
      </w:r>
      <w:r>
        <w:rPr>
          <w:rFonts w:cstheme="minorHAnsi"/>
          <w:sz w:val="24"/>
          <w:szCs w:val="24"/>
          <w:lang w:val="el-GR"/>
        </w:rPr>
        <w:t>διερεύνησης</w:t>
      </w:r>
      <w:r w:rsidRPr="003C498E">
        <w:rPr>
          <w:rFonts w:cstheme="minorHAnsi"/>
          <w:sz w:val="24"/>
          <w:szCs w:val="24"/>
          <w:lang w:val="el-GR"/>
        </w:rPr>
        <w:t xml:space="preserve"> </w:t>
      </w:r>
      <w:r>
        <w:rPr>
          <w:rFonts w:cstheme="minorHAnsi"/>
          <w:sz w:val="24"/>
          <w:szCs w:val="24"/>
          <w:lang w:val="el-GR"/>
        </w:rPr>
        <w:t>δι</w:t>
      </w:r>
      <w:r w:rsidR="00622A46">
        <w:rPr>
          <w:rFonts w:cstheme="minorHAnsi"/>
          <w:sz w:val="24"/>
          <w:szCs w:val="24"/>
          <w:lang w:val="el-GR"/>
        </w:rPr>
        <w:t>α</w:t>
      </w:r>
      <w:r>
        <w:rPr>
          <w:rFonts w:cstheme="minorHAnsi"/>
          <w:sz w:val="24"/>
          <w:szCs w:val="24"/>
          <w:lang w:val="el-GR"/>
        </w:rPr>
        <w:t>φ</w:t>
      </w:r>
      <w:r w:rsidR="00622A46">
        <w:rPr>
          <w:rFonts w:cstheme="minorHAnsi"/>
          <w:sz w:val="24"/>
          <w:szCs w:val="24"/>
          <w:lang w:val="el-GR"/>
        </w:rPr>
        <w:t>ό</w:t>
      </w:r>
      <w:r>
        <w:rPr>
          <w:rFonts w:cstheme="minorHAnsi"/>
          <w:sz w:val="24"/>
          <w:szCs w:val="24"/>
          <w:lang w:val="el-GR"/>
        </w:rPr>
        <w:t>ρων</w:t>
      </w:r>
      <w:r w:rsidRPr="003C498E">
        <w:rPr>
          <w:rFonts w:cstheme="minorHAnsi"/>
          <w:sz w:val="24"/>
          <w:szCs w:val="24"/>
          <w:lang w:val="el-GR"/>
        </w:rPr>
        <w:t xml:space="preserve"> </w:t>
      </w:r>
      <w:r>
        <w:rPr>
          <w:rFonts w:cstheme="minorHAnsi"/>
          <w:sz w:val="24"/>
          <w:szCs w:val="24"/>
          <w:lang w:val="el-GR"/>
        </w:rPr>
        <w:t>πληροφοριών</w:t>
      </w:r>
      <w:r w:rsidR="00220066" w:rsidRPr="003C498E">
        <w:rPr>
          <w:rFonts w:cstheme="minorHAnsi"/>
          <w:sz w:val="24"/>
          <w:szCs w:val="24"/>
          <w:lang w:val="el-GR"/>
        </w:rPr>
        <w:t>/</w:t>
      </w:r>
      <w:r>
        <w:rPr>
          <w:rFonts w:cstheme="minorHAnsi"/>
          <w:sz w:val="24"/>
          <w:szCs w:val="24"/>
          <w:lang w:val="el-GR"/>
        </w:rPr>
        <w:t>παραπόνων</w:t>
      </w:r>
      <w:r w:rsidR="00220066" w:rsidRPr="003C498E">
        <w:rPr>
          <w:rFonts w:cstheme="minorHAnsi"/>
          <w:sz w:val="24"/>
          <w:szCs w:val="24"/>
          <w:lang w:val="el-GR"/>
        </w:rPr>
        <w:t xml:space="preserve">, </w:t>
      </w:r>
      <w:r>
        <w:rPr>
          <w:rFonts w:cstheme="minorHAnsi"/>
          <w:sz w:val="24"/>
          <w:szCs w:val="24"/>
          <w:lang w:val="el-GR"/>
        </w:rPr>
        <w:t>οποτεδήποτε</w:t>
      </w:r>
      <w:r w:rsidRPr="003C498E">
        <w:rPr>
          <w:rFonts w:cstheme="minorHAnsi"/>
          <w:sz w:val="24"/>
          <w:szCs w:val="24"/>
          <w:lang w:val="el-GR"/>
        </w:rPr>
        <w:t xml:space="preserve"> </w:t>
      </w:r>
      <w:r>
        <w:rPr>
          <w:rFonts w:cstheme="minorHAnsi"/>
          <w:sz w:val="24"/>
          <w:szCs w:val="24"/>
          <w:lang w:val="el-GR"/>
        </w:rPr>
        <w:t>η</w:t>
      </w:r>
      <w:r w:rsidR="00220066" w:rsidRPr="003C498E">
        <w:rPr>
          <w:rFonts w:cstheme="minorHAnsi"/>
          <w:sz w:val="24"/>
          <w:szCs w:val="24"/>
          <w:lang w:val="el-GR"/>
        </w:rPr>
        <w:t xml:space="preserve"> </w:t>
      </w:r>
      <w:r w:rsidR="00220066" w:rsidRPr="004E251E">
        <w:rPr>
          <w:rFonts w:cstheme="minorHAnsi"/>
          <w:sz w:val="24"/>
          <w:szCs w:val="24"/>
        </w:rPr>
        <w:t>P</w:t>
      </w:r>
      <w:r w:rsidR="00220066" w:rsidRPr="003C498E">
        <w:rPr>
          <w:rFonts w:cstheme="minorHAnsi"/>
          <w:sz w:val="24"/>
          <w:szCs w:val="24"/>
          <w:lang w:val="el-GR"/>
        </w:rPr>
        <w:t>.</w:t>
      </w:r>
      <w:r w:rsidR="00220066" w:rsidRPr="004E251E">
        <w:rPr>
          <w:rFonts w:cstheme="minorHAnsi"/>
          <w:sz w:val="24"/>
          <w:szCs w:val="24"/>
        </w:rPr>
        <w:t>I</w:t>
      </w:r>
      <w:r w:rsidR="00220066" w:rsidRPr="003C498E">
        <w:rPr>
          <w:rFonts w:cstheme="minorHAnsi"/>
          <w:sz w:val="24"/>
          <w:szCs w:val="24"/>
          <w:lang w:val="el-GR"/>
        </w:rPr>
        <w:t>.</w:t>
      </w:r>
      <w:r w:rsidR="00220066" w:rsidRPr="004E251E">
        <w:rPr>
          <w:rFonts w:cstheme="minorHAnsi"/>
          <w:sz w:val="24"/>
          <w:szCs w:val="24"/>
        </w:rPr>
        <w:t>A</w:t>
      </w:r>
      <w:r w:rsidR="00220066" w:rsidRPr="003C498E">
        <w:rPr>
          <w:rFonts w:cstheme="minorHAnsi"/>
          <w:sz w:val="24"/>
          <w:szCs w:val="24"/>
          <w:lang w:val="el-GR"/>
        </w:rPr>
        <w:t>.</w:t>
      </w:r>
      <w:r w:rsidR="00220066" w:rsidRPr="004E251E">
        <w:rPr>
          <w:rFonts w:cstheme="minorHAnsi"/>
          <w:sz w:val="24"/>
          <w:szCs w:val="24"/>
        </w:rPr>
        <w:t>S</w:t>
      </w:r>
      <w:r w:rsidR="00220066" w:rsidRPr="003C498E">
        <w:rPr>
          <w:rFonts w:cstheme="minorHAnsi"/>
          <w:sz w:val="24"/>
          <w:szCs w:val="24"/>
          <w:lang w:val="el-GR"/>
        </w:rPr>
        <w:t xml:space="preserve">. </w:t>
      </w:r>
      <w:r>
        <w:rPr>
          <w:rFonts w:cstheme="minorHAnsi"/>
          <w:sz w:val="24"/>
          <w:szCs w:val="24"/>
          <w:lang w:val="el-GR"/>
        </w:rPr>
        <w:t>εντοπίζει</w:t>
      </w:r>
      <w:r w:rsidRPr="003C498E">
        <w:rPr>
          <w:rFonts w:cstheme="minorHAnsi"/>
          <w:sz w:val="24"/>
          <w:szCs w:val="24"/>
          <w:lang w:val="el-GR"/>
        </w:rPr>
        <w:t xml:space="preserve"> </w:t>
      </w:r>
      <w:r>
        <w:rPr>
          <w:rFonts w:cstheme="minorHAnsi"/>
          <w:sz w:val="24"/>
          <w:szCs w:val="24"/>
          <w:lang w:val="el-GR"/>
        </w:rPr>
        <w:t>κενά</w:t>
      </w:r>
      <w:r w:rsidR="00220066" w:rsidRPr="003C498E">
        <w:rPr>
          <w:rFonts w:cstheme="minorHAnsi"/>
          <w:sz w:val="24"/>
          <w:szCs w:val="24"/>
          <w:lang w:val="el-GR"/>
        </w:rPr>
        <w:t xml:space="preserve"> </w:t>
      </w:r>
      <w:r>
        <w:rPr>
          <w:rFonts w:cstheme="minorHAnsi"/>
          <w:sz w:val="24"/>
          <w:szCs w:val="24"/>
          <w:lang w:val="el-GR"/>
        </w:rPr>
        <w:t>και</w:t>
      </w:r>
      <w:r w:rsidR="00220066" w:rsidRPr="003C498E">
        <w:rPr>
          <w:rFonts w:cstheme="minorHAnsi"/>
          <w:sz w:val="24"/>
          <w:szCs w:val="24"/>
          <w:lang w:val="el-GR"/>
        </w:rPr>
        <w:t>/</w:t>
      </w:r>
      <w:r>
        <w:rPr>
          <w:rFonts w:cstheme="minorHAnsi"/>
          <w:sz w:val="24"/>
          <w:szCs w:val="24"/>
          <w:lang w:val="el-GR"/>
        </w:rPr>
        <w:t>ή</w:t>
      </w:r>
      <w:r w:rsidR="00220066" w:rsidRPr="003C498E">
        <w:rPr>
          <w:rFonts w:cstheme="minorHAnsi"/>
          <w:sz w:val="24"/>
          <w:szCs w:val="24"/>
          <w:lang w:val="el-GR"/>
        </w:rPr>
        <w:t xml:space="preserve"> </w:t>
      </w:r>
      <w:r>
        <w:rPr>
          <w:rFonts w:cstheme="minorHAnsi"/>
          <w:sz w:val="24"/>
          <w:szCs w:val="24"/>
          <w:lang w:val="el-GR"/>
        </w:rPr>
        <w:t>αδυναμίες</w:t>
      </w:r>
      <w:r w:rsidR="00220066" w:rsidRPr="003C498E">
        <w:rPr>
          <w:rFonts w:cstheme="minorHAnsi"/>
          <w:sz w:val="24"/>
          <w:szCs w:val="24"/>
          <w:lang w:val="el-GR"/>
        </w:rPr>
        <w:t xml:space="preserve"> </w:t>
      </w:r>
      <w:r w:rsidR="00622A46">
        <w:rPr>
          <w:rFonts w:cstheme="minorHAnsi"/>
          <w:sz w:val="24"/>
          <w:szCs w:val="24"/>
          <w:lang w:val="el-GR"/>
        </w:rPr>
        <w:t xml:space="preserve">που </w:t>
      </w:r>
      <w:r>
        <w:rPr>
          <w:rFonts w:cstheme="minorHAnsi"/>
          <w:sz w:val="24"/>
          <w:szCs w:val="24"/>
          <w:lang w:val="el-GR"/>
        </w:rPr>
        <w:t>μπορεί</w:t>
      </w:r>
      <w:r w:rsidRPr="003C498E">
        <w:rPr>
          <w:rFonts w:cstheme="minorHAnsi"/>
          <w:sz w:val="24"/>
          <w:szCs w:val="24"/>
          <w:lang w:val="el-GR"/>
        </w:rPr>
        <w:t xml:space="preserve"> </w:t>
      </w:r>
      <w:r>
        <w:rPr>
          <w:rFonts w:cstheme="minorHAnsi"/>
          <w:sz w:val="24"/>
          <w:szCs w:val="24"/>
          <w:lang w:val="el-GR"/>
        </w:rPr>
        <w:t>να</w:t>
      </w:r>
      <w:r w:rsidRPr="003C498E">
        <w:rPr>
          <w:rFonts w:cstheme="minorHAnsi"/>
          <w:sz w:val="24"/>
          <w:szCs w:val="24"/>
          <w:lang w:val="el-GR"/>
        </w:rPr>
        <w:t xml:space="preserve"> </w:t>
      </w:r>
      <w:r>
        <w:rPr>
          <w:rFonts w:cstheme="minorHAnsi"/>
          <w:sz w:val="24"/>
          <w:szCs w:val="24"/>
          <w:lang w:val="el-GR"/>
        </w:rPr>
        <w:t>δημιουργήσουν</w:t>
      </w:r>
      <w:r w:rsidRPr="003C498E">
        <w:rPr>
          <w:rFonts w:cstheme="minorHAnsi"/>
          <w:sz w:val="24"/>
          <w:szCs w:val="24"/>
          <w:lang w:val="el-GR"/>
        </w:rPr>
        <w:t xml:space="preserve"> </w:t>
      </w:r>
      <w:r>
        <w:rPr>
          <w:rFonts w:cstheme="minorHAnsi"/>
          <w:sz w:val="24"/>
          <w:szCs w:val="24"/>
          <w:lang w:val="el-GR"/>
        </w:rPr>
        <w:t>ευκαιρίες</w:t>
      </w:r>
      <w:r w:rsidRPr="003C498E">
        <w:rPr>
          <w:rFonts w:cstheme="minorHAnsi"/>
          <w:sz w:val="24"/>
          <w:szCs w:val="24"/>
          <w:lang w:val="el-GR"/>
        </w:rPr>
        <w:t xml:space="preserve"> </w:t>
      </w:r>
      <w:r>
        <w:rPr>
          <w:rFonts w:cstheme="minorHAnsi"/>
          <w:sz w:val="24"/>
          <w:szCs w:val="24"/>
          <w:lang w:val="el-GR"/>
        </w:rPr>
        <w:t>για</w:t>
      </w:r>
      <w:r w:rsidRPr="003C498E">
        <w:rPr>
          <w:rFonts w:cstheme="minorHAnsi"/>
          <w:sz w:val="24"/>
          <w:szCs w:val="24"/>
          <w:lang w:val="el-GR"/>
        </w:rPr>
        <w:t xml:space="preserve"> </w:t>
      </w:r>
      <w:r>
        <w:rPr>
          <w:rFonts w:cstheme="minorHAnsi"/>
          <w:sz w:val="24"/>
          <w:szCs w:val="24"/>
          <w:lang w:val="el-GR"/>
        </w:rPr>
        <w:t>διαφθορά και</w:t>
      </w:r>
      <w:r w:rsidR="00220066" w:rsidRPr="003C498E">
        <w:rPr>
          <w:rFonts w:cstheme="minorHAnsi"/>
          <w:sz w:val="24"/>
          <w:szCs w:val="24"/>
          <w:lang w:val="el-GR"/>
        </w:rPr>
        <w:t>/</w:t>
      </w:r>
      <w:r>
        <w:rPr>
          <w:rFonts w:cstheme="minorHAnsi"/>
          <w:sz w:val="24"/>
          <w:szCs w:val="24"/>
          <w:lang w:val="el-GR"/>
        </w:rPr>
        <w:t>ή</w:t>
      </w:r>
      <w:r w:rsidR="00220066" w:rsidRPr="003C498E">
        <w:rPr>
          <w:rFonts w:cstheme="minorHAnsi"/>
          <w:sz w:val="24"/>
          <w:szCs w:val="24"/>
          <w:lang w:val="el-GR"/>
        </w:rPr>
        <w:t xml:space="preserve"> </w:t>
      </w:r>
      <w:r>
        <w:rPr>
          <w:rFonts w:cstheme="minorHAnsi"/>
          <w:sz w:val="24"/>
          <w:szCs w:val="24"/>
          <w:lang w:val="el-GR"/>
        </w:rPr>
        <w:t>εγκληματική συμπεριφορά</w:t>
      </w:r>
      <w:r w:rsidR="00220066" w:rsidRPr="003C498E">
        <w:rPr>
          <w:rFonts w:cstheme="minorHAnsi"/>
          <w:sz w:val="24"/>
          <w:szCs w:val="24"/>
          <w:lang w:val="el-GR"/>
        </w:rPr>
        <w:t xml:space="preserve">, </w:t>
      </w:r>
      <w:r>
        <w:rPr>
          <w:rFonts w:cstheme="minorHAnsi"/>
          <w:sz w:val="24"/>
          <w:szCs w:val="24"/>
          <w:lang w:val="el-GR"/>
        </w:rPr>
        <w:t>υποβάλει σχετικές εισηγήσεις</w:t>
      </w:r>
      <w:r w:rsidR="00220066" w:rsidRPr="003C498E">
        <w:rPr>
          <w:rFonts w:cstheme="minorHAnsi"/>
          <w:sz w:val="24"/>
          <w:szCs w:val="24"/>
          <w:lang w:val="el-GR"/>
        </w:rPr>
        <w:t xml:space="preserve"> </w:t>
      </w:r>
      <w:r>
        <w:rPr>
          <w:rFonts w:cstheme="minorHAnsi"/>
          <w:sz w:val="24"/>
          <w:szCs w:val="24"/>
          <w:lang w:val="el-GR"/>
        </w:rPr>
        <w:t xml:space="preserve">στον Αρχηγό της </w:t>
      </w:r>
      <w:r w:rsidR="009C4E34">
        <w:rPr>
          <w:rFonts w:cstheme="minorHAnsi"/>
          <w:sz w:val="24"/>
          <w:szCs w:val="24"/>
          <w:lang w:val="el-GR"/>
        </w:rPr>
        <w:t>Αστυνομία</w:t>
      </w:r>
      <w:r>
        <w:rPr>
          <w:rFonts w:cstheme="minorHAnsi"/>
          <w:sz w:val="24"/>
          <w:szCs w:val="24"/>
          <w:lang w:val="el-GR"/>
        </w:rPr>
        <w:t>ς</w:t>
      </w:r>
      <w:r w:rsidR="00220066" w:rsidRPr="003C498E">
        <w:rPr>
          <w:rFonts w:cstheme="minorHAnsi"/>
          <w:sz w:val="24"/>
          <w:szCs w:val="24"/>
          <w:lang w:val="el-GR"/>
        </w:rPr>
        <w:t xml:space="preserve"> </w:t>
      </w:r>
      <w:r>
        <w:rPr>
          <w:rFonts w:cstheme="minorHAnsi"/>
          <w:sz w:val="24"/>
          <w:szCs w:val="24"/>
          <w:lang w:val="el-GR"/>
        </w:rPr>
        <w:t>για διορθωτικά μέτρα</w:t>
      </w:r>
      <w:r w:rsidR="00220066" w:rsidRPr="003C498E">
        <w:rPr>
          <w:rFonts w:cstheme="minorHAnsi"/>
          <w:sz w:val="24"/>
          <w:szCs w:val="24"/>
          <w:lang w:val="el-GR"/>
        </w:rPr>
        <w:t xml:space="preserve"> (</w:t>
      </w:r>
      <w:r>
        <w:rPr>
          <w:rFonts w:cstheme="minorHAnsi"/>
          <w:sz w:val="24"/>
          <w:szCs w:val="24"/>
          <w:lang w:val="el-GR"/>
        </w:rPr>
        <w:t>για επιπρόσθετες λεπτομέρειες για την</w:t>
      </w:r>
      <w:r w:rsidR="00220066" w:rsidRPr="003C498E">
        <w:rPr>
          <w:rFonts w:cstheme="minorHAnsi"/>
          <w:sz w:val="24"/>
          <w:szCs w:val="24"/>
          <w:lang w:val="el-GR"/>
        </w:rPr>
        <w:t xml:space="preserve"> </w:t>
      </w:r>
      <w:r w:rsidR="00220066" w:rsidRPr="00333B95">
        <w:rPr>
          <w:rFonts w:cstheme="minorHAnsi"/>
          <w:sz w:val="24"/>
          <w:szCs w:val="24"/>
        </w:rPr>
        <w:t>P</w:t>
      </w:r>
      <w:r w:rsidR="00220066" w:rsidRPr="003C498E">
        <w:rPr>
          <w:rFonts w:cstheme="minorHAnsi"/>
          <w:sz w:val="24"/>
          <w:szCs w:val="24"/>
          <w:lang w:val="el-GR"/>
        </w:rPr>
        <w:t>.</w:t>
      </w:r>
      <w:r w:rsidR="00220066" w:rsidRPr="00333B95">
        <w:rPr>
          <w:rFonts w:cstheme="minorHAnsi"/>
          <w:sz w:val="24"/>
          <w:szCs w:val="24"/>
        </w:rPr>
        <w:t>I</w:t>
      </w:r>
      <w:r w:rsidR="00220066" w:rsidRPr="003C498E">
        <w:rPr>
          <w:rFonts w:cstheme="minorHAnsi"/>
          <w:sz w:val="24"/>
          <w:szCs w:val="24"/>
          <w:lang w:val="el-GR"/>
        </w:rPr>
        <w:t>.</w:t>
      </w:r>
      <w:r w:rsidR="00220066" w:rsidRPr="00333B95">
        <w:rPr>
          <w:rFonts w:cstheme="minorHAnsi"/>
          <w:sz w:val="24"/>
          <w:szCs w:val="24"/>
        </w:rPr>
        <w:t>A</w:t>
      </w:r>
      <w:r w:rsidR="00220066" w:rsidRPr="003C498E">
        <w:rPr>
          <w:rFonts w:cstheme="minorHAnsi"/>
          <w:sz w:val="24"/>
          <w:szCs w:val="24"/>
          <w:lang w:val="el-GR"/>
        </w:rPr>
        <w:t>.</w:t>
      </w:r>
      <w:r w:rsidR="00220066" w:rsidRPr="00333B95">
        <w:rPr>
          <w:rFonts w:cstheme="minorHAnsi"/>
          <w:sz w:val="24"/>
          <w:szCs w:val="24"/>
        </w:rPr>
        <w:t>S</w:t>
      </w:r>
      <w:r w:rsidR="00220066" w:rsidRPr="003C498E">
        <w:rPr>
          <w:rFonts w:cstheme="minorHAnsi"/>
          <w:sz w:val="24"/>
          <w:szCs w:val="24"/>
          <w:lang w:val="el-GR"/>
        </w:rPr>
        <w:t xml:space="preserve">. </w:t>
      </w:r>
      <w:r>
        <w:rPr>
          <w:rFonts w:cstheme="minorHAnsi"/>
          <w:sz w:val="24"/>
          <w:szCs w:val="24"/>
          <w:lang w:val="el-GR"/>
        </w:rPr>
        <w:t>βλέπε πιο κάτω</w:t>
      </w:r>
      <w:r w:rsidR="00220066" w:rsidRPr="003C498E">
        <w:rPr>
          <w:rFonts w:cstheme="minorHAnsi"/>
          <w:sz w:val="24"/>
          <w:szCs w:val="24"/>
          <w:lang w:val="el-GR"/>
        </w:rPr>
        <w:t xml:space="preserve"> </w:t>
      </w:r>
      <w:r>
        <w:rPr>
          <w:rFonts w:cstheme="minorHAnsi"/>
          <w:sz w:val="24"/>
          <w:szCs w:val="24"/>
          <w:lang w:val="el-GR"/>
        </w:rPr>
        <w:t>στην έκθεση αυτή</w:t>
      </w:r>
      <w:r w:rsidR="00622A46">
        <w:rPr>
          <w:rFonts w:cstheme="minorHAnsi"/>
          <w:sz w:val="24"/>
          <w:szCs w:val="24"/>
          <w:lang w:val="el-GR"/>
        </w:rPr>
        <w:t>,</w:t>
      </w:r>
      <w:r w:rsidR="00A03B83">
        <w:rPr>
          <w:rFonts w:cstheme="minorHAnsi"/>
          <w:sz w:val="24"/>
          <w:szCs w:val="24"/>
          <w:lang w:val="el-GR"/>
        </w:rPr>
        <w:t xml:space="preserve"> </w:t>
      </w:r>
      <w:r w:rsidR="00622A46">
        <w:rPr>
          <w:rFonts w:cstheme="minorHAnsi"/>
          <w:sz w:val="24"/>
          <w:szCs w:val="24"/>
          <w:lang w:val="el-GR"/>
        </w:rPr>
        <w:t>για</w:t>
      </w:r>
      <w:r w:rsidR="00A03B83">
        <w:rPr>
          <w:rFonts w:cstheme="minorHAnsi"/>
          <w:sz w:val="24"/>
          <w:szCs w:val="24"/>
          <w:lang w:val="el-GR"/>
        </w:rPr>
        <w:t xml:space="preserve"> </w:t>
      </w:r>
      <w:r w:rsidR="00622A46">
        <w:rPr>
          <w:rFonts w:cstheme="minorHAnsi"/>
          <w:sz w:val="24"/>
          <w:szCs w:val="24"/>
          <w:lang w:val="el-GR"/>
        </w:rPr>
        <w:t xml:space="preserve">την </w:t>
      </w:r>
      <w:r w:rsidR="00A03B83">
        <w:rPr>
          <w:rFonts w:cstheme="minorHAnsi"/>
          <w:sz w:val="24"/>
          <w:szCs w:val="24"/>
          <w:lang w:val="el-GR"/>
        </w:rPr>
        <w:t>εσωτερική επισκόπηση</w:t>
      </w:r>
      <w:r w:rsidR="00220066" w:rsidRPr="003C498E">
        <w:rPr>
          <w:rFonts w:cstheme="minorHAnsi"/>
          <w:sz w:val="24"/>
          <w:szCs w:val="24"/>
          <w:lang w:val="el-GR"/>
        </w:rPr>
        <w:t xml:space="preserve">). </w:t>
      </w:r>
    </w:p>
    <w:p w14:paraId="26F5BD6F" w14:textId="77777777" w:rsidR="00220066" w:rsidRPr="003C498E" w:rsidRDefault="00220066" w:rsidP="00220066">
      <w:pPr>
        <w:widowControl w:val="0"/>
        <w:tabs>
          <w:tab w:val="left" w:pos="709"/>
        </w:tabs>
        <w:rPr>
          <w:rFonts w:cstheme="minorHAnsi"/>
          <w:sz w:val="24"/>
          <w:szCs w:val="24"/>
          <w:lang w:val="el-GR"/>
        </w:rPr>
      </w:pPr>
    </w:p>
    <w:p w14:paraId="3C7107A4" w14:textId="44B15E61" w:rsidR="00220066" w:rsidRPr="00A03B83" w:rsidRDefault="00A03B83"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Μια</w:t>
      </w:r>
      <w:r w:rsidRPr="00A03B83">
        <w:rPr>
          <w:rFonts w:cstheme="minorHAnsi"/>
          <w:sz w:val="24"/>
          <w:szCs w:val="24"/>
          <w:lang w:val="el-GR"/>
        </w:rPr>
        <w:t xml:space="preserve"> </w:t>
      </w:r>
      <w:r>
        <w:rPr>
          <w:rFonts w:cstheme="minorHAnsi"/>
          <w:sz w:val="24"/>
          <w:szCs w:val="24"/>
          <w:lang w:val="el-GR"/>
        </w:rPr>
        <w:t>ετήσια</w:t>
      </w:r>
      <w:r w:rsidRPr="00A03B83">
        <w:rPr>
          <w:rFonts w:cstheme="minorHAnsi"/>
          <w:sz w:val="24"/>
          <w:szCs w:val="24"/>
          <w:lang w:val="el-GR"/>
        </w:rPr>
        <w:t xml:space="preserve"> </w:t>
      </w:r>
      <w:r>
        <w:rPr>
          <w:rFonts w:cstheme="minorHAnsi"/>
          <w:sz w:val="24"/>
          <w:szCs w:val="24"/>
          <w:lang w:val="el-GR"/>
        </w:rPr>
        <w:t>έκθεση</w:t>
      </w:r>
      <w:r w:rsidR="00220066" w:rsidRPr="00A03B83">
        <w:rPr>
          <w:rFonts w:cstheme="minorHAnsi"/>
          <w:sz w:val="24"/>
          <w:szCs w:val="24"/>
          <w:lang w:val="el-GR"/>
        </w:rPr>
        <w:t xml:space="preserve"> (</w:t>
      </w:r>
      <w:r>
        <w:rPr>
          <w:rFonts w:cstheme="minorHAnsi"/>
          <w:sz w:val="24"/>
          <w:szCs w:val="24"/>
          <w:lang w:val="el-GR"/>
        </w:rPr>
        <w:t>διαβαθμισμένη</w:t>
      </w:r>
      <w:r w:rsidR="00220066" w:rsidRPr="00A03B83">
        <w:rPr>
          <w:rFonts w:cstheme="minorHAnsi"/>
          <w:sz w:val="24"/>
          <w:szCs w:val="24"/>
          <w:lang w:val="el-GR"/>
        </w:rPr>
        <w:t xml:space="preserve">) </w:t>
      </w:r>
      <w:r>
        <w:rPr>
          <w:rFonts w:cstheme="minorHAnsi"/>
          <w:sz w:val="24"/>
          <w:szCs w:val="24"/>
          <w:lang w:val="el-GR"/>
        </w:rPr>
        <w:t>υποβάλλεται</w:t>
      </w:r>
      <w:r w:rsidRPr="00A03B83">
        <w:rPr>
          <w:rFonts w:cstheme="minorHAnsi"/>
          <w:sz w:val="24"/>
          <w:szCs w:val="24"/>
          <w:lang w:val="el-GR"/>
        </w:rPr>
        <w:t xml:space="preserve"> </w:t>
      </w:r>
      <w:r>
        <w:rPr>
          <w:rFonts w:cstheme="minorHAnsi"/>
          <w:sz w:val="24"/>
          <w:szCs w:val="24"/>
          <w:lang w:val="el-GR"/>
        </w:rPr>
        <w:t>στον</w:t>
      </w:r>
      <w:r w:rsidRPr="00A03B83">
        <w:rPr>
          <w:rFonts w:cstheme="minorHAnsi"/>
          <w:sz w:val="24"/>
          <w:szCs w:val="24"/>
          <w:lang w:val="el-GR"/>
        </w:rPr>
        <w:t xml:space="preserve"> </w:t>
      </w:r>
      <w:r>
        <w:rPr>
          <w:rFonts w:cstheme="minorHAnsi"/>
          <w:sz w:val="24"/>
          <w:szCs w:val="24"/>
          <w:lang w:val="el-GR"/>
        </w:rPr>
        <w:t>Υπουργό</w:t>
      </w:r>
      <w:r w:rsidRPr="00A03B83">
        <w:rPr>
          <w:rFonts w:cstheme="minorHAnsi"/>
          <w:sz w:val="24"/>
          <w:szCs w:val="24"/>
          <w:lang w:val="el-GR"/>
        </w:rPr>
        <w:t xml:space="preserve"> </w:t>
      </w:r>
      <w:r>
        <w:rPr>
          <w:rFonts w:cstheme="minorHAnsi"/>
          <w:sz w:val="24"/>
          <w:szCs w:val="24"/>
          <w:lang w:val="el-GR"/>
        </w:rPr>
        <w:t>Δικαιοσύνης</w:t>
      </w:r>
      <w:r w:rsidRPr="00A03B83">
        <w:rPr>
          <w:rFonts w:cstheme="minorHAnsi"/>
          <w:sz w:val="24"/>
          <w:szCs w:val="24"/>
          <w:lang w:val="el-GR"/>
        </w:rPr>
        <w:t xml:space="preserve"> </w:t>
      </w:r>
      <w:r>
        <w:rPr>
          <w:rFonts w:cstheme="minorHAnsi"/>
          <w:sz w:val="24"/>
          <w:szCs w:val="24"/>
          <w:lang w:val="el-GR"/>
        </w:rPr>
        <w:t>και</w:t>
      </w:r>
      <w:r w:rsidRPr="00A03B83">
        <w:rPr>
          <w:rFonts w:cstheme="minorHAnsi"/>
          <w:sz w:val="24"/>
          <w:szCs w:val="24"/>
          <w:lang w:val="el-GR"/>
        </w:rPr>
        <w:t xml:space="preserve"> </w:t>
      </w:r>
      <w:r>
        <w:rPr>
          <w:rFonts w:cstheme="minorHAnsi"/>
          <w:sz w:val="24"/>
          <w:szCs w:val="24"/>
          <w:lang w:val="el-GR"/>
        </w:rPr>
        <w:t>Δημοσίας</w:t>
      </w:r>
      <w:r w:rsidRPr="00A03B83">
        <w:rPr>
          <w:rFonts w:cstheme="minorHAnsi"/>
          <w:sz w:val="24"/>
          <w:szCs w:val="24"/>
          <w:lang w:val="el-GR"/>
        </w:rPr>
        <w:t xml:space="preserve"> </w:t>
      </w:r>
      <w:r>
        <w:rPr>
          <w:rFonts w:cstheme="minorHAnsi"/>
          <w:sz w:val="24"/>
          <w:szCs w:val="24"/>
          <w:lang w:val="el-GR"/>
        </w:rPr>
        <w:t>Τάξεως</w:t>
      </w:r>
      <w:r w:rsidR="00220066" w:rsidRPr="00A03B83">
        <w:rPr>
          <w:rFonts w:cstheme="minorHAnsi"/>
          <w:sz w:val="24"/>
          <w:szCs w:val="24"/>
          <w:lang w:val="el-GR"/>
        </w:rPr>
        <w:t xml:space="preserve"> </w:t>
      </w:r>
      <w:r>
        <w:rPr>
          <w:rFonts w:cstheme="minorHAnsi"/>
          <w:sz w:val="24"/>
          <w:szCs w:val="24"/>
          <w:lang w:val="el-GR"/>
        </w:rPr>
        <w:t>και</w:t>
      </w:r>
      <w:r w:rsidRPr="00A03B83">
        <w:rPr>
          <w:rFonts w:cstheme="minorHAnsi"/>
          <w:sz w:val="24"/>
          <w:szCs w:val="24"/>
          <w:lang w:val="el-GR"/>
        </w:rPr>
        <w:t xml:space="preserve"> </w:t>
      </w:r>
      <w:r>
        <w:rPr>
          <w:rFonts w:cstheme="minorHAnsi"/>
          <w:sz w:val="24"/>
          <w:szCs w:val="24"/>
          <w:lang w:val="el-GR"/>
        </w:rPr>
        <w:t>στον</w:t>
      </w:r>
      <w:r w:rsidRPr="00A03B83">
        <w:rPr>
          <w:rFonts w:cstheme="minorHAnsi"/>
          <w:sz w:val="24"/>
          <w:szCs w:val="24"/>
          <w:lang w:val="el-GR"/>
        </w:rPr>
        <w:t xml:space="preserve"> </w:t>
      </w:r>
      <w:r>
        <w:rPr>
          <w:rFonts w:cstheme="minorHAnsi"/>
          <w:sz w:val="24"/>
          <w:szCs w:val="24"/>
          <w:lang w:val="el-GR"/>
        </w:rPr>
        <w:t xml:space="preserve">Αρχηγό της </w:t>
      </w:r>
      <w:r w:rsidR="009C4E34">
        <w:rPr>
          <w:rFonts w:cstheme="minorHAnsi"/>
          <w:sz w:val="24"/>
          <w:szCs w:val="24"/>
          <w:lang w:val="el-GR"/>
        </w:rPr>
        <w:t>Αστυνομία</w:t>
      </w:r>
      <w:r>
        <w:rPr>
          <w:rFonts w:cstheme="minorHAnsi"/>
          <w:sz w:val="24"/>
          <w:szCs w:val="24"/>
          <w:lang w:val="el-GR"/>
        </w:rPr>
        <w:t>ς,</w:t>
      </w:r>
      <w:r w:rsidR="00220066" w:rsidRPr="00A03B83">
        <w:rPr>
          <w:rFonts w:cstheme="minorHAnsi"/>
          <w:sz w:val="24"/>
          <w:szCs w:val="24"/>
          <w:lang w:val="el-GR"/>
        </w:rPr>
        <w:t xml:space="preserve"> </w:t>
      </w:r>
      <w:r>
        <w:rPr>
          <w:rFonts w:cstheme="minorHAnsi"/>
          <w:sz w:val="24"/>
          <w:szCs w:val="24"/>
          <w:lang w:val="el-GR"/>
        </w:rPr>
        <w:t>που ακολούθως π</w:t>
      </w:r>
      <w:r w:rsidR="003F3573">
        <w:rPr>
          <w:rFonts w:cstheme="minorHAnsi"/>
          <w:sz w:val="24"/>
          <w:szCs w:val="24"/>
          <w:lang w:val="el-GR"/>
        </w:rPr>
        <w:t>ροωθείται</w:t>
      </w:r>
      <w:r>
        <w:rPr>
          <w:rFonts w:cstheme="minorHAnsi"/>
          <w:sz w:val="24"/>
          <w:szCs w:val="24"/>
          <w:lang w:val="el-GR"/>
        </w:rPr>
        <w:t xml:space="preserve"> στην Κοινοβουλευτική Επιτροπή Νομικών Υποθέσεων της Βουλής</w:t>
      </w:r>
      <w:r w:rsidR="00220066" w:rsidRPr="00A03B83">
        <w:rPr>
          <w:rFonts w:cstheme="minorHAnsi"/>
          <w:sz w:val="24"/>
          <w:szCs w:val="24"/>
          <w:lang w:val="el-GR"/>
        </w:rPr>
        <w:t xml:space="preserve">. </w:t>
      </w:r>
      <w:r>
        <w:rPr>
          <w:rFonts w:cstheme="minorHAnsi"/>
          <w:sz w:val="24"/>
          <w:szCs w:val="24"/>
          <w:lang w:val="el-GR"/>
        </w:rPr>
        <w:t>Η</w:t>
      </w:r>
      <w:r w:rsidRPr="00A03B83">
        <w:rPr>
          <w:rFonts w:cstheme="minorHAnsi"/>
          <w:sz w:val="24"/>
          <w:szCs w:val="24"/>
          <w:lang w:val="el-GR"/>
        </w:rPr>
        <w:t xml:space="preserve"> </w:t>
      </w:r>
      <w:r>
        <w:rPr>
          <w:rFonts w:cstheme="minorHAnsi"/>
          <w:sz w:val="24"/>
          <w:szCs w:val="24"/>
          <w:lang w:val="el-GR"/>
        </w:rPr>
        <w:t>έκθεση</w:t>
      </w:r>
      <w:r w:rsidRPr="00A03B83">
        <w:rPr>
          <w:rFonts w:cstheme="minorHAnsi"/>
          <w:sz w:val="24"/>
          <w:szCs w:val="24"/>
          <w:lang w:val="el-GR"/>
        </w:rPr>
        <w:t xml:space="preserve"> </w:t>
      </w:r>
      <w:r>
        <w:rPr>
          <w:rFonts w:cstheme="minorHAnsi"/>
          <w:sz w:val="24"/>
          <w:szCs w:val="24"/>
          <w:lang w:val="el-GR"/>
        </w:rPr>
        <w:t>συμπεριλαμβάνει</w:t>
      </w:r>
      <w:r w:rsidRPr="00A03B83">
        <w:rPr>
          <w:rFonts w:cstheme="minorHAnsi"/>
          <w:sz w:val="24"/>
          <w:szCs w:val="24"/>
          <w:lang w:val="el-GR"/>
        </w:rPr>
        <w:t xml:space="preserve"> </w:t>
      </w:r>
      <w:r>
        <w:rPr>
          <w:rFonts w:cstheme="minorHAnsi"/>
          <w:sz w:val="24"/>
          <w:szCs w:val="24"/>
          <w:lang w:val="el-GR"/>
        </w:rPr>
        <w:t>επίσης</w:t>
      </w:r>
      <w:r w:rsidRPr="00A03B83">
        <w:rPr>
          <w:rFonts w:cstheme="minorHAnsi"/>
          <w:sz w:val="24"/>
          <w:szCs w:val="24"/>
          <w:lang w:val="el-GR"/>
        </w:rPr>
        <w:t xml:space="preserve"> </w:t>
      </w:r>
      <w:r>
        <w:rPr>
          <w:rFonts w:cstheme="minorHAnsi"/>
          <w:sz w:val="24"/>
          <w:szCs w:val="24"/>
          <w:lang w:val="el-GR"/>
        </w:rPr>
        <w:t>μια</w:t>
      </w:r>
      <w:r w:rsidRPr="00A03B83">
        <w:rPr>
          <w:rFonts w:cstheme="minorHAnsi"/>
          <w:sz w:val="24"/>
          <w:szCs w:val="24"/>
          <w:lang w:val="el-GR"/>
        </w:rPr>
        <w:t xml:space="preserve"> </w:t>
      </w:r>
      <w:r>
        <w:rPr>
          <w:rFonts w:cstheme="minorHAnsi"/>
          <w:sz w:val="24"/>
          <w:szCs w:val="24"/>
          <w:lang w:val="el-GR"/>
        </w:rPr>
        <w:t>ανάλυση</w:t>
      </w:r>
      <w:r w:rsidRPr="00A03B83">
        <w:rPr>
          <w:rFonts w:cstheme="minorHAnsi"/>
          <w:sz w:val="24"/>
          <w:szCs w:val="24"/>
          <w:lang w:val="el-GR"/>
        </w:rPr>
        <w:t xml:space="preserve"> </w:t>
      </w:r>
      <w:r>
        <w:rPr>
          <w:rFonts w:cstheme="minorHAnsi"/>
          <w:sz w:val="24"/>
          <w:szCs w:val="24"/>
          <w:lang w:val="el-GR"/>
        </w:rPr>
        <w:t>στατιστικών</w:t>
      </w:r>
      <w:r w:rsidR="00220066" w:rsidRPr="00A03B83">
        <w:rPr>
          <w:rFonts w:cstheme="minorHAnsi"/>
          <w:sz w:val="24"/>
          <w:szCs w:val="24"/>
          <w:lang w:val="el-GR"/>
        </w:rPr>
        <w:t xml:space="preserve"> </w:t>
      </w:r>
      <w:r>
        <w:rPr>
          <w:rFonts w:cstheme="minorHAnsi"/>
          <w:sz w:val="24"/>
          <w:szCs w:val="24"/>
          <w:lang w:val="el-GR"/>
        </w:rPr>
        <w:t xml:space="preserve">σχετική με την διαφθορά στην </w:t>
      </w:r>
      <w:r w:rsidR="009C4E34">
        <w:rPr>
          <w:rFonts w:cstheme="minorHAnsi"/>
          <w:sz w:val="24"/>
          <w:szCs w:val="24"/>
          <w:lang w:val="el-GR"/>
        </w:rPr>
        <w:t>Αστυνομία</w:t>
      </w:r>
      <w:r w:rsidR="00220066" w:rsidRPr="00A03B83">
        <w:rPr>
          <w:rFonts w:cstheme="minorHAnsi"/>
          <w:sz w:val="24"/>
          <w:szCs w:val="24"/>
          <w:lang w:val="el-GR"/>
        </w:rPr>
        <w:t xml:space="preserve"> </w:t>
      </w:r>
      <w:r>
        <w:rPr>
          <w:rFonts w:cstheme="minorHAnsi"/>
          <w:sz w:val="24"/>
          <w:szCs w:val="24"/>
          <w:lang w:val="el-GR"/>
        </w:rPr>
        <w:t>και τα αποτελέσματα χρησιμοποιούνται για σκοπούς αξιολόγησης κινδύνου</w:t>
      </w:r>
      <w:r w:rsidR="00220066" w:rsidRPr="00A03B83">
        <w:rPr>
          <w:rFonts w:cstheme="minorHAnsi"/>
          <w:sz w:val="24"/>
          <w:szCs w:val="24"/>
          <w:lang w:val="el-GR"/>
        </w:rPr>
        <w:t xml:space="preserve">. </w:t>
      </w:r>
      <w:r>
        <w:rPr>
          <w:rFonts w:cstheme="minorHAnsi"/>
          <w:sz w:val="24"/>
          <w:szCs w:val="24"/>
          <w:lang w:val="el-GR"/>
        </w:rPr>
        <w:t>Δεδομένου</w:t>
      </w:r>
      <w:r w:rsidRPr="00A03B83">
        <w:rPr>
          <w:rFonts w:cstheme="minorHAnsi"/>
          <w:sz w:val="24"/>
          <w:szCs w:val="24"/>
          <w:lang w:val="el-GR"/>
        </w:rPr>
        <w:t xml:space="preserve"> </w:t>
      </w:r>
      <w:r>
        <w:rPr>
          <w:rFonts w:cstheme="minorHAnsi"/>
          <w:sz w:val="24"/>
          <w:szCs w:val="24"/>
          <w:lang w:val="el-GR"/>
        </w:rPr>
        <w:t>της</w:t>
      </w:r>
      <w:r w:rsidRPr="00A03B83">
        <w:rPr>
          <w:rFonts w:cstheme="minorHAnsi"/>
          <w:sz w:val="24"/>
          <w:szCs w:val="24"/>
          <w:lang w:val="el-GR"/>
        </w:rPr>
        <w:t xml:space="preserve"> </w:t>
      </w:r>
      <w:r>
        <w:rPr>
          <w:rFonts w:cstheme="minorHAnsi"/>
          <w:sz w:val="24"/>
          <w:szCs w:val="24"/>
          <w:lang w:val="el-GR"/>
        </w:rPr>
        <w:t>σχετικά</w:t>
      </w:r>
      <w:r w:rsidRPr="00A03B83">
        <w:rPr>
          <w:rFonts w:cstheme="minorHAnsi"/>
          <w:sz w:val="24"/>
          <w:szCs w:val="24"/>
          <w:lang w:val="el-GR"/>
        </w:rPr>
        <w:t xml:space="preserve"> </w:t>
      </w:r>
      <w:r>
        <w:rPr>
          <w:rFonts w:cstheme="minorHAnsi"/>
          <w:sz w:val="24"/>
          <w:szCs w:val="24"/>
          <w:lang w:val="el-GR"/>
        </w:rPr>
        <w:t>πρόσφατης</w:t>
      </w:r>
      <w:r w:rsidRPr="00A03B83">
        <w:rPr>
          <w:rFonts w:cstheme="minorHAnsi"/>
          <w:sz w:val="24"/>
          <w:szCs w:val="24"/>
          <w:lang w:val="el-GR"/>
        </w:rPr>
        <w:t xml:space="preserve"> </w:t>
      </w:r>
      <w:r>
        <w:rPr>
          <w:rFonts w:cstheme="minorHAnsi"/>
          <w:sz w:val="24"/>
          <w:szCs w:val="24"/>
          <w:lang w:val="el-GR"/>
        </w:rPr>
        <w:t>ίδρυσης</w:t>
      </w:r>
      <w:r w:rsidRPr="00A03B83">
        <w:rPr>
          <w:rFonts w:cstheme="minorHAnsi"/>
          <w:sz w:val="24"/>
          <w:szCs w:val="24"/>
          <w:lang w:val="el-GR"/>
        </w:rPr>
        <w:t xml:space="preserve"> </w:t>
      </w:r>
      <w:r>
        <w:rPr>
          <w:rFonts w:cstheme="minorHAnsi"/>
          <w:sz w:val="24"/>
          <w:szCs w:val="24"/>
          <w:lang w:val="el-GR"/>
        </w:rPr>
        <w:t>της</w:t>
      </w:r>
      <w:r w:rsidR="00220066" w:rsidRPr="00A03B83">
        <w:rPr>
          <w:rFonts w:cstheme="minorHAnsi"/>
          <w:sz w:val="24"/>
          <w:szCs w:val="24"/>
          <w:lang w:val="el-GR"/>
        </w:rPr>
        <w:t xml:space="preserve"> </w:t>
      </w:r>
      <w:r w:rsidR="00220066" w:rsidRPr="00333B95">
        <w:rPr>
          <w:rFonts w:cstheme="minorHAnsi"/>
          <w:sz w:val="24"/>
          <w:szCs w:val="24"/>
        </w:rPr>
        <w:t>P</w:t>
      </w:r>
      <w:r w:rsidR="00220066" w:rsidRPr="00A03B83">
        <w:rPr>
          <w:rFonts w:cstheme="minorHAnsi"/>
          <w:sz w:val="24"/>
          <w:szCs w:val="24"/>
          <w:lang w:val="el-GR"/>
        </w:rPr>
        <w:t>.</w:t>
      </w:r>
      <w:r w:rsidR="00220066" w:rsidRPr="00333B95">
        <w:rPr>
          <w:rFonts w:cstheme="minorHAnsi"/>
          <w:sz w:val="24"/>
          <w:szCs w:val="24"/>
        </w:rPr>
        <w:t>I</w:t>
      </w:r>
      <w:r w:rsidR="00220066" w:rsidRPr="00A03B83">
        <w:rPr>
          <w:rFonts w:cstheme="minorHAnsi"/>
          <w:sz w:val="24"/>
          <w:szCs w:val="24"/>
          <w:lang w:val="el-GR"/>
        </w:rPr>
        <w:t>.</w:t>
      </w:r>
      <w:r w:rsidR="00220066" w:rsidRPr="00333B95">
        <w:rPr>
          <w:rFonts w:cstheme="minorHAnsi"/>
          <w:sz w:val="24"/>
          <w:szCs w:val="24"/>
        </w:rPr>
        <w:t>A</w:t>
      </w:r>
      <w:r w:rsidR="00220066" w:rsidRPr="00A03B83">
        <w:rPr>
          <w:rFonts w:cstheme="minorHAnsi"/>
          <w:sz w:val="24"/>
          <w:szCs w:val="24"/>
          <w:lang w:val="el-GR"/>
        </w:rPr>
        <w:t>.</w:t>
      </w:r>
      <w:r w:rsidR="00220066" w:rsidRPr="00333B95">
        <w:rPr>
          <w:rFonts w:cstheme="minorHAnsi"/>
          <w:sz w:val="24"/>
          <w:szCs w:val="24"/>
        </w:rPr>
        <w:t>S</w:t>
      </w:r>
      <w:r w:rsidR="00220066" w:rsidRPr="00A03B83">
        <w:rPr>
          <w:rFonts w:cstheme="minorHAnsi"/>
          <w:sz w:val="24"/>
          <w:szCs w:val="24"/>
          <w:lang w:val="el-GR"/>
        </w:rPr>
        <w:t xml:space="preserve">., </w:t>
      </w:r>
      <w:r>
        <w:rPr>
          <w:rFonts w:cstheme="minorHAnsi"/>
          <w:sz w:val="24"/>
          <w:szCs w:val="24"/>
          <w:lang w:val="el-GR"/>
        </w:rPr>
        <w:t>η</w:t>
      </w:r>
      <w:r w:rsidRPr="00A03B83">
        <w:rPr>
          <w:rFonts w:cstheme="minorHAnsi"/>
          <w:sz w:val="24"/>
          <w:szCs w:val="24"/>
          <w:lang w:val="el-GR"/>
        </w:rPr>
        <w:t xml:space="preserve"> </w:t>
      </w:r>
      <w:r>
        <w:rPr>
          <w:rFonts w:cstheme="minorHAnsi"/>
          <w:sz w:val="24"/>
          <w:szCs w:val="24"/>
          <w:lang w:val="el-GR"/>
        </w:rPr>
        <w:t>εμπειρία</w:t>
      </w:r>
      <w:r w:rsidRPr="00A03B83">
        <w:rPr>
          <w:rFonts w:cstheme="minorHAnsi"/>
          <w:sz w:val="24"/>
          <w:szCs w:val="24"/>
          <w:lang w:val="el-GR"/>
        </w:rPr>
        <w:t xml:space="preserve"> </w:t>
      </w:r>
      <w:r>
        <w:rPr>
          <w:rFonts w:cstheme="minorHAnsi"/>
          <w:sz w:val="24"/>
          <w:szCs w:val="24"/>
          <w:lang w:val="el-GR"/>
        </w:rPr>
        <w:t>είναι</w:t>
      </w:r>
      <w:r w:rsidRPr="00A03B83">
        <w:rPr>
          <w:rFonts w:cstheme="minorHAnsi"/>
          <w:sz w:val="24"/>
          <w:szCs w:val="24"/>
          <w:lang w:val="el-GR"/>
        </w:rPr>
        <w:t xml:space="preserve"> </w:t>
      </w:r>
      <w:r>
        <w:rPr>
          <w:rFonts w:cstheme="minorHAnsi"/>
          <w:sz w:val="24"/>
          <w:szCs w:val="24"/>
          <w:lang w:val="el-GR"/>
        </w:rPr>
        <w:t>ακόμη</w:t>
      </w:r>
      <w:r w:rsidRPr="00A03B83">
        <w:rPr>
          <w:rFonts w:cstheme="minorHAnsi"/>
          <w:sz w:val="24"/>
          <w:szCs w:val="24"/>
          <w:lang w:val="el-GR"/>
        </w:rPr>
        <w:t xml:space="preserve"> </w:t>
      </w:r>
      <w:r>
        <w:rPr>
          <w:rFonts w:cstheme="minorHAnsi"/>
          <w:sz w:val="24"/>
          <w:szCs w:val="24"/>
          <w:lang w:val="el-GR"/>
        </w:rPr>
        <w:t>κάπως</w:t>
      </w:r>
      <w:r w:rsidRPr="00A03B83">
        <w:rPr>
          <w:rFonts w:cstheme="minorHAnsi"/>
          <w:sz w:val="24"/>
          <w:szCs w:val="24"/>
          <w:lang w:val="el-GR"/>
        </w:rPr>
        <w:t xml:space="preserve"> </w:t>
      </w:r>
      <w:r>
        <w:rPr>
          <w:rFonts w:cstheme="minorHAnsi"/>
          <w:sz w:val="24"/>
          <w:szCs w:val="24"/>
          <w:lang w:val="el-GR"/>
        </w:rPr>
        <w:t>περιορισμένη</w:t>
      </w:r>
      <w:r w:rsidR="00220066" w:rsidRPr="00A03B83">
        <w:rPr>
          <w:rFonts w:cstheme="minorHAnsi"/>
          <w:sz w:val="24"/>
          <w:szCs w:val="24"/>
          <w:lang w:val="el-GR"/>
        </w:rPr>
        <w:t xml:space="preserve">, </w:t>
      </w:r>
      <w:r>
        <w:rPr>
          <w:rFonts w:cstheme="minorHAnsi"/>
          <w:sz w:val="24"/>
          <w:szCs w:val="24"/>
          <w:lang w:val="el-GR"/>
        </w:rPr>
        <w:t xml:space="preserve">αλλά οι αρχές </w:t>
      </w:r>
      <w:r w:rsidR="00622A46">
        <w:rPr>
          <w:rFonts w:cstheme="minorHAnsi"/>
          <w:sz w:val="24"/>
          <w:szCs w:val="24"/>
          <w:lang w:val="el-GR"/>
        </w:rPr>
        <w:t>υπο</w:t>
      </w:r>
      <w:r>
        <w:rPr>
          <w:rFonts w:cstheme="minorHAnsi"/>
          <w:sz w:val="24"/>
          <w:szCs w:val="24"/>
          <w:lang w:val="el-GR"/>
        </w:rPr>
        <w:t>δε</w:t>
      </w:r>
      <w:r w:rsidR="00622A46">
        <w:rPr>
          <w:rFonts w:cstheme="minorHAnsi"/>
          <w:sz w:val="24"/>
          <w:szCs w:val="24"/>
          <w:lang w:val="el-GR"/>
        </w:rPr>
        <w:t>ικνύ</w:t>
      </w:r>
      <w:r>
        <w:rPr>
          <w:rFonts w:cstheme="minorHAnsi"/>
          <w:sz w:val="24"/>
          <w:szCs w:val="24"/>
          <w:lang w:val="el-GR"/>
        </w:rPr>
        <w:t>ουν ότι υπάρχουν μειωμένοι αριθμοί πληροφοριών</w:t>
      </w:r>
      <w:r w:rsidR="00220066" w:rsidRPr="00A03B83">
        <w:rPr>
          <w:rFonts w:cstheme="minorHAnsi"/>
          <w:sz w:val="24"/>
          <w:szCs w:val="24"/>
          <w:lang w:val="el-GR"/>
        </w:rPr>
        <w:t>/</w:t>
      </w:r>
      <w:r>
        <w:rPr>
          <w:rFonts w:cstheme="minorHAnsi"/>
          <w:sz w:val="24"/>
          <w:szCs w:val="24"/>
          <w:lang w:val="el-GR"/>
        </w:rPr>
        <w:t xml:space="preserve">παραπόνων που σχετίζονται με την διαφθορά στην </w:t>
      </w:r>
      <w:r w:rsidR="009C4E34">
        <w:rPr>
          <w:rFonts w:cstheme="minorHAnsi"/>
          <w:sz w:val="24"/>
          <w:szCs w:val="24"/>
          <w:lang w:val="el-GR"/>
        </w:rPr>
        <w:t>Αστυνομία</w:t>
      </w:r>
      <w:r w:rsidR="00220066" w:rsidRPr="00A03B83">
        <w:rPr>
          <w:rFonts w:cstheme="minorHAnsi"/>
          <w:sz w:val="24"/>
          <w:szCs w:val="24"/>
          <w:lang w:val="el-GR"/>
        </w:rPr>
        <w:t xml:space="preserve">. </w:t>
      </w:r>
    </w:p>
    <w:p w14:paraId="573F00E2" w14:textId="77777777" w:rsidR="00220066" w:rsidRPr="00A03B83" w:rsidRDefault="00220066" w:rsidP="00220066">
      <w:pPr>
        <w:widowControl w:val="0"/>
        <w:tabs>
          <w:tab w:val="left" w:pos="709"/>
        </w:tabs>
        <w:rPr>
          <w:rFonts w:cstheme="minorHAnsi"/>
          <w:sz w:val="24"/>
          <w:szCs w:val="24"/>
          <w:lang w:val="el-GR"/>
        </w:rPr>
      </w:pPr>
    </w:p>
    <w:p w14:paraId="2711C3EE" w14:textId="268F049B" w:rsidR="00220066" w:rsidRPr="00060A6F" w:rsidRDefault="00A03B83"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Η</w:t>
      </w:r>
      <w:r w:rsidRPr="00A03B83">
        <w:rPr>
          <w:rFonts w:cstheme="minorHAnsi"/>
          <w:sz w:val="24"/>
          <w:szCs w:val="24"/>
          <w:lang w:val="el-GR"/>
        </w:rPr>
        <w:t xml:space="preserve"> </w:t>
      </w:r>
      <w:r>
        <w:rPr>
          <w:rFonts w:cstheme="minorHAnsi"/>
          <w:sz w:val="24"/>
          <w:szCs w:val="24"/>
          <w:lang w:val="el-GR"/>
        </w:rPr>
        <w:t>Διεύθυνση</w:t>
      </w:r>
      <w:r w:rsidRPr="00A03B83">
        <w:rPr>
          <w:rFonts w:cstheme="minorHAnsi"/>
          <w:sz w:val="24"/>
          <w:szCs w:val="24"/>
          <w:lang w:val="el-GR"/>
        </w:rPr>
        <w:t xml:space="preserve"> </w:t>
      </w:r>
      <w:r>
        <w:rPr>
          <w:rFonts w:cstheme="minorHAnsi"/>
          <w:sz w:val="24"/>
          <w:szCs w:val="24"/>
          <w:lang w:val="el-GR"/>
        </w:rPr>
        <w:t>Επαγγελματικών</w:t>
      </w:r>
      <w:r w:rsidRPr="00A03B83">
        <w:rPr>
          <w:rFonts w:cstheme="minorHAnsi"/>
          <w:sz w:val="24"/>
          <w:szCs w:val="24"/>
          <w:lang w:val="el-GR"/>
        </w:rPr>
        <w:t xml:space="preserve"> </w:t>
      </w:r>
      <w:r>
        <w:rPr>
          <w:rFonts w:cstheme="minorHAnsi"/>
          <w:sz w:val="24"/>
          <w:szCs w:val="24"/>
          <w:lang w:val="el-GR"/>
        </w:rPr>
        <w:t>Προτύπων</w:t>
      </w:r>
      <w:r w:rsidRPr="00A03B83">
        <w:rPr>
          <w:rFonts w:cstheme="minorHAnsi"/>
          <w:sz w:val="24"/>
          <w:szCs w:val="24"/>
          <w:lang w:val="el-GR"/>
        </w:rPr>
        <w:t xml:space="preserve"> </w:t>
      </w:r>
      <w:r>
        <w:rPr>
          <w:rFonts w:cstheme="minorHAnsi"/>
          <w:sz w:val="24"/>
          <w:szCs w:val="24"/>
          <w:lang w:val="el-GR"/>
        </w:rPr>
        <w:t>και</w:t>
      </w:r>
      <w:r w:rsidRPr="00A03B83">
        <w:rPr>
          <w:rFonts w:cstheme="minorHAnsi"/>
          <w:sz w:val="24"/>
          <w:szCs w:val="24"/>
          <w:lang w:val="el-GR"/>
        </w:rPr>
        <w:t xml:space="preserve"> </w:t>
      </w:r>
      <w:r>
        <w:rPr>
          <w:rFonts w:cstheme="minorHAnsi"/>
          <w:sz w:val="24"/>
          <w:szCs w:val="24"/>
          <w:lang w:val="el-GR"/>
        </w:rPr>
        <w:t>Επιθε</w:t>
      </w:r>
      <w:r w:rsidR="00060A6F">
        <w:rPr>
          <w:rFonts w:cstheme="minorHAnsi"/>
          <w:sz w:val="24"/>
          <w:szCs w:val="24"/>
          <w:lang w:val="el-GR"/>
        </w:rPr>
        <w:t>ώ</w:t>
      </w:r>
      <w:r>
        <w:rPr>
          <w:rFonts w:cstheme="minorHAnsi"/>
          <w:sz w:val="24"/>
          <w:szCs w:val="24"/>
          <w:lang w:val="el-GR"/>
        </w:rPr>
        <w:t>ρησης</w:t>
      </w:r>
      <w:r w:rsidRPr="00A03B83">
        <w:rPr>
          <w:rFonts w:cstheme="minorHAnsi"/>
          <w:sz w:val="24"/>
          <w:szCs w:val="24"/>
          <w:lang w:val="el-GR"/>
        </w:rPr>
        <w:t xml:space="preserve"> </w:t>
      </w:r>
      <w:r w:rsidR="00220066" w:rsidRPr="00A03B83">
        <w:rPr>
          <w:rFonts w:cstheme="minorHAnsi"/>
          <w:sz w:val="24"/>
          <w:szCs w:val="24"/>
          <w:lang w:val="el-GR"/>
        </w:rPr>
        <w:t>(</w:t>
      </w:r>
      <w:r>
        <w:rPr>
          <w:rFonts w:cstheme="minorHAnsi"/>
          <w:sz w:val="24"/>
          <w:szCs w:val="24"/>
          <w:lang w:val="el-GR"/>
        </w:rPr>
        <w:t>στο</w:t>
      </w:r>
      <w:r w:rsidRPr="00A03B83">
        <w:rPr>
          <w:rFonts w:cstheme="minorHAnsi"/>
          <w:sz w:val="24"/>
          <w:szCs w:val="24"/>
          <w:lang w:val="el-GR"/>
        </w:rPr>
        <w:t xml:space="preserve"> </w:t>
      </w:r>
      <w:r>
        <w:rPr>
          <w:rFonts w:cstheme="minorHAnsi"/>
          <w:sz w:val="24"/>
          <w:szCs w:val="24"/>
          <w:lang w:val="el-GR"/>
        </w:rPr>
        <w:t>εξής</w:t>
      </w:r>
      <w:r w:rsidR="00220066" w:rsidRPr="00A03B83">
        <w:rPr>
          <w:rFonts w:cstheme="minorHAnsi"/>
          <w:sz w:val="24"/>
          <w:szCs w:val="24"/>
          <w:lang w:val="el-GR"/>
        </w:rPr>
        <w:t xml:space="preserve">: </w:t>
      </w:r>
      <w:r w:rsidR="00220066" w:rsidRPr="00333B95">
        <w:rPr>
          <w:rFonts w:cstheme="minorHAnsi"/>
          <w:sz w:val="24"/>
          <w:szCs w:val="24"/>
        </w:rPr>
        <w:t>PSID</w:t>
      </w:r>
      <w:r w:rsidR="00220066" w:rsidRPr="00A03B83">
        <w:rPr>
          <w:rFonts w:cstheme="minorHAnsi"/>
          <w:sz w:val="24"/>
          <w:szCs w:val="24"/>
          <w:lang w:val="el-GR"/>
        </w:rPr>
        <w:t xml:space="preserve">) </w:t>
      </w:r>
      <w:r>
        <w:rPr>
          <w:rFonts w:cstheme="minorHAnsi"/>
          <w:sz w:val="24"/>
          <w:szCs w:val="24"/>
          <w:lang w:val="el-GR"/>
        </w:rPr>
        <w:t>είναι</w:t>
      </w:r>
      <w:r w:rsidRPr="00A03B83">
        <w:rPr>
          <w:rFonts w:cstheme="minorHAnsi"/>
          <w:sz w:val="24"/>
          <w:szCs w:val="24"/>
          <w:lang w:val="el-GR"/>
        </w:rPr>
        <w:t xml:space="preserve"> </w:t>
      </w:r>
      <w:r>
        <w:rPr>
          <w:rFonts w:cstheme="minorHAnsi"/>
          <w:sz w:val="24"/>
          <w:szCs w:val="24"/>
          <w:lang w:val="el-GR"/>
        </w:rPr>
        <w:t>υπεύθυνη</w:t>
      </w:r>
      <w:r w:rsidRPr="00A03B83">
        <w:rPr>
          <w:rFonts w:cstheme="minorHAnsi"/>
          <w:sz w:val="24"/>
          <w:szCs w:val="24"/>
          <w:lang w:val="el-GR"/>
        </w:rPr>
        <w:t xml:space="preserve"> </w:t>
      </w:r>
      <w:r>
        <w:rPr>
          <w:rFonts w:cstheme="minorHAnsi"/>
          <w:sz w:val="24"/>
          <w:szCs w:val="24"/>
          <w:lang w:val="el-GR"/>
        </w:rPr>
        <w:t>για</w:t>
      </w:r>
      <w:r w:rsidRPr="00A03B83">
        <w:rPr>
          <w:rFonts w:cstheme="minorHAnsi"/>
          <w:sz w:val="24"/>
          <w:szCs w:val="24"/>
          <w:lang w:val="el-GR"/>
        </w:rPr>
        <w:t xml:space="preserve"> </w:t>
      </w:r>
      <w:r>
        <w:rPr>
          <w:rFonts w:cstheme="minorHAnsi"/>
          <w:sz w:val="24"/>
          <w:szCs w:val="24"/>
          <w:lang w:val="el-GR"/>
        </w:rPr>
        <w:t>την</w:t>
      </w:r>
      <w:r w:rsidRPr="00A03B83">
        <w:rPr>
          <w:rFonts w:cstheme="minorHAnsi"/>
          <w:sz w:val="24"/>
          <w:szCs w:val="24"/>
          <w:lang w:val="el-GR"/>
        </w:rPr>
        <w:t xml:space="preserve"> </w:t>
      </w:r>
      <w:r>
        <w:rPr>
          <w:rFonts w:cstheme="minorHAnsi"/>
          <w:sz w:val="24"/>
          <w:szCs w:val="24"/>
          <w:lang w:val="el-GR"/>
        </w:rPr>
        <w:t>εξασφάλιση</w:t>
      </w:r>
      <w:r w:rsidRPr="00A03B83">
        <w:rPr>
          <w:rFonts w:cstheme="minorHAnsi"/>
          <w:sz w:val="24"/>
          <w:szCs w:val="24"/>
          <w:lang w:val="el-GR"/>
        </w:rPr>
        <w:t xml:space="preserve"> </w:t>
      </w:r>
      <w:r>
        <w:rPr>
          <w:rFonts w:cstheme="minorHAnsi"/>
          <w:sz w:val="24"/>
          <w:szCs w:val="24"/>
          <w:lang w:val="el-GR"/>
        </w:rPr>
        <w:t>επαγγελματικών</w:t>
      </w:r>
      <w:r w:rsidRPr="00A03B83">
        <w:rPr>
          <w:rFonts w:cstheme="minorHAnsi"/>
          <w:sz w:val="24"/>
          <w:szCs w:val="24"/>
          <w:lang w:val="el-GR"/>
        </w:rPr>
        <w:t xml:space="preserve"> </w:t>
      </w:r>
      <w:r>
        <w:rPr>
          <w:rFonts w:cstheme="minorHAnsi"/>
          <w:sz w:val="24"/>
          <w:szCs w:val="24"/>
          <w:lang w:val="el-GR"/>
        </w:rPr>
        <w:t>προτύπων</w:t>
      </w:r>
      <w:r w:rsidR="00220066" w:rsidRPr="00A03B83">
        <w:rPr>
          <w:rFonts w:cstheme="minorHAnsi"/>
          <w:sz w:val="24"/>
          <w:szCs w:val="24"/>
          <w:lang w:val="el-GR"/>
        </w:rPr>
        <w:t xml:space="preserve">, </w:t>
      </w:r>
      <w:r>
        <w:rPr>
          <w:rFonts w:cstheme="minorHAnsi"/>
          <w:sz w:val="24"/>
          <w:szCs w:val="24"/>
          <w:lang w:val="el-GR"/>
        </w:rPr>
        <w:t>ιδιαίτερα</w:t>
      </w:r>
      <w:r w:rsidR="00220066" w:rsidRPr="00A03B83">
        <w:rPr>
          <w:rFonts w:cstheme="minorHAnsi"/>
          <w:sz w:val="24"/>
          <w:szCs w:val="24"/>
          <w:lang w:val="el-GR"/>
        </w:rPr>
        <w:t xml:space="preserve">, </w:t>
      </w:r>
      <w:r>
        <w:rPr>
          <w:rFonts w:cstheme="minorHAnsi"/>
          <w:sz w:val="24"/>
          <w:szCs w:val="24"/>
          <w:lang w:val="el-GR"/>
        </w:rPr>
        <w:t>με</w:t>
      </w:r>
      <w:r w:rsidRPr="00A03B83">
        <w:rPr>
          <w:rFonts w:cstheme="minorHAnsi"/>
          <w:sz w:val="24"/>
          <w:szCs w:val="24"/>
          <w:lang w:val="el-GR"/>
        </w:rPr>
        <w:t xml:space="preserve"> </w:t>
      </w:r>
      <w:r>
        <w:rPr>
          <w:rFonts w:cstheme="minorHAnsi"/>
          <w:sz w:val="24"/>
          <w:szCs w:val="24"/>
          <w:lang w:val="el-GR"/>
        </w:rPr>
        <w:t>την</w:t>
      </w:r>
      <w:r w:rsidRPr="00A03B83">
        <w:rPr>
          <w:rFonts w:cstheme="minorHAnsi"/>
          <w:sz w:val="24"/>
          <w:szCs w:val="24"/>
          <w:lang w:val="el-GR"/>
        </w:rPr>
        <w:t xml:space="preserve"> </w:t>
      </w:r>
      <w:r>
        <w:rPr>
          <w:rFonts w:cstheme="minorHAnsi"/>
          <w:sz w:val="24"/>
          <w:szCs w:val="24"/>
          <w:lang w:val="el-GR"/>
        </w:rPr>
        <w:t>βελτίωση</w:t>
      </w:r>
      <w:r w:rsidR="00220066" w:rsidRPr="00A03B83">
        <w:rPr>
          <w:rFonts w:cstheme="minorHAnsi"/>
          <w:sz w:val="24"/>
          <w:szCs w:val="24"/>
          <w:lang w:val="el-GR"/>
        </w:rPr>
        <w:t>/</w:t>
      </w:r>
      <w:r>
        <w:rPr>
          <w:rFonts w:cstheme="minorHAnsi"/>
          <w:sz w:val="24"/>
          <w:szCs w:val="24"/>
          <w:lang w:val="el-GR"/>
        </w:rPr>
        <w:t>αναβάθμιση</w:t>
      </w:r>
      <w:r w:rsidRPr="00A03B83">
        <w:rPr>
          <w:rFonts w:cstheme="minorHAnsi"/>
          <w:sz w:val="24"/>
          <w:szCs w:val="24"/>
          <w:lang w:val="el-GR"/>
        </w:rPr>
        <w:t xml:space="preserve"> </w:t>
      </w:r>
      <w:r>
        <w:rPr>
          <w:rFonts w:cstheme="minorHAnsi"/>
          <w:sz w:val="24"/>
          <w:szCs w:val="24"/>
          <w:lang w:val="el-GR"/>
        </w:rPr>
        <w:t>των</w:t>
      </w:r>
      <w:r w:rsidRPr="00A03B83">
        <w:rPr>
          <w:rFonts w:cstheme="minorHAnsi"/>
          <w:sz w:val="24"/>
          <w:szCs w:val="24"/>
          <w:lang w:val="el-GR"/>
        </w:rPr>
        <w:t xml:space="preserve"> </w:t>
      </w:r>
      <w:r>
        <w:rPr>
          <w:rFonts w:cstheme="minorHAnsi"/>
          <w:sz w:val="24"/>
          <w:szCs w:val="24"/>
          <w:lang w:val="el-GR"/>
        </w:rPr>
        <w:t>εσωτερικών</w:t>
      </w:r>
      <w:r w:rsidRPr="00A03B83">
        <w:rPr>
          <w:rFonts w:cstheme="minorHAnsi"/>
          <w:sz w:val="24"/>
          <w:szCs w:val="24"/>
          <w:lang w:val="el-GR"/>
        </w:rPr>
        <w:t xml:space="preserve"> </w:t>
      </w:r>
      <w:r>
        <w:rPr>
          <w:rFonts w:cstheme="minorHAnsi"/>
          <w:sz w:val="24"/>
          <w:szCs w:val="24"/>
          <w:lang w:val="el-GR"/>
        </w:rPr>
        <w:t>πρακτικών</w:t>
      </w:r>
      <w:r w:rsidR="00220066" w:rsidRPr="00A03B83">
        <w:rPr>
          <w:rFonts w:cstheme="minorHAnsi"/>
          <w:sz w:val="24"/>
          <w:szCs w:val="24"/>
          <w:lang w:val="el-GR"/>
        </w:rPr>
        <w:t xml:space="preserve"> </w:t>
      </w:r>
      <w:r>
        <w:rPr>
          <w:rFonts w:cstheme="minorHAnsi"/>
          <w:sz w:val="24"/>
          <w:szCs w:val="24"/>
          <w:lang w:val="el-GR"/>
        </w:rPr>
        <w:t>και διαδικασιών</w:t>
      </w:r>
      <w:r w:rsidR="00220066" w:rsidRPr="00A03B83">
        <w:rPr>
          <w:rFonts w:cstheme="minorHAnsi"/>
          <w:sz w:val="24"/>
          <w:szCs w:val="24"/>
          <w:lang w:val="el-GR"/>
        </w:rPr>
        <w:t xml:space="preserve"> </w:t>
      </w:r>
      <w:r>
        <w:rPr>
          <w:rFonts w:cstheme="minorHAnsi"/>
          <w:sz w:val="24"/>
          <w:szCs w:val="24"/>
          <w:lang w:val="el-GR"/>
        </w:rPr>
        <w:t>που ακολουθούνται από τους ΑΕΝ</w:t>
      </w:r>
      <w:r w:rsidR="00220066" w:rsidRPr="00A03B83">
        <w:rPr>
          <w:rFonts w:cstheme="minorHAnsi"/>
          <w:sz w:val="24"/>
          <w:szCs w:val="24"/>
          <w:lang w:val="el-GR"/>
        </w:rPr>
        <w:t xml:space="preserve"> </w:t>
      </w:r>
      <w:r>
        <w:rPr>
          <w:rFonts w:cstheme="minorHAnsi"/>
          <w:sz w:val="24"/>
          <w:szCs w:val="24"/>
          <w:lang w:val="el-GR"/>
        </w:rPr>
        <w:t>και την εισαγωγή και υλοποίηση μηχανισμών</w:t>
      </w:r>
      <w:r w:rsidR="00220066" w:rsidRPr="00A03B83">
        <w:rPr>
          <w:rFonts w:cstheme="minorHAnsi"/>
          <w:sz w:val="24"/>
          <w:szCs w:val="24"/>
          <w:lang w:val="el-GR"/>
        </w:rPr>
        <w:t xml:space="preserve"> </w:t>
      </w:r>
      <w:r>
        <w:rPr>
          <w:rFonts w:cstheme="minorHAnsi"/>
          <w:sz w:val="24"/>
          <w:szCs w:val="24"/>
          <w:lang w:val="el-GR"/>
        </w:rPr>
        <w:t>για την πρόληψη</w:t>
      </w:r>
      <w:r w:rsidR="00220066" w:rsidRPr="00A03B83">
        <w:rPr>
          <w:rFonts w:cstheme="minorHAnsi"/>
          <w:sz w:val="24"/>
          <w:szCs w:val="24"/>
          <w:lang w:val="el-GR"/>
        </w:rPr>
        <w:t xml:space="preserve">, </w:t>
      </w:r>
      <w:r w:rsidR="00060A6F">
        <w:rPr>
          <w:rFonts w:cstheme="minorHAnsi"/>
          <w:sz w:val="24"/>
          <w:szCs w:val="24"/>
          <w:lang w:val="el-GR"/>
        </w:rPr>
        <w:t>επιθεώρηση</w:t>
      </w:r>
      <w:r w:rsidR="00220066" w:rsidRPr="00A03B83">
        <w:rPr>
          <w:rFonts w:cstheme="minorHAnsi"/>
          <w:sz w:val="24"/>
          <w:szCs w:val="24"/>
          <w:lang w:val="el-GR"/>
        </w:rPr>
        <w:t xml:space="preserve">, </w:t>
      </w:r>
      <w:r w:rsidR="00060A6F">
        <w:rPr>
          <w:rFonts w:cstheme="minorHAnsi"/>
          <w:sz w:val="24"/>
          <w:szCs w:val="24"/>
          <w:lang w:val="el-GR"/>
        </w:rPr>
        <w:t>ανίχνευση και καταπολέμηση</w:t>
      </w:r>
      <w:r w:rsidR="00220066" w:rsidRPr="00A03B83">
        <w:rPr>
          <w:rFonts w:cstheme="minorHAnsi"/>
          <w:sz w:val="24"/>
          <w:szCs w:val="24"/>
          <w:lang w:val="el-GR"/>
        </w:rPr>
        <w:t xml:space="preserve"> </w:t>
      </w:r>
      <w:r w:rsidR="00060A6F">
        <w:rPr>
          <w:rFonts w:cstheme="minorHAnsi"/>
          <w:sz w:val="24"/>
          <w:szCs w:val="24"/>
          <w:lang w:val="el-GR"/>
        </w:rPr>
        <w:t>αποκλίνουσας ή εγκληματικής συμπεριφοράς από τους ΑΕΝ</w:t>
      </w:r>
      <w:r w:rsidR="00220066" w:rsidRPr="00A03B83">
        <w:rPr>
          <w:rFonts w:cstheme="minorHAnsi"/>
          <w:sz w:val="24"/>
          <w:szCs w:val="24"/>
          <w:lang w:val="el-GR"/>
        </w:rPr>
        <w:t xml:space="preserve">. </w:t>
      </w:r>
      <w:r w:rsidR="00060A6F">
        <w:rPr>
          <w:rFonts w:cstheme="minorHAnsi"/>
          <w:sz w:val="24"/>
          <w:szCs w:val="24"/>
          <w:lang w:val="el-GR"/>
        </w:rPr>
        <w:t>Επιπρόσ</w:t>
      </w:r>
      <w:r w:rsidR="00622A46">
        <w:rPr>
          <w:rFonts w:cstheme="minorHAnsi"/>
          <w:sz w:val="24"/>
          <w:szCs w:val="24"/>
          <w:lang w:val="el-GR"/>
        </w:rPr>
        <w:t>θ</w:t>
      </w:r>
      <w:r w:rsidR="00060A6F">
        <w:rPr>
          <w:rFonts w:cstheme="minorHAnsi"/>
          <w:sz w:val="24"/>
          <w:szCs w:val="24"/>
          <w:lang w:val="el-GR"/>
        </w:rPr>
        <w:t>ετα</w:t>
      </w:r>
      <w:r w:rsidR="00220066" w:rsidRPr="00060A6F">
        <w:rPr>
          <w:rFonts w:cstheme="minorHAnsi"/>
          <w:sz w:val="24"/>
          <w:szCs w:val="24"/>
          <w:lang w:val="el-GR"/>
        </w:rPr>
        <w:t xml:space="preserve">, </w:t>
      </w:r>
      <w:r w:rsidR="00060A6F">
        <w:rPr>
          <w:rFonts w:cstheme="minorHAnsi"/>
          <w:sz w:val="24"/>
          <w:szCs w:val="24"/>
          <w:lang w:val="el-GR"/>
        </w:rPr>
        <w:t>η</w:t>
      </w:r>
      <w:r w:rsidR="00060A6F" w:rsidRPr="00060A6F">
        <w:rPr>
          <w:rFonts w:cstheme="minorHAnsi"/>
          <w:sz w:val="24"/>
          <w:szCs w:val="24"/>
          <w:lang w:val="el-GR"/>
        </w:rPr>
        <w:t xml:space="preserve"> </w:t>
      </w:r>
      <w:r w:rsidR="00060A6F">
        <w:rPr>
          <w:rFonts w:cstheme="minorHAnsi"/>
          <w:sz w:val="24"/>
          <w:szCs w:val="24"/>
          <w:lang w:val="el-GR"/>
        </w:rPr>
        <w:t>Διεύθυνση</w:t>
      </w:r>
      <w:r w:rsidR="00060A6F" w:rsidRPr="00060A6F">
        <w:rPr>
          <w:rFonts w:cstheme="minorHAnsi"/>
          <w:sz w:val="24"/>
          <w:szCs w:val="24"/>
          <w:lang w:val="el-GR"/>
        </w:rPr>
        <w:t xml:space="preserve"> </w:t>
      </w:r>
      <w:r w:rsidR="00060A6F">
        <w:rPr>
          <w:rFonts w:cstheme="minorHAnsi"/>
          <w:sz w:val="24"/>
          <w:szCs w:val="24"/>
          <w:lang w:val="el-GR"/>
        </w:rPr>
        <w:t>διεξάγει</w:t>
      </w:r>
      <w:r w:rsidR="00060A6F" w:rsidRPr="00060A6F">
        <w:rPr>
          <w:rFonts w:cstheme="minorHAnsi"/>
          <w:sz w:val="24"/>
          <w:szCs w:val="24"/>
          <w:lang w:val="el-GR"/>
        </w:rPr>
        <w:t xml:space="preserve"> </w:t>
      </w:r>
      <w:r w:rsidR="00060A6F">
        <w:rPr>
          <w:rFonts w:cstheme="minorHAnsi"/>
          <w:sz w:val="24"/>
          <w:szCs w:val="24"/>
          <w:lang w:val="el-GR"/>
        </w:rPr>
        <w:t>επιθεωρήσεις</w:t>
      </w:r>
      <w:r w:rsidR="00220066" w:rsidRPr="00060A6F">
        <w:rPr>
          <w:rFonts w:cstheme="minorHAnsi"/>
          <w:sz w:val="24"/>
          <w:szCs w:val="24"/>
          <w:lang w:val="el-GR"/>
        </w:rPr>
        <w:t xml:space="preserve"> </w:t>
      </w:r>
      <w:r w:rsidR="00060A6F">
        <w:rPr>
          <w:rFonts w:cstheme="minorHAnsi"/>
          <w:sz w:val="24"/>
          <w:szCs w:val="24"/>
          <w:lang w:val="el-GR"/>
        </w:rPr>
        <w:t>για</w:t>
      </w:r>
      <w:r w:rsidR="00060A6F" w:rsidRPr="00060A6F">
        <w:rPr>
          <w:rFonts w:cstheme="minorHAnsi"/>
          <w:sz w:val="24"/>
          <w:szCs w:val="24"/>
          <w:lang w:val="el-GR"/>
        </w:rPr>
        <w:t xml:space="preserve"> </w:t>
      </w:r>
      <w:r w:rsidR="00060A6F">
        <w:rPr>
          <w:rFonts w:cstheme="minorHAnsi"/>
          <w:sz w:val="24"/>
          <w:szCs w:val="24"/>
          <w:lang w:val="el-GR"/>
        </w:rPr>
        <w:t>τον</w:t>
      </w:r>
      <w:r w:rsidR="00060A6F" w:rsidRPr="00060A6F">
        <w:rPr>
          <w:rFonts w:cstheme="minorHAnsi"/>
          <w:sz w:val="24"/>
          <w:szCs w:val="24"/>
          <w:lang w:val="el-GR"/>
        </w:rPr>
        <w:t xml:space="preserve"> </w:t>
      </w:r>
      <w:r w:rsidR="00060A6F">
        <w:rPr>
          <w:rFonts w:cstheme="minorHAnsi"/>
          <w:sz w:val="24"/>
          <w:szCs w:val="24"/>
          <w:lang w:val="el-GR"/>
        </w:rPr>
        <w:t>σκοπό</w:t>
      </w:r>
      <w:r w:rsidR="00220066" w:rsidRPr="00060A6F">
        <w:rPr>
          <w:rFonts w:cstheme="minorHAnsi"/>
          <w:sz w:val="24"/>
          <w:szCs w:val="24"/>
          <w:lang w:val="el-GR"/>
        </w:rPr>
        <w:t xml:space="preserve"> </w:t>
      </w:r>
      <w:r w:rsidR="00060A6F">
        <w:rPr>
          <w:rFonts w:cstheme="minorHAnsi"/>
          <w:sz w:val="24"/>
          <w:szCs w:val="24"/>
          <w:lang w:val="el-GR"/>
        </w:rPr>
        <w:t>της</w:t>
      </w:r>
      <w:r w:rsidR="00060A6F" w:rsidRPr="00060A6F">
        <w:rPr>
          <w:rFonts w:cstheme="minorHAnsi"/>
          <w:sz w:val="24"/>
          <w:szCs w:val="24"/>
          <w:lang w:val="el-GR"/>
        </w:rPr>
        <w:t xml:space="preserve"> </w:t>
      </w:r>
      <w:r w:rsidR="00060A6F">
        <w:rPr>
          <w:rFonts w:cstheme="minorHAnsi"/>
          <w:sz w:val="24"/>
          <w:szCs w:val="24"/>
          <w:lang w:val="el-GR"/>
        </w:rPr>
        <w:t>καθιέρωσης</w:t>
      </w:r>
      <w:r w:rsidR="00060A6F" w:rsidRPr="00060A6F">
        <w:rPr>
          <w:rFonts w:cstheme="minorHAnsi"/>
          <w:sz w:val="24"/>
          <w:szCs w:val="24"/>
          <w:lang w:val="el-GR"/>
        </w:rPr>
        <w:t xml:space="preserve"> </w:t>
      </w:r>
      <w:r w:rsidR="00060A6F">
        <w:rPr>
          <w:rFonts w:cstheme="minorHAnsi"/>
          <w:sz w:val="24"/>
          <w:szCs w:val="24"/>
          <w:lang w:val="el-GR"/>
        </w:rPr>
        <w:t>της</w:t>
      </w:r>
      <w:r w:rsidR="00060A6F" w:rsidRPr="00060A6F">
        <w:rPr>
          <w:rFonts w:cstheme="minorHAnsi"/>
          <w:sz w:val="24"/>
          <w:szCs w:val="24"/>
          <w:lang w:val="el-GR"/>
        </w:rPr>
        <w:t xml:space="preserve"> </w:t>
      </w:r>
      <w:r w:rsidR="00060A6F">
        <w:rPr>
          <w:rFonts w:cstheme="minorHAnsi"/>
          <w:sz w:val="24"/>
          <w:szCs w:val="24"/>
          <w:lang w:val="el-GR"/>
        </w:rPr>
        <w:t>αποτελεσματικότητας</w:t>
      </w:r>
      <w:r w:rsidR="00220066" w:rsidRPr="00060A6F">
        <w:rPr>
          <w:rFonts w:cstheme="minorHAnsi"/>
          <w:sz w:val="24"/>
          <w:szCs w:val="24"/>
          <w:lang w:val="el-GR"/>
        </w:rPr>
        <w:t xml:space="preserve"> </w:t>
      </w:r>
      <w:r w:rsidR="00060A6F">
        <w:rPr>
          <w:rFonts w:cstheme="minorHAnsi"/>
          <w:sz w:val="24"/>
          <w:szCs w:val="24"/>
          <w:lang w:val="el-GR"/>
        </w:rPr>
        <w:t>τόσο</w:t>
      </w:r>
      <w:r w:rsidR="00060A6F" w:rsidRPr="00060A6F">
        <w:rPr>
          <w:rFonts w:cstheme="minorHAnsi"/>
          <w:sz w:val="24"/>
          <w:szCs w:val="24"/>
          <w:lang w:val="el-GR"/>
        </w:rPr>
        <w:t xml:space="preserve"> </w:t>
      </w:r>
      <w:r w:rsidR="00060A6F">
        <w:rPr>
          <w:rFonts w:cstheme="minorHAnsi"/>
          <w:sz w:val="24"/>
          <w:szCs w:val="24"/>
          <w:lang w:val="el-GR"/>
        </w:rPr>
        <w:t>της</w:t>
      </w:r>
      <w:r w:rsidR="00060A6F" w:rsidRPr="00060A6F">
        <w:rPr>
          <w:rFonts w:cstheme="minorHAnsi"/>
          <w:sz w:val="24"/>
          <w:szCs w:val="24"/>
          <w:lang w:val="el-GR"/>
        </w:rPr>
        <w:t xml:space="preserve"> </w:t>
      </w:r>
      <w:r w:rsidR="00060A6F">
        <w:rPr>
          <w:rFonts w:cstheme="minorHAnsi"/>
          <w:sz w:val="24"/>
          <w:szCs w:val="24"/>
          <w:lang w:val="el-GR"/>
        </w:rPr>
        <w:t>γενικής</w:t>
      </w:r>
      <w:r w:rsidR="00060A6F" w:rsidRPr="00060A6F">
        <w:rPr>
          <w:rFonts w:cstheme="minorHAnsi"/>
          <w:sz w:val="24"/>
          <w:szCs w:val="24"/>
          <w:lang w:val="el-GR"/>
        </w:rPr>
        <w:t xml:space="preserve"> </w:t>
      </w:r>
      <w:r w:rsidR="00060A6F">
        <w:rPr>
          <w:rFonts w:cstheme="minorHAnsi"/>
          <w:sz w:val="24"/>
          <w:szCs w:val="24"/>
          <w:lang w:val="el-GR"/>
        </w:rPr>
        <w:t>διοίκησης</w:t>
      </w:r>
      <w:r w:rsidR="00060A6F" w:rsidRPr="00060A6F">
        <w:rPr>
          <w:rFonts w:cstheme="minorHAnsi"/>
          <w:sz w:val="24"/>
          <w:szCs w:val="24"/>
          <w:lang w:val="el-GR"/>
        </w:rPr>
        <w:t xml:space="preserve"> </w:t>
      </w:r>
      <w:r w:rsidR="00060A6F">
        <w:rPr>
          <w:rFonts w:cstheme="minorHAnsi"/>
          <w:sz w:val="24"/>
          <w:szCs w:val="24"/>
          <w:lang w:val="el-GR"/>
        </w:rPr>
        <w:t>όσο</w:t>
      </w:r>
      <w:r w:rsidR="00060A6F" w:rsidRPr="00060A6F">
        <w:rPr>
          <w:rFonts w:cstheme="minorHAnsi"/>
          <w:sz w:val="24"/>
          <w:szCs w:val="24"/>
          <w:lang w:val="el-GR"/>
        </w:rPr>
        <w:t xml:space="preserve"> </w:t>
      </w:r>
      <w:r w:rsidR="00060A6F">
        <w:rPr>
          <w:rFonts w:cstheme="minorHAnsi"/>
          <w:sz w:val="24"/>
          <w:szCs w:val="24"/>
          <w:lang w:val="el-GR"/>
        </w:rPr>
        <w:t>και</w:t>
      </w:r>
      <w:r w:rsidR="00060A6F" w:rsidRPr="00060A6F">
        <w:rPr>
          <w:rFonts w:cstheme="minorHAnsi"/>
          <w:sz w:val="24"/>
          <w:szCs w:val="24"/>
          <w:lang w:val="el-GR"/>
        </w:rPr>
        <w:t xml:space="preserve"> </w:t>
      </w:r>
      <w:r w:rsidR="00060A6F">
        <w:rPr>
          <w:rFonts w:cstheme="minorHAnsi"/>
          <w:sz w:val="24"/>
          <w:szCs w:val="24"/>
          <w:lang w:val="el-GR"/>
        </w:rPr>
        <w:t>του</w:t>
      </w:r>
      <w:r w:rsidR="00060A6F" w:rsidRPr="00060A6F">
        <w:rPr>
          <w:rFonts w:cstheme="minorHAnsi"/>
          <w:sz w:val="24"/>
          <w:szCs w:val="24"/>
          <w:lang w:val="el-GR"/>
        </w:rPr>
        <w:t xml:space="preserve"> </w:t>
      </w:r>
      <w:r w:rsidR="00060A6F">
        <w:rPr>
          <w:rFonts w:cstheme="minorHAnsi"/>
          <w:sz w:val="24"/>
          <w:szCs w:val="24"/>
          <w:lang w:val="el-GR"/>
        </w:rPr>
        <w:t>συστήματος</w:t>
      </w:r>
      <w:r w:rsidR="00060A6F" w:rsidRPr="00060A6F">
        <w:rPr>
          <w:rFonts w:cstheme="minorHAnsi"/>
          <w:sz w:val="24"/>
          <w:szCs w:val="24"/>
          <w:lang w:val="el-GR"/>
        </w:rPr>
        <w:t xml:space="preserve"> </w:t>
      </w:r>
      <w:r w:rsidR="00060A6F">
        <w:rPr>
          <w:rFonts w:cstheme="minorHAnsi"/>
          <w:sz w:val="24"/>
          <w:szCs w:val="24"/>
          <w:lang w:val="el-GR"/>
        </w:rPr>
        <w:t>ασ</w:t>
      </w:r>
      <w:r w:rsidR="00622A46">
        <w:rPr>
          <w:rFonts w:cstheme="minorHAnsi"/>
          <w:sz w:val="24"/>
          <w:szCs w:val="24"/>
          <w:lang w:val="el-GR"/>
        </w:rPr>
        <w:t>τ</w:t>
      </w:r>
      <w:r w:rsidR="00060A6F">
        <w:rPr>
          <w:rFonts w:cstheme="minorHAnsi"/>
          <w:sz w:val="24"/>
          <w:szCs w:val="24"/>
          <w:lang w:val="el-GR"/>
        </w:rPr>
        <w:t>υνόμευσης</w:t>
      </w:r>
      <w:r w:rsidR="00220066" w:rsidRPr="00060A6F">
        <w:rPr>
          <w:rFonts w:cstheme="minorHAnsi"/>
          <w:sz w:val="24"/>
          <w:szCs w:val="24"/>
          <w:lang w:val="el-GR"/>
        </w:rPr>
        <w:t xml:space="preserve">, </w:t>
      </w:r>
      <w:r w:rsidR="00060A6F">
        <w:rPr>
          <w:rFonts w:cstheme="minorHAnsi"/>
          <w:sz w:val="24"/>
          <w:szCs w:val="24"/>
          <w:lang w:val="el-GR"/>
        </w:rPr>
        <w:t>καθώς επίσης και της σωστής εκτέλεσης αστυνομικών καθηκόντων</w:t>
      </w:r>
      <w:r w:rsidR="00220066" w:rsidRPr="00060A6F">
        <w:rPr>
          <w:rFonts w:cstheme="minorHAnsi"/>
          <w:sz w:val="24"/>
          <w:szCs w:val="24"/>
          <w:lang w:val="el-GR"/>
        </w:rPr>
        <w:t xml:space="preserve">, </w:t>
      </w:r>
      <w:r w:rsidR="00060A6F">
        <w:rPr>
          <w:rFonts w:cstheme="minorHAnsi"/>
          <w:sz w:val="24"/>
          <w:szCs w:val="24"/>
          <w:lang w:val="el-GR"/>
        </w:rPr>
        <w:t>σύμφωνα με τις καθορισμένες μεθόδους και διαδικασίες</w:t>
      </w:r>
      <w:r w:rsidR="00220066" w:rsidRPr="00060A6F">
        <w:rPr>
          <w:rFonts w:cstheme="minorHAnsi"/>
          <w:sz w:val="24"/>
          <w:szCs w:val="24"/>
          <w:lang w:val="el-GR"/>
        </w:rPr>
        <w:t xml:space="preserve"> (</w:t>
      </w:r>
      <w:r w:rsidR="00060A6F">
        <w:rPr>
          <w:rFonts w:cstheme="minorHAnsi"/>
          <w:sz w:val="24"/>
          <w:szCs w:val="24"/>
          <w:lang w:val="el-GR"/>
        </w:rPr>
        <w:t>για περαιτέρω λεπτομέρειες</w:t>
      </w:r>
      <w:r w:rsidR="00220066" w:rsidRPr="00060A6F">
        <w:rPr>
          <w:rFonts w:cstheme="minorHAnsi"/>
          <w:sz w:val="24"/>
          <w:szCs w:val="24"/>
          <w:lang w:val="el-GR"/>
        </w:rPr>
        <w:t xml:space="preserve"> </w:t>
      </w:r>
      <w:r w:rsidR="00060A6F">
        <w:rPr>
          <w:rFonts w:cstheme="minorHAnsi"/>
          <w:sz w:val="24"/>
          <w:szCs w:val="24"/>
          <w:lang w:val="el-GR"/>
        </w:rPr>
        <w:t>για την</w:t>
      </w:r>
      <w:r w:rsidR="00220066" w:rsidRPr="00060A6F">
        <w:rPr>
          <w:rFonts w:cstheme="minorHAnsi"/>
          <w:sz w:val="24"/>
          <w:szCs w:val="24"/>
          <w:lang w:val="el-GR"/>
        </w:rPr>
        <w:t xml:space="preserve"> </w:t>
      </w:r>
      <w:r w:rsidR="00220066" w:rsidRPr="00333B95">
        <w:rPr>
          <w:rFonts w:cstheme="minorHAnsi"/>
          <w:sz w:val="24"/>
          <w:szCs w:val="24"/>
        </w:rPr>
        <w:t>PSID</w:t>
      </w:r>
      <w:r w:rsidR="00220066" w:rsidRPr="00060A6F">
        <w:rPr>
          <w:rFonts w:cstheme="minorHAnsi"/>
          <w:sz w:val="24"/>
          <w:szCs w:val="24"/>
          <w:lang w:val="el-GR"/>
        </w:rPr>
        <w:t xml:space="preserve"> </w:t>
      </w:r>
      <w:r w:rsidR="00060A6F">
        <w:rPr>
          <w:rFonts w:cstheme="minorHAnsi"/>
          <w:sz w:val="24"/>
          <w:szCs w:val="24"/>
          <w:lang w:val="el-GR"/>
        </w:rPr>
        <w:t xml:space="preserve">βλέπε πιο κάτω στην έκθεση αυτή, </w:t>
      </w:r>
      <w:r w:rsidR="00622A46">
        <w:rPr>
          <w:rFonts w:cstheme="minorHAnsi"/>
          <w:sz w:val="24"/>
          <w:szCs w:val="24"/>
          <w:lang w:val="el-GR"/>
        </w:rPr>
        <w:t>για την</w:t>
      </w:r>
      <w:r w:rsidR="00060A6F">
        <w:rPr>
          <w:rFonts w:cstheme="minorHAnsi"/>
          <w:sz w:val="24"/>
          <w:szCs w:val="24"/>
          <w:lang w:val="el-GR"/>
        </w:rPr>
        <w:t xml:space="preserve"> εσωτερική επισκόπηση</w:t>
      </w:r>
      <w:r w:rsidR="00220066" w:rsidRPr="00060A6F">
        <w:rPr>
          <w:rFonts w:cstheme="minorHAnsi"/>
          <w:sz w:val="24"/>
          <w:szCs w:val="24"/>
          <w:lang w:val="el-GR"/>
        </w:rPr>
        <w:t xml:space="preserve">). </w:t>
      </w:r>
    </w:p>
    <w:p w14:paraId="6F965587" w14:textId="77777777" w:rsidR="00220066" w:rsidRPr="00060A6F" w:rsidRDefault="00220066" w:rsidP="00220066">
      <w:pPr>
        <w:widowControl w:val="0"/>
        <w:tabs>
          <w:tab w:val="left" w:pos="709"/>
        </w:tabs>
        <w:rPr>
          <w:rFonts w:cstheme="minorHAnsi"/>
          <w:sz w:val="24"/>
          <w:szCs w:val="24"/>
          <w:lang w:val="el-GR"/>
        </w:rPr>
      </w:pPr>
    </w:p>
    <w:bookmarkEnd w:id="193"/>
    <w:p w14:paraId="755C149A" w14:textId="5C38908F" w:rsidR="00220066" w:rsidRPr="00F24164" w:rsidRDefault="00060A6F"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Στα</w:t>
      </w:r>
      <w:r w:rsidRPr="00060A6F">
        <w:rPr>
          <w:rFonts w:cstheme="minorHAnsi"/>
          <w:sz w:val="24"/>
          <w:szCs w:val="24"/>
          <w:lang w:val="el-GR"/>
        </w:rPr>
        <w:t xml:space="preserve"> </w:t>
      </w:r>
      <w:r>
        <w:rPr>
          <w:rFonts w:cstheme="minorHAnsi"/>
          <w:sz w:val="24"/>
          <w:szCs w:val="24"/>
          <w:lang w:val="el-GR"/>
        </w:rPr>
        <w:t>πλαίσια</w:t>
      </w:r>
      <w:r w:rsidRPr="00060A6F">
        <w:rPr>
          <w:rFonts w:cstheme="minorHAnsi"/>
          <w:sz w:val="24"/>
          <w:szCs w:val="24"/>
          <w:lang w:val="el-GR"/>
        </w:rPr>
        <w:t xml:space="preserve"> </w:t>
      </w:r>
      <w:r>
        <w:rPr>
          <w:rFonts w:cstheme="minorHAnsi"/>
          <w:sz w:val="24"/>
          <w:szCs w:val="24"/>
          <w:lang w:val="el-GR"/>
        </w:rPr>
        <w:t>εκπαιδευτικών</w:t>
      </w:r>
      <w:r w:rsidRPr="00060A6F">
        <w:rPr>
          <w:rFonts w:cstheme="minorHAnsi"/>
          <w:sz w:val="24"/>
          <w:szCs w:val="24"/>
          <w:lang w:val="el-GR"/>
        </w:rPr>
        <w:t xml:space="preserve"> </w:t>
      </w:r>
      <w:r>
        <w:rPr>
          <w:rFonts w:cstheme="minorHAnsi"/>
          <w:sz w:val="24"/>
          <w:szCs w:val="24"/>
          <w:lang w:val="el-GR"/>
        </w:rPr>
        <w:t>δραστηριοτήτων</w:t>
      </w:r>
      <w:r w:rsidR="00220066" w:rsidRPr="00060A6F">
        <w:rPr>
          <w:rFonts w:cstheme="minorHAnsi"/>
          <w:sz w:val="24"/>
          <w:szCs w:val="24"/>
          <w:lang w:val="el-GR"/>
        </w:rPr>
        <w:t xml:space="preserve"> </w:t>
      </w:r>
      <w:r>
        <w:rPr>
          <w:rFonts w:cstheme="minorHAnsi"/>
          <w:sz w:val="24"/>
          <w:szCs w:val="24"/>
          <w:lang w:val="el-GR"/>
        </w:rPr>
        <w:t>που</w:t>
      </w:r>
      <w:r w:rsidRPr="00060A6F">
        <w:rPr>
          <w:rFonts w:cstheme="minorHAnsi"/>
          <w:sz w:val="24"/>
          <w:szCs w:val="24"/>
          <w:lang w:val="el-GR"/>
        </w:rPr>
        <w:t xml:space="preserve"> </w:t>
      </w:r>
      <w:r>
        <w:rPr>
          <w:rFonts w:cstheme="minorHAnsi"/>
          <w:sz w:val="24"/>
          <w:szCs w:val="24"/>
          <w:lang w:val="el-GR"/>
        </w:rPr>
        <w:t>διεξάγονται</w:t>
      </w:r>
      <w:r w:rsidRPr="00060A6F">
        <w:rPr>
          <w:rFonts w:cstheme="minorHAnsi"/>
          <w:sz w:val="24"/>
          <w:szCs w:val="24"/>
          <w:lang w:val="el-GR"/>
        </w:rPr>
        <w:t xml:space="preserve"> </w:t>
      </w:r>
      <w:r>
        <w:rPr>
          <w:rFonts w:cstheme="minorHAnsi"/>
          <w:sz w:val="24"/>
          <w:szCs w:val="24"/>
          <w:lang w:val="el-GR"/>
        </w:rPr>
        <w:t>από</w:t>
      </w:r>
      <w:r w:rsidRPr="00060A6F">
        <w:rPr>
          <w:rFonts w:cstheme="minorHAnsi"/>
          <w:sz w:val="24"/>
          <w:szCs w:val="24"/>
          <w:lang w:val="el-GR"/>
        </w:rPr>
        <w:t xml:space="preserve"> </w:t>
      </w:r>
      <w:r>
        <w:rPr>
          <w:rFonts w:cstheme="minorHAnsi"/>
          <w:sz w:val="24"/>
          <w:szCs w:val="24"/>
          <w:lang w:val="el-GR"/>
        </w:rPr>
        <w:t>την</w:t>
      </w:r>
      <w:r w:rsidRPr="00060A6F">
        <w:rPr>
          <w:rFonts w:cstheme="minorHAnsi"/>
          <w:sz w:val="24"/>
          <w:szCs w:val="24"/>
          <w:lang w:val="el-GR"/>
        </w:rPr>
        <w:t xml:space="preserve"> </w:t>
      </w:r>
      <w:r>
        <w:rPr>
          <w:rFonts w:cstheme="minorHAnsi"/>
          <w:sz w:val="24"/>
          <w:szCs w:val="24"/>
          <w:lang w:val="el-GR"/>
        </w:rPr>
        <w:t>Αστυνομική</w:t>
      </w:r>
      <w:r w:rsidRPr="00060A6F">
        <w:rPr>
          <w:rFonts w:cstheme="minorHAnsi"/>
          <w:sz w:val="24"/>
          <w:szCs w:val="24"/>
          <w:lang w:val="el-GR"/>
        </w:rPr>
        <w:t xml:space="preserve"> </w:t>
      </w:r>
      <w:r>
        <w:rPr>
          <w:rFonts w:cstheme="minorHAnsi"/>
          <w:sz w:val="24"/>
          <w:szCs w:val="24"/>
          <w:lang w:val="el-GR"/>
        </w:rPr>
        <w:t>Ακαδημία</w:t>
      </w:r>
      <w:r w:rsidRPr="00060A6F">
        <w:rPr>
          <w:rFonts w:cstheme="minorHAnsi"/>
          <w:sz w:val="24"/>
          <w:szCs w:val="24"/>
          <w:lang w:val="el-GR"/>
        </w:rPr>
        <w:t xml:space="preserve"> </w:t>
      </w:r>
      <w:r>
        <w:rPr>
          <w:rFonts w:cstheme="minorHAnsi"/>
          <w:sz w:val="24"/>
          <w:szCs w:val="24"/>
          <w:lang w:val="el-GR"/>
        </w:rPr>
        <w:t>Κύπρου</w:t>
      </w:r>
      <w:r w:rsidR="00220066" w:rsidRPr="00060A6F">
        <w:rPr>
          <w:rFonts w:cstheme="minorHAnsi"/>
          <w:sz w:val="24"/>
          <w:szCs w:val="24"/>
          <w:lang w:val="el-GR"/>
        </w:rPr>
        <w:t xml:space="preserve">, </w:t>
      </w:r>
      <w:r>
        <w:rPr>
          <w:rFonts w:cstheme="minorHAnsi"/>
          <w:sz w:val="24"/>
          <w:szCs w:val="24"/>
          <w:lang w:val="el-GR"/>
        </w:rPr>
        <w:t>παρέχονται</w:t>
      </w:r>
      <w:r w:rsidRPr="00060A6F">
        <w:rPr>
          <w:rFonts w:cstheme="minorHAnsi"/>
          <w:sz w:val="24"/>
          <w:szCs w:val="24"/>
          <w:lang w:val="el-GR"/>
        </w:rPr>
        <w:t xml:space="preserve"> </w:t>
      </w:r>
      <w:r>
        <w:rPr>
          <w:rFonts w:cstheme="minorHAnsi"/>
          <w:sz w:val="24"/>
          <w:szCs w:val="24"/>
          <w:lang w:val="el-GR"/>
        </w:rPr>
        <w:t>εκπαιδεύσεις</w:t>
      </w:r>
      <w:r w:rsidRPr="00060A6F">
        <w:rPr>
          <w:rFonts w:cstheme="minorHAnsi"/>
          <w:sz w:val="24"/>
          <w:szCs w:val="24"/>
          <w:lang w:val="el-GR"/>
        </w:rPr>
        <w:t xml:space="preserve"> </w:t>
      </w:r>
      <w:r>
        <w:rPr>
          <w:rFonts w:cstheme="minorHAnsi"/>
          <w:sz w:val="24"/>
          <w:szCs w:val="24"/>
          <w:lang w:val="el-GR"/>
        </w:rPr>
        <w:t>από</w:t>
      </w:r>
      <w:r w:rsidRPr="00060A6F">
        <w:rPr>
          <w:rFonts w:cstheme="minorHAnsi"/>
          <w:sz w:val="24"/>
          <w:szCs w:val="24"/>
          <w:lang w:val="el-GR"/>
        </w:rPr>
        <w:t xml:space="preserve"> </w:t>
      </w:r>
      <w:r>
        <w:rPr>
          <w:rFonts w:cstheme="minorHAnsi"/>
          <w:sz w:val="24"/>
          <w:szCs w:val="24"/>
          <w:lang w:val="el-GR"/>
        </w:rPr>
        <w:t>μέλη</w:t>
      </w:r>
      <w:r w:rsidRPr="00060A6F">
        <w:rPr>
          <w:rFonts w:cstheme="minorHAnsi"/>
          <w:sz w:val="24"/>
          <w:szCs w:val="24"/>
          <w:lang w:val="el-GR"/>
        </w:rPr>
        <w:t xml:space="preserve"> </w:t>
      </w:r>
      <w:r>
        <w:rPr>
          <w:rFonts w:cstheme="minorHAnsi"/>
          <w:sz w:val="24"/>
          <w:szCs w:val="24"/>
          <w:lang w:val="el-GR"/>
        </w:rPr>
        <w:t>της</w:t>
      </w:r>
      <w:r w:rsidRPr="00060A6F">
        <w:rPr>
          <w:rFonts w:cstheme="minorHAnsi"/>
          <w:sz w:val="24"/>
          <w:szCs w:val="24"/>
          <w:lang w:val="el-GR"/>
        </w:rPr>
        <w:t xml:space="preserve"> </w:t>
      </w:r>
      <w:r>
        <w:rPr>
          <w:rFonts w:cstheme="minorHAnsi"/>
          <w:sz w:val="24"/>
          <w:szCs w:val="24"/>
          <w:lang w:val="el-GR"/>
        </w:rPr>
        <w:t>Υπηρεσίας</w:t>
      </w:r>
      <w:r w:rsidRPr="00060A6F">
        <w:rPr>
          <w:rFonts w:cstheme="minorHAnsi"/>
          <w:sz w:val="24"/>
          <w:szCs w:val="24"/>
          <w:lang w:val="el-GR"/>
        </w:rPr>
        <w:t xml:space="preserve"> </w:t>
      </w:r>
      <w:r>
        <w:rPr>
          <w:rFonts w:cstheme="minorHAnsi"/>
          <w:sz w:val="24"/>
          <w:szCs w:val="24"/>
          <w:lang w:val="el-GR"/>
        </w:rPr>
        <w:t>Εσωτερικών</w:t>
      </w:r>
      <w:r w:rsidRPr="00060A6F">
        <w:rPr>
          <w:rFonts w:cstheme="minorHAnsi"/>
          <w:sz w:val="24"/>
          <w:szCs w:val="24"/>
          <w:lang w:val="el-GR"/>
        </w:rPr>
        <w:t xml:space="preserve"> </w:t>
      </w:r>
      <w:r>
        <w:rPr>
          <w:rFonts w:cstheme="minorHAnsi"/>
          <w:sz w:val="24"/>
          <w:szCs w:val="24"/>
          <w:lang w:val="el-GR"/>
        </w:rPr>
        <w:t>Υποθέσεων</w:t>
      </w:r>
      <w:r w:rsidRPr="00060A6F">
        <w:rPr>
          <w:rFonts w:cstheme="minorHAnsi"/>
          <w:sz w:val="24"/>
          <w:szCs w:val="24"/>
          <w:lang w:val="el-GR"/>
        </w:rPr>
        <w:t xml:space="preserve"> </w:t>
      </w:r>
      <w:r>
        <w:rPr>
          <w:rFonts w:cstheme="minorHAnsi"/>
          <w:sz w:val="24"/>
          <w:szCs w:val="24"/>
          <w:lang w:val="el-GR"/>
        </w:rPr>
        <w:t>της</w:t>
      </w:r>
      <w:r w:rsidRPr="00060A6F">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060A6F">
        <w:rPr>
          <w:rFonts w:cstheme="minorHAnsi"/>
          <w:sz w:val="24"/>
          <w:szCs w:val="24"/>
          <w:lang w:val="el-GR"/>
        </w:rPr>
        <w:t xml:space="preserve"> </w:t>
      </w:r>
      <w:r>
        <w:rPr>
          <w:rFonts w:cstheme="minorHAnsi"/>
          <w:sz w:val="24"/>
          <w:szCs w:val="24"/>
          <w:lang w:val="el-GR"/>
        </w:rPr>
        <w:t>και</w:t>
      </w:r>
      <w:r w:rsidRPr="00060A6F">
        <w:rPr>
          <w:rFonts w:cstheme="minorHAnsi"/>
          <w:sz w:val="24"/>
          <w:szCs w:val="24"/>
          <w:lang w:val="el-GR"/>
        </w:rPr>
        <w:t xml:space="preserve"> </w:t>
      </w:r>
      <w:r>
        <w:rPr>
          <w:rFonts w:cstheme="minorHAnsi"/>
          <w:sz w:val="24"/>
          <w:szCs w:val="24"/>
          <w:lang w:val="el-GR"/>
        </w:rPr>
        <w:t>την</w:t>
      </w:r>
      <w:r w:rsidRPr="00060A6F">
        <w:rPr>
          <w:rFonts w:cstheme="minorHAnsi"/>
          <w:sz w:val="24"/>
          <w:szCs w:val="24"/>
          <w:lang w:val="el-GR"/>
        </w:rPr>
        <w:t xml:space="preserve"> </w:t>
      </w:r>
      <w:r>
        <w:rPr>
          <w:rFonts w:cstheme="minorHAnsi"/>
          <w:sz w:val="24"/>
          <w:szCs w:val="24"/>
          <w:lang w:val="el-GR"/>
        </w:rPr>
        <w:t>Διεύθυνση</w:t>
      </w:r>
      <w:r w:rsidRPr="00060A6F">
        <w:rPr>
          <w:rFonts w:cstheme="minorHAnsi"/>
          <w:sz w:val="24"/>
          <w:szCs w:val="24"/>
          <w:lang w:val="el-GR"/>
        </w:rPr>
        <w:t xml:space="preserve"> </w:t>
      </w:r>
      <w:r>
        <w:rPr>
          <w:rFonts w:cstheme="minorHAnsi"/>
          <w:sz w:val="24"/>
          <w:szCs w:val="24"/>
          <w:lang w:val="el-GR"/>
        </w:rPr>
        <w:t>Επαγγελματικών</w:t>
      </w:r>
      <w:r w:rsidRPr="00060A6F">
        <w:rPr>
          <w:rFonts w:cstheme="minorHAnsi"/>
          <w:sz w:val="24"/>
          <w:szCs w:val="24"/>
          <w:lang w:val="el-GR"/>
        </w:rPr>
        <w:t xml:space="preserve"> </w:t>
      </w:r>
      <w:r>
        <w:rPr>
          <w:rFonts w:cstheme="minorHAnsi"/>
          <w:sz w:val="24"/>
          <w:szCs w:val="24"/>
          <w:lang w:val="el-GR"/>
        </w:rPr>
        <w:t>Προτύπων</w:t>
      </w:r>
      <w:r w:rsidRPr="00060A6F">
        <w:rPr>
          <w:rFonts w:cstheme="minorHAnsi"/>
          <w:sz w:val="24"/>
          <w:szCs w:val="24"/>
          <w:lang w:val="el-GR"/>
        </w:rPr>
        <w:t xml:space="preserve"> </w:t>
      </w:r>
      <w:r>
        <w:rPr>
          <w:rFonts w:cstheme="minorHAnsi"/>
          <w:sz w:val="24"/>
          <w:szCs w:val="24"/>
          <w:lang w:val="el-GR"/>
        </w:rPr>
        <w:t>και</w:t>
      </w:r>
      <w:r w:rsidRPr="00060A6F">
        <w:rPr>
          <w:rFonts w:cstheme="minorHAnsi"/>
          <w:sz w:val="24"/>
          <w:szCs w:val="24"/>
          <w:lang w:val="el-GR"/>
        </w:rPr>
        <w:t xml:space="preserve"> </w:t>
      </w:r>
      <w:r>
        <w:rPr>
          <w:rFonts w:cstheme="minorHAnsi"/>
          <w:sz w:val="24"/>
          <w:szCs w:val="24"/>
          <w:lang w:val="el-GR"/>
        </w:rPr>
        <w:t>Επιθεώρησης</w:t>
      </w:r>
      <w:r w:rsidR="00220066" w:rsidRPr="00060A6F">
        <w:rPr>
          <w:rFonts w:cstheme="minorHAnsi"/>
          <w:sz w:val="24"/>
          <w:szCs w:val="24"/>
          <w:lang w:val="el-GR"/>
        </w:rPr>
        <w:t xml:space="preserve">, </w:t>
      </w:r>
      <w:r>
        <w:rPr>
          <w:rFonts w:cstheme="minorHAnsi"/>
          <w:sz w:val="24"/>
          <w:szCs w:val="24"/>
          <w:lang w:val="el-GR"/>
        </w:rPr>
        <w:t xml:space="preserve">στα μέλη της </w:t>
      </w:r>
      <w:r w:rsidR="009C4E34">
        <w:rPr>
          <w:rFonts w:cstheme="minorHAnsi"/>
          <w:sz w:val="24"/>
          <w:szCs w:val="24"/>
          <w:lang w:val="el-GR"/>
        </w:rPr>
        <w:t>Αστυνομία</w:t>
      </w:r>
      <w:r>
        <w:rPr>
          <w:rFonts w:cstheme="minorHAnsi"/>
          <w:sz w:val="24"/>
          <w:szCs w:val="24"/>
          <w:lang w:val="el-GR"/>
        </w:rPr>
        <w:t>ς</w:t>
      </w:r>
      <w:r w:rsidR="00220066" w:rsidRPr="00060A6F">
        <w:rPr>
          <w:rFonts w:cstheme="minorHAnsi"/>
          <w:sz w:val="24"/>
          <w:szCs w:val="24"/>
          <w:lang w:val="el-GR"/>
        </w:rPr>
        <w:t xml:space="preserve">, </w:t>
      </w:r>
      <w:r>
        <w:rPr>
          <w:rFonts w:cstheme="minorHAnsi"/>
          <w:sz w:val="24"/>
          <w:szCs w:val="24"/>
          <w:lang w:val="el-GR"/>
        </w:rPr>
        <w:t xml:space="preserve">συμπεριλαμβανομένου και του ρόλου και της λειτουργίας της Υπηρεσίας Εσωτερικών Υποθέσεων της </w:t>
      </w:r>
      <w:r w:rsidR="009C4E34">
        <w:rPr>
          <w:rFonts w:cstheme="minorHAnsi"/>
          <w:sz w:val="24"/>
          <w:szCs w:val="24"/>
          <w:lang w:val="el-GR"/>
        </w:rPr>
        <w:t>Αστυνομία</w:t>
      </w:r>
      <w:r>
        <w:rPr>
          <w:rFonts w:cstheme="minorHAnsi"/>
          <w:sz w:val="24"/>
          <w:szCs w:val="24"/>
          <w:lang w:val="el-GR"/>
        </w:rPr>
        <w:t>ς και της Διεύθυνσης Επαγγελματικών Προτύπων και Επιθεώρησης</w:t>
      </w:r>
      <w:r w:rsidR="00220066" w:rsidRPr="00060A6F">
        <w:rPr>
          <w:rFonts w:cstheme="minorHAnsi"/>
          <w:sz w:val="24"/>
          <w:szCs w:val="24"/>
          <w:lang w:val="el-GR"/>
        </w:rPr>
        <w:t xml:space="preserve">, </w:t>
      </w:r>
      <w:r w:rsidR="00622A46">
        <w:rPr>
          <w:rFonts w:cstheme="minorHAnsi"/>
          <w:sz w:val="24"/>
          <w:szCs w:val="24"/>
          <w:lang w:val="el-GR"/>
        </w:rPr>
        <w:t xml:space="preserve">των ορισμών της διαφθοράς και της εγκληματικής συμπεριφοράς στην </w:t>
      </w:r>
      <w:r w:rsidR="009C4E34">
        <w:rPr>
          <w:rFonts w:cstheme="minorHAnsi"/>
          <w:sz w:val="24"/>
          <w:szCs w:val="24"/>
          <w:lang w:val="el-GR"/>
        </w:rPr>
        <w:t>Αστυνομία</w:t>
      </w:r>
      <w:r w:rsidR="00220066" w:rsidRPr="00060A6F">
        <w:rPr>
          <w:rFonts w:cstheme="minorHAnsi"/>
          <w:sz w:val="24"/>
          <w:szCs w:val="24"/>
          <w:lang w:val="el-GR"/>
        </w:rPr>
        <w:t xml:space="preserve">, </w:t>
      </w:r>
      <w:r w:rsidR="00622A46">
        <w:rPr>
          <w:rFonts w:cstheme="minorHAnsi"/>
          <w:sz w:val="24"/>
          <w:szCs w:val="24"/>
          <w:lang w:val="el-GR"/>
        </w:rPr>
        <w:t>της νομοθεσίας</w:t>
      </w:r>
      <w:r w:rsidR="00220066" w:rsidRPr="00060A6F">
        <w:rPr>
          <w:rFonts w:cstheme="minorHAnsi"/>
          <w:sz w:val="24"/>
          <w:szCs w:val="24"/>
          <w:lang w:val="el-GR"/>
        </w:rPr>
        <w:t xml:space="preserve">, </w:t>
      </w:r>
      <w:r w:rsidR="00622A46">
        <w:rPr>
          <w:rFonts w:cstheme="minorHAnsi"/>
          <w:sz w:val="24"/>
          <w:szCs w:val="24"/>
          <w:lang w:val="el-GR"/>
        </w:rPr>
        <w:t>κλπ</w:t>
      </w:r>
      <w:r w:rsidR="00220066" w:rsidRPr="00060A6F">
        <w:rPr>
          <w:rFonts w:cstheme="minorHAnsi"/>
          <w:sz w:val="24"/>
          <w:szCs w:val="24"/>
          <w:lang w:val="el-GR"/>
        </w:rPr>
        <w:t xml:space="preserve">. </w:t>
      </w:r>
      <w:r w:rsidR="00963708">
        <w:rPr>
          <w:rFonts w:cstheme="minorHAnsi"/>
          <w:sz w:val="24"/>
          <w:szCs w:val="24"/>
          <w:lang w:val="el-GR"/>
        </w:rPr>
        <w:t>Οι</w:t>
      </w:r>
      <w:r w:rsidR="00963708" w:rsidRPr="00963708">
        <w:rPr>
          <w:rFonts w:cstheme="minorHAnsi"/>
          <w:sz w:val="24"/>
          <w:szCs w:val="24"/>
          <w:lang w:val="el-GR"/>
        </w:rPr>
        <w:t xml:space="preserve"> </w:t>
      </w:r>
      <w:r w:rsidR="00963708">
        <w:rPr>
          <w:rFonts w:cstheme="minorHAnsi"/>
          <w:sz w:val="24"/>
          <w:szCs w:val="24"/>
          <w:lang w:val="el-GR"/>
        </w:rPr>
        <w:t>ΑΕΝ</w:t>
      </w:r>
      <w:r w:rsidR="00963708" w:rsidRPr="00963708">
        <w:rPr>
          <w:rFonts w:cstheme="minorHAnsi"/>
          <w:sz w:val="24"/>
          <w:szCs w:val="24"/>
          <w:lang w:val="el-GR"/>
        </w:rPr>
        <w:t xml:space="preserve"> </w:t>
      </w:r>
      <w:r w:rsidR="00963708">
        <w:rPr>
          <w:rFonts w:cstheme="minorHAnsi"/>
          <w:sz w:val="24"/>
          <w:szCs w:val="24"/>
          <w:lang w:val="el-GR"/>
        </w:rPr>
        <w:t>λαμβάνουν</w:t>
      </w:r>
      <w:r w:rsidR="00963708" w:rsidRPr="00963708">
        <w:rPr>
          <w:rFonts w:cstheme="minorHAnsi"/>
          <w:sz w:val="24"/>
          <w:szCs w:val="24"/>
          <w:lang w:val="el-GR"/>
        </w:rPr>
        <w:t xml:space="preserve"> </w:t>
      </w:r>
      <w:r w:rsidR="00963708">
        <w:rPr>
          <w:rFonts w:cstheme="minorHAnsi"/>
          <w:sz w:val="24"/>
          <w:szCs w:val="24"/>
          <w:lang w:val="el-GR"/>
        </w:rPr>
        <w:t>εκπαίδευση</w:t>
      </w:r>
      <w:r w:rsidR="00220066" w:rsidRPr="00963708">
        <w:rPr>
          <w:rFonts w:cstheme="minorHAnsi"/>
          <w:sz w:val="24"/>
          <w:szCs w:val="24"/>
          <w:lang w:val="el-GR"/>
        </w:rPr>
        <w:t xml:space="preserve"> </w:t>
      </w:r>
      <w:r w:rsidR="00963708">
        <w:rPr>
          <w:rFonts w:cstheme="minorHAnsi"/>
          <w:sz w:val="24"/>
          <w:szCs w:val="24"/>
          <w:lang w:val="el-GR"/>
        </w:rPr>
        <w:t>για</w:t>
      </w:r>
      <w:r w:rsidR="00963708" w:rsidRPr="00963708">
        <w:rPr>
          <w:rFonts w:cstheme="minorHAnsi"/>
          <w:sz w:val="24"/>
          <w:szCs w:val="24"/>
          <w:lang w:val="el-GR"/>
        </w:rPr>
        <w:t xml:space="preserve"> </w:t>
      </w:r>
      <w:r w:rsidR="00963708">
        <w:rPr>
          <w:rFonts w:cstheme="minorHAnsi"/>
          <w:sz w:val="24"/>
          <w:szCs w:val="24"/>
          <w:lang w:val="el-GR"/>
        </w:rPr>
        <w:t>την</w:t>
      </w:r>
      <w:r w:rsidR="00963708" w:rsidRPr="00963708">
        <w:rPr>
          <w:rFonts w:cstheme="minorHAnsi"/>
          <w:sz w:val="24"/>
          <w:szCs w:val="24"/>
          <w:lang w:val="el-GR"/>
        </w:rPr>
        <w:t xml:space="preserve"> </w:t>
      </w:r>
      <w:r w:rsidR="00963708">
        <w:rPr>
          <w:rFonts w:cstheme="minorHAnsi"/>
          <w:sz w:val="24"/>
          <w:szCs w:val="24"/>
          <w:lang w:val="el-GR"/>
        </w:rPr>
        <w:t>διαφθορά</w:t>
      </w:r>
      <w:r w:rsidR="00220066" w:rsidRPr="00963708">
        <w:rPr>
          <w:rFonts w:cstheme="minorHAnsi"/>
          <w:sz w:val="24"/>
          <w:szCs w:val="24"/>
          <w:lang w:val="el-GR"/>
        </w:rPr>
        <w:t xml:space="preserve">, </w:t>
      </w:r>
      <w:r w:rsidR="00963708">
        <w:rPr>
          <w:rFonts w:cstheme="minorHAnsi"/>
          <w:sz w:val="24"/>
          <w:szCs w:val="24"/>
          <w:lang w:val="el-GR"/>
        </w:rPr>
        <w:t>που</w:t>
      </w:r>
      <w:r w:rsidR="00963708" w:rsidRPr="00963708">
        <w:rPr>
          <w:rFonts w:cstheme="minorHAnsi"/>
          <w:sz w:val="24"/>
          <w:szCs w:val="24"/>
          <w:lang w:val="el-GR"/>
        </w:rPr>
        <w:t xml:space="preserve"> </w:t>
      </w:r>
      <w:r w:rsidR="00963708">
        <w:rPr>
          <w:rFonts w:cstheme="minorHAnsi"/>
          <w:sz w:val="24"/>
          <w:szCs w:val="24"/>
          <w:lang w:val="el-GR"/>
        </w:rPr>
        <w:t>διοργανώνεται</w:t>
      </w:r>
      <w:r w:rsidR="00963708" w:rsidRPr="00963708">
        <w:rPr>
          <w:rFonts w:cstheme="minorHAnsi"/>
          <w:sz w:val="24"/>
          <w:szCs w:val="24"/>
          <w:lang w:val="el-GR"/>
        </w:rPr>
        <w:t xml:space="preserve"> </w:t>
      </w:r>
      <w:r w:rsidR="00963708">
        <w:rPr>
          <w:rFonts w:cstheme="minorHAnsi"/>
          <w:sz w:val="24"/>
          <w:szCs w:val="24"/>
          <w:lang w:val="el-GR"/>
        </w:rPr>
        <w:t>στην</w:t>
      </w:r>
      <w:r w:rsidR="00963708" w:rsidRPr="00963708">
        <w:rPr>
          <w:rFonts w:cstheme="minorHAnsi"/>
          <w:sz w:val="24"/>
          <w:szCs w:val="24"/>
          <w:lang w:val="el-GR"/>
        </w:rPr>
        <w:t xml:space="preserve"> </w:t>
      </w:r>
      <w:r w:rsidR="00963708">
        <w:rPr>
          <w:rFonts w:cstheme="minorHAnsi"/>
          <w:sz w:val="24"/>
          <w:szCs w:val="24"/>
          <w:lang w:val="el-GR"/>
        </w:rPr>
        <w:t>Κύπρο</w:t>
      </w:r>
      <w:r w:rsidR="00963708" w:rsidRPr="00963708">
        <w:rPr>
          <w:rFonts w:cstheme="minorHAnsi"/>
          <w:sz w:val="24"/>
          <w:szCs w:val="24"/>
          <w:lang w:val="el-GR"/>
        </w:rPr>
        <w:t xml:space="preserve"> </w:t>
      </w:r>
      <w:r w:rsidR="00963708">
        <w:rPr>
          <w:rFonts w:cstheme="minorHAnsi"/>
          <w:sz w:val="24"/>
          <w:szCs w:val="24"/>
          <w:lang w:val="el-GR"/>
        </w:rPr>
        <w:t>και</w:t>
      </w:r>
      <w:r w:rsidR="00963708" w:rsidRPr="00963708">
        <w:rPr>
          <w:rFonts w:cstheme="minorHAnsi"/>
          <w:sz w:val="24"/>
          <w:szCs w:val="24"/>
          <w:lang w:val="el-GR"/>
        </w:rPr>
        <w:t xml:space="preserve"> </w:t>
      </w:r>
      <w:r w:rsidR="00963708">
        <w:rPr>
          <w:rFonts w:cstheme="minorHAnsi"/>
          <w:sz w:val="24"/>
          <w:szCs w:val="24"/>
          <w:lang w:val="el-GR"/>
        </w:rPr>
        <w:t>το</w:t>
      </w:r>
      <w:r w:rsidR="00963708" w:rsidRPr="00963708">
        <w:rPr>
          <w:rFonts w:cstheme="minorHAnsi"/>
          <w:sz w:val="24"/>
          <w:szCs w:val="24"/>
          <w:lang w:val="el-GR"/>
        </w:rPr>
        <w:t xml:space="preserve"> </w:t>
      </w:r>
      <w:r w:rsidR="00963708">
        <w:rPr>
          <w:rFonts w:cstheme="minorHAnsi"/>
          <w:sz w:val="24"/>
          <w:szCs w:val="24"/>
          <w:lang w:val="el-GR"/>
        </w:rPr>
        <w:t>εξωτερικό</w:t>
      </w:r>
      <w:r w:rsidR="00220066" w:rsidRPr="00963708">
        <w:rPr>
          <w:rFonts w:cstheme="minorHAnsi"/>
          <w:sz w:val="24"/>
          <w:szCs w:val="24"/>
          <w:lang w:val="el-GR"/>
        </w:rPr>
        <w:t xml:space="preserve">, </w:t>
      </w:r>
      <w:r w:rsidR="00963708">
        <w:rPr>
          <w:rFonts w:cstheme="minorHAnsi"/>
          <w:sz w:val="24"/>
          <w:szCs w:val="24"/>
          <w:lang w:val="el-GR"/>
        </w:rPr>
        <w:t>είτε</w:t>
      </w:r>
      <w:r w:rsidR="00963708" w:rsidRPr="00963708">
        <w:rPr>
          <w:rFonts w:cstheme="minorHAnsi"/>
          <w:sz w:val="24"/>
          <w:szCs w:val="24"/>
          <w:lang w:val="el-GR"/>
        </w:rPr>
        <w:t xml:space="preserve"> </w:t>
      </w:r>
      <w:r w:rsidR="00963708">
        <w:rPr>
          <w:rFonts w:cstheme="minorHAnsi"/>
          <w:sz w:val="24"/>
          <w:szCs w:val="24"/>
          <w:lang w:val="el-GR"/>
        </w:rPr>
        <w:t>στην</w:t>
      </w:r>
      <w:r w:rsidR="00963708" w:rsidRPr="00963708">
        <w:rPr>
          <w:rFonts w:cstheme="minorHAnsi"/>
          <w:sz w:val="24"/>
          <w:szCs w:val="24"/>
          <w:lang w:val="el-GR"/>
        </w:rPr>
        <w:t xml:space="preserve"> </w:t>
      </w:r>
      <w:r w:rsidR="00963708">
        <w:rPr>
          <w:rFonts w:cstheme="minorHAnsi"/>
          <w:sz w:val="24"/>
          <w:szCs w:val="24"/>
          <w:lang w:val="el-GR"/>
        </w:rPr>
        <w:t>μορφή</w:t>
      </w:r>
      <w:r w:rsidR="00220066" w:rsidRPr="00963708">
        <w:rPr>
          <w:rFonts w:cstheme="minorHAnsi"/>
          <w:sz w:val="24"/>
          <w:szCs w:val="24"/>
          <w:lang w:val="el-GR"/>
        </w:rPr>
        <w:t xml:space="preserve"> </w:t>
      </w:r>
      <w:r w:rsidR="00963708">
        <w:rPr>
          <w:rFonts w:cstheme="minorHAnsi"/>
          <w:sz w:val="24"/>
          <w:szCs w:val="24"/>
          <w:lang w:val="el-GR"/>
        </w:rPr>
        <w:t>εκπαιδευτικών προγραμμάτων</w:t>
      </w:r>
      <w:r w:rsidR="00963708" w:rsidRPr="00963708">
        <w:rPr>
          <w:rFonts w:cstheme="minorHAnsi"/>
          <w:sz w:val="24"/>
          <w:szCs w:val="24"/>
          <w:lang w:val="el-GR"/>
        </w:rPr>
        <w:t>/</w:t>
      </w:r>
      <w:r w:rsidR="00963708">
        <w:rPr>
          <w:rFonts w:cstheme="minorHAnsi"/>
          <w:sz w:val="24"/>
          <w:szCs w:val="24"/>
          <w:lang w:val="el-GR"/>
        </w:rPr>
        <w:t>σειρών μαθημάτων ή με την συμμετοχή</w:t>
      </w:r>
      <w:r w:rsidR="00220066" w:rsidRPr="00963708">
        <w:rPr>
          <w:rFonts w:cstheme="minorHAnsi"/>
          <w:sz w:val="24"/>
          <w:szCs w:val="24"/>
          <w:lang w:val="el-GR"/>
        </w:rPr>
        <w:t xml:space="preserve"> </w:t>
      </w:r>
      <w:r w:rsidR="00963708">
        <w:rPr>
          <w:rFonts w:cstheme="minorHAnsi"/>
          <w:sz w:val="24"/>
          <w:szCs w:val="24"/>
          <w:lang w:val="el-GR"/>
        </w:rPr>
        <w:t>σε Ευρωπαϊκά και διεθνή συνέδρια</w:t>
      </w:r>
      <w:r w:rsidR="00220066" w:rsidRPr="00963708">
        <w:rPr>
          <w:rFonts w:cstheme="minorHAnsi"/>
          <w:sz w:val="24"/>
          <w:szCs w:val="24"/>
          <w:lang w:val="el-GR"/>
        </w:rPr>
        <w:t xml:space="preserve">. </w:t>
      </w:r>
      <w:r w:rsidR="00963708">
        <w:rPr>
          <w:rFonts w:cstheme="minorHAnsi"/>
          <w:sz w:val="24"/>
          <w:szCs w:val="24"/>
          <w:lang w:val="el-GR"/>
        </w:rPr>
        <w:t>Ωστόσο</w:t>
      </w:r>
      <w:r w:rsidR="00963708" w:rsidRPr="00963708">
        <w:rPr>
          <w:rFonts w:cstheme="minorHAnsi"/>
          <w:sz w:val="24"/>
          <w:szCs w:val="24"/>
          <w:lang w:val="el-GR"/>
        </w:rPr>
        <w:t xml:space="preserve"> </w:t>
      </w:r>
      <w:r w:rsidR="00963708">
        <w:rPr>
          <w:rFonts w:cstheme="minorHAnsi"/>
          <w:sz w:val="24"/>
          <w:szCs w:val="24"/>
          <w:lang w:val="el-GR"/>
        </w:rPr>
        <w:t>η</w:t>
      </w:r>
      <w:r w:rsidR="00963708" w:rsidRPr="00963708">
        <w:rPr>
          <w:rFonts w:cstheme="minorHAnsi"/>
          <w:sz w:val="24"/>
          <w:szCs w:val="24"/>
          <w:lang w:val="el-GR"/>
        </w:rPr>
        <w:t xml:space="preserve"> </w:t>
      </w:r>
      <w:r w:rsidR="00963708">
        <w:rPr>
          <w:rFonts w:cstheme="minorHAnsi"/>
          <w:sz w:val="24"/>
          <w:szCs w:val="24"/>
          <w:lang w:val="el-GR"/>
        </w:rPr>
        <w:t>εκπαίδευση</w:t>
      </w:r>
      <w:r w:rsidR="00963708" w:rsidRPr="00963708">
        <w:rPr>
          <w:rFonts w:cstheme="minorHAnsi"/>
          <w:sz w:val="24"/>
          <w:szCs w:val="24"/>
          <w:lang w:val="el-GR"/>
        </w:rPr>
        <w:t xml:space="preserve"> </w:t>
      </w:r>
      <w:r w:rsidR="00963708">
        <w:rPr>
          <w:rFonts w:cstheme="minorHAnsi"/>
          <w:sz w:val="24"/>
          <w:szCs w:val="24"/>
          <w:lang w:val="el-GR"/>
        </w:rPr>
        <w:t>στην</w:t>
      </w:r>
      <w:r w:rsidR="00963708" w:rsidRPr="00963708">
        <w:rPr>
          <w:rFonts w:cstheme="minorHAnsi"/>
          <w:sz w:val="24"/>
          <w:szCs w:val="24"/>
          <w:lang w:val="el-GR"/>
        </w:rPr>
        <w:t xml:space="preserve"> </w:t>
      </w:r>
      <w:r w:rsidR="00963708">
        <w:rPr>
          <w:rFonts w:cstheme="minorHAnsi"/>
          <w:sz w:val="24"/>
          <w:szCs w:val="24"/>
          <w:lang w:val="el-GR"/>
        </w:rPr>
        <w:t>ηθική</w:t>
      </w:r>
      <w:r w:rsidR="00963708" w:rsidRPr="00963708">
        <w:rPr>
          <w:rFonts w:cstheme="minorHAnsi"/>
          <w:sz w:val="24"/>
          <w:szCs w:val="24"/>
          <w:lang w:val="el-GR"/>
        </w:rPr>
        <w:t xml:space="preserve"> </w:t>
      </w:r>
      <w:r w:rsidR="00963708">
        <w:rPr>
          <w:rFonts w:cstheme="minorHAnsi"/>
          <w:sz w:val="24"/>
          <w:szCs w:val="24"/>
          <w:lang w:val="el-GR"/>
        </w:rPr>
        <w:t>και</w:t>
      </w:r>
      <w:r w:rsidR="00963708" w:rsidRPr="00963708">
        <w:rPr>
          <w:rFonts w:cstheme="minorHAnsi"/>
          <w:sz w:val="24"/>
          <w:szCs w:val="24"/>
          <w:lang w:val="el-GR"/>
        </w:rPr>
        <w:t xml:space="preserve"> </w:t>
      </w:r>
      <w:r w:rsidR="00963708">
        <w:rPr>
          <w:rFonts w:cstheme="minorHAnsi"/>
          <w:sz w:val="24"/>
          <w:szCs w:val="24"/>
          <w:lang w:val="el-GR"/>
        </w:rPr>
        <w:t>την</w:t>
      </w:r>
      <w:r w:rsidR="00963708" w:rsidRPr="00963708">
        <w:rPr>
          <w:rFonts w:cstheme="minorHAnsi"/>
          <w:sz w:val="24"/>
          <w:szCs w:val="24"/>
          <w:lang w:val="el-GR"/>
        </w:rPr>
        <w:t xml:space="preserve"> </w:t>
      </w:r>
      <w:r w:rsidR="00963708">
        <w:rPr>
          <w:rFonts w:cstheme="minorHAnsi"/>
          <w:sz w:val="24"/>
          <w:szCs w:val="24"/>
          <w:lang w:val="el-GR"/>
        </w:rPr>
        <w:t>ακεραιότητα</w:t>
      </w:r>
      <w:r w:rsidR="00963708" w:rsidRPr="00963708">
        <w:rPr>
          <w:rFonts w:cstheme="minorHAnsi"/>
          <w:sz w:val="24"/>
          <w:szCs w:val="24"/>
          <w:lang w:val="el-GR"/>
        </w:rPr>
        <w:t xml:space="preserve"> </w:t>
      </w:r>
      <w:r w:rsidR="00963708">
        <w:rPr>
          <w:rFonts w:cstheme="minorHAnsi"/>
          <w:sz w:val="24"/>
          <w:szCs w:val="24"/>
          <w:lang w:val="el-GR"/>
        </w:rPr>
        <w:t>δεν</w:t>
      </w:r>
      <w:r w:rsidR="00963708" w:rsidRPr="00963708">
        <w:rPr>
          <w:rFonts w:cstheme="minorHAnsi"/>
          <w:sz w:val="24"/>
          <w:szCs w:val="24"/>
          <w:lang w:val="el-GR"/>
        </w:rPr>
        <w:t xml:space="preserve"> </w:t>
      </w:r>
      <w:r w:rsidR="00963708">
        <w:rPr>
          <w:rFonts w:cstheme="minorHAnsi"/>
          <w:sz w:val="24"/>
          <w:szCs w:val="24"/>
          <w:lang w:val="el-GR"/>
        </w:rPr>
        <w:t>είναι</w:t>
      </w:r>
      <w:r w:rsidR="00963708" w:rsidRPr="00963708">
        <w:rPr>
          <w:rFonts w:cstheme="minorHAnsi"/>
          <w:sz w:val="24"/>
          <w:szCs w:val="24"/>
          <w:lang w:val="el-GR"/>
        </w:rPr>
        <w:t xml:space="preserve"> </w:t>
      </w:r>
      <w:r w:rsidR="00963708">
        <w:rPr>
          <w:rFonts w:cstheme="minorHAnsi"/>
          <w:sz w:val="24"/>
          <w:szCs w:val="24"/>
          <w:lang w:val="el-GR"/>
        </w:rPr>
        <w:t>υποχρεωτική</w:t>
      </w:r>
      <w:r w:rsidR="00603A29" w:rsidRPr="00963708">
        <w:rPr>
          <w:rFonts w:cstheme="minorHAnsi"/>
          <w:sz w:val="24"/>
          <w:szCs w:val="24"/>
          <w:lang w:val="el-GR"/>
        </w:rPr>
        <w:t xml:space="preserve"> </w:t>
      </w:r>
      <w:r w:rsidR="00963708">
        <w:rPr>
          <w:rFonts w:cstheme="minorHAnsi"/>
          <w:sz w:val="24"/>
          <w:szCs w:val="24"/>
          <w:lang w:val="el-GR"/>
        </w:rPr>
        <w:t xml:space="preserve">για όλες τις θέσεις στην </w:t>
      </w:r>
      <w:r w:rsidR="009C4E34">
        <w:rPr>
          <w:rFonts w:cstheme="minorHAnsi"/>
          <w:sz w:val="24"/>
          <w:szCs w:val="24"/>
          <w:lang w:val="el-GR"/>
        </w:rPr>
        <w:t>Αστυνομία</w:t>
      </w:r>
      <w:r w:rsidR="00603A29" w:rsidRPr="00963708">
        <w:rPr>
          <w:rFonts w:cstheme="minorHAnsi"/>
          <w:sz w:val="24"/>
          <w:szCs w:val="24"/>
          <w:lang w:val="el-GR"/>
        </w:rPr>
        <w:t xml:space="preserve">, </w:t>
      </w:r>
      <w:r w:rsidR="00963708">
        <w:rPr>
          <w:rFonts w:cstheme="minorHAnsi"/>
          <w:sz w:val="24"/>
          <w:szCs w:val="24"/>
          <w:lang w:val="el-GR"/>
        </w:rPr>
        <w:t>ούτε παρέχεται σε όλους τους ΑΕΝ.</w:t>
      </w:r>
      <w:r w:rsidR="00603A29" w:rsidRPr="00963708">
        <w:rPr>
          <w:rFonts w:cstheme="minorHAnsi"/>
          <w:sz w:val="24"/>
          <w:szCs w:val="24"/>
          <w:lang w:val="el-GR"/>
        </w:rPr>
        <w:t xml:space="preserve"> </w:t>
      </w:r>
      <w:r w:rsidR="00963708">
        <w:rPr>
          <w:rFonts w:cstheme="minorHAnsi"/>
          <w:sz w:val="24"/>
          <w:szCs w:val="24"/>
          <w:lang w:val="el-GR"/>
        </w:rPr>
        <w:t>Όπως</w:t>
      </w:r>
      <w:r w:rsidR="00963708" w:rsidRPr="00F24164">
        <w:rPr>
          <w:rFonts w:cstheme="minorHAnsi"/>
          <w:sz w:val="24"/>
          <w:szCs w:val="24"/>
          <w:lang w:val="el-GR"/>
        </w:rPr>
        <w:t xml:space="preserve"> </w:t>
      </w:r>
      <w:r w:rsidR="00963708">
        <w:rPr>
          <w:rFonts w:cstheme="minorHAnsi"/>
          <w:sz w:val="24"/>
          <w:szCs w:val="24"/>
          <w:lang w:val="el-GR"/>
        </w:rPr>
        <w:t>θα</w:t>
      </w:r>
      <w:r w:rsidR="00963708" w:rsidRPr="00F24164">
        <w:rPr>
          <w:rFonts w:cstheme="minorHAnsi"/>
          <w:sz w:val="24"/>
          <w:szCs w:val="24"/>
          <w:lang w:val="el-GR"/>
        </w:rPr>
        <w:t xml:space="preserve"> </w:t>
      </w:r>
      <w:r w:rsidR="00963708">
        <w:rPr>
          <w:rFonts w:cstheme="minorHAnsi"/>
          <w:sz w:val="24"/>
          <w:szCs w:val="24"/>
          <w:lang w:val="el-GR"/>
        </w:rPr>
        <w:t>συνιστάται</w:t>
      </w:r>
      <w:r w:rsidR="00963708" w:rsidRPr="00F24164">
        <w:rPr>
          <w:rFonts w:cstheme="minorHAnsi"/>
          <w:sz w:val="24"/>
          <w:szCs w:val="24"/>
          <w:lang w:val="el-GR"/>
        </w:rPr>
        <w:t xml:space="preserve"> </w:t>
      </w:r>
      <w:r w:rsidR="00963708">
        <w:rPr>
          <w:rFonts w:cstheme="minorHAnsi"/>
          <w:sz w:val="24"/>
          <w:szCs w:val="24"/>
          <w:lang w:val="el-GR"/>
        </w:rPr>
        <w:t>αργότερα</w:t>
      </w:r>
      <w:r w:rsidR="00963708" w:rsidRPr="00F24164">
        <w:rPr>
          <w:rFonts w:cstheme="minorHAnsi"/>
          <w:sz w:val="24"/>
          <w:szCs w:val="24"/>
          <w:lang w:val="el-GR"/>
        </w:rPr>
        <w:t xml:space="preserve"> </w:t>
      </w:r>
      <w:r w:rsidR="00963708">
        <w:rPr>
          <w:rFonts w:cstheme="minorHAnsi"/>
          <w:sz w:val="24"/>
          <w:szCs w:val="24"/>
          <w:lang w:val="el-GR"/>
        </w:rPr>
        <w:t>στην</w:t>
      </w:r>
      <w:r w:rsidR="00963708" w:rsidRPr="00F24164">
        <w:rPr>
          <w:rFonts w:cstheme="minorHAnsi"/>
          <w:sz w:val="24"/>
          <w:szCs w:val="24"/>
          <w:lang w:val="el-GR"/>
        </w:rPr>
        <w:t xml:space="preserve"> </w:t>
      </w:r>
      <w:r w:rsidR="00963708">
        <w:rPr>
          <w:rFonts w:cstheme="minorHAnsi"/>
          <w:sz w:val="24"/>
          <w:szCs w:val="24"/>
          <w:lang w:val="el-GR"/>
        </w:rPr>
        <w:t>έκθεση</w:t>
      </w:r>
      <w:r w:rsidR="00963708" w:rsidRPr="00F24164">
        <w:rPr>
          <w:rFonts w:cstheme="minorHAnsi"/>
          <w:sz w:val="24"/>
          <w:szCs w:val="24"/>
          <w:lang w:val="el-GR"/>
        </w:rPr>
        <w:t xml:space="preserve"> </w:t>
      </w:r>
      <w:r w:rsidR="00963708">
        <w:rPr>
          <w:rFonts w:cstheme="minorHAnsi"/>
          <w:sz w:val="24"/>
          <w:szCs w:val="24"/>
          <w:lang w:val="el-GR"/>
        </w:rPr>
        <w:t>αυτή</w:t>
      </w:r>
      <w:r w:rsidR="00603A29" w:rsidRPr="00F24164">
        <w:rPr>
          <w:rFonts w:cstheme="minorHAnsi"/>
          <w:sz w:val="24"/>
          <w:szCs w:val="24"/>
          <w:lang w:val="el-GR"/>
        </w:rPr>
        <w:t xml:space="preserve">, </w:t>
      </w:r>
      <w:r w:rsidR="00F24164">
        <w:rPr>
          <w:rFonts w:cstheme="minorHAnsi"/>
          <w:sz w:val="24"/>
          <w:szCs w:val="24"/>
          <w:lang w:val="el-GR"/>
        </w:rPr>
        <w:t>χρειάζονται</w:t>
      </w:r>
      <w:r w:rsidR="00F24164" w:rsidRPr="00F24164">
        <w:rPr>
          <w:rFonts w:cstheme="minorHAnsi"/>
          <w:sz w:val="24"/>
          <w:szCs w:val="24"/>
          <w:lang w:val="el-GR"/>
        </w:rPr>
        <w:t xml:space="preserve"> </w:t>
      </w:r>
      <w:r w:rsidR="00F24164">
        <w:rPr>
          <w:rFonts w:cstheme="minorHAnsi"/>
          <w:sz w:val="24"/>
          <w:szCs w:val="24"/>
          <w:lang w:val="el-GR"/>
        </w:rPr>
        <w:t>επιπρόσθετες</w:t>
      </w:r>
      <w:r w:rsidR="00F24164" w:rsidRPr="00F24164">
        <w:rPr>
          <w:rFonts w:cstheme="minorHAnsi"/>
          <w:sz w:val="24"/>
          <w:szCs w:val="24"/>
          <w:lang w:val="el-GR"/>
        </w:rPr>
        <w:t xml:space="preserve"> </w:t>
      </w:r>
      <w:r w:rsidR="00F24164">
        <w:rPr>
          <w:rFonts w:cstheme="minorHAnsi"/>
          <w:sz w:val="24"/>
          <w:szCs w:val="24"/>
          <w:lang w:val="el-GR"/>
        </w:rPr>
        <w:t>προσπάθειες</w:t>
      </w:r>
      <w:r w:rsidR="00603A29" w:rsidRPr="00F24164">
        <w:rPr>
          <w:rFonts w:cstheme="minorHAnsi"/>
          <w:sz w:val="24"/>
          <w:szCs w:val="24"/>
          <w:lang w:val="el-GR"/>
        </w:rPr>
        <w:t xml:space="preserve"> </w:t>
      </w:r>
      <w:r w:rsidR="00F24164">
        <w:rPr>
          <w:rFonts w:cstheme="minorHAnsi"/>
          <w:sz w:val="24"/>
          <w:szCs w:val="24"/>
          <w:lang w:val="el-GR"/>
        </w:rPr>
        <w:t>σε</w:t>
      </w:r>
      <w:r w:rsidR="00F24164" w:rsidRPr="00F24164">
        <w:rPr>
          <w:rFonts w:cstheme="minorHAnsi"/>
          <w:sz w:val="24"/>
          <w:szCs w:val="24"/>
          <w:lang w:val="el-GR"/>
        </w:rPr>
        <w:t xml:space="preserve"> </w:t>
      </w:r>
      <w:r w:rsidR="00F24164">
        <w:rPr>
          <w:rFonts w:cstheme="minorHAnsi"/>
          <w:sz w:val="24"/>
          <w:szCs w:val="24"/>
          <w:lang w:val="el-GR"/>
        </w:rPr>
        <w:t>σχέση</w:t>
      </w:r>
      <w:r w:rsidR="00F24164" w:rsidRPr="00F24164">
        <w:rPr>
          <w:rFonts w:cstheme="minorHAnsi"/>
          <w:sz w:val="24"/>
          <w:szCs w:val="24"/>
          <w:lang w:val="el-GR"/>
        </w:rPr>
        <w:t xml:space="preserve"> </w:t>
      </w:r>
      <w:r w:rsidR="00F24164">
        <w:rPr>
          <w:rFonts w:cstheme="minorHAnsi"/>
          <w:sz w:val="24"/>
          <w:szCs w:val="24"/>
          <w:lang w:val="el-GR"/>
        </w:rPr>
        <w:t>με</w:t>
      </w:r>
      <w:r w:rsidR="00F24164" w:rsidRPr="00F24164">
        <w:rPr>
          <w:rFonts w:cstheme="minorHAnsi"/>
          <w:sz w:val="24"/>
          <w:szCs w:val="24"/>
          <w:lang w:val="el-GR"/>
        </w:rPr>
        <w:t xml:space="preserve"> </w:t>
      </w:r>
      <w:r w:rsidR="00F24164">
        <w:rPr>
          <w:rFonts w:cstheme="minorHAnsi"/>
          <w:sz w:val="24"/>
          <w:szCs w:val="24"/>
          <w:lang w:val="el-GR"/>
        </w:rPr>
        <w:t>την</w:t>
      </w:r>
      <w:r w:rsidR="00F24164" w:rsidRPr="00F24164">
        <w:rPr>
          <w:rFonts w:cstheme="minorHAnsi"/>
          <w:sz w:val="24"/>
          <w:szCs w:val="24"/>
          <w:lang w:val="el-GR"/>
        </w:rPr>
        <w:t xml:space="preserve"> </w:t>
      </w:r>
      <w:r w:rsidR="00F24164">
        <w:rPr>
          <w:rFonts w:cstheme="minorHAnsi"/>
          <w:sz w:val="24"/>
          <w:szCs w:val="24"/>
          <w:lang w:val="el-GR"/>
        </w:rPr>
        <w:t>ανάπτυξη</w:t>
      </w:r>
      <w:r w:rsidR="00F24164" w:rsidRPr="00F24164">
        <w:rPr>
          <w:rFonts w:cstheme="minorHAnsi"/>
          <w:sz w:val="24"/>
          <w:szCs w:val="24"/>
          <w:lang w:val="el-GR"/>
        </w:rPr>
        <w:t xml:space="preserve"> </w:t>
      </w:r>
      <w:r w:rsidR="00F24164">
        <w:rPr>
          <w:rFonts w:cstheme="minorHAnsi"/>
          <w:sz w:val="24"/>
          <w:szCs w:val="24"/>
          <w:lang w:val="el-GR"/>
        </w:rPr>
        <w:t>εκπαιδευτικών</w:t>
      </w:r>
      <w:r w:rsidR="00F24164" w:rsidRPr="00F24164">
        <w:rPr>
          <w:rFonts w:cstheme="minorHAnsi"/>
          <w:sz w:val="24"/>
          <w:szCs w:val="24"/>
          <w:lang w:val="el-GR"/>
        </w:rPr>
        <w:t xml:space="preserve"> </w:t>
      </w:r>
      <w:r w:rsidR="00F24164">
        <w:rPr>
          <w:rFonts w:cstheme="minorHAnsi"/>
          <w:sz w:val="24"/>
          <w:szCs w:val="24"/>
          <w:lang w:val="el-GR"/>
        </w:rPr>
        <w:t>προγραμμάτων</w:t>
      </w:r>
      <w:r w:rsidR="00603A29" w:rsidRPr="00F24164">
        <w:rPr>
          <w:rFonts w:cstheme="minorHAnsi"/>
          <w:sz w:val="24"/>
          <w:szCs w:val="24"/>
          <w:lang w:val="el-GR"/>
        </w:rPr>
        <w:t xml:space="preserve"> </w:t>
      </w:r>
      <w:r w:rsidR="00F24164">
        <w:rPr>
          <w:rFonts w:cstheme="minorHAnsi"/>
          <w:sz w:val="24"/>
          <w:szCs w:val="24"/>
          <w:lang w:val="el-GR"/>
        </w:rPr>
        <w:t>για</w:t>
      </w:r>
      <w:r w:rsidR="00F24164" w:rsidRPr="00F24164">
        <w:rPr>
          <w:rFonts w:cstheme="minorHAnsi"/>
          <w:sz w:val="24"/>
          <w:szCs w:val="24"/>
          <w:lang w:val="el-GR"/>
        </w:rPr>
        <w:t xml:space="preserve"> </w:t>
      </w:r>
      <w:r w:rsidR="00F24164">
        <w:rPr>
          <w:rFonts w:cstheme="minorHAnsi"/>
          <w:sz w:val="24"/>
          <w:szCs w:val="24"/>
          <w:lang w:val="el-GR"/>
        </w:rPr>
        <w:t>την</w:t>
      </w:r>
      <w:r w:rsidR="00F24164" w:rsidRPr="00F24164">
        <w:rPr>
          <w:rFonts w:cstheme="minorHAnsi"/>
          <w:sz w:val="24"/>
          <w:szCs w:val="24"/>
          <w:lang w:val="el-GR"/>
        </w:rPr>
        <w:t xml:space="preserve"> </w:t>
      </w:r>
      <w:r w:rsidR="00F24164">
        <w:rPr>
          <w:rFonts w:cstheme="minorHAnsi"/>
          <w:sz w:val="24"/>
          <w:szCs w:val="24"/>
          <w:lang w:val="el-GR"/>
        </w:rPr>
        <w:t>ηθική</w:t>
      </w:r>
      <w:r w:rsidR="00603A29" w:rsidRPr="00F24164">
        <w:rPr>
          <w:rFonts w:cstheme="minorHAnsi"/>
          <w:sz w:val="24"/>
          <w:szCs w:val="24"/>
          <w:lang w:val="el-GR"/>
        </w:rPr>
        <w:t xml:space="preserve"> </w:t>
      </w:r>
      <w:r w:rsidR="00F24164">
        <w:rPr>
          <w:rFonts w:cstheme="minorHAnsi"/>
          <w:sz w:val="24"/>
          <w:szCs w:val="24"/>
          <w:lang w:val="el-GR"/>
        </w:rPr>
        <w:t>και</w:t>
      </w:r>
      <w:r w:rsidR="00F24164" w:rsidRPr="00F24164">
        <w:rPr>
          <w:rFonts w:cstheme="minorHAnsi"/>
          <w:sz w:val="24"/>
          <w:szCs w:val="24"/>
          <w:lang w:val="el-GR"/>
        </w:rPr>
        <w:t xml:space="preserve"> </w:t>
      </w:r>
      <w:r w:rsidR="00F24164">
        <w:rPr>
          <w:rFonts w:cstheme="minorHAnsi"/>
          <w:sz w:val="24"/>
          <w:szCs w:val="24"/>
          <w:lang w:val="el-GR"/>
        </w:rPr>
        <w:t>την</w:t>
      </w:r>
      <w:r w:rsidR="00F24164" w:rsidRPr="00F24164">
        <w:rPr>
          <w:rFonts w:cstheme="minorHAnsi"/>
          <w:sz w:val="24"/>
          <w:szCs w:val="24"/>
          <w:lang w:val="el-GR"/>
        </w:rPr>
        <w:t xml:space="preserve"> </w:t>
      </w:r>
      <w:r w:rsidR="00F24164">
        <w:rPr>
          <w:rFonts w:cstheme="minorHAnsi"/>
          <w:sz w:val="24"/>
          <w:szCs w:val="24"/>
          <w:lang w:val="el-GR"/>
        </w:rPr>
        <w:t>ακεραιότητα με σκοπό να εξασφαλιστεί</w:t>
      </w:r>
      <w:r w:rsidR="00603A29" w:rsidRPr="00F24164">
        <w:rPr>
          <w:rFonts w:cstheme="minorHAnsi"/>
          <w:sz w:val="24"/>
          <w:szCs w:val="24"/>
          <w:lang w:val="el-GR"/>
        </w:rPr>
        <w:t xml:space="preserve"> </w:t>
      </w:r>
      <w:r w:rsidR="00F24164">
        <w:rPr>
          <w:rFonts w:cstheme="minorHAnsi"/>
          <w:sz w:val="24"/>
          <w:szCs w:val="24"/>
          <w:lang w:val="el-GR"/>
        </w:rPr>
        <w:t>ώστε παρασχεθούν</w:t>
      </w:r>
      <w:r w:rsidR="00F24164" w:rsidRPr="00F24164">
        <w:rPr>
          <w:rFonts w:cstheme="minorHAnsi"/>
          <w:sz w:val="24"/>
          <w:szCs w:val="24"/>
          <w:lang w:val="el-GR"/>
        </w:rPr>
        <w:t xml:space="preserve"> </w:t>
      </w:r>
      <w:r w:rsidR="00F24164">
        <w:rPr>
          <w:rFonts w:cstheme="minorHAnsi"/>
          <w:sz w:val="24"/>
          <w:szCs w:val="24"/>
          <w:lang w:val="el-GR"/>
        </w:rPr>
        <w:t>πληροφορίες που βασίζονται σε περιπτώσεις, καθώς επίσης και πρακτικές,</w:t>
      </w:r>
      <w:r w:rsidR="00603A29" w:rsidRPr="00F24164">
        <w:rPr>
          <w:rFonts w:cstheme="minorHAnsi"/>
          <w:sz w:val="24"/>
          <w:szCs w:val="24"/>
          <w:lang w:val="el-GR"/>
        </w:rPr>
        <w:t xml:space="preserve"> </w:t>
      </w:r>
      <w:r w:rsidR="00F24164">
        <w:rPr>
          <w:rFonts w:cstheme="minorHAnsi"/>
          <w:sz w:val="24"/>
          <w:szCs w:val="24"/>
          <w:lang w:val="el-GR"/>
        </w:rPr>
        <w:t>προληπτικές πληροφορίες για το θέμα αυτό σε όλους τους ΑΕΝ</w:t>
      </w:r>
      <w:r w:rsidR="00603A29" w:rsidRPr="00F24164">
        <w:rPr>
          <w:rFonts w:cstheme="minorHAnsi"/>
          <w:sz w:val="24"/>
          <w:szCs w:val="24"/>
          <w:lang w:val="el-GR"/>
        </w:rPr>
        <w:t xml:space="preserve">, </w:t>
      </w:r>
      <w:r w:rsidR="00F24164">
        <w:rPr>
          <w:rFonts w:cstheme="minorHAnsi"/>
          <w:sz w:val="24"/>
          <w:szCs w:val="24"/>
          <w:lang w:val="el-GR"/>
        </w:rPr>
        <w:t>τόσο στην φάση εισαγωγής όσο και τακτικά κατά την διάρκεια της σταδιοδρομίας τους</w:t>
      </w:r>
      <w:r w:rsidR="00603A29" w:rsidRPr="00F24164">
        <w:rPr>
          <w:rFonts w:cstheme="minorHAnsi"/>
          <w:sz w:val="24"/>
          <w:szCs w:val="24"/>
          <w:lang w:val="el-GR"/>
        </w:rPr>
        <w:t xml:space="preserve">. </w:t>
      </w:r>
    </w:p>
    <w:p w14:paraId="688F3BD3" w14:textId="77777777" w:rsidR="00220066" w:rsidRPr="00F24164" w:rsidRDefault="00220066" w:rsidP="00220066">
      <w:pPr>
        <w:pStyle w:val="ListParagraph"/>
        <w:rPr>
          <w:rFonts w:cstheme="minorHAnsi"/>
          <w:sz w:val="24"/>
          <w:szCs w:val="24"/>
          <w:lang w:val="el-GR"/>
        </w:rPr>
      </w:pPr>
    </w:p>
    <w:p w14:paraId="59F6EC6F" w14:textId="280190A2" w:rsidR="00220066" w:rsidRPr="00D6410C" w:rsidRDefault="00F24164" w:rsidP="00C71925">
      <w:pPr>
        <w:keepLines/>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Για</w:t>
      </w:r>
      <w:r w:rsidRPr="00F24164">
        <w:rPr>
          <w:rFonts w:cstheme="minorHAnsi"/>
          <w:sz w:val="24"/>
          <w:szCs w:val="24"/>
          <w:lang w:val="el-GR"/>
        </w:rPr>
        <w:t xml:space="preserve"> </w:t>
      </w:r>
      <w:r>
        <w:rPr>
          <w:rFonts w:cstheme="minorHAnsi"/>
          <w:sz w:val="24"/>
          <w:szCs w:val="24"/>
          <w:lang w:val="el-GR"/>
        </w:rPr>
        <w:t>την</w:t>
      </w:r>
      <w:r w:rsidR="00E663F8" w:rsidRPr="00F24164">
        <w:rPr>
          <w:rFonts w:cstheme="minorHAnsi"/>
          <w:sz w:val="24"/>
          <w:szCs w:val="24"/>
          <w:lang w:val="el-GR"/>
        </w:rPr>
        <w:t xml:space="preserve"> </w:t>
      </w:r>
      <w:r w:rsidR="00E663F8" w:rsidRPr="004E251E">
        <w:rPr>
          <w:rFonts w:cstheme="minorHAnsi"/>
          <w:sz w:val="24"/>
          <w:szCs w:val="24"/>
        </w:rPr>
        <w:t>GET</w:t>
      </w:r>
      <w:r w:rsidR="00E663F8" w:rsidRPr="00F24164">
        <w:rPr>
          <w:rFonts w:cstheme="minorHAnsi"/>
          <w:sz w:val="24"/>
          <w:szCs w:val="24"/>
          <w:lang w:val="el-GR"/>
        </w:rPr>
        <w:t xml:space="preserve">, </w:t>
      </w:r>
      <w:r>
        <w:rPr>
          <w:rFonts w:cstheme="minorHAnsi"/>
          <w:sz w:val="24"/>
          <w:szCs w:val="24"/>
          <w:lang w:val="el-GR"/>
        </w:rPr>
        <w:t>η</w:t>
      </w:r>
      <w:r w:rsidRPr="00F24164">
        <w:rPr>
          <w:rFonts w:cstheme="minorHAnsi"/>
          <w:sz w:val="24"/>
          <w:szCs w:val="24"/>
          <w:lang w:val="el-GR"/>
        </w:rPr>
        <w:t xml:space="preserve"> </w:t>
      </w:r>
      <w:r>
        <w:rPr>
          <w:rFonts w:cstheme="minorHAnsi"/>
          <w:sz w:val="24"/>
          <w:szCs w:val="24"/>
          <w:lang w:val="el-GR"/>
        </w:rPr>
        <w:t>σχετικά</w:t>
      </w:r>
      <w:r w:rsidRPr="00F24164">
        <w:rPr>
          <w:rFonts w:cstheme="minorHAnsi"/>
          <w:sz w:val="24"/>
          <w:szCs w:val="24"/>
          <w:lang w:val="el-GR"/>
        </w:rPr>
        <w:t xml:space="preserve"> </w:t>
      </w:r>
      <w:r>
        <w:rPr>
          <w:rFonts w:cstheme="minorHAnsi"/>
          <w:sz w:val="24"/>
          <w:szCs w:val="24"/>
          <w:lang w:val="el-GR"/>
        </w:rPr>
        <w:t>πρόσφατη</w:t>
      </w:r>
      <w:r w:rsidRPr="00F24164">
        <w:rPr>
          <w:rFonts w:cstheme="minorHAnsi"/>
          <w:sz w:val="24"/>
          <w:szCs w:val="24"/>
          <w:lang w:val="el-GR"/>
        </w:rPr>
        <w:t xml:space="preserve"> </w:t>
      </w:r>
      <w:r>
        <w:rPr>
          <w:rFonts w:cstheme="minorHAnsi"/>
          <w:sz w:val="24"/>
          <w:szCs w:val="24"/>
          <w:lang w:val="el-GR"/>
        </w:rPr>
        <w:t>ίδρυση της</w:t>
      </w:r>
      <w:r w:rsidR="00220066" w:rsidRPr="00F24164">
        <w:rPr>
          <w:rFonts w:cstheme="minorHAnsi"/>
          <w:sz w:val="24"/>
          <w:szCs w:val="24"/>
          <w:lang w:val="el-GR"/>
        </w:rPr>
        <w:t xml:space="preserve"> </w:t>
      </w:r>
      <w:r w:rsidR="00220066" w:rsidRPr="004E251E">
        <w:rPr>
          <w:rFonts w:cstheme="minorHAnsi"/>
          <w:sz w:val="24"/>
          <w:szCs w:val="24"/>
        </w:rPr>
        <w:t>P</w:t>
      </w:r>
      <w:r w:rsidR="00220066" w:rsidRPr="00F24164">
        <w:rPr>
          <w:rFonts w:cstheme="minorHAnsi"/>
          <w:sz w:val="24"/>
          <w:szCs w:val="24"/>
          <w:lang w:val="el-GR"/>
        </w:rPr>
        <w:t>.</w:t>
      </w:r>
      <w:r w:rsidR="00220066" w:rsidRPr="004E251E">
        <w:rPr>
          <w:rFonts w:cstheme="minorHAnsi"/>
          <w:sz w:val="24"/>
          <w:szCs w:val="24"/>
        </w:rPr>
        <w:t>I</w:t>
      </w:r>
      <w:r w:rsidR="00220066" w:rsidRPr="00F24164">
        <w:rPr>
          <w:rFonts w:cstheme="minorHAnsi"/>
          <w:sz w:val="24"/>
          <w:szCs w:val="24"/>
          <w:lang w:val="el-GR"/>
        </w:rPr>
        <w:t>.</w:t>
      </w:r>
      <w:r w:rsidR="00220066" w:rsidRPr="004E251E">
        <w:rPr>
          <w:rFonts w:cstheme="minorHAnsi"/>
          <w:sz w:val="24"/>
          <w:szCs w:val="24"/>
        </w:rPr>
        <w:t>A</w:t>
      </w:r>
      <w:r w:rsidR="00220066" w:rsidRPr="00F24164">
        <w:rPr>
          <w:rFonts w:cstheme="minorHAnsi"/>
          <w:sz w:val="24"/>
          <w:szCs w:val="24"/>
          <w:lang w:val="el-GR"/>
        </w:rPr>
        <w:t>.</w:t>
      </w:r>
      <w:r w:rsidR="00220066" w:rsidRPr="004E251E">
        <w:rPr>
          <w:rFonts w:cstheme="minorHAnsi"/>
          <w:sz w:val="24"/>
          <w:szCs w:val="24"/>
        </w:rPr>
        <w:t>S</w:t>
      </w:r>
      <w:r w:rsidR="00220066" w:rsidRPr="00F24164">
        <w:rPr>
          <w:rFonts w:cstheme="minorHAnsi"/>
          <w:sz w:val="24"/>
          <w:szCs w:val="24"/>
          <w:lang w:val="el-GR"/>
        </w:rPr>
        <w:t xml:space="preserve">. </w:t>
      </w:r>
      <w:r>
        <w:rPr>
          <w:rFonts w:cstheme="minorHAnsi"/>
          <w:sz w:val="24"/>
          <w:szCs w:val="24"/>
          <w:lang w:val="el-GR"/>
        </w:rPr>
        <w:t>είναι μια θετική εξέλιξη</w:t>
      </w:r>
      <w:r w:rsidR="00220066" w:rsidRPr="00F24164">
        <w:rPr>
          <w:rFonts w:cstheme="minorHAnsi"/>
          <w:sz w:val="24"/>
          <w:szCs w:val="24"/>
          <w:lang w:val="el-GR"/>
        </w:rPr>
        <w:t xml:space="preserve">. </w:t>
      </w:r>
      <w:r>
        <w:rPr>
          <w:rFonts w:cstheme="minorHAnsi"/>
          <w:sz w:val="24"/>
          <w:szCs w:val="24"/>
          <w:lang w:val="el-GR"/>
        </w:rPr>
        <w:t>Η</w:t>
      </w:r>
      <w:r w:rsidRPr="00F24164">
        <w:rPr>
          <w:rFonts w:cstheme="minorHAnsi"/>
          <w:sz w:val="24"/>
          <w:szCs w:val="24"/>
          <w:lang w:val="el-GR"/>
        </w:rPr>
        <w:t xml:space="preserve"> </w:t>
      </w:r>
      <w:r>
        <w:rPr>
          <w:rFonts w:cstheme="minorHAnsi"/>
          <w:sz w:val="24"/>
          <w:szCs w:val="24"/>
          <w:lang w:val="el-GR"/>
        </w:rPr>
        <w:t>διεξαγωγή</w:t>
      </w:r>
      <w:r w:rsidRPr="00F24164">
        <w:rPr>
          <w:rFonts w:cstheme="minorHAnsi"/>
          <w:sz w:val="24"/>
          <w:szCs w:val="24"/>
          <w:lang w:val="el-GR"/>
        </w:rPr>
        <w:t xml:space="preserve"> </w:t>
      </w:r>
      <w:r>
        <w:rPr>
          <w:rFonts w:cstheme="minorHAnsi"/>
          <w:sz w:val="24"/>
          <w:szCs w:val="24"/>
          <w:lang w:val="el-GR"/>
        </w:rPr>
        <w:t>από</w:t>
      </w:r>
      <w:r w:rsidRPr="00F24164">
        <w:rPr>
          <w:rFonts w:cstheme="minorHAnsi"/>
          <w:sz w:val="24"/>
          <w:szCs w:val="24"/>
          <w:lang w:val="el-GR"/>
        </w:rPr>
        <w:t xml:space="preserve"> </w:t>
      </w:r>
      <w:r>
        <w:rPr>
          <w:rFonts w:cstheme="minorHAnsi"/>
          <w:sz w:val="24"/>
          <w:szCs w:val="24"/>
          <w:lang w:val="el-GR"/>
        </w:rPr>
        <w:t>τ</w:t>
      </w:r>
      <w:r w:rsidR="003F3573">
        <w:rPr>
          <w:rFonts w:cstheme="minorHAnsi"/>
          <w:sz w:val="24"/>
          <w:szCs w:val="24"/>
          <w:lang w:val="el-GR"/>
        </w:rPr>
        <w:t>ην εν λόγω Υπηρεσίας</w:t>
      </w:r>
      <w:r w:rsidRPr="00F24164">
        <w:rPr>
          <w:rFonts w:cstheme="minorHAnsi"/>
          <w:sz w:val="24"/>
          <w:szCs w:val="24"/>
          <w:lang w:val="el-GR"/>
        </w:rPr>
        <w:t xml:space="preserve">, </w:t>
      </w:r>
      <w:r>
        <w:rPr>
          <w:rFonts w:cstheme="minorHAnsi"/>
          <w:sz w:val="24"/>
          <w:szCs w:val="24"/>
          <w:lang w:val="el-GR"/>
        </w:rPr>
        <w:t>ελέγχων</w:t>
      </w:r>
      <w:r w:rsidRPr="00F24164">
        <w:rPr>
          <w:rFonts w:cstheme="minorHAnsi"/>
          <w:sz w:val="24"/>
          <w:szCs w:val="24"/>
          <w:lang w:val="el-GR"/>
        </w:rPr>
        <w:t xml:space="preserve"> </w:t>
      </w:r>
      <w:r>
        <w:rPr>
          <w:rFonts w:cstheme="minorHAnsi"/>
          <w:sz w:val="24"/>
          <w:szCs w:val="24"/>
          <w:lang w:val="el-GR"/>
        </w:rPr>
        <w:t>ακεραιότητας</w:t>
      </w:r>
      <w:r w:rsidR="00220066" w:rsidRPr="00F24164">
        <w:rPr>
          <w:rFonts w:cstheme="minorHAnsi"/>
          <w:sz w:val="24"/>
          <w:szCs w:val="24"/>
          <w:lang w:val="el-GR"/>
        </w:rPr>
        <w:t xml:space="preserve"> </w:t>
      </w:r>
      <w:r>
        <w:rPr>
          <w:rFonts w:cstheme="minorHAnsi"/>
          <w:sz w:val="24"/>
          <w:szCs w:val="24"/>
          <w:lang w:val="el-GR"/>
        </w:rPr>
        <w:t>και</w:t>
      </w:r>
      <w:r w:rsidRPr="00F24164">
        <w:rPr>
          <w:rFonts w:cstheme="minorHAnsi"/>
          <w:sz w:val="24"/>
          <w:szCs w:val="24"/>
          <w:lang w:val="el-GR"/>
        </w:rPr>
        <w:t xml:space="preserve"> </w:t>
      </w:r>
      <w:r>
        <w:rPr>
          <w:rFonts w:cstheme="minorHAnsi"/>
          <w:sz w:val="24"/>
          <w:szCs w:val="24"/>
          <w:lang w:val="el-GR"/>
        </w:rPr>
        <w:t>η</w:t>
      </w:r>
      <w:r w:rsidRPr="00F24164">
        <w:rPr>
          <w:rFonts w:cstheme="minorHAnsi"/>
          <w:sz w:val="24"/>
          <w:szCs w:val="24"/>
          <w:lang w:val="el-GR"/>
        </w:rPr>
        <w:t xml:space="preserve"> </w:t>
      </w:r>
      <w:r>
        <w:rPr>
          <w:rFonts w:cstheme="minorHAnsi"/>
          <w:sz w:val="24"/>
          <w:szCs w:val="24"/>
          <w:lang w:val="el-GR"/>
        </w:rPr>
        <w:t>έκδοση</w:t>
      </w:r>
      <w:r w:rsidRPr="00F24164">
        <w:rPr>
          <w:rFonts w:cstheme="minorHAnsi"/>
          <w:sz w:val="24"/>
          <w:szCs w:val="24"/>
          <w:lang w:val="el-GR"/>
        </w:rPr>
        <w:t xml:space="preserve"> </w:t>
      </w:r>
      <w:r>
        <w:rPr>
          <w:rFonts w:cstheme="minorHAnsi"/>
          <w:sz w:val="24"/>
          <w:szCs w:val="24"/>
          <w:lang w:val="el-GR"/>
        </w:rPr>
        <w:t>εισηγήσεων</w:t>
      </w:r>
      <w:r w:rsidRPr="00F24164">
        <w:rPr>
          <w:rFonts w:cstheme="minorHAnsi"/>
          <w:sz w:val="24"/>
          <w:szCs w:val="24"/>
          <w:lang w:val="el-GR"/>
        </w:rPr>
        <w:t xml:space="preserve"> </w:t>
      </w:r>
      <w:r>
        <w:rPr>
          <w:rFonts w:cstheme="minorHAnsi"/>
          <w:sz w:val="24"/>
          <w:szCs w:val="24"/>
          <w:lang w:val="el-GR"/>
        </w:rPr>
        <w:t>στον</w:t>
      </w:r>
      <w:r w:rsidRPr="00F24164">
        <w:rPr>
          <w:rFonts w:cstheme="minorHAnsi"/>
          <w:sz w:val="24"/>
          <w:szCs w:val="24"/>
          <w:lang w:val="el-GR"/>
        </w:rPr>
        <w:t xml:space="preserve"> </w:t>
      </w:r>
      <w:r>
        <w:rPr>
          <w:rFonts w:cstheme="minorHAnsi"/>
          <w:sz w:val="24"/>
          <w:szCs w:val="24"/>
          <w:lang w:val="el-GR"/>
        </w:rPr>
        <w:t>Αρχηγό</w:t>
      </w:r>
      <w:r w:rsidRPr="00F24164">
        <w:rPr>
          <w:rFonts w:cstheme="minorHAnsi"/>
          <w:sz w:val="24"/>
          <w:szCs w:val="24"/>
          <w:lang w:val="el-GR"/>
        </w:rPr>
        <w:t xml:space="preserve"> </w:t>
      </w:r>
      <w:r>
        <w:rPr>
          <w:rFonts w:cstheme="minorHAnsi"/>
          <w:sz w:val="24"/>
          <w:szCs w:val="24"/>
          <w:lang w:val="el-GR"/>
        </w:rPr>
        <w:t>της</w:t>
      </w:r>
      <w:r w:rsidRPr="00F24164">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F24164">
        <w:rPr>
          <w:rFonts w:cstheme="minorHAnsi"/>
          <w:sz w:val="24"/>
          <w:szCs w:val="24"/>
          <w:lang w:val="el-GR"/>
        </w:rPr>
        <w:t xml:space="preserve"> </w:t>
      </w:r>
      <w:r>
        <w:rPr>
          <w:rFonts w:cstheme="minorHAnsi"/>
          <w:sz w:val="24"/>
          <w:szCs w:val="24"/>
          <w:lang w:val="el-GR"/>
        </w:rPr>
        <w:t>όταν εντοπίζει κενά</w:t>
      </w:r>
      <w:r w:rsidR="00220066" w:rsidRPr="00F24164">
        <w:rPr>
          <w:rFonts w:cstheme="minorHAnsi"/>
          <w:sz w:val="24"/>
          <w:szCs w:val="24"/>
          <w:lang w:val="el-GR"/>
        </w:rPr>
        <w:t xml:space="preserve"> </w:t>
      </w:r>
      <w:r>
        <w:rPr>
          <w:rFonts w:cstheme="minorHAnsi"/>
          <w:sz w:val="24"/>
          <w:szCs w:val="24"/>
          <w:lang w:val="el-GR"/>
        </w:rPr>
        <w:t>και</w:t>
      </w:r>
      <w:r w:rsidR="00220066" w:rsidRPr="00F24164">
        <w:rPr>
          <w:rFonts w:cstheme="minorHAnsi"/>
          <w:sz w:val="24"/>
          <w:szCs w:val="24"/>
          <w:lang w:val="el-GR"/>
        </w:rPr>
        <w:t>/</w:t>
      </w:r>
      <w:r>
        <w:rPr>
          <w:rFonts w:cstheme="minorHAnsi"/>
          <w:sz w:val="24"/>
          <w:szCs w:val="24"/>
          <w:lang w:val="el-GR"/>
        </w:rPr>
        <w:t>ή αδυναμίες</w:t>
      </w:r>
      <w:r w:rsidR="00220066" w:rsidRPr="00F24164">
        <w:rPr>
          <w:rFonts w:cstheme="minorHAnsi"/>
          <w:sz w:val="24"/>
          <w:szCs w:val="24"/>
          <w:lang w:val="el-GR"/>
        </w:rPr>
        <w:t xml:space="preserve"> </w:t>
      </w:r>
      <w:r w:rsidR="00D6410C">
        <w:rPr>
          <w:rFonts w:cstheme="minorHAnsi"/>
          <w:sz w:val="24"/>
          <w:szCs w:val="24"/>
          <w:lang w:val="el-GR"/>
        </w:rPr>
        <w:t>είναι αξιέπαινη</w:t>
      </w:r>
      <w:r w:rsidR="00220066" w:rsidRPr="00F24164">
        <w:rPr>
          <w:rFonts w:cstheme="minorHAnsi"/>
          <w:sz w:val="24"/>
          <w:szCs w:val="24"/>
          <w:lang w:val="el-GR"/>
        </w:rPr>
        <w:t xml:space="preserve">. </w:t>
      </w:r>
      <w:r w:rsidR="00D6410C">
        <w:rPr>
          <w:rFonts w:cstheme="minorHAnsi"/>
          <w:sz w:val="24"/>
          <w:szCs w:val="24"/>
          <w:lang w:val="el-GR"/>
        </w:rPr>
        <w:t>Η</w:t>
      </w:r>
      <w:r w:rsidR="00D6410C" w:rsidRPr="00D6410C">
        <w:rPr>
          <w:rFonts w:cstheme="minorHAnsi"/>
          <w:sz w:val="24"/>
          <w:szCs w:val="24"/>
          <w:lang w:val="el-GR"/>
        </w:rPr>
        <w:t xml:space="preserve"> </w:t>
      </w:r>
      <w:r w:rsidR="00220066" w:rsidRPr="004E251E">
        <w:rPr>
          <w:rFonts w:cstheme="minorHAnsi"/>
          <w:sz w:val="24"/>
          <w:szCs w:val="24"/>
        </w:rPr>
        <w:t>PSID</w:t>
      </w:r>
      <w:r w:rsidR="00220066" w:rsidRPr="00D6410C">
        <w:rPr>
          <w:rFonts w:cstheme="minorHAnsi"/>
          <w:sz w:val="24"/>
          <w:szCs w:val="24"/>
          <w:lang w:val="el-GR"/>
        </w:rPr>
        <w:t xml:space="preserve"> </w:t>
      </w:r>
      <w:r w:rsidR="00D6410C">
        <w:rPr>
          <w:rFonts w:cstheme="minorHAnsi"/>
          <w:sz w:val="24"/>
          <w:szCs w:val="24"/>
          <w:lang w:val="el-GR"/>
        </w:rPr>
        <w:t>επίσης</w:t>
      </w:r>
      <w:r w:rsidR="00D6410C" w:rsidRPr="00D6410C">
        <w:rPr>
          <w:rFonts w:cstheme="minorHAnsi"/>
          <w:sz w:val="24"/>
          <w:szCs w:val="24"/>
          <w:lang w:val="el-GR"/>
        </w:rPr>
        <w:t xml:space="preserve"> </w:t>
      </w:r>
      <w:r w:rsidR="00D6410C">
        <w:rPr>
          <w:rFonts w:cstheme="minorHAnsi"/>
          <w:sz w:val="24"/>
          <w:szCs w:val="24"/>
          <w:lang w:val="el-GR"/>
        </w:rPr>
        <w:t>εργάζεται</w:t>
      </w:r>
      <w:r w:rsidR="00D6410C" w:rsidRPr="00D6410C">
        <w:rPr>
          <w:rFonts w:cstheme="minorHAnsi"/>
          <w:sz w:val="24"/>
          <w:szCs w:val="24"/>
          <w:lang w:val="el-GR"/>
        </w:rPr>
        <w:t xml:space="preserve"> </w:t>
      </w:r>
      <w:r w:rsidR="00D6410C">
        <w:rPr>
          <w:rFonts w:cstheme="minorHAnsi"/>
          <w:sz w:val="24"/>
          <w:szCs w:val="24"/>
          <w:lang w:val="el-GR"/>
        </w:rPr>
        <w:t>ώστε</w:t>
      </w:r>
      <w:r w:rsidR="00D6410C" w:rsidRPr="00D6410C">
        <w:rPr>
          <w:rFonts w:cstheme="minorHAnsi"/>
          <w:sz w:val="24"/>
          <w:szCs w:val="24"/>
          <w:lang w:val="el-GR"/>
        </w:rPr>
        <w:t xml:space="preserve"> </w:t>
      </w:r>
      <w:r w:rsidR="00D6410C">
        <w:rPr>
          <w:rFonts w:cstheme="minorHAnsi"/>
          <w:sz w:val="24"/>
          <w:szCs w:val="24"/>
          <w:lang w:val="el-GR"/>
        </w:rPr>
        <w:t>να</w:t>
      </w:r>
      <w:r w:rsidR="00D6410C" w:rsidRPr="00D6410C">
        <w:rPr>
          <w:rFonts w:cstheme="minorHAnsi"/>
          <w:sz w:val="24"/>
          <w:szCs w:val="24"/>
          <w:lang w:val="el-GR"/>
        </w:rPr>
        <w:t xml:space="preserve"> </w:t>
      </w:r>
      <w:r w:rsidR="00D6410C">
        <w:rPr>
          <w:rFonts w:cstheme="minorHAnsi"/>
          <w:sz w:val="24"/>
          <w:szCs w:val="24"/>
          <w:lang w:val="el-GR"/>
        </w:rPr>
        <w:t>βελτιώσει</w:t>
      </w:r>
      <w:r w:rsidR="00D6410C" w:rsidRPr="00D6410C">
        <w:rPr>
          <w:rFonts w:cstheme="minorHAnsi"/>
          <w:sz w:val="24"/>
          <w:szCs w:val="24"/>
          <w:lang w:val="el-GR"/>
        </w:rPr>
        <w:t xml:space="preserve"> </w:t>
      </w:r>
      <w:r w:rsidR="00D6410C">
        <w:rPr>
          <w:rFonts w:cstheme="minorHAnsi"/>
          <w:sz w:val="24"/>
          <w:szCs w:val="24"/>
          <w:lang w:val="el-GR"/>
        </w:rPr>
        <w:t>τις</w:t>
      </w:r>
      <w:r w:rsidR="00D6410C" w:rsidRPr="00D6410C">
        <w:rPr>
          <w:rFonts w:cstheme="minorHAnsi"/>
          <w:sz w:val="24"/>
          <w:szCs w:val="24"/>
          <w:lang w:val="el-GR"/>
        </w:rPr>
        <w:t xml:space="preserve"> </w:t>
      </w:r>
      <w:r w:rsidR="00D6410C">
        <w:rPr>
          <w:rFonts w:cstheme="minorHAnsi"/>
          <w:sz w:val="24"/>
          <w:szCs w:val="24"/>
          <w:lang w:val="el-GR"/>
        </w:rPr>
        <w:t>εσωτερικές</w:t>
      </w:r>
      <w:r w:rsidR="00D6410C" w:rsidRPr="00D6410C">
        <w:rPr>
          <w:rFonts w:cstheme="minorHAnsi"/>
          <w:sz w:val="24"/>
          <w:szCs w:val="24"/>
          <w:lang w:val="el-GR"/>
        </w:rPr>
        <w:t xml:space="preserve"> </w:t>
      </w:r>
      <w:r w:rsidR="00D6410C">
        <w:rPr>
          <w:rFonts w:cstheme="minorHAnsi"/>
          <w:sz w:val="24"/>
          <w:szCs w:val="24"/>
          <w:lang w:val="el-GR"/>
        </w:rPr>
        <w:t>πρακτικές</w:t>
      </w:r>
      <w:r w:rsidR="00220066" w:rsidRPr="00D6410C">
        <w:rPr>
          <w:rFonts w:cstheme="minorHAnsi"/>
          <w:sz w:val="24"/>
          <w:szCs w:val="24"/>
          <w:lang w:val="el-GR"/>
        </w:rPr>
        <w:t xml:space="preserve"> </w:t>
      </w:r>
      <w:r w:rsidR="00D6410C">
        <w:rPr>
          <w:rFonts w:cstheme="minorHAnsi"/>
          <w:sz w:val="24"/>
          <w:szCs w:val="24"/>
          <w:lang w:val="el-GR"/>
        </w:rPr>
        <w:t>και μηχανισμούς</w:t>
      </w:r>
      <w:r w:rsidR="00220066" w:rsidRPr="00D6410C">
        <w:rPr>
          <w:rFonts w:cstheme="minorHAnsi"/>
          <w:sz w:val="24"/>
          <w:szCs w:val="24"/>
          <w:lang w:val="el-GR"/>
        </w:rPr>
        <w:t xml:space="preserve"> </w:t>
      </w:r>
      <w:r w:rsidR="00D6410C">
        <w:rPr>
          <w:rFonts w:cstheme="minorHAnsi"/>
          <w:sz w:val="24"/>
          <w:szCs w:val="24"/>
          <w:lang w:val="el-GR"/>
        </w:rPr>
        <w:t xml:space="preserve">για την πρόληψη της διαφθοράς στην </w:t>
      </w:r>
      <w:r w:rsidR="009C4E34">
        <w:rPr>
          <w:rFonts w:cstheme="minorHAnsi"/>
          <w:sz w:val="24"/>
          <w:szCs w:val="24"/>
          <w:lang w:val="el-GR"/>
        </w:rPr>
        <w:t>Αστυνομία</w:t>
      </w:r>
      <w:r w:rsidR="00220066" w:rsidRPr="00D6410C">
        <w:rPr>
          <w:rFonts w:cstheme="minorHAnsi"/>
          <w:sz w:val="24"/>
          <w:szCs w:val="24"/>
          <w:lang w:val="el-GR"/>
        </w:rPr>
        <w:t xml:space="preserve">. </w:t>
      </w:r>
      <w:r w:rsidR="00D6410C">
        <w:rPr>
          <w:rFonts w:cstheme="minorHAnsi"/>
          <w:sz w:val="24"/>
          <w:szCs w:val="24"/>
          <w:lang w:val="el-GR"/>
        </w:rPr>
        <w:t>Η</w:t>
      </w:r>
      <w:r w:rsidR="00220066" w:rsidRPr="00D6410C">
        <w:rPr>
          <w:rFonts w:cstheme="minorHAnsi"/>
          <w:sz w:val="24"/>
          <w:szCs w:val="24"/>
          <w:lang w:val="el-GR"/>
        </w:rPr>
        <w:t xml:space="preserve"> </w:t>
      </w:r>
      <w:r w:rsidR="00220066" w:rsidRPr="004E251E">
        <w:rPr>
          <w:rFonts w:cstheme="minorHAnsi"/>
          <w:sz w:val="24"/>
          <w:szCs w:val="24"/>
        </w:rPr>
        <w:t>GET</w:t>
      </w:r>
      <w:r w:rsidR="00723434" w:rsidRPr="00D6410C">
        <w:rPr>
          <w:rFonts w:cstheme="minorHAnsi"/>
          <w:sz w:val="24"/>
          <w:szCs w:val="24"/>
          <w:lang w:val="el-GR"/>
        </w:rPr>
        <w:t>,</w:t>
      </w:r>
      <w:r w:rsidR="00220066" w:rsidRPr="00D6410C">
        <w:rPr>
          <w:rFonts w:cstheme="minorHAnsi"/>
          <w:sz w:val="24"/>
          <w:szCs w:val="24"/>
          <w:lang w:val="el-GR"/>
        </w:rPr>
        <w:t xml:space="preserve"> </w:t>
      </w:r>
      <w:r w:rsidR="00D6410C">
        <w:rPr>
          <w:rFonts w:cstheme="minorHAnsi"/>
          <w:sz w:val="24"/>
          <w:szCs w:val="24"/>
          <w:lang w:val="el-GR"/>
        </w:rPr>
        <w:t>ωστόσο</w:t>
      </w:r>
      <w:r w:rsidR="00723434" w:rsidRPr="00D6410C">
        <w:rPr>
          <w:rFonts w:cstheme="minorHAnsi"/>
          <w:sz w:val="24"/>
          <w:szCs w:val="24"/>
          <w:lang w:val="el-GR"/>
        </w:rPr>
        <w:t>,</w:t>
      </w:r>
      <w:r w:rsidR="00E663F8" w:rsidRPr="00D6410C">
        <w:rPr>
          <w:rFonts w:cstheme="minorHAnsi"/>
          <w:sz w:val="24"/>
          <w:szCs w:val="24"/>
          <w:lang w:val="el-GR"/>
        </w:rPr>
        <w:t xml:space="preserve"> </w:t>
      </w:r>
      <w:r w:rsidR="00D6410C">
        <w:rPr>
          <w:rFonts w:cstheme="minorHAnsi"/>
          <w:sz w:val="24"/>
          <w:szCs w:val="24"/>
          <w:lang w:val="el-GR"/>
        </w:rPr>
        <w:t>ενημερώθηκε</w:t>
      </w:r>
      <w:r w:rsidR="00D6410C" w:rsidRPr="00D6410C">
        <w:rPr>
          <w:rFonts w:cstheme="minorHAnsi"/>
          <w:sz w:val="24"/>
          <w:szCs w:val="24"/>
          <w:lang w:val="el-GR"/>
        </w:rPr>
        <w:t xml:space="preserve"> </w:t>
      </w:r>
      <w:r w:rsidR="00D6410C">
        <w:rPr>
          <w:rFonts w:cstheme="minorHAnsi"/>
          <w:sz w:val="24"/>
          <w:szCs w:val="24"/>
          <w:lang w:val="el-GR"/>
        </w:rPr>
        <w:t>για</w:t>
      </w:r>
      <w:r w:rsidR="00D6410C" w:rsidRPr="00D6410C">
        <w:rPr>
          <w:rFonts w:cstheme="minorHAnsi"/>
          <w:sz w:val="24"/>
          <w:szCs w:val="24"/>
          <w:lang w:val="el-GR"/>
        </w:rPr>
        <w:t xml:space="preserve"> </w:t>
      </w:r>
      <w:r w:rsidR="00D6410C">
        <w:rPr>
          <w:rFonts w:cstheme="minorHAnsi"/>
          <w:sz w:val="24"/>
          <w:szCs w:val="24"/>
          <w:lang w:val="el-GR"/>
        </w:rPr>
        <w:t>περιορισμούς</w:t>
      </w:r>
      <w:r w:rsidR="00D6410C" w:rsidRPr="00D6410C">
        <w:rPr>
          <w:rFonts w:cstheme="minorHAnsi"/>
          <w:sz w:val="24"/>
          <w:szCs w:val="24"/>
          <w:lang w:val="el-GR"/>
        </w:rPr>
        <w:t xml:space="preserve"> </w:t>
      </w:r>
      <w:r w:rsidR="003F3573">
        <w:rPr>
          <w:rFonts w:cstheme="minorHAnsi"/>
          <w:sz w:val="24"/>
          <w:szCs w:val="24"/>
          <w:lang w:val="el-GR"/>
        </w:rPr>
        <w:t>όσον αφορά την ανταλλαγή</w:t>
      </w:r>
      <w:r w:rsidR="00D6410C" w:rsidRPr="00D6410C">
        <w:rPr>
          <w:rFonts w:cstheme="minorHAnsi"/>
          <w:sz w:val="24"/>
          <w:szCs w:val="24"/>
          <w:lang w:val="el-GR"/>
        </w:rPr>
        <w:t xml:space="preserve"> </w:t>
      </w:r>
      <w:r w:rsidR="00D6410C">
        <w:rPr>
          <w:rFonts w:cstheme="minorHAnsi"/>
          <w:sz w:val="24"/>
          <w:szCs w:val="24"/>
          <w:lang w:val="el-GR"/>
        </w:rPr>
        <w:t>πληροφοριών</w:t>
      </w:r>
      <w:r w:rsidR="00220066" w:rsidRPr="00D6410C">
        <w:rPr>
          <w:rFonts w:cstheme="minorHAnsi"/>
          <w:sz w:val="24"/>
          <w:szCs w:val="24"/>
          <w:lang w:val="el-GR"/>
        </w:rPr>
        <w:t xml:space="preserve"> </w:t>
      </w:r>
      <w:r w:rsidR="00D6410C">
        <w:rPr>
          <w:rFonts w:cstheme="minorHAnsi"/>
          <w:sz w:val="24"/>
          <w:szCs w:val="24"/>
          <w:lang w:val="el-GR"/>
        </w:rPr>
        <w:t xml:space="preserve">μεταξύ της </w:t>
      </w:r>
      <w:r w:rsidR="00220066" w:rsidRPr="004E251E">
        <w:rPr>
          <w:rFonts w:cstheme="minorHAnsi"/>
          <w:sz w:val="24"/>
          <w:szCs w:val="24"/>
        </w:rPr>
        <w:t>P</w:t>
      </w:r>
      <w:r w:rsidR="00220066" w:rsidRPr="00D6410C">
        <w:rPr>
          <w:rFonts w:cstheme="minorHAnsi"/>
          <w:sz w:val="24"/>
          <w:szCs w:val="24"/>
          <w:lang w:val="el-GR"/>
        </w:rPr>
        <w:t>.</w:t>
      </w:r>
      <w:r w:rsidR="00220066" w:rsidRPr="004E251E">
        <w:rPr>
          <w:rFonts w:cstheme="minorHAnsi"/>
          <w:sz w:val="24"/>
          <w:szCs w:val="24"/>
        </w:rPr>
        <w:t>I</w:t>
      </w:r>
      <w:r w:rsidR="00220066" w:rsidRPr="00D6410C">
        <w:rPr>
          <w:rFonts w:cstheme="minorHAnsi"/>
          <w:sz w:val="24"/>
          <w:szCs w:val="24"/>
          <w:lang w:val="el-GR"/>
        </w:rPr>
        <w:t>.</w:t>
      </w:r>
      <w:r w:rsidR="00220066" w:rsidRPr="004E251E">
        <w:rPr>
          <w:rFonts w:cstheme="minorHAnsi"/>
          <w:sz w:val="24"/>
          <w:szCs w:val="24"/>
        </w:rPr>
        <w:t>A</w:t>
      </w:r>
      <w:r w:rsidR="00220066" w:rsidRPr="00D6410C">
        <w:rPr>
          <w:rFonts w:cstheme="minorHAnsi"/>
          <w:sz w:val="24"/>
          <w:szCs w:val="24"/>
          <w:lang w:val="el-GR"/>
        </w:rPr>
        <w:t>.</w:t>
      </w:r>
      <w:r w:rsidR="00220066" w:rsidRPr="004E251E">
        <w:rPr>
          <w:rFonts w:cstheme="minorHAnsi"/>
          <w:sz w:val="24"/>
          <w:szCs w:val="24"/>
        </w:rPr>
        <w:t>S</w:t>
      </w:r>
      <w:r w:rsidR="00220066" w:rsidRPr="00D6410C">
        <w:rPr>
          <w:rFonts w:cstheme="minorHAnsi"/>
          <w:sz w:val="24"/>
          <w:szCs w:val="24"/>
          <w:lang w:val="el-GR"/>
        </w:rPr>
        <w:t xml:space="preserve">., </w:t>
      </w:r>
      <w:r w:rsidR="00D6410C">
        <w:rPr>
          <w:rFonts w:cstheme="minorHAnsi"/>
          <w:sz w:val="24"/>
          <w:szCs w:val="24"/>
          <w:lang w:val="el-GR"/>
        </w:rPr>
        <w:t xml:space="preserve">την </w:t>
      </w:r>
      <w:r w:rsidR="00220066" w:rsidRPr="004E251E">
        <w:rPr>
          <w:rFonts w:cstheme="minorHAnsi"/>
          <w:sz w:val="24"/>
          <w:szCs w:val="24"/>
        </w:rPr>
        <w:t>PSID</w:t>
      </w:r>
      <w:r w:rsidR="00220066" w:rsidRPr="00D6410C">
        <w:rPr>
          <w:rFonts w:cstheme="minorHAnsi"/>
          <w:sz w:val="24"/>
          <w:szCs w:val="24"/>
          <w:lang w:val="el-GR"/>
        </w:rPr>
        <w:t xml:space="preserve"> </w:t>
      </w:r>
      <w:r w:rsidR="00D6410C">
        <w:rPr>
          <w:rFonts w:cstheme="minorHAnsi"/>
          <w:sz w:val="24"/>
          <w:szCs w:val="24"/>
          <w:lang w:val="el-GR"/>
        </w:rPr>
        <w:t>και των άλλων μονάδων</w:t>
      </w:r>
      <w:r w:rsidR="00220066" w:rsidRPr="00D6410C">
        <w:rPr>
          <w:rFonts w:cstheme="minorHAnsi"/>
          <w:sz w:val="24"/>
          <w:szCs w:val="24"/>
          <w:lang w:val="el-GR"/>
        </w:rPr>
        <w:t xml:space="preserve">. </w:t>
      </w:r>
    </w:p>
    <w:p w14:paraId="70D955E8" w14:textId="77777777" w:rsidR="00220066" w:rsidRPr="00D6410C" w:rsidRDefault="00220066" w:rsidP="00220066">
      <w:pPr>
        <w:pStyle w:val="ListParagraph"/>
        <w:rPr>
          <w:rFonts w:cstheme="minorHAnsi"/>
          <w:sz w:val="24"/>
          <w:szCs w:val="24"/>
          <w:lang w:val="el-GR"/>
        </w:rPr>
      </w:pPr>
    </w:p>
    <w:p w14:paraId="5493F36F" w14:textId="610DC02D" w:rsidR="00DC3FEB" w:rsidRPr="00D30BBD" w:rsidRDefault="00D6410C" w:rsidP="00B70C21">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Δεν</w:t>
      </w:r>
      <w:r w:rsidRPr="00D6410C">
        <w:rPr>
          <w:rFonts w:cstheme="minorHAnsi"/>
          <w:sz w:val="24"/>
          <w:szCs w:val="24"/>
          <w:lang w:val="el-GR"/>
        </w:rPr>
        <w:t xml:space="preserve"> </w:t>
      </w:r>
      <w:r>
        <w:rPr>
          <w:rFonts w:cstheme="minorHAnsi"/>
          <w:sz w:val="24"/>
          <w:szCs w:val="24"/>
          <w:lang w:val="el-GR"/>
        </w:rPr>
        <w:t>υπάρχει</w:t>
      </w:r>
      <w:r w:rsidRPr="00D6410C">
        <w:rPr>
          <w:rFonts w:cstheme="minorHAnsi"/>
          <w:sz w:val="24"/>
          <w:szCs w:val="24"/>
          <w:lang w:val="el-GR"/>
        </w:rPr>
        <w:t xml:space="preserve"> </w:t>
      </w:r>
      <w:r>
        <w:rPr>
          <w:rFonts w:cstheme="minorHAnsi"/>
          <w:sz w:val="24"/>
          <w:szCs w:val="24"/>
          <w:lang w:val="el-GR"/>
        </w:rPr>
        <w:t>καμιά</w:t>
      </w:r>
      <w:r w:rsidRPr="00D6410C">
        <w:rPr>
          <w:rFonts w:cstheme="minorHAnsi"/>
          <w:sz w:val="24"/>
          <w:szCs w:val="24"/>
          <w:lang w:val="el-GR"/>
        </w:rPr>
        <w:t xml:space="preserve"> </w:t>
      </w:r>
      <w:r>
        <w:rPr>
          <w:rFonts w:cstheme="minorHAnsi"/>
          <w:sz w:val="24"/>
          <w:szCs w:val="24"/>
          <w:lang w:val="el-GR"/>
        </w:rPr>
        <w:t>αξιολόγηση</w:t>
      </w:r>
      <w:r w:rsidRPr="00D6410C">
        <w:rPr>
          <w:rFonts w:cstheme="minorHAnsi"/>
          <w:sz w:val="24"/>
          <w:szCs w:val="24"/>
          <w:lang w:val="el-GR"/>
        </w:rPr>
        <w:t xml:space="preserve"> </w:t>
      </w:r>
      <w:r>
        <w:rPr>
          <w:rFonts w:cstheme="minorHAnsi"/>
          <w:sz w:val="24"/>
          <w:szCs w:val="24"/>
          <w:lang w:val="el-GR"/>
        </w:rPr>
        <w:t>κινδύνου</w:t>
      </w:r>
      <w:r w:rsidRPr="00D6410C">
        <w:rPr>
          <w:rFonts w:cstheme="minorHAnsi"/>
          <w:sz w:val="24"/>
          <w:szCs w:val="24"/>
          <w:lang w:val="el-GR"/>
        </w:rPr>
        <w:t>-</w:t>
      </w:r>
      <w:r>
        <w:rPr>
          <w:rFonts w:cstheme="minorHAnsi"/>
          <w:sz w:val="24"/>
          <w:szCs w:val="24"/>
          <w:lang w:val="el-GR"/>
        </w:rPr>
        <w:t>ακεραιότητας</w:t>
      </w:r>
      <w:r w:rsidR="00220066" w:rsidRPr="00D6410C">
        <w:rPr>
          <w:rFonts w:cstheme="minorHAnsi"/>
          <w:sz w:val="24"/>
          <w:szCs w:val="24"/>
          <w:lang w:val="el-GR"/>
        </w:rPr>
        <w:t xml:space="preserve">, </w:t>
      </w:r>
      <w:r>
        <w:rPr>
          <w:rFonts w:cstheme="minorHAnsi"/>
          <w:sz w:val="24"/>
          <w:szCs w:val="24"/>
          <w:lang w:val="el-GR"/>
        </w:rPr>
        <w:t>ούτε</w:t>
      </w:r>
      <w:r w:rsidRPr="00D6410C">
        <w:rPr>
          <w:rFonts w:cstheme="minorHAnsi"/>
          <w:sz w:val="24"/>
          <w:szCs w:val="24"/>
          <w:lang w:val="el-GR"/>
        </w:rPr>
        <w:t xml:space="preserve"> </w:t>
      </w:r>
      <w:r>
        <w:rPr>
          <w:rFonts w:cstheme="minorHAnsi"/>
          <w:sz w:val="24"/>
          <w:szCs w:val="24"/>
          <w:lang w:val="el-GR"/>
        </w:rPr>
        <w:t>μια</w:t>
      </w:r>
      <w:r w:rsidRPr="00D6410C">
        <w:rPr>
          <w:rFonts w:cstheme="minorHAnsi"/>
          <w:sz w:val="24"/>
          <w:szCs w:val="24"/>
          <w:lang w:val="el-GR"/>
        </w:rPr>
        <w:t xml:space="preserve"> </w:t>
      </w:r>
      <w:r>
        <w:rPr>
          <w:rFonts w:cstheme="minorHAnsi"/>
          <w:sz w:val="24"/>
          <w:szCs w:val="24"/>
          <w:lang w:val="el-GR"/>
        </w:rPr>
        <w:t>στρατηγική</w:t>
      </w:r>
      <w:r w:rsidRPr="00D6410C">
        <w:rPr>
          <w:rFonts w:cstheme="minorHAnsi"/>
          <w:sz w:val="24"/>
          <w:szCs w:val="24"/>
          <w:lang w:val="el-GR"/>
        </w:rPr>
        <w:t xml:space="preserve"> </w:t>
      </w:r>
      <w:r>
        <w:rPr>
          <w:rFonts w:cstheme="minorHAnsi"/>
          <w:sz w:val="24"/>
          <w:szCs w:val="24"/>
          <w:lang w:val="el-GR"/>
        </w:rPr>
        <w:t>συσσώρευση</w:t>
      </w:r>
      <w:r w:rsidR="003F3573">
        <w:rPr>
          <w:rFonts w:cstheme="minorHAnsi"/>
          <w:sz w:val="24"/>
          <w:szCs w:val="24"/>
          <w:lang w:val="el-GR"/>
        </w:rPr>
        <w:t>ς</w:t>
      </w:r>
      <w:r w:rsidRPr="00D6410C">
        <w:rPr>
          <w:rFonts w:cstheme="minorHAnsi"/>
          <w:sz w:val="24"/>
          <w:szCs w:val="24"/>
          <w:lang w:val="el-GR"/>
        </w:rPr>
        <w:t xml:space="preserve"> </w:t>
      </w:r>
      <w:r>
        <w:rPr>
          <w:rFonts w:cstheme="minorHAnsi"/>
          <w:sz w:val="24"/>
          <w:szCs w:val="24"/>
          <w:lang w:val="el-GR"/>
        </w:rPr>
        <w:t>δεδομένων</w:t>
      </w:r>
      <w:r w:rsidR="00F33510" w:rsidRPr="00D6410C">
        <w:rPr>
          <w:rFonts w:cstheme="minorHAnsi"/>
          <w:sz w:val="24"/>
          <w:szCs w:val="24"/>
          <w:lang w:val="el-GR"/>
        </w:rPr>
        <w:t>,</w:t>
      </w:r>
      <w:r w:rsidR="00220066" w:rsidRPr="00D6410C">
        <w:rPr>
          <w:rFonts w:cstheme="minorHAnsi"/>
          <w:sz w:val="24"/>
          <w:szCs w:val="24"/>
          <w:lang w:val="el-GR"/>
        </w:rPr>
        <w:t xml:space="preserve"> </w:t>
      </w:r>
      <w:r>
        <w:rPr>
          <w:rFonts w:cstheme="minorHAnsi"/>
          <w:sz w:val="24"/>
          <w:szCs w:val="24"/>
          <w:lang w:val="el-GR"/>
        </w:rPr>
        <w:t>που θα βοηθούσε στον εντοπισμό</w:t>
      </w:r>
      <w:r w:rsidR="00220066" w:rsidRPr="00D6410C">
        <w:rPr>
          <w:rFonts w:cstheme="minorHAnsi"/>
          <w:sz w:val="24"/>
          <w:szCs w:val="24"/>
          <w:lang w:val="el-GR"/>
        </w:rPr>
        <w:t xml:space="preserve"> </w:t>
      </w:r>
      <w:r>
        <w:rPr>
          <w:rFonts w:cstheme="minorHAnsi"/>
          <w:sz w:val="24"/>
          <w:szCs w:val="24"/>
          <w:lang w:val="el-GR"/>
        </w:rPr>
        <w:t>τρωτών σημείων</w:t>
      </w:r>
      <w:r w:rsidR="00220066" w:rsidRPr="00D6410C">
        <w:rPr>
          <w:rFonts w:cstheme="minorHAnsi"/>
          <w:sz w:val="24"/>
          <w:szCs w:val="24"/>
          <w:lang w:val="el-GR"/>
        </w:rPr>
        <w:t xml:space="preserve"> </w:t>
      </w:r>
      <w:r>
        <w:rPr>
          <w:rFonts w:cstheme="minorHAnsi"/>
          <w:sz w:val="24"/>
          <w:szCs w:val="24"/>
          <w:lang w:val="el-GR"/>
        </w:rPr>
        <w:t>εντός της δύναμης</w:t>
      </w:r>
      <w:r w:rsidR="00220066" w:rsidRPr="00D6410C">
        <w:rPr>
          <w:rFonts w:cstheme="minorHAnsi"/>
          <w:sz w:val="24"/>
          <w:szCs w:val="24"/>
          <w:lang w:val="el-GR"/>
        </w:rPr>
        <w:t xml:space="preserve"> </w:t>
      </w:r>
      <w:r>
        <w:rPr>
          <w:rFonts w:cstheme="minorHAnsi"/>
          <w:sz w:val="24"/>
          <w:szCs w:val="24"/>
          <w:lang w:val="el-GR"/>
        </w:rPr>
        <w:t xml:space="preserve">ούτως ώστε αυτά να μπορούν να </w:t>
      </w:r>
      <w:r w:rsidR="003F3573">
        <w:rPr>
          <w:rFonts w:cstheme="minorHAnsi"/>
          <w:sz w:val="24"/>
          <w:szCs w:val="24"/>
          <w:lang w:val="el-GR"/>
        </w:rPr>
        <w:t xml:space="preserve">τύχουν </w:t>
      </w:r>
      <w:r>
        <w:rPr>
          <w:rFonts w:cstheme="minorHAnsi"/>
          <w:sz w:val="24"/>
          <w:szCs w:val="24"/>
          <w:lang w:val="el-GR"/>
        </w:rPr>
        <w:t>διαχε</w:t>
      </w:r>
      <w:r w:rsidR="003F3573">
        <w:rPr>
          <w:rFonts w:cstheme="minorHAnsi"/>
          <w:sz w:val="24"/>
          <w:szCs w:val="24"/>
          <w:lang w:val="el-GR"/>
        </w:rPr>
        <w:t>ίρισης</w:t>
      </w:r>
      <w:r>
        <w:rPr>
          <w:rFonts w:cstheme="minorHAnsi"/>
          <w:sz w:val="24"/>
          <w:szCs w:val="24"/>
          <w:lang w:val="el-GR"/>
        </w:rPr>
        <w:t xml:space="preserve"> και να μετριασθούν</w:t>
      </w:r>
      <w:r w:rsidR="00220066" w:rsidRPr="00D6410C">
        <w:rPr>
          <w:rFonts w:cstheme="minorHAnsi"/>
          <w:sz w:val="24"/>
          <w:szCs w:val="24"/>
          <w:lang w:val="el-GR"/>
        </w:rPr>
        <w:t xml:space="preserve">. </w:t>
      </w:r>
      <w:r>
        <w:rPr>
          <w:rFonts w:cstheme="minorHAnsi"/>
          <w:sz w:val="24"/>
          <w:szCs w:val="24"/>
          <w:lang w:val="el-GR"/>
        </w:rPr>
        <w:t>Σε</w:t>
      </w:r>
      <w:r w:rsidRPr="00D30BBD">
        <w:rPr>
          <w:rFonts w:cstheme="minorHAnsi"/>
          <w:sz w:val="24"/>
          <w:szCs w:val="24"/>
          <w:lang w:val="el-GR"/>
        </w:rPr>
        <w:t xml:space="preserve"> </w:t>
      </w:r>
      <w:r>
        <w:rPr>
          <w:rFonts w:cstheme="minorHAnsi"/>
          <w:sz w:val="24"/>
          <w:szCs w:val="24"/>
          <w:lang w:val="el-GR"/>
        </w:rPr>
        <w:t>σχέση</w:t>
      </w:r>
      <w:r w:rsidRPr="00D30BBD">
        <w:rPr>
          <w:rFonts w:cstheme="minorHAnsi"/>
          <w:sz w:val="24"/>
          <w:szCs w:val="24"/>
          <w:lang w:val="el-GR"/>
        </w:rPr>
        <w:t xml:space="preserve"> </w:t>
      </w:r>
      <w:proofErr w:type="spellStart"/>
      <w:r>
        <w:rPr>
          <w:rFonts w:cstheme="minorHAnsi"/>
          <w:sz w:val="24"/>
          <w:szCs w:val="24"/>
          <w:lang w:val="el-GR"/>
        </w:rPr>
        <w:t>μ</w:t>
      </w:r>
      <w:r w:rsidRPr="00D30BBD">
        <w:rPr>
          <w:rFonts w:cstheme="minorHAnsi"/>
          <w:sz w:val="24"/>
          <w:szCs w:val="24"/>
          <w:lang w:val="el-GR"/>
        </w:rPr>
        <w:t>’</w:t>
      </w:r>
      <w:r>
        <w:rPr>
          <w:rFonts w:cstheme="minorHAnsi"/>
          <w:sz w:val="24"/>
          <w:szCs w:val="24"/>
          <w:lang w:val="el-GR"/>
        </w:rPr>
        <w:t>αυτό</w:t>
      </w:r>
      <w:proofErr w:type="spellEnd"/>
      <w:r w:rsidR="00220066" w:rsidRPr="00D30BBD">
        <w:rPr>
          <w:rFonts w:cstheme="minorHAnsi"/>
          <w:sz w:val="24"/>
          <w:szCs w:val="24"/>
          <w:lang w:val="el-GR"/>
        </w:rPr>
        <w:t xml:space="preserve">, </w:t>
      </w:r>
      <w:r>
        <w:rPr>
          <w:rFonts w:cstheme="minorHAnsi"/>
          <w:sz w:val="24"/>
          <w:szCs w:val="24"/>
          <w:lang w:val="el-GR"/>
        </w:rPr>
        <w:t>η</w:t>
      </w:r>
      <w:r w:rsidR="00220066" w:rsidRPr="00D30BBD">
        <w:rPr>
          <w:rFonts w:cstheme="minorHAnsi"/>
          <w:sz w:val="24"/>
          <w:szCs w:val="24"/>
          <w:lang w:val="el-GR"/>
        </w:rPr>
        <w:t xml:space="preserve"> </w:t>
      </w:r>
      <w:r w:rsidR="00220066" w:rsidRPr="004E251E">
        <w:rPr>
          <w:rFonts w:cstheme="minorHAnsi"/>
          <w:sz w:val="24"/>
          <w:szCs w:val="24"/>
        </w:rPr>
        <w:t>GET</w:t>
      </w:r>
      <w:r w:rsidR="00220066" w:rsidRPr="00D30BBD">
        <w:rPr>
          <w:rFonts w:cstheme="minorHAnsi"/>
          <w:sz w:val="24"/>
          <w:szCs w:val="24"/>
          <w:lang w:val="el-GR"/>
        </w:rPr>
        <w:t xml:space="preserve"> </w:t>
      </w:r>
      <w:r>
        <w:rPr>
          <w:rFonts w:cstheme="minorHAnsi"/>
          <w:sz w:val="24"/>
          <w:szCs w:val="24"/>
          <w:lang w:val="el-GR"/>
        </w:rPr>
        <w:t>ανησυχεί</w:t>
      </w:r>
      <w:r w:rsidR="00220066" w:rsidRPr="00D30BBD">
        <w:rPr>
          <w:rFonts w:cstheme="minorHAnsi"/>
          <w:sz w:val="24"/>
          <w:szCs w:val="24"/>
          <w:lang w:val="el-GR"/>
        </w:rPr>
        <w:t xml:space="preserve"> </w:t>
      </w:r>
      <w:r>
        <w:rPr>
          <w:rFonts w:cstheme="minorHAnsi"/>
          <w:sz w:val="24"/>
          <w:szCs w:val="24"/>
          <w:lang w:val="el-GR"/>
        </w:rPr>
        <w:t>ότι</w:t>
      </w:r>
      <w:r w:rsidRPr="00D30BBD">
        <w:rPr>
          <w:rFonts w:cstheme="minorHAnsi"/>
          <w:sz w:val="24"/>
          <w:szCs w:val="24"/>
          <w:lang w:val="el-GR"/>
        </w:rPr>
        <w:t xml:space="preserve"> </w:t>
      </w:r>
      <w:r>
        <w:rPr>
          <w:rFonts w:cstheme="minorHAnsi"/>
          <w:sz w:val="24"/>
          <w:szCs w:val="24"/>
          <w:lang w:val="el-GR"/>
        </w:rPr>
        <w:t>δεν</w:t>
      </w:r>
      <w:r w:rsidRPr="00D30BBD">
        <w:rPr>
          <w:rFonts w:cstheme="minorHAnsi"/>
          <w:sz w:val="24"/>
          <w:szCs w:val="24"/>
          <w:lang w:val="el-GR"/>
        </w:rPr>
        <w:t xml:space="preserve"> </w:t>
      </w:r>
      <w:r>
        <w:rPr>
          <w:rFonts w:cstheme="minorHAnsi"/>
          <w:sz w:val="24"/>
          <w:szCs w:val="24"/>
          <w:lang w:val="el-GR"/>
        </w:rPr>
        <w:t>δίδεται</w:t>
      </w:r>
      <w:r w:rsidRPr="00D30BBD">
        <w:rPr>
          <w:rFonts w:cstheme="minorHAnsi"/>
          <w:sz w:val="24"/>
          <w:szCs w:val="24"/>
          <w:lang w:val="el-GR"/>
        </w:rPr>
        <w:t xml:space="preserve"> </w:t>
      </w:r>
      <w:r>
        <w:rPr>
          <w:rFonts w:cstheme="minorHAnsi"/>
          <w:sz w:val="24"/>
          <w:szCs w:val="24"/>
          <w:lang w:val="el-GR"/>
        </w:rPr>
        <w:t>αρκετή</w:t>
      </w:r>
      <w:r w:rsidRPr="00D30BBD">
        <w:rPr>
          <w:rFonts w:cstheme="minorHAnsi"/>
          <w:sz w:val="24"/>
          <w:szCs w:val="24"/>
          <w:lang w:val="el-GR"/>
        </w:rPr>
        <w:t xml:space="preserve"> </w:t>
      </w:r>
      <w:r>
        <w:rPr>
          <w:rFonts w:cstheme="minorHAnsi"/>
          <w:sz w:val="24"/>
          <w:szCs w:val="24"/>
          <w:lang w:val="el-GR"/>
        </w:rPr>
        <w:t>προσοχή</w:t>
      </w:r>
      <w:r w:rsidR="00220066" w:rsidRPr="00D30BBD">
        <w:rPr>
          <w:rFonts w:cstheme="minorHAnsi"/>
          <w:sz w:val="24"/>
          <w:szCs w:val="24"/>
          <w:lang w:val="el-GR"/>
        </w:rPr>
        <w:t xml:space="preserve"> </w:t>
      </w:r>
      <w:r w:rsidR="00D30BBD">
        <w:rPr>
          <w:rFonts w:cstheme="minorHAnsi"/>
          <w:sz w:val="24"/>
          <w:szCs w:val="24"/>
          <w:lang w:val="el-GR"/>
        </w:rPr>
        <w:t>σε</w:t>
      </w:r>
      <w:r w:rsidR="00D30BBD" w:rsidRPr="00D30BBD">
        <w:rPr>
          <w:rFonts w:cstheme="minorHAnsi"/>
          <w:sz w:val="24"/>
          <w:szCs w:val="24"/>
          <w:lang w:val="el-GR"/>
        </w:rPr>
        <w:t xml:space="preserve"> </w:t>
      </w:r>
      <w:r w:rsidR="00D30BBD">
        <w:rPr>
          <w:rFonts w:cstheme="minorHAnsi"/>
          <w:sz w:val="24"/>
          <w:szCs w:val="24"/>
          <w:lang w:val="el-GR"/>
        </w:rPr>
        <w:t>τομείς</w:t>
      </w:r>
      <w:r w:rsidR="00D30BBD" w:rsidRPr="00D30BBD">
        <w:rPr>
          <w:rFonts w:cstheme="minorHAnsi"/>
          <w:sz w:val="24"/>
          <w:szCs w:val="24"/>
          <w:lang w:val="el-GR"/>
        </w:rPr>
        <w:t xml:space="preserve"> </w:t>
      </w:r>
      <w:r w:rsidR="00D30BBD">
        <w:rPr>
          <w:rFonts w:cstheme="minorHAnsi"/>
          <w:sz w:val="24"/>
          <w:szCs w:val="24"/>
          <w:lang w:val="el-GR"/>
        </w:rPr>
        <w:t>που</w:t>
      </w:r>
      <w:r w:rsidR="00D30BBD" w:rsidRPr="00D30BBD">
        <w:rPr>
          <w:rFonts w:cstheme="minorHAnsi"/>
          <w:sz w:val="24"/>
          <w:szCs w:val="24"/>
          <w:lang w:val="el-GR"/>
        </w:rPr>
        <w:t xml:space="preserve"> </w:t>
      </w:r>
      <w:r w:rsidR="00D30BBD">
        <w:rPr>
          <w:rFonts w:cstheme="minorHAnsi"/>
          <w:sz w:val="24"/>
          <w:szCs w:val="24"/>
          <w:lang w:val="el-GR"/>
        </w:rPr>
        <w:t>είναι</w:t>
      </w:r>
      <w:r w:rsidR="00D30BBD" w:rsidRPr="00D30BBD">
        <w:rPr>
          <w:rFonts w:cstheme="minorHAnsi"/>
          <w:sz w:val="24"/>
          <w:szCs w:val="24"/>
          <w:lang w:val="el-GR"/>
        </w:rPr>
        <w:t xml:space="preserve"> </w:t>
      </w:r>
      <w:r w:rsidR="00D30BBD">
        <w:rPr>
          <w:rFonts w:cstheme="minorHAnsi"/>
          <w:sz w:val="24"/>
          <w:szCs w:val="24"/>
          <w:lang w:val="el-GR"/>
        </w:rPr>
        <w:t>ιδιαίτερα</w:t>
      </w:r>
      <w:r w:rsidR="00D30BBD" w:rsidRPr="00D30BBD">
        <w:rPr>
          <w:rFonts w:cstheme="minorHAnsi"/>
          <w:sz w:val="24"/>
          <w:szCs w:val="24"/>
          <w:lang w:val="el-GR"/>
        </w:rPr>
        <w:t xml:space="preserve"> </w:t>
      </w:r>
      <w:r w:rsidR="00D30BBD">
        <w:rPr>
          <w:rFonts w:cstheme="minorHAnsi"/>
          <w:sz w:val="24"/>
          <w:szCs w:val="24"/>
          <w:lang w:val="el-GR"/>
        </w:rPr>
        <w:t>ευάλωτ</w:t>
      </w:r>
      <w:r w:rsidR="00DE4D61">
        <w:rPr>
          <w:rFonts w:cstheme="minorHAnsi"/>
          <w:sz w:val="24"/>
          <w:szCs w:val="24"/>
          <w:lang w:val="el-GR"/>
        </w:rPr>
        <w:t>οι</w:t>
      </w:r>
      <w:r w:rsidR="00220066" w:rsidRPr="00D30BBD">
        <w:rPr>
          <w:rFonts w:cstheme="minorHAnsi"/>
          <w:sz w:val="24"/>
          <w:szCs w:val="24"/>
          <w:lang w:val="el-GR"/>
        </w:rPr>
        <w:t xml:space="preserve">, </w:t>
      </w:r>
      <w:r w:rsidR="00D30BBD">
        <w:rPr>
          <w:rFonts w:cstheme="minorHAnsi"/>
          <w:sz w:val="24"/>
          <w:szCs w:val="24"/>
          <w:lang w:val="el-GR"/>
        </w:rPr>
        <w:t>και ότι οι αξιολογήσεις που διεξάγονται μπορεί να είναι πολύ</w:t>
      </w:r>
      <w:r w:rsidR="002643CE">
        <w:rPr>
          <w:rFonts w:cstheme="minorHAnsi"/>
          <w:sz w:val="24"/>
          <w:szCs w:val="24"/>
          <w:lang w:val="el-GR"/>
        </w:rPr>
        <w:t xml:space="preserve"> </w:t>
      </w:r>
      <w:r w:rsidR="00D30BBD">
        <w:rPr>
          <w:rFonts w:cstheme="minorHAnsi"/>
          <w:sz w:val="24"/>
          <w:szCs w:val="24"/>
          <w:lang w:val="el-GR"/>
        </w:rPr>
        <w:t>σποραδικές</w:t>
      </w:r>
      <w:r w:rsidR="00220066" w:rsidRPr="00D30BBD">
        <w:rPr>
          <w:rFonts w:cstheme="minorHAnsi"/>
          <w:sz w:val="24"/>
          <w:szCs w:val="24"/>
          <w:lang w:val="el-GR"/>
        </w:rPr>
        <w:t xml:space="preserve"> </w:t>
      </w:r>
      <w:r w:rsidR="00D30BBD">
        <w:rPr>
          <w:rFonts w:cstheme="minorHAnsi"/>
          <w:sz w:val="24"/>
          <w:szCs w:val="24"/>
          <w:lang w:val="el-GR"/>
        </w:rPr>
        <w:t>για την αποτελεσματική αναχαίτηση και ανίχνευση</w:t>
      </w:r>
      <w:r w:rsidR="00220066" w:rsidRPr="00D30BBD">
        <w:rPr>
          <w:rFonts w:cstheme="minorHAnsi"/>
          <w:sz w:val="24"/>
          <w:szCs w:val="24"/>
          <w:lang w:val="el-GR"/>
        </w:rPr>
        <w:t xml:space="preserve">. </w:t>
      </w:r>
    </w:p>
    <w:p w14:paraId="4AEECBDB" w14:textId="77777777" w:rsidR="00DC3FEB" w:rsidRPr="00D30BBD" w:rsidRDefault="00DC3FEB" w:rsidP="00DC3FEB">
      <w:pPr>
        <w:pStyle w:val="ListParagraph"/>
        <w:rPr>
          <w:rFonts w:cstheme="minorHAnsi"/>
          <w:sz w:val="24"/>
          <w:szCs w:val="24"/>
          <w:lang w:val="el-GR"/>
        </w:rPr>
      </w:pPr>
    </w:p>
    <w:p w14:paraId="579FC62B" w14:textId="7532FDDB" w:rsidR="00DC3FEB" w:rsidRPr="00DF1959" w:rsidRDefault="00D30BBD" w:rsidP="00DC3FEB">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Ενώ</w:t>
      </w:r>
      <w:r w:rsidRPr="00D30BBD">
        <w:rPr>
          <w:rFonts w:cstheme="minorHAnsi"/>
          <w:sz w:val="24"/>
          <w:szCs w:val="24"/>
          <w:lang w:val="el-GR"/>
        </w:rPr>
        <w:t xml:space="preserve"> </w:t>
      </w:r>
      <w:r>
        <w:rPr>
          <w:rFonts w:cstheme="minorHAnsi"/>
          <w:sz w:val="24"/>
          <w:szCs w:val="24"/>
          <w:lang w:val="el-GR"/>
        </w:rPr>
        <w:t>η</w:t>
      </w:r>
      <w:r w:rsidR="00B70C21" w:rsidRPr="00D30BBD">
        <w:rPr>
          <w:rFonts w:cstheme="minorHAnsi"/>
          <w:sz w:val="24"/>
          <w:szCs w:val="24"/>
          <w:lang w:val="el-GR"/>
        </w:rPr>
        <w:t xml:space="preserve"> </w:t>
      </w:r>
      <w:r w:rsidR="00B70C21" w:rsidRPr="004E251E">
        <w:rPr>
          <w:rFonts w:cstheme="minorHAnsi"/>
          <w:sz w:val="24"/>
          <w:szCs w:val="24"/>
        </w:rPr>
        <w:t>P</w:t>
      </w:r>
      <w:r w:rsidR="00B70C21" w:rsidRPr="00D30BBD">
        <w:rPr>
          <w:rFonts w:cstheme="minorHAnsi"/>
          <w:sz w:val="24"/>
          <w:szCs w:val="24"/>
          <w:lang w:val="el-GR"/>
        </w:rPr>
        <w:t>.</w:t>
      </w:r>
      <w:r w:rsidR="00B70C21" w:rsidRPr="004E251E">
        <w:rPr>
          <w:rFonts w:cstheme="minorHAnsi"/>
          <w:sz w:val="24"/>
          <w:szCs w:val="24"/>
        </w:rPr>
        <w:t>I</w:t>
      </w:r>
      <w:r w:rsidR="00B70C21" w:rsidRPr="00D30BBD">
        <w:rPr>
          <w:rFonts w:cstheme="minorHAnsi"/>
          <w:sz w:val="24"/>
          <w:szCs w:val="24"/>
          <w:lang w:val="el-GR"/>
        </w:rPr>
        <w:t>.</w:t>
      </w:r>
      <w:r w:rsidR="00B70C21" w:rsidRPr="004E251E">
        <w:rPr>
          <w:rFonts w:cstheme="minorHAnsi"/>
          <w:sz w:val="24"/>
          <w:szCs w:val="24"/>
        </w:rPr>
        <w:t>A</w:t>
      </w:r>
      <w:r w:rsidR="00B70C21" w:rsidRPr="00D30BBD">
        <w:rPr>
          <w:rFonts w:cstheme="minorHAnsi"/>
          <w:sz w:val="24"/>
          <w:szCs w:val="24"/>
          <w:lang w:val="el-GR"/>
        </w:rPr>
        <w:t>.</w:t>
      </w:r>
      <w:r w:rsidR="00B70C21" w:rsidRPr="004E251E">
        <w:rPr>
          <w:rFonts w:cstheme="minorHAnsi"/>
          <w:sz w:val="24"/>
          <w:szCs w:val="24"/>
        </w:rPr>
        <w:t>S</w:t>
      </w:r>
      <w:r w:rsidR="00B70C21" w:rsidRPr="00D30BBD">
        <w:rPr>
          <w:rFonts w:cstheme="minorHAnsi"/>
          <w:sz w:val="24"/>
          <w:szCs w:val="24"/>
          <w:lang w:val="el-GR"/>
        </w:rPr>
        <w:t xml:space="preserve">. </w:t>
      </w:r>
      <w:r>
        <w:rPr>
          <w:rFonts w:cstheme="minorHAnsi"/>
          <w:sz w:val="24"/>
          <w:szCs w:val="24"/>
          <w:lang w:val="el-GR"/>
        </w:rPr>
        <w:t>εκδίδει</w:t>
      </w:r>
      <w:r w:rsidRPr="00D30BBD">
        <w:rPr>
          <w:rFonts w:cstheme="minorHAnsi"/>
          <w:sz w:val="24"/>
          <w:szCs w:val="24"/>
          <w:lang w:val="el-GR"/>
        </w:rPr>
        <w:t xml:space="preserve"> </w:t>
      </w:r>
      <w:r>
        <w:rPr>
          <w:rFonts w:cstheme="minorHAnsi"/>
          <w:sz w:val="24"/>
          <w:szCs w:val="24"/>
          <w:lang w:val="el-GR"/>
        </w:rPr>
        <w:t>μια</w:t>
      </w:r>
      <w:r w:rsidRPr="00D30BBD">
        <w:rPr>
          <w:rFonts w:cstheme="minorHAnsi"/>
          <w:sz w:val="24"/>
          <w:szCs w:val="24"/>
          <w:lang w:val="el-GR"/>
        </w:rPr>
        <w:t xml:space="preserve"> </w:t>
      </w:r>
      <w:r>
        <w:rPr>
          <w:rFonts w:cstheme="minorHAnsi"/>
          <w:sz w:val="24"/>
          <w:szCs w:val="24"/>
          <w:lang w:val="el-GR"/>
        </w:rPr>
        <w:t>ετήσια</w:t>
      </w:r>
      <w:r w:rsidRPr="00D30BBD">
        <w:rPr>
          <w:rFonts w:cstheme="minorHAnsi"/>
          <w:sz w:val="24"/>
          <w:szCs w:val="24"/>
          <w:lang w:val="el-GR"/>
        </w:rPr>
        <w:t xml:space="preserve"> </w:t>
      </w:r>
      <w:r>
        <w:rPr>
          <w:rFonts w:cstheme="minorHAnsi"/>
          <w:sz w:val="24"/>
          <w:szCs w:val="24"/>
          <w:lang w:val="el-GR"/>
        </w:rPr>
        <w:t>διαβαθμισμένη</w:t>
      </w:r>
      <w:r w:rsidRPr="00D30BBD">
        <w:rPr>
          <w:rFonts w:cstheme="minorHAnsi"/>
          <w:sz w:val="24"/>
          <w:szCs w:val="24"/>
          <w:lang w:val="el-GR"/>
        </w:rPr>
        <w:t xml:space="preserve"> </w:t>
      </w:r>
      <w:r>
        <w:rPr>
          <w:rFonts w:cstheme="minorHAnsi"/>
          <w:sz w:val="24"/>
          <w:szCs w:val="24"/>
          <w:lang w:val="el-GR"/>
        </w:rPr>
        <w:t>έκθεση</w:t>
      </w:r>
      <w:r w:rsidR="00B70C21" w:rsidRPr="00D30BBD">
        <w:rPr>
          <w:rFonts w:cstheme="minorHAnsi"/>
          <w:sz w:val="24"/>
          <w:szCs w:val="24"/>
          <w:lang w:val="el-GR"/>
        </w:rPr>
        <w:t xml:space="preserve">, </w:t>
      </w:r>
      <w:r>
        <w:rPr>
          <w:rFonts w:cstheme="minorHAnsi"/>
          <w:sz w:val="24"/>
          <w:szCs w:val="24"/>
          <w:lang w:val="el-GR"/>
        </w:rPr>
        <w:t>η</w:t>
      </w:r>
      <w:r w:rsidRPr="00D30BBD">
        <w:rPr>
          <w:rFonts w:cstheme="minorHAnsi"/>
          <w:sz w:val="24"/>
          <w:szCs w:val="24"/>
          <w:lang w:val="el-GR"/>
        </w:rPr>
        <w:t xml:space="preserve"> </w:t>
      </w:r>
      <w:r>
        <w:rPr>
          <w:rFonts w:cstheme="minorHAnsi"/>
          <w:sz w:val="24"/>
          <w:szCs w:val="24"/>
          <w:lang w:val="el-GR"/>
        </w:rPr>
        <w:t>έκθεση</w:t>
      </w:r>
      <w:r w:rsidRPr="00D30BBD">
        <w:rPr>
          <w:rFonts w:cstheme="minorHAnsi"/>
          <w:sz w:val="24"/>
          <w:szCs w:val="24"/>
          <w:lang w:val="el-GR"/>
        </w:rPr>
        <w:t xml:space="preserve"> </w:t>
      </w:r>
      <w:r>
        <w:rPr>
          <w:rFonts w:cstheme="minorHAnsi"/>
          <w:sz w:val="24"/>
          <w:szCs w:val="24"/>
          <w:lang w:val="el-GR"/>
        </w:rPr>
        <w:t>δεν</w:t>
      </w:r>
      <w:r w:rsidRPr="00D30BBD">
        <w:rPr>
          <w:rFonts w:cstheme="minorHAnsi"/>
          <w:sz w:val="24"/>
          <w:szCs w:val="24"/>
          <w:lang w:val="el-GR"/>
        </w:rPr>
        <w:t xml:space="preserve"> </w:t>
      </w:r>
      <w:r>
        <w:rPr>
          <w:rFonts w:cstheme="minorHAnsi"/>
          <w:sz w:val="24"/>
          <w:szCs w:val="24"/>
          <w:lang w:val="el-GR"/>
        </w:rPr>
        <w:t>φαίνεται</w:t>
      </w:r>
      <w:r w:rsidRPr="00D30BBD">
        <w:rPr>
          <w:rFonts w:cstheme="minorHAnsi"/>
          <w:sz w:val="24"/>
          <w:szCs w:val="24"/>
          <w:lang w:val="el-GR"/>
        </w:rPr>
        <w:t xml:space="preserve"> </w:t>
      </w:r>
      <w:r>
        <w:rPr>
          <w:rFonts w:cstheme="minorHAnsi"/>
          <w:sz w:val="24"/>
          <w:szCs w:val="24"/>
          <w:lang w:val="el-GR"/>
        </w:rPr>
        <w:t>να</w:t>
      </w:r>
      <w:r w:rsidRPr="00D30BBD">
        <w:rPr>
          <w:rFonts w:cstheme="minorHAnsi"/>
          <w:sz w:val="24"/>
          <w:szCs w:val="24"/>
          <w:lang w:val="el-GR"/>
        </w:rPr>
        <w:t xml:space="preserve"> </w:t>
      </w:r>
      <w:r>
        <w:rPr>
          <w:rFonts w:cstheme="minorHAnsi"/>
          <w:sz w:val="24"/>
          <w:szCs w:val="24"/>
          <w:lang w:val="el-GR"/>
        </w:rPr>
        <w:t>έχει</w:t>
      </w:r>
      <w:r w:rsidRPr="00D30BBD">
        <w:rPr>
          <w:rFonts w:cstheme="minorHAnsi"/>
          <w:sz w:val="24"/>
          <w:szCs w:val="24"/>
          <w:lang w:val="el-GR"/>
        </w:rPr>
        <w:t xml:space="preserve"> </w:t>
      </w:r>
      <w:r>
        <w:rPr>
          <w:rFonts w:cstheme="minorHAnsi"/>
          <w:sz w:val="24"/>
          <w:szCs w:val="24"/>
          <w:lang w:val="el-GR"/>
        </w:rPr>
        <w:t>οποιαδήποτε</w:t>
      </w:r>
      <w:r w:rsidRPr="00D30BBD">
        <w:rPr>
          <w:rFonts w:cstheme="minorHAnsi"/>
          <w:sz w:val="24"/>
          <w:szCs w:val="24"/>
          <w:lang w:val="el-GR"/>
        </w:rPr>
        <w:t xml:space="preserve"> </w:t>
      </w:r>
      <w:r>
        <w:rPr>
          <w:rFonts w:cstheme="minorHAnsi"/>
          <w:sz w:val="24"/>
          <w:szCs w:val="24"/>
          <w:lang w:val="el-GR"/>
        </w:rPr>
        <w:t>ε</w:t>
      </w:r>
      <w:r w:rsidR="002643CE">
        <w:rPr>
          <w:rFonts w:cstheme="minorHAnsi"/>
          <w:sz w:val="24"/>
          <w:szCs w:val="24"/>
          <w:lang w:val="el-GR"/>
        </w:rPr>
        <w:t>π</w:t>
      </w:r>
      <w:r>
        <w:rPr>
          <w:rFonts w:cstheme="minorHAnsi"/>
          <w:sz w:val="24"/>
          <w:szCs w:val="24"/>
          <w:lang w:val="el-GR"/>
        </w:rPr>
        <w:t>ίδραση</w:t>
      </w:r>
      <w:r w:rsidRPr="00D30BBD">
        <w:rPr>
          <w:rFonts w:cstheme="minorHAnsi"/>
          <w:sz w:val="24"/>
          <w:szCs w:val="24"/>
          <w:lang w:val="el-GR"/>
        </w:rPr>
        <w:t xml:space="preserve"> </w:t>
      </w:r>
      <w:r>
        <w:rPr>
          <w:rFonts w:cstheme="minorHAnsi"/>
          <w:sz w:val="24"/>
          <w:szCs w:val="24"/>
          <w:lang w:val="el-GR"/>
        </w:rPr>
        <w:t>σε</w:t>
      </w:r>
      <w:r w:rsidRPr="00D30BBD">
        <w:rPr>
          <w:rFonts w:cstheme="minorHAnsi"/>
          <w:sz w:val="24"/>
          <w:szCs w:val="24"/>
          <w:lang w:val="el-GR"/>
        </w:rPr>
        <w:t xml:space="preserve"> </w:t>
      </w:r>
      <w:r>
        <w:rPr>
          <w:rFonts w:cstheme="minorHAnsi"/>
          <w:sz w:val="24"/>
          <w:szCs w:val="24"/>
          <w:lang w:val="el-GR"/>
        </w:rPr>
        <w:t>στρατηγικό</w:t>
      </w:r>
      <w:r w:rsidRPr="00D30BBD">
        <w:rPr>
          <w:rFonts w:cstheme="minorHAnsi"/>
          <w:sz w:val="24"/>
          <w:szCs w:val="24"/>
          <w:lang w:val="el-GR"/>
        </w:rPr>
        <w:t xml:space="preserve"> </w:t>
      </w:r>
      <w:r>
        <w:rPr>
          <w:rFonts w:cstheme="minorHAnsi"/>
          <w:sz w:val="24"/>
          <w:szCs w:val="24"/>
          <w:lang w:val="el-GR"/>
        </w:rPr>
        <w:t>επίπεδο</w:t>
      </w:r>
      <w:r w:rsidRPr="00D30BBD">
        <w:rPr>
          <w:rFonts w:cstheme="minorHAnsi"/>
          <w:sz w:val="24"/>
          <w:szCs w:val="24"/>
          <w:lang w:val="el-GR"/>
        </w:rPr>
        <w:t xml:space="preserve"> </w:t>
      </w:r>
      <w:r>
        <w:rPr>
          <w:rFonts w:cstheme="minorHAnsi"/>
          <w:sz w:val="24"/>
          <w:szCs w:val="24"/>
          <w:lang w:val="el-GR"/>
        </w:rPr>
        <w:t>στη</w:t>
      </w:r>
      <w:r w:rsidRPr="00D30BBD">
        <w:rPr>
          <w:rFonts w:cstheme="minorHAnsi"/>
          <w:sz w:val="24"/>
          <w:szCs w:val="24"/>
          <w:lang w:val="el-GR"/>
        </w:rPr>
        <w:t xml:space="preserve"> </w:t>
      </w:r>
      <w:r w:rsidR="009C4E34">
        <w:rPr>
          <w:rFonts w:cstheme="minorHAnsi"/>
          <w:sz w:val="24"/>
          <w:szCs w:val="24"/>
          <w:lang w:val="el-GR"/>
        </w:rPr>
        <w:t>Αστυνομία</w:t>
      </w:r>
      <w:r w:rsidR="00B70C21" w:rsidRPr="00D30BBD">
        <w:rPr>
          <w:rFonts w:cstheme="minorHAnsi"/>
          <w:sz w:val="24"/>
          <w:szCs w:val="24"/>
          <w:lang w:val="el-GR"/>
        </w:rPr>
        <w:t xml:space="preserve">, </w:t>
      </w:r>
      <w:r>
        <w:rPr>
          <w:rFonts w:cstheme="minorHAnsi"/>
          <w:sz w:val="24"/>
          <w:szCs w:val="24"/>
          <w:lang w:val="el-GR"/>
        </w:rPr>
        <w:t>ή</w:t>
      </w:r>
      <w:r w:rsidRPr="00D30BBD">
        <w:rPr>
          <w:rFonts w:cstheme="minorHAnsi"/>
          <w:sz w:val="24"/>
          <w:szCs w:val="24"/>
          <w:lang w:val="el-GR"/>
        </w:rPr>
        <w:t xml:space="preserve"> </w:t>
      </w:r>
      <w:r>
        <w:rPr>
          <w:rFonts w:cstheme="minorHAnsi"/>
          <w:sz w:val="24"/>
          <w:szCs w:val="24"/>
          <w:lang w:val="el-GR"/>
        </w:rPr>
        <w:t>στην</w:t>
      </w:r>
      <w:r w:rsidRPr="00D30BBD">
        <w:rPr>
          <w:rFonts w:cstheme="minorHAnsi"/>
          <w:sz w:val="24"/>
          <w:szCs w:val="24"/>
          <w:lang w:val="el-GR"/>
        </w:rPr>
        <w:t xml:space="preserve"> </w:t>
      </w:r>
      <w:r>
        <w:rPr>
          <w:rFonts w:cstheme="minorHAnsi"/>
          <w:sz w:val="24"/>
          <w:szCs w:val="24"/>
          <w:lang w:val="el-GR"/>
        </w:rPr>
        <w:t>διαδικασία</w:t>
      </w:r>
      <w:r w:rsidRPr="00D30BBD">
        <w:rPr>
          <w:rFonts w:cstheme="minorHAnsi"/>
          <w:sz w:val="24"/>
          <w:szCs w:val="24"/>
          <w:lang w:val="el-GR"/>
        </w:rPr>
        <w:t xml:space="preserve"> </w:t>
      </w:r>
      <w:r>
        <w:rPr>
          <w:rFonts w:cstheme="minorHAnsi"/>
          <w:sz w:val="24"/>
          <w:szCs w:val="24"/>
          <w:lang w:val="el-GR"/>
        </w:rPr>
        <w:t>ορισμού προτεραιοτήτων και λήψης αποφάσεων</w:t>
      </w:r>
      <w:r w:rsidR="00B70C21" w:rsidRPr="00D30BBD">
        <w:rPr>
          <w:rFonts w:cstheme="minorHAnsi"/>
          <w:sz w:val="24"/>
          <w:szCs w:val="24"/>
          <w:lang w:val="el-GR"/>
        </w:rPr>
        <w:t xml:space="preserve"> (</w:t>
      </w:r>
      <w:r>
        <w:rPr>
          <w:rFonts w:cstheme="minorHAnsi"/>
          <w:sz w:val="24"/>
          <w:szCs w:val="24"/>
          <w:lang w:val="el-GR"/>
        </w:rPr>
        <w:t>π</w:t>
      </w:r>
      <w:r w:rsidR="00B70C21" w:rsidRPr="00D30BBD">
        <w:rPr>
          <w:rFonts w:cstheme="minorHAnsi"/>
          <w:sz w:val="24"/>
          <w:szCs w:val="24"/>
          <w:lang w:val="el-GR"/>
        </w:rPr>
        <w:t>.</w:t>
      </w:r>
      <w:r>
        <w:rPr>
          <w:rFonts w:cstheme="minorHAnsi"/>
          <w:sz w:val="24"/>
          <w:szCs w:val="24"/>
          <w:lang w:val="el-GR"/>
        </w:rPr>
        <w:t>χ</w:t>
      </w:r>
      <w:r w:rsidR="00B70C21" w:rsidRPr="00D30BBD">
        <w:rPr>
          <w:rFonts w:cstheme="minorHAnsi"/>
          <w:sz w:val="24"/>
          <w:szCs w:val="24"/>
          <w:lang w:val="el-GR"/>
        </w:rPr>
        <w:t xml:space="preserve">. </w:t>
      </w:r>
      <w:r>
        <w:rPr>
          <w:rFonts w:cstheme="minorHAnsi"/>
          <w:sz w:val="24"/>
          <w:szCs w:val="24"/>
          <w:lang w:val="el-GR"/>
        </w:rPr>
        <w:t>ο ορισμός προτεραιοτήτων</w:t>
      </w:r>
      <w:r w:rsidR="00B70C21" w:rsidRPr="00D30BBD">
        <w:rPr>
          <w:rFonts w:cstheme="minorHAnsi"/>
          <w:sz w:val="24"/>
          <w:szCs w:val="24"/>
          <w:lang w:val="el-GR"/>
        </w:rPr>
        <w:t xml:space="preserve"> </w:t>
      </w:r>
      <w:r>
        <w:rPr>
          <w:rFonts w:cstheme="minorHAnsi"/>
          <w:sz w:val="24"/>
          <w:szCs w:val="24"/>
          <w:lang w:val="el-GR"/>
        </w:rPr>
        <w:t>για τον έλεγχο και την διερεύνηση</w:t>
      </w:r>
      <w:r w:rsidR="00B70C21" w:rsidRPr="00D30BBD">
        <w:rPr>
          <w:rFonts w:cstheme="minorHAnsi"/>
          <w:sz w:val="24"/>
          <w:szCs w:val="24"/>
          <w:lang w:val="el-GR"/>
        </w:rPr>
        <w:t xml:space="preserve"> </w:t>
      </w:r>
      <w:r>
        <w:rPr>
          <w:rFonts w:cstheme="minorHAnsi"/>
          <w:sz w:val="24"/>
          <w:szCs w:val="24"/>
          <w:lang w:val="el-GR"/>
        </w:rPr>
        <w:t>που διεξάγουν τόσο η</w:t>
      </w:r>
      <w:r w:rsidR="00B70C21" w:rsidRPr="00D30BBD">
        <w:rPr>
          <w:rFonts w:cstheme="minorHAnsi"/>
          <w:sz w:val="24"/>
          <w:szCs w:val="24"/>
          <w:lang w:val="el-GR"/>
        </w:rPr>
        <w:t xml:space="preserve"> </w:t>
      </w:r>
      <w:r w:rsidR="00B70C21" w:rsidRPr="004E251E">
        <w:rPr>
          <w:rFonts w:cstheme="minorHAnsi"/>
          <w:sz w:val="24"/>
          <w:szCs w:val="24"/>
        </w:rPr>
        <w:t>P</w:t>
      </w:r>
      <w:r w:rsidR="00B70C21" w:rsidRPr="00D30BBD">
        <w:rPr>
          <w:rFonts w:cstheme="minorHAnsi"/>
          <w:sz w:val="24"/>
          <w:szCs w:val="24"/>
          <w:lang w:val="el-GR"/>
        </w:rPr>
        <w:t>.</w:t>
      </w:r>
      <w:r w:rsidR="00B70C21" w:rsidRPr="004E251E">
        <w:rPr>
          <w:rFonts w:cstheme="minorHAnsi"/>
          <w:sz w:val="24"/>
          <w:szCs w:val="24"/>
        </w:rPr>
        <w:t>I</w:t>
      </w:r>
      <w:r w:rsidR="00B70C21" w:rsidRPr="00D30BBD">
        <w:rPr>
          <w:rFonts w:cstheme="minorHAnsi"/>
          <w:sz w:val="24"/>
          <w:szCs w:val="24"/>
          <w:lang w:val="el-GR"/>
        </w:rPr>
        <w:t>.</w:t>
      </w:r>
      <w:r w:rsidR="00B70C21" w:rsidRPr="004E251E">
        <w:rPr>
          <w:rFonts w:cstheme="minorHAnsi"/>
          <w:sz w:val="24"/>
          <w:szCs w:val="24"/>
        </w:rPr>
        <w:t>A</w:t>
      </w:r>
      <w:r w:rsidR="00B70C21" w:rsidRPr="00D30BBD">
        <w:rPr>
          <w:rFonts w:cstheme="minorHAnsi"/>
          <w:sz w:val="24"/>
          <w:szCs w:val="24"/>
          <w:lang w:val="el-GR"/>
        </w:rPr>
        <w:t>.</w:t>
      </w:r>
      <w:r w:rsidR="00B70C21" w:rsidRPr="004E251E">
        <w:rPr>
          <w:rFonts w:cstheme="minorHAnsi"/>
          <w:sz w:val="24"/>
          <w:szCs w:val="24"/>
        </w:rPr>
        <w:t>S</w:t>
      </w:r>
      <w:r w:rsidR="00B70C21" w:rsidRPr="00D30BBD">
        <w:rPr>
          <w:rFonts w:cstheme="minorHAnsi"/>
          <w:sz w:val="24"/>
          <w:szCs w:val="24"/>
          <w:lang w:val="el-GR"/>
        </w:rPr>
        <w:t xml:space="preserve">. </w:t>
      </w:r>
      <w:r>
        <w:rPr>
          <w:rFonts w:cstheme="minorHAnsi"/>
          <w:sz w:val="24"/>
          <w:szCs w:val="24"/>
          <w:lang w:val="el-GR"/>
        </w:rPr>
        <w:t>όσο και η</w:t>
      </w:r>
      <w:r w:rsidR="00B70C21" w:rsidRPr="00D30BBD">
        <w:rPr>
          <w:rFonts w:cstheme="minorHAnsi"/>
          <w:sz w:val="24"/>
          <w:szCs w:val="24"/>
          <w:lang w:val="el-GR"/>
        </w:rPr>
        <w:t xml:space="preserve"> </w:t>
      </w:r>
      <w:r w:rsidR="00B70C21" w:rsidRPr="004E251E">
        <w:rPr>
          <w:rFonts w:cstheme="minorHAnsi"/>
          <w:sz w:val="24"/>
          <w:szCs w:val="24"/>
        </w:rPr>
        <w:t>PSID</w:t>
      </w:r>
      <w:r w:rsidR="00B70C21" w:rsidRPr="00D30BBD">
        <w:rPr>
          <w:rFonts w:cstheme="minorHAnsi"/>
          <w:sz w:val="24"/>
          <w:szCs w:val="24"/>
          <w:lang w:val="el-GR"/>
        </w:rPr>
        <w:t xml:space="preserve">, </w:t>
      </w:r>
      <w:r>
        <w:rPr>
          <w:rFonts w:cstheme="minorHAnsi"/>
          <w:sz w:val="24"/>
          <w:szCs w:val="24"/>
          <w:lang w:val="el-GR"/>
        </w:rPr>
        <w:t>για</w:t>
      </w:r>
      <w:r w:rsidRPr="00D30BBD">
        <w:rPr>
          <w:rFonts w:cstheme="minorHAnsi"/>
          <w:sz w:val="24"/>
          <w:szCs w:val="24"/>
          <w:lang w:val="el-GR"/>
        </w:rPr>
        <w:t xml:space="preserve"> </w:t>
      </w:r>
      <w:r>
        <w:rPr>
          <w:rFonts w:cstheme="minorHAnsi"/>
          <w:sz w:val="24"/>
          <w:szCs w:val="24"/>
          <w:lang w:val="el-GR"/>
        </w:rPr>
        <w:t>να επιφέρουν αλλαγή σε ευάλωτους τομείς</w:t>
      </w:r>
      <w:r w:rsidR="00B70C21" w:rsidRPr="00D30BBD">
        <w:rPr>
          <w:rFonts w:cstheme="minorHAnsi"/>
          <w:sz w:val="24"/>
          <w:szCs w:val="24"/>
          <w:lang w:val="el-GR"/>
        </w:rPr>
        <w:t xml:space="preserve">, </w:t>
      </w:r>
      <w:r>
        <w:rPr>
          <w:rFonts w:cstheme="minorHAnsi"/>
          <w:sz w:val="24"/>
          <w:szCs w:val="24"/>
          <w:lang w:val="el-GR"/>
        </w:rPr>
        <w:t>κλπ</w:t>
      </w:r>
      <w:r w:rsidR="00B70C21" w:rsidRPr="00D30BBD">
        <w:rPr>
          <w:rFonts w:cstheme="minorHAnsi"/>
          <w:sz w:val="24"/>
          <w:szCs w:val="24"/>
          <w:lang w:val="el-GR"/>
        </w:rPr>
        <w:t xml:space="preserve">.). </w:t>
      </w:r>
      <w:r>
        <w:rPr>
          <w:rFonts w:cstheme="minorHAnsi"/>
          <w:sz w:val="24"/>
          <w:szCs w:val="24"/>
          <w:lang w:val="el-GR"/>
        </w:rPr>
        <w:t>Η</w:t>
      </w:r>
      <w:r w:rsidRPr="00D30BBD">
        <w:rPr>
          <w:rFonts w:cstheme="minorHAnsi"/>
          <w:sz w:val="24"/>
          <w:szCs w:val="24"/>
          <w:lang w:val="el-GR"/>
        </w:rPr>
        <w:t xml:space="preserve"> </w:t>
      </w:r>
      <w:r>
        <w:rPr>
          <w:rFonts w:cstheme="minorHAnsi"/>
          <w:sz w:val="24"/>
          <w:szCs w:val="24"/>
          <w:lang w:val="el-GR"/>
        </w:rPr>
        <w:t>εθνική</w:t>
      </w:r>
      <w:r w:rsidRPr="00D30BBD">
        <w:rPr>
          <w:rFonts w:cstheme="minorHAnsi"/>
          <w:sz w:val="24"/>
          <w:szCs w:val="24"/>
          <w:lang w:val="el-GR"/>
        </w:rPr>
        <w:t xml:space="preserve"> </w:t>
      </w:r>
      <w:r>
        <w:rPr>
          <w:rFonts w:cstheme="minorHAnsi"/>
          <w:sz w:val="24"/>
          <w:szCs w:val="24"/>
          <w:lang w:val="el-GR"/>
        </w:rPr>
        <w:t>στρατηγική</w:t>
      </w:r>
      <w:r w:rsidRPr="00D30BBD">
        <w:rPr>
          <w:rFonts w:cstheme="minorHAnsi"/>
          <w:sz w:val="24"/>
          <w:szCs w:val="24"/>
          <w:lang w:val="el-GR"/>
        </w:rPr>
        <w:t xml:space="preserve"> </w:t>
      </w:r>
      <w:r>
        <w:rPr>
          <w:rFonts w:cstheme="minorHAnsi"/>
          <w:sz w:val="24"/>
          <w:szCs w:val="24"/>
          <w:lang w:val="el-GR"/>
        </w:rPr>
        <w:t>κατά</w:t>
      </w:r>
      <w:r w:rsidRPr="00D30BBD">
        <w:rPr>
          <w:rFonts w:cstheme="minorHAnsi"/>
          <w:sz w:val="24"/>
          <w:szCs w:val="24"/>
          <w:lang w:val="el-GR"/>
        </w:rPr>
        <w:t xml:space="preserve"> </w:t>
      </w:r>
      <w:r>
        <w:rPr>
          <w:rFonts w:cstheme="minorHAnsi"/>
          <w:sz w:val="24"/>
          <w:szCs w:val="24"/>
          <w:lang w:val="el-GR"/>
        </w:rPr>
        <w:t>της</w:t>
      </w:r>
      <w:r w:rsidRPr="00D30BBD">
        <w:rPr>
          <w:rFonts w:cstheme="minorHAnsi"/>
          <w:sz w:val="24"/>
          <w:szCs w:val="24"/>
          <w:lang w:val="el-GR"/>
        </w:rPr>
        <w:t xml:space="preserve"> </w:t>
      </w:r>
      <w:r>
        <w:rPr>
          <w:rFonts w:cstheme="minorHAnsi"/>
          <w:sz w:val="24"/>
          <w:szCs w:val="24"/>
          <w:lang w:val="el-GR"/>
        </w:rPr>
        <w:t>διαφθοράς</w:t>
      </w:r>
      <w:r w:rsidR="00B70C21" w:rsidRPr="00D30BBD">
        <w:rPr>
          <w:rFonts w:cstheme="minorHAnsi"/>
          <w:sz w:val="24"/>
          <w:szCs w:val="24"/>
          <w:lang w:val="el-GR"/>
        </w:rPr>
        <w:t xml:space="preserve"> </w:t>
      </w:r>
      <w:r>
        <w:rPr>
          <w:rFonts w:cstheme="minorHAnsi"/>
          <w:sz w:val="24"/>
          <w:szCs w:val="24"/>
          <w:lang w:val="el-GR"/>
        </w:rPr>
        <w:t>δεν</w:t>
      </w:r>
      <w:r w:rsidRPr="00D30BBD">
        <w:rPr>
          <w:rFonts w:cstheme="minorHAnsi"/>
          <w:sz w:val="24"/>
          <w:szCs w:val="24"/>
          <w:lang w:val="el-GR"/>
        </w:rPr>
        <w:t xml:space="preserve"> </w:t>
      </w:r>
      <w:r>
        <w:rPr>
          <w:rFonts w:cstheme="minorHAnsi"/>
          <w:sz w:val="24"/>
          <w:szCs w:val="24"/>
          <w:lang w:val="el-GR"/>
        </w:rPr>
        <w:t>μεταφράζεται</w:t>
      </w:r>
      <w:r w:rsidRPr="00D30BBD">
        <w:rPr>
          <w:rFonts w:cstheme="minorHAnsi"/>
          <w:sz w:val="24"/>
          <w:szCs w:val="24"/>
          <w:lang w:val="el-GR"/>
        </w:rPr>
        <w:t xml:space="preserve"> </w:t>
      </w:r>
      <w:r>
        <w:rPr>
          <w:rFonts w:cstheme="minorHAnsi"/>
          <w:sz w:val="24"/>
          <w:szCs w:val="24"/>
          <w:lang w:val="el-GR"/>
        </w:rPr>
        <w:t>εντός</w:t>
      </w:r>
      <w:r w:rsidRPr="00D30BBD">
        <w:rPr>
          <w:rFonts w:cstheme="minorHAnsi"/>
          <w:sz w:val="24"/>
          <w:szCs w:val="24"/>
          <w:lang w:val="el-GR"/>
        </w:rPr>
        <w:t xml:space="preserve"> </w:t>
      </w:r>
      <w:r>
        <w:rPr>
          <w:rFonts w:cstheme="minorHAnsi"/>
          <w:sz w:val="24"/>
          <w:szCs w:val="24"/>
          <w:lang w:val="el-GR"/>
        </w:rPr>
        <w:t>της</w:t>
      </w:r>
      <w:r w:rsidRPr="00D30BBD">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B70C21" w:rsidRPr="00D30BBD">
        <w:rPr>
          <w:rFonts w:cstheme="minorHAnsi"/>
          <w:sz w:val="24"/>
          <w:szCs w:val="24"/>
          <w:lang w:val="el-GR"/>
        </w:rPr>
        <w:t xml:space="preserve"> </w:t>
      </w:r>
      <w:r>
        <w:rPr>
          <w:rFonts w:cstheme="minorHAnsi"/>
          <w:sz w:val="24"/>
          <w:szCs w:val="24"/>
          <w:lang w:val="el-GR"/>
        </w:rPr>
        <w:t>και</w:t>
      </w:r>
      <w:r w:rsidRPr="00D30BBD">
        <w:rPr>
          <w:rFonts w:cstheme="minorHAnsi"/>
          <w:sz w:val="24"/>
          <w:szCs w:val="24"/>
          <w:lang w:val="el-GR"/>
        </w:rPr>
        <w:t xml:space="preserve"> </w:t>
      </w:r>
      <w:r>
        <w:rPr>
          <w:rFonts w:cstheme="minorHAnsi"/>
          <w:sz w:val="24"/>
          <w:szCs w:val="24"/>
          <w:lang w:val="el-GR"/>
        </w:rPr>
        <w:t>δεν</w:t>
      </w:r>
      <w:r w:rsidRPr="00D30BBD">
        <w:rPr>
          <w:rFonts w:cstheme="minorHAnsi"/>
          <w:sz w:val="24"/>
          <w:szCs w:val="24"/>
          <w:lang w:val="el-GR"/>
        </w:rPr>
        <w:t xml:space="preserve"> </w:t>
      </w:r>
      <w:r>
        <w:rPr>
          <w:rFonts w:cstheme="minorHAnsi"/>
          <w:sz w:val="24"/>
          <w:szCs w:val="24"/>
          <w:lang w:val="el-GR"/>
        </w:rPr>
        <w:t>υπήρχε</w:t>
      </w:r>
      <w:r w:rsidRPr="00D30BBD">
        <w:rPr>
          <w:rFonts w:cstheme="minorHAnsi"/>
          <w:sz w:val="24"/>
          <w:szCs w:val="24"/>
          <w:lang w:val="el-GR"/>
        </w:rPr>
        <w:t xml:space="preserve"> </w:t>
      </w:r>
      <w:r>
        <w:rPr>
          <w:rFonts w:cstheme="minorHAnsi"/>
          <w:sz w:val="24"/>
          <w:szCs w:val="24"/>
          <w:lang w:val="el-GR"/>
        </w:rPr>
        <w:t>καμιά</w:t>
      </w:r>
      <w:r w:rsidRPr="00D30BBD">
        <w:rPr>
          <w:rFonts w:cstheme="minorHAnsi"/>
          <w:sz w:val="24"/>
          <w:szCs w:val="24"/>
          <w:lang w:val="el-GR"/>
        </w:rPr>
        <w:t xml:space="preserve"> </w:t>
      </w:r>
      <w:r>
        <w:rPr>
          <w:rFonts w:cstheme="minorHAnsi"/>
          <w:sz w:val="24"/>
          <w:szCs w:val="24"/>
          <w:lang w:val="el-GR"/>
        </w:rPr>
        <w:t>απόδειξη</w:t>
      </w:r>
      <w:r w:rsidRPr="00D30BBD">
        <w:rPr>
          <w:rFonts w:cstheme="minorHAnsi"/>
          <w:sz w:val="24"/>
          <w:szCs w:val="24"/>
          <w:lang w:val="el-GR"/>
        </w:rPr>
        <w:t xml:space="preserve"> </w:t>
      </w:r>
      <w:r>
        <w:rPr>
          <w:rFonts w:cstheme="minorHAnsi"/>
          <w:sz w:val="24"/>
          <w:szCs w:val="24"/>
          <w:lang w:val="el-GR"/>
        </w:rPr>
        <w:t xml:space="preserve">ότι </w:t>
      </w:r>
      <w:r w:rsidR="00904BAF">
        <w:rPr>
          <w:rFonts w:cstheme="minorHAnsi"/>
          <w:sz w:val="24"/>
          <w:szCs w:val="24"/>
          <w:lang w:val="el-GR"/>
        </w:rPr>
        <w:t>διευθυντές γραμμής ή ανώτεροι αστυνομικοί</w:t>
      </w:r>
      <w:r w:rsidR="00B70C21" w:rsidRPr="00D30BBD">
        <w:rPr>
          <w:rFonts w:cstheme="minorHAnsi"/>
          <w:sz w:val="24"/>
          <w:szCs w:val="24"/>
          <w:lang w:val="el-GR"/>
        </w:rPr>
        <w:t xml:space="preserve"> </w:t>
      </w:r>
      <w:r w:rsidR="00904BAF">
        <w:rPr>
          <w:rFonts w:cstheme="minorHAnsi"/>
          <w:sz w:val="24"/>
          <w:szCs w:val="24"/>
          <w:lang w:val="el-GR"/>
        </w:rPr>
        <w:t xml:space="preserve">έχουν οποιαδήποτε ευθύνη σε σχέση </w:t>
      </w:r>
      <w:proofErr w:type="spellStart"/>
      <w:r w:rsidR="00904BAF">
        <w:rPr>
          <w:rFonts w:cstheme="minorHAnsi"/>
          <w:sz w:val="24"/>
          <w:szCs w:val="24"/>
          <w:lang w:val="el-GR"/>
        </w:rPr>
        <w:t>μ’αυτό</w:t>
      </w:r>
      <w:proofErr w:type="spellEnd"/>
      <w:r w:rsidR="00B70C21" w:rsidRPr="00D30BBD">
        <w:rPr>
          <w:rFonts w:cstheme="minorHAnsi"/>
          <w:sz w:val="24"/>
          <w:szCs w:val="24"/>
          <w:lang w:val="el-GR"/>
        </w:rPr>
        <w:t xml:space="preserve">. </w:t>
      </w:r>
      <w:r w:rsidR="00904BAF">
        <w:rPr>
          <w:rFonts w:cstheme="minorHAnsi"/>
          <w:sz w:val="24"/>
          <w:szCs w:val="24"/>
          <w:lang w:val="el-GR"/>
        </w:rPr>
        <w:t>Παρομοίως</w:t>
      </w:r>
      <w:r w:rsidR="00DC3FEB" w:rsidRPr="00904BAF">
        <w:rPr>
          <w:rFonts w:cstheme="minorHAnsi"/>
          <w:sz w:val="24"/>
          <w:szCs w:val="24"/>
          <w:lang w:val="el-GR"/>
        </w:rPr>
        <w:t xml:space="preserve">, </w:t>
      </w:r>
      <w:r w:rsidR="00904BAF">
        <w:rPr>
          <w:rFonts w:cstheme="minorHAnsi"/>
          <w:sz w:val="24"/>
          <w:szCs w:val="24"/>
          <w:lang w:val="el-GR"/>
        </w:rPr>
        <w:t>η</w:t>
      </w:r>
      <w:r w:rsidR="00DC3FEB" w:rsidRPr="00904BAF">
        <w:rPr>
          <w:rFonts w:cstheme="minorHAnsi"/>
          <w:sz w:val="24"/>
          <w:szCs w:val="24"/>
          <w:lang w:val="el-GR"/>
        </w:rPr>
        <w:t xml:space="preserve"> </w:t>
      </w:r>
      <w:r w:rsidR="00DC3FEB" w:rsidRPr="004E251E">
        <w:rPr>
          <w:rFonts w:cstheme="minorHAnsi"/>
          <w:sz w:val="24"/>
          <w:szCs w:val="24"/>
        </w:rPr>
        <w:t>GET</w:t>
      </w:r>
      <w:r w:rsidR="00DC3FEB" w:rsidRPr="00904BAF">
        <w:rPr>
          <w:rFonts w:cstheme="minorHAnsi"/>
          <w:sz w:val="24"/>
          <w:szCs w:val="24"/>
          <w:lang w:val="el-GR"/>
        </w:rPr>
        <w:t xml:space="preserve"> </w:t>
      </w:r>
      <w:r w:rsidR="00904BAF">
        <w:rPr>
          <w:rFonts w:cstheme="minorHAnsi"/>
          <w:sz w:val="24"/>
          <w:szCs w:val="24"/>
          <w:lang w:val="el-GR"/>
        </w:rPr>
        <w:t>δεν</w:t>
      </w:r>
      <w:r w:rsidR="00904BAF" w:rsidRPr="00904BAF">
        <w:rPr>
          <w:rFonts w:cstheme="minorHAnsi"/>
          <w:sz w:val="24"/>
          <w:szCs w:val="24"/>
          <w:lang w:val="el-GR"/>
        </w:rPr>
        <w:t xml:space="preserve"> </w:t>
      </w:r>
      <w:r w:rsidR="00904BAF">
        <w:rPr>
          <w:rFonts w:cstheme="minorHAnsi"/>
          <w:sz w:val="24"/>
          <w:szCs w:val="24"/>
          <w:lang w:val="el-GR"/>
        </w:rPr>
        <w:t>μπορούσε</w:t>
      </w:r>
      <w:r w:rsidR="00904BAF" w:rsidRPr="00904BAF">
        <w:rPr>
          <w:rFonts w:cstheme="minorHAnsi"/>
          <w:sz w:val="24"/>
          <w:szCs w:val="24"/>
          <w:lang w:val="el-GR"/>
        </w:rPr>
        <w:t xml:space="preserve"> </w:t>
      </w:r>
      <w:r w:rsidR="00904BAF">
        <w:rPr>
          <w:rFonts w:cstheme="minorHAnsi"/>
          <w:sz w:val="24"/>
          <w:szCs w:val="24"/>
          <w:lang w:val="el-GR"/>
        </w:rPr>
        <w:t>να</w:t>
      </w:r>
      <w:r w:rsidR="00904BAF" w:rsidRPr="00904BAF">
        <w:rPr>
          <w:rFonts w:cstheme="minorHAnsi"/>
          <w:sz w:val="24"/>
          <w:szCs w:val="24"/>
          <w:lang w:val="el-GR"/>
        </w:rPr>
        <w:t xml:space="preserve"> </w:t>
      </w:r>
      <w:r w:rsidR="00904BAF">
        <w:rPr>
          <w:rFonts w:cstheme="minorHAnsi"/>
          <w:sz w:val="24"/>
          <w:szCs w:val="24"/>
          <w:lang w:val="el-GR"/>
        </w:rPr>
        <w:t>βρει</w:t>
      </w:r>
      <w:r w:rsidR="00904BAF" w:rsidRPr="00904BAF">
        <w:rPr>
          <w:rFonts w:cstheme="minorHAnsi"/>
          <w:sz w:val="24"/>
          <w:szCs w:val="24"/>
          <w:lang w:val="el-GR"/>
        </w:rPr>
        <w:t xml:space="preserve"> </w:t>
      </w:r>
      <w:r w:rsidR="00904BAF">
        <w:rPr>
          <w:rFonts w:cstheme="minorHAnsi"/>
          <w:sz w:val="24"/>
          <w:szCs w:val="24"/>
          <w:lang w:val="el-GR"/>
        </w:rPr>
        <w:t>οποιαδήποτε</w:t>
      </w:r>
      <w:r w:rsidR="00904BAF" w:rsidRPr="00904BAF">
        <w:rPr>
          <w:rFonts w:cstheme="minorHAnsi"/>
          <w:sz w:val="24"/>
          <w:szCs w:val="24"/>
          <w:lang w:val="el-GR"/>
        </w:rPr>
        <w:t xml:space="preserve"> </w:t>
      </w:r>
      <w:r w:rsidR="00904BAF">
        <w:rPr>
          <w:rFonts w:cstheme="minorHAnsi"/>
          <w:sz w:val="24"/>
          <w:szCs w:val="24"/>
          <w:lang w:val="el-GR"/>
        </w:rPr>
        <w:t>απόδειξη</w:t>
      </w:r>
      <w:r w:rsidR="00DC3FEB" w:rsidRPr="00904BAF">
        <w:rPr>
          <w:rFonts w:cstheme="minorHAnsi"/>
          <w:sz w:val="24"/>
          <w:szCs w:val="24"/>
          <w:lang w:val="el-GR"/>
        </w:rPr>
        <w:t xml:space="preserve"> </w:t>
      </w:r>
      <w:r w:rsidR="00904BAF">
        <w:rPr>
          <w:rFonts w:cstheme="minorHAnsi"/>
          <w:sz w:val="24"/>
          <w:szCs w:val="24"/>
          <w:lang w:val="el-GR"/>
        </w:rPr>
        <w:t>ότι</w:t>
      </w:r>
      <w:r w:rsidR="00904BAF" w:rsidRPr="00904BAF">
        <w:rPr>
          <w:rFonts w:cstheme="minorHAnsi"/>
          <w:sz w:val="24"/>
          <w:szCs w:val="24"/>
          <w:lang w:val="el-GR"/>
        </w:rPr>
        <w:t xml:space="preserve"> </w:t>
      </w:r>
      <w:r w:rsidR="00904BAF">
        <w:rPr>
          <w:rFonts w:cstheme="minorHAnsi"/>
          <w:sz w:val="24"/>
          <w:szCs w:val="24"/>
          <w:lang w:val="el-GR"/>
        </w:rPr>
        <w:t>η</w:t>
      </w:r>
      <w:r w:rsidR="00904BAF" w:rsidRPr="00904BAF">
        <w:rPr>
          <w:rFonts w:cstheme="minorHAnsi"/>
          <w:sz w:val="24"/>
          <w:szCs w:val="24"/>
          <w:lang w:val="el-GR"/>
        </w:rPr>
        <w:t xml:space="preserve"> </w:t>
      </w:r>
      <w:r w:rsidR="00DC3FEB" w:rsidRPr="004E251E">
        <w:rPr>
          <w:rFonts w:cstheme="minorHAnsi"/>
          <w:sz w:val="24"/>
          <w:szCs w:val="24"/>
        </w:rPr>
        <w:t>PSID</w:t>
      </w:r>
      <w:r w:rsidR="00DC3FEB" w:rsidRPr="00904BAF">
        <w:rPr>
          <w:rFonts w:cstheme="minorHAnsi"/>
          <w:sz w:val="24"/>
          <w:szCs w:val="24"/>
          <w:lang w:val="el-GR"/>
        </w:rPr>
        <w:t xml:space="preserve"> </w:t>
      </w:r>
      <w:r w:rsidR="00904BAF">
        <w:rPr>
          <w:rFonts w:cstheme="minorHAnsi"/>
          <w:sz w:val="24"/>
          <w:szCs w:val="24"/>
          <w:lang w:val="el-GR"/>
        </w:rPr>
        <w:t>έχει</w:t>
      </w:r>
      <w:r w:rsidR="00904BAF" w:rsidRPr="00904BAF">
        <w:rPr>
          <w:rFonts w:cstheme="minorHAnsi"/>
          <w:sz w:val="24"/>
          <w:szCs w:val="24"/>
          <w:lang w:val="el-GR"/>
        </w:rPr>
        <w:t xml:space="preserve"> </w:t>
      </w:r>
      <w:r w:rsidR="00904BAF">
        <w:rPr>
          <w:rFonts w:cstheme="minorHAnsi"/>
          <w:sz w:val="24"/>
          <w:szCs w:val="24"/>
          <w:lang w:val="el-GR"/>
        </w:rPr>
        <w:t>μια</w:t>
      </w:r>
      <w:r w:rsidR="00904BAF" w:rsidRPr="00904BAF">
        <w:rPr>
          <w:rFonts w:cstheme="minorHAnsi"/>
          <w:sz w:val="24"/>
          <w:szCs w:val="24"/>
          <w:lang w:val="el-GR"/>
        </w:rPr>
        <w:t xml:space="preserve"> </w:t>
      </w:r>
      <w:r w:rsidR="00904BAF">
        <w:rPr>
          <w:rFonts w:cstheme="minorHAnsi"/>
          <w:sz w:val="24"/>
          <w:szCs w:val="24"/>
          <w:lang w:val="el-GR"/>
        </w:rPr>
        <w:t>προληπτική</w:t>
      </w:r>
      <w:r w:rsidR="00904BAF" w:rsidRPr="00904BAF">
        <w:rPr>
          <w:rFonts w:cstheme="minorHAnsi"/>
          <w:sz w:val="24"/>
          <w:szCs w:val="24"/>
          <w:lang w:val="el-GR"/>
        </w:rPr>
        <w:t xml:space="preserve"> </w:t>
      </w:r>
      <w:r w:rsidR="00904BAF">
        <w:rPr>
          <w:rFonts w:cstheme="minorHAnsi"/>
          <w:sz w:val="24"/>
          <w:szCs w:val="24"/>
          <w:lang w:val="el-GR"/>
        </w:rPr>
        <w:t>προσέγγιση</w:t>
      </w:r>
      <w:r w:rsidR="005F724A">
        <w:rPr>
          <w:rFonts w:cstheme="minorHAnsi"/>
          <w:sz w:val="24"/>
          <w:szCs w:val="24"/>
          <w:lang w:val="el-GR"/>
        </w:rPr>
        <w:t xml:space="preserve"> ή</w:t>
      </w:r>
      <w:r w:rsidR="00904BAF">
        <w:rPr>
          <w:rFonts w:cstheme="minorHAnsi"/>
          <w:sz w:val="24"/>
          <w:szCs w:val="24"/>
          <w:lang w:val="el-GR"/>
        </w:rPr>
        <w:t xml:space="preserve"> μι</w:t>
      </w:r>
      <w:r w:rsidR="002643CE">
        <w:rPr>
          <w:rFonts w:cstheme="minorHAnsi"/>
          <w:sz w:val="24"/>
          <w:szCs w:val="24"/>
          <w:lang w:val="el-GR"/>
        </w:rPr>
        <w:t>α</w:t>
      </w:r>
      <w:r w:rsidR="00904BAF">
        <w:rPr>
          <w:rFonts w:cstheme="minorHAnsi"/>
          <w:sz w:val="24"/>
          <w:szCs w:val="24"/>
          <w:lang w:val="el-GR"/>
        </w:rPr>
        <w:t xml:space="preserve"> προσέγγιση που βασίζεται στον κίνδυνο,</w:t>
      </w:r>
      <w:r w:rsidR="00DC3FEB" w:rsidRPr="00904BAF">
        <w:rPr>
          <w:rFonts w:cstheme="minorHAnsi"/>
          <w:sz w:val="24"/>
          <w:szCs w:val="24"/>
          <w:lang w:val="el-GR"/>
        </w:rPr>
        <w:t xml:space="preserve"> </w:t>
      </w:r>
      <w:r w:rsidR="00904BAF">
        <w:rPr>
          <w:rFonts w:cstheme="minorHAnsi"/>
          <w:sz w:val="24"/>
          <w:szCs w:val="24"/>
          <w:lang w:val="el-GR"/>
        </w:rPr>
        <w:t>στον σχεδιασμό</w:t>
      </w:r>
      <w:r w:rsidR="00DC3FEB" w:rsidRPr="00904BAF">
        <w:rPr>
          <w:rFonts w:cstheme="minorHAnsi"/>
          <w:sz w:val="24"/>
          <w:szCs w:val="24"/>
          <w:lang w:val="el-GR"/>
        </w:rPr>
        <w:t xml:space="preserve"> </w:t>
      </w:r>
      <w:r w:rsidR="00904BAF">
        <w:rPr>
          <w:rFonts w:cstheme="minorHAnsi"/>
          <w:sz w:val="24"/>
          <w:szCs w:val="24"/>
          <w:lang w:val="el-GR"/>
        </w:rPr>
        <w:t>και τον ορισμό προτεραιοτήτων</w:t>
      </w:r>
      <w:r w:rsidR="00DC3FEB" w:rsidRPr="00904BAF">
        <w:rPr>
          <w:rFonts w:cstheme="minorHAnsi"/>
          <w:sz w:val="24"/>
          <w:szCs w:val="24"/>
          <w:lang w:val="el-GR"/>
        </w:rPr>
        <w:t xml:space="preserve"> </w:t>
      </w:r>
      <w:r w:rsidR="00904BAF">
        <w:rPr>
          <w:rFonts w:cstheme="minorHAnsi"/>
          <w:sz w:val="24"/>
          <w:szCs w:val="24"/>
          <w:lang w:val="el-GR"/>
        </w:rPr>
        <w:t>για τις δραστηριότητες ελέγχου και επιθεώρησης</w:t>
      </w:r>
      <w:r w:rsidR="00DC3FEB" w:rsidRPr="00904BAF">
        <w:rPr>
          <w:rFonts w:cstheme="minorHAnsi"/>
          <w:sz w:val="24"/>
          <w:szCs w:val="24"/>
          <w:lang w:val="el-GR"/>
        </w:rPr>
        <w:t xml:space="preserve">. </w:t>
      </w:r>
      <w:r w:rsidR="00DF1959">
        <w:rPr>
          <w:rFonts w:cstheme="minorHAnsi"/>
          <w:sz w:val="24"/>
          <w:szCs w:val="24"/>
          <w:lang w:val="el-GR"/>
        </w:rPr>
        <w:t>Ο</w:t>
      </w:r>
      <w:r w:rsidR="00DF1959" w:rsidRPr="00DF1959">
        <w:rPr>
          <w:rFonts w:cstheme="minorHAnsi"/>
          <w:sz w:val="24"/>
          <w:szCs w:val="24"/>
          <w:lang w:val="el-GR"/>
        </w:rPr>
        <w:t xml:space="preserve"> </w:t>
      </w:r>
      <w:r w:rsidR="00DF1959">
        <w:rPr>
          <w:rFonts w:cstheme="minorHAnsi"/>
          <w:sz w:val="24"/>
          <w:szCs w:val="24"/>
          <w:lang w:val="el-GR"/>
        </w:rPr>
        <w:t>έλεγχος</w:t>
      </w:r>
      <w:r w:rsidR="00DF1959" w:rsidRPr="00DF1959">
        <w:rPr>
          <w:rFonts w:cstheme="minorHAnsi"/>
          <w:sz w:val="24"/>
          <w:szCs w:val="24"/>
          <w:lang w:val="el-GR"/>
        </w:rPr>
        <w:t xml:space="preserve"> </w:t>
      </w:r>
      <w:r w:rsidR="00DF1959">
        <w:rPr>
          <w:rFonts w:cstheme="minorHAnsi"/>
          <w:sz w:val="24"/>
          <w:szCs w:val="24"/>
          <w:lang w:val="el-GR"/>
        </w:rPr>
        <w:t>συνήθως</w:t>
      </w:r>
      <w:r w:rsidR="00DF1959" w:rsidRPr="00DF1959">
        <w:rPr>
          <w:rFonts w:cstheme="minorHAnsi"/>
          <w:sz w:val="24"/>
          <w:szCs w:val="24"/>
          <w:lang w:val="el-GR"/>
        </w:rPr>
        <w:t xml:space="preserve"> </w:t>
      </w:r>
      <w:r w:rsidR="00DF1959">
        <w:rPr>
          <w:rFonts w:cstheme="minorHAnsi"/>
          <w:sz w:val="24"/>
          <w:szCs w:val="24"/>
          <w:lang w:val="el-GR"/>
        </w:rPr>
        <w:t>γίνεται</w:t>
      </w:r>
      <w:r w:rsidR="00DF1959" w:rsidRPr="00DF1959">
        <w:rPr>
          <w:rFonts w:cstheme="minorHAnsi"/>
          <w:sz w:val="24"/>
          <w:szCs w:val="24"/>
          <w:lang w:val="el-GR"/>
        </w:rPr>
        <w:t xml:space="preserve"> </w:t>
      </w:r>
      <w:r w:rsidR="00DF1959">
        <w:rPr>
          <w:rFonts w:cstheme="minorHAnsi"/>
          <w:sz w:val="24"/>
          <w:szCs w:val="24"/>
          <w:lang w:val="el-GR"/>
        </w:rPr>
        <w:t>με</w:t>
      </w:r>
      <w:r w:rsidR="00DF1959" w:rsidRPr="00DF1959">
        <w:rPr>
          <w:rFonts w:cstheme="minorHAnsi"/>
          <w:sz w:val="24"/>
          <w:szCs w:val="24"/>
          <w:lang w:val="el-GR"/>
        </w:rPr>
        <w:t xml:space="preserve"> </w:t>
      </w:r>
      <w:r w:rsidR="00DF1959">
        <w:rPr>
          <w:rFonts w:cstheme="minorHAnsi"/>
          <w:sz w:val="24"/>
          <w:szCs w:val="24"/>
          <w:lang w:val="el-GR"/>
        </w:rPr>
        <w:t>βάση</w:t>
      </w:r>
      <w:r w:rsidR="00DC3FEB" w:rsidRPr="00DF1959">
        <w:rPr>
          <w:rFonts w:cstheme="minorHAnsi"/>
          <w:sz w:val="24"/>
          <w:szCs w:val="24"/>
          <w:lang w:val="el-GR"/>
        </w:rPr>
        <w:t xml:space="preserve"> </w:t>
      </w:r>
      <w:r w:rsidR="00DC3FEB" w:rsidRPr="004E251E">
        <w:rPr>
          <w:rFonts w:cstheme="minorHAnsi"/>
          <w:sz w:val="24"/>
          <w:szCs w:val="24"/>
        </w:rPr>
        <w:t>ad</w:t>
      </w:r>
      <w:r w:rsidR="00DC3FEB" w:rsidRPr="00DF1959">
        <w:rPr>
          <w:rFonts w:cstheme="minorHAnsi"/>
          <w:sz w:val="24"/>
          <w:szCs w:val="24"/>
          <w:lang w:val="el-GR"/>
        </w:rPr>
        <w:t>-</w:t>
      </w:r>
      <w:r w:rsidR="00DC3FEB" w:rsidRPr="004E251E">
        <w:rPr>
          <w:rFonts w:cstheme="minorHAnsi"/>
          <w:sz w:val="24"/>
          <w:szCs w:val="24"/>
        </w:rPr>
        <w:t>hoc</w:t>
      </w:r>
      <w:r w:rsidR="00DC3FEB" w:rsidRPr="00DF1959">
        <w:rPr>
          <w:rFonts w:cstheme="minorHAnsi"/>
          <w:sz w:val="24"/>
          <w:szCs w:val="24"/>
          <w:lang w:val="el-GR"/>
        </w:rPr>
        <w:t xml:space="preserve"> </w:t>
      </w:r>
      <w:r w:rsidR="00DF1959">
        <w:rPr>
          <w:rFonts w:cstheme="minorHAnsi"/>
          <w:sz w:val="24"/>
          <w:szCs w:val="24"/>
          <w:lang w:val="el-GR"/>
        </w:rPr>
        <w:t>με</w:t>
      </w:r>
      <w:r w:rsidR="00DF1959" w:rsidRPr="00DF1959">
        <w:rPr>
          <w:rFonts w:cstheme="minorHAnsi"/>
          <w:sz w:val="24"/>
          <w:szCs w:val="24"/>
          <w:lang w:val="el-GR"/>
        </w:rPr>
        <w:t xml:space="preserve"> </w:t>
      </w:r>
      <w:r w:rsidR="00DF1959">
        <w:rPr>
          <w:rFonts w:cstheme="minorHAnsi"/>
          <w:sz w:val="24"/>
          <w:szCs w:val="24"/>
          <w:lang w:val="el-GR"/>
        </w:rPr>
        <w:t>την</w:t>
      </w:r>
      <w:r w:rsidR="00DF1959" w:rsidRPr="00DF1959">
        <w:rPr>
          <w:rFonts w:cstheme="minorHAnsi"/>
          <w:sz w:val="24"/>
          <w:szCs w:val="24"/>
          <w:lang w:val="el-GR"/>
        </w:rPr>
        <w:t xml:space="preserve"> </w:t>
      </w:r>
      <w:r w:rsidR="00DF1959">
        <w:rPr>
          <w:rFonts w:cstheme="minorHAnsi"/>
          <w:sz w:val="24"/>
          <w:szCs w:val="24"/>
          <w:lang w:val="el-GR"/>
        </w:rPr>
        <w:t>έγκριση</w:t>
      </w:r>
      <w:r w:rsidR="00DF1959" w:rsidRPr="00DF1959">
        <w:rPr>
          <w:rFonts w:cstheme="minorHAnsi"/>
          <w:sz w:val="24"/>
          <w:szCs w:val="24"/>
          <w:lang w:val="el-GR"/>
        </w:rPr>
        <w:t xml:space="preserve"> </w:t>
      </w:r>
      <w:r w:rsidR="00DF1959">
        <w:rPr>
          <w:rFonts w:cstheme="minorHAnsi"/>
          <w:sz w:val="24"/>
          <w:szCs w:val="24"/>
          <w:lang w:val="el-GR"/>
        </w:rPr>
        <w:t>του</w:t>
      </w:r>
      <w:r w:rsidR="00DF1959" w:rsidRPr="00DF1959">
        <w:rPr>
          <w:rFonts w:cstheme="minorHAnsi"/>
          <w:sz w:val="24"/>
          <w:szCs w:val="24"/>
          <w:lang w:val="el-GR"/>
        </w:rPr>
        <w:t xml:space="preserve"> </w:t>
      </w:r>
      <w:r w:rsidR="00DF1959">
        <w:rPr>
          <w:rFonts w:cstheme="minorHAnsi"/>
          <w:sz w:val="24"/>
          <w:szCs w:val="24"/>
          <w:lang w:val="el-GR"/>
        </w:rPr>
        <w:t>Αρχηγού</w:t>
      </w:r>
      <w:r w:rsidR="00DC3FEB" w:rsidRPr="00DF1959">
        <w:rPr>
          <w:rFonts w:cstheme="minorHAnsi"/>
          <w:sz w:val="24"/>
          <w:szCs w:val="24"/>
          <w:lang w:val="el-GR"/>
        </w:rPr>
        <w:t>/</w:t>
      </w:r>
      <w:r w:rsidR="00DF1959">
        <w:rPr>
          <w:rFonts w:cstheme="minorHAnsi"/>
          <w:sz w:val="24"/>
          <w:szCs w:val="24"/>
          <w:lang w:val="el-GR"/>
        </w:rPr>
        <w:t xml:space="preserve">Υπαρχηγού της </w:t>
      </w:r>
      <w:r w:rsidR="009C4E34">
        <w:rPr>
          <w:rFonts w:cstheme="minorHAnsi"/>
          <w:sz w:val="24"/>
          <w:szCs w:val="24"/>
          <w:lang w:val="el-GR"/>
        </w:rPr>
        <w:t>Αστυνομία</w:t>
      </w:r>
      <w:r w:rsidR="00DF1959">
        <w:rPr>
          <w:rFonts w:cstheme="minorHAnsi"/>
          <w:sz w:val="24"/>
          <w:szCs w:val="24"/>
          <w:lang w:val="el-GR"/>
        </w:rPr>
        <w:t>ς ή ακολουθώντας συγκεκριμένα παράπονα</w:t>
      </w:r>
      <w:r w:rsidR="00DC3FEB" w:rsidRPr="00DF1959">
        <w:rPr>
          <w:rFonts w:cstheme="minorHAnsi"/>
          <w:sz w:val="24"/>
          <w:szCs w:val="24"/>
          <w:lang w:val="el-GR"/>
        </w:rPr>
        <w:t>.</w:t>
      </w:r>
    </w:p>
    <w:p w14:paraId="17E18189" w14:textId="77777777" w:rsidR="00B70C21" w:rsidRPr="00DF1959" w:rsidRDefault="00B70C21" w:rsidP="00B70C21">
      <w:pPr>
        <w:pStyle w:val="ListParagraph"/>
        <w:rPr>
          <w:rFonts w:cstheme="minorHAnsi"/>
          <w:sz w:val="24"/>
          <w:szCs w:val="24"/>
          <w:lang w:val="el-GR"/>
        </w:rPr>
      </w:pPr>
    </w:p>
    <w:p w14:paraId="72151826" w14:textId="4041A149" w:rsidR="00B70C21" w:rsidRPr="00690FA9" w:rsidRDefault="00DE4D61"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Η</w:t>
      </w:r>
      <w:r w:rsidR="00E663F8" w:rsidRPr="00DE4D61">
        <w:rPr>
          <w:rFonts w:cstheme="minorHAnsi"/>
          <w:sz w:val="24"/>
          <w:szCs w:val="24"/>
          <w:lang w:val="el-GR"/>
        </w:rPr>
        <w:t xml:space="preserve"> </w:t>
      </w:r>
      <w:r w:rsidR="00E663F8" w:rsidRPr="004E251E">
        <w:rPr>
          <w:rFonts w:cstheme="minorHAnsi"/>
          <w:sz w:val="24"/>
          <w:szCs w:val="24"/>
        </w:rPr>
        <w:t>GET</w:t>
      </w:r>
      <w:r w:rsidR="00E663F8" w:rsidRPr="00DE4D61">
        <w:rPr>
          <w:rFonts w:cstheme="minorHAnsi"/>
          <w:sz w:val="24"/>
          <w:szCs w:val="24"/>
          <w:lang w:val="el-GR"/>
        </w:rPr>
        <w:t xml:space="preserve"> </w:t>
      </w:r>
      <w:r>
        <w:rPr>
          <w:rFonts w:cstheme="minorHAnsi"/>
          <w:sz w:val="24"/>
          <w:szCs w:val="24"/>
          <w:lang w:val="el-GR"/>
        </w:rPr>
        <w:t>θεωρεί</w:t>
      </w:r>
      <w:r w:rsidRPr="00DE4D61">
        <w:rPr>
          <w:rFonts w:cstheme="minorHAnsi"/>
          <w:sz w:val="24"/>
          <w:szCs w:val="24"/>
          <w:lang w:val="el-GR"/>
        </w:rPr>
        <w:t xml:space="preserve"> </w:t>
      </w:r>
      <w:r>
        <w:rPr>
          <w:rFonts w:cstheme="minorHAnsi"/>
          <w:sz w:val="24"/>
          <w:szCs w:val="24"/>
          <w:lang w:val="el-GR"/>
        </w:rPr>
        <w:t>ότι</w:t>
      </w:r>
      <w:r w:rsidRPr="00DE4D61">
        <w:rPr>
          <w:rFonts w:cstheme="minorHAnsi"/>
          <w:sz w:val="24"/>
          <w:szCs w:val="24"/>
          <w:lang w:val="el-GR"/>
        </w:rPr>
        <w:t xml:space="preserve"> </w:t>
      </w:r>
      <w:r>
        <w:rPr>
          <w:rFonts w:cstheme="minorHAnsi"/>
          <w:sz w:val="24"/>
          <w:szCs w:val="24"/>
          <w:lang w:val="el-GR"/>
        </w:rPr>
        <w:t>τα</w:t>
      </w:r>
      <w:r w:rsidRPr="00DE4D61">
        <w:rPr>
          <w:rFonts w:cstheme="minorHAnsi"/>
          <w:sz w:val="24"/>
          <w:szCs w:val="24"/>
          <w:lang w:val="el-GR"/>
        </w:rPr>
        <w:t xml:space="preserve"> </w:t>
      </w:r>
      <w:r>
        <w:rPr>
          <w:rFonts w:cstheme="minorHAnsi"/>
          <w:sz w:val="24"/>
          <w:szCs w:val="24"/>
          <w:lang w:val="el-GR"/>
        </w:rPr>
        <w:t>υφιστάμενα</w:t>
      </w:r>
      <w:r w:rsidRPr="00DE4D61">
        <w:rPr>
          <w:rFonts w:cstheme="minorHAnsi"/>
          <w:sz w:val="24"/>
          <w:szCs w:val="24"/>
          <w:lang w:val="el-GR"/>
        </w:rPr>
        <w:t xml:space="preserve"> </w:t>
      </w:r>
      <w:r>
        <w:rPr>
          <w:rFonts w:cstheme="minorHAnsi"/>
          <w:sz w:val="24"/>
          <w:szCs w:val="24"/>
          <w:lang w:val="el-GR"/>
        </w:rPr>
        <w:t>μέτρα</w:t>
      </w:r>
      <w:r w:rsidRPr="00DE4D61">
        <w:rPr>
          <w:rFonts w:cstheme="minorHAnsi"/>
          <w:sz w:val="24"/>
          <w:szCs w:val="24"/>
          <w:lang w:val="el-GR"/>
        </w:rPr>
        <w:t xml:space="preserve"> </w:t>
      </w:r>
      <w:r>
        <w:rPr>
          <w:rFonts w:cstheme="minorHAnsi"/>
          <w:sz w:val="24"/>
          <w:szCs w:val="24"/>
          <w:lang w:val="el-GR"/>
        </w:rPr>
        <w:t>κατά</w:t>
      </w:r>
      <w:r w:rsidRPr="00DE4D61">
        <w:rPr>
          <w:rFonts w:cstheme="minorHAnsi"/>
          <w:sz w:val="24"/>
          <w:szCs w:val="24"/>
          <w:lang w:val="el-GR"/>
        </w:rPr>
        <w:t xml:space="preserve"> </w:t>
      </w:r>
      <w:r>
        <w:rPr>
          <w:rFonts w:cstheme="minorHAnsi"/>
          <w:sz w:val="24"/>
          <w:szCs w:val="24"/>
          <w:lang w:val="el-GR"/>
        </w:rPr>
        <w:t>της</w:t>
      </w:r>
      <w:r w:rsidRPr="00DE4D61">
        <w:rPr>
          <w:rFonts w:cstheme="minorHAnsi"/>
          <w:sz w:val="24"/>
          <w:szCs w:val="24"/>
          <w:lang w:val="el-GR"/>
        </w:rPr>
        <w:t xml:space="preserve"> </w:t>
      </w:r>
      <w:r>
        <w:rPr>
          <w:rFonts w:cstheme="minorHAnsi"/>
          <w:sz w:val="24"/>
          <w:szCs w:val="24"/>
          <w:lang w:val="el-GR"/>
        </w:rPr>
        <w:t>διαφθοράς</w:t>
      </w:r>
      <w:r w:rsidRPr="00DE4D61">
        <w:rPr>
          <w:rFonts w:cstheme="minorHAnsi"/>
          <w:sz w:val="24"/>
          <w:szCs w:val="24"/>
          <w:lang w:val="el-GR"/>
        </w:rPr>
        <w:t xml:space="preserve"> </w:t>
      </w:r>
      <w:r>
        <w:rPr>
          <w:rFonts w:cstheme="minorHAnsi"/>
          <w:sz w:val="24"/>
          <w:szCs w:val="24"/>
          <w:lang w:val="el-GR"/>
        </w:rPr>
        <w:t>εντός</w:t>
      </w:r>
      <w:r w:rsidRPr="00DE4D61">
        <w:rPr>
          <w:rFonts w:cstheme="minorHAnsi"/>
          <w:sz w:val="24"/>
          <w:szCs w:val="24"/>
          <w:lang w:val="el-GR"/>
        </w:rPr>
        <w:t xml:space="preserve"> </w:t>
      </w:r>
      <w:r>
        <w:rPr>
          <w:rFonts w:cstheme="minorHAnsi"/>
          <w:sz w:val="24"/>
          <w:szCs w:val="24"/>
          <w:lang w:val="el-GR"/>
        </w:rPr>
        <w:t>της</w:t>
      </w:r>
      <w:r w:rsidRPr="00DE4D61">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DE4D61">
        <w:rPr>
          <w:rFonts w:cstheme="minorHAnsi"/>
          <w:sz w:val="24"/>
          <w:szCs w:val="24"/>
          <w:lang w:val="el-GR"/>
        </w:rPr>
        <w:t xml:space="preserve"> </w:t>
      </w:r>
      <w:r>
        <w:rPr>
          <w:rFonts w:cstheme="minorHAnsi"/>
          <w:sz w:val="24"/>
          <w:szCs w:val="24"/>
          <w:lang w:val="el-GR"/>
        </w:rPr>
        <w:t>φαίνονται</w:t>
      </w:r>
      <w:r w:rsidRPr="00DE4D61">
        <w:rPr>
          <w:rFonts w:cstheme="minorHAnsi"/>
          <w:sz w:val="24"/>
          <w:szCs w:val="24"/>
          <w:lang w:val="el-GR"/>
        </w:rPr>
        <w:t xml:space="preserve"> </w:t>
      </w:r>
      <w:r>
        <w:rPr>
          <w:rFonts w:cstheme="minorHAnsi"/>
          <w:sz w:val="24"/>
          <w:szCs w:val="24"/>
          <w:lang w:val="el-GR"/>
        </w:rPr>
        <w:t>να</w:t>
      </w:r>
      <w:r w:rsidRPr="00DE4D61">
        <w:rPr>
          <w:rFonts w:cstheme="minorHAnsi"/>
          <w:sz w:val="24"/>
          <w:szCs w:val="24"/>
          <w:lang w:val="el-GR"/>
        </w:rPr>
        <w:t xml:space="preserve"> </w:t>
      </w:r>
      <w:r>
        <w:rPr>
          <w:rFonts w:cstheme="minorHAnsi"/>
          <w:sz w:val="24"/>
          <w:szCs w:val="24"/>
          <w:lang w:val="el-GR"/>
        </w:rPr>
        <w:t>υλοποιούνται</w:t>
      </w:r>
      <w:r w:rsidRPr="00DE4D61">
        <w:rPr>
          <w:rFonts w:cstheme="minorHAnsi"/>
          <w:sz w:val="24"/>
          <w:szCs w:val="24"/>
          <w:lang w:val="el-GR"/>
        </w:rPr>
        <w:t xml:space="preserve"> </w:t>
      </w:r>
      <w:r>
        <w:rPr>
          <w:rFonts w:cstheme="minorHAnsi"/>
          <w:sz w:val="24"/>
          <w:szCs w:val="24"/>
          <w:lang w:val="el-GR"/>
        </w:rPr>
        <w:t>ως</w:t>
      </w:r>
      <w:r w:rsidRPr="00DE4D61">
        <w:rPr>
          <w:rFonts w:cstheme="minorHAnsi"/>
          <w:sz w:val="24"/>
          <w:szCs w:val="24"/>
          <w:lang w:val="el-GR"/>
        </w:rPr>
        <w:t xml:space="preserve"> </w:t>
      </w:r>
      <w:r>
        <w:rPr>
          <w:rFonts w:cstheme="minorHAnsi"/>
          <w:sz w:val="24"/>
          <w:szCs w:val="24"/>
          <w:lang w:val="el-GR"/>
        </w:rPr>
        <w:t>επί</w:t>
      </w:r>
      <w:r w:rsidRPr="00DE4D61">
        <w:rPr>
          <w:rFonts w:cstheme="minorHAnsi"/>
          <w:sz w:val="24"/>
          <w:szCs w:val="24"/>
          <w:lang w:val="el-GR"/>
        </w:rPr>
        <w:t xml:space="preserve"> </w:t>
      </w:r>
      <w:r>
        <w:rPr>
          <w:rFonts w:cstheme="minorHAnsi"/>
          <w:sz w:val="24"/>
          <w:szCs w:val="24"/>
          <w:lang w:val="el-GR"/>
        </w:rPr>
        <w:t>το</w:t>
      </w:r>
      <w:r w:rsidRPr="00DE4D61">
        <w:rPr>
          <w:rFonts w:cstheme="minorHAnsi"/>
          <w:sz w:val="24"/>
          <w:szCs w:val="24"/>
          <w:lang w:val="el-GR"/>
        </w:rPr>
        <w:t xml:space="preserve"> </w:t>
      </w:r>
      <w:proofErr w:type="spellStart"/>
      <w:r>
        <w:rPr>
          <w:rFonts w:cstheme="minorHAnsi"/>
          <w:sz w:val="24"/>
          <w:szCs w:val="24"/>
          <w:lang w:val="el-GR"/>
        </w:rPr>
        <w:t>πλείστον</w:t>
      </w:r>
      <w:proofErr w:type="spellEnd"/>
      <w:r w:rsidR="00220066" w:rsidRPr="00DE4D61">
        <w:rPr>
          <w:rFonts w:cstheme="minorHAnsi"/>
          <w:sz w:val="24"/>
          <w:szCs w:val="24"/>
          <w:lang w:val="el-GR"/>
        </w:rPr>
        <w:t xml:space="preserve"> </w:t>
      </w:r>
      <w:r>
        <w:rPr>
          <w:rFonts w:cstheme="minorHAnsi"/>
          <w:sz w:val="24"/>
          <w:szCs w:val="24"/>
          <w:lang w:val="el-GR"/>
        </w:rPr>
        <w:t>με αποσπασματικό τρόπο</w:t>
      </w:r>
      <w:r w:rsidR="00220066" w:rsidRPr="00DE4D61">
        <w:rPr>
          <w:rFonts w:cstheme="minorHAnsi"/>
          <w:sz w:val="24"/>
          <w:szCs w:val="24"/>
          <w:lang w:val="el-GR"/>
        </w:rPr>
        <w:t xml:space="preserve">, </w:t>
      </w:r>
      <w:r>
        <w:rPr>
          <w:rFonts w:cstheme="minorHAnsi"/>
          <w:sz w:val="24"/>
          <w:szCs w:val="24"/>
          <w:lang w:val="el-GR"/>
        </w:rPr>
        <w:t>με μια αντιδραστ</w:t>
      </w:r>
      <w:r w:rsidR="002643CE">
        <w:rPr>
          <w:rFonts w:cstheme="minorHAnsi"/>
          <w:sz w:val="24"/>
          <w:szCs w:val="24"/>
          <w:lang w:val="el-GR"/>
        </w:rPr>
        <w:t>ικ</w:t>
      </w:r>
      <w:r>
        <w:rPr>
          <w:rFonts w:cstheme="minorHAnsi"/>
          <w:sz w:val="24"/>
          <w:szCs w:val="24"/>
          <w:lang w:val="el-GR"/>
        </w:rPr>
        <w:t>ή παρά προληπτική προσέγγιση</w:t>
      </w:r>
      <w:r w:rsidR="00220066" w:rsidRPr="00DE4D61">
        <w:rPr>
          <w:rFonts w:cstheme="minorHAnsi"/>
          <w:sz w:val="24"/>
          <w:szCs w:val="24"/>
          <w:lang w:val="el-GR"/>
        </w:rPr>
        <w:t xml:space="preserve">, </w:t>
      </w:r>
      <w:r>
        <w:rPr>
          <w:rFonts w:cstheme="minorHAnsi"/>
          <w:sz w:val="24"/>
          <w:szCs w:val="24"/>
          <w:lang w:val="el-GR"/>
        </w:rPr>
        <w:t>και μπορεί να μην είναι αρκετά ολοκληρωτικά</w:t>
      </w:r>
      <w:r w:rsidR="00220066" w:rsidRPr="00DE4D61">
        <w:rPr>
          <w:rFonts w:cstheme="minorHAnsi"/>
          <w:sz w:val="24"/>
          <w:szCs w:val="24"/>
          <w:lang w:val="el-GR"/>
        </w:rPr>
        <w:t xml:space="preserve"> </w:t>
      </w:r>
      <w:r>
        <w:rPr>
          <w:rFonts w:cstheme="minorHAnsi"/>
          <w:sz w:val="24"/>
          <w:szCs w:val="24"/>
          <w:lang w:val="el-GR"/>
        </w:rPr>
        <w:t>για να είναι πλήρως αποτελεσματικά</w:t>
      </w:r>
      <w:r w:rsidR="00220066" w:rsidRPr="00DE4D61">
        <w:rPr>
          <w:rFonts w:cstheme="minorHAnsi"/>
          <w:sz w:val="24"/>
          <w:szCs w:val="24"/>
          <w:lang w:val="el-GR"/>
        </w:rPr>
        <w:t xml:space="preserve">. </w:t>
      </w:r>
      <w:r>
        <w:rPr>
          <w:rFonts w:cstheme="minorHAnsi"/>
          <w:sz w:val="24"/>
          <w:szCs w:val="24"/>
          <w:lang w:val="el-GR"/>
        </w:rPr>
        <w:t>Επιπλέον</w:t>
      </w:r>
      <w:r w:rsidR="00220066" w:rsidRPr="00DE4D61">
        <w:rPr>
          <w:rFonts w:cstheme="minorHAnsi"/>
          <w:sz w:val="24"/>
          <w:szCs w:val="24"/>
          <w:lang w:val="el-GR"/>
        </w:rPr>
        <w:t xml:space="preserve">, </w:t>
      </w:r>
      <w:r>
        <w:rPr>
          <w:rFonts w:cstheme="minorHAnsi"/>
          <w:sz w:val="24"/>
          <w:szCs w:val="24"/>
          <w:lang w:val="el-GR"/>
        </w:rPr>
        <w:t>η</w:t>
      </w:r>
      <w:r w:rsidRPr="00DE4D61">
        <w:rPr>
          <w:rFonts w:cstheme="minorHAnsi"/>
          <w:sz w:val="24"/>
          <w:szCs w:val="24"/>
          <w:lang w:val="el-GR"/>
        </w:rPr>
        <w:t xml:space="preserve"> </w:t>
      </w:r>
      <w:r>
        <w:rPr>
          <w:rFonts w:cstheme="minorHAnsi"/>
          <w:sz w:val="24"/>
          <w:szCs w:val="24"/>
          <w:lang w:val="el-GR"/>
        </w:rPr>
        <w:t>πρόσθεση</w:t>
      </w:r>
      <w:r w:rsidRPr="00DE4D61">
        <w:rPr>
          <w:rFonts w:cstheme="minorHAnsi"/>
          <w:sz w:val="24"/>
          <w:szCs w:val="24"/>
          <w:lang w:val="el-GR"/>
        </w:rPr>
        <w:t xml:space="preserve"> </w:t>
      </w:r>
      <w:r>
        <w:rPr>
          <w:rFonts w:cstheme="minorHAnsi"/>
          <w:sz w:val="24"/>
          <w:szCs w:val="24"/>
          <w:lang w:val="el-GR"/>
        </w:rPr>
        <w:t>μέτρων</w:t>
      </w:r>
      <w:r w:rsidRPr="00DE4D61">
        <w:rPr>
          <w:rFonts w:cstheme="minorHAnsi"/>
          <w:sz w:val="24"/>
          <w:szCs w:val="24"/>
          <w:lang w:val="el-GR"/>
        </w:rPr>
        <w:t xml:space="preserve"> </w:t>
      </w:r>
      <w:r>
        <w:rPr>
          <w:rFonts w:cstheme="minorHAnsi"/>
          <w:sz w:val="24"/>
          <w:szCs w:val="24"/>
          <w:lang w:val="el-GR"/>
        </w:rPr>
        <w:t>κατά</w:t>
      </w:r>
      <w:r w:rsidRPr="00DE4D61">
        <w:rPr>
          <w:rFonts w:cstheme="minorHAnsi"/>
          <w:sz w:val="24"/>
          <w:szCs w:val="24"/>
          <w:lang w:val="el-GR"/>
        </w:rPr>
        <w:t xml:space="preserve"> </w:t>
      </w:r>
      <w:r>
        <w:rPr>
          <w:rFonts w:cstheme="minorHAnsi"/>
          <w:sz w:val="24"/>
          <w:szCs w:val="24"/>
          <w:lang w:val="el-GR"/>
        </w:rPr>
        <w:t>της</w:t>
      </w:r>
      <w:r w:rsidRPr="00DE4D61">
        <w:rPr>
          <w:rFonts w:cstheme="minorHAnsi"/>
          <w:sz w:val="24"/>
          <w:szCs w:val="24"/>
          <w:lang w:val="el-GR"/>
        </w:rPr>
        <w:t xml:space="preserve"> </w:t>
      </w:r>
      <w:r>
        <w:rPr>
          <w:rFonts w:cstheme="minorHAnsi"/>
          <w:sz w:val="24"/>
          <w:szCs w:val="24"/>
          <w:lang w:val="el-GR"/>
        </w:rPr>
        <w:t>διαφθοράς</w:t>
      </w:r>
      <w:r w:rsidR="00220066" w:rsidRPr="00DE4D61">
        <w:rPr>
          <w:rFonts w:cstheme="minorHAnsi"/>
          <w:sz w:val="24"/>
          <w:szCs w:val="24"/>
          <w:lang w:val="el-GR"/>
        </w:rPr>
        <w:t xml:space="preserve"> </w:t>
      </w:r>
      <w:r>
        <w:rPr>
          <w:rFonts w:cstheme="minorHAnsi"/>
          <w:sz w:val="24"/>
          <w:szCs w:val="24"/>
          <w:lang w:val="el-GR"/>
        </w:rPr>
        <w:t>σε</w:t>
      </w:r>
      <w:r w:rsidRPr="00DE4D61">
        <w:rPr>
          <w:rFonts w:cstheme="minorHAnsi"/>
          <w:sz w:val="24"/>
          <w:szCs w:val="24"/>
          <w:lang w:val="el-GR"/>
        </w:rPr>
        <w:t xml:space="preserve"> </w:t>
      </w:r>
      <w:r w:rsidR="00220066" w:rsidRPr="004E251E">
        <w:rPr>
          <w:rFonts w:cstheme="minorHAnsi"/>
          <w:sz w:val="24"/>
          <w:szCs w:val="24"/>
        </w:rPr>
        <w:lastRenderedPageBreak/>
        <w:t>ad</w:t>
      </w:r>
      <w:r w:rsidR="00220066" w:rsidRPr="00DE4D61">
        <w:rPr>
          <w:rFonts w:cstheme="minorHAnsi"/>
          <w:sz w:val="24"/>
          <w:szCs w:val="24"/>
          <w:lang w:val="el-GR"/>
        </w:rPr>
        <w:t xml:space="preserve"> </w:t>
      </w:r>
      <w:r w:rsidR="00220066" w:rsidRPr="004E251E">
        <w:rPr>
          <w:rFonts w:cstheme="minorHAnsi"/>
          <w:sz w:val="24"/>
          <w:szCs w:val="24"/>
        </w:rPr>
        <w:t>hoc</w:t>
      </w:r>
      <w:r w:rsidR="00220066" w:rsidRPr="00DE4D61">
        <w:rPr>
          <w:rFonts w:cstheme="minorHAnsi"/>
          <w:sz w:val="24"/>
          <w:szCs w:val="24"/>
          <w:lang w:val="el-GR"/>
        </w:rPr>
        <w:t xml:space="preserve"> </w:t>
      </w:r>
      <w:r>
        <w:rPr>
          <w:rFonts w:cstheme="minorHAnsi"/>
          <w:sz w:val="24"/>
          <w:szCs w:val="24"/>
          <w:lang w:val="el-GR"/>
        </w:rPr>
        <w:t>βάση</w:t>
      </w:r>
      <w:r w:rsidR="00220066" w:rsidRPr="00DE4D61">
        <w:rPr>
          <w:rFonts w:cstheme="minorHAnsi"/>
          <w:sz w:val="24"/>
          <w:szCs w:val="24"/>
          <w:lang w:val="el-GR"/>
        </w:rPr>
        <w:t xml:space="preserve"> </w:t>
      </w:r>
      <w:r>
        <w:rPr>
          <w:rFonts w:cstheme="minorHAnsi"/>
          <w:sz w:val="24"/>
          <w:szCs w:val="24"/>
          <w:lang w:val="el-GR"/>
        </w:rPr>
        <w:t>δεν</w:t>
      </w:r>
      <w:r w:rsidRPr="00DE4D61">
        <w:rPr>
          <w:rFonts w:cstheme="minorHAnsi"/>
          <w:sz w:val="24"/>
          <w:szCs w:val="24"/>
          <w:lang w:val="el-GR"/>
        </w:rPr>
        <w:t xml:space="preserve"> </w:t>
      </w:r>
      <w:r>
        <w:rPr>
          <w:rFonts w:cstheme="minorHAnsi"/>
          <w:sz w:val="24"/>
          <w:szCs w:val="24"/>
          <w:lang w:val="el-GR"/>
        </w:rPr>
        <w:t>κάνει</w:t>
      </w:r>
      <w:r w:rsidRPr="00DE4D61">
        <w:rPr>
          <w:rFonts w:cstheme="minorHAnsi"/>
          <w:sz w:val="24"/>
          <w:szCs w:val="24"/>
          <w:lang w:val="el-GR"/>
        </w:rPr>
        <w:t xml:space="preserve"> </w:t>
      </w:r>
      <w:r>
        <w:rPr>
          <w:rFonts w:cstheme="minorHAnsi"/>
          <w:sz w:val="24"/>
          <w:szCs w:val="24"/>
          <w:lang w:val="el-GR"/>
        </w:rPr>
        <w:t>το</w:t>
      </w:r>
      <w:r w:rsidR="002643CE">
        <w:rPr>
          <w:rFonts w:cstheme="minorHAnsi"/>
          <w:sz w:val="24"/>
          <w:szCs w:val="24"/>
          <w:lang w:val="el-GR"/>
        </w:rPr>
        <w:t xml:space="preserve"> </w:t>
      </w:r>
      <w:r>
        <w:rPr>
          <w:rFonts w:cstheme="minorHAnsi"/>
          <w:sz w:val="24"/>
          <w:szCs w:val="24"/>
          <w:lang w:val="el-GR"/>
        </w:rPr>
        <w:t>πλαίσιο</w:t>
      </w:r>
      <w:r w:rsidRPr="00DE4D61">
        <w:rPr>
          <w:rFonts w:cstheme="minorHAnsi"/>
          <w:sz w:val="24"/>
          <w:szCs w:val="24"/>
          <w:lang w:val="el-GR"/>
        </w:rPr>
        <w:t xml:space="preserve"> </w:t>
      </w:r>
      <w:r>
        <w:rPr>
          <w:rFonts w:cstheme="minorHAnsi"/>
          <w:sz w:val="24"/>
          <w:szCs w:val="24"/>
          <w:lang w:val="el-GR"/>
        </w:rPr>
        <w:t>απαραιτήτως</w:t>
      </w:r>
      <w:r w:rsidRPr="00DE4D61">
        <w:rPr>
          <w:rFonts w:cstheme="minorHAnsi"/>
          <w:sz w:val="24"/>
          <w:szCs w:val="24"/>
          <w:lang w:val="el-GR"/>
        </w:rPr>
        <w:t xml:space="preserve"> </w:t>
      </w:r>
      <w:r>
        <w:rPr>
          <w:rFonts w:cstheme="minorHAnsi"/>
          <w:sz w:val="24"/>
          <w:szCs w:val="24"/>
          <w:lang w:val="el-GR"/>
        </w:rPr>
        <w:t>πιο</w:t>
      </w:r>
      <w:r w:rsidRPr="00DE4D61">
        <w:rPr>
          <w:rFonts w:cstheme="minorHAnsi"/>
          <w:sz w:val="24"/>
          <w:szCs w:val="24"/>
          <w:lang w:val="el-GR"/>
        </w:rPr>
        <w:t xml:space="preserve"> </w:t>
      </w:r>
      <w:r>
        <w:rPr>
          <w:rFonts w:cstheme="minorHAnsi"/>
          <w:sz w:val="24"/>
          <w:szCs w:val="24"/>
          <w:lang w:val="el-GR"/>
        </w:rPr>
        <w:t>δυνατό</w:t>
      </w:r>
      <w:r w:rsidR="00220066" w:rsidRPr="00DE4D61">
        <w:rPr>
          <w:rFonts w:cstheme="minorHAnsi"/>
          <w:sz w:val="24"/>
          <w:szCs w:val="24"/>
          <w:lang w:val="el-GR"/>
        </w:rPr>
        <w:t xml:space="preserve">, </w:t>
      </w:r>
      <w:r>
        <w:rPr>
          <w:rFonts w:cstheme="minorHAnsi"/>
          <w:sz w:val="24"/>
          <w:szCs w:val="24"/>
          <w:lang w:val="el-GR"/>
        </w:rPr>
        <w:t>αλλά</w:t>
      </w:r>
      <w:r w:rsidRPr="00DE4D61">
        <w:rPr>
          <w:rFonts w:cstheme="minorHAnsi"/>
          <w:sz w:val="24"/>
          <w:szCs w:val="24"/>
          <w:lang w:val="el-GR"/>
        </w:rPr>
        <w:t xml:space="preserve"> </w:t>
      </w:r>
      <w:r>
        <w:rPr>
          <w:rFonts w:cstheme="minorHAnsi"/>
          <w:sz w:val="24"/>
          <w:szCs w:val="24"/>
          <w:lang w:val="el-GR"/>
        </w:rPr>
        <w:t>μάλλον</w:t>
      </w:r>
      <w:r w:rsidR="00220066" w:rsidRPr="00DE4D61">
        <w:rPr>
          <w:rFonts w:cstheme="minorHAnsi"/>
          <w:sz w:val="24"/>
          <w:szCs w:val="24"/>
          <w:lang w:val="el-GR"/>
        </w:rPr>
        <w:t xml:space="preserve">, </w:t>
      </w:r>
      <w:r>
        <w:rPr>
          <w:rFonts w:cstheme="minorHAnsi"/>
          <w:sz w:val="24"/>
          <w:szCs w:val="24"/>
          <w:lang w:val="el-GR"/>
        </w:rPr>
        <w:t xml:space="preserve">έχει την </w:t>
      </w:r>
      <w:r w:rsidR="002643CE">
        <w:rPr>
          <w:rFonts w:cstheme="minorHAnsi"/>
          <w:sz w:val="24"/>
          <w:szCs w:val="24"/>
          <w:lang w:val="el-GR"/>
        </w:rPr>
        <w:t>δυνατότητα</w:t>
      </w:r>
      <w:r>
        <w:rPr>
          <w:rFonts w:cstheme="minorHAnsi"/>
          <w:sz w:val="24"/>
          <w:szCs w:val="24"/>
          <w:lang w:val="el-GR"/>
        </w:rPr>
        <w:t xml:space="preserve"> να το κάνει πιο μπερδεμένο</w:t>
      </w:r>
      <w:r w:rsidR="00220066" w:rsidRPr="00DE4D61">
        <w:rPr>
          <w:rFonts w:cstheme="minorHAnsi"/>
          <w:sz w:val="24"/>
          <w:szCs w:val="24"/>
          <w:lang w:val="el-GR"/>
        </w:rPr>
        <w:t xml:space="preserve">, </w:t>
      </w:r>
      <w:r>
        <w:rPr>
          <w:rFonts w:cstheme="minorHAnsi"/>
          <w:sz w:val="24"/>
          <w:szCs w:val="24"/>
          <w:lang w:val="el-GR"/>
        </w:rPr>
        <w:t>ή ακόμα πιο αδύνατο</w:t>
      </w:r>
      <w:r w:rsidR="00220066" w:rsidRPr="00DE4D61">
        <w:rPr>
          <w:rFonts w:cstheme="minorHAnsi"/>
          <w:sz w:val="24"/>
          <w:szCs w:val="24"/>
          <w:lang w:val="el-GR"/>
        </w:rPr>
        <w:t xml:space="preserve">, </w:t>
      </w:r>
      <w:r>
        <w:rPr>
          <w:rFonts w:cstheme="minorHAnsi"/>
          <w:sz w:val="24"/>
          <w:szCs w:val="24"/>
          <w:lang w:val="el-GR"/>
        </w:rPr>
        <w:t>αν οι γραμμές ευθύνης δεν είναι ξεκάθαρες</w:t>
      </w:r>
      <w:r w:rsidR="00220066" w:rsidRPr="00DE4D61">
        <w:rPr>
          <w:rFonts w:cstheme="minorHAnsi"/>
          <w:sz w:val="24"/>
          <w:szCs w:val="24"/>
          <w:lang w:val="el-GR"/>
        </w:rPr>
        <w:t xml:space="preserve">. </w:t>
      </w:r>
      <w:r w:rsidR="00690FA9">
        <w:rPr>
          <w:rFonts w:cstheme="minorHAnsi"/>
          <w:sz w:val="24"/>
          <w:szCs w:val="24"/>
          <w:lang w:val="en-US"/>
        </w:rPr>
        <w:t>X</w:t>
      </w:r>
      <w:proofErr w:type="spellStart"/>
      <w:r w:rsidR="00690FA9">
        <w:rPr>
          <w:rFonts w:cstheme="minorHAnsi"/>
          <w:sz w:val="24"/>
          <w:szCs w:val="24"/>
          <w:lang w:val="el-GR"/>
        </w:rPr>
        <w:t>ρειάζεται</w:t>
      </w:r>
      <w:proofErr w:type="spellEnd"/>
      <w:r w:rsidR="00690FA9" w:rsidRPr="00690FA9">
        <w:rPr>
          <w:rFonts w:cstheme="minorHAnsi"/>
          <w:sz w:val="24"/>
          <w:szCs w:val="24"/>
          <w:lang w:val="el-GR"/>
        </w:rPr>
        <w:t xml:space="preserve"> </w:t>
      </w:r>
      <w:r w:rsidR="00690FA9">
        <w:rPr>
          <w:rFonts w:cstheme="minorHAnsi"/>
          <w:sz w:val="24"/>
          <w:szCs w:val="24"/>
          <w:lang w:val="el-GR"/>
        </w:rPr>
        <w:t>μια</w:t>
      </w:r>
      <w:r w:rsidR="00690FA9" w:rsidRPr="00690FA9">
        <w:rPr>
          <w:rFonts w:cstheme="minorHAnsi"/>
          <w:sz w:val="24"/>
          <w:szCs w:val="24"/>
          <w:lang w:val="el-GR"/>
        </w:rPr>
        <w:t xml:space="preserve"> </w:t>
      </w:r>
      <w:r w:rsidR="00690FA9">
        <w:rPr>
          <w:rFonts w:cstheme="minorHAnsi"/>
          <w:sz w:val="24"/>
          <w:szCs w:val="24"/>
          <w:lang w:val="el-GR"/>
        </w:rPr>
        <w:t>αξιολόγηση</w:t>
      </w:r>
      <w:r w:rsidR="00690FA9" w:rsidRPr="00690FA9">
        <w:rPr>
          <w:rFonts w:cstheme="minorHAnsi"/>
          <w:sz w:val="24"/>
          <w:szCs w:val="24"/>
          <w:lang w:val="el-GR"/>
        </w:rPr>
        <w:t xml:space="preserve"> </w:t>
      </w:r>
      <w:r w:rsidR="00690FA9">
        <w:rPr>
          <w:rFonts w:cstheme="minorHAnsi"/>
          <w:sz w:val="24"/>
          <w:szCs w:val="24"/>
          <w:lang w:val="el-GR"/>
        </w:rPr>
        <w:t>των</w:t>
      </w:r>
      <w:r w:rsidR="00690FA9" w:rsidRPr="00690FA9">
        <w:rPr>
          <w:rFonts w:cstheme="minorHAnsi"/>
          <w:sz w:val="24"/>
          <w:szCs w:val="24"/>
          <w:lang w:val="el-GR"/>
        </w:rPr>
        <w:t xml:space="preserve"> </w:t>
      </w:r>
      <w:r w:rsidR="00690FA9">
        <w:rPr>
          <w:rFonts w:cstheme="minorHAnsi"/>
          <w:sz w:val="24"/>
          <w:szCs w:val="24"/>
          <w:lang w:val="el-GR"/>
        </w:rPr>
        <w:t>υφιστάμενων</w:t>
      </w:r>
      <w:r w:rsidR="00690FA9" w:rsidRPr="00690FA9">
        <w:rPr>
          <w:rFonts w:cstheme="minorHAnsi"/>
          <w:sz w:val="24"/>
          <w:szCs w:val="24"/>
          <w:lang w:val="el-GR"/>
        </w:rPr>
        <w:t xml:space="preserve"> </w:t>
      </w:r>
      <w:r w:rsidR="00690FA9">
        <w:rPr>
          <w:rFonts w:cstheme="minorHAnsi"/>
          <w:sz w:val="24"/>
          <w:szCs w:val="24"/>
          <w:lang w:val="el-GR"/>
        </w:rPr>
        <w:t>μέτρων</w:t>
      </w:r>
      <w:r w:rsidR="00690FA9" w:rsidRPr="00690FA9">
        <w:rPr>
          <w:rFonts w:cstheme="minorHAnsi"/>
          <w:sz w:val="24"/>
          <w:szCs w:val="24"/>
          <w:lang w:val="el-GR"/>
        </w:rPr>
        <w:t xml:space="preserve"> </w:t>
      </w:r>
      <w:r w:rsidR="00690FA9">
        <w:rPr>
          <w:rFonts w:cstheme="minorHAnsi"/>
          <w:sz w:val="24"/>
          <w:szCs w:val="24"/>
          <w:lang w:val="el-GR"/>
        </w:rPr>
        <w:t>από</w:t>
      </w:r>
      <w:r w:rsidR="00690FA9" w:rsidRPr="00690FA9">
        <w:rPr>
          <w:rFonts w:cstheme="minorHAnsi"/>
          <w:sz w:val="24"/>
          <w:szCs w:val="24"/>
          <w:lang w:val="el-GR"/>
        </w:rPr>
        <w:t xml:space="preserve"> </w:t>
      </w:r>
      <w:r w:rsidR="00690FA9">
        <w:rPr>
          <w:rFonts w:cstheme="minorHAnsi"/>
          <w:sz w:val="24"/>
          <w:szCs w:val="24"/>
          <w:lang w:val="el-GR"/>
        </w:rPr>
        <w:t>πάνω</w:t>
      </w:r>
      <w:r w:rsidR="00690FA9" w:rsidRPr="00690FA9">
        <w:rPr>
          <w:rFonts w:cstheme="minorHAnsi"/>
          <w:sz w:val="24"/>
          <w:szCs w:val="24"/>
          <w:lang w:val="el-GR"/>
        </w:rPr>
        <w:t xml:space="preserve"> </w:t>
      </w:r>
      <w:r w:rsidR="00690FA9">
        <w:rPr>
          <w:rFonts w:cstheme="minorHAnsi"/>
          <w:sz w:val="24"/>
          <w:szCs w:val="24"/>
          <w:lang w:val="el-GR"/>
        </w:rPr>
        <w:t>προς</w:t>
      </w:r>
      <w:r w:rsidR="00690FA9" w:rsidRPr="00690FA9">
        <w:rPr>
          <w:rFonts w:cstheme="minorHAnsi"/>
          <w:sz w:val="24"/>
          <w:szCs w:val="24"/>
          <w:lang w:val="el-GR"/>
        </w:rPr>
        <w:t xml:space="preserve"> </w:t>
      </w:r>
      <w:r w:rsidR="00337469">
        <w:rPr>
          <w:rFonts w:cstheme="minorHAnsi"/>
          <w:sz w:val="24"/>
          <w:szCs w:val="24"/>
          <w:lang w:val="el-GR"/>
        </w:rPr>
        <w:t xml:space="preserve">τα </w:t>
      </w:r>
      <w:r w:rsidR="00690FA9">
        <w:rPr>
          <w:rFonts w:cstheme="minorHAnsi"/>
          <w:sz w:val="24"/>
          <w:szCs w:val="24"/>
          <w:lang w:val="el-GR"/>
        </w:rPr>
        <w:t>κάτω</w:t>
      </w:r>
      <w:r w:rsidR="00220066" w:rsidRPr="00690FA9">
        <w:rPr>
          <w:rFonts w:cstheme="minorHAnsi"/>
          <w:sz w:val="24"/>
          <w:szCs w:val="24"/>
          <w:lang w:val="el-GR"/>
        </w:rPr>
        <w:t xml:space="preserve">, </w:t>
      </w:r>
      <w:r w:rsidR="00690FA9">
        <w:rPr>
          <w:rFonts w:cstheme="minorHAnsi"/>
          <w:sz w:val="24"/>
          <w:szCs w:val="24"/>
          <w:lang w:val="el-GR"/>
        </w:rPr>
        <w:t>το</w:t>
      </w:r>
      <w:r w:rsidR="00690FA9" w:rsidRPr="00690FA9">
        <w:rPr>
          <w:rFonts w:cstheme="minorHAnsi"/>
          <w:sz w:val="24"/>
          <w:szCs w:val="24"/>
          <w:lang w:val="el-GR"/>
        </w:rPr>
        <w:t xml:space="preserve"> </w:t>
      </w:r>
      <w:r w:rsidR="00690FA9">
        <w:rPr>
          <w:rFonts w:cstheme="minorHAnsi"/>
          <w:sz w:val="24"/>
          <w:szCs w:val="24"/>
          <w:lang w:val="el-GR"/>
        </w:rPr>
        <w:t>πώς εφαρμόζονται ευρέως</w:t>
      </w:r>
      <w:r w:rsidR="00220066" w:rsidRPr="00690FA9">
        <w:rPr>
          <w:rFonts w:cstheme="minorHAnsi"/>
          <w:sz w:val="24"/>
          <w:szCs w:val="24"/>
          <w:lang w:val="el-GR"/>
        </w:rPr>
        <w:t xml:space="preserve">, </w:t>
      </w:r>
      <w:r w:rsidR="00337469">
        <w:rPr>
          <w:rFonts w:cstheme="minorHAnsi"/>
          <w:sz w:val="24"/>
          <w:szCs w:val="24"/>
          <w:lang w:val="el-GR"/>
        </w:rPr>
        <w:t xml:space="preserve">το </w:t>
      </w:r>
      <w:r w:rsidR="00690FA9">
        <w:rPr>
          <w:rFonts w:cstheme="minorHAnsi"/>
          <w:sz w:val="24"/>
          <w:szCs w:val="24"/>
          <w:lang w:val="el-GR"/>
        </w:rPr>
        <w:t>πώς επιβάλλονται</w:t>
      </w:r>
      <w:r w:rsidR="00220066" w:rsidRPr="00690FA9">
        <w:rPr>
          <w:rFonts w:cstheme="minorHAnsi"/>
          <w:sz w:val="24"/>
          <w:szCs w:val="24"/>
          <w:lang w:val="el-GR"/>
        </w:rPr>
        <w:t>,</w:t>
      </w:r>
      <w:r w:rsidR="00B70C21" w:rsidRPr="00690FA9">
        <w:rPr>
          <w:rFonts w:cstheme="minorHAnsi"/>
          <w:sz w:val="24"/>
          <w:szCs w:val="24"/>
          <w:lang w:val="el-GR"/>
        </w:rPr>
        <w:t xml:space="preserve"> </w:t>
      </w:r>
      <w:r w:rsidR="00690FA9">
        <w:rPr>
          <w:rFonts w:cstheme="minorHAnsi"/>
          <w:sz w:val="24"/>
          <w:szCs w:val="24"/>
          <w:lang w:val="el-GR"/>
        </w:rPr>
        <w:t xml:space="preserve">και </w:t>
      </w:r>
      <w:r w:rsidR="00FC7953">
        <w:rPr>
          <w:rFonts w:cstheme="minorHAnsi"/>
          <w:sz w:val="24"/>
          <w:szCs w:val="24"/>
          <w:lang w:val="el-GR"/>
        </w:rPr>
        <w:t xml:space="preserve">το </w:t>
      </w:r>
      <w:r w:rsidR="00690FA9">
        <w:rPr>
          <w:rFonts w:cstheme="minorHAnsi"/>
          <w:sz w:val="24"/>
          <w:szCs w:val="24"/>
          <w:lang w:val="el-GR"/>
        </w:rPr>
        <w:t>πώς</w:t>
      </w:r>
      <w:r w:rsidR="00690FA9" w:rsidRPr="00690FA9">
        <w:rPr>
          <w:rFonts w:cstheme="minorHAnsi"/>
          <w:sz w:val="24"/>
          <w:szCs w:val="24"/>
          <w:lang w:val="el-GR"/>
        </w:rPr>
        <w:t xml:space="preserve"> </w:t>
      </w:r>
      <w:r w:rsidR="00690FA9">
        <w:rPr>
          <w:rFonts w:cstheme="minorHAnsi"/>
          <w:sz w:val="24"/>
          <w:szCs w:val="24"/>
          <w:lang w:val="el-GR"/>
        </w:rPr>
        <w:t>λειτουργούν παράλληλα</w:t>
      </w:r>
      <w:r w:rsidR="00220066" w:rsidRPr="00690FA9">
        <w:rPr>
          <w:rFonts w:cstheme="minorHAnsi"/>
          <w:sz w:val="24"/>
          <w:szCs w:val="24"/>
          <w:lang w:val="el-GR"/>
        </w:rPr>
        <w:t>.</w:t>
      </w:r>
      <w:r w:rsidR="00B70C21" w:rsidRPr="00690FA9">
        <w:rPr>
          <w:rFonts w:cstheme="minorHAnsi"/>
          <w:sz w:val="24"/>
          <w:szCs w:val="24"/>
          <w:lang w:val="el-GR"/>
        </w:rPr>
        <w:t xml:space="preserve"> </w:t>
      </w:r>
      <w:r w:rsidR="00220066" w:rsidRPr="00690FA9">
        <w:rPr>
          <w:rFonts w:cstheme="minorHAnsi"/>
          <w:sz w:val="24"/>
          <w:szCs w:val="24"/>
          <w:lang w:val="el-GR"/>
        </w:rPr>
        <w:t xml:space="preserve"> </w:t>
      </w:r>
    </w:p>
    <w:p w14:paraId="36137045" w14:textId="77777777" w:rsidR="00B70C21" w:rsidRPr="00690FA9" w:rsidRDefault="00B70C21" w:rsidP="00B70C21">
      <w:pPr>
        <w:pStyle w:val="ListParagraph"/>
        <w:rPr>
          <w:rFonts w:cstheme="minorHAnsi"/>
          <w:sz w:val="24"/>
          <w:szCs w:val="24"/>
          <w:lang w:val="el-GR"/>
        </w:rPr>
      </w:pPr>
    </w:p>
    <w:p w14:paraId="5CC1A196" w14:textId="014D6407" w:rsidR="00220066" w:rsidRPr="004A1ED5" w:rsidRDefault="00690FA9" w:rsidP="00610F55">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Υπό</w:t>
      </w:r>
      <w:r w:rsidRPr="00690FA9">
        <w:rPr>
          <w:rFonts w:cstheme="minorHAnsi"/>
          <w:sz w:val="24"/>
          <w:szCs w:val="24"/>
          <w:lang w:val="el-GR"/>
        </w:rPr>
        <w:t xml:space="preserve"> </w:t>
      </w:r>
      <w:r>
        <w:rPr>
          <w:rFonts w:cstheme="minorHAnsi"/>
          <w:sz w:val="24"/>
          <w:szCs w:val="24"/>
          <w:lang w:val="el-GR"/>
        </w:rPr>
        <w:t>το</w:t>
      </w:r>
      <w:r w:rsidRPr="00690FA9">
        <w:rPr>
          <w:rFonts w:cstheme="minorHAnsi"/>
          <w:sz w:val="24"/>
          <w:szCs w:val="24"/>
          <w:lang w:val="el-GR"/>
        </w:rPr>
        <w:t xml:space="preserve"> </w:t>
      </w:r>
      <w:r>
        <w:rPr>
          <w:rFonts w:cstheme="minorHAnsi"/>
          <w:sz w:val="24"/>
          <w:szCs w:val="24"/>
          <w:lang w:val="el-GR"/>
        </w:rPr>
        <w:t>φως</w:t>
      </w:r>
      <w:r w:rsidRPr="00690FA9">
        <w:rPr>
          <w:rFonts w:cstheme="minorHAnsi"/>
          <w:sz w:val="24"/>
          <w:szCs w:val="24"/>
          <w:lang w:val="el-GR"/>
        </w:rPr>
        <w:t xml:space="preserve"> </w:t>
      </w:r>
      <w:r>
        <w:rPr>
          <w:rFonts w:cstheme="minorHAnsi"/>
          <w:sz w:val="24"/>
          <w:szCs w:val="24"/>
          <w:lang w:val="el-GR"/>
        </w:rPr>
        <w:t>της</w:t>
      </w:r>
      <w:r w:rsidRPr="00690FA9">
        <w:rPr>
          <w:rFonts w:cstheme="minorHAnsi"/>
          <w:sz w:val="24"/>
          <w:szCs w:val="24"/>
          <w:lang w:val="el-GR"/>
        </w:rPr>
        <w:t xml:space="preserve"> </w:t>
      </w:r>
      <w:r>
        <w:rPr>
          <w:rFonts w:cstheme="minorHAnsi"/>
          <w:sz w:val="24"/>
          <w:szCs w:val="24"/>
          <w:lang w:val="el-GR"/>
        </w:rPr>
        <w:t>βασικής</w:t>
      </w:r>
      <w:r w:rsidRPr="00690FA9">
        <w:rPr>
          <w:rFonts w:cstheme="minorHAnsi"/>
          <w:sz w:val="24"/>
          <w:szCs w:val="24"/>
          <w:lang w:val="el-GR"/>
        </w:rPr>
        <w:t xml:space="preserve"> </w:t>
      </w:r>
      <w:r>
        <w:rPr>
          <w:rFonts w:cstheme="minorHAnsi"/>
          <w:sz w:val="24"/>
          <w:szCs w:val="24"/>
          <w:lang w:val="el-GR"/>
        </w:rPr>
        <w:t>σημασίας</w:t>
      </w:r>
      <w:r w:rsidRPr="00690FA9">
        <w:rPr>
          <w:rFonts w:cstheme="minorHAnsi"/>
          <w:sz w:val="24"/>
          <w:szCs w:val="24"/>
          <w:lang w:val="el-GR"/>
        </w:rPr>
        <w:t xml:space="preserve"> </w:t>
      </w:r>
      <w:r>
        <w:rPr>
          <w:rFonts w:cstheme="minorHAnsi"/>
          <w:sz w:val="24"/>
          <w:szCs w:val="24"/>
          <w:lang w:val="el-GR"/>
        </w:rPr>
        <w:t>μιας</w:t>
      </w:r>
      <w:r w:rsidRPr="00690FA9">
        <w:rPr>
          <w:rFonts w:cstheme="minorHAnsi"/>
          <w:sz w:val="24"/>
          <w:szCs w:val="24"/>
          <w:lang w:val="el-GR"/>
        </w:rPr>
        <w:t xml:space="preserve"> </w:t>
      </w:r>
      <w:r>
        <w:rPr>
          <w:rFonts w:cstheme="minorHAnsi"/>
          <w:sz w:val="24"/>
          <w:szCs w:val="24"/>
          <w:lang w:val="el-GR"/>
        </w:rPr>
        <w:t>προσέγγισης</w:t>
      </w:r>
      <w:r w:rsidRPr="00690FA9">
        <w:rPr>
          <w:rFonts w:cstheme="minorHAnsi"/>
          <w:sz w:val="24"/>
          <w:szCs w:val="24"/>
          <w:lang w:val="el-GR"/>
        </w:rPr>
        <w:t xml:space="preserve"> </w:t>
      </w:r>
      <w:r>
        <w:rPr>
          <w:rFonts w:cstheme="minorHAnsi"/>
          <w:sz w:val="24"/>
          <w:szCs w:val="24"/>
          <w:lang w:val="el-GR"/>
        </w:rPr>
        <w:t>που</w:t>
      </w:r>
      <w:r w:rsidRPr="00690FA9">
        <w:rPr>
          <w:rFonts w:cstheme="minorHAnsi"/>
          <w:sz w:val="24"/>
          <w:szCs w:val="24"/>
          <w:lang w:val="el-GR"/>
        </w:rPr>
        <w:t xml:space="preserve"> </w:t>
      </w:r>
      <w:r>
        <w:rPr>
          <w:rFonts w:cstheme="minorHAnsi"/>
          <w:sz w:val="24"/>
          <w:szCs w:val="24"/>
          <w:lang w:val="el-GR"/>
        </w:rPr>
        <w:t>βασίζεται</w:t>
      </w:r>
      <w:r w:rsidRPr="00690FA9">
        <w:rPr>
          <w:rFonts w:cstheme="minorHAnsi"/>
          <w:sz w:val="24"/>
          <w:szCs w:val="24"/>
          <w:lang w:val="el-GR"/>
        </w:rPr>
        <w:t xml:space="preserve"> </w:t>
      </w:r>
      <w:r>
        <w:rPr>
          <w:rFonts w:cstheme="minorHAnsi"/>
          <w:sz w:val="24"/>
          <w:szCs w:val="24"/>
          <w:lang w:val="el-GR"/>
        </w:rPr>
        <w:t>στον</w:t>
      </w:r>
      <w:r w:rsidRPr="00690FA9">
        <w:rPr>
          <w:rFonts w:cstheme="minorHAnsi"/>
          <w:sz w:val="24"/>
          <w:szCs w:val="24"/>
          <w:lang w:val="el-GR"/>
        </w:rPr>
        <w:t xml:space="preserve"> </w:t>
      </w:r>
      <w:r>
        <w:rPr>
          <w:rFonts w:cstheme="minorHAnsi"/>
          <w:sz w:val="24"/>
          <w:szCs w:val="24"/>
          <w:lang w:val="el-GR"/>
        </w:rPr>
        <w:t>κίνδυνο</w:t>
      </w:r>
      <w:r w:rsidR="00FC7953">
        <w:rPr>
          <w:rFonts w:cstheme="minorHAnsi"/>
          <w:sz w:val="24"/>
          <w:szCs w:val="24"/>
          <w:lang w:val="el-GR"/>
        </w:rPr>
        <w:t>,</w:t>
      </w:r>
      <w:r w:rsidR="00B70C21" w:rsidRPr="00690FA9">
        <w:rPr>
          <w:rFonts w:cstheme="minorHAnsi"/>
          <w:sz w:val="24"/>
          <w:szCs w:val="24"/>
          <w:lang w:val="el-GR"/>
        </w:rPr>
        <w:t xml:space="preserve"> </w:t>
      </w:r>
      <w:r>
        <w:rPr>
          <w:rFonts w:cstheme="minorHAnsi"/>
          <w:sz w:val="24"/>
          <w:szCs w:val="24"/>
          <w:lang w:val="el-GR"/>
        </w:rPr>
        <w:t>στον</w:t>
      </w:r>
      <w:r w:rsidRPr="00690FA9">
        <w:rPr>
          <w:rFonts w:cstheme="minorHAnsi"/>
          <w:sz w:val="24"/>
          <w:szCs w:val="24"/>
          <w:lang w:val="el-GR"/>
        </w:rPr>
        <w:t xml:space="preserve"> </w:t>
      </w:r>
      <w:r>
        <w:rPr>
          <w:rFonts w:cstheme="minorHAnsi"/>
          <w:sz w:val="24"/>
          <w:szCs w:val="24"/>
          <w:lang w:val="el-GR"/>
        </w:rPr>
        <w:t>σχεδιασμό</w:t>
      </w:r>
      <w:r w:rsidRPr="00690FA9">
        <w:rPr>
          <w:rFonts w:cstheme="minorHAnsi"/>
          <w:sz w:val="24"/>
          <w:szCs w:val="24"/>
          <w:lang w:val="el-GR"/>
        </w:rPr>
        <w:t xml:space="preserve"> </w:t>
      </w:r>
      <w:r>
        <w:rPr>
          <w:rFonts w:cstheme="minorHAnsi"/>
          <w:sz w:val="24"/>
          <w:szCs w:val="24"/>
          <w:lang w:val="el-GR"/>
        </w:rPr>
        <w:t>και</w:t>
      </w:r>
      <w:r w:rsidRPr="00690FA9">
        <w:rPr>
          <w:rFonts w:cstheme="minorHAnsi"/>
          <w:sz w:val="24"/>
          <w:szCs w:val="24"/>
          <w:lang w:val="el-GR"/>
        </w:rPr>
        <w:t xml:space="preserve"> </w:t>
      </w:r>
      <w:r>
        <w:rPr>
          <w:rFonts w:cstheme="minorHAnsi"/>
          <w:sz w:val="24"/>
          <w:szCs w:val="24"/>
          <w:lang w:val="el-GR"/>
        </w:rPr>
        <w:t>την</w:t>
      </w:r>
      <w:r w:rsidRPr="00690FA9">
        <w:rPr>
          <w:rFonts w:cstheme="minorHAnsi"/>
          <w:sz w:val="24"/>
          <w:szCs w:val="24"/>
          <w:lang w:val="el-GR"/>
        </w:rPr>
        <w:t xml:space="preserve"> </w:t>
      </w:r>
      <w:r>
        <w:rPr>
          <w:rFonts w:cstheme="minorHAnsi"/>
          <w:sz w:val="24"/>
          <w:szCs w:val="24"/>
          <w:lang w:val="el-GR"/>
        </w:rPr>
        <w:t>υλοποίηση</w:t>
      </w:r>
      <w:r w:rsidR="00B70C21" w:rsidRPr="00690FA9">
        <w:rPr>
          <w:rFonts w:cstheme="minorHAnsi"/>
          <w:sz w:val="24"/>
          <w:szCs w:val="24"/>
          <w:lang w:val="el-GR"/>
        </w:rPr>
        <w:t xml:space="preserve"> </w:t>
      </w:r>
      <w:r>
        <w:rPr>
          <w:rFonts w:cstheme="minorHAnsi"/>
          <w:sz w:val="24"/>
          <w:szCs w:val="24"/>
          <w:lang w:val="el-GR"/>
        </w:rPr>
        <w:t>οποιασδήποτε</w:t>
      </w:r>
      <w:r w:rsidRPr="00690FA9">
        <w:rPr>
          <w:rFonts w:cstheme="minorHAnsi"/>
          <w:sz w:val="24"/>
          <w:szCs w:val="24"/>
          <w:lang w:val="el-GR"/>
        </w:rPr>
        <w:t xml:space="preserve"> </w:t>
      </w:r>
      <w:r>
        <w:rPr>
          <w:rFonts w:cstheme="minorHAnsi"/>
          <w:sz w:val="24"/>
          <w:szCs w:val="24"/>
          <w:lang w:val="el-GR"/>
        </w:rPr>
        <w:t>πολιτικής</w:t>
      </w:r>
      <w:r w:rsidRPr="00690FA9">
        <w:rPr>
          <w:rFonts w:cstheme="minorHAnsi"/>
          <w:sz w:val="24"/>
          <w:szCs w:val="24"/>
          <w:lang w:val="el-GR"/>
        </w:rPr>
        <w:t xml:space="preserve"> </w:t>
      </w:r>
      <w:r>
        <w:rPr>
          <w:rFonts w:cstheme="minorHAnsi"/>
          <w:sz w:val="24"/>
          <w:szCs w:val="24"/>
          <w:lang w:val="el-GR"/>
        </w:rPr>
        <w:t>κατά</w:t>
      </w:r>
      <w:r w:rsidRPr="00690FA9">
        <w:rPr>
          <w:rFonts w:cstheme="minorHAnsi"/>
          <w:sz w:val="24"/>
          <w:szCs w:val="24"/>
          <w:lang w:val="el-GR"/>
        </w:rPr>
        <w:t xml:space="preserve"> </w:t>
      </w:r>
      <w:r>
        <w:rPr>
          <w:rFonts w:cstheme="minorHAnsi"/>
          <w:sz w:val="24"/>
          <w:szCs w:val="24"/>
          <w:lang w:val="el-GR"/>
        </w:rPr>
        <w:t>της</w:t>
      </w:r>
      <w:r w:rsidRPr="00690FA9">
        <w:rPr>
          <w:rFonts w:cstheme="minorHAnsi"/>
          <w:sz w:val="24"/>
          <w:szCs w:val="24"/>
          <w:lang w:val="el-GR"/>
        </w:rPr>
        <w:t xml:space="preserve"> </w:t>
      </w:r>
      <w:r>
        <w:rPr>
          <w:rFonts w:cstheme="minorHAnsi"/>
          <w:sz w:val="24"/>
          <w:szCs w:val="24"/>
          <w:lang w:val="el-GR"/>
        </w:rPr>
        <w:t>διαφθοράς</w:t>
      </w:r>
      <w:r w:rsidR="00B70C21" w:rsidRPr="00690FA9">
        <w:rPr>
          <w:rFonts w:cstheme="minorHAnsi"/>
          <w:sz w:val="24"/>
          <w:szCs w:val="24"/>
          <w:lang w:val="el-GR"/>
        </w:rPr>
        <w:t xml:space="preserve">, </w:t>
      </w:r>
      <w:r>
        <w:rPr>
          <w:rFonts w:cstheme="minorHAnsi"/>
          <w:sz w:val="24"/>
          <w:szCs w:val="24"/>
          <w:lang w:val="el-GR"/>
        </w:rPr>
        <w:t>η</w:t>
      </w:r>
      <w:r w:rsidRPr="00690FA9">
        <w:rPr>
          <w:rFonts w:cstheme="minorHAnsi"/>
          <w:sz w:val="24"/>
          <w:szCs w:val="24"/>
          <w:lang w:val="el-GR"/>
        </w:rPr>
        <w:t xml:space="preserve"> </w:t>
      </w:r>
      <w:r w:rsidR="009C4E34">
        <w:rPr>
          <w:rFonts w:cstheme="minorHAnsi"/>
          <w:sz w:val="24"/>
          <w:szCs w:val="24"/>
          <w:lang w:val="el-GR"/>
        </w:rPr>
        <w:t>Αστυνομία</w:t>
      </w:r>
      <w:r w:rsidRPr="00690FA9">
        <w:rPr>
          <w:rFonts w:cstheme="minorHAnsi"/>
          <w:sz w:val="24"/>
          <w:szCs w:val="24"/>
          <w:lang w:val="el-GR"/>
        </w:rPr>
        <w:t xml:space="preserve"> </w:t>
      </w:r>
      <w:r>
        <w:rPr>
          <w:rFonts w:cstheme="minorHAnsi"/>
          <w:sz w:val="24"/>
          <w:szCs w:val="24"/>
          <w:lang w:val="el-GR"/>
        </w:rPr>
        <w:t>πρέπει</w:t>
      </w:r>
      <w:r w:rsidRPr="00690FA9">
        <w:rPr>
          <w:rFonts w:cstheme="minorHAnsi"/>
          <w:sz w:val="24"/>
          <w:szCs w:val="24"/>
          <w:lang w:val="el-GR"/>
        </w:rPr>
        <w:t xml:space="preserve"> </w:t>
      </w:r>
      <w:r>
        <w:rPr>
          <w:rFonts w:cstheme="minorHAnsi"/>
          <w:sz w:val="24"/>
          <w:szCs w:val="24"/>
          <w:lang w:val="el-GR"/>
        </w:rPr>
        <w:t>να</w:t>
      </w:r>
      <w:r w:rsidRPr="00690FA9">
        <w:rPr>
          <w:rFonts w:cstheme="minorHAnsi"/>
          <w:sz w:val="24"/>
          <w:szCs w:val="24"/>
          <w:lang w:val="el-GR"/>
        </w:rPr>
        <w:t xml:space="preserve"> </w:t>
      </w:r>
      <w:r>
        <w:rPr>
          <w:rFonts w:cstheme="minorHAnsi"/>
          <w:sz w:val="24"/>
          <w:szCs w:val="24"/>
          <w:lang w:val="el-GR"/>
        </w:rPr>
        <w:t>αναθεωρήσει</w:t>
      </w:r>
      <w:r w:rsidRPr="00690FA9">
        <w:rPr>
          <w:rFonts w:cstheme="minorHAnsi"/>
          <w:sz w:val="24"/>
          <w:szCs w:val="24"/>
          <w:lang w:val="el-GR"/>
        </w:rPr>
        <w:t xml:space="preserve"> </w:t>
      </w:r>
      <w:r>
        <w:rPr>
          <w:rFonts w:cstheme="minorHAnsi"/>
          <w:sz w:val="24"/>
          <w:szCs w:val="24"/>
          <w:lang w:val="el-GR"/>
        </w:rPr>
        <w:t>τις</w:t>
      </w:r>
      <w:r w:rsidRPr="00690FA9">
        <w:rPr>
          <w:rFonts w:cstheme="minorHAnsi"/>
          <w:sz w:val="24"/>
          <w:szCs w:val="24"/>
          <w:lang w:val="el-GR"/>
        </w:rPr>
        <w:t xml:space="preserve"> </w:t>
      </w:r>
      <w:r>
        <w:rPr>
          <w:rFonts w:cstheme="minorHAnsi"/>
          <w:sz w:val="24"/>
          <w:szCs w:val="24"/>
          <w:lang w:val="el-GR"/>
        </w:rPr>
        <w:t>διευθετήσεις της</w:t>
      </w:r>
      <w:r w:rsidRPr="00690FA9">
        <w:rPr>
          <w:rFonts w:cstheme="minorHAnsi"/>
          <w:sz w:val="24"/>
          <w:szCs w:val="24"/>
          <w:lang w:val="el-GR"/>
        </w:rPr>
        <w:t xml:space="preserve"> </w:t>
      </w:r>
      <w:r>
        <w:rPr>
          <w:rFonts w:cstheme="minorHAnsi"/>
          <w:sz w:val="24"/>
          <w:szCs w:val="24"/>
          <w:lang w:val="el-GR"/>
        </w:rPr>
        <w:t>και να αναπτύξει μια συντονισμένη πολιτική ακεραιότητας και πρόληψης της διαφθοράς</w:t>
      </w:r>
      <w:r w:rsidR="00B70C21" w:rsidRPr="00690FA9">
        <w:rPr>
          <w:rFonts w:cstheme="minorHAnsi"/>
          <w:sz w:val="24"/>
          <w:szCs w:val="24"/>
          <w:lang w:val="el-GR"/>
        </w:rPr>
        <w:t xml:space="preserve"> </w:t>
      </w:r>
      <w:r>
        <w:rPr>
          <w:rFonts w:cstheme="minorHAnsi"/>
          <w:sz w:val="24"/>
          <w:szCs w:val="24"/>
          <w:lang w:val="el-GR"/>
        </w:rPr>
        <w:t>βασισμένη</w:t>
      </w:r>
      <w:r w:rsidR="00B70C21" w:rsidRPr="00690FA9">
        <w:rPr>
          <w:rFonts w:cstheme="minorHAnsi"/>
          <w:sz w:val="24"/>
          <w:szCs w:val="24"/>
          <w:lang w:val="el-GR"/>
        </w:rPr>
        <w:t xml:space="preserve"> </w:t>
      </w:r>
      <w:r>
        <w:rPr>
          <w:rFonts w:cstheme="minorHAnsi"/>
          <w:sz w:val="24"/>
          <w:szCs w:val="24"/>
          <w:lang w:val="el-GR"/>
        </w:rPr>
        <w:t>στην αξιολόγηση του κινδύνου</w:t>
      </w:r>
      <w:r w:rsidR="00B70C21" w:rsidRPr="00690FA9">
        <w:rPr>
          <w:rFonts w:cstheme="minorHAnsi"/>
          <w:sz w:val="24"/>
          <w:szCs w:val="24"/>
          <w:lang w:val="el-GR"/>
        </w:rPr>
        <w:t xml:space="preserve">, </w:t>
      </w:r>
      <w:r>
        <w:rPr>
          <w:rFonts w:cstheme="minorHAnsi"/>
          <w:sz w:val="24"/>
          <w:szCs w:val="24"/>
          <w:lang w:val="el-GR"/>
        </w:rPr>
        <w:t xml:space="preserve">συνοδευόμενη από μέτρα </w:t>
      </w:r>
      <w:proofErr w:type="spellStart"/>
      <w:r>
        <w:rPr>
          <w:rFonts w:cstheme="minorHAnsi"/>
          <w:sz w:val="24"/>
          <w:szCs w:val="24"/>
          <w:lang w:val="el-GR"/>
        </w:rPr>
        <w:t>στοχευμένου</w:t>
      </w:r>
      <w:proofErr w:type="spellEnd"/>
      <w:r>
        <w:rPr>
          <w:rFonts w:cstheme="minorHAnsi"/>
          <w:sz w:val="24"/>
          <w:szCs w:val="24"/>
          <w:lang w:val="el-GR"/>
        </w:rPr>
        <w:t xml:space="preserve"> μετριασμού και ελέγχου</w:t>
      </w:r>
      <w:r w:rsidR="00911956" w:rsidRPr="00690FA9">
        <w:rPr>
          <w:rFonts w:cstheme="minorHAnsi"/>
          <w:sz w:val="24"/>
          <w:szCs w:val="24"/>
          <w:lang w:val="el-GR"/>
        </w:rPr>
        <w:t>,</w:t>
      </w:r>
      <w:r w:rsidR="00B70C21" w:rsidRPr="00690FA9">
        <w:rPr>
          <w:rFonts w:cstheme="minorHAnsi"/>
          <w:sz w:val="24"/>
          <w:szCs w:val="24"/>
          <w:lang w:val="el-GR"/>
        </w:rPr>
        <w:t xml:space="preserve"> </w:t>
      </w:r>
      <w:r>
        <w:rPr>
          <w:rFonts w:cstheme="minorHAnsi"/>
          <w:sz w:val="24"/>
          <w:szCs w:val="24"/>
          <w:lang w:val="el-GR"/>
        </w:rPr>
        <w:t>που υπόκεινται σε τακτική παρακολούθηση</w:t>
      </w:r>
      <w:r w:rsidR="00B70C21" w:rsidRPr="00690FA9">
        <w:rPr>
          <w:rFonts w:cstheme="minorHAnsi"/>
          <w:sz w:val="24"/>
          <w:szCs w:val="24"/>
          <w:lang w:val="el-GR"/>
        </w:rPr>
        <w:t xml:space="preserve">. </w:t>
      </w:r>
      <w:r w:rsidR="00DB30B5">
        <w:rPr>
          <w:rFonts w:cstheme="minorHAnsi"/>
          <w:sz w:val="24"/>
          <w:szCs w:val="24"/>
          <w:lang w:val="el-GR"/>
        </w:rPr>
        <w:t>Θα</w:t>
      </w:r>
      <w:r w:rsidR="00DB30B5" w:rsidRPr="00DB30B5">
        <w:rPr>
          <w:rFonts w:cstheme="minorHAnsi"/>
          <w:sz w:val="24"/>
          <w:szCs w:val="24"/>
          <w:lang w:val="el-GR"/>
        </w:rPr>
        <w:t xml:space="preserve"> </w:t>
      </w:r>
      <w:r w:rsidR="00DB30B5">
        <w:rPr>
          <w:rFonts w:cstheme="minorHAnsi"/>
          <w:sz w:val="24"/>
          <w:szCs w:val="24"/>
          <w:lang w:val="el-GR"/>
        </w:rPr>
        <w:t>πρέπει</w:t>
      </w:r>
      <w:r w:rsidR="00DB30B5" w:rsidRPr="00DB30B5">
        <w:rPr>
          <w:rFonts w:cstheme="minorHAnsi"/>
          <w:sz w:val="24"/>
          <w:szCs w:val="24"/>
          <w:lang w:val="el-GR"/>
        </w:rPr>
        <w:t xml:space="preserve"> </w:t>
      </w:r>
      <w:r w:rsidR="00DB30B5">
        <w:rPr>
          <w:rFonts w:cstheme="minorHAnsi"/>
          <w:sz w:val="24"/>
          <w:szCs w:val="24"/>
          <w:lang w:val="el-GR"/>
        </w:rPr>
        <w:t>να</w:t>
      </w:r>
      <w:r w:rsidR="00DB30B5" w:rsidRPr="00DB30B5">
        <w:rPr>
          <w:rFonts w:cstheme="minorHAnsi"/>
          <w:sz w:val="24"/>
          <w:szCs w:val="24"/>
          <w:lang w:val="el-GR"/>
        </w:rPr>
        <w:t xml:space="preserve"> </w:t>
      </w:r>
      <w:r w:rsidR="00DB30B5">
        <w:rPr>
          <w:rFonts w:cstheme="minorHAnsi"/>
          <w:sz w:val="24"/>
          <w:szCs w:val="24"/>
          <w:lang w:val="el-GR"/>
        </w:rPr>
        <w:t>ανατεθεί</w:t>
      </w:r>
      <w:r w:rsidR="00DB30B5" w:rsidRPr="00DB30B5">
        <w:rPr>
          <w:rFonts w:cstheme="minorHAnsi"/>
          <w:sz w:val="24"/>
          <w:szCs w:val="24"/>
          <w:lang w:val="el-GR"/>
        </w:rPr>
        <w:t xml:space="preserve"> </w:t>
      </w:r>
      <w:r w:rsidR="00DB30B5">
        <w:rPr>
          <w:rFonts w:cstheme="minorHAnsi"/>
          <w:sz w:val="24"/>
          <w:szCs w:val="24"/>
          <w:lang w:val="el-GR"/>
        </w:rPr>
        <w:t>σε</w:t>
      </w:r>
      <w:r w:rsidR="00DB30B5" w:rsidRPr="00DB30B5">
        <w:rPr>
          <w:rFonts w:cstheme="minorHAnsi"/>
          <w:sz w:val="24"/>
          <w:szCs w:val="24"/>
          <w:lang w:val="el-GR"/>
        </w:rPr>
        <w:t xml:space="preserve"> </w:t>
      </w:r>
      <w:r w:rsidR="00DB30B5">
        <w:rPr>
          <w:rFonts w:cstheme="minorHAnsi"/>
          <w:sz w:val="24"/>
          <w:szCs w:val="24"/>
          <w:lang w:val="el-GR"/>
        </w:rPr>
        <w:t>κατάλληλο</w:t>
      </w:r>
      <w:r w:rsidR="00DB30B5" w:rsidRPr="00DB30B5">
        <w:rPr>
          <w:rFonts w:cstheme="minorHAnsi"/>
          <w:sz w:val="24"/>
          <w:szCs w:val="24"/>
          <w:lang w:val="el-GR"/>
        </w:rPr>
        <w:t xml:space="preserve"> </w:t>
      </w:r>
      <w:r w:rsidR="00DB30B5">
        <w:rPr>
          <w:rFonts w:cstheme="minorHAnsi"/>
          <w:sz w:val="24"/>
          <w:szCs w:val="24"/>
          <w:lang w:val="el-GR"/>
        </w:rPr>
        <w:t>έμπειρο</w:t>
      </w:r>
      <w:r w:rsidR="00DB30B5" w:rsidRPr="00DB30B5">
        <w:rPr>
          <w:rFonts w:cstheme="minorHAnsi"/>
          <w:sz w:val="24"/>
          <w:szCs w:val="24"/>
          <w:lang w:val="el-GR"/>
        </w:rPr>
        <w:t xml:space="preserve"> </w:t>
      </w:r>
      <w:r w:rsidR="00DB30B5">
        <w:rPr>
          <w:rFonts w:cstheme="minorHAnsi"/>
          <w:sz w:val="24"/>
          <w:szCs w:val="24"/>
          <w:lang w:val="el-GR"/>
        </w:rPr>
        <w:t>προσωπικό</w:t>
      </w:r>
      <w:r w:rsidR="00DB30B5" w:rsidRPr="00DB30B5">
        <w:rPr>
          <w:rFonts w:cstheme="minorHAnsi"/>
          <w:sz w:val="24"/>
          <w:szCs w:val="24"/>
          <w:lang w:val="el-GR"/>
        </w:rPr>
        <w:t xml:space="preserve"> </w:t>
      </w:r>
      <w:r w:rsidR="00DB30B5">
        <w:rPr>
          <w:rFonts w:cstheme="minorHAnsi"/>
          <w:sz w:val="24"/>
          <w:szCs w:val="24"/>
          <w:lang w:val="el-GR"/>
        </w:rPr>
        <w:t>να</w:t>
      </w:r>
      <w:r w:rsidR="00DB30B5" w:rsidRPr="00DB30B5">
        <w:rPr>
          <w:rFonts w:cstheme="minorHAnsi"/>
          <w:sz w:val="24"/>
          <w:szCs w:val="24"/>
          <w:lang w:val="el-GR"/>
        </w:rPr>
        <w:t xml:space="preserve"> </w:t>
      </w:r>
      <w:r w:rsidR="00DB30B5">
        <w:rPr>
          <w:rFonts w:cstheme="minorHAnsi"/>
          <w:sz w:val="24"/>
          <w:szCs w:val="24"/>
          <w:lang w:val="el-GR"/>
        </w:rPr>
        <w:t>διεξάγει</w:t>
      </w:r>
      <w:r w:rsidR="00DB30B5" w:rsidRPr="00DB30B5">
        <w:rPr>
          <w:rFonts w:cstheme="minorHAnsi"/>
          <w:sz w:val="24"/>
          <w:szCs w:val="24"/>
          <w:lang w:val="el-GR"/>
        </w:rPr>
        <w:t xml:space="preserve"> </w:t>
      </w:r>
      <w:r w:rsidR="00DB30B5">
        <w:rPr>
          <w:rFonts w:cstheme="minorHAnsi"/>
          <w:sz w:val="24"/>
          <w:szCs w:val="24"/>
          <w:lang w:val="el-GR"/>
        </w:rPr>
        <w:t>την</w:t>
      </w:r>
      <w:r w:rsidR="00DB30B5" w:rsidRPr="00DB30B5">
        <w:rPr>
          <w:rFonts w:cstheme="minorHAnsi"/>
          <w:sz w:val="24"/>
          <w:szCs w:val="24"/>
          <w:lang w:val="el-GR"/>
        </w:rPr>
        <w:t xml:space="preserve"> </w:t>
      </w:r>
      <w:r w:rsidR="00DB30B5">
        <w:rPr>
          <w:rFonts w:cstheme="minorHAnsi"/>
          <w:sz w:val="24"/>
          <w:szCs w:val="24"/>
          <w:lang w:val="el-GR"/>
        </w:rPr>
        <w:t>αξιολόγηση</w:t>
      </w:r>
      <w:r w:rsidR="00DB30B5" w:rsidRPr="00DB30B5">
        <w:rPr>
          <w:rFonts w:cstheme="minorHAnsi"/>
          <w:sz w:val="24"/>
          <w:szCs w:val="24"/>
          <w:lang w:val="el-GR"/>
        </w:rPr>
        <w:t xml:space="preserve"> </w:t>
      </w:r>
      <w:r w:rsidR="00DB30B5">
        <w:rPr>
          <w:rFonts w:cstheme="minorHAnsi"/>
          <w:sz w:val="24"/>
          <w:szCs w:val="24"/>
          <w:lang w:val="el-GR"/>
        </w:rPr>
        <w:t>κινδύνου</w:t>
      </w:r>
      <w:r w:rsidR="00B70C21" w:rsidRPr="00DB30B5">
        <w:rPr>
          <w:rFonts w:cstheme="minorHAnsi"/>
          <w:sz w:val="24"/>
          <w:szCs w:val="24"/>
          <w:lang w:val="el-GR"/>
        </w:rPr>
        <w:t xml:space="preserve"> </w:t>
      </w:r>
      <w:r w:rsidR="00DB30B5">
        <w:rPr>
          <w:rFonts w:cstheme="minorHAnsi"/>
          <w:sz w:val="24"/>
          <w:szCs w:val="24"/>
          <w:lang w:val="el-GR"/>
        </w:rPr>
        <w:t xml:space="preserve">και να κατανοήσει τις τρέχουσες απειλές που η </w:t>
      </w:r>
      <w:r w:rsidR="009C4E34">
        <w:rPr>
          <w:rFonts w:cstheme="minorHAnsi"/>
          <w:sz w:val="24"/>
          <w:szCs w:val="24"/>
          <w:lang w:val="el-GR"/>
        </w:rPr>
        <w:t>Αστυνομία</w:t>
      </w:r>
      <w:r w:rsidR="00DB30B5">
        <w:rPr>
          <w:rFonts w:cstheme="minorHAnsi"/>
          <w:sz w:val="24"/>
          <w:szCs w:val="24"/>
          <w:lang w:val="el-GR"/>
        </w:rPr>
        <w:t xml:space="preserve"> αντιμετωπίζει</w:t>
      </w:r>
      <w:r w:rsidR="00B70C21" w:rsidRPr="00DB30B5">
        <w:rPr>
          <w:rFonts w:cstheme="minorHAnsi"/>
          <w:sz w:val="24"/>
          <w:szCs w:val="24"/>
          <w:lang w:val="el-GR"/>
        </w:rPr>
        <w:t xml:space="preserve"> </w:t>
      </w:r>
      <w:r w:rsidR="00DB30B5">
        <w:rPr>
          <w:rFonts w:cstheme="minorHAnsi"/>
          <w:sz w:val="24"/>
          <w:szCs w:val="24"/>
          <w:lang w:val="el-GR"/>
        </w:rPr>
        <w:t>σε σχέση με την ακεραιότητα και την διαφθορά</w:t>
      </w:r>
      <w:r w:rsidR="00B70C21" w:rsidRPr="00DB30B5">
        <w:rPr>
          <w:rFonts w:cstheme="minorHAnsi"/>
          <w:sz w:val="24"/>
          <w:szCs w:val="24"/>
          <w:lang w:val="el-GR"/>
        </w:rPr>
        <w:t xml:space="preserve">. </w:t>
      </w:r>
      <w:r w:rsidR="00DB30B5">
        <w:rPr>
          <w:rFonts w:cstheme="minorHAnsi"/>
          <w:sz w:val="24"/>
          <w:szCs w:val="24"/>
          <w:lang w:val="el-GR"/>
        </w:rPr>
        <w:t>Μια</w:t>
      </w:r>
      <w:r w:rsidR="00DB30B5" w:rsidRPr="00245001">
        <w:rPr>
          <w:rFonts w:cstheme="minorHAnsi"/>
          <w:sz w:val="24"/>
          <w:szCs w:val="24"/>
          <w:lang w:val="el-GR"/>
        </w:rPr>
        <w:t xml:space="preserve"> </w:t>
      </w:r>
      <w:r w:rsidR="00DB30B5">
        <w:rPr>
          <w:rFonts w:cstheme="minorHAnsi"/>
          <w:sz w:val="24"/>
          <w:szCs w:val="24"/>
          <w:lang w:val="el-GR"/>
        </w:rPr>
        <w:t>τέτοια</w:t>
      </w:r>
      <w:r w:rsidR="00DB30B5" w:rsidRPr="00245001">
        <w:rPr>
          <w:rFonts w:cstheme="minorHAnsi"/>
          <w:sz w:val="24"/>
          <w:szCs w:val="24"/>
          <w:lang w:val="el-GR"/>
        </w:rPr>
        <w:t xml:space="preserve"> </w:t>
      </w:r>
      <w:r w:rsidR="00DB30B5">
        <w:rPr>
          <w:rFonts w:cstheme="minorHAnsi"/>
          <w:sz w:val="24"/>
          <w:szCs w:val="24"/>
          <w:lang w:val="el-GR"/>
        </w:rPr>
        <w:t>προσπάθεια</w:t>
      </w:r>
      <w:r w:rsidR="00DB30B5" w:rsidRPr="00245001">
        <w:rPr>
          <w:rFonts w:cstheme="minorHAnsi"/>
          <w:sz w:val="24"/>
          <w:szCs w:val="24"/>
          <w:lang w:val="el-GR"/>
        </w:rPr>
        <w:t xml:space="preserve"> </w:t>
      </w:r>
      <w:r w:rsidR="00DB30B5">
        <w:rPr>
          <w:rFonts w:cstheme="minorHAnsi"/>
          <w:sz w:val="24"/>
          <w:szCs w:val="24"/>
          <w:lang w:val="el-GR"/>
        </w:rPr>
        <w:t>θα</w:t>
      </w:r>
      <w:r w:rsidR="00DB30B5" w:rsidRPr="00245001">
        <w:rPr>
          <w:rFonts w:cstheme="minorHAnsi"/>
          <w:sz w:val="24"/>
          <w:szCs w:val="24"/>
          <w:lang w:val="el-GR"/>
        </w:rPr>
        <w:t xml:space="preserve"> </w:t>
      </w:r>
      <w:r w:rsidR="00DB30B5">
        <w:rPr>
          <w:rFonts w:cstheme="minorHAnsi"/>
          <w:sz w:val="24"/>
          <w:szCs w:val="24"/>
          <w:lang w:val="el-GR"/>
        </w:rPr>
        <w:t>πρέπει</w:t>
      </w:r>
      <w:r w:rsidR="00DB30B5" w:rsidRPr="00245001">
        <w:rPr>
          <w:rFonts w:cstheme="minorHAnsi"/>
          <w:sz w:val="24"/>
          <w:szCs w:val="24"/>
          <w:lang w:val="el-GR"/>
        </w:rPr>
        <w:t xml:space="preserve"> </w:t>
      </w:r>
      <w:r w:rsidR="00DB30B5">
        <w:rPr>
          <w:rFonts w:cstheme="minorHAnsi"/>
          <w:sz w:val="24"/>
          <w:szCs w:val="24"/>
          <w:lang w:val="el-GR"/>
        </w:rPr>
        <w:t>να</w:t>
      </w:r>
      <w:r w:rsidR="00DB30B5" w:rsidRPr="00245001">
        <w:rPr>
          <w:rFonts w:cstheme="minorHAnsi"/>
          <w:sz w:val="24"/>
          <w:szCs w:val="24"/>
          <w:lang w:val="el-GR"/>
        </w:rPr>
        <w:t xml:space="preserve"> </w:t>
      </w:r>
      <w:r w:rsidR="00DB30B5">
        <w:rPr>
          <w:rFonts w:cstheme="minorHAnsi"/>
          <w:sz w:val="24"/>
          <w:szCs w:val="24"/>
          <w:lang w:val="el-GR"/>
        </w:rPr>
        <w:t>συνοδευθεί</w:t>
      </w:r>
      <w:r w:rsidR="00DB30B5" w:rsidRPr="00245001">
        <w:rPr>
          <w:rFonts w:cstheme="minorHAnsi"/>
          <w:sz w:val="24"/>
          <w:szCs w:val="24"/>
          <w:lang w:val="el-GR"/>
        </w:rPr>
        <w:t xml:space="preserve"> </w:t>
      </w:r>
      <w:r w:rsidR="00DB30B5">
        <w:rPr>
          <w:rFonts w:cstheme="minorHAnsi"/>
          <w:sz w:val="24"/>
          <w:szCs w:val="24"/>
          <w:lang w:val="el-GR"/>
        </w:rPr>
        <w:t>με</w:t>
      </w:r>
      <w:r w:rsidR="00DB30B5" w:rsidRPr="00245001">
        <w:rPr>
          <w:rFonts w:cstheme="minorHAnsi"/>
          <w:sz w:val="24"/>
          <w:szCs w:val="24"/>
          <w:lang w:val="el-GR"/>
        </w:rPr>
        <w:t xml:space="preserve"> </w:t>
      </w:r>
      <w:r w:rsidR="00DB30B5">
        <w:rPr>
          <w:rFonts w:cstheme="minorHAnsi"/>
          <w:sz w:val="24"/>
          <w:szCs w:val="24"/>
          <w:lang w:val="el-GR"/>
        </w:rPr>
        <w:t>ένα</w:t>
      </w:r>
      <w:r w:rsidR="00DB30B5" w:rsidRPr="00245001">
        <w:rPr>
          <w:rFonts w:cstheme="minorHAnsi"/>
          <w:sz w:val="24"/>
          <w:szCs w:val="24"/>
          <w:lang w:val="el-GR"/>
        </w:rPr>
        <w:t xml:space="preserve"> </w:t>
      </w:r>
      <w:r w:rsidR="00DB30B5">
        <w:rPr>
          <w:rFonts w:cstheme="minorHAnsi"/>
          <w:sz w:val="24"/>
          <w:szCs w:val="24"/>
          <w:lang w:val="el-GR"/>
        </w:rPr>
        <w:t>σωστό</w:t>
      </w:r>
      <w:r w:rsidR="00DB30B5" w:rsidRPr="00245001">
        <w:rPr>
          <w:rFonts w:cstheme="minorHAnsi"/>
          <w:sz w:val="24"/>
          <w:szCs w:val="24"/>
          <w:lang w:val="el-GR"/>
        </w:rPr>
        <w:t xml:space="preserve"> </w:t>
      </w:r>
      <w:r w:rsidR="00DB30B5">
        <w:rPr>
          <w:rFonts w:cstheme="minorHAnsi"/>
          <w:sz w:val="24"/>
          <w:szCs w:val="24"/>
          <w:lang w:val="el-GR"/>
        </w:rPr>
        <w:t>εσωτερικό</w:t>
      </w:r>
      <w:r w:rsidR="00DB30B5" w:rsidRPr="00245001">
        <w:rPr>
          <w:rFonts w:cstheme="minorHAnsi"/>
          <w:sz w:val="24"/>
          <w:szCs w:val="24"/>
          <w:lang w:val="el-GR"/>
        </w:rPr>
        <w:t xml:space="preserve"> </w:t>
      </w:r>
      <w:r w:rsidR="00DB30B5">
        <w:rPr>
          <w:rFonts w:cstheme="minorHAnsi"/>
          <w:sz w:val="24"/>
          <w:szCs w:val="24"/>
          <w:lang w:val="el-GR"/>
        </w:rPr>
        <w:t>σύστημα</w:t>
      </w:r>
      <w:r w:rsidR="00DB30B5" w:rsidRPr="00245001">
        <w:rPr>
          <w:rFonts w:cstheme="minorHAnsi"/>
          <w:sz w:val="24"/>
          <w:szCs w:val="24"/>
          <w:lang w:val="el-GR"/>
        </w:rPr>
        <w:t xml:space="preserve"> </w:t>
      </w:r>
      <w:r w:rsidR="00DB30B5">
        <w:rPr>
          <w:rFonts w:cstheme="minorHAnsi"/>
          <w:sz w:val="24"/>
          <w:szCs w:val="24"/>
          <w:lang w:val="el-GR"/>
        </w:rPr>
        <w:t>επικοινωνίας</w:t>
      </w:r>
      <w:r w:rsidR="00EA64B2" w:rsidRPr="00245001">
        <w:rPr>
          <w:rFonts w:cstheme="minorHAnsi"/>
          <w:sz w:val="24"/>
          <w:szCs w:val="24"/>
          <w:lang w:val="el-GR"/>
        </w:rPr>
        <w:t xml:space="preserve"> </w:t>
      </w:r>
      <w:r w:rsidR="00DB30B5">
        <w:rPr>
          <w:rFonts w:cstheme="minorHAnsi"/>
          <w:sz w:val="24"/>
          <w:szCs w:val="24"/>
          <w:lang w:val="el-GR"/>
        </w:rPr>
        <w:t>και</w:t>
      </w:r>
      <w:r w:rsidR="00DB30B5" w:rsidRPr="00245001">
        <w:rPr>
          <w:rFonts w:cstheme="minorHAnsi"/>
          <w:sz w:val="24"/>
          <w:szCs w:val="24"/>
          <w:lang w:val="el-GR"/>
        </w:rPr>
        <w:t xml:space="preserve"> </w:t>
      </w:r>
      <w:r w:rsidR="00DB30B5">
        <w:rPr>
          <w:rFonts w:cstheme="minorHAnsi"/>
          <w:sz w:val="24"/>
          <w:szCs w:val="24"/>
          <w:lang w:val="el-GR"/>
        </w:rPr>
        <w:t>συνεπείς</w:t>
      </w:r>
      <w:r w:rsidR="00DB30B5" w:rsidRPr="00245001">
        <w:rPr>
          <w:rFonts w:cstheme="minorHAnsi"/>
          <w:sz w:val="24"/>
          <w:szCs w:val="24"/>
          <w:lang w:val="el-GR"/>
        </w:rPr>
        <w:t xml:space="preserve"> </w:t>
      </w:r>
      <w:r w:rsidR="00DB30B5">
        <w:rPr>
          <w:rFonts w:cstheme="minorHAnsi"/>
          <w:sz w:val="24"/>
          <w:szCs w:val="24"/>
          <w:lang w:val="el-GR"/>
        </w:rPr>
        <w:t>διευθετήσεις</w:t>
      </w:r>
      <w:r w:rsidR="00DB30B5" w:rsidRPr="00245001">
        <w:rPr>
          <w:rFonts w:cstheme="minorHAnsi"/>
          <w:sz w:val="24"/>
          <w:szCs w:val="24"/>
          <w:lang w:val="el-GR"/>
        </w:rPr>
        <w:t xml:space="preserve"> </w:t>
      </w:r>
      <w:r w:rsidR="00DB30B5">
        <w:rPr>
          <w:rFonts w:cstheme="minorHAnsi"/>
          <w:sz w:val="24"/>
          <w:szCs w:val="24"/>
          <w:lang w:val="el-GR"/>
        </w:rPr>
        <w:t>υλοποίησης</w:t>
      </w:r>
      <w:r w:rsidR="00DB30B5" w:rsidRPr="00245001">
        <w:rPr>
          <w:rFonts w:cstheme="minorHAnsi"/>
          <w:sz w:val="24"/>
          <w:szCs w:val="24"/>
          <w:lang w:val="el-GR"/>
        </w:rPr>
        <w:t xml:space="preserve"> </w:t>
      </w:r>
      <w:r w:rsidR="00DB30B5">
        <w:rPr>
          <w:rFonts w:cstheme="minorHAnsi"/>
          <w:sz w:val="24"/>
          <w:szCs w:val="24"/>
          <w:lang w:val="el-GR"/>
        </w:rPr>
        <w:t>και</w:t>
      </w:r>
      <w:r w:rsidR="00DB30B5" w:rsidRPr="00245001">
        <w:rPr>
          <w:rFonts w:cstheme="minorHAnsi"/>
          <w:sz w:val="24"/>
          <w:szCs w:val="24"/>
          <w:lang w:val="el-GR"/>
        </w:rPr>
        <w:t xml:space="preserve"> </w:t>
      </w:r>
      <w:r w:rsidR="00DB30B5">
        <w:rPr>
          <w:rFonts w:cstheme="minorHAnsi"/>
          <w:sz w:val="24"/>
          <w:szCs w:val="24"/>
          <w:lang w:val="el-GR"/>
        </w:rPr>
        <w:t>αναθεώρησης</w:t>
      </w:r>
      <w:r w:rsidR="00245001" w:rsidRPr="00245001">
        <w:rPr>
          <w:rFonts w:cstheme="minorHAnsi"/>
          <w:sz w:val="24"/>
          <w:szCs w:val="24"/>
          <w:lang w:val="el-GR"/>
        </w:rPr>
        <w:t xml:space="preserve"> </w:t>
      </w:r>
      <w:r w:rsidR="00245001">
        <w:rPr>
          <w:rFonts w:cstheme="minorHAnsi"/>
          <w:sz w:val="24"/>
          <w:szCs w:val="24"/>
          <w:lang w:val="el-GR"/>
        </w:rPr>
        <w:t>που</w:t>
      </w:r>
      <w:r w:rsidR="00245001" w:rsidRPr="00245001">
        <w:rPr>
          <w:rFonts w:cstheme="minorHAnsi"/>
          <w:sz w:val="24"/>
          <w:szCs w:val="24"/>
          <w:lang w:val="el-GR"/>
        </w:rPr>
        <w:t xml:space="preserve"> </w:t>
      </w:r>
      <w:r w:rsidR="00245001">
        <w:rPr>
          <w:rFonts w:cstheme="minorHAnsi"/>
          <w:sz w:val="24"/>
          <w:szCs w:val="24"/>
          <w:lang w:val="el-GR"/>
        </w:rPr>
        <w:t>θα</w:t>
      </w:r>
      <w:r w:rsidR="00245001" w:rsidRPr="00245001">
        <w:rPr>
          <w:rFonts w:cstheme="minorHAnsi"/>
          <w:sz w:val="24"/>
          <w:szCs w:val="24"/>
          <w:lang w:val="el-GR"/>
        </w:rPr>
        <w:t xml:space="preserve"> </w:t>
      </w:r>
      <w:r w:rsidR="00245001">
        <w:rPr>
          <w:rFonts w:cstheme="minorHAnsi"/>
          <w:sz w:val="24"/>
          <w:szCs w:val="24"/>
          <w:lang w:val="el-GR"/>
        </w:rPr>
        <w:t>θεωρούσε</w:t>
      </w:r>
      <w:r w:rsidR="00245001" w:rsidRPr="00245001">
        <w:rPr>
          <w:rFonts w:cstheme="minorHAnsi"/>
          <w:sz w:val="24"/>
          <w:szCs w:val="24"/>
          <w:lang w:val="el-GR"/>
        </w:rPr>
        <w:t xml:space="preserve"> </w:t>
      </w:r>
      <w:r w:rsidR="00245001">
        <w:rPr>
          <w:rFonts w:cstheme="minorHAnsi"/>
          <w:sz w:val="24"/>
          <w:szCs w:val="24"/>
          <w:lang w:val="el-GR"/>
        </w:rPr>
        <w:t>το</w:t>
      </w:r>
      <w:r w:rsidR="00FC7953">
        <w:rPr>
          <w:rFonts w:cstheme="minorHAnsi"/>
          <w:sz w:val="24"/>
          <w:szCs w:val="24"/>
          <w:lang w:val="el-GR"/>
        </w:rPr>
        <w:t>υ</w:t>
      </w:r>
      <w:r w:rsidR="00245001">
        <w:rPr>
          <w:rFonts w:cstheme="minorHAnsi"/>
          <w:sz w:val="24"/>
          <w:szCs w:val="24"/>
          <w:lang w:val="el-GR"/>
        </w:rPr>
        <w:t>λάχιστον</w:t>
      </w:r>
      <w:r w:rsidR="00B70C21" w:rsidRPr="00245001">
        <w:rPr>
          <w:rFonts w:cstheme="minorHAnsi"/>
          <w:sz w:val="24"/>
          <w:szCs w:val="24"/>
          <w:lang w:val="el-GR"/>
        </w:rPr>
        <w:t xml:space="preserve">: </w:t>
      </w:r>
      <w:r w:rsidR="00245001">
        <w:rPr>
          <w:rFonts w:cstheme="minorHAnsi"/>
          <w:sz w:val="24"/>
          <w:szCs w:val="24"/>
          <w:lang w:val="el-GR"/>
        </w:rPr>
        <w:t>την αντίδραση</w:t>
      </w:r>
      <w:r w:rsidR="00245001" w:rsidRPr="00245001">
        <w:rPr>
          <w:rFonts w:cstheme="minorHAnsi"/>
          <w:sz w:val="24"/>
          <w:szCs w:val="24"/>
          <w:lang w:val="el-GR"/>
        </w:rPr>
        <w:t xml:space="preserve"> </w:t>
      </w:r>
      <w:r w:rsidR="00245001">
        <w:rPr>
          <w:rFonts w:cstheme="minorHAnsi"/>
          <w:sz w:val="24"/>
          <w:szCs w:val="24"/>
          <w:lang w:val="el-GR"/>
        </w:rPr>
        <w:t>σε</w:t>
      </w:r>
      <w:r w:rsidR="00245001" w:rsidRPr="00245001">
        <w:rPr>
          <w:rFonts w:cstheme="minorHAnsi"/>
          <w:sz w:val="24"/>
          <w:szCs w:val="24"/>
          <w:lang w:val="el-GR"/>
        </w:rPr>
        <w:t xml:space="preserve"> </w:t>
      </w:r>
      <w:r w:rsidR="00245001">
        <w:rPr>
          <w:rFonts w:cstheme="minorHAnsi"/>
          <w:sz w:val="24"/>
          <w:szCs w:val="24"/>
          <w:lang w:val="el-GR"/>
        </w:rPr>
        <w:t>σχέση</w:t>
      </w:r>
      <w:r w:rsidR="00245001" w:rsidRPr="00245001">
        <w:rPr>
          <w:rFonts w:cstheme="minorHAnsi"/>
          <w:sz w:val="24"/>
          <w:szCs w:val="24"/>
          <w:lang w:val="el-GR"/>
        </w:rPr>
        <w:t xml:space="preserve"> </w:t>
      </w:r>
      <w:r w:rsidR="00245001">
        <w:rPr>
          <w:rFonts w:cstheme="minorHAnsi"/>
          <w:sz w:val="24"/>
          <w:szCs w:val="24"/>
          <w:lang w:val="el-GR"/>
        </w:rPr>
        <w:t>με</w:t>
      </w:r>
      <w:r w:rsidR="00245001" w:rsidRPr="00245001">
        <w:rPr>
          <w:rFonts w:cstheme="minorHAnsi"/>
          <w:sz w:val="24"/>
          <w:szCs w:val="24"/>
          <w:lang w:val="el-GR"/>
        </w:rPr>
        <w:t xml:space="preserve"> </w:t>
      </w:r>
      <w:r w:rsidR="00245001">
        <w:rPr>
          <w:rFonts w:cstheme="minorHAnsi"/>
          <w:sz w:val="24"/>
          <w:szCs w:val="24"/>
          <w:lang w:val="el-GR"/>
        </w:rPr>
        <w:t>υποθέσεις</w:t>
      </w:r>
      <w:r w:rsidR="00245001" w:rsidRPr="00245001">
        <w:rPr>
          <w:rFonts w:cstheme="minorHAnsi"/>
          <w:sz w:val="24"/>
          <w:szCs w:val="24"/>
          <w:lang w:val="el-GR"/>
        </w:rPr>
        <w:t xml:space="preserve"> </w:t>
      </w:r>
      <w:r w:rsidR="00245001">
        <w:rPr>
          <w:rFonts w:cstheme="minorHAnsi"/>
          <w:sz w:val="24"/>
          <w:szCs w:val="24"/>
          <w:lang w:val="el-GR"/>
        </w:rPr>
        <w:t>διαφθοράς</w:t>
      </w:r>
      <w:r w:rsidR="00B70C21" w:rsidRPr="00245001">
        <w:rPr>
          <w:rFonts w:cstheme="minorHAnsi"/>
          <w:sz w:val="24"/>
          <w:szCs w:val="24"/>
          <w:lang w:val="el-GR"/>
        </w:rPr>
        <w:t xml:space="preserve">, </w:t>
      </w:r>
      <w:r w:rsidR="00245001">
        <w:rPr>
          <w:rFonts w:cstheme="minorHAnsi"/>
          <w:sz w:val="24"/>
          <w:szCs w:val="24"/>
          <w:lang w:val="el-GR"/>
        </w:rPr>
        <w:t>τα κενά στον έλεγχο και τον σχεδιασμό επεξεργασίας</w:t>
      </w:r>
      <w:r w:rsidR="00B70C21" w:rsidRPr="00245001">
        <w:rPr>
          <w:rFonts w:cstheme="minorHAnsi"/>
          <w:sz w:val="24"/>
          <w:szCs w:val="24"/>
          <w:lang w:val="el-GR"/>
        </w:rPr>
        <w:t xml:space="preserve"> </w:t>
      </w:r>
      <w:r w:rsidR="00245001">
        <w:rPr>
          <w:rFonts w:cstheme="minorHAnsi"/>
          <w:sz w:val="24"/>
          <w:szCs w:val="24"/>
          <w:lang w:val="el-GR"/>
        </w:rPr>
        <w:t>που προσφέρουν ευκαιρίες για διάπραξη δωροδοκίας</w:t>
      </w:r>
      <w:r w:rsidR="00B70C21" w:rsidRPr="00245001">
        <w:rPr>
          <w:rFonts w:cstheme="minorHAnsi"/>
          <w:sz w:val="24"/>
          <w:szCs w:val="24"/>
          <w:lang w:val="el-GR"/>
        </w:rPr>
        <w:t xml:space="preserve">, </w:t>
      </w:r>
      <w:r w:rsidR="00245001">
        <w:rPr>
          <w:rFonts w:cstheme="minorHAnsi"/>
          <w:sz w:val="24"/>
          <w:szCs w:val="24"/>
          <w:lang w:val="el-GR"/>
        </w:rPr>
        <w:t>πρόθεση και ικανότητα του προσωπικού</w:t>
      </w:r>
      <w:r w:rsidR="00B70C21" w:rsidRPr="00245001">
        <w:rPr>
          <w:rFonts w:cstheme="minorHAnsi"/>
          <w:sz w:val="24"/>
          <w:szCs w:val="24"/>
          <w:lang w:val="el-GR"/>
        </w:rPr>
        <w:t xml:space="preserve"> </w:t>
      </w:r>
      <w:r w:rsidR="00245001">
        <w:rPr>
          <w:rFonts w:cstheme="minorHAnsi"/>
          <w:sz w:val="24"/>
          <w:szCs w:val="24"/>
          <w:lang w:val="el-GR"/>
        </w:rPr>
        <w:t>και τρίτων μερών</w:t>
      </w:r>
      <w:r w:rsidR="00B70C21" w:rsidRPr="00245001">
        <w:rPr>
          <w:rFonts w:cstheme="minorHAnsi"/>
          <w:sz w:val="24"/>
          <w:szCs w:val="24"/>
          <w:lang w:val="el-GR"/>
        </w:rPr>
        <w:t xml:space="preserve"> </w:t>
      </w:r>
      <w:r w:rsidR="00245001">
        <w:rPr>
          <w:rFonts w:cstheme="minorHAnsi"/>
          <w:sz w:val="24"/>
          <w:szCs w:val="24"/>
          <w:lang w:val="el-GR"/>
        </w:rPr>
        <w:t>να εμπλακού</w:t>
      </w:r>
      <w:r w:rsidR="00FC7953">
        <w:rPr>
          <w:rFonts w:cstheme="minorHAnsi"/>
          <w:sz w:val="24"/>
          <w:szCs w:val="24"/>
          <w:lang w:val="el-GR"/>
        </w:rPr>
        <w:t>ν</w:t>
      </w:r>
      <w:r w:rsidR="00245001">
        <w:rPr>
          <w:rFonts w:cstheme="minorHAnsi"/>
          <w:sz w:val="24"/>
          <w:szCs w:val="24"/>
          <w:lang w:val="el-GR"/>
        </w:rPr>
        <w:t xml:space="preserve"> σε συμπεριφορές διαφθοράς</w:t>
      </w:r>
      <w:r w:rsidR="00B70C21" w:rsidRPr="00245001">
        <w:rPr>
          <w:rFonts w:cstheme="minorHAnsi"/>
          <w:sz w:val="24"/>
          <w:szCs w:val="24"/>
          <w:lang w:val="el-GR"/>
        </w:rPr>
        <w:t xml:space="preserve">, </w:t>
      </w:r>
      <w:r w:rsidR="00245001">
        <w:rPr>
          <w:rFonts w:cstheme="minorHAnsi"/>
          <w:sz w:val="24"/>
          <w:szCs w:val="24"/>
          <w:lang w:val="el-GR"/>
        </w:rPr>
        <w:t>καθώς επίσης και</w:t>
      </w:r>
      <w:r w:rsidR="00610F55" w:rsidRPr="00245001">
        <w:rPr>
          <w:rFonts w:cstheme="minorHAnsi"/>
          <w:sz w:val="24"/>
          <w:szCs w:val="24"/>
          <w:lang w:val="el-GR"/>
        </w:rPr>
        <w:t xml:space="preserve"> </w:t>
      </w:r>
      <w:r w:rsidR="00245001">
        <w:rPr>
          <w:rFonts w:cstheme="minorHAnsi"/>
          <w:sz w:val="24"/>
          <w:szCs w:val="24"/>
          <w:lang w:val="el-GR"/>
        </w:rPr>
        <w:t>δέσμευση της διοίκησης</w:t>
      </w:r>
      <w:r w:rsidR="00B70C21" w:rsidRPr="00245001">
        <w:rPr>
          <w:rFonts w:cstheme="minorHAnsi"/>
          <w:sz w:val="24"/>
          <w:szCs w:val="24"/>
          <w:lang w:val="el-GR"/>
        </w:rPr>
        <w:t xml:space="preserve"> </w:t>
      </w:r>
      <w:r w:rsidR="00245001">
        <w:rPr>
          <w:rFonts w:cstheme="minorHAnsi"/>
          <w:sz w:val="24"/>
          <w:szCs w:val="24"/>
          <w:lang w:val="el-GR"/>
        </w:rPr>
        <w:t>για πρόληψη της διαφθοράς και προώθηση της ακεραιότητας</w:t>
      </w:r>
      <w:r w:rsidR="00B70C21" w:rsidRPr="00245001">
        <w:rPr>
          <w:rFonts w:cstheme="minorHAnsi"/>
          <w:sz w:val="24"/>
          <w:szCs w:val="24"/>
          <w:lang w:val="el-GR"/>
        </w:rPr>
        <w:t>.</w:t>
      </w:r>
      <w:r w:rsidR="00610F55" w:rsidRPr="00245001">
        <w:rPr>
          <w:rFonts w:cstheme="minorHAnsi"/>
          <w:sz w:val="24"/>
          <w:szCs w:val="24"/>
          <w:lang w:val="el-GR"/>
        </w:rPr>
        <w:t xml:space="preserve"> </w:t>
      </w:r>
      <w:r w:rsidR="00245001">
        <w:rPr>
          <w:rFonts w:cstheme="minorHAnsi"/>
          <w:sz w:val="24"/>
          <w:szCs w:val="24"/>
          <w:lang w:val="el-GR"/>
        </w:rPr>
        <w:t>Επομένως</w:t>
      </w:r>
      <w:r w:rsidR="00220066" w:rsidRPr="004A1ED5">
        <w:rPr>
          <w:rFonts w:cstheme="minorHAnsi"/>
          <w:sz w:val="24"/>
          <w:szCs w:val="24"/>
          <w:lang w:val="el-GR"/>
        </w:rPr>
        <w:t>,</w:t>
      </w:r>
      <w:r w:rsidR="00220066" w:rsidRPr="004A1ED5">
        <w:rPr>
          <w:rFonts w:cstheme="minorHAnsi"/>
          <w:b/>
          <w:bCs/>
          <w:sz w:val="24"/>
          <w:szCs w:val="24"/>
          <w:lang w:val="el-GR"/>
        </w:rPr>
        <w:t xml:space="preserve"> </w:t>
      </w:r>
      <w:r w:rsidR="00245001">
        <w:rPr>
          <w:rFonts w:cstheme="minorHAnsi"/>
          <w:b/>
          <w:bCs/>
          <w:sz w:val="24"/>
          <w:szCs w:val="24"/>
          <w:lang w:val="el-GR"/>
        </w:rPr>
        <w:t>η</w:t>
      </w:r>
      <w:r w:rsidR="00245001" w:rsidRPr="004A1ED5">
        <w:rPr>
          <w:rFonts w:cstheme="minorHAnsi"/>
          <w:b/>
          <w:bCs/>
          <w:sz w:val="24"/>
          <w:szCs w:val="24"/>
          <w:lang w:val="el-GR"/>
        </w:rPr>
        <w:t xml:space="preserve"> </w:t>
      </w:r>
      <w:r w:rsidR="00220066" w:rsidRPr="004E251E">
        <w:rPr>
          <w:rFonts w:cstheme="minorHAnsi"/>
          <w:b/>
          <w:bCs/>
          <w:sz w:val="24"/>
          <w:szCs w:val="24"/>
        </w:rPr>
        <w:t>GRECO</w:t>
      </w:r>
      <w:r w:rsidR="00220066" w:rsidRPr="004A1ED5">
        <w:rPr>
          <w:rFonts w:cstheme="minorHAnsi"/>
          <w:b/>
          <w:bCs/>
          <w:sz w:val="24"/>
          <w:szCs w:val="24"/>
          <w:lang w:val="el-GR"/>
        </w:rPr>
        <w:t xml:space="preserve"> </w:t>
      </w:r>
      <w:r w:rsidR="00245001">
        <w:rPr>
          <w:rFonts w:cstheme="minorHAnsi"/>
          <w:b/>
          <w:bCs/>
          <w:sz w:val="24"/>
          <w:szCs w:val="24"/>
          <w:lang w:val="el-GR"/>
        </w:rPr>
        <w:t>συνιστά</w:t>
      </w:r>
      <w:r w:rsidR="00245001" w:rsidRPr="004A1ED5">
        <w:rPr>
          <w:rFonts w:cstheme="minorHAnsi"/>
          <w:b/>
          <w:bCs/>
          <w:sz w:val="24"/>
          <w:szCs w:val="24"/>
          <w:lang w:val="el-GR"/>
        </w:rPr>
        <w:t xml:space="preserve"> </w:t>
      </w:r>
      <w:r w:rsidR="00BF4EF9">
        <w:rPr>
          <w:rFonts w:cstheme="minorHAnsi"/>
          <w:b/>
          <w:bCs/>
          <w:sz w:val="24"/>
          <w:szCs w:val="24"/>
          <w:lang w:val="el-GR"/>
        </w:rPr>
        <w:t xml:space="preserve">την </w:t>
      </w:r>
      <w:r w:rsidR="00BF4EF9" w:rsidRPr="00481634">
        <w:rPr>
          <w:rFonts w:cstheme="minorHAnsi"/>
          <w:b/>
          <w:bCs/>
          <w:sz w:val="24"/>
          <w:szCs w:val="24"/>
          <w:lang w:val="el-GR"/>
        </w:rPr>
        <w:t xml:space="preserve">υιοθέτηση συντονισμένης πολιτικής </w:t>
      </w:r>
      <w:r w:rsidR="00BF4EF9">
        <w:rPr>
          <w:rFonts w:cstheme="minorHAnsi"/>
          <w:b/>
          <w:bCs/>
          <w:sz w:val="24"/>
          <w:szCs w:val="24"/>
          <w:lang w:val="el-GR"/>
        </w:rPr>
        <w:t xml:space="preserve">ακεραιότητας και </w:t>
      </w:r>
      <w:r w:rsidR="00BF4EF9" w:rsidRPr="00481634">
        <w:rPr>
          <w:rFonts w:cstheme="minorHAnsi"/>
          <w:b/>
          <w:bCs/>
          <w:sz w:val="24"/>
          <w:szCs w:val="24"/>
          <w:lang w:val="el-GR"/>
        </w:rPr>
        <w:t xml:space="preserve">πρόληψης της διαφθοράς </w:t>
      </w:r>
      <w:r w:rsidR="00BF4EF9">
        <w:rPr>
          <w:rFonts w:cstheme="minorHAnsi"/>
          <w:b/>
          <w:bCs/>
          <w:sz w:val="24"/>
          <w:szCs w:val="24"/>
          <w:lang w:val="el-GR"/>
        </w:rPr>
        <w:t>σ</w:t>
      </w:r>
      <w:r w:rsidR="00BF4EF9" w:rsidRPr="00481634">
        <w:rPr>
          <w:rFonts w:cstheme="minorHAnsi"/>
          <w:b/>
          <w:bCs/>
          <w:sz w:val="24"/>
          <w:szCs w:val="24"/>
          <w:lang w:val="el-GR"/>
        </w:rPr>
        <w:t xml:space="preserve">την </w:t>
      </w:r>
      <w:r w:rsidR="00BF4EF9">
        <w:rPr>
          <w:rFonts w:cstheme="minorHAnsi"/>
          <w:b/>
          <w:bCs/>
          <w:sz w:val="24"/>
          <w:szCs w:val="24"/>
          <w:lang w:val="el-GR"/>
        </w:rPr>
        <w:t>Α</w:t>
      </w:r>
      <w:r w:rsidR="00BF4EF9" w:rsidRPr="00481634">
        <w:rPr>
          <w:rFonts w:cstheme="minorHAnsi"/>
          <w:b/>
          <w:bCs/>
          <w:sz w:val="24"/>
          <w:szCs w:val="24"/>
          <w:lang w:val="el-GR"/>
        </w:rPr>
        <w:t xml:space="preserve">στυνομία, με βάση τη συστηματική και συνολική επανεξέταση των επιρρεπών σε κίνδυνο </w:t>
      </w:r>
      <w:r w:rsidR="00BF4EF9">
        <w:rPr>
          <w:rFonts w:cstheme="minorHAnsi"/>
          <w:b/>
          <w:bCs/>
          <w:sz w:val="24"/>
          <w:szCs w:val="24"/>
          <w:lang w:val="el-GR"/>
        </w:rPr>
        <w:t>τομέων</w:t>
      </w:r>
      <w:r w:rsidR="00BF4EF9" w:rsidRPr="00481634">
        <w:rPr>
          <w:rFonts w:cstheme="minorHAnsi"/>
          <w:b/>
          <w:bCs/>
          <w:sz w:val="24"/>
          <w:szCs w:val="24"/>
          <w:lang w:val="el-GR"/>
        </w:rPr>
        <w:t>, σε συνδυασμό με έναν μηχανισμό που προβλέπει τακτικές αξιολογήσεις</w:t>
      </w:r>
      <w:r w:rsidR="00BE636C" w:rsidRPr="004A1ED5">
        <w:rPr>
          <w:rFonts w:cstheme="minorHAnsi"/>
          <w:b/>
          <w:bCs/>
          <w:sz w:val="24"/>
          <w:szCs w:val="24"/>
          <w:lang w:val="el-GR"/>
        </w:rPr>
        <w:t xml:space="preserve">. </w:t>
      </w:r>
    </w:p>
    <w:p w14:paraId="0B60DE86" w14:textId="4E458329" w:rsidR="00220066" w:rsidRPr="004A1ED5" w:rsidRDefault="00220066" w:rsidP="00220066">
      <w:pPr>
        <w:widowControl w:val="0"/>
        <w:tabs>
          <w:tab w:val="left" w:pos="709"/>
        </w:tabs>
        <w:rPr>
          <w:rFonts w:cstheme="minorHAnsi"/>
          <w:sz w:val="24"/>
          <w:szCs w:val="24"/>
          <w:lang w:val="el-GR"/>
        </w:rPr>
      </w:pPr>
    </w:p>
    <w:p w14:paraId="1E4564CB" w14:textId="11031E5D" w:rsidR="00220066" w:rsidRPr="004A1ED5" w:rsidRDefault="00C9244D" w:rsidP="00220066">
      <w:pPr>
        <w:pStyle w:val="Heading3"/>
        <w:keepLines w:val="0"/>
        <w:widowControl w:val="0"/>
        <w:tabs>
          <w:tab w:val="left" w:pos="709"/>
        </w:tabs>
        <w:spacing w:before="0"/>
        <w:rPr>
          <w:rFonts w:asciiTheme="minorHAnsi" w:hAnsiTheme="minorHAnsi" w:cstheme="minorHAnsi"/>
          <w:b w:val="0"/>
          <w:i/>
          <w:color w:val="auto"/>
          <w:sz w:val="24"/>
          <w:szCs w:val="24"/>
          <w:lang w:val="el-GR"/>
        </w:rPr>
      </w:pPr>
      <w:bookmarkStart w:id="194" w:name="_Toc110430329"/>
      <w:bookmarkStart w:id="195" w:name="_Toc117445168"/>
      <w:bookmarkStart w:id="196" w:name="_Toc136879372"/>
      <w:r>
        <w:rPr>
          <w:rFonts w:asciiTheme="minorHAnsi" w:hAnsiTheme="minorHAnsi" w:cstheme="minorHAnsi"/>
          <w:b w:val="0"/>
          <w:i/>
          <w:color w:val="auto"/>
          <w:sz w:val="24"/>
          <w:szCs w:val="24"/>
          <w:lang w:val="el-GR"/>
        </w:rPr>
        <w:t>Διαχείριση</w:t>
      </w:r>
      <w:r w:rsidR="004A1ED5" w:rsidRPr="004A1ED5">
        <w:rPr>
          <w:rFonts w:asciiTheme="minorHAnsi" w:hAnsiTheme="minorHAnsi" w:cstheme="minorHAnsi"/>
          <w:b w:val="0"/>
          <w:i/>
          <w:color w:val="auto"/>
          <w:sz w:val="24"/>
          <w:szCs w:val="24"/>
          <w:lang w:val="el-GR"/>
        </w:rPr>
        <w:t xml:space="preserve"> </w:t>
      </w:r>
      <w:r w:rsidR="004A1ED5">
        <w:rPr>
          <w:rFonts w:asciiTheme="minorHAnsi" w:hAnsiTheme="minorHAnsi" w:cstheme="minorHAnsi"/>
          <w:b w:val="0"/>
          <w:i/>
          <w:color w:val="auto"/>
          <w:sz w:val="24"/>
          <w:szCs w:val="24"/>
          <w:lang w:val="el-GR"/>
        </w:rPr>
        <w:t>μυστικών</w:t>
      </w:r>
      <w:r w:rsidR="004A1ED5" w:rsidRPr="004A1ED5">
        <w:rPr>
          <w:rFonts w:asciiTheme="minorHAnsi" w:hAnsiTheme="minorHAnsi" w:cstheme="minorHAnsi"/>
          <w:b w:val="0"/>
          <w:i/>
          <w:color w:val="auto"/>
          <w:sz w:val="24"/>
          <w:szCs w:val="24"/>
          <w:lang w:val="el-GR"/>
        </w:rPr>
        <w:t xml:space="preserve"> </w:t>
      </w:r>
      <w:r w:rsidR="004A1ED5">
        <w:rPr>
          <w:rFonts w:asciiTheme="minorHAnsi" w:hAnsiTheme="minorHAnsi" w:cstheme="minorHAnsi"/>
          <w:b w:val="0"/>
          <w:i/>
          <w:color w:val="auto"/>
          <w:sz w:val="24"/>
          <w:szCs w:val="24"/>
          <w:lang w:val="el-GR"/>
        </w:rPr>
        <w:t>επιχειρήσεων</w:t>
      </w:r>
      <w:r w:rsidR="004A1ED5" w:rsidRPr="004A1ED5">
        <w:rPr>
          <w:rFonts w:asciiTheme="minorHAnsi" w:hAnsiTheme="minorHAnsi" w:cstheme="minorHAnsi"/>
          <w:b w:val="0"/>
          <w:i/>
          <w:color w:val="auto"/>
          <w:sz w:val="24"/>
          <w:szCs w:val="24"/>
          <w:lang w:val="el-GR"/>
        </w:rPr>
        <w:t xml:space="preserve"> </w:t>
      </w:r>
      <w:r w:rsidR="004A1ED5">
        <w:rPr>
          <w:rFonts w:asciiTheme="minorHAnsi" w:hAnsiTheme="minorHAnsi" w:cstheme="minorHAnsi"/>
          <w:b w:val="0"/>
          <w:i/>
          <w:color w:val="auto"/>
          <w:sz w:val="24"/>
          <w:szCs w:val="24"/>
          <w:lang w:val="el-GR"/>
        </w:rPr>
        <w:t>και</w:t>
      </w:r>
      <w:r w:rsidR="004A1ED5" w:rsidRPr="004A1ED5">
        <w:rPr>
          <w:rFonts w:asciiTheme="minorHAnsi" w:hAnsiTheme="minorHAnsi" w:cstheme="minorHAnsi"/>
          <w:b w:val="0"/>
          <w:i/>
          <w:color w:val="auto"/>
          <w:sz w:val="24"/>
          <w:szCs w:val="24"/>
          <w:lang w:val="el-GR"/>
        </w:rPr>
        <w:t xml:space="preserve"> </w:t>
      </w:r>
      <w:r w:rsidR="004A1ED5">
        <w:rPr>
          <w:rFonts w:asciiTheme="minorHAnsi" w:hAnsiTheme="minorHAnsi" w:cstheme="minorHAnsi"/>
          <w:b w:val="0"/>
          <w:i/>
          <w:color w:val="auto"/>
          <w:sz w:val="24"/>
          <w:szCs w:val="24"/>
          <w:lang w:val="el-GR"/>
        </w:rPr>
        <w:t>επαφών</w:t>
      </w:r>
      <w:r w:rsidR="004A1ED5" w:rsidRPr="004A1ED5">
        <w:rPr>
          <w:rFonts w:asciiTheme="minorHAnsi" w:hAnsiTheme="minorHAnsi" w:cstheme="minorHAnsi"/>
          <w:b w:val="0"/>
          <w:i/>
          <w:color w:val="auto"/>
          <w:sz w:val="24"/>
          <w:szCs w:val="24"/>
          <w:lang w:val="el-GR"/>
        </w:rPr>
        <w:t xml:space="preserve"> </w:t>
      </w:r>
      <w:r w:rsidR="004A1ED5">
        <w:rPr>
          <w:rFonts w:asciiTheme="minorHAnsi" w:hAnsiTheme="minorHAnsi" w:cstheme="minorHAnsi"/>
          <w:b w:val="0"/>
          <w:i/>
          <w:color w:val="auto"/>
          <w:sz w:val="24"/>
          <w:szCs w:val="24"/>
          <w:lang w:val="el-GR"/>
        </w:rPr>
        <w:t>με</w:t>
      </w:r>
      <w:r w:rsidR="004A1ED5" w:rsidRPr="004A1ED5">
        <w:rPr>
          <w:rFonts w:asciiTheme="minorHAnsi" w:hAnsiTheme="minorHAnsi" w:cstheme="minorHAnsi"/>
          <w:b w:val="0"/>
          <w:i/>
          <w:color w:val="auto"/>
          <w:sz w:val="24"/>
          <w:szCs w:val="24"/>
          <w:lang w:val="el-GR"/>
        </w:rPr>
        <w:t xml:space="preserve"> </w:t>
      </w:r>
      <w:r w:rsidR="004A1ED5">
        <w:rPr>
          <w:rFonts w:asciiTheme="minorHAnsi" w:hAnsiTheme="minorHAnsi" w:cstheme="minorHAnsi"/>
          <w:b w:val="0"/>
          <w:i/>
          <w:color w:val="auto"/>
          <w:sz w:val="24"/>
          <w:szCs w:val="24"/>
          <w:lang w:val="el-GR"/>
        </w:rPr>
        <w:t>πληροφοριοδότες</w:t>
      </w:r>
      <w:r w:rsidR="004A1ED5" w:rsidRPr="004A1ED5">
        <w:rPr>
          <w:rFonts w:asciiTheme="minorHAnsi" w:hAnsiTheme="minorHAnsi" w:cstheme="minorHAnsi"/>
          <w:b w:val="0"/>
          <w:i/>
          <w:color w:val="auto"/>
          <w:sz w:val="24"/>
          <w:szCs w:val="24"/>
          <w:lang w:val="el-GR"/>
        </w:rPr>
        <w:t xml:space="preserve"> </w:t>
      </w:r>
      <w:r w:rsidR="004A1ED5">
        <w:rPr>
          <w:rFonts w:asciiTheme="minorHAnsi" w:hAnsiTheme="minorHAnsi" w:cstheme="minorHAnsi"/>
          <w:b w:val="0"/>
          <w:i/>
          <w:color w:val="auto"/>
          <w:sz w:val="24"/>
          <w:szCs w:val="24"/>
          <w:lang w:val="el-GR"/>
        </w:rPr>
        <w:t>και</w:t>
      </w:r>
      <w:r w:rsidR="004A1ED5" w:rsidRPr="004A1ED5">
        <w:rPr>
          <w:rFonts w:asciiTheme="minorHAnsi" w:hAnsiTheme="minorHAnsi" w:cstheme="minorHAnsi"/>
          <w:b w:val="0"/>
          <w:i/>
          <w:color w:val="auto"/>
          <w:sz w:val="24"/>
          <w:szCs w:val="24"/>
          <w:lang w:val="el-GR"/>
        </w:rPr>
        <w:t xml:space="preserve"> </w:t>
      </w:r>
      <w:r w:rsidR="004A1ED5">
        <w:rPr>
          <w:rFonts w:asciiTheme="minorHAnsi" w:hAnsiTheme="minorHAnsi" w:cstheme="minorHAnsi"/>
          <w:b w:val="0"/>
          <w:i/>
          <w:color w:val="auto"/>
          <w:sz w:val="24"/>
          <w:szCs w:val="24"/>
          <w:lang w:val="el-GR"/>
        </w:rPr>
        <w:t>μάρτυρες</w:t>
      </w:r>
      <w:bookmarkEnd w:id="194"/>
      <w:bookmarkEnd w:id="195"/>
      <w:bookmarkEnd w:id="196"/>
    </w:p>
    <w:p w14:paraId="6738765E" w14:textId="77777777" w:rsidR="00220066" w:rsidRPr="004A1ED5" w:rsidRDefault="00220066" w:rsidP="00220066">
      <w:pPr>
        <w:keepNext/>
        <w:widowControl w:val="0"/>
        <w:rPr>
          <w:rFonts w:cstheme="minorHAnsi"/>
          <w:sz w:val="24"/>
          <w:szCs w:val="24"/>
          <w:lang w:val="el-GR"/>
        </w:rPr>
      </w:pPr>
    </w:p>
    <w:p w14:paraId="7C21DDF2" w14:textId="17DBFFDE" w:rsidR="00220066" w:rsidRPr="00EC02B6" w:rsidRDefault="004A1ED5" w:rsidP="00220066">
      <w:pPr>
        <w:keepNext/>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Υπάρχει</w:t>
      </w:r>
      <w:r w:rsidRPr="004A1ED5">
        <w:rPr>
          <w:rFonts w:cstheme="minorHAnsi"/>
          <w:sz w:val="24"/>
          <w:szCs w:val="24"/>
          <w:lang w:val="el-GR"/>
        </w:rPr>
        <w:t xml:space="preserve"> </w:t>
      </w:r>
      <w:r>
        <w:rPr>
          <w:rFonts w:cstheme="minorHAnsi"/>
          <w:sz w:val="24"/>
          <w:szCs w:val="24"/>
          <w:lang w:val="el-GR"/>
        </w:rPr>
        <w:t>νομοθεσία</w:t>
      </w:r>
      <w:r w:rsidR="00220066" w:rsidRPr="004A1ED5">
        <w:rPr>
          <w:rFonts w:cstheme="minorHAnsi"/>
          <w:sz w:val="24"/>
          <w:szCs w:val="24"/>
          <w:lang w:val="el-GR"/>
        </w:rPr>
        <w:t xml:space="preserve">, </w:t>
      </w:r>
      <w:r>
        <w:rPr>
          <w:rFonts w:cstheme="minorHAnsi"/>
          <w:sz w:val="24"/>
          <w:szCs w:val="24"/>
          <w:lang w:val="el-GR"/>
        </w:rPr>
        <w:t>από</w:t>
      </w:r>
      <w:r w:rsidRPr="004A1ED5">
        <w:rPr>
          <w:rFonts w:cstheme="minorHAnsi"/>
          <w:sz w:val="24"/>
          <w:szCs w:val="24"/>
          <w:lang w:val="el-GR"/>
        </w:rPr>
        <w:t xml:space="preserve"> </w:t>
      </w:r>
      <w:r>
        <w:rPr>
          <w:rFonts w:cstheme="minorHAnsi"/>
          <w:sz w:val="24"/>
          <w:szCs w:val="24"/>
          <w:lang w:val="el-GR"/>
        </w:rPr>
        <w:t>το</w:t>
      </w:r>
      <w:r w:rsidR="00220066" w:rsidRPr="004A1ED5">
        <w:rPr>
          <w:rFonts w:cstheme="minorHAnsi"/>
          <w:sz w:val="24"/>
          <w:szCs w:val="24"/>
          <w:lang w:val="el-GR"/>
        </w:rPr>
        <w:t xml:space="preserve"> 2017, </w:t>
      </w:r>
      <w:r>
        <w:rPr>
          <w:rFonts w:cstheme="minorHAnsi"/>
          <w:sz w:val="24"/>
          <w:szCs w:val="24"/>
          <w:lang w:val="el-GR"/>
        </w:rPr>
        <w:t>που</w:t>
      </w:r>
      <w:r w:rsidRPr="004A1ED5">
        <w:rPr>
          <w:rFonts w:cstheme="minorHAnsi"/>
          <w:sz w:val="24"/>
          <w:szCs w:val="24"/>
          <w:lang w:val="el-GR"/>
        </w:rPr>
        <w:t xml:space="preserve"> </w:t>
      </w:r>
      <w:r>
        <w:rPr>
          <w:rFonts w:cstheme="minorHAnsi"/>
          <w:sz w:val="24"/>
          <w:szCs w:val="24"/>
          <w:lang w:val="el-GR"/>
        </w:rPr>
        <w:t>προβλέπει</w:t>
      </w:r>
      <w:r w:rsidR="00220066" w:rsidRPr="004A1ED5">
        <w:rPr>
          <w:rFonts w:cstheme="minorHAnsi"/>
          <w:sz w:val="24"/>
          <w:szCs w:val="24"/>
          <w:lang w:val="el-GR"/>
        </w:rPr>
        <w:t xml:space="preserve"> </w:t>
      </w:r>
      <w:r>
        <w:rPr>
          <w:rFonts w:cstheme="minorHAnsi"/>
          <w:sz w:val="24"/>
          <w:szCs w:val="24"/>
          <w:lang w:val="el-GR"/>
        </w:rPr>
        <w:t>τον</w:t>
      </w:r>
      <w:r w:rsidRPr="004A1ED5">
        <w:rPr>
          <w:rFonts w:cstheme="minorHAnsi"/>
          <w:sz w:val="24"/>
          <w:szCs w:val="24"/>
          <w:lang w:val="el-GR"/>
        </w:rPr>
        <w:t xml:space="preserve"> </w:t>
      </w:r>
      <w:r>
        <w:rPr>
          <w:rFonts w:cstheme="minorHAnsi"/>
          <w:sz w:val="24"/>
          <w:szCs w:val="24"/>
          <w:lang w:val="el-GR"/>
        </w:rPr>
        <w:t>κανονισμό</w:t>
      </w:r>
      <w:r w:rsidRPr="004A1ED5">
        <w:rPr>
          <w:rFonts w:cstheme="minorHAnsi"/>
          <w:sz w:val="24"/>
          <w:szCs w:val="24"/>
          <w:lang w:val="el-GR"/>
        </w:rPr>
        <w:t xml:space="preserve"> </w:t>
      </w:r>
      <w:r>
        <w:rPr>
          <w:rFonts w:cstheme="minorHAnsi"/>
          <w:sz w:val="24"/>
          <w:szCs w:val="24"/>
          <w:lang w:val="el-GR"/>
        </w:rPr>
        <w:t>της</w:t>
      </w:r>
      <w:r w:rsidRPr="004A1ED5">
        <w:rPr>
          <w:rFonts w:cstheme="minorHAnsi"/>
          <w:sz w:val="24"/>
          <w:szCs w:val="24"/>
          <w:lang w:val="el-GR"/>
        </w:rPr>
        <w:t xml:space="preserve"> </w:t>
      </w:r>
      <w:r>
        <w:rPr>
          <w:rFonts w:cstheme="minorHAnsi"/>
          <w:sz w:val="24"/>
          <w:szCs w:val="24"/>
          <w:lang w:val="el-GR"/>
        </w:rPr>
        <w:t>δραστηριότητας</w:t>
      </w:r>
      <w:r w:rsidR="00220066" w:rsidRPr="004A1ED5">
        <w:rPr>
          <w:rFonts w:cstheme="minorHAnsi"/>
          <w:sz w:val="24"/>
          <w:szCs w:val="24"/>
          <w:lang w:val="el-GR"/>
        </w:rPr>
        <w:t xml:space="preserve"> </w:t>
      </w:r>
      <w:r>
        <w:rPr>
          <w:rFonts w:cstheme="minorHAnsi"/>
          <w:sz w:val="24"/>
          <w:szCs w:val="24"/>
          <w:lang w:val="el-GR"/>
        </w:rPr>
        <w:t>και</w:t>
      </w:r>
      <w:r w:rsidRPr="004A1ED5">
        <w:rPr>
          <w:rFonts w:cstheme="minorHAnsi"/>
          <w:sz w:val="24"/>
          <w:szCs w:val="24"/>
          <w:lang w:val="el-GR"/>
        </w:rPr>
        <w:t xml:space="preserve"> </w:t>
      </w:r>
      <w:r>
        <w:rPr>
          <w:rFonts w:cstheme="minorHAnsi"/>
          <w:sz w:val="24"/>
          <w:szCs w:val="24"/>
          <w:lang w:val="el-GR"/>
        </w:rPr>
        <w:t>τις</w:t>
      </w:r>
      <w:r w:rsidRPr="004A1ED5">
        <w:rPr>
          <w:rFonts w:cstheme="minorHAnsi"/>
          <w:sz w:val="24"/>
          <w:szCs w:val="24"/>
          <w:lang w:val="el-GR"/>
        </w:rPr>
        <w:t xml:space="preserve"> </w:t>
      </w:r>
      <w:r>
        <w:rPr>
          <w:rFonts w:cstheme="minorHAnsi"/>
          <w:sz w:val="24"/>
          <w:szCs w:val="24"/>
          <w:lang w:val="el-GR"/>
        </w:rPr>
        <w:t>διερευνητικές</w:t>
      </w:r>
      <w:r w:rsidRPr="004A1ED5">
        <w:rPr>
          <w:rFonts w:cstheme="minorHAnsi"/>
          <w:sz w:val="24"/>
          <w:szCs w:val="24"/>
          <w:lang w:val="el-GR"/>
        </w:rPr>
        <w:t xml:space="preserve"> </w:t>
      </w:r>
      <w:r>
        <w:rPr>
          <w:rFonts w:cstheme="minorHAnsi"/>
          <w:sz w:val="24"/>
          <w:szCs w:val="24"/>
          <w:lang w:val="el-GR"/>
        </w:rPr>
        <w:t>εξουσίες</w:t>
      </w:r>
      <w:r w:rsidR="00220066" w:rsidRPr="004A1ED5">
        <w:rPr>
          <w:rFonts w:cstheme="minorHAnsi"/>
          <w:sz w:val="24"/>
          <w:szCs w:val="24"/>
          <w:lang w:val="el-GR"/>
        </w:rPr>
        <w:t xml:space="preserve">, </w:t>
      </w:r>
      <w:r>
        <w:rPr>
          <w:rFonts w:cstheme="minorHAnsi"/>
          <w:sz w:val="24"/>
          <w:szCs w:val="24"/>
          <w:lang w:val="el-GR"/>
        </w:rPr>
        <w:t xml:space="preserve">για μυστικά μέλη της </w:t>
      </w:r>
      <w:r w:rsidR="009C4E34">
        <w:rPr>
          <w:rFonts w:cstheme="minorHAnsi"/>
          <w:sz w:val="24"/>
          <w:szCs w:val="24"/>
          <w:lang w:val="el-GR"/>
        </w:rPr>
        <w:t>Αστυνομία</w:t>
      </w:r>
      <w:r>
        <w:rPr>
          <w:rFonts w:cstheme="minorHAnsi"/>
          <w:sz w:val="24"/>
          <w:szCs w:val="24"/>
          <w:lang w:val="el-GR"/>
        </w:rPr>
        <w:t>ς</w:t>
      </w:r>
      <w:r w:rsidR="00220066" w:rsidRPr="004A1ED5">
        <w:rPr>
          <w:rFonts w:cstheme="minorHAnsi"/>
          <w:sz w:val="24"/>
          <w:szCs w:val="24"/>
          <w:lang w:val="el-GR"/>
        </w:rPr>
        <w:t xml:space="preserve"> (</w:t>
      </w:r>
      <w:r>
        <w:rPr>
          <w:rFonts w:cstheme="minorHAnsi"/>
          <w:sz w:val="24"/>
          <w:szCs w:val="24"/>
          <w:lang w:val="el-GR"/>
        </w:rPr>
        <w:t>Νόμος</w:t>
      </w:r>
      <w:r w:rsidR="00220066" w:rsidRPr="004A1ED5">
        <w:rPr>
          <w:rFonts w:cstheme="minorHAnsi"/>
          <w:sz w:val="24"/>
          <w:szCs w:val="24"/>
          <w:lang w:val="el-GR"/>
        </w:rPr>
        <w:t xml:space="preserve"> 189(</w:t>
      </w:r>
      <w:r w:rsidR="00220066" w:rsidRPr="004E251E">
        <w:rPr>
          <w:rFonts w:cstheme="minorHAnsi"/>
          <w:sz w:val="24"/>
          <w:szCs w:val="24"/>
        </w:rPr>
        <w:t>I</w:t>
      </w:r>
      <w:r w:rsidR="00220066" w:rsidRPr="004A1ED5">
        <w:rPr>
          <w:rFonts w:cstheme="minorHAnsi"/>
          <w:sz w:val="24"/>
          <w:szCs w:val="24"/>
          <w:lang w:val="el-GR"/>
        </w:rPr>
        <w:t xml:space="preserve">)/2017) </w:t>
      </w:r>
      <w:r w:rsidR="00EC02B6">
        <w:rPr>
          <w:rFonts w:cstheme="minorHAnsi"/>
          <w:sz w:val="24"/>
          <w:szCs w:val="24"/>
          <w:lang w:val="el-GR"/>
        </w:rPr>
        <w:t>και είναι σχετική για μυστικές επιχειρήσεις</w:t>
      </w:r>
      <w:r w:rsidR="00220066" w:rsidRPr="004A1ED5">
        <w:rPr>
          <w:rFonts w:cstheme="minorHAnsi"/>
          <w:sz w:val="24"/>
          <w:szCs w:val="24"/>
          <w:lang w:val="el-GR"/>
        </w:rPr>
        <w:t xml:space="preserve">. </w:t>
      </w:r>
      <w:r w:rsidR="00EC02B6">
        <w:rPr>
          <w:rFonts w:cstheme="minorHAnsi"/>
          <w:sz w:val="24"/>
          <w:szCs w:val="24"/>
          <w:lang w:val="el-GR"/>
        </w:rPr>
        <w:t>Το</w:t>
      </w:r>
      <w:r w:rsidR="00EC02B6" w:rsidRPr="00EC02B6">
        <w:rPr>
          <w:rFonts w:cstheme="minorHAnsi"/>
          <w:sz w:val="24"/>
          <w:szCs w:val="24"/>
          <w:lang w:val="el-GR"/>
        </w:rPr>
        <w:t xml:space="preserve"> </w:t>
      </w:r>
      <w:r w:rsidR="00EC02B6">
        <w:rPr>
          <w:rFonts w:cstheme="minorHAnsi"/>
          <w:sz w:val="24"/>
          <w:szCs w:val="24"/>
          <w:lang w:val="el-GR"/>
        </w:rPr>
        <w:t>Άρθρο</w:t>
      </w:r>
      <w:r w:rsidR="00220066" w:rsidRPr="00EC02B6">
        <w:rPr>
          <w:rFonts w:cstheme="minorHAnsi"/>
          <w:sz w:val="24"/>
          <w:szCs w:val="24"/>
          <w:lang w:val="el-GR"/>
        </w:rPr>
        <w:t xml:space="preserve"> 6 </w:t>
      </w:r>
      <w:r w:rsidR="00EC02B6">
        <w:rPr>
          <w:rFonts w:cstheme="minorHAnsi"/>
          <w:sz w:val="24"/>
          <w:szCs w:val="24"/>
          <w:lang w:val="el-GR"/>
        </w:rPr>
        <w:t>του</w:t>
      </w:r>
      <w:r w:rsidR="00EC02B6" w:rsidRPr="00EC02B6">
        <w:rPr>
          <w:rFonts w:cstheme="minorHAnsi"/>
          <w:sz w:val="24"/>
          <w:szCs w:val="24"/>
          <w:lang w:val="el-GR"/>
        </w:rPr>
        <w:t xml:space="preserve"> </w:t>
      </w:r>
      <w:r w:rsidR="00EC02B6">
        <w:rPr>
          <w:rFonts w:cstheme="minorHAnsi"/>
          <w:sz w:val="24"/>
          <w:szCs w:val="24"/>
          <w:lang w:val="el-GR"/>
        </w:rPr>
        <w:t>προαναφερθέντα</w:t>
      </w:r>
      <w:r w:rsidR="00EC02B6" w:rsidRPr="00EC02B6">
        <w:rPr>
          <w:rFonts w:cstheme="minorHAnsi"/>
          <w:sz w:val="24"/>
          <w:szCs w:val="24"/>
          <w:lang w:val="el-GR"/>
        </w:rPr>
        <w:t xml:space="preserve"> </w:t>
      </w:r>
      <w:r w:rsidR="00EC02B6">
        <w:rPr>
          <w:rFonts w:cstheme="minorHAnsi"/>
          <w:sz w:val="24"/>
          <w:szCs w:val="24"/>
          <w:lang w:val="el-GR"/>
        </w:rPr>
        <w:t>Νόμου</w:t>
      </w:r>
      <w:r w:rsidR="00220066" w:rsidRPr="00EC02B6">
        <w:rPr>
          <w:rFonts w:cstheme="minorHAnsi"/>
          <w:sz w:val="24"/>
          <w:szCs w:val="24"/>
          <w:lang w:val="el-GR"/>
        </w:rPr>
        <w:t xml:space="preserve"> </w:t>
      </w:r>
      <w:r w:rsidR="00EC02B6">
        <w:rPr>
          <w:rFonts w:cstheme="minorHAnsi"/>
          <w:sz w:val="24"/>
          <w:szCs w:val="24"/>
          <w:lang w:val="el-GR"/>
        </w:rPr>
        <w:t>προβλέπει</w:t>
      </w:r>
      <w:r w:rsidR="00EC02B6" w:rsidRPr="00EC02B6">
        <w:rPr>
          <w:rFonts w:cstheme="minorHAnsi"/>
          <w:sz w:val="24"/>
          <w:szCs w:val="24"/>
          <w:lang w:val="el-GR"/>
        </w:rPr>
        <w:t xml:space="preserve"> </w:t>
      </w:r>
      <w:r w:rsidR="00EC02B6">
        <w:rPr>
          <w:rFonts w:cstheme="minorHAnsi"/>
          <w:sz w:val="24"/>
          <w:szCs w:val="24"/>
          <w:lang w:val="el-GR"/>
        </w:rPr>
        <w:t>ότι</w:t>
      </w:r>
      <w:r w:rsidR="00EC02B6" w:rsidRPr="00EC02B6">
        <w:rPr>
          <w:rFonts w:cstheme="minorHAnsi"/>
          <w:sz w:val="24"/>
          <w:szCs w:val="24"/>
          <w:lang w:val="el-GR"/>
        </w:rPr>
        <w:t xml:space="preserve"> </w:t>
      </w:r>
      <w:r w:rsidR="00EC02B6">
        <w:rPr>
          <w:rFonts w:cstheme="minorHAnsi"/>
          <w:sz w:val="24"/>
          <w:szCs w:val="24"/>
          <w:lang w:val="el-GR"/>
        </w:rPr>
        <w:t>κανένα</w:t>
      </w:r>
      <w:r w:rsidR="00EC02B6" w:rsidRPr="00EC02B6">
        <w:rPr>
          <w:rFonts w:cstheme="minorHAnsi"/>
          <w:sz w:val="24"/>
          <w:szCs w:val="24"/>
          <w:lang w:val="el-GR"/>
        </w:rPr>
        <w:t xml:space="preserve"> </w:t>
      </w:r>
      <w:r w:rsidR="00EC02B6">
        <w:rPr>
          <w:rFonts w:cstheme="minorHAnsi"/>
          <w:sz w:val="24"/>
          <w:szCs w:val="24"/>
          <w:lang w:val="el-GR"/>
        </w:rPr>
        <w:t>μέλος</w:t>
      </w:r>
      <w:r w:rsidR="00EC02B6" w:rsidRPr="00EC02B6">
        <w:rPr>
          <w:rFonts w:cstheme="minorHAnsi"/>
          <w:sz w:val="24"/>
          <w:szCs w:val="24"/>
          <w:lang w:val="el-GR"/>
        </w:rPr>
        <w:t xml:space="preserve"> </w:t>
      </w:r>
      <w:r w:rsidR="00EC02B6">
        <w:rPr>
          <w:rFonts w:cstheme="minorHAnsi"/>
          <w:sz w:val="24"/>
          <w:szCs w:val="24"/>
          <w:lang w:val="el-GR"/>
        </w:rPr>
        <w:t>της</w:t>
      </w:r>
      <w:r w:rsidR="00EC02B6" w:rsidRPr="00EC02B6">
        <w:rPr>
          <w:rFonts w:cstheme="minorHAnsi"/>
          <w:sz w:val="24"/>
          <w:szCs w:val="24"/>
          <w:lang w:val="el-GR"/>
        </w:rPr>
        <w:t xml:space="preserve"> </w:t>
      </w:r>
      <w:r w:rsidR="009C4E34">
        <w:rPr>
          <w:rFonts w:cstheme="minorHAnsi"/>
          <w:sz w:val="24"/>
          <w:szCs w:val="24"/>
          <w:lang w:val="el-GR"/>
        </w:rPr>
        <w:t>Αστυνομία</w:t>
      </w:r>
      <w:r w:rsidR="00EC02B6">
        <w:rPr>
          <w:rFonts w:cstheme="minorHAnsi"/>
          <w:sz w:val="24"/>
          <w:szCs w:val="24"/>
          <w:lang w:val="el-GR"/>
        </w:rPr>
        <w:t>ς</w:t>
      </w:r>
      <w:r w:rsidR="00220066" w:rsidRPr="00EC02B6">
        <w:rPr>
          <w:rFonts w:cstheme="minorHAnsi"/>
          <w:sz w:val="24"/>
          <w:szCs w:val="24"/>
          <w:lang w:val="el-GR"/>
        </w:rPr>
        <w:t xml:space="preserve"> </w:t>
      </w:r>
      <w:r w:rsidR="00EC02B6">
        <w:rPr>
          <w:rFonts w:cstheme="minorHAnsi"/>
          <w:sz w:val="24"/>
          <w:szCs w:val="24"/>
          <w:lang w:val="el-GR"/>
        </w:rPr>
        <w:t>δεν</w:t>
      </w:r>
      <w:r w:rsidR="00EC02B6" w:rsidRPr="00EC02B6">
        <w:rPr>
          <w:rFonts w:cstheme="minorHAnsi"/>
          <w:sz w:val="24"/>
          <w:szCs w:val="24"/>
          <w:lang w:val="el-GR"/>
        </w:rPr>
        <w:t xml:space="preserve"> </w:t>
      </w:r>
      <w:r w:rsidR="00EC02B6">
        <w:rPr>
          <w:rFonts w:cstheme="minorHAnsi"/>
          <w:sz w:val="24"/>
          <w:szCs w:val="24"/>
          <w:lang w:val="el-GR"/>
        </w:rPr>
        <w:t>μπορεί</w:t>
      </w:r>
      <w:r w:rsidR="00EC02B6" w:rsidRPr="00EC02B6">
        <w:rPr>
          <w:rFonts w:cstheme="minorHAnsi"/>
          <w:sz w:val="24"/>
          <w:szCs w:val="24"/>
          <w:lang w:val="el-GR"/>
        </w:rPr>
        <w:t xml:space="preserve"> </w:t>
      </w:r>
      <w:r w:rsidR="00EC02B6">
        <w:rPr>
          <w:rFonts w:cstheme="minorHAnsi"/>
          <w:sz w:val="24"/>
          <w:szCs w:val="24"/>
          <w:lang w:val="el-GR"/>
        </w:rPr>
        <w:t>να</w:t>
      </w:r>
      <w:r w:rsidR="00EC02B6" w:rsidRPr="00EC02B6">
        <w:rPr>
          <w:rFonts w:cstheme="minorHAnsi"/>
          <w:sz w:val="24"/>
          <w:szCs w:val="24"/>
          <w:lang w:val="el-GR"/>
        </w:rPr>
        <w:t xml:space="preserve"> </w:t>
      </w:r>
      <w:r w:rsidR="00EC02B6">
        <w:rPr>
          <w:rFonts w:cstheme="minorHAnsi"/>
          <w:sz w:val="24"/>
          <w:szCs w:val="24"/>
          <w:lang w:val="el-GR"/>
        </w:rPr>
        <w:t>ενεργήσει</w:t>
      </w:r>
      <w:r w:rsidR="00EC02B6" w:rsidRPr="00EC02B6">
        <w:rPr>
          <w:rFonts w:cstheme="minorHAnsi"/>
          <w:sz w:val="24"/>
          <w:szCs w:val="24"/>
          <w:lang w:val="el-GR"/>
        </w:rPr>
        <w:t xml:space="preserve"> </w:t>
      </w:r>
      <w:r w:rsidR="00EC02B6">
        <w:rPr>
          <w:rFonts w:cstheme="minorHAnsi"/>
          <w:sz w:val="24"/>
          <w:szCs w:val="24"/>
          <w:lang w:val="el-GR"/>
        </w:rPr>
        <w:t>ως</w:t>
      </w:r>
      <w:r w:rsidR="00220066" w:rsidRPr="00EC02B6">
        <w:rPr>
          <w:rFonts w:cstheme="minorHAnsi"/>
          <w:sz w:val="24"/>
          <w:szCs w:val="24"/>
          <w:lang w:val="el-GR"/>
        </w:rPr>
        <w:t xml:space="preserve"> </w:t>
      </w:r>
      <w:r w:rsidR="00EC02B6">
        <w:rPr>
          <w:rFonts w:cstheme="minorHAnsi"/>
          <w:sz w:val="24"/>
          <w:szCs w:val="24"/>
          <w:lang w:val="el-GR"/>
        </w:rPr>
        <w:t>μυστικός</w:t>
      </w:r>
      <w:r w:rsidR="00EC02B6" w:rsidRPr="00EC02B6">
        <w:rPr>
          <w:rFonts w:cstheme="minorHAnsi"/>
          <w:sz w:val="24"/>
          <w:szCs w:val="24"/>
          <w:lang w:val="el-GR"/>
        </w:rPr>
        <w:t xml:space="preserve"> </w:t>
      </w:r>
      <w:r w:rsidR="00EC02B6">
        <w:rPr>
          <w:rFonts w:cstheme="minorHAnsi"/>
          <w:sz w:val="24"/>
          <w:szCs w:val="24"/>
          <w:lang w:val="el-GR"/>
        </w:rPr>
        <w:t>αστυνομικός</w:t>
      </w:r>
      <w:r w:rsidR="00220066" w:rsidRPr="00EC02B6">
        <w:rPr>
          <w:rFonts w:cstheme="minorHAnsi"/>
          <w:sz w:val="24"/>
          <w:szCs w:val="24"/>
          <w:lang w:val="el-GR"/>
        </w:rPr>
        <w:t xml:space="preserve"> </w:t>
      </w:r>
      <w:r w:rsidR="00EC02B6">
        <w:rPr>
          <w:rFonts w:cstheme="minorHAnsi"/>
          <w:sz w:val="24"/>
          <w:szCs w:val="24"/>
          <w:lang w:val="el-GR"/>
        </w:rPr>
        <w:t>εκτός αν αυτό/ή έχει λάβει εξειδικευμένη εκπαίδευση για τον σκοπό αυτό</w:t>
      </w:r>
      <w:r w:rsidR="00220066" w:rsidRPr="00EC02B6">
        <w:rPr>
          <w:rFonts w:cstheme="minorHAnsi"/>
          <w:sz w:val="24"/>
          <w:szCs w:val="24"/>
          <w:lang w:val="el-GR"/>
        </w:rPr>
        <w:t xml:space="preserve">, </w:t>
      </w:r>
      <w:r w:rsidR="00EC02B6">
        <w:rPr>
          <w:rFonts w:cstheme="minorHAnsi"/>
          <w:sz w:val="24"/>
          <w:szCs w:val="24"/>
          <w:lang w:val="el-GR"/>
        </w:rPr>
        <w:t xml:space="preserve">σύμφωνα με ένα εκπαιδευτικό πρόγραμμα που έχει εγκριθεί από τον Αρχηγό της </w:t>
      </w:r>
      <w:r w:rsidR="009C4E34">
        <w:rPr>
          <w:rFonts w:cstheme="minorHAnsi"/>
          <w:sz w:val="24"/>
          <w:szCs w:val="24"/>
          <w:lang w:val="el-GR"/>
        </w:rPr>
        <w:t>Αστυνομία</w:t>
      </w:r>
      <w:r w:rsidR="00EC02B6">
        <w:rPr>
          <w:rFonts w:cstheme="minorHAnsi"/>
          <w:sz w:val="24"/>
          <w:szCs w:val="24"/>
          <w:lang w:val="el-GR"/>
        </w:rPr>
        <w:t>ς</w:t>
      </w:r>
      <w:r w:rsidR="00220066" w:rsidRPr="00EC02B6">
        <w:rPr>
          <w:rFonts w:cstheme="minorHAnsi"/>
          <w:sz w:val="24"/>
          <w:szCs w:val="24"/>
          <w:lang w:val="el-GR"/>
        </w:rPr>
        <w:t xml:space="preserve">. </w:t>
      </w:r>
      <w:r w:rsidR="00EC02B6">
        <w:rPr>
          <w:rFonts w:cstheme="minorHAnsi"/>
          <w:sz w:val="24"/>
          <w:szCs w:val="24"/>
          <w:lang w:val="el-GR"/>
        </w:rPr>
        <w:t>Για</w:t>
      </w:r>
      <w:r w:rsidR="00EC02B6" w:rsidRPr="00EC02B6">
        <w:rPr>
          <w:rFonts w:cstheme="minorHAnsi"/>
          <w:sz w:val="24"/>
          <w:szCs w:val="24"/>
          <w:lang w:val="el-GR"/>
        </w:rPr>
        <w:t xml:space="preserve"> </w:t>
      </w:r>
      <w:r w:rsidR="00EC02B6">
        <w:rPr>
          <w:rFonts w:cstheme="minorHAnsi"/>
          <w:sz w:val="24"/>
          <w:szCs w:val="24"/>
          <w:lang w:val="el-GR"/>
        </w:rPr>
        <w:t>τον</w:t>
      </w:r>
      <w:r w:rsidR="00EC02B6" w:rsidRPr="00EC02B6">
        <w:rPr>
          <w:rFonts w:cstheme="minorHAnsi"/>
          <w:sz w:val="24"/>
          <w:szCs w:val="24"/>
          <w:lang w:val="el-GR"/>
        </w:rPr>
        <w:t xml:space="preserve"> </w:t>
      </w:r>
      <w:r w:rsidR="00EC02B6">
        <w:rPr>
          <w:rFonts w:cstheme="minorHAnsi"/>
          <w:sz w:val="24"/>
          <w:szCs w:val="24"/>
          <w:lang w:val="el-GR"/>
        </w:rPr>
        <w:t>σκοπό</w:t>
      </w:r>
      <w:r w:rsidR="00EC02B6" w:rsidRPr="00EC02B6">
        <w:rPr>
          <w:rFonts w:cstheme="minorHAnsi"/>
          <w:sz w:val="24"/>
          <w:szCs w:val="24"/>
          <w:lang w:val="el-GR"/>
        </w:rPr>
        <w:t xml:space="preserve"> </w:t>
      </w:r>
      <w:r w:rsidR="00EC02B6">
        <w:rPr>
          <w:rFonts w:cstheme="minorHAnsi"/>
          <w:sz w:val="24"/>
          <w:szCs w:val="24"/>
          <w:lang w:val="el-GR"/>
        </w:rPr>
        <w:t>αυτό</w:t>
      </w:r>
      <w:r w:rsidR="00220066" w:rsidRPr="00EC02B6">
        <w:rPr>
          <w:rFonts w:cstheme="minorHAnsi"/>
          <w:sz w:val="24"/>
          <w:szCs w:val="24"/>
          <w:lang w:val="el-GR"/>
        </w:rPr>
        <w:t xml:space="preserve">, </w:t>
      </w:r>
      <w:r w:rsidR="00EC02B6">
        <w:rPr>
          <w:rFonts w:cstheme="minorHAnsi"/>
          <w:sz w:val="24"/>
          <w:szCs w:val="24"/>
          <w:lang w:val="el-GR"/>
        </w:rPr>
        <w:t>έχει</w:t>
      </w:r>
      <w:r w:rsidR="00EC02B6" w:rsidRPr="00EC02B6">
        <w:rPr>
          <w:rFonts w:cstheme="minorHAnsi"/>
          <w:sz w:val="24"/>
          <w:szCs w:val="24"/>
          <w:lang w:val="el-GR"/>
        </w:rPr>
        <w:t xml:space="preserve"> </w:t>
      </w:r>
      <w:r w:rsidR="00EC02B6">
        <w:rPr>
          <w:rFonts w:cstheme="minorHAnsi"/>
          <w:sz w:val="24"/>
          <w:szCs w:val="24"/>
          <w:lang w:val="el-GR"/>
        </w:rPr>
        <w:t>καθιερωθεί</w:t>
      </w:r>
      <w:r w:rsidR="00EC02B6" w:rsidRPr="00EC02B6">
        <w:rPr>
          <w:rFonts w:cstheme="minorHAnsi"/>
          <w:sz w:val="24"/>
          <w:szCs w:val="24"/>
          <w:lang w:val="el-GR"/>
        </w:rPr>
        <w:t xml:space="preserve"> </w:t>
      </w:r>
      <w:r w:rsidR="00EC02B6">
        <w:rPr>
          <w:rFonts w:cstheme="minorHAnsi"/>
          <w:sz w:val="24"/>
          <w:szCs w:val="24"/>
          <w:lang w:val="el-GR"/>
        </w:rPr>
        <w:t>ένα</w:t>
      </w:r>
      <w:r w:rsidR="00EC02B6" w:rsidRPr="00EC02B6">
        <w:rPr>
          <w:rFonts w:cstheme="minorHAnsi"/>
          <w:sz w:val="24"/>
          <w:szCs w:val="24"/>
          <w:lang w:val="el-GR"/>
        </w:rPr>
        <w:t xml:space="preserve"> </w:t>
      </w:r>
      <w:r w:rsidR="00EC02B6">
        <w:rPr>
          <w:rFonts w:cstheme="minorHAnsi"/>
          <w:sz w:val="24"/>
          <w:szCs w:val="24"/>
          <w:lang w:val="el-GR"/>
        </w:rPr>
        <w:t>εξειδικευμένο</w:t>
      </w:r>
      <w:r w:rsidR="00EC02B6" w:rsidRPr="00EC02B6">
        <w:rPr>
          <w:rFonts w:cstheme="minorHAnsi"/>
          <w:sz w:val="24"/>
          <w:szCs w:val="24"/>
          <w:lang w:val="el-GR"/>
        </w:rPr>
        <w:t xml:space="preserve"> </w:t>
      </w:r>
      <w:r w:rsidR="00EC02B6">
        <w:rPr>
          <w:rFonts w:cstheme="minorHAnsi"/>
          <w:sz w:val="24"/>
          <w:szCs w:val="24"/>
          <w:lang w:val="el-GR"/>
        </w:rPr>
        <w:t>εκπαιδευτικό</w:t>
      </w:r>
      <w:r w:rsidR="00EC02B6" w:rsidRPr="00EC02B6">
        <w:rPr>
          <w:rFonts w:cstheme="minorHAnsi"/>
          <w:sz w:val="24"/>
          <w:szCs w:val="24"/>
          <w:lang w:val="el-GR"/>
        </w:rPr>
        <w:t xml:space="preserve"> </w:t>
      </w:r>
      <w:r w:rsidR="00EC02B6">
        <w:rPr>
          <w:rFonts w:cstheme="minorHAnsi"/>
          <w:sz w:val="24"/>
          <w:szCs w:val="24"/>
          <w:lang w:val="el-GR"/>
        </w:rPr>
        <w:t>πρόγραμμα</w:t>
      </w:r>
      <w:r w:rsidR="00220066" w:rsidRPr="00EC02B6">
        <w:rPr>
          <w:rFonts w:cstheme="minorHAnsi"/>
          <w:sz w:val="24"/>
          <w:szCs w:val="24"/>
          <w:lang w:val="el-GR"/>
        </w:rPr>
        <w:t xml:space="preserve"> </w:t>
      </w:r>
      <w:r w:rsidR="00EC02B6">
        <w:rPr>
          <w:rFonts w:cstheme="minorHAnsi"/>
          <w:sz w:val="24"/>
          <w:szCs w:val="24"/>
          <w:lang w:val="el-GR"/>
        </w:rPr>
        <w:t>και</w:t>
      </w:r>
      <w:r w:rsidR="00EC02B6" w:rsidRPr="00EC02B6">
        <w:rPr>
          <w:rFonts w:cstheme="minorHAnsi"/>
          <w:sz w:val="24"/>
          <w:szCs w:val="24"/>
          <w:lang w:val="el-GR"/>
        </w:rPr>
        <w:t xml:space="preserve"> </w:t>
      </w:r>
      <w:r w:rsidR="00EC02B6">
        <w:rPr>
          <w:rFonts w:cstheme="minorHAnsi"/>
          <w:sz w:val="24"/>
          <w:szCs w:val="24"/>
          <w:lang w:val="el-GR"/>
        </w:rPr>
        <w:t>παρέχεται</w:t>
      </w:r>
      <w:r w:rsidR="00EC02B6" w:rsidRPr="00EC02B6">
        <w:rPr>
          <w:rFonts w:cstheme="minorHAnsi"/>
          <w:sz w:val="24"/>
          <w:szCs w:val="24"/>
          <w:lang w:val="el-GR"/>
        </w:rPr>
        <w:t xml:space="preserve"> </w:t>
      </w:r>
      <w:r w:rsidR="00EC02B6">
        <w:rPr>
          <w:rFonts w:cstheme="minorHAnsi"/>
          <w:sz w:val="24"/>
          <w:szCs w:val="24"/>
          <w:lang w:val="el-GR"/>
        </w:rPr>
        <w:t>από</w:t>
      </w:r>
      <w:r w:rsidR="00EC02B6" w:rsidRPr="00EC02B6">
        <w:rPr>
          <w:rFonts w:cstheme="minorHAnsi"/>
          <w:sz w:val="24"/>
          <w:szCs w:val="24"/>
          <w:lang w:val="el-GR"/>
        </w:rPr>
        <w:t xml:space="preserve"> </w:t>
      </w:r>
      <w:r w:rsidR="00EC02B6">
        <w:rPr>
          <w:rFonts w:cstheme="minorHAnsi"/>
          <w:sz w:val="24"/>
          <w:szCs w:val="24"/>
          <w:lang w:val="el-GR"/>
        </w:rPr>
        <w:t>την</w:t>
      </w:r>
      <w:r w:rsidR="00EC02B6" w:rsidRPr="00EC02B6">
        <w:rPr>
          <w:rFonts w:cstheme="minorHAnsi"/>
          <w:sz w:val="24"/>
          <w:szCs w:val="24"/>
          <w:lang w:val="el-GR"/>
        </w:rPr>
        <w:t xml:space="preserve"> </w:t>
      </w:r>
      <w:r w:rsidR="00EC02B6">
        <w:rPr>
          <w:rFonts w:cstheme="minorHAnsi"/>
          <w:sz w:val="24"/>
          <w:szCs w:val="24"/>
          <w:lang w:val="el-GR"/>
        </w:rPr>
        <w:t>Αστυνομική</w:t>
      </w:r>
      <w:r w:rsidR="00EC02B6" w:rsidRPr="00EC02B6">
        <w:rPr>
          <w:rFonts w:cstheme="minorHAnsi"/>
          <w:sz w:val="24"/>
          <w:szCs w:val="24"/>
          <w:lang w:val="el-GR"/>
        </w:rPr>
        <w:t xml:space="preserve"> </w:t>
      </w:r>
      <w:r w:rsidR="00EC02B6">
        <w:rPr>
          <w:rFonts w:cstheme="minorHAnsi"/>
          <w:sz w:val="24"/>
          <w:szCs w:val="24"/>
          <w:lang w:val="el-GR"/>
        </w:rPr>
        <w:t>Ακαδημία για μυστικούς αστυνομικούς</w:t>
      </w:r>
      <w:r w:rsidR="00220066" w:rsidRPr="00EC02B6">
        <w:rPr>
          <w:rFonts w:cstheme="minorHAnsi"/>
          <w:sz w:val="24"/>
          <w:szCs w:val="24"/>
          <w:lang w:val="el-GR"/>
        </w:rPr>
        <w:t xml:space="preserve">, </w:t>
      </w:r>
      <w:r w:rsidR="00EC02B6">
        <w:rPr>
          <w:rFonts w:cstheme="minorHAnsi"/>
          <w:sz w:val="24"/>
          <w:szCs w:val="24"/>
          <w:lang w:val="el-GR"/>
        </w:rPr>
        <w:t>τα θέματα του οποίου συμπεριλαμβάνουν</w:t>
      </w:r>
      <w:r w:rsidR="00220066" w:rsidRPr="00EC02B6">
        <w:rPr>
          <w:rFonts w:cstheme="minorHAnsi"/>
          <w:sz w:val="24"/>
          <w:szCs w:val="24"/>
          <w:lang w:val="el-GR"/>
        </w:rPr>
        <w:t xml:space="preserve"> </w:t>
      </w:r>
      <w:r w:rsidR="0083031D">
        <w:rPr>
          <w:rFonts w:cstheme="minorHAnsi"/>
          <w:sz w:val="24"/>
          <w:szCs w:val="24"/>
          <w:lang w:val="el-GR"/>
        </w:rPr>
        <w:t>τη</w:t>
      </w:r>
      <w:r w:rsidR="00EC02B6">
        <w:rPr>
          <w:rFonts w:cstheme="minorHAnsi"/>
          <w:sz w:val="24"/>
          <w:szCs w:val="24"/>
          <w:lang w:val="el-GR"/>
        </w:rPr>
        <w:t xml:space="preserve"> διαχε</w:t>
      </w:r>
      <w:r w:rsidR="0083031D">
        <w:rPr>
          <w:rFonts w:cstheme="minorHAnsi"/>
          <w:sz w:val="24"/>
          <w:szCs w:val="24"/>
          <w:lang w:val="el-GR"/>
        </w:rPr>
        <w:t>ίριση</w:t>
      </w:r>
      <w:r w:rsidR="00EC02B6">
        <w:rPr>
          <w:rFonts w:cstheme="minorHAnsi"/>
          <w:sz w:val="24"/>
          <w:szCs w:val="24"/>
          <w:lang w:val="el-GR"/>
        </w:rPr>
        <w:t xml:space="preserve"> πληροφοριοδ</w:t>
      </w:r>
      <w:r w:rsidR="0083031D">
        <w:rPr>
          <w:rFonts w:cstheme="minorHAnsi"/>
          <w:sz w:val="24"/>
          <w:szCs w:val="24"/>
          <w:lang w:val="el-GR"/>
        </w:rPr>
        <w:t>οτών</w:t>
      </w:r>
      <w:r w:rsidR="00220066" w:rsidRPr="00EC02B6">
        <w:rPr>
          <w:rFonts w:cstheme="minorHAnsi"/>
          <w:sz w:val="24"/>
          <w:szCs w:val="24"/>
          <w:lang w:val="el-GR"/>
        </w:rPr>
        <w:t xml:space="preserve">. </w:t>
      </w:r>
      <w:r w:rsidR="00EC02B6">
        <w:rPr>
          <w:rFonts w:cstheme="minorHAnsi"/>
          <w:sz w:val="24"/>
          <w:szCs w:val="24"/>
          <w:lang w:val="el-GR"/>
        </w:rPr>
        <w:t>Επιπρόσθετα</w:t>
      </w:r>
      <w:r w:rsidR="00220066" w:rsidRPr="00EC02B6">
        <w:rPr>
          <w:rFonts w:cstheme="minorHAnsi"/>
          <w:sz w:val="24"/>
          <w:szCs w:val="24"/>
          <w:lang w:val="el-GR"/>
        </w:rPr>
        <w:t xml:space="preserve">, </w:t>
      </w:r>
      <w:r w:rsidR="00EC02B6">
        <w:rPr>
          <w:rFonts w:cstheme="minorHAnsi"/>
          <w:sz w:val="24"/>
          <w:szCs w:val="24"/>
          <w:lang w:val="el-GR"/>
        </w:rPr>
        <w:t>μυστικοί</w:t>
      </w:r>
      <w:r w:rsidR="00EC02B6" w:rsidRPr="00EC02B6">
        <w:rPr>
          <w:rFonts w:cstheme="minorHAnsi"/>
          <w:sz w:val="24"/>
          <w:szCs w:val="24"/>
          <w:lang w:val="el-GR"/>
        </w:rPr>
        <w:t xml:space="preserve"> </w:t>
      </w:r>
      <w:r w:rsidR="00EC02B6">
        <w:rPr>
          <w:rFonts w:cstheme="minorHAnsi"/>
          <w:sz w:val="24"/>
          <w:szCs w:val="24"/>
          <w:lang w:val="el-GR"/>
        </w:rPr>
        <w:t>αστυνομικοί</w:t>
      </w:r>
      <w:r w:rsidR="00EC02B6" w:rsidRPr="00EC02B6">
        <w:rPr>
          <w:rFonts w:cstheme="minorHAnsi"/>
          <w:sz w:val="24"/>
          <w:szCs w:val="24"/>
          <w:lang w:val="el-GR"/>
        </w:rPr>
        <w:t xml:space="preserve"> </w:t>
      </w:r>
      <w:r w:rsidR="00EC02B6">
        <w:rPr>
          <w:rFonts w:cstheme="minorHAnsi"/>
          <w:sz w:val="24"/>
          <w:szCs w:val="24"/>
          <w:lang w:val="el-GR"/>
        </w:rPr>
        <w:t>λαμβάνουν</w:t>
      </w:r>
      <w:r w:rsidR="00EC02B6" w:rsidRPr="00EC02B6">
        <w:rPr>
          <w:rFonts w:cstheme="minorHAnsi"/>
          <w:sz w:val="24"/>
          <w:szCs w:val="24"/>
          <w:lang w:val="el-GR"/>
        </w:rPr>
        <w:t xml:space="preserve"> </w:t>
      </w:r>
      <w:r w:rsidR="00EC02B6">
        <w:rPr>
          <w:rFonts w:cstheme="minorHAnsi"/>
          <w:sz w:val="24"/>
          <w:szCs w:val="24"/>
          <w:lang w:val="el-GR"/>
        </w:rPr>
        <w:t>καθοδήγηση</w:t>
      </w:r>
      <w:r w:rsidR="00EC02B6" w:rsidRPr="00EC02B6">
        <w:rPr>
          <w:rFonts w:cstheme="minorHAnsi"/>
          <w:sz w:val="24"/>
          <w:szCs w:val="24"/>
          <w:lang w:val="el-GR"/>
        </w:rPr>
        <w:t xml:space="preserve"> </w:t>
      </w:r>
      <w:r w:rsidR="00EC02B6">
        <w:rPr>
          <w:rFonts w:cstheme="minorHAnsi"/>
          <w:sz w:val="24"/>
          <w:szCs w:val="24"/>
          <w:lang w:val="el-GR"/>
        </w:rPr>
        <w:t>όταν</w:t>
      </w:r>
      <w:r w:rsidR="00EC02B6" w:rsidRPr="00EC02B6">
        <w:rPr>
          <w:rFonts w:cstheme="minorHAnsi"/>
          <w:sz w:val="24"/>
          <w:szCs w:val="24"/>
          <w:lang w:val="el-GR"/>
        </w:rPr>
        <w:t xml:space="preserve"> </w:t>
      </w:r>
      <w:r w:rsidR="00EC02B6">
        <w:rPr>
          <w:rFonts w:cstheme="minorHAnsi"/>
          <w:sz w:val="24"/>
          <w:szCs w:val="24"/>
          <w:lang w:val="el-GR"/>
        </w:rPr>
        <w:t>υπάρχει</w:t>
      </w:r>
      <w:r w:rsidR="00EC02B6" w:rsidRPr="00EC02B6">
        <w:rPr>
          <w:rFonts w:cstheme="minorHAnsi"/>
          <w:sz w:val="24"/>
          <w:szCs w:val="24"/>
          <w:lang w:val="el-GR"/>
        </w:rPr>
        <w:t xml:space="preserve"> </w:t>
      </w:r>
      <w:r w:rsidR="00EC02B6">
        <w:rPr>
          <w:rFonts w:cstheme="minorHAnsi"/>
          <w:sz w:val="24"/>
          <w:szCs w:val="24"/>
          <w:lang w:val="el-GR"/>
        </w:rPr>
        <w:t>η</w:t>
      </w:r>
      <w:r w:rsidR="00EC02B6" w:rsidRPr="00EC02B6">
        <w:rPr>
          <w:rFonts w:cstheme="minorHAnsi"/>
          <w:sz w:val="24"/>
          <w:szCs w:val="24"/>
          <w:lang w:val="el-GR"/>
        </w:rPr>
        <w:t xml:space="preserve"> </w:t>
      </w:r>
      <w:r w:rsidR="00EC02B6">
        <w:rPr>
          <w:rFonts w:cstheme="minorHAnsi"/>
          <w:sz w:val="24"/>
          <w:szCs w:val="24"/>
          <w:lang w:val="el-GR"/>
        </w:rPr>
        <w:t>ανάγκη</w:t>
      </w:r>
      <w:r w:rsidR="00220066" w:rsidRPr="00EC02B6">
        <w:rPr>
          <w:rFonts w:cstheme="minorHAnsi"/>
          <w:sz w:val="24"/>
          <w:szCs w:val="24"/>
          <w:lang w:val="el-GR"/>
        </w:rPr>
        <w:t xml:space="preserve"> </w:t>
      </w:r>
      <w:r w:rsidR="00EC02B6">
        <w:rPr>
          <w:rFonts w:cstheme="minorHAnsi"/>
          <w:sz w:val="24"/>
          <w:szCs w:val="24"/>
          <w:lang w:val="el-GR"/>
        </w:rPr>
        <w:t>να διεξάγουν μια μυστική επιχείρηση</w:t>
      </w:r>
      <w:r w:rsidR="00220066" w:rsidRPr="00EC02B6">
        <w:rPr>
          <w:rFonts w:cstheme="minorHAnsi"/>
          <w:sz w:val="24"/>
          <w:szCs w:val="24"/>
          <w:lang w:val="el-GR"/>
        </w:rPr>
        <w:t xml:space="preserve">. </w:t>
      </w:r>
      <w:r w:rsidR="00EC02B6">
        <w:rPr>
          <w:rFonts w:cstheme="minorHAnsi"/>
          <w:sz w:val="24"/>
          <w:szCs w:val="24"/>
          <w:lang w:val="el-GR"/>
        </w:rPr>
        <w:t>Η</w:t>
      </w:r>
      <w:r w:rsidR="00EC02B6" w:rsidRPr="00EC02B6">
        <w:rPr>
          <w:rFonts w:cstheme="minorHAnsi"/>
          <w:sz w:val="24"/>
          <w:szCs w:val="24"/>
          <w:lang w:val="el-GR"/>
        </w:rPr>
        <w:t xml:space="preserve"> </w:t>
      </w:r>
      <w:r w:rsidR="00EC02B6">
        <w:rPr>
          <w:rFonts w:cstheme="minorHAnsi"/>
          <w:sz w:val="24"/>
          <w:szCs w:val="24"/>
          <w:lang w:val="el-GR"/>
        </w:rPr>
        <w:t>συγκεκριμένη</w:t>
      </w:r>
      <w:r w:rsidR="00EC02B6" w:rsidRPr="00EC02B6">
        <w:rPr>
          <w:rFonts w:cstheme="minorHAnsi"/>
          <w:sz w:val="24"/>
          <w:szCs w:val="24"/>
          <w:lang w:val="el-GR"/>
        </w:rPr>
        <w:t xml:space="preserve"> </w:t>
      </w:r>
      <w:r w:rsidR="00EC02B6">
        <w:rPr>
          <w:rFonts w:cstheme="minorHAnsi"/>
          <w:sz w:val="24"/>
          <w:szCs w:val="24"/>
          <w:lang w:val="el-GR"/>
        </w:rPr>
        <w:t>ανάγκη</w:t>
      </w:r>
      <w:r w:rsidR="00EC02B6" w:rsidRPr="00EC02B6">
        <w:rPr>
          <w:rFonts w:cstheme="minorHAnsi"/>
          <w:sz w:val="24"/>
          <w:szCs w:val="24"/>
          <w:lang w:val="el-GR"/>
        </w:rPr>
        <w:t xml:space="preserve"> </w:t>
      </w:r>
      <w:r w:rsidR="00EC02B6">
        <w:rPr>
          <w:rFonts w:cstheme="minorHAnsi"/>
          <w:sz w:val="24"/>
          <w:szCs w:val="24"/>
          <w:lang w:val="el-GR"/>
        </w:rPr>
        <w:t>κάθε</w:t>
      </w:r>
      <w:r w:rsidR="00EC02B6" w:rsidRPr="00EC02B6">
        <w:rPr>
          <w:rFonts w:cstheme="minorHAnsi"/>
          <w:sz w:val="24"/>
          <w:szCs w:val="24"/>
          <w:lang w:val="el-GR"/>
        </w:rPr>
        <w:t xml:space="preserve"> </w:t>
      </w:r>
      <w:r w:rsidR="00EC02B6">
        <w:rPr>
          <w:rFonts w:cstheme="minorHAnsi"/>
          <w:sz w:val="24"/>
          <w:szCs w:val="24"/>
          <w:lang w:val="el-GR"/>
        </w:rPr>
        <w:t>περίπτωσης</w:t>
      </w:r>
      <w:r w:rsidR="00220066" w:rsidRPr="00EC02B6">
        <w:rPr>
          <w:rFonts w:cstheme="minorHAnsi"/>
          <w:sz w:val="24"/>
          <w:szCs w:val="24"/>
          <w:lang w:val="el-GR"/>
        </w:rPr>
        <w:t xml:space="preserve"> </w:t>
      </w:r>
      <w:r w:rsidR="00EC02B6">
        <w:rPr>
          <w:rFonts w:cstheme="minorHAnsi"/>
          <w:sz w:val="24"/>
          <w:szCs w:val="24"/>
          <w:lang w:val="el-GR"/>
        </w:rPr>
        <w:t>λαμβάνεται</w:t>
      </w:r>
      <w:r w:rsidR="00EC02B6" w:rsidRPr="00EC02B6">
        <w:rPr>
          <w:rFonts w:cstheme="minorHAnsi"/>
          <w:sz w:val="24"/>
          <w:szCs w:val="24"/>
          <w:lang w:val="el-GR"/>
        </w:rPr>
        <w:t xml:space="preserve"> </w:t>
      </w:r>
      <w:r w:rsidR="00463ACC">
        <w:rPr>
          <w:rFonts w:cstheme="minorHAnsi"/>
          <w:sz w:val="24"/>
          <w:szCs w:val="24"/>
          <w:lang w:val="el-GR"/>
        </w:rPr>
        <w:t>υπόψη</w:t>
      </w:r>
      <w:r w:rsidR="00220066" w:rsidRPr="00EC02B6">
        <w:rPr>
          <w:rFonts w:cstheme="minorHAnsi"/>
          <w:sz w:val="24"/>
          <w:szCs w:val="24"/>
          <w:lang w:val="el-GR"/>
        </w:rPr>
        <w:t xml:space="preserve"> </w:t>
      </w:r>
      <w:r w:rsidR="00EC02B6">
        <w:rPr>
          <w:rFonts w:cstheme="minorHAnsi"/>
          <w:sz w:val="24"/>
          <w:szCs w:val="24"/>
          <w:lang w:val="el-GR"/>
        </w:rPr>
        <w:t xml:space="preserve">προτού η </w:t>
      </w:r>
      <w:r w:rsidR="009C4E34">
        <w:rPr>
          <w:rFonts w:cstheme="minorHAnsi"/>
          <w:sz w:val="24"/>
          <w:szCs w:val="24"/>
          <w:lang w:val="el-GR"/>
        </w:rPr>
        <w:t>Αστυνομία</w:t>
      </w:r>
      <w:r w:rsidR="00EC02B6">
        <w:rPr>
          <w:rFonts w:cstheme="minorHAnsi"/>
          <w:sz w:val="24"/>
          <w:szCs w:val="24"/>
          <w:lang w:val="el-GR"/>
        </w:rPr>
        <w:t xml:space="preserve"> προχωρήσει σε μια τέτοια επιχείρηση</w:t>
      </w:r>
      <w:r w:rsidR="00220066" w:rsidRPr="00EC02B6">
        <w:rPr>
          <w:rFonts w:cstheme="minorHAnsi"/>
          <w:sz w:val="24"/>
          <w:szCs w:val="24"/>
          <w:lang w:val="el-GR"/>
        </w:rPr>
        <w:t>.</w:t>
      </w:r>
    </w:p>
    <w:p w14:paraId="3A4C7909" w14:textId="77777777" w:rsidR="00220066" w:rsidRPr="00EC02B6" w:rsidRDefault="00220066" w:rsidP="00220066">
      <w:pPr>
        <w:keepNext/>
        <w:widowControl w:val="0"/>
        <w:tabs>
          <w:tab w:val="left" w:pos="709"/>
        </w:tabs>
        <w:rPr>
          <w:rFonts w:cstheme="minorHAnsi"/>
          <w:sz w:val="24"/>
          <w:szCs w:val="24"/>
          <w:lang w:val="el-GR"/>
        </w:rPr>
      </w:pPr>
    </w:p>
    <w:p w14:paraId="22CC2C4F" w14:textId="217AF51A" w:rsidR="00220066" w:rsidRPr="00337469" w:rsidRDefault="00EC02B6" w:rsidP="00220066">
      <w:pPr>
        <w:keepNext/>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Τα</w:t>
      </w:r>
      <w:r w:rsidRPr="00EC02B6">
        <w:rPr>
          <w:rFonts w:cstheme="minorHAnsi"/>
          <w:sz w:val="24"/>
          <w:szCs w:val="24"/>
          <w:lang w:val="el-GR"/>
        </w:rPr>
        <w:t xml:space="preserve"> </w:t>
      </w:r>
      <w:r>
        <w:rPr>
          <w:rFonts w:cstheme="minorHAnsi"/>
          <w:sz w:val="24"/>
          <w:szCs w:val="24"/>
          <w:lang w:val="el-GR"/>
        </w:rPr>
        <w:t>θέματα</w:t>
      </w:r>
      <w:r w:rsidRPr="00EC02B6">
        <w:rPr>
          <w:rFonts w:cstheme="minorHAnsi"/>
          <w:sz w:val="24"/>
          <w:szCs w:val="24"/>
          <w:lang w:val="el-GR"/>
        </w:rPr>
        <w:t xml:space="preserve"> </w:t>
      </w:r>
      <w:r>
        <w:rPr>
          <w:rFonts w:cstheme="minorHAnsi"/>
          <w:sz w:val="24"/>
          <w:szCs w:val="24"/>
          <w:lang w:val="el-GR"/>
        </w:rPr>
        <w:t>προστασίας</w:t>
      </w:r>
      <w:r w:rsidRPr="00EC02B6">
        <w:rPr>
          <w:rFonts w:cstheme="minorHAnsi"/>
          <w:sz w:val="24"/>
          <w:szCs w:val="24"/>
          <w:lang w:val="el-GR"/>
        </w:rPr>
        <w:t xml:space="preserve"> </w:t>
      </w:r>
      <w:r>
        <w:rPr>
          <w:rFonts w:cstheme="minorHAnsi"/>
          <w:sz w:val="24"/>
          <w:szCs w:val="24"/>
          <w:lang w:val="el-GR"/>
        </w:rPr>
        <w:t>μαρτύρων</w:t>
      </w:r>
      <w:r w:rsidRPr="00EC02B6">
        <w:rPr>
          <w:rFonts w:cstheme="minorHAnsi"/>
          <w:sz w:val="24"/>
          <w:szCs w:val="24"/>
          <w:lang w:val="el-GR"/>
        </w:rPr>
        <w:t xml:space="preserve"> </w:t>
      </w:r>
      <w:r>
        <w:rPr>
          <w:rFonts w:cstheme="minorHAnsi"/>
          <w:sz w:val="24"/>
          <w:szCs w:val="24"/>
          <w:lang w:val="el-GR"/>
        </w:rPr>
        <w:t>ρυθμίζονται</w:t>
      </w:r>
      <w:r w:rsidRPr="00EC02B6">
        <w:rPr>
          <w:rFonts w:cstheme="minorHAnsi"/>
          <w:sz w:val="24"/>
          <w:szCs w:val="24"/>
          <w:lang w:val="el-GR"/>
        </w:rPr>
        <w:t xml:space="preserve"> </w:t>
      </w:r>
      <w:r>
        <w:rPr>
          <w:rFonts w:cstheme="minorHAnsi"/>
          <w:sz w:val="24"/>
          <w:szCs w:val="24"/>
          <w:lang w:val="el-GR"/>
        </w:rPr>
        <w:t>από</w:t>
      </w:r>
      <w:r w:rsidRPr="00EC02B6">
        <w:rPr>
          <w:rFonts w:cstheme="minorHAnsi"/>
          <w:sz w:val="24"/>
          <w:szCs w:val="24"/>
          <w:lang w:val="el-GR"/>
        </w:rPr>
        <w:t xml:space="preserve"> </w:t>
      </w:r>
      <w:r>
        <w:rPr>
          <w:rFonts w:cstheme="minorHAnsi"/>
          <w:sz w:val="24"/>
          <w:szCs w:val="24"/>
          <w:lang w:val="el-GR"/>
        </w:rPr>
        <w:t>τον</w:t>
      </w:r>
      <w:r w:rsidRPr="00EC02B6">
        <w:rPr>
          <w:rFonts w:cstheme="minorHAnsi"/>
          <w:sz w:val="24"/>
          <w:szCs w:val="24"/>
          <w:lang w:val="el-GR"/>
        </w:rPr>
        <w:t xml:space="preserve"> </w:t>
      </w:r>
      <w:r>
        <w:rPr>
          <w:rFonts w:cstheme="minorHAnsi"/>
          <w:sz w:val="24"/>
          <w:szCs w:val="24"/>
          <w:lang w:val="el-GR"/>
        </w:rPr>
        <w:t>Νόμο</w:t>
      </w:r>
      <w:r w:rsidR="00220066" w:rsidRPr="00EC02B6">
        <w:rPr>
          <w:rFonts w:cstheme="minorHAnsi"/>
          <w:sz w:val="24"/>
          <w:szCs w:val="24"/>
          <w:lang w:val="el-GR"/>
        </w:rPr>
        <w:t xml:space="preserve"> 95(</w:t>
      </w:r>
      <w:r w:rsidR="00220066" w:rsidRPr="004E251E">
        <w:rPr>
          <w:rFonts w:cstheme="minorHAnsi"/>
          <w:sz w:val="24"/>
          <w:szCs w:val="24"/>
        </w:rPr>
        <w:t>I</w:t>
      </w:r>
      <w:r w:rsidR="00220066" w:rsidRPr="00EC02B6">
        <w:rPr>
          <w:rFonts w:cstheme="minorHAnsi"/>
          <w:sz w:val="24"/>
          <w:szCs w:val="24"/>
          <w:lang w:val="el-GR"/>
        </w:rPr>
        <w:t xml:space="preserve">)/2001. </w:t>
      </w:r>
      <w:r>
        <w:rPr>
          <w:rFonts w:cstheme="minorHAnsi"/>
          <w:sz w:val="24"/>
          <w:szCs w:val="24"/>
          <w:lang w:val="el-GR"/>
        </w:rPr>
        <w:t>Το</w:t>
      </w:r>
      <w:r w:rsidRPr="00EC02B6">
        <w:rPr>
          <w:rFonts w:cstheme="minorHAnsi"/>
          <w:sz w:val="24"/>
          <w:szCs w:val="24"/>
          <w:lang w:val="el-GR"/>
        </w:rPr>
        <w:t xml:space="preserve"> </w:t>
      </w:r>
      <w:r>
        <w:rPr>
          <w:rFonts w:cstheme="minorHAnsi"/>
          <w:sz w:val="24"/>
          <w:szCs w:val="24"/>
          <w:lang w:val="el-GR"/>
        </w:rPr>
        <w:t>πρόγραμμα</w:t>
      </w:r>
      <w:r w:rsidRPr="00EC02B6">
        <w:rPr>
          <w:rFonts w:cstheme="minorHAnsi"/>
          <w:sz w:val="24"/>
          <w:szCs w:val="24"/>
          <w:lang w:val="el-GR"/>
        </w:rPr>
        <w:t xml:space="preserve"> </w:t>
      </w:r>
      <w:r>
        <w:rPr>
          <w:rFonts w:cstheme="minorHAnsi"/>
          <w:sz w:val="24"/>
          <w:szCs w:val="24"/>
          <w:lang w:val="el-GR"/>
        </w:rPr>
        <w:t>προστασίας</w:t>
      </w:r>
      <w:r w:rsidRPr="00EC02B6">
        <w:rPr>
          <w:rFonts w:cstheme="minorHAnsi"/>
          <w:sz w:val="24"/>
          <w:szCs w:val="24"/>
          <w:lang w:val="el-GR"/>
        </w:rPr>
        <w:t xml:space="preserve"> </w:t>
      </w:r>
      <w:r>
        <w:rPr>
          <w:rFonts w:cstheme="minorHAnsi"/>
          <w:sz w:val="24"/>
          <w:szCs w:val="24"/>
          <w:lang w:val="el-GR"/>
        </w:rPr>
        <w:t>μαρτύρων</w:t>
      </w:r>
      <w:r w:rsidR="00220066" w:rsidRPr="00EC02B6">
        <w:rPr>
          <w:rFonts w:cstheme="minorHAnsi"/>
          <w:sz w:val="24"/>
          <w:szCs w:val="24"/>
          <w:lang w:val="el-GR"/>
        </w:rPr>
        <w:t xml:space="preserve">, </w:t>
      </w:r>
      <w:r>
        <w:rPr>
          <w:rFonts w:cstheme="minorHAnsi"/>
          <w:sz w:val="24"/>
          <w:szCs w:val="24"/>
          <w:lang w:val="el-GR"/>
        </w:rPr>
        <w:t>σύμφωνα</w:t>
      </w:r>
      <w:r w:rsidRPr="00EC02B6">
        <w:rPr>
          <w:rFonts w:cstheme="minorHAnsi"/>
          <w:sz w:val="24"/>
          <w:szCs w:val="24"/>
          <w:lang w:val="el-GR"/>
        </w:rPr>
        <w:t xml:space="preserve"> </w:t>
      </w:r>
      <w:r>
        <w:rPr>
          <w:rFonts w:cstheme="minorHAnsi"/>
          <w:sz w:val="24"/>
          <w:szCs w:val="24"/>
          <w:lang w:val="el-GR"/>
        </w:rPr>
        <w:t>με</w:t>
      </w:r>
      <w:r w:rsidRPr="00EC02B6">
        <w:rPr>
          <w:rFonts w:cstheme="minorHAnsi"/>
          <w:sz w:val="24"/>
          <w:szCs w:val="24"/>
          <w:lang w:val="el-GR"/>
        </w:rPr>
        <w:t xml:space="preserve"> </w:t>
      </w:r>
      <w:r>
        <w:rPr>
          <w:rFonts w:cstheme="minorHAnsi"/>
          <w:sz w:val="24"/>
          <w:szCs w:val="24"/>
          <w:lang w:val="el-GR"/>
        </w:rPr>
        <w:t>τον</w:t>
      </w:r>
      <w:r w:rsidRPr="00EC02B6">
        <w:rPr>
          <w:rFonts w:cstheme="minorHAnsi"/>
          <w:sz w:val="24"/>
          <w:szCs w:val="24"/>
          <w:lang w:val="el-GR"/>
        </w:rPr>
        <w:t xml:space="preserve"> </w:t>
      </w:r>
      <w:r>
        <w:rPr>
          <w:rFonts w:cstheme="minorHAnsi"/>
          <w:sz w:val="24"/>
          <w:szCs w:val="24"/>
          <w:lang w:val="el-GR"/>
        </w:rPr>
        <w:t>Νόμο</w:t>
      </w:r>
      <w:r w:rsidR="00220066" w:rsidRPr="00EC02B6">
        <w:rPr>
          <w:rFonts w:cstheme="minorHAnsi"/>
          <w:sz w:val="24"/>
          <w:szCs w:val="24"/>
          <w:lang w:val="el-GR"/>
        </w:rPr>
        <w:t xml:space="preserve">, </w:t>
      </w:r>
      <w:r>
        <w:rPr>
          <w:rFonts w:cstheme="minorHAnsi"/>
          <w:sz w:val="24"/>
          <w:szCs w:val="24"/>
          <w:lang w:val="el-GR"/>
        </w:rPr>
        <w:t xml:space="preserve">εμπίπτει </w:t>
      </w:r>
      <w:r w:rsidR="00FC7953">
        <w:rPr>
          <w:rFonts w:cstheme="minorHAnsi"/>
          <w:sz w:val="24"/>
          <w:szCs w:val="24"/>
          <w:lang w:val="el-GR"/>
        </w:rPr>
        <w:t xml:space="preserve">υπό </w:t>
      </w:r>
      <w:r>
        <w:rPr>
          <w:rFonts w:cstheme="minorHAnsi"/>
          <w:sz w:val="24"/>
          <w:szCs w:val="24"/>
          <w:lang w:val="el-GR"/>
        </w:rPr>
        <w:t>την αιγίδα του Γενικού Εισαγγελέα της Δημοκρατίας</w:t>
      </w:r>
      <w:r w:rsidR="00220066" w:rsidRPr="00EC02B6">
        <w:rPr>
          <w:rFonts w:cstheme="minorHAnsi"/>
          <w:sz w:val="24"/>
          <w:szCs w:val="24"/>
          <w:lang w:val="el-GR"/>
        </w:rPr>
        <w:t xml:space="preserve">. </w:t>
      </w:r>
      <w:r w:rsidR="00337469">
        <w:rPr>
          <w:rFonts w:cstheme="minorHAnsi"/>
          <w:sz w:val="24"/>
          <w:szCs w:val="24"/>
          <w:lang w:val="el-GR"/>
        </w:rPr>
        <w:t>Μέσα</w:t>
      </w:r>
      <w:r w:rsidR="00337469" w:rsidRPr="00337469">
        <w:rPr>
          <w:rFonts w:cstheme="minorHAnsi"/>
          <w:sz w:val="24"/>
          <w:szCs w:val="24"/>
          <w:lang w:val="el-GR"/>
        </w:rPr>
        <w:t xml:space="preserve"> </w:t>
      </w:r>
      <w:r w:rsidR="00337469">
        <w:rPr>
          <w:rFonts w:cstheme="minorHAnsi"/>
          <w:sz w:val="24"/>
          <w:szCs w:val="24"/>
          <w:lang w:val="el-GR"/>
        </w:rPr>
        <w:t>π</w:t>
      </w:r>
      <w:r>
        <w:rPr>
          <w:rFonts w:cstheme="minorHAnsi"/>
          <w:sz w:val="24"/>
          <w:szCs w:val="24"/>
          <w:lang w:val="el-GR"/>
        </w:rPr>
        <w:t>ροστασία</w:t>
      </w:r>
      <w:r w:rsidR="00337469" w:rsidRPr="00337469">
        <w:rPr>
          <w:rFonts w:cstheme="minorHAnsi"/>
          <w:sz w:val="24"/>
          <w:szCs w:val="24"/>
          <w:lang w:val="el-GR"/>
        </w:rPr>
        <w:t>ς</w:t>
      </w:r>
      <w:r w:rsidR="00220066" w:rsidRPr="00337469">
        <w:rPr>
          <w:rFonts w:cstheme="minorHAnsi"/>
          <w:sz w:val="24"/>
          <w:szCs w:val="24"/>
          <w:lang w:val="el-GR"/>
        </w:rPr>
        <w:t xml:space="preserve">, </w:t>
      </w:r>
      <w:r w:rsidR="00337469">
        <w:rPr>
          <w:rFonts w:cstheme="minorHAnsi"/>
          <w:sz w:val="24"/>
          <w:szCs w:val="24"/>
          <w:lang w:val="el-GR"/>
        </w:rPr>
        <w:t>κριτήρια</w:t>
      </w:r>
      <w:r w:rsidR="00337469" w:rsidRPr="00337469">
        <w:rPr>
          <w:rFonts w:cstheme="minorHAnsi"/>
          <w:sz w:val="24"/>
          <w:szCs w:val="24"/>
          <w:lang w:val="el-GR"/>
        </w:rPr>
        <w:t xml:space="preserve"> </w:t>
      </w:r>
      <w:r w:rsidR="00337469">
        <w:rPr>
          <w:rFonts w:cstheme="minorHAnsi"/>
          <w:sz w:val="24"/>
          <w:szCs w:val="24"/>
          <w:lang w:val="el-GR"/>
        </w:rPr>
        <w:t>εισαγωγής</w:t>
      </w:r>
      <w:r w:rsidR="00220066" w:rsidRPr="00337469">
        <w:rPr>
          <w:rFonts w:cstheme="minorHAnsi"/>
          <w:sz w:val="24"/>
          <w:szCs w:val="24"/>
          <w:lang w:val="el-GR"/>
        </w:rPr>
        <w:t xml:space="preserve"> </w:t>
      </w:r>
      <w:r w:rsidR="00337469">
        <w:rPr>
          <w:rFonts w:cstheme="minorHAnsi"/>
          <w:sz w:val="24"/>
          <w:szCs w:val="24"/>
          <w:lang w:val="el-GR"/>
        </w:rPr>
        <w:t>και</w:t>
      </w:r>
      <w:r w:rsidR="00337469" w:rsidRPr="00337469">
        <w:rPr>
          <w:rFonts w:cstheme="minorHAnsi"/>
          <w:sz w:val="24"/>
          <w:szCs w:val="24"/>
          <w:lang w:val="el-GR"/>
        </w:rPr>
        <w:t xml:space="preserve"> </w:t>
      </w:r>
      <w:r w:rsidR="00337469">
        <w:rPr>
          <w:rFonts w:cstheme="minorHAnsi"/>
          <w:sz w:val="24"/>
          <w:szCs w:val="24"/>
          <w:lang w:val="el-GR"/>
        </w:rPr>
        <w:t>όλοι</w:t>
      </w:r>
      <w:r w:rsidR="00337469" w:rsidRPr="00337469">
        <w:rPr>
          <w:rFonts w:cstheme="minorHAnsi"/>
          <w:sz w:val="24"/>
          <w:szCs w:val="24"/>
          <w:lang w:val="el-GR"/>
        </w:rPr>
        <w:t xml:space="preserve"> </w:t>
      </w:r>
      <w:r w:rsidR="00337469">
        <w:rPr>
          <w:rFonts w:cstheme="minorHAnsi"/>
          <w:sz w:val="24"/>
          <w:szCs w:val="24"/>
          <w:lang w:val="el-GR"/>
        </w:rPr>
        <w:t>οι</w:t>
      </w:r>
      <w:r w:rsidR="00337469" w:rsidRPr="00337469">
        <w:rPr>
          <w:rFonts w:cstheme="minorHAnsi"/>
          <w:sz w:val="24"/>
          <w:szCs w:val="24"/>
          <w:lang w:val="el-GR"/>
        </w:rPr>
        <w:t xml:space="preserve"> </w:t>
      </w:r>
      <w:r w:rsidR="00337469">
        <w:rPr>
          <w:rFonts w:cstheme="minorHAnsi"/>
          <w:sz w:val="24"/>
          <w:szCs w:val="24"/>
          <w:lang w:val="el-GR"/>
        </w:rPr>
        <w:t xml:space="preserve">άλλοι σχετικοί </w:t>
      </w:r>
      <w:r w:rsidR="00973266">
        <w:rPr>
          <w:rFonts w:cstheme="minorHAnsi"/>
          <w:sz w:val="24"/>
          <w:szCs w:val="24"/>
          <w:lang w:val="el-GR"/>
        </w:rPr>
        <w:t>παράγοντες</w:t>
      </w:r>
      <w:r w:rsidR="00220066" w:rsidRPr="00337469">
        <w:rPr>
          <w:rFonts w:cstheme="minorHAnsi"/>
          <w:sz w:val="24"/>
          <w:szCs w:val="24"/>
          <w:lang w:val="el-GR"/>
        </w:rPr>
        <w:t xml:space="preserve"> </w:t>
      </w:r>
      <w:r w:rsidR="00337469">
        <w:rPr>
          <w:rFonts w:cstheme="minorHAnsi"/>
          <w:sz w:val="24"/>
          <w:szCs w:val="24"/>
          <w:lang w:val="el-GR"/>
        </w:rPr>
        <w:t>περιγράφονται στον Νόμο</w:t>
      </w:r>
      <w:r w:rsidR="00220066" w:rsidRPr="00337469">
        <w:rPr>
          <w:rFonts w:cstheme="minorHAnsi"/>
          <w:sz w:val="24"/>
          <w:szCs w:val="24"/>
          <w:lang w:val="el-GR"/>
        </w:rPr>
        <w:t>.</w:t>
      </w:r>
    </w:p>
    <w:p w14:paraId="0DCC849B" w14:textId="77777777" w:rsidR="00220066" w:rsidRPr="00337469" w:rsidRDefault="00220066" w:rsidP="00220066">
      <w:pPr>
        <w:keepNext/>
        <w:widowControl w:val="0"/>
        <w:tabs>
          <w:tab w:val="left" w:pos="709"/>
        </w:tabs>
        <w:rPr>
          <w:rFonts w:cstheme="minorHAnsi"/>
          <w:sz w:val="24"/>
          <w:szCs w:val="24"/>
          <w:lang w:val="el-GR"/>
        </w:rPr>
      </w:pPr>
    </w:p>
    <w:p w14:paraId="7A07E0BB" w14:textId="1C7612B5" w:rsidR="00220066" w:rsidRPr="00337469" w:rsidRDefault="00337469" w:rsidP="00220066">
      <w:pPr>
        <w:pStyle w:val="Heading3"/>
        <w:keepNext w:val="0"/>
        <w:keepLines w:val="0"/>
        <w:widowControl w:val="0"/>
        <w:tabs>
          <w:tab w:val="left" w:pos="709"/>
        </w:tabs>
        <w:spacing w:before="0"/>
        <w:rPr>
          <w:rFonts w:asciiTheme="minorHAnsi" w:hAnsiTheme="minorHAnsi" w:cstheme="minorHAnsi"/>
          <w:b w:val="0"/>
          <w:i/>
          <w:color w:val="auto"/>
          <w:sz w:val="24"/>
          <w:szCs w:val="24"/>
          <w:lang w:val="el-GR"/>
        </w:rPr>
      </w:pPr>
      <w:bookmarkStart w:id="197" w:name="_Toc110430330"/>
      <w:bookmarkStart w:id="198" w:name="_Toc117445169"/>
      <w:bookmarkStart w:id="199" w:name="_Toc136879373"/>
      <w:r>
        <w:rPr>
          <w:rFonts w:asciiTheme="minorHAnsi" w:hAnsiTheme="minorHAnsi" w:cstheme="minorHAnsi"/>
          <w:b w:val="0"/>
          <w:i/>
          <w:color w:val="auto"/>
          <w:sz w:val="24"/>
          <w:szCs w:val="24"/>
          <w:lang w:val="el-GR"/>
        </w:rPr>
        <w:t>Κώδικας</w:t>
      </w:r>
      <w:r w:rsidRPr="00337469">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Ηθικής</w:t>
      </w:r>
      <w:r w:rsidR="00220066" w:rsidRPr="00337469">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συμβουλή</w:t>
      </w:r>
      <w:r w:rsidR="00220066" w:rsidRPr="00337469">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εκπαίδευση</w:t>
      </w:r>
      <w:r w:rsidR="00220066" w:rsidRPr="00337469">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και ευαισθητοποίηση για την ακεραιότητα</w:t>
      </w:r>
      <w:bookmarkEnd w:id="197"/>
      <w:bookmarkEnd w:id="198"/>
      <w:bookmarkEnd w:id="199"/>
    </w:p>
    <w:p w14:paraId="1B456F81" w14:textId="77777777" w:rsidR="00220066" w:rsidRPr="00337469" w:rsidRDefault="00220066" w:rsidP="00220066">
      <w:pPr>
        <w:widowControl w:val="0"/>
        <w:rPr>
          <w:rFonts w:cstheme="minorHAnsi"/>
          <w:sz w:val="24"/>
          <w:szCs w:val="24"/>
          <w:lang w:val="el-GR"/>
        </w:rPr>
      </w:pPr>
    </w:p>
    <w:p w14:paraId="51D36E38" w14:textId="5F36EA14" w:rsidR="00220066" w:rsidRPr="000F0D2A" w:rsidRDefault="0083031D" w:rsidP="00220066">
      <w:pPr>
        <w:widowControl w:val="0"/>
        <w:numPr>
          <w:ilvl w:val="0"/>
          <w:numId w:val="1"/>
        </w:numPr>
        <w:tabs>
          <w:tab w:val="left" w:pos="709"/>
        </w:tabs>
        <w:ind w:left="0" w:firstLine="0"/>
        <w:rPr>
          <w:rFonts w:cstheme="minorHAnsi"/>
          <w:sz w:val="24"/>
          <w:szCs w:val="24"/>
          <w:lang w:val="el-GR"/>
        </w:rPr>
      </w:pPr>
      <w:r>
        <w:rPr>
          <w:rFonts w:ascii="Calibri" w:hAnsi="Calibri" w:cs="Calibri"/>
          <w:color w:val="000000"/>
          <w:sz w:val="24"/>
          <w:szCs w:val="24"/>
          <w:lang w:val="el-GR"/>
        </w:rPr>
        <w:t>Από το 2003, η Αστυνομική Ακαδημία συνέταξε και εκδίδει  τον</w:t>
      </w:r>
      <w:r w:rsidR="00337469" w:rsidRPr="00337469">
        <w:rPr>
          <w:rFonts w:ascii="Calibri" w:hAnsi="Calibri" w:cs="Calibri"/>
          <w:color w:val="000000"/>
          <w:sz w:val="24"/>
          <w:szCs w:val="24"/>
          <w:lang w:val="el-GR"/>
        </w:rPr>
        <w:t xml:space="preserve"> </w:t>
      </w:r>
      <w:r w:rsidR="00337469">
        <w:rPr>
          <w:rFonts w:ascii="Calibri" w:hAnsi="Calibri" w:cs="Calibri"/>
          <w:color w:val="000000"/>
          <w:sz w:val="24"/>
          <w:szCs w:val="24"/>
          <w:lang w:val="el-GR"/>
        </w:rPr>
        <w:t>Κώδικα</w:t>
      </w:r>
      <w:r w:rsidR="00337469" w:rsidRPr="00337469">
        <w:rPr>
          <w:rFonts w:ascii="Calibri" w:hAnsi="Calibri" w:cs="Calibri"/>
          <w:color w:val="000000"/>
          <w:sz w:val="24"/>
          <w:szCs w:val="24"/>
          <w:lang w:val="el-GR"/>
        </w:rPr>
        <w:t xml:space="preserve"> </w:t>
      </w:r>
      <w:r>
        <w:rPr>
          <w:rFonts w:ascii="Calibri" w:hAnsi="Calibri" w:cs="Calibri"/>
          <w:color w:val="000000"/>
          <w:sz w:val="24"/>
          <w:szCs w:val="24"/>
          <w:lang w:val="el-GR"/>
        </w:rPr>
        <w:t>Αστυνομικής Δεοντολογίας</w:t>
      </w:r>
      <w:r w:rsidR="00337469" w:rsidRPr="00337469">
        <w:rPr>
          <w:rFonts w:ascii="Calibri" w:hAnsi="Calibri" w:cs="Calibri"/>
          <w:color w:val="000000"/>
          <w:sz w:val="24"/>
          <w:szCs w:val="24"/>
          <w:lang w:val="el-GR"/>
        </w:rPr>
        <w:t xml:space="preserve"> </w:t>
      </w:r>
      <w:r w:rsidR="00337469">
        <w:rPr>
          <w:rFonts w:ascii="Calibri" w:hAnsi="Calibri" w:cs="Calibri"/>
          <w:color w:val="000000"/>
          <w:sz w:val="24"/>
          <w:szCs w:val="24"/>
          <w:lang w:val="el-GR"/>
        </w:rPr>
        <w:t>της</w:t>
      </w:r>
      <w:r w:rsidR="00337469" w:rsidRPr="00337469">
        <w:rPr>
          <w:rFonts w:ascii="Calibri" w:hAnsi="Calibri" w:cs="Calibri"/>
          <w:color w:val="000000"/>
          <w:sz w:val="24"/>
          <w:szCs w:val="24"/>
          <w:lang w:val="el-GR"/>
        </w:rPr>
        <w:t xml:space="preserve"> </w:t>
      </w:r>
      <w:r w:rsidR="009C4E34">
        <w:rPr>
          <w:rFonts w:ascii="Calibri" w:hAnsi="Calibri" w:cs="Calibri"/>
          <w:color w:val="000000"/>
          <w:sz w:val="24"/>
          <w:szCs w:val="24"/>
          <w:lang w:val="el-GR"/>
        </w:rPr>
        <w:t>Αστυνομία</w:t>
      </w:r>
      <w:r w:rsidR="00337469">
        <w:rPr>
          <w:rFonts w:ascii="Calibri" w:hAnsi="Calibri" w:cs="Calibri"/>
          <w:color w:val="000000"/>
          <w:sz w:val="24"/>
          <w:szCs w:val="24"/>
          <w:lang w:val="el-GR"/>
        </w:rPr>
        <w:t>ς</w:t>
      </w:r>
      <w:r w:rsidR="00220066" w:rsidRPr="00337469">
        <w:rPr>
          <w:rFonts w:ascii="Calibri" w:hAnsi="Calibri" w:cs="Calibri"/>
          <w:color w:val="000000"/>
          <w:sz w:val="24"/>
          <w:szCs w:val="24"/>
          <w:lang w:val="el-GR"/>
        </w:rPr>
        <w:t xml:space="preserve">, </w:t>
      </w:r>
      <w:r w:rsidR="00337469" w:rsidRPr="00337469">
        <w:rPr>
          <w:rFonts w:ascii="Calibri" w:hAnsi="Calibri" w:cs="Calibri"/>
          <w:color w:val="000000"/>
          <w:sz w:val="24"/>
          <w:szCs w:val="24"/>
          <w:lang w:val="el-GR"/>
        </w:rPr>
        <w:t>,</w:t>
      </w:r>
      <w:r>
        <w:rPr>
          <w:rFonts w:ascii="Calibri" w:hAnsi="Calibri" w:cs="Calibri"/>
          <w:color w:val="000000"/>
          <w:sz w:val="24"/>
          <w:szCs w:val="24"/>
          <w:lang w:val="el-GR"/>
        </w:rPr>
        <w:t xml:space="preserve"> ο οποίος είναι βασισμένος</w:t>
      </w:r>
      <w:r w:rsidR="002E5EC0" w:rsidRPr="00BD7404">
        <w:rPr>
          <w:rFonts w:ascii="Calibri" w:hAnsi="Calibri" w:cs="Calibri"/>
          <w:color w:val="000000"/>
          <w:sz w:val="24"/>
          <w:szCs w:val="24"/>
          <w:lang w:val="el-GR"/>
        </w:rPr>
        <w:t xml:space="preserve"> </w:t>
      </w:r>
      <w:r w:rsidR="002E5EC0">
        <w:rPr>
          <w:rFonts w:ascii="Calibri" w:hAnsi="Calibri" w:cs="Calibri"/>
          <w:color w:val="000000"/>
          <w:sz w:val="24"/>
          <w:szCs w:val="24"/>
          <w:lang w:val="el-GR"/>
        </w:rPr>
        <w:t>στον</w:t>
      </w:r>
      <w:r w:rsidR="00337469" w:rsidRPr="00337469">
        <w:rPr>
          <w:rFonts w:ascii="Calibri" w:hAnsi="Calibri" w:cs="Calibri"/>
          <w:color w:val="000000"/>
          <w:sz w:val="24"/>
          <w:szCs w:val="24"/>
          <w:lang w:val="el-GR"/>
        </w:rPr>
        <w:t xml:space="preserve"> </w:t>
      </w:r>
      <w:r w:rsidR="00337469">
        <w:rPr>
          <w:rFonts w:ascii="Calibri" w:hAnsi="Calibri" w:cs="Calibri"/>
          <w:color w:val="000000"/>
          <w:sz w:val="24"/>
          <w:szCs w:val="24"/>
          <w:lang w:val="el-GR"/>
        </w:rPr>
        <w:t>Ευρωπαϊκό</w:t>
      </w:r>
      <w:r w:rsidR="00337469" w:rsidRPr="00337469">
        <w:rPr>
          <w:rFonts w:ascii="Calibri" w:hAnsi="Calibri" w:cs="Calibri"/>
          <w:color w:val="000000"/>
          <w:sz w:val="24"/>
          <w:szCs w:val="24"/>
          <w:lang w:val="el-GR"/>
        </w:rPr>
        <w:t xml:space="preserve"> </w:t>
      </w:r>
      <w:r w:rsidR="00337469">
        <w:rPr>
          <w:rFonts w:ascii="Calibri" w:hAnsi="Calibri" w:cs="Calibri"/>
          <w:color w:val="000000"/>
          <w:sz w:val="24"/>
          <w:szCs w:val="24"/>
          <w:lang w:val="el-GR"/>
        </w:rPr>
        <w:t>Κώδικα</w:t>
      </w:r>
      <w:r w:rsidR="00337469" w:rsidRPr="00337469">
        <w:rPr>
          <w:rFonts w:ascii="Calibri" w:hAnsi="Calibri" w:cs="Calibri"/>
          <w:color w:val="000000"/>
          <w:sz w:val="24"/>
          <w:szCs w:val="24"/>
          <w:lang w:val="el-GR"/>
        </w:rPr>
        <w:t xml:space="preserve"> </w:t>
      </w:r>
      <w:r w:rsidR="00337469">
        <w:rPr>
          <w:rFonts w:ascii="Calibri" w:hAnsi="Calibri" w:cs="Calibri"/>
          <w:color w:val="000000"/>
          <w:sz w:val="24"/>
          <w:szCs w:val="24"/>
          <w:lang w:val="el-GR"/>
        </w:rPr>
        <w:t>Ηθικής</w:t>
      </w:r>
      <w:r w:rsidR="00337469" w:rsidRPr="00337469">
        <w:rPr>
          <w:rFonts w:ascii="Calibri" w:hAnsi="Calibri" w:cs="Calibri"/>
          <w:color w:val="000000"/>
          <w:sz w:val="24"/>
          <w:szCs w:val="24"/>
          <w:lang w:val="el-GR"/>
        </w:rPr>
        <w:t xml:space="preserve"> </w:t>
      </w:r>
      <w:r w:rsidR="00337469">
        <w:rPr>
          <w:rFonts w:ascii="Calibri" w:hAnsi="Calibri" w:cs="Calibri"/>
          <w:color w:val="000000"/>
          <w:sz w:val="24"/>
          <w:szCs w:val="24"/>
          <w:lang w:val="el-GR"/>
        </w:rPr>
        <w:lastRenderedPageBreak/>
        <w:t>της</w:t>
      </w:r>
      <w:r w:rsidR="00337469" w:rsidRPr="00337469">
        <w:rPr>
          <w:rFonts w:ascii="Calibri" w:hAnsi="Calibri" w:cs="Calibri"/>
          <w:color w:val="000000"/>
          <w:sz w:val="24"/>
          <w:szCs w:val="24"/>
          <w:lang w:val="el-GR"/>
        </w:rPr>
        <w:t xml:space="preserve"> </w:t>
      </w:r>
      <w:r w:rsidR="009C4E34">
        <w:rPr>
          <w:rFonts w:ascii="Calibri" w:hAnsi="Calibri" w:cs="Calibri"/>
          <w:color w:val="000000"/>
          <w:sz w:val="24"/>
          <w:szCs w:val="24"/>
          <w:lang w:val="el-GR"/>
        </w:rPr>
        <w:t>Αστυνομία</w:t>
      </w:r>
      <w:r w:rsidR="00337469">
        <w:rPr>
          <w:rFonts w:ascii="Calibri" w:hAnsi="Calibri" w:cs="Calibri"/>
          <w:color w:val="000000"/>
          <w:sz w:val="24"/>
          <w:szCs w:val="24"/>
          <w:lang w:val="el-GR"/>
        </w:rPr>
        <w:t>ς</w:t>
      </w:r>
      <w:r w:rsidR="00220066" w:rsidRPr="00337469">
        <w:rPr>
          <w:rFonts w:ascii="Calibri" w:hAnsi="Calibri" w:cs="Calibri"/>
          <w:color w:val="000000"/>
          <w:sz w:val="24"/>
          <w:szCs w:val="24"/>
          <w:lang w:val="el-GR"/>
        </w:rPr>
        <w:t xml:space="preserve">, </w:t>
      </w:r>
      <w:r w:rsidR="00337469">
        <w:rPr>
          <w:rFonts w:ascii="Calibri" w:hAnsi="Calibri" w:cs="Calibri"/>
          <w:color w:val="000000"/>
          <w:sz w:val="24"/>
          <w:szCs w:val="24"/>
          <w:lang w:val="el-GR"/>
        </w:rPr>
        <w:t>τις</w:t>
      </w:r>
      <w:r w:rsidR="00337469" w:rsidRPr="00337469">
        <w:rPr>
          <w:rFonts w:ascii="Calibri" w:hAnsi="Calibri" w:cs="Calibri"/>
          <w:color w:val="000000"/>
          <w:sz w:val="24"/>
          <w:szCs w:val="24"/>
          <w:lang w:val="el-GR"/>
        </w:rPr>
        <w:t xml:space="preserve"> </w:t>
      </w:r>
      <w:r w:rsidR="00337469">
        <w:rPr>
          <w:rFonts w:ascii="Calibri" w:hAnsi="Calibri" w:cs="Calibri"/>
          <w:color w:val="000000"/>
          <w:sz w:val="24"/>
          <w:szCs w:val="24"/>
          <w:lang w:val="el-GR"/>
        </w:rPr>
        <w:t>αποφάσεις του Ευρωπαϊκού Δικαστηρίου Ανθρωπίνων Δικαιωμάτων</w:t>
      </w:r>
      <w:r w:rsidR="00220066" w:rsidRPr="00337469">
        <w:rPr>
          <w:rFonts w:ascii="Calibri" w:hAnsi="Calibri" w:cs="Calibri"/>
          <w:color w:val="000000"/>
          <w:sz w:val="24"/>
          <w:szCs w:val="24"/>
          <w:lang w:val="el-GR"/>
        </w:rPr>
        <w:t xml:space="preserve"> </w:t>
      </w:r>
      <w:r w:rsidR="00337469">
        <w:rPr>
          <w:rFonts w:ascii="Calibri" w:hAnsi="Calibri" w:cs="Calibri"/>
          <w:color w:val="000000"/>
          <w:sz w:val="24"/>
          <w:szCs w:val="24"/>
          <w:lang w:val="el-GR"/>
        </w:rPr>
        <w:t>και τις αρχές</w:t>
      </w:r>
      <w:r w:rsidR="00220066" w:rsidRPr="00337469">
        <w:rPr>
          <w:rFonts w:ascii="Calibri" w:hAnsi="Calibri" w:cs="Calibri"/>
          <w:color w:val="000000"/>
          <w:sz w:val="24"/>
          <w:szCs w:val="24"/>
          <w:lang w:val="el-GR"/>
        </w:rPr>
        <w:t xml:space="preserve"> </w:t>
      </w:r>
      <w:r w:rsidR="00337469">
        <w:rPr>
          <w:rFonts w:ascii="Calibri" w:hAnsi="Calibri" w:cs="Calibri"/>
          <w:color w:val="000000"/>
          <w:sz w:val="24"/>
          <w:szCs w:val="24"/>
          <w:lang w:val="el-GR"/>
        </w:rPr>
        <w:t>που έχουν υιοθετηθεί από την Ευρωπαϊκή Επιτροπή</w:t>
      </w:r>
      <w:r w:rsidR="00220066" w:rsidRPr="00337469">
        <w:rPr>
          <w:rFonts w:ascii="Calibri" w:hAnsi="Calibri" w:cs="Calibri"/>
          <w:color w:val="000000"/>
          <w:sz w:val="24"/>
          <w:szCs w:val="24"/>
          <w:lang w:val="el-GR"/>
        </w:rPr>
        <w:t xml:space="preserve"> </w:t>
      </w:r>
      <w:r w:rsidR="00337469">
        <w:rPr>
          <w:rFonts w:ascii="Calibri" w:hAnsi="Calibri" w:cs="Calibri"/>
          <w:color w:val="000000"/>
          <w:sz w:val="24"/>
          <w:szCs w:val="24"/>
          <w:lang w:val="el-GR"/>
        </w:rPr>
        <w:t>για την Πρόληψη</w:t>
      </w:r>
      <w:r w:rsidR="00337469" w:rsidRPr="00337469">
        <w:rPr>
          <w:rFonts w:ascii="Calibri" w:hAnsi="Calibri" w:cs="Calibri"/>
          <w:color w:val="000000"/>
          <w:sz w:val="24"/>
          <w:szCs w:val="24"/>
          <w:lang w:val="el-GR"/>
        </w:rPr>
        <w:t xml:space="preserve"> </w:t>
      </w:r>
      <w:r w:rsidR="00337469">
        <w:rPr>
          <w:rFonts w:ascii="Calibri" w:hAnsi="Calibri" w:cs="Calibri"/>
          <w:color w:val="000000"/>
          <w:sz w:val="24"/>
          <w:szCs w:val="24"/>
          <w:lang w:val="el-GR"/>
        </w:rPr>
        <w:t>Βασανιστηρίων</w:t>
      </w:r>
      <w:r w:rsidR="00220066" w:rsidRPr="00337469">
        <w:rPr>
          <w:rFonts w:ascii="Calibri" w:hAnsi="Calibri" w:cs="Calibri"/>
          <w:color w:val="000000"/>
          <w:sz w:val="24"/>
          <w:szCs w:val="24"/>
          <w:lang w:val="el-GR"/>
        </w:rPr>
        <w:t xml:space="preserve"> </w:t>
      </w:r>
      <w:r w:rsidR="00337469">
        <w:rPr>
          <w:rFonts w:ascii="Calibri" w:hAnsi="Calibri" w:cs="Calibri"/>
          <w:color w:val="000000"/>
          <w:sz w:val="24"/>
          <w:szCs w:val="24"/>
          <w:lang w:val="el-GR"/>
        </w:rPr>
        <w:t xml:space="preserve">και Απάνθρωπης ή Εξευτελιστικής </w:t>
      </w:r>
      <w:r w:rsidR="002E5EC0">
        <w:rPr>
          <w:rFonts w:ascii="Calibri" w:hAnsi="Calibri" w:cs="Calibri"/>
          <w:color w:val="000000"/>
          <w:sz w:val="24"/>
          <w:szCs w:val="24"/>
          <w:lang w:val="el-GR"/>
        </w:rPr>
        <w:t>Μεταχείρισης</w:t>
      </w:r>
      <w:r w:rsidR="00337469">
        <w:rPr>
          <w:rFonts w:ascii="Calibri" w:hAnsi="Calibri" w:cs="Calibri"/>
          <w:color w:val="000000"/>
          <w:sz w:val="24"/>
          <w:szCs w:val="24"/>
          <w:lang w:val="el-GR"/>
        </w:rPr>
        <w:t xml:space="preserve"> ή Τιμωρίας</w:t>
      </w:r>
      <w:r w:rsidR="00220066" w:rsidRPr="00337469">
        <w:rPr>
          <w:rFonts w:ascii="Calibri" w:hAnsi="Calibri" w:cs="Calibri"/>
          <w:sz w:val="24"/>
          <w:szCs w:val="24"/>
          <w:lang w:val="el-GR"/>
        </w:rPr>
        <w:t xml:space="preserve"> (</w:t>
      </w:r>
      <w:r w:rsidR="00220066" w:rsidRPr="004E251E">
        <w:rPr>
          <w:rFonts w:ascii="Calibri" w:hAnsi="Calibri" w:cs="Calibri"/>
          <w:sz w:val="24"/>
          <w:szCs w:val="24"/>
        </w:rPr>
        <w:t>CPT</w:t>
      </w:r>
      <w:r w:rsidR="00220066" w:rsidRPr="00337469">
        <w:rPr>
          <w:rFonts w:ascii="Calibri" w:hAnsi="Calibri" w:cs="Calibri"/>
          <w:sz w:val="24"/>
          <w:szCs w:val="24"/>
          <w:lang w:val="el-GR"/>
        </w:rPr>
        <w:t xml:space="preserve">), </w:t>
      </w:r>
      <w:r w:rsidR="00337469">
        <w:rPr>
          <w:rFonts w:ascii="Calibri" w:hAnsi="Calibri" w:cs="Calibri"/>
          <w:sz w:val="24"/>
          <w:szCs w:val="24"/>
          <w:lang w:val="el-GR"/>
        </w:rPr>
        <w:t>Τέθηκε</w:t>
      </w:r>
      <w:r w:rsidR="00337469" w:rsidRPr="00280901">
        <w:rPr>
          <w:rFonts w:ascii="Calibri" w:hAnsi="Calibri" w:cs="Calibri"/>
          <w:sz w:val="24"/>
          <w:szCs w:val="24"/>
          <w:lang w:val="el-GR"/>
        </w:rPr>
        <w:t xml:space="preserve"> </w:t>
      </w:r>
      <w:r w:rsidR="00337469">
        <w:rPr>
          <w:rFonts w:ascii="Calibri" w:hAnsi="Calibri" w:cs="Calibri"/>
          <w:sz w:val="24"/>
          <w:szCs w:val="24"/>
          <w:lang w:val="el-GR"/>
        </w:rPr>
        <w:t>σε</w:t>
      </w:r>
      <w:r w:rsidR="00337469" w:rsidRPr="00280901">
        <w:rPr>
          <w:rFonts w:ascii="Calibri" w:hAnsi="Calibri" w:cs="Calibri"/>
          <w:sz w:val="24"/>
          <w:szCs w:val="24"/>
          <w:lang w:val="el-GR"/>
        </w:rPr>
        <w:t xml:space="preserve"> </w:t>
      </w:r>
      <w:r w:rsidR="00337469">
        <w:rPr>
          <w:rFonts w:ascii="Calibri" w:hAnsi="Calibri" w:cs="Calibri"/>
          <w:sz w:val="24"/>
          <w:szCs w:val="24"/>
          <w:lang w:val="el-GR"/>
        </w:rPr>
        <w:t>ισχύ</w:t>
      </w:r>
      <w:r w:rsidR="00337469" w:rsidRPr="00280901">
        <w:rPr>
          <w:rFonts w:ascii="Calibri" w:hAnsi="Calibri" w:cs="Calibri"/>
          <w:sz w:val="24"/>
          <w:szCs w:val="24"/>
          <w:lang w:val="el-GR"/>
        </w:rPr>
        <w:t xml:space="preserve"> </w:t>
      </w:r>
      <w:r w:rsidR="00337469">
        <w:rPr>
          <w:rFonts w:ascii="Calibri" w:hAnsi="Calibri" w:cs="Calibri"/>
          <w:sz w:val="24"/>
          <w:szCs w:val="24"/>
          <w:lang w:val="el-GR"/>
        </w:rPr>
        <w:t>το</w:t>
      </w:r>
      <w:r w:rsidR="00220066" w:rsidRPr="00280901">
        <w:rPr>
          <w:rFonts w:ascii="Calibri" w:hAnsi="Calibri" w:cs="Calibri"/>
          <w:sz w:val="24"/>
          <w:szCs w:val="24"/>
          <w:lang w:val="el-GR"/>
        </w:rPr>
        <w:t xml:space="preserve"> 2006. </w:t>
      </w:r>
      <w:r w:rsidR="00B3731F">
        <w:rPr>
          <w:rFonts w:ascii="Calibri" w:hAnsi="Calibri" w:cs="Calibri"/>
          <w:sz w:val="24"/>
          <w:szCs w:val="24"/>
          <w:lang w:val="el-GR"/>
        </w:rPr>
        <w:t>Έ</w:t>
      </w:r>
      <w:r w:rsidR="000F0D2A">
        <w:rPr>
          <w:rFonts w:ascii="Calibri" w:hAnsi="Calibri" w:cs="Calibri"/>
          <w:sz w:val="24"/>
          <w:szCs w:val="24"/>
          <w:lang w:val="el-GR"/>
        </w:rPr>
        <w:t>νας</w:t>
      </w:r>
      <w:r w:rsidR="000F0D2A" w:rsidRPr="000F0D2A">
        <w:rPr>
          <w:rFonts w:ascii="Calibri" w:hAnsi="Calibri" w:cs="Calibri"/>
          <w:sz w:val="24"/>
          <w:szCs w:val="24"/>
          <w:lang w:val="el-GR"/>
        </w:rPr>
        <w:t xml:space="preserve"> </w:t>
      </w:r>
      <w:r w:rsidR="000F0D2A">
        <w:rPr>
          <w:rFonts w:ascii="Calibri" w:hAnsi="Calibri" w:cs="Calibri"/>
          <w:sz w:val="24"/>
          <w:szCs w:val="24"/>
          <w:lang w:val="el-GR"/>
        </w:rPr>
        <w:t>Κώδικας</w:t>
      </w:r>
      <w:r w:rsidR="000F0D2A" w:rsidRPr="000F0D2A">
        <w:rPr>
          <w:rFonts w:ascii="Calibri" w:hAnsi="Calibri" w:cs="Calibri"/>
          <w:sz w:val="24"/>
          <w:szCs w:val="24"/>
          <w:lang w:val="el-GR"/>
        </w:rPr>
        <w:t xml:space="preserve"> </w:t>
      </w:r>
      <w:r w:rsidR="000F0D2A">
        <w:rPr>
          <w:rFonts w:ascii="Calibri" w:hAnsi="Calibri" w:cs="Calibri"/>
          <w:sz w:val="24"/>
          <w:szCs w:val="24"/>
          <w:lang w:val="el-GR"/>
        </w:rPr>
        <w:t>Ηθικής</w:t>
      </w:r>
      <w:r w:rsidR="000F0D2A" w:rsidRPr="000F0D2A">
        <w:rPr>
          <w:rFonts w:ascii="Calibri" w:hAnsi="Calibri" w:cs="Calibri"/>
          <w:sz w:val="24"/>
          <w:szCs w:val="24"/>
          <w:lang w:val="el-GR"/>
        </w:rPr>
        <w:t xml:space="preserve"> </w:t>
      </w:r>
      <w:r w:rsidR="000F0D2A">
        <w:rPr>
          <w:rFonts w:ascii="Calibri" w:hAnsi="Calibri" w:cs="Calibri"/>
          <w:sz w:val="24"/>
          <w:szCs w:val="24"/>
          <w:lang w:val="el-GR"/>
        </w:rPr>
        <w:t>της</w:t>
      </w:r>
      <w:r w:rsidR="000F0D2A" w:rsidRPr="000F0D2A">
        <w:rPr>
          <w:rFonts w:ascii="Calibri" w:hAnsi="Calibri" w:cs="Calibri"/>
          <w:sz w:val="24"/>
          <w:szCs w:val="24"/>
          <w:lang w:val="el-GR"/>
        </w:rPr>
        <w:t xml:space="preserve"> </w:t>
      </w:r>
      <w:r w:rsidR="009C4E34">
        <w:rPr>
          <w:rFonts w:ascii="Calibri" w:hAnsi="Calibri" w:cs="Calibri"/>
          <w:sz w:val="24"/>
          <w:szCs w:val="24"/>
          <w:lang w:val="el-GR"/>
        </w:rPr>
        <w:t>Αστυνομία</w:t>
      </w:r>
      <w:r w:rsidR="000F0D2A">
        <w:rPr>
          <w:rFonts w:ascii="Calibri" w:hAnsi="Calibri" w:cs="Calibri"/>
          <w:sz w:val="24"/>
          <w:szCs w:val="24"/>
          <w:lang w:val="el-GR"/>
        </w:rPr>
        <w:t>ς</w:t>
      </w:r>
      <w:r w:rsidR="000F0D2A" w:rsidRPr="000F0D2A">
        <w:rPr>
          <w:rFonts w:ascii="Calibri" w:hAnsi="Calibri" w:cs="Calibri"/>
          <w:sz w:val="24"/>
          <w:szCs w:val="24"/>
          <w:lang w:val="el-GR"/>
        </w:rPr>
        <w:t xml:space="preserve"> </w:t>
      </w:r>
      <w:r w:rsidR="000F0D2A">
        <w:rPr>
          <w:rFonts w:ascii="Calibri" w:hAnsi="Calibri" w:cs="Calibri"/>
          <w:sz w:val="24"/>
          <w:szCs w:val="24"/>
          <w:lang w:val="el-GR"/>
        </w:rPr>
        <w:t>κατά</w:t>
      </w:r>
      <w:r w:rsidR="000F0D2A" w:rsidRPr="000F0D2A">
        <w:rPr>
          <w:rFonts w:ascii="Calibri" w:hAnsi="Calibri" w:cs="Calibri"/>
          <w:sz w:val="24"/>
          <w:szCs w:val="24"/>
          <w:lang w:val="el-GR"/>
        </w:rPr>
        <w:t xml:space="preserve"> </w:t>
      </w:r>
      <w:r w:rsidR="000F0D2A">
        <w:rPr>
          <w:rFonts w:ascii="Calibri" w:hAnsi="Calibri" w:cs="Calibri"/>
          <w:sz w:val="24"/>
          <w:szCs w:val="24"/>
          <w:lang w:val="el-GR"/>
        </w:rPr>
        <w:t>της</w:t>
      </w:r>
      <w:r w:rsidR="000F0D2A" w:rsidRPr="000F0D2A">
        <w:rPr>
          <w:rFonts w:ascii="Calibri" w:hAnsi="Calibri" w:cs="Calibri"/>
          <w:sz w:val="24"/>
          <w:szCs w:val="24"/>
          <w:lang w:val="el-GR"/>
        </w:rPr>
        <w:t xml:space="preserve"> </w:t>
      </w:r>
      <w:r w:rsidR="000F0D2A">
        <w:rPr>
          <w:rFonts w:ascii="Calibri" w:hAnsi="Calibri" w:cs="Calibri"/>
          <w:sz w:val="24"/>
          <w:szCs w:val="24"/>
          <w:lang w:val="el-GR"/>
        </w:rPr>
        <w:t>Διαφθοράς</w:t>
      </w:r>
      <w:r w:rsidR="00220066" w:rsidRPr="000F0D2A">
        <w:rPr>
          <w:rFonts w:ascii="Calibri" w:hAnsi="Calibri" w:cs="Calibri"/>
          <w:sz w:val="24"/>
          <w:szCs w:val="24"/>
          <w:lang w:val="el-GR"/>
        </w:rPr>
        <w:t xml:space="preserve"> </w:t>
      </w:r>
      <w:r w:rsidR="000F0D2A">
        <w:rPr>
          <w:rFonts w:ascii="Calibri" w:hAnsi="Calibri" w:cs="Calibri"/>
          <w:sz w:val="24"/>
          <w:szCs w:val="24"/>
          <w:lang w:val="el-GR"/>
        </w:rPr>
        <w:t>ετοιμάσθηκε</w:t>
      </w:r>
      <w:r w:rsidR="000F0D2A" w:rsidRPr="000F0D2A">
        <w:rPr>
          <w:rFonts w:ascii="Calibri" w:hAnsi="Calibri" w:cs="Calibri"/>
          <w:sz w:val="24"/>
          <w:szCs w:val="24"/>
          <w:lang w:val="el-GR"/>
        </w:rPr>
        <w:t xml:space="preserve"> </w:t>
      </w:r>
      <w:r w:rsidR="000F0D2A">
        <w:rPr>
          <w:rFonts w:ascii="Calibri" w:hAnsi="Calibri" w:cs="Calibri"/>
          <w:sz w:val="24"/>
          <w:szCs w:val="24"/>
          <w:lang w:val="el-GR"/>
        </w:rPr>
        <w:t>από την</w:t>
      </w:r>
      <w:r w:rsidR="00220066" w:rsidRPr="000F0D2A">
        <w:rPr>
          <w:rFonts w:ascii="Calibri" w:hAnsi="Calibri" w:cs="Calibri"/>
          <w:sz w:val="24"/>
          <w:szCs w:val="24"/>
          <w:lang w:val="el-GR"/>
        </w:rPr>
        <w:t xml:space="preserve"> </w:t>
      </w:r>
      <w:r w:rsidR="00220066" w:rsidRPr="004E251E">
        <w:rPr>
          <w:rFonts w:cstheme="minorHAnsi"/>
          <w:sz w:val="24"/>
          <w:szCs w:val="24"/>
        </w:rPr>
        <w:t>P</w:t>
      </w:r>
      <w:r w:rsidR="00220066" w:rsidRPr="000F0D2A">
        <w:rPr>
          <w:rFonts w:cstheme="minorHAnsi"/>
          <w:sz w:val="24"/>
          <w:szCs w:val="24"/>
          <w:lang w:val="el-GR"/>
        </w:rPr>
        <w:t>.</w:t>
      </w:r>
      <w:r w:rsidR="00220066" w:rsidRPr="004E251E">
        <w:rPr>
          <w:rFonts w:cstheme="minorHAnsi"/>
          <w:sz w:val="24"/>
          <w:szCs w:val="24"/>
        </w:rPr>
        <w:t>I</w:t>
      </w:r>
      <w:r w:rsidR="00220066" w:rsidRPr="000F0D2A">
        <w:rPr>
          <w:rFonts w:cstheme="minorHAnsi"/>
          <w:sz w:val="24"/>
          <w:szCs w:val="24"/>
          <w:lang w:val="el-GR"/>
        </w:rPr>
        <w:t>.</w:t>
      </w:r>
      <w:r w:rsidR="00220066" w:rsidRPr="004E251E">
        <w:rPr>
          <w:rFonts w:cstheme="minorHAnsi"/>
          <w:sz w:val="24"/>
          <w:szCs w:val="24"/>
        </w:rPr>
        <w:t>A</w:t>
      </w:r>
      <w:r w:rsidR="00220066" w:rsidRPr="000F0D2A">
        <w:rPr>
          <w:rFonts w:cstheme="minorHAnsi"/>
          <w:sz w:val="24"/>
          <w:szCs w:val="24"/>
          <w:lang w:val="el-GR"/>
        </w:rPr>
        <w:t>.</w:t>
      </w:r>
      <w:r w:rsidR="00220066" w:rsidRPr="004E251E">
        <w:rPr>
          <w:rFonts w:cstheme="minorHAnsi"/>
          <w:sz w:val="24"/>
          <w:szCs w:val="24"/>
        </w:rPr>
        <w:t>S</w:t>
      </w:r>
      <w:r w:rsidR="00220066" w:rsidRPr="000F0D2A">
        <w:rPr>
          <w:rFonts w:cstheme="minorHAnsi"/>
          <w:sz w:val="24"/>
          <w:szCs w:val="24"/>
          <w:lang w:val="el-GR"/>
        </w:rPr>
        <w:t xml:space="preserve">. </w:t>
      </w:r>
      <w:r w:rsidR="000F0D2A">
        <w:rPr>
          <w:rFonts w:cstheme="minorHAnsi"/>
          <w:sz w:val="24"/>
          <w:szCs w:val="24"/>
          <w:lang w:val="el-GR"/>
        </w:rPr>
        <w:t>και έχει ολοκληρωθεί το</w:t>
      </w:r>
      <w:r w:rsidR="00220066" w:rsidRPr="000F0D2A">
        <w:rPr>
          <w:rFonts w:cstheme="minorHAnsi"/>
          <w:sz w:val="24"/>
          <w:szCs w:val="24"/>
          <w:lang w:val="el-GR"/>
        </w:rPr>
        <w:t xml:space="preserve"> 2021. </w:t>
      </w:r>
      <w:r w:rsidR="000F0D2A">
        <w:rPr>
          <w:rFonts w:cstheme="minorHAnsi"/>
          <w:sz w:val="24"/>
          <w:szCs w:val="24"/>
          <w:lang w:val="el-GR"/>
        </w:rPr>
        <w:t>Ο</w:t>
      </w:r>
      <w:r w:rsidR="000F0D2A" w:rsidRPr="000F0D2A">
        <w:rPr>
          <w:rFonts w:cstheme="minorHAnsi"/>
          <w:sz w:val="24"/>
          <w:szCs w:val="24"/>
          <w:lang w:val="el-GR"/>
        </w:rPr>
        <w:t xml:space="preserve"> </w:t>
      </w:r>
      <w:r w:rsidR="000F0D2A">
        <w:rPr>
          <w:rFonts w:cstheme="minorHAnsi"/>
          <w:sz w:val="24"/>
          <w:szCs w:val="24"/>
          <w:lang w:val="el-GR"/>
        </w:rPr>
        <w:t>Κώδικας</w:t>
      </w:r>
      <w:r w:rsidR="000F0D2A" w:rsidRPr="000F0D2A">
        <w:rPr>
          <w:rFonts w:cstheme="minorHAnsi"/>
          <w:sz w:val="24"/>
          <w:szCs w:val="24"/>
          <w:lang w:val="el-GR"/>
        </w:rPr>
        <w:t xml:space="preserve"> </w:t>
      </w:r>
      <w:r w:rsidR="000F0D2A">
        <w:rPr>
          <w:rFonts w:cstheme="minorHAnsi"/>
          <w:sz w:val="24"/>
          <w:szCs w:val="24"/>
          <w:lang w:val="el-GR"/>
        </w:rPr>
        <w:t>Ηθικής</w:t>
      </w:r>
      <w:r w:rsidR="000F0D2A" w:rsidRPr="000F0D2A">
        <w:rPr>
          <w:rFonts w:cstheme="minorHAnsi"/>
          <w:sz w:val="24"/>
          <w:szCs w:val="24"/>
          <w:lang w:val="el-GR"/>
        </w:rPr>
        <w:t xml:space="preserve"> </w:t>
      </w:r>
      <w:r w:rsidR="000F0D2A">
        <w:rPr>
          <w:rFonts w:cstheme="minorHAnsi"/>
          <w:sz w:val="24"/>
          <w:szCs w:val="24"/>
          <w:lang w:val="el-GR"/>
        </w:rPr>
        <w:t>της</w:t>
      </w:r>
      <w:r w:rsidR="000F0D2A" w:rsidRPr="000F0D2A">
        <w:rPr>
          <w:rFonts w:cstheme="minorHAnsi"/>
          <w:sz w:val="24"/>
          <w:szCs w:val="24"/>
          <w:lang w:val="el-GR"/>
        </w:rPr>
        <w:t xml:space="preserve"> </w:t>
      </w:r>
      <w:r w:rsidR="009C4E34">
        <w:rPr>
          <w:rFonts w:cstheme="minorHAnsi"/>
          <w:sz w:val="24"/>
          <w:szCs w:val="24"/>
          <w:lang w:val="el-GR"/>
        </w:rPr>
        <w:t>Αστυνομία</w:t>
      </w:r>
      <w:r w:rsidR="000F0D2A">
        <w:rPr>
          <w:rFonts w:cstheme="minorHAnsi"/>
          <w:sz w:val="24"/>
          <w:szCs w:val="24"/>
          <w:lang w:val="el-GR"/>
        </w:rPr>
        <w:t>ς</w:t>
      </w:r>
      <w:r w:rsidR="00220066" w:rsidRPr="000F0D2A">
        <w:rPr>
          <w:rFonts w:cstheme="minorHAnsi"/>
          <w:sz w:val="24"/>
          <w:szCs w:val="24"/>
          <w:lang w:val="el-GR"/>
        </w:rPr>
        <w:t xml:space="preserve"> </w:t>
      </w:r>
      <w:r w:rsidR="000F0D2A">
        <w:rPr>
          <w:rFonts w:cstheme="minorHAnsi"/>
          <w:sz w:val="24"/>
          <w:szCs w:val="24"/>
          <w:lang w:val="el-GR"/>
        </w:rPr>
        <w:t>διατίθεται</w:t>
      </w:r>
      <w:r w:rsidR="000F0D2A" w:rsidRPr="000F0D2A">
        <w:rPr>
          <w:rFonts w:cstheme="minorHAnsi"/>
          <w:sz w:val="24"/>
          <w:szCs w:val="24"/>
          <w:lang w:val="el-GR"/>
        </w:rPr>
        <w:t xml:space="preserve"> </w:t>
      </w:r>
      <w:r w:rsidR="000F0D2A">
        <w:rPr>
          <w:rFonts w:cstheme="minorHAnsi"/>
          <w:sz w:val="24"/>
          <w:szCs w:val="24"/>
          <w:lang w:val="el-GR"/>
        </w:rPr>
        <w:t>στο</w:t>
      </w:r>
      <w:r w:rsidR="000F0D2A" w:rsidRPr="000F0D2A">
        <w:rPr>
          <w:rFonts w:cstheme="minorHAnsi"/>
          <w:sz w:val="24"/>
          <w:szCs w:val="24"/>
          <w:lang w:val="el-GR"/>
        </w:rPr>
        <w:t xml:space="preserve"> </w:t>
      </w:r>
      <w:r w:rsidR="000F0D2A">
        <w:rPr>
          <w:rFonts w:cstheme="minorHAnsi"/>
          <w:sz w:val="24"/>
          <w:szCs w:val="24"/>
          <w:lang w:val="el-GR"/>
        </w:rPr>
        <w:t>κοινό</w:t>
      </w:r>
      <w:r w:rsidR="00220066" w:rsidRPr="000F0D2A">
        <w:rPr>
          <w:rFonts w:cstheme="minorHAnsi"/>
          <w:sz w:val="24"/>
          <w:szCs w:val="24"/>
          <w:lang w:val="el-GR"/>
        </w:rPr>
        <w:t xml:space="preserve"> </w:t>
      </w:r>
      <w:r w:rsidR="000F0D2A">
        <w:rPr>
          <w:rFonts w:cstheme="minorHAnsi"/>
          <w:sz w:val="24"/>
          <w:szCs w:val="24"/>
          <w:lang w:val="el-GR"/>
        </w:rPr>
        <w:t xml:space="preserve">μέσω της επίσημης ιστοσελίδας της </w:t>
      </w:r>
      <w:r w:rsidR="009C4E34">
        <w:rPr>
          <w:rFonts w:cstheme="minorHAnsi"/>
          <w:sz w:val="24"/>
          <w:szCs w:val="24"/>
          <w:lang w:val="el-GR"/>
        </w:rPr>
        <w:t>Αστυνομία</w:t>
      </w:r>
      <w:r w:rsidR="000F0D2A">
        <w:rPr>
          <w:rFonts w:cstheme="minorHAnsi"/>
          <w:sz w:val="24"/>
          <w:szCs w:val="24"/>
          <w:lang w:val="el-GR"/>
        </w:rPr>
        <w:t>ς</w:t>
      </w:r>
      <w:r w:rsidR="00220066" w:rsidRPr="000F0D2A">
        <w:rPr>
          <w:rFonts w:cstheme="minorHAnsi"/>
          <w:sz w:val="24"/>
          <w:szCs w:val="24"/>
          <w:lang w:val="el-GR"/>
        </w:rPr>
        <w:t xml:space="preserve">.  </w:t>
      </w:r>
    </w:p>
    <w:p w14:paraId="373849B0" w14:textId="77777777" w:rsidR="00220066" w:rsidRPr="000F0D2A" w:rsidRDefault="00220066" w:rsidP="00220066">
      <w:pPr>
        <w:widowControl w:val="0"/>
        <w:tabs>
          <w:tab w:val="left" w:pos="709"/>
        </w:tabs>
        <w:rPr>
          <w:rFonts w:cstheme="minorHAnsi"/>
          <w:sz w:val="24"/>
          <w:szCs w:val="24"/>
          <w:lang w:val="el-GR"/>
        </w:rPr>
      </w:pPr>
    </w:p>
    <w:p w14:paraId="056FBBA2" w14:textId="58BEF448" w:rsidR="00220066" w:rsidRPr="000F0D2A" w:rsidRDefault="000F0D2A"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Ο</w:t>
      </w:r>
      <w:r w:rsidRPr="000F0D2A">
        <w:rPr>
          <w:rFonts w:cstheme="minorHAnsi"/>
          <w:sz w:val="24"/>
          <w:szCs w:val="24"/>
          <w:lang w:val="el-GR"/>
        </w:rPr>
        <w:t xml:space="preserve"> </w:t>
      </w:r>
      <w:r>
        <w:rPr>
          <w:rFonts w:cstheme="minorHAnsi"/>
          <w:sz w:val="24"/>
          <w:szCs w:val="24"/>
          <w:lang w:val="el-GR"/>
        </w:rPr>
        <w:t>Κώδικας</w:t>
      </w:r>
      <w:r w:rsidRPr="000F0D2A">
        <w:rPr>
          <w:rFonts w:cstheme="minorHAnsi"/>
          <w:sz w:val="24"/>
          <w:szCs w:val="24"/>
          <w:lang w:val="el-GR"/>
        </w:rPr>
        <w:t xml:space="preserve"> </w:t>
      </w:r>
      <w:r>
        <w:rPr>
          <w:rFonts w:cstheme="minorHAnsi"/>
          <w:sz w:val="24"/>
          <w:szCs w:val="24"/>
          <w:lang w:val="el-GR"/>
        </w:rPr>
        <w:t>είναι</w:t>
      </w:r>
      <w:r w:rsidRPr="000F0D2A">
        <w:rPr>
          <w:rFonts w:cstheme="minorHAnsi"/>
          <w:sz w:val="24"/>
          <w:szCs w:val="24"/>
          <w:lang w:val="el-GR"/>
        </w:rPr>
        <w:t xml:space="preserve"> </w:t>
      </w:r>
      <w:r>
        <w:rPr>
          <w:rFonts w:cstheme="minorHAnsi"/>
          <w:sz w:val="24"/>
          <w:szCs w:val="24"/>
          <w:lang w:val="el-GR"/>
        </w:rPr>
        <w:t>δεσμευτικός</w:t>
      </w:r>
      <w:r w:rsidRPr="000F0D2A">
        <w:rPr>
          <w:rFonts w:cstheme="minorHAnsi"/>
          <w:sz w:val="24"/>
          <w:szCs w:val="24"/>
          <w:lang w:val="el-GR"/>
        </w:rPr>
        <w:t xml:space="preserve"> </w:t>
      </w:r>
      <w:r>
        <w:rPr>
          <w:rFonts w:cstheme="minorHAnsi"/>
          <w:sz w:val="24"/>
          <w:szCs w:val="24"/>
          <w:lang w:val="el-GR"/>
        </w:rPr>
        <w:t>και</w:t>
      </w:r>
      <w:r w:rsidRPr="000F0D2A">
        <w:rPr>
          <w:rFonts w:cstheme="minorHAnsi"/>
          <w:sz w:val="24"/>
          <w:szCs w:val="24"/>
          <w:lang w:val="el-GR"/>
        </w:rPr>
        <w:t xml:space="preserve"> </w:t>
      </w:r>
      <w:r>
        <w:rPr>
          <w:rFonts w:cstheme="minorHAnsi"/>
          <w:sz w:val="24"/>
          <w:szCs w:val="24"/>
          <w:lang w:val="el-GR"/>
        </w:rPr>
        <w:t>οποιαδήποτε</w:t>
      </w:r>
      <w:r w:rsidRPr="000F0D2A">
        <w:rPr>
          <w:rFonts w:cstheme="minorHAnsi"/>
          <w:sz w:val="24"/>
          <w:szCs w:val="24"/>
          <w:lang w:val="el-GR"/>
        </w:rPr>
        <w:t xml:space="preserve"> </w:t>
      </w:r>
      <w:r>
        <w:rPr>
          <w:rFonts w:cstheme="minorHAnsi"/>
          <w:sz w:val="24"/>
          <w:szCs w:val="24"/>
          <w:lang w:val="el-GR"/>
        </w:rPr>
        <w:t>παραβίαση</w:t>
      </w:r>
      <w:r w:rsidRPr="000F0D2A">
        <w:rPr>
          <w:rFonts w:cstheme="minorHAnsi"/>
          <w:sz w:val="24"/>
          <w:szCs w:val="24"/>
          <w:lang w:val="el-GR"/>
        </w:rPr>
        <w:t xml:space="preserve"> </w:t>
      </w:r>
      <w:r>
        <w:rPr>
          <w:rFonts w:cstheme="minorHAnsi"/>
          <w:sz w:val="24"/>
          <w:szCs w:val="24"/>
          <w:lang w:val="el-GR"/>
        </w:rPr>
        <w:t>του</w:t>
      </w:r>
      <w:r w:rsidR="00B3731F">
        <w:rPr>
          <w:rFonts w:cstheme="minorHAnsi"/>
          <w:sz w:val="24"/>
          <w:szCs w:val="24"/>
          <w:lang w:val="el-GR"/>
        </w:rPr>
        <w:t xml:space="preserve"> </w:t>
      </w:r>
      <w:r>
        <w:rPr>
          <w:rFonts w:cstheme="minorHAnsi"/>
          <w:sz w:val="24"/>
          <w:szCs w:val="24"/>
          <w:lang w:val="el-GR"/>
        </w:rPr>
        <w:t>μπορεί</w:t>
      </w:r>
      <w:r w:rsidRPr="000F0D2A">
        <w:rPr>
          <w:rFonts w:cstheme="minorHAnsi"/>
          <w:sz w:val="24"/>
          <w:szCs w:val="24"/>
          <w:lang w:val="el-GR"/>
        </w:rPr>
        <w:t xml:space="preserve"> </w:t>
      </w:r>
      <w:r>
        <w:rPr>
          <w:rFonts w:cstheme="minorHAnsi"/>
          <w:sz w:val="24"/>
          <w:szCs w:val="24"/>
          <w:lang w:val="el-GR"/>
        </w:rPr>
        <w:t>να</w:t>
      </w:r>
      <w:r w:rsidRPr="000F0D2A">
        <w:rPr>
          <w:rFonts w:cstheme="minorHAnsi"/>
          <w:sz w:val="24"/>
          <w:szCs w:val="24"/>
          <w:lang w:val="el-GR"/>
        </w:rPr>
        <w:t xml:space="preserve"> </w:t>
      </w:r>
      <w:r>
        <w:rPr>
          <w:rFonts w:cstheme="minorHAnsi"/>
          <w:sz w:val="24"/>
          <w:szCs w:val="24"/>
          <w:lang w:val="el-GR"/>
        </w:rPr>
        <w:t>αποτελέσει</w:t>
      </w:r>
      <w:r w:rsidR="00220066" w:rsidRPr="000F0D2A">
        <w:rPr>
          <w:rFonts w:cstheme="minorHAnsi"/>
          <w:sz w:val="24"/>
          <w:szCs w:val="24"/>
          <w:lang w:val="el-GR"/>
        </w:rPr>
        <w:t xml:space="preserve"> </w:t>
      </w:r>
      <w:r>
        <w:rPr>
          <w:rFonts w:cstheme="minorHAnsi"/>
          <w:sz w:val="24"/>
          <w:szCs w:val="24"/>
          <w:lang w:val="el-GR"/>
        </w:rPr>
        <w:t>πειθαρχικό αδίκημα</w:t>
      </w:r>
      <w:r w:rsidR="00220066" w:rsidRPr="000F0D2A">
        <w:rPr>
          <w:rFonts w:cstheme="minorHAnsi"/>
          <w:sz w:val="24"/>
          <w:szCs w:val="24"/>
          <w:lang w:val="el-GR"/>
        </w:rPr>
        <w:t xml:space="preserve">. </w:t>
      </w:r>
      <w:r>
        <w:rPr>
          <w:rFonts w:cstheme="minorHAnsi"/>
          <w:sz w:val="24"/>
          <w:szCs w:val="24"/>
          <w:lang w:val="el-GR"/>
        </w:rPr>
        <w:t>Επιπρόσθετα</w:t>
      </w:r>
      <w:r w:rsidR="00220066" w:rsidRPr="000F0D2A">
        <w:rPr>
          <w:rFonts w:cstheme="minorHAnsi"/>
          <w:sz w:val="24"/>
          <w:szCs w:val="24"/>
          <w:lang w:val="el-GR"/>
        </w:rPr>
        <w:t xml:space="preserve">, </w:t>
      </w:r>
      <w:r>
        <w:rPr>
          <w:rFonts w:cstheme="minorHAnsi"/>
          <w:sz w:val="24"/>
          <w:szCs w:val="24"/>
          <w:lang w:val="el-GR"/>
        </w:rPr>
        <w:t>η</w:t>
      </w:r>
      <w:r w:rsidRPr="000F0D2A">
        <w:rPr>
          <w:rFonts w:cstheme="minorHAnsi"/>
          <w:sz w:val="24"/>
          <w:szCs w:val="24"/>
          <w:lang w:val="el-GR"/>
        </w:rPr>
        <w:t xml:space="preserve"> </w:t>
      </w:r>
      <w:r>
        <w:rPr>
          <w:rFonts w:cstheme="minorHAnsi"/>
          <w:sz w:val="24"/>
          <w:szCs w:val="24"/>
          <w:lang w:val="el-GR"/>
        </w:rPr>
        <w:t>παραβίαση</w:t>
      </w:r>
      <w:r w:rsidRPr="000F0D2A">
        <w:rPr>
          <w:rFonts w:cstheme="minorHAnsi"/>
          <w:sz w:val="24"/>
          <w:szCs w:val="24"/>
          <w:lang w:val="el-GR"/>
        </w:rPr>
        <w:t xml:space="preserve"> </w:t>
      </w:r>
      <w:r>
        <w:rPr>
          <w:rFonts w:cstheme="minorHAnsi"/>
          <w:sz w:val="24"/>
          <w:szCs w:val="24"/>
          <w:lang w:val="el-GR"/>
        </w:rPr>
        <w:t>ορισμένων</w:t>
      </w:r>
      <w:r w:rsidRPr="000F0D2A">
        <w:rPr>
          <w:rFonts w:cstheme="minorHAnsi"/>
          <w:sz w:val="24"/>
          <w:szCs w:val="24"/>
          <w:lang w:val="el-GR"/>
        </w:rPr>
        <w:t xml:space="preserve"> </w:t>
      </w:r>
      <w:r>
        <w:rPr>
          <w:rFonts w:cstheme="minorHAnsi"/>
          <w:sz w:val="24"/>
          <w:szCs w:val="24"/>
          <w:lang w:val="el-GR"/>
        </w:rPr>
        <w:t>προνοιών</w:t>
      </w:r>
      <w:r w:rsidRPr="000F0D2A">
        <w:rPr>
          <w:rFonts w:cstheme="minorHAnsi"/>
          <w:sz w:val="24"/>
          <w:szCs w:val="24"/>
          <w:lang w:val="el-GR"/>
        </w:rPr>
        <w:t xml:space="preserve"> </w:t>
      </w:r>
      <w:r>
        <w:rPr>
          <w:rFonts w:cstheme="minorHAnsi"/>
          <w:sz w:val="24"/>
          <w:szCs w:val="24"/>
          <w:lang w:val="el-GR"/>
        </w:rPr>
        <w:t>του</w:t>
      </w:r>
      <w:r w:rsidRPr="000F0D2A">
        <w:rPr>
          <w:rFonts w:cstheme="minorHAnsi"/>
          <w:sz w:val="24"/>
          <w:szCs w:val="24"/>
          <w:lang w:val="el-GR"/>
        </w:rPr>
        <w:t xml:space="preserve"> </w:t>
      </w:r>
      <w:r>
        <w:rPr>
          <w:rFonts w:cstheme="minorHAnsi"/>
          <w:sz w:val="24"/>
          <w:szCs w:val="24"/>
          <w:lang w:val="el-GR"/>
        </w:rPr>
        <w:t>Κώδικα</w:t>
      </w:r>
      <w:r w:rsidR="00220066" w:rsidRPr="000F0D2A">
        <w:rPr>
          <w:rFonts w:cstheme="minorHAnsi"/>
          <w:sz w:val="24"/>
          <w:szCs w:val="24"/>
          <w:lang w:val="el-GR"/>
        </w:rPr>
        <w:t xml:space="preserve"> </w:t>
      </w:r>
      <w:r>
        <w:rPr>
          <w:rFonts w:cstheme="minorHAnsi"/>
          <w:sz w:val="24"/>
          <w:szCs w:val="24"/>
          <w:lang w:val="el-GR"/>
        </w:rPr>
        <w:t>μπορεί επίσης να αποτελέσει ποινικό αδίκημα</w:t>
      </w:r>
      <w:r w:rsidR="00220066" w:rsidRPr="000F0D2A">
        <w:rPr>
          <w:rFonts w:cstheme="minorHAnsi"/>
          <w:sz w:val="24"/>
          <w:szCs w:val="24"/>
          <w:lang w:val="el-GR"/>
        </w:rPr>
        <w:t xml:space="preserve">. </w:t>
      </w:r>
      <w:r>
        <w:rPr>
          <w:rFonts w:cstheme="minorHAnsi"/>
          <w:sz w:val="24"/>
          <w:szCs w:val="24"/>
          <w:lang w:val="el-GR"/>
        </w:rPr>
        <w:t>Η</w:t>
      </w:r>
      <w:r w:rsidRPr="000F0D2A">
        <w:rPr>
          <w:rFonts w:cstheme="minorHAnsi"/>
          <w:sz w:val="24"/>
          <w:szCs w:val="24"/>
          <w:lang w:val="el-GR"/>
        </w:rPr>
        <w:t xml:space="preserve"> </w:t>
      </w:r>
      <w:r>
        <w:rPr>
          <w:rFonts w:cstheme="minorHAnsi"/>
          <w:sz w:val="24"/>
          <w:szCs w:val="24"/>
          <w:lang w:val="el-GR"/>
        </w:rPr>
        <w:t>παρακολούθηση</w:t>
      </w:r>
      <w:r w:rsidRPr="000F0D2A">
        <w:rPr>
          <w:rFonts w:cstheme="minorHAnsi"/>
          <w:sz w:val="24"/>
          <w:szCs w:val="24"/>
          <w:lang w:val="el-GR"/>
        </w:rPr>
        <w:t xml:space="preserve"> </w:t>
      </w:r>
      <w:r>
        <w:rPr>
          <w:rFonts w:cstheme="minorHAnsi"/>
          <w:sz w:val="24"/>
          <w:szCs w:val="24"/>
          <w:lang w:val="el-GR"/>
        </w:rPr>
        <w:t>του</w:t>
      </w:r>
      <w:r w:rsidRPr="000F0D2A">
        <w:rPr>
          <w:rFonts w:cstheme="minorHAnsi"/>
          <w:sz w:val="24"/>
          <w:szCs w:val="24"/>
          <w:lang w:val="el-GR"/>
        </w:rPr>
        <w:t xml:space="preserve"> </w:t>
      </w:r>
      <w:r>
        <w:rPr>
          <w:rFonts w:cstheme="minorHAnsi"/>
          <w:sz w:val="24"/>
          <w:szCs w:val="24"/>
          <w:lang w:val="el-GR"/>
        </w:rPr>
        <w:t>Κώδικα</w:t>
      </w:r>
      <w:r w:rsidR="00220066" w:rsidRPr="000F0D2A">
        <w:rPr>
          <w:rFonts w:cstheme="minorHAnsi"/>
          <w:sz w:val="24"/>
          <w:szCs w:val="24"/>
          <w:lang w:val="el-GR"/>
        </w:rPr>
        <w:t xml:space="preserve"> </w:t>
      </w:r>
      <w:r>
        <w:rPr>
          <w:rFonts w:cstheme="minorHAnsi"/>
          <w:sz w:val="24"/>
          <w:szCs w:val="24"/>
          <w:lang w:val="el-GR"/>
        </w:rPr>
        <w:t>γίνεται</w:t>
      </w:r>
      <w:r w:rsidRPr="000F0D2A">
        <w:rPr>
          <w:rFonts w:cstheme="minorHAnsi"/>
          <w:sz w:val="24"/>
          <w:szCs w:val="24"/>
          <w:lang w:val="el-GR"/>
        </w:rPr>
        <w:t xml:space="preserve"> </w:t>
      </w:r>
      <w:r>
        <w:rPr>
          <w:rFonts w:cstheme="minorHAnsi"/>
          <w:sz w:val="24"/>
          <w:szCs w:val="24"/>
          <w:lang w:val="el-GR"/>
        </w:rPr>
        <w:t>όχι</w:t>
      </w:r>
      <w:r w:rsidRPr="000F0D2A">
        <w:rPr>
          <w:rFonts w:cstheme="minorHAnsi"/>
          <w:sz w:val="24"/>
          <w:szCs w:val="24"/>
          <w:lang w:val="el-GR"/>
        </w:rPr>
        <w:t xml:space="preserve"> </w:t>
      </w:r>
      <w:r>
        <w:rPr>
          <w:rFonts w:cstheme="minorHAnsi"/>
          <w:sz w:val="24"/>
          <w:szCs w:val="24"/>
          <w:lang w:val="el-GR"/>
        </w:rPr>
        <w:t>μόνο</w:t>
      </w:r>
      <w:r w:rsidRPr="000F0D2A">
        <w:rPr>
          <w:rFonts w:cstheme="minorHAnsi"/>
          <w:sz w:val="24"/>
          <w:szCs w:val="24"/>
          <w:lang w:val="el-GR"/>
        </w:rPr>
        <w:t xml:space="preserve"> </w:t>
      </w:r>
      <w:r>
        <w:rPr>
          <w:rFonts w:cstheme="minorHAnsi"/>
          <w:sz w:val="24"/>
          <w:szCs w:val="24"/>
          <w:lang w:val="el-GR"/>
        </w:rPr>
        <w:t>από</w:t>
      </w:r>
      <w:r w:rsidRPr="000F0D2A">
        <w:rPr>
          <w:rFonts w:cstheme="minorHAnsi"/>
          <w:sz w:val="24"/>
          <w:szCs w:val="24"/>
          <w:lang w:val="el-GR"/>
        </w:rPr>
        <w:t xml:space="preserve"> </w:t>
      </w:r>
      <w:r>
        <w:rPr>
          <w:rFonts w:cstheme="minorHAnsi"/>
          <w:sz w:val="24"/>
          <w:szCs w:val="24"/>
          <w:lang w:val="el-GR"/>
        </w:rPr>
        <w:t>τους</w:t>
      </w:r>
      <w:r w:rsidRPr="000F0D2A">
        <w:rPr>
          <w:rFonts w:cstheme="minorHAnsi"/>
          <w:sz w:val="24"/>
          <w:szCs w:val="24"/>
          <w:lang w:val="el-GR"/>
        </w:rPr>
        <w:t xml:space="preserve"> </w:t>
      </w:r>
      <w:r>
        <w:rPr>
          <w:rFonts w:cstheme="minorHAnsi"/>
          <w:sz w:val="24"/>
          <w:szCs w:val="24"/>
          <w:lang w:val="el-GR"/>
        </w:rPr>
        <w:t>αντίστοιχους</w:t>
      </w:r>
      <w:r w:rsidRPr="000F0D2A">
        <w:rPr>
          <w:rFonts w:cstheme="minorHAnsi"/>
          <w:sz w:val="24"/>
          <w:szCs w:val="24"/>
          <w:lang w:val="el-GR"/>
        </w:rPr>
        <w:t xml:space="preserve"> </w:t>
      </w:r>
      <w:r>
        <w:rPr>
          <w:rFonts w:cstheme="minorHAnsi"/>
          <w:sz w:val="24"/>
          <w:szCs w:val="24"/>
          <w:lang w:val="el-GR"/>
        </w:rPr>
        <w:t>επόπτες</w:t>
      </w:r>
      <w:r w:rsidR="00220066" w:rsidRPr="000F0D2A">
        <w:rPr>
          <w:rFonts w:cstheme="minorHAnsi"/>
          <w:sz w:val="24"/>
          <w:szCs w:val="24"/>
          <w:lang w:val="el-GR"/>
        </w:rPr>
        <w:t xml:space="preserve">, </w:t>
      </w:r>
      <w:r>
        <w:rPr>
          <w:rFonts w:cstheme="minorHAnsi"/>
          <w:sz w:val="24"/>
          <w:szCs w:val="24"/>
          <w:lang w:val="el-GR"/>
        </w:rPr>
        <w:t>αλλά</w:t>
      </w:r>
      <w:r w:rsidRPr="000F0D2A">
        <w:rPr>
          <w:rFonts w:cstheme="minorHAnsi"/>
          <w:sz w:val="24"/>
          <w:szCs w:val="24"/>
          <w:lang w:val="el-GR"/>
        </w:rPr>
        <w:t xml:space="preserve"> </w:t>
      </w:r>
      <w:r>
        <w:rPr>
          <w:rFonts w:cstheme="minorHAnsi"/>
          <w:sz w:val="24"/>
          <w:szCs w:val="24"/>
          <w:lang w:val="el-GR"/>
        </w:rPr>
        <w:t>επίσης</w:t>
      </w:r>
      <w:r w:rsidRPr="000F0D2A">
        <w:rPr>
          <w:rFonts w:cstheme="minorHAnsi"/>
          <w:sz w:val="24"/>
          <w:szCs w:val="24"/>
          <w:lang w:val="el-GR"/>
        </w:rPr>
        <w:t xml:space="preserve"> </w:t>
      </w:r>
      <w:r>
        <w:rPr>
          <w:rFonts w:cstheme="minorHAnsi"/>
          <w:sz w:val="24"/>
          <w:szCs w:val="24"/>
          <w:lang w:val="el-GR"/>
        </w:rPr>
        <w:t>από την</w:t>
      </w:r>
      <w:r w:rsidR="00220066" w:rsidRPr="000F0D2A">
        <w:rPr>
          <w:rFonts w:cstheme="minorHAnsi"/>
          <w:sz w:val="24"/>
          <w:szCs w:val="24"/>
          <w:lang w:val="el-GR"/>
        </w:rPr>
        <w:t xml:space="preserve"> </w:t>
      </w:r>
      <w:r w:rsidR="00220066" w:rsidRPr="004E251E">
        <w:rPr>
          <w:rFonts w:cstheme="minorHAnsi"/>
          <w:sz w:val="24"/>
          <w:szCs w:val="24"/>
        </w:rPr>
        <w:t>PSID</w:t>
      </w:r>
      <w:r w:rsidR="00220066" w:rsidRPr="000F0D2A">
        <w:rPr>
          <w:rFonts w:cstheme="minorHAnsi"/>
          <w:sz w:val="24"/>
          <w:szCs w:val="24"/>
          <w:lang w:val="el-GR"/>
        </w:rPr>
        <w:t xml:space="preserve">, </w:t>
      </w:r>
      <w:r>
        <w:rPr>
          <w:rFonts w:cstheme="minorHAnsi"/>
          <w:sz w:val="24"/>
          <w:szCs w:val="24"/>
          <w:lang w:val="el-GR"/>
        </w:rPr>
        <w:t>μέσω ελέγχων και επιθεωρήσεων των δι</w:t>
      </w:r>
      <w:r w:rsidR="00B3731F">
        <w:rPr>
          <w:rFonts w:cstheme="minorHAnsi"/>
          <w:sz w:val="24"/>
          <w:szCs w:val="24"/>
          <w:lang w:val="el-GR"/>
        </w:rPr>
        <w:t>α</w:t>
      </w:r>
      <w:r>
        <w:rPr>
          <w:rFonts w:cstheme="minorHAnsi"/>
          <w:sz w:val="24"/>
          <w:szCs w:val="24"/>
          <w:lang w:val="el-GR"/>
        </w:rPr>
        <w:t>φ</w:t>
      </w:r>
      <w:r w:rsidR="00B3731F">
        <w:rPr>
          <w:rFonts w:cstheme="minorHAnsi"/>
          <w:sz w:val="24"/>
          <w:szCs w:val="24"/>
          <w:lang w:val="el-GR"/>
        </w:rPr>
        <w:t>ό</w:t>
      </w:r>
      <w:r>
        <w:rPr>
          <w:rFonts w:cstheme="minorHAnsi"/>
          <w:sz w:val="24"/>
          <w:szCs w:val="24"/>
          <w:lang w:val="el-GR"/>
        </w:rPr>
        <w:t xml:space="preserve">ρων τμημάτων και μελών της </w:t>
      </w:r>
      <w:r w:rsidR="009C4E34">
        <w:rPr>
          <w:rFonts w:cstheme="minorHAnsi"/>
          <w:sz w:val="24"/>
          <w:szCs w:val="24"/>
          <w:lang w:val="el-GR"/>
        </w:rPr>
        <w:t>Αστυνομία</w:t>
      </w:r>
      <w:r>
        <w:rPr>
          <w:rFonts w:cstheme="minorHAnsi"/>
          <w:sz w:val="24"/>
          <w:szCs w:val="24"/>
          <w:lang w:val="el-GR"/>
        </w:rPr>
        <w:t>ς</w:t>
      </w:r>
      <w:r w:rsidR="00220066" w:rsidRPr="000F0D2A">
        <w:rPr>
          <w:rFonts w:cstheme="minorHAnsi"/>
          <w:sz w:val="24"/>
          <w:szCs w:val="24"/>
          <w:lang w:val="el-GR"/>
        </w:rPr>
        <w:t xml:space="preserve">. </w:t>
      </w:r>
    </w:p>
    <w:p w14:paraId="2A7DEF66" w14:textId="77777777" w:rsidR="00220066" w:rsidRPr="000F0D2A" w:rsidRDefault="00220066" w:rsidP="00220066">
      <w:pPr>
        <w:widowControl w:val="0"/>
        <w:tabs>
          <w:tab w:val="left" w:pos="709"/>
        </w:tabs>
        <w:rPr>
          <w:rFonts w:cstheme="minorHAnsi"/>
          <w:sz w:val="24"/>
          <w:szCs w:val="24"/>
          <w:lang w:val="el-GR"/>
        </w:rPr>
      </w:pPr>
    </w:p>
    <w:p w14:paraId="3C55E2B6" w14:textId="171942F9" w:rsidR="00220066" w:rsidRPr="004E251E" w:rsidRDefault="000F0D2A" w:rsidP="00220066">
      <w:pPr>
        <w:widowControl w:val="0"/>
        <w:numPr>
          <w:ilvl w:val="0"/>
          <w:numId w:val="1"/>
        </w:numPr>
        <w:tabs>
          <w:tab w:val="left" w:pos="709"/>
        </w:tabs>
        <w:ind w:left="0" w:firstLine="0"/>
        <w:rPr>
          <w:rFonts w:cstheme="minorHAnsi"/>
          <w:sz w:val="24"/>
          <w:szCs w:val="24"/>
        </w:rPr>
      </w:pPr>
      <w:r>
        <w:rPr>
          <w:rFonts w:cstheme="minorHAnsi"/>
          <w:sz w:val="24"/>
          <w:szCs w:val="24"/>
          <w:lang w:val="el-GR"/>
        </w:rPr>
        <w:t>Ο</w:t>
      </w:r>
      <w:r w:rsidRPr="000F0D2A">
        <w:rPr>
          <w:rFonts w:cstheme="minorHAnsi"/>
          <w:sz w:val="24"/>
          <w:szCs w:val="24"/>
          <w:lang w:val="el-GR"/>
        </w:rPr>
        <w:t xml:space="preserve"> </w:t>
      </w:r>
      <w:r>
        <w:rPr>
          <w:rFonts w:cstheme="minorHAnsi"/>
          <w:sz w:val="24"/>
          <w:szCs w:val="24"/>
          <w:lang w:val="el-GR"/>
        </w:rPr>
        <w:t>Κώδικας</w:t>
      </w:r>
      <w:r w:rsidRPr="000F0D2A">
        <w:rPr>
          <w:rFonts w:cstheme="minorHAnsi"/>
          <w:sz w:val="24"/>
          <w:szCs w:val="24"/>
          <w:lang w:val="el-GR"/>
        </w:rPr>
        <w:t xml:space="preserve"> </w:t>
      </w:r>
      <w:r>
        <w:rPr>
          <w:rFonts w:cstheme="minorHAnsi"/>
          <w:sz w:val="24"/>
          <w:szCs w:val="24"/>
          <w:lang w:val="el-GR"/>
        </w:rPr>
        <w:t>έχει</w:t>
      </w:r>
      <w:r w:rsidRPr="000F0D2A">
        <w:rPr>
          <w:rFonts w:cstheme="minorHAnsi"/>
          <w:sz w:val="24"/>
          <w:szCs w:val="24"/>
          <w:lang w:val="el-GR"/>
        </w:rPr>
        <w:t xml:space="preserve"> </w:t>
      </w:r>
      <w:r>
        <w:rPr>
          <w:rFonts w:cstheme="minorHAnsi"/>
          <w:sz w:val="24"/>
          <w:szCs w:val="24"/>
          <w:lang w:val="el-GR"/>
        </w:rPr>
        <w:t>εκδοθεί</w:t>
      </w:r>
      <w:r w:rsidRPr="000F0D2A">
        <w:rPr>
          <w:rFonts w:cstheme="minorHAnsi"/>
          <w:sz w:val="24"/>
          <w:szCs w:val="24"/>
          <w:lang w:val="el-GR"/>
        </w:rPr>
        <w:t xml:space="preserve"> </w:t>
      </w:r>
      <w:r>
        <w:rPr>
          <w:rFonts w:cstheme="minorHAnsi"/>
          <w:sz w:val="24"/>
          <w:szCs w:val="24"/>
          <w:lang w:val="el-GR"/>
        </w:rPr>
        <w:t>υπό</w:t>
      </w:r>
      <w:r w:rsidRPr="000F0D2A">
        <w:rPr>
          <w:rFonts w:cstheme="minorHAnsi"/>
          <w:sz w:val="24"/>
          <w:szCs w:val="24"/>
          <w:lang w:val="el-GR"/>
        </w:rPr>
        <w:t xml:space="preserve"> </w:t>
      </w:r>
      <w:r>
        <w:rPr>
          <w:rFonts w:cstheme="minorHAnsi"/>
          <w:sz w:val="24"/>
          <w:szCs w:val="24"/>
          <w:lang w:val="el-GR"/>
        </w:rPr>
        <w:t>την</w:t>
      </w:r>
      <w:r w:rsidRPr="000F0D2A">
        <w:rPr>
          <w:rFonts w:cstheme="minorHAnsi"/>
          <w:sz w:val="24"/>
          <w:szCs w:val="24"/>
          <w:lang w:val="el-GR"/>
        </w:rPr>
        <w:t xml:space="preserve"> </w:t>
      </w:r>
      <w:r>
        <w:rPr>
          <w:rFonts w:cstheme="minorHAnsi"/>
          <w:sz w:val="24"/>
          <w:szCs w:val="24"/>
          <w:lang w:val="el-GR"/>
        </w:rPr>
        <w:t>μορφή</w:t>
      </w:r>
      <w:r w:rsidRPr="000F0D2A">
        <w:rPr>
          <w:rFonts w:cstheme="minorHAnsi"/>
          <w:sz w:val="24"/>
          <w:szCs w:val="24"/>
          <w:lang w:val="el-GR"/>
        </w:rPr>
        <w:t xml:space="preserve"> </w:t>
      </w:r>
      <w:r>
        <w:rPr>
          <w:rFonts w:cstheme="minorHAnsi"/>
          <w:sz w:val="24"/>
          <w:szCs w:val="24"/>
          <w:lang w:val="el-GR"/>
        </w:rPr>
        <w:t>βιβλιαρίου</w:t>
      </w:r>
      <w:r w:rsidR="00220066" w:rsidRPr="000F0D2A">
        <w:rPr>
          <w:rFonts w:cstheme="minorHAnsi"/>
          <w:sz w:val="24"/>
          <w:szCs w:val="24"/>
          <w:lang w:val="el-GR"/>
        </w:rPr>
        <w:t xml:space="preserve"> </w:t>
      </w:r>
      <w:r>
        <w:rPr>
          <w:rFonts w:cstheme="minorHAnsi"/>
          <w:sz w:val="24"/>
          <w:szCs w:val="24"/>
          <w:lang w:val="el-GR"/>
        </w:rPr>
        <w:t>και έχει διανεμηθεί εσωτερικά</w:t>
      </w:r>
      <w:r w:rsidR="00220066" w:rsidRPr="000F0D2A">
        <w:rPr>
          <w:rFonts w:cstheme="minorHAnsi"/>
          <w:sz w:val="24"/>
          <w:szCs w:val="24"/>
          <w:lang w:val="el-GR"/>
        </w:rPr>
        <w:t xml:space="preserve">. </w:t>
      </w:r>
      <w:r w:rsidR="00572457">
        <w:rPr>
          <w:rFonts w:cstheme="minorHAnsi"/>
          <w:sz w:val="24"/>
          <w:szCs w:val="24"/>
          <w:lang w:val="el-GR"/>
        </w:rPr>
        <w:t>Αυτό</w:t>
      </w:r>
      <w:r w:rsidR="00572457" w:rsidRPr="00572457">
        <w:rPr>
          <w:rFonts w:cstheme="minorHAnsi"/>
          <w:sz w:val="24"/>
          <w:szCs w:val="24"/>
          <w:lang w:val="el-GR"/>
        </w:rPr>
        <w:t xml:space="preserve"> </w:t>
      </w:r>
      <w:r w:rsidR="00572457">
        <w:rPr>
          <w:rFonts w:cstheme="minorHAnsi"/>
          <w:sz w:val="24"/>
          <w:szCs w:val="24"/>
          <w:lang w:val="el-GR"/>
        </w:rPr>
        <w:t>προωθείται</w:t>
      </w:r>
      <w:r w:rsidR="00572457" w:rsidRPr="00572457">
        <w:rPr>
          <w:rFonts w:cstheme="minorHAnsi"/>
          <w:sz w:val="24"/>
          <w:szCs w:val="24"/>
          <w:lang w:val="el-GR"/>
        </w:rPr>
        <w:t xml:space="preserve"> </w:t>
      </w:r>
      <w:r w:rsidR="00572457">
        <w:rPr>
          <w:rFonts w:cstheme="minorHAnsi"/>
          <w:sz w:val="24"/>
          <w:szCs w:val="24"/>
          <w:lang w:val="el-GR"/>
        </w:rPr>
        <w:t>επίσης</w:t>
      </w:r>
      <w:r w:rsidR="00572457" w:rsidRPr="00572457">
        <w:rPr>
          <w:rFonts w:cstheme="minorHAnsi"/>
          <w:sz w:val="24"/>
          <w:szCs w:val="24"/>
          <w:lang w:val="el-GR"/>
        </w:rPr>
        <w:t xml:space="preserve"> </w:t>
      </w:r>
      <w:r w:rsidR="00572457">
        <w:rPr>
          <w:rFonts w:cstheme="minorHAnsi"/>
          <w:sz w:val="24"/>
          <w:szCs w:val="24"/>
          <w:lang w:val="el-GR"/>
        </w:rPr>
        <w:t>μέσω</w:t>
      </w:r>
      <w:r w:rsidR="00572457" w:rsidRPr="00572457">
        <w:rPr>
          <w:rFonts w:cstheme="minorHAnsi"/>
          <w:sz w:val="24"/>
          <w:szCs w:val="24"/>
          <w:lang w:val="el-GR"/>
        </w:rPr>
        <w:t xml:space="preserve"> </w:t>
      </w:r>
      <w:r w:rsidR="00572457">
        <w:rPr>
          <w:rFonts w:cstheme="minorHAnsi"/>
          <w:sz w:val="24"/>
          <w:szCs w:val="24"/>
          <w:lang w:val="el-GR"/>
        </w:rPr>
        <w:t>αρχικής</w:t>
      </w:r>
      <w:r w:rsidR="00220066" w:rsidRPr="00572457">
        <w:rPr>
          <w:rFonts w:cstheme="minorHAnsi"/>
          <w:sz w:val="24"/>
          <w:szCs w:val="24"/>
          <w:lang w:val="el-GR"/>
        </w:rPr>
        <w:t xml:space="preserve">, </w:t>
      </w:r>
      <w:r w:rsidR="00572457">
        <w:rPr>
          <w:rFonts w:cstheme="minorHAnsi"/>
          <w:sz w:val="24"/>
          <w:szCs w:val="24"/>
          <w:lang w:val="el-GR"/>
        </w:rPr>
        <w:t>καθώς</w:t>
      </w:r>
      <w:r w:rsidR="00572457" w:rsidRPr="00572457">
        <w:rPr>
          <w:rFonts w:cstheme="minorHAnsi"/>
          <w:sz w:val="24"/>
          <w:szCs w:val="24"/>
          <w:lang w:val="el-GR"/>
        </w:rPr>
        <w:t xml:space="preserve"> </w:t>
      </w:r>
      <w:r w:rsidR="00572457">
        <w:rPr>
          <w:rFonts w:cstheme="minorHAnsi"/>
          <w:sz w:val="24"/>
          <w:szCs w:val="24"/>
          <w:lang w:val="el-GR"/>
        </w:rPr>
        <w:t>επίσης</w:t>
      </w:r>
      <w:r w:rsidR="00572457" w:rsidRPr="00572457">
        <w:rPr>
          <w:rFonts w:cstheme="minorHAnsi"/>
          <w:sz w:val="24"/>
          <w:szCs w:val="24"/>
          <w:lang w:val="el-GR"/>
        </w:rPr>
        <w:t xml:space="preserve"> </w:t>
      </w:r>
      <w:r w:rsidR="00572457">
        <w:rPr>
          <w:rFonts w:cstheme="minorHAnsi"/>
          <w:sz w:val="24"/>
          <w:szCs w:val="24"/>
          <w:lang w:val="el-GR"/>
        </w:rPr>
        <w:t>και</w:t>
      </w:r>
      <w:r w:rsidR="00572457" w:rsidRPr="00572457">
        <w:rPr>
          <w:rFonts w:cstheme="minorHAnsi"/>
          <w:sz w:val="24"/>
          <w:szCs w:val="24"/>
          <w:lang w:val="el-GR"/>
        </w:rPr>
        <w:t xml:space="preserve"> </w:t>
      </w:r>
      <w:r w:rsidR="00572457">
        <w:rPr>
          <w:rFonts w:cstheme="minorHAnsi"/>
          <w:sz w:val="24"/>
          <w:szCs w:val="24"/>
          <w:lang w:val="el-GR"/>
        </w:rPr>
        <w:t>τακτικής</w:t>
      </w:r>
      <w:r w:rsidR="00220066" w:rsidRPr="00572457">
        <w:rPr>
          <w:rFonts w:cstheme="minorHAnsi"/>
          <w:sz w:val="24"/>
          <w:szCs w:val="24"/>
          <w:lang w:val="el-GR"/>
        </w:rPr>
        <w:t xml:space="preserve">, </w:t>
      </w:r>
      <w:r w:rsidR="00572457">
        <w:rPr>
          <w:rFonts w:cstheme="minorHAnsi"/>
          <w:sz w:val="24"/>
          <w:szCs w:val="24"/>
          <w:lang w:val="el-GR"/>
        </w:rPr>
        <w:t>εκπαίδευσης για όλες τις βαθμίδες του οργανισμού</w:t>
      </w:r>
      <w:r w:rsidR="00220066" w:rsidRPr="00572457">
        <w:rPr>
          <w:rFonts w:cstheme="minorHAnsi"/>
          <w:sz w:val="24"/>
          <w:szCs w:val="24"/>
          <w:lang w:val="el-GR"/>
        </w:rPr>
        <w:t xml:space="preserve">. </w:t>
      </w:r>
      <w:r w:rsidR="00572457">
        <w:rPr>
          <w:rFonts w:cstheme="minorHAnsi"/>
          <w:sz w:val="24"/>
          <w:szCs w:val="24"/>
          <w:lang w:val="el-GR"/>
        </w:rPr>
        <w:t>Εκπαίδευση</w:t>
      </w:r>
      <w:r w:rsidR="00572457" w:rsidRPr="00572457">
        <w:rPr>
          <w:rFonts w:cstheme="minorHAnsi"/>
          <w:sz w:val="24"/>
          <w:szCs w:val="24"/>
          <w:lang w:val="el-GR"/>
        </w:rPr>
        <w:t xml:space="preserve"> </w:t>
      </w:r>
      <w:r w:rsidR="00572457">
        <w:rPr>
          <w:rFonts w:cstheme="minorHAnsi"/>
          <w:sz w:val="24"/>
          <w:szCs w:val="24"/>
          <w:lang w:val="el-GR"/>
        </w:rPr>
        <w:t>κατά</w:t>
      </w:r>
      <w:r w:rsidR="00572457" w:rsidRPr="00572457">
        <w:rPr>
          <w:rFonts w:cstheme="minorHAnsi"/>
          <w:sz w:val="24"/>
          <w:szCs w:val="24"/>
          <w:lang w:val="el-GR"/>
        </w:rPr>
        <w:t xml:space="preserve"> </w:t>
      </w:r>
      <w:r w:rsidR="00572457">
        <w:rPr>
          <w:rFonts w:cstheme="minorHAnsi"/>
          <w:sz w:val="24"/>
          <w:szCs w:val="24"/>
          <w:lang w:val="el-GR"/>
        </w:rPr>
        <w:t>της</w:t>
      </w:r>
      <w:r w:rsidR="00572457" w:rsidRPr="00572457">
        <w:rPr>
          <w:rFonts w:cstheme="minorHAnsi"/>
          <w:sz w:val="24"/>
          <w:szCs w:val="24"/>
          <w:lang w:val="el-GR"/>
        </w:rPr>
        <w:t xml:space="preserve"> </w:t>
      </w:r>
      <w:r w:rsidR="00572457">
        <w:rPr>
          <w:rFonts w:cstheme="minorHAnsi"/>
          <w:sz w:val="24"/>
          <w:szCs w:val="24"/>
          <w:lang w:val="el-GR"/>
        </w:rPr>
        <w:t>διαφθοράς</w:t>
      </w:r>
      <w:r w:rsidR="00572457" w:rsidRPr="00572457">
        <w:rPr>
          <w:rFonts w:cstheme="minorHAnsi"/>
          <w:sz w:val="24"/>
          <w:szCs w:val="24"/>
          <w:lang w:val="el-GR"/>
        </w:rPr>
        <w:t xml:space="preserve"> </w:t>
      </w:r>
      <w:r w:rsidR="00572457">
        <w:rPr>
          <w:rFonts w:cstheme="minorHAnsi"/>
          <w:sz w:val="24"/>
          <w:szCs w:val="24"/>
          <w:lang w:val="el-GR"/>
        </w:rPr>
        <w:t>προσφέρεται</w:t>
      </w:r>
      <w:r w:rsidR="00572457" w:rsidRPr="00572457">
        <w:rPr>
          <w:rFonts w:cstheme="minorHAnsi"/>
          <w:sz w:val="24"/>
          <w:szCs w:val="24"/>
          <w:lang w:val="el-GR"/>
        </w:rPr>
        <w:t xml:space="preserve"> </w:t>
      </w:r>
      <w:r w:rsidR="00572457">
        <w:rPr>
          <w:rFonts w:cstheme="minorHAnsi"/>
          <w:sz w:val="24"/>
          <w:szCs w:val="24"/>
          <w:lang w:val="el-GR"/>
        </w:rPr>
        <w:t xml:space="preserve">επίσης κατά την πρόσληψη και </w:t>
      </w:r>
      <w:proofErr w:type="spellStart"/>
      <w:r w:rsidR="00572457">
        <w:rPr>
          <w:rFonts w:cstheme="minorHAnsi"/>
          <w:sz w:val="24"/>
          <w:szCs w:val="24"/>
          <w:lang w:val="el-GR"/>
        </w:rPr>
        <w:t>ενδο</w:t>
      </w:r>
      <w:proofErr w:type="spellEnd"/>
      <w:r w:rsidR="00572457">
        <w:rPr>
          <w:rFonts w:cstheme="minorHAnsi"/>
          <w:sz w:val="24"/>
          <w:szCs w:val="24"/>
          <w:lang w:val="el-GR"/>
        </w:rPr>
        <w:t>-υπηρεσιακά</w:t>
      </w:r>
      <w:r w:rsidR="00220066" w:rsidRPr="00572457">
        <w:rPr>
          <w:rFonts w:cstheme="minorHAnsi"/>
          <w:sz w:val="24"/>
          <w:szCs w:val="24"/>
          <w:lang w:val="el-GR"/>
        </w:rPr>
        <w:t xml:space="preserve">. </w:t>
      </w:r>
      <w:r w:rsidR="00572457">
        <w:rPr>
          <w:rFonts w:cstheme="minorHAnsi"/>
          <w:sz w:val="24"/>
          <w:szCs w:val="24"/>
          <w:lang w:val="el-GR"/>
        </w:rPr>
        <w:t>Περιπτωσιολογικές μελέτες συζητούνται στις εκπαιδευτικές συνεδρίες</w:t>
      </w:r>
      <w:r w:rsidR="00220066" w:rsidRPr="004E251E">
        <w:rPr>
          <w:rFonts w:cstheme="minorHAnsi"/>
          <w:sz w:val="24"/>
          <w:szCs w:val="24"/>
        </w:rPr>
        <w:t xml:space="preserve">.  </w:t>
      </w:r>
    </w:p>
    <w:p w14:paraId="45E744F8" w14:textId="77777777" w:rsidR="00220066" w:rsidRPr="004E251E" w:rsidRDefault="00220066" w:rsidP="00220066">
      <w:pPr>
        <w:widowControl w:val="0"/>
        <w:tabs>
          <w:tab w:val="left" w:pos="709"/>
        </w:tabs>
        <w:rPr>
          <w:rFonts w:cstheme="minorHAnsi"/>
          <w:sz w:val="24"/>
          <w:szCs w:val="24"/>
        </w:rPr>
      </w:pPr>
    </w:p>
    <w:p w14:paraId="544DCAAA" w14:textId="30AE4107" w:rsidR="00220066" w:rsidRPr="00572457" w:rsidRDefault="00572457"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 xml:space="preserve">Μπορεί να αναζητηθεί και συμβουλή από την </w:t>
      </w:r>
      <w:r w:rsidR="00220066" w:rsidRPr="004E251E">
        <w:rPr>
          <w:rFonts w:cstheme="minorHAnsi"/>
          <w:sz w:val="24"/>
          <w:szCs w:val="24"/>
        </w:rPr>
        <w:t>PSID</w:t>
      </w:r>
      <w:r w:rsidR="00220066" w:rsidRPr="00572457">
        <w:rPr>
          <w:rFonts w:cstheme="minorHAnsi"/>
          <w:sz w:val="24"/>
          <w:szCs w:val="24"/>
          <w:lang w:val="el-GR"/>
        </w:rPr>
        <w:t xml:space="preserve">. </w:t>
      </w:r>
      <w:r>
        <w:rPr>
          <w:rFonts w:cstheme="minorHAnsi"/>
          <w:sz w:val="24"/>
          <w:szCs w:val="24"/>
          <w:lang w:val="el-GR"/>
        </w:rPr>
        <w:t>Στην πράξη</w:t>
      </w:r>
      <w:r w:rsidR="00220066" w:rsidRPr="00572457">
        <w:rPr>
          <w:rFonts w:cstheme="minorHAnsi"/>
          <w:sz w:val="24"/>
          <w:szCs w:val="24"/>
          <w:lang w:val="el-GR"/>
        </w:rPr>
        <w:t xml:space="preserve">, </w:t>
      </w:r>
      <w:r>
        <w:rPr>
          <w:rFonts w:cstheme="minorHAnsi"/>
          <w:sz w:val="24"/>
          <w:szCs w:val="24"/>
          <w:lang w:val="el-GR"/>
        </w:rPr>
        <w:t>λίγοι ΑΕΝ το κάνουν αυτό</w:t>
      </w:r>
      <w:r w:rsidR="00220066" w:rsidRPr="00572457">
        <w:rPr>
          <w:rFonts w:cstheme="minorHAnsi"/>
          <w:sz w:val="24"/>
          <w:szCs w:val="24"/>
          <w:lang w:val="el-GR"/>
        </w:rPr>
        <w:t xml:space="preserve">. </w:t>
      </w:r>
      <w:r>
        <w:rPr>
          <w:rFonts w:cstheme="minorHAnsi"/>
          <w:sz w:val="24"/>
          <w:szCs w:val="24"/>
          <w:lang w:val="el-GR"/>
        </w:rPr>
        <w:t>Η</w:t>
      </w:r>
      <w:r w:rsidRPr="00572457">
        <w:rPr>
          <w:rFonts w:cstheme="minorHAnsi"/>
          <w:sz w:val="24"/>
          <w:szCs w:val="24"/>
          <w:lang w:val="el-GR"/>
        </w:rPr>
        <w:t xml:space="preserve"> </w:t>
      </w:r>
      <w:proofErr w:type="spellStart"/>
      <w:r>
        <w:rPr>
          <w:rFonts w:cstheme="minorHAnsi"/>
          <w:sz w:val="24"/>
          <w:szCs w:val="24"/>
          <w:lang w:val="el-GR"/>
        </w:rPr>
        <w:t>ενδο</w:t>
      </w:r>
      <w:r w:rsidR="00B3731F">
        <w:rPr>
          <w:rFonts w:cstheme="minorHAnsi"/>
          <w:sz w:val="24"/>
          <w:szCs w:val="24"/>
          <w:lang w:val="el-GR"/>
        </w:rPr>
        <w:t>δ</w:t>
      </w:r>
      <w:r>
        <w:rPr>
          <w:rFonts w:cstheme="minorHAnsi"/>
          <w:sz w:val="24"/>
          <w:szCs w:val="24"/>
          <w:lang w:val="el-GR"/>
        </w:rPr>
        <w:t>ικτυακή</w:t>
      </w:r>
      <w:proofErr w:type="spellEnd"/>
      <w:r w:rsidRPr="00572457">
        <w:rPr>
          <w:rFonts w:cstheme="minorHAnsi"/>
          <w:sz w:val="24"/>
          <w:szCs w:val="24"/>
          <w:lang w:val="el-GR"/>
        </w:rPr>
        <w:t xml:space="preserve"> </w:t>
      </w:r>
      <w:r>
        <w:rPr>
          <w:rFonts w:cstheme="minorHAnsi"/>
          <w:sz w:val="24"/>
          <w:szCs w:val="24"/>
          <w:lang w:val="el-GR"/>
        </w:rPr>
        <w:t>πύλη</w:t>
      </w:r>
      <w:r w:rsidRPr="00572457">
        <w:rPr>
          <w:rFonts w:cstheme="minorHAnsi"/>
          <w:sz w:val="24"/>
          <w:szCs w:val="24"/>
          <w:lang w:val="el-GR"/>
        </w:rPr>
        <w:t xml:space="preserve"> </w:t>
      </w:r>
      <w:r>
        <w:rPr>
          <w:rFonts w:cstheme="minorHAnsi"/>
          <w:sz w:val="24"/>
          <w:szCs w:val="24"/>
          <w:lang w:val="el-GR"/>
        </w:rPr>
        <w:t>της</w:t>
      </w:r>
      <w:r w:rsidRPr="00572457">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572457">
        <w:rPr>
          <w:rFonts w:cstheme="minorHAnsi"/>
          <w:sz w:val="24"/>
          <w:szCs w:val="24"/>
          <w:lang w:val="el-GR"/>
        </w:rPr>
        <w:t xml:space="preserve"> </w:t>
      </w:r>
      <w:r>
        <w:rPr>
          <w:rFonts w:cstheme="minorHAnsi"/>
          <w:sz w:val="24"/>
          <w:szCs w:val="24"/>
          <w:lang w:val="el-GR"/>
        </w:rPr>
        <w:t>είναι</w:t>
      </w:r>
      <w:r w:rsidRPr="00572457">
        <w:rPr>
          <w:rFonts w:cstheme="minorHAnsi"/>
          <w:sz w:val="24"/>
          <w:szCs w:val="24"/>
          <w:lang w:val="el-GR"/>
        </w:rPr>
        <w:t xml:space="preserve"> </w:t>
      </w:r>
      <w:r>
        <w:rPr>
          <w:rFonts w:cstheme="minorHAnsi"/>
          <w:sz w:val="24"/>
          <w:szCs w:val="24"/>
          <w:lang w:val="el-GR"/>
        </w:rPr>
        <w:t>εμπλουτισμένη</w:t>
      </w:r>
      <w:r w:rsidRPr="00572457">
        <w:rPr>
          <w:rFonts w:cstheme="minorHAnsi"/>
          <w:sz w:val="24"/>
          <w:szCs w:val="24"/>
          <w:lang w:val="el-GR"/>
        </w:rPr>
        <w:t xml:space="preserve"> </w:t>
      </w:r>
      <w:r>
        <w:rPr>
          <w:rFonts w:cstheme="minorHAnsi"/>
          <w:sz w:val="24"/>
          <w:szCs w:val="24"/>
          <w:lang w:val="el-GR"/>
        </w:rPr>
        <w:t>με</w:t>
      </w:r>
      <w:r w:rsidRPr="00572457">
        <w:rPr>
          <w:rFonts w:cstheme="minorHAnsi"/>
          <w:sz w:val="24"/>
          <w:szCs w:val="24"/>
          <w:lang w:val="el-GR"/>
        </w:rPr>
        <w:t xml:space="preserve"> </w:t>
      </w:r>
      <w:r>
        <w:rPr>
          <w:rFonts w:cstheme="minorHAnsi"/>
          <w:sz w:val="24"/>
          <w:szCs w:val="24"/>
          <w:lang w:val="el-GR"/>
        </w:rPr>
        <w:t>εφαρμόσιμους</w:t>
      </w:r>
      <w:r w:rsidRPr="00572457">
        <w:rPr>
          <w:rFonts w:cstheme="minorHAnsi"/>
          <w:sz w:val="24"/>
          <w:szCs w:val="24"/>
          <w:lang w:val="el-GR"/>
        </w:rPr>
        <w:t xml:space="preserve"> </w:t>
      </w:r>
      <w:r>
        <w:rPr>
          <w:rFonts w:cstheme="minorHAnsi"/>
          <w:sz w:val="24"/>
          <w:szCs w:val="24"/>
          <w:lang w:val="el-GR"/>
        </w:rPr>
        <w:t>κανονισμούς</w:t>
      </w:r>
      <w:r w:rsidR="00220066" w:rsidRPr="00572457">
        <w:rPr>
          <w:rFonts w:cstheme="minorHAnsi"/>
          <w:sz w:val="24"/>
          <w:szCs w:val="24"/>
          <w:lang w:val="el-GR"/>
        </w:rPr>
        <w:t>/</w:t>
      </w:r>
      <w:r>
        <w:rPr>
          <w:rFonts w:cstheme="minorHAnsi"/>
          <w:sz w:val="24"/>
          <w:szCs w:val="24"/>
          <w:lang w:val="el-GR"/>
        </w:rPr>
        <w:t>εγχειρίδια</w:t>
      </w:r>
      <w:r w:rsidR="00220066" w:rsidRPr="00572457">
        <w:rPr>
          <w:rFonts w:cstheme="minorHAnsi"/>
          <w:sz w:val="24"/>
          <w:szCs w:val="24"/>
          <w:lang w:val="el-GR"/>
        </w:rPr>
        <w:t>/</w:t>
      </w:r>
      <w:r>
        <w:rPr>
          <w:rFonts w:cstheme="minorHAnsi"/>
          <w:sz w:val="24"/>
          <w:szCs w:val="24"/>
          <w:lang w:val="el-GR"/>
        </w:rPr>
        <w:t>καθοδηγητικές γραμμές</w:t>
      </w:r>
      <w:r w:rsidR="00220066" w:rsidRPr="00572457">
        <w:rPr>
          <w:rFonts w:cstheme="minorHAnsi"/>
          <w:sz w:val="24"/>
          <w:szCs w:val="24"/>
          <w:lang w:val="el-GR"/>
        </w:rPr>
        <w:t xml:space="preserve">, </w:t>
      </w:r>
      <w:r>
        <w:rPr>
          <w:rFonts w:cstheme="minorHAnsi"/>
          <w:sz w:val="24"/>
          <w:szCs w:val="24"/>
          <w:lang w:val="el-GR"/>
        </w:rPr>
        <w:t>κλπ</w:t>
      </w:r>
      <w:r w:rsidR="00220066" w:rsidRPr="00572457">
        <w:rPr>
          <w:rFonts w:cstheme="minorHAnsi"/>
          <w:sz w:val="24"/>
          <w:szCs w:val="24"/>
          <w:lang w:val="el-GR"/>
        </w:rPr>
        <w:t xml:space="preserve">., </w:t>
      </w:r>
      <w:r>
        <w:rPr>
          <w:rFonts w:cstheme="minorHAnsi"/>
          <w:sz w:val="24"/>
          <w:szCs w:val="24"/>
          <w:lang w:val="el-GR"/>
        </w:rPr>
        <w:t>συμπεριλαμβανομ</w:t>
      </w:r>
      <w:r w:rsidR="00B3731F">
        <w:rPr>
          <w:rFonts w:cstheme="minorHAnsi"/>
          <w:sz w:val="24"/>
          <w:szCs w:val="24"/>
          <w:lang w:val="el-GR"/>
        </w:rPr>
        <w:t>έν</w:t>
      </w:r>
      <w:r>
        <w:rPr>
          <w:rFonts w:cstheme="minorHAnsi"/>
          <w:sz w:val="24"/>
          <w:szCs w:val="24"/>
          <w:lang w:val="el-GR"/>
        </w:rPr>
        <w:t>ων και θεμάτων συμπεριφοράς και θεμάτων που σχετίζονται με την διαφθορά</w:t>
      </w:r>
      <w:r w:rsidR="00220066" w:rsidRPr="00572457">
        <w:rPr>
          <w:rFonts w:cstheme="minorHAnsi"/>
          <w:sz w:val="24"/>
          <w:szCs w:val="24"/>
          <w:lang w:val="el-GR"/>
        </w:rPr>
        <w:t>.</w:t>
      </w:r>
    </w:p>
    <w:p w14:paraId="4764BD2A" w14:textId="77777777" w:rsidR="00220066" w:rsidRPr="00572457" w:rsidRDefault="00220066" w:rsidP="00220066">
      <w:pPr>
        <w:pStyle w:val="ListParagraph"/>
        <w:rPr>
          <w:rFonts w:cstheme="minorHAnsi"/>
          <w:sz w:val="24"/>
          <w:szCs w:val="24"/>
          <w:lang w:val="el-GR"/>
        </w:rPr>
      </w:pPr>
    </w:p>
    <w:p w14:paraId="3471AB18" w14:textId="5C7EDF41" w:rsidR="009A3A90" w:rsidRPr="00CC2F30" w:rsidRDefault="00572457" w:rsidP="009A3A90">
      <w:pPr>
        <w:widowControl w:val="0"/>
        <w:numPr>
          <w:ilvl w:val="0"/>
          <w:numId w:val="1"/>
        </w:numPr>
        <w:tabs>
          <w:tab w:val="left" w:pos="709"/>
        </w:tabs>
        <w:ind w:left="0" w:firstLine="0"/>
        <w:rPr>
          <w:rFonts w:cstheme="minorHAnsi"/>
          <w:b/>
          <w:bCs/>
          <w:sz w:val="24"/>
          <w:szCs w:val="24"/>
          <w:lang w:val="el-GR"/>
        </w:rPr>
      </w:pPr>
      <w:r>
        <w:rPr>
          <w:rFonts w:cstheme="minorHAnsi"/>
          <w:sz w:val="24"/>
          <w:szCs w:val="24"/>
          <w:lang w:val="el-GR"/>
        </w:rPr>
        <w:t>Η</w:t>
      </w:r>
      <w:r w:rsidR="00220066" w:rsidRPr="00572457">
        <w:rPr>
          <w:rFonts w:cstheme="minorHAnsi"/>
          <w:sz w:val="24"/>
          <w:szCs w:val="24"/>
          <w:lang w:val="el-GR"/>
        </w:rPr>
        <w:t xml:space="preserve"> </w:t>
      </w:r>
      <w:r w:rsidR="00220066" w:rsidRPr="009A3A90">
        <w:rPr>
          <w:rFonts w:cstheme="minorHAnsi"/>
          <w:sz w:val="24"/>
          <w:szCs w:val="24"/>
        </w:rPr>
        <w:t>GET</w:t>
      </w:r>
      <w:r w:rsidR="00220066" w:rsidRPr="00572457">
        <w:rPr>
          <w:rFonts w:cstheme="minorHAnsi"/>
          <w:sz w:val="24"/>
          <w:szCs w:val="24"/>
          <w:lang w:val="el-GR"/>
        </w:rPr>
        <w:t xml:space="preserve"> </w:t>
      </w:r>
      <w:r>
        <w:rPr>
          <w:rFonts w:cstheme="minorHAnsi"/>
          <w:sz w:val="24"/>
          <w:szCs w:val="24"/>
          <w:lang w:val="el-GR"/>
        </w:rPr>
        <w:t>καλωσορίζει</w:t>
      </w:r>
      <w:r w:rsidRPr="00572457">
        <w:rPr>
          <w:rFonts w:cstheme="minorHAnsi"/>
          <w:sz w:val="24"/>
          <w:szCs w:val="24"/>
          <w:lang w:val="el-GR"/>
        </w:rPr>
        <w:t xml:space="preserve"> </w:t>
      </w:r>
      <w:r>
        <w:rPr>
          <w:rFonts w:cstheme="minorHAnsi"/>
          <w:sz w:val="24"/>
          <w:szCs w:val="24"/>
          <w:lang w:val="el-GR"/>
        </w:rPr>
        <w:t>την</w:t>
      </w:r>
      <w:r w:rsidRPr="00572457">
        <w:rPr>
          <w:rFonts w:cstheme="minorHAnsi"/>
          <w:sz w:val="24"/>
          <w:szCs w:val="24"/>
          <w:lang w:val="el-GR"/>
        </w:rPr>
        <w:t xml:space="preserve"> </w:t>
      </w:r>
      <w:r>
        <w:rPr>
          <w:rFonts w:cstheme="minorHAnsi"/>
          <w:sz w:val="24"/>
          <w:szCs w:val="24"/>
          <w:lang w:val="el-GR"/>
        </w:rPr>
        <w:t>ενσωμάτωση</w:t>
      </w:r>
      <w:r w:rsidRPr="00572457">
        <w:rPr>
          <w:rFonts w:cstheme="minorHAnsi"/>
          <w:sz w:val="24"/>
          <w:szCs w:val="24"/>
          <w:lang w:val="el-GR"/>
        </w:rPr>
        <w:t xml:space="preserve"> </w:t>
      </w:r>
      <w:r>
        <w:rPr>
          <w:rFonts w:cstheme="minorHAnsi"/>
          <w:sz w:val="24"/>
          <w:szCs w:val="24"/>
          <w:lang w:val="el-GR"/>
        </w:rPr>
        <w:t>και</w:t>
      </w:r>
      <w:r w:rsidRPr="00572457">
        <w:rPr>
          <w:rFonts w:cstheme="minorHAnsi"/>
          <w:sz w:val="24"/>
          <w:szCs w:val="24"/>
          <w:lang w:val="el-GR"/>
        </w:rPr>
        <w:t xml:space="preserve"> </w:t>
      </w:r>
      <w:r>
        <w:rPr>
          <w:rFonts w:cstheme="minorHAnsi"/>
          <w:sz w:val="24"/>
          <w:szCs w:val="24"/>
          <w:lang w:val="el-GR"/>
        </w:rPr>
        <w:t>προώθηση</w:t>
      </w:r>
      <w:r w:rsidRPr="00572457">
        <w:rPr>
          <w:rFonts w:cstheme="minorHAnsi"/>
          <w:sz w:val="24"/>
          <w:szCs w:val="24"/>
          <w:lang w:val="el-GR"/>
        </w:rPr>
        <w:t xml:space="preserve"> </w:t>
      </w:r>
      <w:r>
        <w:rPr>
          <w:rFonts w:cstheme="minorHAnsi"/>
          <w:sz w:val="24"/>
          <w:szCs w:val="24"/>
          <w:lang w:val="el-GR"/>
        </w:rPr>
        <w:t>ενός</w:t>
      </w:r>
      <w:r w:rsidRPr="00572457">
        <w:rPr>
          <w:rFonts w:cstheme="minorHAnsi"/>
          <w:sz w:val="24"/>
          <w:szCs w:val="24"/>
          <w:lang w:val="el-GR"/>
        </w:rPr>
        <w:t xml:space="preserve"> </w:t>
      </w:r>
      <w:r>
        <w:rPr>
          <w:rFonts w:cstheme="minorHAnsi"/>
          <w:sz w:val="24"/>
          <w:szCs w:val="24"/>
          <w:lang w:val="el-GR"/>
        </w:rPr>
        <w:t>νέου</w:t>
      </w:r>
      <w:r w:rsidRPr="00572457">
        <w:rPr>
          <w:rFonts w:cstheme="minorHAnsi"/>
          <w:sz w:val="24"/>
          <w:szCs w:val="24"/>
          <w:lang w:val="el-GR"/>
        </w:rPr>
        <w:t xml:space="preserve"> </w:t>
      </w:r>
      <w:r>
        <w:rPr>
          <w:rFonts w:cstheme="minorHAnsi"/>
          <w:sz w:val="24"/>
          <w:szCs w:val="24"/>
          <w:lang w:val="el-GR"/>
        </w:rPr>
        <w:t>Κώδικα</w:t>
      </w:r>
      <w:r w:rsidRPr="00572457">
        <w:rPr>
          <w:rFonts w:cstheme="minorHAnsi"/>
          <w:sz w:val="24"/>
          <w:szCs w:val="24"/>
          <w:lang w:val="el-GR"/>
        </w:rPr>
        <w:t xml:space="preserve"> </w:t>
      </w:r>
      <w:r>
        <w:rPr>
          <w:rFonts w:cstheme="minorHAnsi"/>
          <w:sz w:val="24"/>
          <w:szCs w:val="24"/>
          <w:lang w:val="el-GR"/>
        </w:rPr>
        <w:t>Ηθικής</w:t>
      </w:r>
      <w:r w:rsidRPr="00572457">
        <w:rPr>
          <w:rFonts w:cstheme="minorHAnsi"/>
          <w:sz w:val="24"/>
          <w:szCs w:val="24"/>
          <w:lang w:val="el-GR"/>
        </w:rPr>
        <w:t xml:space="preserve"> </w:t>
      </w:r>
      <w:r>
        <w:rPr>
          <w:rFonts w:cstheme="minorHAnsi"/>
          <w:sz w:val="24"/>
          <w:szCs w:val="24"/>
          <w:lang w:val="el-GR"/>
        </w:rPr>
        <w:t>της</w:t>
      </w:r>
      <w:r w:rsidRPr="00572457">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Pr="00572457">
        <w:rPr>
          <w:rFonts w:cstheme="minorHAnsi"/>
          <w:sz w:val="24"/>
          <w:szCs w:val="24"/>
          <w:lang w:val="el-GR"/>
        </w:rPr>
        <w:t xml:space="preserve"> </w:t>
      </w:r>
      <w:r>
        <w:rPr>
          <w:rFonts w:cstheme="minorHAnsi"/>
          <w:sz w:val="24"/>
          <w:szCs w:val="24"/>
          <w:lang w:val="el-GR"/>
        </w:rPr>
        <w:t>κατά της Διαφθοράς</w:t>
      </w:r>
      <w:r w:rsidR="00220066" w:rsidRPr="00572457">
        <w:rPr>
          <w:rFonts w:cstheme="minorHAnsi"/>
          <w:sz w:val="24"/>
          <w:szCs w:val="24"/>
          <w:lang w:val="el-GR"/>
        </w:rPr>
        <w:t>.</w:t>
      </w:r>
      <w:r w:rsidR="00192743" w:rsidRPr="00572457">
        <w:rPr>
          <w:rFonts w:cstheme="minorHAnsi"/>
          <w:sz w:val="24"/>
          <w:szCs w:val="24"/>
          <w:lang w:val="el-GR"/>
        </w:rPr>
        <w:t xml:space="preserve"> </w:t>
      </w:r>
      <w:r>
        <w:rPr>
          <w:rFonts w:cstheme="minorHAnsi"/>
          <w:sz w:val="24"/>
          <w:szCs w:val="24"/>
          <w:lang w:val="el-GR"/>
        </w:rPr>
        <w:t>Οι</w:t>
      </w:r>
      <w:r w:rsidRPr="00CC2F30">
        <w:rPr>
          <w:rFonts w:cstheme="minorHAnsi"/>
          <w:sz w:val="24"/>
          <w:szCs w:val="24"/>
          <w:lang w:val="el-GR"/>
        </w:rPr>
        <w:t xml:space="preserve"> </w:t>
      </w:r>
      <w:r>
        <w:rPr>
          <w:rFonts w:cstheme="minorHAnsi"/>
          <w:sz w:val="24"/>
          <w:szCs w:val="24"/>
          <w:lang w:val="el-GR"/>
        </w:rPr>
        <w:t>αρχές</w:t>
      </w:r>
      <w:r w:rsidRPr="00CC2F30">
        <w:rPr>
          <w:rFonts w:cstheme="minorHAnsi"/>
          <w:sz w:val="24"/>
          <w:szCs w:val="24"/>
          <w:lang w:val="el-GR"/>
        </w:rPr>
        <w:t xml:space="preserve"> </w:t>
      </w:r>
      <w:r>
        <w:rPr>
          <w:rFonts w:cstheme="minorHAnsi"/>
          <w:sz w:val="24"/>
          <w:szCs w:val="24"/>
          <w:lang w:val="el-GR"/>
        </w:rPr>
        <w:t>παρέθεσαν</w:t>
      </w:r>
      <w:r w:rsidRPr="00CC2F30">
        <w:rPr>
          <w:rFonts w:cstheme="minorHAnsi"/>
          <w:sz w:val="24"/>
          <w:szCs w:val="24"/>
          <w:lang w:val="el-GR"/>
        </w:rPr>
        <w:t xml:space="preserve"> </w:t>
      </w:r>
      <w:r>
        <w:rPr>
          <w:rFonts w:cstheme="minorHAnsi"/>
          <w:sz w:val="24"/>
          <w:szCs w:val="24"/>
          <w:lang w:val="el-GR"/>
        </w:rPr>
        <w:t>λεπτομέρειες</w:t>
      </w:r>
      <w:r w:rsidR="00192743" w:rsidRPr="00CC2F30">
        <w:rPr>
          <w:rFonts w:cstheme="minorHAnsi"/>
          <w:sz w:val="24"/>
          <w:szCs w:val="24"/>
          <w:lang w:val="el-GR"/>
        </w:rPr>
        <w:t xml:space="preserve"> </w:t>
      </w:r>
      <w:r>
        <w:rPr>
          <w:rFonts w:cstheme="minorHAnsi"/>
          <w:sz w:val="24"/>
          <w:szCs w:val="24"/>
          <w:lang w:val="el-GR"/>
        </w:rPr>
        <w:t>για</w:t>
      </w:r>
      <w:r w:rsidRPr="00CC2F30">
        <w:rPr>
          <w:rFonts w:cstheme="minorHAnsi"/>
          <w:sz w:val="24"/>
          <w:szCs w:val="24"/>
          <w:lang w:val="el-GR"/>
        </w:rPr>
        <w:t xml:space="preserve"> </w:t>
      </w:r>
      <w:r>
        <w:rPr>
          <w:rFonts w:cstheme="minorHAnsi"/>
          <w:sz w:val="24"/>
          <w:szCs w:val="24"/>
          <w:lang w:val="el-GR"/>
        </w:rPr>
        <w:t>εκπαιδευτικές</w:t>
      </w:r>
      <w:r w:rsidRPr="00CC2F30">
        <w:rPr>
          <w:rFonts w:cstheme="minorHAnsi"/>
          <w:sz w:val="24"/>
          <w:szCs w:val="24"/>
          <w:lang w:val="el-GR"/>
        </w:rPr>
        <w:t xml:space="preserve"> </w:t>
      </w:r>
      <w:r>
        <w:rPr>
          <w:rFonts w:cstheme="minorHAnsi"/>
          <w:sz w:val="24"/>
          <w:szCs w:val="24"/>
          <w:lang w:val="el-GR"/>
        </w:rPr>
        <w:t>συνεδρίες</w:t>
      </w:r>
      <w:r w:rsidR="00192743" w:rsidRPr="00CC2F30">
        <w:rPr>
          <w:rFonts w:cstheme="minorHAnsi"/>
          <w:sz w:val="24"/>
          <w:szCs w:val="24"/>
          <w:lang w:val="el-GR"/>
        </w:rPr>
        <w:t xml:space="preserve"> </w:t>
      </w:r>
      <w:r w:rsidR="00CC2F30">
        <w:rPr>
          <w:rFonts w:cstheme="minorHAnsi"/>
          <w:sz w:val="24"/>
          <w:szCs w:val="24"/>
          <w:lang w:val="el-GR"/>
        </w:rPr>
        <w:t>πάνω σε θέματα ηθικής και άλλων θεμάτων που σχετίζονται με την ακεραιότητα</w:t>
      </w:r>
      <w:r w:rsidR="00192743" w:rsidRPr="00CC2F30">
        <w:rPr>
          <w:rFonts w:cstheme="minorHAnsi"/>
          <w:sz w:val="24"/>
          <w:szCs w:val="24"/>
          <w:lang w:val="el-GR"/>
        </w:rPr>
        <w:t xml:space="preserve">. </w:t>
      </w:r>
      <w:r w:rsidR="00CC2F30">
        <w:rPr>
          <w:rFonts w:cstheme="minorHAnsi"/>
          <w:sz w:val="24"/>
          <w:szCs w:val="24"/>
          <w:lang w:val="el-GR"/>
        </w:rPr>
        <w:t>Ένα</w:t>
      </w:r>
      <w:r w:rsidR="00CC2F30" w:rsidRPr="00CC2F30">
        <w:rPr>
          <w:rFonts w:cstheme="minorHAnsi"/>
          <w:sz w:val="24"/>
          <w:szCs w:val="24"/>
          <w:lang w:val="el-GR"/>
        </w:rPr>
        <w:t xml:space="preserve"> </w:t>
      </w:r>
      <w:r w:rsidR="00CC2F30">
        <w:rPr>
          <w:rFonts w:cstheme="minorHAnsi"/>
          <w:sz w:val="24"/>
          <w:szCs w:val="24"/>
          <w:lang w:val="el-GR"/>
        </w:rPr>
        <w:t>σύνολο</w:t>
      </w:r>
      <w:r w:rsidR="009A3A90" w:rsidRPr="00CC2F30">
        <w:rPr>
          <w:rFonts w:cstheme="minorHAnsi"/>
          <w:sz w:val="24"/>
          <w:szCs w:val="24"/>
          <w:lang w:val="el-GR"/>
        </w:rPr>
        <w:t xml:space="preserve"> 1</w:t>
      </w:r>
      <w:r w:rsidR="00981A2D" w:rsidRPr="00CC2F30">
        <w:rPr>
          <w:rFonts w:cstheme="minorHAnsi"/>
          <w:sz w:val="24"/>
          <w:szCs w:val="24"/>
          <w:lang w:val="el-GR"/>
        </w:rPr>
        <w:t xml:space="preserve"> </w:t>
      </w:r>
      <w:r w:rsidR="009A3A90" w:rsidRPr="00CC2F30">
        <w:rPr>
          <w:rFonts w:cstheme="minorHAnsi"/>
          <w:sz w:val="24"/>
          <w:szCs w:val="24"/>
          <w:lang w:val="el-GR"/>
        </w:rPr>
        <w:t xml:space="preserve">740 </w:t>
      </w:r>
      <w:r w:rsidR="00CC2F30">
        <w:rPr>
          <w:rFonts w:cstheme="minorHAnsi"/>
          <w:sz w:val="24"/>
          <w:szCs w:val="24"/>
          <w:lang w:val="el-GR"/>
        </w:rPr>
        <w:t>αστυνομικών</w:t>
      </w:r>
      <w:r w:rsidR="00CC2F30" w:rsidRPr="00CC2F30">
        <w:rPr>
          <w:rFonts w:cstheme="minorHAnsi"/>
          <w:sz w:val="24"/>
          <w:szCs w:val="24"/>
          <w:lang w:val="el-GR"/>
        </w:rPr>
        <w:t xml:space="preserve"> </w:t>
      </w:r>
      <w:r w:rsidR="00CC2F30">
        <w:rPr>
          <w:rFonts w:cstheme="minorHAnsi"/>
          <w:sz w:val="24"/>
          <w:szCs w:val="24"/>
          <w:lang w:val="el-GR"/>
        </w:rPr>
        <w:t>έχουν</w:t>
      </w:r>
      <w:r w:rsidR="00CC2F30" w:rsidRPr="00CC2F30">
        <w:rPr>
          <w:rFonts w:cstheme="minorHAnsi"/>
          <w:sz w:val="24"/>
          <w:szCs w:val="24"/>
          <w:lang w:val="el-GR"/>
        </w:rPr>
        <w:t xml:space="preserve"> </w:t>
      </w:r>
      <w:r w:rsidR="00CC2F30">
        <w:rPr>
          <w:rFonts w:cstheme="minorHAnsi"/>
          <w:sz w:val="24"/>
          <w:szCs w:val="24"/>
          <w:lang w:val="el-GR"/>
        </w:rPr>
        <w:t>συμμετάσχει</w:t>
      </w:r>
      <w:r w:rsidR="00CC2F30" w:rsidRPr="00CC2F30">
        <w:rPr>
          <w:rFonts w:cstheme="minorHAnsi"/>
          <w:sz w:val="24"/>
          <w:szCs w:val="24"/>
          <w:lang w:val="el-GR"/>
        </w:rPr>
        <w:t xml:space="preserve"> </w:t>
      </w:r>
      <w:r w:rsidR="00CC2F30">
        <w:rPr>
          <w:rFonts w:cstheme="minorHAnsi"/>
          <w:sz w:val="24"/>
          <w:szCs w:val="24"/>
          <w:lang w:val="el-GR"/>
        </w:rPr>
        <w:t>σε</w:t>
      </w:r>
      <w:r w:rsidR="00CC2F30" w:rsidRPr="00CC2F30">
        <w:rPr>
          <w:rFonts w:cstheme="minorHAnsi"/>
          <w:sz w:val="24"/>
          <w:szCs w:val="24"/>
          <w:lang w:val="el-GR"/>
        </w:rPr>
        <w:t xml:space="preserve"> </w:t>
      </w:r>
      <w:r w:rsidR="00CC2F30">
        <w:rPr>
          <w:rFonts w:cstheme="minorHAnsi"/>
          <w:sz w:val="24"/>
          <w:szCs w:val="24"/>
          <w:lang w:val="el-GR"/>
        </w:rPr>
        <w:t>εκπαίδευση</w:t>
      </w:r>
      <w:r w:rsidR="00CC2F30" w:rsidRPr="00CC2F30">
        <w:rPr>
          <w:rFonts w:cstheme="minorHAnsi"/>
          <w:sz w:val="24"/>
          <w:szCs w:val="24"/>
          <w:lang w:val="el-GR"/>
        </w:rPr>
        <w:t xml:space="preserve"> </w:t>
      </w:r>
      <w:r w:rsidR="00CC2F30">
        <w:rPr>
          <w:rFonts w:cstheme="minorHAnsi"/>
          <w:sz w:val="24"/>
          <w:szCs w:val="24"/>
          <w:lang w:val="el-GR"/>
        </w:rPr>
        <w:t>ή</w:t>
      </w:r>
      <w:r w:rsidR="00CC2F30" w:rsidRPr="00CC2F30">
        <w:rPr>
          <w:rFonts w:cstheme="minorHAnsi"/>
          <w:sz w:val="24"/>
          <w:szCs w:val="24"/>
          <w:lang w:val="el-GR"/>
        </w:rPr>
        <w:t xml:space="preserve"> </w:t>
      </w:r>
      <w:r w:rsidR="00CC2F30">
        <w:rPr>
          <w:rFonts w:cstheme="minorHAnsi"/>
          <w:sz w:val="24"/>
          <w:szCs w:val="24"/>
          <w:lang w:val="el-GR"/>
        </w:rPr>
        <w:t>σε</w:t>
      </w:r>
      <w:r w:rsidR="00CC2F30" w:rsidRPr="00CC2F30">
        <w:rPr>
          <w:rFonts w:cstheme="minorHAnsi"/>
          <w:sz w:val="24"/>
          <w:szCs w:val="24"/>
          <w:lang w:val="el-GR"/>
        </w:rPr>
        <w:t xml:space="preserve"> </w:t>
      </w:r>
      <w:r w:rsidR="00CC2F30">
        <w:rPr>
          <w:rFonts w:cstheme="minorHAnsi"/>
          <w:sz w:val="24"/>
          <w:szCs w:val="24"/>
          <w:lang w:val="el-GR"/>
        </w:rPr>
        <w:t>διαλέξεις</w:t>
      </w:r>
      <w:r w:rsidR="00CC2F30" w:rsidRPr="00CC2F30">
        <w:rPr>
          <w:rFonts w:cstheme="minorHAnsi"/>
          <w:sz w:val="24"/>
          <w:szCs w:val="24"/>
          <w:lang w:val="el-GR"/>
        </w:rPr>
        <w:t xml:space="preserve"> </w:t>
      </w:r>
      <w:r w:rsidR="00CC2F30">
        <w:rPr>
          <w:rFonts w:cstheme="minorHAnsi"/>
          <w:sz w:val="24"/>
          <w:szCs w:val="24"/>
          <w:lang w:val="el-GR"/>
        </w:rPr>
        <w:t>για</w:t>
      </w:r>
      <w:r w:rsidR="00CC2F30" w:rsidRPr="00CC2F30">
        <w:rPr>
          <w:rFonts w:cstheme="minorHAnsi"/>
          <w:sz w:val="24"/>
          <w:szCs w:val="24"/>
          <w:lang w:val="el-GR"/>
        </w:rPr>
        <w:t xml:space="preserve"> </w:t>
      </w:r>
      <w:r w:rsidR="00CC2F30">
        <w:rPr>
          <w:rFonts w:cstheme="minorHAnsi"/>
          <w:sz w:val="24"/>
          <w:szCs w:val="24"/>
          <w:lang w:val="el-GR"/>
        </w:rPr>
        <w:t>την</w:t>
      </w:r>
      <w:r w:rsidR="00CC2F30" w:rsidRPr="00CC2F30">
        <w:rPr>
          <w:rFonts w:cstheme="minorHAnsi"/>
          <w:sz w:val="24"/>
          <w:szCs w:val="24"/>
          <w:lang w:val="el-GR"/>
        </w:rPr>
        <w:t xml:space="preserve"> </w:t>
      </w:r>
      <w:r w:rsidR="00CC2F30">
        <w:rPr>
          <w:rFonts w:cstheme="minorHAnsi"/>
          <w:sz w:val="24"/>
          <w:szCs w:val="24"/>
          <w:lang w:val="el-GR"/>
        </w:rPr>
        <w:t>διαφθορά</w:t>
      </w:r>
      <w:r w:rsidR="009A3A90" w:rsidRPr="00CC2F30">
        <w:rPr>
          <w:rFonts w:cstheme="minorHAnsi"/>
          <w:sz w:val="24"/>
          <w:szCs w:val="24"/>
          <w:lang w:val="el-GR"/>
        </w:rPr>
        <w:t xml:space="preserve"> (</w:t>
      </w:r>
      <w:r w:rsidR="00CC2F30">
        <w:rPr>
          <w:rFonts w:cstheme="minorHAnsi"/>
          <w:sz w:val="24"/>
          <w:szCs w:val="24"/>
          <w:lang w:val="el-GR"/>
        </w:rPr>
        <w:t>περίπου το</w:t>
      </w:r>
      <w:r w:rsidR="009A3A90" w:rsidRPr="00CC2F30">
        <w:rPr>
          <w:rFonts w:cstheme="minorHAnsi"/>
          <w:sz w:val="24"/>
          <w:szCs w:val="24"/>
          <w:lang w:val="el-GR"/>
        </w:rPr>
        <w:t xml:space="preserve"> 35% </w:t>
      </w:r>
      <w:r w:rsidR="00CC2F30">
        <w:rPr>
          <w:rFonts w:cstheme="minorHAnsi"/>
          <w:sz w:val="24"/>
          <w:szCs w:val="24"/>
          <w:lang w:val="el-GR"/>
        </w:rPr>
        <w:t>της δύναμης</w:t>
      </w:r>
      <w:r w:rsidR="009A3A90" w:rsidRPr="00CC2F30">
        <w:rPr>
          <w:rFonts w:cstheme="minorHAnsi"/>
          <w:sz w:val="24"/>
          <w:szCs w:val="24"/>
          <w:lang w:val="el-GR"/>
        </w:rPr>
        <w:t>)</w:t>
      </w:r>
      <w:r w:rsidR="009A3A90" w:rsidRPr="00CC2F30">
        <w:rPr>
          <w:rFonts w:cstheme="minorHAnsi"/>
          <w:bCs/>
          <w:sz w:val="24"/>
          <w:szCs w:val="24"/>
          <w:lang w:val="el-GR"/>
        </w:rPr>
        <w:t>.</w:t>
      </w:r>
      <w:r w:rsidR="009A3A90" w:rsidRPr="00CC2F30">
        <w:rPr>
          <w:rFonts w:cstheme="minorHAnsi"/>
          <w:b/>
          <w:bCs/>
          <w:sz w:val="24"/>
          <w:szCs w:val="24"/>
          <w:lang w:val="el-GR"/>
        </w:rPr>
        <w:t xml:space="preserve"> </w:t>
      </w:r>
      <w:r w:rsidR="00CC2F30" w:rsidRPr="00CC2F30">
        <w:rPr>
          <w:rFonts w:cstheme="minorHAnsi"/>
          <w:bCs/>
          <w:sz w:val="24"/>
          <w:szCs w:val="24"/>
          <w:lang w:val="el-GR"/>
        </w:rPr>
        <w:t xml:space="preserve">Οι πληροφορίες </w:t>
      </w:r>
      <w:r w:rsidR="00CC2F30">
        <w:rPr>
          <w:rFonts w:cstheme="minorHAnsi"/>
          <w:sz w:val="24"/>
          <w:szCs w:val="24"/>
          <w:lang w:val="el-GR"/>
        </w:rPr>
        <w:t>που</w:t>
      </w:r>
      <w:r w:rsidR="00CC2F30" w:rsidRPr="00CC2F30">
        <w:rPr>
          <w:rFonts w:cstheme="minorHAnsi"/>
          <w:sz w:val="24"/>
          <w:szCs w:val="24"/>
          <w:lang w:val="el-GR"/>
        </w:rPr>
        <w:t xml:space="preserve"> </w:t>
      </w:r>
      <w:r w:rsidR="00CC2F30">
        <w:rPr>
          <w:rFonts w:cstheme="minorHAnsi"/>
          <w:sz w:val="24"/>
          <w:szCs w:val="24"/>
          <w:lang w:val="el-GR"/>
        </w:rPr>
        <w:t>παρέχονται</w:t>
      </w:r>
      <w:r w:rsidR="00CC2F30" w:rsidRPr="00CC2F30">
        <w:rPr>
          <w:rFonts w:cstheme="minorHAnsi"/>
          <w:sz w:val="24"/>
          <w:szCs w:val="24"/>
          <w:lang w:val="el-GR"/>
        </w:rPr>
        <w:t xml:space="preserve"> </w:t>
      </w:r>
      <w:r w:rsidR="00CC2F30">
        <w:rPr>
          <w:rFonts w:cstheme="minorHAnsi"/>
          <w:sz w:val="24"/>
          <w:szCs w:val="24"/>
          <w:lang w:val="el-GR"/>
        </w:rPr>
        <w:t>από</w:t>
      </w:r>
      <w:r w:rsidR="00CC2F30" w:rsidRPr="00CC2F30">
        <w:rPr>
          <w:rFonts w:cstheme="minorHAnsi"/>
          <w:sz w:val="24"/>
          <w:szCs w:val="24"/>
          <w:lang w:val="el-GR"/>
        </w:rPr>
        <w:t xml:space="preserve"> </w:t>
      </w:r>
      <w:r w:rsidR="00CC2F30">
        <w:rPr>
          <w:rFonts w:cstheme="minorHAnsi"/>
          <w:sz w:val="24"/>
          <w:szCs w:val="24"/>
          <w:lang w:val="el-GR"/>
        </w:rPr>
        <w:t>τις</w:t>
      </w:r>
      <w:r w:rsidR="00CC2F30" w:rsidRPr="00CC2F30">
        <w:rPr>
          <w:rFonts w:cstheme="minorHAnsi"/>
          <w:sz w:val="24"/>
          <w:szCs w:val="24"/>
          <w:lang w:val="el-GR"/>
        </w:rPr>
        <w:t xml:space="preserve"> </w:t>
      </w:r>
      <w:r w:rsidR="00CC2F30">
        <w:rPr>
          <w:rFonts w:cstheme="minorHAnsi"/>
          <w:sz w:val="24"/>
          <w:szCs w:val="24"/>
          <w:lang w:val="el-GR"/>
        </w:rPr>
        <w:t>αρχές</w:t>
      </w:r>
      <w:r w:rsidR="009A3A90" w:rsidRPr="00CC2F30">
        <w:rPr>
          <w:rFonts w:cstheme="minorHAnsi"/>
          <w:sz w:val="24"/>
          <w:szCs w:val="24"/>
          <w:lang w:val="el-GR"/>
        </w:rPr>
        <w:t xml:space="preserve"> </w:t>
      </w:r>
      <w:r w:rsidR="00CC2F30">
        <w:rPr>
          <w:rFonts w:cstheme="minorHAnsi"/>
          <w:sz w:val="24"/>
          <w:szCs w:val="24"/>
          <w:lang w:val="el-GR"/>
        </w:rPr>
        <w:t>υποδεικνύει</w:t>
      </w:r>
      <w:r w:rsidR="00CC2F30" w:rsidRPr="00CC2F30">
        <w:rPr>
          <w:rFonts w:cstheme="minorHAnsi"/>
          <w:sz w:val="24"/>
          <w:szCs w:val="24"/>
          <w:lang w:val="el-GR"/>
        </w:rPr>
        <w:t xml:space="preserve"> </w:t>
      </w:r>
      <w:r w:rsidR="00CC2F30">
        <w:rPr>
          <w:rFonts w:cstheme="minorHAnsi"/>
          <w:sz w:val="24"/>
          <w:szCs w:val="24"/>
          <w:lang w:val="el-GR"/>
        </w:rPr>
        <w:t>ότι</w:t>
      </w:r>
      <w:r w:rsidR="00CC2F30" w:rsidRPr="00CC2F30">
        <w:rPr>
          <w:rFonts w:cstheme="minorHAnsi"/>
          <w:sz w:val="24"/>
          <w:szCs w:val="24"/>
          <w:lang w:val="el-GR"/>
        </w:rPr>
        <w:t xml:space="preserve"> </w:t>
      </w:r>
      <w:r w:rsidR="00CC2F30">
        <w:rPr>
          <w:rFonts w:cstheme="minorHAnsi"/>
          <w:sz w:val="24"/>
          <w:szCs w:val="24"/>
          <w:lang w:val="el-GR"/>
        </w:rPr>
        <w:t>η</w:t>
      </w:r>
      <w:r w:rsidR="00CC2F30" w:rsidRPr="00CC2F30">
        <w:rPr>
          <w:rFonts w:cstheme="minorHAnsi"/>
          <w:sz w:val="24"/>
          <w:szCs w:val="24"/>
          <w:lang w:val="el-GR"/>
        </w:rPr>
        <w:t xml:space="preserve"> </w:t>
      </w:r>
      <w:r w:rsidR="00CC2F30">
        <w:rPr>
          <w:rFonts w:cstheme="minorHAnsi"/>
          <w:sz w:val="24"/>
          <w:szCs w:val="24"/>
          <w:lang w:val="el-GR"/>
        </w:rPr>
        <w:t>εκπαίδευση</w:t>
      </w:r>
      <w:r w:rsidR="00CC2F30" w:rsidRPr="00CC2F30">
        <w:rPr>
          <w:rFonts w:cstheme="minorHAnsi"/>
          <w:sz w:val="24"/>
          <w:szCs w:val="24"/>
          <w:lang w:val="el-GR"/>
        </w:rPr>
        <w:t xml:space="preserve"> </w:t>
      </w:r>
      <w:r w:rsidR="00CC2F30">
        <w:rPr>
          <w:rFonts w:cstheme="minorHAnsi"/>
          <w:sz w:val="24"/>
          <w:szCs w:val="24"/>
          <w:lang w:val="el-GR"/>
        </w:rPr>
        <w:t>που</w:t>
      </w:r>
      <w:r w:rsidR="00CC2F30" w:rsidRPr="00CC2F30">
        <w:rPr>
          <w:rFonts w:cstheme="minorHAnsi"/>
          <w:sz w:val="24"/>
          <w:szCs w:val="24"/>
          <w:lang w:val="el-GR"/>
        </w:rPr>
        <w:t xml:space="preserve"> </w:t>
      </w:r>
      <w:r w:rsidR="00CC2F30">
        <w:rPr>
          <w:rFonts w:cstheme="minorHAnsi"/>
          <w:sz w:val="24"/>
          <w:szCs w:val="24"/>
          <w:lang w:val="el-GR"/>
        </w:rPr>
        <w:t>παρέχεται</w:t>
      </w:r>
      <w:r w:rsidR="009A3A90" w:rsidRPr="00CC2F30">
        <w:rPr>
          <w:rFonts w:cstheme="minorHAnsi"/>
          <w:sz w:val="24"/>
          <w:szCs w:val="24"/>
          <w:lang w:val="el-GR"/>
        </w:rPr>
        <w:t xml:space="preserve"> </w:t>
      </w:r>
      <w:r w:rsidR="00CC2F30">
        <w:rPr>
          <w:rFonts w:cstheme="minorHAnsi"/>
          <w:sz w:val="24"/>
          <w:szCs w:val="24"/>
          <w:lang w:val="el-GR"/>
        </w:rPr>
        <w:t xml:space="preserve">είναι μάλλον περιεκτική για τους </w:t>
      </w:r>
      <w:proofErr w:type="spellStart"/>
      <w:r w:rsidR="00CC2F30">
        <w:rPr>
          <w:rFonts w:cstheme="minorHAnsi"/>
          <w:sz w:val="24"/>
          <w:szCs w:val="24"/>
          <w:lang w:val="el-GR"/>
        </w:rPr>
        <w:t>νεο-προσληφθέντες</w:t>
      </w:r>
      <w:proofErr w:type="spellEnd"/>
      <w:r w:rsidR="00CC2F30">
        <w:rPr>
          <w:rFonts w:cstheme="minorHAnsi"/>
          <w:sz w:val="24"/>
          <w:szCs w:val="24"/>
          <w:lang w:val="el-GR"/>
        </w:rPr>
        <w:t xml:space="preserve"> και συμπεριλαμβάνει περιπτωσιολογικές μελέτες</w:t>
      </w:r>
      <w:r w:rsidR="00192743" w:rsidRPr="00CC2F30">
        <w:rPr>
          <w:rFonts w:cstheme="minorHAnsi"/>
          <w:sz w:val="24"/>
          <w:szCs w:val="24"/>
          <w:lang w:val="el-GR"/>
        </w:rPr>
        <w:t xml:space="preserve">. </w:t>
      </w:r>
      <w:r w:rsidR="00CC2F30">
        <w:rPr>
          <w:rFonts w:cstheme="minorHAnsi"/>
          <w:sz w:val="24"/>
          <w:szCs w:val="24"/>
          <w:lang w:val="el-GR"/>
        </w:rPr>
        <w:t>Ωστόσο</w:t>
      </w:r>
      <w:r w:rsidR="00220066" w:rsidRPr="00CC2F30">
        <w:rPr>
          <w:rFonts w:cstheme="minorHAnsi"/>
          <w:sz w:val="24"/>
          <w:szCs w:val="24"/>
          <w:lang w:val="el-GR"/>
        </w:rPr>
        <w:t>,</w:t>
      </w:r>
      <w:r w:rsidR="00192743" w:rsidRPr="00CC2F30">
        <w:rPr>
          <w:rFonts w:cstheme="minorHAnsi"/>
          <w:sz w:val="24"/>
          <w:szCs w:val="24"/>
          <w:lang w:val="el-GR"/>
        </w:rPr>
        <w:t xml:space="preserve"> </w:t>
      </w:r>
      <w:r w:rsidR="00CC2F30">
        <w:rPr>
          <w:rFonts w:cstheme="minorHAnsi"/>
          <w:sz w:val="24"/>
          <w:szCs w:val="24"/>
          <w:lang w:val="el-GR"/>
        </w:rPr>
        <w:t>υπάρχουν</w:t>
      </w:r>
      <w:r w:rsidR="00CC2F30" w:rsidRPr="00CC2F30">
        <w:rPr>
          <w:rFonts w:cstheme="minorHAnsi"/>
          <w:sz w:val="24"/>
          <w:szCs w:val="24"/>
          <w:lang w:val="el-GR"/>
        </w:rPr>
        <w:t xml:space="preserve"> </w:t>
      </w:r>
      <w:r w:rsidR="00CC2F30">
        <w:rPr>
          <w:rFonts w:cstheme="minorHAnsi"/>
          <w:sz w:val="24"/>
          <w:szCs w:val="24"/>
          <w:lang w:val="el-GR"/>
        </w:rPr>
        <w:t>πιο</w:t>
      </w:r>
      <w:r w:rsidR="00CC2F30" w:rsidRPr="00CC2F30">
        <w:rPr>
          <w:rFonts w:cstheme="minorHAnsi"/>
          <w:sz w:val="24"/>
          <w:szCs w:val="24"/>
          <w:lang w:val="el-GR"/>
        </w:rPr>
        <w:t xml:space="preserve"> </w:t>
      </w:r>
      <w:r w:rsidR="00CC2F30">
        <w:rPr>
          <w:rFonts w:cstheme="minorHAnsi"/>
          <w:sz w:val="24"/>
          <w:szCs w:val="24"/>
          <w:lang w:val="el-GR"/>
        </w:rPr>
        <w:t>λίγα</w:t>
      </w:r>
      <w:r w:rsidR="00CC2F30" w:rsidRPr="00CC2F30">
        <w:rPr>
          <w:rFonts w:cstheme="minorHAnsi"/>
          <w:sz w:val="24"/>
          <w:szCs w:val="24"/>
          <w:lang w:val="el-GR"/>
        </w:rPr>
        <w:t xml:space="preserve"> </w:t>
      </w:r>
      <w:r w:rsidR="00CC2F30">
        <w:rPr>
          <w:rFonts w:cstheme="minorHAnsi"/>
          <w:sz w:val="24"/>
          <w:szCs w:val="24"/>
          <w:lang w:val="el-GR"/>
        </w:rPr>
        <w:t>αποδεικτικά</w:t>
      </w:r>
      <w:r w:rsidR="00CC2F30" w:rsidRPr="00CC2F30">
        <w:rPr>
          <w:rFonts w:cstheme="minorHAnsi"/>
          <w:sz w:val="24"/>
          <w:szCs w:val="24"/>
          <w:lang w:val="el-GR"/>
        </w:rPr>
        <w:t xml:space="preserve"> </w:t>
      </w:r>
      <w:r w:rsidR="00CC2F30">
        <w:rPr>
          <w:rFonts w:cstheme="minorHAnsi"/>
          <w:sz w:val="24"/>
          <w:szCs w:val="24"/>
          <w:lang w:val="el-GR"/>
        </w:rPr>
        <w:t>ότι</w:t>
      </w:r>
      <w:r w:rsidR="00CC2F30" w:rsidRPr="00CC2F30">
        <w:rPr>
          <w:rFonts w:cstheme="minorHAnsi"/>
          <w:sz w:val="24"/>
          <w:szCs w:val="24"/>
          <w:lang w:val="el-GR"/>
        </w:rPr>
        <w:t xml:space="preserve"> </w:t>
      </w:r>
      <w:r w:rsidR="00CC2F30">
        <w:rPr>
          <w:rFonts w:cstheme="minorHAnsi"/>
          <w:sz w:val="24"/>
          <w:szCs w:val="24"/>
          <w:lang w:val="el-GR"/>
        </w:rPr>
        <w:t>αξιωματούχοι</w:t>
      </w:r>
      <w:r w:rsidR="00CC2F30" w:rsidRPr="00CC2F30">
        <w:rPr>
          <w:rFonts w:cstheme="minorHAnsi"/>
          <w:sz w:val="24"/>
          <w:szCs w:val="24"/>
          <w:lang w:val="el-GR"/>
        </w:rPr>
        <w:t xml:space="preserve"> </w:t>
      </w:r>
      <w:r w:rsidR="00CC2F30">
        <w:rPr>
          <w:rFonts w:cstheme="minorHAnsi"/>
          <w:sz w:val="24"/>
          <w:szCs w:val="24"/>
          <w:lang w:val="el-GR"/>
        </w:rPr>
        <w:t>παρακολουθούν</w:t>
      </w:r>
      <w:r w:rsidR="00192743" w:rsidRPr="00CC2F30">
        <w:rPr>
          <w:rFonts w:cstheme="minorHAnsi"/>
          <w:sz w:val="24"/>
          <w:szCs w:val="24"/>
          <w:lang w:val="el-GR"/>
        </w:rPr>
        <w:t xml:space="preserve"> </w:t>
      </w:r>
      <w:r w:rsidR="00CC2F30">
        <w:rPr>
          <w:rFonts w:cstheme="minorHAnsi"/>
          <w:sz w:val="24"/>
          <w:szCs w:val="24"/>
          <w:lang w:val="el-GR"/>
        </w:rPr>
        <w:t xml:space="preserve">εκπαίδευση στην ηθική πάνω σε τακτική βάση </w:t>
      </w:r>
      <w:proofErr w:type="spellStart"/>
      <w:r w:rsidR="00CC2F30">
        <w:rPr>
          <w:rFonts w:cstheme="minorHAnsi"/>
          <w:sz w:val="24"/>
          <w:szCs w:val="24"/>
          <w:lang w:val="el-GR"/>
        </w:rPr>
        <w:t>ενδο</w:t>
      </w:r>
      <w:proofErr w:type="spellEnd"/>
      <w:r w:rsidR="00CC2F30">
        <w:rPr>
          <w:rFonts w:cstheme="minorHAnsi"/>
          <w:sz w:val="24"/>
          <w:szCs w:val="24"/>
          <w:lang w:val="el-GR"/>
        </w:rPr>
        <w:t>-υπηρεσιακά</w:t>
      </w:r>
      <w:r w:rsidR="00192743" w:rsidRPr="00CC2F30">
        <w:rPr>
          <w:rFonts w:cstheme="minorHAnsi"/>
          <w:sz w:val="24"/>
          <w:szCs w:val="24"/>
          <w:lang w:val="el-GR"/>
        </w:rPr>
        <w:t xml:space="preserve">. </w:t>
      </w:r>
      <w:r w:rsidR="00CC2F30">
        <w:rPr>
          <w:rFonts w:cstheme="minorHAnsi"/>
          <w:sz w:val="24"/>
          <w:szCs w:val="24"/>
          <w:lang w:val="el-GR"/>
        </w:rPr>
        <w:t>Τα</w:t>
      </w:r>
      <w:r w:rsidR="00CC2F30" w:rsidRPr="00CC2F30">
        <w:rPr>
          <w:rFonts w:cstheme="minorHAnsi"/>
          <w:sz w:val="24"/>
          <w:szCs w:val="24"/>
          <w:lang w:val="el-GR"/>
        </w:rPr>
        <w:t xml:space="preserve"> </w:t>
      </w:r>
      <w:r w:rsidR="00CC2F30">
        <w:rPr>
          <w:rFonts w:cstheme="minorHAnsi"/>
          <w:sz w:val="24"/>
          <w:szCs w:val="24"/>
          <w:lang w:val="el-GR"/>
        </w:rPr>
        <w:t>στοιχεία</w:t>
      </w:r>
      <w:r w:rsidR="00CC2F30" w:rsidRPr="00CC2F30">
        <w:rPr>
          <w:rFonts w:cstheme="minorHAnsi"/>
          <w:sz w:val="24"/>
          <w:szCs w:val="24"/>
          <w:lang w:val="el-GR"/>
        </w:rPr>
        <w:t xml:space="preserve"> </w:t>
      </w:r>
      <w:r w:rsidR="00CC2F30">
        <w:rPr>
          <w:rFonts w:cstheme="minorHAnsi"/>
          <w:sz w:val="24"/>
          <w:szCs w:val="24"/>
          <w:lang w:val="el-GR"/>
        </w:rPr>
        <w:t>που</w:t>
      </w:r>
      <w:r w:rsidR="00CC2F30" w:rsidRPr="00CC2F30">
        <w:rPr>
          <w:rFonts w:cstheme="minorHAnsi"/>
          <w:sz w:val="24"/>
          <w:szCs w:val="24"/>
          <w:lang w:val="el-GR"/>
        </w:rPr>
        <w:t xml:space="preserve"> </w:t>
      </w:r>
      <w:r w:rsidR="00CC2F30">
        <w:rPr>
          <w:rFonts w:cstheme="minorHAnsi"/>
          <w:sz w:val="24"/>
          <w:szCs w:val="24"/>
          <w:lang w:val="el-GR"/>
        </w:rPr>
        <w:t>δόθηκαν</w:t>
      </w:r>
      <w:r w:rsidR="00192743" w:rsidRPr="00CC2F30">
        <w:rPr>
          <w:rFonts w:cstheme="minorHAnsi"/>
          <w:sz w:val="24"/>
          <w:szCs w:val="24"/>
          <w:lang w:val="el-GR"/>
        </w:rPr>
        <w:t xml:space="preserve"> </w:t>
      </w:r>
      <w:r w:rsidR="00CC2F30">
        <w:rPr>
          <w:rFonts w:cstheme="minorHAnsi"/>
          <w:sz w:val="24"/>
          <w:szCs w:val="24"/>
          <w:lang w:val="el-GR"/>
        </w:rPr>
        <w:t>από</w:t>
      </w:r>
      <w:r w:rsidR="00CC2F30" w:rsidRPr="00CC2F30">
        <w:rPr>
          <w:rFonts w:cstheme="minorHAnsi"/>
          <w:sz w:val="24"/>
          <w:szCs w:val="24"/>
          <w:lang w:val="el-GR"/>
        </w:rPr>
        <w:t xml:space="preserve"> </w:t>
      </w:r>
      <w:r w:rsidR="00CC2F30">
        <w:rPr>
          <w:rFonts w:cstheme="minorHAnsi"/>
          <w:sz w:val="24"/>
          <w:szCs w:val="24"/>
          <w:lang w:val="el-GR"/>
        </w:rPr>
        <w:t>την</w:t>
      </w:r>
      <w:r w:rsidR="00CC2F30" w:rsidRPr="00CC2F30">
        <w:rPr>
          <w:rFonts w:cstheme="minorHAnsi"/>
          <w:sz w:val="24"/>
          <w:szCs w:val="24"/>
          <w:lang w:val="el-GR"/>
        </w:rPr>
        <w:t xml:space="preserve"> </w:t>
      </w:r>
      <w:r w:rsidR="00CC2F30">
        <w:rPr>
          <w:rFonts w:cstheme="minorHAnsi"/>
          <w:sz w:val="24"/>
          <w:szCs w:val="24"/>
          <w:lang w:val="el-GR"/>
        </w:rPr>
        <w:t>άποψη</w:t>
      </w:r>
      <w:r w:rsidR="00CC2F30" w:rsidRPr="00CC2F30">
        <w:rPr>
          <w:rFonts w:cstheme="minorHAnsi"/>
          <w:sz w:val="24"/>
          <w:szCs w:val="24"/>
          <w:lang w:val="el-GR"/>
        </w:rPr>
        <w:t xml:space="preserve"> </w:t>
      </w:r>
      <w:r w:rsidR="00CC2F30">
        <w:rPr>
          <w:rFonts w:cstheme="minorHAnsi"/>
          <w:sz w:val="24"/>
          <w:szCs w:val="24"/>
          <w:lang w:val="el-GR"/>
        </w:rPr>
        <w:t>αυτή</w:t>
      </w:r>
      <w:r w:rsidR="00CC2F30" w:rsidRPr="00CC2F30">
        <w:rPr>
          <w:rFonts w:cstheme="minorHAnsi"/>
          <w:sz w:val="24"/>
          <w:szCs w:val="24"/>
          <w:lang w:val="el-GR"/>
        </w:rPr>
        <w:t xml:space="preserve"> </w:t>
      </w:r>
      <w:r w:rsidR="00CC2F30">
        <w:rPr>
          <w:rFonts w:cstheme="minorHAnsi"/>
          <w:sz w:val="24"/>
          <w:szCs w:val="24"/>
          <w:lang w:val="el-GR"/>
        </w:rPr>
        <w:t>αναφέρονται</w:t>
      </w:r>
      <w:r w:rsidR="00CC2F30" w:rsidRPr="00CC2F30">
        <w:rPr>
          <w:rFonts w:cstheme="minorHAnsi"/>
          <w:sz w:val="24"/>
          <w:szCs w:val="24"/>
          <w:lang w:val="el-GR"/>
        </w:rPr>
        <w:t xml:space="preserve"> </w:t>
      </w:r>
      <w:r w:rsidR="00CC2F30">
        <w:rPr>
          <w:rFonts w:cstheme="minorHAnsi"/>
          <w:sz w:val="24"/>
          <w:szCs w:val="24"/>
          <w:lang w:val="el-GR"/>
        </w:rPr>
        <w:t>σε</w:t>
      </w:r>
      <w:r w:rsidR="00CC2F30" w:rsidRPr="00CC2F30">
        <w:rPr>
          <w:rFonts w:cstheme="minorHAnsi"/>
          <w:sz w:val="24"/>
          <w:szCs w:val="24"/>
          <w:lang w:val="el-GR"/>
        </w:rPr>
        <w:t xml:space="preserve"> </w:t>
      </w:r>
      <w:r w:rsidR="00CC2F30">
        <w:rPr>
          <w:rFonts w:cstheme="minorHAnsi"/>
          <w:sz w:val="24"/>
          <w:szCs w:val="24"/>
          <w:lang w:val="el-GR"/>
        </w:rPr>
        <w:t>συνεδρίες</w:t>
      </w:r>
      <w:r w:rsidR="00192743" w:rsidRPr="00CC2F30">
        <w:rPr>
          <w:rFonts w:cstheme="minorHAnsi"/>
          <w:sz w:val="24"/>
          <w:szCs w:val="24"/>
          <w:lang w:val="el-GR"/>
        </w:rPr>
        <w:t xml:space="preserve"> </w:t>
      </w:r>
      <w:r w:rsidR="00CC2F30">
        <w:rPr>
          <w:rFonts w:cstheme="minorHAnsi"/>
          <w:sz w:val="24"/>
          <w:szCs w:val="24"/>
          <w:lang w:val="el-GR"/>
        </w:rPr>
        <w:t>όπου</w:t>
      </w:r>
      <w:r w:rsidR="00CC2F30" w:rsidRPr="00CC2F30">
        <w:rPr>
          <w:rFonts w:cstheme="minorHAnsi"/>
          <w:sz w:val="24"/>
          <w:szCs w:val="24"/>
          <w:lang w:val="el-GR"/>
        </w:rPr>
        <w:t xml:space="preserve"> </w:t>
      </w:r>
      <w:r w:rsidR="00CC2F30">
        <w:rPr>
          <w:rFonts w:cstheme="minorHAnsi"/>
          <w:sz w:val="24"/>
          <w:szCs w:val="24"/>
          <w:lang w:val="el-GR"/>
        </w:rPr>
        <w:t>αξιωματούχοι</w:t>
      </w:r>
      <w:r w:rsidR="00CC2F30" w:rsidRPr="00CC2F30">
        <w:rPr>
          <w:rFonts w:cstheme="minorHAnsi"/>
          <w:sz w:val="24"/>
          <w:szCs w:val="24"/>
          <w:lang w:val="el-GR"/>
        </w:rPr>
        <w:t xml:space="preserve"> </w:t>
      </w:r>
      <w:r w:rsidR="00CC2F30">
        <w:rPr>
          <w:rFonts w:cstheme="minorHAnsi"/>
          <w:sz w:val="24"/>
          <w:szCs w:val="24"/>
          <w:lang w:val="el-GR"/>
        </w:rPr>
        <w:t>ενημερώθηκαν</w:t>
      </w:r>
      <w:r w:rsidR="00CC2F30" w:rsidRPr="00CC2F30">
        <w:rPr>
          <w:rFonts w:cstheme="minorHAnsi"/>
          <w:sz w:val="24"/>
          <w:szCs w:val="24"/>
          <w:lang w:val="el-GR"/>
        </w:rPr>
        <w:t xml:space="preserve"> </w:t>
      </w:r>
      <w:r w:rsidR="00CC2F30">
        <w:rPr>
          <w:rFonts w:cstheme="minorHAnsi"/>
          <w:sz w:val="24"/>
          <w:szCs w:val="24"/>
          <w:lang w:val="el-GR"/>
        </w:rPr>
        <w:t>για</w:t>
      </w:r>
      <w:r w:rsidR="00CC2F30" w:rsidRPr="00CC2F30">
        <w:rPr>
          <w:rFonts w:cstheme="minorHAnsi"/>
          <w:sz w:val="24"/>
          <w:szCs w:val="24"/>
          <w:lang w:val="el-GR"/>
        </w:rPr>
        <w:t xml:space="preserve"> </w:t>
      </w:r>
      <w:r w:rsidR="00CC2F30">
        <w:rPr>
          <w:rFonts w:cstheme="minorHAnsi"/>
          <w:sz w:val="24"/>
          <w:szCs w:val="24"/>
          <w:lang w:val="el-GR"/>
        </w:rPr>
        <w:t>την</w:t>
      </w:r>
      <w:r w:rsidR="00CC2F30" w:rsidRPr="00CC2F30">
        <w:rPr>
          <w:rFonts w:cstheme="minorHAnsi"/>
          <w:sz w:val="24"/>
          <w:szCs w:val="24"/>
          <w:lang w:val="el-GR"/>
        </w:rPr>
        <w:t xml:space="preserve"> </w:t>
      </w:r>
      <w:proofErr w:type="spellStart"/>
      <w:r w:rsidR="00CC2F30">
        <w:rPr>
          <w:rFonts w:cstheme="minorHAnsi"/>
          <w:sz w:val="24"/>
          <w:szCs w:val="24"/>
          <w:lang w:val="el-GR"/>
        </w:rPr>
        <w:t>νεοσυσταθείσα</w:t>
      </w:r>
      <w:proofErr w:type="spellEnd"/>
      <w:r w:rsidR="00CC2F30" w:rsidRPr="00CC2F30">
        <w:rPr>
          <w:rFonts w:cstheme="minorHAnsi"/>
          <w:sz w:val="24"/>
          <w:szCs w:val="24"/>
          <w:lang w:val="el-GR"/>
        </w:rPr>
        <w:t xml:space="preserve"> </w:t>
      </w:r>
      <w:r w:rsidR="00CC2F30">
        <w:rPr>
          <w:rFonts w:cstheme="minorHAnsi"/>
          <w:sz w:val="24"/>
          <w:szCs w:val="24"/>
          <w:lang w:val="el-GR"/>
        </w:rPr>
        <w:t>υπηρεσία</w:t>
      </w:r>
      <w:r w:rsidR="00CC2F30" w:rsidRPr="00CC2F30">
        <w:rPr>
          <w:rFonts w:cstheme="minorHAnsi"/>
          <w:sz w:val="24"/>
          <w:szCs w:val="24"/>
          <w:lang w:val="el-GR"/>
        </w:rPr>
        <w:t xml:space="preserve"> </w:t>
      </w:r>
      <w:r w:rsidR="00CC2F30">
        <w:rPr>
          <w:rFonts w:cstheme="minorHAnsi"/>
          <w:sz w:val="24"/>
          <w:szCs w:val="24"/>
          <w:lang w:val="el-GR"/>
        </w:rPr>
        <w:t>εσωτερικού ελέγχου</w:t>
      </w:r>
      <w:r w:rsidR="00192743" w:rsidRPr="00CC2F30">
        <w:rPr>
          <w:rFonts w:cstheme="minorHAnsi"/>
          <w:sz w:val="24"/>
          <w:szCs w:val="24"/>
          <w:lang w:val="el-GR"/>
        </w:rPr>
        <w:t xml:space="preserve">, </w:t>
      </w:r>
      <w:r w:rsidR="00CC2F30">
        <w:rPr>
          <w:rFonts w:cstheme="minorHAnsi"/>
          <w:sz w:val="24"/>
          <w:szCs w:val="24"/>
          <w:lang w:val="el-GR"/>
        </w:rPr>
        <w:t>δηλαδή την</w:t>
      </w:r>
      <w:r w:rsidR="00192743" w:rsidRPr="00CC2F30">
        <w:rPr>
          <w:rFonts w:cstheme="minorHAnsi"/>
          <w:sz w:val="24"/>
          <w:szCs w:val="24"/>
          <w:lang w:val="el-GR"/>
        </w:rPr>
        <w:t xml:space="preserve"> </w:t>
      </w:r>
      <w:r w:rsidR="00192743" w:rsidRPr="009A3A90">
        <w:rPr>
          <w:rFonts w:cstheme="minorHAnsi"/>
          <w:sz w:val="24"/>
          <w:szCs w:val="24"/>
        </w:rPr>
        <w:t>P</w:t>
      </w:r>
      <w:r w:rsidR="00192743" w:rsidRPr="00CC2F30">
        <w:rPr>
          <w:rFonts w:cstheme="minorHAnsi"/>
          <w:sz w:val="24"/>
          <w:szCs w:val="24"/>
          <w:lang w:val="el-GR"/>
        </w:rPr>
        <w:t>.</w:t>
      </w:r>
      <w:r w:rsidR="00192743" w:rsidRPr="009A3A90">
        <w:rPr>
          <w:rFonts w:cstheme="minorHAnsi"/>
          <w:sz w:val="24"/>
          <w:szCs w:val="24"/>
        </w:rPr>
        <w:t>I</w:t>
      </w:r>
      <w:r w:rsidR="00192743" w:rsidRPr="00CC2F30">
        <w:rPr>
          <w:rFonts w:cstheme="minorHAnsi"/>
          <w:sz w:val="24"/>
          <w:szCs w:val="24"/>
          <w:lang w:val="el-GR"/>
        </w:rPr>
        <w:t>.</w:t>
      </w:r>
      <w:r w:rsidR="00192743" w:rsidRPr="009A3A90">
        <w:rPr>
          <w:rFonts w:cstheme="minorHAnsi"/>
          <w:sz w:val="24"/>
          <w:szCs w:val="24"/>
        </w:rPr>
        <w:t>A</w:t>
      </w:r>
      <w:r w:rsidR="00192743" w:rsidRPr="00CC2F30">
        <w:rPr>
          <w:rFonts w:cstheme="minorHAnsi"/>
          <w:sz w:val="24"/>
          <w:szCs w:val="24"/>
          <w:lang w:val="el-GR"/>
        </w:rPr>
        <w:t>.</w:t>
      </w:r>
      <w:r w:rsidR="00192743" w:rsidRPr="009A3A90">
        <w:rPr>
          <w:rFonts w:cstheme="minorHAnsi"/>
          <w:sz w:val="24"/>
          <w:szCs w:val="24"/>
        </w:rPr>
        <w:t>S</w:t>
      </w:r>
      <w:r w:rsidR="00192743" w:rsidRPr="00CC2F30">
        <w:rPr>
          <w:rFonts w:cstheme="minorHAnsi"/>
          <w:sz w:val="24"/>
          <w:szCs w:val="24"/>
          <w:lang w:val="el-GR"/>
        </w:rPr>
        <w:t xml:space="preserve">., </w:t>
      </w:r>
      <w:r w:rsidR="005521CB">
        <w:rPr>
          <w:rFonts w:cstheme="minorHAnsi"/>
          <w:sz w:val="24"/>
          <w:szCs w:val="24"/>
          <w:lang w:val="el-GR"/>
        </w:rPr>
        <w:t xml:space="preserve">παρά </w:t>
      </w:r>
      <w:r w:rsidR="00C63EBC">
        <w:rPr>
          <w:rFonts w:cstheme="minorHAnsi"/>
          <w:sz w:val="24"/>
          <w:szCs w:val="24"/>
          <w:lang w:val="el-GR"/>
        </w:rPr>
        <w:t>σ</w:t>
      </w:r>
      <w:r w:rsidR="005521CB">
        <w:rPr>
          <w:rFonts w:cstheme="minorHAnsi"/>
          <w:sz w:val="24"/>
          <w:szCs w:val="24"/>
          <w:lang w:val="el-GR"/>
        </w:rPr>
        <w:t>τα περιεχόμενα</w:t>
      </w:r>
      <w:r w:rsidR="009A3A90" w:rsidRPr="00CC2F30">
        <w:rPr>
          <w:rFonts w:cstheme="minorHAnsi"/>
          <w:sz w:val="24"/>
          <w:szCs w:val="24"/>
          <w:lang w:val="el-GR"/>
        </w:rPr>
        <w:t xml:space="preserve"> </w:t>
      </w:r>
      <w:r w:rsidR="005521CB">
        <w:rPr>
          <w:rFonts w:cstheme="minorHAnsi"/>
          <w:sz w:val="24"/>
          <w:szCs w:val="24"/>
          <w:lang w:val="el-GR"/>
        </w:rPr>
        <w:t>που θα</w:t>
      </w:r>
      <w:r w:rsidR="005521CB" w:rsidRPr="005521CB">
        <w:rPr>
          <w:rFonts w:cstheme="minorHAnsi"/>
          <w:sz w:val="24"/>
          <w:szCs w:val="24"/>
          <w:lang w:val="el-GR"/>
        </w:rPr>
        <w:t xml:space="preserve"> </w:t>
      </w:r>
      <w:r w:rsidR="005521CB">
        <w:rPr>
          <w:rFonts w:cstheme="minorHAnsi"/>
          <w:sz w:val="24"/>
          <w:szCs w:val="24"/>
          <w:lang w:val="el-GR"/>
        </w:rPr>
        <w:t>επεκτείνονταν πάνω στον Κώδικα Ηθικής</w:t>
      </w:r>
      <w:r w:rsidR="00192743" w:rsidRPr="00CC2F30">
        <w:rPr>
          <w:rFonts w:cstheme="minorHAnsi"/>
          <w:sz w:val="24"/>
          <w:szCs w:val="24"/>
          <w:lang w:val="el-GR"/>
        </w:rPr>
        <w:t xml:space="preserve">, </w:t>
      </w:r>
      <w:r w:rsidR="005521CB">
        <w:rPr>
          <w:rFonts w:cstheme="minorHAnsi"/>
          <w:sz w:val="24"/>
          <w:szCs w:val="24"/>
          <w:lang w:val="el-GR"/>
        </w:rPr>
        <w:t>την πρόληψη της διαφθοράς ή απαιτήσεις που σχετίζονται με την ακεραιότητα</w:t>
      </w:r>
      <w:r w:rsidR="00192743" w:rsidRPr="00CC2F30">
        <w:rPr>
          <w:rFonts w:cstheme="minorHAnsi"/>
          <w:sz w:val="24"/>
          <w:szCs w:val="24"/>
          <w:lang w:val="el-GR"/>
        </w:rPr>
        <w:t xml:space="preserve">. </w:t>
      </w:r>
    </w:p>
    <w:p w14:paraId="5CF6EB05" w14:textId="77777777" w:rsidR="009A3A90" w:rsidRPr="00CC2F30" w:rsidRDefault="009A3A90" w:rsidP="009A3A90">
      <w:pPr>
        <w:widowControl w:val="0"/>
        <w:tabs>
          <w:tab w:val="left" w:pos="709"/>
        </w:tabs>
        <w:rPr>
          <w:rFonts w:cstheme="minorHAnsi"/>
          <w:b/>
          <w:bCs/>
          <w:sz w:val="24"/>
          <w:szCs w:val="24"/>
          <w:lang w:val="el-GR"/>
        </w:rPr>
      </w:pPr>
    </w:p>
    <w:p w14:paraId="7EB9D330" w14:textId="0519B4E6" w:rsidR="00220066" w:rsidRPr="00280901" w:rsidRDefault="005521CB" w:rsidP="00220066">
      <w:pPr>
        <w:widowControl w:val="0"/>
        <w:numPr>
          <w:ilvl w:val="0"/>
          <w:numId w:val="1"/>
        </w:numPr>
        <w:tabs>
          <w:tab w:val="left" w:pos="709"/>
        </w:tabs>
        <w:ind w:left="0" w:firstLine="0"/>
        <w:rPr>
          <w:rFonts w:cstheme="minorHAnsi"/>
          <w:b/>
          <w:bCs/>
          <w:sz w:val="24"/>
          <w:szCs w:val="24"/>
          <w:lang w:val="el-GR"/>
        </w:rPr>
      </w:pPr>
      <w:r>
        <w:rPr>
          <w:rFonts w:cstheme="minorHAnsi"/>
          <w:sz w:val="24"/>
          <w:szCs w:val="24"/>
          <w:lang w:val="el-GR"/>
        </w:rPr>
        <w:t>Η</w:t>
      </w:r>
      <w:r w:rsidR="00192743">
        <w:rPr>
          <w:rFonts w:cstheme="minorHAnsi"/>
          <w:sz w:val="24"/>
          <w:szCs w:val="24"/>
        </w:rPr>
        <w:t> GET</w:t>
      </w:r>
      <w:r w:rsidR="00192743" w:rsidRPr="005521CB">
        <w:rPr>
          <w:rFonts w:cstheme="minorHAnsi"/>
          <w:sz w:val="24"/>
          <w:szCs w:val="24"/>
          <w:lang w:val="el-GR"/>
        </w:rPr>
        <w:t xml:space="preserve"> </w:t>
      </w:r>
      <w:r>
        <w:rPr>
          <w:rFonts w:cstheme="minorHAnsi"/>
          <w:sz w:val="24"/>
          <w:szCs w:val="24"/>
          <w:lang w:val="el-GR"/>
        </w:rPr>
        <w:t>π</w:t>
      </w:r>
      <w:r w:rsidR="00C63EBC">
        <w:rPr>
          <w:rFonts w:cstheme="minorHAnsi"/>
          <w:sz w:val="24"/>
          <w:szCs w:val="24"/>
          <w:lang w:val="el-GR"/>
        </w:rPr>
        <w:t>ι</w:t>
      </w:r>
      <w:r>
        <w:rPr>
          <w:rFonts w:cstheme="minorHAnsi"/>
          <w:sz w:val="24"/>
          <w:szCs w:val="24"/>
          <w:lang w:val="el-GR"/>
        </w:rPr>
        <w:t>στεύει</w:t>
      </w:r>
      <w:r w:rsidRPr="005521CB">
        <w:rPr>
          <w:rFonts w:cstheme="minorHAnsi"/>
          <w:sz w:val="24"/>
          <w:szCs w:val="24"/>
          <w:lang w:val="el-GR"/>
        </w:rPr>
        <w:t xml:space="preserve"> </w:t>
      </w:r>
      <w:r>
        <w:rPr>
          <w:rFonts w:cstheme="minorHAnsi"/>
          <w:sz w:val="24"/>
          <w:szCs w:val="24"/>
          <w:lang w:val="el-GR"/>
        </w:rPr>
        <w:t>περαιτέρω</w:t>
      </w:r>
      <w:r w:rsidRPr="005521CB">
        <w:rPr>
          <w:rFonts w:cstheme="minorHAnsi"/>
          <w:sz w:val="24"/>
          <w:szCs w:val="24"/>
          <w:lang w:val="el-GR"/>
        </w:rPr>
        <w:t xml:space="preserve"> </w:t>
      </w:r>
      <w:r>
        <w:rPr>
          <w:rFonts w:cstheme="minorHAnsi"/>
          <w:sz w:val="24"/>
          <w:szCs w:val="24"/>
          <w:lang w:val="el-GR"/>
        </w:rPr>
        <w:t>ότι</w:t>
      </w:r>
      <w:r w:rsidR="00192743" w:rsidRPr="005521CB">
        <w:rPr>
          <w:rFonts w:cstheme="minorHAnsi"/>
          <w:sz w:val="24"/>
          <w:szCs w:val="24"/>
          <w:lang w:val="el-GR"/>
        </w:rPr>
        <w:t xml:space="preserve"> </w:t>
      </w:r>
      <w:r>
        <w:rPr>
          <w:rFonts w:cstheme="minorHAnsi"/>
          <w:sz w:val="24"/>
          <w:szCs w:val="24"/>
          <w:lang w:val="el-GR"/>
        </w:rPr>
        <w:t>μπορούν</w:t>
      </w:r>
      <w:r w:rsidRPr="005521CB">
        <w:rPr>
          <w:rFonts w:cstheme="minorHAnsi"/>
          <w:sz w:val="24"/>
          <w:szCs w:val="24"/>
          <w:lang w:val="el-GR"/>
        </w:rPr>
        <w:t xml:space="preserve"> </w:t>
      </w:r>
      <w:r>
        <w:rPr>
          <w:rFonts w:cstheme="minorHAnsi"/>
          <w:sz w:val="24"/>
          <w:szCs w:val="24"/>
          <w:lang w:val="el-GR"/>
        </w:rPr>
        <w:t>να</w:t>
      </w:r>
      <w:r w:rsidRPr="005521CB">
        <w:rPr>
          <w:rFonts w:cstheme="minorHAnsi"/>
          <w:sz w:val="24"/>
          <w:szCs w:val="24"/>
          <w:lang w:val="el-GR"/>
        </w:rPr>
        <w:t xml:space="preserve"> </w:t>
      </w:r>
      <w:r>
        <w:rPr>
          <w:rFonts w:cstheme="minorHAnsi"/>
          <w:sz w:val="24"/>
          <w:szCs w:val="24"/>
          <w:lang w:val="el-GR"/>
        </w:rPr>
        <w:t>γίνουν</w:t>
      </w:r>
      <w:r w:rsidRPr="005521CB">
        <w:rPr>
          <w:rFonts w:cstheme="minorHAnsi"/>
          <w:sz w:val="24"/>
          <w:szCs w:val="24"/>
          <w:lang w:val="el-GR"/>
        </w:rPr>
        <w:t xml:space="preserve"> </w:t>
      </w:r>
      <w:r>
        <w:rPr>
          <w:rFonts w:cstheme="minorHAnsi"/>
          <w:sz w:val="24"/>
          <w:szCs w:val="24"/>
          <w:lang w:val="el-GR"/>
        </w:rPr>
        <w:t>περισσότερα</w:t>
      </w:r>
      <w:r w:rsidRPr="005521CB">
        <w:rPr>
          <w:rFonts w:cstheme="minorHAnsi"/>
          <w:sz w:val="24"/>
          <w:szCs w:val="24"/>
          <w:lang w:val="el-GR"/>
        </w:rPr>
        <w:t xml:space="preserve"> </w:t>
      </w:r>
      <w:r>
        <w:rPr>
          <w:rFonts w:cstheme="minorHAnsi"/>
          <w:sz w:val="24"/>
          <w:szCs w:val="24"/>
          <w:lang w:val="el-GR"/>
        </w:rPr>
        <w:t>για</w:t>
      </w:r>
      <w:r w:rsidRPr="005521CB">
        <w:rPr>
          <w:rFonts w:cstheme="minorHAnsi"/>
          <w:sz w:val="24"/>
          <w:szCs w:val="24"/>
          <w:lang w:val="el-GR"/>
        </w:rPr>
        <w:t xml:space="preserve"> </w:t>
      </w:r>
      <w:r>
        <w:rPr>
          <w:rFonts w:cstheme="minorHAnsi"/>
          <w:sz w:val="24"/>
          <w:szCs w:val="24"/>
          <w:lang w:val="el-GR"/>
        </w:rPr>
        <w:t>να</w:t>
      </w:r>
      <w:r w:rsidRPr="005521CB">
        <w:rPr>
          <w:rFonts w:cstheme="minorHAnsi"/>
          <w:sz w:val="24"/>
          <w:szCs w:val="24"/>
          <w:lang w:val="el-GR"/>
        </w:rPr>
        <w:t xml:space="preserve"> </w:t>
      </w:r>
      <w:r>
        <w:rPr>
          <w:rFonts w:cstheme="minorHAnsi"/>
          <w:sz w:val="24"/>
          <w:szCs w:val="24"/>
          <w:lang w:val="el-GR"/>
        </w:rPr>
        <w:t>εξασφαλισθεί</w:t>
      </w:r>
      <w:r w:rsidRPr="005521CB">
        <w:rPr>
          <w:rFonts w:cstheme="minorHAnsi"/>
          <w:sz w:val="24"/>
          <w:szCs w:val="24"/>
          <w:lang w:val="el-GR"/>
        </w:rPr>
        <w:t xml:space="preserve"> </w:t>
      </w:r>
      <w:r>
        <w:rPr>
          <w:rFonts w:cstheme="minorHAnsi"/>
          <w:sz w:val="24"/>
          <w:szCs w:val="24"/>
          <w:lang w:val="el-GR"/>
        </w:rPr>
        <w:t>ώστε οι συνεδρίες να προσαρμοσθούν περαιτέρω</w:t>
      </w:r>
      <w:r w:rsidR="00220066" w:rsidRPr="005521CB">
        <w:rPr>
          <w:rFonts w:cstheme="minorHAnsi"/>
          <w:sz w:val="24"/>
          <w:szCs w:val="24"/>
          <w:lang w:val="el-GR"/>
        </w:rPr>
        <w:t xml:space="preserve"> </w:t>
      </w:r>
      <w:r>
        <w:rPr>
          <w:rFonts w:cstheme="minorHAnsi"/>
          <w:sz w:val="24"/>
          <w:szCs w:val="24"/>
          <w:lang w:val="el-GR"/>
        </w:rPr>
        <w:t>σε συγκεκριμένες θέσεις</w:t>
      </w:r>
      <w:r w:rsidR="00220066" w:rsidRPr="005521CB">
        <w:rPr>
          <w:rFonts w:cstheme="minorHAnsi"/>
          <w:sz w:val="24"/>
          <w:szCs w:val="24"/>
          <w:lang w:val="el-GR"/>
        </w:rPr>
        <w:t xml:space="preserve">, </w:t>
      </w:r>
      <w:r>
        <w:rPr>
          <w:rFonts w:cstheme="minorHAnsi"/>
          <w:sz w:val="24"/>
          <w:szCs w:val="24"/>
          <w:lang w:val="el-GR"/>
        </w:rPr>
        <w:t>ειδικά σε ευάλωτες θέσεις.</w:t>
      </w:r>
      <w:r w:rsidR="00220066" w:rsidRPr="005521CB">
        <w:rPr>
          <w:rFonts w:cstheme="minorHAnsi"/>
          <w:sz w:val="24"/>
          <w:szCs w:val="24"/>
          <w:lang w:val="el-GR"/>
        </w:rPr>
        <w:t xml:space="preserve"> </w:t>
      </w:r>
      <w:r w:rsidR="000477D8">
        <w:rPr>
          <w:rFonts w:cstheme="minorHAnsi"/>
          <w:sz w:val="24"/>
          <w:szCs w:val="24"/>
          <w:lang w:val="el-GR"/>
        </w:rPr>
        <w:t>Είναι</w:t>
      </w:r>
      <w:r w:rsidR="000477D8" w:rsidRPr="000477D8">
        <w:rPr>
          <w:rFonts w:cstheme="minorHAnsi"/>
          <w:sz w:val="24"/>
          <w:szCs w:val="24"/>
          <w:lang w:val="el-GR"/>
        </w:rPr>
        <w:t xml:space="preserve"> </w:t>
      </w:r>
      <w:r w:rsidR="000477D8">
        <w:rPr>
          <w:rFonts w:cstheme="minorHAnsi"/>
          <w:sz w:val="24"/>
          <w:szCs w:val="24"/>
          <w:lang w:val="el-GR"/>
        </w:rPr>
        <w:t>επίσης</w:t>
      </w:r>
      <w:r w:rsidR="000477D8" w:rsidRPr="000477D8">
        <w:rPr>
          <w:rFonts w:cstheme="minorHAnsi"/>
          <w:sz w:val="24"/>
          <w:szCs w:val="24"/>
          <w:lang w:val="el-GR"/>
        </w:rPr>
        <w:t xml:space="preserve"> </w:t>
      </w:r>
      <w:r w:rsidR="000477D8">
        <w:rPr>
          <w:rFonts w:cstheme="minorHAnsi"/>
          <w:sz w:val="24"/>
          <w:szCs w:val="24"/>
          <w:lang w:val="el-GR"/>
        </w:rPr>
        <w:t>σημαντικό</w:t>
      </w:r>
      <w:r w:rsidR="000477D8" w:rsidRPr="000477D8">
        <w:rPr>
          <w:rFonts w:cstheme="minorHAnsi"/>
          <w:sz w:val="24"/>
          <w:szCs w:val="24"/>
          <w:lang w:val="el-GR"/>
        </w:rPr>
        <w:t xml:space="preserve"> </w:t>
      </w:r>
      <w:r w:rsidR="000477D8">
        <w:rPr>
          <w:rFonts w:cstheme="minorHAnsi"/>
          <w:sz w:val="24"/>
          <w:szCs w:val="24"/>
          <w:lang w:val="el-GR"/>
        </w:rPr>
        <w:t>ότι</w:t>
      </w:r>
      <w:r w:rsidR="000477D8" w:rsidRPr="000477D8">
        <w:rPr>
          <w:rFonts w:cstheme="minorHAnsi"/>
          <w:sz w:val="24"/>
          <w:szCs w:val="24"/>
          <w:lang w:val="el-GR"/>
        </w:rPr>
        <w:t xml:space="preserve"> </w:t>
      </w:r>
      <w:r w:rsidR="000477D8">
        <w:rPr>
          <w:rFonts w:cstheme="minorHAnsi"/>
          <w:sz w:val="24"/>
          <w:szCs w:val="24"/>
          <w:lang w:val="el-GR"/>
        </w:rPr>
        <w:t>οι</w:t>
      </w:r>
      <w:r w:rsidR="000477D8" w:rsidRPr="000477D8">
        <w:rPr>
          <w:rFonts w:cstheme="minorHAnsi"/>
          <w:sz w:val="24"/>
          <w:szCs w:val="24"/>
          <w:lang w:val="el-GR"/>
        </w:rPr>
        <w:t xml:space="preserve"> </w:t>
      </w:r>
      <w:r w:rsidR="000477D8">
        <w:rPr>
          <w:rFonts w:cstheme="minorHAnsi"/>
          <w:sz w:val="24"/>
          <w:szCs w:val="24"/>
          <w:lang w:val="el-GR"/>
        </w:rPr>
        <w:t>ανώτεροι</w:t>
      </w:r>
      <w:r w:rsidR="000477D8" w:rsidRPr="000477D8">
        <w:rPr>
          <w:rFonts w:cstheme="minorHAnsi"/>
          <w:sz w:val="24"/>
          <w:szCs w:val="24"/>
          <w:lang w:val="el-GR"/>
        </w:rPr>
        <w:t xml:space="preserve"> </w:t>
      </w:r>
      <w:r w:rsidR="000477D8">
        <w:rPr>
          <w:rFonts w:cstheme="minorHAnsi"/>
          <w:sz w:val="24"/>
          <w:szCs w:val="24"/>
          <w:lang w:val="el-GR"/>
        </w:rPr>
        <w:t>είναι</w:t>
      </w:r>
      <w:r w:rsidR="000477D8" w:rsidRPr="000477D8">
        <w:rPr>
          <w:rFonts w:cstheme="minorHAnsi"/>
          <w:sz w:val="24"/>
          <w:szCs w:val="24"/>
          <w:lang w:val="el-GR"/>
        </w:rPr>
        <w:t xml:space="preserve"> </w:t>
      </w:r>
      <w:r w:rsidR="000477D8">
        <w:rPr>
          <w:rFonts w:cstheme="minorHAnsi"/>
          <w:sz w:val="24"/>
          <w:szCs w:val="24"/>
          <w:lang w:val="el-GR"/>
        </w:rPr>
        <w:t>ικανοί</w:t>
      </w:r>
      <w:r w:rsidR="000477D8" w:rsidRPr="000477D8">
        <w:rPr>
          <w:rFonts w:cstheme="minorHAnsi"/>
          <w:sz w:val="24"/>
          <w:szCs w:val="24"/>
          <w:lang w:val="el-GR"/>
        </w:rPr>
        <w:t xml:space="preserve"> </w:t>
      </w:r>
      <w:r w:rsidR="000477D8">
        <w:rPr>
          <w:rFonts w:cstheme="minorHAnsi"/>
          <w:sz w:val="24"/>
          <w:szCs w:val="24"/>
          <w:lang w:val="el-GR"/>
        </w:rPr>
        <w:t>να</w:t>
      </w:r>
      <w:r w:rsidR="000477D8" w:rsidRPr="000477D8">
        <w:rPr>
          <w:rFonts w:cstheme="minorHAnsi"/>
          <w:sz w:val="24"/>
          <w:szCs w:val="24"/>
          <w:lang w:val="el-GR"/>
        </w:rPr>
        <w:t xml:space="preserve"> </w:t>
      </w:r>
      <w:r w:rsidR="000477D8">
        <w:rPr>
          <w:rFonts w:cstheme="minorHAnsi"/>
          <w:sz w:val="24"/>
          <w:szCs w:val="24"/>
          <w:lang w:val="el-GR"/>
        </w:rPr>
        <w:t>κατανοήσουν</w:t>
      </w:r>
      <w:r w:rsidR="000477D8" w:rsidRPr="000477D8">
        <w:rPr>
          <w:rFonts w:cstheme="minorHAnsi"/>
          <w:sz w:val="24"/>
          <w:szCs w:val="24"/>
          <w:lang w:val="el-GR"/>
        </w:rPr>
        <w:t xml:space="preserve"> </w:t>
      </w:r>
      <w:r w:rsidR="000477D8">
        <w:rPr>
          <w:rFonts w:cstheme="minorHAnsi"/>
          <w:sz w:val="24"/>
          <w:szCs w:val="24"/>
          <w:lang w:val="el-GR"/>
        </w:rPr>
        <w:t>πλήρως</w:t>
      </w:r>
      <w:r w:rsidR="000477D8" w:rsidRPr="000477D8">
        <w:rPr>
          <w:rFonts w:cstheme="minorHAnsi"/>
          <w:sz w:val="24"/>
          <w:szCs w:val="24"/>
          <w:lang w:val="el-GR"/>
        </w:rPr>
        <w:t xml:space="preserve"> </w:t>
      </w:r>
      <w:r w:rsidR="000477D8">
        <w:rPr>
          <w:rFonts w:cstheme="minorHAnsi"/>
          <w:sz w:val="24"/>
          <w:szCs w:val="24"/>
          <w:lang w:val="el-GR"/>
        </w:rPr>
        <w:t>τους</w:t>
      </w:r>
      <w:r w:rsidR="000477D8" w:rsidRPr="000477D8">
        <w:rPr>
          <w:rFonts w:cstheme="minorHAnsi"/>
          <w:sz w:val="24"/>
          <w:szCs w:val="24"/>
          <w:lang w:val="el-GR"/>
        </w:rPr>
        <w:t xml:space="preserve"> </w:t>
      </w:r>
      <w:r w:rsidR="000477D8">
        <w:rPr>
          <w:rFonts w:cstheme="minorHAnsi"/>
          <w:sz w:val="24"/>
          <w:szCs w:val="24"/>
          <w:lang w:val="el-GR"/>
        </w:rPr>
        <w:t>τομείς</w:t>
      </w:r>
      <w:r w:rsidR="000477D8" w:rsidRPr="000477D8">
        <w:rPr>
          <w:rFonts w:cstheme="minorHAnsi"/>
          <w:sz w:val="24"/>
          <w:szCs w:val="24"/>
          <w:lang w:val="el-GR"/>
        </w:rPr>
        <w:t xml:space="preserve"> </w:t>
      </w:r>
      <w:r w:rsidR="000477D8">
        <w:rPr>
          <w:rFonts w:cstheme="minorHAnsi"/>
          <w:sz w:val="24"/>
          <w:szCs w:val="24"/>
          <w:lang w:val="el-GR"/>
        </w:rPr>
        <w:t>των</w:t>
      </w:r>
      <w:r w:rsidR="000477D8" w:rsidRPr="000477D8">
        <w:rPr>
          <w:rFonts w:cstheme="minorHAnsi"/>
          <w:sz w:val="24"/>
          <w:szCs w:val="24"/>
          <w:lang w:val="el-GR"/>
        </w:rPr>
        <w:t xml:space="preserve"> </w:t>
      </w:r>
      <w:r w:rsidR="000477D8">
        <w:rPr>
          <w:rFonts w:cstheme="minorHAnsi"/>
          <w:sz w:val="24"/>
          <w:szCs w:val="24"/>
          <w:lang w:val="el-GR"/>
        </w:rPr>
        <w:t>τρωτών</w:t>
      </w:r>
      <w:r w:rsidR="000477D8" w:rsidRPr="000477D8">
        <w:rPr>
          <w:rFonts w:cstheme="minorHAnsi"/>
          <w:sz w:val="24"/>
          <w:szCs w:val="24"/>
          <w:lang w:val="el-GR"/>
        </w:rPr>
        <w:t xml:space="preserve"> </w:t>
      </w:r>
      <w:r w:rsidR="000477D8">
        <w:rPr>
          <w:rFonts w:cstheme="minorHAnsi"/>
          <w:sz w:val="24"/>
          <w:szCs w:val="24"/>
          <w:lang w:val="el-GR"/>
        </w:rPr>
        <w:t>σημείων</w:t>
      </w:r>
      <w:r w:rsidR="00220066" w:rsidRPr="000477D8">
        <w:rPr>
          <w:rFonts w:cstheme="minorHAnsi"/>
          <w:sz w:val="24"/>
          <w:szCs w:val="24"/>
          <w:lang w:val="el-GR"/>
        </w:rPr>
        <w:t xml:space="preserve"> </w:t>
      </w:r>
      <w:r w:rsidR="000477D8">
        <w:rPr>
          <w:rFonts w:cstheme="minorHAnsi"/>
          <w:sz w:val="24"/>
          <w:szCs w:val="24"/>
          <w:lang w:val="el-GR"/>
        </w:rPr>
        <w:t>και να θέσουν τον σωστό σημείο αναφοράς</w:t>
      </w:r>
      <w:r w:rsidR="00220066" w:rsidRPr="000477D8">
        <w:rPr>
          <w:rFonts w:cstheme="minorHAnsi"/>
          <w:sz w:val="24"/>
          <w:szCs w:val="24"/>
          <w:lang w:val="el-GR"/>
        </w:rPr>
        <w:t xml:space="preserve"> </w:t>
      </w:r>
      <w:r w:rsidR="000477D8">
        <w:rPr>
          <w:rFonts w:cstheme="minorHAnsi"/>
          <w:sz w:val="24"/>
          <w:szCs w:val="24"/>
          <w:lang w:val="el-GR"/>
        </w:rPr>
        <w:t>στην αντίδραση τους σε ηθικές προκλήσεις.</w:t>
      </w:r>
      <w:r w:rsidR="00220066" w:rsidRPr="000477D8">
        <w:rPr>
          <w:rFonts w:cstheme="minorHAnsi"/>
          <w:sz w:val="24"/>
          <w:szCs w:val="24"/>
          <w:lang w:val="el-GR"/>
        </w:rPr>
        <w:t xml:space="preserve"> </w:t>
      </w:r>
      <w:r w:rsidR="000477D8">
        <w:rPr>
          <w:rFonts w:cstheme="minorHAnsi"/>
          <w:sz w:val="24"/>
          <w:szCs w:val="24"/>
          <w:lang w:val="el-GR"/>
        </w:rPr>
        <w:t>Είναι</w:t>
      </w:r>
      <w:r w:rsidR="000477D8" w:rsidRPr="000477D8">
        <w:rPr>
          <w:rFonts w:cstheme="minorHAnsi"/>
          <w:sz w:val="24"/>
          <w:szCs w:val="24"/>
          <w:lang w:val="el-GR"/>
        </w:rPr>
        <w:t xml:space="preserve"> </w:t>
      </w:r>
      <w:r w:rsidR="000477D8">
        <w:rPr>
          <w:rFonts w:cstheme="minorHAnsi"/>
          <w:sz w:val="24"/>
          <w:szCs w:val="24"/>
          <w:lang w:val="el-GR"/>
        </w:rPr>
        <w:t>πολύ</w:t>
      </w:r>
      <w:r w:rsidR="000477D8" w:rsidRPr="000477D8">
        <w:rPr>
          <w:rFonts w:cstheme="minorHAnsi"/>
          <w:sz w:val="24"/>
          <w:szCs w:val="24"/>
          <w:lang w:val="el-GR"/>
        </w:rPr>
        <w:t xml:space="preserve"> </w:t>
      </w:r>
      <w:r w:rsidR="000477D8">
        <w:rPr>
          <w:rFonts w:cstheme="minorHAnsi"/>
          <w:sz w:val="24"/>
          <w:szCs w:val="24"/>
          <w:lang w:val="el-GR"/>
        </w:rPr>
        <w:t>σημαντική</w:t>
      </w:r>
      <w:r w:rsidR="000477D8" w:rsidRPr="000477D8">
        <w:rPr>
          <w:rFonts w:cstheme="minorHAnsi"/>
          <w:sz w:val="24"/>
          <w:szCs w:val="24"/>
          <w:lang w:val="el-GR"/>
        </w:rPr>
        <w:t xml:space="preserve"> </w:t>
      </w:r>
      <w:r w:rsidR="000477D8">
        <w:rPr>
          <w:rFonts w:cstheme="minorHAnsi"/>
          <w:sz w:val="24"/>
          <w:szCs w:val="24"/>
          <w:lang w:val="el-GR"/>
        </w:rPr>
        <w:t>η</w:t>
      </w:r>
      <w:r w:rsidR="000477D8" w:rsidRPr="000477D8">
        <w:rPr>
          <w:rFonts w:cstheme="minorHAnsi"/>
          <w:sz w:val="24"/>
          <w:szCs w:val="24"/>
          <w:lang w:val="el-GR"/>
        </w:rPr>
        <w:t xml:space="preserve"> </w:t>
      </w:r>
      <w:r w:rsidR="000477D8">
        <w:rPr>
          <w:rFonts w:cstheme="minorHAnsi"/>
          <w:sz w:val="24"/>
          <w:szCs w:val="24"/>
          <w:lang w:val="el-GR"/>
        </w:rPr>
        <w:t>ορατή</w:t>
      </w:r>
      <w:r w:rsidR="000477D8" w:rsidRPr="000477D8">
        <w:rPr>
          <w:rFonts w:cstheme="minorHAnsi"/>
          <w:sz w:val="24"/>
          <w:szCs w:val="24"/>
          <w:lang w:val="el-GR"/>
        </w:rPr>
        <w:t xml:space="preserve"> </w:t>
      </w:r>
      <w:r w:rsidR="000477D8">
        <w:rPr>
          <w:rFonts w:cstheme="minorHAnsi"/>
          <w:sz w:val="24"/>
          <w:szCs w:val="24"/>
          <w:lang w:val="el-GR"/>
        </w:rPr>
        <w:t>ηγεσία</w:t>
      </w:r>
      <w:r w:rsidR="000477D8" w:rsidRPr="000477D8">
        <w:rPr>
          <w:rFonts w:cstheme="minorHAnsi"/>
          <w:sz w:val="24"/>
          <w:szCs w:val="24"/>
          <w:lang w:val="el-GR"/>
        </w:rPr>
        <w:t xml:space="preserve"> </w:t>
      </w:r>
      <w:r w:rsidR="000477D8">
        <w:rPr>
          <w:rFonts w:cstheme="minorHAnsi"/>
          <w:sz w:val="24"/>
          <w:szCs w:val="24"/>
          <w:lang w:val="el-GR"/>
        </w:rPr>
        <w:t>που</w:t>
      </w:r>
      <w:r w:rsidR="000477D8" w:rsidRPr="000477D8">
        <w:rPr>
          <w:rFonts w:cstheme="minorHAnsi"/>
          <w:sz w:val="24"/>
          <w:szCs w:val="24"/>
          <w:lang w:val="el-GR"/>
        </w:rPr>
        <w:t xml:space="preserve"> </w:t>
      </w:r>
      <w:r w:rsidR="000477D8">
        <w:rPr>
          <w:rFonts w:cstheme="minorHAnsi"/>
          <w:sz w:val="24"/>
          <w:szCs w:val="24"/>
          <w:lang w:val="el-GR"/>
        </w:rPr>
        <w:t>επιδεικνύει</w:t>
      </w:r>
      <w:r w:rsidR="000477D8" w:rsidRPr="000477D8">
        <w:rPr>
          <w:rFonts w:cstheme="minorHAnsi"/>
          <w:sz w:val="24"/>
          <w:szCs w:val="24"/>
          <w:lang w:val="el-GR"/>
        </w:rPr>
        <w:t xml:space="preserve"> </w:t>
      </w:r>
      <w:r w:rsidR="000477D8">
        <w:rPr>
          <w:rFonts w:cstheme="minorHAnsi"/>
          <w:sz w:val="24"/>
          <w:szCs w:val="24"/>
          <w:lang w:val="el-GR"/>
        </w:rPr>
        <w:t>με</w:t>
      </w:r>
      <w:r w:rsidR="000477D8" w:rsidRPr="000477D8">
        <w:rPr>
          <w:rFonts w:cstheme="minorHAnsi"/>
          <w:sz w:val="24"/>
          <w:szCs w:val="24"/>
          <w:lang w:val="el-GR"/>
        </w:rPr>
        <w:t xml:space="preserve"> </w:t>
      </w:r>
      <w:r w:rsidR="000477D8">
        <w:rPr>
          <w:rFonts w:cstheme="minorHAnsi"/>
          <w:sz w:val="24"/>
          <w:szCs w:val="24"/>
          <w:lang w:val="el-GR"/>
        </w:rPr>
        <w:t>συνέπεια την κατάλληλη συμπεριφορά</w:t>
      </w:r>
      <w:r w:rsidR="00220066" w:rsidRPr="000477D8">
        <w:rPr>
          <w:rFonts w:cstheme="minorHAnsi"/>
          <w:sz w:val="24"/>
          <w:szCs w:val="24"/>
          <w:lang w:val="el-GR"/>
        </w:rPr>
        <w:t xml:space="preserve">. </w:t>
      </w:r>
      <w:r w:rsidR="000477D8">
        <w:rPr>
          <w:rFonts w:cstheme="minorHAnsi"/>
          <w:sz w:val="24"/>
          <w:szCs w:val="24"/>
          <w:lang w:val="el-GR"/>
        </w:rPr>
        <w:t>Πράγματι</w:t>
      </w:r>
      <w:r w:rsidR="00220066" w:rsidRPr="000477D8">
        <w:rPr>
          <w:rFonts w:cstheme="minorHAnsi"/>
          <w:sz w:val="24"/>
          <w:szCs w:val="24"/>
          <w:lang w:val="el-GR"/>
        </w:rPr>
        <w:t xml:space="preserve">, </w:t>
      </w:r>
      <w:r w:rsidR="000477D8">
        <w:rPr>
          <w:rFonts w:cstheme="minorHAnsi"/>
          <w:sz w:val="24"/>
          <w:szCs w:val="24"/>
          <w:lang w:val="el-GR"/>
        </w:rPr>
        <w:t>το</w:t>
      </w:r>
      <w:r w:rsidR="000477D8" w:rsidRPr="000477D8">
        <w:rPr>
          <w:rFonts w:cstheme="minorHAnsi"/>
          <w:sz w:val="24"/>
          <w:szCs w:val="24"/>
          <w:lang w:val="el-GR"/>
        </w:rPr>
        <w:t xml:space="preserve"> </w:t>
      </w:r>
      <w:r w:rsidR="000477D8">
        <w:rPr>
          <w:rFonts w:cstheme="minorHAnsi"/>
          <w:sz w:val="24"/>
          <w:szCs w:val="24"/>
          <w:lang w:val="el-GR"/>
        </w:rPr>
        <w:t>να</w:t>
      </w:r>
      <w:r w:rsidR="000477D8" w:rsidRPr="000477D8">
        <w:rPr>
          <w:rFonts w:cstheme="minorHAnsi"/>
          <w:sz w:val="24"/>
          <w:szCs w:val="24"/>
          <w:lang w:val="el-GR"/>
        </w:rPr>
        <w:t xml:space="preserve"> </w:t>
      </w:r>
      <w:r w:rsidR="000477D8">
        <w:rPr>
          <w:rFonts w:cstheme="minorHAnsi"/>
          <w:sz w:val="24"/>
          <w:szCs w:val="24"/>
          <w:lang w:val="el-GR"/>
        </w:rPr>
        <w:t>ηγείσαι</w:t>
      </w:r>
      <w:r w:rsidR="000477D8" w:rsidRPr="000477D8">
        <w:rPr>
          <w:rFonts w:cstheme="minorHAnsi"/>
          <w:sz w:val="24"/>
          <w:szCs w:val="24"/>
          <w:lang w:val="el-GR"/>
        </w:rPr>
        <w:t xml:space="preserve"> </w:t>
      </w:r>
      <w:r w:rsidR="000477D8">
        <w:rPr>
          <w:rFonts w:cstheme="minorHAnsi"/>
          <w:sz w:val="24"/>
          <w:szCs w:val="24"/>
          <w:lang w:val="el-GR"/>
        </w:rPr>
        <w:t>με</w:t>
      </w:r>
      <w:r w:rsidR="000477D8" w:rsidRPr="000477D8">
        <w:rPr>
          <w:rFonts w:cstheme="minorHAnsi"/>
          <w:sz w:val="24"/>
          <w:szCs w:val="24"/>
          <w:lang w:val="el-GR"/>
        </w:rPr>
        <w:t xml:space="preserve"> </w:t>
      </w:r>
      <w:r w:rsidR="000477D8">
        <w:rPr>
          <w:rFonts w:cstheme="minorHAnsi"/>
          <w:sz w:val="24"/>
          <w:szCs w:val="24"/>
          <w:lang w:val="el-GR"/>
        </w:rPr>
        <w:t>το</w:t>
      </w:r>
      <w:r w:rsidR="000477D8" w:rsidRPr="000477D8">
        <w:rPr>
          <w:rFonts w:cstheme="minorHAnsi"/>
          <w:sz w:val="24"/>
          <w:szCs w:val="24"/>
          <w:lang w:val="el-GR"/>
        </w:rPr>
        <w:t xml:space="preserve"> </w:t>
      </w:r>
      <w:r w:rsidR="000477D8">
        <w:rPr>
          <w:rFonts w:cstheme="minorHAnsi"/>
          <w:sz w:val="24"/>
          <w:szCs w:val="24"/>
          <w:lang w:val="el-GR"/>
        </w:rPr>
        <w:t>δικό</w:t>
      </w:r>
      <w:r w:rsidR="000477D8" w:rsidRPr="000477D8">
        <w:rPr>
          <w:rFonts w:cstheme="minorHAnsi"/>
          <w:sz w:val="24"/>
          <w:szCs w:val="24"/>
          <w:lang w:val="el-GR"/>
        </w:rPr>
        <w:t xml:space="preserve"> </w:t>
      </w:r>
      <w:r w:rsidR="000477D8">
        <w:rPr>
          <w:rFonts w:cstheme="minorHAnsi"/>
          <w:sz w:val="24"/>
          <w:szCs w:val="24"/>
          <w:lang w:val="el-GR"/>
        </w:rPr>
        <w:t>σου</w:t>
      </w:r>
      <w:r w:rsidR="000477D8" w:rsidRPr="000477D8">
        <w:rPr>
          <w:rFonts w:cstheme="minorHAnsi"/>
          <w:sz w:val="24"/>
          <w:szCs w:val="24"/>
          <w:lang w:val="el-GR"/>
        </w:rPr>
        <w:t xml:space="preserve"> </w:t>
      </w:r>
      <w:r w:rsidR="000477D8">
        <w:rPr>
          <w:rFonts w:cstheme="minorHAnsi"/>
          <w:sz w:val="24"/>
          <w:szCs w:val="24"/>
          <w:lang w:val="el-GR"/>
        </w:rPr>
        <w:t>παράδειγμα</w:t>
      </w:r>
      <w:r w:rsidR="00220066" w:rsidRPr="000477D8">
        <w:rPr>
          <w:rFonts w:cstheme="minorHAnsi"/>
          <w:sz w:val="24"/>
          <w:szCs w:val="24"/>
          <w:lang w:val="el-GR"/>
        </w:rPr>
        <w:t xml:space="preserve"> </w:t>
      </w:r>
      <w:r w:rsidR="000477D8">
        <w:rPr>
          <w:rFonts w:cstheme="minorHAnsi"/>
          <w:sz w:val="24"/>
          <w:szCs w:val="24"/>
          <w:lang w:val="el-GR"/>
        </w:rPr>
        <w:t>μπορεί</w:t>
      </w:r>
      <w:r w:rsidR="000477D8" w:rsidRPr="000477D8">
        <w:rPr>
          <w:rFonts w:cstheme="minorHAnsi"/>
          <w:sz w:val="24"/>
          <w:szCs w:val="24"/>
          <w:lang w:val="el-GR"/>
        </w:rPr>
        <w:t xml:space="preserve"> </w:t>
      </w:r>
      <w:r w:rsidR="000477D8">
        <w:rPr>
          <w:rFonts w:cstheme="minorHAnsi"/>
          <w:sz w:val="24"/>
          <w:szCs w:val="24"/>
          <w:lang w:val="el-GR"/>
        </w:rPr>
        <w:t>να</w:t>
      </w:r>
      <w:r w:rsidR="000477D8" w:rsidRPr="000477D8">
        <w:rPr>
          <w:rFonts w:cstheme="minorHAnsi"/>
          <w:sz w:val="24"/>
          <w:szCs w:val="24"/>
          <w:lang w:val="el-GR"/>
        </w:rPr>
        <w:t xml:space="preserve"> </w:t>
      </w:r>
      <w:r w:rsidR="000477D8">
        <w:rPr>
          <w:rFonts w:cstheme="minorHAnsi"/>
          <w:sz w:val="24"/>
          <w:szCs w:val="24"/>
          <w:lang w:val="el-GR"/>
        </w:rPr>
        <w:t>επηρεάσει</w:t>
      </w:r>
      <w:r w:rsidR="000477D8" w:rsidRPr="000477D8">
        <w:rPr>
          <w:rFonts w:cstheme="minorHAnsi"/>
          <w:sz w:val="24"/>
          <w:szCs w:val="24"/>
          <w:lang w:val="el-GR"/>
        </w:rPr>
        <w:t xml:space="preserve"> </w:t>
      </w:r>
      <w:r w:rsidR="000477D8">
        <w:rPr>
          <w:rFonts w:cstheme="minorHAnsi"/>
          <w:sz w:val="24"/>
          <w:szCs w:val="24"/>
          <w:lang w:val="el-GR"/>
        </w:rPr>
        <w:t>αποφασιστικά</w:t>
      </w:r>
      <w:r w:rsidR="00220066" w:rsidRPr="000477D8">
        <w:rPr>
          <w:rFonts w:cstheme="minorHAnsi"/>
          <w:sz w:val="24"/>
          <w:szCs w:val="24"/>
          <w:lang w:val="el-GR"/>
        </w:rPr>
        <w:t xml:space="preserve"> </w:t>
      </w:r>
      <w:r w:rsidR="000477D8">
        <w:rPr>
          <w:rFonts w:cstheme="minorHAnsi"/>
          <w:sz w:val="24"/>
          <w:szCs w:val="24"/>
          <w:lang w:val="el-GR"/>
        </w:rPr>
        <w:t>την επιθυμητή συμπεριφορά υφισταμένων</w:t>
      </w:r>
      <w:r w:rsidR="00220066" w:rsidRPr="000477D8">
        <w:rPr>
          <w:rFonts w:cstheme="minorHAnsi"/>
          <w:sz w:val="24"/>
          <w:szCs w:val="24"/>
          <w:lang w:val="el-GR"/>
        </w:rPr>
        <w:t xml:space="preserve">, </w:t>
      </w:r>
      <w:r w:rsidR="000477D8">
        <w:rPr>
          <w:rFonts w:cstheme="minorHAnsi"/>
          <w:sz w:val="24"/>
          <w:szCs w:val="24"/>
          <w:lang w:val="el-GR"/>
        </w:rPr>
        <w:t>την επαγγελματικότητα τους</w:t>
      </w:r>
      <w:r w:rsidR="00220066" w:rsidRPr="000477D8">
        <w:rPr>
          <w:rFonts w:cstheme="minorHAnsi"/>
          <w:sz w:val="24"/>
          <w:szCs w:val="24"/>
          <w:lang w:val="el-GR"/>
        </w:rPr>
        <w:t xml:space="preserve">, </w:t>
      </w:r>
      <w:r w:rsidR="000477D8">
        <w:rPr>
          <w:rFonts w:cstheme="minorHAnsi"/>
          <w:sz w:val="24"/>
          <w:szCs w:val="24"/>
          <w:lang w:val="el-GR"/>
        </w:rPr>
        <w:t>και την οργανωτική κουλτούρα</w:t>
      </w:r>
      <w:r w:rsidR="00220066" w:rsidRPr="000477D8">
        <w:rPr>
          <w:rFonts w:cstheme="minorHAnsi"/>
          <w:sz w:val="24"/>
          <w:szCs w:val="24"/>
          <w:lang w:val="el-GR"/>
        </w:rPr>
        <w:t xml:space="preserve">. </w:t>
      </w:r>
      <w:r w:rsidR="000477D8">
        <w:rPr>
          <w:rFonts w:cstheme="minorHAnsi"/>
          <w:sz w:val="24"/>
          <w:szCs w:val="24"/>
          <w:lang w:val="el-GR"/>
        </w:rPr>
        <w:t>Επομένως</w:t>
      </w:r>
      <w:r w:rsidR="00B3731F" w:rsidRPr="00B3731F">
        <w:rPr>
          <w:rFonts w:cstheme="minorHAnsi"/>
          <w:sz w:val="24"/>
          <w:szCs w:val="24"/>
          <w:lang w:val="el-GR"/>
        </w:rPr>
        <w:t xml:space="preserve">, </w:t>
      </w:r>
      <w:r w:rsidR="00B3731F">
        <w:rPr>
          <w:rFonts w:cstheme="minorHAnsi"/>
          <w:sz w:val="24"/>
          <w:szCs w:val="24"/>
          <w:lang w:val="el-GR"/>
        </w:rPr>
        <w:t>πρέπει</w:t>
      </w:r>
      <w:r w:rsidR="00B3731F" w:rsidRPr="00B3731F">
        <w:rPr>
          <w:rFonts w:cstheme="minorHAnsi"/>
          <w:sz w:val="24"/>
          <w:szCs w:val="24"/>
          <w:lang w:val="el-GR"/>
        </w:rPr>
        <w:t xml:space="preserve"> </w:t>
      </w:r>
      <w:r w:rsidR="00B3731F">
        <w:rPr>
          <w:rFonts w:cstheme="minorHAnsi"/>
          <w:sz w:val="24"/>
          <w:szCs w:val="24"/>
          <w:lang w:val="el-GR"/>
        </w:rPr>
        <w:t>να</w:t>
      </w:r>
      <w:r w:rsidR="00B3731F" w:rsidRPr="00B3731F">
        <w:rPr>
          <w:rFonts w:cstheme="minorHAnsi"/>
          <w:sz w:val="24"/>
          <w:szCs w:val="24"/>
          <w:lang w:val="el-GR"/>
        </w:rPr>
        <w:t xml:space="preserve"> </w:t>
      </w:r>
      <w:r w:rsidR="00B3731F">
        <w:rPr>
          <w:rFonts w:cstheme="minorHAnsi"/>
          <w:sz w:val="24"/>
          <w:szCs w:val="24"/>
          <w:lang w:val="el-GR"/>
        </w:rPr>
        <w:t>εξασφαλισθεί</w:t>
      </w:r>
      <w:r w:rsidR="00220066" w:rsidRPr="00B3731F">
        <w:rPr>
          <w:rFonts w:cstheme="minorHAnsi"/>
          <w:sz w:val="24"/>
          <w:szCs w:val="24"/>
          <w:lang w:val="el-GR"/>
        </w:rPr>
        <w:t xml:space="preserve"> </w:t>
      </w:r>
      <w:r w:rsidR="00B3731F">
        <w:rPr>
          <w:rFonts w:cstheme="minorHAnsi"/>
          <w:sz w:val="24"/>
          <w:szCs w:val="24"/>
          <w:lang w:val="el-GR"/>
        </w:rPr>
        <w:t>ώστε</w:t>
      </w:r>
      <w:r w:rsidR="00B3731F" w:rsidRPr="00B3731F">
        <w:rPr>
          <w:rFonts w:cstheme="minorHAnsi"/>
          <w:sz w:val="24"/>
          <w:szCs w:val="24"/>
          <w:lang w:val="el-GR"/>
        </w:rPr>
        <w:t xml:space="preserve"> </w:t>
      </w:r>
      <w:r w:rsidR="00B3731F">
        <w:rPr>
          <w:rFonts w:cstheme="minorHAnsi"/>
          <w:sz w:val="24"/>
          <w:szCs w:val="24"/>
          <w:lang w:val="el-GR"/>
        </w:rPr>
        <w:t>να</w:t>
      </w:r>
      <w:r w:rsidR="00B3731F" w:rsidRPr="00B3731F">
        <w:rPr>
          <w:rFonts w:cstheme="minorHAnsi"/>
          <w:sz w:val="24"/>
          <w:szCs w:val="24"/>
          <w:lang w:val="el-GR"/>
        </w:rPr>
        <w:t xml:space="preserve"> </w:t>
      </w:r>
      <w:r w:rsidR="00B3731F">
        <w:rPr>
          <w:rFonts w:cstheme="minorHAnsi"/>
          <w:sz w:val="24"/>
          <w:szCs w:val="24"/>
          <w:lang w:val="el-GR"/>
        </w:rPr>
        <w:t>αναπτυχθεί</w:t>
      </w:r>
      <w:r w:rsidR="00B3731F" w:rsidRPr="00B3731F">
        <w:rPr>
          <w:rFonts w:cstheme="minorHAnsi"/>
          <w:sz w:val="24"/>
          <w:szCs w:val="24"/>
          <w:lang w:val="el-GR"/>
        </w:rPr>
        <w:t xml:space="preserve"> </w:t>
      </w:r>
      <w:r w:rsidR="00B3731F">
        <w:rPr>
          <w:rFonts w:cstheme="minorHAnsi"/>
          <w:sz w:val="24"/>
          <w:szCs w:val="24"/>
          <w:lang w:val="el-GR"/>
        </w:rPr>
        <w:t>συγκεκριμένη</w:t>
      </w:r>
      <w:r w:rsidR="00B3731F" w:rsidRPr="00B3731F">
        <w:rPr>
          <w:rFonts w:cstheme="minorHAnsi"/>
          <w:sz w:val="24"/>
          <w:szCs w:val="24"/>
          <w:lang w:val="el-GR"/>
        </w:rPr>
        <w:t xml:space="preserve"> </w:t>
      </w:r>
      <w:r w:rsidR="00B3731F">
        <w:rPr>
          <w:rFonts w:cstheme="minorHAnsi"/>
          <w:sz w:val="24"/>
          <w:szCs w:val="24"/>
          <w:lang w:val="el-GR"/>
        </w:rPr>
        <w:t>εν</w:t>
      </w:r>
      <w:r w:rsidR="00B3731F" w:rsidRPr="00B3731F">
        <w:rPr>
          <w:rFonts w:cstheme="minorHAnsi"/>
          <w:sz w:val="24"/>
          <w:szCs w:val="24"/>
          <w:lang w:val="el-GR"/>
        </w:rPr>
        <w:t>-</w:t>
      </w:r>
      <w:r w:rsidR="00B3731F">
        <w:rPr>
          <w:rFonts w:cstheme="minorHAnsi"/>
          <w:sz w:val="24"/>
          <w:szCs w:val="24"/>
          <w:lang w:val="el-GR"/>
        </w:rPr>
        <w:t>εξελίξει</w:t>
      </w:r>
      <w:r w:rsidR="00B3731F" w:rsidRPr="00B3731F">
        <w:rPr>
          <w:rFonts w:cstheme="minorHAnsi"/>
          <w:sz w:val="24"/>
          <w:szCs w:val="24"/>
          <w:lang w:val="el-GR"/>
        </w:rPr>
        <w:t xml:space="preserve"> </w:t>
      </w:r>
      <w:r w:rsidR="00B3731F">
        <w:rPr>
          <w:rFonts w:cstheme="minorHAnsi"/>
          <w:sz w:val="24"/>
          <w:szCs w:val="24"/>
          <w:lang w:val="el-GR"/>
        </w:rPr>
        <w:t>εκπαίδευση</w:t>
      </w:r>
      <w:r w:rsidR="00B3731F" w:rsidRPr="00B3731F">
        <w:rPr>
          <w:rFonts w:cstheme="minorHAnsi"/>
          <w:sz w:val="24"/>
          <w:szCs w:val="24"/>
          <w:lang w:val="el-GR"/>
        </w:rPr>
        <w:t xml:space="preserve"> </w:t>
      </w:r>
      <w:r w:rsidR="00B3731F">
        <w:rPr>
          <w:rFonts w:cstheme="minorHAnsi"/>
          <w:sz w:val="24"/>
          <w:szCs w:val="24"/>
          <w:lang w:val="el-GR"/>
        </w:rPr>
        <w:t>για</w:t>
      </w:r>
      <w:r w:rsidR="00B3731F" w:rsidRPr="00B3731F">
        <w:rPr>
          <w:rFonts w:cstheme="minorHAnsi"/>
          <w:sz w:val="24"/>
          <w:szCs w:val="24"/>
          <w:lang w:val="el-GR"/>
        </w:rPr>
        <w:t xml:space="preserve"> </w:t>
      </w:r>
      <w:r w:rsidR="00B3731F">
        <w:rPr>
          <w:rFonts w:cstheme="minorHAnsi"/>
          <w:sz w:val="24"/>
          <w:szCs w:val="24"/>
          <w:lang w:val="el-GR"/>
        </w:rPr>
        <w:t>διευθυντές</w:t>
      </w:r>
      <w:r w:rsidR="00220066" w:rsidRPr="00B3731F">
        <w:rPr>
          <w:rFonts w:cstheme="minorHAnsi"/>
          <w:sz w:val="24"/>
          <w:szCs w:val="24"/>
          <w:lang w:val="el-GR"/>
        </w:rPr>
        <w:t xml:space="preserve">, </w:t>
      </w:r>
      <w:r w:rsidR="00B3731F">
        <w:rPr>
          <w:rFonts w:cstheme="minorHAnsi"/>
          <w:sz w:val="24"/>
          <w:szCs w:val="24"/>
          <w:lang w:val="el-GR"/>
        </w:rPr>
        <w:t>για</w:t>
      </w:r>
      <w:r w:rsidR="00B3731F" w:rsidRPr="00B3731F">
        <w:rPr>
          <w:rFonts w:cstheme="minorHAnsi"/>
          <w:sz w:val="24"/>
          <w:szCs w:val="24"/>
          <w:lang w:val="el-GR"/>
        </w:rPr>
        <w:t xml:space="preserve"> </w:t>
      </w:r>
      <w:r w:rsidR="00B3731F">
        <w:rPr>
          <w:rFonts w:cstheme="minorHAnsi"/>
          <w:sz w:val="24"/>
          <w:szCs w:val="24"/>
          <w:lang w:val="el-GR"/>
        </w:rPr>
        <w:t>να</w:t>
      </w:r>
      <w:r w:rsidR="00B3731F" w:rsidRPr="00B3731F">
        <w:rPr>
          <w:rFonts w:cstheme="minorHAnsi"/>
          <w:sz w:val="24"/>
          <w:szCs w:val="24"/>
          <w:lang w:val="el-GR"/>
        </w:rPr>
        <w:t xml:space="preserve"> </w:t>
      </w:r>
      <w:r w:rsidR="00B3731F">
        <w:rPr>
          <w:rFonts w:cstheme="minorHAnsi"/>
          <w:sz w:val="24"/>
          <w:szCs w:val="24"/>
          <w:lang w:val="el-GR"/>
        </w:rPr>
        <w:t>τους</w:t>
      </w:r>
      <w:r w:rsidR="00B3731F" w:rsidRPr="00B3731F">
        <w:rPr>
          <w:rFonts w:cstheme="minorHAnsi"/>
          <w:sz w:val="24"/>
          <w:szCs w:val="24"/>
          <w:lang w:val="el-GR"/>
        </w:rPr>
        <w:t xml:space="preserve"> </w:t>
      </w:r>
      <w:r w:rsidR="00B3731F">
        <w:rPr>
          <w:rFonts w:cstheme="minorHAnsi"/>
          <w:sz w:val="24"/>
          <w:szCs w:val="24"/>
          <w:lang w:val="el-GR"/>
        </w:rPr>
        <w:t>εφοπλίσουν καλύτερα</w:t>
      </w:r>
      <w:r w:rsidR="00220066" w:rsidRPr="00B3731F">
        <w:rPr>
          <w:rFonts w:cstheme="minorHAnsi"/>
          <w:sz w:val="24"/>
          <w:szCs w:val="24"/>
          <w:lang w:val="el-GR"/>
        </w:rPr>
        <w:t xml:space="preserve"> </w:t>
      </w:r>
      <w:r w:rsidR="00B3731F">
        <w:rPr>
          <w:rFonts w:cstheme="minorHAnsi"/>
          <w:sz w:val="24"/>
          <w:szCs w:val="24"/>
          <w:lang w:val="el-GR"/>
        </w:rPr>
        <w:t>για να παρασχεθεί ένα προβάδισμα στην ηθική</w:t>
      </w:r>
      <w:r w:rsidR="00220066" w:rsidRPr="00B3731F">
        <w:rPr>
          <w:rFonts w:cstheme="minorHAnsi"/>
          <w:sz w:val="24"/>
          <w:szCs w:val="24"/>
          <w:lang w:val="el-GR"/>
        </w:rPr>
        <w:t xml:space="preserve">, </w:t>
      </w:r>
      <w:r w:rsidR="00B3731F">
        <w:rPr>
          <w:rFonts w:cstheme="minorHAnsi"/>
          <w:sz w:val="24"/>
          <w:szCs w:val="24"/>
          <w:lang w:val="el-GR"/>
        </w:rPr>
        <w:t>την πρόληψη σύγκρουσης συμφερόντων</w:t>
      </w:r>
      <w:r w:rsidR="00220066" w:rsidRPr="00B3731F">
        <w:rPr>
          <w:rFonts w:cstheme="minorHAnsi"/>
          <w:sz w:val="24"/>
          <w:szCs w:val="24"/>
          <w:lang w:val="el-GR"/>
        </w:rPr>
        <w:t xml:space="preserve"> </w:t>
      </w:r>
      <w:r w:rsidR="00B3731F">
        <w:rPr>
          <w:rFonts w:cstheme="minorHAnsi"/>
          <w:sz w:val="24"/>
          <w:szCs w:val="24"/>
          <w:lang w:val="el-GR"/>
        </w:rPr>
        <w:t xml:space="preserve">και άλλων θεμάτων ακεραιότητας και θεμάτων κατά της </w:t>
      </w:r>
      <w:r w:rsidR="00B3731F">
        <w:rPr>
          <w:rFonts w:cstheme="minorHAnsi"/>
          <w:sz w:val="24"/>
          <w:szCs w:val="24"/>
          <w:lang w:val="el-GR"/>
        </w:rPr>
        <w:lastRenderedPageBreak/>
        <w:t>διαφθοράς</w:t>
      </w:r>
      <w:r w:rsidR="00220066" w:rsidRPr="00B3731F">
        <w:rPr>
          <w:rFonts w:cstheme="minorHAnsi"/>
          <w:sz w:val="24"/>
          <w:szCs w:val="24"/>
          <w:lang w:val="el-GR"/>
        </w:rPr>
        <w:t xml:space="preserve"> </w:t>
      </w:r>
      <w:r w:rsidR="00B3731F">
        <w:rPr>
          <w:rFonts w:cstheme="minorHAnsi"/>
          <w:sz w:val="24"/>
          <w:szCs w:val="24"/>
          <w:lang w:val="el-GR"/>
        </w:rPr>
        <w:t>εντός των ομάδων τους</w:t>
      </w:r>
      <w:r w:rsidR="00220066" w:rsidRPr="00B3731F">
        <w:rPr>
          <w:rFonts w:cstheme="minorHAnsi"/>
          <w:sz w:val="24"/>
          <w:szCs w:val="24"/>
          <w:lang w:val="el-GR"/>
        </w:rPr>
        <w:t>.</w:t>
      </w:r>
      <w:r w:rsidR="00220066" w:rsidRPr="00B3731F">
        <w:rPr>
          <w:rFonts w:cstheme="minorHAnsi"/>
          <w:b/>
          <w:bCs/>
          <w:sz w:val="24"/>
          <w:szCs w:val="24"/>
          <w:lang w:val="el-GR"/>
        </w:rPr>
        <w:t xml:space="preserve"> </w:t>
      </w:r>
      <w:r w:rsidR="00B3731F" w:rsidRPr="00B3731F">
        <w:rPr>
          <w:rFonts w:cstheme="minorHAnsi"/>
          <w:bCs/>
          <w:sz w:val="24"/>
          <w:szCs w:val="24"/>
          <w:lang w:val="el-GR"/>
        </w:rPr>
        <w:t>Επιπλέον</w:t>
      </w:r>
      <w:r w:rsidR="00220066" w:rsidRPr="00B3731F">
        <w:rPr>
          <w:rFonts w:cstheme="minorHAnsi"/>
          <w:sz w:val="24"/>
          <w:szCs w:val="24"/>
          <w:lang w:val="el-GR"/>
        </w:rPr>
        <w:t xml:space="preserve">, </w:t>
      </w:r>
      <w:r w:rsidR="00B3731F">
        <w:rPr>
          <w:rFonts w:cstheme="minorHAnsi"/>
          <w:sz w:val="24"/>
          <w:szCs w:val="24"/>
          <w:lang w:val="el-GR"/>
        </w:rPr>
        <w:t>το</w:t>
      </w:r>
      <w:r w:rsidR="00B3731F" w:rsidRPr="00B3731F">
        <w:rPr>
          <w:rFonts w:cstheme="minorHAnsi"/>
          <w:sz w:val="24"/>
          <w:szCs w:val="24"/>
          <w:lang w:val="el-GR"/>
        </w:rPr>
        <w:t xml:space="preserve"> </w:t>
      </w:r>
      <w:r w:rsidR="00B3731F">
        <w:rPr>
          <w:rFonts w:cstheme="minorHAnsi"/>
          <w:sz w:val="24"/>
          <w:szCs w:val="24"/>
          <w:lang w:val="el-GR"/>
        </w:rPr>
        <w:t>γεγονός</w:t>
      </w:r>
      <w:r w:rsidR="00B3731F" w:rsidRPr="00B3731F">
        <w:rPr>
          <w:rFonts w:cstheme="minorHAnsi"/>
          <w:sz w:val="24"/>
          <w:szCs w:val="24"/>
          <w:lang w:val="el-GR"/>
        </w:rPr>
        <w:t xml:space="preserve"> </w:t>
      </w:r>
      <w:r w:rsidR="00B3731F">
        <w:rPr>
          <w:rFonts w:cstheme="minorHAnsi"/>
          <w:sz w:val="24"/>
          <w:szCs w:val="24"/>
          <w:lang w:val="el-GR"/>
        </w:rPr>
        <w:t>ότι</w:t>
      </w:r>
      <w:r w:rsidR="00220066" w:rsidRPr="00B3731F">
        <w:rPr>
          <w:rFonts w:cstheme="minorHAnsi"/>
          <w:sz w:val="24"/>
          <w:szCs w:val="24"/>
          <w:lang w:val="el-GR"/>
        </w:rPr>
        <w:t xml:space="preserve"> </w:t>
      </w:r>
      <w:r w:rsidR="00B3731F">
        <w:rPr>
          <w:rFonts w:cstheme="minorHAnsi"/>
          <w:sz w:val="24"/>
          <w:szCs w:val="24"/>
          <w:lang w:val="el-GR"/>
        </w:rPr>
        <w:t>λίγοι</w:t>
      </w:r>
      <w:r w:rsidR="00B3731F" w:rsidRPr="00B3731F">
        <w:rPr>
          <w:rFonts w:cstheme="minorHAnsi"/>
          <w:sz w:val="24"/>
          <w:szCs w:val="24"/>
          <w:lang w:val="el-GR"/>
        </w:rPr>
        <w:t xml:space="preserve"> </w:t>
      </w:r>
      <w:r w:rsidR="00B3731F">
        <w:rPr>
          <w:rFonts w:cstheme="minorHAnsi"/>
          <w:sz w:val="24"/>
          <w:szCs w:val="24"/>
          <w:lang w:val="el-GR"/>
        </w:rPr>
        <w:t>αξιωματούχοι</w:t>
      </w:r>
      <w:r w:rsidR="00B3731F" w:rsidRPr="00B3731F">
        <w:rPr>
          <w:rFonts w:cstheme="minorHAnsi"/>
          <w:sz w:val="24"/>
          <w:szCs w:val="24"/>
          <w:lang w:val="el-GR"/>
        </w:rPr>
        <w:t xml:space="preserve"> </w:t>
      </w:r>
      <w:r w:rsidR="00B3731F">
        <w:rPr>
          <w:rFonts w:cstheme="minorHAnsi"/>
          <w:sz w:val="24"/>
          <w:szCs w:val="24"/>
          <w:lang w:val="el-GR"/>
        </w:rPr>
        <w:t>αναζητούν</w:t>
      </w:r>
      <w:r w:rsidR="00B3731F" w:rsidRPr="00B3731F">
        <w:rPr>
          <w:rFonts w:cstheme="minorHAnsi"/>
          <w:sz w:val="24"/>
          <w:szCs w:val="24"/>
          <w:lang w:val="el-GR"/>
        </w:rPr>
        <w:t xml:space="preserve"> </w:t>
      </w:r>
      <w:r w:rsidR="00B3731F">
        <w:rPr>
          <w:rFonts w:cstheme="minorHAnsi"/>
          <w:sz w:val="24"/>
          <w:szCs w:val="24"/>
          <w:lang w:val="el-GR"/>
        </w:rPr>
        <w:t>συμβουλή</w:t>
      </w:r>
      <w:r w:rsidR="00B3731F" w:rsidRPr="00B3731F">
        <w:rPr>
          <w:rFonts w:cstheme="minorHAnsi"/>
          <w:sz w:val="24"/>
          <w:szCs w:val="24"/>
          <w:lang w:val="el-GR"/>
        </w:rPr>
        <w:t xml:space="preserve"> </w:t>
      </w:r>
      <w:r w:rsidR="00B3731F">
        <w:rPr>
          <w:rFonts w:cstheme="minorHAnsi"/>
          <w:sz w:val="24"/>
          <w:szCs w:val="24"/>
          <w:lang w:val="el-GR"/>
        </w:rPr>
        <w:t>από</w:t>
      </w:r>
      <w:r w:rsidR="00B3731F" w:rsidRPr="00B3731F">
        <w:rPr>
          <w:rFonts w:cstheme="minorHAnsi"/>
          <w:sz w:val="24"/>
          <w:szCs w:val="24"/>
          <w:lang w:val="el-GR"/>
        </w:rPr>
        <w:t xml:space="preserve"> </w:t>
      </w:r>
      <w:r w:rsidR="00B3731F">
        <w:rPr>
          <w:rFonts w:cstheme="minorHAnsi"/>
          <w:sz w:val="24"/>
          <w:szCs w:val="24"/>
          <w:lang w:val="el-GR"/>
        </w:rPr>
        <w:t>την</w:t>
      </w:r>
      <w:r w:rsidR="00220066" w:rsidRPr="00B3731F">
        <w:rPr>
          <w:rFonts w:cstheme="minorHAnsi"/>
          <w:sz w:val="24"/>
          <w:szCs w:val="24"/>
          <w:lang w:val="el-GR"/>
        </w:rPr>
        <w:t xml:space="preserve"> </w:t>
      </w:r>
      <w:r w:rsidR="00220066" w:rsidRPr="004E251E">
        <w:rPr>
          <w:rFonts w:cstheme="minorHAnsi"/>
          <w:sz w:val="24"/>
          <w:szCs w:val="24"/>
        </w:rPr>
        <w:t>PSID</w:t>
      </w:r>
      <w:r w:rsidR="00220066" w:rsidRPr="00B3731F">
        <w:rPr>
          <w:rFonts w:cstheme="minorHAnsi"/>
          <w:sz w:val="24"/>
          <w:szCs w:val="24"/>
          <w:lang w:val="el-GR"/>
        </w:rPr>
        <w:t xml:space="preserve"> </w:t>
      </w:r>
      <w:r w:rsidR="00B3731F">
        <w:rPr>
          <w:rFonts w:cstheme="minorHAnsi"/>
          <w:sz w:val="24"/>
          <w:szCs w:val="24"/>
          <w:lang w:val="el-GR"/>
        </w:rPr>
        <w:t>υποδηλώνει</w:t>
      </w:r>
      <w:r w:rsidR="00B3731F" w:rsidRPr="00B3731F">
        <w:rPr>
          <w:rFonts w:cstheme="minorHAnsi"/>
          <w:sz w:val="24"/>
          <w:szCs w:val="24"/>
          <w:lang w:val="el-GR"/>
        </w:rPr>
        <w:t xml:space="preserve"> </w:t>
      </w:r>
      <w:r w:rsidR="00B3731F">
        <w:rPr>
          <w:rFonts w:cstheme="minorHAnsi"/>
          <w:sz w:val="24"/>
          <w:szCs w:val="24"/>
          <w:lang w:val="el-GR"/>
        </w:rPr>
        <w:t>ότι</w:t>
      </w:r>
      <w:r w:rsidR="00220066" w:rsidRPr="00B3731F">
        <w:rPr>
          <w:rFonts w:cstheme="minorHAnsi"/>
          <w:sz w:val="24"/>
          <w:szCs w:val="24"/>
          <w:lang w:val="el-GR"/>
        </w:rPr>
        <w:t xml:space="preserve"> </w:t>
      </w:r>
      <w:r w:rsidR="00B3731F">
        <w:rPr>
          <w:rFonts w:cstheme="minorHAnsi"/>
          <w:sz w:val="24"/>
          <w:szCs w:val="24"/>
          <w:lang w:val="el-GR"/>
        </w:rPr>
        <w:t>η</w:t>
      </w:r>
      <w:r w:rsidR="00B3731F" w:rsidRPr="00B3731F">
        <w:rPr>
          <w:rFonts w:cstheme="minorHAnsi"/>
          <w:sz w:val="24"/>
          <w:szCs w:val="24"/>
          <w:lang w:val="el-GR"/>
        </w:rPr>
        <w:t xml:space="preserve"> </w:t>
      </w:r>
      <w:r w:rsidR="00B3731F">
        <w:rPr>
          <w:rFonts w:cstheme="minorHAnsi"/>
          <w:sz w:val="24"/>
          <w:szCs w:val="24"/>
          <w:lang w:val="el-GR"/>
        </w:rPr>
        <w:t>χρήση</w:t>
      </w:r>
      <w:r w:rsidR="00B3731F" w:rsidRPr="00B3731F">
        <w:rPr>
          <w:rFonts w:cstheme="minorHAnsi"/>
          <w:sz w:val="24"/>
          <w:szCs w:val="24"/>
          <w:lang w:val="el-GR"/>
        </w:rPr>
        <w:t xml:space="preserve"> </w:t>
      </w:r>
      <w:r w:rsidR="00B3731F">
        <w:rPr>
          <w:rFonts w:cstheme="minorHAnsi"/>
          <w:sz w:val="24"/>
          <w:szCs w:val="24"/>
          <w:lang w:val="el-GR"/>
        </w:rPr>
        <w:t>αυτού</w:t>
      </w:r>
      <w:r w:rsidR="00B3731F" w:rsidRPr="00B3731F">
        <w:rPr>
          <w:rFonts w:cstheme="minorHAnsi"/>
          <w:sz w:val="24"/>
          <w:szCs w:val="24"/>
          <w:lang w:val="el-GR"/>
        </w:rPr>
        <w:t xml:space="preserve"> </w:t>
      </w:r>
      <w:r w:rsidR="00B3731F">
        <w:rPr>
          <w:rFonts w:cstheme="minorHAnsi"/>
          <w:sz w:val="24"/>
          <w:szCs w:val="24"/>
          <w:lang w:val="el-GR"/>
        </w:rPr>
        <w:t>του</w:t>
      </w:r>
      <w:r w:rsidR="00B3731F" w:rsidRPr="00B3731F">
        <w:rPr>
          <w:rFonts w:cstheme="minorHAnsi"/>
          <w:sz w:val="24"/>
          <w:szCs w:val="24"/>
          <w:lang w:val="el-GR"/>
        </w:rPr>
        <w:t xml:space="preserve"> </w:t>
      </w:r>
      <w:r w:rsidR="00B3731F">
        <w:rPr>
          <w:rFonts w:cstheme="minorHAnsi"/>
          <w:sz w:val="24"/>
          <w:szCs w:val="24"/>
          <w:lang w:val="el-GR"/>
        </w:rPr>
        <w:t>πόρου δεν συνιστάται ή προωθείται επαρκώς ως την καλύτερη πρακτική</w:t>
      </w:r>
      <w:r w:rsidR="00220066" w:rsidRPr="00B3731F">
        <w:rPr>
          <w:rFonts w:cstheme="minorHAnsi"/>
          <w:sz w:val="24"/>
          <w:szCs w:val="24"/>
          <w:lang w:val="el-GR"/>
        </w:rPr>
        <w:t xml:space="preserve">, </w:t>
      </w:r>
      <w:r w:rsidR="00B3731F">
        <w:rPr>
          <w:rFonts w:cstheme="minorHAnsi"/>
          <w:sz w:val="24"/>
          <w:szCs w:val="24"/>
          <w:lang w:val="el-GR"/>
        </w:rPr>
        <w:t>ή ότι υπάρχει μια ανησυχία για την εμπιστευτικότητα</w:t>
      </w:r>
      <w:r w:rsidR="00220066" w:rsidRPr="00B3731F">
        <w:rPr>
          <w:rFonts w:cstheme="minorHAnsi"/>
          <w:sz w:val="24"/>
          <w:szCs w:val="24"/>
          <w:lang w:val="el-GR"/>
        </w:rPr>
        <w:t xml:space="preserve">. </w:t>
      </w:r>
      <w:r w:rsidR="00B53443">
        <w:rPr>
          <w:rFonts w:cstheme="minorHAnsi"/>
          <w:sz w:val="24"/>
          <w:szCs w:val="24"/>
          <w:lang w:val="el-GR"/>
        </w:rPr>
        <w:t>Ως τέτοια</w:t>
      </w:r>
      <w:r w:rsidR="00220066" w:rsidRPr="00280901">
        <w:rPr>
          <w:rFonts w:cstheme="minorHAnsi"/>
          <w:sz w:val="24"/>
          <w:szCs w:val="24"/>
          <w:lang w:val="el-GR"/>
        </w:rPr>
        <w:t xml:space="preserve">, </w:t>
      </w:r>
      <w:r w:rsidR="00280901" w:rsidRPr="00280901">
        <w:rPr>
          <w:rFonts w:cstheme="minorHAnsi"/>
          <w:b/>
          <w:sz w:val="24"/>
          <w:szCs w:val="24"/>
          <w:lang w:val="el-GR"/>
        </w:rPr>
        <w:t>η</w:t>
      </w:r>
      <w:r w:rsidR="00280901" w:rsidRPr="00280901">
        <w:rPr>
          <w:rFonts w:cstheme="minorHAnsi"/>
          <w:sz w:val="24"/>
          <w:szCs w:val="24"/>
          <w:lang w:val="el-GR"/>
        </w:rPr>
        <w:t xml:space="preserve"> </w:t>
      </w:r>
      <w:r w:rsidR="00220066" w:rsidRPr="004E251E">
        <w:rPr>
          <w:rFonts w:cstheme="minorHAnsi"/>
          <w:b/>
          <w:bCs/>
          <w:sz w:val="24"/>
          <w:szCs w:val="24"/>
        </w:rPr>
        <w:t>GRECO</w:t>
      </w:r>
      <w:r w:rsidR="00220066" w:rsidRPr="00280901">
        <w:rPr>
          <w:rFonts w:cstheme="minorHAnsi"/>
          <w:b/>
          <w:bCs/>
          <w:sz w:val="24"/>
          <w:szCs w:val="24"/>
          <w:lang w:val="el-GR"/>
        </w:rPr>
        <w:t xml:space="preserve"> </w:t>
      </w:r>
      <w:r w:rsidR="00280901">
        <w:rPr>
          <w:rFonts w:cstheme="minorHAnsi"/>
          <w:b/>
          <w:bCs/>
          <w:sz w:val="24"/>
          <w:szCs w:val="24"/>
          <w:lang w:val="el-GR"/>
        </w:rPr>
        <w:t>συνιστά</w:t>
      </w:r>
      <w:r w:rsidR="00220066" w:rsidRPr="00280901">
        <w:rPr>
          <w:rFonts w:cstheme="minorHAnsi"/>
          <w:b/>
          <w:bCs/>
          <w:sz w:val="24"/>
          <w:szCs w:val="24"/>
          <w:lang w:val="el-GR"/>
        </w:rPr>
        <w:t xml:space="preserve"> </w:t>
      </w:r>
      <w:r w:rsidR="00162C83">
        <w:rPr>
          <w:rFonts w:cstheme="minorHAnsi"/>
          <w:b/>
          <w:bCs/>
          <w:sz w:val="24"/>
          <w:szCs w:val="24"/>
          <w:lang w:val="el-GR"/>
        </w:rPr>
        <w:t xml:space="preserve">ότι </w:t>
      </w:r>
      <w:r w:rsidR="00162C83" w:rsidRPr="006A4B70">
        <w:rPr>
          <w:rFonts w:cstheme="minorHAnsi"/>
          <w:b/>
          <w:bCs/>
          <w:sz w:val="24"/>
          <w:szCs w:val="24"/>
          <w:lang w:val="el-GR"/>
        </w:rPr>
        <w:t>(</w:t>
      </w:r>
      <w:proofErr w:type="spellStart"/>
      <w:r w:rsidR="00162C83" w:rsidRPr="004E251E">
        <w:rPr>
          <w:rFonts w:cstheme="minorHAnsi"/>
          <w:b/>
          <w:bCs/>
          <w:sz w:val="24"/>
          <w:szCs w:val="24"/>
        </w:rPr>
        <w:t>i</w:t>
      </w:r>
      <w:proofErr w:type="spellEnd"/>
      <w:r w:rsidR="00162C83" w:rsidRPr="006A4B70">
        <w:rPr>
          <w:rFonts w:cstheme="minorHAnsi"/>
          <w:b/>
          <w:bCs/>
          <w:sz w:val="24"/>
          <w:szCs w:val="24"/>
          <w:lang w:val="el-GR"/>
        </w:rPr>
        <w:t xml:space="preserve">) </w:t>
      </w:r>
      <w:r w:rsidR="00162C83">
        <w:rPr>
          <w:rFonts w:cstheme="minorHAnsi"/>
          <w:b/>
          <w:bCs/>
          <w:sz w:val="24"/>
          <w:szCs w:val="24"/>
          <w:lang w:val="el-GR"/>
        </w:rPr>
        <w:t>θα</w:t>
      </w:r>
      <w:r w:rsidR="00162C83" w:rsidRPr="006A4B70">
        <w:rPr>
          <w:rFonts w:cstheme="minorHAnsi"/>
          <w:b/>
          <w:bCs/>
          <w:sz w:val="24"/>
          <w:szCs w:val="24"/>
          <w:lang w:val="el-GR"/>
        </w:rPr>
        <w:t xml:space="preserve"> </w:t>
      </w:r>
      <w:r w:rsidR="00162C83">
        <w:rPr>
          <w:rFonts w:cstheme="minorHAnsi"/>
          <w:b/>
          <w:bCs/>
          <w:sz w:val="24"/>
          <w:szCs w:val="24"/>
          <w:lang w:val="el-GR"/>
        </w:rPr>
        <w:t>πρέπει</w:t>
      </w:r>
      <w:r w:rsidR="00162C83" w:rsidRPr="006A4B70">
        <w:rPr>
          <w:rFonts w:cstheme="minorHAnsi"/>
          <w:b/>
          <w:bCs/>
          <w:sz w:val="24"/>
          <w:szCs w:val="24"/>
          <w:lang w:val="el-GR"/>
        </w:rPr>
        <w:t xml:space="preserve"> </w:t>
      </w:r>
      <w:r w:rsidR="00162C83">
        <w:rPr>
          <w:rFonts w:cstheme="minorHAnsi"/>
          <w:b/>
          <w:bCs/>
          <w:sz w:val="24"/>
          <w:szCs w:val="24"/>
          <w:lang w:val="el-GR"/>
        </w:rPr>
        <w:t>να</w:t>
      </w:r>
      <w:r w:rsidR="00162C83" w:rsidRPr="006A4B70">
        <w:rPr>
          <w:rFonts w:cstheme="minorHAnsi"/>
          <w:b/>
          <w:bCs/>
          <w:sz w:val="24"/>
          <w:szCs w:val="24"/>
          <w:lang w:val="el-GR"/>
        </w:rPr>
        <w:t xml:space="preserve"> </w:t>
      </w:r>
      <w:r w:rsidR="00162C83">
        <w:rPr>
          <w:rFonts w:cstheme="minorHAnsi"/>
          <w:b/>
          <w:bCs/>
          <w:sz w:val="24"/>
          <w:szCs w:val="24"/>
          <w:lang w:val="el-GR"/>
        </w:rPr>
        <w:t>αναπτυχθούν</w:t>
      </w:r>
      <w:r w:rsidR="00162C83" w:rsidRPr="006A4B70">
        <w:rPr>
          <w:rFonts w:cstheme="minorHAnsi"/>
          <w:b/>
          <w:bCs/>
          <w:sz w:val="24"/>
          <w:szCs w:val="24"/>
          <w:lang w:val="el-GR"/>
        </w:rPr>
        <w:t xml:space="preserve"> </w:t>
      </w:r>
      <w:r w:rsidR="00162C83">
        <w:rPr>
          <w:rFonts w:cstheme="minorHAnsi"/>
          <w:b/>
          <w:bCs/>
          <w:sz w:val="24"/>
          <w:szCs w:val="24"/>
          <w:lang w:val="el-GR"/>
        </w:rPr>
        <w:t>και</w:t>
      </w:r>
      <w:r w:rsidR="00162C83" w:rsidRPr="006A4B70">
        <w:rPr>
          <w:rFonts w:cstheme="minorHAnsi"/>
          <w:b/>
          <w:bCs/>
          <w:sz w:val="24"/>
          <w:szCs w:val="24"/>
          <w:lang w:val="el-GR"/>
        </w:rPr>
        <w:t xml:space="preserve"> </w:t>
      </w:r>
      <w:r w:rsidR="00162C83">
        <w:rPr>
          <w:rFonts w:cstheme="minorHAnsi"/>
          <w:b/>
          <w:bCs/>
          <w:sz w:val="24"/>
          <w:szCs w:val="24"/>
          <w:lang w:val="el-GR"/>
        </w:rPr>
        <w:t>να</w:t>
      </w:r>
      <w:r w:rsidR="00162C83" w:rsidRPr="006A4B70">
        <w:rPr>
          <w:rFonts w:cstheme="minorHAnsi"/>
          <w:b/>
          <w:bCs/>
          <w:sz w:val="24"/>
          <w:szCs w:val="24"/>
          <w:lang w:val="el-GR"/>
        </w:rPr>
        <w:t xml:space="preserve"> </w:t>
      </w:r>
      <w:r w:rsidR="00162C83">
        <w:rPr>
          <w:rFonts w:cstheme="minorHAnsi"/>
          <w:b/>
          <w:bCs/>
          <w:sz w:val="24"/>
          <w:szCs w:val="24"/>
          <w:lang w:val="el-GR"/>
        </w:rPr>
        <w:t>παρασχεθούν</w:t>
      </w:r>
      <w:r w:rsidR="00162C83" w:rsidRPr="006A4B70">
        <w:rPr>
          <w:rFonts w:cstheme="minorHAnsi"/>
          <w:b/>
          <w:bCs/>
          <w:sz w:val="24"/>
          <w:szCs w:val="24"/>
          <w:lang w:val="el-GR"/>
        </w:rPr>
        <w:t xml:space="preserve"> </w:t>
      </w:r>
      <w:r w:rsidR="00162C83">
        <w:rPr>
          <w:rFonts w:cstheme="minorHAnsi"/>
          <w:b/>
          <w:bCs/>
          <w:sz w:val="24"/>
          <w:szCs w:val="24"/>
          <w:lang w:val="el-GR"/>
        </w:rPr>
        <w:t>σε</w:t>
      </w:r>
      <w:r w:rsidR="00162C83" w:rsidRPr="006A4B70">
        <w:rPr>
          <w:rFonts w:cstheme="minorHAnsi"/>
          <w:b/>
          <w:bCs/>
          <w:sz w:val="24"/>
          <w:szCs w:val="24"/>
          <w:lang w:val="el-GR"/>
        </w:rPr>
        <w:t xml:space="preserve"> </w:t>
      </w:r>
      <w:r w:rsidR="00162C83">
        <w:rPr>
          <w:rFonts w:cstheme="minorHAnsi"/>
          <w:b/>
          <w:bCs/>
          <w:sz w:val="24"/>
          <w:szCs w:val="24"/>
          <w:lang w:val="el-GR"/>
        </w:rPr>
        <w:t>τακτά</w:t>
      </w:r>
      <w:r w:rsidR="00162C83" w:rsidRPr="006A4B70">
        <w:rPr>
          <w:rFonts w:cstheme="minorHAnsi"/>
          <w:b/>
          <w:bCs/>
          <w:sz w:val="24"/>
          <w:szCs w:val="24"/>
          <w:lang w:val="el-GR"/>
        </w:rPr>
        <w:t xml:space="preserve"> </w:t>
      </w:r>
      <w:r w:rsidR="00162C83">
        <w:rPr>
          <w:rFonts w:cstheme="minorHAnsi"/>
          <w:b/>
          <w:bCs/>
          <w:sz w:val="24"/>
          <w:szCs w:val="24"/>
          <w:lang w:val="el-GR"/>
        </w:rPr>
        <w:t>χρονικά</w:t>
      </w:r>
      <w:r w:rsidR="00162C83" w:rsidRPr="006A4B70">
        <w:rPr>
          <w:rFonts w:cstheme="minorHAnsi"/>
          <w:b/>
          <w:bCs/>
          <w:sz w:val="24"/>
          <w:szCs w:val="24"/>
          <w:lang w:val="el-GR"/>
        </w:rPr>
        <w:t xml:space="preserve"> </w:t>
      </w:r>
      <w:r w:rsidR="00162C83">
        <w:rPr>
          <w:rFonts w:cstheme="minorHAnsi"/>
          <w:b/>
          <w:bCs/>
          <w:sz w:val="24"/>
          <w:szCs w:val="24"/>
          <w:lang w:val="el-GR"/>
        </w:rPr>
        <w:t>διαστήματα</w:t>
      </w:r>
      <w:r w:rsidR="00162C83" w:rsidRPr="006A4B70">
        <w:rPr>
          <w:rFonts w:cstheme="minorHAnsi"/>
          <w:b/>
          <w:bCs/>
          <w:sz w:val="24"/>
          <w:szCs w:val="24"/>
          <w:lang w:val="el-GR"/>
        </w:rPr>
        <w:t xml:space="preserve"> </w:t>
      </w:r>
      <w:proofErr w:type="spellStart"/>
      <w:r w:rsidR="00162C83">
        <w:rPr>
          <w:rFonts w:cstheme="minorHAnsi"/>
          <w:b/>
          <w:bCs/>
          <w:sz w:val="24"/>
          <w:szCs w:val="24"/>
          <w:lang w:val="el-GR"/>
        </w:rPr>
        <w:t>ενδο</w:t>
      </w:r>
      <w:proofErr w:type="spellEnd"/>
      <w:r w:rsidR="00162C83" w:rsidRPr="006A4B70">
        <w:rPr>
          <w:rFonts w:cstheme="minorHAnsi"/>
          <w:b/>
          <w:bCs/>
          <w:sz w:val="24"/>
          <w:szCs w:val="24"/>
          <w:lang w:val="el-GR"/>
        </w:rPr>
        <w:t>-</w:t>
      </w:r>
      <w:r w:rsidR="00162C83">
        <w:rPr>
          <w:rFonts w:cstheme="minorHAnsi"/>
          <w:b/>
          <w:bCs/>
          <w:sz w:val="24"/>
          <w:szCs w:val="24"/>
          <w:lang w:val="el-GR"/>
        </w:rPr>
        <w:t>υπηρεσιακά</w:t>
      </w:r>
      <w:r w:rsidR="00162C83" w:rsidRPr="006A4B70">
        <w:rPr>
          <w:rFonts w:cstheme="minorHAnsi"/>
          <w:b/>
          <w:bCs/>
          <w:sz w:val="24"/>
          <w:szCs w:val="24"/>
          <w:lang w:val="el-GR"/>
        </w:rPr>
        <w:t xml:space="preserve"> </w:t>
      </w:r>
      <w:r w:rsidR="00162C83">
        <w:rPr>
          <w:rFonts w:cstheme="minorHAnsi"/>
          <w:b/>
          <w:bCs/>
          <w:sz w:val="24"/>
          <w:szCs w:val="24"/>
          <w:lang w:val="el-GR"/>
        </w:rPr>
        <w:t>εκπαιδευτικά</w:t>
      </w:r>
      <w:r w:rsidR="00162C83" w:rsidRPr="006A4B70">
        <w:rPr>
          <w:rFonts w:cstheme="minorHAnsi"/>
          <w:b/>
          <w:bCs/>
          <w:sz w:val="24"/>
          <w:szCs w:val="24"/>
          <w:lang w:val="el-GR"/>
        </w:rPr>
        <w:t xml:space="preserve"> </w:t>
      </w:r>
      <w:r w:rsidR="00162C83">
        <w:rPr>
          <w:rFonts w:cstheme="minorHAnsi"/>
          <w:b/>
          <w:bCs/>
          <w:sz w:val="24"/>
          <w:szCs w:val="24"/>
          <w:lang w:val="el-GR"/>
        </w:rPr>
        <w:t>προγράμματα</w:t>
      </w:r>
      <w:r w:rsidR="00162C83" w:rsidRPr="006A4B70">
        <w:rPr>
          <w:rFonts w:cstheme="minorHAnsi"/>
          <w:b/>
          <w:bCs/>
          <w:sz w:val="24"/>
          <w:szCs w:val="24"/>
          <w:lang w:val="el-GR"/>
        </w:rPr>
        <w:t xml:space="preserve"> </w:t>
      </w:r>
      <w:r w:rsidR="00162C83">
        <w:rPr>
          <w:rFonts w:cstheme="minorHAnsi"/>
          <w:b/>
          <w:bCs/>
          <w:sz w:val="24"/>
          <w:szCs w:val="24"/>
          <w:lang w:val="el-GR"/>
        </w:rPr>
        <w:t>και</w:t>
      </w:r>
      <w:r w:rsidR="00162C83" w:rsidRPr="006A4B70">
        <w:rPr>
          <w:rFonts w:cstheme="minorHAnsi"/>
          <w:b/>
          <w:bCs/>
          <w:sz w:val="24"/>
          <w:szCs w:val="24"/>
          <w:lang w:val="el-GR"/>
        </w:rPr>
        <w:t xml:space="preserve"> </w:t>
      </w:r>
      <w:r w:rsidR="00162C83">
        <w:rPr>
          <w:rFonts w:cstheme="minorHAnsi"/>
          <w:b/>
          <w:bCs/>
          <w:sz w:val="24"/>
          <w:szCs w:val="24"/>
          <w:lang w:val="el-GR"/>
        </w:rPr>
        <w:t>μέτρα</w:t>
      </w:r>
      <w:r w:rsidR="00162C83" w:rsidRPr="006A4B70">
        <w:rPr>
          <w:rFonts w:cstheme="minorHAnsi"/>
          <w:b/>
          <w:bCs/>
          <w:sz w:val="24"/>
          <w:szCs w:val="24"/>
          <w:lang w:val="el-GR"/>
        </w:rPr>
        <w:t xml:space="preserve"> </w:t>
      </w:r>
      <w:r w:rsidR="00162C83">
        <w:rPr>
          <w:rFonts w:cstheme="minorHAnsi"/>
          <w:b/>
          <w:bCs/>
          <w:sz w:val="24"/>
          <w:szCs w:val="24"/>
          <w:lang w:val="el-GR"/>
        </w:rPr>
        <w:t>ευαισθητοποίησης</w:t>
      </w:r>
      <w:r w:rsidR="00162C83" w:rsidRPr="006A4B70">
        <w:rPr>
          <w:rFonts w:cstheme="minorHAnsi"/>
          <w:b/>
          <w:bCs/>
          <w:sz w:val="24"/>
          <w:szCs w:val="24"/>
          <w:lang w:val="el-GR"/>
        </w:rPr>
        <w:t xml:space="preserve"> </w:t>
      </w:r>
      <w:r w:rsidR="00162C83">
        <w:rPr>
          <w:rFonts w:cstheme="minorHAnsi"/>
          <w:b/>
          <w:bCs/>
          <w:sz w:val="24"/>
          <w:szCs w:val="24"/>
          <w:lang w:val="el-GR"/>
        </w:rPr>
        <w:t>τόσο κατά</w:t>
      </w:r>
      <w:r w:rsidR="00162C83" w:rsidRPr="006A4B70">
        <w:rPr>
          <w:rFonts w:cstheme="minorHAnsi"/>
          <w:b/>
          <w:bCs/>
          <w:sz w:val="24"/>
          <w:szCs w:val="24"/>
          <w:lang w:val="el-GR"/>
        </w:rPr>
        <w:t xml:space="preserve"> </w:t>
      </w:r>
      <w:r w:rsidR="00162C83">
        <w:rPr>
          <w:rFonts w:cstheme="minorHAnsi"/>
          <w:b/>
          <w:bCs/>
          <w:sz w:val="24"/>
          <w:szCs w:val="24"/>
          <w:lang w:val="el-GR"/>
        </w:rPr>
        <w:t>της</w:t>
      </w:r>
      <w:r w:rsidR="00162C83" w:rsidRPr="006A4B70">
        <w:rPr>
          <w:rFonts w:cstheme="minorHAnsi"/>
          <w:b/>
          <w:bCs/>
          <w:sz w:val="24"/>
          <w:szCs w:val="24"/>
          <w:lang w:val="el-GR"/>
        </w:rPr>
        <w:t xml:space="preserve"> </w:t>
      </w:r>
      <w:r w:rsidR="00162C83">
        <w:rPr>
          <w:rFonts w:cstheme="minorHAnsi"/>
          <w:b/>
          <w:bCs/>
          <w:sz w:val="24"/>
          <w:szCs w:val="24"/>
          <w:lang w:val="el-GR"/>
        </w:rPr>
        <w:t>διαφθοράς</w:t>
      </w:r>
      <w:r w:rsidR="00162C83" w:rsidRPr="006A4B70">
        <w:rPr>
          <w:rFonts w:cstheme="minorHAnsi"/>
          <w:b/>
          <w:bCs/>
          <w:sz w:val="24"/>
          <w:szCs w:val="24"/>
          <w:lang w:val="el-GR"/>
        </w:rPr>
        <w:t>,</w:t>
      </w:r>
      <w:r w:rsidR="00162C83">
        <w:rPr>
          <w:rFonts w:cstheme="minorHAnsi"/>
          <w:b/>
          <w:bCs/>
          <w:sz w:val="24"/>
          <w:szCs w:val="24"/>
          <w:lang w:val="el-GR"/>
        </w:rPr>
        <w:t xml:space="preserve"> όσο</w:t>
      </w:r>
      <w:r w:rsidR="00162C83" w:rsidRPr="006A4B70">
        <w:rPr>
          <w:rFonts w:cstheme="minorHAnsi"/>
          <w:b/>
          <w:bCs/>
          <w:sz w:val="24"/>
          <w:szCs w:val="24"/>
          <w:lang w:val="el-GR"/>
        </w:rPr>
        <w:t xml:space="preserve"> </w:t>
      </w:r>
      <w:r w:rsidR="00162C83">
        <w:rPr>
          <w:rFonts w:cstheme="minorHAnsi"/>
          <w:b/>
          <w:bCs/>
          <w:sz w:val="24"/>
          <w:szCs w:val="24"/>
          <w:lang w:val="el-GR"/>
        </w:rPr>
        <w:t>και</w:t>
      </w:r>
      <w:r w:rsidR="00162C83" w:rsidRPr="006A4B70">
        <w:rPr>
          <w:rFonts w:cstheme="minorHAnsi"/>
          <w:b/>
          <w:bCs/>
          <w:sz w:val="24"/>
          <w:szCs w:val="24"/>
          <w:lang w:val="el-GR"/>
        </w:rPr>
        <w:t xml:space="preserve"> </w:t>
      </w:r>
      <w:r w:rsidR="00162C83">
        <w:rPr>
          <w:rFonts w:cstheme="minorHAnsi"/>
          <w:b/>
          <w:bCs/>
          <w:sz w:val="24"/>
          <w:szCs w:val="24"/>
          <w:lang w:val="el-GR"/>
        </w:rPr>
        <w:t>για</w:t>
      </w:r>
      <w:r w:rsidR="00162C83" w:rsidRPr="006A4B70">
        <w:rPr>
          <w:rFonts w:cstheme="minorHAnsi"/>
          <w:b/>
          <w:bCs/>
          <w:sz w:val="24"/>
          <w:szCs w:val="24"/>
          <w:lang w:val="el-GR"/>
        </w:rPr>
        <w:t xml:space="preserve"> </w:t>
      </w:r>
      <w:r w:rsidR="00162C83">
        <w:rPr>
          <w:rFonts w:cstheme="minorHAnsi"/>
          <w:b/>
          <w:bCs/>
          <w:sz w:val="24"/>
          <w:szCs w:val="24"/>
          <w:lang w:val="el-GR"/>
        </w:rPr>
        <w:t>την</w:t>
      </w:r>
      <w:r w:rsidR="00162C83" w:rsidRPr="006A4B70">
        <w:rPr>
          <w:rFonts w:cstheme="minorHAnsi"/>
          <w:b/>
          <w:bCs/>
          <w:sz w:val="24"/>
          <w:szCs w:val="24"/>
          <w:lang w:val="el-GR"/>
        </w:rPr>
        <w:t xml:space="preserve"> </w:t>
      </w:r>
      <w:r w:rsidR="00162C83">
        <w:rPr>
          <w:rFonts w:cstheme="minorHAnsi"/>
          <w:b/>
          <w:bCs/>
          <w:sz w:val="24"/>
          <w:szCs w:val="24"/>
          <w:lang w:val="el-GR"/>
        </w:rPr>
        <w:t>ακεραιότητα</w:t>
      </w:r>
      <w:r w:rsidR="00162C83" w:rsidRPr="006A4B70">
        <w:rPr>
          <w:rFonts w:cstheme="minorHAnsi"/>
          <w:b/>
          <w:bCs/>
          <w:sz w:val="24"/>
          <w:szCs w:val="24"/>
          <w:lang w:val="el-GR"/>
        </w:rPr>
        <w:t xml:space="preserve"> </w:t>
      </w:r>
      <w:r w:rsidR="00162C83">
        <w:rPr>
          <w:rFonts w:cstheme="minorHAnsi"/>
          <w:b/>
          <w:bCs/>
          <w:sz w:val="24"/>
          <w:szCs w:val="24"/>
          <w:lang w:val="el-GR"/>
        </w:rPr>
        <w:t>και</w:t>
      </w:r>
      <w:r w:rsidR="00162C83" w:rsidRPr="006A4B70">
        <w:rPr>
          <w:rFonts w:cstheme="minorHAnsi"/>
          <w:b/>
          <w:bCs/>
          <w:sz w:val="24"/>
          <w:szCs w:val="24"/>
          <w:lang w:val="el-GR"/>
        </w:rPr>
        <w:t xml:space="preserve"> </w:t>
      </w:r>
      <w:r w:rsidR="00162C83">
        <w:rPr>
          <w:rFonts w:cstheme="minorHAnsi"/>
          <w:b/>
          <w:bCs/>
          <w:sz w:val="24"/>
          <w:szCs w:val="24"/>
          <w:lang w:val="el-GR"/>
        </w:rPr>
        <w:t>επαγγελματική</w:t>
      </w:r>
      <w:r w:rsidR="00162C83" w:rsidRPr="006A4B70">
        <w:rPr>
          <w:rFonts w:cstheme="minorHAnsi"/>
          <w:b/>
          <w:bCs/>
          <w:sz w:val="24"/>
          <w:szCs w:val="24"/>
          <w:lang w:val="el-GR"/>
        </w:rPr>
        <w:t xml:space="preserve"> </w:t>
      </w:r>
      <w:r w:rsidR="00162C83">
        <w:rPr>
          <w:rFonts w:cstheme="minorHAnsi"/>
          <w:b/>
          <w:bCs/>
          <w:sz w:val="24"/>
          <w:szCs w:val="24"/>
          <w:lang w:val="el-GR"/>
        </w:rPr>
        <w:t>ηθική</w:t>
      </w:r>
      <w:r w:rsidR="00162C83" w:rsidRPr="006A4B70">
        <w:rPr>
          <w:rFonts w:cstheme="minorHAnsi"/>
          <w:b/>
          <w:bCs/>
          <w:sz w:val="24"/>
          <w:szCs w:val="24"/>
          <w:lang w:val="el-GR"/>
        </w:rPr>
        <w:t xml:space="preserve"> (</w:t>
      </w:r>
      <w:r w:rsidR="00162C83">
        <w:rPr>
          <w:rFonts w:cstheme="minorHAnsi"/>
          <w:b/>
          <w:bCs/>
          <w:sz w:val="24"/>
          <w:szCs w:val="24"/>
          <w:lang w:val="el-GR"/>
        </w:rPr>
        <w:t>καλύπτοντας</w:t>
      </w:r>
      <w:r w:rsidR="00162C83" w:rsidRPr="006A4B70">
        <w:rPr>
          <w:rFonts w:cstheme="minorHAnsi"/>
          <w:b/>
          <w:bCs/>
          <w:sz w:val="24"/>
          <w:szCs w:val="24"/>
          <w:lang w:val="el-GR"/>
        </w:rPr>
        <w:t xml:space="preserve"> </w:t>
      </w:r>
      <w:r w:rsidR="00162C83">
        <w:rPr>
          <w:rFonts w:cstheme="minorHAnsi"/>
          <w:b/>
          <w:bCs/>
          <w:sz w:val="24"/>
          <w:szCs w:val="24"/>
          <w:lang w:val="el-GR"/>
        </w:rPr>
        <w:t>τις</w:t>
      </w:r>
      <w:r w:rsidR="00162C83" w:rsidRPr="006A4B70">
        <w:rPr>
          <w:rFonts w:cstheme="minorHAnsi"/>
          <w:b/>
          <w:bCs/>
          <w:sz w:val="24"/>
          <w:szCs w:val="24"/>
          <w:lang w:val="el-GR"/>
        </w:rPr>
        <w:t xml:space="preserve"> </w:t>
      </w:r>
      <w:r w:rsidR="00162C83">
        <w:rPr>
          <w:rFonts w:cstheme="minorHAnsi"/>
          <w:b/>
          <w:bCs/>
          <w:sz w:val="24"/>
          <w:szCs w:val="24"/>
          <w:lang w:val="el-GR"/>
        </w:rPr>
        <w:t>συγκρούσεις</w:t>
      </w:r>
      <w:r w:rsidR="00162C83" w:rsidRPr="006A4B70">
        <w:rPr>
          <w:rFonts w:cstheme="minorHAnsi"/>
          <w:b/>
          <w:bCs/>
          <w:sz w:val="24"/>
          <w:szCs w:val="24"/>
          <w:lang w:val="el-GR"/>
        </w:rPr>
        <w:t xml:space="preserve"> </w:t>
      </w:r>
      <w:r w:rsidR="00162C83">
        <w:rPr>
          <w:rFonts w:cstheme="minorHAnsi"/>
          <w:b/>
          <w:bCs/>
          <w:sz w:val="24"/>
          <w:szCs w:val="24"/>
          <w:lang w:val="el-GR"/>
        </w:rPr>
        <w:t>συμφερόντων</w:t>
      </w:r>
      <w:r w:rsidR="00162C83" w:rsidRPr="006A4B70">
        <w:rPr>
          <w:rFonts w:cstheme="minorHAnsi"/>
          <w:b/>
          <w:bCs/>
          <w:sz w:val="24"/>
          <w:szCs w:val="24"/>
          <w:lang w:val="el-GR"/>
        </w:rPr>
        <w:t xml:space="preserve"> </w:t>
      </w:r>
      <w:r w:rsidR="00162C83">
        <w:rPr>
          <w:rFonts w:cstheme="minorHAnsi"/>
          <w:b/>
          <w:bCs/>
          <w:sz w:val="24"/>
          <w:szCs w:val="24"/>
          <w:lang w:val="el-GR"/>
        </w:rPr>
        <w:t>και</w:t>
      </w:r>
      <w:r w:rsidR="00162C83" w:rsidRPr="006A4B70">
        <w:rPr>
          <w:rFonts w:cstheme="minorHAnsi"/>
          <w:b/>
          <w:bCs/>
          <w:sz w:val="24"/>
          <w:szCs w:val="24"/>
          <w:lang w:val="el-GR"/>
        </w:rPr>
        <w:t xml:space="preserve"> </w:t>
      </w:r>
      <w:r w:rsidR="00162C83">
        <w:rPr>
          <w:rFonts w:cstheme="minorHAnsi"/>
          <w:b/>
          <w:bCs/>
          <w:sz w:val="24"/>
          <w:szCs w:val="24"/>
          <w:lang w:val="el-GR"/>
        </w:rPr>
        <w:t>άλλα</w:t>
      </w:r>
      <w:r w:rsidR="00162C83" w:rsidRPr="006A4B70">
        <w:rPr>
          <w:rFonts w:cstheme="minorHAnsi"/>
          <w:b/>
          <w:bCs/>
          <w:sz w:val="24"/>
          <w:szCs w:val="24"/>
          <w:lang w:val="el-GR"/>
        </w:rPr>
        <w:t xml:space="preserve"> </w:t>
      </w:r>
      <w:r w:rsidR="00162C83">
        <w:rPr>
          <w:rFonts w:cstheme="minorHAnsi"/>
          <w:b/>
          <w:bCs/>
          <w:sz w:val="24"/>
          <w:szCs w:val="24"/>
          <w:lang w:val="el-GR"/>
        </w:rPr>
        <w:t>θέματα</w:t>
      </w:r>
      <w:r w:rsidR="00162C83" w:rsidRPr="006A4B70">
        <w:rPr>
          <w:rFonts w:cstheme="minorHAnsi"/>
          <w:b/>
          <w:bCs/>
          <w:sz w:val="24"/>
          <w:szCs w:val="24"/>
          <w:lang w:val="el-GR"/>
        </w:rPr>
        <w:t xml:space="preserve"> </w:t>
      </w:r>
      <w:r w:rsidR="00162C83">
        <w:rPr>
          <w:rFonts w:cstheme="minorHAnsi"/>
          <w:b/>
          <w:bCs/>
          <w:sz w:val="24"/>
          <w:szCs w:val="24"/>
          <w:lang w:val="el-GR"/>
        </w:rPr>
        <w:t>που</w:t>
      </w:r>
      <w:r w:rsidR="00162C83" w:rsidRPr="006A4B70">
        <w:rPr>
          <w:rFonts w:cstheme="minorHAnsi"/>
          <w:b/>
          <w:bCs/>
          <w:sz w:val="24"/>
          <w:szCs w:val="24"/>
          <w:lang w:val="el-GR"/>
        </w:rPr>
        <w:t xml:space="preserve"> </w:t>
      </w:r>
      <w:r w:rsidR="00162C83">
        <w:rPr>
          <w:rFonts w:cstheme="minorHAnsi"/>
          <w:b/>
          <w:bCs/>
          <w:sz w:val="24"/>
          <w:szCs w:val="24"/>
          <w:lang w:val="el-GR"/>
        </w:rPr>
        <w:t>σχετίζονται</w:t>
      </w:r>
      <w:r w:rsidR="00162C83" w:rsidRPr="006A4B70">
        <w:rPr>
          <w:rFonts w:cstheme="minorHAnsi"/>
          <w:b/>
          <w:bCs/>
          <w:sz w:val="24"/>
          <w:szCs w:val="24"/>
          <w:lang w:val="el-GR"/>
        </w:rPr>
        <w:t xml:space="preserve"> </w:t>
      </w:r>
      <w:r w:rsidR="00162C83">
        <w:rPr>
          <w:rFonts w:cstheme="minorHAnsi"/>
          <w:b/>
          <w:bCs/>
          <w:sz w:val="24"/>
          <w:szCs w:val="24"/>
          <w:lang w:val="el-GR"/>
        </w:rPr>
        <w:t>με</w:t>
      </w:r>
      <w:r w:rsidR="00162C83" w:rsidRPr="006A4B70">
        <w:rPr>
          <w:rFonts w:cstheme="minorHAnsi"/>
          <w:b/>
          <w:bCs/>
          <w:sz w:val="24"/>
          <w:szCs w:val="24"/>
          <w:lang w:val="el-GR"/>
        </w:rPr>
        <w:t xml:space="preserve"> </w:t>
      </w:r>
      <w:r w:rsidR="00162C83">
        <w:rPr>
          <w:rFonts w:cstheme="minorHAnsi"/>
          <w:b/>
          <w:bCs/>
          <w:sz w:val="24"/>
          <w:szCs w:val="24"/>
          <w:lang w:val="el-GR"/>
        </w:rPr>
        <w:t>την</w:t>
      </w:r>
      <w:r w:rsidR="00162C83" w:rsidRPr="006A4B70">
        <w:rPr>
          <w:rFonts w:cstheme="minorHAnsi"/>
          <w:b/>
          <w:bCs/>
          <w:sz w:val="24"/>
          <w:szCs w:val="24"/>
          <w:lang w:val="el-GR"/>
        </w:rPr>
        <w:t xml:space="preserve"> </w:t>
      </w:r>
      <w:r w:rsidR="00162C83">
        <w:rPr>
          <w:rFonts w:cstheme="minorHAnsi"/>
          <w:b/>
          <w:bCs/>
          <w:sz w:val="24"/>
          <w:szCs w:val="24"/>
          <w:lang w:val="el-GR"/>
        </w:rPr>
        <w:t>πρόληψη</w:t>
      </w:r>
      <w:r w:rsidR="00162C83" w:rsidRPr="006A4B70">
        <w:rPr>
          <w:rFonts w:cstheme="minorHAnsi"/>
          <w:b/>
          <w:bCs/>
          <w:sz w:val="24"/>
          <w:szCs w:val="24"/>
          <w:lang w:val="el-GR"/>
        </w:rPr>
        <w:t xml:space="preserve"> </w:t>
      </w:r>
      <w:r w:rsidR="00162C83">
        <w:rPr>
          <w:rFonts w:cstheme="minorHAnsi"/>
          <w:b/>
          <w:bCs/>
          <w:sz w:val="24"/>
          <w:szCs w:val="24"/>
          <w:lang w:val="el-GR"/>
        </w:rPr>
        <w:t>της</w:t>
      </w:r>
      <w:r w:rsidR="00162C83" w:rsidRPr="006A4B70">
        <w:rPr>
          <w:rFonts w:cstheme="minorHAnsi"/>
          <w:b/>
          <w:bCs/>
          <w:sz w:val="24"/>
          <w:szCs w:val="24"/>
          <w:lang w:val="el-GR"/>
        </w:rPr>
        <w:t xml:space="preserve"> </w:t>
      </w:r>
      <w:r w:rsidR="00162C83">
        <w:rPr>
          <w:rFonts w:cstheme="minorHAnsi"/>
          <w:b/>
          <w:bCs/>
          <w:sz w:val="24"/>
          <w:szCs w:val="24"/>
          <w:lang w:val="el-GR"/>
        </w:rPr>
        <w:t>διαφθοράς</w:t>
      </w:r>
      <w:r w:rsidR="00162C83" w:rsidRPr="006A4B70">
        <w:rPr>
          <w:rFonts w:cstheme="minorHAnsi"/>
          <w:b/>
          <w:bCs/>
          <w:sz w:val="24"/>
          <w:szCs w:val="24"/>
          <w:lang w:val="el-GR"/>
        </w:rPr>
        <w:t xml:space="preserve">) </w:t>
      </w:r>
      <w:r w:rsidR="00162C83">
        <w:rPr>
          <w:rFonts w:cstheme="minorHAnsi"/>
          <w:b/>
          <w:bCs/>
          <w:sz w:val="24"/>
          <w:szCs w:val="24"/>
          <w:lang w:val="el-GR"/>
        </w:rPr>
        <w:t>για</w:t>
      </w:r>
      <w:r w:rsidR="00162C83" w:rsidRPr="006A4B70">
        <w:rPr>
          <w:rFonts w:cstheme="minorHAnsi"/>
          <w:b/>
          <w:bCs/>
          <w:sz w:val="24"/>
          <w:szCs w:val="24"/>
          <w:lang w:val="el-GR"/>
        </w:rPr>
        <w:t xml:space="preserve"> </w:t>
      </w:r>
      <w:r w:rsidR="00162C83">
        <w:rPr>
          <w:rFonts w:cstheme="minorHAnsi"/>
          <w:b/>
          <w:bCs/>
          <w:sz w:val="24"/>
          <w:szCs w:val="24"/>
          <w:lang w:val="el-GR"/>
        </w:rPr>
        <w:t>αστυνομικούς</w:t>
      </w:r>
      <w:r w:rsidR="00162C83" w:rsidRPr="006A4B70">
        <w:rPr>
          <w:rFonts w:cstheme="minorHAnsi"/>
          <w:b/>
          <w:bCs/>
          <w:sz w:val="24"/>
          <w:szCs w:val="24"/>
          <w:lang w:val="el-GR"/>
        </w:rPr>
        <w:t xml:space="preserve">, </w:t>
      </w:r>
      <w:r w:rsidR="00162C83">
        <w:rPr>
          <w:rFonts w:cstheme="minorHAnsi"/>
          <w:b/>
          <w:bCs/>
          <w:sz w:val="24"/>
          <w:szCs w:val="24"/>
          <w:lang w:val="el-GR"/>
        </w:rPr>
        <w:t xml:space="preserve">λαμβάνοντας </w:t>
      </w:r>
      <w:r w:rsidR="00463ACC">
        <w:rPr>
          <w:rFonts w:cstheme="minorHAnsi"/>
          <w:b/>
          <w:bCs/>
          <w:sz w:val="24"/>
          <w:szCs w:val="24"/>
          <w:lang w:val="el-GR"/>
        </w:rPr>
        <w:t>υπόψη</w:t>
      </w:r>
      <w:r w:rsidR="00162C83" w:rsidRPr="006A4B70">
        <w:rPr>
          <w:rFonts w:cstheme="minorHAnsi"/>
          <w:b/>
          <w:bCs/>
          <w:sz w:val="24"/>
          <w:szCs w:val="24"/>
          <w:lang w:val="el-GR"/>
        </w:rPr>
        <w:t xml:space="preserve"> </w:t>
      </w:r>
      <w:r w:rsidR="00162C83">
        <w:rPr>
          <w:rFonts w:cstheme="minorHAnsi"/>
          <w:b/>
          <w:bCs/>
          <w:sz w:val="24"/>
          <w:szCs w:val="24"/>
          <w:lang w:val="el-GR"/>
        </w:rPr>
        <w:t>την ειδικότητα τους, την</w:t>
      </w:r>
      <w:r w:rsidR="00162C83" w:rsidRPr="006A4B70">
        <w:rPr>
          <w:rFonts w:cstheme="minorHAnsi"/>
          <w:b/>
          <w:bCs/>
          <w:sz w:val="24"/>
          <w:szCs w:val="24"/>
          <w:lang w:val="el-GR"/>
        </w:rPr>
        <w:t xml:space="preserve"> </w:t>
      </w:r>
      <w:r w:rsidR="00162C83">
        <w:rPr>
          <w:rFonts w:cstheme="minorHAnsi"/>
          <w:b/>
          <w:bCs/>
          <w:sz w:val="24"/>
          <w:szCs w:val="24"/>
          <w:lang w:val="el-GR"/>
        </w:rPr>
        <w:t>ποικιλία των καθηκόντων</w:t>
      </w:r>
      <w:r w:rsidR="00162C83" w:rsidRPr="006A4B70">
        <w:rPr>
          <w:rFonts w:cstheme="minorHAnsi"/>
          <w:b/>
          <w:bCs/>
          <w:sz w:val="24"/>
          <w:szCs w:val="24"/>
          <w:lang w:val="el-GR"/>
        </w:rPr>
        <w:t xml:space="preserve"> </w:t>
      </w:r>
      <w:r w:rsidR="00162C83">
        <w:rPr>
          <w:rFonts w:cstheme="minorHAnsi"/>
          <w:b/>
          <w:bCs/>
          <w:sz w:val="24"/>
          <w:szCs w:val="24"/>
          <w:lang w:val="el-GR"/>
        </w:rPr>
        <w:t>και τα τρωτά τους σημεία</w:t>
      </w:r>
      <w:r w:rsidR="00162C83" w:rsidRPr="006A4B70">
        <w:rPr>
          <w:rFonts w:cstheme="minorHAnsi"/>
          <w:b/>
          <w:bCs/>
          <w:sz w:val="24"/>
          <w:szCs w:val="24"/>
          <w:lang w:val="el-GR"/>
        </w:rPr>
        <w:t xml:space="preserve">, </w:t>
      </w:r>
      <w:r w:rsidR="00162C83">
        <w:rPr>
          <w:rFonts w:cstheme="minorHAnsi"/>
          <w:b/>
          <w:bCs/>
          <w:sz w:val="24"/>
          <w:szCs w:val="24"/>
          <w:lang w:val="el-GR"/>
        </w:rPr>
        <w:t xml:space="preserve">συμπεριλαμβανομένου και του να </w:t>
      </w:r>
      <w:r w:rsidR="002E5EC0">
        <w:rPr>
          <w:rFonts w:cstheme="minorHAnsi"/>
          <w:b/>
          <w:bCs/>
          <w:sz w:val="24"/>
          <w:szCs w:val="24"/>
          <w:lang w:val="el-GR"/>
        </w:rPr>
        <w:t>δοθεί</w:t>
      </w:r>
      <w:r w:rsidR="00162C83">
        <w:rPr>
          <w:rFonts w:cstheme="minorHAnsi"/>
          <w:b/>
          <w:bCs/>
          <w:sz w:val="24"/>
          <w:szCs w:val="24"/>
          <w:lang w:val="el-GR"/>
        </w:rPr>
        <w:t xml:space="preserve"> ειδική προσοχή στην εκπαίδευση στην ηθική ηγεσία,</w:t>
      </w:r>
      <w:r w:rsidR="00162C83" w:rsidRPr="006A4B70">
        <w:rPr>
          <w:rFonts w:cstheme="minorHAnsi"/>
          <w:b/>
          <w:bCs/>
          <w:sz w:val="24"/>
          <w:szCs w:val="24"/>
          <w:lang w:val="el-GR"/>
        </w:rPr>
        <w:t xml:space="preserve"> </w:t>
      </w:r>
      <w:r w:rsidR="00162C83">
        <w:rPr>
          <w:rFonts w:cstheme="minorHAnsi"/>
          <w:b/>
          <w:bCs/>
          <w:sz w:val="24"/>
          <w:szCs w:val="24"/>
          <w:lang w:val="el-GR"/>
        </w:rPr>
        <w:t>και</w:t>
      </w:r>
      <w:r w:rsidR="00162C83" w:rsidRPr="006A4B70">
        <w:rPr>
          <w:rFonts w:cstheme="minorHAnsi"/>
          <w:b/>
          <w:bCs/>
          <w:sz w:val="24"/>
          <w:szCs w:val="24"/>
          <w:lang w:val="el-GR"/>
        </w:rPr>
        <w:t xml:space="preserve"> (</w:t>
      </w:r>
      <w:r w:rsidR="00162C83" w:rsidRPr="004E251E">
        <w:rPr>
          <w:rFonts w:cstheme="minorHAnsi"/>
          <w:b/>
          <w:bCs/>
          <w:sz w:val="24"/>
          <w:szCs w:val="24"/>
        </w:rPr>
        <w:t>ii</w:t>
      </w:r>
      <w:r w:rsidR="00162C83" w:rsidRPr="006A4B70">
        <w:rPr>
          <w:rFonts w:cstheme="minorHAnsi"/>
          <w:b/>
          <w:bCs/>
          <w:sz w:val="24"/>
          <w:szCs w:val="24"/>
          <w:lang w:val="el-GR"/>
        </w:rPr>
        <w:t xml:space="preserve">) </w:t>
      </w:r>
      <w:r w:rsidR="00162C83">
        <w:rPr>
          <w:rFonts w:cstheme="minorHAnsi"/>
          <w:b/>
          <w:bCs/>
          <w:sz w:val="24"/>
          <w:szCs w:val="24"/>
          <w:lang w:val="el-GR"/>
        </w:rPr>
        <w:t>να ενισχυθεί ο μηχανισμός για την παροχή εμπιστευτικών συμβουλών σε αστυνομικούς</w:t>
      </w:r>
      <w:r w:rsidR="00162C83" w:rsidRPr="006A4B70">
        <w:rPr>
          <w:rFonts w:cstheme="minorHAnsi"/>
          <w:b/>
          <w:bCs/>
          <w:sz w:val="24"/>
          <w:szCs w:val="24"/>
          <w:lang w:val="el-GR"/>
        </w:rPr>
        <w:t xml:space="preserve"> </w:t>
      </w:r>
      <w:r w:rsidR="00162C83">
        <w:rPr>
          <w:rFonts w:cstheme="minorHAnsi"/>
          <w:b/>
          <w:bCs/>
          <w:sz w:val="24"/>
          <w:szCs w:val="24"/>
          <w:lang w:val="el-GR"/>
        </w:rPr>
        <w:t>πάνω σε θέματα ηθικής και ακεραιότητας</w:t>
      </w:r>
      <w:r w:rsidR="00162C83" w:rsidRPr="006A4B70">
        <w:rPr>
          <w:rFonts w:cstheme="minorHAnsi"/>
          <w:b/>
          <w:bCs/>
          <w:sz w:val="24"/>
          <w:szCs w:val="24"/>
          <w:lang w:val="el-GR"/>
        </w:rPr>
        <w:t xml:space="preserve">, </w:t>
      </w:r>
      <w:r w:rsidR="00162C83">
        <w:rPr>
          <w:rFonts w:cstheme="minorHAnsi"/>
          <w:b/>
          <w:bCs/>
          <w:sz w:val="24"/>
          <w:szCs w:val="24"/>
          <w:lang w:val="el-GR"/>
        </w:rPr>
        <w:t>εξασφαλίζοντας την εμπιστευτική φύση τους και ενθαρρύνοντας την χρήση του εν λόγω μέσω</w:t>
      </w:r>
      <w:r w:rsidR="00220066" w:rsidRPr="00280901">
        <w:rPr>
          <w:rFonts w:cstheme="minorHAnsi"/>
          <w:b/>
          <w:bCs/>
          <w:sz w:val="24"/>
          <w:szCs w:val="24"/>
          <w:lang w:val="el-GR"/>
        </w:rPr>
        <w:t xml:space="preserve">. </w:t>
      </w:r>
    </w:p>
    <w:p w14:paraId="39E7DDF6" w14:textId="77777777" w:rsidR="00220066" w:rsidRPr="00280901" w:rsidRDefault="00220066" w:rsidP="00220066">
      <w:pPr>
        <w:widowControl w:val="0"/>
        <w:tabs>
          <w:tab w:val="left" w:pos="709"/>
        </w:tabs>
        <w:rPr>
          <w:rFonts w:cstheme="minorHAnsi"/>
          <w:sz w:val="24"/>
          <w:szCs w:val="24"/>
          <w:lang w:val="el-GR"/>
        </w:rPr>
      </w:pPr>
    </w:p>
    <w:p w14:paraId="0F3AF439" w14:textId="321E8943" w:rsidR="00220066" w:rsidRPr="0091418F" w:rsidRDefault="0091418F" w:rsidP="00220066">
      <w:pPr>
        <w:pStyle w:val="Heading2"/>
        <w:keepNext w:val="0"/>
        <w:keepLines w:val="0"/>
        <w:widowControl w:val="0"/>
        <w:tabs>
          <w:tab w:val="left" w:pos="709"/>
        </w:tabs>
        <w:spacing w:before="0"/>
        <w:rPr>
          <w:rFonts w:asciiTheme="minorHAnsi" w:hAnsiTheme="minorHAnsi" w:cstheme="minorHAnsi"/>
          <w:color w:val="auto"/>
          <w:sz w:val="24"/>
          <w:szCs w:val="24"/>
          <w:u w:val="single"/>
          <w:lang w:val="el-GR"/>
        </w:rPr>
      </w:pPr>
      <w:bookmarkStart w:id="200" w:name="_Toc110430331"/>
      <w:bookmarkStart w:id="201" w:name="_Toc117445170"/>
      <w:bookmarkStart w:id="202" w:name="_Toc136879374"/>
      <w:r>
        <w:rPr>
          <w:rFonts w:asciiTheme="minorHAnsi" w:hAnsiTheme="minorHAnsi" w:cstheme="minorHAnsi"/>
          <w:color w:val="auto"/>
          <w:sz w:val="24"/>
          <w:szCs w:val="24"/>
          <w:u w:val="single"/>
          <w:lang w:val="el-GR"/>
        </w:rPr>
        <w:t>Πρόσληψη</w:t>
      </w:r>
      <w:r w:rsidR="00220066" w:rsidRPr="0091418F">
        <w:rPr>
          <w:rFonts w:asciiTheme="minorHAnsi" w:hAnsiTheme="minorHAnsi" w:cstheme="minorHAnsi"/>
          <w:color w:val="auto"/>
          <w:sz w:val="24"/>
          <w:szCs w:val="24"/>
          <w:u w:val="single"/>
          <w:lang w:val="el-GR"/>
        </w:rPr>
        <w:t xml:space="preserve">, </w:t>
      </w:r>
      <w:r>
        <w:rPr>
          <w:rFonts w:asciiTheme="minorHAnsi" w:hAnsiTheme="minorHAnsi" w:cstheme="minorHAnsi"/>
          <w:color w:val="auto"/>
          <w:sz w:val="24"/>
          <w:szCs w:val="24"/>
          <w:u w:val="single"/>
          <w:lang w:val="el-GR"/>
        </w:rPr>
        <w:t>σταδιοδρομία και</w:t>
      </w:r>
      <w:r w:rsidR="00220066" w:rsidRPr="0091418F">
        <w:rPr>
          <w:rFonts w:asciiTheme="minorHAnsi" w:hAnsiTheme="minorHAnsi" w:cstheme="minorHAnsi"/>
          <w:color w:val="auto"/>
          <w:sz w:val="24"/>
          <w:szCs w:val="24"/>
          <w:u w:val="single"/>
          <w:lang w:val="el-GR"/>
        </w:rPr>
        <w:t xml:space="preserve"> </w:t>
      </w:r>
      <w:r>
        <w:rPr>
          <w:rFonts w:asciiTheme="minorHAnsi" w:hAnsiTheme="minorHAnsi" w:cstheme="minorHAnsi"/>
          <w:color w:val="auto"/>
          <w:sz w:val="24"/>
          <w:szCs w:val="24"/>
          <w:u w:val="single"/>
          <w:lang w:val="el-GR"/>
        </w:rPr>
        <w:t>όρους υπηρεσίας</w:t>
      </w:r>
      <w:bookmarkEnd w:id="200"/>
      <w:bookmarkEnd w:id="201"/>
      <w:bookmarkEnd w:id="202"/>
    </w:p>
    <w:p w14:paraId="63B7D79E" w14:textId="77777777" w:rsidR="00220066" w:rsidRPr="0091418F" w:rsidRDefault="00220066" w:rsidP="00220066">
      <w:pPr>
        <w:widowControl w:val="0"/>
        <w:tabs>
          <w:tab w:val="left" w:pos="709"/>
        </w:tabs>
        <w:rPr>
          <w:rFonts w:cstheme="minorHAnsi"/>
          <w:sz w:val="24"/>
          <w:szCs w:val="24"/>
          <w:lang w:val="el-GR"/>
        </w:rPr>
      </w:pPr>
    </w:p>
    <w:p w14:paraId="1ED7A8FC" w14:textId="4BA0396E" w:rsidR="00220066" w:rsidRPr="00E3509A" w:rsidRDefault="0091418F" w:rsidP="00220066">
      <w:pPr>
        <w:pStyle w:val="Heading3"/>
        <w:keepNext w:val="0"/>
        <w:keepLines w:val="0"/>
        <w:widowControl w:val="0"/>
        <w:tabs>
          <w:tab w:val="left" w:pos="709"/>
        </w:tabs>
        <w:spacing w:before="0"/>
        <w:rPr>
          <w:rFonts w:asciiTheme="minorHAnsi" w:hAnsiTheme="minorHAnsi" w:cstheme="minorHAnsi"/>
          <w:b w:val="0"/>
          <w:i/>
          <w:color w:val="auto"/>
          <w:sz w:val="24"/>
          <w:szCs w:val="24"/>
          <w:lang w:val="el-GR"/>
        </w:rPr>
      </w:pPr>
      <w:bookmarkStart w:id="203" w:name="_Toc110430332"/>
      <w:bookmarkStart w:id="204" w:name="_Toc117445171"/>
      <w:bookmarkStart w:id="205" w:name="_Toc136879375"/>
      <w:r>
        <w:rPr>
          <w:rFonts w:asciiTheme="minorHAnsi" w:hAnsiTheme="minorHAnsi" w:cstheme="minorHAnsi"/>
          <w:b w:val="0"/>
          <w:i/>
          <w:color w:val="auto"/>
          <w:sz w:val="24"/>
          <w:szCs w:val="24"/>
          <w:lang w:val="el-GR"/>
        </w:rPr>
        <w:t>Απαιτήσεις</w:t>
      </w:r>
      <w:r w:rsidRPr="00E3509A">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πρόσληψης</w:t>
      </w:r>
      <w:r w:rsidRPr="00E3509A">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και</w:t>
      </w:r>
      <w:r w:rsidRPr="00E3509A">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διαδικασία</w:t>
      </w:r>
      <w:r w:rsidRPr="00E3509A">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διορισμού</w:t>
      </w:r>
      <w:bookmarkEnd w:id="203"/>
      <w:bookmarkEnd w:id="204"/>
      <w:bookmarkEnd w:id="205"/>
    </w:p>
    <w:p w14:paraId="527A8431" w14:textId="77777777" w:rsidR="00220066" w:rsidRPr="00E3509A" w:rsidRDefault="00220066" w:rsidP="00220066">
      <w:pPr>
        <w:widowControl w:val="0"/>
        <w:tabs>
          <w:tab w:val="left" w:pos="709"/>
        </w:tabs>
        <w:rPr>
          <w:rFonts w:cstheme="minorHAnsi"/>
          <w:sz w:val="24"/>
          <w:szCs w:val="24"/>
          <w:lang w:val="el-GR"/>
        </w:rPr>
      </w:pPr>
    </w:p>
    <w:p w14:paraId="412E31EE" w14:textId="1593227E" w:rsidR="00220066" w:rsidRPr="00DE4523" w:rsidRDefault="0091418F"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Η</w:t>
      </w:r>
      <w:r w:rsidRPr="0091418F">
        <w:rPr>
          <w:rFonts w:cstheme="minorHAnsi"/>
          <w:sz w:val="24"/>
          <w:szCs w:val="24"/>
          <w:lang w:val="el-GR"/>
        </w:rPr>
        <w:t xml:space="preserve"> </w:t>
      </w:r>
      <w:r>
        <w:rPr>
          <w:rFonts w:cstheme="minorHAnsi"/>
          <w:sz w:val="24"/>
          <w:szCs w:val="24"/>
          <w:lang w:val="el-GR"/>
        </w:rPr>
        <w:t>διαδικασία</w:t>
      </w:r>
      <w:r w:rsidRPr="0091418F">
        <w:rPr>
          <w:rFonts w:cstheme="minorHAnsi"/>
          <w:sz w:val="24"/>
          <w:szCs w:val="24"/>
          <w:lang w:val="el-GR"/>
        </w:rPr>
        <w:t xml:space="preserve"> </w:t>
      </w:r>
      <w:r>
        <w:rPr>
          <w:rFonts w:cstheme="minorHAnsi"/>
          <w:sz w:val="24"/>
          <w:szCs w:val="24"/>
          <w:lang w:val="el-GR"/>
        </w:rPr>
        <w:t>πρόσληψης</w:t>
      </w:r>
      <w:r w:rsidRPr="0091418F">
        <w:rPr>
          <w:rFonts w:cstheme="minorHAnsi"/>
          <w:sz w:val="24"/>
          <w:szCs w:val="24"/>
          <w:lang w:val="el-GR"/>
        </w:rPr>
        <w:t xml:space="preserve"> </w:t>
      </w:r>
      <w:r>
        <w:rPr>
          <w:rFonts w:cstheme="minorHAnsi"/>
          <w:sz w:val="24"/>
          <w:szCs w:val="24"/>
          <w:lang w:val="el-GR"/>
        </w:rPr>
        <w:t>των</w:t>
      </w:r>
      <w:r w:rsidRPr="0091418F">
        <w:rPr>
          <w:rFonts w:cstheme="minorHAnsi"/>
          <w:sz w:val="24"/>
          <w:szCs w:val="24"/>
          <w:lang w:val="el-GR"/>
        </w:rPr>
        <w:t xml:space="preserve"> </w:t>
      </w:r>
      <w:r>
        <w:rPr>
          <w:rFonts w:cstheme="minorHAnsi"/>
          <w:sz w:val="24"/>
          <w:szCs w:val="24"/>
          <w:lang w:val="el-GR"/>
        </w:rPr>
        <w:t>ΑΕΝ</w:t>
      </w:r>
      <w:r w:rsidR="00220066" w:rsidRPr="0091418F">
        <w:rPr>
          <w:rFonts w:cstheme="minorHAnsi"/>
          <w:sz w:val="24"/>
          <w:szCs w:val="24"/>
          <w:lang w:val="el-GR"/>
        </w:rPr>
        <w:t xml:space="preserve"> </w:t>
      </w:r>
      <w:r>
        <w:rPr>
          <w:rFonts w:cstheme="minorHAnsi"/>
          <w:sz w:val="24"/>
          <w:szCs w:val="24"/>
          <w:lang w:val="el-GR"/>
        </w:rPr>
        <w:t>ρυθμίζεται</w:t>
      </w:r>
      <w:r w:rsidRPr="0091418F">
        <w:rPr>
          <w:rFonts w:cstheme="minorHAnsi"/>
          <w:sz w:val="24"/>
          <w:szCs w:val="24"/>
          <w:lang w:val="el-GR"/>
        </w:rPr>
        <w:t xml:space="preserve"> </w:t>
      </w:r>
      <w:r>
        <w:rPr>
          <w:rFonts w:cstheme="minorHAnsi"/>
          <w:sz w:val="24"/>
          <w:szCs w:val="24"/>
          <w:lang w:val="el-GR"/>
        </w:rPr>
        <w:t>από</w:t>
      </w:r>
      <w:r w:rsidRPr="0091418F">
        <w:rPr>
          <w:rFonts w:cstheme="minorHAnsi"/>
          <w:sz w:val="24"/>
          <w:szCs w:val="24"/>
          <w:lang w:val="el-GR"/>
        </w:rPr>
        <w:t xml:space="preserve"> </w:t>
      </w:r>
      <w:r>
        <w:rPr>
          <w:rFonts w:cstheme="minorHAnsi"/>
          <w:sz w:val="24"/>
          <w:szCs w:val="24"/>
          <w:lang w:val="el-GR"/>
        </w:rPr>
        <w:t>τον</w:t>
      </w:r>
      <w:r w:rsidRPr="0091418F">
        <w:rPr>
          <w:rFonts w:cstheme="minorHAnsi"/>
          <w:sz w:val="24"/>
          <w:szCs w:val="24"/>
          <w:lang w:val="el-GR"/>
        </w:rPr>
        <w:t xml:space="preserve"> </w:t>
      </w:r>
      <w:r>
        <w:rPr>
          <w:rFonts w:cstheme="minorHAnsi"/>
          <w:sz w:val="24"/>
          <w:szCs w:val="24"/>
          <w:lang w:val="el-GR"/>
        </w:rPr>
        <w:t>Νόμο</w:t>
      </w:r>
      <w:r w:rsidRPr="0091418F">
        <w:rPr>
          <w:rFonts w:cstheme="minorHAnsi"/>
          <w:sz w:val="24"/>
          <w:szCs w:val="24"/>
          <w:lang w:val="el-GR"/>
        </w:rPr>
        <w:t xml:space="preserve"> </w:t>
      </w:r>
      <w:r>
        <w:rPr>
          <w:rFonts w:cstheme="minorHAnsi"/>
          <w:sz w:val="24"/>
          <w:szCs w:val="24"/>
          <w:lang w:val="el-GR"/>
        </w:rPr>
        <w:t>περί</w:t>
      </w:r>
      <w:r w:rsidRPr="0091418F">
        <w:rPr>
          <w:rFonts w:cstheme="minorHAnsi"/>
          <w:sz w:val="24"/>
          <w:szCs w:val="24"/>
          <w:lang w:val="el-GR"/>
        </w:rPr>
        <w:t xml:space="preserve"> </w:t>
      </w:r>
      <w:r w:rsidR="002E5EC0">
        <w:rPr>
          <w:rFonts w:cstheme="minorHAnsi"/>
          <w:sz w:val="24"/>
          <w:szCs w:val="24"/>
          <w:lang w:val="el-GR"/>
        </w:rPr>
        <w:t>Αστυνομίας</w:t>
      </w:r>
      <w:r w:rsidRPr="0091418F">
        <w:rPr>
          <w:rFonts w:cstheme="minorHAnsi"/>
          <w:sz w:val="24"/>
          <w:szCs w:val="24"/>
          <w:lang w:val="el-GR"/>
        </w:rPr>
        <w:t xml:space="preserve"> (</w:t>
      </w:r>
      <w:r>
        <w:rPr>
          <w:rFonts w:cstheme="minorHAnsi"/>
          <w:sz w:val="24"/>
          <w:szCs w:val="24"/>
          <w:lang w:val="el-GR"/>
        </w:rPr>
        <w:t>Γενικών</w:t>
      </w:r>
      <w:r w:rsidRPr="0091418F">
        <w:rPr>
          <w:rFonts w:cstheme="minorHAnsi"/>
          <w:sz w:val="24"/>
          <w:szCs w:val="24"/>
          <w:lang w:val="el-GR"/>
        </w:rPr>
        <w:t xml:space="preserve">) </w:t>
      </w:r>
      <w:r>
        <w:rPr>
          <w:rFonts w:cstheme="minorHAnsi"/>
          <w:sz w:val="24"/>
          <w:szCs w:val="24"/>
          <w:lang w:val="el-GR"/>
        </w:rPr>
        <w:t>Κανονισμών</w:t>
      </w:r>
      <w:r w:rsidR="00220066" w:rsidRPr="0091418F">
        <w:rPr>
          <w:rFonts w:cstheme="minorHAnsi"/>
          <w:sz w:val="24"/>
          <w:szCs w:val="24"/>
          <w:lang w:val="el-GR"/>
        </w:rPr>
        <w:t xml:space="preserve"> (</w:t>
      </w:r>
      <w:r>
        <w:rPr>
          <w:rFonts w:cstheme="minorHAnsi"/>
          <w:sz w:val="24"/>
          <w:szCs w:val="24"/>
          <w:lang w:val="el-GR"/>
        </w:rPr>
        <w:t>Κανονιστική Διοικητική Πράξη</w:t>
      </w:r>
      <w:r w:rsidR="00220066" w:rsidRPr="0091418F">
        <w:rPr>
          <w:rFonts w:cstheme="minorHAnsi"/>
          <w:sz w:val="24"/>
          <w:szCs w:val="24"/>
          <w:lang w:val="el-GR"/>
        </w:rPr>
        <w:t xml:space="preserve"> 51/1989). </w:t>
      </w:r>
      <w:r>
        <w:rPr>
          <w:rFonts w:cstheme="minorHAnsi"/>
          <w:sz w:val="24"/>
          <w:szCs w:val="24"/>
          <w:lang w:val="el-GR"/>
        </w:rPr>
        <w:t>Στα</w:t>
      </w:r>
      <w:r w:rsidRPr="0091418F">
        <w:rPr>
          <w:rFonts w:cstheme="minorHAnsi"/>
          <w:sz w:val="24"/>
          <w:szCs w:val="24"/>
          <w:lang w:val="el-GR"/>
        </w:rPr>
        <w:t xml:space="preserve"> </w:t>
      </w:r>
      <w:r>
        <w:rPr>
          <w:rFonts w:cstheme="minorHAnsi"/>
          <w:sz w:val="24"/>
          <w:szCs w:val="24"/>
          <w:lang w:val="el-GR"/>
        </w:rPr>
        <w:t>αρχικά</w:t>
      </w:r>
      <w:r w:rsidRPr="0091418F">
        <w:rPr>
          <w:rFonts w:cstheme="minorHAnsi"/>
          <w:sz w:val="24"/>
          <w:szCs w:val="24"/>
          <w:lang w:val="el-GR"/>
        </w:rPr>
        <w:t xml:space="preserve"> </w:t>
      </w:r>
      <w:r>
        <w:rPr>
          <w:rFonts w:cstheme="minorHAnsi"/>
          <w:sz w:val="24"/>
          <w:szCs w:val="24"/>
          <w:lang w:val="el-GR"/>
        </w:rPr>
        <w:t>επίπεδα</w:t>
      </w:r>
      <w:r w:rsidR="00220066" w:rsidRPr="0091418F">
        <w:rPr>
          <w:rFonts w:cstheme="minorHAnsi"/>
          <w:sz w:val="24"/>
          <w:szCs w:val="24"/>
          <w:lang w:val="el-GR"/>
        </w:rPr>
        <w:t xml:space="preserve"> (</w:t>
      </w:r>
      <w:r>
        <w:rPr>
          <w:rFonts w:cstheme="minorHAnsi"/>
          <w:sz w:val="24"/>
          <w:szCs w:val="24"/>
          <w:lang w:val="el-GR"/>
        </w:rPr>
        <w:t>αστυφύλακες</w:t>
      </w:r>
      <w:r w:rsidR="00220066" w:rsidRPr="0091418F">
        <w:rPr>
          <w:rFonts w:cstheme="minorHAnsi"/>
          <w:sz w:val="24"/>
          <w:szCs w:val="24"/>
          <w:lang w:val="el-GR"/>
        </w:rPr>
        <w:t xml:space="preserve">, </w:t>
      </w:r>
      <w:r>
        <w:rPr>
          <w:rFonts w:cstheme="minorHAnsi"/>
          <w:sz w:val="24"/>
          <w:szCs w:val="24"/>
          <w:lang w:val="el-GR"/>
        </w:rPr>
        <w:t>ειδικοί</w:t>
      </w:r>
      <w:r w:rsidRPr="0091418F">
        <w:rPr>
          <w:rFonts w:cstheme="minorHAnsi"/>
          <w:sz w:val="24"/>
          <w:szCs w:val="24"/>
          <w:lang w:val="el-GR"/>
        </w:rPr>
        <w:t xml:space="preserve"> </w:t>
      </w:r>
      <w:r>
        <w:rPr>
          <w:rFonts w:cstheme="minorHAnsi"/>
          <w:sz w:val="24"/>
          <w:szCs w:val="24"/>
          <w:lang w:val="el-GR"/>
        </w:rPr>
        <w:t>αστυφύλακες</w:t>
      </w:r>
      <w:r w:rsidR="00220066" w:rsidRPr="0091418F">
        <w:rPr>
          <w:rFonts w:cstheme="minorHAnsi"/>
          <w:sz w:val="24"/>
          <w:szCs w:val="24"/>
          <w:lang w:val="el-GR"/>
        </w:rPr>
        <w:t xml:space="preserve">, </w:t>
      </w:r>
      <w:r>
        <w:rPr>
          <w:rFonts w:cstheme="minorHAnsi"/>
          <w:sz w:val="24"/>
          <w:szCs w:val="24"/>
          <w:lang w:val="el-GR"/>
        </w:rPr>
        <w:t>και</w:t>
      </w:r>
      <w:r w:rsidRPr="0091418F">
        <w:rPr>
          <w:rFonts w:cstheme="minorHAnsi"/>
          <w:sz w:val="24"/>
          <w:szCs w:val="24"/>
          <w:lang w:val="el-GR"/>
        </w:rPr>
        <w:t xml:space="preserve"> </w:t>
      </w:r>
      <w:r>
        <w:rPr>
          <w:rFonts w:cstheme="minorHAnsi"/>
          <w:sz w:val="24"/>
          <w:szCs w:val="24"/>
          <w:lang w:val="el-GR"/>
        </w:rPr>
        <w:t>εξειδικευμένο προσωπικό</w:t>
      </w:r>
      <w:r w:rsidR="00220066" w:rsidRPr="0091418F">
        <w:rPr>
          <w:rFonts w:cstheme="minorHAnsi"/>
          <w:sz w:val="24"/>
          <w:szCs w:val="24"/>
          <w:lang w:val="el-GR"/>
        </w:rPr>
        <w:t xml:space="preserve">), </w:t>
      </w:r>
      <w:r>
        <w:rPr>
          <w:rFonts w:cstheme="minorHAnsi"/>
          <w:sz w:val="24"/>
          <w:szCs w:val="24"/>
          <w:lang w:val="el-GR"/>
        </w:rPr>
        <w:t>οι ΑΕΝ προσλαμβάνονται</w:t>
      </w:r>
      <w:r w:rsidR="00220066" w:rsidRPr="0091418F">
        <w:rPr>
          <w:rFonts w:cstheme="minorHAnsi"/>
          <w:sz w:val="24"/>
          <w:szCs w:val="24"/>
          <w:lang w:val="el-GR"/>
        </w:rPr>
        <w:t xml:space="preserve"> </w:t>
      </w:r>
      <w:r>
        <w:rPr>
          <w:rFonts w:cstheme="minorHAnsi"/>
          <w:sz w:val="24"/>
          <w:szCs w:val="24"/>
          <w:lang w:val="el-GR"/>
        </w:rPr>
        <w:t>μέσω μιας ανταγωνιστικής διαδικασίας πρόσληψης</w:t>
      </w:r>
      <w:r w:rsidR="00220066" w:rsidRPr="0091418F">
        <w:rPr>
          <w:rFonts w:cstheme="minorHAnsi"/>
          <w:sz w:val="24"/>
          <w:szCs w:val="24"/>
          <w:lang w:val="el-GR"/>
        </w:rPr>
        <w:t xml:space="preserve">. </w:t>
      </w:r>
      <w:r>
        <w:rPr>
          <w:rFonts w:cstheme="minorHAnsi"/>
          <w:sz w:val="24"/>
          <w:szCs w:val="24"/>
          <w:lang w:val="el-GR"/>
        </w:rPr>
        <w:t>Οι</w:t>
      </w:r>
      <w:r w:rsidRPr="0091418F">
        <w:rPr>
          <w:rFonts w:cstheme="minorHAnsi"/>
          <w:sz w:val="24"/>
          <w:szCs w:val="24"/>
          <w:lang w:val="el-GR"/>
        </w:rPr>
        <w:t xml:space="preserve"> </w:t>
      </w:r>
      <w:r>
        <w:rPr>
          <w:rFonts w:cstheme="minorHAnsi"/>
          <w:sz w:val="24"/>
          <w:szCs w:val="24"/>
          <w:lang w:val="el-GR"/>
        </w:rPr>
        <w:t>κενές</w:t>
      </w:r>
      <w:r w:rsidRPr="0091418F">
        <w:rPr>
          <w:rFonts w:cstheme="minorHAnsi"/>
          <w:sz w:val="24"/>
          <w:szCs w:val="24"/>
          <w:lang w:val="el-GR"/>
        </w:rPr>
        <w:t xml:space="preserve"> </w:t>
      </w:r>
      <w:r>
        <w:rPr>
          <w:rFonts w:cstheme="minorHAnsi"/>
          <w:sz w:val="24"/>
          <w:szCs w:val="24"/>
          <w:lang w:val="el-GR"/>
        </w:rPr>
        <w:t>θέσεις</w:t>
      </w:r>
      <w:r w:rsidRPr="0091418F">
        <w:rPr>
          <w:rFonts w:cstheme="minorHAnsi"/>
          <w:sz w:val="24"/>
          <w:szCs w:val="24"/>
          <w:lang w:val="el-GR"/>
        </w:rPr>
        <w:t xml:space="preserve"> </w:t>
      </w:r>
      <w:r>
        <w:rPr>
          <w:rFonts w:cstheme="minorHAnsi"/>
          <w:sz w:val="24"/>
          <w:szCs w:val="24"/>
          <w:lang w:val="el-GR"/>
        </w:rPr>
        <w:t>δημοσιεύονται</w:t>
      </w:r>
      <w:r w:rsidRPr="0091418F">
        <w:rPr>
          <w:rFonts w:cstheme="minorHAnsi"/>
          <w:sz w:val="24"/>
          <w:szCs w:val="24"/>
          <w:lang w:val="el-GR"/>
        </w:rPr>
        <w:t xml:space="preserve"> </w:t>
      </w:r>
      <w:r>
        <w:rPr>
          <w:rFonts w:cstheme="minorHAnsi"/>
          <w:sz w:val="24"/>
          <w:szCs w:val="24"/>
          <w:lang w:val="el-GR"/>
        </w:rPr>
        <w:t>στην</w:t>
      </w:r>
      <w:r w:rsidRPr="0091418F">
        <w:rPr>
          <w:rFonts w:cstheme="minorHAnsi"/>
          <w:sz w:val="24"/>
          <w:szCs w:val="24"/>
          <w:lang w:val="el-GR"/>
        </w:rPr>
        <w:t xml:space="preserve"> </w:t>
      </w:r>
      <w:r>
        <w:rPr>
          <w:rFonts w:cstheme="minorHAnsi"/>
          <w:sz w:val="24"/>
          <w:szCs w:val="24"/>
          <w:lang w:val="el-GR"/>
        </w:rPr>
        <w:t>Επίσημη</w:t>
      </w:r>
      <w:r w:rsidRPr="0091418F">
        <w:rPr>
          <w:rFonts w:cstheme="minorHAnsi"/>
          <w:sz w:val="24"/>
          <w:szCs w:val="24"/>
          <w:lang w:val="el-GR"/>
        </w:rPr>
        <w:t xml:space="preserve"> </w:t>
      </w:r>
      <w:r>
        <w:rPr>
          <w:rFonts w:cstheme="minorHAnsi"/>
          <w:sz w:val="24"/>
          <w:szCs w:val="24"/>
          <w:lang w:val="el-GR"/>
        </w:rPr>
        <w:t>Εφημερίδα</w:t>
      </w:r>
      <w:r w:rsidR="00220066" w:rsidRPr="0091418F">
        <w:rPr>
          <w:rFonts w:cstheme="minorHAnsi"/>
          <w:sz w:val="24"/>
          <w:szCs w:val="24"/>
          <w:lang w:val="el-GR"/>
        </w:rPr>
        <w:t xml:space="preserve">, </w:t>
      </w:r>
      <w:r>
        <w:rPr>
          <w:rFonts w:cstheme="minorHAnsi"/>
          <w:sz w:val="24"/>
          <w:szCs w:val="24"/>
          <w:lang w:val="el-GR"/>
        </w:rPr>
        <w:t xml:space="preserve">την ιστοσελίδα της </w:t>
      </w:r>
      <w:r w:rsidR="009C4E34">
        <w:rPr>
          <w:rFonts w:cstheme="minorHAnsi"/>
          <w:sz w:val="24"/>
          <w:szCs w:val="24"/>
          <w:lang w:val="el-GR"/>
        </w:rPr>
        <w:t>Αστυνομία</w:t>
      </w:r>
      <w:r>
        <w:rPr>
          <w:rFonts w:cstheme="minorHAnsi"/>
          <w:sz w:val="24"/>
          <w:szCs w:val="24"/>
          <w:lang w:val="el-GR"/>
        </w:rPr>
        <w:t>ς</w:t>
      </w:r>
      <w:r w:rsidR="00220066" w:rsidRPr="0091418F">
        <w:rPr>
          <w:rFonts w:cstheme="minorHAnsi"/>
          <w:sz w:val="24"/>
          <w:szCs w:val="24"/>
          <w:lang w:val="el-GR"/>
        </w:rPr>
        <w:t xml:space="preserve"> </w:t>
      </w:r>
      <w:r>
        <w:rPr>
          <w:rFonts w:cstheme="minorHAnsi"/>
          <w:sz w:val="24"/>
          <w:szCs w:val="24"/>
          <w:lang w:val="el-GR"/>
        </w:rPr>
        <w:t>και τον τοπικό τύπο</w:t>
      </w:r>
      <w:r w:rsidR="00220066" w:rsidRPr="0091418F">
        <w:rPr>
          <w:rFonts w:cstheme="minorHAnsi"/>
          <w:sz w:val="24"/>
          <w:szCs w:val="24"/>
          <w:lang w:val="el-GR"/>
        </w:rPr>
        <w:t xml:space="preserve">. </w:t>
      </w:r>
      <w:r>
        <w:rPr>
          <w:rFonts w:cstheme="minorHAnsi"/>
          <w:sz w:val="24"/>
          <w:szCs w:val="24"/>
          <w:lang w:val="el-GR"/>
        </w:rPr>
        <w:t>Τα</w:t>
      </w:r>
      <w:r w:rsidRPr="0091418F">
        <w:rPr>
          <w:rFonts w:cstheme="minorHAnsi"/>
          <w:sz w:val="24"/>
          <w:szCs w:val="24"/>
          <w:lang w:val="el-GR"/>
        </w:rPr>
        <w:t xml:space="preserve"> </w:t>
      </w:r>
      <w:r>
        <w:rPr>
          <w:rFonts w:cstheme="minorHAnsi"/>
          <w:sz w:val="24"/>
          <w:szCs w:val="24"/>
          <w:lang w:val="el-GR"/>
        </w:rPr>
        <w:t>κριτήρια</w:t>
      </w:r>
      <w:r w:rsidRPr="0091418F">
        <w:rPr>
          <w:rFonts w:cstheme="minorHAnsi"/>
          <w:sz w:val="24"/>
          <w:szCs w:val="24"/>
          <w:lang w:val="el-GR"/>
        </w:rPr>
        <w:t xml:space="preserve"> </w:t>
      </w:r>
      <w:r>
        <w:rPr>
          <w:rFonts w:cstheme="minorHAnsi"/>
          <w:sz w:val="24"/>
          <w:szCs w:val="24"/>
          <w:lang w:val="el-GR"/>
        </w:rPr>
        <w:t>εισόδου</w:t>
      </w:r>
      <w:r w:rsidRPr="0091418F">
        <w:rPr>
          <w:rFonts w:cstheme="minorHAnsi"/>
          <w:sz w:val="24"/>
          <w:szCs w:val="24"/>
          <w:lang w:val="el-GR"/>
        </w:rPr>
        <w:t xml:space="preserve"> </w:t>
      </w:r>
      <w:r>
        <w:rPr>
          <w:rFonts w:cstheme="minorHAnsi"/>
          <w:sz w:val="24"/>
          <w:szCs w:val="24"/>
          <w:lang w:val="el-GR"/>
        </w:rPr>
        <w:t>διατυπώνονται</w:t>
      </w:r>
      <w:r w:rsidRPr="0091418F">
        <w:rPr>
          <w:rFonts w:cstheme="minorHAnsi"/>
          <w:sz w:val="24"/>
          <w:szCs w:val="24"/>
          <w:lang w:val="el-GR"/>
        </w:rPr>
        <w:t xml:space="preserve"> </w:t>
      </w:r>
      <w:r>
        <w:rPr>
          <w:rFonts w:cstheme="minorHAnsi"/>
          <w:sz w:val="24"/>
          <w:szCs w:val="24"/>
          <w:lang w:val="el-GR"/>
        </w:rPr>
        <w:t>δια</w:t>
      </w:r>
      <w:r w:rsidRPr="0091418F">
        <w:rPr>
          <w:rFonts w:cstheme="minorHAnsi"/>
          <w:sz w:val="24"/>
          <w:szCs w:val="24"/>
          <w:lang w:val="el-GR"/>
        </w:rPr>
        <w:t xml:space="preserve"> </w:t>
      </w:r>
      <w:r>
        <w:rPr>
          <w:rFonts w:cstheme="minorHAnsi"/>
          <w:sz w:val="24"/>
          <w:szCs w:val="24"/>
          <w:lang w:val="el-GR"/>
        </w:rPr>
        <w:t>νόμου</w:t>
      </w:r>
      <w:r w:rsidR="00220066" w:rsidRPr="0091418F">
        <w:rPr>
          <w:rFonts w:cstheme="minorHAnsi"/>
          <w:sz w:val="24"/>
          <w:szCs w:val="24"/>
          <w:lang w:val="el-GR"/>
        </w:rPr>
        <w:t xml:space="preserve">, </w:t>
      </w:r>
      <w:r>
        <w:rPr>
          <w:rFonts w:cstheme="minorHAnsi"/>
          <w:sz w:val="24"/>
          <w:szCs w:val="24"/>
          <w:lang w:val="el-GR"/>
        </w:rPr>
        <w:t>π</w:t>
      </w:r>
      <w:r w:rsidR="00220066" w:rsidRPr="0091418F">
        <w:rPr>
          <w:rFonts w:cstheme="minorHAnsi"/>
          <w:sz w:val="24"/>
          <w:szCs w:val="24"/>
          <w:lang w:val="el-GR"/>
        </w:rPr>
        <w:t>.</w:t>
      </w:r>
      <w:r>
        <w:rPr>
          <w:rFonts w:cstheme="minorHAnsi"/>
          <w:sz w:val="24"/>
          <w:szCs w:val="24"/>
          <w:lang w:val="el-GR"/>
        </w:rPr>
        <w:t>χ</w:t>
      </w:r>
      <w:r w:rsidR="00220066" w:rsidRPr="0091418F">
        <w:rPr>
          <w:rFonts w:cstheme="minorHAnsi"/>
          <w:sz w:val="24"/>
          <w:szCs w:val="24"/>
          <w:lang w:val="el-GR"/>
        </w:rPr>
        <w:t xml:space="preserve">. </w:t>
      </w:r>
      <w:r>
        <w:rPr>
          <w:rFonts w:cstheme="minorHAnsi"/>
          <w:sz w:val="24"/>
          <w:szCs w:val="24"/>
          <w:lang w:val="el-GR"/>
        </w:rPr>
        <w:t>Κυπριακή</w:t>
      </w:r>
      <w:r w:rsidRPr="0091418F">
        <w:rPr>
          <w:rFonts w:cstheme="minorHAnsi"/>
          <w:sz w:val="24"/>
          <w:szCs w:val="24"/>
          <w:lang w:val="el-GR"/>
        </w:rPr>
        <w:t xml:space="preserve"> </w:t>
      </w:r>
      <w:r>
        <w:rPr>
          <w:rFonts w:cstheme="minorHAnsi"/>
          <w:sz w:val="24"/>
          <w:szCs w:val="24"/>
          <w:lang w:val="el-GR"/>
        </w:rPr>
        <w:t>υπηκοότητα</w:t>
      </w:r>
      <w:r w:rsidR="00220066" w:rsidRPr="0091418F">
        <w:rPr>
          <w:rFonts w:cstheme="minorHAnsi"/>
          <w:sz w:val="24"/>
          <w:szCs w:val="24"/>
          <w:lang w:val="el-GR"/>
        </w:rPr>
        <w:t xml:space="preserve">, </w:t>
      </w:r>
      <w:r>
        <w:rPr>
          <w:rFonts w:cstheme="minorHAnsi"/>
          <w:sz w:val="24"/>
          <w:szCs w:val="24"/>
          <w:lang w:val="el-GR"/>
        </w:rPr>
        <w:t>ηλικία</w:t>
      </w:r>
      <w:r w:rsidR="00220066" w:rsidRPr="0091418F">
        <w:rPr>
          <w:rFonts w:cstheme="minorHAnsi"/>
          <w:sz w:val="24"/>
          <w:szCs w:val="24"/>
          <w:lang w:val="el-GR"/>
        </w:rPr>
        <w:t xml:space="preserve">, </w:t>
      </w:r>
      <w:r>
        <w:rPr>
          <w:rFonts w:cstheme="minorHAnsi"/>
          <w:sz w:val="24"/>
          <w:szCs w:val="24"/>
          <w:lang w:val="el-GR"/>
        </w:rPr>
        <w:t>στρατιωτική θητεία</w:t>
      </w:r>
      <w:r w:rsidR="00220066" w:rsidRPr="0091418F">
        <w:rPr>
          <w:rFonts w:cstheme="minorHAnsi"/>
          <w:sz w:val="24"/>
          <w:szCs w:val="24"/>
          <w:lang w:val="el-GR"/>
        </w:rPr>
        <w:t xml:space="preserve">, </w:t>
      </w:r>
      <w:r>
        <w:rPr>
          <w:rFonts w:cstheme="minorHAnsi"/>
          <w:sz w:val="24"/>
          <w:szCs w:val="24"/>
          <w:lang w:val="el-GR"/>
        </w:rPr>
        <w:t>μόρφωση</w:t>
      </w:r>
      <w:r w:rsidR="00220066" w:rsidRPr="0091418F">
        <w:rPr>
          <w:rFonts w:cstheme="minorHAnsi"/>
          <w:sz w:val="24"/>
          <w:szCs w:val="24"/>
          <w:lang w:val="el-GR"/>
        </w:rPr>
        <w:t xml:space="preserve">, </w:t>
      </w:r>
      <w:r>
        <w:rPr>
          <w:rFonts w:cstheme="minorHAnsi"/>
          <w:sz w:val="24"/>
          <w:szCs w:val="24"/>
          <w:lang w:val="el-GR"/>
        </w:rPr>
        <w:t>καθαρό μητρώο</w:t>
      </w:r>
      <w:r w:rsidR="00220066" w:rsidRPr="0091418F">
        <w:rPr>
          <w:rFonts w:cstheme="minorHAnsi"/>
          <w:sz w:val="24"/>
          <w:szCs w:val="24"/>
          <w:lang w:val="el-GR"/>
        </w:rPr>
        <w:t xml:space="preserve"> (</w:t>
      </w:r>
      <w:r>
        <w:rPr>
          <w:rFonts w:cstheme="minorHAnsi"/>
          <w:sz w:val="24"/>
          <w:szCs w:val="24"/>
          <w:lang w:val="el-GR"/>
        </w:rPr>
        <w:t>συμπεριλαμβανομένου ενός καθαρού πειθαρχικού</w:t>
      </w:r>
      <w:r w:rsidR="00220066" w:rsidRPr="0091418F">
        <w:rPr>
          <w:rFonts w:cstheme="minorHAnsi"/>
          <w:sz w:val="24"/>
          <w:szCs w:val="24"/>
          <w:lang w:val="el-GR"/>
        </w:rPr>
        <w:t>/</w:t>
      </w:r>
      <w:r>
        <w:rPr>
          <w:rFonts w:cstheme="minorHAnsi"/>
          <w:sz w:val="24"/>
          <w:szCs w:val="24"/>
          <w:lang w:val="el-GR"/>
        </w:rPr>
        <w:t>ποινικού φακέλου</w:t>
      </w:r>
      <w:r w:rsidR="00220066" w:rsidRPr="0091418F">
        <w:rPr>
          <w:rFonts w:cstheme="minorHAnsi"/>
          <w:sz w:val="24"/>
          <w:szCs w:val="24"/>
          <w:lang w:val="el-GR"/>
        </w:rPr>
        <w:t xml:space="preserve">), </w:t>
      </w:r>
      <w:r>
        <w:rPr>
          <w:rFonts w:cstheme="minorHAnsi"/>
          <w:sz w:val="24"/>
          <w:szCs w:val="24"/>
          <w:lang w:val="el-GR"/>
        </w:rPr>
        <w:t xml:space="preserve">ιστορικό </w:t>
      </w:r>
      <w:proofErr w:type="spellStart"/>
      <w:r>
        <w:rPr>
          <w:rFonts w:cstheme="minorHAnsi"/>
          <w:sz w:val="24"/>
          <w:szCs w:val="24"/>
          <w:lang w:val="el-GR"/>
        </w:rPr>
        <w:t>εργοδότησης</w:t>
      </w:r>
      <w:proofErr w:type="spellEnd"/>
      <w:r w:rsidR="00220066" w:rsidRPr="0091418F">
        <w:rPr>
          <w:rFonts w:cstheme="minorHAnsi"/>
          <w:sz w:val="24"/>
          <w:szCs w:val="24"/>
          <w:lang w:val="el-GR"/>
        </w:rPr>
        <w:t xml:space="preserve">, </w:t>
      </w:r>
      <w:r>
        <w:rPr>
          <w:rFonts w:cstheme="minorHAnsi"/>
          <w:sz w:val="24"/>
          <w:szCs w:val="24"/>
          <w:lang w:val="el-GR"/>
        </w:rPr>
        <w:t>γλώσσες</w:t>
      </w:r>
      <w:r w:rsidR="00220066" w:rsidRPr="0091418F">
        <w:rPr>
          <w:rFonts w:cstheme="minorHAnsi"/>
          <w:sz w:val="24"/>
          <w:szCs w:val="24"/>
          <w:lang w:val="el-GR"/>
        </w:rPr>
        <w:t xml:space="preserve">, </w:t>
      </w:r>
      <w:r>
        <w:rPr>
          <w:rFonts w:cstheme="minorHAnsi"/>
          <w:sz w:val="24"/>
          <w:szCs w:val="24"/>
          <w:lang w:val="el-GR"/>
        </w:rPr>
        <w:t>κλπ</w:t>
      </w:r>
      <w:r w:rsidR="00220066" w:rsidRPr="0091418F">
        <w:rPr>
          <w:rFonts w:cstheme="minorHAnsi"/>
          <w:sz w:val="24"/>
          <w:szCs w:val="24"/>
          <w:lang w:val="el-GR"/>
        </w:rPr>
        <w:t xml:space="preserve">. </w:t>
      </w:r>
      <w:r>
        <w:rPr>
          <w:rFonts w:cstheme="minorHAnsi"/>
          <w:sz w:val="24"/>
          <w:szCs w:val="24"/>
          <w:lang w:val="en-US"/>
        </w:rPr>
        <w:t>H</w:t>
      </w:r>
      <w:r w:rsidRPr="0091418F">
        <w:rPr>
          <w:rFonts w:cstheme="minorHAnsi"/>
          <w:sz w:val="24"/>
          <w:szCs w:val="24"/>
          <w:lang w:val="el-GR"/>
        </w:rPr>
        <w:t xml:space="preserve"> </w:t>
      </w:r>
      <w:r>
        <w:rPr>
          <w:rFonts w:cstheme="minorHAnsi"/>
          <w:sz w:val="24"/>
          <w:szCs w:val="24"/>
          <w:lang w:val="el-GR"/>
        </w:rPr>
        <w:t>διαλογή</w:t>
      </w:r>
      <w:r w:rsidRPr="0091418F">
        <w:rPr>
          <w:rFonts w:cstheme="minorHAnsi"/>
          <w:sz w:val="24"/>
          <w:szCs w:val="24"/>
          <w:lang w:val="el-GR"/>
        </w:rPr>
        <w:t xml:space="preserve"> </w:t>
      </w:r>
      <w:r w:rsidR="00B53443">
        <w:rPr>
          <w:rFonts w:cstheme="minorHAnsi"/>
          <w:sz w:val="24"/>
          <w:szCs w:val="24"/>
          <w:lang w:val="el-GR"/>
        </w:rPr>
        <w:t>ώστε</w:t>
      </w:r>
      <w:r w:rsidRPr="0091418F">
        <w:rPr>
          <w:rFonts w:cstheme="minorHAnsi"/>
          <w:sz w:val="24"/>
          <w:szCs w:val="24"/>
          <w:lang w:val="el-GR"/>
        </w:rPr>
        <w:t xml:space="preserve"> </w:t>
      </w:r>
      <w:r>
        <w:rPr>
          <w:rFonts w:cstheme="minorHAnsi"/>
          <w:sz w:val="24"/>
          <w:szCs w:val="24"/>
          <w:lang w:val="el-GR"/>
        </w:rPr>
        <w:t>οι</w:t>
      </w:r>
      <w:r w:rsidRPr="0091418F">
        <w:rPr>
          <w:rFonts w:cstheme="minorHAnsi"/>
          <w:sz w:val="24"/>
          <w:szCs w:val="24"/>
          <w:lang w:val="el-GR"/>
        </w:rPr>
        <w:t xml:space="preserve"> </w:t>
      </w:r>
      <w:r w:rsidR="002E5EC0">
        <w:rPr>
          <w:rFonts w:cstheme="minorHAnsi"/>
          <w:sz w:val="24"/>
          <w:szCs w:val="24"/>
          <w:lang w:val="el-GR"/>
        </w:rPr>
        <w:t>καθορισμένες</w:t>
      </w:r>
      <w:r w:rsidRPr="0091418F">
        <w:rPr>
          <w:rFonts w:cstheme="minorHAnsi"/>
          <w:sz w:val="24"/>
          <w:szCs w:val="24"/>
          <w:lang w:val="el-GR"/>
        </w:rPr>
        <w:t xml:space="preserve"> </w:t>
      </w:r>
      <w:r>
        <w:rPr>
          <w:rFonts w:cstheme="minorHAnsi"/>
          <w:sz w:val="24"/>
          <w:szCs w:val="24"/>
          <w:lang w:val="el-GR"/>
        </w:rPr>
        <w:t>απαιτήσεις</w:t>
      </w:r>
      <w:r w:rsidRPr="0091418F">
        <w:rPr>
          <w:rFonts w:cstheme="minorHAnsi"/>
          <w:sz w:val="24"/>
          <w:szCs w:val="24"/>
          <w:lang w:val="el-GR"/>
        </w:rPr>
        <w:t xml:space="preserve"> </w:t>
      </w:r>
      <w:r>
        <w:rPr>
          <w:rFonts w:cstheme="minorHAnsi"/>
          <w:sz w:val="24"/>
          <w:szCs w:val="24"/>
          <w:lang w:val="el-GR"/>
        </w:rPr>
        <w:t>έχουν</w:t>
      </w:r>
      <w:r w:rsidRPr="0091418F">
        <w:rPr>
          <w:rFonts w:cstheme="minorHAnsi"/>
          <w:sz w:val="24"/>
          <w:szCs w:val="24"/>
          <w:lang w:val="el-GR"/>
        </w:rPr>
        <w:t xml:space="preserve"> </w:t>
      </w:r>
      <w:r>
        <w:rPr>
          <w:rFonts w:cstheme="minorHAnsi"/>
          <w:sz w:val="24"/>
          <w:szCs w:val="24"/>
          <w:lang w:val="el-GR"/>
        </w:rPr>
        <w:t>τηρηθεί</w:t>
      </w:r>
      <w:r w:rsidR="00B53443">
        <w:rPr>
          <w:rFonts w:cstheme="minorHAnsi"/>
          <w:sz w:val="24"/>
          <w:szCs w:val="24"/>
          <w:lang w:val="el-GR"/>
        </w:rPr>
        <w:t>,</w:t>
      </w:r>
      <w:r>
        <w:rPr>
          <w:rFonts w:cstheme="minorHAnsi"/>
          <w:sz w:val="24"/>
          <w:szCs w:val="24"/>
          <w:lang w:val="el-GR"/>
        </w:rPr>
        <w:t xml:space="preserve"> γίνεται ανάλογα</w:t>
      </w:r>
      <w:r w:rsidR="00220066" w:rsidRPr="0091418F">
        <w:rPr>
          <w:rFonts w:cstheme="minorHAnsi"/>
          <w:sz w:val="24"/>
          <w:szCs w:val="24"/>
          <w:lang w:val="el-GR"/>
        </w:rPr>
        <w:t xml:space="preserve">. </w:t>
      </w:r>
      <w:r>
        <w:rPr>
          <w:rFonts w:cstheme="minorHAnsi"/>
          <w:sz w:val="24"/>
          <w:szCs w:val="24"/>
          <w:lang w:val="el-GR"/>
        </w:rPr>
        <w:t>Οι</w:t>
      </w:r>
      <w:r w:rsidRPr="00DE4523">
        <w:rPr>
          <w:rFonts w:cstheme="minorHAnsi"/>
          <w:sz w:val="24"/>
          <w:szCs w:val="24"/>
          <w:lang w:val="el-GR"/>
        </w:rPr>
        <w:t xml:space="preserve"> </w:t>
      </w:r>
      <w:r>
        <w:rPr>
          <w:rFonts w:cstheme="minorHAnsi"/>
          <w:sz w:val="24"/>
          <w:szCs w:val="24"/>
          <w:lang w:val="el-GR"/>
        </w:rPr>
        <w:t>υποψήφιοι</w:t>
      </w:r>
      <w:r w:rsidRPr="00DE4523">
        <w:rPr>
          <w:rFonts w:cstheme="minorHAnsi"/>
          <w:sz w:val="24"/>
          <w:szCs w:val="24"/>
          <w:lang w:val="el-GR"/>
        </w:rPr>
        <w:t xml:space="preserve"> </w:t>
      </w:r>
      <w:r>
        <w:rPr>
          <w:rFonts w:cstheme="minorHAnsi"/>
          <w:sz w:val="24"/>
          <w:szCs w:val="24"/>
          <w:lang w:val="el-GR"/>
        </w:rPr>
        <w:t>πρέπει</w:t>
      </w:r>
      <w:r w:rsidRPr="00DE4523">
        <w:rPr>
          <w:rFonts w:cstheme="minorHAnsi"/>
          <w:sz w:val="24"/>
          <w:szCs w:val="24"/>
          <w:lang w:val="el-GR"/>
        </w:rPr>
        <w:t xml:space="preserve"> </w:t>
      </w:r>
      <w:r>
        <w:rPr>
          <w:rFonts w:cstheme="minorHAnsi"/>
          <w:sz w:val="24"/>
          <w:szCs w:val="24"/>
          <w:lang w:val="el-GR"/>
        </w:rPr>
        <w:t>επίσης</w:t>
      </w:r>
      <w:r w:rsidRPr="00DE4523">
        <w:rPr>
          <w:rFonts w:cstheme="minorHAnsi"/>
          <w:sz w:val="24"/>
          <w:szCs w:val="24"/>
          <w:lang w:val="el-GR"/>
        </w:rPr>
        <w:t xml:space="preserve"> </w:t>
      </w:r>
      <w:r>
        <w:rPr>
          <w:rFonts w:cstheme="minorHAnsi"/>
          <w:sz w:val="24"/>
          <w:szCs w:val="24"/>
          <w:lang w:val="el-GR"/>
        </w:rPr>
        <w:t>να</w:t>
      </w:r>
      <w:r w:rsidRPr="00DE4523">
        <w:rPr>
          <w:rFonts w:cstheme="minorHAnsi"/>
          <w:sz w:val="24"/>
          <w:szCs w:val="24"/>
          <w:lang w:val="el-GR"/>
        </w:rPr>
        <w:t xml:space="preserve"> </w:t>
      </w:r>
      <w:r>
        <w:rPr>
          <w:rFonts w:cstheme="minorHAnsi"/>
          <w:sz w:val="24"/>
          <w:szCs w:val="24"/>
          <w:lang w:val="el-GR"/>
        </w:rPr>
        <w:t>περάσουν</w:t>
      </w:r>
      <w:r w:rsidR="00220066" w:rsidRPr="00DE4523">
        <w:rPr>
          <w:rFonts w:cstheme="minorHAnsi"/>
          <w:sz w:val="24"/>
          <w:szCs w:val="24"/>
          <w:lang w:val="el-GR"/>
        </w:rPr>
        <w:t xml:space="preserve"> </w:t>
      </w:r>
      <w:r>
        <w:rPr>
          <w:rFonts w:cstheme="minorHAnsi"/>
          <w:sz w:val="24"/>
          <w:szCs w:val="24"/>
          <w:lang w:val="el-GR"/>
        </w:rPr>
        <w:t>μια</w:t>
      </w:r>
      <w:r w:rsidRPr="00DE4523">
        <w:rPr>
          <w:rFonts w:cstheme="minorHAnsi"/>
          <w:sz w:val="24"/>
          <w:szCs w:val="24"/>
          <w:lang w:val="el-GR"/>
        </w:rPr>
        <w:t xml:space="preserve"> </w:t>
      </w:r>
      <w:r>
        <w:rPr>
          <w:rFonts w:cstheme="minorHAnsi"/>
          <w:sz w:val="24"/>
          <w:szCs w:val="24"/>
          <w:lang w:val="el-GR"/>
        </w:rPr>
        <w:t>γραπτή</w:t>
      </w:r>
      <w:r w:rsidRPr="00DE4523">
        <w:rPr>
          <w:rFonts w:cstheme="minorHAnsi"/>
          <w:sz w:val="24"/>
          <w:szCs w:val="24"/>
          <w:lang w:val="el-GR"/>
        </w:rPr>
        <w:t xml:space="preserve"> </w:t>
      </w:r>
      <w:r>
        <w:rPr>
          <w:rFonts w:cstheme="minorHAnsi"/>
          <w:sz w:val="24"/>
          <w:szCs w:val="24"/>
          <w:lang w:val="el-GR"/>
        </w:rPr>
        <w:t>εξέταση</w:t>
      </w:r>
      <w:r w:rsidRPr="00DE4523">
        <w:rPr>
          <w:rFonts w:cstheme="minorHAnsi"/>
          <w:sz w:val="24"/>
          <w:szCs w:val="24"/>
          <w:lang w:val="el-GR"/>
        </w:rPr>
        <w:t xml:space="preserve"> </w:t>
      </w:r>
      <w:r>
        <w:rPr>
          <w:rFonts w:cstheme="minorHAnsi"/>
          <w:sz w:val="24"/>
          <w:szCs w:val="24"/>
          <w:lang w:val="el-GR"/>
        </w:rPr>
        <w:t>και</w:t>
      </w:r>
      <w:r w:rsidRPr="00DE4523">
        <w:rPr>
          <w:rFonts w:cstheme="minorHAnsi"/>
          <w:sz w:val="24"/>
          <w:szCs w:val="24"/>
          <w:lang w:val="el-GR"/>
        </w:rPr>
        <w:t xml:space="preserve"> </w:t>
      </w:r>
      <w:r>
        <w:rPr>
          <w:rFonts w:cstheme="minorHAnsi"/>
          <w:sz w:val="24"/>
          <w:szCs w:val="24"/>
          <w:lang w:val="el-GR"/>
        </w:rPr>
        <w:t>σωματικ</w:t>
      </w:r>
      <w:r w:rsidR="00DE4523">
        <w:rPr>
          <w:rFonts w:cstheme="minorHAnsi"/>
          <w:sz w:val="24"/>
          <w:szCs w:val="24"/>
          <w:lang w:val="el-GR"/>
        </w:rPr>
        <w:t>ές δοκιμές</w:t>
      </w:r>
      <w:r w:rsidR="00220066" w:rsidRPr="00DE4523">
        <w:rPr>
          <w:rFonts w:cstheme="minorHAnsi"/>
          <w:sz w:val="24"/>
          <w:szCs w:val="24"/>
          <w:lang w:val="el-GR"/>
        </w:rPr>
        <w:t xml:space="preserve"> (</w:t>
      </w:r>
      <w:r w:rsidR="00DE4523">
        <w:rPr>
          <w:rFonts w:cstheme="minorHAnsi"/>
          <w:sz w:val="24"/>
          <w:szCs w:val="24"/>
          <w:lang w:val="el-GR"/>
        </w:rPr>
        <w:t>και</w:t>
      </w:r>
      <w:r w:rsidR="00220066" w:rsidRPr="00DE4523">
        <w:rPr>
          <w:rFonts w:cstheme="minorHAnsi"/>
          <w:sz w:val="24"/>
          <w:szCs w:val="24"/>
          <w:lang w:val="el-GR"/>
        </w:rPr>
        <w:t xml:space="preserve">, </w:t>
      </w:r>
      <w:r w:rsidR="00DE4523">
        <w:rPr>
          <w:rFonts w:cstheme="minorHAnsi"/>
          <w:sz w:val="24"/>
          <w:szCs w:val="24"/>
          <w:lang w:val="el-GR"/>
        </w:rPr>
        <w:t>στην περίπτωση εξειδικευμένου προσωπικού</w:t>
      </w:r>
      <w:r w:rsidR="00220066" w:rsidRPr="00DE4523">
        <w:rPr>
          <w:rFonts w:cstheme="minorHAnsi"/>
          <w:sz w:val="24"/>
          <w:szCs w:val="24"/>
          <w:lang w:val="el-GR"/>
        </w:rPr>
        <w:t xml:space="preserve">, </w:t>
      </w:r>
      <w:r w:rsidR="00DE4523">
        <w:rPr>
          <w:rFonts w:cstheme="minorHAnsi"/>
          <w:sz w:val="24"/>
          <w:szCs w:val="24"/>
          <w:lang w:val="el-GR"/>
        </w:rPr>
        <w:t>μια συνέντευξη</w:t>
      </w:r>
      <w:r w:rsidR="00220066" w:rsidRPr="00DE4523">
        <w:rPr>
          <w:rFonts w:cstheme="minorHAnsi"/>
          <w:sz w:val="24"/>
          <w:szCs w:val="24"/>
          <w:lang w:val="el-GR"/>
        </w:rPr>
        <w:t xml:space="preserve">). </w:t>
      </w:r>
    </w:p>
    <w:p w14:paraId="243E410B" w14:textId="77777777" w:rsidR="00220066" w:rsidRPr="00DE4523" w:rsidRDefault="00220066" w:rsidP="00220066">
      <w:pPr>
        <w:widowControl w:val="0"/>
        <w:tabs>
          <w:tab w:val="left" w:pos="709"/>
        </w:tabs>
        <w:rPr>
          <w:rFonts w:cstheme="minorHAnsi"/>
          <w:sz w:val="24"/>
          <w:szCs w:val="24"/>
          <w:lang w:val="el-GR"/>
        </w:rPr>
      </w:pPr>
    </w:p>
    <w:p w14:paraId="035204B6" w14:textId="48B9B09B" w:rsidR="00220066" w:rsidRPr="00DE4523" w:rsidRDefault="00DE4523"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Ο</w:t>
      </w:r>
      <w:r w:rsidRPr="00DE4523">
        <w:rPr>
          <w:rFonts w:cstheme="minorHAnsi"/>
          <w:sz w:val="24"/>
          <w:szCs w:val="24"/>
          <w:lang w:val="el-GR"/>
        </w:rPr>
        <w:t xml:space="preserve"> </w:t>
      </w:r>
      <w:r>
        <w:rPr>
          <w:rFonts w:cstheme="minorHAnsi"/>
          <w:sz w:val="24"/>
          <w:szCs w:val="24"/>
          <w:lang w:val="el-GR"/>
        </w:rPr>
        <w:t>διορισμός</w:t>
      </w:r>
      <w:r w:rsidRPr="00DE4523">
        <w:rPr>
          <w:rFonts w:cstheme="minorHAnsi"/>
          <w:sz w:val="24"/>
          <w:szCs w:val="24"/>
          <w:lang w:val="el-GR"/>
        </w:rPr>
        <w:t xml:space="preserve"> </w:t>
      </w:r>
      <w:r>
        <w:rPr>
          <w:rFonts w:cstheme="minorHAnsi"/>
          <w:sz w:val="24"/>
          <w:szCs w:val="24"/>
          <w:lang w:val="el-GR"/>
        </w:rPr>
        <w:t>αποφασίζεται</w:t>
      </w:r>
      <w:r w:rsidR="00220066" w:rsidRPr="00DE4523">
        <w:rPr>
          <w:rFonts w:cstheme="minorHAnsi"/>
          <w:sz w:val="24"/>
          <w:szCs w:val="24"/>
          <w:lang w:val="el-GR"/>
        </w:rPr>
        <w:t xml:space="preserve"> </w:t>
      </w:r>
      <w:r>
        <w:rPr>
          <w:rFonts w:cstheme="minorHAnsi"/>
          <w:sz w:val="24"/>
          <w:szCs w:val="24"/>
          <w:lang w:val="el-GR"/>
        </w:rPr>
        <w:t>από</w:t>
      </w:r>
      <w:r w:rsidRPr="00DE4523">
        <w:rPr>
          <w:rFonts w:cstheme="minorHAnsi"/>
          <w:sz w:val="24"/>
          <w:szCs w:val="24"/>
          <w:lang w:val="el-GR"/>
        </w:rPr>
        <w:t xml:space="preserve"> </w:t>
      </w:r>
      <w:r>
        <w:rPr>
          <w:rFonts w:cstheme="minorHAnsi"/>
          <w:sz w:val="24"/>
          <w:szCs w:val="24"/>
          <w:lang w:val="el-GR"/>
        </w:rPr>
        <w:t>τον</w:t>
      </w:r>
      <w:r w:rsidRPr="00DE4523">
        <w:rPr>
          <w:rFonts w:cstheme="minorHAnsi"/>
          <w:sz w:val="24"/>
          <w:szCs w:val="24"/>
          <w:lang w:val="el-GR"/>
        </w:rPr>
        <w:t xml:space="preserve"> </w:t>
      </w:r>
      <w:r>
        <w:rPr>
          <w:rFonts w:cstheme="minorHAnsi"/>
          <w:sz w:val="24"/>
          <w:szCs w:val="24"/>
          <w:lang w:val="el-GR"/>
        </w:rPr>
        <w:t>Αρχηγό</w:t>
      </w:r>
      <w:r w:rsidRPr="00DE4523">
        <w:rPr>
          <w:rFonts w:cstheme="minorHAnsi"/>
          <w:sz w:val="24"/>
          <w:szCs w:val="24"/>
          <w:lang w:val="el-GR"/>
        </w:rPr>
        <w:t xml:space="preserve"> </w:t>
      </w:r>
      <w:r>
        <w:rPr>
          <w:rFonts w:cstheme="minorHAnsi"/>
          <w:sz w:val="24"/>
          <w:szCs w:val="24"/>
          <w:lang w:val="el-GR"/>
        </w:rPr>
        <w:t>της</w:t>
      </w:r>
      <w:r w:rsidRPr="00DE4523">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DE4523">
        <w:rPr>
          <w:rFonts w:cstheme="minorHAnsi"/>
          <w:sz w:val="24"/>
          <w:szCs w:val="24"/>
          <w:lang w:val="el-GR"/>
        </w:rPr>
        <w:t xml:space="preserve"> </w:t>
      </w:r>
      <w:r>
        <w:rPr>
          <w:rFonts w:cstheme="minorHAnsi"/>
          <w:sz w:val="24"/>
          <w:szCs w:val="24"/>
          <w:lang w:val="el-GR"/>
        </w:rPr>
        <w:t>με</w:t>
      </w:r>
      <w:r w:rsidRPr="00DE4523">
        <w:rPr>
          <w:rFonts w:cstheme="minorHAnsi"/>
          <w:sz w:val="24"/>
          <w:szCs w:val="24"/>
          <w:lang w:val="el-GR"/>
        </w:rPr>
        <w:t xml:space="preserve"> </w:t>
      </w:r>
      <w:r>
        <w:rPr>
          <w:rFonts w:cstheme="minorHAnsi"/>
          <w:sz w:val="24"/>
          <w:szCs w:val="24"/>
          <w:lang w:val="el-GR"/>
        </w:rPr>
        <w:t>την</w:t>
      </w:r>
      <w:r w:rsidRPr="00DE4523">
        <w:rPr>
          <w:rFonts w:cstheme="minorHAnsi"/>
          <w:sz w:val="24"/>
          <w:szCs w:val="24"/>
          <w:lang w:val="el-GR"/>
        </w:rPr>
        <w:t xml:space="preserve"> </w:t>
      </w:r>
      <w:r>
        <w:rPr>
          <w:rFonts w:cstheme="minorHAnsi"/>
          <w:sz w:val="24"/>
          <w:szCs w:val="24"/>
          <w:lang w:val="el-GR"/>
        </w:rPr>
        <w:t>έγκριση</w:t>
      </w:r>
      <w:r w:rsidRPr="00DE4523">
        <w:rPr>
          <w:rFonts w:cstheme="minorHAnsi"/>
          <w:sz w:val="24"/>
          <w:szCs w:val="24"/>
          <w:lang w:val="el-GR"/>
        </w:rPr>
        <w:t xml:space="preserve"> </w:t>
      </w:r>
      <w:r>
        <w:rPr>
          <w:rFonts w:cstheme="minorHAnsi"/>
          <w:sz w:val="24"/>
          <w:szCs w:val="24"/>
          <w:lang w:val="el-GR"/>
        </w:rPr>
        <w:t>του</w:t>
      </w:r>
      <w:r w:rsidRPr="00DE4523">
        <w:rPr>
          <w:rFonts w:cstheme="minorHAnsi"/>
          <w:sz w:val="24"/>
          <w:szCs w:val="24"/>
          <w:lang w:val="el-GR"/>
        </w:rPr>
        <w:t xml:space="preserve"> </w:t>
      </w:r>
      <w:r>
        <w:rPr>
          <w:rFonts w:cstheme="minorHAnsi"/>
          <w:sz w:val="24"/>
          <w:szCs w:val="24"/>
          <w:lang w:val="el-GR"/>
        </w:rPr>
        <w:t>Υπουργού</w:t>
      </w:r>
      <w:r w:rsidRPr="00DE4523">
        <w:rPr>
          <w:rFonts w:cstheme="minorHAnsi"/>
          <w:sz w:val="24"/>
          <w:szCs w:val="24"/>
          <w:lang w:val="el-GR"/>
        </w:rPr>
        <w:t xml:space="preserve"> </w:t>
      </w:r>
      <w:r>
        <w:rPr>
          <w:rFonts w:cstheme="minorHAnsi"/>
          <w:sz w:val="24"/>
          <w:szCs w:val="24"/>
          <w:lang w:val="el-GR"/>
        </w:rPr>
        <w:t>Δικαιοσύνης</w:t>
      </w:r>
      <w:r w:rsidRPr="00DE4523">
        <w:rPr>
          <w:rFonts w:cstheme="minorHAnsi"/>
          <w:sz w:val="24"/>
          <w:szCs w:val="24"/>
          <w:lang w:val="el-GR"/>
        </w:rPr>
        <w:t xml:space="preserve"> </w:t>
      </w:r>
      <w:r>
        <w:rPr>
          <w:rFonts w:cstheme="minorHAnsi"/>
          <w:sz w:val="24"/>
          <w:szCs w:val="24"/>
          <w:lang w:val="el-GR"/>
        </w:rPr>
        <w:t>και</w:t>
      </w:r>
      <w:r w:rsidRPr="00DE4523">
        <w:rPr>
          <w:rFonts w:cstheme="minorHAnsi"/>
          <w:sz w:val="24"/>
          <w:szCs w:val="24"/>
          <w:lang w:val="el-GR"/>
        </w:rPr>
        <w:t xml:space="preserve"> </w:t>
      </w:r>
      <w:r>
        <w:rPr>
          <w:rFonts w:cstheme="minorHAnsi"/>
          <w:sz w:val="24"/>
          <w:szCs w:val="24"/>
          <w:lang w:val="el-GR"/>
        </w:rPr>
        <w:t>Δημοσίας</w:t>
      </w:r>
      <w:r w:rsidRPr="00DE4523">
        <w:rPr>
          <w:rFonts w:cstheme="minorHAnsi"/>
          <w:sz w:val="24"/>
          <w:szCs w:val="24"/>
          <w:lang w:val="el-GR"/>
        </w:rPr>
        <w:t xml:space="preserve"> </w:t>
      </w:r>
      <w:r>
        <w:rPr>
          <w:rFonts w:cstheme="minorHAnsi"/>
          <w:sz w:val="24"/>
          <w:szCs w:val="24"/>
          <w:lang w:val="el-GR"/>
        </w:rPr>
        <w:t>Τάξεως</w:t>
      </w:r>
      <w:r w:rsidR="00220066" w:rsidRPr="00DE4523">
        <w:rPr>
          <w:rFonts w:cstheme="minorHAnsi"/>
          <w:sz w:val="24"/>
          <w:szCs w:val="24"/>
          <w:lang w:val="el-GR"/>
        </w:rPr>
        <w:t xml:space="preserve"> </w:t>
      </w:r>
      <w:r>
        <w:rPr>
          <w:rFonts w:cstheme="minorHAnsi"/>
          <w:sz w:val="24"/>
          <w:szCs w:val="24"/>
          <w:lang w:val="el-GR"/>
        </w:rPr>
        <w:t>μετά από την σύσταση της Επιτροπής Επιλογής</w:t>
      </w:r>
      <w:r w:rsidR="00220066" w:rsidRPr="00DE4523">
        <w:rPr>
          <w:rFonts w:cstheme="minorHAnsi"/>
          <w:sz w:val="24"/>
          <w:szCs w:val="24"/>
          <w:lang w:val="el-GR"/>
        </w:rPr>
        <w:t xml:space="preserve">. </w:t>
      </w:r>
      <w:r>
        <w:rPr>
          <w:rFonts w:cstheme="minorHAnsi"/>
          <w:sz w:val="24"/>
          <w:szCs w:val="24"/>
          <w:lang w:val="el-GR"/>
        </w:rPr>
        <w:t>Η</w:t>
      </w:r>
      <w:r w:rsidRPr="00DE4523">
        <w:rPr>
          <w:rFonts w:cstheme="minorHAnsi"/>
          <w:sz w:val="24"/>
          <w:szCs w:val="24"/>
          <w:lang w:val="el-GR"/>
        </w:rPr>
        <w:t xml:space="preserve"> </w:t>
      </w:r>
      <w:r>
        <w:rPr>
          <w:rFonts w:cstheme="minorHAnsi"/>
          <w:sz w:val="24"/>
          <w:szCs w:val="24"/>
          <w:lang w:val="el-GR"/>
        </w:rPr>
        <w:t>Επιτροπή</w:t>
      </w:r>
      <w:r w:rsidRPr="00DE4523">
        <w:rPr>
          <w:rFonts w:cstheme="minorHAnsi"/>
          <w:sz w:val="24"/>
          <w:szCs w:val="24"/>
          <w:lang w:val="el-GR"/>
        </w:rPr>
        <w:t xml:space="preserve"> </w:t>
      </w:r>
      <w:r>
        <w:rPr>
          <w:rFonts w:cstheme="minorHAnsi"/>
          <w:sz w:val="24"/>
          <w:szCs w:val="24"/>
          <w:lang w:val="el-GR"/>
        </w:rPr>
        <w:t>Επιλογής</w:t>
      </w:r>
      <w:r w:rsidRPr="00DE4523">
        <w:rPr>
          <w:rFonts w:cstheme="minorHAnsi"/>
          <w:sz w:val="24"/>
          <w:szCs w:val="24"/>
          <w:lang w:val="el-GR"/>
        </w:rPr>
        <w:t xml:space="preserve"> </w:t>
      </w:r>
      <w:r>
        <w:rPr>
          <w:rFonts w:cstheme="minorHAnsi"/>
          <w:sz w:val="24"/>
          <w:szCs w:val="24"/>
          <w:lang w:val="el-GR"/>
        </w:rPr>
        <w:t>αποτελείται</w:t>
      </w:r>
      <w:r w:rsidRPr="00DE4523">
        <w:rPr>
          <w:rFonts w:cstheme="minorHAnsi"/>
          <w:sz w:val="24"/>
          <w:szCs w:val="24"/>
          <w:lang w:val="el-GR"/>
        </w:rPr>
        <w:t xml:space="preserve"> </w:t>
      </w:r>
      <w:r>
        <w:rPr>
          <w:rFonts w:cstheme="minorHAnsi"/>
          <w:sz w:val="24"/>
          <w:szCs w:val="24"/>
          <w:lang w:val="el-GR"/>
        </w:rPr>
        <w:t>από</w:t>
      </w:r>
      <w:r w:rsidRPr="00DE4523">
        <w:rPr>
          <w:rFonts w:cstheme="minorHAnsi"/>
          <w:sz w:val="24"/>
          <w:szCs w:val="24"/>
          <w:lang w:val="el-GR"/>
        </w:rPr>
        <w:t xml:space="preserve"> </w:t>
      </w:r>
      <w:r>
        <w:rPr>
          <w:rFonts w:cstheme="minorHAnsi"/>
          <w:sz w:val="24"/>
          <w:szCs w:val="24"/>
          <w:lang w:val="el-GR"/>
        </w:rPr>
        <w:t>τον</w:t>
      </w:r>
      <w:r w:rsidRPr="00DE4523">
        <w:rPr>
          <w:rFonts w:cstheme="minorHAnsi"/>
          <w:sz w:val="24"/>
          <w:szCs w:val="24"/>
          <w:lang w:val="el-GR"/>
        </w:rPr>
        <w:t xml:space="preserve"> </w:t>
      </w:r>
      <w:r>
        <w:rPr>
          <w:rFonts w:cstheme="minorHAnsi"/>
          <w:sz w:val="24"/>
          <w:szCs w:val="24"/>
          <w:lang w:val="el-GR"/>
        </w:rPr>
        <w:t>Βοηθό</w:t>
      </w:r>
      <w:r w:rsidRPr="00DE4523">
        <w:rPr>
          <w:rFonts w:cstheme="minorHAnsi"/>
          <w:sz w:val="24"/>
          <w:szCs w:val="24"/>
          <w:lang w:val="el-GR"/>
        </w:rPr>
        <w:t xml:space="preserve"> </w:t>
      </w:r>
      <w:r>
        <w:rPr>
          <w:rFonts w:cstheme="minorHAnsi"/>
          <w:sz w:val="24"/>
          <w:szCs w:val="24"/>
          <w:lang w:val="el-GR"/>
        </w:rPr>
        <w:t>Αρχηγό</w:t>
      </w:r>
      <w:r w:rsidRPr="00DE4523">
        <w:rPr>
          <w:rFonts w:cstheme="minorHAnsi"/>
          <w:sz w:val="24"/>
          <w:szCs w:val="24"/>
          <w:lang w:val="el-GR"/>
        </w:rPr>
        <w:t xml:space="preserve"> </w:t>
      </w:r>
      <w:r>
        <w:rPr>
          <w:rFonts w:cstheme="minorHAnsi"/>
          <w:sz w:val="24"/>
          <w:szCs w:val="24"/>
          <w:lang w:val="el-GR"/>
        </w:rPr>
        <w:t>της</w:t>
      </w:r>
      <w:r w:rsidRPr="00DE4523">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DE4523">
        <w:rPr>
          <w:rFonts w:cstheme="minorHAnsi"/>
          <w:sz w:val="24"/>
          <w:szCs w:val="24"/>
          <w:lang w:val="el-GR"/>
        </w:rPr>
        <w:t xml:space="preserve"> (</w:t>
      </w:r>
      <w:r>
        <w:rPr>
          <w:rFonts w:cstheme="minorHAnsi"/>
          <w:sz w:val="24"/>
          <w:szCs w:val="24"/>
          <w:lang w:val="el-GR"/>
        </w:rPr>
        <w:t>για</w:t>
      </w:r>
      <w:r w:rsidRPr="00DE4523">
        <w:rPr>
          <w:rFonts w:cstheme="minorHAnsi"/>
          <w:sz w:val="24"/>
          <w:szCs w:val="24"/>
          <w:lang w:val="el-GR"/>
        </w:rPr>
        <w:t xml:space="preserve"> </w:t>
      </w:r>
      <w:r>
        <w:rPr>
          <w:rFonts w:cstheme="minorHAnsi"/>
          <w:sz w:val="24"/>
          <w:szCs w:val="24"/>
          <w:lang w:val="el-GR"/>
        </w:rPr>
        <w:t>την</w:t>
      </w:r>
      <w:r w:rsidRPr="00DE4523">
        <w:rPr>
          <w:rFonts w:cstheme="minorHAnsi"/>
          <w:sz w:val="24"/>
          <w:szCs w:val="24"/>
          <w:lang w:val="el-GR"/>
        </w:rPr>
        <w:t xml:space="preserve"> </w:t>
      </w:r>
      <w:r>
        <w:rPr>
          <w:rFonts w:cstheme="minorHAnsi"/>
          <w:sz w:val="24"/>
          <w:szCs w:val="24"/>
          <w:lang w:val="en-US"/>
        </w:rPr>
        <w:t>E</w:t>
      </w:r>
      <w:r w:rsidR="002E5EC0">
        <w:rPr>
          <w:rFonts w:cstheme="minorHAnsi"/>
          <w:sz w:val="24"/>
          <w:szCs w:val="24"/>
          <w:lang w:val="el-GR"/>
        </w:rPr>
        <w:t>εκπαίδευση</w:t>
      </w:r>
      <w:r w:rsidR="00220066" w:rsidRPr="00DE4523">
        <w:rPr>
          <w:rFonts w:cstheme="minorHAnsi"/>
          <w:sz w:val="24"/>
          <w:szCs w:val="24"/>
          <w:lang w:val="el-GR"/>
        </w:rPr>
        <w:t xml:space="preserve">) </w:t>
      </w:r>
      <w:r>
        <w:rPr>
          <w:rFonts w:cstheme="minorHAnsi"/>
          <w:sz w:val="24"/>
          <w:szCs w:val="24"/>
          <w:lang w:val="el-GR"/>
        </w:rPr>
        <w:t>ως πρόεδρος</w:t>
      </w:r>
      <w:r w:rsidR="00220066" w:rsidRPr="00DE4523">
        <w:rPr>
          <w:rFonts w:cstheme="minorHAnsi"/>
          <w:sz w:val="24"/>
          <w:szCs w:val="24"/>
          <w:lang w:val="el-GR"/>
        </w:rPr>
        <w:t xml:space="preserve">, </w:t>
      </w:r>
      <w:r>
        <w:rPr>
          <w:rFonts w:cstheme="minorHAnsi"/>
          <w:sz w:val="24"/>
          <w:szCs w:val="24"/>
          <w:lang w:val="el-GR"/>
        </w:rPr>
        <w:t>τον Διευθυντή της Αστυνομικής Ακαδημίας Κύπρου</w:t>
      </w:r>
      <w:r w:rsidR="00220066" w:rsidRPr="00DE4523">
        <w:rPr>
          <w:rFonts w:cstheme="minorHAnsi"/>
          <w:sz w:val="24"/>
          <w:szCs w:val="24"/>
          <w:lang w:val="el-GR"/>
        </w:rPr>
        <w:t xml:space="preserve"> </w:t>
      </w:r>
      <w:r>
        <w:rPr>
          <w:rFonts w:cstheme="minorHAnsi"/>
          <w:sz w:val="24"/>
          <w:szCs w:val="24"/>
          <w:lang w:val="el-GR"/>
        </w:rPr>
        <w:t>και ένα Ανώτερο Αξιωματούχο</w:t>
      </w:r>
      <w:r w:rsidR="00220066" w:rsidRPr="00DE4523">
        <w:rPr>
          <w:rFonts w:cstheme="minorHAnsi"/>
          <w:sz w:val="24"/>
          <w:szCs w:val="24"/>
          <w:lang w:val="el-GR"/>
        </w:rPr>
        <w:t>.</w:t>
      </w:r>
    </w:p>
    <w:p w14:paraId="7C8B790E" w14:textId="77777777" w:rsidR="00220066" w:rsidRPr="00DE4523" w:rsidRDefault="00220066" w:rsidP="00220066">
      <w:pPr>
        <w:widowControl w:val="0"/>
        <w:tabs>
          <w:tab w:val="left" w:pos="709"/>
        </w:tabs>
        <w:rPr>
          <w:rFonts w:cstheme="minorHAnsi"/>
          <w:sz w:val="24"/>
          <w:szCs w:val="24"/>
          <w:lang w:val="el-GR"/>
        </w:rPr>
      </w:pPr>
    </w:p>
    <w:p w14:paraId="0DAFFE1C" w14:textId="1551BC18" w:rsidR="00220066" w:rsidRPr="00DE4523" w:rsidRDefault="00DE4523"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Υπάρχει</w:t>
      </w:r>
      <w:r w:rsidRPr="00DE4523">
        <w:rPr>
          <w:rFonts w:cstheme="minorHAnsi"/>
          <w:sz w:val="24"/>
          <w:szCs w:val="24"/>
          <w:lang w:val="el-GR"/>
        </w:rPr>
        <w:t xml:space="preserve"> </w:t>
      </w:r>
      <w:r>
        <w:rPr>
          <w:rFonts w:cstheme="minorHAnsi"/>
          <w:sz w:val="24"/>
          <w:szCs w:val="24"/>
          <w:lang w:val="el-GR"/>
        </w:rPr>
        <w:t>μια</w:t>
      </w:r>
      <w:r w:rsidRPr="00DE4523">
        <w:rPr>
          <w:rFonts w:cstheme="minorHAnsi"/>
          <w:sz w:val="24"/>
          <w:szCs w:val="24"/>
          <w:lang w:val="el-GR"/>
        </w:rPr>
        <w:t xml:space="preserve"> </w:t>
      </w:r>
      <w:r>
        <w:rPr>
          <w:rFonts w:cstheme="minorHAnsi"/>
          <w:sz w:val="24"/>
          <w:szCs w:val="24"/>
          <w:lang w:val="el-GR"/>
        </w:rPr>
        <w:t>δοκιμαστική</w:t>
      </w:r>
      <w:r w:rsidRPr="00DE4523">
        <w:rPr>
          <w:rFonts w:cstheme="minorHAnsi"/>
          <w:sz w:val="24"/>
          <w:szCs w:val="24"/>
          <w:lang w:val="el-GR"/>
        </w:rPr>
        <w:t xml:space="preserve"> </w:t>
      </w:r>
      <w:r>
        <w:rPr>
          <w:rFonts w:cstheme="minorHAnsi"/>
          <w:sz w:val="24"/>
          <w:szCs w:val="24"/>
          <w:lang w:val="el-GR"/>
        </w:rPr>
        <w:t>περίοδος</w:t>
      </w:r>
      <w:r w:rsidRPr="00DE4523">
        <w:rPr>
          <w:rFonts w:cstheme="minorHAnsi"/>
          <w:sz w:val="24"/>
          <w:szCs w:val="24"/>
          <w:lang w:val="el-GR"/>
        </w:rPr>
        <w:t xml:space="preserve"> </w:t>
      </w:r>
      <w:r>
        <w:rPr>
          <w:rFonts w:cstheme="minorHAnsi"/>
          <w:sz w:val="24"/>
          <w:szCs w:val="24"/>
          <w:lang w:val="el-GR"/>
        </w:rPr>
        <w:t>τριών</w:t>
      </w:r>
      <w:r w:rsidRPr="00DE4523">
        <w:rPr>
          <w:rFonts w:cstheme="minorHAnsi"/>
          <w:sz w:val="24"/>
          <w:szCs w:val="24"/>
          <w:lang w:val="el-GR"/>
        </w:rPr>
        <w:t xml:space="preserve"> </w:t>
      </w:r>
      <w:r>
        <w:rPr>
          <w:rFonts w:cstheme="minorHAnsi"/>
          <w:sz w:val="24"/>
          <w:szCs w:val="24"/>
          <w:lang w:val="el-GR"/>
        </w:rPr>
        <w:t>χρόνων</w:t>
      </w:r>
      <w:r w:rsidR="00220066" w:rsidRPr="00DE4523">
        <w:rPr>
          <w:rFonts w:cstheme="minorHAnsi"/>
          <w:sz w:val="24"/>
          <w:szCs w:val="24"/>
          <w:lang w:val="el-GR"/>
        </w:rPr>
        <w:t xml:space="preserve"> (</w:t>
      </w:r>
      <w:r>
        <w:rPr>
          <w:rFonts w:cstheme="minorHAnsi"/>
          <w:sz w:val="24"/>
          <w:szCs w:val="24"/>
          <w:lang w:val="el-GR"/>
        </w:rPr>
        <w:t>που</w:t>
      </w:r>
      <w:r w:rsidRPr="00DE4523">
        <w:rPr>
          <w:rFonts w:cstheme="minorHAnsi"/>
          <w:sz w:val="24"/>
          <w:szCs w:val="24"/>
          <w:lang w:val="el-GR"/>
        </w:rPr>
        <w:t xml:space="preserve"> </w:t>
      </w:r>
      <w:r>
        <w:rPr>
          <w:rFonts w:cstheme="minorHAnsi"/>
          <w:sz w:val="24"/>
          <w:szCs w:val="24"/>
          <w:lang w:val="el-GR"/>
        </w:rPr>
        <w:t>μπορεί</w:t>
      </w:r>
      <w:r w:rsidRPr="00DE4523">
        <w:rPr>
          <w:rFonts w:cstheme="minorHAnsi"/>
          <w:sz w:val="24"/>
          <w:szCs w:val="24"/>
          <w:lang w:val="el-GR"/>
        </w:rPr>
        <w:t xml:space="preserve"> </w:t>
      </w:r>
      <w:r>
        <w:rPr>
          <w:rFonts w:cstheme="minorHAnsi"/>
          <w:sz w:val="24"/>
          <w:szCs w:val="24"/>
          <w:lang w:val="el-GR"/>
        </w:rPr>
        <w:t>να</w:t>
      </w:r>
      <w:r w:rsidRPr="00DE4523">
        <w:rPr>
          <w:rFonts w:cstheme="minorHAnsi"/>
          <w:sz w:val="24"/>
          <w:szCs w:val="24"/>
          <w:lang w:val="el-GR"/>
        </w:rPr>
        <w:t xml:space="preserve"> </w:t>
      </w:r>
      <w:r>
        <w:rPr>
          <w:rFonts w:cstheme="minorHAnsi"/>
          <w:sz w:val="24"/>
          <w:szCs w:val="24"/>
          <w:lang w:val="el-GR"/>
        </w:rPr>
        <w:t>επεκταθεί</w:t>
      </w:r>
      <w:r w:rsidRPr="00DE4523">
        <w:rPr>
          <w:rFonts w:cstheme="minorHAnsi"/>
          <w:sz w:val="24"/>
          <w:szCs w:val="24"/>
          <w:lang w:val="el-GR"/>
        </w:rPr>
        <w:t xml:space="preserve"> </w:t>
      </w:r>
      <w:r>
        <w:rPr>
          <w:rFonts w:cstheme="minorHAnsi"/>
          <w:sz w:val="24"/>
          <w:szCs w:val="24"/>
          <w:lang w:val="el-GR"/>
        </w:rPr>
        <w:t>για</w:t>
      </w:r>
      <w:r w:rsidRPr="00DE4523">
        <w:rPr>
          <w:rFonts w:cstheme="minorHAnsi"/>
          <w:sz w:val="24"/>
          <w:szCs w:val="24"/>
          <w:lang w:val="el-GR"/>
        </w:rPr>
        <w:t xml:space="preserve"> </w:t>
      </w:r>
      <w:r>
        <w:rPr>
          <w:rFonts w:cstheme="minorHAnsi"/>
          <w:sz w:val="24"/>
          <w:szCs w:val="24"/>
          <w:lang w:val="el-GR"/>
        </w:rPr>
        <w:t>ένα</w:t>
      </w:r>
      <w:r w:rsidRPr="00DE4523">
        <w:rPr>
          <w:rFonts w:cstheme="minorHAnsi"/>
          <w:sz w:val="24"/>
          <w:szCs w:val="24"/>
          <w:lang w:val="el-GR"/>
        </w:rPr>
        <w:t xml:space="preserve"> </w:t>
      </w:r>
      <w:r>
        <w:rPr>
          <w:rFonts w:cstheme="minorHAnsi"/>
          <w:sz w:val="24"/>
          <w:szCs w:val="24"/>
          <w:lang w:val="el-GR"/>
        </w:rPr>
        <w:t>επιπρόσθετο</w:t>
      </w:r>
      <w:r w:rsidRPr="00DE4523">
        <w:rPr>
          <w:rFonts w:cstheme="minorHAnsi"/>
          <w:sz w:val="24"/>
          <w:szCs w:val="24"/>
          <w:lang w:val="el-GR"/>
        </w:rPr>
        <w:t xml:space="preserve"> </w:t>
      </w:r>
      <w:r>
        <w:rPr>
          <w:rFonts w:cstheme="minorHAnsi"/>
          <w:sz w:val="24"/>
          <w:szCs w:val="24"/>
          <w:lang w:val="el-GR"/>
        </w:rPr>
        <w:t>χρόνο</w:t>
      </w:r>
      <w:r w:rsidR="00220066" w:rsidRPr="00DE4523">
        <w:rPr>
          <w:rFonts w:cstheme="minorHAnsi"/>
          <w:sz w:val="24"/>
          <w:szCs w:val="24"/>
          <w:lang w:val="el-GR"/>
        </w:rPr>
        <w:t xml:space="preserve"> </w:t>
      </w:r>
      <w:r>
        <w:rPr>
          <w:rFonts w:cstheme="minorHAnsi"/>
          <w:sz w:val="24"/>
          <w:szCs w:val="24"/>
          <w:lang w:val="el-GR"/>
        </w:rPr>
        <w:t>από</w:t>
      </w:r>
      <w:r w:rsidRPr="00DE4523">
        <w:rPr>
          <w:rFonts w:cstheme="minorHAnsi"/>
          <w:sz w:val="24"/>
          <w:szCs w:val="24"/>
          <w:lang w:val="el-GR"/>
        </w:rPr>
        <w:t xml:space="preserve"> </w:t>
      </w:r>
      <w:r>
        <w:rPr>
          <w:rFonts w:cstheme="minorHAnsi"/>
          <w:sz w:val="24"/>
          <w:szCs w:val="24"/>
          <w:lang w:val="el-GR"/>
        </w:rPr>
        <w:t>τον</w:t>
      </w:r>
      <w:r w:rsidRPr="00DE4523">
        <w:rPr>
          <w:rFonts w:cstheme="minorHAnsi"/>
          <w:sz w:val="24"/>
          <w:szCs w:val="24"/>
          <w:lang w:val="el-GR"/>
        </w:rPr>
        <w:t xml:space="preserve"> </w:t>
      </w:r>
      <w:r>
        <w:rPr>
          <w:rFonts w:cstheme="minorHAnsi"/>
          <w:sz w:val="24"/>
          <w:szCs w:val="24"/>
          <w:lang w:val="el-GR"/>
        </w:rPr>
        <w:t>Αρχηγό</w:t>
      </w:r>
      <w:r w:rsidRPr="00DE4523">
        <w:rPr>
          <w:rFonts w:cstheme="minorHAnsi"/>
          <w:sz w:val="24"/>
          <w:szCs w:val="24"/>
          <w:lang w:val="el-GR"/>
        </w:rPr>
        <w:t xml:space="preserve"> </w:t>
      </w:r>
      <w:r>
        <w:rPr>
          <w:rFonts w:cstheme="minorHAnsi"/>
          <w:sz w:val="24"/>
          <w:szCs w:val="24"/>
          <w:lang w:val="el-GR"/>
        </w:rPr>
        <w:t>της</w:t>
      </w:r>
      <w:r w:rsidRPr="00DE4523">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DE4523">
        <w:rPr>
          <w:rFonts w:cstheme="minorHAnsi"/>
          <w:sz w:val="24"/>
          <w:szCs w:val="24"/>
          <w:lang w:val="el-GR"/>
        </w:rPr>
        <w:t xml:space="preserve">, </w:t>
      </w:r>
      <w:r>
        <w:rPr>
          <w:rFonts w:cstheme="minorHAnsi"/>
          <w:sz w:val="24"/>
          <w:szCs w:val="24"/>
          <w:lang w:val="el-GR"/>
        </w:rPr>
        <w:t>κατόπιν</w:t>
      </w:r>
      <w:r w:rsidRPr="00DE4523">
        <w:rPr>
          <w:rFonts w:cstheme="minorHAnsi"/>
          <w:sz w:val="24"/>
          <w:szCs w:val="24"/>
          <w:lang w:val="el-GR"/>
        </w:rPr>
        <w:t xml:space="preserve"> </w:t>
      </w:r>
      <w:r>
        <w:rPr>
          <w:rFonts w:cstheme="minorHAnsi"/>
          <w:sz w:val="24"/>
          <w:szCs w:val="24"/>
          <w:lang w:val="el-GR"/>
        </w:rPr>
        <w:t>έγκρισης από τον Υπουργό Δικαιοσύνης και Δημοσίας Τάξεως</w:t>
      </w:r>
      <w:r w:rsidR="00220066" w:rsidRPr="00DE4523">
        <w:rPr>
          <w:rFonts w:cstheme="minorHAnsi"/>
          <w:sz w:val="24"/>
          <w:szCs w:val="24"/>
          <w:lang w:val="el-GR"/>
        </w:rPr>
        <w:t>)</w:t>
      </w:r>
      <w:r>
        <w:rPr>
          <w:rFonts w:cstheme="minorHAnsi"/>
          <w:sz w:val="24"/>
          <w:szCs w:val="24"/>
          <w:lang w:val="el-GR"/>
        </w:rPr>
        <w:t>,</w:t>
      </w:r>
      <w:r w:rsidR="00220066" w:rsidRPr="00DE4523">
        <w:rPr>
          <w:rFonts w:cstheme="minorHAnsi"/>
          <w:sz w:val="24"/>
          <w:szCs w:val="24"/>
          <w:lang w:val="el-GR"/>
        </w:rPr>
        <w:t xml:space="preserve"> </w:t>
      </w:r>
      <w:r>
        <w:rPr>
          <w:rFonts w:cstheme="minorHAnsi"/>
          <w:sz w:val="24"/>
          <w:szCs w:val="24"/>
          <w:lang w:val="el-GR"/>
        </w:rPr>
        <w:t>που συμπεριλαμβάνει επαγγελματικά πρακτικά προγράμματα</w:t>
      </w:r>
      <w:r w:rsidR="00220066" w:rsidRPr="00DE4523">
        <w:rPr>
          <w:rFonts w:cstheme="minorHAnsi"/>
          <w:sz w:val="24"/>
          <w:szCs w:val="24"/>
          <w:lang w:val="el-GR"/>
        </w:rPr>
        <w:t xml:space="preserve">, </w:t>
      </w:r>
      <w:r>
        <w:rPr>
          <w:rFonts w:cstheme="minorHAnsi"/>
          <w:sz w:val="24"/>
          <w:szCs w:val="24"/>
          <w:lang w:val="el-GR"/>
        </w:rPr>
        <w:t>καθώς επίσης και προγράμματα σωματικής εξάσκησης στην Αστυνομική Ακαδημία</w:t>
      </w:r>
      <w:r w:rsidR="00220066" w:rsidRPr="00DE4523">
        <w:rPr>
          <w:rFonts w:cstheme="minorHAnsi"/>
          <w:sz w:val="24"/>
          <w:szCs w:val="24"/>
          <w:lang w:val="el-GR"/>
        </w:rPr>
        <w:t xml:space="preserve">. </w:t>
      </w:r>
      <w:r>
        <w:rPr>
          <w:rFonts w:cstheme="minorHAnsi"/>
          <w:sz w:val="24"/>
          <w:szCs w:val="24"/>
          <w:lang w:val="el-GR"/>
        </w:rPr>
        <w:t>Το</w:t>
      </w:r>
      <w:r w:rsidRPr="00DE4523">
        <w:rPr>
          <w:rFonts w:cstheme="minorHAnsi"/>
          <w:sz w:val="24"/>
          <w:szCs w:val="24"/>
          <w:lang w:val="el-GR"/>
        </w:rPr>
        <w:t xml:space="preserve"> </w:t>
      </w:r>
      <w:r>
        <w:rPr>
          <w:rFonts w:cstheme="minorHAnsi"/>
          <w:sz w:val="24"/>
          <w:szCs w:val="24"/>
          <w:lang w:val="el-GR"/>
        </w:rPr>
        <w:t>προσωπικό</w:t>
      </w:r>
      <w:r w:rsidRPr="00DE4523">
        <w:rPr>
          <w:rFonts w:cstheme="minorHAnsi"/>
          <w:sz w:val="24"/>
          <w:szCs w:val="24"/>
          <w:lang w:val="el-GR"/>
        </w:rPr>
        <w:t xml:space="preserve"> </w:t>
      </w:r>
      <w:r>
        <w:rPr>
          <w:rFonts w:cstheme="minorHAnsi"/>
          <w:sz w:val="24"/>
          <w:szCs w:val="24"/>
          <w:lang w:val="el-GR"/>
        </w:rPr>
        <w:t>της</w:t>
      </w:r>
      <w:r w:rsidRPr="00DE4523">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Pr="00DE4523">
        <w:rPr>
          <w:rFonts w:cstheme="minorHAnsi"/>
          <w:sz w:val="24"/>
          <w:szCs w:val="24"/>
          <w:lang w:val="el-GR"/>
        </w:rPr>
        <w:t xml:space="preserve"> </w:t>
      </w:r>
      <w:r>
        <w:rPr>
          <w:rFonts w:cstheme="minorHAnsi"/>
          <w:sz w:val="24"/>
          <w:szCs w:val="24"/>
          <w:lang w:val="el-GR"/>
        </w:rPr>
        <w:t>Κύπρου</w:t>
      </w:r>
      <w:r w:rsidR="00220066" w:rsidRPr="00DE4523">
        <w:rPr>
          <w:rFonts w:cstheme="minorHAnsi"/>
          <w:sz w:val="24"/>
          <w:szCs w:val="24"/>
          <w:lang w:val="el-GR"/>
        </w:rPr>
        <w:t xml:space="preserve"> </w:t>
      </w:r>
      <w:r>
        <w:rPr>
          <w:rFonts w:cstheme="minorHAnsi"/>
          <w:sz w:val="24"/>
          <w:szCs w:val="24"/>
          <w:lang w:val="el-GR"/>
        </w:rPr>
        <w:t>μέχρι</w:t>
      </w:r>
      <w:r w:rsidRPr="00DE4523">
        <w:rPr>
          <w:rFonts w:cstheme="minorHAnsi"/>
          <w:sz w:val="24"/>
          <w:szCs w:val="24"/>
          <w:lang w:val="el-GR"/>
        </w:rPr>
        <w:t xml:space="preserve"> </w:t>
      </w:r>
      <w:r>
        <w:rPr>
          <w:rFonts w:cstheme="minorHAnsi"/>
          <w:sz w:val="24"/>
          <w:szCs w:val="24"/>
          <w:lang w:val="el-GR"/>
        </w:rPr>
        <w:t>τον</w:t>
      </w:r>
      <w:r w:rsidRPr="00DE4523">
        <w:rPr>
          <w:rFonts w:cstheme="minorHAnsi"/>
          <w:sz w:val="24"/>
          <w:szCs w:val="24"/>
          <w:lang w:val="el-GR"/>
        </w:rPr>
        <w:t xml:space="preserve"> </w:t>
      </w:r>
      <w:r>
        <w:rPr>
          <w:rFonts w:cstheme="minorHAnsi"/>
          <w:sz w:val="24"/>
          <w:szCs w:val="24"/>
          <w:lang w:val="el-GR"/>
        </w:rPr>
        <w:t>βαθμό</w:t>
      </w:r>
      <w:r w:rsidRPr="00DE4523">
        <w:rPr>
          <w:rFonts w:cstheme="minorHAnsi"/>
          <w:sz w:val="24"/>
          <w:szCs w:val="24"/>
          <w:lang w:val="el-GR"/>
        </w:rPr>
        <w:t xml:space="preserve"> </w:t>
      </w:r>
      <w:r>
        <w:rPr>
          <w:rFonts w:cstheme="minorHAnsi"/>
          <w:sz w:val="24"/>
          <w:szCs w:val="24"/>
          <w:lang w:val="el-GR"/>
        </w:rPr>
        <w:t>του</w:t>
      </w:r>
      <w:r w:rsidRPr="00DE4523">
        <w:rPr>
          <w:rFonts w:cstheme="minorHAnsi"/>
          <w:sz w:val="24"/>
          <w:szCs w:val="24"/>
          <w:lang w:val="el-GR"/>
        </w:rPr>
        <w:t xml:space="preserve"> </w:t>
      </w:r>
      <w:r>
        <w:rPr>
          <w:rFonts w:cstheme="minorHAnsi"/>
          <w:sz w:val="24"/>
          <w:szCs w:val="24"/>
          <w:lang w:val="el-GR"/>
        </w:rPr>
        <w:t>Βοηθού</w:t>
      </w:r>
      <w:r w:rsidRPr="00DE4523">
        <w:rPr>
          <w:rFonts w:cstheme="minorHAnsi"/>
          <w:sz w:val="24"/>
          <w:szCs w:val="24"/>
          <w:lang w:val="el-GR"/>
        </w:rPr>
        <w:t xml:space="preserve"> </w:t>
      </w:r>
      <w:r>
        <w:rPr>
          <w:rFonts w:cstheme="minorHAnsi"/>
          <w:sz w:val="24"/>
          <w:szCs w:val="24"/>
          <w:lang w:val="el-GR"/>
        </w:rPr>
        <w:t xml:space="preserve">Αρχηγού της </w:t>
      </w:r>
      <w:r w:rsidR="009C4E34">
        <w:rPr>
          <w:rFonts w:cstheme="minorHAnsi"/>
          <w:sz w:val="24"/>
          <w:szCs w:val="24"/>
          <w:lang w:val="el-GR"/>
        </w:rPr>
        <w:t>Αστυνομία</w:t>
      </w:r>
      <w:r>
        <w:rPr>
          <w:rFonts w:cstheme="minorHAnsi"/>
          <w:sz w:val="24"/>
          <w:szCs w:val="24"/>
          <w:lang w:val="el-GR"/>
        </w:rPr>
        <w:t>ς έχει μόνιμο καθεστώς</w:t>
      </w:r>
      <w:r w:rsidR="00220066" w:rsidRPr="00DE4523">
        <w:rPr>
          <w:rFonts w:cstheme="minorHAnsi"/>
          <w:sz w:val="24"/>
          <w:szCs w:val="24"/>
          <w:lang w:val="el-GR"/>
        </w:rPr>
        <w:t>.</w:t>
      </w:r>
    </w:p>
    <w:p w14:paraId="33B4317E" w14:textId="77777777" w:rsidR="00220066" w:rsidRPr="00DE4523" w:rsidRDefault="00220066" w:rsidP="00220066">
      <w:pPr>
        <w:widowControl w:val="0"/>
        <w:tabs>
          <w:tab w:val="left" w:pos="709"/>
        </w:tabs>
        <w:jc w:val="center"/>
        <w:rPr>
          <w:rFonts w:cstheme="minorHAnsi"/>
          <w:i/>
          <w:iCs/>
          <w:sz w:val="20"/>
          <w:szCs w:val="20"/>
          <w:lang w:val="el-GR"/>
        </w:rPr>
      </w:pPr>
    </w:p>
    <w:p w14:paraId="379A5AAF" w14:textId="76957875" w:rsidR="00220066" w:rsidRPr="002A631E" w:rsidRDefault="002A631E"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Ο</w:t>
      </w:r>
      <w:r w:rsidRPr="002A631E">
        <w:rPr>
          <w:rFonts w:cstheme="minorHAnsi"/>
          <w:sz w:val="24"/>
          <w:szCs w:val="24"/>
          <w:lang w:val="el-GR"/>
        </w:rPr>
        <w:t xml:space="preserve"> </w:t>
      </w:r>
      <w:r>
        <w:rPr>
          <w:rFonts w:cstheme="minorHAnsi"/>
          <w:sz w:val="24"/>
          <w:szCs w:val="24"/>
          <w:lang w:val="el-GR"/>
        </w:rPr>
        <w:t>Αρχηγός</w:t>
      </w:r>
      <w:r w:rsidRPr="002A631E">
        <w:rPr>
          <w:rFonts w:cstheme="minorHAnsi"/>
          <w:sz w:val="24"/>
          <w:szCs w:val="24"/>
          <w:lang w:val="el-GR"/>
        </w:rPr>
        <w:t xml:space="preserve"> </w:t>
      </w:r>
      <w:r>
        <w:rPr>
          <w:rFonts w:cstheme="minorHAnsi"/>
          <w:sz w:val="24"/>
          <w:szCs w:val="24"/>
          <w:lang w:val="el-GR"/>
        </w:rPr>
        <w:t>και</w:t>
      </w:r>
      <w:r w:rsidRPr="002A631E">
        <w:rPr>
          <w:rFonts w:cstheme="minorHAnsi"/>
          <w:sz w:val="24"/>
          <w:szCs w:val="24"/>
          <w:lang w:val="el-GR"/>
        </w:rPr>
        <w:t xml:space="preserve"> </w:t>
      </w:r>
      <w:r>
        <w:rPr>
          <w:rFonts w:cstheme="minorHAnsi"/>
          <w:sz w:val="24"/>
          <w:szCs w:val="24"/>
          <w:lang w:val="el-GR"/>
        </w:rPr>
        <w:t>Υπαρχηγός</w:t>
      </w:r>
      <w:r w:rsidRPr="002A631E">
        <w:rPr>
          <w:rFonts w:cstheme="minorHAnsi"/>
          <w:sz w:val="24"/>
          <w:szCs w:val="24"/>
          <w:lang w:val="el-GR"/>
        </w:rPr>
        <w:t xml:space="preserve"> </w:t>
      </w:r>
      <w:r>
        <w:rPr>
          <w:rFonts w:cstheme="minorHAnsi"/>
          <w:sz w:val="24"/>
          <w:szCs w:val="24"/>
          <w:lang w:val="el-GR"/>
        </w:rPr>
        <w:t>διορίζονται</w:t>
      </w:r>
      <w:r w:rsidRPr="002A631E">
        <w:rPr>
          <w:rFonts w:cstheme="minorHAnsi"/>
          <w:sz w:val="24"/>
          <w:szCs w:val="24"/>
          <w:lang w:val="el-GR"/>
        </w:rPr>
        <w:t xml:space="preserve"> </w:t>
      </w:r>
      <w:r>
        <w:rPr>
          <w:rFonts w:cstheme="minorHAnsi"/>
          <w:sz w:val="24"/>
          <w:szCs w:val="24"/>
          <w:lang w:val="el-GR"/>
        </w:rPr>
        <w:t>και</w:t>
      </w:r>
      <w:r w:rsidRPr="002A631E">
        <w:rPr>
          <w:rFonts w:cstheme="minorHAnsi"/>
          <w:sz w:val="24"/>
          <w:szCs w:val="24"/>
          <w:lang w:val="el-GR"/>
        </w:rPr>
        <w:t xml:space="preserve"> </w:t>
      </w:r>
      <w:r>
        <w:rPr>
          <w:rFonts w:cstheme="minorHAnsi"/>
          <w:sz w:val="24"/>
          <w:szCs w:val="24"/>
          <w:lang w:val="el-GR"/>
        </w:rPr>
        <w:t>μπορούν</w:t>
      </w:r>
      <w:r w:rsidRPr="002A631E">
        <w:rPr>
          <w:rFonts w:cstheme="minorHAnsi"/>
          <w:sz w:val="24"/>
          <w:szCs w:val="24"/>
          <w:lang w:val="el-GR"/>
        </w:rPr>
        <w:t xml:space="preserve"> </w:t>
      </w:r>
      <w:r>
        <w:rPr>
          <w:rFonts w:cstheme="minorHAnsi"/>
          <w:sz w:val="24"/>
          <w:szCs w:val="24"/>
          <w:lang w:val="el-GR"/>
        </w:rPr>
        <w:t>να</w:t>
      </w:r>
      <w:r w:rsidRPr="002A631E">
        <w:rPr>
          <w:rFonts w:cstheme="minorHAnsi"/>
          <w:sz w:val="24"/>
          <w:szCs w:val="24"/>
          <w:lang w:val="el-GR"/>
        </w:rPr>
        <w:t xml:space="preserve"> </w:t>
      </w:r>
      <w:r>
        <w:rPr>
          <w:rFonts w:cstheme="minorHAnsi"/>
          <w:sz w:val="24"/>
          <w:szCs w:val="24"/>
          <w:lang w:val="el-GR"/>
        </w:rPr>
        <w:t>απολυθούν</w:t>
      </w:r>
      <w:r w:rsidRPr="002A631E">
        <w:rPr>
          <w:rFonts w:cstheme="minorHAnsi"/>
          <w:sz w:val="24"/>
          <w:szCs w:val="24"/>
          <w:lang w:val="el-GR"/>
        </w:rPr>
        <w:t xml:space="preserve"> </w:t>
      </w:r>
      <w:r>
        <w:rPr>
          <w:rFonts w:cstheme="minorHAnsi"/>
          <w:sz w:val="24"/>
          <w:szCs w:val="24"/>
          <w:lang w:val="el-GR"/>
        </w:rPr>
        <w:t>από</w:t>
      </w:r>
      <w:r w:rsidRPr="002A631E">
        <w:rPr>
          <w:rFonts w:cstheme="minorHAnsi"/>
          <w:sz w:val="24"/>
          <w:szCs w:val="24"/>
          <w:lang w:val="el-GR"/>
        </w:rPr>
        <w:t xml:space="preserve"> </w:t>
      </w:r>
      <w:r>
        <w:rPr>
          <w:rFonts w:cstheme="minorHAnsi"/>
          <w:sz w:val="24"/>
          <w:szCs w:val="24"/>
          <w:lang w:val="el-GR"/>
        </w:rPr>
        <w:t>τον</w:t>
      </w:r>
      <w:r w:rsidRPr="002A631E">
        <w:rPr>
          <w:rFonts w:cstheme="minorHAnsi"/>
          <w:sz w:val="24"/>
          <w:szCs w:val="24"/>
          <w:lang w:val="el-GR"/>
        </w:rPr>
        <w:t xml:space="preserve"> </w:t>
      </w:r>
      <w:r>
        <w:rPr>
          <w:rFonts w:cstheme="minorHAnsi"/>
          <w:sz w:val="24"/>
          <w:szCs w:val="24"/>
          <w:lang w:val="el-GR"/>
        </w:rPr>
        <w:t>Πρόεδρο</w:t>
      </w:r>
      <w:r w:rsidRPr="002A631E">
        <w:rPr>
          <w:rFonts w:cstheme="minorHAnsi"/>
          <w:sz w:val="24"/>
          <w:szCs w:val="24"/>
          <w:lang w:val="el-GR"/>
        </w:rPr>
        <w:t xml:space="preserve"> </w:t>
      </w:r>
      <w:r>
        <w:rPr>
          <w:rFonts w:cstheme="minorHAnsi"/>
          <w:sz w:val="24"/>
          <w:szCs w:val="24"/>
          <w:lang w:val="el-GR"/>
        </w:rPr>
        <w:t>της</w:t>
      </w:r>
      <w:r w:rsidRPr="002A631E">
        <w:rPr>
          <w:rFonts w:cstheme="minorHAnsi"/>
          <w:sz w:val="24"/>
          <w:szCs w:val="24"/>
          <w:lang w:val="el-GR"/>
        </w:rPr>
        <w:t xml:space="preserve"> </w:t>
      </w:r>
      <w:r>
        <w:rPr>
          <w:rFonts w:cstheme="minorHAnsi"/>
          <w:sz w:val="24"/>
          <w:szCs w:val="24"/>
          <w:lang w:val="el-GR"/>
        </w:rPr>
        <w:t>Δημοκρατίας</w:t>
      </w:r>
      <w:r w:rsidR="00220066" w:rsidRPr="002A631E">
        <w:rPr>
          <w:rFonts w:cstheme="minorHAnsi"/>
          <w:sz w:val="24"/>
          <w:szCs w:val="24"/>
          <w:lang w:val="el-GR"/>
        </w:rPr>
        <w:t xml:space="preserve">, </w:t>
      </w:r>
      <w:r>
        <w:rPr>
          <w:rFonts w:cstheme="minorHAnsi"/>
          <w:sz w:val="24"/>
          <w:szCs w:val="24"/>
          <w:lang w:val="el-GR"/>
        </w:rPr>
        <w:t>σύμφωνα με το Άρθρο</w:t>
      </w:r>
      <w:r w:rsidR="00220066" w:rsidRPr="002A631E">
        <w:rPr>
          <w:rFonts w:cstheme="minorHAnsi"/>
          <w:sz w:val="24"/>
          <w:szCs w:val="24"/>
          <w:lang w:val="el-GR"/>
        </w:rPr>
        <w:t xml:space="preserve"> 131 </w:t>
      </w:r>
      <w:r>
        <w:rPr>
          <w:rFonts w:cstheme="minorHAnsi"/>
          <w:sz w:val="24"/>
          <w:szCs w:val="24"/>
          <w:lang w:val="el-GR"/>
        </w:rPr>
        <w:t>του Συντάγματος</w:t>
      </w:r>
      <w:r w:rsidR="00220066" w:rsidRPr="002A631E">
        <w:rPr>
          <w:rFonts w:cstheme="minorHAnsi"/>
          <w:sz w:val="24"/>
          <w:szCs w:val="24"/>
          <w:lang w:val="el-GR"/>
        </w:rPr>
        <w:t xml:space="preserve">. </w:t>
      </w:r>
    </w:p>
    <w:p w14:paraId="3795BDFF" w14:textId="77777777" w:rsidR="00220066" w:rsidRPr="002A631E" w:rsidRDefault="00220066" w:rsidP="00220066">
      <w:pPr>
        <w:tabs>
          <w:tab w:val="left" w:pos="709"/>
        </w:tabs>
        <w:rPr>
          <w:rFonts w:cstheme="minorHAnsi"/>
          <w:sz w:val="24"/>
          <w:szCs w:val="24"/>
          <w:lang w:val="el-GR"/>
        </w:rPr>
      </w:pPr>
    </w:p>
    <w:p w14:paraId="06A6B1FD" w14:textId="497761A1" w:rsidR="00220066" w:rsidRPr="002A631E" w:rsidRDefault="002A631E" w:rsidP="009A3A90">
      <w:pPr>
        <w:pStyle w:val="Heading3"/>
        <w:tabs>
          <w:tab w:val="left" w:pos="709"/>
        </w:tabs>
        <w:spacing w:before="0"/>
        <w:rPr>
          <w:rFonts w:asciiTheme="minorHAnsi" w:hAnsiTheme="minorHAnsi" w:cstheme="minorHAnsi"/>
          <w:b w:val="0"/>
          <w:i/>
          <w:color w:val="auto"/>
          <w:sz w:val="24"/>
          <w:szCs w:val="24"/>
          <w:lang w:val="el-GR"/>
        </w:rPr>
      </w:pPr>
      <w:bookmarkStart w:id="206" w:name="_Toc110430333"/>
      <w:bookmarkStart w:id="207" w:name="_Toc117445172"/>
      <w:bookmarkStart w:id="208" w:name="_Toc136879376"/>
      <w:r>
        <w:rPr>
          <w:rFonts w:asciiTheme="minorHAnsi" w:hAnsiTheme="minorHAnsi" w:cstheme="minorHAnsi"/>
          <w:b w:val="0"/>
          <w:i/>
          <w:color w:val="auto"/>
          <w:sz w:val="24"/>
          <w:szCs w:val="24"/>
          <w:lang w:val="el-GR"/>
        </w:rPr>
        <w:lastRenderedPageBreak/>
        <w:t>Αξιολόγηση</w:t>
      </w:r>
      <w:r w:rsidRPr="002A631E">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απόδοσης</w:t>
      </w:r>
      <w:r w:rsidRPr="002A631E">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και</w:t>
      </w:r>
      <w:r w:rsidR="00B53443">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προαγωγή</w:t>
      </w:r>
      <w:r w:rsidRPr="002A631E">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σε</w:t>
      </w:r>
      <w:r w:rsidRPr="002A631E">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ψηλότερο</w:t>
      </w:r>
      <w:r w:rsidRPr="002A631E">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βαθμό</w:t>
      </w:r>
      <w:r w:rsidRPr="002A631E">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μεταθέσεις</w:t>
      </w:r>
      <w:r w:rsidR="00220066" w:rsidRPr="002A631E">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εκ περιτροπής υπηρεσία και τερματισμός υπηρεσίας</w:t>
      </w:r>
      <w:bookmarkEnd w:id="206"/>
      <w:bookmarkEnd w:id="207"/>
      <w:bookmarkEnd w:id="208"/>
    </w:p>
    <w:p w14:paraId="4406DBED" w14:textId="77777777" w:rsidR="00220066" w:rsidRPr="002A631E" w:rsidRDefault="00220066" w:rsidP="009A3A90">
      <w:pPr>
        <w:keepNext/>
        <w:rPr>
          <w:rFonts w:cstheme="minorHAnsi"/>
          <w:sz w:val="24"/>
          <w:szCs w:val="24"/>
          <w:lang w:val="el-GR"/>
        </w:rPr>
      </w:pPr>
    </w:p>
    <w:p w14:paraId="562FE298" w14:textId="463D95D9" w:rsidR="00220066" w:rsidRPr="00FB6F57" w:rsidRDefault="002A631E" w:rsidP="009A3A90">
      <w:pPr>
        <w:keepNext/>
        <w:numPr>
          <w:ilvl w:val="0"/>
          <w:numId w:val="1"/>
        </w:numPr>
        <w:tabs>
          <w:tab w:val="left" w:pos="709"/>
        </w:tabs>
        <w:ind w:left="0" w:firstLine="0"/>
        <w:rPr>
          <w:rFonts w:cstheme="minorHAnsi"/>
          <w:sz w:val="24"/>
          <w:szCs w:val="24"/>
          <w:lang w:val="el-GR"/>
        </w:rPr>
      </w:pPr>
      <w:r>
        <w:rPr>
          <w:rFonts w:cstheme="minorHAnsi"/>
          <w:sz w:val="24"/>
          <w:szCs w:val="24"/>
          <w:lang w:val="el-GR"/>
        </w:rPr>
        <w:t>Όλοι</w:t>
      </w:r>
      <w:r w:rsidRPr="002A631E">
        <w:rPr>
          <w:rFonts w:cstheme="minorHAnsi"/>
          <w:sz w:val="24"/>
          <w:szCs w:val="24"/>
          <w:lang w:val="el-GR"/>
        </w:rPr>
        <w:t xml:space="preserve"> </w:t>
      </w:r>
      <w:r>
        <w:rPr>
          <w:rFonts w:cstheme="minorHAnsi"/>
          <w:sz w:val="24"/>
          <w:szCs w:val="24"/>
          <w:lang w:val="el-GR"/>
        </w:rPr>
        <w:t>οι</w:t>
      </w:r>
      <w:r w:rsidRPr="002A631E">
        <w:rPr>
          <w:rFonts w:cstheme="minorHAnsi"/>
          <w:sz w:val="24"/>
          <w:szCs w:val="24"/>
          <w:lang w:val="el-GR"/>
        </w:rPr>
        <w:t xml:space="preserve"> </w:t>
      </w:r>
      <w:r>
        <w:rPr>
          <w:rFonts w:cstheme="minorHAnsi"/>
          <w:sz w:val="24"/>
          <w:szCs w:val="24"/>
          <w:lang w:val="el-GR"/>
        </w:rPr>
        <w:t>ΑΕΝ</w:t>
      </w:r>
      <w:r w:rsidRPr="002A631E">
        <w:rPr>
          <w:rFonts w:cstheme="minorHAnsi"/>
          <w:sz w:val="24"/>
          <w:szCs w:val="24"/>
          <w:lang w:val="el-GR"/>
        </w:rPr>
        <w:t xml:space="preserve"> </w:t>
      </w:r>
      <w:r>
        <w:rPr>
          <w:rFonts w:cstheme="minorHAnsi"/>
          <w:sz w:val="24"/>
          <w:szCs w:val="24"/>
          <w:lang w:val="el-GR"/>
        </w:rPr>
        <w:t>περνούν</w:t>
      </w:r>
      <w:r w:rsidRPr="002A631E">
        <w:rPr>
          <w:rFonts w:cstheme="minorHAnsi"/>
          <w:sz w:val="24"/>
          <w:szCs w:val="24"/>
          <w:lang w:val="el-GR"/>
        </w:rPr>
        <w:t xml:space="preserve"> </w:t>
      </w:r>
      <w:r>
        <w:rPr>
          <w:rFonts w:cstheme="minorHAnsi"/>
          <w:sz w:val="24"/>
          <w:szCs w:val="24"/>
          <w:lang w:val="el-GR"/>
        </w:rPr>
        <w:t>από</w:t>
      </w:r>
      <w:r w:rsidRPr="002A631E">
        <w:rPr>
          <w:rFonts w:cstheme="minorHAnsi"/>
          <w:sz w:val="24"/>
          <w:szCs w:val="24"/>
          <w:lang w:val="el-GR"/>
        </w:rPr>
        <w:t xml:space="preserve"> </w:t>
      </w:r>
      <w:r>
        <w:rPr>
          <w:rFonts w:cstheme="minorHAnsi"/>
          <w:sz w:val="24"/>
          <w:szCs w:val="24"/>
          <w:lang w:val="el-GR"/>
        </w:rPr>
        <w:t>ετήσια</w:t>
      </w:r>
      <w:r w:rsidRPr="002A631E">
        <w:rPr>
          <w:rFonts w:cstheme="minorHAnsi"/>
          <w:sz w:val="24"/>
          <w:szCs w:val="24"/>
          <w:lang w:val="el-GR"/>
        </w:rPr>
        <w:t xml:space="preserve"> </w:t>
      </w:r>
      <w:r>
        <w:rPr>
          <w:rFonts w:cstheme="minorHAnsi"/>
          <w:sz w:val="24"/>
          <w:szCs w:val="24"/>
          <w:lang w:val="el-GR"/>
        </w:rPr>
        <w:t>αξιολόγηση από τους ανωτέρους τους</w:t>
      </w:r>
      <w:r w:rsidR="00220066" w:rsidRPr="002A631E">
        <w:rPr>
          <w:rFonts w:cstheme="minorHAnsi"/>
          <w:sz w:val="24"/>
          <w:szCs w:val="24"/>
          <w:lang w:val="el-GR"/>
        </w:rPr>
        <w:t xml:space="preserve">. </w:t>
      </w:r>
      <w:r>
        <w:rPr>
          <w:rFonts w:cstheme="minorHAnsi"/>
          <w:sz w:val="24"/>
          <w:szCs w:val="24"/>
          <w:lang w:val="el-GR"/>
        </w:rPr>
        <w:t>Μια</w:t>
      </w:r>
      <w:r w:rsidRPr="002A631E">
        <w:rPr>
          <w:rFonts w:cstheme="minorHAnsi"/>
          <w:sz w:val="24"/>
          <w:szCs w:val="24"/>
          <w:lang w:val="el-GR"/>
        </w:rPr>
        <w:t xml:space="preserve"> </w:t>
      </w:r>
      <w:r>
        <w:rPr>
          <w:rFonts w:cstheme="minorHAnsi"/>
          <w:sz w:val="24"/>
          <w:szCs w:val="24"/>
          <w:lang w:val="el-GR"/>
        </w:rPr>
        <w:t>τέτοια</w:t>
      </w:r>
      <w:r w:rsidRPr="002A631E">
        <w:rPr>
          <w:rFonts w:cstheme="minorHAnsi"/>
          <w:sz w:val="24"/>
          <w:szCs w:val="24"/>
          <w:lang w:val="el-GR"/>
        </w:rPr>
        <w:t xml:space="preserve"> </w:t>
      </w:r>
      <w:r>
        <w:rPr>
          <w:rFonts w:cstheme="minorHAnsi"/>
          <w:sz w:val="24"/>
          <w:szCs w:val="24"/>
          <w:lang w:val="el-GR"/>
        </w:rPr>
        <w:t>αξιολόγηση</w:t>
      </w:r>
      <w:r w:rsidRPr="002A631E">
        <w:rPr>
          <w:rFonts w:cstheme="minorHAnsi"/>
          <w:sz w:val="24"/>
          <w:szCs w:val="24"/>
          <w:lang w:val="el-GR"/>
        </w:rPr>
        <w:t xml:space="preserve"> </w:t>
      </w:r>
      <w:r>
        <w:rPr>
          <w:rFonts w:cstheme="minorHAnsi"/>
          <w:sz w:val="24"/>
          <w:szCs w:val="24"/>
          <w:lang w:val="el-GR"/>
        </w:rPr>
        <w:t>συμπεριλαμβάνει</w:t>
      </w:r>
      <w:r w:rsidRPr="002A631E">
        <w:rPr>
          <w:rFonts w:cstheme="minorHAnsi"/>
          <w:sz w:val="24"/>
          <w:szCs w:val="24"/>
          <w:lang w:val="el-GR"/>
        </w:rPr>
        <w:t xml:space="preserve"> </w:t>
      </w:r>
      <w:r>
        <w:rPr>
          <w:rFonts w:cstheme="minorHAnsi"/>
          <w:sz w:val="24"/>
          <w:szCs w:val="24"/>
          <w:lang w:val="el-GR"/>
        </w:rPr>
        <w:t>κριτήρια</w:t>
      </w:r>
      <w:r w:rsidR="00220066" w:rsidRPr="002A631E">
        <w:rPr>
          <w:rFonts w:cstheme="minorHAnsi"/>
          <w:sz w:val="24"/>
          <w:szCs w:val="24"/>
          <w:lang w:val="el-GR"/>
        </w:rPr>
        <w:t xml:space="preserve">, </w:t>
      </w:r>
      <w:r>
        <w:rPr>
          <w:rFonts w:cstheme="minorHAnsi"/>
          <w:sz w:val="24"/>
          <w:szCs w:val="24"/>
          <w:lang w:val="el-GR"/>
        </w:rPr>
        <w:t>όπως</w:t>
      </w:r>
      <w:r w:rsidRPr="002A631E">
        <w:rPr>
          <w:rFonts w:cstheme="minorHAnsi"/>
          <w:sz w:val="24"/>
          <w:szCs w:val="24"/>
          <w:lang w:val="el-GR"/>
        </w:rPr>
        <w:t xml:space="preserve"> </w:t>
      </w:r>
      <w:r>
        <w:rPr>
          <w:rFonts w:cstheme="minorHAnsi"/>
          <w:sz w:val="24"/>
          <w:szCs w:val="24"/>
          <w:lang w:val="el-GR"/>
        </w:rPr>
        <w:t>διευθυντικές</w:t>
      </w:r>
      <w:r w:rsidRPr="002A631E">
        <w:rPr>
          <w:rFonts w:cstheme="minorHAnsi"/>
          <w:sz w:val="24"/>
          <w:szCs w:val="24"/>
          <w:lang w:val="el-GR"/>
        </w:rPr>
        <w:t xml:space="preserve"> </w:t>
      </w:r>
      <w:r>
        <w:rPr>
          <w:rFonts w:cstheme="minorHAnsi"/>
          <w:sz w:val="24"/>
          <w:szCs w:val="24"/>
          <w:lang w:val="el-GR"/>
        </w:rPr>
        <w:t>ικανότητες</w:t>
      </w:r>
      <w:r w:rsidR="00220066" w:rsidRPr="002A631E">
        <w:rPr>
          <w:rFonts w:cstheme="minorHAnsi"/>
          <w:sz w:val="24"/>
          <w:szCs w:val="24"/>
          <w:lang w:val="el-GR"/>
        </w:rPr>
        <w:t xml:space="preserve">, </w:t>
      </w:r>
      <w:r>
        <w:rPr>
          <w:rFonts w:cstheme="minorHAnsi"/>
          <w:sz w:val="24"/>
          <w:szCs w:val="24"/>
          <w:lang w:val="el-GR"/>
        </w:rPr>
        <w:t>κριτική</w:t>
      </w:r>
      <w:r w:rsidRPr="002A631E">
        <w:rPr>
          <w:rFonts w:cstheme="minorHAnsi"/>
          <w:sz w:val="24"/>
          <w:szCs w:val="24"/>
          <w:lang w:val="el-GR"/>
        </w:rPr>
        <w:t xml:space="preserve"> </w:t>
      </w:r>
      <w:r>
        <w:rPr>
          <w:rFonts w:cstheme="minorHAnsi"/>
          <w:sz w:val="24"/>
          <w:szCs w:val="24"/>
          <w:lang w:val="el-GR"/>
        </w:rPr>
        <w:t>σκέψη</w:t>
      </w:r>
      <w:r w:rsidR="00220066" w:rsidRPr="002A631E">
        <w:rPr>
          <w:rFonts w:cstheme="minorHAnsi"/>
          <w:sz w:val="24"/>
          <w:szCs w:val="24"/>
          <w:lang w:val="el-GR"/>
        </w:rPr>
        <w:t xml:space="preserve">, </w:t>
      </w:r>
      <w:r>
        <w:rPr>
          <w:rFonts w:cstheme="minorHAnsi"/>
          <w:sz w:val="24"/>
          <w:szCs w:val="24"/>
          <w:lang w:val="el-GR"/>
        </w:rPr>
        <w:t>πειθαρχία</w:t>
      </w:r>
      <w:r w:rsidR="00220066" w:rsidRPr="002A631E">
        <w:rPr>
          <w:rFonts w:cstheme="minorHAnsi"/>
          <w:sz w:val="24"/>
          <w:szCs w:val="24"/>
          <w:lang w:val="el-GR"/>
        </w:rPr>
        <w:t xml:space="preserve">, </w:t>
      </w:r>
      <w:r>
        <w:rPr>
          <w:rFonts w:cstheme="minorHAnsi"/>
          <w:sz w:val="24"/>
          <w:szCs w:val="24"/>
          <w:lang w:val="el-GR"/>
        </w:rPr>
        <w:t>συμπλήρωση εργασιών και καθηκόντων</w:t>
      </w:r>
      <w:r w:rsidR="00220066" w:rsidRPr="002A631E">
        <w:rPr>
          <w:rFonts w:cstheme="minorHAnsi"/>
          <w:sz w:val="24"/>
          <w:szCs w:val="24"/>
          <w:lang w:val="el-GR"/>
        </w:rPr>
        <w:t xml:space="preserve">, </w:t>
      </w:r>
      <w:r>
        <w:rPr>
          <w:rFonts w:cstheme="minorHAnsi"/>
          <w:sz w:val="24"/>
          <w:szCs w:val="24"/>
          <w:lang w:val="el-GR"/>
        </w:rPr>
        <w:t>επικοινωνιακές ικανότητες</w:t>
      </w:r>
      <w:r w:rsidR="00220066" w:rsidRPr="002A631E">
        <w:rPr>
          <w:rFonts w:cstheme="minorHAnsi"/>
          <w:sz w:val="24"/>
          <w:szCs w:val="24"/>
          <w:lang w:val="el-GR"/>
        </w:rPr>
        <w:t xml:space="preserve">, </w:t>
      </w:r>
      <w:r>
        <w:rPr>
          <w:rFonts w:cstheme="minorHAnsi"/>
          <w:sz w:val="24"/>
          <w:szCs w:val="24"/>
          <w:lang w:val="el-GR"/>
        </w:rPr>
        <w:t>ακεραιότητα</w:t>
      </w:r>
      <w:r w:rsidR="00220066" w:rsidRPr="002A631E">
        <w:rPr>
          <w:rFonts w:cstheme="minorHAnsi"/>
          <w:sz w:val="24"/>
          <w:szCs w:val="24"/>
          <w:lang w:val="el-GR"/>
        </w:rPr>
        <w:t xml:space="preserve">, </w:t>
      </w:r>
      <w:r>
        <w:rPr>
          <w:rFonts w:cstheme="minorHAnsi"/>
          <w:sz w:val="24"/>
          <w:szCs w:val="24"/>
          <w:lang w:val="el-GR"/>
        </w:rPr>
        <w:t>επαγγελματική εκπαίδευση</w:t>
      </w:r>
      <w:r w:rsidR="00220066" w:rsidRPr="002A631E">
        <w:rPr>
          <w:rFonts w:cstheme="minorHAnsi"/>
          <w:sz w:val="24"/>
          <w:szCs w:val="24"/>
          <w:lang w:val="el-GR"/>
        </w:rPr>
        <w:t xml:space="preserve">, </w:t>
      </w:r>
      <w:r>
        <w:rPr>
          <w:rFonts w:cstheme="minorHAnsi"/>
          <w:sz w:val="24"/>
          <w:szCs w:val="24"/>
          <w:lang w:val="el-GR"/>
        </w:rPr>
        <w:t>ηθική εργασίας</w:t>
      </w:r>
      <w:r w:rsidR="00220066" w:rsidRPr="002A631E">
        <w:rPr>
          <w:rFonts w:cstheme="minorHAnsi"/>
          <w:sz w:val="24"/>
          <w:szCs w:val="24"/>
          <w:lang w:val="el-GR"/>
        </w:rPr>
        <w:t xml:space="preserve">, </w:t>
      </w:r>
      <w:r>
        <w:rPr>
          <w:rFonts w:cstheme="minorHAnsi"/>
          <w:sz w:val="24"/>
          <w:szCs w:val="24"/>
          <w:lang w:val="el-GR"/>
        </w:rPr>
        <w:t>πρωτοβουλία</w:t>
      </w:r>
      <w:r w:rsidR="00220066" w:rsidRPr="002A631E">
        <w:rPr>
          <w:rFonts w:cstheme="minorHAnsi"/>
          <w:sz w:val="24"/>
          <w:szCs w:val="24"/>
          <w:lang w:val="el-GR"/>
        </w:rPr>
        <w:t xml:space="preserve">, </w:t>
      </w:r>
      <w:r>
        <w:rPr>
          <w:rFonts w:cstheme="minorHAnsi"/>
          <w:sz w:val="24"/>
          <w:szCs w:val="24"/>
          <w:lang w:val="el-GR"/>
        </w:rPr>
        <w:t>και εργασιακές σχέσεις</w:t>
      </w:r>
      <w:r w:rsidR="00220066" w:rsidRPr="002A631E">
        <w:rPr>
          <w:rFonts w:cstheme="minorHAnsi"/>
          <w:sz w:val="24"/>
          <w:szCs w:val="24"/>
          <w:lang w:val="el-GR"/>
        </w:rPr>
        <w:t xml:space="preserve">. </w:t>
      </w:r>
      <w:r w:rsidR="00FB6F57">
        <w:rPr>
          <w:rFonts w:cstheme="minorHAnsi"/>
          <w:sz w:val="24"/>
          <w:szCs w:val="24"/>
          <w:lang w:val="el-GR"/>
        </w:rPr>
        <w:t>Συγκεκριμένα</w:t>
      </w:r>
      <w:r w:rsidR="00220066" w:rsidRPr="00FB6F57">
        <w:rPr>
          <w:rFonts w:cstheme="minorHAnsi"/>
          <w:sz w:val="24"/>
          <w:szCs w:val="24"/>
          <w:lang w:val="el-GR"/>
        </w:rPr>
        <w:t xml:space="preserve">, </w:t>
      </w:r>
      <w:r w:rsidR="00FB6F57">
        <w:rPr>
          <w:rFonts w:cstheme="minorHAnsi"/>
          <w:sz w:val="24"/>
          <w:szCs w:val="24"/>
          <w:lang w:val="el-GR"/>
        </w:rPr>
        <w:t>όταν</w:t>
      </w:r>
      <w:r w:rsidR="00FB6F57" w:rsidRPr="00FB6F57">
        <w:rPr>
          <w:rFonts w:cstheme="minorHAnsi"/>
          <w:sz w:val="24"/>
          <w:szCs w:val="24"/>
          <w:lang w:val="el-GR"/>
        </w:rPr>
        <w:t xml:space="preserve"> </w:t>
      </w:r>
      <w:r w:rsidR="002B5A91">
        <w:rPr>
          <w:rFonts w:cstheme="minorHAnsi"/>
          <w:sz w:val="24"/>
          <w:szCs w:val="24"/>
          <w:lang w:val="el-GR"/>
        </w:rPr>
        <w:t>ένας Αστυνομικός</w:t>
      </w:r>
      <w:r w:rsidR="00FB6F57" w:rsidRPr="00FB6F57">
        <w:rPr>
          <w:rFonts w:cstheme="minorHAnsi"/>
          <w:sz w:val="24"/>
          <w:szCs w:val="24"/>
          <w:lang w:val="el-GR"/>
        </w:rPr>
        <w:t xml:space="preserve"> </w:t>
      </w:r>
      <w:r w:rsidR="00FB6F57">
        <w:rPr>
          <w:rFonts w:cstheme="minorHAnsi"/>
          <w:sz w:val="24"/>
          <w:szCs w:val="24"/>
          <w:lang w:val="el-GR"/>
        </w:rPr>
        <w:t>αξιολογείται</w:t>
      </w:r>
      <w:r w:rsidR="00220066" w:rsidRPr="00FB6F57">
        <w:rPr>
          <w:rFonts w:cstheme="minorHAnsi"/>
          <w:sz w:val="24"/>
          <w:szCs w:val="24"/>
          <w:lang w:val="el-GR"/>
        </w:rPr>
        <w:t xml:space="preserve"> </w:t>
      </w:r>
      <w:r w:rsidR="00FB6F57">
        <w:rPr>
          <w:rFonts w:cstheme="minorHAnsi"/>
          <w:sz w:val="24"/>
          <w:szCs w:val="24"/>
          <w:lang w:val="el-GR"/>
        </w:rPr>
        <w:t>για</w:t>
      </w:r>
      <w:r w:rsidR="00FB6F57" w:rsidRPr="00FB6F57">
        <w:rPr>
          <w:rFonts w:cstheme="minorHAnsi"/>
          <w:sz w:val="24"/>
          <w:szCs w:val="24"/>
          <w:lang w:val="el-GR"/>
        </w:rPr>
        <w:t xml:space="preserve"> </w:t>
      </w:r>
      <w:r w:rsidR="00FB6F57">
        <w:rPr>
          <w:rFonts w:cstheme="minorHAnsi"/>
          <w:sz w:val="24"/>
          <w:szCs w:val="24"/>
          <w:lang w:val="el-GR"/>
        </w:rPr>
        <w:t>την</w:t>
      </w:r>
      <w:r w:rsidR="00FB6F57" w:rsidRPr="00FB6F57">
        <w:rPr>
          <w:rFonts w:cstheme="minorHAnsi"/>
          <w:sz w:val="24"/>
          <w:szCs w:val="24"/>
          <w:lang w:val="el-GR"/>
        </w:rPr>
        <w:t xml:space="preserve"> </w:t>
      </w:r>
      <w:r w:rsidR="00FB6F57">
        <w:rPr>
          <w:rFonts w:cstheme="minorHAnsi"/>
          <w:sz w:val="24"/>
          <w:szCs w:val="24"/>
          <w:lang w:val="el-GR"/>
        </w:rPr>
        <w:t>ακεραιότητα</w:t>
      </w:r>
      <w:r w:rsidR="00FB6F57" w:rsidRPr="00FB6F57">
        <w:rPr>
          <w:rFonts w:cstheme="minorHAnsi"/>
          <w:sz w:val="24"/>
          <w:szCs w:val="24"/>
          <w:lang w:val="el-GR"/>
        </w:rPr>
        <w:t xml:space="preserve"> </w:t>
      </w:r>
      <w:r w:rsidR="00FB6F57">
        <w:rPr>
          <w:rFonts w:cstheme="minorHAnsi"/>
          <w:sz w:val="24"/>
          <w:szCs w:val="24"/>
          <w:lang w:val="el-GR"/>
        </w:rPr>
        <w:t>του</w:t>
      </w:r>
      <w:r w:rsidR="00FB6F57" w:rsidRPr="00FB6F57">
        <w:rPr>
          <w:rFonts w:cstheme="minorHAnsi"/>
          <w:sz w:val="24"/>
          <w:szCs w:val="24"/>
          <w:lang w:val="el-GR"/>
        </w:rPr>
        <w:t>/</w:t>
      </w:r>
      <w:r w:rsidR="00FB6F57">
        <w:rPr>
          <w:rFonts w:cstheme="minorHAnsi"/>
          <w:sz w:val="24"/>
          <w:szCs w:val="24"/>
          <w:lang w:val="el-GR"/>
        </w:rPr>
        <w:t>ης</w:t>
      </w:r>
      <w:r w:rsidR="00220066" w:rsidRPr="00FB6F57">
        <w:rPr>
          <w:rFonts w:cstheme="minorHAnsi"/>
          <w:sz w:val="24"/>
          <w:szCs w:val="24"/>
          <w:lang w:val="el-GR"/>
        </w:rPr>
        <w:t xml:space="preserve">, </w:t>
      </w:r>
      <w:r w:rsidR="00FB6F57">
        <w:rPr>
          <w:rFonts w:cstheme="minorHAnsi"/>
          <w:sz w:val="24"/>
          <w:szCs w:val="24"/>
          <w:lang w:val="el-GR"/>
        </w:rPr>
        <w:t>τα</w:t>
      </w:r>
      <w:r w:rsidR="00FB6F57" w:rsidRPr="00FB6F57">
        <w:rPr>
          <w:rFonts w:cstheme="minorHAnsi"/>
          <w:sz w:val="24"/>
          <w:szCs w:val="24"/>
          <w:lang w:val="el-GR"/>
        </w:rPr>
        <w:t xml:space="preserve"> </w:t>
      </w:r>
      <w:r w:rsidR="00FB6F57">
        <w:rPr>
          <w:rFonts w:cstheme="minorHAnsi"/>
          <w:sz w:val="24"/>
          <w:szCs w:val="24"/>
          <w:lang w:val="el-GR"/>
        </w:rPr>
        <w:t>ζητήματα</w:t>
      </w:r>
      <w:r w:rsidR="00FB6F57" w:rsidRPr="00FB6F57">
        <w:rPr>
          <w:rFonts w:cstheme="minorHAnsi"/>
          <w:sz w:val="24"/>
          <w:szCs w:val="24"/>
          <w:lang w:val="el-GR"/>
        </w:rPr>
        <w:t xml:space="preserve"> </w:t>
      </w:r>
      <w:r w:rsidR="00FB6F57">
        <w:rPr>
          <w:rFonts w:cstheme="minorHAnsi"/>
          <w:sz w:val="24"/>
          <w:szCs w:val="24"/>
          <w:lang w:val="el-GR"/>
        </w:rPr>
        <w:t>που</w:t>
      </w:r>
      <w:r w:rsidR="00FB6F57" w:rsidRPr="00FB6F57">
        <w:rPr>
          <w:rFonts w:cstheme="minorHAnsi"/>
          <w:sz w:val="24"/>
          <w:szCs w:val="24"/>
          <w:lang w:val="el-GR"/>
        </w:rPr>
        <w:t xml:space="preserve"> </w:t>
      </w:r>
      <w:r w:rsidR="00FB6F57">
        <w:rPr>
          <w:rFonts w:cstheme="minorHAnsi"/>
          <w:sz w:val="24"/>
          <w:szCs w:val="24"/>
          <w:lang w:val="el-GR"/>
        </w:rPr>
        <w:t>λαμβάνονται</w:t>
      </w:r>
      <w:r w:rsidR="00FB6F57" w:rsidRPr="00FB6F57">
        <w:rPr>
          <w:rFonts w:cstheme="minorHAnsi"/>
          <w:sz w:val="24"/>
          <w:szCs w:val="24"/>
          <w:lang w:val="el-GR"/>
        </w:rPr>
        <w:t xml:space="preserve"> </w:t>
      </w:r>
      <w:r w:rsidR="00463ACC">
        <w:rPr>
          <w:rFonts w:cstheme="minorHAnsi"/>
          <w:sz w:val="24"/>
          <w:szCs w:val="24"/>
          <w:lang w:val="el-GR"/>
        </w:rPr>
        <w:t>υπόψη</w:t>
      </w:r>
      <w:r w:rsidR="00FB6F57" w:rsidRPr="00FB6F57">
        <w:rPr>
          <w:rFonts w:cstheme="minorHAnsi"/>
          <w:sz w:val="24"/>
          <w:szCs w:val="24"/>
          <w:lang w:val="el-GR"/>
        </w:rPr>
        <w:t xml:space="preserve"> </w:t>
      </w:r>
      <w:r w:rsidR="00FB6F57">
        <w:rPr>
          <w:rFonts w:cstheme="minorHAnsi"/>
          <w:sz w:val="24"/>
          <w:szCs w:val="24"/>
          <w:lang w:val="el-GR"/>
        </w:rPr>
        <w:t>από</w:t>
      </w:r>
      <w:r w:rsidR="00FB6F57" w:rsidRPr="00FB6F57">
        <w:rPr>
          <w:rFonts w:cstheme="minorHAnsi"/>
          <w:sz w:val="24"/>
          <w:szCs w:val="24"/>
          <w:lang w:val="el-GR"/>
        </w:rPr>
        <w:t xml:space="preserve"> </w:t>
      </w:r>
      <w:r w:rsidR="00FB6F57">
        <w:rPr>
          <w:rFonts w:cstheme="minorHAnsi"/>
          <w:sz w:val="24"/>
          <w:szCs w:val="24"/>
          <w:lang w:val="el-GR"/>
        </w:rPr>
        <w:t>τον</w:t>
      </w:r>
      <w:r w:rsidR="00FB6F57" w:rsidRPr="00FB6F57">
        <w:rPr>
          <w:rFonts w:cstheme="minorHAnsi"/>
          <w:sz w:val="24"/>
          <w:szCs w:val="24"/>
          <w:lang w:val="el-GR"/>
        </w:rPr>
        <w:t xml:space="preserve"> </w:t>
      </w:r>
      <w:r w:rsidR="00FB6F57">
        <w:rPr>
          <w:rFonts w:cstheme="minorHAnsi"/>
          <w:sz w:val="24"/>
          <w:szCs w:val="24"/>
          <w:lang w:val="el-GR"/>
        </w:rPr>
        <w:t>επόπτη του/ης είναι η ηθική (ή ήθος</w:t>
      </w:r>
      <w:r w:rsidR="00220066" w:rsidRPr="00FB6F57">
        <w:rPr>
          <w:rFonts w:cstheme="minorHAnsi"/>
          <w:sz w:val="24"/>
          <w:szCs w:val="24"/>
          <w:lang w:val="el-GR"/>
        </w:rPr>
        <w:t xml:space="preserve">) </w:t>
      </w:r>
      <w:r w:rsidR="00FB6F57">
        <w:rPr>
          <w:rFonts w:cstheme="minorHAnsi"/>
          <w:sz w:val="24"/>
          <w:szCs w:val="24"/>
          <w:lang w:val="el-GR"/>
        </w:rPr>
        <w:t>του ατόμου</w:t>
      </w:r>
      <w:r w:rsidR="00220066" w:rsidRPr="00FB6F57">
        <w:rPr>
          <w:rFonts w:cstheme="minorHAnsi"/>
          <w:sz w:val="24"/>
          <w:szCs w:val="24"/>
          <w:lang w:val="el-GR"/>
        </w:rPr>
        <w:t xml:space="preserve">, </w:t>
      </w:r>
      <w:r w:rsidR="00FB6F57">
        <w:rPr>
          <w:rFonts w:cstheme="minorHAnsi"/>
          <w:sz w:val="24"/>
          <w:szCs w:val="24"/>
          <w:lang w:val="el-GR"/>
        </w:rPr>
        <w:t>η τιμιότητα και σοβαρότητα του/ης</w:t>
      </w:r>
      <w:r w:rsidR="00220066" w:rsidRPr="00FB6F57">
        <w:rPr>
          <w:rFonts w:cstheme="minorHAnsi"/>
          <w:sz w:val="24"/>
          <w:szCs w:val="24"/>
          <w:lang w:val="el-GR"/>
        </w:rPr>
        <w:t xml:space="preserve">, </w:t>
      </w:r>
      <w:r w:rsidR="00FB6F57">
        <w:rPr>
          <w:rFonts w:cstheme="minorHAnsi"/>
          <w:sz w:val="24"/>
          <w:szCs w:val="24"/>
          <w:lang w:val="el-GR"/>
        </w:rPr>
        <w:t>η αντικειμενικότητα και</w:t>
      </w:r>
      <w:r w:rsidR="00FB6F57" w:rsidRPr="00FB6F57">
        <w:rPr>
          <w:rFonts w:cstheme="minorHAnsi"/>
          <w:sz w:val="24"/>
          <w:szCs w:val="24"/>
          <w:lang w:val="el-GR"/>
        </w:rPr>
        <w:t xml:space="preserve"> </w:t>
      </w:r>
      <w:r w:rsidR="00FB6F57">
        <w:rPr>
          <w:rFonts w:cstheme="minorHAnsi"/>
          <w:sz w:val="24"/>
          <w:szCs w:val="24"/>
          <w:lang w:val="el-GR"/>
        </w:rPr>
        <w:t>το προσωπικό παράδειγμα</w:t>
      </w:r>
      <w:r w:rsidR="00220066" w:rsidRPr="00FB6F57">
        <w:rPr>
          <w:rFonts w:cstheme="minorHAnsi"/>
          <w:sz w:val="24"/>
          <w:szCs w:val="24"/>
          <w:lang w:val="el-GR"/>
        </w:rPr>
        <w:t xml:space="preserve">. </w:t>
      </w:r>
      <w:r w:rsidR="00FB6F57">
        <w:rPr>
          <w:rFonts w:cstheme="minorHAnsi"/>
          <w:sz w:val="24"/>
          <w:szCs w:val="24"/>
          <w:lang w:val="el-GR"/>
        </w:rPr>
        <w:t>Οι</w:t>
      </w:r>
      <w:r w:rsidR="00FB6F57" w:rsidRPr="00FB6F57">
        <w:rPr>
          <w:rFonts w:cstheme="minorHAnsi"/>
          <w:sz w:val="24"/>
          <w:szCs w:val="24"/>
          <w:lang w:val="el-GR"/>
        </w:rPr>
        <w:t xml:space="preserve"> </w:t>
      </w:r>
      <w:r w:rsidR="00FB6F57">
        <w:rPr>
          <w:rFonts w:cstheme="minorHAnsi"/>
          <w:sz w:val="24"/>
          <w:szCs w:val="24"/>
          <w:lang w:val="el-GR"/>
        </w:rPr>
        <w:t>αξιολογήσεις</w:t>
      </w:r>
      <w:r w:rsidR="00FB6F57" w:rsidRPr="00FB6F57">
        <w:rPr>
          <w:rFonts w:cstheme="minorHAnsi"/>
          <w:sz w:val="24"/>
          <w:szCs w:val="24"/>
          <w:lang w:val="el-GR"/>
        </w:rPr>
        <w:t xml:space="preserve"> </w:t>
      </w:r>
      <w:r w:rsidR="00FB6F57">
        <w:rPr>
          <w:rFonts w:cstheme="minorHAnsi"/>
          <w:sz w:val="24"/>
          <w:szCs w:val="24"/>
          <w:lang w:val="el-GR"/>
        </w:rPr>
        <w:t>είναι</w:t>
      </w:r>
      <w:r w:rsidR="00FB6F57" w:rsidRPr="00FB6F57">
        <w:rPr>
          <w:rFonts w:cstheme="minorHAnsi"/>
          <w:sz w:val="24"/>
          <w:szCs w:val="24"/>
          <w:lang w:val="el-GR"/>
        </w:rPr>
        <w:t xml:space="preserve"> </w:t>
      </w:r>
      <w:r w:rsidR="00FB6F57">
        <w:rPr>
          <w:rFonts w:cstheme="minorHAnsi"/>
          <w:sz w:val="24"/>
          <w:szCs w:val="24"/>
          <w:lang w:val="el-GR"/>
        </w:rPr>
        <w:t>κρίσιμες</w:t>
      </w:r>
      <w:r w:rsidR="00FB6F57" w:rsidRPr="00FB6F57">
        <w:rPr>
          <w:rFonts w:cstheme="minorHAnsi"/>
          <w:sz w:val="24"/>
          <w:szCs w:val="24"/>
          <w:lang w:val="el-GR"/>
        </w:rPr>
        <w:t xml:space="preserve"> </w:t>
      </w:r>
      <w:r w:rsidR="00FB6F57">
        <w:rPr>
          <w:rFonts w:cstheme="minorHAnsi"/>
          <w:sz w:val="24"/>
          <w:szCs w:val="24"/>
          <w:lang w:val="el-GR"/>
        </w:rPr>
        <w:t>για</w:t>
      </w:r>
      <w:r w:rsidR="00FB6F57" w:rsidRPr="00FB6F57">
        <w:rPr>
          <w:rFonts w:cstheme="minorHAnsi"/>
          <w:sz w:val="24"/>
          <w:szCs w:val="24"/>
          <w:lang w:val="el-GR"/>
        </w:rPr>
        <w:t xml:space="preserve"> </w:t>
      </w:r>
      <w:r w:rsidR="00FB6F57">
        <w:rPr>
          <w:rFonts w:cstheme="minorHAnsi"/>
          <w:sz w:val="24"/>
          <w:szCs w:val="24"/>
          <w:lang w:val="el-GR"/>
        </w:rPr>
        <w:t>τον</w:t>
      </w:r>
      <w:r w:rsidR="00FB6F57" w:rsidRPr="00FB6F57">
        <w:rPr>
          <w:rFonts w:cstheme="minorHAnsi"/>
          <w:sz w:val="24"/>
          <w:szCs w:val="24"/>
          <w:lang w:val="el-GR"/>
        </w:rPr>
        <w:t xml:space="preserve"> </w:t>
      </w:r>
      <w:r w:rsidR="00FB6F57">
        <w:rPr>
          <w:rFonts w:cstheme="minorHAnsi"/>
          <w:sz w:val="24"/>
          <w:szCs w:val="24"/>
          <w:lang w:val="el-GR"/>
        </w:rPr>
        <w:t>σκοπό</w:t>
      </w:r>
      <w:r w:rsidR="00FB6F57" w:rsidRPr="00FB6F57">
        <w:rPr>
          <w:rFonts w:cstheme="minorHAnsi"/>
          <w:sz w:val="24"/>
          <w:szCs w:val="24"/>
          <w:lang w:val="el-GR"/>
        </w:rPr>
        <w:t xml:space="preserve"> </w:t>
      </w:r>
      <w:r w:rsidR="003D7102">
        <w:rPr>
          <w:rFonts w:cstheme="minorHAnsi"/>
          <w:sz w:val="24"/>
          <w:szCs w:val="24"/>
          <w:lang w:val="el-GR"/>
        </w:rPr>
        <w:t xml:space="preserve">των </w:t>
      </w:r>
      <w:r w:rsidR="00FB6F57">
        <w:rPr>
          <w:rFonts w:cstheme="minorHAnsi"/>
          <w:sz w:val="24"/>
          <w:szCs w:val="24"/>
          <w:lang w:val="el-GR"/>
        </w:rPr>
        <w:t>προαγωγών</w:t>
      </w:r>
      <w:r w:rsidR="00FB6F57" w:rsidRPr="00FB6F57">
        <w:rPr>
          <w:rFonts w:cstheme="minorHAnsi"/>
          <w:sz w:val="24"/>
          <w:szCs w:val="24"/>
          <w:lang w:val="el-GR"/>
        </w:rPr>
        <w:t>,</w:t>
      </w:r>
      <w:r w:rsidR="00220066" w:rsidRPr="00FB6F57">
        <w:rPr>
          <w:rFonts w:cstheme="minorHAnsi"/>
          <w:sz w:val="24"/>
          <w:szCs w:val="24"/>
          <w:lang w:val="el-GR"/>
        </w:rPr>
        <w:t xml:space="preserve"> </w:t>
      </w:r>
      <w:r w:rsidR="00FB6F57">
        <w:rPr>
          <w:rFonts w:cstheme="minorHAnsi"/>
          <w:sz w:val="24"/>
          <w:szCs w:val="24"/>
          <w:lang w:val="el-GR"/>
        </w:rPr>
        <w:t>αυτές μπορούν επίσης να παίξουν ρόλο σε σχέση με μεταθέσεις</w:t>
      </w:r>
      <w:r w:rsidR="00220066" w:rsidRPr="00FB6F57">
        <w:rPr>
          <w:rFonts w:cstheme="minorHAnsi"/>
          <w:sz w:val="24"/>
          <w:szCs w:val="24"/>
          <w:lang w:val="el-GR"/>
        </w:rPr>
        <w:t xml:space="preserve">. </w:t>
      </w:r>
      <w:r w:rsidR="00FB6F57">
        <w:rPr>
          <w:rFonts w:cstheme="minorHAnsi"/>
          <w:sz w:val="24"/>
          <w:szCs w:val="24"/>
          <w:lang w:val="el-GR"/>
        </w:rPr>
        <w:t>Ο</w:t>
      </w:r>
      <w:r w:rsidR="00FB6F57" w:rsidRPr="00FB6F57">
        <w:rPr>
          <w:rFonts w:cstheme="minorHAnsi"/>
          <w:sz w:val="24"/>
          <w:szCs w:val="24"/>
          <w:lang w:val="el-GR"/>
        </w:rPr>
        <w:t xml:space="preserve"> </w:t>
      </w:r>
      <w:r w:rsidR="002B5A91">
        <w:rPr>
          <w:rFonts w:cstheme="minorHAnsi"/>
          <w:sz w:val="24"/>
          <w:szCs w:val="24"/>
          <w:lang w:val="el-GR"/>
        </w:rPr>
        <w:t>Αστυνομικός</w:t>
      </w:r>
      <w:r w:rsidR="00FB6F57" w:rsidRPr="00FB6F57">
        <w:rPr>
          <w:rFonts w:cstheme="minorHAnsi"/>
          <w:sz w:val="24"/>
          <w:szCs w:val="24"/>
          <w:lang w:val="el-GR"/>
        </w:rPr>
        <w:t xml:space="preserve"> </w:t>
      </w:r>
      <w:r w:rsidR="00FB6F57">
        <w:rPr>
          <w:rFonts w:cstheme="minorHAnsi"/>
          <w:sz w:val="24"/>
          <w:szCs w:val="24"/>
          <w:lang w:val="el-GR"/>
        </w:rPr>
        <w:t>έχει</w:t>
      </w:r>
      <w:r w:rsidR="00FB6F57" w:rsidRPr="00FB6F57">
        <w:rPr>
          <w:rFonts w:cstheme="minorHAnsi"/>
          <w:sz w:val="24"/>
          <w:szCs w:val="24"/>
          <w:lang w:val="el-GR"/>
        </w:rPr>
        <w:t xml:space="preserve"> </w:t>
      </w:r>
      <w:r w:rsidR="00FB6F57">
        <w:rPr>
          <w:rFonts w:cstheme="minorHAnsi"/>
          <w:sz w:val="24"/>
          <w:szCs w:val="24"/>
          <w:lang w:val="el-GR"/>
        </w:rPr>
        <w:t>το</w:t>
      </w:r>
      <w:r w:rsidR="00FB6F57" w:rsidRPr="00FB6F57">
        <w:rPr>
          <w:rFonts w:cstheme="minorHAnsi"/>
          <w:sz w:val="24"/>
          <w:szCs w:val="24"/>
          <w:lang w:val="el-GR"/>
        </w:rPr>
        <w:t xml:space="preserve"> </w:t>
      </w:r>
      <w:r w:rsidR="00FB6F57">
        <w:rPr>
          <w:rFonts w:cstheme="minorHAnsi"/>
          <w:sz w:val="24"/>
          <w:szCs w:val="24"/>
          <w:lang w:val="el-GR"/>
        </w:rPr>
        <w:t>δικαίωμα</w:t>
      </w:r>
      <w:r w:rsidR="00FB6F57" w:rsidRPr="00FB6F57">
        <w:rPr>
          <w:rFonts w:cstheme="minorHAnsi"/>
          <w:sz w:val="24"/>
          <w:szCs w:val="24"/>
          <w:lang w:val="el-GR"/>
        </w:rPr>
        <w:t xml:space="preserve"> </w:t>
      </w:r>
      <w:r w:rsidR="00FB6F57">
        <w:rPr>
          <w:rFonts w:cstheme="minorHAnsi"/>
          <w:sz w:val="24"/>
          <w:szCs w:val="24"/>
          <w:lang w:val="el-GR"/>
        </w:rPr>
        <w:t>να</w:t>
      </w:r>
      <w:r w:rsidR="00FB6F57" w:rsidRPr="00FB6F57">
        <w:rPr>
          <w:rFonts w:cstheme="minorHAnsi"/>
          <w:sz w:val="24"/>
          <w:szCs w:val="24"/>
          <w:lang w:val="el-GR"/>
        </w:rPr>
        <w:t xml:space="preserve"> </w:t>
      </w:r>
      <w:r w:rsidR="00FB6F57">
        <w:rPr>
          <w:rFonts w:cstheme="minorHAnsi"/>
          <w:sz w:val="24"/>
          <w:szCs w:val="24"/>
          <w:lang w:val="el-GR"/>
        </w:rPr>
        <w:t>αμφισβητήσει</w:t>
      </w:r>
      <w:r w:rsidR="00FB6F57" w:rsidRPr="00FB6F57">
        <w:rPr>
          <w:rFonts w:cstheme="minorHAnsi"/>
          <w:sz w:val="24"/>
          <w:szCs w:val="24"/>
          <w:lang w:val="el-GR"/>
        </w:rPr>
        <w:t xml:space="preserve"> </w:t>
      </w:r>
      <w:r w:rsidR="00FB6F57">
        <w:rPr>
          <w:rFonts w:cstheme="minorHAnsi"/>
          <w:sz w:val="24"/>
          <w:szCs w:val="24"/>
          <w:lang w:val="el-GR"/>
        </w:rPr>
        <w:t>τα</w:t>
      </w:r>
      <w:r w:rsidR="00FB6F57" w:rsidRPr="00FB6F57">
        <w:rPr>
          <w:rFonts w:cstheme="minorHAnsi"/>
          <w:sz w:val="24"/>
          <w:szCs w:val="24"/>
          <w:lang w:val="el-GR"/>
        </w:rPr>
        <w:t xml:space="preserve"> </w:t>
      </w:r>
      <w:r w:rsidR="00FB6F57">
        <w:rPr>
          <w:rFonts w:cstheme="minorHAnsi"/>
          <w:sz w:val="24"/>
          <w:szCs w:val="24"/>
          <w:lang w:val="el-GR"/>
        </w:rPr>
        <w:t>αποτελέσματα</w:t>
      </w:r>
      <w:r w:rsidR="00FB6F57" w:rsidRPr="00FB6F57">
        <w:rPr>
          <w:rFonts w:cstheme="minorHAnsi"/>
          <w:sz w:val="24"/>
          <w:szCs w:val="24"/>
          <w:lang w:val="el-GR"/>
        </w:rPr>
        <w:t xml:space="preserve"> </w:t>
      </w:r>
      <w:r w:rsidR="00FB6F57">
        <w:rPr>
          <w:rFonts w:cstheme="minorHAnsi"/>
          <w:sz w:val="24"/>
          <w:szCs w:val="24"/>
          <w:lang w:val="el-GR"/>
        </w:rPr>
        <w:t>της</w:t>
      </w:r>
      <w:r w:rsidR="00FB6F57" w:rsidRPr="00FB6F57">
        <w:rPr>
          <w:rFonts w:cstheme="minorHAnsi"/>
          <w:sz w:val="24"/>
          <w:szCs w:val="24"/>
          <w:lang w:val="el-GR"/>
        </w:rPr>
        <w:t xml:space="preserve"> </w:t>
      </w:r>
      <w:r w:rsidR="00FB6F57">
        <w:rPr>
          <w:rFonts w:cstheme="minorHAnsi"/>
          <w:sz w:val="24"/>
          <w:szCs w:val="24"/>
          <w:lang w:val="el-GR"/>
        </w:rPr>
        <w:t>αξιολόγησης</w:t>
      </w:r>
      <w:r w:rsidR="00220066" w:rsidRPr="00FB6F57">
        <w:rPr>
          <w:rFonts w:cstheme="minorHAnsi"/>
          <w:sz w:val="24"/>
          <w:szCs w:val="24"/>
          <w:lang w:val="el-GR"/>
        </w:rPr>
        <w:t xml:space="preserve"> (</w:t>
      </w:r>
      <w:r w:rsidR="00FB6F57">
        <w:rPr>
          <w:rFonts w:cstheme="minorHAnsi"/>
          <w:sz w:val="24"/>
          <w:szCs w:val="24"/>
          <w:lang w:val="el-GR"/>
        </w:rPr>
        <w:t>σε περίπτωση πολύ χαμηλής αξιολόγησης</w:t>
      </w:r>
      <w:r w:rsidR="00220066" w:rsidRPr="00FB6F57">
        <w:rPr>
          <w:rFonts w:cstheme="minorHAnsi"/>
          <w:sz w:val="24"/>
          <w:szCs w:val="24"/>
          <w:lang w:val="el-GR"/>
        </w:rPr>
        <w:t xml:space="preserve">) </w:t>
      </w:r>
      <w:r w:rsidR="00FB6F57">
        <w:rPr>
          <w:rFonts w:cstheme="minorHAnsi"/>
          <w:sz w:val="24"/>
          <w:szCs w:val="24"/>
          <w:lang w:val="el-GR"/>
        </w:rPr>
        <w:t>ενώπιον του υπεύθυνου</w:t>
      </w:r>
      <w:r w:rsidR="00220066" w:rsidRPr="00FB6F57">
        <w:rPr>
          <w:rFonts w:cstheme="minorHAnsi"/>
          <w:sz w:val="24"/>
          <w:szCs w:val="24"/>
          <w:lang w:val="el-GR"/>
        </w:rPr>
        <w:t xml:space="preserve"> </w:t>
      </w:r>
      <w:r w:rsidR="00FB6F57">
        <w:rPr>
          <w:rFonts w:cstheme="minorHAnsi"/>
          <w:sz w:val="24"/>
          <w:szCs w:val="24"/>
          <w:lang w:val="el-GR"/>
        </w:rPr>
        <w:t>διοικητή</w:t>
      </w:r>
      <w:r w:rsidR="00220066" w:rsidRPr="00FB6F57">
        <w:rPr>
          <w:rFonts w:cstheme="minorHAnsi"/>
          <w:sz w:val="24"/>
          <w:szCs w:val="24"/>
          <w:lang w:val="el-GR"/>
        </w:rPr>
        <w:t xml:space="preserve">. </w:t>
      </w:r>
    </w:p>
    <w:p w14:paraId="0614D6B6" w14:textId="77777777" w:rsidR="00220066" w:rsidRPr="00FB6F57" w:rsidRDefault="00220066" w:rsidP="00220066">
      <w:pPr>
        <w:tabs>
          <w:tab w:val="left" w:pos="709"/>
        </w:tabs>
        <w:rPr>
          <w:rFonts w:cstheme="minorHAnsi"/>
          <w:sz w:val="24"/>
          <w:szCs w:val="24"/>
          <w:lang w:val="el-GR"/>
        </w:rPr>
      </w:pPr>
    </w:p>
    <w:p w14:paraId="687DB066" w14:textId="599131CB" w:rsidR="00220066" w:rsidRPr="003B631B" w:rsidRDefault="00FB6F57" w:rsidP="00220066">
      <w:pPr>
        <w:numPr>
          <w:ilvl w:val="0"/>
          <w:numId w:val="1"/>
        </w:numPr>
        <w:tabs>
          <w:tab w:val="left" w:pos="709"/>
        </w:tabs>
        <w:ind w:left="0" w:firstLine="0"/>
        <w:rPr>
          <w:rFonts w:cstheme="minorHAnsi"/>
          <w:sz w:val="24"/>
          <w:szCs w:val="24"/>
          <w:lang w:val="el-GR"/>
        </w:rPr>
      </w:pPr>
      <w:r>
        <w:rPr>
          <w:rFonts w:cstheme="minorHAnsi"/>
          <w:sz w:val="24"/>
          <w:szCs w:val="24"/>
          <w:lang w:val="el-GR"/>
        </w:rPr>
        <w:t>Η</w:t>
      </w:r>
      <w:r w:rsidRPr="00FB6F57">
        <w:rPr>
          <w:rFonts w:cstheme="minorHAnsi"/>
          <w:sz w:val="24"/>
          <w:szCs w:val="24"/>
          <w:lang w:val="el-GR"/>
        </w:rPr>
        <w:t xml:space="preserve"> </w:t>
      </w:r>
      <w:r>
        <w:rPr>
          <w:rFonts w:cstheme="minorHAnsi"/>
          <w:sz w:val="24"/>
          <w:szCs w:val="24"/>
          <w:lang w:val="el-GR"/>
        </w:rPr>
        <w:t>προαγωγή</w:t>
      </w:r>
      <w:r w:rsidRPr="00FB6F57">
        <w:rPr>
          <w:rFonts w:cstheme="minorHAnsi"/>
          <w:sz w:val="24"/>
          <w:szCs w:val="24"/>
          <w:lang w:val="el-GR"/>
        </w:rPr>
        <w:t xml:space="preserve"> </w:t>
      </w:r>
      <w:r>
        <w:rPr>
          <w:rFonts w:cstheme="minorHAnsi"/>
          <w:sz w:val="24"/>
          <w:szCs w:val="24"/>
          <w:lang w:val="el-GR"/>
        </w:rPr>
        <w:t>των</w:t>
      </w:r>
      <w:r w:rsidRPr="00FB6F57">
        <w:rPr>
          <w:rFonts w:cstheme="minorHAnsi"/>
          <w:sz w:val="24"/>
          <w:szCs w:val="24"/>
          <w:lang w:val="el-GR"/>
        </w:rPr>
        <w:t xml:space="preserve"> </w:t>
      </w:r>
      <w:r>
        <w:rPr>
          <w:rFonts w:cstheme="minorHAnsi"/>
          <w:sz w:val="24"/>
          <w:szCs w:val="24"/>
          <w:lang w:val="el-GR"/>
        </w:rPr>
        <w:t>ΑΕΝ</w:t>
      </w:r>
      <w:r w:rsidRPr="00FB6F57">
        <w:rPr>
          <w:rFonts w:cstheme="minorHAnsi"/>
          <w:sz w:val="24"/>
          <w:szCs w:val="24"/>
          <w:lang w:val="el-GR"/>
        </w:rPr>
        <w:t xml:space="preserve"> </w:t>
      </w:r>
      <w:r>
        <w:rPr>
          <w:rFonts w:cstheme="minorHAnsi"/>
          <w:sz w:val="24"/>
          <w:szCs w:val="24"/>
          <w:lang w:val="el-GR"/>
        </w:rPr>
        <w:t>ρυθμίζεται</w:t>
      </w:r>
      <w:r w:rsidRPr="00FB6F57">
        <w:rPr>
          <w:rFonts w:cstheme="minorHAnsi"/>
          <w:sz w:val="24"/>
          <w:szCs w:val="24"/>
          <w:lang w:val="el-GR"/>
        </w:rPr>
        <w:t xml:space="preserve"> </w:t>
      </w:r>
      <w:r>
        <w:rPr>
          <w:rFonts w:cstheme="minorHAnsi"/>
          <w:sz w:val="24"/>
          <w:szCs w:val="24"/>
          <w:lang w:val="el-GR"/>
        </w:rPr>
        <w:t>από</w:t>
      </w:r>
      <w:r w:rsidRPr="00FB6F57">
        <w:rPr>
          <w:rFonts w:cstheme="minorHAnsi"/>
          <w:sz w:val="24"/>
          <w:szCs w:val="24"/>
          <w:lang w:val="el-GR"/>
        </w:rPr>
        <w:t xml:space="preserve"> </w:t>
      </w:r>
      <w:r>
        <w:rPr>
          <w:rFonts w:cstheme="minorHAnsi"/>
          <w:sz w:val="24"/>
          <w:szCs w:val="24"/>
          <w:lang w:val="el-GR"/>
        </w:rPr>
        <w:t>την</w:t>
      </w:r>
      <w:r w:rsidRPr="00FB6F57">
        <w:rPr>
          <w:rFonts w:cstheme="minorHAnsi"/>
          <w:sz w:val="24"/>
          <w:szCs w:val="24"/>
          <w:lang w:val="el-GR"/>
        </w:rPr>
        <w:t xml:space="preserve"> </w:t>
      </w:r>
      <w:r w:rsidR="009C4E34">
        <w:rPr>
          <w:rFonts w:cstheme="minorHAnsi"/>
          <w:sz w:val="24"/>
          <w:szCs w:val="24"/>
          <w:lang w:val="el-GR"/>
        </w:rPr>
        <w:t>Αστυνομία</w:t>
      </w:r>
      <w:r w:rsidR="00220066" w:rsidRPr="00FB6F57">
        <w:rPr>
          <w:rFonts w:cstheme="minorHAnsi"/>
          <w:sz w:val="24"/>
          <w:szCs w:val="24"/>
          <w:lang w:val="el-GR"/>
        </w:rPr>
        <w:t xml:space="preserve"> (</w:t>
      </w:r>
      <w:r>
        <w:rPr>
          <w:rFonts w:cstheme="minorHAnsi"/>
          <w:sz w:val="24"/>
          <w:szCs w:val="24"/>
          <w:lang w:val="el-GR"/>
        </w:rPr>
        <w:t>Κανονισμοί Προαγωγών</w:t>
      </w:r>
      <w:r w:rsidR="00220066" w:rsidRPr="00FB6F57">
        <w:rPr>
          <w:rFonts w:cstheme="minorHAnsi"/>
          <w:sz w:val="24"/>
          <w:szCs w:val="24"/>
          <w:lang w:val="el-GR"/>
        </w:rPr>
        <w:t xml:space="preserve"> (</w:t>
      </w:r>
      <w:r>
        <w:rPr>
          <w:rFonts w:cstheme="minorHAnsi"/>
          <w:sz w:val="24"/>
          <w:szCs w:val="24"/>
          <w:lang w:val="el-GR"/>
        </w:rPr>
        <w:t>Κανονιστική Διοικητική Πράξη</w:t>
      </w:r>
      <w:r w:rsidR="00EE767F">
        <w:rPr>
          <w:rFonts w:cstheme="minorHAnsi"/>
          <w:sz w:val="24"/>
          <w:szCs w:val="24"/>
          <w:lang w:val="el-GR"/>
        </w:rPr>
        <w:t xml:space="preserve"> </w:t>
      </w:r>
      <w:r w:rsidR="00220066" w:rsidRPr="00FB6F57">
        <w:rPr>
          <w:rFonts w:cstheme="minorHAnsi"/>
          <w:sz w:val="24"/>
          <w:szCs w:val="24"/>
          <w:lang w:val="el-GR"/>
        </w:rPr>
        <w:t>214/2004)</w:t>
      </w:r>
      <w:r w:rsidR="00B77A92" w:rsidRPr="00FB6F57">
        <w:rPr>
          <w:rFonts w:cstheme="minorHAnsi"/>
          <w:sz w:val="24"/>
          <w:szCs w:val="24"/>
          <w:lang w:val="el-GR"/>
        </w:rPr>
        <w:t>)</w:t>
      </w:r>
      <w:r w:rsidR="00220066" w:rsidRPr="00FB6F57">
        <w:rPr>
          <w:rFonts w:cstheme="minorHAnsi"/>
          <w:sz w:val="24"/>
          <w:szCs w:val="24"/>
          <w:lang w:val="el-GR"/>
        </w:rPr>
        <w:t xml:space="preserve">. </w:t>
      </w:r>
      <w:r w:rsidR="00EE767F">
        <w:rPr>
          <w:rFonts w:cstheme="minorHAnsi"/>
          <w:sz w:val="24"/>
          <w:szCs w:val="24"/>
          <w:lang w:val="el-GR"/>
        </w:rPr>
        <w:t>Μια</w:t>
      </w:r>
      <w:r w:rsidR="00EE767F" w:rsidRPr="00EE767F">
        <w:rPr>
          <w:rFonts w:cstheme="minorHAnsi"/>
          <w:sz w:val="24"/>
          <w:szCs w:val="24"/>
          <w:lang w:val="el-GR"/>
        </w:rPr>
        <w:t xml:space="preserve"> </w:t>
      </w:r>
      <w:r w:rsidR="00EE767F">
        <w:rPr>
          <w:rFonts w:cstheme="minorHAnsi"/>
          <w:sz w:val="24"/>
          <w:szCs w:val="24"/>
          <w:lang w:val="el-GR"/>
        </w:rPr>
        <w:t>προαγωγή</w:t>
      </w:r>
      <w:r w:rsidR="00EE767F" w:rsidRPr="00EE767F">
        <w:rPr>
          <w:rFonts w:cstheme="minorHAnsi"/>
          <w:sz w:val="24"/>
          <w:szCs w:val="24"/>
          <w:lang w:val="el-GR"/>
        </w:rPr>
        <w:t xml:space="preserve"> </w:t>
      </w:r>
      <w:r w:rsidR="00EE767F">
        <w:rPr>
          <w:rFonts w:cstheme="minorHAnsi"/>
          <w:sz w:val="24"/>
          <w:szCs w:val="24"/>
          <w:lang w:val="el-GR"/>
        </w:rPr>
        <w:t>αποφασίζεται</w:t>
      </w:r>
      <w:r w:rsidR="00EE767F" w:rsidRPr="00EE767F">
        <w:rPr>
          <w:rFonts w:cstheme="minorHAnsi"/>
          <w:sz w:val="24"/>
          <w:szCs w:val="24"/>
          <w:lang w:val="el-GR"/>
        </w:rPr>
        <w:t xml:space="preserve"> </w:t>
      </w:r>
      <w:r w:rsidR="00EE767F">
        <w:rPr>
          <w:rFonts w:cstheme="minorHAnsi"/>
          <w:sz w:val="24"/>
          <w:szCs w:val="24"/>
          <w:lang w:val="el-GR"/>
        </w:rPr>
        <w:t>από</w:t>
      </w:r>
      <w:r w:rsidR="00EE767F" w:rsidRPr="00EE767F">
        <w:rPr>
          <w:rFonts w:cstheme="minorHAnsi"/>
          <w:sz w:val="24"/>
          <w:szCs w:val="24"/>
          <w:lang w:val="el-GR"/>
        </w:rPr>
        <w:t xml:space="preserve"> </w:t>
      </w:r>
      <w:r w:rsidR="00EE767F">
        <w:rPr>
          <w:rFonts w:cstheme="minorHAnsi"/>
          <w:sz w:val="24"/>
          <w:szCs w:val="24"/>
          <w:lang w:val="el-GR"/>
        </w:rPr>
        <w:t>τον</w:t>
      </w:r>
      <w:r w:rsidR="00EE767F" w:rsidRPr="00EE767F">
        <w:rPr>
          <w:rFonts w:cstheme="minorHAnsi"/>
          <w:sz w:val="24"/>
          <w:szCs w:val="24"/>
          <w:lang w:val="el-GR"/>
        </w:rPr>
        <w:t xml:space="preserve"> </w:t>
      </w:r>
      <w:r w:rsidR="00EE767F">
        <w:rPr>
          <w:rFonts w:cstheme="minorHAnsi"/>
          <w:sz w:val="24"/>
          <w:szCs w:val="24"/>
          <w:lang w:val="el-GR"/>
        </w:rPr>
        <w:t>Αρχηγό</w:t>
      </w:r>
      <w:r w:rsidR="00EE767F" w:rsidRPr="00EE767F">
        <w:rPr>
          <w:rFonts w:cstheme="minorHAnsi"/>
          <w:sz w:val="24"/>
          <w:szCs w:val="24"/>
          <w:lang w:val="el-GR"/>
        </w:rPr>
        <w:t xml:space="preserve"> </w:t>
      </w:r>
      <w:r w:rsidR="00EE767F">
        <w:rPr>
          <w:rFonts w:cstheme="minorHAnsi"/>
          <w:sz w:val="24"/>
          <w:szCs w:val="24"/>
          <w:lang w:val="el-GR"/>
        </w:rPr>
        <w:t>της</w:t>
      </w:r>
      <w:r w:rsidR="00EE767F" w:rsidRPr="00EE767F">
        <w:rPr>
          <w:rFonts w:cstheme="minorHAnsi"/>
          <w:sz w:val="24"/>
          <w:szCs w:val="24"/>
          <w:lang w:val="el-GR"/>
        </w:rPr>
        <w:t xml:space="preserve"> </w:t>
      </w:r>
      <w:r w:rsidR="009C4E34">
        <w:rPr>
          <w:rFonts w:cstheme="minorHAnsi"/>
          <w:sz w:val="24"/>
          <w:szCs w:val="24"/>
          <w:lang w:val="el-GR"/>
        </w:rPr>
        <w:t>Αστυνομία</w:t>
      </w:r>
      <w:r w:rsidR="00EE767F">
        <w:rPr>
          <w:rFonts w:cstheme="minorHAnsi"/>
          <w:sz w:val="24"/>
          <w:szCs w:val="24"/>
          <w:lang w:val="el-GR"/>
        </w:rPr>
        <w:t>ς</w:t>
      </w:r>
      <w:r w:rsidR="00220066" w:rsidRPr="00EE767F">
        <w:rPr>
          <w:rFonts w:cstheme="minorHAnsi"/>
          <w:sz w:val="24"/>
          <w:szCs w:val="24"/>
          <w:lang w:val="el-GR"/>
        </w:rPr>
        <w:t xml:space="preserve"> </w:t>
      </w:r>
      <w:r w:rsidR="00EE767F">
        <w:rPr>
          <w:rFonts w:cstheme="minorHAnsi"/>
          <w:sz w:val="24"/>
          <w:szCs w:val="24"/>
          <w:lang w:val="el-GR"/>
        </w:rPr>
        <w:t>με</w:t>
      </w:r>
      <w:r w:rsidR="00EE767F" w:rsidRPr="00EE767F">
        <w:rPr>
          <w:rFonts w:cstheme="minorHAnsi"/>
          <w:sz w:val="24"/>
          <w:szCs w:val="24"/>
          <w:lang w:val="el-GR"/>
        </w:rPr>
        <w:t xml:space="preserve"> </w:t>
      </w:r>
      <w:r w:rsidR="00EE767F">
        <w:rPr>
          <w:rFonts w:cstheme="minorHAnsi"/>
          <w:sz w:val="24"/>
          <w:szCs w:val="24"/>
          <w:lang w:val="el-GR"/>
        </w:rPr>
        <w:t>την</w:t>
      </w:r>
      <w:r w:rsidR="00EE767F" w:rsidRPr="00EE767F">
        <w:rPr>
          <w:rFonts w:cstheme="minorHAnsi"/>
          <w:sz w:val="24"/>
          <w:szCs w:val="24"/>
          <w:lang w:val="el-GR"/>
        </w:rPr>
        <w:t xml:space="preserve"> </w:t>
      </w:r>
      <w:r w:rsidR="00EE767F">
        <w:rPr>
          <w:rFonts w:cstheme="minorHAnsi"/>
          <w:sz w:val="24"/>
          <w:szCs w:val="24"/>
          <w:lang w:val="el-GR"/>
        </w:rPr>
        <w:t>έγκριση</w:t>
      </w:r>
      <w:r w:rsidR="00EE767F" w:rsidRPr="00EE767F">
        <w:rPr>
          <w:rFonts w:cstheme="minorHAnsi"/>
          <w:sz w:val="24"/>
          <w:szCs w:val="24"/>
          <w:lang w:val="el-GR"/>
        </w:rPr>
        <w:t xml:space="preserve"> </w:t>
      </w:r>
      <w:r w:rsidR="00EE767F">
        <w:rPr>
          <w:rFonts w:cstheme="minorHAnsi"/>
          <w:sz w:val="24"/>
          <w:szCs w:val="24"/>
          <w:lang w:val="el-GR"/>
        </w:rPr>
        <w:t>του</w:t>
      </w:r>
      <w:r w:rsidR="00EE767F" w:rsidRPr="00EE767F">
        <w:rPr>
          <w:rFonts w:cstheme="minorHAnsi"/>
          <w:sz w:val="24"/>
          <w:szCs w:val="24"/>
          <w:lang w:val="el-GR"/>
        </w:rPr>
        <w:t xml:space="preserve"> </w:t>
      </w:r>
      <w:r w:rsidR="00EE767F">
        <w:rPr>
          <w:rFonts w:cstheme="minorHAnsi"/>
          <w:sz w:val="24"/>
          <w:szCs w:val="24"/>
          <w:lang w:val="el-GR"/>
        </w:rPr>
        <w:t>Υπουργού</w:t>
      </w:r>
      <w:r w:rsidR="00EE767F" w:rsidRPr="00EE767F">
        <w:rPr>
          <w:rFonts w:cstheme="minorHAnsi"/>
          <w:sz w:val="24"/>
          <w:szCs w:val="24"/>
          <w:lang w:val="el-GR"/>
        </w:rPr>
        <w:t xml:space="preserve"> </w:t>
      </w:r>
      <w:r w:rsidR="00EE767F">
        <w:rPr>
          <w:rFonts w:cstheme="minorHAnsi"/>
          <w:sz w:val="24"/>
          <w:szCs w:val="24"/>
          <w:lang w:val="el-GR"/>
        </w:rPr>
        <w:t>Δικαιοσύνης</w:t>
      </w:r>
      <w:r w:rsidR="00EE767F" w:rsidRPr="00EE767F">
        <w:rPr>
          <w:rFonts w:cstheme="minorHAnsi"/>
          <w:sz w:val="24"/>
          <w:szCs w:val="24"/>
          <w:lang w:val="el-GR"/>
        </w:rPr>
        <w:t xml:space="preserve"> </w:t>
      </w:r>
      <w:r w:rsidR="00EE767F">
        <w:rPr>
          <w:rFonts w:cstheme="minorHAnsi"/>
          <w:sz w:val="24"/>
          <w:szCs w:val="24"/>
          <w:lang w:val="el-GR"/>
        </w:rPr>
        <w:t>και</w:t>
      </w:r>
      <w:r w:rsidR="00EE767F" w:rsidRPr="00EE767F">
        <w:rPr>
          <w:rFonts w:cstheme="minorHAnsi"/>
          <w:sz w:val="24"/>
          <w:szCs w:val="24"/>
          <w:lang w:val="el-GR"/>
        </w:rPr>
        <w:t xml:space="preserve"> </w:t>
      </w:r>
      <w:r w:rsidR="00EE767F">
        <w:rPr>
          <w:rFonts w:cstheme="minorHAnsi"/>
          <w:sz w:val="24"/>
          <w:szCs w:val="24"/>
          <w:lang w:val="el-GR"/>
        </w:rPr>
        <w:t>Δημοσίας Τάξεως</w:t>
      </w:r>
      <w:r w:rsidR="00220066" w:rsidRPr="00EE767F">
        <w:rPr>
          <w:rFonts w:cstheme="minorHAnsi"/>
          <w:sz w:val="24"/>
          <w:szCs w:val="24"/>
          <w:lang w:val="el-GR"/>
        </w:rPr>
        <w:t xml:space="preserve"> </w:t>
      </w:r>
      <w:r w:rsidR="00EE767F">
        <w:rPr>
          <w:rFonts w:cstheme="minorHAnsi"/>
          <w:sz w:val="24"/>
          <w:szCs w:val="24"/>
          <w:lang w:val="el-GR"/>
        </w:rPr>
        <w:t xml:space="preserve">μέχρι τον βαθμό του </w:t>
      </w:r>
      <w:r w:rsidR="003B631B">
        <w:rPr>
          <w:rFonts w:cstheme="minorHAnsi"/>
          <w:sz w:val="24"/>
          <w:szCs w:val="24"/>
          <w:lang w:val="el-GR"/>
        </w:rPr>
        <w:t>Ανωτέρου Υπαστυνόμου</w:t>
      </w:r>
      <w:r w:rsidR="00220066" w:rsidRPr="00EE767F">
        <w:rPr>
          <w:rFonts w:cstheme="minorHAnsi"/>
          <w:sz w:val="24"/>
          <w:szCs w:val="24"/>
          <w:lang w:val="el-GR"/>
        </w:rPr>
        <w:t xml:space="preserve">. </w:t>
      </w:r>
      <w:r w:rsidR="003B631B">
        <w:rPr>
          <w:rFonts w:cstheme="minorHAnsi"/>
          <w:sz w:val="24"/>
          <w:szCs w:val="24"/>
          <w:lang w:val="el-GR"/>
        </w:rPr>
        <w:t>Από</w:t>
      </w:r>
      <w:r w:rsidR="003B631B" w:rsidRPr="003B631B">
        <w:rPr>
          <w:rFonts w:cstheme="minorHAnsi"/>
          <w:sz w:val="24"/>
          <w:szCs w:val="24"/>
          <w:lang w:val="el-GR"/>
        </w:rPr>
        <w:t xml:space="preserve"> </w:t>
      </w:r>
      <w:r w:rsidR="003B631B">
        <w:rPr>
          <w:rFonts w:cstheme="minorHAnsi"/>
          <w:sz w:val="24"/>
          <w:szCs w:val="24"/>
          <w:lang w:val="el-GR"/>
        </w:rPr>
        <w:t>τον</w:t>
      </w:r>
      <w:r w:rsidR="003B631B" w:rsidRPr="003B631B">
        <w:rPr>
          <w:rFonts w:cstheme="minorHAnsi"/>
          <w:sz w:val="24"/>
          <w:szCs w:val="24"/>
          <w:lang w:val="el-GR"/>
        </w:rPr>
        <w:t xml:space="preserve"> </w:t>
      </w:r>
      <w:r w:rsidR="003B631B">
        <w:rPr>
          <w:rFonts w:cstheme="minorHAnsi"/>
          <w:sz w:val="24"/>
          <w:szCs w:val="24"/>
          <w:lang w:val="el-GR"/>
        </w:rPr>
        <w:t>βαθμό</w:t>
      </w:r>
      <w:r w:rsidR="003B631B" w:rsidRPr="003B631B">
        <w:rPr>
          <w:rFonts w:cstheme="minorHAnsi"/>
          <w:sz w:val="24"/>
          <w:szCs w:val="24"/>
          <w:lang w:val="el-GR"/>
        </w:rPr>
        <w:t xml:space="preserve"> </w:t>
      </w:r>
      <w:r w:rsidR="003B631B">
        <w:rPr>
          <w:rFonts w:cstheme="minorHAnsi"/>
          <w:sz w:val="24"/>
          <w:szCs w:val="24"/>
          <w:lang w:val="el-GR"/>
        </w:rPr>
        <w:t>του</w:t>
      </w:r>
      <w:r w:rsidR="003B631B" w:rsidRPr="003B631B">
        <w:rPr>
          <w:rFonts w:cstheme="minorHAnsi"/>
          <w:sz w:val="24"/>
          <w:szCs w:val="24"/>
          <w:lang w:val="el-GR"/>
        </w:rPr>
        <w:t xml:space="preserve"> </w:t>
      </w:r>
      <w:r w:rsidR="003B631B">
        <w:rPr>
          <w:rFonts w:cstheme="minorHAnsi"/>
          <w:sz w:val="24"/>
          <w:szCs w:val="24"/>
          <w:lang w:val="el-GR"/>
        </w:rPr>
        <w:t>Αστυνόμου</w:t>
      </w:r>
      <w:r w:rsidR="003B631B" w:rsidRPr="003B631B">
        <w:rPr>
          <w:rFonts w:cstheme="minorHAnsi"/>
          <w:sz w:val="24"/>
          <w:szCs w:val="24"/>
          <w:lang w:val="el-GR"/>
        </w:rPr>
        <w:t xml:space="preserve"> </w:t>
      </w:r>
      <w:r w:rsidR="00220066" w:rsidRPr="004E251E">
        <w:rPr>
          <w:rFonts w:cstheme="minorHAnsi"/>
          <w:sz w:val="24"/>
          <w:szCs w:val="24"/>
        </w:rPr>
        <w:t>B</w:t>
      </w:r>
      <w:r w:rsidR="00220066" w:rsidRPr="003B631B">
        <w:rPr>
          <w:rFonts w:cstheme="minorHAnsi"/>
          <w:sz w:val="24"/>
          <w:szCs w:val="24"/>
          <w:lang w:val="el-GR"/>
        </w:rPr>
        <w:t xml:space="preserve"> </w:t>
      </w:r>
      <w:r w:rsidR="003B631B">
        <w:rPr>
          <w:rFonts w:cstheme="minorHAnsi"/>
          <w:sz w:val="24"/>
          <w:szCs w:val="24"/>
          <w:lang w:val="el-GR"/>
        </w:rPr>
        <w:t>μέχρι</w:t>
      </w:r>
      <w:r w:rsidR="003B631B" w:rsidRPr="003B631B">
        <w:rPr>
          <w:rFonts w:cstheme="minorHAnsi"/>
          <w:sz w:val="24"/>
          <w:szCs w:val="24"/>
          <w:lang w:val="el-GR"/>
        </w:rPr>
        <w:t xml:space="preserve"> </w:t>
      </w:r>
      <w:r w:rsidR="003B631B">
        <w:rPr>
          <w:rFonts w:cstheme="minorHAnsi"/>
          <w:sz w:val="24"/>
          <w:szCs w:val="24"/>
          <w:lang w:val="el-GR"/>
        </w:rPr>
        <w:t>τον</w:t>
      </w:r>
      <w:r w:rsidR="003B631B" w:rsidRPr="003B631B">
        <w:rPr>
          <w:rFonts w:cstheme="minorHAnsi"/>
          <w:sz w:val="24"/>
          <w:szCs w:val="24"/>
          <w:lang w:val="el-GR"/>
        </w:rPr>
        <w:t xml:space="preserve"> </w:t>
      </w:r>
      <w:r w:rsidR="003B631B">
        <w:rPr>
          <w:rFonts w:cstheme="minorHAnsi"/>
          <w:sz w:val="24"/>
          <w:szCs w:val="24"/>
          <w:lang w:val="el-GR"/>
        </w:rPr>
        <w:t>βαθμό</w:t>
      </w:r>
      <w:r w:rsidR="003B631B" w:rsidRPr="003B631B">
        <w:rPr>
          <w:rFonts w:cstheme="minorHAnsi"/>
          <w:sz w:val="24"/>
          <w:szCs w:val="24"/>
          <w:lang w:val="el-GR"/>
        </w:rPr>
        <w:t xml:space="preserve"> </w:t>
      </w:r>
      <w:r w:rsidR="003B631B">
        <w:rPr>
          <w:rFonts w:cstheme="minorHAnsi"/>
          <w:sz w:val="24"/>
          <w:szCs w:val="24"/>
          <w:lang w:val="el-GR"/>
        </w:rPr>
        <w:t>του</w:t>
      </w:r>
      <w:r w:rsidR="003B631B" w:rsidRPr="003B631B">
        <w:rPr>
          <w:rFonts w:cstheme="minorHAnsi"/>
          <w:sz w:val="24"/>
          <w:szCs w:val="24"/>
          <w:lang w:val="el-GR"/>
        </w:rPr>
        <w:t xml:space="preserve"> </w:t>
      </w:r>
      <w:r w:rsidR="003B631B">
        <w:rPr>
          <w:rFonts w:cstheme="minorHAnsi"/>
          <w:sz w:val="24"/>
          <w:szCs w:val="24"/>
          <w:lang w:val="el-GR"/>
        </w:rPr>
        <w:t>Βοηθού</w:t>
      </w:r>
      <w:r w:rsidR="003B631B" w:rsidRPr="003B631B">
        <w:rPr>
          <w:rFonts w:cstheme="minorHAnsi"/>
          <w:sz w:val="24"/>
          <w:szCs w:val="24"/>
          <w:lang w:val="el-GR"/>
        </w:rPr>
        <w:t xml:space="preserve"> </w:t>
      </w:r>
      <w:r w:rsidR="003B631B">
        <w:rPr>
          <w:rFonts w:cstheme="minorHAnsi"/>
          <w:sz w:val="24"/>
          <w:szCs w:val="24"/>
          <w:lang w:val="el-GR"/>
        </w:rPr>
        <w:t>Αρχηγού</w:t>
      </w:r>
      <w:r w:rsidR="00B77A92" w:rsidRPr="003B631B">
        <w:rPr>
          <w:rFonts w:cstheme="minorHAnsi"/>
          <w:sz w:val="24"/>
          <w:szCs w:val="24"/>
          <w:lang w:val="el-GR"/>
        </w:rPr>
        <w:t>,</w:t>
      </w:r>
      <w:r w:rsidR="00220066" w:rsidRPr="003B631B">
        <w:rPr>
          <w:rFonts w:cstheme="minorHAnsi"/>
          <w:sz w:val="24"/>
          <w:szCs w:val="24"/>
          <w:lang w:val="el-GR"/>
        </w:rPr>
        <w:t xml:space="preserve"> </w:t>
      </w:r>
      <w:r w:rsidR="003B631B">
        <w:rPr>
          <w:rFonts w:cstheme="minorHAnsi"/>
          <w:sz w:val="24"/>
          <w:szCs w:val="24"/>
          <w:lang w:val="el-GR"/>
        </w:rPr>
        <w:t>αποφασίζεται</w:t>
      </w:r>
      <w:r w:rsidR="003B631B" w:rsidRPr="003B631B">
        <w:rPr>
          <w:rFonts w:cstheme="minorHAnsi"/>
          <w:sz w:val="24"/>
          <w:szCs w:val="24"/>
          <w:lang w:val="el-GR"/>
        </w:rPr>
        <w:t xml:space="preserve"> </w:t>
      </w:r>
      <w:r w:rsidR="003B631B">
        <w:rPr>
          <w:rFonts w:cstheme="minorHAnsi"/>
          <w:sz w:val="24"/>
          <w:szCs w:val="24"/>
          <w:lang w:val="el-GR"/>
        </w:rPr>
        <w:t>από</w:t>
      </w:r>
      <w:r w:rsidR="003B631B" w:rsidRPr="003B631B">
        <w:rPr>
          <w:rFonts w:cstheme="minorHAnsi"/>
          <w:sz w:val="24"/>
          <w:szCs w:val="24"/>
          <w:lang w:val="el-GR"/>
        </w:rPr>
        <w:t xml:space="preserve"> </w:t>
      </w:r>
      <w:r w:rsidR="003B631B">
        <w:rPr>
          <w:rFonts w:cstheme="minorHAnsi"/>
          <w:sz w:val="24"/>
          <w:szCs w:val="24"/>
          <w:lang w:val="el-GR"/>
        </w:rPr>
        <w:t>τον</w:t>
      </w:r>
      <w:r w:rsidR="003B631B" w:rsidRPr="003B631B">
        <w:rPr>
          <w:rFonts w:cstheme="minorHAnsi"/>
          <w:sz w:val="24"/>
          <w:szCs w:val="24"/>
          <w:lang w:val="el-GR"/>
        </w:rPr>
        <w:t xml:space="preserve"> </w:t>
      </w:r>
      <w:r w:rsidR="003B631B">
        <w:rPr>
          <w:rFonts w:cstheme="minorHAnsi"/>
          <w:sz w:val="24"/>
          <w:szCs w:val="24"/>
          <w:lang w:val="el-GR"/>
        </w:rPr>
        <w:t>Υπουργό</w:t>
      </w:r>
      <w:r w:rsidR="003B631B" w:rsidRPr="003B631B">
        <w:rPr>
          <w:rFonts w:cstheme="minorHAnsi"/>
          <w:sz w:val="24"/>
          <w:szCs w:val="24"/>
          <w:lang w:val="el-GR"/>
        </w:rPr>
        <w:t xml:space="preserve"> </w:t>
      </w:r>
      <w:r w:rsidR="003B631B">
        <w:rPr>
          <w:rFonts w:cstheme="minorHAnsi"/>
          <w:sz w:val="24"/>
          <w:szCs w:val="24"/>
          <w:lang w:val="el-GR"/>
        </w:rPr>
        <w:t>Δικαιοσύνης</w:t>
      </w:r>
      <w:r w:rsidR="003B631B" w:rsidRPr="003B631B">
        <w:rPr>
          <w:rFonts w:cstheme="minorHAnsi"/>
          <w:sz w:val="24"/>
          <w:szCs w:val="24"/>
          <w:lang w:val="el-GR"/>
        </w:rPr>
        <w:t xml:space="preserve"> </w:t>
      </w:r>
      <w:r w:rsidR="003B631B">
        <w:rPr>
          <w:rFonts w:cstheme="minorHAnsi"/>
          <w:sz w:val="24"/>
          <w:szCs w:val="24"/>
          <w:lang w:val="el-GR"/>
        </w:rPr>
        <w:t>και</w:t>
      </w:r>
      <w:r w:rsidR="003B631B" w:rsidRPr="003B631B">
        <w:rPr>
          <w:rFonts w:cstheme="minorHAnsi"/>
          <w:sz w:val="24"/>
          <w:szCs w:val="24"/>
          <w:lang w:val="el-GR"/>
        </w:rPr>
        <w:t xml:space="preserve"> </w:t>
      </w:r>
      <w:r w:rsidR="003B631B">
        <w:rPr>
          <w:rFonts w:cstheme="minorHAnsi"/>
          <w:sz w:val="24"/>
          <w:szCs w:val="24"/>
          <w:lang w:val="el-GR"/>
        </w:rPr>
        <w:t>Δημοσίας Τάξεως</w:t>
      </w:r>
      <w:r w:rsidR="00220066" w:rsidRPr="003B631B">
        <w:rPr>
          <w:rFonts w:cstheme="minorHAnsi"/>
          <w:sz w:val="24"/>
          <w:szCs w:val="24"/>
          <w:lang w:val="el-GR"/>
        </w:rPr>
        <w:t xml:space="preserve"> </w:t>
      </w:r>
      <w:r w:rsidR="003B631B">
        <w:rPr>
          <w:rFonts w:cstheme="minorHAnsi"/>
          <w:sz w:val="24"/>
          <w:szCs w:val="24"/>
          <w:lang w:val="el-GR"/>
        </w:rPr>
        <w:t>με την σ</w:t>
      </w:r>
      <w:r w:rsidR="003D7102">
        <w:rPr>
          <w:rFonts w:cstheme="minorHAnsi"/>
          <w:sz w:val="24"/>
          <w:szCs w:val="24"/>
          <w:lang w:val="el-GR"/>
        </w:rPr>
        <w:t>ύ</w:t>
      </w:r>
      <w:r w:rsidR="003B631B">
        <w:rPr>
          <w:rFonts w:cstheme="minorHAnsi"/>
          <w:sz w:val="24"/>
          <w:szCs w:val="24"/>
          <w:lang w:val="el-GR"/>
        </w:rPr>
        <w:t xml:space="preserve">σταση του Αρχηγού της </w:t>
      </w:r>
      <w:r w:rsidR="009C4E34">
        <w:rPr>
          <w:rFonts w:cstheme="minorHAnsi"/>
          <w:sz w:val="24"/>
          <w:szCs w:val="24"/>
          <w:lang w:val="el-GR"/>
        </w:rPr>
        <w:t>Αστυνομία</w:t>
      </w:r>
      <w:r w:rsidR="003B631B">
        <w:rPr>
          <w:rFonts w:cstheme="minorHAnsi"/>
          <w:sz w:val="24"/>
          <w:szCs w:val="24"/>
          <w:lang w:val="el-GR"/>
        </w:rPr>
        <w:t>ς</w:t>
      </w:r>
      <w:r w:rsidR="00220066" w:rsidRPr="003B631B">
        <w:rPr>
          <w:rFonts w:cstheme="minorHAnsi"/>
          <w:sz w:val="24"/>
          <w:szCs w:val="24"/>
          <w:lang w:val="el-GR"/>
        </w:rPr>
        <w:t xml:space="preserve">. </w:t>
      </w:r>
    </w:p>
    <w:p w14:paraId="38E5204E" w14:textId="77777777" w:rsidR="00220066" w:rsidRPr="003B631B" w:rsidRDefault="00220066" w:rsidP="00220066">
      <w:pPr>
        <w:tabs>
          <w:tab w:val="left" w:pos="709"/>
        </w:tabs>
        <w:rPr>
          <w:rFonts w:cstheme="minorHAnsi"/>
          <w:sz w:val="24"/>
          <w:szCs w:val="24"/>
          <w:lang w:val="el-GR"/>
        </w:rPr>
      </w:pPr>
    </w:p>
    <w:p w14:paraId="491535B7" w14:textId="7CE92C42" w:rsidR="00220066" w:rsidRPr="003B631B" w:rsidRDefault="003B631B" w:rsidP="00220066">
      <w:pPr>
        <w:numPr>
          <w:ilvl w:val="0"/>
          <w:numId w:val="1"/>
        </w:numPr>
        <w:tabs>
          <w:tab w:val="left" w:pos="709"/>
        </w:tabs>
        <w:ind w:left="0" w:firstLine="0"/>
        <w:rPr>
          <w:rFonts w:cstheme="minorHAnsi"/>
          <w:sz w:val="24"/>
          <w:szCs w:val="24"/>
          <w:lang w:val="el-GR"/>
        </w:rPr>
      </w:pPr>
      <w:r>
        <w:rPr>
          <w:rFonts w:cstheme="minorHAnsi"/>
          <w:sz w:val="24"/>
          <w:szCs w:val="24"/>
          <w:lang w:val="el-GR"/>
        </w:rPr>
        <w:t>Υπάρχουν</w:t>
      </w:r>
      <w:r w:rsidRPr="003B631B">
        <w:rPr>
          <w:rFonts w:cstheme="minorHAnsi"/>
          <w:sz w:val="24"/>
          <w:szCs w:val="24"/>
          <w:lang w:val="el-GR"/>
        </w:rPr>
        <w:t xml:space="preserve"> </w:t>
      </w:r>
      <w:r>
        <w:rPr>
          <w:rFonts w:cstheme="minorHAnsi"/>
          <w:sz w:val="24"/>
          <w:szCs w:val="24"/>
          <w:lang w:val="el-GR"/>
        </w:rPr>
        <w:t>τρεις</w:t>
      </w:r>
      <w:r w:rsidRPr="003B631B">
        <w:rPr>
          <w:rFonts w:cstheme="minorHAnsi"/>
          <w:sz w:val="24"/>
          <w:szCs w:val="24"/>
          <w:lang w:val="el-GR"/>
        </w:rPr>
        <w:t xml:space="preserve"> </w:t>
      </w:r>
      <w:r>
        <w:rPr>
          <w:rFonts w:cstheme="minorHAnsi"/>
          <w:sz w:val="24"/>
          <w:szCs w:val="24"/>
          <w:lang w:val="el-GR"/>
        </w:rPr>
        <w:t>επιτροπές</w:t>
      </w:r>
      <w:r w:rsidR="00220066" w:rsidRPr="003B631B">
        <w:rPr>
          <w:rFonts w:cstheme="minorHAnsi"/>
          <w:sz w:val="24"/>
          <w:szCs w:val="24"/>
          <w:lang w:val="el-GR"/>
        </w:rPr>
        <w:t xml:space="preserve"> </w:t>
      </w:r>
      <w:r>
        <w:rPr>
          <w:rFonts w:cstheme="minorHAnsi"/>
          <w:sz w:val="24"/>
          <w:szCs w:val="24"/>
          <w:lang w:val="el-GR"/>
        </w:rPr>
        <w:t>για</w:t>
      </w:r>
      <w:r w:rsidRPr="003B631B">
        <w:rPr>
          <w:rFonts w:cstheme="minorHAnsi"/>
          <w:sz w:val="24"/>
          <w:szCs w:val="24"/>
          <w:lang w:val="el-GR"/>
        </w:rPr>
        <w:t xml:space="preserve"> </w:t>
      </w:r>
      <w:r>
        <w:rPr>
          <w:rFonts w:cstheme="minorHAnsi"/>
          <w:sz w:val="24"/>
          <w:szCs w:val="24"/>
          <w:lang w:val="el-GR"/>
        </w:rPr>
        <w:t>την</w:t>
      </w:r>
      <w:r w:rsidRPr="003B631B">
        <w:rPr>
          <w:rFonts w:cstheme="minorHAnsi"/>
          <w:sz w:val="24"/>
          <w:szCs w:val="24"/>
          <w:lang w:val="el-GR"/>
        </w:rPr>
        <w:t xml:space="preserve"> </w:t>
      </w:r>
      <w:r>
        <w:rPr>
          <w:rFonts w:cstheme="minorHAnsi"/>
          <w:sz w:val="24"/>
          <w:szCs w:val="24"/>
          <w:lang w:val="el-GR"/>
        </w:rPr>
        <w:t>διαδικασία</w:t>
      </w:r>
      <w:r w:rsidRPr="003B631B">
        <w:rPr>
          <w:rFonts w:cstheme="minorHAnsi"/>
          <w:sz w:val="24"/>
          <w:szCs w:val="24"/>
          <w:lang w:val="el-GR"/>
        </w:rPr>
        <w:t xml:space="preserve"> </w:t>
      </w:r>
      <w:r>
        <w:rPr>
          <w:rFonts w:cstheme="minorHAnsi"/>
          <w:sz w:val="24"/>
          <w:szCs w:val="24"/>
          <w:lang w:val="el-GR"/>
        </w:rPr>
        <w:t>προαγωγής</w:t>
      </w:r>
      <w:r w:rsidR="00220066" w:rsidRPr="003B631B">
        <w:rPr>
          <w:rFonts w:cstheme="minorHAnsi"/>
          <w:sz w:val="24"/>
          <w:szCs w:val="24"/>
          <w:lang w:val="el-GR"/>
        </w:rPr>
        <w:t xml:space="preserve"> </w:t>
      </w:r>
      <w:r>
        <w:rPr>
          <w:rFonts w:cstheme="minorHAnsi"/>
          <w:sz w:val="24"/>
          <w:szCs w:val="24"/>
          <w:lang w:val="el-GR"/>
        </w:rPr>
        <w:t>μέχρι τον βαθμό του Αν</w:t>
      </w:r>
      <w:r w:rsidR="003D7102">
        <w:rPr>
          <w:rFonts w:cstheme="minorHAnsi"/>
          <w:sz w:val="24"/>
          <w:szCs w:val="24"/>
          <w:lang w:val="el-GR"/>
        </w:rPr>
        <w:t>ω</w:t>
      </w:r>
      <w:r>
        <w:rPr>
          <w:rFonts w:cstheme="minorHAnsi"/>
          <w:sz w:val="24"/>
          <w:szCs w:val="24"/>
          <w:lang w:val="el-GR"/>
        </w:rPr>
        <w:t>τ</w:t>
      </w:r>
      <w:r w:rsidR="003D7102">
        <w:rPr>
          <w:rFonts w:cstheme="minorHAnsi"/>
          <w:sz w:val="24"/>
          <w:szCs w:val="24"/>
          <w:lang w:val="el-GR"/>
        </w:rPr>
        <w:t>έ</w:t>
      </w:r>
      <w:r>
        <w:rPr>
          <w:rFonts w:cstheme="minorHAnsi"/>
          <w:sz w:val="24"/>
          <w:szCs w:val="24"/>
          <w:lang w:val="el-GR"/>
        </w:rPr>
        <w:t>ρου Υπαστυνόμου</w:t>
      </w:r>
      <w:r w:rsidR="00220066" w:rsidRPr="003B631B">
        <w:rPr>
          <w:rFonts w:cstheme="minorHAnsi"/>
          <w:sz w:val="24"/>
          <w:szCs w:val="24"/>
          <w:lang w:val="el-GR"/>
        </w:rPr>
        <w:t xml:space="preserve">. </w:t>
      </w:r>
      <w:r>
        <w:rPr>
          <w:rFonts w:cstheme="minorHAnsi"/>
          <w:sz w:val="24"/>
          <w:szCs w:val="24"/>
          <w:lang w:val="el-GR"/>
        </w:rPr>
        <w:t>Μια</w:t>
      </w:r>
      <w:r w:rsidRPr="003B631B">
        <w:rPr>
          <w:rFonts w:cstheme="minorHAnsi"/>
          <w:sz w:val="24"/>
          <w:szCs w:val="24"/>
          <w:lang w:val="el-GR"/>
        </w:rPr>
        <w:t xml:space="preserve"> </w:t>
      </w:r>
      <w:r>
        <w:rPr>
          <w:rFonts w:cstheme="minorHAnsi"/>
          <w:sz w:val="24"/>
          <w:szCs w:val="24"/>
          <w:lang w:val="el-GR"/>
        </w:rPr>
        <w:t>επιτροπή</w:t>
      </w:r>
      <w:r w:rsidRPr="003B631B">
        <w:rPr>
          <w:rFonts w:cstheme="minorHAnsi"/>
          <w:sz w:val="24"/>
          <w:szCs w:val="24"/>
          <w:lang w:val="el-GR"/>
        </w:rPr>
        <w:t xml:space="preserve"> </w:t>
      </w:r>
      <w:r>
        <w:rPr>
          <w:rFonts w:cstheme="minorHAnsi"/>
          <w:sz w:val="24"/>
          <w:szCs w:val="24"/>
          <w:lang w:val="el-GR"/>
        </w:rPr>
        <w:t>για</w:t>
      </w:r>
      <w:r w:rsidRPr="003B631B">
        <w:rPr>
          <w:rFonts w:cstheme="minorHAnsi"/>
          <w:sz w:val="24"/>
          <w:szCs w:val="24"/>
          <w:lang w:val="el-GR"/>
        </w:rPr>
        <w:t xml:space="preserve"> </w:t>
      </w:r>
      <w:r>
        <w:rPr>
          <w:rFonts w:cstheme="minorHAnsi"/>
          <w:sz w:val="24"/>
          <w:szCs w:val="24"/>
          <w:lang w:val="el-GR"/>
        </w:rPr>
        <w:t>την</w:t>
      </w:r>
      <w:r w:rsidRPr="003B631B">
        <w:rPr>
          <w:rFonts w:cstheme="minorHAnsi"/>
          <w:sz w:val="24"/>
          <w:szCs w:val="24"/>
          <w:lang w:val="el-GR"/>
        </w:rPr>
        <w:t xml:space="preserve"> </w:t>
      </w:r>
      <w:r>
        <w:rPr>
          <w:rFonts w:cstheme="minorHAnsi"/>
          <w:sz w:val="24"/>
          <w:szCs w:val="24"/>
          <w:lang w:val="el-GR"/>
        </w:rPr>
        <w:t>αξιολόγηση</w:t>
      </w:r>
      <w:r w:rsidRPr="003B631B">
        <w:rPr>
          <w:rFonts w:cstheme="minorHAnsi"/>
          <w:sz w:val="24"/>
          <w:szCs w:val="24"/>
          <w:lang w:val="el-GR"/>
        </w:rPr>
        <w:t xml:space="preserve"> </w:t>
      </w:r>
      <w:r>
        <w:rPr>
          <w:rFonts w:cstheme="minorHAnsi"/>
          <w:sz w:val="24"/>
          <w:szCs w:val="24"/>
          <w:lang w:val="el-GR"/>
        </w:rPr>
        <w:t>των</w:t>
      </w:r>
      <w:r w:rsidRPr="003B631B">
        <w:rPr>
          <w:rFonts w:cstheme="minorHAnsi"/>
          <w:sz w:val="24"/>
          <w:szCs w:val="24"/>
          <w:lang w:val="el-GR"/>
        </w:rPr>
        <w:t xml:space="preserve"> </w:t>
      </w:r>
      <w:r>
        <w:rPr>
          <w:rFonts w:cstheme="minorHAnsi"/>
          <w:sz w:val="24"/>
          <w:szCs w:val="24"/>
          <w:lang w:val="el-GR"/>
        </w:rPr>
        <w:t>υποψηφίων</w:t>
      </w:r>
      <w:r w:rsidR="00220066" w:rsidRPr="003B631B">
        <w:rPr>
          <w:rFonts w:cstheme="minorHAnsi"/>
          <w:sz w:val="24"/>
          <w:szCs w:val="24"/>
          <w:lang w:val="el-GR"/>
        </w:rPr>
        <w:t xml:space="preserve">, </w:t>
      </w:r>
      <w:r>
        <w:rPr>
          <w:rFonts w:cstheme="minorHAnsi"/>
          <w:sz w:val="24"/>
          <w:szCs w:val="24"/>
          <w:lang w:val="el-GR"/>
        </w:rPr>
        <w:t>μια</w:t>
      </w:r>
      <w:r w:rsidRPr="003B631B">
        <w:rPr>
          <w:rFonts w:cstheme="minorHAnsi"/>
          <w:sz w:val="24"/>
          <w:szCs w:val="24"/>
          <w:lang w:val="el-GR"/>
        </w:rPr>
        <w:t xml:space="preserve"> </w:t>
      </w:r>
      <w:r>
        <w:rPr>
          <w:rFonts w:cstheme="minorHAnsi"/>
          <w:sz w:val="24"/>
          <w:szCs w:val="24"/>
          <w:lang w:val="el-GR"/>
        </w:rPr>
        <w:t>άλλη</w:t>
      </w:r>
      <w:r w:rsidRPr="003B631B">
        <w:rPr>
          <w:rFonts w:cstheme="minorHAnsi"/>
          <w:sz w:val="24"/>
          <w:szCs w:val="24"/>
          <w:lang w:val="el-GR"/>
        </w:rPr>
        <w:t xml:space="preserve"> </w:t>
      </w:r>
      <w:r>
        <w:rPr>
          <w:rFonts w:cstheme="minorHAnsi"/>
          <w:sz w:val="24"/>
          <w:szCs w:val="24"/>
          <w:lang w:val="el-GR"/>
        </w:rPr>
        <w:t>επιτροπή</w:t>
      </w:r>
      <w:r w:rsidR="00220066" w:rsidRPr="003B631B">
        <w:rPr>
          <w:rFonts w:cstheme="minorHAnsi"/>
          <w:sz w:val="24"/>
          <w:szCs w:val="24"/>
          <w:lang w:val="el-GR"/>
        </w:rPr>
        <w:t xml:space="preserve"> </w:t>
      </w:r>
      <w:r>
        <w:rPr>
          <w:rFonts w:cstheme="minorHAnsi"/>
          <w:sz w:val="24"/>
          <w:szCs w:val="24"/>
          <w:lang w:val="el-GR"/>
        </w:rPr>
        <w:t>που εξετάζει τις εφέσεις</w:t>
      </w:r>
      <w:r w:rsidR="00220066" w:rsidRPr="003B631B">
        <w:rPr>
          <w:rFonts w:cstheme="minorHAnsi"/>
          <w:sz w:val="24"/>
          <w:szCs w:val="24"/>
          <w:lang w:val="el-GR"/>
        </w:rPr>
        <w:t xml:space="preserve">, </w:t>
      </w:r>
      <w:r>
        <w:rPr>
          <w:rFonts w:cstheme="minorHAnsi"/>
          <w:sz w:val="24"/>
          <w:szCs w:val="24"/>
          <w:lang w:val="el-GR"/>
        </w:rPr>
        <w:t>και</w:t>
      </w:r>
      <w:r w:rsidRPr="003B631B">
        <w:rPr>
          <w:rFonts w:cstheme="minorHAnsi"/>
          <w:sz w:val="24"/>
          <w:szCs w:val="24"/>
          <w:lang w:val="el-GR"/>
        </w:rPr>
        <w:t xml:space="preserve"> </w:t>
      </w:r>
      <w:r>
        <w:rPr>
          <w:rFonts w:cstheme="minorHAnsi"/>
          <w:sz w:val="24"/>
          <w:szCs w:val="24"/>
          <w:lang w:val="el-GR"/>
        </w:rPr>
        <w:t>μια τρίτη επιτροπή</w:t>
      </w:r>
      <w:r w:rsidR="00220066" w:rsidRPr="003B631B">
        <w:rPr>
          <w:rFonts w:cstheme="minorHAnsi"/>
          <w:sz w:val="24"/>
          <w:szCs w:val="24"/>
          <w:lang w:val="el-GR"/>
        </w:rPr>
        <w:t xml:space="preserve"> </w:t>
      </w:r>
      <w:r>
        <w:rPr>
          <w:rFonts w:cstheme="minorHAnsi"/>
          <w:sz w:val="24"/>
          <w:szCs w:val="24"/>
          <w:lang w:val="el-GR"/>
        </w:rPr>
        <w:t>διεξάγε</w:t>
      </w:r>
      <w:r w:rsidR="003D7102">
        <w:rPr>
          <w:rFonts w:cstheme="minorHAnsi"/>
          <w:sz w:val="24"/>
          <w:szCs w:val="24"/>
          <w:lang w:val="el-GR"/>
        </w:rPr>
        <w:t>ι</w:t>
      </w:r>
      <w:r>
        <w:rPr>
          <w:rFonts w:cstheme="minorHAnsi"/>
          <w:sz w:val="24"/>
          <w:szCs w:val="24"/>
          <w:lang w:val="el-GR"/>
        </w:rPr>
        <w:t xml:space="preserve"> τις συνεντεύξεις</w:t>
      </w:r>
      <w:r w:rsidR="00220066" w:rsidRPr="003B631B">
        <w:rPr>
          <w:rFonts w:cstheme="minorHAnsi"/>
          <w:sz w:val="24"/>
          <w:szCs w:val="24"/>
          <w:lang w:val="el-GR"/>
        </w:rPr>
        <w:t xml:space="preserve">. </w:t>
      </w:r>
      <w:r>
        <w:rPr>
          <w:rFonts w:cstheme="minorHAnsi"/>
          <w:sz w:val="24"/>
          <w:szCs w:val="24"/>
          <w:lang w:val="el-GR"/>
        </w:rPr>
        <w:t>Μετά</w:t>
      </w:r>
      <w:r w:rsidRPr="003B631B">
        <w:rPr>
          <w:rFonts w:cstheme="minorHAnsi"/>
          <w:sz w:val="24"/>
          <w:szCs w:val="24"/>
          <w:lang w:val="el-GR"/>
        </w:rPr>
        <w:t xml:space="preserve"> </w:t>
      </w:r>
      <w:r>
        <w:rPr>
          <w:rFonts w:cstheme="minorHAnsi"/>
          <w:sz w:val="24"/>
          <w:szCs w:val="24"/>
          <w:lang w:val="el-GR"/>
        </w:rPr>
        <w:t>το</w:t>
      </w:r>
      <w:r w:rsidRPr="003B631B">
        <w:rPr>
          <w:rFonts w:cstheme="minorHAnsi"/>
          <w:sz w:val="24"/>
          <w:szCs w:val="24"/>
          <w:lang w:val="el-GR"/>
        </w:rPr>
        <w:t xml:space="preserve"> </w:t>
      </w:r>
      <w:r>
        <w:rPr>
          <w:rFonts w:cstheme="minorHAnsi"/>
          <w:sz w:val="24"/>
          <w:szCs w:val="24"/>
          <w:lang w:val="el-GR"/>
        </w:rPr>
        <w:t>πέρας</w:t>
      </w:r>
      <w:r w:rsidRPr="003B631B">
        <w:rPr>
          <w:rFonts w:cstheme="minorHAnsi"/>
          <w:sz w:val="24"/>
          <w:szCs w:val="24"/>
          <w:lang w:val="el-GR"/>
        </w:rPr>
        <w:t xml:space="preserve"> </w:t>
      </w:r>
      <w:r>
        <w:rPr>
          <w:rFonts w:cstheme="minorHAnsi"/>
          <w:sz w:val="24"/>
          <w:szCs w:val="24"/>
          <w:lang w:val="el-GR"/>
        </w:rPr>
        <w:t>των</w:t>
      </w:r>
      <w:r w:rsidRPr="003B631B">
        <w:rPr>
          <w:rFonts w:cstheme="minorHAnsi"/>
          <w:sz w:val="24"/>
          <w:szCs w:val="24"/>
          <w:lang w:val="el-GR"/>
        </w:rPr>
        <w:t xml:space="preserve"> </w:t>
      </w:r>
      <w:r>
        <w:rPr>
          <w:rFonts w:cstheme="minorHAnsi"/>
          <w:sz w:val="24"/>
          <w:szCs w:val="24"/>
          <w:lang w:val="el-GR"/>
        </w:rPr>
        <w:t>συνεντεύξεων</w:t>
      </w:r>
      <w:r w:rsidRPr="003B631B">
        <w:rPr>
          <w:rFonts w:cstheme="minorHAnsi"/>
          <w:sz w:val="24"/>
          <w:szCs w:val="24"/>
          <w:lang w:val="el-GR"/>
        </w:rPr>
        <w:t xml:space="preserve"> </w:t>
      </w:r>
      <w:r>
        <w:rPr>
          <w:rFonts w:cstheme="minorHAnsi"/>
          <w:sz w:val="24"/>
          <w:szCs w:val="24"/>
          <w:lang w:val="el-GR"/>
        </w:rPr>
        <w:t>η</w:t>
      </w:r>
      <w:r w:rsidRPr="003B631B">
        <w:rPr>
          <w:rFonts w:cstheme="minorHAnsi"/>
          <w:sz w:val="24"/>
          <w:szCs w:val="24"/>
          <w:lang w:val="el-GR"/>
        </w:rPr>
        <w:t xml:space="preserve"> </w:t>
      </w:r>
      <w:r>
        <w:rPr>
          <w:rFonts w:cstheme="minorHAnsi"/>
          <w:sz w:val="24"/>
          <w:szCs w:val="24"/>
          <w:lang w:val="el-GR"/>
        </w:rPr>
        <w:t>επιτροπή</w:t>
      </w:r>
      <w:r w:rsidRPr="003B631B">
        <w:rPr>
          <w:rFonts w:cstheme="minorHAnsi"/>
          <w:sz w:val="24"/>
          <w:szCs w:val="24"/>
          <w:lang w:val="el-GR"/>
        </w:rPr>
        <w:t xml:space="preserve"> </w:t>
      </w:r>
      <w:r>
        <w:rPr>
          <w:rFonts w:cstheme="minorHAnsi"/>
          <w:sz w:val="24"/>
          <w:szCs w:val="24"/>
          <w:lang w:val="el-GR"/>
        </w:rPr>
        <w:t>ετοιμάζει</w:t>
      </w:r>
      <w:r w:rsidRPr="003B631B">
        <w:rPr>
          <w:rFonts w:cstheme="minorHAnsi"/>
          <w:sz w:val="24"/>
          <w:szCs w:val="24"/>
          <w:lang w:val="el-GR"/>
        </w:rPr>
        <w:t xml:space="preserve"> </w:t>
      </w:r>
      <w:r>
        <w:rPr>
          <w:rFonts w:cstheme="minorHAnsi"/>
          <w:sz w:val="24"/>
          <w:szCs w:val="24"/>
          <w:lang w:val="el-GR"/>
        </w:rPr>
        <w:t>μια</w:t>
      </w:r>
      <w:r w:rsidRPr="003B631B">
        <w:rPr>
          <w:rFonts w:cstheme="minorHAnsi"/>
          <w:sz w:val="24"/>
          <w:szCs w:val="24"/>
          <w:lang w:val="el-GR"/>
        </w:rPr>
        <w:t xml:space="preserve"> </w:t>
      </w:r>
      <w:r>
        <w:rPr>
          <w:rFonts w:cstheme="minorHAnsi"/>
          <w:sz w:val="24"/>
          <w:szCs w:val="24"/>
          <w:lang w:val="el-GR"/>
        </w:rPr>
        <w:t>λίστα</w:t>
      </w:r>
      <w:r w:rsidR="00220066" w:rsidRPr="003B631B">
        <w:rPr>
          <w:rFonts w:cstheme="minorHAnsi"/>
          <w:sz w:val="24"/>
          <w:szCs w:val="24"/>
          <w:lang w:val="el-GR"/>
        </w:rPr>
        <w:t xml:space="preserve"> </w:t>
      </w:r>
      <w:r>
        <w:rPr>
          <w:rFonts w:cstheme="minorHAnsi"/>
          <w:sz w:val="24"/>
          <w:szCs w:val="24"/>
          <w:lang w:val="el-GR"/>
        </w:rPr>
        <w:t>της</w:t>
      </w:r>
      <w:r w:rsidRPr="003B631B">
        <w:rPr>
          <w:rFonts w:cstheme="minorHAnsi"/>
          <w:sz w:val="24"/>
          <w:szCs w:val="24"/>
          <w:lang w:val="el-GR"/>
        </w:rPr>
        <w:t xml:space="preserve"> </w:t>
      </w:r>
      <w:r>
        <w:rPr>
          <w:rFonts w:cstheme="minorHAnsi"/>
          <w:sz w:val="24"/>
          <w:szCs w:val="24"/>
          <w:lang w:val="el-GR"/>
        </w:rPr>
        <w:t>τελικής τοποθέτησης των υποψηφίων</w:t>
      </w:r>
      <w:r w:rsidR="00220066" w:rsidRPr="003B631B">
        <w:rPr>
          <w:rFonts w:cstheme="minorHAnsi"/>
          <w:sz w:val="24"/>
          <w:szCs w:val="24"/>
          <w:lang w:val="el-GR"/>
        </w:rPr>
        <w:t xml:space="preserve"> </w:t>
      </w:r>
      <w:r>
        <w:rPr>
          <w:rFonts w:cstheme="minorHAnsi"/>
          <w:sz w:val="24"/>
          <w:szCs w:val="24"/>
          <w:lang w:val="el-GR"/>
        </w:rPr>
        <w:t xml:space="preserve">και την υποβάλει στον Αρχηγό της </w:t>
      </w:r>
      <w:r w:rsidR="009C4E34">
        <w:rPr>
          <w:rFonts w:cstheme="minorHAnsi"/>
          <w:sz w:val="24"/>
          <w:szCs w:val="24"/>
          <w:lang w:val="el-GR"/>
        </w:rPr>
        <w:t>Αστυνομία</w:t>
      </w:r>
      <w:r>
        <w:rPr>
          <w:rFonts w:cstheme="minorHAnsi"/>
          <w:sz w:val="24"/>
          <w:szCs w:val="24"/>
          <w:lang w:val="el-GR"/>
        </w:rPr>
        <w:t>ς</w:t>
      </w:r>
      <w:r w:rsidR="00220066" w:rsidRPr="003B631B">
        <w:rPr>
          <w:rFonts w:cstheme="minorHAnsi"/>
          <w:sz w:val="24"/>
          <w:szCs w:val="24"/>
          <w:lang w:val="el-GR"/>
        </w:rPr>
        <w:t xml:space="preserve">. </w:t>
      </w:r>
      <w:r>
        <w:rPr>
          <w:rFonts w:cstheme="minorHAnsi"/>
          <w:sz w:val="24"/>
          <w:szCs w:val="24"/>
          <w:lang w:val="el-GR"/>
        </w:rPr>
        <w:t>Οι</w:t>
      </w:r>
      <w:r w:rsidRPr="003B631B">
        <w:rPr>
          <w:rFonts w:cstheme="minorHAnsi"/>
          <w:sz w:val="24"/>
          <w:szCs w:val="24"/>
          <w:lang w:val="el-GR"/>
        </w:rPr>
        <w:t xml:space="preserve"> </w:t>
      </w:r>
      <w:r>
        <w:rPr>
          <w:rFonts w:cstheme="minorHAnsi"/>
          <w:sz w:val="24"/>
          <w:szCs w:val="24"/>
          <w:lang w:val="el-GR"/>
        </w:rPr>
        <w:t>δύο</w:t>
      </w:r>
      <w:r w:rsidRPr="003B631B">
        <w:rPr>
          <w:rFonts w:cstheme="minorHAnsi"/>
          <w:sz w:val="24"/>
          <w:szCs w:val="24"/>
          <w:lang w:val="el-GR"/>
        </w:rPr>
        <w:t xml:space="preserve"> </w:t>
      </w:r>
      <w:r>
        <w:rPr>
          <w:rFonts w:cstheme="minorHAnsi"/>
          <w:sz w:val="24"/>
          <w:szCs w:val="24"/>
          <w:lang w:val="el-GR"/>
        </w:rPr>
        <w:t>πρώτες</w:t>
      </w:r>
      <w:r w:rsidRPr="003B631B">
        <w:rPr>
          <w:rFonts w:cstheme="minorHAnsi"/>
          <w:sz w:val="24"/>
          <w:szCs w:val="24"/>
          <w:lang w:val="el-GR"/>
        </w:rPr>
        <w:t xml:space="preserve"> </w:t>
      </w:r>
      <w:r>
        <w:rPr>
          <w:rFonts w:cstheme="minorHAnsi"/>
          <w:sz w:val="24"/>
          <w:szCs w:val="24"/>
          <w:lang w:val="el-GR"/>
        </w:rPr>
        <w:t>επιτροπές</w:t>
      </w:r>
      <w:r w:rsidR="00220066" w:rsidRPr="003B631B">
        <w:rPr>
          <w:rFonts w:cstheme="minorHAnsi"/>
          <w:sz w:val="24"/>
          <w:szCs w:val="24"/>
          <w:lang w:val="el-GR"/>
        </w:rPr>
        <w:t xml:space="preserve"> </w:t>
      </w:r>
      <w:r>
        <w:rPr>
          <w:rFonts w:cstheme="minorHAnsi"/>
          <w:sz w:val="24"/>
          <w:szCs w:val="24"/>
          <w:lang w:val="el-GR"/>
        </w:rPr>
        <w:t>αποτελούνται</w:t>
      </w:r>
      <w:r w:rsidRPr="003B631B">
        <w:rPr>
          <w:rFonts w:cstheme="minorHAnsi"/>
          <w:sz w:val="24"/>
          <w:szCs w:val="24"/>
          <w:lang w:val="el-GR"/>
        </w:rPr>
        <w:t xml:space="preserve"> </w:t>
      </w:r>
      <w:r>
        <w:rPr>
          <w:rFonts w:cstheme="minorHAnsi"/>
          <w:sz w:val="24"/>
          <w:szCs w:val="24"/>
          <w:lang w:val="el-GR"/>
        </w:rPr>
        <w:t>από</w:t>
      </w:r>
      <w:r w:rsidRPr="003B631B">
        <w:rPr>
          <w:rFonts w:cstheme="minorHAnsi"/>
          <w:sz w:val="24"/>
          <w:szCs w:val="24"/>
          <w:lang w:val="el-GR"/>
        </w:rPr>
        <w:t xml:space="preserve"> </w:t>
      </w:r>
      <w:r>
        <w:rPr>
          <w:rFonts w:cstheme="minorHAnsi"/>
          <w:sz w:val="24"/>
          <w:szCs w:val="24"/>
          <w:lang w:val="el-GR"/>
        </w:rPr>
        <w:t>ένα</w:t>
      </w:r>
      <w:r w:rsidRPr="003B631B">
        <w:rPr>
          <w:rFonts w:cstheme="minorHAnsi"/>
          <w:sz w:val="24"/>
          <w:szCs w:val="24"/>
          <w:lang w:val="el-GR"/>
        </w:rPr>
        <w:t xml:space="preserve"> </w:t>
      </w:r>
      <w:r>
        <w:rPr>
          <w:rFonts w:cstheme="minorHAnsi"/>
          <w:sz w:val="24"/>
          <w:szCs w:val="24"/>
          <w:lang w:val="el-GR"/>
        </w:rPr>
        <w:t>Βοηθό</w:t>
      </w:r>
      <w:r w:rsidRPr="003B631B">
        <w:rPr>
          <w:rFonts w:cstheme="minorHAnsi"/>
          <w:sz w:val="24"/>
          <w:szCs w:val="24"/>
          <w:lang w:val="el-GR"/>
        </w:rPr>
        <w:t xml:space="preserve"> </w:t>
      </w:r>
      <w:r>
        <w:rPr>
          <w:rFonts w:cstheme="minorHAnsi"/>
          <w:sz w:val="24"/>
          <w:szCs w:val="24"/>
          <w:lang w:val="el-GR"/>
        </w:rPr>
        <w:t>Αρχηγό</w:t>
      </w:r>
      <w:r w:rsidR="00220066" w:rsidRPr="003B631B">
        <w:rPr>
          <w:rFonts w:cstheme="minorHAnsi"/>
          <w:sz w:val="24"/>
          <w:szCs w:val="24"/>
          <w:lang w:val="el-GR"/>
        </w:rPr>
        <w:t xml:space="preserve"> </w:t>
      </w:r>
      <w:r>
        <w:rPr>
          <w:rFonts w:cstheme="minorHAnsi"/>
          <w:sz w:val="24"/>
          <w:szCs w:val="24"/>
          <w:lang w:val="el-GR"/>
        </w:rPr>
        <w:t>ως</w:t>
      </w:r>
      <w:r w:rsidRPr="003B631B">
        <w:rPr>
          <w:rFonts w:cstheme="minorHAnsi"/>
          <w:sz w:val="24"/>
          <w:szCs w:val="24"/>
          <w:lang w:val="el-GR"/>
        </w:rPr>
        <w:t xml:space="preserve"> </w:t>
      </w:r>
      <w:r>
        <w:rPr>
          <w:rFonts w:cstheme="minorHAnsi"/>
          <w:sz w:val="24"/>
          <w:szCs w:val="24"/>
          <w:lang w:val="el-GR"/>
        </w:rPr>
        <w:t>πρόεδρος</w:t>
      </w:r>
      <w:r w:rsidRPr="003B631B">
        <w:rPr>
          <w:rFonts w:cstheme="minorHAnsi"/>
          <w:sz w:val="24"/>
          <w:szCs w:val="24"/>
          <w:lang w:val="el-GR"/>
        </w:rPr>
        <w:t xml:space="preserve"> </w:t>
      </w:r>
      <w:r>
        <w:rPr>
          <w:rFonts w:cstheme="minorHAnsi"/>
          <w:sz w:val="24"/>
          <w:szCs w:val="24"/>
          <w:lang w:val="el-GR"/>
        </w:rPr>
        <w:t>και</w:t>
      </w:r>
      <w:r w:rsidRPr="003B631B">
        <w:rPr>
          <w:rFonts w:cstheme="minorHAnsi"/>
          <w:sz w:val="24"/>
          <w:szCs w:val="24"/>
          <w:lang w:val="el-GR"/>
        </w:rPr>
        <w:t xml:space="preserve"> </w:t>
      </w:r>
      <w:r>
        <w:rPr>
          <w:rFonts w:cstheme="minorHAnsi"/>
          <w:sz w:val="24"/>
          <w:szCs w:val="24"/>
          <w:lang w:val="el-GR"/>
        </w:rPr>
        <w:t>δύο</w:t>
      </w:r>
      <w:r w:rsidRPr="003B631B">
        <w:rPr>
          <w:rFonts w:cstheme="minorHAnsi"/>
          <w:sz w:val="24"/>
          <w:szCs w:val="24"/>
          <w:lang w:val="el-GR"/>
        </w:rPr>
        <w:t xml:space="preserve"> </w:t>
      </w:r>
      <w:r>
        <w:rPr>
          <w:rFonts w:cstheme="minorHAnsi"/>
          <w:sz w:val="24"/>
          <w:szCs w:val="24"/>
          <w:lang w:val="el-GR"/>
        </w:rPr>
        <w:t>Ανώτεροι Αξιωματούχοι ως μέλη</w:t>
      </w:r>
      <w:r w:rsidR="003D7102">
        <w:rPr>
          <w:rFonts w:cstheme="minorHAnsi"/>
          <w:sz w:val="24"/>
          <w:szCs w:val="24"/>
          <w:lang w:val="el-GR"/>
        </w:rPr>
        <w:t>,</w:t>
      </w:r>
      <w:r>
        <w:rPr>
          <w:rFonts w:cstheme="minorHAnsi"/>
          <w:sz w:val="24"/>
          <w:szCs w:val="24"/>
          <w:lang w:val="el-GR"/>
        </w:rPr>
        <w:t xml:space="preserve"> και η </w:t>
      </w:r>
      <w:r w:rsidR="003D7102">
        <w:rPr>
          <w:rFonts w:cstheme="minorHAnsi"/>
          <w:sz w:val="24"/>
          <w:szCs w:val="24"/>
          <w:lang w:val="el-GR"/>
        </w:rPr>
        <w:t>τ</w:t>
      </w:r>
      <w:r>
        <w:rPr>
          <w:rFonts w:cstheme="minorHAnsi"/>
          <w:sz w:val="24"/>
          <w:szCs w:val="24"/>
          <w:lang w:val="el-GR"/>
        </w:rPr>
        <w:t xml:space="preserve">ρίτη αποτελείται από τον </w:t>
      </w:r>
      <w:r w:rsidR="002E5EC0">
        <w:rPr>
          <w:rFonts w:cstheme="minorHAnsi"/>
          <w:sz w:val="24"/>
          <w:szCs w:val="24"/>
          <w:lang w:val="el-GR"/>
        </w:rPr>
        <w:t>Υπαρχηγό</w:t>
      </w:r>
      <w:r>
        <w:rPr>
          <w:rFonts w:cstheme="minorHAnsi"/>
          <w:sz w:val="24"/>
          <w:szCs w:val="24"/>
          <w:lang w:val="el-GR"/>
        </w:rPr>
        <w:t xml:space="preserve"> και Ανώτεροι Αξιωματούχοι</w:t>
      </w:r>
      <w:r w:rsidR="00220066" w:rsidRPr="003B631B">
        <w:rPr>
          <w:rFonts w:cstheme="minorHAnsi"/>
          <w:sz w:val="24"/>
          <w:szCs w:val="24"/>
          <w:lang w:val="el-GR"/>
        </w:rPr>
        <w:t>.</w:t>
      </w:r>
    </w:p>
    <w:p w14:paraId="4DBA7E1A" w14:textId="77777777" w:rsidR="00220066" w:rsidRPr="003B631B" w:rsidRDefault="00220066" w:rsidP="00220066">
      <w:pPr>
        <w:tabs>
          <w:tab w:val="left" w:pos="709"/>
        </w:tabs>
        <w:rPr>
          <w:rFonts w:cstheme="minorHAnsi"/>
          <w:sz w:val="24"/>
          <w:szCs w:val="24"/>
          <w:lang w:val="el-GR"/>
        </w:rPr>
      </w:pPr>
    </w:p>
    <w:p w14:paraId="0684965F" w14:textId="02614897" w:rsidR="00220066" w:rsidRPr="00FE1201" w:rsidRDefault="003B631B"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Η</w:t>
      </w:r>
      <w:r w:rsidRPr="00FE1201">
        <w:rPr>
          <w:rFonts w:cstheme="minorHAnsi"/>
          <w:sz w:val="24"/>
          <w:szCs w:val="24"/>
          <w:lang w:val="el-GR"/>
        </w:rPr>
        <w:t xml:space="preserve"> </w:t>
      </w:r>
      <w:r>
        <w:rPr>
          <w:rFonts w:cstheme="minorHAnsi"/>
          <w:sz w:val="24"/>
          <w:szCs w:val="24"/>
          <w:lang w:val="el-GR"/>
        </w:rPr>
        <w:t>μετάθεση</w:t>
      </w:r>
      <w:r w:rsidRPr="00FE1201">
        <w:rPr>
          <w:rFonts w:cstheme="minorHAnsi"/>
          <w:sz w:val="24"/>
          <w:szCs w:val="24"/>
          <w:lang w:val="el-GR"/>
        </w:rPr>
        <w:t xml:space="preserve"> </w:t>
      </w:r>
      <w:r>
        <w:rPr>
          <w:rFonts w:cstheme="minorHAnsi"/>
          <w:sz w:val="24"/>
          <w:szCs w:val="24"/>
          <w:lang w:val="el-GR"/>
        </w:rPr>
        <w:t>των</w:t>
      </w:r>
      <w:r w:rsidRPr="00FE1201">
        <w:rPr>
          <w:rFonts w:cstheme="minorHAnsi"/>
          <w:sz w:val="24"/>
          <w:szCs w:val="24"/>
          <w:lang w:val="el-GR"/>
        </w:rPr>
        <w:t xml:space="preserve"> </w:t>
      </w:r>
      <w:r>
        <w:rPr>
          <w:rFonts w:cstheme="minorHAnsi"/>
          <w:sz w:val="24"/>
          <w:szCs w:val="24"/>
          <w:lang w:val="el-GR"/>
        </w:rPr>
        <w:t>ΑΕΝ</w:t>
      </w:r>
      <w:r w:rsidR="00220066" w:rsidRPr="00FE1201">
        <w:rPr>
          <w:rFonts w:cstheme="minorHAnsi"/>
          <w:sz w:val="24"/>
          <w:szCs w:val="24"/>
          <w:lang w:val="el-GR"/>
        </w:rPr>
        <w:t xml:space="preserve"> </w:t>
      </w:r>
      <w:r w:rsidR="00FE1201">
        <w:rPr>
          <w:rFonts w:cstheme="minorHAnsi"/>
          <w:sz w:val="24"/>
          <w:szCs w:val="24"/>
          <w:lang w:val="el-GR"/>
        </w:rPr>
        <w:t>αποφασίζεται</w:t>
      </w:r>
      <w:r w:rsidR="00FE1201" w:rsidRPr="00FE1201">
        <w:rPr>
          <w:rFonts w:cstheme="minorHAnsi"/>
          <w:sz w:val="24"/>
          <w:szCs w:val="24"/>
          <w:lang w:val="el-GR"/>
        </w:rPr>
        <w:t xml:space="preserve"> </w:t>
      </w:r>
      <w:r w:rsidR="00FE1201">
        <w:rPr>
          <w:rFonts w:cstheme="minorHAnsi"/>
          <w:sz w:val="24"/>
          <w:szCs w:val="24"/>
          <w:lang w:val="el-GR"/>
        </w:rPr>
        <w:t xml:space="preserve">από τον Αρχηγό της </w:t>
      </w:r>
      <w:r w:rsidR="009C4E34">
        <w:rPr>
          <w:rFonts w:cstheme="minorHAnsi"/>
          <w:sz w:val="24"/>
          <w:szCs w:val="24"/>
          <w:lang w:val="el-GR"/>
        </w:rPr>
        <w:t>Αστυνομία</w:t>
      </w:r>
      <w:r w:rsidR="00FE1201">
        <w:rPr>
          <w:rFonts w:cstheme="minorHAnsi"/>
          <w:sz w:val="24"/>
          <w:szCs w:val="24"/>
          <w:lang w:val="el-GR"/>
        </w:rPr>
        <w:t>ς</w:t>
      </w:r>
      <w:r w:rsidR="00220066" w:rsidRPr="00FE1201">
        <w:rPr>
          <w:rFonts w:cstheme="minorHAnsi"/>
          <w:sz w:val="24"/>
          <w:szCs w:val="24"/>
          <w:lang w:val="el-GR"/>
        </w:rPr>
        <w:t xml:space="preserve">. </w:t>
      </w:r>
      <w:r w:rsidR="00FE1201">
        <w:rPr>
          <w:rFonts w:cstheme="minorHAnsi"/>
          <w:sz w:val="24"/>
          <w:szCs w:val="24"/>
          <w:lang w:val="el-GR"/>
        </w:rPr>
        <w:t>Η</w:t>
      </w:r>
      <w:r w:rsidR="00FE1201" w:rsidRPr="00FE1201">
        <w:rPr>
          <w:rFonts w:cstheme="minorHAnsi"/>
          <w:sz w:val="24"/>
          <w:szCs w:val="24"/>
          <w:lang w:val="el-GR"/>
        </w:rPr>
        <w:t xml:space="preserve"> </w:t>
      </w:r>
      <w:r w:rsidR="00FE1201">
        <w:rPr>
          <w:rFonts w:cstheme="minorHAnsi"/>
          <w:sz w:val="24"/>
          <w:szCs w:val="24"/>
          <w:lang w:val="el-GR"/>
        </w:rPr>
        <w:t>αρχή</w:t>
      </w:r>
      <w:r w:rsidR="00FE1201" w:rsidRPr="00FE1201">
        <w:rPr>
          <w:rFonts w:cstheme="minorHAnsi"/>
          <w:sz w:val="24"/>
          <w:szCs w:val="24"/>
          <w:lang w:val="el-GR"/>
        </w:rPr>
        <w:t xml:space="preserve"> </w:t>
      </w:r>
      <w:r w:rsidR="00FE1201">
        <w:rPr>
          <w:rFonts w:cstheme="minorHAnsi"/>
          <w:sz w:val="24"/>
          <w:szCs w:val="24"/>
          <w:lang w:val="el-GR"/>
        </w:rPr>
        <w:t>της</w:t>
      </w:r>
      <w:r w:rsidR="00FE1201" w:rsidRPr="00FE1201">
        <w:rPr>
          <w:rFonts w:cstheme="minorHAnsi"/>
          <w:sz w:val="24"/>
          <w:szCs w:val="24"/>
          <w:lang w:val="el-GR"/>
        </w:rPr>
        <w:t xml:space="preserve"> </w:t>
      </w:r>
      <w:proofErr w:type="spellStart"/>
      <w:r w:rsidR="00FE1201">
        <w:rPr>
          <w:rFonts w:cstheme="minorHAnsi"/>
          <w:sz w:val="24"/>
          <w:szCs w:val="24"/>
          <w:lang w:val="el-GR"/>
        </w:rPr>
        <w:t>εναλλαξιμότητας</w:t>
      </w:r>
      <w:proofErr w:type="spellEnd"/>
      <w:r w:rsidR="00FE1201" w:rsidRPr="00FE1201">
        <w:rPr>
          <w:rFonts w:cstheme="minorHAnsi"/>
          <w:sz w:val="24"/>
          <w:szCs w:val="24"/>
          <w:lang w:val="el-GR"/>
        </w:rPr>
        <w:t xml:space="preserve"> </w:t>
      </w:r>
      <w:r w:rsidR="00FE1201">
        <w:rPr>
          <w:rFonts w:cstheme="minorHAnsi"/>
          <w:sz w:val="24"/>
          <w:szCs w:val="24"/>
          <w:lang w:val="el-GR"/>
        </w:rPr>
        <w:t>εφαρμόζεται</w:t>
      </w:r>
      <w:r w:rsidR="00FE1201" w:rsidRPr="00FE1201">
        <w:rPr>
          <w:rFonts w:cstheme="minorHAnsi"/>
          <w:sz w:val="24"/>
          <w:szCs w:val="24"/>
          <w:lang w:val="el-GR"/>
        </w:rPr>
        <w:t xml:space="preserve"> </w:t>
      </w:r>
      <w:r w:rsidR="00FE1201">
        <w:rPr>
          <w:rFonts w:cstheme="minorHAnsi"/>
          <w:sz w:val="24"/>
          <w:szCs w:val="24"/>
          <w:lang w:val="el-GR"/>
        </w:rPr>
        <w:t>στην</w:t>
      </w:r>
      <w:r w:rsidR="00FE1201" w:rsidRPr="00FE1201">
        <w:rPr>
          <w:rFonts w:cstheme="minorHAnsi"/>
          <w:sz w:val="24"/>
          <w:szCs w:val="24"/>
          <w:lang w:val="el-GR"/>
        </w:rPr>
        <w:t xml:space="preserve"> </w:t>
      </w:r>
      <w:r w:rsidR="009C4E34">
        <w:rPr>
          <w:rFonts w:cstheme="minorHAnsi"/>
          <w:sz w:val="24"/>
          <w:szCs w:val="24"/>
          <w:lang w:val="el-GR"/>
        </w:rPr>
        <w:t>Αστυνομία</w:t>
      </w:r>
      <w:r w:rsidR="00220066" w:rsidRPr="00FE1201">
        <w:rPr>
          <w:rFonts w:cstheme="minorHAnsi"/>
          <w:sz w:val="24"/>
          <w:szCs w:val="24"/>
          <w:lang w:val="el-GR"/>
        </w:rPr>
        <w:t xml:space="preserve"> (</w:t>
      </w:r>
      <w:r w:rsidR="00FE1201">
        <w:rPr>
          <w:rFonts w:cstheme="minorHAnsi"/>
          <w:sz w:val="24"/>
          <w:szCs w:val="24"/>
          <w:lang w:val="el-GR"/>
        </w:rPr>
        <w:t>ανώτατο</w:t>
      </w:r>
      <w:r w:rsidR="00FE1201" w:rsidRPr="00FE1201">
        <w:rPr>
          <w:rFonts w:cstheme="minorHAnsi"/>
          <w:sz w:val="24"/>
          <w:szCs w:val="24"/>
          <w:lang w:val="el-GR"/>
        </w:rPr>
        <w:t xml:space="preserve"> </w:t>
      </w:r>
      <w:r w:rsidR="00FE1201">
        <w:rPr>
          <w:rFonts w:cstheme="minorHAnsi"/>
          <w:sz w:val="24"/>
          <w:szCs w:val="24"/>
          <w:lang w:val="el-GR"/>
        </w:rPr>
        <w:t>όριο</w:t>
      </w:r>
      <w:r w:rsidR="00FE1201" w:rsidRPr="00FE1201">
        <w:rPr>
          <w:rFonts w:cstheme="minorHAnsi"/>
          <w:sz w:val="24"/>
          <w:szCs w:val="24"/>
          <w:lang w:val="el-GR"/>
        </w:rPr>
        <w:t xml:space="preserve"> </w:t>
      </w:r>
      <w:r w:rsidR="00FE1201">
        <w:rPr>
          <w:rFonts w:cstheme="minorHAnsi"/>
          <w:sz w:val="24"/>
          <w:szCs w:val="24"/>
          <w:lang w:val="el-GR"/>
        </w:rPr>
        <w:t>χρόνου</w:t>
      </w:r>
      <w:r w:rsidR="00FE1201" w:rsidRPr="00FE1201">
        <w:rPr>
          <w:rFonts w:cstheme="minorHAnsi"/>
          <w:sz w:val="24"/>
          <w:szCs w:val="24"/>
          <w:lang w:val="el-GR"/>
        </w:rPr>
        <w:t xml:space="preserve"> </w:t>
      </w:r>
      <w:r w:rsidR="00FE1201">
        <w:rPr>
          <w:rFonts w:cstheme="minorHAnsi"/>
          <w:sz w:val="24"/>
          <w:szCs w:val="24"/>
          <w:lang w:val="el-GR"/>
        </w:rPr>
        <w:t>υπηρεσίας</w:t>
      </w:r>
      <w:r w:rsidR="00FE1201" w:rsidRPr="00FE1201">
        <w:rPr>
          <w:rFonts w:cstheme="minorHAnsi"/>
          <w:sz w:val="24"/>
          <w:szCs w:val="24"/>
          <w:lang w:val="el-GR"/>
        </w:rPr>
        <w:t xml:space="preserve"> </w:t>
      </w:r>
      <w:r w:rsidR="00FE1201">
        <w:rPr>
          <w:rFonts w:cstheme="minorHAnsi"/>
          <w:sz w:val="24"/>
          <w:szCs w:val="24"/>
          <w:lang w:val="el-GR"/>
        </w:rPr>
        <w:t>σε</w:t>
      </w:r>
      <w:r w:rsidR="00FE1201" w:rsidRPr="00FE1201">
        <w:rPr>
          <w:rFonts w:cstheme="minorHAnsi"/>
          <w:sz w:val="24"/>
          <w:szCs w:val="24"/>
          <w:lang w:val="el-GR"/>
        </w:rPr>
        <w:t xml:space="preserve"> </w:t>
      </w:r>
      <w:r w:rsidR="00FE1201">
        <w:rPr>
          <w:rFonts w:cstheme="minorHAnsi"/>
          <w:sz w:val="24"/>
          <w:szCs w:val="24"/>
          <w:lang w:val="el-GR"/>
        </w:rPr>
        <w:t>συγκεκριμένα</w:t>
      </w:r>
      <w:r w:rsidR="00FE1201" w:rsidRPr="00FE1201">
        <w:rPr>
          <w:rFonts w:cstheme="minorHAnsi"/>
          <w:sz w:val="24"/>
          <w:szCs w:val="24"/>
          <w:lang w:val="el-GR"/>
        </w:rPr>
        <w:t xml:space="preserve"> </w:t>
      </w:r>
      <w:r w:rsidR="00FE1201">
        <w:rPr>
          <w:rFonts w:cstheme="minorHAnsi"/>
          <w:sz w:val="24"/>
          <w:szCs w:val="24"/>
          <w:lang w:val="el-GR"/>
        </w:rPr>
        <w:t>τμήματα</w:t>
      </w:r>
      <w:r w:rsidR="00220066" w:rsidRPr="00FE1201">
        <w:rPr>
          <w:rFonts w:cstheme="minorHAnsi"/>
          <w:sz w:val="24"/>
          <w:szCs w:val="24"/>
          <w:lang w:val="el-GR"/>
        </w:rPr>
        <w:t xml:space="preserve">, </w:t>
      </w:r>
      <w:r w:rsidR="00FE1201">
        <w:rPr>
          <w:rFonts w:cstheme="minorHAnsi"/>
          <w:sz w:val="24"/>
          <w:szCs w:val="24"/>
          <w:lang w:val="el-GR"/>
        </w:rPr>
        <w:t>υπηρεσίες</w:t>
      </w:r>
      <w:r w:rsidR="00220066" w:rsidRPr="00FE1201">
        <w:rPr>
          <w:rFonts w:cstheme="minorHAnsi"/>
          <w:sz w:val="24"/>
          <w:szCs w:val="24"/>
          <w:lang w:val="el-GR"/>
        </w:rPr>
        <w:t xml:space="preserve">, </w:t>
      </w:r>
      <w:r w:rsidR="00FE1201">
        <w:rPr>
          <w:rFonts w:cstheme="minorHAnsi"/>
          <w:sz w:val="24"/>
          <w:szCs w:val="24"/>
          <w:lang w:val="el-GR"/>
        </w:rPr>
        <w:t>και μονάδες</w:t>
      </w:r>
      <w:r w:rsidR="00220066" w:rsidRPr="00FE1201">
        <w:rPr>
          <w:rFonts w:cstheme="minorHAnsi"/>
          <w:sz w:val="24"/>
          <w:szCs w:val="24"/>
          <w:lang w:val="el-GR"/>
        </w:rPr>
        <w:t xml:space="preserve">, </w:t>
      </w:r>
      <w:r w:rsidR="00FE1201">
        <w:rPr>
          <w:rFonts w:cstheme="minorHAnsi"/>
          <w:sz w:val="24"/>
          <w:szCs w:val="24"/>
          <w:lang w:val="el-GR"/>
        </w:rPr>
        <w:t>λόγω της ειδικότητας των καθηκόντων τους</w:t>
      </w:r>
      <w:r w:rsidR="00220066" w:rsidRPr="00FE1201">
        <w:rPr>
          <w:rFonts w:cstheme="minorHAnsi"/>
          <w:sz w:val="24"/>
          <w:szCs w:val="24"/>
          <w:lang w:val="el-GR"/>
        </w:rPr>
        <w:t xml:space="preserve">, </w:t>
      </w:r>
      <w:r w:rsidR="00FE1201">
        <w:rPr>
          <w:rFonts w:cstheme="minorHAnsi"/>
          <w:sz w:val="24"/>
          <w:szCs w:val="24"/>
          <w:lang w:val="el-GR"/>
        </w:rPr>
        <w:t>κλπ</w:t>
      </w:r>
      <w:r w:rsidR="00220066" w:rsidRPr="00FE1201">
        <w:rPr>
          <w:rFonts w:cstheme="minorHAnsi"/>
          <w:sz w:val="24"/>
          <w:szCs w:val="24"/>
          <w:lang w:val="el-GR"/>
        </w:rPr>
        <w:t xml:space="preserve">.), </w:t>
      </w:r>
      <w:r w:rsidR="00FE1201">
        <w:rPr>
          <w:rFonts w:cstheme="minorHAnsi"/>
          <w:sz w:val="24"/>
          <w:szCs w:val="24"/>
          <w:lang w:val="el-GR"/>
        </w:rPr>
        <w:t>βάσει της πρόνοιας του Αστυνομικού Διατάγματος</w:t>
      </w:r>
      <w:r w:rsidR="00220066" w:rsidRPr="00FE1201">
        <w:rPr>
          <w:rFonts w:cstheme="minorHAnsi"/>
          <w:sz w:val="24"/>
          <w:szCs w:val="24"/>
          <w:lang w:val="el-GR"/>
        </w:rPr>
        <w:t xml:space="preserve"> 1/13. </w:t>
      </w:r>
      <w:r w:rsidR="00FE1201">
        <w:rPr>
          <w:rFonts w:cstheme="minorHAnsi"/>
          <w:sz w:val="24"/>
          <w:szCs w:val="24"/>
          <w:lang w:val="el-GR"/>
        </w:rPr>
        <w:t>Ανάλογα</w:t>
      </w:r>
      <w:r w:rsidR="00220066" w:rsidRPr="00FE1201">
        <w:rPr>
          <w:rFonts w:cstheme="minorHAnsi"/>
          <w:sz w:val="24"/>
          <w:szCs w:val="24"/>
          <w:lang w:val="el-GR"/>
        </w:rPr>
        <w:t xml:space="preserve">, </w:t>
      </w:r>
      <w:r w:rsidR="00FE1201">
        <w:rPr>
          <w:rFonts w:cstheme="minorHAnsi"/>
          <w:sz w:val="24"/>
          <w:szCs w:val="24"/>
          <w:lang w:val="el-GR"/>
        </w:rPr>
        <w:t>ένα</w:t>
      </w:r>
      <w:r w:rsidR="00FE1201" w:rsidRPr="00FE1201">
        <w:rPr>
          <w:rFonts w:cstheme="minorHAnsi"/>
          <w:sz w:val="24"/>
          <w:szCs w:val="24"/>
          <w:lang w:val="el-GR"/>
        </w:rPr>
        <w:t xml:space="preserve"> </w:t>
      </w:r>
      <w:r w:rsidR="00FE1201">
        <w:rPr>
          <w:rFonts w:cstheme="minorHAnsi"/>
          <w:sz w:val="24"/>
          <w:szCs w:val="24"/>
          <w:lang w:val="el-GR"/>
        </w:rPr>
        <w:t>ανώτατο</w:t>
      </w:r>
      <w:r w:rsidR="00FE1201" w:rsidRPr="00FE1201">
        <w:rPr>
          <w:rFonts w:cstheme="minorHAnsi"/>
          <w:sz w:val="24"/>
          <w:szCs w:val="24"/>
          <w:lang w:val="el-GR"/>
        </w:rPr>
        <w:t xml:space="preserve"> </w:t>
      </w:r>
      <w:r w:rsidR="00FE1201">
        <w:rPr>
          <w:rFonts w:cstheme="minorHAnsi"/>
          <w:sz w:val="24"/>
          <w:szCs w:val="24"/>
          <w:lang w:val="el-GR"/>
        </w:rPr>
        <w:t>όριο</w:t>
      </w:r>
      <w:r w:rsidR="00FE1201" w:rsidRPr="00FE1201">
        <w:rPr>
          <w:rFonts w:cstheme="minorHAnsi"/>
          <w:sz w:val="24"/>
          <w:szCs w:val="24"/>
          <w:lang w:val="el-GR"/>
        </w:rPr>
        <w:t xml:space="preserve"> </w:t>
      </w:r>
      <w:r w:rsidR="00FE1201">
        <w:rPr>
          <w:rFonts w:cstheme="minorHAnsi"/>
          <w:sz w:val="24"/>
          <w:szCs w:val="24"/>
          <w:lang w:val="el-GR"/>
        </w:rPr>
        <w:t>χρόνου</w:t>
      </w:r>
      <w:r w:rsidR="00FE1201" w:rsidRPr="00FE1201">
        <w:rPr>
          <w:rFonts w:cstheme="minorHAnsi"/>
          <w:sz w:val="24"/>
          <w:szCs w:val="24"/>
          <w:lang w:val="el-GR"/>
        </w:rPr>
        <w:t xml:space="preserve"> </w:t>
      </w:r>
      <w:r w:rsidR="00FE1201">
        <w:rPr>
          <w:rFonts w:cstheme="minorHAnsi"/>
          <w:sz w:val="24"/>
          <w:szCs w:val="24"/>
          <w:lang w:val="el-GR"/>
        </w:rPr>
        <w:t>καθορίζεται</w:t>
      </w:r>
      <w:r w:rsidR="00FE1201" w:rsidRPr="00FE1201">
        <w:rPr>
          <w:rFonts w:cstheme="minorHAnsi"/>
          <w:sz w:val="24"/>
          <w:szCs w:val="24"/>
          <w:lang w:val="el-GR"/>
        </w:rPr>
        <w:t xml:space="preserve"> </w:t>
      </w:r>
      <w:r w:rsidR="00FE1201">
        <w:rPr>
          <w:rFonts w:cstheme="minorHAnsi"/>
          <w:sz w:val="24"/>
          <w:szCs w:val="24"/>
          <w:lang w:val="el-GR"/>
        </w:rPr>
        <w:t>για</w:t>
      </w:r>
      <w:r w:rsidR="00FE1201" w:rsidRPr="00FE1201">
        <w:rPr>
          <w:rFonts w:cstheme="minorHAnsi"/>
          <w:sz w:val="24"/>
          <w:szCs w:val="24"/>
          <w:lang w:val="el-GR"/>
        </w:rPr>
        <w:t xml:space="preserve"> </w:t>
      </w:r>
      <w:r w:rsidR="00FE1201">
        <w:rPr>
          <w:rFonts w:cstheme="minorHAnsi"/>
          <w:sz w:val="24"/>
          <w:szCs w:val="24"/>
          <w:lang w:val="el-GR"/>
        </w:rPr>
        <w:t>μια</w:t>
      </w:r>
      <w:r w:rsidR="00FE1201" w:rsidRPr="00FE1201">
        <w:rPr>
          <w:rFonts w:cstheme="minorHAnsi"/>
          <w:sz w:val="24"/>
          <w:szCs w:val="24"/>
          <w:lang w:val="el-GR"/>
        </w:rPr>
        <w:t xml:space="preserve"> </w:t>
      </w:r>
      <w:r w:rsidR="00FE1201">
        <w:rPr>
          <w:rFonts w:cstheme="minorHAnsi"/>
          <w:sz w:val="24"/>
          <w:szCs w:val="24"/>
          <w:lang w:val="el-GR"/>
        </w:rPr>
        <w:t>υπηρεσία</w:t>
      </w:r>
      <w:r w:rsidR="00220066" w:rsidRPr="00FE1201">
        <w:rPr>
          <w:rFonts w:cstheme="minorHAnsi"/>
          <w:sz w:val="24"/>
          <w:szCs w:val="24"/>
          <w:lang w:val="el-GR"/>
        </w:rPr>
        <w:t xml:space="preserve">, </w:t>
      </w:r>
      <w:r w:rsidR="00FE1201">
        <w:rPr>
          <w:rFonts w:cstheme="minorHAnsi"/>
          <w:sz w:val="24"/>
          <w:szCs w:val="24"/>
          <w:lang w:val="el-GR"/>
        </w:rPr>
        <w:t>που</w:t>
      </w:r>
      <w:r w:rsidR="00FE1201" w:rsidRPr="00FE1201">
        <w:rPr>
          <w:rFonts w:cstheme="minorHAnsi"/>
          <w:sz w:val="24"/>
          <w:szCs w:val="24"/>
          <w:lang w:val="el-GR"/>
        </w:rPr>
        <w:t xml:space="preserve"> </w:t>
      </w:r>
      <w:r w:rsidR="00FE1201">
        <w:rPr>
          <w:rFonts w:cstheme="minorHAnsi"/>
          <w:sz w:val="24"/>
          <w:szCs w:val="24"/>
          <w:lang w:val="el-GR"/>
        </w:rPr>
        <w:t>κυμαίνεται</w:t>
      </w:r>
      <w:r w:rsidR="00FE1201" w:rsidRPr="00FE1201">
        <w:rPr>
          <w:rFonts w:cstheme="minorHAnsi"/>
          <w:sz w:val="24"/>
          <w:szCs w:val="24"/>
          <w:lang w:val="el-GR"/>
        </w:rPr>
        <w:t xml:space="preserve"> </w:t>
      </w:r>
      <w:r w:rsidR="00FE1201">
        <w:rPr>
          <w:rFonts w:cstheme="minorHAnsi"/>
          <w:sz w:val="24"/>
          <w:szCs w:val="24"/>
          <w:lang w:val="el-GR"/>
        </w:rPr>
        <w:t>από</w:t>
      </w:r>
      <w:r w:rsidR="00FE1201" w:rsidRPr="00FE1201">
        <w:rPr>
          <w:rFonts w:cstheme="minorHAnsi"/>
          <w:sz w:val="24"/>
          <w:szCs w:val="24"/>
          <w:lang w:val="el-GR"/>
        </w:rPr>
        <w:t xml:space="preserve"> </w:t>
      </w:r>
      <w:r w:rsidR="00FE1201">
        <w:rPr>
          <w:rFonts w:cstheme="minorHAnsi"/>
          <w:sz w:val="24"/>
          <w:szCs w:val="24"/>
          <w:lang w:val="el-GR"/>
        </w:rPr>
        <w:t>πέντε</w:t>
      </w:r>
      <w:r w:rsidR="00FE1201" w:rsidRPr="00FE1201">
        <w:rPr>
          <w:rFonts w:cstheme="minorHAnsi"/>
          <w:sz w:val="24"/>
          <w:szCs w:val="24"/>
          <w:lang w:val="el-GR"/>
        </w:rPr>
        <w:t xml:space="preserve"> </w:t>
      </w:r>
      <w:r w:rsidR="00FE1201">
        <w:rPr>
          <w:rFonts w:cstheme="minorHAnsi"/>
          <w:sz w:val="24"/>
          <w:szCs w:val="24"/>
          <w:lang w:val="el-GR"/>
        </w:rPr>
        <w:t>ως</w:t>
      </w:r>
      <w:r w:rsidR="00FE1201" w:rsidRPr="00FE1201">
        <w:rPr>
          <w:rFonts w:cstheme="minorHAnsi"/>
          <w:sz w:val="24"/>
          <w:szCs w:val="24"/>
          <w:lang w:val="el-GR"/>
        </w:rPr>
        <w:t xml:space="preserve"> </w:t>
      </w:r>
      <w:r w:rsidR="00FE1201">
        <w:rPr>
          <w:rFonts w:cstheme="minorHAnsi"/>
          <w:sz w:val="24"/>
          <w:szCs w:val="24"/>
          <w:lang w:val="el-GR"/>
        </w:rPr>
        <w:t>επτά</w:t>
      </w:r>
      <w:r w:rsidR="00FE1201" w:rsidRPr="00FE1201">
        <w:rPr>
          <w:rFonts w:cstheme="minorHAnsi"/>
          <w:sz w:val="24"/>
          <w:szCs w:val="24"/>
          <w:lang w:val="el-GR"/>
        </w:rPr>
        <w:t xml:space="preserve"> </w:t>
      </w:r>
      <w:r w:rsidR="00FE1201">
        <w:rPr>
          <w:rFonts w:cstheme="minorHAnsi"/>
          <w:sz w:val="24"/>
          <w:szCs w:val="24"/>
          <w:lang w:val="el-GR"/>
        </w:rPr>
        <w:t>χρόνια</w:t>
      </w:r>
      <w:r w:rsidR="00220066" w:rsidRPr="00FE1201">
        <w:rPr>
          <w:rFonts w:cstheme="minorHAnsi"/>
          <w:sz w:val="24"/>
          <w:szCs w:val="24"/>
          <w:lang w:val="el-GR"/>
        </w:rPr>
        <w:t xml:space="preserve">, </w:t>
      </w:r>
      <w:r w:rsidR="00FE1201">
        <w:rPr>
          <w:rFonts w:cstheme="minorHAnsi"/>
          <w:sz w:val="24"/>
          <w:szCs w:val="24"/>
          <w:lang w:val="el-GR"/>
        </w:rPr>
        <w:t>σε</w:t>
      </w:r>
      <w:r w:rsidR="00FE1201" w:rsidRPr="00FE1201">
        <w:rPr>
          <w:rFonts w:cstheme="minorHAnsi"/>
          <w:sz w:val="24"/>
          <w:szCs w:val="24"/>
          <w:lang w:val="el-GR"/>
        </w:rPr>
        <w:t xml:space="preserve"> </w:t>
      </w:r>
      <w:r w:rsidR="00FE1201">
        <w:rPr>
          <w:rFonts w:cstheme="minorHAnsi"/>
          <w:sz w:val="24"/>
          <w:szCs w:val="24"/>
          <w:lang w:val="el-GR"/>
        </w:rPr>
        <w:t>κάποια</w:t>
      </w:r>
      <w:r w:rsidR="00FE1201" w:rsidRPr="00FE1201">
        <w:rPr>
          <w:rFonts w:cstheme="minorHAnsi"/>
          <w:sz w:val="24"/>
          <w:szCs w:val="24"/>
          <w:lang w:val="el-GR"/>
        </w:rPr>
        <w:t xml:space="preserve"> </w:t>
      </w:r>
      <w:r w:rsidR="00FE1201">
        <w:rPr>
          <w:rFonts w:cstheme="minorHAnsi"/>
          <w:sz w:val="24"/>
          <w:szCs w:val="24"/>
          <w:lang w:val="el-GR"/>
        </w:rPr>
        <w:t xml:space="preserve">τμήματα/υπηρεσίες της </w:t>
      </w:r>
      <w:r w:rsidR="009C4E34">
        <w:rPr>
          <w:rFonts w:cstheme="minorHAnsi"/>
          <w:sz w:val="24"/>
          <w:szCs w:val="24"/>
          <w:lang w:val="el-GR"/>
        </w:rPr>
        <w:t>Αστυνομία</w:t>
      </w:r>
      <w:r w:rsidR="00FE1201">
        <w:rPr>
          <w:rFonts w:cstheme="minorHAnsi"/>
          <w:sz w:val="24"/>
          <w:szCs w:val="24"/>
          <w:lang w:val="el-GR"/>
        </w:rPr>
        <w:t>ς</w:t>
      </w:r>
      <w:r w:rsidR="00220066" w:rsidRPr="00FE1201">
        <w:rPr>
          <w:rFonts w:cstheme="minorHAnsi"/>
          <w:sz w:val="24"/>
          <w:szCs w:val="24"/>
          <w:lang w:val="el-GR"/>
        </w:rPr>
        <w:t xml:space="preserve">, </w:t>
      </w:r>
      <w:r w:rsidR="00FE1201">
        <w:rPr>
          <w:rFonts w:cstheme="minorHAnsi"/>
          <w:sz w:val="24"/>
          <w:szCs w:val="24"/>
          <w:lang w:val="el-GR"/>
        </w:rPr>
        <w:t>π</w:t>
      </w:r>
      <w:r w:rsidR="00220066" w:rsidRPr="00FE1201">
        <w:rPr>
          <w:rFonts w:cstheme="minorHAnsi"/>
          <w:sz w:val="24"/>
          <w:szCs w:val="24"/>
          <w:lang w:val="el-GR"/>
        </w:rPr>
        <w:t>.</w:t>
      </w:r>
      <w:r w:rsidR="00FE1201">
        <w:rPr>
          <w:rFonts w:cstheme="minorHAnsi"/>
          <w:sz w:val="24"/>
          <w:szCs w:val="24"/>
          <w:lang w:val="el-GR"/>
        </w:rPr>
        <w:t>χ</w:t>
      </w:r>
      <w:r w:rsidR="00220066" w:rsidRPr="00FE1201">
        <w:rPr>
          <w:rFonts w:cstheme="minorHAnsi"/>
          <w:sz w:val="24"/>
          <w:szCs w:val="24"/>
          <w:lang w:val="el-GR"/>
        </w:rPr>
        <w:t xml:space="preserve">. </w:t>
      </w:r>
      <w:r w:rsidR="002824E5">
        <w:rPr>
          <w:rFonts w:cstheme="minorHAnsi"/>
          <w:sz w:val="24"/>
          <w:szCs w:val="24"/>
          <w:lang w:val="el-GR"/>
        </w:rPr>
        <w:t>Υπηρεσία Καταπολέμησης Ναρκωτικών</w:t>
      </w:r>
      <w:r w:rsidR="00220066" w:rsidRPr="00FE1201">
        <w:rPr>
          <w:rFonts w:cstheme="minorHAnsi"/>
          <w:sz w:val="24"/>
          <w:szCs w:val="24"/>
          <w:lang w:val="el-GR"/>
        </w:rPr>
        <w:t xml:space="preserve">, </w:t>
      </w:r>
      <w:r w:rsidR="002824E5">
        <w:rPr>
          <w:rFonts w:cstheme="minorHAnsi"/>
          <w:sz w:val="24"/>
          <w:szCs w:val="24"/>
          <w:lang w:val="el-GR"/>
        </w:rPr>
        <w:t>Υπηρεσία Αλλοδαπών και Μετανάστευσης</w:t>
      </w:r>
      <w:r w:rsidR="00220066" w:rsidRPr="00FE1201">
        <w:rPr>
          <w:rFonts w:cstheme="minorHAnsi"/>
          <w:sz w:val="24"/>
          <w:szCs w:val="24"/>
          <w:lang w:val="el-GR"/>
        </w:rPr>
        <w:t xml:space="preserve">, </w:t>
      </w:r>
      <w:r w:rsidR="002824E5">
        <w:rPr>
          <w:rFonts w:cstheme="minorHAnsi"/>
          <w:sz w:val="24"/>
          <w:szCs w:val="24"/>
          <w:lang w:val="el-GR"/>
        </w:rPr>
        <w:t>Γραφείο Καταπολέμησης Αδικημάτων</w:t>
      </w:r>
      <w:r w:rsidR="00220066" w:rsidRPr="00FE1201">
        <w:rPr>
          <w:rFonts w:cstheme="minorHAnsi"/>
          <w:sz w:val="24"/>
          <w:szCs w:val="24"/>
          <w:lang w:val="el-GR"/>
        </w:rPr>
        <w:t xml:space="preserve"> </w:t>
      </w:r>
      <w:r w:rsidR="002824E5">
        <w:rPr>
          <w:rFonts w:cstheme="minorHAnsi"/>
          <w:sz w:val="24"/>
          <w:szCs w:val="24"/>
          <w:lang w:val="el-GR"/>
        </w:rPr>
        <w:t>Κλοπής Πνευματικής Ιδιοκτησίας</w:t>
      </w:r>
      <w:r w:rsidR="00220066" w:rsidRPr="00FE1201">
        <w:rPr>
          <w:rFonts w:cstheme="minorHAnsi"/>
          <w:sz w:val="24"/>
          <w:szCs w:val="24"/>
          <w:lang w:val="el-GR"/>
        </w:rPr>
        <w:t xml:space="preserve"> </w:t>
      </w:r>
      <w:r w:rsidR="002824E5">
        <w:rPr>
          <w:rFonts w:cstheme="minorHAnsi"/>
          <w:sz w:val="24"/>
          <w:szCs w:val="24"/>
          <w:lang w:val="el-GR"/>
        </w:rPr>
        <w:t>και Παράνομων Στοιχημάτων</w:t>
      </w:r>
      <w:r w:rsidR="00220066" w:rsidRPr="00FE1201">
        <w:rPr>
          <w:rFonts w:cstheme="minorHAnsi"/>
          <w:sz w:val="24"/>
          <w:szCs w:val="24"/>
          <w:lang w:val="el-GR"/>
        </w:rPr>
        <w:t xml:space="preserve">. </w:t>
      </w:r>
    </w:p>
    <w:p w14:paraId="278975B5" w14:textId="77777777" w:rsidR="00220066" w:rsidRPr="00FE1201" w:rsidRDefault="00220066" w:rsidP="00220066">
      <w:pPr>
        <w:pStyle w:val="ListParagraph"/>
        <w:rPr>
          <w:rFonts w:cstheme="minorHAnsi"/>
          <w:sz w:val="24"/>
          <w:szCs w:val="24"/>
          <w:lang w:val="el-GR"/>
        </w:rPr>
      </w:pPr>
    </w:p>
    <w:p w14:paraId="5F756743" w14:textId="149C5BFC" w:rsidR="00220066" w:rsidRPr="008D1129" w:rsidRDefault="002824E5"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Οι</w:t>
      </w:r>
      <w:r w:rsidRPr="002824E5">
        <w:rPr>
          <w:rFonts w:cstheme="minorHAnsi"/>
          <w:sz w:val="24"/>
          <w:szCs w:val="24"/>
          <w:lang w:val="el-GR"/>
        </w:rPr>
        <w:t xml:space="preserve"> </w:t>
      </w:r>
      <w:r>
        <w:rPr>
          <w:rFonts w:cstheme="minorHAnsi"/>
          <w:sz w:val="24"/>
          <w:szCs w:val="24"/>
          <w:lang w:val="el-GR"/>
        </w:rPr>
        <w:t>απαιτήσεις</w:t>
      </w:r>
      <w:r w:rsidRPr="002824E5">
        <w:rPr>
          <w:rFonts w:cstheme="minorHAnsi"/>
          <w:sz w:val="24"/>
          <w:szCs w:val="24"/>
          <w:lang w:val="el-GR"/>
        </w:rPr>
        <w:t xml:space="preserve"> </w:t>
      </w:r>
      <w:r>
        <w:rPr>
          <w:rFonts w:cstheme="minorHAnsi"/>
          <w:sz w:val="24"/>
          <w:szCs w:val="24"/>
          <w:lang w:val="el-GR"/>
        </w:rPr>
        <w:t>και</w:t>
      </w:r>
      <w:r w:rsidRPr="002824E5">
        <w:rPr>
          <w:rFonts w:cstheme="minorHAnsi"/>
          <w:sz w:val="24"/>
          <w:szCs w:val="24"/>
          <w:lang w:val="el-GR"/>
        </w:rPr>
        <w:t xml:space="preserve"> </w:t>
      </w:r>
      <w:r>
        <w:rPr>
          <w:rFonts w:cstheme="minorHAnsi"/>
          <w:sz w:val="24"/>
          <w:szCs w:val="24"/>
          <w:lang w:val="el-GR"/>
        </w:rPr>
        <w:t>οι</w:t>
      </w:r>
      <w:r w:rsidRPr="002824E5">
        <w:rPr>
          <w:rFonts w:cstheme="minorHAnsi"/>
          <w:sz w:val="24"/>
          <w:szCs w:val="24"/>
          <w:lang w:val="el-GR"/>
        </w:rPr>
        <w:t xml:space="preserve"> </w:t>
      </w:r>
      <w:r>
        <w:rPr>
          <w:rFonts w:cstheme="minorHAnsi"/>
          <w:sz w:val="24"/>
          <w:szCs w:val="24"/>
          <w:lang w:val="el-GR"/>
        </w:rPr>
        <w:t>διαδικασίες</w:t>
      </w:r>
      <w:r w:rsidRPr="002824E5">
        <w:rPr>
          <w:rFonts w:cstheme="minorHAnsi"/>
          <w:sz w:val="24"/>
          <w:szCs w:val="24"/>
          <w:lang w:val="el-GR"/>
        </w:rPr>
        <w:t xml:space="preserve"> </w:t>
      </w:r>
      <w:r>
        <w:rPr>
          <w:rFonts w:cstheme="minorHAnsi"/>
          <w:sz w:val="24"/>
          <w:szCs w:val="24"/>
          <w:lang w:val="el-GR"/>
        </w:rPr>
        <w:t>πρόσληψης</w:t>
      </w:r>
      <w:r w:rsidRPr="002824E5">
        <w:rPr>
          <w:rFonts w:cstheme="minorHAnsi"/>
          <w:sz w:val="24"/>
          <w:szCs w:val="24"/>
          <w:lang w:val="el-GR"/>
        </w:rPr>
        <w:t xml:space="preserve"> </w:t>
      </w:r>
      <w:r>
        <w:rPr>
          <w:rFonts w:cstheme="minorHAnsi"/>
          <w:sz w:val="24"/>
          <w:szCs w:val="24"/>
          <w:lang w:val="el-GR"/>
        </w:rPr>
        <w:t>στην</w:t>
      </w:r>
      <w:r w:rsidRPr="002824E5">
        <w:rPr>
          <w:rFonts w:cstheme="minorHAnsi"/>
          <w:sz w:val="24"/>
          <w:szCs w:val="24"/>
          <w:lang w:val="el-GR"/>
        </w:rPr>
        <w:t xml:space="preserve"> </w:t>
      </w:r>
      <w:r w:rsidR="009C4E34">
        <w:rPr>
          <w:rFonts w:cstheme="minorHAnsi"/>
          <w:sz w:val="24"/>
          <w:szCs w:val="24"/>
          <w:lang w:val="el-GR"/>
        </w:rPr>
        <w:t>Αστυνομία</w:t>
      </w:r>
      <w:r w:rsidR="00220066" w:rsidRPr="002824E5">
        <w:rPr>
          <w:rFonts w:cstheme="minorHAnsi"/>
          <w:sz w:val="24"/>
          <w:szCs w:val="24"/>
          <w:lang w:val="el-GR"/>
        </w:rPr>
        <w:t xml:space="preserve"> </w:t>
      </w:r>
      <w:r>
        <w:rPr>
          <w:rFonts w:cstheme="minorHAnsi"/>
          <w:sz w:val="24"/>
          <w:szCs w:val="24"/>
          <w:lang w:val="el-GR"/>
        </w:rPr>
        <w:t>είναι</w:t>
      </w:r>
      <w:r w:rsidRPr="002824E5">
        <w:rPr>
          <w:rFonts w:cstheme="minorHAnsi"/>
          <w:sz w:val="24"/>
          <w:szCs w:val="24"/>
          <w:lang w:val="el-GR"/>
        </w:rPr>
        <w:t xml:space="preserve"> </w:t>
      </w:r>
      <w:r>
        <w:rPr>
          <w:rFonts w:cstheme="minorHAnsi"/>
          <w:sz w:val="24"/>
          <w:szCs w:val="24"/>
          <w:lang w:val="el-GR"/>
        </w:rPr>
        <w:t>ικανοποιητικές</w:t>
      </w:r>
      <w:r w:rsidR="00220066" w:rsidRPr="002824E5">
        <w:rPr>
          <w:rFonts w:cstheme="minorHAnsi"/>
          <w:sz w:val="24"/>
          <w:szCs w:val="24"/>
          <w:lang w:val="el-GR"/>
        </w:rPr>
        <w:t xml:space="preserve">, </w:t>
      </w:r>
      <w:r>
        <w:rPr>
          <w:rFonts w:cstheme="minorHAnsi"/>
          <w:sz w:val="24"/>
          <w:szCs w:val="24"/>
          <w:lang w:val="el-GR"/>
        </w:rPr>
        <w:t>και</w:t>
      </w:r>
      <w:r w:rsidRPr="002824E5">
        <w:rPr>
          <w:rFonts w:cstheme="minorHAnsi"/>
          <w:sz w:val="24"/>
          <w:szCs w:val="24"/>
          <w:lang w:val="el-GR"/>
        </w:rPr>
        <w:t xml:space="preserve"> </w:t>
      </w:r>
      <w:r>
        <w:rPr>
          <w:rFonts w:cstheme="minorHAnsi"/>
          <w:sz w:val="24"/>
          <w:szCs w:val="24"/>
          <w:lang w:val="el-GR"/>
        </w:rPr>
        <w:t>πρόσφατες</w:t>
      </w:r>
      <w:r w:rsidRPr="002824E5">
        <w:rPr>
          <w:rFonts w:cstheme="minorHAnsi"/>
          <w:sz w:val="24"/>
          <w:szCs w:val="24"/>
          <w:lang w:val="el-GR"/>
        </w:rPr>
        <w:t xml:space="preserve"> </w:t>
      </w:r>
      <w:r>
        <w:rPr>
          <w:rFonts w:cstheme="minorHAnsi"/>
          <w:sz w:val="24"/>
          <w:szCs w:val="24"/>
          <w:lang w:val="el-GR"/>
        </w:rPr>
        <w:t>προσπάθειες</w:t>
      </w:r>
      <w:r w:rsidRPr="002824E5">
        <w:rPr>
          <w:rFonts w:cstheme="minorHAnsi"/>
          <w:sz w:val="24"/>
          <w:szCs w:val="24"/>
          <w:lang w:val="el-GR"/>
        </w:rPr>
        <w:t xml:space="preserve"> </w:t>
      </w:r>
      <w:r>
        <w:rPr>
          <w:rFonts w:cstheme="minorHAnsi"/>
          <w:sz w:val="24"/>
          <w:szCs w:val="24"/>
          <w:lang w:val="el-GR"/>
        </w:rPr>
        <w:t>που</w:t>
      </w:r>
      <w:r w:rsidRPr="002824E5">
        <w:rPr>
          <w:rFonts w:cstheme="minorHAnsi"/>
          <w:sz w:val="24"/>
          <w:szCs w:val="24"/>
          <w:lang w:val="el-GR"/>
        </w:rPr>
        <w:t xml:space="preserve"> </w:t>
      </w:r>
      <w:r>
        <w:rPr>
          <w:rFonts w:cstheme="minorHAnsi"/>
          <w:sz w:val="24"/>
          <w:szCs w:val="24"/>
          <w:lang w:val="el-GR"/>
        </w:rPr>
        <w:t>σκοπό</w:t>
      </w:r>
      <w:r w:rsidRPr="002824E5">
        <w:rPr>
          <w:rFonts w:cstheme="minorHAnsi"/>
          <w:sz w:val="24"/>
          <w:szCs w:val="24"/>
          <w:lang w:val="el-GR"/>
        </w:rPr>
        <w:t xml:space="preserve"> </w:t>
      </w:r>
      <w:r>
        <w:rPr>
          <w:rFonts w:cstheme="minorHAnsi"/>
          <w:sz w:val="24"/>
          <w:szCs w:val="24"/>
          <w:lang w:val="el-GR"/>
        </w:rPr>
        <w:t>έχουν</w:t>
      </w:r>
      <w:r w:rsidRPr="002824E5">
        <w:rPr>
          <w:rFonts w:cstheme="minorHAnsi"/>
          <w:sz w:val="24"/>
          <w:szCs w:val="24"/>
          <w:lang w:val="el-GR"/>
        </w:rPr>
        <w:t xml:space="preserve"> </w:t>
      </w:r>
      <w:r>
        <w:rPr>
          <w:rFonts w:cstheme="minorHAnsi"/>
          <w:sz w:val="24"/>
          <w:szCs w:val="24"/>
          <w:lang w:val="el-GR"/>
        </w:rPr>
        <w:t>την</w:t>
      </w:r>
      <w:r w:rsidRPr="002824E5">
        <w:rPr>
          <w:rFonts w:cstheme="minorHAnsi"/>
          <w:sz w:val="24"/>
          <w:szCs w:val="24"/>
          <w:lang w:val="el-GR"/>
        </w:rPr>
        <w:t xml:space="preserve"> </w:t>
      </w:r>
      <w:r>
        <w:rPr>
          <w:rFonts w:cstheme="minorHAnsi"/>
          <w:sz w:val="24"/>
          <w:szCs w:val="24"/>
          <w:lang w:val="el-GR"/>
        </w:rPr>
        <w:t>ενδυνάμωση</w:t>
      </w:r>
      <w:r w:rsidRPr="002824E5">
        <w:rPr>
          <w:rFonts w:cstheme="minorHAnsi"/>
          <w:sz w:val="24"/>
          <w:szCs w:val="24"/>
          <w:lang w:val="el-GR"/>
        </w:rPr>
        <w:t xml:space="preserve"> </w:t>
      </w:r>
      <w:r>
        <w:rPr>
          <w:rFonts w:cstheme="minorHAnsi"/>
          <w:sz w:val="24"/>
          <w:szCs w:val="24"/>
          <w:lang w:val="el-GR"/>
        </w:rPr>
        <w:t>της</w:t>
      </w:r>
      <w:r w:rsidRPr="002824E5">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2824E5">
        <w:rPr>
          <w:rFonts w:cstheme="minorHAnsi"/>
          <w:sz w:val="24"/>
          <w:szCs w:val="24"/>
          <w:lang w:val="el-GR"/>
        </w:rPr>
        <w:t xml:space="preserve">, </w:t>
      </w:r>
      <w:r>
        <w:rPr>
          <w:rFonts w:cstheme="minorHAnsi"/>
          <w:sz w:val="24"/>
          <w:szCs w:val="24"/>
          <w:lang w:val="el-GR"/>
        </w:rPr>
        <w:t>συμπεριλαμβανομένων</w:t>
      </w:r>
      <w:r w:rsidR="00220066" w:rsidRPr="002824E5">
        <w:rPr>
          <w:rFonts w:cstheme="minorHAnsi"/>
          <w:sz w:val="24"/>
          <w:szCs w:val="24"/>
          <w:lang w:val="el-GR"/>
        </w:rPr>
        <w:t xml:space="preserve"> </w:t>
      </w:r>
      <w:r>
        <w:rPr>
          <w:rFonts w:cstheme="minorHAnsi"/>
          <w:sz w:val="24"/>
          <w:szCs w:val="24"/>
          <w:lang w:val="el-GR"/>
        </w:rPr>
        <w:t xml:space="preserve">πρακτικών </w:t>
      </w:r>
      <w:r w:rsidR="002E5EC0">
        <w:rPr>
          <w:rFonts w:cstheme="minorHAnsi"/>
          <w:sz w:val="24"/>
          <w:szCs w:val="24"/>
          <w:lang w:val="el-GR"/>
        </w:rPr>
        <w:t>ψηλότερων</w:t>
      </w:r>
      <w:r>
        <w:rPr>
          <w:rFonts w:cstheme="minorHAnsi"/>
          <w:sz w:val="24"/>
          <w:szCs w:val="24"/>
          <w:lang w:val="el-GR"/>
        </w:rPr>
        <w:t xml:space="preserve"> προσόντων</w:t>
      </w:r>
      <w:r w:rsidR="00220066" w:rsidRPr="002824E5">
        <w:rPr>
          <w:rFonts w:cstheme="minorHAnsi"/>
          <w:sz w:val="24"/>
          <w:szCs w:val="24"/>
          <w:lang w:val="el-GR"/>
        </w:rPr>
        <w:t xml:space="preserve"> </w:t>
      </w:r>
      <w:r>
        <w:rPr>
          <w:rFonts w:cstheme="minorHAnsi"/>
          <w:sz w:val="24"/>
          <w:szCs w:val="24"/>
          <w:lang w:val="el-GR"/>
        </w:rPr>
        <w:t>και μια εξουσιοδοτημένη αύξηση σε μισθούς</w:t>
      </w:r>
      <w:r w:rsidR="00220066" w:rsidRPr="002824E5">
        <w:rPr>
          <w:rFonts w:cstheme="minorHAnsi"/>
          <w:sz w:val="24"/>
          <w:szCs w:val="24"/>
          <w:lang w:val="el-GR"/>
        </w:rPr>
        <w:t xml:space="preserve"> </w:t>
      </w:r>
      <w:r>
        <w:rPr>
          <w:rFonts w:cstheme="minorHAnsi"/>
          <w:sz w:val="24"/>
          <w:szCs w:val="24"/>
          <w:lang w:val="el-GR"/>
        </w:rPr>
        <w:t xml:space="preserve">που τίθεται σε ισχύ τώρα </w:t>
      </w:r>
      <w:r w:rsidR="00220066" w:rsidRPr="002824E5">
        <w:rPr>
          <w:rFonts w:cstheme="minorHAnsi"/>
          <w:sz w:val="24"/>
          <w:szCs w:val="24"/>
          <w:lang w:val="el-GR"/>
        </w:rPr>
        <w:t>(</w:t>
      </w:r>
      <w:r>
        <w:rPr>
          <w:rFonts w:cstheme="minorHAnsi"/>
          <w:sz w:val="24"/>
          <w:szCs w:val="24"/>
          <w:lang w:val="el-GR"/>
        </w:rPr>
        <w:t>Ιανουάριος</w:t>
      </w:r>
      <w:r w:rsidR="00220066" w:rsidRPr="002824E5">
        <w:rPr>
          <w:rFonts w:cstheme="minorHAnsi"/>
          <w:sz w:val="24"/>
          <w:szCs w:val="24"/>
          <w:lang w:val="el-GR"/>
        </w:rPr>
        <w:t xml:space="preserve"> 2023), </w:t>
      </w:r>
      <w:r w:rsidR="008D1129">
        <w:rPr>
          <w:rFonts w:cstheme="minorHAnsi"/>
          <w:sz w:val="24"/>
          <w:szCs w:val="24"/>
          <w:lang w:val="el-GR"/>
        </w:rPr>
        <w:t>είναι πιθανό να ωφελήσει τις προσπάθειες πρόσληψης</w:t>
      </w:r>
      <w:r w:rsidR="00220066" w:rsidRPr="002824E5">
        <w:rPr>
          <w:rFonts w:cstheme="minorHAnsi"/>
          <w:sz w:val="24"/>
          <w:szCs w:val="24"/>
          <w:lang w:val="el-GR"/>
        </w:rPr>
        <w:t xml:space="preserve"> </w:t>
      </w:r>
      <w:r w:rsidR="008D1129">
        <w:rPr>
          <w:rFonts w:cstheme="minorHAnsi"/>
          <w:sz w:val="24"/>
          <w:szCs w:val="24"/>
          <w:lang w:val="el-GR"/>
        </w:rPr>
        <w:t>και να βελτιώσουν το ηθικό</w:t>
      </w:r>
      <w:r w:rsidR="008D1129" w:rsidRPr="008D1129">
        <w:rPr>
          <w:rFonts w:cstheme="minorHAnsi"/>
          <w:sz w:val="24"/>
          <w:szCs w:val="24"/>
          <w:lang w:val="el-GR"/>
        </w:rPr>
        <w:t xml:space="preserve"> </w:t>
      </w:r>
      <w:r w:rsidR="008D1129">
        <w:rPr>
          <w:rFonts w:cstheme="minorHAnsi"/>
          <w:sz w:val="24"/>
          <w:szCs w:val="24"/>
          <w:lang w:val="el-GR"/>
        </w:rPr>
        <w:t>και την διατήρηση</w:t>
      </w:r>
      <w:r w:rsidR="00220066" w:rsidRPr="002824E5">
        <w:rPr>
          <w:rFonts w:cstheme="minorHAnsi"/>
          <w:sz w:val="24"/>
          <w:szCs w:val="24"/>
          <w:lang w:val="el-GR"/>
        </w:rPr>
        <w:t xml:space="preserve">. </w:t>
      </w:r>
      <w:r w:rsidR="008D1129">
        <w:rPr>
          <w:rFonts w:cstheme="minorHAnsi"/>
          <w:sz w:val="24"/>
          <w:szCs w:val="24"/>
          <w:lang w:val="el-GR"/>
        </w:rPr>
        <w:t>Αυτά</w:t>
      </w:r>
      <w:r w:rsidR="008D1129" w:rsidRPr="008D1129">
        <w:rPr>
          <w:rFonts w:cstheme="minorHAnsi"/>
          <w:sz w:val="24"/>
          <w:szCs w:val="24"/>
          <w:lang w:val="el-GR"/>
        </w:rPr>
        <w:t xml:space="preserve"> </w:t>
      </w:r>
      <w:r w:rsidR="008D1129">
        <w:rPr>
          <w:rFonts w:cstheme="minorHAnsi"/>
          <w:sz w:val="24"/>
          <w:szCs w:val="24"/>
          <w:lang w:val="el-GR"/>
        </w:rPr>
        <w:t>είναι</w:t>
      </w:r>
      <w:r w:rsidR="008D1129" w:rsidRPr="008D1129">
        <w:rPr>
          <w:rFonts w:cstheme="minorHAnsi"/>
          <w:sz w:val="24"/>
          <w:szCs w:val="24"/>
          <w:lang w:val="el-GR"/>
        </w:rPr>
        <w:t xml:space="preserve"> </w:t>
      </w:r>
      <w:r w:rsidR="008D1129">
        <w:rPr>
          <w:rFonts w:cstheme="minorHAnsi"/>
          <w:sz w:val="24"/>
          <w:szCs w:val="24"/>
          <w:lang w:val="el-GR"/>
        </w:rPr>
        <w:t>χρήσιμα</w:t>
      </w:r>
      <w:r w:rsidR="008D1129" w:rsidRPr="008D1129">
        <w:rPr>
          <w:rFonts w:cstheme="minorHAnsi"/>
          <w:sz w:val="24"/>
          <w:szCs w:val="24"/>
          <w:lang w:val="el-GR"/>
        </w:rPr>
        <w:t xml:space="preserve"> </w:t>
      </w:r>
      <w:r w:rsidR="008D1129">
        <w:rPr>
          <w:rFonts w:cstheme="minorHAnsi"/>
          <w:sz w:val="24"/>
          <w:szCs w:val="24"/>
          <w:lang w:val="el-GR"/>
        </w:rPr>
        <w:t>μέτρα</w:t>
      </w:r>
      <w:r w:rsidR="008D1129" w:rsidRPr="008D1129">
        <w:rPr>
          <w:rFonts w:cstheme="minorHAnsi"/>
          <w:sz w:val="24"/>
          <w:szCs w:val="24"/>
          <w:lang w:val="el-GR"/>
        </w:rPr>
        <w:t xml:space="preserve"> </w:t>
      </w:r>
      <w:r w:rsidR="008D1129">
        <w:rPr>
          <w:rFonts w:cstheme="minorHAnsi"/>
          <w:sz w:val="24"/>
          <w:szCs w:val="24"/>
          <w:lang w:val="el-GR"/>
        </w:rPr>
        <w:t>προς</w:t>
      </w:r>
      <w:r w:rsidR="008D1129" w:rsidRPr="008D1129">
        <w:rPr>
          <w:rFonts w:cstheme="minorHAnsi"/>
          <w:sz w:val="24"/>
          <w:szCs w:val="24"/>
          <w:lang w:val="el-GR"/>
        </w:rPr>
        <w:t xml:space="preserve"> </w:t>
      </w:r>
      <w:r w:rsidR="008D1129">
        <w:rPr>
          <w:rFonts w:cstheme="minorHAnsi"/>
          <w:sz w:val="24"/>
          <w:szCs w:val="24"/>
          <w:lang w:val="el-GR"/>
        </w:rPr>
        <w:t>την</w:t>
      </w:r>
      <w:r w:rsidR="008D1129" w:rsidRPr="008D1129">
        <w:rPr>
          <w:rFonts w:cstheme="minorHAnsi"/>
          <w:sz w:val="24"/>
          <w:szCs w:val="24"/>
          <w:lang w:val="el-GR"/>
        </w:rPr>
        <w:t xml:space="preserve"> </w:t>
      </w:r>
      <w:r w:rsidR="008D1129">
        <w:rPr>
          <w:rFonts w:cstheme="minorHAnsi"/>
          <w:sz w:val="24"/>
          <w:szCs w:val="24"/>
          <w:lang w:val="el-GR"/>
        </w:rPr>
        <w:t>βελτίωση</w:t>
      </w:r>
      <w:r w:rsidR="008D1129" w:rsidRPr="008D1129">
        <w:rPr>
          <w:rFonts w:cstheme="minorHAnsi"/>
          <w:sz w:val="24"/>
          <w:szCs w:val="24"/>
          <w:lang w:val="el-GR"/>
        </w:rPr>
        <w:t xml:space="preserve"> </w:t>
      </w:r>
      <w:r w:rsidR="008D1129">
        <w:rPr>
          <w:rFonts w:cstheme="minorHAnsi"/>
          <w:sz w:val="24"/>
          <w:szCs w:val="24"/>
          <w:lang w:val="el-GR"/>
        </w:rPr>
        <w:t>της</w:t>
      </w:r>
      <w:r w:rsidR="008D1129" w:rsidRPr="008D1129">
        <w:rPr>
          <w:rFonts w:cstheme="minorHAnsi"/>
          <w:sz w:val="24"/>
          <w:szCs w:val="24"/>
          <w:lang w:val="el-GR"/>
        </w:rPr>
        <w:t xml:space="preserve"> </w:t>
      </w:r>
      <w:r w:rsidR="008D1129">
        <w:rPr>
          <w:rFonts w:cstheme="minorHAnsi"/>
          <w:sz w:val="24"/>
          <w:szCs w:val="24"/>
          <w:lang w:val="el-GR"/>
        </w:rPr>
        <w:t>αστυνομικής</w:t>
      </w:r>
      <w:r w:rsidR="008D1129" w:rsidRPr="008D1129">
        <w:rPr>
          <w:rFonts w:cstheme="minorHAnsi"/>
          <w:sz w:val="24"/>
          <w:szCs w:val="24"/>
          <w:lang w:val="el-GR"/>
        </w:rPr>
        <w:t xml:space="preserve"> </w:t>
      </w:r>
      <w:r w:rsidR="008D1129">
        <w:rPr>
          <w:rFonts w:cstheme="minorHAnsi"/>
          <w:sz w:val="24"/>
          <w:szCs w:val="24"/>
          <w:lang w:val="el-GR"/>
        </w:rPr>
        <w:t>δύναμης</w:t>
      </w:r>
      <w:r w:rsidR="008D1129" w:rsidRPr="008D1129">
        <w:rPr>
          <w:rFonts w:cstheme="minorHAnsi"/>
          <w:sz w:val="24"/>
          <w:szCs w:val="24"/>
          <w:lang w:val="el-GR"/>
        </w:rPr>
        <w:t xml:space="preserve"> </w:t>
      </w:r>
      <w:r w:rsidR="008D1129">
        <w:rPr>
          <w:rFonts w:cstheme="minorHAnsi"/>
          <w:sz w:val="24"/>
          <w:szCs w:val="24"/>
          <w:lang w:val="el-GR"/>
        </w:rPr>
        <w:t>σαν</w:t>
      </w:r>
      <w:r w:rsidR="008D1129" w:rsidRPr="008D1129">
        <w:rPr>
          <w:rFonts w:cstheme="minorHAnsi"/>
          <w:sz w:val="24"/>
          <w:szCs w:val="24"/>
          <w:lang w:val="el-GR"/>
        </w:rPr>
        <w:t xml:space="preserve"> </w:t>
      </w:r>
      <w:r w:rsidR="008D1129">
        <w:rPr>
          <w:rFonts w:cstheme="minorHAnsi"/>
          <w:sz w:val="24"/>
          <w:szCs w:val="24"/>
          <w:lang w:val="el-GR"/>
        </w:rPr>
        <w:t>σύνολο</w:t>
      </w:r>
      <w:r w:rsidR="00220066" w:rsidRPr="008D1129">
        <w:rPr>
          <w:rFonts w:cstheme="minorHAnsi"/>
          <w:sz w:val="24"/>
          <w:szCs w:val="24"/>
          <w:lang w:val="el-GR"/>
        </w:rPr>
        <w:t xml:space="preserve">. </w:t>
      </w:r>
      <w:r w:rsidR="008D1129">
        <w:rPr>
          <w:rFonts w:cstheme="minorHAnsi"/>
          <w:sz w:val="24"/>
          <w:szCs w:val="24"/>
          <w:lang w:val="el-GR"/>
        </w:rPr>
        <w:t>Ωστόσο</w:t>
      </w:r>
      <w:r w:rsidR="008D1129" w:rsidRPr="008D1129">
        <w:rPr>
          <w:rFonts w:cstheme="minorHAnsi"/>
          <w:sz w:val="24"/>
          <w:szCs w:val="24"/>
          <w:lang w:val="el-GR"/>
        </w:rPr>
        <w:t xml:space="preserve"> </w:t>
      </w:r>
      <w:r w:rsidR="008D1129">
        <w:rPr>
          <w:rFonts w:cstheme="minorHAnsi"/>
          <w:sz w:val="24"/>
          <w:szCs w:val="24"/>
          <w:lang w:val="el-GR"/>
        </w:rPr>
        <w:t>οι</w:t>
      </w:r>
      <w:r w:rsidR="008D1129" w:rsidRPr="008D1129">
        <w:rPr>
          <w:rFonts w:cstheme="minorHAnsi"/>
          <w:sz w:val="24"/>
          <w:szCs w:val="24"/>
          <w:lang w:val="el-GR"/>
        </w:rPr>
        <w:t xml:space="preserve"> </w:t>
      </w:r>
      <w:r w:rsidR="008D1129">
        <w:rPr>
          <w:rFonts w:cstheme="minorHAnsi"/>
          <w:sz w:val="24"/>
          <w:szCs w:val="24"/>
          <w:lang w:val="el-GR"/>
        </w:rPr>
        <w:t>προσπάθειες</w:t>
      </w:r>
      <w:r w:rsidR="008D1129" w:rsidRPr="008D1129">
        <w:rPr>
          <w:rFonts w:cstheme="minorHAnsi"/>
          <w:sz w:val="24"/>
          <w:szCs w:val="24"/>
          <w:lang w:val="el-GR"/>
        </w:rPr>
        <w:t xml:space="preserve"> </w:t>
      </w:r>
      <w:r w:rsidR="008D1129">
        <w:rPr>
          <w:rFonts w:cstheme="minorHAnsi"/>
          <w:sz w:val="24"/>
          <w:szCs w:val="24"/>
          <w:lang w:val="el-GR"/>
        </w:rPr>
        <w:t>μέχρι</w:t>
      </w:r>
      <w:r w:rsidR="008D1129" w:rsidRPr="008D1129">
        <w:rPr>
          <w:rFonts w:cstheme="minorHAnsi"/>
          <w:sz w:val="24"/>
          <w:szCs w:val="24"/>
          <w:lang w:val="el-GR"/>
        </w:rPr>
        <w:t xml:space="preserve"> </w:t>
      </w:r>
      <w:r w:rsidR="008D1129">
        <w:rPr>
          <w:rFonts w:cstheme="minorHAnsi"/>
          <w:sz w:val="24"/>
          <w:szCs w:val="24"/>
          <w:lang w:val="el-GR"/>
        </w:rPr>
        <w:t>τώρα</w:t>
      </w:r>
      <w:r w:rsidR="008D1129" w:rsidRPr="008D1129">
        <w:rPr>
          <w:rFonts w:cstheme="minorHAnsi"/>
          <w:sz w:val="24"/>
          <w:szCs w:val="24"/>
          <w:lang w:val="el-GR"/>
        </w:rPr>
        <w:t xml:space="preserve"> </w:t>
      </w:r>
      <w:r w:rsidR="008D1129">
        <w:rPr>
          <w:rFonts w:cstheme="minorHAnsi"/>
          <w:sz w:val="24"/>
          <w:szCs w:val="24"/>
          <w:lang w:val="el-GR"/>
        </w:rPr>
        <w:t>σταματούν</w:t>
      </w:r>
      <w:r w:rsidR="008D1129" w:rsidRPr="008D1129">
        <w:rPr>
          <w:rFonts w:cstheme="minorHAnsi"/>
          <w:sz w:val="24"/>
          <w:szCs w:val="24"/>
          <w:lang w:val="el-GR"/>
        </w:rPr>
        <w:t xml:space="preserve"> </w:t>
      </w:r>
      <w:r w:rsidR="008D1129">
        <w:rPr>
          <w:rFonts w:cstheme="minorHAnsi"/>
          <w:sz w:val="24"/>
          <w:szCs w:val="24"/>
          <w:lang w:val="el-GR"/>
        </w:rPr>
        <w:t>στο</w:t>
      </w:r>
      <w:r w:rsidR="008D1129" w:rsidRPr="008D1129">
        <w:rPr>
          <w:rFonts w:cstheme="minorHAnsi"/>
          <w:sz w:val="24"/>
          <w:szCs w:val="24"/>
          <w:lang w:val="el-GR"/>
        </w:rPr>
        <w:t xml:space="preserve"> </w:t>
      </w:r>
      <w:r w:rsidR="008D1129">
        <w:rPr>
          <w:rFonts w:cstheme="minorHAnsi"/>
          <w:sz w:val="24"/>
          <w:szCs w:val="24"/>
          <w:lang w:val="el-GR"/>
        </w:rPr>
        <w:t>επίπεδο</w:t>
      </w:r>
      <w:r w:rsidR="008D1129" w:rsidRPr="008D1129">
        <w:rPr>
          <w:rFonts w:cstheme="minorHAnsi"/>
          <w:sz w:val="24"/>
          <w:szCs w:val="24"/>
          <w:lang w:val="el-GR"/>
        </w:rPr>
        <w:t xml:space="preserve"> </w:t>
      </w:r>
      <w:r w:rsidR="008D1129">
        <w:rPr>
          <w:rFonts w:cstheme="minorHAnsi"/>
          <w:sz w:val="24"/>
          <w:szCs w:val="24"/>
          <w:lang w:val="el-GR"/>
        </w:rPr>
        <w:t>εισόδου</w:t>
      </w:r>
      <w:r w:rsidR="00220066" w:rsidRPr="008D1129">
        <w:rPr>
          <w:rFonts w:cstheme="minorHAnsi"/>
          <w:sz w:val="24"/>
          <w:szCs w:val="24"/>
          <w:lang w:val="el-GR"/>
        </w:rPr>
        <w:t xml:space="preserve">, </w:t>
      </w:r>
      <w:r w:rsidR="008D1129">
        <w:rPr>
          <w:rFonts w:cstheme="minorHAnsi"/>
          <w:sz w:val="24"/>
          <w:szCs w:val="24"/>
          <w:lang w:val="el-GR"/>
        </w:rPr>
        <w:t>και προκύπτουν και συσσωρεύονται προβλήματα</w:t>
      </w:r>
      <w:r w:rsidR="00220066" w:rsidRPr="008D1129">
        <w:rPr>
          <w:rFonts w:cstheme="minorHAnsi"/>
          <w:sz w:val="24"/>
          <w:szCs w:val="24"/>
          <w:lang w:val="el-GR"/>
        </w:rPr>
        <w:t xml:space="preserve"> </w:t>
      </w:r>
      <w:r w:rsidR="008D1129">
        <w:rPr>
          <w:rFonts w:cstheme="minorHAnsi"/>
          <w:sz w:val="24"/>
          <w:szCs w:val="24"/>
          <w:lang w:val="el-GR"/>
        </w:rPr>
        <w:t>όταν ανεβαίνεις στους πιο πάνω βαθμούς</w:t>
      </w:r>
      <w:r w:rsidR="00220066" w:rsidRPr="008D1129">
        <w:rPr>
          <w:rFonts w:cstheme="minorHAnsi"/>
          <w:sz w:val="24"/>
          <w:szCs w:val="24"/>
          <w:lang w:val="el-GR"/>
        </w:rPr>
        <w:t xml:space="preserve">. </w:t>
      </w:r>
      <w:r w:rsidR="008D1129">
        <w:rPr>
          <w:rFonts w:cstheme="minorHAnsi"/>
          <w:sz w:val="24"/>
          <w:szCs w:val="24"/>
          <w:lang w:val="el-GR"/>
        </w:rPr>
        <w:t>Το</w:t>
      </w:r>
      <w:r w:rsidR="008D1129" w:rsidRPr="008D1129">
        <w:rPr>
          <w:rFonts w:cstheme="minorHAnsi"/>
          <w:sz w:val="24"/>
          <w:szCs w:val="24"/>
          <w:lang w:val="el-GR"/>
        </w:rPr>
        <w:t xml:space="preserve"> </w:t>
      </w:r>
      <w:r w:rsidR="008D1129">
        <w:rPr>
          <w:rFonts w:cstheme="minorHAnsi"/>
          <w:sz w:val="24"/>
          <w:szCs w:val="24"/>
          <w:lang w:val="el-GR"/>
        </w:rPr>
        <w:t>παρόν</w:t>
      </w:r>
      <w:r w:rsidR="008D1129" w:rsidRPr="008D1129">
        <w:rPr>
          <w:rFonts w:cstheme="minorHAnsi"/>
          <w:sz w:val="24"/>
          <w:szCs w:val="24"/>
          <w:lang w:val="el-GR"/>
        </w:rPr>
        <w:t xml:space="preserve"> </w:t>
      </w:r>
      <w:r w:rsidR="008D1129">
        <w:rPr>
          <w:rFonts w:cstheme="minorHAnsi"/>
          <w:sz w:val="24"/>
          <w:szCs w:val="24"/>
          <w:lang w:val="el-GR"/>
        </w:rPr>
        <w:t>σύστημα</w:t>
      </w:r>
      <w:r w:rsidR="008D1129" w:rsidRPr="008D1129">
        <w:rPr>
          <w:rFonts w:cstheme="minorHAnsi"/>
          <w:sz w:val="24"/>
          <w:szCs w:val="24"/>
          <w:lang w:val="el-GR"/>
        </w:rPr>
        <w:t xml:space="preserve"> </w:t>
      </w:r>
      <w:r w:rsidR="008D1129">
        <w:rPr>
          <w:rFonts w:cstheme="minorHAnsi"/>
          <w:sz w:val="24"/>
          <w:szCs w:val="24"/>
          <w:lang w:val="el-GR"/>
        </w:rPr>
        <w:t>διορισμού</w:t>
      </w:r>
      <w:r w:rsidR="00220066" w:rsidRPr="008D1129">
        <w:rPr>
          <w:rFonts w:cstheme="minorHAnsi"/>
          <w:sz w:val="24"/>
          <w:szCs w:val="24"/>
          <w:lang w:val="el-GR"/>
        </w:rPr>
        <w:t xml:space="preserve"> </w:t>
      </w:r>
      <w:r w:rsidR="008D1129">
        <w:rPr>
          <w:rFonts w:cstheme="minorHAnsi"/>
          <w:sz w:val="24"/>
          <w:szCs w:val="24"/>
          <w:lang w:val="el-GR"/>
        </w:rPr>
        <w:t>αναφορικά</w:t>
      </w:r>
      <w:r w:rsidR="008D1129" w:rsidRPr="008D1129">
        <w:rPr>
          <w:rFonts w:cstheme="minorHAnsi"/>
          <w:sz w:val="24"/>
          <w:szCs w:val="24"/>
          <w:lang w:val="el-GR"/>
        </w:rPr>
        <w:t xml:space="preserve"> </w:t>
      </w:r>
      <w:r w:rsidR="008D1129">
        <w:rPr>
          <w:rFonts w:cstheme="minorHAnsi"/>
          <w:sz w:val="24"/>
          <w:szCs w:val="24"/>
          <w:lang w:val="el-GR"/>
        </w:rPr>
        <w:t>με</w:t>
      </w:r>
      <w:r w:rsidR="008D1129" w:rsidRPr="008D1129">
        <w:rPr>
          <w:rFonts w:cstheme="minorHAnsi"/>
          <w:sz w:val="24"/>
          <w:szCs w:val="24"/>
          <w:lang w:val="el-GR"/>
        </w:rPr>
        <w:t xml:space="preserve"> </w:t>
      </w:r>
      <w:r w:rsidR="008D1129">
        <w:rPr>
          <w:rFonts w:cstheme="minorHAnsi"/>
          <w:sz w:val="24"/>
          <w:szCs w:val="24"/>
          <w:lang w:val="el-GR"/>
        </w:rPr>
        <w:t>ανωτέρους</w:t>
      </w:r>
      <w:r w:rsidR="008D1129" w:rsidRPr="008D1129">
        <w:rPr>
          <w:rFonts w:cstheme="minorHAnsi"/>
          <w:sz w:val="24"/>
          <w:szCs w:val="24"/>
          <w:lang w:val="el-GR"/>
        </w:rPr>
        <w:t xml:space="preserve"> </w:t>
      </w:r>
      <w:r w:rsidR="008D1129">
        <w:rPr>
          <w:rFonts w:cstheme="minorHAnsi"/>
          <w:sz w:val="24"/>
          <w:szCs w:val="24"/>
          <w:lang w:val="el-GR"/>
        </w:rPr>
        <w:t>αξιωματούχους</w:t>
      </w:r>
      <w:r w:rsidR="00220066" w:rsidRPr="008D1129">
        <w:rPr>
          <w:rFonts w:cstheme="minorHAnsi"/>
          <w:sz w:val="24"/>
          <w:szCs w:val="24"/>
          <w:lang w:val="el-GR"/>
        </w:rPr>
        <w:t xml:space="preserve"> </w:t>
      </w:r>
      <w:r w:rsidR="008D1129">
        <w:rPr>
          <w:rFonts w:cstheme="minorHAnsi"/>
          <w:sz w:val="24"/>
          <w:szCs w:val="24"/>
          <w:lang w:val="el-GR"/>
        </w:rPr>
        <w:t>και ψηλές διευθυντικές θέσεις</w:t>
      </w:r>
      <w:r w:rsidR="00220066" w:rsidRPr="008D1129">
        <w:rPr>
          <w:rFonts w:cstheme="minorHAnsi"/>
          <w:sz w:val="24"/>
          <w:szCs w:val="24"/>
          <w:lang w:val="el-GR"/>
        </w:rPr>
        <w:t xml:space="preserve"> </w:t>
      </w:r>
      <w:r w:rsidR="008D1129">
        <w:rPr>
          <w:rFonts w:cstheme="minorHAnsi"/>
          <w:sz w:val="24"/>
          <w:szCs w:val="24"/>
          <w:lang w:val="el-GR"/>
        </w:rPr>
        <w:t>στερείται από διαφάνεια και αντικειμενικότητα</w:t>
      </w:r>
      <w:r w:rsidR="00220066" w:rsidRPr="008D1129">
        <w:rPr>
          <w:rFonts w:cstheme="minorHAnsi"/>
          <w:sz w:val="24"/>
          <w:szCs w:val="24"/>
          <w:lang w:val="el-GR"/>
        </w:rPr>
        <w:t xml:space="preserve">. </w:t>
      </w:r>
    </w:p>
    <w:p w14:paraId="17B62931" w14:textId="77777777" w:rsidR="000767BD" w:rsidRPr="008D1129" w:rsidRDefault="000767BD" w:rsidP="00220066">
      <w:pPr>
        <w:pStyle w:val="ListParagraph"/>
        <w:rPr>
          <w:rFonts w:cstheme="minorHAnsi"/>
          <w:color w:val="000000" w:themeColor="text1"/>
          <w:sz w:val="24"/>
          <w:szCs w:val="24"/>
          <w:lang w:val="el-GR"/>
        </w:rPr>
      </w:pPr>
    </w:p>
    <w:p w14:paraId="51054E6D" w14:textId="00D1E9FA" w:rsidR="00220066" w:rsidRPr="00E3509A" w:rsidRDefault="008D1129" w:rsidP="00220066">
      <w:pPr>
        <w:widowControl w:val="0"/>
        <w:numPr>
          <w:ilvl w:val="0"/>
          <w:numId w:val="1"/>
        </w:numPr>
        <w:tabs>
          <w:tab w:val="left" w:pos="709"/>
        </w:tabs>
        <w:ind w:left="0" w:firstLine="0"/>
        <w:rPr>
          <w:rFonts w:cstheme="minorHAnsi"/>
          <w:sz w:val="24"/>
          <w:szCs w:val="24"/>
          <w:lang w:val="el-GR"/>
        </w:rPr>
      </w:pPr>
      <w:r>
        <w:rPr>
          <w:rFonts w:cstheme="minorHAnsi"/>
          <w:color w:val="000000" w:themeColor="text1"/>
          <w:sz w:val="24"/>
          <w:szCs w:val="24"/>
          <w:lang w:val="el-GR"/>
        </w:rPr>
        <w:t>Η</w:t>
      </w:r>
      <w:r w:rsidR="005B586E" w:rsidRPr="008D1129">
        <w:rPr>
          <w:rFonts w:cstheme="minorHAnsi"/>
          <w:color w:val="000000" w:themeColor="text1"/>
          <w:sz w:val="24"/>
          <w:szCs w:val="24"/>
          <w:lang w:val="el-GR"/>
        </w:rPr>
        <w:t xml:space="preserve"> </w:t>
      </w:r>
      <w:r w:rsidR="005B586E">
        <w:rPr>
          <w:rFonts w:cstheme="minorHAnsi"/>
          <w:color w:val="000000" w:themeColor="text1"/>
          <w:sz w:val="24"/>
          <w:szCs w:val="24"/>
        </w:rPr>
        <w:t>GET</w:t>
      </w:r>
      <w:r w:rsidR="005B586E" w:rsidRPr="008D1129">
        <w:rPr>
          <w:rFonts w:cstheme="minorHAnsi"/>
          <w:color w:val="000000" w:themeColor="text1"/>
          <w:sz w:val="24"/>
          <w:szCs w:val="24"/>
          <w:lang w:val="el-GR"/>
        </w:rPr>
        <w:t xml:space="preserve"> </w:t>
      </w:r>
      <w:r>
        <w:rPr>
          <w:rFonts w:cstheme="minorHAnsi"/>
          <w:color w:val="000000" w:themeColor="text1"/>
          <w:sz w:val="24"/>
          <w:szCs w:val="24"/>
          <w:lang w:val="el-GR"/>
        </w:rPr>
        <w:t>θεωρεί</w:t>
      </w:r>
      <w:r w:rsidRPr="008D1129">
        <w:rPr>
          <w:rFonts w:cstheme="minorHAnsi"/>
          <w:color w:val="000000" w:themeColor="text1"/>
          <w:sz w:val="24"/>
          <w:szCs w:val="24"/>
          <w:lang w:val="el-GR"/>
        </w:rPr>
        <w:t xml:space="preserve"> </w:t>
      </w:r>
      <w:r>
        <w:rPr>
          <w:rFonts w:cstheme="minorHAnsi"/>
          <w:color w:val="000000" w:themeColor="text1"/>
          <w:sz w:val="24"/>
          <w:szCs w:val="24"/>
          <w:lang w:val="el-GR"/>
        </w:rPr>
        <w:t>ότι</w:t>
      </w:r>
      <w:r w:rsidRPr="008D1129">
        <w:rPr>
          <w:rFonts w:cstheme="minorHAnsi"/>
          <w:color w:val="000000" w:themeColor="text1"/>
          <w:sz w:val="24"/>
          <w:szCs w:val="24"/>
          <w:lang w:val="el-GR"/>
        </w:rPr>
        <w:t xml:space="preserve"> </w:t>
      </w:r>
      <w:r>
        <w:rPr>
          <w:rFonts w:cstheme="minorHAnsi"/>
          <w:color w:val="000000" w:themeColor="text1"/>
          <w:sz w:val="24"/>
          <w:szCs w:val="24"/>
          <w:lang w:val="el-GR"/>
        </w:rPr>
        <w:t>το</w:t>
      </w:r>
      <w:r w:rsidRPr="008D1129">
        <w:rPr>
          <w:rFonts w:cstheme="minorHAnsi"/>
          <w:color w:val="000000" w:themeColor="text1"/>
          <w:sz w:val="24"/>
          <w:szCs w:val="24"/>
          <w:lang w:val="el-GR"/>
        </w:rPr>
        <w:t xml:space="preserve"> </w:t>
      </w:r>
      <w:r>
        <w:rPr>
          <w:rFonts w:cstheme="minorHAnsi"/>
          <w:color w:val="000000" w:themeColor="text1"/>
          <w:sz w:val="24"/>
          <w:szCs w:val="24"/>
          <w:lang w:val="el-GR"/>
        </w:rPr>
        <w:t>ζήτημα</w:t>
      </w:r>
      <w:r w:rsidRPr="008D1129">
        <w:rPr>
          <w:rFonts w:cstheme="minorHAnsi"/>
          <w:color w:val="000000" w:themeColor="text1"/>
          <w:sz w:val="24"/>
          <w:szCs w:val="24"/>
          <w:lang w:val="el-GR"/>
        </w:rPr>
        <w:t xml:space="preserve"> </w:t>
      </w:r>
      <w:r>
        <w:rPr>
          <w:rFonts w:cstheme="minorHAnsi"/>
          <w:color w:val="000000" w:themeColor="text1"/>
          <w:sz w:val="24"/>
          <w:szCs w:val="24"/>
          <w:lang w:val="el-GR"/>
        </w:rPr>
        <w:t>του</w:t>
      </w:r>
      <w:r w:rsidRPr="008D1129">
        <w:rPr>
          <w:rFonts w:cstheme="minorHAnsi"/>
          <w:color w:val="000000" w:themeColor="text1"/>
          <w:sz w:val="24"/>
          <w:szCs w:val="24"/>
          <w:lang w:val="el-GR"/>
        </w:rPr>
        <w:t xml:space="preserve"> </w:t>
      </w:r>
      <w:r>
        <w:rPr>
          <w:rFonts w:cstheme="minorHAnsi"/>
          <w:color w:val="000000" w:themeColor="text1"/>
          <w:sz w:val="24"/>
          <w:szCs w:val="24"/>
          <w:lang w:val="el-GR"/>
        </w:rPr>
        <w:t>διορισμού</w:t>
      </w:r>
      <w:r w:rsidRPr="008D1129">
        <w:rPr>
          <w:rFonts w:cstheme="minorHAnsi"/>
          <w:color w:val="000000" w:themeColor="text1"/>
          <w:sz w:val="24"/>
          <w:szCs w:val="24"/>
          <w:lang w:val="el-GR"/>
        </w:rPr>
        <w:t xml:space="preserve"> </w:t>
      </w:r>
      <w:r>
        <w:rPr>
          <w:rFonts w:cstheme="minorHAnsi"/>
          <w:color w:val="000000" w:themeColor="text1"/>
          <w:sz w:val="24"/>
          <w:szCs w:val="24"/>
          <w:lang w:val="el-GR"/>
        </w:rPr>
        <w:t>και</w:t>
      </w:r>
      <w:r w:rsidRPr="008D1129">
        <w:rPr>
          <w:rFonts w:cstheme="minorHAnsi"/>
          <w:color w:val="000000" w:themeColor="text1"/>
          <w:sz w:val="24"/>
          <w:szCs w:val="24"/>
          <w:lang w:val="el-GR"/>
        </w:rPr>
        <w:t xml:space="preserve"> </w:t>
      </w:r>
      <w:r>
        <w:rPr>
          <w:rFonts w:cstheme="minorHAnsi"/>
          <w:color w:val="000000" w:themeColor="text1"/>
          <w:sz w:val="24"/>
          <w:szCs w:val="24"/>
          <w:lang w:val="el-GR"/>
        </w:rPr>
        <w:t>της</w:t>
      </w:r>
      <w:r w:rsidRPr="008D1129">
        <w:rPr>
          <w:rFonts w:cstheme="minorHAnsi"/>
          <w:color w:val="000000" w:themeColor="text1"/>
          <w:sz w:val="24"/>
          <w:szCs w:val="24"/>
          <w:lang w:val="el-GR"/>
        </w:rPr>
        <w:t xml:space="preserve"> </w:t>
      </w:r>
      <w:r>
        <w:rPr>
          <w:rFonts w:cstheme="minorHAnsi"/>
          <w:color w:val="000000" w:themeColor="text1"/>
          <w:sz w:val="24"/>
          <w:szCs w:val="24"/>
          <w:lang w:val="el-GR"/>
        </w:rPr>
        <w:t>απόλυσης</w:t>
      </w:r>
      <w:r w:rsidRPr="008D1129">
        <w:rPr>
          <w:rFonts w:cstheme="minorHAnsi"/>
          <w:color w:val="000000" w:themeColor="text1"/>
          <w:sz w:val="24"/>
          <w:szCs w:val="24"/>
          <w:lang w:val="el-GR"/>
        </w:rPr>
        <w:t xml:space="preserve"> </w:t>
      </w:r>
      <w:r>
        <w:rPr>
          <w:rFonts w:cstheme="minorHAnsi"/>
          <w:color w:val="000000" w:themeColor="text1"/>
          <w:sz w:val="24"/>
          <w:szCs w:val="24"/>
          <w:lang w:val="el-GR"/>
        </w:rPr>
        <w:t>του</w:t>
      </w:r>
      <w:r w:rsidRPr="008D1129">
        <w:rPr>
          <w:rFonts w:cstheme="minorHAnsi"/>
          <w:color w:val="000000" w:themeColor="text1"/>
          <w:sz w:val="24"/>
          <w:szCs w:val="24"/>
          <w:lang w:val="el-GR"/>
        </w:rPr>
        <w:t xml:space="preserve"> </w:t>
      </w:r>
      <w:r>
        <w:rPr>
          <w:rFonts w:cstheme="minorHAnsi"/>
          <w:color w:val="000000" w:themeColor="text1"/>
          <w:sz w:val="24"/>
          <w:szCs w:val="24"/>
          <w:lang w:val="el-GR"/>
        </w:rPr>
        <w:t>Αρχηγού</w:t>
      </w:r>
      <w:r w:rsidRPr="008D1129">
        <w:rPr>
          <w:rFonts w:cstheme="minorHAnsi"/>
          <w:color w:val="000000" w:themeColor="text1"/>
          <w:sz w:val="24"/>
          <w:szCs w:val="24"/>
          <w:lang w:val="el-GR"/>
        </w:rPr>
        <w:t xml:space="preserve"> </w:t>
      </w:r>
      <w:r>
        <w:rPr>
          <w:rFonts w:cstheme="minorHAnsi"/>
          <w:color w:val="000000" w:themeColor="text1"/>
          <w:sz w:val="24"/>
          <w:szCs w:val="24"/>
          <w:lang w:val="el-GR"/>
        </w:rPr>
        <w:t>και</w:t>
      </w:r>
      <w:r w:rsidRPr="008D1129">
        <w:rPr>
          <w:rFonts w:cstheme="minorHAnsi"/>
          <w:color w:val="000000" w:themeColor="text1"/>
          <w:sz w:val="24"/>
          <w:szCs w:val="24"/>
          <w:lang w:val="el-GR"/>
        </w:rPr>
        <w:t xml:space="preserve"> </w:t>
      </w:r>
      <w:r>
        <w:rPr>
          <w:rFonts w:cstheme="minorHAnsi"/>
          <w:color w:val="000000" w:themeColor="text1"/>
          <w:sz w:val="24"/>
          <w:szCs w:val="24"/>
          <w:lang w:val="el-GR"/>
        </w:rPr>
        <w:t>του</w:t>
      </w:r>
      <w:r w:rsidRPr="008D1129">
        <w:rPr>
          <w:rFonts w:cstheme="minorHAnsi"/>
          <w:color w:val="000000" w:themeColor="text1"/>
          <w:sz w:val="24"/>
          <w:szCs w:val="24"/>
          <w:lang w:val="el-GR"/>
        </w:rPr>
        <w:t xml:space="preserve"> </w:t>
      </w:r>
      <w:r>
        <w:rPr>
          <w:rFonts w:cstheme="minorHAnsi"/>
          <w:color w:val="000000" w:themeColor="text1"/>
          <w:sz w:val="24"/>
          <w:szCs w:val="24"/>
          <w:lang w:val="el-GR"/>
        </w:rPr>
        <w:t>Υπαρχηγού</w:t>
      </w:r>
      <w:r w:rsidRPr="008D1129">
        <w:rPr>
          <w:rFonts w:cstheme="minorHAnsi"/>
          <w:color w:val="000000" w:themeColor="text1"/>
          <w:sz w:val="24"/>
          <w:szCs w:val="24"/>
          <w:lang w:val="el-GR"/>
        </w:rPr>
        <w:t xml:space="preserve"> </w:t>
      </w:r>
      <w:r>
        <w:rPr>
          <w:rFonts w:cstheme="minorHAnsi"/>
          <w:color w:val="000000" w:themeColor="text1"/>
          <w:sz w:val="24"/>
          <w:szCs w:val="24"/>
          <w:lang w:val="el-GR"/>
        </w:rPr>
        <w:t>της</w:t>
      </w:r>
      <w:r w:rsidRPr="008D1129">
        <w:rPr>
          <w:rFonts w:cstheme="minorHAnsi"/>
          <w:color w:val="000000" w:themeColor="text1"/>
          <w:sz w:val="24"/>
          <w:szCs w:val="24"/>
          <w:lang w:val="el-GR"/>
        </w:rPr>
        <w:t xml:space="preserve"> </w:t>
      </w:r>
      <w:r w:rsidR="009C4E34">
        <w:rPr>
          <w:rFonts w:cstheme="minorHAnsi"/>
          <w:color w:val="000000" w:themeColor="text1"/>
          <w:sz w:val="24"/>
          <w:szCs w:val="24"/>
          <w:lang w:val="el-GR"/>
        </w:rPr>
        <w:t>Αστυνομία</w:t>
      </w:r>
      <w:r>
        <w:rPr>
          <w:rFonts w:cstheme="minorHAnsi"/>
          <w:color w:val="000000" w:themeColor="text1"/>
          <w:sz w:val="24"/>
          <w:szCs w:val="24"/>
          <w:lang w:val="el-GR"/>
        </w:rPr>
        <w:t>ς</w:t>
      </w:r>
      <w:r w:rsidR="005B586E" w:rsidRPr="008D1129">
        <w:rPr>
          <w:rFonts w:cstheme="minorHAnsi"/>
          <w:color w:val="000000" w:themeColor="text1"/>
          <w:sz w:val="24"/>
          <w:szCs w:val="24"/>
          <w:lang w:val="el-GR"/>
        </w:rPr>
        <w:t xml:space="preserve"> </w:t>
      </w:r>
      <w:r>
        <w:rPr>
          <w:rFonts w:cstheme="minorHAnsi"/>
          <w:color w:val="000000" w:themeColor="text1"/>
          <w:sz w:val="24"/>
          <w:szCs w:val="24"/>
          <w:lang w:val="el-GR"/>
        </w:rPr>
        <w:t>αξίζει περαιτέρω προβληματισμό και ανάπτυξη</w:t>
      </w:r>
      <w:r w:rsidR="00220066" w:rsidRPr="008D1129">
        <w:rPr>
          <w:rFonts w:cstheme="minorHAnsi"/>
          <w:color w:val="000000" w:themeColor="text1"/>
          <w:sz w:val="24"/>
          <w:szCs w:val="24"/>
          <w:lang w:val="el-GR"/>
        </w:rPr>
        <w:t xml:space="preserve">. </w:t>
      </w:r>
      <w:r>
        <w:rPr>
          <w:rFonts w:cstheme="minorHAnsi"/>
          <w:color w:val="000000" w:themeColor="text1"/>
          <w:sz w:val="24"/>
          <w:szCs w:val="24"/>
          <w:lang w:val="el-GR"/>
        </w:rPr>
        <w:t>Στο</w:t>
      </w:r>
      <w:r w:rsidRPr="003D7102">
        <w:rPr>
          <w:rFonts w:cstheme="minorHAnsi"/>
          <w:color w:val="000000" w:themeColor="text1"/>
          <w:sz w:val="24"/>
          <w:szCs w:val="24"/>
          <w:lang w:val="el-GR"/>
        </w:rPr>
        <w:t xml:space="preserve"> </w:t>
      </w:r>
      <w:r>
        <w:rPr>
          <w:rFonts w:cstheme="minorHAnsi"/>
          <w:color w:val="000000" w:themeColor="text1"/>
          <w:sz w:val="24"/>
          <w:szCs w:val="24"/>
          <w:lang w:val="el-GR"/>
        </w:rPr>
        <w:t>παρόν</w:t>
      </w:r>
      <w:r w:rsidRPr="003D7102">
        <w:rPr>
          <w:rFonts w:cstheme="minorHAnsi"/>
          <w:color w:val="000000" w:themeColor="text1"/>
          <w:sz w:val="24"/>
          <w:szCs w:val="24"/>
          <w:lang w:val="el-GR"/>
        </w:rPr>
        <w:t xml:space="preserve"> </w:t>
      </w:r>
      <w:r>
        <w:rPr>
          <w:rFonts w:cstheme="minorHAnsi"/>
          <w:color w:val="000000" w:themeColor="text1"/>
          <w:sz w:val="24"/>
          <w:szCs w:val="24"/>
          <w:lang w:val="el-GR"/>
        </w:rPr>
        <w:t>στάδιο</w:t>
      </w:r>
      <w:r w:rsidRPr="003D7102">
        <w:rPr>
          <w:rFonts w:cstheme="minorHAnsi"/>
          <w:color w:val="000000" w:themeColor="text1"/>
          <w:sz w:val="24"/>
          <w:szCs w:val="24"/>
          <w:lang w:val="el-GR"/>
        </w:rPr>
        <w:t xml:space="preserve"> </w:t>
      </w:r>
      <w:r>
        <w:rPr>
          <w:rFonts w:cstheme="minorHAnsi"/>
          <w:color w:val="000000" w:themeColor="text1"/>
          <w:sz w:val="24"/>
          <w:szCs w:val="24"/>
          <w:lang w:val="el-GR"/>
        </w:rPr>
        <w:t>το</w:t>
      </w:r>
      <w:r w:rsidRPr="003D7102">
        <w:rPr>
          <w:rFonts w:cstheme="minorHAnsi"/>
          <w:color w:val="000000" w:themeColor="text1"/>
          <w:sz w:val="24"/>
          <w:szCs w:val="24"/>
          <w:lang w:val="el-GR"/>
        </w:rPr>
        <w:t xml:space="preserve"> </w:t>
      </w:r>
      <w:r>
        <w:rPr>
          <w:rFonts w:cstheme="minorHAnsi"/>
          <w:color w:val="000000" w:themeColor="text1"/>
          <w:sz w:val="24"/>
          <w:szCs w:val="24"/>
          <w:lang w:val="el-GR"/>
        </w:rPr>
        <w:t>Σύνταγμα</w:t>
      </w:r>
      <w:r w:rsidRPr="003D7102">
        <w:rPr>
          <w:rFonts w:cstheme="minorHAnsi"/>
          <w:color w:val="000000" w:themeColor="text1"/>
          <w:sz w:val="24"/>
          <w:szCs w:val="24"/>
          <w:lang w:val="el-GR"/>
        </w:rPr>
        <w:t xml:space="preserve"> </w:t>
      </w:r>
      <w:r>
        <w:rPr>
          <w:rFonts w:cstheme="minorHAnsi"/>
          <w:color w:val="000000" w:themeColor="text1"/>
          <w:sz w:val="24"/>
          <w:szCs w:val="24"/>
          <w:lang w:val="el-GR"/>
        </w:rPr>
        <w:t>αναφέρει</w:t>
      </w:r>
      <w:r w:rsidRPr="003D7102">
        <w:rPr>
          <w:rFonts w:cstheme="minorHAnsi"/>
          <w:color w:val="000000" w:themeColor="text1"/>
          <w:sz w:val="24"/>
          <w:szCs w:val="24"/>
          <w:lang w:val="el-GR"/>
        </w:rPr>
        <w:t xml:space="preserve"> </w:t>
      </w:r>
      <w:r>
        <w:rPr>
          <w:rFonts w:cstheme="minorHAnsi"/>
          <w:color w:val="000000" w:themeColor="text1"/>
          <w:sz w:val="24"/>
          <w:szCs w:val="24"/>
          <w:lang w:val="el-GR"/>
        </w:rPr>
        <w:t>μόνο</w:t>
      </w:r>
      <w:r w:rsidRPr="003D7102">
        <w:rPr>
          <w:rFonts w:cstheme="minorHAnsi"/>
          <w:color w:val="000000" w:themeColor="text1"/>
          <w:sz w:val="24"/>
          <w:szCs w:val="24"/>
          <w:lang w:val="el-GR"/>
        </w:rPr>
        <w:t xml:space="preserve"> </w:t>
      </w:r>
      <w:r>
        <w:rPr>
          <w:rFonts w:cstheme="minorHAnsi"/>
          <w:color w:val="000000" w:themeColor="text1"/>
          <w:sz w:val="24"/>
          <w:szCs w:val="24"/>
          <w:lang w:val="el-GR"/>
        </w:rPr>
        <w:t>ότι</w:t>
      </w:r>
      <w:r w:rsidRPr="003D7102">
        <w:rPr>
          <w:rFonts w:cstheme="minorHAnsi"/>
          <w:color w:val="000000" w:themeColor="text1"/>
          <w:sz w:val="24"/>
          <w:szCs w:val="24"/>
          <w:lang w:val="el-GR"/>
        </w:rPr>
        <w:t xml:space="preserve"> </w:t>
      </w:r>
      <w:r>
        <w:rPr>
          <w:rFonts w:cstheme="minorHAnsi"/>
          <w:color w:val="000000" w:themeColor="text1"/>
          <w:sz w:val="24"/>
          <w:szCs w:val="24"/>
          <w:lang w:val="el-GR"/>
        </w:rPr>
        <w:t>αυτοί</w:t>
      </w:r>
      <w:r w:rsidRPr="003D7102">
        <w:rPr>
          <w:rFonts w:cstheme="minorHAnsi"/>
          <w:color w:val="000000" w:themeColor="text1"/>
          <w:sz w:val="24"/>
          <w:szCs w:val="24"/>
          <w:lang w:val="el-GR"/>
        </w:rPr>
        <w:t xml:space="preserve"> </w:t>
      </w:r>
      <w:r>
        <w:rPr>
          <w:rFonts w:cstheme="minorHAnsi"/>
          <w:color w:val="000000" w:themeColor="text1"/>
          <w:sz w:val="24"/>
          <w:szCs w:val="24"/>
          <w:lang w:val="el-GR"/>
        </w:rPr>
        <w:t>διορίζονται</w:t>
      </w:r>
      <w:r w:rsidRPr="003D7102">
        <w:rPr>
          <w:rFonts w:cstheme="minorHAnsi"/>
          <w:color w:val="000000" w:themeColor="text1"/>
          <w:sz w:val="24"/>
          <w:szCs w:val="24"/>
          <w:lang w:val="el-GR"/>
        </w:rPr>
        <w:t xml:space="preserve"> </w:t>
      </w:r>
      <w:r>
        <w:rPr>
          <w:rFonts w:cstheme="minorHAnsi"/>
          <w:color w:val="000000" w:themeColor="text1"/>
          <w:sz w:val="24"/>
          <w:szCs w:val="24"/>
          <w:lang w:val="el-GR"/>
        </w:rPr>
        <w:t>από</w:t>
      </w:r>
      <w:r w:rsidRPr="003D7102">
        <w:rPr>
          <w:rFonts w:cstheme="minorHAnsi"/>
          <w:color w:val="000000" w:themeColor="text1"/>
          <w:sz w:val="24"/>
          <w:szCs w:val="24"/>
          <w:lang w:val="el-GR"/>
        </w:rPr>
        <w:t xml:space="preserve"> </w:t>
      </w:r>
      <w:r>
        <w:rPr>
          <w:rFonts w:cstheme="minorHAnsi"/>
          <w:color w:val="000000" w:themeColor="text1"/>
          <w:sz w:val="24"/>
          <w:szCs w:val="24"/>
          <w:lang w:val="el-GR"/>
        </w:rPr>
        <w:t>τον</w:t>
      </w:r>
      <w:r w:rsidRPr="003D7102">
        <w:rPr>
          <w:rFonts w:cstheme="minorHAnsi"/>
          <w:color w:val="000000" w:themeColor="text1"/>
          <w:sz w:val="24"/>
          <w:szCs w:val="24"/>
          <w:lang w:val="el-GR"/>
        </w:rPr>
        <w:t xml:space="preserve"> </w:t>
      </w:r>
      <w:r>
        <w:rPr>
          <w:rFonts w:cstheme="minorHAnsi"/>
          <w:color w:val="000000" w:themeColor="text1"/>
          <w:sz w:val="24"/>
          <w:szCs w:val="24"/>
          <w:lang w:val="el-GR"/>
        </w:rPr>
        <w:t>Πρόεδρο</w:t>
      </w:r>
      <w:r w:rsidR="00220066" w:rsidRPr="003D7102">
        <w:rPr>
          <w:rFonts w:cstheme="minorHAnsi"/>
          <w:color w:val="000000" w:themeColor="text1"/>
          <w:sz w:val="24"/>
          <w:szCs w:val="24"/>
          <w:lang w:val="el-GR"/>
        </w:rPr>
        <w:t xml:space="preserve"> </w:t>
      </w:r>
      <w:r>
        <w:rPr>
          <w:rFonts w:cstheme="minorHAnsi"/>
          <w:color w:val="000000" w:themeColor="text1"/>
          <w:sz w:val="24"/>
          <w:szCs w:val="24"/>
          <w:lang w:val="el-GR"/>
        </w:rPr>
        <w:t>χωρίς</w:t>
      </w:r>
      <w:r w:rsidRPr="003D7102">
        <w:rPr>
          <w:rFonts w:cstheme="minorHAnsi"/>
          <w:color w:val="000000" w:themeColor="text1"/>
          <w:sz w:val="24"/>
          <w:szCs w:val="24"/>
          <w:lang w:val="el-GR"/>
        </w:rPr>
        <w:t xml:space="preserve"> </w:t>
      </w:r>
      <w:r>
        <w:rPr>
          <w:rFonts w:cstheme="minorHAnsi"/>
          <w:color w:val="000000" w:themeColor="text1"/>
          <w:sz w:val="24"/>
          <w:szCs w:val="24"/>
          <w:lang w:val="el-GR"/>
        </w:rPr>
        <w:t>να</w:t>
      </w:r>
      <w:r w:rsidR="003D7102" w:rsidRPr="003D7102">
        <w:rPr>
          <w:rFonts w:cstheme="minorHAnsi"/>
          <w:color w:val="000000" w:themeColor="text1"/>
          <w:sz w:val="24"/>
          <w:szCs w:val="24"/>
          <w:lang w:val="el-GR"/>
        </w:rPr>
        <w:t xml:space="preserve"> </w:t>
      </w:r>
      <w:r w:rsidR="002E5EC0">
        <w:rPr>
          <w:rFonts w:cstheme="minorHAnsi"/>
          <w:color w:val="000000" w:themeColor="text1"/>
          <w:sz w:val="24"/>
          <w:szCs w:val="24"/>
          <w:lang w:val="el-GR"/>
        </w:rPr>
        <w:t>διευκρινίζει</w:t>
      </w:r>
      <w:r w:rsidR="003D7102" w:rsidRPr="003D7102">
        <w:rPr>
          <w:rFonts w:cstheme="minorHAnsi"/>
          <w:color w:val="000000" w:themeColor="text1"/>
          <w:sz w:val="24"/>
          <w:szCs w:val="24"/>
          <w:lang w:val="el-GR"/>
        </w:rPr>
        <w:t xml:space="preserve"> </w:t>
      </w:r>
      <w:r w:rsidR="003D7102">
        <w:rPr>
          <w:rFonts w:cstheme="minorHAnsi"/>
          <w:color w:val="000000" w:themeColor="text1"/>
          <w:sz w:val="24"/>
          <w:szCs w:val="24"/>
          <w:lang w:val="el-GR"/>
        </w:rPr>
        <w:t>οποιαδήποτε περαιτέρω λεπτομέρεια</w:t>
      </w:r>
      <w:r w:rsidR="00220066" w:rsidRPr="003D7102">
        <w:rPr>
          <w:rFonts w:cstheme="minorHAnsi"/>
          <w:color w:val="000000" w:themeColor="text1"/>
          <w:sz w:val="24"/>
          <w:szCs w:val="24"/>
          <w:lang w:val="el-GR"/>
        </w:rPr>
        <w:t xml:space="preserve"> </w:t>
      </w:r>
      <w:r w:rsidR="003D7102">
        <w:rPr>
          <w:rFonts w:cstheme="minorHAnsi"/>
          <w:color w:val="000000" w:themeColor="text1"/>
          <w:sz w:val="24"/>
          <w:szCs w:val="24"/>
          <w:lang w:val="el-GR"/>
        </w:rPr>
        <w:t>για τον σχετικό μηχανισμό λήψης αποφάσεων</w:t>
      </w:r>
      <w:r w:rsidR="00220066" w:rsidRPr="003D7102">
        <w:rPr>
          <w:rFonts w:cstheme="minorHAnsi"/>
          <w:color w:val="000000" w:themeColor="text1"/>
          <w:sz w:val="24"/>
          <w:szCs w:val="24"/>
          <w:lang w:val="el-GR"/>
        </w:rPr>
        <w:t xml:space="preserve"> </w:t>
      </w:r>
      <w:r w:rsidR="003D7102">
        <w:rPr>
          <w:rFonts w:cstheme="minorHAnsi"/>
          <w:color w:val="000000" w:themeColor="text1"/>
          <w:sz w:val="24"/>
          <w:szCs w:val="24"/>
          <w:lang w:val="el-GR"/>
        </w:rPr>
        <w:t>που πρέπει να υπάρχει για να εξασφαλισθεί η αντικειμενικότητα ή διαβούλευση των σχετικών ενδιαφερομένων</w:t>
      </w:r>
      <w:r w:rsidR="00220066" w:rsidRPr="003D7102">
        <w:rPr>
          <w:rFonts w:cstheme="minorHAnsi"/>
          <w:color w:val="000000" w:themeColor="text1"/>
          <w:sz w:val="24"/>
          <w:szCs w:val="24"/>
          <w:lang w:val="el-GR"/>
        </w:rPr>
        <w:t>.</w:t>
      </w:r>
      <w:r w:rsidR="005B586E" w:rsidRPr="003D7102">
        <w:rPr>
          <w:rFonts w:cstheme="minorHAnsi"/>
          <w:color w:val="000000" w:themeColor="text1"/>
          <w:sz w:val="24"/>
          <w:szCs w:val="24"/>
          <w:lang w:val="el-GR"/>
        </w:rPr>
        <w:t xml:space="preserve"> </w:t>
      </w:r>
      <w:r w:rsidR="00E3509A">
        <w:rPr>
          <w:rFonts w:cstheme="minorHAnsi"/>
          <w:color w:val="000000" w:themeColor="text1"/>
          <w:sz w:val="24"/>
          <w:szCs w:val="24"/>
          <w:lang w:val="el-GR"/>
        </w:rPr>
        <w:t>Οι</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αρχές</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τονίζουν</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ότι</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η</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Συνταγματική</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αυτή</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πρόνοια</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δεν</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τροποποιείται</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επειδή</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αγγίζει στο σύστημα της μικτής</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αντιπροσώπευσης</w:t>
      </w:r>
      <w:r w:rsidR="005B586E"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όπως περιγράφεται στις παραγράφους</w:t>
      </w:r>
      <w:r w:rsidR="005B586E" w:rsidRPr="00E3509A">
        <w:rPr>
          <w:rFonts w:cstheme="minorHAnsi"/>
          <w:color w:val="000000" w:themeColor="text1"/>
          <w:sz w:val="24"/>
          <w:szCs w:val="24"/>
          <w:lang w:val="el-GR"/>
        </w:rPr>
        <w:t xml:space="preserve"> 17-18 </w:t>
      </w:r>
      <w:r w:rsidR="00E3509A">
        <w:rPr>
          <w:rFonts w:cstheme="minorHAnsi"/>
          <w:color w:val="000000" w:themeColor="text1"/>
          <w:sz w:val="24"/>
          <w:szCs w:val="24"/>
          <w:lang w:val="el-GR"/>
        </w:rPr>
        <w:t>στην έκθ</w:t>
      </w:r>
      <w:r w:rsidR="004E05E1">
        <w:rPr>
          <w:rFonts w:cstheme="minorHAnsi"/>
          <w:color w:val="000000" w:themeColor="text1"/>
          <w:sz w:val="24"/>
          <w:szCs w:val="24"/>
          <w:lang w:val="el-GR"/>
        </w:rPr>
        <w:t>ε</w:t>
      </w:r>
      <w:r w:rsidR="00E3509A">
        <w:rPr>
          <w:rFonts w:cstheme="minorHAnsi"/>
          <w:color w:val="000000" w:themeColor="text1"/>
          <w:sz w:val="24"/>
          <w:szCs w:val="24"/>
          <w:lang w:val="el-GR"/>
        </w:rPr>
        <w:t>ση αυτή</w:t>
      </w:r>
      <w:r w:rsidR="005B586E"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Τρεις</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Αρχηγοί</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της</w:t>
      </w:r>
      <w:r w:rsidR="00E3509A" w:rsidRPr="00E3509A">
        <w:rPr>
          <w:rFonts w:cstheme="minorHAnsi"/>
          <w:color w:val="000000" w:themeColor="text1"/>
          <w:sz w:val="24"/>
          <w:szCs w:val="24"/>
          <w:lang w:val="el-GR"/>
        </w:rPr>
        <w:t xml:space="preserve"> </w:t>
      </w:r>
      <w:r w:rsidR="009C4E34">
        <w:rPr>
          <w:rFonts w:cstheme="minorHAnsi"/>
          <w:color w:val="000000" w:themeColor="text1"/>
          <w:sz w:val="24"/>
          <w:szCs w:val="24"/>
          <w:lang w:val="el-GR"/>
        </w:rPr>
        <w:t>Αστυνομία</w:t>
      </w:r>
      <w:r w:rsidR="00E3509A">
        <w:rPr>
          <w:rFonts w:cstheme="minorHAnsi"/>
          <w:color w:val="000000" w:themeColor="text1"/>
          <w:sz w:val="24"/>
          <w:szCs w:val="24"/>
          <w:lang w:val="el-GR"/>
        </w:rPr>
        <w:t>ς</w:t>
      </w:r>
      <w:r w:rsidR="00220066"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έχουν</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παραιτηθεί</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ή</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έχουν</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απολυθεί</w:t>
      </w:r>
      <w:r w:rsidR="00220066"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στα</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τελευταία</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οκτώ</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χρόνια</w:t>
      </w:r>
      <w:r w:rsidR="005B586E"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και</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οι</w:t>
      </w:r>
      <w:r w:rsidR="00E3509A"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αρχές</w:t>
      </w:r>
      <w:r w:rsidR="005B586E"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αποδίδουν την παραίτηση τους</w:t>
      </w:r>
      <w:r w:rsidR="005B586E"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στην λειτουργική αποτυχία</w:t>
      </w:r>
      <w:r w:rsidR="001349A4" w:rsidRPr="00E3509A">
        <w:rPr>
          <w:rFonts w:cstheme="minorHAnsi"/>
          <w:color w:val="000000" w:themeColor="text1"/>
          <w:sz w:val="24"/>
          <w:szCs w:val="24"/>
          <w:lang w:val="el-GR"/>
        </w:rPr>
        <w:t xml:space="preserve"> </w:t>
      </w:r>
      <w:r w:rsidR="00E3509A">
        <w:rPr>
          <w:rFonts w:cstheme="minorHAnsi"/>
          <w:color w:val="000000" w:themeColor="text1"/>
          <w:sz w:val="24"/>
          <w:szCs w:val="24"/>
          <w:lang w:val="el-GR"/>
        </w:rPr>
        <w:t>παρά σε λόγους που σχετίζονται με την ακεραιότητα των ενδιαφερομένων ατόμων ή την διαφθορά</w:t>
      </w:r>
      <w:r w:rsidR="00220066" w:rsidRPr="00E3509A">
        <w:rPr>
          <w:rFonts w:cstheme="minorHAnsi"/>
          <w:color w:val="000000" w:themeColor="text1"/>
          <w:sz w:val="24"/>
          <w:szCs w:val="24"/>
          <w:lang w:val="el-GR"/>
        </w:rPr>
        <w:t>.</w:t>
      </w:r>
      <w:r w:rsidR="00220066" w:rsidRPr="00E3509A">
        <w:rPr>
          <w:rFonts w:cstheme="minorHAnsi"/>
          <w:b/>
          <w:color w:val="000000" w:themeColor="text1"/>
          <w:sz w:val="24"/>
          <w:szCs w:val="24"/>
          <w:lang w:val="el-GR"/>
        </w:rPr>
        <w:t xml:space="preserve"> </w:t>
      </w:r>
      <w:r w:rsidR="00E3509A" w:rsidRPr="00E3509A">
        <w:rPr>
          <w:rFonts w:cstheme="minorHAnsi"/>
          <w:b/>
          <w:color w:val="000000" w:themeColor="text1"/>
          <w:sz w:val="24"/>
          <w:szCs w:val="24"/>
          <w:lang w:val="el-GR"/>
        </w:rPr>
        <w:t xml:space="preserve">Η </w:t>
      </w:r>
      <w:r w:rsidR="00220066" w:rsidRPr="00B95983">
        <w:rPr>
          <w:rFonts w:cstheme="minorHAnsi"/>
          <w:b/>
          <w:bCs/>
          <w:sz w:val="24"/>
          <w:szCs w:val="24"/>
        </w:rPr>
        <w:t>GRECO</w:t>
      </w:r>
      <w:r w:rsidR="00220066" w:rsidRPr="00E3509A">
        <w:rPr>
          <w:rFonts w:cstheme="minorHAnsi"/>
          <w:b/>
          <w:bCs/>
          <w:sz w:val="24"/>
          <w:szCs w:val="24"/>
          <w:lang w:val="el-GR"/>
        </w:rPr>
        <w:t xml:space="preserve"> </w:t>
      </w:r>
      <w:r w:rsidR="00E3509A">
        <w:rPr>
          <w:rFonts w:cstheme="minorHAnsi"/>
          <w:b/>
          <w:bCs/>
          <w:sz w:val="24"/>
          <w:szCs w:val="24"/>
          <w:lang w:val="el-GR"/>
        </w:rPr>
        <w:t>συνιστά</w:t>
      </w:r>
      <w:r w:rsidR="00E3509A" w:rsidRPr="00E3509A">
        <w:rPr>
          <w:rFonts w:cstheme="minorHAnsi"/>
          <w:b/>
          <w:bCs/>
          <w:sz w:val="24"/>
          <w:szCs w:val="24"/>
          <w:lang w:val="el-GR"/>
        </w:rPr>
        <w:t xml:space="preserve"> </w:t>
      </w:r>
      <w:r w:rsidR="00162C83">
        <w:rPr>
          <w:rFonts w:cstheme="minorHAnsi"/>
          <w:b/>
          <w:bCs/>
          <w:sz w:val="24"/>
          <w:szCs w:val="24"/>
          <w:lang w:val="el-GR"/>
        </w:rPr>
        <w:t>τη θ</w:t>
      </w:r>
      <w:r w:rsidR="00162C83" w:rsidRPr="00481634">
        <w:rPr>
          <w:rFonts w:cstheme="minorHAnsi"/>
          <w:b/>
          <w:bCs/>
          <w:sz w:val="24"/>
          <w:szCs w:val="24"/>
          <w:lang w:val="el-GR"/>
        </w:rPr>
        <w:t xml:space="preserve">έσπιση πρόσθετων μέτρων, εντός των παραμέτρων του Συντάγματος, σχετικά με το διορισμό και την παύση του Αρχηγού και του Υπαρχηγού της Αστυνομίας που βασίζονται σε </w:t>
      </w:r>
      <w:r w:rsidR="00162C83">
        <w:rPr>
          <w:rFonts w:cstheme="minorHAnsi"/>
          <w:b/>
          <w:bCs/>
          <w:sz w:val="24"/>
          <w:szCs w:val="24"/>
          <w:lang w:val="el-GR"/>
        </w:rPr>
        <w:t>επίσημα</w:t>
      </w:r>
      <w:r w:rsidR="00162C83" w:rsidRPr="00481634">
        <w:rPr>
          <w:rFonts w:cstheme="minorHAnsi"/>
          <w:b/>
          <w:bCs/>
          <w:sz w:val="24"/>
          <w:szCs w:val="24"/>
          <w:lang w:val="el-GR"/>
        </w:rPr>
        <w:t>, αντικειμενικά, ανταγωνιστικά και διαφανή κριτήρια και διαδικασίες</w:t>
      </w:r>
      <w:r w:rsidR="00220066" w:rsidRPr="00E3509A">
        <w:rPr>
          <w:rFonts w:cstheme="minorHAnsi"/>
          <w:b/>
          <w:bCs/>
          <w:sz w:val="24"/>
          <w:szCs w:val="24"/>
          <w:lang w:val="el-GR"/>
        </w:rPr>
        <w:t>.</w:t>
      </w:r>
      <w:r w:rsidR="00220066" w:rsidRPr="00E3509A">
        <w:rPr>
          <w:rFonts w:cstheme="minorHAnsi"/>
          <w:sz w:val="24"/>
          <w:szCs w:val="24"/>
          <w:lang w:val="el-GR"/>
        </w:rPr>
        <w:t xml:space="preserve"> </w:t>
      </w:r>
    </w:p>
    <w:p w14:paraId="539E8C41" w14:textId="77777777" w:rsidR="00220066" w:rsidRPr="00E3509A" w:rsidRDefault="00220066" w:rsidP="00220066">
      <w:pPr>
        <w:pStyle w:val="ListParagraph"/>
        <w:rPr>
          <w:rFonts w:cstheme="minorHAnsi"/>
          <w:sz w:val="24"/>
          <w:szCs w:val="24"/>
          <w:lang w:val="el-GR"/>
        </w:rPr>
      </w:pPr>
    </w:p>
    <w:p w14:paraId="04777F98" w14:textId="1009C69C" w:rsidR="00220066" w:rsidRPr="00907DCA" w:rsidRDefault="00907DCA"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Ο</w:t>
      </w:r>
      <w:r w:rsidRPr="00907DCA">
        <w:rPr>
          <w:rFonts w:cstheme="minorHAnsi"/>
          <w:sz w:val="24"/>
          <w:szCs w:val="24"/>
          <w:lang w:val="el-GR"/>
        </w:rPr>
        <w:t xml:space="preserve"> </w:t>
      </w:r>
      <w:r>
        <w:rPr>
          <w:rFonts w:cstheme="minorHAnsi"/>
          <w:sz w:val="24"/>
          <w:szCs w:val="24"/>
          <w:lang w:val="el-GR"/>
        </w:rPr>
        <w:t>διορισμός</w:t>
      </w:r>
      <w:r w:rsidRPr="00907DCA">
        <w:rPr>
          <w:rFonts w:cstheme="minorHAnsi"/>
          <w:sz w:val="24"/>
          <w:szCs w:val="24"/>
          <w:lang w:val="el-GR"/>
        </w:rPr>
        <w:t xml:space="preserve"> </w:t>
      </w:r>
      <w:r>
        <w:rPr>
          <w:rFonts w:cstheme="minorHAnsi"/>
          <w:sz w:val="24"/>
          <w:szCs w:val="24"/>
          <w:lang w:val="el-GR"/>
        </w:rPr>
        <w:t>διαφόρων</w:t>
      </w:r>
      <w:r w:rsidRPr="00907DCA">
        <w:rPr>
          <w:rFonts w:cstheme="minorHAnsi"/>
          <w:sz w:val="24"/>
          <w:szCs w:val="24"/>
          <w:lang w:val="el-GR"/>
        </w:rPr>
        <w:t xml:space="preserve"> </w:t>
      </w:r>
      <w:r>
        <w:rPr>
          <w:rFonts w:cstheme="minorHAnsi"/>
          <w:sz w:val="24"/>
          <w:szCs w:val="24"/>
          <w:lang w:val="el-GR"/>
        </w:rPr>
        <w:t>ψηλών</w:t>
      </w:r>
      <w:r w:rsidRPr="00907DCA">
        <w:rPr>
          <w:rFonts w:cstheme="minorHAnsi"/>
          <w:sz w:val="24"/>
          <w:szCs w:val="24"/>
          <w:lang w:val="el-GR"/>
        </w:rPr>
        <w:t xml:space="preserve"> </w:t>
      </w:r>
      <w:r>
        <w:rPr>
          <w:rFonts w:cstheme="minorHAnsi"/>
          <w:sz w:val="24"/>
          <w:szCs w:val="24"/>
          <w:lang w:val="el-GR"/>
        </w:rPr>
        <w:t>διευθυντικών</w:t>
      </w:r>
      <w:r w:rsidRPr="00907DCA">
        <w:rPr>
          <w:rFonts w:cstheme="minorHAnsi"/>
          <w:sz w:val="24"/>
          <w:szCs w:val="24"/>
          <w:lang w:val="el-GR"/>
        </w:rPr>
        <w:t xml:space="preserve"> </w:t>
      </w:r>
      <w:r>
        <w:rPr>
          <w:rFonts w:cstheme="minorHAnsi"/>
          <w:sz w:val="24"/>
          <w:szCs w:val="24"/>
          <w:lang w:val="el-GR"/>
        </w:rPr>
        <w:t>θέσεων</w:t>
      </w:r>
      <w:r w:rsidR="00220066" w:rsidRPr="00907DCA">
        <w:rPr>
          <w:sz w:val="24"/>
          <w:szCs w:val="24"/>
          <w:lang w:val="el-GR"/>
        </w:rPr>
        <w:t xml:space="preserve"> </w:t>
      </w:r>
      <w:r>
        <w:rPr>
          <w:sz w:val="24"/>
          <w:szCs w:val="24"/>
          <w:lang w:val="el-GR"/>
        </w:rPr>
        <w:t>είναι</w:t>
      </w:r>
      <w:r w:rsidRPr="00907DCA">
        <w:rPr>
          <w:sz w:val="24"/>
          <w:szCs w:val="24"/>
          <w:lang w:val="el-GR"/>
        </w:rPr>
        <w:t xml:space="preserve"> </w:t>
      </w:r>
      <w:r>
        <w:rPr>
          <w:sz w:val="24"/>
          <w:szCs w:val="24"/>
          <w:lang w:val="el-GR"/>
        </w:rPr>
        <w:t>επίσης</w:t>
      </w:r>
      <w:r w:rsidRPr="00907DCA">
        <w:rPr>
          <w:sz w:val="24"/>
          <w:szCs w:val="24"/>
          <w:lang w:val="el-GR"/>
        </w:rPr>
        <w:t xml:space="preserve"> </w:t>
      </w:r>
      <w:r>
        <w:rPr>
          <w:sz w:val="24"/>
          <w:szCs w:val="24"/>
          <w:lang w:val="el-GR"/>
        </w:rPr>
        <w:t>μια</w:t>
      </w:r>
      <w:r w:rsidRPr="00907DCA">
        <w:rPr>
          <w:sz w:val="24"/>
          <w:szCs w:val="24"/>
          <w:lang w:val="el-GR"/>
        </w:rPr>
        <w:t xml:space="preserve"> </w:t>
      </w:r>
      <w:r>
        <w:rPr>
          <w:sz w:val="24"/>
          <w:szCs w:val="24"/>
          <w:lang w:val="el-GR"/>
        </w:rPr>
        <w:t>απόφαση</w:t>
      </w:r>
      <w:r w:rsidR="00220066" w:rsidRPr="00907DCA">
        <w:rPr>
          <w:sz w:val="24"/>
          <w:szCs w:val="24"/>
          <w:lang w:val="el-GR"/>
        </w:rPr>
        <w:t xml:space="preserve"> </w:t>
      </w:r>
      <w:r>
        <w:rPr>
          <w:sz w:val="24"/>
          <w:szCs w:val="24"/>
          <w:lang w:val="el-GR"/>
        </w:rPr>
        <w:t>που</w:t>
      </w:r>
      <w:r w:rsidRPr="00907DCA">
        <w:rPr>
          <w:sz w:val="24"/>
          <w:szCs w:val="24"/>
          <w:lang w:val="el-GR"/>
        </w:rPr>
        <w:t xml:space="preserve"> </w:t>
      </w:r>
      <w:r>
        <w:rPr>
          <w:sz w:val="24"/>
          <w:szCs w:val="24"/>
          <w:lang w:val="el-GR"/>
        </w:rPr>
        <w:t>λαμβάνεται</w:t>
      </w:r>
      <w:r w:rsidRPr="00907DCA">
        <w:rPr>
          <w:sz w:val="24"/>
          <w:szCs w:val="24"/>
          <w:lang w:val="el-GR"/>
        </w:rPr>
        <w:t xml:space="preserve"> </w:t>
      </w:r>
      <w:r>
        <w:rPr>
          <w:sz w:val="24"/>
          <w:szCs w:val="24"/>
          <w:lang w:val="el-GR"/>
        </w:rPr>
        <w:t>αποκλειστικά</w:t>
      </w:r>
      <w:r w:rsidRPr="00907DCA">
        <w:rPr>
          <w:sz w:val="24"/>
          <w:szCs w:val="24"/>
          <w:lang w:val="el-GR"/>
        </w:rPr>
        <w:t xml:space="preserve"> </w:t>
      </w:r>
      <w:r>
        <w:rPr>
          <w:sz w:val="24"/>
          <w:szCs w:val="24"/>
          <w:lang w:val="el-GR"/>
        </w:rPr>
        <w:t>από</w:t>
      </w:r>
      <w:r w:rsidRPr="00907DCA">
        <w:rPr>
          <w:sz w:val="24"/>
          <w:szCs w:val="24"/>
          <w:lang w:val="el-GR"/>
        </w:rPr>
        <w:t xml:space="preserve"> </w:t>
      </w:r>
      <w:r>
        <w:rPr>
          <w:sz w:val="24"/>
          <w:szCs w:val="24"/>
          <w:lang w:val="el-GR"/>
        </w:rPr>
        <w:t>τον</w:t>
      </w:r>
      <w:r w:rsidRPr="00907DCA">
        <w:rPr>
          <w:sz w:val="24"/>
          <w:szCs w:val="24"/>
          <w:lang w:val="el-GR"/>
        </w:rPr>
        <w:t xml:space="preserve"> </w:t>
      </w:r>
      <w:r>
        <w:rPr>
          <w:sz w:val="24"/>
          <w:szCs w:val="24"/>
          <w:lang w:val="el-GR"/>
        </w:rPr>
        <w:t>Αρχηγό</w:t>
      </w:r>
      <w:r w:rsidRPr="00907DCA">
        <w:rPr>
          <w:sz w:val="24"/>
          <w:szCs w:val="24"/>
          <w:lang w:val="el-GR"/>
        </w:rPr>
        <w:t xml:space="preserve"> </w:t>
      </w:r>
      <w:r>
        <w:rPr>
          <w:sz w:val="24"/>
          <w:szCs w:val="24"/>
          <w:lang w:val="el-GR"/>
        </w:rPr>
        <w:t>της</w:t>
      </w:r>
      <w:r w:rsidRPr="00907DCA">
        <w:rPr>
          <w:sz w:val="24"/>
          <w:szCs w:val="24"/>
          <w:lang w:val="el-GR"/>
        </w:rPr>
        <w:t xml:space="preserve"> </w:t>
      </w:r>
      <w:r w:rsidR="009C4E34">
        <w:rPr>
          <w:sz w:val="24"/>
          <w:szCs w:val="24"/>
          <w:lang w:val="el-GR"/>
        </w:rPr>
        <w:t>Αστυνομία</w:t>
      </w:r>
      <w:r>
        <w:rPr>
          <w:sz w:val="24"/>
          <w:szCs w:val="24"/>
          <w:lang w:val="el-GR"/>
        </w:rPr>
        <w:t>ς</w:t>
      </w:r>
      <w:r w:rsidRPr="00907DCA">
        <w:rPr>
          <w:sz w:val="24"/>
          <w:szCs w:val="24"/>
          <w:lang w:val="el-GR"/>
        </w:rPr>
        <w:t xml:space="preserve"> σε διαβο</w:t>
      </w:r>
      <w:r>
        <w:rPr>
          <w:sz w:val="24"/>
          <w:szCs w:val="24"/>
          <w:lang w:val="el-GR"/>
        </w:rPr>
        <w:t>ύλευση</w:t>
      </w:r>
      <w:r w:rsidRPr="00907DCA">
        <w:rPr>
          <w:sz w:val="24"/>
          <w:szCs w:val="24"/>
          <w:lang w:val="el-GR"/>
        </w:rPr>
        <w:t xml:space="preserve"> </w:t>
      </w:r>
      <w:r>
        <w:rPr>
          <w:sz w:val="24"/>
          <w:szCs w:val="24"/>
          <w:lang w:val="el-GR"/>
        </w:rPr>
        <w:t>με</w:t>
      </w:r>
      <w:r w:rsidRPr="00907DCA">
        <w:rPr>
          <w:sz w:val="24"/>
          <w:szCs w:val="24"/>
          <w:lang w:val="el-GR"/>
        </w:rPr>
        <w:t xml:space="preserve"> </w:t>
      </w:r>
      <w:r>
        <w:rPr>
          <w:sz w:val="24"/>
          <w:szCs w:val="24"/>
          <w:lang w:val="el-GR"/>
        </w:rPr>
        <w:t>τον</w:t>
      </w:r>
      <w:r w:rsidRPr="00907DCA">
        <w:rPr>
          <w:sz w:val="24"/>
          <w:szCs w:val="24"/>
          <w:lang w:val="el-GR"/>
        </w:rPr>
        <w:t xml:space="preserve"> </w:t>
      </w:r>
      <w:r>
        <w:rPr>
          <w:sz w:val="24"/>
          <w:szCs w:val="24"/>
          <w:lang w:val="el-GR"/>
        </w:rPr>
        <w:t>Υπουργό</w:t>
      </w:r>
      <w:r w:rsidRPr="00907DCA">
        <w:rPr>
          <w:sz w:val="24"/>
          <w:szCs w:val="24"/>
          <w:lang w:val="el-GR"/>
        </w:rPr>
        <w:t xml:space="preserve"> </w:t>
      </w:r>
      <w:r>
        <w:rPr>
          <w:sz w:val="24"/>
          <w:szCs w:val="24"/>
          <w:lang w:val="el-GR"/>
        </w:rPr>
        <w:t>Δικαιοσύνης και Δημοσίας Τάξεως</w:t>
      </w:r>
      <w:r w:rsidR="00220066" w:rsidRPr="00907DCA">
        <w:rPr>
          <w:sz w:val="24"/>
          <w:szCs w:val="24"/>
          <w:lang w:val="el-GR"/>
        </w:rPr>
        <w:t xml:space="preserve"> (</w:t>
      </w:r>
      <w:r>
        <w:rPr>
          <w:sz w:val="24"/>
          <w:szCs w:val="24"/>
          <w:lang w:val="el-GR"/>
        </w:rPr>
        <w:t>συμπεριλαμβανομένων των αρχηγών της Υπηρεσίας Εσωτερικών Υποθέσεων και των θέσεων της Διεύθυνσης Επαγγελματικών Προτύπων και Επ</w:t>
      </w:r>
      <w:r w:rsidR="004E05E1">
        <w:rPr>
          <w:sz w:val="24"/>
          <w:szCs w:val="24"/>
          <w:lang w:val="el-GR"/>
        </w:rPr>
        <w:t>ι</w:t>
      </w:r>
      <w:r>
        <w:rPr>
          <w:sz w:val="24"/>
          <w:szCs w:val="24"/>
          <w:lang w:val="el-GR"/>
        </w:rPr>
        <w:t>θεώρησης</w:t>
      </w:r>
      <w:r w:rsidR="00220066" w:rsidRPr="00907DCA">
        <w:rPr>
          <w:sz w:val="24"/>
          <w:szCs w:val="24"/>
          <w:lang w:val="el-GR"/>
        </w:rPr>
        <w:t xml:space="preserve">). </w:t>
      </w:r>
      <w:r>
        <w:rPr>
          <w:sz w:val="24"/>
          <w:szCs w:val="24"/>
          <w:lang w:val="el-GR"/>
        </w:rPr>
        <w:t>Δεν</w:t>
      </w:r>
      <w:r w:rsidRPr="00907DCA">
        <w:rPr>
          <w:sz w:val="24"/>
          <w:szCs w:val="24"/>
          <w:lang w:val="el-GR"/>
        </w:rPr>
        <w:t xml:space="preserve"> </w:t>
      </w:r>
      <w:r>
        <w:rPr>
          <w:sz w:val="24"/>
          <w:szCs w:val="24"/>
          <w:lang w:val="el-GR"/>
        </w:rPr>
        <w:t>υπάρχουν</w:t>
      </w:r>
      <w:r w:rsidRPr="00907DCA">
        <w:rPr>
          <w:sz w:val="24"/>
          <w:szCs w:val="24"/>
          <w:lang w:val="el-GR"/>
        </w:rPr>
        <w:t xml:space="preserve"> </w:t>
      </w:r>
      <w:r>
        <w:rPr>
          <w:sz w:val="24"/>
          <w:szCs w:val="24"/>
          <w:lang w:val="el-GR"/>
        </w:rPr>
        <w:t>οποιεσδήποτε</w:t>
      </w:r>
      <w:r w:rsidRPr="00907DCA">
        <w:rPr>
          <w:sz w:val="24"/>
          <w:szCs w:val="24"/>
          <w:lang w:val="el-GR"/>
        </w:rPr>
        <w:t xml:space="preserve"> </w:t>
      </w:r>
      <w:r>
        <w:rPr>
          <w:sz w:val="24"/>
          <w:szCs w:val="24"/>
          <w:lang w:val="el-GR"/>
        </w:rPr>
        <w:t>συγκεκριμένες</w:t>
      </w:r>
      <w:r w:rsidRPr="00907DCA">
        <w:rPr>
          <w:sz w:val="24"/>
          <w:szCs w:val="24"/>
          <w:lang w:val="el-GR"/>
        </w:rPr>
        <w:t xml:space="preserve"> </w:t>
      </w:r>
      <w:r>
        <w:rPr>
          <w:sz w:val="24"/>
          <w:szCs w:val="24"/>
          <w:lang w:val="el-GR"/>
        </w:rPr>
        <w:t>απαιτήσεις</w:t>
      </w:r>
      <w:r w:rsidRPr="00907DCA">
        <w:rPr>
          <w:sz w:val="24"/>
          <w:szCs w:val="24"/>
          <w:lang w:val="el-GR"/>
        </w:rPr>
        <w:t xml:space="preserve"> </w:t>
      </w:r>
      <w:r>
        <w:rPr>
          <w:sz w:val="24"/>
          <w:szCs w:val="24"/>
          <w:lang w:val="el-GR"/>
        </w:rPr>
        <w:t>και</w:t>
      </w:r>
      <w:r w:rsidRPr="00907DCA">
        <w:rPr>
          <w:sz w:val="24"/>
          <w:szCs w:val="24"/>
          <w:lang w:val="el-GR"/>
        </w:rPr>
        <w:t xml:space="preserve"> </w:t>
      </w:r>
      <w:r>
        <w:rPr>
          <w:sz w:val="24"/>
          <w:szCs w:val="24"/>
          <w:lang w:val="el-GR"/>
        </w:rPr>
        <w:t>κριτήρια</w:t>
      </w:r>
      <w:r w:rsidR="00220066" w:rsidRPr="00907DCA">
        <w:rPr>
          <w:sz w:val="24"/>
          <w:szCs w:val="24"/>
          <w:lang w:val="el-GR"/>
        </w:rPr>
        <w:t xml:space="preserve">, </w:t>
      </w:r>
      <w:r>
        <w:rPr>
          <w:sz w:val="24"/>
          <w:szCs w:val="24"/>
          <w:lang w:val="el-GR"/>
        </w:rPr>
        <w:t>ούτε</w:t>
      </w:r>
      <w:r w:rsidRPr="00907DCA">
        <w:rPr>
          <w:sz w:val="24"/>
          <w:szCs w:val="24"/>
          <w:lang w:val="el-GR"/>
        </w:rPr>
        <w:t xml:space="preserve"> </w:t>
      </w:r>
      <w:r>
        <w:rPr>
          <w:sz w:val="24"/>
          <w:szCs w:val="24"/>
          <w:lang w:val="el-GR"/>
        </w:rPr>
        <w:t>οποιο</w:t>
      </w:r>
      <w:r w:rsidR="004E05E1">
        <w:rPr>
          <w:sz w:val="24"/>
          <w:szCs w:val="24"/>
          <w:lang w:val="el-GR"/>
        </w:rPr>
        <w:t>ι</w:t>
      </w:r>
      <w:r>
        <w:rPr>
          <w:sz w:val="24"/>
          <w:szCs w:val="24"/>
          <w:lang w:val="el-GR"/>
        </w:rPr>
        <w:t>δήποτε</w:t>
      </w:r>
      <w:r w:rsidRPr="00907DCA">
        <w:rPr>
          <w:sz w:val="24"/>
          <w:szCs w:val="24"/>
          <w:lang w:val="el-GR"/>
        </w:rPr>
        <w:t xml:space="preserve"> </w:t>
      </w:r>
      <w:r>
        <w:rPr>
          <w:sz w:val="24"/>
          <w:szCs w:val="24"/>
          <w:lang w:val="el-GR"/>
        </w:rPr>
        <w:t>κανόνες</w:t>
      </w:r>
      <w:r w:rsidR="00220066" w:rsidRPr="00907DCA">
        <w:rPr>
          <w:sz w:val="24"/>
          <w:szCs w:val="24"/>
          <w:lang w:val="el-GR"/>
        </w:rPr>
        <w:t xml:space="preserve"> </w:t>
      </w:r>
      <w:r>
        <w:rPr>
          <w:sz w:val="24"/>
          <w:szCs w:val="24"/>
          <w:lang w:val="el-GR"/>
        </w:rPr>
        <w:t>για ανοικτούς διαγωνισμούς για τέτοιες θέσεις</w:t>
      </w:r>
      <w:r w:rsidR="00220066" w:rsidRPr="00907DCA">
        <w:rPr>
          <w:sz w:val="24"/>
          <w:szCs w:val="24"/>
          <w:lang w:val="el-GR"/>
        </w:rPr>
        <w:t xml:space="preserve">, </w:t>
      </w:r>
      <w:r>
        <w:rPr>
          <w:sz w:val="24"/>
          <w:szCs w:val="24"/>
          <w:lang w:val="el-GR"/>
        </w:rPr>
        <w:t>που θα επέτρεπαν μια αυ</w:t>
      </w:r>
      <w:r w:rsidR="004E05E1">
        <w:rPr>
          <w:sz w:val="24"/>
          <w:szCs w:val="24"/>
          <w:lang w:val="el-GR"/>
        </w:rPr>
        <w:t>ξημένη διαφάνεια και αντικειμενι</w:t>
      </w:r>
      <w:r>
        <w:rPr>
          <w:sz w:val="24"/>
          <w:szCs w:val="24"/>
          <w:lang w:val="el-GR"/>
        </w:rPr>
        <w:t>κότητα της διαδικασίας</w:t>
      </w:r>
      <w:r w:rsidR="00220066" w:rsidRPr="00907DCA">
        <w:rPr>
          <w:sz w:val="24"/>
          <w:szCs w:val="24"/>
          <w:lang w:val="el-GR"/>
        </w:rPr>
        <w:t>.</w:t>
      </w:r>
    </w:p>
    <w:p w14:paraId="7766A5DC" w14:textId="77777777" w:rsidR="00220066" w:rsidRPr="00907DCA" w:rsidRDefault="00220066" w:rsidP="00220066">
      <w:pPr>
        <w:pStyle w:val="ListParagraph"/>
        <w:rPr>
          <w:rFonts w:cstheme="minorHAnsi"/>
          <w:sz w:val="24"/>
          <w:szCs w:val="24"/>
          <w:lang w:val="el-GR"/>
        </w:rPr>
      </w:pPr>
    </w:p>
    <w:p w14:paraId="37F5D93D" w14:textId="6214F748" w:rsidR="00220066" w:rsidRPr="009F6DB6" w:rsidRDefault="00907DCA"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Στο</w:t>
      </w:r>
      <w:r w:rsidRPr="00907DCA">
        <w:rPr>
          <w:rFonts w:cstheme="minorHAnsi"/>
          <w:sz w:val="24"/>
          <w:szCs w:val="24"/>
          <w:lang w:val="el-GR"/>
        </w:rPr>
        <w:t xml:space="preserve"> </w:t>
      </w:r>
      <w:r>
        <w:rPr>
          <w:rFonts w:cstheme="minorHAnsi"/>
          <w:sz w:val="24"/>
          <w:szCs w:val="24"/>
          <w:lang w:val="el-GR"/>
        </w:rPr>
        <w:t>χαρτί</w:t>
      </w:r>
      <w:r w:rsidR="00220066" w:rsidRPr="00907DCA">
        <w:rPr>
          <w:rFonts w:cstheme="minorHAnsi"/>
          <w:sz w:val="24"/>
          <w:szCs w:val="24"/>
          <w:lang w:val="el-GR"/>
        </w:rPr>
        <w:t xml:space="preserve">, </w:t>
      </w:r>
      <w:r>
        <w:rPr>
          <w:rFonts w:cstheme="minorHAnsi"/>
          <w:sz w:val="24"/>
          <w:szCs w:val="24"/>
          <w:lang w:val="el-GR"/>
        </w:rPr>
        <w:t>οι</w:t>
      </w:r>
      <w:r w:rsidRPr="00907DCA">
        <w:rPr>
          <w:rFonts w:cstheme="minorHAnsi"/>
          <w:sz w:val="24"/>
          <w:szCs w:val="24"/>
          <w:lang w:val="el-GR"/>
        </w:rPr>
        <w:t xml:space="preserve"> </w:t>
      </w:r>
      <w:r>
        <w:rPr>
          <w:rFonts w:cstheme="minorHAnsi"/>
          <w:sz w:val="24"/>
          <w:szCs w:val="24"/>
          <w:lang w:val="el-GR"/>
        </w:rPr>
        <w:t>προαγωγές</w:t>
      </w:r>
      <w:r w:rsidRPr="00907DCA">
        <w:rPr>
          <w:rFonts w:cstheme="minorHAnsi"/>
          <w:sz w:val="24"/>
          <w:szCs w:val="24"/>
          <w:lang w:val="el-GR"/>
        </w:rPr>
        <w:t xml:space="preserve"> </w:t>
      </w:r>
      <w:r>
        <w:rPr>
          <w:rFonts w:cstheme="minorHAnsi"/>
          <w:sz w:val="24"/>
          <w:szCs w:val="24"/>
          <w:lang w:val="el-GR"/>
        </w:rPr>
        <w:t>ρυθμίζονται</w:t>
      </w:r>
      <w:r w:rsidR="00220066" w:rsidRPr="00907DCA">
        <w:rPr>
          <w:rFonts w:cstheme="minorHAnsi"/>
          <w:sz w:val="24"/>
          <w:szCs w:val="24"/>
          <w:lang w:val="el-GR"/>
        </w:rPr>
        <w:t xml:space="preserve">, </w:t>
      </w:r>
      <w:r>
        <w:rPr>
          <w:rFonts w:cstheme="minorHAnsi"/>
          <w:sz w:val="24"/>
          <w:szCs w:val="24"/>
          <w:lang w:val="el-GR"/>
        </w:rPr>
        <w:t>και</w:t>
      </w:r>
      <w:r w:rsidRPr="00907DCA">
        <w:rPr>
          <w:rFonts w:cstheme="minorHAnsi"/>
          <w:sz w:val="24"/>
          <w:szCs w:val="24"/>
          <w:lang w:val="el-GR"/>
        </w:rPr>
        <w:t xml:space="preserve"> </w:t>
      </w:r>
      <w:r>
        <w:rPr>
          <w:rFonts w:cstheme="minorHAnsi"/>
          <w:sz w:val="24"/>
          <w:szCs w:val="24"/>
          <w:lang w:val="el-GR"/>
        </w:rPr>
        <w:t>υπάρχουν</w:t>
      </w:r>
      <w:r w:rsidRPr="00907DCA">
        <w:rPr>
          <w:rFonts w:cstheme="minorHAnsi"/>
          <w:sz w:val="24"/>
          <w:szCs w:val="24"/>
          <w:lang w:val="el-GR"/>
        </w:rPr>
        <w:t xml:space="preserve"> </w:t>
      </w:r>
      <w:r>
        <w:rPr>
          <w:rFonts w:cstheme="minorHAnsi"/>
          <w:sz w:val="24"/>
          <w:szCs w:val="24"/>
          <w:lang w:val="el-GR"/>
        </w:rPr>
        <w:t>επιτροπές</w:t>
      </w:r>
      <w:r w:rsidRPr="00907DCA">
        <w:rPr>
          <w:rFonts w:cstheme="minorHAnsi"/>
          <w:sz w:val="24"/>
          <w:szCs w:val="24"/>
          <w:lang w:val="el-GR"/>
        </w:rPr>
        <w:t xml:space="preserve"> </w:t>
      </w:r>
      <w:r>
        <w:rPr>
          <w:rFonts w:cstheme="minorHAnsi"/>
          <w:sz w:val="24"/>
          <w:szCs w:val="24"/>
          <w:lang w:val="el-GR"/>
        </w:rPr>
        <w:t>επιλογής</w:t>
      </w:r>
      <w:r w:rsidR="00220066" w:rsidRPr="00907DCA">
        <w:rPr>
          <w:rFonts w:cstheme="minorHAnsi"/>
          <w:sz w:val="24"/>
          <w:szCs w:val="24"/>
          <w:lang w:val="el-GR"/>
        </w:rPr>
        <w:t xml:space="preserve"> </w:t>
      </w:r>
      <w:r>
        <w:rPr>
          <w:rFonts w:cstheme="minorHAnsi"/>
          <w:sz w:val="24"/>
          <w:szCs w:val="24"/>
          <w:lang w:val="el-GR"/>
        </w:rPr>
        <w:t>που</w:t>
      </w:r>
      <w:r w:rsidRPr="00907DCA">
        <w:rPr>
          <w:rFonts w:cstheme="minorHAnsi"/>
          <w:sz w:val="24"/>
          <w:szCs w:val="24"/>
          <w:lang w:val="el-GR"/>
        </w:rPr>
        <w:t xml:space="preserve"> </w:t>
      </w:r>
      <w:r>
        <w:rPr>
          <w:rFonts w:cstheme="minorHAnsi"/>
          <w:sz w:val="24"/>
          <w:szCs w:val="24"/>
          <w:lang w:val="el-GR"/>
        </w:rPr>
        <w:t>ισχύουν για ορισμένους βαθμούς που θεωρητικά έπρεπε να προκαλέσει κάποια αντικειμενικότητα στην διαδικασία</w:t>
      </w:r>
      <w:r w:rsidR="00220066" w:rsidRPr="00907DCA">
        <w:rPr>
          <w:rFonts w:cstheme="minorHAnsi"/>
          <w:sz w:val="24"/>
          <w:szCs w:val="24"/>
          <w:lang w:val="el-GR"/>
        </w:rPr>
        <w:t xml:space="preserve">. </w:t>
      </w:r>
      <w:r>
        <w:rPr>
          <w:rFonts w:cstheme="minorHAnsi"/>
          <w:sz w:val="24"/>
          <w:szCs w:val="24"/>
          <w:lang w:val="el-GR"/>
        </w:rPr>
        <w:t>Ωστόσο</w:t>
      </w:r>
      <w:r w:rsidRPr="00907DCA">
        <w:rPr>
          <w:rFonts w:cstheme="minorHAnsi"/>
          <w:sz w:val="24"/>
          <w:szCs w:val="24"/>
          <w:lang w:val="el-GR"/>
        </w:rPr>
        <w:t xml:space="preserve"> </w:t>
      </w:r>
      <w:r>
        <w:rPr>
          <w:rFonts w:cstheme="minorHAnsi"/>
          <w:sz w:val="24"/>
          <w:szCs w:val="24"/>
          <w:lang w:val="el-GR"/>
        </w:rPr>
        <w:t>υπάρχει</w:t>
      </w:r>
      <w:r w:rsidRPr="00907DCA">
        <w:rPr>
          <w:rFonts w:cstheme="minorHAnsi"/>
          <w:sz w:val="24"/>
          <w:szCs w:val="24"/>
          <w:lang w:val="el-GR"/>
        </w:rPr>
        <w:t xml:space="preserve"> </w:t>
      </w:r>
      <w:r>
        <w:rPr>
          <w:rFonts w:cstheme="minorHAnsi"/>
          <w:sz w:val="24"/>
          <w:szCs w:val="24"/>
          <w:lang w:val="el-GR"/>
        </w:rPr>
        <w:t>μια</w:t>
      </w:r>
      <w:r w:rsidRPr="00907DCA">
        <w:rPr>
          <w:rFonts w:cstheme="minorHAnsi"/>
          <w:sz w:val="24"/>
          <w:szCs w:val="24"/>
          <w:lang w:val="el-GR"/>
        </w:rPr>
        <w:t xml:space="preserve"> </w:t>
      </w:r>
      <w:r>
        <w:rPr>
          <w:rFonts w:cstheme="minorHAnsi"/>
          <w:sz w:val="24"/>
          <w:szCs w:val="24"/>
          <w:lang w:val="el-GR"/>
        </w:rPr>
        <w:t>εντύπωση ότι το σ</w:t>
      </w:r>
      <w:r w:rsidR="004E05E1">
        <w:rPr>
          <w:rFonts w:cstheme="minorHAnsi"/>
          <w:sz w:val="24"/>
          <w:szCs w:val="24"/>
          <w:lang w:val="el-GR"/>
        </w:rPr>
        <w:t>ύ</w:t>
      </w:r>
      <w:r>
        <w:rPr>
          <w:rFonts w:cstheme="minorHAnsi"/>
          <w:sz w:val="24"/>
          <w:szCs w:val="24"/>
          <w:lang w:val="el-GR"/>
        </w:rPr>
        <w:t>στημα είναι άδικο στην πράξη</w:t>
      </w:r>
      <w:r w:rsidR="00220066" w:rsidRPr="00907DCA">
        <w:rPr>
          <w:rFonts w:cstheme="minorHAnsi"/>
          <w:sz w:val="24"/>
          <w:szCs w:val="24"/>
          <w:lang w:val="el-GR"/>
        </w:rPr>
        <w:t xml:space="preserve">. </w:t>
      </w:r>
      <w:r w:rsidR="009F6DB6">
        <w:rPr>
          <w:rFonts w:cstheme="minorHAnsi"/>
          <w:sz w:val="24"/>
          <w:szCs w:val="24"/>
          <w:lang w:val="el-GR"/>
        </w:rPr>
        <w:t>Μια</w:t>
      </w:r>
      <w:r w:rsidR="009F6DB6" w:rsidRPr="009F6DB6">
        <w:rPr>
          <w:rFonts w:cstheme="minorHAnsi"/>
          <w:sz w:val="24"/>
          <w:szCs w:val="24"/>
          <w:lang w:val="el-GR"/>
        </w:rPr>
        <w:t xml:space="preserve"> </w:t>
      </w:r>
      <w:r w:rsidR="009F6DB6">
        <w:rPr>
          <w:rFonts w:cstheme="minorHAnsi"/>
          <w:sz w:val="24"/>
          <w:szCs w:val="24"/>
          <w:lang w:val="el-GR"/>
        </w:rPr>
        <w:t>τέτοια</w:t>
      </w:r>
      <w:r w:rsidR="009F6DB6" w:rsidRPr="009F6DB6">
        <w:rPr>
          <w:rFonts w:cstheme="minorHAnsi"/>
          <w:sz w:val="24"/>
          <w:szCs w:val="24"/>
          <w:lang w:val="el-GR"/>
        </w:rPr>
        <w:t xml:space="preserve"> </w:t>
      </w:r>
      <w:r w:rsidR="009F6DB6">
        <w:rPr>
          <w:rFonts w:cstheme="minorHAnsi"/>
          <w:sz w:val="24"/>
          <w:szCs w:val="24"/>
          <w:lang w:val="el-GR"/>
        </w:rPr>
        <w:t>εντύπωση</w:t>
      </w:r>
      <w:r w:rsidR="009F6DB6" w:rsidRPr="009F6DB6">
        <w:rPr>
          <w:rFonts w:cstheme="minorHAnsi"/>
          <w:sz w:val="24"/>
          <w:szCs w:val="24"/>
          <w:lang w:val="el-GR"/>
        </w:rPr>
        <w:t xml:space="preserve"> </w:t>
      </w:r>
      <w:r w:rsidR="009F6DB6">
        <w:rPr>
          <w:rFonts w:cstheme="minorHAnsi"/>
          <w:sz w:val="24"/>
          <w:szCs w:val="24"/>
          <w:lang w:val="el-GR"/>
        </w:rPr>
        <w:t>επιβεβαιώνεται</w:t>
      </w:r>
      <w:r w:rsidR="00220066" w:rsidRPr="009F6DB6">
        <w:rPr>
          <w:rFonts w:cstheme="minorHAnsi"/>
          <w:sz w:val="24"/>
          <w:szCs w:val="24"/>
          <w:lang w:val="el-GR"/>
        </w:rPr>
        <w:t xml:space="preserve"> </w:t>
      </w:r>
      <w:r w:rsidR="009F6DB6">
        <w:rPr>
          <w:rFonts w:cstheme="minorHAnsi"/>
          <w:sz w:val="24"/>
          <w:szCs w:val="24"/>
          <w:lang w:val="el-GR"/>
        </w:rPr>
        <w:t>από</w:t>
      </w:r>
      <w:r w:rsidR="009F6DB6" w:rsidRPr="009F6DB6">
        <w:rPr>
          <w:rFonts w:cstheme="minorHAnsi"/>
          <w:sz w:val="24"/>
          <w:szCs w:val="24"/>
          <w:lang w:val="el-GR"/>
        </w:rPr>
        <w:t xml:space="preserve"> </w:t>
      </w:r>
      <w:r w:rsidR="009F6DB6">
        <w:rPr>
          <w:rFonts w:cstheme="minorHAnsi"/>
          <w:sz w:val="24"/>
          <w:szCs w:val="24"/>
          <w:lang w:val="el-GR"/>
        </w:rPr>
        <w:t>αρκετές</w:t>
      </w:r>
      <w:r w:rsidR="009F6DB6" w:rsidRPr="009F6DB6">
        <w:rPr>
          <w:rFonts w:cstheme="minorHAnsi"/>
          <w:sz w:val="24"/>
          <w:szCs w:val="24"/>
          <w:lang w:val="el-GR"/>
        </w:rPr>
        <w:t xml:space="preserve"> </w:t>
      </w:r>
      <w:r w:rsidR="009F6DB6">
        <w:rPr>
          <w:rFonts w:cstheme="minorHAnsi"/>
          <w:sz w:val="24"/>
          <w:szCs w:val="24"/>
          <w:lang w:val="el-GR"/>
        </w:rPr>
        <w:t>αποφάσεις</w:t>
      </w:r>
      <w:r w:rsidR="009F6DB6" w:rsidRPr="009F6DB6">
        <w:rPr>
          <w:rFonts w:cstheme="minorHAnsi"/>
          <w:sz w:val="24"/>
          <w:szCs w:val="24"/>
          <w:lang w:val="el-GR"/>
        </w:rPr>
        <w:t xml:space="preserve"> </w:t>
      </w:r>
      <w:r w:rsidR="009F6DB6">
        <w:rPr>
          <w:rFonts w:cstheme="minorHAnsi"/>
          <w:sz w:val="24"/>
          <w:szCs w:val="24"/>
          <w:lang w:val="el-GR"/>
        </w:rPr>
        <w:t>του</w:t>
      </w:r>
      <w:r w:rsidR="009F6DB6" w:rsidRPr="009F6DB6">
        <w:rPr>
          <w:rFonts w:cstheme="minorHAnsi"/>
          <w:sz w:val="24"/>
          <w:szCs w:val="24"/>
          <w:lang w:val="el-GR"/>
        </w:rPr>
        <w:t xml:space="preserve"> </w:t>
      </w:r>
      <w:r w:rsidR="009F6DB6">
        <w:rPr>
          <w:rFonts w:cstheme="minorHAnsi"/>
          <w:sz w:val="24"/>
          <w:szCs w:val="24"/>
          <w:lang w:val="el-GR"/>
        </w:rPr>
        <w:t>διοικητικού</w:t>
      </w:r>
      <w:r w:rsidR="009F6DB6" w:rsidRPr="009F6DB6">
        <w:rPr>
          <w:rFonts w:cstheme="minorHAnsi"/>
          <w:sz w:val="24"/>
          <w:szCs w:val="24"/>
          <w:lang w:val="el-GR"/>
        </w:rPr>
        <w:t xml:space="preserve"> </w:t>
      </w:r>
      <w:r w:rsidR="009F6DB6">
        <w:rPr>
          <w:rFonts w:cstheme="minorHAnsi"/>
          <w:sz w:val="24"/>
          <w:szCs w:val="24"/>
          <w:lang w:val="el-GR"/>
        </w:rPr>
        <w:t>δικαστηρίου</w:t>
      </w:r>
      <w:r w:rsidR="00220066" w:rsidRPr="009F6DB6">
        <w:rPr>
          <w:rFonts w:cstheme="minorHAnsi"/>
          <w:sz w:val="24"/>
          <w:szCs w:val="24"/>
          <w:lang w:val="el-GR"/>
        </w:rPr>
        <w:t xml:space="preserve"> </w:t>
      </w:r>
      <w:r w:rsidR="009F6DB6">
        <w:rPr>
          <w:rFonts w:cstheme="minorHAnsi"/>
          <w:sz w:val="24"/>
          <w:szCs w:val="24"/>
          <w:lang w:val="el-GR"/>
        </w:rPr>
        <w:t>που</w:t>
      </w:r>
      <w:r w:rsidR="009F6DB6" w:rsidRPr="009F6DB6">
        <w:rPr>
          <w:rFonts w:cstheme="minorHAnsi"/>
          <w:sz w:val="24"/>
          <w:szCs w:val="24"/>
          <w:lang w:val="el-GR"/>
        </w:rPr>
        <w:t xml:space="preserve"> </w:t>
      </w:r>
      <w:r w:rsidR="009F6DB6">
        <w:rPr>
          <w:rFonts w:cstheme="minorHAnsi"/>
          <w:sz w:val="24"/>
          <w:szCs w:val="24"/>
          <w:lang w:val="el-GR"/>
        </w:rPr>
        <w:t>οδηγούν</w:t>
      </w:r>
      <w:r w:rsidR="009F6DB6" w:rsidRPr="009F6DB6">
        <w:rPr>
          <w:rFonts w:cstheme="minorHAnsi"/>
          <w:sz w:val="24"/>
          <w:szCs w:val="24"/>
          <w:lang w:val="el-GR"/>
        </w:rPr>
        <w:t xml:space="preserve"> </w:t>
      </w:r>
      <w:r w:rsidR="009F6DB6">
        <w:rPr>
          <w:rFonts w:cstheme="minorHAnsi"/>
          <w:sz w:val="24"/>
          <w:szCs w:val="24"/>
          <w:lang w:val="el-GR"/>
        </w:rPr>
        <w:t>στην</w:t>
      </w:r>
      <w:r w:rsidR="009F6DB6" w:rsidRPr="009F6DB6">
        <w:rPr>
          <w:rFonts w:cstheme="minorHAnsi"/>
          <w:sz w:val="24"/>
          <w:szCs w:val="24"/>
          <w:lang w:val="el-GR"/>
        </w:rPr>
        <w:t xml:space="preserve"> </w:t>
      </w:r>
      <w:r w:rsidR="009F6DB6">
        <w:rPr>
          <w:rFonts w:cstheme="minorHAnsi"/>
          <w:sz w:val="24"/>
          <w:szCs w:val="24"/>
          <w:lang w:val="el-GR"/>
        </w:rPr>
        <w:t>ακύρωση</w:t>
      </w:r>
      <w:r w:rsidR="009F6DB6" w:rsidRPr="009F6DB6">
        <w:rPr>
          <w:rFonts w:cstheme="minorHAnsi"/>
          <w:sz w:val="24"/>
          <w:szCs w:val="24"/>
          <w:lang w:val="el-GR"/>
        </w:rPr>
        <w:t xml:space="preserve"> </w:t>
      </w:r>
      <w:r w:rsidR="009F6DB6">
        <w:rPr>
          <w:rFonts w:cstheme="minorHAnsi"/>
          <w:sz w:val="24"/>
          <w:szCs w:val="24"/>
          <w:lang w:val="el-GR"/>
        </w:rPr>
        <w:t>αρκετών</w:t>
      </w:r>
      <w:r w:rsidR="009F6DB6" w:rsidRPr="009F6DB6">
        <w:rPr>
          <w:rFonts w:cstheme="minorHAnsi"/>
          <w:sz w:val="24"/>
          <w:szCs w:val="24"/>
          <w:lang w:val="el-GR"/>
        </w:rPr>
        <w:t xml:space="preserve"> </w:t>
      </w:r>
      <w:r w:rsidR="009F6DB6">
        <w:rPr>
          <w:rFonts w:cstheme="minorHAnsi"/>
          <w:sz w:val="24"/>
          <w:szCs w:val="24"/>
          <w:lang w:val="el-GR"/>
        </w:rPr>
        <w:t>αποφάσεων</w:t>
      </w:r>
      <w:r w:rsidR="009F6DB6" w:rsidRPr="009F6DB6">
        <w:rPr>
          <w:rFonts w:cstheme="minorHAnsi"/>
          <w:sz w:val="24"/>
          <w:szCs w:val="24"/>
          <w:lang w:val="el-GR"/>
        </w:rPr>
        <w:t xml:space="preserve"> </w:t>
      </w:r>
      <w:r w:rsidR="009F6DB6">
        <w:rPr>
          <w:rFonts w:cstheme="minorHAnsi"/>
          <w:sz w:val="24"/>
          <w:szCs w:val="24"/>
          <w:lang w:val="el-GR"/>
        </w:rPr>
        <w:t>για</w:t>
      </w:r>
      <w:r w:rsidR="009F6DB6" w:rsidRPr="009F6DB6">
        <w:rPr>
          <w:rFonts w:cstheme="minorHAnsi"/>
          <w:sz w:val="24"/>
          <w:szCs w:val="24"/>
          <w:lang w:val="el-GR"/>
        </w:rPr>
        <w:t xml:space="preserve"> </w:t>
      </w:r>
      <w:r w:rsidR="009F6DB6">
        <w:rPr>
          <w:rFonts w:cstheme="minorHAnsi"/>
          <w:sz w:val="24"/>
          <w:szCs w:val="24"/>
          <w:lang w:val="el-GR"/>
        </w:rPr>
        <w:t>προαγωγή</w:t>
      </w:r>
      <w:r w:rsidR="00220066" w:rsidRPr="009F6DB6">
        <w:rPr>
          <w:rFonts w:cstheme="minorHAnsi"/>
          <w:sz w:val="24"/>
          <w:szCs w:val="24"/>
          <w:lang w:val="el-GR"/>
        </w:rPr>
        <w:t xml:space="preserve"> </w:t>
      </w:r>
      <w:r w:rsidR="009F6DB6">
        <w:rPr>
          <w:rFonts w:cstheme="minorHAnsi"/>
          <w:sz w:val="24"/>
          <w:szCs w:val="24"/>
          <w:lang w:val="el-GR"/>
        </w:rPr>
        <w:t>λόγω</w:t>
      </w:r>
      <w:r w:rsidR="009F6DB6" w:rsidRPr="009F6DB6">
        <w:rPr>
          <w:rFonts w:cstheme="minorHAnsi"/>
          <w:sz w:val="24"/>
          <w:szCs w:val="24"/>
          <w:lang w:val="el-GR"/>
        </w:rPr>
        <w:t xml:space="preserve"> </w:t>
      </w:r>
      <w:r w:rsidR="009F6DB6">
        <w:rPr>
          <w:rFonts w:cstheme="minorHAnsi"/>
          <w:sz w:val="24"/>
          <w:szCs w:val="24"/>
          <w:lang w:val="el-GR"/>
        </w:rPr>
        <w:t>ελλειμάτων στις σχετικές διαδικασίες</w:t>
      </w:r>
      <w:r w:rsidR="00220066" w:rsidRPr="009F6DB6">
        <w:rPr>
          <w:rFonts w:cstheme="minorHAnsi"/>
          <w:sz w:val="24"/>
          <w:szCs w:val="24"/>
          <w:lang w:val="el-GR"/>
        </w:rPr>
        <w:t xml:space="preserve"> </w:t>
      </w:r>
      <w:r w:rsidR="009F6DB6">
        <w:rPr>
          <w:rFonts w:cstheme="minorHAnsi"/>
          <w:sz w:val="24"/>
          <w:szCs w:val="24"/>
          <w:lang w:val="el-GR"/>
        </w:rPr>
        <w:t xml:space="preserve">που οδηγούν στην άνιση </w:t>
      </w:r>
      <w:r w:rsidR="002E5EC0">
        <w:rPr>
          <w:rFonts w:cstheme="minorHAnsi"/>
          <w:sz w:val="24"/>
          <w:szCs w:val="24"/>
          <w:lang w:val="el-GR"/>
        </w:rPr>
        <w:t>μεταχείριση</w:t>
      </w:r>
      <w:r w:rsidR="009F6DB6">
        <w:rPr>
          <w:rFonts w:cstheme="minorHAnsi"/>
          <w:sz w:val="24"/>
          <w:szCs w:val="24"/>
          <w:lang w:val="el-GR"/>
        </w:rPr>
        <w:t xml:space="preserve"> των υποψηφίων.</w:t>
      </w:r>
      <w:r w:rsidR="00220066" w:rsidRPr="009F6DB6">
        <w:rPr>
          <w:rFonts w:cstheme="minorHAnsi"/>
          <w:sz w:val="24"/>
          <w:szCs w:val="24"/>
          <w:lang w:val="el-GR"/>
        </w:rPr>
        <w:t xml:space="preserve"> </w:t>
      </w:r>
      <w:r w:rsidR="009F6DB6">
        <w:rPr>
          <w:rFonts w:cstheme="minorHAnsi"/>
          <w:sz w:val="24"/>
          <w:szCs w:val="24"/>
          <w:lang w:val="el-GR"/>
        </w:rPr>
        <w:t>Τα</w:t>
      </w:r>
      <w:r w:rsidR="009F6DB6" w:rsidRPr="009F6DB6">
        <w:rPr>
          <w:rFonts w:cstheme="minorHAnsi"/>
          <w:sz w:val="24"/>
          <w:szCs w:val="24"/>
          <w:lang w:val="el-GR"/>
        </w:rPr>
        <w:t xml:space="preserve"> </w:t>
      </w:r>
      <w:r w:rsidR="009F6DB6">
        <w:rPr>
          <w:rFonts w:cstheme="minorHAnsi"/>
          <w:sz w:val="24"/>
          <w:szCs w:val="24"/>
          <w:lang w:val="el-GR"/>
        </w:rPr>
        <w:t>περισσότερα</w:t>
      </w:r>
      <w:r w:rsidR="009F6DB6" w:rsidRPr="009F6DB6">
        <w:rPr>
          <w:rFonts w:cstheme="minorHAnsi"/>
          <w:sz w:val="24"/>
          <w:szCs w:val="24"/>
          <w:lang w:val="el-GR"/>
        </w:rPr>
        <w:t xml:space="preserve"> </w:t>
      </w:r>
      <w:r w:rsidR="009F6DB6">
        <w:rPr>
          <w:rFonts w:cstheme="minorHAnsi"/>
          <w:sz w:val="24"/>
          <w:szCs w:val="24"/>
          <w:lang w:val="el-GR"/>
        </w:rPr>
        <w:t>προβλήματα</w:t>
      </w:r>
      <w:r w:rsidR="009F6DB6" w:rsidRPr="009F6DB6">
        <w:rPr>
          <w:rFonts w:cstheme="minorHAnsi"/>
          <w:sz w:val="24"/>
          <w:szCs w:val="24"/>
          <w:lang w:val="el-GR"/>
        </w:rPr>
        <w:t xml:space="preserve"> </w:t>
      </w:r>
      <w:r w:rsidR="009F6DB6">
        <w:rPr>
          <w:rFonts w:cstheme="minorHAnsi"/>
          <w:sz w:val="24"/>
          <w:szCs w:val="24"/>
          <w:lang w:val="el-GR"/>
        </w:rPr>
        <w:t>σχετίζονται</w:t>
      </w:r>
      <w:r w:rsidR="009F6DB6" w:rsidRPr="009F6DB6">
        <w:rPr>
          <w:rFonts w:cstheme="minorHAnsi"/>
          <w:sz w:val="24"/>
          <w:szCs w:val="24"/>
          <w:lang w:val="el-GR"/>
        </w:rPr>
        <w:t xml:space="preserve"> </w:t>
      </w:r>
      <w:r w:rsidR="009F6DB6">
        <w:rPr>
          <w:rFonts w:cstheme="minorHAnsi"/>
          <w:sz w:val="24"/>
          <w:szCs w:val="24"/>
          <w:lang w:val="el-GR"/>
        </w:rPr>
        <w:t>με</w:t>
      </w:r>
      <w:r w:rsidR="009F6DB6" w:rsidRPr="009F6DB6">
        <w:rPr>
          <w:rFonts w:cstheme="minorHAnsi"/>
          <w:sz w:val="24"/>
          <w:szCs w:val="24"/>
          <w:lang w:val="el-GR"/>
        </w:rPr>
        <w:t xml:space="preserve"> </w:t>
      </w:r>
      <w:r w:rsidR="009F6DB6">
        <w:rPr>
          <w:rFonts w:cstheme="minorHAnsi"/>
          <w:sz w:val="24"/>
          <w:szCs w:val="24"/>
          <w:lang w:val="el-GR"/>
        </w:rPr>
        <w:t>την</w:t>
      </w:r>
      <w:r w:rsidR="009F6DB6" w:rsidRPr="009F6DB6">
        <w:rPr>
          <w:rFonts w:cstheme="minorHAnsi"/>
          <w:sz w:val="24"/>
          <w:szCs w:val="24"/>
          <w:lang w:val="el-GR"/>
        </w:rPr>
        <w:t xml:space="preserve"> </w:t>
      </w:r>
      <w:r w:rsidR="009F6DB6">
        <w:rPr>
          <w:rFonts w:cstheme="minorHAnsi"/>
          <w:sz w:val="24"/>
          <w:szCs w:val="24"/>
          <w:lang w:val="el-GR"/>
        </w:rPr>
        <w:t>διάκριση</w:t>
      </w:r>
      <w:r w:rsidR="009F6DB6" w:rsidRPr="009F6DB6">
        <w:rPr>
          <w:rFonts w:cstheme="minorHAnsi"/>
          <w:sz w:val="24"/>
          <w:szCs w:val="24"/>
          <w:lang w:val="el-GR"/>
        </w:rPr>
        <w:t xml:space="preserve"> </w:t>
      </w:r>
      <w:r w:rsidR="009F6DB6">
        <w:rPr>
          <w:rFonts w:cstheme="minorHAnsi"/>
          <w:sz w:val="24"/>
          <w:szCs w:val="24"/>
          <w:lang w:val="el-GR"/>
        </w:rPr>
        <w:t>και</w:t>
      </w:r>
      <w:r w:rsidR="009F6DB6" w:rsidRPr="009F6DB6">
        <w:rPr>
          <w:rFonts w:cstheme="minorHAnsi"/>
          <w:sz w:val="24"/>
          <w:szCs w:val="24"/>
          <w:lang w:val="el-GR"/>
        </w:rPr>
        <w:t xml:space="preserve"> </w:t>
      </w:r>
      <w:r w:rsidR="009F6DB6">
        <w:rPr>
          <w:rFonts w:cstheme="minorHAnsi"/>
          <w:sz w:val="24"/>
          <w:szCs w:val="24"/>
          <w:lang w:val="el-GR"/>
        </w:rPr>
        <w:t>την</w:t>
      </w:r>
      <w:r w:rsidR="009F6DB6" w:rsidRPr="009F6DB6">
        <w:rPr>
          <w:rFonts w:cstheme="minorHAnsi"/>
          <w:sz w:val="24"/>
          <w:szCs w:val="24"/>
          <w:lang w:val="el-GR"/>
        </w:rPr>
        <w:t xml:space="preserve"> </w:t>
      </w:r>
      <w:r w:rsidR="009F6DB6">
        <w:rPr>
          <w:rFonts w:cstheme="minorHAnsi"/>
          <w:sz w:val="24"/>
          <w:szCs w:val="24"/>
          <w:lang w:val="el-GR"/>
        </w:rPr>
        <w:t>ανομοιόμορφη θεώρηση</w:t>
      </w:r>
      <w:r w:rsidR="009F6DB6" w:rsidRPr="009F6DB6">
        <w:rPr>
          <w:rFonts w:cstheme="minorHAnsi"/>
          <w:sz w:val="24"/>
          <w:szCs w:val="24"/>
          <w:lang w:val="el-GR"/>
        </w:rPr>
        <w:t xml:space="preserve"> </w:t>
      </w:r>
      <w:r w:rsidR="009F6DB6">
        <w:rPr>
          <w:rFonts w:cstheme="minorHAnsi"/>
          <w:sz w:val="24"/>
          <w:szCs w:val="24"/>
          <w:lang w:val="el-GR"/>
        </w:rPr>
        <w:t>των</w:t>
      </w:r>
      <w:r w:rsidR="009F6DB6" w:rsidRPr="009F6DB6">
        <w:rPr>
          <w:rFonts w:cstheme="minorHAnsi"/>
          <w:sz w:val="24"/>
          <w:szCs w:val="24"/>
          <w:lang w:val="el-GR"/>
        </w:rPr>
        <w:t xml:space="preserve"> </w:t>
      </w:r>
      <w:r w:rsidR="009F6DB6">
        <w:rPr>
          <w:rFonts w:cstheme="minorHAnsi"/>
          <w:sz w:val="24"/>
          <w:szCs w:val="24"/>
          <w:lang w:val="el-GR"/>
        </w:rPr>
        <w:t>κριτηρίων ζύγισης</w:t>
      </w:r>
      <w:r w:rsidR="00991C07" w:rsidRPr="009F6DB6">
        <w:rPr>
          <w:rFonts w:cstheme="minorHAnsi"/>
          <w:sz w:val="24"/>
          <w:szCs w:val="24"/>
          <w:lang w:val="el-GR"/>
        </w:rPr>
        <w:t>.</w:t>
      </w:r>
      <w:r w:rsidR="00220066" w:rsidRPr="004E251E">
        <w:rPr>
          <w:rStyle w:val="FootnoteReference"/>
          <w:rFonts w:cstheme="minorHAnsi"/>
          <w:sz w:val="24"/>
          <w:szCs w:val="24"/>
        </w:rPr>
        <w:footnoteReference w:id="62"/>
      </w:r>
      <w:r w:rsidR="00220066" w:rsidRPr="009F6DB6">
        <w:rPr>
          <w:rFonts w:cstheme="minorHAnsi"/>
          <w:sz w:val="24"/>
          <w:szCs w:val="24"/>
          <w:lang w:val="el-GR"/>
        </w:rPr>
        <w:t xml:space="preserve">  </w:t>
      </w:r>
    </w:p>
    <w:p w14:paraId="6D9BDDC9" w14:textId="77777777" w:rsidR="00220066" w:rsidRPr="009F6DB6" w:rsidRDefault="00220066" w:rsidP="00220066">
      <w:pPr>
        <w:pStyle w:val="ListParagraph"/>
        <w:rPr>
          <w:rFonts w:cstheme="minorHAnsi"/>
          <w:sz w:val="24"/>
          <w:szCs w:val="24"/>
          <w:lang w:val="el-GR"/>
        </w:rPr>
      </w:pPr>
    </w:p>
    <w:p w14:paraId="0F98660D" w14:textId="595F7BBB" w:rsidR="00220066" w:rsidRPr="002C74E2" w:rsidRDefault="009F6DB6"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Η</w:t>
      </w:r>
      <w:r w:rsidR="00220066" w:rsidRPr="009F6DB6">
        <w:rPr>
          <w:rFonts w:cstheme="minorHAnsi"/>
          <w:sz w:val="24"/>
          <w:szCs w:val="24"/>
          <w:lang w:val="el-GR"/>
        </w:rPr>
        <w:t xml:space="preserve"> </w:t>
      </w:r>
      <w:r w:rsidR="00220066" w:rsidRPr="004E251E">
        <w:rPr>
          <w:rFonts w:cstheme="minorHAnsi"/>
          <w:sz w:val="24"/>
          <w:szCs w:val="24"/>
        </w:rPr>
        <w:t>GET</w:t>
      </w:r>
      <w:r w:rsidR="00220066" w:rsidRPr="009F6DB6">
        <w:rPr>
          <w:rFonts w:cstheme="minorHAnsi"/>
          <w:sz w:val="24"/>
          <w:szCs w:val="24"/>
          <w:lang w:val="el-GR"/>
        </w:rPr>
        <w:t xml:space="preserve"> </w:t>
      </w:r>
      <w:r>
        <w:rPr>
          <w:rFonts w:cstheme="minorHAnsi"/>
          <w:sz w:val="24"/>
          <w:szCs w:val="24"/>
          <w:lang w:val="el-GR"/>
        </w:rPr>
        <w:t>ήταν</w:t>
      </w:r>
      <w:r w:rsidRPr="009F6DB6">
        <w:rPr>
          <w:rFonts w:cstheme="minorHAnsi"/>
          <w:sz w:val="24"/>
          <w:szCs w:val="24"/>
          <w:lang w:val="el-GR"/>
        </w:rPr>
        <w:t xml:space="preserve"> </w:t>
      </w:r>
      <w:r>
        <w:rPr>
          <w:rFonts w:cstheme="minorHAnsi"/>
          <w:sz w:val="24"/>
          <w:szCs w:val="24"/>
          <w:lang w:val="el-GR"/>
        </w:rPr>
        <w:t>ιδιαίτερα</w:t>
      </w:r>
      <w:r w:rsidRPr="009F6DB6">
        <w:rPr>
          <w:rFonts w:cstheme="minorHAnsi"/>
          <w:sz w:val="24"/>
          <w:szCs w:val="24"/>
          <w:lang w:val="el-GR"/>
        </w:rPr>
        <w:t xml:space="preserve"> </w:t>
      </w:r>
      <w:r>
        <w:rPr>
          <w:rFonts w:cstheme="minorHAnsi"/>
          <w:sz w:val="24"/>
          <w:szCs w:val="24"/>
          <w:lang w:val="el-GR"/>
        </w:rPr>
        <w:t>προβληματισμένη</w:t>
      </w:r>
      <w:r w:rsidRPr="009F6DB6">
        <w:rPr>
          <w:rFonts w:cstheme="minorHAnsi"/>
          <w:sz w:val="24"/>
          <w:szCs w:val="24"/>
          <w:lang w:val="el-GR"/>
        </w:rPr>
        <w:t xml:space="preserve"> </w:t>
      </w:r>
      <w:r>
        <w:rPr>
          <w:rFonts w:cstheme="minorHAnsi"/>
          <w:sz w:val="24"/>
          <w:szCs w:val="24"/>
          <w:lang w:val="el-GR"/>
        </w:rPr>
        <w:t>όταν</w:t>
      </w:r>
      <w:r w:rsidRPr="009F6DB6">
        <w:rPr>
          <w:rFonts w:cstheme="minorHAnsi"/>
          <w:sz w:val="24"/>
          <w:szCs w:val="24"/>
          <w:lang w:val="el-GR"/>
        </w:rPr>
        <w:t xml:space="preserve"> </w:t>
      </w:r>
      <w:r>
        <w:rPr>
          <w:rFonts w:cstheme="minorHAnsi"/>
          <w:sz w:val="24"/>
          <w:szCs w:val="24"/>
          <w:lang w:val="el-GR"/>
        </w:rPr>
        <w:t>άκουσε</w:t>
      </w:r>
      <w:r w:rsidRPr="009F6DB6">
        <w:rPr>
          <w:rFonts w:cstheme="minorHAnsi"/>
          <w:sz w:val="24"/>
          <w:szCs w:val="24"/>
          <w:lang w:val="el-GR"/>
        </w:rPr>
        <w:t xml:space="preserve"> </w:t>
      </w:r>
      <w:r>
        <w:rPr>
          <w:rFonts w:cstheme="minorHAnsi"/>
          <w:sz w:val="24"/>
          <w:szCs w:val="24"/>
          <w:lang w:val="el-GR"/>
        </w:rPr>
        <w:t>ότι</w:t>
      </w:r>
      <w:r w:rsidR="00220066" w:rsidRPr="009F6DB6">
        <w:rPr>
          <w:rFonts w:cstheme="minorHAnsi"/>
          <w:sz w:val="24"/>
          <w:szCs w:val="24"/>
          <w:lang w:val="el-GR"/>
        </w:rPr>
        <w:t xml:space="preserve">, </w:t>
      </w:r>
      <w:r>
        <w:rPr>
          <w:rFonts w:cstheme="minorHAnsi"/>
          <w:sz w:val="24"/>
          <w:szCs w:val="24"/>
          <w:lang w:val="el-GR"/>
        </w:rPr>
        <w:t>σε</w:t>
      </w:r>
      <w:r w:rsidRPr="009F6DB6">
        <w:rPr>
          <w:rFonts w:cstheme="minorHAnsi"/>
          <w:sz w:val="24"/>
          <w:szCs w:val="24"/>
          <w:lang w:val="el-GR"/>
        </w:rPr>
        <w:t xml:space="preserve"> </w:t>
      </w:r>
      <w:r>
        <w:rPr>
          <w:rFonts w:cstheme="minorHAnsi"/>
          <w:sz w:val="24"/>
          <w:szCs w:val="24"/>
          <w:lang w:val="el-GR"/>
        </w:rPr>
        <w:t>ορισμένες</w:t>
      </w:r>
      <w:r w:rsidRPr="009F6DB6">
        <w:rPr>
          <w:rFonts w:cstheme="minorHAnsi"/>
          <w:sz w:val="24"/>
          <w:szCs w:val="24"/>
          <w:lang w:val="el-GR"/>
        </w:rPr>
        <w:t xml:space="preserve"> </w:t>
      </w:r>
      <w:r>
        <w:rPr>
          <w:rFonts w:cstheme="minorHAnsi"/>
          <w:sz w:val="24"/>
          <w:szCs w:val="24"/>
          <w:lang w:val="el-GR"/>
        </w:rPr>
        <w:t>περιπτώσεις</w:t>
      </w:r>
      <w:r w:rsidR="00220066" w:rsidRPr="009F6DB6">
        <w:rPr>
          <w:rFonts w:cstheme="minorHAnsi"/>
          <w:sz w:val="24"/>
          <w:szCs w:val="24"/>
          <w:lang w:val="el-GR"/>
        </w:rPr>
        <w:t xml:space="preserve">, </w:t>
      </w:r>
      <w:r>
        <w:rPr>
          <w:rFonts w:cstheme="minorHAnsi"/>
          <w:sz w:val="24"/>
          <w:szCs w:val="24"/>
          <w:lang w:val="el-GR"/>
        </w:rPr>
        <w:t>ακόμα</w:t>
      </w:r>
      <w:r w:rsidRPr="009F6DB6">
        <w:rPr>
          <w:rFonts w:cstheme="minorHAnsi"/>
          <w:sz w:val="24"/>
          <w:szCs w:val="24"/>
          <w:lang w:val="el-GR"/>
        </w:rPr>
        <w:t xml:space="preserve"> </w:t>
      </w:r>
      <w:r>
        <w:rPr>
          <w:rFonts w:cstheme="minorHAnsi"/>
          <w:sz w:val="24"/>
          <w:szCs w:val="24"/>
          <w:lang w:val="el-GR"/>
        </w:rPr>
        <w:t>κι</w:t>
      </w:r>
      <w:r w:rsidRPr="009F6DB6">
        <w:rPr>
          <w:rFonts w:cstheme="minorHAnsi"/>
          <w:sz w:val="24"/>
          <w:szCs w:val="24"/>
          <w:lang w:val="el-GR"/>
        </w:rPr>
        <w:t xml:space="preserve"> </w:t>
      </w:r>
      <w:r>
        <w:rPr>
          <w:rFonts w:cstheme="minorHAnsi"/>
          <w:sz w:val="24"/>
          <w:szCs w:val="24"/>
          <w:lang w:val="el-GR"/>
        </w:rPr>
        <w:t>αν</w:t>
      </w:r>
      <w:r w:rsidRPr="009F6DB6">
        <w:rPr>
          <w:rFonts w:cstheme="minorHAnsi"/>
          <w:sz w:val="24"/>
          <w:szCs w:val="24"/>
          <w:lang w:val="el-GR"/>
        </w:rPr>
        <w:t xml:space="preserve"> </w:t>
      </w:r>
      <w:r>
        <w:rPr>
          <w:rFonts w:cstheme="minorHAnsi"/>
          <w:sz w:val="24"/>
          <w:szCs w:val="24"/>
          <w:lang w:val="el-GR"/>
        </w:rPr>
        <w:t>το</w:t>
      </w:r>
      <w:r w:rsidRPr="009F6DB6">
        <w:rPr>
          <w:rFonts w:cstheme="minorHAnsi"/>
          <w:sz w:val="24"/>
          <w:szCs w:val="24"/>
          <w:lang w:val="el-GR"/>
        </w:rPr>
        <w:t xml:space="preserve"> </w:t>
      </w:r>
      <w:r>
        <w:rPr>
          <w:rFonts w:cstheme="minorHAnsi"/>
          <w:sz w:val="24"/>
          <w:szCs w:val="24"/>
          <w:lang w:val="el-GR"/>
        </w:rPr>
        <w:t>δικαστήριο</w:t>
      </w:r>
      <w:r w:rsidRPr="009F6DB6">
        <w:rPr>
          <w:rFonts w:cstheme="minorHAnsi"/>
          <w:sz w:val="24"/>
          <w:szCs w:val="24"/>
          <w:lang w:val="el-GR"/>
        </w:rPr>
        <w:t xml:space="preserve"> </w:t>
      </w:r>
      <w:r>
        <w:rPr>
          <w:rFonts w:cstheme="minorHAnsi"/>
          <w:sz w:val="24"/>
          <w:szCs w:val="24"/>
          <w:lang w:val="el-GR"/>
        </w:rPr>
        <w:t>είχε</w:t>
      </w:r>
      <w:r w:rsidRPr="009F6DB6">
        <w:rPr>
          <w:rFonts w:cstheme="minorHAnsi"/>
          <w:sz w:val="24"/>
          <w:szCs w:val="24"/>
          <w:lang w:val="el-GR"/>
        </w:rPr>
        <w:t xml:space="preserve"> </w:t>
      </w:r>
      <w:r>
        <w:rPr>
          <w:rFonts w:cstheme="minorHAnsi"/>
          <w:sz w:val="24"/>
          <w:szCs w:val="24"/>
          <w:lang w:val="el-GR"/>
        </w:rPr>
        <w:t>ακυρώσει</w:t>
      </w:r>
      <w:r w:rsidRPr="009F6DB6">
        <w:rPr>
          <w:rFonts w:cstheme="minorHAnsi"/>
          <w:sz w:val="24"/>
          <w:szCs w:val="24"/>
          <w:lang w:val="el-GR"/>
        </w:rPr>
        <w:t xml:space="preserve"> </w:t>
      </w:r>
      <w:r>
        <w:rPr>
          <w:rFonts w:cstheme="minorHAnsi"/>
          <w:sz w:val="24"/>
          <w:szCs w:val="24"/>
          <w:lang w:val="el-GR"/>
        </w:rPr>
        <w:t>μια</w:t>
      </w:r>
      <w:r w:rsidRPr="009F6DB6">
        <w:rPr>
          <w:rFonts w:cstheme="minorHAnsi"/>
          <w:sz w:val="24"/>
          <w:szCs w:val="24"/>
          <w:lang w:val="el-GR"/>
        </w:rPr>
        <w:t xml:space="preserve"> </w:t>
      </w:r>
      <w:r w:rsidR="004E05E1">
        <w:rPr>
          <w:rFonts w:cstheme="minorHAnsi"/>
          <w:sz w:val="24"/>
          <w:szCs w:val="24"/>
          <w:lang w:val="el-GR"/>
        </w:rPr>
        <w:t>α</w:t>
      </w:r>
      <w:r>
        <w:rPr>
          <w:rFonts w:cstheme="minorHAnsi"/>
          <w:sz w:val="24"/>
          <w:szCs w:val="24"/>
          <w:lang w:val="el-GR"/>
        </w:rPr>
        <w:t>πόφαση</w:t>
      </w:r>
      <w:r w:rsidRPr="009F6DB6">
        <w:rPr>
          <w:rFonts w:cstheme="minorHAnsi"/>
          <w:sz w:val="24"/>
          <w:szCs w:val="24"/>
          <w:lang w:val="el-GR"/>
        </w:rPr>
        <w:t xml:space="preserve"> </w:t>
      </w:r>
      <w:r>
        <w:rPr>
          <w:rFonts w:cstheme="minorHAnsi"/>
          <w:sz w:val="24"/>
          <w:szCs w:val="24"/>
          <w:lang w:val="el-GR"/>
        </w:rPr>
        <w:t>προαγωγής</w:t>
      </w:r>
      <w:r w:rsidR="00220066" w:rsidRPr="009F6DB6">
        <w:rPr>
          <w:rFonts w:cstheme="minorHAnsi"/>
          <w:sz w:val="24"/>
          <w:szCs w:val="24"/>
          <w:lang w:val="el-GR"/>
        </w:rPr>
        <w:t xml:space="preserve">, </w:t>
      </w:r>
      <w:r>
        <w:rPr>
          <w:rFonts w:cstheme="minorHAnsi"/>
          <w:sz w:val="24"/>
          <w:szCs w:val="24"/>
          <w:lang w:val="el-GR"/>
        </w:rPr>
        <w:t>οι</w:t>
      </w:r>
      <w:r w:rsidRPr="009F6DB6">
        <w:rPr>
          <w:rFonts w:cstheme="minorHAnsi"/>
          <w:sz w:val="24"/>
          <w:szCs w:val="24"/>
          <w:lang w:val="el-GR"/>
        </w:rPr>
        <w:t xml:space="preserve"> </w:t>
      </w:r>
      <w:r>
        <w:rPr>
          <w:rFonts w:cstheme="minorHAnsi"/>
          <w:sz w:val="24"/>
          <w:szCs w:val="24"/>
          <w:lang w:val="el-GR"/>
        </w:rPr>
        <w:t>εν</w:t>
      </w:r>
      <w:r w:rsidRPr="009F6DB6">
        <w:rPr>
          <w:rFonts w:cstheme="minorHAnsi"/>
          <w:sz w:val="24"/>
          <w:szCs w:val="24"/>
          <w:lang w:val="el-GR"/>
        </w:rPr>
        <w:t xml:space="preserve"> </w:t>
      </w:r>
      <w:r>
        <w:rPr>
          <w:rFonts w:cstheme="minorHAnsi"/>
          <w:sz w:val="24"/>
          <w:szCs w:val="24"/>
          <w:lang w:val="el-GR"/>
        </w:rPr>
        <w:t>λόγω</w:t>
      </w:r>
      <w:r w:rsidRPr="009F6DB6">
        <w:rPr>
          <w:rFonts w:cstheme="minorHAnsi"/>
          <w:sz w:val="24"/>
          <w:szCs w:val="24"/>
          <w:lang w:val="el-GR"/>
        </w:rPr>
        <w:t xml:space="preserve"> </w:t>
      </w:r>
      <w:r>
        <w:rPr>
          <w:rFonts w:cstheme="minorHAnsi"/>
          <w:sz w:val="24"/>
          <w:szCs w:val="24"/>
          <w:lang w:val="el-GR"/>
        </w:rPr>
        <w:t>αξιωματούχοι</w:t>
      </w:r>
      <w:r w:rsidRPr="009F6DB6">
        <w:rPr>
          <w:rFonts w:cstheme="minorHAnsi"/>
          <w:sz w:val="24"/>
          <w:szCs w:val="24"/>
          <w:lang w:val="el-GR"/>
        </w:rPr>
        <w:t xml:space="preserve"> </w:t>
      </w:r>
      <w:r>
        <w:rPr>
          <w:rFonts w:cstheme="minorHAnsi"/>
          <w:sz w:val="24"/>
          <w:szCs w:val="24"/>
          <w:lang w:val="el-GR"/>
        </w:rPr>
        <w:t>προήχθησαν εκ νέου</w:t>
      </w:r>
      <w:r w:rsidR="00220066" w:rsidRPr="009F6DB6">
        <w:rPr>
          <w:rFonts w:cstheme="minorHAnsi"/>
          <w:sz w:val="24"/>
          <w:szCs w:val="24"/>
          <w:lang w:val="el-GR"/>
        </w:rPr>
        <w:t xml:space="preserve"> </w:t>
      </w:r>
      <w:r>
        <w:rPr>
          <w:rFonts w:cstheme="minorHAnsi"/>
          <w:sz w:val="24"/>
          <w:szCs w:val="24"/>
          <w:lang w:val="el-GR"/>
        </w:rPr>
        <w:t>μετέπειτα</w:t>
      </w:r>
      <w:r w:rsidR="00220066" w:rsidRPr="009F6DB6">
        <w:rPr>
          <w:rFonts w:cstheme="minorHAnsi"/>
          <w:sz w:val="24"/>
          <w:szCs w:val="24"/>
          <w:lang w:val="el-GR"/>
        </w:rPr>
        <w:t xml:space="preserve">, </w:t>
      </w:r>
      <w:r w:rsidR="002C74E2">
        <w:rPr>
          <w:rFonts w:cstheme="minorHAnsi"/>
          <w:sz w:val="24"/>
          <w:szCs w:val="24"/>
          <w:lang w:val="el-GR"/>
        </w:rPr>
        <w:t>όσον αφορά την διοικητική διαδικασία</w:t>
      </w:r>
      <w:r w:rsidR="001349A4">
        <w:rPr>
          <w:rStyle w:val="FootnoteReference"/>
          <w:rFonts w:cstheme="minorHAnsi"/>
          <w:sz w:val="24"/>
          <w:szCs w:val="24"/>
        </w:rPr>
        <w:footnoteReference w:id="63"/>
      </w:r>
      <w:r w:rsidR="001349A4" w:rsidRPr="009F6DB6">
        <w:rPr>
          <w:rFonts w:cstheme="minorHAnsi"/>
          <w:sz w:val="24"/>
          <w:szCs w:val="24"/>
          <w:lang w:val="el-GR"/>
        </w:rPr>
        <w:t xml:space="preserve">, </w:t>
      </w:r>
      <w:r w:rsidR="002C74E2">
        <w:rPr>
          <w:rFonts w:cstheme="minorHAnsi"/>
          <w:sz w:val="24"/>
          <w:szCs w:val="24"/>
          <w:lang w:val="el-GR"/>
        </w:rPr>
        <w:t>ή ότι λάμβαναν τον μισθό που αναλογεί με τον ψηλότερο βαθμό</w:t>
      </w:r>
      <w:r w:rsidR="00220066" w:rsidRPr="009F6DB6">
        <w:rPr>
          <w:rFonts w:cstheme="minorHAnsi"/>
          <w:sz w:val="24"/>
          <w:szCs w:val="24"/>
          <w:lang w:val="el-GR"/>
        </w:rPr>
        <w:t xml:space="preserve">. </w:t>
      </w:r>
      <w:r w:rsidR="002C74E2">
        <w:rPr>
          <w:rFonts w:cstheme="minorHAnsi"/>
          <w:sz w:val="24"/>
          <w:szCs w:val="24"/>
          <w:lang w:val="el-GR"/>
        </w:rPr>
        <w:t>Αυτή</w:t>
      </w:r>
      <w:r w:rsidR="002C74E2" w:rsidRPr="002C74E2">
        <w:rPr>
          <w:rFonts w:cstheme="minorHAnsi"/>
          <w:sz w:val="24"/>
          <w:szCs w:val="24"/>
          <w:lang w:val="el-GR"/>
        </w:rPr>
        <w:t xml:space="preserve"> </w:t>
      </w:r>
      <w:r w:rsidR="002C74E2">
        <w:rPr>
          <w:rFonts w:cstheme="minorHAnsi"/>
          <w:sz w:val="24"/>
          <w:szCs w:val="24"/>
          <w:lang w:val="el-GR"/>
        </w:rPr>
        <w:t>η</w:t>
      </w:r>
      <w:r w:rsidR="002C74E2" w:rsidRPr="002C74E2">
        <w:rPr>
          <w:rFonts w:cstheme="minorHAnsi"/>
          <w:sz w:val="24"/>
          <w:szCs w:val="24"/>
          <w:lang w:val="el-GR"/>
        </w:rPr>
        <w:t xml:space="preserve"> </w:t>
      </w:r>
      <w:r w:rsidR="002C74E2">
        <w:rPr>
          <w:rFonts w:cstheme="minorHAnsi"/>
          <w:sz w:val="24"/>
          <w:szCs w:val="24"/>
          <w:lang w:val="el-GR"/>
        </w:rPr>
        <w:t>κατάσταση</w:t>
      </w:r>
      <w:r w:rsidR="002C74E2" w:rsidRPr="002C74E2">
        <w:rPr>
          <w:rFonts w:cstheme="minorHAnsi"/>
          <w:sz w:val="24"/>
          <w:szCs w:val="24"/>
          <w:lang w:val="el-GR"/>
        </w:rPr>
        <w:t xml:space="preserve"> </w:t>
      </w:r>
      <w:r w:rsidR="002C74E2">
        <w:rPr>
          <w:rFonts w:cstheme="minorHAnsi"/>
          <w:sz w:val="24"/>
          <w:szCs w:val="24"/>
          <w:lang w:val="el-GR"/>
        </w:rPr>
        <w:t>πραγμάτων</w:t>
      </w:r>
      <w:r w:rsidR="00220066" w:rsidRPr="002C74E2">
        <w:rPr>
          <w:rFonts w:cstheme="minorHAnsi"/>
          <w:sz w:val="24"/>
          <w:szCs w:val="24"/>
          <w:lang w:val="el-GR"/>
        </w:rPr>
        <w:t xml:space="preserve"> </w:t>
      </w:r>
      <w:r w:rsidR="002C74E2">
        <w:rPr>
          <w:rFonts w:cstheme="minorHAnsi"/>
          <w:sz w:val="24"/>
          <w:szCs w:val="24"/>
          <w:lang w:val="el-GR"/>
        </w:rPr>
        <w:t>έχει</w:t>
      </w:r>
      <w:r w:rsidR="002C74E2" w:rsidRPr="002C74E2">
        <w:rPr>
          <w:rFonts w:cstheme="minorHAnsi"/>
          <w:sz w:val="24"/>
          <w:szCs w:val="24"/>
          <w:lang w:val="el-GR"/>
        </w:rPr>
        <w:t xml:space="preserve"> </w:t>
      </w:r>
      <w:r w:rsidR="002C74E2">
        <w:rPr>
          <w:rFonts w:cstheme="minorHAnsi"/>
          <w:sz w:val="24"/>
          <w:szCs w:val="24"/>
          <w:lang w:val="el-GR"/>
        </w:rPr>
        <w:t>σημαντικές</w:t>
      </w:r>
      <w:r w:rsidR="002C74E2" w:rsidRPr="002C74E2">
        <w:rPr>
          <w:rFonts w:cstheme="minorHAnsi"/>
          <w:sz w:val="24"/>
          <w:szCs w:val="24"/>
          <w:lang w:val="el-GR"/>
        </w:rPr>
        <w:t xml:space="preserve"> </w:t>
      </w:r>
      <w:r w:rsidR="002C74E2">
        <w:rPr>
          <w:rFonts w:cstheme="minorHAnsi"/>
          <w:sz w:val="24"/>
          <w:szCs w:val="24"/>
          <w:lang w:val="el-GR"/>
        </w:rPr>
        <w:lastRenderedPageBreak/>
        <w:t>επιπτώσεις</w:t>
      </w:r>
      <w:r w:rsidR="00220066" w:rsidRPr="002C74E2">
        <w:rPr>
          <w:rFonts w:cstheme="minorHAnsi"/>
          <w:sz w:val="24"/>
          <w:szCs w:val="24"/>
          <w:lang w:val="el-GR"/>
        </w:rPr>
        <w:t xml:space="preserve"> </w:t>
      </w:r>
      <w:r w:rsidR="002C74E2">
        <w:rPr>
          <w:rFonts w:cstheme="minorHAnsi"/>
          <w:sz w:val="24"/>
          <w:szCs w:val="24"/>
          <w:lang w:val="el-GR"/>
        </w:rPr>
        <w:t>για</w:t>
      </w:r>
      <w:r w:rsidR="002C74E2" w:rsidRPr="002C74E2">
        <w:rPr>
          <w:rFonts w:cstheme="minorHAnsi"/>
          <w:sz w:val="24"/>
          <w:szCs w:val="24"/>
          <w:lang w:val="el-GR"/>
        </w:rPr>
        <w:t xml:space="preserve"> </w:t>
      </w:r>
      <w:r w:rsidR="002C74E2">
        <w:rPr>
          <w:rFonts w:cstheme="minorHAnsi"/>
          <w:sz w:val="24"/>
          <w:szCs w:val="24"/>
          <w:lang w:val="el-GR"/>
        </w:rPr>
        <w:t>την</w:t>
      </w:r>
      <w:r w:rsidR="002C74E2" w:rsidRPr="002C74E2">
        <w:rPr>
          <w:rFonts w:cstheme="minorHAnsi"/>
          <w:sz w:val="24"/>
          <w:szCs w:val="24"/>
          <w:lang w:val="el-GR"/>
        </w:rPr>
        <w:t xml:space="preserve"> </w:t>
      </w:r>
      <w:r w:rsidR="002C74E2">
        <w:rPr>
          <w:rFonts w:cstheme="minorHAnsi"/>
          <w:sz w:val="24"/>
          <w:szCs w:val="24"/>
          <w:lang w:val="el-GR"/>
        </w:rPr>
        <w:t>καθημερινή</w:t>
      </w:r>
      <w:r w:rsidR="002C74E2" w:rsidRPr="002C74E2">
        <w:rPr>
          <w:rFonts w:cstheme="minorHAnsi"/>
          <w:sz w:val="24"/>
          <w:szCs w:val="24"/>
          <w:lang w:val="el-GR"/>
        </w:rPr>
        <w:t xml:space="preserve"> </w:t>
      </w:r>
      <w:r w:rsidR="002C74E2">
        <w:rPr>
          <w:rFonts w:cstheme="minorHAnsi"/>
          <w:sz w:val="24"/>
          <w:szCs w:val="24"/>
          <w:lang w:val="el-GR"/>
        </w:rPr>
        <w:t>λειτουργία</w:t>
      </w:r>
      <w:r w:rsidR="002C74E2" w:rsidRPr="002C74E2">
        <w:rPr>
          <w:rFonts w:cstheme="minorHAnsi"/>
          <w:sz w:val="24"/>
          <w:szCs w:val="24"/>
          <w:lang w:val="el-GR"/>
        </w:rPr>
        <w:t xml:space="preserve"> </w:t>
      </w:r>
      <w:r w:rsidR="002C74E2">
        <w:rPr>
          <w:rFonts w:cstheme="minorHAnsi"/>
          <w:sz w:val="24"/>
          <w:szCs w:val="24"/>
          <w:lang w:val="el-GR"/>
        </w:rPr>
        <w:t>της</w:t>
      </w:r>
      <w:r w:rsidR="002C74E2" w:rsidRPr="002C74E2">
        <w:rPr>
          <w:rFonts w:cstheme="minorHAnsi"/>
          <w:sz w:val="24"/>
          <w:szCs w:val="24"/>
          <w:lang w:val="el-GR"/>
        </w:rPr>
        <w:t xml:space="preserve"> </w:t>
      </w:r>
      <w:r w:rsidR="002B5A91">
        <w:rPr>
          <w:rFonts w:cstheme="minorHAnsi"/>
          <w:sz w:val="24"/>
          <w:szCs w:val="24"/>
          <w:lang w:val="el-GR"/>
        </w:rPr>
        <w:t>Α</w:t>
      </w:r>
      <w:r w:rsidR="002C74E2">
        <w:rPr>
          <w:rFonts w:cstheme="minorHAnsi"/>
          <w:sz w:val="24"/>
          <w:szCs w:val="24"/>
          <w:lang w:val="el-GR"/>
        </w:rPr>
        <w:t>στυνομίας</w:t>
      </w:r>
      <w:r w:rsidR="00220066" w:rsidRPr="002C74E2">
        <w:rPr>
          <w:rFonts w:cstheme="minorHAnsi"/>
          <w:sz w:val="24"/>
          <w:szCs w:val="24"/>
          <w:lang w:val="el-GR"/>
        </w:rPr>
        <w:t xml:space="preserve"> (</w:t>
      </w:r>
      <w:r w:rsidR="002C74E2">
        <w:rPr>
          <w:rFonts w:cstheme="minorHAnsi"/>
          <w:sz w:val="24"/>
          <w:szCs w:val="24"/>
          <w:lang w:val="el-GR"/>
        </w:rPr>
        <w:t>οι</w:t>
      </w:r>
      <w:r w:rsidR="002C74E2" w:rsidRPr="002C74E2">
        <w:rPr>
          <w:rFonts w:cstheme="minorHAnsi"/>
          <w:sz w:val="24"/>
          <w:szCs w:val="24"/>
          <w:lang w:val="el-GR"/>
        </w:rPr>
        <w:t xml:space="preserve"> </w:t>
      </w:r>
      <w:r w:rsidR="002C74E2">
        <w:rPr>
          <w:rFonts w:cstheme="minorHAnsi"/>
          <w:sz w:val="24"/>
          <w:szCs w:val="24"/>
          <w:lang w:val="el-GR"/>
        </w:rPr>
        <w:t>κενές</w:t>
      </w:r>
      <w:r w:rsidR="002C74E2" w:rsidRPr="002C74E2">
        <w:rPr>
          <w:rFonts w:cstheme="minorHAnsi"/>
          <w:sz w:val="24"/>
          <w:szCs w:val="24"/>
          <w:lang w:val="el-GR"/>
        </w:rPr>
        <w:t xml:space="preserve"> </w:t>
      </w:r>
      <w:r w:rsidR="002C74E2">
        <w:rPr>
          <w:rFonts w:cstheme="minorHAnsi"/>
          <w:sz w:val="24"/>
          <w:szCs w:val="24"/>
          <w:lang w:val="el-GR"/>
        </w:rPr>
        <w:t>θέσεις</w:t>
      </w:r>
      <w:r w:rsidR="002C74E2" w:rsidRPr="002C74E2">
        <w:rPr>
          <w:rFonts w:cstheme="minorHAnsi"/>
          <w:sz w:val="24"/>
          <w:szCs w:val="24"/>
          <w:lang w:val="el-GR"/>
        </w:rPr>
        <w:t xml:space="preserve"> </w:t>
      </w:r>
      <w:r w:rsidR="002C74E2">
        <w:rPr>
          <w:rFonts w:cstheme="minorHAnsi"/>
          <w:sz w:val="24"/>
          <w:szCs w:val="24"/>
          <w:lang w:val="el-GR"/>
        </w:rPr>
        <w:t>να</w:t>
      </w:r>
      <w:r w:rsidR="002C74E2" w:rsidRPr="002C74E2">
        <w:rPr>
          <w:rFonts w:cstheme="minorHAnsi"/>
          <w:sz w:val="24"/>
          <w:szCs w:val="24"/>
          <w:lang w:val="el-GR"/>
        </w:rPr>
        <w:t xml:space="preserve"> </w:t>
      </w:r>
      <w:r w:rsidR="002C74E2">
        <w:rPr>
          <w:rFonts w:cstheme="minorHAnsi"/>
          <w:sz w:val="24"/>
          <w:szCs w:val="24"/>
          <w:lang w:val="el-GR"/>
        </w:rPr>
        <w:t>μην</w:t>
      </w:r>
      <w:r w:rsidR="002C74E2" w:rsidRPr="002C74E2">
        <w:rPr>
          <w:rFonts w:cstheme="minorHAnsi"/>
          <w:sz w:val="24"/>
          <w:szCs w:val="24"/>
          <w:lang w:val="el-GR"/>
        </w:rPr>
        <w:t xml:space="preserve"> </w:t>
      </w:r>
      <w:r w:rsidR="002C74E2">
        <w:rPr>
          <w:rFonts w:cstheme="minorHAnsi"/>
          <w:sz w:val="24"/>
          <w:szCs w:val="24"/>
          <w:lang w:val="el-GR"/>
        </w:rPr>
        <w:t>πληρούνται</w:t>
      </w:r>
      <w:r w:rsidR="00220066" w:rsidRPr="002C74E2">
        <w:rPr>
          <w:rFonts w:cstheme="minorHAnsi"/>
          <w:sz w:val="24"/>
          <w:szCs w:val="24"/>
          <w:lang w:val="el-GR"/>
        </w:rPr>
        <w:t xml:space="preserve">, </w:t>
      </w:r>
      <w:r w:rsidR="002C74E2">
        <w:rPr>
          <w:rFonts w:cstheme="minorHAnsi"/>
          <w:sz w:val="24"/>
          <w:szCs w:val="24"/>
          <w:lang w:val="el-GR"/>
        </w:rPr>
        <w:t>οι</w:t>
      </w:r>
      <w:r w:rsidR="002C74E2" w:rsidRPr="002C74E2">
        <w:rPr>
          <w:rFonts w:cstheme="minorHAnsi"/>
          <w:sz w:val="24"/>
          <w:szCs w:val="24"/>
          <w:lang w:val="el-GR"/>
        </w:rPr>
        <w:t xml:space="preserve"> </w:t>
      </w:r>
      <w:r w:rsidR="002C74E2">
        <w:rPr>
          <w:rFonts w:cstheme="minorHAnsi"/>
          <w:sz w:val="24"/>
          <w:szCs w:val="24"/>
          <w:lang w:val="el-GR"/>
        </w:rPr>
        <w:t>πειθαρχικές</w:t>
      </w:r>
      <w:r w:rsidR="002C74E2" w:rsidRPr="002C74E2">
        <w:rPr>
          <w:rFonts w:cstheme="minorHAnsi"/>
          <w:sz w:val="24"/>
          <w:szCs w:val="24"/>
          <w:lang w:val="el-GR"/>
        </w:rPr>
        <w:t xml:space="preserve"> </w:t>
      </w:r>
      <w:r w:rsidR="002C74E2">
        <w:rPr>
          <w:rFonts w:cstheme="minorHAnsi"/>
          <w:sz w:val="24"/>
          <w:szCs w:val="24"/>
          <w:lang w:val="el-GR"/>
        </w:rPr>
        <w:t>διαδικασίες</w:t>
      </w:r>
      <w:r w:rsidR="002C74E2" w:rsidRPr="002C74E2">
        <w:rPr>
          <w:rFonts w:cstheme="minorHAnsi"/>
          <w:sz w:val="24"/>
          <w:szCs w:val="24"/>
          <w:lang w:val="el-GR"/>
        </w:rPr>
        <w:t xml:space="preserve"> </w:t>
      </w:r>
      <w:r w:rsidR="002C74E2">
        <w:rPr>
          <w:rFonts w:cstheme="minorHAnsi"/>
          <w:sz w:val="24"/>
          <w:szCs w:val="24"/>
          <w:lang w:val="el-GR"/>
        </w:rPr>
        <w:t>να</w:t>
      </w:r>
      <w:r w:rsidR="002C74E2" w:rsidRPr="002C74E2">
        <w:rPr>
          <w:rFonts w:cstheme="minorHAnsi"/>
          <w:sz w:val="24"/>
          <w:szCs w:val="24"/>
          <w:lang w:val="el-GR"/>
        </w:rPr>
        <w:t xml:space="preserve"> </w:t>
      </w:r>
      <w:r w:rsidR="002C74E2">
        <w:rPr>
          <w:rFonts w:cstheme="minorHAnsi"/>
          <w:sz w:val="24"/>
          <w:szCs w:val="24"/>
          <w:lang w:val="el-GR"/>
        </w:rPr>
        <w:t>τεθούν</w:t>
      </w:r>
      <w:r w:rsidR="002C74E2" w:rsidRPr="002C74E2">
        <w:rPr>
          <w:rFonts w:cstheme="minorHAnsi"/>
          <w:sz w:val="24"/>
          <w:szCs w:val="24"/>
          <w:lang w:val="el-GR"/>
        </w:rPr>
        <w:t xml:space="preserve"> </w:t>
      </w:r>
      <w:r w:rsidR="002C74E2">
        <w:rPr>
          <w:rFonts w:cstheme="minorHAnsi"/>
          <w:sz w:val="24"/>
          <w:szCs w:val="24"/>
          <w:lang w:val="el-GR"/>
        </w:rPr>
        <w:t>σε</w:t>
      </w:r>
      <w:r w:rsidR="002C74E2" w:rsidRPr="002C74E2">
        <w:rPr>
          <w:rFonts w:cstheme="minorHAnsi"/>
          <w:sz w:val="24"/>
          <w:szCs w:val="24"/>
          <w:lang w:val="el-GR"/>
        </w:rPr>
        <w:t xml:space="preserve"> </w:t>
      </w:r>
      <w:r w:rsidR="002C74E2">
        <w:rPr>
          <w:rFonts w:cstheme="minorHAnsi"/>
          <w:sz w:val="24"/>
          <w:szCs w:val="24"/>
          <w:lang w:val="el-GR"/>
        </w:rPr>
        <w:t>αναμονή</w:t>
      </w:r>
      <w:r w:rsidR="00220066" w:rsidRPr="002C74E2">
        <w:rPr>
          <w:rFonts w:cstheme="minorHAnsi"/>
          <w:sz w:val="24"/>
          <w:szCs w:val="24"/>
          <w:lang w:val="el-GR"/>
        </w:rPr>
        <w:t xml:space="preserve"> </w:t>
      </w:r>
      <w:r w:rsidR="002C74E2">
        <w:rPr>
          <w:rFonts w:cstheme="minorHAnsi"/>
          <w:sz w:val="24"/>
          <w:szCs w:val="24"/>
          <w:lang w:val="el-GR"/>
        </w:rPr>
        <w:t>επειδή ακουγόντουσαν από αξιωματούχους που έχουν χάσει τον βαθμό τους</w:t>
      </w:r>
      <w:r w:rsidR="00220066" w:rsidRPr="002C74E2">
        <w:rPr>
          <w:sz w:val="24"/>
          <w:szCs w:val="24"/>
          <w:lang w:val="el-GR"/>
        </w:rPr>
        <w:t xml:space="preserve"> </w:t>
      </w:r>
      <w:r w:rsidR="002C74E2">
        <w:rPr>
          <w:sz w:val="24"/>
          <w:szCs w:val="24"/>
          <w:lang w:val="el-GR"/>
        </w:rPr>
        <w:t>και δεν έχουν πλέον την δικαιοδοσία για να χειριστούν τις υποθέσεις</w:t>
      </w:r>
      <w:r w:rsidR="00220066" w:rsidRPr="002C74E2">
        <w:rPr>
          <w:sz w:val="24"/>
          <w:szCs w:val="24"/>
          <w:lang w:val="el-GR"/>
        </w:rPr>
        <w:t xml:space="preserve">, </w:t>
      </w:r>
      <w:r w:rsidR="002C74E2">
        <w:rPr>
          <w:sz w:val="24"/>
          <w:szCs w:val="24"/>
          <w:lang w:val="el-GR"/>
        </w:rPr>
        <w:t>κλπ</w:t>
      </w:r>
      <w:r w:rsidR="00220066" w:rsidRPr="002C74E2">
        <w:rPr>
          <w:sz w:val="24"/>
          <w:szCs w:val="24"/>
          <w:lang w:val="el-GR"/>
        </w:rPr>
        <w:t>.)</w:t>
      </w:r>
      <w:r w:rsidR="00220066" w:rsidRPr="002C74E2">
        <w:rPr>
          <w:rFonts w:cstheme="minorHAnsi"/>
          <w:sz w:val="24"/>
          <w:szCs w:val="24"/>
          <w:lang w:val="el-GR"/>
        </w:rPr>
        <w:t xml:space="preserve">, </w:t>
      </w:r>
      <w:r w:rsidR="002C74E2">
        <w:rPr>
          <w:rFonts w:cstheme="minorHAnsi"/>
          <w:sz w:val="24"/>
          <w:szCs w:val="24"/>
          <w:lang w:val="el-GR"/>
        </w:rPr>
        <w:t>και επίσης</w:t>
      </w:r>
      <w:r w:rsidR="00220066" w:rsidRPr="002C74E2">
        <w:rPr>
          <w:rFonts w:cstheme="minorHAnsi"/>
          <w:sz w:val="24"/>
          <w:szCs w:val="24"/>
          <w:lang w:val="el-GR"/>
        </w:rPr>
        <w:t xml:space="preserve">, </w:t>
      </w:r>
      <w:r w:rsidR="002C74E2">
        <w:rPr>
          <w:rFonts w:cstheme="minorHAnsi"/>
          <w:sz w:val="24"/>
          <w:szCs w:val="24"/>
          <w:lang w:val="el-GR"/>
        </w:rPr>
        <w:t>και πολύ σημαντικά</w:t>
      </w:r>
      <w:r w:rsidR="00220066" w:rsidRPr="002C74E2">
        <w:rPr>
          <w:rFonts w:cstheme="minorHAnsi"/>
          <w:sz w:val="24"/>
          <w:szCs w:val="24"/>
          <w:lang w:val="el-GR"/>
        </w:rPr>
        <w:t xml:space="preserve">, </w:t>
      </w:r>
      <w:r w:rsidR="002C74E2">
        <w:rPr>
          <w:rFonts w:cstheme="minorHAnsi"/>
          <w:sz w:val="24"/>
          <w:szCs w:val="24"/>
          <w:lang w:val="el-GR"/>
        </w:rPr>
        <w:t>και για το ηθικό των μελών της αστυνομικής δύναμης</w:t>
      </w:r>
      <w:r w:rsidR="00220066" w:rsidRPr="002C74E2">
        <w:rPr>
          <w:rFonts w:cstheme="minorHAnsi"/>
          <w:sz w:val="24"/>
          <w:szCs w:val="24"/>
          <w:lang w:val="el-GR"/>
        </w:rPr>
        <w:t xml:space="preserve">. </w:t>
      </w:r>
    </w:p>
    <w:p w14:paraId="648FC847" w14:textId="77777777" w:rsidR="00220066" w:rsidRPr="002C74E2" w:rsidRDefault="00220066" w:rsidP="00220066">
      <w:pPr>
        <w:pStyle w:val="ListParagraph"/>
        <w:rPr>
          <w:rFonts w:cstheme="minorHAnsi"/>
          <w:sz w:val="24"/>
          <w:szCs w:val="24"/>
          <w:lang w:val="el-GR"/>
        </w:rPr>
      </w:pPr>
    </w:p>
    <w:p w14:paraId="7B033789" w14:textId="78967717" w:rsidR="00220066" w:rsidRPr="008759CC" w:rsidRDefault="002E5EC0"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Επιπλέον</w:t>
      </w:r>
      <w:r w:rsidR="008759CC" w:rsidRPr="00AE6554">
        <w:rPr>
          <w:rFonts w:cstheme="minorHAnsi"/>
          <w:sz w:val="24"/>
          <w:szCs w:val="24"/>
          <w:lang w:val="el-GR"/>
        </w:rPr>
        <w:t xml:space="preserve">, </w:t>
      </w:r>
      <w:r w:rsidR="008759CC">
        <w:rPr>
          <w:rFonts w:cstheme="minorHAnsi"/>
          <w:sz w:val="24"/>
          <w:szCs w:val="24"/>
          <w:lang w:val="el-GR"/>
        </w:rPr>
        <w:t>λείπει</w:t>
      </w:r>
      <w:r w:rsidR="008759CC" w:rsidRPr="00AE6554">
        <w:rPr>
          <w:rFonts w:cstheme="minorHAnsi"/>
          <w:sz w:val="24"/>
          <w:szCs w:val="24"/>
          <w:lang w:val="el-GR"/>
        </w:rPr>
        <w:t xml:space="preserve"> </w:t>
      </w:r>
      <w:r w:rsidR="008759CC">
        <w:rPr>
          <w:rFonts w:cstheme="minorHAnsi"/>
          <w:sz w:val="24"/>
          <w:szCs w:val="24"/>
          <w:lang w:val="el-GR"/>
        </w:rPr>
        <w:t>μια</w:t>
      </w:r>
      <w:r w:rsidR="008759CC" w:rsidRPr="00AE6554">
        <w:rPr>
          <w:rFonts w:cstheme="minorHAnsi"/>
          <w:sz w:val="24"/>
          <w:szCs w:val="24"/>
          <w:lang w:val="el-GR"/>
        </w:rPr>
        <w:t xml:space="preserve"> </w:t>
      </w:r>
      <w:r w:rsidR="008759CC">
        <w:rPr>
          <w:rFonts w:cstheme="minorHAnsi"/>
          <w:sz w:val="24"/>
          <w:szCs w:val="24"/>
          <w:lang w:val="el-GR"/>
        </w:rPr>
        <w:t>καλά</w:t>
      </w:r>
      <w:r w:rsidR="008759CC" w:rsidRPr="00AE6554">
        <w:rPr>
          <w:rFonts w:cstheme="minorHAnsi"/>
          <w:sz w:val="24"/>
          <w:szCs w:val="24"/>
          <w:lang w:val="el-GR"/>
        </w:rPr>
        <w:t xml:space="preserve"> </w:t>
      </w:r>
      <w:r w:rsidR="008759CC">
        <w:rPr>
          <w:rFonts w:cstheme="minorHAnsi"/>
          <w:sz w:val="24"/>
          <w:szCs w:val="24"/>
          <w:lang w:val="el-GR"/>
        </w:rPr>
        <w:t>ρυθμισμένη</w:t>
      </w:r>
      <w:r w:rsidR="008759CC" w:rsidRPr="00AE6554">
        <w:rPr>
          <w:rFonts w:cstheme="minorHAnsi"/>
          <w:sz w:val="24"/>
          <w:szCs w:val="24"/>
          <w:lang w:val="el-GR"/>
        </w:rPr>
        <w:t xml:space="preserve"> </w:t>
      </w:r>
      <w:r w:rsidR="008759CC">
        <w:rPr>
          <w:rFonts w:cstheme="minorHAnsi"/>
          <w:sz w:val="24"/>
          <w:szCs w:val="24"/>
          <w:lang w:val="el-GR"/>
        </w:rPr>
        <w:t>διαδικασία</w:t>
      </w:r>
      <w:r w:rsidR="008759CC" w:rsidRPr="00AE6554">
        <w:rPr>
          <w:rFonts w:cstheme="minorHAnsi"/>
          <w:sz w:val="24"/>
          <w:szCs w:val="24"/>
          <w:lang w:val="el-GR"/>
        </w:rPr>
        <w:t xml:space="preserve"> </w:t>
      </w:r>
      <w:r w:rsidR="008759CC">
        <w:rPr>
          <w:rFonts w:cstheme="minorHAnsi"/>
          <w:sz w:val="24"/>
          <w:szCs w:val="24"/>
          <w:lang w:val="el-GR"/>
        </w:rPr>
        <w:t>μεταθέσεων</w:t>
      </w:r>
      <w:r w:rsidR="008759CC" w:rsidRPr="00AE6554">
        <w:rPr>
          <w:rFonts w:cstheme="minorHAnsi"/>
          <w:sz w:val="24"/>
          <w:szCs w:val="24"/>
          <w:lang w:val="el-GR"/>
        </w:rPr>
        <w:t>.</w:t>
      </w:r>
      <w:r w:rsidR="00220066" w:rsidRPr="00AE6554">
        <w:rPr>
          <w:rFonts w:cstheme="minorHAnsi"/>
          <w:sz w:val="24"/>
          <w:szCs w:val="24"/>
          <w:lang w:val="el-GR"/>
        </w:rPr>
        <w:t xml:space="preserve"> </w:t>
      </w:r>
      <w:r w:rsidR="008759CC">
        <w:rPr>
          <w:rFonts w:cstheme="minorHAnsi"/>
          <w:sz w:val="24"/>
          <w:szCs w:val="24"/>
          <w:lang w:val="el-GR"/>
        </w:rPr>
        <w:t>Ένα</w:t>
      </w:r>
      <w:r w:rsidR="008759CC" w:rsidRPr="008759CC">
        <w:rPr>
          <w:rFonts w:cstheme="minorHAnsi"/>
          <w:sz w:val="24"/>
          <w:szCs w:val="24"/>
          <w:lang w:val="el-GR"/>
        </w:rPr>
        <w:t xml:space="preserve"> </w:t>
      </w:r>
      <w:r w:rsidR="008759CC">
        <w:rPr>
          <w:rFonts w:cstheme="minorHAnsi"/>
          <w:sz w:val="24"/>
          <w:szCs w:val="24"/>
          <w:lang w:val="el-GR"/>
        </w:rPr>
        <w:t>ελάττωμα</w:t>
      </w:r>
      <w:r w:rsidR="008759CC" w:rsidRPr="008759CC">
        <w:rPr>
          <w:rFonts w:cstheme="minorHAnsi"/>
          <w:sz w:val="24"/>
          <w:szCs w:val="24"/>
          <w:lang w:val="el-GR"/>
        </w:rPr>
        <w:t xml:space="preserve"> </w:t>
      </w:r>
      <w:r w:rsidR="008759CC">
        <w:rPr>
          <w:rFonts w:cstheme="minorHAnsi"/>
          <w:sz w:val="24"/>
          <w:szCs w:val="24"/>
          <w:lang w:val="el-GR"/>
        </w:rPr>
        <w:t>που</w:t>
      </w:r>
      <w:r w:rsidR="008759CC" w:rsidRPr="008759CC">
        <w:rPr>
          <w:rFonts w:cstheme="minorHAnsi"/>
          <w:sz w:val="24"/>
          <w:szCs w:val="24"/>
          <w:lang w:val="el-GR"/>
        </w:rPr>
        <w:t xml:space="preserve"> </w:t>
      </w:r>
      <w:r w:rsidR="008759CC">
        <w:rPr>
          <w:rFonts w:cstheme="minorHAnsi"/>
          <w:sz w:val="24"/>
          <w:szCs w:val="24"/>
          <w:lang w:val="el-GR"/>
        </w:rPr>
        <w:t>ειπώθηκε</w:t>
      </w:r>
      <w:r w:rsidR="008759CC" w:rsidRPr="008759CC">
        <w:rPr>
          <w:rFonts w:cstheme="minorHAnsi"/>
          <w:sz w:val="24"/>
          <w:szCs w:val="24"/>
          <w:lang w:val="el-GR"/>
        </w:rPr>
        <w:t xml:space="preserve"> </w:t>
      </w:r>
      <w:r w:rsidR="008759CC">
        <w:rPr>
          <w:rFonts w:cstheme="minorHAnsi"/>
          <w:sz w:val="24"/>
          <w:szCs w:val="24"/>
          <w:lang w:val="el-GR"/>
        </w:rPr>
        <w:t>στην</w:t>
      </w:r>
      <w:r w:rsidR="00220066" w:rsidRPr="008759CC">
        <w:rPr>
          <w:rFonts w:cstheme="minorHAnsi"/>
          <w:sz w:val="24"/>
          <w:szCs w:val="24"/>
          <w:lang w:val="el-GR"/>
        </w:rPr>
        <w:t xml:space="preserve"> </w:t>
      </w:r>
      <w:r w:rsidR="00220066" w:rsidRPr="004E251E">
        <w:rPr>
          <w:rFonts w:cstheme="minorHAnsi"/>
          <w:sz w:val="24"/>
          <w:szCs w:val="24"/>
        </w:rPr>
        <w:t>GET</w:t>
      </w:r>
      <w:r w:rsidR="00220066" w:rsidRPr="008759CC">
        <w:rPr>
          <w:rFonts w:cstheme="minorHAnsi"/>
          <w:sz w:val="24"/>
          <w:szCs w:val="24"/>
          <w:lang w:val="el-GR"/>
        </w:rPr>
        <w:t xml:space="preserve"> </w:t>
      </w:r>
      <w:r w:rsidR="008759CC">
        <w:rPr>
          <w:rFonts w:cstheme="minorHAnsi"/>
          <w:sz w:val="24"/>
          <w:szCs w:val="24"/>
          <w:lang w:val="el-GR"/>
        </w:rPr>
        <w:t>ότι</w:t>
      </w:r>
      <w:r w:rsidR="008759CC" w:rsidRPr="008759CC">
        <w:rPr>
          <w:rFonts w:cstheme="minorHAnsi"/>
          <w:sz w:val="24"/>
          <w:szCs w:val="24"/>
          <w:lang w:val="el-GR"/>
        </w:rPr>
        <w:t xml:space="preserve"> </w:t>
      </w:r>
      <w:r w:rsidR="008759CC">
        <w:rPr>
          <w:rFonts w:cstheme="minorHAnsi"/>
          <w:sz w:val="24"/>
          <w:szCs w:val="24"/>
          <w:lang w:val="el-GR"/>
        </w:rPr>
        <w:t>επ</w:t>
      </w:r>
      <w:r w:rsidR="00FD5FA8">
        <w:rPr>
          <w:rFonts w:cstheme="minorHAnsi"/>
          <w:sz w:val="24"/>
          <w:szCs w:val="24"/>
          <w:lang w:val="el-GR"/>
        </w:rPr>
        <w:t>έ</w:t>
      </w:r>
      <w:r w:rsidR="008759CC">
        <w:rPr>
          <w:rFonts w:cstheme="minorHAnsi"/>
          <w:sz w:val="24"/>
          <w:szCs w:val="24"/>
          <w:lang w:val="el-GR"/>
        </w:rPr>
        <w:t>φερε</w:t>
      </w:r>
      <w:r w:rsidR="008759CC" w:rsidRPr="008759CC">
        <w:rPr>
          <w:rFonts w:cstheme="minorHAnsi"/>
          <w:sz w:val="24"/>
          <w:szCs w:val="24"/>
          <w:lang w:val="el-GR"/>
        </w:rPr>
        <w:t xml:space="preserve"> </w:t>
      </w:r>
      <w:r w:rsidR="008759CC">
        <w:rPr>
          <w:rFonts w:cstheme="minorHAnsi"/>
          <w:sz w:val="24"/>
          <w:szCs w:val="24"/>
          <w:lang w:val="el-GR"/>
        </w:rPr>
        <w:t>την</w:t>
      </w:r>
      <w:r w:rsidR="008759CC" w:rsidRPr="008759CC">
        <w:rPr>
          <w:rFonts w:cstheme="minorHAnsi"/>
          <w:sz w:val="24"/>
          <w:szCs w:val="24"/>
          <w:lang w:val="el-GR"/>
        </w:rPr>
        <w:t xml:space="preserve"> </w:t>
      </w:r>
      <w:r w:rsidR="008759CC">
        <w:rPr>
          <w:rFonts w:cstheme="minorHAnsi"/>
          <w:sz w:val="24"/>
          <w:szCs w:val="24"/>
          <w:lang w:val="el-GR"/>
        </w:rPr>
        <w:t>διαιτησία</w:t>
      </w:r>
      <w:r w:rsidR="008759CC" w:rsidRPr="008759CC">
        <w:rPr>
          <w:rFonts w:cstheme="minorHAnsi"/>
          <w:sz w:val="24"/>
          <w:szCs w:val="24"/>
          <w:lang w:val="el-GR"/>
        </w:rPr>
        <w:t xml:space="preserve">, </w:t>
      </w:r>
      <w:r w:rsidR="008759CC">
        <w:rPr>
          <w:rFonts w:cstheme="minorHAnsi"/>
          <w:sz w:val="24"/>
          <w:szCs w:val="24"/>
          <w:lang w:val="el-GR"/>
        </w:rPr>
        <w:t>με</w:t>
      </w:r>
      <w:r w:rsidR="008759CC" w:rsidRPr="008759CC">
        <w:rPr>
          <w:rFonts w:cstheme="minorHAnsi"/>
          <w:sz w:val="24"/>
          <w:szCs w:val="24"/>
          <w:lang w:val="el-GR"/>
        </w:rPr>
        <w:t xml:space="preserve"> </w:t>
      </w:r>
      <w:r w:rsidR="008759CC">
        <w:rPr>
          <w:rFonts w:cstheme="minorHAnsi"/>
          <w:sz w:val="24"/>
          <w:szCs w:val="24"/>
          <w:lang w:val="el-GR"/>
        </w:rPr>
        <w:t>μονόπλευρες</w:t>
      </w:r>
      <w:r w:rsidR="008759CC" w:rsidRPr="008759CC">
        <w:rPr>
          <w:rFonts w:cstheme="minorHAnsi"/>
          <w:sz w:val="24"/>
          <w:szCs w:val="24"/>
          <w:lang w:val="el-GR"/>
        </w:rPr>
        <w:t xml:space="preserve"> </w:t>
      </w:r>
      <w:r w:rsidR="008759CC">
        <w:rPr>
          <w:rFonts w:cstheme="minorHAnsi"/>
          <w:sz w:val="24"/>
          <w:szCs w:val="24"/>
          <w:lang w:val="el-GR"/>
        </w:rPr>
        <w:t>αποφάσεις</w:t>
      </w:r>
      <w:r w:rsidR="008759CC" w:rsidRPr="008759CC">
        <w:rPr>
          <w:rFonts w:cstheme="minorHAnsi"/>
          <w:sz w:val="24"/>
          <w:szCs w:val="24"/>
          <w:lang w:val="el-GR"/>
        </w:rPr>
        <w:t xml:space="preserve"> </w:t>
      </w:r>
      <w:r w:rsidR="008759CC">
        <w:rPr>
          <w:rFonts w:cstheme="minorHAnsi"/>
          <w:sz w:val="24"/>
          <w:szCs w:val="24"/>
          <w:lang w:val="el-GR"/>
        </w:rPr>
        <w:t>να</w:t>
      </w:r>
      <w:r w:rsidR="008759CC" w:rsidRPr="008759CC">
        <w:rPr>
          <w:rFonts w:cstheme="minorHAnsi"/>
          <w:sz w:val="24"/>
          <w:szCs w:val="24"/>
          <w:lang w:val="el-GR"/>
        </w:rPr>
        <w:t xml:space="preserve"> </w:t>
      </w:r>
      <w:r w:rsidR="008759CC">
        <w:rPr>
          <w:rFonts w:cstheme="minorHAnsi"/>
          <w:sz w:val="24"/>
          <w:szCs w:val="24"/>
          <w:lang w:val="el-GR"/>
        </w:rPr>
        <w:t>λαμβάνονται</w:t>
      </w:r>
      <w:r w:rsidR="008759CC" w:rsidRPr="008759CC">
        <w:rPr>
          <w:rFonts w:cstheme="minorHAnsi"/>
          <w:sz w:val="24"/>
          <w:szCs w:val="24"/>
          <w:lang w:val="el-GR"/>
        </w:rPr>
        <w:t xml:space="preserve"> </w:t>
      </w:r>
      <w:r w:rsidR="008759CC">
        <w:rPr>
          <w:rFonts w:cstheme="minorHAnsi"/>
          <w:sz w:val="24"/>
          <w:szCs w:val="24"/>
          <w:lang w:val="el-GR"/>
        </w:rPr>
        <w:t>στον</w:t>
      </w:r>
      <w:r w:rsidR="008759CC" w:rsidRPr="008759CC">
        <w:rPr>
          <w:rFonts w:cstheme="minorHAnsi"/>
          <w:sz w:val="24"/>
          <w:szCs w:val="24"/>
          <w:lang w:val="el-GR"/>
        </w:rPr>
        <w:t xml:space="preserve"> </w:t>
      </w:r>
      <w:r w:rsidR="008759CC">
        <w:rPr>
          <w:rFonts w:cstheme="minorHAnsi"/>
          <w:sz w:val="24"/>
          <w:szCs w:val="24"/>
          <w:lang w:val="el-GR"/>
        </w:rPr>
        <w:t>τομέα</w:t>
      </w:r>
      <w:r w:rsidR="008759CC" w:rsidRPr="008759CC">
        <w:rPr>
          <w:rFonts w:cstheme="minorHAnsi"/>
          <w:sz w:val="24"/>
          <w:szCs w:val="24"/>
          <w:lang w:val="el-GR"/>
        </w:rPr>
        <w:t xml:space="preserve"> </w:t>
      </w:r>
      <w:r w:rsidR="008759CC">
        <w:rPr>
          <w:rFonts w:cstheme="minorHAnsi"/>
          <w:sz w:val="24"/>
          <w:szCs w:val="24"/>
          <w:lang w:val="el-GR"/>
        </w:rPr>
        <w:t>αυτό</w:t>
      </w:r>
      <w:r w:rsidR="00220066" w:rsidRPr="008759CC">
        <w:rPr>
          <w:rFonts w:cstheme="minorHAnsi"/>
          <w:sz w:val="24"/>
          <w:szCs w:val="24"/>
          <w:lang w:val="el-GR"/>
        </w:rPr>
        <w:t xml:space="preserve">. </w:t>
      </w:r>
      <w:r w:rsidR="008759CC">
        <w:rPr>
          <w:rFonts w:cstheme="minorHAnsi"/>
          <w:sz w:val="24"/>
          <w:szCs w:val="24"/>
          <w:lang w:val="el-GR"/>
        </w:rPr>
        <w:t>Εν</w:t>
      </w:r>
      <w:r w:rsidR="008759CC" w:rsidRPr="008759CC">
        <w:rPr>
          <w:rFonts w:cstheme="minorHAnsi"/>
          <w:sz w:val="24"/>
          <w:szCs w:val="24"/>
          <w:lang w:val="el-GR"/>
        </w:rPr>
        <w:t xml:space="preserve"> </w:t>
      </w:r>
      <w:r w:rsidR="008759CC">
        <w:rPr>
          <w:rFonts w:cstheme="minorHAnsi"/>
          <w:sz w:val="24"/>
          <w:szCs w:val="24"/>
          <w:lang w:val="el-GR"/>
        </w:rPr>
        <w:t>τέλει</w:t>
      </w:r>
      <w:r w:rsidR="00220066" w:rsidRPr="008759CC">
        <w:rPr>
          <w:rFonts w:cstheme="minorHAnsi"/>
          <w:sz w:val="24"/>
          <w:szCs w:val="24"/>
          <w:lang w:val="el-GR"/>
        </w:rPr>
        <w:t xml:space="preserve">, </w:t>
      </w:r>
      <w:r w:rsidR="008759CC">
        <w:rPr>
          <w:rFonts w:cstheme="minorHAnsi"/>
          <w:sz w:val="24"/>
          <w:szCs w:val="24"/>
          <w:lang w:val="el-GR"/>
        </w:rPr>
        <w:t>όπως</w:t>
      </w:r>
      <w:r w:rsidR="008759CC" w:rsidRPr="008759CC">
        <w:rPr>
          <w:rFonts w:cstheme="minorHAnsi"/>
          <w:sz w:val="24"/>
          <w:szCs w:val="24"/>
          <w:lang w:val="el-GR"/>
        </w:rPr>
        <w:t xml:space="preserve"> </w:t>
      </w:r>
      <w:r w:rsidR="008759CC">
        <w:rPr>
          <w:rFonts w:cstheme="minorHAnsi"/>
          <w:sz w:val="24"/>
          <w:szCs w:val="24"/>
          <w:lang w:val="el-GR"/>
        </w:rPr>
        <w:t>υπογραμμίστηκε</w:t>
      </w:r>
      <w:r w:rsidR="008759CC" w:rsidRPr="008759CC">
        <w:rPr>
          <w:rFonts w:cstheme="minorHAnsi"/>
          <w:sz w:val="24"/>
          <w:szCs w:val="24"/>
          <w:lang w:val="el-GR"/>
        </w:rPr>
        <w:t xml:space="preserve"> </w:t>
      </w:r>
      <w:r w:rsidR="008759CC">
        <w:rPr>
          <w:rFonts w:cstheme="minorHAnsi"/>
          <w:sz w:val="24"/>
          <w:szCs w:val="24"/>
          <w:lang w:val="el-GR"/>
        </w:rPr>
        <w:t>προηγουμένως</w:t>
      </w:r>
      <w:r w:rsidR="00220066" w:rsidRPr="008759CC">
        <w:rPr>
          <w:rFonts w:cstheme="minorHAnsi"/>
          <w:sz w:val="24"/>
          <w:szCs w:val="24"/>
          <w:lang w:val="el-GR"/>
        </w:rPr>
        <w:t xml:space="preserve">, </w:t>
      </w:r>
      <w:r w:rsidR="008759CC">
        <w:rPr>
          <w:rFonts w:cstheme="minorHAnsi"/>
          <w:sz w:val="24"/>
          <w:szCs w:val="24"/>
          <w:lang w:val="el-GR"/>
        </w:rPr>
        <w:t>πρέπει</w:t>
      </w:r>
      <w:r w:rsidR="008759CC" w:rsidRPr="008759CC">
        <w:rPr>
          <w:rFonts w:cstheme="minorHAnsi"/>
          <w:sz w:val="24"/>
          <w:szCs w:val="24"/>
          <w:lang w:val="el-GR"/>
        </w:rPr>
        <w:t xml:space="preserve"> </w:t>
      </w:r>
      <w:r w:rsidR="008759CC">
        <w:rPr>
          <w:rFonts w:cstheme="minorHAnsi"/>
          <w:sz w:val="24"/>
          <w:szCs w:val="24"/>
          <w:lang w:val="el-GR"/>
        </w:rPr>
        <w:t>να</w:t>
      </w:r>
      <w:r w:rsidR="008759CC" w:rsidRPr="008759CC">
        <w:rPr>
          <w:rFonts w:cstheme="minorHAnsi"/>
          <w:sz w:val="24"/>
          <w:szCs w:val="24"/>
          <w:lang w:val="el-GR"/>
        </w:rPr>
        <w:t xml:space="preserve"> </w:t>
      </w:r>
      <w:r w:rsidR="008759CC">
        <w:rPr>
          <w:rFonts w:cstheme="minorHAnsi"/>
          <w:sz w:val="24"/>
          <w:szCs w:val="24"/>
          <w:lang w:val="el-GR"/>
        </w:rPr>
        <w:t>ακολουθήσει</w:t>
      </w:r>
      <w:r w:rsidR="008759CC" w:rsidRPr="008759CC">
        <w:rPr>
          <w:rFonts w:cstheme="minorHAnsi"/>
          <w:sz w:val="24"/>
          <w:szCs w:val="24"/>
          <w:lang w:val="el-GR"/>
        </w:rPr>
        <w:t xml:space="preserve"> </w:t>
      </w:r>
      <w:proofErr w:type="spellStart"/>
      <w:r w:rsidR="008759CC">
        <w:rPr>
          <w:rFonts w:cstheme="minorHAnsi"/>
          <w:sz w:val="24"/>
          <w:szCs w:val="24"/>
          <w:lang w:val="el-GR"/>
        </w:rPr>
        <w:t>στοχευμένη</w:t>
      </w:r>
      <w:proofErr w:type="spellEnd"/>
      <w:r w:rsidR="008759CC" w:rsidRPr="008759CC">
        <w:rPr>
          <w:rFonts w:cstheme="minorHAnsi"/>
          <w:sz w:val="24"/>
          <w:szCs w:val="24"/>
          <w:lang w:val="el-GR"/>
        </w:rPr>
        <w:t xml:space="preserve"> </w:t>
      </w:r>
      <w:r w:rsidR="008759CC">
        <w:rPr>
          <w:rFonts w:cstheme="minorHAnsi"/>
          <w:sz w:val="24"/>
          <w:szCs w:val="24"/>
          <w:lang w:val="el-GR"/>
        </w:rPr>
        <w:t>δράση</w:t>
      </w:r>
      <w:r w:rsidR="00220066" w:rsidRPr="008759CC">
        <w:rPr>
          <w:rFonts w:cstheme="minorHAnsi"/>
          <w:sz w:val="24"/>
          <w:szCs w:val="24"/>
          <w:lang w:val="el-GR"/>
        </w:rPr>
        <w:t xml:space="preserve"> </w:t>
      </w:r>
      <w:r w:rsidR="008759CC">
        <w:rPr>
          <w:rFonts w:cstheme="minorHAnsi"/>
          <w:sz w:val="24"/>
          <w:szCs w:val="24"/>
          <w:lang w:val="el-GR"/>
        </w:rPr>
        <w:t>για</w:t>
      </w:r>
      <w:r w:rsidR="008759CC" w:rsidRPr="008759CC">
        <w:rPr>
          <w:rFonts w:cstheme="minorHAnsi"/>
          <w:sz w:val="24"/>
          <w:szCs w:val="24"/>
          <w:lang w:val="el-GR"/>
        </w:rPr>
        <w:t xml:space="preserve"> </w:t>
      </w:r>
      <w:r>
        <w:rPr>
          <w:rFonts w:cstheme="minorHAnsi"/>
          <w:sz w:val="24"/>
          <w:szCs w:val="24"/>
          <w:lang w:val="el-GR"/>
        </w:rPr>
        <w:t>προσέλκυση</w:t>
      </w:r>
      <w:r w:rsidR="008759CC" w:rsidRPr="008759CC">
        <w:rPr>
          <w:rFonts w:cstheme="minorHAnsi"/>
          <w:sz w:val="24"/>
          <w:szCs w:val="24"/>
          <w:lang w:val="el-GR"/>
        </w:rPr>
        <w:t xml:space="preserve"> </w:t>
      </w:r>
      <w:r w:rsidR="008759CC">
        <w:rPr>
          <w:rFonts w:cstheme="minorHAnsi"/>
          <w:sz w:val="24"/>
          <w:szCs w:val="24"/>
          <w:lang w:val="el-GR"/>
        </w:rPr>
        <w:t>περισσοτέρων γυναικών</w:t>
      </w:r>
      <w:r w:rsidR="00220066" w:rsidRPr="008759CC">
        <w:rPr>
          <w:rFonts w:cstheme="minorHAnsi"/>
          <w:sz w:val="24"/>
          <w:szCs w:val="24"/>
          <w:lang w:val="el-GR"/>
        </w:rPr>
        <w:t xml:space="preserve"> </w:t>
      </w:r>
      <w:r w:rsidR="008759CC">
        <w:rPr>
          <w:rFonts w:cstheme="minorHAnsi"/>
          <w:sz w:val="24"/>
          <w:szCs w:val="24"/>
          <w:lang w:val="el-GR"/>
        </w:rPr>
        <w:t>σε θέσεις αστυνομικών</w:t>
      </w:r>
      <w:r w:rsidR="00220066" w:rsidRPr="008759CC">
        <w:rPr>
          <w:rFonts w:cstheme="minorHAnsi"/>
          <w:sz w:val="24"/>
          <w:szCs w:val="24"/>
          <w:lang w:val="el-GR"/>
        </w:rPr>
        <w:t xml:space="preserve"> </w:t>
      </w:r>
      <w:r w:rsidR="008759CC">
        <w:rPr>
          <w:rFonts w:cstheme="minorHAnsi"/>
          <w:sz w:val="24"/>
          <w:szCs w:val="24"/>
          <w:lang w:val="el-GR"/>
        </w:rPr>
        <w:t>και μετέπειτα να</w:t>
      </w:r>
      <w:r w:rsidR="008759CC" w:rsidRPr="008759CC">
        <w:rPr>
          <w:rFonts w:cstheme="minorHAnsi"/>
          <w:sz w:val="24"/>
          <w:szCs w:val="24"/>
          <w:lang w:val="el-GR"/>
        </w:rPr>
        <w:t xml:space="preserve"> </w:t>
      </w:r>
      <w:r w:rsidR="008759CC">
        <w:rPr>
          <w:rFonts w:cstheme="minorHAnsi"/>
          <w:sz w:val="24"/>
          <w:szCs w:val="24"/>
          <w:lang w:val="el-GR"/>
        </w:rPr>
        <w:t>προχωρήσουν σε ανώτερες θέσεις</w:t>
      </w:r>
      <w:r w:rsidR="00220066" w:rsidRPr="008759CC">
        <w:rPr>
          <w:rFonts w:cstheme="minorHAnsi"/>
          <w:sz w:val="24"/>
          <w:szCs w:val="24"/>
          <w:lang w:val="el-GR"/>
        </w:rPr>
        <w:t xml:space="preserve">, </w:t>
      </w:r>
      <w:r w:rsidR="008759CC">
        <w:rPr>
          <w:rFonts w:cstheme="minorHAnsi"/>
          <w:sz w:val="24"/>
          <w:szCs w:val="24"/>
          <w:lang w:val="el-GR"/>
        </w:rPr>
        <w:t>συμπεριλαμβανομένων διευθυντικών θέσεων</w:t>
      </w:r>
      <w:r w:rsidR="00220066" w:rsidRPr="008759CC">
        <w:rPr>
          <w:rFonts w:cstheme="minorHAnsi"/>
          <w:sz w:val="24"/>
          <w:szCs w:val="24"/>
          <w:lang w:val="el-GR"/>
        </w:rPr>
        <w:t xml:space="preserve">. </w:t>
      </w:r>
      <w:r w:rsidR="008759CC" w:rsidRPr="008759CC">
        <w:rPr>
          <w:rFonts w:cstheme="minorHAnsi"/>
          <w:b/>
          <w:sz w:val="24"/>
          <w:szCs w:val="24"/>
          <w:lang w:val="el-GR"/>
        </w:rPr>
        <w:t xml:space="preserve">Η </w:t>
      </w:r>
      <w:r w:rsidR="00220066" w:rsidRPr="004E251E">
        <w:rPr>
          <w:rFonts w:cstheme="minorHAnsi"/>
          <w:b/>
          <w:bCs/>
          <w:sz w:val="24"/>
          <w:szCs w:val="24"/>
        </w:rPr>
        <w:t>GRECO</w:t>
      </w:r>
      <w:r w:rsidR="00220066" w:rsidRPr="008759CC">
        <w:rPr>
          <w:rFonts w:cstheme="minorHAnsi"/>
          <w:b/>
          <w:bCs/>
          <w:sz w:val="24"/>
          <w:szCs w:val="24"/>
          <w:lang w:val="el-GR"/>
        </w:rPr>
        <w:t xml:space="preserve"> </w:t>
      </w:r>
      <w:r w:rsidR="008759CC">
        <w:rPr>
          <w:rFonts w:cstheme="minorHAnsi"/>
          <w:b/>
          <w:bCs/>
          <w:sz w:val="24"/>
          <w:szCs w:val="24"/>
          <w:lang w:val="el-GR"/>
        </w:rPr>
        <w:t>συνιστά</w:t>
      </w:r>
      <w:r w:rsidR="00162C83">
        <w:rPr>
          <w:rFonts w:cstheme="minorHAnsi"/>
          <w:b/>
          <w:bCs/>
          <w:sz w:val="24"/>
          <w:szCs w:val="24"/>
          <w:lang w:val="el-GR"/>
        </w:rPr>
        <w:t xml:space="preserve"> (</w:t>
      </w:r>
      <w:proofErr w:type="spellStart"/>
      <w:r w:rsidR="00162C83" w:rsidRPr="004E251E">
        <w:rPr>
          <w:rFonts w:cstheme="minorHAnsi"/>
          <w:b/>
          <w:bCs/>
          <w:sz w:val="24"/>
          <w:szCs w:val="24"/>
        </w:rPr>
        <w:t>i</w:t>
      </w:r>
      <w:proofErr w:type="spellEnd"/>
      <w:r w:rsidR="00162C83" w:rsidRPr="00965252">
        <w:rPr>
          <w:rFonts w:cstheme="minorHAnsi"/>
          <w:b/>
          <w:bCs/>
          <w:sz w:val="24"/>
          <w:szCs w:val="24"/>
          <w:lang w:val="el-GR"/>
        </w:rPr>
        <w:t xml:space="preserve">) </w:t>
      </w:r>
      <w:r w:rsidR="00162C83" w:rsidRPr="00481634">
        <w:rPr>
          <w:rFonts w:cstheme="minorHAnsi"/>
          <w:b/>
          <w:bCs/>
          <w:sz w:val="24"/>
          <w:szCs w:val="24"/>
          <w:lang w:val="el-GR"/>
        </w:rPr>
        <w:t xml:space="preserve">να εισαχθούν μέτρα για την ενίσχυση της αντικειμενικότητας (μέσω μετρήσιμων κριτηρίων) των αποφάσεων σχετικά με την επιλογή αξιωματικών </w:t>
      </w:r>
      <w:r w:rsidR="00162C83">
        <w:rPr>
          <w:rFonts w:cstheme="minorHAnsi"/>
          <w:b/>
          <w:bCs/>
          <w:sz w:val="24"/>
          <w:szCs w:val="24"/>
          <w:lang w:val="el-GR"/>
        </w:rPr>
        <w:t>σε</w:t>
      </w:r>
      <w:r w:rsidR="00162C83" w:rsidRPr="00481634">
        <w:rPr>
          <w:rFonts w:cstheme="minorHAnsi"/>
          <w:b/>
          <w:bCs/>
          <w:sz w:val="24"/>
          <w:szCs w:val="24"/>
          <w:lang w:val="el-GR"/>
        </w:rPr>
        <w:t xml:space="preserve"> υψηλότερους βαθμούς, τις προαγωγές και τις μεταθέσεις και για την παροχή μεγαλύτερης διαφάνειας σε τέτοιες διαδικασίες· και (</w:t>
      </w:r>
      <w:proofErr w:type="spellStart"/>
      <w:r w:rsidR="00162C83" w:rsidRPr="00481634">
        <w:rPr>
          <w:rFonts w:cstheme="minorHAnsi"/>
          <w:b/>
          <w:bCs/>
          <w:sz w:val="24"/>
          <w:szCs w:val="24"/>
          <w:lang w:val="el-GR"/>
        </w:rPr>
        <w:t>ii</w:t>
      </w:r>
      <w:proofErr w:type="spellEnd"/>
      <w:r w:rsidR="00162C83" w:rsidRPr="00481634">
        <w:rPr>
          <w:rFonts w:cstheme="minorHAnsi"/>
          <w:b/>
          <w:bCs/>
          <w:sz w:val="24"/>
          <w:szCs w:val="24"/>
          <w:lang w:val="el-GR"/>
        </w:rPr>
        <w:t xml:space="preserve">) να ληφθούν μέτρα για την ενίσχυση της εκπροσώπησης των γυναικών σε </w:t>
      </w:r>
      <w:r w:rsidR="00162C83">
        <w:rPr>
          <w:rFonts w:cstheme="minorHAnsi"/>
          <w:b/>
          <w:bCs/>
          <w:sz w:val="24"/>
          <w:szCs w:val="24"/>
          <w:lang w:val="el-GR"/>
        </w:rPr>
        <w:t>όλες τις βαθμίδες</w:t>
      </w:r>
      <w:r w:rsidR="00162C83" w:rsidRPr="00481634">
        <w:rPr>
          <w:rFonts w:cstheme="minorHAnsi"/>
          <w:b/>
          <w:bCs/>
          <w:sz w:val="24"/>
          <w:szCs w:val="24"/>
          <w:lang w:val="el-GR"/>
        </w:rPr>
        <w:t xml:space="preserve"> της </w:t>
      </w:r>
      <w:r w:rsidR="00162C83">
        <w:rPr>
          <w:rFonts w:cstheme="minorHAnsi"/>
          <w:b/>
          <w:bCs/>
          <w:sz w:val="24"/>
          <w:szCs w:val="24"/>
          <w:lang w:val="el-GR"/>
        </w:rPr>
        <w:t>Α</w:t>
      </w:r>
      <w:r w:rsidR="00162C83" w:rsidRPr="00481634">
        <w:rPr>
          <w:rFonts w:cstheme="minorHAnsi"/>
          <w:b/>
          <w:bCs/>
          <w:sz w:val="24"/>
          <w:szCs w:val="24"/>
          <w:lang w:val="el-GR"/>
        </w:rPr>
        <w:t>στυνομίας ως μέρος των πολιτικών στρατολόγησης και προαγωγής</w:t>
      </w:r>
      <w:r w:rsidR="00220066" w:rsidRPr="008759CC">
        <w:rPr>
          <w:rFonts w:cstheme="minorHAnsi"/>
          <w:b/>
          <w:bCs/>
          <w:sz w:val="24"/>
          <w:szCs w:val="24"/>
          <w:lang w:val="el-GR"/>
        </w:rPr>
        <w:t xml:space="preserve">. </w:t>
      </w:r>
    </w:p>
    <w:p w14:paraId="45768A9D" w14:textId="77777777" w:rsidR="00220066" w:rsidRPr="008759CC" w:rsidRDefault="00220066" w:rsidP="00220066">
      <w:pPr>
        <w:widowControl w:val="0"/>
        <w:tabs>
          <w:tab w:val="left" w:pos="709"/>
        </w:tabs>
        <w:rPr>
          <w:rFonts w:cstheme="minorHAnsi"/>
          <w:sz w:val="24"/>
          <w:szCs w:val="24"/>
          <w:lang w:val="el-GR"/>
        </w:rPr>
      </w:pPr>
    </w:p>
    <w:p w14:paraId="6FB08F03" w14:textId="3D4EDACF" w:rsidR="00220066" w:rsidRPr="002E65E0" w:rsidRDefault="0097278B"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Επιπρόσθετα</w:t>
      </w:r>
      <w:r w:rsidR="00220066" w:rsidRPr="0097278B">
        <w:rPr>
          <w:rFonts w:cstheme="minorHAnsi"/>
          <w:sz w:val="24"/>
          <w:szCs w:val="24"/>
          <w:lang w:val="el-GR"/>
        </w:rPr>
        <w:t xml:space="preserve">, </w:t>
      </w:r>
      <w:r>
        <w:rPr>
          <w:rFonts w:cstheme="minorHAnsi"/>
          <w:sz w:val="24"/>
          <w:szCs w:val="24"/>
          <w:lang w:val="el-GR"/>
        </w:rPr>
        <w:t>ενισχυμένες</w:t>
      </w:r>
      <w:r w:rsidRPr="0097278B">
        <w:rPr>
          <w:rFonts w:cstheme="minorHAnsi"/>
          <w:sz w:val="24"/>
          <w:szCs w:val="24"/>
          <w:lang w:val="el-GR"/>
        </w:rPr>
        <w:t xml:space="preserve"> </w:t>
      </w:r>
      <w:r w:rsidR="002B5A91">
        <w:rPr>
          <w:rFonts w:cstheme="minorHAnsi"/>
          <w:sz w:val="24"/>
          <w:szCs w:val="24"/>
          <w:lang w:val="el-GR"/>
        </w:rPr>
        <w:t>προ</w:t>
      </w:r>
      <w:r>
        <w:rPr>
          <w:rFonts w:cstheme="minorHAnsi"/>
          <w:sz w:val="24"/>
          <w:szCs w:val="24"/>
          <w:lang w:val="el-GR"/>
        </w:rPr>
        <w:t>απαιτήσεις</w:t>
      </w:r>
      <w:r w:rsidRPr="0097278B">
        <w:rPr>
          <w:rFonts w:cstheme="minorHAnsi"/>
          <w:sz w:val="24"/>
          <w:szCs w:val="24"/>
          <w:lang w:val="el-GR"/>
        </w:rPr>
        <w:t xml:space="preserve"> </w:t>
      </w:r>
      <w:r>
        <w:rPr>
          <w:rFonts w:cstheme="minorHAnsi"/>
          <w:sz w:val="24"/>
          <w:szCs w:val="24"/>
          <w:lang w:val="el-GR"/>
        </w:rPr>
        <w:t>ισχύουν</w:t>
      </w:r>
      <w:r w:rsidRPr="0097278B">
        <w:rPr>
          <w:rFonts w:cstheme="minorHAnsi"/>
          <w:sz w:val="24"/>
          <w:szCs w:val="24"/>
          <w:lang w:val="el-GR"/>
        </w:rPr>
        <w:t xml:space="preserve"> </w:t>
      </w:r>
      <w:r w:rsidR="00FD5FA8">
        <w:rPr>
          <w:rFonts w:cstheme="minorHAnsi"/>
          <w:sz w:val="24"/>
          <w:szCs w:val="24"/>
          <w:lang w:val="el-GR"/>
        </w:rPr>
        <w:t>σ</w:t>
      </w:r>
      <w:r>
        <w:rPr>
          <w:rFonts w:cstheme="minorHAnsi"/>
          <w:sz w:val="24"/>
          <w:szCs w:val="24"/>
          <w:lang w:val="el-GR"/>
        </w:rPr>
        <w:t>τους</w:t>
      </w:r>
      <w:r w:rsidRPr="0097278B">
        <w:rPr>
          <w:rFonts w:cstheme="minorHAnsi"/>
          <w:sz w:val="24"/>
          <w:szCs w:val="24"/>
          <w:lang w:val="el-GR"/>
        </w:rPr>
        <w:t xml:space="preserve"> </w:t>
      </w:r>
      <w:r>
        <w:rPr>
          <w:rFonts w:cstheme="minorHAnsi"/>
          <w:sz w:val="24"/>
          <w:szCs w:val="24"/>
          <w:lang w:val="el-GR"/>
        </w:rPr>
        <w:t>ΑΕΝ</w:t>
      </w:r>
      <w:r w:rsidR="00220066" w:rsidRPr="0097278B">
        <w:rPr>
          <w:rFonts w:cstheme="minorHAnsi"/>
          <w:sz w:val="24"/>
          <w:szCs w:val="24"/>
          <w:lang w:val="el-GR"/>
        </w:rPr>
        <w:t xml:space="preserve"> </w:t>
      </w:r>
      <w:r>
        <w:rPr>
          <w:rFonts w:cstheme="minorHAnsi"/>
          <w:sz w:val="24"/>
          <w:szCs w:val="24"/>
          <w:lang w:val="el-GR"/>
        </w:rPr>
        <w:t>που</w:t>
      </w:r>
      <w:r w:rsidRPr="0097278B">
        <w:rPr>
          <w:rFonts w:cstheme="minorHAnsi"/>
          <w:sz w:val="24"/>
          <w:szCs w:val="24"/>
          <w:lang w:val="el-GR"/>
        </w:rPr>
        <w:t xml:space="preserve"> </w:t>
      </w:r>
      <w:r>
        <w:rPr>
          <w:rFonts w:cstheme="minorHAnsi"/>
          <w:sz w:val="24"/>
          <w:szCs w:val="24"/>
          <w:lang w:val="el-GR"/>
        </w:rPr>
        <w:t>εντάσσονται</w:t>
      </w:r>
      <w:r w:rsidRPr="0097278B">
        <w:rPr>
          <w:rFonts w:cstheme="minorHAnsi"/>
          <w:sz w:val="24"/>
          <w:szCs w:val="24"/>
          <w:lang w:val="el-GR"/>
        </w:rPr>
        <w:t xml:space="preserve"> </w:t>
      </w:r>
      <w:r w:rsidR="009C4E34">
        <w:rPr>
          <w:rFonts w:cstheme="minorHAnsi"/>
          <w:sz w:val="24"/>
          <w:szCs w:val="24"/>
          <w:lang w:val="el-GR"/>
        </w:rPr>
        <w:t xml:space="preserve">στη δύναμη </w:t>
      </w:r>
      <w:r>
        <w:rPr>
          <w:rFonts w:cstheme="minorHAnsi"/>
          <w:sz w:val="24"/>
          <w:szCs w:val="24"/>
          <w:lang w:val="el-GR"/>
        </w:rPr>
        <w:t>υπηρεσ</w:t>
      </w:r>
      <w:r w:rsidR="009C4E34">
        <w:rPr>
          <w:rFonts w:cstheme="minorHAnsi"/>
          <w:sz w:val="24"/>
          <w:szCs w:val="24"/>
          <w:lang w:val="el-GR"/>
        </w:rPr>
        <w:t>ιών</w:t>
      </w:r>
      <w:r w:rsidRPr="0097278B">
        <w:rPr>
          <w:rFonts w:cstheme="minorHAnsi"/>
          <w:sz w:val="24"/>
          <w:szCs w:val="24"/>
          <w:lang w:val="el-GR"/>
        </w:rPr>
        <w:t xml:space="preserve"> </w:t>
      </w:r>
      <w:r>
        <w:rPr>
          <w:rFonts w:cstheme="minorHAnsi"/>
          <w:sz w:val="24"/>
          <w:szCs w:val="24"/>
          <w:lang w:val="el-GR"/>
        </w:rPr>
        <w:t>που</w:t>
      </w:r>
      <w:r w:rsidRPr="0097278B">
        <w:rPr>
          <w:rFonts w:cstheme="minorHAnsi"/>
          <w:sz w:val="24"/>
          <w:szCs w:val="24"/>
          <w:lang w:val="el-GR"/>
        </w:rPr>
        <w:t xml:space="preserve"> </w:t>
      </w:r>
      <w:r>
        <w:rPr>
          <w:rFonts w:cstheme="minorHAnsi"/>
          <w:sz w:val="24"/>
          <w:szCs w:val="24"/>
          <w:lang w:val="el-GR"/>
        </w:rPr>
        <w:t>είναι</w:t>
      </w:r>
      <w:r w:rsidRPr="0097278B">
        <w:rPr>
          <w:rFonts w:cstheme="minorHAnsi"/>
          <w:sz w:val="24"/>
          <w:szCs w:val="24"/>
          <w:lang w:val="el-GR"/>
        </w:rPr>
        <w:t xml:space="preserve"> </w:t>
      </w:r>
      <w:r>
        <w:rPr>
          <w:rFonts w:cstheme="minorHAnsi"/>
          <w:sz w:val="24"/>
          <w:szCs w:val="24"/>
          <w:lang w:val="el-GR"/>
        </w:rPr>
        <w:t>ιδιαίτερα</w:t>
      </w:r>
      <w:r w:rsidR="00220066" w:rsidRPr="0097278B">
        <w:rPr>
          <w:rFonts w:cstheme="minorHAnsi"/>
          <w:sz w:val="24"/>
          <w:szCs w:val="24"/>
          <w:lang w:val="el-GR"/>
        </w:rPr>
        <w:t xml:space="preserve"> </w:t>
      </w:r>
      <w:r>
        <w:rPr>
          <w:rFonts w:cstheme="minorHAnsi"/>
          <w:sz w:val="24"/>
          <w:szCs w:val="24"/>
          <w:lang w:val="el-GR"/>
        </w:rPr>
        <w:t>ευαίσθητες</w:t>
      </w:r>
      <w:r w:rsidR="00220066" w:rsidRPr="0097278B">
        <w:rPr>
          <w:rFonts w:cstheme="minorHAnsi"/>
          <w:sz w:val="24"/>
          <w:szCs w:val="24"/>
          <w:lang w:val="el-GR"/>
        </w:rPr>
        <w:t xml:space="preserve"> (</w:t>
      </w:r>
      <w:r>
        <w:rPr>
          <w:rFonts w:cstheme="minorHAnsi"/>
          <w:sz w:val="24"/>
          <w:szCs w:val="24"/>
          <w:lang w:val="el-GR"/>
        </w:rPr>
        <w:t>συμπεριλαμβανομένων</w:t>
      </w:r>
      <w:r w:rsidRPr="0097278B">
        <w:rPr>
          <w:rFonts w:cstheme="minorHAnsi"/>
          <w:sz w:val="24"/>
          <w:szCs w:val="24"/>
          <w:lang w:val="el-GR"/>
        </w:rPr>
        <w:t xml:space="preserve"> </w:t>
      </w:r>
      <w:r>
        <w:rPr>
          <w:rFonts w:cstheme="minorHAnsi"/>
          <w:sz w:val="24"/>
          <w:szCs w:val="24"/>
          <w:lang w:val="el-GR"/>
        </w:rPr>
        <w:t>των</w:t>
      </w:r>
      <w:r w:rsidRPr="0097278B">
        <w:rPr>
          <w:rFonts w:cstheme="minorHAnsi"/>
          <w:sz w:val="24"/>
          <w:szCs w:val="24"/>
          <w:lang w:val="el-GR"/>
        </w:rPr>
        <w:t xml:space="preserve"> </w:t>
      </w:r>
      <w:r>
        <w:rPr>
          <w:rFonts w:cstheme="minorHAnsi"/>
          <w:sz w:val="24"/>
          <w:szCs w:val="24"/>
          <w:lang w:val="el-GR"/>
        </w:rPr>
        <w:t>τομέων</w:t>
      </w:r>
      <w:r w:rsidRPr="0097278B">
        <w:rPr>
          <w:rFonts w:cstheme="minorHAnsi"/>
          <w:sz w:val="24"/>
          <w:szCs w:val="24"/>
          <w:lang w:val="el-GR"/>
        </w:rPr>
        <w:t xml:space="preserve"> </w:t>
      </w:r>
      <w:r>
        <w:rPr>
          <w:rFonts w:cstheme="minorHAnsi"/>
          <w:sz w:val="24"/>
          <w:szCs w:val="24"/>
          <w:lang w:val="el-GR"/>
        </w:rPr>
        <w:t>που</w:t>
      </w:r>
      <w:r w:rsidRPr="0097278B">
        <w:rPr>
          <w:rFonts w:cstheme="minorHAnsi"/>
          <w:sz w:val="24"/>
          <w:szCs w:val="24"/>
          <w:lang w:val="el-GR"/>
        </w:rPr>
        <w:t xml:space="preserve"> </w:t>
      </w:r>
      <w:r>
        <w:rPr>
          <w:rFonts w:cstheme="minorHAnsi"/>
          <w:sz w:val="24"/>
          <w:szCs w:val="24"/>
          <w:lang w:val="el-GR"/>
        </w:rPr>
        <w:t>είναι</w:t>
      </w:r>
      <w:r w:rsidRPr="0097278B">
        <w:rPr>
          <w:rFonts w:cstheme="minorHAnsi"/>
          <w:sz w:val="24"/>
          <w:szCs w:val="24"/>
          <w:lang w:val="el-GR"/>
        </w:rPr>
        <w:t xml:space="preserve"> </w:t>
      </w:r>
      <w:r w:rsidR="002E5EC0">
        <w:rPr>
          <w:rFonts w:cstheme="minorHAnsi"/>
          <w:sz w:val="24"/>
          <w:szCs w:val="24"/>
          <w:lang w:val="el-GR"/>
        </w:rPr>
        <w:t>επιρρεπείς</w:t>
      </w:r>
      <w:r>
        <w:rPr>
          <w:rFonts w:cstheme="minorHAnsi"/>
          <w:sz w:val="24"/>
          <w:szCs w:val="24"/>
          <w:lang w:val="el-GR"/>
        </w:rPr>
        <w:t xml:space="preserve"> στην διαφθορά</w:t>
      </w:r>
      <w:r w:rsidR="00220066" w:rsidRPr="0097278B">
        <w:rPr>
          <w:rFonts w:cstheme="minorHAnsi"/>
          <w:sz w:val="24"/>
          <w:szCs w:val="24"/>
          <w:lang w:val="el-GR"/>
        </w:rPr>
        <w:t xml:space="preserve">), </w:t>
      </w:r>
      <w:r>
        <w:rPr>
          <w:rFonts w:cstheme="minorHAnsi"/>
          <w:sz w:val="24"/>
          <w:szCs w:val="24"/>
          <w:lang w:val="el-GR"/>
        </w:rPr>
        <w:t>όπως</w:t>
      </w:r>
      <w:r w:rsidRPr="0097278B">
        <w:rPr>
          <w:rFonts w:cstheme="minorHAnsi"/>
          <w:sz w:val="24"/>
          <w:szCs w:val="24"/>
          <w:lang w:val="el-GR"/>
        </w:rPr>
        <w:t xml:space="preserve"> </w:t>
      </w:r>
      <w:r>
        <w:rPr>
          <w:rFonts w:cstheme="minorHAnsi"/>
          <w:sz w:val="24"/>
          <w:szCs w:val="24"/>
          <w:lang w:val="el-GR"/>
        </w:rPr>
        <w:t>την επαναξιολόγηση των ποινικών</w:t>
      </w:r>
      <w:r w:rsidR="00220066" w:rsidRPr="0097278B">
        <w:rPr>
          <w:rFonts w:cstheme="minorHAnsi"/>
          <w:sz w:val="24"/>
          <w:szCs w:val="24"/>
          <w:lang w:val="el-GR"/>
        </w:rPr>
        <w:t>/</w:t>
      </w:r>
      <w:r>
        <w:rPr>
          <w:rFonts w:cstheme="minorHAnsi"/>
          <w:sz w:val="24"/>
          <w:szCs w:val="24"/>
          <w:lang w:val="el-GR"/>
        </w:rPr>
        <w:t>πειθαρχικών αρχείων</w:t>
      </w:r>
      <w:r w:rsidR="00220066" w:rsidRPr="0097278B">
        <w:rPr>
          <w:rFonts w:cstheme="minorHAnsi"/>
          <w:sz w:val="24"/>
          <w:szCs w:val="24"/>
          <w:lang w:val="el-GR"/>
        </w:rPr>
        <w:t xml:space="preserve">, </w:t>
      </w:r>
      <w:r>
        <w:rPr>
          <w:rFonts w:cstheme="minorHAnsi"/>
          <w:sz w:val="24"/>
          <w:szCs w:val="24"/>
          <w:lang w:val="el-GR"/>
        </w:rPr>
        <w:t>π</w:t>
      </w:r>
      <w:r w:rsidR="00220066" w:rsidRPr="0097278B">
        <w:rPr>
          <w:rFonts w:cstheme="minorHAnsi"/>
          <w:sz w:val="24"/>
          <w:szCs w:val="24"/>
          <w:lang w:val="el-GR"/>
        </w:rPr>
        <w:t>.</w:t>
      </w:r>
      <w:r>
        <w:rPr>
          <w:rFonts w:cstheme="minorHAnsi"/>
          <w:sz w:val="24"/>
          <w:szCs w:val="24"/>
          <w:lang w:val="el-GR"/>
        </w:rPr>
        <w:t>χ</w:t>
      </w:r>
      <w:r w:rsidR="00220066" w:rsidRPr="0097278B">
        <w:rPr>
          <w:rFonts w:cstheme="minorHAnsi"/>
          <w:sz w:val="24"/>
          <w:szCs w:val="24"/>
          <w:lang w:val="el-GR"/>
        </w:rPr>
        <w:t xml:space="preserve">. </w:t>
      </w:r>
      <w:r>
        <w:rPr>
          <w:rFonts w:cstheme="minorHAnsi"/>
          <w:sz w:val="24"/>
          <w:szCs w:val="24"/>
          <w:lang w:val="el-GR"/>
        </w:rPr>
        <w:t>Υπηρεσία Καταπολέμησης Ναρκωτικών</w:t>
      </w:r>
      <w:r w:rsidR="00220066" w:rsidRPr="0097278B">
        <w:rPr>
          <w:rFonts w:cstheme="minorHAnsi"/>
          <w:sz w:val="24"/>
          <w:szCs w:val="24"/>
          <w:lang w:val="el-GR"/>
        </w:rPr>
        <w:t xml:space="preserve">, </w:t>
      </w:r>
      <w:r>
        <w:rPr>
          <w:rFonts w:cstheme="minorHAnsi"/>
          <w:sz w:val="24"/>
          <w:szCs w:val="24"/>
          <w:lang w:val="el-GR"/>
        </w:rPr>
        <w:t>Υπηρεσία Αλλοδαπών και Μετανάστευσης</w:t>
      </w:r>
      <w:r w:rsidR="00220066" w:rsidRPr="0097278B">
        <w:rPr>
          <w:rFonts w:cstheme="minorHAnsi"/>
          <w:sz w:val="24"/>
          <w:szCs w:val="24"/>
          <w:lang w:val="el-GR"/>
        </w:rPr>
        <w:t xml:space="preserve">, </w:t>
      </w:r>
      <w:r>
        <w:rPr>
          <w:rFonts w:cstheme="minorHAnsi"/>
          <w:sz w:val="24"/>
          <w:szCs w:val="24"/>
          <w:lang w:val="el-GR"/>
        </w:rPr>
        <w:t>Κέντρο Ελέγχου Μηνυμάτων</w:t>
      </w:r>
      <w:r w:rsidR="00220066" w:rsidRPr="0097278B">
        <w:rPr>
          <w:rFonts w:cstheme="minorHAnsi"/>
          <w:sz w:val="24"/>
          <w:szCs w:val="24"/>
          <w:lang w:val="el-GR"/>
        </w:rPr>
        <w:t xml:space="preserve"> – </w:t>
      </w:r>
      <w:r>
        <w:rPr>
          <w:rFonts w:cstheme="minorHAnsi"/>
          <w:sz w:val="24"/>
          <w:szCs w:val="24"/>
          <w:lang w:val="el-GR"/>
        </w:rPr>
        <w:t>Ομάδα Άμεσης Δράσης</w:t>
      </w:r>
      <w:r w:rsidR="00220066" w:rsidRPr="0097278B">
        <w:rPr>
          <w:rFonts w:cstheme="minorHAnsi"/>
          <w:sz w:val="24"/>
          <w:szCs w:val="24"/>
          <w:lang w:val="el-GR"/>
        </w:rPr>
        <w:t xml:space="preserve">, </w:t>
      </w:r>
      <w:r w:rsidR="002E65E0">
        <w:rPr>
          <w:rFonts w:cstheme="minorHAnsi"/>
          <w:sz w:val="24"/>
          <w:szCs w:val="24"/>
          <w:lang w:val="el-GR"/>
        </w:rPr>
        <w:t>Ομάδες Πρόληψης Εγκλήματος</w:t>
      </w:r>
      <w:r w:rsidR="00220066" w:rsidRPr="0097278B">
        <w:rPr>
          <w:rFonts w:cstheme="minorHAnsi"/>
          <w:sz w:val="24"/>
          <w:szCs w:val="24"/>
          <w:lang w:val="el-GR"/>
        </w:rPr>
        <w:t xml:space="preserve">, </w:t>
      </w:r>
      <w:r w:rsidR="002E65E0">
        <w:rPr>
          <w:rFonts w:cstheme="minorHAnsi"/>
          <w:sz w:val="24"/>
          <w:szCs w:val="24"/>
          <w:lang w:val="el-GR"/>
        </w:rPr>
        <w:t>Μονάδα Άμεσης Δράσης</w:t>
      </w:r>
      <w:r w:rsidR="00220066" w:rsidRPr="0097278B">
        <w:rPr>
          <w:rFonts w:cstheme="minorHAnsi"/>
          <w:sz w:val="24"/>
          <w:szCs w:val="24"/>
          <w:lang w:val="el-GR"/>
        </w:rPr>
        <w:t xml:space="preserve">, </w:t>
      </w:r>
      <w:r w:rsidR="002E65E0">
        <w:rPr>
          <w:rFonts w:cstheme="minorHAnsi"/>
          <w:sz w:val="24"/>
          <w:szCs w:val="24"/>
          <w:lang w:val="el-GR"/>
        </w:rPr>
        <w:t>κλπ</w:t>
      </w:r>
      <w:r w:rsidR="00220066" w:rsidRPr="0097278B">
        <w:rPr>
          <w:rFonts w:cstheme="minorHAnsi"/>
          <w:sz w:val="24"/>
          <w:szCs w:val="24"/>
          <w:lang w:val="el-GR"/>
        </w:rPr>
        <w:t xml:space="preserve">. </w:t>
      </w:r>
      <w:r w:rsidR="002E65E0">
        <w:rPr>
          <w:rFonts w:cstheme="minorHAnsi"/>
          <w:sz w:val="24"/>
          <w:szCs w:val="24"/>
          <w:lang w:val="el-GR"/>
        </w:rPr>
        <w:t>Επιπλέον</w:t>
      </w:r>
      <w:r w:rsidR="00220066" w:rsidRPr="002E65E0">
        <w:rPr>
          <w:rFonts w:cstheme="minorHAnsi"/>
          <w:sz w:val="24"/>
          <w:szCs w:val="24"/>
          <w:lang w:val="el-GR"/>
        </w:rPr>
        <w:t xml:space="preserve">, </w:t>
      </w:r>
      <w:r w:rsidR="002E65E0">
        <w:rPr>
          <w:rFonts w:cstheme="minorHAnsi"/>
          <w:sz w:val="24"/>
          <w:szCs w:val="24"/>
          <w:lang w:val="el-GR"/>
        </w:rPr>
        <w:t>όσον</w:t>
      </w:r>
      <w:r w:rsidR="002E65E0" w:rsidRPr="002E65E0">
        <w:rPr>
          <w:rFonts w:cstheme="minorHAnsi"/>
          <w:sz w:val="24"/>
          <w:szCs w:val="24"/>
          <w:lang w:val="el-GR"/>
        </w:rPr>
        <w:t xml:space="preserve"> </w:t>
      </w:r>
      <w:r w:rsidR="002E65E0">
        <w:rPr>
          <w:rFonts w:cstheme="minorHAnsi"/>
          <w:sz w:val="24"/>
          <w:szCs w:val="24"/>
          <w:lang w:val="el-GR"/>
        </w:rPr>
        <w:t>αφορά</w:t>
      </w:r>
      <w:r w:rsidR="002E65E0" w:rsidRPr="002E65E0">
        <w:rPr>
          <w:rFonts w:cstheme="minorHAnsi"/>
          <w:sz w:val="24"/>
          <w:szCs w:val="24"/>
          <w:lang w:val="el-GR"/>
        </w:rPr>
        <w:t xml:space="preserve"> </w:t>
      </w:r>
      <w:r w:rsidR="00FD5FA8">
        <w:rPr>
          <w:rFonts w:cstheme="minorHAnsi"/>
          <w:sz w:val="24"/>
          <w:szCs w:val="24"/>
          <w:lang w:val="el-GR"/>
        </w:rPr>
        <w:t>τις</w:t>
      </w:r>
      <w:r w:rsidR="002E65E0" w:rsidRPr="002E65E0">
        <w:rPr>
          <w:rFonts w:cstheme="minorHAnsi"/>
          <w:sz w:val="24"/>
          <w:szCs w:val="24"/>
          <w:lang w:val="el-GR"/>
        </w:rPr>
        <w:t xml:space="preserve"> </w:t>
      </w:r>
      <w:r w:rsidR="002E65E0">
        <w:rPr>
          <w:rFonts w:cstheme="minorHAnsi"/>
          <w:sz w:val="24"/>
          <w:szCs w:val="24"/>
          <w:lang w:val="el-GR"/>
        </w:rPr>
        <w:t>διαδικασίες</w:t>
      </w:r>
      <w:r w:rsidR="002E65E0" w:rsidRPr="002E65E0">
        <w:rPr>
          <w:rFonts w:cstheme="minorHAnsi"/>
          <w:sz w:val="24"/>
          <w:szCs w:val="24"/>
          <w:lang w:val="el-GR"/>
        </w:rPr>
        <w:t xml:space="preserve"> </w:t>
      </w:r>
      <w:proofErr w:type="spellStart"/>
      <w:r w:rsidR="002E65E0">
        <w:rPr>
          <w:rFonts w:cstheme="minorHAnsi"/>
          <w:sz w:val="24"/>
          <w:szCs w:val="24"/>
          <w:lang w:val="el-GR"/>
        </w:rPr>
        <w:t>ενδο</w:t>
      </w:r>
      <w:proofErr w:type="spellEnd"/>
      <w:r w:rsidR="002E65E0" w:rsidRPr="002E65E0">
        <w:rPr>
          <w:rFonts w:cstheme="minorHAnsi"/>
          <w:sz w:val="24"/>
          <w:szCs w:val="24"/>
          <w:lang w:val="el-GR"/>
        </w:rPr>
        <w:t>-</w:t>
      </w:r>
      <w:r w:rsidR="002E65E0">
        <w:rPr>
          <w:rFonts w:cstheme="minorHAnsi"/>
          <w:sz w:val="24"/>
          <w:szCs w:val="24"/>
          <w:lang w:val="el-GR"/>
        </w:rPr>
        <w:t>υπ</w:t>
      </w:r>
      <w:r w:rsidR="00973266">
        <w:rPr>
          <w:rFonts w:cstheme="minorHAnsi"/>
          <w:sz w:val="24"/>
          <w:szCs w:val="24"/>
          <w:lang w:val="el-GR"/>
        </w:rPr>
        <w:t>η</w:t>
      </w:r>
      <w:r w:rsidR="002E65E0">
        <w:rPr>
          <w:rFonts w:cstheme="minorHAnsi"/>
          <w:sz w:val="24"/>
          <w:szCs w:val="24"/>
          <w:lang w:val="el-GR"/>
        </w:rPr>
        <w:t>ρ</w:t>
      </w:r>
      <w:r w:rsidR="00973266">
        <w:rPr>
          <w:rFonts w:cstheme="minorHAnsi"/>
          <w:sz w:val="24"/>
          <w:szCs w:val="24"/>
          <w:lang w:val="el-GR"/>
        </w:rPr>
        <w:t>ε</w:t>
      </w:r>
      <w:r w:rsidR="002E65E0">
        <w:rPr>
          <w:rFonts w:cstheme="minorHAnsi"/>
          <w:sz w:val="24"/>
          <w:szCs w:val="24"/>
          <w:lang w:val="el-GR"/>
        </w:rPr>
        <w:t>σιακής</w:t>
      </w:r>
      <w:r w:rsidR="002E65E0" w:rsidRPr="002E65E0">
        <w:rPr>
          <w:rFonts w:cstheme="minorHAnsi"/>
          <w:sz w:val="24"/>
          <w:szCs w:val="24"/>
          <w:lang w:val="el-GR"/>
        </w:rPr>
        <w:t xml:space="preserve"> </w:t>
      </w:r>
      <w:r w:rsidR="002E65E0">
        <w:rPr>
          <w:rFonts w:cstheme="minorHAnsi"/>
          <w:sz w:val="24"/>
          <w:szCs w:val="24"/>
          <w:lang w:val="el-GR"/>
        </w:rPr>
        <w:t>αξιολόγησης</w:t>
      </w:r>
      <w:r w:rsidR="00220066" w:rsidRPr="002E65E0">
        <w:rPr>
          <w:rFonts w:cstheme="minorHAnsi"/>
          <w:sz w:val="24"/>
          <w:szCs w:val="24"/>
          <w:lang w:val="el-GR"/>
        </w:rPr>
        <w:t xml:space="preserve"> (</w:t>
      </w:r>
      <w:r w:rsidR="002E65E0">
        <w:rPr>
          <w:rFonts w:cstheme="minorHAnsi"/>
          <w:sz w:val="24"/>
          <w:szCs w:val="24"/>
          <w:lang w:val="el-GR"/>
        </w:rPr>
        <w:t>εκτός</w:t>
      </w:r>
      <w:r w:rsidR="002E65E0" w:rsidRPr="002E65E0">
        <w:rPr>
          <w:rFonts w:cstheme="minorHAnsi"/>
          <w:sz w:val="24"/>
          <w:szCs w:val="24"/>
          <w:lang w:val="el-GR"/>
        </w:rPr>
        <w:t xml:space="preserve"> </w:t>
      </w:r>
      <w:r w:rsidR="002E65E0">
        <w:rPr>
          <w:rFonts w:cstheme="minorHAnsi"/>
          <w:sz w:val="24"/>
          <w:szCs w:val="24"/>
          <w:lang w:val="el-GR"/>
        </w:rPr>
        <w:t>από</w:t>
      </w:r>
      <w:r w:rsidR="002E65E0" w:rsidRPr="002E65E0">
        <w:rPr>
          <w:rFonts w:cstheme="minorHAnsi"/>
          <w:sz w:val="24"/>
          <w:szCs w:val="24"/>
          <w:lang w:val="el-GR"/>
        </w:rPr>
        <w:t xml:space="preserve"> </w:t>
      </w:r>
      <w:r w:rsidR="002E65E0">
        <w:rPr>
          <w:rFonts w:cstheme="minorHAnsi"/>
          <w:sz w:val="24"/>
          <w:szCs w:val="24"/>
          <w:lang w:val="el-GR"/>
        </w:rPr>
        <w:t>αυτές</w:t>
      </w:r>
      <w:r w:rsidR="002E65E0" w:rsidRPr="002E65E0">
        <w:rPr>
          <w:rFonts w:cstheme="minorHAnsi"/>
          <w:sz w:val="24"/>
          <w:szCs w:val="24"/>
          <w:lang w:val="el-GR"/>
        </w:rPr>
        <w:t xml:space="preserve"> </w:t>
      </w:r>
      <w:r w:rsidR="002E65E0">
        <w:rPr>
          <w:rFonts w:cstheme="minorHAnsi"/>
          <w:sz w:val="24"/>
          <w:szCs w:val="24"/>
          <w:lang w:val="el-GR"/>
        </w:rPr>
        <w:t>που</w:t>
      </w:r>
      <w:r w:rsidR="002E65E0" w:rsidRPr="002E65E0">
        <w:rPr>
          <w:rFonts w:cstheme="minorHAnsi"/>
          <w:sz w:val="24"/>
          <w:szCs w:val="24"/>
          <w:lang w:val="el-GR"/>
        </w:rPr>
        <w:t xml:space="preserve"> </w:t>
      </w:r>
      <w:r w:rsidR="002E65E0">
        <w:rPr>
          <w:rFonts w:cstheme="minorHAnsi"/>
          <w:sz w:val="24"/>
          <w:szCs w:val="24"/>
          <w:lang w:val="el-GR"/>
        </w:rPr>
        <w:t>γίνονται</w:t>
      </w:r>
      <w:r w:rsidR="002E65E0" w:rsidRPr="002E65E0">
        <w:rPr>
          <w:rFonts w:cstheme="minorHAnsi"/>
          <w:sz w:val="24"/>
          <w:szCs w:val="24"/>
          <w:lang w:val="el-GR"/>
        </w:rPr>
        <w:t xml:space="preserve"> </w:t>
      </w:r>
      <w:r w:rsidR="002E65E0">
        <w:rPr>
          <w:rFonts w:cstheme="minorHAnsi"/>
          <w:sz w:val="24"/>
          <w:szCs w:val="24"/>
          <w:lang w:val="el-GR"/>
        </w:rPr>
        <w:t>σε</w:t>
      </w:r>
      <w:r w:rsidR="002E65E0" w:rsidRPr="002E65E0">
        <w:rPr>
          <w:rFonts w:cstheme="minorHAnsi"/>
          <w:sz w:val="24"/>
          <w:szCs w:val="24"/>
          <w:lang w:val="el-GR"/>
        </w:rPr>
        <w:t xml:space="preserve"> </w:t>
      </w:r>
      <w:r w:rsidR="002E65E0">
        <w:rPr>
          <w:rFonts w:cstheme="minorHAnsi"/>
          <w:sz w:val="24"/>
          <w:szCs w:val="24"/>
          <w:lang w:val="el-GR"/>
        </w:rPr>
        <w:t>ευαίσθητο</w:t>
      </w:r>
      <w:r w:rsidR="00FD5FA8">
        <w:rPr>
          <w:rFonts w:cstheme="minorHAnsi"/>
          <w:sz w:val="24"/>
          <w:szCs w:val="24"/>
          <w:lang w:val="el-GR"/>
        </w:rPr>
        <w:t>υ</w:t>
      </w:r>
      <w:r w:rsidR="002E65E0">
        <w:rPr>
          <w:rFonts w:cstheme="minorHAnsi"/>
          <w:sz w:val="24"/>
          <w:szCs w:val="24"/>
          <w:lang w:val="el-GR"/>
        </w:rPr>
        <w:t>ς</w:t>
      </w:r>
      <w:r w:rsidR="002E65E0" w:rsidRPr="002E65E0">
        <w:rPr>
          <w:rFonts w:cstheme="minorHAnsi"/>
          <w:sz w:val="24"/>
          <w:szCs w:val="24"/>
          <w:lang w:val="el-GR"/>
        </w:rPr>
        <w:t xml:space="preserve"> </w:t>
      </w:r>
      <w:r w:rsidR="002E65E0">
        <w:rPr>
          <w:rFonts w:cstheme="minorHAnsi"/>
          <w:sz w:val="24"/>
          <w:szCs w:val="24"/>
          <w:lang w:val="el-GR"/>
        </w:rPr>
        <w:t>τομείς</w:t>
      </w:r>
      <w:r w:rsidR="00220066" w:rsidRPr="002E65E0">
        <w:rPr>
          <w:rFonts w:cstheme="minorHAnsi"/>
          <w:sz w:val="24"/>
          <w:szCs w:val="24"/>
          <w:lang w:val="el-GR"/>
        </w:rPr>
        <w:t xml:space="preserve">, </w:t>
      </w:r>
      <w:r w:rsidR="002E65E0">
        <w:rPr>
          <w:rFonts w:cstheme="minorHAnsi"/>
          <w:sz w:val="24"/>
          <w:szCs w:val="24"/>
          <w:lang w:val="el-GR"/>
        </w:rPr>
        <w:t>όπως τονίζεται πιο πάνω</w:t>
      </w:r>
      <w:r w:rsidR="00220066" w:rsidRPr="002E65E0">
        <w:rPr>
          <w:rFonts w:cstheme="minorHAnsi"/>
          <w:sz w:val="24"/>
          <w:szCs w:val="24"/>
          <w:lang w:val="el-GR"/>
        </w:rPr>
        <w:t xml:space="preserve">), </w:t>
      </w:r>
      <w:r w:rsidR="002E65E0">
        <w:rPr>
          <w:rFonts w:cstheme="minorHAnsi"/>
          <w:sz w:val="24"/>
          <w:szCs w:val="24"/>
          <w:lang w:val="el-GR"/>
        </w:rPr>
        <w:t xml:space="preserve">η </w:t>
      </w:r>
      <w:r w:rsidR="00220066" w:rsidRPr="004E251E">
        <w:rPr>
          <w:rFonts w:cstheme="minorHAnsi"/>
          <w:sz w:val="24"/>
          <w:szCs w:val="24"/>
        </w:rPr>
        <w:t>P</w:t>
      </w:r>
      <w:r w:rsidR="00220066" w:rsidRPr="002E65E0">
        <w:rPr>
          <w:rFonts w:cstheme="minorHAnsi"/>
          <w:sz w:val="24"/>
          <w:szCs w:val="24"/>
          <w:lang w:val="el-GR"/>
        </w:rPr>
        <w:t>.</w:t>
      </w:r>
      <w:r w:rsidR="00220066" w:rsidRPr="004E251E">
        <w:rPr>
          <w:rFonts w:cstheme="minorHAnsi"/>
          <w:sz w:val="24"/>
          <w:szCs w:val="24"/>
        </w:rPr>
        <w:t>I</w:t>
      </w:r>
      <w:r w:rsidR="00220066" w:rsidRPr="002E65E0">
        <w:rPr>
          <w:rFonts w:cstheme="minorHAnsi"/>
          <w:sz w:val="24"/>
          <w:szCs w:val="24"/>
          <w:lang w:val="el-GR"/>
        </w:rPr>
        <w:t>.</w:t>
      </w:r>
      <w:r w:rsidR="00220066" w:rsidRPr="004E251E">
        <w:rPr>
          <w:rFonts w:cstheme="minorHAnsi"/>
          <w:sz w:val="24"/>
          <w:szCs w:val="24"/>
        </w:rPr>
        <w:t>A</w:t>
      </w:r>
      <w:r w:rsidR="00220066" w:rsidRPr="002E65E0">
        <w:rPr>
          <w:rFonts w:cstheme="minorHAnsi"/>
          <w:sz w:val="24"/>
          <w:szCs w:val="24"/>
          <w:lang w:val="el-GR"/>
        </w:rPr>
        <w:t>.</w:t>
      </w:r>
      <w:r w:rsidR="00220066" w:rsidRPr="004E251E">
        <w:rPr>
          <w:rFonts w:cstheme="minorHAnsi"/>
          <w:sz w:val="24"/>
          <w:szCs w:val="24"/>
        </w:rPr>
        <w:t>S</w:t>
      </w:r>
      <w:r w:rsidR="00220066" w:rsidRPr="002E65E0">
        <w:rPr>
          <w:rFonts w:cstheme="minorHAnsi"/>
          <w:sz w:val="24"/>
          <w:szCs w:val="24"/>
          <w:lang w:val="el-GR"/>
        </w:rPr>
        <w:t xml:space="preserve">. </w:t>
      </w:r>
      <w:r w:rsidR="002E65E0">
        <w:rPr>
          <w:rFonts w:cstheme="minorHAnsi"/>
          <w:sz w:val="24"/>
          <w:szCs w:val="24"/>
          <w:lang w:val="el-GR"/>
        </w:rPr>
        <w:t>διεξάγει ελέγχους ακεραιότητας</w:t>
      </w:r>
      <w:r w:rsidR="00220066" w:rsidRPr="002E65E0">
        <w:rPr>
          <w:rFonts w:cstheme="minorHAnsi"/>
          <w:sz w:val="24"/>
          <w:szCs w:val="24"/>
          <w:lang w:val="el-GR"/>
        </w:rPr>
        <w:t xml:space="preserve"> </w:t>
      </w:r>
      <w:r w:rsidR="002E65E0">
        <w:rPr>
          <w:rFonts w:cstheme="minorHAnsi"/>
          <w:sz w:val="24"/>
          <w:szCs w:val="24"/>
          <w:lang w:val="el-GR"/>
        </w:rPr>
        <w:t>στα πλαίσια</w:t>
      </w:r>
      <w:r w:rsidR="00220066" w:rsidRPr="002E65E0">
        <w:rPr>
          <w:rFonts w:cstheme="minorHAnsi"/>
          <w:sz w:val="24"/>
          <w:szCs w:val="24"/>
          <w:lang w:val="el-GR"/>
        </w:rPr>
        <w:t xml:space="preserve"> </w:t>
      </w:r>
      <w:r w:rsidR="002E65E0">
        <w:rPr>
          <w:rFonts w:cstheme="minorHAnsi"/>
          <w:sz w:val="24"/>
          <w:szCs w:val="24"/>
          <w:lang w:val="el-GR"/>
        </w:rPr>
        <w:t>διερεύνησης</w:t>
      </w:r>
      <w:r w:rsidR="00220066" w:rsidRPr="002E65E0">
        <w:rPr>
          <w:rFonts w:cstheme="minorHAnsi"/>
          <w:sz w:val="24"/>
          <w:szCs w:val="24"/>
          <w:lang w:val="el-GR"/>
        </w:rPr>
        <w:t xml:space="preserve"> </w:t>
      </w:r>
      <w:r w:rsidR="002E65E0">
        <w:rPr>
          <w:rFonts w:cstheme="minorHAnsi"/>
          <w:sz w:val="24"/>
          <w:szCs w:val="24"/>
          <w:lang w:val="el-GR"/>
        </w:rPr>
        <w:t>πληροφοριών</w:t>
      </w:r>
      <w:r w:rsidR="00220066" w:rsidRPr="002E65E0">
        <w:rPr>
          <w:rFonts w:cstheme="minorHAnsi"/>
          <w:sz w:val="24"/>
          <w:szCs w:val="24"/>
          <w:lang w:val="el-GR"/>
        </w:rPr>
        <w:t>/</w:t>
      </w:r>
      <w:r w:rsidR="002E65E0">
        <w:rPr>
          <w:rFonts w:cstheme="minorHAnsi"/>
          <w:sz w:val="24"/>
          <w:szCs w:val="24"/>
          <w:lang w:val="el-GR"/>
        </w:rPr>
        <w:t>παρ</w:t>
      </w:r>
      <w:r w:rsidR="00FD5FA8">
        <w:rPr>
          <w:rFonts w:cstheme="minorHAnsi"/>
          <w:sz w:val="24"/>
          <w:szCs w:val="24"/>
          <w:lang w:val="el-GR"/>
        </w:rPr>
        <w:t>α</w:t>
      </w:r>
      <w:r w:rsidR="002E65E0">
        <w:rPr>
          <w:rFonts w:cstheme="minorHAnsi"/>
          <w:sz w:val="24"/>
          <w:szCs w:val="24"/>
          <w:lang w:val="el-GR"/>
        </w:rPr>
        <w:t>πόνων</w:t>
      </w:r>
      <w:r w:rsidR="00220066" w:rsidRPr="002E65E0">
        <w:rPr>
          <w:rFonts w:cstheme="minorHAnsi"/>
          <w:sz w:val="24"/>
          <w:szCs w:val="24"/>
          <w:lang w:val="el-GR"/>
        </w:rPr>
        <w:t xml:space="preserve"> </w:t>
      </w:r>
      <w:r w:rsidR="002E65E0">
        <w:rPr>
          <w:rFonts w:cstheme="minorHAnsi"/>
          <w:sz w:val="24"/>
          <w:szCs w:val="24"/>
          <w:lang w:val="el-GR"/>
        </w:rPr>
        <w:t>για την διαφθορά των μελών της δύναμης</w:t>
      </w:r>
      <w:r w:rsidR="00220066" w:rsidRPr="002E65E0">
        <w:rPr>
          <w:rFonts w:cstheme="minorHAnsi"/>
          <w:sz w:val="24"/>
          <w:szCs w:val="24"/>
          <w:lang w:val="el-GR"/>
        </w:rPr>
        <w:t xml:space="preserve">. </w:t>
      </w:r>
      <w:r w:rsidR="002E65E0">
        <w:rPr>
          <w:rFonts w:cstheme="minorHAnsi"/>
          <w:sz w:val="24"/>
          <w:szCs w:val="24"/>
          <w:lang w:val="el-GR"/>
        </w:rPr>
        <w:t>Πα</w:t>
      </w:r>
      <w:r w:rsidR="00FD5FA8">
        <w:rPr>
          <w:rFonts w:cstheme="minorHAnsi"/>
          <w:sz w:val="24"/>
          <w:szCs w:val="24"/>
          <w:lang w:val="el-GR"/>
        </w:rPr>
        <w:t>ρ</w:t>
      </w:r>
      <w:r w:rsidR="002E65E0">
        <w:rPr>
          <w:rFonts w:cstheme="minorHAnsi"/>
          <w:sz w:val="24"/>
          <w:szCs w:val="24"/>
          <w:lang w:val="el-GR"/>
        </w:rPr>
        <w:t>ομοίως</w:t>
      </w:r>
      <w:r w:rsidR="00220066" w:rsidRPr="002E65E0">
        <w:rPr>
          <w:rFonts w:cstheme="minorHAnsi"/>
          <w:sz w:val="24"/>
          <w:szCs w:val="24"/>
          <w:lang w:val="el-GR"/>
        </w:rPr>
        <w:t xml:space="preserve">, </w:t>
      </w:r>
      <w:r w:rsidR="002E65E0">
        <w:rPr>
          <w:rFonts w:cstheme="minorHAnsi"/>
          <w:sz w:val="24"/>
          <w:szCs w:val="24"/>
          <w:lang w:val="el-GR"/>
        </w:rPr>
        <w:t>η</w:t>
      </w:r>
      <w:r w:rsidR="002E65E0" w:rsidRPr="002E65E0">
        <w:rPr>
          <w:rFonts w:cstheme="minorHAnsi"/>
          <w:sz w:val="24"/>
          <w:szCs w:val="24"/>
          <w:lang w:val="el-GR"/>
        </w:rPr>
        <w:t xml:space="preserve"> </w:t>
      </w:r>
      <w:r w:rsidR="00220066" w:rsidRPr="004E251E">
        <w:rPr>
          <w:rFonts w:cstheme="minorHAnsi"/>
          <w:sz w:val="24"/>
          <w:szCs w:val="24"/>
        </w:rPr>
        <w:t>PSID</w:t>
      </w:r>
      <w:r w:rsidR="00220066" w:rsidRPr="002E65E0">
        <w:rPr>
          <w:rFonts w:cstheme="minorHAnsi"/>
          <w:sz w:val="24"/>
          <w:szCs w:val="24"/>
          <w:lang w:val="el-GR"/>
        </w:rPr>
        <w:t xml:space="preserve"> </w:t>
      </w:r>
      <w:r w:rsidR="002E65E0">
        <w:rPr>
          <w:rFonts w:cstheme="minorHAnsi"/>
          <w:sz w:val="24"/>
          <w:szCs w:val="24"/>
          <w:lang w:val="el-GR"/>
        </w:rPr>
        <w:t>συχνά</w:t>
      </w:r>
      <w:r w:rsidR="002E65E0" w:rsidRPr="002E65E0">
        <w:rPr>
          <w:rFonts w:cstheme="minorHAnsi"/>
          <w:sz w:val="24"/>
          <w:szCs w:val="24"/>
          <w:lang w:val="el-GR"/>
        </w:rPr>
        <w:t xml:space="preserve"> </w:t>
      </w:r>
      <w:r w:rsidR="002E65E0">
        <w:rPr>
          <w:rFonts w:cstheme="minorHAnsi"/>
          <w:sz w:val="24"/>
          <w:szCs w:val="24"/>
          <w:lang w:val="el-GR"/>
        </w:rPr>
        <w:t>διεξάγει</w:t>
      </w:r>
      <w:r w:rsidR="001504A7" w:rsidRPr="002E65E0">
        <w:rPr>
          <w:rFonts w:cstheme="minorHAnsi"/>
          <w:sz w:val="24"/>
          <w:szCs w:val="24"/>
          <w:lang w:val="el-GR"/>
        </w:rPr>
        <w:t xml:space="preserve"> </w:t>
      </w:r>
      <w:r w:rsidR="002E65E0">
        <w:rPr>
          <w:rFonts w:cstheme="minorHAnsi"/>
          <w:sz w:val="24"/>
          <w:szCs w:val="24"/>
          <w:lang w:val="el-GR"/>
        </w:rPr>
        <w:t>ελέγχους στα Αστυνομικά Τμήματα</w:t>
      </w:r>
      <w:r w:rsidR="00220066" w:rsidRPr="002E65E0">
        <w:rPr>
          <w:rFonts w:cstheme="minorHAnsi"/>
          <w:sz w:val="24"/>
          <w:szCs w:val="24"/>
          <w:lang w:val="el-GR"/>
        </w:rPr>
        <w:t xml:space="preserve">. </w:t>
      </w:r>
    </w:p>
    <w:p w14:paraId="636B4818" w14:textId="77777777" w:rsidR="00220066" w:rsidRPr="002E65E0" w:rsidRDefault="00220066" w:rsidP="00220066">
      <w:pPr>
        <w:pStyle w:val="ListParagraph"/>
        <w:rPr>
          <w:rFonts w:cstheme="minorHAnsi"/>
          <w:sz w:val="24"/>
          <w:szCs w:val="24"/>
          <w:lang w:val="el-GR"/>
        </w:rPr>
      </w:pPr>
    </w:p>
    <w:p w14:paraId="364CA68A" w14:textId="7D4C9A4B" w:rsidR="00185ED2" w:rsidRPr="004466FA" w:rsidRDefault="002E65E0" w:rsidP="00220066">
      <w:pPr>
        <w:widowControl w:val="0"/>
        <w:numPr>
          <w:ilvl w:val="0"/>
          <w:numId w:val="1"/>
        </w:numPr>
        <w:tabs>
          <w:tab w:val="left" w:pos="709"/>
        </w:tabs>
        <w:ind w:left="0" w:firstLine="0"/>
        <w:rPr>
          <w:rFonts w:cstheme="minorHAnsi"/>
          <w:b/>
          <w:bCs/>
          <w:sz w:val="24"/>
          <w:szCs w:val="24"/>
          <w:lang w:val="el-GR"/>
        </w:rPr>
      </w:pPr>
      <w:r>
        <w:rPr>
          <w:rFonts w:cstheme="minorHAnsi"/>
          <w:sz w:val="24"/>
          <w:szCs w:val="24"/>
          <w:lang w:val="el-GR"/>
        </w:rPr>
        <w:t>Αστυνομικοί</w:t>
      </w:r>
      <w:r w:rsidRPr="002E65E0">
        <w:rPr>
          <w:rFonts w:cstheme="minorHAnsi"/>
          <w:sz w:val="24"/>
          <w:szCs w:val="24"/>
          <w:lang w:val="el-GR"/>
        </w:rPr>
        <w:t xml:space="preserve"> </w:t>
      </w:r>
      <w:r>
        <w:rPr>
          <w:rFonts w:cstheme="minorHAnsi"/>
          <w:sz w:val="24"/>
          <w:szCs w:val="24"/>
          <w:lang w:val="el-GR"/>
        </w:rPr>
        <w:t>αξιολογούνται</w:t>
      </w:r>
      <w:r w:rsidR="00220066" w:rsidRPr="002E65E0">
        <w:rPr>
          <w:rFonts w:cstheme="minorHAnsi"/>
          <w:sz w:val="24"/>
          <w:szCs w:val="24"/>
          <w:lang w:val="el-GR"/>
        </w:rPr>
        <w:t xml:space="preserve"> </w:t>
      </w:r>
      <w:r>
        <w:rPr>
          <w:rFonts w:cstheme="minorHAnsi"/>
          <w:sz w:val="24"/>
          <w:szCs w:val="24"/>
          <w:lang w:val="el-GR"/>
        </w:rPr>
        <w:t>όταν</w:t>
      </w:r>
      <w:r w:rsidRPr="002E65E0">
        <w:rPr>
          <w:rFonts w:cstheme="minorHAnsi"/>
          <w:sz w:val="24"/>
          <w:szCs w:val="24"/>
          <w:lang w:val="el-GR"/>
        </w:rPr>
        <w:t xml:space="preserve"> </w:t>
      </w:r>
      <w:r>
        <w:rPr>
          <w:rFonts w:cstheme="minorHAnsi"/>
          <w:sz w:val="24"/>
          <w:szCs w:val="24"/>
          <w:lang w:val="el-GR"/>
        </w:rPr>
        <w:t>εντάσσονται</w:t>
      </w:r>
      <w:r w:rsidRPr="002E65E0">
        <w:rPr>
          <w:rFonts w:cstheme="minorHAnsi"/>
          <w:sz w:val="24"/>
          <w:szCs w:val="24"/>
          <w:lang w:val="el-GR"/>
        </w:rPr>
        <w:t xml:space="preserve"> </w:t>
      </w:r>
      <w:r>
        <w:rPr>
          <w:rFonts w:cstheme="minorHAnsi"/>
          <w:sz w:val="24"/>
          <w:szCs w:val="24"/>
          <w:lang w:val="el-GR"/>
        </w:rPr>
        <w:t>στην</w:t>
      </w:r>
      <w:r w:rsidRPr="002E65E0">
        <w:rPr>
          <w:rFonts w:cstheme="minorHAnsi"/>
          <w:sz w:val="24"/>
          <w:szCs w:val="24"/>
          <w:lang w:val="el-GR"/>
        </w:rPr>
        <w:t xml:space="preserve"> </w:t>
      </w:r>
      <w:r w:rsidR="009C4E34">
        <w:rPr>
          <w:rFonts w:cstheme="minorHAnsi"/>
          <w:sz w:val="24"/>
          <w:szCs w:val="24"/>
          <w:lang w:val="el-GR"/>
        </w:rPr>
        <w:t>Αστυνομία</w:t>
      </w:r>
      <w:r w:rsidR="00220066" w:rsidRPr="002E65E0">
        <w:rPr>
          <w:rFonts w:cstheme="minorHAnsi"/>
          <w:sz w:val="24"/>
          <w:szCs w:val="24"/>
          <w:lang w:val="el-GR"/>
        </w:rPr>
        <w:t xml:space="preserve">, </w:t>
      </w:r>
      <w:r>
        <w:rPr>
          <w:rFonts w:cstheme="minorHAnsi"/>
          <w:sz w:val="24"/>
          <w:szCs w:val="24"/>
          <w:lang w:val="el-GR"/>
        </w:rPr>
        <w:t>καθώς</w:t>
      </w:r>
      <w:r w:rsidRPr="002E65E0">
        <w:rPr>
          <w:rFonts w:cstheme="minorHAnsi"/>
          <w:sz w:val="24"/>
          <w:szCs w:val="24"/>
          <w:lang w:val="el-GR"/>
        </w:rPr>
        <w:t xml:space="preserve"> </w:t>
      </w:r>
      <w:r>
        <w:rPr>
          <w:rFonts w:cstheme="minorHAnsi"/>
          <w:sz w:val="24"/>
          <w:szCs w:val="24"/>
          <w:lang w:val="el-GR"/>
        </w:rPr>
        <w:t>επίσης</w:t>
      </w:r>
      <w:r w:rsidRPr="002E65E0">
        <w:rPr>
          <w:rFonts w:cstheme="minorHAnsi"/>
          <w:sz w:val="24"/>
          <w:szCs w:val="24"/>
          <w:lang w:val="el-GR"/>
        </w:rPr>
        <w:t xml:space="preserve"> </w:t>
      </w:r>
      <w:r w:rsidR="00FD5FA8">
        <w:rPr>
          <w:rFonts w:cstheme="minorHAnsi"/>
          <w:sz w:val="24"/>
          <w:szCs w:val="24"/>
          <w:lang w:val="el-GR"/>
        </w:rPr>
        <w:t xml:space="preserve">και </w:t>
      </w:r>
      <w:r>
        <w:rPr>
          <w:rFonts w:cstheme="minorHAnsi"/>
          <w:sz w:val="24"/>
          <w:szCs w:val="24"/>
          <w:lang w:val="el-GR"/>
        </w:rPr>
        <w:t>όταν</w:t>
      </w:r>
      <w:r w:rsidR="00220066" w:rsidRPr="002E65E0">
        <w:rPr>
          <w:rFonts w:cstheme="minorHAnsi"/>
          <w:sz w:val="24"/>
          <w:szCs w:val="24"/>
          <w:lang w:val="el-GR"/>
        </w:rPr>
        <w:t xml:space="preserve"> </w:t>
      </w:r>
      <w:r>
        <w:rPr>
          <w:rFonts w:cstheme="minorHAnsi"/>
          <w:sz w:val="24"/>
          <w:szCs w:val="24"/>
          <w:lang w:val="el-GR"/>
        </w:rPr>
        <w:t>αυτοί μετατίθενται</w:t>
      </w:r>
      <w:r w:rsidRPr="002E65E0">
        <w:rPr>
          <w:rFonts w:cstheme="minorHAnsi"/>
          <w:sz w:val="24"/>
          <w:szCs w:val="24"/>
          <w:lang w:val="el-GR"/>
        </w:rPr>
        <w:t xml:space="preserve"> </w:t>
      </w:r>
      <w:r>
        <w:rPr>
          <w:rFonts w:cstheme="minorHAnsi"/>
          <w:sz w:val="24"/>
          <w:szCs w:val="24"/>
          <w:lang w:val="el-GR"/>
        </w:rPr>
        <w:t>σε ένα συγκεκριμένο αστυνομικό τμήμα</w:t>
      </w:r>
      <w:r w:rsidR="00220066" w:rsidRPr="002E65E0">
        <w:rPr>
          <w:rFonts w:cstheme="minorHAnsi"/>
          <w:sz w:val="24"/>
          <w:szCs w:val="24"/>
          <w:lang w:val="el-GR"/>
        </w:rPr>
        <w:t xml:space="preserve"> (</w:t>
      </w:r>
      <w:r>
        <w:rPr>
          <w:rFonts w:cstheme="minorHAnsi"/>
          <w:sz w:val="24"/>
          <w:szCs w:val="24"/>
          <w:lang w:val="el-GR"/>
        </w:rPr>
        <w:t>π</w:t>
      </w:r>
      <w:r w:rsidR="00220066" w:rsidRPr="002E65E0">
        <w:rPr>
          <w:rFonts w:cstheme="minorHAnsi"/>
          <w:sz w:val="24"/>
          <w:szCs w:val="24"/>
          <w:lang w:val="el-GR"/>
        </w:rPr>
        <w:t>.</w:t>
      </w:r>
      <w:r>
        <w:rPr>
          <w:rFonts w:cstheme="minorHAnsi"/>
          <w:sz w:val="24"/>
          <w:szCs w:val="24"/>
          <w:lang w:val="el-GR"/>
        </w:rPr>
        <w:t>χ</w:t>
      </w:r>
      <w:r w:rsidR="00220066" w:rsidRPr="002E65E0">
        <w:rPr>
          <w:rFonts w:cstheme="minorHAnsi"/>
          <w:sz w:val="24"/>
          <w:szCs w:val="24"/>
          <w:lang w:val="el-GR"/>
        </w:rPr>
        <w:t xml:space="preserve">. </w:t>
      </w:r>
      <w:r>
        <w:rPr>
          <w:rFonts w:cstheme="minorHAnsi"/>
          <w:sz w:val="24"/>
          <w:szCs w:val="24"/>
          <w:lang w:val="el-GR"/>
        </w:rPr>
        <w:t xml:space="preserve">την </w:t>
      </w:r>
      <w:r w:rsidR="00220066" w:rsidRPr="004E251E">
        <w:rPr>
          <w:rFonts w:cstheme="minorHAnsi"/>
          <w:sz w:val="24"/>
          <w:szCs w:val="24"/>
        </w:rPr>
        <w:t>P</w:t>
      </w:r>
      <w:r w:rsidR="00220066" w:rsidRPr="002E65E0">
        <w:rPr>
          <w:rFonts w:cstheme="minorHAnsi"/>
          <w:sz w:val="24"/>
          <w:szCs w:val="24"/>
          <w:lang w:val="el-GR"/>
        </w:rPr>
        <w:t>.</w:t>
      </w:r>
      <w:r w:rsidR="00220066" w:rsidRPr="004E251E">
        <w:rPr>
          <w:rFonts w:cstheme="minorHAnsi"/>
          <w:sz w:val="24"/>
          <w:szCs w:val="24"/>
        </w:rPr>
        <w:t>I</w:t>
      </w:r>
      <w:r w:rsidR="00220066" w:rsidRPr="002E65E0">
        <w:rPr>
          <w:rFonts w:cstheme="minorHAnsi"/>
          <w:sz w:val="24"/>
          <w:szCs w:val="24"/>
          <w:lang w:val="el-GR"/>
        </w:rPr>
        <w:t>.</w:t>
      </w:r>
      <w:r w:rsidR="00220066" w:rsidRPr="004E251E">
        <w:rPr>
          <w:rFonts w:cstheme="minorHAnsi"/>
          <w:sz w:val="24"/>
          <w:szCs w:val="24"/>
        </w:rPr>
        <w:t>A</w:t>
      </w:r>
      <w:r w:rsidR="00220066" w:rsidRPr="002E65E0">
        <w:rPr>
          <w:rFonts w:cstheme="minorHAnsi"/>
          <w:sz w:val="24"/>
          <w:szCs w:val="24"/>
          <w:lang w:val="el-GR"/>
        </w:rPr>
        <w:t>.</w:t>
      </w:r>
      <w:r w:rsidR="00220066" w:rsidRPr="004E251E">
        <w:rPr>
          <w:rFonts w:cstheme="minorHAnsi"/>
          <w:sz w:val="24"/>
          <w:szCs w:val="24"/>
        </w:rPr>
        <w:t>S</w:t>
      </w:r>
      <w:r w:rsidR="00220066" w:rsidRPr="002E65E0">
        <w:rPr>
          <w:rFonts w:cstheme="minorHAnsi"/>
          <w:sz w:val="24"/>
          <w:szCs w:val="24"/>
          <w:lang w:val="el-GR"/>
        </w:rPr>
        <w:t xml:space="preserve">., </w:t>
      </w:r>
      <w:r>
        <w:rPr>
          <w:rFonts w:cstheme="minorHAnsi"/>
          <w:sz w:val="24"/>
          <w:szCs w:val="24"/>
          <w:lang w:val="el-GR"/>
        </w:rPr>
        <w:t>την Υπηρεσία Καταπολέμησης Ναρκωτικών</w:t>
      </w:r>
      <w:r w:rsidR="00220066" w:rsidRPr="002E65E0">
        <w:rPr>
          <w:rFonts w:cstheme="minorHAnsi"/>
          <w:sz w:val="24"/>
          <w:szCs w:val="24"/>
          <w:lang w:val="el-GR"/>
        </w:rPr>
        <w:t xml:space="preserve">, </w:t>
      </w:r>
      <w:r>
        <w:rPr>
          <w:rFonts w:cstheme="minorHAnsi"/>
          <w:sz w:val="24"/>
          <w:szCs w:val="24"/>
          <w:lang w:val="el-GR"/>
        </w:rPr>
        <w:t>τις Ομάδες Πρόληψης Εγκλήματος</w:t>
      </w:r>
      <w:r w:rsidR="00220066" w:rsidRPr="002E65E0">
        <w:rPr>
          <w:rFonts w:cstheme="minorHAnsi"/>
          <w:sz w:val="24"/>
          <w:szCs w:val="24"/>
          <w:lang w:val="el-GR"/>
        </w:rPr>
        <w:t xml:space="preserve">, </w:t>
      </w:r>
      <w:r>
        <w:rPr>
          <w:rFonts w:cstheme="minorHAnsi"/>
          <w:sz w:val="24"/>
          <w:szCs w:val="24"/>
          <w:lang w:val="el-GR"/>
        </w:rPr>
        <w:t>κλπ</w:t>
      </w:r>
      <w:r w:rsidR="00220066" w:rsidRPr="002E65E0">
        <w:rPr>
          <w:rFonts w:cstheme="minorHAnsi"/>
          <w:sz w:val="24"/>
          <w:szCs w:val="24"/>
          <w:lang w:val="el-GR"/>
        </w:rPr>
        <w:t xml:space="preserve">.). </w:t>
      </w:r>
      <w:r>
        <w:rPr>
          <w:rFonts w:cstheme="minorHAnsi"/>
          <w:sz w:val="24"/>
          <w:szCs w:val="24"/>
          <w:lang w:val="el-GR"/>
        </w:rPr>
        <w:t>Συγκεκριμένα</w:t>
      </w:r>
      <w:r w:rsidR="00220066" w:rsidRPr="002E65E0">
        <w:rPr>
          <w:rFonts w:cstheme="minorHAnsi"/>
          <w:sz w:val="24"/>
          <w:szCs w:val="24"/>
          <w:lang w:val="el-GR"/>
        </w:rPr>
        <w:t xml:space="preserve">, </w:t>
      </w:r>
      <w:r>
        <w:rPr>
          <w:rFonts w:cstheme="minorHAnsi"/>
          <w:sz w:val="24"/>
          <w:szCs w:val="24"/>
          <w:lang w:val="el-GR"/>
        </w:rPr>
        <w:t>όταν</w:t>
      </w:r>
      <w:r w:rsidRPr="002E65E0">
        <w:rPr>
          <w:rFonts w:cstheme="minorHAnsi"/>
          <w:sz w:val="24"/>
          <w:szCs w:val="24"/>
          <w:lang w:val="el-GR"/>
        </w:rPr>
        <w:t xml:space="preserve"> </w:t>
      </w:r>
      <w:r>
        <w:rPr>
          <w:rFonts w:cstheme="minorHAnsi"/>
          <w:sz w:val="24"/>
          <w:szCs w:val="24"/>
          <w:lang w:val="el-GR"/>
        </w:rPr>
        <w:t>υποβάλλονται</w:t>
      </w:r>
      <w:r w:rsidRPr="002E65E0">
        <w:rPr>
          <w:rFonts w:cstheme="minorHAnsi"/>
          <w:sz w:val="24"/>
          <w:szCs w:val="24"/>
          <w:lang w:val="el-GR"/>
        </w:rPr>
        <w:t xml:space="preserve"> </w:t>
      </w:r>
      <w:r>
        <w:rPr>
          <w:rFonts w:cstheme="minorHAnsi"/>
          <w:sz w:val="24"/>
          <w:szCs w:val="24"/>
          <w:lang w:val="el-GR"/>
        </w:rPr>
        <w:t>σε</w:t>
      </w:r>
      <w:r w:rsidRPr="002E65E0">
        <w:rPr>
          <w:rFonts w:cstheme="minorHAnsi"/>
          <w:sz w:val="24"/>
          <w:szCs w:val="24"/>
          <w:lang w:val="el-GR"/>
        </w:rPr>
        <w:t xml:space="preserve"> </w:t>
      </w:r>
      <w:r>
        <w:rPr>
          <w:rFonts w:cstheme="minorHAnsi"/>
          <w:sz w:val="24"/>
          <w:szCs w:val="24"/>
          <w:lang w:val="el-GR"/>
        </w:rPr>
        <w:t>ετήσιες</w:t>
      </w:r>
      <w:r w:rsidRPr="002E65E0">
        <w:rPr>
          <w:rFonts w:cstheme="minorHAnsi"/>
          <w:sz w:val="24"/>
          <w:szCs w:val="24"/>
          <w:lang w:val="el-GR"/>
        </w:rPr>
        <w:t xml:space="preserve"> </w:t>
      </w:r>
      <w:r>
        <w:rPr>
          <w:rFonts w:cstheme="minorHAnsi"/>
          <w:sz w:val="24"/>
          <w:szCs w:val="24"/>
          <w:lang w:val="el-GR"/>
        </w:rPr>
        <w:t>αξιολογήσεις</w:t>
      </w:r>
      <w:r w:rsidR="00220066" w:rsidRPr="002E65E0">
        <w:rPr>
          <w:rFonts w:cstheme="minorHAnsi"/>
          <w:sz w:val="24"/>
          <w:szCs w:val="24"/>
          <w:lang w:val="el-GR"/>
        </w:rPr>
        <w:t xml:space="preserve">, </w:t>
      </w:r>
      <w:r>
        <w:rPr>
          <w:rFonts w:cstheme="minorHAnsi"/>
          <w:sz w:val="24"/>
          <w:szCs w:val="24"/>
          <w:lang w:val="el-GR"/>
        </w:rPr>
        <w:t>οι</w:t>
      </w:r>
      <w:r w:rsidRPr="002E65E0">
        <w:rPr>
          <w:rFonts w:cstheme="minorHAnsi"/>
          <w:sz w:val="24"/>
          <w:szCs w:val="24"/>
          <w:lang w:val="el-GR"/>
        </w:rPr>
        <w:t xml:space="preserve"> </w:t>
      </w:r>
      <w:r>
        <w:rPr>
          <w:rFonts w:cstheme="minorHAnsi"/>
          <w:sz w:val="24"/>
          <w:szCs w:val="24"/>
          <w:lang w:val="el-GR"/>
        </w:rPr>
        <w:t>αστυνομικοί</w:t>
      </w:r>
      <w:r w:rsidRPr="002E65E0">
        <w:rPr>
          <w:rFonts w:cstheme="minorHAnsi"/>
          <w:sz w:val="24"/>
          <w:szCs w:val="24"/>
          <w:lang w:val="el-GR"/>
        </w:rPr>
        <w:t xml:space="preserve"> </w:t>
      </w:r>
      <w:r>
        <w:rPr>
          <w:rFonts w:cstheme="minorHAnsi"/>
          <w:sz w:val="24"/>
          <w:szCs w:val="24"/>
          <w:lang w:val="el-GR"/>
        </w:rPr>
        <w:t>πρέπει</w:t>
      </w:r>
      <w:r w:rsidR="00220066" w:rsidRPr="002E65E0">
        <w:rPr>
          <w:rFonts w:cstheme="minorHAnsi"/>
          <w:sz w:val="24"/>
          <w:szCs w:val="24"/>
          <w:lang w:val="el-GR"/>
        </w:rPr>
        <w:t xml:space="preserve"> </w:t>
      </w:r>
      <w:r>
        <w:rPr>
          <w:rFonts w:cstheme="minorHAnsi"/>
          <w:sz w:val="24"/>
          <w:szCs w:val="24"/>
          <w:lang w:val="el-GR"/>
        </w:rPr>
        <w:t>επίσης να αξιολογούνται από τον ανώτερο τους</w:t>
      </w:r>
      <w:r w:rsidR="00220066" w:rsidRPr="002E65E0">
        <w:rPr>
          <w:rFonts w:cstheme="minorHAnsi"/>
          <w:sz w:val="24"/>
          <w:szCs w:val="24"/>
          <w:lang w:val="el-GR"/>
        </w:rPr>
        <w:t xml:space="preserve"> </w:t>
      </w:r>
      <w:r>
        <w:rPr>
          <w:rFonts w:cstheme="minorHAnsi"/>
          <w:sz w:val="24"/>
          <w:szCs w:val="24"/>
          <w:lang w:val="el-GR"/>
        </w:rPr>
        <w:t>σε σχέση με την ακεραιότητα τους</w:t>
      </w:r>
      <w:r w:rsidR="00220066" w:rsidRPr="002E65E0">
        <w:rPr>
          <w:rFonts w:cstheme="minorHAnsi"/>
          <w:sz w:val="24"/>
          <w:szCs w:val="24"/>
          <w:lang w:val="el-GR"/>
        </w:rPr>
        <w:t xml:space="preserve">. </w:t>
      </w:r>
      <w:r>
        <w:rPr>
          <w:rFonts w:cstheme="minorHAnsi"/>
          <w:sz w:val="24"/>
          <w:szCs w:val="24"/>
          <w:lang w:val="el-GR"/>
        </w:rPr>
        <w:t>Ωστόσο</w:t>
      </w:r>
      <w:r w:rsidR="00220066" w:rsidRPr="004466FA">
        <w:rPr>
          <w:rFonts w:cstheme="minorHAnsi"/>
          <w:sz w:val="24"/>
          <w:szCs w:val="24"/>
          <w:lang w:val="el-GR"/>
        </w:rPr>
        <w:t xml:space="preserve">, </w:t>
      </w:r>
      <w:r>
        <w:rPr>
          <w:rFonts w:cstheme="minorHAnsi"/>
          <w:sz w:val="24"/>
          <w:szCs w:val="24"/>
          <w:lang w:val="el-GR"/>
        </w:rPr>
        <w:t>η</w:t>
      </w:r>
      <w:r w:rsidR="00220066" w:rsidRPr="004466FA">
        <w:rPr>
          <w:rFonts w:cstheme="minorHAnsi"/>
          <w:sz w:val="24"/>
          <w:szCs w:val="24"/>
          <w:lang w:val="el-GR"/>
        </w:rPr>
        <w:t xml:space="preserve"> </w:t>
      </w:r>
      <w:r w:rsidR="00220066" w:rsidRPr="004E251E">
        <w:rPr>
          <w:rFonts w:cstheme="minorHAnsi"/>
          <w:sz w:val="24"/>
          <w:szCs w:val="24"/>
        </w:rPr>
        <w:t>GET</w:t>
      </w:r>
      <w:r w:rsidR="00220066" w:rsidRPr="004466FA">
        <w:rPr>
          <w:rFonts w:cstheme="minorHAnsi"/>
          <w:sz w:val="24"/>
          <w:szCs w:val="24"/>
          <w:lang w:val="el-GR"/>
        </w:rPr>
        <w:t xml:space="preserve"> </w:t>
      </w:r>
      <w:r>
        <w:rPr>
          <w:rFonts w:cstheme="minorHAnsi"/>
          <w:sz w:val="24"/>
          <w:szCs w:val="24"/>
          <w:lang w:val="el-GR"/>
        </w:rPr>
        <w:t>δεν</w:t>
      </w:r>
      <w:r w:rsidRPr="004466FA">
        <w:rPr>
          <w:rFonts w:cstheme="minorHAnsi"/>
          <w:sz w:val="24"/>
          <w:szCs w:val="24"/>
          <w:lang w:val="el-GR"/>
        </w:rPr>
        <w:t xml:space="preserve"> </w:t>
      </w:r>
      <w:r>
        <w:rPr>
          <w:rFonts w:cstheme="minorHAnsi"/>
          <w:sz w:val="24"/>
          <w:szCs w:val="24"/>
          <w:lang w:val="el-GR"/>
        </w:rPr>
        <w:t>μπορούσε</w:t>
      </w:r>
      <w:r w:rsidRPr="004466FA">
        <w:rPr>
          <w:rFonts w:cstheme="minorHAnsi"/>
          <w:sz w:val="24"/>
          <w:szCs w:val="24"/>
          <w:lang w:val="el-GR"/>
        </w:rPr>
        <w:t xml:space="preserve"> </w:t>
      </w:r>
      <w:r>
        <w:rPr>
          <w:rFonts w:cstheme="minorHAnsi"/>
          <w:sz w:val="24"/>
          <w:szCs w:val="24"/>
          <w:lang w:val="el-GR"/>
        </w:rPr>
        <w:t>να</w:t>
      </w:r>
      <w:r w:rsidRPr="004466FA">
        <w:rPr>
          <w:rFonts w:cstheme="minorHAnsi"/>
          <w:sz w:val="24"/>
          <w:szCs w:val="24"/>
          <w:lang w:val="el-GR"/>
        </w:rPr>
        <w:t xml:space="preserve"> </w:t>
      </w:r>
      <w:r>
        <w:rPr>
          <w:rFonts w:cstheme="minorHAnsi"/>
          <w:sz w:val="24"/>
          <w:szCs w:val="24"/>
          <w:lang w:val="el-GR"/>
        </w:rPr>
        <w:t>βρει</w:t>
      </w:r>
      <w:r w:rsidRPr="004466FA">
        <w:rPr>
          <w:rFonts w:cstheme="minorHAnsi"/>
          <w:sz w:val="24"/>
          <w:szCs w:val="24"/>
          <w:lang w:val="el-GR"/>
        </w:rPr>
        <w:t xml:space="preserve"> </w:t>
      </w:r>
      <w:r>
        <w:rPr>
          <w:rFonts w:cstheme="minorHAnsi"/>
          <w:sz w:val="24"/>
          <w:szCs w:val="24"/>
          <w:lang w:val="el-GR"/>
        </w:rPr>
        <w:t>οποιαδήποτε</w:t>
      </w:r>
      <w:r w:rsidRPr="004466FA">
        <w:rPr>
          <w:rFonts w:cstheme="minorHAnsi"/>
          <w:sz w:val="24"/>
          <w:szCs w:val="24"/>
          <w:lang w:val="el-GR"/>
        </w:rPr>
        <w:t xml:space="preserve"> </w:t>
      </w:r>
      <w:r>
        <w:rPr>
          <w:rFonts w:cstheme="minorHAnsi"/>
          <w:sz w:val="24"/>
          <w:szCs w:val="24"/>
          <w:lang w:val="el-GR"/>
        </w:rPr>
        <w:t>απόδειξη</w:t>
      </w:r>
      <w:r w:rsidRPr="004466FA">
        <w:rPr>
          <w:rFonts w:cstheme="minorHAnsi"/>
          <w:sz w:val="24"/>
          <w:szCs w:val="24"/>
          <w:lang w:val="el-GR"/>
        </w:rPr>
        <w:t xml:space="preserve"> </w:t>
      </w:r>
      <w:r>
        <w:rPr>
          <w:rFonts w:cstheme="minorHAnsi"/>
          <w:sz w:val="24"/>
          <w:szCs w:val="24"/>
          <w:lang w:val="el-GR"/>
        </w:rPr>
        <w:t>ότι</w:t>
      </w:r>
      <w:r w:rsidRPr="004466FA">
        <w:rPr>
          <w:rFonts w:cstheme="minorHAnsi"/>
          <w:sz w:val="24"/>
          <w:szCs w:val="24"/>
          <w:lang w:val="el-GR"/>
        </w:rPr>
        <w:t xml:space="preserve"> </w:t>
      </w:r>
      <w:r>
        <w:rPr>
          <w:rFonts w:cstheme="minorHAnsi"/>
          <w:sz w:val="24"/>
          <w:szCs w:val="24"/>
          <w:lang w:val="el-GR"/>
        </w:rPr>
        <w:t>τέτοιες</w:t>
      </w:r>
      <w:r w:rsidRPr="004466FA">
        <w:rPr>
          <w:rFonts w:cstheme="minorHAnsi"/>
          <w:sz w:val="24"/>
          <w:szCs w:val="24"/>
          <w:lang w:val="el-GR"/>
        </w:rPr>
        <w:t xml:space="preserve"> </w:t>
      </w:r>
      <w:r>
        <w:rPr>
          <w:rFonts w:cstheme="minorHAnsi"/>
          <w:sz w:val="24"/>
          <w:szCs w:val="24"/>
          <w:lang w:val="el-GR"/>
        </w:rPr>
        <w:t>αξιολογήσεις</w:t>
      </w:r>
      <w:r w:rsidR="00220066" w:rsidRPr="004466FA">
        <w:rPr>
          <w:sz w:val="24"/>
          <w:szCs w:val="24"/>
          <w:lang w:val="el-GR"/>
        </w:rPr>
        <w:t xml:space="preserve"> </w:t>
      </w:r>
      <w:r w:rsidR="004466FA">
        <w:rPr>
          <w:sz w:val="24"/>
          <w:szCs w:val="24"/>
          <w:lang w:val="el-GR"/>
        </w:rPr>
        <w:t>διεξάγονται</w:t>
      </w:r>
      <w:r w:rsidR="004466FA" w:rsidRPr="004466FA">
        <w:rPr>
          <w:sz w:val="24"/>
          <w:szCs w:val="24"/>
          <w:lang w:val="el-GR"/>
        </w:rPr>
        <w:t xml:space="preserve"> </w:t>
      </w:r>
      <w:r w:rsidR="004466FA">
        <w:rPr>
          <w:sz w:val="24"/>
          <w:szCs w:val="24"/>
          <w:lang w:val="el-GR"/>
        </w:rPr>
        <w:t>πραγματικά</w:t>
      </w:r>
      <w:r w:rsidR="00220066" w:rsidRPr="004466FA">
        <w:rPr>
          <w:sz w:val="24"/>
          <w:szCs w:val="24"/>
          <w:lang w:val="el-GR"/>
        </w:rPr>
        <w:t xml:space="preserve"> </w:t>
      </w:r>
      <w:r w:rsidR="004466FA">
        <w:rPr>
          <w:sz w:val="24"/>
          <w:szCs w:val="24"/>
          <w:lang w:val="el-GR"/>
        </w:rPr>
        <w:t>και δεν υπήρχαν ενδείξεις</w:t>
      </w:r>
      <w:r w:rsidR="00220066" w:rsidRPr="004466FA">
        <w:rPr>
          <w:sz w:val="24"/>
          <w:szCs w:val="24"/>
          <w:lang w:val="el-GR"/>
        </w:rPr>
        <w:t xml:space="preserve"> </w:t>
      </w:r>
      <w:r w:rsidR="004466FA">
        <w:rPr>
          <w:sz w:val="24"/>
          <w:szCs w:val="24"/>
          <w:lang w:val="el-GR"/>
        </w:rPr>
        <w:t>για αντικειμενικά κριτήρια που χρησιμοποιούνται από την άποψη αυτή</w:t>
      </w:r>
      <w:r w:rsidR="00220066" w:rsidRPr="004466FA">
        <w:rPr>
          <w:sz w:val="24"/>
          <w:szCs w:val="24"/>
          <w:lang w:val="el-GR"/>
        </w:rPr>
        <w:t xml:space="preserve">. </w:t>
      </w:r>
      <w:r w:rsidR="004466FA">
        <w:rPr>
          <w:sz w:val="24"/>
          <w:szCs w:val="24"/>
          <w:lang w:val="el-GR"/>
        </w:rPr>
        <w:t>Η</w:t>
      </w:r>
      <w:r w:rsidR="00185ED2" w:rsidRPr="004466FA">
        <w:rPr>
          <w:sz w:val="24"/>
          <w:szCs w:val="24"/>
          <w:lang w:val="el-GR"/>
        </w:rPr>
        <w:t xml:space="preserve"> </w:t>
      </w:r>
      <w:r w:rsidR="00185ED2" w:rsidRPr="004E251E">
        <w:rPr>
          <w:sz w:val="24"/>
          <w:szCs w:val="24"/>
        </w:rPr>
        <w:t>GET</w:t>
      </w:r>
      <w:r w:rsidR="00185ED2" w:rsidRPr="004466FA">
        <w:rPr>
          <w:sz w:val="24"/>
          <w:szCs w:val="24"/>
          <w:lang w:val="el-GR"/>
        </w:rPr>
        <w:t xml:space="preserve"> </w:t>
      </w:r>
      <w:r w:rsidR="004466FA">
        <w:rPr>
          <w:sz w:val="24"/>
          <w:szCs w:val="24"/>
          <w:lang w:val="el-GR"/>
        </w:rPr>
        <w:t>θεωρεί</w:t>
      </w:r>
      <w:r w:rsidR="004466FA" w:rsidRPr="004466FA">
        <w:rPr>
          <w:sz w:val="24"/>
          <w:szCs w:val="24"/>
          <w:lang w:val="el-GR"/>
        </w:rPr>
        <w:t xml:space="preserve"> </w:t>
      </w:r>
      <w:r w:rsidR="004466FA">
        <w:rPr>
          <w:sz w:val="24"/>
          <w:szCs w:val="24"/>
          <w:lang w:val="el-GR"/>
        </w:rPr>
        <w:t>ότι</w:t>
      </w:r>
      <w:r w:rsidR="00185ED2" w:rsidRPr="004466FA">
        <w:rPr>
          <w:sz w:val="24"/>
          <w:szCs w:val="24"/>
          <w:lang w:val="el-GR"/>
        </w:rPr>
        <w:t xml:space="preserve"> </w:t>
      </w:r>
      <w:r w:rsidR="004466FA">
        <w:rPr>
          <w:sz w:val="24"/>
          <w:szCs w:val="24"/>
          <w:lang w:val="el-GR"/>
        </w:rPr>
        <w:t>ο</w:t>
      </w:r>
      <w:r w:rsidR="004466FA" w:rsidRPr="004466FA">
        <w:rPr>
          <w:sz w:val="24"/>
          <w:szCs w:val="24"/>
          <w:lang w:val="el-GR"/>
        </w:rPr>
        <w:t xml:space="preserve"> </w:t>
      </w:r>
      <w:r w:rsidR="004466FA">
        <w:rPr>
          <w:sz w:val="24"/>
          <w:szCs w:val="24"/>
          <w:lang w:val="el-GR"/>
        </w:rPr>
        <w:t>έλεγχος</w:t>
      </w:r>
      <w:r w:rsidR="004466FA" w:rsidRPr="004466FA">
        <w:rPr>
          <w:sz w:val="24"/>
          <w:szCs w:val="24"/>
          <w:lang w:val="el-GR"/>
        </w:rPr>
        <w:t xml:space="preserve"> </w:t>
      </w:r>
      <w:r w:rsidR="004466FA">
        <w:rPr>
          <w:sz w:val="24"/>
          <w:szCs w:val="24"/>
          <w:lang w:val="el-GR"/>
        </w:rPr>
        <w:t>ακεραιότητας</w:t>
      </w:r>
      <w:r w:rsidR="00185ED2" w:rsidRPr="004466FA">
        <w:rPr>
          <w:sz w:val="24"/>
          <w:szCs w:val="24"/>
          <w:lang w:val="el-GR"/>
        </w:rPr>
        <w:t xml:space="preserve"> </w:t>
      </w:r>
      <w:r w:rsidR="004466FA">
        <w:rPr>
          <w:sz w:val="24"/>
          <w:szCs w:val="24"/>
          <w:lang w:val="el-GR"/>
        </w:rPr>
        <w:t>μπορεί</w:t>
      </w:r>
      <w:r w:rsidR="00185ED2" w:rsidRPr="004466FA">
        <w:rPr>
          <w:sz w:val="24"/>
          <w:szCs w:val="24"/>
          <w:lang w:val="el-GR"/>
        </w:rPr>
        <w:t xml:space="preserve"> </w:t>
      </w:r>
      <w:r w:rsidR="004466FA">
        <w:rPr>
          <w:sz w:val="24"/>
          <w:szCs w:val="24"/>
          <w:lang w:val="el-GR"/>
        </w:rPr>
        <w:t>να</w:t>
      </w:r>
      <w:r w:rsidR="004466FA" w:rsidRPr="004466FA">
        <w:rPr>
          <w:sz w:val="24"/>
          <w:szCs w:val="24"/>
          <w:lang w:val="el-GR"/>
        </w:rPr>
        <w:t xml:space="preserve"> </w:t>
      </w:r>
      <w:r w:rsidR="004466FA">
        <w:rPr>
          <w:sz w:val="24"/>
          <w:szCs w:val="24"/>
          <w:lang w:val="el-GR"/>
        </w:rPr>
        <w:t>έχει</w:t>
      </w:r>
      <w:r w:rsidR="004466FA" w:rsidRPr="004466FA">
        <w:rPr>
          <w:sz w:val="24"/>
          <w:szCs w:val="24"/>
          <w:lang w:val="el-GR"/>
        </w:rPr>
        <w:t xml:space="preserve"> </w:t>
      </w:r>
      <w:r w:rsidR="004466FA">
        <w:rPr>
          <w:sz w:val="24"/>
          <w:szCs w:val="24"/>
          <w:lang w:val="el-GR"/>
        </w:rPr>
        <w:t>ένα</w:t>
      </w:r>
      <w:r w:rsidR="004466FA" w:rsidRPr="004466FA">
        <w:rPr>
          <w:sz w:val="24"/>
          <w:szCs w:val="24"/>
          <w:lang w:val="el-GR"/>
        </w:rPr>
        <w:t xml:space="preserve"> </w:t>
      </w:r>
      <w:r w:rsidR="004466FA">
        <w:rPr>
          <w:sz w:val="24"/>
          <w:szCs w:val="24"/>
          <w:lang w:val="el-GR"/>
        </w:rPr>
        <w:t>πιο</w:t>
      </w:r>
      <w:r w:rsidR="004466FA" w:rsidRPr="004466FA">
        <w:rPr>
          <w:sz w:val="24"/>
          <w:szCs w:val="24"/>
          <w:lang w:val="el-GR"/>
        </w:rPr>
        <w:t xml:space="preserve"> </w:t>
      </w:r>
      <w:r w:rsidR="004466FA">
        <w:rPr>
          <w:sz w:val="24"/>
          <w:szCs w:val="24"/>
          <w:lang w:val="el-GR"/>
        </w:rPr>
        <w:t>αποτρεπτικό</w:t>
      </w:r>
      <w:r w:rsidR="004466FA" w:rsidRPr="004466FA">
        <w:rPr>
          <w:sz w:val="24"/>
          <w:szCs w:val="24"/>
          <w:lang w:val="el-GR"/>
        </w:rPr>
        <w:t xml:space="preserve"> </w:t>
      </w:r>
      <w:r w:rsidR="004466FA">
        <w:rPr>
          <w:sz w:val="24"/>
          <w:szCs w:val="24"/>
          <w:lang w:val="el-GR"/>
        </w:rPr>
        <w:t>αποτέλεσμα</w:t>
      </w:r>
      <w:r w:rsidR="00185ED2" w:rsidRPr="004466FA">
        <w:rPr>
          <w:sz w:val="24"/>
          <w:szCs w:val="24"/>
          <w:lang w:val="el-GR"/>
        </w:rPr>
        <w:t xml:space="preserve"> </w:t>
      </w:r>
      <w:r w:rsidR="004466FA">
        <w:rPr>
          <w:sz w:val="24"/>
          <w:szCs w:val="24"/>
          <w:lang w:val="el-GR"/>
        </w:rPr>
        <w:t>αν</w:t>
      </w:r>
      <w:r w:rsidR="004466FA" w:rsidRPr="004466FA">
        <w:rPr>
          <w:sz w:val="24"/>
          <w:szCs w:val="24"/>
          <w:lang w:val="el-GR"/>
        </w:rPr>
        <w:t xml:space="preserve"> </w:t>
      </w:r>
      <w:r w:rsidR="004466FA">
        <w:rPr>
          <w:sz w:val="24"/>
          <w:szCs w:val="24"/>
          <w:lang w:val="el-GR"/>
        </w:rPr>
        <w:t>ήταν</w:t>
      </w:r>
      <w:r w:rsidR="004466FA" w:rsidRPr="004466FA">
        <w:rPr>
          <w:sz w:val="24"/>
          <w:szCs w:val="24"/>
          <w:lang w:val="el-GR"/>
        </w:rPr>
        <w:t xml:space="preserve"> </w:t>
      </w:r>
      <w:r w:rsidR="004466FA">
        <w:rPr>
          <w:sz w:val="24"/>
          <w:szCs w:val="24"/>
          <w:lang w:val="el-GR"/>
        </w:rPr>
        <w:t>δεόντως</w:t>
      </w:r>
      <w:r w:rsidR="004466FA" w:rsidRPr="004466FA">
        <w:rPr>
          <w:sz w:val="24"/>
          <w:szCs w:val="24"/>
          <w:lang w:val="el-GR"/>
        </w:rPr>
        <w:t xml:space="preserve"> </w:t>
      </w:r>
      <w:r w:rsidR="002E5EC0">
        <w:rPr>
          <w:sz w:val="24"/>
          <w:szCs w:val="24"/>
          <w:lang w:val="el-GR"/>
        </w:rPr>
        <w:t>ρυθμιζόμενος</w:t>
      </w:r>
      <w:r w:rsidR="00185ED2" w:rsidRPr="004466FA">
        <w:rPr>
          <w:sz w:val="24"/>
          <w:szCs w:val="24"/>
          <w:lang w:val="el-GR"/>
        </w:rPr>
        <w:t xml:space="preserve"> </w:t>
      </w:r>
      <w:r w:rsidR="004466FA">
        <w:rPr>
          <w:sz w:val="24"/>
          <w:szCs w:val="24"/>
          <w:lang w:val="el-GR"/>
        </w:rPr>
        <w:t>και</w:t>
      </w:r>
      <w:r w:rsidR="00185ED2" w:rsidRPr="004466FA">
        <w:rPr>
          <w:sz w:val="24"/>
          <w:szCs w:val="24"/>
          <w:lang w:val="el-GR"/>
        </w:rPr>
        <w:t xml:space="preserve"> </w:t>
      </w:r>
      <w:r w:rsidR="004466FA">
        <w:rPr>
          <w:sz w:val="24"/>
          <w:szCs w:val="24"/>
          <w:lang w:val="el-GR"/>
        </w:rPr>
        <w:t>κοινοποιημένος στους αστυνομικούς</w:t>
      </w:r>
      <w:r w:rsidR="00185ED2" w:rsidRPr="004466FA">
        <w:rPr>
          <w:sz w:val="24"/>
          <w:szCs w:val="24"/>
          <w:lang w:val="el-GR"/>
        </w:rPr>
        <w:t xml:space="preserve"> (</w:t>
      </w:r>
      <w:r w:rsidR="004466FA">
        <w:rPr>
          <w:sz w:val="24"/>
          <w:szCs w:val="24"/>
          <w:lang w:val="el-GR"/>
        </w:rPr>
        <w:t>συμπεριλαμβανομένης μέσω μιας μη διαβαθμισμένης μεθοδολογίας</w:t>
      </w:r>
      <w:r w:rsidR="00185ED2" w:rsidRPr="004466FA">
        <w:rPr>
          <w:sz w:val="24"/>
          <w:szCs w:val="24"/>
          <w:lang w:val="el-GR"/>
        </w:rPr>
        <w:t xml:space="preserve"> </w:t>
      </w:r>
      <w:r w:rsidR="004466FA">
        <w:rPr>
          <w:sz w:val="24"/>
          <w:szCs w:val="24"/>
          <w:lang w:val="el-GR"/>
        </w:rPr>
        <w:t>που δείχνει</w:t>
      </w:r>
      <w:r w:rsidR="00185ED2" w:rsidRPr="004466FA">
        <w:rPr>
          <w:sz w:val="24"/>
          <w:szCs w:val="24"/>
          <w:lang w:val="el-GR"/>
        </w:rPr>
        <w:t xml:space="preserve"> </w:t>
      </w:r>
      <w:r w:rsidR="004466FA">
        <w:rPr>
          <w:sz w:val="24"/>
          <w:szCs w:val="24"/>
          <w:lang w:val="el-GR"/>
        </w:rPr>
        <w:t>το τί είναι ο έλεγχος ακεραιότητας</w:t>
      </w:r>
      <w:r w:rsidR="00471C53" w:rsidRPr="004466FA">
        <w:rPr>
          <w:sz w:val="24"/>
          <w:szCs w:val="24"/>
          <w:lang w:val="el-GR"/>
        </w:rPr>
        <w:t xml:space="preserve"> </w:t>
      </w:r>
      <w:r w:rsidR="004466FA">
        <w:rPr>
          <w:sz w:val="24"/>
          <w:szCs w:val="24"/>
          <w:lang w:val="el-GR"/>
        </w:rPr>
        <w:t xml:space="preserve">και ποια καθήκοντα και υποχρεώσεις έχουν οι </w:t>
      </w:r>
      <w:r w:rsidR="00185ED2" w:rsidRPr="004E251E">
        <w:rPr>
          <w:sz w:val="24"/>
          <w:szCs w:val="24"/>
        </w:rPr>
        <w:t>PIAS</w:t>
      </w:r>
      <w:r w:rsidR="00185ED2" w:rsidRPr="004466FA">
        <w:rPr>
          <w:sz w:val="24"/>
          <w:szCs w:val="24"/>
          <w:lang w:val="el-GR"/>
        </w:rPr>
        <w:t xml:space="preserve"> </w:t>
      </w:r>
      <w:r w:rsidR="004466FA">
        <w:rPr>
          <w:sz w:val="24"/>
          <w:szCs w:val="24"/>
          <w:lang w:val="el-GR"/>
        </w:rPr>
        <w:t>και οι αστυνομικοί</w:t>
      </w:r>
      <w:r w:rsidR="00185ED2" w:rsidRPr="004466FA">
        <w:rPr>
          <w:sz w:val="24"/>
          <w:szCs w:val="24"/>
          <w:lang w:val="el-GR"/>
        </w:rPr>
        <w:t xml:space="preserve">). </w:t>
      </w:r>
      <w:r w:rsidR="004466FA">
        <w:rPr>
          <w:sz w:val="24"/>
          <w:szCs w:val="24"/>
          <w:lang w:val="el-GR"/>
        </w:rPr>
        <w:t>Επιπλέον</w:t>
      </w:r>
      <w:r w:rsidR="00185ED2" w:rsidRPr="004466FA">
        <w:rPr>
          <w:sz w:val="24"/>
          <w:szCs w:val="24"/>
          <w:lang w:val="el-GR"/>
        </w:rPr>
        <w:t xml:space="preserve">, </w:t>
      </w:r>
      <w:r w:rsidR="004466FA">
        <w:rPr>
          <w:sz w:val="24"/>
          <w:szCs w:val="24"/>
          <w:lang w:val="el-GR"/>
        </w:rPr>
        <w:t>η</w:t>
      </w:r>
      <w:r w:rsidR="004466FA" w:rsidRPr="004466FA">
        <w:rPr>
          <w:sz w:val="24"/>
          <w:szCs w:val="24"/>
          <w:lang w:val="el-GR"/>
        </w:rPr>
        <w:t xml:space="preserve"> </w:t>
      </w:r>
      <w:r w:rsidR="004466FA">
        <w:rPr>
          <w:sz w:val="24"/>
          <w:szCs w:val="24"/>
          <w:lang w:val="el-GR"/>
        </w:rPr>
        <w:t>δυνατότητα</w:t>
      </w:r>
      <w:r w:rsidR="004466FA" w:rsidRPr="004466FA">
        <w:rPr>
          <w:sz w:val="24"/>
          <w:szCs w:val="24"/>
          <w:lang w:val="el-GR"/>
        </w:rPr>
        <w:t xml:space="preserve"> </w:t>
      </w:r>
      <w:r w:rsidR="004466FA">
        <w:rPr>
          <w:sz w:val="24"/>
          <w:szCs w:val="24"/>
          <w:lang w:val="el-GR"/>
        </w:rPr>
        <w:t>του</w:t>
      </w:r>
      <w:r w:rsidR="004466FA" w:rsidRPr="004466FA">
        <w:rPr>
          <w:sz w:val="24"/>
          <w:szCs w:val="24"/>
          <w:lang w:val="el-GR"/>
        </w:rPr>
        <w:t xml:space="preserve"> </w:t>
      </w:r>
      <w:r w:rsidR="004466FA">
        <w:rPr>
          <w:sz w:val="24"/>
          <w:szCs w:val="24"/>
          <w:lang w:val="el-GR"/>
        </w:rPr>
        <w:t>ελέγχου</w:t>
      </w:r>
      <w:r w:rsidR="004466FA" w:rsidRPr="004466FA">
        <w:rPr>
          <w:sz w:val="24"/>
          <w:szCs w:val="24"/>
          <w:lang w:val="el-GR"/>
        </w:rPr>
        <w:t xml:space="preserve"> </w:t>
      </w:r>
      <w:r w:rsidR="004466FA">
        <w:rPr>
          <w:sz w:val="24"/>
          <w:szCs w:val="24"/>
          <w:lang w:val="el-GR"/>
        </w:rPr>
        <w:t>θα</w:t>
      </w:r>
      <w:r w:rsidR="004466FA" w:rsidRPr="004466FA">
        <w:rPr>
          <w:sz w:val="24"/>
          <w:szCs w:val="24"/>
          <w:lang w:val="el-GR"/>
        </w:rPr>
        <w:t xml:space="preserve"> </w:t>
      </w:r>
      <w:r w:rsidR="004466FA">
        <w:rPr>
          <w:sz w:val="24"/>
          <w:szCs w:val="24"/>
          <w:lang w:val="el-GR"/>
        </w:rPr>
        <w:t>μπορούσε</w:t>
      </w:r>
      <w:r w:rsidR="004466FA" w:rsidRPr="004466FA">
        <w:rPr>
          <w:sz w:val="24"/>
          <w:szCs w:val="24"/>
          <w:lang w:val="el-GR"/>
        </w:rPr>
        <w:t xml:space="preserve"> </w:t>
      </w:r>
      <w:r w:rsidR="004466FA">
        <w:rPr>
          <w:sz w:val="24"/>
          <w:szCs w:val="24"/>
          <w:lang w:val="el-GR"/>
        </w:rPr>
        <w:t>να</w:t>
      </w:r>
      <w:r w:rsidR="004466FA" w:rsidRPr="004466FA">
        <w:rPr>
          <w:sz w:val="24"/>
          <w:szCs w:val="24"/>
          <w:lang w:val="el-GR"/>
        </w:rPr>
        <w:t xml:space="preserve"> </w:t>
      </w:r>
      <w:r w:rsidR="004466FA">
        <w:rPr>
          <w:sz w:val="24"/>
          <w:szCs w:val="24"/>
          <w:lang w:val="el-GR"/>
        </w:rPr>
        <w:t>ενισχυθεί</w:t>
      </w:r>
      <w:r w:rsidR="004466FA" w:rsidRPr="004466FA">
        <w:rPr>
          <w:sz w:val="24"/>
          <w:szCs w:val="24"/>
          <w:lang w:val="el-GR"/>
        </w:rPr>
        <w:t xml:space="preserve"> </w:t>
      </w:r>
      <w:r w:rsidR="004466FA">
        <w:rPr>
          <w:sz w:val="24"/>
          <w:szCs w:val="24"/>
          <w:lang w:val="el-GR"/>
        </w:rPr>
        <w:t>περαιτέρω</w:t>
      </w:r>
      <w:r w:rsidR="00185ED2" w:rsidRPr="004466FA">
        <w:rPr>
          <w:sz w:val="24"/>
          <w:szCs w:val="24"/>
          <w:lang w:val="el-GR"/>
        </w:rPr>
        <w:t xml:space="preserve">, </w:t>
      </w:r>
      <w:r w:rsidR="004466FA">
        <w:rPr>
          <w:sz w:val="24"/>
          <w:szCs w:val="24"/>
          <w:lang w:val="el-GR"/>
        </w:rPr>
        <w:t>ως</w:t>
      </w:r>
      <w:r w:rsidR="004466FA" w:rsidRPr="004466FA">
        <w:rPr>
          <w:sz w:val="24"/>
          <w:szCs w:val="24"/>
          <w:lang w:val="el-GR"/>
        </w:rPr>
        <w:t xml:space="preserve"> </w:t>
      </w:r>
      <w:r w:rsidR="004466FA">
        <w:rPr>
          <w:sz w:val="24"/>
          <w:szCs w:val="24"/>
          <w:lang w:val="el-GR"/>
        </w:rPr>
        <w:t>εισροή</w:t>
      </w:r>
      <w:r w:rsidR="004466FA" w:rsidRPr="004466FA">
        <w:rPr>
          <w:sz w:val="24"/>
          <w:szCs w:val="24"/>
          <w:lang w:val="el-GR"/>
        </w:rPr>
        <w:t xml:space="preserve"> </w:t>
      </w:r>
      <w:r w:rsidR="00FD5FA8">
        <w:rPr>
          <w:sz w:val="24"/>
          <w:szCs w:val="24"/>
          <w:lang w:val="el-GR"/>
        </w:rPr>
        <w:t xml:space="preserve">πληροφοριών </w:t>
      </w:r>
      <w:r w:rsidR="004466FA">
        <w:rPr>
          <w:sz w:val="24"/>
          <w:szCs w:val="24"/>
          <w:lang w:val="el-GR"/>
        </w:rPr>
        <w:t>για</w:t>
      </w:r>
      <w:r w:rsidR="004466FA" w:rsidRPr="004466FA">
        <w:rPr>
          <w:sz w:val="24"/>
          <w:szCs w:val="24"/>
          <w:lang w:val="el-GR"/>
        </w:rPr>
        <w:t xml:space="preserve"> </w:t>
      </w:r>
      <w:r w:rsidR="004466FA">
        <w:rPr>
          <w:sz w:val="24"/>
          <w:szCs w:val="24"/>
          <w:lang w:val="el-GR"/>
        </w:rPr>
        <w:t>ενημέρωση</w:t>
      </w:r>
      <w:r w:rsidR="004466FA" w:rsidRPr="004466FA">
        <w:rPr>
          <w:sz w:val="24"/>
          <w:szCs w:val="24"/>
          <w:lang w:val="el-GR"/>
        </w:rPr>
        <w:t xml:space="preserve"> </w:t>
      </w:r>
      <w:r w:rsidR="004466FA">
        <w:rPr>
          <w:sz w:val="24"/>
          <w:szCs w:val="24"/>
          <w:lang w:val="el-GR"/>
        </w:rPr>
        <w:t>διαδικασιών</w:t>
      </w:r>
      <w:r w:rsidR="004466FA" w:rsidRPr="004466FA">
        <w:rPr>
          <w:sz w:val="24"/>
          <w:szCs w:val="24"/>
          <w:lang w:val="el-GR"/>
        </w:rPr>
        <w:t xml:space="preserve"> </w:t>
      </w:r>
      <w:r w:rsidR="004466FA">
        <w:rPr>
          <w:sz w:val="24"/>
          <w:szCs w:val="24"/>
          <w:lang w:val="el-GR"/>
        </w:rPr>
        <w:t>αξιολόγησης</w:t>
      </w:r>
      <w:r w:rsidR="004466FA" w:rsidRPr="004466FA">
        <w:rPr>
          <w:sz w:val="24"/>
          <w:szCs w:val="24"/>
          <w:lang w:val="el-GR"/>
        </w:rPr>
        <w:t xml:space="preserve"> </w:t>
      </w:r>
      <w:r w:rsidR="004466FA">
        <w:rPr>
          <w:sz w:val="24"/>
          <w:szCs w:val="24"/>
          <w:lang w:val="el-GR"/>
        </w:rPr>
        <w:t>κινδύνου εντός της δύναμης</w:t>
      </w:r>
      <w:r w:rsidR="00185ED2" w:rsidRPr="004466FA">
        <w:rPr>
          <w:sz w:val="24"/>
          <w:szCs w:val="24"/>
          <w:lang w:val="el-GR"/>
        </w:rPr>
        <w:t xml:space="preserve"> (</w:t>
      </w:r>
      <w:r w:rsidR="004466FA">
        <w:rPr>
          <w:sz w:val="24"/>
          <w:szCs w:val="24"/>
          <w:lang w:val="el-GR"/>
        </w:rPr>
        <w:t>π</w:t>
      </w:r>
      <w:r w:rsidR="00185ED2" w:rsidRPr="004466FA">
        <w:rPr>
          <w:sz w:val="24"/>
          <w:szCs w:val="24"/>
          <w:lang w:val="el-GR"/>
        </w:rPr>
        <w:t>.</w:t>
      </w:r>
      <w:r w:rsidR="004466FA">
        <w:rPr>
          <w:sz w:val="24"/>
          <w:szCs w:val="24"/>
          <w:lang w:val="el-GR"/>
        </w:rPr>
        <w:t>χ</w:t>
      </w:r>
      <w:r w:rsidR="00185ED2" w:rsidRPr="004466FA">
        <w:rPr>
          <w:sz w:val="24"/>
          <w:szCs w:val="24"/>
          <w:lang w:val="el-GR"/>
        </w:rPr>
        <w:t xml:space="preserve">. </w:t>
      </w:r>
      <w:r w:rsidR="00D8077F">
        <w:rPr>
          <w:sz w:val="24"/>
          <w:szCs w:val="24"/>
          <w:lang w:val="el-GR"/>
        </w:rPr>
        <w:t xml:space="preserve">στατιστικές και </w:t>
      </w:r>
      <w:r w:rsidR="00973266">
        <w:rPr>
          <w:sz w:val="24"/>
          <w:szCs w:val="24"/>
          <w:lang w:val="el-GR"/>
        </w:rPr>
        <w:t>τελειοποιημένα</w:t>
      </w:r>
      <w:r w:rsidR="00D8077F">
        <w:rPr>
          <w:sz w:val="24"/>
          <w:szCs w:val="24"/>
          <w:lang w:val="el-GR"/>
        </w:rPr>
        <w:t xml:space="preserve"> παρ</w:t>
      </w:r>
      <w:r w:rsidR="00FD5FA8">
        <w:rPr>
          <w:sz w:val="24"/>
          <w:szCs w:val="24"/>
          <w:lang w:val="el-GR"/>
        </w:rPr>
        <w:t>α</w:t>
      </w:r>
      <w:r w:rsidR="00D8077F">
        <w:rPr>
          <w:sz w:val="24"/>
          <w:szCs w:val="24"/>
          <w:lang w:val="el-GR"/>
        </w:rPr>
        <w:t>δε</w:t>
      </w:r>
      <w:r w:rsidR="00FD5FA8">
        <w:rPr>
          <w:sz w:val="24"/>
          <w:szCs w:val="24"/>
          <w:lang w:val="el-GR"/>
        </w:rPr>
        <w:t>ί</w:t>
      </w:r>
      <w:r w:rsidR="00D8077F">
        <w:rPr>
          <w:sz w:val="24"/>
          <w:szCs w:val="24"/>
          <w:lang w:val="el-GR"/>
        </w:rPr>
        <w:t>γματα υποθέσεων</w:t>
      </w:r>
      <w:r w:rsidR="00185ED2" w:rsidRPr="004466FA">
        <w:rPr>
          <w:sz w:val="24"/>
          <w:szCs w:val="24"/>
          <w:lang w:val="el-GR"/>
        </w:rPr>
        <w:t xml:space="preserve">), </w:t>
      </w:r>
      <w:r w:rsidR="00D8077F">
        <w:rPr>
          <w:sz w:val="24"/>
          <w:szCs w:val="24"/>
          <w:lang w:val="el-GR"/>
        </w:rPr>
        <w:t>αν συνοδευόταν με τακτική παρακολούθηση</w:t>
      </w:r>
      <w:r w:rsidR="00185ED2" w:rsidRPr="004466FA">
        <w:rPr>
          <w:sz w:val="24"/>
          <w:szCs w:val="24"/>
          <w:lang w:val="el-GR"/>
        </w:rPr>
        <w:t xml:space="preserve">. </w:t>
      </w:r>
    </w:p>
    <w:p w14:paraId="359DD1B4" w14:textId="77777777" w:rsidR="00185ED2" w:rsidRPr="004466FA" w:rsidRDefault="00185ED2" w:rsidP="00185ED2">
      <w:pPr>
        <w:pStyle w:val="ListParagraph"/>
        <w:rPr>
          <w:sz w:val="24"/>
          <w:szCs w:val="24"/>
          <w:lang w:val="el-GR"/>
        </w:rPr>
      </w:pPr>
    </w:p>
    <w:p w14:paraId="51DF9159" w14:textId="5157231D" w:rsidR="00220066" w:rsidRPr="00AE6554" w:rsidRDefault="00D8077F" w:rsidP="00185ED2">
      <w:pPr>
        <w:widowControl w:val="0"/>
        <w:numPr>
          <w:ilvl w:val="0"/>
          <w:numId w:val="1"/>
        </w:numPr>
        <w:tabs>
          <w:tab w:val="left" w:pos="709"/>
        </w:tabs>
        <w:ind w:left="0" w:firstLine="0"/>
        <w:rPr>
          <w:rFonts w:cstheme="minorHAnsi"/>
          <w:b/>
          <w:bCs/>
          <w:sz w:val="24"/>
          <w:szCs w:val="24"/>
          <w:lang w:val="el-GR"/>
        </w:rPr>
      </w:pPr>
      <w:r>
        <w:rPr>
          <w:sz w:val="24"/>
          <w:szCs w:val="24"/>
          <w:lang w:val="el-GR"/>
        </w:rPr>
        <w:t>Εκτός</w:t>
      </w:r>
      <w:r w:rsidRPr="00D8077F">
        <w:rPr>
          <w:sz w:val="24"/>
          <w:szCs w:val="24"/>
          <w:lang w:val="el-GR"/>
        </w:rPr>
        <w:t xml:space="preserve"> </w:t>
      </w:r>
      <w:r>
        <w:rPr>
          <w:sz w:val="24"/>
          <w:szCs w:val="24"/>
          <w:lang w:val="el-GR"/>
        </w:rPr>
        <w:t>από</w:t>
      </w:r>
      <w:r w:rsidRPr="00D8077F">
        <w:rPr>
          <w:sz w:val="24"/>
          <w:szCs w:val="24"/>
          <w:lang w:val="el-GR"/>
        </w:rPr>
        <w:t xml:space="preserve"> </w:t>
      </w:r>
      <w:r>
        <w:rPr>
          <w:sz w:val="24"/>
          <w:szCs w:val="24"/>
          <w:lang w:val="el-GR"/>
        </w:rPr>
        <w:t>τα</w:t>
      </w:r>
      <w:r w:rsidRPr="00D8077F">
        <w:rPr>
          <w:sz w:val="24"/>
          <w:szCs w:val="24"/>
          <w:lang w:val="el-GR"/>
        </w:rPr>
        <w:t xml:space="preserve"> </w:t>
      </w:r>
      <w:r>
        <w:rPr>
          <w:sz w:val="24"/>
          <w:szCs w:val="24"/>
          <w:lang w:val="el-GR"/>
        </w:rPr>
        <w:t>πιο</w:t>
      </w:r>
      <w:r w:rsidRPr="00D8077F">
        <w:rPr>
          <w:sz w:val="24"/>
          <w:szCs w:val="24"/>
          <w:lang w:val="el-GR"/>
        </w:rPr>
        <w:t xml:space="preserve"> </w:t>
      </w:r>
      <w:r>
        <w:rPr>
          <w:sz w:val="24"/>
          <w:szCs w:val="24"/>
          <w:lang w:val="el-GR"/>
        </w:rPr>
        <w:t>πάνω</w:t>
      </w:r>
      <w:r w:rsidR="00220066" w:rsidRPr="00D8077F">
        <w:rPr>
          <w:sz w:val="24"/>
          <w:szCs w:val="24"/>
          <w:lang w:val="el-GR"/>
        </w:rPr>
        <w:t xml:space="preserve">, </w:t>
      </w:r>
      <w:r>
        <w:rPr>
          <w:sz w:val="24"/>
          <w:szCs w:val="24"/>
          <w:lang w:val="el-GR"/>
        </w:rPr>
        <w:t>δεν</w:t>
      </w:r>
      <w:r w:rsidRPr="00D8077F">
        <w:rPr>
          <w:sz w:val="24"/>
          <w:szCs w:val="24"/>
          <w:lang w:val="el-GR"/>
        </w:rPr>
        <w:t xml:space="preserve"> </w:t>
      </w:r>
      <w:r>
        <w:rPr>
          <w:sz w:val="24"/>
          <w:szCs w:val="24"/>
          <w:lang w:val="el-GR"/>
        </w:rPr>
        <w:t>υπάρχει</w:t>
      </w:r>
      <w:r w:rsidRPr="00D8077F">
        <w:rPr>
          <w:sz w:val="24"/>
          <w:szCs w:val="24"/>
          <w:lang w:val="el-GR"/>
        </w:rPr>
        <w:t xml:space="preserve"> </w:t>
      </w:r>
      <w:r>
        <w:rPr>
          <w:sz w:val="24"/>
          <w:szCs w:val="24"/>
          <w:lang w:val="el-GR"/>
        </w:rPr>
        <w:t>απόδειξη</w:t>
      </w:r>
      <w:r w:rsidRPr="00D8077F">
        <w:rPr>
          <w:sz w:val="24"/>
          <w:szCs w:val="24"/>
          <w:lang w:val="el-GR"/>
        </w:rPr>
        <w:t xml:space="preserve"> </w:t>
      </w:r>
      <w:r>
        <w:rPr>
          <w:sz w:val="24"/>
          <w:szCs w:val="24"/>
          <w:lang w:val="el-GR"/>
        </w:rPr>
        <w:t>ότι</w:t>
      </w:r>
      <w:r w:rsidRPr="00D8077F">
        <w:rPr>
          <w:sz w:val="24"/>
          <w:szCs w:val="24"/>
          <w:lang w:val="el-GR"/>
        </w:rPr>
        <w:t xml:space="preserve"> </w:t>
      </w:r>
      <w:r>
        <w:rPr>
          <w:sz w:val="24"/>
          <w:szCs w:val="24"/>
          <w:lang w:val="el-GR"/>
        </w:rPr>
        <w:t>υπάρχει</w:t>
      </w:r>
      <w:r w:rsidRPr="00D8077F">
        <w:rPr>
          <w:sz w:val="24"/>
          <w:szCs w:val="24"/>
          <w:lang w:val="el-GR"/>
        </w:rPr>
        <w:t xml:space="preserve"> </w:t>
      </w:r>
      <w:r>
        <w:rPr>
          <w:sz w:val="24"/>
          <w:szCs w:val="24"/>
          <w:lang w:val="el-GR"/>
        </w:rPr>
        <w:t>τακτική αξιολόγηση</w:t>
      </w:r>
      <w:r w:rsidR="00220066" w:rsidRPr="00D8077F">
        <w:rPr>
          <w:sz w:val="24"/>
          <w:szCs w:val="24"/>
          <w:lang w:val="el-GR"/>
        </w:rPr>
        <w:t xml:space="preserve"> </w:t>
      </w:r>
      <w:r>
        <w:rPr>
          <w:sz w:val="24"/>
          <w:szCs w:val="24"/>
          <w:lang w:val="el-GR"/>
        </w:rPr>
        <w:t>αστυνομικών</w:t>
      </w:r>
      <w:r w:rsidR="00220066" w:rsidRPr="00D8077F">
        <w:rPr>
          <w:sz w:val="24"/>
          <w:szCs w:val="24"/>
          <w:lang w:val="el-GR"/>
        </w:rPr>
        <w:t xml:space="preserve"> </w:t>
      </w:r>
      <w:r>
        <w:rPr>
          <w:sz w:val="24"/>
          <w:szCs w:val="24"/>
          <w:lang w:val="el-GR"/>
        </w:rPr>
        <w:t>κατά την διάρκεια των σταδιοδρομιών τους</w:t>
      </w:r>
      <w:r w:rsidR="00220066" w:rsidRPr="00D8077F">
        <w:rPr>
          <w:sz w:val="24"/>
          <w:szCs w:val="24"/>
          <w:lang w:val="el-GR"/>
        </w:rPr>
        <w:t xml:space="preserve">. </w:t>
      </w:r>
      <w:r>
        <w:rPr>
          <w:sz w:val="24"/>
          <w:szCs w:val="24"/>
          <w:lang w:val="el-GR"/>
        </w:rPr>
        <w:t>Χρειάζεται</w:t>
      </w:r>
      <w:r w:rsidRPr="00D8077F">
        <w:rPr>
          <w:sz w:val="24"/>
          <w:szCs w:val="24"/>
          <w:lang w:val="el-GR"/>
        </w:rPr>
        <w:t xml:space="preserve"> </w:t>
      </w:r>
      <w:r>
        <w:rPr>
          <w:sz w:val="24"/>
          <w:szCs w:val="24"/>
          <w:lang w:val="el-GR"/>
        </w:rPr>
        <w:t>να</w:t>
      </w:r>
      <w:r w:rsidRPr="00D8077F">
        <w:rPr>
          <w:sz w:val="24"/>
          <w:szCs w:val="24"/>
          <w:lang w:val="el-GR"/>
        </w:rPr>
        <w:t xml:space="preserve"> </w:t>
      </w:r>
      <w:r>
        <w:rPr>
          <w:sz w:val="24"/>
          <w:szCs w:val="24"/>
          <w:lang w:val="el-GR"/>
        </w:rPr>
        <w:t>αναπτυχθεί</w:t>
      </w:r>
      <w:r w:rsidRPr="00D8077F">
        <w:rPr>
          <w:sz w:val="24"/>
          <w:szCs w:val="24"/>
          <w:lang w:val="el-GR"/>
        </w:rPr>
        <w:t xml:space="preserve"> </w:t>
      </w:r>
      <w:r>
        <w:rPr>
          <w:sz w:val="24"/>
          <w:szCs w:val="24"/>
          <w:lang w:val="el-GR"/>
        </w:rPr>
        <w:t>μια</w:t>
      </w:r>
      <w:r w:rsidRPr="00D8077F">
        <w:rPr>
          <w:sz w:val="24"/>
          <w:szCs w:val="24"/>
          <w:lang w:val="el-GR"/>
        </w:rPr>
        <w:t xml:space="preserve"> </w:t>
      </w:r>
      <w:r>
        <w:rPr>
          <w:sz w:val="24"/>
          <w:szCs w:val="24"/>
          <w:lang w:val="el-GR"/>
        </w:rPr>
        <w:t>ολιστική</w:t>
      </w:r>
      <w:r w:rsidRPr="00D8077F">
        <w:rPr>
          <w:sz w:val="24"/>
          <w:szCs w:val="24"/>
          <w:lang w:val="el-GR"/>
        </w:rPr>
        <w:t xml:space="preserve"> </w:t>
      </w:r>
      <w:r>
        <w:rPr>
          <w:sz w:val="24"/>
          <w:szCs w:val="24"/>
          <w:lang w:val="el-GR"/>
        </w:rPr>
        <w:t>προσέγγιση</w:t>
      </w:r>
      <w:r w:rsidRPr="00D8077F">
        <w:rPr>
          <w:sz w:val="24"/>
          <w:szCs w:val="24"/>
          <w:lang w:val="el-GR"/>
        </w:rPr>
        <w:t xml:space="preserve"> </w:t>
      </w:r>
      <w:r>
        <w:rPr>
          <w:sz w:val="24"/>
          <w:szCs w:val="24"/>
          <w:lang w:val="el-GR"/>
        </w:rPr>
        <w:t>στον</w:t>
      </w:r>
      <w:r w:rsidRPr="00D8077F">
        <w:rPr>
          <w:sz w:val="24"/>
          <w:szCs w:val="24"/>
          <w:lang w:val="el-GR"/>
        </w:rPr>
        <w:t xml:space="preserve"> </w:t>
      </w:r>
      <w:r>
        <w:rPr>
          <w:sz w:val="24"/>
          <w:szCs w:val="24"/>
          <w:lang w:val="el-GR"/>
        </w:rPr>
        <w:t>τομέα</w:t>
      </w:r>
      <w:r w:rsidRPr="00D8077F">
        <w:rPr>
          <w:sz w:val="24"/>
          <w:szCs w:val="24"/>
          <w:lang w:val="el-GR"/>
        </w:rPr>
        <w:t xml:space="preserve"> </w:t>
      </w:r>
      <w:r>
        <w:rPr>
          <w:sz w:val="24"/>
          <w:szCs w:val="24"/>
          <w:lang w:val="el-GR"/>
        </w:rPr>
        <w:t>αυτό</w:t>
      </w:r>
      <w:r w:rsidR="00220066" w:rsidRPr="00D8077F">
        <w:rPr>
          <w:rFonts w:cstheme="minorHAnsi"/>
          <w:sz w:val="24"/>
          <w:szCs w:val="24"/>
          <w:lang w:val="el-GR"/>
        </w:rPr>
        <w:t xml:space="preserve">, </w:t>
      </w:r>
      <w:r>
        <w:rPr>
          <w:rFonts w:cstheme="minorHAnsi"/>
          <w:sz w:val="24"/>
          <w:szCs w:val="24"/>
          <w:lang w:val="el-GR"/>
        </w:rPr>
        <w:t>αρχίζοντας</w:t>
      </w:r>
      <w:r w:rsidRPr="00D8077F">
        <w:rPr>
          <w:rFonts w:cstheme="minorHAnsi"/>
          <w:sz w:val="24"/>
          <w:szCs w:val="24"/>
          <w:lang w:val="el-GR"/>
        </w:rPr>
        <w:t xml:space="preserve"> </w:t>
      </w:r>
      <w:r>
        <w:rPr>
          <w:rFonts w:cstheme="minorHAnsi"/>
          <w:sz w:val="24"/>
          <w:szCs w:val="24"/>
          <w:lang w:val="el-GR"/>
        </w:rPr>
        <w:t>με</w:t>
      </w:r>
      <w:r w:rsidRPr="00D8077F">
        <w:rPr>
          <w:rFonts w:cstheme="minorHAnsi"/>
          <w:sz w:val="24"/>
          <w:szCs w:val="24"/>
          <w:lang w:val="el-GR"/>
        </w:rPr>
        <w:t xml:space="preserve"> </w:t>
      </w:r>
      <w:r>
        <w:rPr>
          <w:rFonts w:cstheme="minorHAnsi"/>
          <w:sz w:val="24"/>
          <w:szCs w:val="24"/>
          <w:lang w:val="el-GR"/>
        </w:rPr>
        <w:t>λεπτομερή</w:t>
      </w:r>
      <w:r w:rsidRPr="00D8077F">
        <w:rPr>
          <w:rFonts w:cstheme="minorHAnsi"/>
          <w:sz w:val="24"/>
          <w:szCs w:val="24"/>
          <w:lang w:val="el-GR"/>
        </w:rPr>
        <w:t xml:space="preserve"> </w:t>
      </w:r>
      <w:r>
        <w:rPr>
          <w:rFonts w:cstheme="minorHAnsi"/>
          <w:sz w:val="24"/>
          <w:szCs w:val="24"/>
          <w:lang w:val="el-GR"/>
        </w:rPr>
        <w:t>ελέγχους</w:t>
      </w:r>
      <w:r w:rsidRPr="00D8077F">
        <w:rPr>
          <w:rFonts w:cstheme="minorHAnsi"/>
          <w:sz w:val="24"/>
          <w:szCs w:val="24"/>
          <w:lang w:val="el-GR"/>
        </w:rPr>
        <w:t xml:space="preserve"> </w:t>
      </w:r>
      <w:r>
        <w:rPr>
          <w:rFonts w:cstheme="minorHAnsi"/>
          <w:sz w:val="24"/>
          <w:szCs w:val="24"/>
          <w:lang w:val="el-GR"/>
        </w:rPr>
        <w:t>πριν</w:t>
      </w:r>
      <w:r w:rsidRPr="00D8077F">
        <w:rPr>
          <w:rFonts w:cstheme="minorHAnsi"/>
          <w:sz w:val="24"/>
          <w:szCs w:val="24"/>
          <w:lang w:val="el-GR"/>
        </w:rPr>
        <w:t xml:space="preserve"> </w:t>
      </w:r>
      <w:r>
        <w:rPr>
          <w:rFonts w:cstheme="minorHAnsi"/>
          <w:sz w:val="24"/>
          <w:szCs w:val="24"/>
          <w:lang w:val="el-GR"/>
        </w:rPr>
        <w:t>την</w:t>
      </w:r>
      <w:r w:rsidRPr="00D8077F">
        <w:rPr>
          <w:rFonts w:cstheme="minorHAnsi"/>
          <w:sz w:val="24"/>
          <w:szCs w:val="24"/>
          <w:lang w:val="el-GR"/>
        </w:rPr>
        <w:t xml:space="preserve"> </w:t>
      </w:r>
      <w:proofErr w:type="spellStart"/>
      <w:r>
        <w:rPr>
          <w:rFonts w:cstheme="minorHAnsi"/>
          <w:sz w:val="24"/>
          <w:szCs w:val="24"/>
          <w:lang w:val="el-GR"/>
        </w:rPr>
        <w:t>εργοδότηση</w:t>
      </w:r>
      <w:proofErr w:type="spellEnd"/>
      <w:r w:rsidR="00220066" w:rsidRPr="00D8077F">
        <w:rPr>
          <w:rFonts w:cstheme="minorHAnsi"/>
          <w:sz w:val="24"/>
          <w:szCs w:val="24"/>
          <w:lang w:val="el-GR"/>
        </w:rPr>
        <w:t xml:space="preserve">, </w:t>
      </w:r>
      <w:r>
        <w:rPr>
          <w:rFonts w:cstheme="minorHAnsi"/>
          <w:sz w:val="24"/>
          <w:szCs w:val="24"/>
          <w:lang w:val="el-GR"/>
        </w:rPr>
        <w:t>προβλέποντας</w:t>
      </w:r>
      <w:r w:rsidRPr="00D8077F">
        <w:rPr>
          <w:rFonts w:cstheme="minorHAnsi"/>
          <w:sz w:val="24"/>
          <w:szCs w:val="24"/>
          <w:lang w:val="el-GR"/>
        </w:rPr>
        <w:t xml:space="preserve"> </w:t>
      </w:r>
      <w:r>
        <w:rPr>
          <w:rFonts w:cstheme="minorHAnsi"/>
          <w:sz w:val="24"/>
          <w:szCs w:val="24"/>
          <w:lang w:val="el-GR"/>
        </w:rPr>
        <w:t>την</w:t>
      </w:r>
      <w:r w:rsidRPr="00D8077F">
        <w:rPr>
          <w:rFonts w:cstheme="minorHAnsi"/>
          <w:sz w:val="24"/>
          <w:szCs w:val="24"/>
          <w:lang w:val="el-GR"/>
        </w:rPr>
        <w:t xml:space="preserve"> </w:t>
      </w:r>
      <w:r>
        <w:rPr>
          <w:rFonts w:cstheme="minorHAnsi"/>
          <w:sz w:val="24"/>
          <w:szCs w:val="24"/>
          <w:lang w:val="el-GR"/>
        </w:rPr>
        <w:t>αξιολόγηση</w:t>
      </w:r>
      <w:r w:rsidRPr="00D8077F">
        <w:rPr>
          <w:rFonts w:cstheme="minorHAnsi"/>
          <w:sz w:val="24"/>
          <w:szCs w:val="24"/>
          <w:lang w:val="el-GR"/>
        </w:rPr>
        <w:t xml:space="preserve"> </w:t>
      </w:r>
      <w:r>
        <w:rPr>
          <w:rFonts w:cstheme="minorHAnsi"/>
          <w:sz w:val="24"/>
          <w:szCs w:val="24"/>
          <w:lang w:val="el-GR"/>
        </w:rPr>
        <w:t>σε</w:t>
      </w:r>
      <w:r w:rsidRPr="00D8077F">
        <w:rPr>
          <w:rFonts w:cstheme="minorHAnsi"/>
          <w:sz w:val="24"/>
          <w:szCs w:val="24"/>
          <w:lang w:val="el-GR"/>
        </w:rPr>
        <w:t xml:space="preserve"> </w:t>
      </w:r>
      <w:r>
        <w:rPr>
          <w:rFonts w:cstheme="minorHAnsi"/>
          <w:sz w:val="24"/>
          <w:szCs w:val="24"/>
          <w:lang w:val="el-GR"/>
        </w:rPr>
        <w:t>τακτά</w:t>
      </w:r>
      <w:r w:rsidRPr="00D8077F">
        <w:rPr>
          <w:rFonts w:cstheme="minorHAnsi"/>
          <w:sz w:val="24"/>
          <w:szCs w:val="24"/>
          <w:lang w:val="el-GR"/>
        </w:rPr>
        <w:t xml:space="preserve"> </w:t>
      </w:r>
      <w:r>
        <w:rPr>
          <w:rFonts w:cstheme="minorHAnsi"/>
          <w:sz w:val="24"/>
          <w:szCs w:val="24"/>
          <w:lang w:val="el-GR"/>
        </w:rPr>
        <w:t>χρονικά διαστήματα</w:t>
      </w:r>
      <w:r w:rsidR="00220066" w:rsidRPr="00D8077F">
        <w:rPr>
          <w:rFonts w:cstheme="minorHAnsi"/>
          <w:sz w:val="24"/>
          <w:szCs w:val="24"/>
          <w:lang w:val="el-GR"/>
        </w:rPr>
        <w:t xml:space="preserve"> </w:t>
      </w:r>
      <w:r>
        <w:rPr>
          <w:rFonts w:cstheme="minorHAnsi"/>
          <w:sz w:val="24"/>
          <w:szCs w:val="24"/>
          <w:lang w:val="el-GR"/>
        </w:rPr>
        <w:t>μετέπειτα</w:t>
      </w:r>
      <w:r w:rsidR="00220066" w:rsidRPr="00D8077F">
        <w:rPr>
          <w:rFonts w:cstheme="minorHAnsi"/>
          <w:sz w:val="24"/>
          <w:szCs w:val="24"/>
          <w:lang w:val="el-GR"/>
        </w:rPr>
        <w:t xml:space="preserve">, </w:t>
      </w:r>
      <w:r>
        <w:rPr>
          <w:rFonts w:cstheme="minorHAnsi"/>
          <w:sz w:val="24"/>
          <w:szCs w:val="24"/>
          <w:lang w:val="el-GR"/>
        </w:rPr>
        <w:t xml:space="preserve">και διαδικασίες </w:t>
      </w:r>
      <w:proofErr w:type="spellStart"/>
      <w:r>
        <w:rPr>
          <w:rFonts w:cstheme="minorHAnsi"/>
          <w:sz w:val="24"/>
          <w:szCs w:val="24"/>
          <w:lang w:val="el-GR"/>
        </w:rPr>
        <w:t>μόχλευσης</w:t>
      </w:r>
      <w:proofErr w:type="spellEnd"/>
      <w:r w:rsidR="00FD5FA8">
        <w:rPr>
          <w:rFonts w:cstheme="minorHAnsi"/>
          <w:sz w:val="24"/>
          <w:szCs w:val="24"/>
          <w:lang w:val="el-GR"/>
        </w:rPr>
        <w:t>,</w:t>
      </w:r>
      <w:r w:rsidR="00220066" w:rsidRPr="00D8077F">
        <w:rPr>
          <w:rFonts w:cstheme="minorHAnsi"/>
          <w:sz w:val="24"/>
          <w:szCs w:val="24"/>
          <w:lang w:val="el-GR"/>
        </w:rPr>
        <w:t xml:space="preserve"> </w:t>
      </w:r>
      <w:r>
        <w:rPr>
          <w:rFonts w:cstheme="minorHAnsi"/>
          <w:sz w:val="24"/>
          <w:szCs w:val="24"/>
          <w:lang w:val="el-GR"/>
        </w:rPr>
        <w:t>ανάλογες με τα καθήκοντα που κατέχονται</w:t>
      </w:r>
      <w:r w:rsidR="00220066" w:rsidRPr="00D8077F">
        <w:rPr>
          <w:rFonts w:cstheme="minorHAnsi"/>
          <w:sz w:val="24"/>
          <w:szCs w:val="24"/>
          <w:lang w:val="el-GR"/>
        </w:rPr>
        <w:t xml:space="preserve"> </w:t>
      </w:r>
      <w:r>
        <w:rPr>
          <w:rFonts w:cstheme="minorHAnsi"/>
          <w:sz w:val="24"/>
          <w:szCs w:val="24"/>
          <w:lang w:val="el-GR"/>
        </w:rPr>
        <w:t>και την ευαισθησία</w:t>
      </w:r>
      <w:r w:rsidRPr="00D8077F">
        <w:rPr>
          <w:rFonts w:cstheme="minorHAnsi"/>
          <w:sz w:val="24"/>
          <w:szCs w:val="24"/>
          <w:lang w:val="el-GR"/>
        </w:rPr>
        <w:t xml:space="preserve"> </w:t>
      </w:r>
      <w:r>
        <w:rPr>
          <w:rFonts w:cstheme="minorHAnsi"/>
          <w:sz w:val="24"/>
          <w:szCs w:val="24"/>
          <w:lang w:val="el-GR"/>
        </w:rPr>
        <w:t xml:space="preserve">των </w:t>
      </w:r>
      <w:r>
        <w:rPr>
          <w:rFonts w:cstheme="minorHAnsi"/>
          <w:sz w:val="24"/>
          <w:szCs w:val="24"/>
          <w:lang w:val="el-GR"/>
        </w:rPr>
        <w:lastRenderedPageBreak/>
        <w:t>πληροφοριών που χειρίζοντ</w:t>
      </w:r>
      <w:r w:rsidR="00FD5FA8">
        <w:rPr>
          <w:rFonts w:cstheme="minorHAnsi"/>
          <w:sz w:val="24"/>
          <w:szCs w:val="24"/>
          <w:lang w:val="el-GR"/>
        </w:rPr>
        <w:t>αι</w:t>
      </w:r>
      <w:r>
        <w:rPr>
          <w:rFonts w:cstheme="minorHAnsi"/>
          <w:sz w:val="24"/>
          <w:szCs w:val="24"/>
          <w:lang w:val="el-GR"/>
        </w:rPr>
        <w:t xml:space="preserve"> οι αρμόδιοι </w:t>
      </w:r>
      <w:r w:rsidR="002E5EC0">
        <w:rPr>
          <w:rFonts w:cstheme="minorHAnsi"/>
          <w:sz w:val="24"/>
          <w:szCs w:val="24"/>
          <w:lang w:val="el-GR"/>
        </w:rPr>
        <w:t>αξιωματικοί</w:t>
      </w:r>
      <w:r w:rsidR="00220066" w:rsidRPr="00D8077F">
        <w:rPr>
          <w:rFonts w:cstheme="minorHAnsi"/>
          <w:sz w:val="24"/>
          <w:szCs w:val="24"/>
          <w:lang w:val="el-GR"/>
        </w:rPr>
        <w:t xml:space="preserve">. </w:t>
      </w:r>
      <w:r>
        <w:rPr>
          <w:rFonts w:cstheme="minorHAnsi"/>
          <w:sz w:val="24"/>
          <w:szCs w:val="24"/>
          <w:lang w:val="el-GR"/>
        </w:rPr>
        <w:t>Η</w:t>
      </w:r>
      <w:r w:rsidR="00220066" w:rsidRPr="00D8077F">
        <w:rPr>
          <w:sz w:val="24"/>
          <w:szCs w:val="24"/>
          <w:lang w:val="el-GR"/>
        </w:rPr>
        <w:t xml:space="preserve"> </w:t>
      </w:r>
      <w:r w:rsidR="00220066" w:rsidRPr="004E251E">
        <w:rPr>
          <w:sz w:val="24"/>
          <w:szCs w:val="24"/>
        </w:rPr>
        <w:t>GET</w:t>
      </w:r>
      <w:r w:rsidR="00220066" w:rsidRPr="00D8077F">
        <w:rPr>
          <w:sz w:val="24"/>
          <w:szCs w:val="24"/>
          <w:lang w:val="el-GR"/>
        </w:rPr>
        <w:t xml:space="preserve"> </w:t>
      </w:r>
      <w:r>
        <w:rPr>
          <w:sz w:val="24"/>
          <w:szCs w:val="24"/>
          <w:lang w:val="el-GR"/>
        </w:rPr>
        <w:t>επισύρει</w:t>
      </w:r>
      <w:r w:rsidRPr="00D8077F">
        <w:rPr>
          <w:sz w:val="24"/>
          <w:szCs w:val="24"/>
          <w:lang w:val="el-GR"/>
        </w:rPr>
        <w:t xml:space="preserve"> </w:t>
      </w:r>
      <w:r>
        <w:rPr>
          <w:sz w:val="24"/>
          <w:szCs w:val="24"/>
          <w:lang w:val="el-GR"/>
        </w:rPr>
        <w:t>την</w:t>
      </w:r>
      <w:r w:rsidRPr="00D8077F">
        <w:rPr>
          <w:sz w:val="24"/>
          <w:szCs w:val="24"/>
          <w:lang w:val="el-GR"/>
        </w:rPr>
        <w:t xml:space="preserve"> </w:t>
      </w:r>
      <w:r>
        <w:rPr>
          <w:sz w:val="24"/>
          <w:szCs w:val="24"/>
          <w:lang w:val="el-GR"/>
        </w:rPr>
        <w:t>προσοχή</w:t>
      </w:r>
      <w:r w:rsidRPr="00D8077F">
        <w:rPr>
          <w:sz w:val="24"/>
          <w:szCs w:val="24"/>
          <w:lang w:val="el-GR"/>
        </w:rPr>
        <w:t xml:space="preserve"> </w:t>
      </w:r>
      <w:r>
        <w:rPr>
          <w:sz w:val="24"/>
          <w:szCs w:val="24"/>
          <w:lang w:val="el-GR"/>
        </w:rPr>
        <w:t>των</w:t>
      </w:r>
      <w:r w:rsidRPr="00D8077F">
        <w:rPr>
          <w:sz w:val="24"/>
          <w:szCs w:val="24"/>
          <w:lang w:val="el-GR"/>
        </w:rPr>
        <w:t xml:space="preserve"> </w:t>
      </w:r>
      <w:r>
        <w:rPr>
          <w:sz w:val="24"/>
          <w:szCs w:val="24"/>
          <w:lang w:val="el-GR"/>
        </w:rPr>
        <w:t>αρχών</w:t>
      </w:r>
      <w:r w:rsidR="00220066" w:rsidRPr="00D8077F">
        <w:rPr>
          <w:sz w:val="24"/>
          <w:szCs w:val="24"/>
          <w:lang w:val="el-GR"/>
        </w:rPr>
        <w:t xml:space="preserve"> </w:t>
      </w:r>
      <w:r>
        <w:rPr>
          <w:sz w:val="24"/>
          <w:szCs w:val="24"/>
          <w:lang w:val="el-GR"/>
        </w:rPr>
        <w:t>στην</w:t>
      </w:r>
      <w:r w:rsidRPr="00D8077F">
        <w:rPr>
          <w:sz w:val="24"/>
          <w:szCs w:val="24"/>
          <w:lang w:val="el-GR"/>
        </w:rPr>
        <w:t xml:space="preserve"> </w:t>
      </w:r>
      <w:r>
        <w:rPr>
          <w:sz w:val="24"/>
          <w:szCs w:val="24"/>
          <w:lang w:val="el-GR"/>
        </w:rPr>
        <w:t>εμπειρία</w:t>
      </w:r>
      <w:r w:rsidRPr="00D8077F">
        <w:rPr>
          <w:sz w:val="24"/>
          <w:szCs w:val="24"/>
          <w:lang w:val="el-GR"/>
        </w:rPr>
        <w:t xml:space="preserve"> </w:t>
      </w:r>
      <w:r>
        <w:rPr>
          <w:sz w:val="24"/>
          <w:szCs w:val="24"/>
          <w:lang w:val="el-GR"/>
        </w:rPr>
        <w:t>που</w:t>
      </w:r>
      <w:r w:rsidRPr="00D8077F">
        <w:rPr>
          <w:sz w:val="24"/>
          <w:szCs w:val="24"/>
          <w:lang w:val="el-GR"/>
        </w:rPr>
        <w:t xml:space="preserve"> </w:t>
      </w:r>
      <w:r>
        <w:rPr>
          <w:sz w:val="24"/>
          <w:szCs w:val="24"/>
          <w:lang w:val="el-GR"/>
        </w:rPr>
        <w:t>έχει</w:t>
      </w:r>
      <w:r w:rsidRPr="00D8077F">
        <w:rPr>
          <w:sz w:val="24"/>
          <w:szCs w:val="24"/>
          <w:lang w:val="el-GR"/>
        </w:rPr>
        <w:t xml:space="preserve"> </w:t>
      </w:r>
      <w:r>
        <w:rPr>
          <w:sz w:val="24"/>
          <w:szCs w:val="24"/>
          <w:lang w:val="el-GR"/>
        </w:rPr>
        <w:t>ήδη</w:t>
      </w:r>
      <w:r w:rsidRPr="00D8077F">
        <w:rPr>
          <w:sz w:val="24"/>
          <w:szCs w:val="24"/>
          <w:lang w:val="el-GR"/>
        </w:rPr>
        <w:t xml:space="preserve"> </w:t>
      </w:r>
      <w:r>
        <w:rPr>
          <w:sz w:val="24"/>
          <w:szCs w:val="24"/>
          <w:lang w:val="el-GR"/>
        </w:rPr>
        <w:t>αναπτυχθεί</w:t>
      </w:r>
      <w:r w:rsidRPr="00D8077F">
        <w:rPr>
          <w:sz w:val="24"/>
          <w:szCs w:val="24"/>
          <w:lang w:val="el-GR"/>
        </w:rPr>
        <w:t xml:space="preserve"> </w:t>
      </w:r>
      <w:r>
        <w:rPr>
          <w:sz w:val="24"/>
          <w:szCs w:val="24"/>
          <w:lang w:val="el-GR"/>
        </w:rPr>
        <w:t>σε</w:t>
      </w:r>
      <w:r w:rsidRPr="00D8077F">
        <w:rPr>
          <w:sz w:val="24"/>
          <w:szCs w:val="24"/>
          <w:lang w:val="el-GR"/>
        </w:rPr>
        <w:t xml:space="preserve"> </w:t>
      </w:r>
      <w:r>
        <w:rPr>
          <w:sz w:val="24"/>
          <w:szCs w:val="24"/>
          <w:lang w:val="el-GR"/>
        </w:rPr>
        <w:t>ορισμένες</w:t>
      </w:r>
      <w:r w:rsidRPr="00D8077F">
        <w:rPr>
          <w:sz w:val="24"/>
          <w:szCs w:val="24"/>
          <w:lang w:val="el-GR"/>
        </w:rPr>
        <w:t xml:space="preserve"> </w:t>
      </w:r>
      <w:r>
        <w:rPr>
          <w:sz w:val="24"/>
          <w:szCs w:val="24"/>
          <w:lang w:val="el-GR"/>
        </w:rPr>
        <w:t>άλλες</w:t>
      </w:r>
      <w:r w:rsidRPr="00D8077F">
        <w:rPr>
          <w:sz w:val="24"/>
          <w:szCs w:val="24"/>
          <w:lang w:val="el-GR"/>
        </w:rPr>
        <w:t xml:space="preserve"> </w:t>
      </w:r>
      <w:r>
        <w:rPr>
          <w:sz w:val="24"/>
          <w:szCs w:val="24"/>
          <w:lang w:val="el-GR"/>
        </w:rPr>
        <w:t>χώρες</w:t>
      </w:r>
      <w:r w:rsidR="00220066" w:rsidRPr="00D8077F">
        <w:rPr>
          <w:sz w:val="24"/>
          <w:szCs w:val="24"/>
          <w:lang w:val="el-GR"/>
        </w:rPr>
        <w:t xml:space="preserve"> </w:t>
      </w:r>
      <w:r>
        <w:rPr>
          <w:sz w:val="24"/>
          <w:szCs w:val="24"/>
          <w:lang w:val="el-GR"/>
        </w:rPr>
        <w:t>αναφορικά</w:t>
      </w:r>
      <w:r w:rsidRPr="00D8077F">
        <w:rPr>
          <w:sz w:val="24"/>
          <w:szCs w:val="24"/>
          <w:lang w:val="el-GR"/>
        </w:rPr>
        <w:t xml:space="preserve"> </w:t>
      </w:r>
      <w:r>
        <w:rPr>
          <w:sz w:val="24"/>
          <w:szCs w:val="24"/>
          <w:lang w:val="el-GR"/>
        </w:rPr>
        <w:t>με</w:t>
      </w:r>
      <w:r w:rsidRPr="00D8077F">
        <w:rPr>
          <w:sz w:val="24"/>
          <w:szCs w:val="24"/>
          <w:lang w:val="el-GR"/>
        </w:rPr>
        <w:t xml:space="preserve"> </w:t>
      </w:r>
      <w:r>
        <w:rPr>
          <w:sz w:val="24"/>
          <w:szCs w:val="24"/>
          <w:lang w:val="el-GR"/>
        </w:rPr>
        <w:t>την</w:t>
      </w:r>
      <w:r w:rsidRPr="00D8077F">
        <w:rPr>
          <w:sz w:val="24"/>
          <w:szCs w:val="24"/>
          <w:lang w:val="el-GR"/>
        </w:rPr>
        <w:t xml:space="preserve"> </w:t>
      </w:r>
      <w:r>
        <w:rPr>
          <w:sz w:val="24"/>
          <w:szCs w:val="24"/>
          <w:lang w:val="el-GR"/>
        </w:rPr>
        <w:t>αξιολόγηση</w:t>
      </w:r>
      <w:r w:rsidRPr="00D8077F">
        <w:rPr>
          <w:sz w:val="24"/>
          <w:szCs w:val="24"/>
          <w:lang w:val="el-GR"/>
        </w:rPr>
        <w:t xml:space="preserve"> </w:t>
      </w:r>
      <w:r>
        <w:rPr>
          <w:sz w:val="24"/>
          <w:szCs w:val="24"/>
          <w:lang w:val="el-GR"/>
        </w:rPr>
        <w:t>και</w:t>
      </w:r>
      <w:r w:rsidRPr="00D8077F">
        <w:rPr>
          <w:sz w:val="24"/>
          <w:szCs w:val="24"/>
          <w:lang w:val="el-GR"/>
        </w:rPr>
        <w:t xml:space="preserve"> </w:t>
      </w:r>
      <w:r>
        <w:rPr>
          <w:sz w:val="24"/>
          <w:szCs w:val="24"/>
          <w:lang w:val="el-GR"/>
        </w:rPr>
        <w:t>την</w:t>
      </w:r>
      <w:r w:rsidRPr="00D8077F">
        <w:rPr>
          <w:sz w:val="24"/>
          <w:szCs w:val="24"/>
          <w:lang w:val="el-GR"/>
        </w:rPr>
        <w:t xml:space="preserve"> </w:t>
      </w:r>
      <w:r>
        <w:rPr>
          <w:sz w:val="24"/>
          <w:szCs w:val="24"/>
          <w:lang w:val="el-GR"/>
        </w:rPr>
        <w:t>επαναξιολόγηση</w:t>
      </w:r>
      <w:r w:rsidRPr="00D8077F">
        <w:rPr>
          <w:sz w:val="24"/>
          <w:szCs w:val="24"/>
          <w:lang w:val="el-GR"/>
        </w:rPr>
        <w:t xml:space="preserve"> </w:t>
      </w:r>
      <w:r w:rsidR="00FD5FA8">
        <w:rPr>
          <w:sz w:val="24"/>
          <w:szCs w:val="24"/>
          <w:lang w:val="el-GR"/>
        </w:rPr>
        <w:t xml:space="preserve">της </w:t>
      </w:r>
      <w:r>
        <w:rPr>
          <w:sz w:val="24"/>
          <w:szCs w:val="24"/>
          <w:lang w:val="el-GR"/>
        </w:rPr>
        <w:t>πρόσληψης</w:t>
      </w:r>
      <w:r w:rsidR="00220066" w:rsidRPr="00D8077F">
        <w:rPr>
          <w:sz w:val="24"/>
          <w:szCs w:val="24"/>
          <w:lang w:val="el-GR"/>
        </w:rPr>
        <w:t xml:space="preserve">, </w:t>
      </w:r>
      <w:r>
        <w:rPr>
          <w:sz w:val="24"/>
          <w:szCs w:val="24"/>
          <w:lang w:val="el-GR"/>
        </w:rPr>
        <w:t>που αποτελείται από ελέγχους</w:t>
      </w:r>
      <w:r w:rsidR="00220066" w:rsidRPr="00D8077F">
        <w:rPr>
          <w:sz w:val="24"/>
          <w:szCs w:val="24"/>
          <w:lang w:val="el-GR"/>
        </w:rPr>
        <w:t xml:space="preserve"> </w:t>
      </w:r>
      <w:r>
        <w:rPr>
          <w:sz w:val="24"/>
          <w:szCs w:val="24"/>
          <w:lang w:val="el-GR"/>
        </w:rPr>
        <w:t>για προηγούμενες ποινικές καταδίκες</w:t>
      </w:r>
      <w:r w:rsidR="00220066" w:rsidRPr="00D8077F">
        <w:rPr>
          <w:sz w:val="24"/>
          <w:szCs w:val="24"/>
          <w:lang w:val="el-GR"/>
        </w:rPr>
        <w:t xml:space="preserve">, </w:t>
      </w:r>
      <w:r>
        <w:rPr>
          <w:sz w:val="24"/>
          <w:szCs w:val="24"/>
          <w:lang w:val="el-GR"/>
        </w:rPr>
        <w:t>όπως επίσης και ελέγχους ιστορικού</w:t>
      </w:r>
      <w:r w:rsidR="00220066" w:rsidRPr="00D8077F">
        <w:rPr>
          <w:sz w:val="24"/>
          <w:szCs w:val="24"/>
          <w:lang w:val="el-GR"/>
        </w:rPr>
        <w:t xml:space="preserve">, </w:t>
      </w:r>
      <w:r>
        <w:rPr>
          <w:sz w:val="24"/>
          <w:szCs w:val="24"/>
          <w:lang w:val="el-GR"/>
        </w:rPr>
        <w:t>παρακολούθηση οικονομικών συμφερόντων</w:t>
      </w:r>
      <w:r w:rsidR="00220066" w:rsidRPr="00D8077F">
        <w:rPr>
          <w:sz w:val="24"/>
          <w:szCs w:val="24"/>
          <w:lang w:val="el-GR"/>
        </w:rPr>
        <w:t xml:space="preserve">, </w:t>
      </w:r>
      <w:r w:rsidR="00462434">
        <w:rPr>
          <w:sz w:val="24"/>
          <w:szCs w:val="24"/>
          <w:lang w:val="el-GR"/>
        </w:rPr>
        <w:t>ελέγχους οικογένειας/συγγενών</w:t>
      </w:r>
      <w:r w:rsidR="00220066" w:rsidRPr="00D8077F">
        <w:rPr>
          <w:sz w:val="24"/>
          <w:szCs w:val="24"/>
          <w:lang w:val="el-GR"/>
        </w:rPr>
        <w:t>/</w:t>
      </w:r>
      <w:r w:rsidR="00462434">
        <w:rPr>
          <w:sz w:val="24"/>
          <w:szCs w:val="24"/>
          <w:lang w:val="el-GR"/>
        </w:rPr>
        <w:t>στενών συνεργατών</w:t>
      </w:r>
      <w:r w:rsidR="00220066" w:rsidRPr="00D8077F">
        <w:rPr>
          <w:sz w:val="24"/>
          <w:szCs w:val="24"/>
          <w:lang w:val="el-GR"/>
        </w:rPr>
        <w:t xml:space="preserve">, </w:t>
      </w:r>
      <w:r w:rsidR="00462434">
        <w:rPr>
          <w:sz w:val="24"/>
          <w:szCs w:val="24"/>
          <w:lang w:val="el-GR"/>
        </w:rPr>
        <w:t>πιθανών συγκρούσεων συμφερόντων</w:t>
      </w:r>
      <w:r w:rsidR="00220066" w:rsidRPr="00D8077F">
        <w:rPr>
          <w:sz w:val="24"/>
          <w:szCs w:val="24"/>
          <w:lang w:val="el-GR"/>
        </w:rPr>
        <w:t xml:space="preserve">, </w:t>
      </w:r>
      <w:r w:rsidR="00462434">
        <w:rPr>
          <w:sz w:val="24"/>
          <w:szCs w:val="24"/>
          <w:lang w:val="el-GR"/>
        </w:rPr>
        <w:t>κλπ</w:t>
      </w:r>
      <w:r w:rsidR="00220066" w:rsidRPr="00D8077F">
        <w:rPr>
          <w:sz w:val="24"/>
          <w:szCs w:val="24"/>
          <w:lang w:val="el-GR"/>
        </w:rPr>
        <w:t xml:space="preserve">. </w:t>
      </w:r>
      <w:r w:rsidR="00AE6554">
        <w:rPr>
          <w:sz w:val="24"/>
          <w:szCs w:val="24"/>
          <w:lang w:val="el-GR"/>
        </w:rPr>
        <w:t>Αν</w:t>
      </w:r>
      <w:r w:rsidR="00AE6554" w:rsidRPr="00AE6554">
        <w:rPr>
          <w:sz w:val="24"/>
          <w:szCs w:val="24"/>
          <w:lang w:val="el-GR"/>
        </w:rPr>
        <w:t xml:space="preserve"> </w:t>
      </w:r>
      <w:r w:rsidR="00AE6554">
        <w:rPr>
          <w:sz w:val="24"/>
          <w:szCs w:val="24"/>
          <w:lang w:val="el-GR"/>
        </w:rPr>
        <w:t>δεν</w:t>
      </w:r>
      <w:r w:rsidR="00AE6554" w:rsidRPr="00AE6554">
        <w:rPr>
          <w:sz w:val="24"/>
          <w:szCs w:val="24"/>
          <w:lang w:val="el-GR"/>
        </w:rPr>
        <w:t xml:space="preserve"> </w:t>
      </w:r>
      <w:r w:rsidR="00AE6554">
        <w:rPr>
          <w:sz w:val="24"/>
          <w:szCs w:val="24"/>
          <w:lang w:val="el-GR"/>
        </w:rPr>
        <w:t>υπάρχει</w:t>
      </w:r>
      <w:r w:rsidR="00AE6554" w:rsidRPr="00AE6554">
        <w:rPr>
          <w:sz w:val="24"/>
          <w:szCs w:val="24"/>
          <w:lang w:val="el-GR"/>
        </w:rPr>
        <w:t xml:space="preserve"> </w:t>
      </w:r>
      <w:r w:rsidR="00AE6554">
        <w:rPr>
          <w:sz w:val="24"/>
          <w:szCs w:val="24"/>
          <w:lang w:val="el-GR"/>
        </w:rPr>
        <w:t>διαδικασία</w:t>
      </w:r>
      <w:r w:rsidR="00AE6554" w:rsidRPr="00AE6554">
        <w:rPr>
          <w:sz w:val="24"/>
          <w:szCs w:val="24"/>
          <w:lang w:val="el-GR"/>
        </w:rPr>
        <w:t xml:space="preserve"> </w:t>
      </w:r>
      <w:r w:rsidR="00AE6554">
        <w:rPr>
          <w:sz w:val="24"/>
          <w:szCs w:val="24"/>
          <w:lang w:val="el-GR"/>
        </w:rPr>
        <w:t>για</w:t>
      </w:r>
      <w:r w:rsidR="00AE6554" w:rsidRPr="00AE6554">
        <w:rPr>
          <w:sz w:val="24"/>
          <w:szCs w:val="24"/>
          <w:lang w:val="el-GR"/>
        </w:rPr>
        <w:t xml:space="preserve"> </w:t>
      </w:r>
      <w:r w:rsidR="00AE6554">
        <w:rPr>
          <w:sz w:val="24"/>
          <w:szCs w:val="24"/>
          <w:lang w:val="el-GR"/>
        </w:rPr>
        <w:t>τον</w:t>
      </w:r>
      <w:r w:rsidR="00AE6554" w:rsidRPr="00AE6554">
        <w:rPr>
          <w:sz w:val="24"/>
          <w:szCs w:val="24"/>
          <w:lang w:val="el-GR"/>
        </w:rPr>
        <w:t xml:space="preserve"> </w:t>
      </w:r>
      <w:r w:rsidR="00AE6554">
        <w:rPr>
          <w:sz w:val="24"/>
          <w:szCs w:val="24"/>
          <w:lang w:val="el-GR"/>
        </w:rPr>
        <w:t>έλεγχο</w:t>
      </w:r>
      <w:r w:rsidR="00AE6554" w:rsidRPr="00AE6554">
        <w:rPr>
          <w:sz w:val="24"/>
          <w:szCs w:val="24"/>
          <w:lang w:val="el-GR"/>
        </w:rPr>
        <w:t xml:space="preserve"> </w:t>
      </w:r>
      <w:r w:rsidR="00AE6554">
        <w:rPr>
          <w:sz w:val="24"/>
          <w:szCs w:val="24"/>
          <w:lang w:val="el-GR"/>
        </w:rPr>
        <w:t>τέτοιων</w:t>
      </w:r>
      <w:r w:rsidR="00AE6554" w:rsidRPr="00AE6554">
        <w:rPr>
          <w:sz w:val="24"/>
          <w:szCs w:val="24"/>
          <w:lang w:val="el-GR"/>
        </w:rPr>
        <w:t xml:space="preserve"> </w:t>
      </w:r>
      <w:r w:rsidR="00AE6554">
        <w:rPr>
          <w:sz w:val="24"/>
          <w:szCs w:val="24"/>
          <w:lang w:val="el-GR"/>
        </w:rPr>
        <w:t>θεμάτων</w:t>
      </w:r>
      <w:r w:rsidR="00220066" w:rsidRPr="00AE6554">
        <w:rPr>
          <w:sz w:val="24"/>
          <w:szCs w:val="24"/>
          <w:lang w:val="el-GR"/>
        </w:rPr>
        <w:t xml:space="preserve">, </w:t>
      </w:r>
      <w:r w:rsidR="00AE6554">
        <w:rPr>
          <w:sz w:val="24"/>
          <w:szCs w:val="24"/>
          <w:lang w:val="el-GR"/>
        </w:rPr>
        <w:t>οι</w:t>
      </w:r>
      <w:r w:rsidR="00AE6554" w:rsidRPr="00AE6554">
        <w:rPr>
          <w:sz w:val="24"/>
          <w:szCs w:val="24"/>
          <w:lang w:val="el-GR"/>
        </w:rPr>
        <w:t xml:space="preserve"> </w:t>
      </w:r>
      <w:r w:rsidR="00AE6554">
        <w:rPr>
          <w:sz w:val="24"/>
          <w:szCs w:val="24"/>
          <w:lang w:val="el-GR"/>
        </w:rPr>
        <w:t>ανησυχίες για αξιολόγηση από υφιστάμενους αξιωματούχους</w:t>
      </w:r>
      <w:r w:rsidR="00220066" w:rsidRPr="00AE6554">
        <w:rPr>
          <w:sz w:val="24"/>
          <w:szCs w:val="24"/>
          <w:lang w:val="el-GR"/>
        </w:rPr>
        <w:t xml:space="preserve"> </w:t>
      </w:r>
      <w:r w:rsidR="00AE6554">
        <w:rPr>
          <w:sz w:val="24"/>
          <w:szCs w:val="24"/>
          <w:lang w:val="el-GR"/>
        </w:rPr>
        <w:t>μπορούν να αποτελέσουν</w:t>
      </w:r>
      <w:r w:rsidR="00220066" w:rsidRPr="00AE6554">
        <w:rPr>
          <w:sz w:val="24"/>
          <w:szCs w:val="24"/>
          <w:lang w:val="el-GR"/>
        </w:rPr>
        <w:t xml:space="preserve"> </w:t>
      </w:r>
      <w:r w:rsidR="00AE6554">
        <w:rPr>
          <w:sz w:val="24"/>
          <w:szCs w:val="24"/>
          <w:lang w:val="el-GR"/>
        </w:rPr>
        <w:t>τρωτά σημεία για την δύναμη</w:t>
      </w:r>
      <w:r w:rsidR="00220066" w:rsidRPr="00AE6554">
        <w:rPr>
          <w:sz w:val="24"/>
          <w:szCs w:val="24"/>
          <w:lang w:val="el-GR"/>
        </w:rPr>
        <w:t>.</w:t>
      </w:r>
      <w:r w:rsidR="00220066" w:rsidRPr="00AE6554">
        <w:rPr>
          <w:b/>
          <w:sz w:val="24"/>
          <w:szCs w:val="24"/>
          <w:lang w:val="el-GR"/>
        </w:rPr>
        <w:t xml:space="preserve"> </w:t>
      </w:r>
      <w:r w:rsidR="00AE6554" w:rsidRPr="00AE6554">
        <w:rPr>
          <w:b/>
          <w:sz w:val="24"/>
          <w:szCs w:val="24"/>
          <w:lang w:val="el-GR"/>
        </w:rPr>
        <w:t xml:space="preserve">Η </w:t>
      </w:r>
      <w:r w:rsidR="00220066" w:rsidRPr="004E251E">
        <w:rPr>
          <w:rFonts w:cstheme="minorHAnsi"/>
          <w:b/>
          <w:bCs/>
          <w:sz w:val="24"/>
          <w:szCs w:val="24"/>
        </w:rPr>
        <w:t>GRECO</w:t>
      </w:r>
      <w:r w:rsidR="00220066" w:rsidRPr="00AE6554">
        <w:rPr>
          <w:rFonts w:cstheme="minorHAnsi"/>
          <w:b/>
          <w:bCs/>
          <w:sz w:val="24"/>
          <w:szCs w:val="24"/>
          <w:lang w:val="el-GR"/>
        </w:rPr>
        <w:t xml:space="preserve"> </w:t>
      </w:r>
      <w:r w:rsidR="00AE6554">
        <w:rPr>
          <w:rFonts w:cstheme="minorHAnsi"/>
          <w:b/>
          <w:bCs/>
          <w:sz w:val="24"/>
          <w:szCs w:val="24"/>
          <w:lang w:val="el-GR"/>
        </w:rPr>
        <w:t>συνιστά</w:t>
      </w:r>
      <w:r w:rsidR="00AE6554" w:rsidRPr="00AE6554">
        <w:rPr>
          <w:rFonts w:cstheme="minorHAnsi"/>
          <w:b/>
          <w:bCs/>
          <w:sz w:val="24"/>
          <w:szCs w:val="24"/>
          <w:lang w:val="el-GR"/>
        </w:rPr>
        <w:t xml:space="preserve"> </w:t>
      </w:r>
      <w:r w:rsidR="00162C83" w:rsidRPr="007877A4">
        <w:rPr>
          <w:rFonts w:cstheme="minorHAnsi"/>
          <w:b/>
          <w:bCs/>
          <w:sz w:val="24"/>
          <w:szCs w:val="24"/>
          <w:lang w:val="el-GR"/>
        </w:rPr>
        <w:t xml:space="preserve">ανάπτυξη μιας πολιτικής ελέγχου και τακτικής </w:t>
      </w:r>
      <w:r w:rsidR="00162C83">
        <w:rPr>
          <w:rFonts w:cstheme="minorHAnsi"/>
          <w:b/>
          <w:bCs/>
          <w:sz w:val="24"/>
          <w:szCs w:val="24"/>
          <w:lang w:val="el-GR"/>
        </w:rPr>
        <w:t>επαναξιολόγησης,</w:t>
      </w:r>
      <w:r w:rsidR="00162C83" w:rsidRPr="007877A4">
        <w:rPr>
          <w:rFonts w:cstheme="minorHAnsi"/>
          <w:b/>
          <w:bCs/>
          <w:sz w:val="24"/>
          <w:szCs w:val="24"/>
          <w:lang w:val="el-GR"/>
        </w:rPr>
        <w:t xml:space="preserve"> σε επίπεδο οργανισμού εντός της </w:t>
      </w:r>
      <w:r w:rsidR="00162C83">
        <w:rPr>
          <w:rFonts w:cstheme="minorHAnsi"/>
          <w:b/>
          <w:bCs/>
          <w:sz w:val="24"/>
          <w:szCs w:val="24"/>
          <w:lang w:val="el-GR"/>
        </w:rPr>
        <w:t>Α</w:t>
      </w:r>
      <w:r w:rsidR="00162C83" w:rsidRPr="007877A4">
        <w:rPr>
          <w:rFonts w:cstheme="minorHAnsi"/>
          <w:b/>
          <w:bCs/>
          <w:sz w:val="24"/>
          <w:szCs w:val="24"/>
          <w:lang w:val="el-GR"/>
        </w:rPr>
        <w:t>στυνομ</w:t>
      </w:r>
      <w:r w:rsidR="00162C83">
        <w:rPr>
          <w:rFonts w:cstheme="minorHAnsi"/>
          <w:b/>
          <w:bCs/>
          <w:sz w:val="24"/>
          <w:szCs w:val="24"/>
          <w:lang w:val="el-GR"/>
        </w:rPr>
        <w:t>ίας</w:t>
      </w:r>
      <w:r w:rsidR="00162C83" w:rsidRPr="007877A4">
        <w:rPr>
          <w:rFonts w:cstheme="minorHAnsi"/>
          <w:b/>
          <w:bCs/>
          <w:sz w:val="24"/>
          <w:szCs w:val="24"/>
          <w:lang w:val="el-GR"/>
        </w:rPr>
        <w:t xml:space="preserve"> και διασφάλιση επαρκών διαδικασιών για τη συνεχή παρακολούθηση των </w:t>
      </w:r>
      <w:r w:rsidR="00162C83">
        <w:rPr>
          <w:rFonts w:cstheme="minorHAnsi"/>
          <w:b/>
          <w:bCs/>
          <w:sz w:val="24"/>
          <w:szCs w:val="24"/>
          <w:lang w:val="el-GR"/>
        </w:rPr>
        <w:t xml:space="preserve">τρωτών σημείων των </w:t>
      </w:r>
      <w:r w:rsidR="00162C83" w:rsidRPr="007877A4">
        <w:rPr>
          <w:rFonts w:cstheme="minorHAnsi"/>
          <w:b/>
          <w:bCs/>
          <w:sz w:val="24"/>
          <w:szCs w:val="24"/>
          <w:lang w:val="el-GR"/>
        </w:rPr>
        <w:t>εργαζομένων</w:t>
      </w:r>
      <w:r w:rsidR="00220066" w:rsidRPr="00AE6554">
        <w:rPr>
          <w:rFonts w:cstheme="minorHAnsi"/>
          <w:b/>
          <w:bCs/>
          <w:sz w:val="24"/>
          <w:szCs w:val="24"/>
          <w:lang w:val="el-GR"/>
        </w:rPr>
        <w:t xml:space="preserve">. </w:t>
      </w:r>
    </w:p>
    <w:p w14:paraId="08D7F53A" w14:textId="77777777" w:rsidR="00220066" w:rsidRPr="00AE6554" w:rsidRDefault="00220066" w:rsidP="00220066">
      <w:pPr>
        <w:widowControl w:val="0"/>
        <w:tabs>
          <w:tab w:val="left" w:pos="709"/>
        </w:tabs>
        <w:rPr>
          <w:rFonts w:cstheme="minorHAnsi"/>
          <w:sz w:val="24"/>
          <w:szCs w:val="24"/>
          <w:lang w:val="el-GR"/>
        </w:rPr>
      </w:pPr>
    </w:p>
    <w:p w14:paraId="5FE76924" w14:textId="16EAF285" w:rsidR="00220066" w:rsidRPr="00AE6554" w:rsidRDefault="00AE6554" w:rsidP="00220066">
      <w:pPr>
        <w:widowControl w:val="0"/>
        <w:numPr>
          <w:ilvl w:val="0"/>
          <w:numId w:val="1"/>
        </w:numPr>
        <w:tabs>
          <w:tab w:val="left" w:pos="709"/>
        </w:tabs>
        <w:ind w:left="0" w:firstLine="0"/>
        <w:rPr>
          <w:rFonts w:cstheme="minorHAnsi"/>
          <w:sz w:val="24"/>
          <w:szCs w:val="24"/>
          <w:lang w:val="el-GR"/>
        </w:rPr>
      </w:pPr>
      <w:r>
        <w:rPr>
          <w:rFonts w:cstheme="minorHAnsi"/>
          <w:sz w:val="24"/>
          <w:szCs w:val="24"/>
          <w:lang w:val="el-GR"/>
        </w:rPr>
        <w:t>Η</w:t>
      </w:r>
      <w:r w:rsidRPr="00AE6554">
        <w:rPr>
          <w:rFonts w:cstheme="minorHAnsi"/>
          <w:sz w:val="24"/>
          <w:szCs w:val="24"/>
          <w:lang w:val="el-GR"/>
        </w:rPr>
        <w:t xml:space="preserve"> </w:t>
      </w:r>
      <w:r>
        <w:rPr>
          <w:rFonts w:cstheme="minorHAnsi"/>
          <w:sz w:val="24"/>
          <w:szCs w:val="24"/>
          <w:lang w:val="el-GR"/>
        </w:rPr>
        <w:t>απόλυση</w:t>
      </w:r>
      <w:r w:rsidRPr="00AE6554">
        <w:rPr>
          <w:rFonts w:cstheme="minorHAnsi"/>
          <w:sz w:val="24"/>
          <w:szCs w:val="24"/>
          <w:lang w:val="el-GR"/>
        </w:rPr>
        <w:t xml:space="preserve"> </w:t>
      </w:r>
      <w:r>
        <w:rPr>
          <w:rFonts w:cstheme="minorHAnsi"/>
          <w:sz w:val="24"/>
          <w:szCs w:val="24"/>
          <w:lang w:val="el-GR"/>
        </w:rPr>
        <w:t>των</w:t>
      </w:r>
      <w:r w:rsidRPr="00AE6554">
        <w:rPr>
          <w:rFonts w:cstheme="minorHAnsi"/>
          <w:sz w:val="24"/>
          <w:szCs w:val="24"/>
          <w:lang w:val="el-GR"/>
        </w:rPr>
        <w:t xml:space="preserve"> </w:t>
      </w:r>
      <w:r>
        <w:rPr>
          <w:rFonts w:cstheme="minorHAnsi"/>
          <w:sz w:val="24"/>
          <w:szCs w:val="24"/>
          <w:lang w:val="el-GR"/>
        </w:rPr>
        <w:t>ΑΕΝ</w:t>
      </w:r>
      <w:r w:rsidRPr="00AE6554">
        <w:rPr>
          <w:rFonts w:cstheme="minorHAnsi"/>
          <w:sz w:val="24"/>
          <w:szCs w:val="24"/>
          <w:lang w:val="el-GR"/>
        </w:rPr>
        <w:t xml:space="preserve"> </w:t>
      </w:r>
      <w:r>
        <w:rPr>
          <w:rFonts w:cstheme="minorHAnsi"/>
          <w:sz w:val="24"/>
          <w:szCs w:val="24"/>
          <w:lang w:val="el-GR"/>
        </w:rPr>
        <w:t>αποφασίζεται</w:t>
      </w:r>
      <w:r w:rsidRPr="00AE6554">
        <w:rPr>
          <w:rFonts w:cstheme="minorHAnsi"/>
          <w:sz w:val="24"/>
          <w:szCs w:val="24"/>
          <w:lang w:val="el-GR"/>
        </w:rPr>
        <w:t xml:space="preserve"> </w:t>
      </w:r>
      <w:r>
        <w:rPr>
          <w:rFonts w:cstheme="minorHAnsi"/>
          <w:sz w:val="24"/>
          <w:szCs w:val="24"/>
          <w:lang w:val="el-GR"/>
        </w:rPr>
        <w:t>από</w:t>
      </w:r>
      <w:r w:rsidRPr="00AE6554">
        <w:rPr>
          <w:rFonts w:cstheme="minorHAnsi"/>
          <w:sz w:val="24"/>
          <w:szCs w:val="24"/>
          <w:lang w:val="el-GR"/>
        </w:rPr>
        <w:t xml:space="preserve"> </w:t>
      </w:r>
      <w:r>
        <w:rPr>
          <w:rFonts w:cstheme="minorHAnsi"/>
          <w:sz w:val="24"/>
          <w:szCs w:val="24"/>
          <w:lang w:val="el-GR"/>
        </w:rPr>
        <w:t>μια</w:t>
      </w:r>
      <w:r w:rsidRPr="00AE6554">
        <w:rPr>
          <w:rFonts w:cstheme="minorHAnsi"/>
          <w:sz w:val="24"/>
          <w:szCs w:val="24"/>
          <w:lang w:val="el-GR"/>
        </w:rPr>
        <w:t xml:space="preserve"> </w:t>
      </w:r>
      <w:r>
        <w:rPr>
          <w:rFonts w:cstheme="minorHAnsi"/>
          <w:sz w:val="24"/>
          <w:szCs w:val="24"/>
          <w:lang w:val="el-GR"/>
        </w:rPr>
        <w:t>Πειθαρχική</w:t>
      </w:r>
      <w:r w:rsidRPr="00AE6554">
        <w:rPr>
          <w:rFonts w:cstheme="minorHAnsi"/>
          <w:sz w:val="24"/>
          <w:szCs w:val="24"/>
          <w:lang w:val="el-GR"/>
        </w:rPr>
        <w:t xml:space="preserve"> </w:t>
      </w:r>
      <w:r>
        <w:rPr>
          <w:rFonts w:cstheme="minorHAnsi"/>
          <w:sz w:val="24"/>
          <w:szCs w:val="24"/>
          <w:lang w:val="el-GR"/>
        </w:rPr>
        <w:t>Επιτροπή</w:t>
      </w:r>
      <w:r w:rsidR="00220066" w:rsidRPr="00AE6554">
        <w:rPr>
          <w:rFonts w:cstheme="minorHAnsi"/>
          <w:sz w:val="24"/>
          <w:szCs w:val="24"/>
          <w:lang w:val="el-GR"/>
        </w:rPr>
        <w:t xml:space="preserve"> </w:t>
      </w:r>
      <w:r>
        <w:rPr>
          <w:rFonts w:cstheme="minorHAnsi"/>
          <w:sz w:val="24"/>
          <w:szCs w:val="24"/>
          <w:lang w:val="el-GR"/>
        </w:rPr>
        <w:t>σύμφωνα</w:t>
      </w:r>
      <w:r w:rsidRPr="00AE6554">
        <w:rPr>
          <w:rFonts w:cstheme="minorHAnsi"/>
          <w:sz w:val="24"/>
          <w:szCs w:val="24"/>
          <w:lang w:val="el-GR"/>
        </w:rPr>
        <w:t xml:space="preserve"> </w:t>
      </w:r>
      <w:r>
        <w:rPr>
          <w:rFonts w:cstheme="minorHAnsi"/>
          <w:sz w:val="24"/>
          <w:szCs w:val="24"/>
          <w:lang w:val="el-GR"/>
        </w:rPr>
        <w:t>με</w:t>
      </w:r>
      <w:r w:rsidRPr="00AE6554">
        <w:rPr>
          <w:rFonts w:cstheme="minorHAnsi"/>
          <w:sz w:val="24"/>
          <w:szCs w:val="24"/>
          <w:lang w:val="el-GR"/>
        </w:rPr>
        <w:t xml:space="preserve"> </w:t>
      </w:r>
      <w:r>
        <w:rPr>
          <w:rFonts w:cstheme="minorHAnsi"/>
          <w:sz w:val="24"/>
          <w:szCs w:val="24"/>
          <w:lang w:val="el-GR"/>
        </w:rPr>
        <w:t>τους</w:t>
      </w:r>
      <w:r w:rsidRPr="00AE6554">
        <w:rPr>
          <w:rFonts w:cstheme="minorHAnsi"/>
          <w:sz w:val="24"/>
          <w:szCs w:val="24"/>
          <w:lang w:val="el-GR"/>
        </w:rPr>
        <w:t xml:space="preserve"> </w:t>
      </w:r>
      <w:r>
        <w:rPr>
          <w:rFonts w:cstheme="minorHAnsi"/>
          <w:sz w:val="24"/>
          <w:szCs w:val="24"/>
          <w:lang w:val="el-GR"/>
        </w:rPr>
        <w:t>Κανονισμούς</w:t>
      </w:r>
      <w:r w:rsidRPr="00AE6554">
        <w:rPr>
          <w:rFonts w:cstheme="minorHAnsi"/>
          <w:sz w:val="24"/>
          <w:szCs w:val="24"/>
          <w:lang w:val="el-GR"/>
        </w:rPr>
        <w:t xml:space="preserve"> </w:t>
      </w:r>
      <w:r>
        <w:rPr>
          <w:rFonts w:cstheme="minorHAnsi"/>
          <w:sz w:val="24"/>
          <w:szCs w:val="24"/>
          <w:lang w:val="el-GR"/>
        </w:rPr>
        <w:t xml:space="preserve">(Πειθαρχικούς) της </w:t>
      </w:r>
      <w:r w:rsidR="009C4E34">
        <w:rPr>
          <w:rFonts w:cstheme="minorHAnsi"/>
          <w:sz w:val="24"/>
          <w:szCs w:val="24"/>
          <w:lang w:val="el-GR"/>
        </w:rPr>
        <w:t>Αστυνομία</w:t>
      </w:r>
      <w:r>
        <w:rPr>
          <w:rFonts w:cstheme="minorHAnsi"/>
          <w:sz w:val="24"/>
          <w:szCs w:val="24"/>
          <w:lang w:val="el-GR"/>
        </w:rPr>
        <w:t>ς</w:t>
      </w:r>
      <w:r w:rsidR="00220066" w:rsidRPr="00AE6554">
        <w:rPr>
          <w:rFonts w:cstheme="minorHAnsi"/>
          <w:sz w:val="24"/>
          <w:szCs w:val="24"/>
          <w:lang w:val="el-GR"/>
        </w:rPr>
        <w:t xml:space="preserve"> 53/1989, </w:t>
      </w:r>
      <w:r>
        <w:rPr>
          <w:rFonts w:cstheme="minorHAnsi"/>
          <w:sz w:val="24"/>
          <w:szCs w:val="24"/>
          <w:lang w:val="el-GR"/>
        </w:rPr>
        <w:t>όπως αυτοί τροποποιήθηκαν</w:t>
      </w:r>
      <w:r w:rsidR="00D74B52" w:rsidRPr="00AE6554">
        <w:rPr>
          <w:rFonts w:cstheme="minorHAnsi"/>
          <w:sz w:val="24"/>
          <w:szCs w:val="24"/>
          <w:lang w:val="el-GR"/>
        </w:rPr>
        <w:t xml:space="preserve"> </w:t>
      </w:r>
      <w:bookmarkStart w:id="210" w:name="_Hlk132890142"/>
      <w:r w:rsidR="00D74B52" w:rsidRPr="00AE6554">
        <w:rPr>
          <w:rFonts w:cstheme="minorHAnsi"/>
          <w:sz w:val="24"/>
          <w:szCs w:val="24"/>
          <w:lang w:val="el-GR"/>
        </w:rPr>
        <w:t>(</w:t>
      </w:r>
      <w:r>
        <w:rPr>
          <w:rFonts w:cstheme="minorHAnsi"/>
          <w:sz w:val="24"/>
          <w:szCs w:val="24"/>
          <w:lang w:val="el-GR"/>
        </w:rPr>
        <w:t>για περαιτέρω λεπτομέρειες</w:t>
      </w:r>
      <w:r w:rsidR="00D74B52" w:rsidRPr="00AE6554">
        <w:rPr>
          <w:rFonts w:cstheme="minorHAnsi"/>
          <w:sz w:val="24"/>
          <w:szCs w:val="24"/>
          <w:lang w:val="el-GR"/>
        </w:rPr>
        <w:t xml:space="preserve"> </w:t>
      </w:r>
      <w:r>
        <w:rPr>
          <w:rFonts w:cstheme="minorHAnsi"/>
          <w:sz w:val="24"/>
          <w:szCs w:val="24"/>
          <w:lang w:val="el-GR"/>
        </w:rPr>
        <w:t>για</w:t>
      </w:r>
      <w:r w:rsidR="001C3E2E">
        <w:rPr>
          <w:rFonts w:cstheme="minorHAnsi"/>
          <w:sz w:val="24"/>
          <w:szCs w:val="24"/>
          <w:lang w:val="el-GR"/>
        </w:rPr>
        <w:t xml:space="preserve"> πειθαρχικές διαδικασίες</w:t>
      </w:r>
      <w:r w:rsidR="00D74B52" w:rsidRPr="00AE6554">
        <w:rPr>
          <w:rFonts w:cstheme="minorHAnsi"/>
          <w:sz w:val="24"/>
          <w:szCs w:val="24"/>
          <w:lang w:val="el-GR"/>
        </w:rPr>
        <w:t xml:space="preserve"> </w:t>
      </w:r>
      <w:r w:rsidR="001C3E2E">
        <w:rPr>
          <w:rFonts w:cstheme="minorHAnsi"/>
          <w:sz w:val="24"/>
          <w:szCs w:val="24"/>
          <w:lang w:val="el-GR"/>
        </w:rPr>
        <w:t>βλέπε παραγράφους</w:t>
      </w:r>
      <w:r w:rsidR="00D74B52" w:rsidRPr="00AE6554">
        <w:rPr>
          <w:rFonts w:cstheme="minorHAnsi"/>
          <w:sz w:val="24"/>
          <w:szCs w:val="24"/>
          <w:lang w:val="el-GR"/>
        </w:rPr>
        <w:t xml:space="preserve"> </w:t>
      </w:r>
      <w:r w:rsidR="00BB61F5" w:rsidRPr="00AE6554">
        <w:rPr>
          <w:rFonts w:cstheme="minorHAnsi"/>
          <w:sz w:val="24"/>
          <w:szCs w:val="24"/>
          <w:lang w:val="el-GR"/>
        </w:rPr>
        <w:t>25</w:t>
      </w:r>
      <w:r w:rsidR="00BE416A" w:rsidRPr="00AE6554">
        <w:rPr>
          <w:rFonts w:cstheme="minorHAnsi"/>
          <w:sz w:val="24"/>
          <w:szCs w:val="24"/>
          <w:lang w:val="el-GR"/>
        </w:rPr>
        <w:t>4</w:t>
      </w:r>
      <w:r w:rsidR="00BB61F5" w:rsidRPr="00AE6554">
        <w:rPr>
          <w:rFonts w:cstheme="minorHAnsi"/>
          <w:sz w:val="24"/>
          <w:szCs w:val="24"/>
          <w:lang w:val="el-GR"/>
        </w:rPr>
        <w:t>-25</w:t>
      </w:r>
      <w:r w:rsidR="00BE416A" w:rsidRPr="00AE6554">
        <w:rPr>
          <w:rFonts w:cstheme="minorHAnsi"/>
          <w:sz w:val="24"/>
          <w:szCs w:val="24"/>
          <w:lang w:val="el-GR"/>
        </w:rPr>
        <w:t>8</w:t>
      </w:r>
      <w:r w:rsidR="00D74B52" w:rsidRPr="00AE6554">
        <w:rPr>
          <w:rFonts w:cstheme="minorHAnsi"/>
          <w:sz w:val="24"/>
          <w:szCs w:val="24"/>
          <w:lang w:val="el-GR"/>
        </w:rPr>
        <w:t xml:space="preserve">). </w:t>
      </w:r>
      <w:r w:rsidR="00220066" w:rsidRPr="00AE6554">
        <w:rPr>
          <w:rFonts w:cstheme="minorHAnsi"/>
          <w:sz w:val="24"/>
          <w:szCs w:val="24"/>
          <w:lang w:val="el-GR"/>
        </w:rPr>
        <w:t xml:space="preserve">  </w:t>
      </w:r>
      <w:bookmarkEnd w:id="210"/>
    </w:p>
    <w:p w14:paraId="4BB97753" w14:textId="77777777" w:rsidR="00220066" w:rsidRPr="00AE6554" w:rsidRDefault="00220066" w:rsidP="00220066">
      <w:pPr>
        <w:pStyle w:val="ListParagraph"/>
        <w:rPr>
          <w:rFonts w:cstheme="minorHAnsi"/>
          <w:sz w:val="24"/>
          <w:szCs w:val="24"/>
          <w:lang w:val="el-GR"/>
        </w:rPr>
      </w:pPr>
    </w:p>
    <w:p w14:paraId="25237E8D" w14:textId="225789F2" w:rsidR="00220066" w:rsidRPr="001C3E2E" w:rsidRDefault="001C3E2E" w:rsidP="00220066">
      <w:pPr>
        <w:pStyle w:val="Heading3"/>
        <w:keepLines w:val="0"/>
        <w:tabs>
          <w:tab w:val="left" w:pos="709"/>
        </w:tabs>
        <w:spacing w:before="0"/>
        <w:rPr>
          <w:rFonts w:asciiTheme="minorHAnsi" w:hAnsiTheme="minorHAnsi" w:cstheme="minorHAnsi"/>
          <w:b w:val="0"/>
          <w:i/>
          <w:color w:val="auto"/>
          <w:sz w:val="24"/>
          <w:szCs w:val="24"/>
          <w:lang w:val="en-US"/>
        </w:rPr>
      </w:pPr>
      <w:bookmarkStart w:id="211" w:name="_Toc110430334"/>
      <w:bookmarkStart w:id="212" w:name="_Toc117445173"/>
      <w:bookmarkStart w:id="213" w:name="_Toc136879377"/>
      <w:r>
        <w:rPr>
          <w:rFonts w:asciiTheme="minorHAnsi" w:hAnsiTheme="minorHAnsi" w:cstheme="minorHAnsi"/>
          <w:b w:val="0"/>
          <w:i/>
          <w:color w:val="auto"/>
          <w:sz w:val="24"/>
          <w:szCs w:val="24"/>
          <w:lang w:val="el-GR"/>
        </w:rPr>
        <w:t>Μισθοί και επιδόματα</w:t>
      </w:r>
      <w:bookmarkEnd w:id="211"/>
      <w:bookmarkEnd w:id="212"/>
      <w:bookmarkEnd w:id="213"/>
    </w:p>
    <w:p w14:paraId="5DBAA111" w14:textId="77777777" w:rsidR="00220066" w:rsidRPr="004E251E" w:rsidRDefault="00220066" w:rsidP="00220066">
      <w:pPr>
        <w:keepNext/>
        <w:rPr>
          <w:rFonts w:cstheme="minorHAnsi"/>
          <w:sz w:val="24"/>
          <w:szCs w:val="24"/>
        </w:rPr>
      </w:pPr>
    </w:p>
    <w:p w14:paraId="5BC1EBB5" w14:textId="5EA91917" w:rsidR="00220066" w:rsidRPr="001C3E2E" w:rsidRDefault="001C3E2E" w:rsidP="00220066">
      <w:pPr>
        <w:keepNext/>
        <w:numPr>
          <w:ilvl w:val="0"/>
          <w:numId w:val="1"/>
        </w:numPr>
        <w:tabs>
          <w:tab w:val="left" w:pos="709"/>
        </w:tabs>
        <w:ind w:left="0" w:firstLine="0"/>
        <w:rPr>
          <w:rFonts w:cstheme="minorHAnsi"/>
          <w:sz w:val="24"/>
          <w:szCs w:val="24"/>
          <w:lang w:val="el-GR"/>
        </w:rPr>
      </w:pPr>
      <w:r>
        <w:rPr>
          <w:rFonts w:cstheme="minorHAnsi"/>
          <w:sz w:val="24"/>
          <w:szCs w:val="24"/>
        </w:rPr>
        <w:t>O</w:t>
      </w:r>
      <w:r w:rsidRPr="001C3E2E">
        <w:rPr>
          <w:rFonts w:cstheme="minorHAnsi"/>
          <w:sz w:val="24"/>
          <w:szCs w:val="24"/>
          <w:lang w:val="el-GR"/>
        </w:rPr>
        <w:t xml:space="preserve"> </w:t>
      </w:r>
      <w:r>
        <w:rPr>
          <w:rFonts w:cstheme="minorHAnsi"/>
          <w:sz w:val="24"/>
          <w:szCs w:val="24"/>
          <w:lang w:val="el-GR"/>
        </w:rPr>
        <w:t>ακάθαρτος</w:t>
      </w:r>
      <w:r w:rsidRPr="001C3E2E">
        <w:rPr>
          <w:rFonts w:cstheme="minorHAnsi"/>
          <w:sz w:val="24"/>
          <w:szCs w:val="24"/>
          <w:lang w:val="el-GR"/>
        </w:rPr>
        <w:t xml:space="preserve"> </w:t>
      </w:r>
      <w:r>
        <w:rPr>
          <w:rFonts w:cstheme="minorHAnsi"/>
          <w:sz w:val="24"/>
          <w:szCs w:val="24"/>
          <w:lang w:val="el-GR"/>
        </w:rPr>
        <w:t>ετήσιος</w:t>
      </w:r>
      <w:r w:rsidRPr="001C3E2E">
        <w:rPr>
          <w:rFonts w:cstheme="minorHAnsi"/>
          <w:sz w:val="24"/>
          <w:szCs w:val="24"/>
          <w:lang w:val="el-GR"/>
        </w:rPr>
        <w:t xml:space="preserve"> </w:t>
      </w:r>
      <w:r>
        <w:rPr>
          <w:rFonts w:cstheme="minorHAnsi"/>
          <w:sz w:val="24"/>
          <w:szCs w:val="24"/>
          <w:lang w:val="el-GR"/>
        </w:rPr>
        <w:t>βασικός</w:t>
      </w:r>
      <w:r w:rsidRPr="001C3E2E">
        <w:rPr>
          <w:rFonts w:cstheme="minorHAnsi"/>
          <w:sz w:val="24"/>
          <w:szCs w:val="24"/>
          <w:lang w:val="el-GR"/>
        </w:rPr>
        <w:t xml:space="preserve"> </w:t>
      </w:r>
      <w:r>
        <w:rPr>
          <w:rFonts w:cstheme="minorHAnsi"/>
          <w:sz w:val="24"/>
          <w:szCs w:val="24"/>
          <w:lang w:val="el-GR"/>
        </w:rPr>
        <w:t>μισθός</w:t>
      </w:r>
      <w:r w:rsidRPr="001C3E2E">
        <w:rPr>
          <w:rFonts w:cstheme="minorHAnsi"/>
          <w:sz w:val="24"/>
          <w:szCs w:val="24"/>
          <w:lang w:val="el-GR"/>
        </w:rPr>
        <w:t xml:space="preserve"> </w:t>
      </w:r>
      <w:r>
        <w:rPr>
          <w:rFonts w:cstheme="minorHAnsi"/>
          <w:sz w:val="24"/>
          <w:szCs w:val="24"/>
          <w:lang w:val="el-GR"/>
        </w:rPr>
        <w:t>των</w:t>
      </w:r>
      <w:r w:rsidRPr="001C3E2E">
        <w:rPr>
          <w:rFonts w:cstheme="minorHAnsi"/>
          <w:sz w:val="24"/>
          <w:szCs w:val="24"/>
          <w:lang w:val="el-GR"/>
        </w:rPr>
        <w:t xml:space="preserve"> </w:t>
      </w:r>
      <w:r>
        <w:rPr>
          <w:rFonts w:cstheme="minorHAnsi"/>
          <w:sz w:val="24"/>
          <w:szCs w:val="24"/>
          <w:lang w:val="el-GR"/>
        </w:rPr>
        <w:t>ΑΕΝ</w:t>
      </w:r>
      <w:r w:rsidRPr="001C3E2E">
        <w:rPr>
          <w:rFonts w:cstheme="minorHAnsi"/>
          <w:sz w:val="24"/>
          <w:szCs w:val="24"/>
          <w:lang w:val="el-GR"/>
        </w:rPr>
        <w:t xml:space="preserve"> </w:t>
      </w:r>
      <w:r>
        <w:rPr>
          <w:rFonts w:cstheme="minorHAnsi"/>
          <w:sz w:val="24"/>
          <w:szCs w:val="24"/>
          <w:lang w:val="el-GR"/>
        </w:rPr>
        <w:t>στην</w:t>
      </w:r>
      <w:r w:rsidRPr="001C3E2E">
        <w:rPr>
          <w:rFonts w:cstheme="minorHAnsi"/>
          <w:sz w:val="24"/>
          <w:szCs w:val="24"/>
          <w:lang w:val="el-GR"/>
        </w:rPr>
        <w:t xml:space="preserve"> </w:t>
      </w:r>
      <w:r>
        <w:rPr>
          <w:rFonts w:cstheme="minorHAnsi"/>
          <w:sz w:val="24"/>
          <w:szCs w:val="24"/>
          <w:lang w:val="el-GR"/>
        </w:rPr>
        <w:t>αρχή</w:t>
      </w:r>
      <w:r w:rsidRPr="001C3E2E">
        <w:rPr>
          <w:rFonts w:cstheme="minorHAnsi"/>
          <w:sz w:val="24"/>
          <w:szCs w:val="24"/>
          <w:lang w:val="el-GR"/>
        </w:rPr>
        <w:t xml:space="preserve"> </w:t>
      </w:r>
      <w:r>
        <w:rPr>
          <w:rFonts w:cstheme="minorHAnsi"/>
          <w:sz w:val="24"/>
          <w:szCs w:val="24"/>
          <w:lang w:val="el-GR"/>
        </w:rPr>
        <w:t>της</w:t>
      </w:r>
      <w:r w:rsidRPr="001C3E2E">
        <w:rPr>
          <w:rFonts w:cstheme="minorHAnsi"/>
          <w:sz w:val="24"/>
          <w:szCs w:val="24"/>
          <w:lang w:val="el-GR"/>
        </w:rPr>
        <w:t xml:space="preserve"> </w:t>
      </w:r>
      <w:r>
        <w:rPr>
          <w:rFonts w:cstheme="minorHAnsi"/>
          <w:sz w:val="24"/>
          <w:szCs w:val="24"/>
          <w:lang w:val="el-GR"/>
        </w:rPr>
        <w:t>σταδιοδρομίας</w:t>
      </w:r>
      <w:r w:rsidRPr="001C3E2E">
        <w:rPr>
          <w:rFonts w:cstheme="minorHAnsi"/>
          <w:sz w:val="24"/>
          <w:szCs w:val="24"/>
          <w:lang w:val="el-GR"/>
        </w:rPr>
        <w:t xml:space="preserve"> </w:t>
      </w:r>
      <w:r>
        <w:rPr>
          <w:rFonts w:cstheme="minorHAnsi"/>
          <w:sz w:val="24"/>
          <w:szCs w:val="24"/>
          <w:lang w:val="el-GR"/>
        </w:rPr>
        <w:t>τους</w:t>
      </w:r>
      <w:r w:rsidRPr="001C3E2E">
        <w:rPr>
          <w:rFonts w:cstheme="minorHAnsi"/>
          <w:sz w:val="24"/>
          <w:szCs w:val="24"/>
          <w:lang w:val="el-GR"/>
        </w:rPr>
        <w:t xml:space="preserve"> </w:t>
      </w:r>
      <w:r>
        <w:rPr>
          <w:rFonts w:cstheme="minorHAnsi"/>
          <w:sz w:val="24"/>
          <w:szCs w:val="24"/>
          <w:lang w:val="el-GR"/>
        </w:rPr>
        <w:t>είναι</w:t>
      </w:r>
      <w:r w:rsidR="00220066" w:rsidRPr="001C3E2E">
        <w:rPr>
          <w:rFonts w:cstheme="minorHAnsi"/>
          <w:sz w:val="24"/>
          <w:szCs w:val="24"/>
          <w:lang w:val="el-GR"/>
        </w:rPr>
        <w:t xml:space="preserve"> €13 </w:t>
      </w:r>
      <w:r w:rsidR="00D74B52" w:rsidRPr="001C3E2E">
        <w:rPr>
          <w:rFonts w:cstheme="minorHAnsi"/>
          <w:sz w:val="24"/>
          <w:szCs w:val="24"/>
          <w:lang w:val="el-GR"/>
        </w:rPr>
        <w:t>77</w:t>
      </w:r>
      <w:r w:rsidR="00220066" w:rsidRPr="001C3E2E">
        <w:rPr>
          <w:rFonts w:cstheme="minorHAnsi"/>
          <w:sz w:val="24"/>
          <w:szCs w:val="24"/>
          <w:lang w:val="el-GR"/>
        </w:rPr>
        <w:t>5 (</w:t>
      </w:r>
      <w:r>
        <w:rPr>
          <w:rFonts w:cstheme="minorHAnsi"/>
          <w:sz w:val="24"/>
          <w:szCs w:val="24"/>
          <w:lang w:val="el-GR"/>
        </w:rPr>
        <w:t>εξαιρουμένων</w:t>
      </w:r>
      <w:r w:rsidRPr="001C3E2E">
        <w:rPr>
          <w:rFonts w:cstheme="minorHAnsi"/>
          <w:sz w:val="24"/>
          <w:szCs w:val="24"/>
          <w:lang w:val="el-GR"/>
        </w:rPr>
        <w:t xml:space="preserve"> </w:t>
      </w:r>
      <w:r>
        <w:rPr>
          <w:rFonts w:cstheme="minorHAnsi"/>
          <w:sz w:val="24"/>
          <w:szCs w:val="24"/>
          <w:lang w:val="el-GR"/>
        </w:rPr>
        <w:t>των</w:t>
      </w:r>
      <w:r w:rsidRPr="001C3E2E">
        <w:rPr>
          <w:rFonts w:cstheme="minorHAnsi"/>
          <w:sz w:val="24"/>
          <w:szCs w:val="24"/>
          <w:lang w:val="el-GR"/>
        </w:rPr>
        <w:t xml:space="preserve"> </w:t>
      </w:r>
      <w:r>
        <w:rPr>
          <w:rFonts w:cstheme="minorHAnsi"/>
          <w:sz w:val="24"/>
          <w:szCs w:val="24"/>
          <w:lang w:val="el-GR"/>
        </w:rPr>
        <w:t>επιδομάτων</w:t>
      </w:r>
      <w:r w:rsidR="00220066" w:rsidRPr="001C3E2E">
        <w:rPr>
          <w:rFonts w:cstheme="minorHAnsi"/>
          <w:sz w:val="24"/>
          <w:szCs w:val="24"/>
          <w:lang w:val="el-GR"/>
        </w:rPr>
        <w:t xml:space="preserve"> – </w:t>
      </w:r>
      <w:r>
        <w:rPr>
          <w:rFonts w:cstheme="minorHAnsi"/>
          <w:sz w:val="24"/>
          <w:szCs w:val="24"/>
          <w:lang w:val="el-GR"/>
        </w:rPr>
        <w:t>για περαιτέρω λεπτομέρειες για επιδόματα, βλέπε πιο κάτω</w:t>
      </w:r>
      <w:r w:rsidR="00220066" w:rsidRPr="001C3E2E">
        <w:rPr>
          <w:rFonts w:cstheme="minorHAnsi"/>
          <w:sz w:val="24"/>
          <w:szCs w:val="24"/>
          <w:lang w:val="el-GR"/>
        </w:rPr>
        <w:t xml:space="preserve">). </w:t>
      </w:r>
      <w:r>
        <w:rPr>
          <w:rFonts w:cstheme="minorHAnsi"/>
          <w:sz w:val="24"/>
          <w:szCs w:val="24"/>
          <w:lang w:val="el-GR"/>
        </w:rPr>
        <w:t>Ο</w:t>
      </w:r>
      <w:r w:rsidRPr="00C43E71">
        <w:rPr>
          <w:rFonts w:cstheme="minorHAnsi"/>
          <w:sz w:val="24"/>
          <w:szCs w:val="24"/>
          <w:lang w:val="el-GR"/>
        </w:rPr>
        <w:t xml:space="preserve"> </w:t>
      </w:r>
      <w:r>
        <w:rPr>
          <w:rFonts w:cstheme="minorHAnsi"/>
          <w:sz w:val="24"/>
          <w:szCs w:val="24"/>
          <w:lang w:val="el-GR"/>
        </w:rPr>
        <w:t>μισθός</w:t>
      </w:r>
      <w:r w:rsidRPr="00C43E71">
        <w:rPr>
          <w:rFonts w:cstheme="minorHAnsi"/>
          <w:sz w:val="24"/>
          <w:szCs w:val="24"/>
          <w:lang w:val="el-GR"/>
        </w:rPr>
        <w:t xml:space="preserve"> </w:t>
      </w:r>
      <w:r>
        <w:rPr>
          <w:rFonts w:cstheme="minorHAnsi"/>
          <w:sz w:val="24"/>
          <w:szCs w:val="24"/>
          <w:lang w:val="el-GR"/>
        </w:rPr>
        <w:t>των</w:t>
      </w:r>
      <w:r w:rsidRPr="00C43E71">
        <w:rPr>
          <w:rFonts w:cstheme="minorHAnsi"/>
          <w:sz w:val="24"/>
          <w:szCs w:val="24"/>
          <w:lang w:val="el-GR"/>
        </w:rPr>
        <w:t xml:space="preserve"> </w:t>
      </w:r>
      <w:r>
        <w:rPr>
          <w:rFonts w:cstheme="minorHAnsi"/>
          <w:sz w:val="24"/>
          <w:szCs w:val="24"/>
          <w:lang w:val="el-GR"/>
        </w:rPr>
        <w:t>ΑΕΝ</w:t>
      </w:r>
      <w:r w:rsidR="00220066" w:rsidRPr="00C43E71">
        <w:rPr>
          <w:rFonts w:cstheme="minorHAnsi"/>
          <w:sz w:val="24"/>
          <w:szCs w:val="24"/>
          <w:lang w:val="el-GR"/>
        </w:rPr>
        <w:t xml:space="preserve"> </w:t>
      </w:r>
      <w:r>
        <w:rPr>
          <w:rFonts w:cstheme="minorHAnsi"/>
          <w:sz w:val="24"/>
          <w:szCs w:val="24"/>
          <w:lang w:val="el-GR"/>
        </w:rPr>
        <w:t>διαφέρει</w:t>
      </w:r>
      <w:r w:rsidRPr="00C43E71">
        <w:rPr>
          <w:rFonts w:cstheme="minorHAnsi"/>
          <w:sz w:val="24"/>
          <w:szCs w:val="24"/>
          <w:lang w:val="el-GR"/>
        </w:rPr>
        <w:t xml:space="preserve"> </w:t>
      </w:r>
      <w:r>
        <w:rPr>
          <w:rFonts w:cstheme="minorHAnsi"/>
          <w:sz w:val="24"/>
          <w:szCs w:val="24"/>
          <w:lang w:val="el-GR"/>
        </w:rPr>
        <w:t>σύμφωνα</w:t>
      </w:r>
      <w:r w:rsidRPr="00C43E71">
        <w:rPr>
          <w:rFonts w:cstheme="minorHAnsi"/>
          <w:sz w:val="24"/>
          <w:szCs w:val="24"/>
          <w:lang w:val="el-GR"/>
        </w:rPr>
        <w:t xml:space="preserve"> </w:t>
      </w:r>
      <w:r>
        <w:rPr>
          <w:rFonts w:cstheme="minorHAnsi"/>
          <w:sz w:val="24"/>
          <w:szCs w:val="24"/>
          <w:lang w:val="el-GR"/>
        </w:rPr>
        <w:t>με</w:t>
      </w:r>
      <w:r w:rsidRPr="00C43E71">
        <w:rPr>
          <w:rFonts w:cstheme="minorHAnsi"/>
          <w:sz w:val="24"/>
          <w:szCs w:val="24"/>
          <w:lang w:val="el-GR"/>
        </w:rPr>
        <w:t xml:space="preserve"> </w:t>
      </w:r>
      <w:r>
        <w:rPr>
          <w:rFonts w:cstheme="minorHAnsi"/>
          <w:sz w:val="24"/>
          <w:szCs w:val="24"/>
          <w:lang w:val="el-GR"/>
        </w:rPr>
        <w:t>την</w:t>
      </w:r>
      <w:r w:rsidRPr="00C43E71">
        <w:rPr>
          <w:rFonts w:cstheme="minorHAnsi"/>
          <w:sz w:val="24"/>
          <w:szCs w:val="24"/>
          <w:lang w:val="el-GR"/>
        </w:rPr>
        <w:t xml:space="preserve"> </w:t>
      </w:r>
      <w:r>
        <w:rPr>
          <w:rFonts w:cstheme="minorHAnsi"/>
          <w:sz w:val="24"/>
          <w:szCs w:val="24"/>
          <w:lang w:val="el-GR"/>
        </w:rPr>
        <w:t>προϋπηρεσία</w:t>
      </w:r>
      <w:r w:rsidR="00220066" w:rsidRPr="00C43E71">
        <w:rPr>
          <w:rFonts w:cstheme="minorHAnsi"/>
          <w:sz w:val="24"/>
          <w:szCs w:val="24"/>
          <w:lang w:val="el-GR"/>
        </w:rPr>
        <w:t xml:space="preserve">. </w:t>
      </w:r>
      <w:r>
        <w:rPr>
          <w:rFonts w:cstheme="minorHAnsi"/>
          <w:sz w:val="24"/>
          <w:szCs w:val="24"/>
          <w:lang w:val="el-GR"/>
        </w:rPr>
        <w:t>Η</w:t>
      </w:r>
      <w:r w:rsidRPr="001C3E2E">
        <w:rPr>
          <w:rFonts w:cstheme="minorHAnsi"/>
          <w:sz w:val="24"/>
          <w:szCs w:val="24"/>
          <w:lang w:val="el-GR"/>
        </w:rPr>
        <w:t xml:space="preserve"> </w:t>
      </w:r>
      <w:r>
        <w:rPr>
          <w:rFonts w:cstheme="minorHAnsi"/>
          <w:sz w:val="24"/>
          <w:szCs w:val="24"/>
          <w:lang w:val="el-GR"/>
        </w:rPr>
        <w:t>πραγματική</w:t>
      </w:r>
      <w:r w:rsidRPr="001C3E2E">
        <w:rPr>
          <w:rFonts w:cstheme="minorHAnsi"/>
          <w:sz w:val="24"/>
          <w:szCs w:val="24"/>
          <w:lang w:val="el-GR"/>
        </w:rPr>
        <w:t xml:space="preserve"> </w:t>
      </w:r>
      <w:r>
        <w:rPr>
          <w:rFonts w:cstheme="minorHAnsi"/>
          <w:sz w:val="24"/>
          <w:szCs w:val="24"/>
          <w:lang w:val="el-GR"/>
        </w:rPr>
        <w:t>λειτουργία</w:t>
      </w:r>
      <w:r w:rsidRPr="001C3E2E">
        <w:rPr>
          <w:rFonts w:cstheme="minorHAnsi"/>
          <w:sz w:val="24"/>
          <w:szCs w:val="24"/>
          <w:lang w:val="el-GR"/>
        </w:rPr>
        <w:t xml:space="preserve"> </w:t>
      </w:r>
      <w:r>
        <w:rPr>
          <w:rFonts w:cstheme="minorHAnsi"/>
          <w:sz w:val="24"/>
          <w:szCs w:val="24"/>
          <w:lang w:val="el-GR"/>
        </w:rPr>
        <w:t>που</w:t>
      </w:r>
      <w:r w:rsidRPr="001C3E2E">
        <w:rPr>
          <w:rFonts w:cstheme="minorHAnsi"/>
          <w:sz w:val="24"/>
          <w:szCs w:val="24"/>
          <w:lang w:val="el-GR"/>
        </w:rPr>
        <w:t xml:space="preserve"> </w:t>
      </w:r>
      <w:r>
        <w:rPr>
          <w:rFonts w:cstheme="minorHAnsi"/>
          <w:sz w:val="24"/>
          <w:szCs w:val="24"/>
          <w:lang w:val="el-GR"/>
        </w:rPr>
        <w:t>κατέχεται</w:t>
      </w:r>
      <w:r w:rsidRPr="001C3E2E">
        <w:rPr>
          <w:rFonts w:cstheme="minorHAnsi"/>
          <w:sz w:val="24"/>
          <w:szCs w:val="24"/>
          <w:lang w:val="el-GR"/>
        </w:rPr>
        <w:t xml:space="preserve"> </w:t>
      </w:r>
      <w:r>
        <w:rPr>
          <w:rFonts w:cstheme="minorHAnsi"/>
          <w:sz w:val="24"/>
          <w:szCs w:val="24"/>
          <w:lang w:val="el-GR"/>
        </w:rPr>
        <w:t>δεν</w:t>
      </w:r>
      <w:r w:rsidRPr="001C3E2E">
        <w:rPr>
          <w:rFonts w:cstheme="minorHAnsi"/>
          <w:sz w:val="24"/>
          <w:szCs w:val="24"/>
          <w:lang w:val="el-GR"/>
        </w:rPr>
        <w:t xml:space="preserve"> </w:t>
      </w:r>
      <w:r>
        <w:rPr>
          <w:rFonts w:cstheme="minorHAnsi"/>
          <w:sz w:val="24"/>
          <w:szCs w:val="24"/>
          <w:lang w:val="el-GR"/>
        </w:rPr>
        <w:t>αλλάζει</w:t>
      </w:r>
      <w:r w:rsidRPr="001C3E2E">
        <w:rPr>
          <w:rFonts w:cstheme="minorHAnsi"/>
          <w:sz w:val="24"/>
          <w:szCs w:val="24"/>
          <w:lang w:val="el-GR"/>
        </w:rPr>
        <w:t xml:space="preserve"> </w:t>
      </w:r>
      <w:r>
        <w:rPr>
          <w:rFonts w:cstheme="minorHAnsi"/>
          <w:sz w:val="24"/>
          <w:szCs w:val="24"/>
          <w:lang w:val="el-GR"/>
        </w:rPr>
        <w:t>τον</w:t>
      </w:r>
      <w:r w:rsidRPr="001C3E2E">
        <w:rPr>
          <w:rFonts w:cstheme="minorHAnsi"/>
          <w:sz w:val="24"/>
          <w:szCs w:val="24"/>
          <w:lang w:val="el-GR"/>
        </w:rPr>
        <w:t xml:space="preserve"> </w:t>
      </w:r>
      <w:r>
        <w:rPr>
          <w:rFonts w:cstheme="minorHAnsi"/>
          <w:sz w:val="24"/>
          <w:szCs w:val="24"/>
          <w:lang w:val="el-GR"/>
        </w:rPr>
        <w:t>μισθό</w:t>
      </w:r>
      <w:r w:rsidRPr="001C3E2E">
        <w:rPr>
          <w:rFonts w:cstheme="minorHAnsi"/>
          <w:sz w:val="24"/>
          <w:szCs w:val="24"/>
          <w:lang w:val="el-GR"/>
        </w:rPr>
        <w:t xml:space="preserve"> </w:t>
      </w:r>
      <w:r>
        <w:rPr>
          <w:rFonts w:cstheme="minorHAnsi"/>
          <w:sz w:val="24"/>
          <w:szCs w:val="24"/>
          <w:lang w:val="el-GR"/>
        </w:rPr>
        <w:t>των</w:t>
      </w:r>
      <w:r w:rsidRPr="001C3E2E">
        <w:rPr>
          <w:rFonts w:cstheme="minorHAnsi"/>
          <w:sz w:val="24"/>
          <w:szCs w:val="24"/>
          <w:lang w:val="el-GR"/>
        </w:rPr>
        <w:t xml:space="preserve"> </w:t>
      </w:r>
      <w:r>
        <w:rPr>
          <w:rFonts w:cstheme="minorHAnsi"/>
          <w:sz w:val="24"/>
          <w:szCs w:val="24"/>
          <w:lang w:val="el-GR"/>
        </w:rPr>
        <w:t>ΑΕΝ</w:t>
      </w:r>
      <w:r w:rsidR="00220066" w:rsidRPr="001C3E2E">
        <w:rPr>
          <w:rFonts w:cstheme="minorHAnsi"/>
          <w:sz w:val="24"/>
          <w:szCs w:val="24"/>
          <w:lang w:val="el-GR"/>
        </w:rPr>
        <w:t xml:space="preserve"> </w:t>
      </w:r>
      <w:r>
        <w:rPr>
          <w:rFonts w:cstheme="minorHAnsi"/>
          <w:sz w:val="24"/>
          <w:szCs w:val="24"/>
          <w:lang w:val="el-GR"/>
        </w:rPr>
        <w:t>εκτός</w:t>
      </w:r>
      <w:r w:rsidRPr="001C3E2E">
        <w:rPr>
          <w:rFonts w:cstheme="minorHAnsi"/>
          <w:sz w:val="24"/>
          <w:szCs w:val="24"/>
          <w:lang w:val="el-GR"/>
        </w:rPr>
        <w:t xml:space="preserve"> </w:t>
      </w:r>
      <w:r>
        <w:rPr>
          <w:rFonts w:cstheme="minorHAnsi"/>
          <w:sz w:val="24"/>
          <w:szCs w:val="24"/>
          <w:lang w:val="el-GR"/>
        </w:rPr>
        <w:t>αν</w:t>
      </w:r>
      <w:r w:rsidRPr="001C3E2E">
        <w:rPr>
          <w:rFonts w:cstheme="minorHAnsi"/>
          <w:sz w:val="24"/>
          <w:szCs w:val="24"/>
          <w:lang w:val="el-GR"/>
        </w:rPr>
        <w:t xml:space="preserve"> </w:t>
      </w:r>
      <w:r>
        <w:rPr>
          <w:rFonts w:cstheme="minorHAnsi"/>
          <w:sz w:val="24"/>
          <w:szCs w:val="24"/>
          <w:lang w:val="el-GR"/>
        </w:rPr>
        <w:t>υπάρχει</w:t>
      </w:r>
      <w:r w:rsidRPr="001C3E2E">
        <w:rPr>
          <w:rFonts w:cstheme="minorHAnsi"/>
          <w:sz w:val="24"/>
          <w:szCs w:val="24"/>
          <w:lang w:val="el-GR"/>
        </w:rPr>
        <w:t xml:space="preserve"> </w:t>
      </w:r>
      <w:r>
        <w:rPr>
          <w:rFonts w:cstheme="minorHAnsi"/>
          <w:sz w:val="24"/>
          <w:szCs w:val="24"/>
          <w:lang w:val="el-GR"/>
        </w:rPr>
        <w:t>οποιοδήποτε</w:t>
      </w:r>
      <w:r w:rsidRPr="001C3E2E">
        <w:rPr>
          <w:rFonts w:cstheme="minorHAnsi"/>
          <w:sz w:val="24"/>
          <w:szCs w:val="24"/>
          <w:lang w:val="el-GR"/>
        </w:rPr>
        <w:t xml:space="preserve"> </w:t>
      </w:r>
      <w:r>
        <w:rPr>
          <w:rFonts w:cstheme="minorHAnsi"/>
          <w:sz w:val="24"/>
          <w:szCs w:val="24"/>
          <w:lang w:val="el-GR"/>
        </w:rPr>
        <w:t>συγκεκριμένο</w:t>
      </w:r>
      <w:r w:rsidRPr="001C3E2E">
        <w:rPr>
          <w:rFonts w:cstheme="minorHAnsi"/>
          <w:sz w:val="24"/>
          <w:szCs w:val="24"/>
          <w:lang w:val="el-GR"/>
        </w:rPr>
        <w:t xml:space="preserve"> </w:t>
      </w:r>
      <w:r>
        <w:rPr>
          <w:rFonts w:cstheme="minorHAnsi"/>
          <w:sz w:val="24"/>
          <w:szCs w:val="24"/>
          <w:lang w:val="el-GR"/>
        </w:rPr>
        <w:t>επιπρόσθετο</w:t>
      </w:r>
      <w:r w:rsidRPr="001C3E2E">
        <w:rPr>
          <w:rFonts w:cstheme="minorHAnsi"/>
          <w:sz w:val="24"/>
          <w:szCs w:val="24"/>
          <w:lang w:val="el-GR"/>
        </w:rPr>
        <w:t xml:space="preserve"> </w:t>
      </w:r>
      <w:r>
        <w:rPr>
          <w:rFonts w:cstheme="minorHAnsi"/>
          <w:sz w:val="24"/>
          <w:szCs w:val="24"/>
          <w:lang w:val="el-GR"/>
        </w:rPr>
        <w:t>επίδομα</w:t>
      </w:r>
      <w:r w:rsidR="00220066" w:rsidRPr="001C3E2E">
        <w:rPr>
          <w:rFonts w:cstheme="minorHAnsi"/>
          <w:sz w:val="24"/>
          <w:szCs w:val="24"/>
          <w:lang w:val="el-GR"/>
        </w:rPr>
        <w:t xml:space="preserve"> (</w:t>
      </w:r>
      <w:r>
        <w:rPr>
          <w:rFonts w:cstheme="minorHAnsi"/>
          <w:sz w:val="24"/>
          <w:szCs w:val="24"/>
          <w:lang w:val="el-GR"/>
        </w:rPr>
        <w:t>για παράδειγμα</w:t>
      </w:r>
      <w:r w:rsidR="00220066" w:rsidRPr="001C3E2E">
        <w:rPr>
          <w:rFonts w:cstheme="minorHAnsi"/>
          <w:sz w:val="24"/>
          <w:szCs w:val="24"/>
          <w:lang w:val="el-GR"/>
        </w:rPr>
        <w:t xml:space="preserve">, </w:t>
      </w:r>
      <w:r>
        <w:rPr>
          <w:rFonts w:cstheme="minorHAnsi"/>
          <w:sz w:val="24"/>
          <w:szCs w:val="24"/>
          <w:lang w:val="el-GR"/>
        </w:rPr>
        <w:t xml:space="preserve">επίδομα πτήσης για </w:t>
      </w:r>
      <w:r w:rsidR="002E5EC0">
        <w:rPr>
          <w:rFonts w:cstheme="minorHAnsi"/>
          <w:sz w:val="24"/>
          <w:szCs w:val="24"/>
          <w:lang w:val="el-GR"/>
        </w:rPr>
        <w:t>αξιωματικούς</w:t>
      </w:r>
      <w:r>
        <w:rPr>
          <w:rFonts w:cstheme="minorHAnsi"/>
          <w:sz w:val="24"/>
          <w:szCs w:val="24"/>
          <w:lang w:val="el-GR"/>
        </w:rPr>
        <w:t xml:space="preserve"> που εντάσσονται στην Μονάδα Αεροπορικών Επιχειρήσεων της </w:t>
      </w:r>
      <w:r w:rsidR="009C4E34">
        <w:rPr>
          <w:rFonts w:cstheme="minorHAnsi"/>
          <w:sz w:val="24"/>
          <w:szCs w:val="24"/>
          <w:lang w:val="el-GR"/>
        </w:rPr>
        <w:t>Αστυνομία</w:t>
      </w:r>
      <w:r>
        <w:rPr>
          <w:rFonts w:cstheme="minorHAnsi"/>
          <w:sz w:val="24"/>
          <w:szCs w:val="24"/>
          <w:lang w:val="el-GR"/>
        </w:rPr>
        <w:t>ς</w:t>
      </w:r>
      <w:r w:rsidR="00220066" w:rsidRPr="001C3E2E">
        <w:rPr>
          <w:rFonts w:cstheme="minorHAnsi"/>
          <w:sz w:val="24"/>
          <w:szCs w:val="24"/>
          <w:lang w:val="el-GR"/>
        </w:rPr>
        <w:t>).</w:t>
      </w:r>
    </w:p>
    <w:p w14:paraId="397C5320" w14:textId="77777777" w:rsidR="00220066" w:rsidRPr="001C3E2E" w:rsidRDefault="00220066" w:rsidP="00220066">
      <w:pPr>
        <w:tabs>
          <w:tab w:val="left" w:pos="709"/>
        </w:tabs>
        <w:rPr>
          <w:rFonts w:cstheme="minorHAnsi"/>
          <w:sz w:val="24"/>
          <w:szCs w:val="24"/>
          <w:lang w:val="el-GR"/>
        </w:rPr>
      </w:pPr>
    </w:p>
    <w:p w14:paraId="718DBA54" w14:textId="708C8F07" w:rsidR="00220066" w:rsidRPr="001C3E2E" w:rsidRDefault="001C3E2E" w:rsidP="00220066">
      <w:pPr>
        <w:numPr>
          <w:ilvl w:val="0"/>
          <w:numId w:val="1"/>
        </w:numPr>
        <w:tabs>
          <w:tab w:val="left" w:pos="709"/>
        </w:tabs>
        <w:ind w:left="0" w:firstLine="0"/>
        <w:rPr>
          <w:rFonts w:cstheme="minorHAnsi"/>
          <w:sz w:val="24"/>
          <w:szCs w:val="24"/>
          <w:lang w:val="el-GR"/>
        </w:rPr>
      </w:pPr>
      <w:r>
        <w:rPr>
          <w:rFonts w:ascii="Calibri" w:hAnsi="Calibri" w:cs="Calibri"/>
          <w:color w:val="000000"/>
          <w:sz w:val="24"/>
          <w:szCs w:val="24"/>
          <w:lang w:val="el-GR"/>
        </w:rPr>
        <w:t>Τα</w:t>
      </w:r>
      <w:r w:rsidRPr="001C3E2E">
        <w:rPr>
          <w:rFonts w:ascii="Calibri" w:hAnsi="Calibri" w:cs="Calibri"/>
          <w:color w:val="000000"/>
          <w:sz w:val="24"/>
          <w:szCs w:val="24"/>
          <w:lang w:val="el-GR"/>
        </w:rPr>
        <w:t xml:space="preserve"> </w:t>
      </w:r>
      <w:r>
        <w:rPr>
          <w:rFonts w:ascii="Calibri" w:hAnsi="Calibri" w:cs="Calibri"/>
          <w:color w:val="000000"/>
          <w:sz w:val="24"/>
          <w:szCs w:val="24"/>
          <w:lang w:val="el-GR"/>
        </w:rPr>
        <w:t>ακόλουθα</w:t>
      </w:r>
      <w:r w:rsidRPr="001C3E2E">
        <w:rPr>
          <w:rFonts w:ascii="Calibri" w:hAnsi="Calibri" w:cs="Calibri"/>
          <w:color w:val="000000"/>
          <w:sz w:val="24"/>
          <w:szCs w:val="24"/>
          <w:lang w:val="el-GR"/>
        </w:rPr>
        <w:t xml:space="preserve"> </w:t>
      </w:r>
      <w:r>
        <w:rPr>
          <w:rFonts w:ascii="Calibri" w:hAnsi="Calibri" w:cs="Calibri"/>
          <w:color w:val="000000"/>
          <w:sz w:val="24"/>
          <w:szCs w:val="24"/>
          <w:lang w:val="el-GR"/>
        </w:rPr>
        <w:t>επιπρόσ</w:t>
      </w:r>
      <w:r w:rsidR="00AB4C9B">
        <w:rPr>
          <w:rFonts w:ascii="Calibri" w:hAnsi="Calibri" w:cs="Calibri"/>
          <w:color w:val="000000"/>
          <w:sz w:val="24"/>
          <w:szCs w:val="24"/>
          <w:lang w:val="el-GR"/>
        </w:rPr>
        <w:t>θ</w:t>
      </w:r>
      <w:r>
        <w:rPr>
          <w:rFonts w:ascii="Calibri" w:hAnsi="Calibri" w:cs="Calibri"/>
          <w:color w:val="000000"/>
          <w:sz w:val="24"/>
          <w:szCs w:val="24"/>
          <w:lang w:val="el-GR"/>
        </w:rPr>
        <w:t>ετα</w:t>
      </w:r>
      <w:r w:rsidRPr="001C3E2E">
        <w:rPr>
          <w:rFonts w:ascii="Calibri" w:hAnsi="Calibri" w:cs="Calibri"/>
          <w:color w:val="000000"/>
          <w:sz w:val="24"/>
          <w:szCs w:val="24"/>
          <w:lang w:val="el-GR"/>
        </w:rPr>
        <w:t xml:space="preserve"> </w:t>
      </w:r>
      <w:r>
        <w:rPr>
          <w:rFonts w:ascii="Calibri" w:hAnsi="Calibri" w:cs="Calibri"/>
          <w:color w:val="000000"/>
          <w:sz w:val="24"/>
          <w:szCs w:val="24"/>
          <w:lang w:val="el-GR"/>
        </w:rPr>
        <w:t>επιδόματα</w:t>
      </w:r>
      <w:r w:rsidRPr="001C3E2E">
        <w:rPr>
          <w:rFonts w:ascii="Calibri" w:hAnsi="Calibri" w:cs="Calibri"/>
          <w:color w:val="000000"/>
          <w:sz w:val="24"/>
          <w:szCs w:val="24"/>
          <w:lang w:val="el-GR"/>
        </w:rPr>
        <w:t xml:space="preserve"> </w:t>
      </w:r>
      <w:r>
        <w:rPr>
          <w:rFonts w:ascii="Calibri" w:hAnsi="Calibri" w:cs="Calibri"/>
          <w:color w:val="000000"/>
          <w:sz w:val="24"/>
          <w:szCs w:val="24"/>
          <w:lang w:val="el-GR"/>
        </w:rPr>
        <w:t>παρέχονται</w:t>
      </w:r>
      <w:r w:rsidRPr="001C3E2E">
        <w:rPr>
          <w:rFonts w:ascii="Calibri" w:hAnsi="Calibri" w:cs="Calibri"/>
          <w:color w:val="000000"/>
          <w:sz w:val="24"/>
          <w:szCs w:val="24"/>
          <w:lang w:val="el-GR"/>
        </w:rPr>
        <w:t xml:space="preserve"> </w:t>
      </w:r>
      <w:r>
        <w:rPr>
          <w:rFonts w:ascii="Calibri" w:hAnsi="Calibri" w:cs="Calibri"/>
          <w:color w:val="000000"/>
          <w:sz w:val="24"/>
          <w:szCs w:val="24"/>
          <w:lang w:val="el-GR"/>
        </w:rPr>
        <w:t>στους</w:t>
      </w:r>
      <w:r w:rsidRPr="001C3E2E">
        <w:rPr>
          <w:rFonts w:ascii="Calibri" w:hAnsi="Calibri" w:cs="Calibri"/>
          <w:color w:val="000000"/>
          <w:sz w:val="24"/>
          <w:szCs w:val="24"/>
          <w:lang w:val="el-GR"/>
        </w:rPr>
        <w:t xml:space="preserve"> </w:t>
      </w:r>
      <w:r>
        <w:rPr>
          <w:rFonts w:ascii="Calibri" w:hAnsi="Calibri" w:cs="Calibri"/>
          <w:color w:val="000000"/>
          <w:sz w:val="24"/>
          <w:szCs w:val="24"/>
          <w:lang w:val="el-GR"/>
        </w:rPr>
        <w:t>ΑΕΝ</w:t>
      </w:r>
      <w:r w:rsidR="00220066" w:rsidRPr="001C3E2E">
        <w:rPr>
          <w:rFonts w:ascii="Calibri" w:hAnsi="Calibri" w:cs="Calibri"/>
          <w:color w:val="000000"/>
          <w:sz w:val="24"/>
          <w:szCs w:val="24"/>
          <w:lang w:val="el-GR"/>
        </w:rPr>
        <w:t xml:space="preserve">, </w:t>
      </w:r>
      <w:r>
        <w:rPr>
          <w:rFonts w:ascii="Calibri" w:hAnsi="Calibri" w:cs="Calibri"/>
          <w:color w:val="000000"/>
          <w:sz w:val="24"/>
          <w:szCs w:val="24"/>
          <w:lang w:val="el-GR"/>
        </w:rPr>
        <w:t xml:space="preserve">ανάλογα με τα καθήκοντα τους και τον κλίμακα </w:t>
      </w:r>
      <w:r w:rsidR="00AB4C9B">
        <w:rPr>
          <w:rFonts w:ascii="Calibri" w:hAnsi="Calibri" w:cs="Calibri"/>
          <w:color w:val="000000"/>
          <w:sz w:val="24"/>
          <w:szCs w:val="24"/>
          <w:lang w:val="el-GR"/>
        </w:rPr>
        <w:t xml:space="preserve">του </w:t>
      </w:r>
      <w:r>
        <w:rPr>
          <w:rFonts w:ascii="Calibri" w:hAnsi="Calibri" w:cs="Calibri"/>
          <w:color w:val="000000"/>
          <w:sz w:val="24"/>
          <w:szCs w:val="24"/>
          <w:lang w:val="el-GR"/>
        </w:rPr>
        <w:t>μισθού τους</w:t>
      </w:r>
      <w:r w:rsidR="00220066" w:rsidRPr="001C3E2E">
        <w:rPr>
          <w:rFonts w:ascii="Calibri" w:hAnsi="Calibri" w:cs="Calibri"/>
          <w:color w:val="000000"/>
          <w:sz w:val="24"/>
          <w:szCs w:val="24"/>
          <w:lang w:val="el-GR"/>
        </w:rPr>
        <w:t>:</w:t>
      </w:r>
    </w:p>
    <w:p w14:paraId="65322232" w14:textId="77777777" w:rsidR="00220066" w:rsidRPr="001C3E2E" w:rsidRDefault="00220066" w:rsidP="00220066">
      <w:pPr>
        <w:pStyle w:val="ListParagraph"/>
        <w:autoSpaceDE w:val="0"/>
        <w:autoSpaceDN w:val="0"/>
        <w:adjustRightInd w:val="0"/>
        <w:spacing w:line="276" w:lineRule="auto"/>
        <w:ind w:left="-426" w:right="-483"/>
        <w:contextualSpacing w:val="0"/>
        <w:rPr>
          <w:rFonts w:ascii="Calibri" w:hAnsi="Calibri" w:cs="Calibri"/>
          <w:color w:val="000000"/>
          <w:sz w:val="12"/>
          <w:szCs w:val="24"/>
          <w:lang w:val="el-GR"/>
        </w:rPr>
      </w:pPr>
    </w:p>
    <w:p w14:paraId="4F56D7C4" w14:textId="4482C22D" w:rsidR="00220066" w:rsidRPr="001C3E2E" w:rsidRDefault="001C3E2E" w:rsidP="00220066">
      <w:pPr>
        <w:numPr>
          <w:ilvl w:val="0"/>
          <w:numId w:val="3"/>
        </w:numPr>
        <w:autoSpaceDE w:val="0"/>
        <w:autoSpaceDN w:val="0"/>
        <w:adjustRightInd w:val="0"/>
        <w:spacing w:line="276" w:lineRule="auto"/>
        <w:ind w:right="-483"/>
        <w:rPr>
          <w:rFonts w:ascii="Calibri" w:hAnsi="Calibri" w:cs="Calibri"/>
          <w:color w:val="000000"/>
          <w:sz w:val="24"/>
          <w:szCs w:val="24"/>
          <w:lang w:val="el-GR"/>
        </w:rPr>
      </w:pPr>
      <w:r>
        <w:rPr>
          <w:rFonts w:ascii="Calibri" w:hAnsi="Calibri" w:cs="Calibri"/>
          <w:color w:val="000000"/>
          <w:sz w:val="24"/>
          <w:szCs w:val="24"/>
          <w:lang w:val="el-GR"/>
        </w:rPr>
        <w:t>Επίδομα Καθήκοντος</w:t>
      </w:r>
      <w:r w:rsidR="00220066" w:rsidRPr="001C3E2E">
        <w:rPr>
          <w:rFonts w:ascii="Calibri" w:hAnsi="Calibri" w:cs="Calibri"/>
          <w:color w:val="000000"/>
          <w:sz w:val="24"/>
          <w:szCs w:val="24"/>
          <w:lang w:val="el-GR"/>
        </w:rPr>
        <w:t xml:space="preserve"> (</w:t>
      </w:r>
      <w:r>
        <w:rPr>
          <w:rFonts w:ascii="Calibri" w:hAnsi="Calibri" w:cs="Calibri"/>
          <w:color w:val="000000"/>
          <w:sz w:val="24"/>
          <w:szCs w:val="24"/>
          <w:lang w:val="el-GR"/>
        </w:rPr>
        <w:t>εξαρτάται από τον βαθμό</w:t>
      </w:r>
      <w:r w:rsidR="00220066" w:rsidRPr="001C3E2E">
        <w:rPr>
          <w:rFonts w:ascii="Calibri" w:hAnsi="Calibri" w:cs="Calibri"/>
          <w:color w:val="000000"/>
          <w:sz w:val="24"/>
          <w:szCs w:val="24"/>
          <w:lang w:val="el-GR"/>
        </w:rPr>
        <w:t xml:space="preserve">) </w:t>
      </w:r>
    </w:p>
    <w:p w14:paraId="51A060DB" w14:textId="7A1CEE99" w:rsidR="00220066" w:rsidRPr="00D74B52" w:rsidRDefault="001C3E2E" w:rsidP="00220066">
      <w:pPr>
        <w:numPr>
          <w:ilvl w:val="0"/>
          <w:numId w:val="3"/>
        </w:numPr>
        <w:autoSpaceDE w:val="0"/>
        <w:autoSpaceDN w:val="0"/>
        <w:adjustRightInd w:val="0"/>
        <w:spacing w:line="276" w:lineRule="auto"/>
        <w:ind w:right="-483"/>
        <w:rPr>
          <w:rFonts w:ascii="Calibri" w:hAnsi="Calibri" w:cs="Calibri"/>
          <w:color w:val="000000"/>
          <w:sz w:val="24"/>
          <w:szCs w:val="24"/>
        </w:rPr>
      </w:pPr>
      <w:r>
        <w:rPr>
          <w:rFonts w:ascii="Calibri" w:hAnsi="Calibri" w:cs="Calibri"/>
          <w:color w:val="000000"/>
          <w:sz w:val="24"/>
          <w:szCs w:val="24"/>
          <w:lang w:val="el-GR"/>
        </w:rPr>
        <w:t>Επίδομα</w:t>
      </w:r>
      <w:r w:rsidRPr="001C3E2E">
        <w:rPr>
          <w:rFonts w:ascii="Calibri" w:hAnsi="Calibri" w:cs="Calibri"/>
          <w:color w:val="000000"/>
          <w:sz w:val="24"/>
          <w:szCs w:val="24"/>
          <w:lang w:val="en-US"/>
        </w:rPr>
        <w:t xml:space="preserve"> </w:t>
      </w:r>
      <w:r>
        <w:rPr>
          <w:rFonts w:ascii="Calibri" w:hAnsi="Calibri" w:cs="Calibri"/>
          <w:color w:val="000000"/>
          <w:sz w:val="24"/>
          <w:szCs w:val="24"/>
          <w:lang w:val="el-GR"/>
        </w:rPr>
        <w:t>Ειδικών</w:t>
      </w:r>
      <w:r w:rsidRPr="001C3E2E">
        <w:rPr>
          <w:rFonts w:ascii="Calibri" w:hAnsi="Calibri" w:cs="Calibri"/>
          <w:color w:val="000000"/>
          <w:sz w:val="24"/>
          <w:szCs w:val="24"/>
          <w:lang w:val="en-US"/>
        </w:rPr>
        <w:t xml:space="preserve"> </w:t>
      </w:r>
      <w:r w:rsidR="008F7129">
        <w:rPr>
          <w:rFonts w:ascii="Calibri" w:hAnsi="Calibri" w:cs="Calibri"/>
          <w:color w:val="000000"/>
          <w:sz w:val="24"/>
          <w:szCs w:val="24"/>
          <w:lang w:val="el-GR"/>
        </w:rPr>
        <w:t>Συνθηκών</w:t>
      </w:r>
      <w:r w:rsidR="008F7129" w:rsidRPr="008F7129">
        <w:rPr>
          <w:rFonts w:ascii="Calibri" w:hAnsi="Calibri" w:cs="Calibri"/>
          <w:color w:val="000000"/>
          <w:sz w:val="24"/>
          <w:szCs w:val="24"/>
          <w:lang w:val="en-US"/>
        </w:rPr>
        <w:t xml:space="preserve"> </w:t>
      </w:r>
      <w:r w:rsidR="008F7129">
        <w:rPr>
          <w:rFonts w:ascii="Calibri" w:hAnsi="Calibri" w:cs="Calibri"/>
          <w:color w:val="000000"/>
          <w:sz w:val="24"/>
          <w:szCs w:val="24"/>
          <w:lang w:val="el-GR"/>
        </w:rPr>
        <w:t>Εργασίας</w:t>
      </w:r>
      <w:r w:rsidR="00220066" w:rsidRPr="00D74B52">
        <w:rPr>
          <w:rFonts w:ascii="Calibri" w:hAnsi="Calibri" w:cs="Calibri"/>
          <w:color w:val="000000"/>
          <w:sz w:val="24"/>
          <w:szCs w:val="24"/>
        </w:rPr>
        <w:t xml:space="preserve"> €1 632 </w:t>
      </w:r>
      <w:r w:rsidR="008F7129">
        <w:rPr>
          <w:rFonts w:ascii="Calibri" w:hAnsi="Calibri" w:cs="Calibri"/>
          <w:color w:val="000000"/>
          <w:sz w:val="24"/>
          <w:szCs w:val="24"/>
          <w:lang w:val="el-GR"/>
        </w:rPr>
        <w:t>ετησίως</w:t>
      </w:r>
    </w:p>
    <w:p w14:paraId="10B0858E" w14:textId="1915B1B9" w:rsidR="00220066" w:rsidRPr="00D74B52" w:rsidRDefault="008F7129" w:rsidP="00220066">
      <w:pPr>
        <w:numPr>
          <w:ilvl w:val="0"/>
          <w:numId w:val="3"/>
        </w:numPr>
        <w:autoSpaceDE w:val="0"/>
        <w:autoSpaceDN w:val="0"/>
        <w:adjustRightInd w:val="0"/>
        <w:spacing w:line="276" w:lineRule="auto"/>
        <w:ind w:right="-483"/>
        <w:rPr>
          <w:rFonts w:ascii="Calibri" w:hAnsi="Calibri" w:cs="Calibri"/>
          <w:color w:val="000000"/>
          <w:sz w:val="24"/>
          <w:szCs w:val="24"/>
        </w:rPr>
      </w:pPr>
      <w:r>
        <w:rPr>
          <w:rFonts w:ascii="Calibri" w:hAnsi="Calibri" w:cs="Calibri"/>
          <w:color w:val="000000"/>
          <w:sz w:val="24"/>
          <w:szCs w:val="24"/>
          <w:lang w:val="el-GR"/>
        </w:rPr>
        <w:t>Επίδομα Πτήσης</w:t>
      </w:r>
      <w:r w:rsidR="00220066" w:rsidRPr="00D74B52">
        <w:rPr>
          <w:rFonts w:ascii="Calibri" w:hAnsi="Calibri" w:cs="Calibri"/>
          <w:color w:val="000000"/>
          <w:sz w:val="24"/>
          <w:szCs w:val="24"/>
        </w:rPr>
        <w:t xml:space="preserve"> </w:t>
      </w:r>
      <w:r>
        <w:rPr>
          <w:rFonts w:ascii="Calibri" w:hAnsi="Calibri" w:cs="Calibri"/>
          <w:color w:val="000000"/>
          <w:sz w:val="24"/>
          <w:szCs w:val="24"/>
          <w:lang w:val="el-GR"/>
        </w:rPr>
        <w:t>μέχρι</w:t>
      </w:r>
      <w:r w:rsidR="00220066" w:rsidRPr="00D74B52">
        <w:rPr>
          <w:rFonts w:ascii="Calibri" w:hAnsi="Calibri" w:cs="Calibri"/>
          <w:color w:val="000000"/>
          <w:sz w:val="24"/>
          <w:szCs w:val="24"/>
        </w:rPr>
        <w:t xml:space="preserve"> €6 454</w:t>
      </w:r>
      <w:r w:rsidR="00220066" w:rsidRPr="00D74B52">
        <w:rPr>
          <w:rFonts w:ascii="Calibri" w:hAnsi="Calibri" w:cs="Calibri"/>
          <w:b/>
          <w:bCs/>
          <w:color w:val="000000"/>
          <w:sz w:val="24"/>
          <w:szCs w:val="24"/>
        </w:rPr>
        <w:t xml:space="preserve"> </w:t>
      </w:r>
      <w:r w:rsidRPr="008F7129">
        <w:rPr>
          <w:rFonts w:ascii="Calibri" w:hAnsi="Calibri" w:cs="Calibri"/>
          <w:bCs/>
          <w:color w:val="000000"/>
          <w:sz w:val="24"/>
          <w:szCs w:val="24"/>
          <w:lang w:val="el-GR"/>
        </w:rPr>
        <w:t>ετησίως</w:t>
      </w:r>
    </w:p>
    <w:p w14:paraId="5F0063D0" w14:textId="2CA94DB8" w:rsidR="00220066" w:rsidRPr="00D74B52" w:rsidRDefault="008F7129" w:rsidP="00220066">
      <w:pPr>
        <w:numPr>
          <w:ilvl w:val="0"/>
          <w:numId w:val="3"/>
        </w:numPr>
        <w:autoSpaceDE w:val="0"/>
        <w:autoSpaceDN w:val="0"/>
        <w:adjustRightInd w:val="0"/>
        <w:spacing w:line="276" w:lineRule="auto"/>
        <w:ind w:right="-483"/>
        <w:rPr>
          <w:rFonts w:ascii="Calibri" w:hAnsi="Calibri" w:cs="Calibri"/>
          <w:color w:val="000000"/>
          <w:sz w:val="24"/>
          <w:szCs w:val="24"/>
        </w:rPr>
      </w:pPr>
      <w:r>
        <w:rPr>
          <w:rFonts w:ascii="Calibri" w:hAnsi="Calibri" w:cs="Calibri"/>
          <w:color w:val="000000"/>
          <w:sz w:val="24"/>
          <w:szCs w:val="24"/>
          <w:lang w:val="el-GR"/>
        </w:rPr>
        <w:t>Επίδομα Δυτών</w:t>
      </w:r>
      <w:r w:rsidR="00220066" w:rsidRPr="00D74B52">
        <w:rPr>
          <w:rFonts w:ascii="Calibri" w:hAnsi="Calibri" w:cs="Calibri"/>
          <w:color w:val="000000"/>
          <w:sz w:val="24"/>
          <w:szCs w:val="24"/>
        </w:rPr>
        <w:t xml:space="preserve"> €2 969 </w:t>
      </w:r>
      <w:r>
        <w:rPr>
          <w:rFonts w:ascii="Calibri" w:hAnsi="Calibri" w:cs="Calibri"/>
          <w:color w:val="000000"/>
          <w:sz w:val="24"/>
          <w:szCs w:val="24"/>
          <w:lang w:val="el-GR"/>
        </w:rPr>
        <w:t>ετησίως</w:t>
      </w:r>
    </w:p>
    <w:p w14:paraId="2D020A7D" w14:textId="513D0369" w:rsidR="00220066" w:rsidRPr="008F7129" w:rsidRDefault="008F7129" w:rsidP="00220066">
      <w:pPr>
        <w:numPr>
          <w:ilvl w:val="0"/>
          <w:numId w:val="3"/>
        </w:numPr>
        <w:autoSpaceDE w:val="0"/>
        <w:autoSpaceDN w:val="0"/>
        <w:adjustRightInd w:val="0"/>
        <w:spacing w:line="276" w:lineRule="auto"/>
        <w:ind w:right="-483"/>
        <w:rPr>
          <w:rFonts w:ascii="Calibri" w:hAnsi="Calibri" w:cs="Calibri"/>
          <w:color w:val="000000"/>
          <w:sz w:val="24"/>
          <w:szCs w:val="24"/>
          <w:lang w:val="el-GR"/>
        </w:rPr>
      </w:pPr>
      <w:r>
        <w:rPr>
          <w:rFonts w:ascii="Calibri" w:hAnsi="Calibri" w:cs="Calibri"/>
          <w:color w:val="000000"/>
          <w:sz w:val="24"/>
          <w:szCs w:val="24"/>
          <w:lang w:val="el-GR"/>
        </w:rPr>
        <w:t>Γενικό</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Επίδομα</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Εξωτερικού</w:t>
      </w:r>
      <w:r w:rsidR="00220066" w:rsidRPr="008F7129">
        <w:rPr>
          <w:rFonts w:ascii="Calibri" w:hAnsi="Calibri" w:cs="Calibri"/>
          <w:color w:val="000000"/>
          <w:sz w:val="24"/>
          <w:szCs w:val="24"/>
          <w:lang w:val="el-GR"/>
        </w:rPr>
        <w:t xml:space="preserve"> (</w:t>
      </w:r>
      <w:r>
        <w:rPr>
          <w:rFonts w:ascii="Calibri" w:hAnsi="Calibri" w:cs="Calibri"/>
          <w:color w:val="000000"/>
          <w:sz w:val="24"/>
          <w:szCs w:val="24"/>
          <w:lang w:val="el-GR"/>
        </w:rPr>
        <w:t>εξαρτάται από την χώρα</w:t>
      </w:r>
      <w:r w:rsidR="00220066" w:rsidRPr="008F7129">
        <w:rPr>
          <w:rFonts w:ascii="Calibri" w:hAnsi="Calibri" w:cs="Calibri"/>
          <w:color w:val="000000"/>
          <w:sz w:val="24"/>
          <w:szCs w:val="24"/>
          <w:lang w:val="el-GR"/>
        </w:rPr>
        <w:t>)</w:t>
      </w:r>
    </w:p>
    <w:p w14:paraId="425934C7" w14:textId="34384D87" w:rsidR="00220066" w:rsidRPr="008F7129" w:rsidRDefault="008F7129" w:rsidP="00220066">
      <w:pPr>
        <w:numPr>
          <w:ilvl w:val="0"/>
          <w:numId w:val="3"/>
        </w:numPr>
        <w:autoSpaceDE w:val="0"/>
        <w:autoSpaceDN w:val="0"/>
        <w:adjustRightInd w:val="0"/>
        <w:spacing w:line="276" w:lineRule="auto"/>
        <w:ind w:right="-483"/>
        <w:rPr>
          <w:rFonts w:ascii="Calibri" w:hAnsi="Calibri" w:cs="Calibri"/>
          <w:color w:val="000000"/>
          <w:sz w:val="24"/>
          <w:szCs w:val="24"/>
          <w:lang w:val="el-GR"/>
        </w:rPr>
      </w:pPr>
      <w:r>
        <w:rPr>
          <w:rFonts w:ascii="Calibri" w:hAnsi="Calibri" w:cs="Calibri"/>
          <w:color w:val="000000"/>
          <w:sz w:val="24"/>
          <w:szCs w:val="24"/>
          <w:lang w:val="el-GR"/>
        </w:rPr>
        <w:t>Επίδομα</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Ενοικίου</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Εξωτερικού</w:t>
      </w:r>
      <w:r w:rsidR="00220066" w:rsidRPr="008F7129">
        <w:rPr>
          <w:rFonts w:ascii="Calibri" w:hAnsi="Calibri" w:cs="Calibri"/>
          <w:color w:val="000000"/>
          <w:sz w:val="24"/>
          <w:szCs w:val="24"/>
          <w:lang w:val="el-GR"/>
        </w:rPr>
        <w:t xml:space="preserve"> (</w:t>
      </w:r>
      <w:r>
        <w:rPr>
          <w:rFonts w:ascii="Calibri" w:hAnsi="Calibri" w:cs="Calibri"/>
          <w:color w:val="000000"/>
          <w:sz w:val="24"/>
          <w:szCs w:val="24"/>
          <w:lang w:val="el-GR"/>
        </w:rPr>
        <w:t>εξαρτάται από την χώρα</w:t>
      </w:r>
      <w:r w:rsidR="00220066" w:rsidRPr="008F7129">
        <w:rPr>
          <w:rFonts w:ascii="Calibri" w:hAnsi="Calibri" w:cs="Calibri"/>
          <w:color w:val="000000"/>
          <w:sz w:val="24"/>
          <w:szCs w:val="24"/>
          <w:lang w:val="el-GR"/>
        </w:rPr>
        <w:t>)</w:t>
      </w:r>
    </w:p>
    <w:p w14:paraId="734A8830" w14:textId="039C6D56" w:rsidR="00220066" w:rsidRPr="00D74B52" w:rsidRDefault="008F7129" w:rsidP="00220066">
      <w:pPr>
        <w:numPr>
          <w:ilvl w:val="0"/>
          <w:numId w:val="3"/>
        </w:numPr>
        <w:autoSpaceDE w:val="0"/>
        <w:autoSpaceDN w:val="0"/>
        <w:adjustRightInd w:val="0"/>
        <w:spacing w:line="276" w:lineRule="auto"/>
        <w:ind w:right="-483"/>
        <w:rPr>
          <w:rFonts w:ascii="Calibri" w:hAnsi="Calibri" w:cs="Calibri"/>
          <w:color w:val="000000"/>
          <w:sz w:val="24"/>
          <w:szCs w:val="24"/>
        </w:rPr>
      </w:pPr>
      <w:r>
        <w:rPr>
          <w:rFonts w:ascii="Calibri" w:hAnsi="Calibri" w:cs="Calibri"/>
          <w:color w:val="000000"/>
          <w:sz w:val="24"/>
          <w:szCs w:val="24"/>
          <w:lang w:val="el-GR"/>
        </w:rPr>
        <w:t>Επίδομα</w:t>
      </w:r>
      <w:r w:rsidRPr="008F7129">
        <w:rPr>
          <w:rFonts w:ascii="Calibri" w:hAnsi="Calibri" w:cs="Calibri"/>
          <w:color w:val="000000"/>
          <w:sz w:val="24"/>
          <w:szCs w:val="24"/>
          <w:lang w:val="en-US"/>
        </w:rPr>
        <w:t xml:space="preserve"> </w:t>
      </w:r>
      <w:r>
        <w:rPr>
          <w:rFonts w:ascii="Calibri" w:hAnsi="Calibri" w:cs="Calibri"/>
          <w:color w:val="000000"/>
          <w:sz w:val="24"/>
          <w:szCs w:val="24"/>
          <w:lang w:val="el-GR"/>
        </w:rPr>
        <w:t>Συντήρησης</w:t>
      </w:r>
      <w:r w:rsidRPr="008F7129">
        <w:rPr>
          <w:rFonts w:ascii="Calibri" w:hAnsi="Calibri" w:cs="Calibri"/>
          <w:color w:val="000000"/>
          <w:sz w:val="24"/>
          <w:szCs w:val="24"/>
          <w:lang w:val="en-US"/>
        </w:rPr>
        <w:t xml:space="preserve"> </w:t>
      </w:r>
      <w:r>
        <w:rPr>
          <w:rFonts w:ascii="Calibri" w:hAnsi="Calibri" w:cs="Calibri"/>
          <w:color w:val="000000"/>
          <w:sz w:val="24"/>
          <w:szCs w:val="24"/>
          <w:lang w:val="el-GR"/>
        </w:rPr>
        <w:t>για</w:t>
      </w:r>
      <w:r w:rsidRPr="008F7129">
        <w:rPr>
          <w:rFonts w:ascii="Calibri" w:hAnsi="Calibri" w:cs="Calibri"/>
          <w:color w:val="000000"/>
          <w:sz w:val="24"/>
          <w:szCs w:val="24"/>
          <w:lang w:val="en-US"/>
        </w:rPr>
        <w:t xml:space="preserve"> </w:t>
      </w:r>
      <w:r>
        <w:rPr>
          <w:rFonts w:ascii="Calibri" w:hAnsi="Calibri" w:cs="Calibri"/>
          <w:color w:val="000000"/>
          <w:sz w:val="24"/>
          <w:szCs w:val="24"/>
          <w:lang w:val="el-GR"/>
        </w:rPr>
        <w:t>Κρατικούς</w:t>
      </w:r>
      <w:r w:rsidRPr="008F7129">
        <w:rPr>
          <w:rFonts w:ascii="Calibri" w:hAnsi="Calibri" w:cs="Calibri"/>
          <w:color w:val="000000"/>
          <w:sz w:val="24"/>
          <w:szCs w:val="24"/>
          <w:lang w:val="en-US"/>
        </w:rPr>
        <w:t xml:space="preserve"> </w:t>
      </w:r>
      <w:r>
        <w:rPr>
          <w:rFonts w:ascii="Calibri" w:hAnsi="Calibri" w:cs="Calibri"/>
          <w:color w:val="000000"/>
          <w:sz w:val="24"/>
          <w:szCs w:val="24"/>
          <w:lang w:val="el-GR"/>
        </w:rPr>
        <w:t>Αξιωματούχους</w:t>
      </w:r>
    </w:p>
    <w:p w14:paraId="0D5787BC" w14:textId="1E99AC6B" w:rsidR="00220066" w:rsidRPr="008F7129" w:rsidRDefault="008F7129" w:rsidP="00220066">
      <w:pPr>
        <w:numPr>
          <w:ilvl w:val="0"/>
          <w:numId w:val="3"/>
        </w:numPr>
        <w:autoSpaceDE w:val="0"/>
        <w:autoSpaceDN w:val="0"/>
        <w:adjustRightInd w:val="0"/>
        <w:spacing w:line="276" w:lineRule="auto"/>
        <w:ind w:right="-483"/>
        <w:rPr>
          <w:rFonts w:ascii="Calibri" w:hAnsi="Calibri" w:cs="Calibri"/>
          <w:color w:val="000000"/>
          <w:sz w:val="24"/>
          <w:szCs w:val="24"/>
          <w:lang w:val="el-GR"/>
        </w:rPr>
      </w:pPr>
      <w:r>
        <w:rPr>
          <w:rFonts w:ascii="Calibri" w:hAnsi="Calibri" w:cs="Calibri"/>
          <w:color w:val="000000"/>
          <w:sz w:val="24"/>
          <w:szCs w:val="24"/>
          <w:lang w:val="el-GR"/>
        </w:rPr>
        <w:t>Επίδομα</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Μόρφωσης</w:t>
      </w:r>
      <w:r w:rsidR="00220066" w:rsidRPr="008F7129">
        <w:rPr>
          <w:rFonts w:ascii="Calibri" w:hAnsi="Calibri" w:cs="Calibri"/>
          <w:color w:val="000000"/>
          <w:sz w:val="24"/>
          <w:szCs w:val="24"/>
          <w:lang w:val="el-GR"/>
        </w:rPr>
        <w:t xml:space="preserve"> (</w:t>
      </w:r>
      <w:r>
        <w:rPr>
          <w:rFonts w:ascii="Calibri" w:hAnsi="Calibri" w:cs="Calibri"/>
          <w:color w:val="000000"/>
          <w:sz w:val="24"/>
          <w:szCs w:val="24"/>
          <w:lang w:val="el-GR"/>
        </w:rPr>
        <w:t>εξαρτάται</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από</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τα</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δίδακτρα</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που</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πληρώνονται</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από</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το</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μέλος για τα παιδιά τους</w:t>
      </w:r>
      <w:r w:rsidR="00220066" w:rsidRPr="008F7129">
        <w:rPr>
          <w:rFonts w:ascii="Calibri" w:hAnsi="Calibri" w:cs="Calibri"/>
          <w:color w:val="000000"/>
          <w:sz w:val="24"/>
          <w:szCs w:val="24"/>
          <w:lang w:val="el-GR"/>
        </w:rPr>
        <w:t>)</w:t>
      </w:r>
    </w:p>
    <w:p w14:paraId="71FEF928" w14:textId="2A020162" w:rsidR="00220066" w:rsidRPr="008F7129" w:rsidRDefault="008F7129" w:rsidP="00220066">
      <w:pPr>
        <w:numPr>
          <w:ilvl w:val="0"/>
          <w:numId w:val="3"/>
        </w:numPr>
        <w:autoSpaceDE w:val="0"/>
        <w:autoSpaceDN w:val="0"/>
        <w:adjustRightInd w:val="0"/>
        <w:spacing w:line="276" w:lineRule="auto"/>
        <w:ind w:right="-483"/>
        <w:rPr>
          <w:rFonts w:ascii="Calibri" w:hAnsi="Calibri" w:cs="Calibri"/>
          <w:color w:val="000000"/>
          <w:sz w:val="24"/>
          <w:szCs w:val="24"/>
          <w:lang w:val="el-GR"/>
        </w:rPr>
      </w:pPr>
      <w:r>
        <w:rPr>
          <w:rFonts w:ascii="Calibri" w:hAnsi="Calibri" w:cs="Calibri"/>
          <w:color w:val="000000"/>
          <w:sz w:val="24"/>
          <w:szCs w:val="24"/>
          <w:lang w:val="el-GR"/>
        </w:rPr>
        <w:t>Τέλη</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για</w:t>
      </w:r>
      <w:r w:rsidRPr="008F7129">
        <w:rPr>
          <w:rFonts w:ascii="Calibri" w:hAnsi="Calibri" w:cs="Calibri"/>
          <w:color w:val="000000"/>
          <w:sz w:val="24"/>
          <w:szCs w:val="24"/>
          <w:lang w:val="el-GR"/>
        </w:rPr>
        <w:t xml:space="preserve"> </w:t>
      </w:r>
      <w:r>
        <w:rPr>
          <w:rFonts w:ascii="Calibri" w:hAnsi="Calibri" w:cs="Calibri"/>
          <w:color w:val="000000"/>
          <w:sz w:val="24"/>
          <w:szCs w:val="24"/>
          <w:lang w:val="en-US"/>
        </w:rPr>
        <w:t>M</w:t>
      </w:r>
      <w:proofErr w:type="spellStart"/>
      <w:r>
        <w:rPr>
          <w:rFonts w:ascii="Calibri" w:hAnsi="Calibri" w:cs="Calibri"/>
          <w:color w:val="000000"/>
          <w:sz w:val="24"/>
          <w:szCs w:val="24"/>
          <w:lang w:val="el-GR"/>
        </w:rPr>
        <w:t>ετατροπή</w:t>
      </w:r>
      <w:proofErr w:type="spellEnd"/>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Υπερωριών</w:t>
      </w:r>
      <w:r w:rsidR="00220066" w:rsidRPr="008F7129">
        <w:rPr>
          <w:rFonts w:ascii="Calibri" w:hAnsi="Calibri" w:cs="Calibri"/>
          <w:color w:val="000000"/>
          <w:sz w:val="24"/>
          <w:szCs w:val="24"/>
          <w:lang w:val="el-GR"/>
        </w:rPr>
        <w:t xml:space="preserve"> (</w:t>
      </w:r>
      <w:r>
        <w:rPr>
          <w:rFonts w:ascii="Calibri" w:hAnsi="Calibri" w:cs="Calibri"/>
          <w:color w:val="000000"/>
          <w:sz w:val="24"/>
          <w:szCs w:val="24"/>
          <w:lang w:val="el-GR"/>
        </w:rPr>
        <w:t>εξαρτάται από τον βαθμό και τα καθή</w:t>
      </w:r>
      <w:r w:rsidR="00AB4C9B">
        <w:rPr>
          <w:rFonts w:ascii="Calibri" w:hAnsi="Calibri" w:cs="Calibri"/>
          <w:color w:val="000000"/>
          <w:sz w:val="24"/>
          <w:szCs w:val="24"/>
          <w:lang w:val="el-GR"/>
        </w:rPr>
        <w:t>κ</w:t>
      </w:r>
      <w:r>
        <w:rPr>
          <w:rFonts w:ascii="Calibri" w:hAnsi="Calibri" w:cs="Calibri"/>
          <w:color w:val="000000"/>
          <w:sz w:val="24"/>
          <w:szCs w:val="24"/>
          <w:lang w:val="el-GR"/>
        </w:rPr>
        <w:t>οντα του ΑΕΝ</w:t>
      </w:r>
      <w:r w:rsidR="00220066" w:rsidRPr="008F7129">
        <w:rPr>
          <w:rFonts w:ascii="Calibri" w:hAnsi="Calibri" w:cs="Calibri"/>
          <w:color w:val="000000"/>
          <w:sz w:val="24"/>
          <w:szCs w:val="24"/>
          <w:lang w:val="el-GR"/>
        </w:rPr>
        <w:t>)</w:t>
      </w:r>
    </w:p>
    <w:p w14:paraId="5DA966C5" w14:textId="46EB340B" w:rsidR="00220066" w:rsidRPr="008F7129" w:rsidRDefault="008F7129" w:rsidP="00220066">
      <w:pPr>
        <w:numPr>
          <w:ilvl w:val="0"/>
          <w:numId w:val="3"/>
        </w:numPr>
        <w:autoSpaceDE w:val="0"/>
        <w:autoSpaceDN w:val="0"/>
        <w:adjustRightInd w:val="0"/>
        <w:spacing w:line="276" w:lineRule="auto"/>
        <w:ind w:right="-483"/>
        <w:rPr>
          <w:rFonts w:ascii="Calibri" w:hAnsi="Calibri" w:cs="Calibri"/>
          <w:color w:val="000000"/>
          <w:sz w:val="24"/>
          <w:szCs w:val="24"/>
          <w:lang w:val="el-GR"/>
        </w:rPr>
      </w:pPr>
      <w:r>
        <w:rPr>
          <w:rFonts w:ascii="Calibri" w:hAnsi="Calibri" w:cs="Calibri"/>
          <w:color w:val="000000"/>
          <w:sz w:val="24"/>
          <w:szCs w:val="24"/>
          <w:lang w:val="el-GR"/>
        </w:rPr>
        <w:t>Επίδομα Βάρδιας</w:t>
      </w:r>
      <w:r w:rsidR="00220066" w:rsidRPr="008F7129">
        <w:rPr>
          <w:rFonts w:ascii="Calibri" w:hAnsi="Calibri" w:cs="Calibri"/>
          <w:color w:val="000000"/>
          <w:sz w:val="24"/>
          <w:szCs w:val="24"/>
          <w:lang w:val="el-GR"/>
        </w:rPr>
        <w:t xml:space="preserve"> (</w:t>
      </w:r>
      <w:r>
        <w:rPr>
          <w:rFonts w:ascii="Calibri" w:hAnsi="Calibri" w:cs="Calibri"/>
          <w:color w:val="000000"/>
          <w:sz w:val="24"/>
          <w:szCs w:val="24"/>
          <w:lang w:val="el-GR"/>
        </w:rPr>
        <w:t>εξαρτάται από τον βαθμό και τα καθήκοντα του ΑΕΝ</w:t>
      </w:r>
      <w:r w:rsidR="00220066" w:rsidRPr="008F7129">
        <w:rPr>
          <w:rFonts w:ascii="Calibri" w:hAnsi="Calibri" w:cs="Calibri"/>
          <w:color w:val="000000"/>
          <w:sz w:val="24"/>
          <w:szCs w:val="24"/>
          <w:lang w:val="el-GR"/>
        </w:rPr>
        <w:t>)</w:t>
      </w:r>
    </w:p>
    <w:p w14:paraId="46D87B7E" w14:textId="11CAC5A7" w:rsidR="00220066" w:rsidRPr="008F7129" w:rsidRDefault="008F7129" w:rsidP="00220066">
      <w:pPr>
        <w:numPr>
          <w:ilvl w:val="0"/>
          <w:numId w:val="3"/>
        </w:numPr>
        <w:autoSpaceDE w:val="0"/>
        <w:autoSpaceDN w:val="0"/>
        <w:adjustRightInd w:val="0"/>
        <w:spacing w:line="276" w:lineRule="auto"/>
        <w:ind w:right="-483"/>
        <w:rPr>
          <w:rFonts w:ascii="Calibri" w:hAnsi="Calibri" w:cs="Calibri"/>
          <w:color w:val="000000"/>
          <w:sz w:val="24"/>
          <w:szCs w:val="24"/>
          <w:lang w:val="el-GR"/>
        </w:rPr>
      </w:pPr>
      <w:r>
        <w:rPr>
          <w:rFonts w:ascii="Calibri" w:hAnsi="Calibri" w:cs="Calibri"/>
          <w:color w:val="000000"/>
          <w:sz w:val="24"/>
          <w:szCs w:val="24"/>
          <w:lang w:val="el-GR"/>
        </w:rPr>
        <w:t>Επίδομα</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για</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υπηρεσίες</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που</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παρέχονται</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τ</w:t>
      </w:r>
      <w:r w:rsidR="00AB4C9B">
        <w:rPr>
          <w:rFonts w:ascii="Calibri" w:hAnsi="Calibri" w:cs="Calibri"/>
          <w:color w:val="000000"/>
          <w:sz w:val="24"/>
          <w:szCs w:val="24"/>
          <w:lang w:val="el-GR"/>
        </w:rPr>
        <w:t>ι</w:t>
      </w:r>
      <w:r>
        <w:rPr>
          <w:rFonts w:ascii="Calibri" w:hAnsi="Calibri" w:cs="Calibri"/>
          <w:color w:val="000000"/>
          <w:sz w:val="24"/>
          <w:szCs w:val="24"/>
          <w:lang w:val="el-GR"/>
        </w:rPr>
        <w:t>ς</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Κυριακές</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και</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τις</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Δημόσιες</w:t>
      </w:r>
      <w:r w:rsidRPr="008F7129">
        <w:rPr>
          <w:rFonts w:ascii="Calibri" w:hAnsi="Calibri" w:cs="Calibri"/>
          <w:color w:val="000000"/>
          <w:sz w:val="24"/>
          <w:szCs w:val="24"/>
          <w:lang w:val="el-GR"/>
        </w:rPr>
        <w:t xml:space="preserve"> </w:t>
      </w:r>
      <w:r>
        <w:rPr>
          <w:rFonts w:ascii="Calibri" w:hAnsi="Calibri" w:cs="Calibri"/>
          <w:color w:val="000000"/>
          <w:sz w:val="24"/>
          <w:szCs w:val="24"/>
          <w:lang w:val="el-GR"/>
        </w:rPr>
        <w:t>Αργίες</w:t>
      </w:r>
      <w:r w:rsidR="00220066" w:rsidRPr="008F7129">
        <w:rPr>
          <w:rFonts w:ascii="Calibri" w:hAnsi="Calibri" w:cs="Calibri"/>
          <w:color w:val="000000"/>
          <w:sz w:val="24"/>
          <w:szCs w:val="24"/>
          <w:lang w:val="el-GR"/>
        </w:rPr>
        <w:t xml:space="preserve"> </w:t>
      </w:r>
      <w:r>
        <w:rPr>
          <w:rFonts w:ascii="Calibri" w:hAnsi="Calibri" w:cs="Calibri"/>
          <w:color w:val="000000"/>
          <w:sz w:val="24"/>
          <w:szCs w:val="24"/>
          <w:lang w:val="el-GR"/>
        </w:rPr>
        <w:t xml:space="preserve">κατά την διάρκεια της περιόδου βάρδιας </w:t>
      </w:r>
      <w:r w:rsidR="00220066" w:rsidRPr="008F7129">
        <w:rPr>
          <w:rFonts w:ascii="Calibri" w:hAnsi="Calibri" w:cs="Calibri"/>
          <w:color w:val="000000"/>
          <w:sz w:val="24"/>
          <w:szCs w:val="24"/>
          <w:lang w:val="el-GR"/>
        </w:rPr>
        <w:t>(</w:t>
      </w:r>
      <w:r>
        <w:rPr>
          <w:rFonts w:ascii="Calibri" w:hAnsi="Calibri" w:cs="Calibri"/>
          <w:color w:val="000000"/>
          <w:sz w:val="24"/>
          <w:szCs w:val="24"/>
          <w:lang w:val="el-GR"/>
        </w:rPr>
        <w:t>εξαρτάται από τον βαθμό και τα καθήκοντα του ΑΕΝ</w:t>
      </w:r>
      <w:r w:rsidR="00220066" w:rsidRPr="008F7129">
        <w:rPr>
          <w:rFonts w:ascii="Calibri" w:hAnsi="Calibri" w:cs="Calibri"/>
          <w:color w:val="000000"/>
          <w:sz w:val="24"/>
          <w:szCs w:val="24"/>
          <w:lang w:val="el-GR"/>
        </w:rPr>
        <w:t xml:space="preserve">)    </w:t>
      </w:r>
    </w:p>
    <w:p w14:paraId="7A066823" w14:textId="06AC6C8B" w:rsidR="00220066" w:rsidRPr="00D7466F" w:rsidRDefault="00D7466F" w:rsidP="00220066">
      <w:pPr>
        <w:numPr>
          <w:ilvl w:val="0"/>
          <w:numId w:val="3"/>
        </w:numPr>
        <w:autoSpaceDE w:val="0"/>
        <w:autoSpaceDN w:val="0"/>
        <w:adjustRightInd w:val="0"/>
        <w:spacing w:line="276" w:lineRule="auto"/>
        <w:ind w:right="-483"/>
        <w:rPr>
          <w:rFonts w:ascii="Calibri" w:hAnsi="Calibri" w:cs="Calibri"/>
          <w:color w:val="000000"/>
          <w:sz w:val="24"/>
          <w:szCs w:val="24"/>
          <w:lang w:val="el-GR"/>
        </w:rPr>
      </w:pPr>
      <w:r>
        <w:rPr>
          <w:rFonts w:ascii="Calibri" w:hAnsi="Calibri" w:cs="Calibri"/>
          <w:color w:val="000000"/>
          <w:sz w:val="24"/>
          <w:szCs w:val="24"/>
          <w:lang w:val="el-GR"/>
        </w:rPr>
        <w:t>Επίδομα Παράστασης</w:t>
      </w:r>
      <w:r w:rsidR="00220066" w:rsidRPr="00D7466F">
        <w:rPr>
          <w:rFonts w:ascii="Calibri" w:hAnsi="Calibri" w:cs="Calibri"/>
          <w:color w:val="000000"/>
          <w:sz w:val="24"/>
          <w:szCs w:val="24"/>
          <w:lang w:val="el-GR"/>
        </w:rPr>
        <w:t xml:space="preserve"> (</w:t>
      </w:r>
      <w:r>
        <w:rPr>
          <w:rFonts w:ascii="Calibri" w:hAnsi="Calibri" w:cs="Calibri"/>
          <w:color w:val="000000"/>
          <w:sz w:val="24"/>
          <w:szCs w:val="24"/>
          <w:lang w:val="el-GR"/>
        </w:rPr>
        <w:t>εξαρτάται από τον βαθμό και τα καθήκοντα του ΑΕΝ</w:t>
      </w:r>
      <w:r w:rsidR="00220066" w:rsidRPr="00D7466F">
        <w:rPr>
          <w:rFonts w:ascii="Calibri" w:hAnsi="Calibri" w:cs="Calibri"/>
          <w:color w:val="000000"/>
          <w:sz w:val="24"/>
          <w:szCs w:val="24"/>
          <w:lang w:val="el-GR"/>
        </w:rPr>
        <w:t>)</w:t>
      </w:r>
    </w:p>
    <w:p w14:paraId="62D5FEF9" w14:textId="3A7532E6" w:rsidR="00220066" w:rsidRPr="00D7466F" w:rsidRDefault="00D7466F" w:rsidP="00220066">
      <w:pPr>
        <w:numPr>
          <w:ilvl w:val="0"/>
          <w:numId w:val="3"/>
        </w:numPr>
        <w:autoSpaceDE w:val="0"/>
        <w:autoSpaceDN w:val="0"/>
        <w:adjustRightInd w:val="0"/>
        <w:spacing w:line="276" w:lineRule="auto"/>
        <w:ind w:right="-483"/>
        <w:rPr>
          <w:rFonts w:ascii="Calibri" w:hAnsi="Calibri" w:cs="Calibri"/>
          <w:color w:val="000000"/>
          <w:sz w:val="24"/>
          <w:szCs w:val="24"/>
          <w:lang w:val="el-GR"/>
        </w:rPr>
      </w:pPr>
      <w:r>
        <w:rPr>
          <w:rFonts w:ascii="Calibri" w:hAnsi="Calibri" w:cs="Calibri"/>
          <w:color w:val="000000"/>
          <w:sz w:val="24"/>
          <w:szCs w:val="24"/>
          <w:lang w:val="el-GR"/>
        </w:rPr>
        <w:t>Επίδομα</w:t>
      </w:r>
      <w:r w:rsidRPr="00D7466F">
        <w:rPr>
          <w:rFonts w:ascii="Calibri" w:hAnsi="Calibri" w:cs="Calibri"/>
          <w:color w:val="000000"/>
          <w:sz w:val="24"/>
          <w:szCs w:val="24"/>
          <w:lang w:val="el-GR"/>
        </w:rPr>
        <w:t xml:space="preserve"> </w:t>
      </w:r>
      <w:r>
        <w:rPr>
          <w:rFonts w:ascii="Calibri" w:hAnsi="Calibri" w:cs="Calibri"/>
          <w:color w:val="000000"/>
          <w:sz w:val="24"/>
          <w:szCs w:val="24"/>
          <w:lang w:val="el-GR"/>
        </w:rPr>
        <w:t>Εκπροσώπησης</w:t>
      </w:r>
      <w:r w:rsidR="00220066" w:rsidRPr="00D7466F">
        <w:rPr>
          <w:rFonts w:ascii="Calibri" w:hAnsi="Calibri" w:cs="Calibri"/>
          <w:color w:val="000000"/>
          <w:sz w:val="24"/>
          <w:szCs w:val="24"/>
          <w:lang w:val="el-GR"/>
        </w:rPr>
        <w:t xml:space="preserve"> (</w:t>
      </w:r>
      <w:r>
        <w:rPr>
          <w:rFonts w:ascii="Calibri" w:hAnsi="Calibri" w:cs="Calibri"/>
          <w:color w:val="000000"/>
          <w:sz w:val="24"/>
          <w:szCs w:val="24"/>
          <w:lang w:val="el-GR"/>
        </w:rPr>
        <w:t>εξαρτάται από τον βαθμό και τα καθήκοντα του ΑΕΝ</w:t>
      </w:r>
      <w:r w:rsidR="00220066" w:rsidRPr="00D7466F">
        <w:rPr>
          <w:rFonts w:ascii="Calibri" w:hAnsi="Calibri" w:cs="Calibri"/>
          <w:color w:val="000000"/>
          <w:sz w:val="24"/>
          <w:szCs w:val="24"/>
          <w:lang w:val="el-GR"/>
        </w:rPr>
        <w:t>)</w:t>
      </w:r>
    </w:p>
    <w:p w14:paraId="46A384D4" w14:textId="11FAA2EE" w:rsidR="00220066" w:rsidRPr="00D7466F" w:rsidRDefault="00D7466F" w:rsidP="00220066">
      <w:pPr>
        <w:numPr>
          <w:ilvl w:val="0"/>
          <w:numId w:val="3"/>
        </w:numPr>
        <w:autoSpaceDE w:val="0"/>
        <w:autoSpaceDN w:val="0"/>
        <w:adjustRightInd w:val="0"/>
        <w:spacing w:line="276" w:lineRule="auto"/>
        <w:ind w:right="-483"/>
        <w:rPr>
          <w:rFonts w:ascii="Calibri" w:hAnsi="Calibri" w:cs="Calibri"/>
          <w:color w:val="000000"/>
          <w:sz w:val="24"/>
          <w:szCs w:val="24"/>
          <w:lang w:val="el-GR"/>
        </w:rPr>
      </w:pPr>
      <w:r>
        <w:rPr>
          <w:rFonts w:ascii="Calibri" w:hAnsi="Calibri" w:cs="Calibri"/>
          <w:color w:val="000000"/>
          <w:sz w:val="24"/>
          <w:szCs w:val="24"/>
          <w:lang w:val="el-GR"/>
        </w:rPr>
        <w:t>Επίδομα</w:t>
      </w:r>
      <w:r w:rsidRPr="00D7466F">
        <w:rPr>
          <w:rFonts w:ascii="Calibri" w:hAnsi="Calibri" w:cs="Calibri"/>
          <w:color w:val="000000"/>
          <w:sz w:val="24"/>
          <w:szCs w:val="24"/>
          <w:lang w:val="el-GR"/>
        </w:rPr>
        <w:t xml:space="preserve"> </w:t>
      </w:r>
      <w:r>
        <w:rPr>
          <w:rFonts w:ascii="Calibri" w:hAnsi="Calibri" w:cs="Calibri"/>
          <w:color w:val="000000"/>
          <w:sz w:val="24"/>
          <w:szCs w:val="24"/>
          <w:lang w:val="el-GR"/>
        </w:rPr>
        <w:t>Ευθύνης</w:t>
      </w:r>
      <w:r w:rsidR="00220066" w:rsidRPr="00D7466F">
        <w:rPr>
          <w:rFonts w:ascii="Calibri" w:hAnsi="Calibri" w:cs="Calibri"/>
          <w:color w:val="000000"/>
          <w:sz w:val="24"/>
          <w:szCs w:val="24"/>
          <w:lang w:val="el-GR"/>
        </w:rPr>
        <w:t xml:space="preserve"> (</w:t>
      </w:r>
      <w:r>
        <w:rPr>
          <w:rFonts w:ascii="Calibri" w:hAnsi="Calibri" w:cs="Calibri"/>
          <w:color w:val="000000"/>
          <w:sz w:val="24"/>
          <w:szCs w:val="24"/>
          <w:lang w:val="el-GR"/>
        </w:rPr>
        <w:t>εξαρτάται από τον βαθμό και τα καθήκοντα του ΑΕΝ</w:t>
      </w:r>
      <w:r w:rsidR="00220066" w:rsidRPr="00D7466F">
        <w:rPr>
          <w:rFonts w:ascii="Calibri" w:hAnsi="Calibri" w:cs="Calibri"/>
          <w:color w:val="000000"/>
          <w:sz w:val="24"/>
          <w:szCs w:val="24"/>
          <w:lang w:val="el-GR"/>
        </w:rPr>
        <w:t>)</w:t>
      </w:r>
    </w:p>
    <w:p w14:paraId="0A2B81D9" w14:textId="2D256577" w:rsidR="00220066" w:rsidRPr="00D7466F" w:rsidRDefault="00D7466F" w:rsidP="00220066">
      <w:pPr>
        <w:numPr>
          <w:ilvl w:val="0"/>
          <w:numId w:val="3"/>
        </w:numPr>
        <w:autoSpaceDE w:val="0"/>
        <w:autoSpaceDN w:val="0"/>
        <w:adjustRightInd w:val="0"/>
        <w:spacing w:line="276" w:lineRule="auto"/>
        <w:ind w:right="-483"/>
        <w:rPr>
          <w:rFonts w:ascii="Calibri" w:hAnsi="Calibri" w:cs="Calibri"/>
          <w:color w:val="000000"/>
          <w:sz w:val="24"/>
          <w:szCs w:val="24"/>
          <w:lang w:val="el-GR"/>
        </w:rPr>
      </w:pPr>
      <w:r>
        <w:rPr>
          <w:rFonts w:ascii="Calibri" w:hAnsi="Calibri" w:cs="Calibri"/>
          <w:color w:val="000000"/>
          <w:sz w:val="24"/>
          <w:szCs w:val="24"/>
          <w:lang w:val="el-GR"/>
        </w:rPr>
        <w:t>Επίδομα</w:t>
      </w:r>
      <w:r w:rsidRPr="00D7466F">
        <w:rPr>
          <w:rFonts w:ascii="Calibri" w:hAnsi="Calibri" w:cs="Calibri"/>
          <w:color w:val="000000"/>
          <w:sz w:val="24"/>
          <w:szCs w:val="24"/>
          <w:lang w:val="el-GR"/>
        </w:rPr>
        <w:t xml:space="preserve"> </w:t>
      </w:r>
      <w:r>
        <w:rPr>
          <w:rFonts w:ascii="Calibri" w:hAnsi="Calibri" w:cs="Calibri"/>
          <w:color w:val="000000"/>
          <w:sz w:val="24"/>
          <w:szCs w:val="24"/>
          <w:lang w:val="el-GR"/>
        </w:rPr>
        <w:t>Φιλοξενίας</w:t>
      </w:r>
      <w:r w:rsidR="00220066" w:rsidRPr="00D7466F">
        <w:rPr>
          <w:rFonts w:ascii="Calibri" w:hAnsi="Calibri" w:cs="Calibri"/>
          <w:color w:val="000000"/>
          <w:sz w:val="24"/>
          <w:szCs w:val="24"/>
          <w:lang w:val="el-GR"/>
        </w:rPr>
        <w:t xml:space="preserve"> (</w:t>
      </w:r>
      <w:r>
        <w:rPr>
          <w:rFonts w:ascii="Calibri" w:hAnsi="Calibri" w:cs="Calibri"/>
          <w:color w:val="000000"/>
          <w:sz w:val="24"/>
          <w:szCs w:val="24"/>
          <w:lang w:val="el-GR"/>
        </w:rPr>
        <w:t>Υπαρχηγός</w:t>
      </w:r>
      <w:r w:rsidRPr="00D7466F">
        <w:rPr>
          <w:rFonts w:ascii="Calibri" w:hAnsi="Calibri" w:cs="Calibri"/>
          <w:color w:val="000000"/>
          <w:sz w:val="24"/>
          <w:szCs w:val="24"/>
          <w:lang w:val="el-GR"/>
        </w:rPr>
        <w:t xml:space="preserve"> </w:t>
      </w:r>
      <w:r>
        <w:rPr>
          <w:rFonts w:ascii="Calibri" w:hAnsi="Calibri" w:cs="Calibri"/>
          <w:color w:val="000000"/>
          <w:sz w:val="24"/>
          <w:szCs w:val="24"/>
          <w:lang w:val="el-GR"/>
        </w:rPr>
        <w:t>της</w:t>
      </w:r>
      <w:r w:rsidRPr="00D7466F">
        <w:rPr>
          <w:rFonts w:ascii="Calibri" w:hAnsi="Calibri" w:cs="Calibri"/>
          <w:color w:val="000000"/>
          <w:sz w:val="24"/>
          <w:szCs w:val="24"/>
          <w:lang w:val="el-GR"/>
        </w:rPr>
        <w:t xml:space="preserve"> </w:t>
      </w:r>
      <w:r w:rsidR="009C4E34">
        <w:rPr>
          <w:rFonts w:ascii="Calibri" w:hAnsi="Calibri" w:cs="Calibri"/>
          <w:color w:val="000000"/>
          <w:sz w:val="24"/>
          <w:szCs w:val="24"/>
          <w:lang w:val="el-GR"/>
        </w:rPr>
        <w:t>Αστυνομία</w:t>
      </w:r>
      <w:r>
        <w:rPr>
          <w:rFonts w:ascii="Calibri" w:hAnsi="Calibri" w:cs="Calibri"/>
          <w:color w:val="000000"/>
          <w:sz w:val="24"/>
          <w:szCs w:val="24"/>
          <w:lang w:val="el-GR"/>
        </w:rPr>
        <w:t>ς</w:t>
      </w:r>
      <w:r w:rsidR="00220066" w:rsidRPr="00D7466F">
        <w:rPr>
          <w:rFonts w:ascii="Calibri" w:hAnsi="Calibri" w:cs="Calibri"/>
          <w:color w:val="000000"/>
          <w:sz w:val="24"/>
          <w:szCs w:val="24"/>
          <w:lang w:val="el-GR"/>
        </w:rPr>
        <w:t xml:space="preserve"> €3 570 </w:t>
      </w:r>
      <w:r>
        <w:rPr>
          <w:rFonts w:ascii="Calibri" w:hAnsi="Calibri" w:cs="Calibri"/>
          <w:color w:val="000000"/>
          <w:sz w:val="24"/>
          <w:szCs w:val="24"/>
          <w:lang w:val="el-GR"/>
        </w:rPr>
        <w:t>ετησίως</w:t>
      </w:r>
      <w:r w:rsidR="00220066" w:rsidRPr="00D7466F">
        <w:rPr>
          <w:rFonts w:ascii="Calibri" w:hAnsi="Calibri" w:cs="Calibri"/>
          <w:color w:val="000000"/>
          <w:sz w:val="24"/>
          <w:szCs w:val="24"/>
          <w:lang w:val="el-GR"/>
        </w:rPr>
        <w:t xml:space="preserve">, </w:t>
      </w:r>
      <w:r>
        <w:rPr>
          <w:rFonts w:ascii="Calibri" w:hAnsi="Calibri" w:cs="Calibri"/>
          <w:color w:val="000000"/>
          <w:sz w:val="24"/>
          <w:szCs w:val="24"/>
          <w:lang w:val="el-GR"/>
        </w:rPr>
        <w:t xml:space="preserve">Βοηθοί Αρχηγοί της </w:t>
      </w:r>
      <w:r w:rsidR="009C4E34">
        <w:rPr>
          <w:rFonts w:ascii="Calibri" w:hAnsi="Calibri" w:cs="Calibri"/>
          <w:color w:val="000000"/>
          <w:sz w:val="24"/>
          <w:szCs w:val="24"/>
          <w:lang w:val="el-GR"/>
        </w:rPr>
        <w:t>Αστυνομία</w:t>
      </w:r>
      <w:r>
        <w:rPr>
          <w:rFonts w:ascii="Calibri" w:hAnsi="Calibri" w:cs="Calibri"/>
          <w:color w:val="000000"/>
          <w:sz w:val="24"/>
          <w:szCs w:val="24"/>
          <w:lang w:val="el-GR"/>
        </w:rPr>
        <w:t>ς</w:t>
      </w:r>
      <w:r w:rsidR="00220066" w:rsidRPr="00D7466F">
        <w:rPr>
          <w:rFonts w:ascii="Calibri" w:hAnsi="Calibri" w:cs="Calibri"/>
          <w:color w:val="000000"/>
          <w:sz w:val="24"/>
          <w:szCs w:val="24"/>
          <w:lang w:val="el-GR"/>
        </w:rPr>
        <w:t xml:space="preserve"> €2</w:t>
      </w:r>
      <w:r w:rsidR="00220066" w:rsidRPr="00D74B52">
        <w:rPr>
          <w:rFonts w:ascii="Calibri" w:hAnsi="Calibri" w:cs="Calibri"/>
          <w:color w:val="000000"/>
          <w:sz w:val="24"/>
          <w:szCs w:val="24"/>
        </w:rPr>
        <w:t> </w:t>
      </w:r>
      <w:r w:rsidR="00220066" w:rsidRPr="00D7466F">
        <w:rPr>
          <w:rFonts w:ascii="Calibri" w:hAnsi="Calibri" w:cs="Calibri"/>
          <w:color w:val="000000"/>
          <w:sz w:val="24"/>
          <w:szCs w:val="24"/>
          <w:lang w:val="el-GR"/>
        </w:rPr>
        <w:t xml:space="preserve">040 </w:t>
      </w:r>
      <w:r>
        <w:rPr>
          <w:rFonts w:ascii="Calibri" w:hAnsi="Calibri" w:cs="Calibri"/>
          <w:color w:val="000000"/>
          <w:sz w:val="24"/>
          <w:szCs w:val="24"/>
          <w:lang w:val="el-GR"/>
        </w:rPr>
        <w:t>ετησίως</w:t>
      </w:r>
      <w:r w:rsidR="00220066" w:rsidRPr="00D7466F">
        <w:rPr>
          <w:rFonts w:ascii="Calibri" w:hAnsi="Calibri" w:cs="Calibri"/>
          <w:color w:val="000000"/>
          <w:sz w:val="24"/>
          <w:szCs w:val="24"/>
          <w:lang w:val="el-GR"/>
        </w:rPr>
        <w:t>)</w:t>
      </w:r>
    </w:p>
    <w:p w14:paraId="42212A96" w14:textId="35F5F1D4" w:rsidR="00220066" w:rsidRPr="00D7466F" w:rsidRDefault="00D7466F" w:rsidP="00220066">
      <w:pPr>
        <w:numPr>
          <w:ilvl w:val="0"/>
          <w:numId w:val="3"/>
        </w:numPr>
        <w:autoSpaceDE w:val="0"/>
        <w:autoSpaceDN w:val="0"/>
        <w:adjustRightInd w:val="0"/>
        <w:spacing w:line="276" w:lineRule="auto"/>
        <w:ind w:right="-483"/>
        <w:rPr>
          <w:rFonts w:ascii="Calibri" w:hAnsi="Calibri" w:cs="Calibri"/>
          <w:color w:val="000000"/>
          <w:sz w:val="24"/>
          <w:szCs w:val="24"/>
          <w:lang w:val="el-GR"/>
        </w:rPr>
      </w:pPr>
      <w:r>
        <w:rPr>
          <w:rFonts w:ascii="Calibri" w:hAnsi="Calibri" w:cs="Calibri"/>
          <w:color w:val="000000"/>
          <w:sz w:val="24"/>
          <w:szCs w:val="24"/>
          <w:lang w:val="el-GR"/>
        </w:rPr>
        <w:lastRenderedPageBreak/>
        <w:t>Τέλη Υπερωριών</w:t>
      </w:r>
      <w:r w:rsidR="00220066" w:rsidRPr="00D7466F">
        <w:rPr>
          <w:rFonts w:ascii="Calibri" w:hAnsi="Calibri" w:cs="Calibri"/>
          <w:color w:val="000000"/>
          <w:sz w:val="24"/>
          <w:szCs w:val="24"/>
          <w:lang w:val="el-GR"/>
        </w:rPr>
        <w:t xml:space="preserve"> (</w:t>
      </w:r>
      <w:r>
        <w:rPr>
          <w:rFonts w:ascii="Calibri" w:hAnsi="Calibri" w:cs="Calibri"/>
          <w:color w:val="000000"/>
          <w:sz w:val="24"/>
          <w:szCs w:val="24"/>
          <w:lang w:val="el-GR"/>
        </w:rPr>
        <w:t>εξαρτάται από τον βαθμό και τα καθήκοντα του ΑΕΝ</w:t>
      </w:r>
      <w:r w:rsidR="00220066" w:rsidRPr="00D7466F">
        <w:rPr>
          <w:rFonts w:ascii="Calibri" w:hAnsi="Calibri" w:cs="Calibri"/>
          <w:color w:val="000000"/>
          <w:sz w:val="24"/>
          <w:szCs w:val="24"/>
          <w:lang w:val="el-GR"/>
        </w:rPr>
        <w:t>)</w:t>
      </w:r>
    </w:p>
    <w:p w14:paraId="0D6BA4A5" w14:textId="77777777" w:rsidR="00220066" w:rsidRPr="00D7466F" w:rsidRDefault="00220066" w:rsidP="00220066">
      <w:pPr>
        <w:autoSpaceDE w:val="0"/>
        <w:autoSpaceDN w:val="0"/>
        <w:adjustRightInd w:val="0"/>
        <w:ind w:left="-426" w:right="-483"/>
        <w:rPr>
          <w:rFonts w:ascii="Calibri" w:hAnsi="Calibri" w:cs="Calibri"/>
          <w:color w:val="000000"/>
          <w:sz w:val="24"/>
          <w:szCs w:val="24"/>
          <w:lang w:val="el-GR"/>
        </w:rPr>
      </w:pPr>
    </w:p>
    <w:p w14:paraId="759813D9" w14:textId="0EB25AE7" w:rsidR="00220066" w:rsidRPr="00D7466F" w:rsidRDefault="00D7466F" w:rsidP="00220066">
      <w:pPr>
        <w:numPr>
          <w:ilvl w:val="0"/>
          <w:numId w:val="1"/>
        </w:numPr>
        <w:tabs>
          <w:tab w:val="left" w:pos="709"/>
        </w:tabs>
        <w:ind w:left="0" w:firstLine="0"/>
        <w:rPr>
          <w:rFonts w:cstheme="minorHAnsi"/>
          <w:sz w:val="24"/>
          <w:szCs w:val="24"/>
          <w:lang w:val="el-GR"/>
        </w:rPr>
      </w:pPr>
      <w:r>
        <w:rPr>
          <w:rFonts w:ascii="Calibri" w:hAnsi="Calibri" w:cs="Calibri"/>
          <w:sz w:val="24"/>
          <w:szCs w:val="24"/>
          <w:lang w:val="el-GR"/>
        </w:rPr>
        <w:t>Όλα</w:t>
      </w:r>
      <w:r w:rsidRPr="00D7466F">
        <w:rPr>
          <w:rFonts w:ascii="Calibri" w:hAnsi="Calibri" w:cs="Calibri"/>
          <w:sz w:val="24"/>
          <w:szCs w:val="24"/>
          <w:lang w:val="el-GR"/>
        </w:rPr>
        <w:t xml:space="preserve"> </w:t>
      </w:r>
      <w:r>
        <w:rPr>
          <w:rFonts w:ascii="Calibri" w:hAnsi="Calibri" w:cs="Calibri"/>
          <w:sz w:val="24"/>
          <w:szCs w:val="24"/>
          <w:lang w:val="el-GR"/>
        </w:rPr>
        <w:t>τα</w:t>
      </w:r>
      <w:r w:rsidRPr="00D7466F">
        <w:rPr>
          <w:rFonts w:ascii="Calibri" w:hAnsi="Calibri" w:cs="Calibri"/>
          <w:sz w:val="24"/>
          <w:szCs w:val="24"/>
          <w:lang w:val="el-GR"/>
        </w:rPr>
        <w:t xml:space="preserve"> </w:t>
      </w:r>
      <w:r>
        <w:rPr>
          <w:rFonts w:ascii="Calibri" w:hAnsi="Calibri" w:cs="Calibri"/>
          <w:sz w:val="24"/>
          <w:szCs w:val="24"/>
          <w:lang w:val="el-GR"/>
        </w:rPr>
        <w:t>προαναφερθέντα</w:t>
      </w:r>
      <w:r w:rsidRPr="00D7466F">
        <w:rPr>
          <w:rFonts w:ascii="Calibri" w:hAnsi="Calibri" w:cs="Calibri"/>
          <w:sz w:val="24"/>
          <w:szCs w:val="24"/>
          <w:lang w:val="el-GR"/>
        </w:rPr>
        <w:t xml:space="preserve"> </w:t>
      </w:r>
      <w:r>
        <w:rPr>
          <w:rFonts w:ascii="Calibri" w:hAnsi="Calibri" w:cs="Calibri"/>
          <w:sz w:val="24"/>
          <w:szCs w:val="24"/>
          <w:lang w:val="el-GR"/>
        </w:rPr>
        <w:t>επιδόματα</w:t>
      </w:r>
      <w:r w:rsidRPr="00D7466F">
        <w:rPr>
          <w:rFonts w:ascii="Calibri" w:hAnsi="Calibri" w:cs="Calibri"/>
          <w:sz w:val="24"/>
          <w:szCs w:val="24"/>
          <w:lang w:val="el-GR"/>
        </w:rPr>
        <w:t xml:space="preserve"> </w:t>
      </w:r>
      <w:r>
        <w:rPr>
          <w:rFonts w:ascii="Calibri" w:hAnsi="Calibri" w:cs="Calibri"/>
          <w:sz w:val="24"/>
          <w:szCs w:val="24"/>
          <w:lang w:val="el-GR"/>
        </w:rPr>
        <w:t>είναι</w:t>
      </w:r>
      <w:r w:rsidRPr="00D7466F">
        <w:rPr>
          <w:rFonts w:ascii="Calibri" w:hAnsi="Calibri" w:cs="Calibri"/>
          <w:sz w:val="24"/>
          <w:szCs w:val="24"/>
          <w:lang w:val="el-GR"/>
        </w:rPr>
        <w:t xml:space="preserve"> </w:t>
      </w:r>
      <w:r>
        <w:rPr>
          <w:rFonts w:ascii="Calibri" w:hAnsi="Calibri" w:cs="Calibri"/>
          <w:sz w:val="24"/>
          <w:szCs w:val="24"/>
          <w:lang w:val="el-GR"/>
        </w:rPr>
        <w:t>δημοσιευμένα</w:t>
      </w:r>
      <w:r w:rsidRPr="00D7466F">
        <w:rPr>
          <w:rFonts w:ascii="Calibri" w:hAnsi="Calibri" w:cs="Calibri"/>
          <w:sz w:val="24"/>
          <w:szCs w:val="24"/>
          <w:lang w:val="el-GR"/>
        </w:rPr>
        <w:t xml:space="preserve"> </w:t>
      </w:r>
      <w:r>
        <w:rPr>
          <w:rFonts w:ascii="Calibri" w:hAnsi="Calibri" w:cs="Calibri"/>
          <w:sz w:val="24"/>
          <w:szCs w:val="24"/>
          <w:lang w:val="el-GR"/>
        </w:rPr>
        <w:t>στον</w:t>
      </w:r>
      <w:r w:rsidRPr="00D7466F">
        <w:rPr>
          <w:rFonts w:ascii="Calibri" w:hAnsi="Calibri" w:cs="Calibri"/>
          <w:sz w:val="24"/>
          <w:szCs w:val="24"/>
          <w:lang w:val="el-GR"/>
        </w:rPr>
        <w:t xml:space="preserve"> </w:t>
      </w:r>
      <w:r>
        <w:rPr>
          <w:rFonts w:ascii="Calibri" w:hAnsi="Calibri" w:cs="Calibri"/>
          <w:sz w:val="24"/>
          <w:szCs w:val="24"/>
          <w:lang w:val="el-GR"/>
        </w:rPr>
        <w:t>ετήσιο</w:t>
      </w:r>
      <w:r w:rsidRPr="00D7466F">
        <w:rPr>
          <w:rFonts w:ascii="Calibri" w:hAnsi="Calibri" w:cs="Calibri"/>
          <w:sz w:val="24"/>
          <w:szCs w:val="24"/>
          <w:lang w:val="el-GR"/>
        </w:rPr>
        <w:t xml:space="preserve"> </w:t>
      </w:r>
      <w:r>
        <w:rPr>
          <w:rFonts w:ascii="Calibri" w:hAnsi="Calibri" w:cs="Calibri"/>
          <w:sz w:val="24"/>
          <w:szCs w:val="24"/>
          <w:lang w:val="el-GR"/>
        </w:rPr>
        <w:t>νόμο</w:t>
      </w:r>
      <w:r w:rsidR="00220066" w:rsidRPr="00D7466F">
        <w:rPr>
          <w:rFonts w:ascii="Calibri" w:hAnsi="Calibri" w:cs="Calibri"/>
          <w:sz w:val="24"/>
          <w:szCs w:val="24"/>
          <w:lang w:val="el-GR"/>
        </w:rPr>
        <w:t xml:space="preserve"> </w:t>
      </w:r>
      <w:r>
        <w:rPr>
          <w:rFonts w:ascii="Calibri" w:hAnsi="Calibri" w:cs="Calibri"/>
          <w:sz w:val="24"/>
          <w:szCs w:val="24"/>
          <w:lang w:val="el-GR"/>
        </w:rPr>
        <w:t>προϋπολογισμού</w:t>
      </w:r>
      <w:r w:rsidR="00220066" w:rsidRPr="00D7466F">
        <w:rPr>
          <w:rFonts w:ascii="Calibri" w:hAnsi="Calibri" w:cs="Calibri"/>
          <w:sz w:val="24"/>
          <w:szCs w:val="24"/>
          <w:lang w:val="el-GR"/>
        </w:rPr>
        <w:t>.</w:t>
      </w:r>
      <w:r w:rsidR="00220066" w:rsidRPr="00D7466F">
        <w:rPr>
          <w:rFonts w:cstheme="minorHAnsi"/>
          <w:sz w:val="24"/>
          <w:szCs w:val="24"/>
          <w:lang w:val="el-GR"/>
        </w:rPr>
        <w:t xml:space="preserve"> </w:t>
      </w:r>
      <w:r>
        <w:rPr>
          <w:rFonts w:cstheme="minorHAnsi"/>
          <w:sz w:val="24"/>
          <w:szCs w:val="24"/>
          <w:lang w:val="el-GR"/>
        </w:rPr>
        <w:t>Το</w:t>
      </w:r>
      <w:r w:rsidRPr="00C43E71">
        <w:rPr>
          <w:rFonts w:cstheme="minorHAnsi"/>
          <w:sz w:val="24"/>
          <w:szCs w:val="24"/>
          <w:lang w:val="el-GR"/>
        </w:rPr>
        <w:t xml:space="preserve"> </w:t>
      </w:r>
      <w:r>
        <w:rPr>
          <w:rFonts w:cstheme="minorHAnsi"/>
          <w:sz w:val="24"/>
          <w:szCs w:val="24"/>
          <w:lang w:val="el-GR"/>
        </w:rPr>
        <w:t>δικαίωμα</w:t>
      </w:r>
      <w:r w:rsidRPr="00C43E71">
        <w:rPr>
          <w:rFonts w:cstheme="minorHAnsi"/>
          <w:sz w:val="24"/>
          <w:szCs w:val="24"/>
          <w:lang w:val="el-GR"/>
        </w:rPr>
        <w:t xml:space="preserve"> </w:t>
      </w:r>
      <w:r>
        <w:rPr>
          <w:rFonts w:cstheme="minorHAnsi"/>
          <w:sz w:val="24"/>
          <w:szCs w:val="24"/>
          <w:lang w:val="el-GR"/>
        </w:rPr>
        <w:t>στα</w:t>
      </w:r>
      <w:r w:rsidRPr="00C43E71">
        <w:rPr>
          <w:rFonts w:cstheme="minorHAnsi"/>
          <w:sz w:val="24"/>
          <w:szCs w:val="24"/>
          <w:lang w:val="el-GR"/>
        </w:rPr>
        <w:t xml:space="preserve"> </w:t>
      </w:r>
      <w:r>
        <w:rPr>
          <w:rFonts w:cstheme="minorHAnsi"/>
          <w:sz w:val="24"/>
          <w:szCs w:val="24"/>
          <w:lang w:val="el-GR"/>
        </w:rPr>
        <w:t>επιδόματα</w:t>
      </w:r>
      <w:r w:rsidRPr="00C43E71">
        <w:rPr>
          <w:rFonts w:cstheme="minorHAnsi"/>
          <w:sz w:val="24"/>
          <w:szCs w:val="24"/>
          <w:lang w:val="el-GR"/>
        </w:rPr>
        <w:t xml:space="preserve"> </w:t>
      </w:r>
      <w:r>
        <w:rPr>
          <w:rFonts w:cstheme="minorHAnsi"/>
          <w:sz w:val="24"/>
          <w:szCs w:val="24"/>
          <w:lang w:val="el-GR"/>
        </w:rPr>
        <w:t>τερματίζεται</w:t>
      </w:r>
      <w:r w:rsidR="00220066" w:rsidRPr="00C43E71">
        <w:rPr>
          <w:rFonts w:ascii="Calibri" w:hAnsi="Calibri" w:cs="Calibri"/>
          <w:sz w:val="24"/>
          <w:szCs w:val="24"/>
          <w:lang w:val="el-GR"/>
        </w:rPr>
        <w:t xml:space="preserve"> </w:t>
      </w:r>
      <w:r>
        <w:rPr>
          <w:rFonts w:ascii="Calibri" w:hAnsi="Calibri" w:cs="Calibri"/>
          <w:sz w:val="24"/>
          <w:szCs w:val="24"/>
          <w:lang w:val="el-GR"/>
        </w:rPr>
        <w:t>κατόπιν</w:t>
      </w:r>
      <w:r w:rsidRPr="00C43E71">
        <w:rPr>
          <w:rFonts w:ascii="Calibri" w:hAnsi="Calibri" w:cs="Calibri"/>
          <w:sz w:val="24"/>
          <w:szCs w:val="24"/>
          <w:lang w:val="el-GR"/>
        </w:rPr>
        <w:t xml:space="preserve"> </w:t>
      </w:r>
      <w:r>
        <w:rPr>
          <w:rFonts w:ascii="Calibri" w:hAnsi="Calibri" w:cs="Calibri"/>
          <w:sz w:val="24"/>
          <w:szCs w:val="24"/>
          <w:lang w:val="el-GR"/>
        </w:rPr>
        <w:t>τερματισμού</w:t>
      </w:r>
      <w:r w:rsidRPr="00C43E71">
        <w:rPr>
          <w:rFonts w:ascii="Calibri" w:hAnsi="Calibri" w:cs="Calibri"/>
          <w:sz w:val="24"/>
          <w:szCs w:val="24"/>
          <w:lang w:val="el-GR"/>
        </w:rPr>
        <w:t xml:space="preserve"> </w:t>
      </w:r>
      <w:r>
        <w:rPr>
          <w:rFonts w:ascii="Calibri" w:hAnsi="Calibri" w:cs="Calibri"/>
          <w:sz w:val="24"/>
          <w:szCs w:val="24"/>
          <w:lang w:val="el-GR"/>
        </w:rPr>
        <w:t>της</w:t>
      </w:r>
      <w:r w:rsidRPr="00C43E71">
        <w:rPr>
          <w:rFonts w:ascii="Calibri" w:hAnsi="Calibri" w:cs="Calibri"/>
          <w:sz w:val="24"/>
          <w:szCs w:val="24"/>
          <w:lang w:val="el-GR"/>
        </w:rPr>
        <w:t xml:space="preserve"> </w:t>
      </w:r>
      <w:proofErr w:type="spellStart"/>
      <w:r>
        <w:rPr>
          <w:rFonts w:ascii="Calibri" w:hAnsi="Calibri" w:cs="Calibri"/>
          <w:sz w:val="24"/>
          <w:szCs w:val="24"/>
          <w:lang w:val="el-GR"/>
        </w:rPr>
        <w:t>εργοδότησης</w:t>
      </w:r>
      <w:proofErr w:type="spellEnd"/>
      <w:r w:rsidR="00220066" w:rsidRPr="00C43E71">
        <w:rPr>
          <w:rFonts w:ascii="Calibri" w:hAnsi="Calibri" w:cs="Calibri"/>
          <w:sz w:val="24"/>
          <w:szCs w:val="24"/>
          <w:lang w:val="el-GR"/>
        </w:rPr>
        <w:t>.</w:t>
      </w:r>
      <w:r w:rsidR="00220066" w:rsidRPr="00C43E71">
        <w:rPr>
          <w:rFonts w:cstheme="minorHAnsi"/>
          <w:sz w:val="24"/>
          <w:szCs w:val="24"/>
          <w:lang w:val="el-GR"/>
        </w:rPr>
        <w:t xml:space="preserve"> </w:t>
      </w:r>
      <w:r>
        <w:rPr>
          <w:rFonts w:cstheme="minorHAnsi"/>
          <w:sz w:val="24"/>
          <w:szCs w:val="24"/>
          <w:lang w:val="el-GR"/>
        </w:rPr>
        <w:t>Η</w:t>
      </w:r>
      <w:r w:rsidRPr="00D7466F">
        <w:rPr>
          <w:rFonts w:cstheme="minorHAnsi"/>
          <w:sz w:val="24"/>
          <w:szCs w:val="24"/>
          <w:lang w:val="el-GR"/>
        </w:rPr>
        <w:t xml:space="preserve"> </w:t>
      </w:r>
      <w:r>
        <w:rPr>
          <w:rFonts w:cstheme="minorHAnsi"/>
          <w:sz w:val="24"/>
          <w:szCs w:val="24"/>
          <w:lang w:val="el-GR"/>
        </w:rPr>
        <w:t>χρήση</w:t>
      </w:r>
      <w:r w:rsidRPr="00D7466F">
        <w:rPr>
          <w:rFonts w:cstheme="minorHAnsi"/>
          <w:sz w:val="24"/>
          <w:szCs w:val="24"/>
          <w:lang w:val="el-GR"/>
        </w:rPr>
        <w:t xml:space="preserve"> </w:t>
      </w:r>
      <w:r>
        <w:rPr>
          <w:rFonts w:cstheme="minorHAnsi"/>
          <w:sz w:val="24"/>
          <w:szCs w:val="24"/>
          <w:lang w:val="el-GR"/>
        </w:rPr>
        <w:t>επιδομάτων</w:t>
      </w:r>
      <w:r w:rsidRPr="00D7466F">
        <w:rPr>
          <w:rFonts w:cstheme="minorHAnsi"/>
          <w:sz w:val="24"/>
          <w:szCs w:val="24"/>
          <w:lang w:val="el-GR"/>
        </w:rPr>
        <w:t xml:space="preserve"> </w:t>
      </w:r>
      <w:r>
        <w:rPr>
          <w:rFonts w:cstheme="minorHAnsi"/>
          <w:sz w:val="24"/>
          <w:szCs w:val="24"/>
          <w:lang w:val="el-GR"/>
        </w:rPr>
        <w:t>παρακολουθείται</w:t>
      </w:r>
      <w:r w:rsidRPr="00D7466F">
        <w:rPr>
          <w:rFonts w:cstheme="minorHAnsi"/>
          <w:sz w:val="24"/>
          <w:szCs w:val="24"/>
          <w:lang w:val="el-GR"/>
        </w:rPr>
        <w:t xml:space="preserve"> /</w:t>
      </w:r>
      <w:r>
        <w:rPr>
          <w:rFonts w:cstheme="minorHAnsi"/>
          <w:sz w:val="24"/>
          <w:szCs w:val="24"/>
          <w:lang w:val="el-GR"/>
        </w:rPr>
        <w:t>επαληθεύεται</w:t>
      </w:r>
      <w:r w:rsidR="00220066" w:rsidRPr="00D7466F">
        <w:rPr>
          <w:rFonts w:ascii="Calibri" w:hAnsi="Calibri" w:cs="Calibri"/>
          <w:sz w:val="24"/>
          <w:szCs w:val="24"/>
          <w:lang w:val="el-GR"/>
        </w:rPr>
        <w:t xml:space="preserve"> </w:t>
      </w:r>
      <w:r>
        <w:rPr>
          <w:rFonts w:ascii="Calibri" w:hAnsi="Calibri" w:cs="Calibri"/>
          <w:sz w:val="24"/>
          <w:szCs w:val="24"/>
          <w:lang w:val="el-GR"/>
        </w:rPr>
        <w:t>από</w:t>
      </w:r>
      <w:r w:rsidRPr="00D7466F">
        <w:rPr>
          <w:rFonts w:ascii="Calibri" w:hAnsi="Calibri" w:cs="Calibri"/>
          <w:sz w:val="24"/>
          <w:szCs w:val="24"/>
          <w:lang w:val="el-GR"/>
        </w:rPr>
        <w:t xml:space="preserve"> </w:t>
      </w:r>
      <w:r>
        <w:rPr>
          <w:rFonts w:ascii="Calibri" w:hAnsi="Calibri" w:cs="Calibri"/>
          <w:sz w:val="24"/>
          <w:szCs w:val="24"/>
          <w:lang w:val="el-GR"/>
        </w:rPr>
        <w:t>τους</w:t>
      </w:r>
      <w:r w:rsidRPr="00D7466F">
        <w:rPr>
          <w:rFonts w:ascii="Calibri" w:hAnsi="Calibri" w:cs="Calibri"/>
          <w:sz w:val="24"/>
          <w:szCs w:val="24"/>
          <w:lang w:val="el-GR"/>
        </w:rPr>
        <w:t xml:space="preserve"> </w:t>
      </w:r>
      <w:r>
        <w:rPr>
          <w:rFonts w:ascii="Calibri" w:hAnsi="Calibri" w:cs="Calibri"/>
          <w:sz w:val="24"/>
          <w:szCs w:val="24"/>
          <w:lang w:val="el-GR"/>
        </w:rPr>
        <w:t>Τμηματάρχες</w:t>
      </w:r>
      <w:r w:rsidR="00220066" w:rsidRPr="00D7466F">
        <w:rPr>
          <w:rFonts w:ascii="Calibri" w:hAnsi="Calibri" w:cs="Calibri"/>
          <w:sz w:val="24"/>
          <w:szCs w:val="24"/>
          <w:lang w:val="el-GR"/>
        </w:rPr>
        <w:t xml:space="preserve">, </w:t>
      </w:r>
      <w:r>
        <w:rPr>
          <w:rFonts w:ascii="Calibri" w:hAnsi="Calibri" w:cs="Calibri"/>
          <w:sz w:val="24"/>
          <w:szCs w:val="24"/>
          <w:lang w:val="el-GR"/>
        </w:rPr>
        <w:t>την</w:t>
      </w:r>
      <w:r w:rsidRPr="00D7466F">
        <w:rPr>
          <w:rFonts w:ascii="Calibri" w:hAnsi="Calibri" w:cs="Calibri"/>
          <w:sz w:val="24"/>
          <w:szCs w:val="24"/>
          <w:lang w:val="el-GR"/>
        </w:rPr>
        <w:t xml:space="preserve"> </w:t>
      </w:r>
      <w:r>
        <w:rPr>
          <w:rFonts w:ascii="Calibri" w:hAnsi="Calibri" w:cs="Calibri"/>
          <w:sz w:val="24"/>
          <w:szCs w:val="24"/>
          <w:lang w:val="el-GR"/>
        </w:rPr>
        <w:t>Διεύθυνση</w:t>
      </w:r>
      <w:r w:rsidRPr="00D7466F">
        <w:rPr>
          <w:rFonts w:ascii="Calibri" w:hAnsi="Calibri" w:cs="Calibri"/>
          <w:sz w:val="24"/>
          <w:szCs w:val="24"/>
          <w:lang w:val="el-GR"/>
        </w:rPr>
        <w:t xml:space="preserve"> </w:t>
      </w:r>
      <w:r>
        <w:rPr>
          <w:rFonts w:ascii="Calibri" w:hAnsi="Calibri" w:cs="Calibri"/>
          <w:sz w:val="24"/>
          <w:szCs w:val="24"/>
          <w:lang w:val="el-GR"/>
        </w:rPr>
        <w:t>Οικονομικών</w:t>
      </w:r>
      <w:r w:rsidRPr="00D7466F">
        <w:rPr>
          <w:rFonts w:ascii="Calibri" w:hAnsi="Calibri" w:cs="Calibri"/>
          <w:sz w:val="24"/>
          <w:szCs w:val="24"/>
          <w:lang w:val="el-GR"/>
        </w:rPr>
        <w:t xml:space="preserve"> </w:t>
      </w:r>
      <w:r>
        <w:rPr>
          <w:rFonts w:ascii="Calibri" w:hAnsi="Calibri" w:cs="Calibri"/>
          <w:sz w:val="24"/>
          <w:szCs w:val="24"/>
          <w:lang w:val="el-GR"/>
        </w:rPr>
        <w:t>της</w:t>
      </w:r>
      <w:r w:rsidRPr="00D7466F">
        <w:rPr>
          <w:rFonts w:ascii="Calibri" w:hAnsi="Calibri" w:cs="Calibri"/>
          <w:sz w:val="24"/>
          <w:szCs w:val="24"/>
          <w:lang w:val="el-GR"/>
        </w:rPr>
        <w:t xml:space="preserve"> </w:t>
      </w:r>
      <w:r w:rsidR="009C4E34">
        <w:rPr>
          <w:rFonts w:ascii="Calibri" w:hAnsi="Calibri" w:cs="Calibri"/>
          <w:sz w:val="24"/>
          <w:szCs w:val="24"/>
          <w:lang w:val="el-GR"/>
        </w:rPr>
        <w:t>Αστυνομία</w:t>
      </w:r>
      <w:r>
        <w:rPr>
          <w:rFonts w:ascii="Calibri" w:hAnsi="Calibri" w:cs="Calibri"/>
          <w:sz w:val="24"/>
          <w:szCs w:val="24"/>
          <w:lang w:val="el-GR"/>
        </w:rPr>
        <w:t>ς</w:t>
      </w:r>
      <w:r w:rsidR="00220066" w:rsidRPr="00D7466F">
        <w:rPr>
          <w:rFonts w:ascii="Calibri" w:hAnsi="Calibri" w:cs="Calibri"/>
          <w:sz w:val="24"/>
          <w:szCs w:val="24"/>
          <w:lang w:val="el-GR"/>
        </w:rPr>
        <w:t xml:space="preserve">, </w:t>
      </w:r>
      <w:r>
        <w:rPr>
          <w:rFonts w:ascii="Calibri" w:hAnsi="Calibri" w:cs="Calibri"/>
          <w:sz w:val="24"/>
          <w:szCs w:val="24"/>
          <w:lang w:val="el-GR"/>
        </w:rPr>
        <w:t>και την Ελεγκτική Υπηρεσία της Δημοκρατίας</w:t>
      </w:r>
      <w:r w:rsidR="00220066" w:rsidRPr="00D7466F">
        <w:rPr>
          <w:rFonts w:ascii="Calibri" w:hAnsi="Calibri" w:cs="Calibri"/>
          <w:sz w:val="24"/>
          <w:szCs w:val="24"/>
          <w:lang w:val="el-GR"/>
        </w:rPr>
        <w:t>.</w:t>
      </w:r>
    </w:p>
    <w:p w14:paraId="3FB2BB34" w14:textId="77777777" w:rsidR="00874F62" w:rsidRPr="00D7466F" w:rsidRDefault="00874F62" w:rsidP="00874F62">
      <w:pPr>
        <w:tabs>
          <w:tab w:val="left" w:pos="709"/>
        </w:tabs>
        <w:rPr>
          <w:rFonts w:cstheme="minorHAnsi"/>
          <w:sz w:val="24"/>
          <w:szCs w:val="24"/>
          <w:lang w:val="el-GR"/>
        </w:rPr>
      </w:pPr>
    </w:p>
    <w:p w14:paraId="3AAC9716" w14:textId="118D0796" w:rsidR="005557A6" w:rsidRPr="00E10220" w:rsidRDefault="00562D89" w:rsidP="005557A6">
      <w:pPr>
        <w:numPr>
          <w:ilvl w:val="0"/>
          <w:numId w:val="1"/>
        </w:numPr>
        <w:tabs>
          <w:tab w:val="left" w:pos="709"/>
        </w:tabs>
        <w:ind w:left="0" w:firstLine="0"/>
        <w:rPr>
          <w:rFonts w:cstheme="minorHAnsi"/>
          <w:sz w:val="24"/>
          <w:szCs w:val="24"/>
          <w:lang w:val="el-GR"/>
        </w:rPr>
      </w:pPr>
      <w:r>
        <w:rPr>
          <w:rFonts w:ascii="Calibri" w:hAnsi="Calibri" w:cs="Calibri"/>
          <w:sz w:val="24"/>
          <w:szCs w:val="24"/>
        </w:rPr>
        <w:t>T</w:t>
      </w:r>
      <w:r>
        <w:rPr>
          <w:rFonts w:ascii="Calibri" w:hAnsi="Calibri" w:cs="Calibri"/>
          <w:sz w:val="24"/>
          <w:szCs w:val="24"/>
          <w:lang w:val="el-GR"/>
        </w:rPr>
        <w:t>ην</w:t>
      </w:r>
      <w:r w:rsidRPr="00AD1736">
        <w:rPr>
          <w:rFonts w:ascii="Calibri" w:hAnsi="Calibri" w:cs="Calibri"/>
          <w:sz w:val="24"/>
          <w:szCs w:val="24"/>
          <w:lang w:val="el-GR"/>
        </w:rPr>
        <w:t xml:space="preserve"> 1</w:t>
      </w:r>
      <w:r w:rsidRPr="00562D89">
        <w:rPr>
          <w:rFonts w:ascii="Calibri" w:hAnsi="Calibri" w:cs="Calibri"/>
          <w:sz w:val="24"/>
          <w:szCs w:val="24"/>
          <w:vertAlign w:val="superscript"/>
          <w:lang w:val="el-GR"/>
        </w:rPr>
        <w:t>η</w:t>
      </w:r>
      <w:r w:rsidRPr="00AD1736">
        <w:rPr>
          <w:rFonts w:ascii="Calibri" w:hAnsi="Calibri" w:cs="Calibri"/>
          <w:sz w:val="24"/>
          <w:szCs w:val="24"/>
          <w:lang w:val="el-GR"/>
        </w:rPr>
        <w:t xml:space="preserve"> </w:t>
      </w:r>
      <w:r>
        <w:rPr>
          <w:rFonts w:ascii="Calibri" w:hAnsi="Calibri" w:cs="Calibri"/>
          <w:sz w:val="24"/>
          <w:szCs w:val="24"/>
          <w:lang w:val="el-GR"/>
        </w:rPr>
        <w:t>Ιανουαρίου</w:t>
      </w:r>
      <w:r w:rsidRPr="00AD1736">
        <w:rPr>
          <w:rFonts w:ascii="Calibri" w:hAnsi="Calibri" w:cs="Calibri"/>
          <w:sz w:val="24"/>
          <w:szCs w:val="24"/>
          <w:lang w:val="el-GR"/>
        </w:rPr>
        <w:t xml:space="preserve"> </w:t>
      </w:r>
      <w:r>
        <w:rPr>
          <w:rFonts w:ascii="Calibri" w:hAnsi="Calibri" w:cs="Calibri"/>
          <w:sz w:val="24"/>
          <w:szCs w:val="24"/>
          <w:lang w:val="el-GR"/>
        </w:rPr>
        <w:t>του</w:t>
      </w:r>
      <w:r w:rsidR="005557A6" w:rsidRPr="00AD1736">
        <w:rPr>
          <w:rFonts w:ascii="Calibri" w:hAnsi="Calibri" w:cs="Calibri"/>
          <w:sz w:val="24"/>
          <w:szCs w:val="24"/>
          <w:lang w:val="el-GR"/>
        </w:rPr>
        <w:t xml:space="preserve"> 2023, </w:t>
      </w:r>
      <w:r>
        <w:rPr>
          <w:rFonts w:ascii="Calibri" w:hAnsi="Calibri" w:cs="Calibri"/>
          <w:sz w:val="24"/>
          <w:szCs w:val="24"/>
          <w:lang w:val="el-GR"/>
        </w:rPr>
        <w:t>υπή</w:t>
      </w:r>
      <w:r w:rsidR="004B5EB1">
        <w:rPr>
          <w:rFonts w:ascii="Calibri" w:hAnsi="Calibri" w:cs="Calibri"/>
          <w:sz w:val="24"/>
          <w:szCs w:val="24"/>
          <w:lang w:val="el-GR"/>
        </w:rPr>
        <w:t>ρ</w:t>
      </w:r>
      <w:r>
        <w:rPr>
          <w:rFonts w:ascii="Calibri" w:hAnsi="Calibri" w:cs="Calibri"/>
          <w:sz w:val="24"/>
          <w:szCs w:val="24"/>
          <w:lang w:val="el-GR"/>
        </w:rPr>
        <w:t>ξε</w:t>
      </w:r>
      <w:r w:rsidRPr="00AD1736">
        <w:rPr>
          <w:rFonts w:ascii="Calibri" w:hAnsi="Calibri" w:cs="Calibri"/>
          <w:sz w:val="24"/>
          <w:szCs w:val="24"/>
          <w:lang w:val="el-GR"/>
        </w:rPr>
        <w:t xml:space="preserve"> </w:t>
      </w:r>
      <w:r>
        <w:rPr>
          <w:rFonts w:ascii="Calibri" w:hAnsi="Calibri" w:cs="Calibri"/>
          <w:sz w:val="24"/>
          <w:szCs w:val="24"/>
          <w:lang w:val="el-GR"/>
        </w:rPr>
        <w:t>μια</w:t>
      </w:r>
      <w:r w:rsidRPr="00AD1736">
        <w:rPr>
          <w:rFonts w:ascii="Calibri" w:hAnsi="Calibri" w:cs="Calibri"/>
          <w:sz w:val="24"/>
          <w:szCs w:val="24"/>
          <w:lang w:val="el-GR"/>
        </w:rPr>
        <w:t xml:space="preserve"> </w:t>
      </w:r>
      <w:r>
        <w:rPr>
          <w:rFonts w:ascii="Calibri" w:hAnsi="Calibri" w:cs="Calibri"/>
          <w:sz w:val="24"/>
          <w:szCs w:val="24"/>
          <w:lang w:val="el-GR"/>
        </w:rPr>
        <w:t>αύξηση</w:t>
      </w:r>
      <w:r w:rsidRPr="00AD1736">
        <w:rPr>
          <w:rFonts w:ascii="Calibri" w:hAnsi="Calibri" w:cs="Calibri"/>
          <w:sz w:val="24"/>
          <w:szCs w:val="24"/>
          <w:lang w:val="el-GR"/>
        </w:rPr>
        <w:t xml:space="preserve"> </w:t>
      </w:r>
      <w:r>
        <w:rPr>
          <w:rFonts w:ascii="Calibri" w:hAnsi="Calibri" w:cs="Calibri"/>
          <w:sz w:val="24"/>
          <w:szCs w:val="24"/>
          <w:lang w:val="el-GR"/>
        </w:rPr>
        <w:t>στους</w:t>
      </w:r>
      <w:r w:rsidRPr="00AD1736">
        <w:rPr>
          <w:rFonts w:ascii="Calibri" w:hAnsi="Calibri" w:cs="Calibri"/>
          <w:sz w:val="24"/>
          <w:szCs w:val="24"/>
          <w:lang w:val="el-GR"/>
        </w:rPr>
        <w:t xml:space="preserve"> </w:t>
      </w:r>
      <w:r>
        <w:rPr>
          <w:rFonts w:ascii="Calibri" w:hAnsi="Calibri" w:cs="Calibri"/>
          <w:sz w:val="24"/>
          <w:szCs w:val="24"/>
          <w:lang w:val="el-GR"/>
        </w:rPr>
        <w:t>μισθούς</w:t>
      </w:r>
      <w:r w:rsidRPr="00AD1736">
        <w:rPr>
          <w:rFonts w:ascii="Calibri" w:hAnsi="Calibri" w:cs="Calibri"/>
          <w:sz w:val="24"/>
          <w:szCs w:val="24"/>
          <w:lang w:val="el-GR"/>
        </w:rPr>
        <w:t xml:space="preserve"> </w:t>
      </w:r>
      <w:r>
        <w:rPr>
          <w:rFonts w:ascii="Calibri" w:hAnsi="Calibri" w:cs="Calibri"/>
          <w:sz w:val="24"/>
          <w:szCs w:val="24"/>
          <w:lang w:val="el-GR"/>
        </w:rPr>
        <w:t>που</w:t>
      </w:r>
      <w:r w:rsidRPr="00AD1736">
        <w:rPr>
          <w:rFonts w:ascii="Calibri" w:hAnsi="Calibri" w:cs="Calibri"/>
          <w:sz w:val="24"/>
          <w:szCs w:val="24"/>
          <w:lang w:val="el-GR"/>
        </w:rPr>
        <w:t xml:space="preserve"> </w:t>
      </w:r>
      <w:r>
        <w:rPr>
          <w:rFonts w:ascii="Calibri" w:hAnsi="Calibri" w:cs="Calibri"/>
          <w:sz w:val="24"/>
          <w:szCs w:val="24"/>
          <w:lang w:val="el-GR"/>
        </w:rPr>
        <w:t>λαμβάνουν</w:t>
      </w:r>
      <w:r w:rsidRPr="00AD1736">
        <w:rPr>
          <w:rFonts w:ascii="Calibri" w:hAnsi="Calibri" w:cs="Calibri"/>
          <w:sz w:val="24"/>
          <w:szCs w:val="24"/>
          <w:lang w:val="el-GR"/>
        </w:rPr>
        <w:t xml:space="preserve"> </w:t>
      </w:r>
      <w:r>
        <w:rPr>
          <w:rFonts w:ascii="Calibri" w:hAnsi="Calibri" w:cs="Calibri"/>
          <w:sz w:val="24"/>
          <w:szCs w:val="24"/>
          <w:lang w:val="el-GR"/>
        </w:rPr>
        <w:t>οι</w:t>
      </w:r>
      <w:r w:rsidRPr="00AD1736">
        <w:rPr>
          <w:rFonts w:ascii="Calibri" w:hAnsi="Calibri" w:cs="Calibri"/>
          <w:sz w:val="24"/>
          <w:szCs w:val="24"/>
          <w:lang w:val="el-GR"/>
        </w:rPr>
        <w:t xml:space="preserve"> </w:t>
      </w:r>
      <w:r>
        <w:rPr>
          <w:rFonts w:ascii="Calibri" w:hAnsi="Calibri" w:cs="Calibri"/>
          <w:sz w:val="24"/>
          <w:szCs w:val="24"/>
          <w:lang w:val="el-GR"/>
        </w:rPr>
        <w:t>αστυνομικοί</w:t>
      </w:r>
      <w:r w:rsidR="005557A6" w:rsidRPr="00AD1736">
        <w:rPr>
          <w:rFonts w:ascii="Calibri" w:hAnsi="Calibri" w:cs="Calibri"/>
          <w:sz w:val="24"/>
          <w:szCs w:val="24"/>
          <w:lang w:val="el-GR"/>
        </w:rPr>
        <w:t>,</w:t>
      </w:r>
      <w:r w:rsidR="00874F62" w:rsidRPr="00AD1736">
        <w:rPr>
          <w:rFonts w:ascii="Calibri" w:hAnsi="Calibri" w:cs="Calibri"/>
          <w:sz w:val="24"/>
          <w:szCs w:val="24"/>
          <w:lang w:val="el-GR"/>
        </w:rPr>
        <w:t xml:space="preserve"> </w:t>
      </w:r>
      <w:r w:rsidR="00AD1736">
        <w:rPr>
          <w:rFonts w:ascii="Calibri" w:hAnsi="Calibri" w:cs="Calibri"/>
          <w:sz w:val="24"/>
          <w:szCs w:val="24"/>
          <w:lang w:val="el-GR"/>
        </w:rPr>
        <w:t>ιδιαίτερα για τους χαμηλότερους βαθμούς</w:t>
      </w:r>
      <w:r w:rsidR="00AD1736" w:rsidRPr="00AD1736">
        <w:rPr>
          <w:rFonts w:ascii="Calibri" w:hAnsi="Calibri" w:cs="Calibri"/>
          <w:sz w:val="24"/>
          <w:szCs w:val="24"/>
          <w:lang w:val="el-GR"/>
        </w:rPr>
        <w:t xml:space="preserve"> </w:t>
      </w:r>
      <w:r w:rsidR="00AD1736">
        <w:rPr>
          <w:rFonts w:ascii="Calibri" w:hAnsi="Calibri" w:cs="Calibri"/>
          <w:sz w:val="24"/>
          <w:szCs w:val="24"/>
          <w:lang w:val="el-GR"/>
        </w:rPr>
        <w:t>της ιεραρχίας</w:t>
      </w:r>
      <w:r w:rsidR="00EB6938" w:rsidRPr="00AD1736">
        <w:rPr>
          <w:rFonts w:ascii="Calibri" w:hAnsi="Calibri" w:cs="Calibri"/>
          <w:sz w:val="24"/>
          <w:szCs w:val="24"/>
          <w:lang w:val="el-GR"/>
        </w:rPr>
        <w:t xml:space="preserve">. </w:t>
      </w:r>
      <w:r w:rsidR="00AD1736">
        <w:rPr>
          <w:rFonts w:ascii="Calibri" w:hAnsi="Calibri" w:cs="Calibri"/>
          <w:sz w:val="24"/>
          <w:szCs w:val="24"/>
          <w:lang w:val="el-GR"/>
        </w:rPr>
        <w:t>Το</w:t>
      </w:r>
      <w:r w:rsidR="00AD1736" w:rsidRPr="00AD1736">
        <w:rPr>
          <w:rFonts w:ascii="Calibri" w:hAnsi="Calibri" w:cs="Calibri"/>
          <w:sz w:val="24"/>
          <w:szCs w:val="24"/>
          <w:lang w:val="el-GR"/>
        </w:rPr>
        <w:t xml:space="preserve"> </w:t>
      </w:r>
      <w:r w:rsidR="00AD1736">
        <w:rPr>
          <w:rFonts w:ascii="Calibri" w:hAnsi="Calibri" w:cs="Calibri"/>
          <w:sz w:val="24"/>
          <w:szCs w:val="24"/>
          <w:lang w:val="el-GR"/>
        </w:rPr>
        <w:t>θέμα</w:t>
      </w:r>
      <w:r w:rsidR="00AD1736" w:rsidRPr="00AD1736">
        <w:rPr>
          <w:rFonts w:ascii="Calibri" w:hAnsi="Calibri" w:cs="Calibri"/>
          <w:sz w:val="24"/>
          <w:szCs w:val="24"/>
          <w:lang w:val="el-GR"/>
        </w:rPr>
        <w:t xml:space="preserve"> </w:t>
      </w:r>
      <w:r w:rsidR="00AD1736">
        <w:rPr>
          <w:rFonts w:ascii="Calibri" w:hAnsi="Calibri" w:cs="Calibri"/>
          <w:sz w:val="24"/>
          <w:szCs w:val="24"/>
          <w:lang w:val="el-GR"/>
        </w:rPr>
        <w:t>των</w:t>
      </w:r>
      <w:r w:rsidR="00AD1736" w:rsidRPr="00AD1736">
        <w:rPr>
          <w:rFonts w:ascii="Calibri" w:hAnsi="Calibri" w:cs="Calibri"/>
          <w:sz w:val="24"/>
          <w:szCs w:val="24"/>
          <w:lang w:val="el-GR"/>
        </w:rPr>
        <w:t xml:space="preserve"> </w:t>
      </w:r>
      <w:r w:rsidR="00AD1736">
        <w:rPr>
          <w:rFonts w:ascii="Calibri" w:hAnsi="Calibri" w:cs="Calibri"/>
          <w:sz w:val="24"/>
          <w:szCs w:val="24"/>
          <w:lang w:val="el-GR"/>
        </w:rPr>
        <w:t>χαμηλών</w:t>
      </w:r>
      <w:r w:rsidR="00AD1736" w:rsidRPr="00AD1736">
        <w:rPr>
          <w:rFonts w:ascii="Calibri" w:hAnsi="Calibri" w:cs="Calibri"/>
          <w:sz w:val="24"/>
          <w:szCs w:val="24"/>
          <w:lang w:val="el-GR"/>
        </w:rPr>
        <w:t xml:space="preserve"> </w:t>
      </w:r>
      <w:r w:rsidR="00AD1736">
        <w:rPr>
          <w:rFonts w:ascii="Calibri" w:hAnsi="Calibri" w:cs="Calibri"/>
          <w:sz w:val="24"/>
          <w:szCs w:val="24"/>
          <w:lang w:val="el-GR"/>
        </w:rPr>
        <w:t>μισθών</w:t>
      </w:r>
      <w:r w:rsidR="00AD1736" w:rsidRPr="00AD1736">
        <w:rPr>
          <w:rFonts w:ascii="Calibri" w:hAnsi="Calibri" w:cs="Calibri"/>
          <w:sz w:val="24"/>
          <w:szCs w:val="24"/>
          <w:lang w:val="el-GR"/>
        </w:rPr>
        <w:t xml:space="preserve"> </w:t>
      </w:r>
      <w:r w:rsidR="00AD1736">
        <w:rPr>
          <w:rFonts w:ascii="Calibri" w:hAnsi="Calibri" w:cs="Calibri"/>
          <w:sz w:val="24"/>
          <w:szCs w:val="24"/>
          <w:lang w:val="el-GR"/>
        </w:rPr>
        <w:t>στην</w:t>
      </w:r>
      <w:r w:rsidR="00AD1736" w:rsidRPr="00AD1736">
        <w:rPr>
          <w:rFonts w:ascii="Calibri" w:hAnsi="Calibri" w:cs="Calibri"/>
          <w:sz w:val="24"/>
          <w:szCs w:val="24"/>
          <w:lang w:val="el-GR"/>
        </w:rPr>
        <w:t xml:space="preserve"> </w:t>
      </w:r>
      <w:r w:rsidR="009C4E34">
        <w:rPr>
          <w:rFonts w:ascii="Calibri" w:hAnsi="Calibri" w:cs="Calibri"/>
          <w:sz w:val="24"/>
          <w:szCs w:val="24"/>
          <w:lang w:val="el-GR"/>
        </w:rPr>
        <w:t>Αστυνομία</w:t>
      </w:r>
      <w:r w:rsidR="005557A6" w:rsidRPr="00AD1736">
        <w:rPr>
          <w:rFonts w:ascii="Calibri" w:hAnsi="Calibri" w:cs="Calibri"/>
          <w:sz w:val="24"/>
          <w:szCs w:val="24"/>
          <w:lang w:val="el-GR"/>
        </w:rPr>
        <w:t xml:space="preserve"> (</w:t>
      </w:r>
      <w:r w:rsidR="00AD1736">
        <w:rPr>
          <w:rFonts w:ascii="Calibri" w:hAnsi="Calibri" w:cs="Calibri"/>
          <w:sz w:val="24"/>
          <w:szCs w:val="24"/>
          <w:lang w:val="el-GR"/>
        </w:rPr>
        <w:t>στα</w:t>
      </w:r>
      <w:r w:rsidR="00AD1736" w:rsidRPr="00AD1736">
        <w:rPr>
          <w:rFonts w:ascii="Calibri" w:hAnsi="Calibri" w:cs="Calibri"/>
          <w:sz w:val="24"/>
          <w:szCs w:val="24"/>
          <w:lang w:val="el-GR"/>
        </w:rPr>
        <w:t xml:space="preserve"> </w:t>
      </w:r>
      <w:r w:rsidR="00AD1736">
        <w:rPr>
          <w:rFonts w:ascii="Calibri" w:hAnsi="Calibri" w:cs="Calibri"/>
          <w:sz w:val="24"/>
          <w:szCs w:val="24"/>
          <w:lang w:val="el-GR"/>
        </w:rPr>
        <w:t>επίπεδα</w:t>
      </w:r>
      <w:r w:rsidR="00AD1736" w:rsidRPr="00AD1736">
        <w:rPr>
          <w:rFonts w:ascii="Calibri" w:hAnsi="Calibri" w:cs="Calibri"/>
          <w:sz w:val="24"/>
          <w:szCs w:val="24"/>
          <w:lang w:val="el-GR"/>
        </w:rPr>
        <w:t xml:space="preserve"> </w:t>
      </w:r>
      <w:r w:rsidR="00AD1736">
        <w:rPr>
          <w:rFonts w:ascii="Calibri" w:hAnsi="Calibri" w:cs="Calibri"/>
          <w:sz w:val="24"/>
          <w:szCs w:val="24"/>
          <w:lang w:val="el-GR"/>
        </w:rPr>
        <w:t>εισόδου</w:t>
      </w:r>
      <w:r w:rsidR="005557A6" w:rsidRPr="00AD1736">
        <w:rPr>
          <w:rFonts w:ascii="Calibri" w:hAnsi="Calibri" w:cs="Calibri"/>
          <w:sz w:val="24"/>
          <w:szCs w:val="24"/>
          <w:lang w:val="el-GR"/>
        </w:rPr>
        <w:t xml:space="preserve">, </w:t>
      </w:r>
      <w:r w:rsidR="00AD1736">
        <w:rPr>
          <w:rFonts w:ascii="Calibri" w:hAnsi="Calibri" w:cs="Calibri"/>
          <w:sz w:val="24"/>
          <w:szCs w:val="24"/>
          <w:lang w:val="el-GR"/>
        </w:rPr>
        <w:t>ο</w:t>
      </w:r>
      <w:r w:rsidR="00AD1736" w:rsidRPr="00AD1736">
        <w:rPr>
          <w:rFonts w:ascii="Calibri" w:hAnsi="Calibri" w:cs="Calibri"/>
          <w:sz w:val="24"/>
          <w:szCs w:val="24"/>
          <w:lang w:val="el-GR"/>
        </w:rPr>
        <w:t xml:space="preserve"> </w:t>
      </w:r>
      <w:r w:rsidR="00AD1736">
        <w:rPr>
          <w:rFonts w:ascii="Calibri" w:hAnsi="Calibri" w:cs="Calibri"/>
          <w:sz w:val="24"/>
          <w:szCs w:val="24"/>
          <w:lang w:val="el-GR"/>
        </w:rPr>
        <w:t>βασικός</w:t>
      </w:r>
      <w:r w:rsidR="00AD1736" w:rsidRPr="00AD1736">
        <w:rPr>
          <w:rFonts w:ascii="Calibri" w:hAnsi="Calibri" w:cs="Calibri"/>
          <w:sz w:val="24"/>
          <w:szCs w:val="24"/>
          <w:lang w:val="el-GR"/>
        </w:rPr>
        <w:t xml:space="preserve"> </w:t>
      </w:r>
      <w:r w:rsidR="00AD1736">
        <w:rPr>
          <w:rFonts w:ascii="Calibri" w:hAnsi="Calibri" w:cs="Calibri"/>
          <w:sz w:val="24"/>
          <w:szCs w:val="24"/>
          <w:lang w:val="el-GR"/>
        </w:rPr>
        <w:t>μηνιαίως</w:t>
      </w:r>
      <w:r w:rsidR="00AD1736" w:rsidRPr="00AD1736">
        <w:rPr>
          <w:rFonts w:ascii="Calibri" w:hAnsi="Calibri" w:cs="Calibri"/>
          <w:sz w:val="24"/>
          <w:szCs w:val="24"/>
          <w:lang w:val="el-GR"/>
        </w:rPr>
        <w:t xml:space="preserve"> </w:t>
      </w:r>
      <w:r w:rsidR="00AD1736">
        <w:rPr>
          <w:rFonts w:ascii="Calibri" w:hAnsi="Calibri" w:cs="Calibri"/>
          <w:sz w:val="24"/>
          <w:szCs w:val="24"/>
          <w:lang w:val="el-GR"/>
        </w:rPr>
        <w:t>μισθός</w:t>
      </w:r>
      <w:r w:rsidR="005557A6" w:rsidRPr="00AD1736">
        <w:rPr>
          <w:rFonts w:ascii="Calibri" w:hAnsi="Calibri" w:cs="Calibri"/>
          <w:sz w:val="24"/>
          <w:szCs w:val="24"/>
          <w:lang w:val="el-GR"/>
        </w:rPr>
        <w:t xml:space="preserve"> </w:t>
      </w:r>
      <w:proofErr w:type="spellStart"/>
      <w:r w:rsidR="00AD1736">
        <w:rPr>
          <w:rFonts w:ascii="Calibri" w:hAnsi="Calibri" w:cs="Calibri"/>
          <w:sz w:val="24"/>
          <w:szCs w:val="24"/>
          <w:lang w:val="el-GR"/>
        </w:rPr>
        <w:t>ανέρχετο</w:t>
      </w:r>
      <w:proofErr w:type="spellEnd"/>
      <w:r w:rsidR="00AD1736" w:rsidRPr="00AD1736">
        <w:rPr>
          <w:rFonts w:ascii="Calibri" w:hAnsi="Calibri" w:cs="Calibri"/>
          <w:sz w:val="24"/>
          <w:szCs w:val="24"/>
          <w:lang w:val="el-GR"/>
        </w:rPr>
        <w:t xml:space="preserve"> </w:t>
      </w:r>
      <w:r w:rsidR="00AD1736">
        <w:rPr>
          <w:rFonts w:ascii="Calibri" w:hAnsi="Calibri" w:cs="Calibri"/>
          <w:sz w:val="24"/>
          <w:szCs w:val="24"/>
          <w:lang w:val="el-GR"/>
        </w:rPr>
        <w:t>στο</w:t>
      </w:r>
      <w:r w:rsidR="00AD1736" w:rsidRPr="00AD1736">
        <w:rPr>
          <w:rFonts w:ascii="Calibri" w:hAnsi="Calibri" w:cs="Calibri"/>
          <w:sz w:val="24"/>
          <w:szCs w:val="24"/>
          <w:lang w:val="el-GR"/>
        </w:rPr>
        <w:t xml:space="preserve"> </w:t>
      </w:r>
      <w:r w:rsidR="00AD1736">
        <w:rPr>
          <w:rFonts w:ascii="Calibri" w:hAnsi="Calibri" w:cs="Calibri"/>
          <w:sz w:val="24"/>
          <w:szCs w:val="24"/>
          <w:lang w:val="el-GR"/>
        </w:rPr>
        <w:t>μισό του</w:t>
      </w:r>
      <w:r w:rsidR="005557A6" w:rsidRPr="00AD1736">
        <w:rPr>
          <w:rFonts w:ascii="Calibri" w:hAnsi="Calibri" w:cs="Calibri"/>
          <w:sz w:val="24"/>
          <w:szCs w:val="24"/>
          <w:lang w:val="el-GR"/>
        </w:rPr>
        <w:t xml:space="preserve"> </w:t>
      </w:r>
      <w:r w:rsidR="00AD1736">
        <w:rPr>
          <w:rFonts w:ascii="Calibri" w:hAnsi="Calibri" w:cs="Calibri"/>
          <w:sz w:val="24"/>
          <w:szCs w:val="24"/>
          <w:lang w:val="el-GR"/>
        </w:rPr>
        <w:t>μέσου ακάθαρτου μηνιαίου μισθού στην Κύπρο</w:t>
      </w:r>
      <w:r w:rsidR="005557A6" w:rsidRPr="00AD1736">
        <w:rPr>
          <w:rFonts w:cstheme="minorHAnsi"/>
          <w:color w:val="000000"/>
          <w:sz w:val="24"/>
          <w:szCs w:val="24"/>
          <w:lang w:val="el-GR"/>
        </w:rPr>
        <w:t>)</w:t>
      </w:r>
      <w:r w:rsidR="005557A6" w:rsidRPr="00AD1736">
        <w:rPr>
          <w:rFonts w:ascii="Calibri" w:hAnsi="Calibri" w:cs="Calibri"/>
          <w:sz w:val="24"/>
          <w:szCs w:val="24"/>
          <w:lang w:val="el-GR"/>
        </w:rPr>
        <w:t xml:space="preserve"> </w:t>
      </w:r>
      <w:r w:rsidR="00AD1736">
        <w:rPr>
          <w:rFonts w:ascii="Calibri" w:hAnsi="Calibri" w:cs="Calibri"/>
          <w:sz w:val="24"/>
          <w:szCs w:val="24"/>
          <w:lang w:val="el-GR"/>
        </w:rPr>
        <w:t>ήταν μια ανησυχία για την δύναμη που εκκρεμούσε για πολύ καιρό</w:t>
      </w:r>
      <w:r w:rsidR="00AD1736" w:rsidRPr="00AD1736">
        <w:rPr>
          <w:rFonts w:ascii="Calibri" w:hAnsi="Calibri" w:cs="Calibri"/>
          <w:sz w:val="24"/>
          <w:szCs w:val="24"/>
          <w:lang w:val="el-GR"/>
        </w:rPr>
        <w:t xml:space="preserve"> </w:t>
      </w:r>
      <w:r w:rsidR="00AD1736">
        <w:rPr>
          <w:rFonts w:ascii="Calibri" w:hAnsi="Calibri" w:cs="Calibri"/>
          <w:sz w:val="24"/>
          <w:szCs w:val="24"/>
          <w:lang w:val="el-GR"/>
        </w:rPr>
        <w:t>και που ήταν αναμφισβήτητα προβληματική</w:t>
      </w:r>
      <w:r w:rsidR="00874F62" w:rsidRPr="00AD1736">
        <w:rPr>
          <w:rFonts w:ascii="Calibri" w:hAnsi="Calibri" w:cs="Calibri"/>
          <w:sz w:val="24"/>
          <w:szCs w:val="24"/>
          <w:lang w:val="el-GR"/>
        </w:rPr>
        <w:t xml:space="preserve">. </w:t>
      </w:r>
      <w:r w:rsidR="00AD1736">
        <w:rPr>
          <w:rFonts w:ascii="Calibri" w:hAnsi="Calibri" w:cs="Calibri"/>
          <w:sz w:val="24"/>
          <w:szCs w:val="24"/>
          <w:lang w:val="el-GR"/>
        </w:rPr>
        <w:t>Αναφέρεται</w:t>
      </w:r>
      <w:r w:rsidR="00AD1736" w:rsidRPr="00AD1736">
        <w:rPr>
          <w:rFonts w:ascii="Calibri" w:hAnsi="Calibri" w:cs="Calibri"/>
          <w:sz w:val="24"/>
          <w:szCs w:val="24"/>
          <w:lang w:val="el-GR"/>
        </w:rPr>
        <w:t xml:space="preserve"> </w:t>
      </w:r>
      <w:r w:rsidR="00AD1736">
        <w:rPr>
          <w:rFonts w:ascii="Calibri" w:hAnsi="Calibri" w:cs="Calibri"/>
          <w:sz w:val="24"/>
          <w:szCs w:val="24"/>
          <w:lang w:val="el-GR"/>
        </w:rPr>
        <w:t>ότι</w:t>
      </w:r>
      <w:r w:rsidR="00AD1736" w:rsidRPr="00AD1736">
        <w:rPr>
          <w:rFonts w:ascii="Calibri" w:hAnsi="Calibri" w:cs="Calibri"/>
          <w:sz w:val="24"/>
          <w:szCs w:val="24"/>
          <w:lang w:val="el-GR"/>
        </w:rPr>
        <w:t xml:space="preserve"> </w:t>
      </w:r>
      <w:r w:rsidR="00AD1736">
        <w:rPr>
          <w:rFonts w:ascii="Calibri" w:hAnsi="Calibri" w:cs="Calibri"/>
          <w:sz w:val="24"/>
          <w:szCs w:val="24"/>
          <w:lang w:val="el-GR"/>
        </w:rPr>
        <w:t>αυτή</w:t>
      </w:r>
      <w:r w:rsidR="00AD1736" w:rsidRPr="00AD1736">
        <w:rPr>
          <w:rFonts w:ascii="Calibri" w:hAnsi="Calibri" w:cs="Calibri"/>
          <w:sz w:val="24"/>
          <w:szCs w:val="24"/>
          <w:lang w:val="el-GR"/>
        </w:rPr>
        <w:t xml:space="preserve"> </w:t>
      </w:r>
      <w:r w:rsidR="00AD1736">
        <w:rPr>
          <w:rFonts w:ascii="Calibri" w:hAnsi="Calibri" w:cs="Calibri"/>
          <w:sz w:val="24"/>
          <w:szCs w:val="24"/>
          <w:lang w:val="el-GR"/>
        </w:rPr>
        <w:t>οδηγούσε</w:t>
      </w:r>
      <w:r w:rsidR="00AD1736" w:rsidRPr="00AD1736">
        <w:rPr>
          <w:rFonts w:ascii="Calibri" w:hAnsi="Calibri" w:cs="Calibri"/>
          <w:sz w:val="24"/>
          <w:szCs w:val="24"/>
          <w:lang w:val="el-GR"/>
        </w:rPr>
        <w:t xml:space="preserve"> </w:t>
      </w:r>
      <w:r w:rsidR="00AD1736">
        <w:rPr>
          <w:rFonts w:ascii="Calibri" w:hAnsi="Calibri" w:cs="Calibri"/>
          <w:sz w:val="24"/>
          <w:szCs w:val="24"/>
          <w:lang w:val="el-GR"/>
        </w:rPr>
        <w:t>τους</w:t>
      </w:r>
      <w:r w:rsidR="00AD1736" w:rsidRPr="00AD1736">
        <w:rPr>
          <w:rFonts w:ascii="Calibri" w:hAnsi="Calibri" w:cs="Calibri"/>
          <w:sz w:val="24"/>
          <w:szCs w:val="24"/>
          <w:lang w:val="el-GR"/>
        </w:rPr>
        <w:t xml:space="preserve"> </w:t>
      </w:r>
      <w:r w:rsidR="00AD1736">
        <w:rPr>
          <w:rFonts w:ascii="Calibri" w:hAnsi="Calibri" w:cs="Calibri"/>
          <w:sz w:val="24"/>
          <w:szCs w:val="24"/>
          <w:lang w:val="el-GR"/>
        </w:rPr>
        <w:t>αξιωματούχους</w:t>
      </w:r>
      <w:r w:rsidR="00874F62" w:rsidRPr="00AD1736">
        <w:rPr>
          <w:rFonts w:ascii="Calibri" w:hAnsi="Calibri" w:cs="Calibri"/>
          <w:sz w:val="24"/>
          <w:szCs w:val="24"/>
          <w:lang w:val="el-GR"/>
        </w:rPr>
        <w:t xml:space="preserve"> </w:t>
      </w:r>
      <w:r w:rsidR="00AD1736">
        <w:rPr>
          <w:rFonts w:ascii="Calibri" w:hAnsi="Calibri" w:cs="Calibri"/>
          <w:sz w:val="24"/>
          <w:szCs w:val="24"/>
          <w:lang w:val="el-GR"/>
        </w:rPr>
        <w:t>να</w:t>
      </w:r>
      <w:r w:rsidR="00AD1736" w:rsidRPr="00AD1736">
        <w:rPr>
          <w:rFonts w:ascii="Calibri" w:hAnsi="Calibri" w:cs="Calibri"/>
          <w:sz w:val="24"/>
          <w:szCs w:val="24"/>
          <w:lang w:val="el-GR"/>
        </w:rPr>
        <w:t xml:space="preserve"> </w:t>
      </w:r>
      <w:r w:rsidR="00AD1736">
        <w:rPr>
          <w:rFonts w:ascii="Calibri" w:hAnsi="Calibri" w:cs="Calibri"/>
          <w:sz w:val="24"/>
          <w:szCs w:val="24"/>
          <w:lang w:val="el-GR"/>
        </w:rPr>
        <w:t>αποχωρήσουν</w:t>
      </w:r>
      <w:r w:rsidR="00AD1736" w:rsidRPr="00AD1736">
        <w:rPr>
          <w:rFonts w:ascii="Calibri" w:hAnsi="Calibri" w:cs="Calibri"/>
          <w:sz w:val="24"/>
          <w:szCs w:val="24"/>
          <w:lang w:val="el-GR"/>
        </w:rPr>
        <w:t xml:space="preserve"> </w:t>
      </w:r>
      <w:r w:rsidR="00AD1736">
        <w:rPr>
          <w:rFonts w:ascii="Calibri" w:hAnsi="Calibri" w:cs="Calibri"/>
          <w:sz w:val="24"/>
          <w:szCs w:val="24"/>
          <w:lang w:val="el-GR"/>
        </w:rPr>
        <w:t>από</w:t>
      </w:r>
      <w:r w:rsidR="00AD1736" w:rsidRPr="00AD1736">
        <w:rPr>
          <w:rFonts w:ascii="Calibri" w:hAnsi="Calibri" w:cs="Calibri"/>
          <w:sz w:val="24"/>
          <w:szCs w:val="24"/>
          <w:lang w:val="el-GR"/>
        </w:rPr>
        <w:t xml:space="preserve"> </w:t>
      </w:r>
      <w:r w:rsidR="00AD1736">
        <w:rPr>
          <w:rFonts w:ascii="Calibri" w:hAnsi="Calibri" w:cs="Calibri"/>
          <w:sz w:val="24"/>
          <w:szCs w:val="24"/>
          <w:lang w:val="el-GR"/>
        </w:rPr>
        <w:t>την</w:t>
      </w:r>
      <w:r w:rsidR="00AD1736" w:rsidRPr="00AD1736">
        <w:rPr>
          <w:rFonts w:ascii="Calibri" w:hAnsi="Calibri" w:cs="Calibri"/>
          <w:sz w:val="24"/>
          <w:szCs w:val="24"/>
          <w:lang w:val="el-GR"/>
        </w:rPr>
        <w:t xml:space="preserve"> </w:t>
      </w:r>
      <w:r w:rsidR="00AD1736">
        <w:rPr>
          <w:rFonts w:ascii="Calibri" w:hAnsi="Calibri" w:cs="Calibri"/>
          <w:sz w:val="24"/>
          <w:szCs w:val="24"/>
          <w:lang w:val="el-GR"/>
        </w:rPr>
        <w:t>υπηρεσία</w:t>
      </w:r>
      <w:r w:rsidR="00874F62" w:rsidRPr="00AD1736">
        <w:rPr>
          <w:rFonts w:ascii="Calibri" w:hAnsi="Calibri" w:cs="Calibri"/>
          <w:sz w:val="24"/>
          <w:szCs w:val="24"/>
          <w:lang w:val="el-GR"/>
        </w:rPr>
        <w:t xml:space="preserve"> </w:t>
      </w:r>
      <w:r w:rsidR="00AD1736">
        <w:rPr>
          <w:rFonts w:ascii="Calibri" w:hAnsi="Calibri" w:cs="Calibri"/>
          <w:sz w:val="24"/>
          <w:szCs w:val="24"/>
          <w:lang w:val="el-GR"/>
        </w:rPr>
        <w:t>και</w:t>
      </w:r>
      <w:r w:rsidR="00AD1736" w:rsidRPr="00AD1736">
        <w:rPr>
          <w:rFonts w:ascii="Calibri" w:hAnsi="Calibri" w:cs="Calibri"/>
          <w:sz w:val="24"/>
          <w:szCs w:val="24"/>
          <w:lang w:val="el-GR"/>
        </w:rPr>
        <w:t xml:space="preserve"> </w:t>
      </w:r>
      <w:r w:rsidR="00AD1736">
        <w:rPr>
          <w:rFonts w:ascii="Calibri" w:hAnsi="Calibri" w:cs="Calibri"/>
          <w:sz w:val="24"/>
          <w:szCs w:val="24"/>
          <w:lang w:val="el-GR"/>
        </w:rPr>
        <w:t>επίσης</w:t>
      </w:r>
      <w:r w:rsidR="00AD1736" w:rsidRPr="00AD1736">
        <w:rPr>
          <w:rFonts w:ascii="Calibri" w:hAnsi="Calibri" w:cs="Calibri"/>
          <w:sz w:val="24"/>
          <w:szCs w:val="24"/>
          <w:lang w:val="el-GR"/>
        </w:rPr>
        <w:t xml:space="preserve"> </w:t>
      </w:r>
      <w:r w:rsidR="00AD1736">
        <w:rPr>
          <w:rFonts w:ascii="Calibri" w:hAnsi="Calibri" w:cs="Calibri"/>
          <w:sz w:val="24"/>
          <w:szCs w:val="24"/>
          <w:lang w:val="el-GR"/>
        </w:rPr>
        <w:t>ότι</w:t>
      </w:r>
      <w:r w:rsidR="00AD1736" w:rsidRPr="00AD1736">
        <w:rPr>
          <w:rFonts w:ascii="Calibri" w:hAnsi="Calibri" w:cs="Calibri"/>
          <w:sz w:val="24"/>
          <w:szCs w:val="24"/>
          <w:lang w:val="el-GR"/>
        </w:rPr>
        <w:t xml:space="preserve"> </w:t>
      </w:r>
      <w:r w:rsidR="00AD1736">
        <w:rPr>
          <w:rFonts w:ascii="Calibri" w:hAnsi="Calibri" w:cs="Calibri"/>
          <w:sz w:val="24"/>
          <w:szCs w:val="24"/>
          <w:lang w:val="el-GR"/>
        </w:rPr>
        <w:t>η</w:t>
      </w:r>
      <w:r w:rsidR="00AD1736" w:rsidRPr="00AD1736">
        <w:rPr>
          <w:rFonts w:ascii="Calibri" w:hAnsi="Calibri" w:cs="Calibri"/>
          <w:sz w:val="24"/>
          <w:szCs w:val="24"/>
          <w:lang w:val="el-GR"/>
        </w:rPr>
        <w:t xml:space="preserve"> </w:t>
      </w:r>
      <w:r w:rsidR="009C4E34">
        <w:rPr>
          <w:rFonts w:ascii="Calibri" w:hAnsi="Calibri" w:cs="Calibri"/>
          <w:sz w:val="24"/>
          <w:szCs w:val="24"/>
          <w:lang w:val="el-GR"/>
        </w:rPr>
        <w:t>Αστυνομία</w:t>
      </w:r>
      <w:r w:rsidR="00AD1736">
        <w:rPr>
          <w:rFonts w:ascii="Calibri" w:hAnsi="Calibri" w:cs="Calibri"/>
          <w:sz w:val="24"/>
          <w:szCs w:val="24"/>
          <w:lang w:val="el-GR"/>
        </w:rPr>
        <w:t xml:space="preserve"> δεν ήταν</w:t>
      </w:r>
      <w:r w:rsidR="00AD1736" w:rsidRPr="00AD1736">
        <w:rPr>
          <w:rFonts w:ascii="Calibri" w:hAnsi="Calibri" w:cs="Calibri"/>
          <w:sz w:val="24"/>
          <w:szCs w:val="24"/>
          <w:lang w:val="el-GR"/>
        </w:rPr>
        <w:t xml:space="preserve"> </w:t>
      </w:r>
      <w:r w:rsidR="00224347">
        <w:rPr>
          <w:rFonts w:ascii="Calibri" w:hAnsi="Calibri" w:cs="Calibri"/>
          <w:sz w:val="24"/>
          <w:szCs w:val="24"/>
          <w:lang w:val="el-GR"/>
        </w:rPr>
        <w:t>ένας</w:t>
      </w:r>
      <w:r w:rsidR="00AD1736">
        <w:rPr>
          <w:rFonts w:ascii="Calibri" w:hAnsi="Calibri" w:cs="Calibri"/>
          <w:sz w:val="24"/>
          <w:szCs w:val="24"/>
          <w:lang w:val="el-GR"/>
        </w:rPr>
        <w:t xml:space="preserve"> ελκυστικ</w:t>
      </w:r>
      <w:r w:rsidR="00224347">
        <w:rPr>
          <w:rFonts w:ascii="Calibri" w:hAnsi="Calibri" w:cs="Calibri"/>
          <w:sz w:val="24"/>
          <w:szCs w:val="24"/>
          <w:lang w:val="el-GR"/>
        </w:rPr>
        <w:t>ός</w:t>
      </w:r>
      <w:r w:rsidR="00E10220">
        <w:rPr>
          <w:rFonts w:ascii="Calibri" w:hAnsi="Calibri" w:cs="Calibri"/>
          <w:sz w:val="24"/>
          <w:szCs w:val="24"/>
          <w:lang w:val="el-GR"/>
        </w:rPr>
        <w:t xml:space="preserve">, ούτε </w:t>
      </w:r>
      <w:r w:rsidR="00224347">
        <w:rPr>
          <w:rFonts w:ascii="Calibri" w:hAnsi="Calibri" w:cs="Calibri"/>
          <w:sz w:val="24"/>
          <w:szCs w:val="24"/>
          <w:lang w:val="el-GR"/>
        </w:rPr>
        <w:t>ένας</w:t>
      </w:r>
      <w:r w:rsidR="00E10220">
        <w:rPr>
          <w:rFonts w:ascii="Calibri" w:hAnsi="Calibri" w:cs="Calibri"/>
          <w:sz w:val="24"/>
          <w:szCs w:val="24"/>
          <w:lang w:val="el-GR"/>
        </w:rPr>
        <w:t xml:space="preserve"> ανταγωνιστικ</w:t>
      </w:r>
      <w:r w:rsidR="00224347">
        <w:rPr>
          <w:rFonts w:ascii="Calibri" w:hAnsi="Calibri" w:cs="Calibri"/>
          <w:sz w:val="24"/>
          <w:szCs w:val="24"/>
          <w:lang w:val="el-GR"/>
        </w:rPr>
        <w:t>ός</w:t>
      </w:r>
      <w:r w:rsidR="00AD1736">
        <w:rPr>
          <w:rFonts w:ascii="Calibri" w:hAnsi="Calibri" w:cs="Calibri"/>
          <w:sz w:val="24"/>
          <w:szCs w:val="24"/>
          <w:lang w:val="el-GR"/>
        </w:rPr>
        <w:t xml:space="preserve"> οργ</w:t>
      </w:r>
      <w:r w:rsidR="00224347">
        <w:rPr>
          <w:rFonts w:ascii="Calibri" w:hAnsi="Calibri" w:cs="Calibri"/>
          <w:sz w:val="24"/>
          <w:szCs w:val="24"/>
          <w:lang w:val="el-GR"/>
        </w:rPr>
        <w:t>α</w:t>
      </w:r>
      <w:r w:rsidR="00AD1736">
        <w:rPr>
          <w:rFonts w:ascii="Calibri" w:hAnsi="Calibri" w:cs="Calibri"/>
          <w:sz w:val="24"/>
          <w:szCs w:val="24"/>
          <w:lang w:val="el-GR"/>
        </w:rPr>
        <w:t>ν</w:t>
      </w:r>
      <w:r w:rsidR="00224347">
        <w:rPr>
          <w:rFonts w:ascii="Calibri" w:hAnsi="Calibri" w:cs="Calibri"/>
          <w:sz w:val="24"/>
          <w:szCs w:val="24"/>
          <w:lang w:val="el-GR"/>
        </w:rPr>
        <w:t>ισμός</w:t>
      </w:r>
      <w:r w:rsidR="005557A6" w:rsidRPr="00AD1736">
        <w:rPr>
          <w:rFonts w:ascii="Calibri" w:hAnsi="Calibri" w:cs="Calibri"/>
          <w:sz w:val="24"/>
          <w:szCs w:val="24"/>
          <w:lang w:val="el-GR"/>
        </w:rPr>
        <w:t xml:space="preserve"> </w:t>
      </w:r>
      <w:r w:rsidR="00E10220">
        <w:rPr>
          <w:rFonts w:ascii="Calibri" w:hAnsi="Calibri" w:cs="Calibri"/>
          <w:sz w:val="24"/>
          <w:szCs w:val="24"/>
          <w:lang w:val="el-GR"/>
        </w:rPr>
        <w:t xml:space="preserve">για τις νέες γενιές για να εργασθούν </w:t>
      </w:r>
      <w:proofErr w:type="spellStart"/>
      <w:r w:rsidR="00E10220">
        <w:rPr>
          <w:rFonts w:ascii="Calibri" w:hAnsi="Calibri" w:cs="Calibri"/>
          <w:sz w:val="24"/>
          <w:szCs w:val="24"/>
          <w:lang w:val="el-GR"/>
        </w:rPr>
        <w:t>σ’αυτ</w:t>
      </w:r>
      <w:r w:rsidR="00224347">
        <w:rPr>
          <w:rFonts w:ascii="Calibri" w:hAnsi="Calibri" w:cs="Calibri"/>
          <w:sz w:val="24"/>
          <w:szCs w:val="24"/>
          <w:lang w:val="el-GR"/>
        </w:rPr>
        <w:t>ό</w:t>
      </w:r>
      <w:r w:rsidR="00E10220">
        <w:rPr>
          <w:rFonts w:ascii="Calibri" w:hAnsi="Calibri" w:cs="Calibri"/>
          <w:sz w:val="24"/>
          <w:szCs w:val="24"/>
          <w:lang w:val="el-GR"/>
        </w:rPr>
        <w:t>ν</w:t>
      </w:r>
      <w:proofErr w:type="spellEnd"/>
      <w:r w:rsidR="00874F62" w:rsidRPr="00AD1736">
        <w:rPr>
          <w:rFonts w:ascii="Calibri" w:hAnsi="Calibri" w:cs="Calibri"/>
          <w:sz w:val="24"/>
          <w:szCs w:val="24"/>
          <w:lang w:val="el-GR"/>
        </w:rPr>
        <w:t xml:space="preserve">. </w:t>
      </w:r>
      <w:r w:rsidR="00E10220">
        <w:rPr>
          <w:rFonts w:ascii="Calibri" w:hAnsi="Calibri" w:cs="Calibri"/>
          <w:sz w:val="24"/>
          <w:szCs w:val="24"/>
          <w:lang w:val="el-GR"/>
        </w:rPr>
        <w:t>Με</w:t>
      </w:r>
      <w:r w:rsidR="00E10220" w:rsidRPr="00E10220">
        <w:rPr>
          <w:rFonts w:ascii="Calibri" w:hAnsi="Calibri" w:cs="Calibri"/>
          <w:sz w:val="24"/>
          <w:szCs w:val="24"/>
          <w:lang w:val="el-GR"/>
        </w:rPr>
        <w:t xml:space="preserve"> </w:t>
      </w:r>
      <w:r w:rsidR="00E10220">
        <w:rPr>
          <w:rFonts w:ascii="Calibri" w:hAnsi="Calibri" w:cs="Calibri"/>
          <w:sz w:val="24"/>
          <w:szCs w:val="24"/>
          <w:lang w:val="el-GR"/>
        </w:rPr>
        <w:t>το</w:t>
      </w:r>
      <w:r w:rsidR="00E10220" w:rsidRPr="00E10220">
        <w:rPr>
          <w:rFonts w:ascii="Calibri" w:hAnsi="Calibri" w:cs="Calibri"/>
          <w:sz w:val="24"/>
          <w:szCs w:val="24"/>
          <w:lang w:val="el-GR"/>
        </w:rPr>
        <w:t xml:space="preserve"> </w:t>
      </w:r>
      <w:r w:rsidR="00E10220">
        <w:rPr>
          <w:rFonts w:ascii="Calibri" w:hAnsi="Calibri" w:cs="Calibri"/>
          <w:sz w:val="24"/>
          <w:szCs w:val="24"/>
          <w:lang w:val="el-GR"/>
        </w:rPr>
        <w:t>ιστορικό</w:t>
      </w:r>
      <w:r w:rsidR="00E10220" w:rsidRPr="00E10220">
        <w:rPr>
          <w:rFonts w:ascii="Calibri" w:hAnsi="Calibri" w:cs="Calibri"/>
          <w:sz w:val="24"/>
          <w:szCs w:val="24"/>
          <w:lang w:val="el-GR"/>
        </w:rPr>
        <w:t xml:space="preserve"> </w:t>
      </w:r>
      <w:r w:rsidR="00E10220">
        <w:rPr>
          <w:rFonts w:ascii="Calibri" w:hAnsi="Calibri" w:cs="Calibri"/>
          <w:sz w:val="24"/>
          <w:szCs w:val="24"/>
          <w:lang w:val="el-GR"/>
        </w:rPr>
        <w:t>αυτό</w:t>
      </w:r>
      <w:r w:rsidR="005557A6" w:rsidRPr="00E10220">
        <w:rPr>
          <w:rFonts w:ascii="Calibri" w:hAnsi="Calibri" w:cs="Calibri"/>
          <w:sz w:val="24"/>
          <w:szCs w:val="24"/>
          <w:lang w:val="el-GR"/>
        </w:rPr>
        <w:t xml:space="preserve">, </w:t>
      </w:r>
      <w:r w:rsidR="00E10220">
        <w:rPr>
          <w:rFonts w:ascii="Calibri" w:hAnsi="Calibri" w:cs="Calibri"/>
          <w:sz w:val="24"/>
          <w:szCs w:val="24"/>
          <w:lang w:val="el-GR"/>
        </w:rPr>
        <w:t>η</w:t>
      </w:r>
      <w:r w:rsidR="00E10220" w:rsidRPr="00E10220">
        <w:rPr>
          <w:rFonts w:ascii="Calibri" w:hAnsi="Calibri" w:cs="Calibri"/>
          <w:sz w:val="24"/>
          <w:szCs w:val="24"/>
          <w:lang w:val="el-GR"/>
        </w:rPr>
        <w:t xml:space="preserve"> </w:t>
      </w:r>
      <w:r w:rsidR="005557A6" w:rsidRPr="004E251E">
        <w:rPr>
          <w:rFonts w:ascii="Calibri" w:hAnsi="Calibri" w:cs="Calibri"/>
          <w:sz w:val="24"/>
          <w:szCs w:val="24"/>
        </w:rPr>
        <w:t>GET</w:t>
      </w:r>
      <w:r w:rsidR="005557A6" w:rsidRPr="00E10220">
        <w:rPr>
          <w:rFonts w:ascii="Calibri" w:hAnsi="Calibri" w:cs="Calibri"/>
          <w:sz w:val="24"/>
          <w:szCs w:val="24"/>
          <w:lang w:val="el-GR"/>
        </w:rPr>
        <w:t xml:space="preserve"> </w:t>
      </w:r>
      <w:r w:rsidR="00E10220">
        <w:rPr>
          <w:rFonts w:ascii="Calibri" w:hAnsi="Calibri" w:cs="Calibri"/>
          <w:sz w:val="24"/>
          <w:szCs w:val="24"/>
          <w:lang w:val="el-GR"/>
        </w:rPr>
        <w:t>καλωσορίζει</w:t>
      </w:r>
      <w:r w:rsidR="005557A6" w:rsidRPr="00E10220">
        <w:rPr>
          <w:rFonts w:ascii="Calibri" w:hAnsi="Calibri" w:cs="Calibri"/>
          <w:sz w:val="24"/>
          <w:szCs w:val="24"/>
          <w:lang w:val="el-GR"/>
        </w:rPr>
        <w:t xml:space="preserve"> </w:t>
      </w:r>
      <w:r w:rsidR="00E10220">
        <w:rPr>
          <w:rFonts w:ascii="Calibri" w:hAnsi="Calibri" w:cs="Calibri"/>
          <w:sz w:val="24"/>
          <w:szCs w:val="24"/>
          <w:lang w:val="el-GR"/>
        </w:rPr>
        <w:t>την πρόσφατη αύξηση</w:t>
      </w:r>
      <w:r w:rsidR="005557A6" w:rsidRPr="00E10220">
        <w:rPr>
          <w:rFonts w:ascii="Calibri" w:hAnsi="Calibri" w:cs="Calibri"/>
          <w:sz w:val="24"/>
          <w:szCs w:val="24"/>
          <w:lang w:val="el-GR"/>
        </w:rPr>
        <w:t xml:space="preserve"> </w:t>
      </w:r>
      <w:r w:rsidR="00E10220">
        <w:rPr>
          <w:rFonts w:ascii="Calibri" w:hAnsi="Calibri" w:cs="Calibri"/>
          <w:sz w:val="24"/>
          <w:szCs w:val="24"/>
          <w:lang w:val="el-GR"/>
        </w:rPr>
        <w:t>στους μισθούς</w:t>
      </w:r>
      <w:r w:rsidR="005557A6" w:rsidRPr="00E10220">
        <w:rPr>
          <w:rFonts w:ascii="Calibri" w:hAnsi="Calibri" w:cs="Calibri"/>
          <w:sz w:val="24"/>
          <w:szCs w:val="24"/>
          <w:lang w:val="el-GR"/>
        </w:rPr>
        <w:t xml:space="preserve">. </w:t>
      </w:r>
      <w:r w:rsidR="00E10220">
        <w:rPr>
          <w:rFonts w:ascii="Calibri" w:hAnsi="Calibri" w:cs="Calibri"/>
          <w:sz w:val="24"/>
          <w:szCs w:val="24"/>
          <w:lang w:val="el-GR"/>
        </w:rPr>
        <w:t>Μια</w:t>
      </w:r>
      <w:r w:rsidR="00E10220" w:rsidRPr="00E10220">
        <w:rPr>
          <w:rFonts w:ascii="Calibri" w:hAnsi="Calibri" w:cs="Calibri"/>
          <w:sz w:val="24"/>
          <w:szCs w:val="24"/>
          <w:lang w:val="el-GR"/>
        </w:rPr>
        <w:t xml:space="preserve"> </w:t>
      </w:r>
      <w:r w:rsidR="00E10220">
        <w:rPr>
          <w:rFonts w:ascii="Calibri" w:hAnsi="Calibri" w:cs="Calibri"/>
          <w:sz w:val="24"/>
          <w:szCs w:val="24"/>
          <w:lang w:val="el-GR"/>
        </w:rPr>
        <w:t>κατάλληλη</w:t>
      </w:r>
      <w:r w:rsidR="00E10220" w:rsidRPr="00E10220">
        <w:rPr>
          <w:rFonts w:ascii="Calibri" w:hAnsi="Calibri" w:cs="Calibri"/>
          <w:sz w:val="24"/>
          <w:szCs w:val="24"/>
          <w:lang w:val="el-GR"/>
        </w:rPr>
        <w:t xml:space="preserve"> </w:t>
      </w:r>
      <w:r w:rsidR="00E10220">
        <w:rPr>
          <w:rFonts w:ascii="Calibri" w:hAnsi="Calibri" w:cs="Calibri"/>
          <w:sz w:val="24"/>
          <w:szCs w:val="24"/>
          <w:lang w:val="el-GR"/>
        </w:rPr>
        <w:t>και</w:t>
      </w:r>
      <w:r w:rsidR="00E10220" w:rsidRPr="00E10220">
        <w:rPr>
          <w:rFonts w:ascii="Calibri" w:hAnsi="Calibri" w:cs="Calibri"/>
          <w:sz w:val="24"/>
          <w:szCs w:val="24"/>
          <w:lang w:val="el-GR"/>
        </w:rPr>
        <w:t xml:space="preserve"> </w:t>
      </w:r>
      <w:r w:rsidR="00E10220">
        <w:rPr>
          <w:rFonts w:ascii="Calibri" w:hAnsi="Calibri" w:cs="Calibri"/>
          <w:sz w:val="24"/>
          <w:szCs w:val="24"/>
          <w:lang w:val="el-GR"/>
        </w:rPr>
        <w:t>αξι</w:t>
      </w:r>
      <w:r w:rsidR="00224347">
        <w:rPr>
          <w:rFonts w:ascii="Calibri" w:hAnsi="Calibri" w:cs="Calibri"/>
          <w:sz w:val="24"/>
          <w:szCs w:val="24"/>
          <w:lang w:val="el-GR"/>
        </w:rPr>
        <w:t>ο</w:t>
      </w:r>
      <w:r w:rsidR="00E10220">
        <w:rPr>
          <w:rFonts w:ascii="Calibri" w:hAnsi="Calibri" w:cs="Calibri"/>
          <w:sz w:val="24"/>
          <w:szCs w:val="24"/>
          <w:lang w:val="el-GR"/>
        </w:rPr>
        <w:t>πρεπής</w:t>
      </w:r>
      <w:r w:rsidR="00E10220" w:rsidRPr="00E10220">
        <w:rPr>
          <w:rFonts w:ascii="Calibri" w:hAnsi="Calibri" w:cs="Calibri"/>
          <w:sz w:val="24"/>
          <w:szCs w:val="24"/>
          <w:lang w:val="el-GR"/>
        </w:rPr>
        <w:t xml:space="preserve"> </w:t>
      </w:r>
      <w:r w:rsidR="00E10220">
        <w:rPr>
          <w:rFonts w:ascii="Calibri" w:hAnsi="Calibri" w:cs="Calibri"/>
          <w:sz w:val="24"/>
          <w:szCs w:val="24"/>
          <w:lang w:val="el-GR"/>
        </w:rPr>
        <w:t>πληρωμή</w:t>
      </w:r>
      <w:r w:rsidR="00E10220" w:rsidRPr="00E10220">
        <w:rPr>
          <w:rFonts w:ascii="Calibri" w:hAnsi="Calibri" w:cs="Calibri"/>
          <w:sz w:val="24"/>
          <w:szCs w:val="24"/>
          <w:lang w:val="el-GR"/>
        </w:rPr>
        <w:t xml:space="preserve"> </w:t>
      </w:r>
      <w:r w:rsidR="00E10220">
        <w:rPr>
          <w:rFonts w:ascii="Calibri" w:hAnsi="Calibri" w:cs="Calibri"/>
          <w:sz w:val="24"/>
          <w:szCs w:val="24"/>
          <w:lang w:val="el-GR"/>
        </w:rPr>
        <w:t>για</w:t>
      </w:r>
      <w:r w:rsidR="00E10220" w:rsidRPr="00E10220">
        <w:rPr>
          <w:rFonts w:ascii="Calibri" w:hAnsi="Calibri" w:cs="Calibri"/>
          <w:sz w:val="24"/>
          <w:szCs w:val="24"/>
          <w:lang w:val="el-GR"/>
        </w:rPr>
        <w:t xml:space="preserve"> </w:t>
      </w:r>
      <w:r w:rsidR="00E10220">
        <w:rPr>
          <w:rFonts w:ascii="Calibri" w:hAnsi="Calibri" w:cs="Calibri"/>
          <w:sz w:val="24"/>
          <w:szCs w:val="24"/>
          <w:lang w:val="el-GR"/>
        </w:rPr>
        <w:t>αστυνομικούς</w:t>
      </w:r>
      <w:r w:rsidR="00E10220" w:rsidRPr="00E10220">
        <w:rPr>
          <w:rFonts w:ascii="Calibri" w:hAnsi="Calibri" w:cs="Calibri"/>
          <w:sz w:val="24"/>
          <w:szCs w:val="24"/>
          <w:lang w:val="el-GR"/>
        </w:rPr>
        <w:t xml:space="preserve"> </w:t>
      </w:r>
      <w:r w:rsidR="00E10220">
        <w:rPr>
          <w:rFonts w:ascii="Calibri" w:hAnsi="Calibri" w:cs="Calibri"/>
          <w:sz w:val="24"/>
          <w:szCs w:val="24"/>
          <w:lang w:val="el-GR"/>
        </w:rPr>
        <w:t>θα</w:t>
      </w:r>
      <w:r w:rsidR="00E10220" w:rsidRPr="00E10220">
        <w:rPr>
          <w:rFonts w:ascii="Calibri" w:hAnsi="Calibri" w:cs="Calibri"/>
          <w:sz w:val="24"/>
          <w:szCs w:val="24"/>
          <w:lang w:val="el-GR"/>
        </w:rPr>
        <w:t xml:space="preserve"> </w:t>
      </w:r>
      <w:r w:rsidR="00E10220">
        <w:rPr>
          <w:rFonts w:ascii="Calibri" w:hAnsi="Calibri" w:cs="Calibri"/>
          <w:sz w:val="24"/>
          <w:szCs w:val="24"/>
          <w:lang w:val="el-GR"/>
        </w:rPr>
        <w:t>πρέπει</w:t>
      </w:r>
      <w:r w:rsidR="00E10220" w:rsidRPr="00E10220">
        <w:rPr>
          <w:rFonts w:ascii="Calibri" w:hAnsi="Calibri" w:cs="Calibri"/>
          <w:sz w:val="24"/>
          <w:szCs w:val="24"/>
          <w:lang w:val="el-GR"/>
        </w:rPr>
        <w:t xml:space="preserve"> </w:t>
      </w:r>
      <w:r w:rsidR="00E10220">
        <w:rPr>
          <w:rFonts w:ascii="Calibri" w:hAnsi="Calibri" w:cs="Calibri"/>
          <w:sz w:val="24"/>
          <w:szCs w:val="24"/>
          <w:lang w:val="el-GR"/>
        </w:rPr>
        <w:t>να</w:t>
      </w:r>
      <w:r w:rsidR="00E10220" w:rsidRPr="00E10220">
        <w:rPr>
          <w:rFonts w:ascii="Calibri" w:hAnsi="Calibri" w:cs="Calibri"/>
          <w:sz w:val="24"/>
          <w:szCs w:val="24"/>
          <w:lang w:val="el-GR"/>
        </w:rPr>
        <w:t xml:space="preserve"> </w:t>
      </w:r>
      <w:r w:rsidR="00E10220">
        <w:rPr>
          <w:rFonts w:ascii="Calibri" w:hAnsi="Calibri" w:cs="Calibri"/>
          <w:sz w:val="24"/>
          <w:szCs w:val="24"/>
          <w:lang w:val="el-GR"/>
        </w:rPr>
        <w:t>θεωρείται</w:t>
      </w:r>
      <w:r w:rsidR="00E10220" w:rsidRPr="00E10220">
        <w:rPr>
          <w:rFonts w:ascii="Calibri" w:hAnsi="Calibri" w:cs="Calibri"/>
          <w:sz w:val="24"/>
          <w:szCs w:val="24"/>
          <w:lang w:val="el-GR"/>
        </w:rPr>
        <w:t xml:space="preserve"> </w:t>
      </w:r>
      <w:proofErr w:type="spellStart"/>
      <w:r w:rsidR="00E10220">
        <w:rPr>
          <w:rFonts w:ascii="Calibri" w:hAnsi="Calibri" w:cs="Calibri"/>
          <w:sz w:val="24"/>
          <w:szCs w:val="24"/>
          <w:lang w:val="el-GR"/>
        </w:rPr>
        <w:t>καθ</w:t>
      </w:r>
      <w:r w:rsidR="00E10220" w:rsidRPr="00E10220">
        <w:rPr>
          <w:rFonts w:ascii="Calibri" w:hAnsi="Calibri" w:cs="Calibri"/>
          <w:sz w:val="24"/>
          <w:szCs w:val="24"/>
          <w:lang w:val="el-GR"/>
        </w:rPr>
        <w:t>’</w:t>
      </w:r>
      <w:r w:rsidR="00E10220">
        <w:rPr>
          <w:rFonts w:ascii="Calibri" w:hAnsi="Calibri" w:cs="Calibri"/>
          <w:sz w:val="24"/>
          <w:szCs w:val="24"/>
          <w:lang w:val="el-GR"/>
        </w:rPr>
        <w:t>αυτή</w:t>
      </w:r>
      <w:proofErr w:type="spellEnd"/>
      <w:r w:rsidR="00E10220">
        <w:rPr>
          <w:rFonts w:ascii="Calibri" w:hAnsi="Calibri" w:cs="Calibri"/>
          <w:sz w:val="24"/>
          <w:szCs w:val="24"/>
          <w:lang w:val="el-GR"/>
        </w:rPr>
        <w:t xml:space="preserve"> ως ένα ισχυρό αποτρεπτικό </w:t>
      </w:r>
      <w:r w:rsidR="00224347">
        <w:rPr>
          <w:rFonts w:ascii="Calibri" w:hAnsi="Calibri" w:cs="Calibri"/>
          <w:sz w:val="24"/>
          <w:szCs w:val="24"/>
          <w:lang w:val="el-GR"/>
        </w:rPr>
        <w:t xml:space="preserve">στοιχείο </w:t>
      </w:r>
      <w:r w:rsidR="00E10220">
        <w:rPr>
          <w:rFonts w:ascii="Calibri" w:hAnsi="Calibri" w:cs="Calibri"/>
          <w:sz w:val="24"/>
          <w:szCs w:val="24"/>
          <w:lang w:val="el-GR"/>
        </w:rPr>
        <w:t>κατά της διαφθοράς</w:t>
      </w:r>
      <w:r w:rsidR="005557A6" w:rsidRPr="00E10220">
        <w:rPr>
          <w:rFonts w:ascii="Calibri" w:hAnsi="Calibri" w:cs="Calibri"/>
          <w:sz w:val="24"/>
          <w:szCs w:val="24"/>
          <w:lang w:val="el-GR"/>
        </w:rPr>
        <w:t xml:space="preserve">. </w:t>
      </w:r>
    </w:p>
    <w:p w14:paraId="663E57BA" w14:textId="77777777" w:rsidR="00220066" w:rsidRPr="00E10220" w:rsidRDefault="00220066" w:rsidP="00220066">
      <w:pPr>
        <w:tabs>
          <w:tab w:val="left" w:pos="709"/>
        </w:tabs>
        <w:rPr>
          <w:rFonts w:cstheme="minorHAnsi"/>
          <w:sz w:val="24"/>
          <w:szCs w:val="24"/>
          <w:lang w:val="el-GR"/>
        </w:rPr>
      </w:pPr>
    </w:p>
    <w:p w14:paraId="00B869FE" w14:textId="2AF81779" w:rsidR="00220066" w:rsidRPr="00C43E71" w:rsidRDefault="00E10220" w:rsidP="00220066">
      <w:pPr>
        <w:pStyle w:val="Heading2"/>
        <w:widowControl w:val="0"/>
        <w:tabs>
          <w:tab w:val="left" w:pos="709"/>
        </w:tabs>
        <w:spacing w:before="0"/>
        <w:rPr>
          <w:rFonts w:asciiTheme="minorHAnsi" w:hAnsiTheme="minorHAnsi" w:cstheme="minorHAnsi"/>
          <w:b w:val="0"/>
          <w:bCs w:val="0"/>
          <w:color w:val="auto"/>
          <w:sz w:val="24"/>
          <w:szCs w:val="24"/>
          <w:u w:val="single"/>
          <w:lang w:val="el-GR"/>
        </w:rPr>
      </w:pPr>
      <w:bookmarkStart w:id="214" w:name="_Toc110430335"/>
      <w:bookmarkStart w:id="215" w:name="_Toc117445174"/>
      <w:bookmarkStart w:id="216" w:name="_Toc136879378"/>
      <w:r>
        <w:rPr>
          <w:rFonts w:asciiTheme="minorHAnsi" w:hAnsiTheme="minorHAnsi" w:cstheme="minorHAnsi"/>
          <w:b w:val="0"/>
          <w:bCs w:val="0"/>
          <w:color w:val="auto"/>
          <w:sz w:val="24"/>
          <w:szCs w:val="24"/>
          <w:u w:val="single"/>
          <w:lang w:val="el-GR"/>
        </w:rPr>
        <w:t>Συγκρούσεις</w:t>
      </w:r>
      <w:r w:rsidRPr="00C43E71">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συμφερόντων</w:t>
      </w:r>
      <w:r w:rsidR="00220066" w:rsidRPr="00C43E71">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απαγορεύσεις</w:t>
      </w:r>
      <w:r w:rsidRPr="00C43E71">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και</w:t>
      </w:r>
      <w:r w:rsidRPr="00C43E71">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περιορισμοί</w:t>
      </w:r>
      <w:bookmarkEnd w:id="214"/>
      <w:bookmarkEnd w:id="215"/>
      <w:bookmarkEnd w:id="216"/>
      <w:r w:rsidR="00220066" w:rsidRPr="00C43E71">
        <w:rPr>
          <w:rFonts w:asciiTheme="minorHAnsi" w:hAnsiTheme="minorHAnsi" w:cstheme="minorHAnsi"/>
          <w:b w:val="0"/>
          <w:bCs w:val="0"/>
          <w:color w:val="auto"/>
          <w:sz w:val="24"/>
          <w:szCs w:val="24"/>
          <w:u w:val="single"/>
          <w:lang w:val="el-GR"/>
        </w:rPr>
        <w:t xml:space="preserve"> </w:t>
      </w:r>
    </w:p>
    <w:p w14:paraId="3DC6EC92" w14:textId="77777777" w:rsidR="00220066" w:rsidRPr="00C43E71" w:rsidRDefault="00220066" w:rsidP="00220066">
      <w:pPr>
        <w:keepNext/>
        <w:widowControl w:val="0"/>
        <w:tabs>
          <w:tab w:val="left" w:pos="709"/>
        </w:tabs>
        <w:rPr>
          <w:rFonts w:cstheme="minorHAnsi"/>
          <w:sz w:val="24"/>
          <w:szCs w:val="24"/>
          <w:lang w:val="el-GR"/>
        </w:rPr>
      </w:pPr>
    </w:p>
    <w:p w14:paraId="136E78D5" w14:textId="5F42BA8D" w:rsidR="00220066" w:rsidRPr="00E10220" w:rsidRDefault="00E10220" w:rsidP="00220066">
      <w:pPr>
        <w:pStyle w:val="Heading3"/>
        <w:tabs>
          <w:tab w:val="left" w:pos="709"/>
        </w:tabs>
        <w:spacing w:before="0"/>
        <w:rPr>
          <w:rFonts w:asciiTheme="minorHAnsi" w:hAnsiTheme="minorHAnsi" w:cstheme="minorHAnsi"/>
          <w:b w:val="0"/>
          <w:i/>
          <w:color w:val="auto"/>
          <w:sz w:val="24"/>
          <w:szCs w:val="24"/>
          <w:lang w:val="el-GR"/>
        </w:rPr>
      </w:pPr>
      <w:bookmarkStart w:id="217" w:name="_Toc117445175"/>
      <w:bookmarkStart w:id="218" w:name="_Toc110430336"/>
      <w:bookmarkStart w:id="219" w:name="_Toc136879379"/>
      <w:proofErr w:type="spellStart"/>
      <w:r>
        <w:rPr>
          <w:rFonts w:asciiTheme="minorHAnsi" w:hAnsiTheme="minorHAnsi" w:cstheme="minorHAnsi"/>
          <w:b w:val="0"/>
          <w:i/>
          <w:color w:val="auto"/>
          <w:sz w:val="24"/>
          <w:szCs w:val="24"/>
          <w:lang w:val="el-GR"/>
        </w:rPr>
        <w:t>Ασυμβατες</w:t>
      </w:r>
      <w:proofErr w:type="spellEnd"/>
      <w:r w:rsidR="00880F4B" w:rsidRPr="00E10220">
        <w:rPr>
          <w:rFonts w:asciiTheme="minorHAnsi" w:hAnsiTheme="minorHAnsi" w:cstheme="minorHAnsi"/>
          <w:b w:val="0"/>
          <w:i/>
          <w:color w:val="auto"/>
          <w:sz w:val="24"/>
          <w:szCs w:val="24"/>
          <w:lang w:val="el-GR"/>
        </w:rPr>
        <w:t>,</w:t>
      </w:r>
      <w:r w:rsidR="00220066" w:rsidRPr="00E10220">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εξωτερικές</w:t>
      </w:r>
      <w:r w:rsidRPr="00E10220">
        <w:rPr>
          <w:rFonts w:asciiTheme="minorHAnsi" w:hAnsiTheme="minorHAnsi" w:cstheme="minorHAnsi"/>
          <w:b w:val="0"/>
          <w:i/>
          <w:color w:val="auto"/>
          <w:sz w:val="24"/>
          <w:szCs w:val="24"/>
          <w:lang w:val="el-GR"/>
        </w:rPr>
        <w:t xml:space="preserve"> </w:t>
      </w:r>
      <w:r>
        <w:rPr>
          <w:rFonts w:asciiTheme="minorHAnsi" w:hAnsiTheme="minorHAnsi" w:cstheme="minorHAnsi"/>
          <w:b w:val="0"/>
          <w:i/>
          <w:color w:val="auto"/>
          <w:sz w:val="24"/>
          <w:szCs w:val="24"/>
          <w:lang w:val="el-GR"/>
        </w:rPr>
        <w:t>δραστηριότητες</w:t>
      </w:r>
      <w:bookmarkEnd w:id="217"/>
      <w:r w:rsidR="00220066" w:rsidRPr="00E10220">
        <w:rPr>
          <w:rFonts w:asciiTheme="minorHAnsi" w:hAnsiTheme="minorHAnsi" w:cstheme="minorHAnsi"/>
          <w:b w:val="0"/>
          <w:i/>
          <w:color w:val="auto"/>
          <w:sz w:val="24"/>
          <w:szCs w:val="24"/>
          <w:lang w:val="el-GR"/>
        </w:rPr>
        <w:t xml:space="preserve"> </w:t>
      </w:r>
      <w:bookmarkEnd w:id="218"/>
      <w:r>
        <w:rPr>
          <w:rFonts w:asciiTheme="minorHAnsi" w:hAnsiTheme="minorHAnsi" w:cstheme="minorHAnsi"/>
          <w:b w:val="0"/>
          <w:i/>
          <w:color w:val="auto"/>
          <w:sz w:val="24"/>
          <w:szCs w:val="24"/>
          <w:lang w:val="el-GR"/>
        </w:rPr>
        <w:t xml:space="preserve">και περιορισμοί μετά την </w:t>
      </w:r>
      <w:bookmarkEnd w:id="219"/>
      <w:proofErr w:type="spellStart"/>
      <w:r w:rsidR="002E5EC0">
        <w:rPr>
          <w:rFonts w:asciiTheme="minorHAnsi" w:hAnsiTheme="minorHAnsi" w:cstheme="minorHAnsi"/>
          <w:b w:val="0"/>
          <w:i/>
          <w:color w:val="auto"/>
          <w:sz w:val="24"/>
          <w:szCs w:val="24"/>
          <w:lang w:val="el-GR"/>
        </w:rPr>
        <w:t>Εργοδότηση</w:t>
      </w:r>
      <w:proofErr w:type="spellEnd"/>
    </w:p>
    <w:p w14:paraId="101E2F84" w14:textId="77777777" w:rsidR="00220066" w:rsidRPr="00E10220" w:rsidRDefault="00220066" w:rsidP="00220066">
      <w:pPr>
        <w:rPr>
          <w:rFonts w:cstheme="minorHAnsi"/>
          <w:sz w:val="24"/>
          <w:szCs w:val="24"/>
          <w:lang w:val="el-GR"/>
        </w:rPr>
      </w:pPr>
    </w:p>
    <w:p w14:paraId="71118DE7" w14:textId="5681EEEE" w:rsidR="00220066" w:rsidRPr="000F42D5" w:rsidRDefault="00E10220" w:rsidP="00220066">
      <w:pPr>
        <w:numPr>
          <w:ilvl w:val="0"/>
          <w:numId w:val="1"/>
        </w:numPr>
        <w:tabs>
          <w:tab w:val="left" w:pos="709"/>
        </w:tabs>
        <w:ind w:left="0" w:firstLine="0"/>
        <w:rPr>
          <w:rFonts w:cstheme="minorHAnsi"/>
          <w:sz w:val="24"/>
          <w:szCs w:val="24"/>
          <w:lang w:val="el-GR"/>
        </w:rPr>
      </w:pPr>
      <w:r>
        <w:rPr>
          <w:rFonts w:cstheme="minorHAnsi"/>
          <w:sz w:val="24"/>
          <w:szCs w:val="24"/>
          <w:lang w:val="el-GR"/>
        </w:rPr>
        <w:t>Στους</w:t>
      </w:r>
      <w:r w:rsidRPr="00E10220">
        <w:rPr>
          <w:rFonts w:cstheme="minorHAnsi"/>
          <w:sz w:val="24"/>
          <w:szCs w:val="24"/>
          <w:lang w:val="el-GR"/>
        </w:rPr>
        <w:t xml:space="preserve"> </w:t>
      </w:r>
      <w:r>
        <w:rPr>
          <w:rFonts w:cstheme="minorHAnsi"/>
          <w:sz w:val="24"/>
          <w:szCs w:val="24"/>
          <w:lang w:val="el-GR"/>
        </w:rPr>
        <w:t>ΑΕΝ</w:t>
      </w:r>
      <w:r w:rsidR="00220066" w:rsidRPr="00E10220">
        <w:rPr>
          <w:rFonts w:cstheme="minorHAnsi"/>
          <w:sz w:val="24"/>
          <w:szCs w:val="24"/>
          <w:lang w:val="el-GR"/>
        </w:rPr>
        <w:t xml:space="preserve">, </w:t>
      </w:r>
      <w:r>
        <w:rPr>
          <w:rFonts w:cstheme="minorHAnsi"/>
          <w:sz w:val="24"/>
          <w:szCs w:val="24"/>
          <w:lang w:val="el-GR"/>
        </w:rPr>
        <w:t>κατά</w:t>
      </w:r>
      <w:r w:rsidRPr="00E10220">
        <w:rPr>
          <w:rFonts w:cstheme="minorHAnsi"/>
          <w:sz w:val="24"/>
          <w:szCs w:val="24"/>
          <w:lang w:val="el-GR"/>
        </w:rPr>
        <w:t xml:space="preserve"> </w:t>
      </w:r>
      <w:r>
        <w:rPr>
          <w:rFonts w:cstheme="minorHAnsi"/>
          <w:sz w:val="24"/>
          <w:szCs w:val="24"/>
          <w:lang w:val="el-GR"/>
        </w:rPr>
        <w:t>κύριο</w:t>
      </w:r>
      <w:r w:rsidRPr="00E10220">
        <w:rPr>
          <w:rFonts w:cstheme="minorHAnsi"/>
          <w:sz w:val="24"/>
          <w:szCs w:val="24"/>
          <w:lang w:val="el-GR"/>
        </w:rPr>
        <w:t xml:space="preserve"> </w:t>
      </w:r>
      <w:r>
        <w:rPr>
          <w:rFonts w:cstheme="minorHAnsi"/>
          <w:sz w:val="24"/>
          <w:szCs w:val="24"/>
          <w:lang w:val="el-GR"/>
        </w:rPr>
        <w:t>κανόνα</w:t>
      </w:r>
      <w:r w:rsidR="00220066" w:rsidRPr="00E10220">
        <w:rPr>
          <w:rFonts w:cstheme="minorHAnsi"/>
          <w:sz w:val="24"/>
          <w:szCs w:val="24"/>
          <w:lang w:val="el-GR"/>
        </w:rPr>
        <w:t xml:space="preserve">, </w:t>
      </w:r>
      <w:r>
        <w:rPr>
          <w:rFonts w:cstheme="minorHAnsi"/>
          <w:sz w:val="24"/>
          <w:szCs w:val="24"/>
          <w:lang w:val="el-GR"/>
        </w:rPr>
        <w:t>απαγορεύεται</w:t>
      </w:r>
      <w:r w:rsidR="00220066" w:rsidRPr="00E10220">
        <w:rPr>
          <w:rFonts w:cstheme="minorHAnsi"/>
          <w:sz w:val="24"/>
          <w:szCs w:val="24"/>
          <w:lang w:val="el-GR"/>
        </w:rPr>
        <w:t xml:space="preserve"> </w:t>
      </w:r>
      <w:r>
        <w:rPr>
          <w:rFonts w:cstheme="minorHAnsi"/>
          <w:sz w:val="24"/>
          <w:szCs w:val="24"/>
          <w:lang w:val="el-GR"/>
        </w:rPr>
        <w:t>η</w:t>
      </w:r>
      <w:r w:rsidRPr="00E10220">
        <w:rPr>
          <w:rFonts w:cstheme="minorHAnsi"/>
          <w:sz w:val="24"/>
          <w:szCs w:val="24"/>
          <w:lang w:val="el-GR"/>
        </w:rPr>
        <w:t xml:space="preserve"> </w:t>
      </w:r>
      <w:r>
        <w:rPr>
          <w:rFonts w:cstheme="minorHAnsi"/>
          <w:sz w:val="24"/>
          <w:szCs w:val="24"/>
          <w:lang w:val="el-GR"/>
        </w:rPr>
        <w:t>εξάσκηση</w:t>
      </w:r>
      <w:r w:rsidRPr="00E10220">
        <w:rPr>
          <w:rFonts w:cstheme="minorHAnsi"/>
          <w:sz w:val="24"/>
          <w:szCs w:val="24"/>
          <w:lang w:val="el-GR"/>
        </w:rPr>
        <w:t xml:space="preserve"> </w:t>
      </w:r>
      <w:r>
        <w:rPr>
          <w:rFonts w:cstheme="minorHAnsi"/>
          <w:sz w:val="24"/>
          <w:szCs w:val="24"/>
          <w:lang w:val="el-GR"/>
        </w:rPr>
        <w:t>οποιουδήποτε</w:t>
      </w:r>
      <w:r w:rsidRPr="00E10220">
        <w:rPr>
          <w:rFonts w:cstheme="minorHAnsi"/>
          <w:sz w:val="24"/>
          <w:szCs w:val="24"/>
          <w:lang w:val="el-GR"/>
        </w:rPr>
        <w:t xml:space="preserve"> </w:t>
      </w:r>
      <w:r>
        <w:rPr>
          <w:rFonts w:cstheme="minorHAnsi"/>
          <w:sz w:val="24"/>
          <w:szCs w:val="24"/>
          <w:lang w:val="el-GR"/>
        </w:rPr>
        <w:t>επαγγέλματος</w:t>
      </w:r>
      <w:r w:rsidRPr="00E10220">
        <w:rPr>
          <w:rFonts w:cstheme="minorHAnsi"/>
          <w:sz w:val="24"/>
          <w:szCs w:val="24"/>
          <w:lang w:val="el-GR"/>
        </w:rPr>
        <w:t xml:space="preserve"> </w:t>
      </w:r>
      <w:r>
        <w:rPr>
          <w:rFonts w:cstheme="minorHAnsi"/>
          <w:sz w:val="24"/>
          <w:szCs w:val="24"/>
          <w:lang w:val="el-GR"/>
        </w:rPr>
        <w:t>ή</w:t>
      </w:r>
      <w:r w:rsidRPr="00E10220">
        <w:rPr>
          <w:rFonts w:cstheme="minorHAnsi"/>
          <w:sz w:val="24"/>
          <w:szCs w:val="24"/>
          <w:lang w:val="el-GR"/>
        </w:rPr>
        <w:t xml:space="preserve"> </w:t>
      </w:r>
      <w:r>
        <w:rPr>
          <w:rFonts w:cstheme="minorHAnsi"/>
          <w:sz w:val="24"/>
          <w:szCs w:val="24"/>
          <w:lang w:val="el-GR"/>
        </w:rPr>
        <w:t>εμπορίου</w:t>
      </w:r>
      <w:r w:rsidRPr="00E10220">
        <w:rPr>
          <w:rFonts w:cstheme="minorHAnsi"/>
          <w:sz w:val="24"/>
          <w:szCs w:val="24"/>
          <w:lang w:val="el-GR"/>
        </w:rPr>
        <w:t xml:space="preserve"> </w:t>
      </w:r>
      <w:r>
        <w:rPr>
          <w:rFonts w:cstheme="minorHAnsi"/>
          <w:sz w:val="24"/>
          <w:szCs w:val="24"/>
          <w:lang w:val="el-GR"/>
        </w:rPr>
        <w:t xml:space="preserve">ή να </w:t>
      </w:r>
      <w:proofErr w:type="spellStart"/>
      <w:r>
        <w:rPr>
          <w:rFonts w:cstheme="minorHAnsi"/>
          <w:sz w:val="24"/>
          <w:szCs w:val="24"/>
          <w:lang w:val="el-GR"/>
        </w:rPr>
        <w:t>αυτοεργοδοτούνται</w:t>
      </w:r>
      <w:proofErr w:type="spellEnd"/>
      <w:r>
        <w:rPr>
          <w:rFonts w:cstheme="minorHAnsi"/>
          <w:sz w:val="24"/>
          <w:szCs w:val="24"/>
          <w:lang w:val="el-GR"/>
        </w:rPr>
        <w:t xml:space="preserve"> σε οποιοδήποτε επάγγελμα</w:t>
      </w:r>
      <w:r w:rsidR="00220066" w:rsidRPr="00E10220">
        <w:rPr>
          <w:rFonts w:cstheme="minorHAnsi"/>
          <w:sz w:val="24"/>
          <w:szCs w:val="24"/>
          <w:lang w:val="el-GR"/>
        </w:rPr>
        <w:t xml:space="preserve"> </w:t>
      </w:r>
      <w:r>
        <w:rPr>
          <w:rFonts w:cstheme="minorHAnsi"/>
          <w:sz w:val="24"/>
          <w:szCs w:val="24"/>
          <w:lang w:val="el-GR"/>
        </w:rPr>
        <w:t>ή επιχείρηση</w:t>
      </w:r>
      <w:r w:rsidR="00220066" w:rsidRPr="00E10220">
        <w:rPr>
          <w:rFonts w:cstheme="minorHAnsi"/>
          <w:sz w:val="24"/>
          <w:szCs w:val="24"/>
          <w:lang w:val="el-GR"/>
        </w:rPr>
        <w:t xml:space="preserve"> </w:t>
      </w:r>
      <w:r>
        <w:rPr>
          <w:rFonts w:cstheme="minorHAnsi"/>
          <w:sz w:val="24"/>
          <w:szCs w:val="24"/>
          <w:lang w:val="el-GR"/>
        </w:rPr>
        <w:t xml:space="preserve">εκτός από την </w:t>
      </w:r>
      <w:proofErr w:type="spellStart"/>
      <w:r>
        <w:rPr>
          <w:rFonts w:cstheme="minorHAnsi"/>
          <w:sz w:val="24"/>
          <w:szCs w:val="24"/>
          <w:lang w:val="el-GR"/>
        </w:rPr>
        <w:t>εργοδότηση</w:t>
      </w:r>
      <w:proofErr w:type="spellEnd"/>
      <w:r>
        <w:rPr>
          <w:rFonts w:cstheme="minorHAnsi"/>
          <w:sz w:val="24"/>
          <w:szCs w:val="24"/>
          <w:lang w:val="el-GR"/>
        </w:rPr>
        <w:t xml:space="preserve"> τους στην δημόσια υπηρεσία</w:t>
      </w:r>
      <w:r w:rsidR="00220066" w:rsidRPr="00E10220">
        <w:rPr>
          <w:rFonts w:cstheme="minorHAnsi"/>
          <w:sz w:val="24"/>
          <w:szCs w:val="24"/>
          <w:lang w:val="el-GR"/>
        </w:rPr>
        <w:t xml:space="preserve">. </w:t>
      </w:r>
      <w:r>
        <w:rPr>
          <w:rFonts w:cstheme="minorHAnsi"/>
          <w:sz w:val="24"/>
          <w:szCs w:val="24"/>
          <w:lang w:val="el-GR"/>
        </w:rPr>
        <w:t>Έχοντας</w:t>
      </w:r>
      <w:r w:rsidRPr="00E10220">
        <w:rPr>
          <w:rFonts w:cstheme="minorHAnsi"/>
          <w:sz w:val="24"/>
          <w:szCs w:val="24"/>
          <w:lang w:val="el-GR"/>
        </w:rPr>
        <w:t xml:space="preserve"> </w:t>
      </w:r>
      <w:r>
        <w:rPr>
          <w:rFonts w:cstheme="minorHAnsi"/>
          <w:sz w:val="24"/>
          <w:szCs w:val="24"/>
          <w:lang w:val="el-GR"/>
        </w:rPr>
        <w:t>πει</w:t>
      </w:r>
      <w:r w:rsidRPr="00E10220">
        <w:rPr>
          <w:rFonts w:cstheme="minorHAnsi"/>
          <w:sz w:val="24"/>
          <w:szCs w:val="24"/>
          <w:lang w:val="el-GR"/>
        </w:rPr>
        <w:t xml:space="preserve"> </w:t>
      </w:r>
      <w:r>
        <w:rPr>
          <w:rFonts w:cstheme="minorHAnsi"/>
          <w:sz w:val="24"/>
          <w:szCs w:val="24"/>
          <w:lang w:val="el-GR"/>
        </w:rPr>
        <w:t>αυτό</w:t>
      </w:r>
      <w:r w:rsidR="00220066" w:rsidRPr="00E10220">
        <w:rPr>
          <w:rFonts w:cstheme="minorHAnsi"/>
          <w:sz w:val="24"/>
          <w:szCs w:val="24"/>
          <w:lang w:val="el-GR"/>
        </w:rPr>
        <w:t xml:space="preserve">, </w:t>
      </w:r>
      <w:r>
        <w:rPr>
          <w:rFonts w:cstheme="minorHAnsi"/>
          <w:sz w:val="24"/>
          <w:szCs w:val="24"/>
          <w:lang w:val="el-GR"/>
        </w:rPr>
        <w:t>μπορεί</w:t>
      </w:r>
      <w:r w:rsidRPr="00E10220">
        <w:rPr>
          <w:rFonts w:cstheme="minorHAnsi"/>
          <w:sz w:val="24"/>
          <w:szCs w:val="24"/>
          <w:lang w:val="el-GR"/>
        </w:rPr>
        <w:t xml:space="preserve"> </w:t>
      </w:r>
      <w:r>
        <w:rPr>
          <w:rFonts w:cstheme="minorHAnsi"/>
          <w:sz w:val="24"/>
          <w:szCs w:val="24"/>
          <w:lang w:val="el-GR"/>
        </w:rPr>
        <w:t>να</w:t>
      </w:r>
      <w:r w:rsidRPr="00E10220">
        <w:rPr>
          <w:rFonts w:cstheme="minorHAnsi"/>
          <w:sz w:val="24"/>
          <w:szCs w:val="24"/>
          <w:lang w:val="el-GR"/>
        </w:rPr>
        <w:t xml:space="preserve"> </w:t>
      </w:r>
      <w:r>
        <w:rPr>
          <w:rFonts w:cstheme="minorHAnsi"/>
          <w:sz w:val="24"/>
          <w:szCs w:val="24"/>
          <w:lang w:val="el-GR"/>
        </w:rPr>
        <w:t>παρασχεθεί</w:t>
      </w:r>
      <w:r w:rsidRPr="00E10220">
        <w:rPr>
          <w:rFonts w:cstheme="minorHAnsi"/>
          <w:sz w:val="24"/>
          <w:szCs w:val="24"/>
          <w:lang w:val="el-GR"/>
        </w:rPr>
        <w:t xml:space="preserve"> </w:t>
      </w:r>
      <w:r>
        <w:rPr>
          <w:rFonts w:cstheme="minorHAnsi"/>
          <w:sz w:val="24"/>
          <w:szCs w:val="24"/>
          <w:lang w:val="el-GR"/>
        </w:rPr>
        <w:t>εξουσιοδότηση σε ορισμένες περιπτώσεις</w:t>
      </w:r>
      <w:r w:rsidR="00220066" w:rsidRPr="00E10220">
        <w:rPr>
          <w:rFonts w:cstheme="minorHAnsi"/>
          <w:sz w:val="24"/>
          <w:szCs w:val="24"/>
          <w:lang w:val="el-GR"/>
        </w:rPr>
        <w:t xml:space="preserve">. </w:t>
      </w:r>
      <w:r>
        <w:rPr>
          <w:rFonts w:cstheme="minorHAnsi"/>
          <w:sz w:val="24"/>
          <w:szCs w:val="24"/>
          <w:lang w:val="el-GR"/>
        </w:rPr>
        <w:t>Η</w:t>
      </w:r>
      <w:r w:rsidRPr="009D5BF7">
        <w:rPr>
          <w:rFonts w:cstheme="minorHAnsi"/>
          <w:sz w:val="24"/>
          <w:szCs w:val="24"/>
          <w:lang w:val="el-GR"/>
        </w:rPr>
        <w:t xml:space="preserve"> </w:t>
      </w:r>
      <w:r>
        <w:rPr>
          <w:rFonts w:cstheme="minorHAnsi"/>
          <w:sz w:val="24"/>
          <w:szCs w:val="24"/>
          <w:lang w:val="el-GR"/>
        </w:rPr>
        <w:t>εξουσιοδότηση</w:t>
      </w:r>
      <w:r w:rsidRPr="009D5BF7">
        <w:rPr>
          <w:rFonts w:cstheme="minorHAnsi"/>
          <w:sz w:val="24"/>
          <w:szCs w:val="24"/>
          <w:lang w:val="el-GR"/>
        </w:rPr>
        <w:t xml:space="preserve"> </w:t>
      </w:r>
      <w:r>
        <w:rPr>
          <w:rFonts w:cstheme="minorHAnsi"/>
          <w:sz w:val="24"/>
          <w:szCs w:val="24"/>
          <w:lang w:val="el-GR"/>
        </w:rPr>
        <w:t>ακολουθεί</w:t>
      </w:r>
      <w:r w:rsidRPr="009D5BF7">
        <w:rPr>
          <w:rFonts w:cstheme="minorHAnsi"/>
          <w:sz w:val="24"/>
          <w:szCs w:val="24"/>
          <w:lang w:val="el-GR"/>
        </w:rPr>
        <w:t xml:space="preserve"> </w:t>
      </w:r>
      <w:r>
        <w:rPr>
          <w:rFonts w:cstheme="minorHAnsi"/>
          <w:sz w:val="24"/>
          <w:szCs w:val="24"/>
          <w:lang w:val="el-GR"/>
        </w:rPr>
        <w:t>μια</w:t>
      </w:r>
      <w:r w:rsidRPr="009D5BF7">
        <w:rPr>
          <w:rFonts w:cstheme="minorHAnsi"/>
          <w:sz w:val="24"/>
          <w:szCs w:val="24"/>
          <w:lang w:val="el-GR"/>
        </w:rPr>
        <w:t xml:space="preserve"> </w:t>
      </w:r>
      <w:proofErr w:type="spellStart"/>
      <w:r w:rsidR="009D5BF7">
        <w:rPr>
          <w:rFonts w:cstheme="minorHAnsi"/>
          <w:sz w:val="24"/>
          <w:szCs w:val="24"/>
          <w:lang w:val="el-GR"/>
        </w:rPr>
        <w:t>εξορθολογισμένη</w:t>
      </w:r>
      <w:proofErr w:type="spellEnd"/>
      <w:r w:rsidR="009D5BF7" w:rsidRPr="009D5BF7">
        <w:rPr>
          <w:rFonts w:cstheme="minorHAnsi"/>
          <w:sz w:val="24"/>
          <w:szCs w:val="24"/>
          <w:lang w:val="el-GR"/>
        </w:rPr>
        <w:t xml:space="preserve"> </w:t>
      </w:r>
      <w:r w:rsidR="009D5BF7">
        <w:rPr>
          <w:rFonts w:cstheme="minorHAnsi"/>
          <w:sz w:val="24"/>
          <w:szCs w:val="24"/>
          <w:lang w:val="el-GR"/>
        </w:rPr>
        <w:t>διαδικασία</w:t>
      </w:r>
      <w:r w:rsidR="009D5BF7" w:rsidRPr="009D5BF7">
        <w:rPr>
          <w:rFonts w:cstheme="minorHAnsi"/>
          <w:sz w:val="24"/>
          <w:szCs w:val="24"/>
          <w:lang w:val="el-GR"/>
        </w:rPr>
        <w:t xml:space="preserve"> </w:t>
      </w:r>
      <w:r w:rsidR="009D5BF7">
        <w:rPr>
          <w:rFonts w:cstheme="minorHAnsi"/>
          <w:sz w:val="24"/>
          <w:szCs w:val="24"/>
          <w:lang w:val="el-GR"/>
        </w:rPr>
        <w:t>με</w:t>
      </w:r>
      <w:r w:rsidR="009D5BF7" w:rsidRPr="009D5BF7">
        <w:rPr>
          <w:rFonts w:cstheme="minorHAnsi"/>
          <w:sz w:val="24"/>
          <w:szCs w:val="24"/>
          <w:lang w:val="el-GR"/>
        </w:rPr>
        <w:t xml:space="preserve"> </w:t>
      </w:r>
      <w:r w:rsidR="009D5BF7">
        <w:rPr>
          <w:rFonts w:cstheme="minorHAnsi"/>
          <w:sz w:val="24"/>
          <w:szCs w:val="24"/>
          <w:lang w:val="el-GR"/>
        </w:rPr>
        <w:t>την</w:t>
      </w:r>
      <w:r w:rsidR="009D5BF7" w:rsidRPr="009D5BF7">
        <w:rPr>
          <w:rFonts w:cstheme="minorHAnsi"/>
          <w:sz w:val="24"/>
          <w:szCs w:val="24"/>
          <w:lang w:val="el-GR"/>
        </w:rPr>
        <w:t xml:space="preserve"> </w:t>
      </w:r>
      <w:r w:rsidR="009D5BF7">
        <w:rPr>
          <w:rFonts w:cstheme="minorHAnsi"/>
          <w:sz w:val="24"/>
          <w:szCs w:val="24"/>
          <w:lang w:val="el-GR"/>
        </w:rPr>
        <w:t>οποία</w:t>
      </w:r>
      <w:r w:rsidR="009D5BF7" w:rsidRPr="009D5BF7">
        <w:rPr>
          <w:rFonts w:cstheme="minorHAnsi"/>
          <w:sz w:val="24"/>
          <w:szCs w:val="24"/>
          <w:lang w:val="el-GR"/>
        </w:rPr>
        <w:t xml:space="preserve"> </w:t>
      </w:r>
      <w:r w:rsidR="009D5BF7">
        <w:rPr>
          <w:rFonts w:cstheme="minorHAnsi"/>
          <w:sz w:val="24"/>
          <w:szCs w:val="24"/>
          <w:lang w:val="el-GR"/>
        </w:rPr>
        <w:t>ο</w:t>
      </w:r>
      <w:r w:rsidR="009D5BF7" w:rsidRPr="009D5BF7">
        <w:rPr>
          <w:rFonts w:cstheme="minorHAnsi"/>
          <w:sz w:val="24"/>
          <w:szCs w:val="24"/>
          <w:lang w:val="el-GR"/>
        </w:rPr>
        <w:t xml:space="preserve"> </w:t>
      </w:r>
      <w:r w:rsidR="009D5BF7">
        <w:rPr>
          <w:rFonts w:cstheme="minorHAnsi"/>
          <w:sz w:val="24"/>
          <w:szCs w:val="24"/>
          <w:lang w:val="el-GR"/>
        </w:rPr>
        <w:t>κάθε</w:t>
      </w:r>
      <w:r w:rsidR="009D5BF7" w:rsidRPr="009D5BF7">
        <w:rPr>
          <w:rFonts w:cstheme="minorHAnsi"/>
          <w:sz w:val="24"/>
          <w:szCs w:val="24"/>
          <w:lang w:val="el-GR"/>
        </w:rPr>
        <w:t xml:space="preserve"> </w:t>
      </w:r>
      <w:r w:rsidR="009D5BF7">
        <w:rPr>
          <w:rFonts w:cstheme="minorHAnsi"/>
          <w:sz w:val="24"/>
          <w:szCs w:val="24"/>
          <w:lang w:val="el-GR"/>
        </w:rPr>
        <w:t>ΑΕΝ</w:t>
      </w:r>
      <w:r w:rsidR="009D5BF7" w:rsidRPr="009D5BF7">
        <w:rPr>
          <w:rFonts w:cstheme="minorHAnsi"/>
          <w:sz w:val="24"/>
          <w:szCs w:val="24"/>
          <w:lang w:val="el-GR"/>
        </w:rPr>
        <w:t xml:space="preserve"> </w:t>
      </w:r>
      <w:r w:rsidR="009D5BF7">
        <w:rPr>
          <w:rFonts w:cstheme="minorHAnsi"/>
          <w:sz w:val="24"/>
          <w:szCs w:val="24"/>
          <w:lang w:val="el-GR"/>
        </w:rPr>
        <w:t>συμπληρώνει</w:t>
      </w:r>
      <w:r w:rsidR="00220066" w:rsidRPr="009D5BF7">
        <w:rPr>
          <w:rFonts w:cstheme="minorHAnsi"/>
          <w:sz w:val="24"/>
          <w:szCs w:val="24"/>
          <w:lang w:val="el-GR"/>
        </w:rPr>
        <w:t xml:space="preserve"> </w:t>
      </w:r>
      <w:r w:rsidR="009D5BF7">
        <w:rPr>
          <w:rFonts w:cstheme="minorHAnsi"/>
          <w:sz w:val="24"/>
          <w:szCs w:val="24"/>
          <w:lang w:val="el-GR"/>
        </w:rPr>
        <w:t>ένα</w:t>
      </w:r>
      <w:r w:rsidR="009D5BF7" w:rsidRPr="009D5BF7">
        <w:rPr>
          <w:rFonts w:cstheme="minorHAnsi"/>
          <w:sz w:val="24"/>
          <w:szCs w:val="24"/>
          <w:lang w:val="el-GR"/>
        </w:rPr>
        <w:t xml:space="preserve"> </w:t>
      </w:r>
      <w:r w:rsidR="009D5BF7">
        <w:rPr>
          <w:rFonts w:cstheme="minorHAnsi"/>
          <w:sz w:val="24"/>
          <w:szCs w:val="24"/>
          <w:lang w:val="el-GR"/>
        </w:rPr>
        <w:t>τυποποιημένο έντυπο</w:t>
      </w:r>
      <w:r w:rsidR="00220066" w:rsidRPr="009D5BF7">
        <w:rPr>
          <w:rFonts w:cstheme="minorHAnsi"/>
          <w:sz w:val="24"/>
          <w:szCs w:val="24"/>
          <w:lang w:val="el-GR"/>
        </w:rPr>
        <w:t xml:space="preserve"> </w:t>
      </w:r>
      <w:r w:rsidR="009D5BF7">
        <w:rPr>
          <w:rFonts w:cstheme="minorHAnsi"/>
          <w:sz w:val="24"/>
          <w:szCs w:val="24"/>
          <w:lang w:val="el-GR"/>
        </w:rPr>
        <w:t>που αποστέλλεται</w:t>
      </w:r>
      <w:r w:rsidR="00220066" w:rsidRPr="009D5BF7">
        <w:rPr>
          <w:rFonts w:cstheme="minorHAnsi"/>
          <w:sz w:val="24"/>
          <w:szCs w:val="24"/>
          <w:lang w:val="el-GR"/>
        </w:rPr>
        <w:t xml:space="preserve">, </w:t>
      </w:r>
      <w:r w:rsidR="009D5BF7">
        <w:rPr>
          <w:rFonts w:cstheme="minorHAnsi"/>
          <w:sz w:val="24"/>
          <w:szCs w:val="24"/>
          <w:lang w:val="el-GR"/>
        </w:rPr>
        <w:t>μαζί με μια συνοδευτική επιστολή</w:t>
      </w:r>
      <w:r w:rsidR="00220066" w:rsidRPr="009D5BF7">
        <w:rPr>
          <w:rFonts w:cstheme="minorHAnsi"/>
          <w:sz w:val="24"/>
          <w:szCs w:val="24"/>
          <w:lang w:val="el-GR"/>
        </w:rPr>
        <w:t xml:space="preserve"> </w:t>
      </w:r>
      <w:r w:rsidR="009D5BF7">
        <w:rPr>
          <w:rFonts w:cstheme="minorHAnsi"/>
          <w:sz w:val="24"/>
          <w:szCs w:val="24"/>
          <w:lang w:val="el-GR"/>
        </w:rPr>
        <w:t xml:space="preserve">από τον </w:t>
      </w:r>
      <w:r w:rsidR="000F42D5">
        <w:rPr>
          <w:rFonts w:cstheme="minorHAnsi"/>
          <w:sz w:val="24"/>
          <w:szCs w:val="24"/>
          <w:lang w:val="el-GR"/>
        </w:rPr>
        <w:t>ά</w:t>
      </w:r>
      <w:r w:rsidR="009D5BF7">
        <w:rPr>
          <w:rFonts w:cstheme="minorHAnsi"/>
          <w:sz w:val="24"/>
          <w:szCs w:val="24"/>
          <w:lang w:val="el-GR"/>
        </w:rPr>
        <w:t>μ</w:t>
      </w:r>
      <w:r w:rsidR="000F42D5">
        <w:rPr>
          <w:rFonts w:cstheme="minorHAnsi"/>
          <w:sz w:val="24"/>
          <w:szCs w:val="24"/>
          <w:lang w:val="el-GR"/>
        </w:rPr>
        <w:t>ε</w:t>
      </w:r>
      <w:r w:rsidR="009D5BF7">
        <w:rPr>
          <w:rFonts w:cstheme="minorHAnsi"/>
          <w:sz w:val="24"/>
          <w:szCs w:val="24"/>
          <w:lang w:val="el-GR"/>
        </w:rPr>
        <w:t>σ</w:t>
      </w:r>
      <w:r w:rsidR="000F42D5">
        <w:rPr>
          <w:rFonts w:cstheme="minorHAnsi"/>
          <w:sz w:val="24"/>
          <w:szCs w:val="24"/>
          <w:lang w:val="el-GR"/>
        </w:rPr>
        <w:t>ο</w:t>
      </w:r>
      <w:r w:rsidR="009D5BF7">
        <w:rPr>
          <w:rFonts w:cstheme="minorHAnsi"/>
          <w:sz w:val="24"/>
          <w:szCs w:val="24"/>
          <w:lang w:val="el-GR"/>
        </w:rPr>
        <w:t xml:space="preserve"> </w:t>
      </w:r>
      <w:r w:rsidR="000F42D5">
        <w:rPr>
          <w:rFonts w:cstheme="minorHAnsi"/>
          <w:sz w:val="24"/>
          <w:szCs w:val="24"/>
          <w:lang w:val="el-GR"/>
        </w:rPr>
        <w:t>προϊστάμενο</w:t>
      </w:r>
      <w:r w:rsidR="009D5BF7">
        <w:rPr>
          <w:rFonts w:cstheme="minorHAnsi"/>
          <w:sz w:val="24"/>
          <w:szCs w:val="24"/>
          <w:lang w:val="el-GR"/>
        </w:rPr>
        <w:t xml:space="preserve"> του, προς τον Αρχηγό της </w:t>
      </w:r>
      <w:r w:rsidR="009C4E34">
        <w:rPr>
          <w:rFonts w:cstheme="minorHAnsi"/>
          <w:sz w:val="24"/>
          <w:szCs w:val="24"/>
          <w:lang w:val="el-GR"/>
        </w:rPr>
        <w:t>Αστυνομία</w:t>
      </w:r>
      <w:r w:rsidR="009D5BF7">
        <w:rPr>
          <w:rFonts w:cstheme="minorHAnsi"/>
          <w:sz w:val="24"/>
          <w:szCs w:val="24"/>
          <w:lang w:val="el-GR"/>
        </w:rPr>
        <w:t>ς</w:t>
      </w:r>
      <w:r w:rsidR="00220066" w:rsidRPr="009D5BF7">
        <w:rPr>
          <w:rFonts w:cstheme="minorHAnsi"/>
          <w:sz w:val="24"/>
          <w:szCs w:val="24"/>
          <w:lang w:val="el-GR"/>
        </w:rPr>
        <w:t xml:space="preserve">. </w:t>
      </w:r>
      <w:r w:rsidR="009D5BF7">
        <w:rPr>
          <w:rFonts w:cstheme="minorHAnsi"/>
          <w:sz w:val="24"/>
          <w:szCs w:val="24"/>
          <w:lang w:val="el-GR"/>
        </w:rPr>
        <w:t>Εξουσιοδότηση</w:t>
      </w:r>
      <w:r w:rsidR="009D5BF7" w:rsidRPr="009D5BF7">
        <w:rPr>
          <w:rFonts w:cstheme="minorHAnsi"/>
          <w:sz w:val="24"/>
          <w:szCs w:val="24"/>
          <w:lang w:val="el-GR"/>
        </w:rPr>
        <w:t xml:space="preserve"> </w:t>
      </w:r>
      <w:r w:rsidR="009D5BF7">
        <w:rPr>
          <w:rFonts w:cstheme="minorHAnsi"/>
          <w:sz w:val="24"/>
          <w:szCs w:val="24"/>
          <w:lang w:val="el-GR"/>
        </w:rPr>
        <w:t>μπορεί</w:t>
      </w:r>
      <w:r w:rsidR="009D5BF7" w:rsidRPr="009D5BF7">
        <w:rPr>
          <w:rFonts w:cstheme="minorHAnsi"/>
          <w:sz w:val="24"/>
          <w:szCs w:val="24"/>
          <w:lang w:val="el-GR"/>
        </w:rPr>
        <w:t xml:space="preserve"> </w:t>
      </w:r>
      <w:r w:rsidR="009D5BF7">
        <w:rPr>
          <w:rFonts w:cstheme="minorHAnsi"/>
          <w:sz w:val="24"/>
          <w:szCs w:val="24"/>
          <w:lang w:val="el-GR"/>
        </w:rPr>
        <w:t>να</w:t>
      </w:r>
      <w:r w:rsidR="009D5BF7" w:rsidRPr="009D5BF7">
        <w:rPr>
          <w:rFonts w:cstheme="minorHAnsi"/>
          <w:sz w:val="24"/>
          <w:szCs w:val="24"/>
          <w:lang w:val="el-GR"/>
        </w:rPr>
        <w:t xml:space="preserve"> </w:t>
      </w:r>
      <w:r w:rsidR="009D5BF7">
        <w:rPr>
          <w:rFonts w:cstheme="minorHAnsi"/>
          <w:sz w:val="24"/>
          <w:szCs w:val="24"/>
          <w:lang w:val="el-GR"/>
        </w:rPr>
        <w:t>παραχωρηθεί</w:t>
      </w:r>
      <w:r w:rsidR="009D5BF7" w:rsidRPr="009D5BF7">
        <w:rPr>
          <w:rFonts w:cstheme="minorHAnsi"/>
          <w:sz w:val="24"/>
          <w:szCs w:val="24"/>
          <w:lang w:val="el-GR"/>
        </w:rPr>
        <w:t xml:space="preserve"> </w:t>
      </w:r>
      <w:r w:rsidR="009D5BF7">
        <w:rPr>
          <w:rFonts w:cstheme="minorHAnsi"/>
          <w:sz w:val="24"/>
          <w:szCs w:val="24"/>
          <w:lang w:val="el-GR"/>
        </w:rPr>
        <w:t>από</w:t>
      </w:r>
      <w:r w:rsidR="009D5BF7" w:rsidRPr="009D5BF7">
        <w:rPr>
          <w:rFonts w:cstheme="minorHAnsi"/>
          <w:sz w:val="24"/>
          <w:szCs w:val="24"/>
          <w:lang w:val="el-GR"/>
        </w:rPr>
        <w:t xml:space="preserve"> </w:t>
      </w:r>
      <w:r w:rsidR="009D5BF7">
        <w:rPr>
          <w:rFonts w:cstheme="minorHAnsi"/>
          <w:sz w:val="24"/>
          <w:szCs w:val="24"/>
          <w:lang w:val="el-GR"/>
        </w:rPr>
        <w:t>τον</w:t>
      </w:r>
      <w:r w:rsidR="009D5BF7" w:rsidRPr="009D5BF7">
        <w:rPr>
          <w:rFonts w:cstheme="minorHAnsi"/>
          <w:sz w:val="24"/>
          <w:szCs w:val="24"/>
          <w:lang w:val="el-GR"/>
        </w:rPr>
        <w:t xml:space="preserve"> </w:t>
      </w:r>
      <w:r w:rsidR="009D5BF7">
        <w:rPr>
          <w:rFonts w:cstheme="minorHAnsi"/>
          <w:sz w:val="24"/>
          <w:szCs w:val="24"/>
          <w:lang w:val="el-GR"/>
        </w:rPr>
        <w:t>Αρχηγό</w:t>
      </w:r>
      <w:r w:rsidR="009D5BF7" w:rsidRPr="009D5BF7">
        <w:rPr>
          <w:rFonts w:cstheme="minorHAnsi"/>
          <w:sz w:val="24"/>
          <w:szCs w:val="24"/>
          <w:lang w:val="el-GR"/>
        </w:rPr>
        <w:t xml:space="preserve"> </w:t>
      </w:r>
      <w:r w:rsidR="009D5BF7">
        <w:rPr>
          <w:rFonts w:cstheme="minorHAnsi"/>
          <w:sz w:val="24"/>
          <w:szCs w:val="24"/>
          <w:lang w:val="el-GR"/>
        </w:rPr>
        <w:t>της</w:t>
      </w:r>
      <w:r w:rsidR="009D5BF7" w:rsidRPr="009D5BF7">
        <w:rPr>
          <w:rFonts w:cstheme="minorHAnsi"/>
          <w:sz w:val="24"/>
          <w:szCs w:val="24"/>
          <w:lang w:val="el-GR"/>
        </w:rPr>
        <w:t xml:space="preserve"> </w:t>
      </w:r>
      <w:r w:rsidR="009C4E34">
        <w:rPr>
          <w:rFonts w:cstheme="minorHAnsi"/>
          <w:sz w:val="24"/>
          <w:szCs w:val="24"/>
          <w:lang w:val="el-GR"/>
        </w:rPr>
        <w:t>Αστυνομία</w:t>
      </w:r>
      <w:r w:rsidR="009D5BF7">
        <w:rPr>
          <w:rFonts w:cstheme="minorHAnsi"/>
          <w:sz w:val="24"/>
          <w:szCs w:val="24"/>
          <w:lang w:val="el-GR"/>
        </w:rPr>
        <w:t>ς</w:t>
      </w:r>
      <w:r w:rsidR="00220066" w:rsidRPr="009D5BF7">
        <w:rPr>
          <w:rFonts w:cstheme="minorHAnsi"/>
          <w:sz w:val="24"/>
          <w:szCs w:val="24"/>
          <w:lang w:val="el-GR"/>
        </w:rPr>
        <w:t xml:space="preserve">, </w:t>
      </w:r>
      <w:r w:rsidR="009D5BF7">
        <w:rPr>
          <w:rFonts w:cstheme="minorHAnsi"/>
          <w:sz w:val="24"/>
          <w:szCs w:val="24"/>
          <w:lang w:val="el-GR"/>
        </w:rPr>
        <w:t>με</w:t>
      </w:r>
      <w:r w:rsidR="009D5BF7" w:rsidRPr="009D5BF7">
        <w:rPr>
          <w:rFonts w:cstheme="minorHAnsi"/>
          <w:sz w:val="24"/>
          <w:szCs w:val="24"/>
          <w:lang w:val="el-GR"/>
        </w:rPr>
        <w:t xml:space="preserve"> </w:t>
      </w:r>
      <w:r w:rsidR="009D5BF7">
        <w:rPr>
          <w:rFonts w:cstheme="minorHAnsi"/>
          <w:sz w:val="24"/>
          <w:szCs w:val="24"/>
          <w:lang w:val="el-GR"/>
        </w:rPr>
        <w:t>την</w:t>
      </w:r>
      <w:r w:rsidR="009D5BF7" w:rsidRPr="009D5BF7">
        <w:rPr>
          <w:rFonts w:cstheme="minorHAnsi"/>
          <w:sz w:val="24"/>
          <w:szCs w:val="24"/>
          <w:lang w:val="el-GR"/>
        </w:rPr>
        <w:t xml:space="preserve"> </w:t>
      </w:r>
      <w:r w:rsidR="009D5BF7">
        <w:rPr>
          <w:rFonts w:cstheme="minorHAnsi"/>
          <w:sz w:val="24"/>
          <w:szCs w:val="24"/>
          <w:lang w:val="el-GR"/>
        </w:rPr>
        <w:t>συγκατάθεση</w:t>
      </w:r>
      <w:r w:rsidR="009D5BF7" w:rsidRPr="009D5BF7">
        <w:rPr>
          <w:rFonts w:cstheme="minorHAnsi"/>
          <w:sz w:val="24"/>
          <w:szCs w:val="24"/>
          <w:lang w:val="el-GR"/>
        </w:rPr>
        <w:t xml:space="preserve"> </w:t>
      </w:r>
      <w:r w:rsidR="009D5BF7">
        <w:rPr>
          <w:rFonts w:cstheme="minorHAnsi"/>
          <w:sz w:val="24"/>
          <w:szCs w:val="24"/>
          <w:lang w:val="el-GR"/>
        </w:rPr>
        <w:t>του</w:t>
      </w:r>
      <w:r w:rsidR="009D5BF7" w:rsidRPr="009D5BF7">
        <w:rPr>
          <w:rFonts w:cstheme="minorHAnsi"/>
          <w:sz w:val="24"/>
          <w:szCs w:val="24"/>
          <w:lang w:val="el-GR"/>
        </w:rPr>
        <w:t xml:space="preserve"> </w:t>
      </w:r>
      <w:r w:rsidR="009D5BF7">
        <w:rPr>
          <w:rFonts w:cstheme="minorHAnsi"/>
          <w:sz w:val="24"/>
          <w:szCs w:val="24"/>
          <w:lang w:val="el-GR"/>
        </w:rPr>
        <w:t>Υπουργού</w:t>
      </w:r>
      <w:r w:rsidR="009D5BF7" w:rsidRPr="009D5BF7">
        <w:rPr>
          <w:rFonts w:cstheme="minorHAnsi"/>
          <w:sz w:val="24"/>
          <w:szCs w:val="24"/>
          <w:lang w:val="el-GR"/>
        </w:rPr>
        <w:t xml:space="preserve"> </w:t>
      </w:r>
      <w:r w:rsidR="009D5BF7">
        <w:rPr>
          <w:rFonts w:cstheme="minorHAnsi"/>
          <w:sz w:val="24"/>
          <w:szCs w:val="24"/>
          <w:lang w:val="el-GR"/>
        </w:rPr>
        <w:t>Δικαιοσύνης</w:t>
      </w:r>
      <w:r w:rsidR="009D5BF7" w:rsidRPr="009D5BF7">
        <w:rPr>
          <w:rFonts w:cstheme="minorHAnsi"/>
          <w:sz w:val="24"/>
          <w:szCs w:val="24"/>
          <w:lang w:val="el-GR"/>
        </w:rPr>
        <w:t xml:space="preserve"> </w:t>
      </w:r>
      <w:r w:rsidR="009D5BF7">
        <w:rPr>
          <w:rFonts w:cstheme="minorHAnsi"/>
          <w:sz w:val="24"/>
          <w:szCs w:val="24"/>
          <w:lang w:val="el-GR"/>
        </w:rPr>
        <w:t>και</w:t>
      </w:r>
      <w:r w:rsidR="009D5BF7" w:rsidRPr="009D5BF7">
        <w:rPr>
          <w:rFonts w:cstheme="minorHAnsi"/>
          <w:sz w:val="24"/>
          <w:szCs w:val="24"/>
          <w:lang w:val="el-GR"/>
        </w:rPr>
        <w:t xml:space="preserve"> </w:t>
      </w:r>
      <w:r w:rsidR="009D5BF7">
        <w:rPr>
          <w:rFonts w:cstheme="minorHAnsi"/>
          <w:sz w:val="24"/>
          <w:szCs w:val="24"/>
          <w:lang w:val="el-GR"/>
        </w:rPr>
        <w:t>Δημοσίας</w:t>
      </w:r>
      <w:r w:rsidR="009D5BF7" w:rsidRPr="009D5BF7">
        <w:rPr>
          <w:rFonts w:cstheme="minorHAnsi"/>
          <w:sz w:val="24"/>
          <w:szCs w:val="24"/>
          <w:lang w:val="el-GR"/>
        </w:rPr>
        <w:t xml:space="preserve"> </w:t>
      </w:r>
      <w:r w:rsidR="009D5BF7">
        <w:rPr>
          <w:rFonts w:cstheme="minorHAnsi"/>
          <w:sz w:val="24"/>
          <w:szCs w:val="24"/>
          <w:lang w:val="el-GR"/>
        </w:rPr>
        <w:t>Τάξεως</w:t>
      </w:r>
      <w:r w:rsidR="00220066" w:rsidRPr="009D5BF7">
        <w:rPr>
          <w:rFonts w:cstheme="minorHAnsi"/>
          <w:sz w:val="24"/>
          <w:szCs w:val="24"/>
          <w:lang w:val="el-GR"/>
        </w:rPr>
        <w:t xml:space="preserve">, </w:t>
      </w:r>
      <w:r w:rsidR="009D5BF7">
        <w:rPr>
          <w:rFonts w:cstheme="minorHAnsi"/>
          <w:sz w:val="24"/>
          <w:szCs w:val="24"/>
          <w:lang w:val="el-GR"/>
        </w:rPr>
        <w:t xml:space="preserve">καθώς επίσης και τον </w:t>
      </w:r>
      <w:r w:rsidR="002E5EC0">
        <w:rPr>
          <w:rFonts w:cstheme="minorHAnsi"/>
          <w:sz w:val="24"/>
          <w:szCs w:val="24"/>
          <w:lang w:val="el-GR"/>
        </w:rPr>
        <w:t>Υπουργό</w:t>
      </w:r>
      <w:r w:rsidR="009D5BF7">
        <w:rPr>
          <w:rFonts w:cstheme="minorHAnsi"/>
          <w:sz w:val="24"/>
          <w:szCs w:val="24"/>
          <w:lang w:val="el-GR"/>
        </w:rPr>
        <w:t xml:space="preserve"> Εργασίας</w:t>
      </w:r>
      <w:r w:rsidR="00220066" w:rsidRPr="009D5BF7">
        <w:rPr>
          <w:rFonts w:cstheme="minorHAnsi"/>
          <w:sz w:val="24"/>
          <w:szCs w:val="24"/>
          <w:lang w:val="el-GR"/>
        </w:rPr>
        <w:t xml:space="preserve">, </w:t>
      </w:r>
      <w:r w:rsidR="009D5BF7">
        <w:rPr>
          <w:rFonts w:cstheme="minorHAnsi"/>
          <w:sz w:val="24"/>
          <w:szCs w:val="24"/>
          <w:lang w:val="el-GR"/>
        </w:rPr>
        <w:t>Πρόνοιας και Κοινωνικών Ασφαλίσεων</w:t>
      </w:r>
      <w:r w:rsidR="00220066" w:rsidRPr="009D5BF7">
        <w:rPr>
          <w:rFonts w:cstheme="minorHAnsi"/>
          <w:sz w:val="24"/>
          <w:szCs w:val="24"/>
          <w:lang w:val="el-GR"/>
        </w:rPr>
        <w:t xml:space="preserve">. </w:t>
      </w:r>
      <w:r w:rsidR="009D5BF7">
        <w:rPr>
          <w:rFonts w:cstheme="minorHAnsi"/>
          <w:sz w:val="24"/>
          <w:szCs w:val="24"/>
          <w:lang w:val="el-GR"/>
        </w:rPr>
        <w:t>Οι</w:t>
      </w:r>
      <w:r w:rsidR="009D5BF7" w:rsidRPr="009D5BF7">
        <w:rPr>
          <w:rFonts w:cstheme="minorHAnsi"/>
          <w:sz w:val="24"/>
          <w:szCs w:val="24"/>
          <w:lang w:val="el-GR"/>
        </w:rPr>
        <w:t xml:space="preserve"> </w:t>
      </w:r>
      <w:r w:rsidR="009D5BF7">
        <w:rPr>
          <w:rFonts w:cstheme="minorHAnsi"/>
          <w:sz w:val="24"/>
          <w:szCs w:val="24"/>
          <w:lang w:val="el-GR"/>
        </w:rPr>
        <w:t>σχετικές</w:t>
      </w:r>
      <w:r w:rsidR="009D5BF7" w:rsidRPr="009D5BF7">
        <w:rPr>
          <w:rFonts w:cstheme="minorHAnsi"/>
          <w:sz w:val="24"/>
          <w:szCs w:val="24"/>
          <w:lang w:val="el-GR"/>
        </w:rPr>
        <w:t xml:space="preserve"> </w:t>
      </w:r>
      <w:r w:rsidR="009D5BF7">
        <w:rPr>
          <w:rFonts w:cstheme="minorHAnsi"/>
          <w:sz w:val="24"/>
          <w:szCs w:val="24"/>
          <w:lang w:val="el-GR"/>
        </w:rPr>
        <w:t>εξουσιοδοτήσεις</w:t>
      </w:r>
      <w:r w:rsidR="006C1256" w:rsidRPr="009D5BF7">
        <w:rPr>
          <w:rFonts w:cstheme="minorHAnsi"/>
          <w:sz w:val="24"/>
          <w:szCs w:val="24"/>
          <w:lang w:val="el-GR"/>
        </w:rPr>
        <w:t xml:space="preserve"> </w:t>
      </w:r>
      <w:r w:rsidR="009D5BF7">
        <w:rPr>
          <w:rFonts w:cstheme="minorHAnsi"/>
          <w:sz w:val="24"/>
          <w:szCs w:val="24"/>
          <w:lang w:val="el-GR"/>
        </w:rPr>
        <w:t>επικουρικών</w:t>
      </w:r>
      <w:r w:rsidR="009D5BF7" w:rsidRPr="009D5BF7">
        <w:rPr>
          <w:rFonts w:cstheme="minorHAnsi"/>
          <w:sz w:val="24"/>
          <w:szCs w:val="24"/>
          <w:lang w:val="el-GR"/>
        </w:rPr>
        <w:t xml:space="preserve"> </w:t>
      </w:r>
      <w:r w:rsidR="009D5BF7">
        <w:rPr>
          <w:rFonts w:cstheme="minorHAnsi"/>
          <w:sz w:val="24"/>
          <w:szCs w:val="24"/>
          <w:lang w:val="el-GR"/>
        </w:rPr>
        <w:t>υπηρεσιών</w:t>
      </w:r>
      <w:r w:rsidR="006C1256" w:rsidRPr="009D5BF7">
        <w:rPr>
          <w:rFonts w:cstheme="minorHAnsi"/>
          <w:sz w:val="24"/>
          <w:szCs w:val="24"/>
          <w:lang w:val="el-GR"/>
        </w:rPr>
        <w:t xml:space="preserve"> </w:t>
      </w:r>
      <w:r w:rsidR="009D5BF7">
        <w:rPr>
          <w:rFonts w:cstheme="minorHAnsi"/>
          <w:sz w:val="24"/>
          <w:szCs w:val="24"/>
          <w:lang w:val="el-GR"/>
        </w:rPr>
        <w:t>συγκεντρώνονται</w:t>
      </w:r>
      <w:r w:rsidR="009D5BF7" w:rsidRPr="009D5BF7">
        <w:rPr>
          <w:rFonts w:cstheme="minorHAnsi"/>
          <w:sz w:val="24"/>
          <w:szCs w:val="24"/>
          <w:lang w:val="el-GR"/>
        </w:rPr>
        <w:t xml:space="preserve"> </w:t>
      </w:r>
      <w:r w:rsidR="009D5BF7">
        <w:rPr>
          <w:rFonts w:cstheme="minorHAnsi"/>
          <w:sz w:val="24"/>
          <w:szCs w:val="24"/>
          <w:lang w:val="el-GR"/>
        </w:rPr>
        <w:t>σε</w:t>
      </w:r>
      <w:r w:rsidR="009D5BF7" w:rsidRPr="009D5BF7">
        <w:rPr>
          <w:rFonts w:cstheme="minorHAnsi"/>
          <w:sz w:val="24"/>
          <w:szCs w:val="24"/>
          <w:lang w:val="el-GR"/>
        </w:rPr>
        <w:t xml:space="preserve"> </w:t>
      </w:r>
      <w:r w:rsidR="009D5BF7">
        <w:rPr>
          <w:rFonts w:cstheme="minorHAnsi"/>
          <w:sz w:val="24"/>
          <w:szCs w:val="24"/>
          <w:lang w:val="el-GR"/>
        </w:rPr>
        <w:t>ένα</w:t>
      </w:r>
      <w:r w:rsidR="009D5BF7" w:rsidRPr="009D5BF7">
        <w:rPr>
          <w:rFonts w:cstheme="minorHAnsi"/>
          <w:sz w:val="24"/>
          <w:szCs w:val="24"/>
          <w:lang w:val="el-GR"/>
        </w:rPr>
        <w:t xml:space="preserve"> </w:t>
      </w:r>
      <w:r w:rsidR="009D5BF7">
        <w:rPr>
          <w:rFonts w:cstheme="minorHAnsi"/>
          <w:sz w:val="24"/>
          <w:szCs w:val="24"/>
          <w:lang w:val="el-GR"/>
        </w:rPr>
        <w:t>μητρώο</w:t>
      </w:r>
      <w:r w:rsidR="009D5BF7" w:rsidRPr="009D5BF7">
        <w:rPr>
          <w:rFonts w:cstheme="minorHAnsi"/>
          <w:sz w:val="24"/>
          <w:szCs w:val="24"/>
          <w:lang w:val="el-GR"/>
        </w:rPr>
        <w:t xml:space="preserve"> </w:t>
      </w:r>
      <w:r w:rsidR="009D5BF7">
        <w:rPr>
          <w:rFonts w:cstheme="minorHAnsi"/>
          <w:sz w:val="24"/>
          <w:szCs w:val="24"/>
          <w:lang w:val="el-GR"/>
        </w:rPr>
        <w:t>που</w:t>
      </w:r>
      <w:r w:rsidR="009D5BF7" w:rsidRPr="009D5BF7">
        <w:rPr>
          <w:rFonts w:cstheme="minorHAnsi"/>
          <w:sz w:val="24"/>
          <w:szCs w:val="24"/>
          <w:lang w:val="el-GR"/>
        </w:rPr>
        <w:t xml:space="preserve"> </w:t>
      </w:r>
      <w:r w:rsidR="009D5BF7">
        <w:rPr>
          <w:rFonts w:cstheme="minorHAnsi"/>
          <w:sz w:val="24"/>
          <w:szCs w:val="24"/>
          <w:lang w:val="el-GR"/>
        </w:rPr>
        <w:t>φυλάσσεται</w:t>
      </w:r>
      <w:r w:rsidR="009D5BF7" w:rsidRPr="009D5BF7">
        <w:rPr>
          <w:rFonts w:cstheme="minorHAnsi"/>
          <w:sz w:val="24"/>
          <w:szCs w:val="24"/>
          <w:lang w:val="el-GR"/>
        </w:rPr>
        <w:t xml:space="preserve"> </w:t>
      </w:r>
      <w:r w:rsidR="009D5BF7">
        <w:rPr>
          <w:rFonts w:cstheme="minorHAnsi"/>
          <w:sz w:val="24"/>
          <w:szCs w:val="24"/>
          <w:lang w:val="el-GR"/>
        </w:rPr>
        <w:t>από</w:t>
      </w:r>
      <w:r w:rsidR="009D5BF7" w:rsidRPr="009D5BF7">
        <w:rPr>
          <w:rFonts w:cstheme="minorHAnsi"/>
          <w:sz w:val="24"/>
          <w:szCs w:val="24"/>
          <w:lang w:val="el-GR"/>
        </w:rPr>
        <w:t xml:space="preserve"> </w:t>
      </w:r>
      <w:r w:rsidR="009D5BF7">
        <w:rPr>
          <w:rFonts w:cstheme="minorHAnsi"/>
          <w:sz w:val="24"/>
          <w:szCs w:val="24"/>
          <w:lang w:val="el-GR"/>
        </w:rPr>
        <w:t>το</w:t>
      </w:r>
      <w:r w:rsidR="009D5BF7" w:rsidRPr="009D5BF7">
        <w:rPr>
          <w:rFonts w:cstheme="minorHAnsi"/>
          <w:sz w:val="24"/>
          <w:szCs w:val="24"/>
          <w:lang w:val="el-GR"/>
        </w:rPr>
        <w:t xml:space="preserve"> </w:t>
      </w:r>
      <w:r w:rsidR="009D5BF7">
        <w:rPr>
          <w:rFonts w:cstheme="minorHAnsi"/>
          <w:sz w:val="24"/>
          <w:szCs w:val="24"/>
          <w:lang w:val="el-GR"/>
        </w:rPr>
        <w:t xml:space="preserve">Τμήμα </w:t>
      </w:r>
      <w:r w:rsidR="002E5EC0">
        <w:rPr>
          <w:rFonts w:cstheme="minorHAnsi"/>
          <w:sz w:val="24"/>
          <w:szCs w:val="24"/>
          <w:lang w:val="el-GR"/>
        </w:rPr>
        <w:t>Διαχείρισης</w:t>
      </w:r>
      <w:r w:rsidR="009D5BF7">
        <w:rPr>
          <w:rFonts w:cstheme="minorHAnsi"/>
          <w:sz w:val="24"/>
          <w:szCs w:val="24"/>
          <w:lang w:val="el-GR"/>
        </w:rPr>
        <w:t xml:space="preserve"> και Ανθρωπίνου Δυναμικού</w:t>
      </w:r>
      <w:r w:rsidR="004E456F" w:rsidRPr="009D5BF7">
        <w:rPr>
          <w:rFonts w:cstheme="minorHAnsi"/>
          <w:sz w:val="24"/>
          <w:szCs w:val="24"/>
          <w:lang w:val="el-GR"/>
        </w:rPr>
        <w:t xml:space="preserve"> </w:t>
      </w:r>
      <w:r w:rsidR="009D5BF7">
        <w:rPr>
          <w:rFonts w:cstheme="minorHAnsi"/>
          <w:sz w:val="24"/>
          <w:szCs w:val="24"/>
          <w:lang w:val="el-GR"/>
        </w:rPr>
        <w:t xml:space="preserve">του Αρχηγείου της </w:t>
      </w:r>
      <w:r w:rsidR="002E5EC0">
        <w:rPr>
          <w:rFonts w:cstheme="minorHAnsi"/>
          <w:sz w:val="24"/>
          <w:szCs w:val="24"/>
          <w:lang w:val="en-US"/>
        </w:rPr>
        <w:t>A</w:t>
      </w:r>
      <w:proofErr w:type="spellStart"/>
      <w:r w:rsidR="009C4E34">
        <w:rPr>
          <w:rFonts w:cstheme="minorHAnsi"/>
          <w:sz w:val="24"/>
          <w:szCs w:val="24"/>
          <w:lang w:val="el-GR"/>
        </w:rPr>
        <w:t>στυνομία</w:t>
      </w:r>
      <w:r w:rsidR="009D5BF7">
        <w:rPr>
          <w:rFonts w:cstheme="minorHAnsi"/>
          <w:sz w:val="24"/>
          <w:szCs w:val="24"/>
          <w:lang w:val="el-GR"/>
        </w:rPr>
        <w:t>ς</w:t>
      </w:r>
      <w:proofErr w:type="spellEnd"/>
      <w:r w:rsidR="006C1256" w:rsidRPr="009D5BF7">
        <w:rPr>
          <w:rFonts w:cstheme="minorHAnsi"/>
          <w:sz w:val="24"/>
          <w:szCs w:val="24"/>
          <w:lang w:val="el-GR"/>
        </w:rPr>
        <w:t>.</w:t>
      </w:r>
      <w:r w:rsidR="00220066" w:rsidRPr="009D5BF7">
        <w:rPr>
          <w:rFonts w:cstheme="minorHAnsi"/>
          <w:sz w:val="24"/>
          <w:szCs w:val="24"/>
          <w:lang w:val="el-GR"/>
        </w:rPr>
        <w:t xml:space="preserve"> </w:t>
      </w:r>
      <w:r w:rsidR="009D5BF7">
        <w:rPr>
          <w:rFonts w:cstheme="minorHAnsi"/>
          <w:sz w:val="24"/>
          <w:szCs w:val="24"/>
          <w:lang w:val="el-GR"/>
        </w:rPr>
        <w:t>Η</w:t>
      </w:r>
      <w:r w:rsidR="009D5BF7" w:rsidRPr="009D5BF7">
        <w:rPr>
          <w:rFonts w:cstheme="minorHAnsi"/>
          <w:sz w:val="24"/>
          <w:szCs w:val="24"/>
          <w:lang w:val="el-GR"/>
        </w:rPr>
        <w:t xml:space="preserve"> </w:t>
      </w:r>
      <w:r w:rsidR="009D5BF7">
        <w:rPr>
          <w:rFonts w:cstheme="minorHAnsi"/>
          <w:sz w:val="24"/>
          <w:szCs w:val="24"/>
          <w:lang w:val="el-GR"/>
        </w:rPr>
        <w:t>παρακολούθηση</w:t>
      </w:r>
      <w:r w:rsidR="009D5BF7" w:rsidRPr="009D5BF7">
        <w:rPr>
          <w:rFonts w:cstheme="minorHAnsi"/>
          <w:sz w:val="24"/>
          <w:szCs w:val="24"/>
          <w:lang w:val="el-GR"/>
        </w:rPr>
        <w:t xml:space="preserve"> </w:t>
      </w:r>
      <w:r w:rsidR="009D5BF7">
        <w:rPr>
          <w:rFonts w:cstheme="minorHAnsi"/>
          <w:sz w:val="24"/>
          <w:szCs w:val="24"/>
          <w:lang w:val="el-GR"/>
        </w:rPr>
        <w:t>των</w:t>
      </w:r>
      <w:r w:rsidR="009D5BF7" w:rsidRPr="009D5BF7">
        <w:rPr>
          <w:rFonts w:cstheme="minorHAnsi"/>
          <w:sz w:val="24"/>
          <w:szCs w:val="24"/>
          <w:lang w:val="el-GR"/>
        </w:rPr>
        <w:t xml:space="preserve"> </w:t>
      </w:r>
      <w:r w:rsidR="009D5BF7">
        <w:rPr>
          <w:rFonts w:cstheme="minorHAnsi"/>
          <w:sz w:val="24"/>
          <w:szCs w:val="24"/>
          <w:lang w:val="el-GR"/>
        </w:rPr>
        <w:t>εξουσιοδοτήσεων</w:t>
      </w:r>
      <w:r w:rsidR="009D5BF7" w:rsidRPr="009D5BF7">
        <w:rPr>
          <w:rFonts w:cstheme="minorHAnsi"/>
          <w:sz w:val="24"/>
          <w:szCs w:val="24"/>
          <w:lang w:val="el-GR"/>
        </w:rPr>
        <w:t xml:space="preserve"> </w:t>
      </w:r>
      <w:r w:rsidR="009D5BF7">
        <w:rPr>
          <w:rFonts w:cstheme="minorHAnsi"/>
          <w:sz w:val="24"/>
          <w:szCs w:val="24"/>
          <w:lang w:val="el-GR"/>
        </w:rPr>
        <w:t>που</w:t>
      </w:r>
      <w:r w:rsidR="009D5BF7" w:rsidRPr="009D5BF7">
        <w:rPr>
          <w:rFonts w:cstheme="minorHAnsi"/>
          <w:sz w:val="24"/>
          <w:szCs w:val="24"/>
          <w:lang w:val="el-GR"/>
        </w:rPr>
        <w:t xml:space="preserve"> </w:t>
      </w:r>
      <w:r w:rsidR="009D5BF7">
        <w:rPr>
          <w:rFonts w:cstheme="minorHAnsi"/>
          <w:sz w:val="24"/>
          <w:szCs w:val="24"/>
          <w:lang w:val="el-GR"/>
        </w:rPr>
        <w:t>παραχωρούνται</w:t>
      </w:r>
      <w:r w:rsidR="00220066" w:rsidRPr="009D5BF7">
        <w:rPr>
          <w:rFonts w:cstheme="minorHAnsi"/>
          <w:sz w:val="24"/>
          <w:szCs w:val="24"/>
          <w:lang w:val="el-GR"/>
        </w:rPr>
        <w:t xml:space="preserve"> </w:t>
      </w:r>
      <w:r w:rsidR="009D5BF7">
        <w:rPr>
          <w:rFonts w:cstheme="minorHAnsi"/>
          <w:sz w:val="24"/>
          <w:szCs w:val="24"/>
          <w:lang w:val="el-GR"/>
        </w:rPr>
        <w:t>εκτελείται από την</w:t>
      </w:r>
      <w:r w:rsidR="00220066" w:rsidRPr="009D5BF7">
        <w:rPr>
          <w:rFonts w:cstheme="minorHAnsi"/>
          <w:sz w:val="24"/>
          <w:szCs w:val="24"/>
          <w:lang w:val="el-GR"/>
        </w:rPr>
        <w:t xml:space="preserve"> </w:t>
      </w:r>
      <w:r w:rsidR="00220066" w:rsidRPr="004E251E">
        <w:rPr>
          <w:rFonts w:cstheme="minorHAnsi"/>
          <w:sz w:val="24"/>
          <w:szCs w:val="24"/>
        </w:rPr>
        <w:t>PSID</w:t>
      </w:r>
      <w:r w:rsidR="00220066" w:rsidRPr="009D5BF7">
        <w:rPr>
          <w:rFonts w:cstheme="minorHAnsi"/>
          <w:sz w:val="24"/>
          <w:szCs w:val="24"/>
          <w:lang w:val="el-GR"/>
        </w:rPr>
        <w:t>.</w:t>
      </w:r>
      <w:r w:rsidR="00911A9C" w:rsidRPr="009D5BF7">
        <w:rPr>
          <w:rFonts w:cstheme="minorHAnsi"/>
          <w:sz w:val="24"/>
          <w:szCs w:val="24"/>
          <w:lang w:val="el-GR"/>
        </w:rPr>
        <w:t xml:space="preserve"> </w:t>
      </w:r>
      <w:r w:rsidR="009D5BF7">
        <w:rPr>
          <w:rFonts w:cstheme="minorHAnsi"/>
          <w:sz w:val="24"/>
          <w:szCs w:val="24"/>
          <w:lang w:val="el-GR"/>
        </w:rPr>
        <w:t>Κατά</w:t>
      </w:r>
      <w:r w:rsidR="009D5BF7" w:rsidRPr="009D5BF7">
        <w:rPr>
          <w:rFonts w:cstheme="minorHAnsi"/>
          <w:sz w:val="24"/>
          <w:szCs w:val="24"/>
          <w:lang w:val="el-GR"/>
        </w:rPr>
        <w:t xml:space="preserve"> </w:t>
      </w:r>
      <w:r w:rsidR="009D5BF7">
        <w:rPr>
          <w:rFonts w:cstheme="minorHAnsi"/>
          <w:sz w:val="24"/>
          <w:szCs w:val="24"/>
          <w:lang w:val="el-GR"/>
        </w:rPr>
        <w:t>τον</w:t>
      </w:r>
      <w:r w:rsidR="009D5BF7" w:rsidRPr="009D5BF7">
        <w:rPr>
          <w:rFonts w:cstheme="minorHAnsi"/>
          <w:sz w:val="24"/>
          <w:szCs w:val="24"/>
          <w:lang w:val="el-GR"/>
        </w:rPr>
        <w:t xml:space="preserve"> </w:t>
      </w:r>
      <w:r w:rsidR="009D5BF7">
        <w:rPr>
          <w:rFonts w:cstheme="minorHAnsi"/>
          <w:sz w:val="24"/>
          <w:szCs w:val="24"/>
          <w:lang w:val="el-GR"/>
        </w:rPr>
        <w:t>χρόνο</w:t>
      </w:r>
      <w:r w:rsidR="009D5BF7" w:rsidRPr="009D5BF7">
        <w:rPr>
          <w:rFonts w:cstheme="minorHAnsi"/>
          <w:sz w:val="24"/>
          <w:szCs w:val="24"/>
          <w:lang w:val="el-GR"/>
        </w:rPr>
        <w:t xml:space="preserve"> </w:t>
      </w:r>
      <w:r w:rsidR="009D5BF7">
        <w:rPr>
          <w:rFonts w:cstheme="minorHAnsi"/>
          <w:sz w:val="24"/>
          <w:szCs w:val="24"/>
          <w:lang w:val="el-GR"/>
        </w:rPr>
        <w:t>της</w:t>
      </w:r>
      <w:r w:rsidR="009D5BF7" w:rsidRPr="009D5BF7">
        <w:rPr>
          <w:rFonts w:cstheme="minorHAnsi"/>
          <w:sz w:val="24"/>
          <w:szCs w:val="24"/>
          <w:lang w:val="el-GR"/>
        </w:rPr>
        <w:t xml:space="preserve"> </w:t>
      </w:r>
      <w:r w:rsidR="009D5BF7">
        <w:rPr>
          <w:rFonts w:cstheme="minorHAnsi"/>
          <w:sz w:val="24"/>
          <w:szCs w:val="24"/>
          <w:lang w:val="el-GR"/>
        </w:rPr>
        <w:t>επί</w:t>
      </w:r>
      <w:r w:rsidR="009D5BF7" w:rsidRPr="009D5BF7">
        <w:rPr>
          <w:rFonts w:cstheme="minorHAnsi"/>
          <w:sz w:val="24"/>
          <w:szCs w:val="24"/>
          <w:lang w:val="el-GR"/>
        </w:rPr>
        <w:t xml:space="preserve"> </w:t>
      </w:r>
      <w:r w:rsidR="009D5BF7">
        <w:rPr>
          <w:rFonts w:cstheme="minorHAnsi"/>
          <w:sz w:val="24"/>
          <w:szCs w:val="24"/>
          <w:lang w:val="el-GR"/>
        </w:rPr>
        <w:t>τόπου</w:t>
      </w:r>
      <w:r w:rsidR="009D5BF7" w:rsidRPr="009D5BF7">
        <w:rPr>
          <w:rFonts w:cstheme="minorHAnsi"/>
          <w:sz w:val="24"/>
          <w:szCs w:val="24"/>
          <w:lang w:val="el-GR"/>
        </w:rPr>
        <w:t xml:space="preserve"> </w:t>
      </w:r>
      <w:r w:rsidR="009D5BF7">
        <w:rPr>
          <w:rFonts w:cstheme="minorHAnsi"/>
          <w:sz w:val="24"/>
          <w:szCs w:val="24"/>
          <w:lang w:val="el-GR"/>
        </w:rPr>
        <w:t>επίσκεψης</w:t>
      </w:r>
      <w:r w:rsidR="00911A9C" w:rsidRPr="009D5BF7">
        <w:rPr>
          <w:rFonts w:cstheme="minorHAnsi"/>
          <w:sz w:val="24"/>
          <w:szCs w:val="24"/>
          <w:lang w:val="el-GR"/>
        </w:rPr>
        <w:t xml:space="preserve">, </w:t>
      </w:r>
      <w:r w:rsidR="009D5BF7">
        <w:rPr>
          <w:rFonts w:cstheme="minorHAnsi"/>
          <w:sz w:val="24"/>
          <w:szCs w:val="24"/>
          <w:lang w:val="el-GR"/>
        </w:rPr>
        <w:t>υπήρχαν</w:t>
      </w:r>
      <w:r w:rsidR="009D5BF7" w:rsidRPr="009D5BF7">
        <w:rPr>
          <w:rFonts w:cstheme="minorHAnsi"/>
          <w:sz w:val="24"/>
          <w:szCs w:val="24"/>
          <w:lang w:val="el-GR"/>
        </w:rPr>
        <w:t xml:space="preserve"> </w:t>
      </w:r>
      <w:r w:rsidR="009D5BF7">
        <w:rPr>
          <w:rFonts w:cstheme="minorHAnsi"/>
          <w:sz w:val="24"/>
          <w:szCs w:val="24"/>
          <w:lang w:val="el-GR"/>
        </w:rPr>
        <w:t>ένα</w:t>
      </w:r>
      <w:r w:rsidR="009D5BF7" w:rsidRPr="009D5BF7">
        <w:rPr>
          <w:rFonts w:cstheme="minorHAnsi"/>
          <w:sz w:val="24"/>
          <w:szCs w:val="24"/>
          <w:lang w:val="el-GR"/>
        </w:rPr>
        <w:t xml:space="preserve"> </w:t>
      </w:r>
      <w:r w:rsidR="009D5BF7">
        <w:rPr>
          <w:rFonts w:cstheme="minorHAnsi"/>
          <w:sz w:val="24"/>
          <w:szCs w:val="24"/>
          <w:lang w:val="el-GR"/>
        </w:rPr>
        <w:t>σύνολο</w:t>
      </w:r>
      <w:r w:rsidR="009D5BF7" w:rsidRPr="009D5BF7">
        <w:rPr>
          <w:rFonts w:cstheme="minorHAnsi"/>
          <w:sz w:val="24"/>
          <w:szCs w:val="24"/>
          <w:lang w:val="el-GR"/>
        </w:rPr>
        <w:t xml:space="preserve"> </w:t>
      </w:r>
      <w:r w:rsidR="00911A9C" w:rsidRPr="009D5BF7">
        <w:rPr>
          <w:rFonts w:cstheme="minorHAnsi"/>
          <w:sz w:val="24"/>
          <w:szCs w:val="24"/>
          <w:lang w:val="el-GR"/>
        </w:rPr>
        <w:t xml:space="preserve">50 </w:t>
      </w:r>
      <w:r w:rsidR="009D5BF7">
        <w:rPr>
          <w:rFonts w:cstheme="minorHAnsi"/>
          <w:sz w:val="24"/>
          <w:szCs w:val="24"/>
          <w:lang w:val="el-GR"/>
        </w:rPr>
        <w:t>εξουσιοδοτήσεων</w:t>
      </w:r>
      <w:r w:rsidR="00911A9C" w:rsidRPr="009D5BF7">
        <w:rPr>
          <w:rFonts w:cstheme="minorHAnsi"/>
          <w:sz w:val="24"/>
          <w:szCs w:val="24"/>
          <w:lang w:val="el-GR"/>
        </w:rPr>
        <w:t xml:space="preserve">, </w:t>
      </w:r>
      <w:r w:rsidR="009D5BF7">
        <w:rPr>
          <w:rFonts w:cstheme="minorHAnsi"/>
          <w:sz w:val="24"/>
          <w:szCs w:val="24"/>
          <w:lang w:val="el-GR"/>
        </w:rPr>
        <w:t>που</w:t>
      </w:r>
      <w:r w:rsidR="009D5BF7" w:rsidRPr="009D5BF7">
        <w:rPr>
          <w:rFonts w:cstheme="minorHAnsi"/>
          <w:sz w:val="24"/>
          <w:szCs w:val="24"/>
          <w:lang w:val="el-GR"/>
        </w:rPr>
        <w:t xml:space="preserve"> </w:t>
      </w:r>
      <w:r w:rsidR="009D5BF7">
        <w:rPr>
          <w:rFonts w:cstheme="minorHAnsi"/>
          <w:sz w:val="24"/>
          <w:szCs w:val="24"/>
          <w:lang w:val="el-GR"/>
        </w:rPr>
        <w:t>είχαν παραχωρηθεί</w:t>
      </w:r>
      <w:r w:rsidR="00911A9C" w:rsidRPr="009D5BF7">
        <w:rPr>
          <w:rFonts w:cstheme="minorHAnsi"/>
          <w:sz w:val="24"/>
          <w:szCs w:val="24"/>
          <w:lang w:val="el-GR"/>
        </w:rPr>
        <w:t xml:space="preserve"> </w:t>
      </w:r>
      <w:r w:rsidR="009D5BF7">
        <w:rPr>
          <w:rFonts w:cstheme="minorHAnsi"/>
          <w:sz w:val="24"/>
          <w:szCs w:val="24"/>
          <w:lang w:val="el-GR"/>
        </w:rPr>
        <w:t>για μια θητεία που δεν υπερβαίνει</w:t>
      </w:r>
      <w:r w:rsidR="000F42D5">
        <w:rPr>
          <w:rFonts w:cstheme="minorHAnsi"/>
          <w:sz w:val="24"/>
          <w:szCs w:val="24"/>
          <w:lang w:val="el-GR"/>
        </w:rPr>
        <w:t xml:space="preserve"> </w:t>
      </w:r>
      <w:r w:rsidR="009D5BF7">
        <w:rPr>
          <w:rFonts w:cstheme="minorHAnsi"/>
          <w:sz w:val="24"/>
          <w:szCs w:val="24"/>
          <w:lang w:val="el-GR"/>
        </w:rPr>
        <w:t>τα δύο χρόνια.</w:t>
      </w:r>
      <w:r w:rsidR="00911A9C" w:rsidRPr="009D5BF7">
        <w:rPr>
          <w:rFonts w:cstheme="minorHAnsi"/>
          <w:sz w:val="24"/>
          <w:szCs w:val="24"/>
          <w:lang w:val="el-GR"/>
        </w:rPr>
        <w:t xml:space="preserve"> </w:t>
      </w:r>
      <w:r w:rsidR="009D5BF7">
        <w:rPr>
          <w:rFonts w:cstheme="minorHAnsi"/>
          <w:sz w:val="24"/>
          <w:szCs w:val="24"/>
          <w:lang w:val="el-GR"/>
        </w:rPr>
        <w:t>Οι</w:t>
      </w:r>
      <w:r w:rsidR="009D5BF7" w:rsidRPr="000F42D5">
        <w:rPr>
          <w:rFonts w:cstheme="minorHAnsi"/>
          <w:sz w:val="24"/>
          <w:szCs w:val="24"/>
          <w:lang w:val="el-GR"/>
        </w:rPr>
        <w:t xml:space="preserve"> </w:t>
      </w:r>
      <w:r w:rsidR="009D5BF7">
        <w:rPr>
          <w:rFonts w:cstheme="minorHAnsi"/>
          <w:sz w:val="24"/>
          <w:szCs w:val="24"/>
          <w:lang w:val="el-GR"/>
        </w:rPr>
        <w:t>περισσότερες</w:t>
      </w:r>
      <w:r w:rsidR="009D5BF7" w:rsidRPr="000F42D5">
        <w:rPr>
          <w:rFonts w:cstheme="minorHAnsi"/>
          <w:sz w:val="24"/>
          <w:szCs w:val="24"/>
          <w:lang w:val="el-GR"/>
        </w:rPr>
        <w:t xml:space="preserve"> </w:t>
      </w:r>
      <w:r w:rsidR="009D5BF7">
        <w:rPr>
          <w:rFonts w:cstheme="minorHAnsi"/>
          <w:sz w:val="24"/>
          <w:szCs w:val="24"/>
          <w:lang w:val="el-GR"/>
        </w:rPr>
        <w:t>αφορούσαν</w:t>
      </w:r>
      <w:r w:rsidR="009D5BF7" w:rsidRPr="000F42D5">
        <w:rPr>
          <w:rFonts w:cstheme="minorHAnsi"/>
          <w:sz w:val="24"/>
          <w:szCs w:val="24"/>
          <w:lang w:val="el-GR"/>
        </w:rPr>
        <w:t xml:space="preserve"> </w:t>
      </w:r>
      <w:r w:rsidR="009D5BF7">
        <w:rPr>
          <w:rFonts w:cstheme="minorHAnsi"/>
          <w:sz w:val="24"/>
          <w:szCs w:val="24"/>
          <w:lang w:val="el-GR"/>
        </w:rPr>
        <w:t>αθλητικές</w:t>
      </w:r>
      <w:r w:rsidR="009D5BF7" w:rsidRPr="000F42D5">
        <w:rPr>
          <w:rFonts w:cstheme="minorHAnsi"/>
          <w:sz w:val="24"/>
          <w:szCs w:val="24"/>
          <w:lang w:val="el-GR"/>
        </w:rPr>
        <w:t xml:space="preserve"> </w:t>
      </w:r>
      <w:r w:rsidR="009D5BF7">
        <w:rPr>
          <w:rFonts w:cstheme="minorHAnsi"/>
          <w:sz w:val="24"/>
          <w:szCs w:val="24"/>
          <w:lang w:val="el-GR"/>
        </w:rPr>
        <w:t>δραστηριότητε</w:t>
      </w:r>
      <w:r w:rsidR="000F42D5">
        <w:rPr>
          <w:rFonts w:cstheme="minorHAnsi"/>
          <w:sz w:val="24"/>
          <w:szCs w:val="24"/>
          <w:lang w:val="el-GR"/>
        </w:rPr>
        <w:t>ς</w:t>
      </w:r>
      <w:r w:rsidR="00911A9C" w:rsidRPr="000F42D5">
        <w:rPr>
          <w:rFonts w:cstheme="minorHAnsi"/>
          <w:sz w:val="24"/>
          <w:szCs w:val="24"/>
          <w:lang w:val="el-GR"/>
        </w:rPr>
        <w:t xml:space="preserve"> (</w:t>
      </w:r>
      <w:r w:rsidR="009D5BF7">
        <w:rPr>
          <w:rFonts w:cstheme="minorHAnsi"/>
          <w:sz w:val="24"/>
          <w:szCs w:val="24"/>
          <w:lang w:val="el-GR"/>
        </w:rPr>
        <w:t>π</w:t>
      </w:r>
      <w:r w:rsidR="00911A9C" w:rsidRPr="000F42D5">
        <w:rPr>
          <w:rFonts w:cstheme="minorHAnsi"/>
          <w:sz w:val="24"/>
          <w:szCs w:val="24"/>
          <w:lang w:val="el-GR"/>
        </w:rPr>
        <w:t>.</w:t>
      </w:r>
      <w:r w:rsidR="009D5BF7">
        <w:rPr>
          <w:rFonts w:cstheme="minorHAnsi"/>
          <w:sz w:val="24"/>
          <w:szCs w:val="24"/>
          <w:lang w:val="el-GR"/>
        </w:rPr>
        <w:t>χ</w:t>
      </w:r>
      <w:r w:rsidR="00911A9C" w:rsidRPr="000F42D5">
        <w:rPr>
          <w:rFonts w:cstheme="minorHAnsi"/>
          <w:sz w:val="24"/>
          <w:szCs w:val="24"/>
          <w:lang w:val="el-GR"/>
        </w:rPr>
        <w:t xml:space="preserve">. </w:t>
      </w:r>
      <w:r w:rsidR="009D5BF7">
        <w:rPr>
          <w:rFonts w:cstheme="minorHAnsi"/>
          <w:sz w:val="24"/>
          <w:szCs w:val="24"/>
          <w:lang w:val="el-GR"/>
        </w:rPr>
        <w:t>προπονητές</w:t>
      </w:r>
      <w:r w:rsidR="00911A9C" w:rsidRPr="000F42D5">
        <w:rPr>
          <w:rFonts w:cstheme="minorHAnsi"/>
          <w:sz w:val="24"/>
          <w:szCs w:val="24"/>
          <w:lang w:val="el-GR"/>
        </w:rPr>
        <w:t xml:space="preserve">). </w:t>
      </w:r>
    </w:p>
    <w:p w14:paraId="497DC48A" w14:textId="77777777" w:rsidR="00220066" w:rsidRPr="000F42D5" w:rsidRDefault="00220066" w:rsidP="00220066">
      <w:pPr>
        <w:tabs>
          <w:tab w:val="left" w:pos="709"/>
        </w:tabs>
        <w:rPr>
          <w:rFonts w:cstheme="minorHAnsi"/>
          <w:sz w:val="24"/>
          <w:szCs w:val="24"/>
          <w:lang w:val="el-GR"/>
        </w:rPr>
      </w:pPr>
    </w:p>
    <w:p w14:paraId="78E9B214" w14:textId="11111120" w:rsidR="00220066" w:rsidRPr="00E84CE3" w:rsidRDefault="009D5BF7" w:rsidP="00220066">
      <w:pPr>
        <w:numPr>
          <w:ilvl w:val="0"/>
          <w:numId w:val="1"/>
        </w:numPr>
        <w:tabs>
          <w:tab w:val="left" w:pos="709"/>
        </w:tabs>
        <w:ind w:left="0" w:firstLine="0"/>
        <w:rPr>
          <w:rFonts w:cstheme="minorHAnsi"/>
          <w:sz w:val="24"/>
          <w:szCs w:val="24"/>
          <w:lang w:val="el-GR"/>
        </w:rPr>
      </w:pPr>
      <w:r>
        <w:rPr>
          <w:rFonts w:cstheme="minorHAnsi"/>
          <w:sz w:val="24"/>
          <w:szCs w:val="24"/>
          <w:lang w:val="el-GR"/>
        </w:rPr>
        <w:t>Δημόσιοι</w:t>
      </w:r>
      <w:r w:rsidRPr="00AB4AD9">
        <w:rPr>
          <w:rFonts w:cstheme="minorHAnsi"/>
          <w:sz w:val="24"/>
          <w:szCs w:val="24"/>
          <w:lang w:val="el-GR"/>
        </w:rPr>
        <w:t xml:space="preserve"> </w:t>
      </w:r>
      <w:r>
        <w:rPr>
          <w:rFonts w:cstheme="minorHAnsi"/>
          <w:sz w:val="24"/>
          <w:szCs w:val="24"/>
          <w:lang w:val="el-GR"/>
        </w:rPr>
        <w:t>αξιωματούχοι</w:t>
      </w:r>
      <w:r w:rsidR="00220066" w:rsidRPr="00AB4AD9">
        <w:rPr>
          <w:rFonts w:cstheme="minorHAnsi"/>
          <w:sz w:val="24"/>
          <w:szCs w:val="24"/>
          <w:lang w:val="el-GR"/>
        </w:rPr>
        <w:t xml:space="preserve"> (</w:t>
      </w:r>
      <w:r>
        <w:rPr>
          <w:rFonts w:cstheme="minorHAnsi"/>
          <w:sz w:val="24"/>
          <w:szCs w:val="24"/>
          <w:lang w:val="el-GR"/>
        </w:rPr>
        <w:t>συμπεριλ</w:t>
      </w:r>
      <w:r w:rsidR="00AB4AD9">
        <w:rPr>
          <w:rFonts w:cstheme="minorHAnsi"/>
          <w:sz w:val="24"/>
          <w:szCs w:val="24"/>
          <w:lang w:val="el-GR"/>
        </w:rPr>
        <w:t>α</w:t>
      </w:r>
      <w:r>
        <w:rPr>
          <w:rFonts w:cstheme="minorHAnsi"/>
          <w:sz w:val="24"/>
          <w:szCs w:val="24"/>
          <w:lang w:val="el-GR"/>
        </w:rPr>
        <w:t>μβανομένων</w:t>
      </w:r>
      <w:r w:rsidRPr="00AB4AD9">
        <w:rPr>
          <w:rFonts w:cstheme="minorHAnsi"/>
          <w:sz w:val="24"/>
          <w:szCs w:val="24"/>
          <w:lang w:val="el-GR"/>
        </w:rPr>
        <w:t xml:space="preserve"> </w:t>
      </w:r>
      <w:r>
        <w:rPr>
          <w:rFonts w:cstheme="minorHAnsi"/>
          <w:sz w:val="24"/>
          <w:szCs w:val="24"/>
          <w:lang w:val="el-GR"/>
        </w:rPr>
        <w:t>των</w:t>
      </w:r>
      <w:r w:rsidRPr="00AB4AD9">
        <w:rPr>
          <w:rFonts w:cstheme="minorHAnsi"/>
          <w:sz w:val="24"/>
          <w:szCs w:val="24"/>
          <w:lang w:val="el-GR"/>
        </w:rPr>
        <w:t xml:space="preserve"> </w:t>
      </w:r>
      <w:r>
        <w:rPr>
          <w:rFonts w:cstheme="minorHAnsi"/>
          <w:sz w:val="24"/>
          <w:szCs w:val="24"/>
          <w:lang w:val="el-GR"/>
        </w:rPr>
        <w:t>ΑΕΝ</w:t>
      </w:r>
      <w:r w:rsidR="00220066" w:rsidRPr="00AB4AD9">
        <w:rPr>
          <w:rFonts w:cstheme="minorHAnsi"/>
          <w:sz w:val="24"/>
          <w:szCs w:val="24"/>
          <w:lang w:val="el-GR"/>
        </w:rPr>
        <w:t xml:space="preserve">) </w:t>
      </w:r>
      <w:r w:rsidR="00AB4AD9">
        <w:rPr>
          <w:rFonts w:cstheme="minorHAnsi"/>
          <w:sz w:val="24"/>
          <w:szCs w:val="24"/>
          <w:lang w:val="el-GR"/>
        </w:rPr>
        <w:t>δεν</w:t>
      </w:r>
      <w:r w:rsidR="00AB4AD9" w:rsidRPr="00AB4AD9">
        <w:rPr>
          <w:rFonts w:cstheme="minorHAnsi"/>
          <w:sz w:val="24"/>
          <w:szCs w:val="24"/>
          <w:lang w:val="el-GR"/>
        </w:rPr>
        <w:t xml:space="preserve"> </w:t>
      </w:r>
      <w:r w:rsidR="00AB4AD9">
        <w:rPr>
          <w:rFonts w:cstheme="minorHAnsi"/>
          <w:sz w:val="24"/>
          <w:szCs w:val="24"/>
          <w:lang w:val="el-GR"/>
        </w:rPr>
        <w:t>επιτρέπονται</w:t>
      </w:r>
      <w:r w:rsidR="00AB4AD9" w:rsidRPr="00AB4AD9">
        <w:rPr>
          <w:rFonts w:cstheme="minorHAnsi"/>
          <w:sz w:val="24"/>
          <w:szCs w:val="24"/>
          <w:lang w:val="el-GR"/>
        </w:rPr>
        <w:t xml:space="preserve"> </w:t>
      </w:r>
      <w:r w:rsidR="00AB4AD9">
        <w:rPr>
          <w:rFonts w:cstheme="minorHAnsi"/>
          <w:sz w:val="24"/>
          <w:szCs w:val="24"/>
          <w:lang w:val="el-GR"/>
        </w:rPr>
        <w:t>να</w:t>
      </w:r>
      <w:r w:rsidR="00AB4AD9" w:rsidRPr="00AB4AD9">
        <w:rPr>
          <w:rFonts w:cstheme="minorHAnsi"/>
          <w:sz w:val="24"/>
          <w:szCs w:val="24"/>
          <w:lang w:val="el-GR"/>
        </w:rPr>
        <w:t xml:space="preserve"> </w:t>
      </w:r>
      <w:r w:rsidR="00AB4AD9">
        <w:rPr>
          <w:rFonts w:cstheme="minorHAnsi"/>
          <w:sz w:val="24"/>
          <w:szCs w:val="24"/>
          <w:lang w:val="el-GR"/>
        </w:rPr>
        <w:t>κατέχουν</w:t>
      </w:r>
      <w:r w:rsidR="00AB4AD9" w:rsidRPr="00AB4AD9">
        <w:rPr>
          <w:rFonts w:cstheme="minorHAnsi"/>
          <w:sz w:val="24"/>
          <w:szCs w:val="24"/>
          <w:lang w:val="el-GR"/>
        </w:rPr>
        <w:t xml:space="preserve"> </w:t>
      </w:r>
      <w:r w:rsidR="00AB4AD9">
        <w:rPr>
          <w:rFonts w:cstheme="minorHAnsi"/>
          <w:sz w:val="24"/>
          <w:szCs w:val="24"/>
          <w:lang w:val="el-GR"/>
        </w:rPr>
        <w:t>οποιεσδήποτε</w:t>
      </w:r>
      <w:r w:rsidR="00AB4AD9" w:rsidRPr="00AB4AD9">
        <w:rPr>
          <w:rFonts w:cstheme="minorHAnsi"/>
          <w:sz w:val="24"/>
          <w:szCs w:val="24"/>
          <w:lang w:val="el-GR"/>
        </w:rPr>
        <w:t xml:space="preserve"> </w:t>
      </w:r>
      <w:r w:rsidR="00AB4AD9">
        <w:rPr>
          <w:rFonts w:cstheme="minorHAnsi"/>
          <w:sz w:val="24"/>
          <w:szCs w:val="24"/>
          <w:lang w:val="el-GR"/>
        </w:rPr>
        <w:t>μετοχές</w:t>
      </w:r>
      <w:r w:rsidR="00220066" w:rsidRPr="00AB4AD9">
        <w:rPr>
          <w:rFonts w:cstheme="minorHAnsi"/>
          <w:sz w:val="24"/>
          <w:szCs w:val="24"/>
          <w:lang w:val="el-GR"/>
        </w:rPr>
        <w:t xml:space="preserve"> </w:t>
      </w:r>
      <w:r w:rsidR="00AB4AD9">
        <w:rPr>
          <w:rFonts w:cstheme="minorHAnsi"/>
          <w:sz w:val="24"/>
          <w:szCs w:val="24"/>
          <w:lang w:val="el-GR"/>
        </w:rPr>
        <w:t>ή</w:t>
      </w:r>
      <w:r w:rsidR="00AB4AD9" w:rsidRPr="00AB4AD9">
        <w:rPr>
          <w:rFonts w:cstheme="minorHAnsi"/>
          <w:sz w:val="24"/>
          <w:szCs w:val="24"/>
          <w:lang w:val="el-GR"/>
        </w:rPr>
        <w:t xml:space="preserve"> </w:t>
      </w:r>
      <w:r w:rsidR="00AB4AD9">
        <w:rPr>
          <w:rFonts w:cstheme="minorHAnsi"/>
          <w:sz w:val="24"/>
          <w:szCs w:val="24"/>
          <w:lang w:val="el-GR"/>
        </w:rPr>
        <w:t>άλλο</w:t>
      </w:r>
      <w:r w:rsidR="00AB4AD9" w:rsidRPr="00AB4AD9">
        <w:rPr>
          <w:rFonts w:cstheme="minorHAnsi"/>
          <w:sz w:val="24"/>
          <w:szCs w:val="24"/>
          <w:lang w:val="el-GR"/>
        </w:rPr>
        <w:t xml:space="preserve"> </w:t>
      </w:r>
      <w:r w:rsidR="00AB4AD9">
        <w:rPr>
          <w:rFonts w:cstheme="minorHAnsi"/>
          <w:sz w:val="24"/>
          <w:szCs w:val="24"/>
          <w:lang w:val="el-GR"/>
        </w:rPr>
        <w:t>συμφέρον</w:t>
      </w:r>
      <w:r w:rsidR="00AB4AD9" w:rsidRPr="00AB4AD9">
        <w:rPr>
          <w:rFonts w:cstheme="minorHAnsi"/>
          <w:sz w:val="24"/>
          <w:szCs w:val="24"/>
          <w:lang w:val="el-GR"/>
        </w:rPr>
        <w:t xml:space="preserve"> </w:t>
      </w:r>
      <w:r w:rsidR="00AB4AD9">
        <w:rPr>
          <w:rFonts w:cstheme="minorHAnsi"/>
          <w:sz w:val="24"/>
          <w:szCs w:val="24"/>
          <w:lang w:val="el-GR"/>
        </w:rPr>
        <w:t>σε</w:t>
      </w:r>
      <w:r w:rsidR="00AB4AD9" w:rsidRPr="00AB4AD9">
        <w:rPr>
          <w:rFonts w:cstheme="minorHAnsi"/>
          <w:sz w:val="24"/>
          <w:szCs w:val="24"/>
          <w:lang w:val="el-GR"/>
        </w:rPr>
        <w:t xml:space="preserve"> </w:t>
      </w:r>
      <w:r w:rsidR="00AB4AD9">
        <w:rPr>
          <w:rFonts w:cstheme="minorHAnsi"/>
          <w:sz w:val="24"/>
          <w:szCs w:val="24"/>
          <w:lang w:val="el-GR"/>
        </w:rPr>
        <w:t>οποιαδήποτε</w:t>
      </w:r>
      <w:r w:rsidR="00AB4AD9" w:rsidRPr="00AB4AD9">
        <w:rPr>
          <w:rFonts w:cstheme="minorHAnsi"/>
          <w:sz w:val="24"/>
          <w:szCs w:val="24"/>
          <w:lang w:val="el-GR"/>
        </w:rPr>
        <w:t xml:space="preserve"> </w:t>
      </w:r>
      <w:r w:rsidR="00AB4AD9">
        <w:rPr>
          <w:rFonts w:cstheme="minorHAnsi"/>
          <w:sz w:val="24"/>
          <w:szCs w:val="24"/>
          <w:lang w:val="el-GR"/>
        </w:rPr>
        <w:t>εταιρεία</w:t>
      </w:r>
      <w:r w:rsidR="00AB4AD9" w:rsidRPr="00AB4AD9">
        <w:rPr>
          <w:rFonts w:cstheme="minorHAnsi"/>
          <w:sz w:val="24"/>
          <w:szCs w:val="24"/>
          <w:lang w:val="el-GR"/>
        </w:rPr>
        <w:t xml:space="preserve"> </w:t>
      </w:r>
      <w:r w:rsidR="00AB4AD9">
        <w:rPr>
          <w:rFonts w:cstheme="minorHAnsi"/>
          <w:sz w:val="24"/>
          <w:szCs w:val="24"/>
          <w:lang w:val="el-GR"/>
        </w:rPr>
        <w:t>ή</w:t>
      </w:r>
      <w:r w:rsidR="00AB4AD9" w:rsidRPr="00AB4AD9">
        <w:rPr>
          <w:rFonts w:cstheme="minorHAnsi"/>
          <w:sz w:val="24"/>
          <w:szCs w:val="24"/>
          <w:lang w:val="el-GR"/>
        </w:rPr>
        <w:t xml:space="preserve"> </w:t>
      </w:r>
      <w:r w:rsidR="00AB4AD9">
        <w:rPr>
          <w:rFonts w:cstheme="minorHAnsi"/>
          <w:sz w:val="24"/>
          <w:szCs w:val="24"/>
          <w:lang w:val="el-GR"/>
        </w:rPr>
        <w:t>συνεταιρισμό</w:t>
      </w:r>
      <w:r w:rsidR="00220066" w:rsidRPr="00AB4AD9">
        <w:rPr>
          <w:rFonts w:cstheme="minorHAnsi"/>
          <w:sz w:val="24"/>
          <w:szCs w:val="24"/>
          <w:lang w:val="el-GR"/>
        </w:rPr>
        <w:t xml:space="preserve">, </w:t>
      </w:r>
      <w:r w:rsidR="00AB4AD9">
        <w:rPr>
          <w:rFonts w:cstheme="minorHAnsi"/>
          <w:sz w:val="24"/>
          <w:szCs w:val="24"/>
          <w:lang w:val="el-GR"/>
        </w:rPr>
        <w:t>που</w:t>
      </w:r>
      <w:r w:rsidR="00AB4AD9" w:rsidRPr="00AB4AD9">
        <w:rPr>
          <w:rFonts w:cstheme="minorHAnsi"/>
          <w:sz w:val="24"/>
          <w:szCs w:val="24"/>
          <w:lang w:val="el-GR"/>
        </w:rPr>
        <w:t xml:space="preserve"> </w:t>
      </w:r>
      <w:r w:rsidR="00AB4AD9">
        <w:rPr>
          <w:rFonts w:cstheme="minorHAnsi"/>
          <w:sz w:val="24"/>
          <w:szCs w:val="24"/>
          <w:lang w:val="el-GR"/>
        </w:rPr>
        <w:t>δεν</w:t>
      </w:r>
      <w:r w:rsidR="00AB4AD9" w:rsidRPr="00AB4AD9">
        <w:rPr>
          <w:rFonts w:cstheme="minorHAnsi"/>
          <w:sz w:val="24"/>
          <w:szCs w:val="24"/>
          <w:lang w:val="el-GR"/>
        </w:rPr>
        <w:t xml:space="preserve"> </w:t>
      </w:r>
      <w:r w:rsidR="00AB4AD9">
        <w:rPr>
          <w:rFonts w:cstheme="minorHAnsi"/>
          <w:sz w:val="24"/>
          <w:szCs w:val="24"/>
          <w:lang w:val="el-GR"/>
        </w:rPr>
        <w:t>είναι</w:t>
      </w:r>
      <w:r w:rsidR="00AB4AD9" w:rsidRPr="00AB4AD9">
        <w:rPr>
          <w:rFonts w:cstheme="minorHAnsi"/>
          <w:sz w:val="24"/>
          <w:szCs w:val="24"/>
          <w:lang w:val="el-GR"/>
        </w:rPr>
        <w:t xml:space="preserve"> </w:t>
      </w:r>
      <w:r w:rsidR="00AB4AD9">
        <w:rPr>
          <w:rFonts w:cstheme="minorHAnsi"/>
          <w:sz w:val="24"/>
          <w:szCs w:val="24"/>
          <w:lang w:val="el-GR"/>
        </w:rPr>
        <w:t>δημόσια</w:t>
      </w:r>
      <w:r w:rsidR="00220066" w:rsidRPr="00AB4AD9">
        <w:rPr>
          <w:rFonts w:cstheme="minorHAnsi"/>
          <w:sz w:val="24"/>
          <w:szCs w:val="24"/>
          <w:lang w:val="el-GR"/>
        </w:rPr>
        <w:t xml:space="preserve">, </w:t>
      </w:r>
      <w:r w:rsidR="00AB4AD9">
        <w:rPr>
          <w:rFonts w:cstheme="minorHAnsi"/>
          <w:sz w:val="24"/>
          <w:szCs w:val="24"/>
          <w:lang w:val="el-GR"/>
        </w:rPr>
        <w:t>ή σε οποιαδήποτε άλλη ιδιωτική επιχείρηση</w:t>
      </w:r>
      <w:r w:rsidR="00220066" w:rsidRPr="00AB4AD9">
        <w:rPr>
          <w:rFonts w:cstheme="minorHAnsi"/>
          <w:sz w:val="24"/>
          <w:szCs w:val="24"/>
          <w:lang w:val="el-GR"/>
        </w:rPr>
        <w:t xml:space="preserve">, </w:t>
      </w:r>
      <w:r w:rsidR="00AB4AD9">
        <w:rPr>
          <w:rFonts w:cstheme="minorHAnsi"/>
          <w:sz w:val="24"/>
          <w:szCs w:val="24"/>
          <w:lang w:val="el-GR"/>
        </w:rPr>
        <w:t>χωρίς την άδεια του Υπουργού Οικονομικών</w:t>
      </w:r>
      <w:r w:rsidR="00220066" w:rsidRPr="00AB4AD9">
        <w:rPr>
          <w:rFonts w:cstheme="minorHAnsi"/>
          <w:sz w:val="24"/>
          <w:szCs w:val="24"/>
          <w:lang w:val="el-GR"/>
        </w:rPr>
        <w:t xml:space="preserve">. </w:t>
      </w:r>
      <w:r w:rsidR="00AB4AD9">
        <w:rPr>
          <w:rFonts w:cstheme="minorHAnsi"/>
          <w:sz w:val="24"/>
          <w:szCs w:val="24"/>
          <w:lang w:val="el-GR"/>
        </w:rPr>
        <w:t>Μια</w:t>
      </w:r>
      <w:r w:rsidR="00AB4AD9" w:rsidRPr="00E84CE3">
        <w:rPr>
          <w:rFonts w:cstheme="minorHAnsi"/>
          <w:sz w:val="24"/>
          <w:szCs w:val="24"/>
          <w:lang w:val="el-GR"/>
        </w:rPr>
        <w:t xml:space="preserve"> </w:t>
      </w:r>
      <w:r w:rsidR="00AB4AD9">
        <w:rPr>
          <w:rFonts w:cstheme="minorHAnsi"/>
          <w:sz w:val="24"/>
          <w:szCs w:val="24"/>
          <w:lang w:val="el-GR"/>
        </w:rPr>
        <w:t>τέτοια</w:t>
      </w:r>
      <w:r w:rsidR="00AB4AD9" w:rsidRPr="00E84CE3">
        <w:rPr>
          <w:rFonts w:cstheme="minorHAnsi"/>
          <w:sz w:val="24"/>
          <w:szCs w:val="24"/>
          <w:lang w:val="el-GR"/>
        </w:rPr>
        <w:t xml:space="preserve"> </w:t>
      </w:r>
      <w:r w:rsidR="00AB4AD9">
        <w:rPr>
          <w:rFonts w:cstheme="minorHAnsi"/>
          <w:sz w:val="24"/>
          <w:szCs w:val="24"/>
          <w:lang w:val="el-GR"/>
        </w:rPr>
        <w:t>άδεια</w:t>
      </w:r>
      <w:r w:rsidR="00AB4AD9" w:rsidRPr="00E84CE3">
        <w:rPr>
          <w:rFonts w:cstheme="minorHAnsi"/>
          <w:sz w:val="24"/>
          <w:szCs w:val="24"/>
          <w:lang w:val="el-GR"/>
        </w:rPr>
        <w:t xml:space="preserve"> </w:t>
      </w:r>
      <w:r w:rsidR="00AB4AD9">
        <w:rPr>
          <w:rFonts w:cstheme="minorHAnsi"/>
          <w:sz w:val="24"/>
          <w:szCs w:val="24"/>
          <w:lang w:val="el-GR"/>
        </w:rPr>
        <w:t>μπορεί</w:t>
      </w:r>
      <w:r w:rsidR="00AB4AD9" w:rsidRPr="00E84CE3">
        <w:rPr>
          <w:rFonts w:cstheme="minorHAnsi"/>
          <w:sz w:val="24"/>
          <w:szCs w:val="24"/>
          <w:lang w:val="el-GR"/>
        </w:rPr>
        <w:t xml:space="preserve"> </w:t>
      </w:r>
      <w:r w:rsidR="00AB4AD9">
        <w:rPr>
          <w:rFonts w:cstheme="minorHAnsi"/>
          <w:sz w:val="24"/>
          <w:szCs w:val="24"/>
          <w:lang w:val="el-GR"/>
        </w:rPr>
        <w:t>να</w:t>
      </w:r>
      <w:r w:rsidR="00AB4AD9" w:rsidRPr="00E84CE3">
        <w:rPr>
          <w:rFonts w:cstheme="minorHAnsi"/>
          <w:sz w:val="24"/>
          <w:szCs w:val="24"/>
          <w:lang w:val="el-GR"/>
        </w:rPr>
        <w:t xml:space="preserve"> </w:t>
      </w:r>
      <w:r w:rsidR="00AB4AD9">
        <w:rPr>
          <w:rFonts w:cstheme="minorHAnsi"/>
          <w:sz w:val="24"/>
          <w:szCs w:val="24"/>
          <w:lang w:val="el-GR"/>
        </w:rPr>
        <w:t>παραχωρηθεί</w:t>
      </w:r>
      <w:r w:rsidR="00AB4AD9" w:rsidRPr="00E84CE3">
        <w:rPr>
          <w:rFonts w:cstheme="minorHAnsi"/>
          <w:sz w:val="24"/>
          <w:szCs w:val="24"/>
          <w:lang w:val="el-GR"/>
        </w:rPr>
        <w:t xml:space="preserve"> </w:t>
      </w:r>
      <w:r w:rsidR="00AB4AD9">
        <w:rPr>
          <w:rFonts w:cstheme="minorHAnsi"/>
          <w:sz w:val="24"/>
          <w:szCs w:val="24"/>
          <w:lang w:val="el-GR"/>
        </w:rPr>
        <w:t>μόνο</w:t>
      </w:r>
      <w:r w:rsidR="00AB4AD9" w:rsidRPr="00E84CE3">
        <w:rPr>
          <w:rFonts w:cstheme="minorHAnsi"/>
          <w:sz w:val="24"/>
          <w:szCs w:val="24"/>
          <w:lang w:val="el-GR"/>
        </w:rPr>
        <w:t xml:space="preserve"> </w:t>
      </w:r>
      <w:r w:rsidR="00AB4AD9">
        <w:rPr>
          <w:rFonts w:cstheme="minorHAnsi"/>
          <w:sz w:val="24"/>
          <w:szCs w:val="24"/>
          <w:lang w:val="el-GR"/>
        </w:rPr>
        <w:t>όπου</w:t>
      </w:r>
      <w:r w:rsidR="00220066" w:rsidRPr="00E84CE3">
        <w:rPr>
          <w:rFonts w:cstheme="minorHAnsi"/>
          <w:sz w:val="24"/>
          <w:szCs w:val="24"/>
          <w:lang w:val="el-GR"/>
        </w:rPr>
        <w:t xml:space="preserve"> </w:t>
      </w:r>
      <w:r w:rsidR="00AB4AD9">
        <w:rPr>
          <w:rFonts w:cstheme="minorHAnsi"/>
          <w:sz w:val="24"/>
          <w:szCs w:val="24"/>
          <w:lang w:val="el-GR"/>
        </w:rPr>
        <w:t>θα</w:t>
      </w:r>
      <w:r w:rsidR="00AB4AD9" w:rsidRPr="00E84CE3">
        <w:rPr>
          <w:rFonts w:cstheme="minorHAnsi"/>
          <w:sz w:val="24"/>
          <w:szCs w:val="24"/>
          <w:lang w:val="el-GR"/>
        </w:rPr>
        <w:t xml:space="preserve"> </w:t>
      </w:r>
      <w:r w:rsidR="00E84CE3">
        <w:rPr>
          <w:rFonts w:cstheme="minorHAnsi"/>
          <w:sz w:val="24"/>
          <w:szCs w:val="24"/>
          <w:lang w:val="el-GR"/>
        </w:rPr>
        <w:t>ωφελήσει</w:t>
      </w:r>
      <w:r w:rsidR="00E84CE3" w:rsidRPr="00E84CE3">
        <w:rPr>
          <w:rFonts w:cstheme="minorHAnsi"/>
          <w:sz w:val="24"/>
          <w:szCs w:val="24"/>
          <w:lang w:val="el-GR"/>
        </w:rPr>
        <w:t xml:space="preserve"> </w:t>
      </w:r>
      <w:r w:rsidR="00E84CE3">
        <w:rPr>
          <w:rFonts w:cstheme="minorHAnsi"/>
          <w:sz w:val="24"/>
          <w:szCs w:val="24"/>
          <w:lang w:val="el-GR"/>
        </w:rPr>
        <w:t>το</w:t>
      </w:r>
      <w:r w:rsidR="00E84CE3" w:rsidRPr="00E84CE3">
        <w:rPr>
          <w:rFonts w:cstheme="minorHAnsi"/>
          <w:sz w:val="24"/>
          <w:szCs w:val="24"/>
          <w:lang w:val="el-GR"/>
        </w:rPr>
        <w:t xml:space="preserve"> </w:t>
      </w:r>
      <w:r w:rsidR="00E84CE3">
        <w:rPr>
          <w:rFonts w:cstheme="minorHAnsi"/>
          <w:sz w:val="24"/>
          <w:szCs w:val="24"/>
          <w:lang w:val="el-GR"/>
        </w:rPr>
        <w:t>δημόσιο</w:t>
      </w:r>
      <w:r w:rsidR="00E84CE3" w:rsidRPr="00E84CE3">
        <w:rPr>
          <w:rFonts w:cstheme="minorHAnsi"/>
          <w:sz w:val="24"/>
          <w:szCs w:val="24"/>
          <w:lang w:val="el-GR"/>
        </w:rPr>
        <w:t xml:space="preserve"> </w:t>
      </w:r>
      <w:r w:rsidR="00E84CE3">
        <w:rPr>
          <w:rFonts w:cstheme="minorHAnsi"/>
          <w:sz w:val="24"/>
          <w:szCs w:val="24"/>
          <w:lang w:val="el-GR"/>
        </w:rPr>
        <w:t>συμφέρον</w:t>
      </w:r>
      <w:r w:rsidR="00220066" w:rsidRPr="00E84CE3">
        <w:rPr>
          <w:rFonts w:cstheme="minorHAnsi"/>
          <w:sz w:val="24"/>
          <w:szCs w:val="24"/>
          <w:lang w:val="el-GR"/>
        </w:rPr>
        <w:t xml:space="preserve">, </w:t>
      </w:r>
      <w:r w:rsidR="00E84CE3">
        <w:rPr>
          <w:rFonts w:cstheme="minorHAnsi"/>
          <w:sz w:val="24"/>
          <w:szCs w:val="24"/>
          <w:lang w:val="el-GR"/>
        </w:rPr>
        <w:t>ή</w:t>
      </w:r>
      <w:r w:rsidR="00E84CE3" w:rsidRPr="00E84CE3">
        <w:rPr>
          <w:rFonts w:cstheme="minorHAnsi"/>
          <w:sz w:val="24"/>
          <w:szCs w:val="24"/>
          <w:lang w:val="el-GR"/>
        </w:rPr>
        <w:t xml:space="preserve"> </w:t>
      </w:r>
      <w:r w:rsidR="00E84CE3">
        <w:rPr>
          <w:rFonts w:cstheme="minorHAnsi"/>
          <w:sz w:val="24"/>
          <w:szCs w:val="24"/>
          <w:lang w:val="el-GR"/>
        </w:rPr>
        <w:t>όταν</w:t>
      </w:r>
      <w:r w:rsidR="00E84CE3" w:rsidRPr="00E84CE3">
        <w:rPr>
          <w:rFonts w:cstheme="minorHAnsi"/>
          <w:sz w:val="24"/>
          <w:szCs w:val="24"/>
          <w:lang w:val="el-GR"/>
        </w:rPr>
        <w:t xml:space="preserve"> </w:t>
      </w:r>
      <w:r w:rsidR="00E84CE3">
        <w:rPr>
          <w:rFonts w:cstheme="minorHAnsi"/>
          <w:sz w:val="24"/>
          <w:szCs w:val="24"/>
          <w:lang w:val="el-GR"/>
        </w:rPr>
        <w:t>το</w:t>
      </w:r>
      <w:r w:rsidR="00E84CE3" w:rsidRPr="00E84CE3">
        <w:rPr>
          <w:rFonts w:cstheme="minorHAnsi"/>
          <w:sz w:val="24"/>
          <w:szCs w:val="24"/>
          <w:lang w:val="el-GR"/>
        </w:rPr>
        <w:t xml:space="preserve"> </w:t>
      </w:r>
      <w:r w:rsidR="00E84CE3">
        <w:rPr>
          <w:rFonts w:cstheme="minorHAnsi"/>
          <w:sz w:val="24"/>
          <w:szCs w:val="24"/>
          <w:lang w:val="el-GR"/>
        </w:rPr>
        <w:t>συμφέρον</w:t>
      </w:r>
      <w:r w:rsidR="00E84CE3" w:rsidRPr="00E84CE3">
        <w:rPr>
          <w:rFonts w:cstheme="minorHAnsi"/>
          <w:sz w:val="24"/>
          <w:szCs w:val="24"/>
          <w:lang w:val="el-GR"/>
        </w:rPr>
        <w:t xml:space="preserve"> </w:t>
      </w:r>
      <w:r w:rsidR="00E84CE3">
        <w:rPr>
          <w:rFonts w:cstheme="minorHAnsi"/>
          <w:sz w:val="24"/>
          <w:szCs w:val="24"/>
          <w:lang w:val="el-GR"/>
        </w:rPr>
        <w:t>του</w:t>
      </w:r>
      <w:r w:rsidR="00E84CE3" w:rsidRPr="00E84CE3">
        <w:rPr>
          <w:rFonts w:cstheme="minorHAnsi"/>
          <w:sz w:val="24"/>
          <w:szCs w:val="24"/>
          <w:lang w:val="el-GR"/>
        </w:rPr>
        <w:t xml:space="preserve"> </w:t>
      </w:r>
      <w:r w:rsidR="00E84CE3">
        <w:rPr>
          <w:rFonts w:cstheme="minorHAnsi"/>
          <w:sz w:val="24"/>
          <w:szCs w:val="24"/>
          <w:lang w:val="el-GR"/>
        </w:rPr>
        <w:t>δημοσίου</w:t>
      </w:r>
      <w:r w:rsidR="00E84CE3" w:rsidRPr="00E84CE3">
        <w:rPr>
          <w:rFonts w:cstheme="minorHAnsi"/>
          <w:sz w:val="24"/>
          <w:szCs w:val="24"/>
          <w:lang w:val="el-GR"/>
        </w:rPr>
        <w:t xml:space="preserve"> </w:t>
      </w:r>
      <w:r w:rsidR="00E84CE3">
        <w:rPr>
          <w:rFonts w:cstheme="minorHAnsi"/>
          <w:sz w:val="24"/>
          <w:szCs w:val="24"/>
          <w:lang w:val="el-GR"/>
        </w:rPr>
        <w:t>αξιωματούχου</w:t>
      </w:r>
      <w:r w:rsidR="00E84CE3" w:rsidRPr="00E84CE3">
        <w:rPr>
          <w:rFonts w:cstheme="minorHAnsi"/>
          <w:sz w:val="24"/>
          <w:szCs w:val="24"/>
          <w:lang w:val="el-GR"/>
        </w:rPr>
        <w:t xml:space="preserve"> </w:t>
      </w:r>
      <w:r w:rsidR="00E84CE3">
        <w:rPr>
          <w:rFonts w:cstheme="minorHAnsi"/>
          <w:sz w:val="24"/>
          <w:szCs w:val="24"/>
          <w:lang w:val="el-GR"/>
        </w:rPr>
        <w:t>προέρχεται</w:t>
      </w:r>
      <w:r w:rsidR="00220066" w:rsidRPr="00E84CE3">
        <w:rPr>
          <w:rFonts w:cstheme="minorHAnsi"/>
          <w:sz w:val="24"/>
          <w:szCs w:val="24"/>
          <w:lang w:val="el-GR"/>
        </w:rPr>
        <w:t xml:space="preserve"> </w:t>
      </w:r>
      <w:r w:rsidR="00E84CE3">
        <w:rPr>
          <w:rFonts w:cstheme="minorHAnsi"/>
          <w:sz w:val="24"/>
          <w:szCs w:val="24"/>
          <w:lang w:val="el-GR"/>
        </w:rPr>
        <w:t>από</w:t>
      </w:r>
      <w:r w:rsidR="00220066" w:rsidRPr="00E84CE3">
        <w:rPr>
          <w:rFonts w:cstheme="minorHAnsi"/>
          <w:sz w:val="24"/>
          <w:szCs w:val="24"/>
          <w:lang w:val="el-GR"/>
        </w:rPr>
        <w:t xml:space="preserve"> </w:t>
      </w:r>
      <w:r w:rsidR="00E84CE3">
        <w:rPr>
          <w:rFonts w:cstheme="minorHAnsi"/>
          <w:sz w:val="24"/>
          <w:szCs w:val="24"/>
          <w:lang w:val="el-GR"/>
        </w:rPr>
        <w:t>μια κληρονομιά</w:t>
      </w:r>
      <w:r w:rsidR="00220066" w:rsidRPr="00E84CE3">
        <w:rPr>
          <w:rFonts w:cstheme="minorHAnsi"/>
          <w:sz w:val="24"/>
          <w:szCs w:val="24"/>
          <w:lang w:val="el-GR"/>
        </w:rPr>
        <w:t xml:space="preserve"> </w:t>
      </w:r>
      <w:r w:rsidR="00E84CE3">
        <w:rPr>
          <w:rFonts w:cstheme="minorHAnsi"/>
          <w:sz w:val="24"/>
          <w:szCs w:val="24"/>
          <w:lang w:val="el-GR"/>
        </w:rPr>
        <w:t>και η κατοχή των μ</w:t>
      </w:r>
      <w:r w:rsidR="000F42D5">
        <w:rPr>
          <w:rFonts w:cstheme="minorHAnsi"/>
          <w:sz w:val="24"/>
          <w:szCs w:val="24"/>
          <w:lang w:val="el-GR"/>
        </w:rPr>
        <w:t>ε</w:t>
      </w:r>
      <w:r w:rsidR="00E84CE3">
        <w:rPr>
          <w:rFonts w:cstheme="minorHAnsi"/>
          <w:sz w:val="24"/>
          <w:szCs w:val="24"/>
          <w:lang w:val="el-GR"/>
        </w:rPr>
        <w:t>τοχών</w:t>
      </w:r>
      <w:r w:rsidR="00220066" w:rsidRPr="00E84CE3">
        <w:rPr>
          <w:rFonts w:cstheme="minorHAnsi"/>
          <w:sz w:val="24"/>
          <w:szCs w:val="24"/>
          <w:lang w:val="el-GR"/>
        </w:rPr>
        <w:t xml:space="preserve"> </w:t>
      </w:r>
      <w:r w:rsidR="00E84CE3">
        <w:rPr>
          <w:rFonts w:cstheme="minorHAnsi"/>
          <w:sz w:val="24"/>
          <w:szCs w:val="24"/>
          <w:lang w:val="el-GR"/>
        </w:rPr>
        <w:t>δεν θα επηρεάσει</w:t>
      </w:r>
      <w:r w:rsidR="00220066" w:rsidRPr="00E84CE3">
        <w:rPr>
          <w:rFonts w:cstheme="minorHAnsi"/>
          <w:sz w:val="24"/>
          <w:szCs w:val="24"/>
          <w:lang w:val="el-GR"/>
        </w:rPr>
        <w:t xml:space="preserve"> </w:t>
      </w:r>
      <w:r w:rsidR="00E84CE3">
        <w:rPr>
          <w:rFonts w:cstheme="minorHAnsi"/>
          <w:sz w:val="24"/>
          <w:szCs w:val="24"/>
          <w:lang w:val="el-GR"/>
        </w:rPr>
        <w:t>την εκτέλεση των καθηκόντων του/ης</w:t>
      </w:r>
      <w:r w:rsidR="00220066" w:rsidRPr="00E84CE3">
        <w:rPr>
          <w:rFonts w:cstheme="minorHAnsi"/>
          <w:sz w:val="24"/>
          <w:szCs w:val="24"/>
          <w:lang w:val="el-GR"/>
        </w:rPr>
        <w:t xml:space="preserve">. </w:t>
      </w:r>
      <w:r w:rsidR="00E84CE3">
        <w:rPr>
          <w:rFonts w:cstheme="minorHAnsi"/>
          <w:sz w:val="24"/>
          <w:szCs w:val="24"/>
          <w:lang w:val="el-GR"/>
        </w:rPr>
        <w:t>Ωστόσο</w:t>
      </w:r>
      <w:r w:rsidR="00220066" w:rsidRPr="00E84CE3">
        <w:rPr>
          <w:rFonts w:cstheme="minorHAnsi"/>
          <w:sz w:val="24"/>
          <w:szCs w:val="24"/>
          <w:lang w:val="el-GR"/>
        </w:rPr>
        <w:t xml:space="preserve">, </w:t>
      </w:r>
      <w:r w:rsidR="00E84CE3">
        <w:rPr>
          <w:rFonts w:cstheme="minorHAnsi"/>
          <w:sz w:val="24"/>
          <w:szCs w:val="24"/>
          <w:lang w:val="el-GR"/>
        </w:rPr>
        <w:t>ένας</w:t>
      </w:r>
      <w:r w:rsidR="00E84CE3" w:rsidRPr="00E84CE3">
        <w:rPr>
          <w:rFonts w:cstheme="minorHAnsi"/>
          <w:sz w:val="24"/>
          <w:szCs w:val="24"/>
          <w:lang w:val="el-GR"/>
        </w:rPr>
        <w:t xml:space="preserve"> </w:t>
      </w:r>
      <w:r w:rsidR="00E84CE3">
        <w:rPr>
          <w:rFonts w:cstheme="minorHAnsi"/>
          <w:sz w:val="24"/>
          <w:szCs w:val="24"/>
          <w:lang w:val="el-GR"/>
        </w:rPr>
        <w:t>δημόσιος</w:t>
      </w:r>
      <w:r w:rsidR="00E84CE3" w:rsidRPr="00E84CE3">
        <w:rPr>
          <w:rFonts w:cstheme="minorHAnsi"/>
          <w:sz w:val="24"/>
          <w:szCs w:val="24"/>
          <w:lang w:val="el-GR"/>
        </w:rPr>
        <w:t xml:space="preserve"> </w:t>
      </w:r>
      <w:r w:rsidR="00E84CE3">
        <w:rPr>
          <w:rFonts w:cstheme="minorHAnsi"/>
          <w:sz w:val="24"/>
          <w:szCs w:val="24"/>
          <w:lang w:val="el-GR"/>
        </w:rPr>
        <w:t>αξιωματούχος</w:t>
      </w:r>
      <w:r w:rsidR="00220066" w:rsidRPr="00E84CE3">
        <w:rPr>
          <w:rFonts w:cstheme="minorHAnsi"/>
          <w:sz w:val="24"/>
          <w:szCs w:val="24"/>
          <w:lang w:val="el-GR"/>
        </w:rPr>
        <w:t xml:space="preserve"> </w:t>
      </w:r>
      <w:r w:rsidR="00E84CE3">
        <w:rPr>
          <w:rFonts w:cstheme="minorHAnsi"/>
          <w:sz w:val="24"/>
          <w:szCs w:val="24"/>
          <w:lang w:val="el-GR"/>
        </w:rPr>
        <w:t>έχει</w:t>
      </w:r>
      <w:r w:rsidR="00E84CE3" w:rsidRPr="00E84CE3">
        <w:rPr>
          <w:rFonts w:cstheme="minorHAnsi"/>
          <w:sz w:val="24"/>
          <w:szCs w:val="24"/>
          <w:lang w:val="el-GR"/>
        </w:rPr>
        <w:t xml:space="preserve"> </w:t>
      </w:r>
      <w:r w:rsidR="00E84CE3">
        <w:rPr>
          <w:rFonts w:cstheme="minorHAnsi"/>
          <w:sz w:val="24"/>
          <w:szCs w:val="24"/>
          <w:lang w:val="el-GR"/>
        </w:rPr>
        <w:t>το</w:t>
      </w:r>
      <w:r w:rsidR="00E84CE3" w:rsidRPr="00E84CE3">
        <w:rPr>
          <w:rFonts w:cstheme="minorHAnsi"/>
          <w:sz w:val="24"/>
          <w:szCs w:val="24"/>
          <w:lang w:val="el-GR"/>
        </w:rPr>
        <w:t xml:space="preserve"> </w:t>
      </w:r>
      <w:r w:rsidR="00E84CE3">
        <w:rPr>
          <w:rFonts w:cstheme="minorHAnsi"/>
          <w:sz w:val="24"/>
          <w:szCs w:val="24"/>
          <w:lang w:val="el-GR"/>
        </w:rPr>
        <w:t>δικαίωμα</w:t>
      </w:r>
      <w:r w:rsidR="00E84CE3" w:rsidRPr="00E84CE3">
        <w:rPr>
          <w:rFonts w:cstheme="minorHAnsi"/>
          <w:sz w:val="24"/>
          <w:szCs w:val="24"/>
          <w:lang w:val="el-GR"/>
        </w:rPr>
        <w:t xml:space="preserve"> </w:t>
      </w:r>
      <w:r w:rsidR="00E84CE3">
        <w:rPr>
          <w:rFonts w:cstheme="minorHAnsi"/>
          <w:sz w:val="24"/>
          <w:szCs w:val="24"/>
          <w:lang w:val="el-GR"/>
        </w:rPr>
        <w:t>να</w:t>
      </w:r>
      <w:r w:rsidR="00E84CE3" w:rsidRPr="00E84CE3">
        <w:rPr>
          <w:rFonts w:cstheme="minorHAnsi"/>
          <w:sz w:val="24"/>
          <w:szCs w:val="24"/>
          <w:lang w:val="el-GR"/>
        </w:rPr>
        <w:t xml:space="preserve"> </w:t>
      </w:r>
      <w:r w:rsidR="00E84CE3">
        <w:rPr>
          <w:rFonts w:cstheme="minorHAnsi"/>
          <w:sz w:val="24"/>
          <w:szCs w:val="24"/>
          <w:lang w:val="el-GR"/>
        </w:rPr>
        <w:t>αποκτήσει</w:t>
      </w:r>
      <w:r w:rsidR="00E84CE3" w:rsidRPr="00E84CE3">
        <w:rPr>
          <w:rFonts w:cstheme="minorHAnsi"/>
          <w:sz w:val="24"/>
          <w:szCs w:val="24"/>
          <w:lang w:val="el-GR"/>
        </w:rPr>
        <w:t xml:space="preserve"> </w:t>
      </w:r>
      <w:r w:rsidR="00E84CE3">
        <w:rPr>
          <w:rFonts w:cstheme="minorHAnsi"/>
          <w:sz w:val="24"/>
          <w:szCs w:val="24"/>
          <w:lang w:val="el-GR"/>
        </w:rPr>
        <w:t>μετοχές</w:t>
      </w:r>
      <w:r w:rsidR="00220066" w:rsidRPr="00E84CE3">
        <w:rPr>
          <w:rFonts w:cstheme="minorHAnsi"/>
          <w:sz w:val="24"/>
          <w:szCs w:val="24"/>
          <w:lang w:val="el-GR"/>
        </w:rPr>
        <w:t xml:space="preserve"> </w:t>
      </w:r>
      <w:r w:rsidR="00E84CE3">
        <w:rPr>
          <w:rFonts w:cstheme="minorHAnsi"/>
          <w:sz w:val="24"/>
          <w:szCs w:val="24"/>
          <w:lang w:val="el-GR"/>
        </w:rPr>
        <w:t>μιας</w:t>
      </w:r>
      <w:r w:rsidR="00E84CE3" w:rsidRPr="00E84CE3">
        <w:rPr>
          <w:rFonts w:cstheme="minorHAnsi"/>
          <w:sz w:val="24"/>
          <w:szCs w:val="24"/>
          <w:lang w:val="el-GR"/>
        </w:rPr>
        <w:t xml:space="preserve"> </w:t>
      </w:r>
      <w:r w:rsidR="00E84CE3">
        <w:rPr>
          <w:rFonts w:cstheme="minorHAnsi"/>
          <w:sz w:val="24"/>
          <w:szCs w:val="24"/>
          <w:lang w:val="el-GR"/>
        </w:rPr>
        <w:t>δημόσιας</w:t>
      </w:r>
      <w:r w:rsidR="00E84CE3" w:rsidRPr="00E84CE3">
        <w:rPr>
          <w:rFonts w:cstheme="minorHAnsi"/>
          <w:sz w:val="24"/>
          <w:szCs w:val="24"/>
          <w:lang w:val="el-GR"/>
        </w:rPr>
        <w:t xml:space="preserve"> </w:t>
      </w:r>
      <w:r w:rsidR="00E84CE3">
        <w:rPr>
          <w:rFonts w:cstheme="minorHAnsi"/>
          <w:sz w:val="24"/>
          <w:szCs w:val="24"/>
          <w:lang w:val="el-GR"/>
        </w:rPr>
        <w:t>εταιρείας</w:t>
      </w:r>
      <w:r w:rsidR="00220066" w:rsidRPr="00E84CE3">
        <w:rPr>
          <w:rFonts w:cstheme="minorHAnsi"/>
          <w:sz w:val="24"/>
          <w:szCs w:val="24"/>
          <w:lang w:val="el-GR"/>
        </w:rPr>
        <w:t xml:space="preserve">, </w:t>
      </w:r>
      <w:r w:rsidR="00E84CE3">
        <w:rPr>
          <w:rFonts w:cstheme="minorHAnsi"/>
          <w:sz w:val="24"/>
          <w:szCs w:val="24"/>
          <w:lang w:val="el-GR"/>
        </w:rPr>
        <w:t>ο</w:t>
      </w:r>
      <w:r w:rsidR="00E84CE3" w:rsidRPr="00E84CE3">
        <w:rPr>
          <w:rFonts w:cstheme="minorHAnsi"/>
          <w:sz w:val="24"/>
          <w:szCs w:val="24"/>
          <w:lang w:val="el-GR"/>
        </w:rPr>
        <w:t xml:space="preserve"> </w:t>
      </w:r>
      <w:r w:rsidR="00E84CE3">
        <w:rPr>
          <w:rFonts w:cstheme="minorHAnsi"/>
          <w:sz w:val="24"/>
          <w:szCs w:val="24"/>
          <w:lang w:val="el-GR"/>
        </w:rPr>
        <w:t>αριθμός των οποίων δεν θα υπερβαίνει το ποσοστό του μετοχικού κεφαλαίου</w:t>
      </w:r>
      <w:r w:rsidR="00220066" w:rsidRPr="00E84CE3">
        <w:rPr>
          <w:rFonts w:cstheme="minorHAnsi"/>
          <w:sz w:val="24"/>
          <w:szCs w:val="24"/>
          <w:lang w:val="el-GR"/>
        </w:rPr>
        <w:t xml:space="preserve"> </w:t>
      </w:r>
      <w:r w:rsidR="00E84CE3">
        <w:rPr>
          <w:rFonts w:cstheme="minorHAnsi"/>
          <w:sz w:val="24"/>
          <w:szCs w:val="24"/>
          <w:lang w:val="el-GR"/>
        </w:rPr>
        <w:t>που θα</w:t>
      </w:r>
      <w:r w:rsidR="00E84CE3" w:rsidRPr="00E84CE3">
        <w:rPr>
          <w:rFonts w:cstheme="minorHAnsi"/>
          <w:sz w:val="24"/>
          <w:szCs w:val="24"/>
          <w:lang w:val="el-GR"/>
        </w:rPr>
        <w:t xml:space="preserve"> </w:t>
      </w:r>
      <w:r w:rsidR="00E84CE3">
        <w:rPr>
          <w:rFonts w:cstheme="minorHAnsi"/>
          <w:sz w:val="24"/>
          <w:szCs w:val="24"/>
          <w:lang w:val="el-GR"/>
        </w:rPr>
        <w:t>καθορισθεί από τον Υπουργό Οικονομικών</w:t>
      </w:r>
      <w:r w:rsidR="00220066" w:rsidRPr="00E84CE3">
        <w:rPr>
          <w:rFonts w:cstheme="minorHAnsi"/>
          <w:sz w:val="24"/>
          <w:szCs w:val="24"/>
          <w:lang w:val="el-GR"/>
        </w:rPr>
        <w:t>.</w:t>
      </w:r>
    </w:p>
    <w:p w14:paraId="3861A233" w14:textId="77777777" w:rsidR="00220066" w:rsidRPr="00E84CE3" w:rsidRDefault="00220066" w:rsidP="00220066">
      <w:pPr>
        <w:tabs>
          <w:tab w:val="left" w:pos="709"/>
        </w:tabs>
        <w:rPr>
          <w:rFonts w:cstheme="minorHAnsi"/>
          <w:sz w:val="24"/>
          <w:szCs w:val="24"/>
          <w:lang w:val="el-GR"/>
        </w:rPr>
      </w:pPr>
    </w:p>
    <w:p w14:paraId="14985EF7" w14:textId="5652E78E" w:rsidR="00220066" w:rsidRPr="00E84CE3" w:rsidRDefault="00E84CE3" w:rsidP="00220066">
      <w:pPr>
        <w:numPr>
          <w:ilvl w:val="0"/>
          <w:numId w:val="1"/>
        </w:numPr>
        <w:tabs>
          <w:tab w:val="left" w:pos="709"/>
        </w:tabs>
        <w:ind w:left="0" w:firstLine="0"/>
        <w:rPr>
          <w:rFonts w:cstheme="minorHAnsi"/>
          <w:sz w:val="24"/>
          <w:szCs w:val="24"/>
          <w:lang w:val="el-GR"/>
        </w:rPr>
      </w:pPr>
      <w:r>
        <w:rPr>
          <w:rFonts w:cstheme="minorHAnsi"/>
          <w:sz w:val="24"/>
          <w:szCs w:val="24"/>
          <w:lang w:val="el-GR"/>
        </w:rPr>
        <w:lastRenderedPageBreak/>
        <w:t>Δεν</w:t>
      </w:r>
      <w:r w:rsidRPr="00E84CE3">
        <w:rPr>
          <w:rFonts w:cstheme="minorHAnsi"/>
          <w:sz w:val="24"/>
          <w:szCs w:val="24"/>
          <w:lang w:val="el-GR"/>
        </w:rPr>
        <w:t xml:space="preserve"> </w:t>
      </w:r>
      <w:r>
        <w:rPr>
          <w:rFonts w:cstheme="minorHAnsi"/>
          <w:sz w:val="24"/>
          <w:szCs w:val="24"/>
          <w:lang w:val="el-GR"/>
        </w:rPr>
        <w:t>επιτρέπεται</w:t>
      </w:r>
      <w:r w:rsidRPr="00E84CE3">
        <w:rPr>
          <w:rFonts w:cstheme="minorHAnsi"/>
          <w:sz w:val="24"/>
          <w:szCs w:val="24"/>
          <w:lang w:val="el-GR"/>
        </w:rPr>
        <w:t xml:space="preserve"> </w:t>
      </w:r>
      <w:r>
        <w:rPr>
          <w:rFonts w:cstheme="minorHAnsi"/>
          <w:sz w:val="24"/>
          <w:szCs w:val="24"/>
          <w:lang w:val="el-GR"/>
        </w:rPr>
        <w:t>σε</w:t>
      </w:r>
      <w:r w:rsidRPr="00E84CE3">
        <w:rPr>
          <w:rFonts w:cstheme="minorHAnsi"/>
          <w:sz w:val="24"/>
          <w:szCs w:val="24"/>
          <w:lang w:val="el-GR"/>
        </w:rPr>
        <w:t xml:space="preserve"> </w:t>
      </w:r>
      <w:r>
        <w:rPr>
          <w:rFonts w:cstheme="minorHAnsi"/>
          <w:sz w:val="24"/>
          <w:szCs w:val="24"/>
          <w:lang w:val="el-GR"/>
        </w:rPr>
        <w:t>κανένα</w:t>
      </w:r>
      <w:r w:rsidRPr="00E84CE3">
        <w:rPr>
          <w:rFonts w:cstheme="minorHAnsi"/>
          <w:sz w:val="24"/>
          <w:szCs w:val="24"/>
          <w:lang w:val="el-GR"/>
        </w:rPr>
        <w:t xml:space="preserve"> </w:t>
      </w:r>
      <w:r>
        <w:rPr>
          <w:rFonts w:cstheme="minorHAnsi"/>
          <w:sz w:val="24"/>
          <w:szCs w:val="24"/>
          <w:lang w:val="el-GR"/>
        </w:rPr>
        <w:t>δημόσιο</w:t>
      </w:r>
      <w:r w:rsidRPr="00E84CE3">
        <w:rPr>
          <w:rFonts w:cstheme="minorHAnsi"/>
          <w:sz w:val="24"/>
          <w:szCs w:val="24"/>
          <w:lang w:val="el-GR"/>
        </w:rPr>
        <w:t xml:space="preserve"> </w:t>
      </w:r>
      <w:r>
        <w:rPr>
          <w:rFonts w:cstheme="minorHAnsi"/>
          <w:sz w:val="24"/>
          <w:szCs w:val="24"/>
          <w:lang w:val="el-GR"/>
        </w:rPr>
        <w:t>αξιωματούχο</w:t>
      </w:r>
      <w:r w:rsidR="00220066" w:rsidRPr="00E84CE3">
        <w:rPr>
          <w:rFonts w:cstheme="minorHAnsi"/>
          <w:sz w:val="24"/>
          <w:szCs w:val="24"/>
          <w:lang w:val="el-GR"/>
        </w:rPr>
        <w:t xml:space="preserve"> (</w:t>
      </w:r>
      <w:r>
        <w:rPr>
          <w:rFonts w:cstheme="minorHAnsi"/>
          <w:sz w:val="24"/>
          <w:szCs w:val="24"/>
          <w:lang w:val="el-GR"/>
        </w:rPr>
        <w:t>επομένως</w:t>
      </w:r>
      <w:r w:rsidRPr="00E84CE3">
        <w:rPr>
          <w:rFonts w:cstheme="minorHAnsi"/>
          <w:sz w:val="24"/>
          <w:szCs w:val="24"/>
          <w:lang w:val="el-GR"/>
        </w:rPr>
        <w:t xml:space="preserve">, </w:t>
      </w:r>
      <w:r>
        <w:rPr>
          <w:rFonts w:cstheme="minorHAnsi"/>
          <w:sz w:val="24"/>
          <w:szCs w:val="24"/>
          <w:lang w:val="el-GR"/>
        </w:rPr>
        <w:t>συμπεριλαμβανομένων</w:t>
      </w:r>
      <w:r w:rsidRPr="00E84CE3">
        <w:rPr>
          <w:rFonts w:cstheme="minorHAnsi"/>
          <w:sz w:val="24"/>
          <w:szCs w:val="24"/>
          <w:lang w:val="el-GR"/>
        </w:rPr>
        <w:t xml:space="preserve"> </w:t>
      </w:r>
      <w:r>
        <w:rPr>
          <w:rFonts w:cstheme="minorHAnsi"/>
          <w:sz w:val="24"/>
          <w:szCs w:val="24"/>
          <w:lang w:val="el-GR"/>
        </w:rPr>
        <w:t>των</w:t>
      </w:r>
      <w:r w:rsidRPr="00E84CE3">
        <w:rPr>
          <w:rFonts w:cstheme="minorHAnsi"/>
          <w:sz w:val="24"/>
          <w:szCs w:val="24"/>
          <w:lang w:val="el-GR"/>
        </w:rPr>
        <w:t xml:space="preserve"> </w:t>
      </w:r>
      <w:r>
        <w:rPr>
          <w:rFonts w:cstheme="minorHAnsi"/>
          <w:sz w:val="24"/>
          <w:szCs w:val="24"/>
          <w:lang w:val="el-GR"/>
        </w:rPr>
        <w:t>ΑΕΝ</w:t>
      </w:r>
      <w:r w:rsidR="00220066" w:rsidRPr="00E84CE3">
        <w:rPr>
          <w:rFonts w:cstheme="minorHAnsi"/>
          <w:sz w:val="24"/>
          <w:szCs w:val="24"/>
          <w:lang w:val="el-GR"/>
        </w:rPr>
        <w:t xml:space="preserve">) </w:t>
      </w:r>
      <w:r>
        <w:rPr>
          <w:rFonts w:cstheme="minorHAnsi"/>
          <w:sz w:val="24"/>
          <w:szCs w:val="24"/>
          <w:lang w:val="el-GR"/>
        </w:rPr>
        <w:t>να</w:t>
      </w:r>
      <w:r w:rsidRPr="00E84CE3">
        <w:rPr>
          <w:rFonts w:cstheme="minorHAnsi"/>
          <w:sz w:val="24"/>
          <w:szCs w:val="24"/>
          <w:lang w:val="el-GR"/>
        </w:rPr>
        <w:t xml:space="preserve"> </w:t>
      </w:r>
      <w:r>
        <w:rPr>
          <w:rFonts w:cstheme="minorHAnsi"/>
          <w:sz w:val="24"/>
          <w:szCs w:val="24"/>
          <w:lang w:val="el-GR"/>
        </w:rPr>
        <w:t>αποκτήσει</w:t>
      </w:r>
      <w:r w:rsidRPr="00E84CE3">
        <w:rPr>
          <w:rFonts w:cstheme="minorHAnsi"/>
          <w:sz w:val="24"/>
          <w:szCs w:val="24"/>
          <w:lang w:val="el-GR"/>
        </w:rPr>
        <w:t xml:space="preserve"> </w:t>
      </w:r>
      <w:r>
        <w:rPr>
          <w:rFonts w:cstheme="minorHAnsi"/>
          <w:sz w:val="24"/>
          <w:szCs w:val="24"/>
          <w:lang w:val="el-GR"/>
        </w:rPr>
        <w:t>είτε</w:t>
      </w:r>
      <w:r w:rsidRPr="00E84CE3">
        <w:rPr>
          <w:rFonts w:cstheme="minorHAnsi"/>
          <w:sz w:val="24"/>
          <w:szCs w:val="24"/>
          <w:lang w:val="el-GR"/>
        </w:rPr>
        <w:t xml:space="preserve"> </w:t>
      </w:r>
      <w:r>
        <w:rPr>
          <w:rFonts w:cstheme="minorHAnsi"/>
          <w:sz w:val="24"/>
          <w:szCs w:val="24"/>
          <w:lang w:val="el-GR"/>
        </w:rPr>
        <w:t>άμεσα</w:t>
      </w:r>
      <w:r w:rsidRPr="00E84CE3">
        <w:rPr>
          <w:rFonts w:cstheme="minorHAnsi"/>
          <w:sz w:val="24"/>
          <w:szCs w:val="24"/>
          <w:lang w:val="el-GR"/>
        </w:rPr>
        <w:t xml:space="preserve"> </w:t>
      </w:r>
      <w:r>
        <w:rPr>
          <w:rFonts w:cstheme="minorHAnsi"/>
          <w:sz w:val="24"/>
          <w:szCs w:val="24"/>
          <w:lang w:val="el-GR"/>
        </w:rPr>
        <w:t>είτε</w:t>
      </w:r>
      <w:r w:rsidRPr="00E84CE3">
        <w:rPr>
          <w:rFonts w:cstheme="minorHAnsi"/>
          <w:sz w:val="24"/>
          <w:szCs w:val="24"/>
          <w:lang w:val="el-GR"/>
        </w:rPr>
        <w:t xml:space="preserve"> </w:t>
      </w:r>
      <w:r>
        <w:rPr>
          <w:rFonts w:cstheme="minorHAnsi"/>
          <w:sz w:val="24"/>
          <w:szCs w:val="24"/>
          <w:lang w:val="el-GR"/>
        </w:rPr>
        <w:t>έμμεσα</w:t>
      </w:r>
      <w:r w:rsidR="00220066" w:rsidRPr="00E84CE3">
        <w:rPr>
          <w:rFonts w:cstheme="minorHAnsi"/>
          <w:sz w:val="24"/>
          <w:szCs w:val="24"/>
          <w:lang w:val="el-GR"/>
        </w:rPr>
        <w:t xml:space="preserve"> </w:t>
      </w:r>
      <w:r>
        <w:rPr>
          <w:rFonts w:cstheme="minorHAnsi"/>
          <w:sz w:val="24"/>
          <w:szCs w:val="24"/>
          <w:lang w:val="el-GR"/>
        </w:rPr>
        <w:t>οποιαδήποτε</w:t>
      </w:r>
      <w:r w:rsidRPr="00E84CE3">
        <w:rPr>
          <w:rFonts w:cstheme="minorHAnsi"/>
          <w:sz w:val="24"/>
          <w:szCs w:val="24"/>
          <w:lang w:val="el-GR"/>
        </w:rPr>
        <w:t xml:space="preserve"> </w:t>
      </w:r>
      <w:r>
        <w:rPr>
          <w:rFonts w:cstheme="minorHAnsi"/>
          <w:sz w:val="24"/>
          <w:szCs w:val="24"/>
          <w:lang w:val="el-GR"/>
        </w:rPr>
        <w:t>κινητή</w:t>
      </w:r>
      <w:r w:rsidRPr="00E84CE3">
        <w:rPr>
          <w:rFonts w:cstheme="minorHAnsi"/>
          <w:sz w:val="24"/>
          <w:szCs w:val="24"/>
          <w:lang w:val="el-GR"/>
        </w:rPr>
        <w:t xml:space="preserve"> </w:t>
      </w:r>
      <w:r>
        <w:rPr>
          <w:rFonts w:cstheme="minorHAnsi"/>
          <w:sz w:val="24"/>
          <w:szCs w:val="24"/>
          <w:lang w:val="el-GR"/>
        </w:rPr>
        <w:t>ή</w:t>
      </w:r>
      <w:r w:rsidRPr="00E84CE3">
        <w:rPr>
          <w:rFonts w:cstheme="minorHAnsi"/>
          <w:sz w:val="24"/>
          <w:szCs w:val="24"/>
          <w:lang w:val="el-GR"/>
        </w:rPr>
        <w:t xml:space="preserve"> </w:t>
      </w:r>
      <w:r>
        <w:rPr>
          <w:rFonts w:cstheme="minorHAnsi"/>
          <w:sz w:val="24"/>
          <w:szCs w:val="24"/>
          <w:lang w:val="el-GR"/>
        </w:rPr>
        <w:t>ακίνητη</w:t>
      </w:r>
      <w:r w:rsidRPr="00E84CE3">
        <w:rPr>
          <w:rFonts w:cstheme="minorHAnsi"/>
          <w:sz w:val="24"/>
          <w:szCs w:val="24"/>
          <w:lang w:val="el-GR"/>
        </w:rPr>
        <w:t xml:space="preserve"> </w:t>
      </w:r>
      <w:r>
        <w:rPr>
          <w:rFonts w:cstheme="minorHAnsi"/>
          <w:sz w:val="24"/>
          <w:szCs w:val="24"/>
          <w:lang w:val="el-GR"/>
        </w:rPr>
        <w:t>περιουσία</w:t>
      </w:r>
      <w:r w:rsidR="00220066" w:rsidRPr="00E84CE3">
        <w:rPr>
          <w:rFonts w:cstheme="minorHAnsi"/>
          <w:sz w:val="24"/>
          <w:szCs w:val="24"/>
          <w:lang w:val="el-GR"/>
        </w:rPr>
        <w:t xml:space="preserve">, </w:t>
      </w:r>
      <w:proofErr w:type="spellStart"/>
      <w:r>
        <w:rPr>
          <w:rFonts w:cstheme="minorHAnsi"/>
          <w:sz w:val="24"/>
          <w:szCs w:val="24"/>
          <w:lang w:val="el-GR"/>
        </w:rPr>
        <w:t>εκμεταλλε</w:t>
      </w:r>
      <w:r w:rsidR="00996B8E">
        <w:rPr>
          <w:rFonts w:cstheme="minorHAnsi"/>
          <w:sz w:val="24"/>
          <w:szCs w:val="24"/>
          <w:lang w:val="el-GR"/>
        </w:rPr>
        <w:t>ύοντας</w:t>
      </w:r>
      <w:proofErr w:type="spellEnd"/>
      <w:r>
        <w:rPr>
          <w:rFonts w:cstheme="minorHAnsi"/>
          <w:sz w:val="24"/>
          <w:szCs w:val="24"/>
          <w:lang w:val="el-GR"/>
        </w:rPr>
        <w:t xml:space="preserve"> για τον σκοπό αυτό την θέση του/ης</w:t>
      </w:r>
      <w:r w:rsidR="00220066" w:rsidRPr="00E84CE3">
        <w:rPr>
          <w:rFonts w:cstheme="minorHAnsi"/>
          <w:sz w:val="24"/>
          <w:szCs w:val="24"/>
          <w:lang w:val="el-GR"/>
        </w:rPr>
        <w:t xml:space="preserve">, </w:t>
      </w:r>
      <w:r w:rsidR="00996B8E">
        <w:rPr>
          <w:rFonts w:cstheme="minorHAnsi"/>
          <w:sz w:val="24"/>
          <w:szCs w:val="24"/>
          <w:lang w:val="el-GR"/>
        </w:rPr>
        <w:t>ή να κατέχει μια τέτοια περιουσία</w:t>
      </w:r>
      <w:r w:rsidR="00220066" w:rsidRPr="00E84CE3">
        <w:rPr>
          <w:rFonts w:cstheme="minorHAnsi"/>
          <w:sz w:val="24"/>
          <w:szCs w:val="24"/>
          <w:lang w:val="el-GR"/>
        </w:rPr>
        <w:t xml:space="preserve"> </w:t>
      </w:r>
      <w:r w:rsidR="00996B8E">
        <w:rPr>
          <w:rFonts w:cstheme="minorHAnsi"/>
          <w:sz w:val="24"/>
          <w:szCs w:val="24"/>
          <w:lang w:val="el-GR"/>
        </w:rPr>
        <w:t>όπου τα προσωπικά του/ης συμφέροντα</w:t>
      </w:r>
      <w:r w:rsidR="00220066" w:rsidRPr="00E84CE3">
        <w:rPr>
          <w:rFonts w:cstheme="minorHAnsi"/>
          <w:sz w:val="24"/>
          <w:szCs w:val="24"/>
          <w:lang w:val="el-GR"/>
        </w:rPr>
        <w:t xml:space="preserve"> </w:t>
      </w:r>
      <w:r w:rsidR="00996B8E">
        <w:rPr>
          <w:rFonts w:cstheme="minorHAnsi"/>
          <w:sz w:val="24"/>
          <w:szCs w:val="24"/>
          <w:lang w:val="el-GR"/>
        </w:rPr>
        <w:t>σε μια τέτοια περιουσία</w:t>
      </w:r>
      <w:r w:rsidR="00220066" w:rsidRPr="00E84CE3">
        <w:rPr>
          <w:rFonts w:cstheme="minorHAnsi"/>
          <w:sz w:val="24"/>
          <w:szCs w:val="24"/>
          <w:lang w:val="el-GR"/>
        </w:rPr>
        <w:t xml:space="preserve"> </w:t>
      </w:r>
      <w:r w:rsidR="00996B8E">
        <w:rPr>
          <w:rFonts w:cstheme="minorHAnsi"/>
          <w:sz w:val="24"/>
          <w:szCs w:val="24"/>
          <w:lang w:val="el-GR"/>
        </w:rPr>
        <w:t>είναι σε σύγκρουση</w:t>
      </w:r>
      <w:r w:rsidR="00220066" w:rsidRPr="00E84CE3">
        <w:rPr>
          <w:rFonts w:cstheme="minorHAnsi"/>
          <w:sz w:val="24"/>
          <w:szCs w:val="24"/>
          <w:lang w:val="el-GR"/>
        </w:rPr>
        <w:t xml:space="preserve"> </w:t>
      </w:r>
      <w:r w:rsidR="00996B8E">
        <w:rPr>
          <w:rFonts w:cstheme="minorHAnsi"/>
          <w:sz w:val="24"/>
          <w:szCs w:val="24"/>
          <w:lang w:val="el-GR"/>
        </w:rPr>
        <w:t>με τα δημόσια καθήκοντα του/ης</w:t>
      </w:r>
      <w:r w:rsidR="00220066" w:rsidRPr="00E84CE3">
        <w:rPr>
          <w:rFonts w:cstheme="minorHAnsi"/>
          <w:sz w:val="24"/>
          <w:szCs w:val="24"/>
          <w:lang w:val="el-GR"/>
        </w:rPr>
        <w:t>.</w:t>
      </w:r>
    </w:p>
    <w:p w14:paraId="347FD471" w14:textId="77777777" w:rsidR="00220066" w:rsidRPr="00E84CE3" w:rsidRDefault="00220066" w:rsidP="00220066">
      <w:pPr>
        <w:tabs>
          <w:tab w:val="left" w:pos="709"/>
        </w:tabs>
        <w:rPr>
          <w:rFonts w:cstheme="minorHAnsi"/>
          <w:sz w:val="24"/>
          <w:szCs w:val="24"/>
          <w:lang w:val="el-GR"/>
        </w:rPr>
      </w:pPr>
    </w:p>
    <w:p w14:paraId="2705BB0F" w14:textId="53DA9120" w:rsidR="00220066" w:rsidRPr="00C43E71" w:rsidRDefault="00C43E71" w:rsidP="00220066">
      <w:pPr>
        <w:numPr>
          <w:ilvl w:val="0"/>
          <w:numId w:val="1"/>
        </w:numPr>
        <w:tabs>
          <w:tab w:val="left" w:pos="709"/>
        </w:tabs>
        <w:ind w:left="0" w:firstLine="0"/>
        <w:rPr>
          <w:rFonts w:cstheme="minorHAnsi"/>
          <w:sz w:val="24"/>
          <w:szCs w:val="24"/>
          <w:lang w:val="el-GR"/>
        </w:rPr>
      </w:pPr>
      <w:r>
        <w:rPr>
          <w:rFonts w:cstheme="minorHAnsi"/>
          <w:sz w:val="24"/>
          <w:szCs w:val="24"/>
          <w:lang w:val="el-GR"/>
        </w:rPr>
        <w:t>Σε</w:t>
      </w:r>
      <w:r w:rsidRPr="00C43E71">
        <w:rPr>
          <w:rFonts w:cstheme="minorHAnsi"/>
          <w:sz w:val="24"/>
          <w:szCs w:val="24"/>
          <w:lang w:val="el-GR"/>
        </w:rPr>
        <w:t xml:space="preserve"> </w:t>
      </w:r>
      <w:r>
        <w:rPr>
          <w:rFonts w:cstheme="minorHAnsi"/>
          <w:sz w:val="24"/>
          <w:szCs w:val="24"/>
          <w:lang w:val="el-GR"/>
        </w:rPr>
        <w:t>περίπτωση</w:t>
      </w:r>
      <w:r w:rsidRPr="00C43E71">
        <w:rPr>
          <w:rFonts w:cstheme="minorHAnsi"/>
          <w:sz w:val="24"/>
          <w:szCs w:val="24"/>
          <w:lang w:val="el-GR"/>
        </w:rPr>
        <w:t xml:space="preserve"> </w:t>
      </w:r>
      <w:r>
        <w:rPr>
          <w:rFonts w:cstheme="minorHAnsi"/>
          <w:sz w:val="24"/>
          <w:szCs w:val="24"/>
          <w:lang w:val="el-GR"/>
        </w:rPr>
        <w:t>που</w:t>
      </w:r>
      <w:r w:rsidRPr="00C43E71">
        <w:rPr>
          <w:rFonts w:cstheme="minorHAnsi"/>
          <w:sz w:val="24"/>
          <w:szCs w:val="24"/>
          <w:lang w:val="el-GR"/>
        </w:rPr>
        <w:t xml:space="preserve"> </w:t>
      </w:r>
      <w:r>
        <w:rPr>
          <w:rFonts w:cstheme="minorHAnsi"/>
          <w:sz w:val="24"/>
          <w:szCs w:val="24"/>
          <w:lang w:val="el-GR"/>
        </w:rPr>
        <w:t>ένα</w:t>
      </w:r>
      <w:r w:rsidRPr="00C43E71">
        <w:rPr>
          <w:rFonts w:cstheme="minorHAnsi"/>
          <w:sz w:val="24"/>
          <w:szCs w:val="24"/>
          <w:lang w:val="el-GR"/>
        </w:rPr>
        <w:t xml:space="preserve"> </w:t>
      </w:r>
      <w:r>
        <w:rPr>
          <w:rFonts w:cstheme="minorHAnsi"/>
          <w:sz w:val="24"/>
          <w:szCs w:val="24"/>
          <w:lang w:val="el-GR"/>
        </w:rPr>
        <w:t>μέλος</w:t>
      </w:r>
      <w:r w:rsidRPr="00C43E71">
        <w:rPr>
          <w:rFonts w:cstheme="minorHAnsi"/>
          <w:sz w:val="24"/>
          <w:szCs w:val="24"/>
          <w:lang w:val="el-GR"/>
        </w:rPr>
        <w:t xml:space="preserve"> </w:t>
      </w:r>
      <w:r>
        <w:rPr>
          <w:rFonts w:cstheme="minorHAnsi"/>
          <w:sz w:val="24"/>
          <w:szCs w:val="24"/>
          <w:lang w:val="el-GR"/>
        </w:rPr>
        <w:t>της</w:t>
      </w:r>
      <w:r w:rsidRPr="00C43E71">
        <w:rPr>
          <w:rFonts w:cstheme="minorHAnsi"/>
          <w:sz w:val="24"/>
          <w:szCs w:val="24"/>
          <w:lang w:val="el-GR"/>
        </w:rPr>
        <w:t xml:space="preserve"> </w:t>
      </w:r>
      <w:r>
        <w:rPr>
          <w:rFonts w:cstheme="minorHAnsi"/>
          <w:sz w:val="24"/>
          <w:szCs w:val="24"/>
          <w:lang w:val="el-GR"/>
        </w:rPr>
        <w:t>οικογένειας</w:t>
      </w:r>
      <w:r w:rsidR="00220066" w:rsidRPr="00C43E71">
        <w:rPr>
          <w:rFonts w:cstheme="minorHAnsi"/>
          <w:sz w:val="24"/>
          <w:szCs w:val="24"/>
          <w:lang w:val="el-GR"/>
        </w:rPr>
        <w:t xml:space="preserve"> (</w:t>
      </w:r>
      <w:r>
        <w:rPr>
          <w:rFonts w:cstheme="minorHAnsi"/>
          <w:sz w:val="24"/>
          <w:szCs w:val="24"/>
          <w:lang w:val="el-GR"/>
        </w:rPr>
        <w:t>σύζυγος</w:t>
      </w:r>
      <w:r w:rsidRPr="00C43E71">
        <w:rPr>
          <w:rFonts w:cstheme="minorHAnsi"/>
          <w:sz w:val="24"/>
          <w:szCs w:val="24"/>
          <w:lang w:val="el-GR"/>
        </w:rPr>
        <w:t xml:space="preserve"> </w:t>
      </w:r>
      <w:r>
        <w:rPr>
          <w:rFonts w:cstheme="minorHAnsi"/>
          <w:sz w:val="24"/>
          <w:szCs w:val="24"/>
          <w:lang w:val="el-GR"/>
        </w:rPr>
        <w:t>και</w:t>
      </w:r>
      <w:r w:rsidRPr="00C43E71">
        <w:rPr>
          <w:rFonts w:cstheme="minorHAnsi"/>
          <w:sz w:val="24"/>
          <w:szCs w:val="24"/>
          <w:lang w:val="el-GR"/>
        </w:rPr>
        <w:t xml:space="preserve"> </w:t>
      </w:r>
      <w:r>
        <w:rPr>
          <w:rFonts w:cstheme="minorHAnsi"/>
          <w:sz w:val="24"/>
          <w:szCs w:val="24"/>
          <w:lang w:val="el-GR"/>
        </w:rPr>
        <w:t>παιδιά</w:t>
      </w:r>
      <w:r w:rsidRPr="00C43E71">
        <w:rPr>
          <w:rFonts w:cstheme="minorHAnsi"/>
          <w:sz w:val="24"/>
          <w:szCs w:val="24"/>
          <w:lang w:val="el-GR"/>
        </w:rPr>
        <w:t xml:space="preserve"> </w:t>
      </w:r>
      <w:r>
        <w:rPr>
          <w:rFonts w:cstheme="minorHAnsi"/>
          <w:sz w:val="24"/>
          <w:szCs w:val="24"/>
          <w:lang w:val="el-GR"/>
        </w:rPr>
        <w:t>που</w:t>
      </w:r>
      <w:r w:rsidRPr="00C43E71">
        <w:rPr>
          <w:rFonts w:cstheme="minorHAnsi"/>
          <w:sz w:val="24"/>
          <w:szCs w:val="24"/>
          <w:lang w:val="el-GR"/>
        </w:rPr>
        <w:t xml:space="preserve"> </w:t>
      </w:r>
      <w:r>
        <w:rPr>
          <w:rFonts w:cstheme="minorHAnsi"/>
          <w:sz w:val="24"/>
          <w:szCs w:val="24"/>
          <w:lang w:val="el-GR"/>
        </w:rPr>
        <w:t>συζούν</w:t>
      </w:r>
      <w:r w:rsidR="00220066" w:rsidRPr="00C43E71">
        <w:rPr>
          <w:rFonts w:cstheme="minorHAnsi"/>
          <w:sz w:val="24"/>
          <w:szCs w:val="24"/>
          <w:lang w:val="el-GR"/>
        </w:rPr>
        <w:t xml:space="preserve">) </w:t>
      </w:r>
      <w:r>
        <w:rPr>
          <w:rFonts w:cstheme="minorHAnsi"/>
          <w:sz w:val="24"/>
          <w:szCs w:val="24"/>
          <w:lang w:val="el-GR"/>
        </w:rPr>
        <w:t>διατηρεί</w:t>
      </w:r>
      <w:r w:rsidRPr="00C43E71">
        <w:rPr>
          <w:rFonts w:cstheme="minorHAnsi"/>
          <w:sz w:val="24"/>
          <w:szCs w:val="24"/>
          <w:lang w:val="el-GR"/>
        </w:rPr>
        <w:t xml:space="preserve"> </w:t>
      </w:r>
      <w:r>
        <w:rPr>
          <w:rFonts w:cstheme="minorHAnsi"/>
          <w:sz w:val="24"/>
          <w:szCs w:val="24"/>
          <w:lang w:val="el-GR"/>
        </w:rPr>
        <w:t>ένα</w:t>
      </w:r>
      <w:r w:rsidRPr="00C43E71">
        <w:rPr>
          <w:rFonts w:cstheme="minorHAnsi"/>
          <w:sz w:val="24"/>
          <w:szCs w:val="24"/>
          <w:lang w:val="el-GR"/>
        </w:rPr>
        <w:t xml:space="preserve"> </w:t>
      </w:r>
      <w:r>
        <w:rPr>
          <w:rFonts w:cstheme="minorHAnsi"/>
          <w:sz w:val="24"/>
          <w:szCs w:val="24"/>
          <w:lang w:val="el-GR"/>
        </w:rPr>
        <w:t>κατάστημα</w:t>
      </w:r>
      <w:r w:rsidRPr="00C43E71">
        <w:rPr>
          <w:rFonts w:cstheme="minorHAnsi"/>
          <w:sz w:val="24"/>
          <w:szCs w:val="24"/>
          <w:lang w:val="el-GR"/>
        </w:rPr>
        <w:t xml:space="preserve"> </w:t>
      </w:r>
      <w:r>
        <w:rPr>
          <w:rFonts w:cstheme="minorHAnsi"/>
          <w:sz w:val="24"/>
          <w:szCs w:val="24"/>
          <w:lang w:val="el-GR"/>
        </w:rPr>
        <w:t>ή</w:t>
      </w:r>
      <w:r w:rsidRPr="00C43E71">
        <w:rPr>
          <w:rFonts w:cstheme="minorHAnsi"/>
          <w:sz w:val="24"/>
          <w:szCs w:val="24"/>
          <w:lang w:val="el-GR"/>
        </w:rPr>
        <w:t xml:space="preserve"> </w:t>
      </w:r>
      <w:r>
        <w:rPr>
          <w:rFonts w:cstheme="minorHAnsi"/>
          <w:sz w:val="24"/>
          <w:szCs w:val="24"/>
          <w:lang w:val="el-GR"/>
        </w:rPr>
        <w:t>εμπορεύεται</w:t>
      </w:r>
      <w:r w:rsidR="00220066" w:rsidRPr="00C43E71">
        <w:rPr>
          <w:rFonts w:cstheme="minorHAnsi"/>
          <w:sz w:val="24"/>
          <w:szCs w:val="24"/>
          <w:lang w:val="el-GR"/>
        </w:rPr>
        <w:t xml:space="preserve">, </w:t>
      </w:r>
      <w:r>
        <w:rPr>
          <w:rFonts w:cstheme="minorHAnsi"/>
          <w:sz w:val="24"/>
          <w:szCs w:val="24"/>
          <w:lang w:val="el-GR"/>
        </w:rPr>
        <w:t>ή σκοπεύει να ανοίξει ή να λειτουργήσει ένα κατάστημα</w:t>
      </w:r>
      <w:r w:rsidR="00220066" w:rsidRPr="00C43E71">
        <w:rPr>
          <w:rFonts w:cstheme="minorHAnsi"/>
          <w:sz w:val="24"/>
          <w:szCs w:val="24"/>
          <w:lang w:val="el-GR"/>
        </w:rPr>
        <w:t xml:space="preserve">, </w:t>
      </w:r>
      <w:r>
        <w:rPr>
          <w:rFonts w:cstheme="minorHAnsi"/>
          <w:sz w:val="24"/>
          <w:szCs w:val="24"/>
          <w:lang w:val="el-GR"/>
        </w:rPr>
        <w:t xml:space="preserve">ο ενδιαφερόμενος ΑΕΝ πρέπει να δώσει γραπτή ειδοποίηση στον Αρχηγό της </w:t>
      </w:r>
      <w:r w:rsidR="009C4E34">
        <w:rPr>
          <w:rFonts w:cstheme="minorHAnsi"/>
          <w:sz w:val="24"/>
          <w:szCs w:val="24"/>
          <w:lang w:val="el-GR"/>
        </w:rPr>
        <w:t>Αστυνομία</w:t>
      </w:r>
      <w:r>
        <w:rPr>
          <w:rFonts w:cstheme="minorHAnsi"/>
          <w:sz w:val="24"/>
          <w:szCs w:val="24"/>
          <w:lang w:val="el-GR"/>
        </w:rPr>
        <w:t>ς</w:t>
      </w:r>
      <w:r w:rsidR="00220066" w:rsidRPr="00C43E71">
        <w:rPr>
          <w:rFonts w:cstheme="minorHAnsi"/>
          <w:sz w:val="24"/>
          <w:szCs w:val="24"/>
          <w:lang w:val="el-GR"/>
        </w:rPr>
        <w:t>.</w:t>
      </w:r>
    </w:p>
    <w:p w14:paraId="1817E05A" w14:textId="77777777" w:rsidR="00220066" w:rsidRPr="00C43E71" w:rsidRDefault="00220066" w:rsidP="00220066">
      <w:pPr>
        <w:tabs>
          <w:tab w:val="left" w:pos="709"/>
        </w:tabs>
        <w:rPr>
          <w:rFonts w:cstheme="minorHAnsi"/>
          <w:sz w:val="24"/>
          <w:szCs w:val="24"/>
          <w:lang w:val="el-GR"/>
        </w:rPr>
      </w:pPr>
    </w:p>
    <w:p w14:paraId="0511946A" w14:textId="0CD6CACD" w:rsidR="00220066" w:rsidRPr="00941CE0" w:rsidRDefault="00C43E71" w:rsidP="00220066">
      <w:pPr>
        <w:numPr>
          <w:ilvl w:val="0"/>
          <w:numId w:val="1"/>
        </w:numPr>
        <w:tabs>
          <w:tab w:val="left" w:pos="709"/>
        </w:tabs>
        <w:ind w:left="0" w:firstLine="0"/>
        <w:rPr>
          <w:rFonts w:cstheme="minorHAnsi"/>
          <w:sz w:val="24"/>
          <w:szCs w:val="24"/>
          <w:lang w:val="el-GR"/>
        </w:rPr>
      </w:pPr>
      <w:r>
        <w:rPr>
          <w:rFonts w:cstheme="minorHAnsi"/>
          <w:sz w:val="24"/>
          <w:szCs w:val="24"/>
          <w:lang w:val="el-GR"/>
        </w:rPr>
        <w:t>Οι</w:t>
      </w:r>
      <w:r w:rsidRPr="00C43E71">
        <w:rPr>
          <w:rFonts w:cstheme="minorHAnsi"/>
          <w:sz w:val="24"/>
          <w:szCs w:val="24"/>
          <w:lang w:val="el-GR"/>
        </w:rPr>
        <w:t xml:space="preserve"> </w:t>
      </w:r>
      <w:r>
        <w:rPr>
          <w:rFonts w:cstheme="minorHAnsi"/>
          <w:sz w:val="24"/>
          <w:szCs w:val="24"/>
          <w:lang w:val="el-GR"/>
        </w:rPr>
        <w:t>ψηλές</w:t>
      </w:r>
      <w:r w:rsidRPr="00C43E71">
        <w:rPr>
          <w:rFonts w:cstheme="minorHAnsi"/>
          <w:sz w:val="24"/>
          <w:szCs w:val="24"/>
          <w:lang w:val="el-GR"/>
        </w:rPr>
        <w:t xml:space="preserve"> </w:t>
      </w:r>
      <w:r>
        <w:rPr>
          <w:rFonts w:cstheme="minorHAnsi"/>
          <w:sz w:val="24"/>
          <w:szCs w:val="24"/>
          <w:lang w:val="el-GR"/>
        </w:rPr>
        <w:t>βαθμίδες</w:t>
      </w:r>
      <w:r w:rsidRPr="00C43E71">
        <w:rPr>
          <w:rFonts w:cstheme="minorHAnsi"/>
          <w:sz w:val="24"/>
          <w:szCs w:val="24"/>
          <w:lang w:val="el-GR"/>
        </w:rPr>
        <w:t xml:space="preserve"> </w:t>
      </w:r>
      <w:r>
        <w:rPr>
          <w:rFonts w:cstheme="minorHAnsi"/>
          <w:sz w:val="24"/>
          <w:szCs w:val="24"/>
          <w:lang w:val="el-GR"/>
        </w:rPr>
        <w:t>των</w:t>
      </w:r>
      <w:r w:rsidRPr="00C43E71">
        <w:rPr>
          <w:rFonts w:cstheme="minorHAnsi"/>
          <w:sz w:val="24"/>
          <w:szCs w:val="24"/>
          <w:lang w:val="el-GR"/>
        </w:rPr>
        <w:t xml:space="preserve"> </w:t>
      </w:r>
      <w:r>
        <w:rPr>
          <w:rFonts w:cstheme="minorHAnsi"/>
          <w:sz w:val="24"/>
          <w:szCs w:val="24"/>
          <w:lang w:val="el-GR"/>
        </w:rPr>
        <w:t>ΑΕΝ</w:t>
      </w:r>
      <w:r w:rsidR="00220066" w:rsidRPr="00C43E71">
        <w:rPr>
          <w:rFonts w:cstheme="minorHAnsi"/>
          <w:sz w:val="24"/>
          <w:szCs w:val="24"/>
          <w:lang w:val="el-GR"/>
        </w:rPr>
        <w:t xml:space="preserve"> (</w:t>
      </w:r>
      <w:r>
        <w:rPr>
          <w:rFonts w:cstheme="minorHAnsi"/>
          <w:sz w:val="24"/>
          <w:szCs w:val="24"/>
          <w:lang w:val="el-GR"/>
        </w:rPr>
        <w:t>Αστυνόμος</w:t>
      </w:r>
      <w:r w:rsidR="00220066" w:rsidRPr="00C43E71">
        <w:rPr>
          <w:rFonts w:cstheme="minorHAnsi"/>
          <w:sz w:val="24"/>
          <w:szCs w:val="24"/>
          <w:lang w:val="el-GR"/>
        </w:rPr>
        <w:t xml:space="preserve"> </w:t>
      </w:r>
      <w:r w:rsidR="00220066" w:rsidRPr="004E251E">
        <w:rPr>
          <w:rFonts w:cstheme="minorHAnsi"/>
          <w:sz w:val="24"/>
          <w:szCs w:val="24"/>
        </w:rPr>
        <w:t>A</w:t>
      </w:r>
      <w:r w:rsidR="00220066" w:rsidRPr="00C43E71">
        <w:rPr>
          <w:rFonts w:cstheme="minorHAnsi"/>
          <w:sz w:val="24"/>
          <w:szCs w:val="24"/>
          <w:lang w:val="el-GR"/>
        </w:rPr>
        <w:t xml:space="preserve">13 </w:t>
      </w:r>
      <w:r>
        <w:rPr>
          <w:rFonts w:cstheme="minorHAnsi"/>
          <w:sz w:val="24"/>
          <w:szCs w:val="24"/>
          <w:lang w:val="el-GR"/>
        </w:rPr>
        <w:t>και</w:t>
      </w:r>
      <w:r w:rsidRPr="00C43E71">
        <w:rPr>
          <w:rFonts w:cstheme="minorHAnsi"/>
          <w:sz w:val="24"/>
          <w:szCs w:val="24"/>
          <w:lang w:val="el-GR"/>
        </w:rPr>
        <w:t xml:space="preserve"> </w:t>
      </w:r>
      <w:r>
        <w:rPr>
          <w:rFonts w:cstheme="minorHAnsi"/>
          <w:sz w:val="24"/>
          <w:szCs w:val="24"/>
          <w:lang w:val="el-GR"/>
        </w:rPr>
        <w:t>πάνω</w:t>
      </w:r>
      <w:r w:rsidR="00220066" w:rsidRPr="00C43E71">
        <w:rPr>
          <w:rFonts w:cstheme="minorHAnsi"/>
          <w:sz w:val="24"/>
          <w:szCs w:val="24"/>
          <w:lang w:val="el-GR"/>
        </w:rPr>
        <w:t xml:space="preserve">) </w:t>
      </w:r>
      <w:r>
        <w:rPr>
          <w:rFonts w:cstheme="minorHAnsi"/>
          <w:sz w:val="24"/>
          <w:szCs w:val="24"/>
          <w:lang w:val="el-GR"/>
        </w:rPr>
        <w:t>πρέπει</w:t>
      </w:r>
      <w:r w:rsidRPr="00C43E71">
        <w:rPr>
          <w:rFonts w:cstheme="minorHAnsi"/>
          <w:sz w:val="24"/>
          <w:szCs w:val="24"/>
          <w:lang w:val="el-GR"/>
        </w:rPr>
        <w:t xml:space="preserve"> </w:t>
      </w:r>
      <w:r w:rsidR="004E0646">
        <w:rPr>
          <w:rFonts w:cstheme="minorHAnsi"/>
          <w:sz w:val="24"/>
          <w:szCs w:val="24"/>
          <w:lang w:val="el-GR"/>
        </w:rPr>
        <w:t xml:space="preserve">μετά την  αφυπηρέτηση τους να περάσουν </w:t>
      </w:r>
      <w:r w:rsidRPr="00C43E71">
        <w:rPr>
          <w:rFonts w:cstheme="minorHAnsi"/>
          <w:sz w:val="24"/>
          <w:szCs w:val="24"/>
          <w:lang w:val="el-GR"/>
        </w:rPr>
        <w:t xml:space="preserve"> </w:t>
      </w:r>
      <w:r>
        <w:rPr>
          <w:rFonts w:cstheme="minorHAnsi"/>
          <w:sz w:val="24"/>
          <w:szCs w:val="24"/>
          <w:lang w:val="el-GR"/>
        </w:rPr>
        <w:t>μια</w:t>
      </w:r>
      <w:r w:rsidRPr="00C43E71">
        <w:rPr>
          <w:rFonts w:cstheme="minorHAnsi"/>
          <w:sz w:val="24"/>
          <w:szCs w:val="24"/>
          <w:lang w:val="el-GR"/>
        </w:rPr>
        <w:t xml:space="preserve"> </w:t>
      </w:r>
      <w:r>
        <w:rPr>
          <w:rFonts w:cstheme="minorHAnsi"/>
          <w:sz w:val="24"/>
          <w:szCs w:val="24"/>
          <w:lang w:val="el-GR"/>
        </w:rPr>
        <w:t>περίοδο</w:t>
      </w:r>
      <w:r w:rsidRPr="00C43E71">
        <w:rPr>
          <w:rFonts w:cstheme="minorHAnsi"/>
          <w:sz w:val="24"/>
          <w:szCs w:val="24"/>
          <w:lang w:val="el-GR"/>
        </w:rPr>
        <w:t xml:space="preserve"> </w:t>
      </w:r>
      <w:r>
        <w:rPr>
          <w:rFonts w:cstheme="minorHAnsi"/>
          <w:sz w:val="24"/>
          <w:szCs w:val="24"/>
          <w:lang w:val="el-GR"/>
        </w:rPr>
        <w:t>χαλάρωσης δύο</w:t>
      </w:r>
      <w:r w:rsidRPr="00C43E71">
        <w:rPr>
          <w:rFonts w:cstheme="minorHAnsi"/>
          <w:sz w:val="24"/>
          <w:szCs w:val="24"/>
          <w:lang w:val="el-GR"/>
        </w:rPr>
        <w:t xml:space="preserve"> </w:t>
      </w:r>
      <w:r>
        <w:rPr>
          <w:rFonts w:cstheme="minorHAnsi"/>
          <w:sz w:val="24"/>
          <w:szCs w:val="24"/>
          <w:lang w:val="el-GR"/>
        </w:rPr>
        <w:t>χρόνων</w:t>
      </w:r>
      <w:r w:rsidR="00220066" w:rsidRPr="00C43E71">
        <w:rPr>
          <w:rFonts w:cstheme="minorHAnsi"/>
          <w:sz w:val="24"/>
          <w:szCs w:val="24"/>
          <w:lang w:val="el-GR"/>
        </w:rPr>
        <w:t xml:space="preserve"> (</w:t>
      </w:r>
      <w:r>
        <w:rPr>
          <w:rFonts w:cstheme="minorHAnsi"/>
          <w:sz w:val="24"/>
          <w:szCs w:val="24"/>
          <w:lang w:val="el-GR"/>
        </w:rPr>
        <w:t>βλέπε επίσης το μέρος της έκθεσης αυτής για άτομα με ΨΕ</w:t>
      </w:r>
      <w:r w:rsidR="00941CE0">
        <w:rPr>
          <w:rFonts w:cstheme="minorHAnsi"/>
          <w:sz w:val="24"/>
          <w:szCs w:val="24"/>
          <w:lang w:val="el-GR"/>
        </w:rPr>
        <w:t>Λ</w:t>
      </w:r>
      <w:r w:rsidR="00220066" w:rsidRPr="00C43E71">
        <w:rPr>
          <w:rFonts w:cstheme="minorHAnsi"/>
          <w:sz w:val="24"/>
          <w:szCs w:val="24"/>
          <w:lang w:val="el-GR"/>
        </w:rPr>
        <w:t xml:space="preserve">). </w:t>
      </w:r>
      <w:r w:rsidR="00941CE0">
        <w:rPr>
          <w:rFonts w:cstheme="minorHAnsi"/>
          <w:sz w:val="24"/>
          <w:szCs w:val="24"/>
          <w:lang w:val="el-GR"/>
        </w:rPr>
        <w:t>Δεν</w:t>
      </w:r>
      <w:r w:rsidR="00941CE0" w:rsidRPr="00941CE0">
        <w:rPr>
          <w:rFonts w:cstheme="minorHAnsi"/>
          <w:sz w:val="24"/>
          <w:szCs w:val="24"/>
          <w:lang w:val="el-GR"/>
        </w:rPr>
        <w:t xml:space="preserve"> </w:t>
      </w:r>
      <w:r w:rsidR="00941CE0">
        <w:rPr>
          <w:rFonts w:cstheme="minorHAnsi"/>
          <w:sz w:val="24"/>
          <w:szCs w:val="24"/>
          <w:lang w:val="el-GR"/>
        </w:rPr>
        <w:t>υπάρχουν</w:t>
      </w:r>
      <w:r w:rsidR="00941CE0" w:rsidRPr="00941CE0">
        <w:rPr>
          <w:rFonts w:cstheme="minorHAnsi"/>
          <w:sz w:val="24"/>
          <w:szCs w:val="24"/>
          <w:lang w:val="el-GR"/>
        </w:rPr>
        <w:t xml:space="preserve"> </w:t>
      </w:r>
      <w:r w:rsidR="00941CE0">
        <w:rPr>
          <w:rFonts w:cstheme="minorHAnsi"/>
          <w:sz w:val="24"/>
          <w:szCs w:val="24"/>
          <w:lang w:val="el-GR"/>
        </w:rPr>
        <w:t>άλλοι</w:t>
      </w:r>
      <w:r w:rsidR="00941CE0" w:rsidRPr="00941CE0">
        <w:rPr>
          <w:rFonts w:cstheme="minorHAnsi"/>
          <w:sz w:val="24"/>
          <w:szCs w:val="24"/>
          <w:lang w:val="el-GR"/>
        </w:rPr>
        <w:t xml:space="preserve"> </w:t>
      </w:r>
      <w:r w:rsidR="00941CE0">
        <w:rPr>
          <w:rFonts w:cstheme="minorHAnsi"/>
          <w:sz w:val="24"/>
          <w:szCs w:val="24"/>
          <w:lang w:val="el-GR"/>
        </w:rPr>
        <w:t>εφαρμόσιμοι</w:t>
      </w:r>
      <w:r w:rsidR="00941CE0" w:rsidRPr="00941CE0">
        <w:rPr>
          <w:rFonts w:cstheme="minorHAnsi"/>
          <w:sz w:val="24"/>
          <w:szCs w:val="24"/>
          <w:lang w:val="el-GR"/>
        </w:rPr>
        <w:t xml:space="preserve"> </w:t>
      </w:r>
      <w:r w:rsidR="00941CE0">
        <w:rPr>
          <w:rFonts w:cstheme="minorHAnsi"/>
          <w:sz w:val="24"/>
          <w:szCs w:val="24"/>
          <w:lang w:val="el-GR"/>
        </w:rPr>
        <w:t>κανόνες</w:t>
      </w:r>
      <w:r w:rsidR="00220066" w:rsidRPr="00941CE0">
        <w:rPr>
          <w:rFonts w:cstheme="minorHAnsi"/>
          <w:sz w:val="24"/>
          <w:szCs w:val="24"/>
          <w:lang w:val="el-GR"/>
        </w:rPr>
        <w:t xml:space="preserve"> </w:t>
      </w:r>
      <w:r w:rsidR="00941CE0">
        <w:rPr>
          <w:rFonts w:cstheme="minorHAnsi"/>
          <w:sz w:val="24"/>
          <w:szCs w:val="24"/>
          <w:lang w:val="el-GR"/>
        </w:rPr>
        <w:t>που</w:t>
      </w:r>
      <w:r w:rsidR="00941CE0" w:rsidRPr="00941CE0">
        <w:rPr>
          <w:rFonts w:cstheme="minorHAnsi"/>
          <w:sz w:val="24"/>
          <w:szCs w:val="24"/>
          <w:lang w:val="el-GR"/>
        </w:rPr>
        <w:t xml:space="preserve"> </w:t>
      </w:r>
      <w:r w:rsidR="00941CE0">
        <w:rPr>
          <w:rFonts w:cstheme="minorHAnsi"/>
          <w:sz w:val="24"/>
          <w:szCs w:val="24"/>
          <w:lang w:val="el-GR"/>
        </w:rPr>
        <w:t>ρυθμίζουν</w:t>
      </w:r>
      <w:r w:rsidR="00941CE0" w:rsidRPr="00941CE0">
        <w:rPr>
          <w:rFonts w:cstheme="minorHAnsi"/>
          <w:sz w:val="24"/>
          <w:szCs w:val="24"/>
          <w:lang w:val="el-GR"/>
        </w:rPr>
        <w:t xml:space="preserve"> </w:t>
      </w:r>
      <w:r w:rsidR="00941CE0">
        <w:rPr>
          <w:rFonts w:cstheme="minorHAnsi"/>
          <w:sz w:val="24"/>
          <w:szCs w:val="24"/>
          <w:lang w:val="el-GR"/>
        </w:rPr>
        <w:t>την</w:t>
      </w:r>
      <w:r w:rsidR="00941CE0" w:rsidRPr="00941CE0">
        <w:rPr>
          <w:rFonts w:cstheme="minorHAnsi"/>
          <w:sz w:val="24"/>
          <w:szCs w:val="24"/>
          <w:lang w:val="el-GR"/>
        </w:rPr>
        <w:t xml:space="preserve"> </w:t>
      </w:r>
      <w:proofErr w:type="spellStart"/>
      <w:r w:rsidR="00941CE0">
        <w:rPr>
          <w:rFonts w:cstheme="minorHAnsi"/>
          <w:sz w:val="24"/>
          <w:szCs w:val="24"/>
          <w:lang w:val="el-GR"/>
        </w:rPr>
        <w:t>εργοδότηση</w:t>
      </w:r>
      <w:proofErr w:type="spellEnd"/>
      <w:r w:rsidR="00941CE0">
        <w:rPr>
          <w:rFonts w:cstheme="minorHAnsi"/>
          <w:sz w:val="24"/>
          <w:szCs w:val="24"/>
          <w:lang w:val="el-GR"/>
        </w:rPr>
        <w:t xml:space="preserve"> ή </w:t>
      </w:r>
      <w:r w:rsidR="00937A79">
        <w:rPr>
          <w:rFonts w:cstheme="minorHAnsi"/>
          <w:sz w:val="24"/>
          <w:szCs w:val="24"/>
          <w:lang w:val="el-GR"/>
        </w:rPr>
        <w:t>την ε</w:t>
      </w:r>
      <w:r w:rsidR="00941CE0">
        <w:rPr>
          <w:rFonts w:cstheme="minorHAnsi"/>
          <w:sz w:val="24"/>
          <w:szCs w:val="24"/>
          <w:lang w:val="el-GR"/>
        </w:rPr>
        <w:t>νασχόληση των ΑΕΝ</w:t>
      </w:r>
      <w:r w:rsidR="00220066" w:rsidRPr="00941CE0">
        <w:rPr>
          <w:rFonts w:cstheme="minorHAnsi"/>
          <w:sz w:val="24"/>
          <w:szCs w:val="24"/>
          <w:lang w:val="el-GR"/>
        </w:rPr>
        <w:t xml:space="preserve"> </w:t>
      </w:r>
      <w:r w:rsidR="00941CE0">
        <w:rPr>
          <w:rFonts w:cstheme="minorHAnsi"/>
          <w:sz w:val="24"/>
          <w:szCs w:val="24"/>
          <w:lang w:val="el-GR"/>
        </w:rPr>
        <w:t xml:space="preserve">αφού απομακρυνθούν από την </w:t>
      </w:r>
      <w:r w:rsidR="009C4E34">
        <w:rPr>
          <w:rFonts w:cstheme="minorHAnsi"/>
          <w:sz w:val="24"/>
          <w:szCs w:val="24"/>
          <w:lang w:val="el-GR"/>
        </w:rPr>
        <w:t>Αστυνομία</w:t>
      </w:r>
      <w:r w:rsidR="00220066" w:rsidRPr="00941CE0">
        <w:rPr>
          <w:rFonts w:cstheme="minorHAnsi"/>
          <w:sz w:val="24"/>
          <w:szCs w:val="24"/>
          <w:lang w:val="el-GR"/>
        </w:rPr>
        <w:t xml:space="preserve">. </w:t>
      </w:r>
      <w:r w:rsidR="00941CE0">
        <w:rPr>
          <w:rFonts w:cstheme="minorHAnsi"/>
          <w:sz w:val="24"/>
          <w:szCs w:val="24"/>
          <w:lang w:val="el-GR"/>
        </w:rPr>
        <w:t>Η</w:t>
      </w:r>
      <w:r w:rsidR="00880F4B" w:rsidRPr="00941CE0">
        <w:rPr>
          <w:rFonts w:cstheme="minorHAnsi"/>
          <w:sz w:val="24"/>
          <w:szCs w:val="24"/>
          <w:lang w:val="el-GR"/>
        </w:rPr>
        <w:t xml:space="preserve"> </w:t>
      </w:r>
      <w:r w:rsidR="00880F4B" w:rsidRPr="004E251E">
        <w:rPr>
          <w:rFonts w:cstheme="minorHAnsi"/>
          <w:sz w:val="24"/>
          <w:szCs w:val="24"/>
        </w:rPr>
        <w:t>GET</w:t>
      </w:r>
      <w:r w:rsidR="00880F4B" w:rsidRPr="00941CE0">
        <w:rPr>
          <w:rFonts w:cstheme="minorHAnsi"/>
          <w:sz w:val="24"/>
          <w:szCs w:val="24"/>
          <w:lang w:val="el-GR"/>
        </w:rPr>
        <w:t xml:space="preserve"> </w:t>
      </w:r>
      <w:r w:rsidR="00941CE0">
        <w:rPr>
          <w:rFonts w:cstheme="minorHAnsi"/>
          <w:sz w:val="24"/>
          <w:szCs w:val="24"/>
          <w:lang w:val="el-GR"/>
        </w:rPr>
        <w:t>ενημερώθηκε</w:t>
      </w:r>
      <w:r w:rsidR="00941CE0" w:rsidRPr="00941CE0">
        <w:rPr>
          <w:rFonts w:cstheme="minorHAnsi"/>
          <w:sz w:val="24"/>
          <w:szCs w:val="24"/>
          <w:lang w:val="el-GR"/>
        </w:rPr>
        <w:t xml:space="preserve"> </w:t>
      </w:r>
      <w:r w:rsidR="00941CE0">
        <w:rPr>
          <w:rFonts w:cstheme="minorHAnsi"/>
          <w:sz w:val="24"/>
          <w:szCs w:val="24"/>
          <w:lang w:val="el-GR"/>
        </w:rPr>
        <w:t>επί</w:t>
      </w:r>
      <w:r w:rsidR="00941CE0" w:rsidRPr="00941CE0">
        <w:rPr>
          <w:rFonts w:cstheme="minorHAnsi"/>
          <w:sz w:val="24"/>
          <w:szCs w:val="24"/>
          <w:lang w:val="el-GR"/>
        </w:rPr>
        <w:t xml:space="preserve"> </w:t>
      </w:r>
      <w:r w:rsidR="00941CE0">
        <w:rPr>
          <w:rFonts w:cstheme="minorHAnsi"/>
          <w:sz w:val="24"/>
          <w:szCs w:val="24"/>
          <w:lang w:val="el-GR"/>
        </w:rPr>
        <w:t>τόπου</w:t>
      </w:r>
      <w:r w:rsidR="00941CE0" w:rsidRPr="00941CE0">
        <w:rPr>
          <w:rFonts w:cstheme="minorHAnsi"/>
          <w:sz w:val="24"/>
          <w:szCs w:val="24"/>
          <w:lang w:val="el-GR"/>
        </w:rPr>
        <w:t xml:space="preserve"> </w:t>
      </w:r>
      <w:r w:rsidR="00941CE0">
        <w:rPr>
          <w:rFonts w:cstheme="minorHAnsi"/>
          <w:sz w:val="24"/>
          <w:szCs w:val="24"/>
          <w:lang w:val="el-GR"/>
        </w:rPr>
        <w:t>ότι</w:t>
      </w:r>
      <w:r w:rsidR="00880F4B" w:rsidRPr="00941CE0">
        <w:rPr>
          <w:rFonts w:cstheme="minorHAnsi"/>
          <w:sz w:val="24"/>
          <w:szCs w:val="24"/>
          <w:lang w:val="el-GR"/>
        </w:rPr>
        <w:t xml:space="preserve"> </w:t>
      </w:r>
      <w:r w:rsidR="00937A79">
        <w:rPr>
          <w:rFonts w:cstheme="minorHAnsi"/>
          <w:sz w:val="24"/>
          <w:szCs w:val="24"/>
          <w:lang w:val="el-GR"/>
        </w:rPr>
        <w:t xml:space="preserve">όταν </w:t>
      </w:r>
      <w:r w:rsidR="002E5EC0">
        <w:rPr>
          <w:rFonts w:cstheme="minorHAnsi"/>
          <w:sz w:val="24"/>
          <w:szCs w:val="24"/>
          <w:lang w:val="el-GR"/>
        </w:rPr>
        <w:t>αξιωματικοί</w:t>
      </w:r>
      <w:r w:rsidR="00941CE0" w:rsidRPr="00941CE0">
        <w:rPr>
          <w:rFonts w:cstheme="minorHAnsi"/>
          <w:sz w:val="24"/>
          <w:szCs w:val="24"/>
          <w:lang w:val="el-GR"/>
        </w:rPr>
        <w:t xml:space="preserve"> </w:t>
      </w:r>
      <w:r w:rsidR="00937A79">
        <w:rPr>
          <w:rFonts w:cstheme="minorHAnsi"/>
          <w:sz w:val="24"/>
          <w:szCs w:val="24"/>
          <w:lang w:val="el-GR"/>
        </w:rPr>
        <w:t>συνταξιοδοτηθούν</w:t>
      </w:r>
      <w:r w:rsidR="00880F4B" w:rsidRPr="00941CE0">
        <w:rPr>
          <w:rFonts w:cstheme="minorHAnsi"/>
          <w:sz w:val="24"/>
          <w:szCs w:val="24"/>
          <w:lang w:val="el-GR"/>
        </w:rPr>
        <w:t xml:space="preserve"> </w:t>
      </w:r>
      <w:r w:rsidR="00941CE0">
        <w:rPr>
          <w:rFonts w:cstheme="minorHAnsi"/>
          <w:sz w:val="24"/>
          <w:szCs w:val="24"/>
          <w:lang w:val="el-GR"/>
        </w:rPr>
        <w:t>στο</w:t>
      </w:r>
      <w:r w:rsidR="00941CE0" w:rsidRPr="00941CE0">
        <w:rPr>
          <w:rFonts w:cstheme="minorHAnsi"/>
          <w:sz w:val="24"/>
          <w:szCs w:val="24"/>
          <w:lang w:val="el-GR"/>
        </w:rPr>
        <w:t xml:space="preserve"> </w:t>
      </w:r>
      <w:r w:rsidR="00941CE0">
        <w:rPr>
          <w:rFonts w:cstheme="minorHAnsi"/>
          <w:sz w:val="24"/>
          <w:szCs w:val="24"/>
          <w:lang w:val="el-GR"/>
        </w:rPr>
        <w:t>τέλος</w:t>
      </w:r>
      <w:r w:rsidR="00941CE0" w:rsidRPr="00941CE0">
        <w:rPr>
          <w:rFonts w:cstheme="minorHAnsi"/>
          <w:sz w:val="24"/>
          <w:szCs w:val="24"/>
          <w:lang w:val="el-GR"/>
        </w:rPr>
        <w:t xml:space="preserve"> </w:t>
      </w:r>
      <w:r w:rsidR="00941CE0">
        <w:rPr>
          <w:rFonts w:cstheme="minorHAnsi"/>
          <w:sz w:val="24"/>
          <w:szCs w:val="24"/>
          <w:lang w:val="el-GR"/>
        </w:rPr>
        <w:t>της</w:t>
      </w:r>
      <w:r w:rsidR="00941CE0" w:rsidRPr="00941CE0">
        <w:rPr>
          <w:rFonts w:cstheme="minorHAnsi"/>
          <w:sz w:val="24"/>
          <w:szCs w:val="24"/>
          <w:lang w:val="el-GR"/>
        </w:rPr>
        <w:t xml:space="preserve"> </w:t>
      </w:r>
      <w:r w:rsidR="00941CE0">
        <w:rPr>
          <w:rFonts w:cstheme="minorHAnsi"/>
          <w:sz w:val="24"/>
          <w:szCs w:val="24"/>
          <w:lang w:val="el-GR"/>
        </w:rPr>
        <w:t>θητείας</w:t>
      </w:r>
      <w:r w:rsidR="00941CE0" w:rsidRPr="00941CE0">
        <w:rPr>
          <w:rFonts w:cstheme="minorHAnsi"/>
          <w:sz w:val="24"/>
          <w:szCs w:val="24"/>
          <w:lang w:val="el-GR"/>
        </w:rPr>
        <w:t xml:space="preserve"> </w:t>
      </w:r>
      <w:r w:rsidR="00941CE0">
        <w:rPr>
          <w:rFonts w:cstheme="minorHAnsi"/>
          <w:sz w:val="24"/>
          <w:szCs w:val="24"/>
          <w:lang w:val="el-GR"/>
        </w:rPr>
        <w:t>του</w:t>
      </w:r>
      <w:r w:rsidR="00937A79">
        <w:rPr>
          <w:rFonts w:cstheme="minorHAnsi"/>
          <w:sz w:val="24"/>
          <w:szCs w:val="24"/>
          <w:lang w:val="el-GR"/>
        </w:rPr>
        <w:t>ς</w:t>
      </w:r>
      <w:r w:rsidR="00911A9C" w:rsidRPr="00941CE0">
        <w:rPr>
          <w:rFonts w:cstheme="minorHAnsi"/>
          <w:sz w:val="24"/>
          <w:szCs w:val="24"/>
          <w:lang w:val="el-GR"/>
        </w:rPr>
        <w:t xml:space="preserve"> (</w:t>
      </w:r>
      <w:r w:rsidR="00941CE0">
        <w:rPr>
          <w:rFonts w:cstheme="minorHAnsi"/>
          <w:sz w:val="24"/>
          <w:szCs w:val="24"/>
          <w:lang w:val="el-GR"/>
        </w:rPr>
        <w:t>και</w:t>
      </w:r>
      <w:r w:rsidR="00941CE0" w:rsidRPr="00941CE0">
        <w:rPr>
          <w:rFonts w:cstheme="minorHAnsi"/>
          <w:sz w:val="24"/>
          <w:szCs w:val="24"/>
          <w:lang w:val="el-GR"/>
        </w:rPr>
        <w:t xml:space="preserve"> </w:t>
      </w:r>
      <w:r w:rsidR="00941CE0">
        <w:rPr>
          <w:rFonts w:cstheme="minorHAnsi"/>
          <w:sz w:val="24"/>
          <w:szCs w:val="24"/>
          <w:lang w:val="el-GR"/>
        </w:rPr>
        <w:t>η</w:t>
      </w:r>
      <w:r w:rsidR="00941CE0" w:rsidRPr="00941CE0">
        <w:rPr>
          <w:rFonts w:cstheme="minorHAnsi"/>
          <w:sz w:val="24"/>
          <w:szCs w:val="24"/>
          <w:lang w:val="el-GR"/>
        </w:rPr>
        <w:t xml:space="preserve"> </w:t>
      </w:r>
      <w:r w:rsidR="00941CE0">
        <w:rPr>
          <w:rFonts w:cstheme="minorHAnsi"/>
          <w:sz w:val="24"/>
          <w:szCs w:val="24"/>
          <w:lang w:val="el-GR"/>
        </w:rPr>
        <w:t>ηλικία</w:t>
      </w:r>
      <w:r w:rsidR="00941CE0" w:rsidRPr="00941CE0">
        <w:rPr>
          <w:rFonts w:cstheme="minorHAnsi"/>
          <w:sz w:val="24"/>
          <w:szCs w:val="24"/>
          <w:lang w:val="el-GR"/>
        </w:rPr>
        <w:t xml:space="preserve"> </w:t>
      </w:r>
      <w:r w:rsidR="00937A79">
        <w:rPr>
          <w:rFonts w:cstheme="minorHAnsi"/>
          <w:sz w:val="24"/>
          <w:szCs w:val="24"/>
          <w:lang w:val="el-GR"/>
        </w:rPr>
        <w:t>συνταξιοδότησ</w:t>
      </w:r>
      <w:r w:rsidR="00941CE0">
        <w:rPr>
          <w:rFonts w:cstheme="minorHAnsi"/>
          <w:sz w:val="24"/>
          <w:szCs w:val="24"/>
          <w:lang w:val="el-GR"/>
        </w:rPr>
        <w:t>ης</w:t>
      </w:r>
      <w:r w:rsidR="00941CE0" w:rsidRPr="00941CE0">
        <w:rPr>
          <w:rFonts w:cstheme="minorHAnsi"/>
          <w:sz w:val="24"/>
          <w:szCs w:val="24"/>
          <w:lang w:val="el-GR"/>
        </w:rPr>
        <w:t xml:space="preserve"> </w:t>
      </w:r>
      <w:r w:rsidR="00941CE0">
        <w:rPr>
          <w:rFonts w:cstheme="minorHAnsi"/>
          <w:sz w:val="24"/>
          <w:szCs w:val="24"/>
          <w:lang w:val="el-GR"/>
        </w:rPr>
        <w:t>έχει αυξηθεί πρόσφατα από τα 50 στα 60</w:t>
      </w:r>
      <w:r w:rsidR="00911A9C" w:rsidRPr="00941CE0">
        <w:rPr>
          <w:rFonts w:cstheme="minorHAnsi"/>
          <w:sz w:val="24"/>
          <w:szCs w:val="24"/>
          <w:lang w:val="el-GR"/>
        </w:rPr>
        <w:t>)</w:t>
      </w:r>
      <w:r w:rsidR="00880F4B" w:rsidRPr="00941CE0">
        <w:rPr>
          <w:rFonts w:cstheme="minorHAnsi"/>
          <w:sz w:val="24"/>
          <w:szCs w:val="24"/>
          <w:lang w:val="el-GR"/>
        </w:rPr>
        <w:t xml:space="preserve"> </w:t>
      </w:r>
      <w:r w:rsidR="00941CE0">
        <w:rPr>
          <w:rFonts w:cstheme="minorHAnsi"/>
          <w:sz w:val="24"/>
          <w:szCs w:val="24"/>
          <w:lang w:val="el-GR"/>
        </w:rPr>
        <w:t>γενικά δεν ασχολούνται με οποιαδήποτε άλλη εργασία</w:t>
      </w:r>
      <w:r w:rsidR="00880F4B" w:rsidRPr="00941CE0">
        <w:rPr>
          <w:rFonts w:cstheme="minorHAnsi"/>
          <w:sz w:val="24"/>
          <w:szCs w:val="24"/>
          <w:lang w:val="el-GR"/>
        </w:rPr>
        <w:t>.</w:t>
      </w:r>
      <w:r w:rsidR="00911A9C" w:rsidRPr="00941CE0">
        <w:rPr>
          <w:rFonts w:cstheme="minorHAnsi"/>
          <w:sz w:val="24"/>
          <w:szCs w:val="24"/>
          <w:lang w:val="el-GR"/>
        </w:rPr>
        <w:t xml:space="preserve"> </w:t>
      </w:r>
      <w:r w:rsidR="00941CE0">
        <w:rPr>
          <w:rFonts w:cstheme="minorHAnsi"/>
          <w:sz w:val="24"/>
          <w:szCs w:val="24"/>
          <w:lang w:val="el-GR"/>
        </w:rPr>
        <w:t>Ορισμένοι</w:t>
      </w:r>
      <w:r w:rsidR="00941CE0" w:rsidRPr="00941CE0">
        <w:rPr>
          <w:rFonts w:cstheme="minorHAnsi"/>
          <w:sz w:val="24"/>
          <w:szCs w:val="24"/>
          <w:lang w:val="el-GR"/>
        </w:rPr>
        <w:t xml:space="preserve"> </w:t>
      </w:r>
      <w:r w:rsidR="00941CE0">
        <w:rPr>
          <w:rFonts w:cstheme="minorHAnsi"/>
          <w:sz w:val="24"/>
          <w:szCs w:val="24"/>
          <w:lang w:val="el-GR"/>
        </w:rPr>
        <w:t>έθεσαν</w:t>
      </w:r>
      <w:r w:rsidR="00941CE0" w:rsidRPr="00941CE0">
        <w:rPr>
          <w:rFonts w:cstheme="minorHAnsi"/>
          <w:sz w:val="24"/>
          <w:szCs w:val="24"/>
          <w:lang w:val="el-GR"/>
        </w:rPr>
        <w:t xml:space="preserve"> </w:t>
      </w:r>
      <w:r w:rsidR="00941CE0">
        <w:rPr>
          <w:rFonts w:cstheme="minorHAnsi"/>
          <w:sz w:val="24"/>
          <w:szCs w:val="24"/>
          <w:lang w:val="el-GR"/>
        </w:rPr>
        <w:t>το</w:t>
      </w:r>
      <w:r w:rsidR="00941CE0" w:rsidRPr="00941CE0">
        <w:rPr>
          <w:rFonts w:cstheme="minorHAnsi"/>
          <w:sz w:val="24"/>
          <w:szCs w:val="24"/>
          <w:lang w:val="el-GR"/>
        </w:rPr>
        <w:t xml:space="preserve"> </w:t>
      </w:r>
      <w:r w:rsidR="00941CE0">
        <w:rPr>
          <w:rFonts w:cstheme="minorHAnsi"/>
          <w:sz w:val="24"/>
          <w:szCs w:val="24"/>
          <w:lang w:val="el-GR"/>
        </w:rPr>
        <w:t>θέμα</w:t>
      </w:r>
      <w:r w:rsidR="00941CE0" w:rsidRPr="00941CE0">
        <w:rPr>
          <w:rFonts w:cstheme="minorHAnsi"/>
          <w:sz w:val="24"/>
          <w:szCs w:val="24"/>
          <w:lang w:val="el-GR"/>
        </w:rPr>
        <w:t xml:space="preserve"> </w:t>
      </w:r>
      <w:r w:rsidR="00941CE0">
        <w:rPr>
          <w:rFonts w:cstheme="minorHAnsi"/>
          <w:sz w:val="24"/>
          <w:szCs w:val="24"/>
          <w:lang w:val="el-GR"/>
        </w:rPr>
        <w:t>πρώην</w:t>
      </w:r>
      <w:r w:rsidR="00941CE0" w:rsidRPr="00941CE0">
        <w:rPr>
          <w:rFonts w:cstheme="minorHAnsi"/>
          <w:sz w:val="24"/>
          <w:szCs w:val="24"/>
          <w:lang w:val="el-GR"/>
        </w:rPr>
        <w:t xml:space="preserve"> </w:t>
      </w:r>
      <w:r w:rsidR="002E5EC0">
        <w:rPr>
          <w:rFonts w:cstheme="minorHAnsi"/>
          <w:sz w:val="24"/>
          <w:szCs w:val="24"/>
          <w:lang w:val="el-GR"/>
        </w:rPr>
        <w:t>αξιωματικών</w:t>
      </w:r>
      <w:r w:rsidR="00941CE0" w:rsidRPr="00941CE0">
        <w:rPr>
          <w:rFonts w:cstheme="minorHAnsi"/>
          <w:sz w:val="24"/>
          <w:szCs w:val="24"/>
          <w:lang w:val="el-GR"/>
        </w:rPr>
        <w:t xml:space="preserve"> </w:t>
      </w:r>
      <w:r w:rsidR="00941CE0">
        <w:rPr>
          <w:rFonts w:cstheme="minorHAnsi"/>
          <w:sz w:val="24"/>
          <w:szCs w:val="24"/>
          <w:lang w:val="el-GR"/>
        </w:rPr>
        <w:t>που</w:t>
      </w:r>
      <w:r w:rsidR="00941CE0" w:rsidRPr="00941CE0">
        <w:rPr>
          <w:rFonts w:cstheme="minorHAnsi"/>
          <w:sz w:val="24"/>
          <w:szCs w:val="24"/>
          <w:lang w:val="el-GR"/>
        </w:rPr>
        <w:t xml:space="preserve"> </w:t>
      </w:r>
      <w:r w:rsidR="00941CE0">
        <w:rPr>
          <w:rFonts w:cstheme="minorHAnsi"/>
          <w:sz w:val="24"/>
          <w:szCs w:val="24"/>
          <w:lang w:val="el-GR"/>
        </w:rPr>
        <w:t>μεταφέρονται</w:t>
      </w:r>
      <w:r w:rsidR="00941CE0" w:rsidRPr="00941CE0">
        <w:rPr>
          <w:rFonts w:cstheme="minorHAnsi"/>
          <w:sz w:val="24"/>
          <w:szCs w:val="24"/>
          <w:lang w:val="el-GR"/>
        </w:rPr>
        <w:t xml:space="preserve"> </w:t>
      </w:r>
      <w:r w:rsidR="00941CE0">
        <w:rPr>
          <w:rFonts w:cstheme="minorHAnsi"/>
          <w:sz w:val="24"/>
          <w:szCs w:val="24"/>
          <w:lang w:val="el-GR"/>
        </w:rPr>
        <w:t>στον</w:t>
      </w:r>
      <w:r w:rsidR="00941CE0" w:rsidRPr="00941CE0">
        <w:rPr>
          <w:rFonts w:cstheme="minorHAnsi"/>
          <w:sz w:val="24"/>
          <w:szCs w:val="24"/>
          <w:lang w:val="el-GR"/>
        </w:rPr>
        <w:t xml:space="preserve"> </w:t>
      </w:r>
      <w:r w:rsidR="00941CE0">
        <w:rPr>
          <w:rFonts w:cstheme="minorHAnsi"/>
          <w:sz w:val="24"/>
          <w:szCs w:val="24"/>
          <w:lang w:val="el-GR"/>
        </w:rPr>
        <w:t>ιδιωτικό</w:t>
      </w:r>
      <w:r w:rsidR="00941CE0" w:rsidRPr="00941CE0">
        <w:rPr>
          <w:rFonts w:cstheme="minorHAnsi"/>
          <w:sz w:val="24"/>
          <w:szCs w:val="24"/>
          <w:lang w:val="el-GR"/>
        </w:rPr>
        <w:t xml:space="preserve"> </w:t>
      </w:r>
      <w:r w:rsidR="00941CE0">
        <w:rPr>
          <w:rFonts w:cstheme="minorHAnsi"/>
          <w:sz w:val="24"/>
          <w:szCs w:val="24"/>
          <w:lang w:val="el-GR"/>
        </w:rPr>
        <w:t>τομέα</w:t>
      </w:r>
      <w:r w:rsidR="00941CE0" w:rsidRPr="00941CE0">
        <w:rPr>
          <w:rFonts w:cstheme="minorHAnsi"/>
          <w:sz w:val="24"/>
          <w:szCs w:val="24"/>
          <w:lang w:val="el-GR"/>
        </w:rPr>
        <w:t xml:space="preserve"> </w:t>
      </w:r>
      <w:r w:rsidR="00941CE0">
        <w:rPr>
          <w:rFonts w:cstheme="minorHAnsi"/>
          <w:sz w:val="24"/>
          <w:szCs w:val="24"/>
          <w:lang w:val="el-GR"/>
        </w:rPr>
        <w:t>της</w:t>
      </w:r>
      <w:r w:rsidR="00941CE0" w:rsidRPr="00941CE0">
        <w:rPr>
          <w:rFonts w:cstheme="minorHAnsi"/>
          <w:sz w:val="24"/>
          <w:szCs w:val="24"/>
          <w:lang w:val="el-GR"/>
        </w:rPr>
        <w:t xml:space="preserve"> </w:t>
      </w:r>
      <w:r w:rsidR="00941CE0">
        <w:rPr>
          <w:rFonts w:cstheme="minorHAnsi"/>
          <w:sz w:val="24"/>
          <w:szCs w:val="24"/>
          <w:lang w:val="el-GR"/>
        </w:rPr>
        <w:t>ασφάλειας</w:t>
      </w:r>
      <w:r w:rsidR="00911A9C" w:rsidRPr="00941CE0">
        <w:rPr>
          <w:rFonts w:cstheme="minorHAnsi"/>
          <w:sz w:val="24"/>
          <w:szCs w:val="24"/>
          <w:lang w:val="el-GR"/>
        </w:rPr>
        <w:t xml:space="preserve">, </w:t>
      </w:r>
      <w:r w:rsidR="00941CE0">
        <w:rPr>
          <w:rFonts w:cstheme="minorHAnsi"/>
          <w:sz w:val="24"/>
          <w:szCs w:val="24"/>
          <w:lang w:val="el-GR"/>
        </w:rPr>
        <w:t>αν και δεν εισηγήθηκαν ότι αυτό το θέμα ήταν</w:t>
      </w:r>
      <w:r w:rsidR="00941CE0" w:rsidRPr="00941CE0">
        <w:rPr>
          <w:rFonts w:cstheme="minorHAnsi"/>
          <w:sz w:val="24"/>
          <w:szCs w:val="24"/>
          <w:lang w:val="el-GR"/>
        </w:rPr>
        <w:t xml:space="preserve"> </w:t>
      </w:r>
      <w:r w:rsidR="00941CE0">
        <w:rPr>
          <w:rFonts w:cstheme="minorHAnsi"/>
          <w:sz w:val="24"/>
          <w:szCs w:val="24"/>
          <w:lang w:val="el-GR"/>
        </w:rPr>
        <w:t>επαναλαμβανόμενο</w:t>
      </w:r>
      <w:r w:rsidR="00911A9C" w:rsidRPr="00941CE0">
        <w:rPr>
          <w:rFonts w:cstheme="minorHAnsi"/>
          <w:sz w:val="24"/>
          <w:szCs w:val="24"/>
          <w:lang w:val="el-GR"/>
        </w:rPr>
        <w:t xml:space="preserve">. </w:t>
      </w:r>
      <w:r w:rsidR="00941CE0">
        <w:rPr>
          <w:rFonts w:cstheme="minorHAnsi"/>
          <w:sz w:val="24"/>
          <w:szCs w:val="24"/>
          <w:lang w:val="el-GR"/>
        </w:rPr>
        <w:t>Έστω</w:t>
      </w:r>
      <w:r w:rsidR="00941CE0" w:rsidRPr="00941CE0">
        <w:rPr>
          <w:rFonts w:cstheme="minorHAnsi"/>
          <w:sz w:val="24"/>
          <w:szCs w:val="24"/>
          <w:lang w:val="el-GR"/>
        </w:rPr>
        <w:t xml:space="preserve"> </w:t>
      </w:r>
      <w:r w:rsidR="00941CE0">
        <w:rPr>
          <w:rFonts w:cstheme="minorHAnsi"/>
          <w:sz w:val="24"/>
          <w:szCs w:val="24"/>
          <w:lang w:val="el-GR"/>
        </w:rPr>
        <w:t>κι</w:t>
      </w:r>
      <w:r w:rsidR="00941CE0" w:rsidRPr="00941CE0">
        <w:rPr>
          <w:rFonts w:cstheme="minorHAnsi"/>
          <w:sz w:val="24"/>
          <w:szCs w:val="24"/>
          <w:lang w:val="el-GR"/>
        </w:rPr>
        <w:t xml:space="preserve"> </w:t>
      </w:r>
      <w:r w:rsidR="00941CE0">
        <w:rPr>
          <w:rFonts w:cstheme="minorHAnsi"/>
          <w:sz w:val="24"/>
          <w:szCs w:val="24"/>
          <w:lang w:val="el-GR"/>
        </w:rPr>
        <w:t>έτσι</w:t>
      </w:r>
      <w:r w:rsidR="00911A9C" w:rsidRPr="00941CE0">
        <w:rPr>
          <w:rFonts w:cstheme="minorHAnsi"/>
          <w:sz w:val="24"/>
          <w:szCs w:val="24"/>
          <w:lang w:val="el-GR"/>
        </w:rPr>
        <w:t xml:space="preserve">, </w:t>
      </w:r>
      <w:r w:rsidR="00941CE0">
        <w:rPr>
          <w:rFonts w:cstheme="minorHAnsi"/>
          <w:sz w:val="24"/>
          <w:szCs w:val="24"/>
          <w:lang w:val="el-GR"/>
        </w:rPr>
        <w:t>φαίνεται</w:t>
      </w:r>
      <w:r w:rsidR="00941CE0" w:rsidRPr="00941CE0">
        <w:rPr>
          <w:rFonts w:cstheme="minorHAnsi"/>
          <w:sz w:val="24"/>
          <w:szCs w:val="24"/>
          <w:lang w:val="el-GR"/>
        </w:rPr>
        <w:t xml:space="preserve"> </w:t>
      </w:r>
      <w:r w:rsidR="00941CE0">
        <w:rPr>
          <w:rFonts w:cstheme="minorHAnsi"/>
          <w:sz w:val="24"/>
          <w:szCs w:val="24"/>
          <w:lang w:val="el-GR"/>
        </w:rPr>
        <w:t>ότι</w:t>
      </w:r>
      <w:r w:rsidR="00941CE0" w:rsidRPr="00941CE0">
        <w:rPr>
          <w:rFonts w:cstheme="minorHAnsi"/>
          <w:sz w:val="24"/>
          <w:szCs w:val="24"/>
          <w:lang w:val="el-GR"/>
        </w:rPr>
        <w:t xml:space="preserve"> </w:t>
      </w:r>
      <w:r w:rsidR="00941CE0">
        <w:rPr>
          <w:rFonts w:cstheme="minorHAnsi"/>
          <w:sz w:val="24"/>
          <w:szCs w:val="24"/>
          <w:lang w:val="el-GR"/>
        </w:rPr>
        <w:t>υπήρχε</w:t>
      </w:r>
      <w:r w:rsidR="00941CE0" w:rsidRPr="00941CE0">
        <w:rPr>
          <w:rFonts w:cstheme="minorHAnsi"/>
          <w:sz w:val="24"/>
          <w:szCs w:val="24"/>
          <w:lang w:val="el-GR"/>
        </w:rPr>
        <w:t xml:space="preserve"> </w:t>
      </w:r>
      <w:r w:rsidR="00941CE0">
        <w:rPr>
          <w:rFonts w:cstheme="minorHAnsi"/>
          <w:sz w:val="24"/>
          <w:szCs w:val="24"/>
          <w:lang w:val="el-GR"/>
        </w:rPr>
        <w:t>συμφωνία</w:t>
      </w:r>
      <w:r w:rsidR="00941CE0" w:rsidRPr="00941CE0">
        <w:rPr>
          <w:rFonts w:cstheme="minorHAnsi"/>
          <w:sz w:val="24"/>
          <w:szCs w:val="24"/>
          <w:lang w:val="el-GR"/>
        </w:rPr>
        <w:t xml:space="preserve"> </w:t>
      </w:r>
      <w:r w:rsidR="00941CE0">
        <w:rPr>
          <w:rFonts w:cstheme="minorHAnsi"/>
          <w:sz w:val="24"/>
          <w:szCs w:val="24"/>
          <w:lang w:val="el-GR"/>
        </w:rPr>
        <w:t>μεταξύ</w:t>
      </w:r>
      <w:r w:rsidR="00941CE0" w:rsidRPr="00941CE0">
        <w:rPr>
          <w:rFonts w:cstheme="minorHAnsi"/>
          <w:sz w:val="24"/>
          <w:szCs w:val="24"/>
          <w:lang w:val="el-GR"/>
        </w:rPr>
        <w:t xml:space="preserve"> </w:t>
      </w:r>
      <w:r w:rsidR="00941CE0">
        <w:rPr>
          <w:rFonts w:cstheme="minorHAnsi"/>
          <w:sz w:val="24"/>
          <w:szCs w:val="24"/>
          <w:lang w:val="el-GR"/>
        </w:rPr>
        <w:t>των</w:t>
      </w:r>
      <w:r w:rsidR="00941CE0" w:rsidRPr="00941CE0">
        <w:rPr>
          <w:rFonts w:cstheme="minorHAnsi"/>
          <w:sz w:val="24"/>
          <w:szCs w:val="24"/>
          <w:lang w:val="el-GR"/>
        </w:rPr>
        <w:t xml:space="preserve"> </w:t>
      </w:r>
      <w:r w:rsidR="00941CE0">
        <w:rPr>
          <w:rFonts w:cstheme="minorHAnsi"/>
          <w:sz w:val="24"/>
          <w:szCs w:val="24"/>
          <w:lang w:val="el-GR"/>
        </w:rPr>
        <w:t>συνομιλητών</w:t>
      </w:r>
      <w:r w:rsidR="00941CE0" w:rsidRPr="00941CE0">
        <w:rPr>
          <w:rFonts w:cstheme="minorHAnsi"/>
          <w:sz w:val="24"/>
          <w:szCs w:val="24"/>
          <w:lang w:val="el-GR"/>
        </w:rPr>
        <w:t xml:space="preserve"> </w:t>
      </w:r>
      <w:r w:rsidR="00941CE0">
        <w:rPr>
          <w:rFonts w:cstheme="minorHAnsi"/>
          <w:sz w:val="24"/>
          <w:szCs w:val="24"/>
          <w:lang w:val="el-GR"/>
        </w:rPr>
        <w:t>που</w:t>
      </w:r>
      <w:r w:rsidR="00941CE0" w:rsidRPr="00941CE0">
        <w:rPr>
          <w:rFonts w:cstheme="minorHAnsi"/>
          <w:sz w:val="24"/>
          <w:szCs w:val="24"/>
          <w:lang w:val="el-GR"/>
        </w:rPr>
        <w:t xml:space="preserve"> </w:t>
      </w:r>
      <w:r w:rsidR="00941CE0">
        <w:rPr>
          <w:rFonts w:cstheme="minorHAnsi"/>
          <w:sz w:val="24"/>
          <w:szCs w:val="24"/>
          <w:lang w:val="el-GR"/>
        </w:rPr>
        <w:t>συναντήσαμε</w:t>
      </w:r>
      <w:r w:rsidR="00941CE0" w:rsidRPr="00941CE0">
        <w:rPr>
          <w:rFonts w:cstheme="minorHAnsi"/>
          <w:sz w:val="24"/>
          <w:szCs w:val="24"/>
          <w:lang w:val="el-GR"/>
        </w:rPr>
        <w:t xml:space="preserve"> </w:t>
      </w:r>
      <w:r w:rsidR="00941CE0">
        <w:rPr>
          <w:rFonts w:cstheme="minorHAnsi"/>
          <w:sz w:val="24"/>
          <w:szCs w:val="24"/>
          <w:lang w:val="el-GR"/>
        </w:rPr>
        <w:t>ότι</w:t>
      </w:r>
      <w:r w:rsidR="00941CE0" w:rsidRPr="00941CE0">
        <w:rPr>
          <w:rFonts w:cstheme="minorHAnsi"/>
          <w:sz w:val="24"/>
          <w:szCs w:val="24"/>
          <w:lang w:val="el-GR"/>
        </w:rPr>
        <w:t xml:space="preserve"> </w:t>
      </w:r>
      <w:r w:rsidR="00941CE0">
        <w:rPr>
          <w:rFonts w:cstheme="minorHAnsi"/>
          <w:sz w:val="24"/>
          <w:szCs w:val="24"/>
          <w:lang w:val="el-GR"/>
        </w:rPr>
        <w:t>αυτός</w:t>
      </w:r>
      <w:r w:rsidR="00941CE0" w:rsidRPr="00941CE0">
        <w:rPr>
          <w:rFonts w:cstheme="minorHAnsi"/>
          <w:sz w:val="24"/>
          <w:szCs w:val="24"/>
          <w:lang w:val="el-GR"/>
        </w:rPr>
        <w:t xml:space="preserve"> </w:t>
      </w:r>
      <w:r w:rsidR="00941CE0">
        <w:rPr>
          <w:rFonts w:cstheme="minorHAnsi"/>
          <w:sz w:val="24"/>
          <w:szCs w:val="24"/>
          <w:lang w:val="el-GR"/>
        </w:rPr>
        <w:t>ήταν</w:t>
      </w:r>
      <w:r w:rsidR="00941CE0" w:rsidRPr="00941CE0">
        <w:rPr>
          <w:rFonts w:cstheme="minorHAnsi"/>
          <w:sz w:val="24"/>
          <w:szCs w:val="24"/>
          <w:lang w:val="el-GR"/>
        </w:rPr>
        <w:t xml:space="preserve"> </w:t>
      </w:r>
      <w:r w:rsidR="00941CE0">
        <w:rPr>
          <w:rFonts w:cstheme="minorHAnsi"/>
          <w:sz w:val="24"/>
          <w:szCs w:val="24"/>
          <w:lang w:val="el-GR"/>
        </w:rPr>
        <w:t>ένας</w:t>
      </w:r>
      <w:r w:rsidR="00941CE0" w:rsidRPr="00941CE0">
        <w:rPr>
          <w:rFonts w:cstheme="minorHAnsi"/>
          <w:sz w:val="24"/>
          <w:szCs w:val="24"/>
          <w:lang w:val="el-GR"/>
        </w:rPr>
        <w:t xml:space="preserve"> </w:t>
      </w:r>
      <w:r w:rsidR="00941CE0">
        <w:rPr>
          <w:rFonts w:cstheme="minorHAnsi"/>
          <w:sz w:val="24"/>
          <w:szCs w:val="24"/>
          <w:lang w:val="el-GR"/>
        </w:rPr>
        <w:t>τομέας</w:t>
      </w:r>
      <w:r w:rsidR="00911A9C" w:rsidRPr="00941CE0">
        <w:rPr>
          <w:rFonts w:cstheme="minorHAnsi"/>
          <w:sz w:val="24"/>
          <w:szCs w:val="24"/>
          <w:lang w:val="el-GR"/>
        </w:rPr>
        <w:t xml:space="preserve"> </w:t>
      </w:r>
      <w:r w:rsidR="00941CE0">
        <w:rPr>
          <w:rFonts w:cstheme="minorHAnsi"/>
          <w:sz w:val="24"/>
          <w:szCs w:val="24"/>
          <w:lang w:val="el-GR"/>
        </w:rPr>
        <w:t>που απαιτούσε περισσότερη προσοχή</w:t>
      </w:r>
      <w:r w:rsidR="00911A9C" w:rsidRPr="00941CE0">
        <w:rPr>
          <w:rFonts w:cstheme="minorHAnsi"/>
          <w:sz w:val="24"/>
          <w:szCs w:val="24"/>
          <w:lang w:val="el-GR"/>
        </w:rPr>
        <w:t xml:space="preserve"> </w:t>
      </w:r>
      <w:r w:rsidR="00941CE0">
        <w:rPr>
          <w:rFonts w:cstheme="minorHAnsi"/>
          <w:sz w:val="24"/>
          <w:szCs w:val="24"/>
          <w:lang w:val="el-GR"/>
        </w:rPr>
        <w:t>για σκοπούς αξιολόγησης κινδύνου και ότι</w:t>
      </w:r>
      <w:r w:rsidR="00EE7690" w:rsidRPr="00EE7690">
        <w:rPr>
          <w:rFonts w:cstheme="minorHAnsi"/>
          <w:sz w:val="24"/>
          <w:szCs w:val="24"/>
          <w:lang w:val="el-GR"/>
        </w:rPr>
        <w:t xml:space="preserve"> </w:t>
      </w:r>
      <w:r w:rsidR="00EE7690">
        <w:rPr>
          <w:rFonts w:cstheme="minorHAnsi"/>
          <w:sz w:val="24"/>
          <w:szCs w:val="24"/>
          <w:lang w:val="el-GR"/>
        </w:rPr>
        <w:t>πρέπει να συγκεντρωθούν τεκμηριωμένα δεδομένα για το</w:t>
      </w:r>
      <w:r w:rsidR="00937A79">
        <w:rPr>
          <w:rFonts w:cstheme="minorHAnsi"/>
          <w:sz w:val="24"/>
          <w:szCs w:val="24"/>
          <w:lang w:val="el-GR"/>
        </w:rPr>
        <w:t>ν</w:t>
      </w:r>
      <w:r w:rsidR="00EE7690">
        <w:rPr>
          <w:rFonts w:cstheme="minorHAnsi"/>
          <w:sz w:val="24"/>
          <w:szCs w:val="24"/>
          <w:lang w:val="el-GR"/>
        </w:rPr>
        <w:t xml:space="preserve"> σκοπό αυτό</w:t>
      </w:r>
      <w:r w:rsidR="00911A9C" w:rsidRPr="00941CE0">
        <w:rPr>
          <w:rFonts w:cstheme="minorHAnsi"/>
          <w:sz w:val="24"/>
          <w:szCs w:val="24"/>
          <w:lang w:val="el-GR"/>
        </w:rPr>
        <w:t xml:space="preserve">.  </w:t>
      </w:r>
    </w:p>
    <w:p w14:paraId="003BECCA" w14:textId="77777777" w:rsidR="00572530" w:rsidRPr="00941CE0" w:rsidRDefault="00572530" w:rsidP="00572530">
      <w:pPr>
        <w:tabs>
          <w:tab w:val="left" w:pos="709"/>
        </w:tabs>
        <w:rPr>
          <w:rFonts w:cstheme="minorHAnsi"/>
          <w:sz w:val="24"/>
          <w:szCs w:val="24"/>
          <w:lang w:val="el-GR"/>
        </w:rPr>
      </w:pPr>
    </w:p>
    <w:p w14:paraId="7D8C2C3F" w14:textId="2F7FFF60" w:rsidR="00BE4E5D" w:rsidRPr="00B55AF7" w:rsidRDefault="00EE7690" w:rsidP="00220066">
      <w:pPr>
        <w:numPr>
          <w:ilvl w:val="0"/>
          <w:numId w:val="1"/>
        </w:numPr>
        <w:tabs>
          <w:tab w:val="left" w:pos="709"/>
        </w:tabs>
        <w:ind w:left="0" w:firstLine="0"/>
        <w:rPr>
          <w:rFonts w:cstheme="minorHAnsi"/>
          <w:sz w:val="24"/>
          <w:szCs w:val="24"/>
          <w:lang w:val="el-GR"/>
        </w:rPr>
      </w:pPr>
      <w:r>
        <w:rPr>
          <w:rFonts w:cstheme="minorHAnsi"/>
          <w:sz w:val="24"/>
          <w:szCs w:val="24"/>
          <w:lang w:val="el-GR"/>
        </w:rPr>
        <w:t>Η</w:t>
      </w:r>
      <w:r w:rsidR="00572530" w:rsidRPr="00EE7690">
        <w:rPr>
          <w:rFonts w:cstheme="minorHAnsi"/>
          <w:sz w:val="24"/>
          <w:szCs w:val="24"/>
          <w:lang w:val="el-GR"/>
        </w:rPr>
        <w:t xml:space="preserve"> </w:t>
      </w:r>
      <w:r w:rsidR="00572530" w:rsidRPr="004E251E">
        <w:rPr>
          <w:rFonts w:cstheme="minorHAnsi"/>
          <w:sz w:val="24"/>
          <w:szCs w:val="24"/>
        </w:rPr>
        <w:t>GET</w:t>
      </w:r>
      <w:r w:rsidR="00572530" w:rsidRPr="00EE7690">
        <w:rPr>
          <w:rFonts w:cstheme="minorHAnsi"/>
          <w:sz w:val="24"/>
          <w:szCs w:val="24"/>
          <w:lang w:val="el-GR"/>
        </w:rPr>
        <w:t xml:space="preserve"> </w:t>
      </w:r>
      <w:r>
        <w:rPr>
          <w:rFonts w:cstheme="minorHAnsi"/>
          <w:sz w:val="24"/>
          <w:szCs w:val="24"/>
          <w:lang w:val="el-GR"/>
        </w:rPr>
        <w:t>ενημερώθηκε</w:t>
      </w:r>
      <w:r w:rsidRPr="00EE7690">
        <w:rPr>
          <w:rFonts w:cstheme="minorHAnsi"/>
          <w:sz w:val="24"/>
          <w:szCs w:val="24"/>
          <w:lang w:val="el-GR"/>
        </w:rPr>
        <w:t xml:space="preserve"> </w:t>
      </w:r>
      <w:r>
        <w:rPr>
          <w:rFonts w:cstheme="minorHAnsi"/>
          <w:sz w:val="24"/>
          <w:szCs w:val="24"/>
          <w:lang w:val="el-GR"/>
        </w:rPr>
        <w:t>ότι</w:t>
      </w:r>
      <w:r w:rsidR="00572530" w:rsidRPr="00EE7690">
        <w:rPr>
          <w:rFonts w:cstheme="minorHAnsi"/>
          <w:sz w:val="24"/>
          <w:szCs w:val="24"/>
          <w:lang w:val="el-GR"/>
        </w:rPr>
        <w:t xml:space="preserve"> </w:t>
      </w:r>
      <w:r>
        <w:rPr>
          <w:rFonts w:cstheme="minorHAnsi"/>
          <w:sz w:val="24"/>
          <w:szCs w:val="24"/>
          <w:lang w:val="el-GR"/>
        </w:rPr>
        <w:t>το</w:t>
      </w:r>
      <w:r w:rsidRPr="00EE7690">
        <w:rPr>
          <w:rFonts w:cstheme="minorHAnsi"/>
          <w:sz w:val="24"/>
          <w:szCs w:val="24"/>
          <w:lang w:val="el-GR"/>
        </w:rPr>
        <w:t xml:space="preserve"> </w:t>
      </w:r>
      <w:r>
        <w:rPr>
          <w:rFonts w:cstheme="minorHAnsi"/>
          <w:sz w:val="24"/>
          <w:szCs w:val="24"/>
          <w:lang w:val="el-GR"/>
        </w:rPr>
        <w:t>παρόν</w:t>
      </w:r>
      <w:r w:rsidRPr="00EE7690">
        <w:rPr>
          <w:rFonts w:cstheme="minorHAnsi"/>
          <w:sz w:val="24"/>
          <w:szCs w:val="24"/>
          <w:lang w:val="el-GR"/>
        </w:rPr>
        <w:t xml:space="preserve"> </w:t>
      </w:r>
      <w:r>
        <w:rPr>
          <w:rFonts w:cstheme="minorHAnsi"/>
          <w:sz w:val="24"/>
          <w:szCs w:val="24"/>
          <w:lang w:val="el-GR"/>
        </w:rPr>
        <w:t>πλαίσιο για δευτερεύουσες δραστηριότητες είναι κάπως</w:t>
      </w:r>
      <w:r w:rsidR="00572530" w:rsidRPr="00EE7690">
        <w:rPr>
          <w:rFonts w:cstheme="minorHAnsi"/>
          <w:sz w:val="24"/>
          <w:szCs w:val="24"/>
          <w:lang w:val="el-GR"/>
        </w:rPr>
        <w:t xml:space="preserve"> </w:t>
      </w:r>
      <w:r>
        <w:rPr>
          <w:rFonts w:cstheme="minorHAnsi"/>
          <w:sz w:val="24"/>
          <w:szCs w:val="24"/>
          <w:lang w:val="el-GR"/>
        </w:rPr>
        <w:t>αυστηρό</w:t>
      </w:r>
      <w:r w:rsidR="00572530" w:rsidRPr="00EE7690">
        <w:rPr>
          <w:rFonts w:cstheme="minorHAnsi"/>
          <w:sz w:val="24"/>
          <w:szCs w:val="24"/>
          <w:lang w:val="el-GR"/>
        </w:rPr>
        <w:t xml:space="preserve">. </w:t>
      </w:r>
      <w:r>
        <w:rPr>
          <w:rFonts w:cstheme="minorHAnsi"/>
          <w:sz w:val="24"/>
          <w:szCs w:val="24"/>
          <w:lang w:val="el-GR"/>
        </w:rPr>
        <w:t>Αυτό</w:t>
      </w:r>
      <w:r w:rsidRPr="006B7E70">
        <w:rPr>
          <w:rFonts w:cstheme="minorHAnsi"/>
          <w:sz w:val="24"/>
          <w:szCs w:val="24"/>
          <w:lang w:val="el-GR"/>
        </w:rPr>
        <w:t xml:space="preserve"> </w:t>
      </w:r>
      <w:r>
        <w:rPr>
          <w:rFonts w:cstheme="minorHAnsi"/>
          <w:sz w:val="24"/>
          <w:szCs w:val="24"/>
          <w:lang w:val="el-GR"/>
        </w:rPr>
        <w:t>τροποποιήθηκε</w:t>
      </w:r>
      <w:r w:rsidRPr="006B7E70">
        <w:rPr>
          <w:rFonts w:cstheme="minorHAnsi"/>
          <w:sz w:val="24"/>
          <w:szCs w:val="24"/>
          <w:lang w:val="el-GR"/>
        </w:rPr>
        <w:t xml:space="preserve"> </w:t>
      </w:r>
      <w:r>
        <w:rPr>
          <w:rFonts w:cstheme="minorHAnsi"/>
          <w:sz w:val="24"/>
          <w:szCs w:val="24"/>
          <w:lang w:val="el-GR"/>
        </w:rPr>
        <w:t>το</w:t>
      </w:r>
      <w:r w:rsidR="00572530" w:rsidRPr="006B7E70">
        <w:rPr>
          <w:rFonts w:cstheme="minorHAnsi"/>
          <w:sz w:val="24"/>
          <w:szCs w:val="24"/>
          <w:lang w:val="el-GR"/>
        </w:rPr>
        <w:t xml:space="preserve"> 2022. </w:t>
      </w:r>
      <w:r>
        <w:rPr>
          <w:rFonts w:cstheme="minorHAnsi"/>
          <w:sz w:val="24"/>
          <w:szCs w:val="24"/>
          <w:lang w:val="el-GR"/>
        </w:rPr>
        <w:t>Το</w:t>
      </w:r>
      <w:r w:rsidRPr="00B55AF7">
        <w:rPr>
          <w:rFonts w:cstheme="minorHAnsi"/>
          <w:sz w:val="24"/>
          <w:szCs w:val="24"/>
          <w:lang w:val="el-GR"/>
        </w:rPr>
        <w:t xml:space="preserve"> </w:t>
      </w:r>
      <w:r>
        <w:rPr>
          <w:rFonts w:cstheme="minorHAnsi"/>
          <w:sz w:val="24"/>
          <w:szCs w:val="24"/>
          <w:lang w:val="el-GR"/>
        </w:rPr>
        <w:t>γεγονός</w:t>
      </w:r>
      <w:r w:rsidRPr="00B55AF7">
        <w:rPr>
          <w:rFonts w:cstheme="minorHAnsi"/>
          <w:sz w:val="24"/>
          <w:szCs w:val="24"/>
          <w:lang w:val="el-GR"/>
        </w:rPr>
        <w:t xml:space="preserve"> </w:t>
      </w:r>
      <w:r>
        <w:rPr>
          <w:rFonts w:cstheme="minorHAnsi"/>
          <w:sz w:val="24"/>
          <w:szCs w:val="24"/>
          <w:lang w:val="el-GR"/>
        </w:rPr>
        <w:t>ότι</w:t>
      </w:r>
      <w:r w:rsidR="00572530" w:rsidRPr="00B55AF7">
        <w:rPr>
          <w:rFonts w:cstheme="minorHAnsi"/>
          <w:sz w:val="24"/>
          <w:szCs w:val="24"/>
          <w:lang w:val="el-GR"/>
        </w:rPr>
        <w:t xml:space="preserve"> </w:t>
      </w:r>
      <w:r>
        <w:rPr>
          <w:rFonts w:cstheme="minorHAnsi"/>
          <w:sz w:val="24"/>
          <w:szCs w:val="24"/>
          <w:lang w:val="el-GR"/>
        </w:rPr>
        <w:t>διευθύνεται</w:t>
      </w:r>
      <w:r w:rsidRPr="00B55AF7">
        <w:rPr>
          <w:rFonts w:cstheme="minorHAnsi"/>
          <w:sz w:val="24"/>
          <w:szCs w:val="24"/>
          <w:lang w:val="el-GR"/>
        </w:rPr>
        <w:t xml:space="preserve"> </w:t>
      </w:r>
      <w:r>
        <w:rPr>
          <w:rFonts w:cstheme="minorHAnsi"/>
          <w:sz w:val="24"/>
          <w:szCs w:val="24"/>
          <w:lang w:val="el-GR"/>
        </w:rPr>
        <w:t>κεντρικά</w:t>
      </w:r>
      <w:r w:rsidRPr="00B55AF7">
        <w:rPr>
          <w:rFonts w:cstheme="minorHAnsi"/>
          <w:sz w:val="24"/>
          <w:szCs w:val="24"/>
          <w:lang w:val="el-GR"/>
        </w:rPr>
        <w:t xml:space="preserve"> </w:t>
      </w:r>
      <w:r>
        <w:rPr>
          <w:rFonts w:cstheme="minorHAnsi"/>
          <w:sz w:val="24"/>
          <w:szCs w:val="24"/>
          <w:lang w:val="el-GR"/>
        </w:rPr>
        <w:t>από</w:t>
      </w:r>
      <w:r w:rsidRPr="00B55AF7">
        <w:rPr>
          <w:rFonts w:cstheme="minorHAnsi"/>
          <w:sz w:val="24"/>
          <w:szCs w:val="24"/>
          <w:lang w:val="el-GR"/>
        </w:rPr>
        <w:t xml:space="preserve"> </w:t>
      </w:r>
      <w:r>
        <w:rPr>
          <w:rFonts w:cstheme="minorHAnsi"/>
          <w:sz w:val="24"/>
          <w:szCs w:val="24"/>
          <w:lang w:val="el-GR"/>
        </w:rPr>
        <w:t>το</w:t>
      </w:r>
      <w:r w:rsidRPr="00B55AF7">
        <w:rPr>
          <w:rFonts w:cstheme="minorHAnsi"/>
          <w:sz w:val="24"/>
          <w:szCs w:val="24"/>
          <w:lang w:val="el-GR"/>
        </w:rPr>
        <w:t xml:space="preserve"> </w:t>
      </w:r>
      <w:r>
        <w:rPr>
          <w:rFonts w:cstheme="minorHAnsi"/>
          <w:sz w:val="24"/>
          <w:szCs w:val="24"/>
          <w:lang w:val="el-GR"/>
        </w:rPr>
        <w:t>Τμήμα</w:t>
      </w:r>
      <w:r w:rsidR="00B55AF7" w:rsidRPr="00B55AF7">
        <w:rPr>
          <w:rFonts w:cstheme="minorHAnsi"/>
          <w:sz w:val="24"/>
          <w:szCs w:val="24"/>
          <w:lang w:val="el-GR"/>
        </w:rPr>
        <w:t xml:space="preserve"> </w:t>
      </w:r>
      <w:r w:rsidR="00B55AF7">
        <w:rPr>
          <w:rFonts w:cstheme="minorHAnsi"/>
          <w:sz w:val="24"/>
          <w:szCs w:val="24"/>
          <w:lang w:val="el-GR"/>
        </w:rPr>
        <w:t>Διοίκησης</w:t>
      </w:r>
      <w:r w:rsidR="00B55AF7" w:rsidRPr="00B55AF7">
        <w:rPr>
          <w:rFonts w:cstheme="minorHAnsi"/>
          <w:sz w:val="24"/>
          <w:szCs w:val="24"/>
          <w:lang w:val="el-GR"/>
        </w:rPr>
        <w:t xml:space="preserve"> </w:t>
      </w:r>
      <w:r w:rsidR="00B55AF7">
        <w:rPr>
          <w:rFonts w:cstheme="minorHAnsi"/>
          <w:sz w:val="24"/>
          <w:szCs w:val="24"/>
          <w:lang w:val="el-GR"/>
        </w:rPr>
        <w:t>και</w:t>
      </w:r>
      <w:r w:rsidR="00B55AF7" w:rsidRPr="00B55AF7">
        <w:rPr>
          <w:rFonts w:cstheme="minorHAnsi"/>
          <w:sz w:val="24"/>
          <w:szCs w:val="24"/>
          <w:lang w:val="el-GR"/>
        </w:rPr>
        <w:t xml:space="preserve"> </w:t>
      </w:r>
      <w:r w:rsidR="00B55AF7">
        <w:rPr>
          <w:rFonts w:cstheme="minorHAnsi"/>
          <w:sz w:val="24"/>
          <w:szCs w:val="24"/>
          <w:lang w:val="el-GR"/>
        </w:rPr>
        <w:t>Ανθρωπίνου</w:t>
      </w:r>
      <w:r w:rsidR="00B55AF7" w:rsidRPr="00B55AF7">
        <w:rPr>
          <w:rFonts w:cstheme="minorHAnsi"/>
          <w:sz w:val="24"/>
          <w:szCs w:val="24"/>
          <w:lang w:val="el-GR"/>
        </w:rPr>
        <w:t xml:space="preserve"> </w:t>
      </w:r>
      <w:r w:rsidR="00B55AF7">
        <w:rPr>
          <w:rFonts w:cstheme="minorHAnsi"/>
          <w:sz w:val="24"/>
          <w:szCs w:val="24"/>
          <w:lang w:val="el-GR"/>
        </w:rPr>
        <w:t>Δυναμικού</w:t>
      </w:r>
      <w:r w:rsidR="00572530" w:rsidRPr="00B55AF7">
        <w:rPr>
          <w:rFonts w:cstheme="minorHAnsi"/>
          <w:sz w:val="24"/>
          <w:szCs w:val="24"/>
          <w:lang w:val="el-GR"/>
        </w:rPr>
        <w:t xml:space="preserve"> </w:t>
      </w:r>
      <w:r w:rsidR="00B55AF7">
        <w:rPr>
          <w:rFonts w:cstheme="minorHAnsi"/>
          <w:sz w:val="24"/>
          <w:szCs w:val="24"/>
          <w:lang w:val="el-GR"/>
        </w:rPr>
        <w:t>του</w:t>
      </w:r>
      <w:r w:rsidR="00B55AF7" w:rsidRPr="00B55AF7">
        <w:rPr>
          <w:rFonts w:cstheme="minorHAnsi"/>
          <w:sz w:val="24"/>
          <w:szCs w:val="24"/>
          <w:lang w:val="el-GR"/>
        </w:rPr>
        <w:t xml:space="preserve"> </w:t>
      </w:r>
      <w:r w:rsidR="00B55AF7">
        <w:rPr>
          <w:rFonts w:cstheme="minorHAnsi"/>
          <w:sz w:val="24"/>
          <w:szCs w:val="24"/>
          <w:lang w:val="el-GR"/>
        </w:rPr>
        <w:t>Αρχηγείου</w:t>
      </w:r>
      <w:r w:rsidR="00B55AF7" w:rsidRPr="00B55AF7">
        <w:rPr>
          <w:rFonts w:cstheme="minorHAnsi"/>
          <w:sz w:val="24"/>
          <w:szCs w:val="24"/>
          <w:lang w:val="el-GR"/>
        </w:rPr>
        <w:t xml:space="preserve"> </w:t>
      </w:r>
      <w:r w:rsidR="00B55AF7">
        <w:rPr>
          <w:rFonts w:cstheme="minorHAnsi"/>
          <w:sz w:val="24"/>
          <w:szCs w:val="24"/>
          <w:lang w:val="el-GR"/>
        </w:rPr>
        <w:t>της</w:t>
      </w:r>
      <w:r w:rsidR="00B55AF7" w:rsidRPr="00B55AF7">
        <w:rPr>
          <w:rFonts w:cstheme="minorHAnsi"/>
          <w:sz w:val="24"/>
          <w:szCs w:val="24"/>
          <w:lang w:val="el-GR"/>
        </w:rPr>
        <w:t xml:space="preserve"> </w:t>
      </w:r>
      <w:r w:rsidR="009C4E34">
        <w:rPr>
          <w:rFonts w:cstheme="minorHAnsi"/>
          <w:sz w:val="24"/>
          <w:szCs w:val="24"/>
          <w:lang w:val="el-GR"/>
        </w:rPr>
        <w:t>Αστυνομία</w:t>
      </w:r>
      <w:r w:rsidR="00B55AF7">
        <w:rPr>
          <w:rFonts w:cstheme="minorHAnsi"/>
          <w:sz w:val="24"/>
          <w:szCs w:val="24"/>
          <w:lang w:val="el-GR"/>
        </w:rPr>
        <w:t>ς</w:t>
      </w:r>
      <w:r w:rsidR="00572530" w:rsidRPr="00B55AF7">
        <w:rPr>
          <w:rFonts w:cstheme="minorHAnsi"/>
          <w:sz w:val="24"/>
          <w:szCs w:val="24"/>
          <w:lang w:val="el-GR"/>
        </w:rPr>
        <w:t xml:space="preserve">, </w:t>
      </w:r>
      <w:r w:rsidR="00B55AF7">
        <w:rPr>
          <w:rFonts w:cstheme="minorHAnsi"/>
          <w:sz w:val="24"/>
          <w:szCs w:val="24"/>
          <w:lang w:val="el-GR"/>
        </w:rPr>
        <w:t>και έπειτα η συμμόρφωση του παρακολουθείται από την</w:t>
      </w:r>
      <w:r w:rsidR="00572530" w:rsidRPr="00B55AF7">
        <w:rPr>
          <w:rFonts w:cstheme="minorHAnsi"/>
          <w:sz w:val="24"/>
          <w:szCs w:val="24"/>
          <w:lang w:val="el-GR"/>
        </w:rPr>
        <w:t xml:space="preserve"> </w:t>
      </w:r>
      <w:r w:rsidR="00572530" w:rsidRPr="004E251E">
        <w:rPr>
          <w:rFonts w:cstheme="minorHAnsi"/>
          <w:sz w:val="24"/>
          <w:szCs w:val="24"/>
        </w:rPr>
        <w:t>PSID</w:t>
      </w:r>
      <w:r w:rsidR="00572530" w:rsidRPr="00B55AF7">
        <w:rPr>
          <w:rFonts w:cstheme="minorHAnsi"/>
          <w:sz w:val="24"/>
          <w:szCs w:val="24"/>
          <w:lang w:val="el-GR"/>
        </w:rPr>
        <w:t xml:space="preserve">, </w:t>
      </w:r>
      <w:r w:rsidR="00B55AF7">
        <w:rPr>
          <w:rFonts w:cstheme="minorHAnsi"/>
          <w:sz w:val="24"/>
          <w:szCs w:val="24"/>
          <w:lang w:val="el-GR"/>
        </w:rPr>
        <w:t>είναι επίσης ένα θετικό στοιχείο</w:t>
      </w:r>
      <w:r w:rsidR="00572530" w:rsidRPr="00B55AF7">
        <w:rPr>
          <w:rFonts w:cstheme="minorHAnsi"/>
          <w:sz w:val="24"/>
          <w:szCs w:val="24"/>
          <w:lang w:val="el-GR"/>
        </w:rPr>
        <w:t xml:space="preserve">. </w:t>
      </w:r>
      <w:r w:rsidR="00B55AF7">
        <w:rPr>
          <w:rFonts w:cstheme="minorHAnsi"/>
          <w:sz w:val="24"/>
          <w:szCs w:val="24"/>
          <w:lang w:val="el-GR"/>
        </w:rPr>
        <w:t>Οι</w:t>
      </w:r>
      <w:r w:rsidR="00B55AF7" w:rsidRPr="00B55AF7">
        <w:rPr>
          <w:rFonts w:cstheme="minorHAnsi"/>
          <w:sz w:val="24"/>
          <w:szCs w:val="24"/>
          <w:lang w:val="el-GR"/>
        </w:rPr>
        <w:t xml:space="preserve"> </w:t>
      </w:r>
      <w:r w:rsidR="00B55AF7">
        <w:rPr>
          <w:rFonts w:cstheme="minorHAnsi"/>
          <w:sz w:val="24"/>
          <w:szCs w:val="24"/>
          <w:lang w:val="el-GR"/>
        </w:rPr>
        <w:t>αρχές</w:t>
      </w:r>
      <w:r w:rsidR="00B55AF7" w:rsidRPr="00B55AF7">
        <w:rPr>
          <w:rFonts w:cstheme="minorHAnsi"/>
          <w:sz w:val="24"/>
          <w:szCs w:val="24"/>
          <w:lang w:val="el-GR"/>
        </w:rPr>
        <w:t xml:space="preserve"> </w:t>
      </w:r>
      <w:r w:rsidR="00B55AF7">
        <w:rPr>
          <w:rFonts w:cstheme="minorHAnsi"/>
          <w:sz w:val="24"/>
          <w:szCs w:val="24"/>
          <w:lang w:val="el-GR"/>
        </w:rPr>
        <w:t>επίσης</w:t>
      </w:r>
      <w:r w:rsidR="00BE4E5D" w:rsidRPr="00B55AF7">
        <w:rPr>
          <w:rFonts w:cstheme="minorHAnsi"/>
          <w:sz w:val="24"/>
          <w:szCs w:val="24"/>
          <w:lang w:val="el-GR"/>
        </w:rPr>
        <w:t xml:space="preserve"> </w:t>
      </w:r>
      <w:r w:rsidR="00B55AF7">
        <w:rPr>
          <w:rFonts w:cstheme="minorHAnsi"/>
          <w:sz w:val="24"/>
          <w:szCs w:val="24"/>
          <w:lang w:val="el-GR"/>
        </w:rPr>
        <w:t>συναρμολογούν</w:t>
      </w:r>
      <w:r w:rsidR="00B55AF7" w:rsidRPr="00B55AF7">
        <w:rPr>
          <w:rFonts w:cstheme="minorHAnsi"/>
          <w:sz w:val="24"/>
          <w:szCs w:val="24"/>
          <w:lang w:val="el-GR"/>
        </w:rPr>
        <w:t xml:space="preserve"> </w:t>
      </w:r>
      <w:r w:rsidR="00B55AF7">
        <w:rPr>
          <w:rFonts w:cstheme="minorHAnsi"/>
          <w:sz w:val="24"/>
          <w:szCs w:val="24"/>
          <w:lang w:val="el-GR"/>
        </w:rPr>
        <w:t>στατιστικές</w:t>
      </w:r>
      <w:r w:rsidR="00B55AF7" w:rsidRPr="00B55AF7">
        <w:rPr>
          <w:rFonts w:cstheme="minorHAnsi"/>
          <w:sz w:val="24"/>
          <w:szCs w:val="24"/>
          <w:lang w:val="el-GR"/>
        </w:rPr>
        <w:t xml:space="preserve"> </w:t>
      </w:r>
      <w:r w:rsidR="00B55AF7">
        <w:rPr>
          <w:rFonts w:cstheme="minorHAnsi"/>
          <w:sz w:val="24"/>
          <w:szCs w:val="24"/>
          <w:lang w:val="el-GR"/>
        </w:rPr>
        <w:t>για</w:t>
      </w:r>
      <w:r w:rsidR="00B55AF7" w:rsidRPr="00B55AF7">
        <w:rPr>
          <w:rFonts w:cstheme="minorHAnsi"/>
          <w:sz w:val="24"/>
          <w:szCs w:val="24"/>
          <w:lang w:val="el-GR"/>
        </w:rPr>
        <w:t xml:space="preserve"> </w:t>
      </w:r>
      <w:r w:rsidR="00B55AF7">
        <w:rPr>
          <w:rFonts w:cstheme="minorHAnsi"/>
          <w:sz w:val="24"/>
          <w:szCs w:val="24"/>
          <w:lang w:val="el-GR"/>
        </w:rPr>
        <w:t>τον</w:t>
      </w:r>
      <w:r w:rsidR="00B55AF7" w:rsidRPr="00B55AF7">
        <w:rPr>
          <w:rFonts w:cstheme="minorHAnsi"/>
          <w:sz w:val="24"/>
          <w:szCs w:val="24"/>
          <w:lang w:val="el-GR"/>
        </w:rPr>
        <w:t xml:space="preserve"> </w:t>
      </w:r>
      <w:r w:rsidR="00B55AF7">
        <w:rPr>
          <w:rFonts w:cstheme="minorHAnsi"/>
          <w:sz w:val="24"/>
          <w:szCs w:val="24"/>
          <w:lang w:val="el-GR"/>
        </w:rPr>
        <w:t>αριθμό</w:t>
      </w:r>
      <w:r w:rsidR="00B55AF7" w:rsidRPr="00B55AF7">
        <w:rPr>
          <w:rFonts w:cstheme="minorHAnsi"/>
          <w:sz w:val="24"/>
          <w:szCs w:val="24"/>
          <w:lang w:val="el-GR"/>
        </w:rPr>
        <w:t xml:space="preserve"> </w:t>
      </w:r>
      <w:r w:rsidR="00B55AF7">
        <w:rPr>
          <w:rFonts w:cstheme="minorHAnsi"/>
          <w:sz w:val="24"/>
          <w:szCs w:val="24"/>
          <w:lang w:val="el-GR"/>
        </w:rPr>
        <w:t>υποθέσεων</w:t>
      </w:r>
      <w:r w:rsidR="00BE4E5D" w:rsidRPr="00B55AF7">
        <w:rPr>
          <w:rFonts w:cstheme="minorHAnsi"/>
          <w:sz w:val="24"/>
          <w:szCs w:val="24"/>
          <w:lang w:val="el-GR"/>
        </w:rPr>
        <w:t xml:space="preserve"> </w:t>
      </w:r>
      <w:r w:rsidR="00B55AF7">
        <w:rPr>
          <w:rFonts w:cstheme="minorHAnsi"/>
          <w:sz w:val="24"/>
          <w:szCs w:val="24"/>
          <w:lang w:val="el-GR"/>
        </w:rPr>
        <w:t>όπου</w:t>
      </w:r>
      <w:r w:rsidR="00B55AF7" w:rsidRPr="00B55AF7">
        <w:rPr>
          <w:rFonts w:cstheme="minorHAnsi"/>
          <w:sz w:val="24"/>
          <w:szCs w:val="24"/>
          <w:lang w:val="el-GR"/>
        </w:rPr>
        <w:t xml:space="preserve"> </w:t>
      </w:r>
      <w:r w:rsidR="00B55AF7">
        <w:rPr>
          <w:rFonts w:cstheme="minorHAnsi"/>
          <w:sz w:val="24"/>
          <w:szCs w:val="24"/>
          <w:lang w:val="el-GR"/>
        </w:rPr>
        <w:t>διαπιστώθηκαν παραβιάσεις που αφορούν δευτερεύουσες δραστηριότητες</w:t>
      </w:r>
      <w:r w:rsidR="00BE4E5D" w:rsidRPr="00B55AF7">
        <w:rPr>
          <w:rFonts w:cstheme="minorHAnsi"/>
          <w:sz w:val="24"/>
          <w:szCs w:val="24"/>
          <w:lang w:val="el-GR"/>
        </w:rPr>
        <w:t xml:space="preserve"> </w:t>
      </w:r>
      <w:r w:rsidR="00B55AF7">
        <w:rPr>
          <w:rFonts w:cstheme="minorHAnsi"/>
          <w:sz w:val="24"/>
          <w:szCs w:val="24"/>
          <w:lang w:val="el-GR"/>
        </w:rPr>
        <w:t>και η δράση/κύρωση</w:t>
      </w:r>
      <w:r w:rsidR="00BE4E5D" w:rsidRPr="00B55AF7">
        <w:rPr>
          <w:rFonts w:cstheme="minorHAnsi"/>
          <w:sz w:val="24"/>
          <w:szCs w:val="24"/>
          <w:lang w:val="el-GR"/>
        </w:rPr>
        <w:t xml:space="preserve"> </w:t>
      </w:r>
      <w:r w:rsidR="00B55AF7">
        <w:rPr>
          <w:rFonts w:cstheme="minorHAnsi"/>
          <w:sz w:val="24"/>
          <w:szCs w:val="24"/>
          <w:lang w:val="el-GR"/>
        </w:rPr>
        <w:t>που ακολούθησε μετέπειτα</w:t>
      </w:r>
      <w:r w:rsidR="00BE4E5D" w:rsidRPr="00B55AF7">
        <w:rPr>
          <w:rFonts w:cstheme="minorHAnsi"/>
          <w:sz w:val="24"/>
          <w:szCs w:val="24"/>
          <w:lang w:val="el-GR"/>
        </w:rPr>
        <w:t xml:space="preserve">. </w:t>
      </w:r>
    </w:p>
    <w:p w14:paraId="058A6C0B" w14:textId="77777777" w:rsidR="00BE4E5D" w:rsidRPr="00B55AF7" w:rsidRDefault="00BE4E5D" w:rsidP="00BE4E5D">
      <w:pPr>
        <w:pStyle w:val="ListParagraph"/>
        <w:rPr>
          <w:rFonts w:cstheme="minorHAnsi"/>
          <w:sz w:val="24"/>
          <w:szCs w:val="24"/>
          <w:lang w:val="el-GR"/>
        </w:rPr>
      </w:pPr>
    </w:p>
    <w:p w14:paraId="678C81EF" w14:textId="73C90D3B" w:rsidR="00572530" w:rsidRPr="00AA02AA" w:rsidRDefault="00B55AF7" w:rsidP="00220066">
      <w:pPr>
        <w:numPr>
          <w:ilvl w:val="0"/>
          <w:numId w:val="1"/>
        </w:numPr>
        <w:tabs>
          <w:tab w:val="left" w:pos="709"/>
        </w:tabs>
        <w:ind w:left="0" w:firstLine="0"/>
        <w:rPr>
          <w:rFonts w:cstheme="minorHAnsi"/>
          <w:sz w:val="24"/>
          <w:szCs w:val="24"/>
          <w:lang w:val="el-GR"/>
        </w:rPr>
      </w:pPr>
      <w:r>
        <w:rPr>
          <w:rFonts w:cstheme="minorHAnsi"/>
          <w:sz w:val="24"/>
          <w:szCs w:val="24"/>
          <w:lang w:val="el-GR"/>
        </w:rPr>
        <w:t>Η</w:t>
      </w:r>
      <w:r w:rsidR="00572530" w:rsidRPr="00B55AF7">
        <w:rPr>
          <w:rFonts w:cstheme="minorHAnsi"/>
          <w:sz w:val="24"/>
          <w:szCs w:val="24"/>
          <w:lang w:val="el-GR"/>
        </w:rPr>
        <w:t xml:space="preserve"> </w:t>
      </w:r>
      <w:r w:rsidR="00572530" w:rsidRPr="004E251E">
        <w:rPr>
          <w:rFonts w:cstheme="minorHAnsi"/>
          <w:sz w:val="24"/>
          <w:szCs w:val="24"/>
        </w:rPr>
        <w:t>GET</w:t>
      </w:r>
      <w:r w:rsidR="00572530" w:rsidRPr="00B55AF7">
        <w:rPr>
          <w:rFonts w:cstheme="minorHAnsi"/>
          <w:sz w:val="24"/>
          <w:szCs w:val="24"/>
          <w:lang w:val="el-GR"/>
        </w:rPr>
        <w:t xml:space="preserve"> </w:t>
      </w:r>
      <w:r>
        <w:rPr>
          <w:rFonts w:cstheme="minorHAnsi"/>
          <w:sz w:val="24"/>
          <w:szCs w:val="24"/>
          <w:lang w:val="el-GR"/>
        </w:rPr>
        <w:t>θεωρεί</w:t>
      </w:r>
      <w:r w:rsidRPr="00B55AF7">
        <w:rPr>
          <w:rFonts w:cstheme="minorHAnsi"/>
          <w:sz w:val="24"/>
          <w:szCs w:val="24"/>
          <w:lang w:val="el-GR"/>
        </w:rPr>
        <w:t xml:space="preserve"> </w:t>
      </w:r>
      <w:r>
        <w:rPr>
          <w:rFonts w:cstheme="minorHAnsi"/>
          <w:sz w:val="24"/>
          <w:szCs w:val="24"/>
          <w:lang w:val="el-GR"/>
        </w:rPr>
        <w:t>ότι</w:t>
      </w:r>
      <w:r w:rsidR="00572530" w:rsidRPr="00B55AF7">
        <w:rPr>
          <w:rFonts w:cstheme="minorHAnsi"/>
          <w:sz w:val="24"/>
          <w:szCs w:val="24"/>
          <w:lang w:val="el-GR"/>
        </w:rPr>
        <w:t xml:space="preserve">, </w:t>
      </w:r>
      <w:r>
        <w:rPr>
          <w:rFonts w:cstheme="minorHAnsi"/>
          <w:sz w:val="24"/>
          <w:szCs w:val="24"/>
          <w:lang w:val="el-GR"/>
        </w:rPr>
        <w:t>ενώ</w:t>
      </w:r>
      <w:r w:rsidRPr="00B55AF7">
        <w:rPr>
          <w:rFonts w:cstheme="minorHAnsi"/>
          <w:sz w:val="24"/>
          <w:szCs w:val="24"/>
          <w:lang w:val="el-GR"/>
        </w:rPr>
        <w:t xml:space="preserve"> </w:t>
      </w:r>
      <w:r>
        <w:rPr>
          <w:rFonts w:cstheme="minorHAnsi"/>
          <w:sz w:val="24"/>
          <w:szCs w:val="24"/>
          <w:lang w:val="el-GR"/>
        </w:rPr>
        <w:t>η</w:t>
      </w:r>
      <w:r w:rsidRPr="00B55AF7">
        <w:rPr>
          <w:rFonts w:cstheme="minorHAnsi"/>
          <w:sz w:val="24"/>
          <w:szCs w:val="24"/>
          <w:lang w:val="el-GR"/>
        </w:rPr>
        <w:t xml:space="preserve"> </w:t>
      </w:r>
      <w:r w:rsidR="009C4E34">
        <w:rPr>
          <w:rFonts w:cstheme="minorHAnsi"/>
          <w:sz w:val="24"/>
          <w:szCs w:val="24"/>
          <w:lang w:val="el-GR"/>
        </w:rPr>
        <w:t>Αστυνομία</w:t>
      </w:r>
      <w:r w:rsidRPr="00B55AF7">
        <w:rPr>
          <w:rFonts w:cstheme="minorHAnsi"/>
          <w:sz w:val="24"/>
          <w:szCs w:val="24"/>
          <w:lang w:val="el-GR"/>
        </w:rPr>
        <w:t xml:space="preserve"> </w:t>
      </w:r>
      <w:r>
        <w:rPr>
          <w:rFonts w:cstheme="minorHAnsi"/>
          <w:sz w:val="24"/>
          <w:szCs w:val="24"/>
          <w:lang w:val="el-GR"/>
        </w:rPr>
        <w:t>αναπτύσσει</w:t>
      </w:r>
      <w:r w:rsidRPr="00B55AF7">
        <w:rPr>
          <w:rFonts w:cstheme="minorHAnsi"/>
          <w:sz w:val="24"/>
          <w:szCs w:val="24"/>
          <w:lang w:val="el-GR"/>
        </w:rPr>
        <w:t xml:space="preserve"> </w:t>
      </w:r>
      <w:r>
        <w:rPr>
          <w:rFonts w:cstheme="minorHAnsi"/>
          <w:sz w:val="24"/>
          <w:szCs w:val="24"/>
          <w:lang w:val="el-GR"/>
        </w:rPr>
        <w:t>την</w:t>
      </w:r>
      <w:r w:rsidRPr="00B55AF7">
        <w:rPr>
          <w:rFonts w:cstheme="minorHAnsi"/>
          <w:sz w:val="24"/>
          <w:szCs w:val="24"/>
          <w:lang w:val="el-GR"/>
        </w:rPr>
        <w:t xml:space="preserve"> </w:t>
      </w:r>
      <w:r>
        <w:rPr>
          <w:rFonts w:cstheme="minorHAnsi"/>
          <w:sz w:val="24"/>
          <w:szCs w:val="24"/>
          <w:lang w:val="el-GR"/>
        </w:rPr>
        <w:t>αφιερωμένη</w:t>
      </w:r>
      <w:r w:rsidRPr="00B55AF7">
        <w:rPr>
          <w:rFonts w:cstheme="minorHAnsi"/>
          <w:sz w:val="24"/>
          <w:szCs w:val="24"/>
          <w:lang w:val="el-GR"/>
        </w:rPr>
        <w:t xml:space="preserve"> </w:t>
      </w:r>
      <w:r>
        <w:rPr>
          <w:rFonts w:cstheme="minorHAnsi"/>
          <w:sz w:val="24"/>
          <w:szCs w:val="24"/>
          <w:lang w:val="el-GR"/>
        </w:rPr>
        <w:t>της</w:t>
      </w:r>
      <w:r w:rsidRPr="00B55AF7">
        <w:rPr>
          <w:rFonts w:cstheme="minorHAnsi"/>
          <w:sz w:val="24"/>
          <w:szCs w:val="24"/>
          <w:lang w:val="el-GR"/>
        </w:rPr>
        <w:t xml:space="preserve"> </w:t>
      </w:r>
      <w:r>
        <w:rPr>
          <w:rFonts w:cstheme="minorHAnsi"/>
          <w:sz w:val="24"/>
          <w:szCs w:val="24"/>
          <w:lang w:val="el-GR"/>
        </w:rPr>
        <w:t>πολιτική</w:t>
      </w:r>
      <w:r w:rsidRPr="00B55AF7">
        <w:rPr>
          <w:rFonts w:cstheme="minorHAnsi"/>
          <w:sz w:val="24"/>
          <w:szCs w:val="24"/>
          <w:lang w:val="el-GR"/>
        </w:rPr>
        <w:t xml:space="preserve"> </w:t>
      </w:r>
      <w:r>
        <w:rPr>
          <w:rFonts w:cstheme="minorHAnsi"/>
          <w:sz w:val="24"/>
          <w:szCs w:val="24"/>
          <w:lang w:val="el-GR"/>
        </w:rPr>
        <w:t>για</w:t>
      </w:r>
      <w:r w:rsidRPr="00B55AF7">
        <w:rPr>
          <w:rFonts w:cstheme="minorHAnsi"/>
          <w:sz w:val="24"/>
          <w:szCs w:val="24"/>
          <w:lang w:val="el-GR"/>
        </w:rPr>
        <w:t xml:space="preserve"> </w:t>
      </w:r>
      <w:r>
        <w:rPr>
          <w:rFonts w:cstheme="minorHAnsi"/>
          <w:sz w:val="24"/>
          <w:szCs w:val="24"/>
          <w:lang w:val="el-GR"/>
        </w:rPr>
        <w:t>την</w:t>
      </w:r>
      <w:r w:rsidRPr="00B55AF7">
        <w:rPr>
          <w:rFonts w:cstheme="minorHAnsi"/>
          <w:sz w:val="24"/>
          <w:szCs w:val="24"/>
          <w:lang w:val="el-GR"/>
        </w:rPr>
        <w:t xml:space="preserve"> </w:t>
      </w:r>
      <w:r>
        <w:rPr>
          <w:rFonts w:cstheme="minorHAnsi"/>
          <w:sz w:val="24"/>
          <w:szCs w:val="24"/>
          <w:lang w:val="el-GR"/>
        </w:rPr>
        <w:t>ακεραιότητα</w:t>
      </w:r>
      <w:r w:rsidR="00880F4B" w:rsidRPr="00B55AF7">
        <w:rPr>
          <w:rFonts w:cstheme="minorHAnsi"/>
          <w:sz w:val="24"/>
          <w:szCs w:val="24"/>
          <w:lang w:val="el-GR"/>
        </w:rPr>
        <w:t xml:space="preserve">, </w:t>
      </w:r>
      <w:r>
        <w:rPr>
          <w:rFonts w:cstheme="minorHAnsi"/>
          <w:sz w:val="24"/>
          <w:szCs w:val="24"/>
          <w:lang w:val="el-GR"/>
        </w:rPr>
        <w:t>όπως</w:t>
      </w:r>
      <w:r w:rsidRPr="00B55AF7">
        <w:rPr>
          <w:rFonts w:cstheme="minorHAnsi"/>
          <w:sz w:val="24"/>
          <w:szCs w:val="24"/>
          <w:lang w:val="el-GR"/>
        </w:rPr>
        <w:t xml:space="preserve"> </w:t>
      </w:r>
      <w:r>
        <w:rPr>
          <w:rFonts w:cstheme="minorHAnsi"/>
          <w:sz w:val="24"/>
          <w:szCs w:val="24"/>
          <w:lang w:val="el-GR"/>
        </w:rPr>
        <w:t>συνιστάται</w:t>
      </w:r>
      <w:r w:rsidRPr="00B55AF7">
        <w:rPr>
          <w:rFonts w:cstheme="minorHAnsi"/>
          <w:sz w:val="24"/>
          <w:szCs w:val="24"/>
          <w:lang w:val="el-GR"/>
        </w:rPr>
        <w:t xml:space="preserve"> </w:t>
      </w:r>
      <w:r>
        <w:rPr>
          <w:rFonts w:cstheme="minorHAnsi"/>
          <w:sz w:val="24"/>
          <w:szCs w:val="24"/>
          <w:lang w:val="el-GR"/>
        </w:rPr>
        <w:t>προηγουμένως</w:t>
      </w:r>
      <w:r w:rsidR="00572530" w:rsidRPr="00B55AF7">
        <w:rPr>
          <w:rFonts w:cstheme="minorHAnsi"/>
          <w:sz w:val="24"/>
          <w:szCs w:val="24"/>
          <w:lang w:val="el-GR"/>
        </w:rPr>
        <w:t xml:space="preserve">, </w:t>
      </w:r>
      <w:r>
        <w:rPr>
          <w:rFonts w:cstheme="minorHAnsi"/>
          <w:sz w:val="24"/>
          <w:szCs w:val="24"/>
          <w:lang w:val="el-GR"/>
        </w:rPr>
        <w:t>πρέπει</w:t>
      </w:r>
      <w:r w:rsidRPr="00B55AF7">
        <w:rPr>
          <w:rFonts w:cstheme="minorHAnsi"/>
          <w:sz w:val="24"/>
          <w:szCs w:val="24"/>
          <w:lang w:val="el-GR"/>
        </w:rPr>
        <w:t xml:space="preserve"> </w:t>
      </w:r>
      <w:r>
        <w:rPr>
          <w:rFonts w:cstheme="minorHAnsi"/>
          <w:sz w:val="24"/>
          <w:szCs w:val="24"/>
          <w:lang w:val="el-GR"/>
        </w:rPr>
        <w:t>να</w:t>
      </w:r>
      <w:r w:rsidRPr="00B55AF7">
        <w:rPr>
          <w:rFonts w:cstheme="minorHAnsi"/>
          <w:sz w:val="24"/>
          <w:szCs w:val="24"/>
          <w:lang w:val="el-GR"/>
        </w:rPr>
        <w:t xml:space="preserve"> </w:t>
      </w:r>
      <w:r>
        <w:rPr>
          <w:rFonts w:cstheme="minorHAnsi"/>
          <w:sz w:val="24"/>
          <w:szCs w:val="24"/>
          <w:lang w:val="el-GR"/>
        </w:rPr>
        <w:t>κοιτάξει</w:t>
      </w:r>
      <w:r w:rsidRPr="00B55AF7">
        <w:rPr>
          <w:rFonts w:cstheme="minorHAnsi"/>
          <w:sz w:val="24"/>
          <w:szCs w:val="24"/>
          <w:lang w:val="el-GR"/>
        </w:rPr>
        <w:t xml:space="preserve"> </w:t>
      </w:r>
      <w:r>
        <w:rPr>
          <w:rFonts w:cstheme="minorHAnsi"/>
          <w:sz w:val="24"/>
          <w:szCs w:val="24"/>
          <w:lang w:val="el-GR"/>
        </w:rPr>
        <w:t>τις</w:t>
      </w:r>
      <w:r w:rsidRPr="00B55AF7">
        <w:rPr>
          <w:rFonts w:cstheme="minorHAnsi"/>
          <w:sz w:val="24"/>
          <w:szCs w:val="24"/>
          <w:lang w:val="el-GR"/>
        </w:rPr>
        <w:t xml:space="preserve"> </w:t>
      </w:r>
      <w:r>
        <w:rPr>
          <w:rFonts w:cstheme="minorHAnsi"/>
          <w:sz w:val="24"/>
          <w:szCs w:val="24"/>
          <w:lang w:val="el-GR"/>
        </w:rPr>
        <w:t>παρούσες</w:t>
      </w:r>
      <w:r w:rsidRPr="00B55AF7">
        <w:rPr>
          <w:rFonts w:cstheme="minorHAnsi"/>
          <w:sz w:val="24"/>
          <w:szCs w:val="24"/>
          <w:lang w:val="el-GR"/>
        </w:rPr>
        <w:t xml:space="preserve"> </w:t>
      </w:r>
      <w:r>
        <w:rPr>
          <w:rFonts w:cstheme="minorHAnsi"/>
          <w:sz w:val="24"/>
          <w:szCs w:val="24"/>
          <w:lang w:val="el-GR"/>
        </w:rPr>
        <w:t>πληροφορίες</w:t>
      </w:r>
      <w:r w:rsidR="00572530" w:rsidRPr="00B55AF7">
        <w:rPr>
          <w:rFonts w:cstheme="minorHAnsi"/>
          <w:sz w:val="24"/>
          <w:szCs w:val="24"/>
          <w:lang w:val="el-GR"/>
        </w:rPr>
        <w:t xml:space="preserve"> </w:t>
      </w:r>
      <w:r>
        <w:rPr>
          <w:rFonts w:cstheme="minorHAnsi"/>
          <w:sz w:val="24"/>
          <w:szCs w:val="24"/>
          <w:lang w:val="el-GR"/>
        </w:rPr>
        <w:t>που</w:t>
      </w:r>
      <w:r w:rsidRPr="00B55AF7">
        <w:rPr>
          <w:rFonts w:cstheme="minorHAnsi"/>
          <w:sz w:val="24"/>
          <w:szCs w:val="24"/>
          <w:lang w:val="el-GR"/>
        </w:rPr>
        <w:t xml:space="preserve"> </w:t>
      </w:r>
      <w:r>
        <w:rPr>
          <w:rFonts w:cstheme="minorHAnsi"/>
          <w:sz w:val="24"/>
          <w:szCs w:val="24"/>
          <w:lang w:val="el-GR"/>
        </w:rPr>
        <w:t>έχουν καταγραφεί</w:t>
      </w:r>
      <w:r w:rsidR="00572530" w:rsidRPr="00B55AF7">
        <w:rPr>
          <w:rFonts w:cstheme="minorHAnsi"/>
          <w:sz w:val="24"/>
          <w:szCs w:val="24"/>
          <w:lang w:val="el-GR"/>
        </w:rPr>
        <w:t xml:space="preserve"> </w:t>
      </w:r>
      <w:r>
        <w:rPr>
          <w:rFonts w:cstheme="minorHAnsi"/>
          <w:sz w:val="24"/>
          <w:szCs w:val="24"/>
          <w:lang w:val="el-GR"/>
        </w:rPr>
        <w:t>στο σχ</w:t>
      </w:r>
      <w:r w:rsidR="00937A79">
        <w:rPr>
          <w:rFonts w:cstheme="minorHAnsi"/>
          <w:sz w:val="24"/>
          <w:szCs w:val="24"/>
          <w:lang w:val="el-GR"/>
        </w:rPr>
        <w:t>ε</w:t>
      </w:r>
      <w:r>
        <w:rPr>
          <w:rFonts w:cstheme="minorHAnsi"/>
          <w:sz w:val="24"/>
          <w:szCs w:val="24"/>
          <w:lang w:val="el-GR"/>
        </w:rPr>
        <w:t>τικό μητρώο δευτερευουσών δραστηριοτήτων</w:t>
      </w:r>
      <w:r w:rsidR="00880F4B" w:rsidRPr="00B55AF7">
        <w:rPr>
          <w:rFonts w:cstheme="minorHAnsi"/>
          <w:sz w:val="24"/>
          <w:szCs w:val="24"/>
          <w:lang w:val="el-GR"/>
        </w:rPr>
        <w:t xml:space="preserve">, </w:t>
      </w:r>
      <w:r>
        <w:rPr>
          <w:rFonts w:cstheme="minorHAnsi"/>
          <w:sz w:val="24"/>
          <w:szCs w:val="24"/>
          <w:lang w:val="el-GR"/>
        </w:rPr>
        <w:t>επειδή αυτές μπορούν να βοηθήσουν</w:t>
      </w:r>
      <w:r w:rsidR="00880F4B" w:rsidRPr="00B55AF7">
        <w:rPr>
          <w:rFonts w:cstheme="minorHAnsi"/>
          <w:sz w:val="24"/>
          <w:szCs w:val="24"/>
          <w:lang w:val="el-GR"/>
        </w:rPr>
        <w:t xml:space="preserve"> </w:t>
      </w:r>
      <w:r>
        <w:rPr>
          <w:rFonts w:cstheme="minorHAnsi"/>
          <w:sz w:val="24"/>
          <w:szCs w:val="24"/>
          <w:lang w:val="el-GR"/>
        </w:rPr>
        <w:t>στην αναγνώριση τάσεων</w:t>
      </w:r>
      <w:r w:rsidR="00880F4B" w:rsidRPr="00B55AF7">
        <w:rPr>
          <w:rFonts w:cstheme="minorHAnsi"/>
          <w:sz w:val="24"/>
          <w:szCs w:val="24"/>
          <w:lang w:val="el-GR"/>
        </w:rPr>
        <w:t xml:space="preserve"> </w:t>
      </w:r>
      <w:r>
        <w:rPr>
          <w:rFonts w:cstheme="minorHAnsi"/>
          <w:sz w:val="24"/>
          <w:szCs w:val="24"/>
          <w:lang w:val="el-GR"/>
        </w:rPr>
        <w:t xml:space="preserve">που θα </w:t>
      </w:r>
      <w:r w:rsidR="00AA02AA">
        <w:rPr>
          <w:rFonts w:cstheme="minorHAnsi"/>
          <w:sz w:val="24"/>
          <w:szCs w:val="24"/>
          <w:lang w:val="el-GR"/>
        </w:rPr>
        <w:t>έπρεπε να αντιμετωπισθούν</w:t>
      </w:r>
      <w:r w:rsidR="00880F4B" w:rsidRPr="00B55AF7">
        <w:rPr>
          <w:rFonts w:cstheme="minorHAnsi"/>
          <w:sz w:val="24"/>
          <w:szCs w:val="24"/>
          <w:lang w:val="el-GR"/>
        </w:rPr>
        <w:t>/</w:t>
      </w:r>
      <w:r w:rsidR="00AA02AA">
        <w:rPr>
          <w:rFonts w:cstheme="minorHAnsi"/>
          <w:sz w:val="24"/>
          <w:szCs w:val="24"/>
          <w:lang w:val="el-GR"/>
        </w:rPr>
        <w:t>διορθωθούν</w:t>
      </w:r>
      <w:r w:rsidR="00880F4B" w:rsidRPr="00B55AF7">
        <w:rPr>
          <w:rFonts w:cstheme="minorHAnsi"/>
          <w:sz w:val="24"/>
          <w:szCs w:val="24"/>
          <w:lang w:val="el-GR"/>
        </w:rPr>
        <w:t xml:space="preserve"> </w:t>
      </w:r>
      <w:r w:rsidR="00AA02AA">
        <w:rPr>
          <w:rFonts w:cstheme="minorHAnsi"/>
          <w:sz w:val="24"/>
          <w:szCs w:val="24"/>
          <w:lang w:val="el-GR"/>
        </w:rPr>
        <w:t>για ολόκληρο τον οργανισμό</w:t>
      </w:r>
      <w:r w:rsidR="00880F4B" w:rsidRPr="00B55AF7">
        <w:rPr>
          <w:rFonts w:cstheme="minorHAnsi"/>
          <w:sz w:val="24"/>
          <w:szCs w:val="24"/>
          <w:lang w:val="el-GR"/>
        </w:rPr>
        <w:t xml:space="preserve"> </w:t>
      </w:r>
      <w:r w:rsidR="00AA02AA">
        <w:rPr>
          <w:rFonts w:cstheme="minorHAnsi"/>
          <w:sz w:val="24"/>
          <w:szCs w:val="24"/>
          <w:lang w:val="el-GR"/>
        </w:rPr>
        <w:t xml:space="preserve">και πέραν της </w:t>
      </w:r>
      <w:r w:rsidR="00973266">
        <w:rPr>
          <w:rFonts w:cstheme="minorHAnsi"/>
          <w:sz w:val="24"/>
          <w:szCs w:val="24"/>
          <w:lang w:val="el-GR"/>
        </w:rPr>
        <w:t>μεμονωμένης</w:t>
      </w:r>
      <w:r w:rsidR="00AA02AA">
        <w:rPr>
          <w:rFonts w:cstheme="minorHAnsi"/>
          <w:sz w:val="24"/>
          <w:szCs w:val="24"/>
          <w:lang w:val="el-GR"/>
        </w:rPr>
        <w:t xml:space="preserve"> περίπτωσης</w:t>
      </w:r>
      <w:r w:rsidR="00572530" w:rsidRPr="00B55AF7">
        <w:rPr>
          <w:rFonts w:cstheme="minorHAnsi"/>
          <w:sz w:val="24"/>
          <w:szCs w:val="24"/>
          <w:lang w:val="el-GR"/>
        </w:rPr>
        <w:t xml:space="preserve">. </w:t>
      </w:r>
      <w:r w:rsidR="00AA02AA">
        <w:rPr>
          <w:rFonts w:cstheme="minorHAnsi"/>
          <w:sz w:val="24"/>
          <w:szCs w:val="24"/>
          <w:lang w:val="el-GR"/>
        </w:rPr>
        <w:t>Επιπλέον</w:t>
      </w:r>
      <w:r w:rsidR="00572530" w:rsidRPr="00AA02AA">
        <w:rPr>
          <w:rFonts w:cstheme="minorHAnsi"/>
          <w:sz w:val="24"/>
          <w:szCs w:val="24"/>
          <w:lang w:val="el-GR"/>
        </w:rPr>
        <w:t xml:space="preserve">, </w:t>
      </w:r>
      <w:r w:rsidR="00AA02AA">
        <w:rPr>
          <w:rFonts w:cstheme="minorHAnsi"/>
          <w:sz w:val="24"/>
          <w:szCs w:val="24"/>
          <w:lang w:val="el-GR"/>
        </w:rPr>
        <w:t>για</w:t>
      </w:r>
      <w:r w:rsidR="00AA02AA" w:rsidRPr="00AA02AA">
        <w:rPr>
          <w:rFonts w:cstheme="minorHAnsi"/>
          <w:sz w:val="24"/>
          <w:szCs w:val="24"/>
          <w:lang w:val="el-GR"/>
        </w:rPr>
        <w:t xml:space="preserve"> </w:t>
      </w:r>
      <w:r w:rsidR="00AA02AA">
        <w:rPr>
          <w:rFonts w:cstheme="minorHAnsi"/>
          <w:sz w:val="24"/>
          <w:szCs w:val="24"/>
          <w:lang w:val="el-GR"/>
        </w:rPr>
        <w:t>σκοπούς</w:t>
      </w:r>
      <w:r w:rsidR="00AA02AA" w:rsidRPr="00AA02AA">
        <w:rPr>
          <w:rFonts w:cstheme="minorHAnsi"/>
          <w:sz w:val="24"/>
          <w:szCs w:val="24"/>
          <w:lang w:val="el-GR"/>
        </w:rPr>
        <w:t xml:space="preserve"> </w:t>
      </w:r>
      <w:r w:rsidR="00AA02AA">
        <w:rPr>
          <w:rFonts w:cstheme="minorHAnsi"/>
          <w:sz w:val="24"/>
          <w:szCs w:val="24"/>
          <w:lang w:val="el-GR"/>
        </w:rPr>
        <w:t>αξιολόγησης</w:t>
      </w:r>
      <w:r w:rsidR="00AA02AA" w:rsidRPr="00AA02AA">
        <w:rPr>
          <w:rFonts w:cstheme="minorHAnsi"/>
          <w:sz w:val="24"/>
          <w:szCs w:val="24"/>
          <w:lang w:val="el-GR"/>
        </w:rPr>
        <w:t xml:space="preserve"> </w:t>
      </w:r>
      <w:r w:rsidR="00AA02AA">
        <w:rPr>
          <w:rFonts w:cstheme="minorHAnsi"/>
          <w:sz w:val="24"/>
          <w:szCs w:val="24"/>
          <w:lang w:val="el-GR"/>
        </w:rPr>
        <w:t>του</w:t>
      </w:r>
      <w:r w:rsidR="00AA02AA" w:rsidRPr="00AA02AA">
        <w:rPr>
          <w:rFonts w:cstheme="minorHAnsi"/>
          <w:sz w:val="24"/>
          <w:szCs w:val="24"/>
          <w:lang w:val="el-GR"/>
        </w:rPr>
        <w:t xml:space="preserve"> </w:t>
      </w:r>
      <w:r w:rsidR="00AA02AA">
        <w:rPr>
          <w:rFonts w:cstheme="minorHAnsi"/>
          <w:sz w:val="24"/>
          <w:szCs w:val="24"/>
          <w:lang w:val="el-GR"/>
        </w:rPr>
        <w:t>κινδύνου</w:t>
      </w:r>
      <w:r w:rsidR="00572530" w:rsidRPr="00AA02AA">
        <w:rPr>
          <w:rFonts w:cstheme="minorHAnsi"/>
          <w:sz w:val="24"/>
          <w:szCs w:val="24"/>
          <w:lang w:val="el-GR"/>
        </w:rPr>
        <w:t xml:space="preserve">, </w:t>
      </w:r>
      <w:r w:rsidR="00AA02AA">
        <w:rPr>
          <w:rFonts w:cstheme="minorHAnsi"/>
          <w:sz w:val="24"/>
          <w:szCs w:val="24"/>
          <w:lang w:val="el-GR"/>
        </w:rPr>
        <w:t>η</w:t>
      </w:r>
      <w:r w:rsidR="00572530" w:rsidRPr="00AA02AA">
        <w:rPr>
          <w:rFonts w:cstheme="minorHAnsi"/>
          <w:sz w:val="24"/>
          <w:szCs w:val="24"/>
          <w:lang w:val="el-GR"/>
        </w:rPr>
        <w:t xml:space="preserve"> </w:t>
      </w:r>
      <w:r w:rsidR="00572530" w:rsidRPr="004E251E">
        <w:rPr>
          <w:rFonts w:cstheme="minorHAnsi"/>
          <w:sz w:val="24"/>
          <w:szCs w:val="24"/>
        </w:rPr>
        <w:t>GET</w:t>
      </w:r>
      <w:r w:rsidR="00572530" w:rsidRPr="00AA02AA">
        <w:rPr>
          <w:rFonts w:cstheme="minorHAnsi"/>
          <w:sz w:val="24"/>
          <w:szCs w:val="24"/>
          <w:lang w:val="el-GR"/>
        </w:rPr>
        <w:t xml:space="preserve"> </w:t>
      </w:r>
      <w:r w:rsidR="00AA02AA">
        <w:rPr>
          <w:rFonts w:cstheme="minorHAnsi"/>
          <w:sz w:val="24"/>
          <w:szCs w:val="24"/>
          <w:lang w:val="el-GR"/>
        </w:rPr>
        <w:t>υπογραμμίζει</w:t>
      </w:r>
      <w:r w:rsidR="00AA02AA" w:rsidRPr="00AA02AA">
        <w:rPr>
          <w:rFonts w:cstheme="minorHAnsi"/>
          <w:sz w:val="24"/>
          <w:szCs w:val="24"/>
          <w:lang w:val="el-GR"/>
        </w:rPr>
        <w:t xml:space="preserve"> </w:t>
      </w:r>
      <w:r w:rsidR="00AA02AA">
        <w:rPr>
          <w:rFonts w:cstheme="minorHAnsi"/>
          <w:sz w:val="24"/>
          <w:szCs w:val="24"/>
          <w:lang w:val="el-GR"/>
        </w:rPr>
        <w:t>την</w:t>
      </w:r>
      <w:r w:rsidR="00AA02AA" w:rsidRPr="00AA02AA">
        <w:rPr>
          <w:rFonts w:cstheme="minorHAnsi"/>
          <w:sz w:val="24"/>
          <w:szCs w:val="24"/>
          <w:lang w:val="el-GR"/>
        </w:rPr>
        <w:t xml:space="preserve"> </w:t>
      </w:r>
      <w:r w:rsidR="00AA02AA">
        <w:rPr>
          <w:rFonts w:cstheme="minorHAnsi"/>
          <w:sz w:val="24"/>
          <w:szCs w:val="24"/>
          <w:lang w:val="el-GR"/>
        </w:rPr>
        <w:t>σημασία</w:t>
      </w:r>
      <w:r w:rsidR="00AA02AA" w:rsidRPr="00AA02AA">
        <w:rPr>
          <w:rFonts w:cstheme="minorHAnsi"/>
          <w:sz w:val="24"/>
          <w:szCs w:val="24"/>
          <w:lang w:val="el-GR"/>
        </w:rPr>
        <w:t xml:space="preserve"> </w:t>
      </w:r>
      <w:r w:rsidR="00AA02AA">
        <w:rPr>
          <w:rFonts w:cstheme="minorHAnsi"/>
          <w:sz w:val="24"/>
          <w:szCs w:val="24"/>
          <w:lang w:val="el-GR"/>
        </w:rPr>
        <w:t>να</w:t>
      </w:r>
      <w:r w:rsidR="00AA02AA" w:rsidRPr="00AA02AA">
        <w:rPr>
          <w:rFonts w:cstheme="minorHAnsi"/>
          <w:sz w:val="24"/>
          <w:szCs w:val="24"/>
          <w:lang w:val="el-GR"/>
        </w:rPr>
        <w:t xml:space="preserve"> </w:t>
      </w:r>
      <w:r w:rsidR="00AA02AA">
        <w:rPr>
          <w:rFonts w:cstheme="minorHAnsi"/>
          <w:sz w:val="24"/>
          <w:szCs w:val="24"/>
          <w:lang w:val="el-GR"/>
        </w:rPr>
        <w:t>εξετασθούν</w:t>
      </w:r>
      <w:r w:rsidR="00AA02AA" w:rsidRPr="00AA02AA">
        <w:rPr>
          <w:rFonts w:cstheme="minorHAnsi"/>
          <w:sz w:val="24"/>
          <w:szCs w:val="24"/>
          <w:lang w:val="el-GR"/>
        </w:rPr>
        <w:t xml:space="preserve"> </w:t>
      </w:r>
      <w:r w:rsidR="00AA02AA">
        <w:rPr>
          <w:rFonts w:cstheme="minorHAnsi"/>
          <w:sz w:val="24"/>
          <w:szCs w:val="24"/>
          <w:lang w:val="el-GR"/>
        </w:rPr>
        <w:t>όχι</w:t>
      </w:r>
      <w:r w:rsidR="00AA02AA" w:rsidRPr="00AA02AA">
        <w:rPr>
          <w:rFonts w:cstheme="minorHAnsi"/>
          <w:sz w:val="24"/>
          <w:szCs w:val="24"/>
          <w:lang w:val="el-GR"/>
        </w:rPr>
        <w:t xml:space="preserve"> </w:t>
      </w:r>
      <w:r w:rsidR="00AA02AA">
        <w:rPr>
          <w:rFonts w:cstheme="minorHAnsi"/>
          <w:sz w:val="24"/>
          <w:szCs w:val="24"/>
          <w:lang w:val="el-GR"/>
        </w:rPr>
        <w:t>μόνο</w:t>
      </w:r>
      <w:r w:rsidR="00AA02AA" w:rsidRPr="00AA02AA">
        <w:rPr>
          <w:rFonts w:cstheme="minorHAnsi"/>
          <w:sz w:val="24"/>
          <w:szCs w:val="24"/>
          <w:lang w:val="el-GR"/>
        </w:rPr>
        <w:t xml:space="preserve"> </w:t>
      </w:r>
      <w:r w:rsidR="00AA02AA">
        <w:rPr>
          <w:rFonts w:cstheme="minorHAnsi"/>
          <w:sz w:val="24"/>
          <w:szCs w:val="24"/>
          <w:lang w:val="el-GR"/>
        </w:rPr>
        <w:t>οι</w:t>
      </w:r>
      <w:r w:rsidR="00AA02AA" w:rsidRPr="00AA02AA">
        <w:rPr>
          <w:rFonts w:cstheme="minorHAnsi"/>
          <w:sz w:val="24"/>
          <w:szCs w:val="24"/>
          <w:lang w:val="el-GR"/>
        </w:rPr>
        <w:t xml:space="preserve"> </w:t>
      </w:r>
      <w:proofErr w:type="spellStart"/>
      <w:r w:rsidR="00AA02AA">
        <w:rPr>
          <w:rFonts w:cstheme="minorHAnsi"/>
          <w:sz w:val="24"/>
          <w:szCs w:val="24"/>
          <w:lang w:val="el-GR"/>
        </w:rPr>
        <w:t>ενδο</w:t>
      </w:r>
      <w:r w:rsidR="00937A79">
        <w:rPr>
          <w:rFonts w:cstheme="minorHAnsi"/>
          <w:sz w:val="24"/>
          <w:szCs w:val="24"/>
          <w:lang w:val="el-GR"/>
        </w:rPr>
        <w:t>-</w:t>
      </w:r>
      <w:r w:rsidR="00AA02AA">
        <w:rPr>
          <w:rFonts w:cstheme="minorHAnsi"/>
          <w:sz w:val="24"/>
          <w:szCs w:val="24"/>
          <w:lang w:val="el-GR"/>
        </w:rPr>
        <w:t>ϋπηρεσιακές</w:t>
      </w:r>
      <w:proofErr w:type="spellEnd"/>
      <w:r w:rsidR="00AA02AA" w:rsidRPr="00AA02AA">
        <w:rPr>
          <w:rFonts w:cstheme="minorHAnsi"/>
          <w:sz w:val="24"/>
          <w:szCs w:val="24"/>
          <w:lang w:val="el-GR"/>
        </w:rPr>
        <w:t xml:space="preserve"> </w:t>
      </w:r>
      <w:r w:rsidR="00AA02AA">
        <w:rPr>
          <w:rFonts w:cstheme="minorHAnsi"/>
          <w:sz w:val="24"/>
          <w:szCs w:val="24"/>
          <w:lang w:val="el-GR"/>
        </w:rPr>
        <w:t>επικουρικές</w:t>
      </w:r>
      <w:r w:rsidR="00AA02AA" w:rsidRPr="00AA02AA">
        <w:rPr>
          <w:rFonts w:cstheme="minorHAnsi"/>
          <w:sz w:val="24"/>
          <w:szCs w:val="24"/>
          <w:lang w:val="el-GR"/>
        </w:rPr>
        <w:t xml:space="preserve"> </w:t>
      </w:r>
      <w:r w:rsidR="00AA02AA">
        <w:rPr>
          <w:rFonts w:cstheme="minorHAnsi"/>
          <w:sz w:val="24"/>
          <w:szCs w:val="24"/>
          <w:lang w:val="el-GR"/>
        </w:rPr>
        <w:t>δραστηριότητες</w:t>
      </w:r>
      <w:r w:rsidR="00572530" w:rsidRPr="00AA02AA">
        <w:rPr>
          <w:rFonts w:cstheme="minorHAnsi"/>
          <w:sz w:val="24"/>
          <w:szCs w:val="24"/>
          <w:lang w:val="el-GR"/>
        </w:rPr>
        <w:t xml:space="preserve">, </w:t>
      </w:r>
      <w:r w:rsidR="00AA02AA">
        <w:rPr>
          <w:rFonts w:cstheme="minorHAnsi"/>
          <w:sz w:val="24"/>
          <w:szCs w:val="24"/>
          <w:lang w:val="el-GR"/>
        </w:rPr>
        <w:t xml:space="preserve">αλλά επίσης την </w:t>
      </w:r>
      <w:proofErr w:type="spellStart"/>
      <w:r w:rsidR="00AA02AA">
        <w:rPr>
          <w:rFonts w:cstheme="minorHAnsi"/>
          <w:sz w:val="24"/>
          <w:szCs w:val="24"/>
          <w:lang w:val="el-GR"/>
        </w:rPr>
        <w:t>μετα</w:t>
      </w:r>
      <w:proofErr w:type="spellEnd"/>
      <w:r w:rsidR="00AA02AA">
        <w:rPr>
          <w:rFonts w:cstheme="minorHAnsi"/>
          <w:sz w:val="24"/>
          <w:szCs w:val="24"/>
          <w:lang w:val="el-GR"/>
        </w:rPr>
        <w:t xml:space="preserve">-υπηρεσιακή </w:t>
      </w:r>
      <w:proofErr w:type="spellStart"/>
      <w:r w:rsidR="00AA02AA">
        <w:rPr>
          <w:rFonts w:cstheme="minorHAnsi"/>
          <w:sz w:val="24"/>
          <w:szCs w:val="24"/>
          <w:lang w:val="el-GR"/>
        </w:rPr>
        <w:t>εργοδότηση</w:t>
      </w:r>
      <w:proofErr w:type="spellEnd"/>
      <w:r w:rsidR="00572530" w:rsidRPr="00AA02AA">
        <w:rPr>
          <w:rFonts w:cstheme="minorHAnsi"/>
          <w:sz w:val="24"/>
          <w:szCs w:val="24"/>
          <w:lang w:val="el-GR"/>
        </w:rPr>
        <w:t xml:space="preserve">, </w:t>
      </w:r>
      <w:r w:rsidR="00AA02AA">
        <w:rPr>
          <w:rFonts w:cstheme="minorHAnsi"/>
          <w:sz w:val="24"/>
          <w:szCs w:val="24"/>
          <w:lang w:val="el-GR"/>
        </w:rPr>
        <w:t xml:space="preserve">ούτως ώστε να αποφευχθούν </w:t>
      </w:r>
      <w:r w:rsidR="00A21BFD">
        <w:rPr>
          <w:rFonts w:cstheme="minorHAnsi"/>
          <w:sz w:val="24"/>
          <w:szCs w:val="24"/>
          <w:lang w:val="el-GR"/>
        </w:rPr>
        <w:t>οι ακατάλληλες αναθέσεις στον ιδιωτικό τομέα</w:t>
      </w:r>
      <w:r w:rsidR="00572530" w:rsidRPr="00AA02AA">
        <w:rPr>
          <w:rFonts w:cstheme="minorHAnsi"/>
          <w:sz w:val="24"/>
          <w:szCs w:val="24"/>
          <w:lang w:val="el-GR"/>
        </w:rPr>
        <w:t xml:space="preserve"> </w:t>
      </w:r>
      <w:r w:rsidR="00A21BFD">
        <w:rPr>
          <w:rFonts w:cstheme="minorHAnsi"/>
          <w:sz w:val="24"/>
          <w:szCs w:val="24"/>
          <w:lang w:val="el-GR"/>
        </w:rPr>
        <w:t>που θα μπορούσαν να δημιουργήσουν καταστάσεις σύγκρουσης συμφερόντων</w:t>
      </w:r>
      <w:r w:rsidR="00572530" w:rsidRPr="00AA02AA">
        <w:rPr>
          <w:rFonts w:cstheme="minorHAnsi"/>
          <w:sz w:val="24"/>
          <w:szCs w:val="24"/>
          <w:lang w:val="el-GR"/>
        </w:rPr>
        <w:t>.</w:t>
      </w:r>
    </w:p>
    <w:p w14:paraId="0E775BEF" w14:textId="6223C95E" w:rsidR="00220066" w:rsidRPr="004E251E" w:rsidRDefault="00A21BFD" w:rsidP="00220066">
      <w:pPr>
        <w:pStyle w:val="Heading3"/>
        <w:rPr>
          <w:rFonts w:asciiTheme="minorHAnsi" w:hAnsiTheme="minorHAnsi" w:cstheme="minorHAnsi"/>
          <w:b w:val="0"/>
          <w:bCs w:val="0"/>
          <w:i/>
          <w:iCs/>
          <w:color w:val="auto"/>
          <w:sz w:val="24"/>
          <w:szCs w:val="24"/>
        </w:rPr>
      </w:pPr>
      <w:bookmarkStart w:id="220" w:name="_Toc117445176"/>
      <w:bookmarkStart w:id="221" w:name="_Toc136879380"/>
      <w:bookmarkStart w:id="222" w:name="_Toc110430337"/>
      <w:r>
        <w:rPr>
          <w:rFonts w:asciiTheme="minorHAnsi" w:hAnsiTheme="minorHAnsi" w:cstheme="minorHAnsi"/>
          <w:b w:val="0"/>
          <w:bCs w:val="0"/>
          <w:i/>
          <w:iCs/>
          <w:color w:val="auto"/>
          <w:sz w:val="24"/>
          <w:szCs w:val="24"/>
          <w:lang w:val="el-GR"/>
        </w:rPr>
        <w:t>Απόρριψη και απόσυρση ρουτίνας</w:t>
      </w:r>
      <w:bookmarkEnd w:id="220"/>
      <w:bookmarkEnd w:id="221"/>
    </w:p>
    <w:p w14:paraId="140EA6DC" w14:textId="77777777" w:rsidR="00220066" w:rsidRPr="004E251E" w:rsidRDefault="00220066" w:rsidP="00220066">
      <w:pPr>
        <w:keepNext/>
        <w:rPr>
          <w:rFonts w:cstheme="minorHAnsi"/>
          <w:bCs/>
          <w:sz w:val="24"/>
          <w:szCs w:val="24"/>
        </w:rPr>
      </w:pPr>
    </w:p>
    <w:p w14:paraId="112400E5" w14:textId="5EDA1714" w:rsidR="00220066" w:rsidRPr="00937A79" w:rsidRDefault="00A21BFD"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Υπάρχουν</w:t>
      </w:r>
      <w:r w:rsidRPr="00A21BFD">
        <w:rPr>
          <w:rFonts w:cstheme="minorHAnsi"/>
          <w:sz w:val="24"/>
          <w:szCs w:val="24"/>
          <w:lang w:val="el-GR"/>
        </w:rPr>
        <w:t xml:space="preserve"> </w:t>
      </w:r>
      <w:r>
        <w:rPr>
          <w:rFonts w:cstheme="minorHAnsi"/>
          <w:sz w:val="24"/>
          <w:szCs w:val="24"/>
          <w:lang w:val="el-GR"/>
        </w:rPr>
        <w:t>κανόνες</w:t>
      </w:r>
      <w:r w:rsidRPr="00A21BFD">
        <w:rPr>
          <w:rFonts w:cstheme="minorHAnsi"/>
          <w:sz w:val="24"/>
          <w:szCs w:val="24"/>
          <w:lang w:val="el-GR"/>
        </w:rPr>
        <w:t xml:space="preserve"> </w:t>
      </w:r>
      <w:r>
        <w:rPr>
          <w:rFonts w:cstheme="minorHAnsi"/>
          <w:sz w:val="24"/>
          <w:szCs w:val="24"/>
          <w:lang w:val="el-GR"/>
        </w:rPr>
        <w:t>που</w:t>
      </w:r>
      <w:r w:rsidRPr="00A21BFD">
        <w:rPr>
          <w:rFonts w:cstheme="minorHAnsi"/>
          <w:sz w:val="24"/>
          <w:szCs w:val="24"/>
          <w:lang w:val="el-GR"/>
        </w:rPr>
        <w:t xml:space="preserve"> </w:t>
      </w:r>
      <w:r>
        <w:rPr>
          <w:rFonts w:cstheme="minorHAnsi"/>
          <w:sz w:val="24"/>
          <w:szCs w:val="24"/>
          <w:lang w:val="el-GR"/>
        </w:rPr>
        <w:t>ισχύουν</w:t>
      </w:r>
      <w:r w:rsidRPr="00A21BFD">
        <w:rPr>
          <w:rFonts w:cstheme="minorHAnsi"/>
          <w:sz w:val="24"/>
          <w:szCs w:val="24"/>
          <w:lang w:val="el-GR"/>
        </w:rPr>
        <w:t xml:space="preserve"> </w:t>
      </w:r>
      <w:r>
        <w:rPr>
          <w:rFonts w:cstheme="minorHAnsi"/>
          <w:sz w:val="24"/>
          <w:szCs w:val="24"/>
          <w:lang w:val="el-GR"/>
        </w:rPr>
        <w:t>για</w:t>
      </w:r>
      <w:r w:rsidRPr="00A21BFD">
        <w:rPr>
          <w:rFonts w:cstheme="minorHAnsi"/>
          <w:sz w:val="24"/>
          <w:szCs w:val="24"/>
          <w:lang w:val="el-GR"/>
        </w:rPr>
        <w:t xml:space="preserve"> </w:t>
      </w:r>
      <w:r>
        <w:rPr>
          <w:rFonts w:cstheme="minorHAnsi"/>
          <w:sz w:val="24"/>
          <w:szCs w:val="24"/>
          <w:lang w:val="el-GR"/>
        </w:rPr>
        <w:t>όλους</w:t>
      </w:r>
      <w:r w:rsidRPr="00A21BFD">
        <w:rPr>
          <w:rFonts w:cstheme="minorHAnsi"/>
          <w:sz w:val="24"/>
          <w:szCs w:val="24"/>
          <w:lang w:val="el-GR"/>
        </w:rPr>
        <w:t xml:space="preserve"> </w:t>
      </w:r>
      <w:r>
        <w:rPr>
          <w:rFonts w:cstheme="minorHAnsi"/>
          <w:sz w:val="24"/>
          <w:szCs w:val="24"/>
          <w:lang w:val="el-GR"/>
        </w:rPr>
        <w:t>τους</w:t>
      </w:r>
      <w:r w:rsidRPr="00A21BFD">
        <w:rPr>
          <w:rFonts w:cstheme="minorHAnsi"/>
          <w:sz w:val="24"/>
          <w:szCs w:val="24"/>
          <w:lang w:val="el-GR"/>
        </w:rPr>
        <w:t xml:space="preserve"> </w:t>
      </w:r>
      <w:r>
        <w:rPr>
          <w:rFonts w:cstheme="minorHAnsi"/>
          <w:sz w:val="24"/>
          <w:szCs w:val="24"/>
          <w:lang w:val="el-GR"/>
        </w:rPr>
        <w:t>δημοσίους</w:t>
      </w:r>
      <w:r w:rsidRPr="00A21BFD">
        <w:rPr>
          <w:rFonts w:cstheme="minorHAnsi"/>
          <w:sz w:val="24"/>
          <w:szCs w:val="24"/>
          <w:lang w:val="el-GR"/>
        </w:rPr>
        <w:t xml:space="preserve"> </w:t>
      </w:r>
      <w:r>
        <w:rPr>
          <w:rFonts w:cstheme="minorHAnsi"/>
          <w:sz w:val="24"/>
          <w:szCs w:val="24"/>
          <w:lang w:val="el-GR"/>
        </w:rPr>
        <w:t>αξιωματούχους</w:t>
      </w:r>
      <w:r w:rsidR="00220066" w:rsidRPr="00A21BFD">
        <w:rPr>
          <w:rFonts w:cstheme="minorHAnsi"/>
          <w:sz w:val="24"/>
          <w:szCs w:val="24"/>
          <w:lang w:val="el-GR"/>
        </w:rPr>
        <w:t xml:space="preserve"> (</w:t>
      </w:r>
      <w:r>
        <w:rPr>
          <w:rFonts w:cstheme="minorHAnsi"/>
          <w:sz w:val="24"/>
          <w:szCs w:val="24"/>
          <w:lang w:val="el-GR"/>
        </w:rPr>
        <w:t>επομένως</w:t>
      </w:r>
      <w:r w:rsidR="00937A79">
        <w:rPr>
          <w:rFonts w:cstheme="minorHAnsi"/>
          <w:sz w:val="24"/>
          <w:szCs w:val="24"/>
          <w:lang w:val="el-GR"/>
        </w:rPr>
        <w:t>,</w:t>
      </w:r>
      <w:r w:rsidRPr="00A21BFD">
        <w:rPr>
          <w:rFonts w:cstheme="minorHAnsi"/>
          <w:sz w:val="24"/>
          <w:szCs w:val="24"/>
          <w:lang w:val="el-GR"/>
        </w:rPr>
        <w:t xml:space="preserve"> </w:t>
      </w:r>
      <w:r>
        <w:rPr>
          <w:rFonts w:cstheme="minorHAnsi"/>
          <w:sz w:val="24"/>
          <w:szCs w:val="24"/>
          <w:lang w:val="el-GR"/>
        </w:rPr>
        <w:t>εφαρμόσιμους</w:t>
      </w:r>
      <w:r w:rsidRPr="00A21BFD">
        <w:rPr>
          <w:rFonts w:cstheme="minorHAnsi"/>
          <w:sz w:val="24"/>
          <w:szCs w:val="24"/>
          <w:lang w:val="el-GR"/>
        </w:rPr>
        <w:t xml:space="preserve"> </w:t>
      </w:r>
      <w:r>
        <w:rPr>
          <w:rFonts w:cstheme="minorHAnsi"/>
          <w:sz w:val="24"/>
          <w:szCs w:val="24"/>
          <w:lang w:val="el-GR"/>
        </w:rPr>
        <w:t>επίσης</w:t>
      </w:r>
      <w:r w:rsidRPr="00A21BFD">
        <w:rPr>
          <w:rFonts w:cstheme="minorHAnsi"/>
          <w:sz w:val="24"/>
          <w:szCs w:val="24"/>
          <w:lang w:val="el-GR"/>
        </w:rPr>
        <w:t xml:space="preserve"> </w:t>
      </w:r>
      <w:r>
        <w:rPr>
          <w:rFonts w:cstheme="minorHAnsi"/>
          <w:sz w:val="24"/>
          <w:szCs w:val="24"/>
          <w:lang w:val="el-GR"/>
        </w:rPr>
        <w:t>στους</w:t>
      </w:r>
      <w:r w:rsidRPr="00A21BFD">
        <w:rPr>
          <w:rFonts w:cstheme="minorHAnsi"/>
          <w:sz w:val="24"/>
          <w:szCs w:val="24"/>
          <w:lang w:val="el-GR"/>
        </w:rPr>
        <w:t xml:space="preserve"> </w:t>
      </w:r>
      <w:r>
        <w:rPr>
          <w:rFonts w:cstheme="minorHAnsi"/>
          <w:sz w:val="24"/>
          <w:szCs w:val="24"/>
          <w:lang w:val="el-GR"/>
        </w:rPr>
        <w:t>ΑΕΝ</w:t>
      </w:r>
      <w:r w:rsidR="00220066" w:rsidRPr="00A21BFD">
        <w:rPr>
          <w:rFonts w:cstheme="minorHAnsi"/>
          <w:sz w:val="24"/>
          <w:szCs w:val="24"/>
          <w:lang w:val="el-GR"/>
        </w:rPr>
        <w:t xml:space="preserve">) </w:t>
      </w:r>
      <w:r>
        <w:rPr>
          <w:rFonts w:cstheme="minorHAnsi"/>
          <w:sz w:val="24"/>
          <w:szCs w:val="24"/>
          <w:lang w:val="el-GR"/>
        </w:rPr>
        <w:t>για</w:t>
      </w:r>
      <w:r w:rsidRPr="00A21BFD">
        <w:rPr>
          <w:rFonts w:cstheme="minorHAnsi"/>
          <w:sz w:val="24"/>
          <w:szCs w:val="24"/>
          <w:lang w:val="el-GR"/>
        </w:rPr>
        <w:t xml:space="preserve"> </w:t>
      </w:r>
      <w:r>
        <w:rPr>
          <w:rFonts w:cstheme="minorHAnsi"/>
          <w:sz w:val="24"/>
          <w:szCs w:val="24"/>
          <w:lang w:val="el-GR"/>
        </w:rPr>
        <w:t>να</w:t>
      </w:r>
      <w:r w:rsidRPr="00A21BFD">
        <w:rPr>
          <w:rFonts w:cstheme="minorHAnsi"/>
          <w:sz w:val="24"/>
          <w:szCs w:val="24"/>
          <w:lang w:val="el-GR"/>
        </w:rPr>
        <w:t xml:space="preserve"> </w:t>
      </w:r>
      <w:r>
        <w:rPr>
          <w:rFonts w:cstheme="minorHAnsi"/>
          <w:sz w:val="24"/>
          <w:szCs w:val="24"/>
          <w:lang w:val="el-GR"/>
        </w:rPr>
        <w:t>μην</w:t>
      </w:r>
      <w:r w:rsidRPr="00A21BFD">
        <w:rPr>
          <w:rFonts w:cstheme="minorHAnsi"/>
          <w:sz w:val="24"/>
          <w:szCs w:val="24"/>
          <w:lang w:val="el-GR"/>
        </w:rPr>
        <w:t xml:space="preserve"> </w:t>
      </w:r>
      <w:r>
        <w:rPr>
          <w:rFonts w:cstheme="minorHAnsi"/>
          <w:sz w:val="24"/>
          <w:szCs w:val="24"/>
          <w:lang w:val="el-GR"/>
        </w:rPr>
        <w:t>ενασχοληθούν</w:t>
      </w:r>
      <w:r w:rsidRPr="00A21BFD">
        <w:rPr>
          <w:rFonts w:cstheme="minorHAnsi"/>
          <w:sz w:val="24"/>
          <w:szCs w:val="24"/>
          <w:lang w:val="el-GR"/>
        </w:rPr>
        <w:t xml:space="preserve"> </w:t>
      </w:r>
      <w:r>
        <w:rPr>
          <w:rFonts w:cstheme="minorHAnsi"/>
          <w:sz w:val="24"/>
          <w:szCs w:val="24"/>
          <w:lang w:val="el-GR"/>
        </w:rPr>
        <w:t>με</w:t>
      </w:r>
      <w:r w:rsidRPr="00A21BFD">
        <w:rPr>
          <w:rFonts w:cstheme="minorHAnsi"/>
          <w:sz w:val="24"/>
          <w:szCs w:val="24"/>
          <w:lang w:val="el-GR"/>
        </w:rPr>
        <w:t xml:space="preserve"> </w:t>
      </w:r>
      <w:r>
        <w:rPr>
          <w:rFonts w:cstheme="minorHAnsi"/>
          <w:sz w:val="24"/>
          <w:szCs w:val="24"/>
          <w:lang w:val="el-GR"/>
        </w:rPr>
        <w:t>θέματα</w:t>
      </w:r>
      <w:r w:rsidRPr="00A21BFD">
        <w:rPr>
          <w:rFonts w:cstheme="minorHAnsi"/>
          <w:sz w:val="24"/>
          <w:szCs w:val="24"/>
          <w:lang w:val="el-GR"/>
        </w:rPr>
        <w:t xml:space="preserve"> </w:t>
      </w:r>
      <w:r>
        <w:rPr>
          <w:rFonts w:cstheme="minorHAnsi"/>
          <w:sz w:val="24"/>
          <w:szCs w:val="24"/>
          <w:lang w:val="el-GR"/>
        </w:rPr>
        <w:t>όπου</w:t>
      </w:r>
      <w:r w:rsidRPr="00A21BFD">
        <w:rPr>
          <w:rFonts w:cstheme="minorHAnsi"/>
          <w:sz w:val="24"/>
          <w:szCs w:val="24"/>
          <w:lang w:val="el-GR"/>
        </w:rPr>
        <w:t xml:space="preserve"> </w:t>
      </w:r>
      <w:r>
        <w:rPr>
          <w:rFonts w:cstheme="minorHAnsi"/>
          <w:sz w:val="24"/>
          <w:szCs w:val="24"/>
          <w:lang w:val="el-GR"/>
        </w:rPr>
        <w:t>οι</w:t>
      </w:r>
      <w:r w:rsidRPr="00A21BFD">
        <w:rPr>
          <w:rFonts w:cstheme="minorHAnsi"/>
          <w:sz w:val="24"/>
          <w:szCs w:val="24"/>
          <w:lang w:val="el-GR"/>
        </w:rPr>
        <w:t xml:space="preserve"> </w:t>
      </w:r>
      <w:r>
        <w:rPr>
          <w:rFonts w:cstheme="minorHAnsi"/>
          <w:sz w:val="24"/>
          <w:szCs w:val="24"/>
          <w:lang w:val="el-GR"/>
        </w:rPr>
        <w:t>ίδιοι</w:t>
      </w:r>
      <w:r w:rsidR="00220066" w:rsidRPr="00A21BFD">
        <w:rPr>
          <w:rFonts w:cstheme="minorHAnsi"/>
          <w:sz w:val="24"/>
          <w:szCs w:val="24"/>
          <w:lang w:val="el-GR"/>
        </w:rPr>
        <w:t xml:space="preserve">, </w:t>
      </w:r>
      <w:r>
        <w:rPr>
          <w:rFonts w:cstheme="minorHAnsi"/>
          <w:sz w:val="24"/>
          <w:szCs w:val="24"/>
          <w:lang w:val="el-GR"/>
        </w:rPr>
        <w:t>ή ένας στενός συγγενής</w:t>
      </w:r>
      <w:r w:rsidR="00220066" w:rsidRPr="00A21BFD">
        <w:rPr>
          <w:rFonts w:cstheme="minorHAnsi"/>
          <w:sz w:val="24"/>
          <w:szCs w:val="24"/>
          <w:lang w:val="el-GR"/>
        </w:rPr>
        <w:t xml:space="preserve">, </w:t>
      </w:r>
      <w:r>
        <w:rPr>
          <w:rFonts w:cstheme="minorHAnsi"/>
          <w:sz w:val="24"/>
          <w:szCs w:val="24"/>
          <w:lang w:val="el-GR"/>
        </w:rPr>
        <w:t>μπορεί να έχει προσωπικό όφελος</w:t>
      </w:r>
      <w:r w:rsidR="00220066" w:rsidRPr="00A21BFD">
        <w:rPr>
          <w:rFonts w:cstheme="minorHAnsi"/>
          <w:sz w:val="24"/>
          <w:szCs w:val="24"/>
          <w:lang w:val="el-GR"/>
        </w:rPr>
        <w:t xml:space="preserve">. </w:t>
      </w:r>
      <w:r>
        <w:rPr>
          <w:rFonts w:cstheme="minorHAnsi"/>
          <w:sz w:val="24"/>
          <w:szCs w:val="24"/>
          <w:lang w:val="el-GR"/>
        </w:rPr>
        <w:t>Αρκετές</w:t>
      </w:r>
      <w:r w:rsidRPr="00A21BFD">
        <w:rPr>
          <w:rFonts w:cstheme="minorHAnsi"/>
          <w:sz w:val="24"/>
          <w:szCs w:val="24"/>
          <w:lang w:val="el-GR"/>
        </w:rPr>
        <w:t xml:space="preserve"> </w:t>
      </w:r>
      <w:r>
        <w:rPr>
          <w:rFonts w:cstheme="minorHAnsi"/>
          <w:sz w:val="24"/>
          <w:szCs w:val="24"/>
          <w:lang w:val="el-GR"/>
        </w:rPr>
        <w:t>πρόνοιες</w:t>
      </w:r>
      <w:r w:rsidRPr="00A21BFD">
        <w:rPr>
          <w:rFonts w:cstheme="minorHAnsi"/>
          <w:sz w:val="24"/>
          <w:szCs w:val="24"/>
          <w:lang w:val="el-GR"/>
        </w:rPr>
        <w:t xml:space="preserve"> </w:t>
      </w:r>
      <w:r>
        <w:rPr>
          <w:rFonts w:cstheme="minorHAnsi"/>
          <w:sz w:val="24"/>
          <w:szCs w:val="24"/>
          <w:lang w:val="el-GR"/>
        </w:rPr>
        <w:t>της</w:t>
      </w:r>
      <w:r w:rsidRPr="00A21BFD">
        <w:rPr>
          <w:rFonts w:cstheme="minorHAnsi"/>
          <w:sz w:val="24"/>
          <w:szCs w:val="24"/>
          <w:lang w:val="el-GR"/>
        </w:rPr>
        <w:t xml:space="preserve"> </w:t>
      </w:r>
      <w:r>
        <w:rPr>
          <w:rFonts w:cstheme="minorHAnsi"/>
          <w:sz w:val="24"/>
          <w:szCs w:val="24"/>
          <w:lang w:val="el-GR"/>
        </w:rPr>
        <w:t>νομοθεσίας</w:t>
      </w:r>
      <w:r w:rsidR="00220066" w:rsidRPr="00A21BFD">
        <w:rPr>
          <w:rFonts w:cstheme="minorHAnsi"/>
          <w:sz w:val="24"/>
          <w:szCs w:val="24"/>
          <w:lang w:val="el-GR"/>
        </w:rPr>
        <w:t xml:space="preserve"> </w:t>
      </w:r>
      <w:r>
        <w:rPr>
          <w:rFonts w:cstheme="minorHAnsi"/>
          <w:sz w:val="24"/>
          <w:szCs w:val="24"/>
          <w:lang w:val="el-GR"/>
        </w:rPr>
        <w:t>που</w:t>
      </w:r>
      <w:r w:rsidRPr="00A21BFD">
        <w:rPr>
          <w:rFonts w:cstheme="minorHAnsi"/>
          <w:sz w:val="24"/>
          <w:szCs w:val="24"/>
          <w:lang w:val="el-GR"/>
        </w:rPr>
        <w:t xml:space="preserve"> </w:t>
      </w:r>
      <w:r>
        <w:rPr>
          <w:rFonts w:cstheme="minorHAnsi"/>
          <w:sz w:val="24"/>
          <w:szCs w:val="24"/>
          <w:lang w:val="el-GR"/>
        </w:rPr>
        <w:t>ασχολούνται</w:t>
      </w:r>
      <w:r w:rsidRPr="00A21BFD">
        <w:rPr>
          <w:rFonts w:cstheme="minorHAnsi"/>
          <w:sz w:val="24"/>
          <w:szCs w:val="24"/>
          <w:lang w:val="el-GR"/>
        </w:rPr>
        <w:t xml:space="preserve"> </w:t>
      </w:r>
      <w:r>
        <w:rPr>
          <w:rFonts w:cstheme="minorHAnsi"/>
          <w:sz w:val="24"/>
          <w:szCs w:val="24"/>
          <w:lang w:val="el-GR"/>
        </w:rPr>
        <w:t>αποκλειστικά</w:t>
      </w:r>
      <w:r w:rsidRPr="00A21BFD">
        <w:rPr>
          <w:rFonts w:cstheme="minorHAnsi"/>
          <w:sz w:val="24"/>
          <w:szCs w:val="24"/>
          <w:lang w:val="el-GR"/>
        </w:rPr>
        <w:t xml:space="preserve"> </w:t>
      </w:r>
      <w:r>
        <w:rPr>
          <w:rFonts w:cstheme="minorHAnsi"/>
          <w:sz w:val="24"/>
          <w:szCs w:val="24"/>
          <w:lang w:val="el-GR"/>
        </w:rPr>
        <w:t>με</w:t>
      </w:r>
      <w:r w:rsidRPr="00A21BFD">
        <w:rPr>
          <w:rFonts w:cstheme="minorHAnsi"/>
          <w:sz w:val="24"/>
          <w:szCs w:val="24"/>
          <w:lang w:val="el-GR"/>
        </w:rPr>
        <w:t xml:space="preserve"> </w:t>
      </w:r>
      <w:r>
        <w:rPr>
          <w:rFonts w:cstheme="minorHAnsi"/>
          <w:sz w:val="24"/>
          <w:szCs w:val="24"/>
          <w:lang w:val="el-GR"/>
        </w:rPr>
        <w:t>την</w:t>
      </w:r>
      <w:r w:rsidRPr="00A21BFD">
        <w:rPr>
          <w:rFonts w:cstheme="minorHAnsi"/>
          <w:sz w:val="24"/>
          <w:szCs w:val="24"/>
          <w:lang w:val="el-GR"/>
        </w:rPr>
        <w:t xml:space="preserve"> </w:t>
      </w:r>
      <w:r w:rsidR="009C4E34">
        <w:rPr>
          <w:rFonts w:cstheme="minorHAnsi"/>
          <w:sz w:val="24"/>
          <w:szCs w:val="24"/>
          <w:lang w:val="el-GR"/>
        </w:rPr>
        <w:t>Αστυνομία</w:t>
      </w:r>
      <w:r w:rsidR="00220066" w:rsidRPr="00A21BFD">
        <w:rPr>
          <w:rFonts w:cstheme="minorHAnsi"/>
          <w:sz w:val="24"/>
          <w:szCs w:val="24"/>
          <w:lang w:val="el-GR"/>
        </w:rPr>
        <w:t xml:space="preserve"> </w:t>
      </w:r>
      <w:r>
        <w:rPr>
          <w:rFonts w:cstheme="minorHAnsi"/>
          <w:sz w:val="24"/>
          <w:szCs w:val="24"/>
          <w:lang w:val="el-GR"/>
        </w:rPr>
        <w:t>επίσης</w:t>
      </w:r>
      <w:r w:rsidRPr="00A21BFD">
        <w:rPr>
          <w:rFonts w:cstheme="minorHAnsi"/>
          <w:sz w:val="24"/>
          <w:szCs w:val="24"/>
          <w:lang w:val="el-GR"/>
        </w:rPr>
        <w:t xml:space="preserve"> </w:t>
      </w:r>
      <w:r>
        <w:rPr>
          <w:rFonts w:cstheme="minorHAnsi"/>
          <w:sz w:val="24"/>
          <w:szCs w:val="24"/>
          <w:lang w:val="el-GR"/>
        </w:rPr>
        <w:t>συμπεριλαμβάνουν</w:t>
      </w:r>
      <w:r w:rsidRPr="00A21BFD">
        <w:rPr>
          <w:rFonts w:cstheme="minorHAnsi"/>
          <w:sz w:val="24"/>
          <w:szCs w:val="24"/>
          <w:lang w:val="el-GR"/>
        </w:rPr>
        <w:t xml:space="preserve"> </w:t>
      </w:r>
      <w:r>
        <w:rPr>
          <w:rFonts w:cstheme="minorHAnsi"/>
          <w:sz w:val="24"/>
          <w:szCs w:val="24"/>
          <w:lang w:val="el-GR"/>
        </w:rPr>
        <w:t>απαιτήσεις</w:t>
      </w:r>
      <w:r w:rsidRPr="00A21BFD">
        <w:rPr>
          <w:rFonts w:cstheme="minorHAnsi"/>
          <w:sz w:val="24"/>
          <w:szCs w:val="24"/>
          <w:lang w:val="el-GR"/>
        </w:rPr>
        <w:t xml:space="preserve"> </w:t>
      </w:r>
      <w:r>
        <w:rPr>
          <w:rFonts w:cstheme="minorHAnsi"/>
          <w:sz w:val="24"/>
          <w:szCs w:val="24"/>
          <w:lang w:val="el-GR"/>
        </w:rPr>
        <w:t>πρόληψης</w:t>
      </w:r>
      <w:r w:rsidRPr="00A21BFD">
        <w:rPr>
          <w:rFonts w:cstheme="minorHAnsi"/>
          <w:sz w:val="24"/>
          <w:szCs w:val="24"/>
          <w:lang w:val="el-GR"/>
        </w:rPr>
        <w:t xml:space="preserve"> </w:t>
      </w:r>
      <w:r>
        <w:rPr>
          <w:rFonts w:cstheme="minorHAnsi"/>
          <w:sz w:val="24"/>
          <w:szCs w:val="24"/>
          <w:lang w:val="el-GR"/>
        </w:rPr>
        <w:t>σύγκρουσης</w:t>
      </w:r>
      <w:r w:rsidRPr="00A21BFD">
        <w:rPr>
          <w:rFonts w:cstheme="minorHAnsi"/>
          <w:sz w:val="24"/>
          <w:szCs w:val="24"/>
          <w:lang w:val="el-GR"/>
        </w:rPr>
        <w:t xml:space="preserve"> </w:t>
      </w:r>
      <w:r>
        <w:rPr>
          <w:rFonts w:cstheme="minorHAnsi"/>
          <w:sz w:val="24"/>
          <w:szCs w:val="24"/>
          <w:lang w:val="el-GR"/>
        </w:rPr>
        <w:t>συμφερόντων</w:t>
      </w:r>
      <w:r w:rsidR="00220066" w:rsidRPr="00A21BFD">
        <w:rPr>
          <w:rFonts w:cstheme="minorHAnsi"/>
          <w:sz w:val="24"/>
          <w:szCs w:val="24"/>
          <w:lang w:val="el-GR"/>
        </w:rPr>
        <w:t xml:space="preserve"> (</w:t>
      </w:r>
      <w:r>
        <w:rPr>
          <w:rFonts w:cstheme="minorHAnsi"/>
          <w:sz w:val="24"/>
          <w:szCs w:val="24"/>
          <w:lang w:val="el-GR"/>
        </w:rPr>
        <w:t>π</w:t>
      </w:r>
      <w:r w:rsidR="00220066" w:rsidRPr="00A21BFD">
        <w:rPr>
          <w:rFonts w:cstheme="minorHAnsi"/>
          <w:sz w:val="24"/>
          <w:szCs w:val="24"/>
          <w:lang w:val="el-GR"/>
        </w:rPr>
        <w:t>.</w:t>
      </w:r>
      <w:r>
        <w:rPr>
          <w:rFonts w:cstheme="minorHAnsi"/>
          <w:sz w:val="24"/>
          <w:szCs w:val="24"/>
          <w:lang w:val="el-GR"/>
        </w:rPr>
        <w:t>χ</w:t>
      </w:r>
      <w:r w:rsidR="00220066" w:rsidRPr="00A21BFD">
        <w:rPr>
          <w:rFonts w:cstheme="minorHAnsi"/>
          <w:sz w:val="24"/>
          <w:szCs w:val="24"/>
          <w:lang w:val="el-GR"/>
        </w:rPr>
        <w:t xml:space="preserve">. </w:t>
      </w:r>
      <w:r>
        <w:rPr>
          <w:rFonts w:cstheme="minorHAnsi"/>
          <w:sz w:val="24"/>
          <w:szCs w:val="24"/>
          <w:lang w:val="el-GR"/>
        </w:rPr>
        <w:t>συμμετοχή σε επιτροπές</w:t>
      </w:r>
      <w:r w:rsidR="00220066" w:rsidRPr="00A21BFD">
        <w:rPr>
          <w:rFonts w:cstheme="minorHAnsi"/>
          <w:sz w:val="24"/>
          <w:szCs w:val="24"/>
          <w:lang w:val="el-GR"/>
        </w:rPr>
        <w:t xml:space="preserve">, </w:t>
      </w:r>
      <w:r>
        <w:rPr>
          <w:rFonts w:cstheme="minorHAnsi"/>
          <w:sz w:val="24"/>
          <w:szCs w:val="24"/>
          <w:lang w:val="el-GR"/>
        </w:rPr>
        <w:t xml:space="preserve">αποφάσεις </w:t>
      </w:r>
      <w:r>
        <w:rPr>
          <w:rFonts w:cstheme="minorHAnsi"/>
          <w:sz w:val="24"/>
          <w:szCs w:val="24"/>
          <w:lang w:val="el-GR"/>
        </w:rPr>
        <w:lastRenderedPageBreak/>
        <w:t>για προαγωγές</w:t>
      </w:r>
      <w:r w:rsidR="00220066" w:rsidRPr="00A21BFD">
        <w:rPr>
          <w:rFonts w:cstheme="minorHAnsi"/>
          <w:sz w:val="24"/>
          <w:szCs w:val="24"/>
          <w:lang w:val="el-GR"/>
        </w:rPr>
        <w:t xml:space="preserve">, </w:t>
      </w:r>
      <w:r>
        <w:rPr>
          <w:rFonts w:cstheme="minorHAnsi"/>
          <w:sz w:val="24"/>
          <w:szCs w:val="24"/>
          <w:lang w:val="el-GR"/>
        </w:rPr>
        <w:t>διερευνήσεις</w:t>
      </w:r>
      <w:r w:rsidR="00220066" w:rsidRPr="00A21BFD">
        <w:rPr>
          <w:rFonts w:cstheme="minorHAnsi"/>
          <w:sz w:val="24"/>
          <w:szCs w:val="24"/>
          <w:lang w:val="el-GR"/>
        </w:rPr>
        <w:t xml:space="preserve">, </w:t>
      </w:r>
      <w:r>
        <w:rPr>
          <w:rFonts w:cstheme="minorHAnsi"/>
          <w:sz w:val="24"/>
          <w:szCs w:val="24"/>
          <w:lang w:val="el-GR"/>
        </w:rPr>
        <w:t>κλπ</w:t>
      </w:r>
      <w:r w:rsidR="00220066" w:rsidRPr="00A21BFD">
        <w:rPr>
          <w:rFonts w:cstheme="minorHAnsi"/>
          <w:sz w:val="24"/>
          <w:szCs w:val="24"/>
          <w:lang w:val="el-GR"/>
        </w:rPr>
        <w:t>.)</w:t>
      </w:r>
      <w:r>
        <w:rPr>
          <w:rFonts w:cstheme="minorHAnsi"/>
          <w:sz w:val="24"/>
          <w:szCs w:val="24"/>
          <w:lang w:val="el-GR"/>
        </w:rPr>
        <w:t>.</w:t>
      </w:r>
      <w:r w:rsidR="00220066" w:rsidRPr="00A21BFD">
        <w:rPr>
          <w:rFonts w:cstheme="minorHAnsi"/>
          <w:sz w:val="24"/>
          <w:szCs w:val="24"/>
          <w:lang w:val="el-GR"/>
        </w:rPr>
        <w:t xml:space="preserve"> </w:t>
      </w:r>
      <w:r>
        <w:rPr>
          <w:rFonts w:cstheme="minorHAnsi"/>
          <w:sz w:val="24"/>
          <w:szCs w:val="24"/>
          <w:lang w:val="el-GR"/>
        </w:rPr>
        <w:t>Διάφορα</w:t>
      </w:r>
      <w:r w:rsidRPr="00A21BFD">
        <w:rPr>
          <w:rFonts w:cstheme="minorHAnsi"/>
          <w:sz w:val="24"/>
          <w:szCs w:val="24"/>
          <w:lang w:val="el-GR"/>
        </w:rPr>
        <w:t xml:space="preserve"> </w:t>
      </w:r>
      <w:r>
        <w:rPr>
          <w:rFonts w:cstheme="minorHAnsi"/>
          <w:sz w:val="24"/>
          <w:szCs w:val="24"/>
          <w:lang w:val="el-GR"/>
        </w:rPr>
        <w:t>παραδείγματα</w:t>
      </w:r>
      <w:r w:rsidRPr="00A21BFD">
        <w:rPr>
          <w:rFonts w:cstheme="minorHAnsi"/>
          <w:sz w:val="24"/>
          <w:szCs w:val="24"/>
          <w:lang w:val="el-GR"/>
        </w:rPr>
        <w:t xml:space="preserve"> </w:t>
      </w:r>
      <w:r>
        <w:rPr>
          <w:rFonts w:cstheme="minorHAnsi"/>
          <w:sz w:val="24"/>
          <w:szCs w:val="24"/>
          <w:lang w:val="el-GR"/>
        </w:rPr>
        <w:t>παρασχέθηκαν</w:t>
      </w:r>
      <w:r w:rsidRPr="00A21BFD">
        <w:rPr>
          <w:rFonts w:cstheme="minorHAnsi"/>
          <w:sz w:val="24"/>
          <w:szCs w:val="24"/>
          <w:lang w:val="el-GR"/>
        </w:rPr>
        <w:t xml:space="preserve"> </w:t>
      </w:r>
      <w:r>
        <w:rPr>
          <w:rFonts w:cstheme="minorHAnsi"/>
          <w:sz w:val="24"/>
          <w:szCs w:val="24"/>
          <w:lang w:val="el-GR"/>
        </w:rPr>
        <w:t>από</w:t>
      </w:r>
      <w:r w:rsidRPr="00A21BFD">
        <w:rPr>
          <w:rFonts w:cstheme="minorHAnsi"/>
          <w:sz w:val="24"/>
          <w:szCs w:val="24"/>
          <w:lang w:val="el-GR"/>
        </w:rPr>
        <w:t xml:space="preserve"> </w:t>
      </w:r>
      <w:r>
        <w:rPr>
          <w:rFonts w:cstheme="minorHAnsi"/>
          <w:sz w:val="24"/>
          <w:szCs w:val="24"/>
          <w:lang w:val="el-GR"/>
        </w:rPr>
        <w:t>τις</w:t>
      </w:r>
      <w:r w:rsidRPr="00A21BFD">
        <w:rPr>
          <w:rFonts w:cstheme="minorHAnsi"/>
          <w:sz w:val="24"/>
          <w:szCs w:val="24"/>
          <w:lang w:val="el-GR"/>
        </w:rPr>
        <w:t xml:space="preserve"> </w:t>
      </w:r>
      <w:r>
        <w:rPr>
          <w:rFonts w:cstheme="minorHAnsi"/>
          <w:sz w:val="24"/>
          <w:szCs w:val="24"/>
          <w:lang w:val="el-GR"/>
        </w:rPr>
        <w:t>αρχές</w:t>
      </w:r>
      <w:r w:rsidRPr="00A21BFD">
        <w:rPr>
          <w:rFonts w:cstheme="minorHAnsi"/>
          <w:sz w:val="24"/>
          <w:szCs w:val="24"/>
          <w:lang w:val="el-GR"/>
        </w:rPr>
        <w:t xml:space="preserve"> </w:t>
      </w:r>
      <w:r>
        <w:rPr>
          <w:rFonts w:cstheme="minorHAnsi"/>
          <w:sz w:val="24"/>
          <w:szCs w:val="24"/>
          <w:lang w:val="el-GR"/>
        </w:rPr>
        <w:t>από</w:t>
      </w:r>
      <w:r w:rsidRPr="00A21BFD">
        <w:rPr>
          <w:rFonts w:cstheme="minorHAnsi"/>
          <w:sz w:val="24"/>
          <w:szCs w:val="24"/>
          <w:lang w:val="el-GR"/>
        </w:rPr>
        <w:t xml:space="preserve"> </w:t>
      </w:r>
      <w:r>
        <w:rPr>
          <w:rFonts w:cstheme="minorHAnsi"/>
          <w:sz w:val="24"/>
          <w:szCs w:val="24"/>
          <w:lang w:val="el-GR"/>
        </w:rPr>
        <w:t>την</w:t>
      </w:r>
      <w:r w:rsidRPr="00A21BFD">
        <w:rPr>
          <w:rFonts w:cstheme="minorHAnsi"/>
          <w:sz w:val="24"/>
          <w:szCs w:val="24"/>
          <w:lang w:val="el-GR"/>
        </w:rPr>
        <w:t xml:space="preserve"> </w:t>
      </w:r>
      <w:r w:rsidR="00973266">
        <w:rPr>
          <w:rFonts w:cstheme="minorHAnsi"/>
          <w:sz w:val="24"/>
          <w:szCs w:val="24"/>
          <w:lang w:val="el-GR"/>
        </w:rPr>
        <w:t>άποψη</w:t>
      </w:r>
      <w:r w:rsidRPr="00A21BFD">
        <w:rPr>
          <w:rFonts w:cstheme="minorHAnsi"/>
          <w:sz w:val="24"/>
          <w:szCs w:val="24"/>
          <w:lang w:val="el-GR"/>
        </w:rPr>
        <w:t xml:space="preserve"> </w:t>
      </w:r>
      <w:r>
        <w:rPr>
          <w:rFonts w:cstheme="minorHAnsi"/>
          <w:sz w:val="24"/>
          <w:szCs w:val="24"/>
          <w:lang w:val="el-GR"/>
        </w:rPr>
        <w:t>αυτή</w:t>
      </w:r>
      <w:r w:rsidR="00220066" w:rsidRPr="00A21BFD">
        <w:rPr>
          <w:rFonts w:cstheme="minorHAnsi"/>
          <w:sz w:val="24"/>
          <w:szCs w:val="24"/>
          <w:lang w:val="el-GR"/>
        </w:rPr>
        <w:t xml:space="preserve">. </w:t>
      </w:r>
      <w:r>
        <w:rPr>
          <w:rFonts w:cstheme="minorHAnsi"/>
          <w:sz w:val="24"/>
          <w:szCs w:val="24"/>
          <w:lang w:val="el-GR"/>
        </w:rPr>
        <w:t>Αυτοί</w:t>
      </w:r>
      <w:r w:rsidRPr="00937A79">
        <w:rPr>
          <w:rFonts w:cstheme="minorHAnsi"/>
          <w:sz w:val="24"/>
          <w:szCs w:val="24"/>
          <w:lang w:val="el-GR"/>
        </w:rPr>
        <w:t xml:space="preserve"> </w:t>
      </w:r>
      <w:r>
        <w:rPr>
          <w:rFonts w:cstheme="minorHAnsi"/>
          <w:sz w:val="24"/>
          <w:szCs w:val="24"/>
          <w:lang w:val="el-GR"/>
        </w:rPr>
        <w:t>οι</w:t>
      </w:r>
      <w:r w:rsidRPr="00937A79">
        <w:rPr>
          <w:rFonts w:cstheme="minorHAnsi"/>
          <w:sz w:val="24"/>
          <w:szCs w:val="24"/>
          <w:lang w:val="el-GR"/>
        </w:rPr>
        <w:t xml:space="preserve"> </w:t>
      </w:r>
      <w:r>
        <w:rPr>
          <w:rFonts w:cstheme="minorHAnsi"/>
          <w:sz w:val="24"/>
          <w:szCs w:val="24"/>
          <w:lang w:val="el-GR"/>
        </w:rPr>
        <w:t>κανόνες</w:t>
      </w:r>
      <w:r w:rsidR="00220066" w:rsidRPr="00937A79">
        <w:rPr>
          <w:rFonts w:cstheme="minorHAnsi"/>
          <w:sz w:val="24"/>
          <w:szCs w:val="24"/>
          <w:lang w:val="el-GR"/>
        </w:rPr>
        <w:t xml:space="preserve"> </w:t>
      </w:r>
      <w:r w:rsidR="00937A79">
        <w:rPr>
          <w:rFonts w:cstheme="minorHAnsi"/>
          <w:sz w:val="24"/>
          <w:szCs w:val="24"/>
          <w:lang w:val="el-GR"/>
        </w:rPr>
        <w:t>είναι</w:t>
      </w:r>
      <w:r w:rsidR="00937A79" w:rsidRPr="00937A79">
        <w:rPr>
          <w:rFonts w:cstheme="minorHAnsi"/>
          <w:sz w:val="24"/>
          <w:szCs w:val="24"/>
          <w:lang w:val="el-GR"/>
        </w:rPr>
        <w:t xml:space="preserve"> </w:t>
      </w:r>
      <w:r w:rsidR="00937A79">
        <w:rPr>
          <w:rFonts w:cstheme="minorHAnsi"/>
          <w:sz w:val="24"/>
          <w:szCs w:val="24"/>
          <w:lang w:val="el-GR"/>
        </w:rPr>
        <w:t>επίσης</w:t>
      </w:r>
      <w:r w:rsidR="00937A79" w:rsidRPr="00937A79">
        <w:rPr>
          <w:rFonts w:cstheme="minorHAnsi"/>
          <w:sz w:val="24"/>
          <w:szCs w:val="24"/>
          <w:lang w:val="el-GR"/>
        </w:rPr>
        <w:t xml:space="preserve"> </w:t>
      </w:r>
      <w:r w:rsidR="00937A79">
        <w:rPr>
          <w:rFonts w:cstheme="minorHAnsi"/>
          <w:sz w:val="24"/>
          <w:szCs w:val="24"/>
          <w:lang w:val="el-GR"/>
        </w:rPr>
        <w:t>συνδεδεμένες</w:t>
      </w:r>
      <w:r w:rsidR="00937A79" w:rsidRPr="00937A79">
        <w:rPr>
          <w:rFonts w:cstheme="minorHAnsi"/>
          <w:sz w:val="24"/>
          <w:szCs w:val="24"/>
          <w:lang w:val="el-GR"/>
        </w:rPr>
        <w:t xml:space="preserve"> </w:t>
      </w:r>
      <w:r w:rsidR="00937A79">
        <w:rPr>
          <w:rFonts w:cstheme="minorHAnsi"/>
          <w:sz w:val="24"/>
          <w:szCs w:val="24"/>
          <w:lang w:val="el-GR"/>
        </w:rPr>
        <w:t>με</w:t>
      </w:r>
      <w:r w:rsidR="00937A79" w:rsidRPr="00937A79">
        <w:rPr>
          <w:rFonts w:cstheme="minorHAnsi"/>
          <w:sz w:val="24"/>
          <w:szCs w:val="24"/>
          <w:lang w:val="el-GR"/>
        </w:rPr>
        <w:t xml:space="preserve"> </w:t>
      </w:r>
      <w:r w:rsidR="00937A79">
        <w:rPr>
          <w:rFonts w:cstheme="minorHAnsi"/>
          <w:sz w:val="24"/>
          <w:szCs w:val="24"/>
          <w:lang w:val="el-GR"/>
        </w:rPr>
        <w:t>πειθαρχικές και ποινικές κυρώσεις</w:t>
      </w:r>
      <w:r w:rsidR="00220066" w:rsidRPr="00937A79">
        <w:rPr>
          <w:rFonts w:cstheme="minorHAnsi"/>
          <w:sz w:val="24"/>
          <w:szCs w:val="24"/>
          <w:lang w:val="el-GR"/>
        </w:rPr>
        <w:t>.</w:t>
      </w:r>
    </w:p>
    <w:p w14:paraId="2D4302CC" w14:textId="77777777" w:rsidR="00220066" w:rsidRPr="00937A79" w:rsidRDefault="00220066" w:rsidP="00220066">
      <w:pPr>
        <w:rPr>
          <w:lang w:val="el-GR"/>
        </w:rPr>
      </w:pPr>
    </w:p>
    <w:p w14:paraId="7ECF0906" w14:textId="4A0A024D" w:rsidR="00220066" w:rsidRPr="004E251E" w:rsidRDefault="006B7E70" w:rsidP="00220066">
      <w:pPr>
        <w:pStyle w:val="Heading3"/>
        <w:tabs>
          <w:tab w:val="left" w:pos="709"/>
        </w:tabs>
        <w:spacing w:before="0"/>
        <w:rPr>
          <w:rFonts w:asciiTheme="minorHAnsi" w:hAnsiTheme="minorHAnsi" w:cstheme="minorHAnsi"/>
          <w:b w:val="0"/>
          <w:i/>
          <w:color w:val="auto"/>
          <w:sz w:val="24"/>
          <w:szCs w:val="24"/>
        </w:rPr>
      </w:pPr>
      <w:r>
        <w:rPr>
          <w:rFonts w:asciiTheme="minorHAnsi" w:hAnsiTheme="minorHAnsi" w:cstheme="minorHAnsi"/>
          <w:b w:val="0"/>
          <w:i/>
          <w:color w:val="auto"/>
          <w:sz w:val="24"/>
          <w:szCs w:val="24"/>
          <w:lang w:val="el-GR"/>
        </w:rPr>
        <w:t>Δώρα</w:t>
      </w:r>
      <w:r w:rsidR="00220066" w:rsidRPr="004E251E">
        <w:rPr>
          <w:rFonts w:asciiTheme="minorHAnsi" w:hAnsiTheme="minorHAnsi" w:cstheme="minorHAnsi"/>
          <w:b w:val="0"/>
          <w:i/>
          <w:color w:val="auto"/>
          <w:sz w:val="24"/>
          <w:szCs w:val="24"/>
        </w:rPr>
        <w:t xml:space="preserve"> </w:t>
      </w:r>
      <w:bookmarkEnd w:id="222"/>
    </w:p>
    <w:p w14:paraId="679A1EDE" w14:textId="77777777" w:rsidR="00220066" w:rsidRPr="004E251E" w:rsidRDefault="00220066" w:rsidP="00220066">
      <w:pPr>
        <w:keepNext/>
        <w:rPr>
          <w:rFonts w:cstheme="minorHAnsi"/>
          <w:bCs/>
          <w:sz w:val="24"/>
          <w:szCs w:val="24"/>
        </w:rPr>
      </w:pPr>
    </w:p>
    <w:p w14:paraId="1E9F15E0" w14:textId="7032BE3F" w:rsidR="00220066" w:rsidRPr="000529A6" w:rsidRDefault="006B7E70" w:rsidP="00220066">
      <w:pPr>
        <w:keepNext/>
        <w:numPr>
          <w:ilvl w:val="0"/>
          <w:numId w:val="1"/>
        </w:numPr>
        <w:tabs>
          <w:tab w:val="left" w:pos="709"/>
        </w:tabs>
        <w:ind w:left="0" w:firstLine="0"/>
        <w:rPr>
          <w:rFonts w:cstheme="minorHAnsi"/>
          <w:bCs/>
          <w:sz w:val="24"/>
          <w:szCs w:val="24"/>
          <w:lang w:val="el-GR"/>
        </w:rPr>
      </w:pPr>
      <w:r>
        <w:rPr>
          <w:rFonts w:cstheme="minorHAnsi"/>
          <w:sz w:val="24"/>
          <w:szCs w:val="24"/>
          <w:lang w:val="el-GR"/>
        </w:rPr>
        <w:t>Το</w:t>
      </w:r>
      <w:r w:rsidRPr="006B7E70">
        <w:rPr>
          <w:rFonts w:cstheme="minorHAnsi"/>
          <w:sz w:val="24"/>
          <w:szCs w:val="24"/>
          <w:lang w:val="el-GR"/>
        </w:rPr>
        <w:t xml:space="preserve"> </w:t>
      </w:r>
      <w:r>
        <w:rPr>
          <w:rFonts w:cstheme="minorHAnsi"/>
          <w:sz w:val="24"/>
          <w:szCs w:val="24"/>
          <w:lang w:val="el-GR"/>
        </w:rPr>
        <w:t>Πάγιο</w:t>
      </w:r>
      <w:r w:rsidRPr="006B7E70">
        <w:rPr>
          <w:rFonts w:cstheme="minorHAnsi"/>
          <w:sz w:val="24"/>
          <w:szCs w:val="24"/>
          <w:lang w:val="el-GR"/>
        </w:rPr>
        <w:t xml:space="preserve"> </w:t>
      </w:r>
      <w:r>
        <w:rPr>
          <w:rFonts w:cstheme="minorHAnsi"/>
          <w:sz w:val="24"/>
          <w:szCs w:val="24"/>
          <w:lang w:val="el-GR"/>
        </w:rPr>
        <w:t>Διάταγμα</w:t>
      </w:r>
      <w:r w:rsidRPr="006B7E70">
        <w:rPr>
          <w:rFonts w:cstheme="minorHAnsi"/>
          <w:sz w:val="24"/>
          <w:szCs w:val="24"/>
          <w:lang w:val="el-GR"/>
        </w:rPr>
        <w:t xml:space="preserve"> </w:t>
      </w:r>
      <w:r>
        <w:rPr>
          <w:rFonts w:cstheme="minorHAnsi"/>
          <w:sz w:val="24"/>
          <w:szCs w:val="24"/>
          <w:lang w:val="el-GR"/>
        </w:rPr>
        <w:t>της</w:t>
      </w:r>
      <w:r w:rsidRPr="006B7E70">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6B7E70">
        <w:rPr>
          <w:rFonts w:cstheme="minorHAnsi"/>
          <w:sz w:val="24"/>
          <w:szCs w:val="24"/>
          <w:lang w:val="el-GR"/>
        </w:rPr>
        <w:t xml:space="preserve"> 1/41 </w:t>
      </w:r>
      <w:r>
        <w:rPr>
          <w:rFonts w:cstheme="minorHAnsi"/>
          <w:sz w:val="24"/>
          <w:szCs w:val="24"/>
          <w:lang w:val="el-GR"/>
        </w:rPr>
        <w:t>ρυθμίζει</w:t>
      </w:r>
      <w:r w:rsidRPr="006B7E70">
        <w:rPr>
          <w:rFonts w:cstheme="minorHAnsi"/>
          <w:sz w:val="24"/>
          <w:szCs w:val="24"/>
          <w:lang w:val="el-GR"/>
        </w:rPr>
        <w:t xml:space="preserve"> </w:t>
      </w:r>
      <w:r>
        <w:rPr>
          <w:rFonts w:cstheme="minorHAnsi"/>
          <w:sz w:val="24"/>
          <w:szCs w:val="24"/>
          <w:lang w:val="el-GR"/>
        </w:rPr>
        <w:t>λεπτομερώς</w:t>
      </w:r>
      <w:r w:rsidRPr="006B7E70">
        <w:rPr>
          <w:rFonts w:cstheme="minorHAnsi"/>
          <w:sz w:val="24"/>
          <w:szCs w:val="24"/>
          <w:lang w:val="el-GR"/>
        </w:rPr>
        <w:t xml:space="preserve"> </w:t>
      </w:r>
      <w:r>
        <w:rPr>
          <w:rFonts w:cstheme="minorHAnsi"/>
          <w:sz w:val="24"/>
          <w:szCs w:val="24"/>
          <w:lang w:val="el-GR"/>
        </w:rPr>
        <w:t>το</w:t>
      </w:r>
      <w:r w:rsidRPr="006B7E70">
        <w:rPr>
          <w:rFonts w:cstheme="minorHAnsi"/>
          <w:sz w:val="24"/>
          <w:szCs w:val="24"/>
          <w:lang w:val="el-GR"/>
        </w:rPr>
        <w:t xml:space="preserve"> </w:t>
      </w:r>
      <w:r>
        <w:rPr>
          <w:rFonts w:cstheme="minorHAnsi"/>
          <w:sz w:val="24"/>
          <w:szCs w:val="24"/>
          <w:lang w:val="el-GR"/>
        </w:rPr>
        <w:t>θέμα των δώρων</w:t>
      </w:r>
      <w:r w:rsidR="00220066" w:rsidRPr="006B7E70">
        <w:rPr>
          <w:rFonts w:cstheme="minorHAnsi"/>
          <w:sz w:val="24"/>
          <w:szCs w:val="24"/>
          <w:lang w:val="el-GR"/>
        </w:rPr>
        <w:t xml:space="preserve">. </w:t>
      </w:r>
      <w:r>
        <w:rPr>
          <w:rFonts w:cstheme="minorHAnsi"/>
          <w:sz w:val="24"/>
          <w:szCs w:val="24"/>
          <w:lang w:val="el-GR"/>
        </w:rPr>
        <w:t>Υπάρχει</w:t>
      </w:r>
      <w:r w:rsidRPr="006B7E70">
        <w:rPr>
          <w:rFonts w:cstheme="minorHAnsi"/>
          <w:sz w:val="24"/>
          <w:szCs w:val="24"/>
          <w:lang w:val="el-GR"/>
        </w:rPr>
        <w:t xml:space="preserve"> </w:t>
      </w:r>
      <w:r>
        <w:rPr>
          <w:rFonts w:cstheme="minorHAnsi"/>
          <w:sz w:val="24"/>
          <w:szCs w:val="24"/>
          <w:lang w:val="el-GR"/>
        </w:rPr>
        <w:t>μια</w:t>
      </w:r>
      <w:r w:rsidRPr="006B7E70">
        <w:rPr>
          <w:rFonts w:cstheme="minorHAnsi"/>
          <w:sz w:val="24"/>
          <w:szCs w:val="24"/>
          <w:lang w:val="el-GR"/>
        </w:rPr>
        <w:t xml:space="preserve"> </w:t>
      </w:r>
      <w:r>
        <w:rPr>
          <w:rFonts w:cstheme="minorHAnsi"/>
          <w:sz w:val="24"/>
          <w:szCs w:val="24"/>
          <w:lang w:val="el-GR"/>
        </w:rPr>
        <w:t>γενική</w:t>
      </w:r>
      <w:r w:rsidRPr="006B7E70">
        <w:rPr>
          <w:rFonts w:cstheme="minorHAnsi"/>
          <w:sz w:val="24"/>
          <w:szCs w:val="24"/>
          <w:lang w:val="el-GR"/>
        </w:rPr>
        <w:t xml:space="preserve"> </w:t>
      </w:r>
      <w:r>
        <w:rPr>
          <w:rFonts w:cstheme="minorHAnsi"/>
          <w:sz w:val="24"/>
          <w:szCs w:val="24"/>
          <w:lang w:val="el-GR"/>
        </w:rPr>
        <w:t>απαγόρευση</w:t>
      </w:r>
      <w:r w:rsidRPr="006B7E70">
        <w:rPr>
          <w:rFonts w:cstheme="minorHAnsi"/>
          <w:sz w:val="24"/>
          <w:szCs w:val="24"/>
          <w:lang w:val="el-GR"/>
        </w:rPr>
        <w:t xml:space="preserve"> </w:t>
      </w:r>
      <w:r>
        <w:rPr>
          <w:rFonts w:cstheme="minorHAnsi"/>
          <w:sz w:val="24"/>
          <w:szCs w:val="24"/>
          <w:lang w:val="el-GR"/>
        </w:rPr>
        <w:t>για</w:t>
      </w:r>
      <w:r w:rsidRPr="006B7E70">
        <w:rPr>
          <w:rFonts w:cstheme="minorHAnsi"/>
          <w:sz w:val="24"/>
          <w:szCs w:val="24"/>
          <w:lang w:val="el-GR"/>
        </w:rPr>
        <w:t xml:space="preserve"> </w:t>
      </w:r>
      <w:r>
        <w:rPr>
          <w:rFonts w:cstheme="minorHAnsi"/>
          <w:sz w:val="24"/>
          <w:szCs w:val="24"/>
          <w:lang w:val="el-GR"/>
        </w:rPr>
        <w:t>δώρα</w:t>
      </w:r>
      <w:r w:rsidR="00220066" w:rsidRPr="006B7E70">
        <w:rPr>
          <w:rFonts w:cstheme="minorHAnsi"/>
          <w:sz w:val="24"/>
          <w:szCs w:val="24"/>
          <w:lang w:val="el-GR"/>
        </w:rPr>
        <w:t xml:space="preserve">: </w:t>
      </w:r>
      <w:r>
        <w:rPr>
          <w:rFonts w:cstheme="minorHAnsi"/>
          <w:sz w:val="24"/>
          <w:szCs w:val="24"/>
          <w:lang w:val="el-GR"/>
        </w:rPr>
        <w:t>Δεν</w:t>
      </w:r>
      <w:r w:rsidRPr="006B7E70">
        <w:rPr>
          <w:rFonts w:cstheme="minorHAnsi"/>
          <w:sz w:val="24"/>
          <w:szCs w:val="24"/>
          <w:lang w:val="el-GR"/>
        </w:rPr>
        <w:t xml:space="preserve"> </w:t>
      </w:r>
      <w:r>
        <w:rPr>
          <w:rFonts w:cstheme="minorHAnsi"/>
          <w:sz w:val="24"/>
          <w:szCs w:val="24"/>
          <w:lang w:val="el-GR"/>
        </w:rPr>
        <w:t>επιτρέπεται</w:t>
      </w:r>
      <w:r w:rsidRPr="006B7E70">
        <w:rPr>
          <w:rFonts w:cstheme="minorHAnsi"/>
          <w:sz w:val="24"/>
          <w:szCs w:val="24"/>
          <w:lang w:val="el-GR"/>
        </w:rPr>
        <w:t xml:space="preserve"> </w:t>
      </w:r>
      <w:r>
        <w:rPr>
          <w:rFonts w:cstheme="minorHAnsi"/>
          <w:sz w:val="24"/>
          <w:szCs w:val="24"/>
          <w:lang w:val="el-GR"/>
        </w:rPr>
        <w:t>στους</w:t>
      </w:r>
      <w:r w:rsidRPr="006B7E70">
        <w:rPr>
          <w:rFonts w:cstheme="minorHAnsi"/>
          <w:sz w:val="24"/>
          <w:szCs w:val="24"/>
          <w:lang w:val="el-GR"/>
        </w:rPr>
        <w:t xml:space="preserve"> </w:t>
      </w:r>
      <w:r>
        <w:rPr>
          <w:rFonts w:cstheme="minorHAnsi"/>
          <w:sz w:val="24"/>
          <w:szCs w:val="24"/>
          <w:lang w:val="el-GR"/>
        </w:rPr>
        <w:t>ΑΕΝ</w:t>
      </w:r>
      <w:r w:rsidR="00220066" w:rsidRPr="006B7E70">
        <w:rPr>
          <w:rFonts w:cstheme="minorHAnsi"/>
          <w:sz w:val="24"/>
          <w:szCs w:val="24"/>
          <w:lang w:val="el-GR"/>
        </w:rPr>
        <w:t xml:space="preserve">, </w:t>
      </w:r>
      <w:r>
        <w:rPr>
          <w:rFonts w:cstheme="minorHAnsi"/>
          <w:sz w:val="24"/>
          <w:szCs w:val="24"/>
          <w:lang w:val="el-GR"/>
        </w:rPr>
        <w:t>είτε</w:t>
      </w:r>
      <w:r w:rsidRPr="006B7E70">
        <w:rPr>
          <w:rFonts w:cstheme="minorHAnsi"/>
          <w:sz w:val="24"/>
          <w:szCs w:val="24"/>
          <w:lang w:val="el-GR"/>
        </w:rPr>
        <w:t xml:space="preserve"> </w:t>
      </w:r>
      <w:r>
        <w:rPr>
          <w:rFonts w:cstheme="minorHAnsi"/>
          <w:sz w:val="24"/>
          <w:szCs w:val="24"/>
          <w:lang w:val="el-GR"/>
        </w:rPr>
        <w:t>άμεσα</w:t>
      </w:r>
      <w:r w:rsidRPr="006B7E70">
        <w:rPr>
          <w:rFonts w:cstheme="minorHAnsi"/>
          <w:sz w:val="24"/>
          <w:szCs w:val="24"/>
          <w:lang w:val="el-GR"/>
        </w:rPr>
        <w:t xml:space="preserve"> </w:t>
      </w:r>
      <w:r>
        <w:rPr>
          <w:rFonts w:cstheme="minorHAnsi"/>
          <w:sz w:val="24"/>
          <w:szCs w:val="24"/>
          <w:lang w:val="el-GR"/>
        </w:rPr>
        <w:t>είτε</w:t>
      </w:r>
      <w:r w:rsidRPr="006B7E70">
        <w:rPr>
          <w:rFonts w:cstheme="minorHAnsi"/>
          <w:sz w:val="24"/>
          <w:szCs w:val="24"/>
          <w:lang w:val="el-GR"/>
        </w:rPr>
        <w:t xml:space="preserve"> </w:t>
      </w:r>
      <w:r>
        <w:rPr>
          <w:rFonts w:cstheme="minorHAnsi"/>
          <w:sz w:val="24"/>
          <w:szCs w:val="24"/>
          <w:lang w:val="el-GR"/>
        </w:rPr>
        <w:t>έμμεσα</w:t>
      </w:r>
      <w:r w:rsidR="00220066" w:rsidRPr="006B7E70">
        <w:rPr>
          <w:rFonts w:cstheme="minorHAnsi"/>
          <w:sz w:val="24"/>
          <w:szCs w:val="24"/>
          <w:lang w:val="el-GR"/>
        </w:rPr>
        <w:t xml:space="preserve">, </w:t>
      </w:r>
      <w:r>
        <w:rPr>
          <w:rFonts w:cstheme="minorHAnsi"/>
          <w:sz w:val="24"/>
          <w:szCs w:val="24"/>
          <w:lang w:val="el-GR"/>
        </w:rPr>
        <w:t>να</w:t>
      </w:r>
      <w:r w:rsidRPr="006B7E70">
        <w:rPr>
          <w:rFonts w:cstheme="minorHAnsi"/>
          <w:sz w:val="24"/>
          <w:szCs w:val="24"/>
          <w:lang w:val="el-GR"/>
        </w:rPr>
        <w:t xml:space="preserve"> </w:t>
      </w:r>
      <w:r>
        <w:rPr>
          <w:rFonts w:cstheme="minorHAnsi"/>
          <w:sz w:val="24"/>
          <w:szCs w:val="24"/>
          <w:lang w:val="el-GR"/>
        </w:rPr>
        <w:t>παραλάβουν</w:t>
      </w:r>
      <w:r w:rsidRPr="006B7E70">
        <w:rPr>
          <w:rFonts w:cstheme="minorHAnsi"/>
          <w:sz w:val="24"/>
          <w:szCs w:val="24"/>
          <w:lang w:val="el-GR"/>
        </w:rPr>
        <w:t xml:space="preserve"> </w:t>
      </w:r>
      <w:r>
        <w:rPr>
          <w:rFonts w:cstheme="minorHAnsi"/>
          <w:sz w:val="24"/>
          <w:szCs w:val="24"/>
          <w:lang w:val="el-GR"/>
        </w:rPr>
        <w:t>ή να δώσουν οποιοδήποτε δώρο υπό την μορφή χρημάτων</w:t>
      </w:r>
      <w:r w:rsidR="00220066" w:rsidRPr="006B7E70">
        <w:rPr>
          <w:rFonts w:cstheme="minorHAnsi"/>
          <w:sz w:val="24"/>
          <w:szCs w:val="24"/>
          <w:lang w:val="el-GR"/>
        </w:rPr>
        <w:t xml:space="preserve">, </w:t>
      </w:r>
      <w:r>
        <w:rPr>
          <w:rFonts w:cstheme="minorHAnsi"/>
          <w:sz w:val="24"/>
          <w:szCs w:val="24"/>
          <w:lang w:val="el-GR"/>
        </w:rPr>
        <w:t>άλλων προϊόντων</w:t>
      </w:r>
      <w:r w:rsidR="00220066" w:rsidRPr="006B7E70">
        <w:rPr>
          <w:rFonts w:cstheme="minorHAnsi"/>
          <w:sz w:val="24"/>
          <w:szCs w:val="24"/>
          <w:lang w:val="el-GR"/>
        </w:rPr>
        <w:t xml:space="preserve">, </w:t>
      </w:r>
      <w:r>
        <w:rPr>
          <w:rFonts w:cstheme="minorHAnsi"/>
          <w:sz w:val="24"/>
          <w:szCs w:val="24"/>
          <w:lang w:val="el-GR"/>
        </w:rPr>
        <w:t>δωρεάν ταξιδιών ή άλλων ωφελημάτων</w:t>
      </w:r>
      <w:r w:rsidR="00220066" w:rsidRPr="006B7E70">
        <w:rPr>
          <w:rFonts w:cstheme="minorHAnsi"/>
          <w:sz w:val="24"/>
          <w:szCs w:val="24"/>
          <w:lang w:val="el-GR"/>
        </w:rPr>
        <w:t xml:space="preserve">. </w:t>
      </w:r>
      <w:r>
        <w:rPr>
          <w:rFonts w:cstheme="minorHAnsi"/>
          <w:sz w:val="24"/>
          <w:szCs w:val="24"/>
          <w:lang w:val="el-GR"/>
        </w:rPr>
        <w:t>Συμβολικά</w:t>
      </w:r>
      <w:r w:rsidRPr="003D697C">
        <w:rPr>
          <w:rFonts w:cstheme="minorHAnsi"/>
          <w:sz w:val="24"/>
          <w:szCs w:val="24"/>
          <w:lang w:val="el-GR"/>
        </w:rPr>
        <w:t xml:space="preserve"> </w:t>
      </w:r>
      <w:r>
        <w:rPr>
          <w:rFonts w:cstheme="minorHAnsi"/>
          <w:sz w:val="24"/>
          <w:szCs w:val="24"/>
          <w:lang w:val="el-GR"/>
        </w:rPr>
        <w:t>αντικείμενα</w:t>
      </w:r>
      <w:r w:rsidR="00220066" w:rsidRPr="003D697C">
        <w:rPr>
          <w:rFonts w:cstheme="minorHAnsi"/>
          <w:sz w:val="24"/>
          <w:szCs w:val="24"/>
          <w:lang w:val="el-GR"/>
        </w:rPr>
        <w:t xml:space="preserve"> (</w:t>
      </w:r>
      <w:r>
        <w:rPr>
          <w:rFonts w:cstheme="minorHAnsi"/>
          <w:sz w:val="24"/>
          <w:szCs w:val="24"/>
          <w:lang w:val="el-GR"/>
        </w:rPr>
        <w:t>π</w:t>
      </w:r>
      <w:r w:rsidR="00220066" w:rsidRPr="003D697C">
        <w:rPr>
          <w:rFonts w:cstheme="minorHAnsi"/>
          <w:sz w:val="24"/>
          <w:szCs w:val="24"/>
          <w:lang w:val="el-GR"/>
        </w:rPr>
        <w:t>.</w:t>
      </w:r>
      <w:r>
        <w:rPr>
          <w:rFonts w:cstheme="minorHAnsi"/>
          <w:sz w:val="24"/>
          <w:szCs w:val="24"/>
          <w:lang w:val="el-GR"/>
        </w:rPr>
        <w:t>χ</w:t>
      </w:r>
      <w:r w:rsidR="00220066" w:rsidRPr="003D697C">
        <w:rPr>
          <w:rFonts w:cstheme="minorHAnsi"/>
          <w:sz w:val="24"/>
          <w:szCs w:val="24"/>
          <w:lang w:val="el-GR"/>
        </w:rPr>
        <w:t xml:space="preserve">. </w:t>
      </w:r>
      <w:r>
        <w:rPr>
          <w:rFonts w:cstheme="minorHAnsi"/>
          <w:sz w:val="24"/>
          <w:szCs w:val="24"/>
          <w:lang w:val="el-GR"/>
        </w:rPr>
        <w:t>αναμνηστικά</w:t>
      </w:r>
      <w:r w:rsidRPr="003D697C">
        <w:rPr>
          <w:rFonts w:cstheme="minorHAnsi"/>
          <w:sz w:val="24"/>
          <w:szCs w:val="24"/>
          <w:lang w:val="el-GR"/>
        </w:rPr>
        <w:t xml:space="preserve"> </w:t>
      </w:r>
      <w:r>
        <w:rPr>
          <w:rFonts w:cstheme="minorHAnsi"/>
          <w:sz w:val="24"/>
          <w:szCs w:val="24"/>
          <w:lang w:val="el-GR"/>
        </w:rPr>
        <w:t>δώρα</w:t>
      </w:r>
      <w:r w:rsidR="003D697C" w:rsidRPr="003D697C">
        <w:rPr>
          <w:rFonts w:cstheme="minorHAnsi"/>
          <w:sz w:val="24"/>
          <w:szCs w:val="24"/>
          <w:lang w:val="el-GR"/>
        </w:rPr>
        <w:t xml:space="preserve"> </w:t>
      </w:r>
      <w:r w:rsidR="003D697C">
        <w:rPr>
          <w:rFonts w:cstheme="minorHAnsi"/>
          <w:sz w:val="24"/>
          <w:szCs w:val="24"/>
          <w:lang w:val="el-GR"/>
        </w:rPr>
        <w:t>που</w:t>
      </w:r>
      <w:r w:rsidR="003D697C" w:rsidRPr="003D697C">
        <w:rPr>
          <w:rFonts w:cstheme="minorHAnsi"/>
          <w:sz w:val="24"/>
          <w:szCs w:val="24"/>
          <w:lang w:val="el-GR"/>
        </w:rPr>
        <w:t xml:space="preserve"> </w:t>
      </w:r>
      <w:r w:rsidR="003D697C">
        <w:rPr>
          <w:rFonts w:cstheme="minorHAnsi"/>
          <w:sz w:val="24"/>
          <w:szCs w:val="24"/>
          <w:lang w:val="el-GR"/>
        </w:rPr>
        <w:t>παρέχονται</w:t>
      </w:r>
      <w:r w:rsidR="003D697C" w:rsidRPr="003D697C">
        <w:rPr>
          <w:rFonts w:cstheme="minorHAnsi"/>
          <w:sz w:val="24"/>
          <w:szCs w:val="24"/>
          <w:lang w:val="el-GR"/>
        </w:rPr>
        <w:t xml:space="preserve"> </w:t>
      </w:r>
      <w:r w:rsidR="003D697C">
        <w:rPr>
          <w:rFonts w:cstheme="minorHAnsi"/>
          <w:sz w:val="24"/>
          <w:szCs w:val="24"/>
          <w:lang w:val="el-GR"/>
        </w:rPr>
        <w:t>για</w:t>
      </w:r>
      <w:r w:rsidR="003D697C" w:rsidRPr="003D697C">
        <w:rPr>
          <w:rFonts w:cstheme="minorHAnsi"/>
          <w:sz w:val="24"/>
          <w:szCs w:val="24"/>
          <w:lang w:val="el-GR"/>
        </w:rPr>
        <w:t xml:space="preserve"> </w:t>
      </w:r>
      <w:r w:rsidR="003D697C">
        <w:rPr>
          <w:rFonts w:cstheme="minorHAnsi"/>
          <w:sz w:val="24"/>
          <w:szCs w:val="24"/>
          <w:lang w:val="el-GR"/>
        </w:rPr>
        <w:t>παράδειγμα</w:t>
      </w:r>
      <w:r w:rsidR="00220066" w:rsidRPr="003D697C">
        <w:rPr>
          <w:rFonts w:cstheme="minorHAnsi"/>
          <w:sz w:val="24"/>
          <w:szCs w:val="24"/>
          <w:lang w:val="el-GR"/>
        </w:rPr>
        <w:t xml:space="preserve"> </w:t>
      </w:r>
      <w:r w:rsidR="003D697C">
        <w:rPr>
          <w:rFonts w:cstheme="minorHAnsi"/>
          <w:sz w:val="24"/>
          <w:szCs w:val="24"/>
          <w:lang w:val="el-GR"/>
        </w:rPr>
        <w:t>στα</w:t>
      </w:r>
      <w:r w:rsidR="003D697C" w:rsidRPr="003D697C">
        <w:rPr>
          <w:rFonts w:cstheme="minorHAnsi"/>
          <w:sz w:val="24"/>
          <w:szCs w:val="24"/>
          <w:lang w:val="el-GR"/>
        </w:rPr>
        <w:t xml:space="preserve"> </w:t>
      </w:r>
      <w:r w:rsidR="003D697C">
        <w:rPr>
          <w:rFonts w:cstheme="minorHAnsi"/>
          <w:sz w:val="24"/>
          <w:szCs w:val="24"/>
          <w:lang w:val="el-GR"/>
        </w:rPr>
        <w:t>πλαίσια</w:t>
      </w:r>
      <w:r w:rsidR="003D697C" w:rsidRPr="003D697C">
        <w:rPr>
          <w:rFonts w:cstheme="minorHAnsi"/>
          <w:sz w:val="24"/>
          <w:szCs w:val="24"/>
          <w:lang w:val="el-GR"/>
        </w:rPr>
        <w:t xml:space="preserve"> </w:t>
      </w:r>
      <w:r w:rsidR="003D697C">
        <w:rPr>
          <w:rFonts w:cstheme="minorHAnsi"/>
          <w:sz w:val="24"/>
          <w:szCs w:val="24"/>
          <w:lang w:val="el-GR"/>
        </w:rPr>
        <w:t>ενός</w:t>
      </w:r>
      <w:r w:rsidR="003D697C" w:rsidRPr="003D697C">
        <w:rPr>
          <w:rFonts w:cstheme="minorHAnsi"/>
          <w:sz w:val="24"/>
          <w:szCs w:val="24"/>
          <w:lang w:val="el-GR"/>
        </w:rPr>
        <w:t xml:space="preserve"> </w:t>
      </w:r>
      <w:r w:rsidR="003D697C">
        <w:rPr>
          <w:rFonts w:cstheme="minorHAnsi"/>
          <w:sz w:val="24"/>
          <w:szCs w:val="24"/>
          <w:lang w:val="el-GR"/>
        </w:rPr>
        <w:t>συνεδρίου</w:t>
      </w:r>
      <w:r w:rsidR="00220066" w:rsidRPr="003D697C">
        <w:rPr>
          <w:rFonts w:cstheme="minorHAnsi"/>
          <w:sz w:val="24"/>
          <w:szCs w:val="24"/>
          <w:lang w:val="el-GR"/>
        </w:rPr>
        <w:t xml:space="preserve"> </w:t>
      </w:r>
      <w:r w:rsidR="003D697C">
        <w:rPr>
          <w:rFonts w:cstheme="minorHAnsi"/>
          <w:sz w:val="24"/>
          <w:szCs w:val="24"/>
          <w:lang w:val="el-GR"/>
        </w:rPr>
        <w:t>στο οποίο ο ΑΕΝ παρευρέθηκε υπό την επίσημη ιδιότητα του/ης</w:t>
      </w:r>
      <w:r w:rsidR="00220066" w:rsidRPr="003D697C">
        <w:rPr>
          <w:rFonts w:cstheme="minorHAnsi"/>
          <w:sz w:val="24"/>
          <w:szCs w:val="24"/>
          <w:lang w:val="el-GR"/>
        </w:rPr>
        <w:t xml:space="preserve">, </w:t>
      </w:r>
      <w:r w:rsidR="003D697C">
        <w:rPr>
          <w:rFonts w:cstheme="minorHAnsi"/>
          <w:sz w:val="24"/>
          <w:szCs w:val="24"/>
          <w:lang w:val="el-GR"/>
        </w:rPr>
        <w:t>όπως μια πέννα</w:t>
      </w:r>
      <w:r w:rsidR="00220066" w:rsidRPr="003D697C">
        <w:rPr>
          <w:rFonts w:cstheme="minorHAnsi"/>
          <w:sz w:val="24"/>
          <w:szCs w:val="24"/>
          <w:lang w:val="el-GR"/>
        </w:rPr>
        <w:t xml:space="preserve">, </w:t>
      </w:r>
      <w:r w:rsidR="00D91826">
        <w:rPr>
          <w:rFonts w:cstheme="minorHAnsi"/>
          <w:sz w:val="24"/>
          <w:szCs w:val="24"/>
          <w:lang w:val="el-GR"/>
        </w:rPr>
        <w:t>ένα ντοσιέ</w:t>
      </w:r>
      <w:r w:rsidR="00220066" w:rsidRPr="003D697C">
        <w:rPr>
          <w:rFonts w:cstheme="minorHAnsi"/>
          <w:sz w:val="24"/>
          <w:szCs w:val="24"/>
          <w:lang w:val="el-GR"/>
        </w:rPr>
        <w:t xml:space="preserve">, </w:t>
      </w:r>
      <w:r w:rsidR="003D697C">
        <w:rPr>
          <w:rFonts w:cstheme="minorHAnsi"/>
          <w:sz w:val="24"/>
          <w:szCs w:val="24"/>
          <w:lang w:val="el-GR"/>
        </w:rPr>
        <w:t>κλπ</w:t>
      </w:r>
      <w:r w:rsidR="00220066" w:rsidRPr="003D697C">
        <w:rPr>
          <w:rFonts w:cstheme="minorHAnsi"/>
          <w:sz w:val="24"/>
          <w:szCs w:val="24"/>
          <w:lang w:val="el-GR"/>
        </w:rPr>
        <w:t xml:space="preserve">.) </w:t>
      </w:r>
      <w:r w:rsidR="003D697C">
        <w:rPr>
          <w:rFonts w:cstheme="minorHAnsi"/>
          <w:sz w:val="24"/>
          <w:szCs w:val="24"/>
          <w:lang w:val="el-GR"/>
        </w:rPr>
        <w:t>εξαιρούντα</w:t>
      </w:r>
      <w:r w:rsidR="00D91826">
        <w:rPr>
          <w:rFonts w:cstheme="minorHAnsi"/>
          <w:sz w:val="24"/>
          <w:szCs w:val="24"/>
          <w:lang w:val="el-GR"/>
        </w:rPr>
        <w:t>ι</w:t>
      </w:r>
      <w:r w:rsidR="003D697C">
        <w:rPr>
          <w:rFonts w:cstheme="minorHAnsi"/>
          <w:sz w:val="24"/>
          <w:szCs w:val="24"/>
          <w:lang w:val="el-GR"/>
        </w:rPr>
        <w:t xml:space="preserve"> από την απαγόρευση αυτή.</w:t>
      </w:r>
      <w:r w:rsidR="00220066" w:rsidRPr="003D697C">
        <w:rPr>
          <w:rFonts w:cstheme="minorHAnsi"/>
          <w:sz w:val="24"/>
          <w:szCs w:val="24"/>
          <w:lang w:val="el-GR"/>
        </w:rPr>
        <w:t xml:space="preserve"> </w:t>
      </w:r>
      <w:r w:rsidR="003D697C">
        <w:rPr>
          <w:rFonts w:cstheme="minorHAnsi"/>
          <w:sz w:val="24"/>
          <w:szCs w:val="24"/>
          <w:lang w:val="en-US"/>
        </w:rPr>
        <w:t>E</w:t>
      </w:r>
      <w:proofErr w:type="spellStart"/>
      <w:r w:rsidR="003D697C">
        <w:rPr>
          <w:rFonts w:cstheme="minorHAnsi"/>
          <w:sz w:val="24"/>
          <w:szCs w:val="24"/>
          <w:lang w:val="el-GR"/>
        </w:rPr>
        <w:t>πίσης</w:t>
      </w:r>
      <w:proofErr w:type="spellEnd"/>
      <w:r w:rsidR="00220066" w:rsidRPr="003D697C">
        <w:rPr>
          <w:rFonts w:cstheme="minorHAnsi"/>
          <w:sz w:val="24"/>
          <w:szCs w:val="24"/>
          <w:lang w:val="el-GR"/>
        </w:rPr>
        <w:t xml:space="preserve">, </w:t>
      </w:r>
      <w:r w:rsidR="003D697C">
        <w:rPr>
          <w:rFonts w:cstheme="minorHAnsi"/>
          <w:sz w:val="24"/>
          <w:szCs w:val="24"/>
          <w:lang w:val="el-GR"/>
        </w:rPr>
        <w:t>σε</w:t>
      </w:r>
      <w:r w:rsidR="003D697C" w:rsidRPr="003D697C">
        <w:rPr>
          <w:rFonts w:cstheme="minorHAnsi"/>
          <w:sz w:val="24"/>
          <w:szCs w:val="24"/>
          <w:lang w:val="el-GR"/>
        </w:rPr>
        <w:t xml:space="preserve"> </w:t>
      </w:r>
      <w:r w:rsidR="003D697C">
        <w:rPr>
          <w:rFonts w:cstheme="minorHAnsi"/>
          <w:sz w:val="24"/>
          <w:szCs w:val="24"/>
          <w:lang w:val="el-GR"/>
        </w:rPr>
        <w:t>ειδικές</w:t>
      </w:r>
      <w:r w:rsidR="003D697C" w:rsidRPr="003D697C">
        <w:rPr>
          <w:rFonts w:cstheme="minorHAnsi"/>
          <w:sz w:val="24"/>
          <w:szCs w:val="24"/>
          <w:lang w:val="el-GR"/>
        </w:rPr>
        <w:t xml:space="preserve"> </w:t>
      </w:r>
      <w:r w:rsidR="003D697C">
        <w:rPr>
          <w:rFonts w:cstheme="minorHAnsi"/>
          <w:sz w:val="24"/>
          <w:szCs w:val="24"/>
          <w:lang w:val="el-GR"/>
        </w:rPr>
        <w:t>περιπτώσεις</w:t>
      </w:r>
      <w:r w:rsidR="00220066" w:rsidRPr="003D697C">
        <w:rPr>
          <w:rFonts w:cstheme="minorHAnsi"/>
          <w:sz w:val="24"/>
          <w:szCs w:val="24"/>
          <w:lang w:val="el-GR"/>
        </w:rPr>
        <w:t>,</w:t>
      </w:r>
      <w:r w:rsidR="003D697C" w:rsidRPr="003D697C">
        <w:rPr>
          <w:rFonts w:cstheme="minorHAnsi"/>
          <w:sz w:val="24"/>
          <w:szCs w:val="24"/>
          <w:lang w:val="el-GR"/>
        </w:rPr>
        <w:t xml:space="preserve"> </w:t>
      </w:r>
      <w:r w:rsidR="003D697C">
        <w:rPr>
          <w:rFonts w:cstheme="minorHAnsi"/>
          <w:sz w:val="24"/>
          <w:szCs w:val="24"/>
          <w:lang w:val="el-GR"/>
        </w:rPr>
        <w:t>όπου</w:t>
      </w:r>
      <w:r w:rsidR="003D697C" w:rsidRPr="003D697C">
        <w:rPr>
          <w:rFonts w:cstheme="minorHAnsi"/>
          <w:sz w:val="24"/>
          <w:szCs w:val="24"/>
          <w:lang w:val="el-GR"/>
        </w:rPr>
        <w:t xml:space="preserve"> </w:t>
      </w:r>
      <w:r w:rsidR="003D697C">
        <w:rPr>
          <w:rFonts w:cstheme="minorHAnsi"/>
          <w:sz w:val="24"/>
          <w:szCs w:val="24"/>
          <w:lang w:val="el-GR"/>
        </w:rPr>
        <w:t>ο</w:t>
      </w:r>
      <w:r w:rsidR="003D697C" w:rsidRPr="003D697C">
        <w:rPr>
          <w:rFonts w:cstheme="minorHAnsi"/>
          <w:sz w:val="24"/>
          <w:szCs w:val="24"/>
          <w:lang w:val="el-GR"/>
        </w:rPr>
        <w:t xml:space="preserve"> </w:t>
      </w:r>
      <w:r w:rsidR="003D697C">
        <w:rPr>
          <w:rFonts w:cstheme="minorHAnsi"/>
          <w:sz w:val="24"/>
          <w:szCs w:val="24"/>
          <w:lang w:val="el-GR"/>
        </w:rPr>
        <w:t>αξιωματούχος</w:t>
      </w:r>
      <w:r w:rsidR="003D697C" w:rsidRPr="003D697C">
        <w:rPr>
          <w:rFonts w:cstheme="minorHAnsi"/>
          <w:sz w:val="24"/>
          <w:szCs w:val="24"/>
          <w:lang w:val="el-GR"/>
        </w:rPr>
        <w:t xml:space="preserve"> </w:t>
      </w:r>
      <w:r w:rsidR="003D697C">
        <w:rPr>
          <w:rFonts w:cstheme="minorHAnsi"/>
          <w:sz w:val="24"/>
          <w:szCs w:val="24"/>
          <w:lang w:val="el-GR"/>
        </w:rPr>
        <w:t>θεωρεί</w:t>
      </w:r>
      <w:r w:rsidR="00220066" w:rsidRPr="003D697C">
        <w:rPr>
          <w:rFonts w:cstheme="minorHAnsi"/>
          <w:sz w:val="24"/>
          <w:szCs w:val="24"/>
          <w:lang w:val="el-GR"/>
        </w:rPr>
        <w:t xml:space="preserve"> </w:t>
      </w:r>
      <w:r w:rsidR="003D697C">
        <w:rPr>
          <w:rFonts w:cstheme="minorHAnsi"/>
          <w:sz w:val="24"/>
          <w:szCs w:val="24"/>
          <w:lang w:val="el-GR"/>
        </w:rPr>
        <w:t>ότι</w:t>
      </w:r>
      <w:r w:rsidR="003D697C" w:rsidRPr="003D697C">
        <w:rPr>
          <w:rFonts w:cstheme="minorHAnsi"/>
          <w:sz w:val="24"/>
          <w:szCs w:val="24"/>
          <w:lang w:val="el-GR"/>
        </w:rPr>
        <w:t xml:space="preserve"> </w:t>
      </w:r>
      <w:r w:rsidR="003D697C">
        <w:rPr>
          <w:rFonts w:cstheme="minorHAnsi"/>
          <w:sz w:val="24"/>
          <w:szCs w:val="24"/>
          <w:lang w:val="el-GR"/>
        </w:rPr>
        <w:t>θα</w:t>
      </w:r>
      <w:r w:rsidR="003D697C" w:rsidRPr="003D697C">
        <w:rPr>
          <w:rFonts w:cstheme="minorHAnsi"/>
          <w:sz w:val="24"/>
          <w:szCs w:val="24"/>
          <w:lang w:val="el-GR"/>
        </w:rPr>
        <w:t xml:space="preserve"> </w:t>
      </w:r>
      <w:r w:rsidR="003D697C">
        <w:rPr>
          <w:rFonts w:cstheme="minorHAnsi"/>
          <w:sz w:val="24"/>
          <w:szCs w:val="24"/>
          <w:lang w:val="el-GR"/>
        </w:rPr>
        <w:t>ήταν</w:t>
      </w:r>
      <w:r w:rsidR="003D697C" w:rsidRPr="003D697C">
        <w:rPr>
          <w:rFonts w:cstheme="minorHAnsi"/>
          <w:sz w:val="24"/>
          <w:szCs w:val="24"/>
          <w:lang w:val="el-GR"/>
        </w:rPr>
        <w:t xml:space="preserve"> </w:t>
      </w:r>
      <w:r w:rsidR="003D697C">
        <w:rPr>
          <w:rFonts w:cstheme="minorHAnsi"/>
          <w:sz w:val="24"/>
          <w:szCs w:val="24"/>
          <w:lang w:val="el-GR"/>
        </w:rPr>
        <w:t>ανεπιθύμητο</w:t>
      </w:r>
      <w:r w:rsidR="00220066" w:rsidRPr="003D697C">
        <w:rPr>
          <w:rFonts w:cstheme="minorHAnsi"/>
          <w:sz w:val="24"/>
          <w:szCs w:val="24"/>
          <w:lang w:val="el-GR"/>
        </w:rPr>
        <w:t xml:space="preserve"> </w:t>
      </w:r>
      <w:r w:rsidR="003D697C">
        <w:rPr>
          <w:rFonts w:cstheme="minorHAnsi"/>
          <w:sz w:val="24"/>
          <w:szCs w:val="24"/>
          <w:lang w:val="el-GR"/>
        </w:rPr>
        <w:t>ή</w:t>
      </w:r>
      <w:r w:rsidR="003D697C" w:rsidRPr="003D697C">
        <w:rPr>
          <w:rFonts w:cstheme="minorHAnsi"/>
          <w:sz w:val="24"/>
          <w:szCs w:val="24"/>
          <w:lang w:val="el-GR"/>
        </w:rPr>
        <w:t xml:space="preserve"> </w:t>
      </w:r>
      <w:r w:rsidR="003D697C">
        <w:rPr>
          <w:rFonts w:cstheme="minorHAnsi"/>
          <w:sz w:val="24"/>
          <w:szCs w:val="24"/>
          <w:lang w:val="el-GR"/>
        </w:rPr>
        <w:t>εναντίον</w:t>
      </w:r>
      <w:r w:rsidR="003D697C" w:rsidRPr="003D697C">
        <w:rPr>
          <w:rFonts w:cstheme="minorHAnsi"/>
          <w:sz w:val="24"/>
          <w:szCs w:val="24"/>
          <w:lang w:val="el-GR"/>
        </w:rPr>
        <w:t xml:space="preserve"> </w:t>
      </w:r>
      <w:r w:rsidR="003D697C">
        <w:rPr>
          <w:rFonts w:cstheme="minorHAnsi"/>
          <w:sz w:val="24"/>
          <w:szCs w:val="24"/>
          <w:lang w:val="el-GR"/>
        </w:rPr>
        <w:t>του</w:t>
      </w:r>
      <w:r w:rsidR="003D697C" w:rsidRPr="003D697C">
        <w:rPr>
          <w:rFonts w:cstheme="minorHAnsi"/>
          <w:sz w:val="24"/>
          <w:szCs w:val="24"/>
          <w:lang w:val="el-GR"/>
        </w:rPr>
        <w:t xml:space="preserve"> </w:t>
      </w:r>
      <w:r w:rsidR="003D697C">
        <w:rPr>
          <w:rFonts w:cstheme="minorHAnsi"/>
          <w:sz w:val="24"/>
          <w:szCs w:val="24"/>
          <w:lang w:val="el-GR"/>
        </w:rPr>
        <w:t>δημοσίου</w:t>
      </w:r>
      <w:r w:rsidR="003D697C" w:rsidRPr="003D697C">
        <w:rPr>
          <w:rFonts w:cstheme="minorHAnsi"/>
          <w:sz w:val="24"/>
          <w:szCs w:val="24"/>
          <w:lang w:val="el-GR"/>
        </w:rPr>
        <w:t xml:space="preserve"> </w:t>
      </w:r>
      <w:r w:rsidR="003D697C">
        <w:rPr>
          <w:rFonts w:cstheme="minorHAnsi"/>
          <w:sz w:val="24"/>
          <w:szCs w:val="24"/>
          <w:lang w:val="el-GR"/>
        </w:rPr>
        <w:t>συμφέροντος</w:t>
      </w:r>
      <w:r w:rsidR="00220066" w:rsidRPr="003D697C">
        <w:rPr>
          <w:rFonts w:cstheme="minorHAnsi"/>
          <w:sz w:val="24"/>
          <w:szCs w:val="24"/>
          <w:lang w:val="el-GR"/>
        </w:rPr>
        <w:t xml:space="preserve"> </w:t>
      </w:r>
      <w:r w:rsidR="003D697C">
        <w:rPr>
          <w:rFonts w:cstheme="minorHAnsi"/>
          <w:sz w:val="24"/>
          <w:szCs w:val="24"/>
          <w:lang w:val="el-GR"/>
        </w:rPr>
        <w:t>να</w:t>
      </w:r>
      <w:r w:rsidR="003D697C" w:rsidRPr="003D697C">
        <w:rPr>
          <w:rFonts w:cstheme="minorHAnsi"/>
          <w:sz w:val="24"/>
          <w:szCs w:val="24"/>
          <w:lang w:val="el-GR"/>
        </w:rPr>
        <w:t xml:space="preserve"> </w:t>
      </w:r>
      <w:r w:rsidR="003D697C">
        <w:rPr>
          <w:rFonts w:cstheme="minorHAnsi"/>
          <w:sz w:val="24"/>
          <w:szCs w:val="24"/>
          <w:lang w:val="el-GR"/>
        </w:rPr>
        <w:t>αρ</w:t>
      </w:r>
      <w:r w:rsidR="00D91826">
        <w:rPr>
          <w:rFonts w:cstheme="minorHAnsi"/>
          <w:sz w:val="24"/>
          <w:szCs w:val="24"/>
          <w:lang w:val="el-GR"/>
        </w:rPr>
        <w:t>ν</w:t>
      </w:r>
      <w:r w:rsidR="003D697C">
        <w:rPr>
          <w:rFonts w:cstheme="minorHAnsi"/>
          <w:sz w:val="24"/>
          <w:szCs w:val="24"/>
          <w:lang w:val="el-GR"/>
        </w:rPr>
        <w:t>ηθεί</w:t>
      </w:r>
      <w:r w:rsidR="003D697C" w:rsidRPr="003D697C">
        <w:rPr>
          <w:rFonts w:cstheme="minorHAnsi"/>
          <w:sz w:val="24"/>
          <w:szCs w:val="24"/>
          <w:lang w:val="el-GR"/>
        </w:rPr>
        <w:t xml:space="preserve"> </w:t>
      </w:r>
      <w:r w:rsidR="003D697C">
        <w:rPr>
          <w:rFonts w:cstheme="minorHAnsi"/>
          <w:sz w:val="24"/>
          <w:szCs w:val="24"/>
          <w:lang w:val="el-GR"/>
        </w:rPr>
        <w:t>το</w:t>
      </w:r>
      <w:r w:rsidR="003D697C" w:rsidRPr="003D697C">
        <w:rPr>
          <w:rFonts w:cstheme="minorHAnsi"/>
          <w:sz w:val="24"/>
          <w:szCs w:val="24"/>
          <w:lang w:val="el-GR"/>
        </w:rPr>
        <w:t xml:space="preserve"> </w:t>
      </w:r>
      <w:r w:rsidR="003D697C">
        <w:rPr>
          <w:rFonts w:cstheme="minorHAnsi"/>
          <w:sz w:val="24"/>
          <w:szCs w:val="24"/>
          <w:lang w:val="el-GR"/>
        </w:rPr>
        <w:t>δώρο</w:t>
      </w:r>
      <w:r w:rsidR="00220066" w:rsidRPr="003D697C">
        <w:rPr>
          <w:rFonts w:cstheme="minorHAnsi"/>
          <w:sz w:val="24"/>
          <w:szCs w:val="24"/>
          <w:lang w:val="el-GR"/>
        </w:rPr>
        <w:t xml:space="preserve">, </w:t>
      </w:r>
      <w:r w:rsidR="003D697C">
        <w:rPr>
          <w:rFonts w:cstheme="minorHAnsi"/>
          <w:sz w:val="24"/>
          <w:szCs w:val="24"/>
          <w:lang w:val="el-GR"/>
        </w:rPr>
        <w:t>αυτός</w:t>
      </w:r>
      <w:r w:rsidR="00220066" w:rsidRPr="003D697C">
        <w:rPr>
          <w:rFonts w:cstheme="minorHAnsi"/>
          <w:sz w:val="24"/>
          <w:szCs w:val="24"/>
          <w:lang w:val="el-GR"/>
        </w:rPr>
        <w:t>/</w:t>
      </w:r>
      <w:r w:rsidR="003D697C">
        <w:rPr>
          <w:rFonts w:cstheme="minorHAnsi"/>
          <w:sz w:val="24"/>
          <w:szCs w:val="24"/>
          <w:lang w:val="el-GR"/>
        </w:rPr>
        <w:t>ή</w:t>
      </w:r>
      <w:r w:rsidR="00220066" w:rsidRPr="003D697C">
        <w:rPr>
          <w:rFonts w:cstheme="minorHAnsi"/>
          <w:sz w:val="24"/>
          <w:szCs w:val="24"/>
          <w:lang w:val="el-GR"/>
        </w:rPr>
        <w:t xml:space="preserve"> </w:t>
      </w:r>
      <w:r w:rsidR="003D697C">
        <w:rPr>
          <w:rFonts w:cstheme="minorHAnsi"/>
          <w:sz w:val="24"/>
          <w:szCs w:val="24"/>
          <w:lang w:val="el-GR"/>
        </w:rPr>
        <w:t>μπορεί να το αποδεχθεί</w:t>
      </w:r>
      <w:r w:rsidR="00220066" w:rsidRPr="003D697C">
        <w:rPr>
          <w:rFonts w:cstheme="minorHAnsi"/>
          <w:sz w:val="24"/>
          <w:szCs w:val="24"/>
          <w:lang w:val="el-GR"/>
        </w:rPr>
        <w:t xml:space="preserve">, </w:t>
      </w:r>
      <w:r w:rsidR="003D697C">
        <w:rPr>
          <w:rFonts w:cstheme="minorHAnsi"/>
          <w:sz w:val="24"/>
          <w:szCs w:val="24"/>
          <w:lang w:val="el-GR"/>
        </w:rPr>
        <w:t>και να το αναφέρει αμέσως γραπτώς</w:t>
      </w:r>
      <w:r w:rsidR="00220066" w:rsidRPr="003D697C">
        <w:rPr>
          <w:rFonts w:cstheme="minorHAnsi"/>
          <w:sz w:val="24"/>
          <w:szCs w:val="24"/>
          <w:lang w:val="el-GR"/>
        </w:rPr>
        <w:t xml:space="preserve"> (</w:t>
      </w:r>
      <w:r w:rsidR="003D697C">
        <w:rPr>
          <w:rFonts w:cstheme="minorHAnsi"/>
          <w:sz w:val="24"/>
          <w:szCs w:val="24"/>
          <w:lang w:val="el-GR"/>
        </w:rPr>
        <w:t>μέσω του προϊσταμένου του/ης</w:t>
      </w:r>
      <w:r w:rsidR="00220066" w:rsidRPr="003D697C">
        <w:rPr>
          <w:rFonts w:cstheme="minorHAnsi"/>
          <w:sz w:val="24"/>
          <w:szCs w:val="24"/>
          <w:lang w:val="el-GR"/>
        </w:rPr>
        <w:t xml:space="preserve"> </w:t>
      </w:r>
      <w:r w:rsidR="003D697C">
        <w:rPr>
          <w:rFonts w:cstheme="minorHAnsi"/>
          <w:sz w:val="24"/>
          <w:szCs w:val="24"/>
          <w:lang w:val="el-GR"/>
        </w:rPr>
        <w:t>στον σχετικό Αστυνομικό Διευθυντή</w:t>
      </w:r>
      <w:r w:rsidR="00220066" w:rsidRPr="003D697C">
        <w:rPr>
          <w:rFonts w:cstheme="minorHAnsi"/>
          <w:sz w:val="24"/>
          <w:szCs w:val="24"/>
          <w:lang w:val="el-GR"/>
        </w:rPr>
        <w:t>/</w:t>
      </w:r>
      <w:r w:rsidR="003D697C">
        <w:rPr>
          <w:rFonts w:cstheme="minorHAnsi"/>
          <w:sz w:val="24"/>
          <w:szCs w:val="24"/>
          <w:lang w:val="el-GR"/>
        </w:rPr>
        <w:t>Διοικητή</w:t>
      </w:r>
      <w:r w:rsidR="00220066" w:rsidRPr="003D697C">
        <w:rPr>
          <w:rFonts w:cstheme="minorHAnsi"/>
          <w:sz w:val="24"/>
          <w:szCs w:val="24"/>
          <w:lang w:val="el-GR"/>
        </w:rPr>
        <w:t xml:space="preserve">. </w:t>
      </w:r>
      <w:r w:rsidR="000529A6">
        <w:rPr>
          <w:rFonts w:cstheme="minorHAnsi"/>
          <w:sz w:val="24"/>
          <w:szCs w:val="24"/>
          <w:lang w:val="el-GR"/>
        </w:rPr>
        <w:t>Υπάρχει</w:t>
      </w:r>
      <w:r w:rsidR="000529A6" w:rsidRPr="000529A6">
        <w:rPr>
          <w:rFonts w:cstheme="minorHAnsi"/>
          <w:sz w:val="24"/>
          <w:szCs w:val="24"/>
          <w:lang w:val="el-GR"/>
        </w:rPr>
        <w:t xml:space="preserve"> </w:t>
      </w:r>
      <w:r w:rsidR="000529A6">
        <w:rPr>
          <w:rFonts w:cstheme="minorHAnsi"/>
          <w:sz w:val="24"/>
          <w:szCs w:val="24"/>
          <w:lang w:val="el-GR"/>
        </w:rPr>
        <w:t>ένα</w:t>
      </w:r>
      <w:r w:rsidR="000529A6" w:rsidRPr="000529A6">
        <w:rPr>
          <w:rFonts w:cstheme="minorHAnsi"/>
          <w:sz w:val="24"/>
          <w:szCs w:val="24"/>
          <w:lang w:val="el-GR"/>
        </w:rPr>
        <w:t xml:space="preserve"> </w:t>
      </w:r>
      <w:r w:rsidR="000529A6">
        <w:rPr>
          <w:rFonts w:cstheme="minorHAnsi"/>
          <w:sz w:val="24"/>
          <w:szCs w:val="24"/>
          <w:lang w:val="el-GR"/>
        </w:rPr>
        <w:t>κατώφλι</w:t>
      </w:r>
      <w:r w:rsidR="00220066" w:rsidRPr="000529A6">
        <w:rPr>
          <w:rFonts w:cstheme="minorHAnsi"/>
          <w:sz w:val="24"/>
          <w:szCs w:val="24"/>
          <w:lang w:val="el-GR"/>
        </w:rPr>
        <w:t xml:space="preserve"> </w:t>
      </w:r>
      <w:r w:rsidR="00963F58" w:rsidRPr="000529A6">
        <w:rPr>
          <w:rFonts w:cstheme="minorHAnsi"/>
          <w:sz w:val="24"/>
          <w:szCs w:val="24"/>
          <w:lang w:val="el-GR"/>
        </w:rPr>
        <w:t>€</w:t>
      </w:r>
      <w:r w:rsidR="00220066" w:rsidRPr="000529A6">
        <w:rPr>
          <w:rFonts w:cstheme="minorHAnsi"/>
          <w:sz w:val="24"/>
          <w:szCs w:val="24"/>
          <w:lang w:val="el-GR"/>
        </w:rPr>
        <w:t>170 (</w:t>
      </w:r>
      <w:r w:rsidR="000529A6">
        <w:rPr>
          <w:rFonts w:cstheme="minorHAnsi"/>
          <w:sz w:val="24"/>
          <w:szCs w:val="24"/>
          <w:lang w:val="el-GR"/>
        </w:rPr>
        <w:t>το</w:t>
      </w:r>
      <w:r w:rsidR="000529A6" w:rsidRPr="000529A6">
        <w:rPr>
          <w:rFonts w:cstheme="minorHAnsi"/>
          <w:sz w:val="24"/>
          <w:szCs w:val="24"/>
          <w:lang w:val="el-GR"/>
        </w:rPr>
        <w:t xml:space="preserve"> </w:t>
      </w:r>
      <w:r w:rsidR="000529A6">
        <w:rPr>
          <w:rFonts w:cstheme="minorHAnsi"/>
          <w:sz w:val="24"/>
          <w:szCs w:val="24"/>
          <w:lang w:val="el-GR"/>
        </w:rPr>
        <w:t>κατώφλι</w:t>
      </w:r>
      <w:r w:rsidR="000529A6" w:rsidRPr="000529A6">
        <w:rPr>
          <w:rFonts w:cstheme="minorHAnsi"/>
          <w:sz w:val="24"/>
          <w:szCs w:val="24"/>
          <w:lang w:val="el-GR"/>
        </w:rPr>
        <w:t xml:space="preserve"> </w:t>
      </w:r>
      <w:r w:rsidR="000529A6">
        <w:rPr>
          <w:rFonts w:cstheme="minorHAnsi"/>
          <w:sz w:val="24"/>
          <w:szCs w:val="24"/>
          <w:lang w:val="el-GR"/>
        </w:rPr>
        <w:t>αυτό</w:t>
      </w:r>
      <w:r w:rsidR="000529A6" w:rsidRPr="000529A6">
        <w:rPr>
          <w:rFonts w:cstheme="minorHAnsi"/>
          <w:sz w:val="24"/>
          <w:szCs w:val="24"/>
          <w:lang w:val="el-GR"/>
        </w:rPr>
        <w:t xml:space="preserve"> </w:t>
      </w:r>
      <w:r w:rsidR="000529A6">
        <w:rPr>
          <w:rFonts w:cstheme="minorHAnsi"/>
          <w:sz w:val="24"/>
          <w:szCs w:val="24"/>
          <w:lang w:val="el-GR"/>
        </w:rPr>
        <w:t>ισχύει</w:t>
      </w:r>
      <w:r w:rsidR="000529A6" w:rsidRPr="000529A6">
        <w:rPr>
          <w:rFonts w:cstheme="minorHAnsi"/>
          <w:sz w:val="24"/>
          <w:szCs w:val="24"/>
          <w:lang w:val="el-GR"/>
        </w:rPr>
        <w:t xml:space="preserve"> </w:t>
      </w:r>
      <w:r w:rsidR="00D91826">
        <w:rPr>
          <w:rFonts w:cstheme="minorHAnsi"/>
          <w:sz w:val="24"/>
          <w:szCs w:val="24"/>
          <w:lang w:val="el-GR"/>
        </w:rPr>
        <w:t>για</w:t>
      </w:r>
      <w:r w:rsidR="000529A6" w:rsidRPr="000529A6">
        <w:rPr>
          <w:rFonts w:cstheme="minorHAnsi"/>
          <w:sz w:val="24"/>
          <w:szCs w:val="24"/>
          <w:lang w:val="el-GR"/>
        </w:rPr>
        <w:t xml:space="preserve"> </w:t>
      </w:r>
      <w:r w:rsidR="000529A6">
        <w:rPr>
          <w:rFonts w:cstheme="minorHAnsi"/>
          <w:sz w:val="24"/>
          <w:szCs w:val="24"/>
          <w:lang w:val="el-GR"/>
        </w:rPr>
        <w:t>ολόκληρο</w:t>
      </w:r>
      <w:r w:rsidR="000529A6" w:rsidRPr="000529A6">
        <w:rPr>
          <w:rFonts w:cstheme="minorHAnsi"/>
          <w:sz w:val="24"/>
          <w:szCs w:val="24"/>
          <w:lang w:val="el-GR"/>
        </w:rPr>
        <w:t xml:space="preserve"> </w:t>
      </w:r>
      <w:r w:rsidR="000529A6">
        <w:rPr>
          <w:rFonts w:cstheme="minorHAnsi"/>
          <w:sz w:val="24"/>
          <w:szCs w:val="24"/>
          <w:lang w:val="el-GR"/>
        </w:rPr>
        <w:t>τον</w:t>
      </w:r>
      <w:r w:rsidR="000529A6" w:rsidRPr="000529A6">
        <w:rPr>
          <w:rFonts w:cstheme="minorHAnsi"/>
          <w:sz w:val="24"/>
          <w:szCs w:val="24"/>
          <w:lang w:val="el-GR"/>
        </w:rPr>
        <w:t xml:space="preserve"> </w:t>
      </w:r>
      <w:r w:rsidR="000529A6">
        <w:rPr>
          <w:rFonts w:cstheme="minorHAnsi"/>
          <w:sz w:val="24"/>
          <w:szCs w:val="24"/>
          <w:lang w:val="el-GR"/>
        </w:rPr>
        <w:t>δημόσιο</w:t>
      </w:r>
      <w:r w:rsidR="000529A6" w:rsidRPr="000529A6">
        <w:rPr>
          <w:rFonts w:cstheme="minorHAnsi"/>
          <w:sz w:val="24"/>
          <w:szCs w:val="24"/>
          <w:lang w:val="el-GR"/>
        </w:rPr>
        <w:t xml:space="preserve"> </w:t>
      </w:r>
      <w:r w:rsidR="000529A6">
        <w:rPr>
          <w:rFonts w:cstheme="minorHAnsi"/>
          <w:sz w:val="24"/>
          <w:szCs w:val="24"/>
          <w:lang w:val="el-GR"/>
        </w:rPr>
        <w:t>τομέα στην Κύπρο</w:t>
      </w:r>
      <w:r w:rsidR="00220066" w:rsidRPr="000529A6">
        <w:rPr>
          <w:rFonts w:cstheme="minorHAnsi"/>
          <w:sz w:val="24"/>
          <w:szCs w:val="24"/>
          <w:lang w:val="el-GR"/>
        </w:rPr>
        <w:t xml:space="preserve">). </w:t>
      </w:r>
    </w:p>
    <w:p w14:paraId="5816E314" w14:textId="77777777" w:rsidR="00220066" w:rsidRPr="000529A6" w:rsidRDefault="00220066" w:rsidP="00220066">
      <w:pPr>
        <w:widowControl w:val="0"/>
        <w:tabs>
          <w:tab w:val="left" w:pos="709"/>
        </w:tabs>
        <w:rPr>
          <w:rFonts w:cstheme="minorHAnsi"/>
          <w:color w:val="FF0000"/>
          <w:sz w:val="24"/>
          <w:szCs w:val="24"/>
          <w:lang w:val="el-GR"/>
        </w:rPr>
      </w:pPr>
    </w:p>
    <w:p w14:paraId="011252A8" w14:textId="29E7EAFE" w:rsidR="00220066" w:rsidRPr="004E251E" w:rsidRDefault="000529A6" w:rsidP="00220066">
      <w:pPr>
        <w:pStyle w:val="Heading3"/>
        <w:tabs>
          <w:tab w:val="left" w:pos="709"/>
        </w:tabs>
        <w:spacing w:before="0"/>
        <w:rPr>
          <w:rFonts w:asciiTheme="minorHAnsi" w:hAnsiTheme="minorHAnsi" w:cstheme="minorHAnsi"/>
          <w:b w:val="0"/>
          <w:i/>
          <w:color w:val="auto"/>
          <w:sz w:val="24"/>
          <w:szCs w:val="24"/>
        </w:rPr>
      </w:pPr>
      <w:bookmarkStart w:id="223" w:name="_Toc110430338"/>
      <w:bookmarkStart w:id="224" w:name="_Toc117445178"/>
      <w:bookmarkStart w:id="225" w:name="_Toc136879382"/>
      <w:r>
        <w:rPr>
          <w:rFonts w:asciiTheme="minorHAnsi" w:hAnsiTheme="minorHAnsi" w:cstheme="minorHAnsi"/>
          <w:b w:val="0"/>
          <w:i/>
          <w:color w:val="auto"/>
          <w:sz w:val="24"/>
          <w:szCs w:val="24"/>
        </w:rPr>
        <w:t>K</w:t>
      </w:r>
      <w:proofErr w:type="spellStart"/>
      <w:r>
        <w:rPr>
          <w:rFonts w:asciiTheme="minorHAnsi" w:hAnsiTheme="minorHAnsi" w:cstheme="minorHAnsi"/>
          <w:b w:val="0"/>
          <w:i/>
          <w:color w:val="auto"/>
          <w:sz w:val="24"/>
          <w:szCs w:val="24"/>
          <w:lang w:val="el-GR"/>
        </w:rPr>
        <w:t>ατάχρηση</w:t>
      </w:r>
      <w:proofErr w:type="spellEnd"/>
      <w:r>
        <w:rPr>
          <w:rFonts w:asciiTheme="minorHAnsi" w:hAnsiTheme="minorHAnsi" w:cstheme="minorHAnsi"/>
          <w:b w:val="0"/>
          <w:i/>
          <w:color w:val="auto"/>
          <w:sz w:val="24"/>
          <w:szCs w:val="24"/>
          <w:lang w:val="el-GR"/>
        </w:rPr>
        <w:t xml:space="preserve"> δημοσίων πόρων</w:t>
      </w:r>
      <w:bookmarkEnd w:id="223"/>
      <w:bookmarkEnd w:id="224"/>
      <w:bookmarkEnd w:id="225"/>
    </w:p>
    <w:p w14:paraId="36F9A916" w14:textId="77777777" w:rsidR="00220066" w:rsidRPr="004E251E" w:rsidRDefault="00220066" w:rsidP="00220066">
      <w:pPr>
        <w:tabs>
          <w:tab w:val="left" w:pos="709"/>
        </w:tabs>
        <w:rPr>
          <w:rFonts w:cstheme="minorHAnsi"/>
          <w:bCs/>
          <w:color w:val="FF0000"/>
          <w:sz w:val="24"/>
          <w:szCs w:val="24"/>
        </w:rPr>
      </w:pPr>
    </w:p>
    <w:p w14:paraId="22D8715C" w14:textId="70A561BB" w:rsidR="00220066" w:rsidRPr="000529A6" w:rsidRDefault="000529A6" w:rsidP="00220066">
      <w:pPr>
        <w:numPr>
          <w:ilvl w:val="0"/>
          <w:numId w:val="1"/>
        </w:numPr>
        <w:tabs>
          <w:tab w:val="left" w:pos="709"/>
        </w:tabs>
        <w:ind w:left="0" w:firstLine="0"/>
        <w:rPr>
          <w:rFonts w:cstheme="minorHAnsi"/>
          <w:sz w:val="24"/>
          <w:szCs w:val="24"/>
          <w:lang w:val="el-GR"/>
        </w:rPr>
      </w:pPr>
      <w:r>
        <w:rPr>
          <w:sz w:val="24"/>
          <w:szCs w:val="24"/>
          <w:lang w:val="el-GR"/>
        </w:rPr>
        <w:t>Οι</w:t>
      </w:r>
      <w:r w:rsidRPr="000529A6">
        <w:rPr>
          <w:sz w:val="24"/>
          <w:szCs w:val="24"/>
          <w:lang w:val="el-GR"/>
        </w:rPr>
        <w:t xml:space="preserve"> </w:t>
      </w:r>
      <w:r>
        <w:rPr>
          <w:sz w:val="24"/>
          <w:szCs w:val="24"/>
          <w:lang w:val="el-GR"/>
        </w:rPr>
        <w:t>σχετικές</w:t>
      </w:r>
      <w:r w:rsidRPr="000529A6">
        <w:rPr>
          <w:sz w:val="24"/>
          <w:szCs w:val="24"/>
          <w:lang w:val="el-GR"/>
        </w:rPr>
        <w:t xml:space="preserve"> </w:t>
      </w:r>
      <w:r>
        <w:rPr>
          <w:sz w:val="24"/>
          <w:szCs w:val="24"/>
          <w:lang w:val="el-GR"/>
        </w:rPr>
        <w:t>πρόνοιες</w:t>
      </w:r>
      <w:r w:rsidRPr="000529A6">
        <w:rPr>
          <w:sz w:val="24"/>
          <w:szCs w:val="24"/>
          <w:lang w:val="el-GR"/>
        </w:rPr>
        <w:t xml:space="preserve"> </w:t>
      </w:r>
      <w:r>
        <w:rPr>
          <w:sz w:val="24"/>
          <w:szCs w:val="24"/>
          <w:lang w:val="el-GR"/>
        </w:rPr>
        <w:t>του</w:t>
      </w:r>
      <w:r w:rsidRPr="000529A6">
        <w:rPr>
          <w:sz w:val="24"/>
          <w:szCs w:val="24"/>
          <w:lang w:val="el-GR"/>
        </w:rPr>
        <w:t xml:space="preserve"> </w:t>
      </w:r>
      <w:r>
        <w:rPr>
          <w:sz w:val="24"/>
          <w:szCs w:val="24"/>
          <w:lang w:val="el-GR"/>
        </w:rPr>
        <w:t>Ποινικού</w:t>
      </w:r>
      <w:r w:rsidRPr="000529A6">
        <w:rPr>
          <w:sz w:val="24"/>
          <w:szCs w:val="24"/>
          <w:lang w:val="el-GR"/>
        </w:rPr>
        <w:t xml:space="preserve"> </w:t>
      </w:r>
      <w:r>
        <w:rPr>
          <w:sz w:val="24"/>
          <w:szCs w:val="24"/>
          <w:lang w:val="el-GR"/>
        </w:rPr>
        <w:t>Κώδικα</w:t>
      </w:r>
      <w:r w:rsidR="00220066" w:rsidRPr="000529A6">
        <w:rPr>
          <w:sz w:val="24"/>
          <w:szCs w:val="24"/>
          <w:lang w:val="el-GR"/>
        </w:rPr>
        <w:t xml:space="preserve"> </w:t>
      </w:r>
      <w:r>
        <w:rPr>
          <w:sz w:val="24"/>
          <w:szCs w:val="24"/>
          <w:lang w:val="el-GR"/>
        </w:rPr>
        <w:t>για</w:t>
      </w:r>
      <w:r w:rsidRPr="000529A6">
        <w:rPr>
          <w:sz w:val="24"/>
          <w:szCs w:val="24"/>
          <w:lang w:val="el-GR"/>
        </w:rPr>
        <w:t xml:space="preserve"> </w:t>
      </w:r>
      <w:r>
        <w:rPr>
          <w:sz w:val="24"/>
          <w:szCs w:val="24"/>
          <w:lang w:val="el-GR"/>
        </w:rPr>
        <w:t>την</w:t>
      </w:r>
      <w:r w:rsidRPr="000529A6">
        <w:rPr>
          <w:sz w:val="24"/>
          <w:szCs w:val="24"/>
          <w:lang w:val="el-GR"/>
        </w:rPr>
        <w:t xml:space="preserve"> </w:t>
      </w:r>
      <w:r>
        <w:rPr>
          <w:sz w:val="24"/>
          <w:szCs w:val="24"/>
          <w:lang w:val="el-GR"/>
        </w:rPr>
        <w:t>διαφθορά</w:t>
      </w:r>
      <w:r w:rsidR="00220066" w:rsidRPr="000529A6">
        <w:rPr>
          <w:sz w:val="24"/>
          <w:szCs w:val="24"/>
          <w:lang w:val="el-GR"/>
        </w:rPr>
        <w:t xml:space="preserve"> </w:t>
      </w:r>
      <w:r>
        <w:rPr>
          <w:sz w:val="24"/>
          <w:szCs w:val="24"/>
          <w:lang w:val="el-GR"/>
        </w:rPr>
        <w:t>και την κατάχρηση του αξιώματος</w:t>
      </w:r>
      <w:r w:rsidR="00220066" w:rsidRPr="000529A6">
        <w:rPr>
          <w:sz w:val="24"/>
          <w:szCs w:val="24"/>
          <w:lang w:val="el-GR"/>
        </w:rPr>
        <w:t xml:space="preserve"> </w:t>
      </w:r>
      <w:r>
        <w:rPr>
          <w:sz w:val="24"/>
          <w:szCs w:val="24"/>
          <w:lang w:val="el-GR"/>
        </w:rPr>
        <w:t>ισχύουν από την άποψη αυτή</w:t>
      </w:r>
      <w:r w:rsidR="00220066" w:rsidRPr="000529A6">
        <w:rPr>
          <w:sz w:val="24"/>
          <w:szCs w:val="24"/>
          <w:lang w:val="el-GR"/>
        </w:rPr>
        <w:t xml:space="preserve"> (</w:t>
      </w:r>
      <w:r>
        <w:rPr>
          <w:sz w:val="24"/>
          <w:szCs w:val="24"/>
          <w:lang w:val="el-GR"/>
        </w:rPr>
        <w:t>Άρθρα</w:t>
      </w:r>
      <w:r w:rsidR="00220066" w:rsidRPr="000529A6">
        <w:rPr>
          <w:sz w:val="24"/>
          <w:szCs w:val="24"/>
          <w:lang w:val="el-GR"/>
        </w:rPr>
        <w:t xml:space="preserve"> 100-102, 105, 255 </w:t>
      </w:r>
      <w:r>
        <w:rPr>
          <w:sz w:val="24"/>
          <w:szCs w:val="24"/>
          <w:lang w:val="el-GR"/>
        </w:rPr>
        <w:t>και</w:t>
      </w:r>
      <w:r w:rsidR="00220066" w:rsidRPr="000529A6">
        <w:rPr>
          <w:sz w:val="24"/>
          <w:szCs w:val="24"/>
          <w:lang w:val="el-GR"/>
        </w:rPr>
        <w:t xml:space="preserve"> 267). </w:t>
      </w:r>
    </w:p>
    <w:p w14:paraId="6481967C" w14:textId="77777777" w:rsidR="00220066" w:rsidRPr="000529A6" w:rsidRDefault="00220066" w:rsidP="00220066">
      <w:pPr>
        <w:tabs>
          <w:tab w:val="left" w:pos="709"/>
        </w:tabs>
        <w:rPr>
          <w:rFonts w:cstheme="minorHAnsi"/>
          <w:bCs/>
          <w:color w:val="FF0000"/>
          <w:sz w:val="24"/>
          <w:szCs w:val="24"/>
          <w:lang w:val="el-GR"/>
        </w:rPr>
      </w:pPr>
    </w:p>
    <w:p w14:paraId="5A76F880" w14:textId="36F8556A" w:rsidR="00220066" w:rsidRPr="004E251E" w:rsidRDefault="000529A6" w:rsidP="00220066">
      <w:pPr>
        <w:pStyle w:val="Heading3"/>
        <w:tabs>
          <w:tab w:val="left" w:pos="709"/>
        </w:tabs>
        <w:spacing w:before="0"/>
        <w:rPr>
          <w:rFonts w:asciiTheme="minorHAnsi" w:hAnsiTheme="minorHAnsi" w:cstheme="minorHAnsi"/>
          <w:b w:val="0"/>
          <w:i/>
          <w:color w:val="auto"/>
          <w:sz w:val="24"/>
          <w:szCs w:val="24"/>
        </w:rPr>
      </w:pPr>
      <w:bookmarkStart w:id="226" w:name="_Toc110430339"/>
      <w:bookmarkStart w:id="227" w:name="_Toc117445179"/>
      <w:bookmarkStart w:id="228" w:name="_Toc136879383"/>
      <w:r>
        <w:rPr>
          <w:rFonts w:asciiTheme="minorHAnsi" w:hAnsiTheme="minorHAnsi" w:cstheme="minorHAnsi"/>
          <w:b w:val="0"/>
          <w:i/>
          <w:color w:val="auto"/>
          <w:sz w:val="24"/>
          <w:szCs w:val="24"/>
          <w:lang w:val="el-GR"/>
        </w:rPr>
        <w:t>Κατάχρηση</w:t>
      </w:r>
      <w:r w:rsidRPr="000529A6">
        <w:rPr>
          <w:rFonts w:asciiTheme="minorHAnsi" w:hAnsiTheme="minorHAnsi" w:cstheme="minorHAnsi"/>
          <w:b w:val="0"/>
          <w:i/>
          <w:color w:val="auto"/>
          <w:sz w:val="24"/>
          <w:szCs w:val="24"/>
          <w:lang w:val="en-US"/>
        </w:rPr>
        <w:t xml:space="preserve"> </w:t>
      </w:r>
      <w:r>
        <w:rPr>
          <w:rFonts w:asciiTheme="minorHAnsi" w:hAnsiTheme="minorHAnsi" w:cstheme="minorHAnsi"/>
          <w:b w:val="0"/>
          <w:i/>
          <w:color w:val="auto"/>
          <w:sz w:val="24"/>
          <w:szCs w:val="24"/>
          <w:lang w:val="el-GR"/>
        </w:rPr>
        <w:t>εμπιστευτικών</w:t>
      </w:r>
      <w:r w:rsidRPr="000529A6">
        <w:rPr>
          <w:rFonts w:asciiTheme="minorHAnsi" w:hAnsiTheme="minorHAnsi" w:cstheme="minorHAnsi"/>
          <w:b w:val="0"/>
          <w:i/>
          <w:color w:val="auto"/>
          <w:sz w:val="24"/>
          <w:szCs w:val="24"/>
          <w:lang w:val="en-US"/>
        </w:rPr>
        <w:t xml:space="preserve"> </w:t>
      </w:r>
      <w:r>
        <w:rPr>
          <w:rFonts w:asciiTheme="minorHAnsi" w:hAnsiTheme="minorHAnsi" w:cstheme="minorHAnsi"/>
          <w:b w:val="0"/>
          <w:i/>
          <w:color w:val="auto"/>
          <w:sz w:val="24"/>
          <w:szCs w:val="24"/>
          <w:lang w:val="el-GR"/>
        </w:rPr>
        <w:t>πληροφοριών</w:t>
      </w:r>
      <w:bookmarkEnd w:id="226"/>
      <w:bookmarkEnd w:id="227"/>
      <w:bookmarkEnd w:id="228"/>
    </w:p>
    <w:p w14:paraId="21281E18" w14:textId="77777777" w:rsidR="00220066" w:rsidRPr="004E251E" w:rsidRDefault="00220066" w:rsidP="00220066">
      <w:pPr>
        <w:keepNext/>
        <w:rPr>
          <w:rFonts w:cstheme="minorHAnsi"/>
          <w:b/>
          <w:color w:val="FF0000"/>
          <w:sz w:val="24"/>
          <w:szCs w:val="24"/>
        </w:rPr>
      </w:pPr>
    </w:p>
    <w:p w14:paraId="1B173F29" w14:textId="65B96195" w:rsidR="00220066" w:rsidRPr="004333E6" w:rsidRDefault="000529A6" w:rsidP="00220066">
      <w:pPr>
        <w:keepNext/>
        <w:numPr>
          <w:ilvl w:val="0"/>
          <w:numId w:val="1"/>
        </w:numPr>
        <w:tabs>
          <w:tab w:val="left" w:pos="709"/>
        </w:tabs>
        <w:ind w:left="0" w:firstLine="0"/>
        <w:rPr>
          <w:rFonts w:cstheme="minorHAnsi"/>
          <w:sz w:val="24"/>
          <w:szCs w:val="24"/>
          <w:lang w:val="en-US"/>
        </w:rPr>
      </w:pPr>
      <w:r>
        <w:rPr>
          <w:rFonts w:cstheme="minorHAnsi"/>
          <w:sz w:val="24"/>
          <w:szCs w:val="24"/>
          <w:lang w:val="el-GR"/>
        </w:rPr>
        <w:t>Οι</w:t>
      </w:r>
      <w:r w:rsidRPr="000529A6">
        <w:rPr>
          <w:rFonts w:cstheme="minorHAnsi"/>
          <w:sz w:val="24"/>
          <w:szCs w:val="24"/>
          <w:lang w:val="el-GR"/>
        </w:rPr>
        <w:t xml:space="preserve"> </w:t>
      </w:r>
      <w:r>
        <w:rPr>
          <w:rFonts w:cstheme="minorHAnsi"/>
          <w:sz w:val="24"/>
          <w:szCs w:val="24"/>
          <w:lang w:val="el-GR"/>
        </w:rPr>
        <w:t>ΑΕΝ</w:t>
      </w:r>
      <w:r w:rsidRPr="000529A6">
        <w:rPr>
          <w:rFonts w:cstheme="minorHAnsi"/>
          <w:sz w:val="24"/>
          <w:szCs w:val="24"/>
          <w:lang w:val="el-GR"/>
        </w:rPr>
        <w:t xml:space="preserve"> </w:t>
      </w:r>
      <w:r>
        <w:rPr>
          <w:rFonts w:cstheme="minorHAnsi"/>
          <w:sz w:val="24"/>
          <w:szCs w:val="24"/>
          <w:lang w:val="el-GR"/>
        </w:rPr>
        <w:t>πρέπει</w:t>
      </w:r>
      <w:r w:rsidRPr="000529A6">
        <w:rPr>
          <w:rFonts w:cstheme="minorHAnsi"/>
          <w:sz w:val="24"/>
          <w:szCs w:val="24"/>
          <w:lang w:val="el-GR"/>
        </w:rPr>
        <w:t xml:space="preserve"> </w:t>
      </w:r>
      <w:r>
        <w:rPr>
          <w:rFonts w:cstheme="minorHAnsi"/>
          <w:sz w:val="24"/>
          <w:szCs w:val="24"/>
          <w:lang w:val="el-GR"/>
        </w:rPr>
        <w:t>να</w:t>
      </w:r>
      <w:r w:rsidRPr="000529A6">
        <w:rPr>
          <w:rFonts w:cstheme="minorHAnsi"/>
          <w:sz w:val="24"/>
          <w:szCs w:val="24"/>
          <w:lang w:val="el-GR"/>
        </w:rPr>
        <w:t xml:space="preserve"> </w:t>
      </w:r>
      <w:r>
        <w:rPr>
          <w:rFonts w:cstheme="minorHAnsi"/>
          <w:sz w:val="24"/>
          <w:szCs w:val="24"/>
          <w:lang w:val="el-GR"/>
        </w:rPr>
        <w:t>διατηρήσουν</w:t>
      </w:r>
      <w:r w:rsidRPr="000529A6">
        <w:rPr>
          <w:rFonts w:cstheme="minorHAnsi"/>
          <w:sz w:val="24"/>
          <w:szCs w:val="24"/>
          <w:lang w:val="el-GR"/>
        </w:rPr>
        <w:t xml:space="preserve"> </w:t>
      </w:r>
      <w:r>
        <w:rPr>
          <w:rFonts w:cstheme="minorHAnsi"/>
          <w:sz w:val="24"/>
          <w:szCs w:val="24"/>
          <w:lang w:val="el-GR"/>
        </w:rPr>
        <w:t>απόλυτη</w:t>
      </w:r>
      <w:r w:rsidRPr="000529A6">
        <w:rPr>
          <w:rFonts w:cstheme="minorHAnsi"/>
          <w:sz w:val="24"/>
          <w:szCs w:val="24"/>
          <w:lang w:val="el-GR"/>
        </w:rPr>
        <w:t xml:space="preserve"> </w:t>
      </w:r>
      <w:r>
        <w:rPr>
          <w:rFonts w:cstheme="minorHAnsi"/>
          <w:sz w:val="24"/>
          <w:szCs w:val="24"/>
          <w:lang w:val="el-GR"/>
        </w:rPr>
        <w:t>διακριτικότητα</w:t>
      </w:r>
      <w:r w:rsidRPr="000529A6">
        <w:rPr>
          <w:rFonts w:cstheme="minorHAnsi"/>
          <w:sz w:val="24"/>
          <w:szCs w:val="24"/>
          <w:lang w:val="el-GR"/>
        </w:rPr>
        <w:t xml:space="preserve"> </w:t>
      </w:r>
      <w:r>
        <w:rPr>
          <w:rFonts w:cstheme="minorHAnsi"/>
          <w:sz w:val="24"/>
          <w:szCs w:val="24"/>
          <w:lang w:val="el-GR"/>
        </w:rPr>
        <w:t>σε</w:t>
      </w:r>
      <w:r w:rsidRPr="000529A6">
        <w:rPr>
          <w:rFonts w:cstheme="minorHAnsi"/>
          <w:sz w:val="24"/>
          <w:szCs w:val="24"/>
          <w:lang w:val="el-GR"/>
        </w:rPr>
        <w:t xml:space="preserve"> </w:t>
      </w:r>
      <w:r>
        <w:rPr>
          <w:rFonts w:cstheme="minorHAnsi"/>
          <w:sz w:val="24"/>
          <w:szCs w:val="24"/>
          <w:lang w:val="el-GR"/>
        </w:rPr>
        <w:t>σχέση</w:t>
      </w:r>
      <w:r w:rsidRPr="000529A6">
        <w:rPr>
          <w:rFonts w:cstheme="minorHAnsi"/>
          <w:sz w:val="24"/>
          <w:szCs w:val="24"/>
          <w:lang w:val="el-GR"/>
        </w:rPr>
        <w:t xml:space="preserve"> </w:t>
      </w:r>
      <w:r>
        <w:rPr>
          <w:rFonts w:cstheme="minorHAnsi"/>
          <w:sz w:val="24"/>
          <w:szCs w:val="24"/>
          <w:lang w:val="el-GR"/>
        </w:rPr>
        <w:t>με</w:t>
      </w:r>
      <w:r w:rsidRPr="000529A6">
        <w:rPr>
          <w:rFonts w:cstheme="minorHAnsi"/>
          <w:sz w:val="24"/>
          <w:szCs w:val="24"/>
          <w:lang w:val="el-GR"/>
        </w:rPr>
        <w:t xml:space="preserve"> </w:t>
      </w:r>
      <w:r>
        <w:rPr>
          <w:rFonts w:cstheme="minorHAnsi"/>
          <w:sz w:val="24"/>
          <w:szCs w:val="24"/>
          <w:lang w:val="el-GR"/>
        </w:rPr>
        <w:t>εμπιστευτικά</w:t>
      </w:r>
      <w:r w:rsidRPr="000529A6">
        <w:rPr>
          <w:rFonts w:cstheme="minorHAnsi"/>
          <w:sz w:val="24"/>
          <w:szCs w:val="24"/>
          <w:lang w:val="el-GR"/>
        </w:rPr>
        <w:t xml:space="preserve"> </w:t>
      </w:r>
      <w:r>
        <w:rPr>
          <w:rFonts w:cstheme="minorHAnsi"/>
          <w:sz w:val="24"/>
          <w:szCs w:val="24"/>
          <w:lang w:val="el-GR"/>
        </w:rPr>
        <w:t>γεγονότα</w:t>
      </w:r>
      <w:r w:rsidR="00220066" w:rsidRPr="000529A6">
        <w:rPr>
          <w:rFonts w:cstheme="minorHAnsi"/>
          <w:sz w:val="24"/>
          <w:szCs w:val="24"/>
          <w:lang w:val="el-GR"/>
        </w:rPr>
        <w:t xml:space="preserve"> </w:t>
      </w:r>
      <w:r>
        <w:rPr>
          <w:rFonts w:cstheme="minorHAnsi"/>
          <w:sz w:val="24"/>
          <w:szCs w:val="24"/>
          <w:lang w:val="el-GR"/>
        </w:rPr>
        <w:t>ή</w:t>
      </w:r>
      <w:r w:rsidRPr="000529A6">
        <w:rPr>
          <w:rFonts w:cstheme="minorHAnsi"/>
          <w:sz w:val="24"/>
          <w:szCs w:val="24"/>
          <w:lang w:val="el-GR"/>
        </w:rPr>
        <w:t xml:space="preserve"> </w:t>
      </w:r>
      <w:r>
        <w:rPr>
          <w:rFonts w:cstheme="minorHAnsi"/>
          <w:sz w:val="24"/>
          <w:szCs w:val="24"/>
          <w:lang w:val="el-GR"/>
        </w:rPr>
        <w:t>πληροφορίες που αποκτούνται κατά την εκτέλεση των καθηκόντων τους</w:t>
      </w:r>
      <w:r w:rsidR="004333E6">
        <w:rPr>
          <w:rFonts w:cstheme="minorHAnsi"/>
          <w:sz w:val="24"/>
          <w:szCs w:val="24"/>
          <w:lang w:val="el-GR"/>
        </w:rPr>
        <w:t xml:space="preserve"> ή λόγω της ιδιότητας τους</w:t>
      </w:r>
      <w:r w:rsidR="00220066" w:rsidRPr="000529A6">
        <w:rPr>
          <w:rFonts w:cstheme="minorHAnsi"/>
          <w:sz w:val="24"/>
          <w:szCs w:val="24"/>
          <w:lang w:val="el-GR"/>
        </w:rPr>
        <w:t xml:space="preserve">. </w:t>
      </w:r>
      <w:r w:rsidR="004333E6">
        <w:rPr>
          <w:rFonts w:cstheme="minorHAnsi"/>
          <w:sz w:val="24"/>
          <w:szCs w:val="24"/>
          <w:lang w:val="el-GR"/>
        </w:rPr>
        <w:t>Η</w:t>
      </w:r>
      <w:r w:rsidR="004333E6" w:rsidRPr="004333E6">
        <w:rPr>
          <w:rFonts w:cstheme="minorHAnsi"/>
          <w:sz w:val="24"/>
          <w:szCs w:val="24"/>
          <w:lang w:val="el-GR"/>
        </w:rPr>
        <w:t xml:space="preserve"> </w:t>
      </w:r>
      <w:r w:rsidR="004333E6">
        <w:rPr>
          <w:rFonts w:cstheme="minorHAnsi"/>
          <w:sz w:val="24"/>
          <w:szCs w:val="24"/>
          <w:lang w:val="el-GR"/>
        </w:rPr>
        <w:t>Κανονιστική</w:t>
      </w:r>
      <w:r w:rsidR="004333E6" w:rsidRPr="004333E6">
        <w:rPr>
          <w:rFonts w:cstheme="minorHAnsi"/>
          <w:sz w:val="24"/>
          <w:szCs w:val="24"/>
          <w:lang w:val="el-GR"/>
        </w:rPr>
        <w:t xml:space="preserve"> (</w:t>
      </w:r>
      <w:r w:rsidR="004333E6">
        <w:rPr>
          <w:rFonts w:cstheme="minorHAnsi"/>
          <w:sz w:val="24"/>
          <w:szCs w:val="24"/>
          <w:lang w:val="el-GR"/>
        </w:rPr>
        <w:t>Πειθαρχική</w:t>
      </w:r>
      <w:r w:rsidR="004333E6" w:rsidRPr="004333E6">
        <w:rPr>
          <w:rFonts w:cstheme="minorHAnsi"/>
          <w:sz w:val="24"/>
          <w:szCs w:val="24"/>
          <w:lang w:val="el-GR"/>
        </w:rPr>
        <w:t xml:space="preserve">) </w:t>
      </w:r>
      <w:r w:rsidR="004333E6">
        <w:rPr>
          <w:rFonts w:cstheme="minorHAnsi"/>
          <w:sz w:val="24"/>
          <w:szCs w:val="24"/>
          <w:lang w:val="el-GR"/>
        </w:rPr>
        <w:t>Ρυθμιστική</w:t>
      </w:r>
      <w:r w:rsidR="004333E6" w:rsidRPr="004333E6">
        <w:rPr>
          <w:rFonts w:cstheme="minorHAnsi"/>
          <w:sz w:val="24"/>
          <w:szCs w:val="24"/>
          <w:lang w:val="el-GR"/>
        </w:rPr>
        <w:t xml:space="preserve"> </w:t>
      </w:r>
      <w:r w:rsidR="004333E6">
        <w:rPr>
          <w:rFonts w:cstheme="minorHAnsi"/>
          <w:sz w:val="24"/>
          <w:szCs w:val="24"/>
          <w:lang w:val="el-GR"/>
        </w:rPr>
        <w:t>Διοικητική</w:t>
      </w:r>
      <w:r w:rsidR="004333E6" w:rsidRPr="004333E6">
        <w:rPr>
          <w:rFonts w:cstheme="minorHAnsi"/>
          <w:sz w:val="24"/>
          <w:szCs w:val="24"/>
          <w:lang w:val="el-GR"/>
        </w:rPr>
        <w:t xml:space="preserve"> </w:t>
      </w:r>
      <w:r w:rsidR="004333E6">
        <w:rPr>
          <w:rFonts w:cstheme="minorHAnsi"/>
          <w:sz w:val="24"/>
          <w:szCs w:val="24"/>
          <w:lang w:val="el-GR"/>
        </w:rPr>
        <w:t>Πράξη</w:t>
      </w:r>
      <w:r w:rsidR="004333E6" w:rsidRPr="004333E6">
        <w:rPr>
          <w:rFonts w:cstheme="minorHAnsi"/>
          <w:sz w:val="24"/>
          <w:szCs w:val="24"/>
          <w:lang w:val="el-GR"/>
        </w:rPr>
        <w:t xml:space="preserve"> </w:t>
      </w:r>
      <w:r w:rsidR="004333E6">
        <w:rPr>
          <w:rFonts w:cstheme="minorHAnsi"/>
          <w:sz w:val="24"/>
          <w:szCs w:val="24"/>
          <w:lang w:val="el-GR"/>
        </w:rPr>
        <w:t>της</w:t>
      </w:r>
      <w:r w:rsidR="004333E6" w:rsidRPr="004333E6">
        <w:rPr>
          <w:rFonts w:cstheme="minorHAnsi"/>
          <w:sz w:val="24"/>
          <w:szCs w:val="24"/>
          <w:lang w:val="el-GR"/>
        </w:rPr>
        <w:t xml:space="preserve"> </w:t>
      </w:r>
      <w:r w:rsidR="009C4E34">
        <w:rPr>
          <w:rFonts w:cstheme="minorHAnsi"/>
          <w:sz w:val="24"/>
          <w:szCs w:val="24"/>
          <w:lang w:val="el-GR"/>
        </w:rPr>
        <w:t>Αστυνομία</w:t>
      </w:r>
      <w:r w:rsidR="004333E6">
        <w:rPr>
          <w:rFonts w:cstheme="minorHAnsi"/>
          <w:sz w:val="24"/>
          <w:szCs w:val="24"/>
          <w:lang w:val="el-GR"/>
        </w:rPr>
        <w:t xml:space="preserve">ς </w:t>
      </w:r>
      <w:r w:rsidR="00220066" w:rsidRPr="004333E6">
        <w:rPr>
          <w:rFonts w:eastAsiaTheme="majorEastAsia" w:cstheme="minorHAnsi"/>
          <w:bCs/>
          <w:sz w:val="24"/>
          <w:szCs w:val="24"/>
          <w:lang w:val="el-GR"/>
        </w:rPr>
        <w:t xml:space="preserve">53/1989 </w:t>
      </w:r>
      <w:r w:rsidR="004333E6">
        <w:rPr>
          <w:rFonts w:eastAsiaTheme="majorEastAsia" w:cstheme="minorHAnsi"/>
          <w:bCs/>
          <w:sz w:val="24"/>
          <w:szCs w:val="24"/>
          <w:lang w:val="el-GR"/>
        </w:rPr>
        <w:t>συμπεριλαμβάνει εκτενείς πρόνοιες από την άποψη αυτή</w:t>
      </w:r>
      <w:r w:rsidR="00220066" w:rsidRPr="004333E6">
        <w:rPr>
          <w:rFonts w:cstheme="minorHAnsi"/>
          <w:sz w:val="24"/>
          <w:szCs w:val="24"/>
          <w:lang w:val="el-GR"/>
        </w:rPr>
        <w:t xml:space="preserve">. </w:t>
      </w:r>
      <w:r w:rsidR="004333E6">
        <w:rPr>
          <w:rFonts w:cstheme="minorHAnsi"/>
          <w:sz w:val="24"/>
          <w:szCs w:val="24"/>
          <w:lang w:val="el-GR"/>
        </w:rPr>
        <w:t>Επιπρόσθετα</w:t>
      </w:r>
      <w:r w:rsidR="00220066" w:rsidRPr="004333E6">
        <w:rPr>
          <w:rFonts w:cstheme="minorHAnsi"/>
          <w:sz w:val="24"/>
          <w:szCs w:val="24"/>
          <w:lang w:val="el-GR"/>
        </w:rPr>
        <w:t xml:space="preserve">, </w:t>
      </w:r>
      <w:r w:rsidR="004333E6">
        <w:rPr>
          <w:rFonts w:cstheme="minorHAnsi"/>
          <w:sz w:val="24"/>
          <w:szCs w:val="24"/>
          <w:lang w:val="el-GR"/>
        </w:rPr>
        <w:t>το</w:t>
      </w:r>
      <w:r w:rsidR="004333E6" w:rsidRPr="004333E6">
        <w:rPr>
          <w:rFonts w:cstheme="minorHAnsi"/>
          <w:sz w:val="24"/>
          <w:szCs w:val="24"/>
          <w:lang w:val="el-GR"/>
        </w:rPr>
        <w:t xml:space="preserve"> </w:t>
      </w:r>
      <w:r w:rsidR="004333E6">
        <w:rPr>
          <w:rFonts w:cstheme="minorHAnsi"/>
          <w:sz w:val="24"/>
          <w:szCs w:val="24"/>
          <w:lang w:val="el-GR"/>
        </w:rPr>
        <w:t>Άρθρο</w:t>
      </w:r>
      <w:r w:rsidR="00220066" w:rsidRPr="004333E6">
        <w:rPr>
          <w:rFonts w:cstheme="minorHAnsi"/>
          <w:sz w:val="24"/>
          <w:szCs w:val="24"/>
          <w:lang w:val="el-GR"/>
        </w:rPr>
        <w:t xml:space="preserve"> 135 </w:t>
      </w:r>
      <w:r w:rsidR="004333E6">
        <w:rPr>
          <w:rFonts w:cstheme="minorHAnsi"/>
          <w:sz w:val="24"/>
          <w:szCs w:val="24"/>
          <w:lang w:val="el-GR"/>
        </w:rPr>
        <w:t>του</w:t>
      </w:r>
      <w:r w:rsidR="004333E6" w:rsidRPr="004333E6">
        <w:rPr>
          <w:rFonts w:cstheme="minorHAnsi"/>
          <w:sz w:val="24"/>
          <w:szCs w:val="24"/>
          <w:lang w:val="el-GR"/>
        </w:rPr>
        <w:t xml:space="preserve"> </w:t>
      </w:r>
      <w:r w:rsidR="004333E6">
        <w:rPr>
          <w:rFonts w:cstheme="minorHAnsi"/>
          <w:sz w:val="24"/>
          <w:szCs w:val="24"/>
          <w:lang w:val="el-GR"/>
        </w:rPr>
        <w:t>Ποινικού</w:t>
      </w:r>
      <w:r w:rsidR="004333E6" w:rsidRPr="004333E6">
        <w:rPr>
          <w:rFonts w:cstheme="minorHAnsi"/>
          <w:sz w:val="24"/>
          <w:szCs w:val="24"/>
          <w:lang w:val="el-GR"/>
        </w:rPr>
        <w:t xml:space="preserve"> </w:t>
      </w:r>
      <w:r w:rsidR="004333E6">
        <w:rPr>
          <w:rFonts w:cstheme="minorHAnsi"/>
          <w:sz w:val="24"/>
          <w:szCs w:val="24"/>
          <w:lang w:val="el-GR"/>
        </w:rPr>
        <w:t>Κώδικα</w:t>
      </w:r>
      <w:r w:rsidR="004333E6" w:rsidRPr="004333E6">
        <w:rPr>
          <w:rFonts w:cstheme="minorHAnsi"/>
          <w:sz w:val="24"/>
          <w:szCs w:val="24"/>
          <w:lang w:val="el-GR"/>
        </w:rPr>
        <w:t xml:space="preserve"> </w:t>
      </w:r>
      <w:proofErr w:type="spellStart"/>
      <w:r w:rsidR="004333E6">
        <w:rPr>
          <w:rFonts w:cstheme="minorHAnsi"/>
          <w:sz w:val="24"/>
          <w:szCs w:val="24"/>
          <w:lang w:val="el-GR"/>
        </w:rPr>
        <w:t>ποινικοποιεί</w:t>
      </w:r>
      <w:proofErr w:type="spellEnd"/>
      <w:r w:rsidR="00220066" w:rsidRPr="004333E6">
        <w:rPr>
          <w:rFonts w:cstheme="minorHAnsi"/>
          <w:sz w:val="24"/>
          <w:szCs w:val="24"/>
          <w:lang w:val="el-GR"/>
        </w:rPr>
        <w:t xml:space="preserve"> </w:t>
      </w:r>
      <w:r w:rsidR="004333E6">
        <w:rPr>
          <w:rFonts w:cstheme="minorHAnsi"/>
          <w:sz w:val="24"/>
          <w:szCs w:val="24"/>
          <w:lang w:val="el-GR"/>
        </w:rPr>
        <w:t>την</w:t>
      </w:r>
      <w:r w:rsidR="004333E6" w:rsidRPr="004333E6">
        <w:rPr>
          <w:rFonts w:cstheme="minorHAnsi"/>
          <w:sz w:val="24"/>
          <w:szCs w:val="24"/>
          <w:lang w:val="el-GR"/>
        </w:rPr>
        <w:t xml:space="preserve"> </w:t>
      </w:r>
      <w:r w:rsidR="004333E6">
        <w:rPr>
          <w:rFonts w:cstheme="minorHAnsi"/>
          <w:sz w:val="24"/>
          <w:szCs w:val="24"/>
          <w:lang w:val="el-GR"/>
        </w:rPr>
        <w:t>αποκάλυψη</w:t>
      </w:r>
      <w:r w:rsidR="004333E6" w:rsidRPr="004333E6">
        <w:rPr>
          <w:rFonts w:cstheme="minorHAnsi"/>
          <w:sz w:val="24"/>
          <w:szCs w:val="24"/>
          <w:lang w:val="el-GR"/>
        </w:rPr>
        <w:t xml:space="preserve"> </w:t>
      </w:r>
      <w:r w:rsidR="004333E6">
        <w:rPr>
          <w:rFonts w:cstheme="minorHAnsi"/>
          <w:sz w:val="24"/>
          <w:szCs w:val="24"/>
          <w:lang w:val="el-GR"/>
        </w:rPr>
        <w:t>ενός</w:t>
      </w:r>
      <w:r w:rsidR="004333E6" w:rsidRPr="004333E6">
        <w:rPr>
          <w:rFonts w:cstheme="minorHAnsi"/>
          <w:sz w:val="24"/>
          <w:szCs w:val="24"/>
          <w:lang w:val="el-GR"/>
        </w:rPr>
        <w:t xml:space="preserve"> </w:t>
      </w:r>
      <w:r w:rsidR="004333E6">
        <w:rPr>
          <w:rFonts w:cstheme="minorHAnsi"/>
          <w:sz w:val="24"/>
          <w:szCs w:val="24"/>
          <w:lang w:val="el-GR"/>
        </w:rPr>
        <w:t>επίσημου</w:t>
      </w:r>
      <w:r w:rsidR="004333E6" w:rsidRPr="004333E6">
        <w:rPr>
          <w:rFonts w:cstheme="minorHAnsi"/>
          <w:sz w:val="24"/>
          <w:szCs w:val="24"/>
          <w:lang w:val="el-GR"/>
        </w:rPr>
        <w:t xml:space="preserve"> </w:t>
      </w:r>
      <w:r w:rsidR="004333E6">
        <w:rPr>
          <w:rFonts w:cstheme="minorHAnsi"/>
          <w:sz w:val="24"/>
          <w:szCs w:val="24"/>
          <w:lang w:val="el-GR"/>
        </w:rPr>
        <w:t>μυστικού</w:t>
      </w:r>
      <w:r w:rsidR="00220066" w:rsidRPr="004333E6">
        <w:rPr>
          <w:rFonts w:cstheme="minorHAnsi"/>
          <w:sz w:val="24"/>
          <w:szCs w:val="24"/>
          <w:lang w:val="el-GR"/>
        </w:rPr>
        <w:t xml:space="preserve"> </w:t>
      </w:r>
      <w:r w:rsidR="004333E6">
        <w:rPr>
          <w:rFonts w:cstheme="minorHAnsi"/>
          <w:sz w:val="24"/>
          <w:szCs w:val="24"/>
          <w:lang w:val="el-GR"/>
        </w:rPr>
        <w:t>ή κρατικού μυστικού από ένα δημόσιο αξιωματούχο. Αυτό</w:t>
      </w:r>
      <w:r w:rsidR="004333E6" w:rsidRPr="004333E6">
        <w:rPr>
          <w:rFonts w:cstheme="minorHAnsi"/>
          <w:sz w:val="24"/>
          <w:szCs w:val="24"/>
          <w:lang w:val="en-US"/>
        </w:rPr>
        <w:t xml:space="preserve"> </w:t>
      </w:r>
      <w:r w:rsidR="004333E6">
        <w:rPr>
          <w:rFonts w:cstheme="minorHAnsi"/>
          <w:sz w:val="24"/>
          <w:szCs w:val="24"/>
          <w:lang w:val="el-GR"/>
        </w:rPr>
        <w:t>είναι</w:t>
      </w:r>
      <w:r w:rsidR="004333E6" w:rsidRPr="004333E6">
        <w:rPr>
          <w:rFonts w:cstheme="minorHAnsi"/>
          <w:sz w:val="24"/>
          <w:szCs w:val="24"/>
          <w:lang w:val="en-US"/>
        </w:rPr>
        <w:t xml:space="preserve"> </w:t>
      </w:r>
      <w:r w:rsidR="004333E6">
        <w:rPr>
          <w:rFonts w:cstheme="minorHAnsi"/>
          <w:sz w:val="24"/>
          <w:szCs w:val="24"/>
          <w:lang w:val="el-GR"/>
        </w:rPr>
        <w:t>ένα</w:t>
      </w:r>
      <w:r w:rsidR="004333E6" w:rsidRPr="004333E6">
        <w:rPr>
          <w:rFonts w:cstheme="minorHAnsi"/>
          <w:sz w:val="24"/>
          <w:szCs w:val="24"/>
          <w:lang w:val="en-US"/>
        </w:rPr>
        <w:t xml:space="preserve"> </w:t>
      </w:r>
      <w:r w:rsidR="004333E6">
        <w:rPr>
          <w:rFonts w:cstheme="minorHAnsi"/>
          <w:sz w:val="24"/>
          <w:szCs w:val="24"/>
          <w:lang w:val="el-GR"/>
        </w:rPr>
        <w:t>αδίκημα</w:t>
      </w:r>
      <w:r w:rsidR="004333E6" w:rsidRPr="004333E6">
        <w:rPr>
          <w:rFonts w:cstheme="minorHAnsi"/>
          <w:sz w:val="24"/>
          <w:szCs w:val="24"/>
          <w:lang w:val="en-US"/>
        </w:rPr>
        <w:t xml:space="preserve"> </w:t>
      </w:r>
      <w:r w:rsidR="004333E6">
        <w:rPr>
          <w:rFonts w:cstheme="minorHAnsi"/>
          <w:sz w:val="24"/>
          <w:szCs w:val="24"/>
          <w:lang w:val="el-GR"/>
        </w:rPr>
        <w:t>που</w:t>
      </w:r>
      <w:r w:rsidR="004333E6" w:rsidRPr="004333E6">
        <w:rPr>
          <w:rFonts w:cstheme="minorHAnsi"/>
          <w:sz w:val="24"/>
          <w:szCs w:val="24"/>
          <w:lang w:val="en-US"/>
        </w:rPr>
        <w:t xml:space="preserve"> </w:t>
      </w:r>
      <w:r w:rsidR="004333E6">
        <w:rPr>
          <w:rFonts w:cstheme="minorHAnsi"/>
          <w:sz w:val="24"/>
          <w:szCs w:val="24"/>
          <w:lang w:val="el-GR"/>
        </w:rPr>
        <w:t>τιμωρείται με φυλάκιση</w:t>
      </w:r>
      <w:r w:rsidR="00220066" w:rsidRPr="004333E6">
        <w:rPr>
          <w:rFonts w:cstheme="minorHAnsi"/>
          <w:sz w:val="24"/>
          <w:szCs w:val="24"/>
          <w:lang w:val="en-US"/>
        </w:rPr>
        <w:t>.</w:t>
      </w:r>
    </w:p>
    <w:p w14:paraId="65DEC376" w14:textId="77777777" w:rsidR="00220066" w:rsidRPr="004333E6" w:rsidRDefault="00220066" w:rsidP="00220066">
      <w:pPr>
        <w:pStyle w:val="ListParagraph"/>
        <w:tabs>
          <w:tab w:val="left" w:pos="709"/>
        </w:tabs>
        <w:rPr>
          <w:rFonts w:cstheme="minorHAnsi"/>
          <w:sz w:val="24"/>
          <w:szCs w:val="24"/>
          <w:lang w:val="en-US"/>
        </w:rPr>
      </w:pPr>
    </w:p>
    <w:p w14:paraId="2DFD6F38" w14:textId="7167CB54" w:rsidR="00220066" w:rsidRPr="004333E6" w:rsidRDefault="004333E6" w:rsidP="00220066">
      <w:pPr>
        <w:pStyle w:val="Heading2"/>
        <w:tabs>
          <w:tab w:val="left" w:pos="709"/>
        </w:tabs>
        <w:spacing w:before="0"/>
        <w:rPr>
          <w:rFonts w:asciiTheme="minorHAnsi" w:hAnsiTheme="minorHAnsi" w:cstheme="minorHAnsi"/>
          <w:b w:val="0"/>
          <w:bCs w:val="0"/>
          <w:color w:val="auto"/>
          <w:sz w:val="24"/>
          <w:szCs w:val="24"/>
          <w:u w:val="single"/>
          <w:lang w:val="el-GR"/>
        </w:rPr>
      </w:pPr>
      <w:bookmarkStart w:id="229" w:name="_Toc110430340"/>
      <w:bookmarkStart w:id="230" w:name="_Toc117445180"/>
      <w:bookmarkStart w:id="231" w:name="_Toc136879384"/>
      <w:r>
        <w:rPr>
          <w:rFonts w:asciiTheme="minorHAnsi" w:hAnsiTheme="minorHAnsi" w:cstheme="minorHAnsi"/>
          <w:b w:val="0"/>
          <w:bCs w:val="0"/>
          <w:color w:val="auto"/>
          <w:sz w:val="24"/>
          <w:szCs w:val="24"/>
          <w:u w:val="single"/>
          <w:lang w:val="el-GR"/>
        </w:rPr>
        <w:t>Δήλωση</w:t>
      </w:r>
      <w:r w:rsidRPr="004333E6">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περιουσιακών</w:t>
      </w:r>
      <w:r w:rsidRPr="004333E6">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στοιχείων</w:t>
      </w:r>
      <w:r w:rsidR="00220066" w:rsidRPr="004333E6">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εισοδήματος</w:t>
      </w:r>
      <w:r w:rsidR="00220066" w:rsidRPr="004333E6">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υποχρεώσεων και συμφερόντων</w:t>
      </w:r>
      <w:bookmarkEnd w:id="229"/>
      <w:bookmarkEnd w:id="230"/>
      <w:bookmarkEnd w:id="231"/>
    </w:p>
    <w:p w14:paraId="6EA079A7" w14:textId="77777777" w:rsidR="00220066" w:rsidRPr="004333E6" w:rsidRDefault="00220066" w:rsidP="00220066">
      <w:pPr>
        <w:keepNext/>
        <w:rPr>
          <w:rFonts w:cstheme="minorHAnsi"/>
          <w:sz w:val="24"/>
          <w:szCs w:val="24"/>
          <w:lang w:val="el-GR"/>
        </w:rPr>
      </w:pPr>
    </w:p>
    <w:p w14:paraId="1D67F25B" w14:textId="4D975250" w:rsidR="00220066" w:rsidRPr="0048436C" w:rsidRDefault="004333E6" w:rsidP="00220066">
      <w:pPr>
        <w:keepNext/>
        <w:numPr>
          <w:ilvl w:val="0"/>
          <w:numId w:val="1"/>
        </w:numPr>
        <w:tabs>
          <w:tab w:val="left" w:pos="709"/>
        </w:tabs>
        <w:ind w:left="0" w:firstLine="0"/>
        <w:rPr>
          <w:rFonts w:cstheme="minorHAnsi"/>
          <w:sz w:val="24"/>
          <w:szCs w:val="24"/>
          <w:lang w:val="el-GR"/>
        </w:rPr>
      </w:pPr>
      <w:r>
        <w:rPr>
          <w:rFonts w:eastAsiaTheme="majorEastAsia" w:cstheme="minorHAnsi"/>
          <w:bCs/>
          <w:sz w:val="24"/>
          <w:szCs w:val="24"/>
          <w:lang w:val="el-GR"/>
        </w:rPr>
        <w:t>Οι</w:t>
      </w:r>
      <w:r w:rsidRPr="004333E6">
        <w:rPr>
          <w:rFonts w:eastAsiaTheme="majorEastAsia" w:cstheme="minorHAnsi"/>
          <w:bCs/>
          <w:sz w:val="24"/>
          <w:szCs w:val="24"/>
          <w:lang w:val="el-GR"/>
        </w:rPr>
        <w:t xml:space="preserve"> </w:t>
      </w:r>
      <w:r>
        <w:rPr>
          <w:rFonts w:eastAsiaTheme="majorEastAsia" w:cstheme="minorHAnsi"/>
          <w:bCs/>
          <w:sz w:val="24"/>
          <w:szCs w:val="24"/>
          <w:lang w:val="el-GR"/>
        </w:rPr>
        <w:t>ΑΕΝ</w:t>
      </w:r>
      <w:r w:rsidRPr="004333E6">
        <w:rPr>
          <w:rFonts w:eastAsiaTheme="majorEastAsia" w:cstheme="minorHAnsi"/>
          <w:bCs/>
          <w:sz w:val="24"/>
          <w:szCs w:val="24"/>
          <w:lang w:val="el-GR"/>
        </w:rPr>
        <w:t xml:space="preserve"> </w:t>
      </w:r>
      <w:r>
        <w:rPr>
          <w:rFonts w:eastAsiaTheme="majorEastAsia" w:cstheme="minorHAnsi"/>
          <w:bCs/>
          <w:sz w:val="24"/>
          <w:szCs w:val="24"/>
          <w:lang w:val="el-GR"/>
        </w:rPr>
        <w:t>πρέπει</w:t>
      </w:r>
      <w:r w:rsidRPr="004333E6">
        <w:rPr>
          <w:rFonts w:eastAsiaTheme="majorEastAsia" w:cstheme="minorHAnsi"/>
          <w:bCs/>
          <w:sz w:val="24"/>
          <w:szCs w:val="24"/>
          <w:lang w:val="el-GR"/>
        </w:rPr>
        <w:t xml:space="preserve"> </w:t>
      </w:r>
      <w:r>
        <w:rPr>
          <w:rFonts w:eastAsiaTheme="majorEastAsia" w:cstheme="minorHAnsi"/>
          <w:bCs/>
          <w:sz w:val="24"/>
          <w:szCs w:val="24"/>
          <w:lang w:val="el-GR"/>
        </w:rPr>
        <w:t>να</w:t>
      </w:r>
      <w:r w:rsidRPr="004333E6">
        <w:rPr>
          <w:rFonts w:eastAsiaTheme="majorEastAsia" w:cstheme="minorHAnsi"/>
          <w:bCs/>
          <w:sz w:val="24"/>
          <w:szCs w:val="24"/>
          <w:lang w:val="el-GR"/>
        </w:rPr>
        <w:t xml:space="preserve"> </w:t>
      </w:r>
      <w:r>
        <w:rPr>
          <w:rFonts w:eastAsiaTheme="majorEastAsia" w:cstheme="minorHAnsi"/>
          <w:bCs/>
          <w:sz w:val="24"/>
          <w:szCs w:val="24"/>
          <w:lang w:val="el-GR"/>
        </w:rPr>
        <w:t>ικανοποιήσουν</w:t>
      </w:r>
      <w:r w:rsidRPr="004333E6">
        <w:rPr>
          <w:rFonts w:eastAsiaTheme="majorEastAsia" w:cstheme="minorHAnsi"/>
          <w:bCs/>
          <w:sz w:val="24"/>
          <w:szCs w:val="24"/>
          <w:lang w:val="el-GR"/>
        </w:rPr>
        <w:t xml:space="preserve"> </w:t>
      </w:r>
      <w:r>
        <w:rPr>
          <w:rFonts w:eastAsiaTheme="majorEastAsia" w:cstheme="minorHAnsi"/>
          <w:bCs/>
          <w:sz w:val="24"/>
          <w:szCs w:val="24"/>
          <w:lang w:val="el-GR"/>
        </w:rPr>
        <w:t>τις</w:t>
      </w:r>
      <w:r w:rsidRPr="004333E6">
        <w:rPr>
          <w:rFonts w:eastAsiaTheme="majorEastAsia" w:cstheme="minorHAnsi"/>
          <w:bCs/>
          <w:sz w:val="24"/>
          <w:szCs w:val="24"/>
          <w:lang w:val="el-GR"/>
        </w:rPr>
        <w:t xml:space="preserve"> </w:t>
      </w:r>
      <w:r>
        <w:rPr>
          <w:rFonts w:eastAsiaTheme="majorEastAsia" w:cstheme="minorHAnsi"/>
          <w:bCs/>
          <w:sz w:val="24"/>
          <w:szCs w:val="24"/>
          <w:lang w:val="el-GR"/>
        </w:rPr>
        <w:t>απαιτήσεις</w:t>
      </w:r>
      <w:r w:rsidRPr="004333E6">
        <w:rPr>
          <w:rFonts w:eastAsiaTheme="majorEastAsia" w:cstheme="minorHAnsi"/>
          <w:bCs/>
          <w:sz w:val="24"/>
          <w:szCs w:val="24"/>
          <w:lang w:val="el-GR"/>
        </w:rPr>
        <w:t xml:space="preserve"> </w:t>
      </w:r>
      <w:r>
        <w:rPr>
          <w:rFonts w:eastAsiaTheme="majorEastAsia" w:cstheme="minorHAnsi"/>
          <w:bCs/>
          <w:sz w:val="24"/>
          <w:szCs w:val="24"/>
          <w:lang w:val="el-GR"/>
        </w:rPr>
        <w:t>αποκάλυψης</w:t>
      </w:r>
      <w:r w:rsidR="00220066" w:rsidRPr="004333E6">
        <w:rPr>
          <w:rFonts w:cstheme="minorHAnsi"/>
          <w:sz w:val="24"/>
          <w:szCs w:val="24"/>
          <w:lang w:val="el-GR"/>
        </w:rPr>
        <w:t xml:space="preserve"> </w:t>
      </w:r>
      <w:r>
        <w:rPr>
          <w:rFonts w:cstheme="minorHAnsi"/>
          <w:sz w:val="24"/>
          <w:szCs w:val="24"/>
          <w:lang w:val="el-GR"/>
        </w:rPr>
        <w:t>άλλων δημοσίων υπαλλήλων</w:t>
      </w:r>
      <w:r w:rsidR="00220066" w:rsidRPr="004333E6">
        <w:rPr>
          <w:rFonts w:cstheme="minorHAnsi"/>
          <w:sz w:val="24"/>
          <w:szCs w:val="24"/>
          <w:lang w:val="el-GR"/>
        </w:rPr>
        <w:t xml:space="preserve">, </w:t>
      </w:r>
      <w:r>
        <w:rPr>
          <w:rFonts w:cstheme="minorHAnsi"/>
          <w:sz w:val="24"/>
          <w:szCs w:val="24"/>
          <w:lang w:val="el-GR"/>
        </w:rPr>
        <w:t>δηλαδή</w:t>
      </w:r>
      <w:r w:rsidR="00220066" w:rsidRPr="004333E6">
        <w:rPr>
          <w:rFonts w:cstheme="minorHAnsi"/>
          <w:sz w:val="24"/>
          <w:szCs w:val="24"/>
          <w:lang w:val="el-GR"/>
        </w:rPr>
        <w:t xml:space="preserve"> </w:t>
      </w:r>
      <w:r>
        <w:rPr>
          <w:rFonts w:cstheme="minorHAnsi"/>
          <w:sz w:val="24"/>
          <w:szCs w:val="24"/>
          <w:lang w:val="el-GR"/>
        </w:rPr>
        <w:t xml:space="preserve">επικερδής εξωτερική </w:t>
      </w:r>
      <w:proofErr w:type="spellStart"/>
      <w:r>
        <w:rPr>
          <w:rFonts w:cstheme="minorHAnsi"/>
          <w:sz w:val="24"/>
          <w:szCs w:val="24"/>
          <w:lang w:val="el-GR"/>
        </w:rPr>
        <w:t>εργοδότηση</w:t>
      </w:r>
      <w:proofErr w:type="spellEnd"/>
      <w:r w:rsidR="00220066" w:rsidRPr="004333E6">
        <w:rPr>
          <w:rFonts w:cstheme="minorHAnsi"/>
          <w:sz w:val="24"/>
          <w:szCs w:val="24"/>
          <w:lang w:val="el-GR"/>
        </w:rPr>
        <w:t xml:space="preserve">, </w:t>
      </w:r>
      <w:r>
        <w:rPr>
          <w:rFonts w:cstheme="minorHAnsi"/>
          <w:sz w:val="24"/>
          <w:szCs w:val="24"/>
          <w:lang w:val="el-GR"/>
        </w:rPr>
        <w:t>μετοχές εταιρειών</w:t>
      </w:r>
      <w:r w:rsidR="00220066" w:rsidRPr="004333E6">
        <w:rPr>
          <w:rFonts w:cstheme="minorHAnsi"/>
          <w:sz w:val="24"/>
          <w:szCs w:val="24"/>
          <w:lang w:val="el-GR"/>
        </w:rPr>
        <w:t xml:space="preserve">. </w:t>
      </w:r>
      <w:r>
        <w:rPr>
          <w:rFonts w:cstheme="minorHAnsi"/>
          <w:sz w:val="24"/>
          <w:szCs w:val="24"/>
          <w:lang w:val="el-GR"/>
        </w:rPr>
        <w:t>Αυτοί</w:t>
      </w:r>
      <w:r w:rsidRPr="004333E6">
        <w:rPr>
          <w:rFonts w:cstheme="minorHAnsi"/>
          <w:sz w:val="24"/>
          <w:szCs w:val="24"/>
          <w:lang w:val="el-GR"/>
        </w:rPr>
        <w:t xml:space="preserve"> </w:t>
      </w:r>
      <w:r>
        <w:rPr>
          <w:rFonts w:cstheme="minorHAnsi"/>
          <w:sz w:val="24"/>
          <w:szCs w:val="24"/>
          <w:lang w:val="el-GR"/>
        </w:rPr>
        <w:t>πρέπει</w:t>
      </w:r>
      <w:r w:rsidRPr="004333E6">
        <w:rPr>
          <w:rFonts w:cstheme="minorHAnsi"/>
          <w:sz w:val="24"/>
          <w:szCs w:val="24"/>
          <w:lang w:val="el-GR"/>
        </w:rPr>
        <w:t xml:space="preserve"> </w:t>
      </w:r>
      <w:r>
        <w:rPr>
          <w:rFonts w:cstheme="minorHAnsi"/>
          <w:sz w:val="24"/>
          <w:szCs w:val="24"/>
          <w:lang w:val="el-GR"/>
        </w:rPr>
        <w:t>επίσης</w:t>
      </w:r>
      <w:r w:rsidRPr="004333E6">
        <w:rPr>
          <w:rFonts w:cstheme="minorHAnsi"/>
          <w:sz w:val="24"/>
          <w:szCs w:val="24"/>
          <w:lang w:val="el-GR"/>
        </w:rPr>
        <w:t xml:space="preserve"> </w:t>
      </w:r>
      <w:r>
        <w:rPr>
          <w:rFonts w:cstheme="minorHAnsi"/>
          <w:sz w:val="24"/>
          <w:szCs w:val="24"/>
          <w:lang w:val="el-GR"/>
        </w:rPr>
        <w:t>να</w:t>
      </w:r>
      <w:r w:rsidRPr="004333E6">
        <w:rPr>
          <w:rFonts w:cstheme="minorHAnsi"/>
          <w:sz w:val="24"/>
          <w:szCs w:val="24"/>
          <w:lang w:val="el-GR"/>
        </w:rPr>
        <w:t xml:space="preserve"> </w:t>
      </w:r>
      <w:r>
        <w:rPr>
          <w:rFonts w:cstheme="minorHAnsi"/>
          <w:sz w:val="24"/>
          <w:szCs w:val="24"/>
          <w:lang w:val="el-GR"/>
        </w:rPr>
        <w:t>δώσουν</w:t>
      </w:r>
      <w:r w:rsidRPr="004333E6">
        <w:rPr>
          <w:rFonts w:cstheme="minorHAnsi"/>
          <w:sz w:val="24"/>
          <w:szCs w:val="24"/>
          <w:lang w:val="el-GR"/>
        </w:rPr>
        <w:t xml:space="preserve"> </w:t>
      </w:r>
      <w:r>
        <w:rPr>
          <w:rFonts w:cstheme="minorHAnsi"/>
          <w:sz w:val="24"/>
          <w:szCs w:val="24"/>
          <w:lang w:val="el-GR"/>
        </w:rPr>
        <w:t>γραπτή</w:t>
      </w:r>
      <w:r w:rsidRPr="004333E6">
        <w:rPr>
          <w:rFonts w:cstheme="minorHAnsi"/>
          <w:sz w:val="24"/>
          <w:szCs w:val="24"/>
          <w:lang w:val="el-GR"/>
        </w:rPr>
        <w:t xml:space="preserve"> </w:t>
      </w:r>
      <w:r>
        <w:rPr>
          <w:rFonts w:cstheme="minorHAnsi"/>
          <w:sz w:val="24"/>
          <w:szCs w:val="24"/>
          <w:lang w:val="el-GR"/>
        </w:rPr>
        <w:t>ει</w:t>
      </w:r>
      <w:r w:rsidR="006E0573">
        <w:rPr>
          <w:rFonts w:cstheme="minorHAnsi"/>
          <w:sz w:val="24"/>
          <w:szCs w:val="24"/>
          <w:lang w:val="el-GR"/>
        </w:rPr>
        <w:t>δ</w:t>
      </w:r>
      <w:r>
        <w:rPr>
          <w:rFonts w:cstheme="minorHAnsi"/>
          <w:sz w:val="24"/>
          <w:szCs w:val="24"/>
          <w:lang w:val="el-GR"/>
        </w:rPr>
        <w:t>οποίηση</w:t>
      </w:r>
      <w:r w:rsidR="00220066" w:rsidRPr="004333E6">
        <w:rPr>
          <w:rFonts w:cstheme="minorHAnsi"/>
          <w:sz w:val="24"/>
          <w:szCs w:val="24"/>
          <w:lang w:val="el-GR"/>
        </w:rPr>
        <w:t xml:space="preserve"> </w:t>
      </w:r>
      <w:r>
        <w:rPr>
          <w:rFonts w:cstheme="minorHAnsi"/>
          <w:sz w:val="24"/>
          <w:szCs w:val="24"/>
          <w:lang w:val="el-GR"/>
        </w:rPr>
        <w:t>στον</w:t>
      </w:r>
      <w:r w:rsidRPr="004333E6">
        <w:rPr>
          <w:rFonts w:cstheme="minorHAnsi"/>
          <w:sz w:val="24"/>
          <w:szCs w:val="24"/>
          <w:lang w:val="el-GR"/>
        </w:rPr>
        <w:t xml:space="preserve"> </w:t>
      </w:r>
      <w:r>
        <w:rPr>
          <w:rFonts w:cstheme="minorHAnsi"/>
          <w:sz w:val="24"/>
          <w:szCs w:val="24"/>
          <w:lang w:val="el-GR"/>
        </w:rPr>
        <w:t>Αρχηγό</w:t>
      </w:r>
      <w:r w:rsidRPr="004333E6">
        <w:rPr>
          <w:rFonts w:cstheme="minorHAnsi"/>
          <w:sz w:val="24"/>
          <w:szCs w:val="24"/>
          <w:lang w:val="el-GR"/>
        </w:rPr>
        <w:t xml:space="preserve"> </w:t>
      </w:r>
      <w:r>
        <w:rPr>
          <w:rFonts w:cstheme="minorHAnsi"/>
          <w:sz w:val="24"/>
          <w:szCs w:val="24"/>
          <w:lang w:val="el-GR"/>
        </w:rPr>
        <w:t>της</w:t>
      </w:r>
      <w:r w:rsidRPr="004333E6">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4333E6">
        <w:rPr>
          <w:rFonts w:cstheme="minorHAnsi"/>
          <w:sz w:val="24"/>
          <w:szCs w:val="24"/>
          <w:lang w:val="el-GR"/>
        </w:rPr>
        <w:t xml:space="preserve"> </w:t>
      </w:r>
      <w:r>
        <w:rPr>
          <w:rFonts w:cstheme="minorHAnsi"/>
          <w:sz w:val="24"/>
          <w:szCs w:val="24"/>
          <w:lang w:val="el-GR"/>
        </w:rPr>
        <w:t>στην</w:t>
      </w:r>
      <w:r w:rsidRPr="004333E6">
        <w:rPr>
          <w:rFonts w:cstheme="minorHAnsi"/>
          <w:sz w:val="24"/>
          <w:szCs w:val="24"/>
          <w:lang w:val="el-GR"/>
        </w:rPr>
        <w:t xml:space="preserve"> </w:t>
      </w:r>
      <w:r>
        <w:rPr>
          <w:rFonts w:cstheme="minorHAnsi"/>
          <w:sz w:val="24"/>
          <w:szCs w:val="24"/>
          <w:lang w:val="el-GR"/>
        </w:rPr>
        <w:t>περίπτωση</w:t>
      </w:r>
      <w:r w:rsidRPr="004333E6">
        <w:rPr>
          <w:rFonts w:cstheme="minorHAnsi"/>
          <w:sz w:val="24"/>
          <w:szCs w:val="24"/>
          <w:lang w:val="el-GR"/>
        </w:rPr>
        <w:t xml:space="preserve"> </w:t>
      </w:r>
      <w:r>
        <w:rPr>
          <w:rFonts w:cstheme="minorHAnsi"/>
          <w:sz w:val="24"/>
          <w:szCs w:val="24"/>
          <w:lang w:val="el-GR"/>
        </w:rPr>
        <w:t>που</w:t>
      </w:r>
      <w:r w:rsidRPr="004333E6">
        <w:rPr>
          <w:rFonts w:cstheme="minorHAnsi"/>
          <w:sz w:val="24"/>
          <w:szCs w:val="24"/>
          <w:lang w:val="el-GR"/>
        </w:rPr>
        <w:t xml:space="preserve"> </w:t>
      </w:r>
      <w:r>
        <w:rPr>
          <w:rFonts w:cstheme="minorHAnsi"/>
          <w:sz w:val="24"/>
          <w:szCs w:val="24"/>
          <w:lang w:val="el-GR"/>
        </w:rPr>
        <w:t>ένα</w:t>
      </w:r>
      <w:r w:rsidRPr="004333E6">
        <w:rPr>
          <w:rFonts w:cstheme="minorHAnsi"/>
          <w:sz w:val="24"/>
          <w:szCs w:val="24"/>
          <w:lang w:val="el-GR"/>
        </w:rPr>
        <w:t xml:space="preserve"> </w:t>
      </w:r>
      <w:r>
        <w:rPr>
          <w:rFonts w:cstheme="minorHAnsi"/>
          <w:sz w:val="24"/>
          <w:szCs w:val="24"/>
          <w:lang w:val="el-GR"/>
        </w:rPr>
        <w:t>μέλος της οικογένειας</w:t>
      </w:r>
      <w:r w:rsidR="00220066" w:rsidRPr="004333E6">
        <w:rPr>
          <w:rFonts w:cstheme="minorHAnsi"/>
          <w:sz w:val="24"/>
          <w:szCs w:val="24"/>
          <w:lang w:val="el-GR"/>
        </w:rPr>
        <w:t xml:space="preserve"> (</w:t>
      </w:r>
      <w:r>
        <w:rPr>
          <w:rFonts w:cstheme="minorHAnsi"/>
          <w:sz w:val="24"/>
          <w:szCs w:val="24"/>
          <w:lang w:val="el-GR"/>
        </w:rPr>
        <w:t>σύζυγος και παιδιά που συζούν</w:t>
      </w:r>
      <w:r w:rsidR="00220066" w:rsidRPr="004333E6">
        <w:rPr>
          <w:rFonts w:cstheme="minorHAnsi"/>
          <w:sz w:val="24"/>
          <w:szCs w:val="24"/>
          <w:lang w:val="el-GR"/>
        </w:rPr>
        <w:t xml:space="preserve">) </w:t>
      </w:r>
      <w:r>
        <w:rPr>
          <w:rFonts w:cstheme="minorHAnsi"/>
          <w:sz w:val="24"/>
          <w:szCs w:val="24"/>
          <w:lang w:val="el-GR"/>
        </w:rPr>
        <w:t>διατηρεί ένα κατάστημα ή εμπορεύεται ή σκοπεύει να ανοίξει ένα κατάστημα ή επιχείρηση</w:t>
      </w:r>
      <w:r w:rsidR="00220066" w:rsidRPr="004333E6">
        <w:rPr>
          <w:rFonts w:cstheme="minorHAnsi"/>
          <w:sz w:val="24"/>
          <w:szCs w:val="24"/>
          <w:lang w:val="el-GR"/>
        </w:rPr>
        <w:t xml:space="preserve">. </w:t>
      </w:r>
      <w:r w:rsidR="0048436C">
        <w:rPr>
          <w:rFonts w:cstheme="minorHAnsi"/>
          <w:sz w:val="24"/>
          <w:szCs w:val="24"/>
          <w:lang w:val="el-GR"/>
        </w:rPr>
        <w:t>Οι</w:t>
      </w:r>
      <w:r w:rsidR="0048436C" w:rsidRPr="0048436C">
        <w:rPr>
          <w:rFonts w:cstheme="minorHAnsi"/>
          <w:sz w:val="24"/>
          <w:szCs w:val="24"/>
          <w:lang w:val="el-GR"/>
        </w:rPr>
        <w:t xml:space="preserve"> </w:t>
      </w:r>
      <w:r w:rsidR="0048436C">
        <w:rPr>
          <w:rFonts w:cstheme="minorHAnsi"/>
          <w:sz w:val="24"/>
          <w:szCs w:val="24"/>
          <w:lang w:val="el-GR"/>
        </w:rPr>
        <w:t>δηλώσεις</w:t>
      </w:r>
      <w:r w:rsidR="0048436C" w:rsidRPr="0048436C">
        <w:rPr>
          <w:rFonts w:cstheme="minorHAnsi"/>
          <w:sz w:val="24"/>
          <w:szCs w:val="24"/>
          <w:lang w:val="el-GR"/>
        </w:rPr>
        <w:t xml:space="preserve"> </w:t>
      </w:r>
      <w:r w:rsidR="0048436C">
        <w:rPr>
          <w:rFonts w:cstheme="minorHAnsi"/>
          <w:sz w:val="24"/>
          <w:szCs w:val="24"/>
          <w:lang w:val="el-GR"/>
        </w:rPr>
        <w:t>εισάγονται</w:t>
      </w:r>
      <w:r w:rsidR="0048436C" w:rsidRPr="0048436C">
        <w:rPr>
          <w:rFonts w:cstheme="minorHAnsi"/>
          <w:sz w:val="24"/>
          <w:szCs w:val="24"/>
          <w:lang w:val="el-GR"/>
        </w:rPr>
        <w:t xml:space="preserve"> </w:t>
      </w:r>
      <w:r w:rsidR="0048436C">
        <w:rPr>
          <w:rFonts w:cstheme="minorHAnsi"/>
          <w:sz w:val="24"/>
          <w:szCs w:val="24"/>
          <w:lang w:val="el-GR"/>
        </w:rPr>
        <w:t>στους</w:t>
      </w:r>
      <w:r w:rsidR="0048436C" w:rsidRPr="0048436C">
        <w:rPr>
          <w:rFonts w:cstheme="minorHAnsi"/>
          <w:sz w:val="24"/>
          <w:szCs w:val="24"/>
          <w:lang w:val="el-GR"/>
        </w:rPr>
        <w:t xml:space="preserve"> </w:t>
      </w:r>
      <w:r w:rsidR="0048436C">
        <w:rPr>
          <w:rFonts w:cstheme="minorHAnsi"/>
          <w:sz w:val="24"/>
          <w:szCs w:val="24"/>
          <w:lang w:val="el-GR"/>
        </w:rPr>
        <w:t>προσωπικούς</w:t>
      </w:r>
      <w:r w:rsidR="0048436C" w:rsidRPr="0048436C">
        <w:rPr>
          <w:rFonts w:cstheme="minorHAnsi"/>
          <w:sz w:val="24"/>
          <w:szCs w:val="24"/>
          <w:lang w:val="el-GR"/>
        </w:rPr>
        <w:t xml:space="preserve"> </w:t>
      </w:r>
      <w:r w:rsidR="0048436C">
        <w:rPr>
          <w:rFonts w:cstheme="minorHAnsi"/>
          <w:sz w:val="24"/>
          <w:szCs w:val="24"/>
          <w:lang w:val="el-GR"/>
        </w:rPr>
        <w:t>φακέλους</w:t>
      </w:r>
      <w:r w:rsidR="0048436C" w:rsidRPr="0048436C">
        <w:rPr>
          <w:rFonts w:cstheme="minorHAnsi"/>
          <w:sz w:val="24"/>
          <w:szCs w:val="24"/>
          <w:lang w:val="el-GR"/>
        </w:rPr>
        <w:t xml:space="preserve"> </w:t>
      </w:r>
      <w:r w:rsidR="0048436C">
        <w:rPr>
          <w:rFonts w:cstheme="minorHAnsi"/>
          <w:sz w:val="24"/>
          <w:szCs w:val="24"/>
          <w:lang w:val="el-GR"/>
        </w:rPr>
        <w:t>των</w:t>
      </w:r>
      <w:r w:rsidR="0048436C" w:rsidRPr="0048436C">
        <w:rPr>
          <w:rFonts w:cstheme="minorHAnsi"/>
          <w:sz w:val="24"/>
          <w:szCs w:val="24"/>
          <w:lang w:val="el-GR"/>
        </w:rPr>
        <w:t xml:space="preserve"> </w:t>
      </w:r>
      <w:r w:rsidR="0048436C">
        <w:rPr>
          <w:rFonts w:cstheme="minorHAnsi"/>
          <w:sz w:val="24"/>
          <w:szCs w:val="24"/>
          <w:lang w:val="el-GR"/>
        </w:rPr>
        <w:t>ΑΕΝ</w:t>
      </w:r>
      <w:r w:rsidR="0048436C" w:rsidRPr="0048436C">
        <w:rPr>
          <w:rFonts w:cstheme="minorHAnsi"/>
          <w:sz w:val="24"/>
          <w:szCs w:val="24"/>
          <w:lang w:val="el-GR"/>
        </w:rPr>
        <w:t>,</w:t>
      </w:r>
      <w:r w:rsidR="004E456F" w:rsidRPr="0048436C">
        <w:rPr>
          <w:rFonts w:cstheme="minorHAnsi"/>
          <w:sz w:val="24"/>
          <w:szCs w:val="24"/>
          <w:lang w:val="el-GR"/>
        </w:rPr>
        <w:t xml:space="preserve"> </w:t>
      </w:r>
      <w:r w:rsidR="0048436C">
        <w:rPr>
          <w:rFonts w:cstheme="minorHAnsi"/>
          <w:sz w:val="24"/>
          <w:szCs w:val="24"/>
          <w:lang w:val="el-GR"/>
        </w:rPr>
        <w:t>οι</w:t>
      </w:r>
      <w:r w:rsidR="0048436C" w:rsidRPr="0048436C">
        <w:rPr>
          <w:rFonts w:cstheme="minorHAnsi"/>
          <w:sz w:val="24"/>
          <w:szCs w:val="24"/>
          <w:lang w:val="el-GR"/>
        </w:rPr>
        <w:t xml:space="preserve"> </w:t>
      </w:r>
      <w:r w:rsidR="0048436C">
        <w:rPr>
          <w:rFonts w:cstheme="minorHAnsi"/>
          <w:sz w:val="24"/>
          <w:szCs w:val="24"/>
          <w:lang w:val="el-GR"/>
        </w:rPr>
        <w:t>οποίοι</w:t>
      </w:r>
      <w:r w:rsidR="0048436C" w:rsidRPr="0048436C">
        <w:rPr>
          <w:rFonts w:cstheme="minorHAnsi"/>
          <w:sz w:val="24"/>
          <w:szCs w:val="24"/>
          <w:lang w:val="el-GR"/>
        </w:rPr>
        <w:t xml:space="preserve"> </w:t>
      </w:r>
      <w:r w:rsidR="0048436C">
        <w:rPr>
          <w:rFonts w:cstheme="minorHAnsi"/>
          <w:sz w:val="24"/>
          <w:szCs w:val="24"/>
          <w:lang w:val="el-GR"/>
        </w:rPr>
        <w:t>αρχειοθετούνται στο Τμήμα Ανθρ</w:t>
      </w:r>
      <w:r w:rsidR="006E0573">
        <w:rPr>
          <w:rFonts w:cstheme="minorHAnsi"/>
          <w:sz w:val="24"/>
          <w:szCs w:val="24"/>
          <w:lang w:val="el-GR"/>
        </w:rPr>
        <w:t>ω</w:t>
      </w:r>
      <w:r w:rsidR="0048436C">
        <w:rPr>
          <w:rFonts w:cstheme="minorHAnsi"/>
          <w:sz w:val="24"/>
          <w:szCs w:val="24"/>
          <w:lang w:val="el-GR"/>
        </w:rPr>
        <w:t>π</w:t>
      </w:r>
      <w:r w:rsidR="006E0573">
        <w:rPr>
          <w:rFonts w:cstheme="minorHAnsi"/>
          <w:sz w:val="24"/>
          <w:szCs w:val="24"/>
          <w:lang w:val="el-GR"/>
        </w:rPr>
        <w:t>ί</w:t>
      </w:r>
      <w:r w:rsidR="0048436C">
        <w:rPr>
          <w:rFonts w:cstheme="minorHAnsi"/>
          <w:sz w:val="24"/>
          <w:szCs w:val="24"/>
          <w:lang w:val="el-GR"/>
        </w:rPr>
        <w:t xml:space="preserve">νου Δυναμικού του Αρχηγείου της </w:t>
      </w:r>
      <w:r w:rsidR="009C4E34">
        <w:rPr>
          <w:rFonts w:cstheme="minorHAnsi"/>
          <w:sz w:val="24"/>
          <w:szCs w:val="24"/>
          <w:lang w:val="el-GR"/>
        </w:rPr>
        <w:t>Αστυνομία</w:t>
      </w:r>
      <w:r w:rsidR="0048436C">
        <w:rPr>
          <w:rFonts w:cstheme="minorHAnsi"/>
          <w:sz w:val="24"/>
          <w:szCs w:val="24"/>
          <w:lang w:val="el-GR"/>
        </w:rPr>
        <w:t>ς</w:t>
      </w:r>
      <w:r w:rsidR="004E456F" w:rsidRPr="0048436C">
        <w:rPr>
          <w:rFonts w:cstheme="minorHAnsi"/>
          <w:sz w:val="24"/>
          <w:szCs w:val="24"/>
          <w:lang w:val="el-GR"/>
        </w:rPr>
        <w:t xml:space="preserve">. </w:t>
      </w:r>
    </w:p>
    <w:p w14:paraId="37C95C1C" w14:textId="77777777" w:rsidR="00220066" w:rsidRPr="0048436C" w:rsidRDefault="00220066" w:rsidP="00220066">
      <w:pPr>
        <w:keepNext/>
        <w:tabs>
          <w:tab w:val="left" w:pos="709"/>
        </w:tabs>
        <w:rPr>
          <w:rFonts w:cstheme="minorHAnsi"/>
          <w:sz w:val="24"/>
          <w:szCs w:val="24"/>
          <w:lang w:val="el-GR"/>
        </w:rPr>
      </w:pPr>
    </w:p>
    <w:p w14:paraId="42DF69D9" w14:textId="3EAD4A78" w:rsidR="00220066" w:rsidRPr="0048436C" w:rsidRDefault="0048436C"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Σύμφωνα</w:t>
      </w:r>
      <w:r w:rsidRPr="0048436C">
        <w:rPr>
          <w:rFonts w:cstheme="minorHAnsi"/>
          <w:sz w:val="24"/>
          <w:szCs w:val="24"/>
          <w:lang w:val="el-GR"/>
        </w:rPr>
        <w:t xml:space="preserve"> </w:t>
      </w:r>
      <w:r>
        <w:rPr>
          <w:rFonts w:cstheme="minorHAnsi"/>
          <w:sz w:val="24"/>
          <w:szCs w:val="24"/>
          <w:lang w:val="el-GR"/>
        </w:rPr>
        <w:t>με</w:t>
      </w:r>
      <w:r w:rsidRPr="0048436C">
        <w:rPr>
          <w:rFonts w:cstheme="minorHAnsi"/>
          <w:sz w:val="24"/>
          <w:szCs w:val="24"/>
          <w:lang w:val="el-GR"/>
        </w:rPr>
        <w:t xml:space="preserve"> </w:t>
      </w:r>
      <w:r>
        <w:rPr>
          <w:rFonts w:cstheme="minorHAnsi"/>
          <w:sz w:val="24"/>
          <w:szCs w:val="24"/>
          <w:lang w:val="el-GR"/>
        </w:rPr>
        <w:t>τον</w:t>
      </w:r>
      <w:r w:rsidRPr="0048436C">
        <w:rPr>
          <w:rFonts w:cstheme="minorHAnsi"/>
          <w:sz w:val="24"/>
          <w:szCs w:val="24"/>
          <w:lang w:val="el-GR"/>
        </w:rPr>
        <w:t xml:space="preserve"> </w:t>
      </w:r>
      <w:r>
        <w:rPr>
          <w:rFonts w:cstheme="minorHAnsi"/>
          <w:sz w:val="24"/>
          <w:szCs w:val="24"/>
          <w:lang w:val="el-GR"/>
        </w:rPr>
        <w:t>Νόμο</w:t>
      </w:r>
      <w:r w:rsidRPr="0048436C">
        <w:rPr>
          <w:rFonts w:cstheme="minorHAnsi"/>
          <w:sz w:val="24"/>
          <w:szCs w:val="24"/>
          <w:lang w:val="el-GR"/>
        </w:rPr>
        <w:t xml:space="preserve"> </w:t>
      </w:r>
      <w:r>
        <w:rPr>
          <w:rFonts w:cstheme="minorHAnsi"/>
          <w:sz w:val="24"/>
          <w:szCs w:val="24"/>
          <w:lang w:val="el-GR"/>
        </w:rPr>
        <w:t>περί</w:t>
      </w:r>
      <w:r w:rsidRPr="0048436C">
        <w:rPr>
          <w:rFonts w:cstheme="minorHAnsi"/>
          <w:sz w:val="24"/>
          <w:szCs w:val="24"/>
          <w:lang w:val="el-GR"/>
        </w:rPr>
        <w:t xml:space="preserve"> </w:t>
      </w:r>
      <w:r>
        <w:rPr>
          <w:rFonts w:cstheme="minorHAnsi"/>
          <w:sz w:val="24"/>
          <w:szCs w:val="24"/>
          <w:lang w:val="el-GR"/>
        </w:rPr>
        <w:t>Ορισμένων</w:t>
      </w:r>
      <w:r w:rsidRPr="0048436C">
        <w:rPr>
          <w:rFonts w:cstheme="minorHAnsi"/>
          <w:sz w:val="24"/>
          <w:szCs w:val="24"/>
          <w:lang w:val="el-GR"/>
        </w:rPr>
        <w:t xml:space="preserve"> </w:t>
      </w:r>
      <w:r>
        <w:rPr>
          <w:rFonts w:cstheme="minorHAnsi"/>
          <w:sz w:val="24"/>
          <w:szCs w:val="24"/>
          <w:lang w:val="el-GR"/>
        </w:rPr>
        <w:t>Δημόσια</w:t>
      </w:r>
      <w:r w:rsidRPr="0048436C">
        <w:rPr>
          <w:rFonts w:cstheme="minorHAnsi"/>
          <w:sz w:val="24"/>
          <w:szCs w:val="24"/>
          <w:lang w:val="el-GR"/>
        </w:rPr>
        <w:t xml:space="preserve"> </w:t>
      </w:r>
      <w:r w:rsidR="00973266">
        <w:rPr>
          <w:rFonts w:cstheme="minorHAnsi"/>
          <w:sz w:val="24"/>
          <w:szCs w:val="24"/>
          <w:lang w:val="el-GR"/>
        </w:rPr>
        <w:t>Εκτεθειμένων</w:t>
      </w:r>
      <w:r w:rsidRPr="0048436C">
        <w:rPr>
          <w:rFonts w:cstheme="minorHAnsi"/>
          <w:sz w:val="24"/>
          <w:szCs w:val="24"/>
          <w:lang w:val="el-GR"/>
        </w:rPr>
        <w:t xml:space="preserve"> </w:t>
      </w:r>
      <w:r>
        <w:rPr>
          <w:rFonts w:cstheme="minorHAnsi"/>
          <w:sz w:val="24"/>
          <w:szCs w:val="24"/>
          <w:lang w:val="el-GR"/>
        </w:rPr>
        <w:t>Προσώπων</w:t>
      </w:r>
      <w:r w:rsidRPr="0048436C">
        <w:rPr>
          <w:rFonts w:cstheme="minorHAnsi"/>
          <w:sz w:val="24"/>
          <w:szCs w:val="24"/>
          <w:lang w:val="el-GR"/>
        </w:rPr>
        <w:t xml:space="preserve"> </w:t>
      </w:r>
      <w:r>
        <w:rPr>
          <w:rFonts w:cstheme="minorHAnsi"/>
          <w:sz w:val="24"/>
          <w:szCs w:val="24"/>
          <w:lang w:val="el-GR"/>
        </w:rPr>
        <w:t>και</w:t>
      </w:r>
      <w:r w:rsidRPr="0048436C">
        <w:rPr>
          <w:rFonts w:cstheme="minorHAnsi"/>
          <w:sz w:val="24"/>
          <w:szCs w:val="24"/>
          <w:lang w:val="el-GR"/>
        </w:rPr>
        <w:t xml:space="preserve"> </w:t>
      </w:r>
      <w:r>
        <w:rPr>
          <w:rFonts w:cstheme="minorHAnsi"/>
          <w:sz w:val="24"/>
          <w:szCs w:val="24"/>
          <w:lang w:val="el-GR"/>
        </w:rPr>
        <w:t>Ορισμένων</w:t>
      </w:r>
      <w:r w:rsidRPr="0048436C">
        <w:rPr>
          <w:rFonts w:cstheme="minorHAnsi"/>
          <w:sz w:val="24"/>
          <w:szCs w:val="24"/>
          <w:lang w:val="el-GR"/>
        </w:rPr>
        <w:t xml:space="preserve"> </w:t>
      </w:r>
      <w:r>
        <w:rPr>
          <w:rFonts w:cstheme="minorHAnsi"/>
          <w:sz w:val="24"/>
          <w:szCs w:val="24"/>
          <w:lang w:val="el-GR"/>
        </w:rPr>
        <w:t>Αξιωματούχων</w:t>
      </w:r>
      <w:r w:rsidRPr="0048436C">
        <w:rPr>
          <w:rFonts w:cstheme="minorHAnsi"/>
          <w:sz w:val="24"/>
          <w:szCs w:val="24"/>
          <w:lang w:val="el-GR"/>
        </w:rPr>
        <w:t xml:space="preserve"> </w:t>
      </w:r>
      <w:r>
        <w:rPr>
          <w:rFonts w:cstheme="minorHAnsi"/>
          <w:sz w:val="24"/>
          <w:szCs w:val="24"/>
          <w:lang w:val="el-GR"/>
        </w:rPr>
        <w:t>της</w:t>
      </w:r>
      <w:r w:rsidRPr="0048436C">
        <w:rPr>
          <w:rFonts w:cstheme="minorHAnsi"/>
          <w:sz w:val="24"/>
          <w:szCs w:val="24"/>
          <w:lang w:val="el-GR"/>
        </w:rPr>
        <w:t xml:space="preserve"> </w:t>
      </w:r>
      <w:r>
        <w:rPr>
          <w:rFonts w:cstheme="minorHAnsi"/>
          <w:sz w:val="24"/>
          <w:szCs w:val="24"/>
          <w:lang w:val="el-GR"/>
        </w:rPr>
        <w:t>Κυπριακής</w:t>
      </w:r>
      <w:r w:rsidRPr="0048436C">
        <w:rPr>
          <w:rFonts w:cstheme="minorHAnsi"/>
          <w:sz w:val="24"/>
          <w:szCs w:val="24"/>
          <w:lang w:val="el-GR"/>
        </w:rPr>
        <w:t xml:space="preserve"> </w:t>
      </w:r>
      <w:r>
        <w:rPr>
          <w:rFonts w:cstheme="minorHAnsi"/>
          <w:sz w:val="24"/>
          <w:szCs w:val="24"/>
          <w:lang w:val="el-GR"/>
        </w:rPr>
        <w:t>Δημοκρατίας</w:t>
      </w:r>
      <w:r w:rsidR="00220066" w:rsidRPr="0048436C">
        <w:rPr>
          <w:rFonts w:cstheme="minorHAnsi"/>
          <w:sz w:val="24"/>
          <w:szCs w:val="24"/>
          <w:lang w:val="el-GR"/>
        </w:rPr>
        <w:t xml:space="preserve"> (</w:t>
      </w:r>
      <w:r>
        <w:rPr>
          <w:rFonts w:cstheme="minorHAnsi"/>
          <w:sz w:val="24"/>
          <w:szCs w:val="24"/>
          <w:lang w:val="el-GR"/>
        </w:rPr>
        <w:t>Δήλωση</w:t>
      </w:r>
      <w:r w:rsidRPr="0048436C">
        <w:rPr>
          <w:rFonts w:cstheme="minorHAnsi"/>
          <w:sz w:val="24"/>
          <w:szCs w:val="24"/>
          <w:lang w:val="el-GR"/>
        </w:rPr>
        <w:t xml:space="preserve"> </w:t>
      </w:r>
      <w:r>
        <w:rPr>
          <w:rFonts w:cstheme="minorHAnsi"/>
          <w:sz w:val="24"/>
          <w:szCs w:val="24"/>
          <w:lang w:val="el-GR"/>
        </w:rPr>
        <w:t>και</w:t>
      </w:r>
      <w:r w:rsidRPr="0048436C">
        <w:rPr>
          <w:rFonts w:cstheme="minorHAnsi"/>
          <w:sz w:val="24"/>
          <w:szCs w:val="24"/>
          <w:lang w:val="el-GR"/>
        </w:rPr>
        <w:t xml:space="preserve"> </w:t>
      </w:r>
      <w:r>
        <w:rPr>
          <w:rFonts w:cstheme="minorHAnsi"/>
          <w:sz w:val="24"/>
          <w:szCs w:val="24"/>
          <w:lang w:val="el-GR"/>
        </w:rPr>
        <w:t>Έλεγχος</w:t>
      </w:r>
      <w:r w:rsidRPr="0048436C">
        <w:rPr>
          <w:rFonts w:cstheme="minorHAnsi"/>
          <w:sz w:val="24"/>
          <w:szCs w:val="24"/>
          <w:lang w:val="el-GR"/>
        </w:rPr>
        <w:t xml:space="preserve"> </w:t>
      </w:r>
      <w:r>
        <w:rPr>
          <w:rFonts w:cstheme="minorHAnsi"/>
          <w:sz w:val="24"/>
          <w:szCs w:val="24"/>
          <w:lang w:val="el-GR"/>
        </w:rPr>
        <w:t>Περιουσιακών</w:t>
      </w:r>
      <w:r w:rsidRPr="0048436C">
        <w:rPr>
          <w:rFonts w:cstheme="minorHAnsi"/>
          <w:sz w:val="24"/>
          <w:szCs w:val="24"/>
          <w:lang w:val="el-GR"/>
        </w:rPr>
        <w:t xml:space="preserve"> </w:t>
      </w:r>
      <w:r>
        <w:rPr>
          <w:rFonts w:cstheme="minorHAnsi"/>
          <w:sz w:val="24"/>
          <w:szCs w:val="24"/>
          <w:lang w:val="el-GR"/>
        </w:rPr>
        <w:t>Στοιχείων</w:t>
      </w:r>
      <w:r w:rsidR="00220066" w:rsidRPr="0048436C">
        <w:rPr>
          <w:rFonts w:cstheme="minorHAnsi"/>
          <w:sz w:val="24"/>
          <w:szCs w:val="24"/>
          <w:lang w:val="el-GR"/>
        </w:rPr>
        <w:t>) (</w:t>
      </w:r>
      <w:r>
        <w:rPr>
          <w:rFonts w:cstheme="minorHAnsi"/>
          <w:sz w:val="24"/>
          <w:szCs w:val="24"/>
          <w:lang w:val="el-GR"/>
        </w:rPr>
        <w:t>Νόμος</w:t>
      </w:r>
      <w:r w:rsidR="00220066" w:rsidRPr="0048436C">
        <w:rPr>
          <w:rFonts w:cstheme="minorHAnsi"/>
          <w:sz w:val="24"/>
          <w:szCs w:val="24"/>
          <w:lang w:val="el-GR"/>
        </w:rPr>
        <w:t xml:space="preserve"> 50(</w:t>
      </w:r>
      <w:r w:rsidR="00220066" w:rsidRPr="004E251E">
        <w:rPr>
          <w:rFonts w:cstheme="minorHAnsi"/>
          <w:sz w:val="24"/>
          <w:szCs w:val="24"/>
        </w:rPr>
        <w:t>I</w:t>
      </w:r>
      <w:r w:rsidR="00220066" w:rsidRPr="0048436C">
        <w:rPr>
          <w:rFonts w:cstheme="minorHAnsi"/>
          <w:sz w:val="24"/>
          <w:szCs w:val="24"/>
          <w:lang w:val="el-GR"/>
        </w:rPr>
        <w:t xml:space="preserve">)/2004), </w:t>
      </w:r>
      <w:r>
        <w:rPr>
          <w:rFonts w:cstheme="minorHAnsi"/>
          <w:sz w:val="24"/>
          <w:szCs w:val="24"/>
          <w:lang w:val="el-GR"/>
        </w:rPr>
        <w:t xml:space="preserve">ο Αρχηγός και ο Υπαρχηγός της </w:t>
      </w:r>
      <w:r w:rsidR="009C4E34">
        <w:rPr>
          <w:rFonts w:cstheme="minorHAnsi"/>
          <w:sz w:val="24"/>
          <w:szCs w:val="24"/>
          <w:lang w:val="el-GR"/>
        </w:rPr>
        <w:t>Αστυνομία</w:t>
      </w:r>
      <w:r>
        <w:rPr>
          <w:rFonts w:cstheme="minorHAnsi"/>
          <w:sz w:val="24"/>
          <w:szCs w:val="24"/>
          <w:lang w:val="el-GR"/>
        </w:rPr>
        <w:t>ς</w:t>
      </w:r>
      <w:r w:rsidR="00220066" w:rsidRPr="0048436C">
        <w:rPr>
          <w:rFonts w:cstheme="minorHAnsi"/>
          <w:sz w:val="24"/>
          <w:szCs w:val="24"/>
          <w:lang w:val="el-GR"/>
        </w:rPr>
        <w:t xml:space="preserve"> </w:t>
      </w:r>
      <w:r>
        <w:rPr>
          <w:rFonts w:cstheme="minorHAnsi"/>
          <w:sz w:val="24"/>
          <w:szCs w:val="24"/>
          <w:lang w:val="el-GR"/>
        </w:rPr>
        <w:t xml:space="preserve">υπόκεινται στις </w:t>
      </w:r>
      <w:r>
        <w:rPr>
          <w:rFonts w:cstheme="minorHAnsi"/>
          <w:sz w:val="24"/>
          <w:szCs w:val="24"/>
          <w:lang w:val="el-GR"/>
        </w:rPr>
        <w:lastRenderedPageBreak/>
        <w:t>απαιτήσεις οικονομικής αποκάλυψης</w:t>
      </w:r>
      <w:r w:rsidR="004E0646">
        <w:rPr>
          <w:rFonts w:cstheme="minorHAnsi"/>
          <w:sz w:val="24"/>
          <w:szCs w:val="24"/>
          <w:lang w:val="el-GR"/>
        </w:rPr>
        <w:t xml:space="preserve"> (πόθεν έσχες)</w:t>
      </w:r>
      <w:r w:rsidR="00220066" w:rsidRPr="0048436C">
        <w:rPr>
          <w:rFonts w:cstheme="minorHAnsi"/>
          <w:sz w:val="24"/>
          <w:szCs w:val="24"/>
          <w:lang w:val="el-GR"/>
        </w:rPr>
        <w:t xml:space="preserve"> </w:t>
      </w:r>
      <w:r>
        <w:rPr>
          <w:rFonts w:cstheme="minorHAnsi"/>
          <w:sz w:val="24"/>
          <w:szCs w:val="24"/>
          <w:lang w:val="el-GR"/>
        </w:rPr>
        <w:t>που περιγράφονται στις παραγράφους</w:t>
      </w:r>
      <w:r w:rsidR="00BB61F5" w:rsidRPr="00664CCD">
        <w:rPr>
          <w:rFonts w:cstheme="minorHAnsi"/>
          <w:sz w:val="24"/>
          <w:szCs w:val="24"/>
        </w:rPr>
        <w:t> </w:t>
      </w:r>
      <w:r w:rsidR="00BB61F5" w:rsidRPr="0048436C">
        <w:rPr>
          <w:rFonts w:cstheme="minorHAnsi"/>
          <w:sz w:val="24"/>
          <w:szCs w:val="24"/>
          <w:lang w:val="el-GR"/>
        </w:rPr>
        <w:t>125-126</w:t>
      </w:r>
      <w:r>
        <w:rPr>
          <w:rFonts w:cstheme="minorHAnsi"/>
          <w:sz w:val="24"/>
          <w:szCs w:val="24"/>
          <w:lang w:val="el-GR"/>
        </w:rPr>
        <w:t>, ωστόσο</w:t>
      </w:r>
      <w:r w:rsidR="00FE439C" w:rsidRPr="0048436C">
        <w:rPr>
          <w:rFonts w:cstheme="minorHAnsi"/>
          <w:sz w:val="24"/>
          <w:szCs w:val="24"/>
          <w:lang w:val="el-GR"/>
        </w:rPr>
        <w:t xml:space="preserve">, </w:t>
      </w:r>
      <w:r>
        <w:rPr>
          <w:rFonts w:cstheme="minorHAnsi"/>
          <w:sz w:val="24"/>
          <w:szCs w:val="24"/>
          <w:lang w:val="el-GR"/>
        </w:rPr>
        <w:t>οι δηλώσεις τους δεν είναι δημόσιες</w:t>
      </w:r>
      <w:r w:rsidR="00FE439C" w:rsidRPr="0048436C">
        <w:rPr>
          <w:rFonts w:cstheme="minorHAnsi"/>
          <w:sz w:val="24"/>
          <w:szCs w:val="24"/>
          <w:lang w:val="el-GR"/>
        </w:rPr>
        <w:t xml:space="preserve">. </w:t>
      </w:r>
      <w:r w:rsidR="00220066" w:rsidRPr="0048436C">
        <w:rPr>
          <w:rFonts w:cstheme="minorHAnsi"/>
          <w:sz w:val="24"/>
          <w:szCs w:val="24"/>
          <w:lang w:val="el-GR"/>
        </w:rPr>
        <w:t xml:space="preserve"> </w:t>
      </w:r>
    </w:p>
    <w:p w14:paraId="0FEC9535" w14:textId="77777777" w:rsidR="00220066" w:rsidRPr="0048436C" w:rsidRDefault="00220066" w:rsidP="00220066">
      <w:pPr>
        <w:keepNext/>
        <w:tabs>
          <w:tab w:val="left" w:pos="709"/>
        </w:tabs>
        <w:rPr>
          <w:rFonts w:cstheme="minorHAnsi"/>
          <w:sz w:val="24"/>
          <w:szCs w:val="24"/>
          <w:lang w:val="el-GR"/>
        </w:rPr>
      </w:pPr>
    </w:p>
    <w:p w14:paraId="0224D0E6" w14:textId="3EAEC8A9" w:rsidR="00220066" w:rsidRPr="002F0B78" w:rsidRDefault="0048436C"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Επιπρόσθετα</w:t>
      </w:r>
      <w:r w:rsidR="00220066" w:rsidRPr="002F0B78">
        <w:rPr>
          <w:rFonts w:cstheme="minorHAnsi"/>
          <w:sz w:val="24"/>
          <w:szCs w:val="24"/>
          <w:lang w:val="el-GR"/>
        </w:rPr>
        <w:t xml:space="preserve">, </w:t>
      </w:r>
      <w:r>
        <w:rPr>
          <w:rFonts w:cstheme="minorHAnsi"/>
          <w:sz w:val="24"/>
          <w:szCs w:val="24"/>
          <w:lang w:val="el-GR"/>
        </w:rPr>
        <w:t>όσο</w:t>
      </w:r>
      <w:r w:rsidRPr="002F0B78">
        <w:rPr>
          <w:rFonts w:cstheme="minorHAnsi"/>
          <w:sz w:val="24"/>
          <w:szCs w:val="24"/>
          <w:lang w:val="el-GR"/>
        </w:rPr>
        <w:t xml:space="preserve"> </w:t>
      </w:r>
      <w:r>
        <w:rPr>
          <w:rFonts w:cstheme="minorHAnsi"/>
          <w:sz w:val="24"/>
          <w:szCs w:val="24"/>
          <w:lang w:val="el-GR"/>
        </w:rPr>
        <w:t>για</w:t>
      </w:r>
      <w:r w:rsidRPr="002F0B78">
        <w:rPr>
          <w:rFonts w:cstheme="minorHAnsi"/>
          <w:sz w:val="24"/>
          <w:szCs w:val="24"/>
          <w:lang w:val="el-GR"/>
        </w:rPr>
        <w:t xml:space="preserve"> </w:t>
      </w:r>
      <w:r>
        <w:rPr>
          <w:rFonts w:cstheme="minorHAnsi"/>
          <w:sz w:val="24"/>
          <w:szCs w:val="24"/>
          <w:lang w:val="el-GR"/>
        </w:rPr>
        <w:t>όλους</w:t>
      </w:r>
      <w:r w:rsidRPr="002F0B78">
        <w:rPr>
          <w:rFonts w:cstheme="minorHAnsi"/>
          <w:sz w:val="24"/>
          <w:szCs w:val="24"/>
          <w:lang w:val="el-GR"/>
        </w:rPr>
        <w:t xml:space="preserve"> </w:t>
      </w:r>
      <w:r>
        <w:rPr>
          <w:rFonts w:cstheme="minorHAnsi"/>
          <w:sz w:val="24"/>
          <w:szCs w:val="24"/>
          <w:lang w:val="el-GR"/>
        </w:rPr>
        <w:t>τους</w:t>
      </w:r>
      <w:r w:rsidRPr="002F0B78">
        <w:rPr>
          <w:rFonts w:cstheme="minorHAnsi"/>
          <w:sz w:val="24"/>
          <w:szCs w:val="24"/>
          <w:lang w:val="el-GR"/>
        </w:rPr>
        <w:t xml:space="preserve"> </w:t>
      </w:r>
      <w:r>
        <w:rPr>
          <w:rFonts w:cstheme="minorHAnsi"/>
          <w:sz w:val="24"/>
          <w:szCs w:val="24"/>
          <w:lang w:val="el-GR"/>
        </w:rPr>
        <w:t>άλλους</w:t>
      </w:r>
      <w:r w:rsidRPr="002F0B78">
        <w:rPr>
          <w:rFonts w:cstheme="minorHAnsi"/>
          <w:sz w:val="24"/>
          <w:szCs w:val="24"/>
          <w:lang w:val="el-GR"/>
        </w:rPr>
        <w:t xml:space="preserve"> </w:t>
      </w:r>
      <w:r>
        <w:rPr>
          <w:rFonts w:cstheme="minorHAnsi"/>
          <w:sz w:val="24"/>
          <w:szCs w:val="24"/>
          <w:lang w:val="el-GR"/>
        </w:rPr>
        <w:t>πολίτες</w:t>
      </w:r>
      <w:r w:rsidRPr="002F0B78">
        <w:rPr>
          <w:rFonts w:cstheme="minorHAnsi"/>
          <w:sz w:val="24"/>
          <w:szCs w:val="24"/>
          <w:lang w:val="el-GR"/>
        </w:rPr>
        <w:t xml:space="preserve"> </w:t>
      </w:r>
      <w:r>
        <w:rPr>
          <w:rFonts w:cstheme="minorHAnsi"/>
          <w:sz w:val="24"/>
          <w:szCs w:val="24"/>
          <w:lang w:val="el-GR"/>
        </w:rPr>
        <w:t>της</w:t>
      </w:r>
      <w:r w:rsidRPr="002F0B78">
        <w:rPr>
          <w:rFonts w:cstheme="minorHAnsi"/>
          <w:sz w:val="24"/>
          <w:szCs w:val="24"/>
          <w:lang w:val="el-GR"/>
        </w:rPr>
        <w:t xml:space="preserve"> </w:t>
      </w:r>
      <w:r>
        <w:rPr>
          <w:rFonts w:cstheme="minorHAnsi"/>
          <w:sz w:val="24"/>
          <w:szCs w:val="24"/>
          <w:lang w:val="el-GR"/>
        </w:rPr>
        <w:t>Κύπρου</w:t>
      </w:r>
      <w:r w:rsidR="00220066" w:rsidRPr="002F0B78">
        <w:rPr>
          <w:rFonts w:cstheme="minorHAnsi"/>
          <w:sz w:val="24"/>
          <w:szCs w:val="24"/>
          <w:lang w:val="el-GR"/>
        </w:rPr>
        <w:t xml:space="preserve">, </w:t>
      </w:r>
      <w:r>
        <w:rPr>
          <w:rFonts w:cstheme="minorHAnsi"/>
          <w:sz w:val="24"/>
          <w:szCs w:val="24"/>
          <w:lang w:val="el-GR"/>
        </w:rPr>
        <w:t>από το</w:t>
      </w:r>
      <w:r w:rsidR="00220066" w:rsidRPr="002F0B78">
        <w:rPr>
          <w:rFonts w:cstheme="minorHAnsi"/>
          <w:sz w:val="24"/>
          <w:szCs w:val="24"/>
          <w:lang w:val="el-GR"/>
        </w:rPr>
        <w:t xml:space="preserve"> 2017, </w:t>
      </w:r>
      <w:r w:rsidR="002F0B78">
        <w:rPr>
          <w:rFonts w:cstheme="minorHAnsi"/>
          <w:sz w:val="24"/>
          <w:szCs w:val="24"/>
          <w:lang w:val="el-GR"/>
        </w:rPr>
        <w:t>οι δηλώσεις φόρου εισοδήματος</w:t>
      </w:r>
      <w:r w:rsidR="00220066" w:rsidRPr="002F0B78">
        <w:rPr>
          <w:rFonts w:cstheme="minorHAnsi"/>
          <w:sz w:val="24"/>
          <w:szCs w:val="24"/>
          <w:lang w:val="el-GR"/>
        </w:rPr>
        <w:t xml:space="preserve"> </w:t>
      </w:r>
      <w:r w:rsidR="002F0B78">
        <w:rPr>
          <w:rFonts w:cstheme="minorHAnsi"/>
          <w:sz w:val="24"/>
          <w:szCs w:val="24"/>
          <w:lang w:val="el-GR"/>
        </w:rPr>
        <w:t>υποβάλλονται διαδικτυακά</w:t>
      </w:r>
      <w:r w:rsidR="00220066" w:rsidRPr="002F0B78">
        <w:rPr>
          <w:rFonts w:cstheme="minorHAnsi"/>
          <w:sz w:val="24"/>
          <w:szCs w:val="24"/>
          <w:lang w:val="el-GR"/>
        </w:rPr>
        <w:t xml:space="preserve"> </w:t>
      </w:r>
      <w:r w:rsidR="002F0B78">
        <w:rPr>
          <w:rFonts w:cstheme="minorHAnsi"/>
          <w:sz w:val="24"/>
          <w:szCs w:val="24"/>
          <w:lang w:val="el-GR"/>
        </w:rPr>
        <w:t>στις φορολογικές αρχές</w:t>
      </w:r>
      <w:r w:rsidR="00220066" w:rsidRPr="002F0B78">
        <w:rPr>
          <w:rFonts w:cstheme="minorHAnsi"/>
          <w:sz w:val="24"/>
          <w:szCs w:val="24"/>
          <w:lang w:val="el-GR"/>
        </w:rPr>
        <w:t xml:space="preserve">. </w:t>
      </w:r>
      <w:r w:rsidR="002F0B78">
        <w:rPr>
          <w:rFonts w:cstheme="minorHAnsi"/>
          <w:sz w:val="24"/>
          <w:szCs w:val="24"/>
          <w:lang w:val="el-GR"/>
        </w:rPr>
        <w:t>Οι</w:t>
      </w:r>
      <w:r w:rsidR="002F0B78" w:rsidRPr="002F0B78">
        <w:rPr>
          <w:rFonts w:cstheme="minorHAnsi"/>
          <w:sz w:val="24"/>
          <w:szCs w:val="24"/>
          <w:lang w:val="el-GR"/>
        </w:rPr>
        <w:t xml:space="preserve"> </w:t>
      </w:r>
      <w:r w:rsidR="002F0B78">
        <w:rPr>
          <w:rFonts w:cstheme="minorHAnsi"/>
          <w:sz w:val="24"/>
          <w:szCs w:val="24"/>
          <w:lang w:val="el-GR"/>
        </w:rPr>
        <w:t>δηλώσεις</w:t>
      </w:r>
      <w:r w:rsidR="002F0B78" w:rsidRPr="002F0B78">
        <w:rPr>
          <w:rFonts w:cstheme="minorHAnsi"/>
          <w:sz w:val="24"/>
          <w:szCs w:val="24"/>
          <w:lang w:val="el-GR"/>
        </w:rPr>
        <w:t xml:space="preserve"> </w:t>
      </w:r>
      <w:r w:rsidR="002F0B78">
        <w:rPr>
          <w:rFonts w:cstheme="minorHAnsi"/>
          <w:sz w:val="24"/>
          <w:szCs w:val="24"/>
          <w:lang w:val="el-GR"/>
        </w:rPr>
        <w:t>φόρου</w:t>
      </w:r>
      <w:r w:rsidR="002F0B78" w:rsidRPr="002F0B78">
        <w:rPr>
          <w:rFonts w:cstheme="minorHAnsi"/>
          <w:sz w:val="24"/>
          <w:szCs w:val="24"/>
          <w:lang w:val="el-GR"/>
        </w:rPr>
        <w:t xml:space="preserve"> </w:t>
      </w:r>
      <w:r w:rsidR="002F0B78">
        <w:rPr>
          <w:rFonts w:cstheme="minorHAnsi"/>
          <w:sz w:val="24"/>
          <w:szCs w:val="24"/>
          <w:lang w:val="el-GR"/>
        </w:rPr>
        <w:t>εισοδήματος</w:t>
      </w:r>
      <w:r w:rsidR="00220066" w:rsidRPr="002F0B78">
        <w:rPr>
          <w:rFonts w:cstheme="minorHAnsi"/>
          <w:sz w:val="24"/>
          <w:szCs w:val="24"/>
          <w:lang w:val="el-GR"/>
        </w:rPr>
        <w:t xml:space="preserve"> </w:t>
      </w:r>
      <w:r w:rsidR="002F0B78">
        <w:rPr>
          <w:rFonts w:cstheme="minorHAnsi"/>
          <w:sz w:val="24"/>
          <w:szCs w:val="24"/>
          <w:lang w:val="el-GR"/>
        </w:rPr>
        <w:t>αναθεωρούνται</w:t>
      </w:r>
      <w:r w:rsidR="00220066" w:rsidRPr="002F0B78">
        <w:rPr>
          <w:rFonts w:cstheme="minorHAnsi"/>
          <w:sz w:val="24"/>
          <w:szCs w:val="24"/>
          <w:lang w:val="el-GR"/>
        </w:rPr>
        <w:t xml:space="preserve">, </w:t>
      </w:r>
      <w:r w:rsidR="002F0B78">
        <w:rPr>
          <w:rFonts w:cstheme="minorHAnsi"/>
          <w:sz w:val="24"/>
          <w:szCs w:val="24"/>
          <w:lang w:val="el-GR"/>
        </w:rPr>
        <w:t>επαληθεύονται</w:t>
      </w:r>
      <w:r w:rsidR="00220066" w:rsidRPr="002F0B78">
        <w:rPr>
          <w:rFonts w:cstheme="minorHAnsi"/>
          <w:sz w:val="24"/>
          <w:szCs w:val="24"/>
          <w:lang w:val="el-GR"/>
        </w:rPr>
        <w:t xml:space="preserve">, </w:t>
      </w:r>
      <w:r w:rsidR="002F0B78">
        <w:rPr>
          <w:rFonts w:cstheme="minorHAnsi"/>
          <w:sz w:val="24"/>
          <w:szCs w:val="24"/>
          <w:lang w:val="el-GR"/>
        </w:rPr>
        <w:t>και</w:t>
      </w:r>
      <w:r w:rsidR="002F0B78" w:rsidRPr="002F0B78">
        <w:rPr>
          <w:rFonts w:cstheme="minorHAnsi"/>
          <w:sz w:val="24"/>
          <w:szCs w:val="24"/>
          <w:lang w:val="el-GR"/>
        </w:rPr>
        <w:t xml:space="preserve"> </w:t>
      </w:r>
      <w:r w:rsidR="002F0B78">
        <w:rPr>
          <w:rFonts w:cstheme="minorHAnsi"/>
          <w:sz w:val="24"/>
          <w:szCs w:val="24"/>
          <w:lang w:val="el-GR"/>
        </w:rPr>
        <w:t>ελέγχονται</w:t>
      </w:r>
      <w:r w:rsidR="002F0B78" w:rsidRPr="002F0B78">
        <w:rPr>
          <w:rFonts w:cstheme="minorHAnsi"/>
          <w:sz w:val="24"/>
          <w:szCs w:val="24"/>
          <w:lang w:val="el-GR"/>
        </w:rPr>
        <w:t xml:space="preserve"> </w:t>
      </w:r>
      <w:r w:rsidR="002F0B78">
        <w:rPr>
          <w:rFonts w:cstheme="minorHAnsi"/>
          <w:sz w:val="24"/>
          <w:szCs w:val="24"/>
          <w:lang w:val="el-GR"/>
        </w:rPr>
        <w:t>από</w:t>
      </w:r>
      <w:r w:rsidR="002F0B78" w:rsidRPr="002F0B78">
        <w:rPr>
          <w:rFonts w:cstheme="minorHAnsi"/>
          <w:sz w:val="24"/>
          <w:szCs w:val="24"/>
          <w:lang w:val="el-GR"/>
        </w:rPr>
        <w:t xml:space="preserve"> </w:t>
      </w:r>
      <w:r w:rsidR="002F0B78">
        <w:rPr>
          <w:rFonts w:cstheme="minorHAnsi"/>
          <w:sz w:val="24"/>
          <w:szCs w:val="24"/>
          <w:lang w:val="el-GR"/>
        </w:rPr>
        <w:t>το</w:t>
      </w:r>
      <w:r w:rsidR="002F0B78" w:rsidRPr="002F0B78">
        <w:rPr>
          <w:rFonts w:cstheme="minorHAnsi"/>
          <w:sz w:val="24"/>
          <w:szCs w:val="24"/>
          <w:lang w:val="el-GR"/>
        </w:rPr>
        <w:t xml:space="preserve"> </w:t>
      </w:r>
      <w:r w:rsidR="002F0B78">
        <w:rPr>
          <w:rFonts w:cstheme="minorHAnsi"/>
          <w:sz w:val="24"/>
          <w:szCs w:val="24"/>
          <w:lang w:val="el-GR"/>
        </w:rPr>
        <w:t>Τμήμα</w:t>
      </w:r>
      <w:r w:rsidR="002F0B78" w:rsidRPr="002F0B78">
        <w:rPr>
          <w:rFonts w:cstheme="minorHAnsi"/>
          <w:sz w:val="24"/>
          <w:szCs w:val="24"/>
          <w:lang w:val="el-GR"/>
        </w:rPr>
        <w:t xml:space="preserve"> </w:t>
      </w:r>
      <w:r w:rsidR="002F0B78">
        <w:rPr>
          <w:rFonts w:cstheme="minorHAnsi"/>
          <w:sz w:val="24"/>
          <w:szCs w:val="24"/>
          <w:lang w:val="el-GR"/>
        </w:rPr>
        <w:t>Φορολογίας της Κυβέρνησης</w:t>
      </w:r>
      <w:r w:rsidR="00220066" w:rsidRPr="002F0B78">
        <w:rPr>
          <w:rFonts w:cstheme="minorHAnsi"/>
          <w:sz w:val="24"/>
          <w:szCs w:val="24"/>
          <w:lang w:val="el-GR"/>
        </w:rPr>
        <w:t xml:space="preserve">, </w:t>
      </w:r>
      <w:r w:rsidR="002F0B78">
        <w:rPr>
          <w:rFonts w:cstheme="minorHAnsi"/>
          <w:sz w:val="24"/>
          <w:szCs w:val="24"/>
          <w:lang w:val="el-GR"/>
        </w:rPr>
        <w:t>που είναι υπό του Υπουργείου Οικονομικών</w:t>
      </w:r>
      <w:r w:rsidR="00220066" w:rsidRPr="002F0B78">
        <w:rPr>
          <w:rFonts w:cstheme="minorHAnsi"/>
          <w:sz w:val="24"/>
          <w:szCs w:val="24"/>
          <w:lang w:val="el-GR"/>
        </w:rPr>
        <w:t>.</w:t>
      </w:r>
    </w:p>
    <w:p w14:paraId="596EB556" w14:textId="77777777" w:rsidR="00220066" w:rsidRPr="002F0B78" w:rsidRDefault="00220066" w:rsidP="00220066">
      <w:pPr>
        <w:pStyle w:val="ListParagraph"/>
        <w:rPr>
          <w:rFonts w:cstheme="minorHAnsi"/>
          <w:sz w:val="24"/>
          <w:szCs w:val="24"/>
          <w:lang w:val="el-GR"/>
        </w:rPr>
      </w:pPr>
    </w:p>
    <w:p w14:paraId="17D14CC6" w14:textId="19E02548" w:rsidR="00220066" w:rsidRPr="005502B3" w:rsidRDefault="006E0573" w:rsidP="00690440">
      <w:pPr>
        <w:keepNext/>
        <w:numPr>
          <w:ilvl w:val="0"/>
          <w:numId w:val="1"/>
        </w:numPr>
        <w:tabs>
          <w:tab w:val="left" w:pos="709"/>
        </w:tabs>
        <w:ind w:left="0" w:firstLine="0"/>
        <w:rPr>
          <w:rFonts w:cstheme="minorHAnsi"/>
          <w:sz w:val="24"/>
          <w:szCs w:val="24"/>
          <w:lang w:val="el-GR"/>
        </w:rPr>
      </w:pPr>
      <w:r>
        <w:rPr>
          <w:rFonts w:cstheme="minorHAnsi"/>
          <w:sz w:val="24"/>
          <w:szCs w:val="24"/>
          <w:lang w:val="el-GR"/>
        </w:rPr>
        <w:t>Παρόλο</w:t>
      </w:r>
      <w:r w:rsidRPr="006E0573">
        <w:rPr>
          <w:rFonts w:cstheme="minorHAnsi"/>
          <w:sz w:val="24"/>
          <w:szCs w:val="24"/>
          <w:lang w:val="el-GR"/>
        </w:rPr>
        <w:t xml:space="preserve"> </w:t>
      </w:r>
      <w:r>
        <w:rPr>
          <w:rFonts w:cstheme="minorHAnsi"/>
          <w:sz w:val="24"/>
          <w:szCs w:val="24"/>
          <w:lang w:val="el-GR"/>
        </w:rPr>
        <w:t>ότι</w:t>
      </w:r>
      <w:r w:rsidRPr="006E0573">
        <w:rPr>
          <w:rFonts w:cstheme="minorHAnsi"/>
          <w:sz w:val="24"/>
          <w:szCs w:val="24"/>
          <w:lang w:val="el-GR"/>
        </w:rPr>
        <w:t xml:space="preserve"> </w:t>
      </w:r>
      <w:r>
        <w:rPr>
          <w:rFonts w:cstheme="minorHAnsi"/>
          <w:sz w:val="24"/>
          <w:szCs w:val="24"/>
          <w:lang w:val="el-GR"/>
        </w:rPr>
        <w:t>υπάρχουν</w:t>
      </w:r>
      <w:r w:rsidRPr="006E0573">
        <w:rPr>
          <w:rFonts w:cstheme="minorHAnsi"/>
          <w:sz w:val="24"/>
          <w:szCs w:val="24"/>
          <w:lang w:val="el-GR"/>
        </w:rPr>
        <w:t xml:space="preserve"> </w:t>
      </w:r>
      <w:r>
        <w:rPr>
          <w:rFonts w:cstheme="minorHAnsi"/>
          <w:sz w:val="24"/>
          <w:szCs w:val="24"/>
          <w:lang w:val="el-GR"/>
        </w:rPr>
        <w:t>ορισμένες</w:t>
      </w:r>
      <w:r w:rsidRPr="006E0573">
        <w:rPr>
          <w:rFonts w:cstheme="minorHAnsi"/>
          <w:sz w:val="24"/>
          <w:szCs w:val="24"/>
          <w:lang w:val="el-GR"/>
        </w:rPr>
        <w:t xml:space="preserve"> </w:t>
      </w:r>
      <w:r>
        <w:rPr>
          <w:rFonts w:cstheme="minorHAnsi"/>
          <w:sz w:val="24"/>
          <w:szCs w:val="24"/>
          <w:lang w:val="el-GR"/>
        </w:rPr>
        <w:t>απαιτήσεις</w:t>
      </w:r>
      <w:r w:rsidRPr="006E0573">
        <w:rPr>
          <w:rFonts w:cstheme="minorHAnsi"/>
          <w:sz w:val="24"/>
          <w:szCs w:val="24"/>
          <w:lang w:val="el-GR"/>
        </w:rPr>
        <w:t xml:space="preserve"> </w:t>
      </w:r>
      <w:r>
        <w:rPr>
          <w:rFonts w:cstheme="minorHAnsi"/>
          <w:sz w:val="24"/>
          <w:szCs w:val="24"/>
          <w:lang w:val="el-GR"/>
        </w:rPr>
        <w:t>αποκάλυψης</w:t>
      </w:r>
      <w:r w:rsidR="00220066" w:rsidRPr="006E0573">
        <w:rPr>
          <w:rFonts w:cstheme="minorHAnsi"/>
          <w:sz w:val="24"/>
          <w:szCs w:val="24"/>
          <w:lang w:val="el-GR"/>
        </w:rPr>
        <w:t xml:space="preserve"> </w:t>
      </w:r>
      <w:r>
        <w:rPr>
          <w:rFonts w:cstheme="minorHAnsi"/>
          <w:sz w:val="24"/>
          <w:szCs w:val="24"/>
          <w:lang w:val="el-GR"/>
        </w:rPr>
        <w:t>για</w:t>
      </w:r>
      <w:r w:rsidRPr="006E0573">
        <w:rPr>
          <w:rFonts w:cstheme="minorHAnsi"/>
          <w:sz w:val="24"/>
          <w:szCs w:val="24"/>
          <w:lang w:val="el-GR"/>
        </w:rPr>
        <w:t xml:space="preserve"> </w:t>
      </w:r>
      <w:r>
        <w:rPr>
          <w:rFonts w:cstheme="minorHAnsi"/>
          <w:sz w:val="24"/>
          <w:szCs w:val="24"/>
          <w:lang w:val="el-GR"/>
        </w:rPr>
        <w:t>όλους</w:t>
      </w:r>
      <w:r w:rsidRPr="006E0573">
        <w:rPr>
          <w:rFonts w:cstheme="minorHAnsi"/>
          <w:sz w:val="24"/>
          <w:szCs w:val="24"/>
          <w:lang w:val="el-GR"/>
        </w:rPr>
        <w:t xml:space="preserve"> </w:t>
      </w:r>
      <w:r>
        <w:rPr>
          <w:rFonts w:cstheme="minorHAnsi"/>
          <w:sz w:val="24"/>
          <w:szCs w:val="24"/>
          <w:lang w:val="el-GR"/>
        </w:rPr>
        <w:t>τους</w:t>
      </w:r>
      <w:r w:rsidRPr="006E0573">
        <w:rPr>
          <w:rFonts w:cstheme="minorHAnsi"/>
          <w:sz w:val="24"/>
          <w:szCs w:val="24"/>
          <w:lang w:val="el-GR"/>
        </w:rPr>
        <w:t xml:space="preserve"> </w:t>
      </w:r>
      <w:r>
        <w:rPr>
          <w:rFonts w:cstheme="minorHAnsi"/>
          <w:sz w:val="24"/>
          <w:szCs w:val="24"/>
          <w:lang w:val="el-GR"/>
        </w:rPr>
        <w:t>αστυνομικούς</w:t>
      </w:r>
      <w:r w:rsidR="00220066" w:rsidRPr="006E0573">
        <w:rPr>
          <w:rFonts w:cstheme="minorHAnsi"/>
          <w:sz w:val="24"/>
          <w:szCs w:val="24"/>
          <w:lang w:val="el-GR"/>
        </w:rPr>
        <w:t xml:space="preserve">, </w:t>
      </w:r>
      <w:r>
        <w:rPr>
          <w:rFonts w:cstheme="minorHAnsi"/>
          <w:sz w:val="24"/>
          <w:szCs w:val="24"/>
          <w:lang w:val="el-GR"/>
        </w:rPr>
        <w:t>δεν φαίνονται να είναι αρκετά λεπτομερή</w:t>
      </w:r>
      <w:r w:rsidR="00220066" w:rsidRPr="006E0573">
        <w:rPr>
          <w:rFonts w:cstheme="minorHAnsi"/>
          <w:sz w:val="24"/>
          <w:szCs w:val="24"/>
          <w:lang w:val="el-GR"/>
        </w:rPr>
        <w:t xml:space="preserve"> </w:t>
      </w:r>
      <w:r>
        <w:rPr>
          <w:rFonts w:cstheme="minorHAnsi"/>
          <w:sz w:val="24"/>
          <w:szCs w:val="24"/>
          <w:lang w:val="el-GR"/>
        </w:rPr>
        <w:t>για να είναι πολύ πολύτιμα</w:t>
      </w:r>
      <w:r w:rsidR="00220066" w:rsidRPr="006E0573">
        <w:rPr>
          <w:rFonts w:cstheme="minorHAnsi"/>
          <w:sz w:val="24"/>
          <w:szCs w:val="24"/>
          <w:lang w:val="el-GR"/>
        </w:rPr>
        <w:t xml:space="preserve">. </w:t>
      </w:r>
      <w:r>
        <w:rPr>
          <w:rFonts w:cstheme="minorHAnsi"/>
          <w:sz w:val="24"/>
          <w:szCs w:val="24"/>
          <w:lang w:val="el-GR"/>
        </w:rPr>
        <w:t>Σίγουρα</w:t>
      </w:r>
      <w:r w:rsidRPr="005176B2">
        <w:rPr>
          <w:rFonts w:cstheme="minorHAnsi"/>
          <w:sz w:val="24"/>
          <w:szCs w:val="24"/>
          <w:lang w:val="el-GR"/>
        </w:rPr>
        <w:t xml:space="preserve"> </w:t>
      </w:r>
      <w:r>
        <w:rPr>
          <w:rFonts w:cstheme="minorHAnsi"/>
          <w:sz w:val="24"/>
          <w:szCs w:val="24"/>
          <w:lang w:val="el-GR"/>
        </w:rPr>
        <w:t>δεν</w:t>
      </w:r>
      <w:r w:rsidRPr="005176B2">
        <w:rPr>
          <w:rFonts w:cstheme="minorHAnsi"/>
          <w:sz w:val="24"/>
          <w:szCs w:val="24"/>
          <w:lang w:val="el-GR"/>
        </w:rPr>
        <w:t xml:space="preserve"> </w:t>
      </w:r>
      <w:r>
        <w:rPr>
          <w:rFonts w:cstheme="minorHAnsi"/>
          <w:sz w:val="24"/>
          <w:szCs w:val="24"/>
          <w:lang w:val="el-GR"/>
        </w:rPr>
        <w:t>επιτρέπει</w:t>
      </w:r>
      <w:r w:rsidRPr="005176B2">
        <w:rPr>
          <w:rFonts w:cstheme="minorHAnsi"/>
          <w:sz w:val="24"/>
          <w:szCs w:val="24"/>
          <w:lang w:val="el-GR"/>
        </w:rPr>
        <w:t xml:space="preserve"> </w:t>
      </w:r>
      <w:r>
        <w:rPr>
          <w:rFonts w:cstheme="minorHAnsi"/>
          <w:sz w:val="24"/>
          <w:szCs w:val="24"/>
          <w:lang w:val="el-GR"/>
        </w:rPr>
        <w:t>την</w:t>
      </w:r>
      <w:r w:rsidRPr="005176B2">
        <w:rPr>
          <w:rFonts w:cstheme="minorHAnsi"/>
          <w:sz w:val="24"/>
          <w:szCs w:val="24"/>
          <w:lang w:val="el-GR"/>
        </w:rPr>
        <w:t xml:space="preserve"> </w:t>
      </w:r>
      <w:r>
        <w:rPr>
          <w:rFonts w:cstheme="minorHAnsi"/>
          <w:sz w:val="24"/>
          <w:szCs w:val="24"/>
          <w:lang w:val="el-GR"/>
        </w:rPr>
        <w:t>επαρκή</w:t>
      </w:r>
      <w:r w:rsidRPr="005176B2">
        <w:rPr>
          <w:rFonts w:cstheme="minorHAnsi"/>
          <w:sz w:val="24"/>
          <w:szCs w:val="24"/>
          <w:lang w:val="el-GR"/>
        </w:rPr>
        <w:t xml:space="preserve"> </w:t>
      </w:r>
      <w:r>
        <w:rPr>
          <w:rFonts w:cstheme="minorHAnsi"/>
          <w:sz w:val="24"/>
          <w:szCs w:val="24"/>
          <w:lang w:val="el-GR"/>
        </w:rPr>
        <w:t>αξιολόγηση</w:t>
      </w:r>
      <w:r w:rsidRPr="005176B2">
        <w:rPr>
          <w:rFonts w:cstheme="minorHAnsi"/>
          <w:sz w:val="24"/>
          <w:szCs w:val="24"/>
          <w:lang w:val="el-GR"/>
        </w:rPr>
        <w:t xml:space="preserve"> </w:t>
      </w:r>
      <w:r>
        <w:rPr>
          <w:rFonts w:cstheme="minorHAnsi"/>
          <w:sz w:val="24"/>
          <w:szCs w:val="24"/>
          <w:lang w:val="el-GR"/>
        </w:rPr>
        <w:t>ακεραιότητας</w:t>
      </w:r>
      <w:r w:rsidRPr="005176B2">
        <w:rPr>
          <w:rFonts w:cstheme="minorHAnsi"/>
          <w:sz w:val="24"/>
          <w:szCs w:val="24"/>
          <w:lang w:val="el-GR"/>
        </w:rPr>
        <w:t>-</w:t>
      </w:r>
      <w:r>
        <w:rPr>
          <w:rFonts w:cstheme="minorHAnsi"/>
          <w:sz w:val="24"/>
          <w:szCs w:val="24"/>
          <w:lang w:val="el-GR"/>
        </w:rPr>
        <w:t>κινδύνου</w:t>
      </w:r>
      <w:r w:rsidR="00B93299" w:rsidRPr="005176B2">
        <w:rPr>
          <w:rFonts w:cstheme="minorHAnsi"/>
          <w:sz w:val="24"/>
          <w:szCs w:val="24"/>
          <w:lang w:val="el-GR"/>
        </w:rPr>
        <w:t>.</w:t>
      </w:r>
      <w:r w:rsidR="00141766" w:rsidRPr="005176B2">
        <w:rPr>
          <w:rFonts w:cstheme="minorHAnsi"/>
          <w:sz w:val="24"/>
          <w:szCs w:val="24"/>
          <w:lang w:val="el-GR"/>
        </w:rPr>
        <w:t xml:space="preserve"> </w:t>
      </w:r>
      <w:r w:rsidR="00F55B7B">
        <w:rPr>
          <w:rFonts w:cstheme="minorHAnsi"/>
          <w:sz w:val="24"/>
          <w:szCs w:val="24"/>
          <w:lang w:val="el-GR"/>
        </w:rPr>
        <w:t>Στο</w:t>
      </w:r>
      <w:r w:rsidR="00F55B7B" w:rsidRPr="00F55B7B">
        <w:rPr>
          <w:rFonts w:cstheme="minorHAnsi"/>
          <w:sz w:val="24"/>
          <w:szCs w:val="24"/>
          <w:lang w:val="el-GR"/>
        </w:rPr>
        <w:t xml:space="preserve"> </w:t>
      </w:r>
      <w:r w:rsidR="00F55B7B">
        <w:rPr>
          <w:rFonts w:cstheme="minorHAnsi"/>
          <w:sz w:val="24"/>
          <w:szCs w:val="24"/>
          <w:lang w:val="el-GR"/>
        </w:rPr>
        <w:t>παρόν</w:t>
      </w:r>
      <w:r w:rsidR="00F55B7B" w:rsidRPr="00F55B7B">
        <w:rPr>
          <w:rFonts w:cstheme="minorHAnsi"/>
          <w:sz w:val="24"/>
          <w:szCs w:val="24"/>
          <w:lang w:val="el-GR"/>
        </w:rPr>
        <w:t xml:space="preserve"> </w:t>
      </w:r>
      <w:r w:rsidR="00F55B7B">
        <w:rPr>
          <w:rFonts w:cstheme="minorHAnsi"/>
          <w:sz w:val="24"/>
          <w:szCs w:val="24"/>
          <w:lang w:val="el-GR"/>
        </w:rPr>
        <w:t>στάδιο</w:t>
      </w:r>
      <w:r w:rsidR="00141766" w:rsidRPr="00F55B7B">
        <w:rPr>
          <w:rFonts w:cstheme="minorHAnsi"/>
          <w:sz w:val="24"/>
          <w:szCs w:val="24"/>
          <w:lang w:val="el-GR"/>
        </w:rPr>
        <w:t xml:space="preserve">, </w:t>
      </w:r>
      <w:r w:rsidR="00F55B7B">
        <w:rPr>
          <w:rFonts w:cstheme="minorHAnsi"/>
          <w:sz w:val="24"/>
          <w:szCs w:val="24"/>
          <w:lang w:val="el-GR"/>
        </w:rPr>
        <w:t>μόνο</w:t>
      </w:r>
      <w:r w:rsidR="00F55B7B" w:rsidRPr="00F55B7B">
        <w:rPr>
          <w:rFonts w:cstheme="minorHAnsi"/>
          <w:sz w:val="24"/>
          <w:szCs w:val="24"/>
          <w:lang w:val="el-GR"/>
        </w:rPr>
        <w:t xml:space="preserve"> </w:t>
      </w:r>
      <w:r w:rsidR="00F55B7B">
        <w:rPr>
          <w:rFonts w:cstheme="minorHAnsi"/>
          <w:sz w:val="24"/>
          <w:szCs w:val="24"/>
          <w:lang w:val="el-GR"/>
        </w:rPr>
        <w:t>ο</w:t>
      </w:r>
      <w:r w:rsidR="00F55B7B" w:rsidRPr="00F55B7B">
        <w:rPr>
          <w:rFonts w:cstheme="minorHAnsi"/>
          <w:sz w:val="24"/>
          <w:szCs w:val="24"/>
          <w:lang w:val="el-GR"/>
        </w:rPr>
        <w:t xml:space="preserve"> </w:t>
      </w:r>
      <w:r w:rsidR="00F55B7B">
        <w:rPr>
          <w:rFonts w:cstheme="minorHAnsi"/>
          <w:sz w:val="24"/>
          <w:szCs w:val="24"/>
          <w:lang w:val="el-GR"/>
        </w:rPr>
        <w:t>Αρχηγός</w:t>
      </w:r>
      <w:r w:rsidR="00F55B7B" w:rsidRPr="00F55B7B">
        <w:rPr>
          <w:rFonts w:cstheme="minorHAnsi"/>
          <w:sz w:val="24"/>
          <w:szCs w:val="24"/>
          <w:lang w:val="el-GR"/>
        </w:rPr>
        <w:t xml:space="preserve"> </w:t>
      </w:r>
      <w:r w:rsidR="00F55B7B">
        <w:rPr>
          <w:rFonts w:cstheme="minorHAnsi"/>
          <w:sz w:val="24"/>
          <w:szCs w:val="24"/>
          <w:lang w:val="el-GR"/>
        </w:rPr>
        <w:t>και</w:t>
      </w:r>
      <w:r w:rsidR="00F55B7B" w:rsidRPr="00F55B7B">
        <w:rPr>
          <w:rFonts w:cstheme="minorHAnsi"/>
          <w:sz w:val="24"/>
          <w:szCs w:val="24"/>
          <w:lang w:val="el-GR"/>
        </w:rPr>
        <w:t xml:space="preserve"> </w:t>
      </w:r>
      <w:r w:rsidR="00F55B7B">
        <w:rPr>
          <w:rFonts w:cstheme="minorHAnsi"/>
          <w:sz w:val="24"/>
          <w:szCs w:val="24"/>
          <w:lang w:val="el-GR"/>
        </w:rPr>
        <w:t>Υπαρχηγός</w:t>
      </w:r>
      <w:r w:rsidR="00F55B7B" w:rsidRPr="00F55B7B">
        <w:rPr>
          <w:rFonts w:cstheme="minorHAnsi"/>
          <w:sz w:val="24"/>
          <w:szCs w:val="24"/>
          <w:lang w:val="el-GR"/>
        </w:rPr>
        <w:t xml:space="preserve"> </w:t>
      </w:r>
      <w:r w:rsidR="00F55B7B">
        <w:rPr>
          <w:rFonts w:cstheme="minorHAnsi"/>
          <w:sz w:val="24"/>
          <w:szCs w:val="24"/>
          <w:lang w:val="el-GR"/>
        </w:rPr>
        <w:t>της</w:t>
      </w:r>
      <w:r w:rsidR="00F55B7B" w:rsidRPr="00F55B7B">
        <w:rPr>
          <w:rFonts w:cstheme="minorHAnsi"/>
          <w:sz w:val="24"/>
          <w:szCs w:val="24"/>
          <w:lang w:val="el-GR"/>
        </w:rPr>
        <w:t xml:space="preserve"> </w:t>
      </w:r>
      <w:r w:rsidR="009C4E34">
        <w:rPr>
          <w:rFonts w:cstheme="minorHAnsi"/>
          <w:sz w:val="24"/>
          <w:szCs w:val="24"/>
          <w:lang w:val="el-GR"/>
        </w:rPr>
        <w:t>Αστυνομία</w:t>
      </w:r>
      <w:r w:rsidR="00F55B7B">
        <w:rPr>
          <w:rFonts w:cstheme="minorHAnsi"/>
          <w:sz w:val="24"/>
          <w:szCs w:val="24"/>
          <w:lang w:val="el-GR"/>
        </w:rPr>
        <w:t>ς</w:t>
      </w:r>
      <w:r w:rsidR="00141766" w:rsidRPr="00F55B7B">
        <w:rPr>
          <w:rFonts w:cstheme="minorHAnsi"/>
          <w:sz w:val="24"/>
          <w:szCs w:val="24"/>
          <w:lang w:val="el-GR"/>
        </w:rPr>
        <w:t xml:space="preserve"> </w:t>
      </w:r>
      <w:r w:rsidR="00F55B7B">
        <w:rPr>
          <w:rFonts w:cstheme="minorHAnsi"/>
          <w:sz w:val="24"/>
          <w:szCs w:val="24"/>
          <w:lang w:val="el-GR"/>
        </w:rPr>
        <w:t>υπόκεινται</w:t>
      </w:r>
      <w:r w:rsidR="00141766" w:rsidRPr="00F55B7B">
        <w:rPr>
          <w:rFonts w:cstheme="minorHAnsi"/>
          <w:sz w:val="24"/>
          <w:szCs w:val="24"/>
          <w:lang w:val="el-GR"/>
        </w:rPr>
        <w:t xml:space="preserve"> </w:t>
      </w:r>
      <w:r w:rsidR="00F55B7B">
        <w:rPr>
          <w:rFonts w:cstheme="minorHAnsi"/>
          <w:sz w:val="24"/>
          <w:szCs w:val="24"/>
          <w:lang w:val="el-GR"/>
        </w:rPr>
        <w:t>σε απαιτήσεις οικονομικών δηλώσεων</w:t>
      </w:r>
      <w:r w:rsidR="00141766" w:rsidRPr="00F55B7B">
        <w:rPr>
          <w:rFonts w:cstheme="minorHAnsi"/>
          <w:sz w:val="24"/>
          <w:szCs w:val="24"/>
          <w:lang w:val="el-GR"/>
        </w:rPr>
        <w:t>.</w:t>
      </w:r>
      <w:r w:rsidR="00B93299" w:rsidRPr="00F55B7B">
        <w:rPr>
          <w:rFonts w:cstheme="minorHAnsi"/>
          <w:sz w:val="24"/>
          <w:szCs w:val="24"/>
          <w:lang w:val="el-GR"/>
        </w:rPr>
        <w:t xml:space="preserve"> </w:t>
      </w:r>
      <w:r w:rsidR="00F55B7B">
        <w:rPr>
          <w:rFonts w:cstheme="minorHAnsi"/>
          <w:sz w:val="24"/>
          <w:szCs w:val="24"/>
          <w:lang w:val="el-GR"/>
        </w:rPr>
        <w:t>Η</w:t>
      </w:r>
      <w:r w:rsidR="00B93299" w:rsidRPr="00F55B7B">
        <w:rPr>
          <w:rFonts w:cstheme="minorHAnsi"/>
          <w:sz w:val="24"/>
          <w:szCs w:val="24"/>
          <w:lang w:val="el-GR"/>
        </w:rPr>
        <w:t xml:space="preserve"> </w:t>
      </w:r>
      <w:r w:rsidR="00B93299" w:rsidRPr="00664CCD">
        <w:rPr>
          <w:rFonts w:cstheme="minorHAnsi"/>
          <w:sz w:val="24"/>
          <w:szCs w:val="24"/>
        </w:rPr>
        <w:t>GET</w:t>
      </w:r>
      <w:r w:rsidR="00B93299" w:rsidRPr="00F55B7B">
        <w:rPr>
          <w:rFonts w:cstheme="minorHAnsi"/>
          <w:sz w:val="24"/>
          <w:szCs w:val="24"/>
          <w:lang w:val="el-GR"/>
        </w:rPr>
        <w:t xml:space="preserve"> </w:t>
      </w:r>
      <w:r w:rsidR="00F55B7B">
        <w:rPr>
          <w:rFonts w:cstheme="minorHAnsi"/>
          <w:sz w:val="24"/>
          <w:szCs w:val="24"/>
          <w:lang w:val="el-GR"/>
        </w:rPr>
        <w:t>σημειώνει</w:t>
      </w:r>
      <w:r w:rsidR="00F55B7B" w:rsidRPr="00F55B7B">
        <w:rPr>
          <w:rFonts w:cstheme="minorHAnsi"/>
          <w:sz w:val="24"/>
          <w:szCs w:val="24"/>
          <w:lang w:val="el-GR"/>
        </w:rPr>
        <w:t xml:space="preserve"> </w:t>
      </w:r>
      <w:r w:rsidR="00F55B7B">
        <w:rPr>
          <w:rFonts w:cstheme="minorHAnsi"/>
          <w:sz w:val="24"/>
          <w:szCs w:val="24"/>
          <w:lang w:val="el-GR"/>
        </w:rPr>
        <w:t>ότι</w:t>
      </w:r>
      <w:r w:rsidR="00B93299" w:rsidRPr="00F55B7B">
        <w:rPr>
          <w:rFonts w:cstheme="minorHAnsi"/>
          <w:sz w:val="24"/>
          <w:szCs w:val="24"/>
          <w:lang w:val="el-GR"/>
        </w:rPr>
        <w:t xml:space="preserve"> </w:t>
      </w:r>
      <w:r w:rsidR="00F55B7B">
        <w:rPr>
          <w:rFonts w:cstheme="minorHAnsi"/>
          <w:sz w:val="24"/>
          <w:szCs w:val="24"/>
          <w:lang w:val="el-GR"/>
        </w:rPr>
        <w:t>οι</w:t>
      </w:r>
      <w:r w:rsidR="00F55B7B" w:rsidRPr="00F55B7B">
        <w:rPr>
          <w:rFonts w:cstheme="minorHAnsi"/>
          <w:sz w:val="24"/>
          <w:szCs w:val="24"/>
          <w:lang w:val="el-GR"/>
        </w:rPr>
        <w:t xml:space="preserve"> </w:t>
      </w:r>
      <w:r w:rsidR="00F55B7B">
        <w:rPr>
          <w:rFonts w:cstheme="minorHAnsi"/>
          <w:sz w:val="24"/>
          <w:szCs w:val="24"/>
          <w:lang w:val="el-GR"/>
        </w:rPr>
        <w:t>απαιτήσεις</w:t>
      </w:r>
      <w:r w:rsidR="00F55B7B" w:rsidRPr="00F55B7B">
        <w:rPr>
          <w:rFonts w:cstheme="minorHAnsi"/>
          <w:sz w:val="24"/>
          <w:szCs w:val="24"/>
          <w:lang w:val="el-GR"/>
        </w:rPr>
        <w:t xml:space="preserve"> </w:t>
      </w:r>
      <w:r w:rsidR="00F55B7B">
        <w:rPr>
          <w:rFonts w:cstheme="minorHAnsi"/>
          <w:sz w:val="24"/>
          <w:szCs w:val="24"/>
          <w:lang w:val="el-GR"/>
        </w:rPr>
        <w:t>οικονομικής</w:t>
      </w:r>
      <w:r w:rsidR="00F55B7B" w:rsidRPr="00F55B7B">
        <w:rPr>
          <w:rFonts w:cstheme="minorHAnsi"/>
          <w:sz w:val="24"/>
          <w:szCs w:val="24"/>
          <w:lang w:val="el-GR"/>
        </w:rPr>
        <w:t xml:space="preserve"> </w:t>
      </w:r>
      <w:r w:rsidR="00F55B7B">
        <w:rPr>
          <w:rFonts w:cstheme="minorHAnsi"/>
          <w:sz w:val="24"/>
          <w:szCs w:val="24"/>
          <w:lang w:val="el-GR"/>
        </w:rPr>
        <w:t>αποκάλυψης</w:t>
      </w:r>
      <w:r w:rsidR="00B93299" w:rsidRPr="00F55B7B">
        <w:rPr>
          <w:rFonts w:cstheme="minorHAnsi"/>
          <w:sz w:val="24"/>
          <w:szCs w:val="24"/>
          <w:lang w:val="el-GR"/>
        </w:rPr>
        <w:t xml:space="preserve"> </w:t>
      </w:r>
      <w:r w:rsidR="00F55B7B">
        <w:rPr>
          <w:rFonts w:cstheme="minorHAnsi"/>
          <w:sz w:val="24"/>
          <w:szCs w:val="24"/>
          <w:lang w:val="el-GR"/>
        </w:rPr>
        <w:t>μπορούν</w:t>
      </w:r>
      <w:r w:rsidR="00F55B7B" w:rsidRPr="00F55B7B">
        <w:rPr>
          <w:rFonts w:cstheme="minorHAnsi"/>
          <w:sz w:val="24"/>
          <w:szCs w:val="24"/>
          <w:lang w:val="el-GR"/>
        </w:rPr>
        <w:t xml:space="preserve"> </w:t>
      </w:r>
      <w:r w:rsidR="00F55B7B">
        <w:rPr>
          <w:rFonts w:cstheme="minorHAnsi"/>
          <w:sz w:val="24"/>
          <w:szCs w:val="24"/>
          <w:lang w:val="el-GR"/>
        </w:rPr>
        <w:t>να</w:t>
      </w:r>
      <w:r w:rsidR="00F55B7B" w:rsidRPr="00F55B7B">
        <w:rPr>
          <w:rFonts w:cstheme="minorHAnsi"/>
          <w:sz w:val="24"/>
          <w:szCs w:val="24"/>
          <w:lang w:val="el-GR"/>
        </w:rPr>
        <w:t xml:space="preserve"> </w:t>
      </w:r>
      <w:r w:rsidR="00F55B7B">
        <w:rPr>
          <w:rFonts w:cstheme="minorHAnsi"/>
          <w:sz w:val="24"/>
          <w:szCs w:val="24"/>
          <w:lang w:val="el-GR"/>
        </w:rPr>
        <w:t>παίξουν</w:t>
      </w:r>
      <w:r w:rsidR="00F55B7B" w:rsidRPr="00F55B7B">
        <w:rPr>
          <w:rFonts w:cstheme="minorHAnsi"/>
          <w:sz w:val="24"/>
          <w:szCs w:val="24"/>
          <w:lang w:val="el-GR"/>
        </w:rPr>
        <w:t xml:space="preserve"> </w:t>
      </w:r>
      <w:r w:rsidR="00F55B7B">
        <w:rPr>
          <w:rFonts w:cstheme="minorHAnsi"/>
          <w:sz w:val="24"/>
          <w:szCs w:val="24"/>
          <w:lang w:val="el-GR"/>
        </w:rPr>
        <w:t>ένα</w:t>
      </w:r>
      <w:r w:rsidR="00F55B7B" w:rsidRPr="00F55B7B">
        <w:rPr>
          <w:rFonts w:cstheme="minorHAnsi"/>
          <w:sz w:val="24"/>
          <w:szCs w:val="24"/>
          <w:lang w:val="el-GR"/>
        </w:rPr>
        <w:t xml:space="preserve"> </w:t>
      </w:r>
      <w:r w:rsidR="00F55B7B">
        <w:rPr>
          <w:rFonts w:cstheme="minorHAnsi"/>
          <w:sz w:val="24"/>
          <w:szCs w:val="24"/>
          <w:lang w:val="el-GR"/>
        </w:rPr>
        <w:t>ρόλο</w:t>
      </w:r>
      <w:r w:rsidR="00F55B7B" w:rsidRPr="00F55B7B">
        <w:rPr>
          <w:rFonts w:cstheme="minorHAnsi"/>
          <w:sz w:val="24"/>
          <w:szCs w:val="24"/>
          <w:lang w:val="el-GR"/>
        </w:rPr>
        <w:t xml:space="preserve"> </w:t>
      </w:r>
      <w:r w:rsidR="00F55B7B">
        <w:rPr>
          <w:rFonts w:cstheme="minorHAnsi"/>
          <w:sz w:val="24"/>
          <w:szCs w:val="24"/>
          <w:lang w:val="el-GR"/>
        </w:rPr>
        <w:t>στην</w:t>
      </w:r>
      <w:r w:rsidR="00F55B7B" w:rsidRPr="00F55B7B">
        <w:rPr>
          <w:rFonts w:cstheme="minorHAnsi"/>
          <w:sz w:val="24"/>
          <w:szCs w:val="24"/>
          <w:lang w:val="el-GR"/>
        </w:rPr>
        <w:t xml:space="preserve"> </w:t>
      </w:r>
      <w:r w:rsidR="00F55B7B">
        <w:rPr>
          <w:rFonts w:cstheme="minorHAnsi"/>
          <w:sz w:val="24"/>
          <w:szCs w:val="24"/>
          <w:lang w:val="el-GR"/>
        </w:rPr>
        <w:t>πρόληψη</w:t>
      </w:r>
      <w:r w:rsidR="00B93299" w:rsidRPr="00F55B7B">
        <w:rPr>
          <w:rFonts w:cstheme="minorHAnsi"/>
          <w:sz w:val="24"/>
          <w:szCs w:val="24"/>
          <w:lang w:val="el-GR"/>
        </w:rPr>
        <w:t xml:space="preserve"> </w:t>
      </w:r>
      <w:r w:rsidR="00F55B7B">
        <w:rPr>
          <w:rFonts w:cstheme="minorHAnsi"/>
          <w:sz w:val="24"/>
          <w:szCs w:val="24"/>
          <w:lang w:val="el-GR"/>
        </w:rPr>
        <w:t>κινδύνων</w:t>
      </w:r>
      <w:r w:rsidR="00F55B7B" w:rsidRPr="00F55B7B">
        <w:rPr>
          <w:rFonts w:cstheme="minorHAnsi"/>
          <w:sz w:val="24"/>
          <w:szCs w:val="24"/>
          <w:lang w:val="el-GR"/>
        </w:rPr>
        <w:t xml:space="preserve"> </w:t>
      </w:r>
      <w:r w:rsidR="00F55B7B">
        <w:rPr>
          <w:rFonts w:cstheme="minorHAnsi"/>
          <w:sz w:val="24"/>
          <w:szCs w:val="24"/>
          <w:lang w:val="el-GR"/>
        </w:rPr>
        <w:t>διαφθοράς</w:t>
      </w:r>
      <w:r w:rsidR="00F55B7B" w:rsidRPr="00F55B7B">
        <w:rPr>
          <w:rFonts w:cstheme="minorHAnsi"/>
          <w:sz w:val="24"/>
          <w:szCs w:val="24"/>
          <w:lang w:val="el-GR"/>
        </w:rPr>
        <w:t xml:space="preserve"> </w:t>
      </w:r>
      <w:r w:rsidR="00F55B7B">
        <w:rPr>
          <w:rFonts w:cstheme="minorHAnsi"/>
          <w:sz w:val="24"/>
          <w:szCs w:val="24"/>
          <w:lang w:val="el-GR"/>
        </w:rPr>
        <w:t>στην</w:t>
      </w:r>
      <w:r w:rsidR="00F55B7B" w:rsidRPr="00F55B7B">
        <w:rPr>
          <w:rFonts w:cstheme="minorHAnsi"/>
          <w:sz w:val="24"/>
          <w:szCs w:val="24"/>
          <w:lang w:val="el-GR"/>
        </w:rPr>
        <w:t xml:space="preserve"> </w:t>
      </w:r>
      <w:r w:rsidR="009C4E34">
        <w:rPr>
          <w:rFonts w:cstheme="minorHAnsi"/>
          <w:sz w:val="24"/>
          <w:szCs w:val="24"/>
          <w:lang w:val="el-GR"/>
        </w:rPr>
        <w:t>Αστυνομία</w:t>
      </w:r>
      <w:r w:rsidR="00B93299" w:rsidRPr="00F55B7B">
        <w:rPr>
          <w:rFonts w:cstheme="minorHAnsi"/>
          <w:sz w:val="24"/>
          <w:szCs w:val="24"/>
          <w:lang w:val="el-GR"/>
        </w:rPr>
        <w:t xml:space="preserve">, </w:t>
      </w:r>
      <w:r w:rsidR="00F55B7B">
        <w:rPr>
          <w:rFonts w:cstheme="minorHAnsi"/>
          <w:sz w:val="24"/>
          <w:szCs w:val="24"/>
          <w:lang w:val="el-GR"/>
        </w:rPr>
        <w:t>για παράδειγμα</w:t>
      </w:r>
      <w:r w:rsidR="00B93299" w:rsidRPr="00F55B7B">
        <w:rPr>
          <w:rFonts w:cstheme="minorHAnsi"/>
          <w:sz w:val="24"/>
          <w:szCs w:val="24"/>
          <w:lang w:val="el-GR"/>
        </w:rPr>
        <w:t xml:space="preserve"> </w:t>
      </w:r>
      <w:r w:rsidR="00F55B7B">
        <w:rPr>
          <w:rFonts w:cstheme="minorHAnsi"/>
          <w:sz w:val="24"/>
          <w:szCs w:val="24"/>
          <w:lang w:val="el-GR"/>
        </w:rPr>
        <w:t>για άλλες ανώτερες θέσεις</w:t>
      </w:r>
      <w:r w:rsidR="00B93299" w:rsidRPr="00F55B7B">
        <w:rPr>
          <w:rFonts w:cstheme="minorHAnsi"/>
          <w:sz w:val="24"/>
          <w:szCs w:val="24"/>
          <w:lang w:val="el-GR"/>
        </w:rPr>
        <w:t xml:space="preserve"> </w:t>
      </w:r>
      <w:r w:rsidR="00F55B7B">
        <w:rPr>
          <w:rFonts w:cstheme="minorHAnsi"/>
          <w:sz w:val="24"/>
          <w:szCs w:val="24"/>
          <w:lang w:val="el-GR"/>
        </w:rPr>
        <w:t>ή άτομα που εμπλέκονται</w:t>
      </w:r>
      <w:r w:rsidR="00F55B7B" w:rsidRPr="00F55B7B">
        <w:rPr>
          <w:rFonts w:cstheme="minorHAnsi"/>
          <w:sz w:val="24"/>
          <w:szCs w:val="24"/>
          <w:lang w:val="el-GR"/>
        </w:rPr>
        <w:t xml:space="preserve"> </w:t>
      </w:r>
      <w:r w:rsidR="00F55B7B">
        <w:rPr>
          <w:rFonts w:cstheme="minorHAnsi"/>
          <w:sz w:val="24"/>
          <w:szCs w:val="24"/>
          <w:lang w:val="el-GR"/>
        </w:rPr>
        <w:t>σε δημόσιες συμβάσεις</w:t>
      </w:r>
      <w:r w:rsidR="00B93299" w:rsidRPr="00F55B7B">
        <w:rPr>
          <w:rFonts w:cstheme="minorHAnsi"/>
          <w:sz w:val="24"/>
          <w:szCs w:val="24"/>
          <w:lang w:val="el-GR"/>
        </w:rPr>
        <w:t xml:space="preserve">, </w:t>
      </w:r>
      <w:r w:rsidR="00F55B7B">
        <w:rPr>
          <w:rFonts w:cstheme="minorHAnsi"/>
          <w:sz w:val="24"/>
          <w:szCs w:val="24"/>
          <w:lang w:val="el-GR"/>
        </w:rPr>
        <w:t>όπου μπορεί να υπάρχει μεγαλύτερος κίνδυνος διαφθοράς</w:t>
      </w:r>
      <w:r w:rsidR="00B93299" w:rsidRPr="00F55B7B">
        <w:rPr>
          <w:rFonts w:cstheme="minorHAnsi"/>
          <w:sz w:val="24"/>
          <w:szCs w:val="24"/>
          <w:lang w:val="el-GR"/>
        </w:rPr>
        <w:t xml:space="preserve">. </w:t>
      </w:r>
      <w:r w:rsidR="00F55B7B">
        <w:rPr>
          <w:rFonts w:cstheme="minorHAnsi"/>
          <w:sz w:val="24"/>
          <w:szCs w:val="24"/>
          <w:lang w:val="el-GR"/>
        </w:rPr>
        <w:t>Θα</w:t>
      </w:r>
      <w:r w:rsidR="00F55B7B" w:rsidRPr="00F55B7B">
        <w:rPr>
          <w:rFonts w:cstheme="minorHAnsi"/>
          <w:sz w:val="24"/>
          <w:szCs w:val="24"/>
          <w:lang w:val="el-GR"/>
        </w:rPr>
        <w:t xml:space="preserve"> </w:t>
      </w:r>
      <w:r w:rsidR="00F55B7B">
        <w:rPr>
          <w:rFonts w:cstheme="minorHAnsi"/>
          <w:sz w:val="24"/>
          <w:szCs w:val="24"/>
          <w:lang w:val="el-GR"/>
        </w:rPr>
        <w:t>θεωρείτο</w:t>
      </w:r>
      <w:r w:rsidR="00F55B7B" w:rsidRPr="00F55B7B">
        <w:rPr>
          <w:rFonts w:cstheme="minorHAnsi"/>
          <w:sz w:val="24"/>
          <w:szCs w:val="24"/>
          <w:lang w:val="el-GR"/>
        </w:rPr>
        <w:t xml:space="preserve"> </w:t>
      </w:r>
      <w:r w:rsidR="00F55B7B">
        <w:rPr>
          <w:rFonts w:cstheme="minorHAnsi"/>
          <w:sz w:val="24"/>
          <w:szCs w:val="24"/>
          <w:lang w:val="el-GR"/>
        </w:rPr>
        <w:t>κατάλληλο</w:t>
      </w:r>
      <w:r w:rsidR="00F55B7B" w:rsidRPr="00F55B7B">
        <w:rPr>
          <w:rFonts w:cstheme="minorHAnsi"/>
          <w:sz w:val="24"/>
          <w:szCs w:val="24"/>
          <w:lang w:val="el-GR"/>
        </w:rPr>
        <w:t xml:space="preserve"> </w:t>
      </w:r>
      <w:r w:rsidR="00F55B7B">
        <w:rPr>
          <w:rFonts w:cstheme="minorHAnsi"/>
          <w:sz w:val="24"/>
          <w:szCs w:val="24"/>
          <w:lang w:val="el-GR"/>
        </w:rPr>
        <w:t>τουλάχιστον</w:t>
      </w:r>
      <w:r w:rsidR="00F55B7B" w:rsidRPr="00F55B7B">
        <w:rPr>
          <w:rFonts w:cstheme="minorHAnsi"/>
          <w:sz w:val="24"/>
          <w:szCs w:val="24"/>
          <w:lang w:val="el-GR"/>
        </w:rPr>
        <w:t xml:space="preserve"> </w:t>
      </w:r>
      <w:r w:rsidR="00F55B7B">
        <w:rPr>
          <w:rFonts w:cstheme="minorHAnsi"/>
          <w:sz w:val="24"/>
          <w:szCs w:val="24"/>
          <w:lang w:val="el-GR"/>
        </w:rPr>
        <w:t>η</w:t>
      </w:r>
      <w:r w:rsidR="00F55B7B" w:rsidRPr="00F55B7B">
        <w:rPr>
          <w:rFonts w:cstheme="minorHAnsi"/>
          <w:sz w:val="24"/>
          <w:szCs w:val="24"/>
          <w:lang w:val="el-GR"/>
        </w:rPr>
        <w:t xml:space="preserve"> </w:t>
      </w:r>
      <w:r w:rsidR="00F55B7B">
        <w:rPr>
          <w:rFonts w:cstheme="minorHAnsi"/>
          <w:sz w:val="24"/>
          <w:szCs w:val="24"/>
          <w:lang w:val="el-GR"/>
        </w:rPr>
        <w:t>εισαγωγή</w:t>
      </w:r>
      <w:r w:rsidR="00F55B7B" w:rsidRPr="00F55B7B">
        <w:rPr>
          <w:rFonts w:cstheme="minorHAnsi"/>
          <w:sz w:val="24"/>
          <w:szCs w:val="24"/>
          <w:lang w:val="el-GR"/>
        </w:rPr>
        <w:t xml:space="preserve"> </w:t>
      </w:r>
      <w:r w:rsidR="00F55B7B">
        <w:rPr>
          <w:rFonts w:cstheme="minorHAnsi"/>
          <w:sz w:val="24"/>
          <w:szCs w:val="24"/>
          <w:lang w:val="el-GR"/>
        </w:rPr>
        <w:t>τέτοιων</w:t>
      </w:r>
      <w:r w:rsidR="00F55B7B" w:rsidRPr="00F55B7B">
        <w:rPr>
          <w:rFonts w:cstheme="minorHAnsi"/>
          <w:sz w:val="24"/>
          <w:szCs w:val="24"/>
          <w:lang w:val="el-GR"/>
        </w:rPr>
        <w:t xml:space="preserve"> </w:t>
      </w:r>
      <w:r w:rsidR="00F55B7B">
        <w:rPr>
          <w:rFonts w:cstheme="minorHAnsi"/>
          <w:sz w:val="24"/>
          <w:szCs w:val="24"/>
          <w:lang w:val="el-GR"/>
        </w:rPr>
        <w:t>δηλώσεων</w:t>
      </w:r>
      <w:r w:rsidR="00F55B7B" w:rsidRPr="00F55B7B">
        <w:rPr>
          <w:rFonts w:cstheme="minorHAnsi"/>
          <w:sz w:val="24"/>
          <w:szCs w:val="24"/>
          <w:lang w:val="el-GR"/>
        </w:rPr>
        <w:t xml:space="preserve"> </w:t>
      </w:r>
      <w:r w:rsidR="00F55B7B">
        <w:rPr>
          <w:rFonts w:cstheme="minorHAnsi"/>
          <w:sz w:val="24"/>
          <w:szCs w:val="24"/>
          <w:lang w:val="el-GR"/>
        </w:rPr>
        <w:t>σε</w:t>
      </w:r>
      <w:r w:rsidR="00F55B7B" w:rsidRPr="00F55B7B">
        <w:rPr>
          <w:rFonts w:cstheme="minorHAnsi"/>
          <w:sz w:val="24"/>
          <w:szCs w:val="24"/>
          <w:lang w:val="el-GR"/>
        </w:rPr>
        <w:t xml:space="preserve"> </w:t>
      </w:r>
      <w:r w:rsidR="00F55B7B">
        <w:rPr>
          <w:rFonts w:cstheme="minorHAnsi"/>
          <w:sz w:val="24"/>
          <w:szCs w:val="24"/>
          <w:lang w:val="el-GR"/>
        </w:rPr>
        <w:t>σχέση</w:t>
      </w:r>
      <w:r w:rsidR="00F55B7B" w:rsidRPr="00F55B7B">
        <w:rPr>
          <w:rFonts w:cstheme="minorHAnsi"/>
          <w:sz w:val="24"/>
          <w:szCs w:val="24"/>
          <w:lang w:val="el-GR"/>
        </w:rPr>
        <w:t xml:space="preserve"> </w:t>
      </w:r>
      <w:r w:rsidR="00F55B7B">
        <w:rPr>
          <w:rFonts w:cstheme="minorHAnsi"/>
          <w:sz w:val="24"/>
          <w:szCs w:val="24"/>
          <w:lang w:val="el-GR"/>
        </w:rPr>
        <w:t>με</w:t>
      </w:r>
      <w:r w:rsidR="00F55B7B" w:rsidRPr="00F55B7B">
        <w:rPr>
          <w:rFonts w:cstheme="minorHAnsi"/>
          <w:sz w:val="24"/>
          <w:szCs w:val="24"/>
          <w:lang w:val="el-GR"/>
        </w:rPr>
        <w:t xml:space="preserve"> </w:t>
      </w:r>
      <w:r w:rsidR="00F55B7B">
        <w:rPr>
          <w:rFonts w:cstheme="minorHAnsi"/>
          <w:sz w:val="24"/>
          <w:szCs w:val="24"/>
          <w:lang w:val="el-GR"/>
        </w:rPr>
        <w:t>θέσεις</w:t>
      </w:r>
      <w:r w:rsidR="00F55B7B" w:rsidRPr="00F55B7B">
        <w:rPr>
          <w:rFonts w:cstheme="minorHAnsi"/>
          <w:sz w:val="24"/>
          <w:szCs w:val="24"/>
          <w:lang w:val="el-GR"/>
        </w:rPr>
        <w:t xml:space="preserve"> </w:t>
      </w:r>
      <w:r w:rsidR="00F55B7B">
        <w:rPr>
          <w:rFonts w:cstheme="minorHAnsi"/>
          <w:sz w:val="24"/>
          <w:szCs w:val="24"/>
          <w:lang w:val="el-GR"/>
        </w:rPr>
        <w:t>που</w:t>
      </w:r>
      <w:r w:rsidR="00F55B7B" w:rsidRPr="00F55B7B">
        <w:rPr>
          <w:rFonts w:cstheme="minorHAnsi"/>
          <w:sz w:val="24"/>
          <w:szCs w:val="24"/>
          <w:lang w:val="el-GR"/>
        </w:rPr>
        <w:t xml:space="preserve"> </w:t>
      </w:r>
      <w:r w:rsidR="00F55B7B">
        <w:rPr>
          <w:rFonts w:cstheme="minorHAnsi"/>
          <w:sz w:val="24"/>
          <w:szCs w:val="24"/>
          <w:lang w:val="el-GR"/>
        </w:rPr>
        <w:t>είναι ευάλωτες</w:t>
      </w:r>
      <w:r w:rsidR="00B93299" w:rsidRPr="00F55B7B">
        <w:rPr>
          <w:rFonts w:cstheme="minorHAnsi"/>
          <w:sz w:val="24"/>
          <w:szCs w:val="24"/>
          <w:lang w:val="el-GR"/>
        </w:rPr>
        <w:t xml:space="preserve"> </w:t>
      </w:r>
      <w:r w:rsidR="00F55B7B">
        <w:rPr>
          <w:rFonts w:cstheme="minorHAnsi"/>
          <w:sz w:val="24"/>
          <w:szCs w:val="24"/>
          <w:lang w:val="el-GR"/>
        </w:rPr>
        <w:t>σ</w:t>
      </w:r>
      <w:r w:rsidR="0027553E">
        <w:rPr>
          <w:rFonts w:cstheme="minorHAnsi"/>
          <w:sz w:val="24"/>
          <w:szCs w:val="24"/>
          <w:lang w:val="el-GR"/>
        </w:rPr>
        <w:t>την</w:t>
      </w:r>
      <w:r w:rsidR="00F55B7B">
        <w:rPr>
          <w:rFonts w:cstheme="minorHAnsi"/>
          <w:sz w:val="24"/>
          <w:szCs w:val="24"/>
          <w:lang w:val="el-GR"/>
        </w:rPr>
        <w:t xml:space="preserve"> σύγκρουση συμφερόντων</w:t>
      </w:r>
      <w:r w:rsidR="00B93299" w:rsidRPr="00F55B7B">
        <w:rPr>
          <w:rFonts w:cstheme="minorHAnsi"/>
          <w:sz w:val="24"/>
          <w:szCs w:val="24"/>
          <w:lang w:val="el-GR"/>
        </w:rPr>
        <w:t xml:space="preserve"> </w:t>
      </w:r>
      <w:r w:rsidR="00F55B7B">
        <w:rPr>
          <w:rFonts w:cstheme="minorHAnsi"/>
          <w:sz w:val="24"/>
          <w:szCs w:val="24"/>
          <w:lang w:val="el-GR"/>
        </w:rPr>
        <w:t>και την διαφθορά</w:t>
      </w:r>
      <w:r w:rsidR="00B93299" w:rsidRPr="00F55B7B">
        <w:rPr>
          <w:rFonts w:cstheme="minorHAnsi"/>
          <w:sz w:val="24"/>
          <w:szCs w:val="24"/>
          <w:lang w:val="el-GR"/>
        </w:rPr>
        <w:t>.</w:t>
      </w:r>
      <w:r w:rsidR="00690440" w:rsidRPr="00F55B7B">
        <w:rPr>
          <w:rFonts w:cstheme="minorHAnsi"/>
          <w:sz w:val="24"/>
          <w:szCs w:val="24"/>
          <w:lang w:val="el-GR"/>
        </w:rPr>
        <w:t xml:space="preserve"> </w:t>
      </w:r>
      <w:r w:rsidR="00F55B7B">
        <w:rPr>
          <w:rFonts w:cstheme="minorHAnsi"/>
          <w:sz w:val="24"/>
          <w:szCs w:val="24"/>
          <w:lang w:val="el-GR"/>
        </w:rPr>
        <w:t>Η</w:t>
      </w:r>
      <w:r w:rsidR="00F55B7B" w:rsidRPr="00F55B7B">
        <w:rPr>
          <w:rFonts w:cstheme="minorHAnsi"/>
          <w:sz w:val="24"/>
          <w:szCs w:val="24"/>
          <w:lang w:val="el-GR"/>
        </w:rPr>
        <w:t xml:space="preserve"> </w:t>
      </w:r>
      <w:r w:rsidR="00F55B7B">
        <w:rPr>
          <w:rFonts w:cstheme="minorHAnsi"/>
          <w:sz w:val="24"/>
          <w:szCs w:val="24"/>
          <w:lang w:val="el-GR"/>
        </w:rPr>
        <w:t>εισαγωγή</w:t>
      </w:r>
      <w:r w:rsidR="00F55B7B" w:rsidRPr="00F55B7B">
        <w:rPr>
          <w:rFonts w:cstheme="minorHAnsi"/>
          <w:sz w:val="24"/>
          <w:szCs w:val="24"/>
          <w:lang w:val="el-GR"/>
        </w:rPr>
        <w:t xml:space="preserve"> </w:t>
      </w:r>
      <w:r w:rsidR="00F55B7B">
        <w:rPr>
          <w:rFonts w:cstheme="minorHAnsi"/>
          <w:sz w:val="24"/>
          <w:szCs w:val="24"/>
          <w:lang w:val="el-GR"/>
        </w:rPr>
        <w:t>της</w:t>
      </w:r>
      <w:r w:rsidR="00F55B7B" w:rsidRPr="00F55B7B">
        <w:rPr>
          <w:rFonts w:cstheme="minorHAnsi"/>
          <w:sz w:val="24"/>
          <w:szCs w:val="24"/>
          <w:lang w:val="el-GR"/>
        </w:rPr>
        <w:t xml:space="preserve"> </w:t>
      </w:r>
      <w:r w:rsidR="00F55B7B">
        <w:rPr>
          <w:rFonts w:cstheme="minorHAnsi"/>
          <w:sz w:val="24"/>
          <w:szCs w:val="24"/>
          <w:lang w:val="el-GR"/>
        </w:rPr>
        <w:t>οικονομικής</w:t>
      </w:r>
      <w:r w:rsidR="00F55B7B" w:rsidRPr="00F55B7B">
        <w:rPr>
          <w:rFonts w:cstheme="minorHAnsi"/>
          <w:sz w:val="24"/>
          <w:szCs w:val="24"/>
          <w:lang w:val="el-GR"/>
        </w:rPr>
        <w:t xml:space="preserve"> </w:t>
      </w:r>
      <w:r w:rsidR="00F55B7B">
        <w:rPr>
          <w:rFonts w:cstheme="minorHAnsi"/>
          <w:sz w:val="24"/>
          <w:szCs w:val="24"/>
          <w:lang w:val="el-GR"/>
        </w:rPr>
        <w:t>αποκάλυψης</w:t>
      </w:r>
      <w:r w:rsidR="00F55B7B" w:rsidRPr="00F55B7B">
        <w:rPr>
          <w:rFonts w:cstheme="minorHAnsi"/>
          <w:sz w:val="24"/>
          <w:szCs w:val="24"/>
          <w:lang w:val="el-GR"/>
        </w:rPr>
        <w:t xml:space="preserve"> </w:t>
      </w:r>
      <w:r w:rsidR="00F55B7B">
        <w:rPr>
          <w:rFonts w:cstheme="minorHAnsi"/>
          <w:sz w:val="24"/>
          <w:szCs w:val="24"/>
          <w:lang w:val="el-GR"/>
        </w:rPr>
        <w:t>για</w:t>
      </w:r>
      <w:r w:rsidR="00F55B7B" w:rsidRPr="00F55B7B">
        <w:rPr>
          <w:rFonts w:cstheme="minorHAnsi"/>
          <w:sz w:val="24"/>
          <w:szCs w:val="24"/>
          <w:lang w:val="el-GR"/>
        </w:rPr>
        <w:t xml:space="preserve"> </w:t>
      </w:r>
      <w:r w:rsidR="00F55B7B">
        <w:rPr>
          <w:rFonts w:cstheme="minorHAnsi"/>
          <w:sz w:val="24"/>
          <w:szCs w:val="24"/>
          <w:lang w:val="el-GR"/>
        </w:rPr>
        <w:t>ορισμένους</w:t>
      </w:r>
      <w:r w:rsidR="00F55B7B" w:rsidRPr="00F55B7B">
        <w:rPr>
          <w:rFonts w:cstheme="minorHAnsi"/>
          <w:sz w:val="24"/>
          <w:szCs w:val="24"/>
          <w:lang w:val="el-GR"/>
        </w:rPr>
        <w:t xml:space="preserve"> </w:t>
      </w:r>
      <w:r w:rsidR="00F55B7B">
        <w:rPr>
          <w:rFonts w:cstheme="minorHAnsi"/>
          <w:sz w:val="24"/>
          <w:szCs w:val="24"/>
          <w:lang w:val="el-GR"/>
        </w:rPr>
        <w:t>αξιωματούχους</w:t>
      </w:r>
      <w:r w:rsidR="00534B4E" w:rsidRPr="00F55B7B">
        <w:rPr>
          <w:rFonts w:cstheme="minorHAnsi"/>
          <w:sz w:val="24"/>
          <w:szCs w:val="24"/>
          <w:lang w:val="el-GR"/>
        </w:rPr>
        <w:t xml:space="preserve"> </w:t>
      </w:r>
      <w:r w:rsidR="00F55B7B">
        <w:rPr>
          <w:rFonts w:cstheme="minorHAnsi"/>
          <w:sz w:val="24"/>
          <w:szCs w:val="24"/>
          <w:lang w:val="el-GR"/>
        </w:rPr>
        <w:t>θα</w:t>
      </w:r>
      <w:r w:rsidR="00F55B7B" w:rsidRPr="00F55B7B">
        <w:rPr>
          <w:rFonts w:cstheme="minorHAnsi"/>
          <w:sz w:val="24"/>
          <w:szCs w:val="24"/>
          <w:lang w:val="el-GR"/>
        </w:rPr>
        <w:t xml:space="preserve"> </w:t>
      </w:r>
      <w:r w:rsidR="00F55B7B">
        <w:rPr>
          <w:rFonts w:cstheme="minorHAnsi"/>
          <w:sz w:val="24"/>
          <w:szCs w:val="24"/>
          <w:lang w:val="el-GR"/>
        </w:rPr>
        <w:t>μπορούσε</w:t>
      </w:r>
      <w:r w:rsidR="00F55B7B" w:rsidRPr="00F55B7B">
        <w:rPr>
          <w:rFonts w:cstheme="minorHAnsi"/>
          <w:sz w:val="24"/>
          <w:szCs w:val="24"/>
          <w:lang w:val="el-GR"/>
        </w:rPr>
        <w:t xml:space="preserve"> </w:t>
      </w:r>
      <w:r w:rsidR="00F55B7B">
        <w:rPr>
          <w:rFonts w:cstheme="minorHAnsi"/>
          <w:sz w:val="24"/>
          <w:szCs w:val="24"/>
          <w:lang w:val="el-GR"/>
        </w:rPr>
        <w:t>περαιτέρω</w:t>
      </w:r>
      <w:r w:rsidR="00F55B7B" w:rsidRPr="00F55B7B">
        <w:rPr>
          <w:rFonts w:cstheme="minorHAnsi"/>
          <w:sz w:val="24"/>
          <w:szCs w:val="24"/>
          <w:lang w:val="el-GR"/>
        </w:rPr>
        <w:t xml:space="preserve"> </w:t>
      </w:r>
      <w:r w:rsidR="00F55B7B">
        <w:rPr>
          <w:rFonts w:cstheme="minorHAnsi"/>
          <w:sz w:val="24"/>
          <w:szCs w:val="24"/>
          <w:lang w:val="el-GR"/>
        </w:rPr>
        <w:t>να</w:t>
      </w:r>
      <w:r w:rsidR="00F55B7B" w:rsidRPr="00F55B7B">
        <w:rPr>
          <w:rFonts w:cstheme="minorHAnsi"/>
          <w:sz w:val="24"/>
          <w:szCs w:val="24"/>
          <w:lang w:val="el-GR"/>
        </w:rPr>
        <w:t xml:space="preserve"> </w:t>
      </w:r>
      <w:r w:rsidR="00F55B7B">
        <w:rPr>
          <w:rFonts w:cstheme="minorHAnsi"/>
          <w:sz w:val="24"/>
          <w:szCs w:val="24"/>
          <w:lang w:val="el-GR"/>
        </w:rPr>
        <w:t>αποδειχθεί</w:t>
      </w:r>
      <w:r w:rsidR="00F55B7B" w:rsidRPr="00F55B7B">
        <w:rPr>
          <w:rFonts w:cstheme="minorHAnsi"/>
          <w:sz w:val="24"/>
          <w:szCs w:val="24"/>
          <w:lang w:val="el-GR"/>
        </w:rPr>
        <w:t xml:space="preserve"> </w:t>
      </w:r>
      <w:r w:rsidR="00F55B7B">
        <w:rPr>
          <w:rFonts w:cstheme="minorHAnsi"/>
          <w:sz w:val="24"/>
          <w:szCs w:val="24"/>
          <w:lang w:val="el-GR"/>
        </w:rPr>
        <w:t>καθοριστικής</w:t>
      </w:r>
      <w:r w:rsidR="00F55B7B" w:rsidRPr="00F55B7B">
        <w:rPr>
          <w:rFonts w:cstheme="minorHAnsi"/>
          <w:sz w:val="24"/>
          <w:szCs w:val="24"/>
          <w:lang w:val="el-GR"/>
        </w:rPr>
        <w:t xml:space="preserve"> </w:t>
      </w:r>
      <w:r w:rsidR="00F55B7B">
        <w:rPr>
          <w:rFonts w:cstheme="minorHAnsi"/>
          <w:sz w:val="24"/>
          <w:szCs w:val="24"/>
          <w:lang w:val="el-GR"/>
        </w:rPr>
        <w:t>σημασίας</w:t>
      </w:r>
      <w:r w:rsidR="00F55B7B" w:rsidRPr="00F55B7B">
        <w:rPr>
          <w:rFonts w:cstheme="minorHAnsi"/>
          <w:sz w:val="24"/>
          <w:szCs w:val="24"/>
          <w:lang w:val="el-GR"/>
        </w:rPr>
        <w:t xml:space="preserve"> </w:t>
      </w:r>
      <w:r w:rsidR="00F55B7B">
        <w:rPr>
          <w:rFonts w:cstheme="minorHAnsi"/>
          <w:sz w:val="24"/>
          <w:szCs w:val="24"/>
          <w:lang w:val="el-GR"/>
        </w:rPr>
        <w:t>όταν υλοποιείται η σύσταση</w:t>
      </w:r>
      <w:r w:rsidR="00690440" w:rsidRPr="00F55B7B">
        <w:rPr>
          <w:rFonts w:cstheme="minorHAnsi"/>
          <w:sz w:val="24"/>
          <w:szCs w:val="24"/>
          <w:lang w:val="el-GR"/>
        </w:rPr>
        <w:t xml:space="preserve"> </w:t>
      </w:r>
      <w:r w:rsidR="005502B3">
        <w:rPr>
          <w:rFonts w:cstheme="minorHAnsi"/>
          <w:sz w:val="24"/>
          <w:szCs w:val="24"/>
          <w:lang w:val="el-GR"/>
        </w:rPr>
        <w:t>για την ανάπτυξη μιας εξειδικευμένης πολιτικής</w:t>
      </w:r>
      <w:r w:rsidR="00534B4E" w:rsidRPr="00F55B7B">
        <w:rPr>
          <w:rFonts w:cstheme="minorHAnsi"/>
          <w:sz w:val="24"/>
          <w:szCs w:val="24"/>
          <w:lang w:val="el-GR"/>
        </w:rPr>
        <w:t xml:space="preserve"> </w:t>
      </w:r>
      <w:r w:rsidR="005502B3">
        <w:rPr>
          <w:rFonts w:cstheme="minorHAnsi"/>
          <w:sz w:val="24"/>
          <w:szCs w:val="24"/>
          <w:lang w:val="el-GR"/>
        </w:rPr>
        <w:t xml:space="preserve">για την </w:t>
      </w:r>
      <w:r w:rsidR="009C4E34">
        <w:rPr>
          <w:rFonts w:cstheme="minorHAnsi"/>
          <w:sz w:val="24"/>
          <w:szCs w:val="24"/>
          <w:lang w:val="el-GR"/>
        </w:rPr>
        <w:t>Αστυνομία</w:t>
      </w:r>
      <w:r w:rsidR="005502B3">
        <w:rPr>
          <w:rFonts w:cstheme="minorHAnsi"/>
          <w:sz w:val="24"/>
          <w:szCs w:val="24"/>
          <w:lang w:val="el-GR"/>
        </w:rPr>
        <w:t>, για την πρόληψη της διαφθοράς</w:t>
      </w:r>
      <w:r w:rsidR="00534B4E" w:rsidRPr="00F55B7B">
        <w:rPr>
          <w:rFonts w:cstheme="minorHAnsi"/>
          <w:sz w:val="24"/>
          <w:szCs w:val="24"/>
          <w:lang w:val="el-GR"/>
        </w:rPr>
        <w:t xml:space="preserve"> </w:t>
      </w:r>
      <w:r w:rsidR="005502B3">
        <w:rPr>
          <w:rFonts w:cstheme="minorHAnsi"/>
          <w:sz w:val="24"/>
          <w:szCs w:val="24"/>
          <w:lang w:val="el-GR"/>
        </w:rPr>
        <w:t>και την ακεραιότητα</w:t>
      </w:r>
      <w:r w:rsidR="00534B4E" w:rsidRPr="00F55B7B">
        <w:rPr>
          <w:rFonts w:cstheme="minorHAnsi"/>
          <w:sz w:val="24"/>
          <w:szCs w:val="24"/>
          <w:lang w:val="el-GR"/>
        </w:rPr>
        <w:t xml:space="preserve"> </w:t>
      </w:r>
      <w:r w:rsidR="00690440" w:rsidRPr="00F55B7B">
        <w:rPr>
          <w:rFonts w:cstheme="minorHAnsi"/>
          <w:sz w:val="24"/>
          <w:szCs w:val="24"/>
          <w:lang w:val="el-GR"/>
        </w:rPr>
        <w:t>(</w:t>
      </w:r>
      <w:r w:rsidR="005502B3">
        <w:rPr>
          <w:rFonts w:cstheme="minorHAnsi"/>
          <w:sz w:val="24"/>
          <w:szCs w:val="24"/>
          <w:lang w:val="el-GR"/>
        </w:rPr>
        <w:t>παράγραφος</w:t>
      </w:r>
      <w:r w:rsidR="00690440" w:rsidRPr="00F55B7B">
        <w:rPr>
          <w:rFonts w:cstheme="minorHAnsi"/>
          <w:sz w:val="24"/>
          <w:szCs w:val="24"/>
          <w:lang w:val="el-GR"/>
        </w:rPr>
        <w:t xml:space="preserve"> </w:t>
      </w:r>
      <w:r w:rsidR="00BB61F5" w:rsidRPr="00F55B7B">
        <w:rPr>
          <w:rFonts w:cstheme="minorHAnsi"/>
          <w:sz w:val="24"/>
          <w:szCs w:val="24"/>
          <w:lang w:val="el-GR"/>
        </w:rPr>
        <w:t>17</w:t>
      </w:r>
      <w:r w:rsidR="00FB0AA3" w:rsidRPr="00F55B7B">
        <w:rPr>
          <w:rFonts w:cstheme="minorHAnsi"/>
          <w:sz w:val="24"/>
          <w:szCs w:val="24"/>
          <w:lang w:val="el-GR"/>
        </w:rPr>
        <w:t>4</w:t>
      </w:r>
      <w:r w:rsidR="00690440" w:rsidRPr="00F55B7B">
        <w:rPr>
          <w:rFonts w:cstheme="minorHAnsi"/>
          <w:sz w:val="24"/>
          <w:szCs w:val="24"/>
          <w:lang w:val="el-GR"/>
        </w:rPr>
        <w:t xml:space="preserve">) </w:t>
      </w:r>
      <w:r w:rsidR="005502B3">
        <w:rPr>
          <w:rFonts w:cstheme="minorHAnsi"/>
          <w:sz w:val="24"/>
          <w:szCs w:val="24"/>
          <w:lang w:val="el-GR"/>
        </w:rPr>
        <w:t>και για την αξιολόγηση</w:t>
      </w:r>
      <w:r w:rsidR="00690440" w:rsidRPr="00F55B7B">
        <w:rPr>
          <w:rFonts w:cstheme="minorHAnsi"/>
          <w:sz w:val="24"/>
          <w:szCs w:val="24"/>
          <w:lang w:val="el-GR"/>
        </w:rPr>
        <w:t xml:space="preserve"> (</w:t>
      </w:r>
      <w:r w:rsidR="005502B3">
        <w:rPr>
          <w:rFonts w:cstheme="minorHAnsi"/>
          <w:sz w:val="24"/>
          <w:szCs w:val="24"/>
          <w:lang w:val="el-GR"/>
        </w:rPr>
        <w:t>παράγραφος</w:t>
      </w:r>
      <w:r w:rsidR="00690440" w:rsidRPr="00F55B7B">
        <w:rPr>
          <w:rFonts w:cstheme="minorHAnsi"/>
          <w:sz w:val="24"/>
          <w:szCs w:val="24"/>
          <w:lang w:val="el-GR"/>
        </w:rPr>
        <w:t xml:space="preserve"> </w:t>
      </w:r>
      <w:r w:rsidR="00BB61F5" w:rsidRPr="00F55B7B">
        <w:rPr>
          <w:rFonts w:cstheme="minorHAnsi"/>
          <w:sz w:val="24"/>
          <w:szCs w:val="24"/>
          <w:lang w:val="el-GR"/>
        </w:rPr>
        <w:t>19</w:t>
      </w:r>
      <w:r w:rsidR="00FB0AA3" w:rsidRPr="00F55B7B">
        <w:rPr>
          <w:rFonts w:cstheme="minorHAnsi"/>
          <w:sz w:val="24"/>
          <w:szCs w:val="24"/>
          <w:lang w:val="el-GR"/>
        </w:rPr>
        <w:t>9</w:t>
      </w:r>
      <w:r w:rsidR="00690440" w:rsidRPr="00F55B7B">
        <w:rPr>
          <w:rFonts w:cstheme="minorHAnsi"/>
          <w:sz w:val="24"/>
          <w:szCs w:val="24"/>
          <w:lang w:val="el-GR"/>
        </w:rPr>
        <w:t xml:space="preserve">). </w:t>
      </w:r>
      <w:r w:rsidR="005502B3" w:rsidRPr="005502B3">
        <w:rPr>
          <w:rFonts w:cstheme="minorHAnsi"/>
          <w:b/>
          <w:sz w:val="24"/>
          <w:szCs w:val="24"/>
          <w:lang w:val="el-GR"/>
        </w:rPr>
        <w:t xml:space="preserve">Η </w:t>
      </w:r>
      <w:r w:rsidR="00220066" w:rsidRPr="004E251E">
        <w:rPr>
          <w:rFonts w:cstheme="minorHAnsi"/>
          <w:b/>
          <w:bCs/>
          <w:sz w:val="24"/>
          <w:szCs w:val="24"/>
        </w:rPr>
        <w:t>GRECO</w:t>
      </w:r>
      <w:r w:rsidR="00220066" w:rsidRPr="005502B3">
        <w:rPr>
          <w:rFonts w:cstheme="minorHAnsi"/>
          <w:b/>
          <w:bCs/>
          <w:sz w:val="24"/>
          <w:szCs w:val="24"/>
          <w:lang w:val="el-GR"/>
        </w:rPr>
        <w:t xml:space="preserve"> </w:t>
      </w:r>
      <w:r w:rsidR="005502B3">
        <w:rPr>
          <w:rFonts w:cstheme="minorHAnsi"/>
          <w:b/>
          <w:bCs/>
          <w:sz w:val="24"/>
          <w:szCs w:val="24"/>
          <w:lang w:val="el-GR"/>
        </w:rPr>
        <w:t>συνιστά</w:t>
      </w:r>
      <w:r w:rsidR="005502B3" w:rsidRPr="005502B3">
        <w:rPr>
          <w:rFonts w:cstheme="minorHAnsi"/>
          <w:b/>
          <w:bCs/>
          <w:sz w:val="24"/>
          <w:szCs w:val="24"/>
          <w:lang w:val="el-GR"/>
        </w:rPr>
        <w:t xml:space="preserve"> </w:t>
      </w:r>
      <w:r w:rsidR="00162C83">
        <w:rPr>
          <w:rFonts w:cstheme="minorHAnsi"/>
          <w:b/>
          <w:bCs/>
          <w:sz w:val="24"/>
          <w:szCs w:val="24"/>
          <w:lang w:val="el-GR"/>
        </w:rPr>
        <w:t xml:space="preserve">την ενίσχυση </w:t>
      </w:r>
      <w:r w:rsidR="00162C83" w:rsidRPr="002A23F7">
        <w:rPr>
          <w:rFonts w:cstheme="minorHAnsi"/>
          <w:b/>
          <w:bCs/>
          <w:sz w:val="24"/>
          <w:szCs w:val="24"/>
          <w:lang w:val="el-GR"/>
        </w:rPr>
        <w:t xml:space="preserve">του </w:t>
      </w:r>
      <w:r w:rsidR="00162C83">
        <w:rPr>
          <w:rFonts w:cstheme="minorHAnsi"/>
          <w:b/>
          <w:bCs/>
          <w:sz w:val="24"/>
          <w:szCs w:val="24"/>
          <w:lang w:val="el-GR"/>
        </w:rPr>
        <w:t>παρόντος</w:t>
      </w:r>
      <w:r w:rsidR="00162C83" w:rsidRPr="002A23F7">
        <w:rPr>
          <w:rFonts w:cstheme="minorHAnsi"/>
          <w:b/>
          <w:bCs/>
          <w:sz w:val="24"/>
          <w:szCs w:val="24"/>
          <w:lang w:val="el-GR"/>
        </w:rPr>
        <w:t xml:space="preserve"> καθεστώτος</w:t>
      </w:r>
      <w:r w:rsidR="00162C83">
        <w:rPr>
          <w:rFonts w:cstheme="minorHAnsi"/>
          <w:b/>
          <w:bCs/>
          <w:sz w:val="24"/>
          <w:szCs w:val="24"/>
          <w:lang w:val="el-GR"/>
        </w:rPr>
        <w:t xml:space="preserve"> αναφορικά με τις δηλώσεις </w:t>
      </w:r>
      <w:r w:rsidR="00162C83" w:rsidRPr="002A23F7">
        <w:rPr>
          <w:rFonts w:cstheme="minorHAnsi"/>
          <w:b/>
          <w:bCs/>
          <w:sz w:val="24"/>
          <w:szCs w:val="24"/>
          <w:lang w:val="el-GR"/>
        </w:rPr>
        <w:t xml:space="preserve">οικονομικών συμφερόντων εντός της </w:t>
      </w:r>
      <w:r w:rsidR="00162C83">
        <w:rPr>
          <w:rFonts w:cstheme="minorHAnsi"/>
          <w:b/>
          <w:bCs/>
          <w:sz w:val="24"/>
          <w:szCs w:val="24"/>
          <w:lang w:val="el-GR"/>
        </w:rPr>
        <w:t>Α</w:t>
      </w:r>
      <w:r w:rsidR="00162C83" w:rsidRPr="002A23F7">
        <w:rPr>
          <w:rFonts w:cstheme="minorHAnsi"/>
          <w:b/>
          <w:bCs/>
          <w:sz w:val="24"/>
          <w:szCs w:val="24"/>
          <w:lang w:val="el-GR"/>
        </w:rPr>
        <w:t xml:space="preserve">στυνομίας με την καθιέρωση υποχρέωσης </w:t>
      </w:r>
      <w:r w:rsidR="00162C83">
        <w:rPr>
          <w:rFonts w:cstheme="minorHAnsi"/>
          <w:b/>
          <w:bCs/>
          <w:sz w:val="24"/>
          <w:szCs w:val="24"/>
          <w:lang w:val="el-GR"/>
        </w:rPr>
        <w:t>των</w:t>
      </w:r>
      <w:r w:rsidR="00162C83" w:rsidRPr="002A23F7">
        <w:rPr>
          <w:rFonts w:cstheme="minorHAnsi"/>
          <w:b/>
          <w:bCs/>
          <w:sz w:val="24"/>
          <w:szCs w:val="24"/>
          <w:lang w:val="el-GR"/>
        </w:rPr>
        <w:t xml:space="preserve"> υψηλόβαθμ</w:t>
      </w:r>
      <w:r w:rsidR="00162C83">
        <w:rPr>
          <w:rFonts w:cstheme="minorHAnsi"/>
          <w:b/>
          <w:bCs/>
          <w:sz w:val="24"/>
          <w:szCs w:val="24"/>
          <w:lang w:val="el-GR"/>
        </w:rPr>
        <w:t>ων</w:t>
      </w:r>
      <w:r w:rsidR="00162C83" w:rsidRPr="002A23F7">
        <w:rPr>
          <w:rFonts w:cstheme="minorHAnsi"/>
          <w:b/>
          <w:bCs/>
          <w:sz w:val="24"/>
          <w:szCs w:val="24"/>
          <w:lang w:val="el-GR"/>
        </w:rPr>
        <w:t xml:space="preserve"> αξιωματικ</w:t>
      </w:r>
      <w:r w:rsidR="00162C83">
        <w:rPr>
          <w:rFonts w:cstheme="minorHAnsi"/>
          <w:b/>
          <w:bCs/>
          <w:sz w:val="24"/>
          <w:szCs w:val="24"/>
          <w:lang w:val="el-GR"/>
        </w:rPr>
        <w:t>ών</w:t>
      </w:r>
      <w:r w:rsidR="00162C83" w:rsidRPr="002A23F7">
        <w:rPr>
          <w:rFonts w:cstheme="minorHAnsi"/>
          <w:b/>
          <w:bCs/>
          <w:sz w:val="24"/>
          <w:szCs w:val="24"/>
          <w:lang w:val="el-GR"/>
        </w:rPr>
        <w:t xml:space="preserve"> και </w:t>
      </w:r>
      <w:r w:rsidR="00162C83">
        <w:rPr>
          <w:rFonts w:cstheme="minorHAnsi"/>
          <w:b/>
          <w:bCs/>
          <w:sz w:val="24"/>
          <w:szCs w:val="24"/>
          <w:lang w:val="el-GR"/>
        </w:rPr>
        <w:t>όσων υπηρετούν σε επι</w:t>
      </w:r>
      <w:r w:rsidR="00162C83" w:rsidRPr="002A23F7">
        <w:rPr>
          <w:rFonts w:cstheme="minorHAnsi"/>
          <w:b/>
          <w:bCs/>
          <w:sz w:val="24"/>
          <w:szCs w:val="24"/>
          <w:lang w:val="el-GR"/>
        </w:rPr>
        <w:t>κίνδυν</w:t>
      </w:r>
      <w:r w:rsidR="00162C83">
        <w:rPr>
          <w:rFonts w:cstheme="minorHAnsi"/>
          <w:b/>
          <w:bCs/>
          <w:sz w:val="24"/>
          <w:szCs w:val="24"/>
          <w:lang w:val="el-GR"/>
        </w:rPr>
        <w:t>ες θέσεις</w:t>
      </w:r>
      <w:r w:rsidR="00162C83" w:rsidRPr="002A23F7">
        <w:rPr>
          <w:rFonts w:cstheme="minorHAnsi"/>
          <w:b/>
          <w:bCs/>
          <w:sz w:val="24"/>
          <w:szCs w:val="24"/>
          <w:lang w:val="el-GR"/>
        </w:rPr>
        <w:t xml:space="preserve">, να δηλώνουν τα οικονομικά </w:t>
      </w:r>
      <w:r w:rsidR="00162C83">
        <w:rPr>
          <w:rFonts w:cstheme="minorHAnsi"/>
          <w:b/>
          <w:bCs/>
          <w:sz w:val="24"/>
          <w:szCs w:val="24"/>
          <w:lang w:val="el-GR"/>
        </w:rPr>
        <w:t xml:space="preserve">τους </w:t>
      </w:r>
      <w:r w:rsidR="00162C83" w:rsidRPr="002A23F7">
        <w:rPr>
          <w:rFonts w:cstheme="minorHAnsi"/>
          <w:b/>
          <w:bCs/>
          <w:sz w:val="24"/>
          <w:szCs w:val="24"/>
          <w:lang w:val="el-GR"/>
        </w:rPr>
        <w:t xml:space="preserve">συμφέροντα σύμφωνα με </w:t>
      </w:r>
      <w:r w:rsidR="00162C83">
        <w:rPr>
          <w:rFonts w:cstheme="minorHAnsi"/>
          <w:b/>
          <w:bCs/>
          <w:sz w:val="24"/>
          <w:szCs w:val="24"/>
          <w:lang w:val="el-GR"/>
        </w:rPr>
        <w:t xml:space="preserve">μια </w:t>
      </w:r>
      <w:r w:rsidR="00162C83" w:rsidRPr="002A23F7">
        <w:rPr>
          <w:rFonts w:cstheme="minorHAnsi"/>
          <w:b/>
          <w:bCs/>
          <w:sz w:val="24"/>
          <w:szCs w:val="24"/>
          <w:lang w:val="el-GR"/>
        </w:rPr>
        <w:t xml:space="preserve">προκαθορισμένη μορφή, </w:t>
      </w:r>
      <w:r w:rsidR="00162C83">
        <w:rPr>
          <w:rFonts w:cstheme="minorHAnsi"/>
          <w:b/>
          <w:bCs/>
          <w:sz w:val="24"/>
          <w:szCs w:val="24"/>
          <w:lang w:val="el-GR"/>
        </w:rPr>
        <w:t xml:space="preserve">τόσο </w:t>
      </w:r>
      <w:r w:rsidR="00162C83" w:rsidRPr="002A23F7">
        <w:rPr>
          <w:rFonts w:cstheme="minorHAnsi"/>
          <w:b/>
          <w:bCs/>
          <w:sz w:val="24"/>
          <w:szCs w:val="24"/>
          <w:lang w:val="el-GR"/>
        </w:rPr>
        <w:t xml:space="preserve">κατά την ανάληψη των καθηκόντων τους </w:t>
      </w:r>
      <w:r w:rsidR="00162C83">
        <w:rPr>
          <w:rFonts w:cstheme="minorHAnsi"/>
          <w:b/>
          <w:bCs/>
          <w:sz w:val="24"/>
          <w:szCs w:val="24"/>
          <w:lang w:val="el-GR"/>
        </w:rPr>
        <w:t xml:space="preserve">όσο </w:t>
      </w:r>
      <w:r w:rsidR="00162C83" w:rsidRPr="002A23F7">
        <w:rPr>
          <w:rFonts w:cstheme="minorHAnsi"/>
          <w:b/>
          <w:bCs/>
          <w:sz w:val="24"/>
          <w:szCs w:val="24"/>
          <w:lang w:val="el-GR"/>
        </w:rPr>
        <w:t>και σε τακτά χρονικά διαστήματα καθ' όλη τη διάρκεια της υπηρεσία τους; και (</w:t>
      </w:r>
      <w:proofErr w:type="spellStart"/>
      <w:r w:rsidR="00162C83" w:rsidRPr="002A23F7">
        <w:rPr>
          <w:rFonts w:cstheme="minorHAnsi"/>
          <w:b/>
          <w:bCs/>
          <w:sz w:val="24"/>
          <w:szCs w:val="24"/>
          <w:lang w:val="el-GR"/>
        </w:rPr>
        <w:t>ii</w:t>
      </w:r>
      <w:proofErr w:type="spellEnd"/>
      <w:r w:rsidR="00162C83" w:rsidRPr="002A23F7">
        <w:rPr>
          <w:rFonts w:cstheme="minorHAnsi"/>
          <w:b/>
          <w:bCs/>
          <w:sz w:val="24"/>
          <w:szCs w:val="24"/>
          <w:lang w:val="el-GR"/>
        </w:rPr>
        <w:t>) να π</w:t>
      </w:r>
      <w:r w:rsidR="00162C83">
        <w:rPr>
          <w:rFonts w:cstheme="minorHAnsi"/>
          <w:b/>
          <w:bCs/>
          <w:sz w:val="24"/>
          <w:szCs w:val="24"/>
          <w:lang w:val="el-GR"/>
        </w:rPr>
        <w:t xml:space="preserve">αρέχουν </w:t>
      </w:r>
      <w:r w:rsidR="00162C83" w:rsidRPr="002A23F7">
        <w:rPr>
          <w:rFonts w:cstheme="minorHAnsi"/>
          <w:b/>
          <w:bCs/>
          <w:sz w:val="24"/>
          <w:szCs w:val="24"/>
          <w:lang w:val="el-GR"/>
        </w:rPr>
        <w:t>την κατάλληλη εποπτεία που περιλαμβάνει την επαλήθευση</w:t>
      </w:r>
      <w:r w:rsidR="00162C83">
        <w:rPr>
          <w:rFonts w:cstheme="minorHAnsi"/>
          <w:b/>
          <w:bCs/>
          <w:sz w:val="24"/>
          <w:szCs w:val="24"/>
          <w:lang w:val="el-GR"/>
        </w:rPr>
        <w:t xml:space="preserve"> της ακεραιότητας</w:t>
      </w:r>
      <w:r w:rsidR="00162C83" w:rsidRPr="002A23F7">
        <w:rPr>
          <w:rFonts w:cstheme="minorHAnsi"/>
          <w:b/>
          <w:bCs/>
          <w:sz w:val="24"/>
          <w:szCs w:val="24"/>
          <w:lang w:val="el-GR"/>
        </w:rPr>
        <w:t xml:space="preserve"> των δηλώσεων και την αξιολόγηση</w:t>
      </w:r>
      <w:r w:rsidR="00162C83">
        <w:rPr>
          <w:rFonts w:cstheme="minorHAnsi"/>
          <w:b/>
          <w:bCs/>
          <w:sz w:val="24"/>
          <w:szCs w:val="24"/>
          <w:lang w:val="el-GR"/>
        </w:rPr>
        <w:t xml:space="preserve"> των κινδύνων</w:t>
      </w:r>
      <w:r w:rsidR="00220066" w:rsidRPr="005502B3">
        <w:rPr>
          <w:rFonts w:cstheme="minorHAnsi"/>
          <w:b/>
          <w:bCs/>
          <w:sz w:val="24"/>
          <w:szCs w:val="24"/>
          <w:lang w:val="el-GR"/>
        </w:rPr>
        <w:t xml:space="preserve">.  </w:t>
      </w:r>
    </w:p>
    <w:p w14:paraId="537B0692" w14:textId="77777777" w:rsidR="00220066" w:rsidRPr="005502B3" w:rsidRDefault="00220066" w:rsidP="00220066">
      <w:pPr>
        <w:keepNext/>
        <w:tabs>
          <w:tab w:val="left" w:pos="709"/>
        </w:tabs>
        <w:rPr>
          <w:rFonts w:cstheme="minorHAnsi"/>
          <w:sz w:val="24"/>
          <w:szCs w:val="24"/>
          <w:lang w:val="el-GR"/>
        </w:rPr>
      </w:pPr>
    </w:p>
    <w:p w14:paraId="31B7E32F" w14:textId="1515BF83" w:rsidR="00220066" w:rsidRPr="00AA6C09" w:rsidRDefault="00AA6C09" w:rsidP="00220066">
      <w:pPr>
        <w:pStyle w:val="Heading2"/>
        <w:tabs>
          <w:tab w:val="left" w:pos="709"/>
        </w:tabs>
        <w:spacing w:before="0"/>
        <w:rPr>
          <w:rFonts w:asciiTheme="minorHAnsi" w:hAnsiTheme="minorHAnsi" w:cstheme="minorHAnsi"/>
          <w:b w:val="0"/>
          <w:bCs w:val="0"/>
          <w:color w:val="auto"/>
          <w:sz w:val="24"/>
          <w:szCs w:val="24"/>
          <w:u w:val="single"/>
          <w:lang w:val="el-GR"/>
        </w:rPr>
      </w:pPr>
      <w:bookmarkStart w:id="232" w:name="_Toc117445181"/>
      <w:bookmarkStart w:id="233" w:name="_Toc136879385"/>
      <w:r>
        <w:rPr>
          <w:rFonts w:asciiTheme="minorHAnsi" w:hAnsiTheme="minorHAnsi" w:cstheme="minorHAnsi"/>
          <w:b w:val="0"/>
          <w:bCs w:val="0"/>
          <w:color w:val="auto"/>
          <w:sz w:val="24"/>
          <w:szCs w:val="24"/>
          <w:u w:val="single"/>
          <w:lang w:val="el-GR"/>
        </w:rPr>
        <w:t>Εσωτερική Επίβλεψη</w:t>
      </w:r>
      <w:bookmarkEnd w:id="232"/>
      <w:bookmarkEnd w:id="233"/>
    </w:p>
    <w:p w14:paraId="76935B3C" w14:textId="77777777" w:rsidR="00220066" w:rsidRPr="00AA6C09" w:rsidRDefault="00220066" w:rsidP="00220066">
      <w:pPr>
        <w:keepNext/>
        <w:rPr>
          <w:rFonts w:cstheme="minorHAnsi"/>
          <w:sz w:val="24"/>
          <w:szCs w:val="24"/>
          <w:lang w:val="el-GR"/>
        </w:rPr>
      </w:pPr>
    </w:p>
    <w:p w14:paraId="0E2012D9" w14:textId="272EC110" w:rsidR="00220066" w:rsidRPr="00AA6C09" w:rsidRDefault="00AA6C09" w:rsidP="00220066">
      <w:pPr>
        <w:keepNext/>
        <w:rPr>
          <w:rFonts w:cstheme="minorHAnsi"/>
          <w:i/>
          <w:iCs/>
          <w:sz w:val="24"/>
          <w:szCs w:val="24"/>
          <w:lang w:val="el-GR"/>
        </w:rPr>
      </w:pPr>
      <w:r>
        <w:rPr>
          <w:rFonts w:eastAsia="Times New Roman" w:cstheme="minorHAnsi"/>
          <w:i/>
          <w:iCs/>
          <w:sz w:val="24"/>
          <w:szCs w:val="24"/>
          <w:lang w:val="el-GR" w:eastAsia="fr-FR"/>
        </w:rPr>
        <w:t>Υπηρεσία</w:t>
      </w:r>
      <w:r w:rsidRPr="00AA6C09">
        <w:rPr>
          <w:rFonts w:eastAsia="Times New Roman" w:cstheme="minorHAnsi"/>
          <w:i/>
          <w:iCs/>
          <w:sz w:val="24"/>
          <w:szCs w:val="24"/>
          <w:lang w:val="el-GR" w:eastAsia="fr-FR"/>
        </w:rPr>
        <w:t xml:space="preserve"> </w:t>
      </w:r>
      <w:r>
        <w:rPr>
          <w:rFonts w:eastAsia="Times New Roman" w:cstheme="minorHAnsi"/>
          <w:i/>
          <w:iCs/>
          <w:sz w:val="24"/>
          <w:szCs w:val="24"/>
          <w:lang w:val="el-GR" w:eastAsia="fr-FR"/>
        </w:rPr>
        <w:t>Εσωτερικών</w:t>
      </w:r>
      <w:r w:rsidRPr="00AA6C09">
        <w:rPr>
          <w:rFonts w:eastAsia="Times New Roman" w:cstheme="minorHAnsi"/>
          <w:i/>
          <w:iCs/>
          <w:sz w:val="24"/>
          <w:szCs w:val="24"/>
          <w:lang w:val="el-GR" w:eastAsia="fr-FR"/>
        </w:rPr>
        <w:t xml:space="preserve"> </w:t>
      </w:r>
      <w:r w:rsidR="002E5EC0">
        <w:rPr>
          <w:rFonts w:eastAsia="Times New Roman" w:cstheme="minorHAnsi"/>
          <w:i/>
          <w:iCs/>
          <w:sz w:val="24"/>
          <w:szCs w:val="24"/>
          <w:lang w:val="el-GR" w:eastAsia="fr-FR"/>
        </w:rPr>
        <w:t>Υποθέσεων</w:t>
      </w:r>
      <w:r w:rsidRPr="00AA6C09">
        <w:rPr>
          <w:rFonts w:eastAsia="Times New Roman" w:cstheme="minorHAnsi"/>
          <w:i/>
          <w:iCs/>
          <w:sz w:val="24"/>
          <w:szCs w:val="24"/>
          <w:lang w:val="el-GR" w:eastAsia="fr-FR"/>
        </w:rPr>
        <w:t xml:space="preserve"> </w:t>
      </w:r>
      <w:r>
        <w:rPr>
          <w:rFonts w:eastAsia="Times New Roman" w:cstheme="minorHAnsi"/>
          <w:i/>
          <w:iCs/>
          <w:sz w:val="24"/>
          <w:szCs w:val="24"/>
          <w:lang w:val="el-GR" w:eastAsia="fr-FR"/>
        </w:rPr>
        <w:t>της</w:t>
      </w:r>
      <w:r w:rsidRPr="00AA6C09">
        <w:rPr>
          <w:rFonts w:eastAsia="Times New Roman" w:cstheme="minorHAnsi"/>
          <w:i/>
          <w:iCs/>
          <w:sz w:val="24"/>
          <w:szCs w:val="24"/>
          <w:lang w:val="el-GR" w:eastAsia="fr-FR"/>
        </w:rPr>
        <w:t xml:space="preserve"> </w:t>
      </w:r>
      <w:r w:rsidR="009C4E34">
        <w:rPr>
          <w:rFonts w:eastAsia="Times New Roman" w:cstheme="minorHAnsi"/>
          <w:i/>
          <w:iCs/>
          <w:sz w:val="24"/>
          <w:szCs w:val="24"/>
          <w:lang w:val="el-GR" w:eastAsia="fr-FR"/>
        </w:rPr>
        <w:t>Αστυνομία</w:t>
      </w:r>
      <w:r>
        <w:rPr>
          <w:rFonts w:eastAsia="Times New Roman" w:cstheme="minorHAnsi"/>
          <w:i/>
          <w:iCs/>
          <w:sz w:val="24"/>
          <w:szCs w:val="24"/>
          <w:lang w:val="el-GR" w:eastAsia="fr-FR"/>
        </w:rPr>
        <w:t>ς</w:t>
      </w:r>
      <w:r w:rsidR="00220066" w:rsidRPr="00AA6C09">
        <w:rPr>
          <w:rFonts w:eastAsia="Times New Roman" w:cstheme="minorHAnsi"/>
          <w:i/>
          <w:iCs/>
          <w:sz w:val="24"/>
          <w:szCs w:val="24"/>
          <w:lang w:val="el-GR" w:eastAsia="fr-FR"/>
        </w:rPr>
        <w:t xml:space="preserve"> (</w:t>
      </w:r>
      <w:r w:rsidR="00220066" w:rsidRPr="00441951">
        <w:rPr>
          <w:rFonts w:cstheme="minorHAnsi"/>
          <w:i/>
          <w:iCs/>
          <w:sz w:val="24"/>
          <w:szCs w:val="24"/>
        </w:rPr>
        <w:t>P</w:t>
      </w:r>
      <w:r w:rsidR="00220066" w:rsidRPr="00AA6C09">
        <w:rPr>
          <w:rFonts w:cstheme="minorHAnsi"/>
          <w:i/>
          <w:iCs/>
          <w:sz w:val="24"/>
          <w:szCs w:val="24"/>
          <w:lang w:val="el-GR"/>
        </w:rPr>
        <w:t>.</w:t>
      </w:r>
      <w:r w:rsidR="00220066" w:rsidRPr="00441951">
        <w:rPr>
          <w:rFonts w:cstheme="minorHAnsi"/>
          <w:i/>
          <w:iCs/>
          <w:sz w:val="24"/>
          <w:szCs w:val="24"/>
        </w:rPr>
        <w:t>I</w:t>
      </w:r>
      <w:r w:rsidR="00220066" w:rsidRPr="00AA6C09">
        <w:rPr>
          <w:rFonts w:cstheme="minorHAnsi"/>
          <w:i/>
          <w:iCs/>
          <w:sz w:val="24"/>
          <w:szCs w:val="24"/>
          <w:lang w:val="el-GR"/>
        </w:rPr>
        <w:t>.</w:t>
      </w:r>
      <w:r w:rsidR="00220066" w:rsidRPr="00441951">
        <w:rPr>
          <w:rFonts w:cstheme="minorHAnsi"/>
          <w:i/>
          <w:iCs/>
          <w:sz w:val="24"/>
          <w:szCs w:val="24"/>
        </w:rPr>
        <w:t>A</w:t>
      </w:r>
      <w:r w:rsidR="00220066" w:rsidRPr="00AA6C09">
        <w:rPr>
          <w:rFonts w:cstheme="minorHAnsi"/>
          <w:i/>
          <w:iCs/>
          <w:sz w:val="24"/>
          <w:szCs w:val="24"/>
          <w:lang w:val="el-GR"/>
        </w:rPr>
        <w:t>.</w:t>
      </w:r>
      <w:r w:rsidR="00220066" w:rsidRPr="00441951">
        <w:rPr>
          <w:rFonts w:cstheme="minorHAnsi"/>
          <w:i/>
          <w:iCs/>
          <w:sz w:val="24"/>
          <w:szCs w:val="24"/>
        </w:rPr>
        <w:t>S</w:t>
      </w:r>
      <w:r w:rsidR="00220066" w:rsidRPr="00AA6C09">
        <w:rPr>
          <w:rFonts w:cstheme="minorHAnsi"/>
          <w:i/>
          <w:iCs/>
          <w:sz w:val="24"/>
          <w:szCs w:val="24"/>
          <w:lang w:val="el-GR"/>
        </w:rPr>
        <w:t>.)</w:t>
      </w:r>
    </w:p>
    <w:p w14:paraId="7F7FC0A8" w14:textId="77777777" w:rsidR="00220066" w:rsidRPr="00AA6C09" w:rsidRDefault="00220066" w:rsidP="00220066">
      <w:pPr>
        <w:keepNext/>
        <w:rPr>
          <w:rFonts w:cstheme="minorHAnsi"/>
          <w:sz w:val="24"/>
          <w:szCs w:val="24"/>
          <w:lang w:val="el-GR"/>
        </w:rPr>
      </w:pPr>
    </w:p>
    <w:p w14:paraId="630EE537" w14:textId="4AE8072B" w:rsidR="00220066" w:rsidRPr="00AA6C09" w:rsidRDefault="00AA6C09"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Για</w:t>
      </w:r>
      <w:r w:rsidRPr="00AA6C09">
        <w:rPr>
          <w:rFonts w:cstheme="minorHAnsi"/>
          <w:sz w:val="24"/>
          <w:szCs w:val="24"/>
          <w:lang w:val="el-GR"/>
        </w:rPr>
        <w:t xml:space="preserve"> </w:t>
      </w:r>
      <w:r>
        <w:rPr>
          <w:rFonts w:cstheme="minorHAnsi"/>
          <w:sz w:val="24"/>
          <w:szCs w:val="24"/>
          <w:lang w:val="el-GR"/>
        </w:rPr>
        <w:t>την</w:t>
      </w:r>
      <w:r w:rsidRPr="00AA6C09">
        <w:rPr>
          <w:rFonts w:cstheme="minorHAnsi"/>
          <w:sz w:val="24"/>
          <w:szCs w:val="24"/>
          <w:lang w:val="el-GR"/>
        </w:rPr>
        <w:t xml:space="preserve"> </w:t>
      </w:r>
      <w:r>
        <w:rPr>
          <w:rFonts w:cstheme="minorHAnsi"/>
          <w:sz w:val="24"/>
          <w:szCs w:val="24"/>
          <w:lang w:val="el-GR"/>
        </w:rPr>
        <w:t>καταπολέμηση</w:t>
      </w:r>
      <w:r w:rsidRPr="00AA6C09">
        <w:rPr>
          <w:rFonts w:cstheme="minorHAnsi"/>
          <w:sz w:val="24"/>
          <w:szCs w:val="24"/>
          <w:lang w:val="el-GR"/>
        </w:rPr>
        <w:t xml:space="preserve"> </w:t>
      </w:r>
      <w:r>
        <w:rPr>
          <w:rFonts w:cstheme="minorHAnsi"/>
          <w:sz w:val="24"/>
          <w:szCs w:val="24"/>
          <w:lang w:val="el-GR"/>
        </w:rPr>
        <w:t>και</w:t>
      </w:r>
      <w:r w:rsidRPr="00AA6C09">
        <w:rPr>
          <w:rFonts w:cstheme="minorHAnsi"/>
          <w:sz w:val="24"/>
          <w:szCs w:val="24"/>
          <w:lang w:val="el-GR"/>
        </w:rPr>
        <w:t xml:space="preserve"> </w:t>
      </w:r>
      <w:r>
        <w:rPr>
          <w:rFonts w:cstheme="minorHAnsi"/>
          <w:sz w:val="24"/>
          <w:szCs w:val="24"/>
          <w:lang w:val="el-GR"/>
        </w:rPr>
        <w:t>την</w:t>
      </w:r>
      <w:r w:rsidRPr="00AA6C09">
        <w:rPr>
          <w:rFonts w:cstheme="minorHAnsi"/>
          <w:sz w:val="24"/>
          <w:szCs w:val="24"/>
          <w:lang w:val="el-GR"/>
        </w:rPr>
        <w:t xml:space="preserve"> </w:t>
      </w:r>
      <w:r>
        <w:rPr>
          <w:rFonts w:cstheme="minorHAnsi"/>
          <w:sz w:val="24"/>
          <w:szCs w:val="24"/>
          <w:lang w:val="el-GR"/>
        </w:rPr>
        <w:t>πρόληψη</w:t>
      </w:r>
      <w:r w:rsidRPr="00AA6C09">
        <w:rPr>
          <w:rFonts w:cstheme="minorHAnsi"/>
          <w:sz w:val="24"/>
          <w:szCs w:val="24"/>
          <w:lang w:val="el-GR"/>
        </w:rPr>
        <w:t xml:space="preserve"> </w:t>
      </w:r>
      <w:r>
        <w:rPr>
          <w:rFonts w:cstheme="minorHAnsi"/>
          <w:sz w:val="24"/>
          <w:szCs w:val="24"/>
          <w:lang w:val="el-GR"/>
        </w:rPr>
        <w:t>της</w:t>
      </w:r>
      <w:r w:rsidRPr="00AA6C09">
        <w:rPr>
          <w:rFonts w:cstheme="minorHAnsi"/>
          <w:sz w:val="24"/>
          <w:szCs w:val="24"/>
          <w:lang w:val="el-GR"/>
        </w:rPr>
        <w:t xml:space="preserve"> </w:t>
      </w:r>
      <w:r>
        <w:rPr>
          <w:rFonts w:cstheme="minorHAnsi"/>
          <w:sz w:val="24"/>
          <w:szCs w:val="24"/>
          <w:lang w:val="el-GR"/>
        </w:rPr>
        <w:t>διαφθοράς</w:t>
      </w:r>
      <w:r w:rsidRPr="00AA6C09">
        <w:rPr>
          <w:rFonts w:cstheme="minorHAnsi"/>
          <w:sz w:val="24"/>
          <w:szCs w:val="24"/>
          <w:lang w:val="el-GR"/>
        </w:rPr>
        <w:t xml:space="preserve"> </w:t>
      </w:r>
      <w:r>
        <w:rPr>
          <w:rFonts w:cstheme="minorHAnsi"/>
          <w:sz w:val="24"/>
          <w:szCs w:val="24"/>
          <w:lang w:val="el-GR"/>
        </w:rPr>
        <w:t>στην</w:t>
      </w:r>
      <w:r w:rsidRPr="00AA6C09">
        <w:rPr>
          <w:rFonts w:cstheme="minorHAnsi"/>
          <w:sz w:val="24"/>
          <w:szCs w:val="24"/>
          <w:lang w:val="el-GR"/>
        </w:rPr>
        <w:t xml:space="preserve"> </w:t>
      </w:r>
      <w:r w:rsidR="009C4E34">
        <w:rPr>
          <w:rFonts w:cstheme="minorHAnsi"/>
          <w:sz w:val="24"/>
          <w:szCs w:val="24"/>
          <w:lang w:val="el-GR"/>
        </w:rPr>
        <w:t>Αστυνομία</w:t>
      </w:r>
      <w:r w:rsidR="00220066" w:rsidRPr="00AA6C09">
        <w:rPr>
          <w:rFonts w:eastAsia="Times New Roman" w:cstheme="minorHAnsi"/>
          <w:sz w:val="24"/>
          <w:szCs w:val="24"/>
          <w:lang w:val="el-GR" w:eastAsia="fr-FR"/>
        </w:rPr>
        <w:t xml:space="preserve">, </w:t>
      </w:r>
      <w:r>
        <w:rPr>
          <w:rFonts w:eastAsia="Times New Roman" w:cstheme="minorHAnsi"/>
          <w:sz w:val="24"/>
          <w:szCs w:val="24"/>
          <w:lang w:val="el-GR" w:eastAsia="fr-FR"/>
        </w:rPr>
        <w:t xml:space="preserve">μια αυτόνομη Υπηρεσία Εσωτερικών Υποθέσεων της </w:t>
      </w:r>
      <w:r w:rsidR="009C4E34">
        <w:rPr>
          <w:rFonts w:eastAsia="Times New Roman" w:cstheme="minorHAnsi"/>
          <w:sz w:val="24"/>
          <w:szCs w:val="24"/>
          <w:lang w:val="el-GR" w:eastAsia="fr-FR"/>
        </w:rPr>
        <w:t>Αστυνομία</w:t>
      </w:r>
      <w:r>
        <w:rPr>
          <w:rFonts w:eastAsia="Times New Roman" w:cstheme="minorHAnsi"/>
          <w:sz w:val="24"/>
          <w:szCs w:val="24"/>
          <w:lang w:val="el-GR" w:eastAsia="fr-FR"/>
        </w:rPr>
        <w:t>ς</w:t>
      </w:r>
      <w:r w:rsidR="00220066" w:rsidRPr="00AA6C09">
        <w:rPr>
          <w:rFonts w:eastAsia="Times New Roman" w:cstheme="minorHAnsi"/>
          <w:sz w:val="24"/>
          <w:szCs w:val="24"/>
          <w:lang w:val="el-GR" w:eastAsia="fr-FR"/>
        </w:rPr>
        <w:t xml:space="preserve"> (</w:t>
      </w:r>
      <w:r w:rsidR="00220066" w:rsidRPr="004E251E">
        <w:rPr>
          <w:rFonts w:cstheme="minorHAnsi"/>
          <w:sz w:val="24"/>
          <w:szCs w:val="24"/>
        </w:rPr>
        <w:t>P</w:t>
      </w:r>
      <w:r w:rsidR="00220066" w:rsidRPr="00AA6C09">
        <w:rPr>
          <w:rFonts w:cstheme="minorHAnsi"/>
          <w:sz w:val="24"/>
          <w:szCs w:val="24"/>
          <w:lang w:val="el-GR"/>
        </w:rPr>
        <w:t>.</w:t>
      </w:r>
      <w:r w:rsidR="00220066" w:rsidRPr="004E251E">
        <w:rPr>
          <w:rFonts w:cstheme="minorHAnsi"/>
          <w:sz w:val="24"/>
          <w:szCs w:val="24"/>
        </w:rPr>
        <w:t>I</w:t>
      </w:r>
      <w:r w:rsidR="00220066" w:rsidRPr="00AA6C09">
        <w:rPr>
          <w:rFonts w:cstheme="minorHAnsi"/>
          <w:sz w:val="24"/>
          <w:szCs w:val="24"/>
          <w:lang w:val="el-GR"/>
        </w:rPr>
        <w:t>.</w:t>
      </w:r>
      <w:r w:rsidR="00220066" w:rsidRPr="004E251E">
        <w:rPr>
          <w:rFonts w:cstheme="minorHAnsi"/>
          <w:sz w:val="24"/>
          <w:szCs w:val="24"/>
        </w:rPr>
        <w:t>A</w:t>
      </w:r>
      <w:r w:rsidR="00220066" w:rsidRPr="00AA6C09">
        <w:rPr>
          <w:rFonts w:cstheme="minorHAnsi"/>
          <w:sz w:val="24"/>
          <w:szCs w:val="24"/>
          <w:lang w:val="el-GR"/>
        </w:rPr>
        <w:t>.</w:t>
      </w:r>
      <w:r w:rsidR="00220066" w:rsidRPr="004E251E">
        <w:rPr>
          <w:rFonts w:cstheme="minorHAnsi"/>
          <w:sz w:val="24"/>
          <w:szCs w:val="24"/>
        </w:rPr>
        <w:t>S</w:t>
      </w:r>
      <w:r w:rsidR="00220066" w:rsidRPr="00AA6C09">
        <w:rPr>
          <w:rFonts w:cstheme="minorHAnsi"/>
          <w:sz w:val="24"/>
          <w:szCs w:val="24"/>
          <w:lang w:val="el-GR"/>
        </w:rPr>
        <w:t>.)</w:t>
      </w:r>
      <w:r w:rsidR="00220066" w:rsidRPr="00AA6C09">
        <w:rPr>
          <w:rFonts w:eastAsia="Times New Roman" w:cstheme="minorHAnsi"/>
          <w:sz w:val="24"/>
          <w:szCs w:val="24"/>
          <w:lang w:val="el-GR" w:eastAsia="fr-FR"/>
        </w:rPr>
        <w:t xml:space="preserve"> </w:t>
      </w:r>
      <w:r>
        <w:rPr>
          <w:rFonts w:eastAsia="Times New Roman" w:cstheme="minorHAnsi"/>
          <w:sz w:val="24"/>
          <w:szCs w:val="24"/>
          <w:lang w:val="el-GR" w:eastAsia="fr-FR"/>
        </w:rPr>
        <w:t>ιδρύθηκ</w:t>
      </w:r>
      <w:r w:rsidR="0027553E">
        <w:rPr>
          <w:rFonts w:eastAsia="Times New Roman" w:cstheme="minorHAnsi"/>
          <w:sz w:val="24"/>
          <w:szCs w:val="24"/>
          <w:lang w:val="el-GR" w:eastAsia="fr-FR"/>
        </w:rPr>
        <w:t>ε</w:t>
      </w:r>
      <w:r>
        <w:rPr>
          <w:rFonts w:eastAsia="Times New Roman" w:cstheme="minorHAnsi"/>
          <w:sz w:val="24"/>
          <w:szCs w:val="24"/>
          <w:lang w:val="el-GR" w:eastAsia="fr-FR"/>
        </w:rPr>
        <w:t xml:space="preserve"> το</w:t>
      </w:r>
      <w:r w:rsidR="00220066" w:rsidRPr="00AA6C09">
        <w:rPr>
          <w:rFonts w:eastAsia="Times New Roman" w:cstheme="minorHAnsi"/>
          <w:sz w:val="24"/>
          <w:szCs w:val="24"/>
          <w:lang w:val="el-GR" w:eastAsia="fr-FR"/>
        </w:rPr>
        <w:t xml:space="preserve"> 2018. </w:t>
      </w:r>
      <w:r>
        <w:rPr>
          <w:rFonts w:eastAsia="Times New Roman" w:cstheme="minorHAnsi"/>
          <w:sz w:val="24"/>
          <w:szCs w:val="24"/>
          <w:lang w:val="el-GR" w:eastAsia="fr-FR"/>
        </w:rPr>
        <w:t>Η</w:t>
      </w:r>
      <w:r w:rsidRPr="00AA6C09">
        <w:rPr>
          <w:rFonts w:eastAsia="Times New Roman" w:cstheme="minorHAnsi"/>
          <w:sz w:val="24"/>
          <w:szCs w:val="24"/>
          <w:lang w:val="el-GR" w:eastAsia="fr-FR"/>
        </w:rPr>
        <w:t xml:space="preserve"> </w:t>
      </w:r>
      <w:r>
        <w:rPr>
          <w:rFonts w:eastAsia="Times New Roman" w:cstheme="minorHAnsi"/>
          <w:sz w:val="24"/>
          <w:szCs w:val="24"/>
          <w:lang w:val="el-GR" w:eastAsia="fr-FR"/>
        </w:rPr>
        <w:t>λειτουργία</w:t>
      </w:r>
      <w:r w:rsidRPr="00AA6C09">
        <w:rPr>
          <w:rFonts w:eastAsia="Times New Roman" w:cstheme="minorHAnsi"/>
          <w:sz w:val="24"/>
          <w:szCs w:val="24"/>
          <w:lang w:val="el-GR" w:eastAsia="fr-FR"/>
        </w:rPr>
        <w:t xml:space="preserve"> </w:t>
      </w:r>
      <w:r>
        <w:rPr>
          <w:rFonts w:eastAsia="Times New Roman" w:cstheme="minorHAnsi"/>
          <w:sz w:val="24"/>
          <w:szCs w:val="24"/>
          <w:lang w:val="el-GR" w:eastAsia="fr-FR"/>
        </w:rPr>
        <w:t>της</w:t>
      </w:r>
      <w:r w:rsidRPr="00AA6C09">
        <w:rPr>
          <w:rFonts w:eastAsia="Times New Roman" w:cstheme="minorHAnsi"/>
          <w:sz w:val="24"/>
          <w:szCs w:val="24"/>
          <w:lang w:val="el-GR" w:eastAsia="fr-FR"/>
        </w:rPr>
        <w:t xml:space="preserve"> </w:t>
      </w:r>
      <w:proofErr w:type="spellStart"/>
      <w:r>
        <w:rPr>
          <w:rFonts w:eastAsia="Times New Roman" w:cstheme="minorHAnsi"/>
          <w:sz w:val="24"/>
          <w:szCs w:val="24"/>
          <w:lang w:val="el-GR" w:eastAsia="fr-FR"/>
        </w:rPr>
        <w:t>διέπεται</w:t>
      </w:r>
      <w:proofErr w:type="spellEnd"/>
      <w:r w:rsidRPr="00AA6C09">
        <w:rPr>
          <w:rFonts w:eastAsia="Times New Roman" w:cstheme="minorHAnsi"/>
          <w:sz w:val="24"/>
          <w:szCs w:val="24"/>
          <w:lang w:val="el-GR" w:eastAsia="fr-FR"/>
        </w:rPr>
        <w:t xml:space="preserve"> </w:t>
      </w:r>
      <w:r>
        <w:rPr>
          <w:rFonts w:eastAsia="Times New Roman" w:cstheme="minorHAnsi"/>
          <w:sz w:val="24"/>
          <w:szCs w:val="24"/>
          <w:lang w:val="el-GR" w:eastAsia="fr-FR"/>
        </w:rPr>
        <w:t>από</w:t>
      </w:r>
      <w:r w:rsidRPr="00AA6C09">
        <w:rPr>
          <w:rFonts w:eastAsia="Times New Roman" w:cstheme="minorHAnsi"/>
          <w:sz w:val="24"/>
          <w:szCs w:val="24"/>
          <w:lang w:val="el-GR" w:eastAsia="fr-FR"/>
        </w:rPr>
        <w:t xml:space="preserve"> </w:t>
      </w:r>
      <w:r>
        <w:rPr>
          <w:rFonts w:eastAsia="Times New Roman" w:cstheme="minorHAnsi"/>
          <w:sz w:val="24"/>
          <w:szCs w:val="24"/>
          <w:lang w:val="el-GR" w:eastAsia="fr-FR"/>
        </w:rPr>
        <w:t>ένα</w:t>
      </w:r>
      <w:r w:rsidRPr="00AA6C09">
        <w:rPr>
          <w:rFonts w:eastAsia="Times New Roman" w:cstheme="minorHAnsi"/>
          <w:sz w:val="24"/>
          <w:szCs w:val="24"/>
          <w:lang w:val="el-GR" w:eastAsia="fr-FR"/>
        </w:rPr>
        <w:t xml:space="preserve"> </w:t>
      </w:r>
      <w:r>
        <w:rPr>
          <w:rFonts w:eastAsia="Times New Roman" w:cstheme="minorHAnsi"/>
          <w:sz w:val="24"/>
          <w:szCs w:val="24"/>
          <w:lang w:val="el-GR" w:eastAsia="fr-FR"/>
        </w:rPr>
        <w:t>ξεχωριστό</w:t>
      </w:r>
      <w:r w:rsidRPr="00AA6C09">
        <w:rPr>
          <w:rFonts w:eastAsia="Times New Roman" w:cstheme="minorHAnsi"/>
          <w:sz w:val="24"/>
          <w:szCs w:val="24"/>
          <w:lang w:val="el-GR" w:eastAsia="fr-FR"/>
        </w:rPr>
        <w:t xml:space="preserve"> </w:t>
      </w:r>
      <w:r>
        <w:rPr>
          <w:rFonts w:eastAsia="Times New Roman" w:cstheme="minorHAnsi"/>
          <w:sz w:val="24"/>
          <w:szCs w:val="24"/>
          <w:lang w:val="el-GR" w:eastAsia="fr-FR"/>
        </w:rPr>
        <w:t>νόμο</w:t>
      </w:r>
      <w:bookmarkStart w:id="234" w:name="_Hlk93567321"/>
      <w:r w:rsidR="00220066" w:rsidRPr="00AA6C09">
        <w:rPr>
          <w:rFonts w:eastAsia="Times New Roman" w:cstheme="minorHAnsi"/>
          <w:sz w:val="24"/>
          <w:szCs w:val="24"/>
          <w:lang w:val="el-GR" w:eastAsia="fr-FR"/>
        </w:rPr>
        <w:t xml:space="preserve">, </w:t>
      </w:r>
      <w:r>
        <w:rPr>
          <w:rFonts w:eastAsia="Times New Roman" w:cstheme="minorHAnsi"/>
          <w:sz w:val="24"/>
          <w:szCs w:val="24"/>
          <w:lang w:val="el-GR" w:eastAsia="fr-FR"/>
        </w:rPr>
        <w:t>δηλαδή</w:t>
      </w:r>
      <w:r w:rsidR="00220066" w:rsidRPr="00AA6C09">
        <w:rPr>
          <w:rFonts w:eastAsia="Times New Roman" w:cstheme="minorHAnsi"/>
          <w:sz w:val="24"/>
          <w:szCs w:val="24"/>
          <w:lang w:val="el-GR" w:eastAsia="fr-FR"/>
        </w:rPr>
        <w:t xml:space="preserve"> </w:t>
      </w:r>
      <w:r>
        <w:rPr>
          <w:rFonts w:eastAsia="Times New Roman" w:cstheme="minorHAnsi"/>
          <w:sz w:val="24"/>
          <w:szCs w:val="24"/>
          <w:lang w:val="el-GR" w:eastAsia="fr-FR"/>
        </w:rPr>
        <w:t>τον</w:t>
      </w:r>
      <w:r w:rsidRPr="00AA6C09">
        <w:rPr>
          <w:rFonts w:eastAsia="Times New Roman" w:cstheme="minorHAnsi"/>
          <w:sz w:val="24"/>
          <w:szCs w:val="24"/>
          <w:lang w:val="el-GR" w:eastAsia="fr-FR"/>
        </w:rPr>
        <w:t xml:space="preserve"> </w:t>
      </w:r>
      <w:r>
        <w:rPr>
          <w:rFonts w:eastAsia="Times New Roman" w:cstheme="minorHAnsi"/>
          <w:sz w:val="24"/>
          <w:szCs w:val="24"/>
          <w:lang w:val="el-GR" w:eastAsia="fr-FR"/>
        </w:rPr>
        <w:t>Νόμο</w:t>
      </w:r>
      <w:r w:rsidRPr="00AA6C09">
        <w:rPr>
          <w:rFonts w:eastAsia="Times New Roman" w:cstheme="minorHAnsi"/>
          <w:sz w:val="24"/>
          <w:szCs w:val="24"/>
          <w:lang w:val="el-GR" w:eastAsia="fr-FR"/>
        </w:rPr>
        <w:t xml:space="preserve"> </w:t>
      </w:r>
      <w:r>
        <w:rPr>
          <w:rFonts w:eastAsia="Times New Roman" w:cstheme="minorHAnsi"/>
          <w:sz w:val="24"/>
          <w:szCs w:val="24"/>
          <w:lang w:val="el-GR" w:eastAsia="fr-FR"/>
        </w:rPr>
        <w:t>περί</w:t>
      </w:r>
      <w:r w:rsidRPr="00AA6C09">
        <w:rPr>
          <w:rFonts w:eastAsia="Times New Roman" w:cstheme="minorHAnsi"/>
          <w:sz w:val="24"/>
          <w:szCs w:val="24"/>
          <w:lang w:val="el-GR" w:eastAsia="fr-FR"/>
        </w:rPr>
        <w:t xml:space="preserve"> </w:t>
      </w:r>
      <w:r>
        <w:rPr>
          <w:rFonts w:eastAsia="Times New Roman" w:cstheme="minorHAnsi"/>
          <w:sz w:val="24"/>
          <w:szCs w:val="24"/>
          <w:lang w:val="el-GR" w:eastAsia="fr-FR"/>
        </w:rPr>
        <w:t>της</w:t>
      </w:r>
      <w:r w:rsidRPr="00AA6C09">
        <w:rPr>
          <w:rFonts w:eastAsia="Times New Roman" w:cstheme="minorHAnsi"/>
          <w:sz w:val="24"/>
          <w:szCs w:val="24"/>
          <w:lang w:val="el-GR" w:eastAsia="fr-FR"/>
        </w:rPr>
        <w:t xml:space="preserve"> </w:t>
      </w:r>
      <w:r>
        <w:rPr>
          <w:rFonts w:eastAsia="Times New Roman" w:cstheme="minorHAnsi"/>
          <w:sz w:val="24"/>
          <w:szCs w:val="24"/>
          <w:lang w:val="el-GR" w:eastAsia="fr-FR"/>
        </w:rPr>
        <w:t>Ίδρυσης και Λειτουργίας</w:t>
      </w:r>
      <w:r w:rsidR="00220066" w:rsidRPr="00AA6C09">
        <w:rPr>
          <w:rFonts w:eastAsia="Times New Roman" w:cstheme="minorHAnsi"/>
          <w:sz w:val="24"/>
          <w:szCs w:val="24"/>
          <w:lang w:val="el-GR" w:eastAsia="fr-FR"/>
        </w:rPr>
        <w:t xml:space="preserve"> </w:t>
      </w:r>
      <w:r>
        <w:rPr>
          <w:rFonts w:eastAsia="Times New Roman" w:cstheme="minorHAnsi"/>
          <w:sz w:val="24"/>
          <w:szCs w:val="24"/>
          <w:lang w:val="el-GR" w:eastAsia="fr-FR"/>
        </w:rPr>
        <w:t xml:space="preserve">της Υπηρεσίας Εσωτερικών Υποθέσεων της </w:t>
      </w:r>
      <w:r w:rsidR="009C4E34">
        <w:rPr>
          <w:rFonts w:eastAsia="Times New Roman" w:cstheme="minorHAnsi"/>
          <w:sz w:val="24"/>
          <w:szCs w:val="24"/>
          <w:lang w:val="el-GR" w:eastAsia="fr-FR"/>
        </w:rPr>
        <w:t>Αστυνομία</w:t>
      </w:r>
      <w:r>
        <w:rPr>
          <w:rFonts w:eastAsia="Times New Roman" w:cstheme="minorHAnsi"/>
          <w:sz w:val="24"/>
          <w:szCs w:val="24"/>
          <w:lang w:val="el-GR" w:eastAsia="fr-FR"/>
        </w:rPr>
        <w:t>ς</w:t>
      </w:r>
      <w:r w:rsidR="00220066" w:rsidRPr="004E251E">
        <w:rPr>
          <w:rFonts w:eastAsia="Times New Roman" w:cstheme="minorHAnsi"/>
          <w:sz w:val="24"/>
          <w:szCs w:val="24"/>
          <w:lang w:eastAsia="fr-FR"/>
        </w:rPr>
        <w:t> </w:t>
      </w:r>
      <w:r w:rsidR="00220066" w:rsidRPr="00AA6C09">
        <w:rPr>
          <w:rFonts w:eastAsia="Times New Roman" w:cstheme="minorHAnsi"/>
          <w:sz w:val="24"/>
          <w:szCs w:val="24"/>
          <w:lang w:val="el-GR" w:eastAsia="fr-FR"/>
        </w:rPr>
        <w:t>3(</w:t>
      </w:r>
      <w:r w:rsidR="00220066" w:rsidRPr="004E251E">
        <w:rPr>
          <w:rFonts w:eastAsia="Times New Roman" w:cstheme="minorHAnsi"/>
          <w:sz w:val="24"/>
          <w:szCs w:val="24"/>
          <w:lang w:eastAsia="fr-FR"/>
        </w:rPr>
        <w:t>I</w:t>
      </w:r>
      <w:r w:rsidR="00220066" w:rsidRPr="00AA6C09">
        <w:rPr>
          <w:rFonts w:eastAsia="Times New Roman" w:cstheme="minorHAnsi"/>
          <w:sz w:val="24"/>
          <w:szCs w:val="24"/>
          <w:lang w:val="el-GR" w:eastAsia="fr-FR"/>
        </w:rPr>
        <w:t>)/2018.</w:t>
      </w:r>
      <w:bookmarkEnd w:id="234"/>
      <w:r w:rsidR="00220066" w:rsidRPr="00AA6C09">
        <w:rPr>
          <w:rFonts w:cstheme="minorHAnsi"/>
          <w:sz w:val="24"/>
          <w:szCs w:val="24"/>
          <w:lang w:val="el-GR"/>
        </w:rPr>
        <w:t xml:space="preserve"> </w:t>
      </w:r>
      <w:r>
        <w:rPr>
          <w:rFonts w:cstheme="minorHAnsi"/>
          <w:sz w:val="24"/>
          <w:szCs w:val="24"/>
          <w:lang w:val="el-GR"/>
        </w:rPr>
        <w:t>Η</w:t>
      </w:r>
      <w:r w:rsidRPr="00AA6C09">
        <w:rPr>
          <w:rFonts w:cstheme="minorHAnsi"/>
          <w:sz w:val="24"/>
          <w:szCs w:val="24"/>
          <w:lang w:val="el-GR"/>
        </w:rPr>
        <w:t xml:space="preserve"> </w:t>
      </w:r>
      <w:r w:rsidR="00220066" w:rsidRPr="004E251E">
        <w:rPr>
          <w:rFonts w:cstheme="minorHAnsi"/>
          <w:sz w:val="24"/>
          <w:szCs w:val="24"/>
        </w:rPr>
        <w:t>P</w:t>
      </w:r>
      <w:r w:rsidR="00220066" w:rsidRPr="00AA6C09">
        <w:rPr>
          <w:rFonts w:cstheme="minorHAnsi"/>
          <w:sz w:val="24"/>
          <w:szCs w:val="24"/>
          <w:lang w:val="el-GR"/>
        </w:rPr>
        <w:t>.</w:t>
      </w:r>
      <w:r w:rsidR="00220066" w:rsidRPr="004E251E">
        <w:rPr>
          <w:rFonts w:cstheme="minorHAnsi"/>
          <w:sz w:val="24"/>
          <w:szCs w:val="24"/>
        </w:rPr>
        <w:t>I</w:t>
      </w:r>
      <w:r w:rsidR="00220066" w:rsidRPr="00AA6C09">
        <w:rPr>
          <w:rFonts w:cstheme="minorHAnsi"/>
          <w:sz w:val="24"/>
          <w:szCs w:val="24"/>
          <w:lang w:val="el-GR"/>
        </w:rPr>
        <w:t>.</w:t>
      </w:r>
      <w:r w:rsidR="00220066" w:rsidRPr="004E251E">
        <w:rPr>
          <w:rFonts w:cstheme="minorHAnsi"/>
          <w:sz w:val="24"/>
          <w:szCs w:val="24"/>
        </w:rPr>
        <w:t>A</w:t>
      </w:r>
      <w:r w:rsidR="00220066" w:rsidRPr="00AA6C09">
        <w:rPr>
          <w:rFonts w:cstheme="minorHAnsi"/>
          <w:sz w:val="24"/>
          <w:szCs w:val="24"/>
          <w:lang w:val="el-GR"/>
        </w:rPr>
        <w:t>.</w:t>
      </w:r>
      <w:r w:rsidR="00220066" w:rsidRPr="004E251E">
        <w:rPr>
          <w:rFonts w:cstheme="minorHAnsi"/>
          <w:sz w:val="24"/>
          <w:szCs w:val="24"/>
        </w:rPr>
        <w:t>S</w:t>
      </w:r>
      <w:r w:rsidR="00220066" w:rsidRPr="00AA6C09">
        <w:rPr>
          <w:rFonts w:cstheme="minorHAnsi"/>
          <w:sz w:val="24"/>
          <w:szCs w:val="24"/>
          <w:lang w:val="el-GR"/>
        </w:rPr>
        <w:t xml:space="preserve">. </w:t>
      </w:r>
      <w:r>
        <w:rPr>
          <w:rFonts w:cstheme="minorHAnsi"/>
          <w:sz w:val="24"/>
          <w:szCs w:val="24"/>
          <w:lang w:val="el-GR"/>
        </w:rPr>
        <w:t>είναι</w:t>
      </w:r>
      <w:r w:rsidRPr="00AA6C09">
        <w:rPr>
          <w:rFonts w:cstheme="minorHAnsi"/>
          <w:sz w:val="24"/>
          <w:szCs w:val="24"/>
          <w:lang w:val="el-GR"/>
        </w:rPr>
        <w:t xml:space="preserve"> </w:t>
      </w:r>
      <w:r>
        <w:rPr>
          <w:rFonts w:cstheme="minorHAnsi"/>
          <w:sz w:val="24"/>
          <w:szCs w:val="24"/>
          <w:lang w:val="el-GR"/>
        </w:rPr>
        <w:t>μιας</w:t>
      </w:r>
      <w:r w:rsidRPr="00AA6C09">
        <w:rPr>
          <w:rFonts w:cstheme="minorHAnsi"/>
          <w:sz w:val="24"/>
          <w:szCs w:val="24"/>
          <w:lang w:val="el-GR"/>
        </w:rPr>
        <w:t xml:space="preserve"> </w:t>
      </w:r>
      <w:r>
        <w:rPr>
          <w:rFonts w:cstheme="minorHAnsi"/>
          <w:sz w:val="24"/>
          <w:szCs w:val="24"/>
          <w:lang w:val="el-GR"/>
        </w:rPr>
        <w:t>αυτόνομη</w:t>
      </w:r>
      <w:r w:rsidRPr="00AA6C09">
        <w:rPr>
          <w:rFonts w:cstheme="minorHAnsi"/>
          <w:sz w:val="24"/>
          <w:szCs w:val="24"/>
          <w:lang w:val="el-GR"/>
        </w:rPr>
        <w:t xml:space="preserve"> </w:t>
      </w:r>
      <w:r>
        <w:rPr>
          <w:rFonts w:cstheme="minorHAnsi"/>
          <w:sz w:val="24"/>
          <w:szCs w:val="24"/>
          <w:lang w:val="el-GR"/>
        </w:rPr>
        <w:t>υπηρεσία</w:t>
      </w:r>
      <w:r w:rsidR="00220066" w:rsidRPr="00AA6C09">
        <w:rPr>
          <w:rFonts w:cstheme="minorHAnsi"/>
          <w:sz w:val="24"/>
          <w:szCs w:val="24"/>
          <w:lang w:val="el-GR"/>
        </w:rPr>
        <w:t xml:space="preserve">, </w:t>
      </w:r>
      <w:r>
        <w:rPr>
          <w:rFonts w:cstheme="minorHAnsi"/>
          <w:sz w:val="24"/>
          <w:szCs w:val="24"/>
          <w:lang w:val="el-GR"/>
        </w:rPr>
        <w:t>που</w:t>
      </w:r>
      <w:r w:rsidRPr="00AA6C09">
        <w:rPr>
          <w:rFonts w:cstheme="minorHAnsi"/>
          <w:sz w:val="24"/>
          <w:szCs w:val="24"/>
          <w:lang w:val="el-GR"/>
        </w:rPr>
        <w:t xml:space="preserve"> </w:t>
      </w:r>
      <w:r>
        <w:rPr>
          <w:rFonts w:cstheme="minorHAnsi"/>
          <w:sz w:val="24"/>
          <w:szCs w:val="24"/>
          <w:lang w:val="el-GR"/>
        </w:rPr>
        <w:t>λογοδοτεί</w:t>
      </w:r>
      <w:r w:rsidRPr="00AA6C09">
        <w:rPr>
          <w:rFonts w:cstheme="minorHAnsi"/>
          <w:sz w:val="24"/>
          <w:szCs w:val="24"/>
          <w:lang w:val="el-GR"/>
        </w:rPr>
        <w:t xml:space="preserve"> </w:t>
      </w:r>
      <w:r>
        <w:rPr>
          <w:rFonts w:cstheme="minorHAnsi"/>
          <w:sz w:val="24"/>
          <w:szCs w:val="24"/>
          <w:lang w:val="el-GR"/>
        </w:rPr>
        <w:t>διοικητικά</w:t>
      </w:r>
      <w:r w:rsidRPr="00AA6C09">
        <w:rPr>
          <w:rFonts w:cstheme="minorHAnsi"/>
          <w:sz w:val="24"/>
          <w:szCs w:val="24"/>
          <w:lang w:val="el-GR"/>
        </w:rPr>
        <w:t xml:space="preserve"> </w:t>
      </w:r>
      <w:r w:rsidR="00463ACC">
        <w:rPr>
          <w:rFonts w:cstheme="minorHAnsi"/>
          <w:sz w:val="24"/>
          <w:szCs w:val="24"/>
          <w:lang w:val="el-GR"/>
        </w:rPr>
        <w:t>απευθείας</w:t>
      </w:r>
      <w:r w:rsidRPr="00AA6C09">
        <w:rPr>
          <w:rFonts w:cstheme="minorHAnsi"/>
          <w:sz w:val="24"/>
          <w:szCs w:val="24"/>
          <w:lang w:val="el-GR"/>
        </w:rPr>
        <w:t xml:space="preserve"> </w:t>
      </w:r>
      <w:r>
        <w:rPr>
          <w:rFonts w:cstheme="minorHAnsi"/>
          <w:sz w:val="24"/>
          <w:szCs w:val="24"/>
          <w:lang w:val="el-GR"/>
        </w:rPr>
        <w:t>στον</w:t>
      </w:r>
      <w:r w:rsidRPr="00AA6C09">
        <w:rPr>
          <w:rFonts w:cstheme="minorHAnsi"/>
          <w:sz w:val="24"/>
          <w:szCs w:val="24"/>
          <w:lang w:val="el-GR"/>
        </w:rPr>
        <w:t xml:space="preserve"> </w:t>
      </w:r>
      <w:r>
        <w:rPr>
          <w:rFonts w:cstheme="minorHAnsi"/>
          <w:sz w:val="24"/>
          <w:szCs w:val="24"/>
          <w:lang w:val="el-GR"/>
        </w:rPr>
        <w:t>Αρχηγό</w:t>
      </w:r>
      <w:r w:rsidRPr="00AA6C09">
        <w:rPr>
          <w:rFonts w:cstheme="minorHAnsi"/>
          <w:sz w:val="24"/>
          <w:szCs w:val="24"/>
          <w:lang w:val="el-GR"/>
        </w:rPr>
        <w:t xml:space="preserve"> </w:t>
      </w:r>
      <w:r>
        <w:rPr>
          <w:rFonts w:cstheme="minorHAnsi"/>
          <w:sz w:val="24"/>
          <w:szCs w:val="24"/>
          <w:lang w:val="el-GR"/>
        </w:rPr>
        <w:t>της</w:t>
      </w:r>
      <w:r w:rsidRPr="00AA6C09">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AA6C09">
        <w:rPr>
          <w:rFonts w:cstheme="minorHAnsi"/>
          <w:sz w:val="24"/>
          <w:szCs w:val="24"/>
          <w:lang w:val="el-GR"/>
        </w:rPr>
        <w:t xml:space="preserve">, </w:t>
      </w:r>
      <w:r>
        <w:rPr>
          <w:rFonts w:cstheme="minorHAnsi"/>
          <w:sz w:val="24"/>
          <w:szCs w:val="24"/>
          <w:lang w:val="el-GR"/>
        </w:rPr>
        <w:t>ενώ οι εξουσίες και οι ευθύνες της εποπτεύονται</w:t>
      </w:r>
      <w:r w:rsidR="00220066" w:rsidRPr="00AA6C09">
        <w:rPr>
          <w:rFonts w:cstheme="minorHAnsi"/>
          <w:sz w:val="24"/>
          <w:szCs w:val="24"/>
          <w:lang w:val="el-GR"/>
        </w:rPr>
        <w:t xml:space="preserve"> </w:t>
      </w:r>
      <w:r w:rsidR="00463ACC">
        <w:rPr>
          <w:rFonts w:cstheme="minorHAnsi"/>
          <w:sz w:val="24"/>
          <w:szCs w:val="24"/>
          <w:lang w:val="el-GR"/>
        </w:rPr>
        <w:t>απευθείας</w:t>
      </w:r>
      <w:r>
        <w:rPr>
          <w:rFonts w:cstheme="minorHAnsi"/>
          <w:sz w:val="24"/>
          <w:szCs w:val="24"/>
          <w:lang w:val="el-GR"/>
        </w:rPr>
        <w:t xml:space="preserve"> από τον Γενικό Εισαγγελέα</w:t>
      </w:r>
      <w:r w:rsidR="00220066" w:rsidRPr="00AA6C09">
        <w:rPr>
          <w:rFonts w:cstheme="minorHAnsi"/>
          <w:sz w:val="24"/>
          <w:szCs w:val="24"/>
          <w:lang w:val="el-GR"/>
        </w:rPr>
        <w:t xml:space="preserve">. </w:t>
      </w:r>
    </w:p>
    <w:p w14:paraId="4D7C564E" w14:textId="77777777" w:rsidR="00220066" w:rsidRPr="00AA6C09" w:rsidRDefault="00220066" w:rsidP="00220066">
      <w:pPr>
        <w:keepNext/>
        <w:tabs>
          <w:tab w:val="left" w:pos="709"/>
        </w:tabs>
        <w:rPr>
          <w:rFonts w:cstheme="minorHAnsi"/>
          <w:sz w:val="24"/>
          <w:szCs w:val="24"/>
          <w:lang w:val="el-GR"/>
        </w:rPr>
      </w:pPr>
    </w:p>
    <w:p w14:paraId="3607DAAF" w14:textId="577FB64B" w:rsidR="00220066" w:rsidRPr="00135BF7" w:rsidRDefault="00AA6C09"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Η</w:t>
      </w:r>
      <w:r w:rsidRPr="00135BF7">
        <w:rPr>
          <w:rFonts w:cstheme="minorHAnsi"/>
          <w:sz w:val="24"/>
          <w:szCs w:val="24"/>
          <w:lang w:val="el-GR"/>
        </w:rPr>
        <w:t xml:space="preserve"> </w:t>
      </w:r>
      <w:r w:rsidR="00220066" w:rsidRPr="004E251E">
        <w:rPr>
          <w:rFonts w:cstheme="minorHAnsi"/>
          <w:sz w:val="24"/>
          <w:szCs w:val="24"/>
        </w:rPr>
        <w:t>P</w:t>
      </w:r>
      <w:r w:rsidR="00220066" w:rsidRPr="00135BF7">
        <w:rPr>
          <w:rFonts w:cstheme="minorHAnsi"/>
          <w:sz w:val="24"/>
          <w:szCs w:val="24"/>
          <w:lang w:val="el-GR"/>
        </w:rPr>
        <w:t>.</w:t>
      </w:r>
      <w:r w:rsidR="00220066" w:rsidRPr="004E251E">
        <w:rPr>
          <w:rFonts w:cstheme="minorHAnsi"/>
          <w:sz w:val="24"/>
          <w:szCs w:val="24"/>
        </w:rPr>
        <w:t>I</w:t>
      </w:r>
      <w:r w:rsidR="00220066" w:rsidRPr="00135BF7">
        <w:rPr>
          <w:rFonts w:cstheme="minorHAnsi"/>
          <w:sz w:val="24"/>
          <w:szCs w:val="24"/>
          <w:lang w:val="el-GR"/>
        </w:rPr>
        <w:t>.</w:t>
      </w:r>
      <w:r w:rsidR="00220066" w:rsidRPr="004E251E">
        <w:rPr>
          <w:rFonts w:cstheme="minorHAnsi"/>
          <w:sz w:val="24"/>
          <w:szCs w:val="24"/>
        </w:rPr>
        <w:t>A</w:t>
      </w:r>
      <w:r w:rsidR="00220066" w:rsidRPr="00135BF7">
        <w:rPr>
          <w:rFonts w:cstheme="minorHAnsi"/>
          <w:sz w:val="24"/>
          <w:szCs w:val="24"/>
          <w:lang w:val="el-GR"/>
        </w:rPr>
        <w:t>.</w:t>
      </w:r>
      <w:r w:rsidR="00220066" w:rsidRPr="004E251E">
        <w:rPr>
          <w:rFonts w:cstheme="minorHAnsi"/>
          <w:sz w:val="24"/>
          <w:szCs w:val="24"/>
        </w:rPr>
        <w:t>S</w:t>
      </w:r>
      <w:r w:rsidR="00220066" w:rsidRPr="00135BF7">
        <w:rPr>
          <w:rFonts w:cstheme="minorHAnsi"/>
          <w:sz w:val="24"/>
          <w:szCs w:val="24"/>
          <w:lang w:val="el-GR"/>
        </w:rPr>
        <w:t xml:space="preserve">. </w:t>
      </w:r>
      <w:r>
        <w:rPr>
          <w:rFonts w:cstheme="minorHAnsi"/>
          <w:sz w:val="24"/>
          <w:szCs w:val="24"/>
          <w:lang w:val="el-GR"/>
        </w:rPr>
        <w:t>διερευνά</w:t>
      </w:r>
      <w:r w:rsidR="00220066" w:rsidRPr="00135BF7">
        <w:rPr>
          <w:rFonts w:cstheme="minorHAnsi"/>
          <w:sz w:val="24"/>
          <w:szCs w:val="24"/>
          <w:lang w:val="el-GR"/>
        </w:rPr>
        <w:t xml:space="preserve"> </w:t>
      </w:r>
      <w:r w:rsidR="00135BF7">
        <w:rPr>
          <w:rFonts w:cstheme="minorHAnsi"/>
          <w:sz w:val="24"/>
          <w:szCs w:val="24"/>
          <w:lang w:val="el-GR"/>
        </w:rPr>
        <w:t>ποινικά</w:t>
      </w:r>
      <w:r w:rsidR="00135BF7" w:rsidRPr="00135BF7">
        <w:rPr>
          <w:rFonts w:cstheme="minorHAnsi"/>
          <w:sz w:val="24"/>
          <w:szCs w:val="24"/>
          <w:lang w:val="el-GR"/>
        </w:rPr>
        <w:t xml:space="preserve"> </w:t>
      </w:r>
      <w:r w:rsidR="00135BF7">
        <w:rPr>
          <w:rFonts w:cstheme="minorHAnsi"/>
          <w:sz w:val="24"/>
          <w:szCs w:val="24"/>
          <w:lang w:val="el-GR"/>
        </w:rPr>
        <w:t>αδικήματα</w:t>
      </w:r>
      <w:r w:rsidR="00135BF7" w:rsidRPr="00135BF7">
        <w:rPr>
          <w:rFonts w:cstheme="minorHAnsi"/>
          <w:sz w:val="24"/>
          <w:szCs w:val="24"/>
          <w:lang w:val="el-GR"/>
        </w:rPr>
        <w:t xml:space="preserve"> </w:t>
      </w:r>
      <w:r w:rsidR="00135BF7">
        <w:rPr>
          <w:rFonts w:cstheme="minorHAnsi"/>
          <w:sz w:val="24"/>
          <w:szCs w:val="24"/>
          <w:lang w:val="el-GR"/>
        </w:rPr>
        <w:t>διαφθοράς</w:t>
      </w:r>
      <w:r w:rsidR="00220066" w:rsidRPr="00135BF7">
        <w:rPr>
          <w:rFonts w:cstheme="minorHAnsi"/>
          <w:sz w:val="24"/>
          <w:szCs w:val="24"/>
          <w:lang w:val="el-GR"/>
        </w:rPr>
        <w:t xml:space="preserve"> </w:t>
      </w:r>
      <w:r w:rsidR="00135BF7">
        <w:rPr>
          <w:rFonts w:cstheme="minorHAnsi"/>
          <w:sz w:val="24"/>
          <w:szCs w:val="24"/>
          <w:lang w:val="el-GR"/>
        </w:rPr>
        <w:t>που διαπράττονται από ΑΕΝ</w:t>
      </w:r>
      <w:r w:rsidR="00220066" w:rsidRPr="00135BF7">
        <w:rPr>
          <w:rFonts w:cstheme="minorHAnsi"/>
          <w:sz w:val="24"/>
          <w:szCs w:val="24"/>
          <w:lang w:val="el-GR"/>
        </w:rPr>
        <w:t xml:space="preserve">. </w:t>
      </w:r>
      <w:r w:rsidR="00135BF7">
        <w:rPr>
          <w:rFonts w:cstheme="minorHAnsi"/>
          <w:sz w:val="24"/>
          <w:szCs w:val="24"/>
          <w:lang w:val="el-GR"/>
        </w:rPr>
        <w:t>Έχει</w:t>
      </w:r>
      <w:r w:rsidR="00135BF7" w:rsidRPr="00135BF7">
        <w:rPr>
          <w:rFonts w:cstheme="minorHAnsi"/>
          <w:sz w:val="24"/>
          <w:szCs w:val="24"/>
          <w:lang w:val="el-GR"/>
        </w:rPr>
        <w:t xml:space="preserve"> </w:t>
      </w:r>
      <w:r w:rsidR="00135BF7">
        <w:rPr>
          <w:rFonts w:cstheme="minorHAnsi"/>
          <w:sz w:val="24"/>
          <w:szCs w:val="24"/>
          <w:lang w:val="el-GR"/>
        </w:rPr>
        <w:t>ευρείες</w:t>
      </w:r>
      <w:r w:rsidR="00135BF7" w:rsidRPr="00135BF7">
        <w:rPr>
          <w:rFonts w:cstheme="minorHAnsi"/>
          <w:sz w:val="24"/>
          <w:szCs w:val="24"/>
          <w:lang w:val="el-GR"/>
        </w:rPr>
        <w:t xml:space="preserve"> </w:t>
      </w:r>
      <w:r w:rsidR="00135BF7">
        <w:rPr>
          <w:rFonts w:cstheme="minorHAnsi"/>
          <w:sz w:val="24"/>
          <w:szCs w:val="24"/>
          <w:lang w:val="el-GR"/>
        </w:rPr>
        <w:t>εξουσίες</w:t>
      </w:r>
      <w:r w:rsidR="00135BF7" w:rsidRPr="00135BF7">
        <w:rPr>
          <w:rFonts w:cstheme="minorHAnsi"/>
          <w:sz w:val="24"/>
          <w:szCs w:val="24"/>
          <w:lang w:val="el-GR"/>
        </w:rPr>
        <w:t xml:space="preserve"> </w:t>
      </w:r>
      <w:r w:rsidR="00135BF7">
        <w:rPr>
          <w:rFonts w:cstheme="minorHAnsi"/>
          <w:sz w:val="24"/>
          <w:szCs w:val="24"/>
          <w:lang w:val="el-GR"/>
        </w:rPr>
        <w:t>για</w:t>
      </w:r>
      <w:r w:rsidR="00135BF7" w:rsidRPr="00135BF7">
        <w:rPr>
          <w:rFonts w:cstheme="minorHAnsi"/>
          <w:sz w:val="24"/>
          <w:szCs w:val="24"/>
          <w:lang w:val="el-GR"/>
        </w:rPr>
        <w:t xml:space="preserve"> </w:t>
      </w:r>
      <w:r w:rsidR="004E0646">
        <w:rPr>
          <w:rFonts w:cstheme="minorHAnsi"/>
          <w:sz w:val="24"/>
          <w:szCs w:val="24"/>
          <w:lang w:val="el-GR"/>
        </w:rPr>
        <w:t>να διεξαγάγει</w:t>
      </w:r>
      <w:r w:rsidR="00220066" w:rsidRPr="00135BF7">
        <w:rPr>
          <w:rFonts w:cstheme="minorHAnsi"/>
          <w:sz w:val="24"/>
          <w:szCs w:val="24"/>
          <w:lang w:val="el-GR"/>
        </w:rPr>
        <w:t xml:space="preserve"> </w:t>
      </w:r>
      <w:r w:rsidR="00135BF7">
        <w:rPr>
          <w:rFonts w:cstheme="minorHAnsi"/>
          <w:sz w:val="24"/>
          <w:szCs w:val="24"/>
          <w:lang w:val="el-GR"/>
        </w:rPr>
        <w:t>αναζητήσεις</w:t>
      </w:r>
      <w:r w:rsidR="00220066" w:rsidRPr="00135BF7">
        <w:rPr>
          <w:rFonts w:cstheme="minorHAnsi"/>
          <w:sz w:val="24"/>
          <w:szCs w:val="24"/>
          <w:lang w:val="el-GR"/>
        </w:rPr>
        <w:t xml:space="preserve">, </w:t>
      </w:r>
      <w:proofErr w:type="spellStart"/>
      <w:r w:rsidR="00135BF7">
        <w:rPr>
          <w:rFonts w:cstheme="minorHAnsi"/>
          <w:sz w:val="24"/>
          <w:szCs w:val="24"/>
          <w:lang w:val="el-GR"/>
        </w:rPr>
        <w:t>παγοποίηση</w:t>
      </w:r>
      <w:proofErr w:type="spellEnd"/>
      <w:r w:rsidR="00135BF7" w:rsidRPr="00135BF7">
        <w:rPr>
          <w:rFonts w:cstheme="minorHAnsi"/>
          <w:sz w:val="24"/>
          <w:szCs w:val="24"/>
          <w:lang w:val="el-GR"/>
        </w:rPr>
        <w:t xml:space="preserve"> </w:t>
      </w:r>
      <w:r w:rsidR="00135BF7">
        <w:rPr>
          <w:rFonts w:cstheme="minorHAnsi"/>
          <w:sz w:val="24"/>
          <w:szCs w:val="24"/>
          <w:lang w:val="el-GR"/>
        </w:rPr>
        <w:t>και</w:t>
      </w:r>
      <w:r w:rsidR="00135BF7" w:rsidRPr="00135BF7">
        <w:rPr>
          <w:rFonts w:cstheme="minorHAnsi"/>
          <w:sz w:val="24"/>
          <w:szCs w:val="24"/>
          <w:lang w:val="el-GR"/>
        </w:rPr>
        <w:t xml:space="preserve"> </w:t>
      </w:r>
      <w:r w:rsidR="00135BF7">
        <w:rPr>
          <w:rFonts w:cstheme="minorHAnsi"/>
          <w:sz w:val="24"/>
          <w:szCs w:val="24"/>
          <w:lang w:val="el-GR"/>
        </w:rPr>
        <w:t>κατάληψη</w:t>
      </w:r>
      <w:r w:rsidR="00135BF7" w:rsidRPr="00135BF7">
        <w:rPr>
          <w:rFonts w:cstheme="minorHAnsi"/>
          <w:sz w:val="24"/>
          <w:szCs w:val="24"/>
          <w:lang w:val="el-GR"/>
        </w:rPr>
        <w:t xml:space="preserve"> </w:t>
      </w:r>
      <w:r w:rsidR="00135BF7">
        <w:rPr>
          <w:rFonts w:cstheme="minorHAnsi"/>
          <w:sz w:val="24"/>
          <w:szCs w:val="24"/>
          <w:lang w:val="el-GR"/>
        </w:rPr>
        <w:t>εξουσιών</w:t>
      </w:r>
      <w:r w:rsidR="00220066" w:rsidRPr="00135BF7">
        <w:rPr>
          <w:rFonts w:cstheme="minorHAnsi"/>
          <w:sz w:val="24"/>
          <w:szCs w:val="24"/>
          <w:lang w:val="el-GR"/>
        </w:rPr>
        <w:t xml:space="preserve">, </w:t>
      </w:r>
      <w:r w:rsidR="00135BF7">
        <w:rPr>
          <w:rFonts w:cstheme="minorHAnsi"/>
          <w:sz w:val="24"/>
          <w:szCs w:val="24"/>
          <w:lang w:val="el-GR"/>
        </w:rPr>
        <w:t>απρόσκοπτη πρόσβαση σε πληροφορίες</w:t>
      </w:r>
      <w:r w:rsidR="00220066" w:rsidRPr="00135BF7">
        <w:rPr>
          <w:rFonts w:cstheme="minorHAnsi"/>
          <w:sz w:val="24"/>
          <w:szCs w:val="24"/>
          <w:lang w:val="el-GR"/>
        </w:rPr>
        <w:t xml:space="preserve">, </w:t>
      </w:r>
      <w:r w:rsidR="00135BF7">
        <w:rPr>
          <w:rFonts w:cstheme="minorHAnsi"/>
          <w:sz w:val="24"/>
          <w:szCs w:val="24"/>
          <w:lang w:val="el-GR"/>
        </w:rPr>
        <w:t>συμπεριλαμβανομένων από άλλες δημόσιες αρχές</w:t>
      </w:r>
      <w:r w:rsidR="00220066" w:rsidRPr="00135BF7">
        <w:rPr>
          <w:rFonts w:cstheme="minorHAnsi"/>
          <w:sz w:val="24"/>
          <w:szCs w:val="24"/>
          <w:lang w:val="el-GR"/>
        </w:rPr>
        <w:t xml:space="preserve">, </w:t>
      </w:r>
      <w:r w:rsidR="00135BF7">
        <w:rPr>
          <w:rFonts w:cstheme="minorHAnsi"/>
          <w:sz w:val="24"/>
          <w:szCs w:val="24"/>
          <w:lang w:val="el-GR"/>
        </w:rPr>
        <w:t>καθώς επίσης και τραπεζικά αρχεία</w:t>
      </w:r>
      <w:r w:rsidR="00220066" w:rsidRPr="00135BF7">
        <w:rPr>
          <w:rFonts w:cstheme="minorHAnsi"/>
          <w:sz w:val="24"/>
          <w:szCs w:val="24"/>
          <w:lang w:val="el-GR"/>
        </w:rPr>
        <w:t xml:space="preserve">, </w:t>
      </w:r>
      <w:r w:rsidR="00135BF7">
        <w:rPr>
          <w:rFonts w:cstheme="minorHAnsi"/>
          <w:sz w:val="24"/>
          <w:szCs w:val="24"/>
          <w:lang w:val="el-GR"/>
        </w:rPr>
        <w:t>κλπ</w:t>
      </w:r>
      <w:r w:rsidR="00220066" w:rsidRPr="00135BF7">
        <w:rPr>
          <w:rFonts w:cstheme="minorHAnsi"/>
          <w:sz w:val="24"/>
          <w:szCs w:val="24"/>
          <w:lang w:val="el-GR"/>
        </w:rPr>
        <w:t xml:space="preserve">.. </w:t>
      </w:r>
      <w:r w:rsidR="00135BF7">
        <w:rPr>
          <w:rFonts w:cstheme="minorHAnsi"/>
          <w:sz w:val="24"/>
          <w:szCs w:val="24"/>
          <w:lang w:val="el-GR"/>
        </w:rPr>
        <w:t>Οι</w:t>
      </w:r>
      <w:r w:rsidR="00135BF7" w:rsidRPr="00135BF7">
        <w:rPr>
          <w:rFonts w:cstheme="minorHAnsi"/>
          <w:sz w:val="24"/>
          <w:szCs w:val="24"/>
          <w:lang w:val="el-GR"/>
        </w:rPr>
        <w:t xml:space="preserve"> </w:t>
      </w:r>
      <w:r w:rsidR="00135BF7">
        <w:rPr>
          <w:rFonts w:cstheme="minorHAnsi"/>
          <w:sz w:val="24"/>
          <w:szCs w:val="24"/>
          <w:lang w:val="el-GR"/>
        </w:rPr>
        <w:t>πληροφορίες</w:t>
      </w:r>
      <w:r w:rsidR="00135BF7" w:rsidRPr="00135BF7">
        <w:rPr>
          <w:rFonts w:cstheme="minorHAnsi"/>
          <w:sz w:val="24"/>
          <w:szCs w:val="24"/>
          <w:lang w:val="el-GR"/>
        </w:rPr>
        <w:t xml:space="preserve"> </w:t>
      </w:r>
      <w:r w:rsidR="00135BF7">
        <w:rPr>
          <w:rFonts w:cstheme="minorHAnsi"/>
          <w:sz w:val="24"/>
          <w:szCs w:val="24"/>
          <w:lang w:val="el-GR"/>
        </w:rPr>
        <w:t>και</w:t>
      </w:r>
      <w:r w:rsidR="00135BF7" w:rsidRPr="00135BF7">
        <w:rPr>
          <w:rFonts w:cstheme="minorHAnsi"/>
          <w:sz w:val="24"/>
          <w:szCs w:val="24"/>
          <w:lang w:val="el-GR"/>
        </w:rPr>
        <w:t xml:space="preserve"> </w:t>
      </w:r>
      <w:r w:rsidR="00135BF7">
        <w:rPr>
          <w:rFonts w:cstheme="minorHAnsi"/>
          <w:sz w:val="24"/>
          <w:szCs w:val="24"/>
          <w:lang w:val="el-GR"/>
        </w:rPr>
        <w:t>τα</w:t>
      </w:r>
      <w:r w:rsidR="00135BF7" w:rsidRPr="00135BF7">
        <w:rPr>
          <w:rFonts w:cstheme="minorHAnsi"/>
          <w:sz w:val="24"/>
          <w:szCs w:val="24"/>
          <w:lang w:val="el-GR"/>
        </w:rPr>
        <w:t xml:space="preserve"> </w:t>
      </w:r>
      <w:r w:rsidR="00135BF7">
        <w:rPr>
          <w:rFonts w:cstheme="minorHAnsi"/>
          <w:sz w:val="24"/>
          <w:szCs w:val="24"/>
          <w:lang w:val="el-GR"/>
        </w:rPr>
        <w:t>δεδομένα</w:t>
      </w:r>
      <w:r w:rsidR="00135BF7" w:rsidRPr="00135BF7">
        <w:rPr>
          <w:rFonts w:cstheme="minorHAnsi"/>
          <w:sz w:val="24"/>
          <w:szCs w:val="24"/>
          <w:lang w:val="el-GR"/>
        </w:rPr>
        <w:t xml:space="preserve"> </w:t>
      </w:r>
      <w:r w:rsidR="00135BF7">
        <w:rPr>
          <w:rFonts w:cstheme="minorHAnsi"/>
          <w:sz w:val="24"/>
          <w:szCs w:val="24"/>
          <w:lang w:val="el-GR"/>
        </w:rPr>
        <w:t>που</w:t>
      </w:r>
      <w:r w:rsidR="00135BF7" w:rsidRPr="00135BF7">
        <w:rPr>
          <w:rFonts w:cstheme="minorHAnsi"/>
          <w:sz w:val="24"/>
          <w:szCs w:val="24"/>
          <w:lang w:val="el-GR"/>
        </w:rPr>
        <w:t xml:space="preserve"> </w:t>
      </w:r>
      <w:r w:rsidR="00135BF7">
        <w:rPr>
          <w:rFonts w:cstheme="minorHAnsi"/>
          <w:sz w:val="24"/>
          <w:szCs w:val="24"/>
          <w:lang w:val="el-GR"/>
        </w:rPr>
        <w:t>συλλέγονται</w:t>
      </w:r>
      <w:r w:rsidR="00135BF7" w:rsidRPr="00135BF7">
        <w:rPr>
          <w:rFonts w:cstheme="minorHAnsi"/>
          <w:sz w:val="24"/>
          <w:szCs w:val="24"/>
          <w:lang w:val="el-GR"/>
        </w:rPr>
        <w:t xml:space="preserve"> </w:t>
      </w:r>
      <w:r w:rsidR="00135BF7">
        <w:rPr>
          <w:rFonts w:cstheme="minorHAnsi"/>
          <w:sz w:val="24"/>
          <w:szCs w:val="24"/>
          <w:lang w:val="el-GR"/>
        </w:rPr>
        <w:t>από</w:t>
      </w:r>
      <w:r w:rsidR="00135BF7" w:rsidRPr="00135BF7">
        <w:rPr>
          <w:rFonts w:cstheme="minorHAnsi"/>
          <w:sz w:val="24"/>
          <w:szCs w:val="24"/>
          <w:lang w:val="el-GR"/>
        </w:rPr>
        <w:t xml:space="preserve"> </w:t>
      </w:r>
      <w:r w:rsidR="00135BF7">
        <w:rPr>
          <w:rFonts w:cstheme="minorHAnsi"/>
          <w:sz w:val="24"/>
          <w:szCs w:val="24"/>
          <w:lang w:val="el-GR"/>
        </w:rPr>
        <w:t>την</w:t>
      </w:r>
      <w:r w:rsidR="00135BF7" w:rsidRPr="00135BF7">
        <w:rPr>
          <w:rFonts w:cstheme="minorHAnsi"/>
          <w:sz w:val="24"/>
          <w:szCs w:val="24"/>
          <w:lang w:val="el-GR"/>
        </w:rPr>
        <w:t xml:space="preserve"> </w:t>
      </w:r>
      <w:r w:rsidR="00220066" w:rsidRPr="004E251E">
        <w:rPr>
          <w:rFonts w:cstheme="minorHAnsi"/>
          <w:sz w:val="24"/>
          <w:szCs w:val="24"/>
        </w:rPr>
        <w:t>P</w:t>
      </w:r>
      <w:r w:rsidR="00220066" w:rsidRPr="00135BF7">
        <w:rPr>
          <w:rFonts w:cstheme="minorHAnsi"/>
          <w:sz w:val="24"/>
          <w:szCs w:val="24"/>
          <w:lang w:val="el-GR"/>
        </w:rPr>
        <w:t>.</w:t>
      </w:r>
      <w:r w:rsidR="00220066" w:rsidRPr="004E251E">
        <w:rPr>
          <w:rFonts w:cstheme="minorHAnsi"/>
          <w:sz w:val="24"/>
          <w:szCs w:val="24"/>
        </w:rPr>
        <w:t>I</w:t>
      </w:r>
      <w:r w:rsidR="00220066" w:rsidRPr="00135BF7">
        <w:rPr>
          <w:rFonts w:cstheme="minorHAnsi"/>
          <w:sz w:val="24"/>
          <w:szCs w:val="24"/>
          <w:lang w:val="el-GR"/>
        </w:rPr>
        <w:t>.</w:t>
      </w:r>
      <w:r w:rsidR="00220066" w:rsidRPr="004E251E">
        <w:rPr>
          <w:rFonts w:cstheme="minorHAnsi"/>
          <w:sz w:val="24"/>
          <w:szCs w:val="24"/>
        </w:rPr>
        <w:t>A</w:t>
      </w:r>
      <w:r w:rsidR="00220066" w:rsidRPr="00135BF7">
        <w:rPr>
          <w:rFonts w:cstheme="minorHAnsi"/>
          <w:sz w:val="24"/>
          <w:szCs w:val="24"/>
          <w:lang w:val="el-GR"/>
        </w:rPr>
        <w:t>.</w:t>
      </w:r>
      <w:r w:rsidR="00220066" w:rsidRPr="004E251E">
        <w:rPr>
          <w:rFonts w:cstheme="minorHAnsi"/>
          <w:sz w:val="24"/>
          <w:szCs w:val="24"/>
        </w:rPr>
        <w:t>S</w:t>
      </w:r>
      <w:r w:rsidR="00220066" w:rsidRPr="00135BF7">
        <w:rPr>
          <w:rFonts w:cstheme="minorHAnsi"/>
          <w:sz w:val="24"/>
          <w:szCs w:val="24"/>
          <w:lang w:val="el-GR"/>
        </w:rPr>
        <w:t xml:space="preserve">. </w:t>
      </w:r>
      <w:r w:rsidR="00135BF7">
        <w:rPr>
          <w:rFonts w:cstheme="minorHAnsi"/>
          <w:sz w:val="24"/>
          <w:szCs w:val="24"/>
          <w:lang w:val="el-GR"/>
        </w:rPr>
        <w:t>χρησιμοποιούνται</w:t>
      </w:r>
      <w:r w:rsidR="00135BF7" w:rsidRPr="00135BF7">
        <w:rPr>
          <w:rFonts w:cstheme="minorHAnsi"/>
          <w:sz w:val="24"/>
          <w:szCs w:val="24"/>
          <w:lang w:val="el-GR"/>
        </w:rPr>
        <w:t xml:space="preserve"> </w:t>
      </w:r>
      <w:r w:rsidR="00135BF7">
        <w:rPr>
          <w:rFonts w:cstheme="minorHAnsi"/>
          <w:sz w:val="24"/>
          <w:szCs w:val="24"/>
          <w:lang w:val="el-GR"/>
        </w:rPr>
        <w:t>μόνο</w:t>
      </w:r>
      <w:r w:rsidR="00135BF7" w:rsidRPr="00135BF7">
        <w:rPr>
          <w:rFonts w:cstheme="minorHAnsi"/>
          <w:sz w:val="24"/>
          <w:szCs w:val="24"/>
          <w:lang w:val="el-GR"/>
        </w:rPr>
        <w:t xml:space="preserve"> </w:t>
      </w:r>
      <w:r w:rsidR="00135BF7">
        <w:rPr>
          <w:rFonts w:cstheme="minorHAnsi"/>
          <w:sz w:val="24"/>
          <w:szCs w:val="24"/>
          <w:lang w:val="el-GR"/>
        </w:rPr>
        <w:t>για</w:t>
      </w:r>
      <w:r w:rsidR="00135BF7" w:rsidRPr="00135BF7">
        <w:rPr>
          <w:rFonts w:cstheme="minorHAnsi"/>
          <w:sz w:val="24"/>
          <w:szCs w:val="24"/>
          <w:lang w:val="el-GR"/>
        </w:rPr>
        <w:t xml:space="preserve"> </w:t>
      </w:r>
      <w:r w:rsidR="00135BF7">
        <w:rPr>
          <w:rFonts w:cstheme="minorHAnsi"/>
          <w:sz w:val="24"/>
          <w:szCs w:val="24"/>
          <w:lang w:val="el-GR"/>
        </w:rPr>
        <w:t>την</w:t>
      </w:r>
      <w:r w:rsidR="00135BF7" w:rsidRPr="00135BF7">
        <w:rPr>
          <w:rFonts w:cstheme="minorHAnsi"/>
          <w:sz w:val="24"/>
          <w:szCs w:val="24"/>
          <w:lang w:val="el-GR"/>
        </w:rPr>
        <w:t xml:space="preserve"> </w:t>
      </w:r>
      <w:r w:rsidR="00135BF7">
        <w:rPr>
          <w:rFonts w:cstheme="minorHAnsi"/>
          <w:sz w:val="24"/>
          <w:szCs w:val="24"/>
          <w:lang w:val="el-GR"/>
        </w:rPr>
        <w:t>εκτέλεση της αποστολής της και όχι σε σχέση με την διερεύνηση οποιουδήποτε άλλου αδικήματος</w:t>
      </w:r>
      <w:r w:rsidR="00220066" w:rsidRPr="00135BF7">
        <w:rPr>
          <w:rFonts w:cstheme="minorHAnsi"/>
          <w:sz w:val="24"/>
          <w:szCs w:val="24"/>
          <w:lang w:val="el-GR"/>
        </w:rPr>
        <w:t xml:space="preserve"> (</w:t>
      </w:r>
      <w:r w:rsidR="00135BF7">
        <w:rPr>
          <w:rFonts w:cstheme="minorHAnsi"/>
          <w:sz w:val="24"/>
          <w:szCs w:val="24"/>
          <w:lang w:val="el-GR"/>
        </w:rPr>
        <w:t>δηλαδή εκτός από την διαφθορά</w:t>
      </w:r>
      <w:r w:rsidR="00220066" w:rsidRPr="00135BF7">
        <w:rPr>
          <w:rFonts w:cstheme="minorHAnsi"/>
          <w:sz w:val="24"/>
          <w:szCs w:val="24"/>
          <w:lang w:val="el-GR"/>
        </w:rPr>
        <w:t xml:space="preserve">). </w:t>
      </w:r>
    </w:p>
    <w:p w14:paraId="665D3813" w14:textId="77777777" w:rsidR="00220066" w:rsidRPr="00135BF7" w:rsidRDefault="00220066" w:rsidP="00220066">
      <w:pPr>
        <w:keepNext/>
        <w:tabs>
          <w:tab w:val="left" w:pos="709"/>
        </w:tabs>
        <w:rPr>
          <w:rFonts w:cstheme="minorHAnsi"/>
          <w:sz w:val="24"/>
          <w:szCs w:val="24"/>
          <w:lang w:val="el-GR"/>
        </w:rPr>
      </w:pPr>
    </w:p>
    <w:p w14:paraId="213D1C34" w14:textId="4C5464DF" w:rsidR="00220066" w:rsidRPr="0052567E" w:rsidRDefault="00135BF7"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Η</w:t>
      </w:r>
      <w:r w:rsidRPr="00135BF7">
        <w:rPr>
          <w:rFonts w:cstheme="minorHAnsi"/>
          <w:sz w:val="24"/>
          <w:szCs w:val="24"/>
          <w:lang w:val="el-GR"/>
        </w:rPr>
        <w:t xml:space="preserve"> </w:t>
      </w:r>
      <w:r w:rsidR="00220066" w:rsidRPr="004E251E">
        <w:rPr>
          <w:rFonts w:cstheme="minorHAnsi"/>
          <w:sz w:val="24"/>
          <w:szCs w:val="24"/>
        </w:rPr>
        <w:t>P</w:t>
      </w:r>
      <w:r w:rsidR="00220066" w:rsidRPr="00135BF7">
        <w:rPr>
          <w:rFonts w:cstheme="minorHAnsi"/>
          <w:sz w:val="24"/>
          <w:szCs w:val="24"/>
          <w:lang w:val="el-GR"/>
        </w:rPr>
        <w:t>.</w:t>
      </w:r>
      <w:r w:rsidR="00220066" w:rsidRPr="004E251E">
        <w:rPr>
          <w:rFonts w:cstheme="minorHAnsi"/>
          <w:sz w:val="24"/>
          <w:szCs w:val="24"/>
        </w:rPr>
        <w:t>I</w:t>
      </w:r>
      <w:r w:rsidR="00220066" w:rsidRPr="00135BF7">
        <w:rPr>
          <w:rFonts w:cstheme="minorHAnsi"/>
          <w:sz w:val="24"/>
          <w:szCs w:val="24"/>
          <w:lang w:val="el-GR"/>
        </w:rPr>
        <w:t>.</w:t>
      </w:r>
      <w:r w:rsidR="00220066" w:rsidRPr="004E251E">
        <w:rPr>
          <w:rFonts w:cstheme="minorHAnsi"/>
          <w:sz w:val="24"/>
          <w:szCs w:val="24"/>
        </w:rPr>
        <w:t>A</w:t>
      </w:r>
      <w:r w:rsidR="00220066" w:rsidRPr="00135BF7">
        <w:rPr>
          <w:rFonts w:cstheme="minorHAnsi"/>
          <w:sz w:val="24"/>
          <w:szCs w:val="24"/>
          <w:lang w:val="el-GR"/>
        </w:rPr>
        <w:t>.</w:t>
      </w:r>
      <w:r w:rsidR="00220066" w:rsidRPr="004E251E">
        <w:rPr>
          <w:rFonts w:cstheme="minorHAnsi"/>
          <w:sz w:val="24"/>
          <w:szCs w:val="24"/>
        </w:rPr>
        <w:t>S</w:t>
      </w:r>
      <w:r w:rsidR="00220066" w:rsidRPr="00135BF7">
        <w:rPr>
          <w:rFonts w:cstheme="minorHAnsi"/>
          <w:sz w:val="24"/>
          <w:szCs w:val="24"/>
          <w:lang w:val="el-GR"/>
        </w:rPr>
        <w:t xml:space="preserve">. </w:t>
      </w:r>
      <w:r>
        <w:rPr>
          <w:rFonts w:cstheme="minorHAnsi"/>
          <w:sz w:val="24"/>
          <w:szCs w:val="24"/>
          <w:lang w:val="el-GR"/>
        </w:rPr>
        <w:t>είναι</w:t>
      </w:r>
      <w:r w:rsidRPr="00135BF7">
        <w:rPr>
          <w:rFonts w:cstheme="minorHAnsi"/>
          <w:sz w:val="24"/>
          <w:szCs w:val="24"/>
          <w:lang w:val="el-GR"/>
        </w:rPr>
        <w:t xml:space="preserve"> </w:t>
      </w:r>
      <w:r>
        <w:rPr>
          <w:rFonts w:cstheme="minorHAnsi"/>
          <w:sz w:val="24"/>
          <w:szCs w:val="24"/>
          <w:lang w:val="el-GR"/>
        </w:rPr>
        <w:t>επανδρωμένη</w:t>
      </w:r>
      <w:r w:rsidRPr="00135BF7">
        <w:rPr>
          <w:rFonts w:cstheme="minorHAnsi"/>
          <w:sz w:val="24"/>
          <w:szCs w:val="24"/>
          <w:lang w:val="el-GR"/>
        </w:rPr>
        <w:t xml:space="preserve"> </w:t>
      </w:r>
      <w:r>
        <w:rPr>
          <w:rFonts w:cstheme="minorHAnsi"/>
          <w:sz w:val="24"/>
          <w:szCs w:val="24"/>
          <w:lang w:val="el-GR"/>
        </w:rPr>
        <w:t>με</w:t>
      </w:r>
      <w:r w:rsidRPr="00135BF7">
        <w:rPr>
          <w:rFonts w:cstheme="minorHAnsi"/>
          <w:sz w:val="24"/>
          <w:szCs w:val="24"/>
          <w:lang w:val="el-GR"/>
        </w:rPr>
        <w:t xml:space="preserve"> </w:t>
      </w:r>
      <w:r>
        <w:rPr>
          <w:rFonts w:cstheme="minorHAnsi"/>
          <w:sz w:val="24"/>
          <w:szCs w:val="24"/>
          <w:lang w:val="el-GR"/>
        </w:rPr>
        <w:t>μέλη</w:t>
      </w:r>
      <w:r w:rsidRPr="00135BF7">
        <w:rPr>
          <w:rFonts w:cstheme="minorHAnsi"/>
          <w:sz w:val="24"/>
          <w:szCs w:val="24"/>
          <w:lang w:val="el-GR"/>
        </w:rPr>
        <w:t xml:space="preserve"> </w:t>
      </w:r>
      <w:r>
        <w:rPr>
          <w:rFonts w:cstheme="minorHAnsi"/>
          <w:sz w:val="24"/>
          <w:szCs w:val="24"/>
          <w:lang w:val="el-GR"/>
        </w:rPr>
        <w:t>της</w:t>
      </w:r>
      <w:r w:rsidRPr="00135BF7">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135BF7">
        <w:rPr>
          <w:rFonts w:cstheme="minorHAnsi"/>
          <w:sz w:val="24"/>
          <w:szCs w:val="24"/>
          <w:lang w:val="el-GR"/>
        </w:rPr>
        <w:t xml:space="preserve"> </w:t>
      </w:r>
      <w:r>
        <w:rPr>
          <w:rFonts w:cstheme="minorHAnsi"/>
          <w:sz w:val="24"/>
          <w:szCs w:val="24"/>
          <w:lang w:val="el-GR"/>
        </w:rPr>
        <w:t>που</w:t>
      </w:r>
      <w:r w:rsidRPr="00135BF7">
        <w:rPr>
          <w:rFonts w:cstheme="minorHAnsi"/>
          <w:sz w:val="24"/>
          <w:szCs w:val="24"/>
          <w:lang w:val="el-GR"/>
        </w:rPr>
        <w:t xml:space="preserve"> </w:t>
      </w:r>
      <w:r>
        <w:rPr>
          <w:rFonts w:cstheme="minorHAnsi"/>
          <w:sz w:val="24"/>
          <w:szCs w:val="24"/>
          <w:lang w:val="el-GR"/>
        </w:rPr>
        <w:t>επιλέγονται</w:t>
      </w:r>
      <w:r w:rsidR="00220066" w:rsidRPr="00135BF7">
        <w:rPr>
          <w:rFonts w:cstheme="minorHAnsi"/>
          <w:sz w:val="24"/>
          <w:szCs w:val="24"/>
          <w:lang w:val="el-GR"/>
        </w:rPr>
        <w:t xml:space="preserve">, </w:t>
      </w:r>
      <w:r>
        <w:rPr>
          <w:rFonts w:cstheme="minorHAnsi"/>
          <w:sz w:val="24"/>
          <w:szCs w:val="24"/>
          <w:lang w:val="el-GR"/>
        </w:rPr>
        <w:t>αναπτύσσονται</w:t>
      </w:r>
      <w:r w:rsidR="00220066" w:rsidRPr="00135BF7">
        <w:rPr>
          <w:rFonts w:cstheme="minorHAnsi"/>
          <w:sz w:val="24"/>
          <w:szCs w:val="24"/>
          <w:lang w:val="el-GR"/>
        </w:rPr>
        <w:t xml:space="preserve">, </w:t>
      </w:r>
      <w:r>
        <w:rPr>
          <w:rFonts w:cstheme="minorHAnsi"/>
          <w:sz w:val="24"/>
          <w:szCs w:val="24"/>
          <w:lang w:val="el-GR"/>
        </w:rPr>
        <w:t>και</w:t>
      </w:r>
      <w:r w:rsidRPr="00135BF7">
        <w:rPr>
          <w:rFonts w:cstheme="minorHAnsi"/>
          <w:sz w:val="24"/>
          <w:szCs w:val="24"/>
          <w:lang w:val="el-GR"/>
        </w:rPr>
        <w:t xml:space="preserve"> </w:t>
      </w:r>
      <w:r>
        <w:rPr>
          <w:rFonts w:cstheme="minorHAnsi"/>
          <w:sz w:val="24"/>
          <w:szCs w:val="24"/>
          <w:lang w:val="el-GR"/>
        </w:rPr>
        <w:t>μετατίθενται</w:t>
      </w:r>
      <w:r w:rsidR="00220066" w:rsidRPr="00135BF7">
        <w:rPr>
          <w:rFonts w:cstheme="minorHAnsi"/>
          <w:sz w:val="24"/>
          <w:szCs w:val="24"/>
          <w:lang w:val="el-GR"/>
        </w:rPr>
        <w:t xml:space="preserve"> </w:t>
      </w:r>
      <w:r>
        <w:rPr>
          <w:rFonts w:cstheme="minorHAnsi"/>
          <w:sz w:val="24"/>
          <w:szCs w:val="24"/>
          <w:lang w:val="el-GR"/>
        </w:rPr>
        <w:t>από</w:t>
      </w:r>
      <w:r w:rsidRPr="00135BF7">
        <w:rPr>
          <w:rFonts w:cstheme="minorHAnsi"/>
          <w:sz w:val="24"/>
          <w:szCs w:val="24"/>
          <w:lang w:val="el-GR"/>
        </w:rPr>
        <w:t xml:space="preserve"> </w:t>
      </w:r>
      <w:r>
        <w:rPr>
          <w:rFonts w:cstheme="minorHAnsi"/>
          <w:sz w:val="24"/>
          <w:szCs w:val="24"/>
          <w:lang w:val="el-GR"/>
        </w:rPr>
        <w:t>τον</w:t>
      </w:r>
      <w:r w:rsidRPr="00135BF7">
        <w:rPr>
          <w:rFonts w:cstheme="minorHAnsi"/>
          <w:sz w:val="24"/>
          <w:szCs w:val="24"/>
          <w:lang w:val="el-GR"/>
        </w:rPr>
        <w:t xml:space="preserve"> </w:t>
      </w:r>
      <w:r>
        <w:rPr>
          <w:rFonts w:cstheme="minorHAnsi"/>
          <w:sz w:val="24"/>
          <w:szCs w:val="24"/>
          <w:lang w:val="el-GR"/>
        </w:rPr>
        <w:t>Αρχηγό</w:t>
      </w:r>
      <w:r w:rsidRPr="00135BF7">
        <w:rPr>
          <w:rFonts w:cstheme="minorHAnsi"/>
          <w:sz w:val="24"/>
          <w:szCs w:val="24"/>
          <w:lang w:val="el-GR"/>
        </w:rPr>
        <w:t xml:space="preserve"> </w:t>
      </w:r>
      <w:r>
        <w:rPr>
          <w:rFonts w:cstheme="minorHAnsi"/>
          <w:sz w:val="24"/>
          <w:szCs w:val="24"/>
          <w:lang w:val="el-GR"/>
        </w:rPr>
        <w:t>της</w:t>
      </w:r>
      <w:r w:rsidRPr="00135BF7">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135BF7">
        <w:rPr>
          <w:rFonts w:cstheme="minorHAnsi"/>
          <w:sz w:val="24"/>
          <w:szCs w:val="24"/>
          <w:lang w:val="el-GR"/>
        </w:rPr>
        <w:t xml:space="preserve"> </w:t>
      </w:r>
      <w:r>
        <w:rPr>
          <w:rFonts w:cstheme="minorHAnsi"/>
          <w:sz w:val="24"/>
          <w:szCs w:val="24"/>
          <w:lang w:val="el-GR"/>
        </w:rPr>
        <w:t xml:space="preserve">για μια περίοδο τεσσάρων </w:t>
      </w:r>
      <w:r>
        <w:rPr>
          <w:rFonts w:cstheme="minorHAnsi"/>
          <w:sz w:val="24"/>
          <w:szCs w:val="24"/>
          <w:lang w:val="el-GR"/>
        </w:rPr>
        <w:lastRenderedPageBreak/>
        <w:t>χρόνων</w:t>
      </w:r>
      <w:r w:rsidR="00220066" w:rsidRPr="00135BF7">
        <w:rPr>
          <w:rFonts w:cstheme="minorHAnsi"/>
          <w:sz w:val="24"/>
          <w:szCs w:val="24"/>
          <w:lang w:val="el-GR"/>
        </w:rPr>
        <w:t xml:space="preserve">, </w:t>
      </w:r>
      <w:r>
        <w:rPr>
          <w:rFonts w:cstheme="minorHAnsi"/>
          <w:sz w:val="24"/>
          <w:szCs w:val="24"/>
          <w:lang w:val="el-GR"/>
        </w:rPr>
        <w:t>που μπορεί να επεκταθεί μόνο μια φορά, για μια επιπρόσθετη περίοδο δύο χρόνων</w:t>
      </w:r>
      <w:r w:rsidR="00220066" w:rsidRPr="00135BF7">
        <w:rPr>
          <w:rFonts w:cstheme="minorHAnsi"/>
          <w:sz w:val="24"/>
          <w:szCs w:val="24"/>
          <w:lang w:val="el-GR"/>
        </w:rPr>
        <w:t xml:space="preserve">. </w:t>
      </w:r>
      <w:r>
        <w:rPr>
          <w:rFonts w:cstheme="minorHAnsi"/>
          <w:sz w:val="24"/>
          <w:szCs w:val="24"/>
          <w:lang w:val="el-GR"/>
        </w:rPr>
        <w:t>Υπάρχουν</w:t>
      </w:r>
      <w:r w:rsidRPr="0052567E">
        <w:rPr>
          <w:rFonts w:cstheme="minorHAnsi"/>
          <w:sz w:val="24"/>
          <w:szCs w:val="24"/>
          <w:lang w:val="el-GR"/>
        </w:rPr>
        <w:t xml:space="preserve"> </w:t>
      </w:r>
      <w:r>
        <w:rPr>
          <w:rFonts w:cstheme="minorHAnsi"/>
          <w:sz w:val="24"/>
          <w:szCs w:val="24"/>
          <w:lang w:val="el-GR"/>
        </w:rPr>
        <w:t>πολύ</w:t>
      </w:r>
      <w:r w:rsidRPr="0052567E">
        <w:rPr>
          <w:rFonts w:cstheme="minorHAnsi"/>
          <w:sz w:val="24"/>
          <w:szCs w:val="24"/>
          <w:lang w:val="el-GR"/>
        </w:rPr>
        <w:t xml:space="preserve"> </w:t>
      </w:r>
      <w:r>
        <w:rPr>
          <w:rFonts w:cstheme="minorHAnsi"/>
          <w:sz w:val="24"/>
          <w:szCs w:val="24"/>
          <w:lang w:val="el-GR"/>
        </w:rPr>
        <w:t>αυστηρές</w:t>
      </w:r>
      <w:r w:rsidRPr="0052567E">
        <w:rPr>
          <w:rFonts w:cstheme="minorHAnsi"/>
          <w:sz w:val="24"/>
          <w:szCs w:val="24"/>
          <w:lang w:val="el-GR"/>
        </w:rPr>
        <w:t xml:space="preserve"> </w:t>
      </w:r>
      <w:r>
        <w:rPr>
          <w:rFonts w:cstheme="minorHAnsi"/>
          <w:sz w:val="24"/>
          <w:szCs w:val="24"/>
          <w:lang w:val="el-GR"/>
        </w:rPr>
        <w:t>απαιτήσεις</w:t>
      </w:r>
      <w:r w:rsidRPr="0052567E">
        <w:rPr>
          <w:rFonts w:cstheme="minorHAnsi"/>
          <w:sz w:val="24"/>
          <w:szCs w:val="24"/>
          <w:lang w:val="el-GR"/>
        </w:rPr>
        <w:t xml:space="preserve"> </w:t>
      </w:r>
      <w:r>
        <w:rPr>
          <w:rFonts w:cstheme="minorHAnsi"/>
          <w:sz w:val="24"/>
          <w:szCs w:val="24"/>
          <w:lang w:val="el-GR"/>
        </w:rPr>
        <w:t>ακεραιότητας</w:t>
      </w:r>
      <w:r w:rsidRPr="0052567E">
        <w:rPr>
          <w:rFonts w:cstheme="minorHAnsi"/>
          <w:sz w:val="24"/>
          <w:szCs w:val="24"/>
          <w:lang w:val="el-GR"/>
        </w:rPr>
        <w:t xml:space="preserve"> </w:t>
      </w:r>
      <w:r>
        <w:rPr>
          <w:rFonts w:cstheme="minorHAnsi"/>
          <w:sz w:val="24"/>
          <w:szCs w:val="24"/>
          <w:lang w:val="el-GR"/>
        </w:rPr>
        <w:t>και</w:t>
      </w:r>
      <w:r w:rsidR="00220066" w:rsidRPr="0052567E">
        <w:rPr>
          <w:rFonts w:cstheme="minorHAnsi"/>
          <w:sz w:val="24"/>
          <w:szCs w:val="24"/>
          <w:lang w:val="el-GR"/>
        </w:rPr>
        <w:t xml:space="preserve"> (</w:t>
      </w:r>
      <w:r>
        <w:rPr>
          <w:rFonts w:cstheme="minorHAnsi"/>
          <w:sz w:val="24"/>
          <w:szCs w:val="24"/>
          <w:lang w:val="el-GR"/>
        </w:rPr>
        <w:t>διερευνητικής</w:t>
      </w:r>
      <w:r w:rsidR="00220066" w:rsidRPr="0052567E">
        <w:rPr>
          <w:rFonts w:cstheme="minorHAnsi"/>
          <w:sz w:val="24"/>
          <w:szCs w:val="24"/>
          <w:lang w:val="el-GR"/>
        </w:rPr>
        <w:t xml:space="preserve">) </w:t>
      </w:r>
      <w:r>
        <w:rPr>
          <w:rFonts w:cstheme="minorHAnsi"/>
          <w:sz w:val="24"/>
          <w:szCs w:val="24"/>
          <w:lang w:val="el-GR"/>
        </w:rPr>
        <w:t>εμπειρίας</w:t>
      </w:r>
      <w:r w:rsidR="0052567E" w:rsidRPr="0052567E">
        <w:rPr>
          <w:rFonts w:cstheme="minorHAnsi"/>
          <w:sz w:val="24"/>
          <w:szCs w:val="24"/>
          <w:lang w:val="el-GR"/>
        </w:rPr>
        <w:t xml:space="preserve"> </w:t>
      </w:r>
      <w:r w:rsidR="0052567E">
        <w:rPr>
          <w:rFonts w:cstheme="minorHAnsi"/>
          <w:sz w:val="24"/>
          <w:szCs w:val="24"/>
          <w:lang w:val="el-GR"/>
        </w:rPr>
        <w:t>για</w:t>
      </w:r>
      <w:r w:rsidR="0052567E" w:rsidRPr="0052567E">
        <w:rPr>
          <w:rFonts w:cstheme="minorHAnsi"/>
          <w:sz w:val="24"/>
          <w:szCs w:val="24"/>
          <w:lang w:val="el-GR"/>
        </w:rPr>
        <w:t xml:space="preserve"> </w:t>
      </w:r>
      <w:r w:rsidR="0052567E">
        <w:rPr>
          <w:rFonts w:cstheme="minorHAnsi"/>
          <w:sz w:val="24"/>
          <w:szCs w:val="24"/>
          <w:lang w:val="el-GR"/>
        </w:rPr>
        <w:t>να</w:t>
      </w:r>
      <w:r w:rsidR="0052567E" w:rsidRPr="0052567E">
        <w:rPr>
          <w:rFonts w:cstheme="minorHAnsi"/>
          <w:sz w:val="24"/>
          <w:szCs w:val="24"/>
          <w:lang w:val="el-GR"/>
        </w:rPr>
        <w:t xml:space="preserve"> </w:t>
      </w:r>
      <w:r w:rsidR="0052567E">
        <w:rPr>
          <w:rFonts w:cstheme="minorHAnsi"/>
          <w:sz w:val="24"/>
          <w:szCs w:val="24"/>
          <w:lang w:val="el-GR"/>
        </w:rPr>
        <w:t>ενταχθεί</w:t>
      </w:r>
      <w:r w:rsidR="0052567E" w:rsidRPr="0052567E">
        <w:rPr>
          <w:rFonts w:cstheme="minorHAnsi"/>
          <w:sz w:val="24"/>
          <w:szCs w:val="24"/>
          <w:lang w:val="el-GR"/>
        </w:rPr>
        <w:t xml:space="preserve"> </w:t>
      </w:r>
      <w:r w:rsidR="0052567E">
        <w:rPr>
          <w:rFonts w:cstheme="minorHAnsi"/>
          <w:sz w:val="24"/>
          <w:szCs w:val="24"/>
          <w:lang w:val="el-GR"/>
        </w:rPr>
        <w:t>κανείς</w:t>
      </w:r>
      <w:r w:rsidR="0052567E" w:rsidRPr="0052567E">
        <w:rPr>
          <w:rFonts w:cstheme="minorHAnsi"/>
          <w:sz w:val="24"/>
          <w:szCs w:val="24"/>
          <w:lang w:val="el-GR"/>
        </w:rPr>
        <w:t xml:space="preserve"> </w:t>
      </w:r>
      <w:r w:rsidR="0052567E">
        <w:rPr>
          <w:rFonts w:cstheme="minorHAnsi"/>
          <w:sz w:val="24"/>
          <w:szCs w:val="24"/>
          <w:lang w:val="el-GR"/>
        </w:rPr>
        <w:t>στην</w:t>
      </w:r>
      <w:r w:rsidR="00220066" w:rsidRPr="0052567E">
        <w:rPr>
          <w:rFonts w:cstheme="minorHAnsi"/>
          <w:sz w:val="24"/>
          <w:szCs w:val="24"/>
          <w:lang w:val="el-GR"/>
        </w:rPr>
        <w:t xml:space="preserve"> </w:t>
      </w:r>
      <w:r w:rsidR="00220066" w:rsidRPr="004E251E">
        <w:rPr>
          <w:rFonts w:cstheme="minorHAnsi"/>
          <w:sz w:val="24"/>
          <w:szCs w:val="24"/>
        </w:rPr>
        <w:t>P</w:t>
      </w:r>
      <w:r w:rsidR="00220066" w:rsidRPr="0052567E">
        <w:rPr>
          <w:rFonts w:cstheme="minorHAnsi"/>
          <w:sz w:val="24"/>
          <w:szCs w:val="24"/>
          <w:lang w:val="el-GR"/>
        </w:rPr>
        <w:t>.</w:t>
      </w:r>
      <w:r w:rsidR="00220066" w:rsidRPr="004E251E">
        <w:rPr>
          <w:rFonts w:cstheme="minorHAnsi"/>
          <w:sz w:val="24"/>
          <w:szCs w:val="24"/>
        </w:rPr>
        <w:t>I</w:t>
      </w:r>
      <w:r w:rsidR="00220066" w:rsidRPr="0052567E">
        <w:rPr>
          <w:rFonts w:cstheme="minorHAnsi"/>
          <w:sz w:val="24"/>
          <w:szCs w:val="24"/>
          <w:lang w:val="el-GR"/>
        </w:rPr>
        <w:t>.</w:t>
      </w:r>
      <w:r w:rsidR="00220066" w:rsidRPr="004E251E">
        <w:rPr>
          <w:rFonts w:cstheme="minorHAnsi"/>
          <w:sz w:val="24"/>
          <w:szCs w:val="24"/>
        </w:rPr>
        <w:t>A</w:t>
      </w:r>
      <w:r w:rsidR="00220066" w:rsidRPr="0052567E">
        <w:rPr>
          <w:rFonts w:cstheme="minorHAnsi"/>
          <w:sz w:val="24"/>
          <w:szCs w:val="24"/>
          <w:lang w:val="el-GR"/>
        </w:rPr>
        <w:t>.</w:t>
      </w:r>
      <w:r w:rsidR="00220066" w:rsidRPr="004E251E">
        <w:rPr>
          <w:rFonts w:cstheme="minorHAnsi"/>
          <w:sz w:val="24"/>
          <w:szCs w:val="24"/>
        </w:rPr>
        <w:t>S</w:t>
      </w:r>
      <w:r w:rsidR="00220066" w:rsidRPr="0052567E">
        <w:rPr>
          <w:rFonts w:cstheme="minorHAnsi"/>
          <w:sz w:val="24"/>
          <w:szCs w:val="24"/>
          <w:lang w:val="el-GR"/>
        </w:rPr>
        <w:t xml:space="preserve">., </w:t>
      </w:r>
      <w:r w:rsidR="0052567E">
        <w:rPr>
          <w:rFonts w:cstheme="minorHAnsi"/>
          <w:sz w:val="24"/>
          <w:szCs w:val="24"/>
          <w:lang w:val="el-GR"/>
        </w:rPr>
        <w:t>π</w:t>
      </w:r>
      <w:r w:rsidR="00220066" w:rsidRPr="0052567E">
        <w:rPr>
          <w:rFonts w:cstheme="minorHAnsi"/>
          <w:sz w:val="24"/>
          <w:szCs w:val="24"/>
          <w:lang w:val="el-GR"/>
        </w:rPr>
        <w:t>.</w:t>
      </w:r>
      <w:r w:rsidR="0052567E">
        <w:rPr>
          <w:rFonts w:cstheme="minorHAnsi"/>
          <w:sz w:val="24"/>
          <w:szCs w:val="24"/>
          <w:lang w:val="el-GR"/>
        </w:rPr>
        <w:t>χ</w:t>
      </w:r>
      <w:r w:rsidR="00220066" w:rsidRPr="0052567E">
        <w:rPr>
          <w:rFonts w:cstheme="minorHAnsi"/>
          <w:sz w:val="24"/>
          <w:szCs w:val="24"/>
          <w:lang w:val="el-GR"/>
        </w:rPr>
        <w:t xml:space="preserve">. </w:t>
      </w:r>
      <w:r w:rsidR="0052567E">
        <w:rPr>
          <w:rFonts w:cstheme="minorHAnsi"/>
          <w:sz w:val="24"/>
          <w:szCs w:val="24"/>
          <w:lang w:val="el-GR"/>
        </w:rPr>
        <w:t>οι</w:t>
      </w:r>
      <w:r w:rsidR="0052567E" w:rsidRPr="0052567E">
        <w:rPr>
          <w:rFonts w:cstheme="minorHAnsi"/>
          <w:sz w:val="24"/>
          <w:szCs w:val="24"/>
          <w:lang w:val="el-GR"/>
        </w:rPr>
        <w:t xml:space="preserve"> </w:t>
      </w:r>
      <w:r w:rsidR="0052567E">
        <w:rPr>
          <w:rFonts w:cstheme="minorHAnsi"/>
          <w:sz w:val="24"/>
          <w:szCs w:val="24"/>
          <w:lang w:val="el-GR"/>
        </w:rPr>
        <w:t>αξιωματούχοι</w:t>
      </w:r>
      <w:r w:rsidR="0052567E" w:rsidRPr="0052567E">
        <w:rPr>
          <w:rFonts w:cstheme="minorHAnsi"/>
          <w:sz w:val="24"/>
          <w:szCs w:val="24"/>
          <w:lang w:val="el-GR"/>
        </w:rPr>
        <w:t xml:space="preserve"> </w:t>
      </w:r>
      <w:r w:rsidR="0052567E">
        <w:rPr>
          <w:rFonts w:cstheme="minorHAnsi"/>
          <w:sz w:val="24"/>
          <w:szCs w:val="24"/>
          <w:lang w:val="el-GR"/>
        </w:rPr>
        <w:t>που</w:t>
      </w:r>
      <w:r w:rsidR="0052567E" w:rsidRPr="0052567E">
        <w:rPr>
          <w:rFonts w:cstheme="minorHAnsi"/>
          <w:sz w:val="24"/>
          <w:szCs w:val="24"/>
          <w:lang w:val="el-GR"/>
        </w:rPr>
        <w:t xml:space="preserve"> </w:t>
      </w:r>
      <w:r w:rsidR="0052567E">
        <w:rPr>
          <w:rFonts w:cstheme="minorHAnsi"/>
          <w:sz w:val="24"/>
          <w:szCs w:val="24"/>
          <w:lang w:val="el-GR"/>
        </w:rPr>
        <w:t>εντάσσονται</w:t>
      </w:r>
      <w:r w:rsidR="0052567E" w:rsidRPr="0052567E">
        <w:rPr>
          <w:rFonts w:cstheme="minorHAnsi"/>
          <w:sz w:val="24"/>
          <w:szCs w:val="24"/>
          <w:lang w:val="el-GR"/>
        </w:rPr>
        <w:t xml:space="preserve"> </w:t>
      </w:r>
      <w:r w:rsidR="0052567E">
        <w:rPr>
          <w:rFonts w:cstheme="minorHAnsi"/>
          <w:sz w:val="24"/>
          <w:szCs w:val="24"/>
          <w:lang w:val="el-GR"/>
        </w:rPr>
        <w:t>στην</w:t>
      </w:r>
      <w:r w:rsidR="0052567E" w:rsidRPr="0052567E">
        <w:rPr>
          <w:rFonts w:cstheme="minorHAnsi"/>
          <w:sz w:val="24"/>
          <w:szCs w:val="24"/>
          <w:lang w:val="el-GR"/>
        </w:rPr>
        <w:t xml:space="preserve"> </w:t>
      </w:r>
      <w:r w:rsidR="0052567E">
        <w:rPr>
          <w:rFonts w:cstheme="minorHAnsi"/>
          <w:sz w:val="24"/>
          <w:szCs w:val="24"/>
          <w:lang w:val="el-GR"/>
        </w:rPr>
        <w:t>υπηρεσία</w:t>
      </w:r>
      <w:r w:rsidR="0052567E" w:rsidRPr="0052567E">
        <w:rPr>
          <w:rFonts w:cstheme="minorHAnsi"/>
          <w:sz w:val="24"/>
          <w:szCs w:val="24"/>
          <w:lang w:val="el-GR"/>
        </w:rPr>
        <w:t xml:space="preserve"> </w:t>
      </w:r>
      <w:r w:rsidR="0052567E">
        <w:rPr>
          <w:rFonts w:cstheme="minorHAnsi"/>
          <w:sz w:val="24"/>
          <w:szCs w:val="24"/>
          <w:lang w:val="el-GR"/>
        </w:rPr>
        <w:t>πρέπει</w:t>
      </w:r>
      <w:r w:rsidR="0052567E" w:rsidRPr="0052567E">
        <w:rPr>
          <w:rFonts w:cstheme="minorHAnsi"/>
          <w:sz w:val="24"/>
          <w:szCs w:val="24"/>
          <w:lang w:val="el-GR"/>
        </w:rPr>
        <w:t xml:space="preserve"> </w:t>
      </w:r>
      <w:r w:rsidR="0052567E">
        <w:rPr>
          <w:rFonts w:cstheme="minorHAnsi"/>
          <w:sz w:val="24"/>
          <w:szCs w:val="24"/>
          <w:lang w:val="el-GR"/>
        </w:rPr>
        <w:t>να</w:t>
      </w:r>
      <w:r w:rsidR="0052567E" w:rsidRPr="0052567E">
        <w:rPr>
          <w:rFonts w:cstheme="minorHAnsi"/>
          <w:sz w:val="24"/>
          <w:szCs w:val="24"/>
          <w:lang w:val="el-GR"/>
        </w:rPr>
        <w:t xml:space="preserve"> </w:t>
      </w:r>
      <w:r w:rsidR="0052567E">
        <w:rPr>
          <w:rFonts w:cstheme="minorHAnsi"/>
          <w:sz w:val="24"/>
          <w:szCs w:val="24"/>
          <w:lang w:val="el-GR"/>
        </w:rPr>
        <w:t>έχουν αναγνωρισθεί για την επαγγελματικότητα, αποδοτικότητα, αποτελεσματικότητα, ηθική</w:t>
      </w:r>
      <w:r w:rsidR="00220066" w:rsidRPr="0052567E">
        <w:rPr>
          <w:rFonts w:cstheme="minorHAnsi"/>
          <w:sz w:val="24"/>
          <w:szCs w:val="24"/>
          <w:lang w:val="el-GR"/>
        </w:rPr>
        <w:t xml:space="preserve">, </w:t>
      </w:r>
      <w:r w:rsidR="0052567E">
        <w:rPr>
          <w:rFonts w:cstheme="minorHAnsi"/>
          <w:sz w:val="24"/>
          <w:szCs w:val="24"/>
          <w:lang w:val="el-GR"/>
        </w:rPr>
        <w:t>συμπεριφορά</w:t>
      </w:r>
      <w:r w:rsidR="00220066" w:rsidRPr="0052567E">
        <w:rPr>
          <w:rFonts w:cstheme="minorHAnsi"/>
          <w:sz w:val="24"/>
          <w:szCs w:val="24"/>
          <w:lang w:val="el-GR"/>
        </w:rPr>
        <w:t xml:space="preserve">, </w:t>
      </w:r>
      <w:r w:rsidR="0052567E">
        <w:rPr>
          <w:rFonts w:cstheme="minorHAnsi"/>
          <w:sz w:val="24"/>
          <w:szCs w:val="24"/>
          <w:lang w:val="el-GR"/>
        </w:rPr>
        <w:t>υπευθυνότητα</w:t>
      </w:r>
      <w:r w:rsidR="00220066" w:rsidRPr="0052567E">
        <w:rPr>
          <w:rFonts w:cstheme="minorHAnsi"/>
          <w:sz w:val="24"/>
          <w:szCs w:val="24"/>
          <w:lang w:val="el-GR"/>
        </w:rPr>
        <w:t xml:space="preserve">, </w:t>
      </w:r>
      <w:r w:rsidR="0052567E">
        <w:rPr>
          <w:rFonts w:cstheme="minorHAnsi"/>
          <w:sz w:val="24"/>
          <w:szCs w:val="24"/>
          <w:lang w:val="el-GR"/>
        </w:rPr>
        <w:t>ευσυνειδησία</w:t>
      </w:r>
      <w:r w:rsidR="00220066" w:rsidRPr="0052567E">
        <w:rPr>
          <w:rFonts w:cstheme="minorHAnsi"/>
          <w:sz w:val="24"/>
          <w:szCs w:val="24"/>
          <w:lang w:val="el-GR"/>
        </w:rPr>
        <w:t xml:space="preserve">, </w:t>
      </w:r>
      <w:r w:rsidR="0052567E">
        <w:rPr>
          <w:rFonts w:cstheme="minorHAnsi"/>
          <w:sz w:val="24"/>
          <w:szCs w:val="24"/>
          <w:lang w:val="el-GR"/>
        </w:rPr>
        <w:t>ακεραιότητα</w:t>
      </w:r>
      <w:r w:rsidR="00220066" w:rsidRPr="0052567E">
        <w:rPr>
          <w:rFonts w:cstheme="minorHAnsi"/>
          <w:sz w:val="24"/>
          <w:szCs w:val="24"/>
          <w:lang w:val="el-GR"/>
        </w:rPr>
        <w:t xml:space="preserve"> </w:t>
      </w:r>
      <w:r w:rsidR="0052567E">
        <w:rPr>
          <w:rFonts w:cstheme="minorHAnsi"/>
          <w:sz w:val="24"/>
          <w:szCs w:val="24"/>
          <w:lang w:val="el-GR"/>
        </w:rPr>
        <w:t>και</w:t>
      </w:r>
      <w:r w:rsidR="00220066" w:rsidRPr="0052567E">
        <w:rPr>
          <w:rFonts w:cstheme="minorHAnsi"/>
          <w:sz w:val="24"/>
          <w:szCs w:val="24"/>
          <w:lang w:val="el-GR"/>
        </w:rPr>
        <w:t xml:space="preserve"> </w:t>
      </w:r>
      <w:r w:rsidR="0052567E">
        <w:rPr>
          <w:rFonts w:cstheme="minorHAnsi"/>
          <w:sz w:val="24"/>
          <w:szCs w:val="24"/>
          <w:lang w:val="el-GR"/>
        </w:rPr>
        <w:t xml:space="preserve">τιμιότητα τους, πρέπει να </w:t>
      </w:r>
      <w:r w:rsidR="0027553E">
        <w:rPr>
          <w:rFonts w:cstheme="minorHAnsi"/>
          <w:sz w:val="24"/>
          <w:szCs w:val="24"/>
          <w:lang w:val="el-GR"/>
        </w:rPr>
        <w:t>έχουν</w:t>
      </w:r>
      <w:r w:rsidR="0052567E">
        <w:rPr>
          <w:rFonts w:cstheme="minorHAnsi"/>
          <w:sz w:val="24"/>
          <w:szCs w:val="24"/>
          <w:lang w:val="el-GR"/>
        </w:rPr>
        <w:t xml:space="preserve"> ένα καθαρό ποινικό και πειθαρχικό μητρώο</w:t>
      </w:r>
      <w:r w:rsidR="00220066" w:rsidRPr="0052567E">
        <w:rPr>
          <w:rFonts w:cstheme="minorHAnsi"/>
          <w:sz w:val="24"/>
          <w:szCs w:val="24"/>
          <w:lang w:val="el-GR"/>
        </w:rPr>
        <w:t xml:space="preserve"> (</w:t>
      </w:r>
      <w:r w:rsidR="0052567E">
        <w:rPr>
          <w:rFonts w:cstheme="minorHAnsi"/>
          <w:sz w:val="24"/>
          <w:szCs w:val="24"/>
          <w:lang w:val="el-GR"/>
        </w:rPr>
        <w:t>δεν μπορούν να τιμωρηθούν με οποιαδήποτε πει</w:t>
      </w:r>
      <w:r w:rsidR="0027553E">
        <w:rPr>
          <w:rFonts w:cstheme="minorHAnsi"/>
          <w:sz w:val="24"/>
          <w:szCs w:val="24"/>
          <w:lang w:val="el-GR"/>
        </w:rPr>
        <w:t>θ</w:t>
      </w:r>
      <w:r w:rsidR="0052567E">
        <w:rPr>
          <w:rFonts w:cstheme="minorHAnsi"/>
          <w:sz w:val="24"/>
          <w:szCs w:val="24"/>
          <w:lang w:val="el-GR"/>
        </w:rPr>
        <w:t>αρχική τιμωρία εκτός από</w:t>
      </w:r>
      <w:r w:rsidR="0052567E" w:rsidRPr="0052567E">
        <w:rPr>
          <w:rFonts w:cstheme="minorHAnsi"/>
          <w:sz w:val="24"/>
          <w:szCs w:val="24"/>
          <w:lang w:val="el-GR"/>
        </w:rPr>
        <w:t xml:space="preserve"> </w:t>
      </w:r>
      <w:r w:rsidR="0052567E">
        <w:rPr>
          <w:rFonts w:cstheme="minorHAnsi"/>
          <w:sz w:val="24"/>
          <w:szCs w:val="24"/>
          <w:lang w:val="el-GR"/>
        </w:rPr>
        <w:t>την μομφή</w:t>
      </w:r>
      <w:r w:rsidR="00220066" w:rsidRPr="0052567E">
        <w:rPr>
          <w:rFonts w:cstheme="minorHAnsi"/>
          <w:sz w:val="24"/>
          <w:szCs w:val="24"/>
          <w:lang w:val="el-GR"/>
        </w:rPr>
        <w:t xml:space="preserve">), </w:t>
      </w:r>
      <w:r w:rsidR="0052567E">
        <w:rPr>
          <w:rFonts w:cstheme="minorHAnsi"/>
          <w:sz w:val="24"/>
          <w:szCs w:val="24"/>
          <w:lang w:val="el-GR"/>
        </w:rPr>
        <w:t>κλπ</w:t>
      </w:r>
      <w:r w:rsidR="00220066" w:rsidRPr="0052567E">
        <w:rPr>
          <w:rFonts w:cstheme="minorHAnsi"/>
          <w:sz w:val="24"/>
          <w:szCs w:val="24"/>
          <w:lang w:val="el-GR"/>
        </w:rPr>
        <w:t xml:space="preserve">. </w:t>
      </w:r>
    </w:p>
    <w:p w14:paraId="406FAE90" w14:textId="77777777" w:rsidR="00220066" w:rsidRPr="0052567E" w:rsidRDefault="00220066" w:rsidP="00220066">
      <w:pPr>
        <w:keepNext/>
        <w:tabs>
          <w:tab w:val="left" w:pos="709"/>
        </w:tabs>
        <w:rPr>
          <w:rFonts w:cstheme="minorHAnsi"/>
          <w:sz w:val="24"/>
          <w:szCs w:val="24"/>
          <w:lang w:val="el-GR"/>
        </w:rPr>
      </w:pPr>
    </w:p>
    <w:p w14:paraId="1788A295" w14:textId="190EBD81" w:rsidR="00220066" w:rsidRPr="00DA747F" w:rsidRDefault="003F0790"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Ε</w:t>
      </w:r>
      <w:r w:rsidR="005176B2">
        <w:rPr>
          <w:rFonts w:cstheme="minorHAnsi"/>
          <w:sz w:val="24"/>
          <w:szCs w:val="24"/>
          <w:lang w:val="el-GR"/>
        </w:rPr>
        <w:t>πιτροπή</w:t>
      </w:r>
      <w:r w:rsidR="005176B2" w:rsidRPr="005176B2">
        <w:rPr>
          <w:rFonts w:cstheme="minorHAnsi"/>
          <w:sz w:val="24"/>
          <w:szCs w:val="24"/>
          <w:lang w:val="el-GR"/>
        </w:rPr>
        <w:t xml:space="preserve"> </w:t>
      </w:r>
      <w:r>
        <w:rPr>
          <w:rFonts w:cstheme="minorHAnsi"/>
          <w:sz w:val="24"/>
          <w:szCs w:val="24"/>
          <w:lang w:val="el-GR"/>
        </w:rPr>
        <w:t xml:space="preserve">Επιλογής </w:t>
      </w:r>
      <w:r w:rsidR="005176B2">
        <w:rPr>
          <w:rFonts w:cstheme="minorHAnsi"/>
          <w:sz w:val="24"/>
          <w:szCs w:val="24"/>
          <w:lang w:val="el-GR"/>
        </w:rPr>
        <w:t>συγκροτείται</w:t>
      </w:r>
      <w:r w:rsidR="005176B2" w:rsidRPr="005176B2">
        <w:rPr>
          <w:rFonts w:cstheme="minorHAnsi"/>
          <w:sz w:val="24"/>
          <w:szCs w:val="24"/>
          <w:lang w:val="el-GR"/>
        </w:rPr>
        <w:t xml:space="preserve"> </w:t>
      </w:r>
      <w:r w:rsidR="005176B2">
        <w:rPr>
          <w:rFonts w:cstheme="minorHAnsi"/>
          <w:sz w:val="24"/>
          <w:szCs w:val="24"/>
          <w:lang w:val="el-GR"/>
        </w:rPr>
        <w:t>για</w:t>
      </w:r>
      <w:r w:rsidR="005176B2" w:rsidRPr="005176B2">
        <w:rPr>
          <w:rFonts w:cstheme="minorHAnsi"/>
          <w:sz w:val="24"/>
          <w:szCs w:val="24"/>
          <w:lang w:val="el-GR"/>
        </w:rPr>
        <w:t xml:space="preserve"> </w:t>
      </w:r>
      <w:r w:rsidR="005176B2">
        <w:rPr>
          <w:rFonts w:cstheme="minorHAnsi"/>
          <w:sz w:val="24"/>
          <w:szCs w:val="24"/>
          <w:lang w:val="el-GR"/>
        </w:rPr>
        <w:t>τον</w:t>
      </w:r>
      <w:r w:rsidR="005176B2" w:rsidRPr="005176B2">
        <w:rPr>
          <w:rFonts w:cstheme="minorHAnsi"/>
          <w:sz w:val="24"/>
          <w:szCs w:val="24"/>
          <w:lang w:val="el-GR"/>
        </w:rPr>
        <w:t xml:space="preserve"> </w:t>
      </w:r>
      <w:r w:rsidR="005176B2">
        <w:rPr>
          <w:rFonts w:cstheme="minorHAnsi"/>
          <w:sz w:val="24"/>
          <w:szCs w:val="24"/>
          <w:lang w:val="el-GR"/>
        </w:rPr>
        <w:t>σκοπό</w:t>
      </w:r>
      <w:r w:rsidR="005176B2" w:rsidRPr="005176B2">
        <w:rPr>
          <w:rFonts w:cstheme="minorHAnsi"/>
          <w:sz w:val="24"/>
          <w:szCs w:val="24"/>
          <w:lang w:val="el-GR"/>
        </w:rPr>
        <w:t xml:space="preserve"> </w:t>
      </w:r>
      <w:r w:rsidR="005176B2">
        <w:rPr>
          <w:rFonts w:cstheme="minorHAnsi"/>
          <w:sz w:val="24"/>
          <w:szCs w:val="24"/>
          <w:lang w:val="el-GR"/>
        </w:rPr>
        <w:t>της</w:t>
      </w:r>
      <w:r w:rsidR="005176B2" w:rsidRPr="005176B2">
        <w:rPr>
          <w:rFonts w:cstheme="minorHAnsi"/>
          <w:sz w:val="24"/>
          <w:szCs w:val="24"/>
          <w:lang w:val="el-GR"/>
        </w:rPr>
        <w:t xml:space="preserve"> </w:t>
      </w:r>
      <w:r w:rsidR="005176B2">
        <w:rPr>
          <w:rFonts w:cstheme="minorHAnsi"/>
          <w:sz w:val="24"/>
          <w:szCs w:val="24"/>
          <w:lang w:val="el-GR"/>
        </w:rPr>
        <w:t>εγγραφής</w:t>
      </w:r>
      <w:r w:rsidR="005176B2" w:rsidRPr="005176B2">
        <w:rPr>
          <w:rFonts w:cstheme="minorHAnsi"/>
          <w:sz w:val="24"/>
          <w:szCs w:val="24"/>
          <w:lang w:val="el-GR"/>
        </w:rPr>
        <w:t xml:space="preserve"> </w:t>
      </w:r>
      <w:r w:rsidR="005176B2">
        <w:rPr>
          <w:rFonts w:cstheme="minorHAnsi"/>
          <w:sz w:val="24"/>
          <w:szCs w:val="24"/>
          <w:lang w:val="el-GR"/>
        </w:rPr>
        <w:t>και</w:t>
      </w:r>
      <w:r w:rsidR="005176B2" w:rsidRPr="005176B2">
        <w:rPr>
          <w:rFonts w:cstheme="minorHAnsi"/>
          <w:sz w:val="24"/>
          <w:szCs w:val="24"/>
          <w:lang w:val="el-GR"/>
        </w:rPr>
        <w:t xml:space="preserve"> </w:t>
      </w:r>
      <w:r w:rsidR="005176B2">
        <w:rPr>
          <w:rFonts w:cstheme="minorHAnsi"/>
          <w:sz w:val="24"/>
          <w:szCs w:val="24"/>
          <w:lang w:val="el-GR"/>
        </w:rPr>
        <w:t>έγκρισης</w:t>
      </w:r>
      <w:r w:rsidR="005176B2" w:rsidRPr="005176B2">
        <w:rPr>
          <w:rFonts w:cstheme="minorHAnsi"/>
          <w:sz w:val="24"/>
          <w:szCs w:val="24"/>
          <w:lang w:val="el-GR"/>
        </w:rPr>
        <w:t xml:space="preserve"> </w:t>
      </w:r>
      <w:r w:rsidR="005176B2">
        <w:rPr>
          <w:rFonts w:cstheme="minorHAnsi"/>
          <w:sz w:val="24"/>
          <w:szCs w:val="24"/>
          <w:lang w:val="el-GR"/>
        </w:rPr>
        <w:t>των</w:t>
      </w:r>
      <w:r w:rsidR="005176B2" w:rsidRPr="005176B2">
        <w:rPr>
          <w:rFonts w:cstheme="minorHAnsi"/>
          <w:sz w:val="24"/>
          <w:szCs w:val="24"/>
          <w:lang w:val="el-GR"/>
        </w:rPr>
        <w:t xml:space="preserve"> </w:t>
      </w:r>
      <w:r w:rsidR="005176B2">
        <w:rPr>
          <w:rFonts w:cstheme="minorHAnsi"/>
          <w:sz w:val="24"/>
          <w:szCs w:val="24"/>
          <w:lang w:val="el-GR"/>
        </w:rPr>
        <w:t>προσόντων</w:t>
      </w:r>
      <w:r w:rsidR="005176B2" w:rsidRPr="005176B2">
        <w:rPr>
          <w:rFonts w:cstheme="minorHAnsi"/>
          <w:sz w:val="24"/>
          <w:szCs w:val="24"/>
          <w:lang w:val="el-GR"/>
        </w:rPr>
        <w:t xml:space="preserve"> </w:t>
      </w:r>
      <w:r w:rsidR="005176B2">
        <w:rPr>
          <w:rFonts w:cstheme="minorHAnsi"/>
          <w:sz w:val="24"/>
          <w:szCs w:val="24"/>
          <w:lang w:val="el-GR"/>
        </w:rPr>
        <w:t>και</w:t>
      </w:r>
      <w:r w:rsidR="005176B2" w:rsidRPr="005176B2">
        <w:rPr>
          <w:rFonts w:cstheme="minorHAnsi"/>
          <w:sz w:val="24"/>
          <w:szCs w:val="24"/>
          <w:lang w:val="el-GR"/>
        </w:rPr>
        <w:t xml:space="preserve"> </w:t>
      </w:r>
      <w:r w:rsidR="005176B2">
        <w:rPr>
          <w:rFonts w:cstheme="minorHAnsi"/>
          <w:sz w:val="24"/>
          <w:szCs w:val="24"/>
          <w:lang w:val="el-GR"/>
        </w:rPr>
        <w:t>απαιτήσεων</w:t>
      </w:r>
      <w:r w:rsidR="005176B2" w:rsidRPr="005176B2">
        <w:rPr>
          <w:rFonts w:cstheme="minorHAnsi"/>
          <w:sz w:val="24"/>
          <w:szCs w:val="24"/>
          <w:lang w:val="el-GR"/>
        </w:rPr>
        <w:t xml:space="preserve"> </w:t>
      </w:r>
      <w:r w:rsidR="005176B2">
        <w:rPr>
          <w:rFonts w:cstheme="minorHAnsi"/>
          <w:sz w:val="24"/>
          <w:szCs w:val="24"/>
          <w:lang w:val="el-GR"/>
        </w:rPr>
        <w:t>που</w:t>
      </w:r>
      <w:r w:rsidR="005176B2" w:rsidRPr="005176B2">
        <w:rPr>
          <w:rFonts w:cstheme="minorHAnsi"/>
          <w:sz w:val="24"/>
          <w:szCs w:val="24"/>
          <w:lang w:val="el-GR"/>
        </w:rPr>
        <w:t xml:space="preserve"> </w:t>
      </w:r>
      <w:r w:rsidR="005176B2">
        <w:rPr>
          <w:rFonts w:cstheme="minorHAnsi"/>
          <w:sz w:val="24"/>
          <w:szCs w:val="24"/>
          <w:lang w:val="el-GR"/>
        </w:rPr>
        <w:t>καθορίζονται</w:t>
      </w:r>
      <w:r w:rsidR="005176B2" w:rsidRPr="005176B2">
        <w:rPr>
          <w:rFonts w:cstheme="minorHAnsi"/>
          <w:sz w:val="24"/>
          <w:szCs w:val="24"/>
          <w:lang w:val="el-GR"/>
        </w:rPr>
        <w:t xml:space="preserve"> </w:t>
      </w:r>
      <w:r w:rsidR="005176B2">
        <w:rPr>
          <w:rFonts w:cstheme="minorHAnsi"/>
          <w:sz w:val="24"/>
          <w:szCs w:val="24"/>
          <w:lang w:val="el-GR"/>
        </w:rPr>
        <w:t>από</w:t>
      </w:r>
      <w:r w:rsidR="005176B2" w:rsidRPr="005176B2">
        <w:rPr>
          <w:rFonts w:cstheme="minorHAnsi"/>
          <w:sz w:val="24"/>
          <w:szCs w:val="24"/>
          <w:lang w:val="el-GR"/>
        </w:rPr>
        <w:t xml:space="preserve"> </w:t>
      </w:r>
      <w:r w:rsidR="005176B2">
        <w:rPr>
          <w:rFonts w:cstheme="minorHAnsi"/>
          <w:sz w:val="24"/>
          <w:szCs w:val="24"/>
          <w:lang w:val="el-GR"/>
        </w:rPr>
        <w:t>τον</w:t>
      </w:r>
      <w:r w:rsidR="005176B2" w:rsidRPr="005176B2">
        <w:rPr>
          <w:rFonts w:cstheme="minorHAnsi"/>
          <w:sz w:val="24"/>
          <w:szCs w:val="24"/>
          <w:lang w:val="el-GR"/>
        </w:rPr>
        <w:t xml:space="preserve"> </w:t>
      </w:r>
      <w:r w:rsidR="005176B2">
        <w:rPr>
          <w:rFonts w:cstheme="minorHAnsi"/>
          <w:sz w:val="24"/>
          <w:szCs w:val="24"/>
          <w:lang w:val="el-GR"/>
        </w:rPr>
        <w:t>νόμο</w:t>
      </w:r>
      <w:r w:rsidR="00220066" w:rsidRPr="005176B2">
        <w:rPr>
          <w:rFonts w:cstheme="minorHAnsi"/>
          <w:sz w:val="24"/>
          <w:szCs w:val="24"/>
          <w:lang w:val="el-GR"/>
        </w:rPr>
        <w:t xml:space="preserve"> </w:t>
      </w:r>
      <w:r w:rsidR="005176B2">
        <w:rPr>
          <w:rFonts w:cstheme="minorHAnsi"/>
          <w:sz w:val="24"/>
          <w:szCs w:val="24"/>
          <w:lang w:val="el-GR"/>
        </w:rPr>
        <w:t xml:space="preserve">για να ενταχθεί </w:t>
      </w:r>
      <w:r>
        <w:rPr>
          <w:rFonts w:cstheme="minorHAnsi"/>
          <w:sz w:val="24"/>
          <w:szCs w:val="24"/>
          <w:lang w:val="el-GR"/>
        </w:rPr>
        <w:t xml:space="preserve">κανείς </w:t>
      </w:r>
      <w:r w:rsidR="005176B2">
        <w:rPr>
          <w:rFonts w:cstheme="minorHAnsi"/>
          <w:sz w:val="24"/>
          <w:szCs w:val="24"/>
          <w:lang w:val="el-GR"/>
        </w:rPr>
        <w:t>στην</w:t>
      </w:r>
      <w:r w:rsidR="00220066" w:rsidRPr="005176B2">
        <w:rPr>
          <w:rFonts w:cstheme="minorHAnsi"/>
          <w:sz w:val="24"/>
          <w:szCs w:val="24"/>
          <w:lang w:val="el-GR"/>
        </w:rPr>
        <w:t xml:space="preserve"> </w:t>
      </w:r>
      <w:r w:rsidR="00220066" w:rsidRPr="004E251E">
        <w:rPr>
          <w:rFonts w:cstheme="minorHAnsi"/>
          <w:sz w:val="24"/>
          <w:szCs w:val="24"/>
        </w:rPr>
        <w:t>P</w:t>
      </w:r>
      <w:r w:rsidR="00220066" w:rsidRPr="005176B2">
        <w:rPr>
          <w:rFonts w:cstheme="minorHAnsi"/>
          <w:sz w:val="24"/>
          <w:szCs w:val="24"/>
          <w:lang w:val="el-GR"/>
        </w:rPr>
        <w:t>.</w:t>
      </w:r>
      <w:r w:rsidR="00220066" w:rsidRPr="004E251E">
        <w:rPr>
          <w:rFonts w:cstheme="minorHAnsi"/>
          <w:sz w:val="24"/>
          <w:szCs w:val="24"/>
        </w:rPr>
        <w:t>I</w:t>
      </w:r>
      <w:r w:rsidR="00220066" w:rsidRPr="005176B2">
        <w:rPr>
          <w:rFonts w:cstheme="minorHAnsi"/>
          <w:sz w:val="24"/>
          <w:szCs w:val="24"/>
          <w:lang w:val="el-GR"/>
        </w:rPr>
        <w:t>.</w:t>
      </w:r>
      <w:r w:rsidR="00220066" w:rsidRPr="004E251E">
        <w:rPr>
          <w:rFonts w:cstheme="minorHAnsi"/>
          <w:sz w:val="24"/>
          <w:szCs w:val="24"/>
        </w:rPr>
        <w:t>A</w:t>
      </w:r>
      <w:r w:rsidR="00220066" w:rsidRPr="005176B2">
        <w:rPr>
          <w:rFonts w:cstheme="minorHAnsi"/>
          <w:sz w:val="24"/>
          <w:szCs w:val="24"/>
          <w:lang w:val="el-GR"/>
        </w:rPr>
        <w:t>.</w:t>
      </w:r>
      <w:r w:rsidR="00220066" w:rsidRPr="004E251E">
        <w:rPr>
          <w:rFonts w:cstheme="minorHAnsi"/>
          <w:sz w:val="24"/>
          <w:szCs w:val="24"/>
        </w:rPr>
        <w:t>S</w:t>
      </w:r>
      <w:r w:rsidR="00220066" w:rsidRPr="005176B2">
        <w:rPr>
          <w:rFonts w:cstheme="minorHAnsi"/>
          <w:sz w:val="24"/>
          <w:szCs w:val="24"/>
          <w:lang w:val="el-GR"/>
        </w:rPr>
        <w:t xml:space="preserve">. </w:t>
      </w:r>
      <w:r w:rsidR="005176B2">
        <w:rPr>
          <w:rFonts w:cstheme="minorHAnsi"/>
          <w:sz w:val="24"/>
          <w:szCs w:val="24"/>
          <w:lang w:val="el-GR"/>
        </w:rPr>
        <w:t xml:space="preserve">Αποτελείται </w:t>
      </w:r>
      <w:r>
        <w:rPr>
          <w:rFonts w:cstheme="minorHAnsi"/>
          <w:sz w:val="24"/>
          <w:szCs w:val="24"/>
          <w:lang w:val="el-GR"/>
        </w:rPr>
        <w:t>από</w:t>
      </w:r>
      <w:r w:rsidR="005176B2">
        <w:rPr>
          <w:rFonts w:cstheme="minorHAnsi"/>
          <w:sz w:val="24"/>
          <w:szCs w:val="24"/>
          <w:lang w:val="el-GR"/>
        </w:rPr>
        <w:t xml:space="preserve"> ένα Βοηθό Αρχηγ</w:t>
      </w:r>
      <w:r>
        <w:rPr>
          <w:rFonts w:cstheme="minorHAnsi"/>
          <w:sz w:val="24"/>
          <w:szCs w:val="24"/>
          <w:lang w:val="el-GR"/>
        </w:rPr>
        <w:t>ό</w:t>
      </w:r>
      <w:r w:rsidR="005176B2">
        <w:rPr>
          <w:rFonts w:cstheme="minorHAnsi"/>
          <w:sz w:val="24"/>
          <w:szCs w:val="24"/>
          <w:lang w:val="el-GR"/>
        </w:rPr>
        <w:t xml:space="preserve"> της </w:t>
      </w:r>
      <w:r w:rsidR="009C4E34">
        <w:rPr>
          <w:rFonts w:cstheme="minorHAnsi"/>
          <w:sz w:val="24"/>
          <w:szCs w:val="24"/>
          <w:lang w:val="el-GR"/>
        </w:rPr>
        <w:t>Αστυνομία</w:t>
      </w:r>
      <w:r w:rsidR="005176B2">
        <w:rPr>
          <w:rFonts w:cstheme="minorHAnsi"/>
          <w:sz w:val="24"/>
          <w:szCs w:val="24"/>
          <w:lang w:val="el-GR"/>
        </w:rPr>
        <w:t>ς</w:t>
      </w:r>
      <w:r w:rsidR="00220066" w:rsidRPr="005176B2">
        <w:rPr>
          <w:rFonts w:cstheme="minorHAnsi"/>
          <w:sz w:val="24"/>
          <w:szCs w:val="24"/>
          <w:lang w:val="el-GR"/>
        </w:rPr>
        <w:t xml:space="preserve"> (</w:t>
      </w:r>
      <w:r w:rsidR="005176B2">
        <w:rPr>
          <w:rFonts w:cstheme="minorHAnsi"/>
          <w:sz w:val="24"/>
          <w:szCs w:val="24"/>
          <w:lang w:val="el-GR"/>
        </w:rPr>
        <w:t>ως πρόεδρος</w:t>
      </w:r>
      <w:r w:rsidR="00220066" w:rsidRPr="005176B2">
        <w:rPr>
          <w:rFonts w:cstheme="minorHAnsi"/>
          <w:sz w:val="24"/>
          <w:szCs w:val="24"/>
          <w:lang w:val="el-GR"/>
        </w:rPr>
        <w:t xml:space="preserve">), </w:t>
      </w:r>
      <w:r w:rsidR="005176B2">
        <w:rPr>
          <w:rFonts w:cstheme="minorHAnsi"/>
          <w:sz w:val="24"/>
          <w:szCs w:val="24"/>
          <w:lang w:val="el-GR"/>
        </w:rPr>
        <w:t>τον Διευθυντή της</w:t>
      </w:r>
      <w:r w:rsidR="00220066" w:rsidRPr="005176B2">
        <w:rPr>
          <w:rFonts w:cstheme="minorHAnsi"/>
          <w:sz w:val="24"/>
          <w:szCs w:val="24"/>
          <w:lang w:val="el-GR"/>
        </w:rPr>
        <w:t xml:space="preserve"> </w:t>
      </w:r>
      <w:r w:rsidR="00220066" w:rsidRPr="004E251E">
        <w:rPr>
          <w:rFonts w:cstheme="minorHAnsi"/>
          <w:sz w:val="24"/>
          <w:szCs w:val="24"/>
        </w:rPr>
        <w:t>P</w:t>
      </w:r>
      <w:r w:rsidR="00220066" w:rsidRPr="005176B2">
        <w:rPr>
          <w:rFonts w:cstheme="minorHAnsi"/>
          <w:sz w:val="24"/>
          <w:szCs w:val="24"/>
          <w:lang w:val="el-GR"/>
        </w:rPr>
        <w:t>.</w:t>
      </w:r>
      <w:r w:rsidR="00220066" w:rsidRPr="004E251E">
        <w:rPr>
          <w:rFonts w:cstheme="minorHAnsi"/>
          <w:sz w:val="24"/>
          <w:szCs w:val="24"/>
        </w:rPr>
        <w:t>I</w:t>
      </w:r>
      <w:r w:rsidR="00220066" w:rsidRPr="005176B2">
        <w:rPr>
          <w:rFonts w:cstheme="minorHAnsi"/>
          <w:sz w:val="24"/>
          <w:szCs w:val="24"/>
          <w:lang w:val="el-GR"/>
        </w:rPr>
        <w:t>.</w:t>
      </w:r>
      <w:r w:rsidR="00220066" w:rsidRPr="004E251E">
        <w:rPr>
          <w:rFonts w:cstheme="minorHAnsi"/>
          <w:sz w:val="24"/>
          <w:szCs w:val="24"/>
        </w:rPr>
        <w:t>A</w:t>
      </w:r>
      <w:r w:rsidR="00220066" w:rsidRPr="005176B2">
        <w:rPr>
          <w:rFonts w:cstheme="minorHAnsi"/>
          <w:sz w:val="24"/>
          <w:szCs w:val="24"/>
          <w:lang w:val="el-GR"/>
        </w:rPr>
        <w:t>.</w:t>
      </w:r>
      <w:r w:rsidR="00220066" w:rsidRPr="004E251E">
        <w:rPr>
          <w:rFonts w:cstheme="minorHAnsi"/>
          <w:sz w:val="24"/>
          <w:szCs w:val="24"/>
        </w:rPr>
        <w:t>S</w:t>
      </w:r>
      <w:r w:rsidR="00220066" w:rsidRPr="005176B2">
        <w:rPr>
          <w:rFonts w:cstheme="minorHAnsi"/>
          <w:sz w:val="24"/>
          <w:szCs w:val="24"/>
          <w:lang w:val="el-GR"/>
        </w:rPr>
        <w:t xml:space="preserve">. </w:t>
      </w:r>
      <w:r w:rsidR="005176B2">
        <w:rPr>
          <w:rFonts w:cstheme="minorHAnsi"/>
          <w:sz w:val="24"/>
          <w:szCs w:val="24"/>
          <w:lang w:val="el-GR"/>
        </w:rPr>
        <w:t>και ένα Ανώτερο Αστυνομικό</w:t>
      </w:r>
      <w:r w:rsidR="00220066" w:rsidRPr="005176B2">
        <w:rPr>
          <w:rFonts w:cstheme="minorHAnsi"/>
          <w:sz w:val="24"/>
          <w:szCs w:val="24"/>
          <w:lang w:val="el-GR"/>
        </w:rPr>
        <w:t xml:space="preserve"> (</w:t>
      </w:r>
      <w:r w:rsidR="005176B2">
        <w:rPr>
          <w:rFonts w:cstheme="minorHAnsi"/>
          <w:sz w:val="24"/>
          <w:szCs w:val="24"/>
          <w:lang w:val="el-GR"/>
        </w:rPr>
        <w:t>ως μέλη</w:t>
      </w:r>
      <w:r w:rsidR="00220066" w:rsidRPr="005176B2">
        <w:rPr>
          <w:rFonts w:cstheme="minorHAnsi"/>
          <w:sz w:val="24"/>
          <w:szCs w:val="24"/>
          <w:lang w:val="el-GR"/>
        </w:rPr>
        <w:t xml:space="preserve">). </w:t>
      </w:r>
      <w:r w:rsidR="00DA747F">
        <w:rPr>
          <w:rFonts w:cstheme="minorHAnsi"/>
          <w:sz w:val="24"/>
          <w:szCs w:val="24"/>
          <w:lang w:val="el-GR"/>
        </w:rPr>
        <w:t>Μετά</w:t>
      </w:r>
      <w:r w:rsidR="00DA747F" w:rsidRPr="00DA747F">
        <w:rPr>
          <w:rFonts w:cstheme="minorHAnsi"/>
          <w:sz w:val="24"/>
          <w:szCs w:val="24"/>
          <w:lang w:val="el-GR"/>
        </w:rPr>
        <w:t xml:space="preserve"> </w:t>
      </w:r>
      <w:r w:rsidR="00DA747F">
        <w:rPr>
          <w:rFonts w:cstheme="minorHAnsi"/>
          <w:sz w:val="24"/>
          <w:szCs w:val="24"/>
          <w:lang w:val="el-GR"/>
        </w:rPr>
        <w:t>από</w:t>
      </w:r>
      <w:r w:rsidR="00DA747F" w:rsidRPr="00DA747F">
        <w:rPr>
          <w:rFonts w:cstheme="minorHAnsi"/>
          <w:sz w:val="24"/>
          <w:szCs w:val="24"/>
          <w:lang w:val="el-GR"/>
        </w:rPr>
        <w:t xml:space="preserve"> </w:t>
      </w:r>
      <w:r w:rsidR="00DA747F">
        <w:rPr>
          <w:rFonts w:cstheme="minorHAnsi"/>
          <w:sz w:val="24"/>
          <w:szCs w:val="24"/>
          <w:lang w:val="el-GR"/>
        </w:rPr>
        <w:t>την</w:t>
      </w:r>
      <w:r w:rsidR="00DA747F" w:rsidRPr="00DA747F">
        <w:rPr>
          <w:rFonts w:cstheme="minorHAnsi"/>
          <w:sz w:val="24"/>
          <w:szCs w:val="24"/>
          <w:lang w:val="el-GR"/>
        </w:rPr>
        <w:t xml:space="preserve"> </w:t>
      </w:r>
      <w:r w:rsidR="00DA747F">
        <w:rPr>
          <w:rFonts w:cstheme="minorHAnsi"/>
          <w:sz w:val="24"/>
          <w:szCs w:val="24"/>
          <w:lang w:val="el-GR"/>
        </w:rPr>
        <w:t>μελέτη</w:t>
      </w:r>
      <w:r w:rsidR="00DA747F" w:rsidRPr="00DA747F">
        <w:rPr>
          <w:rFonts w:cstheme="minorHAnsi"/>
          <w:sz w:val="24"/>
          <w:szCs w:val="24"/>
          <w:lang w:val="el-GR"/>
        </w:rPr>
        <w:t xml:space="preserve"> </w:t>
      </w:r>
      <w:r w:rsidR="00DA747F">
        <w:rPr>
          <w:rFonts w:cstheme="minorHAnsi"/>
          <w:sz w:val="24"/>
          <w:szCs w:val="24"/>
          <w:lang w:val="el-GR"/>
        </w:rPr>
        <w:t>των</w:t>
      </w:r>
      <w:r w:rsidR="00DA747F" w:rsidRPr="00DA747F">
        <w:rPr>
          <w:rFonts w:cstheme="minorHAnsi"/>
          <w:sz w:val="24"/>
          <w:szCs w:val="24"/>
          <w:lang w:val="el-GR"/>
        </w:rPr>
        <w:t xml:space="preserve"> </w:t>
      </w:r>
      <w:r w:rsidR="00DA747F">
        <w:rPr>
          <w:rFonts w:cstheme="minorHAnsi"/>
          <w:sz w:val="24"/>
          <w:szCs w:val="24"/>
          <w:lang w:val="el-GR"/>
        </w:rPr>
        <w:t>προσωπικών</w:t>
      </w:r>
      <w:r w:rsidR="00DA747F" w:rsidRPr="00DA747F">
        <w:rPr>
          <w:rFonts w:cstheme="minorHAnsi"/>
          <w:sz w:val="24"/>
          <w:szCs w:val="24"/>
          <w:lang w:val="el-GR"/>
        </w:rPr>
        <w:t xml:space="preserve"> </w:t>
      </w:r>
      <w:r w:rsidR="00DA747F">
        <w:rPr>
          <w:rFonts w:cstheme="minorHAnsi"/>
          <w:sz w:val="24"/>
          <w:szCs w:val="24"/>
          <w:lang w:val="el-GR"/>
        </w:rPr>
        <w:t>φακέλων</w:t>
      </w:r>
      <w:r w:rsidR="00DA747F" w:rsidRPr="00DA747F">
        <w:rPr>
          <w:rFonts w:cstheme="minorHAnsi"/>
          <w:sz w:val="24"/>
          <w:szCs w:val="24"/>
          <w:lang w:val="el-GR"/>
        </w:rPr>
        <w:t xml:space="preserve"> </w:t>
      </w:r>
      <w:r w:rsidR="002E5EC0">
        <w:rPr>
          <w:rFonts w:cstheme="minorHAnsi"/>
          <w:sz w:val="24"/>
          <w:szCs w:val="24"/>
          <w:lang w:val="en-US"/>
        </w:rPr>
        <w:t>A</w:t>
      </w:r>
      <w:proofErr w:type="spellStart"/>
      <w:r w:rsidR="009C4E34">
        <w:rPr>
          <w:rFonts w:cstheme="minorHAnsi"/>
          <w:sz w:val="24"/>
          <w:szCs w:val="24"/>
          <w:lang w:val="el-GR"/>
        </w:rPr>
        <w:t>στυνομία</w:t>
      </w:r>
      <w:r w:rsidR="00DA747F">
        <w:rPr>
          <w:rFonts w:cstheme="minorHAnsi"/>
          <w:sz w:val="24"/>
          <w:szCs w:val="24"/>
          <w:lang w:val="el-GR"/>
        </w:rPr>
        <w:t>ς</w:t>
      </w:r>
      <w:proofErr w:type="spellEnd"/>
      <w:r w:rsidR="00DA747F" w:rsidRPr="00DA747F">
        <w:rPr>
          <w:rFonts w:cstheme="minorHAnsi"/>
          <w:sz w:val="24"/>
          <w:szCs w:val="24"/>
          <w:lang w:val="el-GR"/>
        </w:rPr>
        <w:t xml:space="preserve"> </w:t>
      </w:r>
      <w:r w:rsidR="00DA747F">
        <w:rPr>
          <w:rFonts w:cstheme="minorHAnsi"/>
          <w:sz w:val="24"/>
          <w:szCs w:val="24"/>
          <w:lang w:val="el-GR"/>
        </w:rPr>
        <w:t>των</w:t>
      </w:r>
      <w:r w:rsidR="00DA747F" w:rsidRPr="00DA747F">
        <w:rPr>
          <w:rFonts w:cstheme="minorHAnsi"/>
          <w:sz w:val="24"/>
          <w:szCs w:val="24"/>
          <w:lang w:val="el-GR"/>
        </w:rPr>
        <w:t xml:space="preserve"> </w:t>
      </w:r>
      <w:r w:rsidR="00DA747F">
        <w:rPr>
          <w:rFonts w:cstheme="minorHAnsi"/>
          <w:sz w:val="24"/>
          <w:szCs w:val="24"/>
          <w:lang w:val="el-GR"/>
        </w:rPr>
        <w:t>μελών</w:t>
      </w:r>
      <w:r w:rsidR="00DA747F" w:rsidRPr="00DA747F">
        <w:rPr>
          <w:rFonts w:cstheme="minorHAnsi"/>
          <w:sz w:val="24"/>
          <w:szCs w:val="24"/>
          <w:lang w:val="el-GR"/>
        </w:rPr>
        <w:t xml:space="preserve"> </w:t>
      </w:r>
      <w:r w:rsidR="00DA747F">
        <w:rPr>
          <w:rFonts w:cstheme="minorHAnsi"/>
          <w:sz w:val="24"/>
          <w:szCs w:val="24"/>
          <w:lang w:val="el-GR"/>
        </w:rPr>
        <w:t>της</w:t>
      </w:r>
      <w:r w:rsidR="00DA747F" w:rsidRPr="00DA747F">
        <w:rPr>
          <w:rFonts w:cstheme="minorHAnsi"/>
          <w:sz w:val="24"/>
          <w:szCs w:val="24"/>
          <w:lang w:val="el-GR"/>
        </w:rPr>
        <w:t xml:space="preserve"> </w:t>
      </w:r>
      <w:r w:rsidR="009C4E34">
        <w:rPr>
          <w:rFonts w:cstheme="minorHAnsi"/>
          <w:sz w:val="24"/>
          <w:szCs w:val="24"/>
          <w:lang w:val="el-GR"/>
        </w:rPr>
        <w:t>Αστυνομία</w:t>
      </w:r>
      <w:r w:rsidR="00DA747F">
        <w:rPr>
          <w:rFonts w:cstheme="minorHAnsi"/>
          <w:sz w:val="24"/>
          <w:szCs w:val="24"/>
          <w:lang w:val="el-GR"/>
        </w:rPr>
        <w:t>ς</w:t>
      </w:r>
      <w:r w:rsidR="00220066" w:rsidRPr="00DA747F">
        <w:rPr>
          <w:rFonts w:cstheme="minorHAnsi"/>
          <w:sz w:val="24"/>
          <w:szCs w:val="24"/>
          <w:lang w:val="el-GR"/>
        </w:rPr>
        <w:t xml:space="preserve">, </w:t>
      </w:r>
      <w:r w:rsidR="00DA747F">
        <w:rPr>
          <w:rFonts w:cstheme="minorHAnsi"/>
          <w:sz w:val="24"/>
          <w:szCs w:val="24"/>
          <w:lang w:val="el-GR"/>
        </w:rPr>
        <w:t>την</w:t>
      </w:r>
      <w:r w:rsidR="00DA747F" w:rsidRPr="00DA747F">
        <w:rPr>
          <w:rFonts w:cstheme="minorHAnsi"/>
          <w:sz w:val="24"/>
          <w:szCs w:val="24"/>
          <w:lang w:val="el-GR"/>
        </w:rPr>
        <w:t xml:space="preserve"> </w:t>
      </w:r>
      <w:r w:rsidR="00DA747F">
        <w:rPr>
          <w:rFonts w:cstheme="minorHAnsi"/>
          <w:sz w:val="24"/>
          <w:szCs w:val="24"/>
          <w:lang w:val="el-GR"/>
        </w:rPr>
        <w:t>συλλογή</w:t>
      </w:r>
      <w:r w:rsidR="00DA747F" w:rsidRPr="00DA747F">
        <w:rPr>
          <w:rFonts w:cstheme="minorHAnsi"/>
          <w:sz w:val="24"/>
          <w:szCs w:val="24"/>
          <w:lang w:val="el-GR"/>
        </w:rPr>
        <w:t xml:space="preserve"> </w:t>
      </w:r>
      <w:r w:rsidR="00DA747F">
        <w:rPr>
          <w:rFonts w:cstheme="minorHAnsi"/>
          <w:sz w:val="24"/>
          <w:szCs w:val="24"/>
          <w:lang w:val="el-GR"/>
        </w:rPr>
        <w:t>όλων</w:t>
      </w:r>
      <w:r w:rsidR="00DA747F" w:rsidRPr="00DA747F">
        <w:rPr>
          <w:rFonts w:cstheme="minorHAnsi"/>
          <w:sz w:val="24"/>
          <w:szCs w:val="24"/>
          <w:lang w:val="el-GR"/>
        </w:rPr>
        <w:t xml:space="preserve"> </w:t>
      </w:r>
      <w:r w:rsidR="00DA747F">
        <w:rPr>
          <w:rFonts w:cstheme="minorHAnsi"/>
          <w:sz w:val="24"/>
          <w:szCs w:val="24"/>
          <w:lang w:val="el-GR"/>
        </w:rPr>
        <w:t>των</w:t>
      </w:r>
      <w:r w:rsidR="00DA747F" w:rsidRPr="00DA747F">
        <w:rPr>
          <w:rFonts w:cstheme="minorHAnsi"/>
          <w:sz w:val="24"/>
          <w:szCs w:val="24"/>
          <w:lang w:val="el-GR"/>
        </w:rPr>
        <w:t xml:space="preserve"> </w:t>
      </w:r>
      <w:r w:rsidR="00DA747F">
        <w:rPr>
          <w:rFonts w:cstheme="minorHAnsi"/>
          <w:sz w:val="24"/>
          <w:szCs w:val="24"/>
          <w:lang w:val="el-GR"/>
        </w:rPr>
        <w:t>απαρα</w:t>
      </w:r>
      <w:r>
        <w:rPr>
          <w:rFonts w:cstheme="minorHAnsi"/>
          <w:sz w:val="24"/>
          <w:szCs w:val="24"/>
          <w:lang w:val="el-GR"/>
        </w:rPr>
        <w:t>ι</w:t>
      </w:r>
      <w:r w:rsidR="00DA747F">
        <w:rPr>
          <w:rFonts w:cstheme="minorHAnsi"/>
          <w:sz w:val="24"/>
          <w:szCs w:val="24"/>
          <w:lang w:val="el-GR"/>
        </w:rPr>
        <w:t>τ</w:t>
      </w:r>
      <w:r>
        <w:rPr>
          <w:rFonts w:cstheme="minorHAnsi"/>
          <w:sz w:val="24"/>
          <w:szCs w:val="24"/>
          <w:lang w:val="el-GR"/>
        </w:rPr>
        <w:t>ή</w:t>
      </w:r>
      <w:r w:rsidR="00DA747F">
        <w:rPr>
          <w:rFonts w:cstheme="minorHAnsi"/>
          <w:sz w:val="24"/>
          <w:szCs w:val="24"/>
          <w:lang w:val="el-GR"/>
        </w:rPr>
        <w:t>των</w:t>
      </w:r>
      <w:r w:rsidR="00DA747F" w:rsidRPr="00DA747F">
        <w:rPr>
          <w:rFonts w:cstheme="minorHAnsi"/>
          <w:sz w:val="24"/>
          <w:szCs w:val="24"/>
          <w:lang w:val="el-GR"/>
        </w:rPr>
        <w:t xml:space="preserve"> </w:t>
      </w:r>
      <w:r w:rsidR="00DA747F">
        <w:rPr>
          <w:rFonts w:cstheme="minorHAnsi"/>
          <w:sz w:val="24"/>
          <w:szCs w:val="24"/>
          <w:lang w:val="el-GR"/>
        </w:rPr>
        <w:t>πληροφοριών</w:t>
      </w:r>
      <w:r w:rsidR="00220066" w:rsidRPr="00DA747F">
        <w:rPr>
          <w:rFonts w:cstheme="minorHAnsi"/>
          <w:sz w:val="24"/>
          <w:szCs w:val="24"/>
          <w:lang w:val="el-GR"/>
        </w:rPr>
        <w:t xml:space="preserve">, </w:t>
      </w:r>
      <w:r w:rsidR="00DA747F">
        <w:rPr>
          <w:rFonts w:cstheme="minorHAnsi"/>
          <w:sz w:val="24"/>
          <w:szCs w:val="24"/>
          <w:lang w:val="el-GR"/>
        </w:rPr>
        <w:t>και</w:t>
      </w:r>
      <w:r w:rsidR="00DA747F" w:rsidRPr="00DA747F">
        <w:rPr>
          <w:rFonts w:cstheme="minorHAnsi"/>
          <w:sz w:val="24"/>
          <w:szCs w:val="24"/>
          <w:lang w:val="el-GR"/>
        </w:rPr>
        <w:t xml:space="preserve"> </w:t>
      </w:r>
      <w:r w:rsidR="00DA747F">
        <w:rPr>
          <w:rFonts w:cstheme="minorHAnsi"/>
          <w:sz w:val="24"/>
          <w:szCs w:val="24"/>
          <w:lang w:val="el-GR"/>
        </w:rPr>
        <w:t>την</w:t>
      </w:r>
      <w:r w:rsidR="00DA747F" w:rsidRPr="00DA747F">
        <w:rPr>
          <w:rFonts w:cstheme="minorHAnsi"/>
          <w:sz w:val="24"/>
          <w:szCs w:val="24"/>
          <w:lang w:val="el-GR"/>
        </w:rPr>
        <w:t xml:space="preserve"> </w:t>
      </w:r>
      <w:r w:rsidR="00DA747F">
        <w:rPr>
          <w:rFonts w:cstheme="minorHAnsi"/>
          <w:sz w:val="24"/>
          <w:szCs w:val="24"/>
          <w:lang w:val="el-GR"/>
        </w:rPr>
        <w:t>εξαγωγή</w:t>
      </w:r>
      <w:r w:rsidR="00DA747F" w:rsidRPr="00DA747F">
        <w:rPr>
          <w:rFonts w:cstheme="minorHAnsi"/>
          <w:sz w:val="24"/>
          <w:szCs w:val="24"/>
          <w:lang w:val="el-GR"/>
        </w:rPr>
        <w:t xml:space="preserve"> </w:t>
      </w:r>
      <w:r w:rsidR="00DA747F">
        <w:rPr>
          <w:rFonts w:cstheme="minorHAnsi"/>
          <w:sz w:val="24"/>
          <w:szCs w:val="24"/>
          <w:lang w:val="el-GR"/>
        </w:rPr>
        <w:t>όλων</w:t>
      </w:r>
      <w:r w:rsidR="00DA747F" w:rsidRPr="00DA747F">
        <w:rPr>
          <w:rFonts w:cstheme="minorHAnsi"/>
          <w:sz w:val="24"/>
          <w:szCs w:val="24"/>
          <w:lang w:val="el-GR"/>
        </w:rPr>
        <w:t xml:space="preserve"> </w:t>
      </w:r>
      <w:r w:rsidR="00DA747F">
        <w:rPr>
          <w:rFonts w:cstheme="minorHAnsi"/>
          <w:sz w:val="24"/>
          <w:szCs w:val="24"/>
          <w:lang w:val="el-GR"/>
        </w:rPr>
        <w:t>των</w:t>
      </w:r>
      <w:r w:rsidR="00DA747F" w:rsidRPr="00DA747F">
        <w:rPr>
          <w:rFonts w:cstheme="minorHAnsi"/>
          <w:sz w:val="24"/>
          <w:szCs w:val="24"/>
          <w:lang w:val="el-GR"/>
        </w:rPr>
        <w:t xml:space="preserve"> </w:t>
      </w:r>
      <w:r w:rsidR="00DA747F">
        <w:rPr>
          <w:rFonts w:cstheme="minorHAnsi"/>
          <w:sz w:val="24"/>
          <w:szCs w:val="24"/>
          <w:lang w:val="el-GR"/>
        </w:rPr>
        <w:t>σχετικών</w:t>
      </w:r>
      <w:r w:rsidR="00DA747F" w:rsidRPr="00DA747F">
        <w:rPr>
          <w:rFonts w:cstheme="minorHAnsi"/>
          <w:sz w:val="24"/>
          <w:szCs w:val="24"/>
          <w:lang w:val="el-GR"/>
        </w:rPr>
        <w:t xml:space="preserve"> </w:t>
      </w:r>
      <w:r w:rsidR="00DA747F">
        <w:rPr>
          <w:rFonts w:cstheme="minorHAnsi"/>
          <w:sz w:val="24"/>
          <w:szCs w:val="24"/>
          <w:lang w:val="el-GR"/>
        </w:rPr>
        <w:t>δεδομένων</w:t>
      </w:r>
      <w:r w:rsidR="00220066" w:rsidRPr="00DA747F">
        <w:rPr>
          <w:rFonts w:cstheme="minorHAnsi"/>
          <w:sz w:val="24"/>
          <w:szCs w:val="24"/>
          <w:lang w:val="el-GR"/>
        </w:rPr>
        <w:t xml:space="preserve">, </w:t>
      </w:r>
      <w:r w:rsidR="00DA747F">
        <w:rPr>
          <w:rFonts w:cstheme="minorHAnsi"/>
          <w:sz w:val="24"/>
          <w:szCs w:val="24"/>
          <w:lang w:val="el-GR"/>
        </w:rPr>
        <w:t>η</w:t>
      </w:r>
      <w:r w:rsidR="00DA747F" w:rsidRPr="00DA747F">
        <w:rPr>
          <w:rFonts w:cstheme="minorHAnsi"/>
          <w:sz w:val="24"/>
          <w:szCs w:val="24"/>
          <w:lang w:val="el-GR"/>
        </w:rPr>
        <w:t xml:space="preserve"> </w:t>
      </w:r>
      <w:r w:rsidR="00DA747F">
        <w:rPr>
          <w:rFonts w:cstheme="minorHAnsi"/>
          <w:sz w:val="24"/>
          <w:szCs w:val="24"/>
          <w:lang w:val="el-GR"/>
        </w:rPr>
        <w:t>Επιτροπή</w:t>
      </w:r>
      <w:r w:rsidR="00DA747F" w:rsidRPr="00DA747F">
        <w:rPr>
          <w:rFonts w:cstheme="minorHAnsi"/>
          <w:sz w:val="24"/>
          <w:szCs w:val="24"/>
          <w:lang w:val="el-GR"/>
        </w:rPr>
        <w:t xml:space="preserve"> </w:t>
      </w:r>
      <w:r w:rsidR="00DA747F">
        <w:rPr>
          <w:rFonts w:cstheme="minorHAnsi"/>
          <w:sz w:val="24"/>
          <w:szCs w:val="24"/>
          <w:lang w:val="el-GR"/>
        </w:rPr>
        <w:t>αποστέλλει</w:t>
      </w:r>
      <w:r w:rsidR="00DA747F" w:rsidRPr="00DA747F">
        <w:rPr>
          <w:rFonts w:cstheme="minorHAnsi"/>
          <w:sz w:val="24"/>
          <w:szCs w:val="24"/>
          <w:lang w:val="el-GR"/>
        </w:rPr>
        <w:t xml:space="preserve"> </w:t>
      </w:r>
      <w:r w:rsidR="00DA747F">
        <w:rPr>
          <w:rFonts w:cstheme="minorHAnsi"/>
          <w:sz w:val="24"/>
          <w:szCs w:val="24"/>
          <w:lang w:val="el-GR"/>
        </w:rPr>
        <w:t>στον</w:t>
      </w:r>
      <w:r w:rsidR="00DA747F" w:rsidRPr="00DA747F">
        <w:rPr>
          <w:rFonts w:cstheme="minorHAnsi"/>
          <w:sz w:val="24"/>
          <w:szCs w:val="24"/>
          <w:lang w:val="el-GR"/>
        </w:rPr>
        <w:t xml:space="preserve"> </w:t>
      </w:r>
      <w:r w:rsidR="00DA747F">
        <w:rPr>
          <w:rFonts w:cstheme="minorHAnsi"/>
          <w:sz w:val="24"/>
          <w:szCs w:val="24"/>
          <w:lang w:val="el-GR"/>
        </w:rPr>
        <w:t xml:space="preserve">Αρχηγό της </w:t>
      </w:r>
      <w:r w:rsidR="009C4E34">
        <w:rPr>
          <w:rFonts w:cstheme="minorHAnsi"/>
          <w:sz w:val="24"/>
          <w:szCs w:val="24"/>
          <w:lang w:val="el-GR"/>
        </w:rPr>
        <w:t>Αστυνομία</w:t>
      </w:r>
      <w:r w:rsidR="00DA747F">
        <w:rPr>
          <w:rFonts w:cstheme="minorHAnsi"/>
          <w:sz w:val="24"/>
          <w:szCs w:val="24"/>
          <w:lang w:val="el-GR"/>
        </w:rPr>
        <w:t>ς</w:t>
      </w:r>
      <w:r w:rsidR="00220066" w:rsidRPr="00DA747F">
        <w:rPr>
          <w:rFonts w:cstheme="minorHAnsi"/>
          <w:sz w:val="24"/>
          <w:szCs w:val="24"/>
          <w:lang w:val="el-GR"/>
        </w:rPr>
        <w:t xml:space="preserve"> </w:t>
      </w:r>
      <w:r w:rsidR="00DA747F">
        <w:rPr>
          <w:rFonts w:cstheme="minorHAnsi"/>
          <w:sz w:val="24"/>
          <w:szCs w:val="24"/>
          <w:lang w:val="el-GR"/>
        </w:rPr>
        <w:t>μια λεπτομερή έκθεση</w:t>
      </w:r>
      <w:r w:rsidR="00220066" w:rsidRPr="00DA747F">
        <w:rPr>
          <w:rFonts w:cstheme="minorHAnsi"/>
          <w:sz w:val="24"/>
          <w:szCs w:val="24"/>
          <w:lang w:val="el-GR"/>
        </w:rPr>
        <w:t xml:space="preserve"> </w:t>
      </w:r>
      <w:r w:rsidR="00DA747F">
        <w:rPr>
          <w:rFonts w:cstheme="minorHAnsi"/>
          <w:sz w:val="24"/>
          <w:szCs w:val="24"/>
          <w:lang w:val="el-GR"/>
        </w:rPr>
        <w:t>με τα προτεινόμενα μέλη</w:t>
      </w:r>
      <w:r w:rsidR="00220066" w:rsidRPr="00DA747F">
        <w:rPr>
          <w:rFonts w:cstheme="minorHAnsi"/>
          <w:sz w:val="24"/>
          <w:szCs w:val="24"/>
          <w:lang w:val="el-GR"/>
        </w:rPr>
        <w:t xml:space="preserve"> </w:t>
      </w:r>
      <w:r w:rsidR="00DA747F">
        <w:rPr>
          <w:rFonts w:cstheme="minorHAnsi"/>
          <w:sz w:val="24"/>
          <w:szCs w:val="24"/>
          <w:lang w:val="el-GR"/>
        </w:rPr>
        <w:t>που θα επιλεγούν για την μετάθεση τους στην</w:t>
      </w:r>
      <w:r w:rsidR="00220066" w:rsidRPr="00DA747F">
        <w:rPr>
          <w:rFonts w:cstheme="minorHAnsi"/>
          <w:sz w:val="24"/>
          <w:szCs w:val="24"/>
          <w:lang w:val="el-GR"/>
        </w:rPr>
        <w:t xml:space="preserve"> </w:t>
      </w:r>
      <w:r w:rsidR="00220066" w:rsidRPr="004E251E">
        <w:rPr>
          <w:rFonts w:cstheme="minorHAnsi"/>
          <w:sz w:val="24"/>
          <w:szCs w:val="24"/>
        </w:rPr>
        <w:t>P</w:t>
      </w:r>
      <w:r w:rsidR="00220066" w:rsidRPr="00DA747F">
        <w:rPr>
          <w:rFonts w:cstheme="minorHAnsi"/>
          <w:sz w:val="24"/>
          <w:szCs w:val="24"/>
          <w:lang w:val="el-GR"/>
        </w:rPr>
        <w:t>.</w:t>
      </w:r>
      <w:r w:rsidR="00220066" w:rsidRPr="004E251E">
        <w:rPr>
          <w:rFonts w:cstheme="minorHAnsi"/>
          <w:sz w:val="24"/>
          <w:szCs w:val="24"/>
        </w:rPr>
        <w:t>I</w:t>
      </w:r>
      <w:r w:rsidR="00220066" w:rsidRPr="00DA747F">
        <w:rPr>
          <w:rFonts w:cstheme="minorHAnsi"/>
          <w:sz w:val="24"/>
          <w:szCs w:val="24"/>
          <w:lang w:val="el-GR"/>
        </w:rPr>
        <w:t>.</w:t>
      </w:r>
      <w:r w:rsidR="00220066" w:rsidRPr="004E251E">
        <w:rPr>
          <w:rFonts w:cstheme="minorHAnsi"/>
          <w:sz w:val="24"/>
          <w:szCs w:val="24"/>
        </w:rPr>
        <w:t>A</w:t>
      </w:r>
      <w:r w:rsidR="00220066" w:rsidRPr="00DA747F">
        <w:rPr>
          <w:rFonts w:cstheme="minorHAnsi"/>
          <w:sz w:val="24"/>
          <w:szCs w:val="24"/>
          <w:lang w:val="el-GR"/>
        </w:rPr>
        <w:t>.</w:t>
      </w:r>
      <w:r w:rsidR="00220066" w:rsidRPr="004E251E">
        <w:rPr>
          <w:rFonts w:cstheme="minorHAnsi"/>
          <w:sz w:val="24"/>
          <w:szCs w:val="24"/>
        </w:rPr>
        <w:t>S</w:t>
      </w:r>
      <w:r w:rsidR="00220066" w:rsidRPr="00DA747F">
        <w:rPr>
          <w:rFonts w:cstheme="minorHAnsi"/>
          <w:sz w:val="24"/>
          <w:szCs w:val="24"/>
          <w:lang w:val="el-GR"/>
        </w:rPr>
        <w:t xml:space="preserve">. </w:t>
      </w:r>
      <w:r w:rsidR="00DA747F">
        <w:rPr>
          <w:rFonts w:cstheme="minorHAnsi"/>
          <w:sz w:val="24"/>
          <w:szCs w:val="24"/>
          <w:lang w:val="el-GR"/>
        </w:rPr>
        <w:t xml:space="preserve">Ένα μέλος της </w:t>
      </w:r>
      <w:r w:rsidR="009C4E34">
        <w:rPr>
          <w:rFonts w:cstheme="minorHAnsi"/>
          <w:sz w:val="24"/>
          <w:szCs w:val="24"/>
          <w:lang w:val="el-GR"/>
        </w:rPr>
        <w:t>Αστυνομία</w:t>
      </w:r>
      <w:r w:rsidR="00DA747F">
        <w:rPr>
          <w:rFonts w:cstheme="minorHAnsi"/>
          <w:sz w:val="24"/>
          <w:szCs w:val="24"/>
          <w:lang w:val="el-GR"/>
        </w:rPr>
        <w:t>ς</w:t>
      </w:r>
      <w:r w:rsidR="00220066" w:rsidRPr="00DA747F">
        <w:rPr>
          <w:rFonts w:cstheme="minorHAnsi"/>
          <w:sz w:val="24"/>
          <w:szCs w:val="24"/>
          <w:lang w:val="el-GR"/>
        </w:rPr>
        <w:t xml:space="preserve"> </w:t>
      </w:r>
      <w:r w:rsidR="00DA747F">
        <w:rPr>
          <w:rFonts w:cstheme="minorHAnsi"/>
          <w:sz w:val="24"/>
          <w:szCs w:val="24"/>
          <w:lang w:val="el-GR"/>
        </w:rPr>
        <w:t>δεν μπορεί να μετατεθεί στην</w:t>
      </w:r>
      <w:r w:rsidR="00220066" w:rsidRPr="00DA747F">
        <w:rPr>
          <w:rFonts w:cstheme="minorHAnsi"/>
          <w:sz w:val="24"/>
          <w:szCs w:val="24"/>
          <w:lang w:val="el-GR"/>
        </w:rPr>
        <w:t xml:space="preserve"> </w:t>
      </w:r>
      <w:r w:rsidR="00220066" w:rsidRPr="004E251E">
        <w:rPr>
          <w:rFonts w:cstheme="minorHAnsi"/>
          <w:sz w:val="24"/>
          <w:szCs w:val="24"/>
        </w:rPr>
        <w:t>P</w:t>
      </w:r>
      <w:r w:rsidR="00220066" w:rsidRPr="00DA747F">
        <w:rPr>
          <w:rFonts w:cstheme="minorHAnsi"/>
          <w:sz w:val="24"/>
          <w:szCs w:val="24"/>
          <w:lang w:val="el-GR"/>
        </w:rPr>
        <w:t>.</w:t>
      </w:r>
      <w:r w:rsidR="00220066" w:rsidRPr="004E251E">
        <w:rPr>
          <w:rFonts w:cstheme="minorHAnsi"/>
          <w:sz w:val="24"/>
          <w:szCs w:val="24"/>
        </w:rPr>
        <w:t>I</w:t>
      </w:r>
      <w:r w:rsidR="00220066" w:rsidRPr="00DA747F">
        <w:rPr>
          <w:rFonts w:cstheme="minorHAnsi"/>
          <w:sz w:val="24"/>
          <w:szCs w:val="24"/>
          <w:lang w:val="el-GR"/>
        </w:rPr>
        <w:t>.</w:t>
      </w:r>
      <w:r w:rsidR="00220066" w:rsidRPr="004E251E">
        <w:rPr>
          <w:rFonts w:cstheme="minorHAnsi"/>
          <w:sz w:val="24"/>
          <w:szCs w:val="24"/>
        </w:rPr>
        <w:t>A</w:t>
      </w:r>
      <w:r w:rsidR="00220066" w:rsidRPr="00DA747F">
        <w:rPr>
          <w:rFonts w:cstheme="minorHAnsi"/>
          <w:sz w:val="24"/>
          <w:szCs w:val="24"/>
          <w:lang w:val="el-GR"/>
        </w:rPr>
        <w:t>.</w:t>
      </w:r>
      <w:r w:rsidR="00220066" w:rsidRPr="004E251E">
        <w:rPr>
          <w:rFonts w:cstheme="minorHAnsi"/>
          <w:sz w:val="24"/>
          <w:szCs w:val="24"/>
        </w:rPr>
        <w:t>S</w:t>
      </w:r>
      <w:r w:rsidR="00220066" w:rsidRPr="00DA747F">
        <w:rPr>
          <w:rFonts w:cstheme="minorHAnsi"/>
          <w:sz w:val="24"/>
          <w:szCs w:val="24"/>
          <w:lang w:val="el-GR"/>
        </w:rPr>
        <w:t xml:space="preserve">. </w:t>
      </w:r>
      <w:r w:rsidR="00DA747F">
        <w:rPr>
          <w:rFonts w:cstheme="minorHAnsi"/>
          <w:sz w:val="24"/>
          <w:szCs w:val="24"/>
          <w:lang w:val="el-GR"/>
        </w:rPr>
        <w:t xml:space="preserve">εκτός αν το μέλος δώσει την συγκατάθεση του </w:t>
      </w:r>
      <w:proofErr w:type="spellStart"/>
      <w:r w:rsidR="00DA747F">
        <w:rPr>
          <w:rFonts w:cstheme="minorHAnsi"/>
          <w:sz w:val="24"/>
          <w:szCs w:val="24"/>
          <w:lang w:val="el-GR"/>
        </w:rPr>
        <w:t>σ’αυτήν</w:t>
      </w:r>
      <w:proofErr w:type="spellEnd"/>
      <w:r w:rsidR="00220066" w:rsidRPr="00DA747F">
        <w:rPr>
          <w:rFonts w:cstheme="minorHAnsi"/>
          <w:sz w:val="24"/>
          <w:szCs w:val="24"/>
          <w:lang w:val="el-GR"/>
        </w:rPr>
        <w:t>.</w:t>
      </w:r>
    </w:p>
    <w:p w14:paraId="6FD1E08E" w14:textId="77777777" w:rsidR="00220066" w:rsidRPr="00DA747F" w:rsidRDefault="00220066" w:rsidP="00220066">
      <w:pPr>
        <w:keepNext/>
        <w:tabs>
          <w:tab w:val="left" w:pos="709"/>
        </w:tabs>
        <w:rPr>
          <w:rFonts w:cstheme="minorHAnsi"/>
          <w:sz w:val="24"/>
          <w:szCs w:val="24"/>
          <w:lang w:val="el-GR"/>
        </w:rPr>
      </w:pPr>
    </w:p>
    <w:p w14:paraId="61A08ACA" w14:textId="7F0E54F4" w:rsidR="00220066" w:rsidRPr="00E53BEE" w:rsidRDefault="00DA747F"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Οι</w:t>
      </w:r>
      <w:r w:rsidRPr="00DA747F">
        <w:rPr>
          <w:rFonts w:cstheme="minorHAnsi"/>
          <w:sz w:val="24"/>
          <w:szCs w:val="24"/>
          <w:lang w:val="el-GR"/>
        </w:rPr>
        <w:t xml:space="preserve"> </w:t>
      </w:r>
      <w:r>
        <w:rPr>
          <w:rFonts w:cstheme="minorHAnsi"/>
          <w:sz w:val="24"/>
          <w:szCs w:val="24"/>
          <w:lang w:val="el-GR"/>
        </w:rPr>
        <w:t>οικονομικοί</w:t>
      </w:r>
      <w:r w:rsidRPr="00DA747F">
        <w:rPr>
          <w:rFonts w:cstheme="minorHAnsi"/>
          <w:sz w:val="24"/>
          <w:szCs w:val="24"/>
          <w:lang w:val="el-GR"/>
        </w:rPr>
        <w:t xml:space="preserve"> </w:t>
      </w:r>
      <w:r>
        <w:rPr>
          <w:rFonts w:cstheme="minorHAnsi"/>
          <w:sz w:val="24"/>
          <w:szCs w:val="24"/>
          <w:lang w:val="el-GR"/>
        </w:rPr>
        <w:t>πόροι</w:t>
      </w:r>
      <w:r w:rsidRPr="00DA747F">
        <w:rPr>
          <w:rFonts w:cstheme="minorHAnsi"/>
          <w:sz w:val="24"/>
          <w:szCs w:val="24"/>
          <w:lang w:val="el-GR"/>
        </w:rPr>
        <w:t xml:space="preserve"> </w:t>
      </w:r>
      <w:r>
        <w:rPr>
          <w:rFonts w:cstheme="minorHAnsi"/>
          <w:sz w:val="24"/>
          <w:szCs w:val="24"/>
          <w:lang w:val="el-GR"/>
        </w:rPr>
        <w:t>της</w:t>
      </w:r>
      <w:r w:rsidRPr="00DA747F">
        <w:rPr>
          <w:rFonts w:cstheme="minorHAnsi"/>
          <w:sz w:val="24"/>
          <w:szCs w:val="24"/>
          <w:lang w:val="el-GR"/>
        </w:rPr>
        <w:t xml:space="preserve"> </w:t>
      </w:r>
      <w:r w:rsidR="00220066" w:rsidRPr="004E251E">
        <w:rPr>
          <w:rFonts w:cstheme="minorHAnsi"/>
          <w:sz w:val="24"/>
          <w:szCs w:val="24"/>
        </w:rPr>
        <w:t>P</w:t>
      </w:r>
      <w:r w:rsidR="00220066" w:rsidRPr="00DA747F">
        <w:rPr>
          <w:rFonts w:cstheme="minorHAnsi"/>
          <w:sz w:val="24"/>
          <w:szCs w:val="24"/>
          <w:lang w:val="el-GR"/>
        </w:rPr>
        <w:t>.</w:t>
      </w:r>
      <w:r w:rsidR="00220066" w:rsidRPr="004E251E">
        <w:rPr>
          <w:rFonts w:cstheme="minorHAnsi"/>
          <w:sz w:val="24"/>
          <w:szCs w:val="24"/>
        </w:rPr>
        <w:t>I</w:t>
      </w:r>
      <w:r w:rsidR="00220066" w:rsidRPr="00DA747F">
        <w:rPr>
          <w:rFonts w:cstheme="minorHAnsi"/>
          <w:sz w:val="24"/>
          <w:szCs w:val="24"/>
          <w:lang w:val="el-GR"/>
        </w:rPr>
        <w:t>.</w:t>
      </w:r>
      <w:r w:rsidR="00220066" w:rsidRPr="004E251E">
        <w:rPr>
          <w:rFonts w:cstheme="minorHAnsi"/>
          <w:sz w:val="24"/>
          <w:szCs w:val="24"/>
        </w:rPr>
        <w:t>A</w:t>
      </w:r>
      <w:r w:rsidR="00220066" w:rsidRPr="00DA747F">
        <w:rPr>
          <w:rFonts w:cstheme="minorHAnsi"/>
          <w:sz w:val="24"/>
          <w:szCs w:val="24"/>
          <w:lang w:val="el-GR"/>
        </w:rPr>
        <w:t>.</w:t>
      </w:r>
      <w:r w:rsidR="00220066" w:rsidRPr="004E251E">
        <w:rPr>
          <w:rFonts w:cstheme="minorHAnsi"/>
          <w:sz w:val="24"/>
          <w:szCs w:val="24"/>
        </w:rPr>
        <w:t>S</w:t>
      </w:r>
      <w:r w:rsidR="00220066" w:rsidRPr="00DA747F">
        <w:rPr>
          <w:rFonts w:cstheme="minorHAnsi"/>
          <w:sz w:val="24"/>
          <w:szCs w:val="24"/>
          <w:lang w:val="el-GR"/>
        </w:rPr>
        <w:t xml:space="preserve">. </w:t>
      </w:r>
      <w:r>
        <w:rPr>
          <w:rFonts w:cstheme="minorHAnsi"/>
          <w:sz w:val="24"/>
          <w:szCs w:val="24"/>
          <w:lang w:val="el-GR"/>
        </w:rPr>
        <w:t>καλύπτονται</w:t>
      </w:r>
      <w:r w:rsidRPr="00DA747F">
        <w:rPr>
          <w:rFonts w:cstheme="minorHAnsi"/>
          <w:sz w:val="24"/>
          <w:szCs w:val="24"/>
          <w:lang w:val="el-GR"/>
        </w:rPr>
        <w:t xml:space="preserve"> </w:t>
      </w:r>
      <w:r>
        <w:rPr>
          <w:rFonts w:cstheme="minorHAnsi"/>
          <w:sz w:val="24"/>
          <w:szCs w:val="24"/>
          <w:lang w:val="el-GR"/>
        </w:rPr>
        <w:t>από</w:t>
      </w:r>
      <w:r w:rsidRPr="00DA747F">
        <w:rPr>
          <w:rFonts w:cstheme="minorHAnsi"/>
          <w:sz w:val="24"/>
          <w:szCs w:val="24"/>
          <w:lang w:val="el-GR"/>
        </w:rPr>
        <w:t xml:space="preserve"> </w:t>
      </w:r>
      <w:r>
        <w:rPr>
          <w:rFonts w:cstheme="minorHAnsi"/>
          <w:sz w:val="24"/>
          <w:szCs w:val="24"/>
          <w:lang w:val="el-GR"/>
        </w:rPr>
        <w:t>το</w:t>
      </w:r>
      <w:r w:rsidRPr="00DA747F">
        <w:rPr>
          <w:rFonts w:cstheme="minorHAnsi"/>
          <w:sz w:val="24"/>
          <w:szCs w:val="24"/>
          <w:lang w:val="el-GR"/>
        </w:rPr>
        <w:t xml:space="preserve">ν </w:t>
      </w:r>
      <w:r>
        <w:rPr>
          <w:rFonts w:cstheme="minorHAnsi"/>
          <w:sz w:val="24"/>
          <w:szCs w:val="24"/>
          <w:lang w:val="el-GR"/>
        </w:rPr>
        <w:t>Κρατικό</w:t>
      </w:r>
      <w:r w:rsidRPr="00DA747F">
        <w:rPr>
          <w:rFonts w:cstheme="minorHAnsi"/>
          <w:sz w:val="24"/>
          <w:szCs w:val="24"/>
          <w:lang w:val="el-GR"/>
        </w:rPr>
        <w:t xml:space="preserve"> </w:t>
      </w:r>
      <w:r>
        <w:rPr>
          <w:rFonts w:cstheme="minorHAnsi"/>
          <w:sz w:val="24"/>
          <w:szCs w:val="24"/>
          <w:lang w:val="el-GR"/>
        </w:rPr>
        <w:t>προϋπολογισμό και μέλ</w:t>
      </w:r>
      <w:r w:rsidR="003F0790">
        <w:rPr>
          <w:rFonts w:cstheme="minorHAnsi"/>
          <w:sz w:val="24"/>
          <w:szCs w:val="24"/>
          <w:lang w:val="el-GR"/>
        </w:rPr>
        <w:t>η</w:t>
      </w:r>
      <w:r>
        <w:rPr>
          <w:rFonts w:cstheme="minorHAnsi"/>
          <w:sz w:val="24"/>
          <w:szCs w:val="24"/>
          <w:lang w:val="el-GR"/>
        </w:rPr>
        <w:t xml:space="preserve"> της </w:t>
      </w:r>
      <w:r w:rsidR="00220066" w:rsidRPr="004E251E">
        <w:rPr>
          <w:rFonts w:cstheme="minorHAnsi"/>
          <w:sz w:val="24"/>
          <w:szCs w:val="24"/>
        </w:rPr>
        <w:t>P</w:t>
      </w:r>
      <w:r w:rsidR="00220066" w:rsidRPr="00DA747F">
        <w:rPr>
          <w:rFonts w:cstheme="minorHAnsi"/>
          <w:sz w:val="24"/>
          <w:szCs w:val="24"/>
          <w:lang w:val="el-GR"/>
        </w:rPr>
        <w:t>.</w:t>
      </w:r>
      <w:r w:rsidR="00220066" w:rsidRPr="004E251E">
        <w:rPr>
          <w:rFonts w:cstheme="minorHAnsi"/>
          <w:sz w:val="24"/>
          <w:szCs w:val="24"/>
        </w:rPr>
        <w:t>I</w:t>
      </w:r>
      <w:r w:rsidR="00220066" w:rsidRPr="00DA747F">
        <w:rPr>
          <w:rFonts w:cstheme="minorHAnsi"/>
          <w:sz w:val="24"/>
          <w:szCs w:val="24"/>
          <w:lang w:val="el-GR"/>
        </w:rPr>
        <w:t>.</w:t>
      </w:r>
      <w:r w:rsidR="00220066" w:rsidRPr="004E251E">
        <w:rPr>
          <w:rFonts w:cstheme="minorHAnsi"/>
          <w:sz w:val="24"/>
          <w:szCs w:val="24"/>
        </w:rPr>
        <w:t>A</w:t>
      </w:r>
      <w:r w:rsidR="00220066" w:rsidRPr="00DA747F">
        <w:rPr>
          <w:rFonts w:cstheme="minorHAnsi"/>
          <w:sz w:val="24"/>
          <w:szCs w:val="24"/>
          <w:lang w:val="el-GR"/>
        </w:rPr>
        <w:t>.</w:t>
      </w:r>
      <w:r w:rsidR="00220066" w:rsidRPr="004E251E">
        <w:rPr>
          <w:rFonts w:cstheme="minorHAnsi"/>
          <w:sz w:val="24"/>
          <w:szCs w:val="24"/>
        </w:rPr>
        <w:t>S</w:t>
      </w:r>
      <w:r w:rsidR="00220066" w:rsidRPr="00DA747F">
        <w:rPr>
          <w:rFonts w:cstheme="minorHAnsi"/>
          <w:sz w:val="24"/>
          <w:szCs w:val="24"/>
          <w:lang w:val="el-GR"/>
        </w:rPr>
        <w:t xml:space="preserve">. </w:t>
      </w:r>
      <w:r>
        <w:rPr>
          <w:rFonts w:cstheme="minorHAnsi"/>
          <w:sz w:val="24"/>
          <w:szCs w:val="24"/>
          <w:lang w:val="el-GR"/>
        </w:rPr>
        <w:t>λαμβάνουν ένα επιπρόσθετο μηνιαίο επίδομα</w:t>
      </w:r>
      <w:r w:rsidR="00220066" w:rsidRPr="00DA747F">
        <w:rPr>
          <w:rFonts w:cstheme="minorHAnsi"/>
          <w:sz w:val="24"/>
          <w:szCs w:val="24"/>
          <w:lang w:val="el-GR"/>
        </w:rPr>
        <w:t xml:space="preserve"> </w:t>
      </w:r>
      <w:r w:rsidR="00E53BEE">
        <w:rPr>
          <w:rFonts w:cstheme="minorHAnsi"/>
          <w:sz w:val="24"/>
          <w:szCs w:val="24"/>
          <w:lang w:val="el-GR"/>
        </w:rPr>
        <w:t>στην υπηρεσία</w:t>
      </w:r>
      <w:r w:rsidR="00220066" w:rsidRPr="00DA747F">
        <w:rPr>
          <w:rFonts w:cstheme="minorHAnsi"/>
          <w:sz w:val="24"/>
          <w:szCs w:val="24"/>
          <w:lang w:val="el-GR"/>
        </w:rPr>
        <w:t xml:space="preserve">. </w:t>
      </w:r>
      <w:r w:rsidR="00E53BEE">
        <w:rPr>
          <w:rFonts w:cstheme="minorHAnsi"/>
          <w:sz w:val="24"/>
          <w:szCs w:val="24"/>
          <w:lang w:val="el-GR"/>
        </w:rPr>
        <w:t>Από</w:t>
      </w:r>
      <w:r w:rsidR="00E53BEE" w:rsidRPr="00E53BEE">
        <w:rPr>
          <w:rFonts w:cstheme="minorHAnsi"/>
          <w:sz w:val="24"/>
          <w:szCs w:val="24"/>
          <w:lang w:val="el-GR"/>
        </w:rPr>
        <w:t xml:space="preserve"> </w:t>
      </w:r>
      <w:r w:rsidR="00E53BEE">
        <w:rPr>
          <w:rFonts w:cstheme="minorHAnsi"/>
          <w:sz w:val="24"/>
          <w:szCs w:val="24"/>
          <w:lang w:val="el-GR"/>
        </w:rPr>
        <w:t>την</w:t>
      </w:r>
      <w:r w:rsidR="00E53BEE" w:rsidRPr="00E53BEE">
        <w:rPr>
          <w:rFonts w:cstheme="minorHAnsi"/>
          <w:sz w:val="24"/>
          <w:szCs w:val="24"/>
          <w:lang w:val="el-GR"/>
        </w:rPr>
        <w:t xml:space="preserve"> </w:t>
      </w:r>
      <w:r w:rsidR="00E53BEE">
        <w:rPr>
          <w:rFonts w:cstheme="minorHAnsi"/>
          <w:sz w:val="24"/>
          <w:szCs w:val="24"/>
          <w:lang w:val="el-GR"/>
        </w:rPr>
        <w:t>άποψη</w:t>
      </w:r>
      <w:r w:rsidR="00E53BEE" w:rsidRPr="00E53BEE">
        <w:rPr>
          <w:rFonts w:cstheme="minorHAnsi"/>
          <w:sz w:val="24"/>
          <w:szCs w:val="24"/>
          <w:lang w:val="el-GR"/>
        </w:rPr>
        <w:t xml:space="preserve"> </w:t>
      </w:r>
      <w:r w:rsidR="00E53BEE">
        <w:rPr>
          <w:rFonts w:cstheme="minorHAnsi"/>
          <w:sz w:val="24"/>
          <w:szCs w:val="24"/>
          <w:lang w:val="el-GR"/>
        </w:rPr>
        <w:t>φύλου</w:t>
      </w:r>
      <w:r w:rsidR="00220066" w:rsidRPr="00E53BEE">
        <w:rPr>
          <w:rFonts w:cstheme="minorHAnsi"/>
          <w:sz w:val="24"/>
          <w:szCs w:val="24"/>
          <w:lang w:val="el-GR"/>
        </w:rPr>
        <w:t xml:space="preserve">, </w:t>
      </w:r>
      <w:r w:rsidR="00E53BEE">
        <w:rPr>
          <w:rFonts w:cstheme="minorHAnsi"/>
          <w:sz w:val="24"/>
          <w:szCs w:val="24"/>
          <w:lang w:val="el-GR"/>
        </w:rPr>
        <w:t>υπάρχουν</w:t>
      </w:r>
      <w:r w:rsidR="00220066" w:rsidRPr="00E53BEE">
        <w:rPr>
          <w:rFonts w:cstheme="minorHAnsi"/>
          <w:sz w:val="24"/>
          <w:szCs w:val="24"/>
          <w:lang w:val="el-GR"/>
        </w:rPr>
        <w:t xml:space="preserve"> 70% </w:t>
      </w:r>
      <w:r w:rsidR="00E53BEE">
        <w:rPr>
          <w:rFonts w:cstheme="minorHAnsi"/>
          <w:sz w:val="24"/>
          <w:szCs w:val="24"/>
          <w:lang w:val="el-GR"/>
        </w:rPr>
        <w:t>άντρες και</w:t>
      </w:r>
      <w:r w:rsidR="00220066" w:rsidRPr="00E53BEE">
        <w:rPr>
          <w:rFonts w:cstheme="minorHAnsi"/>
          <w:sz w:val="24"/>
          <w:szCs w:val="24"/>
          <w:lang w:val="el-GR"/>
        </w:rPr>
        <w:t xml:space="preserve"> 30% </w:t>
      </w:r>
      <w:r w:rsidR="00E53BEE">
        <w:rPr>
          <w:rFonts w:cstheme="minorHAnsi"/>
          <w:sz w:val="24"/>
          <w:szCs w:val="24"/>
          <w:lang w:val="el-GR"/>
        </w:rPr>
        <w:t>γυναίκες αξιωματούχοι, αντίστοιχα</w:t>
      </w:r>
      <w:r w:rsidR="00220066" w:rsidRPr="00E53BEE">
        <w:rPr>
          <w:rFonts w:cstheme="minorHAnsi"/>
          <w:sz w:val="24"/>
          <w:szCs w:val="24"/>
          <w:lang w:val="el-GR"/>
        </w:rPr>
        <w:t xml:space="preserve">. </w:t>
      </w:r>
    </w:p>
    <w:p w14:paraId="66F9541A" w14:textId="77777777" w:rsidR="00220066" w:rsidRPr="00E53BEE" w:rsidRDefault="00220066" w:rsidP="00220066">
      <w:pPr>
        <w:keepNext/>
        <w:tabs>
          <w:tab w:val="left" w:pos="709"/>
        </w:tabs>
        <w:rPr>
          <w:rFonts w:cstheme="minorHAnsi"/>
          <w:sz w:val="24"/>
          <w:szCs w:val="24"/>
          <w:lang w:val="el-GR"/>
        </w:rPr>
      </w:pPr>
    </w:p>
    <w:p w14:paraId="061C58CB" w14:textId="78087A8E" w:rsidR="00220066" w:rsidRPr="00E53BEE" w:rsidRDefault="00E53BEE"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Ενώ</w:t>
      </w:r>
      <w:r w:rsidRPr="00E53BEE">
        <w:rPr>
          <w:rFonts w:cstheme="minorHAnsi"/>
          <w:sz w:val="24"/>
          <w:szCs w:val="24"/>
          <w:lang w:val="el-GR"/>
        </w:rPr>
        <w:t xml:space="preserve"> </w:t>
      </w:r>
      <w:r>
        <w:rPr>
          <w:rFonts w:cstheme="minorHAnsi"/>
          <w:sz w:val="24"/>
          <w:szCs w:val="24"/>
          <w:lang w:val="el-GR"/>
        </w:rPr>
        <w:t>δεν</w:t>
      </w:r>
      <w:r w:rsidRPr="00E53BEE">
        <w:rPr>
          <w:rFonts w:cstheme="minorHAnsi"/>
          <w:sz w:val="24"/>
          <w:szCs w:val="24"/>
          <w:lang w:val="el-GR"/>
        </w:rPr>
        <w:t xml:space="preserve"> </w:t>
      </w:r>
      <w:r>
        <w:rPr>
          <w:rFonts w:cstheme="minorHAnsi"/>
          <w:sz w:val="24"/>
          <w:szCs w:val="24"/>
          <w:lang w:val="el-GR"/>
        </w:rPr>
        <w:t>υπάρχει</w:t>
      </w:r>
      <w:r w:rsidRPr="00E53BEE">
        <w:rPr>
          <w:rFonts w:cstheme="minorHAnsi"/>
          <w:sz w:val="24"/>
          <w:szCs w:val="24"/>
          <w:lang w:val="el-GR"/>
        </w:rPr>
        <w:t xml:space="preserve"> </w:t>
      </w:r>
      <w:r w:rsidR="002E5EC0">
        <w:rPr>
          <w:rFonts w:cstheme="minorHAnsi"/>
          <w:sz w:val="24"/>
          <w:szCs w:val="24"/>
          <w:lang w:val="el-GR"/>
        </w:rPr>
        <w:t>υποχρεωτική</w:t>
      </w:r>
      <w:r w:rsidRPr="00E53BEE">
        <w:rPr>
          <w:rFonts w:cstheme="minorHAnsi"/>
          <w:sz w:val="24"/>
          <w:szCs w:val="24"/>
          <w:lang w:val="el-GR"/>
        </w:rPr>
        <w:t xml:space="preserve"> </w:t>
      </w:r>
      <w:r>
        <w:rPr>
          <w:rFonts w:cstheme="minorHAnsi"/>
          <w:sz w:val="24"/>
          <w:szCs w:val="24"/>
          <w:lang w:val="el-GR"/>
        </w:rPr>
        <w:t>τακτική</w:t>
      </w:r>
      <w:r w:rsidRPr="00E53BEE">
        <w:rPr>
          <w:rFonts w:cstheme="minorHAnsi"/>
          <w:sz w:val="24"/>
          <w:szCs w:val="24"/>
          <w:lang w:val="el-GR"/>
        </w:rPr>
        <w:t xml:space="preserve"> </w:t>
      </w:r>
      <w:r>
        <w:rPr>
          <w:rFonts w:cstheme="minorHAnsi"/>
          <w:sz w:val="24"/>
          <w:szCs w:val="24"/>
          <w:lang w:val="el-GR"/>
        </w:rPr>
        <w:t>εξειδικευμένη</w:t>
      </w:r>
      <w:r w:rsidRPr="00E53BEE">
        <w:rPr>
          <w:rFonts w:cstheme="minorHAnsi"/>
          <w:sz w:val="24"/>
          <w:szCs w:val="24"/>
          <w:lang w:val="el-GR"/>
        </w:rPr>
        <w:t xml:space="preserve"> </w:t>
      </w:r>
      <w:r>
        <w:rPr>
          <w:rFonts w:cstheme="minorHAnsi"/>
          <w:sz w:val="24"/>
          <w:szCs w:val="24"/>
          <w:lang w:val="el-GR"/>
        </w:rPr>
        <w:t>εκπαίδευση</w:t>
      </w:r>
      <w:r w:rsidRPr="00E53BEE">
        <w:rPr>
          <w:rFonts w:cstheme="minorHAnsi"/>
          <w:sz w:val="24"/>
          <w:szCs w:val="24"/>
          <w:lang w:val="el-GR"/>
        </w:rPr>
        <w:t xml:space="preserve"> </w:t>
      </w:r>
      <w:r>
        <w:rPr>
          <w:rFonts w:cstheme="minorHAnsi"/>
          <w:sz w:val="24"/>
          <w:szCs w:val="24"/>
          <w:lang w:val="el-GR"/>
        </w:rPr>
        <w:t>για</w:t>
      </w:r>
      <w:r w:rsidRPr="00E53BEE">
        <w:rPr>
          <w:rFonts w:cstheme="minorHAnsi"/>
          <w:sz w:val="24"/>
          <w:szCs w:val="24"/>
          <w:lang w:val="el-GR"/>
        </w:rPr>
        <w:t xml:space="preserve"> </w:t>
      </w:r>
      <w:r>
        <w:rPr>
          <w:rFonts w:cstheme="minorHAnsi"/>
          <w:sz w:val="24"/>
          <w:szCs w:val="24"/>
          <w:lang w:val="el-GR"/>
        </w:rPr>
        <w:t>τα</w:t>
      </w:r>
      <w:r w:rsidRPr="00E53BEE">
        <w:rPr>
          <w:rFonts w:cstheme="minorHAnsi"/>
          <w:sz w:val="24"/>
          <w:szCs w:val="24"/>
          <w:lang w:val="el-GR"/>
        </w:rPr>
        <w:t xml:space="preserve"> </w:t>
      </w:r>
      <w:r>
        <w:rPr>
          <w:rFonts w:cstheme="minorHAnsi"/>
          <w:sz w:val="24"/>
          <w:szCs w:val="24"/>
          <w:lang w:val="el-GR"/>
        </w:rPr>
        <w:t>μέλη</w:t>
      </w:r>
      <w:r w:rsidRPr="00E53BEE">
        <w:rPr>
          <w:rFonts w:cstheme="minorHAnsi"/>
          <w:sz w:val="24"/>
          <w:szCs w:val="24"/>
          <w:lang w:val="el-GR"/>
        </w:rPr>
        <w:t xml:space="preserve"> </w:t>
      </w:r>
      <w:r>
        <w:rPr>
          <w:rFonts w:cstheme="minorHAnsi"/>
          <w:sz w:val="24"/>
          <w:szCs w:val="24"/>
          <w:lang w:val="el-GR"/>
        </w:rPr>
        <w:t>της</w:t>
      </w:r>
      <w:r w:rsidRPr="00E53BEE">
        <w:rPr>
          <w:rFonts w:cstheme="minorHAnsi"/>
          <w:sz w:val="24"/>
          <w:szCs w:val="24"/>
          <w:lang w:val="el-GR"/>
        </w:rPr>
        <w:t xml:space="preserve"> </w:t>
      </w:r>
      <w:r w:rsidR="00220066" w:rsidRPr="004E251E">
        <w:rPr>
          <w:rFonts w:cstheme="minorHAnsi"/>
          <w:sz w:val="24"/>
          <w:szCs w:val="24"/>
        </w:rPr>
        <w:t>P</w:t>
      </w:r>
      <w:r w:rsidR="00220066" w:rsidRPr="00E53BEE">
        <w:rPr>
          <w:rFonts w:cstheme="minorHAnsi"/>
          <w:sz w:val="24"/>
          <w:szCs w:val="24"/>
          <w:lang w:val="el-GR"/>
        </w:rPr>
        <w:t>.</w:t>
      </w:r>
      <w:r w:rsidR="00220066" w:rsidRPr="004E251E">
        <w:rPr>
          <w:rFonts w:cstheme="minorHAnsi"/>
          <w:sz w:val="24"/>
          <w:szCs w:val="24"/>
        </w:rPr>
        <w:t>I</w:t>
      </w:r>
      <w:r w:rsidR="00220066" w:rsidRPr="00E53BEE">
        <w:rPr>
          <w:rFonts w:cstheme="minorHAnsi"/>
          <w:sz w:val="24"/>
          <w:szCs w:val="24"/>
          <w:lang w:val="el-GR"/>
        </w:rPr>
        <w:t>.</w:t>
      </w:r>
      <w:r w:rsidR="00220066" w:rsidRPr="004E251E">
        <w:rPr>
          <w:rFonts w:cstheme="minorHAnsi"/>
          <w:sz w:val="24"/>
          <w:szCs w:val="24"/>
        </w:rPr>
        <w:t>A</w:t>
      </w:r>
      <w:r w:rsidR="00220066" w:rsidRPr="00E53BEE">
        <w:rPr>
          <w:rFonts w:cstheme="minorHAnsi"/>
          <w:sz w:val="24"/>
          <w:szCs w:val="24"/>
          <w:lang w:val="el-GR"/>
        </w:rPr>
        <w:t>.</w:t>
      </w:r>
      <w:r w:rsidR="00220066" w:rsidRPr="004E251E">
        <w:rPr>
          <w:rFonts w:cstheme="minorHAnsi"/>
          <w:sz w:val="24"/>
          <w:szCs w:val="24"/>
        </w:rPr>
        <w:t>S</w:t>
      </w:r>
      <w:r w:rsidR="00220066" w:rsidRPr="00E53BEE">
        <w:rPr>
          <w:rFonts w:cstheme="minorHAnsi"/>
          <w:sz w:val="24"/>
          <w:szCs w:val="24"/>
          <w:lang w:val="el-GR"/>
        </w:rPr>
        <w:t xml:space="preserve">., </w:t>
      </w:r>
      <w:r>
        <w:rPr>
          <w:rFonts w:cstheme="minorHAnsi"/>
          <w:sz w:val="24"/>
          <w:szCs w:val="24"/>
          <w:lang w:val="el-GR"/>
        </w:rPr>
        <w:t>αυτοί</w:t>
      </w:r>
      <w:r w:rsidRPr="00E53BEE">
        <w:rPr>
          <w:rFonts w:cstheme="minorHAnsi"/>
          <w:sz w:val="24"/>
          <w:szCs w:val="24"/>
          <w:lang w:val="el-GR"/>
        </w:rPr>
        <w:t xml:space="preserve"> </w:t>
      </w:r>
      <w:r>
        <w:rPr>
          <w:rFonts w:cstheme="minorHAnsi"/>
          <w:sz w:val="24"/>
          <w:szCs w:val="24"/>
          <w:lang w:val="el-GR"/>
        </w:rPr>
        <w:t>περιστασιακά παρακολουθούν προγράμματα για την διαφθορά και τις μυστικές επιχειρήσεις</w:t>
      </w:r>
      <w:r w:rsidR="00220066" w:rsidRPr="00E53BEE">
        <w:rPr>
          <w:rFonts w:cstheme="minorHAnsi"/>
          <w:sz w:val="24"/>
          <w:szCs w:val="24"/>
          <w:lang w:val="el-GR"/>
        </w:rPr>
        <w:t xml:space="preserve"> </w:t>
      </w:r>
      <w:r>
        <w:rPr>
          <w:rFonts w:cstheme="minorHAnsi"/>
          <w:sz w:val="24"/>
          <w:szCs w:val="24"/>
          <w:lang w:val="el-GR"/>
        </w:rPr>
        <w:t>είτε στην Αστυνομική Ακαδημία Κύπρου είτε στο εξωτερικό</w:t>
      </w:r>
      <w:r w:rsidR="00220066" w:rsidRPr="00E53BEE">
        <w:rPr>
          <w:rFonts w:cstheme="minorHAnsi"/>
          <w:sz w:val="24"/>
          <w:szCs w:val="24"/>
          <w:lang w:val="el-GR"/>
        </w:rPr>
        <w:t xml:space="preserve">. </w:t>
      </w:r>
      <w:r>
        <w:rPr>
          <w:rFonts w:cstheme="minorHAnsi"/>
          <w:sz w:val="24"/>
          <w:szCs w:val="24"/>
          <w:lang w:val="el-GR"/>
        </w:rPr>
        <w:t>Αξιωματούχοι</w:t>
      </w:r>
      <w:r w:rsidRPr="00E53BEE">
        <w:rPr>
          <w:rFonts w:cstheme="minorHAnsi"/>
          <w:sz w:val="24"/>
          <w:szCs w:val="24"/>
          <w:lang w:val="el-GR"/>
        </w:rPr>
        <w:t xml:space="preserve"> </w:t>
      </w:r>
      <w:r>
        <w:rPr>
          <w:rFonts w:cstheme="minorHAnsi"/>
          <w:sz w:val="24"/>
          <w:szCs w:val="24"/>
          <w:lang w:val="el-GR"/>
        </w:rPr>
        <w:t>της</w:t>
      </w:r>
      <w:r w:rsidR="00220066" w:rsidRPr="00E53BEE">
        <w:rPr>
          <w:rFonts w:cstheme="minorHAnsi"/>
          <w:sz w:val="24"/>
          <w:szCs w:val="24"/>
          <w:lang w:val="el-GR"/>
        </w:rPr>
        <w:t xml:space="preserve"> </w:t>
      </w:r>
      <w:r w:rsidR="00220066" w:rsidRPr="004E251E">
        <w:rPr>
          <w:rFonts w:cstheme="minorHAnsi"/>
          <w:sz w:val="24"/>
          <w:szCs w:val="24"/>
        </w:rPr>
        <w:t>P</w:t>
      </w:r>
      <w:r w:rsidR="00220066" w:rsidRPr="00E53BEE">
        <w:rPr>
          <w:rFonts w:cstheme="minorHAnsi"/>
          <w:sz w:val="24"/>
          <w:szCs w:val="24"/>
          <w:lang w:val="el-GR"/>
        </w:rPr>
        <w:t>.</w:t>
      </w:r>
      <w:r w:rsidR="00220066" w:rsidRPr="004E251E">
        <w:rPr>
          <w:rFonts w:cstheme="minorHAnsi"/>
          <w:sz w:val="24"/>
          <w:szCs w:val="24"/>
        </w:rPr>
        <w:t>I</w:t>
      </w:r>
      <w:r w:rsidR="00220066" w:rsidRPr="00E53BEE">
        <w:rPr>
          <w:rFonts w:cstheme="minorHAnsi"/>
          <w:sz w:val="24"/>
          <w:szCs w:val="24"/>
          <w:lang w:val="el-GR"/>
        </w:rPr>
        <w:t>.</w:t>
      </w:r>
      <w:r w:rsidR="00220066" w:rsidRPr="004E251E">
        <w:rPr>
          <w:rFonts w:cstheme="minorHAnsi"/>
          <w:sz w:val="24"/>
          <w:szCs w:val="24"/>
        </w:rPr>
        <w:t>A</w:t>
      </w:r>
      <w:r w:rsidR="00220066" w:rsidRPr="00E53BEE">
        <w:rPr>
          <w:rFonts w:cstheme="minorHAnsi"/>
          <w:sz w:val="24"/>
          <w:szCs w:val="24"/>
          <w:lang w:val="el-GR"/>
        </w:rPr>
        <w:t>.</w:t>
      </w:r>
      <w:r w:rsidR="00220066" w:rsidRPr="004E251E">
        <w:rPr>
          <w:rFonts w:cstheme="minorHAnsi"/>
          <w:sz w:val="24"/>
          <w:szCs w:val="24"/>
        </w:rPr>
        <w:t>S</w:t>
      </w:r>
      <w:r w:rsidR="00220066" w:rsidRPr="00E53BEE">
        <w:rPr>
          <w:rFonts w:cstheme="minorHAnsi"/>
          <w:sz w:val="24"/>
          <w:szCs w:val="24"/>
          <w:lang w:val="el-GR"/>
        </w:rPr>
        <w:t xml:space="preserve">. </w:t>
      </w:r>
      <w:r>
        <w:rPr>
          <w:rFonts w:cstheme="minorHAnsi"/>
          <w:sz w:val="24"/>
          <w:szCs w:val="24"/>
          <w:lang w:val="el-GR"/>
        </w:rPr>
        <w:t>δίνουν</w:t>
      </w:r>
      <w:r w:rsidRPr="00E53BEE">
        <w:rPr>
          <w:rFonts w:cstheme="minorHAnsi"/>
          <w:sz w:val="24"/>
          <w:szCs w:val="24"/>
          <w:lang w:val="el-GR"/>
        </w:rPr>
        <w:t xml:space="preserve"> </w:t>
      </w:r>
      <w:r>
        <w:rPr>
          <w:rFonts w:cstheme="minorHAnsi"/>
          <w:sz w:val="24"/>
          <w:szCs w:val="24"/>
          <w:lang w:val="el-GR"/>
        </w:rPr>
        <w:t>διαλέξεις</w:t>
      </w:r>
      <w:r w:rsidR="00220066" w:rsidRPr="00E53BEE">
        <w:rPr>
          <w:rFonts w:cstheme="minorHAnsi"/>
          <w:sz w:val="24"/>
          <w:szCs w:val="24"/>
          <w:lang w:val="el-GR"/>
        </w:rPr>
        <w:t xml:space="preserve">, </w:t>
      </w:r>
      <w:r>
        <w:rPr>
          <w:rFonts w:cstheme="minorHAnsi"/>
          <w:sz w:val="24"/>
          <w:szCs w:val="24"/>
          <w:lang w:val="el-GR"/>
        </w:rPr>
        <w:t>σε</w:t>
      </w:r>
      <w:r w:rsidRPr="00E53BEE">
        <w:rPr>
          <w:rFonts w:cstheme="minorHAnsi"/>
          <w:sz w:val="24"/>
          <w:szCs w:val="24"/>
          <w:lang w:val="el-GR"/>
        </w:rPr>
        <w:t xml:space="preserve"> </w:t>
      </w:r>
      <w:r>
        <w:rPr>
          <w:rFonts w:cstheme="minorHAnsi"/>
          <w:sz w:val="24"/>
          <w:szCs w:val="24"/>
          <w:lang w:val="el-GR"/>
        </w:rPr>
        <w:t>διάφορα</w:t>
      </w:r>
      <w:r w:rsidRPr="00E53BEE">
        <w:rPr>
          <w:rFonts w:cstheme="minorHAnsi"/>
          <w:sz w:val="24"/>
          <w:szCs w:val="24"/>
          <w:lang w:val="el-GR"/>
        </w:rPr>
        <w:t xml:space="preserve"> </w:t>
      </w:r>
      <w:r>
        <w:rPr>
          <w:rFonts w:cstheme="minorHAnsi"/>
          <w:sz w:val="24"/>
          <w:szCs w:val="24"/>
          <w:lang w:val="el-GR"/>
        </w:rPr>
        <w:t>προγράμματα</w:t>
      </w:r>
      <w:r w:rsidRPr="00E53BEE">
        <w:rPr>
          <w:rFonts w:cstheme="minorHAnsi"/>
          <w:sz w:val="24"/>
          <w:szCs w:val="24"/>
          <w:lang w:val="el-GR"/>
        </w:rPr>
        <w:t xml:space="preserve"> </w:t>
      </w:r>
      <w:r>
        <w:rPr>
          <w:rFonts w:cstheme="minorHAnsi"/>
          <w:sz w:val="24"/>
          <w:szCs w:val="24"/>
          <w:lang w:val="el-GR"/>
        </w:rPr>
        <w:t>εκπαίδευσης</w:t>
      </w:r>
      <w:r w:rsidRPr="00E53BEE">
        <w:rPr>
          <w:rFonts w:cstheme="minorHAnsi"/>
          <w:sz w:val="24"/>
          <w:szCs w:val="24"/>
          <w:lang w:val="el-GR"/>
        </w:rPr>
        <w:t xml:space="preserve"> </w:t>
      </w:r>
      <w:r>
        <w:rPr>
          <w:rFonts w:cstheme="minorHAnsi"/>
          <w:sz w:val="24"/>
          <w:szCs w:val="24"/>
          <w:lang w:val="el-GR"/>
        </w:rPr>
        <w:t>της</w:t>
      </w:r>
      <w:r w:rsidRPr="00E53BEE">
        <w:rPr>
          <w:rFonts w:cstheme="minorHAnsi"/>
          <w:sz w:val="24"/>
          <w:szCs w:val="24"/>
          <w:lang w:val="el-GR"/>
        </w:rPr>
        <w:t xml:space="preserve"> </w:t>
      </w:r>
      <w:r>
        <w:rPr>
          <w:rFonts w:cstheme="minorHAnsi"/>
          <w:sz w:val="24"/>
          <w:szCs w:val="24"/>
          <w:lang w:val="el-GR"/>
        </w:rPr>
        <w:t>Αστυνομικής</w:t>
      </w:r>
      <w:r w:rsidRPr="00E53BEE">
        <w:rPr>
          <w:rFonts w:cstheme="minorHAnsi"/>
          <w:sz w:val="24"/>
          <w:szCs w:val="24"/>
          <w:lang w:val="el-GR"/>
        </w:rPr>
        <w:t xml:space="preserve"> </w:t>
      </w:r>
      <w:r>
        <w:rPr>
          <w:rFonts w:cstheme="minorHAnsi"/>
          <w:sz w:val="24"/>
          <w:szCs w:val="24"/>
          <w:lang w:val="el-GR"/>
        </w:rPr>
        <w:t>Ακαδημίας</w:t>
      </w:r>
      <w:r w:rsidR="00220066" w:rsidRPr="00E53BEE">
        <w:rPr>
          <w:rFonts w:cstheme="minorHAnsi"/>
          <w:sz w:val="24"/>
          <w:szCs w:val="24"/>
          <w:lang w:val="el-GR"/>
        </w:rPr>
        <w:t xml:space="preserve">, </w:t>
      </w:r>
      <w:r>
        <w:rPr>
          <w:rFonts w:cstheme="minorHAnsi"/>
          <w:sz w:val="24"/>
          <w:szCs w:val="24"/>
          <w:lang w:val="el-GR"/>
        </w:rPr>
        <w:t>τόσο</w:t>
      </w:r>
      <w:r w:rsidRPr="00E53BEE">
        <w:rPr>
          <w:rFonts w:cstheme="minorHAnsi"/>
          <w:sz w:val="24"/>
          <w:szCs w:val="24"/>
          <w:lang w:val="el-GR"/>
        </w:rPr>
        <w:t xml:space="preserve"> </w:t>
      </w:r>
      <w:r>
        <w:rPr>
          <w:rFonts w:cstheme="minorHAnsi"/>
          <w:sz w:val="24"/>
          <w:szCs w:val="24"/>
          <w:lang w:val="el-GR"/>
        </w:rPr>
        <w:t>στην</w:t>
      </w:r>
      <w:r w:rsidRPr="00E53BEE">
        <w:rPr>
          <w:rFonts w:cstheme="minorHAnsi"/>
          <w:sz w:val="24"/>
          <w:szCs w:val="24"/>
          <w:lang w:val="el-GR"/>
        </w:rPr>
        <w:t xml:space="preserve"> </w:t>
      </w:r>
      <w:r>
        <w:rPr>
          <w:rFonts w:cstheme="minorHAnsi"/>
          <w:sz w:val="24"/>
          <w:szCs w:val="24"/>
          <w:lang w:val="el-GR"/>
        </w:rPr>
        <w:t>βασική</w:t>
      </w:r>
      <w:r w:rsidRPr="00E53BEE">
        <w:rPr>
          <w:rFonts w:cstheme="minorHAnsi"/>
          <w:sz w:val="24"/>
          <w:szCs w:val="24"/>
          <w:lang w:val="el-GR"/>
        </w:rPr>
        <w:t xml:space="preserve"> </w:t>
      </w:r>
      <w:r>
        <w:rPr>
          <w:rFonts w:cstheme="minorHAnsi"/>
          <w:sz w:val="24"/>
          <w:szCs w:val="24"/>
          <w:lang w:val="el-GR"/>
        </w:rPr>
        <w:t>εκπαίδευση των προσλαμβανομένων</w:t>
      </w:r>
      <w:r w:rsidR="00220066" w:rsidRPr="00E53BEE">
        <w:rPr>
          <w:rFonts w:cstheme="minorHAnsi"/>
          <w:sz w:val="24"/>
          <w:szCs w:val="24"/>
          <w:lang w:val="el-GR"/>
        </w:rPr>
        <w:t xml:space="preserve"> </w:t>
      </w:r>
      <w:r>
        <w:rPr>
          <w:rFonts w:cstheme="minorHAnsi"/>
          <w:sz w:val="24"/>
          <w:szCs w:val="24"/>
          <w:lang w:val="el-GR"/>
        </w:rPr>
        <w:t>όσο και σε άλλα εξειδικευμένα εκπαιδευτικά προγράμματα</w:t>
      </w:r>
      <w:r w:rsidR="00220066" w:rsidRPr="00E53BEE">
        <w:rPr>
          <w:rFonts w:cstheme="minorHAnsi"/>
          <w:sz w:val="24"/>
          <w:szCs w:val="24"/>
          <w:lang w:val="el-GR"/>
        </w:rPr>
        <w:t xml:space="preserve"> </w:t>
      </w:r>
      <w:r>
        <w:rPr>
          <w:rFonts w:cstheme="minorHAnsi"/>
          <w:sz w:val="24"/>
          <w:szCs w:val="24"/>
          <w:lang w:val="el-GR"/>
        </w:rPr>
        <w:t xml:space="preserve">για μέλη της </w:t>
      </w:r>
      <w:r w:rsidR="009C4E34">
        <w:rPr>
          <w:rFonts w:cstheme="minorHAnsi"/>
          <w:sz w:val="24"/>
          <w:szCs w:val="24"/>
          <w:lang w:val="el-GR"/>
        </w:rPr>
        <w:t>Αστυνομία</w:t>
      </w:r>
      <w:r>
        <w:rPr>
          <w:rFonts w:cstheme="minorHAnsi"/>
          <w:sz w:val="24"/>
          <w:szCs w:val="24"/>
          <w:lang w:val="el-GR"/>
        </w:rPr>
        <w:t>ς διαφόρων βαθμών</w:t>
      </w:r>
      <w:r w:rsidR="00220066" w:rsidRPr="00E53BEE">
        <w:rPr>
          <w:rFonts w:cstheme="minorHAnsi"/>
          <w:sz w:val="24"/>
          <w:szCs w:val="24"/>
          <w:lang w:val="el-GR"/>
        </w:rPr>
        <w:t xml:space="preserve">. </w:t>
      </w:r>
    </w:p>
    <w:p w14:paraId="08871414" w14:textId="77777777" w:rsidR="00220066" w:rsidRPr="00E53BEE" w:rsidRDefault="00220066" w:rsidP="00220066">
      <w:pPr>
        <w:keepNext/>
        <w:tabs>
          <w:tab w:val="left" w:pos="709"/>
        </w:tabs>
        <w:rPr>
          <w:rFonts w:cstheme="minorHAnsi"/>
          <w:sz w:val="24"/>
          <w:szCs w:val="24"/>
          <w:lang w:val="el-GR"/>
        </w:rPr>
      </w:pPr>
    </w:p>
    <w:p w14:paraId="4119FCD0" w14:textId="14DCC0F5" w:rsidR="00220066" w:rsidRPr="00E53BEE" w:rsidRDefault="00E53BEE"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Η</w:t>
      </w:r>
      <w:r w:rsidRPr="00E53BEE">
        <w:rPr>
          <w:rFonts w:cstheme="minorHAnsi"/>
          <w:sz w:val="24"/>
          <w:szCs w:val="24"/>
          <w:lang w:val="el-GR"/>
        </w:rPr>
        <w:t xml:space="preserve"> </w:t>
      </w:r>
      <w:r w:rsidR="00220066" w:rsidRPr="004E251E">
        <w:rPr>
          <w:rFonts w:cstheme="minorHAnsi"/>
          <w:sz w:val="24"/>
          <w:szCs w:val="24"/>
        </w:rPr>
        <w:t>P</w:t>
      </w:r>
      <w:r w:rsidR="00220066" w:rsidRPr="00E53BEE">
        <w:rPr>
          <w:rFonts w:cstheme="minorHAnsi"/>
          <w:sz w:val="24"/>
          <w:szCs w:val="24"/>
          <w:lang w:val="el-GR"/>
        </w:rPr>
        <w:t>.</w:t>
      </w:r>
      <w:r w:rsidR="00220066" w:rsidRPr="004E251E">
        <w:rPr>
          <w:rFonts w:cstheme="minorHAnsi"/>
          <w:sz w:val="24"/>
          <w:szCs w:val="24"/>
        </w:rPr>
        <w:t>I</w:t>
      </w:r>
      <w:r w:rsidR="00220066" w:rsidRPr="00E53BEE">
        <w:rPr>
          <w:rFonts w:cstheme="minorHAnsi"/>
          <w:sz w:val="24"/>
          <w:szCs w:val="24"/>
          <w:lang w:val="el-GR"/>
        </w:rPr>
        <w:t>.</w:t>
      </w:r>
      <w:r w:rsidR="00220066" w:rsidRPr="004E251E">
        <w:rPr>
          <w:rFonts w:cstheme="minorHAnsi"/>
          <w:sz w:val="24"/>
          <w:szCs w:val="24"/>
        </w:rPr>
        <w:t>A</w:t>
      </w:r>
      <w:r w:rsidR="00220066" w:rsidRPr="00E53BEE">
        <w:rPr>
          <w:rFonts w:cstheme="minorHAnsi"/>
          <w:sz w:val="24"/>
          <w:szCs w:val="24"/>
          <w:lang w:val="el-GR"/>
        </w:rPr>
        <w:t>.</w:t>
      </w:r>
      <w:r w:rsidR="00220066" w:rsidRPr="004E251E">
        <w:rPr>
          <w:rFonts w:cstheme="minorHAnsi"/>
          <w:sz w:val="24"/>
          <w:szCs w:val="24"/>
        </w:rPr>
        <w:t>S</w:t>
      </w:r>
      <w:r w:rsidR="00220066" w:rsidRPr="00E53BEE">
        <w:rPr>
          <w:rFonts w:cstheme="minorHAnsi"/>
          <w:sz w:val="24"/>
          <w:szCs w:val="24"/>
          <w:lang w:val="el-GR"/>
        </w:rPr>
        <w:t xml:space="preserve">. </w:t>
      </w:r>
      <w:r>
        <w:rPr>
          <w:rFonts w:cstheme="minorHAnsi"/>
          <w:sz w:val="24"/>
          <w:szCs w:val="24"/>
          <w:lang w:val="el-GR"/>
        </w:rPr>
        <w:t>έχει</w:t>
      </w:r>
      <w:r w:rsidRPr="00E53BEE">
        <w:rPr>
          <w:rFonts w:cstheme="minorHAnsi"/>
          <w:sz w:val="24"/>
          <w:szCs w:val="24"/>
          <w:lang w:val="el-GR"/>
        </w:rPr>
        <w:t xml:space="preserve"> </w:t>
      </w:r>
      <w:r>
        <w:rPr>
          <w:rFonts w:cstheme="minorHAnsi"/>
          <w:sz w:val="24"/>
          <w:szCs w:val="24"/>
          <w:lang w:val="el-GR"/>
        </w:rPr>
        <w:t>την</w:t>
      </w:r>
      <w:r w:rsidR="003F0790">
        <w:rPr>
          <w:rFonts w:cstheme="minorHAnsi"/>
          <w:sz w:val="24"/>
          <w:szCs w:val="24"/>
          <w:lang w:val="el-GR"/>
        </w:rPr>
        <w:t xml:space="preserve"> </w:t>
      </w:r>
      <w:r>
        <w:rPr>
          <w:rFonts w:cstheme="minorHAnsi"/>
          <w:sz w:val="24"/>
          <w:szCs w:val="24"/>
          <w:lang w:val="el-GR"/>
        </w:rPr>
        <w:t>δική</w:t>
      </w:r>
      <w:r w:rsidRPr="00E53BEE">
        <w:rPr>
          <w:rFonts w:cstheme="minorHAnsi"/>
          <w:sz w:val="24"/>
          <w:szCs w:val="24"/>
          <w:lang w:val="el-GR"/>
        </w:rPr>
        <w:t xml:space="preserve"> </w:t>
      </w:r>
      <w:r>
        <w:rPr>
          <w:rFonts w:cstheme="minorHAnsi"/>
          <w:sz w:val="24"/>
          <w:szCs w:val="24"/>
          <w:lang w:val="el-GR"/>
        </w:rPr>
        <w:t>της</w:t>
      </w:r>
      <w:r w:rsidRPr="00E53BEE">
        <w:rPr>
          <w:rFonts w:cstheme="minorHAnsi"/>
          <w:sz w:val="24"/>
          <w:szCs w:val="24"/>
          <w:lang w:val="el-GR"/>
        </w:rPr>
        <w:t xml:space="preserve"> </w:t>
      </w:r>
      <w:r>
        <w:rPr>
          <w:rFonts w:cstheme="minorHAnsi"/>
          <w:sz w:val="24"/>
          <w:szCs w:val="24"/>
          <w:lang w:val="el-GR"/>
        </w:rPr>
        <w:t>ιστοσελίδα</w:t>
      </w:r>
      <w:r w:rsidR="00220066" w:rsidRPr="00E53BEE">
        <w:rPr>
          <w:rFonts w:cstheme="minorHAnsi"/>
          <w:sz w:val="24"/>
          <w:szCs w:val="24"/>
          <w:lang w:val="el-GR"/>
        </w:rPr>
        <w:t xml:space="preserve">, </w:t>
      </w:r>
      <w:r>
        <w:rPr>
          <w:rFonts w:cstheme="minorHAnsi"/>
          <w:sz w:val="24"/>
          <w:szCs w:val="24"/>
          <w:lang w:val="el-GR"/>
        </w:rPr>
        <w:t>που</w:t>
      </w:r>
      <w:r w:rsidRPr="00E53BEE">
        <w:rPr>
          <w:rFonts w:cstheme="minorHAnsi"/>
          <w:sz w:val="24"/>
          <w:szCs w:val="24"/>
          <w:lang w:val="el-GR"/>
        </w:rPr>
        <w:t xml:space="preserve"> </w:t>
      </w:r>
      <w:r>
        <w:rPr>
          <w:rFonts w:cstheme="minorHAnsi"/>
          <w:sz w:val="24"/>
          <w:szCs w:val="24"/>
          <w:lang w:val="el-GR"/>
        </w:rPr>
        <w:t>αποτελείται</w:t>
      </w:r>
      <w:r w:rsidRPr="00E53BEE">
        <w:rPr>
          <w:rFonts w:cstheme="minorHAnsi"/>
          <w:sz w:val="24"/>
          <w:szCs w:val="24"/>
          <w:lang w:val="el-GR"/>
        </w:rPr>
        <w:t xml:space="preserve">, </w:t>
      </w:r>
      <w:r>
        <w:rPr>
          <w:rFonts w:cstheme="minorHAnsi"/>
          <w:sz w:val="24"/>
          <w:szCs w:val="24"/>
          <w:lang w:val="el-GR"/>
        </w:rPr>
        <w:t xml:space="preserve">ανάμεσα </w:t>
      </w:r>
      <w:proofErr w:type="spellStart"/>
      <w:r>
        <w:rPr>
          <w:rFonts w:cstheme="minorHAnsi"/>
          <w:sz w:val="24"/>
          <w:szCs w:val="24"/>
          <w:lang w:val="el-GR"/>
        </w:rPr>
        <w:t>σ’αλλα</w:t>
      </w:r>
      <w:proofErr w:type="spellEnd"/>
      <w:r>
        <w:rPr>
          <w:rFonts w:cstheme="minorHAnsi"/>
          <w:sz w:val="24"/>
          <w:szCs w:val="24"/>
          <w:lang w:val="el-GR"/>
        </w:rPr>
        <w:t>,</w:t>
      </w:r>
      <w:r w:rsidR="00220066" w:rsidRPr="00E53BEE">
        <w:rPr>
          <w:rFonts w:cstheme="minorHAnsi"/>
          <w:sz w:val="24"/>
          <w:szCs w:val="24"/>
          <w:lang w:val="el-GR"/>
        </w:rPr>
        <w:t xml:space="preserve"> </w:t>
      </w:r>
      <w:r>
        <w:rPr>
          <w:rFonts w:cstheme="minorHAnsi"/>
          <w:sz w:val="24"/>
          <w:szCs w:val="24"/>
          <w:lang w:val="el-GR"/>
        </w:rPr>
        <w:t>από μια ειδική σελίδα για παράπονα του κοινού</w:t>
      </w:r>
      <w:r w:rsidR="00220066" w:rsidRPr="00E53BEE">
        <w:rPr>
          <w:rFonts w:cstheme="minorHAnsi"/>
          <w:sz w:val="24"/>
          <w:szCs w:val="24"/>
          <w:lang w:val="el-GR"/>
        </w:rPr>
        <w:t xml:space="preserve">. </w:t>
      </w:r>
      <w:r>
        <w:rPr>
          <w:rFonts w:cstheme="minorHAnsi"/>
          <w:sz w:val="24"/>
          <w:szCs w:val="24"/>
          <w:lang w:val="el-GR"/>
        </w:rPr>
        <w:t>Ετοιμάσθηκε</w:t>
      </w:r>
      <w:r w:rsidRPr="00E53BEE">
        <w:rPr>
          <w:rFonts w:cstheme="minorHAnsi"/>
          <w:sz w:val="24"/>
          <w:szCs w:val="24"/>
          <w:lang w:val="el-GR"/>
        </w:rPr>
        <w:t xml:space="preserve"> </w:t>
      </w:r>
      <w:r>
        <w:rPr>
          <w:rFonts w:cstheme="minorHAnsi"/>
          <w:sz w:val="24"/>
          <w:szCs w:val="24"/>
          <w:lang w:val="el-GR"/>
        </w:rPr>
        <w:t>και</w:t>
      </w:r>
      <w:r w:rsidRPr="00E53BEE">
        <w:rPr>
          <w:rFonts w:cstheme="minorHAnsi"/>
          <w:sz w:val="24"/>
          <w:szCs w:val="24"/>
          <w:lang w:val="el-GR"/>
        </w:rPr>
        <w:t xml:space="preserve"> </w:t>
      </w:r>
      <w:r>
        <w:rPr>
          <w:rFonts w:cstheme="minorHAnsi"/>
          <w:sz w:val="24"/>
          <w:szCs w:val="24"/>
          <w:lang w:val="el-GR"/>
        </w:rPr>
        <w:t>δημοσιεύθηκε</w:t>
      </w:r>
      <w:r w:rsidRPr="00E53BEE">
        <w:rPr>
          <w:rFonts w:cstheme="minorHAnsi"/>
          <w:sz w:val="24"/>
          <w:szCs w:val="24"/>
          <w:lang w:val="el-GR"/>
        </w:rPr>
        <w:t xml:space="preserve"> </w:t>
      </w:r>
      <w:r>
        <w:rPr>
          <w:rFonts w:cstheme="minorHAnsi"/>
          <w:sz w:val="24"/>
          <w:szCs w:val="24"/>
          <w:lang w:val="el-GR"/>
        </w:rPr>
        <w:t>ένα</w:t>
      </w:r>
      <w:r w:rsidRPr="00E53BEE">
        <w:rPr>
          <w:rFonts w:cstheme="minorHAnsi"/>
          <w:sz w:val="24"/>
          <w:szCs w:val="24"/>
          <w:lang w:val="el-GR"/>
        </w:rPr>
        <w:t xml:space="preserve"> </w:t>
      </w:r>
      <w:r>
        <w:rPr>
          <w:rFonts w:cstheme="minorHAnsi"/>
          <w:sz w:val="24"/>
          <w:szCs w:val="24"/>
          <w:lang w:val="el-GR"/>
        </w:rPr>
        <w:t>ενημερωτικό</w:t>
      </w:r>
      <w:r w:rsidRPr="00E53BEE">
        <w:rPr>
          <w:rFonts w:cstheme="minorHAnsi"/>
          <w:sz w:val="24"/>
          <w:szCs w:val="24"/>
          <w:lang w:val="el-GR"/>
        </w:rPr>
        <w:t xml:space="preserve"> </w:t>
      </w:r>
      <w:r>
        <w:rPr>
          <w:rFonts w:cstheme="minorHAnsi"/>
          <w:sz w:val="24"/>
          <w:szCs w:val="24"/>
          <w:lang w:val="el-GR"/>
        </w:rPr>
        <w:t>φυλλάδιο</w:t>
      </w:r>
      <w:r w:rsidR="00220066" w:rsidRPr="00E53BEE">
        <w:rPr>
          <w:rFonts w:cstheme="minorHAnsi"/>
          <w:sz w:val="24"/>
          <w:szCs w:val="24"/>
          <w:lang w:val="el-GR"/>
        </w:rPr>
        <w:t xml:space="preserve"> </w:t>
      </w:r>
      <w:r>
        <w:rPr>
          <w:rFonts w:cstheme="minorHAnsi"/>
          <w:sz w:val="24"/>
          <w:szCs w:val="24"/>
          <w:lang w:val="el-GR"/>
        </w:rPr>
        <w:t>τόσο</w:t>
      </w:r>
      <w:r w:rsidRPr="00E53BEE">
        <w:rPr>
          <w:rFonts w:cstheme="minorHAnsi"/>
          <w:sz w:val="24"/>
          <w:szCs w:val="24"/>
          <w:lang w:val="el-GR"/>
        </w:rPr>
        <w:t xml:space="preserve"> </w:t>
      </w:r>
      <w:r>
        <w:rPr>
          <w:rFonts w:cstheme="minorHAnsi"/>
          <w:sz w:val="24"/>
          <w:szCs w:val="24"/>
          <w:lang w:val="el-GR"/>
        </w:rPr>
        <w:t>για</w:t>
      </w:r>
      <w:r w:rsidRPr="00E53BEE">
        <w:rPr>
          <w:rFonts w:cstheme="minorHAnsi"/>
          <w:sz w:val="24"/>
          <w:szCs w:val="24"/>
          <w:lang w:val="el-GR"/>
        </w:rPr>
        <w:t xml:space="preserve"> </w:t>
      </w:r>
      <w:r>
        <w:rPr>
          <w:rFonts w:cstheme="minorHAnsi"/>
          <w:sz w:val="24"/>
          <w:szCs w:val="24"/>
          <w:lang w:val="el-GR"/>
        </w:rPr>
        <w:t>τους</w:t>
      </w:r>
      <w:r w:rsidRPr="00E53BEE">
        <w:rPr>
          <w:rFonts w:cstheme="minorHAnsi"/>
          <w:sz w:val="24"/>
          <w:szCs w:val="24"/>
          <w:lang w:val="el-GR"/>
        </w:rPr>
        <w:t xml:space="preserve"> </w:t>
      </w:r>
      <w:r>
        <w:rPr>
          <w:rFonts w:cstheme="minorHAnsi"/>
          <w:sz w:val="24"/>
          <w:szCs w:val="24"/>
          <w:lang w:val="el-GR"/>
        </w:rPr>
        <w:t>ΑΕΝ</w:t>
      </w:r>
      <w:r w:rsidRPr="00E53BEE">
        <w:rPr>
          <w:rFonts w:cstheme="minorHAnsi"/>
          <w:sz w:val="24"/>
          <w:szCs w:val="24"/>
          <w:lang w:val="el-GR"/>
        </w:rPr>
        <w:t xml:space="preserve"> </w:t>
      </w:r>
      <w:r>
        <w:rPr>
          <w:rFonts w:cstheme="minorHAnsi"/>
          <w:sz w:val="24"/>
          <w:szCs w:val="24"/>
          <w:lang w:val="el-GR"/>
        </w:rPr>
        <w:t>όσο</w:t>
      </w:r>
      <w:r w:rsidRPr="00E53BEE">
        <w:rPr>
          <w:rFonts w:cstheme="minorHAnsi"/>
          <w:sz w:val="24"/>
          <w:szCs w:val="24"/>
          <w:lang w:val="el-GR"/>
        </w:rPr>
        <w:t xml:space="preserve"> </w:t>
      </w:r>
      <w:r>
        <w:rPr>
          <w:rFonts w:cstheme="minorHAnsi"/>
          <w:sz w:val="24"/>
          <w:szCs w:val="24"/>
          <w:lang w:val="el-GR"/>
        </w:rPr>
        <w:t>και</w:t>
      </w:r>
      <w:r w:rsidRPr="00E53BEE">
        <w:rPr>
          <w:rFonts w:cstheme="minorHAnsi"/>
          <w:sz w:val="24"/>
          <w:szCs w:val="24"/>
          <w:lang w:val="el-GR"/>
        </w:rPr>
        <w:t xml:space="preserve"> </w:t>
      </w:r>
      <w:r>
        <w:rPr>
          <w:rFonts w:cstheme="minorHAnsi"/>
          <w:sz w:val="24"/>
          <w:szCs w:val="24"/>
          <w:lang w:val="el-GR"/>
        </w:rPr>
        <w:t>για</w:t>
      </w:r>
      <w:r w:rsidRPr="00E53BEE">
        <w:rPr>
          <w:rFonts w:cstheme="minorHAnsi"/>
          <w:sz w:val="24"/>
          <w:szCs w:val="24"/>
          <w:lang w:val="el-GR"/>
        </w:rPr>
        <w:t xml:space="preserve"> </w:t>
      </w:r>
      <w:r>
        <w:rPr>
          <w:rFonts w:cstheme="minorHAnsi"/>
          <w:sz w:val="24"/>
          <w:szCs w:val="24"/>
          <w:lang w:val="el-GR"/>
        </w:rPr>
        <w:t>το</w:t>
      </w:r>
      <w:r w:rsidRPr="00E53BEE">
        <w:rPr>
          <w:rFonts w:cstheme="minorHAnsi"/>
          <w:sz w:val="24"/>
          <w:szCs w:val="24"/>
          <w:lang w:val="el-GR"/>
        </w:rPr>
        <w:t xml:space="preserve"> </w:t>
      </w:r>
      <w:r w:rsidR="003F0790">
        <w:rPr>
          <w:rFonts w:cstheme="minorHAnsi"/>
          <w:sz w:val="24"/>
          <w:szCs w:val="24"/>
          <w:lang w:val="el-GR"/>
        </w:rPr>
        <w:t>ευρύ</w:t>
      </w:r>
      <w:r w:rsidRPr="00E53BEE">
        <w:rPr>
          <w:rFonts w:cstheme="minorHAnsi"/>
          <w:sz w:val="24"/>
          <w:szCs w:val="24"/>
          <w:lang w:val="el-GR"/>
        </w:rPr>
        <w:t xml:space="preserve"> </w:t>
      </w:r>
      <w:r>
        <w:rPr>
          <w:rFonts w:cstheme="minorHAnsi"/>
          <w:sz w:val="24"/>
          <w:szCs w:val="24"/>
          <w:lang w:val="el-GR"/>
        </w:rPr>
        <w:t>κοινό</w:t>
      </w:r>
      <w:r w:rsidR="00220066" w:rsidRPr="00E53BEE">
        <w:rPr>
          <w:rFonts w:cstheme="minorHAnsi"/>
          <w:sz w:val="24"/>
          <w:szCs w:val="24"/>
          <w:lang w:val="el-GR"/>
        </w:rPr>
        <w:t xml:space="preserve">, </w:t>
      </w:r>
      <w:r>
        <w:rPr>
          <w:rFonts w:cstheme="minorHAnsi"/>
          <w:sz w:val="24"/>
          <w:szCs w:val="24"/>
          <w:lang w:val="el-GR"/>
        </w:rPr>
        <w:t>που</w:t>
      </w:r>
      <w:r w:rsidRPr="00E53BEE">
        <w:rPr>
          <w:rFonts w:cstheme="minorHAnsi"/>
          <w:sz w:val="24"/>
          <w:szCs w:val="24"/>
          <w:lang w:val="el-GR"/>
        </w:rPr>
        <w:t xml:space="preserve"> </w:t>
      </w:r>
      <w:r>
        <w:rPr>
          <w:rFonts w:cstheme="minorHAnsi"/>
          <w:sz w:val="24"/>
          <w:szCs w:val="24"/>
          <w:lang w:val="el-GR"/>
        </w:rPr>
        <w:t>αφορά</w:t>
      </w:r>
      <w:r w:rsidRPr="00E53BEE">
        <w:rPr>
          <w:rFonts w:cstheme="minorHAnsi"/>
          <w:sz w:val="24"/>
          <w:szCs w:val="24"/>
          <w:lang w:val="el-GR"/>
        </w:rPr>
        <w:t xml:space="preserve"> </w:t>
      </w:r>
      <w:r>
        <w:rPr>
          <w:rFonts w:cstheme="minorHAnsi"/>
          <w:sz w:val="24"/>
          <w:szCs w:val="24"/>
          <w:lang w:val="el-GR"/>
        </w:rPr>
        <w:t>τον</w:t>
      </w:r>
      <w:r w:rsidRPr="00E53BEE">
        <w:rPr>
          <w:rFonts w:cstheme="minorHAnsi"/>
          <w:sz w:val="24"/>
          <w:szCs w:val="24"/>
          <w:lang w:val="el-GR"/>
        </w:rPr>
        <w:t xml:space="preserve"> </w:t>
      </w:r>
      <w:r>
        <w:rPr>
          <w:rFonts w:cstheme="minorHAnsi"/>
          <w:sz w:val="24"/>
          <w:szCs w:val="24"/>
          <w:lang w:val="el-GR"/>
        </w:rPr>
        <w:t>ρόλο</w:t>
      </w:r>
      <w:r w:rsidRPr="00E53BEE">
        <w:rPr>
          <w:rFonts w:cstheme="minorHAnsi"/>
          <w:sz w:val="24"/>
          <w:szCs w:val="24"/>
          <w:lang w:val="el-GR"/>
        </w:rPr>
        <w:t xml:space="preserve"> </w:t>
      </w:r>
      <w:r>
        <w:rPr>
          <w:rFonts w:cstheme="minorHAnsi"/>
          <w:sz w:val="24"/>
          <w:szCs w:val="24"/>
          <w:lang w:val="el-GR"/>
        </w:rPr>
        <w:t>και</w:t>
      </w:r>
      <w:r w:rsidRPr="00E53BEE">
        <w:rPr>
          <w:rFonts w:cstheme="minorHAnsi"/>
          <w:sz w:val="24"/>
          <w:szCs w:val="24"/>
          <w:lang w:val="el-GR"/>
        </w:rPr>
        <w:t xml:space="preserve"> </w:t>
      </w:r>
      <w:r>
        <w:rPr>
          <w:rFonts w:cstheme="minorHAnsi"/>
          <w:sz w:val="24"/>
          <w:szCs w:val="24"/>
          <w:lang w:val="el-GR"/>
        </w:rPr>
        <w:t>την</w:t>
      </w:r>
      <w:r w:rsidRPr="00E53BEE">
        <w:rPr>
          <w:rFonts w:cstheme="minorHAnsi"/>
          <w:sz w:val="24"/>
          <w:szCs w:val="24"/>
          <w:lang w:val="el-GR"/>
        </w:rPr>
        <w:t xml:space="preserve"> </w:t>
      </w:r>
      <w:r>
        <w:rPr>
          <w:rFonts w:cstheme="minorHAnsi"/>
          <w:sz w:val="24"/>
          <w:szCs w:val="24"/>
          <w:lang w:val="el-GR"/>
        </w:rPr>
        <w:t>αποστολή της</w:t>
      </w:r>
      <w:r w:rsidR="00220066" w:rsidRPr="00E53BEE">
        <w:rPr>
          <w:rFonts w:cstheme="minorHAnsi"/>
          <w:sz w:val="24"/>
          <w:szCs w:val="24"/>
          <w:lang w:val="el-GR"/>
        </w:rPr>
        <w:t xml:space="preserve"> </w:t>
      </w:r>
      <w:r w:rsidR="00220066" w:rsidRPr="004E251E">
        <w:rPr>
          <w:rFonts w:cstheme="minorHAnsi"/>
          <w:sz w:val="24"/>
          <w:szCs w:val="24"/>
        </w:rPr>
        <w:t>P</w:t>
      </w:r>
      <w:r w:rsidR="00220066" w:rsidRPr="00E53BEE">
        <w:rPr>
          <w:rFonts w:cstheme="minorHAnsi"/>
          <w:sz w:val="24"/>
          <w:szCs w:val="24"/>
          <w:lang w:val="el-GR"/>
        </w:rPr>
        <w:t>.</w:t>
      </w:r>
      <w:r w:rsidR="00220066" w:rsidRPr="004E251E">
        <w:rPr>
          <w:rFonts w:cstheme="minorHAnsi"/>
          <w:sz w:val="24"/>
          <w:szCs w:val="24"/>
        </w:rPr>
        <w:t>I</w:t>
      </w:r>
      <w:r w:rsidR="00220066" w:rsidRPr="00E53BEE">
        <w:rPr>
          <w:rFonts w:cstheme="minorHAnsi"/>
          <w:sz w:val="24"/>
          <w:szCs w:val="24"/>
          <w:lang w:val="el-GR"/>
        </w:rPr>
        <w:t>.</w:t>
      </w:r>
      <w:r w:rsidR="00220066" w:rsidRPr="004E251E">
        <w:rPr>
          <w:rFonts w:cstheme="minorHAnsi"/>
          <w:sz w:val="24"/>
          <w:szCs w:val="24"/>
        </w:rPr>
        <w:t>A</w:t>
      </w:r>
      <w:r w:rsidR="00220066" w:rsidRPr="00E53BEE">
        <w:rPr>
          <w:rFonts w:cstheme="minorHAnsi"/>
          <w:sz w:val="24"/>
          <w:szCs w:val="24"/>
          <w:lang w:val="el-GR"/>
        </w:rPr>
        <w:t>.</w:t>
      </w:r>
      <w:r w:rsidR="00220066" w:rsidRPr="004E251E">
        <w:rPr>
          <w:rFonts w:cstheme="minorHAnsi"/>
          <w:sz w:val="24"/>
          <w:szCs w:val="24"/>
        </w:rPr>
        <w:t>S</w:t>
      </w:r>
      <w:r w:rsidR="00220066" w:rsidRPr="00E53BEE">
        <w:rPr>
          <w:rFonts w:cstheme="minorHAnsi"/>
          <w:sz w:val="24"/>
          <w:szCs w:val="24"/>
          <w:lang w:val="el-GR"/>
        </w:rPr>
        <w:t xml:space="preserve">., </w:t>
      </w:r>
      <w:r>
        <w:rPr>
          <w:rFonts w:cstheme="minorHAnsi"/>
          <w:sz w:val="24"/>
          <w:szCs w:val="24"/>
          <w:lang w:val="el-GR"/>
        </w:rPr>
        <w:t xml:space="preserve">συμπεριλαμβανομένων και </w:t>
      </w:r>
      <w:r w:rsidR="008C3843">
        <w:rPr>
          <w:rFonts w:cstheme="minorHAnsi"/>
          <w:sz w:val="24"/>
          <w:szCs w:val="24"/>
          <w:lang w:val="el-GR"/>
        </w:rPr>
        <w:t>των τρόπων με τους οποίους</w:t>
      </w:r>
      <w:r w:rsidR="00220066" w:rsidRPr="00E53BEE">
        <w:rPr>
          <w:rFonts w:cstheme="minorHAnsi"/>
          <w:sz w:val="24"/>
          <w:szCs w:val="24"/>
          <w:lang w:val="el-GR"/>
        </w:rPr>
        <w:t xml:space="preserve"> </w:t>
      </w:r>
      <w:r w:rsidR="008C3843">
        <w:rPr>
          <w:rFonts w:cstheme="minorHAnsi"/>
          <w:sz w:val="24"/>
          <w:szCs w:val="24"/>
          <w:lang w:val="el-GR"/>
        </w:rPr>
        <w:t xml:space="preserve">είτε ένα μέλος της </w:t>
      </w:r>
      <w:r w:rsidR="009C4E34">
        <w:rPr>
          <w:rFonts w:cstheme="minorHAnsi"/>
          <w:sz w:val="24"/>
          <w:szCs w:val="24"/>
          <w:lang w:val="el-GR"/>
        </w:rPr>
        <w:t>Αστυνομία</w:t>
      </w:r>
      <w:r w:rsidR="008C3843">
        <w:rPr>
          <w:rFonts w:cstheme="minorHAnsi"/>
          <w:sz w:val="24"/>
          <w:szCs w:val="24"/>
          <w:lang w:val="el-GR"/>
        </w:rPr>
        <w:t>ς</w:t>
      </w:r>
      <w:r w:rsidR="00220066" w:rsidRPr="00E53BEE">
        <w:rPr>
          <w:rFonts w:cstheme="minorHAnsi"/>
          <w:sz w:val="24"/>
          <w:szCs w:val="24"/>
          <w:lang w:val="el-GR"/>
        </w:rPr>
        <w:t xml:space="preserve"> </w:t>
      </w:r>
      <w:r w:rsidR="008C3843">
        <w:rPr>
          <w:rFonts w:cstheme="minorHAnsi"/>
          <w:sz w:val="24"/>
          <w:szCs w:val="24"/>
          <w:lang w:val="el-GR"/>
        </w:rPr>
        <w:t>είτε ένας πολίτης μπορεί να υποβάλει</w:t>
      </w:r>
      <w:r w:rsidR="00220066" w:rsidRPr="00E53BEE">
        <w:rPr>
          <w:rFonts w:cstheme="minorHAnsi"/>
          <w:sz w:val="24"/>
          <w:szCs w:val="24"/>
          <w:lang w:val="el-GR"/>
        </w:rPr>
        <w:t xml:space="preserve">, </w:t>
      </w:r>
      <w:r w:rsidR="008C3843">
        <w:rPr>
          <w:rFonts w:cstheme="minorHAnsi"/>
          <w:sz w:val="24"/>
          <w:szCs w:val="24"/>
          <w:lang w:val="el-GR"/>
        </w:rPr>
        <w:t>ακόμα και ανώνυμα</w:t>
      </w:r>
      <w:r w:rsidR="00220066" w:rsidRPr="00E53BEE">
        <w:rPr>
          <w:rFonts w:cstheme="minorHAnsi"/>
          <w:sz w:val="24"/>
          <w:szCs w:val="24"/>
          <w:lang w:val="el-GR"/>
        </w:rPr>
        <w:t xml:space="preserve">, </w:t>
      </w:r>
      <w:r w:rsidR="008C3843">
        <w:rPr>
          <w:rFonts w:cstheme="minorHAnsi"/>
          <w:sz w:val="24"/>
          <w:szCs w:val="24"/>
          <w:lang w:val="el-GR"/>
        </w:rPr>
        <w:t xml:space="preserve">ένα παράπονο ή μια πληροφορία για την διαφθορά στην </w:t>
      </w:r>
      <w:r w:rsidR="009C4E34">
        <w:rPr>
          <w:rFonts w:cstheme="minorHAnsi"/>
          <w:sz w:val="24"/>
          <w:szCs w:val="24"/>
          <w:lang w:val="el-GR"/>
        </w:rPr>
        <w:t>Αστυνομία</w:t>
      </w:r>
      <w:r w:rsidR="00220066" w:rsidRPr="00E53BEE">
        <w:rPr>
          <w:rFonts w:cstheme="minorHAnsi"/>
          <w:sz w:val="24"/>
          <w:szCs w:val="24"/>
          <w:lang w:val="el-GR"/>
        </w:rPr>
        <w:t>.</w:t>
      </w:r>
    </w:p>
    <w:p w14:paraId="1D047E39" w14:textId="77777777" w:rsidR="00220066" w:rsidRPr="00E53BEE" w:rsidRDefault="00220066" w:rsidP="00220066">
      <w:pPr>
        <w:keepNext/>
        <w:tabs>
          <w:tab w:val="left" w:pos="709"/>
        </w:tabs>
        <w:rPr>
          <w:rFonts w:cstheme="minorHAnsi"/>
          <w:sz w:val="24"/>
          <w:szCs w:val="24"/>
          <w:lang w:val="el-GR"/>
        </w:rPr>
      </w:pPr>
    </w:p>
    <w:p w14:paraId="506B0F32" w14:textId="1D754291" w:rsidR="00220066" w:rsidRPr="008C3843" w:rsidRDefault="008C3843" w:rsidP="00220066">
      <w:pPr>
        <w:keepNext/>
        <w:tabs>
          <w:tab w:val="left" w:pos="709"/>
        </w:tabs>
        <w:rPr>
          <w:rFonts w:cstheme="minorHAnsi"/>
          <w:sz w:val="24"/>
          <w:szCs w:val="24"/>
          <w:u w:val="single"/>
          <w:lang w:val="el-GR"/>
        </w:rPr>
      </w:pPr>
      <w:r>
        <w:rPr>
          <w:rFonts w:cstheme="minorHAnsi"/>
          <w:i/>
          <w:iCs/>
          <w:sz w:val="24"/>
          <w:szCs w:val="24"/>
          <w:lang w:val="el-GR"/>
        </w:rPr>
        <w:t>Διεύθυνση</w:t>
      </w:r>
      <w:r w:rsidRPr="008C3843">
        <w:rPr>
          <w:rFonts w:cstheme="minorHAnsi"/>
          <w:i/>
          <w:iCs/>
          <w:sz w:val="24"/>
          <w:szCs w:val="24"/>
          <w:lang w:val="el-GR"/>
        </w:rPr>
        <w:t xml:space="preserve"> </w:t>
      </w:r>
      <w:r>
        <w:rPr>
          <w:rFonts w:cstheme="minorHAnsi"/>
          <w:i/>
          <w:iCs/>
          <w:sz w:val="24"/>
          <w:szCs w:val="24"/>
          <w:lang w:val="el-GR"/>
        </w:rPr>
        <w:t>Επαγγελματικών</w:t>
      </w:r>
      <w:r w:rsidRPr="008C3843">
        <w:rPr>
          <w:rFonts w:cstheme="minorHAnsi"/>
          <w:i/>
          <w:iCs/>
          <w:sz w:val="24"/>
          <w:szCs w:val="24"/>
          <w:lang w:val="el-GR"/>
        </w:rPr>
        <w:t xml:space="preserve"> </w:t>
      </w:r>
      <w:r>
        <w:rPr>
          <w:rFonts w:cstheme="minorHAnsi"/>
          <w:i/>
          <w:iCs/>
          <w:sz w:val="24"/>
          <w:szCs w:val="24"/>
          <w:lang w:val="el-GR"/>
        </w:rPr>
        <w:t>Προτύπων</w:t>
      </w:r>
      <w:r w:rsidRPr="008C3843">
        <w:rPr>
          <w:rFonts w:cstheme="minorHAnsi"/>
          <w:i/>
          <w:iCs/>
          <w:sz w:val="24"/>
          <w:szCs w:val="24"/>
          <w:lang w:val="el-GR"/>
        </w:rPr>
        <w:t xml:space="preserve"> </w:t>
      </w:r>
      <w:r>
        <w:rPr>
          <w:rFonts w:cstheme="minorHAnsi"/>
          <w:i/>
          <w:iCs/>
          <w:sz w:val="24"/>
          <w:szCs w:val="24"/>
          <w:lang w:val="el-GR"/>
        </w:rPr>
        <w:t>και</w:t>
      </w:r>
      <w:r w:rsidRPr="008C3843">
        <w:rPr>
          <w:rFonts w:cstheme="minorHAnsi"/>
          <w:i/>
          <w:iCs/>
          <w:sz w:val="24"/>
          <w:szCs w:val="24"/>
          <w:lang w:val="el-GR"/>
        </w:rPr>
        <w:t xml:space="preserve"> </w:t>
      </w:r>
      <w:r>
        <w:rPr>
          <w:rFonts w:cstheme="minorHAnsi"/>
          <w:i/>
          <w:iCs/>
          <w:sz w:val="24"/>
          <w:szCs w:val="24"/>
          <w:lang w:val="el-GR"/>
        </w:rPr>
        <w:t>Επιθεωρήσεων</w:t>
      </w:r>
      <w:r w:rsidRPr="008C3843">
        <w:rPr>
          <w:rFonts w:cstheme="minorHAnsi"/>
          <w:i/>
          <w:iCs/>
          <w:sz w:val="24"/>
          <w:szCs w:val="24"/>
          <w:lang w:val="el-GR"/>
        </w:rPr>
        <w:t xml:space="preserve"> </w:t>
      </w:r>
      <w:r>
        <w:rPr>
          <w:rFonts w:cstheme="minorHAnsi"/>
          <w:i/>
          <w:iCs/>
          <w:sz w:val="24"/>
          <w:szCs w:val="24"/>
          <w:lang w:val="el-GR"/>
        </w:rPr>
        <w:t>της</w:t>
      </w:r>
      <w:r w:rsidRPr="008C3843">
        <w:rPr>
          <w:rFonts w:cstheme="minorHAnsi"/>
          <w:i/>
          <w:iCs/>
          <w:sz w:val="24"/>
          <w:szCs w:val="24"/>
          <w:lang w:val="el-GR"/>
        </w:rPr>
        <w:t xml:space="preserve"> </w:t>
      </w:r>
      <w:r w:rsidR="009C4E34">
        <w:rPr>
          <w:rFonts w:cstheme="minorHAnsi"/>
          <w:i/>
          <w:iCs/>
          <w:sz w:val="24"/>
          <w:szCs w:val="24"/>
          <w:lang w:val="el-GR"/>
        </w:rPr>
        <w:t>Αστυνομία</w:t>
      </w:r>
      <w:r>
        <w:rPr>
          <w:rFonts w:cstheme="minorHAnsi"/>
          <w:i/>
          <w:iCs/>
          <w:sz w:val="24"/>
          <w:szCs w:val="24"/>
          <w:lang w:val="el-GR"/>
        </w:rPr>
        <w:t>ς</w:t>
      </w:r>
      <w:r w:rsidR="00220066" w:rsidRPr="008C3843">
        <w:rPr>
          <w:rFonts w:cstheme="minorHAnsi"/>
          <w:i/>
          <w:iCs/>
          <w:sz w:val="24"/>
          <w:szCs w:val="24"/>
          <w:lang w:val="el-GR"/>
        </w:rPr>
        <w:t xml:space="preserve"> (</w:t>
      </w:r>
      <w:r w:rsidR="00220066" w:rsidRPr="00441951">
        <w:rPr>
          <w:rFonts w:cstheme="minorHAnsi"/>
          <w:i/>
          <w:iCs/>
          <w:sz w:val="24"/>
          <w:szCs w:val="24"/>
        </w:rPr>
        <w:t>PSID</w:t>
      </w:r>
      <w:r w:rsidR="00220066" w:rsidRPr="008C3843">
        <w:rPr>
          <w:rFonts w:cstheme="minorHAnsi"/>
          <w:i/>
          <w:iCs/>
          <w:sz w:val="24"/>
          <w:szCs w:val="24"/>
          <w:lang w:val="el-GR"/>
        </w:rPr>
        <w:t>)</w:t>
      </w:r>
    </w:p>
    <w:p w14:paraId="3632DDBC" w14:textId="77777777" w:rsidR="00220066" w:rsidRPr="008C3843" w:rsidRDefault="00220066" w:rsidP="00220066">
      <w:pPr>
        <w:keepNext/>
        <w:tabs>
          <w:tab w:val="left" w:pos="709"/>
        </w:tabs>
        <w:rPr>
          <w:rFonts w:cstheme="minorHAnsi"/>
          <w:sz w:val="24"/>
          <w:szCs w:val="24"/>
          <w:u w:val="single"/>
          <w:lang w:val="el-GR"/>
        </w:rPr>
      </w:pPr>
    </w:p>
    <w:p w14:paraId="587156B4" w14:textId="3687824D" w:rsidR="00220066" w:rsidRPr="004E251E" w:rsidRDefault="008C3843" w:rsidP="00220066">
      <w:pPr>
        <w:keepNext/>
        <w:numPr>
          <w:ilvl w:val="0"/>
          <w:numId w:val="1"/>
        </w:numPr>
        <w:tabs>
          <w:tab w:val="left" w:pos="709"/>
        </w:tabs>
        <w:ind w:left="0" w:firstLine="0"/>
        <w:rPr>
          <w:rFonts w:cstheme="minorHAnsi"/>
          <w:sz w:val="24"/>
          <w:szCs w:val="24"/>
        </w:rPr>
      </w:pPr>
      <w:bookmarkStart w:id="235" w:name="_Toc110430342"/>
      <w:r>
        <w:rPr>
          <w:rFonts w:cstheme="minorHAnsi"/>
          <w:sz w:val="24"/>
          <w:szCs w:val="24"/>
          <w:lang w:val="el-GR"/>
        </w:rPr>
        <w:t>Η</w:t>
      </w:r>
      <w:r w:rsidRPr="008C3843">
        <w:rPr>
          <w:rFonts w:cstheme="minorHAnsi"/>
          <w:sz w:val="24"/>
          <w:szCs w:val="24"/>
          <w:lang w:val="el-GR"/>
        </w:rPr>
        <w:t xml:space="preserve"> </w:t>
      </w:r>
      <w:r w:rsidR="00220066" w:rsidRPr="004E251E">
        <w:rPr>
          <w:rFonts w:cstheme="minorHAnsi"/>
          <w:sz w:val="24"/>
          <w:szCs w:val="24"/>
        </w:rPr>
        <w:t>PSID</w:t>
      </w:r>
      <w:r w:rsidR="00220066" w:rsidRPr="008C3843">
        <w:rPr>
          <w:rFonts w:cstheme="minorHAnsi"/>
          <w:sz w:val="24"/>
          <w:szCs w:val="24"/>
          <w:lang w:val="el-GR"/>
        </w:rPr>
        <w:t xml:space="preserve"> </w:t>
      </w:r>
      <w:r>
        <w:rPr>
          <w:rFonts w:cstheme="minorHAnsi"/>
          <w:sz w:val="24"/>
          <w:szCs w:val="24"/>
          <w:lang w:val="el-GR"/>
        </w:rPr>
        <w:t>συγκροτείται</w:t>
      </w:r>
      <w:r w:rsidRPr="008C3843">
        <w:rPr>
          <w:rFonts w:cstheme="minorHAnsi"/>
          <w:sz w:val="24"/>
          <w:szCs w:val="24"/>
          <w:lang w:val="el-GR"/>
        </w:rPr>
        <w:t xml:space="preserve"> </w:t>
      </w:r>
      <w:r>
        <w:rPr>
          <w:rFonts w:cstheme="minorHAnsi"/>
          <w:sz w:val="24"/>
          <w:szCs w:val="24"/>
          <w:lang w:val="el-GR"/>
        </w:rPr>
        <w:t>από</w:t>
      </w:r>
      <w:r w:rsidRPr="008C3843">
        <w:rPr>
          <w:rFonts w:cstheme="minorHAnsi"/>
          <w:sz w:val="24"/>
          <w:szCs w:val="24"/>
          <w:lang w:val="el-GR"/>
        </w:rPr>
        <w:t xml:space="preserve"> </w:t>
      </w:r>
      <w:r w:rsidR="003F0790">
        <w:rPr>
          <w:rFonts w:cstheme="minorHAnsi"/>
          <w:sz w:val="24"/>
          <w:szCs w:val="24"/>
          <w:lang w:val="el-GR"/>
        </w:rPr>
        <w:t xml:space="preserve">το </w:t>
      </w:r>
      <w:r>
        <w:rPr>
          <w:rFonts w:cstheme="minorHAnsi"/>
          <w:sz w:val="24"/>
          <w:szCs w:val="24"/>
          <w:lang w:val="el-GR"/>
        </w:rPr>
        <w:t>Πάγιο</w:t>
      </w:r>
      <w:r w:rsidRPr="008C3843">
        <w:rPr>
          <w:rFonts w:cstheme="minorHAnsi"/>
          <w:sz w:val="24"/>
          <w:szCs w:val="24"/>
          <w:lang w:val="el-GR"/>
        </w:rPr>
        <w:t xml:space="preserve"> </w:t>
      </w:r>
      <w:r>
        <w:rPr>
          <w:rFonts w:cstheme="minorHAnsi"/>
          <w:sz w:val="24"/>
          <w:szCs w:val="24"/>
          <w:lang w:val="el-GR"/>
        </w:rPr>
        <w:t>Διάταγμα</w:t>
      </w:r>
      <w:r w:rsidRPr="008C3843">
        <w:rPr>
          <w:rFonts w:cstheme="minorHAnsi"/>
          <w:sz w:val="24"/>
          <w:szCs w:val="24"/>
          <w:lang w:val="el-GR"/>
        </w:rPr>
        <w:t xml:space="preserve"> </w:t>
      </w:r>
      <w:r>
        <w:rPr>
          <w:rFonts w:cstheme="minorHAnsi"/>
          <w:sz w:val="24"/>
          <w:szCs w:val="24"/>
          <w:lang w:val="el-GR"/>
        </w:rPr>
        <w:t>του</w:t>
      </w:r>
      <w:r w:rsidRPr="008C3843">
        <w:rPr>
          <w:rFonts w:cstheme="minorHAnsi"/>
          <w:sz w:val="24"/>
          <w:szCs w:val="24"/>
          <w:lang w:val="el-GR"/>
        </w:rPr>
        <w:t xml:space="preserve"> </w:t>
      </w:r>
      <w:r>
        <w:rPr>
          <w:rFonts w:cstheme="minorHAnsi"/>
          <w:sz w:val="24"/>
          <w:szCs w:val="24"/>
          <w:lang w:val="el-GR"/>
        </w:rPr>
        <w:t xml:space="preserve">Αρχηγού της </w:t>
      </w:r>
      <w:r w:rsidR="009C4E34">
        <w:rPr>
          <w:rFonts w:cstheme="minorHAnsi"/>
          <w:sz w:val="24"/>
          <w:szCs w:val="24"/>
          <w:lang w:val="el-GR"/>
        </w:rPr>
        <w:t>Αστυνομία</w:t>
      </w:r>
      <w:r>
        <w:rPr>
          <w:rFonts w:cstheme="minorHAnsi"/>
          <w:sz w:val="24"/>
          <w:szCs w:val="24"/>
          <w:lang w:val="el-GR"/>
        </w:rPr>
        <w:t xml:space="preserve">ς </w:t>
      </w:r>
      <w:proofErr w:type="spellStart"/>
      <w:r>
        <w:rPr>
          <w:rFonts w:cstheme="minorHAnsi"/>
          <w:sz w:val="24"/>
          <w:szCs w:val="24"/>
          <w:lang w:val="el-GR"/>
        </w:rPr>
        <w:t>Αρ</w:t>
      </w:r>
      <w:proofErr w:type="spellEnd"/>
      <w:r w:rsidR="00C328E9" w:rsidRPr="008C3843">
        <w:rPr>
          <w:rFonts w:cstheme="minorHAnsi"/>
          <w:bCs/>
          <w:sz w:val="24"/>
          <w:szCs w:val="24"/>
          <w:lang w:val="el-GR"/>
        </w:rPr>
        <w:t>.</w:t>
      </w:r>
      <w:r w:rsidR="00220066" w:rsidRPr="008C3843">
        <w:rPr>
          <w:rFonts w:cstheme="minorHAnsi"/>
          <w:bCs/>
          <w:sz w:val="24"/>
          <w:szCs w:val="24"/>
          <w:lang w:val="el-GR"/>
        </w:rPr>
        <w:t xml:space="preserve"> 1/86</w:t>
      </w:r>
      <w:bookmarkStart w:id="236" w:name="_Hlk132890228"/>
      <w:r w:rsidR="00C328E9" w:rsidRPr="008C3843">
        <w:rPr>
          <w:rFonts w:cstheme="minorHAnsi"/>
          <w:bCs/>
          <w:sz w:val="24"/>
          <w:szCs w:val="24"/>
          <w:lang w:val="el-GR"/>
        </w:rPr>
        <w:t xml:space="preserve"> (</w:t>
      </w:r>
      <w:r>
        <w:rPr>
          <w:rFonts w:cstheme="minorHAnsi"/>
          <w:bCs/>
          <w:sz w:val="24"/>
          <w:szCs w:val="24"/>
          <w:lang w:val="el-GR"/>
        </w:rPr>
        <w:t>όπως αυτό τροποποιήθηκε πρόσφατα</w:t>
      </w:r>
      <w:r w:rsidR="003F0790">
        <w:rPr>
          <w:rFonts w:cstheme="minorHAnsi"/>
          <w:bCs/>
          <w:sz w:val="24"/>
          <w:szCs w:val="24"/>
          <w:lang w:val="el-GR"/>
        </w:rPr>
        <w:t>,</w:t>
      </w:r>
      <w:r>
        <w:rPr>
          <w:rFonts w:cstheme="minorHAnsi"/>
          <w:bCs/>
          <w:sz w:val="24"/>
          <w:szCs w:val="24"/>
          <w:lang w:val="el-GR"/>
        </w:rPr>
        <w:t xml:space="preserve"> τον Μάρτη του</w:t>
      </w:r>
      <w:r w:rsidR="00C328E9" w:rsidRPr="008C3843">
        <w:rPr>
          <w:rFonts w:cstheme="minorHAnsi"/>
          <w:bCs/>
          <w:sz w:val="24"/>
          <w:szCs w:val="24"/>
          <w:lang w:val="el-GR"/>
        </w:rPr>
        <w:t xml:space="preserve"> 2023). </w:t>
      </w:r>
      <w:bookmarkEnd w:id="236"/>
      <w:r>
        <w:rPr>
          <w:rFonts w:cstheme="minorHAnsi"/>
          <w:bCs/>
          <w:sz w:val="24"/>
          <w:szCs w:val="24"/>
          <w:lang w:val="el-GR"/>
        </w:rPr>
        <w:t>Αυτό</w:t>
      </w:r>
      <w:r w:rsidRPr="008C3843">
        <w:rPr>
          <w:rFonts w:cstheme="minorHAnsi"/>
          <w:bCs/>
          <w:sz w:val="24"/>
          <w:szCs w:val="24"/>
          <w:lang w:val="el-GR"/>
        </w:rPr>
        <w:t xml:space="preserve"> </w:t>
      </w:r>
      <w:r>
        <w:rPr>
          <w:rFonts w:cstheme="minorHAnsi"/>
          <w:bCs/>
          <w:sz w:val="24"/>
          <w:szCs w:val="24"/>
          <w:lang w:val="el-GR"/>
        </w:rPr>
        <w:t>λειτουργεί</w:t>
      </w:r>
      <w:r w:rsidRPr="008C3843">
        <w:rPr>
          <w:rFonts w:cstheme="minorHAnsi"/>
          <w:bCs/>
          <w:sz w:val="24"/>
          <w:szCs w:val="24"/>
          <w:lang w:val="el-GR"/>
        </w:rPr>
        <w:t xml:space="preserve"> </w:t>
      </w:r>
      <w:r>
        <w:rPr>
          <w:rFonts w:cstheme="minorHAnsi"/>
          <w:bCs/>
          <w:sz w:val="24"/>
          <w:szCs w:val="24"/>
          <w:lang w:val="el-GR"/>
        </w:rPr>
        <w:t>για</w:t>
      </w:r>
      <w:r w:rsidRPr="008C3843">
        <w:rPr>
          <w:rFonts w:cstheme="minorHAnsi"/>
          <w:bCs/>
          <w:sz w:val="24"/>
          <w:szCs w:val="24"/>
          <w:lang w:val="el-GR"/>
        </w:rPr>
        <w:t xml:space="preserve"> </w:t>
      </w:r>
      <w:r>
        <w:rPr>
          <w:rFonts w:cstheme="minorHAnsi"/>
          <w:bCs/>
          <w:sz w:val="24"/>
          <w:szCs w:val="24"/>
          <w:lang w:val="el-GR"/>
        </w:rPr>
        <w:t>να</w:t>
      </w:r>
      <w:r w:rsidRPr="008C3843">
        <w:rPr>
          <w:rFonts w:cstheme="minorHAnsi"/>
          <w:bCs/>
          <w:sz w:val="24"/>
          <w:szCs w:val="24"/>
          <w:lang w:val="el-GR"/>
        </w:rPr>
        <w:t xml:space="preserve"> </w:t>
      </w:r>
      <w:r>
        <w:rPr>
          <w:rFonts w:cstheme="minorHAnsi"/>
          <w:bCs/>
          <w:sz w:val="24"/>
          <w:szCs w:val="24"/>
          <w:lang w:val="el-GR"/>
        </w:rPr>
        <w:t>εξασφαλίσει</w:t>
      </w:r>
      <w:r w:rsidRPr="008C3843">
        <w:rPr>
          <w:rFonts w:cstheme="minorHAnsi"/>
          <w:bCs/>
          <w:sz w:val="24"/>
          <w:szCs w:val="24"/>
          <w:lang w:val="el-GR"/>
        </w:rPr>
        <w:t xml:space="preserve"> </w:t>
      </w:r>
      <w:r>
        <w:rPr>
          <w:rFonts w:cstheme="minorHAnsi"/>
          <w:bCs/>
          <w:sz w:val="24"/>
          <w:szCs w:val="24"/>
          <w:lang w:val="el-GR"/>
        </w:rPr>
        <w:t>επαγγελματικά</w:t>
      </w:r>
      <w:r w:rsidRPr="008C3843">
        <w:rPr>
          <w:rFonts w:cstheme="minorHAnsi"/>
          <w:bCs/>
          <w:sz w:val="24"/>
          <w:szCs w:val="24"/>
          <w:lang w:val="el-GR"/>
        </w:rPr>
        <w:t xml:space="preserve"> </w:t>
      </w:r>
      <w:r>
        <w:rPr>
          <w:rFonts w:cstheme="minorHAnsi"/>
          <w:bCs/>
          <w:sz w:val="24"/>
          <w:szCs w:val="24"/>
          <w:lang w:val="el-GR"/>
        </w:rPr>
        <w:t>πρότυπα</w:t>
      </w:r>
      <w:r w:rsidR="00220066" w:rsidRPr="008C3843">
        <w:rPr>
          <w:rFonts w:cstheme="minorHAnsi"/>
          <w:sz w:val="24"/>
          <w:szCs w:val="24"/>
          <w:lang w:val="el-GR"/>
        </w:rPr>
        <w:t xml:space="preserve">, </w:t>
      </w:r>
      <w:r>
        <w:rPr>
          <w:rFonts w:cstheme="minorHAnsi"/>
          <w:sz w:val="24"/>
          <w:szCs w:val="24"/>
          <w:lang w:val="el-GR"/>
        </w:rPr>
        <w:t>βελτιώνοντας</w:t>
      </w:r>
      <w:r w:rsidRPr="008C3843">
        <w:rPr>
          <w:rFonts w:cstheme="minorHAnsi"/>
          <w:sz w:val="24"/>
          <w:szCs w:val="24"/>
          <w:lang w:val="el-GR"/>
        </w:rPr>
        <w:t xml:space="preserve"> </w:t>
      </w:r>
      <w:r>
        <w:rPr>
          <w:rFonts w:cstheme="minorHAnsi"/>
          <w:sz w:val="24"/>
          <w:szCs w:val="24"/>
          <w:lang w:val="el-GR"/>
        </w:rPr>
        <w:t>τις</w:t>
      </w:r>
      <w:r w:rsidRPr="008C3843">
        <w:rPr>
          <w:rFonts w:cstheme="minorHAnsi"/>
          <w:sz w:val="24"/>
          <w:szCs w:val="24"/>
          <w:lang w:val="el-GR"/>
        </w:rPr>
        <w:t xml:space="preserve"> </w:t>
      </w:r>
      <w:r>
        <w:rPr>
          <w:rFonts w:cstheme="minorHAnsi"/>
          <w:sz w:val="24"/>
          <w:szCs w:val="24"/>
          <w:lang w:val="el-GR"/>
        </w:rPr>
        <w:t>εσωτερικές</w:t>
      </w:r>
      <w:r w:rsidRPr="008C3843">
        <w:rPr>
          <w:rFonts w:cstheme="minorHAnsi"/>
          <w:sz w:val="24"/>
          <w:szCs w:val="24"/>
          <w:lang w:val="el-GR"/>
        </w:rPr>
        <w:t xml:space="preserve"> </w:t>
      </w:r>
      <w:r>
        <w:rPr>
          <w:rFonts w:cstheme="minorHAnsi"/>
          <w:sz w:val="24"/>
          <w:szCs w:val="24"/>
          <w:lang w:val="el-GR"/>
        </w:rPr>
        <w:t>πρακτικές</w:t>
      </w:r>
      <w:r w:rsidR="00220066" w:rsidRPr="008C3843">
        <w:rPr>
          <w:rFonts w:cstheme="minorHAnsi"/>
          <w:sz w:val="24"/>
          <w:szCs w:val="24"/>
          <w:lang w:val="el-GR"/>
        </w:rPr>
        <w:t xml:space="preserve"> </w:t>
      </w:r>
      <w:r>
        <w:rPr>
          <w:rFonts w:cstheme="minorHAnsi"/>
          <w:sz w:val="24"/>
          <w:szCs w:val="24"/>
          <w:lang w:val="el-GR"/>
        </w:rPr>
        <w:t>ή</w:t>
      </w:r>
      <w:r w:rsidRPr="008C3843">
        <w:rPr>
          <w:rFonts w:cstheme="minorHAnsi"/>
          <w:sz w:val="24"/>
          <w:szCs w:val="24"/>
          <w:lang w:val="el-GR"/>
        </w:rPr>
        <w:t xml:space="preserve"> </w:t>
      </w:r>
      <w:r>
        <w:rPr>
          <w:rFonts w:cstheme="minorHAnsi"/>
          <w:sz w:val="24"/>
          <w:szCs w:val="24"/>
          <w:lang w:val="el-GR"/>
        </w:rPr>
        <w:t>διαδικασίες</w:t>
      </w:r>
      <w:r w:rsidR="00220066" w:rsidRPr="008C3843">
        <w:rPr>
          <w:rFonts w:cstheme="minorHAnsi"/>
          <w:sz w:val="24"/>
          <w:szCs w:val="24"/>
          <w:lang w:val="el-GR"/>
        </w:rPr>
        <w:t xml:space="preserve"> </w:t>
      </w:r>
      <w:r>
        <w:rPr>
          <w:rFonts w:cstheme="minorHAnsi"/>
          <w:sz w:val="24"/>
          <w:szCs w:val="24"/>
          <w:lang w:val="el-GR"/>
        </w:rPr>
        <w:t>που ακολουθούνται, και την υλοποίηση των μηχανισμών πρόληψης, ελέγχου, ανίχνευσης και καταστολής</w:t>
      </w:r>
      <w:r w:rsidRPr="008C3843">
        <w:rPr>
          <w:rFonts w:cstheme="minorHAnsi"/>
          <w:sz w:val="24"/>
          <w:szCs w:val="24"/>
          <w:lang w:val="el-GR"/>
        </w:rPr>
        <w:t xml:space="preserve"> </w:t>
      </w:r>
      <w:proofErr w:type="spellStart"/>
      <w:r>
        <w:rPr>
          <w:rFonts w:cstheme="minorHAnsi"/>
          <w:sz w:val="24"/>
          <w:szCs w:val="24"/>
          <w:lang w:val="el-GR"/>
        </w:rPr>
        <w:t>παρεκκλίνουσας</w:t>
      </w:r>
      <w:proofErr w:type="spellEnd"/>
      <w:r>
        <w:rPr>
          <w:rFonts w:cstheme="minorHAnsi"/>
          <w:sz w:val="24"/>
          <w:szCs w:val="24"/>
          <w:lang w:val="el-GR"/>
        </w:rPr>
        <w:t xml:space="preserve"> και </w:t>
      </w:r>
      <w:proofErr w:type="spellStart"/>
      <w:r>
        <w:rPr>
          <w:rFonts w:cstheme="minorHAnsi"/>
          <w:sz w:val="24"/>
          <w:szCs w:val="24"/>
          <w:lang w:val="el-GR"/>
        </w:rPr>
        <w:t>παραβατικής</w:t>
      </w:r>
      <w:proofErr w:type="spellEnd"/>
      <w:r>
        <w:rPr>
          <w:rFonts w:cstheme="minorHAnsi"/>
          <w:sz w:val="24"/>
          <w:szCs w:val="24"/>
          <w:lang w:val="el-GR"/>
        </w:rPr>
        <w:t xml:space="preserve"> συμπεριφοράς των ΑΕΝ</w:t>
      </w:r>
      <w:r w:rsidR="00220066" w:rsidRPr="008C3843">
        <w:rPr>
          <w:rFonts w:cstheme="minorHAnsi"/>
          <w:sz w:val="24"/>
          <w:szCs w:val="24"/>
          <w:lang w:val="el-GR"/>
        </w:rPr>
        <w:t xml:space="preserve">. </w:t>
      </w:r>
      <w:r>
        <w:rPr>
          <w:rFonts w:cstheme="minorHAnsi"/>
          <w:sz w:val="24"/>
          <w:szCs w:val="24"/>
          <w:lang w:val="el-GR"/>
        </w:rPr>
        <w:t>Η</w:t>
      </w:r>
      <w:r w:rsidRPr="008C3843">
        <w:rPr>
          <w:rFonts w:cstheme="minorHAnsi"/>
          <w:sz w:val="24"/>
          <w:szCs w:val="24"/>
          <w:lang w:val="en-US"/>
        </w:rPr>
        <w:t xml:space="preserve"> </w:t>
      </w:r>
      <w:r w:rsidR="00220066" w:rsidRPr="004E251E">
        <w:rPr>
          <w:rFonts w:cstheme="minorHAnsi"/>
          <w:sz w:val="24"/>
          <w:szCs w:val="24"/>
        </w:rPr>
        <w:t xml:space="preserve">PSID </w:t>
      </w:r>
      <w:r>
        <w:rPr>
          <w:rFonts w:cstheme="minorHAnsi"/>
          <w:sz w:val="24"/>
          <w:szCs w:val="24"/>
          <w:lang w:val="el-GR"/>
        </w:rPr>
        <w:t>ασχολείται</w:t>
      </w:r>
      <w:r w:rsidRPr="008C3843">
        <w:rPr>
          <w:rFonts w:cstheme="minorHAnsi"/>
          <w:sz w:val="24"/>
          <w:szCs w:val="24"/>
          <w:lang w:val="en-US"/>
        </w:rPr>
        <w:t xml:space="preserve"> </w:t>
      </w:r>
      <w:r>
        <w:rPr>
          <w:rFonts w:cstheme="minorHAnsi"/>
          <w:sz w:val="24"/>
          <w:szCs w:val="24"/>
          <w:lang w:val="el-GR"/>
        </w:rPr>
        <w:t>με</w:t>
      </w:r>
      <w:r w:rsidRPr="008C3843">
        <w:rPr>
          <w:rFonts w:cstheme="minorHAnsi"/>
          <w:sz w:val="24"/>
          <w:szCs w:val="24"/>
          <w:lang w:val="en-US"/>
        </w:rPr>
        <w:t xml:space="preserve"> </w:t>
      </w:r>
      <w:r>
        <w:rPr>
          <w:rFonts w:cstheme="minorHAnsi"/>
          <w:sz w:val="24"/>
          <w:szCs w:val="24"/>
          <w:lang w:val="el-GR"/>
        </w:rPr>
        <w:t>την</w:t>
      </w:r>
      <w:r w:rsidRPr="008C3843">
        <w:rPr>
          <w:rFonts w:cstheme="minorHAnsi"/>
          <w:sz w:val="24"/>
          <w:szCs w:val="24"/>
          <w:lang w:val="en-US"/>
        </w:rPr>
        <w:t xml:space="preserve"> </w:t>
      </w:r>
      <w:r>
        <w:rPr>
          <w:rFonts w:cstheme="minorHAnsi"/>
          <w:sz w:val="24"/>
          <w:szCs w:val="24"/>
          <w:lang w:val="el-GR"/>
        </w:rPr>
        <w:t>διερεύνηση</w:t>
      </w:r>
      <w:r w:rsidRPr="008C3843">
        <w:rPr>
          <w:rFonts w:cstheme="minorHAnsi"/>
          <w:sz w:val="24"/>
          <w:szCs w:val="24"/>
          <w:lang w:val="en-US"/>
        </w:rPr>
        <w:t xml:space="preserve"> </w:t>
      </w:r>
      <w:r>
        <w:rPr>
          <w:rFonts w:cstheme="minorHAnsi"/>
          <w:sz w:val="24"/>
          <w:szCs w:val="24"/>
          <w:lang w:val="el-GR"/>
        </w:rPr>
        <w:t>πειθαρχικών</w:t>
      </w:r>
      <w:r w:rsidRPr="008C3843">
        <w:rPr>
          <w:rFonts w:cstheme="minorHAnsi"/>
          <w:sz w:val="24"/>
          <w:szCs w:val="24"/>
          <w:lang w:val="en-US"/>
        </w:rPr>
        <w:t xml:space="preserve"> </w:t>
      </w:r>
      <w:r>
        <w:rPr>
          <w:rFonts w:cstheme="minorHAnsi"/>
          <w:sz w:val="24"/>
          <w:szCs w:val="24"/>
          <w:lang w:val="el-GR"/>
        </w:rPr>
        <w:t>αδικημάτων</w:t>
      </w:r>
      <w:r w:rsidR="00220066" w:rsidRPr="004E251E">
        <w:rPr>
          <w:rFonts w:cstheme="minorHAnsi"/>
          <w:sz w:val="24"/>
          <w:szCs w:val="24"/>
        </w:rPr>
        <w:t>.</w:t>
      </w:r>
    </w:p>
    <w:p w14:paraId="0F181654" w14:textId="77777777" w:rsidR="00220066" w:rsidRPr="004E251E" w:rsidRDefault="00220066" w:rsidP="00220066">
      <w:pPr>
        <w:keepNext/>
        <w:tabs>
          <w:tab w:val="left" w:pos="709"/>
        </w:tabs>
        <w:rPr>
          <w:rFonts w:cstheme="minorHAnsi"/>
          <w:sz w:val="24"/>
          <w:szCs w:val="24"/>
        </w:rPr>
      </w:pPr>
    </w:p>
    <w:p w14:paraId="2A1D4D50" w14:textId="73E32AC7" w:rsidR="00220066" w:rsidRPr="00D129E3" w:rsidRDefault="008C3843"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Ειδικότερα</w:t>
      </w:r>
      <w:r w:rsidR="00220066" w:rsidRPr="00D129E3">
        <w:rPr>
          <w:rFonts w:cstheme="minorHAnsi"/>
          <w:sz w:val="24"/>
          <w:szCs w:val="24"/>
          <w:lang w:val="el-GR"/>
        </w:rPr>
        <w:t xml:space="preserve">, </w:t>
      </w:r>
      <w:r>
        <w:rPr>
          <w:rFonts w:cstheme="minorHAnsi"/>
          <w:sz w:val="24"/>
          <w:szCs w:val="24"/>
          <w:lang w:val="el-GR"/>
        </w:rPr>
        <w:t>ότα</w:t>
      </w:r>
      <w:r w:rsidR="003F0790">
        <w:rPr>
          <w:rFonts w:cstheme="minorHAnsi"/>
          <w:sz w:val="24"/>
          <w:szCs w:val="24"/>
          <w:lang w:val="el-GR"/>
        </w:rPr>
        <w:t>ν</w:t>
      </w:r>
      <w:r w:rsidRPr="00D129E3">
        <w:rPr>
          <w:rFonts w:cstheme="minorHAnsi"/>
          <w:sz w:val="24"/>
          <w:szCs w:val="24"/>
          <w:lang w:val="el-GR"/>
        </w:rPr>
        <w:t xml:space="preserve"> </w:t>
      </w:r>
      <w:r>
        <w:rPr>
          <w:rFonts w:cstheme="minorHAnsi"/>
          <w:sz w:val="24"/>
          <w:szCs w:val="24"/>
          <w:lang w:val="el-GR"/>
        </w:rPr>
        <w:t>μια</w:t>
      </w:r>
      <w:r w:rsidRPr="00D129E3">
        <w:rPr>
          <w:rFonts w:cstheme="minorHAnsi"/>
          <w:sz w:val="24"/>
          <w:szCs w:val="24"/>
          <w:lang w:val="el-GR"/>
        </w:rPr>
        <w:t xml:space="preserve"> </w:t>
      </w:r>
      <w:r>
        <w:rPr>
          <w:rFonts w:cstheme="minorHAnsi"/>
          <w:sz w:val="24"/>
          <w:szCs w:val="24"/>
          <w:lang w:val="el-GR"/>
        </w:rPr>
        <w:t>πληροφορία</w:t>
      </w:r>
      <w:r w:rsidR="00220066" w:rsidRPr="00D129E3">
        <w:rPr>
          <w:rFonts w:cstheme="minorHAnsi"/>
          <w:sz w:val="24"/>
          <w:szCs w:val="24"/>
          <w:lang w:val="el-GR"/>
        </w:rPr>
        <w:t xml:space="preserve"> </w:t>
      </w:r>
      <w:r>
        <w:rPr>
          <w:rFonts w:cstheme="minorHAnsi"/>
          <w:sz w:val="24"/>
          <w:szCs w:val="24"/>
          <w:lang w:val="el-GR"/>
        </w:rPr>
        <w:t>λαμβάνεται</w:t>
      </w:r>
      <w:r w:rsidRPr="00D129E3">
        <w:rPr>
          <w:rFonts w:cstheme="minorHAnsi"/>
          <w:sz w:val="24"/>
          <w:szCs w:val="24"/>
          <w:lang w:val="el-GR"/>
        </w:rPr>
        <w:t xml:space="preserve"> </w:t>
      </w:r>
      <w:r>
        <w:rPr>
          <w:rFonts w:cstheme="minorHAnsi"/>
          <w:sz w:val="24"/>
          <w:szCs w:val="24"/>
          <w:lang w:val="el-GR"/>
        </w:rPr>
        <w:t>από</w:t>
      </w:r>
      <w:r w:rsidRPr="00D129E3">
        <w:rPr>
          <w:rFonts w:cstheme="minorHAnsi"/>
          <w:sz w:val="24"/>
          <w:szCs w:val="24"/>
          <w:lang w:val="el-GR"/>
        </w:rPr>
        <w:t xml:space="preserve"> </w:t>
      </w:r>
      <w:r>
        <w:rPr>
          <w:rFonts w:cstheme="minorHAnsi"/>
          <w:sz w:val="24"/>
          <w:szCs w:val="24"/>
          <w:lang w:val="el-GR"/>
        </w:rPr>
        <w:t>την</w:t>
      </w:r>
      <w:r w:rsidRPr="00D129E3">
        <w:rPr>
          <w:rFonts w:cstheme="minorHAnsi"/>
          <w:sz w:val="24"/>
          <w:szCs w:val="24"/>
          <w:lang w:val="el-GR"/>
        </w:rPr>
        <w:t xml:space="preserve"> </w:t>
      </w:r>
      <w:r>
        <w:rPr>
          <w:rFonts w:cstheme="minorHAnsi"/>
          <w:sz w:val="24"/>
          <w:szCs w:val="24"/>
          <w:lang w:val="el-GR"/>
        </w:rPr>
        <w:t>Διεύθυνση</w:t>
      </w:r>
      <w:r w:rsidRPr="00D129E3">
        <w:rPr>
          <w:rFonts w:cstheme="minorHAnsi"/>
          <w:sz w:val="24"/>
          <w:szCs w:val="24"/>
          <w:lang w:val="el-GR"/>
        </w:rPr>
        <w:t xml:space="preserve"> </w:t>
      </w:r>
      <w:r>
        <w:rPr>
          <w:rFonts w:cstheme="minorHAnsi"/>
          <w:sz w:val="24"/>
          <w:szCs w:val="24"/>
          <w:lang w:val="el-GR"/>
        </w:rPr>
        <w:t>Επαγγελματικών</w:t>
      </w:r>
      <w:r w:rsidRPr="00D129E3">
        <w:rPr>
          <w:rFonts w:cstheme="minorHAnsi"/>
          <w:sz w:val="24"/>
          <w:szCs w:val="24"/>
          <w:lang w:val="el-GR"/>
        </w:rPr>
        <w:t xml:space="preserve"> </w:t>
      </w:r>
      <w:r>
        <w:rPr>
          <w:rFonts w:cstheme="minorHAnsi"/>
          <w:sz w:val="24"/>
          <w:szCs w:val="24"/>
          <w:lang w:val="el-GR"/>
        </w:rPr>
        <w:t>Προτύπων</w:t>
      </w:r>
      <w:r w:rsidRPr="00D129E3">
        <w:rPr>
          <w:rFonts w:cstheme="minorHAnsi"/>
          <w:sz w:val="24"/>
          <w:szCs w:val="24"/>
          <w:lang w:val="el-GR"/>
        </w:rPr>
        <w:t xml:space="preserve"> </w:t>
      </w:r>
      <w:r>
        <w:rPr>
          <w:rFonts w:cstheme="minorHAnsi"/>
          <w:sz w:val="24"/>
          <w:szCs w:val="24"/>
          <w:lang w:val="el-GR"/>
        </w:rPr>
        <w:t>και</w:t>
      </w:r>
      <w:r w:rsidRPr="00D129E3">
        <w:rPr>
          <w:rFonts w:cstheme="minorHAnsi"/>
          <w:sz w:val="24"/>
          <w:szCs w:val="24"/>
          <w:lang w:val="el-GR"/>
        </w:rPr>
        <w:t xml:space="preserve"> </w:t>
      </w:r>
      <w:r>
        <w:rPr>
          <w:rFonts w:cstheme="minorHAnsi"/>
          <w:sz w:val="24"/>
          <w:szCs w:val="24"/>
          <w:lang w:val="el-GR"/>
        </w:rPr>
        <w:t>Επιθεώρησης</w:t>
      </w:r>
      <w:r w:rsidR="00220066" w:rsidRPr="00D129E3">
        <w:rPr>
          <w:rFonts w:cstheme="minorHAnsi"/>
          <w:sz w:val="24"/>
          <w:szCs w:val="24"/>
          <w:lang w:val="el-GR"/>
        </w:rPr>
        <w:t xml:space="preserve"> (</w:t>
      </w:r>
      <w:r w:rsidR="00D129E3">
        <w:rPr>
          <w:rFonts w:cstheme="minorHAnsi"/>
          <w:sz w:val="24"/>
          <w:szCs w:val="24"/>
          <w:lang w:val="el-GR"/>
        </w:rPr>
        <w:t>είτε</w:t>
      </w:r>
      <w:r w:rsidR="00D129E3" w:rsidRPr="00D129E3">
        <w:rPr>
          <w:rFonts w:cstheme="minorHAnsi"/>
          <w:sz w:val="24"/>
          <w:szCs w:val="24"/>
          <w:lang w:val="el-GR"/>
        </w:rPr>
        <w:t xml:space="preserve"> </w:t>
      </w:r>
      <w:r w:rsidR="00D129E3">
        <w:rPr>
          <w:rFonts w:cstheme="minorHAnsi"/>
          <w:sz w:val="24"/>
          <w:szCs w:val="24"/>
          <w:lang w:val="el-GR"/>
        </w:rPr>
        <w:t>μέσω</w:t>
      </w:r>
      <w:r w:rsidR="00220066" w:rsidRPr="00D129E3">
        <w:rPr>
          <w:rFonts w:cstheme="minorHAnsi"/>
          <w:sz w:val="24"/>
          <w:szCs w:val="24"/>
          <w:lang w:val="el-GR"/>
        </w:rPr>
        <w:t xml:space="preserve"> (</w:t>
      </w:r>
      <w:r w:rsidR="00D129E3">
        <w:rPr>
          <w:rFonts w:cstheme="minorHAnsi"/>
          <w:sz w:val="24"/>
          <w:szCs w:val="24"/>
          <w:lang w:val="el-GR"/>
        </w:rPr>
        <w:t>α</w:t>
      </w:r>
      <w:r w:rsidR="00220066" w:rsidRPr="00D129E3">
        <w:rPr>
          <w:rFonts w:cstheme="minorHAnsi"/>
          <w:sz w:val="24"/>
          <w:szCs w:val="24"/>
          <w:lang w:val="el-GR"/>
        </w:rPr>
        <w:t xml:space="preserve">) </w:t>
      </w:r>
      <w:r w:rsidR="00D129E3">
        <w:rPr>
          <w:rFonts w:cstheme="minorHAnsi"/>
          <w:sz w:val="24"/>
          <w:szCs w:val="24"/>
          <w:lang w:val="el-GR"/>
        </w:rPr>
        <w:t>τη</w:t>
      </w:r>
      <w:r w:rsidR="003F0790">
        <w:rPr>
          <w:rFonts w:cstheme="minorHAnsi"/>
          <w:sz w:val="24"/>
          <w:szCs w:val="24"/>
          <w:lang w:val="el-GR"/>
        </w:rPr>
        <w:t>ς</w:t>
      </w:r>
      <w:r w:rsidR="00D129E3" w:rsidRPr="00D129E3">
        <w:rPr>
          <w:rFonts w:cstheme="minorHAnsi"/>
          <w:sz w:val="24"/>
          <w:szCs w:val="24"/>
          <w:lang w:val="el-GR"/>
        </w:rPr>
        <w:t xml:space="preserve"> </w:t>
      </w:r>
      <w:r w:rsidR="00D129E3">
        <w:rPr>
          <w:rFonts w:cstheme="minorHAnsi"/>
          <w:sz w:val="24"/>
          <w:szCs w:val="24"/>
          <w:lang w:val="el-GR"/>
        </w:rPr>
        <w:t>ανοικτή</w:t>
      </w:r>
      <w:r w:rsidR="003F0790">
        <w:rPr>
          <w:rFonts w:cstheme="minorHAnsi"/>
          <w:sz w:val="24"/>
          <w:szCs w:val="24"/>
          <w:lang w:val="el-GR"/>
        </w:rPr>
        <w:t>ς</w:t>
      </w:r>
      <w:r w:rsidR="00D129E3" w:rsidRPr="00D129E3">
        <w:rPr>
          <w:rFonts w:cstheme="minorHAnsi"/>
          <w:sz w:val="24"/>
          <w:szCs w:val="24"/>
          <w:lang w:val="el-GR"/>
        </w:rPr>
        <w:t xml:space="preserve"> </w:t>
      </w:r>
      <w:r w:rsidR="00D129E3">
        <w:rPr>
          <w:rFonts w:cstheme="minorHAnsi"/>
          <w:sz w:val="24"/>
          <w:szCs w:val="24"/>
          <w:lang w:val="el-GR"/>
        </w:rPr>
        <w:t>γραμμή</w:t>
      </w:r>
      <w:r w:rsidR="003F0790">
        <w:rPr>
          <w:rFonts w:cstheme="minorHAnsi"/>
          <w:sz w:val="24"/>
          <w:szCs w:val="24"/>
          <w:lang w:val="el-GR"/>
        </w:rPr>
        <w:t>ς</w:t>
      </w:r>
      <w:r w:rsidR="00D129E3" w:rsidRPr="00D129E3">
        <w:rPr>
          <w:rFonts w:cstheme="minorHAnsi"/>
          <w:sz w:val="24"/>
          <w:szCs w:val="24"/>
          <w:lang w:val="el-GR"/>
        </w:rPr>
        <w:t xml:space="preserve"> </w:t>
      </w:r>
      <w:r w:rsidR="00D129E3">
        <w:rPr>
          <w:rFonts w:cstheme="minorHAnsi"/>
          <w:sz w:val="24"/>
          <w:szCs w:val="24"/>
          <w:lang w:val="el-GR"/>
        </w:rPr>
        <w:t>της</w:t>
      </w:r>
      <w:r w:rsidR="00D129E3" w:rsidRPr="00D129E3">
        <w:rPr>
          <w:rFonts w:cstheme="minorHAnsi"/>
          <w:sz w:val="24"/>
          <w:szCs w:val="24"/>
          <w:lang w:val="el-GR"/>
        </w:rPr>
        <w:t xml:space="preserve"> </w:t>
      </w:r>
      <w:r w:rsidR="009C4E34">
        <w:rPr>
          <w:rFonts w:cstheme="minorHAnsi"/>
          <w:sz w:val="24"/>
          <w:szCs w:val="24"/>
          <w:lang w:val="el-GR"/>
        </w:rPr>
        <w:t>Αστυνομία</w:t>
      </w:r>
      <w:r w:rsidR="00D129E3">
        <w:rPr>
          <w:rFonts w:cstheme="minorHAnsi"/>
          <w:sz w:val="24"/>
          <w:szCs w:val="24"/>
          <w:lang w:val="el-GR"/>
        </w:rPr>
        <w:t>ς</w:t>
      </w:r>
      <w:r w:rsidR="00220066" w:rsidRPr="00D129E3">
        <w:rPr>
          <w:rFonts w:cstheme="minorHAnsi"/>
          <w:sz w:val="24"/>
          <w:szCs w:val="24"/>
          <w:lang w:val="el-GR"/>
        </w:rPr>
        <w:t>, (</w:t>
      </w:r>
      <w:r w:rsidR="00D129E3">
        <w:rPr>
          <w:rFonts w:cstheme="minorHAnsi"/>
          <w:sz w:val="24"/>
          <w:szCs w:val="24"/>
          <w:lang w:val="el-GR"/>
        </w:rPr>
        <w:t>β</w:t>
      </w:r>
      <w:r w:rsidR="00220066" w:rsidRPr="00D129E3">
        <w:rPr>
          <w:rFonts w:cstheme="minorHAnsi"/>
          <w:sz w:val="24"/>
          <w:szCs w:val="24"/>
          <w:lang w:val="el-GR"/>
        </w:rPr>
        <w:t xml:space="preserve">) </w:t>
      </w:r>
      <w:r w:rsidR="00D129E3">
        <w:rPr>
          <w:rFonts w:cstheme="minorHAnsi"/>
          <w:sz w:val="24"/>
          <w:szCs w:val="24"/>
          <w:lang w:val="el-GR"/>
        </w:rPr>
        <w:t>αλληλογραφία</w:t>
      </w:r>
      <w:r w:rsidR="003F0790">
        <w:rPr>
          <w:rFonts w:cstheme="minorHAnsi"/>
          <w:sz w:val="24"/>
          <w:szCs w:val="24"/>
          <w:lang w:val="el-GR"/>
        </w:rPr>
        <w:t>ς</w:t>
      </w:r>
      <w:r w:rsidR="00220066" w:rsidRPr="00D129E3">
        <w:rPr>
          <w:rFonts w:cstheme="minorHAnsi"/>
          <w:sz w:val="24"/>
          <w:szCs w:val="24"/>
          <w:lang w:val="el-GR"/>
        </w:rPr>
        <w:t>/</w:t>
      </w:r>
      <w:r w:rsidR="00D129E3">
        <w:rPr>
          <w:rFonts w:cstheme="minorHAnsi"/>
          <w:sz w:val="24"/>
          <w:szCs w:val="24"/>
          <w:lang w:val="el-GR"/>
        </w:rPr>
        <w:t>κανονικ</w:t>
      </w:r>
      <w:r w:rsidR="003F0790">
        <w:rPr>
          <w:rFonts w:cstheme="minorHAnsi"/>
          <w:sz w:val="24"/>
          <w:szCs w:val="24"/>
          <w:lang w:val="el-GR"/>
        </w:rPr>
        <w:t>ού</w:t>
      </w:r>
      <w:r w:rsidR="00D129E3" w:rsidRPr="00D129E3">
        <w:rPr>
          <w:rFonts w:cstheme="minorHAnsi"/>
          <w:sz w:val="24"/>
          <w:szCs w:val="24"/>
          <w:lang w:val="el-GR"/>
        </w:rPr>
        <w:t xml:space="preserve"> </w:t>
      </w:r>
      <w:r w:rsidR="00D129E3">
        <w:rPr>
          <w:rFonts w:cstheme="minorHAnsi"/>
          <w:sz w:val="24"/>
          <w:szCs w:val="24"/>
          <w:lang w:val="el-GR"/>
        </w:rPr>
        <w:t>ταχυδρομείο</w:t>
      </w:r>
      <w:r w:rsidR="003F0790">
        <w:rPr>
          <w:rFonts w:cstheme="minorHAnsi"/>
          <w:sz w:val="24"/>
          <w:szCs w:val="24"/>
          <w:lang w:val="el-GR"/>
        </w:rPr>
        <w:t>υ</w:t>
      </w:r>
      <w:r w:rsidR="00220066" w:rsidRPr="00D129E3">
        <w:rPr>
          <w:rFonts w:cstheme="minorHAnsi"/>
          <w:sz w:val="24"/>
          <w:szCs w:val="24"/>
          <w:lang w:val="el-GR"/>
        </w:rPr>
        <w:t xml:space="preserve">, </w:t>
      </w:r>
      <w:r w:rsidR="00D129E3">
        <w:rPr>
          <w:rFonts w:cstheme="minorHAnsi"/>
          <w:sz w:val="24"/>
          <w:szCs w:val="24"/>
          <w:lang w:val="el-GR"/>
        </w:rPr>
        <w:t>ή</w:t>
      </w:r>
      <w:r w:rsidR="00220066" w:rsidRPr="00D129E3">
        <w:rPr>
          <w:rFonts w:cstheme="minorHAnsi"/>
          <w:sz w:val="24"/>
          <w:szCs w:val="24"/>
          <w:lang w:val="el-GR"/>
        </w:rPr>
        <w:t xml:space="preserve"> (</w:t>
      </w:r>
      <w:r w:rsidR="00D129E3">
        <w:rPr>
          <w:rFonts w:cstheme="minorHAnsi"/>
          <w:sz w:val="24"/>
          <w:szCs w:val="24"/>
          <w:lang w:val="el-GR"/>
        </w:rPr>
        <w:t>γ</w:t>
      </w:r>
      <w:r w:rsidR="00220066" w:rsidRPr="00D129E3">
        <w:rPr>
          <w:rFonts w:cstheme="minorHAnsi"/>
          <w:sz w:val="24"/>
          <w:szCs w:val="24"/>
          <w:lang w:val="el-GR"/>
        </w:rPr>
        <w:t>)</w:t>
      </w:r>
      <w:r w:rsidR="00220066" w:rsidRPr="004E251E">
        <w:rPr>
          <w:rFonts w:cstheme="minorHAnsi"/>
          <w:sz w:val="24"/>
          <w:szCs w:val="24"/>
        </w:rPr>
        <w:t> </w:t>
      </w:r>
      <w:r w:rsidR="00D129E3">
        <w:rPr>
          <w:rFonts w:cstheme="minorHAnsi"/>
          <w:sz w:val="24"/>
          <w:szCs w:val="24"/>
          <w:lang w:val="el-GR"/>
        </w:rPr>
        <w:t>πληροφοριοδοτών</w:t>
      </w:r>
      <w:r w:rsidR="00220066" w:rsidRPr="00D129E3">
        <w:rPr>
          <w:rFonts w:cstheme="minorHAnsi"/>
          <w:sz w:val="24"/>
          <w:szCs w:val="24"/>
          <w:lang w:val="el-GR"/>
        </w:rPr>
        <w:t xml:space="preserve">), </w:t>
      </w:r>
      <w:r w:rsidR="00D129E3">
        <w:rPr>
          <w:rFonts w:cstheme="minorHAnsi"/>
          <w:sz w:val="24"/>
          <w:szCs w:val="24"/>
          <w:lang w:val="el-GR"/>
        </w:rPr>
        <w:t>τότε</w:t>
      </w:r>
      <w:r w:rsidR="00D129E3" w:rsidRPr="00D129E3">
        <w:rPr>
          <w:rFonts w:cstheme="minorHAnsi"/>
          <w:sz w:val="24"/>
          <w:szCs w:val="24"/>
          <w:lang w:val="el-GR"/>
        </w:rPr>
        <w:t xml:space="preserve"> </w:t>
      </w:r>
      <w:r w:rsidR="00D129E3">
        <w:rPr>
          <w:rFonts w:cstheme="minorHAnsi"/>
          <w:sz w:val="24"/>
          <w:szCs w:val="24"/>
          <w:lang w:val="el-GR"/>
        </w:rPr>
        <w:t>ο</w:t>
      </w:r>
      <w:r w:rsidR="00D129E3" w:rsidRPr="00D129E3">
        <w:rPr>
          <w:rFonts w:cstheme="minorHAnsi"/>
          <w:sz w:val="24"/>
          <w:szCs w:val="24"/>
          <w:lang w:val="el-GR"/>
        </w:rPr>
        <w:t xml:space="preserve"> </w:t>
      </w:r>
      <w:r w:rsidR="00D129E3">
        <w:rPr>
          <w:rFonts w:cstheme="minorHAnsi"/>
          <w:sz w:val="24"/>
          <w:szCs w:val="24"/>
          <w:lang w:val="el-GR"/>
        </w:rPr>
        <w:t xml:space="preserve">Διευθυντής της </w:t>
      </w:r>
      <w:r w:rsidR="00D129E3">
        <w:rPr>
          <w:rFonts w:cstheme="minorHAnsi"/>
          <w:sz w:val="24"/>
          <w:szCs w:val="24"/>
          <w:lang w:val="el-GR"/>
        </w:rPr>
        <w:lastRenderedPageBreak/>
        <w:t>Διεύθυνσης</w:t>
      </w:r>
      <w:r w:rsidR="00220066" w:rsidRPr="00D129E3">
        <w:rPr>
          <w:rFonts w:cstheme="minorHAnsi"/>
          <w:sz w:val="24"/>
          <w:szCs w:val="24"/>
          <w:lang w:val="el-GR"/>
        </w:rPr>
        <w:t xml:space="preserve"> </w:t>
      </w:r>
      <w:r w:rsidR="00D129E3">
        <w:rPr>
          <w:rFonts w:cstheme="minorHAnsi"/>
          <w:sz w:val="24"/>
          <w:szCs w:val="24"/>
          <w:lang w:val="el-GR"/>
        </w:rPr>
        <w:t>δίνει οδηγίες σε ένα από τα μέλη του/ης</w:t>
      </w:r>
      <w:r w:rsidR="00220066" w:rsidRPr="00D129E3">
        <w:rPr>
          <w:rFonts w:cstheme="minorHAnsi"/>
          <w:sz w:val="24"/>
          <w:szCs w:val="24"/>
          <w:lang w:val="el-GR"/>
        </w:rPr>
        <w:t xml:space="preserve"> </w:t>
      </w:r>
      <w:r w:rsidR="00D129E3">
        <w:rPr>
          <w:rFonts w:cstheme="minorHAnsi"/>
          <w:sz w:val="24"/>
          <w:szCs w:val="24"/>
          <w:lang w:val="el-GR"/>
        </w:rPr>
        <w:t>για να διερευνήσει την υπόθεση</w:t>
      </w:r>
      <w:r w:rsidR="00220066" w:rsidRPr="00D129E3">
        <w:rPr>
          <w:rFonts w:cstheme="minorHAnsi"/>
          <w:sz w:val="24"/>
          <w:szCs w:val="24"/>
          <w:lang w:val="el-GR"/>
        </w:rPr>
        <w:t xml:space="preserve">. </w:t>
      </w:r>
      <w:r w:rsidR="00D129E3">
        <w:rPr>
          <w:rFonts w:cstheme="minorHAnsi"/>
          <w:sz w:val="24"/>
          <w:szCs w:val="24"/>
          <w:lang w:val="el-GR"/>
        </w:rPr>
        <w:t>Μετά</w:t>
      </w:r>
      <w:r w:rsidR="00D129E3" w:rsidRPr="00D129E3">
        <w:rPr>
          <w:rFonts w:cstheme="minorHAnsi"/>
          <w:sz w:val="24"/>
          <w:szCs w:val="24"/>
          <w:lang w:val="el-GR"/>
        </w:rPr>
        <w:t xml:space="preserve"> </w:t>
      </w:r>
      <w:r w:rsidR="00D129E3">
        <w:rPr>
          <w:rFonts w:cstheme="minorHAnsi"/>
          <w:sz w:val="24"/>
          <w:szCs w:val="24"/>
          <w:lang w:val="el-GR"/>
        </w:rPr>
        <w:t>την</w:t>
      </w:r>
      <w:r w:rsidR="00D129E3" w:rsidRPr="00D129E3">
        <w:rPr>
          <w:rFonts w:cstheme="minorHAnsi"/>
          <w:sz w:val="24"/>
          <w:szCs w:val="24"/>
          <w:lang w:val="el-GR"/>
        </w:rPr>
        <w:t xml:space="preserve"> </w:t>
      </w:r>
      <w:r w:rsidR="00D129E3">
        <w:rPr>
          <w:rFonts w:cstheme="minorHAnsi"/>
          <w:sz w:val="24"/>
          <w:szCs w:val="24"/>
          <w:lang w:val="el-GR"/>
        </w:rPr>
        <w:t>ολοκλήρωση</w:t>
      </w:r>
      <w:r w:rsidR="00D129E3" w:rsidRPr="00D129E3">
        <w:rPr>
          <w:rFonts w:cstheme="minorHAnsi"/>
          <w:sz w:val="24"/>
          <w:szCs w:val="24"/>
          <w:lang w:val="el-GR"/>
        </w:rPr>
        <w:t xml:space="preserve"> </w:t>
      </w:r>
      <w:r w:rsidR="00D129E3">
        <w:rPr>
          <w:rFonts w:cstheme="minorHAnsi"/>
          <w:sz w:val="24"/>
          <w:szCs w:val="24"/>
          <w:lang w:val="el-GR"/>
        </w:rPr>
        <w:t>της</w:t>
      </w:r>
      <w:r w:rsidR="00D129E3" w:rsidRPr="00D129E3">
        <w:rPr>
          <w:rFonts w:cstheme="minorHAnsi"/>
          <w:sz w:val="24"/>
          <w:szCs w:val="24"/>
          <w:lang w:val="el-GR"/>
        </w:rPr>
        <w:t xml:space="preserve"> </w:t>
      </w:r>
      <w:r w:rsidR="00D129E3">
        <w:rPr>
          <w:rFonts w:cstheme="minorHAnsi"/>
          <w:sz w:val="24"/>
          <w:szCs w:val="24"/>
          <w:lang w:val="el-GR"/>
        </w:rPr>
        <w:t>έρευνας</w:t>
      </w:r>
      <w:r w:rsidR="00220066" w:rsidRPr="00D129E3">
        <w:rPr>
          <w:rFonts w:cstheme="minorHAnsi"/>
          <w:sz w:val="24"/>
          <w:szCs w:val="24"/>
          <w:lang w:val="el-GR"/>
        </w:rPr>
        <w:t xml:space="preserve">, </w:t>
      </w:r>
      <w:r w:rsidR="00D129E3">
        <w:rPr>
          <w:rFonts w:cstheme="minorHAnsi"/>
          <w:sz w:val="24"/>
          <w:szCs w:val="24"/>
          <w:lang w:val="el-GR"/>
        </w:rPr>
        <w:t>το</w:t>
      </w:r>
      <w:r w:rsidR="00D129E3" w:rsidRPr="00D129E3">
        <w:rPr>
          <w:rFonts w:cstheme="minorHAnsi"/>
          <w:sz w:val="24"/>
          <w:szCs w:val="24"/>
          <w:lang w:val="el-GR"/>
        </w:rPr>
        <w:t xml:space="preserve"> </w:t>
      </w:r>
      <w:r w:rsidR="00D129E3">
        <w:rPr>
          <w:rFonts w:cstheme="minorHAnsi"/>
          <w:sz w:val="24"/>
          <w:szCs w:val="24"/>
          <w:lang w:val="el-GR"/>
        </w:rPr>
        <w:t>μέλος</w:t>
      </w:r>
      <w:r w:rsidR="00D129E3" w:rsidRPr="00D129E3">
        <w:rPr>
          <w:rFonts w:cstheme="minorHAnsi"/>
          <w:sz w:val="24"/>
          <w:szCs w:val="24"/>
          <w:lang w:val="el-GR"/>
        </w:rPr>
        <w:t xml:space="preserve"> </w:t>
      </w:r>
      <w:r w:rsidR="00D129E3">
        <w:rPr>
          <w:rFonts w:cstheme="minorHAnsi"/>
          <w:sz w:val="24"/>
          <w:szCs w:val="24"/>
          <w:lang w:val="el-GR"/>
        </w:rPr>
        <w:t>της</w:t>
      </w:r>
      <w:r w:rsidR="00D129E3" w:rsidRPr="00D129E3">
        <w:rPr>
          <w:rFonts w:cstheme="minorHAnsi"/>
          <w:sz w:val="24"/>
          <w:szCs w:val="24"/>
          <w:lang w:val="el-GR"/>
        </w:rPr>
        <w:t xml:space="preserve"> </w:t>
      </w:r>
      <w:r w:rsidR="00D129E3">
        <w:rPr>
          <w:rFonts w:cstheme="minorHAnsi"/>
          <w:sz w:val="24"/>
          <w:szCs w:val="24"/>
          <w:lang w:val="el-GR"/>
        </w:rPr>
        <w:t>Διεύθυνσης</w:t>
      </w:r>
      <w:r w:rsidR="00D129E3" w:rsidRPr="00D129E3">
        <w:rPr>
          <w:rFonts w:cstheme="minorHAnsi"/>
          <w:sz w:val="24"/>
          <w:szCs w:val="24"/>
          <w:lang w:val="el-GR"/>
        </w:rPr>
        <w:t xml:space="preserve"> </w:t>
      </w:r>
      <w:r w:rsidR="00D129E3">
        <w:rPr>
          <w:rFonts w:cstheme="minorHAnsi"/>
          <w:sz w:val="24"/>
          <w:szCs w:val="24"/>
          <w:lang w:val="el-GR"/>
        </w:rPr>
        <w:t>υποβάλει</w:t>
      </w:r>
      <w:r w:rsidR="00220066" w:rsidRPr="00D129E3">
        <w:rPr>
          <w:rFonts w:cstheme="minorHAnsi"/>
          <w:sz w:val="24"/>
          <w:szCs w:val="24"/>
          <w:lang w:val="el-GR"/>
        </w:rPr>
        <w:t xml:space="preserve"> </w:t>
      </w:r>
      <w:r w:rsidR="00D129E3">
        <w:rPr>
          <w:rFonts w:cstheme="minorHAnsi"/>
          <w:sz w:val="24"/>
          <w:szCs w:val="24"/>
          <w:lang w:val="el-GR"/>
        </w:rPr>
        <w:t>την έκθεση του/ης</w:t>
      </w:r>
      <w:r w:rsidR="00220066" w:rsidRPr="00D129E3">
        <w:rPr>
          <w:rFonts w:cstheme="minorHAnsi"/>
          <w:sz w:val="24"/>
          <w:szCs w:val="24"/>
          <w:lang w:val="el-GR"/>
        </w:rPr>
        <w:t xml:space="preserve"> </w:t>
      </w:r>
      <w:r w:rsidR="00D129E3">
        <w:rPr>
          <w:rFonts w:cstheme="minorHAnsi"/>
          <w:sz w:val="24"/>
          <w:szCs w:val="24"/>
          <w:lang w:val="el-GR"/>
        </w:rPr>
        <w:t>στον Διευθυντή</w:t>
      </w:r>
      <w:r w:rsidR="00220066" w:rsidRPr="00D129E3">
        <w:rPr>
          <w:rFonts w:cstheme="minorHAnsi"/>
          <w:sz w:val="24"/>
          <w:szCs w:val="24"/>
          <w:lang w:val="el-GR"/>
        </w:rPr>
        <w:t xml:space="preserve">. </w:t>
      </w:r>
      <w:r w:rsidR="00D129E3">
        <w:rPr>
          <w:rFonts w:cstheme="minorHAnsi"/>
          <w:sz w:val="24"/>
          <w:szCs w:val="24"/>
          <w:lang w:val="en-US"/>
        </w:rPr>
        <w:t>H</w:t>
      </w:r>
      <w:r w:rsidR="00D129E3" w:rsidRPr="00D129E3">
        <w:rPr>
          <w:rFonts w:cstheme="minorHAnsi"/>
          <w:sz w:val="24"/>
          <w:szCs w:val="24"/>
          <w:lang w:val="el-GR"/>
        </w:rPr>
        <w:t xml:space="preserve"> </w:t>
      </w:r>
      <w:r w:rsidR="00D129E3">
        <w:rPr>
          <w:rFonts w:cstheme="minorHAnsi"/>
          <w:sz w:val="24"/>
          <w:szCs w:val="24"/>
          <w:lang w:val="el-GR"/>
        </w:rPr>
        <w:t>υπόθεση</w:t>
      </w:r>
      <w:r w:rsidR="00D129E3" w:rsidRPr="00D129E3">
        <w:rPr>
          <w:rFonts w:cstheme="minorHAnsi"/>
          <w:sz w:val="24"/>
          <w:szCs w:val="24"/>
          <w:lang w:val="el-GR"/>
        </w:rPr>
        <w:t xml:space="preserve"> </w:t>
      </w:r>
      <w:r w:rsidR="00D129E3">
        <w:rPr>
          <w:rFonts w:cstheme="minorHAnsi"/>
          <w:sz w:val="24"/>
          <w:szCs w:val="24"/>
          <w:lang w:val="el-GR"/>
        </w:rPr>
        <w:t>τότε</w:t>
      </w:r>
      <w:r w:rsidR="00D129E3" w:rsidRPr="00D129E3">
        <w:rPr>
          <w:rFonts w:cstheme="minorHAnsi"/>
          <w:sz w:val="24"/>
          <w:szCs w:val="24"/>
          <w:lang w:val="el-GR"/>
        </w:rPr>
        <w:t xml:space="preserve"> </w:t>
      </w:r>
      <w:r w:rsidR="002E5EC0">
        <w:rPr>
          <w:rFonts w:cstheme="minorHAnsi"/>
          <w:sz w:val="24"/>
          <w:szCs w:val="24"/>
          <w:lang w:val="el-GR"/>
        </w:rPr>
        <w:t>αποστέλλεται</w:t>
      </w:r>
      <w:r w:rsidR="00D129E3" w:rsidRPr="00D129E3">
        <w:rPr>
          <w:rFonts w:cstheme="minorHAnsi"/>
          <w:sz w:val="24"/>
          <w:szCs w:val="24"/>
          <w:lang w:val="el-GR"/>
        </w:rPr>
        <w:t xml:space="preserve"> </w:t>
      </w:r>
      <w:r w:rsidR="00D129E3">
        <w:rPr>
          <w:rFonts w:cstheme="minorHAnsi"/>
          <w:sz w:val="24"/>
          <w:szCs w:val="24"/>
          <w:lang w:val="el-GR"/>
        </w:rPr>
        <w:t>πίσω</w:t>
      </w:r>
      <w:r w:rsidR="00D129E3" w:rsidRPr="00D129E3">
        <w:rPr>
          <w:rFonts w:cstheme="minorHAnsi"/>
          <w:sz w:val="24"/>
          <w:szCs w:val="24"/>
          <w:lang w:val="el-GR"/>
        </w:rPr>
        <w:t xml:space="preserve"> </w:t>
      </w:r>
      <w:r w:rsidR="00D129E3">
        <w:rPr>
          <w:rFonts w:cstheme="minorHAnsi"/>
          <w:sz w:val="24"/>
          <w:szCs w:val="24"/>
          <w:lang w:val="el-GR"/>
        </w:rPr>
        <w:t>στον</w:t>
      </w:r>
      <w:r w:rsidR="00D129E3" w:rsidRPr="00D129E3">
        <w:rPr>
          <w:rFonts w:cstheme="minorHAnsi"/>
          <w:sz w:val="24"/>
          <w:szCs w:val="24"/>
          <w:lang w:val="el-GR"/>
        </w:rPr>
        <w:t xml:space="preserve"> </w:t>
      </w:r>
      <w:r w:rsidR="00D129E3">
        <w:rPr>
          <w:rFonts w:cstheme="minorHAnsi"/>
          <w:sz w:val="24"/>
          <w:szCs w:val="24"/>
          <w:lang w:val="el-GR"/>
        </w:rPr>
        <w:t>αποστολέα</w:t>
      </w:r>
      <w:r w:rsidR="00220066" w:rsidRPr="00D129E3">
        <w:rPr>
          <w:rFonts w:cstheme="minorHAnsi"/>
          <w:sz w:val="24"/>
          <w:szCs w:val="24"/>
          <w:lang w:val="el-GR"/>
        </w:rPr>
        <w:t xml:space="preserve">, </w:t>
      </w:r>
      <w:r w:rsidR="00D129E3">
        <w:rPr>
          <w:rFonts w:cstheme="minorHAnsi"/>
          <w:sz w:val="24"/>
          <w:szCs w:val="24"/>
          <w:lang w:val="el-GR"/>
        </w:rPr>
        <w:t>αν</w:t>
      </w:r>
      <w:r w:rsidR="00D129E3" w:rsidRPr="00D129E3">
        <w:rPr>
          <w:rFonts w:cstheme="minorHAnsi"/>
          <w:sz w:val="24"/>
          <w:szCs w:val="24"/>
          <w:lang w:val="el-GR"/>
        </w:rPr>
        <w:t xml:space="preserve"> </w:t>
      </w:r>
      <w:r w:rsidR="00D129E3">
        <w:rPr>
          <w:rFonts w:cstheme="minorHAnsi"/>
          <w:sz w:val="24"/>
          <w:szCs w:val="24"/>
          <w:lang w:val="el-GR"/>
        </w:rPr>
        <w:t>ο</w:t>
      </w:r>
      <w:r w:rsidR="00D129E3" w:rsidRPr="00D129E3">
        <w:rPr>
          <w:rFonts w:cstheme="minorHAnsi"/>
          <w:sz w:val="24"/>
          <w:szCs w:val="24"/>
          <w:lang w:val="el-GR"/>
        </w:rPr>
        <w:t xml:space="preserve"> </w:t>
      </w:r>
      <w:r w:rsidR="00D129E3">
        <w:rPr>
          <w:rFonts w:cstheme="minorHAnsi"/>
          <w:sz w:val="24"/>
          <w:szCs w:val="24"/>
          <w:lang w:val="el-GR"/>
        </w:rPr>
        <w:t>αποστολέας</w:t>
      </w:r>
      <w:r w:rsidR="00D129E3" w:rsidRPr="00D129E3">
        <w:rPr>
          <w:rFonts w:cstheme="minorHAnsi"/>
          <w:sz w:val="24"/>
          <w:szCs w:val="24"/>
          <w:lang w:val="el-GR"/>
        </w:rPr>
        <w:t xml:space="preserve"> </w:t>
      </w:r>
      <w:r w:rsidR="00D129E3">
        <w:rPr>
          <w:rFonts w:cstheme="minorHAnsi"/>
          <w:sz w:val="24"/>
          <w:szCs w:val="24"/>
          <w:lang w:val="el-GR"/>
        </w:rPr>
        <w:t>είναι</w:t>
      </w:r>
      <w:r w:rsidR="00D129E3" w:rsidRPr="00D129E3">
        <w:rPr>
          <w:rFonts w:cstheme="minorHAnsi"/>
          <w:sz w:val="24"/>
          <w:szCs w:val="24"/>
          <w:lang w:val="el-GR"/>
        </w:rPr>
        <w:t xml:space="preserve"> </w:t>
      </w:r>
      <w:r w:rsidR="00D129E3">
        <w:rPr>
          <w:rFonts w:cstheme="minorHAnsi"/>
          <w:sz w:val="24"/>
          <w:szCs w:val="24"/>
          <w:lang w:val="el-GR"/>
        </w:rPr>
        <w:t>ο</w:t>
      </w:r>
      <w:r w:rsidR="00D129E3" w:rsidRPr="00D129E3">
        <w:rPr>
          <w:rFonts w:cstheme="minorHAnsi"/>
          <w:sz w:val="24"/>
          <w:szCs w:val="24"/>
          <w:lang w:val="el-GR"/>
        </w:rPr>
        <w:t xml:space="preserve"> </w:t>
      </w:r>
      <w:r w:rsidR="00D129E3">
        <w:rPr>
          <w:rFonts w:cstheme="minorHAnsi"/>
          <w:sz w:val="24"/>
          <w:szCs w:val="24"/>
          <w:lang w:val="el-GR"/>
        </w:rPr>
        <w:t>Αρχηγός</w:t>
      </w:r>
      <w:r w:rsidR="00D129E3" w:rsidRPr="00D129E3">
        <w:rPr>
          <w:rFonts w:cstheme="minorHAnsi"/>
          <w:sz w:val="24"/>
          <w:szCs w:val="24"/>
          <w:lang w:val="el-GR"/>
        </w:rPr>
        <w:t xml:space="preserve"> </w:t>
      </w:r>
      <w:r w:rsidR="00D129E3">
        <w:rPr>
          <w:rFonts w:cstheme="minorHAnsi"/>
          <w:sz w:val="24"/>
          <w:szCs w:val="24"/>
          <w:lang w:val="el-GR"/>
        </w:rPr>
        <w:t>της</w:t>
      </w:r>
      <w:r w:rsidR="00D129E3" w:rsidRPr="00D129E3">
        <w:rPr>
          <w:rFonts w:cstheme="minorHAnsi"/>
          <w:sz w:val="24"/>
          <w:szCs w:val="24"/>
          <w:lang w:val="el-GR"/>
        </w:rPr>
        <w:t xml:space="preserve"> </w:t>
      </w:r>
      <w:r w:rsidR="009C4E34">
        <w:rPr>
          <w:rFonts w:cstheme="minorHAnsi"/>
          <w:sz w:val="24"/>
          <w:szCs w:val="24"/>
          <w:lang w:val="el-GR"/>
        </w:rPr>
        <w:t>Αστυνομία</w:t>
      </w:r>
      <w:r w:rsidR="00D129E3">
        <w:rPr>
          <w:rFonts w:cstheme="minorHAnsi"/>
          <w:sz w:val="24"/>
          <w:szCs w:val="24"/>
          <w:lang w:val="el-GR"/>
        </w:rPr>
        <w:t xml:space="preserve">ς ή ένας από τους Βοηθούς Αρχηγούς της </w:t>
      </w:r>
      <w:r w:rsidR="009C4E34">
        <w:rPr>
          <w:rFonts w:cstheme="minorHAnsi"/>
          <w:sz w:val="24"/>
          <w:szCs w:val="24"/>
          <w:lang w:val="el-GR"/>
        </w:rPr>
        <w:t>Αστυνομία</w:t>
      </w:r>
      <w:r w:rsidR="00D129E3">
        <w:rPr>
          <w:rFonts w:cstheme="minorHAnsi"/>
          <w:sz w:val="24"/>
          <w:szCs w:val="24"/>
          <w:lang w:val="el-GR"/>
        </w:rPr>
        <w:t>ς</w:t>
      </w:r>
      <w:r w:rsidR="00220066" w:rsidRPr="00D129E3">
        <w:rPr>
          <w:rFonts w:cstheme="minorHAnsi"/>
          <w:sz w:val="24"/>
          <w:szCs w:val="24"/>
          <w:lang w:val="el-GR"/>
        </w:rPr>
        <w:t xml:space="preserve">. </w:t>
      </w:r>
      <w:r w:rsidR="00D129E3">
        <w:rPr>
          <w:rFonts w:cstheme="minorHAnsi"/>
          <w:sz w:val="24"/>
          <w:szCs w:val="24"/>
          <w:lang w:val="el-GR"/>
        </w:rPr>
        <w:t>Αν</w:t>
      </w:r>
      <w:r w:rsidR="00D129E3" w:rsidRPr="00D129E3">
        <w:rPr>
          <w:rFonts w:cstheme="minorHAnsi"/>
          <w:sz w:val="24"/>
          <w:szCs w:val="24"/>
          <w:lang w:val="el-GR"/>
        </w:rPr>
        <w:t xml:space="preserve"> </w:t>
      </w:r>
      <w:r w:rsidR="00D129E3">
        <w:rPr>
          <w:rFonts w:cstheme="minorHAnsi"/>
          <w:sz w:val="24"/>
          <w:szCs w:val="24"/>
          <w:lang w:val="el-GR"/>
        </w:rPr>
        <w:t>ο</w:t>
      </w:r>
      <w:r w:rsidR="00D129E3" w:rsidRPr="00D129E3">
        <w:rPr>
          <w:rFonts w:cstheme="minorHAnsi"/>
          <w:sz w:val="24"/>
          <w:szCs w:val="24"/>
          <w:lang w:val="el-GR"/>
        </w:rPr>
        <w:t xml:space="preserve"> </w:t>
      </w:r>
      <w:r w:rsidR="00D129E3">
        <w:rPr>
          <w:rFonts w:cstheme="minorHAnsi"/>
          <w:sz w:val="24"/>
          <w:szCs w:val="24"/>
          <w:lang w:val="el-GR"/>
        </w:rPr>
        <w:t>αποστολέας</w:t>
      </w:r>
      <w:r w:rsidR="00D129E3" w:rsidRPr="00D129E3">
        <w:rPr>
          <w:rFonts w:cstheme="minorHAnsi"/>
          <w:sz w:val="24"/>
          <w:szCs w:val="24"/>
          <w:lang w:val="el-GR"/>
        </w:rPr>
        <w:t xml:space="preserve"> </w:t>
      </w:r>
      <w:r w:rsidR="00D129E3">
        <w:rPr>
          <w:rFonts w:cstheme="minorHAnsi"/>
          <w:sz w:val="24"/>
          <w:szCs w:val="24"/>
          <w:lang w:val="el-GR"/>
        </w:rPr>
        <w:t>είναι</w:t>
      </w:r>
      <w:r w:rsidR="00D129E3" w:rsidRPr="00D129E3">
        <w:rPr>
          <w:rFonts w:cstheme="minorHAnsi"/>
          <w:sz w:val="24"/>
          <w:szCs w:val="24"/>
          <w:lang w:val="el-GR"/>
        </w:rPr>
        <w:t xml:space="preserve"> </w:t>
      </w:r>
      <w:r w:rsidR="00D129E3">
        <w:rPr>
          <w:rFonts w:cstheme="minorHAnsi"/>
          <w:sz w:val="24"/>
          <w:szCs w:val="24"/>
          <w:lang w:val="el-GR"/>
        </w:rPr>
        <w:t>κάποιος</w:t>
      </w:r>
      <w:r w:rsidR="00220066" w:rsidRPr="00D129E3">
        <w:rPr>
          <w:rFonts w:cstheme="minorHAnsi"/>
          <w:sz w:val="24"/>
          <w:szCs w:val="24"/>
          <w:lang w:val="el-GR"/>
        </w:rPr>
        <w:t xml:space="preserve">, </w:t>
      </w:r>
      <w:r w:rsidR="00D129E3">
        <w:rPr>
          <w:rFonts w:cstheme="minorHAnsi"/>
          <w:sz w:val="24"/>
          <w:szCs w:val="24"/>
          <w:lang w:val="el-GR"/>
        </w:rPr>
        <w:t>εκτός</w:t>
      </w:r>
      <w:r w:rsidR="00D129E3" w:rsidRPr="00D129E3">
        <w:rPr>
          <w:rFonts w:cstheme="minorHAnsi"/>
          <w:sz w:val="24"/>
          <w:szCs w:val="24"/>
          <w:lang w:val="el-GR"/>
        </w:rPr>
        <w:t xml:space="preserve"> </w:t>
      </w:r>
      <w:r w:rsidR="003F0790">
        <w:rPr>
          <w:rFonts w:cstheme="minorHAnsi"/>
          <w:sz w:val="24"/>
          <w:szCs w:val="24"/>
          <w:lang w:val="el-GR"/>
        </w:rPr>
        <w:t xml:space="preserve">από </w:t>
      </w:r>
      <w:r w:rsidR="00D129E3">
        <w:rPr>
          <w:rFonts w:cstheme="minorHAnsi"/>
          <w:sz w:val="24"/>
          <w:szCs w:val="24"/>
          <w:lang w:val="el-GR"/>
        </w:rPr>
        <w:t>τον</w:t>
      </w:r>
      <w:r w:rsidR="00D129E3" w:rsidRPr="00D129E3">
        <w:rPr>
          <w:rFonts w:cstheme="minorHAnsi"/>
          <w:sz w:val="24"/>
          <w:szCs w:val="24"/>
          <w:lang w:val="el-GR"/>
        </w:rPr>
        <w:t xml:space="preserve"> </w:t>
      </w:r>
      <w:r w:rsidR="00D129E3">
        <w:rPr>
          <w:rFonts w:cstheme="minorHAnsi"/>
          <w:sz w:val="24"/>
          <w:szCs w:val="24"/>
          <w:lang w:val="el-GR"/>
        </w:rPr>
        <w:t>Αρχηγό</w:t>
      </w:r>
      <w:r w:rsidR="00D129E3" w:rsidRPr="00D129E3">
        <w:rPr>
          <w:rFonts w:cstheme="minorHAnsi"/>
          <w:sz w:val="24"/>
          <w:szCs w:val="24"/>
          <w:lang w:val="el-GR"/>
        </w:rPr>
        <w:t xml:space="preserve"> </w:t>
      </w:r>
      <w:r w:rsidR="00D129E3">
        <w:rPr>
          <w:rFonts w:cstheme="minorHAnsi"/>
          <w:sz w:val="24"/>
          <w:szCs w:val="24"/>
          <w:lang w:val="el-GR"/>
        </w:rPr>
        <w:t>της</w:t>
      </w:r>
      <w:r w:rsidR="00D129E3" w:rsidRPr="00D129E3">
        <w:rPr>
          <w:rFonts w:cstheme="minorHAnsi"/>
          <w:sz w:val="24"/>
          <w:szCs w:val="24"/>
          <w:lang w:val="el-GR"/>
        </w:rPr>
        <w:t xml:space="preserve"> </w:t>
      </w:r>
      <w:r w:rsidR="009C4E34">
        <w:rPr>
          <w:rFonts w:cstheme="minorHAnsi"/>
          <w:sz w:val="24"/>
          <w:szCs w:val="24"/>
          <w:lang w:val="el-GR"/>
        </w:rPr>
        <w:t>Αστυνομία</w:t>
      </w:r>
      <w:r w:rsidR="00D129E3">
        <w:rPr>
          <w:rFonts w:cstheme="minorHAnsi"/>
          <w:sz w:val="24"/>
          <w:szCs w:val="24"/>
          <w:lang w:val="el-GR"/>
        </w:rPr>
        <w:t>ς</w:t>
      </w:r>
      <w:r w:rsidR="00220066" w:rsidRPr="00D129E3">
        <w:rPr>
          <w:rFonts w:cstheme="minorHAnsi"/>
          <w:sz w:val="24"/>
          <w:szCs w:val="24"/>
          <w:lang w:val="el-GR"/>
        </w:rPr>
        <w:t xml:space="preserve"> </w:t>
      </w:r>
      <w:r w:rsidR="00D129E3">
        <w:rPr>
          <w:rFonts w:cstheme="minorHAnsi"/>
          <w:sz w:val="24"/>
          <w:szCs w:val="24"/>
          <w:lang w:val="el-GR"/>
        </w:rPr>
        <w:t>ή</w:t>
      </w:r>
      <w:r w:rsidR="00D129E3" w:rsidRPr="00D129E3">
        <w:rPr>
          <w:rFonts w:cstheme="minorHAnsi"/>
          <w:sz w:val="24"/>
          <w:szCs w:val="24"/>
          <w:lang w:val="el-GR"/>
        </w:rPr>
        <w:t xml:space="preserve"> </w:t>
      </w:r>
      <w:r w:rsidR="00D129E3">
        <w:rPr>
          <w:rFonts w:cstheme="minorHAnsi"/>
          <w:sz w:val="24"/>
          <w:szCs w:val="24"/>
          <w:lang w:val="el-GR"/>
        </w:rPr>
        <w:t>τον</w:t>
      </w:r>
      <w:r w:rsidR="00D129E3" w:rsidRPr="00D129E3">
        <w:rPr>
          <w:rFonts w:cstheme="minorHAnsi"/>
          <w:sz w:val="24"/>
          <w:szCs w:val="24"/>
          <w:lang w:val="el-GR"/>
        </w:rPr>
        <w:t xml:space="preserve"> </w:t>
      </w:r>
      <w:r w:rsidR="00D129E3">
        <w:rPr>
          <w:rFonts w:cstheme="minorHAnsi"/>
          <w:sz w:val="24"/>
          <w:szCs w:val="24"/>
          <w:lang w:val="el-GR"/>
        </w:rPr>
        <w:t>Βοηθό</w:t>
      </w:r>
      <w:r w:rsidR="00220066" w:rsidRPr="00D129E3">
        <w:rPr>
          <w:rFonts w:cstheme="minorHAnsi"/>
          <w:sz w:val="24"/>
          <w:szCs w:val="24"/>
          <w:lang w:val="el-GR"/>
        </w:rPr>
        <w:t xml:space="preserve"> </w:t>
      </w:r>
      <w:r w:rsidR="00D129E3">
        <w:rPr>
          <w:rFonts w:cstheme="minorHAnsi"/>
          <w:sz w:val="24"/>
          <w:szCs w:val="24"/>
          <w:lang w:val="el-GR"/>
        </w:rPr>
        <w:t>Αρχηγό</w:t>
      </w:r>
      <w:r w:rsidR="00D129E3" w:rsidRPr="00D129E3">
        <w:rPr>
          <w:rFonts w:cstheme="minorHAnsi"/>
          <w:sz w:val="24"/>
          <w:szCs w:val="24"/>
          <w:lang w:val="el-GR"/>
        </w:rPr>
        <w:t xml:space="preserve"> </w:t>
      </w:r>
      <w:r w:rsidR="00D129E3">
        <w:rPr>
          <w:rFonts w:cstheme="minorHAnsi"/>
          <w:sz w:val="24"/>
          <w:szCs w:val="24"/>
          <w:lang w:val="el-GR"/>
        </w:rPr>
        <w:t>της</w:t>
      </w:r>
      <w:r w:rsidR="00D129E3" w:rsidRPr="00D129E3">
        <w:rPr>
          <w:rFonts w:cstheme="minorHAnsi"/>
          <w:sz w:val="24"/>
          <w:szCs w:val="24"/>
          <w:lang w:val="el-GR"/>
        </w:rPr>
        <w:t xml:space="preserve"> </w:t>
      </w:r>
      <w:r w:rsidR="009C4E34">
        <w:rPr>
          <w:rFonts w:cstheme="minorHAnsi"/>
          <w:sz w:val="24"/>
          <w:szCs w:val="24"/>
          <w:lang w:val="el-GR"/>
        </w:rPr>
        <w:t>Αστυνομία</w:t>
      </w:r>
      <w:r w:rsidR="00D129E3">
        <w:rPr>
          <w:rFonts w:cstheme="minorHAnsi"/>
          <w:sz w:val="24"/>
          <w:szCs w:val="24"/>
          <w:lang w:val="el-GR"/>
        </w:rPr>
        <w:t>ς</w:t>
      </w:r>
      <w:r w:rsidR="00220066" w:rsidRPr="00D129E3">
        <w:rPr>
          <w:rFonts w:cstheme="minorHAnsi"/>
          <w:sz w:val="24"/>
          <w:szCs w:val="24"/>
          <w:lang w:val="el-GR"/>
        </w:rPr>
        <w:t xml:space="preserve"> (</w:t>
      </w:r>
      <w:r w:rsidR="00D129E3">
        <w:rPr>
          <w:rFonts w:cstheme="minorHAnsi"/>
          <w:sz w:val="24"/>
          <w:szCs w:val="24"/>
          <w:lang w:val="el-GR"/>
        </w:rPr>
        <w:t>ένας</w:t>
      </w:r>
      <w:r w:rsidR="00D129E3" w:rsidRPr="00D129E3">
        <w:rPr>
          <w:rFonts w:cstheme="minorHAnsi"/>
          <w:sz w:val="24"/>
          <w:szCs w:val="24"/>
          <w:lang w:val="el-GR"/>
        </w:rPr>
        <w:t xml:space="preserve"> </w:t>
      </w:r>
      <w:r w:rsidR="00D129E3">
        <w:rPr>
          <w:rFonts w:cstheme="minorHAnsi"/>
          <w:sz w:val="24"/>
          <w:szCs w:val="24"/>
          <w:lang w:val="el-GR"/>
        </w:rPr>
        <w:t>αστυνομικός</w:t>
      </w:r>
      <w:r w:rsidR="00D129E3" w:rsidRPr="00D129E3">
        <w:rPr>
          <w:rFonts w:cstheme="minorHAnsi"/>
          <w:sz w:val="24"/>
          <w:szCs w:val="24"/>
          <w:lang w:val="el-GR"/>
        </w:rPr>
        <w:t xml:space="preserve"> </w:t>
      </w:r>
      <w:r w:rsidR="00D129E3">
        <w:rPr>
          <w:rFonts w:cstheme="minorHAnsi"/>
          <w:sz w:val="24"/>
          <w:szCs w:val="24"/>
          <w:lang w:val="el-GR"/>
        </w:rPr>
        <w:t>ή</w:t>
      </w:r>
      <w:r w:rsidR="00D129E3" w:rsidRPr="00D129E3">
        <w:rPr>
          <w:rFonts w:cstheme="minorHAnsi"/>
          <w:sz w:val="24"/>
          <w:szCs w:val="24"/>
          <w:lang w:val="el-GR"/>
        </w:rPr>
        <w:t xml:space="preserve"> </w:t>
      </w:r>
      <w:r w:rsidR="00D129E3">
        <w:rPr>
          <w:rFonts w:cstheme="minorHAnsi"/>
          <w:sz w:val="24"/>
          <w:szCs w:val="24"/>
          <w:lang w:val="el-GR"/>
        </w:rPr>
        <w:t>ένας πολίτης</w:t>
      </w:r>
      <w:r w:rsidR="00220066" w:rsidRPr="00D129E3">
        <w:rPr>
          <w:rFonts w:cstheme="minorHAnsi"/>
          <w:sz w:val="24"/>
          <w:szCs w:val="24"/>
          <w:lang w:val="el-GR"/>
        </w:rPr>
        <w:t xml:space="preserve">), </w:t>
      </w:r>
      <w:r w:rsidR="00D129E3">
        <w:rPr>
          <w:rFonts w:cstheme="minorHAnsi"/>
          <w:sz w:val="24"/>
          <w:szCs w:val="24"/>
          <w:lang w:val="el-GR"/>
        </w:rPr>
        <w:t>τότε η υπόθεση</w:t>
      </w:r>
      <w:r w:rsidR="00220066" w:rsidRPr="00D129E3">
        <w:rPr>
          <w:rFonts w:cstheme="minorHAnsi"/>
          <w:sz w:val="24"/>
          <w:szCs w:val="24"/>
          <w:lang w:val="el-GR"/>
        </w:rPr>
        <w:t xml:space="preserve">, </w:t>
      </w:r>
      <w:r w:rsidR="00D129E3">
        <w:rPr>
          <w:rFonts w:cstheme="minorHAnsi"/>
          <w:sz w:val="24"/>
          <w:szCs w:val="24"/>
          <w:lang w:val="el-GR"/>
        </w:rPr>
        <w:t xml:space="preserve">πάλι </w:t>
      </w:r>
      <w:r w:rsidR="003F0790">
        <w:rPr>
          <w:rFonts w:cstheme="minorHAnsi"/>
          <w:sz w:val="24"/>
          <w:szCs w:val="24"/>
          <w:lang w:val="el-GR"/>
        </w:rPr>
        <w:t>αποστέλλετ</w:t>
      </w:r>
      <w:r w:rsidR="00D129E3">
        <w:rPr>
          <w:rFonts w:cstheme="minorHAnsi"/>
          <w:sz w:val="24"/>
          <w:szCs w:val="24"/>
          <w:lang w:val="el-GR"/>
        </w:rPr>
        <w:t xml:space="preserve">αι στον Αρχηγό της </w:t>
      </w:r>
      <w:r w:rsidR="009C4E34">
        <w:rPr>
          <w:rFonts w:cstheme="minorHAnsi"/>
          <w:sz w:val="24"/>
          <w:szCs w:val="24"/>
          <w:lang w:val="el-GR"/>
        </w:rPr>
        <w:t>Αστυνομία</w:t>
      </w:r>
      <w:r w:rsidR="00D129E3">
        <w:rPr>
          <w:rFonts w:cstheme="minorHAnsi"/>
          <w:sz w:val="24"/>
          <w:szCs w:val="24"/>
          <w:lang w:val="el-GR"/>
        </w:rPr>
        <w:t>ς</w:t>
      </w:r>
      <w:r w:rsidR="00220066" w:rsidRPr="00D129E3">
        <w:rPr>
          <w:rFonts w:cstheme="minorHAnsi"/>
          <w:sz w:val="24"/>
          <w:szCs w:val="24"/>
          <w:lang w:val="el-GR"/>
        </w:rPr>
        <w:t xml:space="preserve"> </w:t>
      </w:r>
      <w:r w:rsidR="00D129E3">
        <w:rPr>
          <w:rFonts w:cstheme="minorHAnsi"/>
          <w:sz w:val="24"/>
          <w:szCs w:val="24"/>
          <w:lang w:val="el-GR"/>
        </w:rPr>
        <w:t>ή</w:t>
      </w:r>
      <w:r w:rsidR="00220066" w:rsidRPr="00D129E3">
        <w:rPr>
          <w:rFonts w:cstheme="minorHAnsi"/>
          <w:sz w:val="24"/>
          <w:szCs w:val="24"/>
          <w:lang w:val="el-GR"/>
        </w:rPr>
        <w:t>/</w:t>
      </w:r>
      <w:r w:rsidR="00D129E3">
        <w:rPr>
          <w:rFonts w:cstheme="minorHAnsi"/>
          <w:sz w:val="24"/>
          <w:szCs w:val="24"/>
          <w:lang w:val="el-GR"/>
        </w:rPr>
        <w:t>και</w:t>
      </w:r>
      <w:r w:rsidR="00220066" w:rsidRPr="00D129E3">
        <w:rPr>
          <w:rFonts w:cstheme="minorHAnsi"/>
          <w:sz w:val="24"/>
          <w:szCs w:val="24"/>
          <w:lang w:val="el-GR"/>
        </w:rPr>
        <w:t xml:space="preserve"> </w:t>
      </w:r>
      <w:r w:rsidR="00D129E3">
        <w:rPr>
          <w:rFonts w:cstheme="minorHAnsi"/>
          <w:sz w:val="24"/>
          <w:szCs w:val="24"/>
          <w:lang w:val="el-GR"/>
        </w:rPr>
        <w:t xml:space="preserve">τον Βοηθό Αρχηγό της </w:t>
      </w:r>
      <w:r w:rsidR="009C4E34">
        <w:rPr>
          <w:rFonts w:cstheme="minorHAnsi"/>
          <w:sz w:val="24"/>
          <w:szCs w:val="24"/>
          <w:lang w:val="el-GR"/>
        </w:rPr>
        <w:t>Αστυνομία</w:t>
      </w:r>
      <w:r w:rsidR="00D129E3">
        <w:rPr>
          <w:rFonts w:cstheme="minorHAnsi"/>
          <w:sz w:val="24"/>
          <w:szCs w:val="24"/>
          <w:lang w:val="el-GR"/>
        </w:rPr>
        <w:t>ς</w:t>
      </w:r>
      <w:r w:rsidR="00220066" w:rsidRPr="00D129E3">
        <w:rPr>
          <w:rFonts w:cstheme="minorHAnsi"/>
          <w:sz w:val="24"/>
          <w:szCs w:val="24"/>
          <w:lang w:val="el-GR"/>
        </w:rPr>
        <w:t xml:space="preserve">. </w:t>
      </w:r>
    </w:p>
    <w:p w14:paraId="412BC3C3" w14:textId="77777777" w:rsidR="00220066" w:rsidRPr="00D129E3" w:rsidRDefault="00220066" w:rsidP="00220066">
      <w:pPr>
        <w:tabs>
          <w:tab w:val="left" w:pos="709"/>
        </w:tabs>
        <w:rPr>
          <w:rFonts w:cstheme="minorHAnsi"/>
          <w:sz w:val="24"/>
          <w:szCs w:val="24"/>
          <w:lang w:val="el-GR"/>
        </w:rPr>
      </w:pPr>
    </w:p>
    <w:p w14:paraId="4701F78A" w14:textId="6CED01D6" w:rsidR="00220066" w:rsidRPr="00DB7AB0" w:rsidRDefault="00DB7AB0"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Αν</w:t>
      </w:r>
      <w:r w:rsidRPr="00DB7AB0">
        <w:rPr>
          <w:rFonts w:cstheme="minorHAnsi"/>
          <w:sz w:val="24"/>
          <w:szCs w:val="24"/>
          <w:lang w:val="el-GR"/>
        </w:rPr>
        <w:t xml:space="preserve"> </w:t>
      </w:r>
      <w:r>
        <w:rPr>
          <w:rFonts w:cstheme="minorHAnsi"/>
          <w:sz w:val="24"/>
          <w:szCs w:val="24"/>
          <w:lang w:val="el-GR"/>
        </w:rPr>
        <w:t>μια</w:t>
      </w:r>
      <w:r w:rsidRPr="00DB7AB0">
        <w:rPr>
          <w:rFonts w:cstheme="minorHAnsi"/>
          <w:sz w:val="24"/>
          <w:szCs w:val="24"/>
          <w:lang w:val="el-GR"/>
        </w:rPr>
        <w:t xml:space="preserve"> </w:t>
      </w:r>
      <w:r>
        <w:rPr>
          <w:rFonts w:cstheme="minorHAnsi"/>
          <w:sz w:val="24"/>
          <w:szCs w:val="24"/>
          <w:lang w:val="el-GR"/>
        </w:rPr>
        <w:t>υπόθεση</w:t>
      </w:r>
      <w:r w:rsidRPr="00DB7AB0">
        <w:rPr>
          <w:rFonts w:cstheme="minorHAnsi"/>
          <w:sz w:val="24"/>
          <w:szCs w:val="24"/>
          <w:lang w:val="el-GR"/>
        </w:rPr>
        <w:t xml:space="preserve"> </w:t>
      </w:r>
      <w:r>
        <w:rPr>
          <w:rFonts w:cstheme="minorHAnsi"/>
          <w:sz w:val="24"/>
          <w:szCs w:val="24"/>
          <w:lang w:val="el-GR"/>
        </w:rPr>
        <w:t>έχει</w:t>
      </w:r>
      <w:r w:rsidRPr="00DB7AB0">
        <w:rPr>
          <w:rFonts w:cstheme="minorHAnsi"/>
          <w:sz w:val="24"/>
          <w:szCs w:val="24"/>
          <w:lang w:val="el-GR"/>
        </w:rPr>
        <w:t xml:space="preserve"> </w:t>
      </w:r>
      <w:r>
        <w:rPr>
          <w:rFonts w:cstheme="minorHAnsi"/>
          <w:sz w:val="24"/>
          <w:szCs w:val="24"/>
          <w:lang w:val="el-GR"/>
        </w:rPr>
        <w:t>προτερήματα</w:t>
      </w:r>
      <w:r w:rsidRPr="00DB7AB0">
        <w:rPr>
          <w:rFonts w:cstheme="minorHAnsi"/>
          <w:sz w:val="24"/>
          <w:szCs w:val="24"/>
          <w:lang w:val="el-GR"/>
        </w:rPr>
        <w:t xml:space="preserve">, </w:t>
      </w:r>
      <w:r>
        <w:rPr>
          <w:rFonts w:cstheme="minorHAnsi"/>
          <w:sz w:val="24"/>
          <w:szCs w:val="24"/>
          <w:lang w:val="el-GR"/>
        </w:rPr>
        <w:t>τότε</w:t>
      </w:r>
      <w:r w:rsidR="00220066" w:rsidRPr="00DB7AB0">
        <w:rPr>
          <w:rFonts w:cstheme="minorHAnsi"/>
          <w:sz w:val="24"/>
          <w:szCs w:val="24"/>
          <w:lang w:val="el-GR"/>
        </w:rPr>
        <w:t xml:space="preserve">, </w:t>
      </w:r>
      <w:r>
        <w:rPr>
          <w:rFonts w:cstheme="minorHAnsi"/>
          <w:sz w:val="24"/>
          <w:szCs w:val="24"/>
          <w:lang w:val="el-GR"/>
        </w:rPr>
        <w:t>μετά</w:t>
      </w:r>
      <w:r w:rsidRPr="00DB7AB0">
        <w:rPr>
          <w:rFonts w:cstheme="minorHAnsi"/>
          <w:sz w:val="24"/>
          <w:szCs w:val="24"/>
          <w:lang w:val="el-GR"/>
        </w:rPr>
        <w:t xml:space="preserve"> </w:t>
      </w:r>
      <w:r>
        <w:rPr>
          <w:rFonts w:cstheme="minorHAnsi"/>
          <w:sz w:val="24"/>
          <w:szCs w:val="24"/>
          <w:lang w:val="el-GR"/>
        </w:rPr>
        <w:t>την</w:t>
      </w:r>
      <w:r w:rsidRPr="00DB7AB0">
        <w:rPr>
          <w:rFonts w:cstheme="minorHAnsi"/>
          <w:sz w:val="24"/>
          <w:szCs w:val="24"/>
          <w:lang w:val="el-GR"/>
        </w:rPr>
        <w:t xml:space="preserve"> </w:t>
      </w:r>
      <w:r>
        <w:rPr>
          <w:rFonts w:cstheme="minorHAnsi"/>
          <w:sz w:val="24"/>
          <w:szCs w:val="24"/>
          <w:lang w:val="el-GR"/>
        </w:rPr>
        <w:t>ενημέρωση</w:t>
      </w:r>
      <w:r w:rsidRPr="00DB7AB0">
        <w:rPr>
          <w:rFonts w:cstheme="minorHAnsi"/>
          <w:sz w:val="24"/>
          <w:szCs w:val="24"/>
          <w:lang w:val="el-GR"/>
        </w:rPr>
        <w:t xml:space="preserve"> </w:t>
      </w:r>
      <w:r>
        <w:rPr>
          <w:rFonts w:cstheme="minorHAnsi"/>
          <w:sz w:val="24"/>
          <w:szCs w:val="24"/>
          <w:lang w:val="el-GR"/>
        </w:rPr>
        <w:t>του</w:t>
      </w:r>
      <w:r w:rsidRPr="00DB7AB0">
        <w:rPr>
          <w:rFonts w:cstheme="minorHAnsi"/>
          <w:sz w:val="24"/>
          <w:szCs w:val="24"/>
          <w:lang w:val="el-GR"/>
        </w:rPr>
        <w:t xml:space="preserve"> </w:t>
      </w:r>
      <w:r>
        <w:rPr>
          <w:rFonts w:cstheme="minorHAnsi"/>
          <w:sz w:val="24"/>
          <w:szCs w:val="24"/>
          <w:lang w:val="el-GR"/>
        </w:rPr>
        <w:t>Αρ</w:t>
      </w:r>
      <w:r w:rsidR="007946A4">
        <w:rPr>
          <w:rFonts w:cstheme="minorHAnsi"/>
          <w:sz w:val="24"/>
          <w:szCs w:val="24"/>
          <w:lang w:val="el-GR"/>
        </w:rPr>
        <w:t>χ</w:t>
      </w:r>
      <w:r>
        <w:rPr>
          <w:rFonts w:cstheme="minorHAnsi"/>
          <w:sz w:val="24"/>
          <w:szCs w:val="24"/>
          <w:lang w:val="el-GR"/>
        </w:rPr>
        <w:t>ηγού</w:t>
      </w:r>
      <w:r w:rsidRPr="00DB7AB0">
        <w:rPr>
          <w:rFonts w:cstheme="minorHAnsi"/>
          <w:sz w:val="24"/>
          <w:szCs w:val="24"/>
          <w:lang w:val="el-GR"/>
        </w:rPr>
        <w:t xml:space="preserve"> </w:t>
      </w:r>
      <w:r>
        <w:rPr>
          <w:rFonts w:cstheme="minorHAnsi"/>
          <w:sz w:val="24"/>
          <w:szCs w:val="24"/>
          <w:lang w:val="el-GR"/>
        </w:rPr>
        <w:t>της</w:t>
      </w:r>
      <w:r w:rsidRPr="00DB7AB0">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Pr="00DB7AB0">
        <w:rPr>
          <w:rFonts w:cstheme="minorHAnsi"/>
          <w:sz w:val="24"/>
          <w:szCs w:val="24"/>
          <w:lang w:val="el-GR"/>
        </w:rPr>
        <w:t xml:space="preserve"> </w:t>
      </w:r>
      <w:r>
        <w:rPr>
          <w:rFonts w:cstheme="minorHAnsi"/>
          <w:sz w:val="24"/>
          <w:szCs w:val="24"/>
          <w:lang w:val="el-GR"/>
        </w:rPr>
        <w:t>ή</w:t>
      </w:r>
      <w:r w:rsidRPr="00DB7AB0">
        <w:rPr>
          <w:rFonts w:cstheme="minorHAnsi"/>
          <w:sz w:val="24"/>
          <w:szCs w:val="24"/>
          <w:lang w:val="el-GR"/>
        </w:rPr>
        <w:t xml:space="preserve"> </w:t>
      </w:r>
      <w:r>
        <w:rPr>
          <w:rFonts w:cstheme="minorHAnsi"/>
          <w:sz w:val="24"/>
          <w:szCs w:val="24"/>
          <w:lang w:val="el-GR"/>
        </w:rPr>
        <w:t>του</w:t>
      </w:r>
      <w:r w:rsidRPr="00DB7AB0">
        <w:rPr>
          <w:rFonts w:cstheme="minorHAnsi"/>
          <w:sz w:val="24"/>
          <w:szCs w:val="24"/>
          <w:lang w:val="el-GR"/>
        </w:rPr>
        <w:t xml:space="preserve"> </w:t>
      </w:r>
      <w:r>
        <w:rPr>
          <w:rFonts w:cstheme="minorHAnsi"/>
          <w:sz w:val="24"/>
          <w:szCs w:val="24"/>
          <w:lang w:val="el-GR"/>
        </w:rPr>
        <w:t>Βοηθού</w:t>
      </w:r>
      <w:r w:rsidRPr="00DB7AB0">
        <w:rPr>
          <w:rFonts w:cstheme="minorHAnsi"/>
          <w:sz w:val="24"/>
          <w:szCs w:val="24"/>
          <w:lang w:val="el-GR"/>
        </w:rPr>
        <w:t xml:space="preserve"> </w:t>
      </w:r>
      <w:r>
        <w:rPr>
          <w:rFonts w:cstheme="minorHAnsi"/>
          <w:sz w:val="24"/>
          <w:szCs w:val="24"/>
          <w:lang w:val="el-GR"/>
        </w:rPr>
        <w:t>Αρχηγού</w:t>
      </w:r>
      <w:r w:rsidRPr="00DB7AB0">
        <w:rPr>
          <w:rFonts w:cstheme="minorHAnsi"/>
          <w:sz w:val="24"/>
          <w:szCs w:val="24"/>
          <w:lang w:val="el-GR"/>
        </w:rPr>
        <w:t xml:space="preserve"> </w:t>
      </w:r>
      <w:r>
        <w:rPr>
          <w:rFonts w:cstheme="minorHAnsi"/>
          <w:sz w:val="24"/>
          <w:szCs w:val="24"/>
          <w:lang w:val="el-GR"/>
        </w:rPr>
        <w:t>της</w:t>
      </w:r>
      <w:r w:rsidRPr="00DB7AB0">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DB7AB0">
        <w:rPr>
          <w:rFonts w:cstheme="minorHAnsi"/>
          <w:sz w:val="24"/>
          <w:szCs w:val="24"/>
          <w:lang w:val="el-GR"/>
        </w:rPr>
        <w:t xml:space="preserve">, </w:t>
      </w:r>
      <w:r>
        <w:rPr>
          <w:rFonts w:cstheme="minorHAnsi"/>
          <w:sz w:val="24"/>
          <w:szCs w:val="24"/>
          <w:lang w:val="el-GR"/>
        </w:rPr>
        <w:t>υπάρχουν</w:t>
      </w:r>
      <w:r w:rsidRPr="00DB7AB0">
        <w:rPr>
          <w:rFonts w:cstheme="minorHAnsi"/>
          <w:sz w:val="24"/>
          <w:szCs w:val="24"/>
          <w:lang w:val="el-GR"/>
        </w:rPr>
        <w:t xml:space="preserve"> </w:t>
      </w:r>
      <w:r>
        <w:rPr>
          <w:rFonts w:cstheme="minorHAnsi"/>
          <w:sz w:val="24"/>
          <w:szCs w:val="24"/>
          <w:lang w:val="el-GR"/>
        </w:rPr>
        <w:t>δύο</w:t>
      </w:r>
      <w:r w:rsidRPr="00DB7AB0">
        <w:rPr>
          <w:rFonts w:cstheme="minorHAnsi"/>
          <w:sz w:val="24"/>
          <w:szCs w:val="24"/>
          <w:lang w:val="el-GR"/>
        </w:rPr>
        <w:t xml:space="preserve"> </w:t>
      </w:r>
      <w:r>
        <w:rPr>
          <w:rFonts w:cstheme="minorHAnsi"/>
          <w:sz w:val="24"/>
          <w:szCs w:val="24"/>
          <w:lang w:val="el-GR"/>
        </w:rPr>
        <w:t>τρόποι</w:t>
      </w:r>
      <w:r w:rsidR="00220066" w:rsidRPr="00DB7AB0">
        <w:rPr>
          <w:rFonts w:cstheme="minorHAnsi"/>
          <w:sz w:val="24"/>
          <w:szCs w:val="24"/>
          <w:lang w:val="el-GR"/>
        </w:rPr>
        <w:t xml:space="preserve"> </w:t>
      </w:r>
      <w:r>
        <w:rPr>
          <w:rFonts w:cstheme="minorHAnsi"/>
          <w:sz w:val="24"/>
          <w:szCs w:val="24"/>
          <w:lang w:val="el-GR"/>
        </w:rPr>
        <w:t>για</w:t>
      </w:r>
      <w:r w:rsidRPr="00DB7AB0">
        <w:rPr>
          <w:rFonts w:cstheme="minorHAnsi"/>
          <w:sz w:val="24"/>
          <w:szCs w:val="24"/>
          <w:lang w:val="el-GR"/>
        </w:rPr>
        <w:t xml:space="preserve"> </w:t>
      </w:r>
      <w:r>
        <w:rPr>
          <w:rFonts w:cstheme="minorHAnsi"/>
          <w:sz w:val="24"/>
          <w:szCs w:val="24"/>
          <w:lang w:val="el-GR"/>
        </w:rPr>
        <w:t>μια</w:t>
      </w:r>
      <w:r w:rsidRPr="00DB7AB0">
        <w:rPr>
          <w:rFonts w:cstheme="minorHAnsi"/>
          <w:sz w:val="24"/>
          <w:szCs w:val="24"/>
          <w:lang w:val="el-GR"/>
        </w:rPr>
        <w:t xml:space="preserve"> </w:t>
      </w:r>
      <w:r>
        <w:rPr>
          <w:rFonts w:cstheme="minorHAnsi"/>
          <w:sz w:val="24"/>
          <w:szCs w:val="24"/>
          <w:lang w:val="el-GR"/>
        </w:rPr>
        <w:t>υπόθεση</w:t>
      </w:r>
      <w:r w:rsidRPr="00DB7AB0">
        <w:rPr>
          <w:rFonts w:cstheme="minorHAnsi"/>
          <w:sz w:val="24"/>
          <w:szCs w:val="24"/>
          <w:lang w:val="el-GR"/>
        </w:rPr>
        <w:t xml:space="preserve"> </w:t>
      </w:r>
      <w:r>
        <w:rPr>
          <w:rFonts w:cstheme="minorHAnsi"/>
          <w:sz w:val="24"/>
          <w:szCs w:val="24"/>
          <w:lang w:val="el-GR"/>
        </w:rPr>
        <w:t>να</w:t>
      </w:r>
      <w:r w:rsidRPr="00DB7AB0">
        <w:rPr>
          <w:rFonts w:cstheme="minorHAnsi"/>
          <w:sz w:val="24"/>
          <w:szCs w:val="24"/>
          <w:lang w:val="el-GR"/>
        </w:rPr>
        <w:t xml:space="preserve"> </w:t>
      </w:r>
      <w:r>
        <w:rPr>
          <w:rFonts w:cstheme="minorHAnsi"/>
          <w:sz w:val="24"/>
          <w:szCs w:val="24"/>
          <w:lang w:val="el-GR"/>
        </w:rPr>
        <w:t>μπορέσει</w:t>
      </w:r>
      <w:r w:rsidRPr="00DB7AB0">
        <w:rPr>
          <w:rFonts w:cstheme="minorHAnsi"/>
          <w:sz w:val="24"/>
          <w:szCs w:val="24"/>
          <w:lang w:val="el-GR"/>
        </w:rPr>
        <w:t xml:space="preserve"> </w:t>
      </w:r>
      <w:r>
        <w:rPr>
          <w:rFonts w:cstheme="minorHAnsi"/>
          <w:sz w:val="24"/>
          <w:szCs w:val="24"/>
          <w:lang w:val="el-GR"/>
        </w:rPr>
        <w:t>να</w:t>
      </w:r>
      <w:r w:rsidRPr="00DB7AB0">
        <w:rPr>
          <w:rFonts w:cstheme="minorHAnsi"/>
          <w:sz w:val="24"/>
          <w:szCs w:val="24"/>
          <w:lang w:val="el-GR"/>
        </w:rPr>
        <w:t xml:space="preserve"> </w:t>
      </w:r>
      <w:r>
        <w:rPr>
          <w:rFonts w:cstheme="minorHAnsi"/>
          <w:sz w:val="24"/>
          <w:szCs w:val="24"/>
          <w:lang w:val="el-GR"/>
        </w:rPr>
        <w:t>προχωρήσει</w:t>
      </w:r>
      <w:r w:rsidR="00220066" w:rsidRPr="00DB7AB0">
        <w:rPr>
          <w:rFonts w:cstheme="minorHAnsi"/>
          <w:sz w:val="24"/>
          <w:szCs w:val="24"/>
          <w:lang w:val="el-GR"/>
        </w:rPr>
        <w:t xml:space="preserve">: (1) </w:t>
      </w:r>
      <w:r>
        <w:rPr>
          <w:rFonts w:cstheme="minorHAnsi"/>
          <w:sz w:val="24"/>
          <w:szCs w:val="24"/>
          <w:lang w:val="el-GR"/>
        </w:rPr>
        <w:t>αν</w:t>
      </w:r>
      <w:r w:rsidRPr="00DB7AB0">
        <w:rPr>
          <w:rFonts w:cstheme="minorHAnsi"/>
          <w:sz w:val="24"/>
          <w:szCs w:val="24"/>
          <w:lang w:val="el-GR"/>
        </w:rPr>
        <w:t xml:space="preserve"> </w:t>
      </w:r>
      <w:r>
        <w:rPr>
          <w:rFonts w:cstheme="minorHAnsi"/>
          <w:sz w:val="24"/>
          <w:szCs w:val="24"/>
          <w:lang w:val="el-GR"/>
        </w:rPr>
        <w:t>υπάρχουν</w:t>
      </w:r>
      <w:r w:rsidRPr="00DB7AB0">
        <w:rPr>
          <w:rFonts w:cstheme="minorHAnsi"/>
          <w:sz w:val="24"/>
          <w:szCs w:val="24"/>
          <w:lang w:val="el-GR"/>
        </w:rPr>
        <w:t xml:space="preserve"> </w:t>
      </w:r>
      <w:r>
        <w:rPr>
          <w:rFonts w:cstheme="minorHAnsi"/>
          <w:sz w:val="24"/>
          <w:szCs w:val="24"/>
          <w:lang w:val="el-GR"/>
        </w:rPr>
        <w:t>αρκετά</w:t>
      </w:r>
      <w:r w:rsidRPr="00DB7AB0">
        <w:rPr>
          <w:rFonts w:cstheme="minorHAnsi"/>
          <w:sz w:val="24"/>
          <w:szCs w:val="24"/>
          <w:lang w:val="el-GR"/>
        </w:rPr>
        <w:t xml:space="preserve"> </w:t>
      </w:r>
      <w:r>
        <w:rPr>
          <w:rFonts w:cstheme="minorHAnsi"/>
          <w:sz w:val="24"/>
          <w:szCs w:val="24"/>
          <w:lang w:val="el-GR"/>
        </w:rPr>
        <w:t>αποδεικτικά</w:t>
      </w:r>
      <w:r w:rsidRPr="00DB7AB0">
        <w:rPr>
          <w:rFonts w:cstheme="minorHAnsi"/>
          <w:sz w:val="24"/>
          <w:szCs w:val="24"/>
          <w:lang w:val="el-GR"/>
        </w:rPr>
        <w:t xml:space="preserve"> </w:t>
      </w:r>
      <w:r>
        <w:rPr>
          <w:rFonts w:cstheme="minorHAnsi"/>
          <w:sz w:val="24"/>
          <w:szCs w:val="24"/>
          <w:lang w:val="el-GR"/>
        </w:rPr>
        <w:t>στοιχεία</w:t>
      </w:r>
      <w:r w:rsidR="00220066" w:rsidRPr="00DB7AB0">
        <w:rPr>
          <w:rFonts w:cstheme="minorHAnsi"/>
          <w:sz w:val="24"/>
          <w:szCs w:val="24"/>
          <w:lang w:val="el-GR"/>
        </w:rPr>
        <w:t xml:space="preserve">, </w:t>
      </w:r>
      <w:r>
        <w:rPr>
          <w:rFonts w:cstheme="minorHAnsi"/>
          <w:sz w:val="24"/>
          <w:szCs w:val="24"/>
          <w:lang w:val="el-GR"/>
        </w:rPr>
        <w:t>η</w:t>
      </w:r>
      <w:r w:rsidRPr="00DB7AB0">
        <w:rPr>
          <w:rFonts w:cstheme="minorHAnsi"/>
          <w:sz w:val="24"/>
          <w:szCs w:val="24"/>
          <w:lang w:val="el-GR"/>
        </w:rPr>
        <w:t xml:space="preserve"> </w:t>
      </w:r>
      <w:r>
        <w:rPr>
          <w:rFonts w:cstheme="minorHAnsi"/>
          <w:sz w:val="24"/>
          <w:szCs w:val="24"/>
          <w:lang w:val="el-GR"/>
        </w:rPr>
        <w:t>υπόθεση</w:t>
      </w:r>
      <w:r w:rsidRPr="00DB7AB0">
        <w:rPr>
          <w:rFonts w:cstheme="minorHAnsi"/>
          <w:sz w:val="24"/>
          <w:szCs w:val="24"/>
          <w:lang w:val="el-GR"/>
        </w:rPr>
        <w:t xml:space="preserve"> </w:t>
      </w:r>
      <w:r>
        <w:rPr>
          <w:rFonts w:cstheme="minorHAnsi"/>
          <w:sz w:val="24"/>
          <w:szCs w:val="24"/>
          <w:lang w:val="el-GR"/>
        </w:rPr>
        <w:t>μπορεί</w:t>
      </w:r>
      <w:r w:rsidRPr="00DB7AB0">
        <w:rPr>
          <w:rFonts w:cstheme="minorHAnsi"/>
          <w:sz w:val="24"/>
          <w:szCs w:val="24"/>
          <w:lang w:val="el-GR"/>
        </w:rPr>
        <w:t xml:space="preserve"> </w:t>
      </w:r>
      <w:r>
        <w:rPr>
          <w:rFonts w:cstheme="minorHAnsi"/>
          <w:sz w:val="24"/>
          <w:szCs w:val="24"/>
          <w:lang w:val="el-GR"/>
        </w:rPr>
        <w:t>να</w:t>
      </w:r>
      <w:r w:rsidRPr="00DB7AB0">
        <w:rPr>
          <w:rFonts w:cstheme="minorHAnsi"/>
          <w:sz w:val="24"/>
          <w:szCs w:val="24"/>
          <w:lang w:val="el-GR"/>
        </w:rPr>
        <w:t xml:space="preserve"> </w:t>
      </w:r>
      <w:r>
        <w:rPr>
          <w:rFonts w:cstheme="minorHAnsi"/>
          <w:sz w:val="24"/>
          <w:szCs w:val="24"/>
          <w:lang w:val="el-GR"/>
        </w:rPr>
        <w:t>περιλάβει</w:t>
      </w:r>
      <w:r w:rsidRPr="00DB7AB0">
        <w:rPr>
          <w:rFonts w:cstheme="minorHAnsi"/>
          <w:sz w:val="24"/>
          <w:szCs w:val="24"/>
          <w:lang w:val="el-GR"/>
        </w:rPr>
        <w:t xml:space="preserve"> </w:t>
      </w:r>
      <w:r>
        <w:rPr>
          <w:rFonts w:cstheme="minorHAnsi"/>
          <w:sz w:val="24"/>
          <w:szCs w:val="24"/>
          <w:lang w:val="el-GR"/>
        </w:rPr>
        <w:t>ποινικά</w:t>
      </w:r>
      <w:r w:rsidRPr="00DB7AB0">
        <w:rPr>
          <w:rFonts w:cstheme="minorHAnsi"/>
          <w:sz w:val="24"/>
          <w:szCs w:val="24"/>
          <w:lang w:val="el-GR"/>
        </w:rPr>
        <w:t xml:space="preserve"> </w:t>
      </w:r>
      <w:r>
        <w:rPr>
          <w:rFonts w:cstheme="minorHAnsi"/>
          <w:sz w:val="24"/>
          <w:szCs w:val="24"/>
          <w:lang w:val="el-GR"/>
        </w:rPr>
        <w:t>αδικήματα</w:t>
      </w:r>
      <w:r w:rsidR="00220066" w:rsidRPr="00DB7AB0">
        <w:rPr>
          <w:rFonts w:cstheme="minorHAnsi"/>
          <w:sz w:val="24"/>
          <w:szCs w:val="24"/>
          <w:lang w:val="el-GR"/>
        </w:rPr>
        <w:t xml:space="preserve"> </w:t>
      </w:r>
      <w:r>
        <w:rPr>
          <w:rFonts w:cstheme="minorHAnsi"/>
          <w:sz w:val="24"/>
          <w:szCs w:val="24"/>
          <w:lang w:val="el-GR"/>
        </w:rPr>
        <w:t>και αν ναι</w:t>
      </w:r>
      <w:r w:rsidR="00220066" w:rsidRPr="00DB7AB0">
        <w:rPr>
          <w:rFonts w:cstheme="minorHAnsi"/>
          <w:sz w:val="24"/>
          <w:szCs w:val="24"/>
          <w:lang w:val="el-GR"/>
        </w:rPr>
        <w:t xml:space="preserve">, </w:t>
      </w:r>
      <w:r>
        <w:rPr>
          <w:rFonts w:cstheme="minorHAnsi"/>
          <w:sz w:val="24"/>
          <w:szCs w:val="24"/>
          <w:lang w:val="el-GR"/>
        </w:rPr>
        <w:t>υποβάλλεται στον Τμήμα Ανιχνεύσεως Εγκλημάτων (ΤΑΕ)</w:t>
      </w:r>
      <w:r w:rsidR="00220066" w:rsidRPr="00DB7AB0">
        <w:rPr>
          <w:rFonts w:cstheme="minorHAnsi"/>
          <w:sz w:val="24"/>
          <w:szCs w:val="24"/>
          <w:lang w:val="el-GR"/>
        </w:rPr>
        <w:t xml:space="preserve">, </w:t>
      </w:r>
      <w:r>
        <w:rPr>
          <w:rFonts w:cstheme="minorHAnsi"/>
          <w:sz w:val="24"/>
          <w:szCs w:val="24"/>
          <w:lang w:val="el-GR"/>
        </w:rPr>
        <w:t>ή σε ένα περιφερειακό Αστυνομικό Σταθμό</w:t>
      </w:r>
      <w:r w:rsidR="00220066" w:rsidRPr="00DB7AB0">
        <w:rPr>
          <w:rFonts w:cstheme="minorHAnsi"/>
          <w:sz w:val="24"/>
          <w:szCs w:val="24"/>
          <w:lang w:val="el-GR"/>
        </w:rPr>
        <w:t xml:space="preserve">, </w:t>
      </w:r>
      <w:r>
        <w:rPr>
          <w:rFonts w:cstheme="minorHAnsi"/>
          <w:sz w:val="24"/>
          <w:szCs w:val="24"/>
          <w:lang w:val="el-GR"/>
        </w:rPr>
        <w:t>αν το αδίκημα είναι μικρό</w:t>
      </w:r>
      <w:r w:rsidR="00220066" w:rsidRPr="00DB7AB0">
        <w:rPr>
          <w:rFonts w:cstheme="minorHAnsi"/>
          <w:sz w:val="24"/>
          <w:szCs w:val="24"/>
          <w:lang w:val="el-GR"/>
        </w:rPr>
        <w:t xml:space="preserve">, </w:t>
      </w:r>
      <w:r>
        <w:rPr>
          <w:rFonts w:cstheme="minorHAnsi"/>
          <w:sz w:val="24"/>
          <w:szCs w:val="24"/>
          <w:lang w:val="el-GR"/>
        </w:rPr>
        <w:t>για επίσημη διερεύνηση,</w:t>
      </w:r>
      <w:r w:rsidR="00220066" w:rsidRPr="00DB7AB0">
        <w:rPr>
          <w:rFonts w:cstheme="minorHAnsi"/>
          <w:sz w:val="24"/>
          <w:szCs w:val="24"/>
          <w:lang w:val="el-GR"/>
        </w:rPr>
        <w:t xml:space="preserve"> (2) </w:t>
      </w:r>
      <w:r>
        <w:rPr>
          <w:rFonts w:cstheme="minorHAnsi"/>
          <w:sz w:val="24"/>
          <w:szCs w:val="24"/>
          <w:lang w:val="el-GR"/>
        </w:rPr>
        <w:t>Αν υπάρχουν αρκετά αποδεικτικά στοιχεία για πειθαρχικά αδικήματα</w:t>
      </w:r>
      <w:r w:rsidR="00220066" w:rsidRPr="00DB7AB0">
        <w:rPr>
          <w:rFonts w:cstheme="minorHAnsi"/>
          <w:sz w:val="24"/>
          <w:szCs w:val="24"/>
          <w:lang w:val="el-GR"/>
        </w:rPr>
        <w:t xml:space="preserve">, </w:t>
      </w:r>
      <w:r>
        <w:rPr>
          <w:rFonts w:cstheme="minorHAnsi"/>
          <w:sz w:val="24"/>
          <w:szCs w:val="24"/>
          <w:lang w:val="el-GR"/>
        </w:rPr>
        <w:t>τότε</w:t>
      </w:r>
      <w:r w:rsidR="00220066" w:rsidRPr="00DB7AB0">
        <w:rPr>
          <w:rFonts w:cstheme="minorHAnsi"/>
          <w:sz w:val="24"/>
          <w:szCs w:val="24"/>
          <w:lang w:val="el-GR"/>
        </w:rPr>
        <w:t xml:space="preserve">, </w:t>
      </w:r>
      <w:r>
        <w:rPr>
          <w:rFonts w:cstheme="minorHAnsi"/>
          <w:sz w:val="24"/>
          <w:szCs w:val="24"/>
          <w:lang w:val="el-GR"/>
        </w:rPr>
        <w:t>ανατίθεται ένας Ειδικός Ανακριτής από ένα Βοηθό Αρχηγό</w:t>
      </w:r>
      <w:r w:rsidR="00220066" w:rsidRPr="00DB7AB0">
        <w:rPr>
          <w:rFonts w:cstheme="minorHAnsi"/>
          <w:sz w:val="24"/>
          <w:szCs w:val="24"/>
          <w:lang w:val="el-GR"/>
        </w:rPr>
        <w:t xml:space="preserve"> </w:t>
      </w:r>
      <w:r>
        <w:rPr>
          <w:rFonts w:cstheme="minorHAnsi"/>
          <w:sz w:val="24"/>
          <w:szCs w:val="24"/>
          <w:lang w:val="el-GR"/>
        </w:rPr>
        <w:t>για να διερευνήσει τα πειθαρχικά αδικήματα</w:t>
      </w:r>
      <w:r w:rsidR="00220066" w:rsidRPr="00DB7AB0">
        <w:rPr>
          <w:rFonts w:cstheme="minorHAnsi"/>
          <w:sz w:val="24"/>
          <w:szCs w:val="24"/>
          <w:lang w:val="el-GR"/>
        </w:rPr>
        <w:t xml:space="preserve">. </w:t>
      </w:r>
      <w:r>
        <w:rPr>
          <w:rFonts w:cstheme="minorHAnsi"/>
          <w:sz w:val="24"/>
          <w:szCs w:val="24"/>
          <w:lang w:val="el-GR"/>
        </w:rPr>
        <w:t>Αν</w:t>
      </w:r>
      <w:r w:rsidRPr="00DB7AB0">
        <w:rPr>
          <w:rFonts w:cstheme="minorHAnsi"/>
          <w:sz w:val="24"/>
          <w:szCs w:val="24"/>
          <w:lang w:val="el-GR"/>
        </w:rPr>
        <w:t xml:space="preserve"> </w:t>
      </w:r>
      <w:r>
        <w:rPr>
          <w:rFonts w:cstheme="minorHAnsi"/>
          <w:sz w:val="24"/>
          <w:szCs w:val="24"/>
          <w:lang w:val="el-GR"/>
        </w:rPr>
        <w:t>ο</w:t>
      </w:r>
      <w:r w:rsidRPr="00DB7AB0">
        <w:rPr>
          <w:rFonts w:cstheme="minorHAnsi"/>
          <w:sz w:val="24"/>
          <w:szCs w:val="24"/>
          <w:lang w:val="el-GR"/>
        </w:rPr>
        <w:t xml:space="preserve"> </w:t>
      </w:r>
      <w:r>
        <w:rPr>
          <w:rFonts w:cstheme="minorHAnsi"/>
          <w:sz w:val="24"/>
          <w:szCs w:val="24"/>
          <w:lang w:val="el-GR"/>
        </w:rPr>
        <w:t>ύποπτος</w:t>
      </w:r>
      <w:r w:rsidR="00220066" w:rsidRPr="00DB7AB0">
        <w:rPr>
          <w:rFonts w:cstheme="minorHAnsi"/>
          <w:sz w:val="24"/>
          <w:szCs w:val="24"/>
          <w:lang w:val="el-GR"/>
        </w:rPr>
        <w:t xml:space="preserve"> </w:t>
      </w:r>
      <w:r>
        <w:rPr>
          <w:rFonts w:cstheme="minorHAnsi"/>
          <w:sz w:val="24"/>
          <w:szCs w:val="24"/>
          <w:lang w:val="el-GR"/>
        </w:rPr>
        <w:t>είναι</w:t>
      </w:r>
      <w:r w:rsidRPr="00DB7AB0">
        <w:rPr>
          <w:rFonts w:cstheme="minorHAnsi"/>
          <w:sz w:val="24"/>
          <w:szCs w:val="24"/>
          <w:lang w:val="el-GR"/>
        </w:rPr>
        <w:t xml:space="preserve"> </w:t>
      </w:r>
      <w:r>
        <w:rPr>
          <w:rFonts w:cstheme="minorHAnsi"/>
          <w:sz w:val="24"/>
          <w:szCs w:val="24"/>
          <w:lang w:val="el-GR"/>
        </w:rPr>
        <w:t>του</w:t>
      </w:r>
      <w:r w:rsidRPr="00DB7AB0">
        <w:rPr>
          <w:rFonts w:cstheme="minorHAnsi"/>
          <w:sz w:val="24"/>
          <w:szCs w:val="24"/>
          <w:lang w:val="el-GR"/>
        </w:rPr>
        <w:t xml:space="preserve"> </w:t>
      </w:r>
      <w:r>
        <w:rPr>
          <w:rFonts w:cstheme="minorHAnsi"/>
          <w:sz w:val="24"/>
          <w:szCs w:val="24"/>
          <w:lang w:val="el-GR"/>
        </w:rPr>
        <w:t>βαθμού</w:t>
      </w:r>
      <w:r w:rsidRPr="00DB7AB0">
        <w:rPr>
          <w:rFonts w:cstheme="minorHAnsi"/>
          <w:sz w:val="24"/>
          <w:szCs w:val="24"/>
          <w:lang w:val="el-GR"/>
        </w:rPr>
        <w:t xml:space="preserve"> </w:t>
      </w:r>
      <w:r>
        <w:rPr>
          <w:rFonts w:cstheme="minorHAnsi"/>
          <w:sz w:val="24"/>
          <w:szCs w:val="24"/>
          <w:lang w:val="el-GR"/>
        </w:rPr>
        <w:t>του</w:t>
      </w:r>
      <w:r w:rsidRPr="00DB7AB0">
        <w:rPr>
          <w:rFonts w:cstheme="minorHAnsi"/>
          <w:sz w:val="24"/>
          <w:szCs w:val="24"/>
          <w:lang w:val="el-GR"/>
        </w:rPr>
        <w:t xml:space="preserve"> </w:t>
      </w:r>
      <w:r>
        <w:rPr>
          <w:rFonts w:cstheme="minorHAnsi"/>
          <w:sz w:val="24"/>
          <w:szCs w:val="24"/>
          <w:lang w:val="el-GR"/>
        </w:rPr>
        <w:t>Υπαστυνόμου</w:t>
      </w:r>
      <w:r w:rsidRPr="00DB7AB0">
        <w:rPr>
          <w:rFonts w:cstheme="minorHAnsi"/>
          <w:sz w:val="24"/>
          <w:szCs w:val="24"/>
          <w:lang w:val="el-GR"/>
        </w:rPr>
        <w:t xml:space="preserve"> </w:t>
      </w:r>
      <w:r>
        <w:rPr>
          <w:rFonts w:cstheme="minorHAnsi"/>
          <w:sz w:val="24"/>
          <w:szCs w:val="24"/>
          <w:lang w:val="el-GR"/>
        </w:rPr>
        <w:t>Β</w:t>
      </w:r>
      <w:r w:rsidRPr="00DB7AB0">
        <w:rPr>
          <w:rFonts w:cstheme="minorHAnsi"/>
          <w:sz w:val="24"/>
          <w:szCs w:val="24"/>
          <w:lang w:val="el-GR"/>
        </w:rPr>
        <w:t xml:space="preserve"> </w:t>
      </w:r>
      <w:r>
        <w:rPr>
          <w:rFonts w:cstheme="minorHAnsi"/>
          <w:sz w:val="24"/>
          <w:szCs w:val="24"/>
          <w:lang w:val="el-GR"/>
        </w:rPr>
        <w:t>και</w:t>
      </w:r>
      <w:r w:rsidRPr="00DB7AB0">
        <w:rPr>
          <w:rFonts w:cstheme="minorHAnsi"/>
          <w:sz w:val="24"/>
          <w:szCs w:val="24"/>
          <w:lang w:val="el-GR"/>
        </w:rPr>
        <w:t xml:space="preserve"> </w:t>
      </w:r>
      <w:r>
        <w:rPr>
          <w:rFonts w:cstheme="minorHAnsi"/>
          <w:sz w:val="24"/>
          <w:szCs w:val="24"/>
          <w:lang w:val="el-GR"/>
        </w:rPr>
        <w:t>πάνω</w:t>
      </w:r>
      <w:r w:rsidR="00220066" w:rsidRPr="00DB7AB0">
        <w:rPr>
          <w:rFonts w:cstheme="minorHAnsi"/>
          <w:sz w:val="24"/>
          <w:szCs w:val="24"/>
          <w:lang w:val="el-GR"/>
        </w:rPr>
        <w:t xml:space="preserve">, </w:t>
      </w:r>
      <w:r>
        <w:rPr>
          <w:rFonts w:cstheme="minorHAnsi"/>
          <w:sz w:val="24"/>
          <w:szCs w:val="24"/>
          <w:lang w:val="el-GR"/>
        </w:rPr>
        <w:t>τότε</w:t>
      </w:r>
      <w:r w:rsidRPr="00DB7AB0">
        <w:rPr>
          <w:rFonts w:cstheme="minorHAnsi"/>
          <w:sz w:val="24"/>
          <w:szCs w:val="24"/>
          <w:lang w:val="el-GR"/>
        </w:rPr>
        <w:t xml:space="preserve"> </w:t>
      </w:r>
      <w:r>
        <w:rPr>
          <w:rFonts w:cstheme="minorHAnsi"/>
          <w:sz w:val="24"/>
          <w:szCs w:val="24"/>
          <w:lang w:val="el-GR"/>
        </w:rPr>
        <w:t>ο</w:t>
      </w:r>
      <w:r w:rsidRPr="00DB7AB0">
        <w:rPr>
          <w:rFonts w:cstheme="minorHAnsi"/>
          <w:sz w:val="24"/>
          <w:szCs w:val="24"/>
          <w:lang w:val="el-GR"/>
        </w:rPr>
        <w:t xml:space="preserve"> </w:t>
      </w:r>
      <w:r>
        <w:rPr>
          <w:rFonts w:cstheme="minorHAnsi"/>
          <w:sz w:val="24"/>
          <w:szCs w:val="24"/>
          <w:lang w:val="el-GR"/>
        </w:rPr>
        <w:t>Ειδικός</w:t>
      </w:r>
      <w:r w:rsidRPr="00DB7AB0">
        <w:rPr>
          <w:rFonts w:cstheme="minorHAnsi"/>
          <w:sz w:val="24"/>
          <w:szCs w:val="24"/>
          <w:lang w:val="el-GR"/>
        </w:rPr>
        <w:t xml:space="preserve"> </w:t>
      </w:r>
      <w:r>
        <w:rPr>
          <w:rFonts w:cstheme="minorHAnsi"/>
          <w:sz w:val="24"/>
          <w:szCs w:val="24"/>
          <w:lang w:val="el-GR"/>
        </w:rPr>
        <w:t xml:space="preserve">Ανακριτής διορίζεται από τον Αρχηγό της </w:t>
      </w:r>
      <w:r w:rsidR="009C4E34">
        <w:rPr>
          <w:rFonts w:cstheme="minorHAnsi"/>
          <w:sz w:val="24"/>
          <w:szCs w:val="24"/>
          <w:lang w:val="el-GR"/>
        </w:rPr>
        <w:t>Αστυνομία</w:t>
      </w:r>
      <w:r>
        <w:rPr>
          <w:rFonts w:cstheme="minorHAnsi"/>
          <w:sz w:val="24"/>
          <w:szCs w:val="24"/>
          <w:lang w:val="el-GR"/>
        </w:rPr>
        <w:t>ς</w:t>
      </w:r>
      <w:r w:rsidR="00220066" w:rsidRPr="00DB7AB0">
        <w:rPr>
          <w:rFonts w:cstheme="minorHAnsi"/>
          <w:sz w:val="24"/>
          <w:szCs w:val="24"/>
          <w:lang w:val="el-GR"/>
        </w:rPr>
        <w:t>.</w:t>
      </w:r>
    </w:p>
    <w:p w14:paraId="318251F5" w14:textId="77777777" w:rsidR="00220066" w:rsidRPr="00DB7AB0" w:rsidRDefault="00220066" w:rsidP="00220066">
      <w:pPr>
        <w:keepNext/>
        <w:tabs>
          <w:tab w:val="left" w:pos="709"/>
        </w:tabs>
        <w:rPr>
          <w:rFonts w:cstheme="minorHAnsi"/>
          <w:sz w:val="24"/>
          <w:szCs w:val="24"/>
          <w:lang w:val="el-GR"/>
        </w:rPr>
      </w:pPr>
    </w:p>
    <w:p w14:paraId="6F8F0243" w14:textId="6018C0D5" w:rsidR="00220066" w:rsidRPr="00D775EE" w:rsidRDefault="00DB7AB0" w:rsidP="00C328E9">
      <w:pPr>
        <w:keepNext/>
        <w:numPr>
          <w:ilvl w:val="0"/>
          <w:numId w:val="1"/>
        </w:numPr>
        <w:tabs>
          <w:tab w:val="left" w:pos="709"/>
        </w:tabs>
        <w:ind w:left="0" w:firstLine="0"/>
        <w:rPr>
          <w:rFonts w:cstheme="minorHAnsi"/>
          <w:sz w:val="24"/>
          <w:szCs w:val="24"/>
          <w:lang w:val="el-GR"/>
        </w:rPr>
      </w:pPr>
      <w:r>
        <w:rPr>
          <w:rFonts w:cstheme="minorHAnsi"/>
          <w:sz w:val="24"/>
          <w:szCs w:val="24"/>
          <w:lang w:val="el-GR"/>
        </w:rPr>
        <w:t>Ο</w:t>
      </w:r>
      <w:r w:rsidRPr="00D775EE">
        <w:rPr>
          <w:rFonts w:cstheme="minorHAnsi"/>
          <w:sz w:val="24"/>
          <w:szCs w:val="24"/>
          <w:lang w:val="el-GR"/>
        </w:rPr>
        <w:t xml:space="preserve"> </w:t>
      </w:r>
      <w:r>
        <w:rPr>
          <w:rFonts w:cstheme="minorHAnsi"/>
          <w:sz w:val="24"/>
          <w:szCs w:val="24"/>
          <w:lang w:val="el-GR"/>
        </w:rPr>
        <w:t>Διευθυντής</w:t>
      </w:r>
      <w:r w:rsidRPr="00D775EE">
        <w:rPr>
          <w:rFonts w:cstheme="minorHAnsi"/>
          <w:sz w:val="24"/>
          <w:szCs w:val="24"/>
          <w:lang w:val="el-GR"/>
        </w:rPr>
        <w:t xml:space="preserve"> </w:t>
      </w:r>
      <w:r>
        <w:rPr>
          <w:rFonts w:cstheme="minorHAnsi"/>
          <w:sz w:val="24"/>
          <w:szCs w:val="24"/>
          <w:lang w:val="el-GR"/>
        </w:rPr>
        <w:t>και</w:t>
      </w:r>
      <w:r w:rsidRPr="00D775EE">
        <w:rPr>
          <w:rFonts w:cstheme="minorHAnsi"/>
          <w:sz w:val="24"/>
          <w:szCs w:val="24"/>
          <w:lang w:val="el-GR"/>
        </w:rPr>
        <w:t xml:space="preserve"> </w:t>
      </w:r>
      <w:r>
        <w:rPr>
          <w:rFonts w:cstheme="minorHAnsi"/>
          <w:sz w:val="24"/>
          <w:szCs w:val="24"/>
          <w:lang w:val="el-GR"/>
        </w:rPr>
        <w:t>τα</w:t>
      </w:r>
      <w:r w:rsidRPr="00D775EE">
        <w:rPr>
          <w:rFonts w:cstheme="minorHAnsi"/>
          <w:sz w:val="24"/>
          <w:szCs w:val="24"/>
          <w:lang w:val="el-GR"/>
        </w:rPr>
        <w:t xml:space="preserve"> </w:t>
      </w:r>
      <w:r>
        <w:rPr>
          <w:rFonts w:cstheme="minorHAnsi"/>
          <w:sz w:val="24"/>
          <w:szCs w:val="24"/>
          <w:lang w:val="el-GR"/>
        </w:rPr>
        <w:t>μέλη</w:t>
      </w:r>
      <w:r w:rsidRPr="00D775EE">
        <w:rPr>
          <w:rFonts w:cstheme="minorHAnsi"/>
          <w:sz w:val="24"/>
          <w:szCs w:val="24"/>
          <w:lang w:val="el-GR"/>
        </w:rPr>
        <w:t xml:space="preserve"> </w:t>
      </w:r>
      <w:r>
        <w:rPr>
          <w:rFonts w:cstheme="minorHAnsi"/>
          <w:sz w:val="24"/>
          <w:szCs w:val="24"/>
          <w:lang w:val="el-GR"/>
        </w:rPr>
        <w:t>της</w:t>
      </w:r>
      <w:r w:rsidRPr="00D775EE">
        <w:rPr>
          <w:rFonts w:cstheme="minorHAnsi"/>
          <w:sz w:val="24"/>
          <w:szCs w:val="24"/>
          <w:lang w:val="el-GR"/>
        </w:rPr>
        <w:t xml:space="preserve"> </w:t>
      </w:r>
      <w:r w:rsidR="00220066" w:rsidRPr="00C328E9">
        <w:rPr>
          <w:rFonts w:cstheme="minorHAnsi"/>
          <w:sz w:val="24"/>
          <w:szCs w:val="24"/>
        </w:rPr>
        <w:t>PSID</w:t>
      </w:r>
      <w:r w:rsidR="00220066" w:rsidRPr="00D775EE">
        <w:rPr>
          <w:rFonts w:cstheme="minorHAnsi"/>
          <w:sz w:val="24"/>
          <w:szCs w:val="24"/>
          <w:lang w:val="el-GR"/>
        </w:rPr>
        <w:t xml:space="preserve"> </w:t>
      </w:r>
      <w:r w:rsidR="00D775EE">
        <w:rPr>
          <w:rFonts w:cstheme="minorHAnsi"/>
          <w:sz w:val="24"/>
          <w:szCs w:val="24"/>
          <w:lang w:val="el-GR"/>
        </w:rPr>
        <w:t>δίνουν</w:t>
      </w:r>
      <w:r w:rsidR="00D775EE" w:rsidRPr="00D775EE">
        <w:rPr>
          <w:rFonts w:cstheme="minorHAnsi"/>
          <w:sz w:val="24"/>
          <w:szCs w:val="24"/>
          <w:lang w:val="el-GR"/>
        </w:rPr>
        <w:t xml:space="preserve"> </w:t>
      </w:r>
      <w:r w:rsidR="00D775EE">
        <w:rPr>
          <w:rFonts w:cstheme="minorHAnsi"/>
          <w:sz w:val="24"/>
          <w:szCs w:val="24"/>
          <w:lang w:val="el-GR"/>
        </w:rPr>
        <w:t>αναφορά</w:t>
      </w:r>
      <w:r w:rsidR="00D775EE" w:rsidRPr="00D775EE">
        <w:rPr>
          <w:rFonts w:cstheme="minorHAnsi"/>
          <w:sz w:val="24"/>
          <w:szCs w:val="24"/>
          <w:lang w:val="el-GR"/>
        </w:rPr>
        <w:t xml:space="preserve"> </w:t>
      </w:r>
      <w:r w:rsidR="00D775EE">
        <w:rPr>
          <w:rFonts w:cstheme="minorHAnsi"/>
          <w:sz w:val="24"/>
          <w:szCs w:val="24"/>
          <w:lang w:val="el-GR"/>
        </w:rPr>
        <w:t>επιχειρησιακά</w:t>
      </w:r>
      <w:r w:rsidR="00D775EE" w:rsidRPr="00D775EE">
        <w:rPr>
          <w:rFonts w:cstheme="minorHAnsi"/>
          <w:sz w:val="24"/>
          <w:szCs w:val="24"/>
          <w:lang w:val="el-GR"/>
        </w:rPr>
        <w:t xml:space="preserve"> </w:t>
      </w:r>
      <w:r w:rsidR="00D775EE">
        <w:rPr>
          <w:rFonts w:cstheme="minorHAnsi"/>
          <w:sz w:val="24"/>
          <w:szCs w:val="24"/>
          <w:lang w:val="el-GR"/>
        </w:rPr>
        <w:t>στο</w:t>
      </w:r>
      <w:r w:rsidR="007946A4">
        <w:rPr>
          <w:rFonts w:cstheme="minorHAnsi"/>
          <w:sz w:val="24"/>
          <w:szCs w:val="24"/>
          <w:lang w:val="el-GR"/>
        </w:rPr>
        <w:t>ν</w:t>
      </w:r>
      <w:r w:rsidR="00D775EE" w:rsidRPr="00D775EE">
        <w:rPr>
          <w:rFonts w:cstheme="minorHAnsi"/>
          <w:sz w:val="24"/>
          <w:szCs w:val="24"/>
          <w:lang w:val="el-GR"/>
        </w:rPr>
        <w:t xml:space="preserve"> </w:t>
      </w:r>
      <w:r w:rsidR="00D775EE">
        <w:rPr>
          <w:rFonts w:cstheme="minorHAnsi"/>
          <w:sz w:val="24"/>
          <w:szCs w:val="24"/>
          <w:lang w:val="el-GR"/>
        </w:rPr>
        <w:t>Αρχηγό</w:t>
      </w:r>
      <w:r w:rsidR="00D775EE" w:rsidRPr="00D775EE">
        <w:rPr>
          <w:rFonts w:cstheme="minorHAnsi"/>
          <w:sz w:val="24"/>
          <w:szCs w:val="24"/>
          <w:lang w:val="el-GR"/>
        </w:rPr>
        <w:t xml:space="preserve"> </w:t>
      </w:r>
      <w:r w:rsidR="00D775EE">
        <w:rPr>
          <w:rFonts w:cstheme="minorHAnsi"/>
          <w:sz w:val="24"/>
          <w:szCs w:val="24"/>
          <w:lang w:val="el-GR"/>
        </w:rPr>
        <w:t>της</w:t>
      </w:r>
      <w:r w:rsidR="00D775EE" w:rsidRPr="00D775EE">
        <w:rPr>
          <w:rFonts w:cstheme="minorHAnsi"/>
          <w:sz w:val="24"/>
          <w:szCs w:val="24"/>
          <w:lang w:val="el-GR"/>
        </w:rPr>
        <w:t xml:space="preserve"> </w:t>
      </w:r>
      <w:r w:rsidR="009C4E34">
        <w:rPr>
          <w:rFonts w:cstheme="minorHAnsi"/>
          <w:sz w:val="24"/>
          <w:szCs w:val="24"/>
          <w:lang w:val="el-GR"/>
        </w:rPr>
        <w:t>Αστυνομία</w:t>
      </w:r>
      <w:r w:rsidR="00D775EE">
        <w:rPr>
          <w:rFonts w:cstheme="minorHAnsi"/>
          <w:sz w:val="24"/>
          <w:szCs w:val="24"/>
          <w:lang w:val="el-GR"/>
        </w:rPr>
        <w:t>ς</w:t>
      </w:r>
      <w:r w:rsidR="00220066" w:rsidRPr="00D775EE">
        <w:rPr>
          <w:rFonts w:cstheme="minorHAnsi"/>
          <w:sz w:val="24"/>
          <w:szCs w:val="24"/>
          <w:lang w:val="el-GR"/>
        </w:rPr>
        <w:t xml:space="preserve">, </w:t>
      </w:r>
      <w:r w:rsidR="00D775EE">
        <w:rPr>
          <w:rFonts w:cstheme="minorHAnsi"/>
          <w:sz w:val="24"/>
          <w:szCs w:val="24"/>
          <w:lang w:val="el-GR"/>
        </w:rPr>
        <w:t>και διοικητικά</w:t>
      </w:r>
      <w:r w:rsidR="00220066" w:rsidRPr="00D775EE">
        <w:rPr>
          <w:rFonts w:cstheme="minorHAnsi"/>
          <w:sz w:val="24"/>
          <w:szCs w:val="24"/>
          <w:lang w:val="el-GR"/>
        </w:rPr>
        <w:t xml:space="preserve">, </w:t>
      </w:r>
      <w:r w:rsidR="00D775EE">
        <w:rPr>
          <w:rFonts w:cstheme="minorHAnsi"/>
          <w:sz w:val="24"/>
          <w:szCs w:val="24"/>
          <w:lang w:val="el-GR"/>
        </w:rPr>
        <w:t xml:space="preserve">στον Βοηθό Αρχηγό της </w:t>
      </w:r>
      <w:r w:rsidR="009C4E34">
        <w:rPr>
          <w:rFonts w:cstheme="minorHAnsi"/>
          <w:sz w:val="24"/>
          <w:szCs w:val="24"/>
          <w:lang w:val="el-GR"/>
        </w:rPr>
        <w:t>Αστυνομία</w:t>
      </w:r>
      <w:r w:rsidR="00D775EE">
        <w:rPr>
          <w:rFonts w:cstheme="minorHAnsi"/>
          <w:sz w:val="24"/>
          <w:szCs w:val="24"/>
          <w:lang w:val="el-GR"/>
        </w:rPr>
        <w:t>ς για την Διοίκηση</w:t>
      </w:r>
      <w:r w:rsidR="00A70949" w:rsidRPr="00D775EE">
        <w:rPr>
          <w:rFonts w:cstheme="minorHAnsi"/>
          <w:sz w:val="24"/>
          <w:szCs w:val="24"/>
          <w:lang w:val="el-GR"/>
        </w:rPr>
        <w:t>.</w:t>
      </w:r>
      <w:r w:rsidR="00C328E9" w:rsidRPr="00D775EE">
        <w:rPr>
          <w:rFonts w:cstheme="minorHAnsi"/>
          <w:sz w:val="24"/>
          <w:szCs w:val="24"/>
          <w:lang w:val="el-GR"/>
        </w:rPr>
        <w:t xml:space="preserve"> </w:t>
      </w:r>
      <w:bookmarkStart w:id="237" w:name="_Hlk132890250"/>
      <w:r w:rsidR="00D775EE">
        <w:rPr>
          <w:rFonts w:cstheme="minorHAnsi"/>
          <w:sz w:val="24"/>
          <w:szCs w:val="24"/>
          <w:lang w:val="el-GR"/>
        </w:rPr>
        <w:t>Η</w:t>
      </w:r>
      <w:r w:rsidR="00C328E9" w:rsidRPr="00D775EE">
        <w:rPr>
          <w:rFonts w:cstheme="minorHAnsi"/>
          <w:sz w:val="24"/>
          <w:szCs w:val="24"/>
          <w:lang w:val="el-GR"/>
        </w:rPr>
        <w:t xml:space="preserve"> </w:t>
      </w:r>
      <w:r w:rsidR="00C328E9" w:rsidRPr="00B95983">
        <w:rPr>
          <w:rFonts w:cstheme="minorHAnsi"/>
          <w:sz w:val="24"/>
          <w:szCs w:val="24"/>
        </w:rPr>
        <w:t>GET</w:t>
      </w:r>
      <w:r w:rsidR="00C328E9" w:rsidRPr="00D775EE">
        <w:rPr>
          <w:rFonts w:cstheme="minorHAnsi"/>
          <w:sz w:val="24"/>
          <w:szCs w:val="24"/>
          <w:lang w:val="el-GR"/>
        </w:rPr>
        <w:t xml:space="preserve"> </w:t>
      </w:r>
      <w:r w:rsidR="00D775EE">
        <w:rPr>
          <w:rFonts w:cstheme="minorHAnsi"/>
          <w:sz w:val="24"/>
          <w:szCs w:val="24"/>
          <w:lang w:val="el-GR"/>
        </w:rPr>
        <w:t>ενημερώθηκε</w:t>
      </w:r>
      <w:r w:rsidR="00D775EE" w:rsidRPr="00D775EE">
        <w:rPr>
          <w:rFonts w:cstheme="minorHAnsi"/>
          <w:sz w:val="24"/>
          <w:szCs w:val="24"/>
          <w:lang w:val="el-GR"/>
        </w:rPr>
        <w:t xml:space="preserve"> </w:t>
      </w:r>
      <w:r w:rsidR="00D775EE">
        <w:rPr>
          <w:rFonts w:cstheme="minorHAnsi"/>
          <w:sz w:val="24"/>
          <w:szCs w:val="24"/>
          <w:lang w:val="el-GR"/>
        </w:rPr>
        <w:t>ότι</w:t>
      </w:r>
      <w:r w:rsidR="00C328E9" w:rsidRPr="00D775EE">
        <w:rPr>
          <w:rFonts w:cstheme="minorHAnsi"/>
          <w:sz w:val="24"/>
          <w:szCs w:val="24"/>
          <w:lang w:val="el-GR"/>
        </w:rPr>
        <w:t xml:space="preserve">, </w:t>
      </w:r>
      <w:r w:rsidR="00D775EE">
        <w:rPr>
          <w:rFonts w:cstheme="minorHAnsi"/>
          <w:sz w:val="24"/>
          <w:szCs w:val="24"/>
          <w:lang w:val="el-GR"/>
        </w:rPr>
        <w:t>μετά</w:t>
      </w:r>
      <w:r w:rsidR="00D775EE" w:rsidRPr="00D775EE">
        <w:rPr>
          <w:rFonts w:cstheme="minorHAnsi"/>
          <w:sz w:val="24"/>
          <w:szCs w:val="24"/>
          <w:lang w:val="el-GR"/>
        </w:rPr>
        <w:t xml:space="preserve"> </w:t>
      </w:r>
      <w:r w:rsidR="00D775EE">
        <w:rPr>
          <w:rFonts w:cstheme="minorHAnsi"/>
          <w:sz w:val="24"/>
          <w:szCs w:val="24"/>
          <w:lang w:val="el-GR"/>
        </w:rPr>
        <w:t>την</w:t>
      </w:r>
      <w:r w:rsidR="00D775EE" w:rsidRPr="00D775EE">
        <w:rPr>
          <w:rFonts w:cstheme="minorHAnsi"/>
          <w:sz w:val="24"/>
          <w:szCs w:val="24"/>
          <w:lang w:val="el-GR"/>
        </w:rPr>
        <w:t xml:space="preserve"> </w:t>
      </w:r>
      <w:r w:rsidR="00D775EE">
        <w:rPr>
          <w:rFonts w:cstheme="minorHAnsi"/>
          <w:sz w:val="24"/>
          <w:szCs w:val="24"/>
          <w:lang w:val="el-GR"/>
        </w:rPr>
        <w:t>επί</w:t>
      </w:r>
      <w:r w:rsidR="00D775EE" w:rsidRPr="00D775EE">
        <w:rPr>
          <w:rFonts w:cstheme="minorHAnsi"/>
          <w:sz w:val="24"/>
          <w:szCs w:val="24"/>
          <w:lang w:val="el-GR"/>
        </w:rPr>
        <w:t xml:space="preserve"> </w:t>
      </w:r>
      <w:r w:rsidR="00D775EE">
        <w:rPr>
          <w:rFonts w:cstheme="minorHAnsi"/>
          <w:sz w:val="24"/>
          <w:szCs w:val="24"/>
          <w:lang w:val="el-GR"/>
        </w:rPr>
        <w:t>τόπου</w:t>
      </w:r>
      <w:r w:rsidR="00D775EE" w:rsidRPr="00D775EE">
        <w:rPr>
          <w:rFonts w:cstheme="minorHAnsi"/>
          <w:sz w:val="24"/>
          <w:szCs w:val="24"/>
          <w:lang w:val="el-GR"/>
        </w:rPr>
        <w:t xml:space="preserve"> </w:t>
      </w:r>
      <w:r w:rsidR="00D775EE">
        <w:rPr>
          <w:rFonts w:cstheme="minorHAnsi"/>
          <w:sz w:val="24"/>
          <w:szCs w:val="24"/>
          <w:lang w:val="el-GR"/>
        </w:rPr>
        <w:t>επίσκεψη</w:t>
      </w:r>
      <w:r w:rsidR="00C328E9" w:rsidRPr="00D775EE">
        <w:rPr>
          <w:rFonts w:cstheme="minorHAnsi"/>
          <w:sz w:val="24"/>
          <w:szCs w:val="24"/>
          <w:lang w:val="el-GR"/>
        </w:rPr>
        <w:t xml:space="preserve">, </w:t>
      </w:r>
      <w:r w:rsidR="00D775EE">
        <w:rPr>
          <w:rFonts w:cstheme="minorHAnsi"/>
          <w:sz w:val="24"/>
          <w:szCs w:val="24"/>
          <w:lang w:val="el-GR"/>
        </w:rPr>
        <w:t>το</w:t>
      </w:r>
      <w:r w:rsidR="00D775EE" w:rsidRPr="00D775EE">
        <w:rPr>
          <w:rFonts w:cstheme="minorHAnsi"/>
          <w:sz w:val="24"/>
          <w:szCs w:val="24"/>
          <w:lang w:val="el-GR"/>
        </w:rPr>
        <w:t xml:space="preserve"> </w:t>
      </w:r>
      <w:r w:rsidR="00D775EE">
        <w:rPr>
          <w:rFonts w:cstheme="minorHAnsi"/>
          <w:sz w:val="24"/>
          <w:szCs w:val="24"/>
          <w:lang w:val="el-GR"/>
        </w:rPr>
        <w:t>οργανόγραμμα</w:t>
      </w:r>
      <w:r w:rsidR="00D775EE" w:rsidRPr="00D775EE">
        <w:rPr>
          <w:rFonts w:cstheme="minorHAnsi"/>
          <w:sz w:val="24"/>
          <w:szCs w:val="24"/>
          <w:lang w:val="el-GR"/>
        </w:rPr>
        <w:t xml:space="preserve"> </w:t>
      </w:r>
      <w:r w:rsidR="00D775EE">
        <w:rPr>
          <w:rFonts w:cstheme="minorHAnsi"/>
          <w:sz w:val="24"/>
          <w:szCs w:val="24"/>
          <w:lang w:val="el-GR"/>
        </w:rPr>
        <w:t>της</w:t>
      </w:r>
      <w:r w:rsidR="00D775EE" w:rsidRPr="00D775EE">
        <w:rPr>
          <w:rFonts w:cstheme="minorHAnsi"/>
          <w:sz w:val="24"/>
          <w:szCs w:val="24"/>
          <w:lang w:val="el-GR"/>
        </w:rPr>
        <w:t xml:space="preserve"> </w:t>
      </w:r>
      <w:r w:rsidR="009C4E34">
        <w:rPr>
          <w:rFonts w:cstheme="minorHAnsi"/>
          <w:sz w:val="24"/>
          <w:szCs w:val="24"/>
          <w:lang w:val="el-GR"/>
        </w:rPr>
        <w:t>Αστυνομία</w:t>
      </w:r>
      <w:r w:rsidR="00D775EE">
        <w:rPr>
          <w:rFonts w:cstheme="minorHAnsi"/>
          <w:sz w:val="24"/>
          <w:szCs w:val="24"/>
          <w:lang w:val="el-GR"/>
        </w:rPr>
        <w:t>ς</w:t>
      </w:r>
      <w:r w:rsidR="00D775EE" w:rsidRPr="00D775EE">
        <w:rPr>
          <w:rFonts w:cstheme="minorHAnsi"/>
          <w:sz w:val="24"/>
          <w:szCs w:val="24"/>
          <w:lang w:val="el-GR"/>
        </w:rPr>
        <w:t xml:space="preserve"> </w:t>
      </w:r>
      <w:r w:rsidR="00D775EE">
        <w:rPr>
          <w:rFonts w:cstheme="minorHAnsi"/>
          <w:sz w:val="24"/>
          <w:szCs w:val="24"/>
          <w:lang w:val="el-GR"/>
        </w:rPr>
        <w:t>Κύπρου</w:t>
      </w:r>
      <w:r w:rsidR="00D775EE" w:rsidRPr="00D775EE">
        <w:rPr>
          <w:rFonts w:cstheme="minorHAnsi"/>
          <w:sz w:val="24"/>
          <w:szCs w:val="24"/>
          <w:lang w:val="el-GR"/>
        </w:rPr>
        <w:t xml:space="preserve"> </w:t>
      </w:r>
      <w:r w:rsidR="00D775EE">
        <w:rPr>
          <w:rFonts w:cstheme="minorHAnsi"/>
          <w:sz w:val="24"/>
          <w:szCs w:val="24"/>
          <w:lang w:val="el-GR"/>
        </w:rPr>
        <w:t>τροποποιήθηκε</w:t>
      </w:r>
      <w:r w:rsidR="00C328E9" w:rsidRPr="00D775EE">
        <w:rPr>
          <w:sz w:val="24"/>
          <w:szCs w:val="24"/>
          <w:lang w:val="el-GR"/>
        </w:rPr>
        <w:t xml:space="preserve"> </w:t>
      </w:r>
      <w:r w:rsidR="00D775EE">
        <w:rPr>
          <w:sz w:val="24"/>
          <w:szCs w:val="24"/>
          <w:lang w:val="el-GR"/>
        </w:rPr>
        <w:t>στις</w:t>
      </w:r>
      <w:r w:rsidR="00C328E9" w:rsidRPr="00D775EE">
        <w:rPr>
          <w:sz w:val="24"/>
          <w:szCs w:val="24"/>
          <w:lang w:val="el-GR"/>
        </w:rPr>
        <w:t xml:space="preserve"> 29</w:t>
      </w:r>
      <w:r w:rsidR="00C328E9" w:rsidRPr="00B95983">
        <w:rPr>
          <w:sz w:val="24"/>
          <w:szCs w:val="24"/>
        </w:rPr>
        <w:t> </w:t>
      </w:r>
      <w:r w:rsidR="00D775EE">
        <w:rPr>
          <w:sz w:val="24"/>
          <w:szCs w:val="24"/>
          <w:lang w:val="el-GR"/>
        </w:rPr>
        <w:t>Δεκεμβρίου</w:t>
      </w:r>
      <w:r w:rsidR="00C328E9" w:rsidRPr="00B95983">
        <w:rPr>
          <w:sz w:val="24"/>
          <w:szCs w:val="24"/>
        </w:rPr>
        <w:t> </w:t>
      </w:r>
      <w:r w:rsidR="00C328E9" w:rsidRPr="00D775EE">
        <w:rPr>
          <w:sz w:val="24"/>
          <w:szCs w:val="24"/>
          <w:lang w:val="el-GR"/>
        </w:rPr>
        <w:t xml:space="preserve">2022 </w:t>
      </w:r>
      <w:r w:rsidR="00D775EE">
        <w:rPr>
          <w:sz w:val="24"/>
          <w:szCs w:val="24"/>
          <w:lang w:val="el-GR"/>
        </w:rPr>
        <w:t>και</w:t>
      </w:r>
      <w:r w:rsidR="00D775EE" w:rsidRPr="00D775EE">
        <w:rPr>
          <w:sz w:val="24"/>
          <w:szCs w:val="24"/>
          <w:lang w:val="el-GR"/>
        </w:rPr>
        <w:t xml:space="preserve"> </w:t>
      </w:r>
      <w:r w:rsidR="00D775EE">
        <w:rPr>
          <w:sz w:val="24"/>
          <w:szCs w:val="24"/>
          <w:lang w:val="el-GR"/>
        </w:rPr>
        <w:t>δυνάμει</w:t>
      </w:r>
      <w:r w:rsidR="00D775EE" w:rsidRPr="00D775EE">
        <w:rPr>
          <w:sz w:val="24"/>
          <w:szCs w:val="24"/>
          <w:lang w:val="el-GR"/>
        </w:rPr>
        <w:t xml:space="preserve"> </w:t>
      </w:r>
      <w:r w:rsidR="00D775EE">
        <w:rPr>
          <w:sz w:val="24"/>
          <w:szCs w:val="24"/>
          <w:lang w:val="el-GR"/>
        </w:rPr>
        <w:t>του</w:t>
      </w:r>
      <w:r w:rsidR="00D775EE" w:rsidRPr="00D775EE">
        <w:rPr>
          <w:sz w:val="24"/>
          <w:szCs w:val="24"/>
          <w:lang w:val="el-GR"/>
        </w:rPr>
        <w:t xml:space="preserve"> </w:t>
      </w:r>
      <w:r w:rsidR="00D775EE">
        <w:rPr>
          <w:sz w:val="24"/>
          <w:szCs w:val="24"/>
          <w:lang w:val="el-GR"/>
        </w:rPr>
        <w:t>Πάγιου</w:t>
      </w:r>
      <w:r w:rsidR="00D775EE" w:rsidRPr="00D775EE">
        <w:rPr>
          <w:sz w:val="24"/>
          <w:szCs w:val="24"/>
          <w:lang w:val="el-GR"/>
        </w:rPr>
        <w:t xml:space="preserve"> </w:t>
      </w:r>
      <w:r w:rsidR="00D775EE">
        <w:rPr>
          <w:sz w:val="24"/>
          <w:szCs w:val="24"/>
          <w:lang w:val="el-GR"/>
        </w:rPr>
        <w:t>Αστυνομικού Διατάγματος</w:t>
      </w:r>
      <w:r w:rsidR="00C328E9" w:rsidRPr="00D775EE">
        <w:rPr>
          <w:sz w:val="24"/>
          <w:szCs w:val="24"/>
          <w:lang w:val="el-GR"/>
        </w:rPr>
        <w:t xml:space="preserve"> </w:t>
      </w:r>
      <w:proofErr w:type="spellStart"/>
      <w:r w:rsidR="00D775EE">
        <w:rPr>
          <w:sz w:val="24"/>
          <w:szCs w:val="24"/>
          <w:lang w:val="el-GR"/>
        </w:rPr>
        <w:t>Αρ</w:t>
      </w:r>
      <w:proofErr w:type="spellEnd"/>
      <w:r w:rsidR="00C328E9" w:rsidRPr="00D775EE">
        <w:rPr>
          <w:sz w:val="24"/>
          <w:szCs w:val="24"/>
          <w:lang w:val="el-GR"/>
        </w:rPr>
        <w:t xml:space="preserve">. 1/10 </w:t>
      </w:r>
      <w:r w:rsidR="00D775EE">
        <w:rPr>
          <w:sz w:val="24"/>
          <w:szCs w:val="24"/>
          <w:lang w:val="el-GR"/>
        </w:rPr>
        <w:t>της</w:t>
      </w:r>
      <w:r w:rsidR="00C328E9" w:rsidRPr="00D775EE">
        <w:rPr>
          <w:sz w:val="24"/>
          <w:szCs w:val="24"/>
          <w:lang w:val="el-GR"/>
        </w:rPr>
        <w:t xml:space="preserve"> 9</w:t>
      </w:r>
      <w:r w:rsidR="00D775EE" w:rsidRPr="00D775EE">
        <w:rPr>
          <w:sz w:val="24"/>
          <w:szCs w:val="24"/>
          <w:vertAlign w:val="superscript"/>
          <w:lang w:val="el-GR"/>
        </w:rPr>
        <w:t>ης</w:t>
      </w:r>
      <w:r w:rsidR="00D775EE">
        <w:rPr>
          <w:sz w:val="24"/>
          <w:szCs w:val="24"/>
          <w:lang w:val="el-GR"/>
        </w:rPr>
        <w:t xml:space="preserve"> Μαρτίου</w:t>
      </w:r>
      <w:r w:rsidR="00C328E9" w:rsidRPr="00D775EE">
        <w:rPr>
          <w:sz w:val="24"/>
          <w:szCs w:val="24"/>
          <w:lang w:val="el-GR"/>
        </w:rPr>
        <w:t xml:space="preserve"> 2023, </w:t>
      </w:r>
      <w:r w:rsidR="00D775EE">
        <w:rPr>
          <w:sz w:val="24"/>
          <w:szCs w:val="24"/>
          <w:lang w:val="el-GR"/>
        </w:rPr>
        <w:t>ο Διευθυντής της</w:t>
      </w:r>
      <w:r w:rsidR="00C328E9" w:rsidRPr="00D775EE">
        <w:rPr>
          <w:sz w:val="24"/>
          <w:szCs w:val="24"/>
          <w:lang w:val="el-GR"/>
        </w:rPr>
        <w:t xml:space="preserve"> </w:t>
      </w:r>
      <w:r w:rsidR="00C328E9" w:rsidRPr="00B95983">
        <w:rPr>
          <w:sz w:val="24"/>
          <w:szCs w:val="24"/>
        </w:rPr>
        <w:t>PISD</w:t>
      </w:r>
      <w:r w:rsidR="00C328E9" w:rsidRPr="00D775EE">
        <w:rPr>
          <w:sz w:val="24"/>
          <w:szCs w:val="24"/>
          <w:lang w:val="el-GR"/>
        </w:rPr>
        <w:t xml:space="preserve"> </w:t>
      </w:r>
      <w:r w:rsidR="00D775EE">
        <w:rPr>
          <w:sz w:val="24"/>
          <w:szCs w:val="24"/>
          <w:lang w:val="el-GR"/>
        </w:rPr>
        <w:t>είναι υποταγμένος διοικητικά και λειτουργικά</w:t>
      </w:r>
      <w:r w:rsidR="00C328E9" w:rsidRPr="00D775EE">
        <w:rPr>
          <w:sz w:val="24"/>
          <w:szCs w:val="24"/>
          <w:lang w:val="el-GR"/>
        </w:rPr>
        <w:t xml:space="preserve"> </w:t>
      </w:r>
      <w:r w:rsidR="00D775EE">
        <w:rPr>
          <w:sz w:val="24"/>
          <w:szCs w:val="24"/>
          <w:lang w:val="el-GR"/>
        </w:rPr>
        <w:t xml:space="preserve">στον Υπαρχηγό της </w:t>
      </w:r>
      <w:r w:rsidR="009C4E34">
        <w:rPr>
          <w:sz w:val="24"/>
          <w:szCs w:val="24"/>
          <w:lang w:val="el-GR"/>
        </w:rPr>
        <w:t>Αστυνομία</w:t>
      </w:r>
      <w:r w:rsidR="00D775EE">
        <w:rPr>
          <w:sz w:val="24"/>
          <w:szCs w:val="24"/>
          <w:lang w:val="el-GR"/>
        </w:rPr>
        <w:t>ς</w:t>
      </w:r>
      <w:r w:rsidR="00C328E9" w:rsidRPr="00D775EE">
        <w:rPr>
          <w:sz w:val="24"/>
          <w:szCs w:val="24"/>
          <w:lang w:val="el-GR"/>
        </w:rPr>
        <w:t>.</w:t>
      </w:r>
      <w:r w:rsidR="00C328E9" w:rsidRPr="00D775EE">
        <w:rPr>
          <w:lang w:val="el-GR"/>
        </w:rPr>
        <w:t xml:space="preserve"> </w:t>
      </w:r>
      <w:bookmarkEnd w:id="237"/>
      <w:r w:rsidR="00D775EE">
        <w:rPr>
          <w:lang w:val="el-GR"/>
        </w:rPr>
        <w:t>Η</w:t>
      </w:r>
      <w:r w:rsidR="00D775EE" w:rsidRPr="00D775EE">
        <w:rPr>
          <w:lang w:val="el-GR"/>
        </w:rPr>
        <w:t xml:space="preserve"> </w:t>
      </w:r>
      <w:r w:rsidR="00220066" w:rsidRPr="00B95983">
        <w:rPr>
          <w:rFonts w:cstheme="minorHAnsi"/>
          <w:sz w:val="24"/>
          <w:szCs w:val="24"/>
        </w:rPr>
        <w:t>PSID</w:t>
      </w:r>
      <w:r w:rsidR="00220066" w:rsidRPr="00D775EE">
        <w:rPr>
          <w:rFonts w:cstheme="minorHAnsi"/>
          <w:sz w:val="24"/>
          <w:szCs w:val="24"/>
          <w:lang w:val="el-GR"/>
        </w:rPr>
        <w:t xml:space="preserve"> </w:t>
      </w:r>
      <w:r w:rsidR="00D775EE">
        <w:rPr>
          <w:rFonts w:cstheme="minorHAnsi"/>
          <w:sz w:val="24"/>
          <w:szCs w:val="24"/>
          <w:lang w:val="el-GR"/>
        </w:rPr>
        <w:t>έχει</w:t>
      </w:r>
      <w:r w:rsidR="00D775EE" w:rsidRPr="00D775EE">
        <w:rPr>
          <w:rFonts w:cstheme="minorHAnsi"/>
          <w:sz w:val="24"/>
          <w:szCs w:val="24"/>
          <w:lang w:val="el-GR"/>
        </w:rPr>
        <w:t xml:space="preserve"> </w:t>
      </w:r>
      <w:r w:rsidR="00D775EE">
        <w:rPr>
          <w:rFonts w:cstheme="minorHAnsi"/>
          <w:sz w:val="24"/>
          <w:szCs w:val="24"/>
          <w:lang w:val="el-GR"/>
        </w:rPr>
        <w:t>στην</w:t>
      </w:r>
      <w:r w:rsidR="00D775EE" w:rsidRPr="00D775EE">
        <w:rPr>
          <w:rFonts w:cstheme="minorHAnsi"/>
          <w:sz w:val="24"/>
          <w:szCs w:val="24"/>
          <w:lang w:val="el-GR"/>
        </w:rPr>
        <w:t xml:space="preserve"> </w:t>
      </w:r>
      <w:r w:rsidR="00D775EE">
        <w:rPr>
          <w:rFonts w:cstheme="minorHAnsi"/>
          <w:sz w:val="24"/>
          <w:szCs w:val="24"/>
          <w:lang w:val="el-GR"/>
        </w:rPr>
        <w:t>διάθεση</w:t>
      </w:r>
      <w:r w:rsidR="00D775EE" w:rsidRPr="00D775EE">
        <w:rPr>
          <w:rFonts w:cstheme="minorHAnsi"/>
          <w:sz w:val="24"/>
          <w:szCs w:val="24"/>
          <w:lang w:val="el-GR"/>
        </w:rPr>
        <w:t xml:space="preserve"> </w:t>
      </w:r>
      <w:r w:rsidR="00D775EE">
        <w:rPr>
          <w:rFonts w:cstheme="minorHAnsi"/>
          <w:sz w:val="24"/>
          <w:szCs w:val="24"/>
          <w:lang w:val="el-GR"/>
        </w:rPr>
        <w:t>της</w:t>
      </w:r>
      <w:r w:rsidR="00220066" w:rsidRPr="00D775EE">
        <w:rPr>
          <w:rFonts w:cstheme="minorHAnsi"/>
          <w:sz w:val="24"/>
          <w:szCs w:val="24"/>
          <w:lang w:val="el-GR"/>
        </w:rPr>
        <w:t xml:space="preserve"> </w:t>
      </w:r>
      <w:r w:rsidR="00D775EE">
        <w:rPr>
          <w:rFonts w:cstheme="minorHAnsi"/>
          <w:sz w:val="24"/>
          <w:szCs w:val="24"/>
          <w:lang w:val="el-GR"/>
        </w:rPr>
        <w:t>ένα</w:t>
      </w:r>
      <w:r w:rsidR="00D775EE" w:rsidRPr="00D775EE">
        <w:rPr>
          <w:rFonts w:cstheme="minorHAnsi"/>
          <w:sz w:val="24"/>
          <w:szCs w:val="24"/>
          <w:lang w:val="el-GR"/>
        </w:rPr>
        <w:t xml:space="preserve"> </w:t>
      </w:r>
      <w:r w:rsidR="00D775EE">
        <w:rPr>
          <w:rFonts w:cstheme="minorHAnsi"/>
          <w:sz w:val="24"/>
          <w:szCs w:val="24"/>
          <w:lang w:val="el-GR"/>
        </w:rPr>
        <w:t>ταμείο</w:t>
      </w:r>
      <w:r w:rsidR="00D775EE" w:rsidRPr="00D775EE">
        <w:rPr>
          <w:rFonts w:cstheme="minorHAnsi"/>
          <w:sz w:val="24"/>
          <w:szCs w:val="24"/>
          <w:lang w:val="el-GR"/>
        </w:rPr>
        <w:t xml:space="preserve"> </w:t>
      </w:r>
      <w:r w:rsidR="00D775EE">
        <w:rPr>
          <w:rFonts w:cstheme="minorHAnsi"/>
          <w:sz w:val="24"/>
          <w:szCs w:val="24"/>
          <w:lang w:val="el-GR"/>
        </w:rPr>
        <w:t>ειδικών</w:t>
      </w:r>
      <w:r w:rsidR="00D775EE" w:rsidRPr="00D775EE">
        <w:rPr>
          <w:rFonts w:cstheme="minorHAnsi"/>
          <w:sz w:val="24"/>
          <w:szCs w:val="24"/>
          <w:lang w:val="el-GR"/>
        </w:rPr>
        <w:t xml:space="preserve"> </w:t>
      </w:r>
      <w:r w:rsidR="00D775EE">
        <w:rPr>
          <w:rFonts w:cstheme="minorHAnsi"/>
          <w:sz w:val="24"/>
          <w:szCs w:val="24"/>
          <w:lang w:val="el-GR"/>
        </w:rPr>
        <w:t>υπηρεσιών</w:t>
      </w:r>
      <w:r w:rsidR="00D775EE" w:rsidRPr="00D775EE">
        <w:rPr>
          <w:rFonts w:cstheme="minorHAnsi"/>
          <w:sz w:val="24"/>
          <w:szCs w:val="24"/>
          <w:lang w:val="el-GR"/>
        </w:rPr>
        <w:t xml:space="preserve"> </w:t>
      </w:r>
      <w:r w:rsidR="00D775EE">
        <w:rPr>
          <w:rFonts w:cstheme="minorHAnsi"/>
          <w:sz w:val="24"/>
          <w:szCs w:val="24"/>
          <w:lang w:val="el-GR"/>
        </w:rPr>
        <w:t>που</w:t>
      </w:r>
      <w:r w:rsidR="00220066" w:rsidRPr="00D775EE">
        <w:rPr>
          <w:rFonts w:cstheme="minorHAnsi"/>
          <w:sz w:val="24"/>
          <w:szCs w:val="24"/>
          <w:lang w:val="el-GR"/>
        </w:rPr>
        <w:t xml:space="preserve"> </w:t>
      </w:r>
      <w:r w:rsidR="00D775EE">
        <w:rPr>
          <w:rFonts w:cstheme="minorHAnsi"/>
          <w:sz w:val="24"/>
          <w:szCs w:val="24"/>
          <w:lang w:val="el-GR"/>
        </w:rPr>
        <w:t>ορίζεται</w:t>
      </w:r>
      <w:r w:rsidR="00D775EE" w:rsidRPr="00D775EE">
        <w:rPr>
          <w:rFonts w:cstheme="minorHAnsi"/>
          <w:sz w:val="24"/>
          <w:szCs w:val="24"/>
          <w:lang w:val="el-GR"/>
        </w:rPr>
        <w:t xml:space="preserve"> </w:t>
      </w:r>
      <w:r w:rsidR="00D775EE">
        <w:rPr>
          <w:rFonts w:cstheme="minorHAnsi"/>
          <w:sz w:val="24"/>
          <w:szCs w:val="24"/>
          <w:lang w:val="el-GR"/>
        </w:rPr>
        <w:t>για</w:t>
      </w:r>
      <w:r w:rsidR="00D775EE" w:rsidRPr="00D775EE">
        <w:rPr>
          <w:rFonts w:cstheme="minorHAnsi"/>
          <w:sz w:val="24"/>
          <w:szCs w:val="24"/>
          <w:lang w:val="el-GR"/>
        </w:rPr>
        <w:t xml:space="preserve"> </w:t>
      </w:r>
      <w:r w:rsidR="00D775EE">
        <w:rPr>
          <w:rFonts w:cstheme="minorHAnsi"/>
          <w:sz w:val="24"/>
          <w:szCs w:val="24"/>
          <w:lang w:val="el-GR"/>
        </w:rPr>
        <w:t>οποιαδήποτε</w:t>
      </w:r>
      <w:r w:rsidR="00D775EE" w:rsidRPr="00D775EE">
        <w:rPr>
          <w:rFonts w:cstheme="minorHAnsi"/>
          <w:sz w:val="24"/>
          <w:szCs w:val="24"/>
          <w:lang w:val="el-GR"/>
        </w:rPr>
        <w:t xml:space="preserve"> </w:t>
      </w:r>
      <w:r w:rsidR="00D775EE">
        <w:rPr>
          <w:rFonts w:cstheme="minorHAnsi"/>
          <w:sz w:val="24"/>
          <w:szCs w:val="24"/>
          <w:lang w:val="el-GR"/>
        </w:rPr>
        <w:t>έξοδα που σχετίζονται με την συλλογή πληροφοριών και την διοργάνωση αστυνομικών επιχειρήσεων</w:t>
      </w:r>
      <w:r w:rsidR="00220066" w:rsidRPr="00D775EE">
        <w:rPr>
          <w:rFonts w:cstheme="minorHAnsi"/>
          <w:sz w:val="24"/>
          <w:szCs w:val="24"/>
          <w:lang w:val="el-GR"/>
        </w:rPr>
        <w:t xml:space="preserve">.  </w:t>
      </w:r>
    </w:p>
    <w:p w14:paraId="118C2433" w14:textId="77777777" w:rsidR="00EB6938" w:rsidRPr="00D775EE" w:rsidRDefault="00EB6938" w:rsidP="00EB6938">
      <w:pPr>
        <w:pStyle w:val="ListParagraph"/>
        <w:rPr>
          <w:rFonts w:cstheme="minorHAnsi"/>
          <w:sz w:val="24"/>
          <w:szCs w:val="24"/>
          <w:lang w:val="el-GR"/>
        </w:rPr>
      </w:pPr>
    </w:p>
    <w:p w14:paraId="3AD551A8" w14:textId="30AA927C" w:rsidR="00220066" w:rsidRPr="00B56C91" w:rsidRDefault="00D775EE" w:rsidP="00EB6938">
      <w:pPr>
        <w:keepNext/>
        <w:numPr>
          <w:ilvl w:val="0"/>
          <w:numId w:val="1"/>
        </w:numPr>
        <w:tabs>
          <w:tab w:val="left" w:pos="709"/>
        </w:tabs>
        <w:ind w:left="0" w:firstLine="0"/>
        <w:rPr>
          <w:rFonts w:cstheme="minorHAnsi"/>
          <w:sz w:val="24"/>
          <w:szCs w:val="24"/>
          <w:lang w:val="el-GR"/>
        </w:rPr>
      </w:pPr>
      <w:bookmarkStart w:id="238" w:name="_Hlk132878970"/>
      <w:r>
        <w:rPr>
          <w:rFonts w:cstheme="minorHAnsi"/>
          <w:sz w:val="24"/>
          <w:szCs w:val="24"/>
          <w:lang w:val="el-GR"/>
        </w:rPr>
        <w:t>Η</w:t>
      </w:r>
      <w:r w:rsidRPr="00B56C91">
        <w:rPr>
          <w:rFonts w:cstheme="minorHAnsi"/>
          <w:sz w:val="24"/>
          <w:szCs w:val="24"/>
          <w:lang w:val="el-GR"/>
        </w:rPr>
        <w:t xml:space="preserve"> </w:t>
      </w:r>
      <w:r>
        <w:rPr>
          <w:rFonts w:cstheme="minorHAnsi"/>
          <w:sz w:val="24"/>
          <w:szCs w:val="24"/>
          <w:lang w:val="el-GR"/>
        </w:rPr>
        <w:t>επάνδρωση</w:t>
      </w:r>
      <w:r w:rsidRPr="00B56C91">
        <w:rPr>
          <w:rFonts w:cstheme="minorHAnsi"/>
          <w:sz w:val="24"/>
          <w:szCs w:val="24"/>
          <w:lang w:val="el-GR"/>
        </w:rPr>
        <w:t xml:space="preserve"> </w:t>
      </w:r>
      <w:r>
        <w:rPr>
          <w:rFonts w:cstheme="minorHAnsi"/>
          <w:sz w:val="24"/>
          <w:szCs w:val="24"/>
          <w:lang w:val="el-GR"/>
        </w:rPr>
        <w:t>της</w:t>
      </w:r>
      <w:r w:rsidR="00EB6938" w:rsidRPr="00B56C91">
        <w:rPr>
          <w:rFonts w:cstheme="minorHAnsi"/>
          <w:sz w:val="24"/>
          <w:szCs w:val="24"/>
          <w:lang w:val="el-GR"/>
        </w:rPr>
        <w:t xml:space="preserve"> </w:t>
      </w:r>
      <w:r w:rsidR="00EB6938" w:rsidRPr="00B95983">
        <w:rPr>
          <w:rFonts w:cstheme="minorHAnsi"/>
          <w:sz w:val="24"/>
          <w:szCs w:val="24"/>
        </w:rPr>
        <w:t>PSID</w:t>
      </w:r>
      <w:r w:rsidR="00EB6938" w:rsidRPr="00B56C91">
        <w:rPr>
          <w:rFonts w:cstheme="minorHAnsi"/>
          <w:sz w:val="24"/>
          <w:szCs w:val="24"/>
          <w:lang w:val="el-GR"/>
        </w:rPr>
        <w:t xml:space="preserve"> </w:t>
      </w:r>
      <w:r>
        <w:rPr>
          <w:rFonts w:cstheme="minorHAnsi"/>
          <w:sz w:val="24"/>
          <w:szCs w:val="24"/>
          <w:lang w:val="el-GR"/>
        </w:rPr>
        <w:t>ρυθμίζεται</w:t>
      </w:r>
      <w:r w:rsidRPr="00B56C91">
        <w:rPr>
          <w:rFonts w:cstheme="minorHAnsi"/>
          <w:sz w:val="24"/>
          <w:szCs w:val="24"/>
          <w:lang w:val="el-GR"/>
        </w:rPr>
        <w:t xml:space="preserve"> </w:t>
      </w:r>
      <w:r>
        <w:rPr>
          <w:rFonts w:cstheme="minorHAnsi"/>
          <w:sz w:val="24"/>
          <w:szCs w:val="24"/>
          <w:lang w:val="el-GR"/>
        </w:rPr>
        <w:t>από</w:t>
      </w:r>
      <w:r w:rsidRPr="00B56C91">
        <w:rPr>
          <w:rFonts w:cstheme="minorHAnsi"/>
          <w:sz w:val="24"/>
          <w:szCs w:val="24"/>
          <w:lang w:val="el-GR"/>
        </w:rPr>
        <w:t xml:space="preserve"> </w:t>
      </w:r>
      <w:r>
        <w:rPr>
          <w:rFonts w:cstheme="minorHAnsi"/>
          <w:sz w:val="24"/>
          <w:szCs w:val="24"/>
          <w:lang w:val="el-GR"/>
        </w:rPr>
        <w:t>το</w:t>
      </w:r>
      <w:r w:rsidRPr="00B56C91">
        <w:rPr>
          <w:rFonts w:cstheme="minorHAnsi"/>
          <w:sz w:val="24"/>
          <w:szCs w:val="24"/>
          <w:lang w:val="el-GR"/>
        </w:rPr>
        <w:t xml:space="preserve"> </w:t>
      </w:r>
      <w:r>
        <w:rPr>
          <w:rFonts w:cstheme="minorHAnsi"/>
          <w:sz w:val="24"/>
          <w:szCs w:val="24"/>
          <w:lang w:val="el-GR"/>
        </w:rPr>
        <w:t>Αστυνομικό</w:t>
      </w:r>
      <w:r w:rsidRPr="00B56C91">
        <w:rPr>
          <w:rFonts w:cstheme="minorHAnsi"/>
          <w:sz w:val="24"/>
          <w:szCs w:val="24"/>
          <w:lang w:val="el-GR"/>
        </w:rPr>
        <w:t xml:space="preserve"> </w:t>
      </w:r>
      <w:r>
        <w:rPr>
          <w:rFonts w:cstheme="minorHAnsi"/>
          <w:sz w:val="24"/>
          <w:szCs w:val="24"/>
          <w:lang w:val="el-GR"/>
        </w:rPr>
        <w:t>Πάγιο</w:t>
      </w:r>
      <w:r w:rsidRPr="00B56C91">
        <w:rPr>
          <w:rFonts w:cstheme="minorHAnsi"/>
          <w:sz w:val="24"/>
          <w:szCs w:val="24"/>
          <w:lang w:val="el-GR"/>
        </w:rPr>
        <w:t xml:space="preserve"> </w:t>
      </w:r>
      <w:r>
        <w:rPr>
          <w:rFonts w:cstheme="minorHAnsi"/>
          <w:sz w:val="24"/>
          <w:szCs w:val="24"/>
          <w:lang w:val="el-GR"/>
        </w:rPr>
        <w:t>Διάταγμα</w:t>
      </w:r>
      <w:r w:rsidRPr="00B56C91">
        <w:rPr>
          <w:rFonts w:cstheme="minorHAnsi"/>
          <w:sz w:val="24"/>
          <w:szCs w:val="24"/>
          <w:lang w:val="el-GR"/>
        </w:rPr>
        <w:t xml:space="preserve"> </w:t>
      </w:r>
      <w:proofErr w:type="spellStart"/>
      <w:r>
        <w:rPr>
          <w:rFonts w:cstheme="minorHAnsi"/>
          <w:sz w:val="24"/>
          <w:szCs w:val="24"/>
          <w:lang w:val="el-GR"/>
        </w:rPr>
        <w:t>Αρ</w:t>
      </w:r>
      <w:proofErr w:type="spellEnd"/>
      <w:r w:rsidRPr="00B56C91">
        <w:rPr>
          <w:rFonts w:cstheme="minorHAnsi"/>
          <w:sz w:val="24"/>
          <w:szCs w:val="24"/>
          <w:lang w:val="el-GR"/>
        </w:rPr>
        <w:t>.</w:t>
      </w:r>
      <w:r w:rsidR="00EB6938" w:rsidRPr="00B56C91">
        <w:rPr>
          <w:rFonts w:cstheme="minorHAnsi"/>
          <w:sz w:val="24"/>
          <w:szCs w:val="24"/>
          <w:lang w:val="el-GR"/>
        </w:rPr>
        <w:t xml:space="preserve"> 1/86, </w:t>
      </w:r>
      <w:r>
        <w:rPr>
          <w:rFonts w:cstheme="minorHAnsi"/>
          <w:sz w:val="24"/>
          <w:szCs w:val="24"/>
          <w:lang w:val="el-GR"/>
        </w:rPr>
        <w:t>παράγραφ</w:t>
      </w:r>
      <w:r w:rsidR="00B56C91">
        <w:rPr>
          <w:rFonts w:cstheme="minorHAnsi"/>
          <w:sz w:val="24"/>
          <w:szCs w:val="24"/>
          <w:lang w:val="el-GR"/>
        </w:rPr>
        <w:t>ο</w:t>
      </w:r>
      <w:r w:rsidR="00EB6938" w:rsidRPr="00B56C91">
        <w:rPr>
          <w:rFonts w:cstheme="minorHAnsi"/>
          <w:sz w:val="24"/>
          <w:szCs w:val="24"/>
          <w:lang w:val="el-GR"/>
        </w:rPr>
        <w:t xml:space="preserve"> 3, </w:t>
      </w:r>
      <w:r w:rsidR="00B56C91">
        <w:rPr>
          <w:rFonts w:cstheme="minorHAnsi"/>
          <w:sz w:val="24"/>
          <w:szCs w:val="24"/>
          <w:lang w:val="el-GR"/>
        </w:rPr>
        <w:t>που</w:t>
      </w:r>
      <w:r w:rsidR="00B56C91" w:rsidRPr="00B56C91">
        <w:rPr>
          <w:rFonts w:cstheme="minorHAnsi"/>
          <w:sz w:val="24"/>
          <w:szCs w:val="24"/>
          <w:lang w:val="el-GR"/>
        </w:rPr>
        <w:t xml:space="preserve"> </w:t>
      </w:r>
      <w:r w:rsidR="00B56C91">
        <w:rPr>
          <w:rFonts w:cstheme="minorHAnsi"/>
          <w:sz w:val="24"/>
          <w:szCs w:val="24"/>
          <w:lang w:val="el-GR"/>
        </w:rPr>
        <w:t>προβλέπει</w:t>
      </w:r>
      <w:r w:rsidR="00B56C91" w:rsidRPr="00B56C91">
        <w:rPr>
          <w:rFonts w:cstheme="minorHAnsi"/>
          <w:sz w:val="24"/>
          <w:szCs w:val="24"/>
          <w:lang w:val="el-GR"/>
        </w:rPr>
        <w:t xml:space="preserve"> </w:t>
      </w:r>
      <w:r w:rsidR="00B56C91">
        <w:rPr>
          <w:rFonts w:cstheme="minorHAnsi"/>
          <w:sz w:val="24"/>
          <w:szCs w:val="24"/>
          <w:lang w:val="el-GR"/>
        </w:rPr>
        <w:t>ότι</w:t>
      </w:r>
      <w:r w:rsidR="00B56C91" w:rsidRPr="00B56C91">
        <w:rPr>
          <w:rFonts w:cstheme="minorHAnsi"/>
          <w:sz w:val="24"/>
          <w:szCs w:val="24"/>
          <w:lang w:val="el-GR"/>
        </w:rPr>
        <w:t xml:space="preserve"> </w:t>
      </w:r>
      <w:r w:rsidR="00B56C91">
        <w:rPr>
          <w:rFonts w:cstheme="minorHAnsi"/>
          <w:sz w:val="24"/>
          <w:szCs w:val="24"/>
          <w:lang w:val="el-GR"/>
        </w:rPr>
        <w:t>τα</w:t>
      </w:r>
      <w:r w:rsidR="00B56C91" w:rsidRPr="00B56C91">
        <w:rPr>
          <w:rFonts w:cstheme="minorHAnsi"/>
          <w:sz w:val="24"/>
          <w:szCs w:val="24"/>
          <w:lang w:val="el-GR"/>
        </w:rPr>
        <w:t xml:space="preserve"> </w:t>
      </w:r>
      <w:r w:rsidR="00B56C91">
        <w:rPr>
          <w:rFonts w:cstheme="minorHAnsi"/>
          <w:sz w:val="24"/>
          <w:szCs w:val="24"/>
          <w:lang w:val="el-GR"/>
        </w:rPr>
        <w:t>μέλη</w:t>
      </w:r>
      <w:r w:rsidR="00B56C91" w:rsidRPr="00B56C91">
        <w:rPr>
          <w:rFonts w:cstheme="minorHAnsi"/>
          <w:sz w:val="24"/>
          <w:szCs w:val="24"/>
          <w:lang w:val="el-GR"/>
        </w:rPr>
        <w:t xml:space="preserve"> </w:t>
      </w:r>
      <w:r w:rsidR="00B56C91">
        <w:rPr>
          <w:rFonts w:cstheme="minorHAnsi"/>
          <w:sz w:val="24"/>
          <w:szCs w:val="24"/>
          <w:lang w:val="el-GR"/>
        </w:rPr>
        <w:t>της</w:t>
      </w:r>
      <w:r w:rsidR="00B56C91" w:rsidRPr="00B56C91">
        <w:rPr>
          <w:rFonts w:cstheme="minorHAnsi"/>
          <w:sz w:val="24"/>
          <w:szCs w:val="24"/>
          <w:lang w:val="el-GR"/>
        </w:rPr>
        <w:t xml:space="preserve"> </w:t>
      </w:r>
      <w:r w:rsidR="009C4E34">
        <w:rPr>
          <w:rFonts w:cstheme="minorHAnsi"/>
          <w:sz w:val="24"/>
          <w:szCs w:val="24"/>
          <w:lang w:val="el-GR"/>
        </w:rPr>
        <w:t>Αστυνομία</w:t>
      </w:r>
      <w:r w:rsidR="00B56C91">
        <w:rPr>
          <w:rFonts w:cstheme="minorHAnsi"/>
          <w:sz w:val="24"/>
          <w:szCs w:val="24"/>
          <w:lang w:val="el-GR"/>
        </w:rPr>
        <w:t>ς</w:t>
      </w:r>
      <w:r w:rsidR="00EB6938" w:rsidRPr="00B56C91">
        <w:rPr>
          <w:rFonts w:cstheme="minorHAnsi"/>
          <w:sz w:val="24"/>
          <w:szCs w:val="24"/>
          <w:lang w:val="el-GR"/>
        </w:rPr>
        <w:t xml:space="preserve"> </w:t>
      </w:r>
      <w:r w:rsidR="00B56C91">
        <w:rPr>
          <w:rFonts w:cstheme="minorHAnsi"/>
          <w:sz w:val="24"/>
          <w:szCs w:val="24"/>
          <w:lang w:val="el-GR"/>
        </w:rPr>
        <w:t>που</w:t>
      </w:r>
      <w:r w:rsidR="00B56C91" w:rsidRPr="00B56C91">
        <w:rPr>
          <w:rFonts w:cstheme="minorHAnsi"/>
          <w:sz w:val="24"/>
          <w:szCs w:val="24"/>
          <w:lang w:val="el-GR"/>
        </w:rPr>
        <w:t xml:space="preserve"> </w:t>
      </w:r>
      <w:r w:rsidR="00B56C91">
        <w:rPr>
          <w:rFonts w:cstheme="minorHAnsi"/>
          <w:sz w:val="24"/>
          <w:szCs w:val="24"/>
          <w:lang w:val="el-GR"/>
        </w:rPr>
        <w:t>θα</w:t>
      </w:r>
      <w:r w:rsidR="00B56C91" w:rsidRPr="00B56C91">
        <w:rPr>
          <w:rFonts w:cstheme="minorHAnsi"/>
          <w:sz w:val="24"/>
          <w:szCs w:val="24"/>
          <w:lang w:val="el-GR"/>
        </w:rPr>
        <w:t xml:space="preserve"> </w:t>
      </w:r>
      <w:r w:rsidR="00B56C91">
        <w:rPr>
          <w:rFonts w:cstheme="minorHAnsi"/>
          <w:sz w:val="24"/>
          <w:szCs w:val="24"/>
          <w:lang w:val="el-GR"/>
        </w:rPr>
        <w:t>διορίζονταν στην</w:t>
      </w:r>
      <w:r w:rsidR="00EB6938" w:rsidRPr="00B56C91">
        <w:rPr>
          <w:rFonts w:cstheme="minorHAnsi"/>
          <w:sz w:val="24"/>
          <w:szCs w:val="24"/>
          <w:lang w:val="el-GR"/>
        </w:rPr>
        <w:t xml:space="preserve"> </w:t>
      </w:r>
      <w:r w:rsidR="00EB6938" w:rsidRPr="00B95983">
        <w:rPr>
          <w:rFonts w:cstheme="minorHAnsi"/>
          <w:sz w:val="24"/>
          <w:szCs w:val="24"/>
        </w:rPr>
        <w:t>PSID</w:t>
      </w:r>
      <w:r w:rsidR="00EB6938" w:rsidRPr="00B56C91">
        <w:rPr>
          <w:rFonts w:cstheme="minorHAnsi"/>
          <w:sz w:val="24"/>
          <w:szCs w:val="24"/>
          <w:lang w:val="el-GR"/>
        </w:rPr>
        <w:t xml:space="preserve">, </w:t>
      </w:r>
      <w:r w:rsidR="00B56C91">
        <w:rPr>
          <w:rFonts w:cstheme="minorHAnsi"/>
          <w:sz w:val="24"/>
          <w:szCs w:val="24"/>
          <w:lang w:val="el-GR"/>
        </w:rPr>
        <w:t>θα πρέπει να αναγνωρίζονται για το ήθος, την εμπιστευτικότητα, την ακεραιότητα, την υπευθυνότητα, την εκτέλεση και την αποφασιστικότητα τους</w:t>
      </w:r>
      <w:r w:rsidR="00EB6938" w:rsidRPr="00B56C91">
        <w:rPr>
          <w:rFonts w:cstheme="minorHAnsi"/>
          <w:sz w:val="24"/>
          <w:szCs w:val="24"/>
          <w:lang w:val="el-GR"/>
        </w:rPr>
        <w:t xml:space="preserve"> </w:t>
      </w:r>
      <w:r w:rsidR="00B56C91">
        <w:rPr>
          <w:rFonts w:cstheme="minorHAnsi"/>
          <w:sz w:val="24"/>
          <w:szCs w:val="24"/>
          <w:lang w:val="el-GR"/>
        </w:rPr>
        <w:t xml:space="preserve">να </w:t>
      </w:r>
      <w:proofErr w:type="spellStart"/>
      <w:r w:rsidR="00B56C91">
        <w:rPr>
          <w:rFonts w:cstheme="minorHAnsi"/>
          <w:sz w:val="24"/>
          <w:szCs w:val="24"/>
          <w:lang w:val="el-GR"/>
        </w:rPr>
        <w:t>εκπληρούν</w:t>
      </w:r>
      <w:proofErr w:type="spellEnd"/>
      <w:r w:rsidR="00B56C91">
        <w:rPr>
          <w:rFonts w:cstheme="minorHAnsi"/>
          <w:sz w:val="24"/>
          <w:szCs w:val="24"/>
          <w:lang w:val="el-GR"/>
        </w:rPr>
        <w:t xml:space="preserve"> την αποστολή τους χ</w:t>
      </w:r>
      <w:r w:rsidR="007946A4">
        <w:rPr>
          <w:rFonts w:cstheme="minorHAnsi"/>
          <w:sz w:val="24"/>
          <w:szCs w:val="24"/>
          <w:lang w:val="el-GR"/>
        </w:rPr>
        <w:t>ω</w:t>
      </w:r>
      <w:r w:rsidR="00B56C91">
        <w:rPr>
          <w:rFonts w:cstheme="minorHAnsi"/>
          <w:sz w:val="24"/>
          <w:szCs w:val="24"/>
          <w:lang w:val="el-GR"/>
        </w:rPr>
        <w:t>ρίς δισταγμό</w:t>
      </w:r>
      <w:r w:rsidR="00EB6938" w:rsidRPr="00B56C91">
        <w:rPr>
          <w:rFonts w:cstheme="minorHAnsi"/>
          <w:sz w:val="24"/>
          <w:szCs w:val="24"/>
          <w:lang w:val="el-GR"/>
        </w:rPr>
        <w:t xml:space="preserve">. </w:t>
      </w:r>
      <w:r w:rsidR="00B56C91">
        <w:rPr>
          <w:rFonts w:cstheme="minorHAnsi"/>
          <w:sz w:val="24"/>
          <w:szCs w:val="24"/>
          <w:lang w:val="el-GR"/>
        </w:rPr>
        <w:t>Επιπρόσθετα</w:t>
      </w:r>
      <w:r w:rsidR="00EB6938" w:rsidRPr="00B56C91">
        <w:rPr>
          <w:rFonts w:cstheme="minorHAnsi"/>
          <w:sz w:val="24"/>
          <w:szCs w:val="24"/>
          <w:lang w:val="el-GR"/>
        </w:rPr>
        <w:t xml:space="preserve">, </w:t>
      </w:r>
      <w:r w:rsidR="00B56C91">
        <w:rPr>
          <w:rFonts w:cstheme="minorHAnsi"/>
          <w:sz w:val="24"/>
          <w:szCs w:val="24"/>
          <w:lang w:val="el-GR"/>
        </w:rPr>
        <w:t>πρέπει</w:t>
      </w:r>
      <w:r w:rsidR="00B56C91" w:rsidRPr="00B56C91">
        <w:rPr>
          <w:rFonts w:cstheme="minorHAnsi"/>
          <w:sz w:val="24"/>
          <w:szCs w:val="24"/>
          <w:lang w:val="el-GR"/>
        </w:rPr>
        <w:t xml:space="preserve"> </w:t>
      </w:r>
      <w:r w:rsidR="00B56C91">
        <w:rPr>
          <w:rFonts w:cstheme="minorHAnsi"/>
          <w:sz w:val="24"/>
          <w:szCs w:val="24"/>
          <w:lang w:val="el-GR"/>
        </w:rPr>
        <w:t>να</w:t>
      </w:r>
      <w:r w:rsidR="00B56C91" w:rsidRPr="00B56C91">
        <w:rPr>
          <w:rFonts w:cstheme="minorHAnsi"/>
          <w:sz w:val="24"/>
          <w:szCs w:val="24"/>
          <w:lang w:val="el-GR"/>
        </w:rPr>
        <w:t xml:space="preserve"> </w:t>
      </w:r>
      <w:r w:rsidR="00B56C91">
        <w:rPr>
          <w:rFonts w:cstheme="minorHAnsi"/>
          <w:sz w:val="24"/>
          <w:szCs w:val="24"/>
          <w:lang w:val="el-GR"/>
        </w:rPr>
        <w:t>τηρούν</w:t>
      </w:r>
      <w:r w:rsidR="00B56C91" w:rsidRPr="00B56C91">
        <w:rPr>
          <w:rFonts w:cstheme="minorHAnsi"/>
          <w:sz w:val="24"/>
          <w:szCs w:val="24"/>
          <w:lang w:val="el-GR"/>
        </w:rPr>
        <w:t xml:space="preserve"> </w:t>
      </w:r>
      <w:r w:rsidR="00B56C91">
        <w:rPr>
          <w:rFonts w:cstheme="minorHAnsi"/>
          <w:sz w:val="24"/>
          <w:szCs w:val="24"/>
          <w:lang w:val="el-GR"/>
        </w:rPr>
        <w:t>τα</w:t>
      </w:r>
      <w:r w:rsidR="00B56C91" w:rsidRPr="00B56C91">
        <w:rPr>
          <w:rFonts w:cstheme="minorHAnsi"/>
          <w:sz w:val="24"/>
          <w:szCs w:val="24"/>
          <w:lang w:val="el-GR"/>
        </w:rPr>
        <w:t xml:space="preserve"> </w:t>
      </w:r>
      <w:r w:rsidR="00B56C91">
        <w:rPr>
          <w:rFonts w:cstheme="minorHAnsi"/>
          <w:sz w:val="24"/>
          <w:szCs w:val="24"/>
          <w:lang w:val="el-GR"/>
        </w:rPr>
        <w:t>ακόλουθα</w:t>
      </w:r>
      <w:r w:rsidR="00B56C91" w:rsidRPr="00B56C91">
        <w:rPr>
          <w:rFonts w:cstheme="minorHAnsi"/>
          <w:sz w:val="24"/>
          <w:szCs w:val="24"/>
          <w:lang w:val="el-GR"/>
        </w:rPr>
        <w:t xml:space="preserve"> </w:t>
      </w:r>
      <w:r w:rsidR="00B56C91">
        <w:rPr>
          <w:rFonts w:cstheme="minorHAnsi"/>
          <w:sz w:val="24"/>
          <w:szCs w:val="24"/>
          <w:lang w:val="el-GR"/>
        </w:rPr>
        <w:t>προσόντα</w:t>
      </w:r>
      <w:r w:rsidR="00EB6938" w:rsidRPr="00B56C91">
        <w:rPr>
          <w:rFonts w:cstheme="minorHAnsi"/>
          <w:sz w:val="24"/>
          <w:szCs w:val="24"/>
          <w:lang w:val="el-GR"/>
        </w:rPr>
        <w:t xml:space="preserve">: (1) </w:t>
      </w:r>
      <w:r w:rsidR="00B56C91">
        <w:rPr>
          <w:rFonts w:cstheme="minorHAnsi"/>
          <w:sz w:val="24"/>
          <w:szCs w:val="24"/>
          <w:lang w:val="el-GR"/>
        </w:rPr>
        <w:t>πλούσια</w:t>
      </w:r>
      <w:r w:rsidR="00B56C91" w:rsidRPr="00B56C91">
        <w:rPr>
          <w:rFonts w:cstheme="minorHAnsi"/>
          <w:sz w:val="24"/>
          <w:szCs w:val="24"/>
          <w:lang w:val="el-GR"/>
        </w:rPr>
        <w:t xml:space="preserve"> </w:t>
      </w:r>
      <w:r w:rsidR="00B56C91">
        <w:rPr>
          <w:rFonts w:cstheme="minorHAnsi"/>
          <w:sz w:val="24"/>
          <w:szCs w:val="24"/>
          <w:lang w:val="el-GR"/>
        </w:rPr>
        <w:t>υπηρεσία</w:t>
      </w:r>
      <w:r w:rsidR="00B56C91" w:rsidRPr="00B56C91">
        <w:rPr>
          <w:rFonts w:cstheme="minorHAnsi"/>
          <w:sz w:val="24"/>
          <w:szCs w:val="24"/>
          <w:lang w:val="el-GR"/>
        </w:rPr>
        <w:t xml:space="preserve"> </w:t>
      </w:r>
      <w:r w:rsidR="00B56C91">
        <w:rPr>
          <w:rFonts w:cstheme="minorHAnsi"/>
          <w:sz w:val="24"/>
          <w:szCs w:val="24"/>
          <w:lang w:val="el-GR"/>
        </w:rPr>
        <w:t>πέραν</w:t>
      </w:r>
      <w:r w:rsidR="00B56C91" w:rsidRPr="00B56C91">
        <w:rPr>
          <w:rFonts w:cstheme="minorHAnsi"/>
          <w:sz w:val="24"/>
          <w:szCs w:val="24"/>
          <w:lang w:val="el-GR"/>
        </w:rPr>
        <w:t xml:space="preserve"> </w:t>
      </w:r>
      <w:r w:rsidR="00B56C91">
        <w:rPr>
          <w:rFonts w:cstheme="minorHAnsi"/>
          <w:sz w:val="24"/>
          <w:szCs w:val="24"/>
          <w:lang w:val="el-GR"/>
        </w:rPr>
        <w:t>των</w:t>
      </w:r>
      <w:r w:rsidR="00B56C91" w:rsidRPr="00B56C91">
        <w:rPr>
          <w:rFonts w:cstheme="minorHAnsi"/>
          <w:sz w:val="24"/>
          <w:szCs w:val="24"/>
          <w:lang w:val="el-GR"/>
        </w:rPr>
        <w:t xml:space="preserve"> </w:t>
      </w:r>
      <w:r w:rsidR="00B56C91">
        <w:rPr>
          <w:rFonts w:cstheme="minorHAnsi"/>
          <w:sz w:val="24"/>
          <w:szCs w:val="24"/>
          <w:lang w:val="el-GR"/>
        </w:rPr>
        <w:t>δέκα</w:t>
      </w:r>
      <w:r w:rsidR="00B56C91" w:rsidRPr="00B56C91">
        <w:rPr>
          <w:rFonts w:cstheme="minorHAnsi"/>
          <w:sz w:val="24"/>
          <w:szCs w:val="24"/>
          <w:lang w:val="el-GR"/>
        </w:rPr>
        <w:t xml:space="preserve"> </w:t>
      </w:r>
      <w:r w:rsidR="00B56C91">
        <w:rPr>
          <w:rFonts w:cstheme="minorHAnsi"/>
          <w:sz w:val="24"/>
          <w:szCs w:val="24"/>
          <w:lang w:val="el-GR"/>
        </w:rPr>
        <w:t>χρόνων</w:t>
      </w:r>
      <w:r w:rsidR="00B56C91" w:rsidRPr="00B56C91">
        <w:rPr>
          <w:rFonts w:cstheme="minorHAnsi"/>
          <w:sz w:val="24"/>
          <w:szCs w:val="24"/>
          <w:lang w:val="el-GR"/>
        </w:rPr>
        <w:t>,</w:t>
      </w:r>
      <w:r w:rsidR="00EB6938" w:rsidRPr="00B56C91">
        <w:rPr>
          <w:rFonts w:cstheme="minorHAnsi"/>
          <w:sz w:val="24"/>
          <w:szCs w:val="24"/>
          <w:lang w:val="el-GR"/>
        </w:rPr>
        <w:t xml:space="preserve"> (2) </w:t>
      </w:r>
      <w:r w:rsidR="00B56C91">
        <w:rPr>
          <w:rFonts w:cstheme="minorHAnsi"/>
          <w:sz w:val="24"/>
          <w:szCs w:val="24"/>
          <w:lang w:val="el-GR"/>
        </w:rPr>
        <w:t>ψηλό επίπεδο πρακτικής ε</w:t>
      </w:r>
      <w:r w:rsidR="007946A4">
        <w:rPr>
          <w:rFonts w:cstheme="minorHAnsi"/>
          <w:sz w:val="24"/>
          <w:szCs w:val="24"/>
          <w:lang w:val="el-GR"/>
        </w:rPr>
        <w:t>ξ</w:t>
      </w:r>
      <w:r w:rsidR="00B56C91">
        <w:rPr>
          <w:rFonts w:cstheme="minorHAnsi"/>
          <w:sz w:val="24"/>
          <w:szCs w:val="24"/>
          <w:lang w:val="el-GR"/>
        </w:rPr>
        <w:t>ειδίκευσης</w:t>
      </w:r>
      <w:r w:rsidR="00EB6938" w:rsidRPr="00B56C91">
        <w:rPr>
          <w:rFonts w:cstheme="minorHAnsi"/>
          <w:sz w:val="24"/>
          <w:szCs w:val="24"/>
          <w:lang w:val="el-GR"/>
        </w:rPr>
        <w:t xml:space="preserve"> </w:t>
      </w:r>
      <w:r w:rsidR="00B56C91">
        <w:rPr>
          <w:rFonts w:cstheme="minorHAnsi"/>
          <w:sz w:val="24"/>
          <w:szCs w:val="24"/>
          <w:lang w:val="el-GR"/>
        </w:rPr>
        <w:t>σε αστυνομικά καθήκοντα,</w:t>
      </w:r>
      <w:r w:rsidR="00EB6938" w:rsidRPr="00B56C91">
        <w:rPr>
          <w:rFonts w:cstheme="minorHAnsi"/>
          <w:sz w:val="24"/>
          <w:szCs w:val="24"/>
          <w:lang w:val="el-GR"/>
        </w:rPr>
        <w:t xml:space="preserve"> (3) </w:t>
      </w:r>
      <w:r w:rsidR="00B56C91">
        <w:rPr>
          <w:rFonts w:cstheme="minorHAnsi"/>
          <w:sz w:val="24"/>
          <w:szCs w:val="24"/>
          <w:lang w:val="el-GR"/>
        </w:rPr>
        <w:t>τουλάχιστον τρία χρόνια υπηρεσίας</w:t>
      </w:r>
      <w:r w:rsidR="00EB6938" w:rsidRPr="00B56C91">
        <w:rPr>
          <w:rFonts w:cstheme="minorHAnsi"/>
          <w:sz w:val="24"/>
          <w:szCs w:val="24"/>
          <w:lang w:val="el-GR"/>
        </w:rPr>
        <w:t xml:space="preserve"> </w:t>
      </w:r>
      <w:r w:rsidR="00B56C91">
        <w:rPr>
          <w:rFonts w:cstheme="minorHAnsi"/>
          <w:sz w:val="24"/>
          <w:szCs w:val="24"/>
          <w:lang w:val="el-GR"/>
        </w:rPr>
        <w:t>σε διερευνητικά καθήκοντα</w:t>
      </w:r>
      <w:r w:rsidR="00EB6938" w:rsidRPr="00B56C91">
        <w:rPr>
          <w:rFonts w:cstheme="minorHAnsi"/>
          <w:sz w:val="24"/>
          <w:szCs w:val="24"/>
          <w:lang w:val="el-GR"/>
        </w:rPr>
        <w:t xml:space="preserve">. </w:t>
      </w:r>
      <w:r w:rsidR="00B56C91">
        <w:rPr>
          <w:rFonts w:cstheme="minorHAnsi"/>
          <w:sz w:val="24"/>
          <w:szCs w:val="24"/>
          <w:lang w:val="el-GR"/>
        </w:rPr>
        <w:t>Κατά</w:t>
      </w:r>
      <w:r w:rsidR="00B56C91" w:rsidRPr="00B56C91">
        <w:rPr>
          <w:rFonts w:cstheme="minorHAnsi"/>
          <w:sz w:val="24"/>
          <w:szCs w:val="24"/>
          <w:lang w:val="el-GR"/>
        </w:rPr>
        <w:t xml:space="preserve"> </w:t>
      </w:r>
      <w:r w:rsidR="00B56C91">
        <w:rPr>
          <w:rFonts w:cstheme="minorHAnsi"/>
          <w:sz w:val="24"/>
          <w:szCs w:val="24"/>
          <w:lang w:val="el-GR"/>
        </w:rPr>
        <w:t>την</w:t>
      </w:r>
      <w:r w:rsidR="00B56C91" w:rsidRPr="00B56C91">
        <w:rPr>
          <w:rFonts w:cstheme="minorHAnsi"/>
          <w:sz w:val="24"/>
          <w:szCs w:val="24"/>
          <w:lang w:val="el-GR"/>
        </w:rPr>
        <w:t xml:space="preserve"> </w:t>
      </w:r>
      <w:r w:rsidR="00B56C91">
        <w:rPr>
          <w:rFonts w:cstheme="minorHAnsi"/>
          <w:sz w:val="24"/>
          <w:szCs w:val="24"/>
          <w:lang w:val="el-GR"/>
        </w:rPr>
        <w:t>διάρκεια</w:t>
      </w:r>
      <w:r w:rsidR="00B56C91" w:rsidRPr="00B56C91">
        <w:rPr>
          <w:rFonts w:cstheme="minorHAnsi"/>
          <w:sz w:val="24"/>
          <w:szCs w:val="24"/>
          <w:lang w:val="el-GR"/>
        </w:rPr>
        <w:t xml:space="preserve"> </w:t>
      </w:r>
      <w:r w:rsidR="00B56C91">
        <w:rPr>
          <w:rFonts w:cstheme="minorHAnsi"/>
          <w:sz w:val="24"/>
          <w:szCs w:val="24"/>
          <w:lang w:val="el-GR"/>
        </w:rPr>
        <w:t>των</w:t>
      </w:r>
      <w:r w:rsidR="00B56C91" w:rsidRPr="00B56C91">
        <w:rPr>
          <w:rFonts w:cstheme="minorHAnsi"/>
          <w:sz w:val="24"/>
          <w:szCs w:val="24"/>
          <w:lang w:val="el-GR"/>
        </w:rPr>
        <w:t xml:space="preserve"> </w:t>
      </w:r>
      <w:r w:rsidR="00B56C91">
        <w:rPr>
          <w:rFonts w:cstheme="minorHAnsi"/>
          <w:sz w:val="24"/>
          <w:szCs w:val="24"/>
          <w:lang w:val="el-GR"/>
        </w:rPr>
        <w:t>πέντε</w:t>
      </w:r>
      <w:r w:rsidR="00B56C91" w:rsidRPr="00B56C91">
        <w:rPr>
          <w:rFonts w:cstheme="minorHAnsi"/>
          <w:sz w:val="24"/>
          <w:szCs w:val="24"/>
          <w:lang w:val="el-GR"/>
        </w:rPr>
        <w:t xml:space="preserve"> </w:t>
      </w:r>
      <w:r w:rsidR="00B56C91">
        <w:rPr>
          <w:rFonts w:cstheme="minorHAnsi"/>
          <w:sz w:val="24"/>
          <w:szCs w:val="24"/>
          <w:lang w:val="el-GR"/>
        </w:rPr>
        <w:t>προηγούμενων</w:t>
      </w:r>
      <w:r w:rsidR="00B56C91" w:rsidRPr="00B56C91">
        <w:rPr>
          <w:rFonts w:cstheme="minorHAnsi"/>
          <w:sz w:val="24"/>
          <w:szCs w:val="24"/>
          <w:lang w:val="el-GR"/>
        </w:rPr>
        <w:t xml:space="preserve"> </w:t>
      </w:r>
      <w:r w:rsidR="00B56C91">
        <w:rPr>
          <w:rFonts w:cstheme="minorHAnsi"/>
          <w:sz w:val="24"/>
          <w:szCs w:val="24"/>
          <w:lang w:val="el-GR"/>
        </w:rPr>
        <w:t>χρόνων</w:t>
      </w:r>
      <w:r w:rsidR="00EB6938" w:rsidRPr="00B56C91">
        <w:rPr>
          <w:rFonts w:cstheme="minorHAnsi"/>
          <w:sz w:val="24"/>
          <w:szCs w:val="24"/>
          <w:lang w:val="el-GR"/>
        </w:rPr>
        <w:t xml:space="preserve">, </w:t>
      </w:r>
      <w:r w:rsidR="00B56C91">
        <w:rPr>
          <w:rFonts w:cstheme="minorHAnsi"/>
          <w:sz w:val="24"/>
          <w:szCs w:val="24"/>
          <w:lang w:val="el-GR"/>
        </w:rPr>
        <w:t>δεν</w:t>
      </w:r>
      <w:r w:rsidR="00B56C91" w:rsidRPr="00B56C91">
        <w:rPr>
          <w:rFonts w:cstheme="minorHAnsi"/>
          <w:sz w:val="24"/>
          <w:szCs w:val="24"/>
          <w:lang w:val="el-GR"/>
        </w:rPr>
        <w:t xml:space="preserve"> </w:t>
      </w:r>
      <w:r w:rsidR="00B56C91">
        <w:rPr>
          <w:rFonts w:cstheme="minorHAnsi"/>
          <w:sz w:val="24"/>
          <w:szCs w:val="24"/>
          <w:lang w:val="el-GR"/>
        </w:rPr>
        <w:t>θα</w:t>
      </w:r>
      <w:r w:rsidR="00B56C91" w:rsidRPr="00B56C91">
        <w:rPr>
          <w:rFonts w:cstheme="minorHAnsi"/>
          <w:sz w:val="24"/>
          <w:szCs w:val="24"/>
          <w:lang w:val="el-GR"/>
        </w:rPr>
        <w:t xml:space="preserve"> </w:t>
      </w:r>
      <w:r w:rsidR="00B56C91">
        <w:rPr>
          <w:rFonts w:cstheme="minorHAnsi"/>
          <w:sz w:val="24"/>
          <w:szCs w:val="24"/>
          <w:lang w:val="el-GR"/>
        </w:rPr>
        <w:t>πρέπει να έχουν καταδικασθεί για οποιαδήποτε πειθαρχικά και ποινικά αδικήματα</w:t>
      </w:r>
      <w:r w:rsidR="00EB6938" w:rsidRPr="00B56C91">
        <w:rPr>
          <w:rFonts w:cstheme="minorHAnsi"/>
          <w:sz w:val="24"/>
          <w:szCs w:val="24"/>
          <w:lang w:val="el-GR"/>
        </w:rPr>
        <w:t>.</w:t>
      </w:r>
    </w:p>
    <w:bookmarkEnd w:id="238"/>
    <w:p w14:paraId="07781192" w14:textId="4FD31FFA" w:rsidR="00EB6938" w:rsidRPr="00B56C91" w:rsidRDefault="00EB6938" w:rsidP="00EB6938">
      <w:pPr>
        <w:keepNext/>
        <w:tabs>
          <w:tab w:val="left" w:pos="709"/>
        </w:tabs>
        <w:rPr>
          <w:rFonts w:cstheme="minorHAnsi"/>
          <w:sz w:val="24"/>
          <w:szCs w:val="24"/>
          <w:lang w:val="el-GR"/>
        </w:rPr>
      </w:pPr>
    </w:p>
    <w:p w14:paraId="24AA72D3" w14:textId="7B9EFC15" w:rsidR="00220066" w:rsidRPr="00B56C91" w:rsidRDefault="00B56C91"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Δεν</w:t>
      </w:r>
      <w:r w:rsidRPr="00B56C91">
        <w:rPr>
          <w:rFonts w:cstheme="minorHAnsi"/>
          <w:sz w:val="24"/>
          <w:szCs w:val="24"/>
          <w:lang w:val="el-GR"/>
        </w:rPr>
        <w:t xml:space="preserve"> </w:t>
      </w:r>
      <w:r>
        <w:rPr>
          <w:rFonts w:cstheme="minorHAnsi"/>
          <w:sz w:val="24"/>
          <w:szCs w:val="24"/>
          <w:lang w:val="el-GR"/>
        </w:rPr>
        <w:t>υπάρχει</w:t>
      </w:r>
      <w:r w:rsidRPr="00B56C91">
        <w:rPr>
          <w:rFonts w:cstheme="minorHAnsi"/>
          <w:sz w:val="24"/>
          <w:szCs w:val="24"/>
          <w:lang w:val="el-GR"/>
        </w:rPr>
        <w:t xml:space="preserve"> </w:t>
      </w:r>
      <w:r>
        <w:rPr>
          <w:rFonts w:cstheme="minorHAnsi"/>
          <w:sz w:val="24"/>
          <w:szCs w:val="24"/>
          <w:lang w:val="el-GR"/>
        </w:rPr>
        <w:t>οποιαδήποτε</w:t>
      </w:r>
      <w:r w:rsidRPr="00B56C91">
        <w:rPr>
          <w:rFonts w:cstheme="minorHAnsi"/>
          <w:sz w:val="24"/>
          <w:szCs w:val="24"/>
          <w:lang w:val="el-GR"/>
        </w:rPr>
        <w:t xml:space="preserve"> </w:t>
      </w:r>
      <w:r>
        <w:rPr>
          <w:rFonts w:cstheme="minorHAnsi"/>
          <w:sz w:val="24"/>
          <w:szCs w:val="24"/>
          <w:lang w:val="el-GR"/>
        </w:rPr>
        <w:t>υποχρεωτική</w:t>
      </w:r>
      <w:r w:rsidRPr="00B56C91">
        <w:rPr>
          <w:rFonts w:cstheme="minorHAnsi"/>
          <w:sz w:val="24"/>
          <w:szCs w:val="24"/>
          <w:lang w:val="el-GR"/>
        </w:rPr>
        <w:t xml:space="preserve"> </w:t>
      </w:r>
      <w:r>
        <w:rPr>
          <w:rFonts w:cstheme="minorHAnsi"/>
          <w:sz w:val="24"/>
          <w:szCs w:val="24"/>
          <w:lang w:val="el-GR"/>
        </w:rPr>
        <w:t>ή</w:t>
      </w:r>
      <w:r w:rsidRPr="00B56C91">
        <w:rPr>
          <w:rFonts w:cstheme="minorHAnsi"/>
          <w:sz w:val="24"/>
          <w:szCs w:val="24"/>
          <w:lang w:val="el-GR"/>
        </w:rPr>
        <w:t xml:space="preserve"> </w:t>
      </w:r>
      <w:r>
        <w:rPr>
          <w:rFonts w:cstheme="minorHAnsi"/>
          <w:sz w:val="24"/>
          <w:szCs w:val="24"/>
          <w:lang w:val="el-GR"/>
        </w:rPr>
        <w:t>τακτική</w:t>
      </w:r>
      <w:r w:rsidRPr="00B56C91">
        <w:rPr>
          <w:rFonts w:cstheme="minorHAnsi"/>
          <w:sz w:val="24"/>
          <w:szCs w:val="24"/>
          <w:lang w:val="el-GR"/>
        </w:rPr>
        <w:t xml:space="preserve"> </w:t>
      </w:r>
      <w:r>
        <w:rPr>
          <w:rFonts w:cstheme="minorHAnsi"/>
          <w:sz w:val="24"/>
          <w:szCs w:val="24"/>
          <w:lang w:val="el-GR"/>
        </w:rPr>
        <w:t>εξειδικευμένη</w:t>
      </w:r>
      <w:r w:rsidRPr="00B56C91">
        <w:rPr>
          <w:rFonts w:cstheme="minorHAnsi"/>
          <w:sz w:val="24"/>
          <w:szCs w:val="24"/>
          <w:lang w:val="el-GR"/>
        </w:rPr>
        <w:t xml:space="preserve"> </w:t>
      </w:r>
      <w:r>
        <w:rPr>
          <w:rFonts w:cstheme="minorHAnsi"/>
          <w:sz w:val="24"/>
          <w:szCs w:val="24"/>
          <w:lang w:val="el-GR"/>
        </w:rPr>
        <w:t>εκπαίδευση</w:t>
      </w:r>
      <w:r w:rsidR="00220066" w:rsidRPr="00B56C91">
        <w:rPr>
          <w:rFonts w:cstheme="minorHAnsi"/>
          <w:sz w:val="24"/>
          <w:szCs w:val="24"/>
          <w:lang w:val="el-GR"/>
        </w:rPr>
        <w:t xml:space="preserve"> </w:t>
      </w:r>
      <w:r>
        <w:rPr>
          <w:rFonts w:cstheme="minorHAnsi"/>
          <w:sz w:val="24"/>
          <w:szCs w:val="24"/>
          <w:lang w:val="el-GR"/>
        </w:rPr>
        <w:t xml:space="preserve">για τα μέλη της </w:t>
      </w:r>
      <w:r w:rsidR="00220066" w:rsidRPr="004E251E">
        <w:rPr>
          <w:rFonts w:cstheme="minorHAnsi"/>
          <w:sz w:val="24"/>
          <w:szCs w:val="24"/>
        </w:rPr>
        <w:t>PSID</w:t>
      </w:r>
      <w:r w:rsidR="00220066" w:rsidRPr="00B56C91">
        <w:rPr>
          <w:rFonts w:cstheme="minorHAnsi"/>
          <w:sz w:val="24"/>
          <w:szCs w:val="24"/>
          <w:lang w:val="el-GR"/>
        </w:rPr>
        <w:t xml:space="preserve">. </w:t>
      </w:r>
      <w:r>
        <w:rPr>
          <w:rFonts w:cstheme="minorHAnsi"/>
          <w:sz w:val="24"/>
          <w:szCs w:val="24"/>
          <w:lang w:val="el-GR"/>
        </w:rPr>
        <w:t>Ωστόσο</w:t>
      </w:r>
      <w:r w:rsidR="00220066" w:rsidRPr="00B56C91">
        <w:rPr>
          <w:rFonts w:cstheme="minorHAnsi"/>
          <w:sz w:val="24"/>
          <w:szCs w:val="24"/>
          <w:lang w:val="el-GR"/>
        </w:rPr>
        <w:t xml:space="preserve">, </w:t>
      </w:r>
      <w:r>
        <w:rPr>
          <w:rFonts w:cstheme="minorHAnsi"/>
          <w:sz w:val="24"/>
          <w:szCs w:val="24"/>
          <w:lang w:val="el-GR"/>
        </w:rPr>
        <w:t>μέλη</w:t>
      </w:r>
      <w:r w:rsidRPr="00B56C91">
        <w:rPr>
          <w:rFonts w:cstheme="minorHAnsi"/>
          <w:sz w:val="24"/>
          <w:szCs w:val="24"/>
          <w:lang w:val="el-GR"/>
        </w:rPr>
        <w:t xml:space="preserve"> </w:t>
      </w:r>
      <w:r>
        <w:rPr>
          <w:rFonts w:cstheme="minorHAnsi"/>
          <w:sz w:val="24"/>
          <w:szCs w:val="24"/>
          <w:lang w:val="el-GR"/>
        </w:rPr>
        <w:t>της</w:t>
      </w:r>
      <w:r w:rsidRPr="00B56C91">
        <w:rPr>
          <w:rFonts w:cstheme="minorHAnsi"/>
          <w:sz w:val="24"/>
          <w:szCs w:val="24"/>
          <w:lang w:val="el-GR"/>
        </w:rPr>
        <w:t xml:space="preserve"> </w:t>
      </w:r>
      <w:r>
        <w:rPr>
          <w:rFonts w:cstheme="minorHAnsi"/>
          <w:sz w:val="24"/>
          <w:szCs w:val="24"/>
          <w:lang w:val="el-GR"/>
        </w:rPr>
        <w:t>Διεύθυνσης</w:t>
      </w:r>
      <w:r w:rsidRPr="00B56C91">
        <w:rPr>
          <w:rFonts w:cstheme="minorHAnsi"/>
          <w:sz w:val="24"/>
          <w:szCs w:val="24"/>
          <w:lang w:val="el-GR"/>
        </w:rPr>
        <w:t xml:space="preserve"> </w:t>
      </w:r>
      <w:r>
        <w:rPr>
          <w:rFonts w:cstheme="minorHAnsi"/>
          <w:sz w:val="24"/>
          <w:szCs w:val="24"/>
          <w:lang w:val="el-GR"/>
        </w:rPr>
        <w:t>επιλέγονται</w:t>
      </w:r>
      <w:r w:rsidRPr="00B56C91">
        <w:rPr>
          <w:rFonts w:cstheme="minorHAnsi"/>
          <w:sz w:val="24"/>
          <w:szCs w:val="24"/>
          <w:lang w:val="el-GR"/>
        </w:rPr>
        <w:t xml:space="preserve"> </w:t>
      </w:r>
      <w:r>
        <w:rPr>
          <w:rFonts w:cstheme="minorHAnsi"/>
          <w:sz w:val="24"/>
          <w:szCs w:val="24"/>
          <w:lang w:val="el-GR"/>
        </w:rPr>
        <w:t>περιστασιακά</w:t>
      </w:r>
      <w:r w:rsidR="00220066" w:rsidRPr="00B56C91">
        <w:rPr>
          <w:rFonts w:cstheme="minorHAnsi"/>
          <w:sz w:val="24"/>
          <w:szCs w:val="24"/>
          <w:lang w:val="el-GR"/>
        </w:rPr>
        <w:t xml:space="preserve"> </w:t>
      </w:r>
      <w:r>
        <w:rPr>
          <w:rFonts w:cstheme="minorHAnsi"/>
          <w:sz w:val="24"/>
          <w:szCs w:val="24"/>
          <w:lang w:val="el-GR"/>
        </w:rPr>
        <w:t>για</w:t>
      </w:r>
      <w:r w:rsidRPr="00B56C91">
        <w:rPr>
          <w:rFonts w:cstheme="minorHAnsi"/>
          <w:sz w:val="24"/>
          <w:szCs w:val="24"/>
          <w:lang w:val="el-GR"/>
        </w:rPr>
        <w:t xml:space="preserve"> </w:t>
      </w:r>
      <w:r>
        <w:rPr>
          <w:rFonts w:cstheme="minorHAnsi"/>
          <w:sz w:val="24"/>
          <w:szCs w:val="24"/>
          <w:lang w:val="el-GR"/>
        </w:rPr>
        <w:t>να</w:t>
      </w:r>
      <w:r w:rsidRPr="00B56C91">
        <w:rPr>
          <w:rFonts w:cstheme="minorHAnsi"/>
          <w:sz w:val="24"/>
          <w:szCs w:val="24"/>
          <w:lang w:val="el-GR"/>
        </w:rPr>
        <w:t xml:space="preserve"> </w:t>
      </w:r>
      <w:r>
        <w:rPr>
          <w:rFonts w:cstheme="minorHAnsi"/>
          <w:sz w:val="24"/>
          <w:szCs w:val="24"/>
          <w:lang w:val="el-GR"/>
        </w:rPr>
        <w:t>παρακολουθήσουν</w:t>
      </w:r>
      <w:r w:rsidRPr="00B56C91">
        <w:rPr>
          <w:rFonts w:cstheme="minorHAnsi"/>
          <w:sz w:val="24"/>
          <w:szCs w:val="24"/>
          <w:lang w:val="el-GR"/>
        </w:rPr>
        <w:t xml:space="preserve"> </w:t>
      </w:r>
      <w:r>
        <w:rPr>
          <w:rFonts w:cstheme="minorHAnsi"/>
          <w:sz w:val="24"/>
          <w:szCs w:val="24"/>
          <w:lang w:val="el-GR"/>
        </w:rPr>
        <w:t>ειδικά εκπαιδευτικά προγράμματα στην Αστυνομική Ακαδημία, άλλα Εκπαιδευτικά Ινστιτούτα στην Κύπρο και το εξωτερικό</w:t>
      </w:r>
      <w:r w:rsidR="00220066" w:rsidRPr="00B56C91">
        <w:rPr>
          <w:rFonts w:cstheme="minorHAnsi"/>
          <w:sz w:val="24"/>
          <w:szCs w:val="24"/>
          <w:lang w:val="el-GR"/>
        </w:rPr>
        <w:t>.</w:t>
      </w:r>
    </w:p>
    <w:p w14:paraId="3A03C57F" w14:textId="77777777" w:rsidR="00220066" w:rsidRPr="00B56C91" w:rsidRDefault="00220066" w:rsidP="00220066">
      <w:pPr>
        <w:rPr>
          <w:lang w:val="el-GR"/>
        </w:rPr>
      </w:pPr>
    </w:p>
    <w:p w14:paraId="3DBC5F7F" w14:textId="6856C794" w:rsidR="00220066" w:rsidRPr="001869D9" w:rsidRDefault="00BE6701" w:rsidP="004E456F">
      <w:pPr>
        <w:pStyle w:val="Heading2"/>
        <w:tabs>
          <w:tab w:val="left" w:pos="709"/>
        </w:tabs>
        <w:spacing w:before="0"/>
        <w:rPr>
          <w:rFonts w:asciiTheme="minorHAnsi" w:hAnsiTheme="minorHAnsi" w:cstheme="minorHAnsi"/>
          <w:b w:val="0"/>
          <w:bCs w:val="0"/>
          <w:color w:val="auto"/>
          <w:sz w:val="24"/>
          <w:szCs w:val="24"/>
          <w:u w:val="single"/>
          <w:lang w:val="el-GR"/>
        </w:rPr>
      </w:pPr>
      <w:bookmarkStart w:id="239" w:name="_Toc117445182"/>
      <w:bookmarkStart w:id="240" w:name="_Toc136879386"/>
      <w:r>
        <w:rPr>
          <w:rFonts w:asciiTheme="minorHAnsi" w:hAnsiTheme="minorHAnsi" w:cstheme="minorHAnsi"/>
          <w:b w:val="0"/>
          <w:bCs w:val="0"/>
          <w:color w:val="auto"/>
          <w:sz w:val="24"/>
          <w:szCs w:val="24"/>
          <w:u w:val="single"/>
          <w:lang w:val="el-GR"/>
        </w:rPr>
        <w:lastRenderedPageBreak/>
        <w:t>Εξωτερική</w:t>
      </w:r>
      <w:r w:rsidRPr="001869D9">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επίβλεψη</w:t>
      </w:r>
      <w:bookmarkEnd w:id="235"/>
      <w:bookmarkEnd w:id="239"/>
      <w:bookmarkEnd w:id="240"/>
      <w:r w:rsidR="00220066" w:rsidRPr="001869D9">
        <w:rPr>
          <w:rFonts w:asciiTheme="minorHAnsi" w:hAnsiTheme="minorHAnsi" w:cstheme="minorHAnsi"/>
          <w:b w:val="0"/>
          <w:bCs w:val="0"/>
          <w:color w:val="auto"/>
          <w:sz w:val="24"/>
          <w:szCs w:val="24"/>
          <w:u w:val="single"/>
          <w:lang w:val="el-GR"/>
        </w:rPr>
        <w:t xml:space="preserve"> </w:t>
      </w:r>
    </w:p>
    <w:p w14:paraId="7EA8541D" w14:textId="77777777" w:rsidR="00220066" w:rsidRPr="001869D9" w:rsidRDefault="00220066" w:rsidP="004E456F">
      <w:pPr>
        <w:keepNext/>
        <w:tabs>
          <w:tab w:val="left" w:pos="709"/>
        </w:tabs>
        <w:rPr>
          <w:sz w:val="24"/>
          <w:szCs w:val="24"/>
          <w:lang w:val="el-GR"/>
        </w:rPr>
      </w:pPr>
    </w:p>
    <w:p w14:paraId="1AAFD998" w14:textId="5B6C5E29" w:rsidR="00220066" w:rsidRPr="00BE6701" w:rsidRDefault="00BE6701" w:rsidP="004E456F">
      <w:pPr>
        <w:keepNext/>
        <w:rPr>
          <w:rFonts w:cstheme="minorHAnsi"/>
          <w:i/>
          <w:iCs/>
          <w:sz w:val="24"/>
          <w:szCs w:val="24"/>
          <w:lang w:val="el-GR"/>
        </w:rPr>
      </w:pPr>
      <w:r>
        <w:rPr>
          <w:rFonts w:cstheme="minorHAnsi"/>
          <w:i/>
          <w:iCs/>
          <w:sz w:val="24"/>
          <w:szCs w:val="24"/>
          <w:lang w:val="el-GR"/>
        </w:rPr>
        <w:t>Η</w:t>
      </w:r>
      <w:r w:rsidRPr="00BE6701">
        <w:rPr>
          <w:rFonts w:cstheme="minorHAnsi"/>
          <w:i/>
          <w:iCs/>
          <w:sz w:val="24"/>
          <w:szCs w:val="24"/>
          <w:lang w:val="el-GR"/>
        </w:rPr>
        <w:t xml:space="preserve"> </w:t>
      </w:r>
      <w:r>
        <w:rPr>
          <w:rFonts w:cstheme="minorHAnsi"/>
          <w:i/>
          <w:iCs/>
          <w:sz w:val="24"/>
          <w:szCs w:val="24"/>
          <w:lang w:val="el-GR"/>
        </w:rPr>
        <w:t>Ανεξάρτητη</w:t>
      </w:r>
      <w:r w:rsidRPr="00BE6701">
        <w:rPr>
          <w:rFonts w:cstheme="minorHAnsi"/>
          <w:i/>
          <w:iCs/>
          <w:sz w:val="24"/>
          <w:szCs w:val="24"/>
          <w:lang w:val="el-GR"/>
        </w:rPr>
        <w:t xml:space="preserve"> </w:t>
      </w:r>
      <w:r>
        <w:rPr>
          <w:rFonts w:cstheme="minorHAnsi"/>
          <w:i/>
          <w:iCs/>
          <w:sz w:val="24"/>
          <w:szCs w:val="24"/>
          <w:lang w:val="el-GR"/>
        </w:rPr>
        <w:t>Αρχή</w:t>
      </w:r>
      <w:r w:rsidRPr="00BE6701">
        <w:rPr>
          <w:rFonts w:cstheme="minorHAnsi"/>
          <w:i/>
          <w:iCs/>
          <w:sz w:val="24"/>
          <w:szCs w:val="24"/>
          <w:lang w:val="el-GR"/>
        </w:rPr>
        <w:t xml:space="preserve"> </w:t>
      </w:r>
      <w:r w:rsidR="002E5EC0">
        <w:rPr>
          <w:rFonts w:cstheme="minorHAnsi"/>
          <w:i/>
          <w:iCs/>
          <w:sz w:val="24"/>
          <w:szCs w:val="24"/>
          <w:lang w:val="el-GR"/>
        </w:rPr>
        <w:t>Διερεύνησης</w:t>
      </w:r>
      <w:r w:rsidR="007946A4">
        <w:rPr>
          <w:rFonts w:cstheme="minorHAnsi"/>
          <w:i/>
          <w:iCs/>
          <w:sz w:val="24"/>
          <w:szCs w:val="24"/>
          <w:lang w:val="el-GR"/>
        </w:rPr>
        <w:t xml:space="preserve"> </w:t>
      </w:r>
      <w:r>
        <w:rPr>
          <w:rFonts w:cstheme="minorHAnsi"/>
          <w:i/>
          <w:iCs/>
          <w:sz w:val="24"/>
          <w:szCs w:val="24"/>
          <w:lang w:val="el-GR"/>
        </w:rPr>
        <w:t>Ισχυρισμών</w:t>
      </w:r>
      <w:r w:rsidRPr="00BE6701">
        <w:rPr>
          <w:rFonts w:cstheme="minorHAnsi"/>
          <w:i/>
          <w:iCs/>
          <w:sz w:val="24"/>
          <w:szCs w:val="24"/>
          <w:lang w:val="el-GR"/>
        </w:rPr>
        <w:t xml:space="preserve"> </w:t>
      </w:r>
      <w:r>
        <w:rPr>
          <w:rFonts w:cstheme="minorHAnsi"/>
          <w:i/>
          <w:iCs/>
          <w:sz w:val="24"/>
          <w:szCs w:val="24"/>
          <w:lang w:val="el-GR"/>
        </w:rPr>
        <w:t>και</w:t>
      </w:r>
      <w:r w:rsidRPr="00BE6701">
        <w:rPr>
          <w:rFonts w:cstheme="minorHAnsi"/>
          <w:i/>
          <w:iCs/>
          <w:sz w:val="24"/>
          <w:szCs w:val="24"/>
          <w:lang w:val="el-GR"/>
        </w:rPr>
        <w:t xml:space="preserve"> </w:t>
      </w:r>
      <w:r>
        <w:rPr>
          <w:rFonts w:cstheme="minorHAnsi"/>
          <w:i/>
          <w:iCs/>
          <w:sz w:val="24"/>
          <w:szCs w:val="24"/>
          <w:lang w:val="el-GR"/>
        </w:rPr>
        <w:t>Παραπόνων</w:t>
      </w:r>
      <w:r w:rsidRPr="00BE6701">
        <w:rPr>
          <w:rFonts w:cstheme="minorHAnsi"/>
          <w:i/>
          <w:iCs/>
          <w:sz w:val="24"/>
          <w:szCs w:val="24"/>
          <w:lang w:val="el-GR"/>
        </w:rPr>
        <w:t xml:space="preserve"> </w:t>
      </w:r>
      <w:r>
        <w:rPr>
          <w:rFonts w:cstheme="minorHAnsi"/>
          <w:i/>
          <w:iCs/>
          <w:sz w:val="24"/>
          <w:szCs w:val="24"/>
          <w:lang w:val="el-GR"/>
        </w:rPr>
        <w:t>εναντίον</w:t>
      </w:r>
      <w:r w:rsidRPr="00BE6701">
        <w:rPr>
          <w:rFonts w:cstheme="minorHAnsi"/>
          <w:i/>
          <w:iCs/>
          <w:sz w:val="24"/>
          <w:szCs w:val="24"/>
          <w:lang w:val="el-GR"/>
        </w:rPr>
        <w:t xml:space="preserve"> </w:t>
      </w:r>
      <w:r>
        <w:rPr>
          <w:rFonts w:cstheme="minorHAnsi"/>
          <w:i/>
          <w:iCs/>
          <w:sz w:val="24"/>
          <w:szCs w:val="24"/>
          <w:lang w:val="el-GR"/>
        </w:rPr>
        <w:t>της</w:t>
      </w:r>
      <w:r w:rsidRPr="00BE6701">
        <w:rPr>
          <w:rFonts w:cstheme="minorHAnsi"/>
          <w:i/>
          <w:iCs/>
          <w:sz w:val="24"/>
          <w:szCs w:val="24"/>
          <w:lang w:val="el-GR"/>
        </w:rPr>
        <w:t xml:space="preserve"> </w:t>
      </w:r>
      <w:r w:rsidR="009C4E34">
        <w:rPr>
          <w:rFonts w:cstheme="minorHAnsi"/>
          <w:i/>
          <w:iCs/>
          <w:sz w:val="24"/>
          <w:szCs w:val="24"/>
          <w:lang w:val="el-GR"/>
        </w:rPr>
        <w:t>Αστυνομία</w:t>
      </w:r>
      <w:r>
        <w:rPr>
          <w:rFonts w:cstheme="minorHAnsi"/>
          <w:i/>
          <w:iCs/>
          <w:sz w:val="24"/>
          <w:szCs w:val="24"/>
          <w:lang w:val="el-GR"/>
        </w:rPr>
        <w:t>ς</w:t>
      </w:r>
      <w:r w:rsidR="00220066" w:rsidRPr="00BE6701">
        <w:rPr>
          <w:rFonts w:cstheme="minorHAnsi"/>
          <w:i/>
          <w:iCs/>
          <w:sz w:val="24"/>
          <w:szCs w:val="24"/>
          <w:lang w:val="el-GR"/>
        </w:rPr>
        <w:t xml:space="preserve"> (</w:t>
      </w:r>
      <w:r>
        <w:rPr>
          <w:rFonts w:cstheme="minorHAnsi"/>
          <w:i/>
          <w:iCs/>
          <w:sz w:val="24"/>
          <w:szCs w:val="24"/>
          <w:lang w:val="el-GR"/>
        </w:rPr>
        <w:t>ΑΑΔΙΠΑ</w:t>
      </w:r>
      <w:r w:rsidR="00220066" w:rsidRPr="00BE6701">
        <w:rPr>
          <w:rFonts w:cstheme="minorHAnsi"/>
          <w:i/>
          <w:iCs/>
          <w:sz w:val="24"/>
          <w:szCs w:val="24"/>
          <w:lang w:val="el-GR"/>
        </w:rPr>
        <w:t>)</w:t>
      </w:r>
    </w:p>
    <w:p w14:paraId="673B55D6" w14:textId="77777777" w:rsidR="00220066" w:rsidRPr="00BE6701" w:rsidRDefault="00220066" w:rsidP="004E456F">
      <w:pPr>
        <w:keepNext/>
        <w:tabs>
          <w:tab w:val="left" w:pos="709"/>
        </w:tabs>
        <w:rPr>
          <w:rFonts w:cstheme="minorHAnsi"/>
          <w:sz w:val="24"/>
          <w:szCs w:val="24"/>
          <w:u w:val="single"/>
          <w:lang w:val="el-GR"/>
        </w:rPr>
      </w:pPr>
    </w:p>
    <w:p w14:paraId="6A58E6BB" w14:textId="74F20604" w:rsidR="00220066" w:rsidRPr="007946A4" w:rsidRDefault="00BE6701" w:rsidP="004E456F">
      <w:pPr>
        <w:keepNext/>
        <w:numPr>
          <w:ilvl w:val="0"/>
          <w:numId w:val="1"/>
        </w:numPr>
        <w:tabs>
          <w:tab w:val="left" w:pos="709"/>
        </w:tabs>
        <w:ind w:left="0" w:firstLine="0"/>
        <w:rPr>
          <w:rFonts w:cstheme="minorHAnsi"/>
          <w:sz w:val="24"/>
          <w:szCs w:val="24"/>
          <w:lang w:val="el-GR"/>
        </w:rPr>
      </w:pPr>
      <w:r>
        <w:rPr>
          <w:rFonts w:cstheme="minorHAnsi"/>
          <w:sz w:val="24"/>
          <w:szCs w:val="24"/>
          <w:lang w:val="el-GR"/>
        </w:rPr>
        <w:t>Το</w:t>
      </w:r>
      <w:r w:rsidRPr="007946A4">
        <w:rPr>
          <w:rFonts w:cstheme="minorHAnsi"/>
          <w:sz w:val="24"/>
          <w:szCs w:val="24"/>
          <w:lang w:val="el-GR"/>
        </w:rPr>
        <w:t xml:space="preserve"> </w:t>
      </w:r>
      <w:r w:rsidR="00220066" w:rsidRPr="007946A4">
        <w:rPr>
          <w:rFonts w:cstheme="minorHAnsi"/>
          <w:sz w:val="24"/>
          <w:szCs w:val="24"/>
          <w:lang w:val="el-GR"/>
        </w:rPr>
        <w:t xml:space="preserve">2006, </w:t>
      </w:r>
      <w:r>
        <w:rPr>
          <w:rFonts w:cstheme="minorHAnsi"/>
          <w:sz w:val="24"/>
          <w:szCs w:val="24"/>
          <w:lang w:val="el-GR"/>
        </w:rPr>
        <w:t>η</w:t>
      </w:r>
      <w:r w:rsidRPr="007946A4">
        <w:rPr>
          <w:rFonts w:cstheme="minorHAnsi"/>
          <w:sz w:val="24"/>
          <w:szCs w:val="24"/>
          <w:lang w:val="el-GR"/>
        </w:rPr>
        <w:t xml:space="preserve"> </w:t>
      </w:r>
      <w:r>
        <w:rPr>
          <w:rFonts w:cstheme="minorHAnsi"/>
          <w:sz w:val="24"/>
          <w:szCs w:val="24"/>
          <w:lang w:val="el-GR"/>
        </w:rPr>
        <w:t>ΑΑΔΙΠΑ</w:t>
      </w:r>
      <w:r w:rsidRPr="007946A4">
        <w:rPr>
          <w:rFonts w:cstheme="minorHAnsi"/>
          <w:sz w:val="24"/>
          <w:szCs w:val="24"/>
          <w:lang w:val="el-GR"/>
        </w:rPr>
        <w:t xml:space="preserve"> </w:t>
      </w:r>
      <w:r>
        <w:rPr>
          <w:rFonts w:cstheme="minorHAnsi"/>
          <w:sz w:val="24"/>
          <w:szCs w:val="24"/>
          <w:lang w:val="el-GR"/>
        </w:rPr>
        <w:t>συγκροτήθηκε</w:t>
      </w:r>
      <w:r w:rsidRPr="007946A4">
        <w:rPr>
          <w:rFonts w:cstheme="minorHAnsi"/>
          <w:sz w:val="24"/>
          <w:szCs w:val="24"/>
          <w:lang w:val="el-GR"/>
        </w:rPr>
        <w:t xml:space="preserve"> </w:t>
      </w:r>
      <w:r>
        <w:rPr>
          <w:rFonts w:cstheme="minorHAnsi"/>
          <w:sz w:val="24"/>
          <w:szCs w:val="24"/>
          <w:lang w:val="el-GR"/>
        </w:rPr>
        <w:t>βάσει</w:t>
      </w:r>
      <w:r w:rsidRPr="007946A4">
        <w:rPr>
          <w:rFonts w:cstheme="minorHAnsi"/>
          <w:sz w:val="24"/>
          <w:szCs w:val="24"/>
          <w:lang w:val="el-GR"/>
        </w:rPr>
        <w:t xml:space="preserve"> </w:t>
      </w:r>
      <w:r>
        <w:rPr>
          <w:rFonts w:cstheme="minorHAnsi"/>
          <w:sz w:val="24"/>
          <w:szCs w:val="24"/>
          <w:lang w:val="el-GR"/>
        </w:rPr>
        <w:t>του</w:t>
      </w:r>
      <w:r w:rsidRPr="007946A4">
        <w:rPr>
          <w:rFonts w:cstheme="minorHAnsi"/>
          <w:sz w:val="24"/>
          <w:szCs w:val="24"/>
          <w:lang w:val="el-GR"/>
        </w:rPr>
        <w:t xml:space="preserve"> </w:t>
      </w:r>
      <w:r>
        <w:rPr>
          <w:rFonts w:cstheme="minorHAnsi"/>
          <w:sz w:val="24"/>
          <w:szCs w:val="24"/>
          <w:lang w:val="el-GR"/>
        </w:rPr>
        <w:t>Νόμου</w:t>
      </w:r>
      <w:r w:rsidR="00220066" w:rsidRPr="007946A4">
        <w:rPr>
          <w:rFonts w:cstheme="minorHAnsi"/>
          <w:sz w:val="24"/>
          <w:szCs w:val="24"/>
          <w:lang w:val="el-GR"/>
        </w:rPr>
        <w:t xml:space="preserve"> 9(</w:t>
      </w:r>
      <w:r w:rsidR="00220066" w:rsidRPr="004E251E">
        <w:rPr>
          <w:rFonts w:cstheme="minorHAnsi"/>
          <w:sz w:val="24"/>
          <w:szCs w:val="24"/>
        </w:rPr>
        <w:t>I</w:t>
      </w:r>
      <w:r w:rsidR="00220066" w:rsidRPr="007946A4">
        <w:rPr>
          <w:rFonts w:cstheme="minorHAnsi"/>
          <w:sz w:val="24"/>
          <w:szCs w:val="24"/>
          <w:lang w:val="el-GR"/>
        </w:rPr>
        <w:t xml:space="preserve">)/2006 </w:t>
      </w:r>
      <w:r>
        <w:rPr>
          <w:rFonts w:cstheme="minorHAnsi"/>
          <w:sz w:val="24"/>
          <w:szCs w:val="24"/>
          <w:lang w:val="el-GR"/>
        </w:rPr>
        <w:t>για</w:t>
      </w:r>
      <w:r w:rsidRPr="007946A4">
        <w:rPr>
          <w:rFonts w:cstheme="minorHAnsi"/>
          <w:sz w:val="24"/>
          <w:szCs w:val="24"/>
          <w:lang w:val="el-GR"/>
        </w:rPr>
        <w:t xml:space="preserve"> </w:t>
      </w:r>
      <w:r>
        <w:rPr>
          <w:rFonts w:cstheme="minorHAnsi"/>
          <w:sz w:val="24"/>
          <w:szCs w:val="24"/>
          <w:lang w:val="el-GR"/>
        </w:rPr>
        <w:t>να</w:t>
      </w:r>
      <w:r w:rsidRPr="007946A4">
        <w:rPr>
          <w:rFonts w:cstheme="minorHAnsi"/>
          <w:sz w:val="24"/>
          <w:szCs w:val="24"/>
          <w:lang w:val="el-GR"/>
        </w:rPr>
        <w:t xml:space="preserve"> </w:t>
      </w:r>
      <w:r>
        <w:rPr>
          <w:rFonts w:cstheme="minorHAnsi"/>
          <w:sz w:val="24"/>
          <w:szCs w:val="24"/>
          <w:lang w:val="el-GR"/>
        </w:rPr>
        <w:t>βελτιώσει</w:t>
      </w:r>
      <w:r w:rsidR="00335D22" w:rsidRPr="007946A4">
        <w:rPr>
          <w:rFonts w:cstheme="minorHAnsi"/>
          <w:sz w:val="24"/>
          <w:szCs w:val="24"/>
          <w:lang w:val="el-GR"/>
        </w:rPr>
        <w:t xml:space="preserve"> </w:t>
      </w:r>
      <w:r w:rsidR="00335D22">
        <w:rPr>
          <w:rFonts w:cstheme="minorHAnsi"/>
          <w:sz w:val="24"/>
          <w:szCs w:val="24"/>
          <w:lang w:val="el-GR"/>
        </w:rPr>
        <w:t>και</w:t>
      </w:r>
      <w:r w:rsidR="00335D22" w:rsidRPr="007946A4">
        <w:rPr>
          <w:rFonts w:cstheme="minorHAnsi"/>
          <w:sz w:val="24"/>
          <w:szCs w:val="24"/>
          <w:lang w:val="el-GR"/>
        </w:rPr>
        <w:t xml:space="preserve"> </w:t>
      </w:r>
      <w:r w:rsidR="00335D22">
        <w:rPr>
          <w:rFonts w:cstheme="minorHAnsi"/>
          <w:sz w:val="24"/>
          <w:szCs w:val="24"/>
          <w:lang w:val="el-GR"/>
        </w:rPr>
        <w:t>να</w:t>
      </w:r>
      <w:r w:rsidR="00335D22" w:rsidRPr="007946A4">
        <w:rPr>
          <w:rFonts w:cstheme="minorHAnsi"/>
          <w:sz w:val="24"/>
          <w:szCs w:val="24"/>
          <w:lang w:val="el-GR"/>
        </w:rPr>
        <w:t xml:space="preserve"> </w:t>
      </w:r>
      <w:r w:rsidR="00335D22">
        <w:rPr>
          <w:rFonts w:cstheme="minorHAnsi"/>
          <w:sz w:val="24"/>
          <w:szCs w:val="24"/>
          <w:lang w:val="el-GR"/>
        </w:rPr>
        <w:t>αυξήσει</w:t>
      </w:r>
      <w:r w:rsidR="00335D22" w:rsidRPr="007946A4">
        <w:rPr>
          <w:rFonts w:cstheme="minorHAnsi"/>
          <w:sz w:val="24"/>
          <w:szCs w:val="24"/>
          <w:lang w:val="el-GR"/>
        </w:rPr>
        <w:t xml:space="preserve"> </w:t>
      </w:r>
      <w:r w:rsidR="00335D22">
        <w:rPr>
          <w:rFonts w:cstheme="minorHAnsi"/>
          <w:sz w:val="24"/>
          <w:szCs w:val="24"/>
          <w:lang w:val="el-GR"/>
        </w:rPr>
        <w:t>περαιτέρω</w:t>
      </w:r>
      <w:r w:rsidR="00335D22" w:rsidRPr="007946A4">
        <w:rPr>
          <w:rFonts w:cstheme="minorHAnsi"/>
          <w:sz w:val="24"/>
          <w:szCs w:val="24"/>
          <w:lang w:val="el-GR"/>
        </w:rPr>
        <w:t xml:space="preserve"> </w:t>
      </w:r>
      <w:r w:rsidR="00335D22">
        <w:rPr>
          <w:rFonts w:cstheme="minorHAnsi"/>
          <w:sz w:val="24"/>
          <w:szCs w:val="24"/>
          <w:lang w:val="el-GR"/>
        </w:rPr>
        <w:t>την</w:t>
      </w:r>
      <w:r w:rsidR="00335D22" w:rsidRPr="007946A4">
        <w:rPr>
          <w:rFonts w:cstheme="minorHAnsi"/>
          <w:sz w:val="24"/>
          <w:szCs w:val="24"/>
          <w:lang w:val="el-GR"/>
        </w:rPr>
        <w:t xml:space="preserve"> </w:t>
      </w:r>
      <w:r w:rsidR="00335D22">
        <w:rPr>
          <w:rFonts w:cstheme="minorHAnsi"/>
          <w:sz w:val="24"/>
          <w:szCs w:val="24"/>
          <w:lang w:val="el-GR"/>
        </w:rPr>
        <w:t>παρακολούθηση</w:t>
      </w:r>
      <w:r w:rsidR="00220066" w:rsidRPr="007946A4">
        <w:rPr>
          <w:rFonts w:cstheme="minorHAnsi"/>
          <w:sz w:val="24"/>
          <w:szCs w:val="24"/>
          <w:lang w:val="el-GR"/>
        </w:rPr>
        <w:t xml:space="preserve"> </w:t>
      </w:r>
      <w:r w:rsidR="007946A4">
        <w:rPr>
          <w:rFonts w:cstheme="minorHAnsi"/>
          <w:sz w:val="24"/>
          <w:szCs w:val="24"/>
          <w:lang w:val="el-GR"/>
        </w:rPr>
        <w:t xml:space="preserve">και το διερευνητικό περιβάλλον της </w:t>
      </w:r>
      <w:r w:rsidR="009C4E34">
        <w:rPr>
          <w:rFonts w:cstheme="minorHAnsi"/>
          <w:sz w:val="24"/>
          <w:szCs w:val="24"/>
          <w:lang w:val="el-GR"/>
        </w:rPr>
        <w:t>Αστυνομία</w:t>
      </w:r>
      <w:r w:rsidR="007946A4">
        <w:rPr>
          <w:rFonts w:cstheme="minorHAnsi"/>
          <w:sz w:val="24"/>
          <w:szCs w:val="24"/>
          <w:lang w:val="el-GR"/>
        </w:rPr>
        <w:t xml:space="preserve">ς μέσω μιας αρμόδιας αρχής ανεξάρτητης από την </w:t>
      </w:r>
      <w:r w:rsidR="009C4E34">
        <w:rPr>
          <w:rFonts w:cstheme="minorHAnsi"/>
          <w:sz w:val="24"/>
          <w:szCs w:val="24"/>
          <w:lang w:val="el-GR"/>
        </w:rPr>
        <w:t>Αστυνομία</w:t>
      </w:r>
      <w:r w:rsidR="00220066" w:rsidRPr="007946A4">
        <w:rPr>
          <w:rFonts w:cstheme="minorHAnsi"/>
          <w:sz w:val="24"/>
          <w:szCs w:val="24"/>
          <w:lang w:val="el-GR"/>
        </w:rPr>
        <w:t xml:space="preserve">. </w:t>
      </w:r>
    </w:p>
    <w:p w14:paraId="6F9874AA" w14:textId="77777777" w:rsidR="00220066" w:rsidRPr="007946A4" w:rsidRDefault="00220066" w:rsidP="00220066">
      <w:pPr>
        <w:keepNext/>
        <w:tabs>
          <w:tab w:val="left" w:pos="709"/>
        </w:tabs>
        <w:rPr>
          <w:rFonts w:cstheme="minorHAnsi"/>
          <w:sz w:val="24"/>
          <w:szCs w:val="24"/>
          <w:lang w:val="el-GR"/>
        </w:rPr>
      </w:pPr>
    </w:p>
    <w:p w14:paraId="46C08AB4" w14:textId="224E1DD1" w:rsidR="00220066" w:rsidRPr="009527D8" w:rsidRDefault="007946A4"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Η</w:t>
      </w:r>
      <w:r w:rsidRPr="007946A4">
        <w:rPr>
          <w:rFonts w:cstheme="minorHAnsi"/>
          <w:sz w:val="24"/>
          <w:szCs w:val="24"/>
          <w:lang w:val="el-GR"/>
        </w:rPr>
        <w:t xml:space="preserve"> </w:t>
      </w:r>
      <w:r>
        <w:rPr>
          <w:rFonts w:cstheme="minorHAnsi"/>
          <w:sz w:val="24"/>
          <w:szCs w:val="24"/>
          <w:lang w:val="el-GR"/>
        </w:rPr>
        <w:t>Αρχή</w:t>
      </w:r>
      <w:r w:rsidRPr="007946A4">
        <w:rPr>
          <w:rFonts w:cstheme="minorHAnsi"/>
          <w:sz w:val="24"/>
          <w:szCs w:val="24"/>
          <w:lang w:val="el-GR"/>
        </w:rPr>
        <w:t xml:space="preserve"> </w:t>
      </w:r>
      <w:r>
        <w:rPr>
          <w:rFonts w:cstheme="minorHAnsi"/>
          <w:sz w:val="24"/>
          <w:szCs w:val="24"/>
          <w:lang w:val="el-GR"/>
        </w:rPr>
        <w:t>διερευνά</w:t>
      </w:r>
      <w:r w:rsidRPr="007946A4">
        <w:rPr>
          <w:rFonts w:cstheme="minorHAnsi"/>
          <w:sz w:val="24"/>
          <w:szCs w:val="24"/>
          <w:lang w:val="el-GR"/>
        </w:rPr>
        <w:t xml:space="preserve"> </w:t>
      </w:r>
      <w:r>
        <w:rPr>
          <w:rFonts w:cstheme="minorHAnsi"/>
          <w:sz w:val="24"/>
          <w:szCs w:val="24"/>
          <w:lang w:val="el-GR"/>
        </w:rPr>
        <w:t>ισχυρισμούς</w:t>
      </w:r>
      <w:r w:rsidRPr="007946A4">
        <w:rPr>
          <w:rFonts w:cstheme="minorHAnsi"/>
          <w:sz w:val="24"/>
          <w:szCs w:val="24"/>
          <w:lang w:val="el-GR"/>
        </w:rPr>
        <w:t xml:space="preserve"> </w:t>
      </w:r>
      <w:r>
        <w:rPr>
          <w:rFonts w:cstheme="minorHAnsi"/>
          <w:sz w:val="24"/>
          <w:szCs w:val="24"/>
          <w:lang w:val="el-GR"/>
        </w:rPr>
        <w:t>και</w:t>
      </w:r>
      <w:r w:rsidRPr="007946A4">
        <w:rPr>
          <w:rFonts w:cstheme="minorHAnsi"/>
          <w:sz w:val="24"/>
          <w:szCs w:val="24"/>
          <w:lang w:val="el-GR"/>
        </w:rPr>
        <w:t xml:space="preserve"> </w:t>
      </w:r>
      <w:r>
        <w:rPr>
          <w:rFonts w:cstheme="minorHAnsi"/>
          <w:sz w:val="24"/>
          <w:szCs w:val="24"/>
          <w:lang w:val="el-GR"/>
        </w:rPr>
        <w:t>παράπονα</w:t>
      </w:r>
      <w:r w:rsidRPr="007946A4">
        <w:rPr>
          <w:rFonts w:cstheme="minorHAnsi"/>
          <w:sz w:val="24"/>
          <w:szCs w:val="24"/>
          <w:lang w:val="el-GR"/>
        </w:rPr>
        <w:t xml:space="preserve"> </w:t>
      </w:r>
      <w:r>
        <w:rPr>
          <w:rFonts w:cstheme="minorHAnsi"/>
          <w:sz w:val="24"/>
          <w:szCs w:val="24"/>
          <w:lang w:val="el-GR"/>
        </w:rPr>
        <w:t>εναντίον</w:t>
      </w:r>
      <w:r w:rsidRPr="007946A4">
        <w:rPr>
          <w:rFonts w:cstheme="minorHAnsi"/>
          <w:sz w:val="24"/>
          <w:szCs w:val="24"/>
          <w:lang w:val="el-GR"/>
        </w:rPr>
        <w:t xml:space="preserve"> </w:t>
      </w:r>
      <w:r>
        <w:rPr>
          <w:rFonts w:cstheme="minorHAnsi"/>
          <w:sz w:val="24"/>
          <w:szCs w:val="24"/>
          <w:lang w:val="el-GR"/>
        </w:rPr>
        <w:t>τους</w:t>
      </w:r>
      <w:r w:rsidRPr="007946A4">
        <w:rPr>
          <w:rFonts w:cstheme="minorHAnsi"/>
          <w:sz w:val="24"/>
          <w:szCs w:val="24"/>
          <w:lang w:val="el-GR"/>
        </w:rPr>
        <w:t xml:space="preserve"> </w:t>
      </w:r>
      <w:r>
        <w:rPr>
          <w:rFonts w:cstheme="minorHAnsi"/>
          <w:sz w:val="24"/>
          <w:szCs w:val="24"/>
          <w:lang w:val="el-GR"/>
        </w:rPr>
        <w:t>ΑΕΝ</w:t>
      </w:r>
      <w:r w:rsidRPr="007946A4">
        <w:rPr>
          <w:rFonts w:cstheme="minorHAnsi"/>
          <w:sz w:val="24"/>
          <w:szCs w:val="24"/>
          <w:lang w:val="el-GR"/>
        </w:rPr>
        <w:t xml:space="preserve"> </w:t>
      </w:r>
      <w:r>
        <w:rPr>
          <w:rFonts w:cstheme="minorHAnsi"/>
          <w:sz w:val="24"/>
          <w:szCs w:val="24"/>
          <w:lang w:val="el-GR"/>
        </w:rPr>
        <w:t>που</w:t>
      </w:r>
      <w:r w:rsidRPr="007946A4">
        <w:rPr>
          <w:rFonts w:cstheme="minorHAnsi"/>
          <w:sz w:val="24"/>
          <w:szCs w:val="24"/>
          <w:lang w:val="el-GR"/>
        </w:rPr>
        <w:t xml:space="preserve"> </w:t>
      </w:r>
      <w:r>
        <w:rPr>
          <w:rFonts w:cstheme="minorHAnsi"/>
          <w:sz w:val="24"/>
          <w:szCs w:val="24"/>
          <w:lang w:val="el-GR"/>
        </w:rPr>
        <w:t>αφορούν</w:t>
      </w:r>
      <w:r w:rsidR="00220066" w:rsidRPr="007946A4">
        <w:rPr>
          <w:rFonts w:cstheme="minorHAnsi"/>
          <w:sz w:val="24"/>
          <w:szCs w:val="24"/>
          <w:lang w:val="el-GR"/>
        </w:rPr>
        <w:t xml:space="preserve"> (</w:t>
      </w:r>
      <w:r>
        <w:rPr>
          <w:rFonts w:cstheme="minorHAnsi"/>
          <w:sz w:val="24"/>
          <w:szCs w:val="24"/>
          <w:lang w:val="el-GR"/>
        </w:rPr>
        <w:t>α</w:t>
      </w:r>
      <w:r w:rsidR="00220066" w:rsidRPr="007946A4">
        <w:rPr>
          <w:rFonts w:cstheme="minorHAnsi"/>
          <w:sz w:val="24"/>
          <w:szCs w:val="24"/>
          <w:lang w:val="el-GR"/>
        </w:rPr>
        <w:t xml:space="preserve">) </w:t>
      </w:r>
      <w:r>
        <w:rPr>
          <w:rFonts w:cstheme="minorHAnsi"/>
          <w:sz w:val="24"/>
          <w:szCs w:val="24"/>
          <w:lang w:val="el-GR"/>
        </w:rPr>
        <w:t>την</w:t>
      </w:r>
      <w:r w:rsidRPr="007946A4">
        <w:rPr>
          <w:rFonts w:cstheme="minorHAnsi"/>
          <w:sz w:val="24"/>
          <w:szCs w:val="24"/>
          <w:lang w:val="el-GR"/>
        </w:rPr>
        <w:t xml:space="preserve"> </w:t>
      </w:r>
      <w:r>
        <w:rPr>
          <w:rFonts w:cstheme="minorHAnsi"/>
          <w:sz w:val="24"/>
          <w:szCs w:val="24"/>
          <w:lang w:val="el-GR"/>
        </w:rPr>
        <w:t>διαφθορά</w:t>
      </w:r>
      <w:r w:rsidRPr="007946A4">
        <w:rPr>
          <w:rFonts w:cstheme="minorHAnsi"/>
          <w:sz w:val="24"/>
          <w:szCs w:val="24"/>
          <w:lang w:val="el-GR"/>
        </w:rPr>
        <w:t xml:space="preserve">, </w:t>
      </w:r>
      <w:r w:rsidR="002E5EC0">
        <w:rPr>
          <w:rFonts w:cstheme="minorHAnsi"/>
          <w:sz w:val="24"/>
          <w:szCs w:val="24"/>
          <w:lang w:val="el-GR"/>
        </w:rPr>
        <w:t>δωροδοκία</w:t>
      </w:r>
      <w:r w:rsidRPr="007946A4">
        <w:rPr>
          <w:rFonts w:cstheme="minorHAnsi"/>
          <w:sz w:val="24"/>
          <w:szCs w:val="24"/>
          <w:lang w:val="el-GR"/>
        </w:rPr>
        <w:t xml:space="preserve"> </w:t>
      </w:r>
      <w:r>
        <w:rPr>
          <w:rFonts w:cstheme="minorHAnsi"/>
          <w:sz w:val="24"/>
          <w:szCs w:val="24"/>
          <w:lang w:val="el-GR"/>
        </w:rPr>
        <w:t xml:space="preserve">ή </w:t>
      </w:r>
      <w:r w:rsidR="002E5EC0">
        <w:rPr>
          <w:rFonts w:cstheme="minorHAnsi"/>
          <w:sz w:val="24"/>
          <w:szCs w:val="24"/>
          <w:lang w:val="el-GR"/>
        </w:rPr>
        <w:t>παράνομο</w:t>
      </w:r>
      <w:r>
        <w:rPr>
          <w:rFonts w:cstheme="minorHAnsi"/>
          <w:sz w:val="24"/>
          <w:szCs w:val="24"/>
          <w:lang w:val="el-GR"/>
        </w:rPr>
        <w:t xml:space="preserve"> </w:t>
      </w:r>
      <w:r w:rsidR="002E5EC0">
        <w:rPr>
          <w:rFonts w:cstheme="minorHAnsi"/>
          <w:sz w:val="24"/>
          <w:szCs w:val="24"/>
          <w:lang w:val="el-GR"/>
        </w:rPr>
        <w:t>πλουτισμό</w:t>
      </w:r>
      <w:r>
        <w:rPr>
          <w:rFonts w:cstheme="minorHAnsi"/>
          <w:sz w:val="24"/>
          <w:szCs w:val="24"/>
          <w:lang w:val="el-GR"/>
        </w:rPr>
        <w:t>,</w:t>
      </w:r>
      <w:r w:rsidR="00220066" w:rsidRPr="007946A4">
        <w:rPr>
          <w:rFonts w:cstheme="minorHAnsi"/>
          <w:sz w:val="24"/>
          <w:szCs w:val="24"/>
          <w:lang w:val="el-GR"/>
        </w:rPr>
        <w:t xml:space="preserve"> (</w:t>
      </w:r>
      <w:r>
        <w:rPr>
          <w:rFonts w:cstheme="minorHAnsi"/>
          <w:sz w:val="24"/>
          <w:szCs w:val="24"/>
          <w:lang w:val="el-GR"/>
        </w:rPr>
        <w:t>β</w:t>
      </w:r>
      <w:r w:rsidR="00220066" w:rsidRPr="007946A4">
        <w:rPr>
          <w:rFonts w:cstheme="minorHAnsi"/>
          <w:sz w:val="24"/>
          <w:szCs w:val="24"/>
          <w:lang w:val="el-GR"/>
        </w:rPr>
        <w:t xml:space="preserve">) </w:t>
      </w:r>
      <w:r>
        <w:rPr>
          <w:rFonts w:cstheme="minorHAnsi"/>
          <w:sz w:val="24"/>
          <w:szCs w:val="24"/>
          <w:lang w:val="el-GR"/>
        </w:rPr>
        <w:t>παραβίαση ανθρωπίνων δικαιωμάτων,</w:t>
      </w:r>
      <w:r w:rsidR="00220066" w:rsidRPr="007946A4">
        <w:rPr>
          <w:rFonts w:cstheme="minorHAnsi"/>
          <w:sz w:val="24"/>
          <w:szCs w:val="24"/>
          <w:lang w:val="el-GR"/>
        </w:rPr>
        <w:t xml:space="preserve"> </w:t>
      </w:r>
      <w:r>
        <w:rPr>
          <w:rFonts w:cstheme="minorHAnsi"/>
          <w:sz w:val="24"/>
          <w:szCs w:val="24"/>
          <w:lang w:val="el-GR"/>
        </w:rPr>
        <w:t>και</w:t>
      </w:r>
      <w:r w:rsidR="00220066" w:rsidRPr="007946A4">
        <w:rPr>
          <w:rFonts w:cstheme="minorHAnsi"/>
          <w:sz w:val="24"/>
          <w:szCs w:val="24"/>
          <w:lang w:val="el-GR"/>
        </w:rPr>
        <w:t xml:space="preserve"> (</w:t>
      </w:r>
      <w:r>
        <w:rPr>
          <w:rFonts w:cstheme="minorHAnsi"/>
          <w:sz w:val="24"/>
          <w:szCs w:val="24"/>
          <w:lang w:val="el-GR"/>
        </w:rPr>
        <w:t>γ</w:t>
      </w:r>
      <w:r w:rsidR="00220066" w:rsidRPr="007946A4">
        <w:rPr>
          <w:rFonts w:cstheme="minorHAnsi"/>
          <w:sz w:val="24"/>
          <w:szCs w:val="24"/>
          <w:lang w:val="el-GR"/>
        </w:rPr>
        <w:t xml:space="preserve">) </w:t>
      </w:r>
      <w:r>
        <w:rPr>
          <w:rFonts w:cstheme="minorHAnsi"/>
          <w:sz w:val="24"/>
          <w:szCs w:val="24"/>
          <w:lang w:val="el-GR"/>
        </w:rPr>
        <w:t xml:space="preserve">ενέργειες που αποτελούν ευνοϊκή </w:t>
      </w:r>
      <w:r w:rsidR="002E5EC0">
        <w:rPr>
          <w:rFonts w:cstheme="minorHAnsi"/>
          <w:sz w:val="24"/>
          <w:szCs w:val="24"/>
          <w:lang w:val="el-GR"/>
        </w:rPr>
        <w:t>μεταχείριση</w:t>
      </w:r>
      <w:r w:rsidR="00220066" w:rsidRPr="007946A4">
        <w:rPr>
          <w:rFonts w:cstheme="minorHAnsi"/>
          <w:sz w:val="24"/>
          <w:szCs w:val="24"/>
          <w:lang w:val="el-GR"/>
        </w:rPr>
        <w:t xml:space="preserve"> </w:t>
      </w:r>
      <w:r>
        <w:rPr>
          <w:rFonts w:cstheme="minorHAnsi"/>
          <w:sz w:val="24"/>
          <w:szCs w:val="24"/>
          <w:lang w:val="el-GR"/>
        </w:rPr>
        <w:t>ή υπονόμευση της αστυνομικής φήμης</w:t>
      </w:r>
      <w:r w:rsidR="00220066" w:rsidRPr="007946A4">
        <w:rPr>
          <w:rFonts w:cstheme="minorHAnsi"/>
          <w:sz w:val="24"/>
          <w:szCs w:val="24"/>
          <w:lang w:val="el-GR"/>
        </w:rPr>
        <w:t xml:space="preserve">. </w:t>
      </w:r>
      <w:r w:rsidR="009527D8">
        <w:rPr>
          <w:rFonts w:cstheme="minorHAnsi"/>
          <w:sz w:val="24"/>
          <w:szCs w:val="24"/>
          <w:lang w:val="el-GR"/>
        </w:rPr>
        <w:t>Οι</w:t>
      </w:r>
      <w:r w:rsidR="009527D8" w:rsidRPr="009527D8">
        <w:rPr>
          <w:rFonts w:cstheme="minorHAnsi"/>
          <w:sz w:val="24"/>
          <w:szCs w:val="24"/>
          <w:lang w:val="el-GR"/>
        </w:rPr>
        <w:t xml:space="preserve"> </w:t>
      </w:r>
      <w:r w:rsidR="009527D8">
        <w:rPr>
          <w:rFonts w:cstheme="minorHAnsi"/>
          <w:sz w:val="24"/>
          <w:szCs w:val="24"/>
          <w:lang w:val="el-GR"/>
        </w:rPr>
        <w:t>έρευνες</w:t>
      </w:r>
      <w:r w:rsidR="009527D8" w:rsidRPr="009527D8">
        <w:rPr>
          <w:rFonts w:cstheme="minorHAnsi"/>
          <w:sz w:val="24"/>
          <w:szCs w:val="24"/>
          <w:lang w:val="el-GR"/>
        </w:rPr>
        <w:t xml:space="preserve"> </w:t>
      </w:r>
      <w:r w:rsidR="009527D8">
        <w:rPr>
          <w:rFonts w:cstheme="minorHAnsi"/>
          <w:sz w:val="24"/>
          <w:szCs w:val="24"/>
          <w:lang w:val="el-GR"/>
        </w:rPr>
        <w:t>μπορούν</w:t>
      </w:r>
      <w:r w:rsidR="009527D8" w:rsidRPr="009527D8">
        <w:rPr>
          <w:rFonts w:cstheme="minorHAnsi"/>
          <w:sz w:val="24"/>
          <w:szCs w:val="24"/>
          <w:lang w:val="el-GR"/>
        </w:rPr>
        <w:t xml:space="preserve"> </w:t>
      </w:r>
      <w:r w:rsidR="009527D8">
        <w:rPr>
          <w:rFonts w:cstheme="minorHAnsi"/>
          <w:sz w:val="24"/>
          <w:szCs w:val="24"/>
          <w:lang w:val="el-GR"/>
        </w:rPr>
        <w:t>να</w:t>
      </w:r>
      <w:r w:rsidR="009527D8" w:rsidRPr="009527D8">
        <w:rPr>
          <w:rFonts w:cstheme="minorHAnsi"/>
          <w:sz w:val="24"/>
          <w:szCs w:val="24"/>
          <w:lang w:val="el-GR"/>
        </w:rPr>
        <w:t xml:space="preserve"> </w:t>
      </w:r>
      <w:r w:rsidR="009527D8">
        <w:rPr>
          <w:rFonts w:cstheme="minorHAnsi"/>
          <w:sz w:val="24"/>
          <w:szCs w:val="24"/>
          <w:lang w:val="el-GR"/>
        </w:rPr>
        <w:t>συσταθούν</w:t>
      </w:r>
      <w:r w:rsidR="009527D8" w:rsidRPr="009527D8">
        <w:rPr>
          <w:rFonts w:cstheme="minorHAnsi"/>
          <w:sz w:val="24"/>
          <w:szCs w:val="24"/>
          <w:lang w:val="el-GR"/>
        </w:rPr>
        <w:t xml:space="preserve"> </w:t>
      </w:r>
      <w:r w:rsidR="009527D8">
        <w:rPr>
          <w:rFonts w:cstheme="minorHAnsi"/>
          <w:sz w:val="24"/>
          <w:szCs w:val="24"/>
          <w:lang w:val="el-GR"/>
        </w:rPr>
        <w:t>αυτεπάγγελτα</w:t>
      </w:r>
      <w:r w:rsidR="009527D8" w:rsidRPr="009527D8">
        <w:rPr>
          <w:rFonts w:cstheme="minorHAnsi"/>
          <w:sz w:val="24"/>
          <w:szCs w:val="24"/>
          <w:lang w:val="el-GR"/>
        </w:rPr>
        <w:t xml:space="preserve"> </w:t>
      </w:r>
      <w:r w:rsidR="009527D8" w:rsidRPr="009527D8">
        <w:rPr>
          <w:rFonts w:cstheme="minorHAnsi"/>
          <w:i/>
          <w:sz w:val="24"/>
          <w:szCs w:val="24"/>
          <w:lang w:val="el-GR"/>
        </w:rPr>
        <w:t>(</w:t>
      </w:r>
      <w:r w:rsidR="00220066" w:rsidRPr="004E251E">
        <w:rPr>
          <w:rFonts w:cstheme="minorHAnsi"/>
          <w:i/>
          <w:iCs/>
          <w:sz w:val="24"/>
          <w:szCs w:val="24"/>
        </w:rPr>
        <w:t>ex</w:t>
      </w:r>
      <w:r w:rsidR="00220066" w:rsidRPr="009527D8">
        <w:rPr>
          <w:rFonts w:cstheme="minorHAnsi"/>
          <w:i/>
          <w:iCs/>
          <w:sz w:val="24"/>
          <w:szCs w:val="24"/>
          <w:lang w:val="el-GR"/>
        </w:rPr>
        <w:t xml:space="preserve"> </w:t>
      </w:r>
      <w:r w:rsidR="00220066" w:rsidRPr="004E251E">
        <w:rPr>
          <w:rFonts w:cstheme="minorHAnsi"/>
          <w:i/>
          <w:iCs/>
          <w:sz w:val="24"/>
          <w:szCs w:val="24"/>
        </w:rPr>
        <w:t>officio</w:t>
      </w:r>
      <w:r w:rsidR="009527D8" w:rsidRPr="009527D8">
        <w:rPr>
          <w:rFonts w:cstheme="minorHAnsi"/>
          <w:i/>
          <w:iCs/>
          <w:sz w:val="24"/>
          <w:szCs w:val="24"/>
          <w:lang w:val="el-GR"/>
        </w:rPr>
        <w:t>)</w:t>
      </w:r>
      <w:r w:rsidR="00220066" w:rsidRPr="009527D8">
        <w:rPr>
          <w:rFonts w:cstheme="minorHAnsi"/>
          <w:sz w:val="24"/>
          <w:szCs w:val="24"/>
          <w:lang w:val="el-GR"/>
        </w:rPr>
        <w:t xml:space="preserve">, </w:t>
      </w:r>
      <w:r w:rsidR="009527D8">
        <w:rPr>
          <w:rFonts w:cstheme="minorHAnsi"/>
          <w:sz w:val="24"/>
          <w:szCs w:val="24"/>
          <w:lang w:val="el-GR"/>
        </w:rPr>
        <w:t>κατόπιν</w:t>
      </w:r>
      <w:r w:rsidR="009527D8" w:rsidRPr="009527D8">
        <w:rPr>
          <w:rFonts w:cstheme="minorHAnsi"/>
          <w:sz w:val="24"/>
          <w:szCs w:val="24"/>
          <w:lang w:val="el-GR"/>
        </w:rPr>
        <w:t xml:space="preserve"> </w:t>
      </w:r>
      <w:r w:rsidR="009527D8">
        <w:rPr>
          <w:rFonts w:cstheme="minorHAnsi"/>
          <w:sz w:val="24"/>
          <w:szCs w:val="24"/>
          <w:lang w:val="el-GR"/>
        </w:rPr>
        <w:t>παραπόνου</w:t>
      </w:r>
      <w:r w:rsidR="009527D8" w:rsidRPr="009527D8">
        <w:rPr>
          <w:rFonts w:cstheme="minorHAnsi"/>
          <w:sz w:val="24"/>
          <w:szCs w:val="24"/>
          <w:lang w:val="el-GR"/>
        </w:rPr>
        <w:t xml:space="preserve"> </w:t>
      </w:r>
      <w:r w:rsidR="009527D8">
        <w:rPr>
          <w:rFonts w:cstheme="minorHAnsi"/>
          <w:sz w:val="24"/>
          <w:szCs w:val="24"/>
          <w:lang w:val="el-GR"/>
        </w:rPr>
        <w:t>από</w:t>
      </w:r>
      <w:r w:rsidR="009527D8" w:rsidRPr="009527D8">
        <w:rPr>
          <w:rFonts w:cstheme="minorHAnsi"/>
          <w:sz w:val="24"/>
          <w:szCs w:val="24"/>
          <w:lang w:val="el-GR"/>
        </w:rPr>
        <w:t xml:space="preserve"> </w:t>
      </w:r>
      <w:r w:rsidR="009527D8">
        <w:rPr>
          <w:rFonts w:cstheme="minorHAnsi"/>
          <w:sz w:val="24"/>
          <w:szCs w:val="24"/>
          <w:lang w:val="el-GR"/>
        </w:rPr>
        <w:t>πολίτη</w:t>
      </w:r>
      <w:r w:rsidR="009527D8" w:rsidRPr="009527D8">
        <w:rPr>
          <w:rFonts w:cstheme="minorHAnsi"/>
          <w:sz w:val="24"/>
          <w:szCs w:val="24"/>
          <w:lang w:val="el-GR"/>
        </w:rPr>
        <w:t xml:space="preserve"> </w:t>
      </w:r>
      <w:r w:rsidR="00220066" w:rsidRPr="009527D8">
        <w:rPr>
          <w:rFonts w:cstheme="minorHAnsi"/>
          <w:sz w:val="24"/>
          <w:szCs w:val="24"/>
          <w:lang w:val="el-GR"/>
        </w:rPr>
        <w:t>(</w:t>
      </w:r>
      <w:r w:rsidR="009527D8">
        <w:rPr>
          <w:rFonts w:cstheme="minorHAnsi"/>
          <w:sz w:val="24"/>
          <w:szCs w:val="24"/>
          <w:lang w:val="el-GR"/>
        </w:rPr>
        <w:t>ανώνυμα</w:t>
      </w:r>
      <w:r w:rsidR="009527D8" w:rsidRPr="009527D8">
        <w:rPr>
          <w:rFonts w:cstheme="minorHAnsi"/>
          <w:sz w:val="24"/>
          <w:szCs w:val="24"/>
          <w:lang w:val="el-GR"/>
        </w:rPr>
        <w:t xml:space="preserve"> </w:t>
      </w:r>
      <w:r w:rsidR="009527D8">
        <w:rPr>
          <w:rFonts w:cstheme="minorHAnsi"/>
          <w:sz w:val="24"/>
          <w:szCs w:val="24"/>
          <w:lang w:val="el-GR"/>
        </w:rPr>
        <w:t>παράπονα</w:t>
      </w:r>
      <w:r w:rsidR="009527D8" w:rsidRPr="009527D8">
        <w:rPr>
          <w:rFonts w:cstheme="minorHAnsi"/>
          <w:sz w:val="24"/>
          <w:szCs w:val="24"/>
          <w:lang w:val="el-GR"/>
        </w:rPr>
        <w:t xml:space="preserve"> </w:t>
      </w:r>
      <w:r w:rsidR="009527D8">
        <w:rPr>
          <w:rFonts w:cstheme="minorHAnsi"/>
          <w:sz w:val="24"/>
          <w:szCs w:val="24"/>
          <w:lang w:val="el-GR"/>
        </w:rPr>
        <w:t>δεν</w:t>
      </w:r>
      <w:r w:rsidR="009527D8" w:rsidRPr="009527D8">
        <w:rPr>
          <w:rFonts w:cstheme="minorHAnsi"/>
          <w:sz w:val="24"/>
          <w:szCs w:val="24"/>
          <w:lang w:val="el-GR"/>
        </w:rPr>
        <w:t xml:space="preserve"> </w:t>
      </w:r>
      <w:r w:rsidR="009527D8">
        <w:rPr>
          <w:rFonts w:cstheme="minorHAnsi"/>
          <w:sz w:val="24"/>
          <w:szCs w:val="24"/>
          <w:lang w:val="el-GR"/>
        </w:rPr>
        <w:t>είναι</w:t>
      </w:r>
      <w:r w:rsidR="009527D8" w:rsidRPr="009527D8">
        <w:rPr>
          <w:rFonts w:cstheme="minorHAnsi"/>
          <w:sz w:val="24"/>
          <w:szCs w:val="24"/>
          <w:lang w:val="el-GR"/>
        </w:rPr>
        <w:t xml:space="preserve"> </w:t>
      </w:r>
      <w:r w:rsidR="009527D8">
        <w:rPr>
          <w:rFonts w:cstheme="minorHAnsi"/>
          <w:sz w:val="24"/>
          <w:szCs w:val="24"/>
          <w:lang w:val="el-GR"/>
        </w:rPr>
        <w:t>εφικτά</w:t>
      </w:r>
      <w:r w:rsidR="00220066" w:rsidRPr="009527D8">
        <w:rPr>
          <w:rFonts w:cstheme="minorHAnsi"/>
          <w:sz w:val="24"/>
          <w:szCs w:val="24"/>
          <w:lang w:val="el-GR"/>
        </w:rPr>
        <w:t xml:space="preserve">), </w:t>
      </w:r>
      <w:r w:rsidR="009527D8">
        <w:rPr>
          <w:rFonts w:cstheme="minorHAnsi"/>
          <w:sz w:val="24"/>
          <w:szCs w:val="24"/>
          <w:lang w:val="el-GR"/>
        </w:rPr>
        <w:t>όπως ανατίθενται από τον Γενικό Εισαγγελέα ή τον Υπουργό Δικαιοσύνης και Δημοσίας Τάξεως</w:t>
      </w:r>
      <w:r w:rsidR="00220066" w:rsidRPr="009527D8">
        <w:rPr>
          <w:rFonts w:cstheme="minorHAnsi"/>
          <w:sz w:val="24"/>
          <w:szCs w:val="24"/>
          <w:lang w:val="el-GR"/>
        </w:rPr>
        <w:t xml:space="preserve">. </w:t>
      </w:r>
    </w:p>
    <w:p w14:paraId="6395F96C" w14:textId="77777777" w:rsidR="00220066" w:rsidRPr="009527D8" w:rsidRDefault="00220066" w:rsidP="00220066">
      <w:pPr>
        <w:keepNext/>
        <w:tabs>
          <w:tab w:val="left" w:pos="709"/>
        </w:tabs>
        <w:rPr>
          <w:rFonts w:cstheme="minorHAnsi"/>
          <w:sz w:val="24"/>
          <w:szCs w:val="24"/>
          <w:lang w:val="el-GR"/>
        </w:rPr>
      </w:pPr>
    </w:p>
    <w:p w14:paraId="0B8EA2DE" w14:textId="7C308F0E" w:rsidR="00220066" w:rsidRPr="004E251E" w:rsidRDefault="009527D8" w:rsidP="00220066">
      <w:pPr>
        <w:keepNext/>
        <w:numPr>
          <w:ilvl w:val="0"/>
          <w:numId w:val="1"/>
        </w:numPr>
        <w:tabs>
          <w:tab w:val="left" w:pos="709"/>
        </w:tabs>
        <w:ind w:left="0" w:firstLine="0"/>
        <w:rPr>
          <w:rFonts w:cstheme="minorHAnsi"/>
          <w:sz w:val="24"/>
          <w:szCs w:val="24"/>
        </w:rPr>
      </w:pPr>
      <w:r>
        <w:rPr>
          <w:rFonts w:cstheme="minorHAnsi"/>
          <w:sz w:val="24"/>
          <w:szCs w:val="24"/>
          <w:lang w:val="el-GR"/>
        </w:rPr>
        <w:t>Επικεφαλής</w:t>
      </w:r>
      <w:r w:rsidRPr="009527D8">
        <w:rPr>
          <w:rFonts w:cstheme="minorHAnsi"/>
          <w:sz w:val="24"/>
          <w:szCs w:val="24"/>
          <w:lang w:val="el-GR"/>
        </w:rPr>
        <w:t xml:space="preserve"> </w:t>
      </w:r>
      <w:r>
        <w:rPr>
          <w:rFonts w:cstheme="minorHAnsi"/>
          <w:sz w:val="24"/>
          <w:szCs w:val="24"/>
          <w:lang w:val="el-GR"/>
        </w:rPr>
        <w:t>της</w:t>
      </w:r>
      <w:r w:rsidRPr="009527D8">
        <w:rPr>
          <w:rFonts w:cstheme="minorHAnsi"/>
          <w:sz w:val="24"/>
          <w:szCs w:val="24"/>
          <w:lang w:val="el-GR"/>
        </w:rPr>
        <w:t xml:space="preserve"> </w:t>
      </w:r>
      <w:r>
        <w:rPr>
          <w:rFonts w:cstheme="minorHAnsi"/>
          <w:sz w:val="24"/>
          <w:szCs w:val="24"/>
          <w:lang w:val="el-GR"/>
        </w:rPr>
        <w:t>ΑΑΔΙΠΑ</w:t>
      </w:r>
      <w:r w:rsidR="00220066" w:rsidRPr="009527D8">
        <w:rPr>
          <w:rFonts w:cstheme="minorHAnsi"/>
          <w:sz w:val="24"/>
          <w:szCs w:val="24"/>
          <w:lang w:val="el-GR"/>
        </w:rPr>
        <w:t xml:space="preserve"> </w:t>
      </w:r>
      <w:r>
        <w:rPr>
          <w:rFonts w:cstheme="minorHAnsi"/>
          <w:sz w:val="24"/>
          <w:szCs w:val="24"/>
          <w:lang w:val="el-GR"/>
        </w:rPr>
        <w:t>είναι</w:t>
      </w:r>
      <w:r w:rsidRPr="009527D8">
        <w:rPr>
          <w:rFonts w:cstheme="minorHAnsi"/>
          <w:sz w:val="24"/>
          <w:szCs w:val="24"/>
          <w:lang w:val="el-GR"/>
        </w:rPr>
        <w:t xml:space="preserve"> </w:t>
      </w:r>
      <w:r>
        <w:rPr>
          <w:rFonts w:cstheme="minorHAnsi"/>
          <w:sz w:val="24"/>
          <w:szCs w:val="24"/>
          <w:lang w:val="el-GR"/>
        </w:rPr>
        <w:t>ένα</w:t>
      </w:r>
      <w:r w:rsidRPr="009527D8">
        <w:rPr>
          <w:rFonts w:cstheme="minorHAnsi"/>
          <w:sz w:val="24"/>
          <w:szCs w:val="24"/>
          <w:lang w:val="el-GR"/>
        </w:rPr>
        <w:t xml:space="preserve"> </w:t>
      </w:r>
      <w:r>
        <w:rPr>
          <w:rFonts w:cstheme="minorHAnsi"/>
          <w:sz w:val="24"/>
          <w:szCs w:val="24"/>
          <w:lang w:val="el-GR"/>
        </w:rPr>
        <w:t>Συμβούλιο</w:t>
      </w:r>
      <w:r w:rsidRPr="009527D8">
        <w:rPr>
          <w:rFonts w:cstheme="minorHAnsi"/>
          <w:sz w:val="24"/>
          <w:szCs w:val="24"/>
          <w:lang w:val="el-GR"/>
        </w:rPr>
        <w:t xml:space="preserve"> </w:t>
      </w:r>
      <w:r w:rsidR="00BE4722">
        <w:rPr>
          <w:rFonts w:cstheme="minorHAnsi"/>
          <w:sz w:val="24"/>
          <w:szCs w:val="24"/>
          <w:lang w:val="el-GR"/>
        </w:rPr>
        <w:t>π</w:t>
      </w:r>
      <w:r>
        <w:rPr>
          <w:rFonts w:cstheme="minorHAnsi"/>
          <w:sz w:val="24"/>
          <w:szCs w:val="24"/>
          <w:lang w:val="el-GR"/>
        </w:rPr>
        <w:t>έντε</w:t>
      </w:r>
      <w:r w:rsidRPr="009527D8">
        <w:rPr>
          <w:rFonts w:cstheme="minorHAnsi"/>
          <w:sz w:val="24"/>
          <w:szCs w:val="24"/>
          <w:lang w:val="el-GR"/>
        </w:rPr>
        <w:t xml:space="preserve"> </w:t>
      </w:r>
      <w:r>
        <w:rPr>
          <w:rFonts w:cstheme="minorHAnsi"/>
          <w:sz w:val="24"/>
          <w:szCs w:val="24"/>
          <w:lang w:val="el-GR"/>
        </w:rPr>
        <w:t>μελών</w:t>
      </w:r>
      <w:r w:rsidR="00220066" w:rsidRPr="009527D8">
        <w:rPr>
          <w:rFonts w:cstheme="minorHAnsi"/>
          <w:sz w:val="24"/>
          <w:szCs w:val="24"/>
          <w:lang w:val="el-GR"/>
        </w:rPr>
        <w:t xml:space="preserve">, </w:t>
      </w:r>
      <w:r>
        <w:rPr>
          <w:rFonts w:cstheme="minorHAnsi"/>
          <w:sz w:val="24"/>
          <w:szCs w:val="24"/>
          <w:lang w:val="el-GR"/>
        </w:rPr>
        <w:t>συμπεριλαμβανομένου</w:t>
      </w:r>
      <w:r w:rsidRPr="009527D8">
        <w:rPr>
          <w:rFonts w:cstheme="minorHAnsi"/>
          <w:sz w:val="24"/>
          <w:szCs w:val="24"/>
          <w:lang w:val="el-GR"/>
        </w:rPr>
        <w:t xml:space="preserve"> </w:t>
      </w:r>
      <w:r>
        <w:rPr>
          <w:rFonts w:cstheme="minorHAnsi"/>
          <w:sz w:val="24"/>
          <w:szCs w:val="24"/>
          <w:lang w:val="el-GR"/>
        </w:rPr>
        <w:t>του</w:t>
      </w:r>
      <w:r w:rsidRPr="009527D8">
        <w:rPr>
          <w:rFonts w:cstheme="minorHAnsi"/>
          <w:sz w:val="24"/>
          <w:szCs w:val="24"/>
          <w:lang w:val="el-GR"/>
        </w:rPr>
        <w:t xml:space="preserve"> </w:t>
      </w:r>
      <w:r>
        <w:rPr>
          <w:rFonts w:cstheme="minorHAnsi"/>
          <w:sz w:val="24"/>
          <w:szCs w:val="24"/>
          <w:lang w:val="el-GR"/>
        </w:rPr>
        <w:t>Προέδρου της</w:t>
      </w:r>
      <w:r w:rsidR="00220066" w:rsidRPr="009527D8">
        <w:rPr>
          <w:rFonts w:cstheme="minorHAnsi"/>
          <w:sz w:val="24"/>
          <w:szCs w:val="24"/>
          <w:lang w:val="el-GR"/>
        </w:rPr>
        <w:t xml:space="preserve">, </w:t>
      </w:r>
      <w:r>
        <w:rPr>
          <w:rFonts w:cstheme="minorHAnsi"/>
          <w:sz w:val="24"/>
          <w:szCs w:val="24"/>
          <w:lang w:val="el-GR"/>
        </w:rPr>
        <w:t>που διορίζονται από το Υπουργικό Συμβούλιο</w:t>
      </w:r>
      <w:r w:rsidR="00220066" w:rsidRPr="009527D8">
        <w:rPr>
          <w:rFonts w:cstheme="minorHAnsi"/>
          <w:sz w:val="24"/>
          <w:szCs w:val="24"/>
          <w:lang w:val="el-GR"/>
        </w:rPr>
        <w:t xml:space="preserve"> </w:t>
      </w:r>
      <w:r>
        <w:rPr>
          <w:rFonts w:cstheme="minorHAnsi"/>
          <w:sz w:val="24"/>
          <w:szCs w:val="24"/>
          <w:lang w:val="el-GR"/>
        </w:rPr>
        <w:t>για μια πενταετή θητεία</w:t>
      </w:r>
      <w:r w:rsidR="00901561" w:rsidRPr="009527D8">
        <w:rPr>
          <w:rFonts w:cstheme="minorHAnsi"/>
          <w:sz w:val="24"/>
          <w:szCs w:val="24"/>
          <w:lang w:val="el-GR"/>
        </w:rPr>
        <w:t>.</w:t>
      </w:r>
      <w:r w:rsidR="00220066" w:rsidRPr="009527D8">
        <w:rPr>
          <w:rFonts w:cstheme="minorHAnsi"/>
          <w:sz w:val="24"/>
          <w:szCs w:val="24"/>
          <w:lang w:val="el-GR"/>
        </w:rPr>
        <w:t xml:space="preserve"> </w:t>
      </w:r>
      <w:bookmarkStart w:id="241" w:name="_Hlk132890266"/>
      <w:r>
        <w:rPr>
          <w:rFonts w:cstheme="minorHAnsi"/>
          <w:sz w:val="24"/>
          <w:szCs w:val="24"/>
          <w:lang w:val="el-GR"/>
        </w:rPr>
        <w:t>Η</w:t>
      </w:r>
      <w:r w:rsidRPr="009527D8">
        <w:rPr>
          <w:rFonts w:cstheme="minorHAnsi"/>
          <w:sz w:val="24"/>
          <w:szCs w:val="24"/>
          <w:lang w:val="el-GR"/>
        </w:rPr>
        <w:t xml:space="preserve"> </w:t>
      </w:r>
      <w:r>
        <w:rPr>
          <w:rFonts w:cstheme="minorHAnsi"/>
          <w:sz w:val="24"/>
          <w:szCs w:val="24"/>
          <w:lang w:val="el-GR"/>
        </w:rPr>
        <w:t>ΑΑΔΙΠΑ</w:t>
      </w:r>
      <w:r w:rsidR="00220066" w:rsidRPr="009527D8">
        <w:rPr>
          <w:rFonts w:cstheme="minorHAnsi"/>
          <w:sz w:val="24"/>
          <w:szCs w:val="24"/>
          <w:lang w:val="el-GR"/>
        </w:rPr>
        <w:t xml:space="preserve"> </w:t>
      </w:r>
      <w:r>
        <w:rPr>
          <w:rFonts w:cstheme="minorHAnsi"/>
          <w:sz w:val="24"/>
          <w:szCs w:val="24"/>
          <w:lang w:val="el-GR"/>
        </w:rPr>
        <w:t>επανδρ</w:t>
      </w:r>
      <w:r w:rsidR="002547E0">
        <w:rPr>
          <w:rFonts w:cstheme="minorHAnsi"/>
          <w:sz w:val="24"/>
          <w:szCs w:val="24"/>
          <w:lang w:val="el-GR"/>
        </w:rPr>
        <w:t>ώ</w:t>
      </w:r>
      <w:r>
        <w:rPr>
          <w:rFonts w:cstheme="minorHAnsi"/>
          <w:sz w:val="24"/>
          <w:szCs w:val="24"/>
          <w:lang w:val="el-GR"/>
        </w:rPr>
        <w:t>νεται</w:t>
      </w:r>
      <w:r w:rsidRPr="009527D8">
        <w:rPr>
          <w:rFonts w:cstheme="minorHAnsi"/>
          <w:sz w:val="24"/>
          <w:szCs w:val="24"/>
          <w:lang w:val="el-GR"/>
        </w:rPr>
        <w:t xml:space="preserve"> </w:t>
      </w:r>
      <w:r>
        <w:rPr>
          <w:rFonts w:cstheme="minorHAnsi"/>
          <w:sz w:val="24"/>
          <w:szCs w:val="24"/>
          <w:lang w:val="el-GR"/>
        </w:rPr>
        <w:t>επίσης</w:t>
      </w:r>
      <w:r w:rsidRPr="009527D8">
        <w:rPr>
          <w:rFonts w:cstheme="minorHAnsi"/>
          <w:sz w:val="24"/>
          <w:szCs w:val="24"/>
          <w:lang w:val="el-GR"/>
        </w:rPr>
        <w:t xml:space="preserve"> </w:t>
      </w:r>
      <w:r>
        <w:rPr>
          <w:rFonts w:cstheme="minorHAnsi"/>
          <w:sz w:val="24"/>
          <w:szCs w:val="24"/>
          <w:lang w:val="el-GR"/>
        </w:rPr>
        <w:t>με</w:t>
      </w:r>
      <w:r w:rsidRPr="009527D8">
        <w:rPr>
          <w:rFonts w:cstheme="minorHAnsi"/>
          <w:sz w:val="24"/>
          <w:szCs w:val="24"/>
          <w:lang w:val="el-GR"/>
        </w:rPr>
        <w:t xml:space="preserve"> </w:t>
      </w:r>
      <w:r>
        <w:rPr>
          <w:rFonts w:cstheme="minorHAnsi"/>
          <w:sz w:val="24"/>
          <w:szCs w:val="24"/>
          <w:lang w:val="el-GR"/>
        </w:rPr>
        <w:t>τέσσερεις</w:t>
      </w:r>
      <w:r w:rsidRPr="009527D8">
        <w:rPr>
          <w:rFonts w:cstheme="minorHAnsi"/>
          <w:sz w:val="24"/>
          <w:szCs w:val="24"/>
          <w:lang w:val="el-GR"/>
        </w:rPr>
        <w:t xml:space="preserve"> </w:t>
      </w:r>
      <w:r>
        <w:rPr>
          <w:rFonts w:cstheme="minorHAnsi"/>
          <w:sz w:val="24"/>
          <w:szCs w:val="24"/>
          <w:lang w:val="el-GR"/>
        </w:rPr>
        <w:t>δημοσίους</w:t>
      </w:r>
      <w:r w:rsidRPr="009527D8">
        <w:rPr>
          <w:rFonts w:cstheme="minorHAnsi"/>
          <w:sz w:val="24"/>
          <w:szCs w:val="24"/>
          <w:lang w:val="el-GR"/>
        </w:rPr>
        <w:t xml:space="preserve"> </w:t>
      </w:r>
      <w:r>
        <w:rPr>
          <w:rFonts w:cstheme="minorHAnsi"/>
          <w:sz w:val="24"/>
          <w:szCs w:val="24"/>
          <w:lang w:val="el-GR"/>
        </w:rPr>
        <w:t>υπαλλήλους</w:t>
      </w:r>
      <w:r w:rsidR="00220066" w:rsidRPr="009527D8">
        <w:rPr>
          <w:rFonts w:cstheme="minorHAnsi"/>
          <w:sz w:val="24"/>
          <w:szCs w:val="24"/>
          <w:lang w:val="el-GR"/>
        </w:rPr>
        <w:t xml:space="preserve">, </w:t>
      </w:r>
      <w:r>
        <w:rPr>
          <w:rFonts w:cstheme="minorHAnsi"/>
          <w:sz w:val="24"/>
          <w:szCs w:val="24"/>
          <w:lang w:val="el-GR"/>
        </w:rPr>
        <w:t>και</w:t>
      </w:r>
      <w:r w:rsidRPr="009527D8">
        <w:rPr>
          <w:rFonts w:cstheme="minorHAnsi"/>
          <w:sz w:val="24"/>
          <w:szCs w:val="24"/>
          <w:lang w:val="el-GR"/>
        </w:rPr>
        <w:t xml:space="preserve"> </w:t>
      </w:r>
      <w:r>
        <w:rPr>
          <w:rFonts w:cstheme="minorHAnsi"/>
          <w:sz w:val="24"/>
          <w:szCs w:val="24"/>
          <w:lang w:val="el-GR"/>
        </w:rPr>
        <w:t>η</w:t>
      </w:r>
      <w:r w:rsidRPr="009527D8">
        <w:rPr>
          <w:rFonts w:cstheme="minorHAnsi"/>
          <w:sz w:val="24"/>
          <w:szCs w:val="24"/>
          <w:lang w:val="el-GR"/>
        </w:rPr>
        <w:t xml:space="preserve"> </w:t>
      </w:r>
      <w:r w:rsidR="00C328E9" w:rsidRPr="00B95983">
        <w:rPr>
          <w:rFonts w:cstheme="minorHAnsi"/>
          <w:sz w:val="24"/>
          <w:szCs w:val="24"/>
        </w:rPr>
        <w:t>GET</w:t>
      </w:r>
      <w:r w:rsidR="00C328E9" w:rsidRPr="009527D8">
        <w:rPr>
          <w:rFonts w:cstheme="minorHAnsi"/>
          <w:sz w:val="24"/>
          <w:szCs w:val="24"/>
          <w:lang w:val="el-GR"/>
        </w:rPr>
        <w:t xml:space="preserve"> </w:t>
      </w:r>
      <w:r>
        <w:rPr>
          <w:rFonts w:cstheme="minorHAnsi"/>
          <w:sz w:val="24"/>
          <w:szCs w:val="24"/>
          <w:lang w:val="el-GR"/>
        </w:rPr>
        <w:t>ενημερώθηκε</w:t>
      </w:r>
      <w:r w:rsidRPr="009527D8">
        <w:rPr>
          <w:rFonts w:cstheme="minorHAnsi"/>
          <w:sz w:val="24"/>
          <w:szCs w:val="24"/>
          <w:lang w:val="el-GR"/>
        </w:rPr>
        <w:t xml:space="preserve"> </w:t>
      </w:r>
      <w:r>
        <w:rPr>
          <w:rFonts w:cstheme="minorHAnsi"/>
          <w:sz w:val="24"/>
          <w:szCs w:val="24"/>
          <w:lang w:val="el-GR"/>
        </w:rPr>
        <w:t>ότι</w:t>
      </w:r>
      <w:r w:rsidR="00C328E9" w:rsidRPr="009527D8">
        <w:rPr>
          <w:rFonts w:cstheme="minorHAnsi"/>
          <w:sz w:val="24"/>
          <w:szCs w:val="24"/>
          <w:lang w:val="el-GR"/>
        </w:rPr>
        <w:t xml:space="preserve"> </w:t>
      </w:r>
      <w:r>
        <w:rPr>
          <w:rFonts w:cstheme="minorHAnsi"/>
          <w:sz w:val="24"/>
          <w:szCs w:val="24"/>
          <w:lang w:val="el-GR"/>
        </w:rPr>
        <w:t>το</w:t>
      </w:r>
      <w:r w:rsidRPr="009527D8">
        <w:rPr>
          <w:rFonts w:cstheme="minorHAnsi"/>
          <w:sz w:val="24"/>
          <w:szCs w:val="24"/>
          <w:lang w:val="el-GR"/>
        </w:rPr>
        <w:t xml:space="preserve"> </w:t>
      </w:r>
      <w:r>
        <w:rPr>
          <w:rFonts w:cstheme="minorHAnsi"/>
          <w:sz w:val="24"/>
          <w:szCs w:val="24"/>
          <w:lang w:val="el-GR"/>
        </w:rPr>
        <w:t>Υπουργείο</w:t>
      </w:r>
      <w:r w:rsidRPr="009527D8">
        <w:rPr>
          <w:rFonts w:cstheme="minorHAnsi"/>
          <w:sz w:val="24"/>
          <w:szCs w:val="24"/>
          <w:lang w:val="el-GR"/>
        </w:rPr>
        <w:t xml:space="preserve"> </w:t>
      </w:r>
      <w:r>
        <w:rPr>
          <w:rFonts w:cstheme="minorHAnsi"/>
          <w:sz w:val="24"/>
          <w:szCs w:val="24"/>
          <w:lang w:val="el-GR"/>
        </w:rPr>
        <w:t>Οικονομικών</w:t>
      </w:r>
      <w:r w:rsidR="00C328E9" w:rsidRPr="009527D8">
        <w:rPr>
          <w:rFonts w:cstheme="minorHAnsi"/>
          <w:sz w:val="24"/>
          <w:szCs w:val="24"/>
          <w:lang w:val="el-GR"/>
        </w:rPr>
        <w:t xml:space="preserve"> </w:t>
      </w:r>
      <w:r>
        <w:rPr>
          <w:rFonts w:cstheme="minorHAnsi"/>
          <w:sz w:val="24"/>
          <w:szCs w:val="24"/>
          <w:lang w:val="el-GR"/>
        </w:rPr>
        <w:t>είχε εγκρίνει την ανάθεση ενός ακόμη δημοσίου υπαλλήλου, ο διορισμός του οποίου αναμένεται ότι θα γ</w:t>
      </w:r>
      <w:r w:rsidR="002547E0">
        <w:rPr>
          <w:rFonts w:cstheme="minorHAnsi"/>
          <w:sz w:val="24"/>
          <w:szCs w:val="24"/>
          <w:lang w:val="el-GR"/>
        </w:rPr>
        <w:t>ί</w:t>
      </w:r>
      <w:r>
        <w:rPr>
          <w:rFonts w:cstheme="minorHAnsi"/>
          <w:sz w:val="24"/>
          <w:szCs w:val="24"/>
          <w:lang w:val="el-GR"/>
        </w:rPr>
        <w:t>νει το</w:t>
      </w:r>
      <w:r w:rsidR="00C328E9" w:rsidRPr="009527D8">
        <w:rPr>
          <w:rFonts w:cstheme="minorHAnsi"/>
          <w:sz w:val="24"/>
          <w:szCs w:val="24"/>
          <w:lang w:val="el-GR"/>
        </w:rPr>
        <w:t xml:space="preserve"> 2023.  </w:t>
      </w:r>
      <w:bookmarkEnd w:id="241"/>
      <w:r>
        <w:rPr>
          <w:rFonts w:cstheme="minorHAnsi"/>
          <w:sz w:val="24"/>
          <w:szCs w:val="24"/>
          <w:lang w:val="el-GR"/>
        </w:rPr>
        <w:t>Ποινικοί</w:t>
      </w:r>
      <w:r w:rsidRPr="009527D8">
        <w:rPr>
          <w:rFonts w:cstheme="minorHAnsi"/>
          <w:sz w:val="24"/>
          <w:szCs w:val="24"/>
          <w:lang w:val="el-GR"/>
        </w:rPr>
        <w:t xml:space="preserve"> </w:t>
      </w:r>
      <w:r>
        <w:rPr>
          <w:rFonts w:cstheme="minorHAnsi"/>
          <w:sz w:val="24"/>
          <w:szCs w:val="24"/>
          <w:lang w:val="el-GR"/>
        </w:rPr>
        <w:t>ανακριτές</w:t>
      </w:r>
      <w:r w:rsidRPr="009527D8">
        <w:rPr>
          <w:rFonts w:cstheme="minorHAnsi"/>
          <w:sz w:val="24"/>
          <w:szCs w:val="24"/>
          <w:lang w:val="el-GR"/>
        </w:rPr>
        <w:t xml:space="preserve"> </w:t>
      </w:r>
      <w:r>
        <w:rPr>
          <w:rFonts w:cstheme="minorHAnsi"/>
          <w:sz w:val="24"/>
          <w:szCs w:val="24"/>
          <w:lang w:val="el-GR"/>
        </w:rPr>
        <w:t>μπορούν</w:t>
      </w:r>
      <w:r w:rsidRPr="009527D8">
        <w:rPr>
          <w:rFonts w:cstheme="minorHAnsi"/>
          <w:sz w:val="24"/>
          <w:szCs w:val="24"/>
          <w:lang w:val="el-GR"/>
        </w:rPr>
        <w:t xml:space="preserve"> </w:t>
      </w:r>
      <w:r>
        <w:rPr>
          <w:rFonts w:cstheme="minorHAnsi"/>
          <w:sz w:val="24"/>
          <w:szCs w:val="24"/>
          <w:lang w:val="el-GR"/>
        </w:rPr>
        <w:t>να</w:t>
      </w:r>
      <w:r w:rsidRPr="009527D8">
        <w:rPr>
          <w:rFonts w:cstheme="minorHAnsi"/>
          <w:sz w:val="24"/>
          <w:szCs w:val="24"/>
          <w:lang w:val="el-GR"/>
        </w:rPr>
        <w:t xml:space="preserve"> </w:t>
      </w:r>
      <w:r>
        <w:rPr>
          <w:rFonts w:cstheme="minorHAnsi"/>
          <w:sz w:val="24"/>
          <w:szCs w:val="24"/>
          <w:lang w:val="el-GR"/>
        </w:rPr>
        <w:t>εμπλακούν για σκοπούς διερεύνησης</w:t>
      </w:r>
      <w:r w:rsidR="00220066" w:rsidRPr="009527D8">
        <w:rPr>
          <w:rFonts w:cstheme="minorHAnsi"/>
          <w:sz w:val="24"/>
          <w:szCs w:val="24"/>
          <w:lang w:val="el-GR"/>
        </w:rPr>
        <w:t xml:space="preserve">, </w:t>
      </w:r>
      <w:r>
        <w:rPr>
          <w:rFonts w:cstheme="minorHAnsi"/>
          <w:sz w:val="24"/>
          <w:szCs w:val="24"/>
          <w:lang w:val="el-GR"/>
        </w:rPr>
        <w:t>όπου είναι απαραίτητο</w:t>
      </w:r>
      <w:r w:rsidR="00901561" w:rsidRPr="009527D8">
        <w:rPr>
          <w:sz w:val="24"/>
          <w:szCs w:val="24"/>
          <w:lang w:val="el-GR"/>
        </w:rPr>
        <w:t xml:space="preserve">. </w:t>
      </w:r>
      <w:r w:rsidR="005F7EC5">
        <w:rPr>
          <w:sz w:val="24"/>
          <w:szCs w:val="24"/>
          <w:lang w:val="el-GR"/>
        </w:rPr>
        <w:t>Ένας</w:t>
      </w:r>
      <w:r w:rsidR="005F7EC5" w:rsidRPr="001869D9">
        <w:rPr>
          <w:sz w:val="24"/>
          <w:szCs w:val="24"/>
          <w:lang w:val="el-GR"/>
        </w:rPr>
        <w:t xml:space="preserve"> </w:t>
      </w:r>
      <w:r w:rsidR="005F7EC5">
        <w:rPr>
          <w:sz w:val="24"/>
          <w:szCs w:val="24"/>
          <w:lang w:val="el-GR"/>
        </w:rPr>
        <w:t>σχετικός</w:t>
      </w:r>
      <w:r w:rsidR="005F7EC5" w:rsidRPr="001869D9">
        <w:rPr>
          <w:sz w:val="24"/>
          <w:szCs w:val="24"/>
          <w:lang w:val="el-GR"/>
        </w:rPr>
        <w:t xml:space="preserve"> </w:t>
      </w:r>
      <w:r w:rsidR="005F7EC5">
        <w:rPr>
          <w:sz w:val="24"/>
          <w:szCs w:val="24"/>
          <w:lang w:val="el-GR"/>
        </w:rPr>
        <w:t>κατάλογος</w:t>
      </w:r>
      <w:r w:rsidR="005F7EC5" w:rsidRPr="001869D9">
        <w:rPr>
          <w:sz w:val="24"/>
          <w:szCs w:val="24"/>
          <w:lang w:val="el-GR"/>
        </w:rPr>
        <w:t xml:space="preserve"> </w:t>
      </w:r>
      <w:r w:rsidR="005F7EC5">
        <w:rPr>
          <w:sz w:val="24"/>
          <w:szCs w:val="24"/>
          <w:lang w:val="el-GR"/>
        </w:rPr>
        <w:t>ονομάτων</w:t>
      </w:r>
      <w:r w:rsidR="005F7EC5" w:rsidRPr="001869D9">
        <w:rPr>
          <w:sz w:val="24"/>
          <w:szCs w:val="24"/>
          <w:lang w:val="el-GR"/>
        </w:rPr>
        <w:t xml:space="preserve"> </w:t>
      </w:r>
      <w:r w:rsidR="005F7EC5">
        <w:rPr>
          <w:sz w:val="24"/>
          <w:szCs w:val="24"/>
          <w:lang w:val="el-GR"/>
        </w:rPr>
        <w:t>διατηρείται</w:t>
      </w:r>
      <w:r w:rsidR="005F7EC5" w:rsidRPr="001869D9">
        <w:rPr>
          <w:sz w:val="24"/>
          <w:szCs w:val="24"/>
          <w:lang w:val="el-GR"/>
        </w:rPr>
        <w:t xml:space="preserve"> </w:t>
      </w:r>
      <w:r w:rsidR="005F7EC5">
        <w:rPr>
          <w:sz w:val="24"/>
          <w:szCs w:val="24"/>
          <w:lang w:val="el-GR"/>
        </w:rPr>
        <w:t>από</w:t>
      </w:r>
      <w:r w:rsidR="005F7EC5" w:rsidRPr="001869D9">
        <w:rPr>
          <w:sz w:val="24"/>
          <w:szCs w:val="24"/>
          <w:lang w:val="el-GR"/>
        </w:rPr>
        <w:t xml:space="preserve"> </w:t>
      </w:r>
      <w:r w:rsidR="005F7EC5">
        <w:rPr>
          <w:sz w:val="24"/>
          <w:szCs w:val="24"/>
          <w:lang w:val="el-GR"/>
        </w:rPr>
        <w:t>την</w:t>
      </w:r>
      <w:r w:rsidR="005F7EC5" w:rsidRPr="001869D9">
        <w:rPr>
          <w:sz w:val="24"/>
          <w:szCs w:val="24"/>
          <w:lang w:val="el-GR"/>
        </w:rPr>
        <w:t xml:space="preserve"> </w:t>
      </w:r>
      <w:r w:rsidR="005F7EC5">
        <w:rPr>
          <w:sz w:val="24"/>
          <w:szCs w:val="24"/>
          <w:lang w:val="el-GR"/>
        </w:rPr>
        <w:t>ΑΑΔΙΠΑ</w:t>
      </w:r>
      <w:r w:rsidR="005F7EC5" w:rsidRPr="001869D9">
        <w:rPr>
          <w:sz w:val="24"/>
          <w:szCs w:val="24"/>
          <w:lang w:val="el-GR"/>
        </w:rPr>
        <w:t xml:space="preserve">. </w:t>
      </w:r>
      <w:r w:rsidR="005F7EC5">
        <w:rPr>
          <w:sz w:val="24"/>
          <w:szCs w:val="24"/>
          <w:lang w:val="el-GR"/>
        </w:rPr>
        <w:t>Ένα</w:t>
      </w:r>
      <w:r w:rsidR="005F7EC5" w:rsidRPr="005F7EC5">
        <w:rPr>
          <w:sz w:val="24"/>
          <w:szCs w:val="24"/>
          <w:lang w:val="el-GR"/>
        </w:rPr>
        <w:t xml:space="preserve"> </w:t>
      </w:r>
      <w:r w:rsidR="005F7EC5">
        <w:rPr>
          <w:sz w:val="24"/>
          <w:szCs w:val="24"/>
          <w:lang w:val="el-GR"/>
        </w:rPr>
        <w:t>σύνολο</w:t>
      </w:r>
      <w:r w:rsidR="00220066" w:rsidRPr="005F7EC5">
        <w:rPr>
          <w:sz w:val="24"/>
          <w:szCs w:val="24"/>
          <w:lang w:val="el-GR"/>
        </w:rPr>
        <w:t xml:space="preserve"> </w:t>
      </w:r>
      <w:r w:rsidR="006C1256" w:rsidRPr="005F7EC5">
        <w:rPr>
          <w:sz w:val="24"/>
          <w:szCs w:val="24"/>
          <w:lang w:val="el-GR"/>
        </w:rPr>
        <w:t>70</w:t>
      </w:r>
      <w:r w:rsidR="00220066" w:rsidRPr="005F7EC5">
        <w:rPr>
          <w:sz w:val="24"/>
          <w:szCs w:val="24"/>
          <w:lang w:val="el-GR"/>
        </w:rPr>
        <w:t xml:space="preserve"> </w:t>
      </w:r>
      <w:r w:rsidR="005F7EC5">
        <w:rPr>
          <w:sz w:val="24"/>
          <w:szCs w:val="24"/>
          <w:lang w:val="el-GR"/>
        </w:rPr>
        <w:t>ανακριτών</w:t>
      </w:r>
      <w:r w:rsidR="005F7EC5" w:rsidRPr="005F7EC5">
        <w:rPr>
          <w:sz w:val="24"/>
          <w:szCs w:val="24"/>
          <w:lang w:val="el-GR"/>
        </w:rPr>
        <w:t xml:space="preserve"> </w:t>
      </w:r>
      <w:r w:rsidR="005F7EC5">
        <w:rPr>
          <w:sz w:val="24"/>
          <w:szCs w:val="24"/>
          <w:lang w:val="el-GR"/>
        </w:rPr>
        <w:t>σχηματίζουν</w:t>
      </w:r>
      <w:r w:rsidR="005F7EC5" w:rsidRPr="005F7EC5">
        <w:rPr>
          <w:sz w:val="24"/>
          <w:szCs w:val="24"/>
          <w:lang w:val="el-GR"/>
        </w:rPr>
        <w:t xml:space="preserve"> </w:t>
      </w:r>
      <w:r w:rsidR="005F7EC5">
        <w:rPr>
          <w:sz w:val="24"/>
          <w:szCs w:val="24"/>
          <w:lang w:val="el-GR"/>
        </w:rPr>
        <w:t>την</w:t>
      </w:r>
      <w:r w:rsidR="005F7EC5" w:rsidRPr="005F7EC5">
        <w:rPr>
          <w:sz w:val="24"/>
          <w:szCs w:val="24"/>
          <w:lang w:val="el-GR"/>
        </w:rPr>
        <w:t xml:space="preserve"> </w:t>
      </w:r>
      <w:r w:rsidR="005F7EC5">
        <w:rPr>
          <w:sz w:val="24"/>
          <w:szCs w:val="24"/>
          <w:lang w:val="el-GR"/>
        </w:rPr>
        <w:t>λίστα</w:t>
      </w:r>
      <w:r w:rsidR="005F7EC5" w:rsidRPr="005F7EC5">
        <w:rPr>
          <w:sz w:val="24"/>
          <w:szCs w:val="24"/>
          <w:lang w:val="el-GR"/>
        </w:rPr>
        <w:t xml:space="preserve"> </w:t>
      </w:r>
      <w:r w:rsidR="005F7EC5">
        <w:rPr>
          <w:sz w:val="24"/>
          <w:szCs w:val="24"/>
          <w:lang w:val="el-GR"/>
        </w:rPr>
        <w:t>στο</w:t>
      </w:r>
      <w:r w:rsidR="005F7EC5" w:rsidRPr="005F7EC5">
        <w:rPr>
          <w:sz w:val="24"/>
          <w:szCs w:val="24"/>
          <w:lang w:val="el-GR"/>
        </w:rPr>
        <w:t xml:space="preserve"> </w:t>
      </w:r>
      <w:r w:rsidR="005F7EC5">
        <w:rPr>
          <w:sz w:val="24"/>
          <w:szCs w:val="24"/>
          <w:lang w:val="el-GR"/>
        </w:rPr>
        <w:t>παρόν</w:t>
      </w:r>
      <w:r w:rsidR="005F7EC5" w:rsidRPr="005F7EC5">
        <w:rPr>
          <w:sz w:val="24"/>
          <w:szCs w:val="24"/>
          <w:lang w:val="el-GR"/>
        </w:rPr>
        <w:t xml:space="preserve"> </w:t>
      </w:r>
      <w:r w:rsidR="005F7EC5">
        <w:rPr>
          <w:sz w:val="24"/>
          <w:szCs w:val="24"/>
          <w:lang w:val="el-GR"/>
        </w:rPr>
        <w:t>στάδιο</w:t>
      </w:r>
      <w:r w:rsidR="006C1256" w:rsidRPr="005F7EC5">
        <w:rPr>
          <w:sz w:val="24"/>
          <w:szCs w:val="24"/>
          <w:lang w:val="el-GR"/>
        </w:rPr>
        <w:t xml:space="preserve"> (66 </w:t>
      </w:r>
      <w:r w:rsidR="005F7EC5">
        <w:rPr>
          <w:sz w:val="24"/>
          <w:szCs w:val="24"/>
          <w:lang w:val="el-GR"/>
        </w:rPr>
        <w:t>δικηγόροι</w:t>
      </w:r>
      <w:r w:rsidR="005F7EC5" w:rsidRPr="005F7EC5">
        <w:rPr>
          <w:sz w:val="24"/>
          <w:szCs w:val="24"/>
          <w:lang w:val="el-GR"/>
        </w:rPr>
        <w:t xml:space="preserve"> </w:t>
      </w:r>
      <w:r w:rsidR="005F7EC5">
        <w:rPr>
          <w:sz w:val="24"/>
          <w:szCs w:val="24"/>
          <w:lang w:val="el-GR"/>
        </w:rPr>
        <w:t>που εξασκούν το επάγγελμα και τέσσερεις αστυνομικοί</w:t>
      </w:r>
      <w:r w:rsidR="006C1256" w:rsidRPr="005F7EC5">
        <w:rPr>
          <w:sz w:val="24"/>
          <w:szCs w:val="24"/>
          <w:lang w:val="el-GR"/>
        </w:rPr>
        <w:t>)</w:t>
      </w:r>
      <w:r w:rsidR="00220066" w:rsidRPr="005F7EC5">
        <w:rPr>
          <w:sz w:val="24"/>
          <w:szCs w:val="24"/>
          <w:lang w:val="el-GR"/>
        </w:rPr>
        <w:t>.</w:t>
      </w:r>
      <w:r w:rsidR="008C2B01" w:rsidRPr="004E251E">
        <w:rPr>
          <w:rStyle w:val="FootnoteReference"/>
          <w:sz w:val="24"/>
          <w:szCs w:val="24"/>
        </w:rPr>
        <w:footnoteReference w:id="64"/>
      </w:r>
      <w:r w:rsidR="00220066" w:rsidRPr="005F7EC5">
        <w:rPr>
          <w:sz w:val="24"/>
          <w:szCs w:val="24"/>
          <w:lang w:val="el-GR"/>
        </w:rPr>
        <w:t xml:space="preserve"> </w:t>
      </w:r>
      <w:r w:rsidR="005F7EC5">
        <w:rPr>
          <w:sz w:val="24"/>
          <w:szCs w:val="24"/>
          <w:lang w:val="el-GR"/>
        </w:rPr>
        <w:t>Τέλος</w:t>
      </w:r>
      <w:r w:rsidR="00220066" w:rsidRPr="005F7EC5">
        <w:rPr>
          <w:sz w:val="24"/>
          <w:szCs w:val="24"/>
          <w:lang w:val="el-GR"/>
        </w:rPr>
        <w:t xml:space="preserve">, </w:t>
      </w:r>
      <w:r w:rsidR="005F7EC5">
        <w:rPr>
          <w:sz w:val="24"/>
          <w:szCs w:val="24"/>
          <w:lang w:val="el-GR"/>
        </w:rPr>
        <w:t>η</w:t>
      </w:r>
      <w:r w:rsidR="00220066" w:rsidRPr="005F7EC5">
        <w:rPr>
          <w:rFonts w:cstheme="minorHAnsi"/>
          <w:sz w:val="24"/>
          <w:szCs w:val="24"/>
          <w:lang w:val="el-GR"/>
        </w:rPr>
        <w:t xml:space="preserve"> </w:t>
      </w:r>
      <w:r w:rsidR="005F7EC5">
        <w:rPr>
          <w:rFonts w:cstheme="minorHAnsi"/>
          <w:sz w:val="24"/>
          <w:szCs w:val="24"/>
          <w:lang w:val="el-GR"/>
        </w:rPr>
        <w:t>ΑΑΔΙΠΑ</w:t>
      </w:r>
      <w:r w:rsidR="00220066" w:rsidRPr="005F7EC5">
        <w:rPr>
          <w:rFonts w:cstheme="minorHAnsi"/>
          <w:sz w:val="24"/>
          <w:szCs w:val="24"/>
          <w:lang w:val="el-GR"/>
        </w:rPr>
        <w:t xml:space="preserve"> </w:t>
      </w:r>
      <w:r w:rsidR="005F7EC5">
        <w:rPr>
          <w:rFonts w:cstheme="minorHAnsi"/>
          <w:sz w:val="24"/>
          <w:szCs w:val="24"/>
          <w:lang w:val="el-GR"/>
        </w:rPr>
        <w:t>μπορεί</w:t>
      </w:r>
      <w:r w:rsidR="00220066" w:rsidRPr="005F7EC5">
        <w:rPr>
          <w:rFonts w:cstheme="minorHAnsi"/>
          <w:sz w:val="24"/>
          <w:szCs w:val="24"/>
          <w:lang w:val="el-GR"/>
        </w:rPr>
        <w:t xml:space="preserve">, </w:t>
      </w:r>
      <w:r w:rsidR="005F7EC5">
        <w:rPr>
          <w:rFonts w:cstheme="minorHAnsi"/>
          <w:sz w:val="24"/>
          <w:szCs w:val="24"/>
          <w:lang w:val="el-GR"/>
        </w:rPr>
        <w:t>για</w:t>
      </w:r>
      <w:r w:rsidR="005F7EC5" w:rsidRPr="005F7EC5">
        <w:rPr>
          <w:rFonts w:cstheme="minorHAnsi"/>
          <w:sz w:val="24"/>
          <w:szCs w:val="24"/>
          <w:lang w:val="el-GR"/>
        </w:rPr>
        <w:t xml:space="preserve"> </w:t>
      </w:r>
      <w:r w:rsidR="005F7EC5">
        <w:rPr>
          <w:rFonts w:cstheme="minorHAnsi"/>
          <w:sz w:val="24"/>
          <w:szCs w:val="24"/>
          <w:lang w:val="el-GR"/>
        </w:rPr>
        <w:t>σκοπούς</w:t>
      </w:r>
      <w:r w:rsidR="005F7EC5" w:rsidRPr="005F7EC5">
        <w:rPr>
          <w:rFonts w:cstheme="minorHAnsi"/>
          <w:sz w:val="24"/>
          <w:szCs w:val="24"/>
          <w:lang w:val="el-GR"/>
        </w:rPr>
        <w:t xml:space="preserve"> </w:t>
      </w:r>
      <w:r w:rsidR="005F7EC5">
        <w:rPr>
          <w:rFonts w:cstheme="minorHAnsi"/>
          <w:sz w:val="24"/>
          <w:szCs w:val="24"/>
          <w:lang w:val="el-GR"/>
        </w:rPr>
        <w:t>μιας</w:t>
      </w:r>
      <w:r w:rsidR="005F7EC5" w:rsidRPr="005F7EC5">
        <w:rPr>
          <w:rFonts w:cstheme="minorHAnsi"/>
          <w:sz w:val="24"/>
          <w:szCs w:val="24"/>
          <w:lang w:val="el-GR"/>
        </w:rPr>
        <w:t xml:space="preserve"> </w:t>
      </w:r>
      <w:r w:rsidR="005F7EC5">
        <w:rPr>
          <w:rFonts w:cstheme="minorHAnsi"/>
          <w:sz w:val="24"/>
          <w:szCs w:val="24"/>
          <w:lang w:val="el-GR"/>
        </w:rPr>
        <w:t>έρευνας</w:t>
      </w:r>
      <w:r w:rsidR="00220066" w:rsidRPr="005F7EC5">
        <w:rPr>
          <w:rFonts w:cstheme="minorHAnsi"/>
          <w:sz w:val="24"/>
          <w:szCs w:val="24"/>
          <w:lang w:val="el-GR"/>
        </w:rPr>
        <w:t xml:space="preserve">, </w:t>
      </w:r>
      <w:r w:rsidR="005F7EC5">
        <w:rPr>
          <w:rFonts w:cstheme="minorHAnsi"/>
          <w:sz w:val="24"/>
          <w:szCs w:val="24"/>
          <w:lang w:val="el-GR"/>
        </w:rPr>
        <w:t>να</w:t>
      </w:r>
      <w:r w:rsidR="005F7EC5" w:rsidRPr="005F7EC5">
        <w:rPr>
          <w:rFonts w:cstheme="minorHAnsi"/>
          <w:sz w:val="24"/>
          <w:szCs w:val="24"/>
          <w:lang w:val="el-GR"/>
        </w:rPr>
        <w:t xml:space="preserve"> </w:t>
      </w:r>
      <w:r w:rsidR="005F7EC5">
        <w:rPr>
          <w:rFonts w:cstheme="minorHAnsi"/>
          <w:sz w:val="24"/>
          <w:szCs w:val="24"/>
          <w:lang w:val="el-GR"/>
        </w:rPr>
        <w:t>προσλάβει</w:t>
      </w:r>
      <w:r w:rsidR="005F7EC5" w:rsidRPr="005F7EC5">
        <w:rPr>
          <w:rFonts w:cstheme="minorHAnsi"/>
          <w:sz w:val="24"/>
          <w:szCs w:val="24"/>
          <w:lang w:val="el-GR"/>
        </w:rPr>
        <w:t xml:space="preserve"> </w:t>
      </w:r>
      <w:r w:rsidR="005F7EC5">
        <w:rPr>
          <w:rFonts w:cstheme="minorHAnsi"/>
          <w:sz w:val="24"/>
          <w:szCs w:val="24"/>
          <w:lang w:val="el-GR"/>
        </w:rPr>
        <w:t>τις</w:t>
      </w:r>
      <w:r w:rsidR="005F7EC5" w:rsidRPr="005F7EC5">
        <w:rPr>
          <w:rFonts w:cstheme="minorHAnsi"/>
          <w:sz w:val="24"/>
          <w:szCs w:val="24"/>
          <w:lang w:val="el-GR"/>
        </w:rPr>
        <w:t xml:space="preserve"> </w:t>
      </w:r>
      <w:r w:rsidR="005F7EC5">
        <w:rPr>
          <w:rFonts w:cstheme="minorHAnsi"/>
          <w:sz w:val="24"/>
          <w:szCs w:val="24"/>
          <w:lang w:val="el-GR"/>
        </w:rPr>
        <w:t>υπηρεσίες</w:t>
      </w:r>
      <w:r w:rsidR="005F7EC5" w:rsidRPr="005F7EC5">
        <w:rPr>
          <w:rFonts w:cstheme="minorHAnsi"/>
          <w:sz w:val="24"/>
          <w:szCs w:val="24"/>
          <w:lang w:val="el-GR"/>
        </w:rPr>
        <w:t xml:space="preserve"> </w:t>
      </w:r>
      <w:r w:rsidR="005F7EC5">
        <w:rPr>
          <w:rFonts w:cstheme="minorHAnsi"/>
          <w:sz w:val="24"/>
          <w:szCs w:val="24"/>
          <w:lang w:val="el-GR"/>
        </w:rPr>
        <w:t>εμπειρογνωμόνων/ειδικών</w:t>
      </w:r>
      <w:r w:rsidR="00220066" w:rsidRPr="005F7EC5">
        <w:rPr>
          <w:rFonts w:cstheme="minorHAnsi"/>
          <w:sz w:val="24"/>
          <w:szCs w:val="24"/>
          <w:lang w:val="el-GR"/>
        </w:rPr>
        <w:t xml:space="preserve"> </w:t>
      </w:r>
      <w:r w:rsidR="005F7EC5">
        <w:rPr>
          <w:rFonts w:cstheme="minorHAnsi"/>
          <w:sz w:val="24"/>
          <w:szCs w:val="24"/>
          <w:lang w:val="el-GR"/>
        </w:rPr>
        <w:t>όπως φωτογράφους</w:t>
      </w:r>
      <w:r w:rsidR="00220066" w:rsidRPr="005F7EC5">
        <w:rPr>
          <w:rFonts w:cstheme="minorHAnsi"/>
          <w:sz w:val="24"/>
          <w:szCs w:val="24"/>
          <w:lang w:val="el-GR"/>
        </w:rPr>
        <w:t xml:space="preserve">, </w:t>
      </w:r>
      <w:r w:rsidR="005F7EC5">
        <w:rPr>
          <w:rFonts w:cstheme="minorHAnsi"/>
          <w:sz w:val="24"/>
          <w:szCs w:val="24"/>
          <w:lang w:val="el-GR"/>
        </w:rPr>
        <w:t>διερμηνείς</w:t>
      </w:r>
      <w:r w:rsidR="00220066" w:rsidRPr="005F7EC5">
        <w:rPr>
          <w:rFonts w:cstheme="minorHAnsi"/>
          <w:sz w:val="24"/>
          <w:szCs w:val="24"/>
          <w:lang w:val="el-GR"/>
        </w:rPr>
        <w:t xml:space="preserve">, </w:t>
      </w:r>
      <w:r w:rsidR="005F7EC5">
        <w:rPr>
          <w:rFonts w:cstheme="minorHAnsi"/>
          <w:sz w:val="24"/>
          <w:szCs w:val="24"/>
          <w:lang w:val="el-GR"/>
        </w:rPr>
        <w:t>ιατροδικαστές</w:t>
      </w:r>
      <w:r w:rsidR="00220066" w:rsidRPr="005F7EC5">
        <w:rPr>
          <w:rFonts w:cstheme="minorHAnsi"/>
          <w:sz w:val="24"/>
          <w:szCs w:val="24"/>
          <w:lang w:val="el-GR"/>
        </w:rPr>
        <w:t xml:space="preserve">, </w:t>
      </w:r>
      <w:r w:rsidR="005F7EC5">
        <w:rPr>
          <w:rFonts w:cstheme="minorHAnsi"/>
          <w:sz w:val="24"/>
          <w:szCs w:val="24"/>
          <w:lang w:val="el-GR"/>
        </w:rPr>
        <w:t>και άλλους</w:t>
      </w:r>
      <w:r w:rsidR="00220066" w:rsidRPr="005F7EC5">
        <w:rPr>
          <w:rFonts w:cstheme="minorHAnsi"/>
          <w:sz w:val="24"/>
          <w:szCs w:val="24"/>
          <w:lang w:val="el-GR"/>
        </w:rPr>
        <w:t>.</w:t>
      </w:r>
      <w:r w:rsidR="00E818BE" w:rsidRPr="005F7EC5">
        <w:rPr>
          <w:rFonts w:cstheme="minorHAnsi"/>
          <w:sz w:val="24"/>
          <w:szCs w:val="24"/>
          <w:lang w:val="el-GR"/>
        </w:rPr>
        <w:t xml:space="preserve"> </w:t>
      </w:r>
      <w:r w:rsidR="005F7EC5">
        <w:rPr>
          <w:rFonts w:cstheme="minorHAnsi"/>
          <w:sz w:val="24"/>
          <w:szCs w:val="24"/>
          <w:lang w:val="el-GR"/>
        </w:rPr>
        <w:t>Ο</w:t>
      </w:r>
      <w:r w:rsidR="005F7EC5" w:rsidRPr="005F7EC5">
        <w:rPr>
          <w:rFonts w:cstheme="minorHAnsi"/>
          <w:sz w:val="24"/>
          <w:szCs w:val="24"/>
          <w:lang w:val="en-US"/>
        </w:rPr>
        <w:t xml:space="preserve"> </w:t>
      </w:r>
      <w:r w:rsidR="005F7EC5">
        <w:rPr>
          <w:rFonts w:cstheme="minorHAnsi"/>
          <w:sz w:val="24"/>
          <w:szCs w:val="24"/>
          <w:lang w:val="el-GR"/>
        </w:rPr>
        <w:t>προϋπολογισμός</w:t>
      </w:r>
      <w:r w:rsidR="005F7EC5" w:rsidRPr="005F7EC5">
        <w:rPr>
          <w:rFonts w:cstheme="minorHAnsi"/>
          <w:sz w:val="24"/>
          <w:szCs w:val="24"/>
          <w:lang w:val="en-US"/>
        </w:rPr>
        <w:t xml:space="preserve"> </w:t>
      </w:r>
      <w:r w:rsidR="005F7EC5">
        <w:rPr>
          <w:rFonts w:cstheme="minorHAnsi"/>
          <w:sz w:val="24"/>
          <w:szCs w:val="24"/>
          <w:lang w:val="el-GR"/>
        </w:rPr>
        <w:t>της</w:t>
      </w:r>
      <w:r w:rsidR="005F7EC5" w:rsidRPr="005F7EC5">
        <w:rPr>
          <w:rFonts w:cstheme="minorHAnsi"/>
          <w:sz w:val="24"/>
          <w:szCs w:val="24"/>
          <w:lang w:val="en-US"/>
        </w:rPr>
        <w:t xml:space="preserve"> </w:t>
      </w:r>
      <w:r w:rsidR="005F7EC5">
        <w:rPr>
          <w:rFonts w:cstheme="minorHAnsi"/>
          <w:sz w:val="24"/>
          <w:szCs w:val="24"/>
          <w:lang w:val="el-GR"/>
        </w:rPr>
        <w:t>ΑΑΔΙΠΑ για το</w:t>
      </w:r>
      <w:r w:rsidR="00E818BE" w:rsidRPr="00942C8B">
        <w:rPr>
          <w:rFonts w:eastAsia="Times New Roman"/>
          <w:sz w:val="24"/>
          <w:szCs w:val="24"/>
        </w:rPr>
        <w:t xml:space="preserve"> </w:t>
      </w:r>
      <w:r w:rsidR="007110AF" w:rsidRPr="00942C8B">
        <w:rPr>
          <w:rFonts w:eastAsia="Times New Roman"/>
          <w:sz w:val="24"/>
          <w:szCs w:val="24"/>
        </w:rPr>
        <w:t>2023</w:t>
      </w:r>
      <w:r w:rsidR="00E818BE" w:rsidRPr="00942C8B">
        <w:rPr>
          <w:rFonts w:eastAsia="Times New Roman"/>
          <w:sz w:val="24"/>
          <w:szCs w:val="24"/>
        </w:rPr>
        <w:t xml:space="preserve"> </w:t>
      </w:r>
      <w:r w:rsidR="005F7EC5">
        <w:rPr>
          <w:rFonts w:eastAsia="Times New Roman"/>
          <w:sz w:val="24"/>
          <w:szCs w:val="24"/>
          <w:lang w:val="el-GR"/>
        </w:rPr>
        <w:t>ανέρχεται στις</w:t>
      </w:r>
      <w:r w:rsidR="00E818BE" w:rsidRPr="00942C8B">
        <w:rPr>
          <w:rFonts w:eastAsia="Times New Roman"/>
          <w:sz w:val="24"/>
          <w:szCs w:val="24"/>
        </w:rPr>
        <w:t xml:space="preserve"> </w:t>
      </w:r>
      <w:r w:rsidR="00E818BE" w:rsidRPr="00942C8B">
        <w:rPr>
          <w:rFonts w:cstheme="minorHAnsi"/>
          <w:sz w:val="24"/>
          <w:szCs w:val="24"/>
        </w:rPr>
        <w:t>€</w:t>
      </w:r>
      <w:r w:rsidR="00E818BE" w:rsidRPr="00942C8B">
        <w:rPr>
          <w:rFonts w:eastAsia="Times New Roman"/>
          <w:sz w:val="24"/>
          <w:szCs w:val="24"/>
        </w:rPr>
        <w:t>322 000</w:t>
      </w:r>
      <w:r w:rsidR="007110AF" w:rsidRPr="00942C8B">
        <w:rPr>
          <w:rFonts w:eastAsia="Times New Roman"/>
          <w:b/>
          <w:bCs/>
          <w:sz w:val="24"/>
          <w:szCs w:val="24"/>
        </w:rPr>
        <w:t>.</w:t>
      </w:r>
      <w:r w:rsidR="007110AF">
        <w:rPr>
          <w:rFonts w:eastAsia="Times New Roman"/>
          <w:b/>
          <w:bCs/>
          <w:sz w:val="24"/>
          <w:szCs w:val="24"/>
        </w:rPr>
        <w:t xml:space="preserve"> </w:t>
      </w:r>
    </w:p>
    <w:p w14:paraId="7A0AD112" w14:textId="77777777" w:rsidR="00220066" w:rsidRPr="004E251E" w:rsidRDefault="00220066" w:rsidP="00220066">
      <w:pPr>
        <w:keepNext/>
        <w:tabs>
          <w:tab w:val="left" w:pos="709"/>
        </w:tabs>
        <w:rPr>
          <w:rFonts w:cstheme="minorHAnsi"/>
          <w:sz w:val="24"/>
          <w:szCs w:val="24"/>
        </w:rPr>
      </w:pPr>
    </w:p>
    <w:p w14:paraId="0C03A91C" w14:textId="226C1DB9" w:rsidR="00220066" w:rsidRPr="005F7EC5" w:rsidRDefault="005F7EC5" w:rsidP="00220066">
      <w:pPr>
        <w:keepNext/>
        <w:numPr>
          <w:ilvl w:val="0"/>
          <w:numId w:val="1"/>
        </w:numPr>
        <w:tabs>
          <w:tab w:val="left" w:pos="709"/>
        </w:tabs>
        <w:ind w:left="0" w:firstLine="0"/>
        <w:rPr>
          <w:rFonts w:cstheme="minorHAnsi"/>
          <w:sz w:val="24"/>
          <w:szCs w:val="24"/>
          <w:lang w:val="el-GR"/>
        </w:rPr>
      </w:pPr>
      <w:r>
        <w:rPr>
          <w:sz w:val="24"/>
          <w:szCs w:val="24"/>
          <w:lang w:val="el-GR"/>
        </w:rPr>
        <w:t>Η</w:t>
      </w:r>
      <w:r w:rsidRPr="005F7EC5">
        <w:rPr>
          <w:sz w:val="24"/>
          <w:szCs w:val="24"/>
          <w:lang w:val="el-GR"/>
        </w:rPr>
        <w:t xml:space="preserve"> </w:t>
      </w:r>
      <w:r>
        <w:rPr>
          <w:sz w:val="24"/>
          <w:szCs w:val="24"/>
          <w:lang w:val="el-GR"/>
        </w:rPr>
        <w:t>διερεύνηση</w:t>
      </w:r>
      <w:r w:rsidRPr="005F7EC5">
        <w:rPr>
          <w:sz w:val="24"/>
          <w:szCs w:val="24"/>
          <w:lang w:val="el-GR"/>
        </w:rPr>
        <w:t xml:space="preserve"> </w:t>
      </w:r>
      <w:r>
        <w:rPr>
          <w:sz w:val="24"/>
          <w:szCs w:val="24"/>
          <w:lang w:val="el-GR"/>
        </w:rPr>
        <w:t>μιας</w:t>
      </w:r>
      <w:r w:rsidRPr="005F7EC5">
        <w:rPr>
          <w:sz w:val="24"/>
          <w:szCs w:val="24"/>
          <w:lang w:val="el-GR"/>
        </w:rPr>
        <w:t xml:space="preserve"> </w:t>
      </w:r>
      <w:r>
        <w:rPr>
          <w:sz w:val="24"/>
          <w:szCs w:val="24"/>
          <w:lang w:val="el-GR"/>
        </w:rPr>
        <w:t>υπόθεσης</w:t>
      </w:r>
      <w:r w:rsidR="00220066" w:rsidRPr="005F7EC5">
        <w:rPr>
          <w:sz w:val="24"/>
          <w:szCs w:val="24"/>
          <w:lang w:val="el-GR"/>
        </w:rPr>
        <w:t xml:space="preserve"> </w:t>
      </w:r>
      <w:r>
        <w:rPr>
          <w:sz w:val="24"/>
          <w:szCs w:val="24"/>
          <w:lang w:val="el-GR"/>
        </w:rPr>
        <w:t>διεξάγεται</w:t>
      </w:r>
      <w:r w:rsidRPr="005F7EC5">
        <w:rPr>
          <w:sz w:val="24"/>
          <w:szCs w:val="24"/>
          <w:lang w:val="el-GR"/>
        </w:rPr>
        <w:t xml:space="preserve"> </w:t>
      </w:r>
      <w:r>
        <w:rPr>
          <w:sz w:val="24"/>
          <w:szCs w:val="24"/>
          <w:lang w:val="el-GR"/>
        </w:rPr>
        <w:t>από</w:t>
      </w:r>
      <w:r w:rsidRPr="005F7EC5">
        <w:rPr>
          <w:sz w:val="24"/>
          <w:szCs w:val="24"/>
          <w:lang w:val="el-GR"/>
        </w:rPr>
        <w:t xml:space="preserve"> </w:t>
      </w:r>
      <w:r>
        <w:rPr>
          <w:sz w:val="24"/>
          <w:szCs w:val="24"/>
          <w:lang w:val="el-GR"/>
        </w:rPr>
        <w:t>ένα</w:t>
      </w:r>
      <w:r w:rsidRPr="005F7EC5">
        <w:rPr>
          <w:sz w:val="24"/>
          <w:szCs w:val="24"/>
          <w:lang w:val="el-GR"/>
        </w:rPr>
        <w:t xml:space="preserve"> </w:t>
      </w:r>
      <w:r>
        <w:rPr>
          <w:sz w:val="24"/>
          <w:szCs w:val="24"/>
          <w:lang w:val="el-GR"/>
        </w:rPr>
        <w:t>ή</w:t>
      </w:r>
      <w:r w:rsidRPr="005F7EC5">
        <w:rPr>
          <w:sz w:val="24"/>
          <w:szCs w:val="24"/>
          <w:lang w:val="el-GR"/>
        </w:rPr>
        <w:t xml:space="preserve"> </w:t>
      </w:r>
      <w:r>
        <w:rPr>
          <w:sz w:val="24"/>
          <w:szCs w:val="24"/>
          <w:lang w:val="el-GR"/>
        </w:rPr>
        <w:t>περισσότερα</w:t>
      </w:r>
      <w:r w:rsidRPr="005F7EC5">
        <w:rPr>
          <w:sz w:val="24"/>
          <w:szCs w:val="24"/>
          <w:lang w:val="el-GR"/>
        </w:rPr>
        <w:t xml:space="preserve"> </w:t>
      </w:r>
      <w:r>
        <w:rPr>
          <w:sz w:val="24"/>
          <w:szCs w:val="24"/>
          <w:lang w:val="el-GR"/>
        </w:rPr>
        <w:t>μέλη</w:t>
      </w:r>
      <w:r w:rsidRPr="005F7EC5">
        <w:rPr>
          <w:sz w:val="24"/>
          <w:szCs w:val="24"/>
          <w:lang w:val="el-GR"/>
        </w:rPr>
        <w:t xml:space="preserve"> </w:t>
      </w:r>
      <w:r>
        <w:rPr>
          <w:sz w:val="24"/>
          <w:szCs w:val="24"/>
          <w:lang w:val="el-GR"/>
        </w:rPr>
        <w:t>της</w:t>
      </w:r>
      <w:r w:rsidRPr="005F7EC5">
        <w:rPr>
          <w:sz w:val="24"/>
          <w:szCs w:val="24"/>
          <w:lang w:val="el-GR"/>
        </w:rPr>
        <w:t xml:space="preserve"> </w:t>
      </w:r>
      <w:r>
        <w:rPr>
          <w:sz w:val="24"/>
          <w:szCs w:val="24"/>
          <w:lang w:val="el-GR"/>
        </w:rPr>
        <w:t>ΑΑΔΙΠΑ</w:t>
      </w:r>
      <w:r w:rsidR="00220066" w:rsidRPr="005F7EC5">
        <w:rPr>
          <w:sz w:val="24"/>
          <w:szCs w:val="24"/>
          <w:lang w:val="el-GR"/>
        </w:rPr>
        <w:t xml:space="preserve">, </w:t>
      </w:r>
      <w:r>
        <w:rPr>
          <w:sz w:val="24"/>
          <w:szCs w:val="24"/>
          <w:lang w:val="el-GR"/>
        </w:rPr>
        <w:t>ή</w:t>
      </w:r>
      <w:r w:rsidRPr="005F7EC5">
        <w:rPr>
          <w:sz w:val="24"/>
          <w:szCs w:val="24"/>
          <w:lang w:val="el-GR"/>
        </w:rPr>
        <w:t xml:space="preserve"> </w:t>
      </w:r>
      <w:r>
        <w:rPr>
          <w:sz w:val="24"/>
          <w:szCs w:val="24"/>
          <w:lang w:val="el-GR"/>
        </w:rPr>
        <w:t>από</w:t>
      </w:r>
      <w:r w:rsidRPr="005F7EC5">
        <w:rPr>
          <w:sz w:val="24"/>
          <w:szCs w:val="24"/>
          <w:lang w:val="el-GR"/>
        </w:rPr>
        <w:t xml:space="preserve"> </w:t>
      </w:r>
      <w:r>
        <w:rPr>
          <w:sz w:val="24"/>
          <w:szCs w:val="24"/>
          <w:lang w:val="el-GR"/>
        </w:rPr>
        <w:t>ποινικούς</w:t>
      </w:r>
      <w:r w:rsidRPr="005F7EC5">
        <w:rPr>
          <w:sz w:val="24"/>
          <w:szCs w:val="24"/>
          <w:lang w:val="el-GR"/>
        </w:rPr>
        <w:t xml:space="preserve"> </w:t>
      </w:r>
      <w:r>
        <w:rPr>
          <w:sz w:val="24"/>
          <w:szCs w:val="24"/>
          <w:lang w:val="el-GR"/>
        </w:rPr>
        <w:t>ανακριτές</w:t>
      </w:r>
      <w:r w:rsidR="00220066" w:rsidRPr="005F7EC5">
        <w:rPr>
          <w:sz w:val="24"/>
          <w:szCs w:val="24"/>
          <w:lang w:val="el-GR"/>
        </w:rPr>
        <w:t xml:space="preserve"> </w:t>
      </w:r>
      <w:r>
        <w:rPr>
          <w:sz w:val="24"/>
          <w:szCs w:val="24"/>
          <w:lang w:val="el-GR"/>
        </w:rPr>
        <w:t>διορισμένους από την ΑΑΔΙΠΑ για τον σκοπό αυτό</w:t>
      </w:r>
      <w:r w:rsidR="00220066" w:rsidRPr="005F7EC5">
        <w:rPr>
          <w:sz w:val="24"/>
          <w:szCs w:val="24"/>
          <w:lang w:val="el-GR"/>
        </w:rPr>
        <w:t xml:space="preserve">. </w:t>
      </w:r>
      <w:r>
        <w:rPr>
          <w:sz w:val="24"/>
          <w:szCs w:val="24"/>
          <w:lang w:val="el-GR"/>
        </w:rPr>
        <w:t>Όλες</w:t>
      </w:r>
      <w:r w:rsidRPr="005F7EC5">
        <w:rPr>
          <w:sz w:val="24"/>
          <w:szCs w:val="24"/>
          <w:lang w:val="el-GR"/>
        </w:rPr>
        <w:t xml:space="preserve"> </w:t>
      </w:r>
      <w:r>
        <w:rPr>
          <w:sz w:val="24"/>
          <w:szCs w:val="24"/>
          <w:lang w:val="el-GR"/>
        </w:rPr>
        <w:t>οι</w:t>
      </w:r>
      <w:r w:rsidRPr="005F7EC5">
        <w:rPr>
          <w:sz w:val="24"/>
          <w:szCs w:val="24"/>
          <w:lang w:val="el-GR"/>
        </w:rPr>
        <w:t xml:space="preserve"> </w:t>
      </w:r>
      <w:r>
        <w:rPr>
          <w:sz w:val="24"/>
          <w:szCs w:val="24"/>
          <w:lang w:val="el-GR"/>
        </w:rPr>
        <w:t>έρευνες</w:t>
      </w:r>
      <w:r w:rsidRPr="005F7EC5">
        <w:rPr>
          <w:sz w:val="24"/>
          <w:szCs w:val="24"/>
          <w:lang w:val="el-GR"/>
        </w:rPr>
        <w:t xml:space="preserve"> </w:t>
      </w:r>
      <w:r>
        <w:rPr>
          <w:sz w:val="24"/>
          <w:szCs w:val="24"/>
          <w:lang w:val="el-GR"/>
        </w:rPr>
        <w:t>διεξάγονται</w:t>
      </w:r>
      <w:r w:rsidR="00220066" w:rsidRPr="005F7EC5">
        <w:rPr>
          <w:sz w:val="24"/>
          <w:szCs w:val="24"/>
          <w:lang w:val="el-GR"/>
        </w:rPr>
        <w:t xml:space="preserve"> </w:t>
      </w:r>
      <w:r>
        <w:rPr>
          <w:sz w:val="24"/>
          <w:szCs w:val="24"/>
          <w:lang w:val="el-GR"/>
        </w:rPr>
        <w:t>υπό</w:t>
      </w:r>
      <w:r w:rsidRPr="005F7EC5">
        <w:rPr>
          <w:sz w:val="24"/>
          <w:szCs w:val="24"/>
          <w:lang w:val="el-GR"/>
        </w:rPr>
        <w:t xml:space="preserve"> </w:t>
      </w:r>
      <w:r>
        <w:rPr>
          <w:sz w:val="24"/>
          <w:szCs w:val="24"/>
          <w:lang w:val="el-GR"/>
        </w:rPr>
        <w:t>την</w:t>
      </w:r>
      <w:r w:rsidRPr="005F7EC5">
        <w:rPr>
          <w:sz w:val="24"/>
          <w:szCs w:val="24"/>
          <w:lang w:val="el-GR"/>
        </w:rPr>
        <w:t xml:space="preserve"> </w:t>
      </w:r>
      <w:r>
        <w:rPr>
          <w:sz w:val="24"/>
          <w:szCs w:val="24"/>
          <w:lang w:val="el-GR"/>
        </w:rPr>
        <w:t>επίβλεψη</w:t>
      </w:r>
      <w:r w:rsidRPr="005F7EC5">
        <w:rPr>
          <w:sz w:val="24"/>
          <w:szCs w:val="24"/>
          <w:lang w:val="el-GR"/>
        </w:rPr>
        <w:t xml:space="preserve"> </w:t>
      </w:r>
      <w:r>
        <w:rPr>
          <w:sz w:val="24"/>
          <w:szCs w:val="24"/>
          <w:lang w:val="el-GR"/>
        </w:rPr>
        <w:t>και</w:t>
      </w:r>
      <w:r w:rsidRPr="005F7EC5">
        <w:rPr>
          <w:sz w:val="24"/>
          <w:szCs w:val="24"/>
          <w:lang w:val="el-GR"/>
        </w:rPr>
        <w:t xml:space="preserve"> </w:t>
      </w:r>
      <w:r>
        <w:rPr>
          <w:sz w:val="24"/>
          <w:szCs w:val="24"/>
          <w:lang w:val="el-GR"/>
        </w:rPr>
        <w:t>τις</w:t>
      </w:r>
      <w:r w:rsidRPr="005F7EC5">
        <w:rPr>
          <w:sz w:val="24"/>
          <w:szCs w:val="24"/>
          <w:lang w:val="el-GR"/>
        </w:rPr>
        <w:t xml:space="preserve"> </w:t>
      </w:r>
      <w:r>
        <w:rPr>
          <w:sz w:val="24"/>
          <w:szCs w:val="24"/>
          <w:lang w:val="el-GR"/>
        </w:rPr>
        <w:t>οδηγίες της ΑΑΔΙΠΑ ως αρχή</w:t>
      </w:r>
      <w:r w:rsidR="00220066" w:rsidRPr="005F7EC5">
        <w:rPr>
          <w:sz w:val="24"/>
          <w:szCs w:val="24"/>
          <w:lang w:val="el-GR"/>
        </w:rPr>
        <w:t xml:space="preserve">. </w:t>
      </w:r>
      <w:r>
        <w:rPr>
          <w:sz w:val="24"/>
          <w:szCs w:val="24"/>
          <w:lang w:val="el-GR"/>
        </w:rPr>
        <w:t>Για</w:t>
      </w:r>
      <w:r w:rsidRPr="005F7EC5">
        <w:rPr>
          <w:sz w:val="24"/>
          <w:szCs w:val="24"/>
          <w:lang w:val="el-GR"/>
        </w:rPr>
        <w:t xml:space="preserve"> </w:t>
      </w:r>
      <w:r>
        <w:rPr>
          <w:sz w:val="24"/>
          <w:szCs w:val="24"/>
          <w:lang w:val="el-GR"/>
        </w:rPr>
        <w:t>οδηγίες</w:t>
      </w:r>
      <w:r w:rsidRPr="005F7EC5">
        <w:rPr>
          <w:sz w:val="24"/>
          <w:szCs w:val="24"/>
          <w:lang w:val="el-GR"/>
        </w:rPr>
        <w:t xml:space="preserve"> </w:t>
      </w:r>
      <w:r>
        <w:rPr>
          <w:sz w:val="24"/>
          <w:szCs w:val="24"/>
          <w:lang w:val="el-GR"/>
        </w:rPr>
        <w:t>πάνω</w:t>
      </w:r>
      <w:r w:rsidRPr="005F7EC5">
        <w:rPr>
          <w:sz w:val="24"/>
          <w:szCs w:val="24"/>
          <w:lang w:val="el-GR"/>
        </w:rPr>
        <w:t xml:space="preserve"> </w:t>
      </w:r>
      <w:r>
        <w:rPr>
          <w:sz w:val="24"/>
          <w:szCs w:val="24"/>
          <w:lang w:val="el-GR"/>
        </w:rPr>
        <w:t>σε</w:t>
      </w:r>
      <w:r w:rsidRPr="005F7EC5">
        <w:rPr>
          <w:sz w:val="24"/>
          <w:szCs w:val="24"/>
          <w:lang w:val="el-GR"/>
        </w:rPr>
        <w:t xml:space="preserve"> </w:t>
      </w:r>
      <w:r>
        <w:rPr>
          <w:sz w:val="24"/>
          <w:szCs w:val="24"/>
          <w:lang w:val="el-GR"/>
        </w:rPr>
        <w:t>νομικά</w:t>
      </w:r>
      <w:r w:rsidRPr="005F7EC5">
        <w:rPr>
          <w:sz w:val="24"/>
          <w:szCs w:val="24"/>
          <w:lang w:val="el-GR"/>
        </w:rPr>
        <w:t xml:space="preserve"> </w:t>
      </w:r>
      <w:r>
        <w:rPr>
          <w:sz w:val="24"/>
          <w:szCs w:val="24"/>
          <w:lang w:val="el-GR"/>
        </w:rPr>
        <w:t>θέματα</w:t>
      </w:r>
      <w:r w:rsidRPr="005F7EC5">
        <w:rPr>
          <w:sz w:val="24"/>
          <w:szCs w:val="24"/>
          <w:lang w:val="el-GR"/>
        </w:rPr>
        <w:t xml:space="preserve"> </w:t>
      </w:r>
      <w:r>
        <w:rPr>
          <w:sz w:val="24"/>
          <w:szCs w:val="24"/>
          <w:lang w:val="el-GR"/>
        </w:rPr>
        <w:t>που</w:t>
      </w:r>
      <w:r w:rsidRPr="005F7EC5">
        <w:rPr>
          <w:sz w:val="24"/>
          <w:szCs w:val="24"/>
          <w:lang w:val="el-GR"/>
        </w:rPr>
        <w:t xml:space="preserve"> </w:t>
      </w:r>
      <w:r>
        <w:rPr>
          <w:sz w:val="24"/>
          <w:szCs w:val="24"/>
          <w:lang w:val="el-GR"/>
        </w:rPr>
        <w:t>προκύπτουν</w:t>
      </w:r>
      <w:r w:rsidRPr="005F7EC5">
        <w:rPr>
          <w:sz w:val="24"/>
          <w:szCs w:val="24"/>
          <w:lang w:val="el-GR"/>
        </w:rPr>
        <w:t xml:space="preserve"> </w:t>
      </w:r>
      <w:r>
        <w:rPr>
          <w:sz w:val="24"/>
          <w:szCs w:val="24"/>
          <w:lang w:val="el-GR"/>
        </w:rPr>
        <w:t>κατά</w:t>
      </w:r>
      <w:r w:rsidRPr="005F7EC5">
        <w:rPr>
          <w:sz w:val="24"/>
          <w:szCs w:val="24"/>
          <w:lang w:val="el-GR"/>
        </w:rPr>
        <w:t xml:space="preserve"> </w:t>
      </w:r>
      <w:r>
        <w:rPr>
          <w:sz w:val="24"/>
          <w:szCs w:val="24"/>
          <w:lang w:val="el-GR"/>
        </w:rPr>
        <w:t>την</w:t>
      </w:r>
      <w:r w:rsidRPr="005F7EC5">
        <w:rPr>
          <w:sz w:val="24"/>
          <w:szCs w:val="24"/>
          <w:lang w:val="el-GR"/>
        </w:rPr>
        <w:t xml:space="preserve"> </w:t>
      </w:r>
      <w:r>
        <w:rPr>
          <w:sz w:val="24"/>
          <w:szCs w:val="24"/>
          <w:lang w:val="el-GR"/>
        </w:rPr>
        <w:t>διάρκεια</w:t>
      </w:r>
      <w:r w:rsidRPr="005F7EC5">
        <w:rPr>
          <w:sz w:val="24"/>
          <w:szCs w:val="24"/>
          <w:lang w:val="el-GR"/>
        </w:rPr>
        <w:t xml:space="preserve"> </w:t>
      </w:r>
      <w:r>
        <w:rPr>
          <w:sz w:val="24"/>
          <w:szCs w:val="24"/>
          <w:lang w:val="el-GR"/>
        </w:rPr>
        <w:t>μιας</w:t>
      </w:r>
      <w:r w:rsidRPr="005F7EC5">
        <w:rPr>
          <w:sz w:val="24"/>
          <w:szCs w:val="24"/>
          <w:lang w:val="el-GR"/>
        </w:rPr>
        <w:t xml:space="preserve"> </w:t>
      </w:r>
      <w:r>
        <w:rPr>
          <w:sz w:val="24"/>
          <w:szCs w:val="24"/>
          <w:lang w:val="el-GR"/>
        </w:rPr>
        <w:t>έρευνας</w:t>
      </w:r>
      <w:r w:rsidR="00220066" w:rsidRPr="005F7EC5">
        <w:rPr>
          <w:sz w:val="24"/>
          <w:szCs w:val="24"/>
          <w:lang w:val="el-GR"/>
        </w:rPr>
        <w:t xml:space="preserve">, </w:t>
      </w:r>
      <w:r>
        <w:rPr>
          <w:sz w:val="24"/>
          <w:szCs w:val="24"/>
          <w:lang w:val="el-GR"/>
        </w:rPr>
        <w:t xml:space="preserve">οι ανακριτές απευθύνονται </w:t>
      </w:r>
      <w:r w:rsidR="00463ACC">
        <w:rPr>
          <w:sz w:val="24"/>
          <w:szCs w:val="24"/>
          <w:lang w:val="el-GR"/>
        </w:rPr>
        <w:t>απευθείας</w:t>
      </w:r>
      <w:r w:rsidR="00091C5F">
        <w:rPr>
          <w:sz w:val="24"/>
          <w:szCs w:val="24"/>
          <w:lang w:val="el-GR"/>
        </w:rPr>
        <w:t xml:space="preserve"> </w:t>
      </w:r>
      <w:r>
        <w:rPr>
          <w:sz w:val="24"/>
          <w:szCs w:val="24"/>
          <w:lang w:val="el-GR"/>
        </w:rPr>
        <w:t>στο Γραφείο του Γενικού Εισαγγελέα</w:t>
      </w:r>
      <w:r w:rsidR="00220066" w:rsidRPr="005F7EC5">
        <w:rPr>
          <w:sz w:val="24"/>
          <w:szCs w:val="24"/>
          <w:lang w:val="el-GR"/>
        </w:rPr>
        <w:t>.</w:t>
      </w:r>
    </w:p>
    <w:p w14:paraId="037B5D89" w14:textId="77777777" w:rsidR="00220066" w:rsidRPr="005F7EC5" w:rsidRDefault="00220066" w:rsidP="00220066">
      <w:pPr>
        <w:keepNext/>
        <w:tabs>
          <w:tab w:val="left" w:pos="709"/>
        </w:tabs>
        <w:rPr>
          <w:rFonts w:cstheme="minorHAnsi"/>
          <w:sz w:val="24"/>
          <w:szCs w:val="24"/>
          <w:lang w:val="el-GR"/>
        </w:rPr>
      </w:pPr>
    </w:p>
    <w:p w14:paraId="2EBFF363" w14:textId="45869E30" w:rsidR="00220066" w:rsidRPr="00907F30" w:rsidRDefault="00907F30" w:rsidP="00220066">
      <w:pPr>
        <w:keepNext/>
        <w:numPr>
          <w:ilvl w:val="0"/>
          <w:numId w:val="1"/>
        </w:numPr>
        <w:tabs>
          <w:tab w:val="left" w:pos="709"/>
        </w:tabs>
        <w:ind w:left="0" w:firstLine="0"/>
        <w:rPr>
          <w:rFonts w:cstheme="minorHAnsi"/>
          <w:sz w:val="24"/>
          <w:szCs w:val="24"/>
          <w:lang w:val="el-GR"/>
        </w:rPr>
      </w:pPr>
      <w:r>
        <w:rPr>
          <w:sz w:val="24"/>
          <w:szCs w:val="24"/>
          <w:lang w:val="el-GR"/>
        </w:rPr>
        <w:t>Ο</w:t>
      </w:r>
      <w:r w:rsidRPr="00907F30">
        <w:rPr>
          <w:sz w:val="24"/>
          <w:szCs w:val="24"/>
          <w:lang w:val="el-GR"/>
        </w:rPr>
        <w:t xml:space="preserve"> </w:t>
      </w:r>
      <w:r>
        <w:rPr>
          <w:sz w:val="24"/>
          <w:szCs w:val="24"/>
          <w:lang w:val="el-GR"/>
        </w:rPr>
        <w:t>Νόμος</w:t>
      </w:r>
      <w:r w:rsidRPr="00907F30">
        <w:rPr>
          <w:sz w:val="24"/>
          <w:szCs w:val="24"/>
          <w:lang w:val="el-GR"/>
        </w:rPr>
        <w:t xml:space="preserve"> </w:t>
      </w:r>
      <w:r>
        <w:rPr>
          <w:sz w:val="24"/>
          <w:szCs w:val="24"/>
          <w:lang w:val="el-GR"/>
        </w:rPr>
        <w:t>παρέχει</w:t>
      </w:r>
      <w:r w:rsidRPr="00907F30">
        <w:rPr>
          <w:sz w:val="24"/>
          <w:szCs w:val="24"/>
          <w:lang w:val="el-GR"/>
        </w:rPr>
        <w:t xml:space="preserve"> </w:t>
      </w:r>
      <w:r>
        <w:rPr>
          <w:sz w:val="24"/>
          <w:szCs w:val="24"/>
          <w:lang w:val="el-GR"/>
        </w:rPr>
        <w:t>ρητά</w:t>
      </w:r>
      <w:r w:rsidRPr="00907F30">
        <w:rPr>
          <w:sz w:val="24"/>
          <w:szCs w:val="24"/>
          <w:lang w:val="el-GR"/>
        </w:rPr>
        <w:t xml:space="preserve"> </w:t>
      </w:r>
      <w:r>
        <w:rPr>
          <w:sz w:val="24"/>
          <w:szCs w:val="24"/>
          <w:lang w:val="el-GR"/>
        </w:rPr>
        <w:t>στους</w:t>
      </w:r>
      <w:r w:rsidRPr="00907F30">
        <w:rPr>
          <w:sz w:val="24"/>
          <w:szCs w:val="24"/>
          <w:lang w:val="el-GR"/>
        </w:rPr>
        <w:t xml:space="preserve"> </w:t>
      </w:r>
      <w:r>
        <w:rPr>
          <w:sz w:val="24"/>
          <w:szCs w:val="24"/>
          <w:lang w:val="el-GR"/>
        </w:rPr>
        <w:t>ανακριτές</w:t>
      </w:r>
      <w:r w:rsidR="00220066" w:rsidRPr="00907F30">
        <w:rPr>
          <w:sz w:val="24"/>
          <w:szCs w:val="24"/>
          <w:lang w:val="el-GR"/>
        </w:rPr>
        <w:t xml:space="preserve"> </w:t>
      </w:r>
      <w:r>
        <w:rPr>
          <w:sz w:val="24"/>
          <w:szCs w:val="24"/>
          <w:lang w:val="el-GR"/>
        </w:rPr>
        <w:t>όλες</w:t>
      </w:r>
      <w:r w:rsidRPr="00907F30">
        <w:rPr>
          <w:sz w:val="24"/>
          <w:szCs w:val="24"/>
          <w:lang w:val="el-GR"/>
        </w:rPr>
        <w:t xml:space="preserve"> </w:t>
      </w:r>
      <w:r>
        <w:rPr>
          <w:sz w:val="24"/>
          <w:szCs w:val="24"/>
          <w:lang w:val="el-GR"/>
        </w:rPr>
        <w:t>τις</w:t>
      </w:r>
      <w:r w:rsidRPr="00907F30">
        <w:rPr>
          <w:sz w:val="24"/>
          <w:szCs w:val="24"/>
          <w:lang w:val="el-GR"/>
        </w:rPr>
        <w:t xml:space="preserve"> </w:t>
      </w:r>
      <w:r>
        <w:rPr>
          <w:sz w:val="24"/>
          <w:szCs w:val="24"/>
          <w:lang w:val="el-GR"/>
        </w:rPr>
        <w:t>εξουσίες</w:t>
      </w:r>
      <w:r w:rsidRPr="00907F30">
        <w:rPr>
          <w:sz w:val="24"/>
          <w:szCs w:val="24"/>
          <w:lang w:val="el-GR"/>
        </w:rPr>
        <w:t xml:space="preserve"> </w:t>
      </w:r>
      <w:r>
        <w:rPr>
          <w:sz w:val="24"/>
          <w:szCs w:val="24"/>
          <w:lang w:val="el-GR"/>
        </w:rPr>
        <w:t>που</w:t>
      </w:r>
      <w:r w:rsidRPr="00907F30">
        <w:rPr>
          <w:sz w:val="24"/>
          <w:szCs w:val="24"/>
          <w:lang w:val="el-GR"/>
        </w:rPr>
        <w:t xml:space="preserve"> </w:t>
      </w:r>
      <w:r>
        <w:rPr>
          <w:sz w:val="24"/>
          <w:szCs w:val="24"/>
          <w:lang w:val="el-GR"/>
        </w:rPr>
        <w:t>κατέχονται</w:t>
      </w:r>
      <w:r w:rsidRPr="00907F30">
        <w:rPr>
          <w:sz w:val="24"/>
          <w:szCs w:val="24"/>
          <w:lang w:val="el-GR"/>
        </w:rPr>
        <w:t xml:space="preserve"> </w:t>
      </w:r>
      <w:r>
        <w:rPr>
          <w:sz w:val="24"/>
          <w:szCs w:val="24"/>
          <w:lang w:val="el-GR"/>
        </w:rPr>
        <w:t>από</w:t>
      </w:r>
      <w:r w:rsidRPr="00907F30">
        <w:rPr>
          <w:sz w:val="24"/>
          <w:szCs w:val="24"/>
          <w:lang w:val="el-GR"/>
        </w:rPr>
        <w:t xml:space="preserve"> </w:t>
      </w:r>
      <w:r>
        <w:rPr>
          <w:sz w:val="24"/>
          <w:szCs w:val="24"/>
          <w:lang w:val="el-GR"/>
        </w:rPr>
        <w:t>την</w:t>
      </w:r>
      <w:r w:rsidRPr="00907F30">
        <w:rPr>
          <w:sz w:val="24"/>
          <w:szCs w:val="24"/>
          <w:lang w:val="el-GR"/>
        </w:rPr>
        <w:t xml:space="preserve"> </w:t>
      </w:r>
      <w:r>
        <w:rPr>
          <w:sz w:val="24"/>
          <w:szCs w:val="24"/>
          <w:lang w:val="el-GR"/>
        </w:rPr>
        <w:t>αστυνομική</w:t>
      </w:r>
      <w:r w:rsidRPr="00907F30">
        <w:rPr>
          <w:sz w:val="24"/>
          <w:szCs w:val="24"/>
          <w:lang w:val="el-GR"/>
        </w:rPr>
        <w:t xml:space="preserve"> </w:t>
      </w:r>
      <w:r>
        <w:rPr>
          <w:sz w:val="24"/>
          <w:szCs w:val="24"/>
          <w:lang w:val="el-GR"/>
        </w:rPr>
        <w:t>δύναμη</w:t>
      </w:r>
      <w:r w:rsidR="00220066" w:rsidRPr="00907F30">
        <w:rPr>
          <w:sz w:val="24"/>
          <w:szCs w:val="24"/>
          <w:lang w:val="el-GR"/>
        </w:rPr>
        <w:t xml:space="preserve"> </w:t>
      </w:r>
      <w:r>
        <w:rPr>
          <w:sz w:val="24"/>
          <w:szCs w:val="24"/>
          <w:lang w:val="el-GR"/>
        </w:rPr>
        <w:t>στην</w:t>
      </w:r>
      <w:r w:rsidRPr="00907F30">
        <w:rPr>
          <w:sz w:val="24"/>
          <w:szCs w:val="24"/>
          <w:lang w:val="el-GR"/>
        </w:rPr>
        <w:t xml:space="preserve"> </w:t>
      </w:r>
      <w:r>
        <w:rPr>
          <w:sz w:val="24"/>
          <w:szCs w:val="24"/>
          <w:lang w:val="el-GR"/>
        </w:rPr>
        <w:t>διερεύνηση</w:t>
      </w:r>
      <w:r w:rsidRPr="00907F30">
        <w:rPr>
          <w:sz w:val="24"/>
          <w:szCs w:val="24"/>
          <w:lang w:val="el-GR"/>
        </w:rPr>
        <w:t xml:space="preserve"> </w:t>
      </w:r>
      <w:r>
        <w:rPr>
          <w:sz w:val="24"/>
          <w:szCs w:val="24"/>
          <w:lang w:val="el-GR"/>
        </w:rPr>
        <w:t>ενός</w:t>
      </w:r>
      <w:r w:rsidRPr="00907F30">
        <w:rPr>
          <w:sz w:val="24"/>
          <w:szCs w:val="24"/>
          <w:lang w:val="el-GR"/>
        </w:rPr>
        <w:t xml:space="preserve"> </w:t>
      </w:r>
      <w:r>
        <w:rPr>
          <w:sz w:val="24"/>
          <w:szCs w:val="24"/>
          <w:lang w:val="el-GR"/>
        </w:rPr>
        <w:t>εγκλήματος</w:t>
      </w:r>
      <w:r w:rsidR="00220066" w:rsidRPr="00907F30">
        <w:rPr>
          <w:sz w:val="24"/>
          <w:szCs w:val="24"/>
          <w:lang w:val="el-GR"/>
        </w:rPr>
        <w:t xml:space="preserve"> </w:t>
      </w:r>
      <w:r>
        <w:rPr>
          <w:sz w:val="24"/>
          <w:szCs w:val="24"/>
          <w:lang w:val="el-GR"/>
        </w:rPr>
        <w:t>σύμφωνα</w:t>
      </w:r>
      <w:r w:rsidRPr="00907F30">
        <w:rPr>
          <w:sz w:val="24"/>
          <w:szCs w:val="24"/>
          <w:lang w:val="el-GR"/>
        </w:rPr>
        <w:t xml:space="preserve"> </w:t>
      </w:r>
      <w:r>
        <w:rPr>
          <w:sz w:val="24"/>
          <w:szCs w:val="24"/>
          <w:lang w:val="el-GR"/>
        </w:rPr>
        <w:t>με</w:t>
      </w:r>
      <w:r w:rsidRPr="00907F30">
        <w:rPr>
          <w:sz w:val="24"/>
          <w:szCs w:val="24"/>
          <w:lang w:val="el-GR"/>
        </w:rPr>
        <w:t xml:space="preserve"> </w:t>
      </w:r>
      <w:r>
        <w:rPr>
          <w:sz w:val="24"/>
          <w:szCs w:val="24"/>
          <w:lang w:val="el-GR"/>
        </w:rPr>
        <w:t>τον</w:t>
      </w:r>
      <w:r w:rsidRPr="00907F30">
        <w:rPr>
          <w:sz w:val="24"/>
          <w:szCs w:val="24"/>
          <w:lang w:val="el-GR"/>
        </w:rPr>
        <w:t xml:space="preserve"> </w:t>
      </w:r>
      <w:r>
        <w:rPr>
          <w:sz w:val="24"/>
          <w:szCs w:val="24"/>
          <w:lang w:val="el-GR"/>
        </w:rPr>
        <w:t>Νόμο</w:t>
      </w:r>
      <w:r w:rsidRPr="00907F30">
        <w:rPr>
          <w:sz w:val="24"/>
          <w:szCs w:val="24"/>
          <w:lang w:val="el-GR"/>
        </w:rPr>
        <w:t xml:space="preserve"> </w:t>
      </w:r>
      <w:r>
        <w:rPr>
          <w:sz w:val="24"/>
          <w:szCs w:val="24"/>
          <w:lang w:val="el-GR"/>
        </w:rPr>
        <w:t>περί</w:t>
      </w:r>
      <w:r w:rsidRPr="00907F30">
        <w:rPr>
          <w:sz w:val="24"/>
          <w:szCs w:val="24"/>
          <w:lang w:val="el-GR"/>
        </w:rPr>
        <w:t xml:space="preserve"> </w:t>
      </w:r>
      <w:r>
        <w:rPr>
          <w:sz w:val="24"/>
          <w:szCs w:val="24"/>
          <w:lang w:val="el-GR"/>
        </w:rPr>
        <w:t>Ποινικής</w:t>
      </w:r>
      <w:r w:rsidRPr="00907F30">
        <w:rPr>
          <w:sz w:val="24"/>
          <w:szCs w:val="24"/>
          <w:lang w:val="el-GR"/>
        </w:rPr>
        <w:t xml:space="preserve"> </w:t>
      </w:r>
      <w:r>
        <w:rPr>
          <w:sz w:val="24"/>
          <w:szCs w:val="24"/>
          <w:lang w:val="el-GR"/>
        </w:rPr>
        <w:t>Δικονομίας</w:t>
      </w:r>
      <w:r w:rsidR="00220066" w:rsidRPr="00907F30">
        <w:rPr>
          <w:sz w:val="24"/>
          <w:szCs w:val="24"/>
          <w:lang w:val="el-GR"/>
        </w:rPr>
        <w:t xml:space="preserve">. </w:t>
      </w:r>
      <w:r>
        <w:rPr>
          <w:sz w:val="24"/>
          <w:szCs w:val="24"/>
          <w:lang w:val="el-GR"/>
        </w:rPr>
        <w:t>Η</w:t>
      </w:r>
      <w:r w:rsidRPr="00907F30">
        <w:rPr>
          <w:sz w:val="24"/>
          <w:szCs w:val="24"/>
          <w:lang w:val="el-GR"/>
        </w:rPr>
        <w:t xml:space="preserve"> </w:t>
      </w:r>
      <w:r>
        <w:rPr>
          <w:sz w:val="24"/>
          <w:szCs w:val="24"/>
          <w:lang w:val="el-GR"/>
        </w:rPr>
        <w:t>διαδικασία</w:t>
      </w:r>
      <w:r w:rsidRPr="00907F30">
        <w:rPr>
          <w:sz w:val="24"/>
          <w:szCs w:val="24"/>
          <w:lang w:val="el-GR"/>
        </w:rPr>
        <w:t xml:space="preserve"> </w:t>
      </w:r>
      <w:r>
        <w:rPr>
          <w:sz w:val="24"/>
          <w:szCs w:val="24"/>
          <w:lang w:val="el-GR"/>
        </w:rPr>
        <w:t>που</w:t>
      </w:r>
      <w:r w:rsidRPr="00907F30">
        <w:rPr>
          <w:sz w:val="24"/>
          <w:szCs w:val="24"/>
          <w:lang w:val="el-GR"/>
        </w:rPr>
        <w:t xml:space="preserve"> </w:t>
      </w:r>
      <w:r>
        <w:rPr>
          <w:sz w:val="24"/>
          <w:szCs w:val="24"/>
          <w:lang w:val="el-GR"/>
        </w:rPr>
        <w:t>ακολουθείται</w:t>
      </w:r>
      <w:r w:rsidRPr="00907F30">
        <w:rPr>
          <w:sz w:val="24"/>
          <w:szCs w:val="24"/>
          <w:lang w:val="el-GR"/>
        </w:rPr>
        <w:t xml:space="preserve"> </w:t>
      </w:r>
      <w:r>
        <w:rPr>
          <w:sz w:val="24"/>
          <w:szCs w:val="24"/>
          <w:lang w:val="el-GR"/>
        </w:rPr>
        <w:t>κ</w:t>
      </w:r>
      <w:r w:rsidR="002547E0">
        <w:rPr>
          <w:sz w:val="24"/>
          <w:szCs w:val="24"/>
          <w:lang w:val="el-GR"/>
        </w:rPr>
        <w:t>α</w:t>
      </w:r>
      <w:r>
        <w:rPr>
          <w:sz w:val="24"/>
          <w:szCs w:val="24"/>
          <w:lang w:val="el-GR"/>
        </w:rPr>
        <w:t>τά</w:t>
      </w:r>
      <w:r w:rsidRPr="00907F30">
        <w:rPr>
          <w:sz w:val="24"/>
          <w:szCs w:val="24"/>
          <w:lang w:val="el-GR"/>
        </w:rPr>
        <w:t xml:space="preserve"> </w:t>
      </w:r>
      <w:r>
        <w:rPr>
          <w:sz w:val="24"/>
          <w:szCs w:val="24"/>
          <w:lang w:val="el-GR"/>
        </w:rPr>
        <w:t>την</w:t>
      </w:r>
      <w:r w:rsidRPr="00907F30">
        <w:rPr>
          <w:sz w:val="24"/>
          <w:szCs w:val="24"/>
          <w:lang w:val="el-GR"/>
        </w:rPr>
        <w:t xml:space="preserve"> </w:t>
      </w:r>
      <w:r>
        <w:rPr>
          <w:sz w:val="24"/>
          <w:szCs w:val="24"/>
          <w:lang w:val="el-GR"/>
        </w:rPr>
        <w:t>διάρκεια</w:t>
      </w:r>
      <w:r w:rsidRPr="00907F30">
        <w:rPr>
          <w:sz w:val="24"/>
          <w:szCs w:val="24"/>
          <w:lang w:val="el-GR"/>
        </w:rPr>
        <w:t xml:space="preserve"> </w:t>
      </w:r>
      <w:r>
        <w:rPr>
          <w:sz w:val="24"/>
          <w:szCs w:val="24"/>
          <w:lang w:val="el-GR"/>
        </w:rPr>
        <w:t>μιας</w:t>
      </w:r>
      <w:r w:rsidRPr="00907F30">
        <w:rPr>
          <w:sz w:val="24"/>
          <w:szCs w:val="24"/>
          <w:lang w:val="el-GR"/>
        </w:rPr>
        <w:t xml:space="preserve"> </w:t>
      </w:r>
      <w:r>
        <w:rPr>
          <w:sz w:val="24"/>
          <w:szCs w:val="24"/>
          <w:lang w:val="el-GR"/>
        </w:rPr>
        <w:t>έρευνας</w:t>
      </w:r>
      <w:r w:rsidR="00220066" w:rsidRPr="00907F30">
        <w:rPr>
          <w:sz w:val="24"/>
          <w:szCs w:val="24"/>
          <w:lang w:val="el-GR"/>
        </w:rPr>
        <w:t xml:space="preserve">, </w:t>
      </w:r>
      <w:r w:rsidR="002E5EC0">
        <w:rPr>
          <w:sz w:val="24"/>
          <w:szCs w:val="24"/>
          <w:lang w:val="el-GR"/>
        </w:rPr>
        <w:t>συμπεριλαμβανομένης</w:t>
      </w:r>
      <w:r w:rsidRPr="00907F30">
        <w:rPr>
          <w:sz w:val="24"/>
          <w:szCs w:val="24"/>
          <w:lang w:val="el-GR"/>
        </w:rPr>
        <w:t xml:space="preserve"> </w:t>
      </w:r>
      <w:r>
        <w:rPr>
          <w:sz w:val="24"/>
          <w:szCs w:val="24"/>
          <w:lang w:val="el-GR"/>
        </w:rPr>
        <w:t>της</w:t>
      </w:r>
      <w:r w:rsidRPr="00907F30">
        <w:rPr>
          <w:sz w:val="24"/>
          <w:szCs w:val="24"/>
          <w:lang w:val="el-GR"/>
        </w:rPr>
        <w:t xml:space="preserve"> </w:t>
      </w:r>
      <w:r>
        <w:rPr>
          <w:sz w:val="24"/>
          <w:szCs w:val="24"/>
          <w:lang w:val="el-GR"/>
        </w:rPr>
        <w:t>λήψης</w:t>
      </w:r>
      <w:r w:rsidRPr="00907F30">
        <w:rPr>
          <w:sz w:val="24"/>
          <w:szCs w:val="24"/>
          <w:lang w:val="el-GR"/>
        </w:rPr>
        <w:t xml:space="preserve"> </w:t>
      </w:r>
      <w:r>
        <w:rPr>
          <w:sz w:val="24"/>
          <w:szCs w:val="24"/>
          <w:lang w:val="el-GR"/>
        </w:rPr>
        <w:t>καταθέσεων</w:t>
      </w:r>
      <w:r w:rsidRPr="00907F30">
        <w:rPr>
          <w:sz w:val="24"/>
          <w:szCs w:val="24"/>
          <w:lang w:val="el-GR"/>
        </w:rPr>
        <w:t xml:space="preserve"> </w:t>
      </w:r>
      <w:r>
        <w:rPr>
          <w:sz w:val="24"/>
          <w:szCs w:val="24"/>
          <w:lang w:val="el-GR"/>
        </w:rPr>
        <w:t>από</w:t>
      </w:r>
      <w:r w:rsidRPr="00907F30">
        <w:rPr>
          <w:sz w:val="24"/>
          <w:szCs w:val="24"/>
          <w:lang w:val="el-GR"/>
        </w:rPr>
        <w:t xml:space="preserve"> </w:t>
      </w:r>
      <w:r>
        <w:rPr>
          <w:sz w:val="24"/>
          <w:szCs w:val="24"/>
          <w:lang w:val="el-GR"/>
        </w:rPr>
        <w:t>μάρτυρες</w:t>
      </w:r>
      <w:r w:rsidR="00220066" w:rsidRPr="00907F30">
        <w:rPr>
          <w:sz w:val="24"/>
          <w:szCs w:val="24"/>
          <w:lang w:val="el-GR"/>
        </w:rPr>
        <w:t xml:space="preserve"> </w:t>
      </w:r>
      <w:r>
        <w:rPr>
          <w:sz w:val="24"/>
          <w:szCs w:val="24"/>
          <w:lang w:val="el-GR"/>
        </w:rPr>
        <w:t>και</w:t>
      </w:r>
      <w:r w:rsidRPr="00907F30">
        <w:rPr>
          <w:sz w:val="24"/>
          <w:szCs w:val="24"/>
          <w:lang w:val="el-GR"/>
        </w:rPr>
        <w:t xml:space="preserve"> </w:t>
      </w:r>
      <w:r>
        <w:rPr>
          <w:sz w:val="24"/>
          <w:szCs w:val="24"/>
          <w:lang w:val="el-GR"/>
        </w:rPr>
        <w:t>την</w:t>
      </w:r>
      <w:r w:rsidRPr="00907F30">
        <w:rPr>
          <w:sz w:val="24"/>
          <w:szCs w:val="24"/>
          <w:lang w:val="el-GR"/>
        </w:rPr>
        <w:t xml:space="preserve"> </w:t>
      </w:r>
      <w:r>
        <w:rPr>
          <w:sz w:val="24"/>
          <w:szCs w:val="24"/>
          <w:lang w:val="el-GR"/>
        </w:rPr>
        <w:t>ανάκριση</w:t>
      </w:r>
      <w:r w:rsidRPr="00907F30">
        <w:rPr>
          <w:sz w:val="24"/>
          <w:szCs w:val="24"/>
          <w:lang w:val="el-GR"/>
        </w:rPr>
        <w:t xml:space="preserve"> </w:t>
      </w:r>
      <w:r>
        <w:rPr>
          <w:sz w:val="24"/>
          <w:szCs w:val="24"/>
          <w:lang w:val="el-GR"/>
        </w:rPr>
        <w:t>υπόπτων</w:t>
      </w:r>
      <w:r w:rsidR="00220066" w:rsidRPr="00907F30">
        <w:rPr>
          <w:sz w:val="24"/>
          <w:szCs w:val="24"/>
          <w:lang w:val="el-GR"/>
        </w:rPr>
        <w:t xml:space="preserve">, </w:t>
      </w:r>
      <w:proofErr w:type="spellStart"/>
      <w:r>
        <w:rPr>
          <w:sz w:val="24"/>
          <w:szCs w:val="24"/>
          <w:lang w:val="el-GR"/>
        </w:rPr>
        <w:lastRenderedPageBreak/>
        <w:t>διέπεται</w:t>
      </w:r>
      <w:proofErr w:type="spellEnd"/>
      <w:r>
        <w:rPr>
          <w:sz w:val="24"/>
          <w:szCs w:val="24"/>
          <w:lang w:val="el-GR"/>
        </w:rPr>
        <w:t xml:space="preserve"> από τον Νόμο περί Ποινικής Δικονομίας</w:t>
      </w:r>
      <w:r w:rsidR="00220066" w:rsidRPr="00907F30">
        <w:rPr>
          <w:sz w:val="24"/>
          <w:szCs w:val="24"/>
          <w:lang w:val="el-GR"/>
        </w:rPr>
        <w:t xml:space="preserve">, </w:t>
      </w:r>
      <w:r>
        <w:rPr>
          <w:sz w:val="24"/>
          <w:szCs w:val="24"/>
          <w:lang w:val="el-GR"/>
        </w:rPr>
        <w:t>με τον ίδιο τρόπο</w:t>
      </w:r>
      <w:r w:rsidR="00220066" w:rsidRPr="00907F30">
        <w:rPr>
          <w:sz w:val="24"/>
          <w:szCs w:val="24"/>
          <w:lang w:val="el-GR"/>
        </w:rPr>
        <w:t xml:space="preserve"> </w:t>
      </w:r>
      <w:r>
        <w:rPr>
          <w:sz w:val="24"/>
          <w:szCs w:val="24"/>
          <w:lang w:val="el-GR"/>
        </w:rPr>
        <w:t>που ο αναφερ</w:t>
      </w:r>
      <w:r w:rsidR="002547E0">
        <w:rPr>
          <w:sz w:val="24"/>
          <w:szCs w:val="24"/>
          <w:lang w:val="el-GR"/>
        </w:rPr>
        <w:t>όμενος</w:t>
      </w:r>
      <w:r>
        <w:rPr>
          <w:sz w:val="24"/>
          <w:szCs w:val="24"/>
          <w:lang w:val="el-GR"/>
        </w:rPr>
        <w:t xml:space="preserve"> Νόμος εφαρμόζεται σε ποινικές έρευνες που διεξάγονται από την </w:t>
      </w:r>
      <w:r w:rsidR="009C4E34">
        <w:rPr>
          <w:sz w:val="24"/>
          <w:szCs w:val="24"/>
          <w:lang w:val="el-GR"/>
        </w:rPr>
        <w:t>Αστυνομία</w:t>
      </w:r>
      <w:r w:rsidR="00220066" w:rsidRPr="00907F30">
        <w:rPr>
          <w:sz w:val="24"/>
          <w:szCs w:val="24"/>
          <w:lang w:val="el-GR"/>
        </w:rPr>
        <w:t xml:space="preserve">. </w:t>
      </w:r>
    </w:p>
    <w:p w14:paraId="14E8F3A9" w14:textId="77777777" w:rsidR="00220066" w:rsidRPr="00907F30" w:rsidRDefault="00220066" w:rsidP="00220066">
      <w:pPr>
        <w:keepNext/>
        <w:tabs>
          <w:tab w:val="left" w:pos="709"/>
        </w:tabs>
        <w:rPr>
          <w:rFonts w:cstheme="minorHAnsi"/>
          <w:sz w:val="24"/>
          <w:szCs w:val="24"/>
          <w:lang w:val="el-GR"/>
        </w:rPr>
      </w:pPr>
    </w:p>
    <w:p w14:paraId="756D2B34" w14:textId="6AB4F2A5" w:rsidR="00901561" w:rsidRPr="004902CE" w:rsidRDefault="00907F30" w:rsidP="00901561">
      <w:pPr>
        <w:keepNext/>
        <w:numPr>
          <w:ilvl w:val="0"/>
          <w:numId w:val="1"/>
        </w:numPr>
        <w:tabs>
          <w:tab w:val="left" w:pos="709"/>
        </w:tabs>
        <w:ind w:left="0" w:firstLine="0"/>
        <w:rPr>
          <w:rFonts w:cstheme="minorHAnsi"/>
          <w:sz w:val="24"/>
          <w:szCs w:val="24"/>
          <w:lang w:val="el-GR"/>
        </w:rPr>
      </w:pPr>
      <w:r>
        <w:rPr>
          <w:sz w:val="24"/>
          <w:szCs w:val="24"/>
          <w:lang w:val="el-GR"/>
        </w:rPr>
        <w:t>Η</w:t>
      </w:r>
      <w:r w:rsidRPr="00907F30">
        <w:rPr>
          <w:sz w:val="24"/>
          <w:szCs w:val="24"/>
          <w:lang w:val="el-GR"/>
        </w:rPr>
        <w:t xml:space="preserve"> </w:t>
      </w:r>
      <w:r>
        <w:rPr>
          <w:sz w:val="24"/>
          <w:szCs w:val="24"/>
          <w:lang w:val="el-GR"/>
        </w:rPr>
        <w:t>ΑΑΔΙΠΑ</w:t>
      </w:r>
      <w:r w:rsidR="00220066" w:rsidRPr="00907F30">
        <w:rPr>
          <w:sz w:val="24"/>
          <w:szCs w:val="24"/>
          <w:lang w:val="el-GR"/>
        </w:rPr>
        <w:t xml:space="preserve"> </w:t>
      </w:r>
      <w:r>
        <w:rPr>
          <w:sz w:val="24"/>
          <w:szCs w:val="24"/>
          <w:lang w:val="el-GR"/>
        </w:rPr>
        <w:t>δεν</w:t>
      </w:r>
      <w:r w:rsidRPr="00907F30">
        <w:rPr>
          <w:sz w:val="24"/>
          <w:szCs w:val="24"/>
          <w:lang w:val="el-GR"/>
        </w:rPr>
        <w:t xml:space="preserve"> </w:t>
      </w:r>
      <w:r>
        <w:rPr>
          <w:sz w:val="24"/>
          <w:szCs w:val="24"/>
          <w:lang w:val="el-GR"/>
        </w:rPr>
        <w:t>δεσμεύεται</w:t>
      </w:r>
      <w:r w:rsidRPr="00907F30">
        <w:rPr>
          <w:sz w:val="24"/>
          <w:szCs w:val="24"/>
          <w:lang w:val="el-GR"/>
        </w:rPr>
        <w:t xml:space="preserve"> </w:t>
      </w:r>
      <w:r>
        <w:rPr>
          <w:sz w:val="24"/>
          <w:szCs w:val="24"/>
          <w:lang w:val="el-GR"/>
        </w:rPr>
        <w:t>από</w:t>
      </w:r>
      <w:r w:rsidRPr="00907F30">
        <w:rPr>
          <w:sz w:val="24"/>
          <w:szCs w:val="24"/>
          <w:lang w:val="el-GR"/>
        </w:rPr>
        <w:t xml:space="preserve"> </w:t>
      </w:r>
      <w:r>
        <w:rPr>
          <w:sz w:val="24"/>
          <w:szCs w:val="24"/>
          <w:lang w:val="el-GR"/>
        </w:rPr>
        <w:t>τα</w:t>
      </w:r>
      <w:r w:rsidRPr="00907F30">
        <w:rPr>
          <w:sz w:val="24"/>
          <w:szCs w:val="24"/>
          <w:lang w:val="el-GR"/>
        </w:rPr>
        <w:t xml:space="preserve"> </w:t>
      </w:r>
      <w:r>
        <w:rPr>
          <w:sz w:val="24"/>
          <w:szCs w:val="24"/>
          <w:lang w:val="el-GR"/>
        </w:rPr>
        <w:t>ευρήματα</w:t>
      </w:r>
      <w:r w:rsidRPr="00907F30">
        <w:rPr>
          <w:sz w:val="24"/>
          <w:szCs w:val="24"/>
          <w:lang w:val="el-GR"/>
        </w:rPr>
        <w:t xml:space="preserve"> </w:t>
      </w:r>
      <w:r>
        <w:rPr>
          <w:sz w:val="24"/>
          <w:szCs w:val="24"/>
          <w:lang w:val="el-GR"/>
        </w:rPr>
        <w:t>των</w:t>
      </w:r>
      <w:r w:rsidRPr="00907F30">
        <w:rPr>
          <w:sz w:val="24"/>
          <w:szCs w:val="24"/>
          <w:lang w:val="el-GR"/>
        </w:rPr>
        <w:t xml:space="preserve"> </w:t>
      </w:r>
      <w:r>
        <w:rPr>
          <w:sz w:val="24"/>
          <w:szCs w:val="24"/>
          <w:lang w:val="el-GR"/>
        </w:rPr>
        <w:t>ανακριτών</w:t>
      </w:r>
      <w:r w:rsidR="00220066" w:rsidRPr="00907F30">
        <w:rPr>
          <w:sz w:val="24"/>
          <w:szCs w:val="24"/>
          <w:lang w:val="el-GR"/>
        </w:rPr>
        <w:t xml:space="preserve">. </w:t>
      </w:r>
      <w:r>
        <w:rPr>
          <w:sz w:val="24"/>
          <w:szCs w:val="24"/>
          <w:lang w:val="el-GR"/>
        </w:rPr>
        <w:t>Η</w:t>
      </w:r>
      <w:r w:rsidRPr="00907F30">
        <w:rPr>
          <w:sz w:val="24"/>
          <w:szCs w:val="24"/>
          <w:lang w:val="el-GR"/>
        </w:rPr>
        <w:t xml:space="preserve"> </w:t>
      </w:r>
      <w:r>
        <w:rPr>
          <w:sz w:val="24"/>
          <w:szCs w:val="24"/>
          <w:lang w:val="el-GR"/>
        </w:rPr>
        <w:t>ΑΑΔΙΠΑ</w:t>
      </w:r>
      <w:r w:rsidR="00220066" w:rsidRPr="00907F30">
        <w:rPr>
          <w:sz w:val="24"/>
          <w:szCs w:val="24"/>
          <w:lang w:val="el-GR"/>
        </w:rPr>
        <w:t xml:space="preserve">, </w:t>
      </w:r>
      <w:r>
        <w:rPr>
          <w:sz w:val="24"/>
          <w:szCs w:val="24"/>
          <w:lang w:val="el-GR"/>
        </w:rPr>
        <w:t>μετά</w:t>
      </w:r>
      <w:r w:rsidRPr="00907F30">
        <w:rPr>
          <w:sz w:val="24"/>
          <w:szCs w:val="24"/>
          <w:lang w:val="el-GR"/>
        </w:rPr>
        <w:t xml:space="preserve"> </w:t>
      </w:r>
      <w:r>
        <w:rPr>
          <w:sz w:val="24"/>
          <w:szCs w:val="24"/>
          <w:lang w:val="el-GR"/>
        </w:rPr>
        <w:t>από</w:t>
      </w:r>
      <w:r w:rsidRPr="00907F30">
        <w:rPr>
          <w:sz w:val="24"/>
          <w:szCs w:val="24"/>
          <w:lang w:val="el-GR"/>
        </w:rPr>
        <w:t xml:space="preserve"> </w:t>
      </w:r>
      <w:r>
        <w:rPr>
          <w:sz w:val="24"/>
          <w:szCs w:val="24"/>
          <w:lang w:val="el-GR"/>
        </w:rPr>
        <w:t>την</w:t>
      </w:r>
      <w:r w:rsidRPr="00907F30">
        <w:rPr>
          <w:sz w:val="24"/>
          <w:szCs w:val="24"/>
          <w:lang w:val="el-GR"/>
        </w:rPr>
        <w:t xml:space="preserve"> </w:t>
      </w:r>
      <w:r>
        <w:rPr>
          <w:sz w:val="24"/>
          <w:szCs w:val="24"/>
          <w:lang w:val="el-GR"/>
        </w:rPr>
        <w:t>πλήρη</w:t>
      </w:r>
      <w:r w:rsidRPr="00907F30">
        <w:rPr>
          <w:sz w:val="24"/>
          <w:szCs w:val="24"/>
          <w:lang w:val="el-GR"/>
        </w:rPr>
        <w:t xml:space="preserve"> </w:t>
      </w:r>
      <w:r>
        <w:rPr>
          <w:sz w:val="24"/>
          <w:szCs w:val="24"/>
          <w:lang w:val="el-GR"/>
        </w:rPr>
        <w:t>εξέταση</w:t>
      </w:r>
      <w:r w:rsidRPr="00907F30">
        <w:rPr>
          <w:sz w:val="24"/>
          <w:szCs w:val="24"/>
          <w:lang w:val="el-GR"/>
        </w:rPr>
        <w:t xml:space="preserve"> </w:t>
      </w:r>
      <w:r>
        <w:rPr>
          <w:sz w:val="24"/>
          <w:szCs w:val="24"/>
          <w:lang w:val="el-GR"/>
        </w:rPr>
        <w:t>της</w:t>
      </w:r>
      <w:r w:rsidRPr="00907F30">
        <w:rPr>
          <w:sz w:val="24"/>
          <w:szCs w:val="24"/>
          <w:lang w:val="el-GR"/>
        </w:rPr>
        <w:t xml:space="preserve"> </w:t>
      </w:r>
      <w:r>
        <w:rPr>
          <w:sz w:val="24"/>
          <w:szCs w:val="24"/>
          <w:lang w:val="el-GR"/>
        </w:rPr>
        <w:t>ολότητας</w:t>
      </w:r>
      <w:r w:rsidR="00220066" w:rsidRPr="00907F30">
        <w:rPr>
          <w:sz w:val="24"/>
          <w:szCs w:val="24"/>
          <w:lang w:val="el-GR"/>
        </w:rPr>
        <w:t xml:space="preserve"> </w:t>
      </w:r>
      <w:r>
        <w:rPr>
          <w:sz w:val="24"/>
          <w:szCs w:val="24"/>
          <w:lang w:val="el-GR"/>
        </w:rPr>
        <w:t>του</w:t>
      </w:r>
      <w:r w:rsidRPr="00907F30">
        <w:rPr>
          <w:sz w:val="24"/>
          <w:szCs w:val="24"/>
          <w:lang w:val="el-GR"/>
        </w:rPr>
        <w:t xml:space="preserve"> </w:t>
      </w:r>
      <w:r>
        <w:rPr>
          <w:sz w:val="24"/>
          <w:szCs w:val="24"/>
          <w:lang w:val="el-GR"/>
        </w:rPr>
        <w:t>μαρτυρικού</w:t>
      </w:r>
      <w:r w:rsidRPr="00907F30">
        <w:rPr>
          <w:sz w:val="24"/>
          <w:szCs w:val="24"/>
          <w:lang w:val="el-GR"/>
        </w:rPr>
        <w:t xml:space="preserve"> </w:t>
      </w:r>
      <w:r>
        <w:rPr>
          <w:sz w:val="24"/>
          <w:szCs w:val="24"/>
          <w:lang w:val="el-GR"/>
        </w:rPr>
        <w:t>υλικού</w:t>
      </w:r>
      <w:r w:rsidR="00220066" w:rsidRPr="00907F30">
        <w:rPr>
          <w:sz w:val="24"/>
          <w:szCs w:val="24"/>
          <w:lang w:val="el-GR"/>
        </w:rPr>
        <w:t xml:space="preserve"> </w:t>
      </w:r>
      <w:r>
        <w:rPr>
          <w:sz w:val="24"/>
          <w:szCs w:val="24"/>
          <w:lang w:val="el-GR"/>
        </w:rPr>
        <w:t>που</w:t>
      </w:r>
      <w:r w:rsidRPr="00907F30">
        <w:rPr>
          <w:sz w:val="24"/>
          <w:szCs w:val="24"/>
          <w:lang w:val="el-GR"/>
        </w:rPr>
        <w:t xml:space="preserve"> </w:t>
      </w:r>
      <w:r>
        <w:rPr>
          <w:sz w:val="24"/>
          <w:szCs w:val="24"/>
          <w:lang w:val="el-GR"/>
        </w:rPr>
        <w:t>μαζεύεται</w:t>
      </w:r>
      <w:r w:rsidRPr="00907F30">
        <w:rPr>
          <w:sz w:val="24"/>
          <w:szCs w:val="24"/>
          <w:lang w:val="el-GR"/>
        </w:rPr>
        <w:t xml:space="preserve"> </w:t>
      </w:r>
      <w:r>
        <w:rPr>
          <w:sz w:val="24"/>
          <w:szCs w:val="24"/>
          <w:lang w:val="el-GR"/>
        </w:rPr>
        <w:t>κατά την διάρκεια της έρευνας</w:t>
      </w:r>
      <w:r w:rsidR="00220066" w:rsidRPr="00907F30">
        <w:rPr>
          <w:sz w:val="24"/>
          <w:szCs w:val="24"/>
          <w:lang w:val="el-GR"/>
        </w:rPr>
        <w:t xml:space="preserve">, </w:t>
      </w:r>
      <w:r>
        <w:rPr>
          <w:sz w:val="24"/>
          <w:szCs w:val="24"/>
          <w:lang w:val="el-GR"/>
        </w:rPr>
        <w:t>καταλήγει στα δικά της ευρήματα και βγάζει τα δικά της συμπεράσματα</w:t>
      </w:r>
      <w:r w:rsidR="00220066" w:rsidRPr="00907F30">
        <w:rPr>
          <w:sz w:val="24"/>
          <w:szCs w:val="24"/>
          <w:lang w:val="el-GR"/>
        </w:rPr>
        <w:t xml:space="preserve">. </w:t>
      </w:r>
      <w:r>
        <w:rPr>
          <w:sz w:val="24"/>
          <w:szCs w:val="24"/>
          <w:lang w:val="el-GR"/>
        </w:rPr>
        <w:t>Σε</w:t>
      </w:r>
      <w:r w:rsidRPr="00907F30">
        <w:rPr>
          <w:sz w:val="24"/>
          <w:szCs w:val="24"/>
          <w:lang w:val="el-GR"/>
        </w:rPr>
        <w:t xml:space="preserve"> </w:t>
      </w:r>
      <w:r>
        <w:rPr>
          <w:sz w:val="24"/>
          <w:szCs w:val="24"/>
          <w:lang w:val="el-GR"/>
        </w:rPr>
        <w:t>πολλές</w:t>
      </w:r>
      <w:r w:rsidRPr="00907F30">
        <w:rPr>
          <w:sz w:val="24"/>
          <w:szCs w:val="24"/>
          <w:lang w:val="el-GR"/>
        </w:rPr>
        <w:t xml:space="preserve"> </w:t>
      </w:r>
      <w:r>
        <w:rPr>
          <w:sz w:val="24"/>
          <w:szCs w:val="24"/>
          <w:lang w:val="el-GR"/>
        </w:rPr>
        <w:t>περιπτώσεις</w:t>
      </w:r>
      <w:r w:rsidR="00220066" w:rsidRPr="00907F30">
        <w:rPr>
          <w:sz w:val="24"/>
          <w:szCs w:val="24"/>
          <w:lang w:val="el-GR"/>
        </w:rPr>
        <w:t xml:space="preserve">, </w:t>
      </w:r>
      <w:r>
        <w:rPr>
          <w:sz w:val="24"/>
          <w:szCs w:val="24"/>
          <w:lang w:val="el-GR"/>
        </w:rPr>
        <w:t>αυτά</w:t>
      </w:r>
      <w:r w:rsidRPr="00907F30">
        <w:rPr>
          <w:sz w:val="24"/>
          <w:szCs w:val="24"/>
          <w:lang w:val="el-GR"/>
        </w:rPr>
        <w:t xml:space="preserve"> </w:t>
      </w:r>
      <w:r>
        <w:rPr>
          <w:sz w:val="24"/>
          <w:szCs w:val="24"/>
          <w:lang w:val="el-GR"/>
        </w:rPr>
        <w:t>τα</w:t>
      </w:r>
      <w:r w:rsidRPr="00907F30">
        <w:rPr>
          <w:sz w:val="24"/>
          <w:szCs w:val="24"/>
          <w:lang w:val="el-GR"/>
        </w:rPr>
        <w:t xml:space="preserve"> </w:t>
      </w:r>
      <w:r>
        <w:rPr>
          <w:sz w:val="24"/>
          <w:szCs w:val="24"/>
          <w:lang w:val="el-GR"/>
        </w:rPr>
        <w:t>ευρήματα</w:t>
      </w:r>
      <w:r w:rsidRPr="00907F30">
        <w:rPr>
          <w:sz w:val="24"/>
          <w:szCs w:val="24"/>
          <w:lang w:val="el-GR"/>
        </w:rPr>
        <w:t xml:space="preserve"> </w:t>
      </w:r>
      <w:r>
        <w:rPr>
          <w:sz w:val="24"/>
          <w:szCs w:val="24"/>
          <w:lang w:val="el-GR"/>
        </w:rPr>
        <w:t>και</w:t>
      </w:r>
      <w:r w:rsidRPr="00907F30">
        <w:rPr>
          <w:sz w:val="24"/>
          <w:szCs w:val="24"/>
          <w:lang w:val="el-GR"/>
        </w:rPr>
        <w:t xml:space="preserve"> </w:t>
      </w:r>
      <w:r>
        <w:rPr>
          <w:sz w:val="24"/>
          <w:szCs w:val="24"/>
          <w:lang w:val="el-GR"/>
        </w:rPr>
        <w:t>συμπεράσματα</w:t>
      </w:r>
      <w:r w:rsidR="00220066" w:rsidRPr="00907F30">
        <w:rPr>
          <w:sz w:val="24"/>
          <w:szCs w:val="24"/>
          <w:lang w:val="el-GR"/>
        </w:rPr>
        <w:t xml:space="preserve"> </w:t>
      </w:r>
      <w:r>
        <w:rPr>
          <w:sz w:val="24"/>
          <w:szCs w:val="24"/>
          <w:lang w:val="el-GR"/>
        </w:rPr>
        <w:t>μπορούν να συμπίπτουν</w:t>
      </w:r>
      <w:r w:rsidR="00220066" w:rsidRPr="00907F30">
        <w:rPr>
          <w:sz w:val="24"/>
          <w:szCs w:val="24"/>
          <w:lang w:val="el-GR"/>
        </w:rPr>
        <w:t xml:space="preserve"> </w:t>
      </w:r>
      <w:r w:rsidR="002547E0">
        <w:rPr>
          <w:sz w:val="24"/>
          <w:szCs w:val="24"/>
          <w:lang w:val="el-GR"/>
        </w:rPr>
        <w:t>με</w:t>
      </w:r>
      <w:r>
        <w:rPr>
          <w:sz w:val="24"/>
          <w:szCs w:val="24"/>
          <w:lang w:val="el-GR"/>
        </w:rPr>
        <w:t xml:space="preserve"> αυτά των ανακριτών</w:t>
      </w:r>
      <w:r w:rsidR="00220066" w:rsidRPr="00907F30">
        <w:rPr>
          <w:sz w:val="24"/>
          <w:szCs w:val="24"/>
          <w:lang w:val="el-GR"/>
        </w:rPr>
        <w:t xml:space="preserve">. </w:t>
      </w:r>
      <w:r w:rsidR="004902CE">
        <w:rPr>
          <w:sz w:val="24"/>
          <w:szCs w:val="24"/>
          <w:lang w:val="el-GR"/>
        </w:rPr>
        <w:t>Ανεξάρτητα</w:t>
      </w:r>
      <w:r w:rsidR="004902CE" w:rsidRPr="004902CE">
        <w:rPr>
          <w:sz w:val="24"/>
          <w:szCs w:val="24"/>
          <w:lang w:val="el-GR"/>
        </w:rPr>
        <w:t xml:space="preserve"> </w:t>
      </w:r>
      <w:r w:rsidR="004902CE">
        <w:rPr>
          <w:sz w:val="24"/>
          <w:szCs w:val="24"/>
          <w:lang w:val="el-GR"/>
        </w:rPr>
        <w:t>αν</w:t>
      </w:r>
      <w:r w:rsidR="004902CE" w:rsidRPr="004902CE">
        <w:rPr>
          <w:sz w:val="24"/>
          <w:szCs w:val="24"/>
          <w:lang w:val="el-GR"/>
        </w:rPr>
        <w:t xml:space="preserve"> </w:t>
      </w:r>
      <w:r w:rsidR="004902CE">
        <w:rPr>
          <w:sz w:val="24"/>
          <w:szCs w:val="24"/>
          <w:lang w:val="el-GR"/>
        </w:rPr>
        <w:t>η</w:t>
      </w:r>
      <w:r w:rsidR="004902CE" w:rsidRPr="004902CE">
        <w:rPr>
          <w:sz w:val="24"/>
          <w:szCs w:val="24"/>
          <w:lang w:val="el-GR"/>
        </w:rPr>
        <w:t xml:space="preserve"> </w:t>
      </w:r>
      <w:r w:rsidR="004902CE">
        <w:rPr>
          <w:sz w:val="24"/>
          <w:szCs w:val="24"/>
          <w:lang w:val="el-GR"/>
        </w:rPr>
        <w:t>ΑΑΔΙΠΑ</w:t>
      </w:r>
      <w:r w:rsidR="00220066" w:rsidRPr="004902CE">
        <w:rPr>
          <w:sz w:val="24"/>
          <w:szCs w:val="24"/>
          <w:lang w:val="el-GR"/>
        </w:rPr>
        <w:t xml:space="preserve"> </w:t>
      </w:r>
      <w:r w:rsidR="004902CE">
        <w:rPr>
          <w:sz w:val="24"/>
          <w:szCs w:val="24"/>
          <w:lang w:val="el-GR"/>
        </w:rPr>
        <w:t>συμφωνεί</w:t>
      </w:r>
      <w:r w:rsidR="004902CE" w:rsidRPr="004902CE">
        <w:rPr>
          <w:sz w:val="24"/>
          <w:szCs w:val="24"/>
          <w:lang w:val="el-GR"/>
        </w:rPr>
        <w:t xml:space="preserve"> </w:t>
      </w:r>
      <w:r w:rsidR="004902CE">
        <w:rPr>
          <w:sz w:val="24"/>
          <w:szCs w:val="24"/>
          <w:lang w:val="el-GR"/>
        </w:rPr>
        <w:t>ή</w:t>
      </w:r>
      <w:r w:rsidR="004902CE" w:rsidRPr="004902CE">
        <w:rPr>
          <w:sz w:val="24"/>
          <w:szCs w:val="24"/>
          <w:lang w:val="el-GR"/>
        </w:rPr>
        <w:t xml:space="preserve"> </w:t>
      </w:r>
      <w:r w:rsidR="004902CE">
        <w:rPr>
          <w:sz w:val="24"/>
          <w:szCs w:val="24"/>
          <w:lang w:val="el-GR"/>
        </w:rPr>
        <w:t>όχι</w:t>
      </w:r>
      <w:r w:rsidR="004902CE" w:rsidRPr="004902CE">
        <w:rPr>
          <w:sz w:val="24"/>
          <w:szCs w:val="24"/>
          <w:lang w:val="el-GR"/>
        </w:rPr>
        <w:t xml:space="preserve"> </w:t>
      </w:r>
      <w:r w:rsidR="004902CE">
        <w:rPr>
          <w:sz w:val="24"/>
          <w:szCs w:val="24"/>
          <w:lang w:val="el-GR"/>
        </w:rPr>
        <w:t>με</w:t>
      </w:r>
      <w:r w:rsidR="004902CE" w:rsidRPr="004902CE">
        <w:rPr>
          <w:sz w:val="24"/>
          <w:szCs w:val="24"/>
          <w:lang w:val="el-GR"/>
        </w:rPr>
        <w:t xml:space="preserve"> </w:t>
      </w:r>
      <w:r w:rsidR="004902CE">
        <w:rPr>
          <w:sz w:val="24"/>
          <w:szCs w:val="24"/>
          <w:lang w:val="el-GR"/>
        </w:rPr>
        <w:t>τους</w:t>
      </w:r>
      <w:r w:rsidR="004902CE" w:rsidRPr="004902CE">
        <w:rPr>
          <w:sz w:val="24"/>
          <w:szCs w:val="24"/>
          <w:lang w:val="el-GR"/>
        </w:rPr>
        <w:t xml:space="preserve"> </w:t>
      </w:r>
      <w:r w:rsidR="004902CE">
        <w:rPr>
          <w:sz w:val="24"/>
          <w:szCs w:val="24"/>
          <w:lang w:val="el-GR"/>
        </w:rPr>
        <w:t>ανακριτές</w:t>
      </w:r>
      <w:r w:rsidR="00220066" w:rsidRPr="004902CE">
        <w:rPr>
          <w:sz w:val="24"/>
          <w:szCs w:val="24"/>
          <w:lang w:val="el-GR"/>
        </w:rPr>
        <w:t xml:space="preserve">, </w:t>
      </w:r>
      <w:r w:rsidR="004902CE">
        <w:rPr>
          <w:sz w:val="24"/>
          <w:szCs w:val="24"/>
          <w:lang w:val="el-GR"/>
        </w:rPr>
        <w:t>ολόκληρο</w:t>
      </w:r>
      <w:r w:rsidR="004902CE" w:rsidRPr="004902CE">
        <w:rPr>
          <w:sz w:val="24"/>
          <w:szCs w:val="24"/>
          <w:lang w:val="el-GR"/>
        </w:rPr>
        <w:t xml:space="preserve"> </w:t>
      </w:r>
      <w:r w:rsidR="004902CE">
        <w:rPr>
          <w:sz w:val="24"/>
          <w:szCs w:val="24"/>
          <w:lang w:val="el-GR"/>
        </w:rPr>
        <w:t>το</w:t>
      </w:r>
      <w:r w:rsidR="004902CE" w:rsidRPr="004902CE">
        <w:rPr>
          <w:sz w:val="24"/>
          <w:szCs w:val="24"/>
          <w:lang w:val="el-GR"/>
        </w:rPr>
        <w:t xml:space="preserve"> </w:t>
      </w:r>
      <w:r w:rsidR="004902CE">
        <w:rPr>
          <w:sz w:val="24"/>
          <w:szCs w:val="24"/>
          <w:lang w:val="el-GR"/>
        </w:rPr>
        <w:t>υλικό</w:t>
      </w:r>
      <w:r w:rsidR="00220066" w:rsidRPr="004902CE">
        <w:rPr>
          <w:sz w:val="24"/>
          <w:szCs w:val="24"/>
          <w:lang w:val="el-GR"/>
        </w:rPr>
        <w:t xml:space="preserve"> </w:t>
      </w:r>
      <w:r w:rsidR="004902CE">
        <w:rPr>
          <w:sz w:val="24"/>
          <w:szCs w:val="24"/>
          <w:lang w:val="el-GR"/>
        </w:rPr>
        <w:t>συμπεριλαμβανομένης</w:t>
      </w:r>
      <w:r w:rsidR="004902CE" w:rsidRPr="004902CE">
        <w:rPr>
          <w:sz w:val="24"/>
          <w:szCs w:val="24"/>
          <w:lang w:val="el-GR"/>
        </w:rPr>
        <w:t xml:space="preserve"> </w:t>
      </w:r>
      <w:r w:rsidR="004902CE">
        <w:rPr>
          <w:sz w:val="24"/>
          <w:szCs w:val="24"/>
          <w:lang w:val="el-GR"/>
        </w:rPr>
        <w:t>της</w:t>
      </w:r>
      <w:r w:rsidR="004902CE" w:rsidRPr="004902CE">
        <w:rPr>
          <w:sz w:val="24"/>
          <w:szCs w:val="24"/>
          <w:lang w:val="el-GR"/>
        </w:rPr>
        <w:t xml:space="preserve"> </w:t>
      </w:r>
      <w:r w:rsidR="004902CE">
        <w:rPr>
          <w:sz w:val="24"/>
          <w:szCs w:val="24"/>
          <w:lang w:val="el-GR"/>
        </w:rPr>
        <w:t>έκθεσης</w:t>
      </w:r>
      <w:r w:rsidR="004902CE" w:rsidRPr="004902CE">
        <w:rPr>
          <w:sz w:val="24"/>
          <w:szCs w:val="24"/>
          <w:lang w:val="el-GR"/>
        </w:rPr>
        <w:t xml:space="preserve"> </w:t>
      </w:r>
      <w:r w:rsidR="004902CE">
        <w:rPr>
          <w:sz w:val="24"/>
          <w:szCs w:val="24"/>
          <w:lang w:val="el-GR"/>
        </w:rPr>
        <w:t>του</w:t>
      </w:r>
      <w:r w:rsidR="004902CE" w:rsidRPr="004902CE">
        <w:rPr>
          <w:sz w:val="24"/>
          <w:szCs w:val="24"/>
          <w:lang w:val="el-GR"/>
        </w:rPr>
        <w:t xml:space="preserve"> </w:t>
      </w:r>
      <w:r w:rsidR="004902CE">
        <w:rPr>
          <w:sz w:val="24"/>
          <w:szCs w:val="24"/>
          <w:lang w:val="el-GR"/>
        </w:rPr>
        <w:t>ανακριτή</w:t>
      </w:r>
      <w:r w:rsidR="00220066" w:rsidRPr="004902CE">
        <w:rPr>
          <w:sz w:val="24"/>
          <w:szCs w:val="24"/>
          <w:lang w:val="el-GR"/>
        </w:rPr>
        <w:t xml:space="preserve">, </w:t>
      </w:r>
      <w:r w:rsidR="004902CE">
        <w:rPr>
          <w:sz w:val="24"/>
          <w:szCs w:val="24"/>
          <w:lang w:val="el-GR"/>
        </w:rPr>
        <w:t>καθώς</w:t>
      </w:r>
      <w:r w:rsidR="004902CE" w:rsidRPr="004902CE">
        <w:rPr>
          <w:sz w:val="24"/>
          <w:szCs w:val="24"/>
          <w:lang w:val="el-GR"/>
        </w:rPr>
        <w:t xml:space="preserve"> </w:t>
      </w:r>
      <w:r w:rsidR="004902CE">
        <w:rPr>
          <w:sz w:val="24"/>
          <w:szCs w:val="24"/>
          <w:lang w:val="el-GR"/>
        </w:rPr>
        <w:t>επίσης</w:t>
      </w:r>
      <w:r w:rsidR="004902CE" w:rsidRPr="004902CE">
        <w:rPr>
          <w:sz w:val="24"/>
          <w:szCs w:val="24"/>
          <w:lang w:val="el-GR"/>
        </w:rPr>
        <w:t xml:space="preserve"> </w:t>
      </w:r>
      <w:r w:rsidR="004902CE">
        <w:rPr>
          <w:sz w:val="24"/>
          <w:szCs w:val="24"/>
          <w:lang w:val="el-GR"/>
        </w:rPr>
        <w:t>και</w:t>
      </w:r>
      <w:r w:rsidR="004902CE" w:rsidRPr="004902CE">
        <w:rPr>
          <w:sz w:val="24"/>
          <w:szCs w:val="24"/>
          <w:lang w:val="el-GR"/>
        </w:rPr>
        <w:t xml:space="preserve"> </w:t>
      </w:r>
      <w:r w:rsidR="002547E0">
        <w:rPr>
          <w:sz w:val="24"/>
          <w:szCs w:val="24"/>
          <w:lang w:val="el-GR"/>
        </w:rPr>
        <w:t>τ</w:t>
      </w:r>
      <w:r w:rsidR="004902CE">
        <w:rPr>
          <w:sz w:val="24"/>
          <w:szCs w:val="24"/>
          <w:lang w:val="el-GR"/>
        </w:rPr>
        <w:t>η</w:t>
      </w:r>
      <w:r w:rsidR="002547E0">
        <w:rPr>
          <w:sz w:val="24"/>
          <w:szCs w:val="24"/>
          <w:lang w:val="el-GR"/>
        </w:rPr>
        <w:t>ς</w:t>
      </w:r>
      <w:r w:rsidR="004902CE" w:rsidRPr="004902CE">
        <w:rPr>
          <w:sz w:val="24"/>
          <w:szCs w:val="24"/>
          <w:lang w:val="el-GR"/>
        </w:rPr>
        <w:t xml:space="preserve"> </w:t>
      </w:r>
      <w:r w:rsidR="004902CE">
        <w:rPr>
          <w:sz w:val="24"/>
          <w:szCs w:val="24"/>
          <w:lang w:val="el-GR"/>
        </w:rPr>
        <w:t>έκθεση</w:t>
      </w:r>
      <w:r w:rsidR="002547E0">
        <w:rPr>
          <w:sz w:val="24"/>
          <w:szCs w:val="24"/>
          <w:lang w:val="el-GR"/>
        </w:rPr>
        <w:t>ς</w:t>
      </w:r>
      <w:r w:rsidR="004902CE" w:rsidRPr="004902CE">
        <w:rPr>
          <w:sz w:val="24"/>
          <w:szCs w:val="24"/>
          <w:lang w:val="el-GR"/>
        </w:rPr>
        <w:t xml:space="preserve"> </w:t>
      </w:r>
      <w:r w:rsidR="004902CE">
        <w:rPr>
          <w:sz w:val="24"/>
          <w:szCs w:val="24"/>
          <w:lang w:val="el-GR"/>
        </w:rPr>
        <w:t>της</w:t>
      </w:r>
      <w:r w:rsidR="004902CE" w:rsidRPr="004902CE">
        <w:rPr>
          <w:sz w:val="24"/>
          <w:szCs w:val="24"/>
          <w:lang w:val="el-GR"/>
        </w:rPr>
        <w:t xml:space="preserve"> </w:t>
      </w:r>
      <w:r w:rsidR="004902CE">
        <w:rPr>
          <w:sz w:val="24"/>
          <w:szCs w:val="24"/>
          <w:lang w:val="el-GR"/>
        </w:rPr>
        <w:t>ΑΑΔΙΠΑ</w:t>
      </w:r>
      <w:r w:rsidR="00220066" w:rsidRPr="004902CE">
        <w:rPr>
          <w:sz w:val="24"/>
          <w:szCs w:val="24"/>
          <w:lang w:val="el-GR"/>
        </w:rPr>
        <w:t xml:space="preserve">, </w:t>
      </w:r>
      <w:r w:rsidR="004902CE">
        <w:rPr>
          <w:sz w:val="24"/>
          <w:szCs w:val="24"/>
          <w:lang w:val="el-GR"/>
        </w:rPr>
        <w:t>προωθείται</w:t>
      </w:r>
      <w:r w:rsidR="004902CE" w:rsidRPr="004902CE">
        <w:rPr>
          <w:sz w:val="24"/>
          <w:szCs w:val="24"/>
          <w:lang w:val="el-GR"/>
        </w:rPr>
        <w:t xml:space="preserve"> </w:t>
      </w:r>
      <w:r w:rsidR="004902CE">
        <w:rPr>
          <w:sz w:val="24"/>
          <w:szCs w:val="24"/>
          <w:lang w:val="el-GR"/>
        </w:rPr>
        <w:t>στο</w:t>
      </w:r>
      <w:r w:rsidR="004902CE" w:rsidRPr="004902CE">
        <w:rPr>
          <w:sz w:val="24"/>
          <w:szCs w:val="24"/>
          <w:lang w:val="el-GR"/>
        </w:rPr>
        <w:t xml:space="preserve"> </w:t>
      </w:r>
      <w:r w:rsidR="004902CE">
        <w:rPr>
          <w:sz w:val="24"/>
          <w:szCs w:val="24"/>
          <w:lang w:val="el-GR"/>
        </w:rPr>
        <w:t>Γραφείο του Γενικού Εισαγγελέα</w:t>
      </w:r>
      <w:r w:rsidR="00220066" w:rsidRPr="004902CE">
        <w:rPr>
          <w:sz w:val="24"/>
          <w:szCs w:val="24"/>
          <w:lang w:val="el-GR"/>
        </w:rPr>
        <w:t xml:space="preserve">, </w:t>
      </w:r>
      <w:r w:rsidR="004902CE">
        <w:rPr>
          <w:sz w:val="24"/>
          <w:szCs w:val="24"/>
          <w:lang w:val="el-GR"/>
        </w:rPr>
        <w:t>που είναι, δυνάμει του Συντάγματος</w:t>
      </w:r>
      <w:r w:rsidR="002547E0">
        <w:rPr>
          <w:sz w:val="24"/>
          <w:szCs w:val="24"/>
          <w:lang w:val="el-GR"/>
        </w:rPr>
        <w:t>,</w:t>
      </w:r>
      <w:r w:rsidR="00220066" w:rsidRPr="004902CE">
        <w:rPr>
          <w:sz w:val="24"/>
          <w:szCs w:val="24"/>
          <w:lang w:val="el-GR"/>
        </w:rPr>
        <w:t xml:space="preserve"> </w:t>
      </w:r>
      <w:r w:rsidR="004902CE">
        <w:rPr>
          <w:sz w:val="24"/>
          <w:szCs w:val="24"/>
          <w:lang w:val="el-GR"/>
        </w:rPr>
        <w:t>η μόνη Αρχή που θα αποφασίσει αν ο ύποπτος θα κατηγορηθεί ποινικά ή όχι</w:t>
      </w:r>
      <w:r w:rsidR="00220066" w:rsidRPr="004902CE">
        <w:rPr>
          <w:sz w:val="24"/>
          <w:szCs w:val="24"/>
          <w:lang w:val="el-GR"/>
        </w:rPr>
        <w:t xml:space="preserve">. </w:t>
      </w:r>
      <w:r w:rsidR="004902CE">
        <w:rPr>
          <w:sz w:val="24"/>
          <w:szCs w:val="24"/>
          <w:lang w:val="el-GR"/>
        </w:rPr>
        <w:t>Σε</w:t>
      </w:r>
      <w:r w:rsidR="004902CE" w:rsidRPr="004902CE">
        <w:rPr>
          <w:sz w:val="24"/>
          <w:szCs w:val="24"/>
          <w:lang w:val="el-GR"/>
        </w:rPr>
        <w:t xml:space="preserve"> </w:t>
      </w:r>
      <w:r w:rsidR="004902CE">
        <w:rPr>
          <w:sz w:val="24"/>
          <w:szCs w:val="24"/>
          <w:lang w:val="el-GR"/>
        </w:rPr>
        <w:t>θέματα</w:t>
      </w:r>
      <w:r w:rsidR="004902CE" w:rsidRPr="004902CE">
        <w:rPr>
          <w:sz w:val="24"/>
          <w:szCs w:val="24"/>
          <w:lang w:val="el-GR"/>
        </w:rPr>
        <w:t xml:space="preserve"> </w:t>
      </w:r>
      <w:r w:rsidR="004902CE">
        <w:rPr>
          <w:sz w:val="24"/>
          <w:szCs w:val="24"/>
          <w:lang w:val="el-GR"/>
        </w:rPr>
        <w:t>που</w:t>
      </w:r>
      <w:r w:rsidR="004902CE" w:rsidRPr="004902CE">
        <w:rPr>
          <w:sz w:val="24"/>
          <w:szCs w:val="24"/>
          <w:lang w:val="el-GR"/>
        </w:rPr>
        <w:t xml:space="preserve"> </w:t>
      </w:r>
      <w:r w:rsidR="004902CE">
        <w:rPr>
          <w:sz w:val="24"/>
          <w:szCs w:val="24"/>
          <w:lang w:val="el-GR"/>
        </w:rPr>
        <w:t>αφορούν</w:t>
      </w:r>
      <w:r w:rsidR="00220066" w:rsidRPr="004902CE">
        <w:rPr>
          <w:sz w:val="24"/>
          <w:szCs w:val="24"/>
          <w:lang w:val="el-GR"/>
        </w:rPr>
        <w:t xml:space="preserve"> </w:t>
      </w:r>
      <w:r w:rsidR="004902CE">
        <w:rPr>
          <w:sz w:val="24"/>
          <w:szCs w:val="24"/>
          <w:lang w:val="el-GR"/>
        </w:rPr>
        <w:t>πειθαρχικά</w:t>
      </w:r>
      <w:r w:rsidR="004902CE" w:rsidRPr="004902CE">
        <w:rPr>
          <w:sz w:val="24"/>
          <w:szCs w:val="24"/>
          <w:lang w:val="el-GR"/>
        </w:rPr>
        <w:t xml:space="preserve"> </w:t>
      </w:r>
      <w:r w:rsidR="004902CE">
        <w:rPr>
          <w:sz w:val="24"/>
          <w:szCs w:val="24"/>
          <w:lang w:val="el-GR"/>
        </w:rPr>
        <w:t>μέτρα</w:t>
      </w:r>
      <w:r w:rsidR="00220066" w:rsidRPr="004902CE">
        <w:rPr>
          <w:sz w:val="24"/>
          <w:szCs w:val="24"/>
          <w:lang w:val="el-GR"/>
        </w:rPr>
        <w:t xml:space="preserve">, </w:t>
      </w:r>
      <w:r w:rsidR="004902CE">
        <w:rPr>
          <w:sz w:val="24"/>
          <w:szCs w:val="24"/>
          <w:lang w:val="el-GR"/>
        </w:rPr>
        <w:t>η</w:t>
      </w:r>
      <w:r w:rsidR="004902CE" w:rsidRPr="004902CE">
        <w:rPr>
          <w:sz w:val="24"/>
          <w:szCs w:val="24"/>
          <w:lang w:val="el-GR"/>
        </w:rPr>
        <w:t xml:space="preserve"> </w:t>
      </w:r>
      <w:r w:rsidR="004902CE">
        <w:rPr>
          <w:sz w:val="24"/>
          <w:szCs w:val="24"/>
          <w:lang w:val="el-GR"/>
        </w:rPr>
        <w:t>τελική</w:t>
      </w:r>
      <w:r w:rsidR="004902CE" w:rsidRPr="004902CE">
        <w:rPr>
          <w:sz w:val="24"/>
          <w:szCs w:val="24"/>
          <w:lang w:val="el-GR"/>
        </w:rPr>
        <w:t xml:space="preserve"> </w:t>
      </w:r>
      <w:r w:rsidR="004902CE">
        <w:rPr>
          <w:sz w:val="24"/>
          <w:szCs w:val="24"/>
          <w:lang w:val="el-GR"/>
        </w:rPr>
        <w:t>απόφαση</w:t>
      </w:r>
      <w:r w:rsidR="004902CE" w:rsidRPr="004902CE">
        <w:rPr>
          <w:sz w:val="24"/>
          <w:szCs w:val="24"/>
          <w:lang w:val="el-GR"/>
        </w:rPr>
        <w:t xml:space="preserve"> </w:t>
      </w:r>
      <w:r w:rsidR="004902CE">
        <w:rPr>
          <w:sz w:val="24"/>
          <w:szCs w:val="24"/>
          <w:lang w:val="el-GR"/>
        </w:rPr>
        <w:t>κατοχυρώνεται</w:t>
      </w:r>
      <w:r w:rsidR="004902CE" w:rsidRPr="004902CE">
        <w:rPr>
          <w:sz w:val="24"/>
          <w:szCs w:val="24"/>
          <w:lang w:val="el-GR"/>
        </w:rPr>
        <w:t xml:space="preserve"> </w:t>
      </w:r>
      <w:r w:rsidR="004902CE">
        <w:rPr>
          <w:sz w:val="24"/>
          <w:szCs w:val="24"/>
          <w:lang w:val="el-GR"/>
        </w:rPr>
        <w:t>μόνο</w:t>
      </w:r>
      <w:r w:rsidR="004902CE" w:rsidRPr="004902CE">
        <w:rPr>
          <w:sz w:val="24"/>
          <w:szCs w:val="24"/>
          <w:lang w:val="el-GR"/>
        </w:rPr>
        <w:t xml:space="preserve"> </w:t>
      </w:r>
      <w:r w:rsidR="004902CE">
        <w:rPr>
          <w:sz w:val="24"/>
          <w:szCs w:val="24"/>
          <w:lang w:val="el-GR"/>
        </w:rPr>
        <w:t>στην</w:t>
      </w:r>
      <w:r w:rsidR="004902CE" w:rsidRPr="004902CE">
        <w:rPr>
          <w:sz w:val="24"/>
          <w:szCs w:val="24"/>
          <w:lang w:val="el-GR"/>
        </w:rPr>
        <w:t xml:space="preserve"> </w:t>
      </w:r>
      <w:r w:rsidR="004902CE">
        <w:rPr>
          <w:sz w:val="24"/>
          <w:szCs w:val="24"/>
          <w:lang w:val="el-GR"/>
        </w:rPr>
        <w:t>ΑΑΔΙΠΑ</w:t>
      </w:r>
      <w:r w:rsidR="00E818BE" w:rsidRPr="004902CE">
        <w:rPr>
          <w:sz w:val="24"/>
          <w:szCs w:val="24"/>
          <w:lang w:val="el-GR"/>
        </w:rPr>
        <w:t>,</w:t>
      </w:r>
      <w:r w:rsidR="00220066" w:rsidRPr="004902CE">
        <w:rPr>
          <w:sz w:val="24"/>
          <w:szCs w:val="24"/>
          <w:lang w:val="el-GR"/>
        </w:rPr>
        <w:t xml:space="preserve"> </w:t>
      </w:r>
      <w:r w:rsidR="004902CE">
        <w:rPr>
          <w:sz w:val="24"/>
          <w:szCs w:val="24"/>
          <w:lang w:val="el-GR"/>
        </w:rPr>
        <w:t xml:space="preserve">και ο Αρχηγός της </w:t>
      </w:r>
      <w:r w:rsidR="009C4E34">
        <w:rPr>
          <w:sz w:val="24"/>
          <w:szCs w:val="24"/>
          <w:lang w:val="el-GR"/>
        </w:rPr>
        <w:t>Αστυνομία</w:t>
      </w:r>
      <w:r w:rsidR="004902CE">
        <w:rPr>
          <w:sz w:val="24"/>
          <w:szCs w:val="24"/>
          <w:lang w:val="el-GR"/>
        </w:rPr>
        <w:t>ς είναι υποχρεωμένος</w:t>
      </w:r>
      <w:r w:rsidR="00220066" w:rsidRPr="004902CE">
        <w:rPr>
          <w:sz w:val="24"/>
          <w:szCs w:val="24"/>
          <w:lang w:val="el-GR"/>
        </w:rPr>
        <w:t xml:space="preserve"> </w:t>
      </w:r>
      <w:r w:rsidR="004902CE">
        <w:rPr>
          <w:sz w:val="24"/>
          <w:szCs w:val="24"/>
          <w:lang w:val="el-GR"/>
        </w:rPr>
        <w:t>να υλοποιήσει οπ</w:t>
      </w:r>
      <w:r w:rsidR="002547E0">
        <w:rPr>
          <w:sz w:val="24"/>
          <w:szCs w:val="24"/>
          <w:lang w:val="el-GR"/>
        </w:rPr>
        <w:t>ο</w:t>
      </w:r>
      <w:r w:rsidR="004902CE">
        <w:rPr>
          <w:sz w:val="24"/>
          <w:szCs w:val="24"/>
          <w:lang w:val="el-GR"/>
        </w:rPr>
        <w:t>ιεσδήποτε αποφάσεις της ΑΑΔΙΠΑ πάνω στα θέματα αυτά</w:t>
      </w:r>
      <w:r w:rsidR="00901561" w:rsidRPr="004902CE">
        <w:rPr>
          <w:sz w:val="24"/>
          <w:szCs w:val="24"/>
          <w:lang w:val="el-GR"/>
        </w:rPr>
        <w:t>.</w:t>
      </w:r>
    </w:p>
    <w:p w14:paraId="781F6897" w14:textId="77777777" w:rsidR="00901561" w:rsidRPr="004902CE" w:rsidRDefault="00901561" w:rsidP="00901561">
      <w:pPr>
        <w:pStyle w:val="ListParagraph"/>
        <w:rPr>
          <w:lang w:val="el-GR"/>
        </w:rPr>
      </w:pPr>
    </w:p>
    <w:p w14:paraId="3C656327" w14:textId="3ACD8234" w:rsidR="00901561" w:rsidRPr="00D463E3" w:rsidRDefault="001869D9" w:rsidP="00901561">
      <w:pPr>
        <w:keepNext/>
        <w:numPr>
          <w:ilvl w:val="0"/>
          <w:numId w:val="1"/>
        </w:numPr>
        <w:tabs>
          <w:tab w:val="left" w:pos="709"/>
        </w:tabs>
        <w:ind w:left="0" w:firstLine="0"/>
        <w:rPr>
          <w:rFonts w:cstheme="minorHAnsi"/>
          <w:sz w:val="24"/>
          <w:szCs w:val="24"/>
          <w:lang w:val="el-GR"/>
        </w:rPr>
      </w:pPr>
      <w:r>
        <w:rPr>
          <w:sz w:val="24"/>
          <w:szCs w:val="24"/>
          <w:lang w:val="el-GR"/>
        </w:rPr>
        <w:t>Η</w:t>
      </w:r>
      <w:r w:rsidR="00901561" w:rsidRPr="001869D9">
        <w:rPr>
          <w:sz w:val="24"/>
          <w:szCs w:val="24"/>
          <w:lang w:val="el-GR"/>
        </w:rPr>
        <w:t xml:space="preserve"> </w:t>
      </w:r>
      <w:r w:rsidR="00901561" w:rsidRPr="004E251E">
        <w:rPr>
          <w:sz w:val="24"/>
          <w:szCs w:val="24"/>
        </w:rPr>
        <w:t>GET</w:t>
      </w:r>
      <w:r w:rsidR="00901561" w:rsidRPr="001869D9">
        <w:rPr>
          <w:sz w:val="24"/>
          <w:szCs w:val="24"/>
          <w:lang w:val="el-GR"/>
        </w:rPr>
        <w:t xml:space="preserve"> </w:t>
      </w:r>
      <w:r>
        <w:rPr>
          <w:sz w:val="24"/>
          <w:szCs w:val="24"/>
          <w:lang w:val="el-GR"/>
        </w:rPr>
        <w:t>σημειώνει</w:t>
      </w:r>
      <w:r w:rsidR="00901561" w:rsidRPr="001869D9">
        <w:rPr>
          <w:sz w:val="24"/>
          <w:szCs w:val="24"/>
          <w:lang w:val="el-GR"/>
        </w:rPr>
        <w:t xml:space="preserve"> </w:t>
      </w:r>
      <w:r>
        <w:rPr>
          <w:sz w:val="24"/>
          <w:szCs w:val="24"/>
          <w:lang w:val="el-GR"/>
        </w:rPr>
        <w:t>ότι</w:t>
      </w:r>
      <w:r w:rsidRPr="001869D9">
        <w:rPr>
          <w:sz w:val="24"/>
          <w:szCs w:val="24"/>
          <w:lang w:val="el-GR"/>
        </w:rPr>
        <w:t xml:space="preserve"> </w:t>
      </w:r>
      <w:r>
        <w:rPr>
          <w:sz w:val="24"/>
          <w:szCs w:val="24"/>
          <w:lang w:val="el-GR"/>
        </w:rPr>
        <w:t>όπως</w:t>
      </w:r>
      <w:r w:rsidRPr="001869D9">
        <w:rPr>
          <w:sz w:val="24"/>
          <w:szCs w:val="24"/>
          <w:lang w:val="el-GR"/>
        </w:rPr>
        <w:t xml:space="preserve"> </w:t>
      </w:r>
      <w:r>
        <w:rPr>
          <w:sz w:val="24"/>
          <w:szCs w:val="24"/>
          <w:lang w:val="el-GR"/>
        </w:rPr>
        <w:t>σχεδόν</w:t>
      </w:r>
      <w:r w:rsidRPr="001869D9">
        <w:rPr>
          <w:sz w:val="24"/>
          <w:szCs w:val="24"/>
          <w:lang w:val="el-GR"/>
        </w:rPr>
        <w:t xml:space="preserve"> </w:t>
      </w:r>
      <w:r>
        <w:rPr>
          <w:sz w:val="24"/>
          <w:szCs w:val="24"/>
          <w:lang w:val="el-GR"/>
        </w:rPr>
        <w:t>κάθε</w:t>
      </w:r>
      <w:r w:rsidRPr="001869D9">
        <w:rPr>
          <w:sz w:val="24"/>
          <w:szCs w:val="24"/>
          <w:lang w:val="el-GR"/>
        </w:rPr>
        <w:t xml:space="preserve"> </w:t>
      </w:r>
      <w:r>
        <w:rPr>
          <w:sz w:val="24"/>
          <w:szCs w:val="24"/>
          <w:lang w:val="el-GR"/>
        </w:rPr>
        <w:t>ίδρυμα</w:t>
      </w:r>
      <w:r w:rsidRPr="001869D9">
        <w:rPr>
          <w:sz w:val="24"/>
          <w:szCs w:val="24"/>
          <w:lang w:val="el-GR"/>
        </w:rPr>
        <w:t xml:space="preserve"> </w:t>
      </w:r>
      <w:r>
        <w:rPr>
          <w:sz w:val="24"/>
          <w:szCs w:val="24"/>
          <w:lang w:val="el-GR"/>
        </w:rPr>
        <w:t>ακεραιότητας</w:t>
      </w:r>
      <w:r w:rsidRPr="001869D9">
        <w:rPr>
          <w:sz w:val="24"/>
          <w:szCs w:val="24"/>
          <w:lang w:val="el-GR"/>
        </w:rPr>
        <w:t>/</w:t>
      </w:r>
      <w:r>
        <w:rPr>
          <w:sz w:val="24"/>
          <w:szCs w:val="24"/>
          <w:lang w:val="el-GR"/>
        </w:rPr>
        <w:t>κατά</w:t>
      </w:r>
      <w:r w:rsidRPr="001869D9">
        <w:rPr>
          <w:sz w:val="24"/>
          <w:szCs w:val="24"/>
          <w:lang w:val="el-GR"/>
        </w:rPr>
        <w:t xml:space="preserve"> </w:t>
      </w:r>
      <w:r>
        <w:rPr>
          <w:sz w:val="24"/>
          <w:szCs w:val="24"/>
          <w:lang w:val="el-GR"/>
        </w:rPr>
        <w:t>της</w:t>
      </w:r>
      <w:r w:rsidRPr="001869D9">
        <w:rPr>
          <w:sz w:val="24"/>
          <w:szCs w:val="24"/>
          <w:lang w:val="el-GR"/>
        </w:rPr>
        <w:t xml:space="preserve"> </w:t>
      </w:r>
      <w:r>
        <w:rPr>
          <w:sz w:val="24"/>
          <w:szCs w:val="24"/>
          <w:lang w:val="el-GR"/>
        </w:rPr>
        <w:t>διαφθοράς</w:t>
      </w:r>
      <w:r w:rsidR="00901561" w:rsidRPr="001869D9">
        <w:rPr>
          <w:sz w:val="24"/>
          <w:szCs w:val="24"/>
          <w:lang w:val="el-GR"/>
        </w:rPr>
        <w:t xml:space="preserve">, </w:t>
      </w:r>
      <w:r>
        <w:rPr>
          <w:sz w:val="24"/>
          <w:szCs w:val="24"/>
          <w:lang w:val="el-GR"/>
        </w:rPr>
        <w:t>η</w:t>
      </w:r>
      <w:r w:rsidRPr="001869D9">
        <w:rPr>
          <w:sz w:val="24"/>
          <w:szCs w:val="24"/>
          <w:lang w:val="el-GR"/>
        </w:rPr>
        <w:t xml:space="preserve"> </w:t>
      </w:r>
      <w:r>
        <w:rPr>
          <w:sz w:val="24"/>
          <w:szCs w:val="24"/>
          <w:lang w:val="el-GR"/>
        </w:rPr>
        <w:t>ΑΑΔΙΠΑ</w:t>
      </w:r>
      <w:r w:rsidR="00901561" w:rsidRPr="001869D9">
        <w:rPr>
          <w:sz w:val="24"/>
          <w:szCs w:val="24"/>
          <w:lang w:val="el-GR"/>
        </w:rPr>
        <w:t xml:space="preserve"> </w:t>
      </w:r>
      <w:r>
        <w:rPr>
          <w:sz w:val="24"/>
          <w:szCs w:val="24"/>
          <w:lang w:val="el-GR"/>
        </w:rPr>
        <w:t>αν</w:t>
      </w:r>
      <w:r w:rsidR="00714EEB">
        <w:rPr>
          <w:sz w:val="24"/>
          <w:szCs w:val="24"/>
          <w:lang w:val="el-GR"/>
        </w:rPr>
        <w:t>έ</w:t>
      </w:r>
      <w:r>
        <w:rPr>
          <w:sz w:val="24"/>
          <w:szCs w:val="24"/>
          <w:lang w:val="el-GR"/>
        </w:rPr>
        <w:t>φερε</w:t>
      </w:r>
      <w:r w:rsidRPr="001869D9">
        <w:rPr>
          <w:sz w:val="24"/>
          <w:szCs w:val="24"/>
          <w:lang w:val="el-GR"/>
        </w:rPr>
        <w:t xml:space="preserve"> </w:t>
      </w:r>
      <w:r>
        <w:rPr>
          <w:sz w:val="24"/>
          <w:szCs w:val="24"/>
          <w:lang w:val="el-GR"/>
        </w:rPr>
        <w:t>την</w:t>
      </w:r>
      <w:r w:rsidRPr="001869D9">
        <w:rPr>
          <w:sz w:val="24"/>
          <w:szCs w:val="24"/>
          <w:lang w:val="el-GR"/>
        </w:rPr>
        <w:t xml:space="preserve"> </w:t>
      </w:r>
      <w:r>
        <w:rPr>
          <w:sz w:val="24"/>
          <w:szCs w:val="24"/>
          <w:lang w:val="el-GR"/>
        </w:rPr>
        <w:t>έλλειψη πόρων ως μια πρόκληση</w:t>
      </w:r>
      <w:r w:rsidR="00901561" w:rsidRPr="001869D9">
        <w:rPr>
          <w:sz w:val="24"/>
          <w:szCs w:val="24"/>
          <w:lang w:val="el-GR"/>
        </w:rPr>
        <w:t xml:space="preserve">, </w:t>
      </w:r>
      <w:r>
        <w:rPr>
          <w:sz w:val="24"/>
          <w:szCs w:val="24"/>
          <w:lang w:val="el-GR"/>
        </w:rPr>
        <w:t>και φαίνεται σαφώς ότι έχουν μια περιορισμένη προσφορά πόρων</w:t>
      </w:r>
      <w:r w:rsidR="00901561" w:rsidRPr="001869D9">
        <w:rPr>
          <w:sz w:val="24"/>
          <w:szCs w:val="24"/>
          <w:lang w:val="el-GR"/>
        </w:rPr>
        <w:t xml:space="preserve">.  </w:t>
      </w:r>
      <w:r>
        <w:rPr>
          <w:sz w:val="24"/>
          <w:szCs w:val="24"/>
          <w:lang w:val="el-GR"/>
        </w:rPr>
        <w:t>Ωστόσο</w:t>
      </w:r>
      <w:r w:rsidR="00901561" w:rsidRPr="00D463E3">
        <w:rPr>
          <w:sz w:val="24"/>
          <w:szCs w:val="24"/>
          <w:lang w:val="el-GR"/>
        </w:rPr>
        <w:t xml:space="preserve">, </w:t>
      </w:r>
      <w:r>
        <w:rPr>
          <w:sz w:val="24"/>
          <w:szCs w:val="24"/>
          <w:lang w:val="el-GR"/>
        </w:rPr>
        <w:t>υλοποιώντας</w:t>
      </w:r>
      <w:r w:rsidRPr="00D463E3">
        <w:rPr>
          <w:sz w:val="24"/>
          <w:szCs w:val="24"/>
          <w:lang w:val="el-GR"/>
        </w:rPr>
        <w:t xml:space="preserve"> </w:t>
      </w:r>
      <w:r>
        <w:rPr>
          <w:sz w:val="24"/>
          <w:szCs w:val="24"/>
          <w:lang w:val="el-GR"/>
        </w:rPr>
        <w:t>ένα</w:t>
      </w:r>
      <w:r w:rsidRPr="00D463E3">
        <w:rPr>
          <w:sz w:val="24"/>
          <w:szCs w:val="24"/>
          <w:lang w:val="el-GR"/>
        </w:rPr>
        <w:t xml:space="preserve"> </w:t>
      </w:r>
      <w:r>
        <w:rPr>
          <w:sz w:val="24"/>
          <w:szCs w:val="24"/>
          <w:lang w:val="el-GR"/>
        </w:rPr>
        <w:t>συντονισμένο</w:t>
      </w:r>
      <w:r w:rsidRPr="00D463E3">
        <w:rPr>
          <w:sz w:val="24"/>
          <w:szCs w:val="24"/>
          <w:lang w:val="el-GR"/>
        </w:rPr>
        <w:t xml:space="preserve"> </w:t>
      </w:r>
      <w:r>
        <w:rPr>
          <w:sz w:val="24"/>
          <w:szCs w:val="24"/>
          <w:lang w:val="el-GR"/>
        </w:rPr>
        <w:t>σύστημα</w:t>
      </w:r>
      <w:r w:rsidR="00901561" w:rsidRPr="00D463E3">
        <w:rPr>
          <w:sz w:val="24"/>
          <w:szCs w:val="24"/>
          <w:lang w:val="el-GR"/>
        </w:rPr>
        <w:t xml:space="preserve">, </w:t>
      </w:r>
      <w:r>
        <w:rPr>
          <w:sz w:val="24"/>
          <w:szCs w:val="24"/>
          <w:lang w:val="el-GR"/>
        </w:rPr>
        <w:t>όπως</w:t>
      </w:r>
      <w:r w:rsidRPr="00D463E3">
        <w:rPr>
          <w:sz w:val="24"/>
          <w:szCs w:val="24"/>
          <w:lang w:val="el-GR"/>
        </w:rPr>
        <w:t xml:space="preserve"> </w:t>
      </w:r>
      <w:r>
        <w:rPr>
          <w:sz w:val="24"/>
          <w:szCs w:val="24"/>
          <w:lang w:val="el-GR"/>
        </w:rPr>
        <w:t>συστήνεται</w:t>
      </w:r>
      <w:r w:rsidRPr="00D463E3">
        <w:rPr>
          <w:sz w:val="24"/>
          <w:szCs w:val="24"/>
          <w:lang w:val="el-GR"/>
        </w:rPr>
        <w:t xml:space="preserve"> </w:t>
      </w:r>
      <w:r>
        <w:rPr>
          <w:sz w:val="24"/>
          <w:szCs w:val="24"/>
          <w:lang w:val="el-GR"/>
        </w:rPr>
        <w:t>αργότερα</w:t>
      </w:r>
      <w:r w:rsidRPr="00D463E3">
        <w:rPr>
          <w:sz w:val="24"/>
          <w:szCs w:val="24"/>
          <w:lang w:val="el-GR"/>
        </w:rPr>
        <w:t xml:space="preserve"> </w:t>
      </w:r>
      <w:r>
        <w:rPr>
          <w:sz w:val="24"/>
          <w:szCs w:val="24"/>
          <w:lang w:val="el-GR"/>
        </w:rPr>
        <w:t>στην</w:t>
      </w:r>
      <w:r w:rsidRPr="00D463E3">
        <w:rPr>
          <w:sz w:val="24"/>
          <w:szCs w:val="24"/>
          <w:lang w:val="el-GR"/>
        </w:rPr>
        <w:t xml:space="preserve"> </w:t>
      </w:r>
      <w:r>
        <w:rPr>
          <w:sz w:val="24"/>
          <w:szCs w:val="24"/>
          <w:lang w:val="el-GR"/>
        </w:rPr>
        <w:t>έκθεση</w:t>
      </w:r>
      <w:r w:rsidRPr="00D463E3">
        <w:rPr>
          <w:sz w:val="24"/>
          <w:szCs w:val="24"/>
          <w:lang w:val="el-GR"/>
        </w:rPr>
        <w:t xml:space="preserve"> </w:t>
      </w:r>
      <w:r>
        <w:rPr>
          <w:sz w:val="24"/>
          <w:szCs w:val="24"/>
          <w:lang w:val="el-GR"/>
        </w:rPr>
        <w:t>αυτή</w:t>
      </w:r>
      <w:r w:rsidR="00901561" w:rsidRPr="00D463E3">
        <w:rPr>
          <w:sz w:val="24"/>
          <w:szCs w:val="24"/>
          <w:lang w:val="el-GR"/>
        </w:rPr>
        <w:t xml:space="preserve"> (</w:t>
      </w:r>
      <w:r>
        <w:rPr>
          <w:sz w:val="24"/>
          <w:szCs w:val="24"/>
          <w:lang w:val="el-GR"/>
        </w:rPr>
        <w:t>βλέπε</w:t>
      </w:r>
      <w:r w:rsidRPr="00D463E3">
        <w:rPr>
          <w:sz w:val="24"/>
          <w:szCs w:val="24"/>
          <w:lang w:val="el-GR"/>
        </w:rPr>
        <w:t xml:space="preserve"> </w:t>
      </w:r>
      <w:r>
        <w:rPr>
          <w:sz w:val="24"/>
          <w:szCs w:val="24"/>
          <w:lang w:val="el-GR"/>
        </w:rPr>
        <w:t>παράγραφο</w:t>
      </w:r>
      <w:r w:rsidR="00901561" w:rsidRPr="00D463E3">
        <w:rPr>
          <w:sz w:val="24"/>
          <w:szCs w:val="24"/>
          <w:lang w:val="el-GR"/>
        </w:rPr>
        <w:t xml:space="preserve"> </w:t>
      </w:r>
      <w:r w:rsidR="00BB61F5" w:rsidRPr="00D463E3">
        <w:rPr>
          <w:sz w:val="24"/>
          <w:szCs w:val="24"/>
          <w:lang w:val="el-GR"/>
        </w:rPr>
        <w:t>24</w:t>
      </w:r>
      <w:r w:rsidR="00FB0AA3" w:rsidRPr="00D463E3">
        <w:rPr>
          <w:sz w:val="24"/>
          <w:szCs w:val="24"/>
          <w:lang w:val="el-GR"/>
        </w:rPr>
        <w:t>4</w:t>
      </w:r>
      <w:r w:rsidR="00901561" w:rsidRPr="00D463E3">
        <w:rPr>
          <w:sz w:val="24"/>
          <w:szCs w:val="24"/>
          <w:lang w:val="el-GR"/>
        </w:rPr>
        <w:t xml:space="preserve">), </w:t>
      </w:r>
      <w:r>
        <w:rPr>
          <w:sz w:val="24"/>
          <w:szCs w:val="24"/>
          <w:lang w:val="el-GR"/>
        </w:rPr>
        <w:t>που</w:t>
      </w:r>
      <w:r w:rsidRPr="00D463E3">
        <w:rPr>
          <w:sz w:val="24"/>
          <w:szCs w:val="24"/>
          <w:lang w:val="el-GR"/>
        </w:rPr>
        <w:t xml:space="preserve"> </w:t>
      </w:r>
      <w:r>
        <w:rPr>
          <w:sz w:val="24"/>
          <w:szCs w:val="24"/>
          <w:lang w:val="el-GR"/>
        </w:rPr>
        <w:t>παραπέμπει</w:t>
      </w:r>
      <w:r w:rsidRPr="00D463E3">
        <w:rPr>
          <w:sz w:val="24"/>
          <w:szCs w:val="24"/>
          <w:lang w:val="el-GR"/>
        </w:rPr>
        <w:t xml:space="preserve"> </w:t>
      </w:r>
      <w:proofErr w:type="spellStart"/>
      <w:r w:rsidR="00D463E3">
        <w:rPr>
          <w:sz w:val="24"/>
          <w:szCs w:val="24"/>
          <w:lang w:val="el-GR"/>
        </w:rPr>
        <w:t>σ</w:t>
      </w:r>
      <w:r w:rsidR="00D463E3" w:rsidRPr="00D463E3">
        <w:rPr>
          <w:sz w:val="24"/>
          <w:szCs w:val="24"/>
          <w:lang w:val="el-GR"/>
        </w:rPr>
        <w:t>’</w:t>
      </w:r>
      <w:r w:rsidR="00D463E3">
        <w:rPr>
          <w:sz w:val="24"/>
          <w:szCs w:val="24"/>
          <w:lang w:val="el-GR"/>
        </w:rPr>
        <w:t>αυτούς</w:t>
      </w:r>
      <w:proofErr w:type="spellEnd"/>
      <w:r w:rsidR="00D463E3" w:rsidRPr="00D463E3">
        <w:rPr>
          <w:sz w:val="24"/>
          <w:szCs w:val="24"/>
          <w:lang w:val="el-GR"/>
        </w:rPr>
        <w:t xml:space="preserve"> </w:t>
      </w:r>
      <w:r>
        <w:rPr>
          <w:sz w:val="24"/>
          <w:szCs w:val="24"/>
          <w:lang w:val="el-GR"/>
        </w:rPr>
        <w:t>μόνο</w:t>
      </w:r>
      <w:r w:rsidRPr="00D463E3">
        <w:rPr>
          <w:sz w:val="24"/>
          <w:szCs w:val="24"/>
          <w:lang w:val="el-GR"/>
        </w:rPr>
        <w:t xml:space="preserve"> </w:t>
      </w:r>
      <w:r>
        <w:rPr>
          <w:sz w:val="24"/>
          <w:szCs w:val="24"/>
          <w:lang w:val="el-GR"/>
        </w:rPr>
        <w:t>τις</w:t>
      </w:r>
      <w:r w:rsidRPr="00D463E3">
        <w:rPr>
          <w:sz w:val="24"/>
          <w:szCs w:val="24"/>
          <w:lang w:val="el-GR"/>
        </w:rPr>
        <w:t xml:space="preserve"> </w:t>
      </w:r>
      <w:r>
        <w:rPr>
          <w:sz w:val="24"/>
          <w:szCs w:val="24"/>
          <w:lang w:val="el-GR"/>
        </w:rPr>
        <w:t>υποθέσεις</w:t>
      </w:r>
      <w:r w:rsidRPr="00D463E3">
        <w:rPr>
          <w:sz w:val="24"/>
          <w:szCs w:val="24"/>
          <w:lang w:val="el-GR"/>
        </w:rPr>
        <w:t xml:space="preserve"> </w:t>
      </w:r>
      <w:r>
        <w:rPr>
          <w:sz w:val="24"/>
          <w:szCs w:val="24"/>
          <w:lang w:val="el-GR"/>
        </w:rPr>
        <w:t>της</w:t>
      </w:r>
      <w:r w:rsidRPr="00D463E3">
        <w:rPr>
          <w:sz w:val="24"/>
          <w:szCs w:val="24"/>
          <w:lang w:val="el-GR"/>
        </w:rPr>
        <w:t xml:space="preserve"> </w:t>
      </w:r>
      <w:r>
        <w:rPr>
          <w:sz w:val="24"/>
          <w:szCs w:val="24"/>
          <w:lang w:val="el-GR"/>
        </w:rPr>
        <w:t>εξειδίκευσης</w:t>
      </w:r>
      <w:r w:rsidRPr="00D463E3">
        <w:rPr>
          <w:sz w:val="24"/>
          <w:szCs w:val="24"/>
          <w:lang w:val="el-GR"/>
        </w:rPr>
        <w:t xml:space="preserve"> </w:t>
      </w:r>
      <w:r>
        <w:rPr>
          <w:sz w:val="24"/>
          <w:szCs w:val="24"/>
          <w:lang w:val="el-GR"/>
        </w:rPr>
        <w:t>τους</w:t>
      </w:r>
      <w:r w:rsidR="00901561" w:rsidRPr="00D463E3">
        <w:rPr>
          <w:sz w:val="24"/>
          <w:szCs w:val="24"/>
          <w:lang w:val="el-GR"/>
        </w:rPr>
        <w:t xml:space="preserve">, </w:t>
      </w:r>
      <w:r w:rsidR="00D463E3">
        <w:rPr>
          <w:sz w:val="24"/>
          <w:szCs w:val="24"/>
          <w:lang w:val="el-GR"/>
        </w:rPr>
        <w:t>μπορεί να βοηθήσει την ΑΑΔΙΠΑ</w:t>
      </w:r>
      <w:r w:rsidR="00901561" w:rsidRPr="00D463E3">
        <w:rPr>
          <w:sz w:val="24"/>
          <w:szCs w:val="24"/>
          <w:lang w:val="el-GR"/>
        </w:rPr>
        <w:t xml:space="preserve"> (</w:t>
      </w:r>
      <w:r w:rsidR="00D463E3">
        <w:rPr>
          <w:sz w:val="24"/>
          <w:szCs w:val="24"/>
          <w:lang w:val="el-GR"/>
        </w:rPr>
        <w:t>και τις άλλες αρχές</w:t>
      </w:r>
      <w:r w:rsidR="00901561" w:rsidRPr="00D463E3">
        <w:rPr>
          <w:sz w:val="24"/>
          <w:szCs w:val="24"/>
          <w:lang w:val="el-GR"/>
        </w:rPr>
        <w:t xml:space="preserve"> </w:t>
      </w:r>
      <w:r w:rsidR="00D463E3">
        <w:rPr>
          <w:sz w:val="24"/>
          <w:szCs w:val="24"/>
          <w:lang w:val="el-GR"/>
        </w:rPr>
        <w:t xml:space="preserve">με εποπτικές ευθύνες της </w:t>
      </w:r>
      <w:r w:rsidR="009C4E34">
        <w:rPr>
          <w:sz w:val="24"/>
          <w:szCs w:val="24"/>
          <w:lang w:val="el-GR"/>
        </w:rPr>
        <w:t>Αστυνομία</w:t>
      </w:r>
      <w:r w:rsidR="00D463E3">
        <w:rPr>
          <w:sz w:val="24"/>
          <w:szCs w:val="24"/>
          <w:lang w:val="el-GR"/>
        </w:rPr>
        <w:t>ς</w:t>
      </w:r>
      <w:r w:rsidR="00901561" w:rsidRPr="00D463E3">
        <w:rPr>
          <w:sz w:val="24"/>
          <w:szCs w:val="24"/>
          <w:lang w:val="el-GR"/>
        </w:rPr>
        <w:t xml:space="preserve">) </w:t>
      </w:r>
      <w:r w:rsidR="00D463E3">
        <w:rPr>
          <w:sz w:val="24"/>
          <w:szCs w:val="24"/>
          <w:lang w:val="el-GR"/>
        </w:rPr>
        <w:t>να αυξήσουν την εστίαση τους και να τους κάνουν πιο αποτελεσματικούς</w:t>
      </w:r>
      <w:r w:rsidR="00901561" w:rsidRPr="00D463E3">
        <w:rPr>
          <w:sz w:val="24"/>
          <w:szCs w:val="24"/>
          <w:lang w:val="el-GR"/>
        </w:rPr>
        <w:t xml:space="preserve">, </w:t>
      </w:r>
      <w:r w:rsidR="00D463E3">
        <w:rPr>
          <w:sz w:val="24"/>
          <w:szCs w:val="24"/>
          <w:lang w:val="el-GR"/>
        </w:rPr>
        <w:t>βοηθώντας τους να κάνουν περισσότερα με λιγότερα</w:t>
      </w:r>
      <w:r w:rsidR="00901561" w:rsidRPr="00D463E3">
        <w:rPr>
          <w:sz w:val="24"/>
          <w:szCs w:val="24"/>
          <w:lang w:val="el-GR"/>
        </w:rPr>
        <w:t xml:space="preserve">. </w:t>
      </w:r>
    </w:p>
    <w:p w14:paraId="682F5961" w14:textId="77777777" w:rsidR="00220066" w:rsidRPr="00D463E3" w:rsidRDefault="00220066" w:rsidP="00220066">
      <w:pPr>
        <w:keepNext/>
        <w:tabs>
          <w:tab w:val="left" w:pos="709"/>
        </w:tabs>
        <w:rPr>
          <w:rFonts w:cstheme="minorHAnsi"/>
          <w:sz w:val="24"/>
          <w:szCs w:val="24"/>
          <w:lang w:val="el-GR"/>
        </w:rPr>
      </w:pPr>
    </w:p>
    <w:p w14:paraId="7B84BFA4" w14:textId="61D565DC" w:rsidR="00220066" w:rsidRPr="00441951" w:rsidRDefault="00D463E3" w:rsidP="00220066">
      <w:pPr>
        <w:keepNext/>
        <w:tabs>
          <w:tab w:val="left" w:pos="709"/>
        </w:tabs>
        <w:rPr>
          <w:rFonts w:cstheme="minorHAnsi"/>
          <w:i/>
          <w:iCs/>
          <w:sz w:val="24"/>
          <w:szCs w:val="24"/>
        </w:rPr>
      </w:pPr>
      <w:r>
        <w:rPr>
          <w:rFonts w:cstheme="minorHAnsi"/>
          <w:i/>
          <w:iCs/>
          <w:sz w:val="24"/>
          <w:szCs w:val="24"/>
          <w:lang w:val="el-GR"/>
        </w:rPr>
        <w:t>Άλλοι εξωτερικοί φορείς ελέγχου</w:t>
      </w:r>
      <w:r w:rsidR="00220066" w:rsidRPr="00441951">
        <w:rPr>
          <w:rFonts w:cstheme="minorHAnsi"/>
          <w:i/>
          <w:iCs/>
          <w:sz w:val="24"/>
          <w:szCs w:val="24"/>
        </w:rPr>
        <w:t xml:space="preserve"> </w:t>
      </w:r>
    </w:p>
    <w:p w14:paraId="2EB8FBE0" w14:textId="77777777" w:rsidR="00220066" w:rsidRPr="004E251E" w:rsidRDefault="00220066" w:rsidP="00220066">
      <w:pPr>
        <w:keepNext/>
        <w:tabs>
          <w:tab w:val="left" w:pos="709"/>
        </w:tabs>
        <w:rPr>
          <w:rFonts w:cstheme="minorHAnsi"/>
          <w:sz w:val="24"/>
          <w:szCs w:val="24"/>
        </w:rPr>
      </w:pPr>
      <w:bookmarkStart w:id="242" w:name="_Toc110430343"/>
    </w:p>
    <w:p w14:paraId="09A39F9D" w14:textId="7908CBB2" w:rsidR="00220066" w:rsidRPr="00D463E3" w:rsidRDefault="00D463E3"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Υπάρχουν</w:t>
      </w:r>
      <w:r w:rsidRPr="00D463E3">
        <w:rPr>
          <w:rFonts w:cstheme="minorHAnsi"/>
          <w:sz w:val="24"/>
          <w:szCs w:val="24"/>
          <w:lang w:val="el-GR"/>
        </w:rPr>
        <w:t xml:space="preserve"> </w:t>
      </w:r>
      <w:r>
        <w:rPr>
          <w:rFonts w:cstheme="minorHAnsi"/>
          <w:sz w:val="24"/>
          <w:szCs w:val="24"/>
          <w:lang w:val="el-GR"/>
        </w:rPr>
        <w:t>άλλοι</w:t>
      </w:r>
      <w:r w:rsidRPr="00D463E3">
        <w:rPr>
          <w:rFonts w:cstheme="minorHAnsi"/>
          <w:sz w:val="24"/>
          <w:szCs w:val="24"/>
          <w:lang w:val="el-GR"/>
        </w:rPr>
        <w:t xml:space="preserve"> </w:t>
      </w:r>
      <w:r>
        <w:rPr>
          <w:rFonts w:cstheme="minorHAnsi"/>
          <w:sz w:val="24"/>
          <w:szCs w:val="24"/>
          <w:lang w:val="el-GR"/>
        </w:rPr>
        <w:t>Κρατικοί</w:t>
      </w:r>
      <w:r w:rsidRPr="00D463E3">
        <w:rPr>
          <w:rFonts w:cstheme="minorHAnsi"/>
          <w:sz w:val="24"/>
          <w:szCs w:val="24"/>
          <w:lang w:val="el-GR"/>
        </w:rPr>
        <w:t xml:space="preserve"> </w:t>
      </w:r>
      <w:r>
        <w:rPr>
          <w:rFonts w:cstheme="minorHAnsi"/>
          <w:sz w:val="24"/>
          <w:szCs w:val="24"/>
          <w:lang w:val="el-GR"/>
        </w:rPr>
        <w:t>φορείς</w:t>
      </w:r>
      <w:r w:rsidR="00220066" w:rsidRPr="00D463E3">
        <w:rPr>
          <w:rFonts w:cstheme="minorHAnsi"/>
          <w:sz w:val="24"/>
          <w:szCs w:val="24"/>
          <w:lang w:val="el-GR"/>
        </w:rPr>
        <w:t xml:space="preserve"> </w:t>
      </w:r>
      <w:r>
        <w:rPr>
          <w:rFonts w:cstheme="minorHAnsi"/>
          <w:sz w:val="24"/>
          <w:szCs w:val="24"/>
          <w:lang w:val="el-GR"/>
        </w:rPr>
        <w:t>που</w:t>
      </w:r>
      <w:r w:rsidRPr="00D463E3">
        <w:rPr>
          <w:rFonts w:cstheme="minorHAnsi"/>
          <w:sz w:val="24"/>
          <w:szCs w:val="24"/>
          <w:lang w:val="el-GR"/>
        </w:rPr>
        <w:t xml:space="preserve"> </w:t>
      </w:r>
      <w:r>
        <w:rPr>
          <w:rFonts w:cstheme="minorHAnsi"/>
          <w:sz w:val="24"/>
          <w:szCs w:val="24"/>
          <w:lang w:val="el-GR"/>
        </w:rPr>
        <w:t>μπορούν</w:t>
      </w:r>
      <w:r w:rsidRPr="00D463E3">
        <w:rPr>
          <w:rFonts w:cstheme="minorHAnsi"/>
          <w:sz w:val="24"/>
          <w:szCs w:val="24"/>
          <w:lang w:val="el-GR"/>
        </w:rPr>
        <w:t xml:space="preserve"> </w:t>
      </w:r>
      <w:r>
        <w:rPr>
          <w:rFonts w:cstheme="minorHAnsi"/>
          <w:sz w:val="24"/>
          <w:szCs w:val="24"/>
          <w:lang w:val="el-GR"/>
        </w:rPr>
        <w:t>να</w:t>
      </w:r>
      <w:r w:rsidRPr="00D463E3">
        <w:rPr>
          <w:rFonts w:cstheme="minorHAnsi"/>
          <w:sz w:val="24"/>
          <w:szCs w:val="24"/>
          <w:lang w:val="el-GR"/>
        </w:rPr>
        <w:t xml:space="preserve"> </w:t>
      </w:r>
      <w:r>
        <w:rPr>
          <w:rFonts w:cstheme="minorHAnsi"/>
          <w:sz w:val="24"/>
          <w:szCs w:val="24"/>
          <w:lang w:val="el-GR"/>
        </w:rPr>
        <w:t>εξασκήσουν</w:t>
      </w:r>
      <w:r w:rsidRPr="00D463E3">
        <w:rPr>
          <w:rFonts w:cstheme="minorHAnsi"/>
          <w:sz w:val="24"/>
          <w:szCs w:val="24"/>
          <w:lang w:val="el-GR"/>
        </w:rPr>
        <w:t xml:space="preserve"> </w:t>
      </w:r>
      <w:r>
        <w:rPr>
          <w:rFonts w:cstheme="minorHAnsi"/>
          <w:sz w:val="24"/>
          <w:szCs w:val="24"/>
          <w:lang w:val="el-GR"/>
        </w:rPr>
        <w:t>Αστυνομική</w:t>
      </w:r>
      <w:r w:rsidRPr="00D463E3">
        <w:rPr>
          <w:rFonts w:cstheme="minorHAnsi"/>
          <w:sz w:val="24"/>
          <w:szCs w:val="24"/>
          <w:lang w:val="el-GR"/>
        </w:rPr>
        <w:t xml:space="preserve"> </w:t>
      </w:r>
      <w:r>
        <w:rPr>
          <w:rFonts w:cstheme="minorHAnsi"/>
          <w:sz w:val="24"/>
          <w:szCs w:val="24"/>
          <w:lang w:val="el-GR"/>
        </w:rPr>
        <w:t>επίβλεψη</w:t>
      </w:r>
      <w:r w:rsidR="00220066" w:rsidRPr="00D463E3">
        <w:rPr>
          <w:rFonts w:cstheme="minorHAnsi"/>
          <w:sz w:val="24"/>
          <w:szCs w:val="24"/>
          <w:lang w:val="el-GR"/>
        </w:rPr>
        <w:t xml:space="preserve">, </w:t>
      </w:r>
      <w:r>
        <w:rPr>
          <w:rFonts w:cstheme="minorHAnsi"/>
          <w:sz w:val="24"/>
          <w:szCs w:val="24"/>
          <w:lang w:val="el-GR"/>
        </w:rPr>
        <w:t>συμπεριλαμβανομένου</w:t>
      </w:r>
      <w:r w:rsidR="00220066" w:rsidRPr="00D463E3">
        <w:rPr>
          <w:rFonts w:cstheme="minorHAnsi"/>
          <w:sz w:val="24"/>
          <w:szCs w:val="24"/>
          <w:lang w:val="el-GR"/>
        </w:rPr>
        <w:t xml:space="preserve">: </w:t>
      </w:r>
      <w:r>
        <w:rPr>
          <w:rFonts w:cstheme="minorHAnsi"/>
          <w:sz w:val="24"/>
          <w:szCs w:val="24"/>
          <w:lang w:val="el-GR"/>
        </w:rPr>
        <w:t>το</w:t>
      </w:r>
      <w:r w:rsidR="00714EEB">
        <w:rPr>
          <w:rFonts w:cstheme="minorHAnsi"/>
          <w:sz w:val="24"/>
          <w:szCs w:val="24"/>
          <w:lang w:val="el-GR"/>
        </w:rPr>
        <w:t>υ</w:t>
      </w:r>
      <w:r w:rsidRPr="00D463E3">
        <w:rPr>
          <w:rFonts w:cstheme="minorHAnsi"/>
          <w:sz w:val="24"/>
          <w:szCs w:val="24"/>
          <w:lang w:val="el-GR"/>
        </w:rPr>
        <w:t xml:space="preserve"> </w:t>
      </w:r>
      <w:r>
        <w:rPr>
          <w:rFonts w:cstheme="minorHAnsi"/>
          <w:sz w:val="24"/>
          <w:szCs w:val="24"/>
          <w:lang w:val="el-GR"/>
        </w:rPr>
        <w:t>Υπουργικ</w:t>
      </w:r>
      <w:r w:rsidR="00714EEB">
        <w:rPr>
          <w:rFonts w:cstheme="minorHAnsi"/>
          <w:sz w:val="24"/>
          <w:szCs w:val="24"/>
          <w:lang w:val="el-GR"/>
        </w:rPr>
        <w:t>ού</w:t>
      </w:r>
      <w:r w:rsidRPr="00D463E3">
        <w:rPr>
          <w:rFonts w:cstheme="minorHAnsi"/>
          <w:sz w:val="24"/>
          <w:szCs w:val="24"/>
          <w:lang w:val="el-GR"/>
        </w:rPr>
        <w:t xml:space="preserve"> </w:t>
      </w:r>
      <w:r>
        <w:rPr>
          <w:rFonts w:cstheme="minorHAnsi"/>
          <w:sz w:val="24"/>
          <w:szCs w:val="24"/>
          <w:lang w:val="el-GR"/>
        </w:rPr>
        <w:t>Συμβο</w:t>
      </w:r>
      <w:r w:rsidR="00714EEB">
        <w:rPr>
          <w:rFonts w:cstheme="minorHAnsi"/>
          <w:sz w:val="24"/>
          <w:szCs w:val="24"/>
          <w:lang w:val="el-GR"/>
        </w:rPr>
        <w:t>υ</w:t>
      </w:r>
      <w:r>
        <w:rPr>
          <w:rFonts w:cstheme="minorHAnsi"/>
          <w:sz w:val="24"/>
          <w:szCs w:val="24"/>
          <w:lang w:val="el-GR"/>
        </w:rPr>
        <w:t>λ</w:t>
      </w:r>
      <w:r w:rsidR="00714EEB">
        <w:rPr>
          <w:rFonts w:cstheme="minorHAnsi"/>
          <w:sz w:val="24"/>
          <w:szCs w:val="24"/>
          <w:lang w:val="el-GR"/>
        </w:rPr>
        <w:t>ί</w:t>
      </w:r>
      <w:r>
        <w:rPr>
          <w:rFonts w:cstheme="minorHAnsi"/>
          <w:sz w:val="24"/>
          <w:szCs w:val="24"/>
          <w:lang w:val="el-GR"/>
        </w:rPr>
        <w:t>ο</w:t>
      </w:r>
      <w:r w:rsidR="00714EEB">
        <w:rPr>
          <w:rFonts w:cstheme="minorHAnsi"/>
          <w:sz w:val="24"/>
          <w:szCs w:val="24"/>
          <w:lang w:val="el-GR"/>
        </w:rPr>
        <w:t>υ</w:t>
      </w:r>
      <w:r w:rsidR="00220066" w:rsidRPr="00D463E3">
        <w:rPr>
          <w:sz w:val="24"/>
          <w:szCs w:val="24"/>
          <w:lang w:val="el-GR"/>
        </w:rPr>
        <w:t xml:space="preserve">, </w:t>
      </w:r>
      <w:r w:rsidR="00714EEB">
        <w:rPr>
          <w:sz w:val="24"/>
          <w:szCs w:val="24"/>
          <w:lang w:val="el-GR"/>
        </w:rPr>
        <w:t>τ</w:t>
      </w:r>
      <w:r>
        <w:rPr>
          <w:sz w:val="24"/>
          <w:szCs w:val="24"/>
          <w:lang w:val="el-GR"/>
        </w:rPr>
        <w:t>ο</w:t>
      </w:r>
      <w:r w:rsidR="00714EEB">
        <w:rPr>
          <w:sz w:val="24"/>
          <w:szCs w:val="24"/>
          <w:lang w:val="el-GR"/>
        </w:rPr>
        <w:t>υ</w:t>
      </w:r>
      <w:r w:rsidRPr="00D463E3">
        <w:rPr>
          <w:sz w:val="24"/>
          <w:szCs w:val="24"/>
          <w:lang w:val="el-GR"/>
        </w:rPr>
        <w:t xml:space="preserve"> </w:t>
      </w:r>
      <w:r>
        <w:rPr>
          <w:sz w:val="24"/>
          <w:szCs w:val="24"/>
          <w:lang w:val="el-GR"/>
        </w:rPr>
        <w:t>Γενικ</w:t>
      </w:r>
      <w:r w:rsidR="00714EEB">
        <w:rPr>
          <w:sz w:val="24"/>
          <w:szCs w:val="24"/>
          <w:lang w:val="el-GR"/>
        </w:rPr>
        <w:t>ού</w:t>
      </w:r>
      <w:r w:rsidRPr="00D463E3">
        <w:rPr>
          <w:sz w:val="24"/>
          <w:szCs w:val="24"/>
          <w:lang w:val="el-GR"/>
        </w:rPr>
        <w:t xml:space="preserve"> </w:t>
      </w:r>
      <w:r>
        <w:rPr>
          <w:sz w:val="24"/>
          <w:szCs w:val="24"/>
          <w:lang w:val="el-GR"/>
        </w:rPr>
        <w:t>Εισαγγελέα</w:t>
      </w:r>
      <w:r w:rsidR="00220066" w:rsidRPr="00D463E3">
        <w:rPr>
          <w:sz w:val="24"/>
          <w:szCs w:val="24"/>
          <w:lang w:val="el-GR"/>
        </w:rPr>
        <w:t xml:space="preserve"> (</w:t>
      </w:r>
      <w:r w:rsidR="00714EEB">
        <w:rPr>
          <w:sz w:val="24"/>
          <w:szCs w:val="24"/>
          <w:lang w:val="el-GR"/>
        </w:rPr>
        <w:t>την</w:t>
      </w:r>
      <w:r w:rsidRPr="00D463E3">
        <w:rPr>
          <w:sz w:val="24"/>
          <w:szCs w:val="24"/>
          <w:lang w:val="el-GR"/>
        </w:rPr>
        <w:t xml:space="preserve"> </w:t>
      </w:r>
      <w:r>
        <w:rPr>
          <w:sz w:val="24"/>
          <w:szCs w:val="24"/>
          <w:lang w:val="el-GR"/>
        </w:rPr>
        <w:t>Νομική</w:t>
      </w:r>
      <w:r w:rsidRPr="00D463E3">
        <w:rPr>
          <w:sz w:val="24"/>
          <w:szCs w:val="24"/>
          <w:lang w:val="el-GR"/>
        </w:rPr>
        <w:t xml:space="preserve"> </w:t>
      </w:r>
      <w:r>
        <w:rPr>
          <w:sz w:val="24"/>
          <w:szCs w:val="24"/>
          <w:lang w:val="el-GR"/>
        </w:rPr>
        <w:t>Υπηρεσία</w:t>
      </w:r>
      <w:r w:rsidR="00220066" w:rsidRPr="00D463E3">
        <w:rPr>
          <w:sz w:val="24"/>
          <w:szCs w:val="24"/>
          <w:lang w:val="el-GR"/>
        </w:rPr>
        <w:t>/</w:t>
      </w:r>
      <w:r>
        <w:rPr>
          <w:sz w:val="24"/>
          <w:szCs w:val="24"/>
          <w:lang w:val="el-GR"/>
        </w:rPr>
        <w:t>Κατηγορούσα</w:t>
      </w:r>
      <w:r w:rsidRPr="00D463E3">
        <w:rPr>
          <w:sz w:val="24"/>
          <w:szCs w:val="24"/>
          <w:lang w:val="el-GR"/>
        </w:rPr>
        <w:t xml:space="preserve"> </w:t>
      </w:r>
      <w:r>
        <w:rPr>
          <w:sz w:val="24"/>
          <w:szCs w:val="24"/>
          <w:lang w:val="el-GR"/>
        </w:rPr>
        <w:t>Αρχή</w:t>
      </w:r>
      <w:r w:rsidRPr="00D463E3">
        <w:rPr>
          <w:sz w:val="24"/>
          <w:szCs w:val="24"/>
          <w:lang w:val="el-GR"/>
        </w:rPr>
        <w:t xml:space="preserve">) </w:t>
      </w:r>
      <w:r w:rsidR="00714EEB">
        <w:rPr>
          <w:sz w:val="24"/>
          <w:szCs w:val="24"/>
          <w:lang w:val="el-GR"/>
        </w:rPr>
        <w:t>τ</w:t>
      </w:r>
      <w:r>
        <w:rPr>
          <w:sz w:val="24"/>
          <w:szCs w:val="24"/>
          <w:lang w:val="el-GR"/>
        </w:rPr>
        <w:t>η</w:t>
      </w:r>
      <w:r w:rsidR="00714EEB">
        <w:rPr>
          <w:sz w:val="24"/>
          <w:szCs w:val="24"/>
          <w:lang w:val="el-GR"/>
        </w:rPr>
        <w:t>ς</w:t>
      </w:r>
      <w:r w:rsidRPr="00D463E3">
        <w:rPr>
          <w:sz w:val="24"/>
          <w:szCs w:val="24"/>
          <w:lang w:val="el-GR"/>
        </w:rPr>
        <w:t xml:space="preserve"> </w:t>
      </w:r>
      <w:r>
        <w:rPr>
          <w:sz w:val="24"/>
          <w:szCs w:val="24"/>
          <w:lang w:val="el-GR"/>
        </w:rPr>
        <w:t>Βουλή</w:t>
      </w:r>
      <w:r w:rsidR="00714EEB">
        <w:rPr>
          <w:sz w:val="24"/>
          <w:szCs w:val="24"/>
          <w:lang w:val="el-GR"/>
        </w:rPr>
        <w:t>ς</w:t>
      </w:r>
      <w:r w:rsidRPr="00D463E3">
        <w:rPr>
          <w:sz w:val="24"/>
          <w:szCs w:val="24"/>
          <w:lang w:val="el-GR"/>
        </w:rPr>
        <w:t xml:space="preserve"> </w:t>
      </w:r>
      <w:r>
        <w:rPr>
          <w:sz w:val="24"/>
          <w:szCs w:val="24"/>
          <w:lang w:val="el-GR"/>
        </w:rPr>
        <w:t>των</w:t>
      </w:r>
      <w:r w:rsidRPr="00D463E3">
        <w:rPr>
          <w:sz w:val="24"/>
          <w:szCs w:val="24"/>
          <w:lang w:val="el-GR"/>
        </w:rPr>
        <w:t xml:space="preserve"> </w:t>
      </w:r>
      <w:r>
        <w:rPr>
          <w:sz w:val="24"/>
          <w:szCs w:val="24"/>
          <w:lang w:val="el-GR"/>
        </w:rPr>
        <w:t>Αντιπροσώπων</w:t>
      </w:r>
      <w:r w:rsidR="00C46082" w:rsidRPr="00D463E3">
        <w:rPr>
          <w:sz w:val="24"/>
          <w:szCs w:val="24"/>
          <w:lang w:val="el-GR"/>
        </w:rPr>
        <w:t xml:space="preserve"> </w:t>
      </w:r>
      <w:r w:rsidR="00220066" w:rsidRPr="00D463E3">
        <w:rPr>
          <w:sz w:val="24"/>
          <w:szCs w:val="24"/>
          <w:lang w:val="el-GR"/>
        </w:rPr>
        <w:t>(</w:t>
      </w:r>
      <w:r>
        <w:rPr>
          <w:sz w:val="24"/>
          <w:szCs w:val="24"/>
          <w:lang w:val="el-GR"/>
        </w:rPr>
        <w:t>μέσω</w:t>
      </w:r>
      <w:r w:rsidRPr="00D463E3">
        <w:rPr>
          <w:sz w:val="24"/>
          <w:szCs w:val="24"/>
          <w:lang w:val="el-GR"/>
        </w:rPr>
        <w:t xml:space="preserve"> </w:t>
      </w:r>
      <w:r>
        <w:rPr>
          <w:sz w:val="24"/>
          <w:szCs w:val="24"/>
          <w:lang w:val="el-GR"/>
        </w:rPr>
        <w:t>των</w:t>
      </w:r>
      <w:r w:rsidRPr="00D463E3">
        <w:rPr>
          <w:sz w:val="24"/>
          <w:szCs w:val="24"/>
          <w:lang w:val="el-GR"/>
        </w:rPr>
        <w:t xml:space="preserve"> </w:t>
      </w:r>
      <w:r>
        <w:rPr>
          <w:sz w:val="24"/>
          <w:szCs w:val="24"/>
          <w:lang w:val="el-GR"/>
        </w:rPr>
        <w:t>Κοινοβουλευτικών</w:t>
      </w:r>
      <w:r w:rsidRPr="00D463E3">
        <w:rPr>
          <w:sz w:val="24"/>
          <w:szCs w:val="24"/>
          <w:lang w:val="el-GR"/>
        </w:rPr>
        <w:t xml:space="preserve"> </w:t>
      </w:r>
      <w:r>
        <w:rPr>
          <w:sz w:val="24"/>
          <w:szCs w:val="24"/>
          <w:lang w:val="el-GR"/>
        </w:rPr>
        <w:t>Επιτροπών</w:t>
      </w:r>
      <w:r w:rsidRPr="00D463E3">
        <w:rPr>
          <w:sz w:val="24"/>
          <w:szCs w:val="24"/>
          <w:lang w:val="el-GR"/>
        </w:rPr>
        <w:t xml:space="preserve"> </w:t>
      </w:r>
      <w:r>
        <w:rPr>
          <w:sz w:val="24"/>
          <w:szCs w:val="24"/>
          <w:lang w:val="el-GR"/>
        </w:rPr>
        <w:t>της</w:t>
      </w:r>
      <w:r w:rsidR="00220066" w:rsidRPr="00D463E3">
        <w:rPr>
          <w:sz w:val="24"/>
          <w:szCs w:val="24"/>
          <w:lang w:val="el-GR"/>
        </w:rPr>
        <w:t xml:space="preserve">), </w:t>
      </w:r>
      <w:r w:rsidR="00714EEB">
        <w:rPr>
          <w:sz w:val="24"/>
          <w:szCs w:val="24"/>
          <w:lang w:val="el-GR"/>
        </w:rPr>
        <w:t>τ</w:t>
      </w:r>
      <w:r>
        <w:rPr>
          <w:sz w:val="24"/>
          <w:szCs w:val="24"/>
          <w:lang w:val="el-GR"/>
        </w:rPr>
        <w:t>ο</w:t>
      </w:r>
      <w:r w:rsidR="00714EEB">
        <w:rPr>
          <w:sz w:val="24"/>
          <w:szCs w:val="24"/>
          <w:lang w:val="el-GR"/>
        </w:rPr>
        <w:t>υ</w:t>
      </w:r>
      <w:r w:rsidRPr="00D463E3">
        <w:rPr>
          <w:sz w:val="24"/>
          <w:szCs w:val="24"/>
          <w:lang w:val="el-GR"/>
        </w:rPr>
        <w:t xml:space="preserve"> </w:t>
      </w:r>
      <w:r>
        <w:rPr>
          <w:sz w:val="24"/>
          <w:szCs w:val="24"/>
          <w:lang w:val="el-GR"/>
        </w:rPr>
        <w:t>Υπουργ</w:t>
      </w:r>
      <w:r w:rsidR="00714EEB">
        <w:rPr>
          <w:sz w:val="24"/>
          <w:szCs w:val="24"/>
          <w:lang w:val="el-GR"/>
        </w:rPr>
        <w:t>ού</w:t>
      </w:r>
      <w:r w:rsidRPr="00D463E3">
        <w:rPr>
          <w:sz w:val="24"/>
          <w:szCs w:val="24"/>
          <w:lang w:val="el-GR"/>
        </w:rPr>
        <w:t xml:space="preserve"> </w:t>
      </w:r>
      <w:r>
        <w:rPr>
          <w:sz w:val="24"/>
          <w:szCs w:val="24"/>
          <w:lang w:val="el-GR"/>
        </w:rPr>
        <w:t>Δικαιοσύνης</w:t>
      </w:r>
      <w:r w:rsidRPr="00D463E3">
        <w:rPr>
          <w:sz w:val="24"/>
          <w:szCs w:val="24"/>
          <w:lang w:val="el-GR"/>
        </w:rPr>
        <w:t xml:space="preserve"> </w:t>
      </w:r>
      <w:r>
        <w:rPr>
          <w:sz w:val="24"/>
          <w:szCs w:val="24"/>
          <w:lang w:val="el-GR"/>
        </w:rPr>
        <w:t>και</w:t>
      </w:r>
      <w:r w:rsidRPr="00D463E3">
        <w:rPr>
          <w:sz w:val="24"/>
          <w:szCs w:val="24"/>
          <w:lang w:val="el-GR"/>
        </w:rPr>
        <w:t xml:space="preserve"> </w:t>
      </w:r>
      <w:r>
        <w:rPr>
          <w:sz w:val="24"/>
          <w:szCs w:val="24"/>
          <w:lang w:val="el-GR"/>
        </w:rPr>
        <w:t>Δημοσίας</w:t>
      </w:r>
      <w:r w:rsidRPr="00D463E3">
        <w:rPr>
          <w:sz w:val="24"/>
          <w:szCs w:val="24"/>
          <w:lang w:val="el-GR"/>
        </w:rPr>
        <w:t xml:space="preserve"> </w:t>
      </w:r>
      <w:r>
        <w:rPr>
          <w:sz w:val="24"/>
          <w:szCs w:val="24"/>
          <w:lang w:val="el-GR"/>
        </w:rPr>
        <w:t>Τάξεως</w:t>
      </w:r>
      <w:r w:rsidR="00220066" w:rsidRPr="00D463E3">
        <w:rPr>
          <w:sz w:val="24"/>
          <w:szCs w:val="24"/>
          <w:lang w:val="el-GR"/>
        </w:rPr>
        <w:t xml:space="preserve">, </w:t>
      </w:r>
      <w:r w:rsidR="00714EEB">
        <w:rPr>
          <w:sz w:val="24"/>
          <w:szCs w:val="24"/>
          <w:lang w:val="el-GR"/>
        </w:rPr>
        <w:t>της</w:t>
      </w:r>
      <w:r w:rsidRPr="00D463E3">
        <w:rPr>
          <w:sz w:val="24"/>
          <w:szCs w:val="24"/>
          <w:lang w:val="el-GR"/>
        </w:rPr>
        <w:t xml:space="preserve"> </w:t>
      </w:r>
      <w:r>
        <w:rPr>
          <w:sz w:val="24"/>
          <w:szCs w:val="24"/>
          <w:lang w:val="el-GR"/>
        </w:rPr>
        <w:t>Ελεγκτική</w:t>
      </w:r>
      <w:r w:rsidR="00714EEB">
        <w:rPr>
          <w:sz w:val="24"/>
          <w:szCs w:val="24"/>
          <w:lang w:val="el-GR"/>
        </w:rPr>
        <w:t>ς</w:t>
      </w:r>
      <w:r w:rsidRPr="00D463E3">
        <w:rPr>
          <w:sz w:val="24"/>
          <w:szCs w:val="24"/>
          <w:lang w:val="el-GR"/>
        </w:rPr>
        <w:t xml:space="preserve"> </w:t>
      </w:r>
      <w:r>
        <w:rPr>
          <w:sz w:val="24"/>
          <w:szCs w:val="24"/>
          <w:lang w:val="el-GR"/>
        </w:rPr>
        <w:t>Υπηρεσία</w:t>
      </w:r>
      <w:r w:rsidR="00714EEB">
        <w:rPr>
          <w:sz w:val="24"/>
          <w:szCs w:val="24"/>
          <w:lang w:val="el-GR"/>
        </w:rPr>
        <w:t>ς</w:t>
      </w:r>
      <w:r w:rsidRPr="00D463E3">
        <w:rPr>
          <w:sz w:val="24"/>
          <w:szCs w:val="24"/>
          <w:lang w:val="el-GR"/>
        </w:rPr>
        <w:t xml:space="preserve"> </w:t>
      </w:r>
      <w:r>
        <w:rPr>
          <w:sz w:val="24"/>
          <w:szCs w:val="24"/>
          <w:lang w:val="el-GR"/>
        </w:rPr>
        <w:t>της</w:t>
      </w:r>
      <w:r w:rsidRPr="00D463E3">
        <w:rPr>
          <w:sz w:val="24"/>
          <w:szCs w:val="24"/>
          <w:lang w:val="el-GR"/>
        </w:rPr>
        <w:t xml:space="preserve"> </w:t>
      </w:r>
      <w:r>
        <w:rPr>
          <w:sz w:val="24"/>
          <w:szCs w:val="24"/>
          <w:lang w:val="el-GR"/>
        </w:rPr>
        <w:t>Κυβέρνησης</w:t>
      </w:r>
      <w:r w:rsidR="00220066" w:rsidRPr="00D463E3">
        <w:rPr>
          <w:sz w:val="24"/>
          <w:szCs w:val="24"/>
          <w:lang w:val="el-GR"/>
        </w:rPr>
        <w:t xml:space="preserve">, </w:t>
      </w:r>
      <w:r w:rsidR="00714EEB">
        <w:rPr>
          <w:sz w:val="24"/>
          <w:szCs w:val="24"/>
          <w:lang w:val="el-GR"/>
        </w:rPr>
        <w:t>τ</w:t>
      </w:r>
      <w:r>
        <w:rPr>
          <w:sz w:val="24"/>
          <w:szCs w:val="24"/>
          <w:lang w:val="el-GR"/>
        </w:rPr>
        <w:t>η</w:t>
      </w:r>
      <w:r w:rsidR="00714EEB">
        <w:rPr>
          <w:sz w:val="24"/>
          <w:szCs w:val="24"/>
          <w:lang w:val="el-GR"/>
        </w:rPr>
        <w:t>ς</w:t>
      </w:r>
      <w:r>
        <w:rPr>
          <w:sz w:val="24"/>
          <w:szCs w:val="24"/>
          <w:lang w:val="el-GR"/>
        </w:rPr>
        <w:t xml:space="preserve"> Ανεξάρτητη Αρχή</w:t>
      </w:r>
      <w:r w:rsidR="00714EEB">
        <w:rPr>
          <w:sz w:val="24"/>
          <w:szCs w:val="24"/>
          <w:lang w:val="el-GR"/>
        </w:rPr>
        <w:t>ς</w:t>
      </w:r>
      <w:r>
        <w:rPr>
          <w:sz w:val="24"/>
          <w:szCs w:val="24"/>
          <w:lang w:val="el-GR"/>
        </w:rPr>
        <w:t xml:space="preserve"> κατά της Διαφθοράς</w:t>
      </w:r>
      <w:r w:rsidR="00220066" w:rsidRPr="00D463E3">
        <w:rPr>
          <w:sz w:val="24"/>
          <w:szCs w:val="24"/>
          <w:lang w:val="el-GR"/>
        </w:rPr>
        <w:t xml:space="preserve">, </w:t>
      </w:r>
      <w:r w:rsidR="00714EEB">
        <w:rPr>
          <w:sz w:val="24"/>
          <w:szCs w:val="24"/>
          <w:lang w:val="el-GR"/>
        </w:rPr>
        <w:t>τ</w:t>
      </w:r>
      <w:r>
        <w:rPr>
          <w:sz w:val="24"/>
          <w:szCs w:val="24"/>
          <w:lang w:val="el-GR"/>
        </w:rPr>
        <w:t>ο</w:t>
      </w:r>
      <w:r w:rsidR="00714EEB">
        <w:rPr>
          <w:sz w:val="24"/>
          <w:szCs w:val="24"/>
          <w:lang w:val="el-GR"/>
        </w:rPr>
        <w:t>υ</w:t>
      </w:r>
      <w:r>
        <w:rPr>
          <w:sz w:val="24"/>
          <w:szCs w:val="24"/>
          <w:lang w:val="el-GR"/>
        </w:rPr>
        <w:t xml:space="preserve"> Επ</w:t>
      </w:r>
      <w:r w:rsidR="00714EEB">
        <w:rPr>
          <w:sz w:val="24"/>
          <w:szCs w:val="24"/>
          <w:lang w:val="el-GR"/>
        </w:rPr>
        <w:t>ι</w:t>
      </w:r>
      <w:r>
        <w:rPr>
          <w:sz w:val="24"/>
          <w:szCs w:val="24"/>
          <w:lang w:val="el-GR"/>
        </w:rPr>
        <w:t>τρ</w:t>
      </w:r>
      <w:r w:rsidR="00714EEB">
        <w:rPr>
          <w:sz w:val="24"/>
          <w:szCs w:val="24"/>
          <w:lang w:val="el-GR"/>
        </w:rPr>
        <w:t>ό</w:t>
      </w:r>
      <w:r>
        <w:rPr>
          <w:sz w:val="24"/>
          <w:szCs w:val="24"/>
          <w:lang w:val="el-GR"/>
        </w:rPr>
        <w:t>πο</w:t>
      </w:r>
      <w:r w:rsidR="00714EEB">
        <w:rPr>
          <w:sz w:val="24"/>
          <w:szCs w:val="24"/>
          <w:lang w:val="el-GR"/>
        </w:rPr>
        <w:t>υ</w:t>
      </w:r>
      <w:r>
        <w:rPr>
          <w:sz w:val="24"/>
          <w:szCs w:val="24"/>
          <w:lang w:val="el-GR"/>
        </w:rPr>
        <w:t xml:space="preserve"> Διοικήσεως</w:t>
      </w:r>
      <w:r w:rsidR="00220066" w:rsidRPr="00D463E3">
        <w:rPr>
          <w:sz w:val="24"/>
          <w:szCs w:val="24"/>
          <w:lang w:val="el-GR"/>
        </w:rPr>
        <w:t xml:space="preserve">, </w:t>
      </w:r>
      <w:r>
        <w:rPr>
          <w:sz w:val="24"/>
          <w:szCs w:val="24"/>
          <w:lang w:val="el-GR"/>
        </w:rPr>
        <w:t xml:space="preserve">και </w:t>
      </w:r>
      <w:r w:rsidR="00714EEB">
        <w:rPr>
          <w:sz w:val="24"/>
          <w:szCs w:val="24"/>
          <w:lang w:val="el-GR"/>
        </w:rPr>
        <w:t>τ</w:t>
      </w:r>
      <w:r>
        <w:rPr>
          <w:sz w:val="24"/>
          <w:szCs w:val="24"/>
          <w:lang w:val="el-GR"/>
        </w:rPr>
        <w:t>η</w:t>
      </w:r>
      <w:r w:rsidR="00714EEB">
        <w:rPr>
          <w:sz w:val="24"/>
          <w:szCs w:val="24"/>
          <w:lang w:val="el-GR"/>
        </w:rPr>
        <w:t>ς</w:t>
      </w:r>
      <w:r>
        <w:rPr>
          <w:sz w:val="24"/>
          <w:szCs w:val="24"/>
          <w:lang w:val="el-GR"/>
        </w:rPr>
        <w:t xml:space="preserve"> Ανεξάρτητη</w:t>
      </w:r>
      <w:r w:rsidR="00714EEB">
        <w:rPr>
          <w:sz w:val="24"/>
          <w:szCs w:val="24"/>
          <w:lang w:val="el-GR"/>
        </w:rPr>
        <w:t>ς</w:t>
      </w:r>
      <w:r>
        <w:rPr>
          <w:sz w:val="24"/>
          <w:szCs w:val="24"/>
          <w:lang w:val="el-GR"/>
        </w:rPr>
        <w:t xml:space="preserve"> Αρχή</w:t>
      </w:r>
      <w:r w:rsidR="00714EEB">
        <w:rPr>
          <w:sz w:val="24"/>
          <w:szCs w:val="24"/>
          <w:lang w:val="el-GR"/>
        </w:rPr>
        <w:t>ς</w:t>
      </w:r>
      <w:r>
        <w:rPr>
          <w:sz w:val="24"/>
          <w:szCs w:val="24"/>
          <w:lang w:val="el-GR"/>
        </w:rPr>
        <w:t xml:space="preserve"> Διερεύνησης Ισχυρισμών και Παραπόνων κατά της </w:t>
      </w:r>
      <w:r w:rsidR="009C4E34">
        <w:rPr>
          <w:sz w:val="24"/>
          <w:szCs w:val="24"/>
          <w:lang w:val="el-GR"/>
        </w:rPr>
        <w:t>Αστυνομία</w:t>
      </w:r>
      <w:r>
        <w:rPr>
          <w:sz w:val="24"/>
          <w:szCs w:val="24"/>
          <w:lang w:val="el-GR"/>
        </w:rPr>
        <w:t>ς</w:t>
      </w:r>
      <w:r w:rsidR="00220066" w:rsidRPr="00D463E3">
        <w:rPr>
          <w:sz w:val="24"/>
          <w:szCs w:val="24"/>
          <w:lang w:val="el-GR"/>
        </w:rPr>
        <w:t>.</w:t>
      </w:r>
    </w:p>
    <w:p w14:paraId="73A5C545" w14:textId="77777777" w:rsidR="00220066" w:rsidRPr="00D463E3" w:rsidRDefault="00220066" w:rsidP="00220066">
      <w:pPr>
        <w:rPr>
          <w:sz w:val="24"/>
          <w:szCs w:val="24"/>
          <w:lang w:val="el-GR"/>
        </w:rPr>
      </w:pPr>
    </w:p>
    <w:p w14:paraId="398DE92B" w14:textId="598D4081" w:rsidR="00220066" w:rsidRPr="001D7A30" w:rsidRDefault="001D7A30" w:rsidP="00220066">
      <w:pPr>
        <w:pStyle w:val="Heading2"/>
        <w:spacing w:before="0"/>
        <w:rPr>
          <w:rFonts w:asciiTheme="minorHAnsi" w:hAnsiTheme="minorHAnsi" w:cstheme="minorHAnsi"/>
          <w:b w:val="0"/>
          <w:bCs w:val="0"/>
          <w:color w:val="auto"/>
          <w:sz w:val="24"/>
          <w:szCs w:val="24"/>
          <w:u w:val="single"/>
          <w:lang w:val="el-GR"/>
        </w:rPr>
      </w:pPr>
      <w:bookmarkStart w:id="243" w:name="_Toc117445183"/>
      <w:bookmarkStart w:id="244" w:name="_Toc136879387"/>
      <w:r>
        <w:rPr>
          <w:rFonts w:asciiTheme="minorHAnsi" w:hAnsiTheme="minorHAnsi" w:cstheme="minorHAnsi"/>
          <w:b w:val="0"/>
          <w:bCs w:val="0"/>
          <w:color w:val="auto"/>
          <w:sz w:val="24"/>
          <w:szCs w:val="24"/>
          <w:u w:val="single"/>
          <w:lang w:val="el-GR"/>
        </w:rPr>
        <w:t>Διαδικασίες</w:t>
      </w:r>
      <w:r w:rsidRPr="001D7A30">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θεραπείας</w:t>
      </w:r>
      <w:r w:rsidRPr="001D7A30">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για</w:t>
      </w:r>
      <w:r w:rsidRPr="001D7A30">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το</w:t>
      </w:r>
      <w:r w:rsidRPr="001D7A30">
        <w:rPr>
          <w:rFonts w:asciiTheme="minorHAnsi" w:hAnsiTheme="minorHAnsi" w:cstheme="minorHAnsi"/>
          <w:b w:val="0"/>
          <w:bCs w:val="0"/>
          <w:color w:val="auto"/>
          <w:sz w:val="24"/>
          <w:szCs w:val="24"/>
          <w:u w:val="single"/>
          <w:lang w:val="el-GR"/>
        </w:rPr>
        <w:t xml:space="preserve"> </w:t>
      </w:r>
      <w:r>
        <w:rPr>
          <w:rFonts w:asciiTheme="minorHAnsi" w:hAnsiTheme="minorHAnsi" w:cstheme="minorHAnsi"/>
          <w:b w:val="0"/>
          <w:bCs w:val="0"/>
          <w:color w:val="auto"/>
          <w:sz w:val="24"/>
          <w:szCs w:val="24"/>
          <w:u w:val="single"/>
          <w:lang w:val="el-GR"/>
        </w:rPr>
        <w:t>ευρύ κοινό</w:t>
      </w:r>
      <w:bookmarkEnd w:id="242"/>
      <w:bookmarkEnd w:id="243"/>
      <w:bookmarkEnd w:id="244"/>
    </w:p>
    <w:p w14:paraId="1436EF44" w14:textId="77777777" w:rsidR="00220066" w:rsidRPr="001D7A30" w:rsidRDefault="00220066" w:rsidP="00220066">
      <w:pPr>
        <w:tabs>
          <w:tab w:val="left" w:pos="709"/>
        </w:tabs>
        <w:rPr>
          <w:rFonts w:cstheme="minorHAnsi"/>
          <w:sz w:val="24"/>
          <w:szCs w:val="24"/>
          <w:lang w:val="el-GR"/>
        </w:rPr>
      </w:pPr>
    </w:p>
    <w:p w14:paraId="1A85B29C" w14:textId="617B5E74" w:rsidR="00220066" w:rsidRPr="003B07EA" w:rsidRDefault="001D7A30"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Παράπονα</w:t>
      </w:r>
      <w:r w:rsidRPr="001D7A30">
        <w:rPr>
          <w:rFonts w:cstheme="minorHAnsi"/>
          <w:sz w:val="24"/>
          <w:szCs w:val="24"/>
          <w:lang w:val="el-GR"/>
        </w:rPr>
        <w:t xml:space="preserve"> </w:t>
      </w:r>
      <w:r>
        <w:rPr>
          <w:rFonts w:cstheme="minorHAnsi"/>
          <w:sz w:val="24"/>
          <w:szCs w:val="24"/>
          <w:lang w:val="el-GR"/>
        </w:rPr>
        <w:t>μπορούν</w:t>
      </w:r>
      <w:r w:rsidRPr="001D7A30">
        <w:rPr>
          <w:rFonts w:cstheme="minorHAnsi"/>
          <w:sz w:val="24"/>
          <w:szCs w:val="24"/>
          <w:lang w:val="el-GR"/>
        </w:rPr>
        <w:t xml:space="preserve"> </w:t>
      </w:r>
      <w:r>
        <w:rPr>
          <w:rFonts w:cstheme="minorHAnsi"/>
          <w:sz w:val="24"/>
          <w:szCs w:val="24"/>
          <w:lang w:val="el-GR"/>
        </w:rPr>
        <w:t>να</w:t>
      </w:r>
      <w:r w:rsidRPr="001D7A30">
        <w:rPr>
          <w:rFonts w:cstheme="minorHAnsi"/>
          <w:sz w:val="24"/>
          <w:szCs w:val="24"/>
          <w:lang w:val="el-GR"/>
        </w:rPr>
        <w:t xml:space="preserve"> </w:t>
      </w:r>
      <w:r>
        <w:rPr>
          <w:rFonts w:cstheme="minorHAnsi"/>
          <w:sz w:val="24"/>
          <w:szCs w:val="24"/>
          <w:lang w:val="el-GR"/>
        </w:rPr>
        <w:t>παραληφθούν</w:t>
      </w:r>
      <w:r w:rsidRPr="001D7A30">
        <w:rPr>
          <w:rFonts w:cstheme="minorHAnsi"/>
          <w:sz w:val="24"/>
          <w:szCs w:val="24"/>
          <w:lang w:val="el-GR"/>
        </w:rPr>
        <w:t xml:space="preserve"> </w:t>
      </w:r>
      <w:r>
        <w:rPr>
          <w:rFonts w:cstheme="minorHAnsi"/>
          <w:sz w:val="24"/>
          <w:szCs w:val="24"/>
          <w:lang w:val="el-GR"/>
        </w:rPr>
        <w:t>από</w:t>
      </w:r>
      <w:r w:rsidRPr="001D7A30">
        <w:rPr>
          <w:rFonts w:cstheme="minorHAnsi"/>
          <w:sz w:val="24"/>
          <w:szCs w:val="24"/>
          <w:lang w:val="el-GR"/>
        </w:rPr>
        <w:t xml:space="preserve"> </w:t>
      </w:r>
      <w:r>
        <w:rPr>
          <w:rFonts w:cstheme="minorHAnsi"/>
          <w:sz w:val="24"/>
          <w:szCs w:val="24"/>
          <w:lang w:val="el-GR"/>
        </w:rPr>
        <w:t>την</w:t>
      </w:r>
      <w:r w:rsidRPr="001D7A30">
        <w:rPr>
          <w:rFonts w:cstheme="minorHAnsi"/>
          <w:sz w:val="24"/>
          <w:szCs w:val="24"/>
          <w:lang w:val="el-GR"/>
        </w:rPr>
        <w:t xml:space="preserve"> </w:t>
      </w:r>
      <w:r w:rsidR="009C4E34">
        <w:rPr>
          <w:rFonts w:cstheme="minorHAnsi"/>
          <w:sz w:val="24"/>
          <w:szCs w:val="24"/>
          <w:lang w:val="el-GR"/>
        </w:rPr>
        <w:t>Αστυνομία</w:t>
      </w:r>
      <w:r w:rsidRPr="001D7A30">
        <w:rPr>
          <w:rFonts w:cstheme="minorHAnsi"/>
          <w:sz w:val="24"/>
          <w:szCs w:val="24"/>
          <w:lang w:val="el-GR"/>
        </w:rPr>
        <w:t xml:space="preserve"> </w:t>
      </w:r>
      <w:r>
        <w:rPr>
          <w:rFonts w:cstheme="minorHAnsi"/>
          <w:sz w:val="24"/>
          <w:szCs w:val="24"/>
          <w:lang w:val="el-GR"/>
        </w:rPr>
        <w:t>στα</w:t>
      </w:r>
      <w:r w:rsidRPr="001D7A30">
        <w:rPr>
          <w:rFonts w:cstheme="minorHAnsi"/>
          <w:sz w:val="24"/>
          <w:szCs w:val="24"/>
          <w:lang w:val="el-GR"/>
        </w:rPr>
        <w:t xml:space="preserve"> </w:t>
      </w:r>
      <w:r>
        <w:rPr>
          <w:rFonts w:cstheme="minorHAnsi"/>
          <w:sz w:val="24"/>
          <w:szCs w:val="24"/>
          <w:lang w:val="el-GR"/>
        </w:rPr>
        <w:t>διάφορα ΤΑΕ και Αστυνομικούς Σταθμούς</w:t>
      </w:r>
      <w:r w:rsidR="00220066" w:rsidRPr="001D7A30">
        <w:rPr>
          <w:rFonts w:cstheme="minorHAnsi"/>
          <w:sz w:val="24"/>
          <w:szCs w:val="24"/>
          <w:lang w:val="el-GR"/>
        </w:rPr>
        <w:t xml:space="preserve">, </w:t>
      </w:r>
      <w:r>
        <w:rPr>
          <w:rFonts w:cstheme="minorHAnsi"/>
          <w:sz w:val="24"/>
          <w:szCs w:val="24"/>
          <w:lang w:val="el-GR"/>
        </w:rPr>
        <w:t>καθώς επίσης και από την</w:t>
      </w:r>
      <w:r w:rsidR="00220066" w:rsidRPr="001D7A30">
        <w:rPr>
          <w:rFonts w:cstheme="minorHAnsi"/>
          <w:sz w:val="24"/>
          <w:szCs w:val="24"/>
          <w:lang w:val="el-GR"/>
        </w:rPr>
        <w:t xml:space="preserve"> </w:t>
      </w:r>
      <w:r w:rsidR="00220066" w:rsidRPr="004E251E">
        <w:rPr>
          <w:rFonts w:cstheme="minorHAnsi"/>
          <w:sz w:val="24"/>
          <w:szCs w:val="24"/>
        </w:rPr>
        <w:t>PSID</w:t>
      </w:r>
      <w:r w:rsidR="00220066" w:rsidRPr="001D7A30">
        <w:rPr>
          <w:rFonts w:cstheme="minorHAnsi"/>
          <w:bCs/>
          <w:sz w:val="24"/>
          <w:szCs w:val="24"/>
          <w:lang w:val="el-GR"/>
        </w:rPr>
        <w:t xml:space="preserve">. </w:t>
      </w:r>
      <w:r w:rsidRPr="001D7A30">
        <w:rPr>
          <w:rFonts w:cstheme="minorHAnsi"/>
          <w:bCs/>
          <w:sz w:val="24"/>
          <w:szCs w:val="24"/>
          <w:lang w:val="el-GR"/>
        </w:rPr>
        <w:t>Επιπλέον</w:t>
      </w:r>
      <w:r w:rsidR="00220066" w:rsidRPr="001D7A30">
        <w:rPr>
          <w:rFonts w:cstheme="minorHAnsi"/>
          <w:sz w:val="24"/>
          <w:szCs w:val="24"/>
          <w:lang w:val="el-GR"/>
        </w:rPr>
        <w:t xml:space="preserve">, </w:t>
      </w:r>
      <w:r>
        <w:rPr>
          <w:rFonts w:cstheme="minorHAnsi"/>
          <w:sz w:val="24"/>
          <w:szCs w:val="24"/>
          <w:lang w:val="el-GR"/>
        </w:rPr>
        <w:t>παράπονα</w:t>
      </w:r>
      <w:r w:rsidRPr="001D7A30">
        <w:rPr>
          <w:rFonts w:cstheme="minorHAnsi"/>
          <w:sz w:val="24"/>
          <w:szCs w:val="24"/>
          <w:lang w:val="el-GR"/>
        </w:rPr>
        <w:t xml:space="preserve"> </w:t>
      </w:r>
      <w:r>
        <w:rPr>
          <w:rFonts w:cstheme="minorHAnsi"/>
          <w:sz w:val="24"/>
          <w:szCs w:val="24"/>
          <w:lang w:val="el-GR"/>
        </w:rPr>
        <w:t>που</w:t>
      </w:r>
      <w:r w:rsidRPr="001D7A30">
        <w:rPr>
          <w:rFonts w:cstheme="minorHAnsi"/>
          <w:sz w:val="24"/>
          <w:szCs w:val="24"/>
          <w:lang w:val="el-GR"/>
        </w:rPr>
        <w:t xml:space="preserve"> </w:t>
      </w:r>
      <w:r>
        <w:rPr>
          <w:rFonts w:cstheme="minorHAnsi"/>
          <w:sz w:val="24"/>
          <w:szCs w:val="24"/>
          <w:lang w:val="el-GR"/>
        </w:rPr>
        <w:t>σχετίζονται</w:t>
      </w:r>
      <w:r w:rsidRPr="001D7A30">
        <w:rPr>
          <w:rFonts w:cstheme="minorHAnsi"/>
          <w:sz w:val="24"/>
          <w:szCs w:val="24"/>
          <w:lang w:val="el-GR"/>
        </w:rPr>
        <w:t xml:space="preserve"> </w:t>
      </w:r>
      <w:r>
        <w:rPr>
          <w:rFonts w:cstheme="minorHAnsi"/>
          <w:sz w:val="24"/>
          <w:szCs w:val="24"/>
          <w:lang w:val="el-GR"/>
        </w:rPr>
        <w:t>με</w:t>
      </w:r>
      <w:r w:rsidRPr="001D7A30">
        <w:rPr>
          <w:rFonts w:cstheme="minorHAnsi"/>
          <w:sz w:val="24"/>
          <w:szCs w:val="24"/>
          <w:lang w:val="el-GR"/>
        </w:rPr>
        <w:t xml:space="preserve"> </w:t>
      </w:r>
      <w:r>
        <w:rPr>
          <w:rFonts w:cstheme="minorHAnsi"/>
          <w:sz w:val="24"/>
          <w:szCs w:val="24"/>
          <w:lang w:val="el-GR"/>
        </w:rPr>
        <w:t>την</w:t>
      </w:r>
      <w:r w:rsidRPr="001D7A30">
        <w:rPr>
          <w:rFonts w:cstheme="minorHAnsi"/>
          <w:sz w:val="24"/>
          <w:szCs w:val="24"/>
          <w:lang w:val="el-GR"/>
        </w:rPr>
        <w:t xml:space="preserve"> </w:t>
      </w:r>
      <w:r>
        <w:rPr>
          <w:rFonts w:cstheme="minorHAnsi"/>
          <w:sz w:val="24"/>
          <w:szCs w:val="24"/>
          <w:lang w:val="el-GR"/>
        </w:rPr>
        <w:t>διαφθορά</w:t>
      </w:r>
      <w:r w:rsidRPr="001D7A30">
        <w:rPr>
          <w:rFonts w:cstheme="minorHAnsi"/>
          <w:sz w:val="24"/>
          <w:szCs w:val="24"/>
          <w:lang w:val="el-GR"/>
        </w:rPr>
        <w:t xml:space="preserve"> </w:t>
      </w:r>
      <w:r>
        <w:rPr>
          <w:rFonts w:cstheme="minorHAnsi"/>
          <w:sz w:val="24"/>
          <w:szCs w:val="24"/>
          <w:lang w:val="el-GR"/>
        </w:rPr>
        <w:t>μπορούν</w:t>
      </w:r>
      <w:r w:rsidRPr="001D7A30">
        <w:rPr>
          <w:rFonts w:cstheme="minorHAnsi"/>
          <w:sz w:val="24"/>
          <w:szCs w:val="24"/>
          <w:lang w:val="el-GR"/>
        </w:rPr>
        <w:t xml:space="preserve"> </w:t>
      </w:r>
      <w:r>
        <w:rPr>
          <w:rFonts w:cstheme="minorHAnsi"/>
          <w:sz w:val="24"/>
          <w:szCs w:val="24"/>
          <w:lang w:val="el-GR"/>
        </w:rPr>
        <w:t>να</w:t>
      </w:r>
      <w:r w:rsidRPr="001D7A30">
        <w:rPr>
          <w:rFonts w:cstheme="minorHAnsi"/>
          <w:sz w:val="24"/>
          <w:szCs w:val="24"/>
          <w:lang w:val="el-GR"/>
        </w:rPr>
        <w:t xml:space="preserve"> </w:t>
      </w:r>
      <w:r>
        <w:rPr>
          <w:rFonts w:cstheme="minorHAnsi"/>
          <w:sz w:val="24"/>
          <w:szCs w:val="24"/>
          <w:lang w:val="el-GR"/>
        </w:rPr>
        <w:t>σταλούν στην</w:t>
      </w:r>
      <w:r w:rsidR="00220066" w:rsidRPr="001D7A30">
        <w:rPr>
          <w:rFonts w:cstheme="minorHAnsi"/>
          <w:sz w:val="24"/>
          <w:szCs w:val="24"/>
          <w:lang w:val="el-GR"/>
        </w:rPr>
        <w:t xml:space="preserve"> </w:t>
      </w:r>
      <w:r w:rsidR="00220066" w:rsidRPr="004E251E">
        <w:rPr>
          <w:rFonts w:cstheme="minorHAnsi"/>
          <w:sz w:val="24"/>
          <w:szCs w:val="24"/>
        </w:rPr>
        <w:t>P</w:t>
      </w:r>
      <w:r w:rsidR="00220066" w:rsidRPr="001D7A30">
        <w:rPr>
          <w:rFonts w:cstheme="minorHAnsi"/>
          <w:sz w:val="24"/>
          <w:szCs w:val="24"/>
          <w:lang w:val="el-GR"/>
        </w:rPr>
        <w:t>.</w:t>
      </w:r>
      <w:r w:rsidR="00220066" w:rsidRPr="004E251E">
        <w:rPr>
          <w:rFonts w:cstheme="minorHAnsi"/>
          <w:sz w:val="24"/>
          <w:szCs w:val="24"/>
        </w:rPr>
        <w:t>I</w:t>
      </w:r>
      <w:r w:rsidR="00220066" w:rsidRPr="001D7A30">
        <w:rPr>
          <w:rFonts w:cstheme="minorHAnsi"/>
          <w:sz w:val="24"/>
          <w:szCs w:val="24"/>
          <w:lang w:val="el-GR"/>
        </w:rPr>
        <w:t>.</w:t>
      </w:r>
      <w:r w:rsidR="00220066" w:rsidRPr="004E251E">
        <w:rPr>
          <w:rFonts w:cstheme="minorHAnsi"/>
          <w:sz w:val="24"/>
          <w:szCs w:val="24"/>
        </w:rPr>
        <w:t>A</w:t>
      </w:r>
      <w:r w:rsidR="00220066" w:rsidRPr="001D7A30">
        <w:rPr>
          <w:rFonts w:cstheme="minorHAnsi"/>
          <w:sz w:val="24"/>
          <w:szCs w:val="24"/>
          <w:lang w:val="el-GR"/>
        </w:rPr>
        <w:t>.</w:t>
      </w:r>
      <w:r w:rsidR="00220066" w:rsidRPr="004E251E">
        <w:rPr>
          <w:rFonts w:cstheme="minorHAnsi"/>
          <w:sz w:val="24"/>
          <w:szCs w:val="24"/>
        </w:rPr>
        <w:t>S</w:t>
      </w:r>
      <w:r w:rsidR="00220066" w:rsidRPr="001D7A30">
        <w:rPr>
          <w:rFonts w:cstheme="minorHAnsi"/>
          <w:sz w:val="24"/>
          <w:szCs w:val="24"/>
          <w:lang w:val="el-GR"/>
        </w:rPr>
        <w:t>.</w:t>
      </w:r>
      <w:r w:rsidR="00220066" w:rsidRPr="001D7A30">
        <w:rPr>
          <w:rFonts w:cstheme="minorHAnsi"/>
          <w:b/>
          <w:bCs/>
          <w:sz w:val="24"/>
          <w:szCs w:val="24"/>
          <w:lang w:val="el-GR"/>
        </w:rPr>
        <w:t xml:space="preserve"> </w:t>
      </w:r>
      <w:r w:rsidRPr="001D7A30">
        <w:rPr>
          <w:rFonts w:cstheme="minorHAnsi"/>
          <w:bCs/>
          <w:sz w:val="24"/>
          <w:szCs w:val="24"/>
          <w:lang w:val="el-GR"/>
        </w:rPr>
        <w:t>Επίσης</w:t>
      </w:r>
      <w:r w:rsidR="00220066" w:rsidRPr="001D7A30">
        <w:rPr>
          <w:rFonts w:cstheme="minorHAnsi"/>
          <w:sz w:val="24"/>
          <w:szCs w:val="24"/>
          <w:lang w:val="el-GR"/>
        </w:rPr>
        <w:t xml:space="preserve">, </w:t>
      </w:r>
      <w:r>
        <w:rPr>
          <w:rFonts w:cstheme="minorHAnsi"/>
          <w:sz w:val="24"/>
          <w:szCs w:val="24"/>
          <w:lang w:val="el-GR"/>
        </w:rPr>
        <w:t>παράπονα μπορούν να κατατεθούν στην ΑΑΔΙΠΑ</w:t>
      </w:r>
      <w:r w:rsidR="00220066" w:rsidRPr="001D7A30">
        <w:rPr>
          <w:rFonts w:cstheme="minorHAnsi"/>
          <w:sz w:val="24"/>
          <w:szCs w:val="24"/>
          <w:lang w:val="el-GR"/>
        </w:rPr>
        <w:t xml:space="preserve"> </w:t>
      </w:r>
      <w:r>
        <w:rPr>
          <w:rFonts w:cstheme="minorHAnsi"/>
          <w:sz w:val="24"/>
          <w:szCs w:val="24"/>
          <w:lang w:val="el-GR"/>
        </w:rPr>
        <w:t>και τον/ην Επίτροπο Διοικήσεως</w:t>
      </w:r>
      <w:r w:rsidR="00220066" w:rsidRPr="001D7A30">
        <w:rPr>
          <w:rFonts w:cstheme="minorHAnsi"/>
          <w:sz w:val="24"/>
          <w:szCs w:val="24"/>
          <w:lang w:val="el-GR"/>
        </w:rPr>
        <w:t xml:space="preserve">. </w:t>
      </w:r>
      <w:r>
        <w:rPr>
          <w:rFonts w:cstheme="minorHAnsi"/>
          <w:sz w:val="24"/>
          <w:szCs w:val="24"/>
          <w:lang w:val="el-GR"/>
        </w:rPr>
        <w:t>Παράπονα</w:t>
      </w:r>
      <w:r w:rsidRPr="001D7A30">
        <w:rPr>
          <w:rFonts w:cstheme="minorHAnsi"/>
          <w:sz w:val="24"/>
          <w:szCs w:val="24"/>
          <w:lang w:val="el-GR"/>
        </w:rPr>
        <w:t xml:space="preserve"> </w:t>
      </w:r>
      <w:r>
        <w:rPr>
          <w:rFonts w:cstheme="minorHAnsi"/>
          <w:sz w:val="24"/>
          <w:szCs w:val="24"/>
          <w:lang w:val="el-GR"/>
        </w:rPr>
        <w:t>μπορούν</w:t>
      </w:r>
      <w:r w:rsidRPr="001D7A30">
        <w:rPr>
          <w:rFonts w:cstheme="minorHAnsi"/>
          <w:sz w:val="24"/>
          <w:szCs w:val="24"/>
          <w:lang w:val="el-GR"/>
        </w:rPr>
        <w:t xml:space="preserve"> </w:t>
      </w:r>
      <w:r>
        <w:rPr>
          <w:rFonts w:cstheme="minorHAnsi"/>
          <w:sz w:val="24"/>
          <w:szCs w:val="24"/>
          <w:lang w:val="el-GR"/>
        </w:rPr>
        <w:t>να</w:t>
      </w:r>
      <w:r w:rsidRPr="001D7A30">
        <w:rPr>
          <w:rFonts w:cstheme="minorHAnsi"/>
          <w:sz w:val="24"/>
          <w:szCs w:val="24"/>
          <w:lang w:val="el-GR"/>
        </w:rPr>
        <w:t xml:space="preserve"> </w:t>
      </w:r>
      <w:r>
        <w:rPr>
          <w:rFonts w:cstheme="minorHAnsi"/>
          <w:sz w:val="24"/>
          <w:szCs w:val="24"/>
          <w:lang w:val="el-GR"/>
        </w:rPr>
        <w:t>γίνουν</w:t>
      </w:r>
      <w:r w:rsidRPr="001D7A30">
        <w:rPr>
          <w:rFonts w:cstheme="minorHAnsi"/>
          <w:sz w:val="24"/>
          <w:szCs w:val="24"/>
          <w:lang w:val="el-GR"/>
        </w:rPr>
        <w:t xml:space="preserve"> </w:t>
      </w:r>
      <w:r>
        <w:rPr>
          <w:rFonts w:cstheme="minorHAnsi"/>
          <w:sz w:val="24"/>
          <w:szCs w:val="24"/>
          <w:lang w:val="el-GR"/>
        </w:rPr>
        <w:t>με</w:t>
      </w:r>
      <w:r w:rsidRPr="001D7A30">
        <w:rPr>
          <w:rFonts w:cstheme="minorHAnsi"/>
          <w:sz w:val="24"/>
          <w:szCs w:val="24"/>
          <w:lang w:val="el-GR"/>
        </w:rPr>
        <w:t xml:space="preserve"> </w:t>
      </w:r>
      <w:r>
        <w:rPr>
          <w:rFonts w:cstheme="minorHAnsi"/>
          <w:sz w:val="24"/>
          <w:szCs w:val="24"/>
          <w:lang w:val="el-GR"/>
        </w:rPr>
        <w:t>πολλούς</w:t>
      </w:r>
      <w:r w:rsidRPr="001D7A30">
        <w:rPr>
          <w:rFonts w:cstheme="minorHAnsi"/>
          <w:sz w:val="24"/>
          <w:szCs w:val="24"/>
          <w:lang w:val="el-GR"/>
        </w:rPr>
        <w:t xml:space="preserve"> </w:t>
      </w:r>
      <w:r>
        <w:rPr>
          <w:rFonts w:cstheme="minorHAnsi"/>
          <w:sz w:val="24"/>
          <w:szCs w:val="24"/>
          <w:lang w:val="el-GR"/>
        </w:rPr>
        <w:t>τρόπους</w:t>
      </w:r>
      <w:r w:rsidR="00220066" w:rsidRPr="001D7A30">
        <w:rPr>
          <w:rFonts w:cstheme="minorHAnsi"/>
          <w:sz w:val="24"/>
          <w:szCs w:val="24"/>
          <w:lang w:val="el-GR"/>
        </w:rPr>
        <w:t xml:space="preserve">, </w:t>
      </w:r>
      <w:r>
        <w:rPr>
          <w:rFonts w:cstheme="minorHAnsi"/>
          <w:sz w:val="24"/>
          <w:szCs w:val="24"/>
          <w:lang w:val="el-GR"/>
        </w:rPr>
        <w:t>αυτοπροσώπως</w:t>
      </w:r>
      <w:r w:rsidRPr="001D7A30">
        <w:rPr>
          <w:rFonts w:cstheme="minorHAnsi"/>
          <w:sz w:val="24"/>
          <w:szCs w:val="24"/>
          <w:lang w:val="el-GR"/>
        </w:rPr>
        <w:t xml:space="preserve"> </w:t>
      </w:r>
      <w:r>
        <w:rPr>
          <w:rFonts w:cstheme="minorHAnsi"/>
          <w:sz w:val="24"/>
          <w:szCs w:val="24"/>
          <w:lang w:val="el-GR"/>
        </w:rPr>
        <w:t>ή</w:t>
      </w:r>
      <w:r w:rsidRPr="001D7A30">
        <w:rPr>
          <w:rFonts w:cstheme="minorHAnsi"/>
          <w:sz w:val="24"/>
          <w:szCs w:val="24"/>
          <w:lang w:val="el-GR"/>
        </w:rPr>
        <w:t xml:space="preserve"> </w:t>
      </w:r>
      <w:r>
        <w:rPr>
          <w:rFonts w:cstheme="minorHAnsi"/>
          <w:sz w:val="24"/>
          <w:szCs w:val="24"/>
          <w:lang w:val="el-GR"/>
        </w:rPr>
        <w:t>γραπτώς</w:t>
      </w:r>
      <w:r w:rsidR="00220066" w:rsidRPr="001D7A30">
        <w:rPr>
          <w:rFonts w:cstheme="minorHAnsi"/>
          <w:sz w:val="24"/>
          <w:szCs w:val="24"/>
          <w:lang w:val="el-GR"/>
        </w:rPr>
        <w:t xml:space="preserve">, </w:t>
      </w:r>
      <w:r>
        <w:rPr>
          <w:rFonts w:cstheme="minorHAnsi"/>
          <w:sz w:val="24"/>
          <w:szCs w:val="24"/>
          <w:lang w:val="el-GR"/>
        </w:rPr>
        <w:t>όπως καταθέσεις</w:t>
      </w:r>
      <w:r w:rsidR="00220066" w:rsidRPr="001D7A30">
        <w:rPr>
          <w:rFonts w:cstheme="minorHAnsi"/>
          <w:sz w:val="24"/>
          <w:szCs w:val="24"/>
          <w:lang w:val="el-GR"/>
        </w:rPr>
        <w:t xml:space="preserve">, </w:t>
      </w:r>
      <w:r>
        <w:rPr>
          <w:rFonts w:cstheme="minorHAnsi"/>
          <w:sz w:val="24"/>
          <w:szCs w:val="24"/>
          <w:lang w:val="el-GR"/>
        </w:rPr>
        <w:t>επιστολές</w:t>
      </w:r>
      <w:r w:rsidR="00220066" w:rsidRPr="001D7A30">
        <w:rPr>
          <w:rFonts w:cstheme="minorHAnsi"/>
          <w:sz w:val="24"/>
          <w:szCs w:val="24"/>
          <w:lang w:val="el-GR"/>
        </w:rPr>
        <w:t xml:space="preserve">, </w:t>
      </w:r>
      <w:r>
        <w:rPr>
          <w:rFonts w:cstheme="minorHAnsi"/>
          <w:sz w:val="24"/>
          <w:szCs w:val="24"/>
          <w:lang w:val="el-GR"/>
        </w:rPr>
        <w:t>κλήσεις τηλεφώνου</w:t>
      </w:r>
      <w:r w:rsidR="00220066" w:rsidRPr="001D7A30">
        <w:rPr>
          <w:rFonts w:cstheme="minorHAnsi"/>
          <w:sz w:val="24"/>
          <w:szCs w:val="24"/>
          <w:lang w:val="el-GR"/>
        </w:rPr>
        <w:t xml:space="preserve">, </w:t>
      </w:r>
      <w:r>
        <w:rPr>
          <w:rFonts w:cstheme="minorHAnsi"/>
          <w:sz w:val="24"/>
          <w:szCs w:val="24"/>
          <w:lang w:val="el-GR"/>
        </w:rPr>
        <w:t>μέσω της ανοικτής γραμμής</w:t>
      </w:r>
      <w:r w:rsidR="00220066" w:rsidRPr="001D7A30">
        <w:rPr>
          <w:rFonts w:cstheme="minorHAnsi"/>
          <w:sz w:val="24"/>
          <w:szCs w:val="24"/>
          <w:lang w:val="el-GR"/>
        </w:rPr>
        <w:t xml:space="preserve">, </w:t>
      </w:r>
      <w:r>
        <w:rPr>
          <w:rFonts w:cstheme="minorHAnsi"/>
          <w:sz w:val="24"/>
          <w:szCs w:val="24"/>
          <w:lang w:val="el-GR"/>
        </w:rPr>
        <w:t>κλπ</w:t>
      </w:r>
      <w:r w:rsidR="00220066" w:rsidRPr="001D7A30">
        <w:rPr>
          <w:rFonts w:cstheme="minorHAnsi"/>
          <w:sz w:val="24"/>
          <w:szCs w:val="24"/>
          <w:lang w:val="el-GR"/>
        </w:rPr>
        <w:t xml:space="preserve">. </w:t>
      </w:r>
      <w:r>
        <w:rPr>
          <w:rFonts w:cstheme="minorHAnsi"/>
          <w:sz w:val="24"/>
          <w:szCs w:val="24"/>
          <w:lang w:val="el-GR"/>
        </w:rPr>
        <w:t>Αυτά μπορούν επίσης να γίνουν ανώνυμα</w:t>
      </w:r>
      <w:r w:rsidR="00220066" w:rsidRPr="003B07EA">
        <w:rPr>
          <w:rFonts w:cstheme="minorHAnsi"/>
          <w:sz w:val="24"/>
          <w:szCs w:val="24"/>
          <w:lang w:val="el-GR"/>
        </w:rPr>
        <w:t xml:space="preserve">. </w:t>
      </w:r>
      <w:r w:rsidR="003B07EA">
        <w:rPr>
          <w:rFonts w:cstheme="minorHAnsi"/>
          <w:sz w:val="24"/>
          <w:szCs w:val="24"/>
          <w:lang w:val="el-GR"/>
        </w:rPr>
        <w:t>Όλα</w:t>
      </w:r>
      <w:r w:rsidR="003B07EA" w:rsidRPr="003B07EA">
        <w:rPr>
          <w:rFonts w:cstheme="minorHAnsi"/>
          <w:sz w:val="24"/>
          <w:szCs w:val="24"/>
          <w:lang w:val="el-GR"/>
        </w:rPr>
        <w:t xml:space="preserve"> </w:t>
      </w:r>
      <w:r w:rsidR="003B07EA">
        <w:rPr>
          <w:rFonts w:cstheme="minorHAnsi"/>
          <w:sz w:val="24"/>
          <w:szCs w:val="24"/>
          <w:lang w:val="el-GR"/>
        </w:rPr>
        <w:t>τα</w:t>
      </w:r>
      <w:r w:rsidR="003B07EA" w:rsidRPr="003B07EA">
        <w:rPr>
          <w:rFonts w:cstheme="minorHAnsi"/>
          <w:sz w:val="24"/>
          <w:szCs w:val="24"/>
          <w:lang w:val="el-GR"/>
        </w:rPr>
        <w:t xml:space="preserve"> </w:t>
      </w:r>
      <w:r w:rsidR="003B07EA">
        <w:rPr>
          <w:rFonts w:cstheme="minorHAnsi"/>
          <w:sz w:val="24"/>
          <w:szCs w:val="24"/>
          <w:lang w:val="el-GR"/>
        </w:rPr>
        <w:t>παράπονα</w:t>
      </w:r>
      <w:r w:rsidR="003B07EA" w:rsidRPr="003B07EA">
        <w:rPr>
          <w:rFonts w:cstheme="minorHAnsi"/>
          <w:sz w:val="24"/>
          <w:szCs w:val="24"/>
          <w:lang w:val="el-GR"/>
        </w:rPr>
        <w:t xml:space="preserve"> </w:t>
      </w:r>
      <w:r w:rsidR="003B07EA">
        <w:rPr>
          <w:rFonts w:cstheme="minorHAnsi"/>
          <w:sz w:val="24"/>
          <w:szCs w:val="24"/>
          <w:lang w:val="el-GR"/>
        </w:rPr>
        <w:t>και</w:t>
      </w:r>
      <w:r w:rsidR="003B07EA" w:rsidRPr="003B07EA">
        <w:rPr>
          <w:rFonts w:cstheme="minorHAnsi"/>
          <w:sz w:val="24"/>
          <w:szCs w:val="24"/>
          <w:lang w:val="el-GR"/>
        </w:rPr>
        <w:t xml:space="preserve"> </w:t>
      </w:r>
      <w:r w:rsidR="003B07EA">
        <w:rPr>
          <w:rFonts w:cstheme="minorHAnsi"/>
          <w:sz w:val="24"/>
          <w:szCs w:val="24"/>
          <w:lang w:val="el-GR"/>
        </w:rPr>
        <w:t>οι</w:t>
      </w:r>
      <w:r w:rsidR="003B07EA" w:rsidRPr="003B07EA">
        <w:rPr>
          <w:rFonts w:cstheme="minorHAnsi"/>
          <w:sz w:val="24"/>
          <w:szCs w:val="24"/>
          <w:lang w:val="el-GR"/>
        </w:rPr>
        <w:t xml:space="preserve"> </w:t>
      </w:r>
      <w:r w:rsidR="003B07EA">
        <w:rPr>
          <w:rFonts w:cstheme="minorHAnsi"/>
          <w:sz w:val="24"/>
          <w:szCs w:val="24"/>
          <w:lang w:val="el-GR"/>
        </w:rPr>
        <w:t>έρευνες</w:t>
      </w:r>
      <w:r w:rsidR="003B07EA" w:rsidRPr="003B07EA">
        <w:rPr>
          <w:rFonts w:cstheme="minorHAnsi"/>
          <w:sz w:val="24"/>
          <w:szCs w:val="24"/>
          <w:lang w:val="el-GR"/>
        </w:rPr>
        <w:t xml:space="preserve"> </w:t>
      </w:r>
      <w:r w:rsidR="003B07EA">
        <w:rPr>
          <w:rFonts w:cstheme="minorHAnsi"/>
          <w:sz w:val="24"/>
          <w:szCs w:val="24"/>
          <w:lang w:val="el-GR"/>
        </w:rPr>
        <w:t>είναι</w:t>
      </w:r>
      <w:r w:rsidR="003B07EA" w:rsidRPr="003B07EA">
        <w:rPr>
          <w:rFonts w:cstheme="minorHAnsi"/>
          <w:sz w:val="24"/>
          <w:szCs w:val="24"/>
          <w:lang w:val="el-GR"/>
        </w:rPr>
        <w:t xml:space="preserve"> </w:t>
      </w:r>
      <w:r w:rsidR="003B07EA">
        <w:rPr>
          <w:rFonts w:cstheme="minorHAnsi"/>
          <w:sz w:val="24"/>
          <w:szCs w:val="24"/>
          <w:lang w:val="el-GR"/>
        </w:rPr>
        <w:t>άνευ</w:t>
      </w:r>
      <w:r w:rsidR="003B07EA" w:rsidRPr="003B07EA">
        <w:rPr>
          <w:rFonts w:cstheme="minorHAnsi"/>
          <w:sz w:val="24"/>
          <w:szCs w:val="24"/>
          <w:lang w:val="el-GR"/>
        </w:rPr>
        <w:t xml:space="preserve"> </w:t>
      </w:r>
      <w:r w:rsidR="003B07EA">
        <w:rPr>
          <w:rFonts w:cstheme="minorHAnsi"/>
          <w:sz w:val="24"/>
          <w:szCs w:val="24"/>
          <w:lang w:val="el-GR"/>
        </w:rPr>
        <w:t>πληρωμής</w:t>
      </w:r>
      <w:r w:rsidR="00220066" w:rsidRPr="003B07EA">
        <w:rPr>
          <w:rFonts w:cstheme="minorHAnsi"/>
          <w:sz w:val="24"/>
          <w:szCs w:val="24"/>
          <w:lang w:val="el-GR"/>
        </w:rPr>
        <w:t xml:space="preserve">. </w:t>
      </w:r>
    </w:p>
    <w:p w14:paraId="1621D946" w14:textId="77777777" w:rsidR="00220066" w:rsidRPr="003B07EA" w:rsidRDefault="00220066" w:rsidP="00220066">
      <w:pPr>
        <w:keepNext/>
        <w:tabs>
          <w:tab w:val="left" w:pos="709"/>
        </w:tabs>
        <w:rPr>
          <w:rFonts w:cstheme="minorHAnsi"/>
          <w:sz w:val="24"/>
          <w:szCs w:val="24"/>
          <w:lang w:val="el-GR"/>
        </w:rPr>
      </w:pPr>
    </w:p>
    <w:p w14:paraId="43CFED2D" w14:textId="76C719E3" w:rsidR="0017235F" w:rsidRPr="00613BFE" w:rsidRDefault="003B07EA" w:rsidP="0017235F">
      <w:pPr>
        <w:numPr>
          <w:ilvl w:val="0"/>
          <w:numId w:val="1"/>
        </w:numPr>
        <w:tabs>
          <w:tab w:val="left" w:pos="709"/>
        </w:tabs>
        <w:ind w:left="0" w:firstLine="0"/>
        <w:rPr>
          <w:rFonts w:cstheme="minorHAnsi"/>
          <w:b/>
          <w:bCs/>
          <w:sz w:val="24"/>
          <w:szCs w:val="24"/>
          <w:lang w:val="el-GR"/>
        </w:rPr>
      </w:pPr>
      <w:r>
        <w:rPr>
          <w:rFonts w:cstheme="minorHAnsi"/>
          <w:sz w:val="24"/>
          <w:szCs w:val="24"/>
          <w:lang w:val="el-GR"/>
        </w:rPr>
        <w:t>Όταν</w:t>
      </w:r>
      <w:r w:rsidRPr="003B07EA">
        <w:rPr>
          <w:rFonts w:cstheme="minorHAnsi"/>
          <w:sz w:val="24"/>
          <w:szCs w:val="24"/>
          <w:lang w:val="el-GR"/>
        </w:rPr>
        <w:t xml:space="preserve"> </w:t>
      </w:r>
      <w:r>
        <w:rPr>
          <w:rFonts w:cstheme="minorHAnsi"/>
          <w:sz w:val="24"/>
          <w:szCs w:val="24"/>
          <w:lang w:val="el-GR"/>
        </w:rPr>
        <w:t>μια</w:t>
      </w:r>
      <w:r w:rsidRPr="003B07EA">
        <w:rPr>
          <w:rFonts w:cstheme="minorHAnsi"/>
          <w:sz w:val="24"/>
          <w:szCs w:val="24"/>
          <w:lang w:val="el-GR"/>
        </w:rPr>
        <w:t xml:space="preserve"> </w:t>
      </w:r>
      <w:r>
        <w:rPr>
          <w:rFonts w:cstheme="minorHAnsi"/>
          <w:sz w:val="24"/>
          <w:szCs w:val="24"/>
          <w:lang w:val="el-GR"/>
        </w:rPr>
        <w:t>έκθεση</w:t>
      </w:r>
      <w:r w:rsidR="0017235F" w:rsidRPr="003B07EA">
        <w:rPr>
          <w:rFonts w:cstheme="minorHAnsi"/>
          <w:sz w:val="24"/>
          <w:szCs w:val="24"/>
          <w:lang w:val="el-GR"/>
        </w:rPr>
        <w:t>/</w:t>
      </w:r>
      <w:r>
        <w:rPr>
          <w:rFonts w:cstheme="minorHAnsi"/>
          <w:sz w:val="24"/>
          <w:szCs w:val="24"/>
          <w:lang w:val="el-GR"/>
        </w:rPr>
        <w:t>παράπονο</w:t>
      </w:r>
      <w:r w:rsidRPr="003B07EA">
        <w:rPr>
          <w:rFonts w:cstheme="minorHAnsi"/>
          <w:sz w:val="24"/>
          <w:szCs w:val="24"/>
          <w:lang w:val="el-GR"/>
        </w:rPr>
        <w:t xml:space="preserve"> </w:t>
      </w:r>
      <w:r>
        <w:rPr>
          <w:rFonts w:cstheme="minorHAnsi"/>
          <w:sz w:val="24"/>
          <w:szCs w:val="24"/>
          <w:lang w:val="el-GR"/>
        </w:rPr>
        <w:t>υποβάλλεται</w:t>
      </w:r>
      <w:r w:rsidRPr="003B07EA">
        <w:rPr>
          <w:rFonts w:cstheme="minorHAnsi"/>
          <w:sz w:val="24"/>
          <w:szCs w:val="24"/>
          <w:lang w:val="el-GR"/>
        </w:rPr>
        <w:t xml:space="preserve"> </w:t>
      </w:r>
      <w:r>
        <w:rPr>
          <w:rFonts w:cstheme="minorHAnsi"/>
          <w:sz w:val="24"/>
          <w:szCs w:val="24"/>
          <w:lang w:val="el-GR"/>
        </w:rPr>
        <w:t>στην</w:t>
      </w:r>
      <w:r w:rsidRPr="003B07EA">
        <w:rPr>
          <w:rFonts w:cstheme="minorHAnsi"/>
          <w:sz w:val="24"/>
          <w:szCs w:val="24"/>
          <w:lang w:val="el-GR"/>
        </w:rPr>
        <w:t xml:space="preserve"> </w:t>
      </w:r>
      <w:r w:rsidR="009C4E34">
        <w:rPr>
          <w:rFonts w:cstheme="minorHAnsi"/>
          <w:sz w:val="24"/>
          <w:szCs w:val="24"/>
          <w:lang w:val="el-GR"/>
        </w:rPr>
        <w:t>Αστυνομία</w:t>
      </w:r>
      <w:r w:rsidR="0017235F" w:rsidRPr="003B07EA">
        <w:rPr>
          <w:rFonts w:cstheme="minorHAnsi"/>
          <w:sz w:val="24"/>
          <w:szCs w:val="24"/>
          <w:lang w:val="el-GR"/>
        </w:rPr>
        <w:t xml:space="preserve">, </w:t>
      </w:r>
      <w:r>
        <w:rPr>
          <w:rFonts w:cstheme="minorHAnsi"/>
          <w:sz w:val="24"/>
          <w:szCs w:val="24"/>
          <w:lang w:val="el-GR"/>
        </w:rPr>
        <w:t>ανάλογα</w:t>
      </w:r>
      <w:r w:rsidRPr="003B07EA">
        <w:rPr>
          <w:rFonts w:cstheme="minorHAnsi"/>
          <w:sz w:val="24"/>
          <w:szCs w:val="24"/>
          <w:lang w:val="el-GR"/>
        </w:rPr>
        <w:t xml:space="preserve"> </w:t>
      </w:r>
      <w:r>
        <w:rPr>
          <w:rFonts w:cstheme="minorHAnsi"/>
          <w:sz w:val="24"/>
          <w:szCs w:val="24"/>
          <w:lang w:val="el-GR"/>
        </w:rPr>
        <w:t>με</w:t>
      </w:r>
      <w:r w:rsidRPr="003B07EA">
        <w:rPr>
          <w:rFonts w:cstheme="minorHAnsi"/>
          <w:sz w:val="24"/>
          <w:szCs w:val="24"/>
          <w:lang w:val="el-GR"/>
        </w:rPr>
        <w:t xml:space="preserve"> </w:t>
      </w:r>
      <w:r>
        <w:rPr>
          <w:rFonts w:cstheme="minorHAnsi"/>
          <w:sz w:val="24"/>
          <w:szCs w:val="24"/>
          <w:lang w:val="el-GR"/>
        </w:rPr>
        <w:t>την</w:t>
      </w:r>
      <w:r w:rsidRPr="003B07EA">
        <w:rPr>
          <w:rFonts w:cstheme="minorHAnsi"/>
          <w:sz w:val="24"/>
          <w:szCs w:val="24"/>
          <w:lang w:val="el-GR"/>
        </w:rPr>
        <w:t xml:space="preserve"> </w:t>
      </w:r>
      <w:r>
        <w:rPr>
          <w:rFonts w:cstheme="minorHAnsi"/>
          <w:sz w:val="24"/>
          <w:szCs w:val="24"/>
          <w:lang w:val="el-GR"/>
        </w:rPr>
        <w:t>φύση</w:t>
      </w:r>
      <w:r w:rsidRPr="003B07EA">
        <w:rPr>
          <w:rFonts w:cstheme="minorHAnsi"/>
          <w:sz w:val="24"/>
          <w:szCs w:val="24"/>
          <w:lang w:val="el-GR"/>
        </w:rPr>
        <w:t xml:space="preserve"> </w:t>
      </w:r>
      <w:r>
        <w:rPr>
          <w:rFonts w:cstheme="minorHAnsi"/>
          <w:sz w:val="24"/>
          <w:szCs w:val="24"/>
          <w:lang w:val="el-GR"/>
        </w:rPr>
        <w:t>της</w:t>
      </w:r>
      <w:r w:rsidRPr="003B07EA">
        <w:rPr>
          <w:rFonts w:cstheme="minorHAnsi"/>
          <w:sz w:val="24"/>
          <w:szCs w:val="24"/>
          <w:lang w:val="el-GR"/>
        </w:rPr>
        <w:t>/</w:t>
      </w:r>
      <w:r>
        <w:rPr>
          <w:rFonts w:cstheme="minorHAnsi"/>
          <w:sz w:val="24"/>
          <w:szCs w:val="24"/>
          <w:lang w:val="el-GR"/>
        </w:rPr>
        <w:t>ου</w:t>
      </w:r>
      <w:r w:rsidR="0017235F" w:rsidRPr="003B07EA">
        <w:rPr>
          <w:rFonts w:cstheme="minorHAnsi"/>
          <w:sz w:val="24"/>
          <w:szCs w:val="24"/>
          <w:lang w:val="el-GR"/>
        </w:rPr>
        <w:t xml:space="preserve">, </w:t>
      </w:r>
      <w:r>
        <w:rPr>
          <w:rFonts w:cstheme="minorHAnsi"/>
          <w:sz w:val="24"/>
          <w:szCs w:val="24"/>
          <w:lang w:val="el-GR"/>
        </w:rPr>
        <w:t>δηλαδή</w:t>
      </w:r>
      <w:r w:rsidRPr="003B07EA">
        <w:rPr>
          <w:rFonts w:cstheme="minorHAnsi"/>
          <w:sz w:val="24"/>
          <w:szCs w:val="24"/>
          <w:lang w:val="el-GR"/>
        </w:rPr>
        <w:t>,</w:t>
      </w:r>
      <w:r w:rsidR="0017235F" w:rsidRPr="003B07EA">
        <w:rPr>
          <w:rFonts w:cstheme="minorHAnsi"/>
          <w:sz w:val="24"/>
          <w:szCs w:val="24"/>
          <w:lang w:val="el-GR"/>
        </w:rPr>
        <w:t xml:space="preserve"> </w:t>
      </w:r>
      <w:r>
        <w:rPr>
          <w:rFonts w:cstheme="minorHAnsi"/>
          <w:sz w:val="24"/>
          <w:szCs w:val="24"/>
          <w:lang w:val="el-GR"/>
        </w:rPr>
        <w:t>αν</w:t>
      </w:r>
      <w:r w:rsidRPr="003B07EA">
        <w:rPr>
          <w:rFonts w:cstheme="minorHAnsi"/>
          <w:sz w:val="24"/>
          <w:szCs w:val="24"/>
          <w:lang w:val="el-GR"/>
        </w:rPr>
        <w:t xml:space="preserve"> </w:t>
      </w:r>
      <w:r>
        <w:rPr>
          <w:rFonts w:cstheme="minorHAnsi"/>
          <w:sz w:val="24"/>
          <w:szCs w:val="24"/>
          <w:lang w:val="el-GR"/>
        </w:rPr>
        <w:t>αφορά</w:t>
      </w:r>
      <w:r w:rsidRPr="003B07EA">
        <w:rPr>
          <w:rFonts w:cstheme="minorHAnsi"/>
          <w:sz w:val="24"/>
          <w:szCs w:val="24"/>
          <w:lang w:val="el-GR"/>
        </w:rPr>
        <w:t xml:space="preserve"> </w:t>
      </w:r>
      <w:r>
        <w:rPr>
          <w:rFonts w:cstheme="minorHAnsi"/>
          <w:sz w:val="24"/>
          <w:szCs w:val="24"/>
          <w:lang w:val="el-GR"/>
        </w:rPr>
        <w:t>ένα</w:t>
      </w:r>
      <w:r w:rsidRPr="003B07EA">
        <w:rPr>
          <w:rFonts w:cstheme="minorHAnsi"/>
          <w:sz w:val="24"/>
          <w:szCs w:val="24"/>
          <w:lang w:val="el-GR"/>
        </w:rPr>
        <w:t xml:space="preserve"> </w:t>
      </w:r>
      <w:r>
        <w:rPr>
          <w:rFonts w:cstheme="minorHAnsi"/>
          <w:sz w:val="24"/>
          <w:szCs w:val="24"/>
          <w:lang w:val="el-GR"/>
        </w:rPr>
        <w:t>αδίκημα</w:t>
      </w:r>
      <w:r w:rsidRPr="003B07EA">
        <w:rPr>
          <w:rFonts w:cstheme="minorHAnsi"/>
          <w:sz w:val="24"/>
          <w:szCs w:val="24"/>
          <w:lang w:val="el-GR"/>
        </w:rPr>
        <w:t xml:space="preserve"> </w:t>
      </w:r>
      <w:r>
        <w:rPr>
          <w:rFonts w:cstheme="minorHAnsi"/>
          <w:sz w:val="24"/>
          <w:szCs w:val="24"/>
          <w:lang w:val="el-GR"/>
        </w:rPr>
        <w:t>διαφθοράς</w:t>
      </w:r>
      <w:r w:rsidR="0017235F" w:rsidRPr="003B07EA">
        <w:rPr>
          <w:rFonts w:cstheme="minorHAnsi"/>
          <w:sz w:val="24"/>
          <w:szCs w:val="24"/>
          <w:lang w:val="el-GR"/>
        </w:rPr>
        <w:t xml:space="preserve"> </w:t>
      </w:r>
      <w:r>
        <w:rPr>
          <w:rFonts w:cstheme="minorHAnsi"/>
          <w:sz w:val="24"/>
          <w:szCs w:val="24"/>
          <w:lang w:val="el-GR"/>
        </w:rPr>
        <w:t>από</w:t>
      </w:r>
      <w:r w:rsidRPr="003B07EA">
        <w:rPr>
          <w:rFonts w:cstheme="minorHAnsi"/>
          <w:sz w:val="24"/>
          <w:szCs w:val="24"/>
          <w:lang w:val="el-GR"/>
        </w:rPr>
        <w:t xml:space="preserve"> </w:t>
      </w:r>
      <w:r>
        <w:rPr>
          <w:rFonts w:cstheme="minorHAnsi"/>
          <w:sz w:val="24"/>
          <w:szCs w:val="24"/>
          <w:lang w:val="el-GR"/>
        </w:rPr>
        <w:t>ένα</w:t>
      </w:r>
      <w:r w:rsidRPr="003B07EA">
        <w:rPr>
          <w:rFonts w:cstheme="minorHAnsi"/>
          <w:sz w:val="24"/>
          <w:szCs w:val="24"/>
          <w:lang w:val="el-GR"/>
        </w:rPr>
        <w:t xml:space="preserve"> </w:t>
      </w:r>
      <w:r>
        <w:rPr>
          <w:rFonts w:cstheme="minorHAnsi"/>
          <w:sz w:val="24"/>
          <w:szCs w:val="24"/>
          <w:lang w:val="el-GR"/>
        </w:rPr>
        <w:t>μέλος</w:t>
      </w:r>
      <w:r w:rsidRPr="003B07EA">
        <w:rPr>
          <w:rFonts w:cstheme="minorHAnsi"/>
          <w:sz w:val="24"/>
          <w:szCs w:val="24"/>
          <w:lang w:val="el-GR"/>
        </w:rPr>
        <w:t xml:space="preserve"> </w:t>
      </w:r>
      <w:r>
        <w:rPr>
          <w:rFonts w:cstheme="minorHAnsi"/>
          <w:sz w:val="24"/>
          <w:szCs w:val="24"/>
          <w:lang w:val="el-GR"/>
        </w:rPr>
        <w:t>της</w:t>
      </w:r>
      <w:r w:rsidRPr="003B07EA">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17235F" w:rsidRPr="003B07EA">
        <w:rPr>
          <w:rFonts w:cstheme="minorHAnsi"/>
          <w:sz w:val="24"/>
          <w:szCs w:val="24"/>
          <w:lang w:val="el-GR"/>
        </w:rPr>
        <w:t xml:space="preserve">, </w:t>
      </w:r>
      <w:r>
        <w:rPr>
          <w:rFonts w:cstheme="minorHAnsi"/>
          <w:sz w:val="24"/>
          <w:szCs w:val="24"/>
          <w:lang w:val="el-GR"/>
        </w:rPr>
        <w:t>η</w:t>
      </w:r>
      <w:r w:rsidRPr="003B07EA">
        <w:rPr>
          <w:rFonts w:cstheme="minorHAnsi"/>
          <w:sz w:val="24"/>
          <w:szCs w:val="24"/>
          <w:lang w:val="el-GR"/>
        </w:rPr>
        <w:t xml:space="preserve"> </w:t>
      </w:r>
      <w:r>
        <w:rPr>
          <w:rFonts w:cstheme="minorHAnsi"/>
          <w:sz w:val="24"/>
          <w:szCs w:val="24"/>
          <w:lang w:val="el-GR"/>
        </w:rPr>
        <w:t>έρευνα</w:t>
      </w:r>
      <w:r w:rsidRPr="003B07EA">
        <w:rPr>
          <w:rFonts w:cstheme="minorHAnsi"/>
          <w:sz w:val="24"/>
          <w:szCs w:val="24"/>
          <w:lang w:val="el-GR"/>
        </w:rPr>
        <w:t xml:space="preserve"> </w:t>
      </w:r>
      <w:r>
        <w:rPr>
          <w:rFonts w:cstheme="minorHAnsi"/>
          <w:sz w:val="24"/>
          <w:szCs w:val="24"/>
          <w:lang w:val="el-GR"/>
        </w:rPr>
        <w:t>αναλαμβάνεται</w:t>
      </w:r>
      <w:r w:rsidRPr="003B07EA">
        <w:rPr>
          <w:rFonts w:cstheme="minorHAnsi"/>
          <w:sz w:val="24"/>
          <w:szCs w:val="24"/>
          <w:lang w:val="el-GR"/>
        </w:rPr>
        <w:t xml:space="preserve"> </w:t>
      </w:r>
      <w:r>
        <w:rPr>
          <w:rFonts w:cstheme="minorHAnsi"/>
          <w:sz w:val="24"/>
          <w:szCs w:val="24"/>
          <w:lang w:val="el-GR"/>
        </w:rPr>
        <w:t>από</w:t>
      </w:r>
      <w:r w:rsidRPr="003B07EA">
        <w:rPr>
          <w:rFonts w:cstheme="minorHAnsi"/>
          <w:sz w:val="24"/>
          <w:szCs w:val="24"/>
          <w:lang w:val="el-GR"/>
        </w:rPr>
        <w:t xml:space="preserve"> </w:t>
      </w:r>
      <w:r>
        <w:rPr>
          <w:rFonts w:cstheme="minorHAnsi"/>
          <w:sz w:val="24"/>
          <w:szCs w:val="24"/>
          <w:lang w:val="el-GR"/>
        </w:rPr>
        <w:t>την</w:t>
      </w:r>
      <w:r w:rsidR="0017235F" w:rsidRPr="003B07EA">
        <w:rPr>
          <w:rFonts w:cstheme="minorHAnsi"/>
          <w:sz w:val="24"/>
          <w:szCs w:val="24"/>
          <w:lang w:val="el-GR"/>
        </w:rPr>
        <w:t xml:space="preserve"> </w:t>
      </w:r>
      <w:r w:rsidR="0017235F" w:rsidRPr="004E251E">
        <w:rPr>
          <w:rFonts w:cstheme="minorHAnsi"/>
          <w:sz w:val="24"/>
          <w:szCs w:val="24"/>
        </w:rPr>
        <w:t>P</w:t>
      </w:r>
      <w:r w:rsidR="0017235F" w:rsidRPr="003B07EA">
        <w:rPr>
          <w:rFonts w:cstheme="minorHAnsi"/>
          <w:sz w:val="24"/>
          <w:szCs w:val="24"/>
          <w:lang w:val="el-GR"/>
        </w:rPr>
        <w:t>.</w:t>
      </w:r>
      <w:r w:rsidR="0017235F" w:rsidRPr="004E251E">
        <w:rPr>
          <w:rFonts w:cstheme="minorHAnsi"/>
          <w:sz w:val="24"/>
          <w:szCs w:val="24"/>
        </w:rPr>
        <w:t>I</w:t>
      </w:r>
      <w:r w:rsidR="0017235F" w:rsidRPr="003B07EA">
        <w:rPr>
          <w:rFonts w:cstheme="minorHAnsi"/>
          <w:sz w:val="24"/>
          <w:szCs w:val="24"/>
          <w:lang w:val="el-GR"/>
        </w:rPr>
        <w:t>.</w:t>
      </w:r>
      <w:r w:rsidR="0017235F" w:rsidRPr="004E251E">
        <w:rPr>
          <w:rFonts w:cstheme="minorHAnsi"/>
          <w:sz w:val="24"/>
          <w:szCs w:val="24"/>
        </w:rPr>
        <w:t>A</w:t>
      </w:r>
      <w:r w:rsidR="0017235F" w:rsidRPr="003B07EA">
        <w:rPr>
          <w:rFonts w:cstheme="minorHAnsi"/>
          <w:sz w:val="24"/>
          <w:szCs w:val="24"/>
          <w:lang w:val="el-GR"/>
        </w:rPr>
        <w:t>.</w:t>
      </w:r>
      <w:r w:rsidR="0017235F" w:rsidRPr="004E251E">
        <w:rPr>
          <w:rFonts w:cstheme="minorHAnsi"/>
          <w:sz w:val="24"/>
          <w:szCs w:val="24"/>
        </w:rPr>
        <w:t>S</w:t>
      </w:r>
      <w:r w:rsidR="0017235F" w:rsidRPr="003B07EA">
        <w:rPr>
          <w:rFonts w:cstheme="minorHAnsi"/>
          <w:sz w:val="24"/>
          <w:szCs w:val="24"/>
          <w:lang w:val="el-GR"/>
        </w:rPr>
        <w:t xml:space="preserve">. </w:t>
      </w:r>
      <w:r>
        <w:rPr>
          <w:rFonts w:cstheme="minorHAnsi"/>
          <w:sz w:val="24"/>
          <w:szCs w:val="24"/>
          <w:lang w:val="el-GR"/>
        </w:rPr>
        <w:t>Αν</w:t>
      </w:r>
      <w:r w:rsidRPr="003B07EA">
        <w:rPr>
          <w:rFonts w:cstheme="minorHAnsi"/>
          <w:sz w:val="24"/>
          <w:szCs w:val="24"/>
          <w:lang w:val="el-GR"/>
        </w:rPr>
        <w:t xml:space="preserve"> </w:t>
      </w:r>
      <w:r>
        <w:rPr>
          <w:rFonts w:cstheme="minorHAnsi"/>
          <w:sz w:val="24"/>
          <w:szCs w:val="24"/>
          <w:lang w:val="el-GR"/>
        </w:rPr>
        <w:t>αυτή</w:t>
      </w:r>
      <w:r w:rsidRPr="003B07EA">
        <w:rPr>
          <w:rFonts w:cstheme="minorHAnsi"/>
          <w:sz w:val="24"/>
          <w:szCs w:val="24"/>
          <w:lang w:val="el-GR"/>
        </w:rPr>
        <w:t>/</w:t>
      </w:r>
      <w:r>
        <w:rPr>
          <w:rFonts w:cstheme="minorHAnsi"/>
          <w:sz w:val="24"/>
          <w:szCs w:val="24"/>
          <w:lang w:val="el-GR"/>
        </w:rPr>
        <w:t>ό</w:t>
      </w:r>
      <w:r w:rsidRPr="003B07EA">
        <w:rPr>
          <w:rFonts w:cstheme="minorHAnsi"/>
          <w:sz w:val="24"/>
          <w:szCs w:val="24"/>
          <w:lang w:val="el-GR"/>
        </w:rPr>
        <w:t xml:space="preserve"> </w:t>
      </w:r>
      <w:r>
        <w:rPr>
          <w:rFonts w:cstheme="minorHAnsi"/>
          <w:sz w:val="24"/>
          <w:szCs w:val="24"/>
          <w:lang w:val="el-GR"/>
        </w:rPr>
        <w:t>αφορά</w:t>
      </w:r>
      <w:r w:rsidRPr="003B07EA">
        <w:rPr>
          <w:rFonts w:cstheme="minorHAnsi"/>
          <w:sz w:val="24"/>
          <w:szCs w:val="24"/>
          <w:lang w:val="el-GR"/>
        </w:rPr>
        <w:t xml:space="preserve"> </w:t>
      </w:r>
      <w:r>
        <w:rPr>
          <w:rFonts w:cstheme="minorHAnsi"/>
          <w:sz w:val="24"/>
          <w:szCs w:val="24"/>
          <w:lang w:val="el-GR"/>
        </w:rPr>
        <w:t>ένα</w:t>
      </w:r>
      <w:r w:rsidRPr="003B07EA">
        <w:rPr>
          <w:rFonts w:cstheme="minorHAnsi"/>
          <w:sz w:val="24"/>
          <w:szCs w:val="24"/>
          <w:lang w:val="el-GR"/>
        </w:rPr>
        <w:t xml:space="preserve"> </w:t>
      </w:r>
      <w:r>
        <w:rPr>
          <w:rFonts w:cstheme="minorHAnsi"/>
          <w:sz w:val="24"/>
          <w:szCs w:val="24"/>
          <w:lang w:val="el-GR"/>
        </w:rPr>
        <w:t>πειθαρχικό</w:t>
      </w:r>
      <w:r w:rsidRPr="003B07EA">
        <w:rPr>
          <w:rFonts w:cstheme="minorHAnsi"/>
          <w:sz w:val="24"/>
          <w:szCs w:val="24"/>
          <w:lang w:val="el-GR"/>
        </w:rPr>
        <w:t xml:space="preserve"> </w:t>
      </w:r>
      <w:r>
        <w:rPr>
          <w:rFonts w:cstheme="minorHAnsi"/>
          <w:sz w:val="24"/>
          <w:szCs w:val="24"/>
          <w:lang w:val="el-GR"/>
        </w:rPr>
        <w:t>αδίκημα</w:t>
      </w:r>
      <w:r w:rsidR="0017235F" w:rsidRPr="003B07EA">
        <w:rPr>
          <w:rFonts w:cstheme="minorHAnsi"/>
          <w:sz w:val="24"/>
          <w:szCs w:val="24"/>
          <w:lang w:val="el-GR"/>
        </w:rPr>
        <w:t xml:space="preserve">, </w:t>
      </w:r>
      <w:r>
        <w:rPr>
          <w:rFonts w:cstheme="minorHAnsi"/>
          <w:sz w:val="24"/>
          <w:szCs w:val="24"/>
          <w:lang w:val="el-GR"/>
        </w:rPr>
        <w:t>τότε</w:t>
      </w:r>
      <w:r w:rsidRPr="003B07EA">
        <w:rPr>
          <w:rFonts w:cstheme="minorHAnsi"/>
          <w:sz w:val="24"/>
          <w:szCs w:val="24"/>
          <w:lang w:val="el-GR"/>
        </w:rPr>
        <w:t xml:space="preserve"> </w:t>
      </w:r>
      <w:r>
        <w:rPr>
          <w:rFonts w:cstheme="minorHAnsi"/>
          <w:sz w:val="24"/>
          <w:szCs w:val="24"/>
          <w:lang w:val="el-GR"/>
        </w:rPr>
        <w:t>η</w:t>
      </w:r>
      <w:r w:rsidRPr="003B07EA">
        <w:rPr>
          <w:rFonts w:cstheme="minorHAnsi"/>
          <w:sz w:val="24"/>
          <w:szCs w:val="24"/>
          <w:lang w:val="el-GR"/>
        </w:rPr>
        <w:t xml:space="preserve"> </w:t>
      </w:r>
      <w:r>
        <w:rPr>
          <w:rFonts w:cstheme="minorHAnsi"/>
          <w:sz w:val="24"/>
          <w:szCs w:val="24"/>
          <w:lang w:val="el-GR"/>
        </w:rPr>
        <w:t>έρευνα</w:t>
      </w:r>
      <w:r w:rsidRPr="003B07EA">
        <w:rPr>
          <w:rFonts w:cstheme="minorHAnsi"/>
          <w:sz w:val="24"/>
          <w:szCs w:val="24"/>
          <w:lang w:val="el-GR"/>
        </w:rPr>
        <w:t xml:space="preserve"> </w:t>
      </w:r>
      <w:r>
        <w:rPr>
          <w:rFonts w:cstheme="minorHAnsi"/>
          <w:sz w:val="24"/>
          <w:szCs w:val="24"/>
          <w:lang w:val="el-GR"/>
        </w:rPr>
        <w:t>αναλαμβάνεται</w:t>
      </w:r>
      <w:r w:rsidRPr="003B07EA">
        <w:rPr>
          <w:rFonts w:cstheme="minorHAnsi"/>
          <w:sz w:val="24"/>
          <w:szCs w:val="24"/>
          <w:lang w:val="el-GR"/>
        </w:rPr>
        <w:t xml:space="preserve"> </w:t>
      </w:r>
      <w:r>
        <w:rPr>
          <w:rFonts w:cstheme="minorHAnsi"/>
          <w:sz w:val="24"/>
          <w:szCs w:val="24"/>
          <w:lang w:val="el-GR"/>
        </w:rPr>
        <w:t>από</w:t>
      </w:r>
      <w:r w:rsidRPr="003B07EA">
        <w:rPr>
          <w:rFonts w:cstheme="minorHAnsi"/>
          <w:sz w:val="24"/>
          <w:szCs w:val="24"/>
          <w:lang w:val="el-GR"/>
        </w:rPr>
        <w:t xml:space="preserve"> </w:t>
      </w:r>
      <w:r>
        <w:rPr>
          <w:rFonts w:cstheme="minorHAnsi"/>
          <w:sz w:val="24"/>
          <w:szCs w:val="24"/>
          <w:lang w:val="el-GR"/>
        </w:rPr>
        <w:t>την</w:t>
      </w:r>
      <w:r w:rsidR="0017235F" w:rsidRPr="003B07EA">
        <w:rPr>
          <w:rFonts w:cstheme="minorHAnsi"/>
          <w:sz w:val="24"/>
          <w:szCs w:val="24"/>
          <w:lang w:val="el-GR"/>
        </w:rPr>
        <w:t xml:space="preserve"> </w:t>
      </w:r>
      <w:r w:rsidR="0017235F" w:rsidRPr="004E251E">
        <w:rPr>
          <w:rFonts w:cstheme="minorHAnsi"/>
          <w:sz w:val="24"/>
          <w:szCs w:val="24"/>
        </w:rPr>
        <w:t>PSID</w:t>
      </w:r>
      <w:r w:rsidR="0017235F" w:rsidRPr="003B07EA">
        <w:rPr>
          <w:rFonts w:cstheme="minorHAnsi"/>
          <w:sz w:val="24"/>
          <w:szCs w:val="24"/>
          <w:lang w:val="el-GR"/>
        </w:rPr>
        <w:t xml:space="preserve"> </w:t>
      </w:r>
      <w:r>
        <w:rPr>
          <w:rFonts w:cstheme="minorHAnsi"/>
          <w:sz w:val="24"/>
          <w:szCs w:val="24"/>
          <w:lang w:val="el-GR"/>
        </w:rPr>
        <w:t>ή</w:t>
      </w:r>
      <w:r w:rsidRPr="003B07EA">
        <w:rPr>
          <w:rFonts w:cstheme="minorHAnsi"/>
          <w:sz w:val="24"/>
          <w:szCs w:val="24"/>
          <w:lang w:val="el-GR"/>
        </w:rPr>
        <w:t xml:space="preserve"> </w:t>
      </w:r>
      <w:r>
        <w:rPr>
          <w:rFonts w:cstheme="minorHAnsi"/>
          <w:sz w:val="24"/>
          <w:szCs w:val="24"/>
          <w:lang w:val="el-GR"/>
        </w:rPr>
        <w:t>από</w:t>
      </w:r>
      <w:r w:rsidRPr="003B07EA">
        <w:rPr>
          <w:rFonts w:cstheme="minorHAnsi"/>
          <w:sz w:val="24"/>
          <w:szCs w:val="24"/>
          <w:lang w:val="el-GR"/>
        </w:rPr>
        <w:t xml:space="preserve"> </w:t>
      </w:r>
      <w:r>
        <w:rPr>
          <w:rFonts w:cstheme="minorHAnsi"/>
          <w:sz w:val="24"/>
          <w:szCs w:val="24"/>
          <w:lang w:val="el-GR"/>
        </w:rPr>
        <w:t>ένα</w:t>
      </w:r>
      <w:r w:rsidRPr="003B07EA">
        <w:rPr>
          <w:rFonts w:cstheme="minorHAnsi"/>
          <w:sz w:val="24"/>
          <w:szCs w:val="24"/>
          <w:lang w:val="el-GR"/>
        </w:rPr>
        <w:t xml:space="preserve"> </w:t>
      </w:r>
      <w:r>
        <w:rPr>
          <w:rFonts w:cstheme="minorHAnsi"/>
          <w:sz w:val="24"/>
          <w:szCs w:val="24"/>
          <w:lang w:val="el-GR"/>
        </w:rPr>
        <w:t>αστυνομικό</w:t>
      </w:r>
      <w:r w:rsidR="0017235F" w:rsidRPr="003B07EA">
        <w:rPr>
          <w:rFonts w:cstheme="minorHAnsi"/>
          <w:sz w:val="24"/>
          <w:szCs w:val="24"/>
          <w:lang w:val="el-GR"/>
        </w:rPr>
        <w:t xml:space="preserve"> </w:t>
      </w:r>
      <w:r>
        <w:rPr>
          <w:rFonts w:cstheme="minorHAnsi"/>
          <w:sz w:val="24"/>
          <w:szCs w:val="24"/>
          <w:lang w:val="el-GR"/>
        </w:rPr>
        <w:t>που διορίζεται για μια πειθαρχική έρευνα</w:t>
      </w:r>
      <w:r w:rsidR="0017235F" w:rsidRPr="003B07EA">
        <w:rPr>
          <w:rFonts w:cstheme="minorHAnsi"/>
          <w:sz w:val="24"/>
          <w:szCs w:val="24"/>
          <w:lang w:val="el-GR"/>
        </w:rPr>
        <w:t xml:space="preserve">. </w:t>
      </w:r>
      <w:r w:rsidR="00613BFE">
        <w:rPr>
          <w:rFonts w:cstheme="minorHAnsi"/>
          <w:sz w:val="24"/>
          <w:szCs w:val="24"/>
          <w:lang w:val="el-GR"/>
        </w:rPr>
        <w:t>Για</w:t>
      </w:r>
      <w:r w:rsidR="00613BFE" w:rsidRPr="00613BFE">
        <w:rPr>
          <w:rFonts w:cstheme="minorHAnsi"/>
          <w:sz w:val="24"/>
          <w:szCs w:val="24"/>
          <w:lang w:val="el-GR"/>
        </w:rPr>
        <w:t xml:space="preserve"> </w:t>
      </w:r>
      <w:r w:rsidR="00613BFE">
        <w:rPr>
          <w:rFonts w:cstheme="minorHAnsi"/>
          <w:sz w:val="24"/>
          <w:szCs w:val="24"/>
          <w:lang w:val="el-GR"/>
        </w:rPr>
        <w:t>τα</w:t>
      </w:r>
      <w:r w:rsidR="00613BFE" w:rsidRPr="00613BFE">
        <w:rPr>
          <w:rFonts w:cstheme="minorHAnsi"/>
          <w:sz w:val="24"/>
          <w:szCs w:val="24"/>
          <w:lang w:val="el-GR"/>
        </w:rPr>
        <w:t xml:space="preserve"> </w:t>
      </w:r>
      <w:r w:rsidR="00613BFE">
        <w:rPr>
          <w:rFonts w:cstheme="minorHAnsi"/>
          <w:sz w:val="24"/>
          <w:szCs w:val="24"/>
          <w:lang w:val="el-GR"/>
        </w:rPr>
        <w:t>ποινικά</w:t>
      </w:r>
      <w:r w:rsidR="00613BFE" w:rsidRPr="00613BFE">
        <w:rPr>
          <w:rFonts w:cstheme="minorHAnsi"/>
          <w:sz w:val="24"/>
          <w:szCs w:val="24"/>
          <w:lang w:val="el-GR"/>
        </w:rPr>
        <w:t xml:space="preserve"> </w:t>
      </w:r>
      <w:r w:rsidR="00613BFE">
        <w:rPr>
          <w:rFonts w:cstheme="minorHAnsi"/>
          <w:sz w:val="24"/>
          <w:szCs w:val="24"/>
          <w:lang w:val="el-GR"/>
        </w:rPr>
        <w:t>αδικήματα</w:t>
      </w:r>
      <w:r w:rsidR="0017235F" w:rsidRPr="00613BFE">
        <w:rPr>
          <w:rFonts w:cstheme="minorHAnsi"/>
          <w:sz w:val="24"/>
          <w:szCs w:val="24"/>
          <w:lang w:val="el-GR"/>
        </w:rPr>
        <w:t xml:space="preserve">, </w:t>
      </w:r>
      <w:r w:rsidR="00613BFE">
        <w:rPr>
          <w:rFonts w:cstheme="minorHAnsi"/>
          <w:sz w:val="24"/>
          <w:szCs w:val="24"/>
          <w:lang w:val="el-GR"/>
        </w:rPr>
        <w:t>η</w:t>
      </w:r>
      <w:r w:rsidR="00613BFE" w:rsidRPr="00613BFE">
        <w:rPr>
          <w:rFonts w:cstheme="minorHAnsi"/>
          <w:sz w:val="24"/>
          <w:szCs w:val="24"/>
          <w:lang w:val="el-GR"/>
        </w:rPr>
        <w:t xml:space="preserve"> </w:t>
      </w:r>
      <w:r w:rsidR="00613BFE">
        <w:rPr>
          <w:rFonts w:cstheme="minorHAnsi"/>
          <w:sz w:val="24"/>
          <w:szCs w:val="24"/>
          <w:lang w:val="el-GR"/>
        </w:rPr>
        <w:t>έρευνα</w:t>
      </w:r>
      <w:r w:rsidR="00613BFE" w:rsidRPr="00613BFE">
        <w:rPr>
          <w:rFonts w:cstheme="minorHAnsi"/>
          <w:sz w:val="24"/>
          <w:szCs w:val="24"/>
          <w:lang w:val="el-GR"/>
        </w:rPr>
        <w:t xml:space="preserve"> </w:t>
      </w:r>
      <w:r w:rsidR="00613BFE">
        <w:rPr>
          <w:rFonts w:cstheme="minorHAnsi"/>
          <w:sz w:val="24"/>
          <w:szCs w:val="24"/>
          <w:lang w:val="el-GR"/>
        </w:rPr>
        <w:t>διεξάγεται</w:t>
      </w:r>
      <w:r w:rsidR="0017235F" w:rsidRPr="00613BFE">
        <w:rPr>
          <w:rFonts w:cstheme="minorHAnsi"/>
          <w:sz w:val="24"/>
          <w:szCs w:val="24"/>
          <w:lang w:val="el-GR"/>
        </w:rPr>
        <w:t xml:space="preserve"> </w:t>
      </w:r>
      <w:r w:rsidR="00613BFE">
        <w:rPr>
          <w:rFonts w:cstheme="minorHAnsi"/>
          <w:sz w:val="24"/>
          <w:szCs w:val="24"/>
          <w:lang w:val="el-GR"/>
        </w:rPr>
        <w:t>είτε από τα ΤΑΕ</w:t>
      </w:r>
      <w:r w:rsidR="0017235F" w:rsidRPr="00613BFE">
        <w:rPr>
          <w:rFonts w:cstheme="minorHAnsi"/>
          <w:sz w:val="24"/>
          <w:szCs w:val="24"/>
          <w:lang w:val="el-GR"/>
        </w:rPr>
        <w:t xml:space="preserve"> </w:t>
      </w:r>
      <w:r w:rsidR="00613BFE">
        <w:rPr>
          <w:rFonts w:cstheme="minorHAnsi"/>
          <w:sz w:val="24"/>
          <w:szCs w:val="24"/>
          <w:lang w:val="el-GR"/>
        </w:rPr>
        <w:t>είτε από αστυνομικούς σταθμούς</w:t>
      </w:r>
      <w:r w:rsidR="0017235F" w:rsidRPr="00613BFE">
        <w:rPr>
          <w:rFonts w:cstheme="minorHAnsi"/>
          <w:sz w:val="24"/>
          <w:szCs w:val="24"/>
          <w:lang w:val="el-GR"/>
        </w:rPr>
        <w:t xml:space="preserve">. </w:t>
      </w:r>
      <w:r w:rsidR="00613BFE">
        <w:rPr>
          <w:rFonts w:cstheme="minorHAnsi"/>
          <w:sz w:val="24"/>
          <w:szCs w:val="24"/>
          <w:lang w:val="el-GR"/>
        </w:rPr>
        <w:t>Σε</w:t>
      </w:r>
      <w:r w:rsidR="00613BFE" w:rsidRPr="00613BFE">
        <w:rPr>
          <w:rFonts w:cstheme="minorHAnsi"/>
          <w:sz w:val="24"/>
          <w:szCs w:val="24"/>
          <w:lang w:val="el-GR"/>
        </w:rPr>
        <w:t xml:space="preserve"> </w:t>
      </w:r>
      <w:r w:rsidR="00613BFE">
        <w:rPr>
          <w:rFonts w:cstheme="minorHAnsi"/>
          <w:sz w:val="24"/>
          <w:szCs w:val="24"/>
          <w:lang w:val="el-GR"/>
        </w:rPr>
        <w:t>περιπτώσεις</w:t>
      </w:r>
      <w:r w:rsidR="00613BFE" w:rsidRPr="00613BFE">
        <w:rPr>
          <w:rFonts w:cstheme="minorHAnsi"/>
          <w:sz w:val="24"/>
          <w:szCs w:val="24"/>
          <w:lang w:val="el-GR"/>
        </w:rPr>
        <w:t xml:space="preserve"> </w:t>
      </w:r>
      <w:r w:rsidR="00613BFE">
        <w:rPr>
          <w:rFonts w:cstheme="minorHAnsi"/>
          <w:sz w:val="24"/>
          <w:szCs w:val="24"/>
          <w:lang w:val="el-GR"/>
        </w:rPr>
        <w:t>παραπόνων</w:t>
      </w:r>
      <w:r w:rsidR="0017235F" w:rsidRPr="00613BFE">
        <w:rPr>
          <w:rFonts w:cstheme="minorHAnsi"/>
          <w:sz w:val="24"/>
          <w:szCs w:val="24"/>
          <w:lang w:val="el-GR"/>
        </w:rPr>
        <w:t>/</w:t>
      </w:r>
      <w:r w:rsidR="00613BFE">
        <w:rPr>
          <w:rFonts w:cstheme="minorHAnsi"/>
          <w:sz w:val="24"/>
          <w:szCs w:val="24"/>
          <w:lang w:val="el-GR"/>
        </w:rPr>
        <w:t>ισχυρισμών</w:t>
      </w:r>
      <w:r w:rsidR="0017235F" w:rsidRPr="00613BFE">
        <w:rPr>
          <w:rFonts w:cstheme="minorHAnsi"/>
          <w:sz w:val="24"/>
          <w:szCs w:val="24"/>
          <w:lang w:val="el-GR"/>
        </w:rPr>
        <w:t xml:space="preserve"> </w:t>
      </w:r>
      <w:r w:rsidR="00613BFE">
        <w:rPr>
          <w:rFonts w:cstheme="minorHAnsi"/>
          <w:sz w:val="24"/>
          <w:szCs w:val="24"/>
          <w:lang w:val="el-GR"/>
        </w:rPr>
        <w:t>κακοποίησης</w:t>
      </w:r>
      <w:r w:rsidR="00613BFE" w:rsidRPr="00613BFE">
        <w:rPr>
          <w:rFonts w:cstheme="minorHAnsi"/>
          <w:sz w:val="24"/>
          <w:szCs w:val="24"/>
          <w:lang w:val="el-GR"/>
        </w:rPr>
        <w:t xml:space="preserve"> </w:t>
      </w:r>
      <w:r w:rsidR="00613BFE">
        <w:rPr>
          <w:rFonts w:cstheme="minorHAnsi"/>
          <w:sz w:val="24"/>
          <w:szCs w:val="24"/>
          <w:lang w:val="el-GR"/>
        </w:rPr>
        <w:t>ενός</w:t>
      </w:r>
      <w:r w:rsidR="00613BFE" w:rsidRPr="00613BFE">
        <w:rPr>
          <w:rFonts w:cstheme="minorHAnsi"/>
          <w:sz w:val="24"/>
          <w:szCs w:val="24"/>
          <w:lang w:val="el-GR"/>
        </w:rPr>
        <w:t xml:space="preserve"> </w:t>
      </w:r>
      <w:r w:rsidR="00613BFE">
        <w:rPr>
          <w:rFonts w:cstheme="minorHAnsi"/>
          <w:sz w:val="24"/>
          <w:szCs w:val="24"/>
          <w:lang w:val="el-GR"/>
        </w:rPr>
        <w:t>πολίτη</w:t>
      </w:r>
      <w:r w:rsidR="00613BFE" w:rsidRPr="00613BFE">
        <w:rPr>
          <w:rFonts w:cstheme="minorHAnsi"/>
          <w:sz w:val="24"/>
          <w:szCs w:val="24"/>
          <w:lang w:val="el-GR"/>
        </w:rPr>
        <w:t xml:space="preserve"> </w:t>
      </w:r>
      <w:r w:rsidR="00613BFE">
        <w:rPr>
          <w:rFonts w:cstheme="minorHAnsi"/>
          <w:sz w:val="24"/>
          <w:szCs w:val="24"/>
          <w:lang w:val="el-GR"/>
        </w:rPr>
        <w:t>ή</w:t>
      </w:r>
      <w:r w:rsidR="00613BFE" w:rsidRPr="00613BFE">
        <w:rPr>
          <w:rFonts w:cstheme="minorHAnsi"/>
          <w:sz w:val="24"/>
          <w:szCs w:val="24"/>
          <w:lang w:val="el-GR"/>
        </w:rPr>
        <w:t xml:space="preserve"> </w:t>
      </w:r>
      <w:r w:rsidR="00613BFE">
        <w:rPr>
          <w:rFonts w:cstheme="minorHAnsi"/>
          <w:sz w:val="24"/>
          <w:szCs w:val="24"/>
          <w:lang w:val="el-GR"/>
        </w:rPr>
        <w:t>ατόμου</w:t>
      </w:r>
      <w:r w:rsidR="0017235F" w:rsidRPr="00613BFE">
        <w:rPr>
          <w:rFonts w:cstheme="minorHAnsi"/>
          <w:sz w:val="24"/>
          <w:szCs w:val="24"/>
          <w:lang w:val="el-GR"/>
        </w:rPr>
        <w:t xml:space="preserve"> </w:t>
      </w:r>
      <w:r w:rsidR="00613BFE">
        <w:rPr>
          <w:rFonts w:cstheme="minorHAnsi"/>
          <w:sz w:val="24"/>
          <w:szCs w:val="24"/>
          <w:lang w:val="el-GR"/>
        </w:rPr>
        <w:t>υπό</w:t>
      </w:r>
      <w:r w:rsidR="00613BFE" w:rsidRPr="00613BFE">
        <w:rPr>
          <w:rFonts w:cstheme="minorHAnsi"/>
          <w:sz w:val="24"/>
          <w:szCs w:val="24"/>
          <w:lang w:val="el-GR"/>
        </w:rPr>
        <w:t xml:space="preserve"> </w:t>
      </w:r>
      <w:r w:rsidR="00613BFE">
        <w:rPr>
          <w:rFonts w:cstheme="minorHAnsi"/>
          <w:sz w:val="24"/>
          <w:szCs w:val="24"/>
          <w:lang w:val="el-GR"/>
        </w:rPr>
        <w:t>κράτηση</w:t>
      </w:r>
      <w:r w:rsidR="0017235F" w:rsidRPr="00613BFE">
        <w:rPr>
          <w:rFonts w:cstheme="minorHAnsi"/>
          <w:sz w:val="24"/>
          <w:szCs w:val="24"/>
          <w:lang w:val="el-GR"/>
        </w:rPr>
        <w:t xml:space="preserve"> </w:t>
      </w:r>
      <w:r w:rsidR="00613BFE">
        <w:rPr>
          <w:rFonts w:cstheme="minorHAnsi"/>
          <w:sz w:val="24"/>
          <w:szCs w:val="24"/>
          <w:lang w:val="el-GR"/>
        </w:rPr>
        <w:t>από</w:t>
      </w:r>
      <w:r w:rsidR="00613BFE" w:rsidRPr="00613BFE">
        <w:rPr>
          <w:rFonts w:cstheme="minorHAnsi"/>
          <w:sz w:val="24"/>
          <w:szCs w:val="24"/>
          <w:lang w:val="el-GR"/>
        </w:rPr>
        <w:t xml:space="preserve"> </w:t>
      </w:r>
      <w:r w:rsidR="00613BFE">
        <w:rPr>
          <w:rFonts w:cstheme="minorHAnsi"/>
          <w:sz w:val="24"/>
          <w:szCs w:val="24"/>
          <w:lang w:val="el-GR"/>
        </w:rPr>
        <w:t>μέλη</w:t>
      </w:r>
      <w:r w:rsidR="00613BFE" w:rsidRPr="00613BFE">
        <w:rPr>
          <w:rFonts w:cstheme="minorHAnsi"/>
          <w:sz w:val="24"/>
          <w:szCs w:val="24"/>
          <w:lang w:val="el-GR"/>
        </w:rPr>
        <w:t xml:space="preserve"> </w:t>
      </w:r>
      <w:r w:rsidR="00613BFE">
        <w:rPr>
          <w:rFonts w:cstheme="minorHAnsi"/>
          <w:sz w:val="24"/>
          <w:szCs w:val="24"/>
          <w:lang w:val="el-GR"/>
        </w:rPr>
        <w:t>της</w:t>
      </w:r>
      <w:r w:rsidR="00613BFE" w:rsidRPr="00613BFE">
        <w:rPr>
          <w:rFonts w:cstheme="minorHAnsi"/>
          <w:sz w:val="24"/>
          <w:szCs w:val="24"/>
          <w:lang w:val="el-GR"/>
        </w:rPr>
        <w:t xml:space="preserve"> </w:t>
      </w:r>
      <w:r w:rsidR="009C4E34">
        <w:rPr>
          <w:rFonts w:cstheme="minorHAnsi"/>
          <w:sz w:val="24"/>
          <w:szCs w:val="24"/>
          <w:lang w:val="el-GR"/>
        </w:rPr>
        <w:t>Αστυνομία</w:t>
      </w:r>
      <w:r w:rsidR="00613BFE">
        <w:rPr>
          <w:rFonts w:cstheme="minorHAnsi"/>
          <w:sz w:val="24"/>
          <w:szCs w:val="24"/>
          <w:lang w:val="el-GR"/>
        </w:rPr>
        <w:t>ς</w:t>
      </w:r>
      <w:r w:rsidR="0017235F" w:rsidRPr="00613BFE">
        <w:rPr>
          <w:rFonts w:cstheme="minorHAnsi"/>
          <w:sz w:val="24"/>
          <w:szCs w:val="24"/>
          <w:lang w:val="el-GR"/>
        </w:rPr>
        <w:t xml:space="preserve">, </w:t>
      </w:r>
      <w:r w:rsidR="00613BFE">
        <w:rPr>
          <w:rFonts w:cstheme="minorHAnsi"/>
          <w:sz w:val="24"/>
          <w:szCs w:val="24"/>
          <w:lang w:val="el-GR"/>
        </w:rPr>
        <w:t>η</w:t>
      </w:r>
      <w:r w:rsidR="00613BFE" w:rsidRPr="00613BFE">
        <w:rPr>
          <w:rFonts w:cstheme="minorHAnsi"/>
          <w:sz w:val="24"/>
          <w:szCs w:val="24"/>
          <w:lang w:val="el-GR"/>
        </w:rPr>
        <w:t xml:space="preserve"> </w:t>
      </w:r>
      <w:r w:rsidR="009C4E34">
        <w:rPr>
          <w:rFonts w:cstheme="minorHAnsi"/>
          <w:sz w:val="24"/>
          <w:szCs w:val="24"/>
          <w:lang w:val="el-GR"/>
        </w:rPr>
        <w:t>Αστυνομία</w:t>
      </w:r>
      <w:r w:rsidR="00613BFE">
        <w:rPr>
          <w:rFonts w:cstheme="minorHAnsi"/>
          <w:sz w:val="24"/>
          <w:szCs w:val="24"/>
          <w:lang w:val="el-GR"/>
        </w:rPr>
        <w:t xml:space="preserve"> δεν ξεκινά</w:t>
      </w:r>
      <w:r w:rsidR="0017235F" w:rsidRPr="00613BFE">
        <w:rPr>
          <w:rFonts w:cstheme="minorHAnsi"/>
          <w:sz w:val="24"/>
          <w:szCs w:val="24"/>
          <w:lang w:val="el-GR"/>
        </w:rPr>
        <w:t xml:space="preserve"> </w:t>
      </w:r>
      <w:r w:rsidR="00613BFE">
        <w:rPr>
          <w:rFonts w:cstheme="minorHAnsi"/>
          <w:sz w:val="24"/>
          <w:szCs w:val="24"/>
          <w:lang w:val="el-GR"/>
        </w:rPr>
        <w:t xml:space="preserve">μια δική της </w:t>
      </w:r>
      <w:r w:rsidR="00613BFE">
        <w:rPr>
          <w:rFonts w:cstheme="minorHAnsi"/>
          <w:sz w:val="24"/>
          <w:szCs w:val="24"/>
          <w:lang w:val="el-GR"/>
        </w:rPr>
        <w:lastRenderedPageBreak/>
        <w:t>έρευνα</w:t>
      </w:r>
      <w:r w:rsidR="0017235F" w:rsidRPr="00613BFE">
        <w:rPr>
          <w:rFonts w:cstheme="minorHAnsi"/>
          <w:sz w:val="24"/>
          <w:szCs w:val="24"/>
          <w:lang w:val="el-GR"/>
        </w:rPr>
        <w:t xml:space="preserve">, </w:t>
      </w:r>
      <w:r w:rsidR="00613BFE">
        <w:rPr>
          <w:rFonts w:cstheme="minorHAnsi"/>
          <w:sz w:val="24"/>
          <w:szCs w:val="24"/>
          <w:lang w:val="el-GR"/>
        </w:rPr>
        <w:t>αλλά ενημερώνει την ΑΑΔΙΠΑ</w:t>
      </w:r>
      <w:r w:rsidR="0017235F" w:rsidRPr="00613BFE">
        <w:rPr>
          <w:rFonts w:cstheme="minorHAnsi"/>
          <w:sz w:val="24"/>
          <w:szCs w:val="24"/>
          <w:lang w:val="el-GR"/>
        </w:rPr>
        <w:t xml:space="preserve">, </w:t>
      </w:r>
      <w:r w:rsidR="00613BFE">
        <w:rPr>
          <w:rFonts w:cstheme="minorHAnsi"/>
          <w:sz w:val="24"/>
          <w:szCs w:val="24"/>
          <w:lang w:val="el-GR"/>
        </w:rPr>
        <w:t>που είναι α αρμόδιος φορέας</w:t>
      </w:r>
      <w:r w:rsidR="0017235F" w:rsidRPr="00613BFE">
        <w:rPr>
          <w:rFonts w:cstheme="minorHAnsi"/>
          <w:sz w:val="24"/>
          <w:szCs w:val="24"/>
          <w:lang w:val="el-GR"/>
        </w:rPr>
        <w:t xml:space="preserve"> </w:t>
      </w:r>
      <w:r w:rsidR="00613BFE">
        <w:rPr>
          <w:rFonts w:cstheme="minorHAnsi"/>
          <w:sz w:val="24"/>
          <w:szCs w:val="24"/>
          <w:lang w:val="el-GR"/>
        </w:rPr>
        <w:t>για να διερευνήσει τέτοιες υποθέσεις</w:t>
      </w:r>
      <w:r w:rsidR="0017235F" w:rsidRPr="00613BFE">
        <w:rPr>
          <w:rFonts w:cstheme="minorHAnsi"/>
          <w:sz w:val="24"/>
          <w:szCs w:val="24"/>
          <w:lang w:val="el-GR"/>
        </w:rPr>
        <w:t>.</w:t>
      </w:r>
    </w:p>
    <w:p w14:paraId="74BE312E" w14:textId="77777777" w:rsidR="00AA14E7" w:rsidRPr="00613BFE" w:rsidRDefault="00AA14E7" w:rsidP="00AA14E7">
      <w:pPr>
        <w:pStyle w:val="ListParagraph"/>
        <w:rPr>
          <w:rFonts w:cstheme="minorHAnsi"/>
          <w:b/>
          <w:bCs/>
          <w:sz w:val="24"/>
          <w:szCs w:val="24"/>
          <w:lang w:val="el-GR"/>
        </w:rPr>
      </w:pPr>
    </w:p>
    <w:p w14:paraId="39B4FFD2" w14:textId="4F391146" w:rsidR="00ED3AFF" w:rsidRPr="00714EEB" w:rsidRDefault="00613BFE" w:rsidP="00901561">
      <w:pPr>
        <w:numPr>
          <w:ilvl w:val="0"/>
          <w:numId w:val="1"/>
        </w:numPr>
        <w:tabs>
          <w:tab w:val="left" w:pos="709"/>
        </w:tabs>
        <w:ind w:left="0" w:firstLine="0"/>
        <w:rPr>
          <w:rFonts w:cstheme="minorHAnsi"/>
          <w:sz w:val="24"/>
          <w:szCs w:val="24"/>
          <w:lang w:val="el-GR"/>
        </w:rPr>
      </w:pPr>
      <w:r>
        <w:rPr>
          <w:rFonts w:cstheme="minorHAnsi"/>
          <w:sz w:val="24"/>
          <w:szCs w:val="24"/>
          <w:lang w:val="el-GR"/>
        </w:rPr>
        <w:t>Η</w:t>
      </w:r>
      <w:r w:rsidRPr="00613BFE">
        <w:rPr>
          <w:rFonts w:cstheme="minorHAnsi"/>
          <w:sz w:val="24"/>
          <w:szCs w:val="24"/>
          <w:lang w:val="el-GR"/>
        </w:rPr>
        <w:t xml:space="preserve"> </w:t>
      </w:r>
      <w:r w:rsidR="00AA14E7" w:rsidRPr="004E251E">
        <w:rPr>
          <w:rFonts w:cstheme="minorHAnsi"/>
          <w:sz w:val="24"/>
          <w:szCs w:val="24"/>
        </w:rPr>
        <w:t>GET</w:t>
      </w:r>
      <w:r w:rsidR="00AA14E7" w:rsidRPr="00613BFE">
        <w:rPr>
          <w:rFonts w:cstheme="minorHAnsi"/>
          <w:sz w:val="24"/>
          <w:szCs w:val="24"/>
          <w:lang w:val="el-GR"/>
        </w:rPr>
        <w:t xml:space="preserve"> </w:t>
      </w:r>
      <w:r>
        <w:rPr>
          <w:rFonts w:cstheme="minorHAnsi"/>
          <w:sz w:val="24"/>
          <w:szCs w:val="24"/>
          <w:lang w:val="el-GR"/>
        </w:rPr>
        <w:t>σημειώνει</w:t>
      </w:r>
      <w:r w:rsidRPr="00613BFE">
        <w:rPr>
          <w:rFonts w:cstheme="minorHAnsi"/>
          <w:sz w:val="24"/>
          <w:szCs w:val="24"/>
          <w:lang w:val="el-GR"/>
        </w:rPr>
        <w:t xml:space="preserve"> </w:t>
      </w:r>
      <w:r>
        <w:rPr>
          <w:rFonts w:cstheme="minorHAnsi"/>
          <w:sz w:val="24"/>
          <w:szCs w:val="24"/>
          <w:lang w:val="el-GR"/>
        </w:rPr>
        <w:t>ότι</w:t>
      </w:r>
      <w:r w:rsidRPr="00613BFE">
        <w:rPr>
          <w:rFonts w:cstheme="minorHAnsi"/>
          <w:sz w:val="24"/>
          <w:szCs w:val="24"/>
          <w:lang w:val="el-GR"/>
        </w:rPr>
        <w:t xml:space="preserve"> </w:t>
      </w:r>
      <w:r>
        <w:rPr>
          <w:rFonts w:cstheme="minorHAnsi"/>
          <w:sz w:val="24"/>
          <w:szCs w:val="24"/>
          <w:lang w:val="el-GR"/>
        </w:rPr>
        <w:t>υπάρχει</w:t>
      </w:r>
      <w:r w:rsidRPr="00613BFE">
        <w:rPr>
          <w:rFonts w:cstheme="minorHAnsi"/>
          <w:sz w:val="24"/>
          <w:szCs w:val="24"/>
          <w:lang w:val="el-GR"/>
        </w:rPr>
        <w:t xml:space="preserve"> </w:t>
      </w:r>
      <w:r>
        <w:rPr>
          <w:rFonts w:cstheme="minorHAnsi"/>
          <w:sz w:val="24"/>
          <w:szCs w:val="24"/>
          <w:lang w:val="el-GR"/>
        </w:rPr>
        <w:t>μια</w:t>
      </w:r>
      <w:r w:rsidRPr="00613BFE">
        <w:rPr>
          <w:rFonts w:cstheme="minorHAnsi"/>
          <w:sz w:val="24"/>
          <w:szCs w:val="24"/>
          <w:lang w:val="el-GR"/>
        </w:rPr>
        <w:t xml:space="preserve"> </w:t>
      </w:r>
      <w:r>
        <w:rPr>
          <w:rFonts w:cstheme="minorHAnsi"/>
          <w:sz w:val="24"/>
          <w:szCs w:val="24"/>
          <w:lang w:val="el-GR"/>
        </w:rPr>
        <w:t>πολλαπλότητα</w:t>
      </w:r>
      <w:r w:rsidRPr="00613BFE">
        <w:rPr>
          <w:rFonts w:cstheme="minorHAnsi"/>
          <w:sz w:val="24"/>
          <w:szCs w:val="24"/>
          <w:lang w:val="el-GR"/>
        </w:rPr>
        <w:t xml:space="preserve"> </w:t>
      </w:r>
      <w:r>
        <w:rPr>
          <w:rFonts w:cstheme="minorHAnsi"/>
          <w:sz w:val="24"/>
          <w:szCs w:val="24"/>
          <w:lang w:val="el-GR"/>
        </w:rPr>
        <w:t>φορέων</w:t>
      </w:r>
      <w:r w:rsidRPr="00613BFE">
        <w:rPr>
          <w:rFonts w:cstheme="minorHAnsi"/>
          <w:sz w:val="24"/>
          <w:szCs w:val="24"/>
          <w:lang w:val="el-GR"/>
        </w:rPr>
        <w:t xml:space="preserve"> </w:t>
      </w:r>
      <w:r>
        <w:rPr>
          <w:rFonts w:cstheme="minorHAnsi"/>
          <w:sz w:val="24"/>
          <w:szCs w:val="24"/>
          <w:lang w:val="el-GR"/>
        </w:rPr>
        <w:t>με</w:t>
      </w:r>
      <w:r w:rsidRPr="00613BFE">
        <w:rPr>
          <w:rFonts w:cstheme="minorHAnsi"/>
          <w:sz w:val="24"/>
          <w:szCs w:val="24"/>
          <w:lang w:val="el-GR"/>
        </w:rPr>
        <w:t xml:space="preserve"> </w:t>
      </w:r>
      <w:r>
        <w:rPr>
          <w:rFonts w:cstheme="minorHAnsi"/>
          <w:sz w:val="24"/>
          <w:szCs w:val="24"/>
          <w:lang w:val="el-GR"/>
        </w:rPr>
        <w:t>εσωτερικές</w:t>
      </w:r>
      <w:r w:rsidRPr="00613BFE">
        <w:rPr>
          <w:rFonts w:cstheme="minorHAnsi"/>
          <w:sz w:val="24"/>
          <w:szCs w:val="24"/>
          <w:lang w:val="el-GR"/>
        </w:rPr>
        <w:t xml:space="preserve"> </w:t>
      </w:r>
      <w:r>
        <w:rPr>
          <w:rFonts w:cstheme="minorHAnsi"/>
          <w:sz w:val="24"/>
          <w:szCs w:val="24"/>
          <w:lang w:val="el-GR"/>
        </w:rPr>
        <w:t>και</w:t>
      </w:r>
      <w:r w:rsidRPr="00613BFE">
        <w:rPr>
          <w:rFonts w:cstheme="minorHAnsi"/>
          <w:sz w:val="24"/>
          <w:szCs w:val="24"/>
          <w:lang w:val="el-GR"/>
        </w:rPr>
        <w:t xml:space="preserve"> </w:t>
      </w:r>
      <w:r>
        <w:rPr>
          <w:rFonts w:cstheme="minorHAnsi"/>
          <w:sz w:val="24"/>
          <w:szCs w:val="24"/>
          <w:lang w:val="el-GR"/>
        </w:rPr>
        <w:t>εξωτερικές</w:t>
      </w:r>
      <w:r w:rsidRPr="00613BFE">
        <w:rPr>
          <w:rFonts w:cstheme="minorHAnsi"/>
          <w:sz w:val="24"/>
          <w:szCs w:val="24"/>
          <w:lang w:val="el-GR"/>
        </w:rPr>
        <w:t xml:space="preserve"> </w:t>
      </w:r>
      <w:r>
        <w:rPr>
          <w:rFonts w:cstheme="minorHAnsi"/>
          <w:sz w:val="24"/>
          <w:szCs w:val="24"/>
          <w:lang w:val="el-GR"/>
        </w:rPr>
        <w:t>εποπτικές</w:t>
      </w:r>
      <w:r w:rsidRPr="00613BFE">
        <w:rPr>
          <w:rFonts w:cstheme="minorHAnsi"/>
          <w:sz w:val="24"/>
          <w:szCs w:val="24"/>
          <w:lang w:val="el-GR"/>
        </w:rPr>
        <w:t xml:space="preserve"> </w:t>
      </w:r>
      <w:r>
        <w:rPr>
          <w:rFonts w:cstheme="minorHAnsi"/>
          <w:sz w:val="24"/>
          <w:szCs w:val="24"/>
          <w:lang w:val="el-GR"/>
        </w:rPr>
        <w:t>ευθύνες</w:t>
      </w:r>
      <w:r w:rsidRPr="00613BFE">
        <w:rPr>
          <w:rFonts w:cstheme="minorHAnsi"/>
          <w:sz w:val="24"/>
          <w:szCs w:val="24"/>
          <w:lang w:val="el-GR"/>
        </w:rPr>
        <w:t xml:space="preserve"> </w:t>
      </w:r>
      <w:r>
        <w:rPr>
          <w:rFonts w:cstheme="minorHAnsi"/>
          <w:sz w:val="24"/>
          <w:szCs w:val="24"/>
          <w:lang w:val="el-GR"/>
        </w:rPr>
        <w:t>στην</w:t>
      </w:r>
      <w:r w:rsidRPr="00613BFE">
        <w:rPr>
          <w:rFonts w:cstheme="minorHAnsi"/>
          <w:sz w:val="24"/>
          <w:szCs w:val="24"/>
          <w:lang w:val="el-GR"/>
        </w:rPr>
        <w:t xml:space="preserve"> </w:t>
      </w:r>
      <w:r w:rsidR="009C4E34">
        <w:rPr>
          <w:rFonts w:cstheme="minorHAnsi"/>
          <w:sz w:val="24"/>
          <w:szCs w:val="24"/>
          <w:lang w:val="el-GR"/>
        </w:rPr>
        <w:t>Αστυνομία</w:t>
      </w:r>
      <w:r w:rsidR="00901561" w:rsidRPr="00613BFE">
        <w:rPr>
          <w:rFonts w:cstheme="minorHAnsi"/>
          <w:sz w:val="24"/>
          <w:szCs w:val="24"/>
          <w:lang w:val="el-GR"/>
        </w:rPr>
        <w:t xml:space="preserve"> (</w:t>
      </w:r>
      <w:r>
        <w:rPr>
          <w:rFonts w:cstheme="minorHAnsi"/>
          <w:sz w:val="24"/>
          <w:szCs w:val="24"/>
          <w:lang w:val="el-GR"/>
        </w:rPr>
        <w:t>κυρίως</w:t>
      </w:r>
      <w:r w:rsidR="00901561" w:rsidRPr="00613BFE">
        <w:rPr>
          <w:rFonts w:cstheme="minorHAnsi"/>
          <w:sz w:val="24"/>
          <w:szCs w:val="24"/>
          <w:lang w:val="el-GR"/>
        </w:rPr>
        <w:t xml:space="preserve">, </w:t>
      </w:r>
      <w:r>
        <w:rPr>
          <w:rFonts w:cstheme="minorHAnsi"/>
          <w:sz w:val="24"/>
          <w:szCs w:val="24"/>
          <w:lang w:val="el-GR"/>
        </w:rPr>
        <w:t>τα ΤΑΕ</w:t>
      </w:r>
      <w:r w:rsidR="00901561" w:rsidRPr="00613BFE">
        <w:rPr>
          <w:rFonts w:cstheme="minorHAnsi"/>
          <w:sz w:val="24"/>
          <w:szCs w:val="24"/>
          <w:lang w:val="el-GR"/>
        </w:rPr>
        <w:t xml:space="preserve">, </w:t>
      </w:r>
      <w:r>
        <w:rPr>
          <w:rFonts w:cstheme="minorHAnsi"/>
          <w:sz w:val="24"/>
          <w:szCs w:val="24"/>
          <w:lang w:val="el-GR"/>
        </w:rPr>
        <w:t xml:space="preserve">η </w:t>
      </w:r>
      <w:r w:rsidR="00901561" w:rsidRPr="004E251E">
        <w:rPr>
          <w:rFonts w:cstheme="minorHAnsi"/>
          <w:sz w:val="24"/>
          <w:szCs w:val="24"/>
        </w:rPr>
        <w:t>PSID</w:t>
      </w:r>
      <w:r w:rsidR="00901561" w:rsidRPr="00613BFE">
        <w:rPr>
          <w:rFonts w:cstheme="minorHAnsi"/>
          <w:sz w:val="24"/>
          <w:szCs w:val="24"/>
          <w:lang w:val="el-GR"/>
        </w:rPr>
        <w:t xml:space="preserve">, </w:t>
      </w:r>
      <w:r>
        <w:rPr>
          <w:rFonts w:cstheme="minorHAnsi"/>
          <w:sz w:val="24"/>
          <w:szCs w:val="24"/>
          <w:lang w:val="el-GR"/>
        </w:rPr>
        <w:t xml:space="preserve">η </w:t>
      </w:r>
      <w:r w:rsidR="00901561" w:rsidRPr="004E251E">
        <w:rPr>
          <w:rFonts w:cstheme="minorHAnsi"/>
          <w:sz w:val="24"/>
          <w:szCs w:val="24"/>
        </w:rPr>
        <w:t>P</w:t>
      </w:r>
      <w:r w:rsidR="00901561" w:rsidRPr="00613BFE">
        <w:rPr>
          <w:rFonts w:cstheme="minorHAnsi"/>
          <w:sz w:val="24"/>
          <w:szCs w:val="24"/>
          <w:lang w:val="el-GR"/>
        </w:rPr>
        <w:t>.</w:t>
      </w:r>
      <w:r w:rsidR="00901561" w:rsidRPr="004E251E">
        <w:rPr>
          <w:rFonts w:cstheme="minorHAnsi"/>
          <w:sz w:val="24"/>
          <w:szCs w:val="24"/>
        </w:rPr>
        <w:t>I</w:t>
      </w:r>
      <w:r w:rsidR="00901561" w:rsidRPr="00613BFE">
        <w:rPr>
          <w:rFonts w:cstheme="minorHAnsi"/>
          <w:sz w:val="24"/>
          <w:szCs w:val="24"/>
          <w:lang w:val="el-GR"/>
        </w:rPr>
        <w:t>.</w:t>
      </w:r>
      <w:r w:rsidR="00901561" w:rsidRPr="004E251E">
        <w:rPr>
          <w:rFonts w:cstheme="minorHAnsi"/>
          <w:sz w:val="24"/>
          <w:szCs w:val="24"/>
        </w:rPr>
        <w:t>A</w:t>
      </w:r>
      <w:r w:rsidR="00901561" w:rsidRPr="00613BFE">
        <w:rPr>
          <w:rFonts w:cstheme="minorHAnsi"/>
          <w:sz w:val="24"/>
          <w:szCs w:val="24"/>
          <w:lang w:val="el-GR"/>
        </w:rPr>
        <w:t>.</w:t>
      </w:r>
      <w:r w:rsidR="00901561" w:rsidRPr="004E251E">
        <w:rPr>
          <w:rFonts w:cstheme="minorHAnsi"/>
          <w:sz w:val="24"/>
          <w:szCs w:val="24"/>
        </w:rPr>
        <w:t>S</w:t>
      </w:r>
      <w:r w:rsidR="00901561" w:rsidRPr="00613BFE">
        <w:rPr>
          <w:rFonts w:cstheme="minorHAnsi"/>
          <w:sz w:val="24"/>
          <w:szCs w:val="24"/>
          <w:lang w:val="el-GR"/>
        </w:rPr>
        <w:t xml:space="preserve">., </w:t>
      </w:r>
      <w:r>
        <w:rPr>
          <w:rFonts w:cstheme="minorHAnsi"/>
          <w:sz w:val="24"/>
          <w:szCs w:val="24"/>
          <w:lang w:val="el-GR"/>
        </w:rPr>
        <w:t>η ΑΑΔΙΠΑ</w:t>
      </w:r>
      <w:r w:rsidR="00901561" w:rsidRPr="00613BFE">
        <w:rPr>
          <w:rFonts w:cstheme="minorHAnsi"/>
          <w:sz w:val="24"/>
          <w:szCs w:val="24"/>
          <w:lang w:val="el-GR"/>
        </w:rPr>
        <w:t xml:space="preserve">, </w:t>
      </w:r>
      <w:r>
        <w:rPr>
          <w:rFonts w:cstheme="minorHAnsi"/>
          <w:sz w:val="24"/>
          <w:szCs w:val="24"/>
          <w:lang w:val="el-GR"/>
        </w:rPr>
        <w:t>ο/η Επίτροπος Διοικήσεως</w:t>
      </w:r>
      <w:r w:rsidR="00901561" w:rsidRPr="00613BFE">
        <w:rPr>
          <w:rFonts w:cstheme="minorHAnsi"/>
          <w:sz w:val="24"/>
          <w:szCs w:val="24"/>
          <w:lang w:val="el-GR"/>
        </w:rPr>
        <w:t xml:space="preserve">, </w:t>
      </w:r>
      <w:r>
        <w:rPr>
          <w:rFonts w:cstheme="minorHAnsi"/>
          <w:sz w:val="24"/>
          <w:szCs w:val="24"/>
          <w:lang w:val="el-GR"/>
        </w:rPr>
        <w:t>ο Γενικός Εισαγγελέας</w:t>
      </w:r>
      <w:r w:rsidR="00901561" w:rsidRPr="00613BFE">
        <w:rPr>
          <w:rFonts w:cstheme="minorHAnsi"/>
          <w:sz w:val="24"/>
          <w:szCs w:val="24"/>
          <w:lang w:val="el-GR"/>
        </w:rPr>
        <w:t>)</w:t>
      </w:r>
      <w:r w:rsidR="00AA14E7" w:rsidRPr="00613BFE">
        <w:rPr>
          <w:rFonts w:cstheme="minorHAnsi"/>
          <w:sz w:val="24"/>
          <w:szCs w:val="24"/>
          <w:lang w:val="el-GR"/>
        </w:rPr>
        <w:t xml:space="preserve">. </w:t>
      </w:r>
      <w:r>
        <w:rPr>
          <w:rFonts w:cstheme="minorHAnsi"/>
          <w:sz w:val="24"/>
          <w:szCs w:val="24"/>
          <w:lang w:val="el-GR"/>
        </w:rPr>
        <w:t>Είναι</w:t>
      </w:r>
      <w:r w:rsidRPr="00613BFE">
        <w:rPr>
          <w:rFonts w:cstheme="minorHAnsi"/>
          <w:sz w:val="24"/>
          <w:szCs w:val="24"/>
          <w:lang w:val="el-GR"/>
        </w:rPr>
        <w:t xml:space="preserve"> </w:t>
      </w:r>
      <w:r>
        <w:rPr>
          <w:rFonts w:cstheme="minorHAnsi"/>
          <w:sz w:val="24"/>
          <w:szCs w:val="24"/>
          <w:lang w:val="el-GR"/>
        </w:rPr>
        <w:t>ένα</w:t>
      </w:r>
      <w:r w:rsidRPr="00613BFE">
        <w:rPr>
          <w:rFonts w:cstheme="minorHAnsi"/>
          <w:sz w:val="24"/>
          <w:szCs w:val="24"/>
          <w:lang w:val="el-GR"/>
        </w:rPr>
        <w:t xml:space="preserve"> </w:t>
      </w:r>
      <w:r>
        <w:rPr>
          <w:rFonts w:cstheme="minorHAnsi"/>
          <w:sz w:val="24"/>
          <w:szCs w:val="24"/>
          <w:lang w:val="el-GR"/>
        </w:rPr>
        <w:t>θετικό</w:t>
      </w:r>
      <w:r w:rsidRPr="00613BFE">
        <w:rPr>
          <w:rFonts w:cstheme="minorHAnsi"/>
          <w:sz w:val="24"/>
          <w:szCs w:val="24"/>
          <w:lang w:val="el-GR"/>
        </w:rPr>
        <w:t xml:space="preserve"> </w:t>
      </w:r>
      <w:r>
        <w:rPr>
          <w:rFonts w:cstheme="minorHAnsi"/>
          <w:sz w:val="24"/>
          <w:szCs w:val="24"/>
          <w:lang w:val="el-GR"/>
        </w:rPr>
        <w:t>σημάδι</w:t>
      </w:r>
      <w:r w:rsidR="00AA14E7" w:rsidRPr="00613BFE">
        <w:rPr>
          <w:rFonts w:cstheme="minorHAnsi"/>
          <w:sz w:val="24"/>
          <w:szCs w:val="24"/>
          <w:lang w:val="el-GR"/>
        </w:rPr>
        <w:t xml:space="preserve"> </w:t>
      </w:r>
      <w:r>
        <w:rPr>
          <w:rFonts w:cstheme="minorHAnsi"/>
          <w:sz w:val="24"/>
          <w:szCs w:val="24"/>
          <w:lang w:val="el-GR"/>
        </w:rPr>
        <w:t>ότι</w:t>
      </w:r>
      <w:r w:rsidRPr="00613BFE">
        <w:rPr>
          <w:rFonts w:cstheme="minorHAnsi"/>
          <w:sz w:val="24"/>
          <w:szCs w:val="24"/>
          <w:lang w:val="el-GR"/>
        </w:rPr>
        <w:t xml:space="preserve"> </w:t>
      </w:r>
      <w:r>
        <w:rPr>
          <w:rFonts w:cstheme="minorHAnsi"/>
          <w:sz w:val="24"/>
          <w:szCs w:val="24"/>
          <w:lang w:val="el-GR"/>
        </w:rPr>
        <w:t>φαίνεται</w:t>
      </w:r>
      <w:r w:rsidRPr="00613BFE">
        <w:rPr>
          <w:rFonts w:cstheme="minorHAnsi"/>
          <w:sz w:val="24"/>
          <w:szCs w:val="24"/>
          <w:lang w:val="el-GR"/>
        </w:rPr>
        <w:t xml:space="preserve"> </w:t>
      </w:r>
      <w:r>
        <w:rPr>
          <w:rFonts w:cstheme="minorHAnsi"/>
          <w:sz w:val="24"/>
          <w:szCs w:val="24"/>
          <w:lang w:val="el-GR"/>
        </w:rPr>
        <w:t>ότι</w:t>
      </w:r>
      <w:r w:rsidRPr="00613BFE">
        <w:rPr>
          <w:rFonts w:cstheme="minorHAnsi"/>
          <w:sz w:val="24"/>
          <w:szCs w:val="24"/>
          <w:lang w:val="el-GR"/>
        </w:rPr>
        <w:t xml:space="preserve"> </w:t>
      </w:r>
      <w:r>
        <w:rPr>
          <w:rFonts w:cstheme="minorHAnsi"/>
          <w:sz w:val="24"/>
          <w:szCs w:val="24"/>
          <w:lang w:val="el-GR"/>
        </w:rPr>
        <w:t>υπάρχει μια ανεξαρτησία μεταξύ αυτών των εποπτικών φορέων</w:t>
      </w:r>
      <w:r w:rsidR="00AA14E7" w:rsidRPr="00613BFE">
        <w:rPr>
          <w:rFonts w:cstheme="minorHAnsi"/>
          <w:sz w:val="24"/>
          <w:szCs w:val="24"/>
          <w:lang w:val="el-GR"/>
        </w:rPr>
        <w:t>.</w:t>
      </w:r>
      <w:r w:rsidR="00901561" w:rsidRPr="00613BFE">
        <w:rPr>
          <w:rFonts w:cstheme="minorHAnsi"/>
          <w:sz w:val="24"/>
          <w:szCs w:val="24"/>
          <w:lang w:val="el-GR"/>
        </w:rPr>
        <w:t xml:space="preserve"> </w:t>
      </w:r>
      <w:r>
        <w:rPr>
          <w:rFonts w:cstheme="minorHAnsi"/>
          <w:sz w:val="24"/>
          <w:szCs w:val="24"/>
          <w:lang w:val="el-GR"/>
        </w:rPr>
        <w:t>Ωστόσο</w:t>
      </w:r>
      <w:r w:rsidR="00901561" w:rsidRPr="00714EEB">
        <w:rPr>
          <w:rFonts w:cstheme="minorHAnsi"/>
          <w:sz w:val="24"/>
          <w:szCs w:val="24"/>
          <w:lang w:val="el-GR"/>
        </w:rPr>
        <w:t xml:space="preserve">, </w:t>
      </w:r>
      <w:r>
        <w:rPr>
          <w:rFonts w:cstheme="minorHAnsi"/>
          <w:sz w:val="24"/>
          <w:szCs w:val="24"/>
          <w:lang w:val="el-GR"/>
        </w:rPr>
        <w:t>το</w:t>
      </w:r>
      <w:r w:rsidRPr="00714EEB">
        <w:rPr>
          <w:rFonts w:cstheme="minorHAnsi"/>
          <w:sz w:val="24"/>
          <w:szCs w:val="24"/>
          <w:lang w:val="el-GR"/>
        </w:rPr>
        <w:t xml:space="preserve"> </w:t>
      </w:r>
      <w:r>
        <w:rPr>
          <w:rFonts w:cstheme="minorHAnsi"/>
          <w:sz w:val="24"/>
          <w:szCs w:val="24"/>
          <w:lang w:val="el-GR"/>
        </w:rPr>
        <w:t>να</w:t>
      </w:r>
      <w:r w:rsidRPr="00714EEB">
        <w:rPr>
          <w:rFonts w:cstheme="minorHAnsi"/>
          <w:sz w:val="24"/>
          <w:szCs w:val="24"/>
          <w:lang w:val="el-GR"/>
        </w:rPr>
        <w:t xml:space="preserve"> </w:t>
      </w:r>
      <w:r>
        <w:rPr>
          <w:rFonts w:cstheme="minorHAnsi"/>
          <w:sz w:val="24"/>
          <w:szCs w:val="24"/>
          <w:lang w:val="el-GR"/>
        </w:rPr>
        <w:t>έχεις</w:t>
      </w:r>
      <w:r w:rsidRPr="00714EEB">
        <w:rPr>
          <w:rFonts w:cstheme="minorHAnsi"/>
          <w:sz w:val="24"/>
          <w:szCs w:val="24"/>
          <w:lang w:val="el-GR"/>
        </w:rPr>
        <w:t xml:space="preserve"> </w:t>
      </w:r>
      <w:r>
        <w:rPr>
          <w:rFonts w:cstheme="minorHAnsi"/>
          <w:sz w:val="24"/>
          <w:szCs w:val="24"/>
          <w:lang w:val="el-GR"/>
        </w:rPr>
        <w:t>πολλαπλές</w:t>
      </w:r>
      <w:r w:rsidRPr="00714EEB">
        <w:rPr>
          <w:rFonts w:cstheme="minorHAnsi"/>
          <w:sz w:val="24"/>
          <w:szCs w:val="24"/>
          <w:lang w:val="el-GR"/>
        </w:rPr>
        <w:t xml:space="preserve"> </w:t>
      </w:r>
      <w:r>
        <w:rPr>
          <w:rFonts w:cstheme="minorHAnsi"/>
          <w:sz w:val="24"/>
          <w:szCs w:val="24"/>
          <w:lang w:val="el-GR"/>
        </w:rPr>
        <w:t>αρχές</w:t>
      </w:r>
      <w:r w:rsidR="00901561" w:rsidRPr="00714EEB">
        <w:rPr>
          <w:rFonts w:cstheme="minorHAnsi"/>
          <w:sz w:val="24"/>
          <w:szCs w:val="24"/>
          <w:lang w:val="el-GR"/>
        </w:rPr>
        <w:t xml:space="preserve"> </w:t>
      </w:r>
      <w:r>
        <w:rPr>
          <w:rFonts w:cstheme="minorHAnsi"/>
          <w:sz w:val="24"/>
          <w:szCs w:val="24"/>
          <w:lang w:val="el-GR"/>
        </w:rPr>
        <w:t>αφιερωμένες</w:t>
      </w:r>
      <w:r w:rsidRPr="00714EEB">
        <w:rPr>
          <w:rFonts w:cstheme="minorHAnsi"/>
          <w:sz w:val="24"/>
          <w:szCs w:val="24"/>
          <w:lang w:val="el-GR"/>
        </w:rPr>
        <w:t xml:space="preserve"> </w:t>
      </w:r>
      <w:r>
        <w:rPr>
          <w:rFonts w:cstheme="minorHAnsi"/>
          <w:sz w:val="24"/>
          <w:szCs w:val="24"/>
          <w:lang w:val="el-GR"/>
        </w:rPr>
        <w:t>στην</w:t>
      </w:r>
      <w:r w:rsidRPr="00714EEB">
        <w:rPr>
          <w:rFonts w:cstheme="minorHAnsi"/>
          <w:sz w:val="24"/>
          <w:szCs w:val="24"/>
          <w:lang w:val="el-GR"/>
        </w:rPr>
        <w:t xml:space="preserve"> </w:t>
      </w:r>
      <w:r>
        <w:rPr>
          <w:rFonts w:cstheme="minorHAnsi"/>
          <w:sz w:val="24"/>
          <w:szCs w:val="24"/>
          <w:lang w:val="el-GR"/>
        </w:rPr>
        <w:t>επίβλεψη</w:t>
      </w:r>
      <w:r w:rsidRPr="00714EEB">
        <w:rPr>
          <w:rFonts w:cstheme="minorHAnsi"/>
          <w:sz w:val="24"/>
          <w:szCs w:val="24"/>
          <w:lang w:val="el-GR"/>
        </w:rPr>
        <w:t xml:space="preserve"> </w:t>
      </w:r>
      <w:r w:rsidR="00714EEB">
        <w:rPr>
          <w:rFonts w:cstheme="minorHAnsi"/>
          <w:sz w:val="24"/>
          <w:szCs w:val="24"/>
          <w:lang w:val="el-GR"/>
        </w:rPr>
        <w:t>και</w:t>
      </w:r>
      <w:r w:rsidR="00714EEB" w:rsidRPr="00714EEB">
        <w:rPr>
          <w:rFonts w:cstheme="minorHAnsi"/>
          <w:sz w:val="24"/>
          <w:szCs w:val="24"/>
          <w:lang w:val="el-GR"/>
        </w:rPr>
        <w:t xml:space="preserve"> </w:t>
      </w:r>
      <w:r w:rsidR="00714EEB">
        <w:rPr>
          <w:rFonts w:cstheme="minorHAnsi"/>
          <w:sz w:val="24"/>
          <w:szCs w:val="24"/>
          <w:lang w:val="el-GR"/>
        </w:rPr>
        <w:t>εστιασμένες</w:t>
      </w:r>
      <w:r w:rsidR="00714EEB" w:rsidRPr="00714EEB">
        <w:rPr>
          <w:rFonts w:cstheme="minorHAnsi"/>
          <w:sz w:val="24"/>
          <w:szCs w:val="24"/>
          <w:lang w:val="el-GR"/>
        </w:rPr>
        <w:t xml:space="preserve"> </w:t>
      </w:r>
      <w:r w:rsidR="00714EEB">
        <w:rPr>
          <w:rFonts w:cstheme="minorHAnsi"/>
          <w:sz w:val="24"/>
          <w:szCs w:val="24"/>
          <w:lang w:val="el-GR"/>
        </w:rPr>
        <w:t>στην</w:t>
      </w:r>
      <w:r w:rsidR="00714EEB" w:rsidRPr="00714EEB">
        <w:rPr>
          <w:rFonts w:cstheme="minorHAnsi"/>
          <w:sz w:val="24"/>
          <w:szCs w:val="24"/>
          <w:lang w:val="el-GR"/>
        </w:rPr>
        <w:t xml:space="preserve"> </w:t>
      </w:r>
      <w:r w:rsidR="00714EEB">
        <w:rPr>
          <w:rFonts w:cstheme="minorHAnsi"/>
          <w:sz w:val="24"/>
          <w:szCs w:val="24"/>
          <w:lang w:val="el-GR"/>
        </w:rPr>
        <w:t>ακεραιότητα</w:t>
      </w:r>
      <w:r w:rsidR="00901561" w:rsidRPr="00714EEB">
        <w:rPr>
          <w:rFonts w:cstheme="minorHAnsi"/>
          <w:sz w:val="24"/>
          <w:szCs w:val="24"/>
          <w:lang w:val="el-GR"/>
        </w:rPr>
        <w:t xml:space="preserve"> </w:t>
      </w:r>
      <w:r w:rsidR="00714EEB">
        <w:rPr>
          <w:rFonts w:cstheme="minorHAnsi"/>
          <w:sz w:val="24"/>
          <w:szCs w:val="24"/>
          <w:lang w:val="el-GR"/>
        </w:rPr>
        <w:t>χωρίς συντονισμό και συνεργασία</w:t>
      </w:r>
      <w:r w:rsidR="00901561" w:rsidRPr="00714EEB">
        <w:rPr>
          <w:rFonts w:cstheme="minorHAnsi"/>
          <w:sz w:val="24"/>
          <w:szCs w:val="24"/>
          <w:lang w:val="el-GR"/>
        </w:rPr>
        <w:t xml:space="preserve"> </w:t>
      </w:r>
      <w:r w:rsidR="00714EEB">
        <w:rPr>
          <w:rFonts w:cstheme="minorHAnsi"/>
          <w:sz w:val="24"/>
          <w:szCs w:val="24"/>
          <w:lang w:val="el-GR"/>
        </w:rPr>
        <w:t>μπορεί να εμποδίζει την αποτελεσματικότητα</w:t>
      </w:r>
      <w:r w:rsidR="00901561" w:rsidRPr="00714EEB">
        <w:rPr>
          <w:rFonts w:cstheme="minorHAnsi"/>
          <w:sz w:val="24"/>
          <w:szCs w:val="24"/>
          <w:lang w:val="el-GR"/>
        </w:rPr>
        <w:t xml:space="preserve"> </w:t>
      </w:r>
      <w:r w:rsidR="00714EEB">
        <w:rPr>
          <w:rFonts w:cstheme="minorHAnsi"/>
          <w:sz w:val="24"/>
          <w:szCs w:val="24"/>
          <w:lang w:val="el-GR"/>
        </w:rPr>
        <w:t>του συνολικού συστήματος</w:t>
      </w:r>
      <w:r w:rsidR="00901561" w:rsidRPr="00714EEB">
        <w:rPr>
          <w:rFonts w:cstheme="minorHAnsi"/>
          <w:sz w:val="24"/>
          <w:szCs w:val="24"/>
          <w:lang w:val="el-GR"/>
        </w:rPr>
        <w:t xml:space="preserve">. </w:t>
      </w:r>
      <w:r w:rsidR="00714EEB">
        <w:rPr>
          <w:rFonts w:cstheme="minorHAnsi"/>
          <w:sz w:val="24"/>
          <w:szCs w:val="24"/>
          <w:lang w:val="el-GR"/>
        </w:rPr>
        <w:t>Ειδικότερα</w:t>
      </w:r>
      <w:r w:rsidR="00901561" w:rsidRPr="00714EEB">
        <w:rPr>
          <w:rFonts w:cstheme="minorHAnsi"/>
          <w:sz w:val="24"/>
          <w:szCs w:val="24"/>
          <w:lang w:val="el-GR"/>
        </w:rPr>
        <w:t xml:space="preserve">, </w:t>
      </w:r>
      <w:r w:rsidR="00714EEB">
        <w:rPr>
          <w:rFonts w:cstheme="minorHAnsi"/>
          <w:sz w:val="24"/>
          <w:szCs w:val="24"/>
          <w:lang w:val="el-GR"/>
        </w:rPr>
        <w:t>το</w:t>
      </w:r>
      <w:r w:rsidR="00714EEB" w:rsidRPr="00714EEB">
        <w:rPr>
          <w:rFonts w:cstheme="minorHAnsi"/>
          <w:sz w:val="24"/>
          <w:szCs w:val="24"/>
          <w:lang w:val="el-GR"/>
        </w:rPr>
        <w:t xml:space="preserve"> </w:t>
      </w:r>
      <w:r w:rsidR="00714EEB">
        <w:rPr>
          <w:rFonts w:cstheme="minorHAnsi"/>
          <w:sz w:val="24"/>
          <w:szCs w:val="24"/>
          <w:lang w:val="el-GR"/>
        </w:rPr>
        <w:t>να</w:t>
      </w:r>
      <w:r w:rsidR="00714EEB" w:rsidRPr="00714EEB">
        <w:rPr>
          <w:rFonts w:cstheme="minorHAnsi"/>
          <w:sz w:val="24"/>
          <w:szCs w:val="24"/>
          <w:lang w:val="el-GR"/>
        </w:rPr>
        <w:t xml:space="preserve"> </w:t>
      </w:r>
      <w:r w:rsidR="00714EEB">
        <w:rPr>
          <w:rFonts w:cstheme="minorHAnsi"/>
          <w:sz w:val="24"/>
          <w:szCs w:val="24"/>
          <w:lang w:val="el-GR"/>
        </w:rPr>
        <w:t>έχεις</w:t>
      </w:r>
      <w:r w:rsidR="00714EEB" w:rsidRPr="00714EEB">
        <w:rPr>
          <w:rFonts w:cstheme="minorHAnsi"/>
          <w:sz w:val="24"/>
          <w:szCs w:val="24"/>
          <w:lang w:val="el-GR"/>
        </w:rPr>
        <w:t xml:space="preserve"> </w:t>
      </w:r>
      <w:r w:rsidR="00714EEB">
        <w:rPr>
          <w:rFonts w:cstheme="minorHAnsi"/>
          <w:sz w:val="24"/>
          <w:szCs w:val="24"/>
          <w:lang w:val="el-GR"/>
        </w:rPr>
        <w:t>πολλαπλά</w:t>
      </w:r>
      <w:r w:rsidR="00714EEB" w:rsidRPr="00714EEB">
        <w:rPr>
          <w:rFonts w:cstheme="minorHAnsi"/>
          <w:sz w:val="24"/>
          <w:szCs w:val="24"/>
          <w:lang w:val="el-GR"/>
        </w:rPr>
        <w:t xml:space="preserve"> </w:t>
      </w:r>
      <w:r w:rsidR="00714EEB">
        <w:rPr>
          <w:rFonts w:cstheme="minorHAnsi"/>
          <w:sz w:val="24"/>
          <w:szCs w:val="24"/>
          <w:lang w:val="el-GR"/>
        </w:rPr>
        <w:t>σημεία</w:t>
      </w:r>
      <w:r w:rsidR="00714EEB" w:rsidRPr="00714EEB">
        <w:rPr>
          <w:rFonts w:cstheme="minorHAnsi"/>
          <w:sz w:val="24"/>
          <w:szCs w:val="24"/>
          <w:lang w:val="el-GR"/>
        </w:rPr>
        <w:t xml:space="preserve"> </w:t>
      </w:r>
      <w:r w:rsidR="00714EEB">
        <w:rPr>
          <w:rFonts w:cstheme="minorHAnsi"/>
          <w:sz w:val="24"/>
          <w:szCs w:val="24"/>
          <w:lang w:val="el-GR"/>
        </w:rPr>
        <w:t>εισόδου</w:t>
      </w:r>
      <w:r w:rsidR="00901561" w:rsidRPr="00714EEB">
        <w:rPr>
          <w:rFonts w:cstheme="minorHAnsi"/>
          <w:sz w:val="24"/>
          <w:szCs w:val="24"/>
          <w:lang w:val="el-GR"/>
        </w:rPr>
        <w:t xml:space="preserve"> </w:t>
      </w:r>
      <w:r w:rsidR="00714EEB">
        <w:rPr>
          <w:rFonts w:cstheme="minorHAnsi"/>
          <w:sz w:val="24"/>
          <w:szCs w:val="24"/>
          <w:lang w:val="el-GR"/>
        </w:rPr>
        <w:t>και</w:t>
      </w:r>
      <w:r w:rsidR="00714EEB" w:rsidRPr="00714EEB">
        <w:rPr>
          <w:rFonts w:cstheme="minorHAnsi"/>
          <w:sz w:val="24"/>
          <w:szCs w:val="24"/>
          <w:lang w:val="el-GR"/>
        </w:rPr>
        <w:t xml:space="preserve"> </w:t>
      </w:r>
      <w:r w:rsidR="00714EEB">
        <w:rPr>
          <w:rFonts w:cstheme="minorHAnsi"/>
          <w:sz w:val="24"/>
          <w:szCs w:val="24"/>
          <w:lang w:val="el-GR"/>
        </w:rPr>
        <w:t>διαφορετικές</w:t>
      </w:r>
      <w:r w:rsidR="00714EEB" w:rsidRPr="00714EEB">
        <w:rPr>
          <w:rFonts w:cstheme="minorHAnsi"/>
          <w:sz w:val="24"/>
          <w:szCs w:val="24"/>
          <w:lang w:val="el-GR"/>
        </w:rPr>
        <w:t xml:space="preserve"> </w:t>
      </w:r>
      <w:r w:rsidR="00714EEB">
        <w:rPr>
          <w:rFonts w:cstheme="minorHAnsi"/>
          <w:sz w:val="24"/>
          <w:szCs w:val="24"/>
          <w:lang w:val="el-GR"/>
        </w:rPr>
        <w:t>διαδικασίες</w:t>
      </w:r>
      <w:r w:rsidR="00901561" w:rsidRPr="00714EEB">
        <w:rPr>
          <w:rFonts w:cstheme="minorHAnsi"/>
          <w:sz w:val="24"/>
          <w:szCs w:val="24"/>
          <w:lang w:val="el-GR"/>
        </w:rPr>
        <w:t xml:space="preserve"> </w:t>
      </w:r>
      <w:r w:rsidR="00714EEB">
        <w:rPr>
          <w:rFonts w:cstheme="minorHAnsi"/>
          <w:sz w:val="24"/>
          <w:szCs w:val="24"/>
          <w:lang w:val="el-GR"/>
        </w:rPr>
        <w:t>σε κάθε φορέα</w:t>
      </w:r>
      <w:r w:rsidR="00901561" w:rsidRPr="00714EEB">
        <w:rPr>
          <w:rFonts w:cstheme="minorHAnsi"/>
          <w:sz w:val="24"/>
          <w:szCs w:val="24"/>
          <w:lang w:val="el-GR"/>
        </w:rPr>
        <w:t xml:space="preserve"> </w:t>
      </w:r>
      <w:r w:rsidR="00714EEB">
        <w:rPr>
          <w:rFonts w:cstheme="minorHAnsi"/>
          <w:sz w:val="24"/>
          <w:szCs w:val="24"/>
          <w:lang w:val="el-GR"/>
        </w:rPr>
        <w:t>μπορεί να οδηγήσει στην ασυνέπεια και κάνει την διαφάνεια</w:t>
      </w:r>
      <w:r w:rsidR="00714EEB" w:rsidRPr="00714EEB">
        <w:rPr>
          <w:rFonts w:cstheme="minorHAnsi"/>
          <w:sz w:val="24"/>
          <w:szCs w:val="24"/>
          <w:lang w:val="el-GR"/>
        </w:rPr>
        <w:t xml:space="preserve"> </w:t>
      </w:r>
      <w:r w:rsidR="00714EEB">
        <w:rPr>
          <w:rFonts w:cstheme="minorHAnsi"/>
          <w:sz w:val="24"/>
          <w:szCs w:val="24"/>
          <w:lang w:val="el-GR"/>
        </w:rPr>
        <w:t>πιο δύσκολη</w:t>
      </w:r>
      <w:r w:rsidR="00901561" w:rsidRPr="00714EEB">
        <w:rPr>
          <w:rFonts w:cstheme="minorHAnsi"/>
          <w:sz w:val="24"/>
          <w:szCs w:val="24"/>
          <w:lang w:val="el-GR"/>
        </w:rPr>
        <w:t xml:space="preserve">. </w:t>
      </w:r>
    </w:p>
    <w:p w14:paraId="6FC6E398" w14:textId="77777777" w:rsidR="00ED3AFF" w:rsidRPr="00714EEB" w:rsidRDefault="00ED3AFF" w:rsidP="00ED3AFF">
      <w:pPr>
        <w:pStyle w:val="ListParagraph"/>
        <w:rPr>
          <w:rFonts w:cstheme="minorHAnsi"/>
          <w:sz w:val="24"/>
          <w:szCs w:val="24"/>
          <w:lang w:val="el-GR"/>
        </w:rPr>
      </w:pPr>
    </w:p>
    <w:p w14:paraId="67CA7FCC" w14:textId="1EAE7289" w:rsidR="00AA14E7" w:rsidRPr="00962F08" w:rsidRDefault="00124D72" w:rsidP="00ED3AFF">
      <w:pPr>
        <w:numPr>
          <w:ilvl w:val="0"/>
          <w:numId w:val="1"/>
        </w:numPr>
        <w:tabs>
          <w:tab w:val="left" w:pos="709"/>
        </w:tabs>
        <w:ind w:left="0" w:firstLine="0"/>
        <w:rPr>
          <w:rFonts w:cstheme="minorHAnsi"/>
          <w:sz w:val="24"/>
          <w:szCs w:val="24"/>
          <w:lang w:val="el-GR"/>
        </w:rPr>
      </w:pPr>
      <w:bookmarkStart w:id="245" w:name="_Hlk132890292"/>
      <w:r>
        <w:rPr>
          <w:rFonts w:cstheme="minorHAnsi"/>
          <w:sz w:val="24"/>
          <w:szCs w:val="24"/>
          <w:lang w:val="el-GR"/>
        </w:rPr>
        <w:t>Όλες</w:t>
      </w:r>
      <w:r w:rsidRPr="00124D72">
        <w:rPr>
          <w:rFonts w:cstheme="minorHAnsi"/>
          <w:sz w:val="24"/>
          <w:szCs w:val="24"/>
          <w:lang w:val="el-GR"/>
        </w:rPr>
        <w:t xml:space="preserve"> </w:t>
      </w:r>
      <w:r>
        <w:rPr>
          <w:rFonts w:cstheme="minorHAnsi"/>
          <w:sz w:val="24"/>
          <w:szCs w:val="24"/>
          <w:lang w:val="el-GR"/>
        </w:rPr>
        <w:t>οι</w:t>
      </w:r>
      <w:r w:rsidRPr="00124D72">
        <w:rPr>
          <w:rFonts w:cstheme="minorHAnsi"/>
          <w:sz w:val="24"/>
          <w:szCs w:val="24"/>
          <w:lang w:val="el-GR"/>
        </w:rPr>
        <w:t xml:space="preserve"> </w:t>
      </w:r>
      <w:r>
        <w:rPr>
          <w:rFonts w:cstheme="minorHAnsi"/>
          <w:sz w:val="24"/>
          <w:szCs w:val="24"/>
          <w:lang w:val="el-GR"/>
        </w:rPr>
        <w:t>διαδικασίες</w:t>
      </w:r>
      <w:r w:rsidRPr="00124D72">
        <w:rPr>
          <w:rFonts w:cstheme="minorHAnsi"/>
          <w:sz w:val="24"/>
          <w:szCs w:val="24"/>
          <w:lang w:val="el-GR"/>
        </w:rPr>
        <w:t xml:space="preserve"> </w:t>
      </w:r>
      <w:r>
        <w:rPr>
          <w:rFonts w:cstheme="minorHAnsi"/>
          <w:sz w:val="24"/>
          <w:szCs w:val="24"/>
          <w:lang w:val="el-GR"/>
        </w:rPr>
        <w:t>τελικά</w:t>
      </w:r>
      <w:r w:rsidRPr="00124D72">
        <w:rPr>
          <w:rFonts w:cstheme="minorHAnsi"/>
          <w:sz w:val="24"/>
          <w:szCs w:val="24"/>
          <w:lang w:val="el-GR"/>
        </w:rPr>
        <w:t xml:space="preserve"> </w:t>
      </w:r>
      <w:r>
        <w:rPr>
          <w:rFonts w:cstheme="minorHAnsi"/>
          <w:sz w:val="24"/>
          <w:szCs w:val="24"/>
          <w:lang w:val="el-GR"/>
        </w:rPr>
        <w:t>καταλήγουν</w:t>
      </w:r>
      <w:r w:rsidRPr="00124D72">
        <w:rPr>
          <w:rFonts w:cstheme="minorHAnsi"/>
          <w:sz w:val="24"/>
          <w:szCs w:val="24"/>
          <w:lang w:val="el-GR"/>
        </w:rPr>
        <w:t xml:space="preserve"> </w:t>
      </w:r>
      <w:r>
        <w:rPr>
          <w:rFonts w:cstheme="minorHAnsi"/>
          <w:sz w:val="24"/>
          <w:szCs w:val="24"/>
          <w:lang w:val="el-GR"/>
        </w:rPr>
        <w:t>στον</w:t>
      </w:r>
      <w:r w:rsidRPr="00124D72">
        <w:rPr>
          <w:rFonts w:cstheme="minorHAnsi"/>
          <w:sz w:val="24"/>
          <w:szCs w:val="24"/>
          <w:lang w:val="el-GR"/>
        </w:rPr>
        <w:t xml:space="preserve"> </w:t>
      </w:r>
      <w:r>
        <w:rPr>
          <w:rFonts w:cstheme="minorHAnsi"/>
          <w:sz w:val="24"/>
          <w:szCs w:val="24"/>
          <w:lang w:val="el-GR"/>
        </w:rPr>
        <w:t>Γενικό</w:t>
      </w:r>
      <w:r w:rsidRPr="00124D72">
        <w:rPr>
          <w:rFonts w:cstheme="minorHAnsi"/>
          <w:sz w:val="24"/>
          <w:szCs w:val="24"/>
          <w:lang w:val="el-GR"/>
        </w:rPr>
        <w:t xml:space="preserve"> </w:t>
      </w:r>
      <w:r>
        <w:rPr>
          <w:rFonts w:cstheme="minorHAnsi"/>
          <w:sz w:val="24"/>
          <w:szCs w:val="24"/>
          <w:lang w:val="el-GR"/>
        </w:rPr>
        <w:t>Εισαγγελέα</w:t>
      </w:r>
      <w:r w:rsidR="00ED3AFF" w:rsidRPr="00124D72">
        <w:rPr>
          <w:rFonts w:cstheme="minorHAnsi"/>
          <w:sz w:val="24"/>
          <w:szCs w:val="24"/>
          <w:lang w:val="el-GR"/>
        </w:rPr>
        <w:t xml:space="preserve"> </w:t>
      </w:r>
      <w:r>
        <w:rPr>
          <w:rFonts w:cstheme="minorHAnsi"/>
          <w:sz w:val="24"/>
          <w:szCs w:val="24"/>
          <w:lang w:val="el-GR"/>
        </w:rPr>
        <w:t>και</w:t>
      </w:r>
      <w:r w:rsidRPr="00124D72">
        <w:rPr>
          <w:rFonts w:cstheme="minorHAnsi"/>
          <w:sz w:val="24"/>
          <w:szCs w:val="24"/>
          <w:lang w:val="el-GR"/>
        </w:rPr>
        <w:t xml:space="preserve"> </w:t>
      </w:r>
      <w:r>
        <w:rPr>
          <w:rFonts w:cstheme="minorHAnsi"/>
          <w:sz w:val="24"/>
          <w:szCs w:val="24"/>
          <w:lang w:val="el-GR"/>
        </w:rPr>
        <w:t>οι</w:t>
      </w:r>
      <w:r w:rsidRPr="00124D72">
        <w:rPr>
          <w:rFonts w:cstheme="minorHAnsi"/>
          <w:sz w:val="24"/>
          <w:szCs w:val="24"/>
          <w:lang w:val="el-GR"/>
        </w:rPr>
        <w:t xml:space="preserve"> </w:t>
      </w:r>
      <w:r>
        <w:rPr>
          <w:rFonts w:cstheme="minorHAnsi"/>
          <w:sz w:val="24"/>
          <w:szCs w:val="24"/>
          <w:lang w:val="el-GR"/>
        </w:rPr>
        <w:t>αποφάσεις</w:t>
      </w:r>
      <w:r w:rsidRPr="00124D72">
        <w:rPr>
          <w:rFonts w:cstheme="minorHAnsi"/>
          <w:sz w:val="24"/>
          <w:szCs w:val="24"/>
          <w:lang w:val="el-GR"/>
        </w:rPr>
        <w:t xml:space="preserve"> </w:t>
      </w:r>
      <w:r>
        <w:rPr>
          <w:rFonts w:cstheme="minorHAnsi"/>
          <w:sz w:val="24"/>
          <w:szCs w:val="24"/>
          <w:lang w:val="el-GR"/>
        </w:rPr>
        <w:t>για</w:t>
      </w:r>
      <w:r w:rsidRPr="00124D72">
        <w:rPr>
          <w:rFonts w:cstheme="minorHAnsi"/>
          <w:sz w:val="24"/>
          <w:szCs w:val="24"/>
          <w:lang w:val="el-GR"/>
        </w:rPr>
        <w:t xml:space="preserve"> </w:t>
      </w:r>
      <w:r>
        <w:rPr>
          <w:rFonts w:cstheme="minorHAnsi"/>
          <w:sz w:val="24"/>
          <w:szCs w:val="24"/>
          <w:lang w:val="el-GR"/>
        </w:rPr>
        <w:t>να</w:t>
      </w:r>
      <w:r w:rsidRPr="00124D72">
        <w:rPr>
          <w:rFonts w:cstheme="minorHAnsi"/>
          <w:sz w:val="24"/>
          <w:szCs w:val="24"/>
          <w:lang w:val="el-GR"/>
        </w:rPr>
        <w:t xml:space="preserve"> </w:t>
      </w:r>
      <w:r>
        <w:rPr>
          <w:rFonts w:cstheme="minorHAnsi"/>
          <w:sz w:val="24"/>
          <w:szCs w:val="24"/>
          <w:lang w:val="el-GR"/>
        </w:rPr>
        <w:t>διακοπούν</w:t>
      </w:r>
      <w:r w:rsidRPr="00124D72">
        <w:rPr>
          <w:rFonts w:cstheme="minorHAnsi"/>
          <w:sz w:val="24"/>
          <w:szCs w:val="24"/>
          <w:lang w:val="el-GR"/>
        </w:rPr>
        <w:t xml:space="preserve"> </w:t>
      </w:r>
      <w:r>
        <w:rPr>
          <w:rFonts w:cstheme="minorHAnsi"/>
          <w:sz w:val="24"/>
          <w:szCs w:val="24"/>
          <w:lang w:val="el-GR"/>
        </w:rPr>
        <w:t>ποινικές</w:t>
      </w:r>
      <w:r w:rsidRPr="00124D72">
        <w:rPr>
          <w:rFonts w:cstheme="minorHAnsi"/>
          <w:sz w:val="24"/>
          <w:szCs w:val="24"/>
          <w:lang w:val="el-GR"/>
        </w:rPr>
        <w:t xml:space="preserve"> </w:t>
      </w:r>
      <w:r>
        <w:rPr>
          <w:rFonts w:cstheme="minorHAnsi"/>
          <w:sz w:val="24"/>
          <w:szCs w:val="24"/>
          <w:lang w:val="el-GR"/>
        </w:rPr>
        <w:t>υποθέσεις</w:t>
      </w:r>
      <w:r w:rsidR="00ED3AFF" w:rsidRPr="00124D72">
        <w:rPr>
          <w:rFonts w:cstheme="minorHAnsi"/>
          <w:sz w:val="24"/>
          <w:szCs w:val="24"/>
          <w:lang w:val="el-GR"/>
        </w:rPr>
        <w:t xml:space="preserve"> (</w:t>
      </w:r>
      <w:r>
        <w:rPr>
          <w:rFonts w:cstheme="minorHAnsi"/>
          <w:sz w:val="24"/>
          <w:szCs w:val="24"/>
          <w:lang w:val="el-GR"/>
        </w:rPr>
        <w:t>το προνόμιο του</w:t>
      </w:r>
      <w:r w:rsidR="00ED3AFF" w:rsidRPr="00124D72">
        <w:rPr>
          <w:rFonts w:cstheme="minorHAnsi"/>
          <w:sz w:val="24"/>
          <w:szCs w:val="24"/>
          <w:lang w:val="el-GR"/>
        </w:rPr>
        <w:t xml:space="preserve"> </w:t>
      </w:r>
      <w:r w:rsidR="00ED3AFF" w:rsidRPr="00B95983">
        <w:rPr>
          <w:rFonts w:cstheme="minorHAnsi"/>
          <w:i/>
          <w:iCs/>
          <w:sz w:val="24"/>
          <w:szCs w:val="24"/>
        </w:rPr>
        <w:t>nolle</w:t>
      </w:r>
      <w:r w:rsidR="00ED3AFF" w:rsidRPr="00124D72">
        <w:rPr>
          <w:rFonts w:cstheme="minorHAnsi"/>
          <w:i/>
          <w:iCs/>
          <w:sz w:val="24"/>
          <w:szCs w:val="24"/>
          <w:lang w:val="el-GR"/>
        </w:rPr>
        <w:t xml:space="preserve"> </w:t>
      </w:r>
      <w:r w:rsidR="00ED3AFF" w:rsidRPr="00B95983">
        <w:rPr>
          <w:rFonts w:cstheme="minorHAnsi"/>
          <w:i/>
          <w:iCs/>
          <w:sz w:val="24"/>
          <w:szCs w:val="24"/>
        </w:rPr>
        <w:t>prosequi</w:t>
      </w:r>
      <w:r w:rsidR="00ED3AFF" w:rsidRPr="00124D72">
        <w:rPr>
          <w:rFonts w:cstheme="minorHAnsi"/>
          <w:sz w:val="24"/>
          <w:szCs w:val="24"/>
          <w:lang w:val="el-GR"/>
        </w:rPr>
        <w:t xml:space="preserve"> </w:t>
      </w:r>
      <w:r>
        <w:rPr>
          <w:rFonts w:cstheme="minorHAnsi"/>
          <w:sz w:val="24"/>
          <w:szCs w:val="24"/>
          <w:lang w:val="el-GR"/>
        </w:rPr>
        <w:t>του Γενικού Εισαγγελέα</w:t>
      </w:r>
      <w:r w:rsidR="00ED3AFF" w:rsidRPr="00124D72">
        <w:rPr>
          <w:rFonts w:cstheme="minorHAnsi"/>
          <w:sz w:val="24"/>
          <w:szCs w:val="24"/>
          <w:lang w:val="el-GR"/>
        </w:rPr>
        <w:t xml:space="preserve">) </w:t>
      </w:r>
      <w:r>
        <w:rPr>
          <w:rFonts w:cstheme="minorHAnsi"/>
          <w:sz w:val="24"/>
          <w:szCs w:val="24"/>
          <w:lang w:val="el-GR"/>
        </w:rPr>
        <w:t>κατατίθενται γραπτώς</w:t>
      </w:r>
      <w:r w:rsidR="00ED3AFF" w:rsidRPr="00124D72">
        <w:rPr>
          <w:rFonts w:cstheme="minorHAnsi"/>
          <w:sz w:val="24"/>
          <w:szCs w:val="24"/>
          <w:lang w:val="el-GR"/>
        </w:rPr>
        <w:t xml:space="preserve"> </w:t>
      </w:r>
      <w:r>
        <w:rPr>
          <w:rFonts w:cstheme="minorHAnsi"/>
          <w:sz w:val="24"/>
          <w:szCs w:val="24"/>
          <w:lang w:val="el-GR"/>
        </w:rPr>
        <w:t>και δηλώνοντα προφορικά ενώπιον του αρμοδίου δικαστηρίου</w:t>
      </w:r>
      <w:r w:rsidR="00ED3AFF" w:rsidRPr="00124D72">
        <w:rPr>
          <w:rFonts w:cstheme="minorHAnsi"/>
          <w:sz w:val="24"/>
          <w:szCs w:val="24"/>
          <w:lang w:val="el-GR"/>
        </w:rPr>
        <w:t xml:space="preserve">. </w:t>
      </w:r>
      <w:r>
        <w:rPr>
          <w:rFonts w:cstheme="minorHAnsi"/>
          <w:sz w:val="24"/>
          <w:szCs w:val="24"/>
          <w:lang w:val="el-GR"/>
        </w:rPr>
        <w:t>Παρόλα</w:t>
      </w:r>
      <w:r w:rsidRPr="00124D72">
        <w:rPr>
          <w:rFonts w:cstheme="minorHAnsi"/>
          <w:sz w:val="24"/>
          <w:szCs w:val="24"/>
          <w:lang w:val="el-GR"/>
        </w:rPr>
        <w:t xml:space="preserve"> </w:t>
      </w:r>
      <w:r>
        <w:rPr>
          <w:rFonts w:cstheme="minorHAnsi"/>
          <w:sz w:val="24"/>
          <w:szCs w:val="24"/>
          <w:lang w:val="el-GR"/>
        </w:rPr>
        <w:t>αυτά</w:t>
      </w:r>
      <w:r w:rsidR="00ED3AFF" w:rsidRPr="00124D72">
        <w:rPr>
          <w:rFonts w:cstheme="minorHAnsi"/>
          <w:sz w:val="24"/>
          <w:szCs w:val="24"/>
          <w:lang w:val="el-GR"/>
        </w:rPr>
        <w:t xml:space="preserve">, </w:t>
      </w:r>
      <w:r>
        <w:rPr>
          <w:rFonts w:cstheme="minorHAnsi"/>
          <w:sz w:val="24"/>
          <w:szCs w:val="24"/>
          <w:lang w:val="el-GR"/>
        </w:rPr>
        <w:t>η</w:t>
      </w:r>
      <w:r w:rsidR="00ED3AFF" w:rsidRPr="00124D72">
        <w:rPr>
          <w:rFonts w:cstheme="minorHAnsi"/>
          <w:sz w:val="24"/>
          <w:szCs w:val="24"/>
          <w:lang w:val="el-GR"/>
        </w:rPr>
        <w:t xml:space="preserve"> </w:t>
      </w:r>
      <w:r w:rsidR="00ED3AFF" w:rsidRPr="00B95983">
        <w:rPr>
          <w:rFonts w:cstheme="minorHAnsi"/>
          <w:sz w:val="24"/>
          <w:szCs w:val="24"/>
        </w:rPr>
        <w:t>GET</w:t>
      </w:r>
      <w:r w:rsidR="00ED3AFF" w:rsidRPr="00124D72">
        <w:rPr>
          <w:rFonts w:cstheme="minorHAnsi"/>
          <w:sz w:val="24"/>
          <w:szCs w:val="24"/>
          <w:lang w:val="el-GR"/>
        </w:rPr>
        <w:t xml:space="preserve"> </w:t>
      </w:r>
      <w:r>
        <w:rPr>
          <w:rFonts w:cstheme="minorHAnsi"/>
          <w:sz w:val="24"/>
          <w:szCs w:val="24"/>
          <w:lang w:val="el-GR"/>
        </w:rPr>
        <w:t>θεωρεί</w:t>
      </w:r>
      <w:r w:rsidRPr="00124D72">
        <w:rPr>
          <w:rFonts w:cstheme="minorHAnsi"/>
          <w:sz w:val="24"/>
          <w:szCs w:val="24"/>
          <w:lang w:val="el-GR"/>
        </w:rPr>
        <w:t xml:space="preserve"> </w:t>
      </w:r>
      <w:r>
        <w:rPr>
          <w:rFonts w:cstheme="minorHAnsi"/>
          <w:sz w:val="24"/>
          <w:szCs w:val="24"/>
          <w:lang w:val="el-GR"/>
        </w:rPr>
        <w:t>ότι</w:t>
      </w:r>
      <w:r w:rsidRPr="00124D72">
        <w:rPr>
          <w:rFonts w:cstheme="minorHAnsi"/>
          <w:sz w:val="24"/>
          <w:szCs w:val="24"/>
          <w:lang w:val="el-GR"/>
        </w:rPr>
        <w:t xml:space="preserve"> </w:t>
      </w:r>
      <w:r>
        <w:rPr>
          <w:rFonts w:cstheme="minorHAnsi"/>
          <w:sz w:val="24"/>
          <w:szCs w:val="24"/>
          <w:lang w:val="el-GR"/>
        </w:rPr>
        <w:t>χρειάζεται</w:t>
      </w:r>
      <w:r w:rsidRPr="00124D72">
        <w:rPr>
          <w:rFonts w:cstheme="minorHAnsi"/>
          <w:sz w:val="24"/>
          <w:szCs w:val="24"/>
          <w:lang w:val="el-GR"/>
        </w:rPr>
        <w:t xml:space="preserve"> </w:t>
      </w:r>
      <w:r>
        <w:rPr>
          <w:rFonts w:cstheme="minorHAnsi"/>
          <w:sz w:val="24"/>
          <w:szCs w:val="24"/>
          <w:lang w:val="el-GR"/>
        </w:rPr>
        <w:t>μια</w:t>
      </w:r>
      <w:r w:rsidRPr="00124D72">
        <w:rPr>
          <w:rFonts w:cstheme="minorHAnsi"/>
          <w:sz w:val="24"/>
          <w:szCs w:val="24"/>
          <w:lang w:val="el-GR"/>
        </w:rPr>
        <w:t xml:space="preserve"> </w:t>
      </w:r>
      <w:r>
        <w:rPr>
          <w:rFonts w:cstheme="minorHAnsi"/>
          <w:sz w:val="24"/>
          <w:szCs w:val="24"/>
          <w:lang w:val="el-GR"/>
        </w:rPr>
        <w:t>ολιστική</w:t>
      </w:r>
      <w:r w:rsidRPr="00124D72">
        <w:rPr>
          <w:rFonts w:cstheme="minorHAnsi"/>
          <w:sz w:val="24"/>
          <w:szCs w:val="24"/>
          <w:lang w:val="el-GR"/>
        </w:rPr>
        <w:t xml:space="preserve"> </w:t>
      </w:r>
      <w:r>
        <w:rPr>
          <w:rFonts w:cstheme="minorHAnsi"/>
          <w:sz w:val="24"/>
          <w:szCs w:val="24"/>
          <w:lang w:val="el-GR"/>
        </w:rPr>
        <w:t>αναθεώρηση</w:t>
      </w:r>
      <w:r w:rsidRPr="00124D72">
        <w:rPr>
          <w:rFonts w:cstheme="minorHAnsi"/>
          <w:sz w:val="24"/>
          <w:szCs w:val="24"/>
          <w:lang w:val="el-GR"/>
        </w:rPr>
        <w:t xml:space="preserve"> </w:t>
      </w:r>
      <w:r>
        <w:rPr>
          <w:rFonts w:cstheme="minorHAnsi"/>
          <w:sz w:val="24"/>
          <w:szCs w:val="24"/>
          <w:lang w:val="el-GR"/>
        </w:rPr>
        <w:t>για</w:t>
      </w:r>
      <w:r w:rsidRPr="00124D72">
        <w:rPr>
          <w:rFonts w:cstheme="minorHAnsi"/>
          <w:sz w:val="24"/>
          <w:szCs w:val="24"/>
          <w:lang w:val="el-GR"/>
        </w:rPr>
        <w:t xml:space="preserve"> </w:t>
      </w:r>
      <w:r>
        <w:rPr>
          <w:rFonts w:cstheme="minorHAnsi"/>
          <w:sz w:val="24"/>
          <w:szCs w:val="24"/>
          <w:lang w:val="el-GR"/>
        </w:rPr>
        <w:t>το</w:t>
      </w:r>
      <w:r w:rsidRPr="00124D72">
        <w:rPr>
          <w:rFonts w:cstheme="minorHAnsi"/>
          <w:sz w:val="24"/>
          <w:szCs w:val="24"/>
          <w:lang w:val="el-GR"/>
        </w:rPr>
        <w:t xml:space="preserve"> </w:t>
      </w:r>
      <w:r>
        <w:rPr>
          <w:rFonts w:cstheme="minorHAnsi"/>
          <w:sz w:val="24"/>
          <w:szCs w:val="24"/>
          <w:lang w:val="el-GR"/>
        </w:rPr>
        <w:t>πώς</w:t>
      </w:r>
      <w:r w:rsidRPr="00124D72">
        <w:rPr>
          <w:rFonts w:cstheme="minorHAnsi"/>
          <w:sz w:val="24"/>
          <w:szCs w:val="24"/>
          <w:lang w:val="el-GR"/>
        </w:rPr>
        <w:t xml:space="preserve"> </w:t>
      </w:r>
      <w:r>
        <w:rPr>
          <w:rFonts w:cstheme="minorHAnsi"/>
          <w:sz w:val="24"/>
          <w:szCs w:val="24"/>
          <w:lang w:val="el-GR"/>
        </w:rPr>
        <w:t>κατατίθενται</w:t>
      </w:r>
      <w:r w:rsidRPr="00124D72">
        <w:rPr>
          <w:rFonts w:cstheme="minorHAnsi"/>
          <w:sz w:val="24"/>
          <w:szCs w:val="24"/>
          <w:lang w:val="el-GR"/>
        </w:rPr>
        <w:t xml:space="preserve"> </w:t>
      </w:r>
      <w:r>
        <w:rPr>
          <w:rFonts w:cstheme="minorHAnsi"/>
          <w:sz w:val="24"/>
          <w:szCs w:val="24"/>
          <w:lang w:val="el-GR"/>
        </w:rPr>
        <w:t>και</w:t>
      </w:r>
      <w:r w:rsidRPr="00124D72">
        <w:rPr>
          <w:rFonts w:cstheme="minorHAnsi"/>
          <w:sz w:val="24"/>
          <w:szCs w:val="24"/>
          <w:lang w:val="el-GR"/>
        </w:rPr>
        <w:t xml:space="preserve"> </w:t>
      </w:r>
      <w:r>
        <w:rPr>
          <w:rFonts w:cstheme="minorHAnsi"/>
          <w:sz w:val="24"/>
          <w:szCs w:val="24"/>
          <w:lang w:val="el-GR"/>
        </w:rPr>
        <w:t>επεξεργάζονται</w:t>
      </w:r>
      <w:r w:rsidRPr="00124D72">
        <w:rPr>
          <w:rFonts w:cstheme="minorHAnsi"/>
          <w:sz w:val="24"/>
          <w:szCs w:val="24"/>
          <w:lang w:val="el-GR"/>
        </w:rPr>
        <w:t xml:space="preserve"> </w:t>
      </w:r>
      <w:r>
        <w:rPr>
          <w:rFonts w:cstheme="minorHAnsi"/>
          <w:sz w:val="24"/>
          <w:szCs w:val="24"/>
          <w:lang w:val="el-GR"/>
        </w:rPr>
        <w:t>τα</w:t>
      </w:r>
      <w:r w:rsidRPr="00124D72">
        <w:rPr>
          <w:rFonts w:cstheme="minorHAnsi"/>
          <w:sz w:val="24"/>
          <w:szCs w:val="24"/>
          <w:lang w:val="el-GR"/>
        </w:rPr>
        <w:t xml:space="preserve"> </w:t>
      </w:r>
      <w:r>
        <w:rPr>
          <w:rFonts w:cstheme="minorHAnsi"/>
          <w:sz w:val="24"/>
          <w:szCs w:val="24"/>
          <w:lang w:val="el-GR"/>
        </w:rPr>
        <w:t>παράπονα</w:t>
      </w:r>
      <w:bookmarkEnd w:id="245"/>
      <w:r w:rsidR="00901561" w:rsidRPr="00124D72">
        <w:rPr>
          <w:rFonts w:cstheme="minorHAnsi"/>
          <w:sz w:val="24"/>
          <w:szCs w:val="24"/>
          <w:lang w:val="el-GR"/>
        </w:rPr>
        <w:t xml:space="preserve"> </w:t>
      </w:r>
      <w:r>
        <w:rPr>
          <w:rFonts w:cstheme="minorHAnsi"/>
          <w:sz w:val="24"/>
          <w:szCs w:val="24"/>
          <w:lang w:val="el-GR"/>
        </w:rPr>
        <w:t>και</w:t>
      </w:r>
      <w:r w:rsidRPr="00124D72">
        <w:rPr>
          <w:rFonts w:cstheme="minorHAnsi"/>
          <w:sz w:val="24"/>
          <w:szCs w:val="24"/>
          <w:lang w:val="el-GR"/>
        </w:rPr>
        <w:t xml:space="preserve"> </w:t>
      </w:r>
      <w:r w:rsidR="00091C5F">
        <w:rPr>
          <w:rFonts w:cstheme="minorHAnsi"/>
          <w:sz w:val="24"/>
          <w:szCs w:val="24"/>
          <w:lang w:val="el-GR"/>
        </w:rPr>
        <w:t>διαφάνεια</w:t>
      </w:r>
      <w:r w:rsidRPr="00124D72">
        <w:rPr>
          <w:rFonts w:cstheme="minorHAnsi"/>
          <w:sz w:val="24"/>
          <w:szCs w:val="24"/>
          <w:lang w:val="el-GR"/>
        </w:rPr>
        <w:t xml:space="preserve"> </w:t>
      </w:r>
      <w:r>
        <w:rPr>
          <w:rFonts w:cstheme="minorHAnsi"/>
          <w:sz w:val="24"/>
          <w:szCs w:val="24"/>
          <w:lang w:val="el-GR"/>
        </w:rPr>
        <w:t>και</w:t>
      </w:r>
      <w:r w:rsidRPr="00124D72">
        <w:rPr>
          <w:rFonts w:cstheme="minorHAnsi"/>
          <w:sz w:val="24"/>
          <w:szCs w:val="24"/>
          <w:lang w:val="el-GR"/>
        </w:rPr>
        <w:t xml:space="preserve"> </w:t>
      </w:r>
      <w:r>
        <w:rPr>
          <w:rFonts w:cstheme="minorHAnsi"/>
          <w:sz w:val="24"/>
          <w:szCs w:val="24"/>
          <w:lang w:val="el-GR"/>
        </w:rPr>
        <w:t>λογοδοσία</w:t>
      </w:r>
      <w:r w:rsidR="00901561" w:rsidRPr="00124D72">
        <w:rPr>
          <w:rFonts w:cstheme="minorHAnsi"/>
          <w:sz w:val="24"/>
          <w:szCs w:val="24"/>
          <w:lang w:val="el-GR"/>
        </w:rPr>
        <w:t xml:space="preserve"> </w:t>
      </w:r>
      <w:r>
        <w:rPr>
          <w:rFonts w:cstheme="minorHAnsi"/>
          <w:sz w:val="24"/>
          <w:szCs w:val="24"/>
          <w:lang w:val="el-GR"/>
        </w:rPr>
        <w:t>για</w:t>
      </w:r>
      <w:r w:rsidRPr="00124D72">
        <w:rPr>
          <w:rFonts w:cstheme="minorHAnsi"/>
          <w:sz w:val="24"/>
          <w:szCs w:val="24"/>
          <w:lang w:val="el-GR"/>
        </w:rPr>
        <w:t xml:space="preserve"> </w:t>
      </w:r>
      <w:r>
        <w:rPr>
          <w:rFonts w:cstheme="minorHAnsi"/>
          <w:sz w:val="24"/>
          <w:szCs w:val="24"/>
          <w:lang w:val="el-GR"/>
        </w:rPr>
        <w:t>το</w:t>
      </w:r>
      <w:r w:rsidRPr="00124D72">
        <w:rPr>
          <w:rFonts w:cstheme="minorHAnsi"/>
          <w:sz w:val="24"/>
          <w:szCs w:val="24"/>
          <w:lang w:val="el-GR"/>
        </w:rPr>
        <w:t xml:space="preserve"> </w:t>
      </w:r>
      <w:r>
        <w:rPr>
          <w:rFonts w:cstheme="minorHAnsi"/>
          <w:sz w:val="24"/>
          <w:szCs w:val="24"/>
          <w:lang w:val="el-GR"/>
        </w:rPr>
        <w:t>πώς</w:t>
      </w:r>
      <w:r w:rsidRPr="00124D72">
        <w:rPr>
          <w:rFonts w:cstheme="minorHAnsi"/>
          <w:sz w:val="24"/>
          <w:szCs w:val="24"/>
          <w:lang w:val="el-GR"/>
        </w:rPr>
        <w:t xml:space="preserve"> </w:t>
      </w:r>
      <w:r>
        <w:rPr>
          <w:rFonts w:cstheme="minorHAnsi"/>
          <w:sz w:val="24"/>
          <w:szCs w:val="24"/>
          <w:lang w:val="el-GR"/>
        </w:rPr>
        <w:t>αυτά</w:t>
      </w:r>
      <w:r w:rsidRPr="00124D72">
        <w:rPr>
          <w:rFonts w:cstheme="minorHAnsi"/>
          <w:sz w:val="24"/>
          <w:szCs w:val="24"/>
          <w:lang w:val="el-GR"/>
        </w:rPr>
        <w:t xml:space="preserve"> </w:t>
      </w:r>
      <w:r>
        <w:rPr>
          <w:rFonts w:cstheme="minorHAnsi"/>
          <w:sz w:val="24"/>
          <w:szCs w:val="24"/>
          <w:lang w:val="el-GR"/>
        </w:rPr>
        <w:t>τυγχάνουν</w:t>
      </w:r>
      <w:r w:rsidRPr="00124D72">
        <w:rPr>
          <w:rFonts w:cstheme="minorHAnsi"/>
          <w:sz w:val="24"/>
          <w:szCs w:val="24"/>
          <w:lang w:val="el-GR"/>
        </w:rPr>
        <w:t xml:space="preserve"> </w:t>
      </w:r>
      <w:r w:rsidR="002E5EC0">
        <w:rPr>
          <w:rFonts w:cstheme="minorHAnsi"/>
          <w:sz w:val="24"/>
          <w:szCs w:val="24"/>
          <w:lang w:val="el-GR"/>
        </w:rPr>
        <w:t>μεταχείρισης</w:t>
      </w:r>
      <w:r w:rsidR="00901561" w:rsidRPr="00124D72">
        <w:rPr>
          <w:rFonts w:cstheme="minorHAnsi"/>
          <w:sz w:val="24"/>
          <w:szCs w:val="24"/>
          <w:lang w:val="el-GR"/>
        </w:rPr>
        <w:t xml:space="preserve">. </w:t>
      </w:r>
      <w:r w:rsidRPr="00124D72">
        <w:rPr>
          <w:rFonts w:cstheme="minorHAnsi"/>
          <w:b/>
          <w:sz w:val="24"/>
          <w:szCs w:val="24"/>
          <w:lang w:val="el-GR"/>
        </w:rPr>
        <w:t>Η</w:t>
      </w:r>
      <w:r w:rsidRPr="00962F08">
        <w:rPr>
          <w:rFonts w:cstheme="minorHAnsi"/>
          <w:b/>
          <w:sz w:val="24"/>
          <w:szCs w:val="24"/>
          <w:lang w:val="el-GR"/>
        </w:rPr>
        <w:t xml:space="preserve"> </w:t>
      </w:r>
      <w:r w:rsidR="00901561" w:rsidRPr="00B95983">
        <w:rPr>
          <w:rFonts w:cstheme="minorHAnsi"/>
          <w:b/>
          <w:bCs/>
          <w:sz w:val="24"/>
          <w:szCs w:val="24"/>
        </w:rPr>
        <w:t>GRECO</w:t>
      </w:r>
      <w:r w:rsidR="00901561" w:rsidRPr="00962F08">
        <w:rPr>
          <w:rFonts w:cstheme="minorHAnsi"/>
          <w:b/>
          <w:bCs/>
          <w:sz w:val="24"/>
          <w:szCs w:val="24"/>
          <w:lang w:val="el-GR"/>
        </w:rPr>
        <w:t xml:space="preserve"> </w:t>
      </w:r>
      <w:r>
        <w:rPr>
          <w:rFonts w:cstheme="minorHAnsi"/>
          <w:b/>
          <w:bCs/>
          <w:sz w:val="24"/>
          <w:szCs w:val="24"/>
          <w:lang w:val="el-GR"/>
        </w:rPr>
        <w:t>συνιστά</w:t>
      </w:r>
      <w:r w:rsidR="00962F08" w:rsidRPr="00962F08">
        <w:rPr>
          <w:rFonts w:cstheme="minorHAnsi"/>
          <w:b/>
          <w:bCs/>
          <w:sz w:val="24"/>
          <w:szCs w:val="24"/>
          <w:lang w:val="el-GR"/>
        </w:rPr>
        <w:t xml:space="preserve"> </w:t>
      </w:r>
      <w:r w:rsidR="00362B81">
        <w:rPr>
          <w:rFonts w:eastAsia="Times New Roman" w:cstheme="minorHAnsi"/>
          <w:b/>
          <w:bCs/>
          <w:color w:val="000000" w:themeColor="text1"/>
          <w:sz w:val="24"/>
          <w:szCs w:val="24"/>
          <w:lang w:val="el-GR"/>
        </w:rPr>
        <w:t xml:space="preserve">τον </w:t>
      </w:r>
      <w:proofErr w:type="spellStart"/>
      <w:r w:rsidR="00362B81">
        <w:rPr>
          <w:rFonts w:eastAsia="Times New Roman" w:cstheme="minorHAnsi"/>
          <w:b/>
          <w:bCs/>
          <w:color w:val="000000" w:themeColor="text1"/>
          <w:sz w:val="24"/>
          <w:szCs w:val="24"/>
          <w:lang w:val="el-GR"/>
        </w:rPr>
        <w:t>εξορθολογισμό</w:t>
      </w:r>
      <w:proofErr w:type="spellEnd"/>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της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εποπτείας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και της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λογοδοσίας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της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Αστυνομίας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με</w:t>
      </w:r>
      <w:r w:rsidR="00362B81" w:rsidRPr="003E329C">
        <w:rPr>
          <w:rFonts w:eastAsia="Times New Roman" w:cstheme="minorHAnsi"/>
          <w:b/>
          <w:bCs/>
          <w:color w:val="000000" w:themeColor="text1"/>
          <w:sz w:val="24"/>
          <w:szCs w:val="24"/>
          <w:lang w:val="el-GR"/>
        </w:rPr>
        <w:t xml:space="preserve"> (</w:t>
      </w:r>
      <w:proofErr w:type="spellStart"/>
      <w:r w:rsidR="00362B81" w:rsidRPr="00B95983">
        <w:rPr>
          <w:rFonts w:eastAsia="Times New Roman" w:cstheme="minorHAnsi"/>
          <w:b/>
          <w:bCs/>
          <w:color w:val="000000" w:themeColor="text1"/>
          <w:sz w:val="24"/>
          <w:szCs w:val="24"/>
        </w:rPr>
        <w:t>i</w:t>
      </w:r>
      <w:proofErr w:type="spellEnd"/>
      <w:r w:rsidR="00362B81" w:rsidRPr="003E329C">
        <w:rPr>
          <w:rFonts w:eastAsia="Times New Roman" w:cstheme="minorHAnsi"/>
          <w:b/>
          <w:bCs/>
          <w:color w:val="000000" w:themeColor="text1"/>
          <w:sz w:val="24"/>
          <w:szCs w:val="24"/>
          <w:lang w:val="el-GR"/>
        </w:rPr>
        <w:t>)</w:t>
      </w:r>
      <w:r w:rsidR="00362B81" w:rsidRPr="00B95983">
        <w:rPr>
          <w:rFonts w:eastAsia="Times New Roman" w:cstheme="minorHAnsi"/>
          <w:b/>
          <w:bCs/>
          <w:color w:val="000000" w:themeColor="text1"/>
          <w:sz w:val="24"/>
          <w:szCs w:val="24"/>
        </w:rPr>
        <w:t> </w:t>
      </w:r>
      <w:r w:rsidR="00362B81">
        <w:rPr>
          <w:rFonts w:eastAsia="Times New Roman" w:cstheme="minorHAnsi"/>
          <w:b/>
          <w:bCs/>
          <w:color w:val="000000" w:themeColor="text1"/>
          <w:sz w:val="24"/>
          <w:szCs w:val="24"/>
          <w:lang w:val="el-GR"/>
        </w:rPr>
        <w:t>την</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εξέταση</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του</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ενδεχομένου</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συγκέντρωσης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των</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καταθέσεων</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των</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παραπόνων</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μέσω</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ενός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σημείου</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εισόδου</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με</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ξεκάθαρες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κατευθυντήριες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γραμμές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για</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το</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πώς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θα</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εκτελούνται</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οι</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παραπομπές</w:t>
      </w:r>
      <w:r w:rsidR="00362B81" w:rsidRPr="003E329C">
        <w:rPr>
          <w:rFonts w:eastAsia="Times New Roman" w:cstheme="minorHAnsi"/>
          <w:b/>
          <w:bCs/>
          <w:color w:val="000000" w:themeColor="text1"/>
          <w:sz w:val="24"/>
          <w:szCs w:val="24"/>
          <w:lang w:val="el-GR"/>
        </w:rPr>
        <w:t>, (</w:t>
      </w:r>
      <w:r w:rsidR="00362B81" w:rsidRPr="00B95983">
        <w:rPr>
          <w:rFonts w:eastAsia="Times New Roman" w:cstheme="minorHAnsi"/>
          <w:b/>
          <w:bCs/>
          <w:color w:val="000000" w:themeColor="text1"/>
          <w:sz w:val="24"/>
          <w:szCs w:val="24"/>
        </w:rPr>
        <w:t>ii</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την</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καθιέρωση</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ενός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αποτελεσματικού</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συστήματος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συντονισμού και συνεργασίας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μέσω ξεκάθαρων πρωτοκόλλων</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τα οποία θα  γνωστοποιούνται στο κοινό,</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και ότι</w:t>
      </w:r>
      <w:r w:rsidR="00362B81" w:rsidRPr="003E329C">
        <w:rPr>
          <w:rFonts w:eastAsia="Times New Roman" w:cstheme="minorHAnsi"/>
          <w:b/>
          <w:bCs/>
          <w:color w:val="000000" w:themeColor="text1"/>
          <w:sz w:val="24"/>
          <w:szCs w:val="24"/>
          <w:lang w:val="el-GR"/>
        </w:rPr>
        <w:t xml:space="preserve"> (</w:t>
      </w:r>
      <w:r w:rsidR="00362B81" w:rsidRPr="00B95983">
        <w:rPr>
          <w:rFonts w:eastAsia="Times New Roman" w:cstheme="minorHAnsi"/>
          <w:b/>
          <w:bCs/>
          <w:color w:val="000000" w:themeColor="text1"/>
          <w:sz w:val="24"/>
          <w:szCs w:val="24"/>
        </w:rPr>
        <w:t>iii</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να δίνεται τροφοδότηση για την πορεία της υπόθεσης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και να δημοσιεύονται στατιστικές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για να παρασχεθεί ένα κατάλληλο επίπεδο διαφάνειας</w:t>
      </w:r>
      <w:r w:rsidR="00362B81" w:rsidRPr="003E329C">
        <w:rPr>
          <w:rFonts w:eastAsia="Times New Roman" w:cstheme="minorHAnsi"/>
          <w:b/>
          <w:bCs/>
          <w:color w:val="000000" w:themeColor="text1"/>
          <w:sz w:val="24"/>
          <w:szCs w:val="24"/>
          <w:lang w:val="el-GR"/>
        </w:rPr>
        <w:t xml:space="preserve"> </w:t>
      </w:r>
      <w:r w:rsidR="00362B81">
        <w:rPr>
          <w:rFonts w:eastAsia="Times New Roman" w:cstheme="minorHAnsi"/>
          <w:b/>
          <w:bCs/>
          <w:color w:val="000000" w:themeColor="text1"/>
          <w:sz w:val="24"/>
          <w:szCs w:val="24"/>
          <w:lang w:val="el-GR"/>
        </w:rPr>
        <w:t>για το πώς αντιμετωπίζονται τα θέματα σε κάθε στάδιο της διαδικασίας</w:t>
      </w:r>
      <w:r w:rsidR="00ED3AFF" w:rsidRPr="00962F08">
        <w:rPr>
          <w:rFonts w:eastAsia="Times New Roman" w:cstheme="minorHAnsi"/>
          <w:b/>
          <w:bCs/>
          <w:color w:val="000000" w:themeColor="text1"/>
          <w:sz w:val="24"/>
          <w:szCs w:val="24"/>
          <w:lang w:val="el-GR"/>
        </w:rPr>
        <w:t>.</w:t>
      </w:r>
    </w:p>
    <w:p w14:paraId="7729C186" w14:textId="77777777" w:rsidR="00901561" w:rsidRPr="00962F08" w:rsidRDefault="00901561" w:rsidP="00901561">
      <w:pPr>
        <w:pStyle w:val="ListParagraph"/>
        <w:rPr>
          <w:sz w:val="24"/>
          <w:szCs w:val="24"/>
          <w:lang w:val="el-GR"/>
        </w:rPr>
      </w:pPr>
    </w:p>
    <w:p w14:paraId="4C9F0BBE" w14:textId="489A9508" w:rsidR="00220066" w:rsidRPr="00962F08" w:rsidRDefault="00042313" w:rsidP="00220066">
      <w:pPr>
        <w:pStyle w:val="Heading2"/>
        <w:tabs>
          <w:tab w:val="left" w:pos="709"/>
        </w:tabs>
        <w:spacing w:before="0"/>
        <w:rPr>
          <w:rFonts w:asciiTheme="minorHAnsi" w:hAnsiTheme="minorHAnsi" w:cstheme="minorHAnsi"/>
          <w:b w:val="0"/>
          <w:bCs w:val="0"/>
          <w:color w:val="auto"/>
          <w:sz w:val="24"/>
          <w:szCs w:val="24"/>
          <w:u w:val="single"/>
          <w:lang w:val="el-GR"/>
        </w:rPr>
      </w:pPr>
      <w:bookmarkStart w:id="246" w:name="_Toc110430344"/>
      <w:bookmarkStart w:id="247" w:name="_Toc117445184"/>
      <w:bookmarkStart w:id="248" w:name="_Toc136879388"/>
      <w:r>
        <w:rPr>
          <w:rFonts w:asciiTheme="minorHAnsi" w:hAnsiTheme="minorHAnsi" w:cstheme="minorHAnsi"/>
          <w:b w:val="0"/>
          <w:bCs w:val="0"/>
          <w:color w:val="auto"/>
          <w:sz w:val="24"/>
          <w:szCs w:val="24"/>
          <w:u w:val="single"/>
          <w:lang w:val="el-GR"/>
        </w:rPr>
        <w:t>Υποχρεώσεις καταγγελιών</w:t>
      </w:r>
      <w:r w:rsidR="00962F08">
        <w:rPr>
          <w:rFonts w:asciiTheme="minorHAnsi" w:hAnsiTheme="minorHAnsi" w:cstheme="minorHAnsi"/>
          <w:b w:val="0"/>
          <w:bCs w:val="0"/>
          <w:color w:val="auto"/>
          <w:sz w:val="24"/>
          <w:szCs w:val="24"/>
          <w:u w:val="single"/>
          <w:lang w:val="el-GR"/>
        </w:rPr>
        <w:t xml:space="preserve"> και</w:t>
      </w:r>
      <w:r w:rsidR="00220066" w:rsidRPr="00962F08">
        <w:rPr>
          <w:rFonts w:asciiTheme="minorHAnsi" w:hAnsiTheme="minorHAnsi" w:cstheme="minorHAnsi"/>
          <w:b w:val="0"/>
          <w:bCs w:val="0"/>
          <w:color w:val="auto"/>
          <w:sz w:val="24"/>
          <w:szCs w:val="24"/>
          <w:u w:val="single"/>
          <w:lang w:val="el-GR"/>
        </w:rPr>
        <w:t xml:space="preserve"> </w:t>
      </w:r>
      <w:r w:rsidR="00962F08">
        <w:rPr>
          <w:rFonts w:asciiTheme="minorHAnsi" w:hAnsiTheme="minorHAnsi" w:cstheme="minorHAnsi"/>
          <w:b w:val="0"/>
          <w:bCs w:val="0"/>
          <w:color w:val="auto"/>
          <w:sz w:val="24"/>
          <w:szCs w:val="24"/>
          <w:u w:val="single"/>
          <w:lang w:val="el-GR"/>
        </w:rPr>
        <w:t>προστασία πληροφοριοδοτών</w:t>
      </w:r>
      <w:bookmarkEnd w:id="246"/>
      <w:bookmarkEnd w:id="247"/>
      <w:bookmarkEnd w:id="248"/>
    </w:p>
    <w:p w14:paraId="0C92614D" w14:textId="77777777" w:rsidR="00220066" w:rsidRPr="00962F08" w:rsidRDefault="00220066" w:rsidP="00220066">
      <w:pPr>
        <w:keepNext/>
        <w:rPr>
          <w:rFonts w:cstheme="minorHAnsi"/>
          <w:sz w:val="24"/>
          <w:szCs w:val="24"/>
          <w:lang w:val="el-GR"/>
        </w:rPr>
      </w:pPr>
    </w:p>
    <w:p w14:paraId="66AB8250" w14:textId="28307390" w:rsidR="00220066" w:rsidRPr="004B7B0D" w:rsidRDefault="00962F08"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Τον</w:t>
      </w:r>
      <w:r w:rsidRPr="004B7B0D">
        <w:rPr>
          <w:rFonts w:cstheme="minorHAnsi"/>
          <w:sz w:val="24"/>
          <w:szCs w:val="24"/>
          <w:lang w:val="el-GR"/>
        </w:rPr>
        <w:t xml:space="preserve"> </w:t>
      </w:r>
      <w:r>
        <w:rPr>
          <w:rFonts w:cstheme="minorHAnsi"/>
          <w:sz w:val="24"/>
          <w:szCs w:val="24"/>
          <w:lang w:val="el-GR"/>
        </w:rPr>
        <w:t>Ιανουάριο</w:t>
      </w:r>
      <w:r w:rsidRPr="004B7B0D">
        <w:rPr>
          <w:rFonts w:cstheme="minorHAnsi"/>
          <w:sz w:val="24"/>
          <w:szCs w:val="24"/>
          <w:lang w:val="el-GR"/>
        </w:rPr>
        <w:t xml:space="preserve"> </w:t>
      </w:r>
      <w:r>
        <w:rPr>
          <w:rFonts w:cstheme="minorHAnsi"/>
          <w:sz w:val="24"/>
          <w:szCs w:val="24"/>
          <w:lang w:val="el-GR"/>
        </w:rPr>
        <w:t>του</w:t>
      </w:r>
      <w:r w:rsidR="00220066" w:rsidRPr="004B7B0D">
        <w:rPr>
          <w:rFonts w:cstheme="minorHAnsi"/>
          <w:sz w:val="24"/>
          <w:szCs w:val="24"/>
          <w:lang w:val="el-GR"/>
        </w:rPr>
        <w:t xml:space="preserve"> 2022, </w:t>
      </w:r>
      <w:r w:rsidR="00042313">
        <w:rPr>
          <w:rFonts w:cstheme="minorHAnsi"/>
          <w:sz w:val="24"/>
          <w:szCs w:val="24"/>
          <w:lang w:val="el-GR"/>
        </w:rPr>
        <w:t>υιοθετήθηκε ο</w:t>
      </w:r>
      <w:r w:rsidRPr="004B7B0D">
        <w:rPr>
          <w:rFonts w:cstheme="minorHAnsi"/>
          <w:sz w:val="24"/>
          <w:szCs w:val="24"/>
          <w:lang w:val="el-GR"/>
        </w:rPr>
        <w:t xml:space="preserve"> </w:t>
      </w:r>
      <w:r>
        <w:rPr>
          <w:rFonts w:cstheme="minorHAnsi"/>
          <w:sz w:val="24"/>
          <w:szCs w:val="24"/>
          <w:lang w:val="el-GR"/>
        </w:rPr>
        <w:t>Νόμος</w:t>
      </w:r>
      <w:r w:rsidRPr="004B7B0D">
        <w:rPr>
          <w:rFonts w:cstheme="minorHAnsi"/>
          <w:sz w:val="24"/>
          <w:szCs w:val="24"/>
          <w:lang w:val="el-GR"/>
        </w:rPr>
        <w:t xml:space="preserve"> </w:t>
      </w:r>
      <w:r>
        <w:rPr>
          <w:rFonts w:cstheme="minorHAnsi"/>
          <w:sz w:val="24"/>
          <w:szCs w:val="24"/>
          <w:lang w:val="el-GR"/>
        </w:rPr>
        <w:t>περί</w:t>
      </w:r>
      <w:r w:rsidRPr="004B7B0D">
        <w:rPr>
          <w:rFonts w:cstheme="minorHAnsi"/>
          <w:sz w:val="24"/>
          <w:szCs w:val="24"/>
          <w:lang w:val="el-GR"/>
        </w:rPr>
        <w:t xml:space="preserve"> </w:t>
      </w:r>
      <w:r>
        <w:rPr>
          <w:rFonts w:cstheme="minorHAnsi"/>
          <w:sz w:val="24"/>
          <w:szCs w:val="24"/>
          <w:lang w:val="el-GR"/>
        </w:rPr>
        <w:t>Προστασίας</w:t>
      </w:r>
      <w:r w:rsidRPr="004B7B0D">
        <w:rPr>
          <w:rFonts w:cstheme="minorHAnsi"/>
          <w:sz w:val="24"/>
          <w:szCs w:val="24"/>
          <w:lang w:val="el-GR"/>
        </w:rPr>
        <w:t xml:space="preserve"> </w:t>
      </w:r>
      <w:r>
        <w:rPr>
          <w:rFonts w:cstheme="minorHAnsi"/>
          <w:sz w:val="24"/>
          <w:szCs w:val="24"/>
          <w:lang w:val="el-GR"/>
        </w:rPr>
        <w:t>Ατόμων</w:t>
      </w:r>
      <w:r w:rsidR="004B7B0D" w:rsidRPr="004B7B0D">
        <w:rPr>
          <w:rFonts w:cstheme="minorHAnsi"/>
          <w:sz w:val="24"/>
          <w:szCs w:val="24"/>
          <w:lang w:val="el-GR"/>
        </w:rPr>
        <w:t xml:space="preserve"> </w:t>
      </w:r>
      <w:r w:rsidR="004B7B0D">
        <w:rPr>
          <w:rFonts w:cstheme="minorHAnsi"/>
          <w:sz w:val="24"/>
          <w:szCs w:val="24"/>
          <w:lang w:val="el-GR"/>
        </w:rPr>
        <w:t>που</w:t>
      </w:r>
      <w:r w:rsidR="004B7B0D" w:rsidRPr="004B7B0D">
        <w:rPr>
          <w:rFonts w:cstheme="minorHAnsi"/>
          <w:sz w:val="24"/>
          <w:szCs w:val="24"/>
          <w:lang w:val="el-GR"/>
        </w:rPr>
        <w:t xml:space="preserve"> </w:t>
      </w:r>
      <w:r w:rsidR="00091C5F">
        <w:rPr>
          <w:rFonts w:cstheme="minorHAnsi"/>
          <w:sz w:val="24"/>
          <w:szCs w:val="24"/>
          <w:lang w:val="el-GR"/>
        </w:rPr>
        <w:t>Καταγγέλλουν</w:t>
      </w:r>
      <w:r w:rsidR="004B7B0D" w:rsidRPr="004B7B0D">
        <w:rPr>
          <w:rFonts w:cstheme="minorHAnsi"/>
          <w:sz w:val="24"/>
          <w:szCs w:val="24"/>
          <w:lang w:val="el-GR"/>
        </w:rPr>
        <w:t xml:space="preserve"> </w:t>
      </w:r>
      <w:r w:rsidR="004B7B0D">
        <w:rPr>
          <w:rFonts w:cstheme="minorHAnsi"/>
          <w:sz w:val="24"/>
          <w:szCs w:val="24"/>
          <w:lang w:val="el-GR"/>
        </w:rPr>
        <w:t>Παραβιάσεις</w:t>
      </w:r>
      <w:r w:rsidR="004B7B0D" w:rsidRPr="004B7B0D">
        <w:rPr>
          <w:rFonts w:cstheme="minorHAnsi"/>
          <w:sz w:val="24"/>
          <w:szCs w:val="24"/>
          <w:lang w:val="el-GR"/>
        </w:rPr>
        <w:t xml:space="preserve"> </w:t>
      </w:r>
      <w:r w:rsidR="004B7B0D">
        <w:rPr>
          <w:rFonts w:cstheme="minorHAnsi"/>
          <w:sz w:val="24"/>
          <w:szCs w:val="24"/>
          <w:lang w:val="el-GR"/>
        </w:rPr>
        <w:t>της</w:t>
      </w:r>
      <w:r w:rsidR="004B7B0D" w:rsidRPr="004B7B0D">
        <w:rPr>
          <w:rFonts w:cstheme="minorHAnsi"/>
          <w:sz w:val="24"/>
          <w:szCs w:val="24"/>
          <w:lang w:val="el-GR"/>
        </w:rPr>
        <w:t xml:space="preserve"> </w:t>
      </w:r>
      <w:r w:rsidR="004B7B0D">
        <w:rPr>
          <w:rFonts w:cstheme="minorHAnsi"/>
          <w:sz w:val="24"/>
          <w:szCs w:val="24"/>
          <w:lang w:val="el-GR"/>
        </w:rPr>
        <w:t>Ενωτικής και Εθνικής Νομοθεσίας</w:t>
      </w:r>
      <w:r w:rsidR="00220066" w:rsidRPr="004B7B0D">
        <w:rPr>
          <w:rFonts w:cstheme="minorHAnsi"/>
          <w:sz w:val="24"/>
          <w:szCs w:val="24"/>
          <w:lang w:val="el-GR"/>
        </w:rPr>
        <w:t xml:space="preserve"> (</w:t>
      </w:r>
      <w:r w:rsidR="004B7B0D">
        <w:rPr>
          <w:rFonts w:cstheme="minorHAnsi"/>
          <w:sz w:val="24"/>
          <w:szCs w:val="24"/>
          <w:lang w:val="el-GR"/>
        </w:rPr>
        <w:t>στο εξής</w:t>
      </w:r>
      <w:r w:rsidR="00220066" w:rsidRPr="004B7B0D">
        <w:rPr>
          <w:rFonts w:cstheme="minorHAnsi"/>
          <w:sz w:val="24"/>
          <w:szCs w:val="24"/>
          <w:lang w:val="el-GR"/>
        </w:rPr>
        <w:t xml:space="preserve">: </w:t>
      </w:r>
      <w:r w:rsidR="004F62E0">
        <w:rPr>
          <w:rFonts w:cstheme="minorHAnsi"/>
          <w:sz w:val="24"/>
          <w:szCs w:val="24"/>
          <w:lang w:val="el-GR"/>
        </w:rPr>
        <w:t>Νόμ</w:t>
      </w:r>
      <w:r w:rsidR="004B7B0D">
        <w:rPr>
          <w:rFonts w:cstheme="minorHAnsi"/>
          <w:sz w:val="24"/>
          <w:szCs w:val="24"/>
          <w:lang w:val="el-GR"/>
        </w:rPr>
        <w:t xml:space="preserve">ος </w:t>
      </w:r>
      <w:proofErr w:type="spellStart"/>
      <w:r w:rsidR="004B7B0D">
        <w:rPr>
          <w:rFonts w:cstheme="minorHAnsi"/>
          <w:sz w:val="24"/>
          <w:szCs w:val="24"/>
          <w:lang w:val="el-GR"/>
        </w:rPr>
        <w:t>Πληροφοριοδότησης</w:t>
      </w:r>
      <w:proofErr w:type="spellEnd"/>
      <w:r w:rsidR="00220066" w:rsidRPr="004B7B0D">
        <w:rPr>
          <w:rFonts w:cstheme="minorHAnsi"/>
          <w:sz w:val="24"/>
          <w:szCs w:val="24"/>
          <w:lang w:val="el-GR"/>
        </w:rPr>
        <w:t xml:space="preserve">). </w:t>
      </w:r>
      <w:r w:rsidR="004B7B0D">
        <w:rPr>
          <w:rFonts w:cstheme="minorHAnsi"/>
          <w:sz w:val="24"/>
          <w:szCs w:val="24"/>
          <w:lang w:val="en-US"/>
        </w:rPr>
        <w:t>A</w:t>
      </w:r>
      <w:proofErr w:type="spellStart"/>
      <w:r w:rsidR="004B7B0D">
        <w:rPr>
          <w:rFonts w:cstheme="minorHAnsi"/>
          <w:sz w:val="24"/>
          <w:szCs w:val="24"/>
          <w:lang w:val="el-GR"/>
        </w:rPr>
        <w:t>υτός</w:t>
      </w:r>
      <w:proofErr w:type="spellEnd"/>
      <w:r w:rsidR="004B7B0D" w:rsidRPr="004F62E0">
        <w:rPr>
          <w:rFonts w:cstheme="minorHAnsi"/>
          <w:sz w:val="24"/>
          <w:szCs w:val="24"/>
          <w:lang w:val="el-GR"/>
        </w:rPr>
        <w:t xml:space="preserve"> </w:t>
      </w:r>
      <w:r w:rsidR="004B7B0D">
        <w:rPr>
          <w:rFonts w:cstheme="minorHAnsi"/>
          <w:sz w:val="24"/>
          <w:szCs w:val="24"/>
          <w:lang w:val="el-GR"/>
        </w:rPr>
        <w:t>μεταθέτει</w:t>
      </w:r>
      <w:r w:rsidR="004B7B0D" w:rsidRPr="004F62E0">
        <w:rPr>
          <w:rFonts w:cstheme="minorHAnsi"/>
          <w:sz w:val="24"/>
          <w:szCs w:val="24"/>
          <w:lang w:val="el-GR"/>
        </w:rPr>
        <w:t xml:space="preserve"> </w:t>
      </w:r>
      <w:r w:rsidR="004B7B0D">
        <w:rPr>
          <w:rFonts w:cstheme="minorHAnsi"/>
          <w:sz w:val="24"/>
          <w:szCs w:val="24"/>
          <w:lang w:val="el-GR"/>
        </w:rPr>
        <w:t>την</w:t>
      </w:r>
      <w:r w:rsidR="004B7B0D" w:rsidRPr="004F62E0">
        <w:rPr>
          <w:rFonts w:cstheme="minorHAnsi"/>
          <w:sz w:val="24"/>
          <w:szCs w:val="24"/>
          <w:lang w:val="el-GR"/>
        </w:rPr>
        <w:t xml:space="preserve"> </w:t>
      </w:r>
      <w:r w:rsidR="004B7B0D">
        <w:rPr>
          <w:rFonts w:cstheme="minorHAnsi"/>
          <w:sz w:val="24"/>
          <w:szCs w:val="24"/>
          <w:lang w:val="el-GR"/>
        </w:rPr>
        <w:t>Οδηγία</w:t>
      </w:r>
      <w:r w:rsidR="004B7B0D" w:rsidRPr="004F62E0">
        <w:rPr>
          <w:rFonts w:cstheme="minorHAnsi"/>
          <w:sz w:val="24"/>
          <w:szCs w:val="24"/>
          <w:lang w:val="el-GR"/>
        </w:rPr>
        <w:t xml:space="preserve"> </w:t>
      </w:r>
      <w:r w:rsidR="004B7B0D">
        <w:rPr>
          <w:rFonts w:cstheme="minorHAnsi"/>
          <w:sz w:val="24"/>
          <w:szCs w:val="24"/>
          <w:lang w:val="el-GR"/>
        </w:rPr>
        <w:t>της</w:t>
      </w:r>
      <w:r w:rsidR="004B7B0D" w:rsidRPr="004F62E0">
        <w:rPr>
          <w:rFonts w:cstheme="minorHAnsi"/>
          <w:sz w:val="24"/>
          <w:szCs w:val="24"/>
          <w:lang w:val="el-GR"/>
        </w:rPr>
        <w:t xml:space="preserve"> </w:t>
      </w:r>
      <w:r w:rsidR="004B7B0D">
        <w:rPr>
          <w:rFonts w:cstheme="minorHAnsi"/>
          <w:sz w:val="24"/>
          <w:szCs w:val="24"/>
          <w:lang w:val="el-GR"/>
        </w:rPr>
        <w:t>ΕΕ</w:t>
      </w:r>
      <w:r w:rsidR="00220066" w:rsidRPr="004F62E0">
        <w:rPr>
          <w:rFonts w:cstheme="minorHAnsi"/>
          <w:sz w:val="24"/>
          <w:szCs w:val="24"/>
          <w:lang w:val="el-GR"/>
        </w:rPr>
        <w:t xml:space="preserve"> 2019/1937. </w:t>
      </w:r>
      <w:r w:rsidR="004B7B0D">
        <w:rPr>
          <w:rFonts w:cstheme="minorHAnsi"/>
          <w:sz w:val="24"/>
          <w:szCs w:val="24"/>
          <w:lang w:val="el-GR"/>
        </w:rPr>
        <w:t>Αυτός</w:t>
      </w:r>
      <w:r w:rsidR="004B7B0D" w:rsidRPr="004B7B0D">
        <w:rPr>
          <w:rFonts w:cstheme="minorHAnsi"/>
          <w:sz w:val="24"/>
          <w:szCs w:val="24"/>
          <w:lang w:val="el-GR"/>
        </w:rPr>
        <w:t xml:space="preserve"> </w:t>
      </w:r>
      <w:r w:rsidR="004B7B0D">
        <w:rPr>
          <w:rFonts w:cstheme="minorHAnsi"/>
          <w:sz w:val="24"/>
          <w:szCs w:val="24"/>
          <w:lang w:val="el-GR"/>
        </w:rPr>
        <w:t>προβλέπει</w:t>
      </w:r>
      <w:r w:rsidR="00220066" w:rsidRPr="004B7B0D">
        <w:rPr>
          <w:rFonts w:cstheme="minorHAnsi"/>
          <w:sz w:val="24"/>
          <w:szCs w:val="24"/>
          <w:lang w:val="el-GR"/>
        </w:rPr>
        <w:t xml:space="preserve">, </w:t>
      </w:r>
      <w:r w:rsidR="004B7B0D">
        <w:rPr>
          <w:rFonts w:cstheme="minorHAnsi"/>
          <w:sz w:val="24"/>
          <w:szCs w:val="24"/>
          <w:lang w:val="el-GR"/>
        </w:rPr>
        <w:t>ανάμεσα</w:t>
      </w:r>
      <w:r w:rsidR="004B7B0D" w:rsidRPr="004B7B0D">
        <w:rPr>
          <w:rFonts w:cstheme="minorHAnsi"/>
          <w:sz w:val="24"/>
          <w:szCs w:val="24"/>
          <w:lang w:val="el-GR"/>
        </w:rPr>
        <w:t xml:space="preserve"> </w:t>
      </w:r>
      <w:proofErr w:type="spellStart"/>
      <w:r w:rsidR="004B7B0D">
        <w:rPr>
          <w:rFonts w:cstheme="minorHAnsi"/>
          <w:sz w:val="24"/>
          <w:szCs w:val="24"/>
          <w:lang w:val="el-GR"/>
        </w:rPr>
        <w:t>σ</w:t>
      </w:r>
      <w:r w:rsidR="004B7B0D" w:rsidRPr="004B7B0D">
        <w:rPr>
          <w:rFonts w:cstheme="minorHAnsi"/>
          <w:sz w:val="24"/>
          <w:szCs w:val="24"/>
          <w:lang w:val="el-GR"/>
        </w:rPr>
        <w:t>’</w:t>
      </w:r>
      <w:r w:rsidR="004B7B0D">
        <w:rPr>
          <w:rFonts w:cstheme="minorHAnsi"/>
          <w:sz w:val="24"/>
          <w:szCs w:val="24"/>
          <w:lang w:val="el-GR"/>
        </w:rPr>
        <w:t>άλλα</w:t>
      </w:r>
      <w:proofErr w:type="spellEnd"/>
      <w:r w:rsidR="00220066" w:rsidRPr="004B7B0D">
        <w:rPr>
          <w:rFonts w:cstheme="minorHAnsi"/>
          <w:sz w:val="24"/>
          <w:szCs w:val="24"/>
          <w:lang w:val="el-GR"/>
        </w:rPr>
        <w:t xml:space="preserve">, </w:t>
      </w:r>
      <w:r w:rsidR="004B7B0D">
        <w:rPr>
          <w:rFonts w:cstheme="minorHAnsi"/>
          <w:sz w:val="24"/>
          <w:szCs w:val="24"/>
          <w:lang w:val="el-GR"/>
        </w:rPr>
        <w:t>την</w:t>
      </w:r>
      <w:r w:rsidR="004B7B0D" w:rsidRPr="004B7B0D">
        <w:rPr>
          <w:rFonts w:cstheme="minorHAnsi"/>
          <w:sz w:val="24"/>
          <w:szCs w:val="24"/>
          <w:lang w:val="el-GR"/>
        </w:rPr>
        <w:t xml:space="preserve"> </w:t>
      </w:r>
      <w:r w:rsidR="002E5EC0">
        <w:rPr>
          <w:rFonts w:cstheme="minorHAnsi"/>
          <w:sz w:val="24"/>
          <w:szCs w:val="24"/>
          <w:lang w:val="el-GR"/>
        </w:rPr>
        <w:t>δυνατότητα</w:t>
      </w:r>
      <w:r w:rsidR="004B7B0D" w:rsidRPr="004B7B0D">
        <w:rPr>
          <w:rFonts w:cstheme="minorHAnsi"/>
          <w:sz w:val="24"/>
          <w:szCs w:val="24"/>
          <w:lang w:val="el-GR"/>
        </w:rPr>
        <w:t xml:space="preserve"> </w:t>
      </w:r>
      <w:r w:rsidR="004B7B0D">
        <w:rPr>
          <w:rFonts w:cstheme="minorHAnsi"/>
          <w:sz w:val="24"/>
          <w:szCs w:val="24"/>
          <w:lang w:val="el-GR"/>
        </w:rPr>
        <w:t>καταγγελίας</w:t>
      </w:r>
      <w:r w:rsidR="004B7B0D" w:rsidRPr="004B7B0D">
        <w:rPr>
          <w:rFonts w:cstheme="minorHAnsi"/>
          <w:sz w:val="24"/>
          <w:szCs w:val="24"/>
          <w:lang w:val="el-GR"/>
        </w:rPr>
        <w:t xml:space="preserve"> </w:t>
      </w:r>
      <w:r w:rsidR="004B7B0D">
        <w:rPr>
          <w:rFonts w:cstheme="minorHAnsi"/>
          <w:sz w:val="24"/>
          <w:szCs w:val="24"/>
          <w:lang w:val="el-GR"/>
        </w:rPr>
        <w:t>εσωτερικά</w:t>
      </w:r>
      <w:r w:rsidR="004B7B0D" w:rsidRPr="004B7B0D">
        <w:rPr>
          <w:rFonts w:cstheme="minorHAnsi"/>
          <w:sz w:val="24"/>
          <w:szCs w:val="24"/>
          <w:lang w:val="el-GR"/>
        </w:rPr>
        <w:t xml:space="preserve"> </w:t>
      </w:r>
      <w:r w:rsidR="004B7B0D">
        <w:rPr>
          <w:rFonts w:cstheme="minorHAnsi"/>
          <w:sz w:val="24"/>
          <w:szCs w:val="24"/>
          <w:lang w:val="el-GR"/>
        </w:rPr>
        <w:t>και</w:t>
      </w:r>
      <w:r w:rsidR="004B7B0D" w:rsidRPr="004B7B0D">
        <w:rPr>
          <w:rFonts w:cstheme="minorHAnsi"/>
          <w:sz w:val="24"/>
          <w:szCs w:val="24"/>
          <w:lang w:val="el-GR"/>
        </w:rPr>
        <w:t xml:space="preserve"> </w:t>
      </w:r>
      <w:r w:rsidR="004B7B0D">
        <w:rPr>
          <w:rFonts w:cstheme="minorHAnsi"/>
          <w:sz w:val="24"/>
          <w:szCs w:val="24"/>
          <w:lang w:val="el-GR"/>
        </w:rPr>
        <w:t>εξωτερικά</w:t>
      </w:r>
      <w:r w:rsidR="00220066" w:rsidRPr="004B7B0D">
        <w:rPr>
          <w:rFonts w:cstheme="minorHAnsi"/>
          <w:sz w:val="24"/>
          <w:szCs w:val="24"/>
          <w:lang w:val="el-GR"/>
        </w:rPr>
        <w:t xml:space="preserve"> (</w:t>
      </w:r>
      <w:r w:rsidR="004B7B0D">
        <w:rPr>
          <w:rFonts w:cstheme="minorHAnsi"/>
          <w:sz w:val="24"/>
          <w:szCs w:val="24"/>
          <w:lang w:val="el-GR"/>
        </w:rPr>
        <w:t>συμπεριλαμβανομένων</w:t>
      </w:r>
      <w:r w:rsidR="004B7B0D" w:rsidRPr="004B7B0D">
        <w:rPr>
          <w:rFonts w:cstheme="minorHAnsi"/>
          <w:sz w:val="24"/>
          <w:szCs w:val="24"/>
          <w:lang w:val="el-GR"/>
        </w:rPr>
        <w:t xml:space="preserve"> </w:t>
      </w:r>
      <w:r w:rsidR="004B7B0D">
        <w:rPr>
          <w:rFonts w:cstheme="minorHAnsi"/>
          <w:sz w:val="24"/>
          <w:szCs w:val="24"/>
          <w:lang w:val="el-GR"/>
        </w:rPr>
        <w:t>και</w:t>
      </w:r>
      <w:r w:rsidR="004B7B0D" w:rsidRPr="004B7B0D">
        <w:rPr>
          <w:rFonts w:cstheme="minorHAnsi"/>
          <w:sz w:val="24"/>
          <w:szCs w:val="24"/>
          <w:lang w:val="el-GR"/>
        </w:rPr>
        <w:t xml:space="preserve"> </w:t>
      </w:r>
      <w:r w:rsidR="004B7B0D">
        <w:rPr>
          <w:rFonts w:cstheme="minorHAnsi"/>
          <w:sz w:val="24"/>
          <w:szCs w:val="24"/>
          <w:lang w:val="el-GR"/>
        </w:rPr>
        <w:t>των</w:t>
      </w:r>
      <w:r w:rsidR="004B7B0D" w:rsidRPr="004B7B0D">
        <w:rPr>
          <w:rFonts w:cstheme="minorHAnsi"/>
          <w:sz w:val="24"/>
          <w:szCs w:val="24"/>
          <w:lang w:val="el-GR"/>
        </w:rPr>
        <w:t xml:space="preserve"> </w:t>
      </w:r>
      <w:r w:rsidR="004B7B0D">
        <w:rPr>
          <w:rFonts w:cstheme="minorHAnsi"/>
          <w:sz w:val="24"/>
          <w:szCs w:val="24"/>
          <w:lang w:val="el-GR"/>
        </w:rPr>
        <w:t>μέσων</w:t>
      </w:r>
      <w:r w:rsidR="004B7B0D" w:rsidRPr="004B7B0D">
        <w:rPr>
          <w:rFonts w:cstheme="minorHAnsi"/>
          <w:sz w:val="24"/>
          <w:szCs w:val="24"/>
          <w:lang w:val="el-GR"/>
        </w:rPr>
        <w:t xml:space="preserve"> </w:t>
      </w:r>
      <w:r w:rsidR="004B7B0D">
        <w:rPr>
          <w:rFonts w:cstheme="minorHAnsi"/>
          <w:sz w:val="24"/>
          <w:szCs w:val="24"/>
          <w:lang w:val="el-GR"/>
        </w:rPr>
        <w:t>ενημέρωσης</w:t>
      </w:r>
      <w:r w:rsidR="00220066" w:rsidRPr="004B7B0D">
        <w:rPr>
          <w:rFonts w:cstheme="minorHAnsi"/>
          <w:sz w:val="24"/>
          <w:szCs w:val="24"/>
          <w:lang w:val="el-GR"/>
        </w:rPr>
        <w:t xml:space="preserve"> </w:t>
      </w:r>
      <w:r w:rsidR="004B7B0D">
        <w:rPr>
          <w:rFonts w:cstheme="minorHAnsi"/>
          <w:sz w:val="24"/>
          <w:szCs w:val="24"/>
          <w:lang w:val="el-GR"/>
        </w:rPr>
        <w:t>όταν</w:t>
      </w:r>
      <w:r w:rsidR="004B7B0D" w:rsidRPr="004B7B0D">
        <w:rPr>
          <w:rFonts w:cstheme="minorHAnsi"/>
          <w:sz w:val="24"/>
          <w:szCs w:val="24"/>
          <w:lang w:val="el-GR"/>
        </w:rPr>
        <w:t xml:space="preserve"> </w:t>
      </w:r>
      <w:r w:rsidR="004B7B0D">
        <w:rPr>
          <w:rFonts w:cstheme="minorHAnsi"/>
          <w:sz w:val="24"/>
          <w:szCs w:val="24"/>
          <w:lang w:val="el-GR"/>
        </w:rPr>
        <w:t>ο</w:t>
      </w:r>
      <w:r w:rsidR="004B7B0D" w:rsidRPr="004B7B0D">
        <w:rPr>
          <w:rFonts w:cstheme="minorHAnsi"/>
          <w:sz w:val="24"/>
          <w:szCs w:val="24"/>
          <w:lang w:val="el-GR"/>
        </w:rPr>
        <w:t xml:space="preserve"> </w:t>
      </w:r>
      <w:r w:rsidR="004B7B0D">
        <w:rPr>
          <w:rFonts w:cstheme="minorHAnsi"/>
          <w:sz w:val="24"/>
          <w:szCs w:val="24"/>
          <w:lang w:val="el-GR"/>
        </w:rPr>
        <w:t>πληροφοριοδότης</w:t>
      </w:r>
      <w:r w:rsidR="004B7B0D" w:rsidRPr="004B7B0D">
        <w:rPr>
          <w:rFonts w:cstheme="minorHAnsi"/>
          <w:sz w:val="24"/>
          <w:szCs w:val="24"/>
          <w:lang w:val="el-GR"/>
        </w:rPr>
        <w:t xml:space="preserve"> </w:t>
      </w:r>
      <w:r w:rsidR="004B7B0D">
        <w:rPr>
          <w:rFonts w:cstheme="minorHAnsi"/>
          <w:sz w:val="24"/>
          <w:szCs w:val="24"/>
          <w:lang w:val="el-GR"/>
        </w:rPr>
        <w:t>έχει</w:t>
      </w:r>
      <w:r w:rsidR="004B7B0D" w:rsidRPr="004B7B0D">
        <w:rPr>
          <w:rFonts w:cstheme="minorHAnsi"/>
          <w:sz w:val="24"/>
          <w:szCs w:val="24"/>
          <w:lang w:val="el-GR"/>
        </w:rPr>
        <w:t xml:space="preserve"> </w:t>
      </w:r>
      <w:r w:rsidR="004B7B0D">
        <w:rPr>
          <w:rFonts w:cstheme="minorHAnsi"/>
          <w:sz w:val="24"/>
          <w:szCs w:val="24"/>
          <w:lang w:val="el-GR"/>
        </w:rPr>
        <w:t>εύλογους</w:t>
      </w:r>
      <w:r w:rsidR="004B7B0D" w:rsidRPr="004B7B0D">
        <w:rPr>
          <w:rFonts w:cstheme="minorHAnsi"/>
          <w:sz w:val="24"/>
          <w:szCs w:val="24"/>
          <w:lang w:val="el-GR"/>
        </w:rPr>
        <w:t xml:space="preserve"> </w:t>
      </w:r>
      <w:r w:rsidR="004B7B0D">
        <w:rPr>
          <w:rFonts w:cstheme="minorHAnsi"/>
          <w:sz w:val="24"/>
          <w:szCs w:val="24"/>
          <w:lang w:val="el-GR"/>
        </w:rPr>
        <w:t>λόγους</w:t>
      </w:r>
      <w:r w:rsidR="00220066" w:rsidRPr="004B7B0D">
        <w:rPr>
          <w:rFonts w:cstheme="minorHAnsi"/>
          <w:sz w:val="24"/>
          <w:szCs w:val="24"/>
          <w:lang w:val="el-GR"/>
        </w:rPr>
        <w:t xml:space="preserve"> </w:t>
      </w:r>
      <w:r w:rsidR="004B7B0D">
        <w:rPr>
          <w:rFonts w:cstheme="minorHAnsi"/>
          <w:sz w:val="24"/>
          <w:szCs w:val="24"/>
          <w:lang w:val="el-GR"/>
        </w:rPr>
        <w:t>να</w:t>
      </w:r>
      <w:r w:rsidR="004B7B0D" w:rsidRPr="004B7B0D">
        <w:rPr>
          <w:rFonts w:cstheme="minorHAnsi"/>
          <w:sz w:val="24"/>
          <w:szCs w:val="24"/>
          <w:lang w:val="el-GR"/>
        </w:rPr>
        <w:t xml:space="preserve"> </w:t>
      </w:r>
      <w:r w:rsidR="004B7B0D">
        <w:rPr>
          <w:rFonts w:cstheme="minorHAnsi"/>
          <w:sz w:val="24"/>
          <w:szCs w:val="24"/>
          <w:lang w:val="el-GR"/>
        </w:rPr>
        <w:t>πιστεύει</w:t>
      </w:r>
      <w:r w:rsidR="004B7B0D" w:rsidRPr="004B7B0D">
        <w:rPr>
          <w:rFonts w:cstheme="minorHAnsi"/>
          <w:sz w:val="24"/>
          <w:szCs w:val="24"/>
          <w:lang w:val="el-GR"/>
        </w:rPr>
        <w:t xml:space="preserve"> </w:t>
      </w:r>
      <w:r w:rsidR="004B7B0D">
        <w:rPr>
          <w:rFonts w:cstheme="minorHAnsi"/>
          <w:sz w:val="24"/>
          <w:szCs w:val="24"/>
          <w:lang w:val="el-GR"/>
        </w:rPr>
        <w:t>ότι</w:t>
      </w:r>
      <w:r w:rsidR="00220066" w:rsidRPr="004B7B0D">
        <w:rPr>
          <w:rFonts w:cstheme="minorHAnsi"/>
          <w:sz w:val="24"/>
          <w:szCs w:val="24"/>
          <w:lang w:val="el-GR"/>
        </w:rPr>
        <w:t xml:space="preserve"> </w:t>
      </w:r>
      <w:r w:rsidR="004B7B0D">
        <w:rPr>
          <w:rFonts w:cstheme="minorHAnsi"/>
          <w:sz w:val="24"/>
          <w:szCs w:val="24"/>
          <w:lang w:val="el-GR"/>
        </w:rPr>
        <w:t>η</w:t>
      </w:r>
      <w:r w:rsidR="004B7B0D" w:rsidRPr="004B7B0D">
        <w:rPr>
          <w:rFonts w:cstheme="minorHAnsi"/>
          <w:sz w:val="24"/>
          <w:szCs w:val="24"/>
          <w:lang w:val="el-GR"/>
        </w:rPr>
        <w:t xml:space="preserve"> </w:t>
      </w:r>
      <w:r w:rsidR="004B7B0D">
        <w:rPr>
          <w:rFonts w:cstheme="minorHAnsi"/>
          <w:sz w:val="24"/>
          <w:szCs w:val="24"/>
          <w:lang w:val="el-GR"/>
        </w:rPr>
        <w:t>καταγγελία</w:t>
      </w:r>
      <w:r w:rsidR="004B7B0D" w:rsidRPr="004B7B0D">
        <w:rPr>
          <w:rFonts w:cstheme="minorHAnsi"/>
          <w:sz w:val="24"/>
          <w:szCs w:val="24"/>
          <w:lang w:val="el-GR"/>
        </w:rPr>
        <w:t xml:space="preserve"> </w:t>
      </w:r>
      <w:r w:rsidR="004B7B0D">
        <w:rPr>
          <w:rFonts w:cstheme="minorHAnsi"/>
          <w:sz w:val="24"/>
          <w:szCs w:val="24"/>
          <w:lang w:val="el-GR"/>
        </w:rPr>
        <w:t>ή</w:t>
      </w:r>
      <w:r w:rsidR="004B7B0D" w:rsidRPr="004B7B0D">
        <w:rPr>
          <w:rFonts w:cstheme="minorHAnsi"/>
          <w:sz w:val="24"/>
          <w:szCs w:val="24"/>
          <w:lang w:val="el-GR"/>
        </w:rPr>
        <w:t xml:space="preserve"> </w:t>
      </w:r>
      <w:r w:rsidR="004B7B0D">
        <w:rPr>
          <w:rFonts w:cstheme="minorHAnsi"/>
          <w:sz w:val="24"/>
          <w:szCs w:val="24"/>
          <w:lang w:val="el-GR"/>
        </w:rPr>
        <w:t>δημόσια</w:t>
      </w:r>
      <w:r w:rsidR="004B7B0D" w:rsidRPr="004B7B0D">
        <w:rPr>
          <w:rFonts w:cstheme="minorHAnsi"/>
          <w:sz w:val="24"/>
          <w:szCs w:val="24"/>
          <w:lang w:val="el-GR"/>
        </w:rPr>
        <w:t xml:space="preserve"> </w:t>
      </w:r>
      <w:r w:rsidR="004B7B0D">
        <w:rPr>
          <w:rFonts w:cstheme="minorHAnsi"/>
          <w:sz w:val="24"/>
          <w:szCs w:val="24"/>
          <w:lang w:val="el-GR"/>
        </w:rPr>
        <w:t>αποκάλυψη</w:t>
      </w:r>
      <w:r w:rsidR="004B7B0D" w:rsidRPr="004B7B0D">
        <w:rPr>
          <w:rFonts w:cstheme="minorHAnsi"/>
          <w:sz w:val="24"/>
          <w:szCs w:val="24"/>
          <w:lang w:val="el-GR"/>
        </w:rPr>
        <w:t xml:space="preserve"> </w:t>
      </w:r>
      <w:r w:rsidR="004B7B0D">
        <w:rPr>
          <w:rFonts w:cstheme="minorHAnsi"/>
          <w:sz w:val="24"/>
          <w:szCs w:val="24"/>
          <w:lang w:val="el-GR"/>
        </w:rPr>
        <w:t>τέτοιων</w:t>
      </w:r>
      <w:r w:rsidR="004B7B0D" w:rsidRPr="004B7B0D">
        <w:rPr>
          <w:rFonts w:cstheme="minorHAnsi"/>
          <w:sz w:val="24"/>
          <w:szCs w:val="24"/>
          <w:lang w:val="el-GR"/>
        </w:rPr>
        <w:t xml:space="preserve"> </w:t>
      </w:r>
      <w:r w:rsidR="004B7B0D">
        <w:rPr>
          <w:rFonts w:cstheme="minorHAnsi"/>
          <w:sz w:val="24"/>
          <w:szCs w:val="24"/>
          <w:lang w:val="el-GR"/>
        </w:rPr>
        <w:t>πληροφοριών</w:t>
      </w:r>
      <w:r w:rsidR="00220066" w:rsidRPr="004B7B0D">
        <w:rPr>
          <w:rFonts w:cstheme="minorHAnsi"/>
          <w:sz w:val="24"/>
          <w:szCs w:val="24"/>
          <w:lang w:val="el-GR"/>
        </w:rPr>
        <w:t xml:space="preserve"> </w:t>
      </w:r>
      <w:r w:rsidR="004B7B0D">
        <w:rPr>
          <w:rFonts w:cstheme="minorHAnsi"/>
          <w:sz w:val="24"/>
          <w:szCs w:val="24"/>
          <w:lang w:val="el-GR"/>
        </w:rPr>
        <w:t>ήταν απαραίτητη</w:t>
      </w:r>
      <w:r w:rsidR="00220066" w:rsidRPr="004B7B0D">
        <w:rPr>
          <w:rFonts w:cstheme="minorHAnsi"/>
          <w:sz w:val="24"/>
          <w:szCs w:val="24"/>
          <w:lang w:val="el-GR"/>
        </w:rPr>
        <w:t xml:space="preserve"> </w:t>
      </w:r>
      <w:r w:rsidR="004B7B0D">
        <w:rPr>
          <w:rFonts w:cstheme="minorHAnsi"/>
          <w:sz w:val="24"/>
          <w:szCs w:val="24"/>
          <w:lang w:val="el-GR"/>
        </w:rPr>
        <w:t>για την αποκάλυψη της παράβασης</w:t>
      </w:r>
      <w:r w:rsidR="00220066" w:rsidRPr="004B7B0D">
        <w:rPr>
          <w:rFonts w:cstheme="minorHAnsi"/>
          <w:sz w:val="24"/>
          <w:szCs w:val="24"/>
          <w:lang w:val="el-GR"/>
        </w:rPr>
        <w:t xml:space="preserve">), </w:t>
      </w:r>
      <w:r w:rsidR="004B7B0D">
        <w:rPr>
          <w:rFonts w:cstheme="minorHAnsi"/>
          <w:sz w:val="24"/>
          <w:szCs w:val="24"/>
          <w:lang w:val="el-GR"/>
        </w:rPr>
        <w:t xml:space="preserve">επίσης </w:t>
      </w:r>
      <w:r w:rsidR="00042313">
        <w:rPr>
          <w:rFonts w:cstheme="minorHAnsi"/>
          <w:sz w:val="24"/>
          <w:szCs w:val="24"/>
          <w:lang w:val="el-GR"/>
        </w:rPr>
        <w:t xml:space="preserve">και </w:t>
      </w:r>
      <w:r w:rsidR="004B7B0D">
        <w:rPr>
          <w:rFonts w:cstheme="minorHAnsi"/>
          <w:sz w:val="24"/>
          <w:szCs w:val="24"/>
          <w:lang w:val="el-GR"/>
        </w:rPr>
        <w:t>ανώνυμα</w:t>
      </w:r>
      <w:r w:rsidR="00220066" w:rsidRPr="004B7B0D">
        <w:rPr>
          <w:rFonts w:cstheme="minorHAnsi"/>
          <w:sz w:val="24"/>
          <w:szCs w:val="24"/>
          <w:lang w:val="el-GR"/>
        </w:rPr>
        <w:t xml:space="preserve">, </w:t>
      </w:r>
      <w:r w:rsidR="004B7B0D">
        <w:rPr>
          <w:rFonts w:cstheme="minorHAnsi"/>
          <w:sz w:val="24"/>
          <w:szCs w:val="24"/>
          <w:lang w:val="el-GR"/>
        </w:rPr>
        <w:t>και καθιερώνει την απαγόρευση των αντιποίνων εναντίον πληροφοριοδοτών με οποιοδήποτε τρόπο</w:t>
      </w:r>
      <w:r w:rsidR="00220066" w:rsidRPr="004B7B0D">
        <w:rPr>
          <w:rFonts w:cstheme="minorHAnsi"/>
          <w:sz w:val="24"/>
          <w:szCs w:val="24"/>
          <w:lang w:val="el-GR"/>
        </w:rPr>
        <w:t xml:space="preserve">.  </w:t>
      </w:r>
    </w:p>
    <w:p w14:paraId="5CB331DE" w14:textId="77777777" w:rsidR="00220066" w:rsidRPr="004B7B0D" w:rsidRDefault="00220066" w:rsidP="00220066">
      <w:pPr>
        <w:keepNext/>
        <w:tabs>
          <w:tab w:val="left" w:pos="709"/>
        </w:tabs>
        <w:rPr>
          <w:rFonts w:cstheme="minorHAnsi"/>
          <w:sz w:val="24"/>
          <w:szCs w:val="24"/>
          <w:lang w:val="el-GR"/>
        </w:rPr>
      </w:pPr>
    </w:p>
    <w:p w14:paraId="618D06AF" w14:textId="498855B7" w:rsidR="00220066" w:rsidRPr="004F62E0" w:rsidRDefault="004F62E0"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Οι</w:t>
      </w:r>
      <w:r w:rsidRPr="003A4B40">
        <w:rPr>
          <w:rFonts w:cstheme="minorHAnsi"/>
          <w:sz w:val="24"/>
          <w:szCs w:val="24"/>
          <w:lang w:val="el-GR"/>
        </w:rPr>
        <w:t xml:space="preserve"> </w:t>
      </w:r>
      <w:r>
        <w:rPr>
          <w:rFonts w:cstheme="minorHAnsi"/>
          <w:sz w:val="24"/>
          <w:szCs w:val="24"/>
          <w:lang w:val="el-GR"/>
        </w:rPr>
        <w:t>ΑΕΝ</w:t>
      </w:r>
      <w:r w:rsidRPr="003A4B40">
        <w:rPr>
          <w:rFonts w:cstheme="minorHAnsi"/>
          <w:sz w:val="24"/>
          <w:szCs w:val="24"/>
          <w:lang w:val="el-GR"/>
        </w:rPr>
        <w:t xml:space="preserve"> </w:t>
      </w:r>
      <w:r>
        <w:rPr>
          <w:rFonts w:cstheme="minorHAnsi"/>
          <w:sz w:val="24"/>
          <w:szCs w:val="24"/>
          <w:lang w:val="el-GR"/>
        </w:rPr>
        <w:t>έχουν</w:t>
      </w:r>
      <w:r w:rsidRPr="003A4B40">
        <w:rPr>
          <w:rFonts w:cstheme="minorHAnsi"/>
          <w:sz w:val="24"/>
          <w:szCs w:val="24"/>
          <w:lang w:val="el-GR"/>
        </w:rPr>
        <w:t xml:space="preserve"> </w:t>
      </w:r>
      <w:r>
        <w:rPr>
          <w:rFonts w:cstheme="minorHAnsi"/>
          <w:sz w:val="24"/>
          <w:szCs w:val="24"/>
          <w:lang w:val="el-GR"/>
        </w:rPr>
        <w:t>την</w:t>
      </w:r>
      <w:r w:rsidRPr="003A4B40">
        <w:rPr>
          <w:rFonts w:cstheme="minorHAnsi"/>
          <w:sz w:val="24"/>
          <w:szCs w:val="24"/>
          <w:lang w:val="el-GR"/>
        </w:rPr>
        <w:t xml:space="preserve"> </w:t>
      </w:r>
      <w:r>
        <w:rPr>
          <w:rFonts w:cstheme="minorHAnsi"/>
          <w:sz w:val="24"/>
          <w:szCs w:val="24"/>
          <w:lang w:val="el-GR"/>
        </w:rPr>
        <w:t>υποχρέωση</w:t>
      </w:r>
      <w:r w:rsidRPr="003A4B40">
        <w:rPr>
          <w:rFonts w:cstheme="minorHAnsi"/>
          <w:sz w:val="24"/>
          <w:szCs w:val="24"/>
          <w:lang w:val="el-GR"/>
        </w:rPr>
        <w:t xml:space="preserve"> </w:t>
      </w:r>
      <w:r>
        <w:rPr>
          <w:rFonts w:cstheme="minorHAnsi"/>
          <w:sz w:val="24"/>
          <w:szCs w:val="24"/>
          <w:lang w:val="el-GR"/>
        </w:rPr>
        <w:t>να</w:t>
      </w:r>
      <w:r w:rsidRPr="003A4B40">
        <w:rPr>
          <w:rFonts w:cstheme="minorHAnsi"/>
          <w:sz w:val="24"/>
          <w:szCs w:val="24"/>
          <w:lang w:val="el-GR"/>
        </w:rPr>
        <w:t xml:space="preserve"> </w:t>
      </w:r>
      <w:r>
        <w:rPr>
          <w:rFonts w:cstheme="minorHAnsi"/>
          <w:sz w:val="24"/>
          <w:szCs w:val="24"/>
          <w:lang w:val="el-GR"/>
        </w:rPr>
        <w:t>καταγγείλουν</w:t>
      </w:r>
      <w:r w:rsidRPr="003A4B40">
        <w:rPr>
          <w:rFonts w:cstheme="minorHAnsi"/>
          <w:sz w:val="24"/>
          <w:szCs w:val="24"/>
          <w:lang w:val="el-GR"/>
        </w:rPr>
        <w:t xml:space="preserve"> </w:t>
      </w:r>
      <w:r>
        <w:rPr>
          <w:rFonts w:cstheme="minorHAnsi"/>
          <w:sz w:val="24"/>
          <w:szCs w:val="24"/>
          <w:lang w:val="el-GR"/>
        </w:rPr>
        <w:t>υποψίες</w:t>
      </w:r>
      <w:r w:rsidRPr="003A4B40">
        <w:rPr>
          <w:rFonts w:cstheme="minorHAnsi"/>
          <w:sz w:val="24"/>
          <w:szCs w:val="24"/>
          <w:lang w:val="el-GR"/>
        </w:rPr>
        <w:t xml:space="preserve"> </w:t>
      </w:r>
      <w:r>
        <w:rPr>
          <w:rFonts w:cstheme="minorHAnsi"/>
          <w:sz w:val="24"/>
          <w:szCs w:val="24"/>
          <w:lang w:val="el-GR"/>
        </w:rPr>
        <w:t>για</w:t>
      </w:r>
      <w:r w:rsidRPr="003A4B40">
        <w:rPr>
          <w:rFonts w:cstheme="minorHAnsi"/>
          <w:sz w:val="24"/>
          <w:szCs w:val="24"/>
          <w:lang w:val="el-GR"/>
        </w:rPr>
        <w:t xml:space="preserve"> </w:t>
      </w:r>
      <w:r>
        <w:rPr>
          <w:rFonts w:cstheme="minorHAnsi"/>
          <w:sz w:val="24"/>
          <w:szCs w:val="24"/>
          <w:lang w:val="el-GR"/>
        </w:rPr>
        <w:t>διαφθορά</w:t>
      </w:r>
      <w:r w:rsidRPr="003A4B40">
        <w:rPr>
          <w:rFonts w:cstheme="minorHAnsi"/>
          <w:sz w:val="24"/>
          <w:szCs w:val="24"/>
          <w:lang w:val="el-GR"/>
        </w:rPr>
        <w:t>.</w:t>
      </w:r>
      <w:r w:rsidR="00220066" w:rsidRPr="003A4B40">
        <w:rPr>
          <w:rFonts w:cstheme="minorHAnsi"/>
          <w:sz w:val="24"/>
          <w:szCs w:val="24"/>
          <w:lang w:val="el-GR"/>
        </w:rPr>
        <w:t xml:space="preserve"> </w:t>
      </w:r>
      <w:r>
        <w:rPr>
          <w:rFonts w:cstheme="minorHAnsi"/>
          <w:sz w:val="24"/>
          <w:szCs w:val="24"/>
          <w:lang w:val="el-GR"/>
        </w:rPr>
        <w:t>Παράλειψη</w:t>
      </w:r>
      <w:r w:rsidRPr="004F62E0">
        <w:rPr>
          <w:rFonts w:cstheme="minorHAnsi"/>
          <w:sz w:val="24"/>
          <w:szCs w:val="24"/>
          <w:lang w:val="el-GR"/>
        </w:rPr>
        <w:t xml:space="preserve"> </w:t>
      </w:r>
      <w:r>
        <w:rPr>
          <w:rFonts w:cstheme="minorHAnsi"/>
          <w:sz w:val="24"/>
          <w:szCs w:val="24"/>
          <w:lang w:val="el-GR"/>
        </w:rPr>
        <w:t>να</w:t>
      </w:r>
      <w:r w:rsidRPr="004F62E0">
        <w:rPr>
          <w:rFonts w:cstheme="minorHAnsi"/>
          <w:sz w:val="24"/>
          <w:szCs w:val="24"/>
          <w:lang w:val="el-GR"/>
        </w:rPr>
        <w:t xml:space="preserve"> </w:t>
      </w:r>
      <w:r>
        <w:rPr>
          <w:rFonts w:cstheme="minorHAnsi"/>
          <w:sz w:val="24"/>
          <w:szCs w:val="24"/>
          <w:lang w:val="el-GR"/>
        </w:rPr>
        <w:t>το</w:t>
      </w:r>
      <w:r w:rsidRPr="004F62E0">
        <w:rPr>
          <w:rFonts w:cstheme="minorHAnsi"/>
          <w:sz w:val="24"/>
          <w:szCs w:val="24"/>
          <w:lang w:val="el-GR"/>
        </w:rPr>
        <w:t xml:space="preserve"> </w:t>
      </w:r>
      <w:r>
        <w:rPr>
          <w:rFonts w:cstheme="minorHAnsi"/>
          <w:sz w:val="24"/>
          <w:szCs w:val="24"/>
          <w:lang w:val="el-GR"/>
        </w:rPr>
        <w:t>κάνουν</w:t>
      </w:r>
      <w:r w:rsidRPr="004F62E0">
        <w:rPr>
          <w:rFonts w:cstheme="minorHAnsi"/>
          <w:sz w:val="24"/>
          <w:szCs w:val="24"/>
          <w:lang w:val="el-GR"/>
        </w:rPr>
        <w:t xml:space="preserve"> </w:t>
      </w:r>
      <w:r w:rsidR="00042313">
        <w:rPr>
          <w:rFonts w:cstheme="minorHAnsi"/>
          <w:sz w:val="24"/>
          <w:szCs w:val="24"/>
          <w:lang w:val="el-GR"/>
        </w:rPr>
        <w:t xml:space="preserve">αυτό </w:t>
      </w:r>
      <w:r>
        <w:rPr>
          <w:rFonts w:cstheme="minorHAnsi"/>
          <w:sz w:val="24"/>
          <w:szCs w:val="24"/>
          <w:lang w:val="el-GR"/>
        </w:rPr>
        <w:t>αποτελεί</w:t>
      </w:r>
      <w:r w:rsidRPr="004F62E0">
        <w:rPr>
          <w:rFonts w:cstheme="minorHAnsi"/>
          <w:sz w:val="24"/>
          <w:szCs w:val="24"/>
          <w:lang w:val="el-GR"/>
        </w:rPr>
        <w:t xml:space="preserve"> </w:t>
      </w:r>
      <w:r>
        <w:rPr>
          <w:rFonts w:cstheme="minorHAnsi"/>
          <w:sz w:val="24"/>
          <w:szCs w:val="24"/>
          <w:lang w:val="el-GR"/>
        </w:rPr>
        <w:t>τόσο</w:t>
      </w:r>
      <w:r w:rsidRPr="004F62E0">
        <w:rPr>
          <w:rFonts w:cstheme="minorHAnsi"/>
          <w:sz w:val="24"/>
          <w:szCs w:val="24"/>
          <w:lang w:val="el-GR"/>
        </w:rPr>
        <w:t xml:space="preserve"> </w:t>
      </w:r>
      <w:r>
        <w:rPr>
          <w:rFonts w:cstheme="minorHAnsi"/>
          <w:sz w:val="24"/>
          <w:szCs w:val="24"/>
          <w:lang w:val="el-GR"/>
        </w:rPr>
        <w:t>πειθαρχικό</w:t>
      </w:r>
      <w:r w:rsidRPr="004F62E0">
        <w:rPr>
          <w:rFonts w:cstheme="minorHAnsi"/>
          <w:sz w:val="24"/>
          <w:szCs w:val="24"/>
          <w:lang w:val="el-GR"/>
        </w:rPr>
        <w:t xml:space="preserve"> </w:t>
      </w:r>
      <w:r>
        <w:rPr>
          <w:rFonts w:cstheme="minorHAnsi"/>
          <w:sz w:val="24"/>
          <w:szCs w:val="24"/>
          <w:lang w:val="el-GR"/>
        </w:rPr>
        <w:t>όσο</w:t>
      </w:r>
      <w:r w:rsidRPr="004F62E0">
        <w:rPr>
          <w:rFonts w:cstheme="minorHAnsi"/>
          <w:sz w:val="24"/>
          <w:szCs w:val="24"/>
          <w:lang w:val="el-GR"/>
        </w:rPr>
        <w:t xml:space="preserve"> </w:t>
      </w:r>
      <w:r>
        <w:rPr>
          <w:rFonts w:cstheme="minorHAnsi"/>
          <w:sz w:val="24"/>
          <w:szCs w:val="24"/>
          <w:lang w:val="el-GR"/>
        </w:rPr>
        <w:t>και</w:t>
      </w:r>
      <w:r w:rsidRPr="004F62E0">
        <w:rPr>
          <w:rFonts w:cstheme="minorHAnsi"/>
          <w:sz w:val="24"/>
          <w:szCs w:val="24"/>
          <w:lang w:val="el-GR"/>
        </w:rPr>
        <w:t xml:space="preserve"> </w:t>
      </w:r>
      <w:r>
        <w:rPr>
          <w:rFonts w:cstheme="minorHAnsi"/>
          <w:sz w:val="24"/>
          <w:szCs w:val="24"/>
          <w:lang w:val="el-GR"/>
        </w:rPr>
        <w:t>ποινικό</w:t>
      </w:r>
      <w:r w:rsidRPr="004F62E0">
        <w:rPr>
          <w:rFonts w:cstheme="minorHAnsi"/>
          <w:sz w:val="24"/>
          <w:szCs w:val="24"/>
          <w:lang w:val="el-GR"/>
        </w:rPr>
        <w:t xml:space="preserve"> </w:t>
      </w:r>
      <w:r>
        <w:rPr>
          <w:rFonts w:cstheme="minorHAnsi"/>
          <w:sz w:val="24"/>
          <w:szCs w:val="24"/>
          <w:lang w:val="el-GR"/>
        </w:rPr>
        <w:t>αδίκημα</w:t>
      </w:r>
      <w:r w:rsidR="00220066" w:rsidRPr="004F62E0">
        <w:rPr>
          <w:rFonts w:cstheme="minorHAnsi"/>
          <w:sz w:val="24"/>
          <w:szCs w:val="24"/>
          <w:lang w:val="el-GR"/>
        </w:rPr>
        <w:t xml:space="preserve">, </w:t>
      </w:r>
      <w:r>
        <w:rPr>
          <w:rFonts w:cstheme="minorHAnsi"/>
          <w:sz w:val="24"/>
          <w:szCs w:val="24"/>
          <w:lang w:val="el-GR"/>
        </w:rPr>
        <w:t>που</w:t>
      </w:r>
      <w:r w:rsidRPr="004F62E0">
        <w:rPr>
          <w:rFonts w:cstheme="minorHAnsi"/>
          <w:sz w:val="24"/>
          <w:szCs w:val="24"/>
          <w:lang w:val="el-GR"/>
        </w:rPr>
        <w:t xml:space="preserve"> </w:t>
      </w:r>
      <w:r>
        <w:rPr>
          <w:rFonts w:cstheme="minorHAnsi"/>
          <w:sz w:val="24"/>
          <w:szCs w:val="24"/>
          <w:lang w:val="el-GR"/>
        </w:rPr>
        <w:t>μπορεί</w:t>
      </w:r>
      <w:r w:rsidRPr="004F62E0">
        <w:rPr>
          <w:rFonts w:cstheme="minorHAnsi"/>
          <w:sz w:val="24"/>
          <w:szCs w:val="24"/>
          <w:lang w:val="el-GR"/>
        </w:rPr>
        <w:t xml:space="preserve"> </w:t>
      </w:r>
      <w:r>
        <w:rPr>
          <w:rFonts w:cstheme="minorHAnsi"/>
          <w:sz w:val="24"/>
          <w:szCs w:val="24"/>
          <w:lang w:val="el-GR"/>
        </w:rPr>
        <w:t>να</w:t>
      </w:r>
      <w:r w:rsidRPr="004F62E0">
        <w:rPr>
          <w:rFonts w:cstheme="minorHAnsi"/>
          <w:sz w:val="24"/>
          <w:szCs w:val="24"/>
          <w:lang w:val="el-GR"/>
        </w:rPr>
        <w:t xml:space="preserve"> </w:t>
      </w:r>
      <w:r>
        <w:rPr>
          <w:rFonts w:cstheme="minorHAnsi"/>
          <w:sz w:val="24"/>
          <w:szCs w:val="24"/>
          <w:lang w:val="el-GR"/>
        </w:rPr>
        <w:t>τιμωρείται με μέχρι πέντε χρόνια φυλάκιση</w:t>
      </w:r>
      <w:r w:rsidR="00220066" w:rsidRPr="004F62E0">
        <w:rPr>
          <w:rFonts w:cstheme="minorHAnsi"/>
          <w:sz w:val="24"/>
          <w:szCs w:val="24"/>
          <w:lang w:val="el-GR"/>
        </w:rPr>
        <w:t xml:space="preserve"> </w:t>
      </w:r>
      <w:r>
        <w:rPr>
          <w:rFonts w:cstheme="minorHAnsi"/>
          <w:sz w:val="24"/>
          <w:szCs w:val="24"/>
          <w:lang w:val="el-GR"/>
        </w:rPr>
        <w:t>ή</w:t>
      </w:r>
      <w:r w:rsidR="00220066" w:rsidRPr="004F62E0">
        <w:rPr>
          <w:rFonts w:cstheme="minorHAnsi"/>
          <w:sz w:val="24"/>
          <w:szCs w:val="24"/>
          <w:lang w:val="el-GR"/>
        </w:rPr>
        <w:t>/</w:t>
      </w:r>
      <w:r>
        <w:rPr>
          <w:rFonts w:cstheme="minorHAnsi"/>
          <w:sz w:val="24"/>
          <w:szCs w:val="24"/>
          <w:lang w:val="el-GR"/>
        </w:rPr>
        <w:t>και</w:t>
      </w:r>
      <w:r w:rsidR="00220066" w:rsidRPr="004F62E0">
        <w:rPr>
          <w:rFonts w:cstheme="minorHAnsi"/>
          <w:sz w:val="24"/>
          <w:szCs w:val="24"/>
          <w:lang w:val="el-GR"/>
        </w:rPr>
        <w:t xml:space="preserve"> </w:t>
      </w:r>
      <w:r>
        <w:rPr>
          <w:rFonts w:cstheme="minorHAnsi"/>
          <w:sz w:val="24"/>
          <w:szCs w:val="24"/>
          <w:lang w:val="el-GR"/>
        </w:rPr>
        <w:t>πρόστιμο μέχρι</w:t>
      </w:r>
      <w:r w:rsidR="00220066" w:rsidRPr="004F62E0">
        <w:rPr>
          <w:rFonts w:cstheme="minorHAnsi"/>
          <w:sz w:val="24"/>
          <w:szCs w:val="24"/>
          <w:lang w:val="el-GR"/>
        </w:rPr>
        <w:t xml:space="preserve"> €50 000. </w:t>
      </w:r>
    </w:p>
    <w:p w14:paraId="7A465D22" w14:textId="77777777" w:rsidR="00220066" w:rsidRPr="004F62E0" w:rsidRDefault="00220066" w:rsidP="00220066">
      <w:pPr>
        <w:keepNext/>
        <w:tabs>
          <w:tab w:val="left" w:pos="709"/>
        </w:tabs>
        <w:rPr>
          <w:rFonts w:cstheme="minorHAnsi"/>
          <w:sz w:val="24"/>
          <w:szCs w:val="24"/>
          <w:lang w:val="el-GR"/>
        </w:rPr>
      </w:pPr>
    </w:p>
    <w:p w14:paraId="786FE153" w14:textId="57240DCE" w:rsidR="00220066" w:rsidRPr="0062047E" w:rsidRDefault="004F62E0"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Ο</w:t>
      </w:r>
      <w:r w:rsidRPr="004F62E0">
        <w:rPr>
          <w:rFonts w:cstheme="minorHAnsi"/>
          <w:sz w:val="24"/>
          <w:szCs w:val="24"/>
          <w:lang w:val="el-GR"/>
        </w:rPr>
        <w:t xml:space="preserve"> </w:t>
      </w:r>
      <w:r>
        <w:rPr>
          <w:rFonts w:cstheme="minorHAnsi"/>
          <w:sz w:val="24"/>
          <w:szCs w:val="24"/>
          <w:lang w:val="el-GR"/>
        </w:rPr>
        <w:t>πρόσφατα</w:t>
      </w:r>
      <w:r w:rsidRPr="004F62E0">
        <w:rPr>
          <w:rFonts w:cstheme="minorHAnsi"/>
          <w:sz w:val="24"/>
          <w:szCs w:val="24"/>
          <w:lang w:val="el-GR"/>
        </w:rPr>
        <w:t xml:space="preserve"> </w:t>
      </w:r>
      <w:r>
        <w:rPr>
          <w:rFonts w:cstheme="minorHAnsi"/>
          <w:sz w:val="24"/>
          <w:szCs w:val="24"/>
          <w:lang w:val="el-GR"/>
        </w:rPr>
        <w:t>υιοθετημένος</w:t>
      </w:r>
      <w:r w:rsidRPr="004F62E0">
        <w:rPr>
          <w:rFonts w:cstheme="minorHAnsi"/>
          <w:sz w:val="24"/>
          <w:szCs w:val="24"/>
          <w:lang w:val="el-GR"/>
        </w:rPr>
        <w:t xml:space="preserve"> </w:t>
      </w:r>
      <w:r>
        <w:rPr>
          <w:rFonts w:cstheme="minorHAnsi"/>
          <w:sz w:val="24"/>
          <w:szCs w:val="24"/>
          <w:lang w:val="el-GR"/>
        </w:rPr>
        <w:t>Νόμος</w:t>
      </w:r>
      <w:r w:rsidRPr="004F62E0">
        <w:rPr>
          <w:rFonts w:cstheme="minorHAnsi"/>
          <w:sz w:val="24"/>
          <w:szCs w:val="24"/>
          <w:lang w:val="el-GR"/>
        </w:rPr>
        <w:t xml:space="preserve"> </w:t>
      </w:r>
      <w:proofErr w:type="spellStart"/>
      <w:r>
        <w:rPr>
          <w:rFonts w:cstheme="minorHAnsi"/>
          <w:sz w:val="24"/>
          <w:szCs w:val="24"/>
          <w:lang w:val="el-GR"/>
        </w:rPr>
        <w:t>Πληροφοριοδότησης</w:t>
      </w:r>
      <w:proofErr w:type="spellEnd"/>
      <w:r w:rsidR="00220066" w:rsidRPr="004F62E0">
        <w:rPr>
          <w:rFonts w:cstheme="minorHAnsi"/>
          <w:sz w:val="24"/>
          <w:szCs w:val="24"/>
          <w:lang w:val="el-GR"/>
        </w:rPr>
        <w:t xml:space="preserve"> </w:t>
      </w:r>
      <w:r>
        <w:rPr>
          <w:rFonts w:cstheme="minorHAnsi"/>
          <w:sz w:val="24"/>
          <w:szCs w:val="24"/>
          <w:lang w:val="el-GR"/>
        </w:rPr>
        <w:t>καθιερώνει</w:t>
      </w:r>
      <w:r w:rsidRPr="004F62E0">
        <w:rPr>
          <w:rFonts w:cstheme="minorHAnsi"/>
          <w:sz w:val="24"/>
          <w:szCs w:val="24"/>
          <w:lang w:val="el-GR"/>
        </w:rPr>
        <w:t xml:space="preserve"> </w:t>
      </w:r>
      <w:r>
        <w:rPr>
          <w:rFonts w:cstheme="minorHAnsi"/>
          <w:sz w:val="24"/>
          <w:szCs w:val="24"/>
          <w:lang w:val="el-GR"/>
        </w:rPr>
        <w:t>την</w:t>
      </w:r>
      <w:r w:rsidRPr="004F62E0">
        <w:rPr>
          <w:rFonts w:cstheme="minorHAnsi"/>
          <w:sz w:val="24"/>
          <w:szCs w:val="24"/>
          <w:lang w:val="el-GR"/>
        </w:rPr>
        <w:t xml:space="preserve"> </w:t>
      </w:r>
      <w:r>
        <w:rPr>
          <w:rFonts w:cstheme="minorHAnsi"/>
          <w:sz w:val="24"/>
          <w:szCs w:val="24"/>
          <w:lang w:val="el-GR"/>
        </w:rPr>
        <w:t>υποχρ</w:t>
      </w:r>
      <w:r w:rsidR="00042313">
        <w:rPr>
          <w:rFonts w:cstheme="minorHAnsi"/>
          <w:sz w:val="24"/>
          <w:szCs w:val="24"/>
          <w:lang w:val="el-GR"/>
        </w:rPr>
        <w:t>έω</w:t>
      </w:r>
      <w:r>
        <w:rPr>
          <w:rFonts w:cstheme="minorHAnsi"/>
          <w:sz w:val="24"/>
          <w:szCs w:val="24"/>
          <w:lang w:val="el-GR"/>
        </w:rPr>
        <w:t>ση να καθιερωθούν εσωτερικά κανάλια καταγγελίας</w:t>
      </w:r>
      <w:r w:rsidR="00220066" w:rsidRPr="004F62E0">
        <w:rPr>
          <w:rFonts w:cstheme="minorHAnsi"/>
          <w:sz w:val="24"/>
          <w:szCs w:val="24"/>
          <w:lang w:val="el-GR"/>
        </w:rPr>
        <w:t xml:space="preserve">. </w:t>
      </w:r>
      <w:r>
        <w:rPr>
          <w:rFonts w:cstheme="minorHAnsi"/>
          <w:sz w:val="24"/>
          <w:szCs w:val="24"/>
          <w:lang w:val="el-GR"/>
        </w:rPr>
        <w:t>Σύμφωνα</w:t>
      </w:r>
      <w:r w:rsidRPr="004F62E0">
        <w:rPr>
          <w:rFonts w:cstheme="minorHAnsi"/>
          <w:sz w:val="24"/>
          <w:szCs w:val="24"/>
          <w:lang w:val="el-GR"/>
        </w:rPr>
        <w:t xml:space="preserve"> </w:t>
      </w:r>
      <w:r>
        <w:rPr>
          <w:rFonts w:cstheme="minorHAnsi"/>
          <w:sz w:val="24"/>
          <w:szCs w:val="24"/>
          <w:lang w:val="el-GR"/>
        </w:rPr>
        <w:t>με</w:t>
      </w:r>
      <w:r w:rsidRPr="004F62E0">
        <w:rPr>
          <w:rFonts w:cstheme="minorHAnsi"/>
          <w:sz w:val="24"/>
          <w:szCs w:val="24"/>
          <w:lang w:val="el-GR"/>
        </w:rPr>
        <w:t xml:space="preserve"> </w:t>
      </w:r>
      <w:r>
        <w:rPr>
          <w:rFonts w:cstheme="minorHAnsi"/>
          <w:sz w:val="24"/>
          <w:szCs w:val="24"/>
          <w:lang w:val="el-GR"/>
        </w:rPr>
        <w:t>τους</w:t>
      </w:r>
      <w:r w:rsidRPr="004F62E0">
        <w:rPr>
          <w:rFonts w:cstheme="minorHAnsi"/>
          <w:sz w:val="24"/>
          <w:szCs w:val="24"/>
          <w:lang w:val="el-GR"/>
        </w:rPr>
        <w:t xml:space="preserve"> </w:t>
      </w:r>
      <w:r>
        <w:rPr>
          <w:rFonts w:cstheme="minorHAnsi"/>
          <w:sz w:val="24"/>
          <w:szCs w:val="24"/>
          <w:lang w:val="el-GR"/>
        </w:rPr>
        <w:t>Αστυνομικούς</w:t>
      </w:r>
      <w:r w:rsidRPr="004F62E0">
        <w:rPr>
          <w:rFonts w:cstheme="minorHAnsi"/>
          <w:sz w:val="24"/>
          <w:szCs w:val="24"/>
          <w:lang w:val="el-GR"/>
        </w:rPr>
        <w:t xml:space="preserve"> </w:t>
      </w:r>
      <w:r>
        <w:rPr>
          <w:rFonts w:cstheme="minorHAnsi"/>
          <w:sz w:val="24"/>
          <w:szCs w:val="24"/>
          <w:lang w:val="el-GR"/>
        </w:rPr>
        <w:t>Κανονισμούς</w:t>
      </w:r>
      <w:r w:rsidR="00220066" w:rsidRPr="004F62E0">
        <w:rPr>
          <w:rFonts w:eastAsiaTheme="majorEastAsia" w:cstheme="minorHAnsi"/>
          <w:bCs/>
          <w:sz w:val="24"/>
          <w:szCs w:val="24"/>
          <w:lang w:val="el-GR"/>
        </w:rPr>
        <w:t xml:space="preserve"> (</w:t>
      </w:r>
      <w:r>
        <w:rPr>
          <w:rFonts w:eastAsiaTheme="majorEastAsia" w:cstheme="minorHAnsi"/>
          <w:bCs/>
          <w:sz w:val="24"/>
          <w:szCs w:val="24"/>
          <w:lang w:val="el-GR"/>
        </w:rPr>
        <w:t>Πειθαρχικούς</w:t>
      </w:r>
      <w:r w:rsidR="00220066" w:rsidRPr="004F62E0">
        <w:rPr>
          <w:rFonts w:eastAsiaTheme="majorEastAsia" w:cstheme="minorHAnsi"/>
          <w:bCs/>
          <w:sz w:val="24"/>
          <w:szCs w:val="24"/>
          <w:lang w:val="el-GR"/>
        </w:rPr>
        <w:t xml:space="preserve">) </w:t>
      </w:r>
      <w:r>
        <w:rPr>
          <w:rFonts w:eastAsiaTheme="majorEastAsia" w:cstheme="minorHAnsi"/>
          <w:bCs/>
          <w:sz w:val="24"/>
          <w:szCs w:val="24"/>
          <w:lang w:val="el-GR"/>
        </w:rPr>
        <w:t>Κανονιστική</w:t>
      </w:r>
      <w:r w:rsidRPr="004F62E0">
        <w:rPr>
          <w:rFonts w:eastAsiaTheme="majorEastAsia" w:cstheme="minorHAnsi"/>
          <w:bCs/>
          <w:sz w:val="24"/>
          <w:szCs w:val="24"/>
          <w:lang w:val="el-GR"/>
        </w:rPr>
        <w:t xml:space="preserve"> </w:t>
      </w:r>
      <w:r>
        <w:rPr>
          <w:rFonts w:eastAsiaTheme="majorEastAsia" w:cstheme="minorHAnsi"/>
          <w:bCs/>
          <w:sz w:val="24"/>
          <w:szCs w:val="24"/>
          <w:lang w:val="el-GR"/>
        </w:rPr>
        <w:t>Διοικητική</w:t>
      </w:r>
      <w:r w:rsidRPr="004F62E0">
        <w:rPr>
          <w:rFonts w:eastAsiaTheme="majorEastAsia" w:cstheme="minorHAnsi"/>
          <w:bCs/>
          <w:sz w:val="24"/>
          <w:szCs w:val="24"/>
          <w:lang w:val="el-GR"/>
        </w:rPr>
        <w:t xml:space="preserve"> </w:t>
      </w:r>
      <w:r>
        <w:rPr>
          <w:rFonts w:eastAsiaTheme="majorEastAsia" w:cstheme="minorHAnsi"/>
          <w:bCs/>
          <w:sz w:val="24"/>
          <w:szCs w:val="24"/>
          <w:lang w:val="el-GR"/>
        </w:rPr>
        <w:t>Πράξη</w:t>
      </w:r>
      <w:r w:rsidR="00220066" w:rsidRPr="004F62E0">
        <w:rPr>
          <w:rFonts w:eastAsiaTheme="majorEastAsia" w:cstheme="minorHAnsi"/>
          <w:bCs/>
          <w:sz w:val="24"/>
          <w:szCs w:val="24"/>
          <w:lang w:val="el-GR"/>
        </w:rPr>
        <w:t xml:space="preserve"> 53/1989, </w:t>
      </w:r>
      <w:r>
        <w:rPr>
          <w:rFonts w:eastAsiaTheme="majorEastAsia" w:cstheme="minorHAnsi"/>
          <w:bCs/>
          <w:sz w:val="24"/>
          <w:szCs w:val="24"/>
          <w:lang w:val="el-GR"/>
        </w:rPr>
        <w:t>αν</w:t>
      </w:r>
      <w:r w:rsidRPr="004F62E0">
        <w:rPr>
          <w:rFonts w:eastAsiaTheme="majorEastAsia" w:cstheme="minorHAnsi"/>
          <w:bCs/>
          <w:sz w:val="24"/>
          <w:szCs w:val="24"/>
          <w:lang w:val="el-GR"/>
        </w:rPr>
        <w:t xml:space="preserve"> </w:t>
      </w:r>
      <w:r>
        <w:rPr>
          <w:rFonts w:eastAsiaTheme="majorEastAsia" w:cstheme="minorHAnsi"/>
          <w:bCs/>
          <w:sz w:val="24"/>
          <w:szCs w:val="24"/>
          <w:lang w:val="el-GR"/>
        </w:rPr>
        <w:t>ένας</w:t>
      </w:r>
      <w:r w:rsidRPr="004F62E0">
        <w:rPr>
          <w:rFonts w:eastAsiaTheme="majorEastAsia" w:cstheme="minorHAnsi"/>
          <w:bCs/>
          <w:sz w:val="24"/>
          <w:szCs w:val="24"/>
          <w:lang w:val="el-GR"/>
        </w:rPr>
        <w:t xml:space="preserve"> </w:t>
      </w:r>
      <w:r>
        <w:rPr>
          <w:rFonts w:eastAsiaTheme="majorEastAsia" w:cstheme="minorHAnsi"/>
          <w:bCs/>
          <w:sz w:val="24"/>
          <w:szCs w:val="24"/>
          <w:lang w:val="el-GR"/>
        </w:rPr>
        <w:t>αξιωματούχος</w:t>
      </w:r>
      <w:r w:rsidRPr="004F62E0">
        <w:rPr>
          <w:rFonts w:eastAsiaTheme="majorEastAsia" w:cstheme="minorHAnsi"/>
          <w:bCs/>
          <w:sz w:val="24"/>
          <w:szCs w:val="24"/>
          <w:lang w:val="el-GR"/>
        </w:rPr>
        <w:t xml:space="preserve"> </w:t>
      </w:r>
      <w:r>
        <w:rPr>
          <w:rFonts w:eastAsiaTheme="majorEastAsia" w:cstheme="minorHAnsi"/>
          <w:bCs/>
          <w:sz w:val="24"/>
          <w:szCs w:val="24"/>
          <w:lang w:val="el-GR"/>
        </w:rPr>
        <w:t>επιθυμεί</w:t>
      </w:r>
      <w:r w:rsidRPr="004F62E0">
        <w:rPr>
          <w:rFonts w:eastAsiaTheme="majorEastAsia" w:cstheme="minorHAnsi"/>
          <w:bCs/>
          <w:sz w:val="24"/>
          <w:szCs w:val="24"/>
          <w:lang w:val="el-GR"/>
        </w:rPr>
        <w:t xml:space="preserve"> </w:t>
      </w:r>
      <w:r>
        <w:rPr>
          <w:rFonts w:eastAsiaTheme="majorEastAsia" w:cstheme="minorHAnsi"/>
          <w:bCs/>
          <w:sz w:val="24"/>
          <w:szCs w:val="24"/>
          <w:lang w:val="el-GR"/>
        </w:rPr>
        <w:t>να</w:t>
      </w:r>
      <w:r w:rsidRPr="004F62E0">
        <w:rPr>
          <w:rFonts w:eastAsiaTheme="majorEastAsia" w:cstheme="minorHAnsi"/>
          <w:bCs/>
          <w:sz w:val="24"/>
          <w:szCs w:val="24"/>
          <w:lang w:val="el-GR"/>
        </w:rPr>
        <w:t xml:space="preserve"> </w:t>
      </w:r>
      <w:r>
        <w:rPr>
          <w:rFonts w:eastAsiaTheme="majorEastAsia" w:cstheme="minorHAnsi"/>
          <w:bCs/>
          <w:sz w:val="24"/>
          <w:szCs w:val="24"/>
          <w:lang w:val="el-GR"/>
        </w:rPr>
        <w:t>καταγγείλει</w:t>
      </w:r>
      <w:r w:rsidRPr="004F62E0">
        <w:rPr>
          <w:rFonts w:eastAsiaTheme="majorEastAsia" w:cstheme="minorHAnsi"/>
          <w:bCs/>
          <w:sz w:val="24"/>
          <w:szCs w:val="24"/>
          <w:lang w:val="el-GR"/>
        </w:rPr>
        <w:t xml:space="preserve"> </w:t>
      </w:r>
      <w:r>
        <w:rPr>
          <w:rFonts w:eastAsiaTheme="majorEastAsia" w:cstheme="minorHAnsi"/>
          <w:bCs/>
          <w:sz w:val="24"/>
          <w:szCs w:val="24"/>
          <w:lang w:val="el-GR"/>
        </w:rPr>
        <w:t>ένα</w:t>
      </w:r>
      <w:r w:rsidRPr="004F62E0">
        <w:rPr>
          <w:rFonts w:eastAsiaTheme="majorEastAsia" w:cstheme="minorHAnsi"/>
          <w:bCs/>
          <w:sz w:val="24"/>
          <w:szCs w:val="24"/>
          <w:lang w:val="el-GR"/>
        </w:rPr>
        <w:t xml:space="preserve"> </w:t>
      </w:r>
      <w:r>
        <w:rPr>
          <w:rFonts w:eastAsiaTheme="majorEastAsia" w:cstheme="minorHAnsi"/>
          <w:bCs/>
          <w:sz w:val="24"/>
          <w:szCs w:val="24"/>
          <w:lang w:val="el-GR"/>
        </w:rPr>
        <w:t>ανώτερο</w:t>
      </w:r>
      <w:r w:rsidRPr="004F62E0">
        <w:rPr>
          <w:rFonts w:eastAsiaTheme="majorEastAsia" w:cstheme="minorHAnsi"/>
          <w:bCs/>
          <w:sz w:val="24"/>
          <w:szCs w:val="24"/>
          <w:lang w:val="el-GR"/>
        </w:rPr>
        <w:t xml:space="preserve">, </w:t>
      </w:r>
      <w:r>
        <w:rPr>
          <w:rFonts w:eastAsiaTheme="majorEastAsia" w:cstheme="minorHAnsi"/>
          <w:bCs/>
          <w:sz w:val="24"/>
          <w:szCs w:val="24"/>
          <w:lang w:val="el-GR"/>
        </w:rPr>
        <w:t>αυτός</w:t>
      </w:r>
      <w:r w:rsidRPr="004F62E0">
        <w:rPr>
          <w:rFonts w:eastAsiaTheme="majorEastAsia" w:cstheme="minorHAnsi"/>
          <w:bCs/>
          <w:sz w:val="24"/>
          <w:szCs w:val="24"/>
          <w:lang w:val="el-GR"/>
        </w:rPr>
        <w:t>/</w:t>
      </w:r>
      <w:r>
        <w:rPr>
          <w:rFonts w:eastAsiaTheme="majorEastAsia" w:cstheme="minorHAnsi"/>
          <w:bCs/>
          <w:sz w:val="24"/>
          <w:szCs w:val="24"/>
          <w:lang w:val="el-GR"/>
        </w:rPr>
        <w:t>ή</w:t>
      </w:r>
      <w:r w:rsidRPr="004F62E0">
        <w:rPr>
          <w:rFonts w:eastAsiaTheme="majorEastAsia" w:cstheme="minorHAnsi"/>
          <w:bCs/>
          <w:sz w:val="24"/>
          <w:szCs w:val="24"/>
          <w:lang w:val="el-GR"/>
        </w:rPr>
        <w:t xml:space="preserve"> </w:t>
      </w:r>
      <w:r>
        <w:rPr>
          <w:rFonts w:eastAsiaTheme="majorEastAsia" w:cstheme="minorHAnsi"/>
          <w:bCs/>
          <w:sz w:val="24"/>
          <w:szCs w:val="24"/>
          <w:lang w:val="el-GR"/>
        </w:rPr>
        <w:t>πρέπει</w:t>
      </w:r>
      <w:r w:rsidRPr="004F62E0">
        <w:rPr>
          <w:rFonts w:eastAsiaTheme="majorEastAsia" w:cstheme="minorHAnsi"/>
          <w:bCs/>
          <w:sz w:val="24"/>
          <w:szCs w:val="24"/>
          <w:lang w:val="el-GR"/>
        </w:rPr>
        <w:t xml:space="preserve"> </w:t>
      </w:r>
      <w:r>
        <w:rPr>
          <w:rFonts w:eastAsiaTheme="majorEastAsia" w:cstheme="minorHAnsi"/>
          <w:bCs/>
          <w:sz w:val="24"/>
          <w:szCs w:val="24"/>
          <w:lang w:val="el-GR"/>
        </w:rPr>
        <w:t>να</w:t>
      </w:r>
      <w:r w:rsidRPr="004F62E0">
        <w:rPr>
          <w:rFonts w:eastAsiaTheme="majorEastAsia" w:cstheme="minorHAnsi"/>
          <w:bCs/>
          <w:sz w:val="24"/>
          <w:szCs w:val="24"/>
          <w:lang w:val="el-GR"/>
        </w:rPr>
        <w:t xml:space="preserve"> </w:t>
      </w:r>
      <w:r>
        <w:rPr>
          <w:rFonts w:eastAsiaTheme="majorEastAsia" w:cstheme="minorHAnsi"/>
          <w:bCs/>
          <w:sz w:val="24"/>
          <w:szCs w:val="24"/>
          <w:lang w:val="el-GR"/>
        </w:rPr>
        <w:t>το</w:t>
      </w:r>
      <w:r w:rsidRPr="004F62E0">
        <w:rPr>
          <w:rFonts w:eastAsiaTheme="majorEastAsia" w:cstheme="minorHAnsi"/>
          <w:bCs/>
          <w:sz w:val="24"/>
          <w:szCs w:val="24"/>
          <w:lang w:val="el-GR"/>
        </w:rPr>
        <w:t xml:space="preserve"> </w:t>
      </w:r>
      <w:r>
        <w:rPr>
          <w:rFonts w:eastAsiaTheme="majorEastAsia" w:cstheme="minorHAnsi"/>
          <w:bCs/>
          <w:sz w:val="24"/>
          <w:szCs w:val="24"/>
          <w:lang w:val="el-GR"/>
        </w:rPr>
        <w:t>κάνει</w:t>
      </w:r>
      <w:r w:rsidRPr="004F62E0">
        <w:rPr>
          <w:rFonts w:eastAsiaTheme="majorEastAsia" w:cstheme="minorHAnsi"/>
          <w:bCs/>
          <w:sz w:val="24"/>
          <w:szCs w:val="24"/>
          <w:lang w:val="el-GR"/>
        </w:rPr>
        <w:t xml:space="preserve"> </w:t>
      </w:r>
      <w:r>
        <w:rPr>
          <w:rFonts w:eastAsiaTheme="majorEastAsia" w:cstheme="minorHAnsi"/>
          <w:bCs/>
          <w:sz w:val="24"/>
          <w:szCs w:val="24"/>
          <w:lang w:val="el-GR"/>
        </w:rPr>
        <w:t>ως</w:t>
      </w:r>
      <w:r w:rsidRPr="004F62E0">
        <w:rPr>
          <w:rFonts w:eastAsiaTheme="majorEastAsia" w:cstheme="minorHAnsi"/>
          <w:bCs/>
          <w:sz w:val="24"/>
          <w:szCs w:val="24"/>
          <w:lang w:val="el-GR"/>
        </w:rPr>
        <w:t xml:space="preserve"> </w:t>
      </w:r>
      <w:r>
        <w:rPr>
          <w:rFonts w:eastAsiaTheme="majorEastAsia" w:cstheme="minorHAnsi"/>
          <w:bCs/>
          <w:sz w:val="24"/>
          <w:szCs w:val="24"/>
          <w:lang w:val="el-GR"/>
        </w:rPr>
        <w:t>ακολούθως</w:t>
      </w:r>
      <w:r w:rsidR="00220066" w:rsidRPr="004F62E0">
        <w:rPr>
          <w:rFonts w:eastAsiaTheme="majorEastAsia" w:cstheme="minorHAnsi"/>
          <w:bCs/>
          <w:sz w:val="24"/>
          <w:szCs w:val="24"/>
          <w:lang w:val="el-GR"/>
        </w:rPr>
        <w:t xml:space="preserve">: </w:t>
      </w:r>
      <w:r>
        <w:rPr>
          <w:rFonts w:eastAsiaTheme="majorEastAsia" w:cstheme="minorHAnsi"/>
          <w:bCs/>
          <w:sz w:val="24"/>
          <w:szCs w:val="24"/>
          <w:lang w:val="el-GR"/>
        </w:rPr>
        <w:t>όταν</w:t>
      </w:r>
      <w:r w:rsidRPr="004F62E0">
        <w:rPr>
          <w:rFonts w:eastAsiaTheme="majorEastAsia" w:cstheme="minorHAnsi"/>
          <w:bCs/>
          <w:sz w:val="24"/>
          <w:szCs w:val="24"/>
          <w:lang w:val="el-GR"/>
        </w:rPr>
        <w:t xml:space="preserve"> </w:t>
      </w:r>
      <w:r>
        <w:rPr>
          <w:rFonts w:eastAsiaTheme="majorEastAsia" w:cstheme="minorHAnsi"/>
          <w:bCs/>
          <w:sz w:val="24"/>
          <w:szCs w:val="24"/>
          <w:lang w:val="el-GR"/>
        </w:rPr>
        <w:t>το</w:t>
      </w:r>
      <w:r w:rsidRPr="004F62E0">
        <w:rPr>
          <w:rFonts w:eastAsiaTheme="majorEastAsia" w:cstheme="minorHAnsi"/>
          <w:bCs/>
          <w:sz w:val="24"/>
          <w:szCs w:val="24"/>
          <w:lang w:val="el-GR"/>
        </w:rPr>
        <w:t xml:space="preserve"> </w:t>
      </w:r>
      <w:r>
        <w:rPr>
          <w:rFonts w:eastAsiaTheme="majorEastAsia" w:cstheme="minorHAnsi"/>
          <w:bCs/>
          <w:sz w:val="24"/>
          <w:szCs w:val="24"/>
          <w:lang w:val="el-GR"/>
        </w:rPr>
        <w:t>παράπονο</w:t>
      </w:r>
      <w:r w:rsidRPr="004F62E0">
        <w:rPr>
          <w:rFonts w:eastAsiaTheme="majorEastAsia" w:cstheme="minorHAnsi"/>
          <w:bCs/>
          <w:sz w:val="24"/>
          <w:szCs w:val="24"/>
          <w:lang w:val="el-GR"/>
        </w:rPr>
        <w:t xml:space="preserve"> </w:t>
      </w:r>
      <w:r>
        <w:rPr>
          <w:rFonts w:eastAsiaTheme="majorEastAsia" w:cstheme="minorHAnsi"/>
          <w:bCs/>
          <w:sz w:val="24"/>
          <w:szCs w:val="24"/>
          <w:lang w:val="el-GR"/>
        </w:rPr>
        <w:t>είναι</w:t>
      </w:r>
      <w:r w:rsidRPr="004F62E0">
        <w:rPr>
          <w:rFonts w:eastAsiaTheme="majorEastAsia" w:cstheme="minorHAnsi"/>
          <w:bCs/>
          <w:sz w:val="24"/>
          <w:szCs w:val="24"/>
          <w:lang w:val="el-GR"/>
        </w:rPr>
        <w:t xml:space="preserve"> </w:t>
      </w:r>
      <w:r>
        <w:rPr>
          <w:rFonts w:eastAsiaTheme="majorEastAsia" w:cstheme="minorHAnsi"/>
          <w:bCs/>
          <w:sz w:val="24"/>
          <w:szCs w:val="24"/>
          <w:lang w:val="el-GR"/>
        </w:rPr>
        <w:t>εναντίον</w:t>
      </w:r>
      <w:r w:rsidRPr="004F62E0">
        <w:rPr>
          <w:rFonts w:eastAsiaTheme="majorEastAsia" w:cstheme="minorHAnsi"/>
          <w:bCs/>
          <w:sz w:val="24"/>
          <w:szCs w:val="24"/>
          <w:lang w:val="el-GR"/>
        </w:rPr>
        <w:t xml:space="preserve"> </w:t>
      </w:r>
      <w:r w:rsidR="00042313">
        <w:rPr>
          <w:rFonts w:eastAsiaTheme="majorEastAsia" w:cstheme="minorHAnsi"/>
          <w:bCs/>
          <w:sz w:val="24"/>
          <w:szCs w:val="24"/>
          <w:lang w:val="el-GR"/>
        </w:rPr>
        <w:t>ενός</w:t>
      </w:r>
      <w:r w:rsidRPr="004F62E0">
        <w:rPr>
          <w:rFonts w:eastAsiaTheme="majorEastAsia" w:cstheme="minorHAnsi"/>
          <w:bCs/>
          <w:sz w:val="24"/>
          <w:szCs w:val="24"/>
          <w:lang w:val="el-GR"/>
        </w:rPr>
        <w:t xml:space="preserve"> </w:t>
      </w:r>
      <w:r>
        <w:rPr>
          <w:rFonts w:eastAsiaTheme="majorEastAsia" w:cstheme="minorHAnsi"/>
          <w:bCs/>
          <w:sz w:val="24"/>
          <w:szCs w:val="24"/>
          <w:lang w:val="el-GR"/>
        </w:rPr>
        <w:t>αμέσως</w:t>
      </w:r>
      <w:r w:rsidRPr="004F62E0">
        <w:rPr>
          <w:rFonts w:eastAsiaTheme="majorEastAsia" w:cstheme="minorHAnsi"/>
          <w:bCs/>
          <w:sz w:val="24"/>
          <w:szCs w:val="24"/>
          <w:lang w:val="el-GR"/>
        </w:rPr>
        <w:t xml:space="preserve"> </w:t>
      </w:r>
      <w:r>
        <w:rPr>
          <w:rFonts w:eastAsiaTheme="majorEastAsia" w:cstheme="minorHAnsi"/>
          <w:bCs/>
          <w:sz w:val="24"/>
          <w:szCs w:val="24"/>
          <w:lang w:val="el-GR"/>
        </w:rPr>
        <w:t>ανώτερ</w:t>
      </w:r>
      <w:r w:rsidR="00042313">
        <w:rPr>
          <w:rFonts w:eastAsiaTheme="majorEastAsia" w:cstheme="minorHAnsi"/>
          <w:bCs/>
          <w:sz w:val="24"/>
          <w:szCs w:val="24"/>
          <w:lang w:val="el-GR"/>
        </w:rPr>
        <w:t>ου</w:t>
      </w:r>
      <w:r w:rsidRPr="004F62E0">
        <w:rPr>
          <w:rFonts w:eastAsiaTheme="majorEastAsia" w:cstheme="minorHAnsi"/>
          <w:bCs/>
          <w:sz w:val="24"/>
          <w:szCs w:val="24"/>
          <w:lang w:val="el-GR"/>
        </w:rPr>
        <w:t xml:space="preserve"> </w:t>
      </w:r>
      <w:r>
        <w:rPr>
          <w:rFonts w:eastAsiaTheme="majorEastAsia" w:cstheme="minorHAnsi"/>
          <w:bCs/>
          <w:sz w:val="24"/>
          <w:szCs w:val="24"/>
          <w:lang w:val="el-GR"/>
        </w:rPr>
        <w:t>του</w:t>
      </w:r>
      <w:r w:rsidRPr="004F62E0">
        <w:rPr>
          <w:rFonts w:eastAsiaTheme="majorEastAsia" w:cstheme="minorHAnsi"/>
          <w:bCs/>
          <w:sz w:val="24"/>
          <w:szCs w:val="24"/>
          <w:lang w:val="el-GR"/>
        </w:rPr>
        <w:t>/</w:t>
      </w:r>
      <w:r>
        <w:rPr>
          <w:rFonts w:eastAsiaTheme="majorEastAsia" w:cstheme="minorHAnsi"/>
          <w:bCs/>
          <w:sz w:val="24"/>
          <w:szCs w:val="24"/>
          <w:lang w:val="el-GR"/>
        </w:rPr>
        <w:t>ης</w:t>
      </w:r>
      <w:r w:rsidR="00220066" w:rsidRPr="004F62E0">
        <w:rPr>
          <w:rFonts w:eastAsiaTheme="majorEastAsia" w:cstheme="minorHAnsi"/>
          <w:bCs/>
          <w:sz w:val="24"/>
          <w:szCs w:val="24"/>
          <w:lang w:val="el-GR"/>
        </w:rPr>
        <w:t xml:space="preserve"> (</w:t>
      </w:r>
      <w:r>
        <w:rPr>
          <w:rFonts w:eastAsiaTheme="majorEastAsia" w:cstheme="minorHAnsi"/>
          <w:bCs/>
          <w:sz w:val="24"/>
          <w:szCs w:val="24"/>
          <w:lang w:val="el-GR"/>
        </w:rPr>
        <w:t>Επικεφαλής</w:t>
      </w:r>
      <w:r w:rsidRPr="004F62E0">
        <w:rPr>
          <w:rFonts w:eastAsiaTheme="majorEastAsia" w:cstheme="minorHAnsi"/>
          <w:bCs/>
          <w:sz w:val="24"/>
          <w:szCs w:val="24"/>
          <w:lang w:val="el-GR"/>
        </w:rPr>
        <w:t xml:space="preserve"> </w:t>
      </w:r>
      <w:r>
        <w:rPr>
          <w:rFonts w:eastAsiaTheme="majorEastAsia" w:cstheme="minorHAnsi"/>
          <w:bCs/>
          <w:sz w:val="24"/>
          <w:szCs w:val="24"/>
          <w:lang w:val="el-GR"/>
        </w:rPr>
        <w:t>του</w:t>
      </w:r>
      <w:r w:rsidRPr="004F62E0">
        <w:rPr>
          <w:rFonts w:eastAsiaTheme="majorEastAsia" w:cstheme="minorHAnsi"/>
          <w:bCs/>
          <w:sz w:val="24"/>
          <w:szCs w:val="24"/>
          <w:lang w:val="el-GR"/>
        </w:rPr>
        <w:t xml:space="preserve"> </w:t>
      </w:r>
      <w:r>
        <w:rPr>
          <w:rFonts w:eastAsiaTheme="majorEastAsia" w:cstheme="minorHAnsi"/>
          <w:bCs/>
          <w:sz w:val="24"/>
          <w:szCs w:val="24"/>
          <w:lang w:val="el-GR"/>
        </w:rPr>
        <w:t>Αστυνομικού</w:t>
      </w:r>
      <w:r w:rsidRPr="004F62E0">
        <w:rPr>
          <w:rFonts w:eastAsiaTheme="majorEastAsia" w:cstheme="minorHAnsi"/>
          <w:bCs/>
          <w:sz w:val="24"/>
          <w:szCs w:val="24"/>
          <w:lang w:val="el-GR"/>
        </w:rPr>
        <w:t xml:space="preserve"> </w:t>
      </w:r>
      <w:r>
        <w:rPr>
          <w:rFonts w:eastAsiaTheme="majorEastAsia" w:cstheme="minorHAnsi"/>
          <w:bCs/>
          <w:sz w:val="24"/>
          <w:szCs w:val="24"/>
          <w:lang w:val="el-GR"/>
        </w:rPr>
        <w:t>Σταθμού</w:t>
      </w:r>
      <w:r w:rsidR="00220066" w:rsidRPr="004F62E0">
        <w:rPr>
          <w:rFonts w:eastAsiaTheme="majorEastAsia" w:cstheme="minorHAnsi"/>
          <w:bCs/>
          <w:sz w:val="24"/>
          <w:szCs w:val="24"/>
          <w:lang w:val="el-GR"/>
        </w:rPr>
        <w:t xml:space="preserve">, </w:t>
      </w:r>
      <w:r>
        <w:rPr>
          <w:rFonts w:eastAsiaTheme="majorEastAsia" w:cstheme="minorHAnsi"/>
          <w:bCs/>
          <w:sz w:val="24"/>
          <w:szCs w:val="24"/>
          <w:lang w:val="el-GR"/>
        </w:rPr>
        <w:t xml:space="preserve">Επικεφαλής ενός κλάδου/γραφείου της </w:t>
      </w:r>
      <w:r w:rsidR="009C4E34">
        <w:rPr>
          <w:rFonts w:eastAsiaTheme="majorEastAsia" w:cstheme="minorHAnsi"/>
          <w:bCs/>
          <w:sz w:val="24"/>
          <w:szCs w:val="24"/>
          <w:lang w:val="el-GR"/>
        </w:rPr>
        <w:t>Αστυνομία</w:t>
      </w:r>
      <w:r>
        <w:rPr>
          <w:rFonts w:eastAsiaTheme="majorEastAsia" w:cstheme="minorHAnsi"/>
          <w:bCs/>
          <w:sz w:val="24"/>
          <w:szCs w:val="24"/>
          <w:lang w:val="el-GR"/>
        </w:rPr>
        <w:t>ς</w:t>
      </w:r>
      <w:r w:rsidR="00220066" w:rsidRPr="004F62E0">
        <w:rPr>
          <w:rFonts w:eastAsiaTheme="majorEastAsia" w:cstheme="minorHAnsi"/>
          <w:bCs/>
          <w:sz w:val="24"/>
          <w:szCs w:val="24"/>
          <w:lang w:val="el-GR"/>
        </w:rPr>
        <w:t xml:space="preserve">, </w:t>
      </w:r>
      <w:proofErr w:type="spellStart"/>
      <w:r>
        <w:rPr>
          <w:rFonts w:eastAsiaTheme="majorEastAsia" w:cstheme="minorHAnsi"/>
          <w:bCs/>
          <w:sz w:val="24"/>
          <w:szCs w:val="24"/>
          <w:lang w:val="el-GR"/>
        </w:rPr>
        <w:t>κλπ</w:t>
      </w:r>
      <w:proofErr w:type="spellEnd"/>
      <w:r w:rsidR="00042313">
        <w:rPr>
          <w:rFonts w:eastAsiaTheme="majorEastAsia" w:cstheme="minorHAnsi"/>
          <w:bCs/>
          <w:sz w:val="24"/>
          <w:szCs w:val="24"/>
          <w:lang w:val="el-GR"/>
        </w:rPr>
        <w:t>)</w:t>
      </w:r>
      <w:r>
        <w:rPr>
          <w:rFonts w:eastAsiaTheme="majorEastAsia" w:cstheme="minorHAnsi"/>
          <w:bCs/>
          <w:sz w:val="24"/>
          <w:szCs w:val="24"/>
          <w:lang w:val="el-GR"/>
        </w:rPr>
        <w:t>,</w:t>
      </w:r>
      <w:r w:rsidR="00220066" w:rsidRPr="004F62E0">
        <w:rPr>
          <w:rFonts w:eastAsiaTheme="majorEastAsia" w:cstheme="minorHAnsi"/>
          <w:bCs/>
          <w:sz w:val="24"/>
          <w:szCs w:val="24"/>
          <w:lang w:val="el-GR"/>
        </w:rPr>
        <w:t xml:space="preserve"> </w:t>
      </w:r>
      <w:r>
        <w:rPr>
          <w:rFonts w:eastAsiaTheme="majorEastAsia" w:cstheme="minorHAnsi"/>
          <w:bCs/>
          <w:sz w:val="24"/>
          <w:szCs w:val="24"/>
          <w:lang w:val="el-GR"/>
        </w:rPr>
        <w:t xml:space="preserve">η σχετική καταγγελία μπορεί να υποβληθεί άμεσα από το μέλος της </w:t>
      </w:r>
      <w:r w:rsidR="009C4E34">
        <w:rPr>
          <w:rFonts w:eastAsiaTheme="majorEastAsia" w:cstheme="minorHAnsi"/>
          <w:bCs/>
          <w:sz w:val="24"/>
          <w:szCs w:val="24"/>
          <w:lang w:val="el-GR"/>
        </w:rPr>
        <w:t>Αστυνομία</w:t>
      </w:r>
      <w:r>
        <w:rPr>
          <w:rFonts w:eastAsiaTheme="majorEastAsia" w:cstheme="minorHAnsi"/>
          <w:bCs/>
          <w:sz w:val="24"/>
          <w:szCs w:val="24"/>
          <w:lang w:val="el-GR"/>
        </w:rPr>
        <w:t>ς</w:t>
      </w:r>
      <w:r w:rsidR="00220066" w:rsidRPr="004F62E0">
        <w:rPr>
          <w:rFonts w:eastAsiaTheme="majorEastAsia" w:cstheme="minorHAnsi"/>
          <w:bCs/>
          <w:sz w:val="24"/>
          <w:szCs w:val="24"/>
          <w:lang w:val="el-GR"/>
        </w:rPr>
        <w:t xml:space="preserve"> </w:t>
      </w:r>
      <w:r>
        <w:rPr>
          <w:rFonts w:eastAsiaTheme="majorEastAsia" w:cstheme="minorHAnsi"/>
          <w:bCs/>
          <w:sz w:val="24"/>
          <w:szCs w:val="24"/>
          <w:lang w:val="el-GR"/>
        </w:rPr>
        <w:t xml:space="preserve">στον </w:t>
      </w:r>
      <w:r w:rsidR="002E5EC0">
        <w:rPr>
          <w:rFonts w:eastAsiaTheme="majorEastAsia" w:cstheme="minorHAnsi"/>
          <w:bCs/>
          <w:sz w:val="24"/>
          <w:szCs w:val="24"/>
          <w:lang w:val="el-GR"/>
        </w:rPr>
        <w:t>αρμόδιο</w:t>
      </w:r>
      <w:r w:rsidR="0062047E">
        <w:rPr>
          <w:rFonts w:eastAsiaTheme="majorEastAsia" w:cstheme="minorHAnsi"/>
          <w:bCs/>
          <w:sz w:val="24"/>
          <w:szCs w:val="24"/>
          <w:lang w:val="el-GR"/>
        </w:rPr>
        <w:t xml:space="preserve"> Διευθυντή του Αστυνομικού Τμήματος</w:t>
      </w:r>
      <w:r w:rsidR="00220066" w:rsidRPr="004F62E0">
        <w:rPr>
          <w:rFonts w:eastAsiaTheme="majorEastAsia" w:cstheme="minorHAnsi"/>
          <w:bCs/>
          <w:sz w:val="24"/>
          <w:szCs w:val="24"/>
          <w:lang w:val="el-GR"/>
        </w:rPr>
        <w:t>/</w:t>
      </w:r>
      <w:r w:rsidR="0062047E">
        <w:rPr>
          <w:rFonts w:eastAsiaTheme="majorEastAsia" w:cstheme="minorHAnsi"/>
          <w:bCs/>
          <w:sz w:val="24"/>
          <w:szCs w:val="24"/>
          <w:lang w:val="el-GR"/>
        </w:rPr>
        <w:t>Επαρχιακό Αστυνομικό Διευθυντή ή Διοικητή της Μονάδας</w:t>
      </w:r>
      <w:r w:rsidR="00220066" w:rsidRPr="004F62E0">
        <w:rPr>
          <w:rFonts w:eastAsiaTheme="majorEastAsia" w:cstheme="minorHAnsi"/>
          <w:bCs/>
          <w:sz w:val="24"/>
          <w:szCs w:val="24"/>
          <w:lang w:val="el-GR"/>
        </w:rPr>
        <w:t xml:space="preserve">, </w:t>
      </w:r>
      <w:r w:rsidR="0062047E">
        <w:rPr>
          <w:rFonts w:eastAsiaTheme="majorEastAsia" w:cstheme="minorHAnsi"/>
          <w:bCs/>
          <w:sz w:val="24"/>
          <w:szCs w:val="24"/>
          <w:lang w:val="el-GR"/>
        </w:rPr>
        <w:t xml:space="preserve">χωρίς </w:t>
      </w:r>
      <w:r w:rsidR="0062047E">
        <w:rPr>
          <w:rFonts w:eastAsiaTheme="majorEastAsia" w:cstheme="minorHAnsi"/>
          <w:bCs/>
          <w:sz w:val="24"/>
          <w:szCs w:val="24"/>
          <w:lang w:val="el-GR"/>
        </w:rPr>
        <w:lastRenderedPageBreak/>
        <w:t>απαραιτήτως αυτή να διοχετεύεται μέσω της κανονικής οδού αλληλογραφίας</w:t>
      </w:r>
      <w:r w:rsidR="00220066" w:rsidRPr="004F62E0">
        <w:rPr>
          <w:rFonts w:eastAsiaTheme="majorEastAsia" w:cstheme="minorHAnsi"/>
          <w:bCs/>
          <w:sz w:val="24"/>
          <w:szCs w:val="24"/>
          <w:lang w:val="el-GR"/>
        </w:rPr>
        <w:t xml:space="preserve">. </w:t>
      </w:r>
      <w:r w:rsidR="0062047E">
        <w:rPr>
          <w:rFonts w:eastAsiaTheme="majorEastAsia" w:cstheme="minorHAnsi"/>
          <w:bCs/>
          <w:sz w:val="24"/>
          <w:szCs w:val="24"/>
          <w:lang w:val="el-GR"/>
        </w:rPr>
        <w:t>Όταν</w:t>
      </w:r>
      <w:r w:rsidR="0062047E" w:rsidRPr="0062047E">
        <w:rPr>
          <w:rFonts w:eastAsiaTheme="majorEastAsia" w:cstheme="minorHAnsi"/>
          <w:bCs/>
          <w:sz w:val="24"/>
          <w:szCs w:val="24"/>
          <w:lang w:val="el-GR"/>
        </w:rPr>
        <w:t xml:space="preserve"> </w:t>
      </w:r>
      <w:r w:rsidR="0062047E">
        <w:rPr>
          <w:rFonts w:eastAsiaTheme="majorEastAsia" w:cstheme="minorHAnsi"/>
          <w:bCs/>
          <w:sz w:val="24"/>
          <w:szCs w:val="24"/>
          <w:lang w:val="el-GR"/>
        </w:rPr>
        <w:t>το</w:t>
      </w:r>
      <w:r w:rsidR="0062047E" w:rsidRPr="0062047E">
        <w:rPr>
          <w:rFonts w:eastAsiaTheme="majorEastAsia" w:cstheme="minorHAnsi"/>
          <w:bCs/>
          <w:sz w:val="24"/>
          <w:szCs w:val="24"/>
          <w:lang w:val="el-GR"/>
        </w:rPr>
        <w:t xml:space="preserve"> </w:t>
      </w:r>
      <w:r w:rsidR="0062047E">
        <w:rPr>
          <w:rFonts w:eastAsiaTheme="majorEastAsia" w:cstheme="minorHAnsi"/>
          <w:bCs/>
          <w:sz w:val="24"/>
          <w:szCs w:val="24"/>
          <w:lang w:val="el-GR"/>
        </w:rPr>
        <w:t>παράπονο</w:t>
      </w:r>
      <w:r w:rsidR="0062047E" w:rsidRPr="0062047E">
        <w:rPr>
          <w:rFonts w:eastAsiaTheme="majorEastAsia" w:cstheme="minorHAnsi"/>
          <w:bCs/>
          <w:sz w:val="24"/>
          <w:szCs w:val="24"/>
          <w:lang w:val="el-GR"/>
        </w:rPr>
        <w:t xml:space="preserve"> </w:t>
      </w:r>
      <w:r w:rsidR="0062047E">
        <w:rPr>
          <w:rFonts w:eastAsiaTheme="majorEastAsia" w:cstheme="minorHAnsi"/>
          <w:bCs/>
          <w:sz w:val="24"/>
          <w:szCs w:val="24"/>
          <w:lang w:val="el-GR"/>
        </w:rPr>
        <w:t>είναι</w:t>
      </w:r>
      <w:r w:rsidR="0062047E" w:rsidRPr="0062047E">
        <w:rPr>
          <w:rFonts w:eastAsiaTheme="majorEastAsia" w:cstheme="minorHAnsi"/>
          <w:bCs/>
          <w:sz w:val="24"/>
          <w:szCs w:val="24"/>
          <w:lang w:val="el-GR"/>
        </w:rPr>
        <w:t xml:space="preserve"> </w:t>
      </w:r>
      <w:r w:rsidR="0062047E">
        <w:rPr>
          <w:rFonts w:eastAsiaTheme="majorEastAsia" w:cstheme="minorHAnsi"/>
          <w:bCs/>
          <w:sz w:val="24"/>
          <w:szCs w:val="24"/>
          <w:lang w:val="el-GR"/>
        </w:rPr>
        <w:t>εναντίον</w:t>
      </w:r>
      <w:r w:rsidR="0062047E" w:rsidRPr="0062047E">
        <w:rPr>
          <w:rFonts w:eastAsiaTheme="majorEastAsia" w:cstheme="minorHAnsi"/>
          <w:bCs/>
          <w:sz w:val="24"/>
          <w:szCs w:val="24"/>
          <w:lang w:val="el-GR"/>
        </w:rPr>
        <w:t xml:space="preserve"> </w:t>
      </w:r>
      <w:r w:rsidR="0062047E">
        <w:rPr>
          <w:rFonts w:eastAsiaTheme="majorEastAsia" w:cstheme="minorHAnsi"/>
          <w:bCs/>
          <w:sz w:val="24"/>
          <w:szCs w:val="24"/>
          <w:lang w:val="el-GR"/>
        </w:rPr>
        <w:t>ή</w:t>
      </w:r>
      <w:r w:rsidR="0062047E" w:rsidRPr="0062047E">
        <w:rPr>
          <w:rFonts w:eastAsiaTheme="majorEastAsia" w:cstheme="minorHAnsi"/>
          <w:bCs/>
          <w:sz w:val="24"/>
          <w:szCs w:val="24"/>
          <w:lang w:val="el-GR"/>
        </w:rPr>
        <w:t xml:space="preserve"> </w:t>
      </w:r>
      <w:r w:rsidR="0062047E">
        <w:rPr>
          <w:rFonts w:eastAsiaTheme="majorEastAsia" w:cstheme="minorHAnsi"/>
          <w:bCs/>
          <w:sz w:val="24"/>
          <w:szCs w:val="24"/>
          <w:lang w:val="el-GR"/>
        </w:rPr>
        <w:t>εμπλέκεται</w:t>
      </w:r>
      <w:r w:rsidR="0062047E" w:rsidRPr="0062047E">
        <w:rPr>
          <w:rFonts w:eastAsiaTheme="majorEastAsia" w:cstheme="minorHAnsi"/>
          <w:bCs/>
          <w:sz w:val="24"/>
          <w:szCs w:val="24"/>
          <w:lang w:val="el-GR"/>
        </w:rPr>
        <w:t xml:space="preserve"> </w:t>
      </w:r>
      <w:r w:rsidR="0062047E">
        <w:rPr>
          <w:rFonts w:eastAsiaTheme="majorEastAsia" w:cstheme="minorHAnsi"/>
          <w:bCs/>
          <w:sz w:val="24"/>
          <w:szCs w:val="24"/>
          <w:lang w:val="el-GR"/>
        </w:rPr>
        <w:t>άμεσα</w:t>
      </w:r>
      <w:r w:rsidR="0062047E" w:rsidRPr="0062047E">
        <w:rPr>
          <w:rFonts w:eastAsiaTheme="majorEastAsia" w:cstheme="minorHAnsi"/>
          <w:bCs/>
          <w:sz w:val="24"/>
          <w:szCs w:val="24"/>
          <w:lang w:val="el-GR"/>
        </w:rPr>
        <w:t xml:space="preserve"> </w:t>
      </w:r>
      <w:r w:rsidR="0062047E">
        <w:rPr>
          <w:rFonts w:eastAsiaTheme="majorEastAsia" w:cstheme="minorHAnsi"/>
          <w:bCs/>
          <w:sz w:val="24"/>
          <w:szCs w:val="24"/>
          <w:lang w:val="el-GR"/>
        </w:rPr>
        <w:t>ένας</w:t>
      </w:r>
      <w:r w:rsidR="0062047E" w:rsidRPr="0062047E">
        <w:rPr>
          <w:rFonts w:eastAsiaTheme="majorEastAsia" w:cstheme="minorHAnsi"/>
          <w:bCs/>
          <w:sz w:val="24"/>
          <w:szCs w:val="24"/>
          <w:lang w:val="el-GR"/>
        </w:rPr>
        <w:t xml:space="preserve"> </w:t>
      </w:r>
      <w:r w:rsidR="0062047E">
        <w:rPr>
          <w:rFonts w:eastAsiaTheme="majorEastAsia" w:cstheme="minorHAnsi"/>
          <w:bCs/>
          <w:sz w:val="24"/>
          <w:szCs w:val="24"/>
          <w:lang w:val="el-GR"/>
        </w:rPr>
        <w:t>Διευθυντής</w:t>
      </w:r>
      <w:r w:rsidR="0062047E" w:rsidRPr="0062047E">
        <w:rPr>
          <w:rFonts w:eastAsiaTheme="majorEastAsia" w:cstheme="minorHAnsi"/>
          <w:bCs/>
          <w:sz w:val="24"/>
          <w:szCs w:val="24"/>
          <w:lang w:val="el-GR"/>
        </w:rPr>
        <w:t xml:space="preserve"> </w:t>
      </w:r>
      <w:r w:rsidR="0062047E">
        <w:rPr>
          <w:rFonts w:eastAsiaTheme="majorEastAsia" w:cstheme="minorHAnsi"/>
          <w:bCs/>
          <w:sz w:val="24"/>
          <w:szCs w:val="24"/>
          <w:lang w:val="el-GR"/>
        </w:rPr>
        <w:t>Αστυνομικού</w:t>
      </w:r>
      <w:r w:rsidR="0062047E" w:rsidRPr="0062047E">
        <w:rPr>
          <w:rFonts w:eastAsiaTheme="majorEastAsia" w:cstheme="minorHAnsi"/>
          <w:bCs/>
          <w:sz w:val="24"/>
          <w:szCs w:val="24"/>
          <w:lang w:val="el-GR"/>
        </w:rPr>
        <w:t xml:space="preserve"> </w:t>
      </w:r>
      <w:r w:rsidR="0062047E">
        <w:rPr>
          <w:rFonts w:eastAsiaTheme="majorEastAsia" w:cstheme="minorHAnsi"/>
          <w:bCs/>
          <w:sz w:val="24"/>
          <w:szCs w:val="24"/>
          <w:lang w:val="el-GR"/>
        </w:rPr>
        <w:t>Τμήματος</w:t>
      </w:r>
      <w:r w:rsidR="00220066" w:rsidRPr="0062047E">
        <w:rPr>
          <w:rFonts w:eastAsiaTheme="majorEastAsia" w:cstheme="minorHAnsi"/>
          <w:bCs/>
          <w:sz w:val="24"/>
          <w:szCs w:val="24"/>
          <w:lang w:val="el-GR"/>
        </w:rPr>
        <w:t>/</w:t>
      </w:r>
      <w:r w:rsidR="0062047E">
        <w:rPr>
          <w:rFonts w:eastAsiaTheme="majorEastAsia" w:cstheme="minorHAnsi"/>
          <w:bCs/>
          <w:sz w:val="24"/>
          <w:szCs w:val="24"/>
          <w:lang w:val="el-GR"/>
        </w:rPr>
        <w:t>Επαρχιακός</w:t>
      </w:r>
      <w:r w:rsidR="0062047E" w:rsidRPr="0062047E">
        <w:rPr>
          <w:rFonts w:eastAsiaTheme="majorEastAsia" w:cstheme="minorHAnsi"/>
          <w:bCs/>
          <w:sz w:val="24"/>
          <w:szCs w:val="24"/>
          <w:lang w:val="el-GR"/>
        </w:rPr>
        <w:t xml:space="preserve"> </w:t>
      </w:r>
      <w:r w:rsidR="0062047E">
        <w:rPr>
          <w:rFonts w:eastAsiaTheme="majorEastAsia" w:cstheme="minorHAnsi"/>
          <w:bCs/>
          <w:sz w:val="24"/>
          <w:szCs w:val="24"/>
          <w:lang w:val="el-GR"/>
        </w:rPr>
        <w:t>Αστυνομικός Διευθυντής</w:t>
      </w:r>
      <w:r w:rsidR="00220066" w:rsidRPr="0062047E">
        <w:rPr>
          <w:rFonts w:eastAsiaTheme="majorEastAsia" w:cstheme="minorHAnsi"/>
          <w:bCs/>
          <w:sz w:val="24"/>
          <w:szCs w:val="24"/>
          <w:lang w:val="el-GR"/>
        </w:rPr>
        <w:t xml:space="preserve"> </w:t>
      </w:r>
      <w:r w:rsidR="0062047E">
        <w:rPr>
          <w:rFonts w:eastAsiaTheme="majorEastAsia" w:cstheme="minorHAnsi"/>
          <w:bCs/>
          <w:sz w:val="24"/>
          <w:szCs w:val="24"/>
          <w:lang w:val="el-GR"/>
        </w:rPr>
        <w:t>ή Διοικητής Μονάδας</w:t>
      </w:r>
      <w:r w:rsidR="00220066" w:rsidRPr="0062047E">
        <w:rPr>
          <w:rFonts w:eastAsiaTheme="majorEastAsia" w:cstheme="minorHAnsi"/>
          <w:bCs/>
          <w:sz w:val="24"/>
          <w:szCs w:val="24"/>
          <w:lang w:val="el-GR"/>
        </w:rPr>
        <w:t xml:space="preserve">, </w:t>
      </w:r>
      <w:r w:rsidR="0062047E">
        <w:rPr>
          <w:rFonts w:eastAsiaTheme="majorEastAsia" w:cstheme="minorHAnsi"/>
          <w:bCs/>
          <w:sz w:val="24"/>
          <w:szCs w:val="24"/>
          <w:lang w:val="el-GR"/>
        </w:rPr>
        <w:t xml:space="preserve">τότε η καταγγελία μπορεί να υποβληθεί </w:t>
      </w:r>
      <w:r w:rsidR="00463ACC">
        <w:rPr>
          <w:rFonts w:eastAsiaTheme="majorEastAsia" w:cstheme="minorHAnsi"/>
          <w:bCs/>
          <w:sz w:val="24"/>
          <w:szCs w:val="24"/>
          <w:lang w:val="el-GR"/>
        </w:rPr>
        <w:t>απευθείας</w:t>
      </w:r>
      <w:r w:rsidR="00091C5F">
        <w:rPr>
          <w:rFonts w:eastAsiaTheme="majorEastAsia" w:cstheme="minorHAnsi"/>
          <w:bCs/>
          <w:sz w:val="24"/>
          <w:szCs w:val="24"/>
          <w:lang w:val="el-GR"/>
        </w:rPr>
        <w:t xml:space="preserve"> </w:t>
      </w:r>
      <w:r w:rsidR="0062047E">
        <w:rPr>
          <w:rFonts w:eastAsiaTheme="majorEastAsia" w:cstheme="minorHAnsi"/>
          <w:bCs/>
          <w:sz w:val="24"/>
          <w:szCs w:val="24"/>
          <w:lang w:val="el-GR"/>
        </w:rPr>
        <w:t>στον αρμόδιο Βοηθό Αρχηγό</w:t>
      </w:r>
      <w:r w:rsidR="00220066" w:rsidRPr="0062047E">
        <w:rPr>
          <w:rFonts w:eastAsiaTheme="majorEastAsia" w:cstheme="minorHAnsi"/>
          <w:bCs/>
          <w:sz w:val="24"/>
          <w:szCs w:val="24"/>
          <w:lang w:val="el-GR"/>
        </w:rPr>
        <w:t>.</w:t>
      </w:r>
      <w:r w:rsidR="00220066" w:rsidRPr="0062047E">
        <w:rPr>
          <w:rFonts w:cstheme="minorHAnsi"/>
          <w:sz w:val="24"/>
          <w:szCs w:val="24"/>
          <w:lang w:val="el-GR"/>
        </w:rPr>
        <w:t xml:space="preserve"> </w:t>
      </w:r>
      <w:r w:rsidR="0062047E">
        <w:rPr>
          <w:rFonts w:cstheme="minorHAnsi"/>
          <w:sz w:val="24"/>
          <w:szCs w:val="24"/>
          <w:lang w:val="el-GR"/>
        </w:rPr>
        <w:t>Όταν</w:t>
      </w:r>
      <w:r w:rsidR="0062047E" w:rsidRPr="0062047E">
        <w:rPr>
          <w:rFonts w:cstheme="minorHAnsi"/>
          <w:sz w:val="24"/>
          <w:szCs w:val="24"/>
          <w:lang w:val="el-GR"/>
        </w:rPr>
        <w:t xml:space="preserve"> </w:t>
      </w:r>
      <w:r w:rsidR="0062047E">
        <w:rPr>
          <w:rFonts w:cstheme="minorHAnsi"/>
          <w:sz w:val="24"/>
          <w:szCs w:val="24"/>
          <w:lang w:val="el-GR"/>
        </w:rPr>
        <w:t>το</w:t>
      </w:r>
      <w:r w:rsidR="0062047E" w:rsidRPr="0062047E">
        <w:rPr>
          <w:rFonts w:cstheme="minorHAnsi"/>
          <w:sz w:val="24"/>
          <w:szCs w:val="24"/>
          <w:lang w:val="el-GR"/>
        </w:rPr>
        <w:t xml:space="preserve"> </w:t>
      </w:r>
      <w:r w:rsidR="0062047E">
        <w:rPr>
          <w:rFonts w:cstheme="minorHAnsi"/>
          <w:sz w:val="24"/>
          <w:szCs w:val="24"/>
          <w:lang w:val="el-GR"/>
        </w:rPr>
        <w:t>παράπονο</w:t>
      </w:r>
      <w:r w:rsidR="0062047E" w:rsidRPr="0062047E">
        <w:rPr>
          <w:rFonts w:cstheme="minorHAnsi"/>
          <w:sz w:val="24"/>
          <w:szCs w:val="24"/>
          <w:lang w:val="el-GR"/>
        </w:rPr>
        <w:t xml:space="preserve"> </w:t>
      </w:r>
      <w:r w:rsidR="0062047E">
        <w:rPr>
          <w:rFonts w:cstheme="minorHAnsi"/>
          <w:sz w:val="24"/>
          <w:szCs w:val="24"/>
          <w:lang w:val="el-GR"/>
        </w:rPr>
        <w:t>είναι</w:t>
      </w:r>
      <w:r w:rsidR="0062047E" w:rsidRPr="0062047E">
        <w:rPr>
          <w:rFonts w:cstheme="minorHAnsi"/>
          <w:sz w:val="24"/>
          <w:szCs w:val="24"/>
          <w:lang w:val="el-GR"/>
        </w:rPr>
        <w:t xml:space="preserve"> </w:t>
      </w:r>
      <w:r w:rsidR="0062047E">
        <w:rPr>
          <w:rFonts w:cstheme="minorHAnsi"/>
          <w:sz w:val="24"/>
          <w:szCs w:val="24"/>
          <w:lang w:val="el-GR"/>
        </w:rPr>
        <w:t>εναντίον</w:t>
      </w:r>
      <w:r w:rsidR="0062047E" w:rsidRPr="0062047E">
        <w:rPr>
          <w:rFonts w:cstheme="minorHAnsi"/>
          <w:sz w:val="24"/>
          <w:szCs w:val="24"/>
          <w:lang w:val="el-GR"/>
        </w:rPr>
        <w:t xml:space="preserve"> </w:t>
      </w:r>
      <w:r w:rsidR="0062047E">
        <w:rPr>
          <w:rFonts w:cstheme="minorHAnsi"/>
          <w:sz w:val="24"/>
          <w:szCs w:val="24"/>
          <w:lang w:val="el-GR"/>
        </w:rPr>
        <w:t>ή</w:t>
      </w:r>
      <w:r w:rsidR="0062047E" w:rsidRPr="0062047E">
        <w:rPr>
          <w:rFonts w:cstheme="minorHAnsi"/>
          <w:sz w:val="24"/>
          <w:szCs w:val="24"/>
          <w:lang w:val="el-GR"/>
        </w:rPr>
        <w:t xml:space="preserve"> </w:t>
      </w:r>
      <w:r w:rsidR="0062047E">
        <w:rPr>
          <w:rFonts w:cstheme="minorHAnsi"/>
          <w:sz w:val="24"/>
          <w:szCs w:val="24"/>
          <w:lang w:val="el-GR"/>
        </w:rPr>
        <w:t>εμπλέκεται</w:t>
      </w:r>
      <w:r w:rsidR="0062047E" w:rsidRPr="0062047E">
        <w:rPr>
          <w:rFonts w:cstheme="minorHAnsi"/>
          <w:sz w:val="24"/>
          <w:szCs w:val="24"/>
          <w:lang w:val="el-GR"/>
        </w:rPr>
        <w:t xml:space="preserve"> </w:t>
      </w:r>
      <w:r w:rsidR="0062047E">
        <w:rPr>
          <w:rFonts w:cstheme="minorHAnsi"/>
          <w:sz w:val="24"/>
          <w:szCs w:val="24"/>
          <w:lang w:val="el-GR"/>
        </w:rPr>
        <w:t>άμεσα</w:t>
      </w:r>
      <w:r w:rsidR="0062047E" w:rsidRPr="0062047E">
        <w:rPr>
          <w:rFonts w:cstheme="minorHAnsi"/>
          <w:sz w:val="24"/>
          <w:szCs w:val="24"/>
          <w:lang w:val="el-GR"/>
        </w:rPr>
        <w:t xml:space="preserve"> </w:t>
      </w:r>
      <w:r w:rsidR="0062047E">
        <w:rPr>
          <w:rFonts w:cstheme="minorHAnsi"/>
          <w:sz w:val="24"/>
          <w:szCs w:val="24"/>
          <w:lang w:val="el-GR"/>
        </w:rPr>
        <w:t>ο</w:t>
      </w:r>
      <w:r w:rsidR="0062047E" w:rsidRPr="0062047E">
        <w:rPr>
          <w:rFonts w:cstheme="minorHAnsi"/>
          <w:sz w:val="24"/>
          <w:szCs w:val="24"/>
          <w:lang w:val="el-GR"/>
        </w:rPr>
        <w:t xml:space="preserve"> </w:t>
      </w:r>
      <w:r w:rsidR="0062047E">
        <w:rPr>
          <w:rFonts w:cstheme="minorHAnsi"/>
          <w:sz w:val="24"/>
          <w:szCs w:val="24"/>
          <w:lang w:val="el-GR"/>
        </w:rPr>
        <w:t>Βοηθό</w:t>
      </w:r>
      <w:r w:rsidR="00042313">
        <w:rPr>
          <w:rFonts w:cstheme="minorHAnsi"/>
          <w:sz w:val="24"/>
          <w:szCs w:val="24"/>
          <w:lang w:val="el-GR"/>
        </w:rPr>
        <w:t>ς</w:t>
      </w:r>
      <w:r w:rsidR="0062047E" w:rsidRPr="0062047E">
        <w:rPr>
          <w:rFonts w:cstheme="minorHAnsi"/>
          <w:sz w:val="24"/>
          <w:szCs w:val="24"/>
          <w:lang w:val="el-GR"/>
        </w:rPr>
        <w:t xml:space="preserve"> </w:t>
      </w:r>
      <w:r w:rsidR="0062047E">
        <w:rPr>
          <w:rFonts w:cstheme="minorHAnsi"/>
          <w:sz w:val="24"/>
          <w:szCs w:val="24"/>
          <w:lang w:val="el-GR"/>
        </w:rPr>
        <w:t>Αρχηγό</w:t>
      </w:r>
      <w:r w:rsidR="00042313">
        <w:rPr>
          <w:rFonts w:cstheme="minorHAnsi"/>
          <w:sz w:val="24"/>
          <w:szCs w:val="24"/>
          <w:lang w:val="el-GR"/>
        </w:rPr>
        <w:t>ς</w:t>
      </w:r>
      <w:r w:rsidR="00220066" w:rsidRPr="0062047E">
        <w:rPr>
          <w:rFonts w:eastAsiaTheme="majorEastAsia" w:cstheme="minorHAnsi"/>
          <w:bCs/>
          <w:sz w:val="24"/>
          <w:szCs w:val="24"/>
          <w:lang w:val="el-GR"/>
        </w:rPr>
        <w:t xml:space="preserve">, </w:t>
      </w:r>
      <w:r w:rsidR="0062047E">
        <w:rPr>
          <w:rFonts w:eastAsiaTheme="majorEastAsia" w:cstheme="minorHAnsi"/>
          <w:bCs/>
          <w:sz w:val="24"/>
          <w:szCs w:val="24"/>
          <w:lang w:val="el-GR"/>
        </w:rPr>
        <w:t xml:space="preserve">η σχετική καταγγελία υποβάλλεται </w:t>
      </w:r>
      <w:r w:rsidR="00463ACC">
        <w:rPr>
          <w:rFonts w:eastAsiaTheme="majorEastAsia" w:cstheme="minorHAnsi"/>
          <w:bCs/>
          <w:sz w:val="24"/>
          <w:szCs w:val="24"/>
          <w:lang w:val="el-GR"/>
        </w:rPr>
        <w:t>απευθείας</w:t>
      </w:r>
      <w:r w:rsidR="00091C5F">
        <w:rPr>
          <w:rFonts w:eastAsiaTheme="majorEastAsia" w:cstheme="minorHAnsi"/>
          <w:bCs/>
          <w:sz w:val="24"/>
          <w:szCs w:val="24"/>
          <w:lang w:val="el-GR"/>
        </w:rPr>
        <w:t xml:space="preserve"> </w:t>
      </w:r>
      <w:r w:rsidR="0062047E">
        <w:rPr>
          <w:rFonts w:eastAsiaTheme="majorEastAsia" w:cstheme="minorHAnsi"/>
          <w:bCs/>
          <w:sz w:val="24"/>
          <w:szCs w:val="24"/>
          <w:lang w:val="el-GR"/>
        </w:rPr>
        <w:t xml:space="preserve">στον Αρχηγό της </w:t>
      </w:r>
      <w:r w:rsidR="009C4E34">
        <w:rPr>
          <w:rFonts w:eastAsiaTheme="majorEastAsia" w:cstheme="minorHAnsi"/>
          <w:bCs/>
          <w:sz w:val="24"/>
          <w:szCs w:val="24"/>
          <w:lang w:val="el-GR"/>
        </w:rPr>
        <w:t>Αστυνομία</w:t>
      </w:r>
      <w:r w:rsidR="0062047E">
        <w:rPr>
          <w:rFonts w:eastAsiaTheme="majorEastAsia" w:cstheme="minorHAnsi"/>
          <w:bCs/>
          <w:sz w:val="24"/>
          <w:szCs w:val="24"/>
          <w:lang w:val="el-GR"/>
        </w:rPr>
        <w:t>ς</w:t>
      </w:r>
      <w:r w:rsidR="00220066" w:rsidRPr="0062047E">
        <w:rPr>
          <w:rFonts w:cstheme="minorHAnsi"/>
          <w:sz w:val="24"/>
          <w:szCs w:val="24"/>
          <w:lang w:val="el-GR"/>
        </w:rPr>
        <w:t xml:space="preserve">. </w:t>
      </w:r>
      <w:r w:rsidR="0062047E">
        <w:rPr>
          <w:rFonts w:cstheme="minorHAnsi"/>
          <w:sz w:val="24"/>
          <w:szCs w:val="24"/>
          <w:lang w:val="el-GR"/>
        </w:rPr>
        <w:t>Για</w:t>
      </w:r>
      <w:r w:rsidR="0062047E" w:rsidRPr="0062047E">
        <w:rPr>
          <w:rFonts w:cstheme="minorHAnsi"/>
          <w:sz w:val="24"/>
          <w:szCs w:val="24"/>
          <w:lang w:val="el-GR"/>
        </w:rPr>
        <w:t xml:space="preserve"> </w:t>
      </w:r>
      <w:r w:rsidR="0062047E">
        <w:rPr>
          <w:rFonts w:cstheme="minorHAnsi"/>
          <w:sz w:val="24"/>
          <w:szCs w:val="24"/>
          <w:lang w:val="el-GR"/>
        </w:rPr>
        <w:t>υποψίες</w:t>
      </w:r>
      <w:r w:rsidR="0062047E" w:rsidRPr="0062047E">
        <w:rPr>
          <w:rFonts w:cstheme="minorHAnsi"/>
          <w:sz w:val="24"/>
          <w:szCs w:val="24"/>
          <w:lang w:val="el-GR"/>
        </w:rPr>
        <w:t xml:space="preserve"> </w:t>
      </w:r>
      <w:r w:rsidR="0062047E">
        <w:rPr>
          <w:rFonts w:cstheme="minorHAnsi"/>
          <w:sz w:val="24"/>
          <w:szCs w:val="24"/>
          <w:lang w:val="el-GR"/>
        </w:rPr>
        <w:t>διαφθοράς</w:t>
      </w:r>
      <w:r w:rsidR="00A859DE" w:rsidRPr="0062047E">
        <w:rPr>
          <w:rFonts w:cstheme="minorHAnsi"/>
          <w:sz w:val="24"/>
          <w:szCs w:val="24"/>
          <w:lang w:val="el-GR"/>
        </w:rPr>
        <w:t xml:space="preserve">, </w:t>
      </w:r>
      <w:r w:rsidR="0062047E">
        <w:rPr>
          <w:rFonts w:cstheme="minorHAnsi"/>
          <w:sz w:val="24"/>
          <w:szCs w:val="24"/>
          <w:lang w:val="el-GR"/>
        </w:rPr>
        <w:t>αξιωματούχοι</w:t>
      </w:r>
      <w:r w:rsidR="0062047E" w:rsidRPr="0062047E">
        <w:rPr>
          <w:rFonts w:cstheme="minorHAnsi"/>
          <w:sz w:val="24"/>
          <w:szCs w:val="24"/>
          <w:lang w:val="el-GR"/>
        </w:rPr>
        <w:t xml:space="preserve"> </w:t>
      </w:r>
      <w:r w:rsidR="0062047E">
        <w:rPr>
          <w:rFonts w:cstheme="minorHAnsi"/>
          <w:sz w:val="24"/>
          <w:szCs w:val="24"/>
          <w:lang w:val="el-GR"/>
        </w:rPr>
        <w:t>μπορούν να καταγγ</w:t>
      </w:r>
      <w:r w:rsidR="00042313">
        <w:rPr>
          <w:rFonts w:cstheme="minorHAnsi"/>
          <w:sz w:val="24"/>
          <w:szCs w:val="24"/>
          <w:lang w:val="el-GR"/>
        </w:rPr>
        <w:t>εί</w:t>
      </w:r>
      <w:r w:rsidR="0062047E">
        <w:rPr>
          <w:rFonts w:cstheme="minorHAnsi"/>
          <w:sz w:val="24"/>
          <w:szCs w:val="24"/>
          <w:lang w:val="el-GR"/>
        </w:rPr>
        <w:t xml:space="preserve">λουν </w:t>
      </w:r>
      <w:r w:rsidR="00463ACC">
        <w:rPr>
          <w:rFonts w:cstheme="minorHAnsi"/>
          <w:sz w:val="24"/>
          <w:szCs w:val="24"/>
          <w:lang w:val="el-GR"/>
        </w:rPr>
        <w:t>απευθείας</w:t>
      </w:r>
      <w:r w:rsidR="0062047E">
        <w:rPr>
          <w:rFonts w:cstheme="minorHAnsi"/>
          <w:sz w:val="24"/>
          <w:szCs w:val="24"/>
          <w:lang w:val="el-GR"/>
        </w:rPr>
        <w:t xml:space="preserve"> στην</w:t>
      </w:r>
      <w:r w:rsidR="00220066" w:rsidRPr="0062047E">
        <w:rPr>
          <w:rFonts w:cstheme="minorHAnsi"/>
          <w:sz w:val="24"/>
          <w:szCs w:val="24"/>
          <w:lang w:val="el-GR"/>
        </w:rPr>
        <w:t xml:space="preserve"> </w:t>
      </w:r>
      <w:r w:rsidR="00220066" w:rsidRPr="004E251E">
        <w:rPr>
          <w:rFonts w:cstheme="minorHAnsi"/>
          <w:sz w:val="24"/>
          <w:szCs w:val="24"/>
        </w:rPr>
        <w:t>P</w:t>
      </w:r>
      <w:r w:rsidR="00220066" w:rsidRPr="0062047E">
        <w:rPr>
          <w:rFonts w:cstheme="minorHAnsi"/>
          <w:sz w:val="24"/>
          <w:szCs w:val="24"/>
          <w:lang w:val="el-GR"/>
        </w:rPr>
        <w:t>.</w:t>
      </w:r>
      <w:r w:rsidR="00220066" w:rsidRPr="004E251E">
        <w:rPr>
          <w:rFonts w:cstheme="minorHAnsi"/>
          <w:sz w:val="24"/>
          <w:szCs w:val="24"/>
        </w:rPr>
        <w:t>I</w:t>
      </w:r>
      <w:r w:rsidR="00220066" w:rsidRPr="0062047E">
        <w:rPr>
          <w:rFonts w:cstheme="minorHAnsi"/>
          <w:sz w:val="24"/>
          <w:szCs w:val="24"/>
          <w:lang w:val="el-GR"/>
        </w:rPr>
        <w:t>.</w:t>
      </w:r>
      <w:r w:rsidR="00220066" w:rsidRPr="004E251E">
        <w:rPr>
          <w:rFonts w:cstheme="minorHAnsi"/>
          <w:sz w:val="24"/>
          <w:szCs w:val="24"/>
        </w:rPr>
        <w:t>A</w:t>
      </w:r>
      <w:r w:rsidR="00220066" w:rsidRPr="0062047E">
        <w:rPr>
          <w:rFonts w:cstheme="minorHAnsi"/>
          <w:sz w:val="24"/>
          <w:szCs w:val="24"/>
          <w:lang w:val="el-GR"/>
        </w:rPr>
        <w:t>.</w:t>
      </w:r>
      <w:r w:rsidR="00220066" w:rsidRPr="004E251E">
        <w:rPr>
          <w:rFonts w:cstheme="minorHAnsi"/>
          <w:sz w:val="24"/>
          <w:szCs w:val="24"/>
        </w:rPr>
        <w:t>S</w:t>
      </w:r>
      <w:r w:rsidR="00220066" w:rsidRPr="0062047E">
        <w:rPr>
          <w:rFonts w:cstheme="minorHAnsi"/>
          <w:sz w:val="24"/>
          <w:szCs w:val="24"/>
          <w:lang w:val="el-GR"/>
        </w:rPr>
        <w:t>.</w:t>
      </w:r>
      <w:r w:rsidR="00A859DE" w:rsidRPr="0062047E">
        <w:rPr>
          <w:rFonts w:cstheme="minorHAnsi"/>
          <w:sz w:val="24"/>
          <w:szCs w:val="24"/>
          <w:lang w:val="el-GR"/>
        </w:rPr>
        <w:t xml:space="preserve">, </w:t>
      </w:r>
      <w:r w:rsidR="0062047E">
        <w:rPr>
          <w:rFonts w:cstheme="minorHAnsi"/>
          <w:sz w:val="24"/>
          <w:szCs w:val="24"/>
          <w:lang w:val="el-GR"/>
        </w:rPr>
        <w:t>ακόμα και ανώνυμα</w:t>
      </w:r>
      <w:r w:rsidR="00A859DE" w:rsidRPr="0062047E">
        <w:rPr>
          <w:rFonts w:cstheme="minorHAnsi"/>
          <w:sz w:val="24"/>
          <w:szCs w:val="24"/>
          <w:lang w:val="el-GR"/>
        </w:rPr>
        <w:t xml:space="preserve">. </w:t>
      </w:r>
      <w:r w:rsidR="0062047E">
        <w:rPr>
          <w:rFonts w:cstheme="minorHAnsi"/>
          <w:sz w:val="24"/>
          <w:szCs w:val="24"/>
          <w:lang w:val="el-GR"/>
        </w:rPr>
        <w:t>Υπάρχει</w:t>
      </w:r>
      <w:r w:rsidR="0062047E" w:rsidRPr="0062047E">
        <w:rPr>
          <w:rFonts w:cstheme="minorHAnsi"/>
          <w:sz w:val="24"/>
          <w:szCs w:val="24"/>
          <w:lang w:val="el-GR"/>
        </w:rPr>
        <w:t xml:space="preserve"> </w:t>
      </w:r>
      <w:r w:rsidR="0062047E">
        <w:rPr>
          <w:rFonts w:cstheme="minorHAnsi"/>
          <w:sz w:val="24"/>
          <w:szCs w:val="24"/>
          <w:lang w:val="el-GR"/>
        </w:rPr>
        <w:t>επίσης</w:t>
      </w:r>
      <w:r w:rsidR="0062047E" w:rsidRPr="0062047E">
        <w:rPr>
          <w:rFonts w:cstheme="minorHAnsi"/>
          <w:sz w:val="24"/>
          <w:szCs w:val="24"/>
          <w:lang w:val="el-GR"/>
        </w:rPr>
        <w:t xml:space="preserve"> </w:t>
      </w:r>
      <w:r w:rsidR="0062047E">
        <w:rPr>
          <w:rFonts w:cstheme="minorHAnsi"/>
          <w:sz w:val="24"/>
          <w:szCs w:val="24"/>
          <w:lang w:val="el-GR"/>
        </w:rPr>
        <w:t>και</w:t>
      </w:r>
      <w:r w:rsidR="0062047E" w:rsidRPr="0062047E">
        <w:rPr>
          <w:rFonts w:cstheme="minorHAnsi"/>
          <w:sz w:val="24"/>
          <w:szCs w:val="24"/>
          <w:lang w:val="el-GR"/>
        </w:rPr>
        <w:t xml:space="preserve"> </w:t>
      </w:r>
      <w:r w:rsidR="0062047E">
        <w:rPr>
          <w:rFonts w:cstheme="minorHAnsi"/>
          <w:sz w:val="24"/>
          <w:szCs w:val="24"/>
          <w:lang w:val="el-GR"/>
        </w:rPr>
        <w:t>μια</w:t>
      </w:r>
      <w:r w:rsidR="0062047E" w:rsidRPr="0062047E">
        <w:rPr>
          <w:rFonts w:cstheme="minorHAnsi"/>
          <w:sz w:val="24"/>
          <w:szCs w:val="24"/>
          <w:lang w:val="el-GR"/>
        </w:rPr>
        <w:t xml:space="preserve"> </w:t>
      </w:r>
      <w:r w:rsidR="0062047E">
        <w:rPr>
          <w:rFonts w:cstheme="minorHAnsi"/>
          <w:sz w:val="24"/>
          <w:szCs w:val="24"/>
          <w:lang w:val="el-GR"/>
        </w:rPr>
        <w:t>συγκεκριμένη</w:t>
      </w:r>
      <w:r w:rsidR="0062047E" w:rsidRPr="0062047E">
        <w:rPr>
          <w:rFonts w:cstheme="minorHAnsi"/>
          <w:sz w:val="24"/>
          <w:szCs w:val="24"/>
          <w:lang w:val="el-GR"/>
        </w:rPr>
        <w:t xml:space="preserve"> </w:t>
      </w:r>
      <w:r w:rsidR="0062047E">
        <w:rPr>
          <w:rFonts w:cstheme="minorHAnsi"/>
          <w:sz w:val="24"/>
          <w:szCs w:val="24"/>
          <w:lang w:val="el-GR"/>
        </w:rPr>
        <w:t>υποχρέωση</w:t>
      </w:r>
      <w:r w:rsidR="0062047E" w:rsidRPr="0062047E">
        <w:rPr>
          <w:rFonts w:cstheme="minorHAnsi"/>
          <w:sz w:val="24"/>
          <w:szCs w:val="24"/>
          <w:lang w:val="el-GR"/>
        </w:rPr>
        <w:t xml:space="preserve"> </w:t>
      </w:r>
      <w:r w:rsidR="0062047E">
        <w:rPr>
          <w:rFonts w:cstheme="minorHAnsi"/>
          <w:sz w:val="24"/>
          <w:szCs w:val="24"/>
          <w:lang w:val="el-GR"/>
        </w:rPr>
        <w:t>για</w:t>
      </w:r>
      <w:r w:rsidR="0062047E" w:rsidRPr="0062047E">
        <w:rPr>
          <w:rFonts w:cstheme="minorHAnsi"/>
          <w:sz w:val="24"/>
          <w:szCs w:val="24"/>
          <w:lang w:val="el-GR"/>
        </w:rPr>
        <w:t xml:space="preserve"> </w:t>
      </w:r>
      <w:r w:rsidR="0062047E">
        <w:rPr>
          <w:rFonts w:cstheme="minorHAnsi"/>
          <w:sz w:val="24"/>
          <w:szCs w:val="24"/>
          <w:lang w:val="el-GR"/>
        </w:rPr>
        <w:t>ανωτέρους</w:t>
      </w:r>
      <w:r w:rsidR="00220066" w:rsidRPr="0062047E">
        <w:rPr>
          <w:rFonts w:cstheme="minorHAnsi"/>
          <w:sz w:val="24"/>
          <w:szCs w:val="24"/>
          <w:lang w:val="el-GR"/>
        </w:rPr>
        <w:t xml:space="preserve"> </w:t>
      </w:r>
      <w:r w:rsidR="0062047E">
        <w:rPr>
          <w:rFonts w:cstheme="minorHAnsi"/>
          <w:sz w:val="24"/>
          <w:szCs w:val="24"/>
          <w:lang w:val="el-GR"/>
        </w:rPr>
        <w:t>να καταγγ</w:t>
      </w:r>
      <w:r w:rsidR="00042313">
        <w:rPr>
          <w:rFonts w:cstheme="minorHAnsi"/>
          <w:sz w:val="24"/>
          <w:szCs w:val="24"/>
          <w:lang w:val="el-GR"/>
        </w:rPr>
        <w:t>εί</w:t>
      </w:r>
      <w:r w:rsidR="0062047E">
        <w:rPr>
          <w:rFonts w:cstheme="minorHAnsi"/>
          <w:sz w:val="24"/>
          <w:szCs w:val="24"/>
          <w:lang w:val="el-GR"/>
        </w:rPr>
        <w:t>λουν περιστατικά διαφθοράς που διαπράττονται από τους</w:t>
      </w:r>
      <w:r w:rsidR="0062047E" w:rsidRPr="0062047E">
        <w:rPr>
          <w:rFonts w:cstheme="minorHAnsi"/>
          <w:sz w:val="24"/>
          <w:szCs w:val="24"/>
          <w:lang w:val="el-GR"/>
        </w:rPr>
        <w:t xml:space="preserve"> </w:t>
      </w:r>
      <w:r w:rsidR="0062047E">
        <w:rPr>
          <w:rFonts w:cstheme="minorHAnsi"/>
          <w:sz w:val="24"/>
          <w:szCs w:val="24"/>
          <w:lang w:val="el-GR"/>
        </w:rPr>
        <w:t>υφιστάμενους τους</w:t>
      </w:r>
      <w:r w:rsidR="00220066" w:rsidRPr="0062047E">
        <w:rPr>
          <w:rFonts w:cstheme="minorHAnsi"/>
          <w:sz w:val="24"/>
          <w:szCs w:val="24"/>
          <w:lang w:val="el-GR"/>
        </w:rPr>
        <w:t>.</w:t>
      </w:r>
    </w:p>
    <w:p w14:paraId="772436A5" w14:textId="77777777" w:rsidR="00220066" w:rsidRPr="0062047E" w:rsidRDefault="00220066" w:rsidP="00220066">
      <w:pPr>
        <w:keepNext/>
        <w:tabs>
          <w:tab w:val="left" w:pos="709"/>
        </w:tabs>
        <w:rPr>
          <w:rFonts w:cstheme="minorHAnsi"/>
          <w:sz w:val="24"/>
          <w:szCs w:val="24"/>
          <w:lang w:val="el-GR"/>
        </w:rPr>
      </w:pPr>
    </w:p>
    <w:p w14:paraId="43513DC5" w14:textId="72CEF068" w:rsidR="00220066" w:rsidRPr="00AF37D4" w:rsidRDefault="0062047E"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Μέτρα</w:t>
      </w:r>
      <w:r w:rsidRPr="0062047E">
        <w:rPr>
          <w:rFonts w:cstheme="minorHAnsi"/>
          <w:sz w:val="24"/>
          <w:szCs w:val="24"/>
          <w:lang w:val="el-GR"/>
        </w:rPr>
        <w:t xml:space="preserve"> </w:t>
      </w:r>
      <w:r>
        <w:rPr>
          <w:rFonts w:cstheme="minorHAnsi"/>
          <w:sz w:val="24"/>
          <w:szCs w:val="24"/>
          <w:lang w:val="el-GR"/>
        </w:rPr>
        <w:t>πρέπει</w:t>
      </w:r>
      <w:r w:rsidRPr="0062047E">
        <w:rPr>
          <w:rFonts w:cstheme="minorHAnsi"/>
          <w:sz w:val="24"/>
          <w:szCs w:val="24"/>
          <w:lang w:val="el-GR"/>
        </w:rPr>
        <w:t xml:space="preserve"> </w:t>
      </w:r>
      <w:r>
        <w:rPr>
          <w:rFonts w:cstheme="minorHAnsi"/>
          <w:sz w:val="24"/>
          <w:szCs w:val="24"/>
          <w:lang w:val="el-GR"/>
        </w:rPr>
        <w:t>να</w:t>
      </w:r>
      <w:r w:rsidRPr="0062047E">
        <w:rPr>
          <w:rFonts w:cstheme="minorHAnsi"/>
          <w:sz w:val="24"/>
          <w:szCs w:val="24"/>
          <w:lang w:val="el-GR"/>
        </w:rPr>
        <w:t xml:space="preserve"> </w:t>
      </w:r>
      <w:r>
        <w:rPr>
          <w:rFonts w:cstheme="minorHAnsi"/>
          <w:sz w:val="24"/>
          <w:szCs w:val="24"/>
          <w:lang w:val="el-GR"/>
        </w:rPr>
        <w:t>ληφθούν</w:t>
      </w:r>
      <w:r w:rsidRPr="0062047E">
        <w:rPr>
          <w:rFonts w:cstheme="minorHAnsi"/>
          <w:sz w:val="24"/>
          <w:szCs w:val="24"/>
          <w:lang w:val="el-GR"/>
        </w:rPr>
        <w:t xml:space="preserve"> </w:t>
      </w:r>
      <w:r>
        <w:rPr>
          <w:rFonts w:cstheme="minorHAnsi"/>
          <w:sz w:val="24"/>
          <w:szCs w:val="24"/>
          <w:lang w:val="el-GR"/>
        </w:rPr>
        <w:t>για</w:t>
      </w:r>
      <w:r w:rsidRPr="0062047E">
        <w:rPr>
          <w:rFonts w:cstheme="minorHAnsi"/>
          <w:sz w:val="24"/>
          <w:szCs w:val="24"/>
          <w:lang w:val="el-GR"/>
        </w:rPr>
        <w:t xml:space="preserve"> </w:t>
      </w:r>
      <w:r>
        <w:rPr>
          <w:rFonts w:cstheme="minorHAnsi"/>
          <w:sz w:val="24"/>
          <w:szCs w:val="24"/>
          <w:lang w:val="el-GR"/>
        </w:rPr>
        <w:t>την</w:t>
      </w:r>
      <w:r w:rsidRPr="0062047E">
        <w:rPr>
          <w:rFonts w:cstheme="minorHAnsi"/>
          <w:sz w:val="24"/>
          <w:szCs w:val="24"/>
          <w:lang w:val="el-GR"/>
        </w:rPr>
        <w:t xml:space="preserve"> </w:t>
      </w:r>
      <w:r>
        <w:rPr>
          <w:rFonts w:cstheme="minorHAnsi"/>
          <w:sz w:val="24"/>
          <w:szCs w:val="24"/>
          <w:lang w:val="el-GR"/>
        </w:rPr>
        <w:t>προστασία</w:t>
      </w:r>
      <w:r w:rsidRPr="0062047E">
        <w:rPr>
          <w:rFonts w:cstheme="minorHAnsi"/>
          <w:sz w:val="24"/>
          <w:szCs w:val="24"/>
          <w:lang w:val="el-GR"/>
        </w:rPr>
        <w:t xml:space="preserve"> </w:t>
      </w:r>
      <w:r>
        <w:rPr>
          <w:rFonts w:cstheme="minorHAnsi"/>
          <w:sz w:val="24"/>
          <w:szCs w:val="24"/>
          <w:lang w:val="el-GR"/>
        </w:rPr>
        <w:t>το</w:t>
      </w:r>
      <w:r w:rsidR="00042313">
        <w:rPr>
          <w:rFonts w:cstheme="minorHAnsi"/>
          <w:sz w:val="24"/>
          <w:szCs w:val="24"/>
          <w:lang w:val="el-GR"/>
        </w:rPr>
        <w:t>υ</w:t>
      </w:r>
      <w:r w:rsidRPr="0062047E">
        <w:rPr>
          <w:rFonts w:cstheme="minorHAnsi"/>
          <w:sz w:val="24"/>
          <w:szCs w:val="24"/>
          <w:lang w:val="el-GR"/>
        </w:rPr>
        <w:t xml:space="preserve"> </w:t>
      </w:r>
      <w:r>
        <w:rPr>
          <w:rFonts w:cstheme="minorHAnsi"/>
          <w:sz w:val="24"/>
          <w:szCs w:val="24"/>
          <w:lang w:val="el-GR"/>
        </w:rPr>
        <w:t>πληροφοριοδότη</w:t>
      </w:r>
      <w:r w:rsidR="00220066" w:rsidRPr="0062047E">
        <w:rPr>
          <w:rFonts w:cstheme="minorHAnsi"/>
          <w:sz w:val="24"/>
          <w:szCs w:val="24"/>
          <w:lang w:val="el-GR"/>
        </w:rPr>
        <w:t xml:space="preserve">, </w:t>
      </w:r>
      <w:r>
        <w:rPr>
          <w:rFonts w:cstheme="minorHAnsi"/>
          <w:sz w:val="24"/>
          <w:szCs w:val="24"/>
          <w:lang w:val="el-GR"/>
        </w:rPr>
        <w:t>συμπεριλαμβανομένης και της ταυτότητας του/ης</w:t>
      </w:r>
      <w:r w:rsidR="00220066" w:rsidRPr="0062047E">
        <w:rPr>
          <w:rFonts w:cstheme="minorHAnsi"/>
          <w:sz w:val="24"/>
          <w:szCs w:val="24"/>
          <w:lang w:val="el-GR"/>
        </w:rPr>
        <w:t xml:space="preserve">. </w:t>
      </w:r>
      <w:r>
        <w:rPr>
          <w:rFonts w:cstheme="minorHAnsi"/>
          <w:sz w:val="24"/>
          <w:szCs w:val="24"/>
          <w:lang w:val="el-GR"/>
        </w:rPr>
        <w:t>Ο</w:t>
      </w:r>
      <w:r w:rsidRPr="0062047E">
        <w:rPr>
          <w:rFonts w:cstheme="minorHAnsi"/>
          <w:sz w:val="24"/>
          <w:szCs w:val="24"/>
          <w:lang w:val="el-GR"/>
        </w:rPr>
        <w:t xml:space="preserve"> </w:t>
      </w:r>
      <w:r>
        <w:rPr>
          <w:rFonts w:cstheme="minorHAnsi"/>
          <w:sz w:val="24"/>
          <w:szCs w:val="24"/>
          <w:lang w:val="el-GR"/>
        </w:rPr>
        <w:t>Αρχηγός</w:t>
      </w:r>
      <w:r w:rsidRPr="0062047E">
        <w:rPr>
          <w:rFonts w:cstheme="minorHAnsi"/>
          <w:sz w:val="24"/>
          <w:szCs w:val="24"/>
          <w:lang w:val="el-GR"/>
        </w:rPr>
        <w:t xml:space="preserve"> </w:t>
      </w:r>
      <w:r>
        <w:rPr>
          <w:rFonts w:cstheme="minorHAnsi"/>
          <w:sz w:val="24"/>
          <w:szCs w:val="24"/>
          <w:lang w:val="el-GR"/>
        </w:rPr>
        <w:t>της</w:t>
      </w:r>
      <w:r w:rsidRPr="0062047E">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62047E">
        <w:rPr>
          <w:rFonts w:cstheme="minorHAnsi"/>
          <w:sz w:val="24"/>
          <w:szCs w:val="24"/>
          <w:lang w:val="el-GR"/>
        </w:rPr>
        <w:t xml:space="preserve"> </w:t>
      </w:r>
      <w:r>
        <w:rPr>
          <w:rFonts w:cstheme="minorHAnsi"/>
          <w:sz w:val="24"/>
          <w:szCs w:val="24"/>
          <w:lang w:val="el-GR"/>
        </w:rPr>
        <w:t>πρέπει να αποφασίσει για τα απαραίτητα μέτρα</w:t>
      </w:r>
      <w:r w:rsidR="00220066" w:rsidRPr="0062047E">
        <w:rPr>
          <w:rFonts w:cstheme="minorHAnsi"/>
          <w:sz w:val="24"/>
          <w:szCs w:val="24"/>
          <w:lang w:val="el-GR"/>
        </w:rPr>
        <w:t xml:space="preserve">. </w:t>
      </w:r>
      <w:r>
        <w:rPr>
          <w:rFonts w:cstheme="minorHAnsi"/>
          <w:sz w:val="24"/>
          <w:szCs w:val="24"/>
          <w:lang w:val="el-GR"/>
        </w:rPr>
        <w:t>Ο</w:t>
      </w:r>
      <w:r w:rsidRPr="00AF37D4">
        <w:rPr>
          <w:rFonts w:cstheme="minorHAnsi"/>
          <w:sz w:val="24"/>
          <w:szCs w:val="24"/>
          <w:lang w:val="el-GR"/>
        </w:rPr>
        <w:t xml:space="preserve"> </w:t>
      </w:r>
      <w:r>
        <w:rPr>
          <w:rFonts w:cstheme="minorHAnsi"/>
          <w:sz w:val="24"/>
          <w:szCs w:val="24"/>
          <w:lang w:val="el-GR"/>
        </w:rPr>
        <w:t>Νόμος</w:t>
      </w:r>
      <w:r w:rsidRPr="00AF37D4">
        <w:rPr>
          <w:rFonts w:cstheme="minorHAnsi"/>
          <w:sz w:val="24"/>
          <w:szCs w:val="24"/>
          <w:lang w:val="el-GR"/>
        </w:rPr>
        <w:t xml:space="preserve"> </w:t>
      </w:r>
      <w:r>
        <w:rPr>
          <w:rFonts w:cstheme="minorHAnsi"/>
          <w:sz w:val="24"/>
          <w:szCs w:val="24"/>
          <w:lang w:val="el-GR"/>
        </w:rPr>
        <w:t>περί</w:t>
      </w:r>
      <w:r w:rsidRPr="00AF37D4">
        <w:rPr>
          <w:rFonts w:cstheme="minorHAnsi"/>
          <w:sz w:val="24"/>
          <w:szCs w:val="24"/>
          <w:lang w:val="el-GR"/>
        </w:rPr>
        <w:t xml:space="preserve"> </w:t>
      </w:r>
      <w:r>
        <w:rPr>
          <w:rFonts w:cstheme="minorHAnsi"/>
          <w:sz w:val="24"/>
          <w:szCs w:val="24"/>
          <w:lang w:val="el-GR"/>
        </w:rPr>
        <w:t>της</w:t>
      </w:r>
      <w:r w:rsidRPr="00AF37D4">
        <w:rPr>
          <w:rFonts w:cstheme="minorHAnsi"/>
          <w:sz w:val="24"/>
          <w:szCs w:val="24"/>
          <w:lang w:val="el-GR"/>
        </w:rPr>
        <w:t xml:space="preserve"> </w:t>
      </w:r>
      <w:r>
        <w:rPr>
          <w:rFonts w:cstheme="minorHAnsi"/>
          <w:sz w:val="24"/>
          <w:szCs w:val="24"/>
          <w:lang w:val="el-GR"/>
        </w:rPr>
        <w:t>Ίδρυσης</w:t>
      </w:r>
      <w:r w:rsidRPr="00AF37D4">
        <w:rPr>
          <w:rFonts w:cstheme="minorHAnsi"/>
          <w:sz w:val="24"/>
          <w:szCs w:val="24"/>
          <w:lang w:val="el-GR"/>
        </w:rPr>
        <w:t xml:space="preserve"> </w:t>
      </w:r>
      <w:r>
        <w:rPr>
          <w:rFonts w:cstheme="minorHAnsi"/>
          <w:sz w:val="24"/>
          <w:szCs w:val="24"/>
          <w:lang w:val="el-GR"/>
        </w:rPr>
        <w:t>και</w:t>
      </w:r>
      <w:r w:rsidRPr="00AF37D4">
        <w:rPr>
          <w:rFonts w:cstheme="minorHAnsi"/>
          <w:sz w:val="24"/>
          <w:szCs w:val="24"/>
          <w:lang w:val="el-GR"/>
        </w:rPr>
        <w:t xml:space="preserve"> </w:t>
      </w:r>
      <w:r>
        <w:rPr>
          <w:rFonts w:cstheme="minorHAnsi"/>
          <w:sz w:val="24"/>
          <w:szCs w:val="24"/>
          <w:lang w:val="el-GR"/>
        </w:rPr>
        <w:t>Λειτουργίας</w:t>
      </w:r>
      <w:r w:rsidRPr="00AF37D4">
        <w:rPr>
          <w:rFonts w:cstheme="minorHAnsi"/>
          <w:sz w:val="24"/>
          <w:szCs w:val="24"/>
          <w:lang w:val="el-GR"/>
        </w:rPr>
        <w:t xml:space="preserve"> </w:t>
      </w:r>
      <w:r>
        <w:rPr>
          <w:rFonts w:cstheme="minorHAnsi"/>
          <w:sz w:val="24"/>
          <w:szCs w:val="24"/>
          <w:lang w:val="el-GR"/>
        </w:rPr>
        <w:t>της</w:t>
      </w:r>
      <w:r w:rsidRPr="00AF37D4">
        <w:rPr>
          <w:rFonts w:cstheme="minorHAnsi"/>
          <w:sz w:val="24"/>
          <w:szCs w:val="24"/>
          <w:lang w:val="el-GR"/>
        </w:rPr>
        <w:t xml:space="preserve"> </w:t>
      </w:r>
      <w:r>
        <w:rPr>
          <w:rFonts w:cstheme="minorHAnsi"/>
          <w:sz w:val="24"/>
          <w:szCs w:val="24"/>
          <w:lang w:val="el-GR"/>
        </w:rPr>
        <w:t>Υπηρεσίας</w:t>
      </w:r>
      <w:r w:rsidRPr="00AF37D4">
        <w:rPr>
          <w:rFonts w:cstheme="minorHAnsi"/>
          <w:sz w:val="24"/>
          <w:szCs w:val="24"/>
          <w:lang w:val="el-GR"/>
        </w:rPr>
        <w:t xml:space="preserve"> </w:t>
      </w:r>
      <w:r>
        <w:rPr>
          <w:rFonts w:cstheme="minorHAnsi"/>
          <w:sz w:val="24"/>
          <w:szCs w:val="24"/>
          <w:lang w:val="el-GR"/>
        </w:rPr>
        <w:t>Εσωτερικών</w:t>
      </w:r>
      <w:r w:rsidRPr="00AF37D4">
        <w:rPr>
          <w:rFonts w:cstheme="minorHAnsi"/>
          <w:sz w:val="24"/>
          <w:szCs w:val="24"/>
          <w:lang w:val="el-GR"/>
        </w:rPr>
        <w:t xml:space="preserve"> </w:t>
      </w:r>
      <w:r>
        <w:rPr>
          <w:rFonts w:cstheme="minorHAnsi"/>
          <w:sz w:val="24"/>
          <w:szCs w:val="24"/>
          <w:lang w:val="el-GR"/>
        </w:rPr>
        <w:t>Υποθέσεων</w:t>
      </w:r>
      <w:r w:rsidRPr="00AF37D4">
        <w:rPr>
          <w:rFonts w:cstheme="minorHAnsi"/>
          <w:sz w:val="24"/>
          <w:szCs w:val="24"/>
          <w:lang w:val="el-GR"/>
        </w:rPr>
        <w:t xml:space="preserve"> </w:t>
      </w:r>
      <w:r>
        <w:rPr>
          <w:rFonts w:cstheme="minorHAnsi"/>
          <w:sz w:val="24"/>
          <w:szCs w:val="24"/>
          <w:lang w:val="el-GR"/>
        </w:rPr>
        <w:t>της</w:t>
      </w:r>
      <w:r w:rsidRPr="00AF37D4">
        <w:rPr>
          <w:rFonts w:cstheme="minorHAnsi"/>
          <w:sz w:val="24"/>
          <w:szCs w:val="24"/>
          <w:lang w:val="el-GR"/>
        </w:rPr>
        <w:t xml:space="preserve"> </w:t>
      </w:r>
      <w:r w:rsidR="009C4E34">
        <w:rPr>
          <w:rFonts w:cstheme="minorHAnsi"/>
          <w:sz w:val="24"/>
          <w:szCs w:val="24"/>
          <w:lang w:val="el-GR"/>
        </w:rPr>
        <w:t>Αστυνομία</w:t>
      </w:r>
      <w:r>
        <w:rPr>
          <w:rFonts w:cstheme="minorHAnsi"/>
          <w:sz w:val="24"/>
          <w:szCs w:val="24"/>
          <w:lang w:val="el-GR"/>
        </w:rPr>
        <w:t>ς</w:t>
      </w:r>
      <w:r w:rsidR="00220066" w:rsidRPr="004E251E">
        <w:rPr>
          <w:rFonts w:eastAsia="Times New Roman" w:cstheme="minorHAnsi"/>
          <w:sz w:val="24"/>
          <w:szCs w:val="24"/>
          <w:lang w:eastAsia="fr-FR"/>
        </w:rPr>
        <w:t> </w:t>
      </w:r>
      <w:r w:rsidR="00220066" w:rsidRPr="00AF37D4">
        <w:rPr>
          <w:rFonts w:eastAsia="Times New Roman" w:cstheme="minorHAnsi"/>
          <w:sz w:val="24"/>
          <w:szCs w:val="24"/>
          <w:lang w:val="el-GR" w:eastAsia="fr-FR"/>
        </w:rPr>
        <w:t>3(</w:t>
      </w:r>
      <w:r w:rsidR="00220066" w:rsidRPr="004E251E">
        <w:rPr>
          <w:rFonts w:eastAsia="Times New Roman" w:cstheme="minorHAnsi"/>
          <w:sz w:val="24"/>
          <w:szCs w:val="24"/>
          <w:lang w:eastAsia="fr-FR"/>
        </w:rPr>
        <w:t>I</w:t>
      </w:r>
      <w:r w:rsidR="00220066" w:rsidRPr="00AF37D4">
        <w:rPr>
          <w:rFonts w:eastAsia="Times New Roman" w:cstheme="minorHAnsi"/>
          <w:sz w:val="24"/>
          <w:szCs w:val="24"/>
          <w:lang w:val="el-GR" w:eastAsia="fr-FR"/>
        </w:rPr>
        <w:t xml:space="preserve">)/2018 </w:t>
      </w:r>
      <w:r w:rsidR="00AF37D4">
        <w:rPr>
          <w:rFonts w:eastAsia="Times New Roman" w:cstheme="minorHAnsi"/>
          <w:sz w:val="24"/>
          <w:szCs w:val="24"/>
          <w:lang w:val="el-GR" w:eastAsia="fr-FR"/>
        </w:rPr>
        <w:t>καθιερώνει</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τα</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ακόλουθα</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προστατευτικά</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μέτρα</w:t>
      </w:r>
      <w:r w:rsidR="00220066" w:rsidRPr="00AF37D4">
        <w:rPr>
          <w:rFonts w:eastAsia="Times New Roman" w:cstheme="minorHAnsi"/>
          <w:sz w:val="24"/>
          <w:szCs w:val="24"/>
          <w:lang w:val="el-GR" w:eastAsia="fr-FR"/>
        </w:rPr>
        <w:t xml:space="preserve"> (</w:t>
      </w:r>
      <w:proofErr w:type="spellStart"/>
      <w:r w:rsidR="00220066" w:rsidRPr="004E251E">
        <w:rPr>
          <w:rFonts w:eastAsia="Times New Roman" w:cstheme="minorHAnsi"/>
          <w:sz w:val="24"/>
          <w:szCs w:val="24"/>
          <w:lang w:eastAsia="fr-FR"/>
        </w:rPr>
        <w:t>i</w:t>
      </w:r>
      <w:proofErr w:type="spellEnd"/>
      <w:r w:rsidR="00220066"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προστασία</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της</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ταυτότητας</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του</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πληροφοριοδότη</w:t>
      </w:r>
      <w:r w:rsidR="00AF37D4" w:rsidRPr="00AF37D4">
        <w:rPr>
          <w:rFonts w:eastAsia="Times New Roman" w:cstheme="minorHAnsi"/>
          <w:sz w:val="24"/>
          <w:szCs w:val="24"/>
          <w:lang w:val="el-GR" w:eastAsia="fr-FR"/>
        </w:rPr>
        <w:t>,</w:t>
      </w:r>
      <w:r w:rsidR="00220066"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η</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μη</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τήρηση</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αυτής</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τιμωρείται</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με</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μέχρι</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τρία</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χρόνια</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φυλάκιση</w:t>
      </w:r>
      <w:r w:rsidR="00220066"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ή</w:t>
      </w:r>
      <w:r w:rsidR="00220066" w:rsidRPr="00AF37D4">
        <w:rPr>
          <w:rFonts w:eastAsia="Times New Roman" w:cstheme="minorHAnsi"/>
          <w:sz w:val="24"/>
          <w:szCs w:val="24"/>
          <w:lang w:val="el-GR" w:eastAsia="fr-FR"/>
        </w:rPr>
        <w:t>/</w:t>
      </w:r>
      <w:r w:rsidR="00AF37D4">
        <w:rPr>
          <w:rFonts w:eastAsia="Times New Roman" w:cstheme="minorHAnsi"/>
          <w:sz w:val="24"/>
          <w:szCs w:val="24"/>
          <w:lang w:val="el-GR" w:eastAsia="fr-FR"/>
        </w:rPr>
        <w:t>και</w:t>
      </w:r>
      <w:r w:rsidR="00AF37D4" w:rsidRPr="00AF37D4">
        <w:rPr>
          <w:rFonts w:eastAsia="Times New Roman" w:cstheme="minorHAnsi"/>
          <w:sz w:val="24"/>
          <w:szCs w:val="24"/>
          <w:lang w:val="el-GR" w:eastAsia="fr-FR"/>
        </w:rPr>
        <w:t xml:space="preserve"> </w:t>
      </w:r>
      <w:r w:rsidR="00AF37D4">
        <w:rPr>
          <w:rFonts w:eastAsia="Times New Roman" w:cstheme="minorHAnsi"/>
          <w:sz w:val="24"/>
          <w:szCs w:val="24"/>
          <w:lang w:val="el-GR" w:eastAsia="fr-FR"/>
        </w:rPr>
        <w:t>πρόστιμο</w:t>
      </w:r>
      <w:r w:rsidR="00220066" w:rsidRPr="00AF37D4">
        <w:rPr>
          <w:rFonts w:eastAsia="Times New Roman" w:cstheme="minorHAnsi"/>
          <w:sz w:val="24"/>
          <w:szCs w:val="24"/>
          <w:lang w:val="el-GR" w:eastAsia="fr-FR"/>
        </w:rPr>
        <w:t xml:space="preserve"> </w:t>
      </w:r>
      <w:r w:rsidR="00220066" w:rsidRPr="00AF37D4">
        <w:rPr>
          <w:rFonts w:cstheme="minorHAnsi"/>
          <w:sz w:val="24"/>
          <w:szCs w:val="24"/>
          <w:lang w:val="el-GR"/>
        </w:rPr>
        <w:t>€50 000; (</w:t>
      </w:r>
      <w:r w:rsidR="00220066" w:rsidRPr="004E251E">
        <w:rPr>
          <w:rFonts w:cstheme="minorHAnsi"/>
          <w:sz w:val="24"/>
          <w:szCs w:val="24"/>
        </w:rPr>
        <w:t>ii</w:t>
      </w:r>
      <w:r w:rsidR="00220066" w:rsidRPr="00AF37D4">
        <w:rPr>
          <w:rFonts w:cstheme="minorHAnsi"/>
          <w:sz w:val="24"/>
          <w:szCs w:val="24"/>
          <w:lang w:val="el-GR"/>
        </w:rPr>
        <w:t xml:space="preserve">) </w:t>
      </w:r>
      <w:r w:rsidR="00AF37D4">
        <w:rPr>
          <w:rFonts w:cstheme="minorHAnsi"/>
          <w:sz w:val="24"/>
          <w:szCs w:val="24"/>
          <w:lang w:val="el-GR"/>
        </w:rPr>
        <w:t>οποιοσδήποτε</w:t>
      </w:r>
      <w:r w:rsidR="00AF37D4" w:rsidRPr="00AF37D4">
        <w:rPr>
          <w:rFonts w:cstheme="minorHAnsi"/>
          <w:sz w:val="24"/>
          <w:szCs w:val="24"/>
          <w:lang w:val="el-GR"/>
        </w:rPr>
        <w:t xml:space="preserve"> </w:t>
      </w:r>
      <w:r w:rsidR="00AF37D4">
        <w:rPr>
          <w:rFonts w:cstheme="minorHAnsi"/>
          <w:sz w:val="24"/>
          <w:szCs w:val="24"/>
          <w:lang w:val="el-GR"/>
        </w:rPr>
        <w:t>ΑΕΝ</w:t>
      </w:r>
      <w:r w:rsidR="00220066" w:rsidRPr="00AF37D4">
        <w:rPr>
          <w:rFonts w:cstheme="minorHAnsi"/>
          <w:sz w:val="24"/>
          <w:szCs w:val="24"/>
          <w:lang w:val="el-GR"/>
        </w:rPr>
        <w:t xml:space="preserve"> </w:t>
      </w:r>
      <w:r w:rsidR="00AF37D4">
        <w:rPr>
          <w:rFonts w:cstheme="minorHAnsi"/>
          <w:sz w:val="24"/>
          <w:szCs w:val="24"/>
          <w:lang w:val="el-GR"/>
        </w:rPr>
        <w:t>που</w:t>
      </w:r>
      <w:r w:rsidR="00AF37D4" w:rsidRPr="00AF37D4">
        <w:rPr>
          <w:rFonts w:cstheme="minorHAnsi"/>
          <w:sz w:val="24"/>
          <w:szCs w:val="24"/>
          <w:lang w:val="el-GR"/>
        </w:rPr>
        <w:t xml:space="preserve"> </w:t>
      </w:r>
      <w:r w:rsidR="00AF37D4">
        <w:rPr>
          <w:rFonts w:cstheme="minorHAnsi"/>
          <w:sz w:val="24"/>
          <w:szCs w:val="24"/>
          <w:lang w:val="el-GR"/>
        </w:rPr>
        <w:t>ενεργεί</w:t>
      </w:r>
      <w:r w:rsidR="00AF37D4" w:rsidRPr="00AF37D4">
        <w:rPr>
          <w:rFonts w:cstheme="minorHAnsi"/>
          <w:sz w:val="24"/>
          <w:szCs w:val="24"/>
          <w:lang w:val="el-GR"/>
        </w:rPr>
        <w:t xml:space="preserve"> </w:t>
      </w:r>
      <w:r w:rsidR="00AF37D4">
        <w:rPr>
          <w:rFonts w:cstheme="minorHAnsi"/>
          <w:sz w:val="24"/>
          <w:szCs w:val="24"/>
          <w:lang w:val="el-GR"/>
        </w:rPr>
        <w:t>ως</w:t>
      </w:r>
      <w:r w:rsidR="00AF37D4" w:rsidRPr="00AF37D4">
        <w:rPr>
          <w:rFonts w:cstheme="minorHAnsi"/>
          <w:sz w:val="24"/>
          <w:szCs w:val="24"/>
          <w:lang w:val="el-GR"/>
        </w:rPr>
        <w:t xml:space="preserve"> </w:t>
      </w:r>
      <w:r w:rsidR="00AF37D4">
        <w:rPr>
          <w:rFonts w:cstheme="minorHAnsi"/>
          <w:sz w:val="24"/>
          <w:szCs w:val="24"/>
          <w:lang w:val="el-GR"/>
        </w:rPr>
        <w:t>πληροφοριοδότης</w:t>
      </w:r>
      <w:r w:rsidR="00220066" w:rsidRPr="00AF37D4">
        <w:rPr>
          <w:rFonts w:cstheme="minorHAnsi"/>
          <w:sz w:val="24"/>
          <w:szCs w:val="24"/>
          <w:lang w:val="el-GR"/>
        </w:rPr>
        <w:t xml:space="preserve"> </w:t>
      </w:r>
      <w:r w:rsidR="00AF37D4">
        <w:rPr>
          <w:rFonts w:cstheme="minorHAnsi"/>
          <w:sz w:val="24"/>
          <w:szCs w:val="24"/>
          <w:lang w:val="el-GR"/>
        </w:rPr>
        <w:t>δεν</w:t>
      </w:r>
      <w:r w:rsidR="00AF37D4" w:rsidRPr="00AF37D4">
        <w:rPr>
          <w:rFonts w:cstheme="minorHAnsi"/>
          <w:sz w:val="24"/>
          <w:szCs w:val="24"/>
          <w:lang w:val="el-GR"/>
        </w:rPr>
        <w:t xml:space="preserve"> </w:t>
      </w:r>
      <w:r w:rsidR="00AF37D4">
        <w:rPr>
          <w:rFonts w:cstheme="minorHAnsi"/>
          <w:sz w:val="24"/>
          <w:szCs w:val="24"/>
          <w:lang w:val="el-GR"/>
        </w:rPr>
        <w:t>μπορεί</w:t>
      </w:r>
      <w:r w:rsidR="00AF37D4" w:rsidRPr="00AF37D4">
        <w:rPr>
          <w:rFonts w:cstheme="minorHAnsi"/>
          <w:sz w:val="24"/>
          <w:szCs w:val="24"/>
          <w:lang w:val="el-GR"/>
        </w:rPr>
        <w:t xml:space="preserve"> </w:t>
      </w:r>
      <w:r w:rsidR="00AF37D4">
        <w:rPr>
          <w:rFonts w:cstheme="minorHAnsi"/>
          <w:sz w:val="24"/>
          <w:szCs w:val="24"/>
          <w:lang w:val="el-GR"/>
        </w:rPr>
        <w:t>να</w:t>
      </w:r>
      <w:r w:rsidR="00AF37D4" w:rsidRPr="00AF37D4">
        <w:rPr>
          <w:rFonts w:cstheme="minorHAnsi"/>
          <w:sz w:val="24"/>
          <w:szCs w:val="24"/>
          <w:lang w:val="el-GR"/>
        </w:rPr>
        <w:t xml:space="preserve"> </w:t>
      </w:r>
      <w:r w:rsidR="00AF37D4">
        <w:rPr>
          <w:rFonts w:cstheme="minorHAnsi"/>
          <w:sz w:val="24"/>
          <w:szCs w:val="24"/>
          <w:lang w:val="el-GR"/>
        </w:rPr>
        <w:t>θεωρηθεί</w:t>
      </w:r>
      <w:r w:rsidR="00AF37D4" w:rsidRPr="00AF37D4">
        <w:rPr>
          <w:rFonts w:cstheme="minorHAnsi"/>
          <w:sz w:val="24"/>
          <w:szCs w:val="24"/>
          <w:lang w:val="el-GR"/>
        </w:rPr>
        <w:t xml:space="preserve"> </w:t>
      </w:r>
      <w:r w:rsidR="00AF37D4">
        <w:rPr>
          <w:rFonts w:cstheme="minorHAnsi"/>
          <w:sz w:val="24"/>
          <w:szCs w:val="24"/>
          <w:lang w:val="el-GR"/>
        </w:rPr>
        <w:t>ως</w:t>
      </w:r>
      <w:r w:rsidR="00AF37D4" w:rsidRPr="00AF37D4">
        <w:rPr>
          <w:rFonts w:cstheme="minorHAnsi"/>
          <w:sz w:val="24"/>
          <w:szCs w:val="24"/>
          <w:lang w:val="el-GR"/>
        </w:rPr>
        <w:t xml:space="preserve"> </w:t>
      </w:r>
      <w:r w:rsidR="00AF37D4">
        <w:rPr>
          <w:rFonts w:cstheme="minorHAnsi"/>
          <w:sz w:val="24"/>
          <w:szCs w:val="24"/>
          <w:lang w:val="el-GR"/>
        </w:rPr>
        <w:t>παραβάτης</w:t>
      </w:r>
      <w:r w:rsidR="00AF37D4" w:rsidRPr="00AF37D4">
        <w:rPr>
          <w:rFonts w:cstheme="minorHAnsi"/>
          <w:sz w:val="24"/>
          <w:szCs w:val="24"/>
          <w:lang w:val="el-GR"/>
        </w:rPr>
        <w:t xml:space="preserve"> </w:t>
      </w:r>
      <w:r w:rsidR="00AF37D4">
        <w:rPr>
          <w:rFonts w:cstheme="minorHAnsi"/>
          <w:sz w:val="24"/>
          <w:szCs w:val="24"/>
          <w:lang w:val="el-GR"/>
        </w:rPr>
        <w:t>των</w:t>
      </w:r>
      <w:r w:rsidR="00AF37D4" w:rsidRPr="00AF37D4">
        <w:rPr>
          <w:rFonts w:cstheme="minorHAnsi"/>
          <w:sz w:val="24"/>
          <w:szCs w:val="24"/>
          <w:lang w:val="el-GR"/>
        </w:rPr>
        <w:t xml:space="preserve"> </w:t>
      </w:r>
      <w:r w:rsidR="00AF37D4">
        <w:rPr>
          <w:rFonts w:cstheme="minorHAnsi"/>
          <w:sz w:val="24"/>
          <w:szCs w:val="24"/>
          <w:lang w:val="el-GR"/>
        </w:rPr>
        <w:t>καθηκόντων εμπιστευτικότητας ή διακριτικότητας</w:t>
      </w:r>
      <w:r w:rsidR="00AF37D4" w:rsidRPr="00AF37D4">
        <w:rPr>
          <w:rFonts w:cstheme="minorHAnsi"/>
          <w:sz w:val="24"/>
          <w:szCs w:val="24"/>
          <w:lang w:val="el-GR"/>
        </w:rPr>
        <w:t xml:space="preserve"> </w:t>
      </w:r>
      <w:r w:rsidR="00AF37D4">
        <w:rPr>
          <w:rFonts w:cstheme="minorHAnsi"/>
          <w:sz w:val="24"/>
          <w:szCs w:val="24"/>
          <w:lang w:val="el-GR"/>
        </w:rPr>
        <w:t>στην υπηρεσία,</w:t>
      </w:r>
      <w:r w:rsidR="00220066" w:rsidRPr="00AF37D4">
        <w:rPr>
          <w:rFonts w:cstheme="minorHAnsi"/>
          <w:sz w:val="24"/>
          <w:szCs w:val="24"/>
          <w:lang w:val="el-GR"/>
        </w:rPr>
        <w:t xml:space="preserve"> (</w:t>
      </w:r>
      <w:r w:rsidR="00220066" w:rsidRPr="004E251E">
        <w:rPr>
          <w:rFonts w:cstheme="minorHAnsi"/>
          <w:sz w:val="24"/>
          <w:szCs w:val="24"/>
        </w:rPr>
        <w:t>iii</w:t>
      </w:r>
      <w:r w:rsidR="00220066" w:rsidRPr="00AF37D4">
        <w:rPr>
          <w:rFonts w:cstheme="minorHAnsi"/>
          <w:sz w:val="24"/>
          <w:szCs w:val="24"/>
          <w:lang w:val="el-GR"/>
        </w:rPr>
        <w:t xml:space="preserve">) </w:t>
      </w:r>
      <w:r w:rsidR="00AF37D4">
        <w:rPr>
          <w:rFonts w:cstheme="minorHAnsi"/>
          <w:sz w:val="24"/>
          <w:szCs w:val="24"/>
          <w:lang w:val="el-GR"/>
        </w:rPr>
        <w:t>η μετάθεση</w:t>
      </w:r>
      <w:r w:rsidR="00220066" w:rsidRPr="00AF37D4">
        <w:rPr>
          <w:rFonts w:cstheme="minorHAnsi"/>
          <w:sz w:val="24"/>
          <w:szCs w:val="24"/>
          <w:lang w:val="el-GR"/>
        </w:rPr>
        <w:t xml:space="preserve">, </w:t>
      </w:r>
      <w:r w:rsidR="00AF37D4">
        <w:rPr>
          <w:rFonts w:cstheme="minorHAnsi"/>
          <w:sz w:val="24"/>
          <w:szCs w:val="24"/>
          <w:lang w:val="el-GR"/>
        </w:rPr>
        <w:t>η απόσπαση</w:t>
      </w:r>
      <w:r w:rsidR="00220066" w:rsidRPr="00AF37D4">
        <w:rPr>
          <w:rFonts w:cstheme="minorHAnsi"/>
          <w:sz w:val="24"/>
          <w:szCs w:val="24"/>
          <w:lang w:val="el-GR"/>
        </w:rPr>
        <w:t xml:space="preserve">, </w:t>
      </w:r>
      <w:r w:rsidR="00AF37D4">
        <w:rPr>
          <w:rFonts w:cstheme="minorHAnsi"/>
          <w:sz w:val="24"/>
          <w:szCs w:val="24"/>
          <w:lang w:val="el-GR"/>
        </w:rPr>
        <w:t>η υποβάθμιση καθηκόντων</w:t>
      </w:r>
      <w:r w:rsidR="00220066" w:rsidRPr="00AF37D4">
        <w:rPr>
          <w:rFonts w:cstheme="minorHAnsi"/>
          <w:sz w:val="24"/>
          <w:szCs w:val="24"/>
          <w:lang w:val="el-GR"/>
        </w:rPr>
        <w:t xml:space="preserve">, </w:t>
      </w:r>
      <w:r w:rsidR="00042313">
        <w:rPr>
          <w:rFonts w:cstheme="minorHAnsi"/>
          <w:sz w:val="24"/>
          <w:szCs w:val="24"/>
          <w:lang w:val="el-GR"/>
        </w:rPr>
        <w:t>μια αρν</w:t>
      </w:r>
      <w:r w:rsidR="00AF37D4">
        <w:rPr>
          <w:rFonts w:cstheme="minorHAnsi"/>
          <w:sz w:val="24"/>
          <w:szCs w:val="24"/>
          <w:lang w:val="el-GR"/>
        </w:rPr>
        <w:t>ητικ</w:t>
      </w:r>
      <w:r w:rsidR="00042313">
        <w:rPr>
          <w:rFonts w:cstheme="minorHAnsi"/>
          <w:sz w:val="24"/>
          <w:szCs w:val="24"/>
          <w:lang w:val="el-GR"/>
        </w:rPr>
        <w:t>ή αξιολό</w:t>
      </w:r>
      <w:r w:rsidR="00AF37D4">
        <w:rPr>
          <w:rFonts w:cstheme="minorHAnsi"/>
          <w:sz w:val="24"/>
          <w:szCs w:val="24"/>
          <w:lang w:val="el-GR"/>
        </w:rPr>
        <w:t>γηση</w:t>
      </w:r>
      <w:r w:rsidR="00AF37D4" w:rsidRPr="00AF37D4">
        <w:rPr>
          <w:rFonts w:cstheme="minorHAnsi"/>
          <w:sz w:val="24"/>
          <w:szCs w:val="24"/>
          <w:lang w:val="el-GR"/>
        </w:rPr>
        <w:t xml:space="preserve"> </w:t>
      </w:r>
      <w:r w:rsidR="00AF37D4">
        <w:rPr>
          <w:rFonts w:cstheme="minorHAnsi"/>
          <w:sz w:val="24"/>
          <w:szCs w:val="24"/>
          <w:lang w:val="el-GR"/>
        </w:rPr>
        <w:t>απόδοσης</w:t>
      </w:r>
      <w:r w:rsidR="00220066" w:rsidRPr="00AF37D4">
        <w:rPr>
          <w:rFonts w:cstheme="minorHAnsi"/>
          <w:sz w:val="24"/>
          <w:szCs w:val="24"/>
          <w:lang w:val="el-GR"/>
        </w:rPr>
        <w:t xml:space="preserve">, </w:t>
      </w:r>
      <w:r w:rsidR="00AF37D4">
        <w:rPr>
          <w:rFonts w:cstheme="minorHAnsi"/>
          <w:sz w:val="24"/>
          <w:szCs w:val="24"/>
          <w:lang w:val="el-GR"/>
        </w:rPr>
        <w:t>ή η μη παραχώρηση ίσων ευκαιριών εκπαίδευσης</w:t>
      </w:r>
      <w:r w:rsidR="00220066" w:rsidRPr="00AF37D4">
        <w:rPr>
          <w:rFonts w:cstheme="minorHAnsi"/>
          <w:sz w:val="24"/>
          <w:szCs w:val="24"/>
          <w:lang w:val="el-GR"/>
        </w:rPr>
        <w:t xml:space="preserve">, </w:t>
      </w:r>
      <w:r w:rsidR="00AF37D4">
        <w:rPr>
          <w:rFonts w:cstheme="minorHAnsi"/>
          <w:sz w:val="24"/>
          <w:szCs w:val="24"/>
          <w:lang w:val="el-GR"/>
        </w:rPr>
        <w:t>θα θεωρούνται ως</w:t>
      </w:r>
      <w:r w:rsidR="00AF37D4" w:rsidRPr="00AF37D4">
        <w:rPr>
          <w:rFonts w:cstheme="minorHAnsi"/>
          <w:sz w:val="24"/>
          <w:szCs w:val="24"/>
          <w:lang w:val="el-GR"/>
        </w:rPr>
        <w:t xml:space="preserve"> </w:t>
      </w:r>
      <w:r w:rsidR="00AF37D4">
        <w:rPr>
          <w:rFonts w:cstheme="minorHAnsi"/>
          <w:sz w:val="24"/>
          <w:szCs w:val="24"/>
          <w:lang w:val="el-GR"/>
        </w:rPr>
        <w:t>αντεκδικητικές πράξεις</w:t>
      </w:r>
      <w:r w:rsidR="00220066" w:rsidRPr="00AF37D4">
        <w:rPr>
          <w:rFonts w:cstheme="minorHAnsi"/>
          <w:sz w:val="24"/>
          <w:szCs w:val="24"/>
          <w:lang w:val="el-GR"/>
        </w:rPr>
        <w:t xml:space="preserve">, </w:t>
      </w:r>
      <w:r w:rsidR="00AF37D4">
        <w:rPr>
          <w:rFonts w:cstheme="minorHAnsi"/>
          <w:sz w:val="24"/>
          <w:szCs w:val="24"/>
          <w:lang w:val="el-GR"/>
        </w:rPr>
        <w:t>εκτός αν η αρμό</w:t>
      </w:r>
      <w:r w:rsidR="00042313">
        <w:rPr>
          <w:rFonts w:cstheme="minorHAnsi"/>
          <w:sz w:val="24"/>
          <w:szCs w:val="24"/>
          <w:lang w:val="el-GR"/>
        </w:rPr>
        <w:t>δ</w:t>
      </w:r>
      <w:r w:rsidR="00AF37D4">
        <w:rPr>
          <w:rFonts w:cstheme="minorHAnsi"/>
          <w:sz w:val="24"/>
          <w:szCs w:val="24"/>
          <w:lang w:val="el-GR"/>
        </w:rPr>
        <w:t>ι</w:t>
      </w:r>
      <w:r w:rsidR="00042313">
        <w:rPr>
          <w:rFonts w:cstheme="minorHAnsi"/>
          <w:sz w:val="24"/>
          <w:szCs w:val="24"/>
          <w:lang w:val="el-GR"/>
        </w:rPr>
        <w:t>α</w:t>
      </w:r>
      <w:r w:rsidR="00AF37D4">
        <w:rPr>
          <w:rFonts w:cstheme="minorHAnsi"/>
          <w:sz w:val="24"/>
          <w:szCs w:val="24"/>
          <w:lang w:val="el-GR"/>
        </w:rPr>
        <w:t xml:space="preserve"> διεύθυνση</w:t>
      </w:r>
      <w:r w:rsidR="00220066" w:rsidRPr="00AF37D4">
        <w:rPr>
          <w:rFonts w:cstheme="minorHAnsi"/>
          <w:sz w:val="24"/>
          <w:szCs w:val="24"/>
          <w:lang w:val="el-GR"/>
        </w:rPr>
        <w:t>/</w:t>
      </w:r>
      <w:r w:rsidR="00AF37D4">
        <w:rPr>
          <w:rFonts w:cstheme="minorHAnsi"/>
          <w:sz w:val="24"/>
          <w:szCs w:val="24"/>
          <w:lang w:val="el-GR"/>
        </w:rPr>
        <w:t>υπηρεσία</w:t>
      </w:r>
      <w:r w:rsidR="00220066" w:rsidRPr="00AF37D4">
        <w:rPr>
          <w:rFonts w:cstheme="minorHAnsi"/>
          <w:sz w:val="24"/>
          <w:szCs w:val="24"/>
          <w:lang w:val="el-GR"/>
        </w:rPr>
        <w:t>/</w:t>
      </w:r>
      <w:r w:rsidR="00AF37D4">
        <w:rPr>
          <w:rFonts w:cstheme="minorHAnsi"/>
          <w:sz w:val="24"/>
          <w:szCs w:val="24"/>
          <w:lang w:val="el-GR"/>
        </w:rPr>
        <w:t>μονάδα</w:t>
      </w:r>
      <w:r w:rsidR="00220066" w:rsidRPr="00AF37D4">
        <w:rPr>
          <w:rFonts w:cstheme="minorHAnsi"/>
          <w:sz w:val="24"/>
          <w:szCs w:val="24"/>
          <w:lang w:val="el-GR"/>
        </w:rPr>
        <w:t xml:space="preserve"> </w:t>
      </w:r>
      <w:r w:rsidR="00AF37D4">
        <w:rPr>
          <w:rFonts w:cstheme="minorHAnsi"/>
          <w:sz w:val="24"/>
          <w:szCs w:val="24"/>
          <w:lang w:val="el-GR"/>
        </w:rPr>
        <w:t>αποδεικνύει ότι μια τέτοια ενέργεια δεν είναι με οποιοδήποτε τρόπο συνδεδεμένη με την αποκάλυψη</w:t>
      </w:r>
      <w:r w:rsidR="00220066" w:rsidRPr="00AF37D4">
        <w:rPr>
          <w:rFonts w:cstheme="minorHAnsi"/>
          <w:sz w:val="24"/>
          <w:szCs w:val="24"/>
          <w:lang w:val="el-GR"/>
        </w:rPr>
        <w:t xml:space="preserve">. </w:t>
      </w:r>
      <w:r w:rsidR="00AF37D4">
        <w:rPr>
          <w:rFonts w:cstheme="minorHAnsi"/>
          <w:sz w:val="24"/>
          <w:szCs w:val="24"/>
          <w:lang w:val="el-GR"/>
        </w:rPr>
        <w:t>Επιπλέον</w:t>
      </w:r>
      <w:r w:rsidR="00220066" w:rsidRPr="00AF37D4">
        <w:rPr>
          <w:rFonts w:cstheme="minorHAnsi"/>
          <w:sz w:val="24"/>
          <w:szCs w:val="24"/>
          <w:lang w:val="el-GR"/>
        </w:rPr>
        <w:t xml:space="preserve">, </w:t>
      </w:r>
      <w:r w:rsidR="00AF37D4">
        <w:rPr>
          <w:rFonts w:cstheme="minorHAnsi"/>
          <w:sz w:val="24"/>
          <w:szCs w:val="24"/>
          <w:lang w:val="el-GR"/>
        </w:rPr>
        <w:t>οι</w:t>
      </w:r>
      <w:r w:rsidR="00AF37D4" w:rsidRPr="00AF37D4">
        <w:rPr>
          <w:rFonts w:cstheme="minorHAnsi"/>
          <w:sz w:val="24"/>
          <w:szCs w:val="24"/>
          <w:lang w:val="el-GR"/>
        </w:rPr>
        <w:t xml:space="preserve"> </w:t>
      </w:r>
      <w:r w:rsidR="00AF37D4">
        <w:rPr>
          <w:rFonts w:cstheme="minorHAnsi"/>
          <w:sz w:val="24"/>
          <w:szCs w:val="24"/>
          <w:lang w:val="el-GR"/>
        </w:rPr>
        <w:t>πρόνοιες</w:t>
      </w:r>
      <w:r w:rsidR="00AF37D4" w:rsidRPr="00AF37D4">
        <w:rPr>
          <w:rFonts w:cstheme="minorHAnsi"/>
          <w:sz w:val="24"/>
          <w:szCs w:val="24"/>
          <w:lang w:val="el-GR"/>
        </w:rPr>
        <w:t xml:space="preserve"> </w:t>
      </w:r>
      <w:r w:rsidR="00AF37D4">
        <w:rPr>
          <w:rFonts w:cstheme="minorHAnsi"/>
          <w:sz w:val="24"/>
          <w:szCs w:val="24"/>
          <w:lang w:val="el-GR"/>
        </w:rPr>
        <w:t>του</w:t>
      </w:r>
      <w:r w:rsidR="00AF37D4" w:rsidRPr="00AF37D4">
        <w:rPr>
          <w:rFonts w:cstheme="minorHAnsi"/>
          <w:sz w:val="24"/>
          <w:szCs w:val="24"/>
          <w:lang w:val="el-GR"/>
        </w:rPr>
        <w:t xml:space="preserve"> </w:t>
      </w:r>
      <w:r w:rsidR="00AF37D4">
        <w:rPr>
          <w:rFonts w:cstheme="minorHAnsi"/>
          <w:sz w:val="24"/>
          <w:szCs w:val="24"/>
          <w:lang w:val="el-GR"/>
        </w:rPr>
        <w:t>Νόμου</w:t>
      </w:r>
      <w:r w:rsidR="00AF37D4" w:rsidRPr="00AF37D4">
        <w:rPr>
          <w:rFonts w:cstheme="minorHAnsi"/>
          <w:sz w:val="24"/>
          <w:szCs w:val="24"/>
          <w:lang w:val="el-GR"/>
        </w:rPr>
        <w:t xml:space="preserve"> </w:t>
      </w:r>
      <w:r w:rsidR="00AF37D4">
        <w:rPr>
          <w:rFonts w:cstheme="minorHAnsi"/>
          <w:sz w:val="24"/>
          <w:szCs w:val="24"/>
          <w:lang w:val="el-GR"/>
        </w:rPr>
        <w:t>περί</w:t>
      </w:r>
      <w:r w:rsidR="00AF37D4" w:rsidRPr="00AF37D4">
        <w:rPr>
          <w:rFonts w:cstheme="minorHAnsi"/>
          <w:sz w:val="24"/>
          <w:szCs w:val="24"/>
          <w:lang w:val="el-GR"/>
        </w:rPr>
        <w:t xml:space="preserve"> </w:t>
      </w:r>
      <w:r w:rsidR="00AF37D4">
        <w:rPr>
          <w:rFonts w:cstheme="minorHAnsi"/>
          <w:sz w:val="24"/>
          <w:szCs w:val="24"/>
          <w:lang w:val="el-GR"/>
        </w:rPr>
        <w:t>Προστασίας</w:t>
      </w:r>
      <w:r w:rsidR="00AF37D4" w:rsidRPr="00AF37D4">
        <w:rPr>
          <w:rFonts w:cstheme="minorHAnsi"/>
          <w:sz w:val="24"/>
          <w:szCs w:val="24"/>
          <w:lang w:val="el-GR"/>
        </w:rPr>
        <w:t xml:space="preserve"> </w:t>
      </w:r>
      <w:r w:rsidR="00AF37D4">
        <w:rPr>
          <w:rFonts w:cstheme="minorHAnsi"/>
          <w:sz w:val="24"/>
          <w:szCs w:val="24"/>
          <w:lang w:val="el-GR"/>
        </w:rPr>
        <w:t>Μαρτύρων</w:t>
      </w:r>
      <w:r w:rsidR="00220066" w:rsidRPr="00AF37D4">
        <w:rPr>
          <w:rFonts w:cstheme="minorHAnsi"/>
          <w:sz w:val="24"/>
          <w:szCs w:val="24"/>
          <w:lang w:val="el-GR"/>
        </w:rPr>
        <w:t xml:space="preserve"> </w:t>
      </w:r>
      <w:r w:rsidR="00AF37D4">
        <w:rPr>
          <w:rFonts w:cstheme="minorHAnsi"/>
          <w:sz w:val="24"/>
          <w:szCs w:val="24"/>
          <w:lang w:val="el-GR"/>
        </w:rPr>
        <w:t>επίσης</w:t>
      </w:r>
      <w:r w:rsidR="00AF37D4" w:rsidRPr="00AF37D4">
        <w:rPr>
          <w:rFonts w:cstheme="minorHAnsi"/>
          <w:sz w:val="24"/>
          <w:szCs w:val="24"/>
          <w:lang w:val="el-GR"/>
        </w:rPr>
        <w:t xml:space="preserve"> </w:t>
      </w:r>
      <w:r w:rsidR="00AF37D4">
        <w:rPr>
          <w:rFonts w:cstheme="minorHAnsi"/>
          <w:sz w:val="24"/>
          <w:szCs w:val="24"/>
          <w:lang w:val="el-GR"/>
        </w:rPr>
        <w:t>ισχύουν</w:t>
      </w:r>
      <w:r w:rsidR="00AF37D4" w:rsidRPr="00AF37D4">
        <w:rPr>
          <w:rFonts w:cstheme="minorHAnsi"/>
          <w:sz w:val="24"/>
          <w:szCs w:val="24"/>
          <w:lang w:val="el-GR"/>
        </w:rPr>
        <w:t xml:space="preserve"> </w:t>
      </w:r>
      <w:r w:rsidR="00AF37D4">
        <w:rPr>
          <w:rFonts w:cstheme="minorHAnsi"/>
          <w:sz w:val="24"/>
          <w:szCs w:val="24"/>
          <w:lang w:val="el-GR"/>
        </w:rPr>
        <w:t>υπό</w:t>
      </w:r>
      <w:r w:rsidR="00AF37D4" w:rsidRPr="00AF37D4">
        <w:rPr>
          <w:rFonts w:cstheme="minorHAnsi"/>
          <w:sz w:val="24"/>
          <w:szCs w:val="24"/>
          <w:lang w:val="el-GR"/>
        </w:rPr>
        <w:t xml:space="preserve"> </w:t>
      </w:r>
      <w:r w:rsidR="00AF37D4">
        <w:rPr>
          <w:rFonts w:cstheme="minorHAnsi"/>
          <w:sz w:val="24"/>
          <w:szCs w:val="24"/>
          <w:lang w:val="el-GR"/>
        </w:rPr>
        <w:t>την</w:t>
      </w:r>
      <w:r w:rsidR="00AF37D4" w:rsidRPr="00AF37D4">
        <w:rPr>
          <w:rFonts w:cstheme="minorHAnsi"/>
          <w:sz w:val="24"/>
          <w:szCs w:val="24"/>
          <w:lang w:val="el-GR"/>
        </w:rPr>
        <w:t xml:space="preserve"> </w:t>
      </w:r>
      <w:r w:rsidR="00AF37D4">
        <w:rPr>
          <w:rFonts w:cstheme="minorHAnsi"/>
          <w:sz w:val="24"/>
          <w:szCs w:val="24"/>
          <w:lang w:val="el-GR"/>
        </w:rPr>
        <w:t>άποψη</w:t>
      </w:r>
      <w:r w:rsidR="00AF37D4" w:rsidRPr="00AF37D4">
        <w:rPr>
          <w:rFonts w:cstheme="minorHAnsi"/>
          <w:sz w:val="24"/>
          <w:szCs w:val="24"/>
          <w:lang w:val="el-GR"/>
        </w:rPr>
        <w:t xml:space="preserve"> </w:t>
      </w:r>
      <w:r w:rsidR="00AF37D4">
        <w:rPr>
          <w:rFonts w:cstheme="minorHAnsi"/>
          <w:sz w:val="24"/>
          <w:szCs w:val="24"/>
          <w:lang w:val="el-GR"/>
        </w:rPr>
        <w:t>αυτή</w:t>
      </w:r>
      <w:r w:rsidR="00220066" w:rsidRPr="00AF37D4">
        <w:rPr>
          <w:rFonts w:cstheme="minorHAnsi"/>
          <w:sz w:val="24"/>
          <w:szCs w:val="24"/>
          <w:lang w:val="el-GR"/>
        </w:rPr>
        <w:t xml:space="preserve">, </w:t>
      </w:r>
      <w:r w:rsidR="00AF37D4">
        <w:rPr>
          <w:rFonts w:cstheme="minorHAnsi"/>
          <w:sz w:val="24"/>
          <w:szCs w:val="24"/>
          <w:lang w:val="el-GR"/>
        </w:rPr>
        <w:t>όπως καθορίζονται από το δικαστήριο και εποπ</w:t>
      </w:r>
      <w:r w:rsidR="00042313">
        <w:rPr>
          <w:rFonts w:cstheme="minorHAnsi"/>
          <w:sz w:val="24"/>
          <w:szCs w:val="24"/>
          <w:lang w:val="el-GR"/>
        </w:rPr>
        <w:t>τ</w:t>
      </w:r>
      <w:r w:rsidR="00AF37D4">
        <w:rPr>
          <w:rFonts w:cstheme="minorHAnsi"/>
          <w:sz w:val="24"/>
          <w:szCs w:val="24"/>
          <w:lang w:val="el-GR"/>
        </w:rPr>
        <w:t>εύονται από τον Γενικό Εισαγγελέα</w:t>
      </w:r>
      <w:r w:rsidR="00220066" w:rsidRPr="00AF37D4">
        <w:rPr>
          <w:rFonts w:cstheme="minorHAnsi"/>
          <w:sz w:val="24"/>
          <w:szCs w:val="24"/>
          <w:lang w:val="el-GR"/>
        </w:rPr>
        <w:t xml:space="preserve">. </w:t>
      </w:r>
    </w:p>
    <w:p w14:paraId="3C7E6DA0" w14:textId="77777777" w:rsidR="0075643B" w:rsidRPr="00AF37D4" w:rsidRDefault="0075643B" w:rsidP="0075643B">
      <w:pPr>
        <w:pStyle w:val="ListParagraph"/>
        <w:rPr>
          <w:rFonts w:cstheme="minorHAnsi"/>
          <w:sz w:val="24"/>
          <w:szCs w:val="24"/>
          <w:lang w:val="el-GR"/>
        </w:rPr>
      </w:pPr>
    </w:p>
    <w:p w14:paraId="3CC8E9EA" w14:textId="322E4489" w:rsidR="0075643B" w:rsidRPr="00AB423B" w:rsidRDefault="003A4B40" w:rsidP="0075643B">
      <w:pPr>
        <w:keepNext/>
        <w:numPr>
          <w:ilvl w:val="0"/>
          <w:numId w:val="1"/>
        </w:numPr>
        <w:tabs>
          <w:tab w:val="left" w:pos="709"/>
        </w:tabs>
        <w:ind w:left="0" w:firstLine="0"/>
        <w:rPr>
          <w:rFonts w:ascii="Calibri" w:hAnsi="Calibri" w:cs="Calibri"/>
          <w:color w:val="000000"/>
          <w:sz w:val="24"/>
          <w:szCs w:val="24"/>
          <w:lang w:val="el-GR"/>
        </w:rPr>
      </w:pPr>
      <w:r>
        <w:rPr>
          <w:rFonts w:ascii="Calibri" w:hAnsi="Calibri" w:cs="Calibri"/>
          <w:sz w:val="24"/>
          <w:szCs w:val="24"/>
          <w:lang w:val="el-GR"/>
        </w:rPr>
        <w:t>Η</w:t>
      </w:r>
      <w:r w:rsidR="00A859DE" w:rsidRPr="003A4B40">
        <w:rPr>
          <w:rFonts w:ascii="Calibri" w:hAnsi="Calibri" w:cs="Calibri"/>
          <w:sz w:val="24"/>
          <w:szCs w:val="24"/>
          <w:lang w:val="el-GR"/>
        </w:rPr>
        <w:t xml:space="preserve"> </w:t>
      </w:r>
      <w:r w:rsidR="00A859DE" w:rsidRPr="00B95983">
        <w:rPr>
          <w:rFonts w:ascii="Calibri" w:hAnsi="Calibri" w:cs="Calibri"/>
          <w:sz w:val="24"/>
          <w:szCs w:val="24"/>
        </w:rPr>
        <w:t>GET</w:t>
      </w:r>
      <w:r w:rsidR="00A859DE" w:rsidRPr="003A4B40">
        <w:rPr>
          <w:rFonts w:ascii="Calibri" w:hAnsi="Calibri" w:cs="Calibri"/>
          <w:sz w:val="24"/>
          <w:szCs w:val="24"/>
          <w:lang w:val="el-GR"/>
        </w:rPr>
        <w:t xml:space="preserve"> </w:t>
      </w:r>
      <w:r>
        <w:rPr>
          <w:rFonts w:ascii="Calibri" w:hAnsi="Calibri" w:cs="Calibri"/>
          <w:sz w:val="24"/>
          <w:szCs w:val="24"/>
          <w:lang w:val="el-GR"/>
        </w:rPr>
        <w:t>καλωσορίζει</w:t>
      </w:r>
      <w:r w:rsidRPr="003A4B40">
        <w:rPr>
          <w:rFonts w:ascii="Calibri" w:hAnsi="Calibri" w:cs="Calibri"/>
          <w:sz w:val="24"/>
          <w:szCs w:val="24"/>
          <w:lang w:val="el-GR"/>
        </w:rPr>
        <w:t xml:space="preserve"> </w:t>
      </w:r>
      <w:r>
        <w:rPr>
          <w:rFonts w:ascii="Calibri" w:hAnsi="Calibri" w:cs="Calibri"/>
          <w:sz w:val="24"/>
          <w:szCs w:val="24"/>
          <w:lang w:val="el-GR"/>
        </w:rPr>
        <w:t>την</w:t>
      </w:r>
      <w:r w:rsidRPr="003A4B40">
        <w:rPr>
          <w:rFonts w:ascii="Calibri" w:hAnsi="Calibri" w:cs="Calibri"/>
          <w:sz w:val="24"/>
          <w:szCs w:val="24"/>
          <w:lang w:val="el-GR"/>
        </w:rPr>
        <w:t xml:space="preserve"> </w:t>
      </w:r>
      <w:r>
        <w:rPr>
          <w:rFonts w:ascii="Calibri" w:hAnsi="Calibri" w:cs="Calibri"/>
          <w:sz w:val="24"/>
          <w:szCs w:val="24"/>
          <w:lang w:val="el-GR"/>
        </w:rPr>
        <w:t>υιοθέτηση</w:t>
      </w:r>
      <w:r w:rsidR="00A859DE" w:rsidRPr="003A4B40">
        <w:rPr>
          <w:rFonts w:ascii="Calibri" w:hAnsi="Calibri" w:cs="Calibri"/>
          <w:sz w:val="24"/>
          <w:szCs w:val="24"/>
          <w:lang w:val="el-GR"/>
        </w:rPr>
        <w:t xml:space="preserve"> </w:t>
      </w:r>
      <w:r>
        <w:rPr>
          <w:rFonts w:ascii="Calibri" w:hAnsi="Calibri" w:cs="Calibri"/>
          <w:sz w:val="24"/>
          <w:szCs w:val="24"/>
          <w:lang w:val="el-GR"/>
        </w:rPr>
        <w:t>του</w:t>
      </w:r>
      <w:r w:rsidRPr="003A4B40">
        <w:rPr>
          <w:rFonts w:ascii="Calibri" w:hAnsi="Calibri" w:cs="Calibri"/>
          <w:sz w:val="24"/>
          <w:szCs w:val="24"/>
          <w:lang w:val="el-GR"/>
        </w:rPr>
        <w:t xml:space="preserve"> </w:t>
      </w:r>
      <w:r>
        <w:rPr>
          <w:rFonts w:ascii="Calibri" w:hAnsi="Calibri" w:cs="Calibri"/>
          <w:sz w:val="24"/>
          <w:szCs w:val="24"/>
          <w:lang w:val="el-GR"/>
        </w:rPr>
        <w:t>ειδικού</w:t>
      </w:r>
      <w:r w:rsidRPr="003A4B40">
        <w:rPr>
          <w:rFonts w:ascii="Calibri" w:hAnsi="Calibri" w:cs="Calibri"/>
          <w:sz w:val="24"/>
          <w:szCs w:val="24"/>
          <w:lang w:val="el-GR"/>
        </w:rPr>
        <w:t xml:space="preserve"> </w:t>
      </w:r>
      <w:r>
        <w:rPr>
          <w:rFonts w:ascii="Calibri" w:hAnsi="Calibri" w:cs="Calibri"/>
          <w:sz w:val="24"/>
          <w:szCs w:val="24"/>
          <w:lang w:val="el-GR"/>
        </w:rPr>
        <w:t xml:space="preserve">Νόμου περί </w:t>
      </w:r>
      <w:proofErr w:type="spellStart"/>
      <w:r>
        <w:rPr>
          <w:rFonts w:ascii="Calibri" w:hAnsi="Calibri" w:cs="Calibri"/>
          <w:sz w:val="24"/>
          <w:szCs w:val="24"/>
          <w:lang w:val="el-GR"/>
        </w:rPr>
        <w:t>Πληροφοριοδότησης</w:t>
      </w:r>
      <w:proofErr w:type="spellEnd"/>
      <w:r>
        <w:rPr>
          <w:rFonts w:ascii="Calibri" w:hAnsi="Calibri" w:cs="Calibri"/>
          <w:sz w:val="24"/>
          <w:szCs w:val="24"/>
          <w:lang w:val="el-GR"/>
        </w:rPr>
        <w:t xml:space="preserve"> στις αρχές του</w:t>
      </w:r>
      <w:r w:rsidR="00A859DE" w:rsidRPr="003A4B40">
        <w:rPr>
          <w:rFonts w:ascii="Calibri" w:hAnsi="Calibri" w:cs="Calibri"/>
          <w:sz w:val="24"/>
          <w:szCs w:val="24"/>
          <w:lang w:val="el-GR"/>
        </w:rPr>
        <w:t xml:space="preserve"> 2022. </w:t>
      </w:r>
      <w:bookmarkStart w:id="249" w:name="_Hlk132890339"/>
      <w:r>
        <w:rPr>
          <w:rFonts w:ascii="Calibri" w:hAnsi="Calibri" w:cs="Calibri"/>
          <w:sz w:val="24"/>
          <w:szCs w:val="24"/>
          <w:lang w:val="el-GR"/>
        </w:rPr>
        <w:t>Μετά</w:t>
      </w:r>
      <w:r w:rsidRPr="003A4B40">
        <w:rPr>
          <w:rFonts w:ascii="Calibri" w:hAnsi="Calibri" w:cs="Calibri"/>
          <w:sz w:val="24"/>
          <w:szCs w:val="24"/>
          <w:lang w:val="el-GR"/>
        </w:rPr>
        <w:t xml:space="preserve"> </w:t>
      </w:r>
      <w:r>
        <w:rPr>
          <w:rFonts w:ascii="Calibri" w:hAnsi="Calibri" w:cs="Calibri"/>
          <w:sz w:val="24"/>
          <w:szCs w:val="24"/>
          <w:lang w:val="el-GR"/>
        </w:rPr>
        <w:t>την</w:t>
      </w:r>
      <w:r w:rsidRPr="003A4B40">
        <w:rPr>
          <w:rFonts w:ascii="Calibri" w:hAnsi="Calibri" w:cs="Calibri"/>
          <w:sz w:val="24"/>
          <w:szCs w:val="24"/>
          <w:lang w:val="el-GR"/>
        </w:rPr>
        <w:t xml:space="preserve"> </w:t>
      </w:r>
      <w:r>
        <w:rPr>
          <w:rFonts w:ascii="Calibri" w:hAnsi="Calibri" w:cs="Calibri"/>
          <w:sz w:val="24"/>
          <w:szCs w:val="24"/>
          <w:lang w:val="el-GR"/>
        </w:rPr>
        <w:t>επί</w:t>
      </w:r>
      <w:r w:rsidRPr="003A4B40">
        <w:rPr>
          <w:rFonts w:ascii="Calibri" w:hAnsi="Calibri" w:cs="Calibri"/>
          <w:sz w:val="24"/>
          <w:szCs w:val="24"/>
          <w:lang w:val="el-GR"/>
        </w:rPr>
        <w:t xml:space="preserve"> </w:t>
      </w:r>
      <w:r>
        <w:rPr>
          <w:rFonts w:ascii="Calibri" w:hAnsi="Calibri" w:cs="Calibri"/>
          <w:sz w:val="24"/>
          <w:szCs w:val="24"/>
          <w:lang w:val="el-GR"/>
        </w:rPr>
        <w:t>τόπου</w:t>
      </w:r>
      <w:r w:rsidRPr="003A4B40">
        <w:rPr>
          <w:rFonts w:ascii="Calibri" w:hAnsi="Calibri" w:cs="Calibri"/>
          <w:sz w:val="24"/>
          <w:szCs w:val="24"/>
          <w:lang w:val="el-GR"/>
        </w:rPr>
        <w:t xml:space="preserve"> </w:t>
      </w:r>
      <w:r>
        <w:rPr>
          <w:rFonts w:ascii="Calibri" w:hAnsi="Calibri" w:cs="Calibri"/>
          <w:sz w:val="24"/>
          <w:szCs w:val="24"/>
          <w:lang w:val="el-GR"/>
        </w:rPr>
        <w:t>επίσκεψη</w:t>
      </w:r>
      <w:r w:rsidR="0075643B" w:rsidRPr="003A4B40">
        <w:rPr>
          <w:rFonts w:ascii="Calibri" w:hAnsi="Calibri" w:cs="Calibri"/>
          <w:sz w:val="24"/>
          <w:szCs w:val="24"/>
          <w:lang w:val="el-GR"/>
        </w:rPr>
        <w:t xml:space="preserve">, </w:t>
      </w:r>
      <w:r>
        <w:rPr>
          <w:rFonts w:ascii="Calibri" w:hAnsi="Calibri" w:cs="Calibri"/>
          <w:sz w:val="24"/>
          <w:szCs w:val="24"/>
          <w:lang w:val="el-GR"/>
        </w:rPr>
        <w:t>η</w:t>
      </w:r>
      <w:r w:rsidR="0075643B" w:rsidRPr="003A4B40">
        <w:rPr>
          <w:rFonts w:ascii="Calibri" w:hAnsi="Calibri" w:cs="Calibri"/>
          <w:sz w:val="24"/>
          <w:szCs w:val="24"/>
          <w:lang w:val="el-GR"/>
        </w:rPr>
        <w:t xml:space="preserve"> </w:t>
      </w:r>
      <w:r w:rsidR="0075643B" w:rsidRPr="00B95983">
        <w:rPr>
          <w:rFonts w:ascii="Calibri" w:hAnsi="Calibri" w:cs="Calibri"/>
          <w:sz w:val="24"/>
          <w:szCs w:val="24"/>
        </w:rPr>
        <w:t>GET</w:t>
      </w:r>
      <w:r w:rsidR="0075643B" w:rsidRPr="003A4B40">
        <w:rPr>
          <w:rFonts w:ascii="Calibri" w:hAnsi="Calibri" w:cs="Calibri"/>
          <w:sz w:val="24"/>
          <w:szCs w:val="24"/>
          <w:lang w:val="el-GR"/>
        </w:rPr>
        <w:t xml:space="preserve"> </w:t>
      </w:r>
      <w:r>
        <w:rPr>
          <w:rFonts w:ascii="Calibri" w:hAnsi="Calibri" w:cs="Calibri"/>
          <w:sz w:val="24"/>
          <w:szCs w:val="24"/>
          <w:lang w:val="el-GR"/>
        </w:rPr>
        <w:t>ενημερώθηκε</w:t>
      </w:r>
      <w:r w:rsidRPr="003A4B40">
        <w:rPr>
          <w:rFonts w:ascii="Calibri" w:hAnsi="Calibri" w:cs="Calibri"/>
          <w:sz w:val="24"/>
          <w:szCs w:val="24"/>
          <w:lang w:val="el-GR"/>
        </w:rPr>
        <w:t xml:space="preserve"> </w:t>
      </w:r>
      <w:r>
        <w:rPr>
          <w:rFonts w:ascii="Calibri" w:hAnsi="Calibri" w:cs="Calibri"/>
          <w:sz w:val="24"/>
          <w:szCs w:val="24"/>
          <w:lang w:val="el-GR"/>
        </w:rPr>
        <w:t>ότι</w:t>
      </w:r>
      <w:r w:rsidR="0075643B" w:rsidRPr="003A4B40">
        <w:rPr>
          <w:rFonts w:ascii="Calibri" w:hAnsi="Calibri" w:cs="Calibri"/>
          <w:sz w:val="24"/>
          <w:szCs w:val="24"/>
          <w:lang w:val="el-GR"/>
        </w:rPr>
        <w:t xml:space="preserve"> </w:t>
      </w:r>
      <w:r>
        <w:rPr>
          <w:rFonts w:ascii="Calibri" w:hAnsi="Calibri" w:cs="Calibri"/>
          <w:sz w:val="24"/>
          <w:szCs w:val="24"/>
          <w:lang w:val="el-GR"/>
        </w:rPr>
        <w:t>το</w:t>
      </w:r>
      <w:r w:rsidRPr="003A4B40">
        <w:rPr>
          <w:rFonts w:ascii="Calibri" w:hAnsi="Calibri" w:cs="Calibri"/>
          <w:sz w:val="24"/>
          <w:szCs w:val="24"/>
          <w:lang w:val="el-GR"/>
        </w:rPr>
        <w:t xml:space="preserve"> </w:t>
      </w:r>
      <w:r>
        <w:rPr>
          <w:rFonts w:ascii="Calibri" w:hAnsi="Calibri" w:cs="Calibri"/>
          <w:sz w:val="24"/>
          <w:szCs w:val="24"/>
          <w:lang w:val="el-GR"/>
        </w:rPr>
        <w:t>Υπουργείο</w:t>
      </w:r>
      <w:r w:rsidRPr="003A4B40">
        <w:rPr>
          <w:rFonts w:ascii="Calibri" w:hAnsi="Calibri" w:cs="Calibri"/>
          <w:sz w:val="24"/>
          <w:szCs w:val="24"/>
          <w:lang w:val="el-GR"/>
        </w:rPr>
        <w:t xml:space="preserve"> </w:t>
      </w:r>
      <w:r>
        <w:rPr>
          <w:rFonts w:ascii="Calibri" w:hAnsi="Calibri" w:cs="Calibri"/>
          <w:sz w:val="24"/>
          <w:szCs w:val="24"/>
          <w:lang w:val="el-GR"/>
        </w:rPr>
        <w:t>Δικαιοσύνης</w:t>
      </w:r>
      <w:r w:rsidRPr="003A4B40">
        <w:rPr>
          <w:rFonts w:ascii="Calibri" w:hAnsi="Calibri" w:cs="Calibri"/>
          <w:sz w:val="24"/>
          <w:szCs w:val="24"/>
          <w:lang w:val="el-GR"/>
        </w:rPr>
        <w:t xml:space="preserve"> </w:t>
      </w:r>
      <w:r>
        <w:rPr>
          <w:rFonts w:ascii="Calibri" w:hAnsi="Calibri" w:cs="Calibri"/>
          <w:sz w:val="24"/>
          <w:szCs w:val="24"/>
          <w:lang w:val="el-GR"/>
        </w:rPr>
        <w:t>και</w:t>
      </w:r>
      <w:r w:rsidRPr="003A4B40">
        <w:rPr>
          <w:rFonts w:ascii="Calibri" w:hAnsi="Calibri" w:cs="Calibri"/>
          <w:sz w:val="24"/>
          <w:szCs w:val="24"/>
          <w:lang w:val="el-GR"/>
        </w:rPr>
        <w:t xml:space="preserve"> </w:t>
      </w:r>
      <w:r>
        <w:rPr>
          <w:rFonts w:ascii="Calibri" w:hAnsi="Calibri" w:cs="Calibri"/>
          <w:sz w:val="24"/>
          <w:szCs w:val="24"/>
          <w:lang w:val="el-GR"/>
        </w:rPr>
        <w:t>Δημοσίας</w:t>
      </w:r>
      <w:r w:rsidRPr="003A4B40">
        <w:rPr>
          <w:rFonts w:ascii="Calibri" w:hAnsi="Calibri" w:cs="Calibri"/>
          <w:sz w:val="24"/>
          <w:szCs w:val="24"/>
          <w:lang w:val="el-GR"/>
        </w:rPr>
        <w:t xml:space="preserve"> </w:t>
      </w:r>
      <w:r>
        <w:rPr>
          <w:rFonts w:ascii="Calibri" w:hAnsi="Calibri" w:cs="Calibri"/>
          <w:sz w:val="24"/>
          <w:szCs w:val="24"/>
          <w:lang w:val="el-GR"/>
        </w:rPr>
        <w:t>Τάξεως</w:t>
      </w:r>
      <w:r w:rsidR="0075643B" w:rsidRPr="003A4B40">
        <w:rPr>
          <w:rFonts w:ascii="Calibri" w:hAnsi="Calibri" w:cs="Calibri"/>
          <w:sz w:val="24"/>
          <w:szCs w:val="24"/>
          <w:lang w:val="el-GR"/>
        </w:rPr>
        <w:t xml:space="preserve"> </w:t>
      </w:r>
      <w:r>
        <w:rPr>
          <w:rFonts w:ascii="Calibri" w:hAnsi="Calibri" w:cs="Calibri"/>
          <w:sz w:val="24"/>
          <w:szCs w:val="24"/>
          <w:lang w:val="el-GR"/>
        </w:rPr>
        <w:t>είχε</w:t>
      </w:r>
      <w:r w:rsidRPr="003A4B40">
        <w:rPr>
          <w:rFonts w:ascii="Calibri" w:hAnsi="Calibri" w:cs="Calibri"/>
          <w:sz w:val="24"/>
          <w:szCs w:val="24"/>
          <w:lang w:val="el-GR"/>
        </w:rPr>
        <w:t xml:space="preserve"> </w:t>
      </w:r>
      <w:r>
        <w:rPr>
          <w:rFonts w:ascii="Calibri" w:hAnsi="Calibri" w:cs="Calibri"/>
          <w:sz w:val="24"/>
          <w:szCs w:val="24"/>
          <w:lang w:val="el-GR"/>
        </w:rPr>
        <w:t>αναπτύξει</w:t>
      </w:r>
      <w:r w:rsidRPr="003A4B40">
        <w:rPr>
          <w:rFonts w:ascii="Calibri" w:hAnsi="Calibri" w:cs="Calibri"/>
          <w:sz w:val="24"/>
          <w:szCs w:val="24"/>
          <w:lang w:val="el-GR"/>
        </w:rPr>
        <w:t xml:space="preserve"> </w:t>
      </w:r>
      <w:r>
        <w:rPr>
          <w:rFonts w:ascii="Calibri" w:hAnsi="Calibri" w:cs="Calibri"/>
          <w:sz w:val="24"/>
          <w:szCs w:val="24"/>
          <w:lang w:val="el-GR"/>
        </w:rPr>
        <w:t>ένα σχέδιο</w:t>
      </w:r>
      <w:r w:rsidR="0075643B" w:rsidRPr="003A4B40">
        <w:rPr>
          <w:rFonts w:ascii="Calibri" w:hAnsi="Calibri" w:cs="Calibri"/>
          <w:sz w:val="24"/>
          <w:szCs w:val="24"/>
          <w:lang w:val="el-GR"/>
        </w:rPr>
        <w:t xml:space="preserve"> </w:t>
      </w:r>
      <w:r>
        <w:rPr>
          <w:rFonts w:ascii="Calibri" w:hAnsi="Calibri" w:cs="Calibri"/>
          <w:sz w:val="24"/>
          <w:szCs w:val="24"/>
          <w:lang w:val="el-GR"/>
        </w:rPr>
        <w:t>για την ευαισθητοποίηση</w:t>
      </w:r>
      <w:r w:rsidR="0075643B" w:rsidRPr="003A4B40">
        <w:rPr>
          <w:rFonts w:ascii="Calibri" w:hAnsi="Calibri" w:cs="Calibri"/>
          <w:sz w:val="24"/>
          <w:szCs w:val="24"/>
          <w:lang w:val="el-GR"/>
        </w:rPr>
        <w:t xml:space="preserve"> </w:t>
      </w:r>
      <w:r>
        <w:rPr>
          <w:rFonts w:ascii="Calibri" w:hAnsi="Calibri" w:cs="Calibri"/>
          <w:sz w:val="24"/>
          <w:szCs w:val="24"/>
          <w:lang w:val="el-GR"/>
        </w:rPr>
        <w:t xml:space="preserve">του </w:t>
      </w:r>
      <w:proofErr w:type="spellStart"/>
      <w:r>
        <w:rPr>
          <w:rFonts w:ascii="Calibri" w:hAnsi="Calibri" w:cs="Calibri"/>
          <w:sz w:val="24"/>
          <w:szCs w:val="24"/>
          <w:lang w:val="el-GR"/>
        </w:rPr>
        <w:t>περιεχ</w:t>
      </w:r>
      <w:proofErr w:type="spellEnd"/>
      <w:r w:rsidR="00853D5A">
        <w:rPr>
          <w:rFonts w:ascii="Calibri" w:hAnsi="Calibri" w:cs="Calibri"/>
          <w:sz w:val="24"/>
          <w:szCs w:val="24"/>
        </w:rPr>
        <w:t>o</w:t>
      </w:r>
      <w:proofErr w:type="spellStart"/>
      <w:r>
        <w:rPr>
          <w:rFonts w:ascii="Calibri" w:hAnsi="Calibri" w:cs="Calibri"/>
          <w:sz w:val="24"/>
          <w:szCs w:val="24"/>
          <w:lang w:val="el-GR"/>
        </w:rPr>
        <w:t>μένου</w:t>
      </w:r>
      <w:proofErr w:type="spellEnd"/>
      <w:r>
        <w:rPr>
          <w:rFonts w:ascii="Calibri" w:hAnsi="Calibri" w:cs="Calibri"/>
          <w:sz w:val="24"/>
          <w:szCs w:val="24"/>
          <w:lang w:val="el-GR"/>
        </w:rPr>
        <w:t xml:space="preserve"> του Νόμου</w:t>
      </w:r>
      <w:r w:rsidR="0075643B" w:rsidRPr="003A4B40">
        <w:rPr>
          <w:rFonts w:ascii="Calibri" w:hAnsi="Calibri" w:cs="Calibri"/>
          <w:sz w:val="24"/>
          <w:szCs w:val="24"/>
          <w:lang w:val="el-GR"/>
        </w:rPr>
        <w:t xml:space="preserve">, </w:t>
      </w:r>
      <w:r>
        <w:rPr>
          <w:rFonts w:ascii="Calibri" w:hAnsi="Calibri" w:cs="Calibri"/>
          <w:sz w:val="24"/>
          <w:szCs w:val="24"/>
          <w:lang w:val="el-GR"/>
        </w:rPr>
        <w:t xml:space="preserve">τις υποχρεώσεις και τα δικαιώματα που προβλέπονται </w:t>
      </w:r>
      <w:proofErr w:type="spellStart"/>
      <w:r>
        <w:rPr>
          <w:rFonts w:ascii="Calibri" w:hAnsi="Calibri" w:cs="Calibri"/>
          <w:sz w:val="24"/>
          <w:szCs w:val="24"/>
          <w:lang w:val="el-GR"/>
        </w:rPr>
        <w:t>σ’αυτόν</w:t>
      </w:r>
      <w:proofErr w:type="spellEnd"/>
      <w:r w:rsidR="0075643B" w:rsidRPr="003A4B40">
        <w:rPr>
          <w:rFonts w:ascii="Calibri" w:hAnsi="Calibri" w:cs="Calibri"/>
          <w:sz w:val="24"/>
          <w:szCs w:val="24"/>
          <w:lang w:val="el-GR"/>
        </w:rPr>
        <w:t xml:space="preserve">, </w:t>
      </w:r>
      <w:r>
        <w:rPr>
          <w:rFonts w:ascii="Calibri" w:hAnsi="Calibri" w:cs="Calibri"/>
          <w:sz w:val="24"/>
          <w:szCs w:val="24"/>
          <w:lang w:val="el-GR"/>
        </w:rPr>
        <w:t>κλπ</w:t>
      </w:r>
      <w:r w:rsidR="0075643B" w:rsidRPr="003A4B40">
        <w:rPr>
          <w:rFonts w:ascii="Calibri" w:hAnsi="Calibri" w:cs="Calibri"/>
          <w:sz w:val="24"/>
          <w:szCs w:val="24"/>
          <w:lang w:val="el-GR"/>
        </w:rPr>
        <w:t xml:space="preserve">. </w:t>
      </w:r>
      <w:r>
        <w:rPr>
          <w:rFonts w:ascii="Calibri" w:hAnsi="Calibri" w:cs="Calibri"/>
          <w:sz w:val="24"/>
          <w:szCs w:val="24"/>
          <w:lang w:val="el-GR"/>
        </w:rPr>
        <w:t>Ειδικότερα</w:t>
      </w:r>
      <w:r w:rsidR="0075643B" w:rsidRPr="003A4B40">
        <w:rPr>
          <w:rFonts w:ascii="Calibri" w:hAnsi="Calibri" w:cs="Calibri"/>
          <w:sz w:val="24"/>
          <w:szCs w:val="24"/>
          <w:lang w:val="el-GR"/>
        </w:rPr>
        <w:t xml:space="preserve">, </w:t>
      </w:r>
      <w:r>
        <w:rPr>
          <w:rFonts w:ascii="Calibri" w:hAnsi="Calibri" w:cs="Calibri"/>
          <w:sz w:val="24"/>
          <w:szCs w:val="24"/>
          <w:lang w:val="el-GR"/>
        </w:rPr>
        <w:t>τρεις</w:t>
      </w:r>
      <w:r w:rsidRPr="003A4B40">
        <w:rPr>
          <w:rFonts w:ascii="Calibri" w:hAnsi="Calibri" w:cs="Calibri"/>
          <w:sz w:val="24"/>
          <w:szCs w:val="24"/>
          <w:lang w:val="el-GR"/>
        </w:rPr>
        <w:t xml:space="preserve"> </w:t>
      </w:r>
      <w:r>
        <w:rPr>
          <w:rFonts w:ascii="Calibri" w:hAnsi="Calibri" w:cs="Calibri"/>
          <w:sz w:val="24"/>
          <w:szCs w:val="24"/>
          <w:lang w:val="el-GR"/>
        </w:rPr>
        <w:t>Οδηγοί</w:t>
      </w:r>
      <w:r w:rsidRPr="003A4B40">
        <w:rPr>
          <w:rFonts w:ascii="Calibri" w:hAnsi="Calibri" w:cs="Calibri"/>
          <w:sz w:val="24"/>
          <w:szCs w:val="24"/>
          <w:lang w:val="el-GR"/>
        </w:rPr>
        <w:t xml:space="preserve"> </w:t>
      </w:r>
      <w:r>
        <w:rPr>
          <w:rFonts w:ascii="Calibri" w:hAnsi="Calibri" w:cs="Calibri"/>
          <w:sz w:val="24"/>
          <w:szCs w:val="24"/>
          <w:lang w:val="el-GR"/>
        </w:rPr>
        <w:t>είχαν</w:t>
      </w:r>
      <w:r w:rsidRPr="003A4B40">
        <w:rPr>
          <w:rFonts w:ascii="Calibri" w:hAnsi="Calibri" w:cs="Calibri"/>
          <w:sz w:val="24"/>
          <w:szCs w:val="24"/>
          <w:lang w:val="el-GR"/>
        </w:rPr>
        <w:t xml:space="preserve"> </w:t>
      </w:r>
      <w:r>
        <w:rPr>
          <w:rFonts w:ascii="Calibri" w:hAnsi="Calibri" w:cs="Calibri"/>
          <w:sz w:val="24"/>
          <w:szCs w:val="24"/>
          <w:lang w:val="el-GR"/>
        </w:rPr>
        <w:t>ετοιμασθεί</w:t>
      </w:r>
      <w:r w:rsidRPr="003A4B40">
        <w:rPr>
          <w:rFonts w:ascii="Calibri" w:hAnsi="Calibri" w:cs="Calibri"/>
          <w:sz w:val="24"/>
          <w:szCs w:val="24"/>
          <w:lang w:val="el-GR"/>
        </w:rPr>
        <w:t xml:space="preserve"> </w:t>
      </w:r>
      <w:r>
        <w:rPr>
          <w:rFonts w:ascii="Calibri" w:hAnsi="Calibri" w:cs="Calibri"/>
          <w:sz w:val="24"/>
          <w:szCs w:val="24"/>
          <w:lang w:val="el-GR"/>
        </w:rPr>
        <w:t>από</w:t>
      </w:r>
      <w:r w:rsidRPr="003A4B40">
        <w:rPr>
          <w:rFonts w:ascii="Calibri" w:hAnsi="Calibri" w:cs="Calibri"/>
          <w:sz w:val="24"/>
          <w:szCs w:val="24"/>
          <w:lang w:val="el-GR"/>
        </w:rPr>
        <w:t xml:space="preserve"> </w:t>
      </w:r>
      <w:r>
        <w:rPr>
          <w:rFonts w:ascii="Calibri" w:hAnsi="Calibri" w:cs="Calibri"/>
          <w:sz w:val="24"/>
          <w:szCs w:val="24"/>
          <w:lang w:val="el-GR"/>
        </w:rPr>
        <w:t>το</w:t>
      </w:r>
      <w:r w:rsidRPr="003A4B40">
        <w:rPr>
          <w:rFonts w:ascii="Calibri" w:hAnsi="Calibri" w:cs="Calibri"/>
          <w:sz w:val="24"/>
          <w:szCs w:val="24"/>
          <w:lang w:val="el-GR"/>
        </w:rPr>
        <w:t xml:space="preserve"> </w:t>
      </w:r>
      <w:r>
        <w:rPr>
          <w:rFonts w:ascii="Calibri" w:hAnsi="Calibri" w:cs="Calibri"/>
          <w:sz w:val="24"/>
          <w:szCs w:val="24"/>
          <w:lang w:val="el-GR"/>
        </w:rPr>
        <w:t>Υπουργείο</w:t>
      </w:r>
      <w:r w:rsidR="00853D5A" w:rsidRPr="003A4B40">
        <w:rPr>
          <w:rFonts w:ascii="Calibri" w:hAnsi="Calibri" w:cs="Calibri"/>
          <w:sz w:val="24"/>
          <w:szCs w:val="24"/>
          <w:lang w:val="el-GR"/>
        </w:rPr>
        <w:t>,</w:t>
      </w:r>
      <w:r w:rsidR="0075643B" w:rsidRPr="003A4B40">
        <w:rPr>
          <w:rFonts w:ascii="Calibri" w:hAnsi="Calibri" w:cs="Calibri"/>
          <w:sz w:val="24"/>
          <w:szCs w:val="24"/>
          <w:lang w:val="el-GR"/>
        </w:rPr>
        <w:t xml:space="preserve"> </w:t>
      </w:r>
      <w:r>
        <w:rPr>
          <w:rFonts w:ascii="Calibri" w:hAnsi="Calibri" w:cs="Calibri"/>
          <w:sz w:val="24"/>
          <w:szCs w:val="24"/>
          <w:lang w:val="el-GR"/>
        </w:rPr>
        <w:t>με</w:t>
      </w:r>
      <w:r w:rsidRPr="003A4B40">
        <w:rPr>
          <w:rFonts w:ascii="Calibri" w:hAnsi="Calibri" w:cs="Calibri"/>
          <w:sz w:val="24"/>
          <w:szCs w:val="24"/>
          <w:lang w:val="el-GR"/>
        </w:rPr>
        <w:t xml:space="preserve"> </w:t>
      </w:r>
      <w:r>
        <w:rPr>
          <w:rFonts w:ascii="Calibri" w:hAnsi="Calibri" w:cs="Calibri"/>
          <w:sz w:val="24"/>
          <w:szCs w:val="24"/>
          <w:lang w:val="el-GR"/>
        </w:rPr>
        <w:t>την</w:t>
      </w:r>
      <w:r w:rsidRPr="003A4B40">
        <w:rPr>
          <w:rFonts w:ascii="Calibri" w:hAnsi="Calibri" w:cs="Calibri"/>
          <w:sz w:val="24"/>
          <w:szCs w:val="24"/>
          <w:lang w:val="el-GR"/>
        </w:rPr>
        <w:t xml:space="preserve"> </w:t>
      </w:r>
      <w:r>
        <w:rPr>
          <w:rFonts w:ascii="Calibri" w:hAnsi="Calibri" w:cs="Calibri"/>
          <w:sz w:val="24"/>
          <w:szCs w:val="24"/>
          <w:lang w:val="el-GR"/>
        </w:rPr>
        <w:t>συνεργασία</w:t>
      </w:r>
      <w:r w:rsidR="0075643B" w:rsidRPr="003A4B40">
        <w:rPr>
          <w:rFonts w:ascii="Calibri" w:hAnsi="Calibri" w:cs="Calibri"/>
          <w:sz w:val="24"/>
          <w:szCs w:val="24"/>
          <w:lang w:val="el-GR"/>
        </w:rPr>
        <w:t xml:space="preserve"> </w:t>
      </w:r>
      <w:r>
        <w:rPr>
          <w:rFonts w:ascii="Calibri" w:hAnsi="Calibri" w:cs="Calibri"/>
          <w:sz w:val="24"/>
          <w:szCs w:val="24"/>
          <w:lang w:val="el-GR"/>
        </w:rPr>
        <w:t>του</w:t>
      </w:r>
      <w:r w:rsidRPr="003A4B40">
        <w:rPr>
          <w:rFonts w:ascii="Calibri" w:hAnsi="Calibri" w:cs="Calibri"/>
          <w:sz w:val="24"/>
          <w:szCs w:val="24"/>
          <w:lang w:val="el-GR"/>
        </w:rPr>
        <w:t xml:space="preserve"> </w:t>
      </w:r>
      <w:r>
        <w:rPr>
          <w:rFonts w:ascii="Calibri" w:hAnsi="Calibri" w:cs="Calibri"/>
          <w:sz w:val="24"/>
          <w:szCs w:val="24"/>
          <w:lang w:val="el-GR"/>
        </w:rPr>
        <w:t>Γραφείου</w:t>
      </w:r>
      <w:r w:rsidRPr="003A4B40">
        <w:rPr>
          <w:rFonts w:ascii="Calibri" w:hAnsi="Calibri" w:cs="Calibri"/>
          <w:sz w:val="24"/>
          <w:szCs w:val="24"/>
          <w:lang w:val="el-GR"/>
        </w:rPr>
        <w:t xml:space="preserve"> </w:t>
      </w:r>
      <w:r>
        <w:rPr>
          <w:rFonts w:ascii="Calibri" w:hAnsi="Calibri" w:cs="Calibri"/>
          <w:sz w:val="24"/>
          <w:szCs w:val="24"/>
          <w:lang w:val="el-GR"/>
        </w:rPr>
        <w:t>του</w:t>
      </w:r>
      <w:r w:rsidRPr="003A4B40">
        <w:rPr>
          <w:rFonts w:ascii="Calibri" w:hAnsi="Calibri" w:cs="Calibri"/>
          <w:sz w:val="24"/>
          <w:szCs w:val="24"/>
          <w:lang w:val="el-GR"/>
        </w:rPr>
        <w:t xml:space="preserve"> </w:t>
      </w:r>
      <w:r>
        <w:rPr>
          <w:rFonts w:ascii="Calibri" w:hAnsi="Calibri" w:cs="Calibri"/>
          <w:sz w:val="24"/>
          <w:szCs w:val="24"/>
          <w:lang w:val="el-GR"/>
        </w:rPr>
        <w:t>Επιτρόπου</w:t>
      </w:r>
      <w:r w:rsidRPr="003A4B40">
        <w:rPr>
          <w:rFonts w:ascii="Calibri" w:hAnsi="Calibri" w:cs="Calibri"/>
          <w:sz w:val="24"/>
          <w:szCs w:val="24"/>
          <w:lang w:val="el-GR"/>
        </w:rPr>
        <w:t xml:space="preserve"> </w:t>
      </w:r>
      <w:r>
        <w:rPr>
          <w:rFonts w:ascii="Calibri" w:hAnsi="Calibri" w:cs="Calibri"/>
          <w:sz w:val="24"/>
          <w:szCs w:val="24"/>
          <w:lang w:val="el-GR"/>
        </w:rPr>
        <w:t>Νομ</w:t>
      </w:r>
      <w:r w:rsidR="00F2668E">
        <w:rPr>
          <w:rFonts w:ascii="Calibri" w:hAnsi="Calibri" w:cs="Calibri"/>
          <w:sz w:val="24"/>
          <w:szCs w:val="24"/>
          <w:lang w:val="el-GR"/>
        </w:rPr>
        <w:t>ο</w:t>
      </w:r>
      <w:r>
        <w:rPr>
          <w:rFonts w:ascii="Calibri" w:hAnsi="Calibri" w:cs="Calibri"/>
          <w:sz w:val="24"/>
          <w:szCs w:val="24"/>
          <w:lang w:val="el-GR"/>
        </w:rPr>
        <w:t>θεσίας</w:t>
      </w:r>
      <w:r w:rsidR="0075643B" w:rsidRPr="003A4B40">
        <w:rPr>
          <w:rFonts w:ascii="Calibri" w:hAnsi="Calibri" w:cs="Calibri"/>
          <w:sz w:val="24"/>
          <w:szCs w:val="24"/>
          <w:lang w:val="el-GR"/>
        </w:rPr>
        <w:t xml:space="preserve">: </w:t>
      </w:r>
      <w:r>
        <w:rPr>
          <w:rFonts w:ascii="Calibri" w:hAnsi="Calibri" w:cs="Calibri"/>
          <w:sz w:val="24"/>
          <w:szCs w:val="24"/>
          <w:lang w:val="el-GR"/>
        </w:rPr>
        <w:t>ένα που απευθύνεται στους υπαλλήλους</w:t>
      </w:r>
      <w:r w:rsidR="0075643B" w:rsidRPr="003A4B40">
        <w:rPr>
          <w:rFonts w:ascii="Calibri" w:hAnsi="Calibri" w:cs="Calibri"/>
          <w:sz w:val="24"/>
          <w:szCs w:val="24"/>
          <w:lang w:val="el-GR"/>
        </w:rPr>
        <w:t xml:space="preserve">, </w:t>
      </w:r>
      <w:r>
        <w:rPr>
          <w:rFonts w:ascii="Calibri" w:hAnsi="Calibri" w:cs="Calibri"/>
          <w:sz w:val="24"/>
          <w:szCs w:val="24"/>
          <w:lang w:val="el-GR"/>
        </w:rPr>
        <w:t>ένα στους εργοδότες</w:t>
      </w:r>
      <w:r w:rsidR="0075643B" w:rsidRPr="003A4B40">
        <w:rPr>
          <w:rFonts w:ascii="Calibri" w:hAnsi="Calibri" w:cs="Calibri"/>
          <w:sz w:val="24"/>
          <w:szCs w:val="24"/>
          <w:lang w:val="el-GR"/>
        </w:rPr>
        <w:t xml:space="preserve"> </w:t>
      </w:r>
      <w:r>
        <w:rPr>
          <w:rFonts w:ascii="Calibri" w:hAnsi="Calibri" w:cs="Calibri"/>
          <w:sz w:val="24"/>
          <w:szCs w:val="24"/>
          <w:lang w:val="el-GR"/>
        </w:rPr>
        <w:t>και ένα στις αρμόδιες αρχές</w:t>
      </w:r>
      <w:r w:rsidR="0075643B" w:rsidRPr="003A4B40">
        <w:rPr>
          <w:rFonts w:ascii="Calibri" w:hAnsi="Calibri" w:cs="Calibri"/>
          <w:sz w:val="24"/>
          <w:szCs w:val="24"/>
          <w:lang w:val="el-GR"/>
        </w:rPr>
        <w:t xml:space="preserve">. </w:t>
      </w:r>
      <w:r>
        <w:rPr>
          <w:rFonts w:ascii="Calibri" w:hAnsi="Calibri" w:cs="Calibri"/>
          <w:sz w:val="24"/>
          <w:szCs w:val="24"/>
          <w:lang w:val="el-GR"/>
        </w:rPr>
        <w:t>Όλοι</w:t>
      </w:r>
      <w:r w:rsidRPr="004D4398">
        <w:rPr>
          <w:rFonts w:ascii="Calibri" w:hAnsi="Calibri" w:cs="Calibri"/>
          <w:sz w:val="24"/>
          <w:szCs w:val="24"/>
          <w:lang w:val="el-GR"/>
        </w:rPr>
        <w:t xml:space="preserve"> </w:t>
      </w:r>
      <w:r>
        <w:rPr>
          <w:rFonts w:ascii="Calibri" w:hAnsi="Calibri" w:cs="Calibri"/>
          <w:sz w:val="24"/>
          <w:szCs w:val="24"/>
          <w:lang w:val="el-GR"/>
        </w:rPr>
        <w:t>οι</w:t>
      </w:r>
      <w:r w:rsidRPr="004D4398">
        <w:rPr>
          <w:rFonts w:ascii="Calibri" w:hAnsi="Calibri" w:cs="Calibri"/>
          <w:sz w:val="24"/>
          <w:szCs w:val="24"/>
          <w:lang w:val="el-GR"/>
        </w:rPr>
        <w:t xml:space="preserve"> </w:t>
      </w:r>
      <w:r>
        <w:rPr>
          <w:rFonts w:ascii="Calibri" w:hAnsi="Calibri" w:cs="Calibri"/>
          <w:sz w:val="24"/>
          <w:szCs w:val="24"/>
          <w:lang w:val="el-GR"/>
        </w:rPr>
        <w:t>οδηγοί</w:t>
      </w:r>
      <w:r w:rsidRPr="004D4398">
        <w:rPr>
          <w:rFonts w:ascii="Calibri" w:hAnsi="Calibri" w:cs="Calibri"/>
          <w:sz w:val="24"/>
          <w:szCs w:val="24"/>
          <w:lang w:val="el-GR"/>
        </w:rPr>
        <w:t xml:space="preserve"> </w:t>
      </w:r>
      <w:r>
        <w:rPr>
          <w:rFonts w:ascii="Calibri" w:hAnsi="Calibri" w:cs="Calibri"/>
          <w:sz w:val="24"/>
          <w:szCs w:val="24"/>
          <w:lang w:val="el-GR"/>
        </w:rPr>
        <w:t>είναι</w:t>
      </w:r>
      <w:r w:rsidRPr="004D4398">
        <w:rPr>
          <w:rFonts w:ascii="Calibri" w:hAnsi="Calibri" w:cs="Calibri"/>
          <w:sz w:val="24"/>
          <w:szCs w:val="24"/>
          <w:lang w:val="el-GR"/>
        </w:rPr>
        <w:t xml:space="preserve"> </w:t>
      </w:r>
      <w:r>
        <w:rPr>
          <w:rFonts w:ascii="Calibri" w:hAnsi="Calibri" w:cs="Calibri"/>
          <w:sz w:val="24"/>
          <w:szCs w:val="24"/>
          <w:lang w:val="el-GR"/>
        </w:rPr>
        <w:t>διαθέσιμοι</w:t>
      </w:r>
      <w:r w:rsidRPr="004D4398">
        <w:rPr>
          <w:rFonts w:ascii="Calibri" w:hAnsi="Calibri" w:cs="Calibri"/>
          <w:sz w:val="24"/>
          <w:szCs w:val="24"/>
          <w:lang w:val="el-GR"/>
        </w:rPr>
        <w:t xml:space="preserve"> </w:t>
      </w:r>
      <w:r>
        <w:rPr>
          <w:rFonts w:ascii="Calibri" w:hAnsi="Calibri" w:cs="Calibri"/>
          <w:sz w:val="24"/>
          <w:szCs w:val="24"/>
          <w:lang w:val="el-GR"/>
        </w:rPr>
        <w:t>διαδικτυακά</w:t>
      </w:r>
      <w:r w:rsidR="0075643B" w:rsidRPr="004D4398">
        <w:rPr>
          <w:rFonts w:ascii="Calibri" w:hAnsi="Calibri" w:cs="Calibri"/>
          <w:sz w:val="24"/>
          <w:szCs w:val="24"/>
          <w:lang w:val="el-GR"/>
        </w:rPr>
        <w:t xml:space="preserve">. </w:t>
      </w:r>
      <w:r>
        <w:rPr>
          <w:rFonts w:ascii="Calibri" w:hAnsi="Calibri" w:cs="Calibri"/>
          <w:sz w:val="24"/>
          <w:szCs w:val="24"/>
          <w:lang w:val="el-GR"/>
        </w:rPr>
        <w:t>Επιπλέον</w:t>
      </w:r>
      <w:r w:rsidR="0075643B" w:rsidRPr="003A4B40">
        <w:rPr>
          <w:rFonts w:ascii="Calibri" w:hAnsi="Calibri" w:cs="Calibri"/>
          <w:sz w:val="24"/>
          <w:szCs w:val="24"/>
          <w:lang w:val="el-GR"/>
        </w:rPr>
        <w:t xml:space="preserve">, </w:t>
      </w:r>
      <w:r>
        <w:rPr>
          <w:rFonts w:ascii="Calibri" w:hAnsi="Calibri" w:cs="Calibri"/>
          <w:sz w:val="24"/>
          <w:szCs w:val="24"/>
          <w:lang w:val="el-GR"/>
        </w:rPr>
        <w:t>μια</w:t>
      </w:r>
      <w:r w:rsidRPr="003A4B40">
        <w:rPr>
          <w:rFonts w:ascii="Calibri" w:hAnsi="Calibri" w:cs="Calibri"/>
          <w:sz w:val="24"/>
          <w:szCs w:val="24"/>
          <w:lang w:val="el-GR"/>
        </w:rPr>
        <w:t xml:space="preserve"> </w:t>
      </w:r>
      <w:r>
        <w:rPr>
          <w:rFonts w:ascii="Calibri" w:hAnsi="Calibri" w:cs="Calibri"/>
          <w:sz w:val="24"/>
          <w:szCs w:val="24"/>
          <w:lang w:val="el-GR"/>
        </w:rPr>
        <w:t>λίστα</w:t>
      </w:r>
      <w:r w:rsidRPr="003A4B40">
        <w:rPr>
          <w:rFonts w:ascii="Calibri" w:hAnsi="Calibri" w:cs="Calibri"/>
          <w:sz w:val="24"/>
          <w:szCs w:val="24"/>
          <w:lang w:val="el-GR"/>
        </w:rPr>
        <w:t xml:space="preserve"> </w:t>
      </w:r>
      <w:r>
        <w:rPr>
          <w:rFonts w:ascii="Calibri" w:hAnsi="Calibri" w:cs="Calibri"/>
          <w:sz w:val="24"/>
          <w:szCs w:val="24"/>
          <w:lang w:val="el-GR"/>
        </w:rPr>
        <w:t>των</w:t>
      </w:r>
      <w:r w:rsidRPr="003A4B40">
        <w:rPr>
          <w:rFonts w:ascii="Calibri" w:hAnsi="Calibri" w:cs="Calibri"/>
          <w:sz w:val="24"/>
          <w:szCs w:val="24"/>
          <w:lang w:val="el-GR"/>
        </w:rPr>
        <w:t xml:space="preserve"> </w:t>
      </w:r>
      <w:r>
        <w:rPr>
          <w:rFonts w:ascii="Calibri" w:hAnsi="Calibri" w:cs="Calibri"/>
          <w:sz w:val="24"/>
          <w:szCs w:val="24"/>
          <w:lang w:val="el-GR"/>
        </w:rPr>
        <w:t>αρμ</w:t>
      </w:r>
      <w:r w:rsidR="00F2668E">
        <w:rPr>
          <w:rFonts w:ascii="Calibri" w:hAnsi="Calibri" w:cs="Calibri"/>
          <w:sz w:val="24"/>
          <w:szCs w:val="24"/>
          <w:lang w:val="el-GR"/>
        </w:rPr>
        <w:t>ο</w:t>
      </w:r>
      <w:r>
        <w:rPr>
          <w:rFonts w:ascii="Calibri" w:hAnsi="Calibri" w:cs="Calibri"/>
          <w:sz w:val="24"/>
          <w:szCs w:val="24"/>
          <w:lang w:val="el-GR"/>
        </w:rPr>
        <w:t>δ</w:t>
      </w:r>
      <w:r w:rsidR="00F2668E">
        <w:rPr>
          <w:rFonts w:ascii="Calibri" w:hAnsi="Calibri" w:cs="Calibri"/>
          <w:sz w:val="24"/>
          <w:szCs w:val="24"/>
          <w:lang w:val="el-GR"/>
        </w:rPr>
        <w:t>ί</w:t>
      </w:r>
      <w:r>
        <w:rPr>
          <w:rFonts w:ascii="Calibri" w:hAnsi="Calibri" w:cs="Calibri"/>
          <w:sz w:val="24"/>
          <w:szCs w:val="24"/>
          <w:lang w:val="el-GR"/>
        </w:rPr>
        <w:t>ων</w:t>
      </w:r>
      <w:r w:rsidRPr="003A4B40">
        <w:rPr>
          <w:rFonts w:ascii="Calibri" w:hAnsi="Calibri" w:cs="Calibri"/>
          <w:sz w:val="24"/>
          <w:szCs w:val="24"/>
          <w:lang w:val="el-GR"/>
        </w:rPr>
        <w:t xml:space="preserve"> </w:t>
      </w:r>
      <w:r>
        <w:rPr>
          <w:rFonts w:ascii="Calibri" w:hAnsi="Calibri" w:cs="Calibri"/>
          <w:sz w:val="24"/>
          <w:szCs w:val="24"/>
          <w:lang w:val="el-GR"/>
        </w:rPr>
        <w:t>αρχών</w:t>
      </w:r>
      <w:r w:rsidR="00697933" w:rsidRPr="003A4B40">
        <w:rPr>
          <w:rFonts w:ascii="Calibri" w:hAnsi="Calibri" w:cs="Calibri"/>
          <w:sz w:val="24"/>
          <w:szCs w:val="24"/>
          <w:lang w:val="el-GR"/>
        </w:rPr>
        <w:t xml:space="preserve"> </w:t>
      </w:r>
      <w:r>
        <w:rPr>
          <w:rFonts w:ascii="Calibri" w:hAnsi="Calibri" w:cs="Calibri"/>
          <w:sz w:val="24"/>
          <w:szCs w:val="24"/>
          <w:lang w:val="el-GR"/>
        </w:rPr>
        <w:t>και</w:t>
      </w:r>
      <w:r w:rsidRPr="003A4B40">
        <w:rPr>
          <w:rFonts w:ascii="Calibri" w:hAnsi="Calibri" w:cs="Calibri"/>
          <w:sz w:val="24"/>
          <w:szCs w:val="24"/>
          <w:lang w:val="el-GR"/>
        </w:rPr>
        <w:t xml:space="preserve"> </w:t>
      </w:r>
      <w:r>
        <w:rPr>
          <w:rFonts w:ascii="Calibri" w:hAnsi="Calibri" w:cs="Calibri"/>
          <w:sz w:val="24"/>
          <w:szCs w:val="24"/>
          <w:lang w:val="el-GR"/>
        </w:rPr>
        <w:t>τα</w:t>
      </w:r>
      <w:r w:rsidRPr="003A4B40">
        <w:rPr>
          <w:rFonts w:ascii="Calibri" w:hAnsi="Calibri" w:cs="Calibri"/>
          <w:sz w:val="24"/>
          <w:szCs w:val="24"/>
          <w:lang w:val="el-GR"/>
        </w:rPr>
        <w:t xml:space="preserve"> </w:t>
      </w:r>
      <w:r>
        <w:rPr>
          <w:rFonts w:ascii="Calibri" w:hAnsi="Calibri" w:cs="Calibri"/>
          <w:sz w:val="24"/>
          <w:szCs w:val="24"/>
          <w:lang w:val="el-GR"/>
        </w:rPr>
        <w:t>δεδομένα</w:t>
      </w:r>
      <w:r w:rsidRPr="003A4B40">
        <w:rPr>
          <w:rFonts w:ascii="Calibri" w:hAnsi="Calibri" w:cs="Calibri"/>
          <w:sz w:val="24"/>
          <w:szCs w:val="24"/>
          <w:lang w:val="el-GR"/>
        </w:rPr>
        <w:t xml:space="preserve"> </w:t>
      </w:r>
      <w:r>
        <w:rPr>
          <w:rFonts w:ascii="Calibri" w:hAnsi="Calibri" w:cs="Calibri"/>
          <w:sz w:val="24"/>
          <w:szCs w:val="24"/>
          <w:lang w:val="el-GR"/>
        </w:rPr>
        <w:t>επικοινωνίας τους</w:t>
      </w:r>
      <w:r w:rsidR="00853D5A" w:rsidRPr="003A4B40">
        <w:rPr>
          <w:rFonts w:ascii="Calibri" w:hAnsi="Calibri" w:cs="Calibri"/>
          <w:sz w:val="24"/>
          <w:szCs w:val="24"/>
          <w:lang w:val="el-GR"/>
        </w:rPr>
        <w:t>,</w:t>
      </w:r>
      <w:r w:rsidR="0075643B" w:rsidRPr="003A4B40">
        <w:rPr>
          <w:rFonts w:ascii="Calibri" w:hAnsi="Calibri" w:cs="Calibri"/>
          <w:sz w:val="24"/>
          <w:szCs w:val="24"/>
          <w:lang w:val="el-GR"/>
        </w:rPr>
        <w:t xml:space="preserve"> </w:t>
      </w:r>
      <w:r>
        <w:rPr>
          <w:rFonts w:ascii="Calibri" w:hAnsi="Calibri" w:cs="Calibri"/>
          <w:sz w:val="24"/>
          <w:szCs w:val="24"/>
          <w:lang w:val="el-GR"/>
        </w:rPr>
        <w:t>έχει αναρτηθεί στην ιστο</w:t>
      </w:r>
      <w:r w:rsidR="00F2668E">
        <w:rPr>
          <w:rFonts w:ascii="Calibri" w:hAnsi="Calibri" w:cs="Calibri"/>
          <w:sz w:val="24"/>
          <w:szCs w:val="24"/>
          <w:lang w:val="el-GR"/>
        </w:rPr>
        <w:t>σ</w:t>
      </w:r>
      <w:r>
        <w:rPr>
          <w:rFonts w:ascii="Calibri" w:hAnsi="Calibri" w:cs="Calibri"/>
          <w:sz w:val="24"/>
          <w:szCs w:val="24"/>
          <w:lang w:val="el-GR"/>
        </w:rPr>
        <w:t>ελίδα του Υπουργείου</w:t>
      </w:r>
      <w:r w:rsidR="0075643B" w:rsidRPr="003A4B40">
        <w:rPr>
          <w:rFonts w:ascii="Calibri" w:hAnsi="Calibri" w:cs="Calibri"/>
          <w:sz w:val="24"/>
          <w:szCs w:val="24"/>
          <w:lang w:val="el-GR"/>
        </w:rPr>
        <w:t xml:space="preserve">. </w:t>
      </w:r>
      <w:r>
        <w:rPr>
          <w:rFonts w:ascii="Calibri" w:hAnsi="Calibri" w:cs="Calibri"/>
          <w:sz w:val="24"/>
          <w:szCs w:val="24"/>
          <w:lang w:val="el-GR"/>
        </w:rPr>
        <w:t>Αυτό</w:t>
      </w:r>
      <w:r w:rsidRPr="00AB423B">
        <w:rPr>
          <w:rFonts w:ascii="Calibri" w:hAnsi="Calibri" w:cs="Calibri"/>
          <w:sz w:val="24"/>
          <w:szCs w:val="24"/>
          <w:lang w:val="el-GR"/>
        </w:rPr>
        <w:t xml:space="preserve"> </w:t>
      </w:r>
      <w:r>
        <w:rPr>
          <w:rFonts w:ascii="Calibri" w:hAnsi="Calibri" w:cs="Calibri"/>
          <w:sz w:val="24"/>
          <w:szCs w:val="24"/>
          <w:lang w:val="el-GR"/>
        </w:rPr>
        <w:t>θα</w:t>
      </w:r>
      <w:r w:rsidRPr="00AB423B">
        <w:rPr>
          <w:rFonts w:ascii="Calibri" w:hAnsi="Calibri" w:cs="Calibri"/>
          <w:sz w:val="24"/>
          <w:szCs w:val="24"/>
          <w:lang w:val="el-GR"/>
        </w:rPr>
        <w:t xml:space="preserve"> </w:t>
      </w:r>
      <w:r>
        <w:rPr>
          <w:rFonts w:ascii="Calibri" w:hAnsi="Calibri" w:cs="Calibri"/>
          <w:sz w:val="24"/>
          <w:szCs w:val="24"/>
          <w:lang w:val="el-GR"/>
        </w:rPr>
        <w:t>πρέπει</w:t>
      </w:r>
      <w:r w:rsidRPr="00AB423B">
        <w:rPr>
          <w:rFonts w:ascii="Calibri" w:hAnsi="Calibri" w:cs="Calibri"/>
          <w:sz w:val="24"/>
          <w:szCs w:val="24"/>
          <w:lang w:val="el-GR"/>
        </w:rPr>
        <w:t xml:space="preserve"> </w:t>
      </w:r>
      <w:r>
        <w:rPr>
          <w:rFonts w:ascii="Calibri" w:hAnsi="Calibri" w:cs="Calibri"/>
          <w:sz w:val="24"/>
          <w:szCs w:val="24"/>
          <w:lang w:val="el-GR"/>
        </w:rPr>
        <w:t>να</w:t>
      </w:r>
      <w:r w:rsidRPr="00AB423B">
        <w:rPr>
          <w:rFonts w:ascii="Calibri" w:hAnsi="Calibri" w:cs="Calibri"/>
          <w:sz w:val="24"/>
          <w:szCs w:val="24"/>
          <w:lang w:val="el-GR"/>
        </w:rPr>
        <w:t xml:space="preserve"> </w:t>
      </w:r>
      <w:r>
        <w:rPr>
          <w:rFonts w:ascii="Calibri" w:hAnsi="Calibri" w:cs="Calibri"/>
          <w:sz w:val="24"/>
          <w:szCs w:val="24"/>
          <w:lang w:val="el-GR"/>
        </w:rPr>
        <w:t>βοηθήσει</w:t>
      </w:r>
      <w:r w:rsidR="00853D5A" w:rsidRPr="00AB423B">
        <w:rPr>
          <w:rFonts w:ascii="Calibri" w:hAnsi="Calibri" w:cs="Calibri"/>
          <w:sz w:val="24"/>
          <w:szCs w:val="24"/>
          <w:lang w:val="el-GR"/>
        </w:rPr>
        <w:t xml:space="preserve">, </w:t>
      </w:r>
      <w:r>
        <w:rPr>
          <w:rFonts w:ascii="Calibri" w:hAnsi="Calibri" w:cs="Calibri"/>
          <w:sz w:val="24"/>
          <w:szCs w:val="24"/>
          <w:lang w:val="el-GR"/>
        </w:rPr>
        <w:t>από</w:t>
      </w:r>
      <w:r w:rsidRPr="00AB423B">
        <w:rPr>
          <w:rFonts w:ascii="Calibri" w:hAnsi="Calibri" w:cs="Calibri"/>
          <w:sz w:val="24"/>
          <w:szCs w:val="24"/>
          <w:lang w:val="el-GR"/>
        </w:rPr>
        <w:t xml:space="preserve"> </w:t>
      </w:r>
      <w:r>
        <w:rPr>
          <w:rFonts w:ascii="Calibri" w:hAnsi="Calibri" w:cs="Calibri"/>
          <w:sz w:val="24"/>
          <w:szCs w:val="24"/>
          <w:lang w:val="el-GR"/>
        </w:rPr>
        <w:t>την</w:t>
      </w:r>
      <w:r w:rsidRPr="00AB423B">
        <w:rPr>
          <w:rFonts w:ascii="Calibri" w:hAnsi="Calibri" w:cs="Calibri"/>
          <w:sz w:val="24"/>
          <w:szCs w:val="24"/>
          <w:lang w:val="el-GR"/>
        </w:rPr>
        <w:t xml:space="preserve"> </w:t>
      </w:r>
      <w:r>
        <w:rPr>
          <w:rFonts w:ascii="Calibri" w:hAnsi="Calibri" w:cs="Calibri"/>
          <w:sz w:val="24"/>
          <w:szCs w:val="24"/>
          <w:lang w:val="el-GR"/>
        </w:rPr>
        <w:t>μια</w:t>
      </w:r>
      <w:r w:rsidRPr="00AB423B">
        <w:rPr>
          <w:rFonts w:ascii="Calibri" w:hAnsi="Calibri" w:cs="Calibri"/>
          <w:sz w:val="24"/>
          <w:szCs w:val="24"/>
          <w:lang w:val="el-GR"/>
        </w:rPr>
        <w:t xml:space="preserve"> </w:t>
      </w:r>
      <w:r>
        <w:rPr>
          <w:rFonts w:ascii="Calibri" w:hAnsi="Calibri" w:cs="Calibri"/>
          <w:sz w:val="24"/>
          <w:szCs w:val="24"/>
          <w:lang w:val="el-GR"/>
        </w:rPr>
        <w:t>πλευρά</w:t>
      </w:r>
      <w:r w:rsidR="00853D5A" w:rsidRPr="00AB423B">
        <w:rPr>
          <w:rFonts w:ascii="Calibri" w:hAnsi="Calibri" w:cs="Calibri"/>
          <w:sz w:val="24"/>
          <w:szCs w:val="24"/>
          <w:lang w:val="el-GR"/>
        </w:rPr>
        <w:t>,</w:t>
      </w:r>
      <w:r w:rsidR="0075643B" w:rsidRPr="00AB423B">
        <w:rPr>
          <w:rFonts w:ascii="Calibri" w:hAnsi="Calibri" w:cs="Calibri"/>
          <w:sz w:val="24"/>
          <w:szCs w:val="24"/>
          <w:lang w:val="el-GR"/>
        </w:rPr>
        <w:t xml:space="preserve"> </w:t>
      </w:r>
      <w:r>
        <w:rPr>
          <w:rFonts w:ascii="Calibri" w:hAnsi="Calibri" w:cs="Calibri"/>
          <w:sz w:val="24"/>
          <w:szCs w:val="24"/>
          <w:lang w:val="el-GR"/>
        </w:rPr>
        <w:t>πιθανούς</w:t>
      </w:r>
      <w:r w:rsidRPr="00AB423B">
        <w:rPr>
          <w:rFonts w:ascii="Calibri" w:hAnsi="Calibri" w:cs="Calibri"/>
          <w:sz w:val="24"/>
          <w:szCs w:val="24"/>
          <w:lang w:val="el-GR"/>
        </w:rPr>
        <w:t xml:space="preserve"> </w:t>
      </w:r>
      <w:r>
        <w:rPr>
          <w:rFonts w:ascii="Calibri" w:hAnsi="Calibri" w:cs="Calibri"/>
          <w:sz w:val="24"/>
          <w:szCs w:val="24"/>
          <w:lang w:val="el-GR"/>
        </w:rPr>
        <w:t>πληροφοριοδότες</w:t>
      </w:r>
      <w:r w:rsidR="0075643B" w:rsidRPr="00AB423B">
        <w:rPr>
          <w:rFonts w:ascii="Calibri" w:hAnsi="Calibri" w:cs="Calibri"/>
          <w:sz w:val="24"/>
          <w:szCs w:val="24"/>
          <w:lang w:val="el-GR"/>
        </w:rPr>
        <w:t xml:space="preserve"> </w:t>
      </w:r>
      <w:r>
        <w:rPr>
          <w:rFonts w:ascii="Calibri" w:hAnsi="Calibri" w:cs="Calibri"/>
          <w:sz w:val="24"/>
          <w:szCs w:val="24"/>
          <w:lang w:val="el-GR"/>
        </w:rPr>
        <w:t>να</w:t>
      </w:r>
      <w:r w:rsidRPr="00AB423B">
        <w:rPr>
          <w:rFonts w:ascii="Calibri" w:hAnsi="Calibri" w:cs="Calibri"/>
          <w:sz w:val="24"/>
          <w:szCs w:val="24"/>
          <w:lang w:val="el-GR"/>
        </w:rPr>
        <w:t xml:space="preserve"> </w:t>
      </w:r>
      <w:r>
        <w:rPr>
          <w:rFonts w:ascii="Calibri" w:hAnsi="Calibri" w:cs="Calibri"/>
          <w:sz w:val="24"/>
          <w:szCs w:val="24"/>
          <w:lang w:val="el-GR"/>
        </w:rPr>
        <w:t>ξέρουν</w:t>
      </w:r>
      <w:r w:rsidRPr="00AB423B">
        <w:rPr>
          <w:rFonts w:ascii="Calibri" w:hAnsi="Calibri" w:cs="Calibri"/>
          <w:sz w:val="24"/>
          <w:szCs w:val="24"/>
          <w:lang w:val="el-GR"/>
        </w:rPr>
        <w:t xml:space="preserve"> </w:t>
      </w:r>
      <w:r>
        <w:rPr>
          <w:rFonts w:ascii="Calibri" w:hAnsi="Calibri" w:cs="Calibri"/>
          <w:sz w:val="24"/>
          <w:szCs w:val="24"/>
          <w:lang w:val="el-GR"/>
        </w:rPr>
        <w:t>πού</w:t>
      </w:r>
      <w:r w:rsidRPr="00AB423B">
        <w:rPr>
          <w:rFonts w:ascii="Calibri" w:hAnsi="Calibri" w:cs="Calibri"/>
          <w:sz w:val="24"/>
          <w:szCs w:val="24"/>
          <w:lang w:val="el-GR"/>
        </w:rPr>
        <w:t xml:space="preserve"> </w:t>
      </w:r>
      <w:r>
        <w:rPr>
          <w:rFonts w:ascii="Calibri" w:hAnsi="Calibri" w:cs="Calibri"/>
          <w:sz w:val="24"/>
          <w:szCs w:val="24"/>
          <w:lang w:val="el-GR"/>
        </w:rPr>
        <w:t>να</w:t>
      </w:r>
      <w:r w:rsidRPr="00AB423B">
        <w:rPr>
          <w:rFonts w:ascii="Calibri" w:hAnsi="Calibri" w:cs="Calibri"/>
          <w:sz w:val="24"/>
          <w:szCs w:val="24"/>
          <w:lang w:val="el-GR"/>
        </w:rPr>
        <w:t xml:space="preserve"> </w:t>
      </w:r>
      <w:r>
        <w:rPr>
          <w:rFonts w:ascii="Calibri" w:hAnsi="Calibri" w:cs="Calibri"/>
          <w:sz w:val="24"/>
          <w:szCs w:val="24"/>
          <w:lang w:val="el-GR"/>
        </w:rPr>
        <w:t>υποβάλουν</w:t>
      </w:r>
      <w:r w:rsidRPr="00AB423B">
        <w:rPr>
          <w:rFonts w:ascii="Calibri" w:hAnsi="Calibri" w:cs="Calibri"/>
          <w:sz w:val="24"/>
          <w:szCs w:val="24"/>
          <w:lang w:val="el-GR"/>
        </w:rPr>
        <w:t xml:space="preserve"> </w:t>
      </w:r>
      <w:r>
        <w:rPr>
          <w:rFonts w:ascii="Calibri" w:hAnsi="Calibri" w:cs="Calibri"/>
          <w:sz w:val="24"/>
          <w:szCs w:val="24"/>
          <w:lang w:val="el-GR"/>
        </w:rPr>
        <w:t>τις</w:t>
      </w:r>
      <w:r w:rsidRPr="00AB423B">
        <w:rPr>
          <w:rFonts w:ascii="Calibri" w:hAnsi="Calibri" w:cs="Calibri"/>
          <w:sz w:val="24"/>
          <w:szCs w:val="24"/>
          <w:lang w:val="el-GR"/>
        </w:rPr>
        <w:t xml:space="preserve"> </w:t>
      </w:r>
      <w:r w:rsidR="00AB423B">
        <w:rPr>
          <w:rFonts w:ascii="Calibri" w:hAnsi="Calibri" w:cs="Calibri"/>
          <w:sz w:val="24"/>
          <w:szCs w:val="24"/>
          <w:lang w:val="el-GR"/>
        </w:rPr>
        <w:t>καταγγελίες</w:t>
      </w:r>
      <w:r w:rsidR="00AB423B" w:rsidRPr="00AB423B">
        <w:rPr>
          <w:rFonts w:ascii="Calibri" w:hAnsi="Calibri" w:cs="Calibri"/>
          <w:sz w:val="24"/>
          <w:szCs w:val="24"/>
          <w:lang w:val="el-GR"/>
        </w:rPr>
        <w:t xml:space="preserve"> </w:t>
      </w:r>
      <w:r w:rsidR="00AB423B">
        <w:rPr>
          <w:rFonts w:ascii="Calibri" w:hAnsi="Calibri" w:cs="Calibri"/>
          <w:sz w:val="24"/>
          <w:szCs w:val="24"/>
          <w:lang w:val="el-GR"/>
        </w:rPr>
        <w:t>τους</w:t>
      </w:r>
      <w:r w:rsidR="0075643B" w:rsidRPr="00AB423B">
        <w:rPr>
          <w:rFonts w:ascii="Calibri" w:hAnsi="Calibri" w:cs="Calibri"/>
          <w:sz w:val="24"/>
          <w:szCs w:val="24"/>
          <w:lang w:val="el-GR"/>
        </w:rPr>
        <w:t xml:space="preserve"> (</w:t>
      </w:r>
      <w:r w:rsidR="00AB423B">
        <w:rPr>
          <w:rFonts w:ascii="Calibri" w:hAnsi="Calibri" w:cs="Calibri"/>
          <w:sz w:val="24"/>
          <w:szCs w:val="24"/>
          <w:lang w:val="el-GR"/>
        </w:rPr>
        <w:t>ως</w:t>
      </w:r>
      <w:r w:rsidR="00AB423B" w:rsidRPr="00AB423B">
        <w:rPr>
          <w:rFonts w:ascii="Calibri" w:hAnsi="Calibri" w:cs="Calibri"/>
          <w:sz w:val="24"/>
          <w:szCs w:val="24"/>
          <w:lang w:val="el-GR"/>
        </w:rPr>
        <w:t xml:space="preserve"> </w:t>
      </w:r>
      <w:r w:rsidR="00AB423B">
        <w:rPr>
          <w:rFonts w:ascii="Calibri" w:hAnsi="Calibri" w:cs="Calibri"/>
          <w:sz w:val="24"/>
          <w:szCs w:val="24"/>
          <w:lang w:val="el-GR"/>
        </w:rPr>
        <w:t>εξωτερικά</w:t>
      </w:r>
      <w:r w:rsidR="00AB423B" w:rsidRPr="00AB423B">
        <w:rPr>
          <w:rFonts w:ascii="Calibri" w:hAnsi="Calibri" w:cs="Calibri"/>
          <w:sz w:val="24"/>
          <w:szCs w:val="24"/>
          <w:lang w:val="el-GR"/>
        </w:rPr>
        <w:t xml:space="preserve"> </w:t>
      </w:r>
      <w:r w:rsidR="00AB423B">
        <w:rPr>
          <w:rFonts w:ascii="Calibri" w:hAnsi="Calibri" w:cs="Calibri"/>
          <w:sz w:val="24"/>
          <w:szCs w:val="24"/>
          <w:lang w:val="el-GR"/>
        </w:rPr>
        <w:t>κανάλια</w:t>
      </w:r>
      <w:r w:rsidR="00AB423B" w:rsidRPr="00AB423B">
        <w:rPr>
          <w:rFonts w:ascii="Calibri" w:hAnsi="Calibri" w:cs="Calibri"/>
          <w:sz w:val="24"/>
          <w:szCs w:val="24"/>
          <w:lang w:val="el-GR"/>
        </w:rPr>
        <w:t xml:space="preserve"> </w:t>
      </w:r>
      <w:r w:rsidR="00AB423B">
        <w:rPr>
          <w:rFonts w:ascii="Calibri" w:hAnsi="Calibri" w:cs="Calibri"/>
          <w:sz w:val="24"/>
          <w:szCs w:val="24"/>
          <w:lang w:val="el-GR"/>
        </w:rPr>
        <w:t>καταγγελίας</w:t>
      </w:r>
      <w:r w:rsidR="0075643B" w:rsidRPr="00AB423B">
        <w:rPr>
          <w:rFonts w:ascii="Calibri" w:hAnsi="Calibri" w:cs="Calibri"/>
          <w:sz w:val="24"/>
          <w:szCs w:val="24"/>
          <w:lang w:val="el-GR"/>
        </w:rPr>
        <w:t xml:space="preserve">), </w:t>
      </w:r>
      <w:r w:rsidR="00AB423B">
        <w:rPr>
          <w:rFonts w:ascii="Calibri" w:hAnsi="Calibri" w:cs="Calibri"/>
          <w:sz w:val="24"/>
          <w:szCs w:val="24"/>
          <w:lang w:val="el-GR"/>
        </w:rPr>
        <w:t>και</w:t>
      </w:r>
      <w:r w:rsidR="00853D5A" w:rsidRPr="00AB423B">
        <w:rPr>
          <w:rFonts w:ascii="Calibri" w:hAnsi="Calibri" w:cs="Calibri"/>
          <w:sz w:val="24"/>
          <w:szCs w:val="24"/>
          <w:lang w:val="el-GR"/>
        </w:rPr>
        <w:t>,</w:t>
      </w:r>
      <w:r w:rsidR="0075643B" w:rsidRPr="00AB423B">
        <w:rPr>
          <w:rFonts w:ascii="Calibri" w:hAnsi="Calibri" w:cs="Calibri"/>
          <w:sz w:val="24"/>
          <w:szCs w:val="24"/>
          <w:lang w:val="el-GR"/>
        </w:rPr>
        <w:t xml:space="preserve"> </w:t>
      </w:r>
      <w:r w:rsidR="00AB423B">
        <w:rPr>
          <w:rFonts w:ascii="Calibri" w:hAnsi="Calibri" w:cs="Calibri"/>
          <w:sz w:val="24"/>
          <w:szCs w:val="24"/>
          <w:lang w:val="el-GR"/>
        </w:rPr>
        <w:t>από</w:t>
      </w:r>
      <w:r w:rsidR="00AB423B" w:rsidRPr="00AB423B">
        <w:rPr>
          <w:rFonts w:ascii="Calibri" w:hAnsi="Calibri" w:cs="Calibri"/>
          <w:sz w:val="24"/>
          <w:szCs w:val="24"/>
          <w:lang w:val="el-GR"/>
        </w:rPr>
        <w:t xml:space="preserve"> </w:t>
      </w:r>
      <w:r w:rsidR="00AB423B">
        <w:rPr>
          <w:rFonts w:ascii="Calibri" w:hAnsi="Calibri" w:cs="Calibri"/>
          <w:sz w:val="24"/>
          <w:szCs w:val="24"/>
          <w:lang w:val="el-GR"/>
        </w:rPr>
        <w:t>την</w:t>
      </w:r>
      <w:r w:rsidR="00AB423B" w:rsidRPr="00AB423B">
        <w:rPr>
          <w:rFonts w:ascii="Calibri" w:hAnsi="Calibri" w:cs="Calibri"/>
          <w:sz w:val="24"/>
          <w:szCs w:val="24"/>
          <w:lang w:val="el-GR"/>
        </w:rPr>
        <w:t xml:space="preserve"> </w:t>
      </w:r>
      <w:r w:rsidR="00AB423B">
        <w:rPr>
          <w:rFonts w:ascii="Calibri" w:hAnsi="Calibri" w:cs="Calibri"/>
          <w:sz w:val="24"/>
          <w:szCs w:val="24"/>
          <w:lang w:val="el-GR"/>
        </w:rPr>
        <w:t>άλλη</w:t>
      </w:r>
      <w:r w:rsidR="00853D5A" w:rsidRPr="00AB423B">
        <w:rPr>
          <w:rFonts w:ascii="Calibri" w:hAnsi="Calibri" w:cs="Calibri"/>
          <w:sz w:val="24"/>
          <w:szCs w:val="24"/>
          <w:lang w:val="el-GR"/>
        </w:rPr>
        <w:t>,</w:t>
      </w:r>
      <w:r w:rsidR="0075643B" w:rsidRPr="00AB423B">
        <w:rPr>
          <w:rFonts w:ascii="Calibri" w:hAnsi="Calibri" w:cs="Calibri"/>
          <w:sz w:val="24"/>
          <w:szCs w:val="24"/>
          <w:lang w:val="el-GR"/>
        </w:rPr>
        <w:t xml:space="preserve"> </w:t>
      </w:r>
      <w:r w:rsidR="00AB423B">
        <w:rPr>
          <w:rFonts w:ascii="Calibri" w:hAnsi="Calibri" w:cs="Calibri"/>
          <w:sz w:val="24"/>
          <w:szCs w:val="24"/>
          <w:lang w:val="el-GR"/>
        </w:rPr>
        <w:t>τις αρμόδιες αρχές να είναι ενήμεροι για τις εξουσίες τους</w:t>
      </w:r>
      <w:r w:rsidR="0075643B" w:rsidRPr="00AB423B">
        <w:rPr>
          <w:rFonts w:ascii="Calibri" w:hAnsi="Calibri" w:cs="Calibri"/>
          <w:sz w:val="24"/>
          <w:szCs w:val="24"/>
          <w:lang w:val="el-GR"/>
        </w:rPr>
        <w:t xml:space="preserve"> </w:t>
      </w:r>
      <w:r w:rsidR="00F2668E">
        <w:rPr>
          <w:rFonts w:ascii="Calibri" w:hAnsi="Calibri" w:cs="Calibri"/>
          <w:sz w:val="24"/>
          <w:szCs w:val="24"/>
          <w:lang w:val="el-GR"/>
        </w:rPr>
        <w:t xml:space="preserve">για </w:t>
      </w:r>
      <w:r w:rsidR="00AB423B">
        <w:rPr>
          <w:rFonts w:ascii="Calibri" w:hAnsi="Calibri" w:cs="Calibri"/>
          <w:sz w:val="24"/>
          <w:szCs w:val="24"/>
          <w:lang w:val="el-GR"/>
        </w:rPr>
        <w:t>να λάβουν τα απαραίτητα μέτρα</w:t>
      </w:r>
      <w:r w:rsidR="0075643B" w:rsidRPr="00AB423B">
        <w:rPr>
          <w:rFonts w:ascii="Calibri" w:hAnsi="Calibri" w:cs="Calibri"/>
          <w:sz w:val="24"/>
          <w:szCs w:val="24"/>
          <w:lang w:val="el-GR"/>
        </w:rPr>
        <w:t>/</w:t>
      </w:r>
      <w:r w:rsidR="00AB423B">
        <w:rPr>
          <w:rFonts w:ascii="Calibri" w:hAnsi="Calibri" w:cs="Calibri"/>
          <w:sz w:val="24"/>
          <w:szCs w:val="24"/>
          <w:lang w:val="el-GR"/>
        </w:rPr>
        <w:t>διαδικασίες</w:t>
      </w:r>
      <w:r w:rsidR="0075643B" w:rsidRPr="00AB423B">
        <w:rPr>
          <w:rFonts w:ascii="Calibri" w:hAnsi="Calibri" w:cs="Calibri"/>
          <w:sz w:val="24"/>
          <w:szCs w:val="24"/>
          <w:lang w:val="el-GR"/>
        </w:rPr>
        <w:t xml:space="preserve"> </w:t>
      </w:r>
      <w:r w:rsidR="00F2668E">
        <w:rPr>
          <w:rFonts w:ascii="Calibri" w:hAnsi="Calibri" w:cs="Calibri"/>
          <w:sz w:val="24"/>
          <w:szCs w:val="24"/>
          <w:lang w:val="el-GR"/>
        </w:rPr>
        <w:t xml:space="preserve">για </w:t>
      </w:r>
      <w:r w:rsidR="00AB423B">
        <w:rPr>
          <w:rFonts w:ascii="Calibri" w:hAnsi="Calibri" w:cs="Calibri"/>
          <w:sz w:val="24"/>
          <w:szCs w:val="24"/>
          <w:lang w:val="el-GR"/>
        </w:rPr>
        <w:t>να παραλάβουν</w:t>
      </w:r>
      <w:r w:rsidR="0075643B" w:rsidRPr="00AB423B">
        <w:rPr>
          <w:rFonts w:ascii="Calibri" w:hAnsi="Calibri" w:cs="Calibri"/>
          <w:sz w:val="24"/>
          <w:szCs w:val="24"/>
          <w:lang w:val="el-GR"/>
        </w:rPr>
        <w:t xml:space="preserve"> </w:t>
      </w:r>
      <w:r w:rsidR="00AB423B">
        <w:rPr>
          <w:rFonts w:ascii="Calibri" w:hAnsi="Calibri" w:cs="Calibri"/>
          <w:sz w:val="24"/>
          <w:szCs w:val="24"/>
          <w:lang w:val="el-GR"/>
        </w:rPr>
        <w:t>εξωτερικές καταγγελίες σύμφωνα με τις πρόνοιες του Νόμου</w:t>
      </w:r>
      <w:r w:rsidR="0075643B" w:rsidRPr="00AB423B">
        <w:rPr>
          <w:rFonts w:ascii="Calibri" w:hAnsi="Calibri" w:cs="Calibri"/>
          <w:sz w:val="24"/>
          <w:szCs w:val="24"/>
          <w:lang w:val="el-GR"/>
        </w:rPr>
        <w:t xml:space="preserve">. </w:t>
      </w:r>
      <w:r w:rsidR="00AB423B">
        <w:rPr>
          <w:rFonts w:ascii="Calibri" w:hAnsi="Calibri" w:cs="Calibri"/>
          <w:sz w:val="24"/>
          <w:szCs w:val="24"/>
          <w:lang w:val="el-GR"/>
        </w:rPr>
        <w:t>Επιπρόσθετα</w:t>
      </w:r>
      <w:r w:rsidR="0075643B" w:rsidRPr="00AB423B">
        <w:rPr>
          <w:rFonts w:ascii="Calibri" w:hAnsi="Calibri" w:cs="Calibri"/>
          <w:sz w:val="24"/>
          <w:szCs w:val="24"/>
          <w:lang w:val="el-GR"/>
        </w:rPr>
        <w:t xml:space="preserve">, </w:t>
      </w:r>
      <w:r w:rsidR="00AB423B">
        <w:rPr>
          <w:rFonts w:ascii="Calibri" w:hAnsi="Calibri" w:cs="Calibri"/>
          <w:sz w:val="24"/>
          <w:szCs w:val="24"/>
          <w:lang w:val="el-GR"/>
        </w:rPr>
        <w:t>το</w:t>
      </w:r>
      <w:r w:rsidR="00AB423B" w:rsidRPr="00AB423B">
        <w:rPr>
          <w:rFonts w:ascii="Calibri" w:hAnsi="Calibri" w:cs="Calibri"/>
          <w:sz w:val="24"/>
          <w:szCs w:val="24"/>
          <w:lang w:val="el-GR"/>
        </w:rPr>
        <w:t xml:space="preserve"> </w:t>
      </w:r>
      <w:r w:rsidR="00AB423B">
        <w:rPr>
          <w:rFonts w:ascii="Calibri" w:hAnsi="Calibri" w:cs="Calibri"/>
          <w:sz w:val="24"/>
          <w:szCs w:val="24"/>
          <w:lang w:val="el-GR"/>
        </w:rPr>
        <w:t>Υπουργείο</w:t>
      </w:r>
      <w:r w:rsidR="0075643B" w:rsidRPr="00AB423B">
        <w:rPr>
          <w:rFonts w:ascii="Calibri" w:hAnsi="Calibri" w:cs="Calibri"/>
          <w:sz w:val="24"/>
          <w:szCs w:val="24"/>
          <w:lang w:val="el-GR"/>
        </w:rPr>
        <w:t xml:space="preserve"> </w:t>
      </w:r>
      <w:r w:rsidR="00AB423B">
        <w:rPr>
          <w:rFonts w:ascii="Calibri" w:hAnsi="Calibri" w:cs="Calibri"/>
          <w:sz w:val="24"/>
          <w:szCs w:val="24"/>
          <w:lang w:val="el-GR"/>
        </w:rPr>
        <w:t>σκοπεύει</w:t>
      </w:r>
      <w:r w:rsidR="00AB423B" w:rsidRPr="00AB423B">
        <w:rPr>
          <w:rFonts w:ascii="Calibri" w:hAnsi="Calibri" w:cs="Calibri"/>
          <w:sz w:val="24"/>
          <w:szCs w:val="24"/>
          <w:lang w:val="el-GR"/>
        </w:rPr>
        <w:t xml:space="preserve"> </w:t>
      </w:r>
      <w:r w:rsidR="00AB423B">
        <w:rPr>
          <w:rFonts w:ascii="Calibri" w:hAnsi="Calibri" w:cs="Calibri"/>
          <w:sz w:val="24"/>
          <w:szCs w:val="24"/>
          <w:lang w:val="el-GR"/>
        </w:rPr>
        <w:t>να</w:t>
      </w:r>
      <w:r w:rsidR="00AB423B" w:rsidRPr="00AB423B">
        <w:rPr>
          <w:rFonts w:ascii="Calibri" w:hAnsi="Calibri" w:cs="Calibri"/>
          <w:sz w:val="24"/>
          <w:szCs w:val="24"/>
          <w:lang w:val="el-GR"/>
        </w:rPr>
        <w:t xml:space="preserve"> </w:t>
      </w:r>
      <w:r w:rsidR="00AB423B">
        <w:rPr>
          <w:rFonts w:ascii="Calibri" w:hAnsi="Calibri" w:cs="Calibri"/>
          <w:sz w:val="24"/>
          <w:szCs w:val="24"/>
          <w:lang w:val="el-GR"/>
        </w:rPr>
        <w:t>διοργανώσει</w:t>
      </w:r>
      <w:r w:rsidR="0075643B" w:rsidRPr="00AB423B">
        <w:rPr>
          <w:rFonts w:ascii="Calibri" w:hAnsi="Calibri" w:cs="Calibri"/>
          <w:sz w:val="24"/>
          <w:szCs w:val="24"/>
          <w:lang w:val="el-GR"/>
        </w:rPr>
        <w:t xml:space="preserve">, </w:t>
      </w:r>
      <w:r w:rsidR="00AB423B">
        <w:rPr>
          <w:rFonts w:ascii="Calibri" w:hAnsi="Calibri" w:cs="Calibri"/>
          <w:sz w:val="24"/>
          <w:szCs w:val="24"/>
          <w:lang w:val="el-GR"/>
        </w:rPr>
        <w:t>μέσω</w:t>
      </w:r>
      <w:r w:rsidR="00AB423B" w:rsidRPr="00AB423B">
        <w:rPr>
          <w:rFonts w:ascii="Calibri" w:hAnsi="Calibri" w:cs="Calibri"/>
          <w:sz w:val="24"/>
          <w:szCs w:val="24"/>
          <w:lang w:val="el-GR"/>
        </w:rPr>
        <w:t xml:space="preserve"> </w:t>
      </w:r>
      <w:r w:rsidR="00AB423B">
        <w:rPr>
          <w:rFonts w:ascii="Calibri" w:hAnsi="Calibri" w:cs="Calibri"/>
          <w:sz w:val="24"/>
          <w:szCs w:val="24"/>
          <w:lang w:val="el-GR"/>
        </w:rPr>
        <w:t>της</w:t>
      </w:r>
      <w:r w:rsidR="00AB423B" w:rsidRPr="00AB423B">
        <w:rPr>
          <w:rFonts w:ascii="Calibri" w:hAnsi="Calibri" w:cs="Calibri"/>
          <w:sz w:val="24"/>
          <w:szCs w:val="24"/>
          <w:lang w:val="el-GR"/>
        </w:rPr>
        <w:t xml:space="preserve"> </w:t>
      </w:r>
      <w:r w:rsidR="00AB423B">
        <w:rPr>
          <w:rFonts w:ascii="Calibri" w:hAnsi="Calibri" w:cs="Calibri"/>
          <w:sz w:val="24"/>
          <w:szCs w:val="24"/>
          <w:lang w:val="el-GR"/>
        </w:rPr>
        <w:t>αρμόδιας</w:t>
      </w:r>
      <w:r w:rsidR="00AB423B" w:rsidRPr="00AB423B">
        <w:rPr>
          <w:rFonts w:ascii="Calibri" w:hAnsi="Calibri" w:cs="Calibri"/>
          <w:sz w:val="24"/>
          <w:szCs w:val="24"/>
          <w:lang w:val="el-GR"/>
        </w:rPr>
        <w:t xml:space="preserve"> </w:t>
      </w:r>
      <w:r w:rsidR="00AB423B">
        <w:rPr>
          <w:rFonts w:ascii="Calibri" w:hAnsi="Calibri" w:cs="Calibri"/>
          <w:sz w:val="24"/>
          <w:szCs w:val="24"/>
          <w:lang w:val="el-GR"/>
        </w:rPr>
        <w:t>αρχής</w:t>
      </w:r>
      <w:r w:rsidR="0075643B" w:rsidRPr="00AB423B">
        <w:rPr>
          <w:rFonts w:ascii="Calibri" w:hAnsi="Calibri" w:cs="Calibri"/>
          <w:sz w:val="24"/>
          <w:szCs w:val="24"/>
          <w:lang w:val="el-GR"/>
        </w:rPr>
        <w:t xml:space="preserve">, </w:t>
      </w:r>
      <w:r w:rsidR="00AB423B">
        <w:rPr>
          <w:rFonts w:ascii="Calibri" w:hAnsi="Calibri" w:cs="Calibri"/>
          <w:sz w:val="24"/>
          <w:szCs w:val="24"/>
          <w:lang w:val="el-GR"/>
        </w:rPr>
        <w:t>εκπαίδευση</w:t>
      </w:r>
      <w:r w:rsidR="0075643B" w:rsidRPr="00AB423B">
        <w:rPr>
          <w:rFonts w:ascii="Calibri" w:hAnsi="Calibri" w:cs="Calibri"/>
          <w:sz w:val="24"/>
          <w:szCs w:val="24"/>
          <w:lang w:val="el-GR"/>
        </w:rPr>
        <w:t xml:space="preserve">, </w:t>
      </w:r>
      <w:r w:rsidR="00AB423B">
        <w:rPr>
          <w:rFonts w:ascii="Calibri" w:hAnsi="Calibri" w:cs="Calibri"/>
          <w:sz w:val="24"/>
          <w:szCs w:val="24"/>
          <w:lang w:val="el-GR"/>
        </w:rPr>
        <w:t>και</w:t>
      </w:r>
      <w:r w:rsidR="00AB423B" w:rsidRPr="00AB423B">
        <w:rPr>
          <w:rFonts w:ascii="Calibri" w:hAnsi="Calibri" w:cs="Calibri"/>
          <w:sz w:val="24"/>
          <w:szCs w:val="24"/>
          <w:lang w:val="el-GR"/>
        </w:rPr>
        <w:t xml:space="preserve"> </w:t>
      </w:r>
      <w:r w:rsidR="00AB423B">
        <w:rPr>
          <w:rFonts w:ascii="Calibri" w:hAnsi="Calibri" w:cs="Calibri"/>
          <w:sz w:val="24"/>
          <w:szCs w:val="24"/>
          <w:lang w:val="el-GR"/>
        </w:rPr>
        <w:t>εκπαιδευτικά</w:t>
      </w:r>
      <w:r w:rsidR="00AB423B" w:rsidRPr="00AB423B">
        <w:rPr>
          <w:rFonts w:ascii="Calibri" w:hAnsi="Calibri" w:cs="Calibri"/>
          <w:sz w:val="24"/>
          <w:szCs w:val="24"/>
          <w:lang w:val="el-GR"/>
        </w:rPr>
        <w:t xml:space="preserve"> </w:t>
      </w:r>
      <w:r w:rsidR="00AB423B">
        <w:rPr>
          <w:rFonts w:ascii="Calibri" w:hAnsi="Calibri" w:cs="Calibri"/>
          <w:sz w:val="24"/>
          <w:szCs w:val="24"/>
          <w:lang w:val="el-GR"/>
        </w:rPr>
        <w:t>προγράμματα</w:t>
      </w:r>
      <w:r w:rsidR="0075643B" w:rsidRPr="00AB423B">
        <w:rPr>
          <w:rFonts w:ascii="Calibri" w:hAnsi="Calibri" w:cs="Calibri"/>
          <w:sz w:val="24"/>
          <w:szCs w:val="24"/>
          <w:lang w:val="el-GR"/>
        </w:rPr>
        <w:t xml:space="preserve"> </w:t>
      </w:r>
      <w:r w:rsidR="00AB423B">
        <w:rPr>
          <w:rFonts w:ascii="Calibri" w:hAnsi="Calibri" w:cs="Calibri"/>
          <w:sz w:val="24"/>
          <w:szCs w:val="24"/>
          <w:lang w:val="el-GR"/>
        </w:rPr>
        <w:t xml:space="preserve">για την </w:t>
      </w:r>
      <w:proofErr w:type="spellStart"/>
      <w:r w:rsidR="00AB423B">
        <w:rPr>
          <w:rFonts w:ascii="Calibri" w:hAnsi="Calibri" w:cs="Calibri"/>
          <w:sz w:val="24"/>
          <w:szCs w:val="24"/>
          <w:lang w:val="el-GR"/>
        </w:rPr>
        <w:t>νομ</w:t>
      </w:r>
      <w:proofErr w:type="spellEnd"/>
      <w:r w:rsidR="00F2668E">
        <w:rPr>
          <w:rFonts w:ascii="Calibri" w:hAnsi="Calibri" w:cs="Calibri"/>
          <w:sz w:val="24"/>
          <w:szCs w:val="24"/>
          <w:lang w:val="en-US"/>
        </w:rPr>
        <w:t>o</w:t>
      </w:r>
      <w:proofErr w:type="spellStart"/>
      <w:r w:rsidR="00AB423B">
        <w:rPr>
          <w:rFonts w:ascii="Calibri" w:hAnsi="Calibri" w:cs="Calibri"/>
          <w:sz w:val="24"/>
          <w:szCs w:val="24"/>
          <w:lang w:val="el-GR"/>
        </w:rPr>
        <w:t>θεσία</w:t>
      </w:r>
      <w:proofErr w:type="spellEnd"/>
      <w:r w:rsidR="00AB423B">
        <w:rPr>
          <w:rFonts w:ascii="Calibri" w:hAnsi="Calibri" w:cs="Calibri"/>
          <w:sz w:val="24"/>
          <w:szCs w:val="24"/>
          <w:lang w:val="el-GR"/>
        </w:rPr>
        <w:t xml:space="preserve"> </w:t>
      </w:r>
      <w:proofErr w:type="spellStart"/>
      <w:r w:rsidR="00AB423B">
        <w:rPr>
          <w:rFonts w:ascii="Calibri" w:hAnsi="Calibri" w:cs="Calibri"/>
          <w:sz w:val="24"/>
          <w:szCs w:val="24"/>
          <w:lang w:val="el-GR"/>
        </w:rPr>
        <w:t>πληροφοριοδότησης</w:t>
      </w:r>
      <w:proofErr w:type="spellEnd"/>
      <w:r w:rsidR="0075643B" w:rsidRPr="00AB423B">
        <w:rPr>
          <w:rFonts w:ascii="Calibri" w:hAnsi="Calibri" w:cs="Calibri"/>
          <w:sz w:val="24"/>
          <w:szCs w:val="24"/>
          <w:lang w:val="el-GR"/>
        </w:rPr>
        <w:t xml:space="preserve">, </w:t>
      </w:r>
      <w:r w:rsidR="00AB423B">
        <w:rPr>
          <w:rFonts w:ascii="Calibri" w:hAnsi="Calibri" w:cs="Calibri"/>
          <w:sz w:val="24"/>
          <w:szCs w:val="24"/>
          <w:lang w:val="el-GR"/>
        </w:rPr>
        <w:t>που απευθύνονται σε αξιωματούχους και διευθυντές του δημοσίου</w:t>
      </w:r>
      <w:r w:rsidR="0075643B" w:rsidRPr="00AB423B">
        <w:rPr>
          <w:rFonts w:ascii="Calibri" w:hAnsi="Calibri" w:cs="Calibri"/>
          <w:sz w:val="24"/>
          <w:szCs w:val="24"/>
          <w:lang w:val="el-GR"/>
        </w:rPr>
        <w:t xml:space="preserve"> (</w:t>
      </w:r>
      <w:r w:rsidR="00AB423B">
        <w:rPr>
          <w:rFonts w:ascii="Calibri" w:hAnsi="Calibri" w:cs="Calibri"/>
          <w:sz w:val="24"/>
          <w:szCs w:val="24"/>
          <w:lang w:val="el-GR"/>
        </w:rPr>
        <w:t>και του ευρύτερου δημοσίου</w:t>
      </w:r>
      <w:r w:rsidR="0075643B" w:rsidRPr="00AB423B">
        <w:rPr>
          <w:rFonts w:ascii="Calibri" w:hAnsi="Calibri" w:cs="Calibri"/>
          <w:sz w:val="24"/>
          <w:szCs w:val="24"/>
          <w:lang w:val="el-GR"/>
        </w:rPr>
        <w:t xml:space="preserve">) </w:t>
      </w:r>
      <w:r w:rsidR="00AB423B">
        <w:rPr>
          <w:rFonts w:ascii="Calibri" w:hAnsi="Calibri" w:cs="Calibri"/>
          <w:sz w:val="24"/>
          <w:szCs w:val="24"/>
          <w:lang w:val="el-GR"/>
        </w:rPr>
        <w:t>τομέα</w:t>
      </w:r>
      <w:r w:rsidR="0075643B" w:rsidRPr="00AB423B">
        <w:rPr>
          <w:rFonts w:ascii="Calibri" w:hAnsi="Calibri" w:cs="Calibri"/>
          <w:sz w:val="24"/>
          <w:szCs w:val="24"/>
          <w:lang w:val="el-GR"/>
        </w:rPr>
        <w:t xml:space="preserve">. </w:t>
      </w:r>
      <w:r w:rsidR="00AB423B">
        <w:rPr>
          <w:rFonts w:ascii="Calibri" w:hAnsi="Calibri" w:cs="Calibri"/>
          <w:sz w:val="24"/>
          <w:szCs w:val="24"/>
          <w:lang w:val="el-GR"/>
        </w:rPr>
        <w:t>Μέχρι</w:t>
      </w:r>
      <w:r w:rsidR="00AB423B" w:rsidRPr="00AB423B">
        <w:rPr>
          <w:rFonts w:ascii="Calibri" w:hAnsi="Calibri" w:cs="Calibri"/>
          <w:sz w:val="24"/>
          <w:szCs w:val="24"/>
          <w:lang w:val="el-GR"/>
        </w:rPr>
        <w:t xml:space="preserve"> </w:t>
      </w:r>
      <w:r w:rsidR="00AB423B">
        <w:rPr>
          <w:rFonts w:ascii="Calibri" w:hAnsi="Calibri" w:cs="Calibri"/>
          <w:sz w:val="24"/>
          <w:szCs w:val="24"/>
          <w:lang w:val="el-GR"/>
        </w:rPr>
        <w:t>τώρα</w:t>
      </w:r>
      <w:r w:rsidR="0075643B" w:rsidRPr="00AB423B">
        <w:rPr>
          <w:rFonts w:ascii="Calibri" w:hAnsi="Calibri" w:cs="Calibri"/>
          <w:sz w:val="24"/>
          <w:szCs w:val="24"/>
          <w:lang w:val="el-GR"/>
        </w:rPr>
        <w:t xml:space="preserve">, </w:t>
      </w:r>
      <w:r w:rsidR="00AB423B">
        <w:rPr>
          <w:rFonts w:ascii="Calibri" w:hAnsi="Calibri" w:cs="Calibri"/>
          <w:sz w:val="24"/>
          <w:szCs w:val="24"/>
          <w:lang w:val="el-GR"/>
        </w:rPr>
        <w:t>το</w:t>
      </w:r>
      <w:r w:rsidR="00AB423B" w:rsidRPr="00AB423B">
        <w:rPr>
          <w:rFonts w:ascii="Calibri" w:hAnsi="Calibri" w:cs="Calibri"/>
          <w:sz w:val="24"/>
          <w:szCs w:val="24"/>
          <w:lang w:val="el-GR"/>
        </w:rPr>
        <w:t xml:space="preserve"> </w:t>
      </w:r>
      <w:r w:rsidR="00AB423B">
        <w:rPr>
          <w:rFonts w:ascii="Calibri" w:hAnsi="Calibri" w:cs="Calibri"/>
          <w:sz w:val="24"/>
          <w:szCs w:val="24"/>
          <w:lang w:val="el-GR"/>
        </w:rPr>
        <w:t>Υπουργείο</w:t>
      </w:r>
      <w:r w:rsidR="00F2668E" w:rsidRPr="00F2668E">
        <w:rPr>
          <w:rFonts w:ascii="Calibri" w:hAnsi="Calibri" w:cs="Calibri"/>
          <w:sz w:val="24"/>
          <w:szCs w:val="24"/>
          <w:lang w:val="el-GR"/>
        </w:rPr>
        <w:t xml:space="preserve"> </w:t>
      </w:r>
      <w:r w:rsidR="00AB423B">
        <w:rPr>
          <w:rFonts w:ascii="Calibri" w:hAnsi="Calibri" w:cs="Calibri"/>
          <w:sz w:val="24"/>
          <w:szCs w:val="24"/>
          <w:lang w:val="el-GR"/>
        </w:rPr>
        <w:t>έχει</w:t>
      </w:r>
      <w:r w:rsidR="00AB423B" w:rsidRPr="00AB423B">
        <w:rPr>
          <w:rFonts w:ascii="Calibri" w:hAnsi="Calibri" w:cs="Calibri"/>
          <w:sz w:val="24"/>
          <w:szCs w:val="24"/>
          <w:lang w:val="el-GR"/>
        </w:rPr>
        <w:t xml:space="preserve"> </w:t>
      </w:r>
      <w:r w:rsidR="00AB423B">
        <w:rPr>
          <w:rFonts w:ascii="Calibri" w:hAnsi="Calibri" w:cs="Calibri"/>
          <w:sz w:val="24"/>
          <w:szCs w:val="24"/>
          <w:lang w:val="el-GR"/>
        </w:rPr>
        <w:t>πάρε</w:t>
      </w:r>
      <w:proofErr w:type="spellStart"/>
      <w:r w:rsidR="00F2668E">
        <w:rPr>
          <w:rFonts w:ascii="Calibri" w:hAnsi="Calibri" w:cs="Calibri"/>
          <w:sz w:val="24"/>
          <w:szCs w:val="24"/>
          <w:lang w:val="en-US"/>
        </w:rPr>
        <w:t>i</w:t>
      </w:r>
      <w:proofErr w:type="spellEnd"/>
      <w:r w:rsidR="00AB423B" w:rsidRPr="00AB423B">
        <w:rPr>
          <w:rFonts w:ascii="Calibri" w:hAnsi="Calibri" w:cs="Calibri"/>
          <w:sz w:val="24"/>
          <w:szCs w:val="24"/>
          <w:lang w:val="el-GR"/>
        </w:rPr>
        <w:t xml:space="preserve"> </w:t>
      </w:r>
      <w:r w:rsidR="00AB423B">
        <w:rPr>
          <w:rFonts w:ascii="Calibri" w:hAnsi="Calibri" w:cs="Calibri"/>
          <w:sz w:val="24"/>
          <w:szCs w:val="24"/>
          <w:lang w:val="el-GR"/>
        </w:rPr>
        <w:t>τα</w:t>
      </w:r>
      <w:r w:rsidR="00AB423B" w:rsidRPr="00AB423B">
        <w:rPr>
          <w:rFonts w:ascii="Calibri" w:hAnsi="Calibri" w:cs="Calibri"/>
          <w:sz w:val="24"/>
          <w:szCs w:val="24"/>
          <w:lang w:val="el-GR"/>
        </w:rPr>
        <w:t xml:space="preserve"> </w:t>
      </w:r>
      <w:r w:rsidR="00AB423B">
        <w:rPr>
          <w:rFonts w:ascii="Calibri" w:hAnsi="Calibri" w:cs="Calibri"/>
          <w:sz w:val="24"/>
          <w:szCs w:val="24"/>
          <w:lang w:val="el-GR"/>
        </w:rPr>
        <w:t>απαραίτητα</w:t>
      </w:r>
      <w:r w:rsidR="00AB423B" w:rsidRPr="00AB423B">
        <w:rPr>
          <w:rFonts w:ascii="Calibri" w:hAnsi="Calibri" w:cs="Calibri"/>
          <w:sz w:val="24"/>
          <w:szCs w:val="24"/>
          <w:lang w:val="el-GR"/>
        </w:rPr>
        <w:t xml:space="preserve"> </w:t>
      </w:r>
      <w:r w:rsidR="00AB423B">
        <w:rPr>
          <w:rFonts w:ascii="Calibri" w:hAnsi="Calibri" w:cs="Calibri"/>
          <w:sz w:val="24"/>
          <w:szCs w:val="24"/>
          <w:lang w:val="el-GR"/>
        </w:rPr>
        <w:t>μέτρα</w:t>
      </w:r>
      <w:r w:rsidR="0075643B" w:rsidRPr="00AB423B">
        <w:rPr>
          <w:rFonts w:ascii="Calibri" w:hAnsi="Calibri" w:cs="Calibri"/>
          <w:sz w:val="24"/>
          <w:szCs w:val="24"/>
          <w:lang w:val="el-GR"/>
        </w:rPr>
        <w:t xml:space="preserve"> </w:t>
      </w:r>
      <w:r w:rsidR="00AB423B">
        <w:rPr>
          <w:rFonts w:ascii="Calibri" w:hAnsi="Calibri" w:cs="Calibri"/>
          <w:sz w:val="24"/>
          <w:szCs w:val="24"/>
          <w:lang w:val="el-GR"/>
        </w:rPr>
        <w:t>γι</w:t>
      </w:r>
      <w:r w:rsidR="00AB423B" w:rsidRPr="00AB423B">
        <w:rPr>
          <w:rFonts w:ascii="Calibri" w:hAnsi="Calibri" w:cs="Calibri"/>
          <w:sz w:val="24"/>
          <w:szCs w:val="24"/>
          <w:lang w:val="el-GR"/>
        </w:rPr>
        <w:t>α τα αναφερ</w:t>
      </w:r>
      <w:r w:rsidR="00AB423B">
        <w:rPr>
          <w:rFonts w:ascii="Calibri" w:hAnsi="Calibri" w:cs="Calibri"/>
          <w:sz w:val="24"/>
          <w:szCs w:val="24"/>
          <w:lang w:val="el-GR"/>
        </w:rPr>
        <w:t>όμενα</w:t>
      </w:r>
      <w:r w:rsidR="00AB423B" w:rsidRPr="00AB423B">
        <w:rPr>
          <w:rFonts w:ascii="Calibri" w:hAnsi="Calibri" w:cs="Calibri"/>
          <w:sz w:val="24"/>
          <w:szCs w:val="24"/>
          <w:lang w:val="el-GR"/>
        </w:rPr>
        <w:t xml:space="preserve"> </w:t>
      </w:r>
      <w:r w:rsidR="00AB423B">
        <w:rPr>
          <w:rFonts w:ascii="Calibri" w:hAnsi="Calibri" w:cs="Calibri"/>
          <w:sz w:val="24"/>
          <w:szCs w:val="24"/>
          <w:lang w:val="el-GR"/>
        </w:rPr>
        <w:t>προγράμματα</w:t>
      </w:r>
      <w:r w:rsidR="00F2668E" w:rsidRPr="00F2668E">
        <w:rPr>
          <w:rFonts w:ascii="Calibri" w:hAnsi="Calibri" w:cs="Calibri"/>
          <w:sz w:val="24"/>
          <w:szCs w:val="24"/>
          <w:lang w:val="el-GR"/>
        </w:rPr>
        <w:t>,</w:t>
      </w:r>
      <w:r w:rsidR="00AB423B" w:rsidRPr="00AB423B">
        <w:rPr>
          <w:rFonts w:ascii="Calibri" w:hAnsi="Calibri" w:cs="Calibri"/>
          <w:sz w:val="24"/>
          <w:szCs w:val="24"/>
          <w:lang w:val="el-GR"/>
        </w:rPr>
        <w:t xml:space="preserve"> </w:t>
      </w:r>
      <w:r w:rsidR="00091C5F">
        <w:rPr>
          <w:rFonts w:ascii="Calibri" w:hAnsi="Calibri" w:cs="Calibri"/>
          <w:sz w:val="24"/>
          <w:szCs w:val="24"/>
          <w:lang w:val="el-GR"/>
        </w:rPr>
        <w:t>για</w:t>
      </w:r>
      <w:r w:rsidR="00F2668E" w:rsidRPr="00F2668E">
        <w:rPr>
          <w:rFonts w:ascii="Calibri" w:hAnsi="Calibri" w:cs="Calibri"/>
          <w:sz w:val="24"/>
          <w:szCs w:val="24"/>
          <w:lang w:val="el-GR"/>
        </w:rPr>
        <w:t xml:space="preserve"> </w:t>
      </w:r>
      <w:r w:rsidR="00AB423B">
        <w:rPr>
          <w:rFonts w:ascii="Calibri" w:hAnsi="Calibri" w:cs="Calibri"/>
          <w:sz w:val="24"/>
          <w:szCs w:val="24"/>
          <w:lang w:val="el-GR"/>
        </w:rPr>
        <w:t>να</w:t>
      </w:r>
      <w:r w:rsidR="00AB423B" w:rsidRPr="00AB423B">
        <w:rPr>
          <w:rFonts w:ascii="Calibri" w:hAnsi="Calibri" w:cs="Calibri"/>
          <w:sz w:val="24"/>
          <w:szCs w:val="24"/>
          <w:lang w:val="el-GR"/>
        </w:rPr>
        <w:t xml:space="preserve"> </w:t>
      </w:r>
      <w:r w:rsidR="00AB423B">
        <w:rPr>
          <w:rFonts w:ascii="Calibri" w:hAnsi="Calibri" w:cs="Calibri"/>
          <w:sz w:val="24"/>
          <w:szCs w:val="24"/>
          <w:lang w:val="el-GR"/>
        </w:rPr>
        <w:t>διεξαχθούν</w:t>
      </w:r>
      <w:r w:rsidR="00AB423B" w:rsidRPr="00AB423B">
        <w:rPr>
          <w:rFonts w:ascii="Calibri" w:hAnsi="Calibri" w:cs="Calibri"/>
          <w:sz w:val="24"/>
          <w:szCs w:val="24"/>
          <w:lang w:val="el-GR"/>
        </w:rPr>
        <w:t xml:space="preserve"> </w:t>
      </w:r>
      <w:r w:rsidR="00AB423B">
        <w:rPr>
          <w:rFonts w:ascii="Calibri" w:hAnsi="Calibri" w:cs="Calibri"/>
          <w:sz w:val="24"/>
          <w:szCs w:val="24"/>
          <w:lang w:val="el-GR"/>
        </w:rPr>
        <w:t>στην</w:t>
      </w:r>
      <w:r w:rsidR="00AB423B" w:rsidRPr="00AB423B">
        <w:rPr>
          <w:rFonts w:ascii="Calibri" w:hAnsi="Calibri" w:cs="Calibri"/>
          <w:sz w:val="24"/>
          <w:szCs w:val="24"/>
          <w:lang w:val="el-GR"/>
        </w:rPr>
        <w:t xml:space="preserve"> </w:t>
      </w:r>
      <w:r w:rsidR="00AB423B">
        <w:rPr>
          <w:rFonts w:ascii="Calibri" w:hAnsi="Calibri" w:cs="Calibri"/>
          <w:sz w:val="24"/>
          <w:szCs w:val="24"/>
          <w:lang w:val="el-GR"/>
        </w:rPr>
        <w:t>Κυπριακή Ακαδημία Δημόσιας Διοίκησης και την Αστυνομική Ακαδημία αντίστοιχα.</w:t>
      </w:r>
    </w:p>
    <w:bookmarkEnd w:id="249"/>
    <w:p w14:paraId="02C29A6A" w14:textId="77777777" w:rsidR="0075643B" w:rsidRPr="00AB423B" w:rsidRDefault="0075643B" w:rsidP="0075643B">
      <w:pPr>
        <w:pStyle w:val="ListParagraph"/>
        <w:rPr>
          <w:rFonts w:cstheme="minorHAnsi"/>
          <w:sz w:val="24"/>
          <w:szCs w:val="24"/>
          <w:lang w:val="el-GR"/>
        </w:rPr>
      </w:pPr>
    </w:p>
    <w:p w14:paraId="56492FD7" w14:textId="3E60094D" w:rsidR="00A859DE" w:rsidRPr="005514F5" w:rsidRDefault="00AB423B" w:rsidP="00220066">
      <w:pPr>
        <w:keepNext/>
        <w:numPr>
          <w:ilvl w:val="0"/>
          <w:numId w:val="1"/>
        </w:numPr>
        <w:tabs>
          <w:tab w:val="left" w:pos="709"/>
        </w:tabs>
        <w:ind w:left="0" w:firstLine="0"/>
        <w:rPr>
          <w:rFonts w:cstheme="minorHAnsi"/>
          <w:sz w:val="24"/>
          <w:szCs w:val="24"/>
          <w:lang w:val="el-GR"/>
        </w:rPr>
      </w:pPr>
      <w:r>
        <w:rPr>
          <w:rFonts w:cstheme="minorHAnsi"/>
          <w:sz w:val="24"/>
          <w:szCs w:val="24"/>
          <w:lang w:val="el-GR"/>
        </w:rPr>
        <w:t>Η</w:t>
      </w:r>
      <w:r w:rsidR="00C2324D" w:rsidRPr="008235DB">
        <w:rPr>
          <w:rFonts w:cstheme="minorHAnsi"/>
          <w:sz w:val="24"/>
          <w:szCs w:val="24"/>
          <w:lang w:val="el-GR"/>
        </w:rPr>
        <w:t xml:space="preserve"> </w:t>
      </w:r>
      <w:r w:rsidR="00C2324D" w:rsidRPr="004E251E">
        <w:rPr>
          <w:rFonts w:cstheme="minorHAnsi"/>
          <w:sz w:val="24"/>
          <w:szCs w:val="24"/>
        </w:rPr>
        <w:t>GET</w:t>
      </w:r>
      <w:r w:rsidR="00C2324D" w:rsidRPr="008235DB">
        <w:rPr>
          <w:rFonts w:cstheme="minorHAnsi"/>
          <w:sz w:val="24"/>
          <w:szCs w:val="24"/>
          <w:lang w:val="el-GR"/>
        </w:rPr>
        <w:t xml:space="preserve"> </w:t>
      </w:r>
      <w:r>
        <w:rPr>
          <w:rFonts w:cstheme="minorHAnsi"/>
          <w:sz w:val="24"/>
          <w:szCs w:val="24"/>
          <w:lang w:val="el-GR"/>
        </w:rPr>
        <w:t>ενημερώθηκε</w:t>
      </w:r>
      <w:r w:rsidRPr="008235DB">
        <w:rPr>
          <w:rFonts w:cstheme="minorHAnsi"/>
          <w:sz w:val="24"/>
          <w:szCs w:val="24"/>
          <w:lang w:val="el-GR"/>
        </w:rPr>
        <w:t xml:space="preserve"> </w:t>
      </w:r>
      <w:r>
        <w:rPr>
          <w:rFonts w:cstheme="minorHAnsi"/>
          <w:sz w:val="24"/>
          <w:szCs w:val="24"/>
          <w:lang w:val="el-GR"/>
        </w:rPr>
        <w:t>επίσης</w:t>
      </w:r>
      <w:r w:rsidRPr="008235DB">
        <w:rPr>
          <w:rFonts w:cstheme="minorHAnsi"/>
          <w:sz w:val="24"/>
          <w:szCs w:val="24"/>
          <w:lang w:val="el-GR"/>
        </w:rPr>
        <w:t xml:space="preserve"> </w:t>
      </w:r>
      <w:r>
        <w:rPr>
          <w:rFonts w:cstheme="minorHAnsi"/>
          <w:sz w:val="24"/>
          <w:szCs w:val="24"/>
          <w:lang w:val="el-GR"/>
        </w:rPr>
        <w:t>ότι</w:t>
      </w:r>
      <w:r w:rsidR="00C2324D" w:rsidRPr="008235DB">
        <w:rPr>
          <w:rFonts w:cstheme="minorHAnsi"/>
          <w:sz w:val="24"/>
          <w:szCs w:val="24"/>
          <w:lang w:val="el-GR"/>
        </w:rPr>
        <w:t xml:space="preserve"> </w:t>
      </w:r>
      <w:r w:rsidR="008235DB">
        <w:rPr>
          <w:rFonts w:cstheme="minorHAnsi"/>
          <w:sz w:val="24"/>
          <w:szCs w:val="24"/>
          <w:lang w:val="el-GR"/>
        </w:rPr>
        <w:t>έχουν</w:t>
      </w:r>
      <w:r w:rsidR="008235DB" w:rsidRPr="008235DB">
        <w:rPr>
          <w:rFonts w:cstheme="minorHAnsi"/>
          <w:sz w:val="24"/>
          <w:szCs w:val="24"/>
          <w:lang w:val="el-GR"/>
        </w:rPr>
        <w:t xml:space="preserve"> </w:t>
      </w:r>
      <w:r w:rsidR="002E5EC0">
        <w:rPr>
          <w:rFonts w:cstheme="minorHAnsi"/>
          <w:sz w:val="24"/>
          <w:szCs w:val="24"/>
          <w:lang w:val="el-GR"/>
        </w:rPr>
        <w:t>τροχοδρομηθεί</w:t>
      </w:r>
      <w:r w:rsidR="008235DB" w:rsidRPr="008235DB">
        <w:rPr>
          <w:rFonts w:cstheme="minorHAnsi"/>
          <w:sz w:val="24"/>
          <w:szCs w:val="24"/>
          <w:lang w:val="el-GR"/>
        </w:rPr>
        <w:t xml:space="preserve"> </w:t>
      </w:r>
      <w:r w:rsidR="008235DB">
        <w:rPr>
          <w:rFonts w:cstheme="minorHAnsi"/>
          <w:sz w:val="24"/>
          <w:szCs w:val="24"/>
          <w:lang w:val="el-GR"/>
        </w:rPr>
        <w:t>οργανωτικές</w:t>
      </w:r>
      <w:r w:rsidR="008235DB" w:rsidRPr="008235DB">
        <w:rPr>
          <w:rFonts w:cstheme="minorHAnsi"/>
          <w:sz w:val="24"/>
          <w:szCs w:val="24"/>
          <w:lang w:val="el-GR"/>
        </w:rPr>
        <w:t xml:space="preserve"> </w:t>
      </w:r>
      <w:r w:rsidR="008235DB">
        <w:rPr>
          <w:rFonts w:cstheme="minorHAnsi"/>
          <w:sz w:val="24"/>
          <w:szCs w:val="24"/>
          <w:lang w:val="el-GR"/>
        </w:rPr>
        <w:t>διευθετήσεις</w:t>
      </w:r>
      <w:r w:rsidR="00C2324D" w:rsidRPr="008235DB">
        <w:rPr>
          <w:rFonts w:cstheme="minorHAnsi"/>
          <w:sz w:val="24"/>
          <w:szCs w:val="24"/>
          <w:lang w:val="el-GR"/>
        </w:rPr>
        <w:t xml:space="preserve"> </w:t>
      </w:r>
      <w:r w:rsidR="008235DB">
        <w:rPr>
          <w:rFonts w:cstheme="minorHAnsi"/>
          <w:sz w:val="24"/>
          <w:szCs w:val="24"/>
          <w:lang w:val="el-GR"/>
        </w:rPr>
        <w:t>για</w:t>
      </w:r>
      <w:r w:rsidR="008235DB" w:rsidRPr="008235DB">
        <w:rPr>
          <w:rFonts w:cstheme="minorHAnsi"/>
          <w:sz w:val="24"/>
          <w:szCs w:val="24"/>
          <w:lang w:val="el-GR"/>
        </w:rPr>
        <w:t xml:space="preserve"> </w:t>
      </w:r>
      <w:r w:rsidR="008235DB">
        <w:rPr>
          <w:rFonts w:cstheme="minorHAnsi"/>
          <w:sz w:val="24"/>
          <w:szCs w:val="24"/>
          <w:lang w:val="el-GR"/>
        </w:rPr>
        <w:t>την</w:t>
      </w:r>
      <w:r w:rsidR="008235DB" w:rsidRPr="008235DB">
        <w:rPr>
          <w:rFonts w:cstheme="minorHAnsi"/>
          <w:sz w:val="24"/>
          <w:szCs w:val="24"/>
          <w:lang w:val="el-GR"/>
        </w:rPr>
        <w:t xml:space="preserve"> </w:t>
      </w:r>
      <w:r w:rsidR="008235DB">
        <w:rPr>
          <w:rFonts w:cstheme="minorHAnsi"/>
          <w:sz w:val="24"/>
          <w:szCs w:val="24"/>
          <w:lang w:val="el-GR"/>
        </w:rPr>
        <w:t>αποτελεσματική</w:t>
      </w:r>
      <w:r w:rsidR="008235DB" w:rsidRPr="008235DB">
        <w:rPr>
          <w:rFonts w:cstheme="minorHAnsi"/>
          <w:sz w:val="24"/>
          <w:szCs w:val="24"/>
          <w:lang w:val="el-GR"/>
        </w:rPr>
        <w:t xml:space="preserve"> </w:t>
      </w:r>
      <w:r w:rsidR="008235DB">
        <w:rPr>
          <w:rFonts w:cstheme="minorHAnsi"/>
          <w:sz w:val="24"/>
          <w:szCs w:val="24"/>
          <w:lang w:val="el-GR"/>
        </w:rPr>
        <w:t>υλοποίηση</w:t>
      </w:r>
      <w:r w:rsidR="008235DB" w:rsidRPr="008235DB">
        <w:rPr>
          <w:rFonts w:cstheme="minorHAnsi"/>
          <w:sz w:val="24"/>
          <w:szCs w:val="24"/>
          <w:lang w:val="el-GR"/>
        </w:rPr>
        <w:t xml:space="preserve"> </w:t>
      </w:r>
      <w:r w:rsidR="008235DB">
        <w:rPr>
          <w:rFonts w:cstheme="minorHAnsi"/>
          <w:sz w:val="24"/>
          <w:szCs w:val="24"/>
          <w:lang w:val="el-GR"/>
        </w:rPr>
        <w:t>της</w:t>
      </w:r>
      <w:r w:rsidR="008235DB" w:rsidRPr="008235DB">
        <w:rPr>
          <w:rFonts w:cstheme="minorHAnsi"/>
          <w:sz w:val="24"/>
          <w:szCs w:val="24"/>
          <w:lang w:val="el-GR"/>
        </w:rPr>
        <w:t xml:space="preserve"> </w:t>
      </w:r>
      <w:r w:rsidR="008235DB">
        <w:rPr>
          <w:rFonts w:cstheme="minorHAnsi"/>
          <w:sz w:val="24"/>
          <w:szCs w:val="24"/>
          <w:lang w:val="el-GR"/>
        </w:rPr>
        <w:t>στην</w:t>
      </w:r>
      <w:r w:rsidR="008235DB" w:rsidRPr="008235DB">
        <w:rPr>
          <w:rFonts w:cstheme="minorHAnsi"/>
          <w:sz w:val="24"/>
          <w:szCs w:val="24"/>
          <w:lang w:val="el-GR"/>
        </w:rPr>
        <w:t xml:space="preserve"> </w:t>
      </w:r>
      <w:r w:rsidR="009C4E34">
        <w:rPr>
          <w:rFonts w:cstheme="minorHAnsi"/>
          <w:sz w:val="24"/>
          <w:szCs w:val="24"/>
          <w:lang w:val="el-GR"/>
        </w:rPr>
        <w:t>Αστυνομία</w:t>
      </w:r>
      <w:r w:rsidR="008235DB" w:rsidRPr="008235DB">
        <w:rPr>
          <w:rFonts w:cstheme="minorHAnsi"/>
          <w:sz w:val="24"/>
          <w:szCs w:val="24"/>
          <w:lang w:val="el-GR"/>
        </w:rPr>
        <w:t>.</w:t>
      </w:r>
      <w:r w:rsidR="00C2324D" w:rsidRPr="008235DB">
        <w:rPr>
          <w:rFonts w:cstheme="minorHAnsi"/>
          <w:sz w:val="24"/>
          <w:szCs w:val="24"/>
          <w:lang w:val="el-GR"/>
        </w:rPr>
        <w:t xml:space="preserve"> </w:t>
      </w:r>
      <w:r w:rsidR="008235DB">
        <w:rPr>
          <w:rFonts w:cstheme="minorHAnsi"/>
          <w:sz w:val="24"/>
          <w:szCs w:val="24"/>
          <w:lang w:val="el-GR"/>
        </w:rPr>
        <w:t>Έχει</w:t>
      </w:r>
      <w:r w:rsidR="008235DB" w:rsidRPr="008235DB">
        <w:rPr>
          <w:rFonts w:cstheme="minorHAnsi"/>
          <w:sz w:val="24"/>
          <w:szCs w:val="24"/>
          <w:lang w:val="el-GR"/>
        </w:rPr>
        <w:t xml:space="preserve"> </w:t>
      </w:r>
      <w:r w:rsidR="008235DB">
        <w:rPr>
          <w:rFonts w:cstheme="minorHAnsi"/>
          <w:sz w:val="24"/>
          <w:szCs w:val="24"/>
          <w:lang w:val="el-GR"/>
        </w:rPr>
        <w:t>αν</w:t>
      </w:r>
      <w:r w:rsidR="00F2668E">
        <w:rPr>
          <w:rFonts w:cstheme="minorHAnsi"/>
          <w:sz w:val="24"/>
          <w:szCs w:val="24"/>
          <w:lang w:val="el-GR"/>
        </w:rPr>
        <w:t>α</w:t>
      </w:r>
      <w:r w:rsidR="008235DB">
        <w:rPr>
          <w:rFonts w:cstheme="minorHAnsi"/>
          <w:sz w:val="24"/>
          <w:szCs w:val="24"/>
          <w:lang w:val="el-GR"/>
        </w:rPr>
        <w:t>τεθεί</w:t>
      </w:r>
      <w:r w:rsidR="008235DB" w:rsidRPr="008235DB">
        <w:rPr>
          <w:rFonts w:cstheme="minorHAnsi"/>
          <w:sz w:val="24"/>
          <w:szCs w:val="24"/>
          <w:lang w:val="el-GR"/>
        </w:rPr>
        <w:t xml:space="preserve"> </w:t>
      </w:r>
      <w:r w:rsidR="008235DB">
        <w:rPr>
          <w:rFonts w:cstheme="minorHAnsi"/>
          <w:sz w:val="24"/>
          <w:szCs w:val="24"/>
          <w:lang w:val="el-GR"/>
        </w:rPr>
        <w:t>στην</w:t>
      </w:r>
      <w:r w:rsidR="008235DB" w:rsidRPr="008235DB">
        <w:rPr>
          <w:rFonts w:cstheme="minorHAnsi"/>
          <w:sz w:val="24"/>
          <w:szCs w:val="24"/>
          <w:lang w:val="el-GR"/>
        </w:rPr>
        <w:t xml:space="preserve"> </w:t>
      </w:r>
      <w:r w:rsidR="00C2324D" w:rsidRPr="004E251E">
        <w:rPr>
          <w:rFonts w:cstheme="minorHAnsi"/>
          <w:sz w:val="24"/>
          <w:szCs w:val="24"/>
        </w:rPr>
        <w:t>PSID</w:t>
      </w:r>
      <w:r w:rsidR="00C2324D" w:rsidRPr="008235DB">
        <w:rPr>
          <w:rFonts w:cstheme="minorHAnsi"/>
          <w:sz w:val="24"/>
          <w:szCs w:val="24"/>
          <w:lang w:val="el-GR"/>
        </w:rPr>
        <w:t xml:space="preserve"> </w:t>
      </w:r>
      <w:r w:rsidR="008235DB">
        <w:rPr>
          <w:rFonts w:cstheme="minorHAnsi"/>
          <w:sz w:val="24"/>
          <w:szCs w:val="24"/>
          <w:lang w:val="el-GR"/>
        </w:rPr>
        <w:t>ως</w:t>
      </w:r>
      <w:r w:rsidR="008235DB" w:rsidRPr="008235DB">
        <w:rPr>
          <w:rFonts w:cstheme="minorHAnsi"/>
          <w:sz w:val="24"/>
          <w:szCs w:val="24"/>
          <w:lang w:val="el-GR"/>
        </w:rPr>
        <w:t xml:space="preserve"> </w:t>
      </w:r>
      <w:r w:rsidR="008235DB">
        <w:rPr>
          <w:rFonts w:cstheme="minorHAnsi"/>
          <w:sz w:val="24"/>
          <w:szCs w:val="24"/>
          <w:lang w:val="el-GR"/>
        </w:rPr>
        <w:t>ο</w:t>
      </w:r>
      <w:r w:rsidR="008235DB" w:rsidRPr="008235DB">
        <w:rPr>
          <w:rFonts w:cstheme="minorHAnsi"/>
          <w:sz w:val="24"/>
          <w:szCs w:val="24"/>
          <w:lang w:val="el-GR"/>
        </w:rPr>
        <w:t xml:space="preserve"> </w:t>
      </w:r>
      <w:r w:rsidR="008235DB">
        <w:rPr>
          <w:rFonts w:cstheme="minorHAnsi"/>
          <w:sz w:val="24"/>
          <w:szCs w:val="24"/>
          <w:lang w:val="el-GR"/>
        </w:rPr>
        <w:t>αρμόδιος</w:t>
      </w:r>
      <w:r w:rsidR="008235DB" w:rsidRPr="008235DB">
        <w:rPr>
          <w:rFonts w:cstheme="minorHAnsi"/>
          <w:sz w:val="24"/>
          <w:szCs w:val="24"/>
          <w:lang w:val="el-GR"/>
        </w:rPr>
        <w:t xml:space="preserve"> </w:t>
      </w:r>
      <w:r w:rsidR="008235DB">
        <w:rPr>
          <w:rFonts w:cstheme="minorHAnsi"/>
          <w:sz w:val="24"/>
          <w:szCs w:val="24"/>
          <w:lang w:val="el-GR"/>
        </w:rPr>
        <w:t>φορέας</w:t>
      </w:r>
      <w:r w:rsidR="008235DB" w:rsidRPr="008235DB">
        <w:rPr>
          <w:rFonts w:cstheme="minorHAnsi"/>
          <w:sz w:val="24"/>
          <w:szCs w:val="24"/>
          <w:lang w:val="el-GR"/>
        </w:rPr>
        <w:t xml:space="preserve"> </w:t>
      </w:r>
      <w:r w:rsidR="008235DB">
        <w:rPr>
          <w:rFonts w:cstheme="minorHAnsi"/>
          <w:sz w:val="24"/>
          <w:szCs w:val="24"/>
          <w:lang w:val="el-GR"/>
        </w:rPr>
        <w:t>για να την κάνει</w:t>
      </w:r>
      <w:r w:rsidR="00C2324D" w:rsidRPr="008235DB">
        <w:rPr>
          <w:rFonts w:cstheme="minorHAnsi"/>
          <w:sz w:val="24"/>
          <w:szCs w:val="24"/>
          <w:lang w:val="el-GR"/>
        </w:rPr>
        <w:t xml:space="preserve">. </w:t>
      </w:r>
      <w:r w:rsidR="00F2668E">
        <w:rPr>
          <w:rFonts w:cstheme="minorHAnsi"/>
          <w:sz w:val="24"/>
          <w:szCs w:val="24"/>
          <w:lang w:val="el-GR"/>
        </w:rPr>
        <w:t>Έχει ετοιμασθεί έ</w:t>
      </w:r>
      <w:r w:rsidR="008235DB">
        <w:rPr>
          <w:rFonts w:cstheme="minorHAnsi"/>
          <w:sz w:val="24"/>
          <w:szCs w:val="24"/>
          <w:lang w:val="el-GR"/>
        </w:rPr>
        <w:t>να</w:t>
      </w:r>
      <w:r w:rsidR="008235DB" w:rsidRPr="008235DB">
        <w:rPr>
          <w:rFonts w:cstheme="minorHAnsi"/>
          <w:sz w:val="24"/>
          <w:szCs w:val="24"/>
          <w:lang w:val="el-GR"/>
        </w:rPr>
        <w:t xml:space="preserve"> </w:t>
      </w:r>
      <w:r w:rsidR="008235DB">
        <w:rPr>
          <w:rFonts w:cstheme="minorHAnsi"/>
          <w:sz w:val="24"/>
          <w:szCs w:val="24"/>
          <w:lang w:val="el-GR"/>
        </w:rPr>
        <w:t>σχέδιο</w:t>
      </w:r>
      <w:r w:rsidR="008235DB" w:rsidRPr="008235DB">
        <w:rPr>
          <w:rFonts w:cstheme="minorHAnsi"/>
          <w:sz w:val="24"/>
          <w:szCs w:val="24"/>
          <w:lang w:val="el-GR"/>
        </w:rPr>
        <w:t xml:space="preserve"> </w:t>
      </w:r>
      <w:r w:rsidR="008235DB">
        <w:rPr>
          <w:rFonts w:cstheme="minorHAnsi"/>
          <w:sz w:val="24"/>
          <w:szCs w:val="24"/>
          <w:lang w:val="el-GR"/>
        </w:rPr>
        <w:t>δράσης</w:t>
      </w:r>
      <w:r w:rsidR="008235DB" w:rsidRPr="008235DB">
        <w:rPr>
          <w:rFonts w:cstheme="minorHAnsi"/>
          <w:sz w:val="24"/>
          <w:szCs w:val="24"/>
          <w:lang w:val="el-GR"/>
        </w:rPr>
        <w:t xml:space="preserve"> </w:t>
      </w:r>
      <w:r w:rsidR="008235DB">
        <w:rPr>
          <w:rFonts w:cstheme="minorHAnsi"/>
          <w:sz w:val="24"/>
          <w:szCs w:val="24"/>
          <w:lang w:val="el-GR"/>
        </w:rPr>
        <w:t>από</w:t>
      </w:r>
      <w:r w:rsidR="008235DB" w:rsidRPr="008235DB">
        <w:rPr>
          <w:rFonts w:cstheme="minorHAnsi"/>
          <w:sz w:val="24"/>
          <w:szCs w:val="24"/>
          <w:lang w:val="el-GR"/>
        </w:rPr>
        <w:t xml:space="preserve"> </w:t>
      </w:r>
      <w:r w:rsidR="008235DB">
        <w:rPr>
          <w:rFonts w:cstheme="minorHAnsi"/>
          <w:sz w:val="24"/>
          <w:szCs w:val="24"/>
          <w:lang w:val="el-GR"/>
        </w:rPr>
        <w:t>την</w:t>
      </w:r>
      <w:r w:rsidR="00C2324D" w:rsidRPr="008235DB">
        <w:rPr>
          <w:rFonts w:cstheme="minorHAnsi"/>
          <w:sz w:val="24"/>
          <w:szCs w:val="24"/>
          <w:lang w:val="el-GR"/>
        </w:rPr>
        <w:t xml:space="preserve"> </w:t>
      </w:r>
      <w:r w:rsidR="00C2324D" w:rsidRPr="004E251E">
        <w:rPr>
          <w:rFonts w:cstheme="minorHAnsi"/>
          <w:sz w:val="24"/>
          <w:szCs w:val="24"/>
        </w:rPr>
        <w:t>PSID</w:t>
      </w:r>
      <w:r w:rsidR="00C2324D" w:rsidRPr="008235DB">
        <w:rPr>
          <w:rFonts w:cstheme="minorHAnsi"/>
          <w:sz w:val="24"/>
          <w:szCs w:val="24"/>
          <w:lang w:val="el-GR"/>
        </w:rPr>
        <w:t xml:space="preserve">, </w:t>
      </w:r>
      <w:r w:rsidR="008235DB">
        <w:rPr>
          <w:rFonts w:cstheme="minorHAnsi"/>
          <w:sz w:val="24"/>
          <w:szCs w:val="24"/>
          <w:lang w:val="el-GR"/>
        </w:rPr>
        <w:t xml:space="preserve">συμπεριλαμβανομένων </w:t>
      </w:r>
      <w:proofErr w:type="spellStart"/>
      <w:r w:rsidR="008235DB">
        <w:rPr>
          <w:rFonts w:cstheme="minorHAnsi"/>
          <w:sz w:val="24"/>
          <w:szCs w:val="24"/>
          <w:lang w:val="el-GR"/>
        </w:rPr>
        <w:t>στοχευμένων</w:t>
      </w:r>
      <w:proofErr w:type="spellEnd"/>
      <w:r w:rsidR="008235DB">
        <w:rPr>
          <w:rFonts w:cstheme="minorHAnsi"/>
          <w:sz w:val="24"/>
          <w:szCs w:val="24"/>
          <w:lang w:val="el-GR"/>
        </w:rPr>
        <w:t xml:space="preserve"> ενεργειών</w:t>
      </w:r>
      <w:r w:rsidR="00C2324D" w:rsidRPr="008235DB">
        <w:rPr>
          <w:rFonts w:cstheme="minorHAnsi"/>
          <w:sz w:val="24"/>
          <w:szCs w:val="24"/>
          <w:lang w:val="el-GR"/>
        </w:rPr>
        <w:t xml:space="preserve"> </w:t>
      </w:r>
      <w:r w:rsidR="008235DB">
        <w:rPr>
          <w:rFonts w:cstheme="minorHAnsi"/>
          <w:sz w:val="24"/>
          <w:szCs w:val="24"/>
          <w:lang w:val="el-GR"/>
        </w:rPr>
        <w:t>και της αναμενόμενης ολοκλήρωσης τους</w:t>
      </w:r>
      <w:r w:rsidR="00C2324D" w:rsidRPr="008235DB">
        <w:rPr>
          <w:rFonts w:cstheme="minorHAnsi"/>
          <w:sz w:val="24"/>
          <w:szCs w:val="24"/>
          <w:lang w:val="el-GR"/>
        </w:rPr>
        <w:t xml:space="preserve">. </w:t>
      </w:r>
      <w:r w:rsidR="008235DB">
        <w:rPr>
          <w:rFonts w:cstheme="minorHAnsi"/>
          <w:sz w:val="24"/>
          <w:szCs w:val="24"/>
          <w:lang w:val="el-GR"/>
        </w:rPr>
        <w:lastRenderedPageBreak/>
        <w:t>Ανάλογα</w:t>
      </w:r>
      <w:r w:rsidR="00C2324D" w:rsidRPr="008235DB">
        <w:rPr>
          <w:rFonts w:cstheme="minorHAnsi"/>
          <w:sz w:val="24"/>
          <w:szCs w:val="24"/>
          <w:lang w:val="el-GR"/>
        </w:rPr>
        <w:t xml:space="preserve">, </w:t>
      </w:r>
      <w:r w:rsidR="008235DB">
        <w:rPr>
          <w:rFonts w:cstheme="minorHAnsi"/>
          <w:sz w:val="24"/>
          <w:szCs w:val="24"/>
          <w:lang w:val="el-GR"/>
        </w:rPr>
        <w:t>έχουν</w:t>
      </w:r>
      <w:r w:rsidR="008235DB" w:rsidRPr="008235DB">
        <w:rPr>
          <w:rFonts w:cstheme="minorHAnsi"/>
          <w:sz w:val="24"/>
          <w:szCs w:val="24"/>
          <w:lang w:val="el-GR"/>
        </w:rPr>
        <w:t xml:space="preserve"> </w:t>
      </w:r>
      <w:r w:rsidR="008235DB">
        <w:rPr>
          <w:rFonts w:cstheme="minorHAnsi"/>
          <w:sz w:val="24"/>
          <w:szCs w:val="24"/>
          <w:lang w:val="el-GR"/>
        </w:rPr>
        <w:t>σταλεί</w:t>
      </w:r>
      <w:r w:rsidR="008235DB" w:rsidRPr="008235DB">
        <w:rPr>
          <w:rFonts w:cstheme="minorHAnsi"/>
          <w:sz w:val="24"/>
          <w:szCs w:val="24"/>
          <w:lang w:val="el-GR"/>
        </w:rPr>
        <w:t xml:space="preserve"> </w:t>
      </w:r>
      <w:r w:rsidR="008235DB">
        <w:rPr>
          <w:rFonts w:cstheme="minorHAnsi"/>
          <w:sz w:val="24"/>
          <w:szCs w:val="24"/>
          <w:lang w:val="el-GR"/>
        </w:rPr>
        <w:t>εσωτερικές</w:t>
      </w:r>
      <w:r w:rsidR="008235DB" w:rsidRPr="008235DB">
        <w:rPr>
          <w:rFonts w:cstheme="minorHAnsi"/>
          <w:sz w:val="24"/>
          <w:szCs w:val="24"/>
          <w:lang w:val="el-GR"/>
        </w:rPr>
        <w:t xml:space="preserve"> </w:t>
      </w:r>
      <w:r w:rsidR="008235DB">
        <w:rPr>
          <w:rFonts w:cstheme="minorHAnsi"/>
          <w:sz w:val="24"/>
          <w:szCs w:val="24"/>
          <w:lang w:val="el-GR"/>
        </w:rPr>
        <w:t>επικοινωνίες</w:t>
      </w:r>
      <w:r w:rsidR="008235DB" w:rsidRPr="008235DB">
        <w:rPr>
          <w:rFonts w:cstheme="minorHAnsi"/>
          <w:sz w:val="24"/>
          <w:szCs w:val="24"/>
          <w:lang w:val="el-GR"/>
        </w:rPr>
        <w:t xml:space="preserve"> </w:t>
      </w:r>
      <w:r w:rsidR="008235DB">
        <w:rPr>
          <w:rFonts w:cstheme="minorHAnsi"/>
          <w:sz w:val="24"/>
          <w:szCs w:val="24"/>
          <w:lang w:val="el-GR"/>
        </w:rPr>
        <w:t>για</w:t>
      </w:r>
      <w:r w:rsidR="008235DB" w:rsidRPr="008235DB">
        <w:rPr>
          <w:rFonts w:cstheme="minorHAnsi"/>
          <w:sz w:val="24"/>
          <w:szCs w:val="24"/>
          <w:lang w:val="el-GR"/>
        </w:rPr>
        <w:t xml:space="preserve"> </w:t>
      </w:r>
      <w:r w:rsidR="008235DB">
        <w:rPr>
          <w:rFonts w:cstheme="minorHAnsi"/>
          <w:sz w:val="24"/>
          <w:szCs w:val="24"/>
          <w:lang w:val="el-GR"/>
        </w:rPr>
        <w:t>να</w:t>
      </w:r>
      <w:r w:rsidR="008235DB" w:rsidRPr="008235DB">
        <w:rPr>
          <w:rFonts w:cstheme="minorHAnsi"/>
          <w:sz w:val="24"/>
          <w:szCs w:val="24"/>
          <w:lang w:val="el-GR"/>
        </w:rPr>
        <w:t xml:space="preserve"> </w:t>
      </w:r>
      <w:r w:rsidR="008235DB">
        <w:rPr>
          <w:rFonts w:cstheme="minorHAnsi"/>
          <w:sz w:val="24"/>
          <w:szCs w:val="24"/>
          <w:lang w:val="el-GR"/>
        </w:rPr>
        <w:t>ενημερωθούν</w:t>
      </w:r>
      <w:r w:rsidR="008235DB" w:rsidRPr="008235DB">
        <w:rPr>
          <w:rFonts w:cstheme="minorHAnsi"/>
          <w:sz w:val="24"/>
          <w:szCs w:val="24"/>
          <w:lang w:val="el-GR"/>
        </w:rPr>
        <w:t xml:space="preserve"> </w:t>
      </w:r>
      <w:r w:rsidR="008235DB">
        <w:rPr>
          <w:rFonts w:cstheme="minorHAnsi"/>
          <w:sz w:val="24"/>
          <w:szCs w:val="24"/>
          <w:lang w:val="el-GR"/>
        </w:rPr>
        <w:t>οι</w:t>
      </w:r>
      <w:r w:rsidR="008235DB" w:rsidRPr="008235DB">
        <w:rPr>
          <w:rFonts w:cstheme="minorHAnsi"/>
          <w:sz w:val="24"/>
          <w:szCs w:val="24"/>
          <w:lang w:val="el-GR"/>
        </w:rPr>
        <w:t xml:space="preserve"> </w:t>
      </w:r>
      <w:r w:rsidR="008235DB">
        <w:rPr>
          <w:rFonts w:cstheme="minorHAnsi"/>
          <w:sz w:val="24"/>
          <w:szCs w:val="24"/>
          <w:lang w:val="el-GR"/>
        </w:rPr>
        <w:t>διευθυντές</w:t>
      </w:r>
      <w:r w:rsidR="008235DB" w:rsidRPr="008235DB">
        <w:rPr>
          <w:rFonts w:cstheme="minorHAnsi"/>
          <w:sz w:val="24"/>
          <w:szCs w:val="24"/>
          <w:lang w:val="el-GR"/>
        </w:rPr>
        <w:t xml:space="preserve"> </w:t>
      </w:r>
      <w:r w:rsidR="008235DB">
        <w:rPr>
          <w:rFonts w:cstheme="minorHAnsi"/>
          <w:sz w:val="24"/>
          <w:szCs w:val="24"/>
          <w:lang w:val="el-GR"/>
        </w:rPr>
        <w:t>για</w:t>
      </w:r>
      <w:r w:rsidR="008235DB" w:rsidRPr="008235DB">
        <w:rPr>
          <w:rFonts w:cstheme="minorHAnsi"/>
          <w:sz w:val="24"/>
          <w:szCs w:val="24"/>
          <w:lang w:val="el-GR"/>
        </w:rPr>
        <w:t xml:space="preserve"> </w:t>
      </w:r>
      <w:r w:rsidR="008235DB">
        <w:rPr>
          <w:rFonts w:cstheme="minorHAnsi"/>
          <w:sz w:val="24"/>
          <w:szCs w:val="24"/>
          <w:lang w:val="el-GR"/>
        </w:rPr>
        <w:t>τις</w:t>
      </w:r>
      <w:r w:rsidR="008235DB" w:rsidRPr="008235DB">
        <w:rPr>
          <w:rFonts w:cstheme="minorHAnsi"/>
          <w:sz w:val="24"/>
          <w:szCs w:val="24"/>
          <w:lang w:val="el-GR"/>
        </w:rPr>
        <w:t xml:space="preserve"> </w:t>
      </w:r>
      <w:r w:rsidR="008235DB">
        <w:rPr>
          <w:rFonts w:cstheme="minorHAnsi"/>
          <w:sz w:val="24"/>
          <w:szCs w:val="24"/>
          <w:lang w:val="el-GR"/>
        </w:rPr>
        <w:t xml:space="preserve">νέες νομοθετικές πρόνοιες για την </w:t>
      </w:r>
      <w:proofErr w:type="spellStart"/>
      <w:r w:rsidR="008235DB">
        <w:rPr>
          <w:rFonts w:cstheme="minorHAnsi"/>
          <w:sz w:val="24"/>
          <w:szCs w:val="24"/>
          <w:lang w:val="el-GR"/>
        </w:rPr>
        <w:t>πληροφοριοδότηση</w:t>
      </w:r>
      <w:proofErr w:type="spellEnd"/>
      <w:r w:rsidR="00C2324D" w:rsidRPr="008235DB">
        <w:rPr>
          <w:rFonts w:cstheme="minorHAnsi"/>
          <w:sz w:val="24"/>
          <w:szCs w:val="24"/>
          <w:lang w:val="el-GR"/>
        </w:rPr>
        <w:t xml:space="preserve"> </w:t>
      </w:r>
      <w:r w:rsidR="008235DB">
        <w:rPr>
          <w:rFonts w:cstheme="minorHAnsi"/>
          <w:sz w:val="24"/>
          <w:szCs w:val="24"/>
          <w:lang w:val="el-GR"/>
        </w:rPr>
        <w:t xml:space="preserve">ούτως ώστε να μπορέσουν να </w:t>
      </w:r>
      <w:r w:rsidR="00F273C9">
        <w:rPr>
          <w:rFonts w:cstheme="minorHAnsi"/>
          <w:sz w:val="24"/>
          <w:szCs w:val="24"/>
          <w:lang w:val="el-GR"/>
        </w:rPr>
        <w:t xml:space="preserve">τις </w:t>
      </w:r>
      <w:r w:rsidR="008235DB">
        <w:rPr>
          <w:rFonts w:cstheme="minorHAnsi"/>
          <w:sz w:val="24"/>
          <w:szCs w:val="24"/>
          <w:lang w:val="el-GR"/>
        </w:rPr>
        <w:t>προωθήσουν περαιτέρω</w:t>
      </w:r>
      <w:r w:rsidR="00F273C9">
        <w:rPr>
          <w:rFonts w:cstheme="minorHAnsi"/>
          <w:sz w:val="24"/>
          <w:szCs w:val="24"/>
          <w:lang w:val="el-GR"/>
        </w:rPr>
        <w:t xml:space="preserve"> ανάμεσα στους υφιστάμενους τους</w:t>
      </w:r>
      <w:r w:rsidR="00C2324D" w:rsidRPr="008235DB">
        <w:rPr>
          <w:rFonts w:cstheme="minorHAnsi"/>
          <w:sz w:val="24"/>
          <w:szCs w:val="24"/>
          <w:lang w:val="el-GR"/>
        </w:rPr>
        <w:t xml:space="preserve">. </w:t>
      </w:r>
      <w:r w:rsidR="00F273C9">
        <w:rPr>
          <w:rFonts w:cstheme="minorHAnsi"/>
          <w:sz w:val="24"/>
          <w:szCs w:val="24"/>
          <w:lang w:val="el-GR"/>
        </w:rPr>
        <w:t>Προβλέπεται</w:t>
      </w:r>
      <w:r w:rsidR="00F273C9" w:rsidRPr="00F273C9">
        <w:rPr>
          <w:rFonts w:cstheme="minorHAnsi"/>
          <w:sz w:val="24"/>
          <w:szCs w:val="24"/>
          <w:lang w:val="el-GR"/>
        </w:rPr>
        <w:t xml:space="preserve"> </w:t>
      </w:r>
      <w:r w:rsidR="00F273C9">
        <w:rPr>
          <w:rFonts w:cstheme="minorHAnsi"/>
          <w:sz w:val="24"/>
          <w:szCs w:val="24"/>
          <w:lang w:val="el-GR"/>
        </w:rPr>
        <w:t>επίσης</w:t>
      </w:r>
      <w:r w:rsidR="00F273C9" w:rsidRPr="00F273C9">
        <w:rPr>
          <w:rFonts w:cstheme="minorHAnsi"/>
          <w:sz w:val="24"/>
          <w:szCs w:val="24"/>
          <w:lang w:val="el-GR"/>
        </w:rPr>
        <w:t xml:space="preserve"> </w:t>
      </w:r>
      <w:r w:rsidR="00F273C9">
        <w:rPr>
          <w:rFonts w:cstheme="minorHAnsi"/>
          <w:sz w:val="24"/>
          <w:szCs w:val="24"/>
          <w:lang w:val="el-GR"/>
        </w:rPr>
        <w:t>ότι</w:t>
      </w:r>
      <w:r w:rsidR="00C2324D" w:rsidRPr="00F273C9">
        <w:rPr>
          <w:rFonts w:cstheme="minorHAnsi"/>
          <w:sz w:val="24"/>
          <w:szCs w:val="24"/>
          <w:lang w:val="el-GR"/>
        </w:rPr>
        <w:t xml:space="preserve"> </w:t>
      </w:r>
      <w:r w:rsidR="00F273C9">
        <w:rPr>
          <w:rFonts w:cstheme="minorHAnsi"/>
          <w:sz w:val="24"/>
          <w:szCs w:val="24"/>
          <w:lang w:val="el-GR"/>
        </w:rPr>
        <w:t>η</w:t>
      </w:r>
      <w:r w:rsidR="00F273C9" w:rsidRPr="00F273C9">
        <w:rPr>
          <w:rFonts w:cstheme="minorHAnsi"/>
          <w:sz w:val="24"/>
          <w:szCs w:val="24"/>
          <w:lang w:val="el-GR"/>
        </w:rPr>
        <w:t xml:space="preserve"> </w:t>
      </w:r>
      <w:r w:rsidR="00F273C9">
        <w:rPr>
          <w:rFonts w:cstheme="minorHAnsi"/>
          <w:sz w:val="24"/>
          <w:szCs w:val="24"/>
          <w:lang w:val="el-GR"/>
        </w:rPr>
        <w:t>Αστυνομική</w:t>
      </w:r>
      <w:r w:rsidR="00F273C9" w:rsidRPr="00F273C9">
        <w:rPr>
          <w:rFonts w:cstheme="minorHAnsi"/>
          <w:sz w:val="24"/>
          <w:szCs w:val="24"/>
          <w:lang w:val="el-GR"/>
        </w:rPr>
        <w:t xml:space="preserve"> </w:t>
      </w:r>
      <w:r w:rsidR="00F273C9">
        <w:rPr>
          <w:rFonts w:cstheme="minorHAnsi"/>
          <w:sz w:val="24"/>
          <w:szCs w:val="24"/>
          <w:lang w:val="el-GR"/>
        </w:rPr>
        <w:t>Ακαδημία</w:t>
      </w:r>
      <w:r w:rsidR="00F273C9" w:rsidRPr="00F273C9">
        <w:rPr>
          <w:rFonts w:cstheme="minorHAnsi"/>
          <w:sz w:val="24"/>
          <w:szCs w:val="24"/>
          <w:lang w:val="el-GR"/>
        </w:rPr>
        <w:t xml:space="preserve"> </w:t>
      </w:r>
      <w:r w:rsidR="00F273C9">
        <w:rPr>
          <w:rFonts w:cstheme="minorHAnsi"/>
          <w:sz w:val="24"/>
          <w:szCs w:val="24"/>
          <w:lang w:val="el-GR"/>
        </w:rPr>
        <w:t>θα</w:t>
      </w:r>
      <w:r w:rsidR="00F273C9" w:rsidRPr="00F273C9">
        <w:rPr>
          <w:rFonts w:cstheme="minorHAnsi"/>
          <w:sz w:val="24"/>
          <w:szCs w:val="24"/>
          <w:lang w:val="el-GR"/>
        </w:rPr>
        <w:t xml:space="preserve"> </w:t>
      </w:r>
      <w:r w:rsidR="00F273C9">
        <w:rPr>
          <w:rFonts w:cstheme="minorHAnsi"/>
          <w:sz w:val="24"/>
          <w:szCs w:val="24"/>
          <w:lang w:val="el-GR"/>
        </w:rPr>
        <w:t>συμπεριλάβει</w:t>
      </w:r>
      <w:r w:rsidR="00F273C9" w:rsidRPr="00F273C9">
        <w:rPr>
          <w:rFonts w:cstheme="minorHAnsi"/>
          <w:sz w:val="24"/>
          <w:szCs w:val="24"/>
          <w:lang w:val="el-GR"/>
        </w:rPr>
        <w:t xml:space="preserve"> </w:t>
      </w:r>
      <w:r w:rsidR="00F273C9">
        <w:rPr>
          <w:rFonts w:cstheme="minorHAnsi"/>
          <w:sz w:val="24"/>
          <w:szCs w:val="24"/>
          <w:lang w:val="el-GR"/>
        </w:rPr>
        <w:t>το</w:t>
      </w:r>
      <w:r w:rsidR="00F273C9" w:rsidRPr="00F273C9">
        <w:rPr>
          <w:rFonts w:cstheme="minorHAnsi"/>
          <w:sz w:val="24"/>
          <w:szCs w:val="24"/>
          <w:lang w:val="el-GR"/>
        </w:rPr>
        <w:t xml:space="preserve"> </w:t>
      </w:r>
      <w:r w:rsidR="00F273C9">
        <w:rPr>
          <w:rFonts w:cstheme="minorHAnsi"/>
          <w:sz w:val="24"/>
          <w:szCs w:val="24"/>
          <w:lang w:val="el-GR"/>
        </w:rPr>
        <w:t xml:space="preserve">θέμα της </w:t>
      </w:r>
      <w:proofErr w:type="spellStart"/>
      <w:r w:rsidR="00F273C9">
        <w:rPr>
          <w:rFonts w:cstheme="minorHAnsi"/>
          <w:sz w:val="24"/>
          <w:szCs w:val="24"/>
          <w:lang w:val="el-GR"/>
        </w:rPr>
        <w:t>πληροφοριοδότησης</w:t>
      </w:r>
      <w:proofErr w:type="spellEnd"/>
      <w:r w:rsidR="00C2324D" w:rsidRPr="00F273C9">
        <w:rPr>
          <w:rFonts w:cstheme="minorHAnsi"/>
          <w:sz w:val="24"/>
          <w:szCs w:val="24"/>
          <w:lang w:val="el-GR"/>
        </w:rPr>
        <w:t xml:space="preserve"> </w:t>
      </w:r>
      <w:r w:rsidR="00F273C9">
        <w:rPr>
          <w:rFonts w:cstheme="minorHAnsi"/>
          <w:sz w:val="24"/>
          <w:szCs w:val="24"/>
          <w:lang w:val="el-GR"/>
        </w:rPr>
        <w:t>στο εκπαιδευτικό της υλικό</w:t>
      </w:r>
      <w:r w:rsidR="00C2324D" w:rsidRPr="00F273C9">
        <w:rPr>
          <w:rFonts w:cstheme="minorHAnsi"/>
          <w:sz w:val="24"/>
          <w:szCs w:val="24"/>
          <w:lang w:val="el-GR"/>
        </w:rPr>
        <w:t xml:space="preserve"> (</w:t>
      </w:r>
      <w:r w:rsidR="00F273C9">
        <w:rPr>
          <w:rFonts w:cstheme="minorHAnsi"/>
          <w:sz w:val="24"/>
          <w:szCs w:val="24"/>
          <w:lang w:val="el-GR"/>
        </w:rPr>
        <w:t xml:space="preserve">στην εισαγωγή και </w:t>
      </w:r>
      <w:proofErr w:type="spellStart"/>
      <w:r w:rsidR="00F273C9">
        <w:rPr>
          <w:rFonts w:cstheme="minorHAnsi"/>
          <w:sz w:val="24"/>
          <w:szCs w:val="24"/>
          <w:lang w:val="el-GR"/>
        </w:rPr>
        <w:t>ενδο</w:t>
      </w:r>
      <w:proofErr w:type="spellEnd"/>
      <w:r w:rsidR="00F273C9">
        <w:rPr>
          <w:rFonts w:cstheme="minorHAnsi"/>
          <w:sz w:val="24"/>
          <w:szCs w:val="24"/>
          <w:lang w:val="el-GR"/>
        </w:rPr>
        <w:t>-υπηρεσιακά</w:t>
      </w:r>
      <w:r w:rsidR="00C2324D" w:rsidRPr="00F273C9">
        <w:rPr>
          <w:rFonts w:cstheme="minorHAnsi"/>
          <w:sz w:val="24"/>
          <w:szCs w:val="24"/>
          <w:lang w:val="el-GR"/>
        </w:rPr>
        <w:t xml:space="preserve">). </w:t>
      </w:r>
      <w:r w:rsidR="00F273C9">
        <w:rPr>
          <w:rFonts w:cstheme="minorHAnsi"/>
          <w:sz w:val="24"/>
          <w:szCs w:val="24"/>
          <w:lang w:val="el-GR"/>
        </w:rPr>
        <w:t>Επιπρόσθετα</w:t>
      </w:r>
      <w:r w:rsidR="00C2324D" w:rsidRPr="00F273C9">
        <w:rPr>
          <w:rFonts w:cstheme="minorHAnsi"/>
          <w:sz w:val="24"/>
          <w:szCs w:val="24"/>
          <w:lang w:val="el-GR"/>
        </w:rPr>
        <w:t xml:space="preserve">, </w:t>
      </w:r>
      <w:r w:rsidR="00F273C9">
        <w:rPr>
          <w:rFonts w:cstheme="minorHAnsi"/>
          <w:sz w:val="24"/>
          <w:szCs w:val="24"/>
          <w:lang w:val="el-GR"/>
        </w:rPr>
        <w:t>ένα</w:t>
      </w:r>
      <w:r w:rsidR="00F273C9" w:rsidRPr="00F273C9">
        <w:rPr>
          <w:rFonts w:cstheme="minorHAnsi"/>
          <w:sz w:val="24"/>
          <w:szCs w:val="24"/>
          <w:lang w:val="el-GR"/>
        </w:rPr>
        <w:t xml:space="preserve"> </w:t>
      </w:r>
      <w:r w:rsidR="00F273C9">
        <w:rPr>
          <w:rFonts w:cstheme="minorHAnsi"/>
          <w:sz w:val="24"/>
          <w:szCs w:val="24"/>
          <w:lang w:val="el-GR"/>
        </w:rPr>
        <w:t>φυλλάδιο</w:t>
      </w:r>
      <w:r w:rsidR="00C2324D" w:rsidRPr="00F273C9">
        <w:rPr>
          <w:rFonts w:cstheme="minorHAnsi"/>
          <w:sz w:val="24"/>
          <w:szCs w:val="24"/>
          <w:lang w:val="el-GR"/>
        </w:rPr>
        <w:t>/</w:t>
      </w:r>
      <w:r w:rsidR="00F273C9">
        <w:rPr>
          <w:rFonts w:cstheme="minorHAnsi"/>
          <w:sz w:val="24"/>
          <w:szCs w:val="24"/>
          <w:lang w:val="el-GR"/>
        </w:rPr>
        <w:t>εγχειρίδιο</w:t>
      </w:r>
      <w:r w:rsidR="00C2324D" w:rsidRPr="00F273C9">
        <w:rPr>
          <w:rFonts w:cstheme="minorHAnsi"/>
          <w:sz w:val="24"/>
          <w:szCs w:val="24"/>
          <w:lang w:val="el-GR"/>
        </w:rPr>
        <w:t xml:space="preserve"> </w:t>
      </w:r>
      <w:r w:rsidR="00F273C9">
        <w:rPr>
          <w:rFonts w:cstheme="minorHAnsi"/>
          <w:sz w:val="24"/>
          <w:szCs w:val="24"/>
          <w:lang w:val="el-GR"/>
        </w:rPr>
        <w:t>με</w:t>
      </w:r>
      <w:r w:rsidR="00F273C9" w:rsidRPr="00F273C9">
        <w:rPr>
          <w:rFonts w:cstheme="minorHAnsi"/>
          <w:sz w:val="24"/>
          <w:szCs w:val="24"/>
          <w:lang w:val="el-GR"/>
        </w:rPr>
        <w:t xml:space="preserve"> </w:t>
      </w:r>
      <w:r w:rsidR="00F273C9">
        <w:rPr>
          <w:rFonts w:cstheme="minorHAnsi"/>
          <w:sz w:val="24"/>
          <w:szCs w:val="24"/>
          <w:lang w:val="el-GR"/>
        </w:rPr>
        <w:t>χρήσιμες</w:t>
      </w:r>
      <w:r w:rsidR="00F273C9" w:rsidRPr="00F273C9">
        <w:rPr>
          <w:rFonts w:cstheme="minorHAnsi"/>
          <w:sz w:val="24"/>
          <w:szCs w:val="24"/>
          <w:lang w:val="el-GR"/>
        </w:rPr>
        <w:t xml:space="preserve"> </w:t>
      </w:r>
      <w:r w:rsidR="00F273C9">
        <w:rPr>
          <w:rFonts w:cstheme="minorHAnsi"/>
          <w:sz w:val="24"/>
          <w:szCs w:val="24"/>
          <w:lang w:val="el-GR"/>
        </w:rPr>
        <w:t>πληροφορίες</w:t>
      </w:r>
      <w:r w:rsidR="00C2324D" w:rsidRPr="00F273C9">
        <w:rPr>
          <w:rFonts w:cstheme="minorHAnsi"/>
          <w:sz w:val="24"/>
          <w:szCs w:val="24"/>
          <w:lang w:val="el-GR"/>
        </w:rPr>
        <w:t xml:space="preserve">, </w:t>
      </w:r>
      <w:r w:rsidR="00F273C9">
        <w:rPr>
          <w:rFonts w:cstheme="minorHAnsi"/>
          <w:sz w:val="24"/>
          <w:szCs w:val="24"/>
          <w:lang w:val="el-GR"/>
        </w:rPr>
        <w:t>συμβουλές</w:t>
      </w:r>
      <w:r w:rsidR="00F273C9" w:rsidRPr="00F273C9">
        <w:rPr>
          <w:rFonts w:cstheme="minorHAnsi"/>
          <w:sz w:val="24"/>
          <w:szCs w:val="24"/>
          <w:lang w:val="el-GR"/>
        </w:rPr>
        <w:t xml:space="preserve"> </w:t>
      </w:r>
      <w:r w:rsidR="00F273C9">
        <w:rPr>
          <w:rFonts w:cstheme="minorHAnsi"/>
          <w:sz w:val="24"/>
          <w:szCs w:val="24"/>
          <w:lang w:val="el-GR"/>
        </w:rPr>
        <w:t>και</w:t>
      </w:r>
      <w:r w:rsidR="00F273C9" w:rsidRPr="00F273C9">
        <w:rPr>
          <w:rFonts w:cstheme="minorHAnsi"/>
          <w:sz w:val="24"/>
          <w:szCs w:val="24"/>
          <w:lang w:val="el-GR"/>
        </w:rPr>
        <w:t xml:space="preserve"> </w:t>
      </w:r>
      <w:r w:rsidR="00F273C9">
        <w:rPr>
          <w:rFonts w:cstheme="minorHAnsi"/>
          <w:sz w:val="24"/>
          <w:szCs w:val="24"/>
          <w:lang w:val="el-GR"/>
        </w:rPr>
        <w:t>κατευθυντήριες</w:t>
      </w:r>
      <w:r w:rsidR="00F273C9" w:rsidRPr="00F273C9">
        <w:rPr>
          <w:rFonts w:cstheme="minorHAnsi"/>
          <w:sz w:val="24"/>
          <w:szCs w:val="24"/>
          <w:lang w:val="el-GR"/>
        </w:rPr>
        <w:t xml:space="preserve"> </w:t>
      </w:r>
      <w:r w:rsidR="00F273C9">
        <w:rPr>
          <w:rFonts w:cstheme="minorHAnsi"/>
          <w:sz w:val="24"/>
          <w:szCs w:val="24"/>
          <w:lang w:val="el-GR"/>
        </w:rPr>
        <w:t>γραμμές</w:t>
      </w:r>
      <w:r w:rsidR="00C2324D" w:rsidRPr="00F273C9">
        <w:rPr>
          <w:rFonts w:cstheme="minorHAnsi"/>
          <w:sz w:val="24"/>
          <w:szCs w:val="24"/>
          <w:lang w:val="el-GR"/>
        </w:rPr>
        <w:t xml:space="preserve"> </w:t>
      </w:r>
      <w:r w:rsidR="00F273C9">
        <w:rPr>
          <w:rFonts w:cstheme="minorHAnsi"/>
          <w:sz w:val="24"/>
          <w:szCs w:val="24"/>
          <w:lang w:val="el-GR"/>
        </w:rPr>
        <w:t>θα εκδοθεί</w:t>
      </w:r>
      <w:r w:rsidR="00C2324D" w:rsidRPr="00F273C9">
        <w:rPr>
          <w:rFonts w:cstheme="minorHAnsi"/>
          <w:sz w:val="24"/>
          <w:szCs w:val="24"/>
          <w:lang w:val="el-GR"/>
        </w:rPr>
        <w:t xml:space="preserve"> </w:t>
      </w:r>
      <w:r w:rsidR="00F273C9">
        <w:rPr>
          <w:rFonts w:cstheme="minorHAnsi"/>
          <w:sz w:val="24"/>
          <w:szCs w:val="24"/>
          <w:lang w:val="el-GR"/>
        </w:rPr>
        <w:t>και θα διανεμηθεί</w:t>
      </w:r>
      <w:r w:rsidR="00C2324D" w:rsidRPr="00F273C9">
        <w:rPr>
          <w:rFonts w:cstheme="minorHAnsi"/>
          <w:sz w:val="24"/>
          <w:szCs w:val="24"/>
          <w:lang w:val="el-GR"/>
        </w:rPr>
        <w:t xml:space="preserve"> </w:t>
      </w:r>
      <w:r w:rsidR="00F273C9">
        <w:rPr>
          <w:rFonts w:cstheme="minorHAnsi"/>
          <w:sz w:val="24"/>
          <w:szCs w:val="24"/>
          <w:lang w:val="el-GR"/>
        </w:rPr>
        <w:t xml:space="preserve">εντός και εκτός της </w:t>
      </w:r>
      <w:r w:rsidR="009C4E34">
        <w:rPr>
          <w:rFonts w:cstheme="minorHAnsi"/>
          <w:sz w:val="24"/>
          <w:szCs w:val="24"/>
          <w:lang w:val="el-GR"/>
        </w:rPr>
        <w:t>Αστυνομία</w:t>
      </w:r>
      <w:r w:rsidR="00F273C9">
        <w:rPr>
          <w:rFonts w:cstheme="minorHAnsi"/>
          <w:sz w:val="24"/>
          <w:szCs w:val="24"/>
          <w:lang w:val="el-GR"/>
        </w:rPr>
        <w:t>ς</w:t>
      </w:r>
      <w:r w:rsidR="00C2324D" w:rsidRPr="00F273C9">
        <w:rPr>
          <w:rFonts w:cstheme="minorHAnsi"/>
          <w:sz w:val="24"/>
          <w:szCs w:val="24"/>
          <w:lang w:val="el-GR"/>
        </w:rPr>
        <w:t xml:space="preserve">. </w:t>
      </w:r>
      <w:r w:rsidR="00F273C9">
        <w:rPr>
          <w:rFonts w:cstheme="minorHAnsi"/>
          <w:sz w:val="24"/>
          <w:szCs w:val="24"/>
          <w:lang w:val="el-GR"/>
        </w:rPr>
        <w:t>Μια</w:t>
      </w:r>
      <w:r w:rsidR="00F273C9" w:rsidRPr="00F273C9">
        <w:rPr>
          <w:rFonts w:cstheme="minorHAnsi"/>
          <w:sz w:val="24"/>
          <w:szCs w:val="24"/>
          <w:lang w:val="el-GR"/>
        </w:rPr>
        <w:t xml:space="preserve"> </w:t>
      </w:r>
      <w:r w:rsidR="00F273C9">
        <w:rPr>
          <w:rFonts w:cstheme="minorHAnsi"/>
          <w:sz w:val="24"/>
          <w:szCs w:val="24"/>
          <w:lang w:val="el-GR"/>
        </w:rPr>
        <w:t>άλλη</w:t>
      </w:r>
      <w:r w:rsidR="00F273C9" w:rsidRPr="00F273C9">
        <w:rPr>
          <w:rFonts w:cstheme="minorHAnsi"/>
          <w:sz w:val="24"/>
          <w:szCs w:val="24"/>
          <w:lang w:val="el-GR"/>
        </w:rPr>
        <w:t xml:space="preserve"> </w:t>
      </w:r>
      <w:r w:rsidR="00355E62">
        <w:rPr>
          <w:rFonts w:cstheme="minorHAnsi"/>
          <w:sz w:val="24"/>
          <w:szCs w:val="24"/>
          <w:lang w:val="el-GR"/>
        </w:rPr>
        <w:t>σημαντική</w:t>
      </w:r>
      <w:r w:rsidR="00F273C9" w:rsidRPr="00F273C9">
        <w:rPr>
          <w:rFonts w:cstheme="minorHAnsi"/>
          <w:sz w:val="24"/>
          <w:szCs w:val="24"/>
          <w:lang w:val="el-GR"/>
        </w:rPr>
        <w:t xml:space="preserve"> </w:t>
      </w:r>
      <w:r w:rsidR="00F273C9">
        <w:rPr>
          <w:rFonts w:cstheme="minorHAnsi"/>
          <w:sz w:val="24"/>
          <w:szCs w:val="24"/>
          <w:lang w:val="el-GR"/>
        </w:rPr>
        <w:t>εργασία</w:t>
      </w:r>
      <w:r w:rsidR="00F273C9" w:rsidRPr="00F273C9">
        <w:rPr>
          <w:rFonts w:cstheme="minorHAnsi"/>
          <w:sz w:val="24"/>
          <w:szCs w:val="24"/>
          <w:lang w:val="el-GR"/>
        </w:rPr>
        <w:t xml:space="preserve"> </w:t>
      </w:r>
      <w:r w:rsidR="00F273C9">
        <w:rPr>
          <w:rFonts w:cstheme="minorHAnsi"/>
          <w:sz w:val="24"/>
          <w:szCs w:val="24"/>
          <w:lang w:val="el-GR"/>
        </w:rPr>
        <w:t>υπό</w:t>
      </w:r>
      <w:r w:rsidR="00F273C9" w:rsidRPr="00F273C9">
        <w:rPr>
          <w:rFonts w:cstheme="minorHAnsi"/>
          <w:sz w:val="24"/>
          <w:szCs w:val="24"/>
          <w:lang w:val="el-GR"/>
        </w:rPr>
        <w:t xml:space="preserve"> </w:t>
      </w:r>
      <w:r w:rsidR="00F273C9">
        <w:rPr>
          <w:rFonts w:cstheme="minorHAnsi"/>
          <w:sz w:val="24"/>
          <w:szCs w:val="24"/>
          <w:lang w:val="el-GR"/>
        </w:rPr>
        <w:t>ανάπτυξη</w:t>
      </w:r>
      <w:r w:rsidR="00F273C9" w:rsidRPr="00F273C9">
        <w:rPr>
          <w:rFonts w:cstheme="minorHAnsi"/>
          <w:sz w:val="24"/>
          <w:szCs w:val="24"/>
          <w:lang w:val="el-GR"/>
        </w:rPr>
        <w:t xml:space="preserve"> </w:t>
      </w:r>
      <w:r w:rsidR="00F273C9">
        <w:rPr>
          <w:rFonts w:cstheme="minorHAnsi"/>
          <w:sz w:val="24"/>
          <w:szCs w:val="24"/>
          <w:lang w:val="el-GR"/>
        </w:rPr>
        <w:t>είναι</w:t>
      </w:r>
      <w:r w:rsidR="00F273C9" w:rsidRPr="00F273C9">
        <w:rPr>
          <w:rFonts w:cstheme="minorHAnsi"/>
          <w:sz w:val="24"/>
          <w:szCs w:val="24"/>
          <w:lang w:val="el-GR"/>
        </w:rPr>
        <w:t xml:space="preserve"> </w:t>
      </w:r>
      <w:r w:rsidR="00F273C9">
        <w:rPr>
          <w:rFonts w:cstheme="minorHAnsi"/>
          <w:sz w:val="24"/>
          <w:szCs w:val="24"/>
          <w:lang w:val="el-GR"/>
        </w:rPr>
        <w:t>αυτή</w:t>
      </w:r>
      <w:r w:rsidR="00F273C9" w:rsidRPr="00F273C9">
        <w:rPr>
          <w:rFonts w:cstheme="minorHAnsi"/>
          <w:sz w:val="24"/>
          <w:szCs w:val="24"/>
          <w:lang w:val="el-GR"/>
        </w:rPr>
        <w:t xml:space="preserve"> </w:t>
      </w:r>
      <w:r w:rsidR="00F273C9">
        <w:rPr>
          <w:rFonts w:cstheme="minorHAnsi"/>
          <w:sz w:val="24"/>
          <w:szCs w:val="24"/>
          <w:lang w:val="el-GR"/>
        </w:rPr>
        <w:t>της</w:t>
      </w:r>
      <w:r w:rsidR="00F273C9" w:rsidRPr="00F273C9">
        <w:rPr>
          <w:rFonts w:cstheme="minorHAnsi"/>
          <w:sz w:val="24"/>
          <w:szCs w:val="24"/>
          <w:lang w:val="el-GR"/>
        </w:rPr>
        <w:t xml:space="preserve"> </w:t>
      </w:r>
      <w:r w:rsidR="00F273C9">
        <w:rPr>
          <w:rFonts w:cstheme="minorHAnsi"/>
          <w:sz w:val="24"/>
          <w:szCs w:val="24"/>
          <w:lang w:val="el-GR"/>
        </w:rPr>
        <w:t xml:space="preserve">καθιέρωσης </w:t>
      </w:r>
      <w:r w:rsidR="00C2324D" w:rsidRPr="00F273C9">
        <w:rPr>
          <w:rFonts w:cstheme="minorHAnsi"/>
          <w:sz w:val="24"/>
          <w:szCs w:val="24"/>
          <w:lang w:val="el-GR"/>
        </w:rPr>
        <w:t>(</w:t>
      </w:r>
      <w:r w:rsidR="00F273C9">
        <w:rPr>
          <w:rFonts w:cstheme="minorHAnsi"/>
          <w:sz w:val="24"/>
          <w:szCs w:val="24"/>
          <w:lang w:val="el-GR"/>
        </w:rPr>
        <w:t>εσωτερικών και εξωτερικών</w:t>
      </w:r>
      <w:r w:rsidR="00C2324D" w:rsidRPr="00F273C9">
        <w:rPr>
          <w:rFonts w:cstheme="minorHAnsi"/>
          <w:sz w:val="24"/>
          <w:szCs w:val="24"/>
          <w:lang w:val="el-GR"/>
        </w:rPr>
        <w:t xml:space="preserve">) </w:t>
      </w:r>
      <w:r w:rsidR="00F273C9">
        <w:rPr>
          <w:rFonts w:cstheme="minorHAnsi"/>
          <w:sz w:val="24"/>
          <w:szCs w:val="24"/>
          <w:lang w:val="el-GR"/>
        </w:rPr>
        <w:t>καναλιών καταγγελίας και παραπόνων</w:t>
      </w:r>
      <w:r w:rsidR="00C2324D" w:rsidRPr="00F273C9">
        <w:rPr>
          <w:rFonts w:cstheme="minorHAnsi"/>
          <w:sz w:val="24"/>
          <w:szCs w:val="24"/>
          <w:lang w:val="el-GR"/>
        </w:rPr>
        <w:t xml:space="preserve">. </w:t>
      </w:r>
      <w:r w:rsidR="00355E62">
        <w:rPr>
          <w:rFonts w:cstheme="minorHAnsi"/>
          <w:sz w:val="24"/>
          <w:szCs w:val="24"/>
          <w:lang w:val="el-GR"/>
        </w:rPr>
        <w:t>Έχει συσταθεί</w:t>
      </w:r>
      <w:r w:rsidR="00355E62" w:rsidRPr="00F273C9">
        <w:rPr>
          <w:rFonts w:cstheme="minorHAnsi"/>
          <w:sz w:val="24"/>
          <w:szCs w:val="24"/>
          <w:lang w:val="el-GR"/>
        </w:rPr>
        <w:t xml:space="preserve"> </w:t>
      </w:r>
      <w:r w:rsidR="00355E62">
        <w:rPr>
          <w:rFonts w:cstheme="minorHAnsi"/>
          <w:sz w:val="24"/>
          <w:szCs w:val="24"/>
          <w:lang w:val="el-GR"/>
        </w:rPr>
        <w:t>μ</w:t>
      </w:r>
      <w:r w:rsidR="00F273C9">
        <w:rPr>
          <w:rFonts w:cstheme="minorHAnsi"/>
          <w:sz w:val="24"/>
          <w:szCs w:val="24"/>
          <w:lang w:val="el-GR"/>
        </w:rPr>
        <w:t>ια</w:t>
      </w:r>
      <w:r w:rsidR="00F273C9" w:rsidRPr="00F273C9">
        <w:rPr>
          <w:rFonts w:cstheme="minorHAnsi"/>
          <w:sz w:val="24"/>
          <w:szCs w:val="24"/>
          <w:lang w:val="el-GR"/>
        </w:rPr>
        <w:t xml:space="preserve"> </w:t>
      </w:r>
      <w:r w:rsidR="00F273C9">
        <w:rPr>
          <w:rFonts w:cstheme="minorHAnsi"/>
          <w:sz w:val="24"/>
          <w:szCs w:val="24"/>
          <w:lang w:val="el-GR"/>
        </w:rPr>
        <w:t>εμπιστευτική</w:t>
      </w:r>
      <w:r w:rsidR="00F273C9" w:rsidRPr="00F273C9">
        <w:rPr>
          <w:rFonts w:cstheme="minorHAnsi"/>
          <w:sz w:val="24"/>
          <w:szCs w:val="24"/>
          <w:lang w:val="el-GR"/>
        </w:rPr>
        <w:t xml:space="preserve"> </w:t>
      </w:r>
      <w:r w:rsidR="00F273C9">
        <w:rPr>
          <w:rFonts w:cstheme="minorHAnsi"/>
          <w:sz w:val="24"/>
          <w:szCs w:val="24"/>
          <w:lang w:val="el-GR"/>
        </w:rPr>
        <w:t>αποθήκη</w:t>
      </w:r>
      <w:r w:rsidR="00C2324D" w:rsidRPr="00F273C9">
        <w:rPr>
          <w:rFonts w:cstheme="minorHAnsi"/>
          <w:sz w:val="24"/>
          <w:szCs w:val="24"/>
          <w:lang w:val="el-GR"/>
        </w:rPr>
        <w:t xml:space="preserve"> </w:t>
      </w:r>
      <w:r w:rsidR="00F273C9">
        <w:rPr>
          <w:rFonts w:cstheme="minorHAnsi"/>
          <w:sz w:val="24"/>
          <w:szCs w:val="24"/>
          <w:lang w:val="el-GR"/>
        </w:rPr>
        <w:t>για</w:t>
      </w:r>
      <w:r w:rsidR="00F273C9" w:rsidRPr="00F273C9">
        <w:rPr>
          <w:rFonts w:cstheme="minorHAnsi"/>
          <w:sz w:val="24"/>
          <w:szCs w:val="24"/>
          <w:lang w:val="el-GR"/>
        </w:rPr>
        <w:t xml:space="preserve"> </w:t>
      </w:r>
      <w:r w:rsidR="00F273C9">
        <w:rPr>
          <w:rFonts w:cstheme="minorHAnsi"/>
          <w:sz w:val="24"/>
          <w:szCs w:val="24"/>
          <w:lang w:val="el-GR"/>
        </w:rPr>
        <w:t>την</w:t>
      </w:r>
      <w:r w:rsidR="00F273C9" w:rsidRPr="00F273C9">
        <w:rPr>
          <w:rFonts w:cstheme="minorHAnsi"/>
          <w:sz w:val="24"/>
          <w:szCs w:val="24"/>
          <w:lang w:val="el-GR"/>
        </w:rPr>
        <w:t xml:space="preserve"> </w:t>
      </w:r>
      <w:r w:rsidR="002E5EC0">
        <w:rPr>
          <w:rFonts w:cstheme="minorHAnsi"/>
          <w:sz w:val="24"/>
          <w:szCs w:val="24"/>
          <w:lang w:val="el-GR"/>
        </w:rPr>
        <w:t>διαχείριση</w:t>
      </w:r>
      <w:r w:rsidR="00F273C9" w:rsidRPr="00F273C9">
        <w:rPr>
          <w:rFonts w:cstheme="minorHAnsi"/>
          <w:sz w:val="24"/>
          <w:szCs w:val="24"/>
          <w:lang w:val="el-GR"/>
        </w:rPr>
        <w:t xml:space="preserve"> </w:t>
      </w:r>
      <w:r w:rsidR="00F273C9">
        <w:rPr>
          <w:rFonts w:cstheme="minorHAnsi"/>
          <w:sz w:val="24"/>
          <w:szCs w:val="24"/>
          <w:lang w:val="el-GR"/>
        </w:rPr>
        <w:t>των</w:t>
      </w:r>
      <w:r w:rsidR="00F273C9" w:rsidRPr="00F273C9">
        <w:rPr>
          <w:rFonts w:cstheme="minorHAnsi"/>
          <w:sz w:val="24"/>
          <w:szCs w:val="24"/>
          <w:lang w:val="el-GR"/>
        </w:rPr>
        <w:t xml:space="preserve"> </w:t>
      </w:r>
      <w:r w:rsidR="00F273C9">
        <w:rPr>
          <w:rFonts w:cstheme="minorHAnsi"/>
          <w:sz w:val="24"/>
          <w:szCs w:val="24"/>
          <w:lang w:val="el-GR"/>
        </w:rPr>
        <w:t>καταγγελιών</w:t>
      </w:r>
      <w:r w:rsidR="00C2324D" w:rsidRPr="00F273C9">
        <w:rPr>
          <w:rFonts w:cstheme="minorHAnsi"/>
          <w:sz w:val="24"/>
          <w:szCs w:val="24"/>
          <w:lang w:val="el-GR"/>
        </w:rPr>
        <w:t xml:space="preserve"> </w:t>
      </w:r>
      <w:r w:rsidR="00F273C9">
        <w:rPr>
          <w:rFonts w:cstheme="minorHAnsi"/>
          <w:sz w:val="24"/>
          <w:szCs w:val="24"/>
          <w:lang w:val="el-GR"/>
        </w:rPr>
        <w:t>και συντονίζεται και επεξεργάζεται περαιτέρω</w:t>
      </w:r>
      <w:r w:rsidR="00C2324D" w:rsidRPr="00F273C9">
        <w:rPr>
          <w:rFonts w:cstheme="minorHAnsi"/>
          <w:sz w:val="24"/>
          <w:szCs w:val="24"/>
          <w:lang w:val="el-GR"/>
        </w:rPr>
        <w:t xml:space="preserve">. </w:t>
      </w:r>
      <w:r w:rsidR="00F273C9">
        <w:rPr>
          <w:rFonts w:cstheme="minorHAnsi"/>
          <w:sz w:val="24"/>
          <w:szCs w:val="24"/>
          <w:lang w:val="el-GR"/>
        </w:rPr>
        <w:t>Η</w:t>
      </w:r>
      <w:r w:rsidR="00F273C9" w:rsidRPr="00F273C9">
        <w:rPr>
          <w:rFonts w:cstheme="minorHAnsi"/>
          <w:sz w:val="24"/>
          <w:szCs w:val="24"/>
          <w:lang w:val="el-GR"/>
        </w:rPr>
        <w:t xml:space="preserve"> </w:t>
      </w:r>
      <w:r w:rsidR="00F273C9">
        <w:rPr>
          <w:rFonts w:cstheme="minorHAnsi"/>
          <w:sz w:val="24"/>
          <w:szCs w:val="24"/>
          <w:lang w:val="el-GR"/>
        </w:rPr>
        <w:t>επικοινωνία</w:t>
      </w:r>
      <w:r w:rsidR="00F273C9" w:rsidRPr="00F273C9">
        <w:rPr>
          <w:rFonts w:cstheme="minorHAnsi"/>
          <w:sz w:val="24"/>
          <w:szCs w:val="24"/>
          <w:lang w:val="el-GR"/>
        </w:rPr>
        <w:t xml:space="preserve"> </w:t>
      </w:r>
      <w:r w:rsidR="00F273C9">
        <w:rPr>
          <w:rFonts w:cstheme="minorHAnsi"/>
          <w:sz w:val="24"/>
          <w:szCs w:val="24"/>
          <w:lang w:val="el-GR"/>
        </w:rPr>
        <w:t>είναι</w:t>
      </w:r>
      <w:r w:rsidR="00F273C9" w:rsidRPr="00F273C9">
        <w:rPr>
          <w:rFonts w:cstheme="minorHAnsi"/>
          <w:sz w:val="24"/>
          <w:szCs w:val="24"/>
          <w:lang w:val="el-GR"/>
        </w:rPr>
        <w:t xml:space="preserve"> </w:t>
      </w:r>
      <w:r w:rsidR="00F273C9">
        <w:rPr>
          <w:rFonts w:cstheme="minorHAnsi"/>
          <w:sz w:val="24"/>
          <w:szCs w:val="24"/>
          <w:lang w:val="el-GR"/>
        </w:rPr>
        <w:t>σε</w:t>
      </w:r>
      <w:r w:rsidR="00F273C9" w:rsidRPr="00F273C9">
        <w:rPr>
          <w:rFonts w:cstheme="minorHAnsi"/>
          <w:sz w:val="24"/>
          <w:szCs w:val="24"/>
          <w:lang w:val="el-GR"/>
        </w:rPr>
        <w:t xml:space="preserve"> </w:t>
      </w:r>
      <w:r w:rsidR="00F273C9">
        <w:rPr>
          <w:rFonts w:cstheme="minorHAnsi"/>
          <w:sz w:val="24"/>
          <w:szCs w:val="24"/>
          <w:lang w:val="el-GR"/>
        </w:rPr>
        <w:t>εξέλιξη</w:t>
      </w:r>
      <w:r w:rsidR="00F273C9" w:rsidRPr="00F273C9">
        <w:rPr>
          <w:rFonts w:cstheme="minorHAnsi"/>
          <w:sz w:val="24"/>
          <w:szCs w:val="24"/>
          <w:lang w:val="el-GR"/>
        </w:rPr>
        <w:t xml:space="preserve"> </w:t>
      </w:r>
      <w:r w:rsidR="00F273C9">
        <w:rPr>
          <w:rFonts w:cstheme="minorHAnsi"/>
          <w:sz w:val="24"/>
          <w:szCs w:val="24"/>
          <w:lang w:val="el-GR"/>
        </w:rPr>
        <w:t>με</w:t>
      </w:r>
      <w:r w:rsidR="00F273C9" w:rsidRPr="00F273C9">
        <w:rPr>
          <w:rFonts w:cstheme="minorHAnsi"/>
          <w:sz w:val="24"/>
          <w:szCs w:val="24"/>
          <w:lang w:val="el-GR"/>
        </w:rPr>
        <w:t xml:space="preserve"> </w:t>
      </w:r>
      <w:r w:rsidR="00F273C9">
        <w:rPr>
          <w:rFonts w:cstheme="minorHAnsi"/>
          <w:sz w:val="24"/>
          <w:szCs w:val="24"/>
          <w:lang w:val="el-GR"/>
        </w:rPr>
        <w:t>τον</w:t>
      </w:r>
      <w:r w:rsidR="00F273C9" w:rsidRPr="00F273C9">
        <w:rPr>
          <w:rFonts w:cstheme="minorHAnsi"/>
          <w:sz w:val="24"/>
          <w:szCs w:val="24"/>
          <w:lang w:val="el-GR"/>
        </w:rPr>
        <w:t xml:space="preserve"> </w:t>
      </w:r>
      <w:r w:rsidR="00F273C9">
        <w:rPr>
          <w:rFonts w:cstheme="minorHAnsi"/>
          <w:sz w:val="24"/>
          <w:szCs w:val="24"/>
          <w:lang w:val="el-GR"/>
        </w:rPr>
        <w:t>Επίτροπο</w:t>
      </w:r>
      <w:r w:rsidR="00F273C9" w:rsidRPr="00F273C9">
        <w:rPr>
          <w:rFonts w:cstheme="minorHAnsi"/>
          <w:sz w:val="24"/>
          <w:szCs w:val="24"/>
          <w:lang w:val="el-GR"/>
        </w:rPr>
        <w:t xml:space="preserve"> </w:t>
      </w:r>
      <w:r w:rsidR="00F273C9">
        <w:rPr>
          <w:rFonts w:cstheme="minorHAnsi"/>
          <w:sz w:val="24"/>
          <w:szCs w:val="24"/>
          <w:lang w:val="el-GR"/>
        </w:rPr>
        <w:t>Προστασίας</w:t>
      </w:r>
      <w:r w:rsidR="00F273C9" w:rsidRPr="00F273C9">
        <w:rPr>
          <w:rFonts w:cstheme="minorHAnsi"/>
          <w:sz w:val="24"/>
          <w:szCs w:val="24"/>
          <w:lang w:val="el-GR"/>
        </w:rPr>
        <w:t xml:space="preserve"> </w:t>
      </w:r>
      <w:r w:rsidR="00F273C9">
        <w:rPr>
          <w:rFonts w:cstheme="minorHAnsi"/>
          <w:sz w:val="24"/>
          <w:szCs w:val="24"/>
          <w:lang w:val="el-GR"/>
        </w:rPr>
        <w:t>Δεδομένων</w:t>
      </w:r>
      <w:r w:rsidR="00C2324D" w:rsidRPr="00F273C9">
        <w:rPr>
          <w:rFonts w:cstheme="minorHAnsi"/>
          <w:sz w:val="24"/>
          <w:szCs w:val="24"/>
          <w:lang w:val="el-GR"/>
        </w:rPr>
        <w:t xml:space="preserve"> </w:t>
      </w:r>
      <w:r w:rsidR="00F273C9">
        <w:rPr>
          <w:rFonts w:cstheme="minorHAnsi"/>
          <w:sz w:val="24"/>
          <w:szCs w:val="24"/>
          <w:lang w:val="el-GR"/>
        </w:rPr>
        <w:t xml:space="preserve">για να εξασφαλισθεί μια εναρμονισμένη προσέγγιση της </w:t>
      </w:r>
      <w:r w:rsidR="002E5EC0">
        <w:rPr>
          <w:rFonts w:cstheme="minorHAnsi"/>
          <w:sz w:val="24"/>
          <w:szCs w:val="24"/>
          <w:lang w:val="el-GR"/>
        </w:rPr>
        <w:t>διαχείρισης</w:t>
      </w:r>
      <w:r w:rsidR="00F273C9">
        <w:rPr>
          <w:rFonts w:cstheme="minorHAnsi"/>
          <w:sz w:val="24"/>
          <w:szCs w:val="24"/>
          <w:lang w:val="el-GR"/>
        </w:rPr>
        <w:t xml:space="preserve"> των δεδομένων</w:t>
      </w:r>
      <w:r w:rsidR="00C2324D" w:rsidRPr="00F273C9">
        <w:rPr>
          <w:rFonts w:cstheme="minorHAnsi"/>
          <w:sz w:val="24"/>
          <w:szCs w:val="24"/>
          <w:lang w:val="el-GR"/>
        </w:rPr>
        <w:t xml:space="preserve">. </w:t>
      </w:r>
      <w:r w:rsidR="00F273C9">
        <w:rPr>
          <w:rFonts w:cstheme="minorHAnsi"/>
          <w:sz w:val="24"/>
          <w:szCs w:val="24"/>
          <w:lang w:val="el-GR"/>
        </w:rPr>
        <w:t>Μέχρις</w:t>
      </w:r>
      <w:r w:rsidR="00F273C9" w:rsidRPr="005514F5">
        <w:rPr>
          <w:rFonts w:cstheme="minorHAnsi"/>
          <w:sz w:val="24"/>
          <w:szCs w:val="24"/>
          <w:lang w:val="el-GR"/>
        </w:rPr>
        <w:t xml:space="preserve"> </w:t>
      </w:r>
      <w:r w:rsidR="00F273C9">
        <w:rPr>
          <w:rFonts w:cstheme="minorHAnsi"/>
          <w:sz w:val="24"/>
          <w:szCs w:val="24"/>
          <w:lang w:val="el-GR"/>
        </w:rPr>
        <w:t>ότου</w:t>
      </w:r>
      <w:r w:rsidR="005514F5" w:rsidRPr="005514F5">
        <w:rPr>
          <w:rFonts w:cstheme="minorHAnsi"/>
          <w:sz w:val="24"/>
          <w:szCs w:val="24"/>
          <w:lang w:val="el-GR"/>
        </w:rPr>
        <w:t xml:space="preserve"> </w:t>
      </w:r>
      <w:r w:rsidR="005514F5">
        <w:rPr>
          <w:rFonts w:cstheme="minorHAnsi"/>
          <w:sz w:val="24"/>
          <w:szCs w:val="24"/>
          <w:lang w:val="el-GR"/>
        </w:rPr>
        <w:t>οι</w:t>
      </w:r>
      <w:r w:rsidR="005514F5" w:rsidRPr="005514F5">
        <w:rPr>
          <w:rFonts w:cstheme="minorHAnsi"/>
          <w:sz w:val="24"/>
          <w:szCs w:val="24"/>
          <w:lang w:val="el-GR"/>
        </w:rPr>
        <w:t xml:space="preserve"> </w:t>
      </w:r>
      <w:r w:rsidR="005514F5">
        <w:rPr>
          <w:rFonts w:cstheme="minorHAnsi"/>
          <w:sz w:val="24"/>
          <w:szCs w:val="24"/>
          <w:lang w:val="el-GR"/>
        </w:rPr>
        <w:t>σχετικές</w:t>
      </w:r>
      <w:r w:rsidR="005514F5" w:rsidRPr="005514F5">
        <w:rPr>
          <w:rFonts w:cstheme="minorHAnsi"/>
          <w:sz w:val="24"/>
          <w:szCs w:val="24"/>
          <w:lang w:val="el-GR"/>
        </w:rPr>
        <w:t xml:space="preserve"> </w:t>
      </w:r>
      <w:r w:rsidR="005514F5">
        <w:rPr>
          <w:rFonts w:cstheme="minorHAnsi"/>
          <w:sz w:val="24"/>
          <w:szCs w:val="24"/>
          <w:lang w:val="el-GR"/>
        </w:rPr>
        <w:t>διαδικασίες</w:t>
      </w:r>
      <w:r w:rsidR="005514F5" w:rsidRPr="005514F5">
        <w:rPr>
          <w:rFonts w:cstheme="minorHAnsi"/>
          <w:sz w:val="24"/>
          <w:szCs w:val="24"/>
          <w:lang w:val="el-GR"/>
        </w:rPr>
        <w:t xml:space="preserve"> </w:t>
      </w:r>
      <w:r w:rsidR="005514F5">
        <w:rPr>
          <w:rFonts w:cstheme="minorHAnsi"/>
          <w:sz w:val="24"/>
          <w:szCs w:val="24"/>
          <w:lang w:val="el-GR"/>
        </w:rPr>
        <w:t>βρίσκονται</w:t>
      </w:r>
      <w:r w:rsidR="005514F5" w:rsidRPr="005514F5">
        <w:rPr>
          <w:rFonts w:cstheme="minorHAnsi"/>
          <w:sz w:val="24"/>
          <w:szCs w:val="24"/>
          <w:lang w:val="el-GR"/>
        </w:rPr>
        <w:t xml:space="preserve"> </w:t>
      </w:r>
      <w:r w:rsidR="005514F5">
        <w:rPr>
          <w:rFonts w:cstheme="minorHAnsi"/>
          <w:sz w:val="24"/>
          <w:szCs w:val="24"/>
          <w:lang w:val="el-GR"/>
        </w:rPr>
        <w:t>εξ</w:t>
      </w:r>
      <w:r w:rsidR="005514F5" w:rsidRPr="005514F5">
        <w:rPr>
          <w:rFonts w:cstheme="minorHAnsi"/>
          <w:sz w:val="24"/>
          <w:szCs w:val="24"/>
          <w:lang w:val="el-GR"/>
        </w:rPr>
        <w:t xml:space="preserve"> </w:t>
      </w:r>
      <w:r w:rsidR="005514F5">
        <w:rPr>
          <w:rFonts w:cstheme="minorHAnsi"/>
          <w:sz w:val="24"/>
          <w:szCs w:val="24"/>
          <w:lang w:val="el-GR"/>
        </w:rPr>
        <w:t>ολοκλήρου</w:t>
      </w:r>
      <w:r w:rsidR="005514F5" w:rsidRPr="005514F5">
        <w:rPr>
          <w:rFonts w:cstheme="minorHAnsi"/>
          <w:sz w:val="24"/>
          <w:szCs w:val="24"/>
          <w:lang w:val="el-GR"/>
        </w:rPr>
        <w:t xml:space="preserve"> </w:t>
      </w:r>
      <w:r w:rsidR="005514F5">
        <w:rPr>
          <w:rFonts w:cstheme="minorHAnsi"/>
          <w:sz w:val="24"/>
          <w:szCs w:val="24"/>
          <w:lang w:val="el-GR"/>
        </w:rPr>
        <w:t>στην</w:t>
      </w:r>
      <w:r w:rsidR="005514F5" w:rsidRPr="005514F5">
        <w:rPr>
          <w:rFonts w:cstheme="minorHAnsi"/>
          <w:sz w:val="24"/>
          <w:szCs w:val="24"/>
          <w:lang w:val="el-GR"/>
        </w:rPr>
        <w:t xml:space="preserve"> </w:t>
      </w:r>
      <w:r w:rsidR="005514F5">
        <w:rPr>
          <w:rFonts w:cstheme="minorHAnsi"/>
          <w:sz w:val="24"/>
          <w:szCs w:val="24"/>
          <w:lang w:val="el-GR"/>
        </w:rPr>
        <w:t>θέση</w:t>
      </w:r>
      <w:r w:rsidR="005514F5" w:rsidRPr="005514F5">
        <w:rPr>
          <w:rFonts w:cstheme="minorHAnsi"/>
          <w:sz w:val="24"/>
          <w:szCs w:val="24"/>
          <w:lang w:val="el-GR"/>
        </w:rPr>
        <w:t xml:space="preserve"> </w:t>
      </w:r>
      <w:r w:rsidR="005514F5">
        <w:rPr>
          <w:rFonts w:cstheme="minorHAnsi"/>
          <w:sz w:val="24"/>
          <w:szCs w:val="24"/>
          <w:lang w:val="el-GR"/>
        </w:rPr>
        <w:t>τους</w:t>
      </w:r>
      <w:r w:rsidR="00C2324D" w:rsidRPr="005514F5">
        <w:rPr>
          <w:rFonts w:cstheme="minorHAnsi"/>
          <w:sz w:val="24"/>
          <w:szCs w:val="24"/>
          <w:lang w:val="el-GR"/>
        </w:rPr>
        <w:t xml:space="preserve">, </w:t>
      </w:r>
      <w:r w:rsidR="005514F5">
        <w:rPr>
          <w:rFonts w:cstheme="minorHAnsi"/>
          <w:sz w:val="24"/>
          <w:szCs w:val="24"/>
          <w:lang w:val="el-GR"/>
        </w:rPr>
        <w:t>η</w:t>
      </w:r>
      <w:r w:rsidR="005514F5" w:rsidRPr="005514F5">
        <w:rPr>
          <w:rFonts w:cstheme="minorHAnsi"/>
          <w:sz w:val="24"/>
          <w:szCs w:val="24"/>
          <w:lang w:val="el-GR"/>
        </w:rPr>
        <w:t xml:space="preserve"> </w:t>
      </w:r>
      <w:r w:rsidR="00C2324D" w:rsidRPr="004E251E">
        <w:rPr>
          <w:rFonts w:cstheme="minorHAnsi"/>
          <w:sz w:val="24"/>
          <w:szCs w:val="24"/>
        </w:rPr>
        <w:t>PSID</w:t>
      </w:r>
      <w:r w:rsidR="00C2324D" w:rsidRPr="005514F5">
        <w:rPr>
          <w:rFonts w:cstheme="minorHAnsi"/>
          <w:sz w:val="24"/>
          <w:szCs w:val="24"/>
          <w:lang w:val="el-GR"/>
        </w:rPr>
        <w:t xml:space="preserve"> </w:t>
      </w:r>
      <w:r w:rsidR="005514F5">
        <w:rPr>
          <w:rFonts w:cstheme="minorHAnsi"/>
          <w:sz w:val="24"/>
          <w:szCs w:val="24"/>
          <w:lang w:val="el-GR"/>
        </w:rPr>
        <w:t>ενεργεί</w:t>
      </w:r>
      <w:r w:rsidR="005514F5" w:rsidRPr="005514F5">
        <w:rPr>
          <w:rFonts w:cstheme="minorHAnsi"/>
          <w:sz w:val="24"/>
          <w:szCs w:val="24"/>
          <w:lang w:val="el-GR"/>
        </w:rPr>
        <w:t xml:space="preserve"> </w:t>
      </w:r>
      <w:r w:rsidR="005514F5">
        <w:rPr>
          <w:rFonts w:cstheme="minorHAnsi"/>
          <w:sz w:val="24"/>
          <w:szCs w:val="24"/>
          <w:lang w:val="el-GR"/>
        </w:rPr>
        <w:t>ως</w:t>
      </w:r>
      <w:r w:rsidR="00C2324D" w:rsidRPr="005514F5">
        <w:rPr>
          <w:rFonts w:cstheme="minorHAnsi"/>
          <w:sz w:val="24"/>
          <w:szCs w:val="24"/>
          <w:lang w:val="el-GR"/>
        </w:rPr>
        <w:t xml:space="preserve"> </w:t>
      </w:r>
      <w:r w:rsidR="005514F5">
        <w:rPr>
          <w:rFonts w:cstheme="minorHAnsi"/>
          <w:sz w:val="24"/>
          <w:szCs w:val="24"/>
          <w:lang w:val="el-GR"/>
        </w:rPr>
        <w:t>την</w:t>
      </w:r>
      <w:r w:rsidR="005514F5" w:rsidRPr="005514F5">
        <w:rPr>
          <w:rFonts w:cstheme="minorHAnsi"/>
          <w:sz w:val="24"/>
          <w:szCs w:val="24"/>
          <w:lang w:val="el-GR"/>
        </w:rPr>
        <w:t xml:space="preserve"> </w:t>
      </w:r>
      <w:r w:rsidR="005514F5">
        <w:rPr>
          <w:rFonts w:cstheme="minorHAnsi"/>
          <w:sz w:val="24"/>
          <w:szCs w:val="24"/>
          <w:lang w:val="el-GR"/>
        </w:rPr>
        <w:t>παραλήπτρια</w:t>
      </w:r>
      <w:r w:rsidR="005514F5" w:rsidRPr="005514F5">
        <w:rPr>
          <w:rFonts w:cstheme="minorHAnsi"/>
          <w:sz w:val="24"/>
          <w:szCs w:val="24"/>
          <w:lang w:val="el-GR"/>
        </w:rPr>
        <w:t xml:space="preserve"> </w:t>
      </w:r>
      <w:r w:rsidR="005514F5">
        <w:rPr>
          <w:rFonts w:cstheme="minorHAnsi"/>
          <w:sz w:val="24"/>
          <w:szCs w:val="24"/>
          <w:lang w:val="el-GR"/>
        </w:rPr>
        <w:t>οποιωνδήποτε παραπόνων/καταγγελιών από πληροφοριοδότες</w:t>
      </w:r>
      <w:r w:rsidR="00C2324D" w:rsidRPr="005514F5">
        <w:rPr>
          <w:rFonts w:cstheme="minorHAnsi"/>
          <w:sz w:val="24"/>
          <w:szCs w:val="24"/>
          <w:lang w:val="el-GR"/>
        </w:rPr>
        <w:t xml:space="preserve"> </w:t>
      </w:r>
      <w:r w:rsidR="005514F5">
        <w:rPr>
          <w:rFonts w:cstheme="minorHAnsi"/>
          <w:sz w:val="24"/>
          <w:szCs w:val="24"/>
          <w:lang w:val="el-GR"/>
        </w:rPr>
        <w:t xml:space="preserve">που αφορούν την </w:t>
      </w:r>
      <w:r w:rsidR="009C4E34">
        <w:rPr>
          <w:rFonts w:cstheme="minorHAnsi"/>
          <w:sz w:val="24"/>
          <w:szCs w:val="24"/>
          <w:lang w:val="el-GR"/>
        </w:rPr>
        <w:t>Αστυνομία</w:t>
      </w:r>
      <w:r w:rsidR="00C2324D" w:rsidRPr="005514F5">
        <w:rPr>
          <w:rFonts w:cstheme="minorHAnsi"/>
          <w:sz w:val="24"/>
          <w:szCs w:val="24"/>
          <w:lang w:val="el-GR"/>
        </w:rPr>
        <w:t xml:space="preserve">, </w:t>
      </w:r>
      <w:r w:rsidR="005514F5">
        <w:rPr>
          <w:rFonts w:cstheme="minorHAnsi"/>
          <w:sz w:val="24"/>
          <w:szCs w:val="24"/>
          <w:lang w:val="el-GR"/>
        </w:rPr>
        <w:t xml:space="preserve">είτε ο πληροφοριοδότης είναι μέλος της </w:t>
      </w:r>
      <w:r w:rsidR="009C4E34">
        <w:rPr>
          <w:rFonts w:cstheme="minorHAnsi"/>
          <w:sz w:val="24"/>
          <w:szCs w:val="24"/>
          <w:lang w:val="el-GR"/>
        </w:rPr>
        <w:t>Αστυνομία</w:t>
      </w:r>
      <w:r w:rsidR="005514F5">
        <w:rPr>
          <w:rFonts w:cstheme="minorHAnsi"/>
          <w:sz w:val="24"/>
          <w:szCs w:val="24"/>
          <w:lang w:val="el-GR"/>
        </w:rPr>
        <w:t>ς ή οποιοδήποτε άλλο άτομο</w:t>
      </w:r>
      <w:r w:rsidR="00C2324D" w:rsidRPr="005514F5">
        <w:rPr>
          <w:rFonts w:cstheme="minorHAnsi"/>
          <w:sz w:val="24"/>
          <w:szCs w:val="24"/>
          <w:lang w:val="el-GR"/>
        </w:rPr>
        <w:t xml:space="preserve">.  </w:t>
      </w:r>
    </w:p>
    <w:p w14:paraId="5EE035A9" w14:textId="77777777" w:rsidR="00C2324D" w:rsidRPr="005514F5" w:rsidRDefault="00C2324D" w:rsidP="00C2324D">
      <w:pPr>
        <w:keepNext/>
        <w:tabs>
          <w:tab w:val="left" w:pos="709"/>
        </w:tabs>
        <w:rPr>
          <w:rFonts w:cstheme="minorHAnsi"/>
          <w:sz w:val="24"/>
          <w:szCs w:val="24"/>
          <w:lang w:val="el-GR"/>
        </w:rPr>
      </w:pPr>
    </w:p>
    <w:p w14:paraId="3B6ADA67" w14:textId="4D486499" w:rsidR="00C2324D" w:rsidRPr="00FE2A37" w:rsidRDefault="0038719B" w:rsidP="00A859DE">
      <w:pPr>
        <w:keepNext/>
        <w:numPr>
          <w:ilvl w:val="0"/>
          <w:numId w:val="1"/>
        </w:numPr>
        <w:tabs>
          <w:tab w:val="left" w:pos="709"/>
        </w:tabs>
        <w:ind w:left="0" w:firstLine="0"/>
        <w:rPr>
          <w:rFonts w:cstheme="minorHAnsi"/>
          <w:sz w:val="24"/>
          <w:szCs w:val="24"/>
          <w:lang w:val="el-GR"/>
        </w:rPr>
      </w:pPr>
      <w:r>
        <w:rPr>
          <w:rFonts w:cstheme="minorHAnsi"/>
          <w:sz w:val="24"/>
          <w:szCs w:val="24"/>
          <w:lang w:val="el-GR"/>
        </w:rPr>
        <w:t>Όλα</w:t>
      </w:r>
      <w:r w:rsidRPr="0038719B">
        <w:rPr>
          <w:rFonts w:cstheme="minorHAnsi"/>
          <w:sz w:val="24"/>
          <w:szCs w:val="24"/>
          <w:lang w:val="el-GR"/>
        </w:rPr>
        <w:t xml:space="preserve"> </w:t>
      </w:r>
      <w:r>
        <w:rPr>
          <w:rFonts w:cstheme="minorHAnsi"/>
          <w:sz w:val="24"/>
          <w:szCs w:val="24"/>
          <w:lang w:val="el-GR"/>
        </w:rPr>
        <w:t>τα</w:t>
      </w:r>
      <w:r w:rsidRPr="0038719B">
        <w:rPr>
          <w:rFonts w:cstheme="minorHAnsi"/>
          <w:sz w:val="24"/>
          <w:szCs w:val="24"/>
          <w:lang w:val="el-GR"/>
        </w:rPr>
        <w:t xml:space="preserve"> </w:t>
      </w:r>
      <w:r>
        <w:rPr>
          <w:rFonts w:cstheme="minorHAnsi"/>
          <w:sz w:val="24"/>
          <w:szCs w:val="24"/>
          <w:lang w:val="el-GR"/>
        </w:rPr>
        <w:t>προαναφερόμενα</w:t>
      </w:r>
      <w:r w:rsidRPr="0038719B">
        <w:rPr>
          <w:rFonts w:cstheme="minorHAnsi"/>
          <w:sz w:val="24"/>
          <w:szCs w:val="24"/>
          <w:lang w:val="el-GR"/>
        </w:rPr>
        <w:t xml:space="preserve"> </w:t>
      </w:r>
      <w:r>
        <w:rPr>
          <w:rFonts w:cstheme="minorHAnsi"/>
          <w:sz w:val="24"/>
          <w:szCs w:val="24"/>
          <w:lang w:val="el-GR"/>
        </w:rPr>
        <w:t>εν</w:t>
      </w:r>
      <w:r w:rsidRPr="0038719B">
        <w:rPr>
          <w:rFonts w:cstheme="minorHAnsi"/>
          <w:sz w:val="24"/>
          <w:szCs w:val="24"/>
          <w:lang w:val="el-GR"/>
        </w:rPr>
        <w:t xml:space="preserve"> </w:t>
      </w:r>
      <w:r>
        <w:rPr>
          <w:rFonts w:cstheme="minorHAnsi"/>
          <w:sz w:val="24"/>
          <w:szCs w:val="24"/>
          <w:lang w:val="el-GR"/>
        </w:rPr>
        <w:t>εξελίξει</w:t>
      </w:r>
      <w:r w:rsidRPr="0038719B">
        <w:rPr>
          <w:rFonts w:cstheme="minorHAnsi"/>
          <w:sz w:val="24"/>
          <w:szCs w:val="24"/>
          <w:lang w:val="el-GR"/>
        </w:rPr>
        <w:t xml:space="preserve"> </w:t>
      </w:r>
      <w:r>
        <w:rPr>
          <w:rFonts w:cstheme="minorHAnsi"/>
          <w:sz w:val="24"/>
          <w:szCs w:val="24"/>
          <w:lang w:val="el-GR"/>
        </w:rPr>
        <w:t>μέτρα</w:t>
      </w:r>
      <w:r w:rsidRPr="0038719B">
        <w:rPr>
          <w:rFonts w:cstheme="minorHAnsi"/>
          <w:sz w:val="24"/>
          <w:szCs w:val="24"/>
          <w:lang w:val="el-GR"/>
        </w:rPr>
        <w:t xml:space="preserve"> </w:t>
      </w:r>
      <w:r>
        <w:rPr>
          <w:rFonts w:cstheme="minorHAnsi"/>
          <w:sz w:val="24"/>
          <w:szCs w:val="24"/>
          <w:lang w:val="el-GR"/>
        </w:rPr>
        <w:t>υλοποίησης</w:t>
      </w:r>
      <w:r w:rsidR="00C2324D" w:rsidRPr="0038719B">
        <w:rPr>
          <w:rFonts w:cstheme="minorHAnsi"/>
          <w:sz w:val="24"/>
          <w:szCs w:val="24"/>
          <w:lang w:val="el-GR"/>
        </w:rPr>
        <w:t xml:space="preserve"> </w:t>
      </w:r>
      <w:r>
        <w:rPr>
          <w:rFonts w:cstheme="minorHAnsi"/>
          <w:sz w:val="24"/>
          <w:szCs w:val="24"/>
          <w:lang w:val="el-GR"/>
        </w:rPr>
        <w:t>για στήριξη των πληροφοριοδοτών</w:t>
      </w:r>
      <w:r w:rsidR="00C2324D" w:rsidRPr="0038719B">
        <w:rPr>
          <w:rFonts w:cstheme="minorHAnsi"/>
          <w:sz w:val="24"/>
          <w:szCs w:val="24"/>
          <w:lang w:val="el-GR"/>
        </w:rPr>
        <w:t xml:space="preserve"> </w:t>
      </w:r>
      <w:r>
        <w:rPr>
          <w:rFonts w:cstheme="minorHAnsi"/>
          <w:sz w:val="24"/>
          <w:szCs w:val="24"/>
          <w:lang w:val="el-GR"/>
        </w:rPr>
        <w:t>πορεύονται προς την σωστή κατεύθυνση</w:t>
      </w:r>
      <w:r w:rsidR="00C2324D" w:rsidRPr="0038719B">
        <w:rPr>
          <w:rFonts w:cstheme="minorHAnsi"/>
          <w:sz w:val="24"/>
          <w:szCs w:val="24"/>
          <w:lang w:val="el-GR"/>
        </w:rPr>
        <w:t xml:space="preserve">. </w:t>
      </w:r>
      <w:r>
        <w:rPr>
          <w:rFonts w:cstheme="minorHAnsi"/>
          <w:sz w:val="24"/>
          <w:szCs w:val="24"/>
          <w:lang w:val="el-GR"/>
        </w:rPr>
        <w:t>Η</w:t>
      </w:r>
      <w:r w:rsidR="00A859DE" w:rsidRPr="004D4398">
        <w:rPr>
          <w:rFonts w:cstheme="minorHAnsi"/>
          <w:sz w:val="24"/>
          <w:szCs w:val="24"/>
          <w:lang w:val="el-GR"/>
        </w:rPr>
        <w:t xml:space="preserve"> </w:t>
      </w:r>
      <w:r w:rsidR="00A859DE" w:rsidRPr="004E251E">
        <w:rPr>
          <w:rFonts w:cstheme="minorHAnsi"/>
          <w:sz w:val="24"/>
          <w:szCs w:val="24"/>
        </w:rPr>
        <w:t>GET</w:t>
      </w:r>
      <w:r w:rsidR="00C2324D" w:rsidRPr="004D4398">
        <w:rPr>
          <w:rFonts w:cstheme="minorHAnsi"/>
          <w:sz w:val="24"/>
          <w:szCs w:val="24"/>
          <w:lang w:val="el-GR"/>
        </w:rPr>
        <w:t xml:space="preserve"> </w:t>
      </w:r>
      <w:r>
        <w:rPr>
          <w:rFonts w:cstheme="minorHAnsi"/>
          <w:sz w:val="24"/>
          <w:szCs w:val="24"/>
          <w:lang w:val="el-GR"/>
        </w:rPr>
        <w:t>αναδεικνύει</w:t>
      </w:r>
      <w:r w:rsidRPr="004D4398">
        <w:rPr>
          <w:rFonts w:cstheme="minorHAnsi"/>
          <w:sz w:val="24"/>
          <w:szCs w:val="24"/>
          <w:lang w:val="el-GR"/>
        </w:rPr>
        <w:t xml:space="preserve"> </w:t>
      </w:r>
      <w:r>
        <w:rPr>
          <w:rFonts w:cstheme="minorHAnsi"/>
          <w:sz w:val="24"/>
          <w:szCs w:val="24"/>
          <w:lang w:val="el-GR"/>
        </w:rPr>
        <w:t>την</w:t>
      </w:r>
      <w:r w:rsidRPr="004D4398">
        <w:rPr>
          <w:rFonts w:cstheme="minorHAnsi"/>
          <w:sz w:val="24"/>
          <w:szCs w:val="24"/>
          <w:lang w:val="el-GR"/>
        </w:rPr>
        <w:t xml:space="preserve"> </w:t>
      </w:r>
      <w:r>
        <w:rPr>
          <w:rFonts w:cstheme="minorHAnsi"/>
          <w:sz w:val="24"/>
          <w:szCs w:val="24"/>
          <w:lang w:val="el-GR"/>
        </w:rPr>
        <w:t>σημασία</w:t>
      </w:r>
      <w:r w:rsidRPr="004D4398">
        <w:rPr>
          <w:rFonts w:cstheme="minorHAnsi"/>
          <w:sz w:val="24"/>
          <w:szCs w:val="24"/>
          <w:lang w:val="el-GR"/>
        </w:rPr>
        <w:t xml:space="preserve"> </w:t>
      </w:r>
      <w:r>
        <w:rPr>
          <w:rFonts w:cstheme="minorHAnsi"/>
          <w:sz w:val="24"/>
          <w:szCs w:val="24"/>
          <w:lang w:val="el-GR"/>
        </w:rPr>
        <w:t>της</w:t>
      </w:r>
      <w:r w:rsidRPr="004D4398">
        <w:rPr>
          <w:rFonts w:cstheme="minorHAnsi"/>
          <w:sz w:val="24"/>
          <w:szCs w:val="24"/>
          <w:lang w:val="el-GR"/>
        </w:rPr>
        <w:t xml:space="preserve"> </w:t>
      </w:r>
      <w:r>
        <w:rPr>
          <w:rFonts w:cstheme="minorHAnsi"/>
          <w:sz w:val="24"/>
          <w:szCs w:val="24"/>
          <w:lang w:val="el-GR"/>
        </w:rPr>
        <w:t>αποτελεσματικής</w:t>
      </w:r>
      <w:r w:rsidRPr="004D4398">
        <w:rPr>
          <w:rFonts w:cstheme="minorHAnsi"/>
          <w:sz w:val="24"/>
          <w:szCs w:val="24"/>
          <w:lang w:val="el-GR"/>
        </w:rPr>
        <w:t xml:space="preserve"> </w:t>
      </w:r>
      <w:r>
        <w:rPr>
          <w:rFonts w:cstheme="minorHAnsi"/>
          <w:sz w:val="24"/>
          <w:szCs w:val="24"/>
          <w:lang w:val="el-GR"/>
        </w:rPr>
        <w:t>ολοκλήρωσης</w:t>
      </w:r>
      <w:r w:rsidRPr="004D4398">
        <w:rPr>
          <w:rFonts w:cstheme="minorHAnsi"/>
          <w:sz w:val="24"/>
          <w:szCs w:val="24"/>
          <w:lang w:val="el-GR"/>
        </w:rPr>
        <w:t xml:space="preserve"> </w:t>
      </w:r>
      <w:r>
        <w:rPr>
          <w:rFonts w:cstheme="minorHAnsi"/>
          <w:sz w:val="24"/>
          <w:szCs w:val="24"/>
          <w:lang w:val="el-GR"/>
        </w:rPr>
        <w:t>τους</w:t>
      </w:r>
      <w:r w:rsidR="00C2324D" w:rsidRPr="004D4398">
        <w:rPr>
          <w:rFonts w:cstheme="minorHAnsi"/>
          <w:sz w:val="24"/>
          <w:szCs w:val="24"/>
          <w:lang w:val="el-GR"/>
        </w:rPr>
        <w:t xml:space="preserve">. </w:t>
      </w:r>
      <w:r>
        <w:rPr>
          <w:rFonts w:cstheme="minorHAnsi"/>
          <w:sz w:val="24"/>
          <w:szCs w:val="24"/>
          <w:lang w:val="el-GR"/>
        </w:rPr>
        <w:t>Τόσο</w:t>
      </w:r>
      <w:r w:rsidRPr="0038719B">
        <w:rPr>
          <w:rFonts w:cstheme="minorHAnsi"/>
          <w:sz w:val="24"/>
          <w:szCs w:val="24"/>
          <w:lang w:val="el-GR"/>
        </w:rPr>
        <w:t xml:space="preserve"> </w:t>
      </w:r>
      <w:r>
        <w:rPr>
          <w:rFonts w:cstheme="minorHAnsi"/>
          <w:sz w:val="24"/>
          <w:szCs w:val="24"/>
          <w:lang w:val="el-GR"/>
        </w:rPr>
        <w:t>περισσότερο</w:t>
      </w:r>
      <w:r w:rsidR="00C2324D" w:rsidRPr="0038719B">
        <w:rPr>
          <w:rFonts w:cstheme="minorHAnsi"/>
          <w:sz w:val="24"/>
          <w:szCs w:val="24"/>
          <w:lang w:val="el-GR"/>
        </w:rPr>
        <w:t xml:space="preserve">, </w:t>
      </w:r>
      <w:r>
        <w:rPr>
          <w:rFonts w:cstheme="minorHAnsi"/>
          <w:sz w:val="24"/>
          <w:szCs w:val="24"/>
          <w:lang w:val="el-GR"/>
        </w:rPr>
        <w:t>δεδομένου</w:t>
      </w:r>
      <w:r w:rsidRPr="0038719B">
        <w:rPr>
          <w:rFonts w:cstheme="minorHAnsi"/>
          <w:sz w:val="24"/>
          <w:szCs w:val="24"/>
          <w:lang w:val="el-GR"/>
        </w:rPr>
        <w:t xml:space="preserve"> </w:t>
      </w:r>
      <w:r>
        <w:rPr>
          <w:rFonts w:cstheme="minorHAnsi"/>
          <w:sz w:val="24"/>
          <w:szCs w:val="24"/>
          <w:lang w:val="el-GR"/>
        </w:rPr>
        <w:t>της</w:t>
      </w:r>
      <w:r w:rsidRPr="0038719B">
        <w:rPr>
          <w:rFonts w:cstheme="minorHAnsi"/>
          <w:sz w:val="24"/>
          <w:szCs w:val="24"/>
          <w:lang w:val="el-GR"/>
        </w:rPr>
        <w:t xml:space="preserve"> </w:t>
      </w:r>
      <w:r>
        <w:rPr>
          <w:rFonts w:cstheme="minorHAnsi"/>
          <w:sz w:val="24"/>
          <w:szCs w:val="24"/>
          <w:lang w:val="el-GR"/>
        </w:rPr>
        <w:t>απροθυμίας</w:t>
      </w:r>
      <w:r w:rsidRPr="0038719B">
        <w:rPr>
          <w:rFonts w:cstheme="minorHAnsi"/>
          <w:sz w:val="24"/>
          <w:szCs w:val="24"/>
          <w:lang w:val="el-GR"/>
        </w:rPr>
        <w:t xml:space="preserve"> </w:t>
      </w:r>
      <w:r>
        <w:rPr>
          <w:rFonts w:cstheme="minorHAnsi"/>
          <w:sz w:val="24"/>
          <w:szCs w:val="24"/>
          <w:lang w:val="el-GR"/>
        </w:rPr>
        <w:t>των</w:t>
      </w:r>
      <w:r w:rsidRPr="0038719B">
        <w:rPr>
          <w:rFonts w:cstheme="minorHAnsi"/>
          <w:sz w:val="24"/>
          <w:szCs w:val="24"/>
          <w:lang w:val="el-GR"/>
        </w:rPr>
        <w:t xml:space="preserve"> </w:t>
      </w:r>
      <w:r>
        <w:rPr>
          <w:rFonts w:cstheme="minorHAnsi"/>
          <w:sz w:val="24"/>
          <w:szCs w:val="24"/>
          <w:lang w:val="el-GR"/>
        </w:rPr>
        <w:t>αστυνομικών</w:t>
      </w:r>
      <w:r w:rsidR="00C2324D" w:rsidRPr="0038719B">
        <w:rPr>
          <w:rFonts w:cstheme="minorHAnsi"/>
          <w:sz w:val="24"/>
          <w:szCs w:val="24"/>
          <w:lang w:val="el-GR"/>
        </w:rPr>
        <w:t xml:space="preserve"> </w:t>
      </w:r>
      <w:r>
        <w:rPr>
          <w:rFonts w:cstheme="minorHAnsi"/>
          <w:sz w:val="24"/>
          <w:szCs w:val="24"/>
          <w:lang w:val="el-GR"/>
        </w:rPr>
        <w:t>να</w:t>
      </w:r>
      <w:r w:rsidRPr="0038719B">
        <w:rPr>
          <w:rFonts w:cstheme="minorHAnsi"/>
          <w:sz w:val="24"/>
          <w:szCs w:val="24"/>
          <w:lang w:val="el-GR"/>
        </w:rPr>
        <w:t xml:space="preserve"> </w:t>
      </w:r>
      <w:r>
        <w:rPr>
          <w:rFonts w:cstheme="minorHAnsi"/>
          <w:sz w:val="24"/>
          <w:szCs w:val="24"/>
          <w:lang w:val="el-GR"/>
        </w:rPr>
        <w:t>μιλήσουν</w:t>
      </w:r>
      <w:r w:rsidRPr="0038719B">
        <w:rPr>
          <w:rFonts w:cstheme="minorHAnsi"/>
          <w:sz w:val="24"/>
          <w:szCs w:val="24"/>
          <w:lang w:val="el-GR"/>
        </w:rPr>
        <w:t xml:space="preserve"> </w:t>
      </w:r>
      <w:r>
        <w:rPr>
          <w:rFonts w:cstheme="minorHAnsi"/>
          <w:sz w:val="24"/>
          <w:szCs w:val="24"/>
          <w:lang w:val="el-GR"/>
        </w:rPr>
        <w:t>ανοικτά</w:t>
      </w:r>
      <w:r w:rsidRPr="0038719B">
        <w:rPr>
          <w:rFonts w:cstheme="minorHAnsi"/>
          <w:sz w:val="24"/>
          <w:szCs w:val="24"/>
          <w:lang w:val="el-GR"/>
        </w:rPr>
        <w:t xml:space="preserve"> </w:t>
      </w:r>
      <w:r>
        <w:rPr>
          <w:rFonts w:cstheme="minorHAnsi"/>
          <w:sz w:val="24"/>
          <w:szCs w:val="24"/>
          <w:lang w:val="el-GR"/>
        </w:rPr>
        <w:t>και</w:t>
      </w:r>
      <w:r w:rsidRPr="0038719B">
        <w:rPr>
          <w:rFonts w:cstheme="minorHAnsi"/>
          <w:sz w:val="24"/>
          <w:szCs w:val="24"/>
          <w:lang w:val="el-GR"/>
        </w:rPr>
        <w:t xml:space="preserve"> </w:t>
      </w:r>
      <w:r>
        <w:rPr>
          <w:rFonts w:cstheme="minorHAnsi"/>
          <w:sz w:val="24"/>
          <w:szCs w:val="24"/>
          <w:lang w:val="el-GR"/>
        </w:rPr>
        <w:t>να</w:t>
      </w:r>
      <w:r w:rsidRPr="0038719B">
        <w:rPr>
          <w:rFonts w:cstheme="minorHAnsi"/>
          <w:sz w:val="24"/>
          <w:szCs w:val="24"/>
          <w:lang w:val="el-GR"/>
        </w:rPr>
        <w:t xml:space="preserve"> </w:t>
      </w:r>
      <w:r>
        <w:rPr>
          <w:rFonts w:cstheme="minorHAnsi"/>
          <w:sz w:val="24"/>
          <w:szCs w:val="24"/>
          <w:lang w:val="el-GR"/>
        </w:rPr>
        <w:t>παραπονεθούν</w:t>
      </w:r>
      <w:r w:rsidRPr="0038719B">
        <w:rPr>
          <w:rFonts w:cstheme="minorHAnsi"/>
          <w:sz w:val="24"/>
          <w:szCs w:val="24"/>
          <w:lang w:val="el-GR"/>
        </w:rPr>
        <w:t xml:space="preserve"> </w:t>
      </w:r>
      <w:r>
        <w:rPr>
          <w:rFonts w:cstheme="minorHAnsi"/>
          <w:sz w:val="24"/>
          <w:szCs w:val="24"/>
          <w:lang w:val="el-GR"/>
        </w:rPr>
        <w:t>για</w:t>
      </w:r>
      <w:r w:rsidRPr="0038719B">
        <w:rPr>
          <w:rFonts w:cstheme="minorHAnsi"/>
          <w:sz w:val="24"/>
          <w:szCs w:val="24"/>
          <w:lang w:val="el-GR"/>
        </w:rPr>
        <w:t xml:space="preserve"> </w:t>
      </w:r>
      <w:r>
        <w:rPr>
          <w:rFonts w:cstheme="minorHAnsi"/>
          <w:sz w:val="24"/>
          <w:szCs w:val="24"/>
          <w:lang w:val="el-GR"/>
        </w:rPr>
        <w:t>την</w:t>
      </w:r>
      <w:r w:rsidRPr="0038719B">
        <w:rPr>
          <w:rFonts w:cstheme="minorHAnsi"/>
          <w:sz w:val="24"/>
          <w:szCs w:val="24"/>
          <w:lang w:val="el-GR"/>
        </w:rPr>
        <w:t xml:space="preserve"> </w:t>
      </w:r>
      <w:r>
        <w:rPr>
          <w:rFonts w:cstheme="minorHAnsi"/>
          <w:sz w:val="24"/>
          <w:szCs w:val="24"/>
          <w:lang w:val="el-GR"/>
        </w:rPr>
        <w:t>ακεραιότητα</w:t>
      </w:r>
      <w:r w:rsidR="00A859DE" w:rsidRPr="0038719B">
        <w:rPr>
          <w:rFonts w:cstheme="minorHAnsi"/>
          <w:sz w:val="24"/>
          <w:szCs w:val="24"/>
          <w:lang w:val="el-GR"/>
        </w:rPr>
        <w:t xml:space="preserve">, </w:t>
      </w:r>
      <w:r>
        <w:rPr>
          <w:rFonts w:cstheme="minorHAnsi"/>
          <w:sz w:val="24"/>
          <w:szCs w:val="24"/>
          <w:lang w:val="el-GR"/>
        </w:rPr>
        <w:t>την σύγκρουση συμφερόντων</w:t>
      </w:r>
      <w:r w:rsidR="00A859DE" w:rsidRPr="0038719B">
        <w:rPr>
          <w:rFonts w:cstheme="minorHAnsi"/>
          <w:sz w:val="24"/>
          <w:szCs w:val="24"/>
          <w:lang w:val="el-GR"/>
        </w:rPr>
        <w:t xml:space="preserve"> </w:t>
      </w:r>
      <w:r>
        <w:rPr>
          <w:rFonts w:cstheme="minorHAnsi"/>
          <w:sz w:val="24"/>
          <w:szCs w:val="24"/>
          <w:lang w:val="el-GR"/>
        </w:rPr>
        <w:t>και για θέματα διαφθοράς</w:t>
      </w:r>
      <w:r w:rsidR="00A859DE" w:rsidRPr="0038719B">
        <w:rPr>
          <w:rFonts w:cstheme="minorHAnsi"/>
          <w:sz w:val="24"/>
          <w:szCs w:val="24"/>
          <w:lang w:val="el-GR"/>
        </w:rPr>
        <w:t xml:space="preserve">. </w:t>
      </w:r>
      <w:r>
        <w:rPr>
          <w:rFonts w:cstheme="minorHAnsi"/>
          <w:sz w:val="24"/>
          <w:szCs w:val="24"/>
          <w:lang w:val="el-GR"/>
        </w:rPr>
        <w:t>Δεν</w:t>
      </w:r>
      <w:r w:rsidRPr="00FE2A37">
        <w:rPr>
          <w:rFonts w:cstheme="minorHAnsi"/>
          <w:sz w:val="24"/>
          <w:szCs w:val="24"/>
          <w:lang w:val="el-GR"/>
        </w:rPr>
        <w:t xml:space="preserve"> </w:t>
      </w:r>
      <w:r>
        <w:rPr>
          <w:rFonts w:cstheme="minorHAnsi"/>
          <w:sz w:val="24"/>
          <w:szCs w:val="24"/>
          <w:lang w:val="el-GR"/>
        </w:rPr>
        <w:t>υπάρχουν</w:t>
      </w:r>
      <w:r w:rsidRPr="00FE2A37">
        <w:rPr>
          <w:rFonts w:cstheme="minorHAnsi"/>
          <w:sz w:val="24"/>
          <w:szCs w:val="24"/>
          <w:lang w:val="el-GR"/>
        </w:rPr>
        <w:t xml:space="preserve"> </w:t>
      </w:r>
      <w:r>
        <w:rPr>
          <w:rFonts w:cstheme="minorHAnsi"/>
          <w:sz w:val="24"/>
          <w:szCs w:val="24"/>
          <w:lang w:val="el-GR"/>
        </w:rPr>
        <w:t>σχεδόν</w:t>
      </w:r>
      <w:r w:rsidRPr="00FE2A37">
        <w:rPr>
          <w:rFonts w:cstheme="minorHAnsi"/>
          <w:sz w:val="24"/>
          <w:szCs w:val="24"/>
          <w:lang w:val="el-GR"/>
        </w:rPr>
        <w:t xml:space="preserve"> </w:t>
      </w:r>
      <w:r>
        <w:rPr>
          <w:rFonts w:cstheme="minorHAnsi"/>
          <w:sz w:val="24"/>
          <w:szCs w:val="24"/>
          <w:lang w:val="el-GR"/>
        </w:rPr>
        <w:t>καθόλου</w:t>
      </w:r>
      <w:r w:rsidRPr="00FE2A37">
        <w:rPr>
          <w:rFonts w:cstheme="minorHAnsi"/>
          <w:sz w:val="24"/>
          <w:szCs w:val="24"/>
          <w:lang w:val="el-GR"/>
        </w:rPr>
        <w:t xml:space="preserve"> </w:t>
      </w:r>
      <w:r>
        <w:rPr>
          <w:rFonts w:cstheme="minorHAnsi"/>
          <w:sz w:val="24"/>
          <w:szCs w:val="24"/>
          <w:lang w:val="el-GR"/>
        </w:rPr>
        <w:t>υποθέσεις</w:t>
      </w:r>
      <w:r w:rsidRPr="00FE2A37">
        <w:rPr>
          <w:rFonts w:cstheme="minorHAnsi"/>
          <w:sz w:val="24"/>
          <w:szCs w:val="24"/>
          <w:lang w:val="el-GR"/>
        </w:rPr>
        <w:t xml:space="preserve"> </w:t>
      </w:r>
      <w:r>
        <w:rPr>
          <w:rFonts w:cstheme="minorHAnsi"/>
          <w:sz w:val="24"/>
          <w:szCs w:val="24"/>
          <w:lang w:val="el-GR"/>
        </w:rPr>
        <w:t>καταχωρημένες</w:t>
      </w:r>
      <w:r w:rsidR="00A859DE" w:rsidRPr="00FE2A37">
        <w:rPr>
          <w:rFonts w:cstheme="minorHAnsi"/>
          <w:sz w:val="24"/>
          <w:szCs w:val="24"/>
          <w:lang w:val="el-GR"/>
        </w:rPr>
        <w:t xml:space="preserve"> </w:t>
      </w:r>
      <w:r>
        <w:rPr>
          <w:rFonts w:cstheme="minorHAnsi"/>
          <w:sz w:val="24"/>
          <w:szCs w:val="24"/>
          <w:lang w:val="el-GR"/>
        </w:rPr>
        <w:t>για</w:t>
      </w:r>
      <w:r w:rsidRPr="00FE2A37">
        <w:rPr>
          <w:rFonts w:cstheme="minorHAnsi"/>
          <w:sz w:val="24"/>
          <w:szCs w:val="24"/>
          <w:lang w:val="el-GR"/>
        </w:rPr>
        <w:t xml:space="preserve"> </w:t>
      </w:r>
      <w:r>
        <w:rPr>
          <w:rFonts w:cstheme="minorHAnsi"/>
          <w:sz w:val="24"/>
          <w:szCs w:val="24"/>
          <w:lang w:val="el-GR"/>
        </w:rPr>
        <w:t>παράπονα</w:t>
      </w:r>
      <w:r w:rsidRPr="00FE2A37">
        <w:rPr>
          <w:rFonts w:cstheme="minorHAnsi"/>
          <w:sz w:val="24"/>
          <w:szCs w:val="24"/>
          <w:lang w:val="el-GR"/>
        </w:rPr>
        <w:t xml:space="preserve"> </w:t>
      </w:r>
      <w:r>
        <w:rPr>
          <w:rFonts w:cstheme="minorHAnsi"/>
          <w:sz w:val="24"/>
          <w:szCs w:val="24"/>
          <w:lang w:val="el-GR"/>
        </w:rPr>
        <w:t>που</w:t>
      </w:r>
      <w:r w:rsidRPr="00FE2A37">
        <w:rPr>
          <w:rFonts w:cstheme="minorHAnsi"/>
          <w:sz w:val="24"/>
          <w:szCs w:val="24"/>
          <w:lang w:val="el-GR"/>
        </w:rPr>
        <w:t xml:space="preserve"> </w:t>
      </w:r>
      <w:r>
        <w:rPr>
          <w:rFonts w:cstheme="minorHAnsi"/>
          <w:sz w:val="24"/>
          <w:szCs w:val="24"/>
          <w:lang w:val="el-GR"/>
        </w:rPr>
        <w:t>προέρχονται</w:t>
      </w:r>
      <w:r w:rsidRPr="00FE2A37">
        <w:rPr>
          <w:rFonts w:cstheme="minorHAnsi"/>
          <w:sz w:val="24"/>
          <w:szCs w:val="24"/>
          <w:lang w:val="el-GR"/>
        </w:rPr>
        <w:t xml:space="preserve"> </w:t>
      </w:r>
      <w:r>
        <w:rPr>
          <w:rFonts w:cstheme="minorHAnsi"/>
          <w:sz w:val="24"/>
          <w:szCs w:val="24"/>
          <w:lang w:val="el-GR"/>
        </w:rPr>
        <w:t>από</w:t>
      </w:r>
      <w:r w:rsidRPr="00FE2A37">
        <w:rPr>
          <w:rFonts w:cstheme="minorHAnsi"/>
          <w:sz w:val="24"/>
          <w:szCs w:val="24"/>
          <w:lang w:val="el-GR"/>
        </w:rPr>
        <w:t xml:space="preserve"> </w:t>
      </w:r>
      <w:r>
        <w:rPr>
          <w:rFonts w:cstheme="minorHAnsi"/>
          <w:sz w:val="24"/>
          <w:szCs w:val="24"/>
          <w:lang w:val="el-GR"/>
        </w:rPr>
        <w:t>αστυνομικούς</w:t>
      </w:r>
      <w:r w:rsidR="00A859DE" w:rsidRPr="00FE2A37">
        <w:rPr>
          <w:rFonts w:cstheme="minorHAnsi"/>
          <w:sz w:val="24"/>
          <w:szCs w:val="24"/>
          <w:lang w:val="el-GR"/>
        </w:rPr>
        <w:t xml:space="preserve"> </w:t>
      </w:r>
      <w:r w:rsidR="00FE2A37">
        <w:rPr>
          <w:rFonts w:cstheme="minorHAnsi"/>
          <w:sz w:val="24"/>
          <w:szCs w:val="24"/>
          <w:lang w:val="el-GR"/>
        </w:rPr>
        <w:t>για θέματα που σχετίζονται με παραβιάσεις ακεραιότητας</w:t>
      </w:r>
      <w:r w:rsidR="00C2324D" w:rsidRPr="00FE2A37">
        <w:rPr>
          <w:rFonts w:cstheme="minorHAnsi"/>
          <w:sz w:val="24"/>
          <w:szCs w:val="24"/>
          <w:lang w:val="el-GR"/>
        </w:rPr>
        <w:t xml:space="preserve">, </w:t>
      </w:r>
      <w:r w:rsidR="00FE2A37">
        <w:rPr>
          <w:rFonts w:cstheme="minorHAnsi"/>
          <w:sz w:val="24"/>
          <w:szCs w:val="24"/>
          <w:lang w:val="el-GR"/>
        </w:rPr>
        <w:t>που διερευνήθηκαν ή είναι υπό διερεύνηση</w:t>
      </w:r>
      <w:r w:rsidR="00A859DE" w:rsidRPr="00FE2A37">
        <w:rPr>
          <w:rFonts w:cstheme="minorHAnsi"/>
          <w:sz w:val="24"/>
          <w:szCs w:val="24"/>
          <w:lang w:val="el-GR"/>
        </w:rPr>
        <w:t xml:space="preserve">. </w:t>
      </w:r>
      <w:r w:rsidR="00FE2A37">
        <w:rPr>
          <w:rFonts w:cstheme="minorHAnsi"/>
          <w:sz w:val="24"/>
          <w:szCs w:val="24"/>
          <w:lang w:val="el-GR"/>
        </w:rPr>
        <w:t>Μπορεί</w:t>
      </w:r>
      <w:r w:rsidR="00FE2A37" w:rsidRPr="00FE2A37">
        <w:rPr>
          <w:rFonts w:cstheme="minorHAnsi"/>
          <w:sz w:val="24"/>
          <w:szCs w:val="24"/>
          <w:lang w:val="el-GR"/>
        </w:rPr>
        <w:t xml:space="preserve"> </w:t>
      </w:r>
      <w:r w:rsidR="00FE2A37">
        <w:rPr>
          <w:rFonts w:cstheme="minorHAnsi"/>
          <w:sz w:val="24"/>
          <w:szCs w:val="24"/>
          <w:lang w:val="el-GR"/>
        </w:rPr>
        <w:t>να</w:t>
      </w:r>
      <w:r w:rsidR="00FE2A37" w:rsidRPr="00FE2A37">
        <w:rPr>
          <w:rFonts w:cstheme="minorHAnsi"/>
          <w:sz w:val="24"/>
          <w:szCs w:val="24"/>
          <w:lang w:val="el-GR"/>
        </w:rPr>
        <w:t xml:space="preserve"> </w:t>
      </w:r>
      <w:r w:rsidR="00FE2A37">
        <w:rPr>
          <w:rFonts w:cstheme="minorHAnsi"/>
          <w:sz w:val="24"/>
          <w:szCs w:val="24"/>
          <w:lang w:val="el-GR"/>
        </w:rPr>
        <w:t>υπάρχουν</w:t>
      </w:r>
      <w:r w:rsidR="00FE2A37" w:rsidRPr="00FE2A37">
        <w:rPr>
          <w:rFonts w:cstheme="minorHAnsi"/>
          <w:sz w:val="24"/>
          <w:szCs w:val="24"/>
          <w:lang w:val="el-GR"/>
        </w:rPr>
        <w:t xml:space="preserve"> </w:t>
      </w:r>
      <w:r w:rsidR="00FE2A37">
        <w:rPr>
          <w:rFonts w:cstheme="minorHAnsi"/>
          <w:sz w:val="24"/>
          <w:szCs w:val="24"/>
          <w:lang w:val="el-GR"/>
        </w:rPr>
        <w:t>εξηγήσεις</w:t>
      </w:r>
      <w:r w:rsidR="00FE2A37" w:rsidRPr="00FE2A37">
        <w:rPr>
          <w:rFonts w:cstheme="minorHAnsi"/>
          <w:sz w:val="24"/>
          <w:szCs w:val="24"/>
          <w:lang w:val="el-GR"/>
        </w:rPr>
        <w:t xml:space="preserve"> </w:t>
      </w:r>
      <w:r w:rsidR="00FE2A37">
        <w:rPr>
          <w:rFonts w:cstheme="minorHAnsi"/>
          <w:sz w:val="24"/>
          <w:szCs w:val="24"/>
          <w:lang w:val="el-GR"/>
        </w:rPr>
        <w:t>για</w:t>
      </w:r>
      <w:r w:rsidR="00FE2A37" w:rsidRPr="00FE2A37">
        <w:rPr>
          <w:rFonts w:cstheme="minorHAnsi"/>
          <w:sz w:val="24"/>
          <w:szCs w:val="24"/>
          <w:lang w:val="el-GR"/>
        </w:rPr>
        <w:t xml:space="preserve"> </w:t>
      </w:r>
      <w:r w:rsidR="00FE2A37">
        <w:rPr>
          <w:rFonts w:cstheme="minorHAnsi"/>
          <w:sz w:val="24"/>
          <w:szCs w:val="24"/>
          <w:lang w:val="el-GR"/>
        </w:rPr>
        <w:t>διάφορους</w:t>
      </w:r>
      <w:r w:rsidR="00FE2A37" w:rsidRPr="00FE2A37">
        <w:rPr>
          <w:rFonts w:cstheme="minorHAnsi"/>
          <w:sz w:val="24"/>
          <w:szCs w:val="24"/>
          <w:lang w:val="el-GR"/>
        </w:rPr>
        <w:t xml:space="preserve"> </w:t>
      </w:r>
      <w:r w:rsidR="00FE2A37">
        <w:rPr>
          <w:rFonts w:cstheme="minorHAnsi"/>
          <w:sz w:val="24"/>
          <w:szCs w:val="24"/>
          <w:lang w:val="el-GR"/>
        </w:rPr>
        <w:t>παράγοντες</w:t>
      </w:r>
      <w:r w:rsidR="00A859DE" w:rsidRPr="00FE2A37">
        <w:rPr>
          <w:rFonts w:cstheme="minorHAnsi"/>
          <w:sz w:val="24"/>
          <w:szCs w:val="24"/>
          <w:lang w:val="el-GR"/>
        </w:rPr>
        <w:t xml:space="preserve">, </w:t>
      </w:r>
      <w:r w:rsidR="00FE2A37">
        <w:rPr>
          <w:rFonts w:cstheme="minorHAnsi"/>
          <w:sz w:val="24"/>
          <w:szCs w:val="24"/>
          <w:lang w:val="el-GR"/>
        </w:rPr>
        <w:t>αρχίζοντας</w:t>
      </w:r>
      <w:r w:rsidR="00FE2A37" w:rsidRPr="00FE2A37">
        <w:rPr>
          <w:rFonts w:cstheme="minorHAnsi"/>
          <w:sz w:val="24"/>
          <w:szCs w:val="24"/>
          <w:lang w:val="el-GR"/>
        </w:rPr>
        <w:t xml:space="preserve"> </w:t>
      </w:r>
      <w:r w:rsidR="00FE2A37">
        <w:rPr>
          <w:rFonts w:cstheme="minorHAnsi"/>
          <w:sz w:val="24"/>
          <w:szCs w:val="24"/>
          <w:lang w:val="el-GR"/>
        </w:rPr>
        <w:t>με</w:t>
      </w:r>
      <w:r w:rsidR="00FE2A37" w:rsidRPr="00FE2A37">
        <w:rPr>
          <w:rFonts w:cstheme="minorHAnsi"/>
          <w:sz w:val="24"/>
          <w:szCs w:val="24"/>
          <w:lang w:val="el-GR"/>
        </w:rPr>
        <w:t xml:space="preserve"> </w:t>
      </w:r>
      <w:r w:rsidR="00FE2A37">
        <w:rPr>
          <w:rFonts w:cstheme="minorHAnsi"/>
          <w:sz w:val="24"/>
          <w:szCs w:val="24"/>
          <w:lang w:val="el-GR"/>
        </w:rPr>
        <w:t>την</w:t>
      </w:r>
      <w:r w:rsidR="00FE2A37" w:rsidRPr="00FE2A37">
        <w:rPr>
          <w:rFonts w:cstheme="minorHAnsi"/>
          <w:sz w:val="24"/>
          <w:szCs w:val="24"/>
          <w:lang w:val="el-GR"/>
        </w:rPr>
        <w:t xml:space="preserve"> </w:t>
      </w:r>
      <w:r w:rsidR="00FE2A37">
        <w:rPr>
          <w:rFonts w:cstheme="minorHAnsi"/>
          <w:sz w:val="24"/>
          <w:szCs w:val="24"/>
          <w:lang w:val="el-GR"/>
        </w:rPr>
        <w:t>έλλειψη</w:t>
      </w:r>
      <w:r w:rsidR="00FE2A37" w:rsidRPr="00FE2A37">
        <w:rPr>
          <w:rFonts w:cstheme="minorHAnsi"/>
          <w:sz w:val="24"/>
          <w:szCs w:val="24"/>
          <w:lang w:val="el-GR"/>
        </w:rPr>
        <w:t xml:space="preserve"> </w:t>
      </w:r>
      <w:r w:rsidR="00FE2A37">
        <w:rPr>
          <w:rFonts w:cstheme="minorHAnsi"/>
          <w:sz w:val="24"/>
          <w:szCs w:val="24"/>
          <w:lang w:val="el-GR"/>
        </w:rPr>
        <w:t>εμπιστοσύνης</w:t>
      </w:r>
      <w:r w:rsidR="00A859DE" w:rsidRPr="00FE2A37">
        <w:rPr>
          <w:rFonts w:cstheme="minorHAnsi"/>
          <w:sz w:val="24"/>
          <w:szCs w:val="24"/>
          <w:lang w:val="el-GR"/>
        </w:rPr>
        <w:t xml:space="preserve"> </w:t>
      </w:r>
      <w:r w:rsidR="00FE2A37">
        <w:rPr>
          <w:rFonts w:cstheme="minorHAnsi"/>
          <w:sz w:val="24"/>
          <w:szCs w:val="24"/>
          <w:lang w:val="el-GR"/>
        </w:rPr>
        <w:t>στην</w:t>
      </w:r>
      <w:r w:rsidR="00FE2A37" w:rsidRPr="00FE2A37">
        <w:rPr>
          <w:rFonts w:cstheme="minorHAnsi"/>
          <w:sz w:val="24"/>
          <w:szCs w:val="24"/>
          <w:lang w:val="el-GR"/>
        </w:rPr>
        <w:t xml:space="preserve"> </w:t>
      </w:r>
      <w:r w:rsidR="00FE2A37">
        <w:rPr>
          <w:rFonts w:cstheme="minorHAnsi"/>
          <w:sz w:val="24"/>
          <w:szCs w:val="24"/>
          <w:lang w:val="el-GR"/>
        </w:rPr>
        <w:t>λειτουργία</w:t>
      </w:r>
      <w:r w:rsidR="00FE2A37" w:rsidRPr="00FE2A37">
        <w:rPr>
          <w:rFonts w:cstheme="minorHAnsi"/>
          <w:sz w:val="24"/>
          <w:szCs w:val="24"/>
          <w:lang w:val="el-GR"/>
        </w:rPr>
        <w:t xml:space="preserve"> </w:t>
      </w:r>
      <w:r w:rsidR="00FE2A37">
        <w:rPr>
          <w:rFonts w:cstheme="minorHAnsi"/>
          <w:sz w:val="24"/>
          <w:szCs w:val="24"/>
          <w:lang w:val="el-GR"/>
        </w:rPr>
        <w:t>του</w:t>
      </w:r>
      <w:r w:rsidR="00FE2A37" w:rsidRPr="00FE2A37">
        <w:rPr>
          <w:rFonts w:cstheme="minorHAnsi"/>
          <w:sz w:val="24"/>
          <w:szCs w:val="24"/>
          <w:lang w:val="el-GR"/>
        </w:rPr>
        <w:t xml:space="preserve"> </w:t>
      </w:r>
      <w:r w:rsidR="00FE2A37">
        <w:rPr>
          <w:rFonts w:cstheme="minorHAnsi"/>
          <w:sz w:val="24"/>
          <w:szCs w:val="24"/>
          <w:lang w:val="el-GR"/>
        </w:rPr>
        <w:t>συστήματος</w:t>
      </w:r>
      <w:r w:rsidR="00A859DE" w:rsidRPr="00FE2A37">
        <w:rPr>
          <w:rFonts w:cstheme="minorHAnsi"/>
          <w:sz w:val="24"/>
          <w:szCs w:val="24"/>
          <w:lang w:val="el-GR"/>
        </w:rPr>
        <w:t xml:space="preserve"> </w:t>
      </w:r>
      <w:r w:rsidR="00FE2A37">
        <w:rPr>
          <w:rFonts w:cstheme="minorHAnsi"/>
          <w:sz w:val="24"/>
          <w:szCs w:val="24"/>
          <w:lang w:val="el-GR"/>
        </w:rPr>
        <w:t>που</w:t>
      </w:r>
      <w:r w:rsidR="00FE2A37" w:rsidRPr="00FE2A37">
        <w:rPr>
          <w:rFonts w:cstheme="minorHAnsi"/>
          <w:sz w:val="24"/>
          <w:szCs w:val="24"/>
          <w:lang w:val="el-GR"/>
        </w:rPr>
        <w:t xml:space="preserve"> </w:t>
      </w:r>
      <w:r w:rsidR="00FE2A37">
        <w:rPr>
          <w:rFonts w:cstheme="minorHAnsi"/>
          <w:sz w:val="24"/>
          <w:szCs w:val="24"/>
          <w:lang w:val="el-GR"/>
        </w:rPr>
        <w:t>υπάρχει, και πηγαίνοντας μέχρι, πρώτον, την διερεύνηση των παραβιάσεων της ακεραιότητας</w:t>
      </w:r>
      <w:r w:rsidR="00C2324D" w:rsidRPr="00FE2A37">
        <w:rPr>
          <w:rFonts w:cstheme="minorHAnsi"/>
          <w:sz w:val="24"/>
          <w:szCs w:val="24"/>
          <w:lang w:val="el-GR"/>
        </w:rPr>
        <w:t>,</w:t>
      </w:r>
      <w:r w:rsidR="00A859DE" w:rsidRPr="00FE2A37">
        <w:rPr>
          <w:rFonts w:cstheme="minorHAnsi"/>
          <w:sz w:val="24"/>
          <w:szCs w:val="24"/>
          <w:lang w:val="el-GR"/>
        </w:rPr>
        <w:t xml:space="preserve"> </w:t>
      </w:r>
      <w:r w:rsidR="00FE2A37">
        <w:rPr>
          <w:rFonts w:cstheme="minorHAnsi"/>
          <w:sz w:val="24"/>
          <w:szCs w:val="24"/>
          <w:lang w:val="el-GR"/>
        </w:rPr>
        <w:t>και δεύτερον</w:t>
      </w:r>
      <w:r w:rsidR="00C2324D" w:rsidRPr="00FE2A37">
        <w:rPr>
          <w:rFonts w:cstheme="minorHAnsi"/>
          <w:sz w:val="24"/>
          <w:szCs w:val="24"/>
          <w:lang w:val="el-GR"/>
        </w:rPr>
        <w:t>,</w:t>
      </w:r>
      <w:r w:rsidR="00A859DE" w:rsidRPr="00FE2A37">
        <w:rPr>
          <w:rFonts w:cstheme="minorHAnsi"/>
          <w:sz w:val="24"/>
          <w:szCs w:val="24"/>
          <w:lang w:val="el-GR"/>
        </w:rPr>
        <w:t xml:space="preserve"> </w:t>
      </w:r>
      <w:r w:rsidR="00FE2A37">
        <w:rPr>
          <w:rFonts w:cstheme="minorHAnsi"/>
          <w:sz w:val="24"/>
          <w:szCs w:val="24"/>
          <w:lang w:val="el-GR"/>
        </w:rPr>
        <w:t>την πρόβλεψη επαρκών προστατευτικών μέτρων</w:t>
      </w:r>
      <w:r w:rsidR="00C2324D" w:rsidRPr="00FE2A37">
        <w:rPr>
          <w:rFonts w:cstheme="minorHAnsi"/>
          <w:sz w:val="24"/>
          <w:szCs w:val="24"/>
          <w:lang w:val="el-GR"/>
        </w:rPr>
        <w:t xml:space="preserve"> </w:t>
      </w:r>
      <w:r w:rsidR="00FE2A37">
        <w:rPr>
          <w:rFonts w:cstheme="minorHAnsi"/>
          <w:sz w:val="24"/>
          <w:szCs w:val="24"/>
          <w:lang w:val="el-GR"/>
        </w:rPr>
        <w:t xml:space="preserve">σε μια πολύ μικρή κοινότητα όπως </w:t>
      </w:r>
      <w:r w:rsidR="0080357C">
        <w:rPr>
          <w:rFonts w:cstheme="minorHAnsi"/>
          <w:sz w:val="24"/>
          <w:szCs w:val="24"/>
          <w:lang w:val="el-GR"/>
        </w:rPr>
        <w:t xml:space="preserve">είναι </w:t>
      </w:r>
      <w:r w:rsidR="00FE2A37">
        <w:rPr>
          <w:rFonts w:cstheme="minorHAnsi"/>
          <w:sz w:val="24"/>
          <w:szCs w:val="24"/>
          <w:lang w:val="el-GR"/>
        </w:rPr>
        <w:t>η αστυνομική μονάδα</w:t>
      </w:r>
      <w:r w:rsidR="00A859DE" w:rsidRPr="00FE2A37">
        <w:rPr>
          <w:rFonts w:cstheme="minorHAnsi"/>
          <w:sz w:val="24"/>
          <w:szCs w:val="24"/>
          <w:lang w:val="el-GR"/>
        </w:rPr>
        <w:t xml:space="preserve">. </w:t>
      </w:r>
    </w:p>
    <w:p w14:paraId="12DF425C" w14:textId="77777777" w:rsidR="00C2324D" w:rsidRPr="00FE2A37" w:rsidRDefault="00C2324D" w:rsidP="00C2324D">
      <w:pPr>
        <w:pStyle w:val="ListParagraph"/>
        <w:rPr>
          <w:rFonts w:cstheme="minorHAnsi"/>
          <w:sz w:val="24"/>
          <w:szCs w:val="24"/>
          <w:lang w:val="el-GR"/>
        </w:rPr>
      </w:pPr>
    </w:p>
    <w:p w14:paraId="05838946" w14:textId="26D7AE32" w:rsidR="00A859DE" w:rsidRPr="00191CE9" w:rsidRDefault="00FE2A37" w:rsidP="00A859DE">
      <w:pPr>
        <w:keepNext/>
        <w:numPr>
          <w:ilvl w:val="0"/>
          <w:numId w:val="1"/>
        </w:numPr>
        <w:tabs>
          <w:tab w:val="left" w:pos="709"/>
        </w:tabs>
        <w:ind w:left="0" w:firstLine="0"/>
        <w:rPr>
          <w:rFonts w:cstheme="minorHAnsi"/>
          <w:sz w:val="24"/>
          <w:szCs w:val="24"/>
          <w:lang w:val="el-GR"/>
        </w:rPr>
      </w:pPr>
      <w:r>
        <w:rPr>
          <w:rFonts w:eastAsiaTheme="majorEastAsia" w:cstheme="minorHAnsi"/>
          <w:bCs/>
          <w:sz w:val="24"/>
          <w:szCs w:val="24"/>
          <w:lang w:val="el-GR"/>
        </w:rPr>
        <w:t>Η</w:t>
      </w:r>
      <w:r w:rsidRPr="00FE2A37">
        <w:rPr>
          <w:rFonts w:eastAsiaTheme="majorEastAsia" w:cstheme="minorHAnsi"/>
          <w:bCs/>
          <w:sz w:val="24"/>
          <w:szCs w:val="24"/>
          <w:lang w:val="el-GR"/>
        </w:rPr>
        <w:t xml:space="preserve"> </w:t>
      </w:r>
      <w:r>
        <w:rPr>
          <w:rFonts w:eastAsiaTheme="majorEastAsia" w:cstheme="minorHAnsi"/>
          <w:bCs/>
          <w:sz w:val="24"/>
          <w:szCs w:val="24"/>
          <w:lang w:val="el-GR"/>
        </w:rPr>
        <w:t>άρθρωση</w:t>
      </w:r>
      <w:r w:rsidRPr="00FE2A37">
        <w:rPr>
          <w:rFonts w:eastAsiaTheme="majorEastAsia" w:cstheme="minorHAnsi"/>
          <w:bCs/>
          <w:sz w:val="24"/>
          <w:szCs w:val="24"/>
          <w:lang w:val="el-GR"/>
        </w:rPr>
        <w:t xml:space="preserve"> </w:t>
      </w:r>
      <w:r>
        <w:rPr>
          <w:rFonts w:eastAsiaTheme="majorEastAsia" w:cstheme="minorHAnsi"/>
          <w:bCs/>
          <w:sz w:val="24"/>
          <w:szCs w:val="24"/>
          <w:lang w:val="el-GR"/>
        </w:rPr>
        <w:t>ενός</w:t>
      </w:r>
      <w:r w:rsidRPr="00FE2A37">
        <w:rPr>
          <w:rFonts w:eastAsiaTheme="majorEastAsia" w:cstheme="minorHAnsi"/>
          <w:bCs/>
          <w:sz w:val="24"/>
          <w:szCs w:val="24"/>
          <w:lang w:val="el-GR"/>
        </w:rPr>
        <w:t xml:space="preserve"> </w:t>
      </w:r>
      <w:r>
        <w:rPr>
          <w:rFonts w:eastAsiaTheme="majorEastAsia" w:cstheme="minorHAnsi"/>
          <w:bCs/>
          <w:sz w:val="24"/>
          <w:szCs w:val="24"/>
          <w:lang w:val="el-GR"/>
        </w:rPr>
        <w:t>αποτελεσματικού</w:t>
      </w:r>
      <w:r w:rsidRPr="00FE2A37">
        <w:rPr>
          <w:rFonts w:eastAsiaTheme="majorEastAsia" w:cstheme="minorHAnsi"/>
          <w:bCs/>
          <w:sz w:val="24"/>
          <w:szCs w:val="24"/>
          <w:lang w:val="el-GR"/>
        </w:rPr>
        <w:t xml:space="preserve"> </w:t>
      </w:r>
      <w:r>
        <w:rPr>
          <w:rFonts w:eastAsiaTheme="majorEastAsia" w:cstheme="minorHAnsi"/>
          <w:bCs/>
          <w:sz w:val="24"/>
          <w:szCs w:val="24"/>
          <w:lang w:val="el-GR"/>
        </w:rPr>
        <w:t>συστήματος</w:t>
      </w:r>
      <w:r w:rsidRPr="00FE2A37">
        <w:rPr>
          <w:rFonts w:eastAsiaTheme="majorEastAsia" w:cstheme="minorHAnsi"/>
          <w:bCs/>
          <w:sz w:val="24"/>
          <w:szCs w:val="24"/>
          <w:lang w:val="el-GR"/>
        </w:rPr>
        <w:t xml:space="preserve"> </w:t>
      </w:r>
      <w:proofErr w:type="spellStart"/>
      <w:r>
        <w:rPr>
          <w:rFonts w:eastAsiaTheme="majorEastAsia" w:cstheme="minorHAnsi"/>
          <w:bCs/>
          <w:sz w:val="24"/>
          <w:szCs w:val="24"/>
          <w:lang w:val="el-GR"/>
        </w:rPr>
        <w:t>πληροφοριοδότησης</w:t>
      </w:r>
      <w:proofErr w:type="spellEnd"/>
      <w:r w:rsidR="00C2324D" w:rsidRPr="00FE2A37">
        <w:rPr>
          <w:rFonts w:eastAsiaTheme="majorEastAsia" w:cstheme="minorHAnsi"/>
          <w:bCs/>
          <w:sz w:val="24"/>
          <w:szCs w:val="24"/>
          <w:lang w:val="el-GR"/>
        </w:rPr>
        <w:t xml:space="preserve">, </w:t>
      </w:r>
      <w:r>
        <w:rPr>
          <w:rFonts w:eastAsiaTheme="majorEastAsia" w:cstheme="minorHAnsi"/>
          <w:bCs/>
          <w:sz w:val="24"/>
          <w:szCs w:val="24"/>
          <w:lang w:val="el-GR"/>
        </w:rPr>
        <w:t>όχι</w:t>
      </w:r>
      <w:r w:rsidRPr="00FE2A37">
        <w:rPr>
          <w:rFonts w:eastAsiaTheme="majorEastAsia" w:cstheme="minorHAnsi"/>
          <w:bCs/>
          <w:sz w:val="24"/>
          <w:szCs w:val="24"/>
          <w:lang w:val="el-GR"/>
        </w:rPr>
        <w:t xml:space="preserve"> </w:t>
      </w:r>
      <w:r>
        <w:rPr>
          <w:rFonts w:eastAsiaTheme="majorEastAsia" w:cstheme="minorHAnsi"/>
          <w:bCs/>
          <w:sz w:val="24"/>
          <w:szCs w:val="24"/>
          <w:lang w:val="el-GR"/>
        </w:rPr>
        <w:t>μόνο</w:t>
      </w:r>
      <w:r w:rsidRPr="00FE2A37">
        <w:rPr>
          <w:rFonts w:eastAsiaTheme="majorEastAsia" w:cstheme="minorHAnsi"/>
          <w:bCs/>
          <w:sz w:val="24"/>
          <w:szCs w:val="24"/>
          <w:lang w:val="el-GR"/>
        </w:rPr>
        <w:t xml:space="preserve"> </w:t>
      </w:r>
      <w:r w:rsidR="0080357C">
        <w:rPr>
          <w:rFonts w:eastAsiaTheme="majorEastAsia" w:cstheme="minorHAnsi"/>
          <w:bCs/>
          <w:sz w:val="24"/>
          <w:szCs w:val="24"/>
          <w:lang w:val="el-GR"/>
        </w:rPr>
        <w:t>δια νόμου</w:t>
      </w:r>
      <w:r w:rsidRPr="00FE2A37">
        <w:rPr>
          <w:rFonts w:eastAsiaTheme="majorEastAsia" w:cstheme="minorHAnsi"/>
          <w:bCs/>
          <w:sz w:val="24"/>
          <w:szCs w:val="24"/>
          <w:lang w:val="el-GR"/>
        </w:rPr>
        <w:t xml:space="preserve"> </w:t>
      </w:r>
      <w:r>
        <w:rPr>
          <w:rFonts w:eastAsiaTheme="majorEastAsia" w:cstheme="minorHAnsi"/>
          <w:bCs/>
          <w:sz w:val="24"/>
          <w:szCs w:val="24"/>
          <w:lang w:val="el-GR"/>
        </w:rPr>
        <w:t>αλλά</w:t>
      </w:r>
      <w:r w:rsidRPr="00FE2A37">
        <w:rPr>
          <w:rFonts w:eastAsiaTheme="majorEastAsia" w:cstheme="minorHAnsi"/>
          <w:bCs/>
          <w:sz w:val="24"/>
          <w:szCs w:val="24"/>
          <w:lang w:val="el-GR"/>
        </w:rPr>
        <w:t xml:space="preserve"> </w:t>
      </w:r>
      <w:r>
        <w:rPr>
          <w:rFonts w:eastAsiaTheme="majorEastAsia" w:cstheme="minorHAnsi"/>
          <w:bCs/>
          <w:sz w:val="24"/>
          <w:szCs w:val="24"/>
          <w:lang w:val="el-GR"/>
        </w:rPr>
        <w:t>επίσης</w:t>
      </w:r>
      <w:r w:rsidRPr="00FE2A37">
        <w:rPr>
          <w:rFonts w:eastAsiaTheme="majorEastAsia" w:cstheme="minorHAnsi"/>
          <w:bCs/>
          <w:sz w:val="24"/>
          <w:szCs w:val="24"/>
          <w:lang w:val="el-GR"/>
        </w:rPr>
        <w:t xml:space="preserve"> </w:t>
      </w:r>
      <w:r w:rsidR="0080357C">
        <w:rPr>
          <w:rFonts w:eastAsiaTheme="majorEastAsia" w:cstheme="minorHAnsi"/>
          <w:bCs/>
          <w:sz w:val="24"/>
          <w:szCs w:val="24"/>
          <w:lang w:val="el-GR"/>
        </w:rPr>
        <w:t xml:space="preserve">και </w:t>
      </w:r>
      <w:r>
        <w:rPr>
          <w:rFonts w:eastAsiaTheme="majorEastAsia" w:cstheme="minorHAnsi"/>
          <w:bCs/>
          <w:sz w:val="24"/>
          <w:szCs w:val="24"/>
          <w:lang w:val="el-GR"/>
        </w:rPr>
        <w:t>στην</w:t>
      </w:r>
      <w:r w:rsidRPr="00FE2A37">
        <w:rPr>
          <w:rFonts w:eastAsiaTheme="majorEastAsia" w:cstheme="minorHAnsi"/>
          <w:bCs/>
          <w:sz w:val="24"/>
          <w:szCs w:val="24"/>
          <w:lang w:val="el-GR"/>
        </w:rPr>
        <w:t xml:space="preserve"> </w:t>
      </w:r>
      <w:r>
        <w:rPr>
          <w:rFonts w:eastAsiaTheme="majorEastAsia" w:cstheme="minorHAnsi"/>
          <w:bCs/>
          <w:sz w:val="24"/>
          <w:szCs w:val="24"/>
          <w:lang w:val="el-GR"/>
        </w:rPr>
        <w:t>πράξη</w:t>
      </w:r>
      <w:r w:rsidR="00C2324D" w:rsidRPr="00FE2A37">
        <w:rPr>
          <w:rFonts w:eastAsiaTheme="majorEastAsia" w:cstheme="minorHAnsi"/>
          <w:bCs/>
          <w:sz w:val="24"/>
          <w:szCs w:val="24"/>
          <w:lang w:val="el-GR"/>
        </w:rPr>
        <w:t xml:space="preserve">, </w:t>
      </w:r>
      <w:r>
        <w:rPr>
          <w:rFonts w:eastAsiaTheme="majorEastAsia" w:cstheme="minorHAnsi"/>
          <w:bCs/>
          <w:sz w:val="24"/>
          <w:szCs w:val="24"/>
          <w:lang w:val="el-GR"/>
        </w:rPr>
        <w:t>είναι</w:t>
      </w:r>
      <w:r w:rsidRPr="00FE2A37">
        <w:rPr>
          <w:rFonts w:eastAsiaTheme="majorEastAsia" w:cstheme="minorHAnsi"/>
          <w:bCs/>
          <w:sz w:val="24"/>
          <w:szCs w:val="24"/>
          <w:lang w:val="el-GR"/>
        </w:rPr>
        <w:t xml:space="preserve"> </w:t>
      </w:r>
      <w:r>
        <w:rPr>
          <w:rFonts w:eastAsiaTheme="majorEastAsia" w:cstheme="minorHAnsi"/>
          <w:bCs/>
          <w:sz w:val="24"/>
          <w:szCs w:val="24"/>
          <w:lang w:val="el-GR"/>
        </w:rPr>
        <w:t>κρίσιμη</w:t>
      </w:r>
      <w:r w:rsidRPr="00FE2A37">
        <w:rPr>
          <w:rFonts w:eastAsiaTheme="majorEastAsia" w:cstheme="minorHAnsi"/>
          <w:bCs/>
          <w:sz w:val="24"/>
          <w:szCs w:val="24"/>
          <w:lang w:val="el-GR"/>
        </w:rPr>
        <w:t xml:space="preserve"> </w:t>
      </w:r>
      <w:r>
        <w:rPr>
          <w:rFonts w:eastAsiaTheme="majorEastAsia" w:cstheme="minorHAnsi"/>
          <w:bCs/>
          <w:sz w:val="24"/>
          <w:szCs w:val="24"/>
          <w:lang w:val="el-GR"/>
        </w:rPr>
        <w:t>για</w:t>
      </w:r>
      <w:r w:rsidRPr="00FE2A37">
        <w:rPr>
          <w:rFonts w:eastAsiaTheme="majorEastAsia" w:cstheme="minorHAnsi"/>
          <w:bCs/>
          <w:sz w:val="24"/>
          <w:szCs w:val="24"/>
          <w:lang w:val="el-GR"/>
        </w:rPr>
        <w:t xml:space="preserve"> </w:t>
      </w:r>
      <w:r>
        <w:rPr>
          <w:rFonts w:eastAsiaTheme="majorEastAsia" w:cstheme="minorHAnsi"/>
          <w:bCs/>
          <w:sz w:val="24"/>
          <w:szCs w:val="24"/>
          <w:lang w:val="el-GR"/>
        </w:rPr>
        <w:t>την</w:t>
      </w:r>
      <w:r w:rsidRPr="00FE2A37">
        <w:rPr>
          <w:rFonts w:eastAsiaTheme="majorEastAsia" w:cstheme="minorHAnsi"/>
          <w:bCs/>
          <w:sz w:val="24"/>
          <w:szCs w:val="24"/>
          <w:lang w:val="el-GR"/>
        </w:rPr>
        <w:t xml:space="preserve"> </w:t>
      </w:r>
      <w:r w:rsidR="009C4E34">
        <w:rPr>
          <w:rFonts w:eastAsiaTheme="majorEastAsia" w:cstheme="minorHAnsi"/>
          <w:bCs/>
          <w:sz w:val="24"/>
          <w:szCs w:val="24"/>
          <w:lang w:val="el-GR"/>
        </w:rPr>
        <w:t>Αστυνομία</w:t>
      </w:r>
      <w:r w:rsidR="00C2324D" w:rsidRPr="00FE2A37">
        <w:rPr>
          <w:rFonts w:eastAsiaTheme="majorEastAsia" w:cstheme="minorHAnsi"/>
          <w:bCs/>
          <w:sz w:val="24"/>
          <w:szCs w:val="24"/>
          <w:lang w:val="el-GR"/>
        </w:rPr>
        <w:t xml:space="preserve"> </w:t>
      </w:r>
      <w:r>
        <w:rPr>
          <w:rFonts w:eastAsiaTheme="majorEastAsia" w:cstheme="minorHAnsi"/>
          <w:bCs/>
          <w:sz w:val="24"/>
          <w:szCs w:val="24"/>
          <w:lang w:val="el-GR"/>
        </w:rPr>
        <w:t>λόγω</w:t>
      </w:r>
      <w:r w:rsidRPr="00FE2A37">
        <w:rPr>
          <w:rFonts w:eastAsiaTheme="majorEastAsia" w:cstheme="minorHAnsi"/>
          <w:bCs/>
          <w:sz w:val="24"/>
          <w:szCs w:val="24"/>
          <w:lang w:val="el-GR"/>
        </w:rPr>
        <w:t xml:space="preserve"> </w:t>
      </w:r>
      <w:r>
        <w:rPr>
          <w:rFonts w:eastAsiaTheme="majorEastAsia" w:cstheme="minorHAnsi"/>
          <w:bCs/>
          <w:sz w:val="24"/>
          <w:szCs w:val="24"/>
          <w:lang w:val="el-GR"/>
        </w:rPr>
        <w:t>του</w:t>
      </w:r>
      <w:r w:rsidRPr="00FE2A37">
        <w:rPr>
          <w:rFonts w:eastAsiaTheme="majorEastAsia" w:cstheme="minorHAnsi"/>
          <w:bCs/>
          <w:sz w:val="24"/>
          <w:szCs w:val="24"/>
          <w:lang w:val="el-GR"/>
        </w:rPr>
        <w:t xml:space="preserve"> </w:t>
      </w:r>
      <w:r w:rsidR="00C2324D" w:rsidRPr="00FE2A37">
        <w:rPr>
          <w:rFonts w:eastAsiaTheme="majorEastAsia" w:cstheme="minorHAnsi"/>
          <w:bCs/>
          <w:sz w:val="24"/>
          <w:szCs w:val="24"/>
          <w:lang w:val="el-GR"/>
        </w:rPr>
        <w:t>“</w:t>
      </w:r>
      <w:r>
        <w:rPr>
          <w:rFonts w:eastAsiaTheme="majorEastAsia" w:cstheme="minorHAnsi"/>
          <w:bCs/>
          <w:sz w:val="24"/>
          <w:szCs w:val="24"/>
          <w:lang w:val="el-GR"/>
        </w:rPr>
        <w:t>κώδικα</w:t>
      </w:r>
      <w:r w:rsidRPr="00FE2A37">
        <w:rPr>
          <w:rFonts w:eastAsiaTheme="majorEastAsia" w:cstheme="minorHAnsi"/>
          <w:bCs/>
          <w:sz w:val="24"/>
          <w:szCs w:val="24"/>
          <w:lang w:val="el-GR"/>
        </w:rPr>
        <w:t xml:space="preserve"> </w:t>
      </w:r>
      <w:r>
        <w:rPr>
          <w:rFonts w:eastAsiaTheme="majorEastAsia" w:cstheme="minorHAnsi"/>
          <w:bCs/>
          <w:sz w:val="24"/>
          <w:szCs w:val="24"/>
          <w:lang w:val="el-GR"/>
        </w:rPr>
        <w:t>σιωπής</w:t>
      </w:r>
      <w:r w:rsidR="00C2324D" w:rsidRPr="00FE2A37">
        <w:rPr>
          <w:rFonts w:eastAsiaTheme="majorEastAsia" w:cstheme="minorHAnsi"/>
          <w:bCs/>
          <w:sz w:val="24"/>
          <w:szCs w:val="24"/>
          <w:lang w:val="el-GR"/>
        </w:rPr>
        <w:t>” (</w:t>
      </w:r>
      <w:r>
        <w:rPr>
          <w:rFonts w:eastAsiaTheme="majorEastAsia" w:cstheme="minorHAnsi"/>
          <w:bCs/>
          <w:sz w:val="24"/>
          <w:szCs w:val="24"/>
          <w:lang w:val="el-GR"/>
        </w:rPr>
        <w:t>κώδικας</w:t>
      </w:r>
      <w:r w:rsidRPr="00FE2A37">
        <w:rPr>
          <w:rFonts w:eastAsiaTheme="majorEastAsia" w:cstheme="minorHAnsi"/>
          <w:bCs/>
          <w:sz w:val="24"/>
          <w:szCs w:val="24"/>
          <w:lang w:val="el-GR"/>
        </w:rPr>
        <w:t xml:space="preserve"> </w:t>
      </w:r>
      <w:r>
        <w:rPr>
          <w:rFonts w:eastAsiaTheme="majorEastAsia" w:cstheme="minorHAnsi"/>
          <w:bCs/>
          <w:sz w:val="24"/>
          <w:szCs w:val="24"/>
          <w:lang w:val="el-GR"/>
        </w:rPr>
        <w:t>μπλε</w:t>
      </w:r>
      <w:r w:rsidR="00C2324D" w:rsidRPr="00FE2A37">
        <w:rPr>
          <w:rFonts w:eastAsiaTheme="majorEastAsia" w:cstheme="minorHAnsi"/>
          <w:bCs/>
          <w:sz w:val="24"/>
          <w:szCs w:val="24"/>
          <w:lang w:val="el-GR"/>
        </w:rPr>
        <w:t xml:space="preserve">) </w:t>
      </w:r>
      <w:r>
        <w:rPr>
          <w:rFonts w:eastAsiaTheme="majorEastAsia" w:cstheme="minorHAnsi"/>
          <w:bCs/>
          <w:sz w:val="24"/>
          <w:szCs w:val="24"/>
          <w:lang w:val="el-GR"/>
        </w:rPr>
        <w:t>που</w:t>
      </w:r>
      <w:r w:rsidRPr="00FE2A37">
        <w:rPr>
          <w:rFonts w:eastAsiaTheme="majorEastAsia" w:cstheme="minorHAnsi"/>
          <w:bCs/>
          <w:sz w:val="24"/>
          <w:szCs w:val="24"/>
          <w:lang w:val="el-GR"/>
        </w:rPr>
        <w:t xml:space="preserve"> </w:t>
      </w:r>
      <w:r>
        <w:rPr>
          <w:rFonts w:eastAsiaTheme="majorEastAsia" w:cstheme="minorHAnsi"/>
          <w:bCs/>
          <w:sz w:val="24"/>
          <w:szCs w:val="24"/>
          <w:lang w:val="el-GR"/>
        </w:rPr>
        <w:t>μπορεί</w:t>
      </w:r>
      <w:r w:rsidRPr="00FE2A37">
        <w:rPr>
          <w:rFonts w:eastAsiaTheme="majorEastAsia" w:cstheme="minorHAnsi"/>
          <w:bCs/>
          <w:sz w:val="24"/>
          <w:szCs w:val="24"/>
          <w:lang w:val="el-GR"/>
        </w:rPr>
        <w:t xml:space="preserve"> </w:t>
      </w:r>
      <w:r>
        <w:rPr>
          <w:rFonts w:eastAsiaTheme="majorEastAsia" w:cstheme="minorHAnsi"/>
          <w:bCs/>
          <w:sz w:val="24"/>
          <w:szCs w:val="24"/>
          <w:lang w:val="el-GR"/>
        </w:rPr>
        <w:t>να</w:t>
      </w:r>
      <w:r w:rsidRPr="00FE2A37">
        <w:rPr>
          <w:rFonts w:eastAsiaTheme="majorEastAsia" w:cstheme="minorHAnsi"/>
          <w:bCs/>
          <w:sz w:val="24"/>
          <w:szCs w:val="24"/>
          <w:lang w:val="el-GR"/>
        </w:rPr>
        <w:t xml:space="preserve"> </w:t>
      </w:r>
      <w:r>
        <w:rPr>
          <w:rFonts w:eastAsiaTheme="majorEastAsia" w:cstheme="minorHAnsi"/>
          <w:bCs/>
          <w:sz w:val="24"/>
          <w:szCs w:val="24"/>
          <w:lang w:val="el-GR"/>
        </w:rPr>
        <w:t>κυριαρχεί ανεπίσημα σε ιεραρχικές οργανώσεις</w:t>
      </w:r>
      <w:r w:rsidR="00C2324D" w:rsidRPr="00FE2A37">
        <w:rPr>
          <w:rFonts w:eastAsiaTheme="majorEastAsia" w:cstheme="minorHAnsi"/>
          <w:bCs/>
          <w:sz w:val="24"/>
          <w:szCs w:val="24"/>
          <w:lang w:val="el-GR"/>
        </w:rPr>
        <w:t xml:space="preserve">, </w:t>
      </w:r>
      <w:r>
        <w:rPr>
          <w:rFonts w:eastAsiaTheme="majorEastAsia" w:cstheme="minorHAnsi"/>
          <w:bCs/>
          <w:sz w:val="24"/>
          <w:szCs w:val="24"/>
          <w:lang w:val="el-GR"/>
        </w:rPr>
        <w:t>επίσης λόγω της απαίτησης</w:t>
      </w:r>
      <w:r w:rsidR="00C2324D" w:rsidRPr="00FE2A37">
        <w:rPr>
          <w:rFonts w:eastAsiaTheme="majorEastAsia" w:cstheme="minorHAnsi"/>
          <w:bCs/>
          <w:sz w:val="24"/>
          <w:szCs w:val="24"/>
          <w:lang w:val="el-GR"/>
        </w:rPr>
        <w:t xml:space="preserve"> </w:t>
      </w:r>
      <w:r w:rsidR="00191CE9">
        <w:rPr>
          <w:rFonts w:eastAsiaTheme="majorEastAsia" w:cstheme="minorHAnsi"/>
          <w:bCs/>
          <w:sz w:val="24"/>
          <w:szCs w:val="24"/>
          <w:lang w:val="el-GR"/>
        </w:rPr>
        <w:t>της αυστηρής τήρησης τη</w:t>
      </w:r>
      <w:r w:rsidR="0080357C">
        <w:rPr>
          <w:rFonts w:eastAsiaTheme="majorEastAsia" w:cstheme="minorHAnsi"/>
          <w:bCs/>
          <w:sz w:val="24"/>
          <w:szCs w:val="24"/>
          <w:lang w:val="el-GR"/>
        </w:rPr>
        <w:t>ς</w:t>
      </w:r>
      <w:r w:rsidR="00191CE9">
        <w:rPr>
          <w:rFonts w:eastAsiaTheme="majorEastAsia" w:cstheme="minorHAnsi"/>
          <w:bCs/>
          <w:sz w:val="24"/>
          <w:szCs w:val="24"/>
          <w:lang w:val="el-GR"/>
        </w:rPr>
        <w:t xml:space="preserve"> αρχή</w:t>
      </w:r>
      <w:r w:rsidR="0080357C">
        <w:rPr>
          <w:rFonts w:eastAsiaTheme="majorEastAsia" w:cstheme="minorHAnsi"/>
          <w:bCs/>
          <w:sz w:val="24"/>
          <w:szCs w:val="24"/>
          <w:lang w:val="el-GR"/>
        </w:rPr>
        <w:t>ς</w:t>
      </w:r>
      <w:r w:rsidR="00191CE9">
        <w:rPr>
          <w:rFonts w:eastAsiaTheme="majorEastAsia" w:cstheme="minorHAnsi"/>
          <w:bCs/>
          <w:sz w:val="24"/>
          <w:szCs w:val="24"/>
          <w:lang w:val="el-GR"/>
        </w:rPr>
        <w:t xml:space="preserve"> της </w:t>
      </w:r>
      <w:proofErr w:type="spellStart"/>
      <w:r w:rsidR="00191CE9">
        <w:rPr>
          <w:rFonts w:eastAsiaTheme="majorEastAsia" w:cstheme="minorHAnsi"/>
          <w:bCs/>
          <w:sz w:val="24"/>
          <w:szCs w:val="24"/>
          <w:lang w:val="el-GR"/>
        </w:rPr>
        <w:t>ενδο</w:t>
      </w:r>
      <w:proofErr w:type="spellEnd"/>
      <w:r w:rsidR="00191CE9">
        <w:rPr>
          <w:rFonts w:eastAsiaTheme="majorEastAsia" w:cstheme="minorHAnsi"/>
          <w:bCs/>
          <w:sz w:val="24"/>
          <w:szCs w:val="24"/>
          <w:lang w:val="el-GR"/>
        </w:rPr>
        <w:t>-υπηρεσιακής πειθαρχίας</w:t>
      </w:r>
      <w:r w:rsidR="00C2324D" w:rsidRPr="00FE2A37">
        <w:rPr>
          <w:rFonts w:eastAsiaTheme="majorEastAsia" w:cstheme="minorHAnsi"/>
          <w:bCs/>
          <w:sz w:val="24"/>
          <w:szCs w:val="24"/>
          <w:lang w:val="el-GR"/>
        </w:rPr>
        <w:t xml:space="preserve"> </w:t>
      </w:r>
      <w:r w:rsidR="00191CE9">
        <w:rPr>
          <w:rFonts w:eastAsiaTheme="majorEastAsia" w:cstheme="minorHAnsi"/>
          <w:bCs/>
          <w:sz w:val="24"/>
          <w:szCs w:val="24"/>
          <w:lang w:val="el-GR"/>
        </w:rPr>
        <w:t>και</w:t>
      </w:r>
      <w:r w:rsidR="00191CE9" w:rsidRPr="00191CE9">
        <w:rPr>
          <w:rFonts w:eastAsiaTheme="majorEastAsia" w:cstheme="minorHAnsi"/>
          <w:bCs/>
          <w:sz w:val="24"/>
          <w:szCs w:val="24"/>
          <w:lang w:val="el-GR"/>
        </w:rPr>
        <w:t xml:space="preserve"> </w:t>
      </w:r>
      <w:r w:rsidR="00191CE9">
        <w:rPr>
          <w:rFonts w:eastAsiaTheme="majorEastAsia" w:cstheme="minorHAnsi"/>
          <w:bCs/>
          <w:sz w:val="24"/>
          <w:szCs w:val="24"/>
          <w:lang w:val="el-GR"/>
        </w:rPr>
        <w:t>αφοσίωσης</w:t>
      </w:r>
      <w:r w:rsidR="00C2324D" w:rsidRPr="00FE2A37">
        <w:rPr>
          <w:rFonts w:eastAsiaTheme="majorEastAsia" w:cstheme="minorHAnsi"/>
          <w:bCs/>
          <w:sz w:val="24"/>
          <w:szCs w:val="24"/>
          <w:lang w:val="el-GR"/>
        </w:rPr>
        <w:t xml:space="preserve">, </w:t>
      </w:r>
      <w:r w:rsidR="00191CE9">
        <w:rPr>
          <w:rFonts w:eastAsiaTheme="majorEastAsia" w:cstheme="minorHAnsi"/>
          <w:bCs/>
          <w:sz w:val="24"/>
          <w:szCs w:val="24"/>
          <w:lang w:val="el-GR"/>
        </w:rPr>
        <w:t>καθώς επίσης και του καθήκοντος εμπιστευτικότητας</w:t>
      </w:r>
      <w:r w:rsidR="00C2324D" w:rsidRPr="00FE2A37">
        <w:rPr>
          <w:rFonts w:eastAsiaTheme="majorEastAsia" w:cstheme="minorHAnsi"/>
          <w:bCs/>
          <w:sz w:val="24"/>
          <w:szCs w:val="24"/>
          <w:lang w:val="el-GR"/>
        </w:rPr>
        <w:t xml:space="preserve"> </w:t>
      </w:r>
      <w:r w:rsidR="00191CE9">
        <w:rPr>
          <w:rFonts w:eastAsiaTheme="majorEastAsia" w:cstheme="minorHAnsi"/>
          <w:bCs/>
          <w:sz w:val="24"/>
          <w:szCs w:val="24"/>
          <w:lang w:val="el-GR"/>
        </w:rPr>
        <w:t>που τηρούν οι αξιωματούχοι</w:t>
      </w:r>
      <w:r w:rsidR="00C2324D" w:rsidRPr="00FE2A37">
        <w:rPr>
          <w:rFonts w:eastAsiaTheme="majorEastAsia" w:cstheme="minorHAnsi"/>
          <w:bCs/>
          <w:sz w:val="24"/>
          <w:szCs w:val="24"/>
          <w:lang w:val="el-GR"/>
        </w:rPr>
        <w:t xml:space="preserve">. </w:t>
      </w:r>
      <w:r w:rsidR="00191CE9">
        <w:rPr>
          <w:rFonts w:eastAsiaTheme="majorEastAsia" w:cstheme="minorHAnsi"/>
          <w:bCs/>
          <w:sz w:val="24"/>
          <w:szCs w:val="24"/>
          <w:lang w:val="el-GR"/>
        </w:rPr>
        <w:t>Αυτό</w:t>
      </w:r>
      <w:r w:rsidR="00191CE9" w:rsidRPr="00191CE9">
        <w:rPr>
          <w:rFonts w:eastAsiaTheme="majorEastAsia" w:cstheme="minorHAnsi"/>
          <w:bCs/>
          <w:sz w:val="24"/>
          <w:szCs w:val="24"/>
          <w:lang w:val="el-GR"/>
        </w:rPr>
        <w:t xml:space="preserve"> </w:t>
      </w:r>
      <w:r w:rsidR="00191CE9">
        <w:rPr>
          <w:rFonts w:eastAsiaTheme="majorEastAsia" w:cstheme="minorHAnsi"/>
          <w:bCs/>
          <w:sz w:val="24"/>
          <w:szCs w:val="24"/>
          <w:lang w:val="el-GR"/>
        </w:rPr>
        <w:t>απαιτεί</w:t>
      </w:r>
      <w:r w:rsidR="00191CE9" w:rsidRPr="00191CE9">
        <w:rPr>
          <w:rFonts w:eastAsiaTheme="majorEastAsia" w:cstheme="minorHAnsi"/>
          <w:bCs/>
          <w:sz w:val="24"/>
          <w:szCs w:val="24"/>
          <w:lang w:val="el-GR"/>
        </w:rPr>
        <w:t xml:space="preserve"> </w:t>
      </w:r>
      <w:r w:rsidR="00191CE9">
        <w:rPr>
          <w:rFonts w:eastAsiaTheme="majorEastAsia" w:cstheme="minorHAnsi"/>
          <w:bCs/>
          <w:sz w:val="24"/>
          <w:szCs w:val="24"/>
          <w:lang w:val="el-GR"/>
        </w:rPr>
        <w:t>την</w:t>
      </w:r>
      <w:r w:rsidR="00191CE9" w:rsidRPr="00191CE9">
        <w:rPr>
          <w:rFonts w:eastAsiaTheme="majorEastAsia" w:cstheme="minorHAnsi"/>
          <w:bCs/>
          <w:sz w:val="24"/>
          <w:szCs w:val="24"/>
          <w:lang w:val="el-GR"/>
        </w:rPr>
        <w:t xml:space="preserve"> </w:t>
      </w:r>
      <w:r w:rsidR="00191CE9">
        <w:rPr>
          <w:rFonts w:eastAsiaTheme="majorEastAsia" w:cstheme="minorHAnsi"/>
          <w:bCs/>
          <w:sz w:val="24"/>
          <w:szCs w:val="24"/>
          <w:lang w:val="el-GR"/>
        </w:rPr>
        <w:t>ανάπτυξη</w:t>
      </w:r>
      <w:r w:rsidR="00191CE9" w:rsidRPr="00191CE9">
        <w:rPr>
          <w:rFonts w:eastAsiaTheme="majorEastAsia" w:cstheme="minorHAnsi"/>
          <w:bCs/>
          <w:sz w:val="24"/>
          <w:szCs w:val="24"/>
          <w:lang w:val="el-GR"/>
        </w:rPr>
        <w:t xml:space="preserve"> </w:t>
      </w:r>
      <w:r w:rsidR="00191CE9">
        <w:rPr>
          <w:rFonts w:eastAsiaTheme="majorEastAsia" w:cstheme="minorHAnsi"/>
          <w:bCs/>
          <w:sz w:val="24"/>
          <w:szCs w:val="24"/>
          <w:lang w:val="el-GR"/>
        </w:rPr>
        <w:t>επιπρόσθετων</w:t>
      </w:r>
      <w:r w:rsidR="00191CE9" w:rsidRPr="00191CE9">
        <w:rPr>
          <w:rFonts w:eastAsiaTheme="majorEastAsia" w:cstheme="minorHAnsi"/>
          <w:bCs/>
          <w:sz w:val="24"/>
          <w:szCs w:val="24"/>
          <w:lang w:val="el-GR"/>
        </w:rPr>
        <w:t xml:space="preserve"> </w:t>
      </w:r>
      <w:r w:rsidR="00191CE9">
        <w:rPr>
          <w:rFonts w:eastAsiaTheme="majorEastAsia" w:cstheme="minorHAnsi"/>
          <w:bCs/>
          <w:sz w:val="24"/>
          <w:szCs w:val="24"/>
          <w:lang w:val="el-GR"/>
        </w:rPr>
        <w:t>μέτρων</w:t>
      </w:r>
      <w:r w:rsidR="00C2324D" w:rsidRPr="00191CE9">
        <w:rPr>
          <w:rFonts w:cstheme="minorHAnsi"/>
          <w:sz w:val="24"/>
          <w:szCs w:val="24"/>
          <w:lang w:val="el-GR"/>
        </w:rPr>
        <w:t xml:space="preserve"> </w:t>
      </w:r>
      <w:r w:rsidR="00191CE9">
        <w:rPr>
          <w:rFonts w:cstheme="minorHAnsi"/>
          <w:sz w:val="24"/>
          <w:szCs w:val="24"/>
          <w:lang w:val="el-GR"/>
        </w:rPr>
        <w:t>για την ενθάρρυνση των αστυνομικών να μιλήσουν ανοικτά</w:t>
      </w:r>
      <w:r w:rsidR="00C2324D" w:rsidRPr="00191CE9">
        <w:rPr>
          <w:rFonts w:cstheme="minorHAnsi"/>
          <w:sz w:val="24"/>
          <w:szCs w:val="24"/>
          <w:lang w:val="el-GR"/>
        </w:rPr>
        <w:t xml:space="preserve">. </w:t>
      </w:r>
      <w:r w:rsidR="00191CE9" w:rsidRPr="00191CE9">
        <w:rPr>
          <w:rFonts w:cstheme="minorHAnsi"/>
          <w:b/>
          <w:sz w:val="24"/>
          <w:szCs w:val="24"/>
          <w:lang w:val="el-GR"/>
        </w:rPr>
        <w:t xml:space="preserve">Η </w:t>
      </w:r>
      <w:r w:rsidR="00C2324D" w:rsidRPr="004E251E">
        <w:rPr>
          <w:rFonts w:cstheme="minorHAnsi"/>
          <w:b/>
          <w:bCs/>
          <w:sz w:val="24"/>
          <w:szCs w:val="24"/>
        </w:rPr>
        <w:t>GRECO</w:t>
      </w:r>
      <w:r w:rsidR="00C2324D" w:rsidRPr="00191CE9">
        <w:rPr>
          <w:rFonts w:cstheme="minorHAnsi"/>
          <w:b/>
          <w:bCs/>
          <w:sz w:val="24"/>
          <w:szCs w:val="24"/>
          <w:lang w:val="el-GR"/>
        </w:rPr>
        <w:t xml:space="preserve"> </w:t>
      </w:r>
      <w:r w:rsidR="00191CE9">
        <w:rPr>
          <w:rFonts w:cstheme="minorHAnsi"/>
          <w:b/>
          <w:bCs/>
          <w:sz w:val="24"/>
          <w:szCs w:val="24"/>
          <w:lang w:val="el-GR"/>
        </w:rPr>
        <w:t>συνιστά</w:t>
      </w:r>
      <w:r w:rsidR="00191CE9" w:rsidRPr="00191CE9">
        <w:rPr>
          <w:rFonts w:cstheme="minorHAnsi"/>
          <w:b/>
          <w:bCs/>
          <w:sz w:val="24"/>
          <w:szCs w:val="24"/>
          <w:lang w:val="el-GR"/>
        </w:rPr>
        <w:t xml:space="preserve"> </w:t>
      </w:r>
      <w:r w:rsidR="00362B81" w:rsidRPr="00FC3D02">
        <w:rPr>
          <w:rFonts w:cstheme="minorHAnsi"/>
          <w:b/>
          <w:bCs/>
          <w:sz w:val="24"/>
          <w:szCs w:val="24"/>
          <w:lang w:val="el-GR"/>
        </w:rPr>
        <w:t xml:space="preserve">την ενίσχυση της προστασίας πληροφοριοδοτών, συμπεριλαμβανομένων εξειδικευμένων αναφορών και συμβουλευτικών καναλιών, καθώς και  </w:t>
      </w:r>
      <w:r w:rsidR="00362B81">
        <w:rPr>
          <w:rFonts w:cstheme="minorHAnsi"/>
          <w:b/>
          <w:bCs/>
          <w:sz w:val="24"/>
          <w:szCs w:val="24"/>
          <w:lang w:val="el-GR"/>
        </w:rPr>
        <w:t xml:space="preserve">παροχή </w:t>
      </w:r>
      <w:r w:rsidR="00362B81" w:rsidRPr="00FC3D02">
        <w:rPr>
          <w:rFonts w:cstheme="minorHAnsi"/>
          <w:b/>
          <w:bCs/>
          <w:sz w:val="24"/>
          <w:szCs w:val="24"/>
          <w:lang w:val="el-GR"/>
        </w:rPr>
        <w:t>εκπαίδευση</w:t>
      </w:r>
      <w:r w:rsidR="00362B81">
        <w:rPr>
          <w:rFonts w:cstheme="minorHAnsi"/>
          <w:b/>
          <w:bCs/>
          <w:sz w:val="24"/>
          <w:szCs w:val="24"/>
          <w:lang w:val="el-GR"/>
        </w:rPr>
        <w:t>ς</w:t>
      </w:r>
      <w:r w:rsidR="00362B81" w:rsidRPr="00FC3D02">
        <w:rPr>
          <w:rFonts w:cstheme="minorHAnsi"/>
          <w:b/>
          <w:bCs/>
          <w:sz w:val="24"/>
          <w:szCs w:val="24"/>
          <w:lang w:val="el-GR"/>
        </w:rPr>
        <w:t xml:space="preserve"> </w:t>
      </w:r>
      <w:r w:rsidR="00362B81">
        <w:rPr>
          <w:rFonts w:cstheme="minorHAnsi"/>
          <w:b/>
          <w:bCs/>
          <w:sz w:val="24"/>
          <w:szCs w:val="24"/>
          <w:lang w:val="el-GR"/>
        </w:rPr>
        <w:t xml:space="preserve">σε όλες  τις βαθμίδες </w:t>
      </w:r>
      <w:r w:rsidR="00362B81" w:rsidRPr="00FC3D02">
        <w:rPr>
          <w:rFonts w:cstheme="minorHAnsi"/>
          <w:b/>
          <w:bCs/>
          <w:sz w:val="24"/>
          <w:szCs w:val="24"/>
          <w:lang w:val="el-GR"/>
        </w:rPr>
        <w:t xml:space="preserve"> της Αστυνομίας και τακτική πληροφόρηση για διαθέσι</w:t>
      </w:r>
      <w:r w:rsidR="00362B81">
        <w:rPr>
          <w:rFonts w:cstheme="minorHAnsi"/>
          <w:b/>
          <w:bCs/>
          <w:sz w:val="24"/>
          <w:szCs w:val="24"/>
          <w:lang w:val="el-GR"/>
        </w:rPr>
        <w:t>μα</w:t>
      </w:r>
      <w:r w:rsidR="00362B81" w:rsidRPr="00FC3D02">
        <w:rPr>
          <w:rFonts w:cstheme="minorHAnsi"/>
          <w:b/>
          <w:bCs/>
          <w:sz w:val="24"/>
          <w:szCs w:val="24"/>
          <w:lang w:val="el-GR"/>
        </w:rPr>
        <w:t xml:space="preserve"> </w:t>
      </w:r>
      <w:r w:rsidR="00362B81">
        <w:rPr>
          <w:rFonts w:cstheme="minorHAnsi"/>
          <w:b/>
          <w:bCs/>
          <w:sz w:val="24"/>
          <w:szCs w:val="24"/>
          <w:lang w:val="el-GR"/>
        </w:rPr>
        <w:t>ένδικα μέσα</w:t>
      </w:r>
      <w:r w:rsidR="00A859DE" w:rsidRPr="00191CE9">
        <w:rPr>
          <w:rFonts w:cstheme="minorHAnsi"/>
          <w:b/>
          <w:bCs/>
          <w:sz w:val="24"/>
          <w:szCs w:val="24"/>
          <w:lang w:val="el-GR"/>
        </w:rPr>
        <w:t>.</w:t>
      </w:r>
      <w:r w:rsidR="00A859DE" w:rsidRPr="00191CE9">
        <w:rPr>
          <w:rFonts w:cstheme="minorHAnsi"/>
          <w:sz w:val="24"/>
          <w:szCs w:val="24"/>
          <w:lang w:val="el-GR"/>
        </w:rPr>
        <w:t xml:space="preserve"> </w:t>
      </w:r>
    </w:p>
    <w:p w14:paraId="31F41F20" w14:textId="77777777" w:rsidR="005F5640" w:rsidRPr="00191CE9" w:rsidRDefault="005F5640" w:rsidP="005F5640">
      <w:pPr>
        <w:pStyle w:val="ListParagraph"/>
        <w:rPr>
          <w:rFonts w:cstheme="minorHAnsi"/>
          <w:sz w:val="24"/>
          <w:szCs w:val="24"/>
          <w:lang w:val="el-GR"/>
        </w:rPr>
      </w:pPr>
    </w:p>
    <w:p w14:paraId="34909390" w14:textId="0551AA04" w:rsidR="00220066" w:rsidRPr="003C48AF" w:rsidRDefault="00191CE9" w:rsidP="00220066">
      <w:pPr>
        <w:numPr>
          <w:ilvl w:val="0"/>
          <w:numId w:val="1"/>
        </w:numPr>
        <w:tabs>
          <w:tab w:val="left" w:pos="709"/>
        </w:tabs>
        <w:ind w:left="0" w:firstLine="0"/>
        <w:rPr>
          <w:rFonts w:cstheme="minorHAnsi"/>
          <w:sz w:val="24"/>
          <w:szCs w:val="24"/>
          <w:lang w:val="el-GR"/>
        </w:rPr>
      </w:pPr>
      <w:r>
        <w:rPr>
          <w:rFonts w:cstheme="minorHAnsi"/>
          <w:sz w:val="24"/>
          <w:szCs w:val="24"/>
          <w:lang w:val="el-GR"/>
        </w:rPr>
        <w:t>Επιπλέον</w:t>
      </w:r>
      <w:r w:rsidR="00D23BD5" w:rsidRPr="003C48AF">
        <w:rPr>
          <w:rFonts w:cstheme="minorHAnsi"/>
          <w:sz w:val="24"/>
          <w:szCs w:val="24"/>
          <w:lang w:val="el-GR"/>
        </w:rPr>
        <w:t xml:space="preserve">, </w:t>
      </w:r>
      <w:r>
        <w:rPr>
          <w:rFonts w:cstheme="minorHAnsi"/>
          <w:sz w:val="24"/>
          <w:szCs w:val="24"/>
          <w:lang w:val="el-GR"/>
        </w:rPr>
        <w:t>η</w:t>
      </w:r>
      <w:r w:rsidR="005F5640" w:rsidRPr="003C48AF">
        <w:rPr>
          <w:rFonts w:cstheme="minorHAnsi"/>
          <w:sz w:val="24"/>
          <w:szCs w:val="24"/>
          <w:lang w:val="el-GR"/>
        </w:rPr>
        <w:t xml:space="preserve"> </w:t>
      </w:r>
      <w:r w:rsidR="005F5640" w:rsidRPr="00E74074">
        <w:rPr>
          <w:rFonts w:cstheme="minorHAnsi"/>
          <w:sz w:val="24"/>
          <w:szCs w:val="24"/>
        </w:rPr>
        <w:t>GET</w:t>
      </w:r>
      <w:r w:rsidR="005F5640" w:rsidRPr="003C48AF">
        <w:rPr>
          <w:rFonts w:cstheme="minorHAnsi"/>
          <w:sz w:val="24"/>
          <w:szCs w:val="24"/>
          <w:lang w:val="el-GR"/>
        </w:rPr>
        <w:t xml:space="preserve"> </w:t>
      </w:r>
      <w:r>
        <w:rPr>
          <w:rFonts w:cstheme="minorHAnsi"/>
          <w:sz w:val="24"/>
          <w:szCs w:val="24"/>
          <w:lang w:val="el-GR"/>
        </w:rPr>
        <w:t>βλέπει</w:t>
      </w:r>
      <w:r w:rsidRPr="003C48AF">
        <w:rPr>
          <w:rFonts w:cstheme="minorHAnsi"/>
          <w:sz w:val="24"/>
          <w:szCs w:val="24"/>
          <w:lang w:val="el-GR"/>
        </w:rPr>
        <w:t xml:space="preserve"> </w:t>
      </w:r>
      <w:r>
        <w:rPr>
          <w:rFonts w:cstheme="minorHAnsi"/>
          <w:sz w:val="24"/>
          <w:szCs w:val="24"/>
          <w:lang w:val="el-GR"/>
        </w:rPr>
        <w:t>την</w:t>
      </w:r>
      <w:r w:rsidRPr="003C48AF">
        <w:rPr>
          <w:rFonts w:cstheme="minorHAnsi"/>
          <w:sz w:val="24"/>
          <w:szCs w:val="24"/>
          <w:lang w:val="el-GR"/>
        </w:rPr>
        <w:t xml:space="preserve"> </w:t>
      </w:r>
      <w:r>
        <w:rPr>
          <w:rFonts w:cstheme="minorHAnsi"/>
          <w:sz w:val="24"/>
          <w:szCs w:val="24"/>
          <w:lang w:val="el-GR"/>
        </w:rPr>
        <w:t>αξία</w:t>
      </w:r>
      <w:r w:rsidRPr="003C48AF">
        <w:rPr>
          <w:rFonts w:cstheme="minorHAnsi"/>
          <w:sz w:val="24"/>
          <w:szCs w:val="24"/>
          <w:lang w:val="el-GR"/>
        </w:rPr>
        <w:t xml:space="preserve"> </w:t>
      </w:r>
      <w:r>
        <w:rPr>
          <w:rFonts w:cstheme="minorHAnsi"/>
          <w:sz w:val="24"/>
          <w:szCs w:val="24"/>
          <w:lang w:val="el-GR"/>
        </w:rPr>
        <w:t>στην</w:t>
      </w:r>
      <w:r w:rsidRPr="003C48AF">
        <w:rPr>
          <w:rFonts w:cstheme="minorHAnsi"/>
          <w:sz w:val="24"/>
          <w:szCs w:val="24"/>
          <w:lang w:val="el-GR"/>
        </w:rPr>
        <w:t xml:space="preserve"> </w:t>
      </w:r>
      <w:r>
        <w:rPr>
          <w:rFonts w:cstheme="minorHAnsi"/>
          <w:sz w:val="24"/>
          <w:szCs w:val="24"/>
          <w:lang w:val="el-GR"/>
        </w:rPr>
        <w:t>διεξαγωγή</w:t>
      </w:r>
      <w:r w:rsidRPr="003C48AF">
        <w:rPr>
          <w:rFonts w:cstheme="minorHAnsi"/>
          <w:sz w:val="24"/>
          <w:szCs w:val="24"/>
          <w:lang w:val="el-GR"/>
        </w:rPr>
        <w:t xml:space="preserve"> </w:t>
      </w:r>
      <w:r>
        <w:rPr>
          <w:rFonts w:cstheme="minorHAnsi"/>
          <w:sz w:val="24"/>
          <w:szCs w:val="24"/>
          <w:lang w:val="el-GR"/>
        </w:rPr>
        <w:t>μιας</w:t>
      </w:r>
      <w:r w:rsidRPr="003C48AF">
        <w:rPr>
          <w:rFonts w:cstheme="minorHAnsi"/>
          <w:sz w:val="24"/>
          <w:szCs w:val="24"/>
          <w:lang w:val="el-GR"/>
        </w:rPr>
        <w:t xml:space="preserve"> </w:t>
      </w:r>
      <w:r>
        <w:rPr>
          <w:rFonts w:cstheme="minorHAnsi"/>
          <w:sz w:val="24"/>
          <w:szCs w:val="24"/>
          <w:lang w:val="el-GR"/>
        </w:rPr>
        <w:t>ανεξάρτητης</w:t>
      </w:r>
      <w:r w:rsidRPr="003C48AF">
        <w:rPr>
          <w:rFonts w:cstheme="minorHAnsi"/>
          <w:sz w:val="24"/>
          <w:szCs w:val="24"/>
          <w:lang w:val="el-GR"/>
        </w:rPr>
        <w:t xml:space="preserve"> </w:t>
      </w:r>
      <w:r>
        <w:rPr>
          <w:rFonts w:cstheme="minorHAnsi"/>
          <w:sz w:val="24"/>
          <w:szCs w:val="24"/>
          <w:lang w:val="el-GR"/>
        </w:rPr>
        <w:t>μελέτης</w:t>
      </w:r>
      <w:r w:rsidR="005F5640" w:rsidRPr="003C48AF">
        <w:rPr>
          <w:rFonts w:cstheme="minorHAnsi"/>
          <w:sz w:val="24"/>
          <w:szCs w:val="24"/>
          <w:lang w:val="el-GR"/>
        </w:rPr>
        <w:t xml:space="preserve">, </w:t>
      </w:r>
      <w:r>
        <w:rPr>
          <w:rFonts w:cstheme="minorHAnsi"/>
          <w:sz w:val="24"/>
          <w:szCs w:val="24"/>
          <w:lang w:val="el-GR"/>
        </w:rPr>
        <w:t>που</w:t>
      </w:r>
      <w:r w:rsidR="005F5640" w:rsidRPr="003C48AF">
        <w:rPr>
          <w:rFonts w:cstheme="minorHAnsi"/>
          <w:sz w:val="24"/>
          <w:szCs w:val="24"/>
          <w:lang w:val="el-GR"/>
        </w:rPr>
        <w:t xml:space="preserve"> </w:t>
      </w:r>
      <w:r>
        <w:rPr>
          <w:rFonts w:cstheme="minorHAnsi"/>
          <w:sz w:val="24"/>
          <w:szCs w:val="24"/>
          <w:lang w:val="el-GR"/>
        </w:rPr>
        <w:t>ξεπερνά</w:t>
      </w:r>
      <w:r w:rsidRPr="003C48AF">
        <w:rPr>
          <w:rFonts w:cstheme="minorHAnsi"/>
          <w:sz w:val="24"/>
          <w:szCs w:val="24"/>
          <w:lang w:val="el-GR"/>
        </w:rPr>
        <w:t xml:space="preserve"> </w:t>
      </w:r>
      <w:r>
        <w:rPr>
          <w:rFonts w:cstheme="minorHAnsi"/>
          <w:sz w:val="24"/>
          <w:szCs w:val="24"/>
          <w:lang w:val="el-GR"/>
        </w:rPr>
        <w:t>τις</w:t>
      </w:r>
      <w:r w:rsidRPr="003C48AF">
        <w:rPr>
          <w:rFonts w:cstheme="minorHAnsi"/>
          <w:sz w:val="24"/>
          <w:szCs w:val="24"/>
          <w:lang w:val="el-GR"/>
        </w:rPr>
        <w:t xml:space="preserve"> </w:t>
      </w:r>
      <w:r>
        <w:rPr>
          <w:rFonts w:cstheme="minorHAnsi"/>
          <w:sz w:val="24"/>
          <w:szCs w:val="24"/>
          <w:lang w:val="el-GR"/>
        </w:rPr>
        <w:t>έρευνες</w:t>
      </w:r>
      <w:r w:rsidRPr="003C48AF">
        <w:rPr>
          <w:rFonts w:cstheme="minorHAnsi"/>
          <w:sz w:val="24"/>
          <w:szCs w:val="24"/>
          <w:lang w:val="el-GR"/>
        </w:rPr>
        <w:t xml:space="preserve"> </w:t>
      </w:r>
      <w:r>
        <w:rPr>
          <w:rFonts w:cstheme="minorHAnsi"/>
          <w:sz w:val="24"/>
          <w:szCs w:val="24"/>
          <w:lang w:val="el-GR"/>
        </w:rPr>
        <w:t>για</w:t>
      </w:r>
      <w:r w:rsidRPr="003C48AF">
        <w:rPr>
          <w:rFonts w:cstheme="minorHAnsi"/>
          <w:sz w:val="24"/>
          <w:szCs w:val="24"/>
          <w:lang w:val="el-GR"/>
        </w:rPr>
        <w:t xml:space="preserve"> </w:t>
      </w:r>
      <w:r>
        <w:rPr>
          <w:rFonts w:cstheme="minorHAnsi"/>
          <w:sz w:val="24"/>
          <w:szCs w:val="24"/>
          <w:lang w:val="el-GR"/>
        </w:rPr>
        <w:t>την</w:t>
      </w:r>
      <w:r w:rsidRPr="003C48AF">
        <w:rPr>
          <w:rFonts w:cstheme="minorHAnsi"/>
          <w:sz w:val="24"/>
          <w:szCs w:val="24"/>
          <w:lang w:val="el-GR"/>
        </w:rPr>
        <w:t xml:space="preserve"> </w:t>
      </w:r>
      <w:r>
        <w:rPr>
          <w:rFonts w:cstheme="minorHAnsi"/>
          <w:sz w:val="24"/>
          <w:szCs w:val="24"/>
          <w:lang w:val="el-GR"/>
        </w:rPr>
        <w:t>εμπιστοσύνη</w:t>
      </w:r>
      <w:r w:rsidRPr="003C48AF">
        <w:rPr>
          <w:rFonts w:cstheme="minorHAnsi"/>
          <w:sz w:val="24"/>
          <w:szCs w:val="24"/>
          <w:lang w:val="el-GR"/>
        </w:rPr>
        <w:t xml:space="preserve"> </w:t>
      </w:r>
      <w:r>
        <w:rPr>
          <w:rFonts w:cstheme="minorHAnsi"/>
          <w:sz w:val="24"/>
          <w:szCs w:val="24"/>
          <w:lang w:val="el-GR"/>
        </w:rPr>
        <w:t>που</w:t>
      </w:r>
      <w:r w:rsidRPr="003C48AF">
        <w:rPr>
          <w:rFonts w:cstheme="minorHAnsi"/>
          <w:sz w:val="24"/>
          <w:szCs w:val="24"/>
          <w:lang w:val="el-GR"/>
        </w:rPr>
        <w:t xml:space="preserve"> </w:t>
      </w:r>
      <w:r>
        <w:rPr>
          <w:rFonts w:cstheme="minorHAnsi"/>
          <w:sz w:val="24"/>
          <w:szCs w:val="24"/>
          <w:lang w:val="el-GR"/>
        </w:rPr>
        <w:t>είναι</w:t>
      </w:r>
      <w:r w:rsidRPr="003C48AF">
        <w:rPr>
          <w:rFonts w:cstheme="minorHAnsi"/>
          <w:sz w:val="24"/>
          <w:szCs w:val="24"/>
          <w:lang w:val="el-GR"/>
        </w:rPr>
        <w:t xml:space="preserve"> </w:t>
      </w:r>
      <w:r>
        <w:rPr>
          <w:rFonts w:cstheme="minorHAnsi"/>
          <w:sz w:val="24"/>
          <w:szCs w:val="24"/>
          <w:lang w:val="el-GR"/>
        </w:rPr>
        <w:t>διαθέσιμες</w:t>
      </w:r>
      <w:r w:rsidRPr="003C48AF">
        <w:rPr>
          <w:rFonts w:cstheme="minorHAnsi"/>
          <w:sz w:val="24"/>
          <w:szCs w:val="24"/>
          <w:lang w:val="el-GR"/>
        </w:rPr>
        <w:t xml:space="preserve"> </w:t>
      </w:r>
      <w:r>
        <w:rPr>
          <w:rFonts w:cstheme="minorHAnsi"/>
          <w:sz w:val="24"/>
          <w:szCs w:val="24"/>
          <w:lang w:val="el-GR"/>
        </w:rPr>
        <w:t>στο</w:t>
      </w:r>
      <w:r w:rsidRPr="003C48AF">
        <w:rPr>
          <w:rFonts w:cstheme="minorHAnsi"/>
          <w:sz w:val="24"/>
          <w:szCs w:val="24"/>
          <w:lang w:val="el-GR"/>
        </w:rPr>
        <w:t xml:space="preserve"> </w:t>
      </w:r>
      <w:r>
        <w:rPr>
          <w:rFonts w:cstheme="minorHAnsi"/>
          <w:sz w:val="24"/>
          <w:szCs w:val="24"/>
          <w:lang w:val="el-GR"/>
        </w:rPr>
        <w:t>παρόν</w:t>
      </w:r>
      <w:r w:rsidRPr="003C48AF">
        <w:rPr>
          <w:rFonts w:cstheme="minorHAnsi"/>
          <w:sz w:val="24"/>
          <w:szCs w:val="24"/>
          <w:lang w:val="el-GR"/>
        </w:rPr>
        <w:t xml:space="preserve"> </w:t>
      </w:r>
      <w:r>
        <w:rPr>
          <w:rFonts w:cstheme="minorHAnsi"/>
          <w:sz w:val="24"/>
          <w:szCs w:val="24"/>
          <w:lang w:val="el-GR"/>
        </w:rPr>
        <w:t>στάδιο</w:t>
      </w:r>
      <w:r w:rsidR="005F5640" w:rsidRPr="003C48AF">
        <w:rPr>
          <w:rFonts w:cstheme="minorHAnsi"/>
          <w:sz w:val="24"/>
          <w:szCs w:val="24"/>
          <w:lang w:val="el-GR"/>
        </w:rPr>
        <w:t xml:space="preserve">, </w:t>
      </w:r>
      <w:r>
        <w:rPr>
          <w:rFonts w:cstheme="minorHAnsi"/>
          <w:sz w:val="24"/>
          <w:szCs w:val="24"/>
          <w:lang w:val="el-GR"/>
        </w:rPr>
        <w:t>στο</w:t>
      </w:r>
      <w:r w:rsidRPr="003C48AF">
        <w:rPr>
          <w:rFonts w:cstheme="minorHAnsi"/>
          <w:sz w:val="24"/>
          <w:szCs w:val="24"/>
          <w:lang w:val="el-GR"/>
        </w:rPr>
        <w:t xml:space="preserve"> </w:t>
      </w:r>
      <w:r>
        <w:rPr>
          <w:rFonts w:cstheme="minorHAnsi"/>
          <w:sz w:val="24"/>
          <w:szCs w:val="24"/>
          <w:lang w:val="el-GR"/>
        </w:rPr>
        <w:t>ότι</w:t>
      </w:r>
      <w:r w:rsidRPr="003C48AF">
        <w:rPr>
          <w:rFonts w:cstheme="minorHAnsi"/>
          <w:sz w:val="24"/>
          <w:szCs w:val="24"/>
          <w:lang w:val="el-GR"/>
        </w:rPr>
        <w:t xml:space="preserve"> </w:t>
      </w:r>
      <w:r w:rsidR="003C48AF">
        <w:rPr>
          <w:rFonts w:cstheme="minorHAnsi"/>
          <w:sz w:val="24"/>
          <w:szCs w:val="24"/>
          <w:lang w:val="el-GR"/>
        </w:rPr>
        <w:t>αυτή</w:t>
      </w:r>
      <w:r w:rsidR="003C48AF" w:rsidRPr="003C48AF">
        <w:rPr>
          <w:rFonts w:cstheme="minorHAnsi"/>
          <w:sz w:val="24"/>
          <w:szCs w:val="24"/>
          <w:lang w:val="el-GR"/>
        </w:rPr>
        <w:t xml:space="preserve"> </w:t>
      </w:r>
      <w:r w:rsidR="003C48AF">
        <w:rPr>
          <w:rFonts w:cstheme="minorHAnsi"/>
          <w:sz w:val="24"/>
          <w:szCs w:val="24"/>
          <w:lang w:val="el-GR"/>
        </w:rPr>
        <w:t>όχι</w:t>
      </w:r>
      <w:r w:rsidR="003C48AF" w:rsidRPr="003C48AF">
        <w:rPr>
          <w:rFonts w:cstheme="minorHAnsi"/>
          <w:sz w:val="24"/>
          <w:szCs w:val="24"/>
          <w:lang w:val="el-GR"/>
        </w:rPr>
        <w:t xml:space="preserve"> </w:t>
      </w:r>
      <w:r w:rsidR="003C48AF">
        <w:rPr>
          <w:rFonts w:cstheme="minorHAnsi"/>
          <w:sz w:val="24"/>
          <w:szCs w:val="24"/>
          <w:lang w:val="el-GR"/>
        </w:rPr>
        <w:t>μόνο</w:t>
      </w:r>
      <w:r w:rsidR="003C48AF" w:rsidRPr="003C48AF">
        <w:rPr>
          <w:rFonts w:cstheme="minorHAnsi"/>
          <w:sz w:val="24"/>
          <w:szCs w:val="24"/>
          <w:lang w:val="el-GR"/>
        </w:rPr>
        <w:t xml:space="preserve"> </w:t>
      </w:r>
      <w:r w:rsidR="003C48AF">
        <w:rPr>
          <w:rFonts w:cstheme="minorHAnsi"/>
          <w:sz w:val="24"/>
          <w:szCs w:val="24"/>
          <w:lang w:val="el-GR"/>
        </w:rPr>
        <w:t>μετρά</w:t>
      </w:r>
      <w:r w:rsidR="003C48AF" w:rsidRPr="003C48AF">
        <w:rPr>
          <w:rFonts w:cstheme="minorHAnsi"/>
          <w:sz w:val="24"/>
          <w:szCs w:val="24"/>
          <w:lang w:val="el-GR"/>
        </w:rPr>
        <w:t xml:space="preserve"> </w:t>
      </w:r>
      <w:r w:rsidR="003C48AF">
        <w:rPr>
          <w:rFonts w:cstheme="minorHAnsi"/>
          <w:sz w:val="24"/>
          <w:szCs w:val="24"/>
          <w:lang w:val="el-GR"/>
        </w:rPr>
        <w:t>την</w:t>
      </w:r>
      <w:r w:rsidR="003C48AF" w:rsidRPr="003C48AF">
        <w:rPr>
          <w:rFonts w:cstheme="minorHAnsi"/>
          <w:sz w:val="24"/>
          <w:szCs w:val="24"/>
          <w:lang w:val="el-GR"/>
        </w:rPr>
        <w:t xml:space="preserve"> </w:t>
      </w:r>
      <w:r w:rsidR="003C48AF">
        <w:rPr>
          <w:rFonts w:cstheme="minorHAnsi"/>
          <w:sz w:val="24"/>
          <w:szCs w:val="24"/>
          <w:lang w:val="el-GR"/>
        </w:rPr>
        <w:t>αντίληψη</w:t>
      </w:r>
      <w:r w:rsidR="003C48AF" w:rsidRPr="003C48AF">
        <w:rPr>
          <w:rFonts w:cstheme="minorHAnsi"/>
          <w:sz w:val="24"/>
          <w:szCs w:val="24"/>
          <w:lang w:val="el-GR"/>
        </w:rPr>
        <w:t xml:space="preserve"> </w:t>
      </w:r>
      <w:r w:rsidR="003C48AF">
        <w:rPr>
          <w:rFonts w:cstheme="minorHAnsi"/>
          <w:sz w:val="24"/>
          <w:szCs w:val="24"/>
          <w:lang w:val="el-GR"/>
        </w:rPr>
        <w:t>του</w:t>
      </w:r>
      <w:r w:rsidR="003C48AF" w:rsidRPr="003C48AF">
        <w:rPr>
          <w:rFonts w:cstheme="minorHAnsi"/>
          <w:sz w:val="24"/>
          <w:szCs w:val="24"/>
          <w:lang w:val="el-GR"/>
        </w:rPr>
        <w:t xml:space="preserve"> </w:t>
      </w:r>
      <w:r w:rsidR="003C48AF">
        <w:rPr>
          <w:rFonts w:cstheme="minorHAnsi"/>
          <w:sz w:val="24"/>
          <w:szCs w:val="24"/>
          <w:lang w:val="el-GR"/>
        </w:rPr>
        <w:t>πολίτη</w:t>
      </w:r>
      <w:r w:rsidR="005F5640" w:rsidRPr="003C48AF">
        <w:rPr>
          <w:rFonts w:cstheme="minorHAnsi"/>
          <w:sz w:val="24"/>
          <w:szCs w:val="24"/>
          <w:lang w:val="el-GR"/>
        </w:rPr>
        <w:t xml:space="preserve"> </w:t>
      </w:r>
      <w:r w:rsidR="003C48AF">
        <w:rPr>
          <w:rFonts w:cstheme="minorHAnsi"/>
          <w:sz w:val="24"/>
          <w:szCs w:val="24"/>
          <w:lang w:val="el-GR"/>
        </w:rPr>
        <w:t>για</w:t>
      </w:r>
      <w:r w:rsidR="003C48AF" w:rsidRPr="003C48AF">
        <w:rPr>
          <w:rFonts w:cstheme="minorHAnsi"/>
          <w:sz w:val="24"/>
          <w:szCs w:val="24"/>
          <w:lang w:val="el-GR"/>
        </w:rPr>
        <w:t xml:space="preserve"> </w:t>
      </w:r>
      <w:r w:rsidR="003C48AF">
        <w:rPr>
          <w:rFonts w:cstheme="minorHAnsi"/>
          <w:sz w:val="24"/>
          <w:szCs w:val="24"/>
          <w:lang w:val="el-GR"/>
        </w:rPr>
        <w:t>την</w:t>
      </w:r>
      <w:r w:rsidR="003C48AF" w:rsidRPr="003C48AF">
        <w:rPr>
          <w:rFonts w:cstheme="minorHAnsi"/>
          <w:sz w:val="24"/>
          <w:szCs w:val="24"/>
          <w:lang w:val="el-GR"/>
        </w:rPr>
        <w:t xml:space="preserve"> </w:t>
      </w:r>
      <w:r w:rsidR="003C48AF">
        <w:rPr>
          <w:rFonts w:cstheme="minorHAnsi"/>
          <w:sz w:val="24"/>
          <w:szCs w:val="24"/>
          <w:lang w:val="el-GR"/>
        </w:rPr>
        <w:t xml:space="preserve">διαφθορά στην </w:t>
      </w:r>
      <w:r w:rsidR="009C4E34">
        <w:rPr>
          <w:rFonts w:cstheme="minorHAnsi"/>
          <w:sz w:val="24"/>
          <w:szCs w:val="24"/>
          <w:lang w:val="el-GR"/>
        </w:rPr>
        <w:t>Αστυνομία</w:t>
      </w:r>
      <w:r w:rsidR="005F5640" w:rsidRPr="003C48AF">
        <w:rPr>
          <w:rFonts w:cstheme="minorHAnsi"/>
          <w:sz w:val="24"/>
          <w:szCs w:val="24"/>
          <w:lang w:val="el-GR"/>
        </w:rPr>
        <w:t xml:space="preserve">, </w:t>
      </w:r>
      <w:r w:rsidR="003C48AF">
        <w:rPr>
          <w:rFonts w:cstheme="minorHAnsi"/>
          <w:sz w:val="24"/>
          <w:szCs w:val="24"/>
          <w:lang w:val="el-GR"/>
        </w:rPr>
        <w:t>αλλά επίσης εξετάζει την γενική στάση του εργατικού δυναμικού</w:t>
      </w:r>
      <w:r w:rsidR="005F5640" w:rsidRPr="003C48AF">
        <w:rPr>
          <w:rFonts w:cstheme="minorHAnsi"/>
          <w:sz w:val="24"/>
          <w:szCs w:val="24"/>
          <w:lang w:val="el-GR"/>
        </w:rPr>
        <w:t xml:space="preserve"> </w:t>
      </w:r>
      <w:r w:rsidR="003C48AF">
        <w:rPr>
          <w:rFonts w:cstheme="minorHAnsi"/>
          <w:sz w:val="24"/>
          <w:szCs w:val="24"/>
          <w:lang w:val="el-GR"/>
        </w:rPr>
        <w:t>για τις παραβιάσεις ακεραιότητας</w:t>
      </w:r>
      <w:r w:rsidR="00740C3E" w:rsidRPr="003C48AF">
        <w:rPr>
          <w:rFonts w:cstheme="minorHAnsi"/>
          <w:sz w:val="24"/>
          <w:szCs w:val="24"/>
          <w:lang w:val="el-GR"/>
        </w:rPr>
        <w:t xml:space="preserve">, </w:t>
      </w:r>
      <w:r w:rsidR="003C48AF">
        <w:rPr>
          <w:rFonts w:cstheme="minorHAnsi"/>
          <w:sz w:val="24"/>
          <w:szCs w:val="24"/>
          <w:lang w:val="el-GR"/>
        </w:rPr>
        <w:t xml:space="preserve">που </w:t>
      </w:r>
      <w:r w:rsidR="002E5EC0">
        <w:rPr>
          <w:rFonts w:cstheme="minorHAnsi"/>
          <w:sz w:val="24"/>
          <w:szCs w:val="24"/>
          <w:lang w:val="el-GR"/>
        </w:rPr>
        <w:t>ακολουθείται</w:t>
      </w:r>
      <w:r w:rsidR="003C48AF">
        <w:rPr>
          <w:rFonts w:cstheme="minorHAnsi"/>
          <w:sz w:val="24"/>
          <w:szCs w:val="24"/>
          <w:lang w:val="el-GR"/>
        </w:rPr>
        <w:t xml:space="preserve"> με συγκεκριμένα, </w:t>
      </w:r>
      <w:proofErr w:type="spellStart"/>
      <w:r w:rsidR="003C48AF">
        <w:rPr>
          <w:rFonts w:cstheme="minorHAnsi"/>
          <w:sz w:val="24"/>
          <w:szCs w:val="24"/>
          <w:lang w:val="el-GR"/>
        </w:rPr>
        <w:t>στοχευμένα</w:t>
      </w:r>
      <w:proofErr w:type="spellEnd"/>
      <w:r w:rsidR="003C48AF">
        <w:rPr>
          <w:rFonts w:cstheme="minorHAnsi"/>
          <w:sz w:val="24"/>
          <w:szCs w:val="24"/>
          <w:lang w:val="el-GR"/>
        </w:rPr>
        <w:t xml:space="preserve"> μέτρα</w:t>
      </w:r>
      <w:r w:rsidR="00740C3E" w:rsidRPr="003C48AF">
        <w:rPr>
          <w:rFonts w:cstheme="minorHAnsi"/>
          <w:sz w:val="24"/>
          <w:szCs w:val="24"/>
          <w:lang w:val="el-GR"/>
        </w:rPr>
        <w:t xml:space="preserve"> </w:t>
      </w:r>
      <w:r w:rsidR="003C48AF">
        <w:rPr>
          <w:rFonts w:cstheme="minorHAnsi"/>
          <w:sz w:val="24"/>
          <w:szCs w:val="24"/>
          <w:lang w:val="el-GR"/>
        </w:rPr>
        <w:t>για την περαιτέρω προώθηση της ηθικής συμπεριφοράς</w:t>
      </w:r>
      <w:r w:rsidR="00740C3E" w:rsidRPr="003C48AF">
        <w:rPr>
          <w:rFonts w:cstheme="minorHAnsi"/>
          <w:sz w:val="24"/>
          <w:szCs w:val="24"/>
          <w:lang w:val="el-GR"/>
        </w:rPr>
        <w:t xml:space="preserve"> </w:t>
      </w:r>
      <w:r w:rsidR="003C48AF">
        <w:rPr>
          <w:rFonts w:cstheme="minorHAnsi"/>
          <w:sz w:val="24"/>
          <w:szCs w:val="24"/>
          <w:lang w:val="el-GR"/>
        </w:rPr>
        <w:t xml:space="preserve">και την καταγγελία της διαφθοράς στην </w:t>
      </w:r>
      <w:r w:rsidR="009C4E34">
        <w:rPr>
          <w:rFonts w:cstheme="minorHAnsi"/>
          <w:sz w:val="24"/>
          <w:szCs w:val="24"/>
          <w:lang w:val="el-GR"/>
        </w:rPr>
        <w:t>Αστυνομία</w:t>
      </w:r>
      <w:r w:rsidR="00740C3E" w:rsidRPr="003C48AF">
        <w:rPr>
          <w:rFonts w:cstheme="minorHAnsi"/>
          <w:sz w:val="24"/>
          <w:szCs w:val="24"/>
          <w:lang w:val="el-GR"/>
        </w:rPr>
        <w:t xml:space="preserve">. </w:t>
      </w:r>
      <w:r w:rsidR="003C48AF">
        <w:rPr>
          <w:rFonts w:cstheme="minorHAnsi"/>
          <w:sz w:val="24"/>
          <w:szCs w:val="24"/>
          <w:lang w:val="el-GR"/>
        </w:rPr>
        <w:t>Η</w:t>
      </w:r>
      <w:r w:rsidR="00740C3E" w:rsidRPr="003C48AF">
        <w:rPr>
          <w:rFonts w:cstheme="minorHAnsi"/>
          <w:sz w:val="24"/>
          <w:szCs w:val="24"/>
          <w:lang w:val="el-GR"/>
        </w:rPr>
        <w:t xml:space="preserve"> </w:t>
      </w:r>
      <w:r w:rsidR="00740C3E">
        <w:rPr>
          <w:rFonts w:cstheme="minorHAnsi"/>
          <w:sz w:val="24"/>
          <w:szCs w:val="24"/>
        </w:rPr>
        <w:t>GET</w:t>
      </w:r>
      <w:r w:rsidR="00740C3E" w:rsidRPr="003C48AF">
        <w:rPr>
          <w:rFonts w:cstheme="minorHAnsi"/>
          <w:sz w:val="24"/>
          <w:szCs w:val="24"/>
          <w:lang w:val="el-GR"/>
        </w:rPr>
        <w:t xml:space="preserve"> </w:t>
      </w:r>
      <w:r w:rsidR="003C48AF">
        <w:rPr>
          <w:rFonts w:cstheme="minorHAnsi"/>
          <w:sz w:val="24"/>
          <w:szCs w:val="24"/>
          <w:lang w:val="el-GR"/>
        </w:rPr>
        <w:t>ενθαρρύνει</w:t>
      </w:r>
      <w:r w:rsidR="003C48AF" w:rsidRPr="003C48AF">
        <w:rPr>
          <w:rFonts w:cstheme="minorHAnsi"/>
          <w:sz w:val="24"/>
          <w:szCs w:val="24"/>
          <w:lang w:val="el-GR"/>
        </w:rPr>
        <w:t xml:space="preserve"> </w:t>
      </w:r>
      <w:r w:rsidR="003C48AF">
        <w:rPr>
          <w:rFonts w:cstheme="minorHAnsi"/>
          <w:sz w:val="24"/>
          <w:szCs w:val="24"/>
          <w:lang w:val="el-GR"/>
        </w:rPr>
        <w:t>τις</w:t>
      </w:r>
      <w:r w:rsidR="003C48AF" w:rsidRPr="003C48AF">
        <w:rPr>
          <w:rFonts w:cstheme="minorHAnsi"/>
          <w:sz w:val="24"/>
          <w:szCs w:val="24"/>
          <w:lang w:val="el-GR"/>
        </w:rPr>
        <w:t xml:space="preserve"> </w:t>
      </w:r>
      <w:r w:rsidR="003C48AF">
        <w:rPr>
          <w:rFonts w:cstheme="minorHAnsi"/>
          <w:sz w:val="24"/>
          <w:szCs w:val="24"/>
          <w:lang w:val="el-GR"/>
        </w:rPr>
        <w:t>αρχές</w:t>
      </w:r>
      <w:r w:rsidR="003C48AF" w:rsidRPr="003C48AF">
        <w:rPr>
          <w:rFonts w:cstheme="minorHAnsi"/>
          <w:sz w:val="24"/>
          <w:szCs w:val="24"/>
          <w:lang w:val="el-GR"/>
        </w:rPr>
        <w:t xml:space="preserve"> </w:t>
      </w:r>
      <w:r w:rsidR="003C48AF">
        <w:rPr>
          <w:rFonts w:cstheme="minorHAnsi"/>
          <w:sz w:val="24"/>
          <w:szCs w:val="24"/>
          <w:lang w:val="el-GR"/>
        </w:rPr>
        <w:t>να</w:t>
      </w:r>
      <w:r w:rsidR="003C48AF" w:rsidRPr="003C48AF">
        <w:rPr>
          <w:rFonts w:cstheme="minorHAnsi"/>
          <w:sz w:val="24"/>
          <w:szCs w:val="24"/>
          <w:lang w:val="el-GR"/>
        </w:rPr>
        <w:t xml:space="preserve"> </w:t>
      </w:r>
      <w:r w:rsidR="003C48AF">
        <w:rPr>
          <w:rFonts w:cstheme="minorHAnsi"/>
          <w:sz w:val="24"/>
          <w:szCs w:val="24"/>
          <w:lang w:val="el-GR"/>
        </w:rPr>
        <w:t>σκέφτονται</w:t>
      </w:r>
      <w:r w:rsidR="003C48AF" w:rsidRPr="003C48AF">
        <w:rPr>
          <w:rFonts w:cstheme="minorHAnsi"/>
          <w:sz w:val="24"/>
          <w:szCs w:val="24"/>
          <w:lang w:val="el-GR"/>
        </w:rPr>
        <w:t xml:space="preserve"> </w:t>
      </w:r>
      <w:r w:rsidR="003C48AF">
        <w:rPr>
          <w:rFonts w:cstheme="minorHAnsi"/>
          <w:sz w:val="24"/>
          <w:szCs w:val="24"/>
          <w:lang w:val="el-GR"/>
        </w:rPr>
        <w:t>προληπτικά</w:t>
      </w:r>
      <w:r w:rsidR="003C48AF" w:rsidRPr="003C48AF">
        <w:rPr>
          <w:rFonts w:cstheme="minorHAnsi"/>
          <w:sz w:val="24"/>
          <w:szCs w:val="24"/>
          <w:lang w:val="el-GR"/>
        </w:rPr>
        <w:t xml:space="preserve"> </w:t>
      </w:r>
      <w:r w:rsidR="003C48AF">
        <w:rPr>
          <w:rFonts w:cstheme="minorHAnsi"/>
          <w:sz w:val="24"/>
          <w:szCs w:val="24"/>
          <w:lang w:val="el-GR"/>
        </w:rPr>
        <w:t>από</w:t>
      </w:r>
      <w:r w:rsidR="003C48AF" w:rsidRPr="003C48AF">
        <w:rPr>
          <w:rFonts w:cstheme="minorHAnsi"/>
          <w:sz w:val="24"/>
          <w:szCs w:val="24"/>
          <w:lang w:val="el-GR"/>
        </w:rPr>
        <w:t xml:space="preserve"> </w:t>
      </w:r>
      <w:r w:rsidR="003C48AF">
        <w:rPr>
          <w:rFonts w:cstheme="minorHAnsi"/>
          <w:sz w:val="24"/>
          <w:szCs w:val="24"/>
          <w:lang w:val="el-GR"/>
        </w:rPr>
        <w:t>την</w:t>
      </w:r>
      <w:r w:rsidR="003C48AF" w:rsidRPr="003C48AF">
        <w:rPr>
          <w:rFonts w:cstheme="minorHAnsi"/>
          <w:sz w:val="24"/>
          <w:szCs w:val="24"/>
          <w:lang w:val="el-GR"/>
        </w:rPr>
        <w:t xml:space="preserve"> </w:t>
      </w:r>
      <w:r w:rsidR="003C48AF">
        <w:rPr>
          <w:rFonts w:cstheme="minorHAnsi"/>
          <w:sz w:val="24"/>
          <w:szCs w:val="24"/>
          <w:lang w:val="el-GR"/>
        </w:rPr>
        <w:t>άποψη</w:t>
      </w:r>
      <w:r w:rsidR="003C48AF" w:rsidRPr="003C48AF">
        <w:rPr>
          <w:rFonts w:cstheme="minorHAnsi"/>
          <w:sz w:val="24"/>
          <w:szCs w:val="24"/>
          <w:lang w:val="el-GR"/>
        </w:rPr>
        <w:t xml:space="preserve"> </w:t>
      </w:r>
      <w:r w:rsidR="003C48AF">
        <w:rPr>
          <w:rFonts w:cstheme="minorHAnsi"/>
          <w:sz w:val="24"/>
          <w:szCs w:val="24"/>
          <w:lang w:val="el-GR"/>
        </w:rPr>
        <w:t>αυτή</w:t>
      </w:r>
      <w:r w:rsidR="005F5640" w:rsidRPr="003C48AF">
        <w:rPr>
          <w:rFonts w:cstheme="minorHAnsi"/>
          <w:sz w:val="24"/>
          <w:szCs w:val="24"/>
          <w:lang w:val="el-GR"/>
        </w:rPr>
        <w:t xml:space="preserve">. </w:t>
      </w:r>
    </w:p>
    <w:p w14:paraId="0A6E6F4F" w14:textId="77777777" w:rsidR="005F5640" w:rsidRPr="003C48AF" w:rsidRDefault="005F5640" w:rsidP="00220066">
      <w:pPr>
        <w:tabs>
          <w:tab w:val="left" w:pos="709"/>
        </w:tabs>
        <w:rPr>
          <w:rFonts w:cstheme="minorHAnsi"/>
          <w:sz w:val="24"/>
          <w:szCs w:val="24"/>
          <w:lang w:val="el-GR"/>
        </w:rPr>
      </w:pPr>
    </w:p>
    <w:p w14:paraId="2979C066" w14:textId="3DB269B4" w:rsidR="00220066" w:rsidRPr="00441951" w:rsidRDefault="003C48AF" w:rsidP="00220066">
      <w:pPr>
        <w:pStyle w:val="Heading2"/>
        <w:tabs>
          <w:tab w:val="left" w:pos="709"/>
        </w:tabs>
        <w:spacing w:before="0"/>
        <w:rPr>
          <w:rFonts w:asciiTheme="minorHAnsi" w:hAnsiTheme="minorHAnsi" w:cstheme="minorHAnsi"/>
          <w:b w:val="0"/>
          <w:bCs w:val="0"/>
          <w:color w:val="auto"/>
          <w:sz w:val="24"/>
          <w:szCs w:val="24"/>
          <w:u w:val="single"/>
        </w:rPr>
      </w:pPr>
      <w:bookmarkStart w:id="250" w:name="_Toc110430345"/>
      <w:bookmarkStart w:id="251" w:name="_Toc117445185"/>
      <w:bookmarkStart w:id="252" w:name="_Toc136879389"/>
      <w:r>
        <w:rPr>
          <w:rFonts w:asciiTheme="minorHAnsi" w:hAnsiTheme="minorHAnsi" w:cstheme="minorHAnsi"/>
          <w:b w:val="0"/>
          <w:bCs w:val="0"/>
          <w:color w:val="auto"/>
          <w:sz w:val="24"/>
          <w:szCs w:val="24"/>
          <w:u w:val="single"/>
          <w:lang w:val="el-GR"/>
        </w:rPr>
        <w:lastRenderedPageBreak/>
        <w:t>Επιβολή και κυρώσεις</w:t>
      </w:r>
      <w:bookmarkEnd w:id="250"/>
      <w:bookmarkEnd w:id="251"/>
      <w:bookmarkEnd w:id="252"/>
    </w:p>
    <w:p w14:paraId="3ED6CEAA" w14:textId="77777777" w:rsidR="00220066" w:rsidRPr="004E251E" w:rsidRDefault="00220066" w:rsidP="00220066">
      <w:pPr>
        <w:keepNext/>
        <w:rPr>
          <w:rFonts w:cstheme="minorHAnsi"/>
          <w:sz w:val="24"/>
          <w:szCs w:val="24"/>
        </w:rPr>
      </w:pPr>
    </w:p>
    <w:p w14:paraId="51C31FC8" w14:textId="4F45A9FA" w:rsidR="00220066" w:rsidRPr="004E251E" w:rsidRDefault="003C48AF" w:rsidP="00220066">
      <w:pPr>
        <w:pStyle w:val="Heading3"/>
        <w:tabs>
          <w:tab w:val="left" w:pos="709"/>
        </w:tabs>
        <w:spacing w:before="0"/>
        <w:rPr>
          <w:rFonts w:asciiTheme="minorHAnsi" w:hAnsiTheme="minorHAnsi" w:cstheme="minorHAnsi"/>
          <w:b w:val="0"/>
          <w:i/>
          <w:color w:val="auto"/>
          <w:sz w:val="24"/>
          <w:szCs w:val="24"/>
        </w:rPr>
      </w:pPr>
      <w:bookmarkStart w:id="253" w:name="_Toc110430346"/>
      <w:bookmarkStart w:id="254" w:name="_Toc117445186"/>
      <w:bookmarkStart w:id="255" w:name="_Toc136879390"/>
      <w:r>
        <w:rPr>
          <w:rFonts w:asciiTheme="minorHAnsi" w:hAnsiTheme="minorHAnsi" w:cstheme="minorHAnsi"/>
          <w:b w:val="0"/>
          <w:i/>
          <w:color w:val="auto"/>
          <w:sz w:val="24"/>
          <w:szCs w:val="24"/>
          <w:lang w:val="el-GR"/>
        </w:rPr>
        <w:t>Πειθαρχική διαδικασία</w:t>
      </w:r>
      <w:bookmarkEnd w:id="253"/>
      <w:bookmarkEnd w:id="254"/>
      <w:bookmarkEnd w:id="255"/>
    </w:p>
    <w:p w14:paraId="45A71532" w14:textId="77777777" w:rsidR="00220066" w:rsidRPr="004E251E" w:rsidRDefault="00220066" w:rsidP="00220066">
      <w:pPr>
        <w:keepNext/>
        <w:rPr>
          <w:rFonts w:cstheme="minorHAnsi"/>
          <w:color w:val="FF0000"/>
          <w:sz w:val="24"/>
          <w:szCs w:val="24"/>
        </w:rPr>
      </w:pPr>
    </w:p>
    <w:p w14:paraId="59B79E45" w14:textId="342A4670" w:rsidR="00220066" w:rsidRPr="00136118" w:rsidRDefault="003C48AF" w:rsidP="00901561">
      <w:pPr>
        <w:numPr>
          <w:ilvl w:val="0"/>
          <w:numId w:val="1"/>
        </w:numPr>
        <w:tabs>
          <w:tab w:val="left" w:pos="709"/>
        </w:tabs>
        <w:ind w:left="0" w:firstLine="0"/>
        <w:rPr>
          <w:rFonts w:cstheme="minorHAnsi"/>
          <w:sz w:val="24"/>
          <w:szCs w:val="24"/>
          <w:lang w:val="el-GR"/>
        </w:rPr>
      </w:pPr>
      <w:bookmarkStart w:id="256" w:name="_Hlk63880801"/>
      <w:r>
        <w:rPr>
          <w:rFonts w:eastAsiaTheme="majorEastAsia" w:cstheme="minorHAnsi"/>
          <w:bCs/>
          <w:sz w:val="24"/>
          <w:szCs w:val="24"/>
          <w:lang w:val="el-GR"/>
        </w:rPr>
        <w:t>Οι</w:t>
      </w:r>
      <w:r w:rsidRPr="003C48AF">
        <w:rPr>
          <w:rFonts w:eastAsiaTheme="majorEastAsia" w:cstheme="minorHAnsi"/>
          <w:bCs/>
          <w:sz w:val="24"/>
          <w:szCs w:val="24"/>
          <w:lang w:val="el-GR"/>
        </w:rPr>
        <w:t xml:space="preserve"> </w:t>
      </w:r>
      <w:r>
        <w:rPr>
          <w:rFonts w:eastAsiaTheme="majorEastAsia" w:cstheme="minorHAnsi"/>
          <w:bCs/>
          <w:sz w:val="24"/>
          <w:szCs w:val="24"/>
          <w:lang w:val="el-GR"/>
        </w:rPr>
        <w:t>Κανονισμοί</w:t>
      </w:r>
      <w:r w:rsidRPr="003C48AF">
        <w:rPr>
          <w:rFonts w:eastAsiaTheme="majorEastAsia" w:cstheme="minorHAnsi"/>
          <w:bCs/>
          <w:sz w:val="24"/>
          <w:szCs w:val="24"/>
          <w:lang w:val="el-GR"/>
        </w:rPr>
        <w:t xml:space="preserve"> </w:t>
      </w:r>
      <w:r w:rsidR="009C4E34">
        <w:rPr>
          <w:rFonts w:eastAsiaTheme="majorEastAsia" w:cstheme="minorHAnsi"/>
          <w:bCs/>
          <w:sz w:val="24"/>
          <w:szCs w:val="24"/>
          <w:lang w:val="el-GR"/>
        </w:rPr>
        <w:t>Αστυνομία</w:t>
      </w:r>
      <w:r>
        <w:rPr>
          <w:rFonts w:eastAsiaTheme="majorEastAsia" w:cstheme="minorHAnsi"/>
          <w:bCs/>
          <w:sz w:val="24"/>
          <w:szCs w:val="24"/>
          <w:lang w:val="el-GR"/>
        </w:rPr>
        <w:t>ς</w:t>
      </w:r>
      <w:r w:rsidR="00220066" w:rsidRPr="003C48AF">
        <w:rPr>
          <w:rFonts w:eastAsiaTheme="majorEastAsia" w:cstheme="minorHAnsi"/>
          <w:bCs/>
          <w:sz w:val="24"/>
          <w:szCs w:val="24"/>
          <w:lang w:val="el-GR"/>
        </w:rPr>
        <w:t xml:space="preserve"> (</w:t>
      </w:r>
      <w:r>
        <w:rPr>
          <w:rFonts w:eastAsiaTheme="majorEastAsia" w:cstheme="minorHAnsi"/>
          <w:bCs/>
          <w:sz w:val="24"/>
          <w:szCs w:val="24"/>
          <w:lang w:val="el-GR"/>
        </w:rPr>
        <w:t>Πειθαρχικοί</w:t>
      </w:r>
      <w:r w:rsidR="00220066" w:rsidRPr="003C48AF">
        <w:rPr>
          <w:rFonts w:eastAsiaTheme="majorEastAsia" w:cstheme="minorHAnsi"/>
          <w:bCs/>
          <w:sz w:val="24"/>
          <w:szCs w:val="24"/>
          <w:lang w:val="el-GR"/>
        </w:rPr>
        <w:t>) (</w:t>
      </w:r>
      <w:r>
        <w:rPr>
          <w:rFonts w:eastAsiaTheme="majorEastAsia" w:cstheme="minorHAnsi"/>
          <w:bCs/>
          <w:sz w:val="24"/>
          <w:szCs w:val="24"/>
          <w:lang w:val="el-GR"/>
        </w:rPr>
        <w:t>Κανονιστική</w:t>
      </w:r>
      <w:r w:rsidRPr="003C48AF">
        <w:rPr>
          <w:rFonts w:eastAsiaTheme="majorEastAsia" w:cstheme="minorHAnsi"/>
          <w:bCs/>
          <w:sz w:val="24"/>
          <w:szCs w:val="24"/>
          <w:lang w:val="el-GR"/>
        </w:rPr>
        <w:t xml:space="preserve"> </w:t>
      </w:r>
      <w:r>
        <w:rPr>
          <w:rFonts w:eastAsiaTheme="majorEastAsia" w:cstheme="minorHAnsi"/>
          <w:bCs/>
          <w:sz w:val="24"/>
          <w:szCs w:val="24"/>
          <w:lang w:val="el-GR"/>
        </w:rPr>
        <w:t>Διοικητική</w:t>
      </w:r>
      <w:r w:rsidRPr="003C48AF">
        <w:rPr>
          <w:rFonts w:eastAsiaTheme="majorEastAsia" w:cstheme="minorHAnsi"/>
          <w:bCs/>
          <w:sz w:val="24"/>
          <w:szCs w:val="24"/>
          <w:lang w:val="el-GR"/>
        </w:rPr>
        <w:t xml:space="preserve"> </w:t>
      </w:r>
      <w:r>
        <w:rPr>
          <w:rFonts w:eastAsiaTheme="majorEastAsia" w:cstheme="minorHAnsi"/>
          <w:bCs/>
          <w:sz w:val="24"/>
          <w:szCs w:val="24"/>
          <w:lang w:val="el-GR"/>
        </w:rPr>
        <w:t>Πράξη</w:t>
      </w:r>
      <w:r w:rsidR="00220066" w:rsidRPr="003C48AF">
        <w:rPr>
          <w:rFonts w:eastAsiaTheme="majorEastAsia" w:cstheme="minorHAnsi"/>
          <w:bCs/>
          <w:sz w:val="24"/>
          <w:szCs w:val="24"/>
          <w:lang w:val="el-GR"/>
        </w:rPr>
        <w:t xml:space="preserve"> 53/1989) </w:t>
      </w:r>
      <w:r>
        <w:rPr>
          <w:rFonts w:eastAsiaTheme="majorEastAsia" w:cstheme="minorHAnsi"/>
          <w:bCs/>
          <w:sz w:val="24"/>
          <w:szCs w:val="24"/>
          <w:lang w:val="el-GR"/>
        </w:rPr>
        <w:t>διατυπώνουν</w:t>
      </w:r>
      <w:r w:rsidRPr="003C48AF">
        <w:rPr>
          <w:rFonts w:eastAsiaTheme="majorEastAsia" w:cstheme="minorHAnsi"/>
          <w:bCs/>
          <w:sz w:val="24"/>
          <w:szCs w:val="24"/>
          <w:lang w:val="el-GR"/>
        </w:rPr>
        <w:t xml:space="preserve"> </w:t>
      </w:r>
      <w:r>
        <w:rPr>
          <w:rFonts w:eastAsiaTheme="majorEastAsia" w:cstheme="minorHAnsi"/>
          <w:bCs/>
          <w:sz w:val="24"/>
          <w:szCs w:val="24"/>
          <w:lang w:val="el-GR"/>
        </w:rPr>
        <w:t>την</w:t>
      </w:r>
      <w:r w:rsidRPr="003C48AF">
        <w:rPr>
          <w:rFonts w:eastAsiaTheme="majorEastAsia" w:cstheme="minorHAnsi"/>
          <w:bCs/>
          <w:sz w:val="24"/>
          <w:szCs w:val="24"/>
          <w:lang w:val="el-GR"/>
        </w:rPr>
        <w:t xml:space="preserve"> </w:t>
      </w:r>
      <w:r>
        <w:rPr>
          <w:rFonts w:eastAsiaTheme="majorEastAsia" w:cstheme="minorHAnsi"/>
          <w:bCs/>
          <w:sz w:val="24"/>
          <w:szCs w:val="24"/>
          <w:lang w:val="el-GR"/>
        </w:rPr>
        <w:t>εφαρμόσιμη</w:t>
      </w:r>
      <w:r w:rsidRPr="003C48AF">
        <w:rPr>
          <w:rFonts w:eastAsiaTheme="majorEastAsia" w:cstheme="minorHAnsi"/>
          <w:bCs/>
          <w:sz w:val="24"/>
          <w:szCs w:val="24"/>
          <w:lang w:val="el-GR"/>
        </w:rPr>
        <w:t xml:space="preserve"> </w:t>
      </w:r>
      <w:r>
        <w:rPr>
          <w:rFonts w:eastAsiaTheme="majorEastAsia" w:cstheme="minorHAnsi"/>
          <w:bCs/>
          <w:sz w:val="24"/>
          <w:szCs w:val="24"/>
          <w:lang w:val="el-GR"/>
        </w:rPr>
        <w:t>πειθαρχική διαδικασία</w:t>
      </w:r>
      <w:r w:rsidR="00220066" w:rsidRPr="003C48AF">
        <w:rPr>
          <w:rFonts w:eastAsiaTheme="majorEastAsia" w:cstheme="minorHAnsi"/>
          <w:bCs/>
          <w:sz w:val="24"/>
          <w:szCs w:val="24"/>
          <w:lang w:val="el-GR"/>
        </w:rPr>
        <w:t xml:space="preserve">. </w:t>
      </w:r>
      <w:r>
        <w:rPr>
          <w:rFonts w:eastAsiaTheme="majorEastAsia" w:cstheme="minorHAnsi"/>
          <w:bCs/>
          <w:sz w:val="24"/>
          <w:szCs w:val="24"/>
          <w:lang w:val="el-GR"/>
        </w:rPr>
        <w:t>Όπως</w:t>
      </w:r>
      <w:r w:rsidRPr="003C48AF">
        <w:rPr>
          <w:rFonts w:eastAsiaTheme="majorEastAsia" w:cstheme="minorHAnsi"/>
          <w:bCs/>
          <w:sz w:val="24"/>
          <w:szCs w:val="24"/>
          <w:lang w:val="el-GR"/>
        </w:rPr>
        <w:t xml:space="preserve"> </w:t>
      </w:r>
      <w:r>
        <w:rPr>
          <w:rFonts w:eastAsiaTheme="majorEastAsia" w:cstheme="minorHAnsi"/>
          <w:bCs/>
          <w:sz w:val="24"/>
          <w:szCs w:val="24"/>
          <w:lang w:val="el-GR"/>
        </w:rPr>
        <w:t>αναφέρεται</w:t>
      </w:r>
      <w:r w:rsidRPr="003C48AF">
        <w:rPr>
          <w:rFonts w:eastAsiaTheme="majorEastAsia" w:cstheme="minorHAnsi"/>
          <w:bCs/>
          <w:sz w:val="24"/>
          <w:szCs w:val="24"/>
          <w:lang w:val="el-GR"/>
        </w:rPr>
        <w:t xml:space="preserve"> </w:t>
      </w:r>
      <w:r>
        <w:rPr>
          <w:rFonts w:eastAsiaTheme="majorEastAsia" w:cstheme="minorHAnsi"/>
          <w:bCs/>
          <w:sz w:val="24"/>
          <w:szCs w:val="24"/>
          <w:lang w:val="el-GR"/>
        </w:rPr>
        <w:t>προηγουμένως</w:t>
      </w:r>
      <w:r w:rsidR="00220066" w:rsidRPr="003C48AF">
        <w:rPr>
          <w:rFonts w:eastAsiaTheme="majorEastAsia" w:cstheme="minorHAnsi"/>
          <w:bCs/>
          <w:sz w:val="24"/>
          <w:szCs w:val="24"/>
          <w:lang w:val="el-GR"/>
        </w:rPr>
        <w:t xml:space="preserve">, </w:t>
      </w:r>
      <w:r>
        <w:rPr>
          <w:rFonts w:eastAsiaTheme="majorEastAsia" w:cstheme="minorHAnsi"/>
          <w:bCs/>
          <w:sz w:val="24"/>
          <w:szCs w:val="24"/>
          <w:lang w:val="el-GR"/>
        </w:rPr>
        <w:t>η</w:t>
      </w:r>
      <w:r w:rsidRPr="003C48AF">
        <w:rPr>
          <w:rFonts w:eastAsiaTheme="majorEastAsia" w:cstheme="minorHAnsi"/>
          <w:bCs/>
          <w:sz w:val="24"/>
          <w:szCs w:val="24"/>
          <w:lang w:val="el-GR"/>
        </w:rPr>
        <w:t xml:space="preserve"> </w:t>
      </w:r>
      <w:r w:rsidR="00220066" w:rsidRPr="004E251E">
        <w:rPr>
          <w:rFonts w:eastAsiaTheme="majorEastAsia" w:cstheme="minorHAnsi"/>
          <w:bCs/>
          <w:sz w:val="24"/>
          <w:szCs w:val="24"/>
        </w:rPr>
        <w:t>PSID</w:t>
      </w:r>
      <w:r w:rsidR="00220066" w:rsidRPr="003C48AF">
        <w:rPr>
          <w:rFonts w:eastAsiaTheme="majorEastAsia" w:cstheme="minorHAnsi"/>
          <w:bCs/>
          <w:sz w:val="24"/>
          <w:szCs w:val="24"/>
          <w:lang w:val="el-GR"/>
        </w:rPr>
        <w:t xml:space="preserve"> </w:t>
      </w:r>
      <w:r>
        <w:rPr>
          <w:rFonts w:eastAsiaTheme="majorEastAsia" w:cstheme="minorHAnsi"/>
          <w:bCs/>
          <w:sz w:val="24"/>
          <w:szCs w:val="24"/>
          <w:lang w:val="el-GR"/>
        </w:rPr>
        <w:t>χειρίζεται την διερεύνηση των πειθαρχικών αδικημάτων</w:t>
      </w:r>
      <w:r w:rsidR="00901561" w:rsidRPr="003C48AF">
        <w:rPr>
          <w:rFonts w:cstheme="minorHAnsi"/>
          <w:sz w:val="24"/>
          <w:szCs w:val="24"/>
          <w:lang w:val="el-GR"/>
        </w:rPr>
        <w:t xml:space="preserve">. </w:t>
      </w:r>
      <w:r>
        <w:rPr>
          <w:rFonts w:cstheme="minorHAnsi"/>
          <w:sz w:val="24"/>
          <w:szCs w:val="24"/>
          <w:lang w:val="el-GR"/>
        </w:rPr>
        <w:t>Οι</w:t>
      </w:r>
      <w:r w:rsidRPr="003C48AF">
        <w:rPr>
          <w:rFonts w:cstheme="minorHAnsi"/>
          <w:sz w:val="24"/>
          <w:szCs w:val="24"/>
          <w:lang w:val="el-GR"/>
        </w:rPr>
        <w:t xml:space="preserve"> </w:t>
      </w:r>
      <w:r>
        <w:rPr>
          <w:rFonts w:cstheme="minorHAnsi"/>
          <w:sz w:val="24"/>
          <w:szCs w:val="24"/>
          <w:lang w:val="el-GR"/>
        </w:rPr>
        <w:t>πειθαρχικές</w:t>
      </w:r>
      <w:r w:rsidRPr="003C48AF">
        <w:rPr>
          <w:rFonts w:cstheme="minorHAnsi"/>
          <w:sz w:val="24"/>
          <w:szCs w:val="24"/>
          <w:lang w:val="el-GR"/>
        </w:rPr>
        <w:t xml:space="preserve"> </w:t>
      </w:r>
      <w:r>
        <w:rPr>
          <w:rFonts w:cstheme="minorHAnsi"/>
          <w:sz w:val="24"/>
          <w:szCs w:val="24"/>
          <w:lang w:val="el-GR"/>
        </w:rPr>
        <w:t>υποθέσεις</w:t>
      </w:r>
      <w:r w:rsidR="00992CFF" w:rsidRPr="003C48AF">
        <w:rPr>
          <w:rFonts w:eastAsia="Times New Roman" w:cs="Calibri"/>
          <w:bCs/>
          <w:sz w:val="24"/>
          <w:szCs w:val="24"/>
          <w:lang w:val="el-GR"/>
        </w:rPr>
        <w:t xml:space="preserve"> </w:t>
      </w:r>
      <w:r>
        <w:rPr>
          <w:rFonts w:eastAsia="Times New Roman" w:cs="Calibri"/>
          <w:bCs/>
          <w:sz w:val="24"/>
          <w:szCs w:val="24"/>
          <w:lang w:val="el-GR"/>
        </w:rPr>
        <w:t>διερευν</w:t>
      </w:r>
      <w:r w:rsidR="0080357C">
        <w:rPr>
          <w:rFonts w:eastAsia="Times New Roman" w:cs="Calibri"/>
          <w:bCs/>
          <w:sz w:val="24"/>
          <w:szCs w:val="24"/>
          <w:lang w:val="el-GR"/>
        </w:rPr>
        <w:t>ώ</w:t>
      </w:r>
      <w:r>
        <w:rPr>
          <w:rFonts w:eastAsia="Times New Roman" w:cs="Calibri"/>
          <w:bCs/>
          <w:sz w:val="24"/>
          <w:szCs w:val="24"/>
          <w:lang w:val="el-GR"/>
        </w:rPr>
        <w:t>νται</w:t>
      </w:r>
      <w:r w:rsidRPr="003C48AF">
        <w:rPr>
          <w:rFonts w:eastAsia="Times New Roman" w:cs="Calibri"/>
          <w:bCs/>
          <w:sz w:val="24"/>
          <w:szCs w:val="24"/>
          <w:lang w:val="el-GR"/>
        </w:rPr>
        <w:t xml:space="preserve"> </w:t>
      </w:r>
      <w:r>
        <w:rPr>
          <w:rFonts w:eastAsia="Times New Roman" w:cs="Calibri"/>
          <w:bCs/>
          <w:sz w:val="24"/>
          <w:szCs w:val="24"/>
          <w:lang w:val="el-GR"/>
        </w:rPr>
        <w:t>επίσης</w:t>
      </w:r>
      <w:r w:rsidRPr="003C48AF">
        <w:rPr>
          <w:rFonts w:eastAsia="Times New Roman" w:cs="Calibri"/>
          <w:bCs/>
          <w:sz w:val="24"/>
          <w:szCs w:val="24"/>
          <w:lang w:val="el-GR"/>
        </w:rPr>
        <w:t xml:space="preserve"> </w:t>
      </w:r>
      <w:r>
        <w:rPr>
          <w:rFonts w:eastAsia="Times New Roman" w:cs="Calibri"/>
          <w:bCs/>
          <w:sz w:val="24"/>
          <w:szCs w:val="24"/>
          <w:lang w:val="el-GR"/>
        </w:rPr>
        <w:t>από</w:t>
      </w:r>
      <w:r w:rsidRPr="003C48AF">
        <w:rPr>
          <w:rFonts w:eastAsia="Times New Roman" w:cs="Calibri"/>
          <w:bCs/>
          <w:sz w:val="24"/>
          <w:szCs w:val="24"/>
          <w:lang w:val="el-GR"/>
        </w:rPr>
        <w:t xml:space="preserve"> </w:t>
      </w:r>
      <w:r>
        <w:rPr>
          <w:rFonts w:eastAsia="Times New Roman" w:cs="Calibri"/>
          <w:bCs/>
          <w:sz w:val="24"/>
          <w:szCs w:val="24"/>
          <w:lang w:val="el-GR"/>
        </w:rPr>
        <w:t>Αστυνομικούς</w:t>
      </w:r>
      <w:r w:rsidR="00992CFF" w:rsidRPr="003C48AF">
        <w:rPr>
          <w:rFonts w:eastAsia="Times New Roman" w:cs="Calibri"/>
          <w:bCs/>
          <w:sz w:val="24"/>
          <w:szCs w:val="24"/>
          <w:lang w:val="el-GR"/>
        </w:rPr>
        <w:t xml:space="preserve"> (</w:t>
      </w:r>
      <w:r>
        <w:rPr>
          <w:rFonts w:eastAsia="Times New Roman" w:cs="Calibri"/>
          <w:bCs/>
          <w:sz w:val="24"/>
          <w:szCs w:val="24"/>
          <w:lang w:val="el-GR"/>
        </w:rPr>
        <w:t>βαθμό</w:t>
      </w:r>
      <w:r w:rsidRPr="003C48AF">
        <w:rPr>
          <w:rFonts w:eastAsia="Times New Roman" w:cs="Calibri"/>
          <w:bCs/>
          <w:sz w:val="24"/>
          <w:szCs w:val="24"/>
          <w:lang w:val="el-GR"/>
        </w:rPr>
        <w:t xml:space="preserve"> </w:t>
      </w:r>
      <w:r>
        <w:rPr>
          <w:rFonts w:eastAsia="Times New Roman" w:cs="Calibri"/>
          <w:bCs/>
          <w:sz w:val="24"/>
          <w:szCs w:val="24"/>
          <w:lang w:val="el-GR"/>
        </w:rPr>
        <w:t>Επιθεωρητή και πάνω</w:t>
      </w:r>
      <w:r w:rsidR="00992CFF" w:rsidRPr="003C48AF">
        <w:rPr>
          <w:rFonts w:eastAsia="Times New Roman" w:cs="Calibri"/>
          <w:bCs/>
          <w:sz w:val="24"/>
          <w:szCs w:val="24"/>
          <w:lang w:val="el-GR"/>
        </w:rPr>
        <w:t xml:space="preserve">) </w:t>
      </w:r>
      <w:r>
        <w:rPr>
          <w:rFonts w:eastAsia="Times New Roman" w:cs="Calibri"/>
          <w:bCs/>
          <w:sz w:val="24"/>
          <w:szCs w:val="24"/>
          <w:lang w:val="el-GR"/>
        </w:rPr>
        <w:t xml:space="preserve">που διορίζονται από τον Βοηθό Αρχηγό της </w:t>
      </w:r>
      <w:r w:rsidR="009C4E34">
        <w:rPr>
          <w:rFonts w:eastAsia="Times New Roman" w:cs="Calibri"/>
          <w:bCs/>
          <w:sz w:val="24"/>
          <w:szCs w:val="24"/>
          <w:lang w:val="el-GR"/>
        </w:rPr>
        <w:t>Αστυνομία</w:t>
      </w:r>
      <w:r>
        <w:rPr>
          <w:rFonts w:eastAsia="Times New Roman" w:cs="Calibri"/>
          <w:bCs/>
          <w:sz w:val="24"/>
          <w:szCs w:val="24"/>
          <w:lang w:val="el-GR"/>
        </w:rPr>
        <w:t>ς</w:t>
      </w:r>
      <w:r w:rsidR="00992CFF" w:rsidRPr="003C48AF">
        <w:rPr>
          <w:rFonts w:eastAsia="Times New Roman" w:cs="Calibri"/>
          <w:bCs/>
          <w:sz w:val="24"/>
          <w:szCs w:val="24"/>
          <w:lang w:val="el-GR"/>
        </w:rPr>
        <w:t xml:space="preserve"> (</w:t>
      </w:r>
      <w:r>
        <w:rPr>
          <w:rFonts w:eastAsia="Times New Roman" w:cs="Calibri"/>
          <w:bCs/>
          <w:sz w:val="24"/>
          <w:szCs w:val="24"/>
          <w:lang w:val="el-GR"/>
        </w:rPr>
        <w:t>Διοίκηση</w:t>
      </w:r>
      <w:r w:rsidR="00992CFF" w:rsidRPr="003C48AF">
        <w:rPr>
          <w:rFonts w:eastAsia="Times New Roman" w:cs="Calibri"/>
          <w:bCs/>
          <w:sz w:val="24"/>
          <w:szCs w:val="24"/>
          <w:lang w:val="el-GR"/>
        </w:rPr>
        <w:t xml:space="preserve">). </w:t>
      </w:r>
      <w:r>
        <w:rPr>
          <w:rFonts w:eastAsia="Times New Roman" w:cs="Calibri"/>
          <w:bCs/>
          <w:sz w:val="24"/>
          <w:szCs w:val="24"/>
          <w:lang w:val="el-GR"/>
        </w:rPr>
        <w:t>Σχετικά</w:t>
      </w:r>
      <w:r w:rsidRPr="00B35948">
        <w:rPr>
          <w:rFonts w:eastAsia="Times New Roman" w:cs="Calibri"/>
          <w:bCs/>
          <w:sz w:val="24"/>
          <w:szCs w:val="24"/>
          <w:lang w:val="el-GR"/>
        </w:rPr>
        <w:t xml:space="preserve"> </w:t>
      </w:r>
      <w:r>
        <w:rPr>
          <w:rFonts w:eastAsia="Times New Roman" w:cs="Calibri"/>
          <w:bCs/>
          <w:sz w:val="24"/>
          <w:szCs w:val="24"/>
          <w:lang w:val="el-GR"/>
        </w:rPr>
        <w:t>με</w:t>
      </w:r>
      <w:r w:rsidRPr="00B35948">
        <w:rPr>
          <w:rFonts w:eastAsia="Times New Roman" w:cs="Calibri"/>
          <w:bCs/>
          <w:sz w:val="24"/>
          <w:szCs w:val="24"/>
          <w:lang w:val="el-GR"/>
        </w:rPr>
        <w:t xml:space="preserve"> </w:t>
      </w:r>
      <w:r>
        <w:rPr>
          <w:rFonts w:eastAsia="Times New Roman" w:cs="Calibri"/>
          <w:bCs/>
          <w:sz w:val="24"/>
          <w:szCs w:val="24"/>
          <w:lang w:val="el-GR"/>
        </w:rPr>
        <w:t>την</w:t>
      </w:r>
      <w:r w:rsidRPr="00B35948">
        <w:rPr>
          <w:rFonts w:eastAsia="Times New Roman" w:cs="Calibri"/>
          <w:bCs/>
          <w:sz w:val="24"/>
          <w:szCs w:val="24"/>
          <w:lang w:val="el-GR"/>
        </w:rPr>
        <w:t xml:space="preserve"> </w:t>
      </w:r>
      <w:r>
        <w:rPr>
          <w:rFonts w:eastAsia="Times New Roman" w:cs="Calibri"/>
          <w:bCs/>
          <w:sz w:val="24"/>
          <w:szCs w:val="24"/>
          <w:lang w:val="el-GR"/>
        </w:rPr>
        <w:t>διαδικασία</w:t>
      </w:r>
      <w:r w:rsidRPr="00B35948">
        <w:rPr>
          <w:rFonts w:eastAsia="Times New Roman" w:cs="Calibri"/>
          <w:bCs/>
          <w:sz w:val="24"/>
          <w:szCs w:val="24"/>
          <w:lang w:val="el-GR"/>
        </w:rPr>
        <w:t xml:space="preserve"> </w:t>
      </w:r>
      <w:r>
        <w:rPr>
          <w:rFonts w:eastAsia="Times New Roman" w:cs="Calibri"/>
          <w:bCs/>
          <w:sz w:val="24"/>
          <w:szCs w:val="24"/>
          <w:lang w:val="el-GR"/>
        </w:rPr>
        <w:t>επιδίκασης</w:t>
      </w:r>
      <w:r w:rsidRPr="00B35948">
        <w:rPr>
          <w:rFonts w:eastAsia="Times New Roman" w:cs="Calibri"/>
          <w:bCs/>
          <w:sz w:val="24"/>
          <w:szCs w:val="24"/>
          <w:lang w:val="el-GR"/>
        </w:rPr>
        <w:t>/</w:t>
      </w:r>
      <w:r>
        <w:rPr>
          <w:rFonts w:eastAsia="Times New Roman" w:cs="Calibri"/>
          <w:bCs/>
          <w:sz w:val="24"/>
          <w:szCs w:val="24"/>
          <w:lang w:val="el-GR"/>
        </w:rPr>
        <w:t>κύρωσης</w:t>
      </w:r>
      <w:r w:rsidR="00A90F70" w:rsidRPr="00B35948">
        <w:rPr>
          <w:rFonts w:eastAsiaTheme="majorEastAsia" w:cstheme="minorHAnsi"/>
          <w:bCs/>
          <w:sz w:val="24"/>
          <w:szCs w:val="24"/>
          <w:lang w:val="el-GR"/>
        </w:rPr>
        <w:t xml:space="preserve">, </w:t>
      </w:r>
      <w:r>
        <w:rPr>
          <w:rFonts w:eastAsiaTheme="majorEastAsia" w:cstheme="minorHAnsi"/>
          <w:bCs/>
          <w:sz w:val="24"/>
          <w:szCs w:val="24"/>
          <w:lang w:val="el-GR"/>
        </w:rPr>
        <w:t>για</w:t>
      </w:r>
      <w:r w:rsidRPr="00B35948">
        <w:rPr>
          <w:rFonts w:eastAsiaTheme="majorEastAsia" w:cstheme="minorHAnsi"/>
          <w:bCs/>
          <w:sz w:val="24"/>
          <w:szCs w:val="24"/>
          <w:lang w:val="el-GR"/>
        </w:rPr>
        <w:t xml:space="preserve"> </w:t>
      </w:r>
      <w:r>
        <w:rPr>
          <w:rFonts w:eastAsiaTheme="majorEastAsia" w:cstheme="minorHAnsi"/>
          <w:bCs/>
          <w:sz w:val="24"/>
          <w:szCs w:val="24"/>
          <w:lang w:val="el-GR"/>
        </w:rPr>
        <w:t>Ανωτέρους</w:t>
      </w:r>
      <w:r w:rsidRPr="00B35948">
        <w:rPr>
          <w:rFonts w:eastAsiaTheme="majorEastAsia" w:cstheme="minorHAnsi"/>
          <w:bCs/>
          <w:sz w:val="24"/>
          <w:szCs w:val="24"/>
          <w:lang w:val="el-GR"/>
        </w:rPr>
        <w:t xml:space="preserve"> </w:t>
      </w:r>
      <w:r>
        <w:rPr>
          <w:rFonts w:eastAsiaTheme="majorEastAsia" w:cstheme="minorHAnsi"/>
          <w:bCs/>
          <w:sz w:val="24"/>
          <w:szCs w:val="24"/>
          <w:lang w:val="el-GR"/>
        </w:rPr>
        <w:t>Αστυνομικούς</w:t>
      </w:r>
      <w:r w:rsidR="00E32602" w:rsidRPr="00B35948">
        <w:rPr>
          <w:rFonts w:cstheme="minorHAnsi"/>
          <w:sz w:val="24"/>
          <w:szCs w:val="24"/>
          <w:lang w:val="el-GR"/>
        </w:rPr>
        <w:t xml:space="preserve"> (</w:t>
      </w:r>
      <w:r>
        <w:rPr>
          <w:rFonts w:cstheme="minorHAnsi"/>
          <w:sz w:val="24"/>
          <w:szCs w:val="24"/>
          <w:lang w:val="el-GR"/>
        </w:rPr>
        <w:t>βαθμό</w:t>
      </w:r>
      <w:r w:rsidRPr="00B35948">
        <w:rPr>
          <w:rFonts w:cstheme="minorHAnsi"/>
          <w:sz w:val="24"/>
          <w:szCs w:val="24"/>
          <w:lang w:val="el-GR"/>
        </w:rPr>
        <w:t xml:space="preserve"> </w:t>
      </w:r>
      <w:r>
        <w:rPr>
          <w:rFonts w:cstheme="minorHAnsi"/>
          <w:sz w:val="24"/>
          <w:szCs w:val="24"/>
          <w:lang w:val="el-GR"/>
        </w:rPr>
        <w:t>Υπαστυνόμου</w:t>
      </w:r>
      <w:r w:rsidRPr="00B35948">
        <w:rPr>
          <w:rFonts w:cstheme="minorHAnsi"/>
          <w:sz w:val="24"/>
          <w:szCs w:val="24"/>
          <w:lang w:val="el-GR"/>
        </w:rPr>
        <w:t xml:space="preserve"> </w:t>
      </w:r>
      <w:r>
        <w:rPr>
          <w:rFonts w:cstheme="minorHAnsi"/>
          <w:sz w:val="24"/>
          <w:szCs w:val="24"/>
          <w:lang w:val="el-GR"/>
        </w:rPr>
        <w:t>Β</w:t>
      </w:r>
      <w:r w:rsidRPr="00B35948">
        <w:rPr>
          <w:rFonts w:cstheme="minorHAnsi"/>
          <w:sz w:val="24"/>
          <w:szCs w:val="24"/>
          <w:lang w:val="el-GR"/>
        </w:rPr>
        <w:t xml:space="preserve"> </w:t>
      </w:r>
      <w:r>
        <w:rPr>
          <w:rFonts w:cstheme="minorHAnsi"/>
          <w:sz w:val="24"/>
          <w:szCs w:val="24"/>
          <w:lang w:val="el-GR"/>
        </w:rPr>
        <w:t>και</w:t>
      </w:r>
      <w:r w:rsidRPr="00B35948">
        <w:rPr>
          <w:rFonts w:cstheme="minorHAnsi"/>
          <w:sz w:val="24"/>
          <w:szCs w:val="24"/>
          <w:lang w:val="el-GR"/>
        </w:rPr>
        <w:t xml:space="preserve"> </w:t>
      </w:r>
      <w:r>
        <w:rPr>
          <w:rFonts w:cstheme="minorHAnsi"/>
          <w:sz w:val="24"/>
          <w:szCs w:val="24"/>
          <w:lang w:val="el-GR"/>
        </w:rPr>
        <w:t>πάνω</w:t>
      </w:r>
      <w:r w:rsidR="00E32602" w:rsidRPr="00B35948">
        <w:rPr>
          <w:rFonts w:cstheme="minorHAnsi"/>
          <w:sz w:val="24"/>
          <w:szCs w:val="24"/>
          <w:lang w:val="el-GR"/>
        </w:rPr>
        <w:t xml:space="preserve">), </w:t>
      </w:r>
      <w:r w:rsidR="00B35948">
        <w:rPr>
          <w:rFonts w:cstheme="minorHAnsi"/>
          <w:sz w:val="24"/>
          <w:szCs w:val="24"/>
          <w:lang w:val="el-GR"/>
        </w:rPr>
        <w:t>συγκροτείται</w:t>
      </w:r>
      <w:r w:rsidR="00B35948" w:rsidRPr="00B35948">
        <w:rPr>
          <w:rFonts w:cstheme="minorHAnsi"/>
          <w:sz w:val="24"/>
          <w:szCs w:val="24"/>
          <w:lang w:val="el-GR"/>
        </w:rPr>
        <w:t xml:space="preserve"> </w:t>
      </w:r>
      <w:r w:rsidR="00B35948">
        <w:rPr>
          <w:rFonts w:cstheme="minorHAnsi"/>
          <w:sz w:val="24"/>
          <w:szCs w:val="24"/>
          <w:lang w:val="el-GR"/>
        </w:rPr>
        <w:t>μια</w:t>
      </w:r>
      <w:r w:rsidR="00B35948" w:rsidRPr="00B35948">
        <w:rPr>
          <w:rFonts w:cstheme="minorHAnsi"/>
          <w:sz w:val="24"/>
          <w:szCs w:val="24"/>
          <w:lang w:val="el-GR"/>
        </w:rPr>
        <w:t xml:space="preserve"> </w:t>
      </w:r>
      <w:r w:rsidR="00B35948">
        <w:rPr>
          <w:rFonts w:cstheme="minorHAnsi"/>
          <w:sz w:val="24"/>
          <w:szCs w:val="24"/>
          <w:lang w:val="el-GR"/>
        </w:rPr>
        <w:t>Πειθαρχική</w:t>
      </w:r>
      <w:r w:rsidR="00B35948" w:rsidRPr="00B35948">
        <w:rPr>
          <w:rFonts w:cstheme="minorHAnsi"/>
          <w:sz w:val="24"/>
          <w:szCs w:val="24"/>
          <w:lang w:val="el-GR"/>
        </w:rPr>
        <w:t xml:space="preserve"> </w:t>
      </w:r>
      <w:r w:rsidR="00B35948">
        <w:rPr>
          <w:rFonts w:cstheme="minorHAnsi"/>
          <w:sz w:val="24"/>
          <w:szCs w:val="24"/>
          <w:lang w:val="el-GR"/>
        </w:rPr>
        <w:t>Επιτροπή</w:t>
      </w:r>
      <w:r w:rsidR="00E32602" w:rsidRPr="00B35948">
        <w:rPr>
          <w:rFonts w:cstheme="minorHAnsi"/>
          <w:sz w:val="24"/>
          <w:szCs w:val="24"/>
          <w:lang w:val="el-GR"/>
        </w:rPr>
        <w:t xml:space="preserve"> </w:t>
      </w:r>
      <w:r w:rsidR="00B35948">
        <w:rPr>
          <w:rFonts w:cstheme="minorHAnsi"/>
          <w:sz w:val="24"/>
          <w:szCs w:val="24"/>
          <w:lang w:val="el-GR"/>
        </w:rPr>
        <w:t>με</w:t>
      </w:r>
      <w:r w:rsidR="00B35948" w:rsidRPr="00B35948">
        <w:rPr>
          <w:rFonts w:cstheme="minorHAnsi"/>
          <w:sz w:val="24"/>
          <w:szCs w:val="24"/>
          <w:lang w:val="el-GR"/>
        </w:rPr>
        <w:t xml:space="preserve"> </w:t>
      </w:r>
      <w:r w:rsidR="00B35948">
        <w:rPr>
          <w:rFonts w:cstheme="minorHAnsi"/>
          <w:sz w:val="24"/>
          <w:szCs w:val="24"/>
          <w:lang w:val="el-GR"/>
        </w:rPr>
        <w:t>βάση</w:t>
      </w:r>
      <w:r w:rsidR="00E32602" w:rsidRPr="00B35948">
        <w:rPr>
          <w:rFonts w:cstheme="minorHAnsi"/>
          <w:sz w:val="24"/>
          <w:szCs w:val="24"/>
          <w:lang w:val="el-GR"/>
        </w:rPr>
        <w:t xml:space="preserve"> </w:t>
      </w:r>
      <w:r w:rsidR="00E32602" w:rsidRPr="00E32602">
        <w:rPr>
          <w:rFonts w:cstheme="minorHAnsi"/>
          <w:sz w:val="24"/>
          <w:szCs w:val="24"/>
        </w:rPr>
        <w:t>ad</w:t>
      </w:r>
      <w:r w:rsidR="00E32602" w:rsidRPr="00B35948">
        <w:rPr>
          <w:rFonts w:cstheme="minorHAnsi"/>
          <w:sz w:val="24"/>
          <w:szCs w:val="24"/>
          <w:lang w:val="el-GR"/>
        </w:rPr>
        <w:t xml:space="preserve"> </w:t>
      </w:r>
      <w:r w:rsidR="00E32602" w:rsidRPr="00E32602">
        <w:rPr>
          <w:rFonts w:cstheme="minorHAnsi"/>
          <w:sz w:val="24"/>
          <w:szCs w:val="24"/>
        </w:rPr>
        <w:t>hoc</w:t>
      </w:r>
      <w:r w:rsidR="00E32602" w:rsidRPr="00B35948">
        <w:rPr>
          <w:rFonts w:cstheme="minorHAnsi"/>
          <w:sz w:val="24"/>
          <w:szCs w:val="24"/>
          <w:lang w:val="el-GR"/>
        </w:rPr>
        <w:t xml:space="preserve"> </w:t>
      </w:r>
      <w:r w:rsidR="00B35948">
        <w:rPr>
          <w:rFonts w:cstheme="minorHAnsi"/>
          <w:sz w:val="24"/>
          <w:szCs w:val="24"/>
          <w:lang w:val="el-GR"/>
        </w:rPr>
        <w:t>από</w:t>
      </w:r>
      <w:r w:rsidR="00B35948" w:rsidRPr="00B35948">
        <w:rPr>
          <w:rFonts w:cstheme="minorHAnsi"/>
          <w:sz w:val="24"/>
          <w:szCs w:val="24"/>
          <w:lang w:val="el-GR"/>
        </w:rPr>
        <w:t xml:space="preserve"> </w:t>
      </w:r>
      <w:r w:rsidR="00B35948">
        <w:rPr>
          <w:rFonts w:cstheme="minorHAnsi"/>
          <w:sz w:val="24"/>
          <w:szCs w:val="24"/>
          <w:lang w:val="el-GR"/>
        </w:rPr>
        <w:t>τον</w:t>
      </w:r>
      <w:r w:rsidR="00B35948" w:rsidRPr="00B35948">
        <w:rPr>
          <w:rFonts w:cstheme="minorHAnsi"/>
          <w:sz w:val="24"/>
          <w:szCs w:val="24"/>
          <w:lang w:val="el-GR"/>
        </w:rPr>
        <w:t xml:space="preserve"> </w:t>
      </w:r>
      <w:r w:rsidR="00B35948">
        <w:rPr>
          <w:rFonts w:cstheme="minorHAnsi"/>
          <w:sz w:val="24"/>
          <w:szCs w:val="24"/>
          <w:lang w:val="el-GR"/>
        </w:rPr>
        <w:t>Υπουργό</w:t>
      </w:r>
      <w:r w:rsidR="00B35948" w:rsidRPr="00B35948">
        <w:rPr>
          <w:rFonts w:cstheme="minorHAnsi"/>
          <w:sz w:val="24"/>
          <w:szCs w:val="24"/>
          <w:lang w:val="el-GR"/>
        </w:rPr>
        <w:t xml:space="preserve"> </w:t>
      </w:r>
      <w:r w:rsidR="00B35948">
        <w:rPr>
          <w:rFonts w:cstheme="minorHAnsi"/>
          <w:sz w:val="24"/>
          <w:szCs w:val="24"/>
          <w:lang w:val="el-GR"/>
        </w:rPr>
        <w:t>Δικαιοσύνης</w:t>
      </w:r>
      <w:r w:rsidR="00B35948" w:rsidRPr="00B35948">
        <w:rPr>
          <w:rFonts w:cstheme="minorHAnsi"/>
          <w:sz w:val="24"/>
          <w:szCs w:val="24"/>
          <w:lang w:val="el-GR"/>
        </w:rPr>
        <w:t xml:space="preserve"> </w:t>
      </w:r>
      <w:r w:rsidR="00B35948">
        <w:rPr>
          <w:rFonts w:cstheme="minorHAnsi"/>
          <w:sz w:val="24"/>
          <w:szCs w:val="24"/>
          <w:lang w:val="el-GR"/>
        </w:rPr>
        <w:t>και</w:t>
      </w:r>
      <w:r w:rsidR="00B35948" w:rsidRPr="00B35948">
        <w:rPr>
          <w:rFonts w:cstheme="minorHAnsi"/>
          <w:sz w:val="24"/>
          <w:szCs w:val="24"/>
          <w:lang w:val="el-GR"/>
        </w:rPr>
        <w:t xml:space="preserve"> </w:t>
      </w:r>
      <w:r w:rsidR="00B35948">
        <w:rPr>
          <w:rFonts w:cstheme="minorHAnsi"/>
          <w:sz w:val="24"/>
          <w:szCs w:val="24"/>
          <w:lang w:val="el-GR"/>
        </w:rPr>
        <w:t>Δημοσίας</w:t>
      </w:r>
      <w:r w:rsidR="00B35948" w:rsidRPr="00B35948">
        <w:rPr>
          <w:rFonts w:cstheme="minorHAnsi"/>
          <w:sz w:val="24"/>
          <w:szCs w:val="24"/>
          <w:lang w:val="el-GR"/>
        </w:rPr>
        <w:t xml:space="preserve"> </w:t>
      </w:r>
      <w:r w:rsidR="00B35948">
        <w:rPr>
          <w:rFonts w:cstheme="minorHAnsi"/>
          <w:sz w:val="24"/>
          <w:szCs w:val="24"/>
          <w:lang w:val="el-GR"/>
        </w:rPr>
        <w:t>Τάξεως</w:t>
      </w:r>
      <w:r w:rsidR="00E32602" w:rsidRPr="00B35948">
        <w:rPr>
          <w:rFonts w:cstheme="minorHAnsi"/>
          <w:sz w:val="24"/>
          <w:szCs w:val="24"/>
          <w:lang w:val="el-GR"/>
        </w:rPr>
        <w:t xml:space="preserve"> </w:t>
      </w:r>
      <w:r w:rsidR="00B35948">
        <w:rPr>
          <w:rFonts w:cstheme="minorHAnsi"/>
          <w:sz w:val="24"/>
          <w:szCs w:val="24"/>
          <w:lang w:val="el-GR"/>
        </w:rPr>
        <w:t>και αποτελείται από ένα μέλος</w:t>
      </w:r>
      <w:r w:rsidR="00E32602" w:rsidRPr="00B35948">
        <w:rPr>
          <w:rFonts w:cstheme="minorHAnsi"/>
          <w:sz w:val="24"/>
          <w:szCs w:val="24"/>
          <w:lang w:val="el-GR"/>
        </w:rPr>
        <w:t xml:space="preserve"> </w:t>
      </w:r>
      <w:r w:rsidR="00B35948">
        <w:rPr>
          <w:rFonts w:cstheme="minorHAnsi"/>
          <w:sz w:val="24"/>
          <w:szCs w:val="24"/>
          <w:lang w:val="el-GR"/>
        </w:rPr>
        <w:t>της δημόσιας διοίκησης</w:t>
      </w:r>
      <w:r w:rsidR="00E32602" w:rsidRPr="00B35948">
        <w:rPr>
          <w:rFonts w:cstheme="minorHAnsi"/>
          <w:sz w:val="24"/>
          <w:szCs w:val="24"/>
          <w:lang w:val="el-GR"/>
        </w:rPr>
        <w:t xml:space="preserve">, </w:t>
      </w:r>
      <w:r w:rsidR="00B35948">
        <w:rPr>
          <w:rFonts w:cstheme="minorHAnsi"/>
          <w:sz w:val="24"/>
          <w:szCs w:val="24"/>
          <w:lang w:val="el-GR"/>
        </w:rPr>
        <w:t>ένα Λειτουργό της Νομικής Υπηρεσίας</w:t>
      </w:r>
      <w:r w:rsidR="00E32602" w:rsidRPr="00B35948">
        <w:rPr>
          <w:rFonts w:cstheme="minorHAnsi"/>
          <w:sz w:val="24"/>
          <w:szCs w:val="24"/>
          <w:lang w:val="el-GR"/>
        </w:rPr>
        <w:t xml:space="preserve"> </w:t>
      </w:r>
      <w:r w:rsidR="00B35948">
        <w:rPr>
          <w:rFonts w:cstheme="minorHAnsi"/>
          <w:sz w:val="24"/>
          <w:szCs w:val="24"/>
          <w:lang w:val="el-GR"/>
        </w:rPr>
        <w:t>που υποδεικνύεται από τον Γενικό Εισαγγελέα της Δημοκρατίας</w:t>
      </w:r>
      <w:r w:rsidR="00E32602" w:rsidRPr="00B35948">
        <w:rPr>
          <w:rFonts w:cstheme="minorHAnsi"/>
          <w:sz w:val="24"/>
          <w:szCs w:val="24"/>
          <w:lang w:val="el-GR"/>
        </w:rPr>
        <w:t xml:space="preserve"> </w:t>
      </w:r>
      <w:r w:rsidR="00B35948">
        <w:rPr>
          <w:rFonts w:cstheme="minorHAnsi"/>
          <w:sz w:val="24"/>
          <w:szCs w:val="24"/>
          <w:lang w:val="el-GR"/>
        </w:rPr>
        <w:t>και ένα</w:t>
      </w:r>
      <w:r w:rsidR="00E32602" w:rsidRPr="00B35948">
        <w:rPr>
          <w:rFonts w:cstheme="minorHAnsi"/>
          <w:sz w:val="24"/>
          <w:szCs w:val="24"/>
          <w:lang w:val="el-GR"/>
        </w:rPr>
        <w:t xml:space="preserve"> </w:t>
      </w:r>
      <w:r w:rsidR="00B35948">
        <w:rPr>
          <w:rFonts w:cstheme="minorHAnsi"/>
          <w:sz w:val="24"/>
          <w:szCs w:val="24"/>
          <w:lang w:val="el-GR"/>
        </w:rPr>
        <w:t xml:space="preserve">μέλος της </w:t>
      </w:r>
      <w:r w:rsidR="009C4E34">
        <w:rPr>
          <w:rFonts w:cstheme="minorHAnsi"/>
          <w:sz w:val="24"/>
          <w:szCs w:val="24"/>
          <w:lang w:val="el-GR"/>
        </w:rPr>
        <w:t>Αστυνομία</w:t>
      </w:r>
      <w:r w:rsidR="00B35948">
        <w:rPr>
          <w:rFonts w:cstheme="minorHAnsi"/>
          <w:sz w:val="24"/>
          <w:szCs w:val="24"/>
          <w:lang w:val="el-GR"/>
        </w:rPr>
        <w:t>ς με ψηλότερο βαθμό από τον κατηγορούμενο</w:t>
      </w:r>
      <w:r w:rsidR="00E32602" w:rsidRPr="00B35948">
        <w:rPr>
          <w:rFonts w:cstheme="minorHAnsi"/>
          <w:sz w:val="24"/>
          <w:szCs w:val="24"/>
          <w:lang w:val="el-GR"/>
        </w:rPr>
        <w:t xml:space="preserve">. </w:t>
      </w:r>
      <w:r w:rsidR="00B35948">
        <w:rPr>
          <w:rFonts w:cstheme="minorHAnsi"/>
          <w:sz w:val="24"/>
          <w:szCs w:val="24"/>
          <w:lang w:val="el-GR"/>
        </w:rPr>
        <w:t>Ο</w:t>
      </w:r>
      <w:r w:rsidR="00B35948" w:rsidRPr="00B35948">
        <w:rPr>
          <w:rFonts w:cstheme="minorHAnsi"/>
          <w:sz w:val="24"/>
          <w:szCs w:val="24"/>
          <w:lang w:val="el-GR"/>
        </w:rPr>
        <w:t xml:space="preserve"> </w:t>
      </w:r>
      <w:r w:rsidR="00B35948">
        <w:rPr>
          <w:rFonts w:cstheme="minorHAnsi"/>
          <w:sz w:val="24"/>
          <w:szCs w:val="24"/>
          <w:lang w:val="el-GR"/>
        </w:rPr>
        <w:t>εισαγγελέας</w:t>
      </w:r>
      <w:r w:rsidR="00B35948" w:rsidRPr="00B35948">
        <w:rPr>
          <w:rFonts w:cstheme="minorHAnsi"/>
          <w:sz w:val="24"/>
          <w:szCs w:val="24"/>
          <w:lang w:val="el-GR"/>
        </w:rPr>
        <w:t xml:space="preserve"> </w:t>
      </w:r>
      <w:r w:rsidR="00B35948">
        <w:rPr>
          <w:rFonts w:cstheme="minorHAnsi"/>
          <w:sz w:val="24"/>
          <w:szCs w:val="24"/>
          <w:lang w:val="el-GR"/>
        </w:rPr>
        <w:t>διορίζεται</w:t>
      </w:r>
      <w:r w:rsidR="00B35948" w:rsidRPr="00B35948">
        <w:rPr>
          <w:rFonts w:cstheme="minorHAnsi"/>
          <w:sz w:val="24"/>
          <w:szCs w:val="24"/>
          <w:lang w:val="el-GR"/>
        </w:rPr>
        <w:t xml:space="preserve"> </w:t>
      </w:r>
      <w:r w:rsidR="00B35948">
        <w:rPr>
          <w:rFonts w:cstheme="minorHAnsi"/>
          <w:sz w:val="24"/>
          <w:szCs w:val="24"/>
          <w:lang w:val="el-GR"/>
        </w:rPr>
        <w:t>από</w:t>
      </w:r>
      <w:r w:rsidR="00B35948" w:rsidRPr="00B35948">
        <w:rPr>
          <w:rFonts w:cstheme="minorHAnsi"/>
          <w:sz w:val="24"/>
          <w:szCs w:val="24"/>
          <w:lang w:val="el-GR"/>
        </w:rPr>
        <w:t xml:space="preserve"> </w:t>
      </w:r>
      <w:r w:rsidR="00B35948">
        <w:rPr>
          <w:rFonts w:cstheme="minorHAnsi"/>
          <w:sz w:val="24"/>
          <w:szCs w:val="24"/>
          <w:lang w:val="el-GR"/>
        </w:rPr>
        <w:t>τον</w:t>
      </w:r>
      <w:r w:rsidR="00B35948" w:rsidRPr="00B35948">
        <w:rPr>
          <w:rFonts w:cstheme="minorHAnsi"/>
          <w:sz w:val="24"/>
          <w:szCs w:val="24"/>
          <w:lang w:val="el-GR"/>
        </w:rPr>
        <w:t xml:space="preserve"> </w:t>
      </w:r>
      <w:r w:rsidR="00B35948">
        <w:rPr>
          <w:rFonts w:cstheme="minorHAnsi"/>
          <w:sz w:val="24"/>
          <w:szCs w:val="24"/>
          <w:lang w:val="el-GR"/>
        </w:rPr>
        <w:t>Γενικό</w:t>
      </w:r>
      <w:r w:rsidR="00B35948" w:rsidRPr="00B35948">
        <w:rPr>
          <w:rFonts w:cstheme="minorHAnsi"/>
          <w:sz w:val="24"/>
          <w:szCs w:val="24"/>
          <w:lang w:val="el-GR"/>
        </w:rPr>
        <w:t xml:space="preserve"> </w:t>
      </w:r>
      <w:r w:rsidR="00B35948">
        <w:rPr>
          <w:rFonts w:cstheme="minorHAnsi"/>
          <w:sz w:val="24"/>
          <w:szCs w:val="24"/>
          <w:lang w:val="el-GR"/>
        </w:rPr>
        <w:t>Εισαγγελέα</w:t>
      </w:r>
      <w:r w:rsidR="000077E7">
        <w:rPr>
          <w:rFonts w:cstheme="minorHAnsi"/>
          <w:sz w:val="24"/>
          <w:szCs w:val="24"/>
          <w:lang w:val="el-GR"/>
        </w:rPr>
        <w:t>,</w:t>
      </w:r>
      <w:r w:rsidR="00B35948">
        <w:rPr>
          <w:rFonts w:cstheme="minorHAnsi"/>
          <w:sz w:val="24"/>
          <w:szCs w:val="24"/>
          <w:lang w:val="el-GR"/>
        </w:rPr>
        <w:t xml:space="preserve"> από την Νομική Υπηρεσία της Δημοκρατίας</w:t>
      </w:r>
      <w:r w:rsidR="00E32602" w:rsidRPr="00B35948">
        <w:rPr>
          <w:rFonts w:cstheme="minorHAnsi"/>
          <w:sz w:val="24"/>
          <w:szCs w:val="24"/>
          <w:lang w:val="el-GR"/>
        </w:rPr>
        <w:t xml:space="preserve">. </w:t>
      </w:r>
      <w:r w:rsidR="004D4398">
        <w:rPr>
          <w:rFonts w:cstheme="minorHAnsi"/>
          <w:sz w:val="24"/>
          <w:szCs w:val="24"/>
          <w:lang w:val="el-GR"/>
        </w:rPr>
        <w:t>Για</w:t>
      </w:r>
      <w:r w:rsidR="004D4398" w:rsidRPr="004D4398">
        <w:rPr>
          <w:rFonts w:cstheme="minorHAnsi"/>
          <w:sz w:val="24"/>
          <w:szCs w:val="24"/>
          <w:lang w:val="el-GR"/>
        </w:rPr>
        <w:t xml:space="preserve"> </w:t>
      </w:r>
      <w:r w:rsidR="004D4398">
        <w:rPr>
          <w:rFonts w:cstheme="minorHAnsi"/>
          <w:sz w:val="24"/>
          <w:szCs w:val="24"/>
          <w:lang w:val="el-GR"/>
        </w:rPr>
        <w:t>σοβαρά</w:t>
      </w:r>
      <w:r w:rsidR="004D4398" w:rsidRPr="004D4398">
        <w:rPr>
          <w:rFonts w:cstheme="minorHAnsi"/>
          <w:sz w:val="24"/>
          <w:szCs w:val="24"/>
          <w:lang w:val="el-GR"/>
        </w:rPr>
        <w:t xml:space="preserve"> </w:t>
      </w:r>
      <w:r w:rsidR="004D4398">
        <w:rPr>
          <w:rFonts w:cstheme="minorHAnsi"/>
          <w:sz w:val="24"/>
          <w:szCs w:val="24"/>
          <w:lang w:val="el-GR"/>
        </w:rPr>
        <w:t>πειθαρχικά</w:t>
      </w:r>
      <w:r w:rsidR="004D4398" w:rsidRPr="004D4398">
        <w:rPr>
          <w:rFonts w:cstheme="minorHAnsi"/>
          <w:sz w:val="24"/>
          <w:szCs w:val="24"/>
          <w:lang w:val="el-GR"/>
        </w:rPr>
        <w:t xml:space="preserve"> </w:t>
      </w:r>
      <w:r w:rsidR="004D4398">
        <w:rPr>
          <w:rFonts w:cstheme="minorHAnsi"/>
          <w:sz w:val="24"/>
          <w:szCs w:val="24"/>
          <w:lang w:val="el-GR"/>
        </w:rPr>
        <w:t>αδικήματα</w:t>
      </w:r>
      <w:r w:rsidR="00E32602" w:rsidRPr="004D4398">
        <w:rPr>
          <w:rFonts w:cstheme="minorHAnsi"/>
          <w:sz w:val="24"/>
          <w:szCs w:val="24"/>
          <w:lang w:val="el-GR"/>
        </w:rPr>
        <w:t xml:space="preserve"> </w:t>
      </w:r>
      <w:r w:rsidR="004D4398">
        <w:rPr>
          <w:rFonts w:cstheme="minorHAnsi"/>
          <w:sz w:val="24"/>
          <w:szCs w:val="24"/>
          <w:lang w:val="el-GR"/>
        </w:rPr>
        <w:t>εναντίον</w:t>
      </w:r>
      <w:r w:rsidR="00E32602" w:rsidRPr="004D4398">
        <w:rPr>
          <w:rFonts w:cstheme="minorHAnsi"/>
          <w:sz w:val="24"/>
          <w:szCs w:val="24"/>
          <w:lang w:val="el-GR"/>
        </w:rPr>
        <w:t xml:space="preserve"> </w:t>
      </w:r>
      <w:r w:rsidR="004D4398">
        <w:rPr>
          <w:rFonts w:cstheme="minorHAnsi"/>
          <w:sz w:val="24"/>
          <w:szCs w:val="24"/>
          <w:lang w:val="el-GR"/>
        </w:rPr>
        <w:t>αστυνομικών</w:t>
      </w:r>
      <w:r w:rsidR="004D4398" w:rsidRPr="004D4398">
        <w:rPr>
          <w:rFonts w:cstheme="minorHAnsi"/>
          <w:sz w:val="24"/>
          <w:szCs w:val="24"/>
          <w:lang w:val="el-GR"/>
        </w:rPr>
        <w:t xml:space="preserve"> </w:t>
      </w:r>
      <w:r w:rsidR="002E5EC0">
        <w:rPr>
          <w:rFonts w:cstheme="minorHAnsi"/>
          <w:sz w:val="24"/>
          <w:szCs w:val="24"/>
          <w:lang w:val="el-GR"/>
        </w:rPr>
        <w:t>χαμηλότερου</w:t>
      </w:r>
      <w:r w:rsidR="004D4398" w:rsidRPr="004D4398">
        <w:rPr>
          <w:rFonts w:cstheme="minorHAnsi"/>
          <w:sz w:val="24"/>
          <w:szCs w:val="24"/>
          <w:lang w:val="el-GR"/>
        </w:rPr>
        <w:t xml:space="preserve"> </w:t>
      </w:r>
      <w:r w:rsidR="004D4398">
        <w:rPr>
          <w:rFonts w:cstheme="minorHAnsi"/>
          <w:sz w:val="24"/>
          <w:szCs w:val="24"/>
          <w:lang w:val="el-GR"/>
        </w:rPr>
        <w:t>βαθμού</w:t>
      </w:r>
      <w:r w:rsidR="00E32602" w:rsidRPr="004D4398">
        <w:rPr>
          <w:rFonts w:cstheme="minorHAnsi"/>
          <w:sz w:val="24"/>
          <w:szCs w:val="24"/>
          <w:lang w:val="el-GR"/>
        </w:rPr>
        <w:t xml:space="preserve"> (</w:t>
      </w:r>
      <w:r w:rsidR="004D4398">
        <w:rPr>
          <w:rFonts w:cstheme="minorHAnsi"/>
          <w:sz w:val="24"/>
          <w:szCs w:val="24"/>
          <w:lang w:val="el-GR"/>
        </w:rPr>
        <w:t>από</w:t>
      </w:r>
      <w:r w:rsidR="004D4398" w:rsidRPr="004D4398">
        <w:rPr>
          <w:rFonts w:cstheme="minorHAnsi"/>
          <w:sz w:val="24"/>
          <w:szCs w:val="24"/>
          <w:lang w:val="el-GR"/>
        </w:rPr>
        <w:t xml:space="preserve"> </w:t>
      </w:r>
      <w:r w:rsidR="004D4398">
        <w:rPr>
          <w:rFonts w:cstheme="minorHAnsi"/>
          <w:sz w:val="24"/>
          <w:szCs w:val="24"/>
          <w:lang w:val="el-GR"/>
        </w:rPr>
        <w:t>τον</w:t>
      </w:r>
      <w:r w:rsidR="004D4398" w:rsidRPr="004D4398">
        <w:rPr>
          <w:rFonts w:cstheme="minorHAnsi"/>
          <w:sz w:val="24"/>
          <w:szCs w:val="24"/>
          <w:lang w:val="el-GR"/>
        </w:rPr>
        <w:t xml:space="preserve"> </w:t>
      </w:r>
      <w:r w:rsidR="004D4398">
        <w:rPr>
          <w:rFonts w:cstheme="minorHAnsi"/>
          <w:sz w:val="24"/>
          <w:szCs w:val="24"/>
          <w:lang w:val="el-GR"/>
        </w:rPr>
        <w:t>βαθμό</w:t>
      </w:r>
      <w:r w:rsidR="004D4398" w:rsidRPr="004D4398">
        <w:rPr>
          <w:rFonts w:cstheme="minorHAnsi"/>
          <w:sz w:val="24"/>
          <w:szCs w:val="24"/>
          <w:lang w:val="el-GR"/>
        </w:rPr>
        <w:t xml:space="preserve"> </w:t>
      </w:r>
      <w:r w:rsidR="004D4398">
        <w:rPr>
          <w:rFonts w:cstheme="minorHAnsi"/>
          <w:sz w:val="24"/>
          <w:szCs w:val="24"/>
          <w:lang w:val="el-GR"/>
        </w:rPr>
        <w:t>του</w:t>
      </w:r>
      <w:r w:rsidR="004D4398" w:rsidRPr="004D4398">
        <w:rPr>
          <w:rFonts w:cstheme="minorHAnsi"/>
          <w:sz w:val="24"/>
          <w:szCs w:val="24"/>
          <w:lang w:val="el-GR"/>
        </w:rPr>
        <w:t xml:space="preserve"> </w:t>
      </w:r>
      <w:r w:rsidR="004D4398">
        <w:rPr>
          <w:rFonts w:cstheme="minorHAnsi"/>
          <w:sz w:val="24"/>
          <w:szCs w:val="24"/>
          <w:lang w:val="el-GR"/>
        </w:rPr>
        <w:t>Ειδικού</w:t>
      </w:r>
      <w:r w:rsidR="004D4398" w:rsidRPr="004D4398">
        <w:rPr>
          <w:rFonts w:cstheme="minorHAnsi"/>
          <w:sz w:val="24"/>
          <w:szCs w:val="24"/>
          <w:lang w:val="el-GR"/>
        </w:rPr>
        <w:t xml:space="preserve"> </w:t>
      </w:r>
      <w:r w:rsidR="004D4398">
        <w:rPr>
          <w:rFonts w:cstheme="minorHAnsi"/>
          <w:sz w:val="24"/>
          <w:szCs w:val="24"/>
          <w:lang w:val="el-GR"/>
        </w:rPr>
        <w:t>Αστυφύλακα</w:t>
      </w:r>
      <w:r w:rsidR="00E32602" w:rsidRPr="004D4398">
        <w:rPr>
          <w:rFonts w:cstheme="minorHAnsi"/>
          <w:sz w:val="24"/>
          <w:szCs w:val="24"/>
          <w:lang w:val="el-GR"/>
        </w:rPr>
        <w:t xml:space="preserve"> </w:t>
      </w:r>
      <w:r w:rsidR="004D4398">
        <w:rPr>
          <w:rFonts w:cstheme="minorHAnsi"/>
          <w:sz w:val="24"/>
          <w:szCs w:val="24"/>
          <w:lang w:val="el-GR"/>
        </w:rPr>
        <w:t>μέχρι</w:t>
      </w:r>
      <w:r w:rsidR="00E32602" w:rsidRPr="004D4398">
        <w:rPr>
          <w:rFonts w:cstheme="minorHAnsi"/>
          <w:sz w:val="24"/>
          <w:szCs w:val="24"/>
          <w:lang w:val="el-GR"/>
        </w:rPr>
        <w:t xml:space="preserve"> </w:t>
      </w:r>
      <w:r w:rsidR="004D4398">
        <w:rPr>
          <w:rFonts w:cstheme="minorHAnsi"/>
          <w:sz w:val="24"/>
          <w:szCs w:val="24"/>
          <w:lang w:val="el-GR"/>
        </w:rPr>
        <w:t>τον</w:t>
      </w:r>
      <w:r w:rsidR="004D4398" w:rsidRPr="004D4398">
        <w:rPr>
          <w:rFonts w:cstheme="minorHAnsi"/>
          <w:sz w:val="24"/>
          <w:szCs w:val="24"/>
          <w:lang w:val="el-GR"/>
        </w:rPr>
        <w:t xml:space="preserve"> </w:t>
      </w:r>
      <w:r w:rsidR="004D4398">
        <w:rPr>
          <w:rFonts w:cstheme="minorHAnsi"/>
          <w:sz w:val="24"/>
          <w:szCs w:val="24"/>
          <w:lang w:val="el-GR"/>
        </w:rPr>
        <w:t>βαθμό</w:t>
      </w:r>
      <w:r w:rsidR="004D4398" w:rsidRPr="004D4398">
        <w:rPr>
          <w:rFonts w:cstheme="minorHAnsi"/>
          <w:sz w:val="24"/>
          <w:szCs w:val="24"/>
          <w:lang w:val="el-GR"/>
        </w:rPr>
        <w:t xml:space="preserve"> </w:t>
      </w:r>
      <w:r w:rsidR="004D4398">
        <w:rPr>
          <w:rFonts w:cstheme="minorHAnsi"/>
          <w:sz w:val="24"/>
          <w:szCs w:val="24"/>
          <w:lang w:val="el-GR"/>
        </w:rPr>
        <w:t>του</w:t>
      </w:r>
      <w:r w:rsidR="004D4398" w:rsidRPr="004D4398">
        <w:rPr>
          <w:rFonts w:cstheme="minorHAnsi"/>
          <w:sz w:val="24"/>
          <w:szCs w:val="24"/>
          <w:lang w:val="el-GR"/>
        </w:rPr>
        <w:t xml:space="preserve"> </w:t>
      </w:r>
      <w:r w:rsidR="004D4398">
        <w:rPr>
          <w:rFonts w:cstheme="minorHAnsi"/>
          <w:sz w:val="24"/>
          <w:szCs w:val="24"/>
          <w:lang w:val="el-GR"/>
        </w:rPr>
        <w:t>Ανωτέρου</w:t>
      </w:r>
      <w:r w:rsidR="004D4398" w:rsidRPr="004D4398">
        <w:rPr>
          <w:rFonts w:cstheme="minorHAnsi"/>
          <w:sz w:val="24"/>
          <w:szCs w:val="24"/>
          <w:lang w:val="el-GR"/>
        </w:rPr>
        <w:t xml:space="preserve"> </w:t>
      </w:r>
      <w:r w:rsidR="004D4398">
        <w:rPr>
          <w:rFonts w:cstheme="minorHAnsi"/>
          <w:sz w:val="24"/>
          <w:szCs w:val="24"/>
          <w:lang w:val="el-GR"/>
        </w:rPr>
        <w:t>Υπαστυνόμου</w:t>
      </w:r>
      <w:r w:rsidR="00E32602" w:rsidRPr="004D4398">
        <w:rPr>
          <w:rFonts w:cstheme="minorHAnsi"/>
          <w:sz w:val="24"/>
          <w:szCs w:val="24"/>
          <w:lang w:val="el-GR"/>
        </w:rPr>
        <w:t xml:space="preserve">), </w:t>
      </w:r>
      <w:r w:rsidR="004D4398">
        <w:rPr>
          <w:rFonts w:cstheme="minorHAnsi"/>
          <w:sz w:val="24"/>
          <w:szCs w:val="24"/>
          <w:lang w:val="el-GR"/>
        </w:rPr>
        <w:t>συγκροτείται</w:t>
      </w:r>
      <w:r w:rsidR="004D4398" w:rsidRPr="004D4398">
        <w:rPr>
          <w:rFonts w:cstheme="minorHAnsi"/>
          <w:sz w:val="24"/>
          <w:szCs w:val="24"/>
          <w:lang w:val="el-GR"/>
        </w:rPr>
        <w:t xml:space="preserve"> </w:t>
      </w:r>
      <w:r w:rsidR="004D4398">
        <w:rPr>
          <w:rFonts w:cstheme="minorHAnsi"/>
          <w:sz w:val="24"/>
          <w:szCs w:val="24"/>
          <w:lang w:val="el-GR"/>
        </w:rPr>
        <w:t>μια</w:t>
      </w:r>
      <w:r w:rsidR="004D4398" w:rsidRPr="004D4398">
        <w:rPr>
          <w:rFonts w:cstheme="minorHAnsi"/>
          <w:sz w:val="24"/>
          <w:szCs w:val="24"/>
          <w:lang w:val="el-GR"/>
        </w:rPr>
        <w:t xml:space="preserve"> </w:t>
      </w:r>
      <w:r w:rsidR="004D4398">
        <w:rPr>
          <w:rFonts w:cstheme="minorHAnsi"/>
          <w:sz w:val="24"/>
          <w:szCs w:val="24"/>
          <w:lang w:val="el-GR"/>
        </w:rPr>
        <w:t>μόνιμη</w:t>
      </w:r>
      <w:r w:rsidR="004D4398" w:rsidRPr="004D4398">
        <w:rPr>
          <w:rFonts w:cstheme="minorHAnsi"/>
          <w:sz w:val="24"/>
          <w:szCs w:val="24"/>
          <w:lang w:val="el-GR"/>
        </w:rPr>
        <w:t xml:space="preserve"> </w:t>
      </w:r>
      <w:r w:rsidR="004D4398">
        <w:rPr>
          <w:rFonts w:cstheme="minorHAnsi"/>
          <w:sz w:val="24"/>
          <w:szCs w:val="24"/>
          <w:lang w:val="el-GR"/>
        </w:rPr>
        <w:t>Πειθαρχική</w:t>
      </w:r>
      <w:r w:rsidR="004D4398" w:rsidRPr="004D4398">
        <w:rPr>
          <w:rFonts w:cstheme="minorHAnsi"/>
          <w:sz w:val="24"/>
          <w:szCs w:val="24"/>
          <w:lang w:val="el-GR"/>
        </w:rPr>
        <w:t xml:space="preserve"> </w:t>
      </w:r>
      <w:r w:rsidR="004D4398">
        <w:rPr>
          <w:rFonts w:cstheme="minorHAnsi"/>
          <w:sz w:val="24"/>
          <w:szCs w:val="24"/>
          <w:lang w:val="el-GR"/>
        </w:rPr>
        <w:t>Επιτροπή</w:t>
      </w:r>
      <w:r w:rsidR="00E32602" w:rsidRPr="004D4398">
        <w:rPr>
          <w:rFonts w:cstheme="minorHAnsi"/>
          <w:sz w:val="24"/>
          <w:szCs w:val="24"/>
          <w:lang w:val="el-GR"/>
        </w:rPr>
        <w:t xml:space="preserve"> </w:t>
      </w:r>
      <w:r w:rsidR="004D4398">
        <w:rPr>
          <w:rFonts w:cstheme="minorHAnsi"/>
          <w:sz w:val="24"/>
          <w:szCs w:val="24"/>
          <w:lang w:val="el-GR"/>
        </w:rPr>
        <w:t>από</w:t>
      </w:r>
      <w:r w:rsidR="004D4398" w:rsidRPr="004D4398">
        <w:rPr>
          <w:rFonts w:cstheme="minorHAnsi"/>
          <w:sz w:val="24"/>
          <w:szCs w:val="24"/>
          <w:lang w:val="el-GR"/>
        </w:rPr>
        <w:t xml:space="preserve"> </w:t>
      </w:r>
      <w:r w:rsidR="004D4398">
        <w:rPr>
          <w:rFonts w:cstheme="minorHAnsi"/>
          <w:sz w:val="24"/>
          <w:szCs w:val="24"/>
          <w:lang w:val="el-GR"/>
        </w:rPr>
        <w:t>τον</w:t>
      </w:r>
      <w:r w:rsidR="004D4398" w:rsidRPr="004D4398">
        <w:rPr>
          <w:rFonts w:cstheme="minorHAnsi"/>
          <w:sz w:val="24"/>
          <w:szCs w:val="24"/>
          <w:lang w:val="el-GR"/>
        </w:rPr>
        <w:t xml:space="preserve"> </w:t>
      </w:r>
      <w:r w:rsidR="004D4398">
        <w:rPr>
          <w:rFonts w:cstheme="minorHAnsi"/>
          <w:sz w:val="24"/>
          <w:szCs w:val="24"/>
          <w:lang w:val="el-GR"/>
        </w:rPr>
        <w:t>Υπουργό</w:t>
      </w:r>
      <w:r w:rsidR="004D4398" w:rsidRPr="004D4398">
        <w:rPr>
          <w:rFonts w:cstheme="minorHAnsi"/>
          <w:sz w:val="24"/>
          <w:szCs w:val="24"/>
          <w:lang w:val="el-GR"/>
        </w:rPr>
        <w:t xml:space="preserve"> </w:t>
      </w:r>
      <w:r w:rsidR="004D4398">
        <w:rPr>
          <w:rFonts w:cstheme="minorHAnsi"/>
          <w:sz w:val="24"/>
          <w:szCs w:val="24"/>
          <w:lang w:val="el-GR"/>
        </w:rPr>
        <w:t>Δικαιοσύνης</w:t>
      </w:r>
      <w:r w:rsidR="004D4398" w:rsidRPr="004D4398">
        <w:rPr>
          <w:rFonts w:cstheme="minorHAnsi"/>
          <w:sz w:val="24"/>
          <w:szCs w:val="24"/>
          <w:lang w:val="el-GR"/>
        </w:rPr>
        <w:t xml:space="preserve"> </w:t>
      </w:r>
      <w:r w:rsidR="004D4398">
        <w:rPr>
          <w:rFonts w:cstheme="minorHAnsi"/>
          <w:sz w:val="24"/>
          <w:szCs w:val="24"/>
          <w:lang w:val="el-GR"/>
        </w:rPr>
        <w:t>και</w:t>
      </w:r>
      <w:r w:rsidR="004D4398" w:rsidRPr="004D4398">
        <w:rPr>
          <w:rFonts w:cstheme="minorHAnsi"/>
          <w:sz w:val="24"/>
          <w:szCs w:val="24"/>
          <w:lang w:val="el-GR"/>
        </w:rPr>
        <w:t xml:space="preserve"> </w:t>
      </w:r>
      <w:r w:rsidR="004D4398">
        <w:rPr>
          <w:rFonts w:cstheme="minorHAnsi"/>
          <w:sz w:val="24"/>
          <w:szCs w:val="24"/>
          <w:lang w:val="el-GR"/>
        </w:rPr>
        <w:t>Δημοσίας</w:t>
      </w:r>
      <w:r w:rsidR="004D4398" w:rsidRPr="004D4398">
        <w:rPr>
          <w:rFonts w:cstheme="minorHAnsi"/>
          <w:sz w:val="24"/>
          <w:szCs w:val="24"/>
          <w:lang w:val="el-GR"/>
        </w:rPr>
        <w:t xml:space="preserve"> </w:t>
      </w:r>
      <w:r w:rsidR="004D4398">
        <w:rPr>
          <w:rFonts w:cstheme="minorHAnsi"/>
          <w:sz w:val="24"/>
          <w:szCs w:val="24"/>
          <w:lang w:val="el-GR"/>
        </w:rPr>
        <w:t>Τάξεως</w:t>
      </w:r>
      <w:r w:rsidR="00E32602" w:rsidRPr="004D4398">
        <w:rPr>
          <w:rFonts w:cstheme="minorHAnsi"/>
          <w:sz w:val="24"/>
          <w:szCs w:val="24"/>
          <w:lang w:val="el-GR"/>
        </w:rPr>
        <w:t xml:space="preserve">, </w:t>
      </w:r>
      <w:r w:rsidR="004D4398">
        <w:rPr>
          <w:rFonts w:cstheme="minorHAnsi"/>
          <w:sz w:val="24"/>
          <w:szCs w:val="24"/>
          <w:lang w:val="el-GR"/>
        </w:rPr>
        <w:t>που αποτελείται από τρία άτομα</w:t>
      </w:r>
      <w:r w:rsidR="00E32602" w:rsidRPr="004D4398">
        <w:rPr>
          <w:rFonts w:cstheme="minorHAnsi"/>
          <w:sz w:val="24"/>
          <w:szCs w:val="24"/>
          <w:lang w:val="el-GR"/>
        </w:rPr>
        <w:t xml:space="preserve">, </w:t>
      </w:r>
      <w:r w:rsidR="004D4398">
        <w:rPr>
          <w:rFonts w:cstheme="minorHAnsi"/>
          <w:sz w:val="24"/>
          <w:szCs w:val="24"/>
          <w:lang w:val="el-GR"/>
        </w:rPr>
        <w:t>ένα Αστυνομικό Ανωτέρου Βαθμού</w:t>
      </w:r>
      <w:r w:rsidR="00E32602" w:rsidRPr="004D4398">
        <w:rPr>
          <w:rFonts w:cstheme="minorHAnsi"/>
          <w:sz w:val="24"/>
          <w:szCs w:val="24"/>
          <w:lang w:val="el-GR"/>
        </w:rPr>
        <w:t xml:space="preserve"> (</w:t>
      </w:r>
      <w:r w:rsidR="004D4398">
        <w:rPr>
          <w:rFonts w:cstheme="minorHAnsi"/>
          <w:sz w:val="24"/>
          <w:szCs w:val="24"/>
          <w:lang w:val="el-GR"/>
        </w:rPr>
        <w:t>ως Πρόεδρος της Επιτροπής</w:t>
      </w:r>
      <w:r w:rsidR="00E32602" w:rsidRPr="004D4398">
        <w:rPr>
          <w:rFonts w:cstheme="minorHAnsi"/>
          <w:sz w:val="24"/>
          <w:szCs w:val="24"/>
          <w:lang w:val="el-GR"/>
        </w:rPr>
        <w:t xml:space="preserve">) </w:t>
      </w:r>
      <w:r w:rsidR="004D4398">
        <w:rPr>
          <w:rFonts w:cstheme="minorHAnsi"/>
          <w:sz w:val="24"/>
          <w:szCs w:val="24"/>
          <w:lang w:val="el-GR"/>
        </w:rPr>
        <w:t>και δύο</w:t>
      </w:r>
      <w:r w:rsidR="00E32602" w:rsidRPr="004D4398">
        <w:rPr>
          <w:rFonts w:cstheme="minorHAnsi"/>
          <w:sz w:val="24"/>
          <w:szCs w:val="24"/>
          <w:lang w:val="el-GR"/>
        </w:rPr>
        <w:t xml:space="preserve"> </w:t>
      </w:r>
      <w:r w:rsidR="004D4398">
        <w:rPr>
          <w:rFonts w:cstheme="minorHAnsi"/>
          <w:sz w:val="24"/>
          <w:szCs w:val="24"/>
          <w:lang w:val="el-GR"/>
        </w:rPr>
        <w:t>Αξιωματούχοι της Νομικής Υπηρεσίας</w:t>
      </w:r>
      <w:r w:rsidR="00E32602" w:rsidRPr="004D4398">
        <w:rPr>
          <w:rFonts w:cstheme="minorHAnsi"/>
          <w:sz w:val="24"/>
          <w:szCs w:val="24"/>
          <w:lang w:val="el-GR"/>
        </w:rPr>
        <w:t xml:space="preserve"> </w:t>
      </w:r>
      <w:r w:rsidR="004D4398">
        <w:rPr>
          <w:rFonts w:cstheme="minorHAnsi"/>
          <w:sz w:val="24"/>
          <w:szCs w:val="24"/>
          <w:lang w:val="el-GR"/>
        </w:rPr>
        <w:t>που υποδεικνύονται από τον Γενι</w:t>
      </w:r>
      <w:r w:rsidR="00FF29CD">
        <w:rPr>
          <w:rFonts w:cstheme="minorHAnsi"/>
          <w:sz w:val="24"/>
          <w:szCs w:val="24"/>
          <w:lang w:val="el-GR"/>
        </w:rPr>
        <w:t>κ</w:t>
      </w:r>
      <w:r w:rsidR="004D4398">
        <w:rPr>
          <w:rFonts w:cstheme="minorHAnsi"/>
          <w:sz w:val="24"/>
          <w:szCs w:val="24"/>
          <w:lang w:val="el-GR"/>
        </w:rPr>
        <w:t>ό Εισαγγελέα της Δημοκρατίας</w:t>
      </w:r>
      <w:r w:rsidR="00E32602" w:rsidRPr="004D4398">
        <w:rPr>
          <w:rFonts w:cstheme="minorHAnsi"/>
          <w:sz w:val="24"/>
          <w:szCs w:val="24"/>
          <w:lang w:val="el-GR"/>
        </w:rPr>
        <w:t xml:space="preserve">, </w:t>
      </w:r>
      <w:r w:rsidR="004D4398">
        <w:rPr>
          <w:rFonts w:cstheme="minorHAnsi"/>
          <w:sz w:val="24"/>
          <w:szCs w:val="24"/>
          <w:lang w:val="el-GR"/>
        </w:rPr>
        <w:t>για μια περίοδο δύο χρόνων</w:t>
      </w:r>
      <w:r w:rsidR="00E32602" w:rsidRPr="004D4398">
        <w:rPr>
          <w:rFonts w:cstheme="minorHAnsi"/>
          <w:sz w:val="24"/>
          <w:szCs w:val="24"/>
          <w:lang w:val="el-GR"/>
        </w:rPr>
        <w:t xml:space="preserve">, </w:t>
      </w:r>
      <w:r w:rsidR="004D4398">
        <w:rPr>
          <w:rFonts w:cstheme="minorHAnsi"/>
          <w:sz w:val="24"/>
          <w:szCs w:val="24"/>
          <w:lang w:val="el-GR"/>
        </w:rPr>
        <w:t>που μπορεί να ανανεωθεί</w:t>
      </w:r>
      <w:r w:rsidR="00E32602" w:rsidRPr="004D4398">
        <w:rPr>
          <w:rFonts w:cstheme="minorHAnsi"/>
          <w:sz w:val="24"/>
          <w:szCs w:val="24"/>
          <w:lang w:val="el-GR"/>
        </w:rPr>
        <w:t xml:space="preserve">. </w:t>
      </w:r>
      <w:r w:rsidR="004D4398">
        <w:rPr>
          <w:rFonts w:cstheme="minorHAnsi"/>
          <w:sz w:val="24"/>
          <w:szCs w:val="24"/>
          <w:lang w:val="el-GR"/>
        </w:rPr>
        <w:t>Και</w:t>
      </w:r>
      <w:r w:rsidR="004D4398" w:rsidRPr="00313930">
        <w:rPr>
          <w:rFonts w:cstheme="minorHAnsi"/>
          <w:sz w:val="24"/>
          <w:szCs w:val="24"/>
          <w:lang w:val="el-GR"/>
        </w:rPr>
        <w:t xml:space="preserve"> </w:t>
      </w:r>
      <w:r w:rsidR="004D4398">
        <w:rPr>
          <w:rFonts w:cstheme="minorHAnsi"/>
          <w:sz w:val="24"/>
          <w:szCs w:val="24"/>
          <w:lang w:val="el-GR"/>
        </w:rPr>
        <w:t>στις</w:t>
      </w:r>
      <w:r w:rsidR="004D4398" w:rsidRPr="00313930">
        <w:rPr>
          <w:rFonts w:cstheme="minorHAnsi"/>
          <w:sz w:val="24"/>
          <w:szCs w:val="24"/>
          <w:lang w:val="el-GR"/>
        </w:rPr>
        <w:t xml:space="preserve"> </w:t>
      </w:r>
      <w:r w:rsidR="004D4398">
        <w:rPr>
          <w:rFonts w:cstheme="minorHAnsi"/>
          <w:sz w:val="24"/>
          <w:szCs w:val="24"/>
          <w:lang w:val="el-GR"/>
        </w:rPr>
        <w:t>δύο</w:t>
      </w:r>
      <w:r w:rsidR="004D4398" w:rsidRPr="00313930">
        <w:rPr>
          <w:rFonts w:cstheme="minorHAnsi"/>
          <w:sz w:val="24"/>
          <w:szCs w:val="24"/>
          <w:lang w:val="el-GR"/>
        </w:rPr>
        <w:t xml:space="preserve"> </w:t>
      </w:r>
      <w:r w:rsidR="004D4398">
        <w:rPr>
          <w:rFonts w:cstheme="minorHAnsi"/>
          <w:sz w:val="24"/>
          <w:szCs w:val="24"/>
          <w:lang w:val="el-GR"/>
        </w:rPr>
        <w:t>περιπτώσεις</w:t>
      </w:r>
      <w:r w:rsidR="00E32602" w:rsidRPr="00313930">
        <w:rPr>
          <w:rFonts w:cstheme="minorHAnsi"/>
          <w:sz w:val="24"/>
          <w:szCs w:val="24"/>
          <w:lang w:val="el-GR"/>
        </w:rPr>
        <w:t xml:space="preserve">, </w:t>
      </w:r>
      <w:r w:rsidR="00313930">
        <w:rPr>
          <w:rFonts w:cstheme="minorHAnsi"/>
          <w:sz w:val="24"/>
          <w:szCs w:val="24"/>
          <w:lang w:val="el-GR"/>
        </w:rPr>
        <w:t>προβλέπεται</w:t>
      </w:r>
      <w:r w:rsidR="00313930" w:rsidRPr="00313930">
        <w:rPr>
          <w:rFonts w:cstheme="minorHAnsi"/>
          <w:sz w:val="24"/>
          <w:szCs w:val="24"/>
          <w:lang w:val="el-GR"/>
        </w:rPr>
        <w:t xml:space="preserve"> </w:t>
      </w:r>
      <w:r w:rsidR="00313930">
        <w:rPr>
          <w:rFonts w:cstheme="minorHAnsi"/>
          <w:sz w:val="24"/>
          <w:szCs w:val="24"/>
          <w:lang w:val="el-GR"/>
        </w:rPr>
        <w:t>ότι</w:t>
      </w:r>
      <w:r w:rsidR="00313930" w:rsidRPr="00313930">
        <w:rPr>
          <w:rFonts w:cstheme="minorHAnsi"/>
          <w:sz w:val="24"/>
          <w:szCs w:val="24"/>
          <w:lang w:val="el-GR"/>
        </w:rPr>
        <w:t xml:space="preserve"> </w:t>
      </w:r>
      <w:r w:rsidR="00313930">
        <w:rPr>
          <w:rFonts w:cstheme="minorHAnsi"/>
          <w:sz w:val="24"/>
          <w:szCs w:val="24"/>
          <w:lang w:val="el-GR"/>
        </w:rPr>
        <w:t>οι</w:t>
      </w:r>
      <w:r w:rsidR="00313930" w:rsidRPr="00313930">
        <w:rPr>
          <w:rFonts w:cstheme="minorHAnsi"/>
          <w:sz w:val="24"/>
          <w:szCs w:val="24"/>
          <w:lang w:val="el-GR"/>
        </w:rPr>
        <w:t xml:space="preserve"> </w:t>
      </w:r>
      <w:r w:rsidR="00313930">
        <w:rPr>
          <w:rFonts w:cstheme="minorHAnsi"/>
          <w:sz w:val="24"/>
          <w:szCs w:val="24"/>
          <w:lang w:val="el-GR"/>
        </w:rPr>
        <w:t>αξιωματούχοι</w:t>
      </w:r>
      <w:r w:rsidR="00313930" w:rsidRPr="00313930">
        <w:rPr>
          <w:rFonts w:cstheme="minorHAnsi"/>
          <w:sz w:val="24"/>
          <w:szCs w:val="24"/>
          <w:lang w:val="el-GR"/>
        </w:rPr>
        <w:t xml:space="preserve"> </w:t>
      </w:r>
      <w:r w:rsidR="00313930">
        <w:rPr>
          <w:rFonts w:cstheme="minorHAnsi"/>
          <w:sz w:val="24"/>
          <w:szCs w:val="24"/>
          <w:lang w:val="el-GR"/>
        </w:rPr>
        <w:t>που</w:t>
      </w:r>
      <w:r w:rsidR="00313930" w:rsidRPr="00313930">
        <w:rPr>
          <w:rFonts w:cstheme="minorHAnsi"/>
          <w:sz w:val="24"/>
          <w:szCs w:val="24"/>
          <w:lang w:val="el-GR"/>
        </w:rPr>
        <w:t xml:space="preserve"> </w:t>
      </w:r>
      <w:r w:rsidR="00313930">
        <w:rPr>
          <w:rFonts w:cstheme="minorHAnsi"/>
          <w:sz w:val="24"/>
          <w:szCs w:val="24"/>
          <w:lang w:val="el-GR"/>
        </w:rPr>
        <w:t>δικάζουν</w:t>
      </w:r>
      <w:r w:rsidR="00313930" w:rsidRPr="00313930">
        <w:rPr>
          <w:rFonts w:cstheme="minorHAnsi"/>
          <w:sz w:val="24"/>
          <w:szCs w:val="24"/>
          <w:lang w:val="el-GR"/>
        </w:rPr>
        <w:t xml:space="preserve"> </w:t>
      </w:r>
      <w:r w:rsidR="00313930">
        <w:rPr>
          <w:rFonts w:cstheme="minorHAnsi"/>
          <w:sz w:val="24"/>
          <w:szCs w:val="24"/>
          <w:lang w:val="el-GR"/>
        </w:rPr>
        <w:t>την</w:t>
      </w:r>
      <w:r w:rsidR="00313930" w:rsidRPr="00313930">
        <w:rPr>
          <w:rFonts w:cstheme="minorHAnsi"/>
          <w:sz w:val="24"/>
          <w:szCs w:val="24"/>
          <w:lang w:val="el-GR"/>
        </w:rPr>
        <w:t xml:space="preserve"> </w:t>
      </w:r>
      <w:r w:rsidR="00313930">
        <w:rPr>
          <w:rFonts w:cstheme="minorHAnsi"/>
          <w:sz w:val="24"/>
          <w:szCs w:val="24"/>
          <w:lang w:val="el-GR"/>
        </w:rPr>
        <w:t>υπόθεση</w:t>
      </w:r>
      <w:r w:rsidR="00E32602" w:rsidRPr="00313930">
        <w:rPr>
          <w:rFonts w:cstheme="minorHAnsi"/>
          <w:sz w:val="24"/>
          <w:szCs w:val="24"/>
          <w:lang w:val="el-GR"/>
        </w:rPr>
        <w:t xml:space="preserve"> </w:t>
      </w:r>
      <w:r w:rsidR="00313930">
        <w:rPr>
          <w:rFonts w:cstheme="minorHAnsi"/>
          <w:sz w:val="24"/>
          <w:szCs w:val="24"/>
          <w:lang w:val="el-GR"/>
        </w:rPr>
        <w:t>κατέχουν</w:t>
      </w:r>
      <w:r w:rsidR="00313930" w:rsidRPr="00313930">
        <w:rPr>
          <w:rFonts w:cstheme="minorHAnsi"/>
          <w:sz w:val="24"/>
          <w:szCs w:val="24"/>
          <w:lang w:val="el-GR"/>
        </w:rPr>
        <w:t xml:space="preserve"> </w:t>
      </w:r>
      <w:r w:rsidR="00313930">
        <w:rPr>
          <w:rFonts w:cstheme="minorHAnsi"/>
          <w:sz w:val="24"/>
          <w:szCs w:val="24"/>
          <w:lang w:val="el-GR"/>
        </w:rPr>
        <w:t>μια θέση με πιο ψηλό βαθμό από τον κατηγορούμενο</w:t>
      </w:r>
      <w:r w:rsidR="00E32602" w:rsidRPr="00313930">
        <w:rPr>
          <w:rFonts w:cstheme="minorHAnsi"/>
          <w:sz w:val="24"/>
          <w:szCs w:val="24"/>
          <w:lang w:val="el-GR"/>
        </w:rPr>
        <w:t xml:space="preserve">. </w:t>
      </w:r>
      <w:r w:rsidR="00136118">
        <w:rPr>
          <w:rFonts w:cstheme="minorHAnsi"/>
          <w:sz w:val="24"/>
          <w:szCs w:val="24"/>
          <w:lang w:val="el-GR"/>
        </w:rPr>
        <w:t>Όλες</w:t>
      </w:r>
      <w:r w:rsidR="00136118" w:rsidRPr="00BC1783">
        <w:rPr>
          <w:rFonts w:cstheme="minorHAnsi"/>
          <w:sz w:val="24"/>
          <w:szCs w:val="24"/>
          <w:lang w:val="el-GR"/>
        </w:rPr>
        <w:t xml:space="preserve"> </w:t>
      </w:r>
      <w:r w:rsidR="00136118">
        <w:rPr>
          <w:rFonts w:cstheme="minorHAnsi"/>
          <w:sz w:val="24"/>
          <w:szCs w:val="24"/>
          <w:lang w:val="el-GR"/>
        </w:rPr>
        <w:t>οι</w:t>
      </w:r>
      <w:r w:rsidR="00136118" w:rsidRPr="00BC1783">
        <w:rPr>
          <w:rFonts w:cstheme="minorHAnsi"/>
          <w:sz w:val="24"/>
          <w:szCs w:val="24"/>
          <w:lang w:val="el-GR"/>
        </w:rPr>
        <w:t xml:space="preserve"> </w:t>
      </w:r>
      <w:r w:rsidR="00136118">
        <w:rPr>
          <w:rFonts w:cstheme="minorHAnsi"/>
          <w:sz w:val="24"/>
          <w:szCs w:val="24"/>
          <w:lang w:val="el-GR"/>
        </w:rPr>
        <w:t>αποφάσεις</w:t>
      </w:r>
      <w:r w:rsidR="00136118" w:rsidRPr="00BC1783">
        <w:rPr>
          <w:rFonts w:cstheme="minorHAnsi"/>
          <w:sz w:val="24"/>
          <w:szCs w:val="24"/>
          <w:lang w:val="el-GR"/>
        </w:rPr>
        <w:t xml:space="preserve"> </w:t>
      </w:r>
      <w:r w:rsidR="00136118">
        <w:rPr>
          <w:rFonts w:cstheme="minorHAnsi"/>
          <w:sz w:val="24"/>
          <w:szCs w:val="24"/>
          <w:lang w:val="el-GR"/>
        </w:rPr>
        <w:t>λαμβάνονται</w:t>
      </w:r>
      <w:r w:rsidR="00136118" w:rsidRPr="00BC1783">
        <w:rPr>
          <w:rFonts w:cstheme="minorHAnsi"/>
          <w:sz w:val="24"/>
          <w:szCs w:val="24"/>
          <w:lang w:val="el-GR"/>
        </w:rPr>
        <w:t xml:space="preserve"> </w:t>
      </w:r>
      <w:r w:rsidR="00136118">
        <w:rPr>
          <w:rFonts w:cstheme="minorHAnsi"/>
          <w:sz w:val="24"/>
          <w:szCs w:val="24"/>
          <w:lang w:val="el-GR"/>
        </w:rPr>
        <w:t>με</w:t>
      </w:r>
      <w:r w:rsidR="00136118" w:rsidRPr="00BC1783">
        <w:rPr>
          <w:rFonts w:cstheme="minorHAnsi"/>
          <w:sz w:val="24"/>
          <w:szCs w:val="24"/>
          <w:lang w:val="el-GR"/>
        </w:rPr>
        <w:t xml:space="preserve"> </w:t>
      </w:r>
      <w:r w:rsidR="00136118">
        <w:rPr>
          <w:rFonts w:cstheme="minorHAnsi"/>
          <w:sz w:val="24"/>
          <w:szCs w:val="24"/>
          <w:lang w:val="el-GR"/>
        </w:rPr>
        <w:t>ψήφο</w:t>
      </w:r>
      <w:r w:rsidR="00136118" w:rsidRPr="00BC1783">
        <w:rPr>
          <w:rFonts w:cstheme="minorHAnsi"/>
          <w:sz w:val="24"/>
          <w:szCs w:val="24"/>
          <w:lang w:val="el-GR"/>
        </w:rPr>
        <w:t xml:space="preserve"> </w:t>
      </w:r>
      <w:r w:rsidR="00136118">
        <w:rPr>
          <w:rFonts w:cstheme="minorHAnsi"/>
          <w:sz w:val="24"/>
          <w:szCs w:val="24"/>
          <w:lang w:val="el-GR"/>
        </w:rPr>
        <w:t>κατά</w:t>
      </w:r>
      <w:r w:rsidR="00136118" w:rsidRPr="00BC1783">
        <w:rPr>
          <w:rFonts w:cstheme="minorHAnsi"/>
          <w:sz w:val="24"/>
          <w:szCs w:val="24"/>
          <w:lang w:val="el-GR"/>
        </w:rPr>
        <w:t xml:space="preserve"> </w:t>
      </w:r>
      <w:r w:rsidR="00136118">
        <w:rPr>
          <w:rFonts w:cstheme="minorHAnsi"/>
          <w:sz w:val="24"/>
          <w:szCs w:val="24"/>
          <w:lang w:val="el-GR"/>
        </w:rPr>
        <w:t>πλειοψηφία</w:t>
      </w:r>
      <w:r w:rsidR="00E32602" w:rsidRPr="00BC1783">
        <w:rPr>
          <w:rFonts w:cstheme="minorHAnsi"/>
          <w:sz w:val="24"/>
          <w:szCs w:val="24"/>
          <w:lang w:val="el-GR"/>
        </w:rPr>
        <w:t xml:space="preserve">. </w:t>
      </w:r>
      <w:r w:rsidR="00136118">
        <w:rPr>
          <w:rFonts w:cstheme="minorHAnsi"/>
          <w:sz w:val="24"/>
          <w:szCs w:val="24"/>
          <w:lang w:val="el-GR"/>
        </w:rPr>
        <w:t>Για</w:t>
      </w:r>
      <w:r w:rsidR="00136118" w:rsidRPr="00136118">
        <w:rPr>
          <w:rFonts w:cstheme="minorHAnsi"/>
          <w:sz w:val="24"/>
          <w:szCs w:val="24"/>
          <w:lang w:val="el-GR"/>
        </w:rPr>
        <w:t xml:space="preserve"> </w:t>
      </w:r>
      <w:r w:rsidR="00136118">
        <w:rPr>
          <w:rFonts w:cstheme="minorHAnsi"/>
          <w:sz w:val="24"/>
          <w:szCs w:val="24"/>
          <w:lang w:val="el-GR"/>
        </w:rPr>
        <w:t>ισχυρισμούς</w:t>
      </w:r>
      <w:r w:rsidR="00136118" w:rsidRPr="00136118">
        <w:rPr>
          <w:rFonts w:cstheme="minorHAnsi"/>
          <w:sz w:val="24"/>
          <w:szCs w:val="24"/>
          <w:lang w:val="el-GR"/>
        </w:rPr>
        <w:t xml:space="preserve"> </w:t>
      </w:r>
      <w:r w:rsidR="00136118">
        <w:rPr>
          <w:rFonts w:cstheme="minorHAnsi"/>
          <w:sz w:val="24"/>
          <w:szCs w:val="24"/>
          <w:lang w:val="el-GR"/>
        </w:rPr>
        <w:t>πειθαρχικών</w:t>
      </w:r>
      <w:r w:rsidR="00136118" w:rsidRPr="00136118">
        <w:rPr>
          <w:rFonts w:cstheme="minorHAnsi"/>
          <w:sz w:val="24"/>
          <w:szCs w:val="24"/>
          <w:lang w:val="el-GR"/>
        </w:rPr>
        <w:t xml:space="preserve"> </w:t>
      </w:r>
      <w:r w:rsidR="00136118">
        <w:rPr>
          <w:rFonts w:cstheme="minorHAnsi"/>
          <w:sz w:val="24"/>
          <w:szCs w:val="24"/>
          <w:lang w:val="el-GR"/>
        </w:rPr>
        <w:t>μικροπαραπτωμάτων</w:t>
      </w:r>
      <w:r w:rsidR="00E32602" w:rsidRPr="00136118">
        <w:rPr>
          <w:rFonts w:cstheme="minorHAnsi"/>
          <w:sz w:val="24"/>
          <w:szCs w:val="24"/>
          <w:lang w:val="el-GR"/>
        </w:rPr>
        <w:t xml:space="preserve"> </w:t>
      </w:r>
      <w:r w:rsidR="00136118">
        <w:rPr>
          <w:rFonts w:cstheme="minorHAnsi"/>
          <w:sz w:val="24"/>
          <w:szCs w:val="24"/>
          <w:lang w:val="el-GR"/>
        </w:rPr>
        <w:t>εναντίον</w:t>
      </w:r>
      <w:r w:rsidR="00E32602" w:rsidRPr="00136118">
        <w:rPr>
          <w:rFonts w:cstheme="minorHAnsi"/>
          <w:sz w:val="24"/>
          <w:szCs w:val="24"/>
          <w:lang w:val="el-GR"/>
        </w:rPr>
        <w:t xml:space="preserve"> </w:t>
      </w:r>
      <w:r w:rsidR="00136118">
        <w:rPr>
          <w:rFonts w:cstheme="minorHAnsi"/>
          <w:sz w:val="24"/>
          <w:szCs w:val="24"/>
          <w:lang w:val="el-GR"/>
        </w:rPr>
        <w:t>Αστυνομικών</w:t>
      </w:r>
      <w:r w:rsidR="00136118" w:rsidRPr="00136118">
        <w:rPr>
          <w:rFonts w:cstheme="minorHAnsi"/>
          <w:sz w:val="24"/>
          <w:szCs w:val="24"/>
          <w:lang w:val="el-GR"/>
        </w:rPr>
        <w:t xml:space="preserve"> </w:t>
      </w:r>
      <w:r w:rsidR="002E5EC0">
        <w:rPr>
          <w:rFonts w:cstheme="minorHAnsi"/>
          <w:sz w:val="24"/>
          <w:szCs w:val="24"/>
          <w:lang w:val="el-GR"/>
        </w:rPr>
        <w:t>χαμηλότερου</w:t>
      </w:r>
      <w:r w:rsidR="00136118" w:rsidRPr="00136118">
        <w:rPr>
          <w:rFonts w:cstheme="minorHAnsi"/>
          <w:sz w:val="24"/>
          <w:szCs w:val="24"/>
          <w:lang w:val="el-GR"/>
        </w:rPr>
        <w:t xml:space="preserve"> </w:t>
      </w:r>
      <w:r w:rsidR="00136118">
        <w:rPr>
          <w:rFonts w:cstheme="minorHAnsi"/>
          <w:sz w:val="24"/>
          <w:szCs w:val="24"/>
          <w:lang w:val="el-GR"/>
        </w:rPr>
        <w:t>βαθμού</w:t>
      </w:r>
      <w:r w:rsidR="00E32602" w:rsidRPr="00136118">
        <w:rPr>
          <w:rFonts w:cstheme="minorHAnsi"/>
          <w:sz w:val="24"/>
          <w:szCs w:val="24"/>
          <w:lang w:val="el-GR"/>
        </w:rPr>
        <w:t xml:space="preserve"> (</w:t>
      </w:r>
      <w:r w:rsidR="00136118">
        <w:rPr>
          <w:rFonts w:cstheme="minorHAnsi"/>
          <w:sz w:val="24"/>
          <w:szCs w:val="24"/>
          <w:lang w:val="el-GR"/>
        </w:rPr>
        <w:t>από</w:t>
      </w:r>
      <w:r w:rsidR="00136118" w:rsidRPr="00136118">
        <w:rPr>
          <w:rFonts w:cstheme="minorHAnsi"/>
          <w:sz w:val="24"/>
          <w:szCs w:val="24"/>
          <w:lang w:val="el-GR"/>
        </w:rPr>
        <w:t xml:space="preserve"> </w:t>
      </w:r>
      <w:r w:rsidR="00136118">
        <w:rPr>
          <w:rFonts w:cstheme="minorHAnsi"/>
          <w:sz w:val="24"/>
          <w:szCs w:val="24"/>
          <w:lang w:val="el-GR"/>
        </w:rPr>
        <w:t>τον</w:t>
      </w:r>
      <w:r w:rsidR="00136118" w:rsidRPr="00136118">
        <w:rPr>
          <w:rFonts w:cstheme="minorHAnsi"/>
          <w:sz w:val="24"/>
          <w:szCs w:val="24"/>
          <w:lang w:val="el-GR"/>
        </w:rPr>
        <w:t xml:space="preserve"> </w:t>
      </w:r>
      <w:r w:rsidR="00136118">
        <w:rPr>
          <w:rFonts w:cstheme="minorHAnsi"/>
          <w:sz w:val="24"/>
          <w:szCs w:val="24"/>
          <w:lang w:val="el-GR"/>
        </w:rPr>
        <w:t>βαθμό</w:t>
      </w:r>
      <w:r w:rsidR="00136118" w:rsidRPr="00136118">
        <w:rPr>
          <w:rFonts w:cstheme="minorHAnsi"/>
          <w:sz w:val="24"/>
          <w:szCs w:val="24"/>
          <w:lang w:val="el-GR"/>
        </w:rPr>
        <w:t xml:space="preserve"> </w:t>
      </w:r>
      <w:r w:rsidR="00136118">
        <w:rPr>
          <w:rFonts w:cstheme="minorHAnsi"/>
          <w:sz w:val="24"/>
          <w:szCs w:val="24"/>
          <w:lang w:val="el-GR"/>
        </w:rPr>
        <w:t>του</w:t>
      </w:r>
      <w:r w:rsidR="00136118" w:rsidRPr="00136118">
        <w:rPr>
          <w:rFonts w:cstheme="minorHAnsi"/>
          <w:sz w:val="24"/>
          <w:szCs w:val="24"/>
          <w:lang w:val="el-GR"/>
        </w:rPr>
        <w:t xml:space="preserve"> </w:t>
      </w:r>
      <w:r w:rsidR="00136118">
        <w:rPr>
          <w:rFonts w:cstheme="minorHAnsi"/>
          <w:sz w:val="24"/>
          <w:szCs w:val="24"/>
          <w:lang w:val="el-GR"/>
        </w:rPr>
        <w:t>Ειδικού</w:t>
      </w:r>
      <w:r w:rsidR="00136118" w:rsidRPr="00136118">
        <w:rPr>
          <w:rFonts w:cstheme="minorHAnsi"/>
          <w:sz w:val="24"/>
          <w:szCs w:val="24"/>
          <w:lang w:val="el-GR"/>
        </w:rPr>
        <w:t xml:space="preserve"> </w:t>
      </w:r>
      <w:r w:rsidR="00136118">
        <w:rPr>
          <w:rFonts w:cstheme="minorHAnsi"/>
          <w:sz w:val="24"/>
          <w:szCs w:val="24"/>
          <w:lang w:val="el-GR"/>
        </w:rPr>
        <w:t>Αστυφύλακα</w:t>
      </w:r>
      <w:r w:rsidR="00E32602" w:rsidRPr="00136118">
        <w:rPr>
          <w:rFonts w:cstheme="minorHAnsi"/>
          <w:sz w:val="24"/>
          <w:szCs w:val="24"/>
          <w:lang w:val="el-GR"/>
        </w:rPr>
        <w:t xml:space="preserve"> </w:t>
      </w:r>
      <w:r w:rsidR="00136118">
        <w:rPr>
          <w:rFonts w:cstheme="minorHAnsi"/>
          <w:sz w:val="24"/>
          <w:szCs w:val="24"/>
          <w:lang w:val="el-GR"/>
        </w:rPr>
        <w:t>μέχρι τον βαθμό του Ανωτέρου Υπαστυνόμου</w:t>
      </w:r>
      <w:r w:rsidR="00E32602" w:rsidRPr="00136118">
        <w:rPr>
          <w:rFonts w:cstheme="minorHAnsi"/>
          <w:sz w:val="24"/>
          <w:szCs w:val="24"/>
          <w:lang w:val="el-GR"/>
        </w:rPr>
        <w:t xml:space="preserve">), </w:t>
      </w:r>
      <w:r w:rsidR="00136118">
        <w:rPr>
          <w:rFonts w:cstheme="minorHAnsi"/>
          <w:sz w:val="24"/>
          <w:szCs w:val="24"/>
          <w:lang w:val="el-GR"/>
        </w:rPr>
        <w:t>ορίζεται ένας</w:t>
      </w:r>
      <w:r w:rsidR="00E32602" w:rsidRPr="00136118">
        <w:rPr>
          <w:rFonts w:cstheme="minorHAnsi"/>
          <w:sz w:val="24"/>
          <w:szCs w:val="24"/>
          <w:lang w:val="el-GR"/>
        </w:rPr>
        <w:t xml:space="preserve"> </w:t>
      </w:r>
      <w:proofErr w:type="spellStart"/>
      <w:r w:rsidR="00136118">
        <w:rPr>
          <w:rFonts w:cstheme="minorHAnsi"/>
          <w:sz w:val="24"/>
          <w:szCs w:val="24"/>
          <w:lang w:val="el-GR"/>
        </w:rPr>
        <w:t>Προεδρεύ</w:t>
      </w:r>
      <w:r w:rsidR="00FF29CD">
        <w:rPr>
          <w:rFonts w:cstheme="minorHAnsi"/>
          <w:sz w:val="24"/>
          <w:szCs w:val="24"/>
          <w:lang w:val="el-GR"/>
        </w:rPr>
        <w:t>ω</w:t>
      </w:r>
      <w:r w:rsidR="00136118">
        <w:rPr>
          <w:rFonts w:cstheme="minorHAnsi"/>
          <w:sz w:val="24"/>
          <w:szCs w:val="24"/>
          <w:lang w:val="el-GR"/>
        </w:rPr>
        <w:t>ν</w:t>
      </w:r>
      <w:proofErr w:type="spellEnd"/>
      <w:r w:rsidR="00136118">
        <w:rPr>
          <w:rFonts w:cstheme="minorHAnsi"/>
          <w:sz w:val="24"/>
          <w:szCs w:val="24"/>
          <w:lang w:val="el-GR"/>
        </w:rPr>
        <w:t xml:space="preserve"> Αξιωματούχος</w:t>
      </w:r>
      <w:r w:rsidR="00E32602" w:rsidRPr="00136118">
        <w:rPr>
          <w:rFonts w:cstheme="minorHAnsi"/>
          <w:sz w:val="24"/>
          <w:szCs w:val="24"/>
          <w:lang w:val="el-GR"/>
        </w:rPr>
        <w:t xml:space="preserve">. </w:t>
      </w:r>
      <w:r w:rsidR="00136118">
        <w:rPr>
          <w:rFonts w:cstheme="minorHAnsi"/>
          <w:sz w:val="24"/>
          <w:szCs w:val="24"/>
          <w:lang w:val="el-GR"/>
        </w:rPr>
        <w:t>Η</w:t>
      </w:r>
      <w:r w:rsidR="00136118" w:rsidRPr="00136118">
        <w:rPr>
          <w:rFonts w:cstheme="minorHAnsi"/>
          <w:sz w:val="24"/>
          <w:szCs w:val="24"/>
          <w:lang w:val="el-GR"/>
        </w:rPr>
        <w:t xml:space="preserve"> </w:t>
      </w:r>
      <w:r w:rsidR="00136118">
        <w:rPr>
          <w:rFonts w:cstheme="minorHAnsi"/>
          <w:sz w:val="24"/>
          <w:szCs w:val="24"/>
          <w:lang w:val="el-GR"/>
        </w:rPr>
        <w:t>λίστα</w:t>
      </w:r>
      <w:r w:rsidR="00136118" w:rsidRPr="00136118">
        <w:rPr>
          <w:rFonts w:cstheme="minorHAnsi"/>
          <w:sz w:val="24"/>
          <w:szCs w:val="24"/>
          <w:lang w:val="el-GR"/>
        </w:rPr>
        <w:t xml:space="preserve"> </w:t>
      </w:r>
      <w:r w:rsidR="00136118">
        <w:rPr>
          <w:rFonts w:cstheme="minorHAnsi"/>
          <w:sz w:val="24"/>
          <w:szCs w:val="24"/>
          <w:lang w:val="el-GR"/>
        </w:rPr>
        <w:t>των</w:t>
      </w:r>
      <w:r w:rsidR="00136118" w:rsidRPr="00136118">
        <w:rPr>
          <w:rFonts w:cstheme="minorHAnsi"/>
          <w:sz w:val="24"/>
          <w:szCs w:val="24"/>
          <w:lang w:val="el-GR"/>
        </w:rPr>
        <w:t xml:space="preserve"> </w:t>
      </w:r>
      <w:proofErr w:type="spellStart"/>
      <w:r w:rsidR="00136118">
        <w:rPr>
          <w:rFonts w:cstheme="minorHAnsi"/>
          <w:sz w:val="24"/>
          <w:szCs w:val="24"/>
          <w:lang w:val="el-GR"/>
        </w:rPr>
        <w:t>προεδρευόντων</w:t>
      </w:r>
      <w:proofErr w:type="spellEnd"/>
      <w:r w:rsidR="00136118" w:rsidRPr="00136118">
        <w:rPr>
          <w:rFonts w:cstheme="minorHAnsi"/>
          <w:sz w:val="24"/>
          <w:szCs w:val="24"/>
          <w:lang w:val="el-GR"/>
        </w:rPr>
        <w:t xml:space="preserve"> </w:t>
      </w:r>
      <w:r w:rsidR="00136118">
        <w:rPr>
          <w:rFonts w:cstheme="minorHAnsi"/>
          <w:sz w:val="24"/>
          <w:szCs w:val="24"/>
          <w:lang w:val="el-GR"/>
        </w:rPr>
        <w:t>αξιωματούχων</w:t>
      </w:r>
      <w:r w:rsidR="00136118" w:rsidRPr="00136118">
        <w:rPr>
          <w:rFonts w:cstheme="minorHAnsi"/>
          <w:sz w:val="24"/>
          <w:szCs w:val="24"/>
          <w:lang w:val="el-GR"/>
        </w:rPr>
        <w:t xml:space="preserve"> </w:t>
      </w:r>
      <w:r w:rsidR="00136118">
        <w:rPr>
          <w:rFonts w:cstheme="minorHAnsi"/>
          <w:sz w:val="24"/>
          <w:szCs w:val="24"/>
          <w:lang w:val="el-GR"/>
        </w:rPr>
        <w:t>εγκρίνεται</w:t>
      </w:r>
      <w:r w:rsidR="00136118" w:rsidRPr="00136118">
        <w:rPr>
          <w:rFonts w:cstheme="minorHAnsi"/>
          <w:sz w:val="24"/>
          <w:szCs w:val="24"/>
          <w:lang w:val="el-GR"/>
        </w:rPr>
        <w:t xml:space="preserve"> </w:t>
      </w:r>
      <w:r w:rsidR="00136118">
        <w:rPr>
          <w:rFonts w:cstheme="minorHAnsi"/>
          <w:sz w:val="24"/>
          <w:szCs w:val="24"/>
          <w:lang w:val="el-GR"/>
        </w:rPr>
        <w:t>από</w:t>
      </w:r>
      <w:r w:rsidR="00136118" w:rsidRPr="00136118">
        <w:rPr>
          <w:rFonts w:cstheme="minorHAnsi"/>
          <w:sz w:val="24"/>
          <w:szCs w:val="24"/>
          <w:lang w:val="el-GR"/>
        </w:rPr>
        <w:t xml:space="preserve"> </w:t>
      </w:r>
      <w:r w:rsidR="00136118">
        <w:rPr>
          <w:rFonts w:cstheme="minorHAnsi"/>
          <w:sz w:val="24"/>
          <w:szCs w:val="24"/>
          <w:lang w:val="el-GR"/>
        </w:rPr>
        <w:t>τον</w:t>
      </w:r>
      <w:r w:rsidR="00136118" w:rsidRPr="00136118">
        <w:rPr>
          <w:rFonts w:cstheme="minorHAnsi"/>
          <w:sz w:val="24"/>
          <w:szCs w:val="24"/>
          <w:lang w:val="el-GR"/>
        </w:rPr>
        <w:t xml:space="preserve"> </w:t>
      </w:r>
      <w:r w:rsidR="00136118">
        <w:rPr>
          <w:rFonts w:cstheme="minorHAnsi"/>
          <w:sz w:val="24"/>
          <w:szCs w:val="24"/>
          <w:lang w:val="el-GR"/>
        </w:rPr>
        <w:t>Υπουργό</w:t>
      </w:r>
      <w:r w:rsidR="00136118" w:rsidRPr="00136118">
        <w:rPr>
          <w:rFonts w:cstheme="minorHAnsi"/>
          <w:sz w:val="24"/>
          <w:szCs w:val="24"/>
          <w:lang w:val="el-GR"/>
        </w:rPr>
        <w:t xml:space="preserve"> </w:t>
      </w:r>
      <w:r w:rsidR="00136118">
        <w:rPr>
          <w:rFonts w:cstheme="minorHAnsi"/>
          <w:sz w:val="24"/>
          <w:szCs w:val="24"/>
          <w:lang w:val="el-GR"/>
        </w:rPr>
        <w:t>Δικαιοσύνης</w:t>
      </w:r>
      <w:r w:rsidR="00136118" w:rsidRPr="00136118">
        <w:rPr>
          <w:rFonts w:cstheme="minorHAnsi"/>
          <w:sz w:val="24"/>
          <w:szCs w:val="24"/>
          <w:lang w:val="el-GR"/>
        </w:rPr>
        <w:t xml:space="preserve"> </w:t>
      </w:r>
      <w:r w:rsidR="00136118">
        <w:rPr>
          <w:rFonts w:cstheme="minorHAnsi"/>
          <w:sz w:val="24"/>
          <w:szCs w:val="24"/>
          <w:lang w:val="el-GR"/>
        </w:rPr>
        <w:t>και</w:t>
      </w:r>
      <w:r w:rsidR="00136118" w:rsidRPr="00136118">
        <w:rPr>
          <w:rFonts w:cstheme="minorHAnsi"/>
          <w:sz w:val="24"/>
          <w:szCs w:val="24"/>
          <w:lang w:val="el-GR"/>
        </w:rPr>
        <w:t xml:space="preserve"> </w:t>
      </w:r>
      <w:r w:rsidR="00136118">
        <w:rPr>
          <w:rFonts w:cstheme="minorHAnsi"/>
          <w:sz w:val="24"/>
          <w:szCs w:val="24"/>
          <w:lang w:val="el-GR"/>
        </w:rPr>
        <w:t>Δημοσίας</w:t>
      </w:r>
      <w:r w:rsidR="00136118" w:rsidRPr="00136118">
        <w:rPr>
          <w:rFonts w:cstheme="minorHAnsi"/>
          <w:sz w:val="24"/>
          <w:szCs w:val="24"/>
          <w:lang w:val="el-GR"/>
        </w:rPr>
        <w:t xml:space="preserve"> </w:t>
      </w:r>
      <w:r w:rsidR="00136118">
        <w:rPr>
          <w:rFonts w:cstheme="minorHAnsi"/>
          <w:sz w:val="24"/>
          <w:szCs w:val="24"/>
          <w:lang w:val="el-GR"/>
        </w:rPr>
        <w:t>Τάξεως</w:t>
      </w:r>
      <w:r w:rsidR="00E32602" w:rsidRPr="00136118">
        <w:rPr>
          <w:rFonts w:cstheme="minorHAnsi"/>
          <w:sz w:val="24"/>
          <w:szCs w:val="24"/>
          <w:lang w:val="el-GR"/>
        </w:rPr>
        <w:t xml:space="preserve">, </w:t>
      </w:r>
      <w:r w:rsidR="00136118">
        <w:rPr>
          <w:rFonts w:cstheme="minorHAnsi"/>
          <w:sz w:val="24"/>
          <w:szCs w:val="24"/>
          <w:lang w:val="el-GR"/>
        </w:rPr>
        <w:t xml:space="preserve">κατόπιν σύστασης από τον Αρχηγό της </w:t>
      </w:r>
      <w:r w:rsidR="009C4E34">
        <w:rPr>
          <w:rFonts w:cstheme="minorHAnsi"/>
          <w:sz w:val="24"/>
          <w:szCs w:val="24"/>
          <w:lang w:val="el-GR"/>
        </w:rPr>
        <w:t>Αστυνομία</w:t>
      </w:r>
      <w:r w:rsidR="00136118">
        <w:rPr>
          <w:rFonts w:cstheme="minorHAnsi"/>
          <w:sz w:val="24"/>
          <w:szCs w:val="24"/>
          <w:lang w:val="el-GR"/>
        </w:rPr>
        <w:t>ς</w:t>
      </w:r>
      <w:r w:rsidR="00E32602" w:rsidRPr="00136118">
        <w:rPr>
          <w:rFonts w:cstheme="minorHAnsi"/>
          <w:sz w:val="24"/>
          <w:szCs w:val="24"/>
          <w:lang w:val="el-GR"/>
        </w:rPr>
        <w:t xml:space="preserve">. </w:t>
      </w:r>
      <w:r w:rsidR="00136118">
        <w:rPr>
          <w:rFonts w:cstheme="minorHAnsi"/>
          <w:sz w:val="24"/>
          <w:szCs w:val="24"/>
          <w:lang w:val="el-GR"/>
        </w:rPr>
        <w:t>Ο</w:t>
      </w:r>
      <w:r w:rsidR="00136118" w:rsidRPr="00136118">
        <w:rPr>
          <w:rFonts w:cstheme="minorHAnsi"/>
          <w:sz w:val="24"/>
          <w:szCs w:val="24"/>
          <w:lang w:val="el-GR"/>
        </w:rPr>
        <w:t xml:space="preserve"> </w:t>
      </w:r>
      <w:r w:rsidR="00136118">
        <w:rPr>
          <w:rFonts w:cstheme="minorHAnsi"/>
          <w:sz w:val="24"/>
          <w:szCs w:val="24"/>
          <w:lang w:val="el-GR"/>
        </w:rPr>
        <w:t>εισαγγελέας</w:t>
      </w:r>
      <w:r w:rsidR="00136118" w:rsidRPr="00136118">
        <w:rPr>
          <w:rFonts w:cstheme="minorHAnsi"/>
          <w:sz w:val="24"/>
          <w:szCs w:val="24"/>
          <w:lang w:val="el-GR"/>
        </w:rPr>
        <w:t xml:space="preserve"> </w:t>
      </w:r>
      <w:r w:rsidR="00136118">
        <w:rPr>
          <w:rFonts w:cstheme="minorHAnsi"/>
          <w:sz w:val="24"/>
          <w:szCs w:val="24"/>
          <w:lang w:val="el-GR"/>
        </w:rPr>
        <w:t>μπορεί</w:t>
      </w:r>
      <w:r w:rsidR="00136118" w:rsidRPr="00136118">
        <w:rPr>
          <w:rFonts w:cstheme="minorHAnsi"/>
          <w:sz w:val="24"/>
          <w:szCs w:val="24"/>
          <w:lang w:val="el-GR"/>
        </w:rPr>
        <w:t xml:space="preserve"> </w:t>
      </w:r>
      <w:r w:rsidR="00136118">
        <w:rPr>
          <w:rFonts w:cstheme="minorHAnsi"/>
          <w:sz w:val="24"/>
          <w:szCs w:val="24"/>
          <w:lang w:val="el-GR"/>
        </w:rPr>
        <w:t>να</w:t>
      </w:r>
      <w:r w:rsidR="00136118" w:rsidRPr="00136118">
        <w:rPr>
          <w:rFonts w:cstheme="minorHAnsi"/>
          <w:sz w:val="24"/>
          <w:szCs w:val="24"/>
          <w:lang w:val="el-GR"/>
        </w:rPr>
        <w:t xml:space="preserve"> </w:t>
      </w:r>
      <w:r w:rsidR="00136118">
        <w:rPr>
          <w:rFonts w:cstheme="minorHAnsi"/>
          <w:sz w:val="24"/>
          <w:szCs w:val="24"/>
          <w:lang w:val="el-GR"/>
        </w:rPr>
        <w:t>είναι</w:t>
      </w:r>
      <w:r w:rsidR="00136118" w:rsidRPr="00136118">
        <w:rPr>
          <w:rFonts w:cstheme="minorHAnsi"/>
          <w:sz w:val="24"/>
          <w:szCs w:val="24"/>
          <w:lang w:val="el-GR"/>
        </w:rPr>
        <w:t xml:space="preserve"> </w:t>
      </w:r>
      <w:r w:rsidR="00136118">
        <w:rPr>
          <w:rFonts w:cstheme="minorHAnsi"/>
          <w:sz w:val="24"/>
          <w:szCs w:val="24"/>
          <w:lang w:val="el-GR"/>
        </w:rPr>
        <w:t>ένας</w:t>
      </w:r>
      <w:r w:rsidR="00136118" w:rsidRPr="00136118">
        <w:rPr>
          <w:rFonts w:cstheme="minorHAnsi"/>
          <w:sz w:val="24"/>
          <w:szCs w:val="24"/>
          <w:lang w:val="el-GR"/>
        </w:rPr>
        <w:t xml:space="preserve"> </w:t>
      </w:r>
      <w:r w:rsidR="00136118">
        <w:rPr>
          <w:rFonts w:cstheme="minorHAnsi"/>
          <w:sz w:val="24"/>
          <w:szCs w:val="24"/>
          <w:lang w:val="el-GR"/>
        </w:rPr>
        <w:t>αστυνομικός</w:t>
      </w:r>
      <w:r w:rsidR="00E32602" w:rsidRPr="00136118">
        <w:rPr>
          <w:rFonts w:cstheme="minorHAnsi"/>
          <w:sz w:val="24"/>
          <w:szCs w:val="24"/>
          <w:lang w:val="el-GR"/>
        </w:rPr>
        <w:t xml:space="preserve"> </w:t>
      </w:r>
      <w:r w:rsidR="00136118">
        <w:rPr>
          <w:rFonts w:cstheme="minorHAnsi"/>
          <w:sz w:val="24"/>
          <w:szCs w:val="24"/>
          <w:lang w:val="el-GR"/>
        </w:rPr>
        <w:t>που</w:t>
      </w:r>
      <w:r w:rsidR="00136118" w:rsidRPr="00136118">
        <w:rPr>
          <w:rFonts w:cstheme="minorHAnsi"/>
          <w:sz w:val="24"/>
          <w:szCs w:val="24"/>
          <w:lang w:val="el-GR"/>
        </w:rPr>
        <w:t xml:space="preserve"> </w:t>
      </w:r>
      <w:r w:rsidR="00136118">
        <w:rPr>
          <w:rFonts w:cstheme="minorHAnsi"/>
          <w:sz w:val="24"/>
          <w:szCs w:val="24"/>
          <w:lang w:val="el-GR"/>
        </w:rPr>
        <w:t>έχει πτυχίο στην νομική και εμπειρία σε δικαστικές διαδικασίες</w:t>
      </w:r>
      <w:r w:rsidR="00D155B2" w:rsidRPr="00136118">
        <w:rPr>
          <w:rFonts w:cstheme="minorHAnsi"/>
          <w:sz w:val="24"/>
          <w:szCs w:val="24"/>
          <w:lang w:val="el-GR"/>
        </w:rPr>
        <w:t>.</w:t>
      </w:r>
    </w:p>
    <w:p w14:paraId="743F96E7" w14:textId="77777777" w:rsidR="00220066" w:rsidRPr="00136118" w:rsidRDefault="00220066" w:rsidP="00220066">
      <w:pPr>
        <w:tabs>
          <w:tab w:val="left" w:pos="709"/>
        </w:tabs>
        <w:rPr>
          <w:rFonts w:cstheme="minorHAnsi"/>
          <w:sz w:val="24"/>
          <w:szCs w:val="24"/>
          <w:lang w:val="el-GR"/>
        </w:rPr>
      </w:pPr>
    </w:p>
    <w:p w14:paraId="468D13F4" w14:textId="7D2F904F" w:rsidR="00220066" w:rsidRPr="00FF29CD" w:rsidRDefault="00136118" w:rsidP="00220066">
      <w:pPr>
        <w:numPr>
          <w:ilvl w:val="0"/>
          <w:numId w:val="1"/>
        </w:numPr>
        <w:tabs>
          <w:tab w:val="left" w:pos="709"/>
        </w:tabs>
        <w:ind w:left="0" w:firstLine="0"/>
        <w:rPr>
          <w:rFonts w:cstheme="minorHAnsi"/>
          <w:sz w:val="24"/>
          <w:szCs w:val="24"/>
          <w:lang w:val="el-GR"/>
        </w:rPr>
      </w:pPr>
      <w:r>
        <w:rPr>
          <w:rFonts w:ascii="Calibri" w:eastAsia="Times New Roman" w:hAnsi="Calibri" w:cs="Calibri"/>
          <w:sz w:val="24"/>
          <w:szCs w:val="24"/>
          <w:lang w:val="el-GR" w:eastAsia="fr-FR"/>
        </w:rPr>
        <w:t>Οι</w:t>
      </w:r>
      <w:r w:rsidRPr="00136118">
        <w:rPr>
          <w:rFonts w:ascii="Calibri" w:eastAsia="Times New Roman" w:hAnsi="Calibri" w:cs="Calibri"/>
          <w:sz w:val="24"/>
          <w:szCs w:val="24"/>
          <w:lang w:val="el-GR" w:eastAsia="fr-FR"/>
        </w:rPr>
        <w:t xml:space="preserve"> </w:t>
      </w:r>
      <w:r>
        <w:rPr>
          <w:rFonts w:ascii="Calibri" w:eastAsia="Times New Roman" w:hAnsi="Calibri" w:cs="Calibri"/>
          <w:sz w:val="24"/>
          <w:szCs w:val="24"/>
          <w:lang w:val="el-GR" w:eastAsia="fr-FR"/>
        </w:rPr>
        <w:t>δύο</w:t>
      </w:r>
      <w:r w:rsidRPr="00136118">
        <w:rPr>
          <w:rFonts w:ascii="Calibri" w:eastAsia="Times New Roman" w:hAnsi="Calibri" w:cs="Calibri"/>
          <w:sz w:val="24"/>
          <w:szCs w:val="24"/>
          <w:lang w:val="el-GR" w:eastAsia="fr-FR"/>
        </w:rPr>
        <w:t xml:space="preserve"> </w:t>
      </w:r>
      <w:r>
        <w:rPr>
          <w:rFonts w:ascii="Calibri" w:eastAsia="Times New Roman" w:hAnsi="Calibri" w:cs="Calibri"/>
          <w:sz w:val="24"/>
          <w:szCs w:val="24"/>
          <w:lang w:val="el-GR" w:eastAsia="fr-FR"/>
        </w:rPr>
        <w:t>προαναφερθείσες</w:t>
      </w:r>
      <w:r w:rsidRPr="00136118">
        <w:rPr>
          <w:rFonts w:ascii="Calibri" w:eastAsia="Times New Roman" w:hAnsi="Calibri" w:cs="Calibri"/>
          <w:sz w:val="24"/>
          <w:szCs w:val="24"/>
          <w:lang w:val="el-GR" w:eastAsia="fr-FR"/>
        </w:rPr>
        <w:t xml:space="preserve"> </w:t>
      </w:r>
      <w:r>
        <w:rPr>
          <w:rFonts w:ascii="Calibri" w:eastAsia="Times New Roman" w:hAnsi="Calibri" w:cs="Calibri"/>
          <w:sz w:val="24"/>
          <w:szCs w:val="24"/>
          <w:lang w:val="el-GR" w:eastAsia="fr-FR"/>
        </w:rPr>
        <w:t>δικαστικές</w:t>
      </w:r>
      <w:r w:rsidRPr="00136118">
        <w:rPr>
          <w:rFonts w:ascii="Calibri" w:eastAsia="Times New Roman" w:hAnsi="Calibri" w:cs="Calibri"/>
          <w:sz w:val="24"/>
          <w:szCs w:val="24"/>
          <w:lang w:val="el-GR" w:eastAsia="fr-FR"/>
        </w:rPr>
        <w:t xml:space="preserve"> </w:t>
      </w:r>
      <w:r>
        <w:rPr>
          <w:rFonts w:ascii="Calibri" w:eastAsia="Times New Roman" w:hAnsi="Calibri" w:cs="Calibri"/>
          <w:sz w:val="24"/>
          <w:szCs w:val="24"/>
          <w:lang w:val="el-GR" w:eastAsia="fr-FR"/>
        </w:rPr>
        <w:t>περιπτώσεις</w:t>
      </w:r>
      <w:r w:rsidR="00220066" w:rsidRPr="00136118">
        <w:rPr>
          <w:rFonts w:ascii="Calibri" w:eastAsia="Times New Roman" w:hAnsi="Calibri" w:cs="Calibri"/>
          <w:sz w:val="24"/>
          <w:szCs w:val="24"/>
          <w:lang w:val="el-GR" w:eastAsia="fr-FR"/>
        </w:rPr>
        <w:t xml:space="preserve"> </w:t>
      </w:r>
      <w:r>
        <w:rPr>
          <w:rFonts w:ascii="Calibri" w:eastAsia="Times New Roman" w:hAnsi="Calibri" w:cs="Calibri"/>
          <w:sz w:val="24"/>
          <w:szCs w:val="24"/>
          <w:lang w:val="el-GR" w:eastAsia="fr-FR"/>
        </w:rPr>
        <w:t>έχουν</w:t>
      </w:r>
      <w:r w:rsidRPr="00136118">
        <w:rPr>
          <w:rFonts w:ascii="Calibri" w:eastAsia="Times New Roman" w:hAnsi="Calibri" w:cs="Calibri"/>
          <w:sz w:val="24"/>
          <w:szCs w:val="24"/>
          <w:lang w:val="el-GR" w:eastAsia="fr-FR"/>
        </w:rPr>
        <w:t xml:space="preserve"> </w:t>
      </w:r>
      <w:r>
        <w:rPr>
          <w:rFonts w:ascii="Calibri" w:eastAsia="Times New Roman" w:hAnsi="Calibri" w:cs="Calibri"/>
          <w:sz w:val="24"/>
          <w:szCs w:val="24"/>
          <w:lang w:val="el-GR" w:eastAsia="fr-FR"/>
        </w:rPr>
        <w:t>διαφορετικές</w:t>
      </w:r>
      <w:r w:rsidRPr="00136118">
        <w:rPr>
          <w:rFonts w:ascii="Calibri" w:eastAsia="Times New Roman" w:hAnsi="Calibri" w:cs="Calibri"/>
          <w:sz w:val="24"/>
          <w:szCs w:val="24"/>
          <w:lang w:val="el-GR" w:eastAsia="fr-FR"/>
        </w:rPr>
        <w:t xml:space="preserve"> </w:t>
      </w:r>
      <w:r>
        <w:rPr>
          <w:rFonts w:ascii="Calibri" w:eastAsia="Times New Roman" w:hAnsi="Calibri" w:cs="Calibri"/>
          <w:sz w:val="24"/>
          <w:szCs w:val="24"/>
          <w:lang w:val="el-GR" w:eastAsia="fr-FR"/>
        </w:rPr>
        <w:t>εξουσίες</w:t>
      </w:r>
      <w:r w:rsidR="00220066" w:rsidRPr="00136118">
        <w:rPr>
          <w:rFonts w:ascii="Calibri" w:eastAsia="Times New Roman" w:hAnsi="Calibri" w:cs="Calibri"/>
          <w:sz w:val="24"/>
          <w:szCs w:val="24"/>
          <w:lang w:val="el-GR" w:eastAsia="fr-FR"/>
        </w:rPr>
        <w:t xml:space="preserve">, </w:t>
      </w:r>
      <w:r>
        <w:rPr>
          <w:rFonts w:ascii="Calibri" w:eastAsia="Times New Roman" w:hAnsi="Calibri" w:cs="Calibri"/>
          <w:sz w:val="24"/>
          <w:szCs w:val="24"/>
          <w:lang w:val="el-GR" w:eastAsia="fr-FR"/>
        </w:rPr>
        <w:t>σε σχέση με τις πειθαρχικές κυρώσεις</w:t>
      </w:r>
      <w:r w:rsidR="00220066" w:rsidRPr="00136118">
        <w:rPr>
          <w:rFonts w:ascii="Calibri" w:eastAsia="Times New Roman" w:hAnsi="Calibri" w:cs="Calibri"/>
          <w:sz w:val="24"/>
          <w:szCs w:val="24"/>
          <w:lang w:val="el-GR" w:eastAsia="fr-FR"/>
        </w:rPr>
        <w:t xml:space="preserve">, </w:t>
      </w:r>
      <w:r>
        <w:rPr>
          <w:rFonts w:ascii="Calibri" w:eastAsia="Times New Roman" w:hAnsi="Calibri" w:cs="Calibri"/>
          <w:sz w:val="24"/>
          <w:szCs w:val="24"/>
          <w:lang w:val="el-GR" w:eastAsia="fr-FR"/>
        </w:rPr>
        <w:t>που μπορούν να επιβάλουν</w:t>
      </w:r>
      <w:r w:rsidR="00220066" w:rsidRPr="00136118">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Ειδικότερα</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η</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Πειθαρχική</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Επιτροπή</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μπορεί</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να</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επιβάλει</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τις</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ακόλουθες</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κυρώσεις</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απόλυση</w:t>
      </w:r>
      <w:r w:rsidR="00510CD4" w:rsidRPr="00510CD4">
        <w:rPr>
          <w:rFonts w:ascii="Calibri" w:eastAsia="Times New Roman" w:hAnsi="Calibri" w:cs="Calibri"/>
          <w:sz w:val="24"/>
          <w:szCs w:val="24"/>
          <w:lang w:val="el-GR" w:eastAsia="fr-FR"/>
        </w:rPr>
        <w:t>,</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αναγκαστική</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παραίτηση</w:t>
      </w:r>
      <w:r w:rsidR="00510CD4" w:rsidRPr="00510CD4">
        <w:rPr>
          <w:rFonts w:ascii="Calibri" w:eastAsia="Times New Roman" w:hAnsi="Calibri" w:cs="Calibri"/>
          <w:sz w:val="24"/>
          <w:szCs w:val="24"/>
          <w:lang w:val="el-GR" w:eastAsia="fr-FR"/>
        </w:rPr>
        <w:t>,</w:t>
      </w:r>
      <w:r w:rsidR="00220066" w:rsidRPr="00510CD4">
        <w:rPr>
          <w:rFonts w:cstheme="minorHAnsi"/>
          <w:sz w:val="24"/>
          <w:szCs w:val="24"/>
          <w:lang w:val="el-GR"/>
        </w:rPr>
        <w:t xml:space="preserve"> </w:t>
      </w:r>
      <w:r w:rsidR="00510CD4">
        <w:rPr>
          <w:rFonts w:cstheme="minorHAnsi"/>
          <w:sz w:val="24"/>
          <w:szCs w:val="24"/>
          <w:lang w:val="el-GR"/>
        </w:rPr>
        <w:t>υποβιβασμός</w:t>
      </w:r>
      <w:r w:rsidR="00510CD4" w:rsidRPr="00510CD4">
        <w:rPr>
          <w:rFonts w:cstheme="minorHAnsi"/>
          <w:sz w:val="24"/>
          <w:szCs w:val="24"/>
          <w:lang w:val="el-GR"/>
        </w:rPr>
        <w:t xml:space="preserve"> </w:t>
      </w:r>
      <w:r w:rsidR="00510CD4">
        <w:rPr>
          <w:rFonts w:cstheme="minorHAnsi"/>
          <w:sz w:val="24"/>
          <w:szCs w:val="24"/>
          <w:lang w:val="el-GR"/>
        </w:rPr>
        <w:t>βαθμού</w:t>
      </w:r>
      <w:r w:rsidR="00510CD4" w:rsidRPr="00510CD4">
        <w:rPr>
          <w:rFonts w:cstheme="minorHAnsi"/>
          <w:sz w:val="24"/>
          <w:szCs w:val="24"/>
          <w:lang w:val="el-GR"/>
        </w:rPr>
        <w:t xml:space="preserve"> </w:t>
      </w:r>
      <w:r w:rsidR="00510CD4">
        <w:rPr>
          <w:rFonts w:cstheme="minorHAnsi"/>
          <w:sz w:val="24"/>
          <w:szCs w:val="24"/>
          <w:lang w:val="el-GR"/>
        </w:rPr>
        <w:t>ή</w:t>
      </w:r>
      <w:r w:rsidR="00510CD4" w:rsidRPr="00510CD4">
        <w:rPr>
          <w:rFonts w:cstheme="minorHAnsi"/>
          <w:sz w:val="24"/>
          <w:szCs w:val="24"/>
          <w:lang w:val="el-GR"/>
        </w:rPr>
        <w:t xml:space="preserve"> </w:t>
      </w:r>
      <w:r w:rsidR="00510CD4">
        <w:rPr>
          <w:rFonts w:cstheme="minorHAnsi"/>
          <w:sz w:val="24"/>
          <w:szCs w:val="24"/>
          <w:lang w:val="el-GR"/>
        </w:rPr>
        <w:t>κλίμακος</w:t>
      </w:r>
      <w:r w:rsidR="00510CD4" w:rsidRPr="00510CD4">
        <w:rPr>
          <w:rFonts w:cstheme="minorHAnsi"/>
          <w:sz w:val="24"/>
          <w:szCs w:val="24"/>
          <w:lang w:val="el-GR"/>
        </w:rPr>
        <w:t xml:space="preserve"> </w:t>
      </w:r>
      <w:r w:rsidR="00510CD4">
        <w:rPr>
          <w:rFonts w:cstheme="minorHAnsi"/>
          <w:sz w:val="24"/>
          <w:szCs w:val="24"/>
          <w:lang w:val="el-GR"/>
        </w:rPr>
        <w:t>πληρωμής</w:t>
      </w:r>
      <w:r w:rsidR="00510CD4" w:rsidRPr="00510CD4">
        <w:rPr>
          <w:rFonts w:cstheme="minorHAnsi"/>
          <w:sz w:val="24"/>
          <w:szCs w:val="24"/>
          <w:lang w:val="el-GR"/>
        </w:rPr>
        <w:t>,</w:t>
      </w:r>
      <w:r w:rsidR="00220066" w:rsidRPr="00510CD4">
        <w:rPr>
          <w:rFonts w:cstheme="minorHAnsi"/>
          <w:sz w:val="24"/>
          <w:szCs w:val="24"/>
          <w:lang w:val="el-GR"/>
        </w:rPr>
        <w:t xml:space="preserve"> </w:t>
      </w:r>
      <w:r w:rsidR="00510CD4">
        <w:rPr>
          <w:rFonts w:cstheme="minorHAnsi"/>
          <w:sz w:val="24"/>
          <w:szCs w:val="24"/>
          <w:lang w:val="el-GR"/>
        </w:rPr>
        <w:t>παρακράτηση</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διακοπή</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ή</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ανα</w:t>
      </w:r>
      <w:r w:rsidR="00314A8D">
        <w:rPr>
          <w:rFonts w:ascii="Calibri" w:eastAsia="Times New Roman" w:hAnsi="Calibri" w:cs="Calibri"/>
          <w:sz w:val="24"/>
          <w:szCs w:val="24"/>
          <w:lang w:val="el-GR" w:eastAsia="fr-FR"/>
        </w:rPr>
        <w:t>στ</w:t>
      </w:r>
      <w:r w:rsidR="00510CD4">
        <w:rPr>
          <w:rFonts w:ascii="Calibri" w:eastAsia="Times New Roman" w:hAnsi="Calibri" w:cs="Calibri"/>
          <w:sz w:val="24"/>
          <w:szCs w:val="24"/>
          <w:lang w:val="el-GR" w:eastAsia="fr-FR"/>
        </w:rPr>
        <w:t>ολή της ετήσιας αύξησης,</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επιβολή προστίμου που δεν θα υπερβαίνει το ποσό των</w:t>
      </w:r>
      <w:r w:rsidR="00220066" w:rsidRPr="00510CD4">
        <w:rPr>
          <w:rFonts w:ascii="Calibri" w:eastAsia="Times New Roman" w:hAnsi="Calibri" w:cs="Calibri"/>
          <w:sz w:val="24"/>
          <w:szCs w:val="24"/>
          <w:lang w:val="el-GR" w:eastAsia="fr-FR"/>
        </w:rPr>
        <w:t xml:space="preserve"> €10 000</w:t>
      </w:r>
      <w:r w:rsidR="00510CD4">
        <w:rPr>
          <w:rFonts w:ascii="Calibri" w:eastAsia="Times New Roman" w:hAnsi="Calibri" w:cs="Calibri"/>
          <w:sz w:val="24"/>
          <w:szCs w:val="24"/>
          <w:lang w:val="el-GR" w:eastAsia="fr-FR"/>
        </w:rPr>
        <w:t>,</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πειθαρχική μετάθεση σε άλλη θέση</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για μια περίοδο ενός μέχρι πέντε χρόνων,</w:t>
      </w:r>
      <w:r w:rsidR="00220066" w:rsidRPr="00510CD4">
        <w:rPr>
          <w:rFonts w:cstheme="minorHAnsi"/>
          <w:sz w:val="24"/>
          <w:szCs w:val="24"/>
          <w:lang w:val="el-GR"/>
        </w:rPr>
        <w:t xml:space="preserve"> </w:t>
      </w:r>
      <w:r w:rsidR="00510CD4">
        <w:rPr>
          <w:rFonts w:cstheme="minorHAnsi"/>
          <w:sz w:val="24"/>
          <w:szCs w:val="24"/>
          <w:lang w:val="el-GR"/>
        </w:rPr>
        <w:t>αυστηρή επίπληξη και επίπληξη</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Όταν</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το</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αδίκημα</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είναι</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μικρό</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ο</w:t>
      </w:r>
      <w:r w:rsidR="00510CD4" w:rsidRPr="00510CD4">
        <w:rPr>
          <w:rFonts w:ascii="Calibri" w:eastAsia="Times New Roman" w:hAnsi="Calibri" w:cs="Calibri"/>
          <w:sz w:val="24"/>
          <w:szCs w:val="24"/>
          <w:lang w:val="el-GR" w:eastAsia="fr-FR"/>
        </w:rPr>
        <w:t xml:space="preserve"> </w:t>
      </w:r>
      <w:proofErr w:type="spellStart"/>
      <w:r w:rsidR="00510CD4">
        <w:rPr>
          <w:rFonts w:ascii="Calibri" w:eastAsia="Times New Roman" w:hAnsi="Calibri" w:cs="Calibri"/>
          <w:sz w:val="24"/>
          <w:szCs w:val="24"/>
          <w:lang w:val="el-GR" w:eastAsia="fr-FR"/>
        </w:rPr>
        <w:t>Προεδρεύων</w:t>
      </w:r>
      <w:proofErr w:type="spellEnd"/>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Αξιωματούχος</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έχει</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τις</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ακόλουθες</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εξουσίες</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παρακράτηση</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διακοπή</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ή</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ανα</w:t>
      </w:r>
      <w:r w:rsidR="00314A8D">
        <w:rPr>
          <w:rFonts w:ascii="Calibri" w:eastAsia="Times New Roman" w:hAnsi="Calibri" w:cs="Calibri"/>
          <w:sz w:val="24"/>
          <w:szCs w:val="24"/>
          <w:lang w:val="el-GR" w:eastAsia="fr-FR"/>
        </w:rPr>
        <w:t>στ</w:t>
      </w:r>
      <w:r w:rsidR="00510CD4">
        <w:rPr>
          <w:rFonts w:ascii="Calibri" w:eastAsia="Times New Roman" w:hAnsi="Calibri" w:cs="Calibri"/>
          <w:sz w:val="24"/>
          <w:szCs w:val="24"/>
          <w:lang w:val="el-GR" w:eastAsia="fr-FR"/>
        </w:rPr>
        <w:t>ολή</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της</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ετήσια</w:t>
      </w:r>
      <w:r w:rsidR="00FF29CD">
        <w:rPr>
          <w:rFonts w:ascii="Calibri" w:eastAsia="Times New Roman" w:hAnsi="Calibri" w:cs="Calibri"/>
          <w:sz w:val="24"/>
          <w:szCs w:val="24"/>
          <w:lang w:val="el-GR" w:eastAsia="fr-FR"/>
        </w:rPr>
        <w:t>ς</w:t>
      </w:r>
      <w:r w:rsidR="00510CD4"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αύξησης</w:t>
      </w:r>
      <w:r w:rsidR="00510CD4" w:rsidRPr="00510CD4">
        <w:rPr>
          <w:rFonts w:ascii="Calibri" w:eastAsia="Times New Roman" w:hAnsi="Calibri" w:cs="Calibri"/>
          <w:sz w:val="24"/>
          <w:szCs w:val="24"/>
          <w:lang w:val="el-GR" w:eastAsia="fr-FR"/>
        </w:rPr>
        <w:t>,</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επιβολή προστίμου που δεν θα υπ</w:t>
      </w:r>
      <w:r w:rsidR="00FF29CD">
        <w:rPr>
          <w:rFonts w:ascii="Calibri" w:eastAsia="Times New Roman" w:hAnsi="Calibri" w:cs="Calibri"/>
          <w:sz w:val="24"/>
          <w:szCs w:val="24"/>
          <w:lang w:val="el-GR" w:eastAsia="fr-FR"/>
        </w:rPr>
        <w:t>ε</w:t>
      </w:r>
      <w:r w:rsidR="00510CD4">
        <w:rPr>
          <w:rFonts w:ascii="Calibri" w:eastAsia="Times New Roman" w:hAnsi="Calibri" w:cs="Calibri"/>
          <w:sz w:val="24"/>
          <w:szCs w:val="24"/>
          <w:lang w:val="el-GR" w:eastAsia="fr-FR"/>
        </w:rPr>
        <w:t>ρβαίνει το ποσό των</w:t>
      </w:r>
      <w:r w:rsidR="00220066" w:rsidRPr="00510CD4">
        <w:rPr>
          <w:rFonts w:ascii="Calibri" w:eastAsia="Times New Roman" w:hAnsi="Calibri" w:cs="Calibri"/>
          <w:sz w:val="24"/>
          <w:szCs w:val="24"/>
          <w:lang w:val="el-GR" w:eastAsia="fr-FR"/>
        </w:rPr>
        <w:t xml:space="preserve"> €10 000</w:t>
      </w:r>
      <w:r w:rsidR="00510CD4">
        <w:rPr>
          <w:rFonts w:ascii="Calibri" w:eastAsia="Times New Roman" w:hAnsi="Calibri" w:cs="Calibri"/>
          <w:sz w:val="24"/>
          <w:szCs w:val="24"/>
          <w:lang w:val="el-GR" w:eastAsia="fr-FR"/>
        </w:rPr>
        <w:t>,</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πειθαρχική μετάθεση σε άλλη θέση</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για μια περίοδο ενός μέχρι πέντε χρόνων,</w:t>
      </w:r>
      <w:r w:rsidR="00220066" w:rsidRPr="00510CD4">
        <w:rPr>
          <w:rFonts w:cstheme="minorHAnsi"/>
          <w:sz w:val="24"/>
          <w:szCs w:val="24"/>
          <w:lang w:val="el-GR"/>
        </w:rPr>
        <w:t xml:space="preserve"> </w:t>
      </w:r>
      <w:r w:rsidR="00510CD4">
        <w:rPr>
          <w:rFonts w:cstheme="minorHAnsi"/>
          <w:sz w:val="24"/>
          <w:szCs w:val="24"/>
          <w:lang w:val="el-GR"/>
        </w:rPr>
        <w:t>αυστηρή επίπληξη και επίπληξη</w:t>
      </w:r>
      <w:r w:rsidR="00220066" w:rsidRPr="00510CD4">
        <w:rPr>
          <w:rFonts w:ascii="Calibri" w:eastAsia="Times New Roman" w:hAnsi="Calibri" w:cs="Calibri"/>
          <w:sz w:val="24"/>
          <w:szCs w:val="24"/>
          <w:lang w:val="el-GR" w:eastAsia="fr-FR"/>
        </w:rPr>
        <w:t xml:space="preserve">. </w:t>
      </w:r>
      <w:r w:rsidR="00510CD4">
        <w:rPr>
          <w:rFonts w:ascii="Calibri" w:eastAsia="Times New Roman" w:hAnsi="Calibri" w:cs="Calibri"/>
          <w:sz w:val="24"/>
          <w:szCs w:val="24"/>
          <w:lang w:val="el-GR" w:eastAsia="fr-FR"/>
        </w:rPr>
        <w:t>Μεταξύ</w:t>
      </w:r>
      <w:r w:rsidR="00510CD4" w:rsidRPr="00FF29CD">
        <w:rPr>
          <w:rFonts w:ascii="Calibri" w:eastAsia="Times New Roman" w:hAnsi="Calibri" w:cs="Calibri"/>
          <w:sz w:val="24"/>
          <w:szCs w:val="24"/>
          <w:lang w:val="el-GR" w:eastAsia="fr-FR"/>
        </w:rPr>
        <w:t xml:space="preserve"> </w:t>
      </w:r>
      <w:r w:rsidR="00D155B2" w:rsidRPr="00FF29CD">
        <w:rPr>
          <w:rFonts w:eastAsia="Times New Roman" w:cs="Calibri"/>
          <w:sz w:val="24"/>
          <w:szCs w:val="24"/>
          <w:lang w:val="el-GR" w:eastAsia="fr-FR"/>
        </w:rPr>
        <w:t xml:space="preserve">2017-2022, </w:t>
      </w:r>
      <w:r w:rsidR="00FF29CD">
        <w:rPr>
          <w:rFonts w:eastAsia="Times New Roman" w:cs="Calibri"/>
          <w:sz w:val="24"/>
          <w:szCs w:val="24"/>
          <w:lang w:val="el-GR" w:eastAsia="fr-FR"/>
        </w:rPr>
        <w:t xml:space="preserve">σε </w:t>
      </w:r>
      <w:r w:rsidR="00D155B2" w:rsidRPr="00FF29CD">
        <w:rPr>
          <w:rFonts w:eastAsia="Times New Roman" w:cs="Calibri"/>
          <w:sz w:val="24"/>
          <w:szCs w:val="24"/>
          <w:lang w:val="el-GR" w:eastAsia="fr-FR"/>
        </w:rPr>
        <w:t xml:space="preserve">13 </w:t>
      </w:r>
      <w:r w:rsidR="00510CD4">
        <w:rPr>
          <w:rFonts w:eastAsia="Times New Roman" w:cs="Calibri"/>
          <w:sz w:val="24"/>
          <w:szCs w:val="24"/>
          <w:lang w:val="el-GR" w:eastAsia="fr-FR"/>
        </w:rPr>
        <w:t>αστυνομικο</w:t>
      </w:r>
      <w:r w:rsidR="00FF29CD">
        <w:rPr>
          <w:rFonts w:eastAsia="Times New Roman" w:cs="Calibri"/>
          <w:sz w:val="24"/>
          <w:szCs w:val="24"/>
          <w:lang w:val="el-GR" w:eastAsia="fr-FR"/>
        </w:rPr>
        <w:t>ύς</w:t>
      </w:r>
      <w:r w:rsidR="00510CD4" w:rsidRPr="00FF29CD">
        <w:rPr>
          <w:rFonts w:eastAsia="Times New Roman" w:cs="Calibri"/>
          <w:sz w:val="24"/>
          <w:szCs w:val="24"/>
          <w:lang w:val="el-GR" w:eastAsia="fr-FR"/>
        </w:rPr>
        <w:t xml:space="preserve"> </w:t>
      </w:r>
      <w:r w:rsidR="00FF29CD">
        <w:rPr>
          <w:rFonts w:eastAsia="Times New Roman" w:cs="Calibri"/>
          <w:sz w:val="24"/>
          <w:szCs w:val="24"/>
          <w:lang w:val="el-GR" w:eastAsia="fr-FR"/>
        </w:rPr>
        <w:t>επι</w:t>
      </w:r>
      <w:r w:rsidR="00510CD4">
        <w:rPr>
          <w:rFonts w:eastAsia="Times New Roman" w:cs="Calibri"/>
          <w:sz w:val="24"/>
          <w:szCs w:val="24"/>
          <w:lang w:val="el-GR" w:eastAsia="fr-FR"/>
        </w:rPr>
        <w:t>βλ</w:t>
      </w:r>
      <w:r w:rsidR="00E72B63">
        <w:rPr>
          <w:rFonts w:eastAsia="Times New Roman" w:cs="Calibri"/>
          <w:sz w:val="24"/>
          <w:szCs w:val="24"/>
          <w:lang w:val="el-GR" w:eastAsia="fr-FR"/>
        </w:rPr>
        <w:t>ήθηκε</w:t>
      </w:r>
      <w:r w:rsidR="00510CD4" w:rsidRPr="00FF29CD">
        <w:rPr>
          <w:rFonts w:eastAsia="Times New Roman" w:cs="Calibri"/>
          <w:sz w:val="24"/>
          <w:szCs w:val="24"/>
          <w:lang w:val="el-GR" w:eastAsia="fr-FR"/>
        </w:rPr>
        <w:t xml:space="preserve"> </w:t>
      </w:r>
      <w:r w:rsidR="00510CD4">
        <w:rPr>
          <w:rFonts w:eastAsia="Times New Roman" w:cs="Calibri"/>
          <w:sz w:val="24"/>
          <w:szCs w:val="24"/>
          <w:lang w:val="el-GR" w:eastAsia="fr-FR"/>
        </w:rPr>
        <w:t>κύρωση</w:t>
      </w:r>
      <w:r w:rsidR="00510CD4" w:rsidRPr="00FF29CD">
        <w:rPr>
          <w:rFonts w:eastAsia="Times New Roman" w:cs="Calibri"/>
          <w:sz w:val="24"/>
          <w:szCs w:val="24"/>
          <w:lang w:val="el-GR" w:eastAsia="fr-FR"/>
        </w:rPr>
        <w:t xml:space="preserve"> </w:t>
      </w:r>
      <w:r w:rsidR="00510CD4">
        <w:rPr>
          <w:rFonts w:eastAsia="Times New Roman" w:cs="Calibri"/>
          <w:sz w:val="24"/>
          <w:szCs w:val="24"/>
          <w:lang w:val="el-GR" w:eastAsia="fr-FR"/>
        </w:rPr>
        <w:t>ή</w:t>
      </w:r>
      <w:r w:rsidR="00510CD4" w:rsidRPr="00FF29CD">
        <w:rPr>
          <w:rFonts w:eastAsia="Times New Roman" w:cs="Calibri"/>
          <w:sz w:val="24"/>
          <w:szCs w:val="24"/>
          <w:lang w:val="el-GR" w:eastAsia="fr-FR"/>
        </w:rPr>
        <w:t xml:space="preserve"> </w:t>
      </w:r>
      <w:r w:rsidR="00510CD4">
        <w:rPr>
          <w:rFonts w:eastAsia="Times New Roman" w:cs="Calibri"/>
          <w:sz w:val="24"/>
          <w:szCs w:val="24"/>
          <w:lang w:val="el-GR" w:eastAsia="fr-FR"/>
        </w:rPr>
        <w:t>απόλυση</w:t>
      </w:r>
      <w:r w:rsidR="00D155B2" w:rsidRPr="00FF29CD">
        <w:rPr>
          <w:rFonts w:eastAsia="Times New Roman" w:cs="Calibri"/>
          <w:sz w:val="24"/>
          <w:szCs w:val="24"/>
          <w:lang w:val="el-GR" w:eastAsia="fr-FR"/>
        </w:rPr>
        <w:t>.</w:t>
      </w:r>
    </w:p>
    <w:p w14:paraId="2D43512E" w14:textId="77777777" w:rsidR="00220066" w:rsidRPr="00FF29CD" w:rsidRDefault="00220066" w:rsidP="00220066">
      <w:pPr>
        <w:tabs>
          <w:tab w:val="left" w:pos="709"/>
        </w:tabs>
        <w:rPr>
          <w:rFonts w:cstheme="minorHAnsi"/>
          <w:sz w:val="24"/>
          <w:szCs w:val="24"/>
          <w:lang w:val="el-GR"/>
        </w:rPr>
      </w:pPr>
    </w:p>
    <w:p w14:paraId="0A8E2DE0" w14:textId="4064EE13" w:rsidR="00220066" w:rsidRPr="00FF29CD" w:rsidRDefault="00510CD4" w:rsidP="00220066">
      <w:pPr>
        <w:numPr>
          <w:ilvl w:val="0"/>
          <w:numId w:val="1"/>
        </w:numPr>
        <w:tabs>
          <w:tab w:val="left" w:pos="709"/>
        </w:tabs>
        <w:ind w:left="0" w:firstLine="0"/>
        <w:rPr>
          <w:rFonts w:cstheme="minorHAnsi"/>
          <w:sz w:val="24"/>
          <w:szCs w:val="24"/>
          <w:lang w:val="el-GR"/>
        </w:rPr>
      </w:pPr>
      <w:r>
        <w:rPr>
          <w:rFonts w:ascii="Calibri" w:eastAsia="Times New Roman" w:hAnsi="Calibri" w:cs="Calibri"/>
          <w:sz w:val="24"/>
          <w:szCs w:val="24"/>
          <w:lang w:val="el-GR" w:eastAsia="fr-FR"/>
        </w:rPr>
        <w:t>Υπάρχουν</w:t>
      </w:r>
      <w:r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διαδικασίες</w:t>
      </w:r>
      <w:r w:rsidR="00FF29CD"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έφεσης</w:t>
      </w:r>
      <w:r w:rsidR="00220066"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ιδιαίτερα μέσω Συμβουλίων Έφεσης</w:t>
      </w:r>
      <w:r w:rsidR="00220066"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Όταν</w:t>
      </w:r>
      <w:r w:rsidR="00FF29CD"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τα</w:t>
      </w:r>
      <w:r w:rsidR="00FF29CD"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αδικήματα</w:t>
      </w:r>
      <w:r w:rsidR="00FF29CD"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που</w:t>
      </w:r>
      <w:r w:rsidR="00FF29CD"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διαπράχθηκαν</w:t>
      </w:r>
      <w:r w:rsidR="00220066"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σχετίζονται</w:t>
      </w:r>
      <w:r w:rsidR="00FF29CD"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με</w:t>
      </w:r>
      <w:r w:rsidR="00FF29CD"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ποινικά</w:t>
      </w:r>
      <w:r w:rsidR="00FF29CD"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αδικήματα</w:t>
      </w:r>
      <w:r w:rsidR="00220066"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τότε</w:t>
      </w:r>
      <w:r w:rsidR="00FF29CD"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το</w:t>
      </w:r>
      <w:r w:rsidR="00FF29CD"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Ποινικό</w:t>
      </w:r>
      <w:r w:rsidR="00FF29CD"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Δικαστήριο</w:t>
      </w:r>
      <w:r w:rsidR="00220066"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έχει την αρμοδιότητα</w:t>
      </w:r>
      <w:r w:rsidR="00220066"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για την δίκη και για τις ποινές που θα επιβληθούν</w:t>
      </w:r>
      <w:r w:rsidR="00220066"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Μετά</w:t>
      </w:r>
      <w:r w:rsidR="00FF29CD"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την</w:t>
      </w:r>
      <w:r w:rsidR="00FF29CD"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ποινή</w:t>
      </w:r>
      <w:r w:rsidR="00FF29CD"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του</w:t>
      </w:r>
      <w:r w:rsidR="00FF29CD"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ποινικού</w:t>
      </w:r>
      <w:r w:rsidR="00FF29CD"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δικαστηρίου</w:t>
      </w:r>
      <w:r w:rsidR="00E32602" w:rsidRPr="00FF29CD">
        <w:rPr>
          <w:rFonts w:ascii="Calibri" w:eastAsia="Times New Roman" w:hAnsi="Calibri" w:cs="Calibri"/>
          <w:sz w:val="24"/>
          <w:szCs w:val="24"/>
          <w:lang w:val="el-GR" w:eastAsia="fr-FR"/>
        </w:rPr>
        <w:t xml:space="preserve">, </w:t>
      </w:r>
      <w:r w:rsidR="00FF29CD">
        <w:rPr>
          <w:rFonts w:ascii="Calibri" w:eastAsia="Times New Roman" w:hAnsi="Calibri" w:cs="Calibri"/>
          <w:sz w:val="24"/>
          <w:szCs w:val="24"/>
          <w:lang w:val="el-GR" w:eastAsia="fr-FR"/>
        </w:rPr>
        <w:t>διεξάγεται μια πειθαρχική διαδικασία</w:t>
      </w:r>
      <w:r w:rsidR="00E32602" w:rsidRPr="00FF29CD">
        <w:rPr>
          <w:rFonts w:ascii="Calibri" w:eastAsia="Times New Roman" w:hAnsi="Calibri" w:cs="Calibri"/>
          <w:sz w:val="24"/>
          <w:szCs w:val="24"/>
          <w:lang w:val="el-GR" w:eastAsia="fr-FR"/>
        </w:rPr>
        <w:t xml:space="preserve">. </w:t>
      </w:r>
    </w:p>
    <w:p w14:paraId="0B82ADE4" w14:textId="77777777" w:rsidR="00220066" w:rsidRPr="00FF29CD" w:rsidRDefault="00220066" w:rsidP="00220066">
      <w:pPr>
        <w:tabs>
          <w:tab w:val="left" w:pos="709"/>
        </w:tabs>
        <w:rPr>
          <w:rFonts w:cstheme="minorHAnsi"/>
          <w:sz w:val="24"/>
          <w:szCs w:val="24"/>
          <w:lang w:val="el-GR"/>
        </w:rPr>
      </w:pPr>
    </w:p>
    <w:p w14:paraId="71FBA548" w14:textId="77777777" w:rsidR="001D4A77" w:rsidRPr="00FF29CD" w:rsidRDefault="001D4A77" w:rsidP="00A90F70">
      <w:pPr>
        <w:keepNext/>
        <w:rPr>
          <w:rFonts w:cstheme="minorHAnsi"/>
          <w:i/>
          <w:iCs/>
          <w:color w:val="FF0000"/>
          <w:sz w:val="24"/>
          <w:szCs w:val="24"/>
          <w:lang w:val="el-GR"/>
        </w:rPr>
      </w:pPr>
      <w:bookmarkStart w:id="257" w:name="_Hlk136613863"/>
      <w:bookmarkStart w:id="258" w:name="_Toc110430347"/>
      <w:bookmarkEnd w:id="256"/>
    </w:p>
    <w:p w14:paraId="75E6BE4F" w14:textId="20A16081" w:rsidR="00C31B6F" w:rsidRPr="00FF29CD" w:rsidRDefault="00FF29CD" w:rsidP="00A90F70">
      <w:pPr>
        <w:keepNext/>
        <w:jc w:val="center"/>
        <w:rPr>
          <w:rFonts w:cstheme="minorHAnsi"/>
          <w:i/>
          <w:iCs/>
          <w:sz w:val="24"/>
          <w:szCs w:val="24"/>
          <w:lang w:val="el-GR"/>
        </w:rPr>
      </w:pPr>
      <w:r>
        <w:rPr>
          <w:rFonts w:cstheme="minorHAnsi"/>
          <w:i/>
          <w:iCs/>
          <w:sz w:val="24"/>
          <w:szCs w:val="24"/>
          <w:lang w:val="el-GR"/>
        </w:rPr>
        <w:t>Στατιστικές</w:t>
      </w:r>
      <w:r w:rsidRPr="00FF29CD">
        <w:rPr>
          <w:rFonts w:cstheme="minorHAnsi"/>
          <w:i/>
          <w:iCs/>
          <w:sz w:val="24"/>
          <w:szCs w:val="24"/>
          <w:lang w:val="el-GR"/>
        </w:rPr>
        <w:t xml:space="preserve"> </w:t>
      </w:r>
      <w:r>
        <w:rPr>
          <w:rFonts w:cstheme="minorHAnsi"/>
          <w:i/>
          <w:iCs/>
          <w:sz w:val="24"/>
          <w:szCs w:val="24"/>
          <w:lang w:val="el-GR"/>
        </w:rPr>
        <w:t>για</w:t>
      </w:r>
      <w:r w:rsidRPr="00FF29CD">
        <w:rPr>
          <w:rFonts w:cstheme="minorHAnsi"/>
          <w:i/>
          <w:iCs/>
          <w:sz w:val="24"/>
          <w:szCs w:val="24"/>
          <w:lang w:val="el-GR"/>
        </w:rPr>
        <w:t xml:space="preserve"> </w:t>
      </w:r>
      <w:r>
        <w:rPr>
          <w:rFonts w:cstheme="minorHAnsi"/>
          <w:i/>
          <w:iCs/>
          <w:sz w:val="24"/>
          <w:szCs w:val="24"/>
          <w:lang w:val="el-GR"/>
        </w:rPr>
        <w:t>τον</w:t>
      </w:r>
      <w:r w:rsidRPr="00FF29CD">
        <w:rPr>
          <w:rFonts w:cstheme="minorHAnsi"/>
          <w:i/>
          <w:iCs/>
          <w:sz w:val="24"/>
          <w:szCs w:val="24"/>
          <w:lang w:val="el-GR"/>
        </w:rPr>
        <w:t xml:space="preserve"> </w:t>
      </w:r>
      <w:r>
        <w:rPr>
          <w:rFonts w:cstheme="minorHAnsi"/>
          <w:i/>
          <w:iCs/>
          <w:sz w:val="24"/>
          <w:szCs w:val="24"/>
          <w:lang w:val="el-GR"/>
        </w:rPr>
        <w:t>συνολικό</w:t>
      </w:r>
      <w:r w:rsidRPr="00FF29CD">
        <w:rPr>
          <w:rFonts w:cstheme="minorHAnsi"/>
          <w:i/>
          <w:iCs/>
          <w:sz w:val="24"/>
          <w:szCs w:val="24"/>
          <w:lang w:val="el-GR"/>
        </w:rPr>
        <w:t xml:space="preserve"> </w:t>
      </w:r>
      <w:r>
        <w:rPr>
          <w:rFonts w:cstheme="minorHAnsi"/>
          <w:i/>
          <w:iCs/>
          <w:sz w:val="24"/>
          <w:szCs w:val="24"/>
          <w:lang w:val="el-GR"/>
        </w:rPr>
        <w:t>αριθμό</w:t>
      </w:r>
      <w:r w:rsidRPr="00FF29CD">
        <w:rPr>
          <w:rFonts w:cstheme="minorHAnsi"/>
          <w:i/>
          <w:iCs/>
          <w:sz w:val="24"/>
          <w:szCs w:val="24"/>
          <w:lang w:val="el-GR"/>
        </w:rPr>
        <w:t xml:space="preserve"> </w:t>
      </w:r>
      <w:r>
        <w:rPr>
          <w:rFonts w:cstheme="minorHAnsi"/>
          <w:i/>
          <w:iCs/>
          <w:sz w:val="24"/>
          <w:szCs w:val="24"/>
          <w:lang w:val="el-GR"/>
        </w:rPr>
        <w:t>πειθαρχικών</w:t>
      </w:r>
      <w:r w:rsidRPr="00FF29CD">
        <w:rPr>
          <w:rFonts w:cstheme="minorHAnsi"/>
          <w:i/>
          <w:iCs/>
          <w:sz w:val="24"/>
          <w:szCs w:val="24"/>
          <w:lang w:val="el-GR"/>
        </w:rPr>
        <w:t xml:space="preserve"> </w:t>
      </w:r>
      <w:r>
        <w:rPr>
          <w:rFonts w:cstheme="minorHAnsi"/>
          <w:i/>
          <w:iCs/>
          <w:sz w:val="24"/>
          <w:szCs w:val="24"/>
          <w:lang w:val="el-GR"/>
        </w:rPr>
        <w:t>υποθέσεων</w:t>
      </w:r>
      <w:r w:rsidR="00C31B6F" w:rsidRPr="00FF29CD">
        <w:rPr>
          <w:rFonts w:cstheme="minorHAnsi"/>
          <w:i/>
          <w:iCs/>
          <w:sz w:val="24"/>
          <w:szCs w:val="24"/>
          <w:lang w:val="el-GR"/>
        </w:rPr>
        <w:t>/</w:t>
      </w:r>
      <w:r>
        <w:rPr>
          <w:rFonts w:cstheme="minorHAnsi"/>
          <w:i/>
          <w:iCs/>
          <w:sz w:val="24"/>
          <w:szCs w:val="24"/>
          <w:lang w:val="el-GR"/>
        </w:rPr>
        <w:t>καταδίκων</w:t>
      </w:r>
      <w:r w:rsidR="00C31B6F" w:rsidRPr="00FF29CD">
        <w:rPr>
          <w:rFonts w:cstheme="minorHAnsi"/>
          <w:i/>
          <w:iCs/>
          <w:sz w:val="24"/>
          <w:szCs w:val="24"/>
          <w:lang w:val="el-GR"/>
        </w:rPr>
        <w:t xml:space="preserve"> </w:t>
      </w:r>
    </w:p>
    <w:p w14:paraId="74BD8662" w14:textId="49FD2A62" w:rsidR="00C31B6F" w:rsidRPr="00664CCD" w:rsidRDefault="00FF29CD" w:rsidP="00C31B6F">
      <w:pPr>
        <w:keepNext/>
        <w:jc w:val="center"/>
        <w:rPr>
          <w:rFonts w:cstheme="minorHAnsi"/>
          <w:i/>
          <w:iCs/>
          <w:sz w:val="24"/>
          <w:szCs w:val="24"/>
        </w:rPr>
      </w:pPr>
      <w:r>
        <w:rPr>
          <w:rFonts w:cstheme="minorHAnsi"/>
          <w:i/>
          <w:iCs/>
          <w:sz w:val="24"/>
          <w:szCs w:val="24"/>
          <w:lang w:val="el-GR"/>
        </w:rPr>
        <w:t>που αφορούν Κύπριους αστυνομικούς</w:t>
      </w:r>
      <w:r w:rsidR="00C31B6F" w:rsidRPr="00664CCD">
        <w:rPr>
          <w:rFonts w:cstheme="minorHAnsi"/>
          <w:i/>
          <w:iCs/>
          <w:sz w:val="24"/>
          <w:szCs w:val="24"/>
        </w:rPr>
        <w:t xml:space="preserve"> (2017-2021)</w:t>
      </w:r>
    </w:p>
    <w:p w14:paraId="156B73C4" w14:textId="107043AB" w:rsidR="00C31B6F" w:rsidRDefault="00C31B6F" w:rsidP="00C31B6F">
      <w:pPr>
        <w:keepNext/>
        <w:jc w:val="center"/>
        <w:rPr>
          <w:rFonts w:cstheme="minorHAnsi"/>
          <w:i/>
          <w:iCs/>
          <w:color w:val="FF0000"/>
          <w:sz w:val="24"/>
          <w:szCs w:val="24"/>
        </w:rPr>
      </w:pPr>
    </w:p>
    <w:tbl>
      <w:tblPr>
        <w:tblpPr w:leftFromText="180" w:rightFromText="180" w:vertAnchor="text" w:horzAnchor="margin" w:tblpXSpec="center" w:tblpY="28"/>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726"/>
        <w:gridCol w:w="1630"/>
        <w:gridCol w:w="1726"/>
        <w:gridCol w:w="2302"/>
        <w:gridCol w:w="1726"/>
      </w:tblGrid>
      <w:tr w:rsidR="00C31B6F" w:rsidRPr="000221CB" w14:paraId="746E1429" w14:textId="77777777" w:rsidTr="00A90F70">
        <w:trPr>
          <w:cantSplit/>
          <w:trHeight w:val="501"/>
          <w:tblHeader/>
        </w:trPr>
        <w:tc>
          <w:tcPr>
            <w:tcW w:w="1327" w:type="dxa"/>
            <w:vMerge w:val="restart"/>
            <w:tcBorders>
              <w:top w:val="double" w:sz="4" w:space="0" w:color="auto"/>
              <w:left w:val="double" w:sz="4" w:space="0" w:color="auto"/>
              <w:bottom w:val="nil"/>
            </w:tcBorders>
            <w:shd w:val="pct15" w:color="auto" w:fill="FFFFFF"/>
            <w:vAlign w:val="center"/>
          </w:tcPr>
          <w:p w14:paraId="02BDA425" w14:textId="3493200C" w:rsidR="00C31B6F" w:rsidRPr="00A90F70" w:rsidRDefault="00FF29CD" w:rsidP="00FF29CD">
            <w:pPr>
              <w:jc w:val="center"/>
              <w:rPr>
                <w:rFonts w:eastAsia="Times New Roman" w:cstheme="minorHAnsi"/>
                <w:b/>
                <w:sz w:val="18"/>
                <w:szCs w:val="18"/>
                <w:lang w:val="el-GR"/>
              </w:rPr>
            </w:pPr>
            <w:r>
              <w:rPr>
                <w:rFonts w:eastAsia="Times New Roman" w:cstheme="minorHAnsi"/>
                <w:b/>
                <w:sz w:val="18"/>
                <w:szCs w:val="18"/>
                <w:lang w:val="el-GR"/>
              </w:rPr>
              <w:t>Έτος</w:t>
            </w:r>
          </w:p>
        </w:tc>
        <w:tc>
          <w:tcPr>
            <w:tcW w:w="1726" w:type="dxa"/>
            <w:vMerge w:val="restart"/>
            <w:tcBorders>
              <w:top w:val="double" w:sz="4" w:space="0" w:color="auto"/>
              <w:bottom w:val="nil"/>
            </w:tcBorders>
            <w:shd w:val="pct15" w:color="auto" w:fill="FFFFFF"/>
            <w:vAlign w:val="center"/>
          </w:tcPr>
          <w:p w14:paraId="404EC08F" w14:textId="668018DD" w:rsidR="00C31B6F" w:rsidRPr="00A90F70" w:rsidRDefault="00FF29CD" w:rsidP="00FF29CD">
            <w:pPr>
              <w:jc w:val="center"/>
              <w:rPr>
                <w:rFonts w:eastAsia="Times New Roman" w:cstheme="minorHAnsi"/>
                <w:b/>
                <w:sz w:val="18"/>
                <w:szCs w:val="18"/>
                <w:lang w:val="el-GR"/>
              </w:rPr>
            </w:pPr>
            <w:proofErr w:type="spellStart"/>
            <w:r>
              <w:rPr>
                <w:rFonts w:eastAsia="Times New Roman" w:cstheme="minorHAnsi"/>
                <w:b/>
                <w:sz w:val="18"/>
                <w:szCs w:val="18"/>
                <w:lang w:val="el-GR"/>
              </w:rPr>
              <w:t>Αρ</w:t>
            </w:r>
            <w:proofErr w:type="spellEnd"/>
            <w:r w:rsidR="00C31B6F" w:rsidRPr="00A90F70">
              <w:rPr>
                <w:rFonts w:eastAsia="Times New Roman" w:cstheme="minorHAnsi"/>
                <w:b/>
                <w:sz w:val="18"/>
                <w:szCs w:val="18"/>
                <w:lang w:val="el-GR"/>
              </w:rPr>
              <w:t>.</w:t>
            </w:r>
            <w:r w:rsidR="00C31B6F" w:rsidRPr="00A90F70">
              <w:rPr>
                <w:rFonts w:eastAsia="Times New Roman" w:cstheme="minorHAnsi"/>
                <w:b/>
                <w:sz w:val="18"/>
                <w:szCs w:val="18"/>
                <w:lang w:val="en-US"/>
              </w:rPr>
              <w:t xml:space="preserve"> </w:t>
            </w:r>
            <w:r>
              <w:rPr>
                <w:rFonts w:eastAsia="Times New Roman" w:cstheme="minorHAnsi"/>
                <w:b/>
                <w:sz w:val="18"/>
                <w:szCs w:val="18"/>
                <w:lang w:val="el-GR"/>
              </w:rPr>
              <w:t>Υποθέσεων</w:t>
            </w:r>
          </w:p>
        </w:tc>
        <w:tc>
          <w:tcPr>
            <w:tcW w:w="1630" w:type="dxa"/>
            <w:vMerge w:val="restart"/>
            <w:tcBorders>
              <w:top w:val="double" w:sz="4" w:space="0" w:color="auto"/>
              <w:bottom w:val="nil"/>
            </w:tcBorders>
            <w:shd w:val="pct15" w:color="auto" w:fill="FFFFFF"/>
            <w:vAlign w:val="center"/>
          </w:tcPr>
          <w:p w14:paraId="283E12BB" w14:textId="5BBE472A" w:rsidR="00C31B6F" w:rsidRPr="00A90F70" w:rsidRDefault="00FF29CD" w:rsidP="00FF29CD">
            <w:pPr>
              <w:jc w:val="center"/>
              <w:rPr>
                <w:rFonts w:eastAsia="Times New Roman" w:cstheme="minorHAnsi"/>
                <w:b/>
                <w:sz w:val="18"/>
                <w:szCs w:val="18"/>
                <w:lang w:val="el-GR"/>
              </w:rPr>
            </w:pPr>
            <w:r>
              <w:rPr>
                <w:rFonts w:eastAsia="Times New Roman" w:cstheme="minorHAnsi"/>
                <w:b/>
                <w:sz w:val="18"/>
                <w:szCs w:val="18"/>
                <w:lang w:val="el-GR"/>
              </w:rPr>
              <w:t>Εκκρεμεί δίκη</w:t>
            </w:r>
            <w:r w:rsidR="00C31B6F" w:rsidRPr="00A90F70">
              <w:rPr>
                <w:rFonts w:eastAsia="Times New Roman" w:cstheme="minorHAnsi"/>
                <w:b/>
                <w:sz w:val="18"/>
                <w:szCs w:val="18"/>
                <w:lang w:val="en-US"/>
              </w:rPr>
              <w:t xml:space="preserve"> </w:t>
            </w:r>
          </w:p>
        </w:tc>
        <w:tc>
          <w:tcPr>
            <w:tcW w:w="1726" w:type="dxa"/>
            <w:vMerge w:val="restart"/>
            <w:tcBorders>
              <w:top w:val="double" w:sz="4" w:space="0" w:color="auto"/>
              <w:bottom w:val="nil"/>
            </w:tcBorders>
            <w:shd w:val="pct15" w:color="auto" w:fill="FFFFFF"/>
            <w:vAlign w:val="center"/>
          </w:tcPr>
          <w:p w14:paraId="7061662C" w14:textId="77777777" w:rsidR="00C31B6F" w:rsidRPr="00A90F70" w:rsidRDefault="00C31B6F" w:rsidP="00CF2E8A">
            <w:pPr>
              <w:jc w:val="center"/>
              <w:rPr>
                <w:rFonts w:eastAsia="Times New Roman" w:cstheme="minorHAnsi"/>
                <w:b/>
                <w:sz w:val="18"/>
                <w:szCs w:val="18"/>
                <w:lang w:val="en-US"/>
              </w:rPr>
            </w:pPr>
          </w:p>
          <w:p w14:paraId="6399A8CF" w14:textId="429DC1DB" w:rsidR="00C31B6F" w:rsidRPr="00A90F70" w:rsidRDefault="00FF29CD" w:rsidP="00CF2E8A">
            <w:pPr>
              <w:jc w:val="center"/>
              <w:rPr>
                <w:rFonts w:eastAsia="Times New Roman" w:cstheme="minorHAnsi"/>
                <w:b/>
                <w:sz w:val="18"/>
                <w:szCs w:val="18"/>
                <w:lang w:val="en-US"/>
              </w:rPr>
            </w:pPr>
            <w:r>
              <w:rPr>
                <w:rFonts w:eastAsia="Times New Roman" w:cstheme="minorHAnsi"/>
                <w:b/>
                <w:sz w:val="18"/>
                <w:szCs w:val="18"/>
                <w:lang w:val="el-GR"/>
              </w:rPr>
              <w:t>Αναβολή Πειθαρχικής Δίωξης</w:t>
            </w:r>
          </w:p>
          <w:p w14:paraId="18EDECBC" w14:textId="77777777" w:rsidR="00C31B6F" w:rsidRPr="00A90F70" w:rsidRDefault="00C31B6F" w:rsidP="00CF2E8A">
            <w:pPr>
              <w:jc w:val="center"/>
              <w:rPr>
                <w:rFonts w:eastAsia="Times New Roman" w:cstheme="minorHAnsi"/>
                <w:b/>
                <w:sz w:val="18"/>
                <w:szCs w:val="18"/>
                <w:lang w:val="en-US"/>
              </w:rPr>
            </w:pPr>
            <w:r w:rsidRPr="00A90F70">
              <w:rPr>
                <w:rFonts w:eastAsia="Times New Roman" w:cstheme="minorHAnsi"/>
                <w:b/>
                <w:sz w:val="18"/>
                <w:szCs w:val="18"/>
                <w:lang w:val="en-US"/>
              </w:rPr>
              <w:t>&amp;</w:t>
            </w:r>
          </w:p>
          <w:p w14:paraId="7A9FB279" w14:textId="63008CEE" w:rsidR="00C31B6F" w:rsidRPr="00A90F70" w:rsidRDefault="00FF29CD" w:rsidP="00CF2E8A">
            <w:pPr>
              <w:jc w:val="center"/>
              <w:rPr>
                <w:rFonts w:eastAsia="Times New Roman" w:cstheme="minorHAnsi"/>
                <w:b/>
                <w:sz w:val="18"/>
                <w:szCs w:val="18"/>
                <w:lang w:val="en-US"/>
              </w:rPr>
            </w:pPr>
            <w:r>
              <w:rPr>
                <w:rFonts w:eastAsia="Times New Roman" w:cstheme="minorHAnsi"/>
                <w:b/>
                <w:sz w:val="18"/>
                <w:szCs w:val="18"/>
                <w:lang w:val="el-GR"/>
              </w:rPr>
              <w:t>Μη-Δίωξη</w:t>
            </w:r>
          </w:p>
          <w:p w14:paraId="5B8EC56A" w14:textId="77777777" w:rsidR="00C31B6F" w:rsidRPr="00A90F70" w:rsidRDefault="00C31B6F" w:rsidP="00CF2E8A">
            <w:pPr>
              <w:jc w:val="center"/>
              <w:rPr>
                <w:rFonts w:eastAsia="Times New Roman" w:cstheme="minorHAnsi"/>
                <w:b/>
                <w:sz w:val="18"/>
                <w:szCs w:val="18"/>
                <w:lang w:val="en-US"/>
              </w:rPr>
            </w:pPr>
          </w:p>
        </w:tc>
        <w:tc>
          <w:tcPr>
            <w:tcW w:w="4028" w:type="dxa"/>
            <w:gridSpan w:val="2"/>
            <w:tcBorders>
              <w:top w:val="double" w:sz="4" w:space="0" w:color="auto"/>
            </w:tcBorders>
            <w:shd w:val="pct15" w:color="auto" w:fill="FFFFFF"/>
            <w:vAlign w:val="center"/>
          </w:tcPr>
          <w:p w14:paraId="0F385E49" w14:textId="77777777" w:rsidR="00C31B6F" w:rsidRPr="00A90F70" w:rsidRDefault="00C31B6F" w:rsidP="00CF2E8A">
            <w:pPr>
              <w:keepNext/>
              <w:jc w:val="center"/>
              <w:outlineLvl w:val="1"/>
              <w:rPr>
                <w:rFonts w:eastAsia="Times New Roman" w:cstheme="minorHAnsi"/>
                <w:b/>
                <w:sz w:val="18"/>
                <w:szCs w:val="18"/>
                <w:lang w:val="en-US"/>
              </w:rPr>
            </w:pPr>
          </w:p>
          <w:p w14:paraId="0085C3C8" w14:textId="77777777" w:rsidR="00C31B6F" w:rsidRPr="00A90F70" w:rsidRDefault="00C31B6F" w:rsidP="00CF2E8A">
            <w:pPr>
              <w:jc w:val="center"/>
              <w:rPr>
                <w:rFonts w:eastAsia="Times New Roman" w:cstheme="minorHAnsi"/>
                <w:b/>
                <w:sz w:val="18"/>
                <w:szCs w:val="18"/>
                <w:lang w:val="en-US"/>
              </w:rPr>
            </w:pPr>
            <w:r w:rsidRPr="00A90F70">
              <w:rPr>
                <w:rFonts w:eastAsia="Times New Roman" w:cstheme="minorHAnsi"/>
                <w:b/>
                <w:sz w:val="18"/>
                <w:szCs w:val="18"/>
                <w:lang w:val="en-US"/>
              </w:rPr>
              <w:t xml:space="preserve"> </w:t>
            </w:r>
          </w:p>
          <w:p w14:paraId="26B4780B" w14:textId="77777777" w:rsidR="00C31B6F" w:rsidRPr="00A90F70" w:rsidRDefault="00C31B6F" w:rsidP="00CF2E8A">
            <w:pPr>
              <w:jc w:val="center"/>
              <w:rPr>
                <w:rFonts w:eastAsia="Times New Roman" w:cstheme="minorHAnsi"/>
                <w:b/>
                <w:sz w:val="18"/>
                <w:szCs w:val="18"/>
                <w:lang w:val="en-US"/>
              </w:rPr>
            </w:pPr>
          </w:p>
        </w:tc>
      </w:tr>
      <w:tr w:rsidR="00C31B6F" w:rsidRPr="000221CB" w14:paraId="6CDDAEDF" w14:textId="77777777" w:rsidTr="00A90F70">
        <w:trPr>
          <w:cantSplit/>
          <w:trHeight w:val="191"/>
          <w:tblHeader/>
        </w:trPr>
        <w:tc>
          <w:tcPr>
            <w:tcW w:w="1327" w:type="dxa"/>
            <w:vMerge/>
            <w:tcBorders>
              <w:top w:val="nil"/>
              <w:left w:val="double" w:sz="4" w:space="0" w:color="auto"/>
              <w:bottom w:val="double" w:sz="4" w:space="0" w:color="auto"/>
            </w:tcBorders>
            <w:shd w:val="pct15" w:color="auto" w:fill="FFFFFF"/>
          </w:tcPr>
          <w:p w14:paraId="3E087041" w14:textId="77777777" w:rsidR="00C31B6F" w:rsidRPr="00A90F70" w:rsidRDefault="00C31B6F" w:rsidP="00CF2E8A">
            <w:pPr>
              <w:jc w:val="center"/>
              <w:rPr>
                <w:rFonts w:eastAsia="Times New Roman" w:cstheme="minorHAnsi"/>
                <w:b/>
                <w:sz w:val="18"/>
                <w:szCs w:val="18"/>
                <w:lang w:val="en-US"/>
              </w:rPr>
            </w:pPr>
          </w:p>
        </w:tc>
        <w:tc>
          <w:tcPr>
            <w:tcW w:w="1726" w:type="dxa"/>
            <w:vMerge/>
            <w:tcBorders>
              <w:top w:val="nil"/>
              <w:bottom w:val="double" w:sz="4" w:space="0" w:color="auto"/>
            </w:tcBorders>
            <w:shd w:val="pct15" w:color="auto" w:fill="FFFFFF"/>
          </w:tcPr>
          <w:p w14:paraId="64C73984" w14:textId="77777777" w:rsidR="00C31B6F" w:rsidRPr="00A90F70" w:rsidRDefault="00C31B6F" w:rsidP="00CF2E8A">
            <w:pPr>
              <w:jc w:val="center"/>
              <w:rPr>
                <w:rFonts w:eastAsia="Times New Roman" w:cstheme="minorHAnsi"/>
                <w:b/>
                <w:sz w:val="18"/>
                <w:szCs w:val="18"/>
                <w:lang w:val="en-US"/>
              </w:rPr>
            </w:pPr>
          </w:p>
        </w:tc>
        <w:tc>
          <w:tcPr>
            <w:tcW w:w="1630" w:type="dxa"/>
            <w:vMerge/>
            <w:tcBorders>
              <w:top w:val="nil"/>
              <w:bottom w:val="double" w:sz="4" w:space="0" w:color="auto"/>
            </w:tcBorders>
            <w:shd w:val="pct15" w:color="auto" w:fill="FFFFFF"/>
          </w:tcPr>
          <w:p w14:paraId="49F656DE" w14:textId="77777777" w:rsidR="00C31B6F" w:rsidRPr="00A90F70" w:rsidRDefault="00C31B6F" w:rsidP="00CF2E8A">
            <w:pPr>
              <w:jc w:val="center"/>
              <w:rPr>
                <w:rFonts w:eastAsia="Times New Roman" w:cstheme="minorHAnsi"/>
                <w:b/>
                <w:sz w:val="18"/>
                <w:szCs w:val="18"/>
                <w:lang w:val="en-US"/>
              </w:rPr>
            </w:pPr>
          </w:p>
        </w:tc>
        <w:tc>
          <w:tcPr>
            <w:tcW w:w="1726" w:type="dxa"/>
            <w:vMerge/>
            <w:tcBorders>
              <w:top w:val="nil"/>
              <w:bottom w:val="double" w:sz="4" w:space="0" w:color="auto"/>
            </w:tcBorders>
            <w:shd w:val="pct15" w:color="auto" w:fill="FFFFFF"/>
          </w:tcPr>
          <w:p w14:paraId="0A6F5B4B" w14:textId="77777777" w:rsidR="00C31B6F" w:rsidRPr="00A90F70" w:rsidRDefault="00C31B6F" w:rsidP="00CF2E8A">
            <w:pPr>
              <w:jc w:val="center"/>
              <w:rPr>
                <w:rFonts w:eastAsia="Times New Roman" w:cstheme="minorHAnsi"/>
                <w:b/>
                <w:sz w:val="18"/>
                <w:szCs w:val="18"/>
                <w:lang w:val="en-US"/>
              </w:rPr>
            </w:pPr>
          </w:p>
        </w:tc>
        <w:tc>
          <w:tcPr>
            <w:tcW w:w="2302" w:type="dxa"/>
            <w:tcBorders>
              <w:bottom w:val="double" w:sz="4" w:space="0" w:color="auto"/>
            </w:tcBorders>
            <w:shd w:val="pct15" w:color="auto" w:fill="FFFFFF"/>
          </w:tcPr>
          <w:p w14:paraId="6D0DFB26" w14:textId="3AC4DDC1" w:rsidR="00C31B6F" w:rsidRPr="00A90F70" w:rsidRDefault="00FF29CD" w:rsidP="00FF29CD">
            <w:pPr>
              <w:jc w:val="center"/>
              <w:rPr>
                <w:rFonts w:eastAsia="Times New Roman" w:cstheme="minorHAnsi"/>
                <w:b/>
                <w:sz w:val="18"/>
                <w:szCs w:val="18"/>
                <w:lang w:val="el-GR"/>
              </w:rPr>
            </w:pPr>
            <w:r>
              <w:rPr>
                <w:rFonts w:eastAsia="Times New Roman" w:cstheme="minorHAnsi"/>
                <w:b/>
                <w:sz w:val="18"/>
                <w:szCs w:val="18"/>
                <w:lang w:val="el-GR"/>
              </w:rPr>
              <w:t>Καταδικάστηκαν</w:t>
            </w:r>
          </w:p>
        </w:tc>
        <w:tc>
          <w:tcPr>
            <w:tcW w:w="1726" w:type="dxa"/>
            <w:tcBorders>
              <w:bottom w:val="double" w:sz="4" w:space="0" w:color="auto"/>
            </w:tcBorders>
            <w:shd w:val="pct15" w:color="auto" w:fill="FFFFFF"/>
          </w:tcPr>
          <w:p w14:paraId="4C68D5C4" w14:textId="2F1A08C9" w:rsidR="00C31B6F" w:rsidRPr="00A90F70" w:rsidRDefault="00FF29CD" w:rsidP="00FF29CD">
            <w:pPr>
              <w:jc w:val="center"/>
              <w:rPr>
                <w:rFonts w:eastAsia="Times New Roman" w:cstheme="minorHAnsi"/>
                <w:b/>
                <w:sz w:val="18"/>
                <w:szCs w:val="18"/>
                <w:lang w:val="el-GR"/>
              </w:rPr>
            </w:pPr>
            <w:r>
              <w:rPr>
                <w:rFonts w:eastAsia="Times New Roman" w:cstheme="minorHAnsi"/>
                <w:b/>
                <w:sz w:val="18"/>
                <w:szCs w:val="18"/>
                <w:lang w:val="el-GR"/>
              </w:rPr>
              <w:t>Αθωώθηκαν</w:t>
            </w:r>
          </w:p>
        </w:tc>
      </w:tr>
      <w:tr w:rsidR="00C31B6F" w:rsidRPr="000221CB" w14:paraId="762CFDEE" w14:textId="77777777" w:rsidTr="00CF2E8A">
        <w:trPr>
          <w:trHeight w:val="553"/>
        </w:trPr>
        <w:tc>
          <w:tcPr>
            <w:tcW w:w="1327" w:type="dxa"/>
            <w:tcBorders>
              <w:top w:val="dotted" w:sz="4" w:space="0" w:color="auto"/>
              <w:left w:val="double" w:sz="4" w:space="0" w:color="auto"/>
              <w:bottom w:val="dotted" w:sz="4" w:space="0" w:color="auto"/>
            </w:tcBorders>
          </w:tcPr>
          <w:p w14:paraId="0F8A85B8" w14:textId="77777777" w:rsidR="00C31B6F" w:rsidRPr="00A90F70" w:rsidRDefault="00C31B6F" w:rsidP="00CF2E8A">
            <w:pPr>
              <w:spacing w:line="360" w:lineRule="auto"/>
              <w:jc w:val="center"/>
              <w:rPr>
                <w:rFonts w:eastAsia="Times New Roman" w:cstheme="minorHAnsi"/>
                <w:sz w:val="18"/>
                <w:szCs w:val="18"/>
                <w:lang w:val="el-GR"/>
              </w:rPr>
            </w:pPr>
            <w:r w:rsidRPr="00A90F70">
              <w:rPr>
                <w:rFonts w:eastAsia="Times New Roman" w:cstheme="minorHAnsi"/>
                <w:sz w:val="18"/>
                <w:szCs w:val="18"/>
                <w:lang w:val="el-GR"/>
              </w:rPr>
              <w:t>2017</w:t>
            </w:r>
          </w:p>
        </w:tc>
        <w:tc>
          <w:tcPr>
            <w:tcW w:w="1726" w:type="dxa"/>
            <w:tcBorders>
              <w:top w:val="dotted" w:sz="4" w:space="0" w:color="auto"/>
              <w:bottom w:val="dotted" w:sz="4" w:space="0" w:color="auto"/>
            </w:tcBorders>
          </w:tcPr>
          <w:p w14:paraId="50389C1D" w14:textId="77777777" w:rsidR="00C31B6F" w:rsidRPr="00A90F70" w:rsidRDefault="00C31B6F" w:rsidP="00CF2E8A">
            <w:pPr>
              <w:spacing w:line="360" w:lineRule="auto"/>
              <w:ind w:right="646"/>
              <w:jc w:val="center"/>
              <w:rPr>
                <w:rFonts w:eastAsia="Times New Roman" w:cstheme="minorHAnsi"/>
                <w:sz w:val="18"/>
                <w:szCs w:val="18"/>
                <w:lang w:val="el-GR"/>
              </w:rPr>
            </w:pPr>
            <w:r w:rsidRPr="00A90F70">
              <w:rPr>
                <w:rFonts w:eastAsia="Times New Roman" w:cstheme="minorHAnsi"/>
                <w:sz w:val="18"/>
                <w:szCs w:val="18"/>
                <w:lang w:val="el-GR"/>
              </w:rPr>
              <w:t>106</w:t>
            </w:r>
          </w:p>
        </w:tc>
        <w:tc>
          <w:tcPr>
            <w:tcW w:w="1630" w:type="dxa"/>
            <w:tcBorders>
              <w:top w:val="dotted" w:sz="4" w:space="0" w:color="auto"/>
              <w:bottom w:val="dotted" w:sz="4" w:space="0" w:color="auto"/>
            </w:tcBorders>
          </w:tcPr>
          <w:p w14:paraId="26C9EE30" w14:textId="77777777" w:rsidR="00C31B6F" w:rsidRPr="00A90F70" w:rsidRDefault="00C31B6F" w:rsidP="00CF2E8A">
            <w:pPr>
              <w:spacing w:line="360" w:lineRule="auto"/>
              <w:ind w:right="793"/>
              <w:jc w:val="center"/>
              <w:rPr>
                <w:rFonts w:eastAsia="Times New Roman" w:cstheme="minorHAnsi"/>
                <w:sz w:val="18"/>
                <w:szCs w:val="18"/>
                <w:lang w:val="el-GR"/>
              </w:rPr>
            </w:pPr>
            <w:r w:rsidRPr="00A90F70">
              <w:rPr>
                <w:rFonts w:eastAsia="Times New Roman" w:cstheme="minorHAnsi"/>
                <w:sz w:val="18"/>
                <w:szCs w:val="18"/>
                <w:lang w:val="el-GR"/>
              </w:rPr>
              <w:t>3</w:t>
            </w:r>
          </w:p>
        </w:tc>
        <w:tc>
          <w:tcPr>
            <w:tcW w:w="1726" w:type="dxa"/>
            <w:tcBorders>
              <w:top w:val="dotted" w:sz="4" w:space="0" w:color="auto"/>
              <w:bottom w:val="dotted" w:sz="4" w:space="0" w:color="auto"/>
            </w:tcBorders>
          </w:tcPr>
          <w:p w14:paraId="2BC35F43" w14:textId="77777777" w:rsidR="00C31B6F" w:rsidRPr="00A90F70" w:rsidRDefault="00C31B6F" w:rsidP="00CF2E8A">
            <w:pPr>
              <w:spacing w:line="360" w:lineRule="auto"/>
              <w:ind w:right="799"/>
              <w:jc w:val="center"/>
              <w:rPr>
                <w:rFonts w:eastAsia="Times New Roman" w:cstheme="minorHAnsi"/>
                <w:sz w:val="18"/>
                <w:szCs w:val="18"/>
                <w:lang w:val="el-GR"/>
              </w:rPr>
            </w:pPr>
            <w:r w:rsidRPr="00A90F70">
              <w:rPr>
                <w:rFonts w:eastAsia="Times New Roman" w:cstheme="minorHAnsi"/>
                <w:sz w:val="18"/>
                <w:szCs w:val="18"/>
                <w:lang w:val="el-GR"/>
              </w:rPr>
              <w:t>14</w:t>
            </w:r>
          </w:p>
        </w:tc>
        <w:tc>
          <w:tcPr>
            <w:tcW w:w="2302" w:type="dxa"/>
            <w:tcBorders>
              <w:top w:val="dotted" w:sz="4" w:space="0" w:color="auto"/>
              <w:bottom w:val="dotted" w:sz="4" w:space="0" w:color="auto"/>
            </w:tcBorders>
          </w:tcPr>
          <w:p w14:paraId="012A4D2F" w14:textId="77777777" w:rsidR="00C31B6F" w:rsidRPr="00A90F70" w:rsidRDefault="00C31B6F" w:rsidP="00CF2E8A">
            <w:pPr>
              <w:spacing w:line="360" w:lineRule="auto"/>
              <w:ind w:right="805"/>
              <w:jc w:val="center"/>
              <w:rPr>
                <w:rFonts w:eastAsia="Times New Roman" w:cstheme="minorHAnsi"/>
                <w:sz w:val="18"/>
                <w:szCs w:val="18"/>
                <w:lang w:val="el-GR"/>
              </w:rPr>
            </w:pPr>
            <w:r w:rsidRPr="00A90F70">
              <w:rPr>
                <w:rFonts w:eastAsia="Times New Roman" w:cstheme="minorHAnsi"/>
                <w:sz w:val="18"/>
                <w:szCs w:val="18"/>
                <w:lang w:val="el-GR"/>
              </w:rPr>
              <w:t>72</w:t>
            </w:r>
          </w:p>
        </w:tc>
        <w:tc>
          <w:tcPr>
            <w:tcW w:w="1726" w:type="dxa"/>
            <w:tcBorders>
              <w:top w:val="dotted" w:sz="4" w:space="0" w:color="auto"/>
              <w:bottom w:val="dotted" w:sz="4" w:space="0" w:color="auto"/>
            </w:tcBorders>
          </w:tcPr>
          <w:p w14:paraId="4EDFAE42" w14:textId="77777777" w:rsidR="00C31B6F" w:rsidRPr="00A90F70" w:rsidRDefault="00C31B6F" w:rsidP="00CF2E8A">
            <w:pPr>
              <w:spacing w:line="360" w:lineRule="auto"/>
              <w:ind w:right="669"/>
              <w:jc w:val="center"/>
              <w:rPr>
                <w:rFonts w:eastAsia="Times New Roman" w:cstheme="minorHAnsi"/>
                <w:sz w:val="18"/>
                <w:szCs w:val="18"/>
                <w:lang w:val="el-GR"/>
              </w:rPr>
            </w:pPr>
            <w:r w:rsidRPr="00A90F70">
              <w:rPr>
                <w:rFonts w:eastAsia="Times New Roman" w:cstheme="minorHAnsi"/>
                <w:sz w:val="18"/>
                <w:szCs w:val="18"/>
                <w:lang w:val="en-US"/>
              </w:rPr>
              <w:t>17</w:t>
            </w:r>
          </w:p>
        </w:tc>
      </w:tr>
      <w:tr w:rsidR="00C31B6F" w:rsidRPr="000221CB" w14:paraId="08739AC4" w14:textId="77777777" w:rsidTr="00CF2E8A">
        <w:trPr>
          <w:trHeight w:val="722"/>
        </w:trPr>
        <w:tc>
          <w:tcPr>
            <w:tcW w:w="1327" w:type="dxa"/>
            <w:tcBorders>
              <w:top w:val="dotted" w:sz="4" w:space="0" w:color="auto"/>
              <w:left w:val="double" w:sz="4" w:space="0" w:color="auto"/>
              <w:bottom w:val="dotted" w:sz="4" w:space="0" w:color="auto"/>
            </w:tcBorders>
          </w:tcPr>
          <w:p w14:paraId="3716849B" w14:textId="77777777" w:rsidR="00C31B6F" w:rsidRPr="00A90F70" w:rsidRDefault="00C31B6F" w:rsidP="00CF2E8A">
            <w:pPr>
              <w:spacing w:line="360" w:lineRule="auto"/>
              <w:jc w:val="center"/>
              <w:rPr>
                <w:rFonts w:eastAsia="Times New Roman" w:cstheme="minorHAnsi"/>
                <w:sz w:val="18"/>
                <w:szCs w:val="18"/>
                <w:lang w:val="el-GR"/>
              </w:rPr>
            </w:pPr>
            <w:r w:rsidRPr="00A90F70">
              <w:rPr>
                <w:rFonts w:eastAsia="Times New Roman" w:cstheme="minorHAnsi"/>
                <w:sz w:val="18"/>
                <w:szCs w:val="18"/>
                <w:lang w:val="el-GR"/>
              </w:rPr>
              <w:t>2018</w:t>
            </w:r>
          </w:p>
        </w:tc>
        <w:tc>
          <w:tcPr>
            <w:tcW w:w="1726" w:type="dxa"/>
            <w:tcBorders>
              <w:top w:val="dotted" w:sz="4" w:space="0" w:color="auto"/>
              <w:bottom w:val="dotted" w:sz="4" w:space="0" w:color="auto"/>
            </w:tcBorders>
          </w:tcPr>
          <w:p w14:paraId="75E9EC92" w14:textId="77777777" w:rsidR="00C31B6F" w:rsidRPr="00A90F70" w:rsidRDefault="00C31B6F" w:rsidP="00CF2E8A">
            <w:pPr>
              <w:spacing w:line="360" w:lineRule="auto"/>
              <w:ind w:right="646"/>
              <w:jc w:val="center"/>
              <w:rPr>
                <w:rFonts w:eastAsia="Times New Roman" w:cstheme="minorHAnsi"/>
                <w:sz w:val="18"/>
                <w:szCs w:val="18"/>
                <w:lang w:val="el-GR"/>
              </w:rPr>
            </w:pPr>
            <w:r w:rsidRPr="00A90F70">
              <w:rPr>
                <w:rFonts w:eastAsia="Times New Roman" w:cstheme="minorHAnsi"/>
                <w:sz w:val="18"/>
                <w:szCs w:val="18"/>
                <w:lang w:val="el-GR"/>
              </w:rPr>
              <w:t>184</w:t>
            </w:r>
          </w:p>
        </w:tc>
        <w:tc>
          <w:tcPr>
            <w:tcW w:w="1630" w:type="dxa"/>
            <w:tcBorders>
              <w:top w:val="dotted" w:sz="4" w:space="0" w:color="auto"/>
              <w:bottom w:val="dotted" w:sz="4" w:space="0" w:color="auto"/>
            </w:tcBorders>
          </w:tcPr>
          <w:p w14:paraId="2A259B12" w14:textId="77777777" w:rsidR="00C31B6F" w:rsidRPr="00A90F70" w:rsidRDefault="00C31B6F" w:rsidP="00CF2E8A">
            <w:pPr>
              <w:spacing w:line="360" w:lineRule="auto"/>
              <w:ind w:right="793"/>
              <w:jc w:val="center"/>
              <w:rPr>
                <w:rFonts w:eastAsia="Times New Roman" w:cstheme="minorHAnsi"/>
                <w:sz w:val="18"/>
                <w:szCs w:val="18"/>
                <w:lang w:val="el-GR"/>
              </w:rPr>
            </w:pPr>
            <w:r w:rsidRPr="00A90F70">
              <w:rPr>
                <w:rFonts w:eastAsia="Times New Roman" w:cstheme="minorHAnsi"/>
                <w:sz w:val="18"/>
                <w:szCs w:val="18"/>
                <w:lang w:val="el-GR"/>
              </w:rPr>
              <w:t>8</w:t>
            </w:r>
          </w:p>
        </w:tc>
        <w:tc>
          <w:tcPr>
            <w:tcW w:w="1726" w:type="dxa"/>
            <w:tcBorders>
              <w:top w:val="dotted" w:sz="4" w:space="0" w:color="auto"/>
              <w:bottom w:val="dotted" w:sz="4" w:space="0" w:color="auto"/>
            </w:tcBorders>
          </w:tcPr>
          <w:p w14:paraId="7FBAC918" w14:textId="77777777" w:rsidR="00C31B6F" w:rsidRPr="00A90F70" w:rsidRDefault="00C31B6F" w:rsidP="00CF2E8A">
            <w:pPr>
              <w:spacing w:line="360" w:lineRule="auto"/>
              <w:ind w:right="799"/>
              <w:jc w:val="center"/>
              <w:rPr>
                <w:rFonts w:eastAsia="Times New Roman" w:cstheme="minorHAnsi"/>
                <w:sz w:val="18"/>
                <w:szCs w:val="18"/>
                <w:lang w:val="el-GR"/>
              </w:rPr>
            </w:pPr>
            <w:r w:rsidRPr="00A90F70">
              <w:rPr>
                <w:rFonts w:eastAsia="Times New Roman" w:cstheme="minorHAnsi"/>
                <w:sz w:val="18"/>
                <w:szCs w:val="18"/>
                <w:lang w:val="el-GR"/>
              </w:rPr>
              <w:t>40</w:t>
            </w:r>
          </w:p>
        </w:tc>
        <w:tc>
          <w:tcPr>
            <w:tcW w:w="2302" w:type="dxa"/>
            <w:tcBorders>
              <w:top w:val="dotted" w:sz="4" w:space="0" w:color="auto"/>
              <w:bottom w:val="dotted" w:sz="4" w:space="0" w:color="auto"/>
            </w:tcBorders>
          </w:tcPr>
          <w:p w14:paraId="3BC18977" w14:textId="77777777" w:rsidR="00C31B6F" w:rsidRPr="00A90F70" w:rsidRDefault="00C31B6F" w:rsidP="00CF2E8A">
            <w:pPr>
              <w:spacing w:line="360" w:lineRule="auto"/>
              <w:ind w:right="805"/>
              <w:jc w:val="center"/>
              <w:rPr>
                <w:rFonts w:eastAsia="Times New Roman" w:cstheme="minorHAnsi"/>
                <w:sz w:val="18"/>
                <w:szCs w:val="18"/>
                <w:lang w:val="el-GR"/>
              </w:rPr>
            </w:pPr>
            <w:r w:rsidRPr="00A90F70">
              <w:rPr>
                <w:rFonts w:eastAsia="Times New Roman" w:cstheme="minorHAnsi"/>
                <w:sz w:val="18"/>
                <w:szCs w:val="18"/>
                <w:lang w:val="el-GR"/>
              </w:rPr>
              <w:t>113</w:t>
            </w:r>
          </w:p>
        </w:tc>
        <w:tc>
          <w:tcPr>
            <w:tcW w:w="1726" w:type="dxa"/>
            <w:tcBorders>
              <w:top w:val="dotted" w:sz="4" w:space="0" w:color="auto"/>
              <w:bottom w:val="dotted" w:sz="4" w:space="0" w:color="auto"/>
            </w:tcBorders>
          </w:tcPr>
          <w:p w14:paraId="0AC37BDE" w14:textId="77777777" w:rsidR="00C31B6F" w:rsidRPr="00A90F70" w:rsidRDefault="00C31B6F" w:rsidP="00CF2E8A">
            <w:pPr>
              <w:spacing w:line="360" w:lineRule="auto"/>
              <w:ind w:right="669"/>
              <w:jc w:val="center"/>
              <w:rPr>
                <w:rFonts w:eastAsia="Times New Roman" w:cstheme="minorHAnsi"/>
                <w:sz w:val="18"/>
                <w:szCs w:val="18"/>
                <w:lang w:val="el-GR"/>
              </w:rPr>
            </w:pPr>
            <w:r w:rsidRPr="00A90F70">
              <w:rPr>
                <w:rFonts w:eastAsia="Times New Roman" w:cstheme="minorHAnsi"/>
                <w:sz w:val="18"/>
                <w:szCs w:val="18"/>
                <w:lang w:val="el-GR"/>
              </w:rPr>
              <w:t>23</w:t>
            </w:r>
          </w:p>
        </w:tc>
      </w:tr>
      <w:tr w:rsidR="00C31B6F" w:rsidRPr="000221CB" w14:paraId="20A26364" w14:textId="77777777" w:rsidTr="00A90F70">
        <w:trPr>
          <w:trHeight w:val="401"/>
        </w:trPr>
        <w:tc>
          <w:tcPr>
            <w:tcW w:w="1327" w:type="dxa"/>
            <w:tcBorders>
              <w:top w:val="dotted" w:sz="4" w:space="0" w:color="auto"/>
              <w:left w:val="double" w:sz="4" w:space="0" w:color="auto"/>
              <w:bottom w:val="dotted" w:sz="4" w:space="0" w:color="auto"/>
            </w:tcBorders>
          </w:tcPr>
          <w:p w14:paraId="5604FDA2" w14:textId="77777777" w:rsidR="00C31B6F" w:rsidRPr="00A90F70" w:rsidRDefault="00C31B6F" w:rsidP="00CF2E8A">
            <w:pPr>
              <w:spacing w:line="360" w:lineRule="auto"/>
              <w:jc w:val="center"/>
              <w:rPr>
                <w:rFonts w:eastAsia="Times New Roman" w:cstheme="minorHAnsi"/>
                <w:sz w:val="18"/>
                <w:szCs w:val="18"/>
                <w:lang w:val="el-GR"/>
              </w:rPr>
            </w:pPr>
            <w:r w:rsidRPr="00A90F70">
              <w:rPr>
                <w:rFonts w:eastAsia="Times New Roman" w:cstheme="minorHAnsi"/>
                <w:sz w:val="18"/>
                <w:szCs w:val="18"/>
                <w:lang w:val="el-GR"/>
              </w:rPr>
              <w:t>2019</w:t>
            </w:r>
          </w:p>
          <w:p w14:paraId="1883250B" w14:textId="77777777" w:rsidR="00C31B6F" w:rsidRPr="00A90F70" w:rsidRDefault="00C31B6F" w:rsidP="00CF2E8A">
            <w:pPr>
              <w:spacing w:line="360" w:lineRule="auto"/>
              <w:jc w:val="center"/>
              <w:rPr>
                <w:rFonts w:eastAsia="Times New Roman" w:cstheme="minorHAnsi"/>
                <w:sz w:val="18"/>
                <w:szCs w:val="18"/>
                <w:lang w:val="el-GR"/>
              </w:rPr>
            </w:pPr>
          </w:p>
        </w:tc>
        <w:tc>
          <w:tcPr>
            <w:tcW w:w="1726" w:type="dxa"/>
            <w:tcBorders>
              <w:top w:val="dotted" w:sz="4" w:space="0" w:color="auto"/>
              <w:bottom w:val="dotted" w:sz="4" w:space="0" w:color="auto"/>
            </w:tcBorders>
          </w:tcPr>
          <w:p w14:paraId="7A30CDC4" w14:textId="77777777" w:rsidR="00C31B6F" w:rsidRPr="00A90F70" w:rsidRDefault="00C31B6F" w:rsidP="00CF2E8A">
            <w:pPr>
              <w:spacing w:line="360" w:lineRule="auto"/>
              <w:ind w:right="646"/>
              <w:jc w:val="center"/>
              <w:rPr>
                <w:rFonts w:eastAsia="Times New Roman" w:cstheme="minorHAnsi"/>
                <w:sz w:val="18"/>
                <w:szCs w:val="18"/>
                <w:lang w:val="el-GR"/>
              </w:rPr>
            </w:pPr>
            <w:r w:rsidRPr="00A90F70">
              <w:rPr>
                <w:rFonts w:eastAsia="Times New Roman" w:cstheme="minorHAnsi"/>
                <w:sz w:val="18"/>
                <w:szCs w:val="18"/>
                <w:lang w:val="el-GR"/>
              </w:rPr>
              <w:t>161</w:t>
            </w:r>
          </w:p>
        </w:tc>
        <w:tc>
          <w:tcPr>
            <w:tcW w:w="1630" w:type="dxa"/>
            <w:tcBorders>
              <w:top w:val="dotted" w:sz="4" w:space="0" w:color="auto"/>
              <w:bottom w:val="dotted" w:sz="4" w:space="0" w:color="auto"/>
            </w:tcBorders>
          </w:tcPr>
          <w:p w14:paraId="3D52CFF0" w14:textId="77777777" w:rsidR="00C31B6F" w:rsidRPr="00A90F70" w:rsidRDefault="00C31B6F" w:rsidP="00CF2E8A">
            <w:pPr>
              <w:spacing w:line="360" w:lineRule="auto"/>
              <w:ind w:right="793"/>
              <w:jc w:val="center"/>
              <w:rPr>
                <w:rFonts w:eastAsia="Times New Roman" w:cstheme="minorHAnsi"/>
                <w:sz w:val="18"/>
                <w:szCs w:val="18"/>
                <w:lang w:val="el-GR"/>
              </w:rPr>
            </w:pPr>
            <w:r w:rsidRPr="00A90F70">
              <w:rPr>
                <w:rFonts w:eastAsia="Times New Roman" w:cstheme="minorHAnsi"/>
                <w:sz w:val="18"/>
                <w:szCs w:val="18"/>
                <w:lang w:val="el-GR"/>
              </w:rPr>
              <w:t>18</w:t>
            </w:r>
          </w:p>
        </w:tc>
        <w:tc>
          <w:tcPr>
            <w:tcW w:w="1726" w:type="dxa"/>
            <w:tcBorders>
              <w:top w:val="dotted" w:sz="4" w:space="0" w:color="auto"/>
              <w:bottom w:val="dotted" w:sz="4" w:space="0" w:color="auto"/>
            </w:tcBorders>
          </w:tcPr>
          <w:p w14:paraId="2D000E38" w14:textId="77777777" w:rsidR="00C31B6F" w:rsidRPr="00A90F70" w:rsidRDefault="00C31B6F" w:rsidP="00CF2E8A">
            <w:pPr>
              <w:spacing w:line="360" w:lineRule="auto"/>
              <w:ind w:right="799"/>
              <w:jc w:val="center"/>
              <w:rPr>
                <w:rFonts w:eastAsia="Times New Roman" w:cstheme="minorHAnsi"/>
                <w:sz w:val="18"/>
                <w:szCs w:val="18"/>
                <w:lang w:val="el-GR"/>
              </w:rPr>
            </w:pPr>
            <w:r w:rsidRPr="00A90F70">
              <w:rPr>
                <w:rFonts w:eastAsia="Times New Roman" w:cstheme="minorHAnsi"/>
                <w:sz w:val="18"/>
                <w:szCs w:val="18"/>
                <w:lang w:val="el-GR"/>
              </w:rPr>
              <w:t>45</w:t>
            </w:r>
          </w:p>
        </w:tc>
        <w:tc>
          <w:tcPr>
            <w:tcW w:w="2302" w:type="dxa"/>
            <w:tcBorders>
              <w:top w:val="dotted" w:sz="4" w:space="0" w:color="auto"/>
              <w:bottom w:val="dotted" w:sz="4" w:space="0" w:color="auto"/>
            </w:tcBorders>
          </w:tcPr>
          <w:p w14:paraId="762E40A0" w14:textId="77777777" w:rsidR="00C31B6F" w:rsidRPr="00A90F70" w:rsidRDefault="00C31B6F" w:rsidP="00CF2E8A">
            <w:pPr>
              <w:spacing w:line="360" w:lineRule="auto"/>
              <w:ind w:right="805"/>
              <w:jc w:val="center"/>
              <w:rPr>
                <w:rFonts w:eastAsia="Times New Roman" w:cstheme="minorHAnsi"/>
                <w:sz w:val="18"/>
                <w:szCs w:val="18"/>
                <w:lang w:val="el-GR"/>
              </w:rPr>
            </w:pPr>
            <w:r w:rsidRPr="00A90F70">
              <w:rPr>
                <w:rFonts w:eastAsia="Times New Roman" w:cstheme="minorHAnsi"/>
                <w:sz w:val="18"/>
                <w:szCs w:val="18"/>
                <w:lang w:val="el-GR"/>
              </w:rPr>
              <w:t>86</w:t>
            </w:r>
          </w:p>
        </w:tc>
        <w:tc>
          <w:tcPr>
            <w:tcW w:w="1726" w:type="dxa"/>
            <w:tcBorders>
              <w:top w:val="dotted" w:sz="4" w:space="0" w:color="auto"/>
              <w:bottom w:val="dotted" w:sz="4" w:space="0" w:color="auto"/>
            </w:tcBorders>
          </w:tcPr>
          <w:p w14:paraId="6772227F" w14:textId="77777777" w:rsidR="00C31B6F" w:rsidRPr="00A90F70" w:rsidRDefault="00C31B6F" w:rsidP="00CF2E8A">
            <w:pPr>
              <w:spacing w:line="360" w:lineRule="auto"/>
              <w:ind w:right="669"/>
              <w:jc w:val="center"/>
              <w:rPr>
                <w:rFonts w:eastAsia="Times New Roman" w:cstheme="minorHAnsi"/>
                <w:sz w:val="18"/>
                <w:szCs w:val="18"/>
                <w:lang w:val="el-GR"/>
              </w:rPr>
            </w:pPr>
            <w:r w:rsidRPr="00A90F70">
              <w:rPr>
                <w:rFonts w:eastAsia="Times New Roman" w:cstheme="minorHAnsi"/>
                <w:sz w:val="18"/>
                <w:szCs w:val="18"/>
                <w:lang w:val="el-GR"/>
              </w:rPr>
              <w:t>12</w:t>
            </w:r>
          </w:p>
        </w:tc>
      </w:tr>
      <w:tr w:rsidR="00C31B6F" w:rsidRPr="000221CB" w14:paraId="12B9450D" w14:textId="77777777" w:rsidTr="00CF2E8A">
        <w:trPr>
          <w:trHeight w:val="528"/>
        </w:trPr>
        <w:tc>
          <w:tcPr>
            <w:tcW w:w="1327" w:type="dxa"/>
            <w:tcBorders>
              <w:top w:val="dotted" w:sz="4" w:space="0" w:color="auto"/>
              <w:left w:val="double" w:sz="4" w:space="0" w:color="auto"/>
              <w:bottom w:val="dotted" w:sz="4" w:space="0" w:color="auto"/>
            </w:tcBorders>
          </w:tcPr>
          <w:p w14:paraId="10CBB378" w14:textId="77777777" w:rsidR="00C31B6F" w:rsidRPr="00A90F70" w:rsidRDefault="00C31B6F" w:rsidP="00CF2E8A">
            <w:pPr>
              <w:spacing w:line="360" w:lineRule="auto"/>
              <w:jc w:val="center"/>
              <w:rPr>
                <w:rFonts w:eastAsia="Times New Roman" w:cstheme="minorHAnsi"/>
                <w:sz w:val="18"/>
                <w:szCs w:val="18"/>
                <w:lang w:val="el-GR"/>
              </w:rPr>
            </w:pPr>
            <w:r w:rsidRPr="00A90F70">
              <w:rPr>
                <w:rFonts w:eastAsia="Times New Roman" w:cstheme="minorHAnsi"/>
                <w:sz w:val="18"/>
                <w:szCs w:val="18"/>
                <w:lang w:val="el-GR"/>
              </w:rPr>
              <w:t>2020</w:t>
            </w:r>
          </w:p>
          <w:p w14:paraId="71B0C8A6" w14:textId="77777777" w:rsidR="00C31B6F" w:rsidRPr="00A90F70" w:rsidRDefault="00C31B6F" w:rsidP="00CF2E8A">
            <w:pPr>
              <w:spacing w:line="360" w:lineRule="auto"/>
              <w:jc w:val="center"/>
              <w:rPr>
                <w:rFonts w:eastAsia="Times New Roman" w:cstheme="minorHAnsi"/>
                <w:sz w:val="18"/>
                <w:szCs w:val="18"/>
                <w:lang w:val="el-GR"/>
              </w:rPr>
            </w:pPr>
          </w:p>
        </w:tc>
        <w:tc>
          <w:tcPr>
            <w:tcW w:w="1726" w:type="dxa"/>
            <w:tcBorders>
              <w:top w:val="dotted" w:sz="4" w:space="0" w:color="auto"/>
              <w:bottom w:val="dotted" w:sz="4" w:space="0" w:color="auto"/>
            </w:tcBorders>
          </w:tcPr>
          <w:p w14:paraId="260E8224" w14:textId="77777777" w:rsidR="00C31B6F" w:rsidRPr="00A90F70" w:rsidRDefault="00C31B6F" w:rsidP="00CF2E8A">
            <w:pPr>
              <w:spacing w:line="360" w:lineRule="auto"/>
              <w:ind w:right="646"/>
              <w:jc w:val="center"/>
              <w:rPr>
                <w:rFonts w:eastAsia="Times New Roman" w:cstheme="minorHAnsi"/>
                <w:sz w:val="18"/>
                <w:szCs w:val="18"/>
                <w:lang w:val="el-GR"/>
              </w:rPr>
            </w:pPr>
            <w:r w:rsidRPr="00A90F70">
              <w:rPr>
                <w:rFonts w:eastAsia="Times New Roman" w:cstheme="minorHAnsi"/>
                <w:sz w:val="18"/>
                <w:szCs w:val="18"/>
                <w:lang w:val="el-GR"/>
              </w:rPr>
              <w:t>131</w:t>
            </w:r>
          </w:p>
        </w:tc>
        <w:tc>
          <w:tcPr>
            <w:tcW w:w="1630" w:type="dxa"/>
            <w:tcBorders>
              <w:top w:val="dotted" w:sz="4" w:space="0" w:color="auto"/>
              <w:bottom w:val="dotted" w:sz="4" w:space="0" w:color="auto"/>
            </w:tcBorders>
          </w:tcPr>
          <w:p w14:paraId="15A3600B" w14:textId="77777777" w:rsidR="00C31B6F" w:rsidRPr="00A90F70" w:rsidRDefault="00C31B6F" w:rsidP="00CF2E8A">
            <w:pPr>
              <w:spacing w:line="360" w:lineRule="auto"/>
              <w:ind w:right="793"/>
              <w:jc w:val="center"/>
              <w:rPr>
                <w:rFonts w:eastAsia="Times New Roman" w:cstheme="minorHAnsi"/>
                <w:sz w:val="18"/>
                <w:szCs w:val="18"/>
                <w:lang w:val="el-GR"/>
              </w:rPr>
            </w:pPr>
            <w:r w:rsidRPr="00A90F70">
              <w:rPr>
                <w:rFonts w:eastAsia="Times New Roman" w:cstheme="minorHAnsi"/>
                <w:sz w:val="18"/>
                <w:szCs w:val="18"/>
                <w:lang w:val="el-GR"/>
              </w:rPr>
              <w:t>24</w:t>
            </w:r>
          </w:p>
        </w:tc>
        <w:tc>
          <w:tcPr>
            <w:tcW w:w="1726" w:type="dxa"/>
            <w:tcBorders>
              <w:top w:val="dotted" w:sz="4" w:space="0" w:color="auto"/>
              <w:bottom w:val="dotted" w:sz="4" w:space="0" w:color="auto"/>
            </w:tcBorders>
          </w:tcPr>
          <w:p w14:paraId="37A84BFB" w14:textId="77777777" w:rsidR="00C31B6F" w:rsidRPr="00A90F70" w:rsidRDefault="00C31B6F" w:rsidP="00CF2E8A">
            <w:pPr>
              <w:spacing w:line="360" w:lineRule="auto"/>
              <w:ind w:right="799"/>
              <w:jc w:val="center"/>
              <w:rPr>
                <w:rFonts w:eastAsia="Times New Roman" w:cstheme="minorHAnsi"/>
                <w:sz w:val="18"/>
                <w:szCs w:val="18"/>
                <w:lang w:val="el-GR"/>
              </w:rPr>
            </w:pPr>
            <w:r w:rsidRPr="00A90F70">
              <w:rPr>
                <w:rFonts w:eastAsia="Times New Roman" w:cstheme="minorHAnsi"/>
                <w:sz w:val="18"/>
                <w:szCs w:val="18"/>
                <w:lang w:val="el-GR"/>
              </w:rPr>
              <w:t>44</w:t>
            </w:r>
          </w:p>
        </w:tc>
        <w:tc>
          <w:tcPr>
            <w:tcW w:w="2302" w:type="dxa"/>
            <w:tcBorders>
              <w:top w:val="dotted" w:sz="4" w:space="0" w:color="auto"/>
              <w:bottom w:val="dotted" w:sz="4" w:space="0" w:color="auto"/>
            </w:tcBorders>
          </w:tcPr>
          <w:p w14:paraId="4E77A8AF" w14:textId="77777777" w:rsidR="00C31B6F" w:rsidRPr="00A90F70" w:rsidRDefault="00C31B6F" w:rsidP="00CF2E8A">
            <w:pPr>
              <w:spacing w:line="360" w:lineRule="auto"/>
              <w:ind w:right="805"/>
              <w:jc w:val="center"/>
              <w:rPr>
                <w:rFonts w:eastAsia="Times New Roman" w:cstheme="minorHAnsi"/>
                <w:sz w:val="18"/>
                <w:szCs w:val="18"/>
                <w:lang w:val="el-GR"/>
              </w:rPr>
            </w:pPr>
            <w:r w:rsidRPr="00A90F70">
              <w:rPr>
                <w:rFonts w:eastAsia="Times New Roman" w:cstheme="minorHAnsi"/>
                <w:sz w:val="18"/>
                <w:szCs w:val="18"/>
                <w:lang w:val="el-GR"/>
              </w:rPr>
              <w:t>58</w:t>
            </w:r>
          </w:p>
        </w:tc>
        <w:tc>
          <w:tcPr>
            <w:tcW w:w="1726" w:type="dxa"/>
            <w:tcBorders>
              <w:top w:val="dotted" w:sz="4" w:space="0" w:color="auto"/>
              <w:bottom w:val="dotted" w:sz="4" w:space="0" w:color="auto"/>
            </w:tcBorders>
          </w:tcPr>
          <w:p w14:paraId="5F8F2CDF" w14:textId="77777777" w:rsidR="00C31B6F" w:rsidRPr="00A90F70" w:rsidRDefault="00C31B6F" w:rsidP="00CF2E8A">
            <w:pPr>
              <w:spacing w:line="360" w:lineRule="auto"/>
              <w:ind w:right="669"/>
              <w:jc w:val="center"/>
              <w:rPr>
                <w:rFonts w:eastAsia="Times New Roman" w:cstheme="minorHAnsi"/>
                <w:sz w:val="18"/>
                <w:szCs w:val="18"/>
                <w:lang w:val="el-GR"/>
              </w:rPr>
            </w:pPr>
            <w:r w:rsidRPr="00A90F70">
              <w:rPr>
                <w:rFonts w:eastAsia="Times New Roman" w:cstheme="minorHAnsi"/>
                <w:sz w:val="18"/>
                <w:szCs w:val="18"/>
                <w:lang w:val="el-GR"/>
              </w:rPr>
              <w:t>5</w:t>
            </w:r>
          </w:p>
        </w:tc>
      </w:tr>
      <w:tr w:rsidR="00C31B6F" w:rsidRPr="000221CB" w14:paraId="4960D935" w14:textId="77777777" w:rsidTr="00A90F70">
        <w:trPr>
          <w:trHeight w:val="478"/>
        </w:trPr>
        <w:tc>
          <w:tcPr>
            <w:tcW w:w="1327" w:type="dxa"/>
            <w:tcBorders>
              <w:top w:val="dotted" w:sz="4" w:space="0" w:color="auto"/>
              <w:left w:val="double" w:sz="4" w:space="0" w:color="auto"/>
              <w:bottom w:val="dotted" w:sz="4" w:space="0" w:color="auto"/>
            </w:tcBorders>
          </w:tcPr>
          <w:p w14:paraId="689AB59F" w14:textId="77777777" w:rsidR="00C31B6F" w:rsidRPr="00A90F70" w:rsidRDefault="00C31B6F" w:rsidP="00CF2E8A">
            <w:pPr>
              <w:spacing w:line="360" w:lineRule="auto"/>
              <w:jc w:val="center"/>
              <w:rPr>
                <w:rFonts w:eastAsia="Times New Roman" w:cstheme="minorHAnsi"/>
                <w:sz w:val="18"/>
                <w:szCs w:val="18"/>
                <w:lang w:val="el-GR"/>
              </w:rPr>
            </w:pPr>
            <w:r w:rsidRPr="00A90F70">
              <w:rPr>
                <w:rFonts w:eastAsia="Times New Roman" w:cstheme="minorHAnsi"/>
                <w:sz w:val="18"/>
                <w:szCs w:val="18"/>
                <w:lang w:val="el-GR"/>
              </w:rPr>
              <w:t>2021</w:t>
            </w:r>
          </w:p>
          <w:p w14:paraId="123693EB" w14:textId="77777777" w:rsidR="00C31B6F" w:rsidRPr="00A90F70" w:rsidRDefault="00C31B6F" w:rsidP="00CF2E8A">
            <w:pPr>
              <w:spacing w:line="360" w:lineRule="auto"/>
              <w:jc w:val="center"/>
              <w:rPr>
                <w:rFonts w:eastAsia="Times New Roman" w:cstheme="minorHAnsi"/>
                <w:sz w:val="18"/>
                <w:szCs w:val="18"/>
                <w:lang w:val="el-GR"/>
              </w:rPr>
            </w:pPr>
          </w:p>
        </w:tc>
        <w:tc>
          <w:tcPr>
            <w:tcW w:w="1726" w:type="dxa"/>
            <w:tcBorders>
              <w:top w:val="dotted" w:sz="4" w:space="0" w:color="auto"/>
              <w:bottom w:val="dotted" w:sz="4" w:space="0" w:color="auto"/>
            </w:tcBorders>
          </w:tcPr>
          <w:p w14:paraId="52D55B36" w14:textId="77777777" w:rsidR="00C31B6F" w:rsidRPr="00A90F70" w:rsidRDefault="00C31B6F" w:rsidP="00CF2E8A">
            <w:pPr>
              <w:spacing w:line="360" w:lineRule="auto"/>
              <w:ind w:right="646"/>
              <w:jc w:val="center"/>
              <w:rPr>
                <w:rFonts w:eastAsia="Times New Roman" w:cstheme="minorHAnsi"/>
                <w:sz w:val="18"/>
                <w:szCs w:val="18"/>
                <w:lang w:val="el-GR"/>
              </w:rPr>
            </w:pPr>
            <w:r w:rsidRPr="00A90F70">
              <w:rPr>
                <w:rFonts w:eastAsia="Times New Roman" w:cstheme="minorHAnsi"/>
                <w:sz w:val="18"/>
                <w:szCs w:val="18"/>
                <w:lang w:val="el-GR"/>
              </w:rPr>
              <w:t>83</w:t>
            </w:r>
          </w:p>
        </w:tc>
        <w:tc>
          <w:tcPr>
            <w:tcW w:w="1630" w:type="dxa"/>
            <w:tcBorders>
              <w:top w:val="dotted" w:sz="4" w:space="0" w:color="auto"/>
              <w:bottom w:val="dotted" w:sz="4" w:space="0" w:color="auto"/>
            </w:tcBorders>
          </w:tcPr>
          <w:p w14:paraId="5E191356" w14:textId="77777777" w:rsidR="00C31B6F" w:rsidRPr="00A90F70" w:rsidRDefault="00C31B6F" w:rsidP="00CF2E8A">
            <w:pPr>
              <w:spacing w:line="360" w:lineRule="auto"/>
              <w:ind w:right="793"/>
              <w:jc w:val="center"/>
              <w:rPr>
                <w:rFonts w:eastAsia="Times New Roman" w:cstheme="minorHAnsi"/>
                <w:sz w:val="18"/>
                <w:szCs w:val="18"/>
                <w:lang w:val="el-GR"/>
              </w:rPr>
            </w:pPr>
            <w:r w:rsidRPr="00A90F70">
              <w:rPr>
                <w:rFonts w:eastAsia="Times New Roman" w:cstheme="minorHAnsi"/>
                <w:sz w:val="18"/>
                <w:szCs w:val="18"/>
                <w:lang w:val="el-GR"/>
              </w:rPr>
              <w:t>25</w:t>
            </w:r>
          </w:p>
        </w:tc>
        <w:tc>
          <w:tcPr>
            <w:tcW w:w="1726" w:type="dxa"/>
            <w:tcBorders>
              <w:top w:val="dotted" w:sz="4" w:space="0" w:color="auto"/>
              <w:bottom w:val="dotted" w:sz="4" w:space="0" w:color="auto"/>
            </w:tcBorders>
          </w:tcPr>
          <w:p w14:paraId="0307B997" w14:textId="77777777" w:rsidR="00C31B6F" w:rsidRPr="00A90F70" w:rsidRDefault="00C31B6F" w:rsidP="00CF2E8A">
            <w:pPr>
              <w:spacing w:line="360" w:lineRule="auto"/>
              <w:ind w:right="799"/>
              <w:jc w:val="center"/>
              <w:rPr>
                <w:rFonts w:eastAsia="Times New Roman" w:cstheme="minorHAnsi"/>
                <w:sz w:val="18"/>
                <w:szCs w:val="18"/>
                <w:lang w:val="el-GR"/>
              </w:rPr>
            </w:pPr>
            <w:r w:rsidRPr="00A90F70">
              <w:rPr>
                <w:rFonts w:eastAsia="Times New Roman" w:cstheme="minorHAnsi"/>
                <w:sz w:val="18"/>
                <w:szCs w:val="18"/>
                <w:lang w:val="el-GR"/>
              </w:rPr>
              <w:t>17</w:t>
            </w:r>
          </w:p>
        </w:tc>
        <w:tc>
          <w:tcPr>
            <w:tcW w:w="2302" w:type="dxa"/>
            <w:tcBorders>
              <w:top w:val="dotted" w:sz="4" w:space="0" w:color="auto"/>
              <w:bottom w:val="dotted" w:sz="4" w:space="0" w:color="auto"/>
            </w:tcBorders>
          </w:tcPr>
          <w:p w14:paraId="5A67862F" w14:textId="77777777" w:rsidR="00C31B6F" w:rsidRPr="00A90F70" w:rsidRDefault="00C31B6F" w:rsidP="00CF2E8A">
            <w:pPr>
              <w:spacing w:line="360" w:lineRule="auto"/>
              <w:ind w:right="805"/>
              <w:jc w:val="center"/>
              <w:rPr>
                <w:rFonts w:eastAsia="Times New Roman" w:cstheme="minorHAnsi"/>
                <w:sz w:val="18"/>
                <w:szCs w:val="18"/>
                <w:lang w:val="el-GR"/>
              </w:rPr>
            </w:pPr>
            <w:r w:rsidRPr="00A90F70">
              <w:rPr>
                <w:rFonts w:eastAsia="Times New Roman" w:cstheme="minorHAnsi"/>
                <w:sz w:val="18"/>
                <w:szCs w:val="18"/>
                <w:lang w:val="el-GR"/>
              </w:rPr>
              <w:t>39</w:t>
            </w:r>
          </w:p>
        </w:tc>
        <w:tc>
          <w:tcPr>
            <w:tcW w:w="1726" w:type="dxa"/>
            <w:tcBorders>
              <w:top w:val="dotted" w:sz="4" w:space="0" w:color="auto"/>
              <w:bottom w:val="dotted" w:sz="4" w:space="0" w:color="auto"/>
            </w:tcBorders>
          </w:tcPr>
          <w:p w14:paraId="509398FC" w14:textId="77777777" w:rsidR="00C31B6F" w:rsidRPr="00A90F70" w:rsidRDefault="00C31B6F" w:rsidP="00CF2E8A">
            <w:pPr>
              <w:spacing w:line="360" w:lineRule="auto"/>
              <w:ind w:right="669"/>
              <w:jc w:val="center"/>
              <w:rPr>
                <w:rFonts w:eastAsia="Times New Roman" w:cstheme="minorHAnsi"/>
                <w:sz w:val="18"/>
                <w:szCs w:val="18"/>
                <w:lang w:val="el-GR"/>
              </w:rPr>
            </w:pPr>
            <w:r w:rsidRPr="00A90F70">
              <w:rPr>
                <w:rFonts w:eastAsia="Times New Roman" w:cstheme="minorHAnsi"/>
                <w:sz w:val="18"/>
                <w:szCs w:val="18"/>
                <w:lang w:val="el-GR"/>
              </w:rPr>
              <w:t>2</w:t>
            </w:r>
          </w:p>
        </w:tc>
      </w:tr>
      <w:tr w:rsidR="00C31B6F" w:rsidRPr="000221CB" w14:paraId="3F905409" w14:textId="77777777" w:rsidTr="00CF2E8A">
        <w:trPr>
          <w:trHeight w:val="528"/>
        </w:trPr>
        <w:tc>
          <w:tcPr>
            <w:tcW w:w="1327" w:type="dxa"/>
            <w:tcBorders>
              <w:top w:val="dotted" w:sz="4" w:space="0" w:color="auto"/>
              <w:left w:val="double" w:sz="4" w:space="0" w:color="auto"/>
              <w:bottom w:val="double" w:sz="4" w:space="0" w:color="auto"/>
            </w:tcBorders>
          </w:tcPr>
          <w:p w14:paraId="2379A20B" w14:textId="77777777" w:rsidR="00C31B6F" w:rsidRPr="00A90F70" w:rsidRDefault="00C31B6F" w:rsidP="00CF2E8A">
            <w:pPr>
              <w:spacing w:line="360" w:lineRule="auto"/>
              <w:jc w:val="center"/>
              <w:rPr>
                <w:rFonts w:eastAsia="Times New Roman" w:cstheme="minorHAnsi"/>
                <w:b/>
                <w:bCs/>
                <w:sz w:val="18"/>
                <w:szCs w:val="18"/>
                <w:lang w:val="el-GR"/>
              </w:rPr>
            </w:pPr>
          </w:p>
          <w:p w14:paraId="0C4A4708" w14:textId="77777777" w:rsidR="00C31B6F" w:rsidRPr="00A90F70" w:rsidRDefault="00C31B6F" w:rsidP="00CF2E8A">
            <w:pPr>
              <w:spacing w:line="360" w:lineRule="auto"/>
              <w:jc w:val="center"/>
              <w:rPr>
                <w:rFonts w:eastAsia="Times New Roman" w:cstheme="minorHAnsi"/>
                <w:b/>
                <w:bCs/>
                <w:sz w:val="18"/>
                <w:szCs w:val="18"/>
                <w:lang w:val="el-GR"/>
              </w:rPr>
            </w:pPr>
            <w:r w:rsidRPr="00A90F70">
              <w:rPr>
                <w:rFonts w:eastAsia="Times New Roman" w:cstheme="minorHAnsi"/>
                <w:b/>
                <w:bCs/>
                <w:sz w:val="18"/>
                <w:szCs w:val="18"/>
                <w:lang w:val="en-US"/>
              </w:rPr>
              <w:t>T</w:t>
            </w:r>
            <w:proofErr w:type="spellStart"/>
            <w:r w:rsidRPr="00A90F70">
              <w:rPr>
                <w:rFonts w:eastAsia="Times New Roman" w:cstheme="minorHAnsi"/>
                <w:b/>
                <w:bCs/>
                <w:sz w:val="18"/>
                <w:szCs w:val="18"/>
                <w:lang w:val="el-GR"/>
              </w:rPr>
              <w:t>otal</w:t>
            </w:r>
            <w:proofErr w:type="spellEnd"/>
          </w:p>
        </w:tc>
        <w:tc>
          <w:tcPr>
            <w:tcW w:w="1726" w:type="dxa"/>
            <w:tcBorders>
              <w:top w:val="dotted" w:sz="4" w:space="0" w:color="auto"/>
              <w:bottom w:val="double" w:sz="4" w:space="0" w:color="auto"/>
            </w:tcBorders>
          </w:tcPr>
          <w:p w14:paraId="1893B8E1" w14:textId="77777777" w:rsidR="00C31B6F" w:rsidRPr="00A90F70" w:rsidRDefault="00C31B6F" w:rsidP="00CF2E8A">
            <w:pPr>
              <w:spacing w:line="360" w:lineRule="auto"/>
              <w:ind w:right="646"/>
              <w:jc w:val="center"/>
              <w:rPr>
                <w:rFonts w:eastAsia="Times New Roman" w:cstheme="minorHAnsi"/>
                <w:b/>
                <w:bCs/>
                <w:sz w:val="18"/>
                <w:szCs w:val="18"/>
                <w:lang w:val="el-GR"/>
              </w:rPr>
            </w:pPr>
          </w:p>
          <w:p w14:paraId="76284156" w14:textId="77777777" w:rsidR="00C31B6F" w:rsidRPr="00A90F70" w:rsidRDefault="00C31B6F" w:rsidP="00CF2E8A">
            <w:pPr>
              <w:spacing w:line="360" w:lineRule="auto"/>
              <w:ind w:right="646"/>
              <w:jc w:val="center"/>
              <w:rPr>
                <w:rFonts w:eastAsia="Times New Roman" w:cstheme="minorHAnsi"/>
                <w:b/>
                <w:bCs/>
                <w:sz w:val="18"/>
                <w:szCs w:val="18"/>
                <w:lang w:val="el-GR"/>
              </w:rPr>
            </w:pPr>
            <w:r w:rsidRPr="00A90F70">
              <w:rPr>
                <w:rFonts w:eastAsia="Times New Roman" w:cstheme="minorHAnsi"/>
                <w:b/>
                <w:bCs/>
                <w:sz w:val="18"/>
                <w:szCs w:val="18"/>
                <w:lang w:val="el-GR"/>
              </w:rPr>
              <w:t>665</w:t>
            </w:r>
          </w:p>
        </w:tc>
        <w:tc>
          <w:tcPr>
            <w:tcW w:w="1630" w:type="dxa"/>
            <w:tcBorders>
              <w:top w:val="dotted" w:sz="4" w:space="0" w:color="auto"/>
              <w:bottom w:val="double" w:sz="4" w:space="0" w:color="auto"/>
            </w:tcBorders>
          </w:tcPr>
          <w:p w14:paraId="015F89E4" w14:textId="77777777" w:rsidR="00C31B6F" w:rsidRPr="00A90F70" w:rsidRDefault="00C31B6F" w:rsidP="00CF2E8A">
            <w:pPr>
              <w:spacing w:line="360" w:lineRule="auto"/>
              <w:ind w:right="793"/>
              <w:jc w:val="center"/>
              <w:rPr>
                <w:rFonts w:eastAsia="Times New Roman" w:cstheme="minorHAnsi"/>
                <w:b/>
                <w:bCs/>
                <w:sz w:val="18"/>
                <w:szCs w:val="18"/>
                <w:lang w:val="el-GR"/>
              </w:rPr>
            </w:pPr>
          </w:p>
          <w:p w14:paraId="493996DE" w14:textId="77777777" w:rsidR="00C31B6F" w:rsidRPr="00A90F70" w:rsidRDefault="00C31B6F" w:rsidP="00CF2E8A">
            <w:pPr>
              <w:spacing w:line="360" w:lineRule="auto"/>
              <w:ind w:right="793"/>
              <w:jc w:val="center"/>
              <w:rPr>
                <w:rFonts w:eastAsia="Times New Roman" w:cstheme="minorHAnsi"/>
                <w:b/>
                <w:bCs/>
                <w:sz w:val="18"/>
                <w:szCs w:val="18"/>
                <w:lang w:val="el-GR"/>
              </w:rPr>
            </w:pPr>
            <w:r w:rsidRPr="00A90F70">
              <w:rPr>
                <w:rFonts w:eastAsia="Times New Roman" w:cstheme="minorHAnsi"/>
                <w:b/>
                <w:bCs/>
                <w:sz w:val="18"/>
                <w:szCs w:val="18"/>
                <w:lang w:val="el-GR"/>
              </w:rPr>
              <w:t>78</w:t>
            </w:r>
          </w:p>
        </w:tc>
        <w:tc>
          <w:tcPr>
            <w:tcW w:w="1726" w:type="dxa"/>
            <w:tcBorders>
              <w:top w:val="dotted" w:sz="4" w:space="0" w:color="auto"/>
              <w:bottom w:val="double" w:sz="4" w:space="0" w:color="auto"/>
            </w:tcBorders>
          </w:tcPr>
          <w:p w14:paraId="415D8E7A" w14:textId="77777777" w:rsidR="00C31B6F" w:rsidRPr="00A90F70" w:rsidRDefault="00C31B6F" w:rsidP="00CF2E8A">
            <w:pPr>
              <w:spacing w:line="360" w:lineRule="auto"/>
              <w:ind w:right="799"/>
              <w:jc w:val="center"/>
              <w:rPr>
                <w:rFonts w:eastAsia="Times New Roman" w:cstheme="minorHAnsi"/>
                <w:b/>
                <w:bCs/>
                <w:sz w:val="18"/>
                <w:szCs w:val="18"/>
                <w:lang w:val="el-GR"/>
              </w:rPr>
            </w:pPr>
          </w:p>
          <w:p w14:paraId="3D2FBCBB" w14:textId="77777777" w:rsidR="00C31B6F" w:rsidRPr="00A90F70" w:rsidRDefault="00C31B6F" w:rsidP="00CF2E8A">
            <w:pPr>
              <w:spacing w:line="360" w:lineRule="auto"/>
              <w:ind w:right="799"/>
              <w:jc w:val="center"/>
              <w:rPr>
                <w:rFonts w:eastAsia="Times New Roman" w:cstheme="minorHAnsi"/>
                <w:b/>
                <w:bCs/>
                <w:sz w:val="18"/>
                <w:szCs w:val="18"/>
                <w:lang w:val="el-GR"/>
              </w:rPr>
            </w:pPr>
            <w:r w:rsidRPr="00A90F70">
              <w:rPr>
                <w:rFonts w:eastAsia="Times New Roman" w:cstheme="minorHAnsi"/>
                <w:b/>
                <w:bCs/>
                <w:sz w:val="18"/>
                <w:szCs w:val="18"/>
                <w:lang w:val="el-GR"/>
              </w:rPr>
              <w:t>160</w:t>
            </w:r>
          </w:p>
        </w:tc>
        <w:tc>
          <w:tcPr>
            <w:tcW w:w="2302" w:type="dxa"/>
            <w:tcBorders>
              <w:top w:val="dotted" w:sz="4" w:space="0" w:color="auto"/>
              <w:bottom w:val="double" w:sz="4" w:space="0" w:color="auto"/>
            </w:tcBorders>
          </w:tcPr>
          <w:p w14:paraId="6B6826AD" w14:textId="77777777" w:rsidR="00C31B6F" w:rsidRPr="00A90F70" w:rsidRDefault="00C31B6F" w:rsidP="00CF2E8A">
            <w:pPr>
              <w:spacing w:line="360" w:lineRule="auto"/>
              <w:ind w:right="805"/>
              <w:jc w:val="center"/>
              <w:rPr>
                <w:rFonts w:eastAsia="Times New Roman" w:cstheme="minorHAnsi"/>
                <w:b/>
                <w:bCs/>
                <w:sz w:val="18"/>
                <w:szCs w:val="18"/>
                <w:lang w:val="el-GR"/>
              </w:rPr>
            </w:pPr>
          </w:p>
          <w:p w14:paraId="15A0A566" w14:textId="77777777" w:rsidR="00C31B6F" w:rsidRPr="00A90F70" w:rsidRDefault="00C31B6F" w:rsidP="00CF2E8A">
            <w:pPr>
              <w:spacing w:line="360" w:lineRule="auto"/>
              <w:ind w:right="805"/>
              <w:jc w:val="center"/>
              <w:rPr>
                <w:rFonts w:eastAsia="Times New Roman" w:cstheme="minorHAnsi"/>
                <w:b/>
                <w:bCs/>
                <w:sz w:val="18"/>
                <w:szCs w:val="18"/>
                <w:lang w:val="el-GR"/>
              </w:rPr>
            </w:pPr>
            <w:r w:rsidRPr="00A90F70">
              <w:rPr>
                <w:rFonts w:eastAsia="Times New Roman" w:cstheme="minorHAnsi"/>
                <w:b/>
                <w:bCs/>
                <w:sz w:val="18"/>
                <w:szCs w:val="18"/>
                <w:lang w:val="el-GR"/>
              </w:rPr>
              <w:t>368</w:t>
            </w:r>
          </w:p>
        </w:tc>
        <w:tc>
          <w:tcPr>
            <w:tcW w:w="1726" w:type="dxa"/>
            <w:tcBorders>
              <w:top w:val="dotted" w:sz="4" w:space="0" w:color="auto"/>
              <w:bottom w:val="double" w:sz="4" w:space="0" w:color="auto"/>
            </w:tcBorders>
          </w:tcPr>
          <w:p w14:paraId="4EF5F8EB" w14:textId="77777777" w:rsidR="00C31B6F" w:rsidRPr="00A90F70" w:rsidRDefault="00C31B6F" w:rsidP="00CF2E8A">
            <w:pPr>
              <w:spacing w:line="360" w:lineRule="auto"/>
              <w:ind w:right="669"/>
              <w:jc w:val="center"/>
              <w:rPr>
                <w:rFonts w:eastAsia="Times New Roman" w:cstheme="minorHAnsi"/>
                <w:b/>
                <w:bCs/>
                <w:sz w:val="18"/>
                <w:szCs w:val="18"/>
                <w:lang w:val="el-GR"/>
              </w:rPr>
            </w:pPr>
          </w:p>
          <w:p w14:paraId="4D5B386C" w14:textId="77777777" w:rsidR="00C31B6F" w:rsidRPr="00A90F70" w:rsidRDefault="00C31B6F" w:rsidP="00CF2E8A">
            <w:pPr>
              <w:spacing w:line="360" w:lineRule="auto"/>
              <w:ind w:right="669"/>
              <w:jc w:val="center"/>
              <w:rPr>
                <w:rFonts w:eastAsia="Times New Roman" w:cstheme="minorHAnsi"/>
                <w:b/>
                <w:bCs/>
                <w:sz w:val="18"/>
                <w:szCs w:val="18"/>
                <w:lang w:val="el-GR"/>
              </w:rPr>
            </w:pPr>
            <w:r w:rsidRPr="00A90F70">
              <w:rPr>
                <w:rFonts w:eastAsia="Times New Roman" w:cstheme="minorHAnsi"/>
                <w:b/>
                <w:bCs/>
                <w:sz w:val="18"/>
                <w:szCs w:val="18"/>
                <w:lang w:val="el-GR"/>
              </w:rPr>
              <w:t>59</w:t>
            </w:r>
          </w:p>
        </w:tc>
      </w:tr>
    </w:tbl>
    <w:p w14:paraId="00069071" w14:textId="77777777" w:rsidR="000221CB" w:rsidRDefault="000221CB" w:rsidP="000221CB">
      <w:pPr>
        <w:tabs>
          <w:tab w:val="left" w:pos="709"/>
        </w:tabs>
        <w:jc w:val="left"/>
        <w:rPr>
          <w:rFonts w:cs="Calibri"/>
          <w:sz w:val="24"/>
          <w:szCs w:val="24"/>
        </w:rPr>
      </w:pPr>
    </w:p>
    <w:p w14:paraId="615FE9D3" w14:textId="5F9D1ACF" w:rsidR="000221CB" w:rsidRPr="00E72B63" w:rsidRDefault="000221CB" w:rsidP="000221CB">
      <w:pPr>
        <w:tabs>
          <w:tab w:val="left" w:pos="709"/>
        </w:tabs>
        <w:jc w:val="left"/>
        <w:rPr>
          <w:rFonts w:cs="Calibri"/>
          <w:sz w:val="18"/>
          <w:szCs w:val="18"/>
          <w:lang w:val="el-GR"/>
        </w:rPr>
      </w:pPr>
      <w:r w:rsidRPr="00E72B63">
        <w:rPr>
          <w:rFonts w:cs="Calibri"/>
          <w:sz w:val="18"/>
          <w:szCs w:val="18"/>
          <w:lang w:val="el-GR"/>
        </w:rPr>
        <w:t>*</w:t>
      </w:r>
      <w:r w:rsidR="00E72B63">
        <w:rPr>
          <w:rFonts w:cs="Calibri"/>
          <w:sz w:val="18"/>
          <w:szCs w:val="18"/>
          <w:lang w:val="el-GR"/>
        </w:rPr>
        <w:t>Ποσοστό</w:t>
      </w:r>
      <w:r w:rsidR="00E72B63" w:rsidRPr="00E72B63">
        <w:rPr>
          <w:rFonts w:cs="Calibri"/>
          <w:sz w:val="18"/>
          <w:szCs w:val="18"/>
          <w:lang w:val="el-GR"/>
        </w:rPr>
        <w:t xml:space="preserve"> </w:t>
      </w:r>
      <w:r w:rsidR="00E72B63">
        <w:rPr>
          <w:rFonts w:cs="Calibri"/>
          <w:sz w:val="18"/>
          <w:szCs w:val="18"/>
          <w:lang w:val="el-GR"/>
        </w:rPr>
        <w:t>δικασμένων</w:t>
      </w:r>
      <w:r w:rsidR="00E72B63" w:rsidRPr="00E72B63">
        <w:rPr>
          <w:rFonts w:cs="Calibri"/>
          <w:sz w:val="18"/>
          <w:szCs w:val="18"/>
          <w:lang w:val="el-GR"/>
        </w:rPr>
        <w:t xml:space="preserve"> </w:t>
      </w:r>
      <w:r w:rsidR="00E72B63">
        <w:rPr>
          <w:rFonts w:cs="Calibri"/>
          <w:sz w:val="18"/>
          <w:szCs w:val="18"/>
          <w:lang w:val="el-GR"/>
        </w:rPr>
        <w:t>υποθέσεων</w:t>
      </w:r>
      <w:r w:rsidRPr="00E72B63">
        <w:rPr>
          <w:rFonts w:cs="Calibri"/>
          <w:sz w:val="18"/>
          <w:szCs w:val="18"/>
          <w:lang w:val="el-GR"/>
        </w:rPr>
        <w:t>/</w:t>
      </w:r>
      <w:r w:rsidR="00E72B63">
        <w:rPr>
          <w:rFonts w:cs="Calibri"/>
          <w:sz w:val="18"/>
          <w:szCs w:val="18"/>
          <w:lang w:val="el-GR"/>
        </w:rPr>
        <w:t xml:space="preserve">συνολικού αριθμού </w:t>
      </w:r>
      <w:r w:rsidR="00314A8D">
        <w:rPr>
          <w:rFonts w:cs="Calibri"/>
          <w:sz w:val="18"/>
          <w:szCs w:val="18"/>
          <w:lang w:val="el-GR"/>
        </w:rPr>
        <w:t>διω</w:t>
      </w:r>
      <w:r w:rsidR="00E72B63">
        <w:rPr>
          <w:rFonts w:cs="Calibri"/>
          <w:sz w:val="18"/>
          <w:szCs w:val="18"/>
          <w:lang w:val="el-GR"/>
        </w:rPr>
        <w:t>κόμενων υποθέσεων</w:t>
      </w:r>
      <w:r w:rsidRPr="00E72B63">
        <w:rPr>
          <w:rFonts w:cs="Calibri"/>
          <w:sz w:val="18"/>
          <w:szCs w:val="18"/>
          <w:lang w:val="el-GR"/>
        </w:rPr>
        <w:t>: 84.56%</w:t>
      </w:r>
    </w:p>
    <w:p w14:paraId="379A213D" w14:textId="12037F13" w:rsidR="000221CB" w:rsidRPr="00BC1783" w:rsidRDefault="000221CB" w:rsidP="000221CB">
      <w:pPr>
        <w:tabs>
          <w:tab w:val="left" w:pos="709"/>
        </w:tabs>
        <w:jc w:val="left"/>
        <w:rPr>
          <w:rFonts w:cs="Calibri"/>
          <w:sz w:val="18"/>
          <w:szCs w:val="18"/>
          <w:lang w:val="el-GR"/>
        </w:rPr>
      </w:pPr>
      <w:r w:rsidRPr="00BC1783">
        <w:rPr>
          <w:rFonts w:cs="Calibri"/>
          <w:sz w:val="18"/>
          <w:szCs w:val="18"/>
          <w:lang w:val="el-GR"/>
        </w:rPr>
        <w:t>*</w:t>
      </w:r>
      <w:r w:rsidR="00E72B63">
        <w:rPr>
          <w:rFonts w:cs="Calibri"/>
          <w:sz w:val="18"/>
          <w:szCs w:val="18"/>
          <w:lang w:val="el-GR"/>
        </w:rPr>
        <w:t>Ποσοστό</w:t>
      </w:r>
      <w:r w:rsidR="00E72B63" w:rsidRPr="00BC1783">
        <w:rPr>
          <w:rFonts w:cs="Calibri"/>
          <w:sz w:val="18"/>
          <w:szCs w:val="18"/>
          <w:lang w:val="el-GR"/>
        </w:rPr>
        <w:t xml:space="preserve"> </w:t>
      </w:r>
      <w:r w:rsidR="00E72B63">
        <w:rPr>
          <w:rFonts w:cs="Calibri"/>
          <w:sz w:val="18"/>
          <w:szCs w:val="18"/>
          <w:lang w:val="el-GR"/>
        </w:rPr>
        <w:t>καταδίκων</w:t>
      </w:r>
      <w:r w:rsidRPr="00BC1783">
        <w:rPr>
          <w:rFonts w:cs="Calibri"/>
          <w:sz w:val="18"/>
          <w:szCs w:val="18"/>
          <w:lang w:val="el-GR"/>
        </w:rPr>
        <w:t>/</w:t>
      </w:r>
      <w:r w:rsidR="00E72B63">
        <w:rPr>
          <w:rFonts w:cs="Calibri"/>
          <w:sz w:val="18"/>
          <w:szCs w:val="18"/>
          <w:lang w:val="el-GR"/>
        </w:rPr>
        <w:t>δικασμένων</w:t>
      </w:r>
      <w:r w:rsidR="00E72B63" w:rsidRPr="00BC1783">
        <w:rPr>
          <w:rFonts w:cs="Calibri"/>
          <w:sz w:val="18"/>
          <w:szCs w:val="18"/>
          <w:lang w:val="el-GR"/>
        </w:rPr>
        <w:t xml:space="preserve"> </w:t>
      </w:r>
      <w:r w:rsidR="00E72B63">
        <w:rPr>
          <w:rFonts w:cs="Calibri"/>
          <w:sz w:val="18"/>
          <w:szCs w:val="18"/>
          <w:lang w:val="el-GR"/>
        </w:rPr>
        <w:t>υποθέσεων</w:t>
      </w:r>
      <w:r w:rsidRPr="00BC1783">
        <w:rPr>
          <w:rFonts w:cs="Calibri"/>
          <w:sz w:val="18"/>
          <w:szCs w:val="18"/>
          <w:lang w:val="el-GR"/>
        </w:rPr>
        <w:t>: 86.1%</w:t>
      </w:r>
    </w:p>
    <w:p w14:paraId="2EF9F5FB" w14:textId="65B6053C" w:rsidR="000221CB" w:rsidRPr="00E72B63" w:rsidRDefault="000221CB" w:rsidP="000221CB">
      <w:pPr>
        <w:tabs>
          <w:tab w:val="left" w:pos="709"/>
        </w:tabs>
        <w:jc w:val="left"/>
        <w:rPr>
          <w:rFonts w:cs="Calibri"/>
          <w:sz w:val="18"/>
          <w:szCs w:val="18"/>
          <w:lang w:val="el-GR"/>
        </w:rPr>
      </w:pPr>
      <w:r w:rsidRPr="00E72B63">
        <w:rPr>
          <w:rFonts w:cs="Calibri"/>
          <w:sz w:val="18"/>
          <w:szCs w:val="18"/>
          <w:lang w:val="el-GR"/>
        </w:rPr>
        <w:t>*</w:t>
      </w:r>
      <w:r w:rsidR="00E72B63">
        <w:rPr>
          <w:rFonts w:cs="Calibri"/>
          <w:sz w:val="18"/>
          <w:szCs w:val="18"/>
          <w:lang w:val="el-GR"/>
        </w:rPr>
        <w:t>Ποσοστό</w:t>
      </w:r>
      <w:r w:rsidR="00E72B63" w:rsidRPr="00E72B63">
        <w:rPr>
          <w:rFonts w:cs="Calibri"/>
          <w:sz w:val="18"/>
          <w:szCs w:val="18"/>
          <w:lang w:val="el-GR"/>
        </w:rPr>
        <w:t xml:space="preserve"> </w:t>
      </w:r>
      <w:r w:rsidR="00E72B63">
        <w:rPr>
          <w:rFonts w:cs="Calibri"/>
          <w:sz w:val="18"/>
          <w:szCs w:val="18"/>
          <w:lang w:val="el-GR"/>
        </w:rPr>
        <w:t>μη</w:t>
      </w:r>
      <w:r w:rsidR="00E72B63" w:rsidRPr="00E72B63">
        <w:rPr>
          <w:rFonts w:cs="Calibri"/>
          <w:sz w:val="18"/>
          <w:szCs w:val="18"/>
          <w:lang w:val="el-GR"/>
        </w:rPr>
        <w:t>-</w:t>
      </w:r>
      <w:r w:rsidR="00E72B63">
        <w:rPr>
          <w:rFonts w:cs="Calibri"/>
          <w:sz w:val="18"/>
          <w:szCs w:val="18"/>
          <w:lang w:val="el-GR"/>
        </w:rPr>
        <w:t>δι</w:t>
      </w:r>
      <w:r w:rsidR="00314A8D">
        <w:rPr>
          <w:rFonts w:cs="Calibri"/>
          <w:sz w:val="18"/>
          <w:szCs w:val="18"/>
          <w:lang w:val="el-GR"/>
        </w:rPr>
        <w:t>ω</w:t>
      </w:r>
      <w:r w:rsidR="00E72B63">
        <w:rPr>
          <w:rFonts w:cs="Calibri"/>
          <w:sz w:val="18"/>
          <w:szCs w:val="18"/>
          <w:lang w:val="el-GR"/>
        </w:rPr>
        <w:t>κόμενων</w:t>
      </w:r>
      <w:r w:rsidR="00E72B63" w:rsidRPr="00E72B63">
        <w:rPr>
          <w:rFonts w:cs="Calibri"/>
          <w:sz w:val="18"/>
          <w:szCs w:val="18"/>
          <w:lang w:val="el-GR"/>
        </w:rPr>
        <w:t xml:space="preserve"> </w:t>
      </w:r>
      <w:r w:rsidR="00E72B63">
        <w:rPr>
          <w:rFonts w:cs="Calibri"/>
          <w:sz w:val="18"/>
          <w:szCs w:val="18"/>
          <w:lang w:val="el-GR"/>
        </w:rPr>
        <w:t>υποθέσεων</w:t>
      </w:r>
      <w:r w:rsidRPr="00E72B63">
        <w:rPr>
          <w:rFonts w:cs="Calibri"/>
          <w:sz w:val="18"/>
          <w:szCs w:val="18"/>
          <w:lang w:val="el-GR"/>
        </w:rPr>
        <w:t>/</w:t>
      </w:r>
      <w:r w:rsidR="00E72B63">
        <w:rPr>
          <w:rFonts w:cs="Calibri"/>
          <w:sz w:val="18"/>
          <w:szCs w:val="18"/>
          <w:lang w:val="el-GR"/>
        </w:rPr>
        <w:t xml:space="preserve">συνολικού αριθμού </w:t>
      </w:r>
      <w:r w:rsidR="002E5EC0">
        <w:rPr>
          <w:rFonts w:cs="Calibri"/>
          <w:sz w:val="18"/>
          <w:szCs w:val="18"/>
          <w:lang w:val="el-GR"/>
        </w:rPr>
        <w:t>διερευνώμενων</w:t>
      </w:r>
      <w:r w:rsidR="00E72B63">
        <w:rPr>
          <w:rFonts w:cs="Calibri"/>
          <w:sz w:val="18"/>
          <w:szCs w:val="18"/>
          <w:lang w:val="el-GR"/>
        </w:rPr>
        <w:t xml:space="preserve"> υποθέσεων</w:t>
      </w:r>
      <w:r w:rsidRPr="00E72B63">
        <w:rPr>
          <w:rFonts w:cs="Calibri"/>
          <w:sz w:val="18"/>
          <w:szCs w:val="18"/>
          <w:lang w:val="el-GR"/>
        </w:rPr>
        <w:t>:  24.1%</w:t>
      </w:r>
    </w:p>
    <w:p w14:paraId="3DE0C294" w14:textId="12F3CC01" w:rsidR="00C31B6F" w:rsidRPr="00314A8D" w:rsidRDefault="000221CB" w:rsidP="00A90F70">
      <w:pPr>
        <w:tabs>
          <w:tab w:val="left" w:pos="709"/>
        </w:tabs>
        <w:jc w:val="left"/>
        <w:rPr>
          <w:rFonts w:cs="Calibri"/>
          <w:sz w:val="18"/>
          <w:szCs w:val="18"/>
          <w:lang w:val="el-GR"/>
        </w:rPr>
      </w:pPr>
      <w:r w:rsidRPr="00314A8D">
        <w:rPr>
          <w:rFonts w:cs="Calibri"/>
          <w:sz w:val="18"/>
          <w:szCs w:val="18"/>
          <w:lang w:val="el-GR"/>
        </w:rPr>
        <w:t>*</w:t>
      </w:r>
      <w:r w:rsidR="00E72B63">
        <w:rPr>
          <w:rFonts w:cs="Calibri"/>
          <w:sz w:val="18"/>
          <w:szCs w:val="18"/>
          <w:lang w:val="el-GR"/>
        </w:rPr>
        <w:t>Ποσοστό</w:t>
      </w:r>
      <w:r w:rsidR="00E72B63" w:rsidRPr="00314A8D">
        <w:rPr>
          <w:rFonts w:cs="Calibri"/>
          <w:sz w:val="18"/>
          <w:szCs w:val="18"/>
          <w:lang w:val="el-GR"/>
        </w:rPr>
        <w:t xml:space="preserve"> </w:t>
      </w:r>
      <w:r w:rsidR="00314A8D">
        <w:rPr>
          <w:rFonts w:cs="Calibri"/>
          <w:sz w:val="18"/>
          <w:szCs w:val="18"/>
          <w:lang w:val="el-GR"/>
        </w:rPr>
        <w:t>υποθέσεων</w:t>
      </w:r>
      <w:r w:rsidR="00314A8D" w:rsidRPr="00314A8D">
        <w:rPr>
          <w:rFonts w:cs="Calibri"/>
          <w:sz w:val="18"/>
          <w:szCs w:val="18"/>
          <w:lang w:val="el-GR"/>
        </w:rPr>
        <w:t xml:space="preserve"> </w:t>
      </w:r>
      <w:r w:rsidR="00314A8D">
        <w:rPr>
          <w:rFonts w:cs="Calibri"/>
          <w:sz w:val="18"/>
          <w:szCs w:val="18"/>
          <w:lang w:val="el-GR"/>
        </w:rPr>
        <w:t>που</w:t>
      </w:r>
      <w:r w:rsidR="00314A8D" w:rsidRPr="00314A8D">
        <w:rPr>
          <w:rFonts w:cs="Calibri"/>
          <w:sz w:val="18"/>
          <w:szCs w:val="18"/>
          <w:lang w:val="el-GR"/>
        </w:rPr>
        <w:t xml:space="preserve"> </w:t>
      </w:r>
      <w:r w:rsidR="00314A8D">
        <w:rPr>
          <w:rFonts w:cs="Calibri"/>
          <w:sz w:val="18"/>
          <w:szCs w:val="18"/>
          <w:lang w:val="el-GR"/>
        </w:rPr>
        <w:t>εκκρεμεί</w:t>
      </w:r>
      <w:r w:rsidR="00314A8D" w:rsidRPr="00314A8D">
        <w:rPr>
          <w:rFonts w:cs="Calibri"/>
          <w:sz w:val="18"/>
          <w:szCs w:val="18"/>
          <w:lang w:val="el-GR"/>
        </w:rPr>
        <w:t xml:space="preserve"> </w:t>
      </w:r>
      <w:r w:rsidR="00314A8D">
        <w:rPr>
          <w:rFonts w:cs="Calibri"/>
          <w:sz w:val="18"/>
          <w:szCs w:val="18"/>
          <w:lang w:val="el-GR"/>
        </w:rPr>
        <w:t>η</w:t>
      </w:r>
      <w:r w:rsidR="00314A8D" w:rsidRPr="00314A8D">
        <w:rPr>
          <w:rFonts w:cs="Calibri"/>
          <w:sz w:val="18"/>
          <w:szCs w:val="18"/>
          <w:lang w:val="el-GR"/>
        </w:rPr>
        <w:t xml:space="preserve"> </w:t>
      </w:r>
      <w:r w:rsidR="00314A8D">
        <w:rPr>
          <w:rFonts w:cs="Calibri"/>
          <w:sz w:val="18"/>
          <w:szCs w:val="18"/>
          <w:lang w:val="el-GR"/>
        </w:rPr>
        <w:t>δίκη</w:t>
      </w:r>
      <w:r w:rsidRPr="00314A8D">
        <w:rPr>
          <w:rFonts w:cs="Calibri"/>
          <w:sz w:val="18"/>
          <w:szCs w:val="18"/>
          <w:lang w:val="el-GR"/>
        </w:rPr>
        <w:t>/</w:t>
      </w:r>
      <w:r w:rsidR="00314A8D">
        <w:rPr>
          <w:rFonts w:cs="Calibri"/>
          <w:sz w:val="18"/>
          <w:szCs w:val="18"/>
          <w:lang w:val="el-GR"/>
        </w:rPr>
        <w:t xml:space="preserve">συνολικού αριθμού </w:t>
      </w:r>
      <w:r w:rsidR="002E5EC0">
        <w:rPr>
          <w:rFonts w:cs="Calibri"/>
          <w:sz w:val="18"/>
          <w:szCs w:val="18"/>
          <w:lang w:val="el-GR"/>
        </w:rPr>
        <w:t>διερευνώμενων</w:t>
      </w:r>
      <w:r w:rsidR="00314A8D">
        <w:rPr>
          <w:rFonts w:cs="Calibri"/>
          <w:sz w:val="18"/>
          <w:szCs w:val="18"/>
          <w:lang w:val="el-GR"/>
        </w:rPr>
        <w:t xml:space="preserve"> υποθέσεων</w:t>
      </w:r>
      <w:r w:rsidRPr="00314A8D">
        <w:rPr>
          <w:rFonts w:cs="Calibri"/>
          <w:sz w:val="18"/>
          <w:szCs w:val="18"/>
          <w:lang w:val="el-GR"/>
        </w:rPr>
        <w:t>: 11.73%</w:t>
      </w:r>
    </w:p>
    <w:p w14:paraId="24C7A4A7" w14:textId="102683DF" w:rsidR="00C31B6F" w:rsidRPr="00314A8D" w:rsidRDefault="00C31B6F">
      <w:pPr>
        <w:keepNext/>
        <w:jc w:val="center"/>
        <w:rPr>
          <w:rFonts w:cstheme="minorHAnsi"/>
          <w:i/>
          <w:iCs/>
          <w:color w:val="FF0000"/>
          <w:sz w:val="24"/>
          <w:szCs w:val="24"/>
          <w:lang w:val="el-GR"/>
        </w:rPr>
      </w:pPr>
    </w:p>
    <w:p w14:paraId="7283E845" w14:textId="2DE609D9" w:rsidR="000221CB" w:rsidRPr="00314A8D" w:rsidRDefault="00314A8D" w:rsidP="000221CB">
      <w:pPr>
        <w:pStyle w:val="ListParagraph"/>
        <w:tabs>
          <w:tab w:val="left" w:pos="709"/>
        </w:tabs>
        <w:ind w:left="780"/>
        <w:jc w:val="center"/>
        <w:rPr>
          <w:rFonts w:cs="Calibri"/>
          <w:i/>
          <w:iCs/>
          <w:sz w:val="24"/>
          <w:szCs w:val="24"/>
          <w:lang w:val="el-GR"/>
        </w:rPr>
      </w:pPr>
      <w:r>
        <w:rPr>
          <w:rFonts w:cs="Calibri"/>
          <w:i/>
          <w:iCs/>
          <w:sz w:val="24"/>
          <w:szCs w:val="24"/>
          <w:lang w:val="el-GR"/>
        </w:rPr>
        <w:t>Στατιστικές</w:t>
      </w:r>
      <w:r w:rsidRPr="00314A8D">
        <w:rPr>
          <w:rFonts w:cs="Calibri"/>
          <w:i/>
          <w:iCs/>
          <w:sz w:val="24"/>
          <w:szCs w:val="24"/>
          <w:lang w:val="el-GR"/>
        </w:rPr>
        <w:t xml:space="preserve"> </w:t>
      </w:r>
      <w:r>
        <w:rPr>
          <w:rFonts w:cs="Calibri"/>
          <w:i/>
          <w:iCs/>
          <w:sz w:val="24"/>
          <w:szCs w:val="24"/>
          <w:lang w:val="el-GR"/>
        </w:rPr>
        <w:t>για</w:t>
      </w:r>
      <w:r w:rsidRPr="00314A8D">
        <w:rPr>
          <w:rFonts w:cs="Calibri"/>
          <w:i/>
          <w:iCs/>
          <w:sz w:val="24"/>
          <w:szCs w:val="24"/>
          <w:lang w:val="el-GR"/>
        </w:rPr>
        <w:t xml:space="preserve"> </w:t>
      </w:r>
      <w:r>
        <w:rPr>
          <w:rFonts w:cs="Calibri"/>
          <w:i/>
          <w:iCs/>
          <w:sz w:val="24"/>
          <w:szCs w:val="24"/>
          <w:lang w:val="el-GR"/>
        </w:rPr>
        <w:t>μέτρα</w:t>
      </w:r>
      <w:r w:rsidRPr="00314A8D">
        <w:rPr>
          <w:rFonts w:cs="Calibri"/>
          <w:i/>
          <w:iCs/>
          <w:sz w:val="24"/>
          <w:szCs w:val="24"/>
          <w:lang w:val="el-GR"/>
        </w:rPr>
        <w:t xml:space="preserve"> </w:t>
      </w:r>
      <w:r>
        <w:rPr>
          <w:rFonts w:cs="Calibri"/>
          <w:i/>
          <w:iCs/>
          <w:sz w:val="24"/>
          <w:szCs w:val="24"/>
          <w:lang w:val="el-GR"/>
        </w:rPr>
        <w:t>αναστολής</w:t>
      </w:r>
      <w:r w:rsidRPr="00314A8D">
        <w:rPr>
          <w:rFonts w:cs="Calibri"/>
          <w:i/>
          <w:iCs/>
          <w:sz w:val="24"/>
          <w:szCs w:val="24"/>
          <w:lang w:val="el-GR"/>
        </w:rPr>
        <w:t xml:space="preserve"> </w:t>
      </w:r>
      <w:r>
        <w:rPr>
          <w:rFonts w:cs="Calibri"/>
          <w:i/>
          <w:iCs/>
          <w:sz w:val="24"/>
          <w:szCs w:val="24"/>
          <w:lang w:val="el-GR"/>
        </w:rPr>
        <w:t>εναντίον</w:t>
      </w:r>
      <w:r w:rsidRPr="00314A8D">
        <w:rPr>
          <w:rFonts w:cs="Calibri"/>
          <w:i/>
          <w:iCs/>
          <w:sz w:val="24"/>
          <w:szCs w:val="24"/>
          <w:lang w:val="el-GR"/>
        </w:rPr>
        <w:t xml:space="preserve"> </w:t>
      </w:r>
      <w:r>
        <w:rPr>
          <w:rFonts w:cs="Calibri"/>
          <w:i/>
          <w:iCs/>
          <w:sz w:val="24"/>
          <w:szCs w:val="24"/>
          <w:lang w:val="el-GR"/>
        </w:rPr>
        <w:t>Κυπρίων</w:t>
      </w:r>
      <w:r w:rsidRPr="00314A8D">
        <w:rPr>
          <w:rFonts w:cs="Calibri"/>
          <w:i/>
          <w:iCs/>
          <w:sz w:val="24"/>
          <w:szCs w:val="24"/>
          <w:lang w:val="el-GR"/>
        </w:rPr>
        <w:t xml:space="preserve"> </w:t>
      </w:r>
      <w:r>
        <w:rPr>
          <w:rFonts w:cs="Calibri"/>
          <w:i/>
          <w:iCs/>
          <w:sz w:val="24"/>
          <w:szCs w:val="24"/>
          <w:lang w:val="el-GR"/>
        </w:rPr>
        <w:t>αστυνομικών</w:t>
      </w:r>
      <w:r w:rsidR="000221CB" w:rsidRPr="00314A8D">
        <w:rPr>
          <w:rFonts w:cs="Calibri"/>
          <w:i/>
          <w:iCs/>
          <w:sz w:val="24"/>
          <w:szCs w:val="24"/>
          <w:lang w:val="el-GR"/>
        </w:rPr>
        <w:t xml:space="preserve"> </w:t>
      </w:r>
      <w:r>
        <w:rPr>
          <w:rFonts w:cs="Calibri"/>
          <w:i/>
          <w:iCs/>
          <w:sz w:val="24"/>
          <w:szCs w:val="24"/>
          <w:lang w:val="el-GR"/>
        </w:rPr>
        <w:t xml:space="preserve">για </w:t>
      </w:r>
      <w:r w:rsidR="002E5EC0">
        <w:rPr>
          <w:rFonts w:cs="Calibri"/>
          <w:i/>
          <w:iCs/>
          <w:sz w:val="24"/>
          <w:szCs w:val="24"/>
          <w:lang w:val="el-GR"/>
        </w:rPr>
        <w:t>διερευνώμενες</w:t>
      </w:r>
      <w:r>
        <w:rPr>
          <w:rFonts w:cs="Calibri"/>
          <w:i/>
          <w:iCs/>
          <w:sz w:val="24"/>
          <w:szCs w:val="24"/>
          <w:lang w:val="el-GR"/>
        </w:rPr>
        <w:t xml:space="preserve"> πειθαρχικές υποθέσεις το</w:t>
      </w:r>
      <w:r w:rsidR="000221CB" w:rsidRPr="00314A8D">
        <w:rPr>
          <w:rFonts w:cs="Calibri"/>
          <w:i/>
          <w:iCs/>
          <w:sz w:val="24"/>
          <w:szCs w:val="24"/>
          <w:lang w:val="el-GR"/>
        </w:rPr>
        <w:t xml:space="preserve"> 2019</w:t>
      </w:r>
      <w:r w:rsidR="00B52169" w:rsidRPr="00314A8D">
        <w:rPr>
          <w:rFonts w:cs="Calibri"/>
          <w:i/>
          <w:iCs/>
          <w:sz w:val="24"/>
          <w:szCs w:val="24"/>
          <w:lang w:val="el-GR"/>
        </w:rPr>
        <w:t>-</w:t>
      </w:r>
      <w:r w:rsidR="000221CB" w:rsidRPr="00314A8D">
        <w:rPr>
          <w:rFonts w:cs="Calibri"/>
          <w:i/>
          <w:iCs/>
          <w:sz w:val="24"/>
          <w:szCs w:val="24"/>
          <w:lang w:val="el-GR"/>
        </w:rPr>
        <w:t>2022</w:t>
      </w:r>
    </w:p>
    <w:p w14:paraId="309DCA78" w14:textId="691B3CC5" w:rsidR="000221CB" w:rsidRPr="00314A8D" w:rsidRDefault="000221CB">
      <w:pPr>
        <w:keepNext/>
        <w:jc w:val="center"/>
        <w:rPr>
          <w:rFonts w:cstheme="minorHAnsi"/>
          <w:i/>
          <w:iCs/>
          <w:color w:val="FF0000"/>
          <w:sz w:val="24"/>
          <w:szCs w:val="24"/>
          <w:lang w:val="el-GR"/>
        </w:rPr>
      </w:pPr>
    </w:p>
    <w:tbl>
      <w:tblPr>
        <w:tblStyle w:val="TableGrid"/>
        <w:tblW w:w="0" w:type="auto"/>
        <w:tblInd w:w="-5" w:type="dxa"/>
        <w:tblLook w:val="04A0" w:firstRow="1" w:lastRow="0" w:firstColumn="1" w:lastColumn="0" w:noHBand="0" w:noVBand="1"/>
      </w:tblPr>
      <w:tblGrid>
        <w:gridCol w:w="3021"/>
        <w:gridCol w:w="3022"/>
        <w:gridCol w:w="3022"/>
      </w:tblGrid>
      <w:tr w:rsidR="000221CB" w:rsidRPr="008E28F8" w14:paraId="5B42E362" w14:textId="77777777" w:rsidTr="000221CB">
        <w:tc>
          <w:tcPr>
            <w:tcW w:w="3021" w:type="dxa"/>
            <w:shd w:val="pct15" w:color="auto" w:fill="auto"/>
          </w:tcPr>
          <w:p w14:paraId="2E2F2190" w14:textId="68A8B8A5" w:rsidR="000221CB" w:rsidRPr="00314A8D" w:rsidRDefault="00314A8D" w:rsidP="00CF2E8A">
            <w:pPr>
              <w:rPr>
                <w:b/>
                <w:bCs/>
                <w:sz w:val="18"/>
                <w:szCs w:val="18"/>
                <w:lang w:val="el-GR"/>
              </w:rPr>
            </w:pPr>
            <w:r>
              <w:rPr>
                <w:b/>
                <w:bCs/>
                <w:sz w:val="18"/>
                <w:szCs w:val="18"/>
                <w:lang w:val="el-GR"/>
              </w:rPr>
              <w:t>Έτος</w:t>
            </w:r>
          </w:p>
        </w:tc>
        <w:tc>
          <w:tcPr>
            <w:tcW w:w="3022" w:type="dxa"/>
            <w:shd w:val="pct15" w:color="auto" w:fill="auto"/>
          </w:tcPr>
          <w:p w14:paraId="61276B3A" w14:textId="494AD831" w:rsidR="000221CB" w:rsidRPr="008E28F8" w:rsidRDefault="00314A8D" w:rsidP="00314A8D">
            <w:pPr>
              <w:rPr>
                <w:b/>
                <w:bCs/>
                <w:sz w:val="18"/>
                <w:szCs w:val="18"/>
              </w:rPr>
            </w:pPr>
            <w:r>
              <w:rPr>
                <w:b/>
                <w:bCs/>
                <w:sz w:val="18"/>
                <w:szCs w:val="18"/>
                <w:lang w:val="el-GR"/>
              </w:rPr>
              <w:t>Αστυνομικοί με αναστολή</w:t>
            </w:r>
            <w:r w:rsidR="000221CB" w:rsidRPr="008E28F8">
              <w:rPr>
                <w:b/>
                <w:bCs/>
                <w:sz w:val="18"/>
                <w:szCs w:val="18"/>
              </w:rPr>
              <w:t xml:space="preserve"> </w:t>
            </w:r>
          </w:p>
        </w:tc>
        <w:tc>
          <w:tcPr>
            <w:tcW w:w="3022" w:type="dxa"/>
            <w:shd w:val="pct15" w:color="auto" w:fill="auto"/>
          </w:tcPr>
          <w:p w14:paraId="404968B6" w14:textId="69EE91DE" w:rsidR="000221CB" w:rsidRPr="008E28F8" w:rsidRDefault="00314A8D" w:rsidP="00314A8D">
            <w:pPr>
              <w:rPr>
                <w:b/>
                <w:bCs/>
                <w:sz w:val="18"/>
                <w:szCs w:val="18"/>
              </w:rPr>
            </w:pPr>
            <w:r>
              <w:rPr>
                <w:b/>
                <w:bCs/>
                <w:sz w:val="18"/>
                <w:szCs w:val="18"/>
                <w:lang w:val="el-GR"/>
              </w:rPr>
              <w:t>Αστυνομικοί</w:t>
            </w:r>
            <w:r>
              <w:rPr>
                <w:b/>
                <w:bCs/>
                <w:sz w:val="18"/>
                <w:szCs w:val="18"/>
                <w:lang w:val="en-US"/>
              </w:rPr>
              <w:t xml:space="preserve"> </w:t>
            </w:r>
            <w:r>
              <w:rPr>
                <w:b/>
                <w:bCs/>
                <w:sz w:val="18"/>
                <w:szCs w:val="18"/>
                <w:lang w:val="el-GR"/>
              </w:rPr>
              <w:t>ακόμη σε ανατολή</w:t>
            </w:r>
          </w:p>
        </w:tc>
      </w:tr>
      <w:tr w:rsidR="000221CB" w:rsidRPr="008E28F8" w14:paraId="6A13EF48" w14:textId="77777777" w:rsidTr="00A90F70">
        <w:tc>
          <w:tcPr>
            <w:tcW w:w="3021" w:type="dxa"/>
          </w:tcPr>
          <w:p w14:paraId="301A1B91" w14:textId="77777777" w:rsidR="000221CB" w:rsidRPr="00A90F70" w:rsidRDefault="000221CB" w:rsidP="00CF2E8A">
            <w:pPr>
              <w:rPr>
                <w:b/>
                <w:bCs/>
                <w:sz w:val="18"/>
                <w:szCs w:val="18"/>
              </w:rPr>
            </w:pPr>
            <w:r w:rsidRPr="00A90F70">
              <w:rPr>
                <w:b/>
                <w:bCs/>
                <w:sz w:val="18"/>
                <w:szCs w:val="18"/>
              </w:rPr>
              <w:t>2019</w:t>
            </w:r>
          </w:p>
        </w:tc>
        <w:tc>
          <w:tcPr>
            <w:tcW w:w="3022" w:type="dxa"/>
          </w:tcPr>
          <w:p w14:paraId="74A051E7" w14:textId="77777777" w:rsidR="000221CB" w:rsidRPr="008E28F8" w:rsidRDefault="000221CB" w:rsidP="00CF2E8A">
            <w:pPr>
              <w:rPr>
                <w:sz w:val="18"/>
                <w:szCs w:val="18"/>
              </w:rPr>
            </w:pPr>
            <w:r>
              <w:rPr>
                <w:sz w:val="18"/>
                <w:szCs w:val="18"/>
              </w:rPr>
              <w:t>11</w:t>
            </w:r>
          </w:p>
        </w:tc>
        <w:tc>
          <w:tcPr>
            <w:tcW w:w="3022" w:type="dxa"/>
          </w:tcPr>
          <w:p w14:paraId="45730F04" w14:textId="77777777" w:rsidR="000221CB" w:rsidRPr="008E28F8" w:rsidRDefault="000221CB" w:rsidP="00CF2E8A">
            <w:pPr>
              <w:rPr>
                <w:sz w:val="18"/>
                <w:szCs w:val="18"/>
              </w:rPr>
            </w:pPr>
            <w:r>
              <w:rPr>
                <w:sz w:val="18"/>
                <w:szCs w:val="18"/>
              </w:rPr>
              <w:t>2</w:t>
            </w:r>
          </w:p>
        </w:tc>
      </w:tr>
      <w:tr w:rsidR="000221CB" w:rsidRPr="008E28F8" w14:paraId="4E807335" w14:textId="77777777" w:rsidTr="00A90F70">
        <w:tc>
          <w:tcPr>
            <w:tcW w:w="3021" w:type="dxa"/>
          </w:tcPr>
          <w:p w14:paraId="19CF8D67" w14:textId="77777777" w:rsidR="000221CB" w:rsidRPr="00A90F70" w:rsidRDefault="000221CB" w:rsidP="00CF2E8A">
            <w:pPr>
              <w:rPr>
                <w:b/>
                <w:bCs/>
                <w:sz w:val="18"/>
                <w:szCs w:val="18"/>
              </w:rPr>
            </w:pPr>
            <w:r w:rsidRPr="00A90F70">
              <w:rPr>
                <w:b/>
                <w:bCs/>
                <w:sz w:val="18"/>
                <w:szCs w:val="18"/>
              </w:rPr>
              <w:t>2020</w:t>
            </w:r>
          </w:p>
        </w:tc>
        <w:tc>
          <w:tcPr>
            <w:tcW w:w="3022" w:type="dxa"/>
          </w:tcPr>
          <w:p w14:paraId="4A705FA4" w14:textId="77777777" w:rsidR="000221CB" w:rsidRPr="008E28F8" w:rsidRDefault="000221CB" w:rsidP="00CF2E8A">
            <w:pPr>
              <w:rPr>
                <w:sz w:val="18"/>
                <w:szCs w:val="18"/>
              </w:rPr>
            </w:pPr>
            <w:r>
              <w:rPr>
                <w:sz w:val="18"/>
                <w:szCs w:val="18"/>
              </w:rPr>
              <w:t>11</w:t>
            </w:r>
          </w:p>
        </w:tc>
        <w:tc>
          <w:tcPr>
            <w:tcW w:w="3022" w:type="dxa"/>
          </w:tcPr>
          <w:p w14:paraId="5411EB65" w14:textId="77777777" w:rsidR="000221CB" w:rsidRPr="008E28F8" w:rsidRDefault="000221CB" w:rsidP="00CF2E8A">
            <w:pPr>
              <w:rPr>
                <w:sz w:val="18"/>
                <w:szCs w:val="18"/>
              </w:rPr>
            </w:pPr>
            <w:r>
              <w:rPr>
                <w:sz w:val="18"/>
                <w:szCs w:val="18"/>
              </w:rPr>
              <w:t>2</w:t>
            </w:r>
          </w:p>
        </w:tc>
      </w:tr>
      <w:tr w:rsidR="000221CB" w:rsidRPr="008E28F8" w14:paraId="7F7C9954" w14:textId="77777777" w:rsidTr="00A90F70">
        <w:tc>
          <w:tcPr>
            <w:tcW w:w="3021" w:type="dxa"/>
          </w:tcPr>
          <w:p w14:paraId="30D09936" w14:textId="77777777" w:rsidR="000221CB" w:rsidRPr="00A90F70" w:rsidRDefault="000221CB" w:rsidP="00CF2E8A">
            <w:pPr>
              <w:rPr>
                <w:b/>
                <w:bCs/>
                <w:sz w:val="18"/>
                <w:szCs w:val="18"/>
              </w:rPr>
            </w:pPr>
            <w:r w:rsidRPr="00A90F70">
              <w:rPr>
                <w:b/>
                <w:bCs/>
                <w:sz w:val="18"/>
                <w:szCs w:val="18"/>
              </w:rPr>
              <w:t>2021</w:t>
            </w:r>
          </w:p>
        </w:tc>
        <w:tc>
          <w:tcPr>
            <w:tcW w:w="3022" w:type="dxa"/>
          </w:tcPr>
          <w:p w14:paraId="4D92881B" w14:textId="77777777" w:rsidR="000221CB" w:rsidRPr="008E28F8" w:rsidRDefault="000221CB" w:rsidP="00CF2E8A">
            <w:pPr>
              <w:rPr>
                <w:sz w:val="18"/>
                <w:szCs w:val="18"/>
              </w:rPr>
            </w:pPr>
            <w:r>
              <w:rPr>
                <w:sz w:val="18"/>
                <w:szCs w:val="18"/>
              </w:rPr>
              <w:t>24</w:t>
            </w:r>
          </w:p>
        </w:tc>
        <w:tc>
          <w:tcPr>
            <w:tcW w:w="3022" w:type="dxa"/>
          </w:tcPr>
          <w:p w14:paraId="097C4556" w14:textId="77777777" w:rsidR="000221CB" w:rsidRPr="008E28F8" w:rsidRDefault="000221CB" w:rsidP="00CF2E8A">
            <w:pPr>
              <w:rPr>
                <w:sz w:val="18"/>
                <w:szCs w:val="18"/>
              </w:rPr>
            </w:pPr>
            <w:r>
              <w:rPr>
                <w:sz w:val="18"/>
                <w:szCs w:val="18"/>
              </w:rPr>
              <w:t>2</w:t>
            </w:r>
          </w:p>
        </w:tc>
      </w:tr>
      <w:tr w:rsidR="000221CB" w:rsidRPr="008E28F8" w14:paraId="537F9100" w14:textId="77777777" w:rsidTr="00A90F70">
        <w:tc>
          <w:tcPr>
            <w:tcW w:w="3021" w:type="dxa"/>
          </w:tcPr>
          <w:p w14:paraId="6A132858" w14:textId="77777777" w:rsidR="000221CB" w:rsidRPr="00A90F70" w:rsidRDefault="000221CB" w:rsidP="00CF2E8A">
            <w:pPr>
              <w:rPr>
                <w:b/>
                <w:bCs/>
                <w:sz w:val="18"/>
                <w:szCs w:val="18"/>
              </w:rPr>
            </w:pPr>
            <w:r w:rsidRPr="00A90F70">
              <w:rPr>
                <w:b/>
                <w:bCs/>
                <w:sz w:val="18"/>
                <w:szCs w:val="18"/>
              </w:rPr>
              <w:t>2022</w:t>
            </w:r>
          </w:p>
        </w:tc>
        <w:tc>
          <w:tcPr>
            <w:tcW w:w="3022" w:type="dxa"/>
          </w:tcPr>
          <w:p w14:paraId="7BFFA97B" w14:textId="77777777" w:rsidR="000221CB" w:rsidRPr="008E28F8" w:rsidRDefault="000221CB" w:rsidP="00CF2E8A">
            <w:pPr>
              <w:rPr>
                <w:sz w:val="18"/>
                <w:szCs w:val="18"/>
              </w:rPr>
            </w:pPr>
            <w:r>
              <w:rPr>
                <w:sz w:val="18"/>
                <w:szCs w:val="18"/>
              </w:rPr>
              <w:t>18</w:t>
            </w:r>
          </w:p>
        </w:tc>
        <w:tc>
          <w:tcPr>
            <w:tcW w:w="3022" w:type="dxa"/>
          </w:tcPr>
          <w:p w14:paraId="1A15DB02" w14:textId="77777777" w:rsidR="000221CB" w:rsidRPr="008E28F8" w:rsidRDefault="000221CB" w:rsidP="00CF2E8A">
            <w:pPr>
              <w:rPr>
                <w:sz w:val="18"/>
                <w:szCs w:val="18"/>
              </w:rPr>
            </w:pPr>
            <w:r>
              <w:rPr>
                <w:sz w:val="18"/>
                <w:szCs w:val="18"/>
              </w:rPr>
              <w:t>1</w:t>
            </w:r>
          </w:p>
        </w:tc>
      </w:tr>
      <w:tr w:rsidR="000221CB" w:rsidRPr="008E28F8" w14:paraId="1DAA5502" w14:textId="77777777" w:rsidTr="00A90F70">
        <w:tc>
          <w:tcPr>
            <w:tcW w:w="3021" w:type="dxa"/>
          </w:tcPr>
          <w:p w14:paraId="5FEA8C75" w14:textId="22803D9C" w:rsidR="000221CB" w:rsidRPr="00314A8D" w:rsidRDefault="00314A8D" w:rsidP="00CF2E8A">
            <w:pPr>
              <w:rPr>
                <w:b/>
                <w:bCs/>
                <w:sz w:val="18"/>
                <w:szCs w:val="18"/>
                <w:lang w:val="el-GR"/>
              </w:rPr>
            </w:pPr>
            <w:r>
              <w:rPr>
                <w:b/>
                <w:bCs/>
                <w:sz w:val="18"/>
                <w:szCs w:val="18"/>
                <w:lang w:val="el-GR"/>
              </w:rPr>
              <w:t>ΣΥΝΟΛΟ</w:t>
            </w:r>
          </w:p>
        </w:tc>
        <w:tc>
          <w:tcPr>
            <w:tcW w:w="3022" w:type="dxa"/>
          </w:tcPr>
          <w:p w14:paraId="441B4E14" w14:textId="77777777" w:rsidR="000221CB" w:rsidRPr="00A90F70" w:rsidRDefault="000221CB" w:rsidP="00CF2E8A">
            <w:pPr>
              <w:rPr>
                <w:b/>
                <w:bCs/>
                <w:sz w:val="18"/>
                <w:szCs w:val="18"/>
              </w:rPr>
            </w:pPr>
            <w:r w:rsidRPr="00A90F70">
              <w:rPr>
                <w:b/>
                <w:bCs/>
                <w:sz w:val="18"/>
                <w:szCs w:val="18"/>
              </w:rPr>
              <w:t>64</w:t>
            </w:r>
          </w:p>
        </w:tc>
        <w:tc>
          <w:tcPr>
            <w:tcW w:w="3022" w:type="dxa"/>
          </w:tcPr>
          <w:p w14:paraId="668F2C7B" w14:textId="77777777" w:rsidR="000221CB" w:rsidRPr="00A90F70" w:rsidRDefault="000221CB" w:rsidP="00CF2E8A">
            <w:pPr>
              <w:rPr>
                <w:b/>
                <w:bCs/>
                <w:sz w:val="18"/>
                <w:szCs w:val="18"/>
              </w:rPr>
            </w:pPr>
            <w:r w:rsidRPr="00A90F70">
              <w:rPr>
                <w:b/>
                <w:bCs/>
                <w:sz w:val="18"/>
                <w:szCs w:val="18"/>
              </w:rPr>
              <w:t>7</w:t>
            </w:r>
          </w:p>
        </w:tc>
      </w:tr>
    </w:tbl>
    <w:p w14:paraId="4B872AD4" w14:textId="309B0A11" w:rsidR="001D4A77" w:rsidRPr="00314A8D" w:rsidRDefault="001D4A77" w:rsidP="001D4A77">
      <w:pPr>
        <w:keepNext/>
        <w:spacing w:before="200"/>
        <w:rPr>
          <w:rFonts w:cstheme="minorHAnsi"/>
          <w:sz w:val="18"/>
          <w:szCs w:val="18"/>
          <w:lang w:val="el-GR"/>
        </w:rPr>
      </w:pPr>
      <w:r w:rsidRPr="00314A8D">
        <w:rPr>
          <w:rFonts w:cstheme="minorHAnsi"/>
          <w:sz w:val="18"/>
          <w:szCs w:val="18"/>
          <w:lang w:val="el-GR"/>
        </w:rPr>
        <w:t xml:space="preserve">* </w:t>
      </w:r>
      <w:r w:rsidR="00314A8D">
        <w:rPr>
          <w:rFonts w:cstheme="minorHAnsi"/>
          <w:sz w:val="18"/>
          <w:szCs w:val="18"/>
          <w:lang w:val="el-GR"/>
        </w:rPr>
        <w:t>Σημείωση</w:t>
      </w:r>
      <w:r w:rsidRPr="00314A8D">
        <w:rPr>
          <w:rFonts w:cstheme="minorHAnsi"/>
          <w:sz w:val="18"/>
          <w:szCs w:val="18"/>
          <w:lang w:val="el-GR"/>
        </w:rPr>
        <w:t xml:space="preserve">: </w:t>
      </w:r>
      <w:r w:rsidR="00314A8D">
        <w:rPr>
          <w:rFonts w:cstheme="minorHAnsi"/>
          <w:sz w:val="18"/>
          <w:szCs w:val="18"/>
          <w:lang w:val="el-GR"/>
        </w:rPr>
        <w:t>Τα</w:t>
      </w:r>
      <w:r w:rsidR="00314A8D" w:rsidRPr="00314A8D">
        <w:rPr>
          <w:rFonts w:cstheme="minorHAnsi"/>
          <w:sz w:val="18"/>
          <w:szCs w:val="18"/>
          <w:lang w:val="el-GR"/>
        </w:rPr>
        <w:t xml:space="preserve"> </w:t>
      </w:r>
      <w:r w:rsidR="00314A8D">
        <w:rPr>
          <w:rFonts w:cstheme="minorHAnsi"/>
          <w:sz w:val="18"/>
          <w:szCs w:val="18"/>
          <w:lang w:val="el-GR"/>
        </w:rPr>
        <w:t>μέτρα</w:t>
      </w:r>
      <w:r w:rsidR="00314A8D" w:rsidRPr="00314A8D">
        <w:rPr>
          <w:rFonts w:cstheme="minorHAnsi"/>
          <w:sz w:val="18"/>
          <w:szCs w:val="18"/>
          <w:lang w:val="el-GR"/>
        </w:rPr>
        <w:t xml:space="preserve"> </w:t>
      </w:r>
      <w:r w:rsidR="00314A8D">
        <w:rPr>
          <w:rFonts w:cstheme="minorHAnsi"/>
          <w:sz w:val="18"/>
          <w:szCs w:val="18"/>
          <w:lang w:val="el-GR"/>
        </w:rPr>
        <w:t>αναστολής</w:t>
      </w:r>
      <w:r w:rsidR="00A91228">
        <w:rPr>
          <w:rFonts w:cstheme="minorHAnsi"/>
          <w:sz w:val="18"/>
          <w:szCs w:val="18"/>
          <w:lang w:val="el-GR"/>
        </w:rPr>
        <w:t>,</w:t>
      </w:r>
      <w:r w:rsidR="00314A8D" w:rsidRPr="00314A8D">
        <w:rPr>
          <w:rFonts w:cstheme="minorHAnsi"/>
          <w:sz w:val="18"/>
          <w:szCs w:val="18"/>
          <w:lang w:val="el-GR"/>
        </w:rPr>
        <w:t xml:space="preserve"> </w:t>
      </w:r>
      <w:r w:rsidR="00314A8D">
        <w:rPr>
          <w:rFonts w:cstheme="minorHAnsi"/>
          <w:sz w:val="18"/>
          <w:szCs w:val="18"/>
          <w:lang w:val="el-GR"/>
        </w:rPr>
        <w:t>που</w:t>
      </w:r>
      <w:r w:rsidR="00314A8D" w:rsidRPr="00314A8D">
        <w:rPr>
          <w:rFonts w:cstheme="minorHAnsi"/>
          <w:sz w:val="18"/>
          <w:szCs w:val="18"/>
          <w:lang w:val="el-GR"/>
        </w:rPr>
        <w:t xml:space="preserve"> </w:t>
      </w:r>
      <w:r w:rsidR="00314A8D">
        <w:rPr>
          <w:rFonts w:cstheme="minorHAnsi"/>
          <w:sz w:val="18"/>
          <w:szCs w:val="18"/>
          <w:lang w:val="el-GR"/>
        </w:rPr>
        <w:t>στην</w:t>
      </w:r>
      <w:r w:rsidR="00314A8D" w:rsidRPr="00314A8D">
        <w:rPr>
          <w:rFonts w:cstheme="minorHAnsi"/>
          <w:sz w:val="18"/>
          <w:szCs w:val="18"/>
          <w:lang w:val="el-GR"/>
        </w:rPr>
        <w:t xml:space="preserve"> </w:t>
      </w:r>
      <w:r w:rsidR="00314A8D">
        <w:rPr>
          <w:rFonts w:cstheme="minorHAnsi"/>
          <w:sz w:val="18"/>
          <w:szCs w:val="18"/>
          <w:lang w:val="el-GR"/>
        </w:rPr>
        <w:t>ουσία</w:t>
      </w:r>
      <w:r w:rsidR="00314A8D" w:rsidRPr="00314A8D">
        <w:rPr>
          <w:rFonts w:cstheme="minorHAnsi"/>
          <w:sz w:val="18"/>
          <w:szCs w:val="18"/>
          <w:lang w:val="el-GR"/>
        </w:rPr>
        <w:t xml:space="preserve"> </w:t>
      </w:r>
      <w:r w:rsidR="00314A8D">
        <w:rPr>
          <w:rFonts w:cstheme="minorHAnsi"/>
          <w:sz w:val="18"/>
          <w:szCs w:val="18"/>
          <w:lang w:val="el-GR"/>
        </w:rPr>
        <w:t>είναι</w:t>
      </w:r>
      <w:r w:rsidR="00314A8D" w:rsidRPr="00314A8D">
        <w:rPr>
          <w:rFonts w:cstheme="minorHAnsi"/>
          <w:sz w:val="18"/>
          <w:szCs w:val="18"/>
          <w:lang w:val="el-GR"/>
        </w:rPr>
        <w:t xml:space="preserve"> </w:t>
      </w:r>
      <w:r w:rsidR="00314A8D">
        <w:rPr>
          <w:rFonts w:cstheme="minorHAnsi"/>
          <w:sz w:val="18"/>
          <w:szCs w:val="18"/>
          <w:lang w:val="el-GR"/>
        </w:rPr>
        <w:t>διοικητικά</w:t>
      </w:r>
      <w:r w:rsidR="00314A8D" w:rsidRPr="00314A8D">
        <w:rPr>
          <w:rFonts w:cstheme="minorHAnsi"/>
          <w:sz w:val="18"/>
          <w:szCs w:val="18"/>
          <w:lang w:val="el-GR"/>
        </w:rPr>
        <w:t xml:space="preserve"> </w:t>
      </w:r>
      <w:r w:rsidR="00314A8D">
        <w:rPr>
          <w:rFonts w:cstheme="minorHAnsi"/>
          <w:sz w:val="18"/>
          <w:szCs w:val="18"/>
          <w:lang w:val="el-GR"/>
        </w:rPr>
        <w:t>μέτρα</w:t>
      </w:r>
      <w:r w:rsidR="00A91228">
        <w:rPr>
          <w:rFonts w:cstheme="minorHAnsi"/>
          <w:sz w:val="18"/>
          <w:szCs w:val="18"/>
          <w:lang w:val="el-GR"/>
        </w:rPr>
        <w:t>,</w:t>
      </w:r>
      <w:r w:rsidRPr="00314A8D">
        <w:rPr>
          <w:rFonts w:cstheme="minorHAnsi"/>
          <w:sz w:val="18"/>
          <w:szCs w:val="18"/>
          <w:lang w:val="el-GR"/>
        </w:rPr>
        <w:t xml:space="preserve"> </w:t>
      </w:r>
      <w:r w:rsidR="00314A8D">
        <w:rPr>
          <w:rFonts w:cstheme="minorHAnsi"/>
          <w:sz w:val="18"/>
          <w:szCs w:val="18"/>
          <w:lang w:val="el-GR"/>
        </w:rPr>
        <w:t>εξασφαλίζουν</w:t>
      </w:r>
      <w:r w:rsidR="00314A8D" w:rsidRPr="00314A8D">
        <w:rPr>
          <w:rFonts w:cstheme="minorHAnsi"/>
          <w:sz w:val="18"/>
          <w:szCs w:val="18"/>
          <w:lang w:val="el-GR"/>
        </w:rPr>
        <w:t xml:space="preserve"> </w:t>
      </w:r>
      <w:r w:rsidR="00314A8D">
        <w:rPr>
          <w:rFonts w:cstheme="minorHAnsi"/>
          <w:sz w:val="18"/>
          <w:szCs w:val="18"/>
          <w:lang w:val="el-GR"/>
        </w:rPr>
        <w:t>ότι</w:t>
      </w:r>
      <w:r w:rsidRPr="00314A8D">
        <w:rPr>
          <w:rFonts w:cstheme="minorHAnsi"/>
          <w:sz w:val="18"/>
          <w:szCs w:val="18"/>
          <w:lang w:val="el-GR"/>
        </w:rPr>
        <w:t xml:space="preserve"> </w:t>
      </w:r>
      <w:r w:rsidR="00314A8D">
        <w:rPr>
          <w:rFonts w:cstheme="minorHAnsi"/>
          <w:sz w:val="18"/>
          <w:szCs w:val="18"/>
          <w:lang w:val="el-GR"/>
        </w:rPr>
        <w:t>λαμβάνονται</w:t>
      </w:r>
      <w:r w:rsidR="00314A8D" w:rsidRPr="00314A8D">
        <w:rPr>
          <w:rFonts w:cstheme="minorHAnsi"/>
          <w:sz w:val="18"/>
          <w:szCs w:val="18"/>
          <w:lang w:val="el-GR"/>
        </w:rPr>
        <w:t xml:space="preserve"> </w:t>
      </w:r>
      <w:r w:rsidR="00314A8D">
        <w:rPr>
          <w:rFonts w:cstheme="minorHAnsi"/>
          <w:sz w:val="18"/>
          <w:szCs w:val="18"/>
          <w:lang w:val="el-GR"/>
        </w:rPr>
        <w:t>προληπτικά</w:t>
      </w:r>
      <w:r w:rsidR="00314A8D" w:rsidRPr="00314A8D">
        <w:rPr>
          <w:rFonts w:cstheme="minorHAnsi"/>
          <w:sz w:val="18"/>
          <w:szCs w:val="18"/>
          <w:lang w:val="el-GR"/>
        </w:rPr>
        <w:t xml:space="preserve"> </w:t>
      </w:r>
      <w:r w:rsidR="00314A8D">
        <w:rPr>
          <w:rFonts w:cstheme="minorHAnsi"/>
          <w:sz w:val="18"/>
          <w:szCs w:val="18"/>
          <w:lang w:val="el-GR"/>
        </w:rPr>
        <w:t>μέτρα</w:t>
      </w:r>
      <w:r w:rsidR="00314A8D" w:rsidRPr="00314A8D">
        <w:rPr>
          <w:rFonts w:cstheme="minorHAnsi"/>
          <w:sz w:val="18"/>
          <w:szCs w:val="18"/>
          <w:lang w:val="el-GR"/>
        </w:rPr>
        <w:t xml:space="preserve"> </w:t>
      </w:r>
      <w:r w:rsidR="00314A8D">
        <w:rPr>
          <w:rFonts w:cstheme="minorHAnsi"/>
          <w:sz w:val="18"/>
          <w:szCs w:val="18"/>
          <w:lang w:val="el-GR"/>
        </w:rPr>
        <w:t>για</w:t>
      </w:r>
      <w:r w:rsidR="00314A8D" w:rsidRPr="00314A8D">
        <w:rPr>
          <w:rFonts w:cstheme="minorHAnsi"/>
          <w:sz w:val="18"/>
          <w:szCs w:val="18"/>
          <w:lang w:val="el-GR"/>
        </w:rPr>
        <w:t xml:space="preserve"> </w:t>
      </w:r>
      <w:r w:rsidR="00314A8D">
        <w:rPr>
          <w:rFonts w:cstheme="minorHAnsi"/>
          <w:sz w:val="18"/>
          <w:szCs w:val="18"/>
          <w:lang w:val="el-GR"/>
        </w:rPr>
        <w:t>να</w:t>
      </w:r>
      <w:r w:rsidR="00314A8D" w:rsidRPr="00314A8D">
        <w:rPr>
          <w:rFonts w:cstheme="minorHAnsi"/>
          <w:sz w:val="18"/>
          <w:szCs w:val="18"/>
          <w:lang w:val="el-GR"/>
        </w:rPr>
        <w:t xml:space="preserve"> </w:t>
      </w:r>
      <w:r w:rsidR="00314A8D">
        <w:rPr>
          <w:rFonts w:cstheme="minorHAnsi"/>
          <w:sz w:val="18"/>
          <w:szCs w:val="18"/>
          <w:lang w:val="el-GR"/>
        </w:rPr>
        <w:t xml:space="preserve">εξαιρεθεί οποιαδήποτε </w:t>
      </w:r>
      <w:r w:rsidR="00643665">
        <w:rPr>
          <w:rFonts w:cstheme="minorHAnsi"/>
          <w:sz w:val="18"/>
          <w:szCs w:val="18"/>
          <w:lang w:val="el-GR"/>
        </w:rPr>
        <w:t>παρέμβαση στην ανακριτική διαδικασία</w:t>
      </w:r>
      <w:r w:rsidRPr="00314A8D">
        <w:rPr>
          <w:rFonts w:cstheme="minorHAnsi"/>
          <w:sz w:val="18"/>
          <w:szCs w:val="18"/>
          <w:lang w:val="el-GR"/>
        </w:rPr>
        <w:t xml:space="preserve">. </w:t>
      </w:r>
    </w:p>
    <w:p w14:paraId="54F75284" w14:textId="77777777" w:rsidR="000221CB" w:rsidRPr="00314A8D" w:rsidRDefault="000221CB" w:rsidP="00A90F70">
      <w:pPr>
        <w:keepNext/>
        <w:jc w:val="center"/>
        <w:rPr>
          <w:rFonts w:cstheme="minorHAnsi"/>
          <w:i/>
          <w:iCs/>
          <w:color w:val="FF0000"/>
          <w:sz w:val="24"/>
          <w:szCs w:val="24"/>
          <w:lang w:val="el-GR"/>
        </w:rPr>
      </w:pPr>
    </w:p>
    <w:bookmarkEnd w:id="257"/>
    <w:p w14:paraId="7AA592F7" w14:textId="6D14883F" w:rsidR="00382CE6" w:rsidRPr="00811B1E" w:rsidRDefault="00643665" w:rsidP="00C359A0">
      <w:pPr>
        <w:keepNext/>
        <w:numPr>
          <w:ilvl w:val="0"/>
          <w:numId w:val="1"/>
        </w:numPr>
        <w:tabs>
          <w:tab w:val="left" w:pos="709"/>
        </w:tabs>
        <w:ind w:left="0" w:firstLine="0"/>
        <w:rPr>
          <w:rFonts w:ascii="Calibri" w:hAnsi="Calibri" w:cs="Calibri"/>
          <w:b/>
          <w:bCs/>
          <w:sz w:val="24"/>
          <w:szCs w:val="24"/>
          <w:lang w:val="el-GR"/>
        </w:rPr>
      </w:pPr>
      <w:r>
        <w:rPr>
          <w:rFonts w:ascii="Calibri" w:hAnsi="Calibri" w:cs="Calibri"/>
          <w:sz w:val="24"/>
          <w:szCs w:val="24"/>
          <w:lang w:val="el-GR"/>
        </w:rPr>
        <w:t>Η</w:t>
      </w:r>
      <w:r w:rsidR="00E51182" w:rsidRPr="00643665">
        <w:rPr>
          <w:rFonts w:ascii="Calibri" w:hAnsi="Calibri" w:cs="Calibri"/>
          <w:sz w:val="24"/>
          <w:szCs w:val="24"/>
          <w:lang w:val="el-GR"/>
        </w:rPr>
        <w:t xml:space="preserve"> </w:t>
      </w:r>
      <w:r w:rsidR="00E51182" w:rsidRPr="004E251E">
        <w:rPr>
          <w:rFonts w:ascii="Calibri" w:hAnsi="Calibri" w:cs="Calibri"/>
          <w:sz w:val="24"/>
          <w:szCs w:val="24"/>
        </w:rPr>
        <w:t>GET</w:t>
      </w:r>
      <w:r w:rsidR="00E51182" w:rsidRPr="00643665">
        <w:rPr>
          <w:rFonts w:ascii="Calibri" w:hAnsi="Calibri" w:cs="Calibri"/>
          <w:sz w:val="24"/>
          <w:szCs w:val="24"/>
          <w:lang w:val="el-GR"/>
        </w:rPr>
        <w:t xml:space="preserve"> </w:t>
      </w:r>
      <w:r>
        <w:rPr>
          <w:rFonts w:ascii="Calibri" w:hAnsi="Calibri" w:cs="Calibri"/>
          <w:sz w:val="24"/>
          <w:szCs w:val="24"/>
          <w:lang w:val="el-GR"/>
        </w:rPr>
        <w:t>σημειώνει</w:t>
      </w:r>
      <w:r w:rsidRPr="00643665">
        <w:rPr>
          <w:rFonts w:ascii="Calibri" w:hAnsi="Calibri" w:cs="Calibri"/>
          <w:sz w:val="24"/>
          <w:szCs w:val="24"/>
          <w:lang w:val="el-GR"/>
        </w:rPr>
        <w:t xml:space="preserve"> </w:t>
      </w:r>
      <w:r>
        <w:rPr>
          <w:rFonts w:ascii="Calibri" w:hAnsi="Calibri" w:cs="Calibri"/>
          <w:sz w:val="24"/>
          <w:szCs w:val="24"/>
          <w:lang w:val="el-GR"/>
        </w:rPr>
        <w:t>ότι</w:t>
      </w:r>
      <w:r w:rsidRPr="00643665">
        <w:rPr>
          <w:rFonts w:ascii="Calibri" w:hAnsi="Calibri" w:cs="Calibri"/>
          <w:sz w:val="24"/>
          <w:szCs w:val="24"/>
          <w:lang w:val="el-GR"/>
        </w:rPr>
        <w:t xml:space="preserve"> </w:t>
      </w:r>
      <w:r>
        <w:rPr>
          <w:rFonts w:ascii="Calibri" w:hAnsi="Calibri" w:cs="Calibri"/>
          <w:sz w:val="24"/>
          <w:szCs w:val="24"/>
          <w:lang w:val="el-GR"/>
        </w:rPr>
        <w:t>κάποιες</w:t>
      </w:r>
      <w:r w:rsidRPr="00643665">
        <w:rPr>
          <w:rFonts w:ascii="Calibri" w:hAnsi="Calibri" w:cs="Calibri"/>
          <w:sz w:val="24"/>
          <w:szCs w:val="24"/>
          <w:lang w:val="el-GR"/>
        </w:rPr>
        <w:t xml:space="preserve"> </w:t>
      </w:r>
      <w:r>
        <w:rPr>
          <w:rFonts w:ascii="Calibri" w:hAnsi="Calibri" w:cs="Calibri"/>
          <w:sz w:val="24"/>
          <w:szCs w:val="24"/>
          <w:lang w:val="el-GR"/>
        </w:rPr>
        <w:t>πειθαρχικές</w:t>
      </w:r>
      <w:r w:rsidRPr="00643665">
        <w:rPr>
          <w:rFonts w:ascii="Calibri" w:hAnsi="Calibri" w:cs="Calibri"/>
          <w:sz w:val="24"/>
          <w:szCs w:val="24"/>
          <w:lang w:val="el-GR"/>
        </w:rPr>
        <w:t xml:space="preserve"> </w:t>
      </w:r>
      <w:r>
        <w:rPr>
          <w:rFonts w:ascii="Calibri" w:hAnsi="Calibri" w:cs="Calibri"/>
          <w:sz w:val="24"/>
          <w:szCs w:val="24"/>
          <w:lang w:val="el-GR"/>
        </w:rPr>
        <w:t>διαδικασίες</w:t>
      </w:r>
      <w:r w:rsidR="00E51182" w:rsidRPr="00643665">
        <w:rPr>
          <w:rFonts w:ascii="Calibri" w:hAnsi="Calibri" w:cs="Calibri"/>
          <w:color w:val="000000"/>
          <w:sz w:val="24"/>
          <w:szCs w:val="24"/>
          <w:lang w:val="el-GR"/>
        </w:rPr>
        <w:t xml:space="preserve"> </w:t>
      </w:r>
      <w:r>
        <w:rPr>
          <w:rFonts w:ascii="Calibri" w:hAnsi="Calibri" w:cs="Calibri"/>
          <w:color w:val="000000"/>
          <w:sz w:val="24"/>
          <w:szCs w:val="24"/>
          <w:lang w:val="el-GR"/>
        </w:rPr>
        <w:t>μπορούν να διαρκέσουν πολύ</w:t>
      </w:r>
      <w:r w:rsidR="00E51182" w:rsidRPr="00643665">
        <w:rPr>
          <w:rFonts w:ascii="Calibri" w:hAnsi="Calibri" w:cs="Calibri"/>
          <w:color w:val="000000"/>
          <w:sz w:val="24"/>
          <w:szCs w:val="24"/>
          <w:lang w:val="el-GR"/>
        </w:rPr>
        <w:t xml:space="preserve"> (</w:t>
      </w:r>
      <w:r>
        <w:rPr>
          <w:rFonts w:ascii="Calibri" w:hAnsi="Calibri" w:cs="Calibri"/>
          <w:color w:val="000000"/>
          <w:sz w:val="24"/>
          <w:szCs w:val="24"/>
          <w:lang w:val="el-GR"/>
        </w:rPr>
        <w:t>μέχρι δύο χρόνια</w:t>
      </w:r>
      <w:r w:rsidR="00E51182" w:rsidRPr="00643665">
        <w:rPr>
          <w:rFonts w:ascii="Calibri" w:hAnsi="Calibri" w:cs="Calibri"/>
          <w:color w:val="000000"/>
          <w:sz w:val="24"/>
          <w:szCs w:val="24"/>
          <w:lang w:val="el-GR"/>
        </w:rPr>
        <w:t xml:space="preserve">). </w:t>
      </w:r>
      <w:r>
        <w:rPr>
          <w:rFonts w:ascii="Calibri" w:hAnsi="Calibri" w:cs="Calibri"/>
          <w:color w:val="000000"/>
          <w:sz w:val="24"/>
          <w:szCs w:val="24"/>
          <w:lang w:val="el-GR"/>
        </w:rPr>
        <w:t>Οι</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αρχές</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εξηγούν</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ότι</w:t>
      </w:r>
      <w:r w:rsidR="00DC0EED" w:rsidRPr="00643665">
        <w:rPr>
          <w:rFonts w:ascii="Calibri" w:hAnsi="Calibri" w:cs="Calibri"/>
          <w:color w:val="000000"/>
          <w:sz w:val="24"/>
          <w:szCs w:val="24"/>
          <w:lang w:val="el-GR"/>
        </w:rPr>
        <w:t xml:space="preserve"> </w:t>
      </w:r>
      <w:r>
        <w:rPr>
          <w:rFonts w:ascii="Calibri" w:hAnsi="Calibri" w:cs="Calibri"/>
          <w:color w:val="000000"/>
          <w:sz w:val="24"/>
          <w:szCs w:val="24"/>
          <w:lang w:val="el-GR"/>
        </w:rPr>
        <w:t>αυτό</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είναι</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λόγω</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του</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γεγονότος</w:t>
      </w:r>
      <w:r w:rsidR="00B52169" w:rsidRPr="00643665">
        <w:rPr>
          <w:rFonts w:ascii="Calibri" w:hAnsi="Calibri" w:cs="Calibri"/>
          <w:color w:val="000000"/>
          <w:sz w:val="24"/>
          <w:szCs w:val="24"/>
          <w:lang w:val="el-GR"/>
        </w:rPr>
        <w:t xml:space="preserve"> </w:t>
      </w:r>
      <w:r>
        <w:rPr>
          <w:rFonts w:ascii="Calibri" w:hAnsi="Calibri" w:cs="Calibri"/>
          <w:color w:val="000000"/>
          <w:sz w:val="24"/>
          <w:szCs w:val="24"/>
          <w:lang w:val="el-GR"/>
        </w:rPr>
        <w:t>ότι</w:t>
      </w:r>
      <w:r w:rsidR="00B52169" w:rsidRPr="00643665">
        <w:rPr>
          <w:rFonts w:ascii="Calibri" w:hAnsi="Calibri" w:cs="Calibri"/>
          <w:color w:val="000000"/>
          <w:sz w:val="24"/>
          <w:szCs w:val="24"/>
          <w:lang w:val="el-GR"/>
        </w:rPr>
        <w:t xml:space="preserve"> </w:t>
      </w:r>
      <w:r>
        <w:rPr>
          <w:rFonts w:ascii="Calibri" w:hAnsi="Calibri" w:cs="Calibri"/>
          <w:color w:val="000000"/>
          <w:sz w:val="24"/>
          <w:szCs w:val="24"/>
          <w:lang w:val="el-GR"/>
        </w:rPr>
        <w:t>αν</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και</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οι</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ποινικές</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και</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πειθαρχικές</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διαδικασίες</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μπορούν να τρέχουν παράλληλα</w:t>
      </w:r>
      <w:r w:rsidR="00E51182" w:rsidRPr="00643665">
        <w:rPr>
          <w:rFonts w:ascii="Calibri" w:hAnsi="Calibri" w:cs="Calibri"/>
          <w:color w:val="000000"/>
          <w:sz w:val="24"/>
          <w:szCs w:val="24"/>
          <w:lang w:val="el-GR"/>
        </w:rPr>
        <w:t xml:space="preserve">, </w:t>
      </w:r>
      <w:r>
        <w:rPr>
          <w:rFonts w:ascii="Calibri" w:hAnsi="Calibri" w:cs="Calibri"/>
          <w:color w:val="000000"/>
          <w:sz w:val="24"/>
          <w:szCs w:val="24"/>
          <w:lang w:val="el-GR"/>
        </w:rPr>
        <w:t>για να ληφθεί μια πειθαρχική απόφαση</w:t>
      </w:r>
      <w:r w:rsidR="00E51182" w:rsidRPr="00643665">
        <w:rPr>
          <w:rFonts w:ascii="Calibri" w:hAnsi="Calibri" w:cs="Calibri"/>
          <w:color w:val="000000"/>
          <w:sz w:val="24"/>
          <w:szCs w:val="24"/>
          <w:lang w:val="el-GR"/>
        </w:rPr>
        <w:t xml:space="preserve">, </w:t>
      </w:r>
      <w:r>
        <w:rPr>
          <w:rFonts w:ascii="Calibri" w:hAnsi="Calibri" w:cs="Calibri"/>
          <w:color w:val="000000"/>
          <w:sz w:val="24"/>
          <w:szCs w:val="24"/>
          <w:lang w:val="el-GR"/>
        </w:rPr>
        <w:t>πρέπει να ολοκληρωθεί η ποινική διαδικασία</w:t>
      </w:r>
      <w:r w:rsidR="00E51182" w:rsidRPr="00643665">
        <w:rPr>
          <w:rFonts w:ascii="Calibri" w:hAnsi="Calibri" w:cs="Calibri"/>
          <w:color w:val="000000"/>
          <w:sz w:val="24"/>
          <w:szCs w:val="24"/>
          <w:lang w:val="el-GR"/>
        </w:rPr>
        <w:t xml:space="preserve">, </w:t>
      </w:r>
      <w:r>
        <w:rPr>
          <w:rFonts w:ascii="Calibri" w:hAnsi="Calibri" w:cs="Calibri"/>
          <w:color w:val="000000"/>
          <w:sz w:val="24"/>
          <w:szCs w:val="24"/>
          <w:lang w:val="el-GR"/>
        </w:rPr>
        <w:t>που έχει ως αποτέλεσμα την καθυστέρηση αυτή</w:t>
      </w:r>
      <w:r w:rsidR="00E51182" w:rsidRPr="00643665">
        <w:rPr>
          <w:rFonts w:ascii="Calibri" w:hAnsi="Calibri" w:cs="Calibri"/>
          <w:color w:val="000000"/>
          <w:sz w:val="24"/>
          <w:szCs w:val="24"/>
          <w:lang w:val="el-GR"/>
        </w:rPr>
        <w:t xml:space="preserve">. </w:t>
      </w:r>
      <w:r>
        <w:rPr>
          <w:rFonts w:ascii="Calibri" w:hAnsi="Calibri" w:cs="Calibri"/>
          <w:color w:val="000000"/>
          <w:sz w:val="24"/>
          <w:szCs w:val="24"/>
          <w:lang w:val="el-GR"/>
        </w:rPr>
        <w:t>Εκφράσ</w:t>
      </w:r>
      <w:r w:rsidR="00A91228">
        <w:rPr>
          <w:rFonts w:ascii="Calibri" w:hAnsi="Calibri" w:cs="Calibri"/>
          <w:color w:val="000000"/>
          <w:sz w:val="24"/>
          <w:szCs w:val="24"/>
          <w:lang w:val="el-GR"/>
        </w:rPr>
        <w:t>θ</w:t>
      </w:r>
      <w:r>
        <w:rPr>
          <w:rFonts w:ascii="Calibri" w:hAnsi="Calibri" w:cs="Calibri"/>
          <w:color w:val="000000"/>
          <w:sz w:val="24"/>
          <w:szCs w:val="24"/>
          <w:lang w:val="el-GR"/>
        </w:rPr>
        <w:t>ηκαν</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επίσης</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ανησυχίες</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επί</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τόπου</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σε</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σχέση</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με</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τις</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πειθαρχικές</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υποθέσεις</w:t>
      </w:r>
      <w:r w:rsidR="00E51182" w:rsidRPr="00643665">
        <w:rPr>
          <w:rFonts w:ascii="Calibri" w:hAnsi="Calibri" w:cs="Calibri"/>
          <w:color w:val="000000"/>
          <w:sz w:val="24"/>
          <w:szCs w:val="24"/>
          <w:lang w:val="el-GR"/>
        </w:rPr>
        <w:t xml:space="preserve"> </w:t>
      </w:r>
      <w:r>
        <w:rPr>
          <w:rFonts w:ascii="Calibri" w:hAnsi="Calibri" w:cs="Calibri"/>
          <w:color w:val="000000"/>
          <w:sz w:val="24"/>
          <w:szCs w:val="24"/>
          <w:lang w:val="el-GR"/>
        </w:rPr>
        <w:t>για</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το</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ότι</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δεν</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ήταν</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δυνατό</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να</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χρησιμοποιηθούν</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τα</w:t>
      </w:r>
      <w:r w:rsidRPr="00643665">
        <w:rPr>
          <w:rFonts w:ascii="Calibri" w:hAnsi="Calibri" w:cs="Calibri"/>
          <w:color w:val="000000"/>
          <w:sz w:val="24"/>
          <w:szCs w:val="24"/>
          <w:lang w:val="el-GR"/>
        </w:rPr>
        <w:t xml:space="preserve"> </w:t>
      </w:r>
      <w:r>
        <w:rPr>
          <w:rFonts w:ascii="Calibri" w:hAnsi="Calibri" w:cs="Calibri"/>
          <w:color w:val="000000"/>
          <w:sz w:val="24"/>
          <w:szCs w:val="24"/>
          <w:lang w:val="el-GR"/>
        </w:rPr>
        <w:t>αποδεικτικά στοιχεία</w:t>
      </w:r>
      <w:r w:rsidR="00E51182" w:rsidRPr="00643665">
        <w:rPr>
          <w:rFonts w:ascii="Calibri" w:hAnsi="Calibri" w:cs="Calibri"/>
          <w:color w:val="000000"/>
          <w:sz w:val="24"/>
          <w:szCs w:val="24"/>
          <w:lang w:val="el-GR"/>
        </w:rPr>
        <w:t xml:space="preserve"> </w:t>
      </w:r>
      <w:r>
        <w:rPr>
          <w:rFonts w:ascii="Calibri" w:hAnsi="Calibri" w:cs="Calibri"/>
          <w:color w:val="000000"/>
          <w:sz w:val="24"/>
          <w:szCs w:val="24"/>
          <w:lang w:val="el-GR"/>
        </w:rPr>
        <w:t>που συγκεντρώθηκαν από την μονάδα εσωτερικού ελέγχου</w:t>
      </w:r>
      <w:r w:rsidR="00E51182" w:rsidRPr="00643665">
        <w:rPr>
          <w:rFonts w:ascii="Calibri" w:hAnsi="Calibri" w:cs="Calibri"/>
          <w:color w:val="000000"/>
          <w:sz w:val="24"/>
          <w:szCs w:val="24"/>
          <w:lang w:val="el-GR"/>
        </w:rPr>
        <w:t xml:space="preserve"> (</w:t>
      </w:r>
      <w:r w:rsidR="00E51182" w:rsidRPr="004E251E">
        <w:rPr>
          <w:rFonts w:ascii="Calibri" w:hAnsi="Calibri" w:cs="Calibri"/>
          <w:sz w:val="24"/>
          <w:szCs w:val="24"/>
        </w:rPr>
        <w:t>P</w:t>
      </w:r>
      <w:r w:rsidR="00E51182" w:rsidRPr="00643665">
        <w:rPr>
          <w:rFonts w:ascii="Calibri" w:hAnsi="Calibri" w:cs="Calibri"/>
          <w:sz w:val="24"/>
          <w:szCs w:val="24"/>
          <w:lang w:val="el-GR"/>
        </w:rPr>
        <w:t>.</w:t>
      </w:r>
      <w:r w:rsidR="00E51182" w:rsidRPr="004E251E">
        <w:rPr>
          <w:rFonts w:ascii="Calibri" w:hAnsi="Calibri" w:cs="Calibri"/>
          <w:sz w:val="24"/>
          <w:szCs w:val="24"/>
        </w:rPr>
        <w:t>I</w:t>
      </w:r>
      <w:r w:rsidR="00E51182" w:rsidRPr="00643665">
        <w:rPr>
          <w:rFonts w:ascii="Calibri" w:hAnsi="Calibri" w:cs="Calibri"/>
          <w:sz w:val="24"/>
          <w:szCs w:val="24"/>
          <w:lang w:val="el-GR"/>
        </w:rPr>
        <w:t>.</w:t>
      </w:r>
      <w:r w:rsidR="00E51182" w:rsidRPr="004E251E">
        <w:rPr>
          <w:rFonts w:ascii="Calibri" w:hAnsi="Calibri" w:cs="Calibri"/>
          <w:sz w:val="24"/>
          <w:szCs w:val="24"/>
        </w:rPr>
        <w:t>A</w:t>
      </w:r>
      <w:r w:rsidR="00E51182" w:rsidRPr="00643665">
        <w:rPr>
          <w:rFonts w:ascii="Calibri" w:hAnsi="Calibri" w:cs="Calibri"/>
          <w:sz w:val="24"/>
          <w:szCs w:val="24"/>
          <w:lang w:val="el-GR"/>
        </w:rPr>
        <w:t>.</w:t>
      </w:r>
      <w:r w:rsidR="00E51182" w:rsidRPr="004E251E">
        <w:rPr>
          <w:rFonts w:ascii="Calibri" w:hAnsi="Calibri" w:cs="Calibri"/>
          <w:sz w:val="24"/>
          <w:szCs w:val="24"/>
        </w:rPr>
        <w:t>S</w:t>
      </w:r>
      <w:r w:rsidR="00E51182" w:rsidRPr="00643665">
        <w:rPr>
          <w:rFonts w:ascii="Calibri" w:hAnsi="Calibri" w:cs="Calibri"/>
          <w:sz w:val="24"/>
          <w:szCs w:val="24"/>
          <w:lang w:val="el-GR"/>
        </w:rPr>
        <w:t>.</w:t>
      </w:r>
      <w:r w:rsidR="00E51182" w:rsidRPr="00643665">
        <w:rPr>
          <w:rFonts w:ascii="Calibri" w:hAnsi="Calibri" w:cs="Calibri"/>
          <w:color w:val="000000"/>
          <w:sz w:val="24"/>
          <w:szCs w:val="24"/>
          <w:lang w:val="el-GR"/>
        </w:rPr>
        <w:t xml:space="preserve">) </w:t>
      </w:r>
      <w:r>
        <w:rPr>
          <w:rFonts w:ascii="Calibri" w:hAnsi="Calibri" w:cs="Calibri"/>
          <w:color w:val="000000"/>
          <w:sz w:val="24"/>
          <w:szCs w:val="24"/>
          <w:lang w:val="el-GR"/>
        </w:rPr>
        <w:t>στην πορεία των ανακρίσεων</w:t>
      </w:r>
      <w:r w:rsidR="00811B1E">
        <w:rPr>
          <w:rFonts w:ascii="Calibri" w:hAnsi="Calibri" w:cs="Calibri"/>
          <w:color w:val="000000"/>
          <w:sz w:val="24"/>
          <w:szCs w:val="24"/>
          <w:lang w:val="el-GR"/>
        </w:rPr>
        <w:t xml:space="preserve"> της.</w:t>
      </w:r>
      <w:r w:rsidR="00C359A0" w:rsidRPr="00643665">
        <w:rPr>
          <w:rFonts w:ascii="Calibri" w:hAnsi="Calibri" w:cs="Calibri"/>
          <w:color w:val="000000"/>
          <w:sz w:val="24"/>
          <w:szCs w:val="24"/>
          <w:lang w:val="el-GR"/>
        </w:rPr>
        <w:t xml:space="preserve"> </w:t>
      </w:r>
      <w:r w:rsidR="00811B1E">
        <w:rPr>
          <w:rFonts w:ascii="Calibri" w:hAnsi="Calibri" w:cs="Calibri"/>
          <w:color w:val="000000"/>
          <w:sz w:val="24"/>
          <w:szCs w:val="24"/>
          <w:lang w:val="el-GR"/>
        </w:rPr>
        <w:t>Αυτή</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είναι</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ξεκάθαρα</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μια</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χαμένη</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ευκαιρία</w:t>
      </w:r>
      <w:r w:rsidR="00E51182" w:rsidRPr="00BC1783">
        <w:rPr>
          <w:rFonts w:ascii="Calibri" w:hAnsi="Calibri" w:cs="Calibri"/>
          <w:color w:val="000000"/>
          <w:sz w:val="24"/>
          <w:szCs w:val="24"/>
          <w:lang w:val="el-GR"/>
        </w:rPr>
        <w:t>.</w:t>
      </w:r>
      <w:r w:rsidR="00C359A0"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Επιπλέον</w:t>
      </w:r>
      <w:r w:rsidR="009B4449"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θα</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μπορούσε</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να</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αναπτυχθεί</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μια</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πιο</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συστηματική</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σε</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αρχή</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προσέγγιση</w:t>
      </w:r>
      <w:r w:rsidR="00A90F70" w:rsidRPr="00BC1783">
        <w:rPr>
          <w:rFonts w:ascii="Calibri" w:hAnsi="Calibri" w:cs="Calibri"/>
          <w:color w:val="000000"/>
          <w:sz w:val="24"/>
          <w:szCs w:val="24"/>
          <w:lang w:val="el-GR"/>
        </w:rPr>
        <w:t>:</w:t>
      </w:r>
      <w:r w:rsidR="009B4449"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πειθαρχικές</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επιτροπές</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συγκροτούνται</w:t>
      </w:r>
      <w:r w:rsidR="009B4449" w:rsidRPr="00BC1783">
        <w:rPr>
          <w:rFonts w:ascii="Calibri" w:hAnsi="Calibri" w:cs="Calibri"/>
          <w:color w:val="000000"/>
          <w:sz w:val="24"/>
          <w:szCs w:val="24"/>
          <w:lang w:val="el-GR"/>
        </w:rPr>
        <w:t xml:space="preserve"> </w:t>
      </w:r>
      <w:r w:rsidR="009B4449" w:rsidRPr="004E251E">
        <w:rPr>
          <w:rFonts w:ascii="Calibri" w:hAnsi="Calibri" w:cs="Calibri"/>
          <w:color w:val="000000"/>
          <w:sz w:val="24"/>
          <w:szCs w:val="24"/>
        </w:rPr>
        <w:t>ad</w:t>
      </w:r>
      <w:r w:rsidR="00EC11BF" w:rsidRPr="00BC1783">
        <w:rPr>
          <w:rFonts w:ascii="Calibri" w:hAnsi="Calibri" w:cs="Calibri"/>
          <w:color w:val="000000"/>
          <w:sz w:val="24"/>
          <w:szCs w:val="24"/>
          <w:lang w:val="el-GR"/>
        </w:rPr>
        <w:t xml:space="preserve"> </w:t>
      </w:r>
      <w:r w:rsidR="009B4449" w:rsidRPr="004E251E">
        <w:rPr>
          <w:rFonts w:ascii="Calibri" w:hAnsi="Calibri" w:cs="Calibri"/>
          <w:color w:val="000000"/>
          <w:sz w:val="24"/>
          <w:szCs w:val="24"/>
        </w:rPr>
        <w:t>hoc</w:t>
      </w:r>
      <w:r w:rsidR="00E32602"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για</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ανώτερους</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αξιωματούχους</w:t>
      </w:r>
      <w:r w:rsidR="00E32602"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ή</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σε</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διετή</w:t>
      </w:r>
      <w:r w:rsidR="00E32602"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πιθανώς</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ανανεώσιμη</w:t>
      </w:r>
      <w:r w:rsidR="00E32602"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βάση</w:t>
      </w:r>
      <w:r w:rsidR="00E32602"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για</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αξιωματούχους</w:t>
      </w:r>
      <w:r w:rsidR="00811B1E" w:rsidRPr="00BC1783">
        <w:rPr>
          <w:rFonts w:ascii="Calibri" w:hAnsi="Calibri" w:cs="Calibri"/>
          <w:color w:val="000000"/>
          <w:sz w:val="24"/>
          <w:szCs w:val="24"/>
          <w:lang w:val="el-GR"/>
        </w:rPr>
        <w:t xml:space="preserve"> </w:t>
      </w:r>
      <w:r w:rsidR="002E5EC0">
        <w:rPr>
          <w:rFonts w:ascii="Calibri" w:hAnsi="Calibri" w:cs="Calibri"/>
          <w:color w:val="000000"/>
          <w:sz w:val="24"/>
          <w:szCs w:val="24"/>
          <w:lang w:val="el-GR"/>
        </w:rPr>
        <w:lastRenderedPageBreak/>
        <w:t>χαμηλότερων</w:t>
      </w:r>
      <w:r w:rsidR="00811B1E"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βαθμών</w:t>
      </w:r>
      <w:r w:rsidR="00811B1E" w:rsidRPr="00BC1783">
        <w:rPr>
          <w:rFonts w:ascii="Calibri" w:hAnsi="Calibri" w:cs="Calibri"/>
          <w:color w:val="000000"/>
          <w:sz w:val="24"/>
          <w:szCs w:val="24"/>
          <w:lang w:val="el-GR"/>
        </w:rPr>
        <w:t>.</w:t>
      </w:r>
      <w:r w:rsidR="009B4449" w:rsidRPr="00BC1783">
        <w:rPr>
          <w:rFonts w:ascii="Calibri" w:hAnsi="Calibri" w:cs="Calibri"/>
          <w:color w:val="000000"/>
          <w:sz w:val="24"/>
          <w:szCs w:val="24"/>
          <w:lang w:val="el-GR"/>
        </w:rPr>
        <w:t xml:space="preserve"> </w:t>
      </w:r>
      <w:r w:rsidR="00811B1E">
        <w:rPr>
          <w:rFonts w:ascii="Calibri" w:hAnsi="Calibri" w:cs="Calibri"/>
          <w:color w:val="000000"/>
          <w:sz w:val="24"/>
          <w:szCs w:val="24"/>
          <w:lang w:val="el-GR"/>
        </w:rPr>
        <w:t>Αυτό</w:t>
      </w:r>
      <w:r w:rsidR="00811B1E" w:rsidRPr="00811B1E">
        <w:rPr>
          <w:rFonts w:ascii="Calibri" w:hAnsi="Calibri" w:cs="Calibri"/>
          <w:color w:val="000000"/>
          <w:sz w:val="24"/>
          <w:szCs w:val="24"/>
          <w:lang w:val="el-GR"/>
        </w:rPr>
        <w:t xml:space="preserve">, </w:t>
      </w:r>
      <w:r w:rsidR="00811B1E">
        <w:rPr>
          <w:rFonts w:ascii="Calibri" w:hAnsi="Calibri" w:cs="Calibri"/>
          <w:color w:val="000000"/>
          <w:sz w:val="24"/>
          <w:szCs w:val="24"/>
          <w:lang w:val="el-GR"/>
        </w:rPr>
        <w:t>στην</w:t>
      </w:r>
      <w:r w:rsidR="00811B1E" w:rsidRPr="00811B1E">
        <w:rPr>
          <w:rFonts w:ascii="Calibri" w:hAnsi="Calibri" w:cs="Calibri"/>
          <w:color w:val="000000"/>
          <w:sz w:val="24"/>
          <w:szCs w:val="24"/>
          <w:lang w:val="el-GR"/>
        </w:rPr>
        <w:t xml:space="preserve"> </w:t>
      </w:r>
      <w:r w:rsidR="00811B1E">
        <w:rPr>
          <w:rFonts w:ascii="Calibri" w:hAnsi="Calibri" w:cs="Calibri"/>
          <w:color w:val="000000"/>
          <w:sz w:val="24"/>
          <w:szCs w:val="24"/>
          <w:lang w:val="el-GR"/>
        </w:rPr>
        <w:t>σειρά</w:t>
      </w:r>
      <w:r w:rsidR="00811B1E" w:rsidRPr="00811B1E">
        <w:rPr>
          <w:rFonts w:ascii="Calibri" w:hAnsi="Calibri" w:cs="Calibri"/>
          <w:color w:val="000000"/>
          <w:sz w:val="24"/>
          <w:szCs w:val="24"/>
          <w:lang w:val="el-GR"/>
        </w:rPr>
        <w:t xml:space="preserve"> </w:t>
      </w:r>
      <w:r w:rsidR="00811B1E">
        <w:rPr>
          <w:rFonts w:ascii="Calibri" w:hAnsi="Calibri" w:cs="Calibri"/>
          <w:color w:val="000000"/>
          <w:sz w:val="24"/>
          <w:szCs w:val="24"/>
          <w:lang w:val="el-GR"/>
        </w:rPr>
        <w:t>του</w:t>
      </w:r>
      <w:r w:rsidR="00811B1E" w:rsidRPr="00811B1E">
        <w:rPr>
          <w:rFonts w:ascii="Calibri" w:hAnsi="Calibri" w:cs="Calibri"/>
          <w:color w:val="000000"/>
          <w:sz w:val="24"/>
          <w:szCs w:val="24"/>
          <w:lang w:val="el-GR"/>
        </w:rPr>
        <w:t>,</w:t>
      </w:r>
      <w:r w:rsidR="009B4449" w:rsidRPr="00811B1E">
        <w:rPr>
          <w:rFonts w:ascii="Calibri" w:hAnsi="Calibri" w:cs="Calibri"/>
          <w:color w:val="000000"/>
          <w:sz w:val="24"/>
          <w:szCs w:val="24"/>
          <w:lang w:val="el-GR"/>
        </w:rPr>
        <w:t xml:space="preserve"> </w:t>
      </w:r>
      <w:r w:rsidR="00811B1E">
        <w:rPr>
          <w:rFonts w:ascii="Calibri" w:hAnsi="Calibri" w:cs="Calibri"/>
          <w:color w:val="000000"/>
          <w:sz w:val="24"/>
          <w:szCs w:val="24"/>
          <w:lang w:val="el-GR"/>
        </w:rPr>
        <w:t>μπορεί</w:t>
      </w:r>
      <w:r w:rsidR="00811B1E" w:rsidRPr="00811B1E">
        <w:rPr>
          <w:rFonts w:ascii="Calibri" w:hAnsi="Calibri" w:cs="Calibri"/>
          <w:color w:val="000000"/>
          <w:sz w:val="24"/>
          <w:szCs w:val="24"/>
          <w:lang w:val="el-GR"/>
        </w:rPr>
        <w:t xml:space="preserve"> </w:t>
      </w:r>
      <w:r w:rsidR="00811B1E">
        <w:rPr>
          <w:rFonts w:ascii="Calibri" w:hAnsi="Calibri" w:cs="Calibri"/>
          <w:color w:val="000000"/>
          <w:sz w:val="24"/>
          <w:szCs w:val="24"/>
          <w:lang w:val="el-GR"/>
        </w:rPr>
        <w:t>να</w:t>
      </w:r>
      <w:r w:rsidR="00811B1E" w:rsidRPr="00811B1E">
        <w:rPr>
          <w:rFonts w:ascii="Calibri" w:hAnsi="Calibri" w:cs="Calibri"/>
          <w:color w:val="000000"/>
          <w:sz w:val="24"/>
          <w:szCs w:val="24"/>
          <w:lang w:val="el-GR"/>
        </w:rPr>
        <w:t xml:space="preserve"> </w:t>
      </w:r>
      <w:r w:rsidR="00811B1E">
        <w:rPr>
          <w:rFonts w:ascii="Calibri" w:hAnsi="Calibri" w:cs="Calibri"/>
          <w:color w:val="000000"/>
          <w:sz w:val="24"/>
          <w:szCs w:val="24"/>
          <w:lang w:val="el-GR"/>
        </w:rPr>
        <w:t>οδηγήσει</w:t>
      </w:r>
      <w:r w:rsidR="00811B1E" w:rsidRPr="00811B1E">
        <w:rPr>
          <w:rFonts w:ascii="Calibri" w:hAnsi="Calibri" w:cs="Calibri"/>
          <w:color w:val="000000"/>
          <w:sz w:val="24"/>
          <w:szCs w:val="24"/>
          <w:lang w:val="el-GR"/>
        </w:rPr>
        <w:t xml:space="preserve"> </w:t>
      </w:r>
      <w:r w:rsidR="00811B1E">
        <w:rPr>
          <w:rFonts w:ascii="Calibri" w:hAnsi="Calibri" w:cs="Calibri"/>
          <w:color w:val="000000"/>
          <w:sz w:val="24"/>
          <w:szCs w:val="24"/>
          <w:lang w:val="el-GR"/>
        </w:rPr>
        <w:t>σε</w:t>
      </w:r>
      <w:r w:rsidR="00811B1E" w:rsidRPr="00811B1E">
        <w:rPr>
          <w:rFonts w:ascii="Calibri" w:hAnsi="Calibri" w:cs="Calibri"/>
          <w:color w:val="000000"/>
          <w:sz w:val="24"/>
          <w:szCs w:val="24"/>
          <w:lang w:val="el-GR"/>
        </w:rPr>
        <w:t xml:space="preserve"> </w:t>
      </w:r>
      <w:r w:rsidR="00811B1E">
        <w:rPr>
          <w:rFonts w:ascii="Calibri" w:hAnsi="Calibri" w:cs="Calibri"/>
          <w:color w:val="000000"/>
          <w:sz w:val="24"/>
          <w:szCs w:val="24"/>
          <w:lang w:val="el-GR"/>
        </w:rPr>
        <w:t>ασυνεπής</w:t>
      </w:r>
      <w:r w:rsidR="00811B1E" w:rsidRPr="00811B1E">
        <w:rPr>
          <w:rFonts w:ascii="Calibri" w:hAnsi="Calibri" w:cs="Calibri"/>
          <w:color w:val="000000"/>
          <w:sz w:val="24"/>
          <w:szCs w:val="24"/>
          <w:lang w:val="el-GR"/>
        </w:rPr>
        <w:t xml:space="preserve"> </w:t>
      </w:r>
      <w:r w:rsidR="00811B1E">
        <w:rPr>
          <w:rFonts w:ascii="Calibri" w:hAnsi="Calibri" w:cs="Calibri"/>
          <w:color w:val="000000"/>
          <w:sz w:val="24"/>
          <w:szCs w:val="24"/>
          <w:lang w:val="el-GR"/>
        </w:rPr>
        <w:t>πρακτική</w:t>
      </w:r>
      <w:r w:rsidR="009B4449" w:rsidRPr="00811B1E">
        <w:rPr>
          <w:rFonts w:ascii="Calibri" w:hAnsi="Calibri" w:cs="Calibri"/>
          <w:color w:val="000000"/>
          <w:sz w:val="24"/>
          <w:szCs w:val="24"/>
          <w:lang w:val="el-GR"/>
        </w:rPr>
        <w:t xml:space="preserve">, </w:t>
      </w:r>
      <w:r w:rsidR="00811B1E">
        <w:rPr>
          <w:rFonts w:ascii="Calibri" w:hAnsi="Calibri" w:cs="Calibri"/>
          <w:color w:val="000000"/>
          <w:sz w:val="24"/>
          <w:szCs w:val="24"/>
          <w:lang w:val="el-GR"/>
        </w:rPr>
        <w:t>συμπεριλαμβανομένων όσον αφορά τις κυρώσεις που εφαρμόζονται</w:t>
      </w:r>
      <w:r w:rsidR="009B4449" w:rsidRPr="00811B1E">
        <w:rPr>
          <w:rFonts w:ascii="Calibri" w:hAnsi="Calibri" w:cs="Calibri"/>
          <w:color w:val="000000"/>
          <w:sz w:val="24"/>
          <w:szCs w:val="24"/>
          <w:lang w:val="el-GR"/>
        </w:rPr>
        <w:t xml:space="preserve">. </w:t>
      </w:r>
    </w:p>
    <w:p w14:paraId="5BC61E78" w14:textId="77777777" w:rsidR="00382CE6" w:rsidRPr="00811B1E" w:rsidRDefault="00382CE6" w:rsidP="00382CE6">
      <w:pPr>
        <w:keepNext/>
        <w:tabs>
          <w:tab w:val="left" w:pos="709"/>
        </w:tabs>
        <w:rPr>
          <w:rFonts w:ascii="Calibri" w:hAnsi="Calibri" w:cs="Calibri"/>
          <w:b/>
          <w:bCs/>
          <w:sz w:val="24"/>
          <w:szCs w:val="24"/>
          <w:lang w:val="el-GR"/>
        </w:rPr>
      </w:pPr>
    </w:p>
    <w:p w14:paraId="5DF9139F" w14:textId="2CD54F5E" w:rsidR="00E51182" w:rsidRPr="000965AD" w:rsidRDefault="00811B1E" w:rsidP="00C359A0">
      <w:pPr>
        <w:keepNext/>
        <w:numPr>
          <w:ilvl w:val="0"/>
          <w:numId w:val="1"/>
        </w:numPr>
        <w:tabs>
          <w:tab w:val="left" w:pos="709"/>
        </w:tabs>
        <w:ind w:left="0" w:firstLine="0"/>
        <w:rPr>
          <w:rFonts w:ascii="Calibri" w:hAnsi="Calibri" w:cs="Calibri"/>
          <w:b/>
          <w:bCs/>
          <w:sz w:val="24"/>
          <w:szCs w:val="24"/>
          <w:lang w:val="el-GR"/>
        </w:rPr>
      </w:pPr>
      <w:r>
        <w:rPr>
          <w:rFonts w:ascii="Calibri" w:hAnsi="Calibri" w:cs="Calibri"/>
          <w:color w:val="000000"/>
          <w:sz w:val="24"/>
          <w:szCs w:val="24"/>
          <w:lang w:val="el-GR"/>
        </w:rPr>
        <w:t>Η</w:t>
      </w:r>
      <w:r w:rsidR="00C359A0" w:rsidRPr="00811B1E">
        <w:rPr>
          <w:rFonts w:ascii="Calibri" w:hAnsi="Calibri" w:cs="Calibri"/>
          <w:color w:val="000000"/>
          <w:sz w:val="24"/>
          <w:szCs w:val="24"/>
          <w:lang w:val="el-GR"/>
        </w:rPr>
        <w:t xml:space="preserve"> </w:t>
      </w:r>
      <w:r w:rsidR="00C359A0" w:rsidRPr="004E251E">
        <w:rPr>
          <w:rFonts w:ascii="Calibri" w:hAnsi="Calibri" w:cs="Calibri"/>
          <w:color w:val="000000"/>
          <w:sz w:val="24"/>
          <w:szCs w:val="24"/>
        </w:rPr>
        <w:t>GET</w:t>
      </w:r>
      <w:r w:rsidR="00C359A0" w:rsidRPr="00811B1E">
        <w:rPr>
          <w:rFonts w:ascii="Calibri" w:hAnsi="Calibri" w:cs="Calibri"/>
          <w:color w:val="000000"/>
          <w:sz w:val="24"/>
          <w:szCs w:val="24"/>
          <w:lang w:val="el-GR"/>
        </w:rPr>
        <w:t xml:space="preserve"> </w:t>
      </w:r>
      <w:r>
        <w:rPr>
          <w:rFonts w:ascii="Calibri" w:hAnsi="Calibri" w:cs="Calibri"/>
          <w:color w:val="000000"/>
          <w:sz w:val="24"/>
          <w:szCs w:val="24"/>
          <w:lang w:val="el-GR"/>
        </w:rPr>
        <w:t>είναι</w:t>
      </w:r>
      <w:r w:rsidRPr="00811B1E">
        <w:rPr>
          <w:rFonts w:ascii="Calibri" w:hAnsi="Calibri" w:cs="Calibri"/>
          <w:color w:val="000000"/>
          <w:sz w:val="24"/>
          <w:szCs w:val="24"/>
          <w:lang w:val="el-GR"/>
        </w:rPr>
        <w:t xml:space="preserve"> </w:t>
      </w:r>
      <w:r>
        <w:rPr>
          <w:rFonts w:ascii="Calibri" w:hAnsi="Calibri" w:cs="Calibri"/>
          <w:color w:val="000000"/>
          <w:sz w:val="24"/>
          <w:szCs w:val="24"/>
          <w:lang w:val="el-GR"/>
        </w:rPr>
        <w:t>πεπεισμένη</w:t>
      </w:r>
      <w:r w:rsidRPr="00811B1E">
        <w:rPr>
          <w:rFonts w:ascii="Calibri" w:hAnsi="Calibri" w:cs="Calibri"/>
          <w:color w:val="000000"/>
          <w:sz w:val="24"/>
          <w:szCs w:val="24"/>
          <w:lang w:val="el-GR"/>
        </w:rPr>
        <w:t xml:space="preserve"> </w:t>
      </w:r>
      <w:r>
        <w:rPr>
          <w:rFonts w:ascii="Calibri" w:hAnsi="Calibri" w:cs="Calibri"/>
          <w:color w:val="000000"/>
          <w:sz w:val="24"/>
          <w:szCs w:val="24"/>
          <w:lang w:val="el-GR"/>
        </w:rPr>
        <w:t>ότι</w:t>
      </w:r>
      <w:r w:rsidRPr="00811B1E">
        <w:rPr>
          <w:rFonts w:ascii="Calibri" w:hAnsi="Calibri" w:cs="Calibri"/>
          <w:color w:val="000000"/>
          <w:sz w:val="24"/>
          <w:szCs w:val="24"/>
          <w:lang w:val="el-GR"/>
        </w:rPr>
        <w:t xml:space="preserve"> </w:t>
      </w:r>
      <w:r>
        <w:rPr>
          <w:rFonts w:ascii="Calibri" w:hAnsi="Calibri" w:cs="Calibri"/>
          <w:color w:val="000000"/>
          <w:sz w:val="24"/>
          <w:szCs w:val="24"/>
          <w:lang w:val="el-GR"/>
        </w:rPr>
        <w:t>μπορούν</w:t>
      </w:r>
      <w:r w:rsidRPr="00811B1E">
        <w:rPr>
          <w:rFonts w:ascii="Calibri" w:hAnsi="Calibri" w:cs="Calibri"/>
          <w:color w:val="000000"/>
          <w:sz w:val="24"/>
          <w:szCs w:val="24"/>
          <w:lang w:val="el-GR"/>
        </w:rPr>
        <w:t xml:space="preserve"> </w:t>
      </w:r>
      <w:r>
        <w:rPr>
          <w:rFonts w:ascii="Calibri" w:hAnsi="Calibri" w:cs="Calibri"/>
          <w:color w:val="000000"/>
          <w:sz w:val="24"/>
          <w:szCs w:val="24"/>
          <w:lang w:val="el-GR"/>
        </w:rPr>
        <w:t>να</w:t>
      </w:r>
      <w:r w:rsidRPr="00811B1E">
        <w:rPr>
          <w:rFonts w:ascii="Calibri" w:hAnsi="Calibri" w:cs="Calibri"/>
          <w:color w:val="000000"/>
          <w:sz w:val="24"/>
          <w:szCs w:val="24"/>
          <w:lang w:val="el-GR"/>
        </w:rPr>
        <w:t xml:space="preserve"> </w:t>
      </w:r>
      <w:r>
        <w:rPr>
          <w:rFonts w:ascii="Calibri" w:hAnsi="Calibri" w:cs="Calibri"/>
          <w:color w:val="000000"/>
          <w:sz w:val="24"/>
          <w:szCs w:val="24"/>
          <w:lang w:val="el-GR"/>
        </w:rPr>
        <w:t>γίνουν</w:t>
      </w:r>
      <w:r w:rsidRPr="00811B1E">
        <w:rPr>
          <w:rFonts w:ascii="Calibri" w:hAnsi="Calibri" w:cs="Calibri"/>
          <w:color w:val="000000"/>
          <w:sz w:val="24"/>
          <w:szCs w:val="24"/>
          <w:lang w:val="el-GR"/>
        </w:rPr>
        <w:t xml:space="preserve"> </w:t>
      </w:r>
      <w:r>
        <w:rPr>
          <w:rFonts w:ascii="Calibri" w:hAnsi="Calibri" w:cs="Calibri"/>
          <w:color w:val="000000"/>
          <w:sz w:val="24"/>
          <w:szCs w:val="24"/>
          <w:lang w:val="el-GR"/>
        </w:rPr>
        <w:t>βελτιώσεις</w:t>
      </w:r>
      <w:r w:rsidR="00C359A0" w:rsidRPr="00811B1E">
        <w:rPr>
          <w:rFonts w:ascii="Calibri" w:hAnsi="Calibri" w:cs="Calibri"/>
          <w:color w:val="000000"/>
          <w:sz w:val="24"/>
          <w:szCs w:val="24"/>
          <w:lang w:val="el-GR"/>
        </w:rPr>
        <w:t xml:space="preserve"> </w:t>
      </w:r>
      <w:r>
        <w:rPr>
          <w:rFonts w:ascii="Calibri" w:hAnsi="Calibri" w:cs="Calibri"/>
          <w:color w:val="000000"/>
          <w:sz w:val="24"/>
          <w:szCs w:val="24"/>
          <w:lang w:val="el-GR"/>
        </w:rPr>
        <w:t>στο</w:t>
      </w:r>
      <w:r w:rsidRPr="00811B1E">
        <w:rPr>
          <w:rFonts w:ascii="Calibri" w:hAnsi="Calibri" w:cs="Calibri"/>
          <w:color w:val="000000"/>
          <w:sz w:val="24"/>
          <w:szCs w:val="24"/>
          <w:lang w:val="el-GR"/>
        </w:rPr>
        <w:t xml:space="preserve"> </w:t>
      </w:r>
      <w:r>
        <w:rPr>
          <w:rFonts w:ascii="Calibri" w:hAnsi="Calibri" w:cs="Calibri"/>
          <w:color w:val="000000"/>
          <w:sz w:val="24"/>
          <w:szCs w:val="24"/>
          <w:lang w:val="el-GR"/>
        </w:rPr>
        <w:t>παρόν σύστημα</w:t>
      </w:r>
      <w:r w:rsidR="00C359A0" w:rsidRPr="00811B1E">
        <w:rPr>
          <w:rFonts w:ascii="Calibri" w:hAnsi="Calibri" w:cs="Calibri"/>
          <w:color w:val="000000"/>
          <w:sz w:val="24"/>
          <w:szCs w:val="24"/>
          <w:lang w:val="el-GR"/>
        </w:rPr>
        <w:t xml:space="preserve"> </w:t>
      </w:r>
      <w:r>
        <w:rPr>
          <w:rFonts w:ascii="Calibri" w:hAnsi="Calibri" w:cs="Calibri"/>
          <w:color w:val="000000"/>
          <w:sz w:val="24"/>
          <w:szCs w:val="24"/>
          <w:lang w:val="el-GR"/>
        </w:rPr>
        <w:t>για να εξασφαλιστεί καλύτερα η αποτελεσματικότητα του</w:t>
      </w:r>
      <w:r w:rsidR="00C359A0" w:rsidRPr="00811B1E">
        <w:rPr>
          <w:rFonts w:ascii="Calibri" w:hAnsi="Calibri" w:cs="Calibri"/>
          <w:color w:val="000000"/>
          <w:sz w:val="24"/>
          <w:szCs w:val="24"/>
          <w:lang w:val="el-GR"/>
        </w:rPr>
        <w:t xml:space="preserve">. </w:t>
      </w:r>
      <w:r>
        <w:rPr>
          <w:rFonts w:ascii="Calibri" w:hAnsi="Calibri" w:cs="Calibri"/>
          <w:color w:val="000000"/>
          <w:sz w:val="24"/>
          <w:szCs w:val="24"/>
          <w:lang w:val="el-GR"/>
        </w:rPr>
        <w:t>Η</w:t>
      </w:r>
      <w:r w:rsidRPr="000965AD">
        <w:rPr>
          <w:rFonts w:ascii="Calibri" w:hAnsi="Calibri" w:cs="Calibri"/>
          <w:color w:val="000000"/>
          <w:sz w:val="24"/>
          <w:szCs w:val="24"/>
          <w:lang w:val="el-GR"/>
        </w:rPr>
        <w:t xml:space="preserve"> </w:t>
      </w:r>
      <w:r>
        <w:rPr>
          <w:rFonts w:ascii="Calibri" w:hAnsi="Calibri" w:cs="Calibri"/>
          <w:color w:val="000000"/>
          <w:sz w:val="24"/>
          <w:szCs w:val="24"/>
          <w:lang w:val="el-GR"/>
        </w:rPr>
        <w:t>ικανότητα</w:t>
      </w:r>
      <w:r w:rsidRPr="000965AD">
        <w:rPr>
          <w:rFonts w:ascii="Calibri" w:hAnsi="Calibri" w:cs="Calibri"/>
          <w:color w:val="000000"/>
          <w:sz w:val="24"/>
          <w:szCs w:val="24"/>
          <w:lang w:val="el-GR"/>
        </w:rPr>
        <w:t xml:space="preserve"> </w:t>
      </w:r>
      <w:r>
        <w:rPr>
          <w:rFonts w:ascii="Calibri" w:hAnsi="Calibri" w:cs="Calibri"/>
          <w:color w:val="000000"/>
          <w:sz w:val="24"/>
          <w:szCs w:val="24"/>
          <w:lang w:val="el-GR"/>
        </w:rPr>
        <w:t>της</w:t>
      </w:r>
      <w:r w:rsidRPr="000965AD">
        <w:rPr>
          <w:rFonts w:ascii="Calibri" w:hAnsi="Calibri" w:cs="Calibri"/>
          <w:color w:val="000000"/>
          <w:sz w:val="24"/>
          <w:szCs w:val="24"/>
          <w:lang w:val="el-GR"/>
        </w:rPr>
        <w:t xml:space="preserve"> </w:t>
      </w:r>
      <w:r w:rsidR="009C4E34">
        <w:rPr>
          <w:rFonts w:ascii="Calibri" w:hAnsi="Calibri" w:cs="Calibri"/>
          <w:color w:val="000000"/>
          <w:sz w:val="24"/>
          <w:szCs w:val="24"/>
          <w:lang w:val="el-GR"/>
        </w:rPr>
        <w:t>Αστυνομία</w:t>
      </w:r>
      <w:r>
        <w:rPr>
          <w:rFonts w:ascii="Calibri" w:hAnsi="Calibri" w:cs="Calibri"/>
          <w:color w:val="000000"/>
          <w:sz w:val="24"/>
          <w:szCs w:val="24"/>
          <w:lang w:val="el-GR"/>
        </w:rPr>
        <w:t>ς</w:t>
      </w:r>
      <w:r w:rsidRPr="000965AD">
        <w:rPr>
          <w:rFonts w:ascii="Calibri" w:hAnsi="Calibri" w:cs="Calibri"/>
          <w:color w:val="000000"/>
          <w:sz w:val="24"/>
          <w:szCs w:val="24"/>
          <w:lang w:val="el-GR"/>
        </w:rPr>
        <w:t xml:space="preserve"> </w:t>
      </w:r>
      <w:r>
        <w:rPr>
          <w:rFonts w:ascii="Calibri" w:hAnsi="Calibri" w:cs="Calibri"/>
          <w:color w:val="000000"/>
          <w:sz w:val="24"/>
          <w:szCs w:val="24"/>
          <w:lang w:val="el-GR"/>
        </w:rPr>
        <w:t>να</w:t>
      </w:r>
      <w:r w:rsidRPr="000965AD">
        <w:rPr>
          <w:rFonts w:ascii="Calibri" w:hAnsi="Calibri" w:cs="Calibri"/>
          <w:color w:val="000000"/>
          <w:sz w:val="24"/>
          <w:szCs w:val="24"/>
          <w:lang w:val="el-GR"/>
        </w:rPr>
        <w:t xml:space="preserve"> </w:t>
      </w:r>
      <w:r>
        <w:rPr>
          <w:rFonts w:ascii="Calibri" w:hAnsi="Calibri" w:cs="Calibri"/>
          <w:color w:val="000000"/>
          <w:sz w:val="24"/>
          <w:szCs w:val="24"/>
          <w:lang w:val="el-GR"/>
        </w:rPr>
        <w:t>αντιμετωπίσει</w:t>
      </w:r>
      <w:r w:rsidR="00C359A0" w:rsidRPr="000965AD">
        <w:rPr>
          <w:rFonts w:ascii="Calibri" w:hAnsi="Calibri" w:cs="Calibri"/>
          <w:sz w:val="24"/>
          <w:szCs w:val="24"/>
          <w:lang w:val="el-GR"/>
        </w:rPr>
        <w:t xml:space="preserve"> </w:t>
      </w:r>
      <w:r>
        <w:rPr>
          <w:rFonts w:ascii="Calibri" w:hAnsi="Calibri" w:cs="Calibri"/>
          <w:sz w:val="24"/>
          <w:szCs w:val="24"/>
          <w:lang w:val="el-GR"/>
        </w:rPr>
        <w:t>αποτελεσματικά</w:t>
      </w:r>
      <w:r w:rsidRPr="000965AD">
        <w:rPr>
          <w:rFonts w:ascii="Calibri" w:hAnsi="Calibri" w:cs="Calibri"/>
          <w:sz w:val="24"/>
          <w:szCs w:val="24"/>
          <w:lang w:val="el-GR"/>
        </w:rPr>
        <w:t xml:space="preserve"> </w:t>
      </w:r>
      <w:r>
        <w:rPr>
          <w:rFonts w:ascii="Calibri" w:hAnsi="Calibri" w:cs="Calibri"/>
          <w:sz w:val="24"/>
          <w:szCs w:val="24"/>
          <w:lang w:val="el-GR"/>
        </w:rPr>
        <w:t>και</w:t>
      </w:r>
      <w:r w:rsidRPr="000965AD">
        <w:rPr>
          <w:rFonts w:ascii="Calibri" w:hAnsi="Calibri" w:cs="Calibri"/>
          <w:sz w:val="24"/>
          <w:szCs w:val="24"/>
          <w:lang w:val="el-GR"/>
        </w:rPr>
        <w:t xml:space="preserve"> </w:t>
      </w:r>
      <w:r>
        <w:rPr>
          <w:rFonts w:ascii="Calibri" w:hAnsi="Calibri" w:cs="Calibri"/>
          <w:sz w:val="24"/>
          <w:szCs w:val="24"/>
          <w:lang w:val="el-GR"/>
        </w:rPr>
        <w:t>έγκαιρα</w:t>
      </w:r>
      <w:r w:rsidR="00C359A0" w:rsidRPr="000965AD">
        <w:rPr>
          <w:rFonts w:ascii="Calibri" w:hAnsi="Calibri" w:cs="Calibri"/>
          <w:sz w:val="24"/>
          <w:szCs w:val="24"/>
          <w:lang w:val="el-GR"/>
        </w:rPr>
        <w:t xml:space="preserve"> </w:t>
      </w:r>
      <w:r>
        <w:rPr>
          <w:rFonts w:ascii="Calibri" w:hAnsi="Calibri" w:cs="Calibri"/>
          <w:sz w:val="24"/>
          <w:szCs w:val="24"/>
          <w:lang w:val="el-GR"/>
        </w:rPr>
        <w:t>την</w:t>
      </w:r>
      <w:r w:rsidR="00C359A0" w:rsidRPr="000965AD">
        <w:rPr>
          <w:rFonts w:ascii="Calibri" w:hAnsi="Calibri" w:cs="Calibri"/>
          <w:sz w:val="24"/>
          <w:szCs w:val="24"/>
          <w:lang w:val="el-GR"/>
        </w:rPr>
        <w:t xml:space="preserve"> </w:t>
      </w:r>
      <w:r w:rsidR="007F5E91">
        <w:rPr>
          <w:rFonts w:ascii="Calibri" w:hAnsi="Calibri" w:cs="Calibri"/>
          <w:sz w:val="24"/>
          <w:szCs w:val="24"/>
          <w:lang w:val="hy-AM"/>
        </w:rPr>
        <w:t xml:space="preserve"> </w:t>
      </w:r>
      <w:r w:rsidR="007F5E91">
        <w:rPr>
          <w:rFonts w:ascii="Calibri" w:hAnsi="Calibri" w:cs="Calibri"/>
          <w:sz w:val="24"/>
          <w:szCs w:val="24"/>
          <w:lang w:val="el-GR"/>
        </w:rPr>
        <w:t>κακή</w:t>
      </w:r>
      <w:r w:rsidR="007F5E91" w:rsidRPr="000965AD">
        <w:rPr>
          <w:rFonts w:ascii="Calibri" w:hAnsi="Calibri" w:cs="Calibri"/>
          <w:sz w:val="24"/>
          <w:szCs w:val="24"/>
          <w:lang w:val="el-GR"/>
        </w:rPr>
        <w:t xml:space="preserve"> </w:t>
      </w:r>
      <w:r w:rsidR="007F5E91">
        <w:rPr>
          <w:rFonts w:ascii="Calibri" w:hAnsi="Calibri" w:cs="Calibri"/>
          <w:sz w:val="24"/>
          <w:szCs w:val="24"/>
          <w:lang w:val="el-GR"/>
        </w:rPr>
        <w:t>συμπεριφορά</w:t>
      </w:r>
      <w:r w:rsidR="00C359A0" w:rsidRPr="000965AD">
        <w:rPr>
          <w:rFonts w:ascii="Calibri" w:hAnsi="Calibri" w:cs="Calibri"/>
          <w:sz w:val="24"/>
          <w:szCs w:val="24"/>
          <w:lang w:val="el-GR"/>
        </w:rPr>
        <w:t xml:space="preserve"> </w:t>
      </w:r>
      <w:r w:rsidR="007F5E91">
        <w:rPr>
          <w:rFonts w:ascii="Calibri" w:hAnsi="Calibri" w:cs="Calibri"/>
          <w:sz w:val="24"/>
          <w:szCs w:val="24"/>
          <w:lang w:val="el-GR"/>
        </w:rPr>
        <w:t>εντός</w:t>
      </w:r>
      <w:r w:rsidR="007F5E91" w:rsidRPr="000965AD">
        <w:rPr>
          <w:rFonts w:ascii="Calibri" w:hAnsi="Calibri" w:cs="Calibri"/>
          <w:sz w:val="24"/>
          <w:szCs w:val="24"/>
          <w:lang w:val="el-GR"/>
        </w:rPr>
        <w:t xml:space="preserve"> </w:t>
      </w:r>
      <w:r w:rsidR="000965AD">
        <w:rPr>
          <w:rFonts w:ascii="Calibri" w:hAnsi="Calibri" w:cs="Calibri"/>
          <w:sz w:val="24"/>
          <w:szCs w:val="24"/>
          <w:lang w:val="el-GR"/>
        </w:rPr>
        <w:t>τις</w:t>
      </w:r>
      <w:r w:rsidR="000965AD" w:rsidRPr="000965AD">
        <w:rPr>
          <w:rFonts w:ascii="Calibri" w:hAnsi="Calibri" w:cs="Calibri"/>
          <w:sz w:val="24"/>
          <w:szCs w:val="24"/>
          <w:lang w:val="el-GR"/>
        </w:rPr>
        <w:t xml:space="preserve"> </w:t>
      </w:r>
      <w:r w:rsidR="000965AD">
        <w:rPr>
          <w:rFonts w:ascii="Calibri" w:hAnsi="Calibri" w:cs="Calibri"/>
          <w:sz w:val="24"/>
          <w:szCs w:val="24"/>
          <w:lang w:val="el-GR"/>
        </w:rPr>
        <w:t>τάξεις της είναι κρίσιμη</w:t>
      </w:r>
      <w:r w:rsidR="00C359A0" w:rsidRPr="000965AD">
        <w:rPr>
          <w:rFonts w:ascii="Calibri" w:hAnsi="Calibri" w:cs="Calibri"/>
          <w:sz w:val="24"/>
          <w:szCs w:val="24"/>
          <w:lang w:val="el-GR"/>
        </w:rPr>
        <w:t xml:space="preserve">, </w:t>
      </w:r>
      <w:r w:rsidR="000965AD">
        <w:rPr>
          <w:rFonts w:ascii="Calibri" w:hAnsi="Calibri" w:cs="Calibri"/>
          <w:sz w:val="24"/>
          <w:szCs w:val="24"/>
          <w:lang w:val="el-GR"/>
        </w:rPr>
        <w:t>συμπεριλαμβανομένου υπό την άποψη της ενίσχυσης</w:t>
      </w:r>
      <w:r w:rsidR="00C359A0" w:rsidRPr="000965AD">
        <w:rPr>
          <w:rFonts w:ascii="Calibri" w:hAnsi="Calibri" w:cs="Calibri"/>
          <w:sz w:val="24"/>
          <w:szCs w:val="24"/>
          <w:lang w:val="el-GR"/>
        </w:rPr>
        <w:t xml:space="preserve"> </w:t>
      </w:r>
      <w:r w:rsidR="000965AD">
        <w:rPr>
          <w:rFonts w:ascii="Calibri" w:hAnsi="Calibri" w:cs="Calibri"/>
          <w:sz w:val="24"/>
          <w:szCs w:val="24"/>
          <w:lang w:val="el-GR"/>
        </w:rPr>
        <w:t>των προτύπων</w:t>
      </w:r>
      <w:r w:rsidR="00C359A0" w:rsidRPr="000965AD">
        <w:rPr>
          <w:rFonts w:ascii="Calibri" w:hAnsi="Calibri" w:cs="Calibri"/>
          <w:sz w:val="24"/>
          <w:szCs w:val="24"/>
          <w:lang w:val="el-GR"/>
        </w:rPr>
        <w:t xml:space="preserve"> </w:t>
      </w:r>
      <w:r w:rsidR="000965AD">
        <w:rPr>
          <w:rFonts w:ascii="Calibri" w:hAnsi="Calibri" w:cs="Calibri"/>
          <w:sz w:val="24"/>
          <w:szCs w:val="24"/>
          <w:lang w:val="el-GR"/>
        </w:rPr>
        <w:t>της αναμενόμενης συμπεριφοράς</w:t>
      </w:r>
      <w:r w:rsidR="00C359A0" w:rsidRPr="000965AD">
        <w:rPr>
          <w:rFonts w:ascii="Calibri" w:hAnsi="Calibri" w:cs="Calibri"/>
          <w:sz w:val="24"/>
          <w:szCs w:val="24"/>
          <w:lang w:val="el-GR"/>
        </w:rPr>
        <w:t xml:space="preserve"> </w:t>
      </w:r>
      <w:r w:rsidR="000965AD">
        <w:rPr>
          <w:rFonts w:ascii="Calibri" w:hAnsi="Calibri" w:cs="Calibri"/>
          <w:sz w:val="24"/>
          <w:szCs w:val="24"/>
          <w:lang w:val="el-GR"/>
        </w:rPr>
        <w:t>και της βελτίωσης της εμπιστοσύνης του κοινού</w:t>
      </w:r>
      <w:r w:rsidR="00C359A0" w:rsidRPr="000965AD">
        <w:rPr>
          <w:rFonts w:ascii="Calibri" w:hAnsi="Calibri" w:cs="Calibri"/>
          <w:sz w:val="24"/>
          <w:szCs w:val="24"/>
          <w:lang w:val="el-GR"/>
        </w:rPr>
        <w:t xml:space="preserve">. </w:t>
      </w:r>
      <w:r w:rsidR="000965AD" w:rsidRPr="000965AD">
        <w:rPr>
          <w:rFonts w:ascii="Calibri" w:hAnsi="Calibri" w:cs="Calibri"/>
          <w:b/>
          <w:sz w:val="24"/>
          <w:szCs w:val="24"/>
          <w:lang w:val="el-GR"/>
        </w:rPr>
        <w:t xml:space="preserve">Η </w:t>
      </w:r>
      <w:r w:rsidR="00C359A0" w:rsidRPr="004E251E">
        <w:rPr>
          <w:rFonts w:ascii="Calibri" w:hAnsi="Calibri" w:cs="Calibri"/>
          <w:b/>
          <w:bCs/>
          <w:color w:val="000000"/>
          <w:sz w:val="24"/>
          <w:szCs w:val="24"/>
        </w:rPr>
        <w:t>GRECO</w:t>
      </w:r>
      <w:r w:rsidR="00C359A0" w:rsidRPr="000965AD">
        <w:rPr>
          <w:rFonts w:ascii="Calibri" w:hAnsi="Calibri" w:cs="Calibri"/>
          <w:b/>
          <w:bCs/>
          <w:color w:val="000000"/>
          <w:sz w:val="24"/>
          <w:szCs w:val="24"/>
          <w:lang w:val="el-GR"/>
        </w:rPr>
        <w:t xml:space="preserve"> </w:t>
      </w:r>
      <w:r w:rsidR="000965AD">
        <w:rPr>
          <w:rFonts w:ascii="Calibri" w:hAnsi="Calibri" w:cs="Calibri"/>
          <w:b/>
          <w:bCs/>
          <w:color w:val="000000"/>
          <w:sz w:val="24"/>
          <w:szCs w:val="24"/>
          <w:lang w:val="el-GR"/>
        </w:rPr>
        <w:t>συνιστά</w:t>
      </w:r>
      <w:r w:rsidR="000965AD" w:rsidRPr="000965AD">
        <w:rPr>
          <w:rFonts w:ascii="Calibri" w:hAnsi="Calibri" w:cs="Calibri"/>
          <w:b/>
          <w:bCs/>
          <w:color w:val="000000"/>
          <w:sz w:val="24"/>
          <w:szCs w:val="24"/>
          <w:lang w:val="el-GR"/>
        </w:rPr>
        <w:t xml:space="preserve"> </w:t>
      </w:r>
      <w:r w:rsidR="00362B81">
        <w:rPr>
          <w:rFonts w:ascii="Calibri" w:hAnsi="Calibri" w:cs="Calibri"/>
          <w:b/>
          <w:bCs/>
          <w:color w:val="000000"/>
          <w:sz w:val="24"/>
          <w:szCs w:val="24"/>
          <w:lang w:val="el-GR"/>
        </w:rPr>
        <w:t>την</w:t>
      </w:r>
      <w:r w:rsidR="00362B81" w:rsidRPr="002F1C88">
        <w:rPr>
          <w:rFonts w:ascii="Calibri" w:hAnsi="Calibri" w:cs="Calibri"/>
          <w:b/>
          <w:bCs/>
          <w:color w:val="000000"/>
          <w:sz w:val="24"/>
          <w:szCs w:val="24"/>
          <w:lang w:val="el-GR"/>
        </w:rPr>
        <w:t xml:space="preserve"> </w:t>
      </w:r>
      <w:r w:rsidR="00362B81">
        <w:rPr>
          <w:rFonts w:ascii="Calibri" w:hAnsi="Calibri" w:cs="Calibri"/>
          <w:b/>
          <w:bCs/>
          <w:color w:val="000000"/>
          <w:sz w:val="24"/>
          <w:szCs w:val="24"/>
          <w:lang w:val="el-GR"/>
        </w:rPr>
        <w:t>καθιέρωση</w:t>
      </w:r>
      <w:r w:rsidR="00362B81" w:rsidRPr="002F1C88">
        <w:rPr>
          <w:rFonts w:ascii="Calibri" w:hAnsi="Calibri" w:cs="Calibri"/>
          <w:b/>
          <w:bCs/>
          <w:color w:val="000000"/>
          <w:sz w:val="24"/>
          <w:szCs w:val="24"/>
          <w:lang w:val="el-GR"/>
        </w:rPr>
        <w:t xml:space="preserve"> </w:t>
      </w:r>
      <w:r w:rsidR="00362B81">
        <w:rPr>
          <w:rFonts w:ascii="Calibri" w:hAnsi="Calibri" w:cs="Calibri"/>
          <w:b/>
          <w:bCs/>
          <w:color w:val="000000"/>
          <w:sz w:val="24"/>
          <w:szCs w:val="24"/>
          <w:lang w:val="el-GR"/>
        </w:rPr>
        <w:t>μιας</w:t>
      </w:r>
      <w:r w:rsidR="00362B81" w:rsidRPr="002F1C88">
        <w:rPr>
          <w:rFonts w:ascii="Calibri" w:hAnsi="Calibri" w:cs="Calibri"/>
          <w:b/>
          <w:bCs/>
          <w:color w:val="000000"/>
          <w:sz w:val="24"/>
          <w:szCs w:val="24"/>
          <w:lang w:val="el-GR"/>
        </w:rPr>
        <w:t xml:space="preserve"> </w:t>
      </w:r>
      <w:r w:rsidR="00362B81">
        <w:rPr>
          <w:rFonts w:ascii="Calibri" w:hAnsi="Calibri" w:cs="Calibri"/>
          <w:b/>
          <w:bCs/>
          <w:color w:val="000000"/>
          <w:sz w:val="24"/>
          <w:szCs w:val="24"/>
          <w:lang w:val="el-GR"/>
        </w:rPr>
        <w:t>διαδικασίας</w:t>
      </w:r>
      <w:r w:rsidR="00362B81" w:rsidRPr="002F1C88">
        <w:rPr>
          <w:rFonts w:ascii="Calibri" w:hAnsi="Calibri" w:cs="Calibri"/>
          <w:b/>
          <w:bCs/>
          <w:color w:val="000000"/>
          <w:sz w:val="24"/>
          <w:szCs w:val="24"/>
          <w:lang w:val="el-GR"/>
        </w:rPr>
        <w:t xml:space="preserve"> </w:t>
      </w:r>
      <w:r w:rsidR="00362B81">
        <w:rPr>
          <w:rFonts w:ascii="Calibri" w:hAnsi="Calibri" w:cs="Calibri"/>
          <w:b/>
          <w:bCs/>
          <w:color w:val="000000"/>
          <w:sz w:val="24"/>
          <w:szCs w:val="24"/>
          <w:lang w:val="el-GR"/>
        </w:rPr>
        <w:t>που</w:t>
      </w:r>
      <w:r w:rsidR="00362B81" w:rsidRPr="002F1C88">
        <w:rPr>
          <w:rFonts w:ascii="Calibri" w:hAnsi="Calibri" w:cs="Calibri"/>
          <w:b/>
          <w:bCs/>
          <w:color w:val="000000"/>
          <w:sz w:val="24"/>
          <w:szCs w:val="24"/>
          <w:lang w:val="el-GR"/>
        </w:rPr>
        <w:t xml:space="preserve"> </w:t>
      </w:r>
      <w:r w:rsidR="00362B81">
        <w:rPr>
          <w:rFonts w:ascii="Calibri" w:hAnsi="Calibri" w:cs="Calibri"/>
          <w:b/>
          <w:bCs/>
          <w:color w:val="000000"/>
          <w:sz w:val="24"/>
          <w:szCs w:val="24"/>
          <w:lang w:val="el-GR"/>
        </w:rPr>
        <w:t>διασφαλίζει</w:t>
      </w:r>
      <w:r w:rsidR="00362B81" w:rsidRPr="002F1C88">
        <w:rPr>
          <w:rFonts w:ascii="Calibri" w:hAnsi="Calibri" w:cs="Calibri"/>
          <w:b/>
          <w:bCs/>
          <w:color w:val="000000"/>
          <w:sz w:val="24"/>
          <w:szCs w:val="24"/>
          <w:lang w:val="el-GR"/>
        </w:rPr>
        <w:t xml:space="preserve"> </w:t>
      </w:r>
      <w:r w:rsidR="00362B81">
        <w:rPr>
          <w:rFonts w:ascii="Calibri" w:hAnsi="Calibri" w:cs="Calibri"/>
          <w:b/>
          <w:bCs/>
          <w:color w:val="000000"/>
          <w:sz w:val="24"/>
          <w:szCs w:val="24"/>
          <w:lang w:val="el-GR"/>
        </w:rPr>
        <w:t>ότι</w:t>
      </w:r>
      <w:r w:rsidR="00362B81" w:rsidRPr="002F1C88">
        <w:rPr>
          <w:rFonts w:ascii="Calibri" w:hAnsi="Calibri" w:cs="Calibri"/>
          <w:b/>
          <w:bCs/>
          <w:color w:val="000000"/>
          <w:sz w:val="24"/>
          <w:szCs w:val="24"/>
          <w:lang w:val="el-GR"/>
        </w:rPr>
        <w:t xml:space="preserve"> </w:t>
      </w:r>
      <w:r w:rsidR="00362B81">
        <w:rPr>
          <w:rFonts w:ascii="Calibri" w:hAnsi="Calibri" w:cs="Calibri"/>
          <w:b/>
          <w:bCs/>
          <w:color w:val="000000"/>
          <w:sz w:val="24"/>
          <w:szCs w:val="24"/>
          <w:lang w:val="el-GR"/>
        </w:rPr>
        <w:t>οι</w:t>
      </w:r>
      <w:r w:rsidR="00362B81" w:rsidRPr="002F1C88">
        <w:rPr>
          <w:rFonts w:ascii="Calibri" w:hAnsi="Calibri" w:cs="Calibri"/>
          <w:b/>
          <w:bCs/>
          <w:color w:val="000000"/>
          <w:sz w:val="24"/>
          <w:szCs w:val="24"/>
          <w:lang w:val="el-GR"/>
        </w:rPr>
        <w:t xml:space="preserve"> </w:t>
      </w:r>
      <w:r w:rsidR="00362B81">
        <w:rPr>
          <w:rFonts w:ascii="Calibri" w:hAnsi="Calibri" w:cs="Calibri"/>
          <w:b/>
          <w:bCs/>
          <w:color w:val="000000"/>
          <w:sz w:val="24"/>
          <w:szCs w:val="24"/>
          <w:lang w:val="el-GR"/>
        </w:rPr>
        <w:t>υποθέσεις</w:t>
      </w:r>
      <w:r w:rsidR="00362B81" w:rsidRPr="002F1C88">
        <w:rPr>
          <w:rFonts w:ascii="Calibri" w:hAnsi="Calibri" w:cs="Calibri"/>
          <w:b/>
          <w:bCs/>
          <w:color w:val="000000"/>
          <w:sz w:val="24"/>
          <w:szCs w:val="24"/>
          <w:lang w:val="el-GR"/>
        </w:rPr>
        <w:t xml:space="preserve"> </w:t>
      </w:r>
      <w:r w:rsidR="00362B81">
        <w:rPr>
          <w:rFonts w:ascii="Calibri" w:hAnsi="Calibri" w:cs="Calibri"/>
          <w:b/>
          <w:bCs/>
          <w:color w:val="000000"/>
          <w:sz w:val="24"/>
          <w:szCs w:val="24"/>
          <w:lang w:val="el-GR"/>
        </w:rPr>
        <w:t xml:space="preserve">θα τυγχάνουν χειρισμού </w:t>
      </w:r>
      <w:r w:rsidR="00091C5F">
        <w:rPr>
          <w:rFonts w:ascii="Calibri" w:hAnsi="Calibri" w:cs="Calibri"/>
          <w:b/>
          <w:bCs/>
          <w:color w:val="000000"/>
          <w:sz w:val="24"/>
          <w:szCs w:val="24"/>
          <w:lang w:val="el-GR"/>
        </w:rPr>
        <w:t>εντός</w:t>
      </w:r>
      <w:r w:rsidR="00362B81">
        <w:rPr>
          <w:rFonts w:ascii="Calibri" w:hAnsi="Calibri" w:cs="Calibri"/>
          <w:b/>
          <w:bCs/>
          <w:color w:val="000000"/>
          <w:sz w:val="24"/>
          <w:szCs w:val="24"/>
          <w:lang w:val="el-GR"/>
        </w:rPr>
        <w:t xml:space="preserve"> εύλογου χρονικού πλαισίου και με συνεπή τρόπο</w:t>
      </w:r>
      <w:r w:rsidR="00362B81" w:rsidRPr="002F1C88">
        <w:rPr>
          <w:rFonts w:ascii="Calibri" w:hAnsi="Calibri" w:cs="Calibri"/>
          <w:b/>
          <w:bCs/>
          <w:color w:val="000000"/>
          <w:sz w:val="24"/>
          <w:szCs w:val="24"/>
          <w:lang w:val="el-GR"/>
        </w:rPr>
        <w:t xml:space="preserve"> </w:t>
      </w:r>
      <w:r w:rsidR="00362B81">
        <w:rPr>
          <w:rFonts w:ascii="Calibri" w:hAnsi="Calibri" w:cs="Calibri"/>
          <w:b/>
          <w:bCs/>
          <w:color w:val="000000"/>
          <w:sz w:val="24"/>
          <w:szCs w:val="24"/>
          <w:lang w:val="el-GR"/>
        </w:rPr>
        <w:t>και ότι</w:t>
      </w:r>
      <w:r w:rsidR="00362B81" w:rsidRPr="002F1C88">
        <w:rPr>
          <w:rFonts w:ascii="Calibri" w:hAnsi="Calibri" w:cs="Calibri"/>
          <w:b/>
          <w:bCs/>
          <w:color w:val="000000"/>
          <w:sz w:val="24"/>
          <w:szCs w:val="24"/>
          <w:lang w:val="el-GR"/>
        </w:rPr>
        <w:t xml:space="preserve"> </w:t>
      </w:r>
      <w:r w:rsidR="00362B81">
        <w:rPr>
          <w:rFonts w:ascii="Calibri" w:hAnsi="Calibri" w:cs="Calibri"/>
          <w:b/>
          <w:bCs/>
          <w:color w:val="000000"/>
          <w:sz w:val="24"/>
          <w:szCs w:val="24"/>
          <w:lang w:val="el-GR"/>
        </w:rPr>
        <w:t>η κακή συμπεριφορά τιμωρείται αποτελεσματικά</w:t>
      </w:r>
      <w:r w:rsidR="00C359A0" w:rsidRPr="000965AD">
        <w:rPr>
          <w:rFonts w:ascii="Calibri" w:hAnsi="Calibri" w:cs="Calibri"/>
          <w:b/>
          <w:bCs/>
          <w:color w:val="000000"/>
          <w:sz w:val="24"/>
          <w:szCs w:val="24"/>
          <w:lang w:val="el-GR"/>
        </w:rPr>
        <w:t xml:space="preserve">. </w:t>
      </w:r>
    </w:p>
    <w:p w14:paraId="3A61FE88" w14:textId="6A35B0A7" w:rsidR="00E51182" w:rsidRPr="000965AD" w:rsidRDefault="00E51182" w:rsidP="00E51182">
      <w:pPr>
        <w:rPr>
          <w:lang w:val="el-GR"/>
        </w:rPr>
      </w:pPr>
    </w:p>
    <w:p w14:paraId="373E0C10" w14:textId="32C49E69" w:rsidR="00220066" w:rsidRPr="004E251E" w:rsidRDefault="000965AD" w:rsidP="00991C07">
      <w:pPr>
        <w:pStyle w:val="Heading3"/>
        <w:keepLines w:val="0"/>
        <w:tabs>
          <w:tab w:val="left" w:pos="709"/>
        </w:tabs>
        <w:spacing w:before="0"/>
        <w:rPr>
          <w:rFonts w:asciiTheme="minorHAnsi" w:hAnsiTheme="minorHAnsi" w:cstheme="minorHAnsi"/>
          <w:b w:val="0"/>
          <w:i/>
          <w:color w:val="auto"/>
          <w:sz w:val="24"/>
          <w:szCs w:val="24"/>
        </w:rPr>
      </w:pPr>
      <w:bookmarkStart w:id="259" w:name="_Toc117445187"/>
      <w:bookmarkStart w:id="260" w:name="_Toc136879391"/>
      <w:r>
        <w:rPr>
          <w:rFonts w:asciiTheme="minorHAnsi" w:hAnsiTheme="minorHAnsi" w:cstheme="minorHAnsi"/>
          <w:b w:val="0"/>
          <w:i/>
          <w:color w:val="auto"/>
          <w:sz w:val="24"/>
          <w:szCs w:val="24"/>
          <w:lang w:val="el-GR"/>
        </w:rPr>
        <w:t>Ποινική διαδικασία</w:t>
      </w:r>
      <w:bookmarkEnd w:id="258"/>
      <w:bookmarkEnd w:id="259"/>
      <w:bookmarkEnd w:id="260"/>
    </w:p>
    <w:p w14:paraId="62618792" w14:textId="77777777" w:rsidR="00220066" w:rsidRPr="004E251E" w:rsidRDefault="00220066" w:rsidP="00991C07">
      <w:pPr>
        <w:keepNext/>
        <w:rPr>
          <w:rFonts w:cstheme="minorHAnsi"/>
          <w:color w:val="FF0000"/>
          <w:sz w:val="24"/>
          <w:szCs w:val="24"/>
        </w:rPr>
      </w:pPr>
    </w:p>
    <w:p w14:paraId="529ACA00" w14:textId="2834C447" w:rsidR="00220066" w:rsidRPr="000965AD" w:rsidRDefault="000965AD" w:rsidP="00991C07">
      <w:pPr>
        <w:keepNext/>
        <w:numPr>
          <w:ilvl w:val="0"/>
          <w:numId w:val="1"/>
        </w:numPr>
        <w:tabs>
          <w:tab w:val="left" w:pos="709"/>
        </w:tabs>
        <w:ind w:left="0" w:firstLine="0"/>
        <w:rPr>
          <w:rFonts w:cstheme="minorHAnsi"/>
          <w:sz w:val="24"/>
          <w:szCs w:val="24"/>
          <w:lang w:val="el-GR"/>
        </w:rPr>
      </w:pPr>
      <w:r>
        <w:rPr>
          <w:rFonts w:cstheme="minorHAnsi"/>
          <w:sz w:val="24"/>
          <w:szCs w:val="24"/>
          <w:lang w:val="el-GR"/>
        </w:rPr>
        <w:t>Δεν</w:t>
      </w:r>
      <w:r w:rsidRPr="000965AD">
        <w:rPr>
          <w:rFonts w:cstheme="minorHAnsi"/>
          <w:sz w:val="24"/>
          <w:szCs w:val="24"/>
          <w:lang w:val="el-GR"/>
        </w:rPr>
        <w:t xml:space="preserve"> </w:t>
      </w:r>
      <w:r>
        <w:rPr>
          <w:rFonts w:cstheme="minorHAnsi"/>
          <w:sz w:val="24"/>
          <w:szCs w:val="24"/>
          <w:lang w:val="el-GR"/>
        </w:rPr>
        <w:t>υπάρχουν</w:t>
      </w:r>
      <w:r w:rsidRPr="000965AD">
        <w:rPr>
          <w:rFonts w:cstheme="minorHAnsi"/>
          <w:sz w:val="24"/>
          <w:szCs w:val="24"/>
          <w:lang w:val="el-GR"/>
        </w:rPr>
        <w:t xml:space="preserve"> </w:t>
      </w:r>
      <w:r>
        <w:rPr>
          <w:rFonts w:cstheme="minorHAnsi"/>
          <w:sz w:val="24"/>
          <w:szCs w:val="24"/>
          <w:lang w:val="el-GR"/>
        </w:rPr>
        <w:t>ασυλίες</w:t>
      </w:r>
      <w:r w:rsidRPr="000965AD">
        <w:rPr>
          <w:rFonts w:cstheme="minorHAnsi"/>
          <w:sz w:val="24"/>
          <w:szCs w:val="24"/>
          <w:lang w:val="el-GR"/>
        </w:rPr>
        <w:t xml:space="preserve"> </w:t>
      </w:r>
      <w:r>
        <w:rPr>
          <w:rFonts w:cstheme="minorHAnsi"/>
          <w:sz w:val="24"/>
          <w:szCs w:val="24"/>
          <w:lang w:val="el-GR"/>
        </w:rPr>
        <w:t>ή</w:t>
      </w:r>
      <w:r w:rsidRPr="000965AD">
        <w:rPr>
          <w:rFonts w:cstheme="minorHAnsi"/>
          <w:sz w:val="24"/>
          <w:szCs w:val="24"/>
          <w:lang w:val="el-GR"/>
        </w:rPr>
        <w:t xml:space="preserve"> </w:t>
      </w:r>
      <w:r>
        <w:rPr>
          <w:rFonts w:cstheme="minorHAnsi"/>
          <w:sz w:val="24"/>
          <w:szCs w:val="24"/>
          <w:lang w:val="el-GR"/>
        </w:rPr>
        <w:t>άλλα</w:t>
      </w:r>
      <w:r w:rsidRPr="000965AD">
        <w:rPr>
          <w:rFonts w:cstheme="minorHAnsi"/>
          <w:sz w:val="24"/>
          <w:szCs w:val="24"/>
          <w:lang w:val="el-GR"/>
        </w:rPr>
        <w:t xml:space="preserve"> </w:t>
      </w:r>
      <w:r>
        <w:rPr>
          <w:rFonts w:cstheme="minorHAnsi"/>
          <w:sz w:val="24"/>
          <w:szCs w:val="24"/>
          <w:lang w:val="el-GR"/>
        </w:rPr>
        <w:t>προνόμια</w:t>
      </w:r>
      <w:r w:rsidRPr="000965AD">
        <w:rPr>
          <w:rFonts w:cstheme="minorHAnsi"/>
          <w:sz w:val="24"/>
          <w:szCs w:val="24"/>
          <w:lang w:val="el-GR"/>
        </w:rPr>
        <w:t xml:space="preserve"> </w:t>
      </w:r>
      <w:r>
        <w:rPr>
          <w:rFonts w:cstheme="minorHAnsi"/>
          <w:sz w:val="24"/>
          <w:szCs w:val="24"/>
          <w:lang w:val="el-GR"/>
        </w:rPr>
        <w:t>διαθέσιμα</w:t>
      </w:r>
      <w:r w:rsidRPr="000965AD">
        <w:rPr>
          <w:rFonts w:cstheme="minorHAnsi"/>
          <w:sz w:val="24"/>
          <w:szCs w:val="24"/>
          <w:lang w:val="el-GR"/>
        </w:rPr>
        <w:t xml:space="preserve"> </w:t>
      </w:r>
      <w:r>
        <w:rPr>
          <w:rFonts w:cstheme="minorHAnsi"/>
          <w:sz w:val="24"/>
          <w:szCs w:val="24"/>
          <w:lang w:val="el-GR"/>
        </w:rPr>
        <w:t>στους ΑΕΝ</w:t>
      </w:r>
      <w:r w:rsidR="00220066" w:rsidRPr="000965AD">
        <w:rPr>
          <w:rFonts w:cstheme="minorHAnsi"/>
          <w:sz w:val="24"/>
          <w:szCs w:val="24"/>
          <w:lang w:val="el-GR"/>
        </w:rPr>
        <w:t xml:space="preserve">. </w:t>
      </w:r>
      <w:r>
        <w:rPr>
          <w:rFonts w:cstheme="minorHAnsi"/>
          <w:sz w:val="24"/>
          <w:szCs w:val="24"/>
          <w:lang w:val="el-GR"/>
        </w:rPr>
        <w:t>Δεν</w:t>
      </w:r>
      <w:r w:rsidRPr="000965AD">
        <w:rPr>
          <w:rFonts w:cstheme="minorHAnsi"/>
          <w:sz w:val="24"/>
          <w:szCs w:val="24"/>
          <w:lang w:val="el-GR"/>
        </w:rPr>
        <w:t xml:space="preserve"> </w:t>
      </w:r>
      <w:r>
        <w:rPr>
          <w:rFonts w:cstheme="minorHAnsi"/>
          <w:sz w:val="24"/>
          <w:szCs w:val="24"/>
          <w:lang w:val="el-GR"/>
        </w:rPr>
        <w:t>υπάρχουν</w:t>
      </w:r>
      <w:r w:rsidRPr="000965AD">
        <w:rPr>
          <w:rFonts w:cstheme="minorHAnsi"/>
          <w:sz w:val="24"/>
          <w:szCs w:val="24"/>
          <w:lang w:val="el-GR"/>
        </w:rPr>
        <w:t xml:space="preserve"> </w:t>
      </w:r>
      <w:r>
        <w:rPr>
          <w:rFonts w:cstheme="minorHAnsi"/>
          <w:sz w:val="24"/>
          <w:szCs w:val="24"/>
          <w:lang w:val="el-GR"/>
        </w:rPr>
        <w:t>ειδικές</w:t>
      </w:r>
      <w:r w:rsidRPr="000965AD">
        <w:rPr>
          <w:rFonts w:cstheme="minorHAnsi"/>
          <w:sz w:val="24"/>
          <w:szCs w:val="24"/>
          <w:lang w:val="el-GR"/>
        </w:rPr>
        <w:t xml:space="preserve"> </w:t>
      </w:r>
      <w:r>
        <w:rPr>
          <w:rFonts w:cstheme="minorHAnsi"/>
          <w:sz w:val="24"/>
          <w:szCs w:val="24"/>
          <w:lang w:val="el-GR"/>
        </w:rPr>
        <w:t>ποινικές</w:t>
      </w:r>
      <w:r w:rsidRPr="000965AD">
        <w:rPr>
          <w:rFonts w:cstheme="minorHAnsi"/>
          <w:sz w:val="24"/>
          <w:szCs w:val="24"/>
          <w:lang w:val="el-GR"/>
        </w:rPr>
        <w:t xml:space="preserve"> </w:t>
      </w:r>
      <w:r>
        <w:rPr>
          <w:rFonts w:cstheme="minorHAnsi"/>
          <w:sz w:val="24"/>
          <w:szCs w:val="24"/>
          <w:lang w:val="el-GR"/>
        </w:rPr>
        <w:t>διαδικασίες</w:t>
      </w:r>
      <w:r w:rsidR="00220066" w:rsidRPr="000965AD">
        <w:rPr>
          <w:sz w:val="24"/>
          <w:szCs w:val="24"/>
          <w:lang w:val="el-GR"/>
        </w:rPr>
        <w:t xml:space="preserve">, </w:t>
      </w:r>
      <w:r>
        <w:rPr>
          <w:sz w:val="24"/>
          <w:szCs w:val="24"/>
          <w:lang w:val="el-GR"/>
        </w:rPr>
        <w:t xml:space="preserve">διαφορετικές </w:t>
      </w:r>
      <w:proofErr w:type="spellStart"/>
      <w:r>
        <w:rPr>
          <w:sz w:val="24"/>
          <w:szCs w:val="24"/>
          <w:lang w:val="el-GR"/>
        </w:rPr>
        <w:t>απ’αυτές</w:t>
      </w:r>
      <w:proofErr w:type="spellEnd"/>
      <w:r>
        <w:rPr>
          <w:sz w:val="24"/>
          <w:szCs w:val="24"/>
          <w:lang w:val="el-GR"/>
        </w:rPr>
        <w:t xml:space="preserve"> που εφαρμόζονται σε άλλους πολίτες</w:t>
      </w:r>
      <w:r w:rsidR="00220066" w:rsidRPr="000965AD">
        <w:rPr>
          <w:sz w:val="24"/>
          <w:szCs w:val="24"/>
          <w:lang w:val="el-GR"/>
        </w:rPr>
        <w:t xml:space="preserve">. </w:t>
      </w:r>
    </w:p>
    <w:p w14:paraId="1744334D" w14:textId="77777777" w:rsidR="00220066" w:rsidRPr="000965AD" w:rsidRDefault="00220066" w:rsidP="00220066">
      <w:pPr>
        <w:tabs>
          <w:tab w:val="left" w:pos="709"/>
        </w:tabs>
        <w:rPr>
          <w:rFonts w:cstheme="minorHAnsi"/>
          <w:sz w:val="24"/>
          <w:szCs w:val="24"/>
          <w:lang w:val="el-GR"/>
        </w:rPr>
      </w:pPr>
    </w:p>
    <w:p w14:paraId="2E70C786" w14:textId="3407F9BC" w:rsidR="00220066" w:rsidRPr="0042226C" w:rsidRDefault="00BC1783" w:rsidP="00220066">
      <w:pPr>
        <w:numPr>
          <w:ilvl w:val="0"/>
          <w:numId w:val="1"/>
        </w:numPr>
        <w:tabs>
          <w:tab w:val="left" w:pos="709"/>
        </w:tabs>
        <w:ind w:left="0" w:firstLine="0"/>
        <w:rPr>
          <w:rFonts w:cstheme="minorHAnsi"/>
          <w:sz w:val="24"/>
          <w:szCs w:val="24"/>
          <w:lang w:val="el-GR"/>
        </w:rPr>
      </w:pPr>
      <w:r>
        <w:rPr>
          <w:rFonts w:cstheme="minorHAnsi"/>
          <w:sz w:val="24"/>
          <w:szCs w:val="24"/>
          <w:lang w:val="el-GR"/>
        </w:rPr>
        <w:t>Από</w:t>
      </w:r>
      <w:r w:rsidRPr="00BC1783">
        <w:rPr>
          <w:rFonts w:cstheme="minorHAnsi"/>
          <w:sz w:val="24"/>
          <w:szCs w:val="24"/>
          <w:lang w:val="el-GR"/>
        </w:rPr>
        <w:t xml:space="preserve"> </w:t>
      </w:r>
      <w:r>
        <w:rPr>
          <w:rFonts w:cstheme="minorHAnsi"/>
          <w:sz w:val="24"/>
          <w:szCs w:val="24"/>
          <w:lang w:val="el-GR"/>
        </w:rPr>
        <w:t>τις</w:t>
      </w:r>
      <w:r w:rsidRPr="00BC1783">
        <w:rPr>
          <w:rFonts w:cstheme="minorHAnsi"/>
          <w:sz w:val="24"/>
          <w:szCs w:val="24"/>
          <w:lang w:val="el-GR"/>
        </w:rPr>
        <w:t xml:space="preserve"> </w:t>
      </w:r>
      <w:r>
        <w:rPr>
          <w:rFonts w:cstheme="minorHAnsi"/>
          <w:sz w:val="24"/>
          <w:szCs w:val="24"/>
          <w:lang w:val="el-GR"/>
        </w:rPr>
        <w:t>πληροφ</w:t>
      </w:r>
      <w:r w:rsidR="00FB34FC">
        <w:rPr>
          <w:rFonts w:cstheme="minorHAnsi"/>
          <w:sz w:val="24"/>
          <w:szCs w:val="24"/>
          <w:lang w:val="el-GR"/>
        </w:rPr>
        <w:t>ο</w:t>
      </w:r>
      <w:r>
        <w:rPr>
          <w:rFonts w:cstheme="minorHAnsi"/>
          <w:sz w:val="24"/>
          <w:szCs w:val="24"/>
          <w:lang w:val="el-GR"/>
        </w:rPr>
        <w:t>ρίες</w:t>
      </w:r>
      <w:r w:rsidRPr="00BC1783">
        <w:rPr>
          <w:rFonts w:cstheme="minorHAnsi"/>
          <w:sz w:val="24"/>
          <w:szCs w:val="24"/>
          <w:lang w:val="el-GR"/>
        </w:rPr>
        <w:t>/</w:t>
      </w:r>
      <w:r>
        <w:rPr>
          <w:rFonts w:cstheme="minorHAnsi"/>
          <w:sz w:val="24"/>
          <w:szCs w:val="24"/>
          <w:lang w:val="el-GR"/>
        </w:rPr>
        <w:t>παράπονα</w:t>
      </w:r>
      <w:r w:rsidR="00220066" w:rsidRPr="00BC1783">
        <w:rPr>
          <w:rFonts w:cstheme="minorHAnsi"/>
          <w:sz w:val="24"/>
          <w:szCs w:val="24"/>
          <w:lang w:val="el-GR"/>
        </w:rPr>
        <w:t xml:space="preserve"> </w:t>
      </w:r>
      <w:r>
        <w:rPr>
          <w:rFonts w:cstheme="minorHAnsi"/>
          <w:sz w:val="24"/>
          <w:szCs w:val="24"/>
          <w:lang w:val="el-GR"/>
        </w:rPr>
        <w:t>που</w:t>
      </w:r>
      <w:r w:rsidRPr="00BC1783">
        <w:rPr>
          <w:rFonts w:cstheme="minorHAnsi"/>
          <w:sz w:val="24"/>
          <w:szCs w:val="24"/>
          <w:lang w:val="el-GR"/>
        </w:rPr>
        <w:t xml:space="preserve"> </w:t>
      </w:r>
      <w:r>
        <w:rPr>
          <w:rFonts w:cstheme="minorHAnsi"/>
          <w:sz w:val="24"/>
          <w:szCs w:val="24"/>
          <w:lang w:val="el-GR"/>
        </w:rPr>
        <w:t>διερευνήθηκα</w:t>
      </w:r>
      <w:r w:rsidR="00FA6ADA" w:rsidRPr="00FA6ADA">
        <w:rPr>
          <w:rFonts w:cstheme="minorHAnsi"/>
          <w:sz w:val="24"/>
          <w:szCs w:val="24"/>
          <w:lang w:val="el-GR"/>
        </w:rPr>
        <w:t>ν</w:t>
      </w:r>
      <w:r w:rsidRPr="00BC1783">
        <w:rPr>
          <w:rFonts w:cstheme="minorHAnsi"/>
          <w:sz w:val="24"/>
          <w:szCs w:val="24"/>
          <w:lang w:val="el-GR"/>
        </w:rPr>
        <w:t xml:space="preserve"> </w:t>
      </w:r>
      <w:r>
        <w:rPr>
          <w:rFonts w:cstheme="minorHAnsi"/>
          <w:sz w:val="24"/>
          <w:szCs w:val="24"/>
          <w:lang w:val="el-GR"/>
        </w:rPr>
        <w:t>από</w:t>
      </w:r>
      <w:r w:rsidRPr="00BC1783">
        <w:rPr>
          <w:rFonts w:cstheme="minorHAnsi"/>
          <w:sz w:val="24"/>
          <w:szCs w:val="24"/>
          <w:lang w:val="el-GR"/>
        </w:rPr>
        <w:t xml:space="preserve"> </w:t>
      </w:r>
      <w:r>
        <w:rPr>
          <w:rFonts w:cstheme="minorHAnsi"/>
          <w:sz w:val="24"/>
          <w:szCs w:val="24"/>
          <w:lang w:val="el-GR"/>
        </w:rPr>
        <w:t>το</w:t>
      </w:r>
      <w:r w:rsidRPr="00BC1783">
        <w:rPr>
          <w:rFonts w:cstheme="minorHAnsi"/>
          <w:sz w:val="24"/>
          <w:szCs w:val="24"/>
          <w:lang w:val="el-GR"/>
        </w:rPr>
        <w:t xml:space="preserve"> </w:t>
      </w:r>
      <w:r w:rsidR="00220066" w:rsidRPr="00BC1783">
        <w:rPr>
          <w:rFonts w:cstheme="minorHAnsi"/>
          <w:sz w:val="24"/>
          <w:szCs w:val="24"/>
          <w:lang w:val="el-GR"/>
        </w:rPr>
        <w:t>2018 (</w:t>
      </w:r>
      <w:r>
        <w:rPr>
          <w:rFonts w:cstheme="minorHAnsi"/>
          <w:sz w:val="24"/>
          <w:szCs w:val="24"/>
          <w:lang w:val="el-GR"/>
        </w:rPr>
        <w:t>έτος</w:t>
      </w:r>
      <w:r w:rsidRPr="00BC1783">
        <w:rPr>
          <w:rFonts w:cstheme="minorHAnsi"/>
          <w:sz w:val="24"/>
          <w:szCs w:val="24"/>
          <w:lang w:val="el-GR"/>
        </w:rPr>
        <w:t xml:space="preserve"> </w:t>
      </w:r>
      <w:r>
        <w:rPr>
          <w:rFonts w:cstheme="minorHAnsi"/>
          <w:sz w:val="24"/>
          <w:szCs w:val="24"/>
          <w:lang w:val="el-GR"/>
        </w:rPr>
        <w:t>ίδρυσης</w:t>
      </w:r>
      <w:r w:rsidRPr="00BC1783">
        <w:rPr>
          <w:rFonts w:cstheme="minorHAnsi"/>
          <w:sz w:val="24"/>
          <w:szCs w:val="24"/>
          <w:lang w:val="el-GR"/>
        </w:rPr>
        <w:t xml:space="preserve"> </w:t>
      </w:r>
      <w:r>
        <w:rPr>
          <w:rFonts w:cstheme="minorHAnsi"/>
          <w:sz w:val="24"/>
          <w:szCs w:val="24"/>
          <w:lang w:val="el-GR"/>
        </w:rPr>
        <w:t>της</w:t>
      </w:r>
      <w:r w:rsidR="00220066" w:rsidRPr="00BC1783">
        <w:rPr>
          <w:rFonts w:cstheme="minorHAnsi"/>
          <w:sz w:val="24"/>
          <w:szCs w:val="24"/>
          <w:lang w:val="el-GR"/>
        </w:rPr>
        <w:t xml:space="preserve"> </w:t>
      </w:r>
      <w:r w:rsidR="00220066" w:rsidRPr="004E251E">
        <w:rPr>
          <w:rFonts w:cstheme="minorHAnsi"/>
          <w:sz w:val="24"/>
          <w:szCs w:val="24"/>
        </w:rPr>
        <w:t>P</w:t>
      </w:r>
      <w:r w:rsidR="00220066" w:rsidRPr="00BC1783">
        <w:rPr>
          <w:rFonts w:cstheme="minorHAnsi"/>
          <w:sz w:val="24"/>
          <w:szCs w:val="24"/>
          <w:lang w:val="el-GR"/>
        </w:rPr>
        <w:t>.</w:t>
      </w:r>
      <w:r w:rsidR="00220066" w:rsidRPr="004E251E">
        <w:rPr>
          <w:rFonts w:cstheme="minorHAnsi"/>
          <w:sz w:val="24"/>
          <w:szCs w:val="24"/>
        </w:rPr>
        <w:t>I</w:t>
      </w:r>
      <w:r w:rsidR="00220066" w:rsidRPr="00BC1783">
        <w:rPr>
          <w:rFonts w:cstheme="minorHAnsi"/>
          <w:sz w:val="24"/>
          <w:szCs w:val="24"/>
          <w:lang w:val="el-GR"/>
        </w:rPr>
        <w:t>.</w:t>
      </w:r>
      <w:r w:rsidR="00220066" w:rsidRPr="004E251E">
        <w:rPr>
          <w:rFonts w:cstheme="minorHAnsi"/>
          <w:sz w:val="24"/>
          <w:szCs w:val="24"/>
        </w:rPr>
        <w:t>A</w:t>
      </w:r>
      <w:r w:rsidR="00220066" w:rsidRPr="00BC1783">
        <w:rPr>
          <w:rFonts w:cstheme="minorHAnsi"/>
          <w:sz w:val="24"/>
          <w:szCs w:val="24"/>
          <w:lang w:val="el-GR"/>
        </w:rPr>
        <w:t>.</w:t>
      </w:r>
      <w:r w:rsidR="00220066" w:rsidRPr="004E251E">
        <w:rPr>
          <w:rFonts w:cstheme="minorHAnsi"/>
          <w:sz w:val="24"/>
          <w:szCs w:val="24"/>
        </w:rPr>
        <w:t>S</w:t>
      </w:r>
      <w:r w:rsidR="00220066" w:rsidRPr="00BC1783">
        <w:rPr>
          <w:rFonts w:cstheme="minorHAnsi"/>
          <w:sz w:val="24"/>
          <w:szCs w:val="24"/>
          <w:lang w:val="el-GR"/>
        </w:rPr>
        <w:t>.), 1</w:t>
      </w:r>
      <w:r w:rsidR="00475763" w:rsidRPr="00BC1783">
        <w:rPr>
          <w:rFonts w:cstheme="minorHAnsi"/>
          <w:sz w:val="24"/>
          <w:szCs w:val="24"/>
          <w:lang w:val="el-GR"/>
        </w:rPr>
        <w:t>5</w:t>
      </w:r>
      <w:r w:rsidR="00220066" w:rsidRPr="00BC1783">
        <w:rPr>
          <w:rFonts w:cstheme="minorHAnsi"/>
          <w:sz w:val="24"/>
          <w:szCs w:val="24"/>
          <w:lang w:val="el-GR"/>
        </w:rPr>
        <w:t xml:space="preserve"> </w:t>
      </w:r>
      <w:r>
        <w:rPr>
          <w:rFonts w:cstheme="minorHAnsi"/>
          <w:sz w:val="24"/>
          <w:szCs w:val="24"/>
          <w:lang w:val="el-GR"/>
        </w:rPr>
        <w:t>υποθέσεις</w:t>
      </w:r>
      <w:r w:rsidR="00220066" w:rsidRPr="00BC1783">
        <w:rPr>
          <w:rFonts w:cstheme="minorHAnsi"/>
          <w:sz w:val="24"/>
          <w:szCs w:val="24"/>
          <w:lang w:val="el-GR"/>
        </w:rPr>
        <w:t xml:space="preserve">, </w:t>
      </w:r>
      <w:r>
        <w:rPr>
          <w:rFonts w:cstheme="minorHAnsi"/>
          <w:sz w:val="24"/>
          <w:szCs w:val="24"/>
          <w:lang w:val="el-GR"/>
        </w:rPr>
        <w:t>που</w:t>
      </w:r>
      <w:r w:rsidRPr="00BC1783">
        <w:rPr>
          <w:rFonts w:cstheme="minorHAnsi"/>
          <w:sz w:val="24"/>
          <w:szCs w:val="24"/>
          <w:lang w:val="el-GR"/>
        </w:rPr>
        <w:t xml:space="preserve"> </w:t>
      </w:r>
      <w:r>
        <w:rPr>
          <w:rFonts w:cstheme="minorHAnsi"/>
          <w:sz w:val="24"/>
          <w:szCs w:val="24"/>
          <w:lang w:val="el-GR"/>
        </w:rPr>
        <w:t>αφορούν</w:t>
      </w:r>
      <w:r w:rsidRPr="00BC1783">
        <w:rPr>
          <w:rFonts w:cstheme="minorHAnsi"/>
          <w:sz w:val="24"/>
          <w:szCs w:val="24"/>
          <w:lang w:val="el-GR"/>
        </w:rPr>
        <w:t xml:space="preserve"> </w:t>
      </w:r>
      <w:r>
        <w:rPr>
          <w:rFonts w:cstheme="minorHAnsi"/>
          <w:sz w:val="24"/>
          <w:szCs w:val="24"/>
          <w:lang w:val="el-GR"/>
        </w:rPr>
        <w:t>την</w:t>
      </w:r>
      <w:r w:rsidRPr="00BC1783">
        <w:rPr>
          <w:rFonts w:cstheme="minorHAnsi"/>
          <w:sz w:val="24"/>
          <w:szCs w:val="24"/>
          <w:lang w:val="el-GR"/>
        </w:rPr>
        <w:t xml:space="preserve"> </w:t>
      </w:r>
      <w:r>
        <w:rPr>
          <w:rFonts w:cstheme="minorHAnsi"/>
          <w:sz w:val="24"/>
          <w:szCs w:val="24"/>
          <w:lang w:val="el-GR"/>
        </w:rPr>
        <w:t xml:space="preserve">διαφθορά στην </w:t>
      </w:r>
      <w:r w:rsidR="009C4E34">
        <w:rPr>
          <w:rFonts w:cstheme="minorHAnsi"/>
          <w:sz w:val="24"/>
          <w:szCs w:val="24"/>
          <w:lang w:val="el-GR"/>
        </w:rPr>
        <w:t>Αστυνομία</w:t>
      </w:r>
      <w:r w:rsidR="00220066" w:rsidRPr="00BC1783">
        <w:rPr>
          <w:rFonts w:cstheme="minorHAnsi"/>
          <w:sz w:val="24"/>
          <w:szCs w:val="24"/>
          <w:lang w:val="el-GR"/>
        </w:rPr>
        <w:t xml:space="preserve">, </w:t>
      </w:r>
      <w:r>
        <w:rPr>
          <w:rFonts w:cstheme="minorHAnsi"/>
          <w:sz w:val="24"/>
          <w:szCs w:val="24"/>
          <w:lang w:val="el-GR"/>
        </w:rPr>
        <w:t>οδηγήθηκαν ενώπιον του δικαστηρίου για ποινική δίωξη</w:t>
      </w:r>
      <w:r w:rsidR="00220066" w:rsidRPr="00BC1783">
        <w:rPr>
          <w:rFonts w:cstheme="minorHAnsi"/>
          <w:sz w:val="24"/>
          <w:szCs w:val="24"/>
          <w:lang w:val="el-GR"/>
        </w:rPr>
        <w:t xml:space="preserve">, </w:t>
      </w:r>
      <w:r>
        <w:rPr>
          <w:rFonts w:cstheme="minorHAnsi"/>
          <w:sz w:val="24"/>
          <w:szCs w:val="24"/>
          <w:lang w:val="el-GR"/>
        </w:rPr>
        <w:t>στις οποίες</w:t>
      </w:r>
      <w:r w:rsidR="00220066" w:rsidRPr="00BC1783">
        <w:rPr>
          <w:rFonts w:cstheme="minorHAnsi"/>
          <w:sz w:val="24"/>
          <w:szCs w:val="24"/>
          <w:lang w:val="el-GR"/>
        </w:rPr>
        <w:t xml:space="preserve"> </w:t>
      </w:r>
      <w:r w:rsidR="00FB34FC">
        <w:rPr>
          <w:rFonts w:cstheme="minorHAnsi"/>
          <w:sz w:val="24"/>
          <w:szCs w:val="24"/>
          <w:lang w:val="el-GR"/>
        </w:rPr>
        <w:t>είχαν εμπλακεί</w:t>
      </w:r>
      <w:r w:rsidR="00FB34FC" w:rsidRPr="00BC1783">
        <w:rPr>
          <w:rFonts w:cstheme="minorHAnsi"/>
          <w:sz w:val="24"/>
          <w:szCs w:val="24"/>
          <w:lang w:val="el-GR"/>
        </w:rPr>
        <w:t xml:space="preserve"> </w:t>
      </w:r>
      <w:r w:rsidR="00220066" w:rsidRPr="00BC1783">
        <w:rPr>
          <w:rFonts w:cstheme="minorHAnsi"/>
          <w:sz w:val="24"/>
          <w:szCs w:val="24"/>
          <w:lang w:val="el-GR"/>
        </w:rPr>
        <w:t>1</w:t>
      </w:r>
      <w:r w:rsidR="00475763" w:rsidRPr="00BC1783">
        <w:rPr>
          <w:rFonts w:cstheme="minorHAnsi"/>
          <w:sz w:val="24"/>
          <w:szCs w:val="24"/>
          <w:lang w:val="el-GR"/>
        </w:rPr>
        <w:t>5</w:t>
      </w:r>
      <w:r w:rsidR="00220066" w:rsidRPr="00BC1783">
        <w:rPr>
          <w:rFonts w:cstheme="minorHAnsi"/>
          <w:sz w:val="24"/>
          <w:szCs w:val="24"/>
          <w:lang w:val="el-GR"/>
        </w:rPr>
        <w:t xml:space="preserve"> </w:t>
      </w:r>
      <w:r>
        <w:rPr>
          <w:rFonts w:cstheme="minorHAnsi"/>
          <w:sz w:val="24"/>
          <w:szCs w:val="24"/>
          <w:lang w:val="el-GR"/>
        </w:rPr>
        <w:t xml:space="preserve">μέλη της </w:t>
      </w:r>
      <w:r w:rsidR="009C4E34">
        <w:rPr>
          <w:rFonts w:cstheme="minorHAnsi"/>
          <w:sz w:val="24"/>
          <w:szCs w:val="24"/>
          <w:lang w:val="el-GR"/>
        </w:rPr>
        <w:t>Αστυνομία</w:t>
      </w:r>
      <w:r>
        <w:rPr>
          <w:rFonts w:cstheme="minorHAnsi"/>
          <w:sz w:val="24"/>
          <w:szCs w:val="24"/>
          <w:lang w:val="el-GR"/>
        </w:rPr>
        <w:t>ς</w:t>
      </w:r>
      <w:r w:rsidR="00220066" w:rsidRPr="00BC1783">
        <w:rPr>
          <w:rFonts w:cstheme="minorHAnsi"/>
          <w:sz w:val="24"/>
          <w:szCs w:val="24"/>
          <w:lang w:val="el-GR"/>
        </w:rPr>
        <w:t xml:space="preserve"> </w:t>
      </w:r>
      <w:r>
        <w:rPr>
          <w:rFonts w:cstheme="minorHAnsi"/>
          <w:sz w:val="24"/>
          <w:szCs w:val="24"/>
          <w:lang w:val="el-GR"/>
        </w:rPr>
        <w:t>και</w:t>
      </w:r>
      <w:r w:rsidR="00220066" w:rsidRPr="00BC1783">
        <w:rPr>
          <w:rFonts w:cstheme="minorHAnsi"/>
          <w:sz w:val="24"/>
          <w:szCs w:val="24"/>
          <w:lang w:val="el-GR"/>
        </w:rPr>
        <w:t xml:space="preserve"> 14 </w:t>
      </w:r>
      <w:r>
        <w:rPr>
          <w:rFonts w:cstheme="minorHAnsi"/>
          <w:sz w:val="24"/>
          <w:szCs w:val="24"/>
          <w:lang w:val="el-GR"/>
        </w:rPr>
        <w:t>πολίτες</w:t>
      </w:r>
      <w:r w:rsidR="00220066" w:rsidRPr="00BC1783">
        <w:rPr>
          <w:rFonts w:cstheme="minorHAnsi"/>
          <w:sz w:val="24"/>
          <w:szCs w:val="24"/>
          <w:lang w:val="el-GR"/>
        </w:rPr>
        <w:t xml:space="preserve">. </w:t>
      </w:r>
      <w:r>
        <w:rPr>
          <w:rFonts w:cstheme="minorHAnsi"/>
          <w:sz w:val="24"/>
          <w:szCs w:val="24"/>
          <w:lang w:val="el-GR"/>
        </w:rPr>
        <w:t>Από</w:t>
      </w:r>
      <w:r w:rsidRPr="00FA6ADA">
        <w:rPr>
          <w:rFonts w:cstheme="minorHAnsi"/>
          <w:sz w:val="24"/>
          <w:szCs w:val="24"/>
          <w:lang w:val="el-GR"/>
        </w:rPr>
        <w:t xml:space="preserve"> </w:t>
      </w:r>
      <w:r>
        <w:rPr>
          <w:rFonts w:cstheme="minorHAnsi"/>
          <w:sz w:val="24"/>
          <w:szCs w:val="24"/>
          <w:lang w:val="el-GR"/>
        </w:rPr>
        <w:t>τις</w:t>
      </w:r>
      <w:r w:rsidRPr="00FA6ADA">
        <w:rPr>
          <w:rFonts w:cstheme="minorHAnsi"/>
          <w:sz w:val="24"/>
          <w:szCs w:val="24"/>
          <w:lang w:val="el-GR"/>
        </w:rPr>
        <w:t xml:space="preserve"> </w:t>
      </w:r>
      <w:r>
        <w:rPr>
          <w:rFonts w:cstheme="minorHAnsi"/>
          <w:sz w:val="24"/>
          <w:szCs w:val="24"/>
          <w:lang w:val="el-GR"/>
        </w:rPr>
        <w:t>πιο</w:t>
      </w:r>
      <w:r w:rsidRPr="00FA6ADA">
        <w:rPr>
          <w:rFonts w:cstheme="minorHAnsi"/>
          <w:sz w:val="24"/>
          <w:szCs w:val="24"/>
          <w:lang w:val="el-GR"/>
        </w:rPr>
        <w:t xml:space="preserve"> </w:t>
      </w:r>
      <w:r>
        <w:rPr>
          <w:rFonts w:cstheme="minorHAnsi"/>
          <w:sz w:val="24"/>
          <w:szCs w:val="24"/>
          <w:lang w:val="el-GR"/>
        </w:rPr>
        <w:t>πάνω</w:t>
      </w:r>
      <w:r w:rsidRPr="00FA6ADA">
        <w:rPr>
          <w:rFonts w:cstheme="minorHAnsi"/>
          <w:sz w:val="24"/>
          <w:szCs w:val="24"/>
          <w:lang w:val="el-GR"/>
        </w:rPr>
        <w:t xml:space="preserve"> </w:t>
      </w:r>
      <w:r>
        <w:rPr>
          <w:rFonts w:cstheme="minorHAnsi"/>
          <w:sz w:val="24"/>
          <w:szCs w:val="24"/>
          <w:lang w:val="el-GR"/>
        </w:rPr>
        <w:t>υποθ</w:t>
      </w:r>
      <w:r w:rsidR="00FA6ADA">
        <w:rPr>
          <w:rFonts w:cstheme="minorHAnsi"/>
          <w:sz w:val="24"/>
          <w:szCs w:val="24"/>
          <w:lang w:val="el-GR"/>
        </w:rPr>
        <w:t>έ</w:t>
      </w:r>
      <w:r>
        <w:rPr>
          <w:rFonts w:cstheme="minorHAnsi"/>
          <w:sz w:val="24"/>
          <w:szCs w:val="24"/>
          <w:lang w:val="el-GR"/>
        </w:rPr>
        <w:t>σεις</w:t>
      </w:r>
      <w:r w:rsidR="00220066" w:rsidRPr="00FA6ADA">
        <w:rPr>
          <w:rFonts w:cstheme="minorHAnsi"/>
          <w:sz w:val="24"/>
          <w:szCs w:val="24"/>
          <w:lang w:val="el-GR"/>
        </w:rPr>
        <w:t xml:space="preserve">, </w:t>
      </w:r>
      <w:r w:rsidR="00FA6ADA">
        <w:rPr>
          <w:rFonts w:cstheme="minorHAnsi"/>
          <w:sz w:val="24"/>
          <w:szCs w:val="24"/>
          <w:lang w:val="el-GR"/>
        </w:rPr>
        <w:t>μια</w:t>
      </w:r>
      <w:r w:rsidR="00FA6ADA" w:rsidRPr="00FA6ADA">
        <w:rPr>
          <w:rFonts w:cstheme="minorHAnsi"/>
          <w:sz w:val="24"/>
          <w:szCs w:val="24"/>
          <w:lang w:val="el-GR"/>
        </w:rPr>
        <w:t xml:space="preserve"> </w:t>
      </w:r>
      <w:r w:rsidR="00FA6ADA">
        <w:rPr>
          <w:rFonts w:cstheme="minorHAnsi"/>
          <w:sz w:val="24"/>
          <w:szCs w:val="24"/>
          <w:lang w:val="el-GR"/>
        </w:rPr>
        <w:t>υπόθεση</w:t>
      </w:r>
      <w:r w:rsidR="00FA6ADA" w:rsidRPr="00FA6ADA">
        <w:rPr>
          <w:rFonts w:cstheme="minorHAnsi"/>
          <w:sz w:val="24"/>
          <w:szCs w:val="24"/>
          <w:lang w:val="el-GR"/>
        </w:rPr>
        <w:t xml:space="preserve"> </w:t>
      </w:r>
      <w:r w:rsidR="00FA6ADA">
        <w:rPr>
          <w:rFonts w:cstheme="minorHAnsi"/>
          <w:sz w:val="24"/>
          <w:szCs w:val="24"/>
          <w:lang w:val="el-GR"/>
        </w:rPr>
        <w:t>ολοκληρώθηκε</w:t>
      </w:r>
      <w:r w:rsidR="00220066" w:rsidRPr="00FA6ADA">
        <w:rPr>
          <w:rFonts w:cstheme="minorHAnsi"/>
          <w:sz w:val="24"/>
          <w:szCs w:val="24"/>
          <w:lang w:val="el-GR"/>
        </w:rPr>
        <w:t xml:space="preserve">, </w:t>
      </w:r>
      <w:r w:rsidR="00FA6ADA">
        <w:rPr>
          <w:rFonts w:cstheme="minorHAnsi"/>
          <w:sz w:val="24"/>
          <w:szCs w:val="24"/>
          <w:lang w:val="el-GR"/>
        </w:rPr>
        <w:t>και</w:t>
      </w:r>
      <w:r w:rsidR="00FA6ADA" w:rsidRPr="00FA6ADA">
        <w:rPr>
          <w:rFonts w:cstheme="minorHAnsi"/>
          <w:sz w:val="24"/>
          <w:szCs w:val="24"/>
          <w:lang w:val="el-GR"/>
        </w:rPr>
        <w:t xml:space="preserve"> </w:t>
      </w:r>
      <w:r w:rsidR="00FA6ADA">
        <w:rPr>
          <w:rFonts w:cstheme="minorHAnsi"/>
          <w:sz w:val="24"/>
          <w:szCs w:val="24"/>
          <w:lang w:val="el-GR"/>
        </w:rPr>
        <w:t>το</w:t>
      </w:r>
      <w:r w:rsidR="00FA6ADA" w:rsidRPr="00FA6ADA">
        <w:rPr>
          <w:rFonts w:cstheme="minorHAnsi"/>
          <w:sz w:val="24"/>
          <w:szCs w:val="24"/>
          <w:lang w:val="el-GR"/>
        </w:rPr>
        <w:t xml:space="preserve"> </w:t>
      </w:r>
      <w:r w:rsidR="00FA6ADA">
        <w:rPr>
          <w:rFonts w:cstheme="minorHAnsi"/>
          <w:sz w:val="24"/>
          <w:szCs w:val="24"/>
          <w:lang w:val="el-GR"/>
        </w:rPr>
        <w:t>εμπλεκόμενο</w:t>
      </w:r>
      <w:r w:rsidR="00FA6ADA" w:rsidRPr="00FA6ADA">
        <w:rPr>
          <w:rFonts w:cstheme="minorHAnsi"/>
          <w:sz w:val="24"/>
          <w:szCs w:val="24"/>
          <w:lang w:val="el-GR"/>
        </w:rPr>
        <w:t xml:space="preserve"> </w:t>
      </w:r>
      <w:r w:rsidR="00FA6ADA">
        <w:rPr>
          <w:rFonts w:cstheme="minorHAnsi"/>
          <w:sz w:val="24"/>
          <w:szCs w:val="24"/>
          <w:lang w:val="el-GR"/>
        </w:rPr>
        <w:t>μέλος</w:t>
      </w:r>
      <w:r w:rsidR="00FA6ADA" w:rsidRPr="00FA6ADA">
        <w:rPr>
          <w:rFonts w:cstheme="minorHAnsi"/>
          <w:sz w:val="24"/>
          <w:szCs w:val="24"/>
          <w:lang w:val="el-GR"/>
        </w:rPr>
        <w:t xml:space="preserve"> </w:t>
      </w:r>
      <w:r w:rsidR="00FA6ADA">
        <w:rPr>
          <w:rFonts w:cstheme="minorHAnsi"/>
          <w:sz w:val="24"/>
          <w:szCs w:val="24"/>
          <w:lang w:val="el-GR"/>
        </w:rPr>
        <w:t>της</w:t>
      </w:r>
      <w:r w:rsidR="00FA6ADA" w:rsidRPr="00FA6ADA">
        <w:rPr>
          <w:rFonts w:cstheme="minorHAnsi"/>
          <w:sz w:val="24"/>
          <w:szCs w:val="24"/>
          <w:lang w:val="el-GR"/>
        </w:rPr>
        <w:t xml:space="preserve"> </w:t>
      </w:r>
      <w:r w:rsidR="009C4E34">
        <w:rPr>
          <w:rFonts w:cstheme="minorHAnsi"/>
          <w:sz w:val="24"/>
          <w:szCs w:val="24"/>
          <w:lang w:val="el-GR"/>
        </w:rPr>
        <w:t>Αστυνομία</w:t>
      </w:r>
      <w:r w:rsidR="00FA6ADA">
        <w:rPr>
          <w:rFonts w:cstheme="minorHAnsi"/>
          <w:sz w:val="24"/>
          <w:szCs w:val="24"/>
          <w:lang w:val="el-GR"/>
        </w:rPr>
        <w:t>ς</w:t>
      </w:r>
      <w:r w:rsidR="00220066" w:rsidRPr="00FA6ADA">
        <w:rPr>
          <w:rFonts w:cstheme="minorHAnsi"/>
          <w:sz w:val="24"/>
          <w:szCs w:val="24"/>
          <w:lang w:val="el-GR"/>
        </w:rPr>
        <w:t xml:space="preserve"> </w:t>
      </w:r>
      <w:r w:rsidR="00FA6ADA">
        <w:rPr>
          <w:rFonts w:cstheme="minorHAnsi"/>
          <w:sz w:val="24"/>
          <w:szCs w:val="24"/>
          <w:lang w:val="el-GR"/>
        </w:rPr>
        <w:t>καταδικάστηκε σε έξι μήνες φυλάκιση</w:t>
      </w:r>
      <w:r w:rsidR="00220066" w:rsidRPr="00FA6ADA">
        <w:rPr>
          <w:rFonts w:cstheme="minorHAnsi"/>
          <w:sz w:val="24"/>
          <w:szCs w:val="24"/>
          <w:lang w:val="el-GR"/>
        </w:rPr>
        <w:t xml:space="preserve"> </w:t>
      </w:r>
      <w:r w:rsidR="00FA6ADA">
        <w:rPr>
          <w:rFonts w:cstheme="minorHAnsi"/>
          <w:sz w:val="24"/>
          <w:szCs w:val="24"/>
          <w:lang w:val="el-GR"/>
        </w:rPr>
        <w:t>με αναστολή τριών χρόνων</w:t>
      </w:r>
      <w:r w:rsidR="00220066" w:rsidRPr="00FA6ADA">
        <w:rPr>
          <w:rFonts w:cstheme="minorHAnsi"/>
          <w:sz w:val="24"/>
          <w:szCs w:val="24"/>
          <w:lang w:val="el-GR"/>
        </w:rPr>
        <w:t xml:space="preserve">. </w:t>
      </w:r>
      <w:r w:rsidR="00FA6ADA">
        <w:rPr>
          <w:rFonts w:cstheme="minorHAnsi"/>
          <w:sz w:val="24"/>
          <w:szCs w:val="24"/>
          <w:lang w:val="el-GR"/>
        </w:rPr>
        <w:t>Αυτό</w:t>
      </w:r>
      <w:r w:rsidR="00FA6ADA" w:rsidRPr="00FA6ADA">
        <w:rPr>
          <w:rFonts w:cstheme="minorHAnsi"/>
          <w:sz w:val="24"/>
          <w:szCs w:val="24"/>
          <w:lang w:val="el-GR"/>
        </w:rPr>
        <w:t xml:space="preserve"> </w:t>
      </w:r>
      <w:r w:rsidR="00FA6ADA">
        <w:rPr>
          <w:rFonts w:cstheme="minorHAnsi"/>
          <w:sz w:val="24"/>
          <w:szCs w:val="24"/>
          <w:lang w:val="el-GR"/>
        </w:rPr>
        <w:t>το</w:t>
      </w:r>
      <w:r w:rsidR="00FA6ADA" w:rsidRPr="00FA6ADA">
        <w:rPr>
          <w:rFonts w:cstheme="minorHAnsi"/>
          <w:sz w:val="24"/>
          <w:szCs w:val="24"/>
          <w:lang w:val="el-GR"/>
        </w:rPr>
        <w:t xml:space="preserve"> </w:t>
      </w:r>
      <w:r w:rsidR="00FA6ADA">
        <w:rPr>
          <w:rFonts w:cstheme="minorHAnsi"/>
          <w:sz w:val="24"/>
          <w:szCs w:val="24"/>
          <w:lang w:val="el-GR"/>
        </w:rPr>
        <w:t>μέλος</w:t>
      </w:r>
      <w:r w:rsidR="00FA6ADA" w:rsidRPr="00FA6ADA">
        <w:rPr>
          <w:rFonts w:cstheme="minorHAnsi"/>
          <w:sz w:val="24"/>
          <w:szCs w:val="24"/>
          <w:lang w:val="el-GR"/>
        </w:rPr>
        <w:t xml:space="preserve"> </w:t>
      </w:r>
      <w:r w:rsidR="00FA6ADA">
        <w:rPr>
          <w:rFonts w:cstheme="minorHAnsi"/>
          <w:sz w:val="24"/>
          <w:szCs w:val="24"/>
          <w:lang w:val="el-GR"/>
        </w:rPr>
        <w:t>κατηγορήθηκε</w:t>
      </w:r>
      <w:r w:rsidR="00FA6ADA" w:rsidRPr="00FA6ADA">
        <w:rPr>
          <w:rFonts w:cstheme="minorHAnsi"/>
          <w:sz w:val="24"/>
          <w:szCs w:val="24"/>
          <w:lang w:val="el-GR"/>
        </w:rPr>
        <w:t xml:space="preserve"> </w:t>
      </w:r>
      <w:r w:rsidR="00FA6ADA">
        <w:rPr>
          <w:rFonts w:cstheme="minorHAnsi"/>
          <w:sz w:val="24"/>
          <w:szCs w:val="24"/>
          <w:lang w:val="el-GR"/>
        </w:rPr>
        <w:t>επίσης</w:t>
      </w:r>
      <w:r w:rsidR="00FA6ADA" w:rsidRPr="00FA6ADA">
        <w:rPr>
          <w:rFonts w:cstheme="minorHAnsi"/>
          <w:sz w:val="24"/>
          <w:szCs w:val="24"/>
          <w:lang w:val="el-GR"/>
        </w:rPr>
        <w:t xml:space="preserve"> </w:t>
      </w:r>
      <w:r w:rsidR="00FA6ADA">
        <w:rPr>
          <w:rFonts w:cstheme="minorHAnsi"/>
          <w:sz w:val="24"/>
          <w:szCs w:val="24"/>
          <w:lang w:val="el-GR"/>
        </w:rPr>
        <w:t>μέσω</w:t>
      </w:r>
      <w:r w:rsidR="00FA6ADA" w:rsidRPr="00FA6ADA">
        <w:rPr>
          <w:rFonts w:cstheme="minorHAnsi"/>
          <w:sz w:val="24"/>
          <w:szCs w:val="24"/>
          <w:lang w:val="el-GR"/>
        </w:rPr>
        <w:t xml:space="preserve"> </w:t>
      </w:r>
      <w:r w:rsidR="00FA6ADA">
        <w:rPr>
          <w:rFonts w:cstheme="minorHAnsi"/>
          <w:sz w:val="24"/>
          <w:szCs w:val="24"/>
          <w:lang w:val="el-GR"/>
        </w:rPr>
        <w:t>πειθαρχικής</w:t>
      </w:r>
      <w:r w:rsidR="00FA6ADA" w:rsidRPr="00FA6ADA">
        <w:rPr>
          <w:rFonts w:cstheme="minorHAnsi"/>
          <w:sz w:val="24"/>
          <w:szCs w:val="24"/>
          <w:lang w:val="el-GR"/>
        </w:rPr>
        <w:t xml:space="preserve"> </w:t>
      </w:r>
      <w:r w:rsidR="00FA6ADA">
        <w:rPr>
          <w:rFonts w:cstheme="minorHAnsi"/>
          <w:sz w:val="24"/>
          <w:szCs w:val="24"/>
          <w:lang w:val="el-GR"/>
        </w:rPr>
        <w:t xml:space="preserve">διαδικασίας και η ποινή που επιβλήθηκε </w:t>
      </w:r>
      <w:proofErr w:type="spellStart"/>
      <w:r w:rsidR="00FA6ADA">
        <w:rPr>
          <w:rFonts w:cstheme="minorHAnsi"/>
          <w:sz w:val="24"/>
          <w:szCs w:val="24"/>
          <w:lang w:val="el-GR"/>
        </w:rPr>
        <w:t>σ’αυτόν</w:t>
      </w:r>
      <w:proofErr w:type="spellEnd"/>
      <w:r w:rsidR="00FA6ADA">
        <w:rPr>
          <w:rFonts w:cstheme="minorHAnsi"/>
          <w:sz w:val="24"/>
          <w:szCs w:val="24"/>
          <w:lang w:val="el-GR"/>
        </w:rPr>
        <w:t xml:space="preserve"> ήταν η παραίτηση από την δύναμη</w:t>
      </w:r>
      <w:r w:rsidR="00220066" w:rsidRPr="00FA6ADA">
        <w:rPr>
          <w:rFonts w:cstheme="minorHAnsi"/>
          <w:sz w:val="24"/>
          <w:szCs w:val="24"/>
          <w:lang w:val="el-GR"/>
        </w:rPr>
        <w:t>.</w:t>
      </w:r>
      <w:r w:rsidR="00475763" w:rsidRPr="00FA6ADA">
        <w:rPr>
          <w:rFonts w:cstheme="minorHAnsi"/>
          <w:sz w:val="24"/>
          <w:szCs w:val="24"/>
          <w:lang w:val="el-GR"/>
        </w:rPr>
        <w:t xml:space="preserve"> </w:t>
      </w:r>
      <w:bookmarkStart w:id="261" w:name="_Hlk132890417"/>
      <w:r w:rsidR="00FA6ADA">
        <w:rPr>
          <w:rFonts w:cstheme="minorHAnsi"/>
          <w:sz w:val="24"/>
          <w:szCs w:val="24"/>
          <w:lang w:val="el-GR"/>
        </w:rPr>
        <w:t>Σε</w:t>
      </w:r>
      <w:r w:rsidR="00FA6ADA" w:rsidRPr="00FA6ADA">
        <w:rPr>
          <w:rFonts w:cstheme="minorHAnsi"/>
          <w:sz w:val="24"/>
          <w:szCs w:val="24"/>
          <w:lang w:val="el-GR"/>
        </w:rPr>
        <w:t xml:space="preserve"> </w:t>
      </w:r>
      <w:r w:rsidR="00FA6ADA">
        <w:rPr>
          <w:rFonts w:cstheme="minorHAnsi"/>
          <w:sz w:val="24"/>
          <w:szCs w:val="24"/>
          <w:lang w:val="el-GR"/>
        </w:rPr>
        <w:t>μια</w:t>
      </w:r>
      <w:r w:rsidR="00FA6ADA" w:rsidRPr="00FA6ADA">
        <w:rPr>
          <w:rFonts w:cstheme="minorHAnsi"/>
          <w:sz w:val="24"/>
          <w:szCs w:val="24"/>
          <w:lang w:val="el-GR"/>
        </w:rPr>
        <w:t xml:space="preserve"> </w:t>
      </w:r>
      <w:r w:rsidR="00FA6ADA">
        <w:rPr>
          <w:rFonts w:cstheme="minorHAnsi"/>
          <w:sz w:val="24"/>
          <w:szCs w:val="24"/>
          <w:lang w:val="el-GR"/>
        </w:rPr>
        <w:t>υπόθεση</w:t>
      </w:r>
      <w:r w:rsidR="00475763" w:rsidRPr="00FA6ADA">
        <w:rPr>
          <w:rFonts w:cs="Calibri"/>
          <w:sz w:val="24"/>
          <w:szCs w:val="24"/>
          <w:lang w:val="el-GR"/>
        </w:rPr>
        <w:t xml:space="preserve">, </w:t>
      </w:r>
      <w:r w:rsidR="00FA6ADA">
        <w:rPr>
          <w:rFonts w:cs="Calibri"/>
          <w:sz w:val="24"/>
          <w:szCs w:val="24"/>
          <w:lang w:val="el-GR"/>
        </w:rPr>
        <w:t>ένας</w:t>
      </w:r>
      <w:r w:rsidR="00FA6ADA" w:rsidRPr="00FA6ADA">
        <w:rPr>
          <w:rFonts w:cs="Calibri"/>
          <w:sz w:val="24"/>
          <w:szCs w:val="24"/>
          <w:lang w:val="el-GR"/>
        </w:rPr>
        <w:t xml:space="preserve"> </w:t>
      </w:r>
      <w:r w:rsidR="00FA6ADA">
        <w:rPr>
          <w:rFonts w:cs="Calibri"/>
          <w:sz w:val="24"/>
          <w:szCs w:val="24"/>
          <w:lang w:val="el-GR"/>
        </w:rPr>
        <w:t>πολίτης</w:t>
      </w:r>
      <w:r w:rsidR="00FA6ADA" w:rsidRPr="00FA6ADA">
        <w:rPr>
          <w:rFonts w:cs="Calibri"/>
          <w:sz w:val="24"/>
          <w:szCs w:val="24"/>
          <w:lang w:val="el-GR"/>
        </w:rPr>
        <w:t xml:space="preserve"> </w:t>
      </w:r>
      <w:r w:rsidR="00FA6ADA">
        <w:rPr>
          <w:rFonts w:cs="Calibri"/>
          <w:sz w:val="24"/>
          <w:szCs w:val="24"/>
          <w:lang w:val="el-GR"/>
        </w:rPr>
        <w:t>καταδικάστηκε</w:t>
      </w:r>
      <w:r w:rsidR="00FA6ADA" w:rsidRPr="00FA6ADA">
        <w:rPr>
          <w:rFonts w:cs="Calibri"/>
          <w:sz w:val="24"/>
          <w:szCs w:val="24"/>
          <w:lang w:val="el-GR"/>
        </w:rPr>
        <w:t xml:space="preserve"> </w:t>
      </w:r>
      <w:r w:rsidR="00FA6ADA">
        <w:rPr>
          <w:rFonts w:cs="Calibri"/>
          <w:sz w:val="24"/>
          <w:szCs w:val="24"/>
          <w:lang w:val="el-GR"/>
        </w:rPr>
        <w:t>σε</w:t>
      </w:r>
      <w:r w:rsidR="00FA6ADA" w:rsidRPr="00FA6ADA">
        <w:rPr>
          <w:rFonts w:cs="Calibri"/>
          <w:sz w:val="24"/>
          <w:szCs w:val="24"/>
          <w:lang w:val="el-GR"/>
        </w:rPr>
        <w:t xml:space="preserve"> </w:t>
      </w:r>
      <w:r w:rsidR="00FA6ADA">
        <w:rPr>
          <w:rFonts w:cs="Calibri"/>
          <w:sz w:val="24"/>
          <w:szCs w:val="24"/>
          <w:lang w:val="el-GR"/>
        </w:rPr>
        <w:t>φυλάκιση</w:t>
      </w:r>
      <w:r w:rsidR="00FA6ADA" w:rsidRPr="00FA6ADA">
        <w:rPr>
          <w:rFonts w:cs="Calibri"/>
          <w:sz w:val="24"/>
          <w:szCs w:val="24"/>
          <w:lang w:val="el-GR"/>
        </w:rPr>
        <w:t xml:space="preserve"> </w:t>
      </w:r>
      <w:r w:rsidR="00FA6ADA">
        <w:rPr>
          <w:rFonts w:cs="Calibri"/>
          <w:sz w:val="24"/>
          <w:szCs w:val="24"/>
          <w:lang w:val="el-GR"/>
        </w:rPr>
        <w:t>οχτώ</w:t>
      </w:r>
      <w:r w:rsidR="00FA6ADA" w:rsidRPr="00FA6ADA">
        <w:rPr>
          <w:rFonts w:cs="Calibri"/>
          <w:sz w:val="24"/>
          <w:szCs w:val="24"/>
          <w:lang w:val="el-GR"/>
        </w:rPr>
        <w:t xml:space="preserve"> </w:t>
      </w:r>
      <w:r w:rsidR="00FA6ADA">
        <w:rPr>
          <w:rFonts w:cs="Calibri"/>
          <w:sz w:val="24"/>
          <w:szCs w:val="24"/>
          <w:lang w:val="el-GR"/>
        </w:rPr>
        <w:t>μηνών</w:t>
      </w:r>
      <w:r w:rsidR="00475763" w:rsidRPr="00FA6ADA">
        <w:rPr>
          <w:rFonts w:cs="Calibri"/>
          <w:sz w:val="24"/>
          <w:szCs w:val="24"/>
          <w:lang w:val="el-GR"/>
        </w:rPr>
        <w:t xml:space="preserve"> </w:t>
      </w:r>
      <w:r w:rsidR="00FA6ADA">
        <w:rPr>
          <w:rFonts w:cs="Calibri"/>
          <w:sz w:val="24"/>
          <w:szCs w:val="24"/>
          <w:lang w:val="el-GR"/>
        </w:rPr>
        <w:t>για</w:t>
      </w:r>
      <w:r w:rsidR="00FA6ADA" w:rsidRPr="00FA6ADA">
        <w:rPr>
          <w:rFonts w:cs="Calibri"/>
          <w:sz w:val="24"/>
          <w:szCs w:val="24"/>
          <w:lang w:val="el-GR"/>
        </w:rPr>
        <w:t xml:space="preserve"> </w:t>
      </w:r>
      <w:r w:rsidR="00FA6ADA">
        <w:rPr>
          <w:rFonts w:cs="Calibri"/>
          <w:sz w:val="24"/>
          <w:szCs w:val="24"/>
          <w:lang w:val="el-GR"/>
        </w:rPr>
        <w:t>ένα</w:t>
      </w:r>
      <w:r w:rsidR="00FA6ADA" w:rsidRPr="00FA6ADA">
        <w:rPr>
          <w:rFonts w:cs="Calibri"/>
          <w:sz w:val="24"/>
          <w:szCs w:val="24"/>
          <w:lang w:val="el-GR"/>
        </w:rPr>
        <w:t xml:space="preserve"> </w:t>
      </w:r>
      <w:r w:rsidR="00FA6ADA">
        <w:rPr>
          <w:rFonts w:cs="Calibri"/>
          <w:sz w:val="24"/>
          <w:szCs w:val="24"/>
          <w:lang w:val="el-GR"/>
        </w:rPr>
        <w:t>ποινικό</w:t>
      </w:r>
      <w:r w:rsidR="00FA6ADA" w:rsidRPr="00FA6ADA">
        <w:rPr>
          <w:rFonts w:cs="Calibri"/>
          <w:sz w:val="24"/>
          <w:szCs w:val="24"/>
          <w:lang w:val="el-GR"/>
        </w:rPr>
        <w:t xml:space="preserve"> </w:t>
      </w:r>
      <w:r w:rsidR="00FA6ADA">
        <w:rPr>
          <w:rFonts w:cs="Calibri"/>
          <w:sz w:val="24"/>
          <w:szCs w:val="24"/>
          <w:lang w:val="el-GR"/>
        </w:rPr>
        <w:t>αδίκημα</w:t>
      </w:r>
      <w:r w:rsidR="00475763" w:rsidRPr="00FA6ADA">
        <w:rPr>
          <w:rFonts w:cs="Calibri"/>
          <w:sz w:val="24"/>
          <w:szCs w:val="24"/>
          <w:lang w:val="el-GR"/>
        </w:rPr>
        <w:t xml:space="preserve">, </w:t>
      </w:r>
      <w:r w:rsidR="00FA6ADA">
        <w:rPr>
          <w:rFonts w:cs="Calibri"/>
          <w:sz w:val="24"/>
          <w:szCs w:val="24"/>
          <w:lang w:val="el-GR"/>
        </w:rPr>
        <w:t xml:space="preserve">για την οποία λήφθηκε επίσης </w:t>
      </w:r>
      <w:r w:rsidR="00463ACC">
        <w:rPr>
          <w:rFonts w:cs="Calibri"/>
          <w:sz w:val="24"/>
          <w:szCs w:val="24"/>
          <w:lang w:val="el-GR"/>
        </w:rPr>
        <w:t>υπόψη</w:t>
      </w:r>
      <w:r w:rsidR="00FA6ADA">
        <w:rPr>
          <w:rFonts w:cs="Calibri"/>
          <w:sz w:val="24"/>
          <w:szCs w:val="24"/>
          <w:lang w:val="el-GR"/>
        </w:rPr>
        <w:t xml:space="preserve"> μια υπόθεση</w:t>
      </w:r>
      <w:r w:rsidR="00475763" w:rsidRPr="00FA6ADA">
        <w:rPr>
          <w:rFonts w:cs="Calibri"/>
          <w:sz w:val="24"/>
          <w:szCs w:val="24"/>
          <w:lang w:val="el-GR"/>
        </w:rPr>
        <w:t xml:space="preserve"> </w:t>
      </w:r>
      <w:r w:rsidR="00FA6ADA">
        <w:rPr>
          <w:rFonts w:cs="Calibri"/>
          <w:sz w:val="24"/>
          <w:szCs w:val="24"/>
          <w:lang w:val="el-GR"/>
        </w:rPr>
        <w:t>παροχής ψευδών πληροφοριών στην</w:t>
      </w:r>
      <w:r w:rsidR="00475763" w:rsidRPr="00FA6ADA">
        <w:rPr>
          <w:rFonts w:cs="Calibri"/>
          <w:sz w:val="24"/>
          <w:szCs w:val="24"/>
          <w:lang w:val="el-GR"/>
        </w:rPr>
        <w:t xml:space="preserve"> </w:t>
      </w:r>
      <w:r w:rsidR="00475763" w:rsidRPr="00B95983">
        <w:rPr>
          <w:rFonts w:cs="Calibri"/>
          <w:sz w:val="24"/>
          <w:szCs w:val="24"/>
        </w:rPr>
        <w:t>P</w:t>
      </w:r>
      <w:r w:rsidR="00475763" w:rsidRPr="00FA6ADA">
        <w:rPr>
          <w:rFonts w:cs="Calibri"/>
          <w:sz w:val="24"/>
          <w:szCs w:val="24"/>
          <w:lang w:val="el-GR"/>
        </w:rPr>
        <w:t>.</w:t>
      </w:r>
      <w:r w:rsidR="00475763" w:rsidRPr="00B95983">
        <w:rPr>
          <w:rFonts w:cs="Calibri"/>
          <w:sz w:val="24"/>
          <w:szCs w:val="24"/>
        </w:rPr>
        <w:t>I</w:t>
      </w:r>
      <w:r w:rsidR="00475763" w:rsidRPr="00FA6ADA">
        <w:rPr>
          <w:rFonts w:cs="Calibri"/>
          <w:sz w:val="24"/>
          <w:szCs w:val="24"/>
          <w:lang w:val="el-GR"/>
        </w:rPr>
        <w:t>.</w:t>
      </w:r>
      <w:r w:rsidR="00475763" w:rsidRPr="00B95983">
        <w:rPr>
          <w:rFonts w:cs="Calibri"/>
          <w:sz w:val="24"/>
          <w:szCs w:val="24"/>
        </w:rPr>
        <w:t>A</w:t>
      </w:r>
      <w:r w:rsidR="00475763" w:rsidRPr="00FA6ADA">
        <w:rPr>
          <w:rFonts w:cs="Calibri"/>
          <w:sz w:val="24"/>
          <w:szCs w:val="24"/>
          <w:lang w:val="el-GR"/>
        </w:rPr>
        <w:t>.</w:t>
      </w:r>
      <w:r w:rsidR="00475763" w:rsidRPr="00B95983">
        <w:rPr>
          <w:rFonts w:cs="Calibri"/>
          <w:sz w:val="24"/>
          <w:szCs w:val="24"/>
        </w:rPr>
        <w:t>S</w:t>
      </w:r>
      <w:r w:rsidR="00475763" w:rsidRPr="00FA6ADA">
        <w:rPr>
          <w:rFonts w:cs="Calibri"/>
          <w:sz w:val="24"/>
          <w:szCs w:val="24"/>
          <w:lang w:val="el-GR"/>
        </w:rPr>
        <w:t>..</w:t>
      </w:r>
      <w:r w:rsidR="00475763" w:rsidRPr="00FA6ADA">
        <w:rPr>
          <w:rFonts w:cstheme="minorHAnsi"/>
          <w:sz w:val="24"/>
          <w:szCs w:val="24"/>
          <w:lang w:val="el-GR"/>
        </w:rPr>
        <w:t xml:space="preserve"> </w:t>
      </w:r>
      <w:r w:rsidR="0042226C">
        <w:rPr>
          <w:rFonts w:cstheme="minorHAnsi"/>
          <w:sz w:val="24"/>
          <w:szCs w:val="24"/>
          <w:lang w:val="el-GR"/>
        </w:rPr>
        <w:t>Σε</w:t>
      </w:r>
      <w:r w:rsidR="0042226C" w:rsidRPr="0042226C">
        <w:rPr>
          <w:rFonts w:cstheme="minorHAnsi"/>
          <w:sz w:val="24"/>
          <w:szCs w:val="24"/>
          <w:lang w:val="el-GR"/>
        </w:rPr>
        <w:t xml:space="preserve"> </w:t>
      </w:r>
      <w:r w:rsidR="0042226C">
        <w:rPr>
          <w:rFonts w:cstheme="minorHAnsi"/>
          <w:sz w:val="24"/>
          <w:szCs w:val="24"/>
          <w:lang w:val="el-GR"/>
        </w:rPr>
        <w:t>δύο</w:t>
      </w:r>
      <w:r w:rsidR="0042226C" w:rsidRPr="0042226C">
        <w:rPr>
          <w:rFonts w:cstheme="minorHAnsi"/>
          <w:sz w:val="24"/>
          <w:szCs w:val="24"/>
          <w:lang w:val="el-GR"/>
        </w:rPr>
        <w:t xml:space="preserve"> </w:t>
      </w:r>
      <w:r w:rsidR="0042226C">
        <w:rPr>
          <w:rFonts w:cstheme="minorHAnsi"/>
          <w:sz w:val="24"/>
          <w:szCs w:val="24"/>
          <w:lang w:val="el-GR"/>
        </w:rPr>
        <w:t>υποθέσεις</w:t>
      </w:r>
      <w:r w:rsidR="00220066" w:rsidRPr="0042226C">
        <w:rPr>
          <w:rFonts w:cstheme="minorHAnsi"/>
          <w:sz w:val="24"/>
          <w:szCs w:val="24"/>
          <w:lang w:val="el-GR"/>
        </w:rPr>
        <w:t xml:space="preserve">, </w:t>
      </w:r>
      <w:r w:rsidR="0042226C">
        <w:rPr>
          <w:rFonts w:cstheme="minorHAnsi"/>
          <w:sz w:val="24"/>
          <w:szCs w:val="24"/>
          <w:lang w:val="el-GR"/>
        </w:rPr>
        <w:t>η</w:t>
      </w:r>
      <w:r w:rsidR="0042226C" w:rsidRPr="0042226C">
        <w:rPr>
          <w:rFonts w:cstheme="minorHAnsi"/>
          <w:sz w:val="24"/>
          <w:szCs w:val="24"/>
          <w:lang w:val="el-GR"/>
        </w:rPr>
        <w:t xml:space="preserve"> </w:t>
      </w:r>
      <w:r w:rsidR="0042226C">
        <w:rPr>
          <w:rFonts w:cstheme="minorHAnsi"/>
          <w:sz w:val="24"/>
          <w:szCs w:val="24"/>
          <w:lang w:val="el-GR"/>
        </w:rPr>
        <w:t>ποινική</w:t>
      </w:r>
      <w:r w:rsidR="0042226C" w:rsidRPr="0042226C">
        <w:rPr>
          <w:rFonts w:cstheme="minorHAnsi"/>
          <w:sz w:val="24"/>
          <w:szCs w:val="24"/>
          <w:lang w:val="el-GR"/>
        </w:rPr>
        <w:t xml:space="preserve"> </w:t>
      </w:r>
      <w:r w:rsidR="0042226C">
        <w:rPr>
          <w:rFonts w:cstheme="minorHAnsi"/>
          <w:sz w:val="24"/>
          <w:szCs w:val="24"/>
          <w:lang w:val="el-GR"/>
        </w:rPr>
        <w:t>δίωξη</w:t>
      </w:r>
      <w:r w:rsidR="0042226C" w:rsidRPr="0042226C">
        <w:rPr>
          <w:rFonts w:cstheme="minorHAnsi"/>
          <w:sz w:val="24"/>
          <w:szCs w:val="24"/>
          <w:lang w:val="el-GR"/>
        </w:rPr>
        <w:t xml:space="preserve"> </w:t>
      </w:r>
      <w:r w:rsidR="0042226C">
        <w:rPr>
          <w:rFonts w:cstheme="minorHAnsi"/>
          <w:sz w:val="24"/>
          <w:szCs w:val="24"/>
          <w:lang w:val="el-GR"/>
        </w:rPr>
        <w:t>αναβλήθηκε</w:t>
      </w:r>
      <w:r w:rsidR="00220066" w:rsidRPr="0042226C">
        <w:rPr>
          <w:rFonts w:cstheme="minorHAnsi"/>
          <w:sz w:val="24"/>
          <w:szCs w:val="24"/>
          <w:lang w:val="el-GR"/>
        </w:rPr>
        <w:t xml:space="preserve"> (</w:t>
      </w:r>
      <w:r w:rsidR="0042226C">
        <w:rPr>
          <w:rFonts w:cstheme="minorHAnsi"/>
          <w:sz w:val="24"/>
          <w:szCs w:val="24"/>
          <w:lang w:val="el-GR"/>
        </w:rPr>
        <w:t>η</w:t>
      </w:r>
      <w:r w:rsidR="0042226C" w:rsidRPr="0042226C">
        <w:rPr>
          <w:rFonts w:cstheme="minorHAnsi"/>
          <w:sz w:val="24"/>
          <w:szCs w:val="24"/>
          <w:lang w:val="el-GR"/>
        </w:rPr>
        <w:t xml:space="preserve"> </w:t>
      </w:r>
      <w:r w:rsidR="0042226C">
        <w:rPr>
          <w:rFonts w:cstheme="minorHAnsi"/>
          <w:sz w:val="24"/>
          <w:szCs w:val="24"/>
          <w:lang w:val="el-GR"/>
        </w:rPr>
        <w:t>μια</w:t>
      </w:r>
      <w:r w:rsidR="0042226C" w:rsidRPr="0042226C">
        <w:rPr>
          <w:rFonts w:cstheme="minorHAnsi"/>
          <w:sz w:val="24"/>
          <w:szCs w:val="24"/>
          <w:lang w:val="el-GR"/>
        </w:rPr>
        <w:t xml:space="preserve"> </w:t>
      </w:r>
      <w:proofErr w:type="spellStart"/>
      <w:r w:rsidR="0042226C">
        <w:rPr>
          <w:rFonts w:cstheme="minorHAnsi"/>
          <w:sz w:val="24"/>
          <w:szCs w:val="24"/>
          <w:lang w:val="el-GR"/>
        </w:rPr>
        <w:t>απ</w:t>
      </w:r>
      <w:r w:rsidR="0042226C" w:rsidRPr="0042226C">
        <w:rPr>
          <w:rFonts w:cstheme="minorHAnsi"/>
          <w:sz w:val="24"/>
          <w:szCs w:val="24"/>
          <w:lang w:val="el-GR"/>
        </w:rPr>
        <w:t>’</w:t>
      </w:r>
      <w:r w:rsidR="0042226C">
        <w:rPr>
          <w:rFonts w:cstheme="minorHAnsi"/>
          <w:sz w:val="24"/>
          <w:szCs w:val="24"/>
          <w:lang w:val="el-GR"/>
        </w:rPr>
        <w:t>αυτές</w:t>
      </w:r>
      <w:proofErr w:type="spellEnd"/>
      <w:r w:rsidR="0042226C" w:rsidRPr="0042226C">
        <w:rPr>
          <w:rFonts w:cstheme="minorHAnsi"/>
          <w:sz w:val="24"/>
          <w:szCs w:val="24"/>
          <w:lang w:val="el-GR"/>
        </w:rPr>
        <w:t xml:space="preserve"> </w:t>
      </w:r>
      <w:r w:rsidR="0042226C">
        <w:rPr>
          <w:rFonts w:cstheme="minorHAnsi"/>
          <w:sz w:val="24"/>
          <w:szCs w:val="24"/>
          <w:lang w:val="el-GR"/>
        </w:rPr>
        <w:t>λόγω</w:t>
      </w:r>
      <w:r w:rsidR="0042226C" w:rsidRPr="0042226C">
        <w:rPr>
          <w:rFonts w:cstheme="minorHAnsi"/>
          <w:sz w:val="24"/>
          <w:szCs w:val="24"/>
          <w:lang w:val="el-GR"/>
        </w:rPr>
        <w:t xml:space="preserve"> </w:t>
      </w:r>
      <w:r w:rsidR="0042226C">
        <w:rPr>
          <w:rFonts w:cstheme="minorHAnsi"/>
          <w:sz w:val="24"/>
          <w:szCs w:val="24"/>
          <w:lang w:val="el-GR"/>
        </w:rPr>
        <w:t>μόνιμης</w:t>
      </w:r>
      <w:r w:rsidR="0042226C" w:rsidRPr="0042226C">
        <w:rPr>
          <w:rFonts w:cstheme="minorHAnsi"/>
          <w:sz w:val="24"/>
          <w:szCs w:val="24"/>
          <w:lang w:val="el-GR"/>
        </w:rPr>
        <w:t xml:space="preserve"> </w:t>
      </w:r>
      <w:r w:rsidR="0042226C">
        <w:rPr>
          <w:rFonts w:cstheme="minorHAnsi"/>
          <w:sz w:val="24"/>
          <w:szCs w:val="24"/>
          <w:lang w:val="el-GR"/>
        </w:rPr>
        <w:t>εγκατάστασης του κύριου μάρτυρα στο εξωτερικό</w:t>
      </w:r>
      <w:r w:rsidR="00220066" w:rsidRPr="0042226C">
        <w:rPr>
          <w:rFonts w:cstheme="minorHAnsi"/>
          <w:sz w:val="24"/>
          <w:szCs w:val="24"/>
          <w:lang w:val="el-GR"/>
        </w:rPr>
        <w:t>)</w:t>
      </w:r>
      <w:r w:rsidR="00475763" w:rsidRPr="0042226C">
        <w:rPr>
          <w:rFonts w:cstheme="minorHAnsi"/>
          <w:sz w:val="24"/>
          <w:szCs w:val="24"/>
          <w:lang w:val="el-GR"/>
        </w:rPr>
        <w:t xml:space="preserve">. </w:t>
      </w:r>
      <w:r w:rsidR="0042226C">
        <w:rPr>
          <w:rFonts w:cstheme="minorHAnsi"/>
          <w:sz w:val="24"/>
          <w:szCs w:val="24"/>
          <w:lang w:val="el-GR"/>
        </w:rPr>
        <w:t>Μια</w:t>
      </w:r>
      <w:r w:rsidR="0042226C" w:rsidRPr="0042226C">
        <w:rPr>
          <w:rFonts w:cstheme="minorHAnsi"/>
          <w:sz w:val="24"/>
          <w:szCs w:val="24"/>
          <w:lang w:val="el-GR"/>
        </w:rPr>
        <w:t xml:space="preserve"> </w:t>
      </w:r>
      <w:r w:rsidR="0042226C">
        <w:rPr>
          <w:rFonts w:cstheme="minorHAnsi"/>
          <w:sz w:val="24"/>
          <w:szCs w:val="24"/>
          <w:lang w:val="el-GR"/>
        </w:rPr>
        <w:t>υπόθεση</w:t>
      </w:r>
      <w:r w:rsidR="0042226C" w:rsidRPr="0042226C">
        <w:rPr>
          <w:rFonts w:cstheme="minorHAnsi"/>
          <w:sz w:val="24"/>
          <w:szCs w:val="24"/>
          <w:lang w:val="el-GR"/>
        </w:rPr>
        <w:t xml:space="preserve"> </w:t>
      </w:r>
      <w:r w:rsidR="0042226C">
        <w:rPr>
          <w:rFonts w:cstheme="minorHAnsi"/>
          <w:sz w:val="24"/>
          <w:szCs w:val="24"/>
          <w:lang w:val="el-GR"/>
        </w:rPr>
        <w:t>έχει</w:t>
      </w:r>
      <w:r w:rsidR="0042226C" w:rsidRPr="0042226C">
        <w:rPr>
          <w:rFonts w:cstheme="minorHAnsi"/>
          <w:sz w:val="24"/>
          <w:szCs w:val="24"/>
          <w:lang w:val="el-GR"/>
        </w:rPr>
        <w:t xml:space="preserve"> </w:t>
      </w:r>
      <w:r w:rsidR="0042226C">
        <w:rPr>
          <w:rFonts w:cstheme="minorHAnsi"/>
          <w:sz w:val="24"/>
          <w:szCs w:val="24"/>
          <w:lang w:val="el-GR"/>
        </w:rPr>
        <w:t>διακοπεί</w:t>
      </w:r>
      <w:r w:rsidR="0042226C" w:rsidRPr="0042226C">
        <w:rPr>
          <w:rFonts w:cstheme="minorHAnsi"/>
          <w:sz w:val="24"/>
          <w:szCs w:val="24"/>
          <w:lang w:val="el-GR"/>
        </w:rPr>
        <w:t xml:space="preserve"> </w:t>
      </w:r>
      <w:r w:rsidR="0042226C">
        <w:rPr>
          <w:rFonts w:cstheme="minorHAnsi"/>
          <w:sz w:val="24"/>
          <w:szCs w:val="24"/>
          <w:lang w:val="el-GR"/>
        </w:rPr>
        <w:t>από</w:t>
      </w:r>
      <w:r w:rsidR="0042226C" w:rsidRPr="0042226C">
        <w:rPr>
          <w:rFonts w:cstheme="minorHAnsi"/>
          <w:sz w:val="24"/>
          <w:szCs w:val="24"/>
          <w:lang w:val="el-GR"/>
        </w:rPr>
        <w:t xml:space="preserve"> </w:t>
      </w:r>
      <w:r w:rsidR="0042226C">
        <w:rPr>
          <w:rFonts w:cstheme="minorHAnsi"/>
          <w:sz w:val="24"/>
          <w:szCs w:val="24"/>
          <w:lang w:val="el-GR"/>
        </w:rPr>
        <w:t>το</w:t>
      </w:r>
      <w:r w:rsidR="0042226C" w:rsidRPr="0042226C">
        <w:rPr>
          <w:rFonts w:cstheme="minorHAnsi"/>
          <w:sz w:val="24"/>
          <w:szCs w:val="24"/>
          <w:lang w:val="el-GR"/>
        </w:rPr>
        <w:t xml:space="preserve"> </w:t>
      </w:r>
      <w:r w:rsidR="0042226C">
        <w:rPr>
          <w:rFonts w:cstheme="minorHAnsi"/>
          <w:sz w:val="24"/>
          <w:szCs w:val="24"/>
          <w:lang w:val="el-GR"/>
        </w:rPr>
        <w:t>δικαστήριο</w:t>
      </w:r>
      <w:r w:rsidR="00220066" w:rsidRPr="0042226C">
        <w:rPr>
          <w:rFonts w:cstheme="minorHAnsi"/>
          <w:sz w:val="24"/>
          <w:szCs w:val="24"/>
          <w:lang w:val="el-GR"/>
        </w:rPr>
        <w:t xml:space="preserve">, </w:t>
      </w:r>
      <w:r w:rsidR="0042226C">
        <w:rPr>
          <w:rFonts w:cstheme="minorHAnsi"/>
          <w:sz w:val="24"/>
          <w:szCs w:val="24"/>
          <w:lang w:val="el-GR"/>
        </w:rPr>
        <w:t>επειδή</w:t>
      </w:r>
      <w:r w:rsidR="0042226C" w:rsidRPr="0042226C">
        <w:rPr>
          <w:rFonts w:cstheme="minorHAnsi"/>
          <w:sz w:val="24"/>
          <w:szCs w:val="24"/>
          <w:lang w:val="el-GR"/>
        </w:rPr>
        <w:t xml:space="preserve"> </w:t>
      </w:r>
      <w:r w:rsidR="0042226C">
        <w:rPr>
          <w:rFonts w:cstheme="minorHAnsi"/>
          <w:sz w:val="24"/>
          <w:szCs w:val="24"/>
          <w:lang w:val="el-GR"/>
        </w:rPr>
        <w:t>ο</w:t>
      </w:r>
      <w:r w:rsidR="0042226C" w:rsidRPr="0042226C">
        <w:rPr>
          <w:rFonts w:cstheme="minorHAnsi"/>
          <w:sz w:val="24"/>
          <w:szCs w:val="24"/>
          <w:lang w:val="el-GR"/>
        </w:rPr>
        <w:t xml:space="preserve"> </w:t>
      </w:r>
      <w:r w:rsidR="0042226C">
        <w:rPr>
          <w:rFonts w:cstheme="minorHAnsi"/>
          <w:sz w:val="24"/>
          <w:szCs w:val="24"/>
          <w:lang w:val="el-GR"/>
        </w:rPr>
        <w:t>κατηγορούμενος</w:t>
      </w:r>
      <w:r w:rsidR="0042226C" w:rsidRPr="0042226C">
        <w:rPr>
          <w:rFonts w:cstheme="minorHAnsi"/>
          <w:sz w:val="24"/>
          <w:szCs w:val="24"/>
          <w:lang w:val="el-GR"/>
        </w:rPr>
        <w:t xml:space="preserve"> </w:t>
      </w:r>
      <w:r w:rsidR="0042226C">
        <w:rPr>
          <w:rFonts w:cstheme="minorHAnsi"/>
          <w:sz w:val="24"/>
          <w:szCs w:val="24"/>
          <w:lang w:val="el-GR"/>
        </w:rPr>
        <w:t>δεν</w:t>
      </w:r>
      <w:r w:rsidR="0042226C" w:rsidRPr="0042226C">
        <w:rPr>
          <w:rFonts w:cstheme="minorHAnsi"/>
          <w:sz w:val="24"/>
          <w:szCs w:val="24"/>
          <w:lang w:val="el-GR"/>
        </w:rPr>
        <w:t xml:space="preserve"> </w:t>
      </w:r>
      <w:r w:rsidR="0042226C">
        <w:rPr>
          <w:rFonts w:cstheme="minorHAnsi"/>
          <w:sz w:val="24"/>
          <w:szCs w:val="24"/>
          <w:lang w:val="el-GR"/>
        </w:rPr>
        <w:t>μπορούσε</w:t>
      </w:r>
      <w:r w:rsidR="0042226C" w:rsidRPr="0042226C">
        <w:rPr>
          <w:rFonts w:cstheme="minorHAnsi"/>
          <w:sz w:val="24"/>
          <w:szCs w:val="24"/>
          <w:lang w:val="el-GR"/>
        </w:rPr>
        <w:t xml:space="preserve"> </w:t>
      </w:r>
      <w:r w:rsidR="0042226C">
        <w:rPr>
          <w:rFonts w:cstheme="minorHAnsi"/>
          <w:sz w:val="24"/>
          <w:szCs w:val="24"/>
          <w:lang w:val="el-GR"/>
        </w:rPr>
        <w:t>να</w:t>
      </w:r>
      <w:r w:rsidR="0042226C" w:rsidRPr="0042226C">
        <w:rPr>
          <w:rFonts w:cstheme="minorHAnsi"/>
          <w:sz w:val="24"/>
          <w:szCs w:val="24"/>
          <w:lang w:val="el-GR"/>
        </w:rPr>
        <w:t xml:space="preserve"> </w:t>
      </w:r>
      <w:r w:rsidR="0042226C">
        <w:rPr>
          <w:rFonts w:cstheme="minorHAnsi"/>
          <w:sz w:val="24"/>
          <w:szCs w:val="24"/>
          <w:lang w:val="el-GR"/>
        </w:rPr>
        <w:t>εντοπισθεί</w:t>
      </w:r>
      <w:r w:rsidR="00220066" w:rsidRPr="0042226C">
        <w:rPr>
          <w:rFonts w:cstheme="minorHAnsi"/>
          <w:sz w:val="24"/>
          <w:szCs w:val="24"/>
          <w:lang w:val="el-GR"/>
        </w:rPr>
        <w:t xml:space="preserve"> (</w:t>
      </w:r>
      <w:r w:rsidR="0042226C">
        <w:rPr>
          <w:rFonts w:cstheme="minorHAnsi"/>
          <w:sz w:val="24"/>
          <w:szCs w:val="24"/>
          <w:lang w:val="el-GR"/>
        </w:rPr>
        <w:t>έφυγε από την Κύπρο</w:t>
      </w:r>
      <w:r w:rsidR="00220066" w:rsidRPr="0042226C">
        <w:rPr>
          <w:rFonts w:cstheme="minorHAnsi"/>
          <w:sz w:val="24"/>
          <w:szCs w:val="24"/>
          <w:lang w:val="el-GR"/>
        </w:rPr>
        <w:t>)</w:t>
      </w:r>
      <w:r w:rsidR="00475763" w:rsidRPr="0042226C">
        <w:rPr>
          <w:rFonts w:cstheme="minorHAnsi"/>
          <w:sz w:val="24"/>
          <w:szCs w:val="24"/>
          <w:lang w:val="el-GR"/>
        </w:rPr>
        <w:t xml:space="preserve"> </w:t>
      </w:r>
      <w:r w:rsidR="0042226C">
        <w:rPr>
          <w:rFonts w:cstheme="minorHAnsi"/>
          <w:sz w:val="24"/>
          <w:szCs w:val="24"/>
          <w:lang w:val="el-GR"/>
        </w:rPr>
        <w:t>και σε μια υπόθεση</w:t>
      </w:r>
      <w:r w:rsidR="00475763" w:rsidRPr="0042226C">
        <w:rPr>
          <w:rFonts w:cstheme="minorHAnsi"/>
          <w:sz w:val="24"/>
          <w:szCs w:val="24"/>
          <w:lang w:val="el-GR"/>
        </w:rPr>
        <w:t xml:space="preserve"> </w:t>
      </w:r>
      <w:r w:rsidR="0042226C">
        <w:rPr>
          <w:rFonts w:cstheme="minorHAnsi"/>
          <w:sz w:val="24"/>
          <w:szCs w:val="24"/>
          <w:lang w:val="el-GR"/>
        </w:rPr>
        <w:t>ο κατηγορούμενος αθωώθηκε από το Δικαστήριο</w:t>
      </w:r>
      <w:r w:rsidR="00220066" w:rsidRPr="0042226C">
        <w:rPr>
          <w:rFonts w:cstheme="minorHAnsi"/>
          <w:sz w:val="24"/>
          <w:szCs w:val="24"/>
          <w:lang w:val="el-GR"/>
        </w:rPr>
        <w:t xml:space="preserve">. </w:t>
      </w:r>
      <w:bookmarkEnd w:id="261"/>
      <w:r w:rsidR="0042226C">
        <w:rPr>
          <w:rFonts w:cstheme="minorHAnsi"/>
          <w:sz w:val="24"/>
          <w:szCs w:val="24"/>
          <w:lang w:val="el-GR"/>
        </w:rPr>
        <w:t>Οι</w:t>
      </w:r>
      <w:r w:rsidR="0042226C" w:rsidRPr="00FB34FC">
        <w:rPr>
          <w:rFonts w:cstheme="minorHAnsi"/>
          <w:sz w:val="24"/>
          <w:szCs w:val="24"/>
          <w:lang w:val="el-GR"/>
        </w:rPr>
        <w:t xml:space="preserve"> </w:t>
      </w:r>
      <w:r w:rsidR="0042226C">
        <w:rPr>
          <w:rFonts w:cstheme="minorHAnsi"/>
          <w:sz w:val="24"/>
          <w:szCs w:val="24"/>
          <w:lang w:val="el-GR"/>
        </w:rPr>
        <w:t>υπόλοιπες</w:t>
      </w:r>
      <w:r w:rsidR="0042226C" w:rsidRPr="00FB34FC">
        <w:rPr>
          <w:rFonts w:cstheme="minorHAnsi"/>
          <w:sz w:val="24"/>
          <w:szCs w:val="24"/>
          <w:lang w:val="el-GR"/>
        </w:rPr>
        <w:t xml:space="preserve"> </w:t>
      </w:r>
      <w:r w:rsidR="0042226C">
        <w:rPr>
          <w:rFonts w:cstheme="minorHAnsi"/>
          <w:sz w:val="24"/>
          <w:szCs w:val="24"/>
          <w:lang w:val="el-GR"/>
        </w:rPr>
        <w:t>εννέα</w:t>
      </w:r>
      <w:r w:rsidR="0042226C" w:rsidRPr="00FB34FC">
        <w:rPr>
          <w:rFonts w:cstheme="minorHAnsi"/>
          <w:sz w:val="24"/>
          <w:szCs w:val="24"/>
          <w:lang w:val="el-GR"/>
        </w:rPr>
        <w:t xml:space="preserve"> </w:t>
      </w:r>
      <w:r w:rsidR="0042226C">
        <w:rPr>
          <w:rFonts w:cstheme="minorHAnsi"/>
          <w:sz w:val="24"/>
          <w:szCs w:val="24"/>
          <w:lang w:val="el-GR"/>
        </w:rPr>
        <w:t>υποθέσεις</w:t>
      </w:r>
      <w:r w:rsidR="0042226C" w:rsidRPr="00FB34FC">
        <w:rPr>
          <w:rFonts w:cstheme="minorHAnsi"/>
          <w:sz w:val="24"/>
          <w:szCs w:val="24"/>
          <w:lang w:val="el-GR"/>
        </w:rPr>
        <w:t xml:space="preserve"> </w:t>
      </w:r>
      <w:r w:rsidR="0042226C">
        <w:rPr>
          <w:rFonts w:cstheme="minorHAnsi"/>
          <w:sz w:val="24"/>
          <w:szCs w:val="24"/>
          <w:lang w:val="el-GR"/>
        </w:rPr>
        <w:t>είναι</w:t>
      </w:r>
      <w:r w:rsidR="0042226C" w:rsidRPr="00FB34FC">
        <w:rPr>
          <w:rFonts w:cstheme="minorHAnsi"/>
          <w:sz w:val="24"/>
          <w:szCs w:val="24"/>
          <w:lang w:val="el-GR"/>
        </w:rPr>
        <w:t xml:space="preserve"> </w:t>
      </w:r>
      <w:r w:rsidR="0042226C">
        <w:rPr>
          <w:rFonts w:cstheme="minorHAnsi"/>
          <w:sz w:val="24"/>
          <w:szCs w:val="24"/>
          <w:lang w:val="el-GR"/>
        </w:rPr>
        <w:t>υπό</w:t>
      </w:r>
      <w:r w:rsidR="0042226C" w:rsidRPr="00FB34FC">
        <w:rPr>
          <w:rFonts w:cstheme="minorHAnsi"/>
          <w:sz w:val="24"/>
          <w:szCs w:val="24"/>
          <w:lang w:val="el-GR"/>
        </w:rPr>
        <w:t xml:space="preserve"> </w:t>
      </w:r>
      <w:r w:rsidR="0042226C">
        <w:rPr>
          <w:rFonts w:cstheme="minorHAnsi"/>
          <w:sz w:val="24"/>
          <w:szCs w:val="24"/>
          <w:lang w:val="el-GR"/>
        </w:rPr>
        <w:t>εκδίκαση</w:t>
      </w:r>
      <w:r w:rsidR="00220066" w:rsidRPr="00FB34FC">
        <w:rPr>
          <w:rFonts w:cstheme="minorHAnsi"/>
          <w:sz w:val="24"/>
          <w:szCs w:val="24"/>
          <w:lang w:val="el-GR"/>
        </w:rPr>
        <w:t xml:space="preserve">. </w:t>
      </w:r>
      <w:r w:rsidR="0042226C">
        <w:rPr>
          <w:rFonts w:cstheme="minorHAnsi"/>
          <w:sz w:val="24"/>
          <w:szCs w:val="24"/>
          <w:lang w:val="el-GR"/>
        </w:rPr>
        <w:t>Οι</w:t>
      </w:r>
      <w:r w:rsidR="0042226C" w:rsidRPr="0042226C">
        <w:rPr>
          <w:rFonts w:cstheme="minorHAnsi"/>
          <w:sz w:val="24"/>
          <w:szCs w:val="24"/>
          <w:lang w:val="el-GR"/>
        </w:rPr>
        <w:t xml:space="preserve"> </w:t>
      </w:r>
      <w:r w:rsidR="0042226C">
        <w:rPr>
          <w:rFonts w:cstheme="minorHAnsi"/>
          <w:sz w:val="24"/>
          <w:szCs w:val="24"/>
          <w:lang w:val="el-GR"/>
        </w:rPr>
        <w:t>υποθέσεις</w:t>
      </w:r>
      <w:r w:rsidR="0042226C" w:rsidRPr="0042226C">
        <w:rPr>
          <w:rFonts w:cstheme="minorHAnsi"/>
          <w:sz w:val="24"/>
          <w:szCs w:val="24"/>
          <w:lang w:val="el-GR"/>
        </w:rPr>
        <w:t xml:space="preserve"> </w:t>
      </w:r>
      <w:r w:rsidR="0042226C">
        <w:rPr>
          <w:rFonts w:cstheme="minorHAnsi"/>
          <w:sz w:val="24"/>
          <w:szCs w:val="24"/>
          <w:lang w:val="el-GR"/>
        </w:rPr>
        <w:t>που</w:t>
      </w:r>
      <w:r w:rsidR="0042226C" w:rsidRPr="0042226C">
        <w:rPr>
          <w:rFonts w:cstheme="minorHAnsi"/>
          <w:sz w:val="24"/>
          <w:szCs w:val="24"/>
          <w:lang w:val="el-GR"/>
        </w:rPr>
        <w:t xml:space="preserve"> </w:t>
      </w:r>
      <w:r w:rsidR="0042226C">
        <w:rPr>
          <w:rFonts w:cstheme="minorHAnsi"/>
          <w:sz w:val="24"/>
          <w:szCs w:val="24"/>
          <w:lang w:val="el-GR"/>
        </w:rPr>
        <w:t>αντιμετωπίζονται</w:t>
      </w:r>
      <w:r w:rsidR="0042226C" w:rsidRPr="0042226C">
        <w:rPr>
          <w:rFonts w:cstheme="minorHAnsi"/>
          <w:sz w:val="24"/>
          <w:szCs w:val="24"/>
          <w:lang w:val="el-GR"/>
        </w:rPr>
        <w:t xml:space="preserve"> </w:t>
      </w:r>
      <w:r w:rsidR="0042226C">
        <w:rPr>
          <w:rFonts w:cstheme="minorHAnsi"/>
          <w:sz w:val="24"/>
          <w:szCs w:val="24"/>
          <w:lang w:val="el-GR"/>
        </w:rPr>
        <w:t>από</w:t>
      </w:r>
      <w:r w:rsidR="0042226C" w:rsidRPr="0042226C">
        <w:rPr>
          <w:rFonts w:cstheme="minorHAnsi"/>
          <w:sz w:val="24"/>
          <w:szCs w:val="24"/>
          <w:lang w:val="el-GR"/>
        </w:rPr>
        <w:t xml:space="preserve"> </w:t>
      </w:r>
      <w:r w:rsidR="0042226C">
        <w:rPr>
          <w:rFonts w:cstheme="minorHAnsi"/>
          <w:sz w:val="24"/>
          <w:szCs w:val="24"/>
          <w:lang w:val="el-GR"/>
        </w:rPr>
        <w:t>την</w:t>
      </w:r>
      <w:r w:rsidR="0042226C" w:rsidRPr="0042226C">
        <w:rPr>
          <w:rFonts w:cstheme="minorHAnsi"/>
          <w:sz w:val="24"/>
          <w:szCs w:val="24"/>
          <w:lang w:val="el-GR"/>
        </w:rPr>
        <w:t xml:space="preserve"> </w:t>
      </w:r>
      <w:r w:rsidR="009C4E34">
        <w:rPr>
          <w:rFonts w:cstheme="minorHAnsi"/>
          <w:sz w:val="24"/>
          <w:szCs w:val="24"/>
          <w:lang w:val="el-GR"/>
        </w:rPr>
        <w:t>Αστυνομία</w:t>
      </w:r>
      <w:r w:rsidR="00220066" w:rsidRPr="0042226C">
        <w:rPr>
          <w:rFonts w:cstheme="minorHAnsi"/>
          <w:sz w:val="24"/>
          <w:szCs w:val="24"/>
          <w:lang w:val="el-GR"/>
        </w:rPr>
        <w:t xml:space="preserve">, </w:t>
      </w:r>
      <w:r w:rsidR="0042226C">
        <w:rPr>
          <w:rFonts w:cstheme="minorHAnsi"/>
          <w:sz w:val="24"/>
          <w:szCs w:val="24"/>
          <w:lang w:val="el-GR"/>
        </w:rPr>
        <w:t>που</w:t>
      </w:r>
      <w:r w:rsidR="0042226C" w:rsidRPr="0042226C">
        <w:rPr>
          <w:rFonts w:cstheme="minorHAnsi"/>
          <w:sz w:val="24"/>
          <w:szCs w:val="24"/>
          <w:lang w:val="el-GR"/>
        </w:rPr>
        <w:t xml:space="preserve"> </w:t>
      </w:r>
      <w:r w:rsidR="0042226C">
        <w:rPr>
          <w:rFonts w:cstheme="minorHAnsi"/>
          <w:sz w:val="24"/>
          <w:szCs w:val="24"/>
          <w:lang w:val="el-GR"/>
        </w:rPr>
        <w:t>αφορούν</w:t>
      </w:r>
      <w:r w:rsidR="0042226C" w:rsidRPr="0042226C">
        <w:rPr>
          <w:rFonts w:cstheme="minorHAnsi"/>
          <w:sz w:val="24"/>
          <w:szCs w:val="24"/>
          <w:lang w:val="el-GR"/>
        </w:rPr>
        <w:t xml:space="preserve"> </w:t>
      </w:r>
      <w:r w:rsidR="0042226C">
        <w:rPr>
          <w:rFonts w:cstheme="minorHAnsi"/>
          <w:sz w:val="24"/>
          <w:szCs w:val="24"/>
          <w:lang w:val="el-GR"/>
        </w:rPr>
        <w:t>μέλη</w:t>
      </w:r>
      <w:r w:rsidR="0042226C" w:rsidRPr="0042226C">
        <w:rPr>
          <w:rFonts w:cstheme="minorHAnsi"/>
          <w:sz w:val="24"/>
          <w:szCs w:val="24"/>
          <w:lang w:val="el-GR"/>
        </w:rPr>
        <w:t xml:space="preserve"> </w:t>
      </w:r>
      <w:r w:rsidR="0042226C">
        <w:rPr>
          <w:rFonts w:cstheme="minorHAnsi"/>
          <w:sz w:val="24"/>
          <w:szCs w:val="24"/>
          <w:lang w:val="el-GR"/>
        </w:rPr>
        <w:t>της</w:t>
      </w:r>
      <w:r w:rsidR="0042226C" w:rsidRPr="0042226C">
        <w:rPr>
          <w:rFonts w:cstheme="minorHAnsi"/>
          <w:sz w:val="24"/>
          <w:szCs w:val="24"/>
          <w:lang w:val="el-GR"/>
        </w:rPr>
        <w:t xml:space="preserve"> </w:t>
      </w:r>
      <w:r w:rsidR="009C4E34">
        <w:rPr>
          <w:rFonts w:cstheme="minorHAnsi"/>
          <w:sz w:val="24"/>
          <w:szCs w:val="24"/>
          <w:lang w:val="el-GR"/>
        </w:rPr>
        <w:t>Αστυνομία</w:t>
      </w:r>
      <w:r w:rsidR="0042226C">
        <w:rPr>
          <w:rFonts w:cstheme="minorHAnsi"/>
          <w:sz w:val="24"/>
          <w:szCs w:val="24"/>
          <w:lang w:val="el-GR"/>
        </w:rPr>
        <w:t>ς</w:t>
      </w:r>
      <w:r w:rsidR="00220066" w:rsidRPr="0042226C">
        <w:rPr>
          <w:rFonts w:cstheme="minorHAnsi"/>
          <w:sz w:val="24"/>
          <w:szCs w:val="24"/>
          <w:lang w:val="el-GR"/>
        </w:rPr>
        <w:t xml:space="preserve">, </w:t>
      </w:r>
      <w:r w:rsidR="0042226C">
        <w:rPr>
          <w:rFonts w:cstheme="minorHAnsi"/>
          <w:sz w:val="24"/>
          <w:szCs w:val="24"/>
          <w:lang w:val="el-GR"/>
        </w:rPr>
        <w:t>δεν αποδεικνύουν οποιαδήποτε σχέση μεταξύ διαφθοράς και οργανωμένου εγκλήματος</w:t>
      </w:r>
      <w:r w:rsidR="00220066" w:rsidRPr="0042226C">
        <w:rPr>
          <w:rFonts w:cstheme="minorHAnsi"/>
          <w:sz w:val="24"/>
          <w:szCs w:val="24"/>
          <w:lang w:val="el-GR"/>
        </w:rPr>
        <w:t>.</w:t>
      </w:r>
    </w:p>
    <w:p w14:paraId="37A31C26" w14:textId="77777777" w:rsidR="00220066" w:rsidRPr="0042226C" w:rsidRDefault="00220066" w:rsidP="00220066">
      <w:pPr>
        <w:tabs>
          <w:tab w:val="left" w:pos="709"/>
        </w:tabs>
        <w:rPr>
          <w:rFonts w:cstheme="minorHAnsi"/>
          <w:sz w:val="24"/>
          <w:szCs w:val="24"/>
          <w:lang w:val="el-GR"/>
        </w:rPr>
      </w:pPr>
    </w:p>
    <w:p w14:paraId="077BA7B0" w14:textId="72360563" w:rsidR="00220066" w:rsidRPr="00963FBE" w:rsidRDefault="00C92124" w:rsidP="00220066">
      <w:pPr>
        <w:numPr>
          <w:ilvl w:val="0"/>
          <w:numId w:val="1"/>
        </w:numPr>
        <w:tabs>
          <w:tab w:val="left" w:pos="709"/>
        </w:tabs>
        <w:ind w:left="0" w:firstLine="0"/>
        <w:rPr>
          <w:rFonts w:cstheme="minorHAnsi"/>
          <w:sz w:val="24"/>
          <w:szCs w:val="24"/>
          <w:lang w:val="el-GR"/>
        </w:rPr>
      </w:pPr>
      <w:r>
        <w:rPr>
          <w:rFonts w:cstheme="minorHAnsi"/>
          <w:sz w:val="24"/>
          <w:szCs w:val="24"/>
          <w:lang w:val="el-GR"/>
        </w:rPr>
        <w:t>Οι</w:t>
      </w:r>
      <w:r w:rsidRPr="00C92124">
        <w:rPr>
          <w:rFonts w:cstheme="minorHAnsi"/>
          <w:sz w:val="24"/>
          <w:szCs w:val="24"/>
          <w:lang w:val="el-GR"/>
        </w:rPr>
        <w:t xml:space="preserve"> </w:t>
      </w:r>
      <w:r>
        <w:rPr>
          <w:rFonts w:cstheme="minorHAnsi"/>
          <w:sz w:val="24"/>
          <w:szCs w:val="24"/>
          <w:lang w:val="el-GR"/>
        </w:rPr>
        <w:t>ποινές</w:t>
      </w:r>
      <w:r w:rsidRPr="00C92124">
        <w:rPr>
          <w:rFonts w:cstheme="minorHAnsi"/>
          <w:sz w:val="24"/>
          <w:szCs w:val="24"/>
          <w:lang w:val="el-GR"/>
        </w:rPr>
        <w:t xml:space="preserve"> </w:t>
      </w:r>
      <w:r>
        <w:rPr>
          <w:rFonts w:cstheme="minorHAnsi"/>
          <w:sz w:val="24"/>
          <w:szCs w:val="24"/>
          <w:lang w:val="el-GR"/>
        </w:rPr>
        <w:t>που</w:t>
      </w:r>
      <w:r w:rsidRPr="00C92124">
        <w:rPr>
          <w:rFonts w:cstheme="minorHAnsi"/>
          <w:sz w:val="24"/>
          <w:szCs w:val="24"/>
          <w:lang w:val="el-GR"/>
        </w:rPr>
        <w:t xml:space="preserve"> </w:t>
      </w:r>
      <w:r>
        <w:rPr>
          <w:rFonts w:cstheme="minorHAnsi"/>
          <w:sz w:val="24"/>
          <w:szCs w:val="24"/>
          <w:lang w:val="el-GR"/>
        </w:rPr>
        <w:t>επιβάλλονται</w:t>
      </w:r>
      <w:r w:rsidRPr="00C92124">
        <w:rPr>
          <w:rFonts w:cstheme="minorHAnsi"/>
          <w:sz w:val="24"/>
          <w:szCs w:val="24"/>
          <w:lang w:val="el-GR"/>
        </w:rPr>
        <w:t xml:space="preserve"> </w:t>
      </w:r>
      <w:r>
        <w:rPr>
          <w:rFonts w:cstheme="minorHAnsi"/>
          <w:sz w:val="24"/>
          <w:szCs w:val="24"/>
          <w:lang w:val="el-GR"/>
        </w:rPr>
        <w:t>τόσο</w:t>
      </w:r>
      <w:r w:rsidRPr="00C92124">
        <w:rPr>
          <w:rFonts w:cstheme="minorHAnsi"/>
          <w:sz w:val="24"/>
          <w:szCs w:val="24"/>
          <w:lang w:val="el-GR"/>
        </w:rPr>
        <w:t xml:space="preserve"> </w:t>
      </w:r>
      <w:r>
        <w:rPr>
          <w:rFonts w:cstheme="minorHAnsi"/>
          <w:sz w:val="24"/>
          <w:szCs w:val="24"/>
          <w:lang w:val="el-GR"/>
        </w:rPr>
        <w:t>για</w:t>
      </w:r>
      <w:r w:rsidRPr="00C92124">
        <w:rPr>
          <w:rFonts w:cstheme="minorHAnsi"/>
          <w:sz w:val="24"/>
          <w:szCs w:val="24"/>
          <w:lang w:val="el-GR"/>
        </w:rPr>
        <w:t xml:space="preserve"> </w:t>
      </w:r>
      <w:r>
        <w:rPr>
          <w:rFonts w:cstheme="minorHAnsi"/>
          <w:sz w:val="24"/>
          <w:szCs w:val="24"/>
          <w:lang w:val="el-GR"/>
        </w:rPr>
        <w:t>τα</w:t>
      </w:r>
      <w:r w:rsidRPr="00C92124">
        <w:rPr>
          <w:rFonts w:cstheme="minorHAnsi"/>
          <w:sz w:val="24"/>
          <w:szCs w:val="24"/>
          <w:lang w:val="el-GR"/>
        </w:rPr>
        <w:t xml:space="preserve"> </w:t>
      </w:r>
      <w:r>
        <w:rPr>
          <w:rFonts w:cstheme="minorHAnsi"/>
          <w:sz w:val="24"/>
          <w:szCs w:val="24"/>
          <w:lang w:val="el-GR"/>
        </w:rPr>
        <w:t>ποινικά</w:t>
      </w:r>
      <w:r w:rsidRPr="00C92124">
        <w:rPr>
          <w:rFonts w:cstheme="minorHAnsi"/>
          <w:sz w:val="24"/>
          <w:szCs w:val="24"/>
          <w:lang w:val="el-GR"/>
        </w:rPr>
        <w:t xml:space="preserve"> </w:t>
      </w:r>
      <w:r>
        <w:rPr>
          <w:rFonts w:cstheme="minorHAnsi"/>
          <w:sz w:val="24"/>
          <w:szCs w:val="24"/>
          <w:lang w:val="el-GR"/>
        </w:rPr>
        <w:t>όσο</w:t>
      </w:r>
      <w:r w:rsidRPr="00C92124">
        <w:rPr>
          <w:rFonts w:cstheme="minorHAnsi"/>
          <w:sz w:val="24"/>
          <w:szCs w:val="24"/>
          <w:lang w:val="el-GR"/>
        </w:rPr>
        <w:t xml:space="preserve"> </w:t>
      </w:r>
      <w:r>
        <w:rPr>
          <w:rFonts w:cstheme="minorHAnsi"/>
          <w:sz w:val="24"/>
          <w:szCs w:val="24"/>
          <w:lang w:val="el-GR"/>
        </w:rPr>
        <w:t>και</w:t>
      </w:r>
      <w:r w:rsidRPr="00C92124">
        <w:rPr>
          <w:rFonts w:cstheme="minorHAnsi"/>
          <w:sz w:val="24"/>
          <w:szCs w:val="24"/>
          <w:lang w:val="el-GR"/>
        </w:rPr>
        <w:t xml:space="preserve"> </w:t>
      </w:r>
      <w:r>
        <w:rPr>
          <w:rFonts w:cstheme="minorHAnsi"/>
          <w:sz w:val="24"/>
          <w:szCs w:val="24"/>
          <w:lang w:val="el-GR"/>
        </w:rPr>
        <w:t>για</w:t>
      </w:r>
      <w:r w:rsidRPr="00C92124">
        <w:rPr>
          <w:rFonts w:cstheme="minorHAnsi"/>
          <w:sz w:val="24"/>
          <w:szCs w:val="24"/>
          <w:lang w:val="el-GR"/>
        </w:rPr>
        <w:t xml:space="preserve"> </w:t>
      </w:r>
      <w:r>
        <w:rPr>
          <w:rFonts w:cstheme="minorHAnsi"/>
          <w:sz w:val="24"/>
          <w:szCs w:val="24"/>
          <w:lang w:val="el-GR"/>
        </w:rPr>
        <w:t>τα</w:t>
      </w:r>
      <w:r w:rsidRPr="00C92124">
        <w:rPr>
          <w:rFonts w:cstheme="minorHAnsi"/>
          <w:sz w:val="24"/>
          <w:szCs w:val="24"/>
          <w:lang w:val="el-GR"/>
        </w:rPr>
        <w:t xml:space="preserve"> </w:t>
      </w:r>
      <w:r>
        <w:rPr>
          <w:rFonts w:cstheme="minorHAnsi"/>
          <w:sz w:val="24"/>
          <w:szCs w:val="24"/>
          <w:lang w:val="el-GR"/>
        </w:rPr>
        <w:t>πειθαρχικά</w:t>
      </w:r>
      <w:r w:rsidRPr="00C92124">
        <w:rPr>
          <w:rFonts w:cstheme="minorHAnsi"/>
          <w:sz w:val="24"/>
          <w:szCs w:val="24"/>
          <w:lang w:val="el-GR"/>
        </w:rPr>
        <w:t xml:space="preserve"> </w:t>
      </w:r>
      <w:r>
        <w:rPr>
          <w:rFonts w:cstheme="minorHAnsi"/>
          <w:sz w:val="24"/>
          <w:szCs w:val="24"/>
          <w:lang w:val="el-GR"/>
        </w:rPr>
        <w:t>αδικήματα</w:t>
      </w:r>
      <w:r w:rsidR="00220066" w:rsidRPr="00C92124">
        <w:rPr>
          <w:rFonts w:cstheme="minorHAnsi"/>
          <w:sz w:val="24"/>
          <w:szCs w:val="24"/>
          <w:lang w:val="el-GR"/>
        </w:rPr>
        <w:t xml:space="preserve"> </w:t>
      </w:r>
      <w:r>
        <w:rPr>
          <w:rFonts w:cstheme="minorHAnsi"/>
          <w:sz w:val="24"/>
          <w:szCs w:val="24"/>
          <w:lang w:val="el-GR"/>
        </w:rPr>
        <w:t>δημοσιεύονται στα «Εβδομαδιαία Διατάγματα»</w:t>
      </w:r>
      <w:r w:rsidR="00220066" w:rsidRPr="00C92124">
        <w:rPr>
          <w:rFonts w:cstheme="minorHAnsi"/>
          <w:sz w:val="24"/>
          <w:szCs w:val="24"/>
          <w:lang w:val="el-GR"/>
        </w:rPr>
        <w:t xml:space="preserve"> (</w:t>
      </w:r>
      <w:r>
        <w:rPr>
          <w:rFonts w:cstheme="minorHAnsi"/>
          <w:sz w:val="24"/>
          <w:szCs w:val="24"/>
          <w:lang w:val="el-GR"/>
        </w:rPr>
        <w:t>Μέρος</w:t>
      </w:r>
      <w:r w:rsidR="00220066" w:rsidRPr="00C92124">
        <w:rPr>
          <w:rFonts w:cstheme="minorHAnsi"/>
          <w:sz w:val="24"/>
          <w:szCs w:val="24"/>
          <w:lang w:val="el-GR"/>
        </w:rPr>
        <w:t xml:space="preserve"> </w:t>
      </w:r>
      <w:r w:rsidR="00220066" w:rsidRPr="004E251E">
        <w:rPr>
          <w:rFonts w:cstheme="minorHAnsi"/>
          <w:sz w:val="24"/>
          <w:szCs w:val="24"/>
        </w:rPr>
        <w:t>II</w:t>
      </w:r>
      <w:r w:rsidR="00220066" w:rsidRPr="00C92124">
        <w:rPr>
          <w:rFonts w:cstheme="minorHAnsi"/>
          <w:sz w:val="24"/>
          <w:szCs w:val="24"/>
          <w:lang w:val="el-GR"/>
        </w:rPr>
        <w:t xml:space="preserve">) </w:t>
      </w:r>
      <w:r>
        <w:rPr>
          <w:rFonts w:cstheme="minorHAnsi"/>
          <w:sz w:val="24"/>
          <w:szCs w:val="24"/>
          <w:lang w:val="el-GR"/>
        </w:rPr>
        <w:t>που δημοσιεύονται κάθε Δευτέρα</w:t>
      </w:r>
      <w:r w:rsidR="00220066" w:rsidRPr="00C92124">
        <w:rPr>
          <w:rFonts w:cstheme="minorHAnsi"/>
          <w:sz w:val="24"/>
          <w:szCs w:val="24"/>
          <w:lang w:val="el-GR"/>
        </w:rPr>
        <w:t xml:space="preserve">, </w:t>
      </w:r>
      <w:r>
        <w:rPr>
          <w:rFonts w:cstheme="minorHAnsi"/>
          <w:sz w:val="24"/>
          <w:szCs w:val="24"/>
          <w:lang w:val="el-GR"/>
        </w:rPr>
        <w:t xml:space="preserve">για εσωτερική χρήση εντός της </w:t>
      </w:r>
      <w:r w:rsidR="009C4E34">
        <w:rPr>
          <w:rFonts w:cstheme="minorHAnsi"/>
          <w:sz w:val="24"/>
          <w:szCs w:val="24"/>
          <w:lang w:val="el-GR"/>
        </w:rPr>
        <w:t>Αστυνομία</w:t>
      </w:r>
      <w:r>
        <w:rPr>
          <w:rFonts w:cstheme="minorHAnsi"/>
          <w:sz w:val="24"/>
          <w:szCs w:val="24"/>
          <w:lang w:val="el-GR"/>
        </w:rPr>
        <w:t>ς</w:t>
      </w:r>
      <w:r w:rsidR="00991C07" w:rsidRPr="00C92124">
        <w:rPr>
          <w:rFonts w:cstheme="minorHAnsi"/>
          <w:sz w:val="24"/>
          <w:szCs w:val="24"/>
          <w:lang w:val="el-GR"/>
        </w:rPr>
        <w:t>.</w:t>
      </w:r>
      <w:r w:rsidR="00220066" w:rsidRPr="004E251E">
        <w:rPr>
          <w:rStyle w:val="FootnoteReference"/>
          <w:rFonts w:cstheme="minorHAnsi"/>
          <w:sz w:val="24"/>
          <w:szCs w:val="24"/>
        </w:rPr>
        <w:footnoteReference w:id="65"/>
      </w:r>
      <w:r w:rsidR="00220066" w:rsidRPr="00C92124">
        <w:rPr>
          <w:rFonts w:cstheme="minorHAnsi"/>
          <w:sz w:val="24"/>
          <w:szCs w:val="24"/>
          <w:lang w:val="el-GR"/>
        </w:rPr>
        <w:t xml:space="preserve"> </w:t>
      </w:r>
      <w:r>
        <w:rPr>
          <w:rFonts w:cstheme="minorHAnsi"/>
          <w:sz w:val="24"/>
          <w:szCs w:val="24"/>
          <w:lang w:val="el-GR"/>
        </w:rPr>
        <w:t>Το</w:t>
      </w:r>
      <w:r w:rsidRPr="00C92124">
        <w:rPr>
          <w:rFonts w:cstheme="minorHAnsi"/>
          <w:sz w:val="24"/>
          <w:szCs w:val="24"/>
          <w:lang w:val="el-GR"/>
        </w:rPr>
        <w:t xml:space="preserve"> </w:t>
      </w:r>
      <w:r>
        <w:rPr>
          <w:rFonts w:cstheme="minorHAnsi"/>
          <w:sz w:val="24"/>
          <w:szCs w:val="24"/>
          <w:lang w:val="el-GR"/>
        </w:rPr>
        <w:t>κοινό</w:t>
      </w:r>
      <w:r w:rsidRPr="00C92124">
        <w:rPr>
          <w:rFonts w:cstheme="minorHAnsi"/>
          <w:sz w:val="24"/>
          <w:szCs w:val="24"/>
          <w:lang w:val="el-GR"/>
        </w:rPr>
        <w:t xml:space="preserve"> </w:t>
      </w:r>
      <w:r>
        <w:rPr>
          <w:rFonts w:cstheme="minorHAnsi"/>
          <w:sz w:val="24"/>
          <w:szCs w:val="24"/>
          <w:lang w:val="el-GR"/>
        </w:rPr>
        <w:t>ενημε</w:t>
      </w:r>
      <w:r w:rsidR="009A0825">
        <w:rPr>
          <w:rFonts w:cstheme="minorHAnsi"/>
          <w:sz w:val="24"/>
          <w:szCs w:val="24"/>
          <w:lang w:val="el-GR"/>
        </w:rPr>
        <w:t>ρ</w:t>
      </w:r>
      <w:r>
        <w:rPr>
          <w:rFonts w:cstheme="minorHAnsi"/>
          <w:sz w:val="24"/>
          <w:szCs w:val="24"/>
          <w:lang w:val="el-GR"/>
        </w:rPr>
        <w:t>ώνεται</w:t>
      </w:r>
      <w:r w:rsidRPr="00C92124">
        <w:rPr>
          <w:rFonts w:cstheme="minorHAnsi"/>
          <w:sz w:val="24"/>
          <w:szCs w:val="24"/>
          <w:lang w:val="el-GR"/>
        </w:rPr>
        <w:t xml:space="preserve"> </w:t>
      </w:r>
      <w:r>
        <w:rPr>
          <w:rFonts w:cstheme="minorHAnsi"/>
          <w:sz w:val="24"/>
          <w:szCs w:val="24"/>
          <w:lang w:val="el-GR"/>
        </w:rPr>
        <w:t>για</w:t>
      </w:r>
      <w:r w:rsidRPr="00C92124">
        <w:rPr>
          <w:rFonts w:cstheme="minorHAnsi"/>
          <w:sz w:val="24"/>
          <w:szCs w:val="24"/>
          <w:lang w:val="el-GR"/>
        </w:rPr>
        <w:t xml:space="preserve"> </w:t>
      </w:r>
      <w:r>
        <w:rPr>
          <w:rFonts w:cstheme="minorHAnsi"/>
          <w:sz w:val="24"/>
          <w:szCs w:val="24"/>
          <w:lang w:val="el-GR"/>
        </w:rPr>
        <w:t>τις</w:t>
      </w:r>
      <w:r w:rsidRPr="00C92124">
        <w:rPr>
          <w:rFonts w:cstheme="minorHAnsi"/>
          <w:sz w:val="24"/>
          <w:szCs w:val="24"/>
          <w:lang w:val="el-GR"/>
        </w:rPr>
        <w:t xml:space="preserve"> </w:t>
      </w:r>
      <w:r>
        <w:rPr>
          <w:rFonts w:cstheme="minorHAnsi"/>
          <w:sz w:val="24"/>
          <w:szCs w:val="24"/>
          <w:lang w:val="el-GR"/>
        </w:rPr>
        <w:t>υποθέσεις</w:t>
      </w:r>
      <w:r w:rsidRPr="00C92124">
        <w:rPr>
          <w:rFonts w:cstheme="minorHAnsi"/>
          <w:sz w:val="24"/>
          <w:szCs w:val="24"/>
          <w:lang w:val="el-GR"/>
        </w:rPr>
        <w:t xml:space="preserve"> </w:t>
      </w:r>
      <w:r>
        <w:rPr>
          <w:rFonts w:cstheme="minorHAnsi"/>
          <w:sz w:val="24"/>
          <w:szCs w:val="24"/>
          <w:lang w:val="el-GR"/>
        </w:rPr>
        <w:t>διαφθοράς</w:t>
      </w:r>
      <w:r w:rsidRPr="00C92124">
        <w:rPr>
          <w:rFonts w:cstheme="minorHAnsi"/>
          <w:sz w:val="24"/>
          <w:szCs w:val="24"/>
          <w:lang w:val="el-GR"/>
        </w:rPr>
        <w:t xml:space="preserve"> </w:t>
      </w:r>
      <w:r>
        <w:rPr>
          <w:rFonts w:cstheme="minorHAnsi"/>
          <w:sz w:val="24"/>
          <w:szCs w:val="24"/>
          <w:lang w:val="el-GR"/>
        </w:rPr>
        <w:t>στην</w:t>
      </w:r>
      <w:r w:rsidRPr="00C92124">
        <w:rPr>
          <w:rFonts w:cstheme="minorHAnsi"/>
          <w:sz w:val="24"/>
          <w:szCs w:val="24"/>
          <w:lang w:val="el-GR"/>
        </w:rPr>
        <w:t xml:space="preserve"> </w:t>
      </w:r>
      <w:r w:rsidR="009C4E34">
        <w:rPr>
          <w:rFonts w:cstheme="minorHAnsi"/>
          <w:sz w:val="24"/>
          <w:szCs w:val="24"/>
          <w:lang w:val="el-GR"/>
        </w:rPr>
        <w:t>Αστυνομία</w:t>
      </w:r>
      <w:r w:rsidR="00220066" w:rsidRPr="00C92124">
        <w:rPr>
          <w:rFonts w:cstheme="minorHAnsi"/>
          <w:sz w:val="24"/>
          <w:szCs w:val="24"/>
          <w:lang w:val="el-GR"/>
        </w:rPr>
        <w:t xml:space="preserve"> </w:t>
      </w:r>
      <w:r>
        <w:rPr>
          <w:rFonts w:cstheme="minorHAnsi"/>
          <w:sz w:val="24"/>
          <w:szCs w:val="24"/>
          <w:lang w:val="el-GR"/>
        </w:rPr>
        <w:t>και σχετικά αδικήματα</w:t>
      </w:r>
      <w:r w:rsidR="00220066" w:rsidRPr="00C92124">
        <w:rPr>
          <w:rFonts w:cstheme="minorHAnsi"/>
          <w:sz w:val="24"/>
          <w:szCs w:val="24"/>
          <w:lang w:val="el-GR"/>
        </w:rPr>
        <w:t xml:space="preserve"> </w:t>
      </w:r>
      <w:r w:rsidR="009A0825">
        <w:rPr>
          <w:rFonts w:cstheme="minorHAnsi"/>
          <w:sz w:val="24"/>
          <w:szCs w:val="24"/>
          <w:lang w:val="el-GR"/>
        </w:rPr>
        <w:t>μέσω των μέσων ενημέρωσης</w:t>
      </w:r>
      <w:r w:rsidR="00220066" w:rsidRPr="00C92124">
        <w:rPr>
          <w:rFonts w:cstheme="minorHAnsi"/>
          <w:sz w:val="24"/>
          <w:szCs w:val="24"/>
          <w:lang w:val="el-GR"/>
        </w:rPr>
        <w:t xml:space="preserve">. </w:t>
      </w:r>
      <w:r w:rsidR="009A0825">
        <w:rPr>
          <w:rFonts w:cstheme="minorHAnsi"/>
          <w:sz w:val="24"/>
          <w:szCs w:val="24"/>
          <w:lang w:val="el-GR"/>
        </w:rPr>
        <w:t>Πρέπει</w:t>
      </w:r>
      <w:r w:rsidR="009A0825" w:rsidRPr="009A0825">
        <w:rPr>
          <w:rFonts w:cstheme="minorHAnsi"/>
          <w:sz w:val="24"/>
          <w:szCs w:val="24"/>
          <w:lang w:val="el-GR"/>
        </w:rPr>
        <w:t xml:space="preserve"> </w:t>
      </w:r>
      <w:r w:rsidR="009A0825">
        <w:rPr>
          <w:rFonts w:cstheme="minorHAnsi"/>
          <w:sz w:val="24"/>
          <w:szCs w:val="24"/>
          <w:lang w:val="el-GR"/>
        </w:rPr>
        <w:t>να</w:t>
      </w:r>
      <w:r w:rsidR="009A0825" w:rsidRPr="009A0825">
        <w:rPr>
          <w:rFonts w:cstheme="minorHAnsi"/>
          <w:sz w:val="24"/>
          <w:szCs w:val="24"/>
          <w:lang w:val="el-GR"/>
        </w:rPr>
        <w:t xml:space="preserve"> </w:t>
      </w:r>
      <w:r w:rsidR="009A0825">
        <w:rPr>
          <w:rFonts w:cstheme="minorHAnsi"/>
          <w:sz w:val="24"/>
          <w:szCs w:val="24"/>
          <w:lang w:val="el-GR"/>
        </w:rPr>
        <w:t>σημειωθεί</w:t>
      </w:r>
      <w:r w:rsidR="009A0825" w:rsidRPr="009A0825">
        <w:rPr>
          <w:rFonts w:cstheme="minorHAnsi"/>
          <w:sz w:val="24"/>
          <w:szCs w:val="24"/>
          <w:lang w:val="el-GR"/>
        </w:rPr>
        <w:t xml:space="preserve"> </w:t>
      </w:r>
      <w:r w:rsidR="009A0825">
        <w:rPr>
          <w:rFonts w:cstheme="minorHAnsi"/>
          <w:sz w:val="24"/>
          <w:szCs w:val="24"/>
          <w:lang w:val="el-GR"/>
        </w:rPr>
        <w:t>ότι</w:t>
      </w:r>
      <w:r w:rsidR="00220066" w:rsidRPr="009A0825">
        <w:rPr>
          <w:rFonts w:cstheme="minorHAnsi"/>
          <w:sz w:val="24"/>
          <w:szCs w:val="24"/>
          <w:lang w:val="el-GR"/>
        </w:rPr>
        <w:t xml:space="preserve"> </w:t>
      </w:r>
      <w:r w:rsidR="009A0825">
        <w:rPr>
          <w:rFonts w:cstheme="minorHAnsi"/>
          <w:sz w:val="24"/>
          <w:szCs w:val="24"/>
          <w:lang w:val="el-GR"/>
        </w:rPr>
        <w:t>τα</w:t>
      </w:r>
      <w:r w:rsidR="009A0825" w:rsidRPr="009A0825">
        <w:rPr>
          <w:rFonts w:cstheme="minorHAnsi"/>
          <w:sz w:val="24"/>
          <w:szCs w:val="24"/>
          <w:lang w:val="el-GR"/>
        </w:rPr>
        <w:t xml:space="preserve"> </w:t>
      </w:r>
      <w:r w:rsidR="009A0825">
        <w:rPr>
          <w:rFonts w:cstheme="minorHAnsi"/>
          <w:sz w:val="24"/>
          <w:szCs w:val="24"/>
          <w:lang w:val="el-GR"/>
        </w:rPr>
        <w:t>μέσα</w:t>
      </w:r>
      <w:r w:rsidR="00220066" w:rsidRPr="009A0825">
        <w:rPr>
          <w:rFonts w:cstheme="minorHAnsi"/>
          <w:sz w:val="24"/>
          <w:szCs w:val="24"/>
          <w:lang w:val="el-GR"/>
        </w:rPr>
        <w:t xml:space="preserve"> </w:t>
      </w:r>
      <w:r w:rsidR="009A0825">
        <w:rPr>
          <w:rFonts w:cstheme="minorHAnsi"/>
          <w:sz w:val="24"/>
          <w:szCs w:val="24"/>
          <w:lang w:val="el-GR"/>
        </w:rPr>
        <w:t>ασχολ</w:t>
      </w:r>
      <w:r w:rsidR="00FB34FC">
        <w:rPr>
          <w:rFonts w:cstheme="minorHAnsi"/>
          <w:sz w:val="24"/>
          <w:szCs w:val="24"/>
          <w:lang w:val="el-GR"/>
        </w:rPr>
        <w:t>ούν</w:t>
      </w:r>
      <w:r w:rsidR="009A0825">
        <w:rPr>
          <w:rFonts w:cstheme="minorHAnsi"/>
          <w:sz w:val="24"/>
          <w:szCs w:val="24"/>
          <w:lang w:val="el-GR"/>
        </w:rPr>
        <w:t>ται</w:t>
      </w:r>
      <w:r w:rsidR="009A0825" w:rsidRPr="009A0825">
        <w:rPr>
          <w:rFonts w:cstheme="minorHAnsi"/>
          <w:sz w:val="24"/>
          <w:szCs w:val="24"/>
          <w:lang w:val="el-GR"/>
        </w:rPr>
        <w:t xml:space="preserve"> </w:t>
      </w:r>
      <w:r w:rsidR="009A0825">
        <w:rPr>
          <w:rFonts w:cstheme="minorHAnsi"/>
          <w:sz w:val="24"/>
          <w:szCs w:val="24"/>
          <w:lang w:val="el-GR"/>
        </w:rPr>
        <w:t>μόνο</w:t>
      </w:r>
      <w:r w:rsidR="00220066" w:rsidRPr="009A0825">
        <w:rPr>
          <w:rFonts w:cstheme="minorHAnsi"/>
          <w:sz w:val="24"/>
          <w:szCs w:val="24"/>
          <w:lang w:val="el-GR"/>
        </w:rPr>
        <w:t xml:space="preserve"> </w:t>
      </w:r>
      <w:r w:rsidR="009A0825">
        <w:rPr>
          <w:rFonts w:cstheme="minorHAnsi"/>
          <w:sz w:val="24"/>
          <w:szCs w:val="24"/>
          <w:lang w:val="el-GR"/>
        </w:rPr>
        <w:t>με σοβαρές υποθέσεις</w:t>
      </w:r>
      <w:r w:rsidR="00220066" w:rsidRPr="009A0825">
        <w:rPr>
          <w:rFonts w:cstheme="minorHAnsi"/>
          <w:sz w:val="24"/>
          <w:szCs w:val="24"/>
          <w:lang w:val="el-GR"/>
        </w:rPr>
        <w:t xml:space="preserve"> </w:t>
      </w:r>
      <w:r w:rsidR="009A0825">
        <w:rPr>
          <w:rFonts w:cstheme="minorHAnsi"/>
          <w:sz w:val="24"/>
          <w:szCs w:val="24"/>
          <w:lang w:val="el-GR"/>
        </w:rPr>
        <w:t>και όχι με μικρές υποθέσεις</w:t>
      </w:r>
      <w:r w:rsidR="00220066" w:rsidRPr="009A0825">
        <w:rPr>
          <w:rFonts w:cstheme="minorHAnsi"/>
          <w:sz w:val="24"/>
          <w:szCs w:val="24"/>
          <w:lang w:val="el-GR"/>
        </w:rPr>
        <w:t xml:space="preserve">. </w:t>
      </w:r>
      <w:r w:rsidR="009A0825">
        <w:rPr>
          <w:rFonts w:cstheme="minorHAnsi"/>
          <w:sz w:val="24"/>
          <w:szCs w:val="24"/>
          <w:lang w:val="el-GR"/>
        </w:rPr>
        <w:t>Οι</w:t>
      </w:r>
      <w:r w:rsidR="009A0825" w:rsidRPr="009A0825">
        <w:rPr>
          <w:rFonts w:cstheme="minorHAnsi"/>
          <w:sz w:val="24"/>
          <w:szCs w:val="24"/>
          <w:lang w:val="el-GR"/>
        </w:rPr>
        <w:t xml:space="preserve"> </w:t>
      </w:r>
      <w:r w:rsidR="009A0825">
        <w:rPr>
          <w:rFonts w:cstheme="minorHAnsi"/>
          <w:sz w:val="24"/>
          <w:szCs w:val="24"/>
          <w:lang w:val="el-GR"/>
        </w:rPr>
        <w:t>βασικές</w:t>
      </w:r>
      <w:r w:rsidR="009A0825" w:rsidRPr="009A0825">
        <w:rPr>
          <w:rFonts w:cstheme="minorHAnsi"/>
          <w:sz w:val="24"/>
          <w:szCs w:val="24"/>
          <w:lang w:val="el-GR"/>
        </w:rPr>
        <w:t xml:space="preserve"> </w:t>
      </w:r>
      <w:r w:rsidR="009A0825">
        <w:rPr>
          <w:rFonts w:cstheme="minorHAnsi"/>
          <w:sz w:val="24"/>
          <w:szCs w:val="24"/>
          <w:lang w:val="el-GR"/>
        </w:rPr>
        <w:t>πληροφορίες</w:t>
      </w:r>
      <w:r w:rsidR="009A0825" w:rsidRPr="009A0825">
        <w:rPr>
          <w:rFonts w:cstheme="minorHAnsi"/>
          <w:sz w:val="24"/>
          <w:szCs w:val="24"/>
          <w:lang w:val="el-GR"/>
        </w:rPr>
        <w:t xml:space="preserve"> </w:t>
      </w:r>
      <w:r w:rsidR="009A0825">
        <w:rPr>
          <w:rFonts w:cstheme="minorHAnsi"/>
          <w:sz w:val="24"/>
          <w:szCs w:val="24"/>
          <w:lang w:val="el-GR"/>
        </w:rPr>
        <w:t>παρέχονται</w:t>
      </w:r>
      <w:r w:rsidR="009A0825" w:rsidRPr="009A0825">
        <w:rPr>
          <w:rFonts w:cstheme="minorHAnsi"/>
          <w:sz w:val="24"/>
          <w:szCs w:val="24"/>
          <w:lang w:val="el-GR"/>
        </w:rPr>
        <w:t xml:space="preserve"> </w:t>
      </w:r>
      <w:r w:rsidR="009A0825">
        <w:rPr>
          <w:rFonts w:cstheme="minorHAnsi"/>
          <w:sz w:val="24"/>
          <w:szCs w:val="24"/>
          <w:lang w:val="el-GR"/>
        </w:rPr>
        <w:t>από</w:t>
      </w:r>
      <w:r w:rsidR="009A0825" w:rsidRPr="009A0825">
        <w:rPr>
          <w:rFonts w:cstheme="minorHAnsi"/>
          <w:sz w:val="24"/>
          <w:szCs w:val="24"/>
          <w:lang w:val="el-GR"/>
        </w:rPr>
        <w:t xml:space="preserve"> </w:t>
      </w:r>
      <w:r w:rsidR="009A0825">
        <w:rPr>
          <w:rFonts w:cstheme="minorHAnsi"/>
          <w:sz w:val="24"/>
          <w:szCs w:val="24"/>
          <w:lang w:val="el-GR"/>
        </w:rPr>
        <w:t>την</w:t>
      </w:r>
      <w:r w:rsidR="009A0825" w:rsidRPr="009A0825">
        <w:rPr>
          <w:rFonts w:cstheme="minorHAnsi"/>
          <w:sz w:val="24"/>
          <w:szCs w:val="24"/>
          <w:lang w:val="el-GR"/>
        </w:rPr>
        <w:t xml:space="preserve"> </w:t>
      </w:r>
      <w:proofErr w:type="spellStart"/>
      <w:r w:rsidR="009A0825">
        <w:rPr>
          <w:rFonts w:cstheme="minorHAnsi"/>
          <w:sz w:val="24"/>
          <w:szCs w:val="24"/>
          <w:lang w:val="el-GR"/>
        </w:rPr>
        <w:t>Υπο</w:t>
      </w:r>
      <w:proofErr w:type="spellEnd"/>
      <w:r w:rsidR="009A0825" w:rsidRPr="009A0825">
        <w:rPr>
          <w:rFonts w:cstheme="minorHAnsi"/>
          <w:sz w:val="24"/>
          <w:szCs w:val="24"/>
          <w:lang w:val="el-GR"/>
        </w:rPr>
        <w:t>-</w:t>
      </w:r>
      <w:r w:rsidR="009A0825">
        <w:rPr>
          <w:rFonts w:cstheme="minorHAnsi"/>
          <w:sz w:val="24"/>
          <w:szCs w:val="24"/>
          <w:lang w:val="el-GR"/>
        </w:rPr>
        <w:t>Διεύθυνση</w:t>
      </w:r>
      <w:r w:rsidR="009A0825" w:rsidRPr="009A0825">
        <w:rPr>
          <w:rFonts w:cstheme="minorHAnsi"/>
          <w:sz w:val="24"/>
          <w:szCs w:val="24"/>
          <w:lang w:val="el-GR"/>
        </w:rPr>
        <w:t xml:space="preserve"> </w:t>
      </w:r>
      <w:r w:rsidR="009A0825">
        <w:rPr>
          <w:rFonts w:cstheme="minorHAnsi"/>
          <w:sz w:val="24"/>
          <w:szCs w:val="24"/>
          <w:lang w:val="el-GR"/>
        </w:rPr>
        <w:t>Επικοινωνιών</w:t>
      </w:r>
      <w:r w:rsidR="00220066" w:rsidRPr="009A0825">
        <w:rPr>
          <w:rFonts w:cstheme="minorHAnsi"/>
          <w:sz w:val="24"/>
          <w:szCs w:val="24"/>
          <w:lang w:val="el-GR"/>
        </w:rPr>
        <w:t xml:space="preserve">, </w:t>
      </w:r>
      <w:r w:rsidR="009A0825">
        <w:rPr>
          <w:rFonts w:cstheme="minorHAnsi"/>
          <w:sz w:val="24"/>
          <w:szCs w:val="24"/>
          <w:lang w:val="el-GR"/>
        </w:rPr>
        <w:t>Δημοσίων</w:t>
      </w:r>
      <w:r w:rsidR="009A0825" w:rsidRPr="009A0825">
        <w:rPr>
          <w:rFonts w:cstheme="minorHAnsi"/>
          <w:sz w:val="24"/>
          <w:szCs w:val="24"/>
          <w:lang w:val="el-GR"/>
        </w:rPr>
        <w:t xml:space="preserve"> </w:t>
      </w:r>
      <w:r w:rsidR="009A0825">
        <w:rPr>
          <w:rFonts w:cstheme="minorHAnsi"/>
          <w:sz w:val="24"/>
          <w:szCs w:val="24"/>
          <w:lang w:val="el-GR"/>
        </w:rPr>
        <w:t>Σχέσε</w:t>
      </w:r>
      <w:r w:rsidR="00FB34FC">
        <w:rPr>
          <w:rFonts w:cstheme="minorHAnsi"/>
          <w:sz w:val="24"/>
          <w:szCs w:val="24"/>
          <w:lang w:val="el-GR"/>
        </w:rPr>
        <w:t>ων</w:t>
      </w:r>
      <w:r w:rsidR="009A0825" w:rsidRPr="009A0825">
        <w:rPr>
          <w:rFonts w:cstheme="minorHAnsi"/>
          <w:sz w:val="24"/>
          <w:szCs w:val="24"/>
          <w:lang w:val="el-GR"/>
        </w:rPr>
        <w:t xml:space="preserve"> </w:t>
      </w:r>
      <w:r w:rsidR="009A0825">
        <w:rPr>
          <w:rFonts w:cstheme="minorHAnsi"/>
          <w:sz w:val="24"/>
          <w:szCs w:val="24"/>
          <w:lang w:val="el-GR"/>
        </w:rPr>
        <w:t>και</w:t>
      </w:r>
      <w:r w:rsidR="009A0825" w:rsidRPr="009A0825">
        <w:rPr>
          <w:rFonts w:cstheme="minorHAnsi"/>
          <w:sz w:val="24"/>
          <w:szCs w:val="24"/>
          <w:lang w:val="el-GR"/>
        </w:rPr>
        <w:t xml:space="preserve"> </w:t>
      </w:r>
      <w:r w:rsidR="009A0825">
        <w:rPr>
          <w:rFonts w:cstheme="minorHAnsi"/>
          <w:sz w:val="24"/>
          <w:szCs w:val="24"/>
          <w:lang w:val="el-GR"/>
        </w:rPr>
        <w:t>Κοινωνική</w:t>
      </w:r>
      <w:r w:rsidR="00FB34FC">
        <w:rPr>
          <w:rFonts w:cstheme="minorHAnsi"/>
          <w:sz w:val="24"/>
          <w:szCs w:val="24"/>
          <w:lang w:val="el-GR"/>
        </w:rPr>
        <w:t>ς</w:t>
      </w:r>
      <w:r w:rsidR="009A0825">
        <w:rPr>
          <w:rFonts w:cstheme="minorHAnsi"/>
          <w:sz w:val="24"/>
          <w:szCs w:val="24"/>
          <w:lang w:val="el-GR"/>
        </w:rPr>
        <w:t xml:space="preserve"> Ευθύνη</w:t>
      </w:r>
      <w:r w:rsidR="00FB34FC">
        <w:rPr>
          <w:rFonts w:cstheme="minorHAnsi"/>
          <w:sz w:val="24"/>
          <w:szCs w:val="24"/>
          <w:lang w:val="el-GR"/>
        </w:rPr>
        <w:t>ς</w:t>
      </w:r>
      <w:r w:rsidR="00220066" w:rsidRPr="009A0825">
        <w:rPr>
          <w:rFonts w:cstheme="minorHAnsi"/>
          <w:sz w:val="24"/>
          <w:szCs w:val="24"/>
          <w:lang w:val="el-GR"/>
        </w:rPr>
        <w:t xml:space="preserve"> </w:t>
      </w:r>
      <w:r w:rsidR="009A0825">
        <w:rPr>
          <w:rFonts w:cstheme="minorHAnsi"/>
          <w:sz w:val="24"/>
          <w:szCs w:val="24"/>
          <w:lang w:val="el-GR"/>
        </w:rPr>
        <w:t xml:space="preserve">της </w:t>
      </w:r>
      <w:r w:rsidR="009C4E34">
        <w:rPr>
          <w:rFonts w:cstheme="minorHAnsi"/>
          <w:sz w:val="24"/>
          <w:szCs w:val="24"/>
          <w:lang w:val="el-GR"/>
        </w:rPr>
        <w:t>Αστυνομία</w:t>
      </w:r>
      <w:r w:rsidR="009A0825">
        <w:rPr>
          <w:rFonts w:cstheme="minorHAnsi"/>
          <w:sz w:val="24"/>
          <w:szCs w:val="24"/>
          <w:lang w:val="el-GR"/>
        </w:rPr>
        <w:t>ς</w:t>
      </w:r>
      <w:r w:rsidR="00220066" w:rsidRPr="009A0825">
        <w:rPr>
          <w:rFonts w:cstheme="minorHAnsi"/>
          <w:sz w:val="24"/>
          <w:szCs w:val="24"/>
          <w:lang w:val="el-GR"/>
        </w:rPr>
        <w:t xml:space="preserve"> </w:t>
      </w:r>
      <w:r w:rsidR="009A0825">
        <w:rPr>
          <w:rFonts w:cstheme="minorHAnsi"/>
          <w:sz w:val="24"/>
          <w:szCs w:val="24"/>
          <w:lang w:val="el-GR"/>
        </w:rPr>
        <w:t xml:space="preserve">με διάφορους τρόπους </w:t>
      </w:r>
      <w:r w:rsidR="00220066" w:rsidRPr="009A0825">
        <w:rPr>
          <w:rFonts w:cstheme="minorHAnsi"/>
          <w:sz w:val="24"/>
          <w:szCs w:val="24"/>
          <w:lang w:val="el-GR"/>
        </w:rPr>
        <w:t>(</w:t>
      </w:r>
      <w:r w:rsidR="009A0825">
        <w:rPr>
          <w:rFonts w:cstheme="minorHAnsi"/>
          <w:sz w:val="24"/>
          <w:szCs w:val="24"/>
          <w:lang w:val="el-GR"/>
        </w:rPr>
        <w:t>καταθέσεις</w:t>
      </w:r>
      <w:r w:rsidR="00220066" w:rsidRPr="009A0825">
        <w:rPr>
          <w:rFonts w:cstheme="minorHAnsi"/>
          <w:sz w:val="24"/>
          <w:szCs w:val="24"/>
          <w:lang w:val="el-GR"/>
        </w:rPr>
        <w:t xml:space="preserve">, </w:t>
      </w:r>
      <w:r w:rsidR="009A0825">
        <w:rPr>
          <w:rFonts w:cstheme="minorHAnsi"/>
          <w:sz w:val="24"/>
          <w:szCs w:val="24"/>
          <w:lang w:val="el-GR"/>
        </w:rPr>
        <w:t>δημοσιεύσεις στα μέσα</w:t>
      </w:r>
      <w:r w:rsidR="00220066" w:rsidRPr="009A0825">
        <w:rPr>
          <w:rFonts w:cstheme="minorHAnsi"/>
          <w:sz w:val="24"/>
          <w:szCs w:val="24"/>
          <w:lang w:val="el-GR"/>
        </w:rPr>
        <w:t xml:space="preserve">, </w:t>
      </w:r>
      <w:r w:rsidR="009A0825">
        <w:rPr>
          <w:rFonts w:cstheme="minorHAnsi"/>
          <w:sz w:val="24"/>
          <w:szCs w:val="24"/>
          <w:lang w:val="el-GR"/>
        </w:rPr>
        <w:t>κλπ</w:t>
      </w:r>
      <w:r w:rsidR="00220066" w:rsidRPr="009A0825">
        <w:rPr>
          <w:rFonts w:cstheme="minorHAnsi"/>
          <w:sz w:val="24"/>
          <w:szCs w:val="24"/>
          <w:lang w:val="el-GR"/>
        </w:rPr>
        <w:t xml:space="preserve">.). </w:t>
      </w:r>
      <w:r w:rsidR="009A0825">
        <w:rPr>
          <w:rFonts w:cstheme="minorHAnsi"/>
          <w:sz w:val="24"/>
          <w:szCs w:val="24"/>
          <w:lang w:val="el-GR"/>
        </w:rPr>
        <w:t>Πληροφορίες</w:t>
      </w:r>
      <w:r w:rsidR="009A0825" w:rsidRPr="00963FBE">
        <w:rPr>
          <w:rFonts w:cstheme="minorHAnsi"/>
          <w:sz w:val="24"/>
          <w:szCs w:val="24"/>
          <w:lang w:val="el-GR"/>
        </w:rPr>
        <w:t xml:space="preserve"> </w:t>
      </w:r>
      <w:r w:rsidR="00FB34FC">
        <w:rPr>
          <w:rFonts w:cstheme="minorHAnsi"/>
          <w:sz w:val="24"/>
          <w:szCs w:val="24"/>
          <w:lang w:val="el-GR"/>
        </w:rPr>
        <w:t>παρέχονται</w:t>
      </w:r>
      <w:r w:rsidR="00FB34FC" w:rsidRPr="00963FBE">
        <w:rPr>
          <w:rFonts w:cstheme="minorHAnsi"/>
          <w:sz w:val="24"/>
          <w:szCs w:val="24"/>
          <w:lang w:val="el-GR"/>
        </w:rPr>
        <w:t xml:space="preserve"> </w:t>
      </w:r>
      <w:r w:rsidR="00FB34FC">
        <w:rPr>
          <w:rFonts w:cstheme="minorHAnsi"/>
          <w:sz w:val="24"/>
          <w:szCs w:val="24"/>
          <w:lang w:val="el-GR"/>
        </w:rPr>
        <w:t>επίσης</w:t>
      </w:r>
      <w:r w:rsidR="00FB34FC" w:rsidRPr="00963FBE">
        <w:rPr>
          <w:rFonts w:cstheme="minorHAnsi"/>
          <w:sz w:val="24"/>
          <w:szCs w:val="24"/>
          <w:lang w:val="el-GR"/>
        </w:rPr>
        <w:t xml:space="preserve"> </w:t>
      </w:r>
      <w:r w:rsidR="00FB34FC">
        <w:rPr>
          <w:rFonts w:cstheme="minorHAnsi"/>
          <w:sz w:val="24"/>
          <w:szCs w:val="24"/>
          <w:lang w:val="el-GR"/>
        </w:rPr>
        <w:t>από</w:t>
      </w:r>
      <w:r w:rsidR="00FB34FC" w:rsidRPr="00963FBE">
        <w:rPr>
          <w:rFonts w:cstheme="minorHAnsi"/>
          <w:sz w:val="24"/>
          <w:szCs w:val="24"/>
          <w:lang w:val="el-GR"/>
        </w:rPr>
        <w:t xml:space="preserve"> </w:t>
      </w:r>
      <w:r w:rsidR="00FB34FC">
        <w:rPr>
          <w:rFonts w:cstheme="minorHAnsi"/>
          <w:sz w:val="24"/>
          <w:szCs w:val="24"/>
          <w:lang w:val="el-GR"/>
        </w:rPr>
        <w:t>τον</w:t>
      </w:r>
      <w:r w:rsidR="00FB34FC" w:rsidRPr="00963FBE">
        <w:rPr>
          <w:rFonts w:cstheme="minorHAnsi"/>
          <w:sz w:val="24"/>
          <w:szCs w:val="24"/>
          <w:lang w:val="el-GR"/>
        </w:rPr>
        <w:t xml:space="preserve"> </w:t>
      </w:r>
      <w:r w:rsidR="00FB34FC">
        <w:rPr>
          <w:rFonts w:cstheme="minorHAnsi"/>
          <w:sz w:val="24"/>
          <w:szCs w:val="24"/>
          <w:lang w:val="el-GR"/>
        </w:rPr>
        <w:t>εκπρόσωπο</w:t>
      </w:r>
      <w:r w:rsidR="00FB34FC" w:rsidRPr="00963FBE">
        <w:rPr>
          <w:rFonts w:cstheme="minorHAnsi"/>
          <w:sz w:val="24"/>
          <w:szCs w:val="24"/>
          <w:lang w:val="el-GR"/>
        </w:rPr>
        <w:t xml:space="preserve"> </w:t>
      </w:r>
      <w:r w:rsidR="00FB34FC">
        <w:rPr>
          <w:rFonts w:cstheme="minorHAnsi"/>
          <w:sz w:val="24"/>
          <w:szCs w:val="24"/>
          <w:lang w:val="el-GR"/>
        </w:rPr>
        <w:t>τύπου</w:t>
      </w:r>
      <w:r w:rsidR="00FB34FC" w:rsidRPr="00963FBE">
        <w:rPr>
          <w:rFonts w:cstheme="minorHAnsi"/>
          <w:sz w:val="24"/>
          <w:szCs w:val="24"/>
          <w:lang w:val="el-GR"/>
        </w:rPr>
        <w:t xml:space="preserve"> </w:t>
      </w:r>
      <w:r w:rsidR="00FB34FC">
        <w:rPr>
          <w:rFonts w:cstheme="minorHAnsi"/>
          <w:sz w:val="24"/>
          <w:szCs w:val="24"/>
          <w:lang w:val="el-GR"/>
        </w:rPr>
        <w:t>κάθε</w:t>
      </w:r>
      <w:r w:rsidR="00220066" w:rsidRPr="00963FBE">
        <w:rPr>
          <w:rFonts w:cstheme="minorHAnsi"/>
          <w:sz w:val="24"/>
          <w:szCs w:val="24"/>
          <w:lang w:val="el-GR"/>
        </w:rPr>
        <w:t xml:space="preserve"> </w:t>
      </w:r>
      <w:r w:rsidR="00963FBE">
        <w:rPr>
          <w:rFonts w:cstheme="minorHAnsi"/>
          <w:sz w:val="24"/>
          <w:szCs w:val="24"/>
          <w:lang w:val="el-GR"/>
        </w:rPr>
        <w:t xml:space="preserve">Τμήματος του Αρχηγείου της </w:t>
      </w:r>
      <w:r w:rsidR="009C4E34">
        <w:rPr>
          <w:rFonts w:cstheme="minorHAnsi"/>
          <w:sz w:val="24"/>
          <w:szCs w:val="24"/>
          <w:lang w:val="el-GR"/>
        </w:rPr>
        <w:t>Αστυνομία</w:t>
      </w:r>
      <w:r w:rsidR="00963FBE">
        <w:rPr>
          <w:rFonts w:cstheme="minorHAnsi"/>
          <w:sz w:val="24"/>
          <w:szCs w:val="24"/>
          <w:lang w:val="el-GR"/>
        </w:rPr>
        <w:t>ς</w:t>
      </w:r>
      <w:r w:rsidR="00220066" w:rsidRPr="00963FBE">
        <w:rPr>
          <w:rFonts w:cstheme="minorHAnsi"/>
          <w:sz w:val="24"/>
          <w:szCs w:val="24"/>
          <w:lang w:val="el-GR"/>
        </w:rPr>
        <w:t xml:space="preserve">. </w:t>
      </w:r>
      <w:r w:rsidR="00963FBE">
        <w:rPr>
          <w:rFonts w:cstheme="minorHAnsi"/>
          <w:sz w:val="24"/>
          <w:szCs w:val="24"/>
          <w:lang w:val="el-GR"/>
        </w:rPr>
        <w:t>Σημειώνεται</w:t>
      </w:r>
      <w:r w:rsidR="00963FBE" w:rsidRPr="00963FBE">
        <w:rPr>
          <w:rFonts w:cstheme="minorHAnsi"/>
          <w:sz w:val="24"/>
          <w:szCs w:val="24"/>
          <w:lang w:val="el-GR"/>
        </w:rPr>
        <w:t xml:space="preserve"> </w:t>
      </w:r>
      <w:r w:rsidR="00963FBE">
        <w:rPr>
          <w:rFonts w:cstheme="minorHAnsi"/>
          <w:sz w:val="24"/>
          <w:szCs w:val="24"/>
          <w:lang w:val="el-GR"/>
        </w:rPr>
        <w:t>ότι</w:t>
      </w:r>
      <w:r w:rsidR="00963FBE" w:rsidRPr="00963FBE">
        <w:rPr>
          <w:rFonts w:cstheme="minorHAnsi"/>
          <w:sz w:val="24"/>
          <w:szCs w:val="24"/>
          <w:lang w:val="el-GR"/>
        </w:rPr>
        <w:t xml:space="preserve"> </w:t>
      </w:r>
      <w:r w:rsidR="00963FBE">
        <w:rPr>
          <w:rFonts w:cstheme="minorHAnsi"/>
          <w:sz w:val="24"/>
          <w:szCs w:val="24"/>
          <w:lang w:val="el-GR"/>
        </w:rPr>
        <w:t>τέτοιες</w:t>
      </w:r>
      <w:r w:rsidR="00963FBE" w:rsidRPr="00963FBE">
        <w:rPr>
          <w:rFonts w:cstheme="minorHAnsi"/>
          <w:sz w:val="24"/>
          <w:szCs w:val="24"/>
          <w:lang w:val="el-GR"/>
        </w:rPr>
        <w:t xml:space="preserve"> </w:t>
      </w:r>
      <w:r w:rsidR="00963FBE">
        <w:rPr>
          <w:rFonts w:cstheme="minorHAnsi"/>
          <w:sz w:val="24"/>
          <w:szCs w:val="24"/>
          <w:lang w:val="el-GR"/>
        </w:rPr>
        <w:t>έρευνες</w:t>
      </w:r>
      <w:r w:rsidR="00963FBE" w:rsidRPr="00963FBE">
        <w:rPr>
          <w:rFonts w:cstheme="minorHAnsi"/>
          <w:sz w:val="24"/>
          <w:szCs w:val="24"/>
          <w:lang w:val="el-GR"/>
        </w:rPr>
        <w:t xml:space="preserve"> </w:t>
      </w:r>
      <w:r w:rsidR="00963FBE">
        <w:rPr>
          <w:rFonts w:cstheme="minorHAnsi"/>
          <w:sz w:val="24"/>
          <w:szCs w:val="24"/>
          <w:lang w:val="el-GR"/>
        </w:rPr>
        <w:t>προβλέπονται</w:t>
      </w:r>
      <w:r w:rsidR="00963FBE" w:rsidRPr="00963FBE">
        <w:rPr>
          <w:rFonts w:cstheme="minorHAnsi"/>
          <w:sz w:val="24"/>
          <w:szCs w:val="24"/>
          <w:lang w:val="el-GR"/>
        </w:rPr>
        <w:t xml:space="preserve"> </w:t>
      </w:r>
      <w:r w:rsidR="00963FBE">
        <w:rPr>
          <w:rFonts w:cstheme="minorHAnsi"/>
          <w:sz w:val="24"/>
          <w:szCs w:val="24"/>
          <w:lang w:val="el-GR"/>
        </w:rPr>
        <w:t>από</w:t>
      </w:r>
      <w:r w:rsidR="00963FBE" w:rsidRPr="00963FBE">
        <w:rPr>
          <w:rFonts w:cstheme="minorHAnsi"/>
          <w:sz w:val="24"/>
          <w:szCs w:val="24"/>
          <w:lang w:val="el-GR"/>
        </w:rPr>
        <w:t xml:space="preserve"> </w:t>
      </w:r>
      <w:r w:rsidR="00963FBE">
        <w:rPr>
          <w:rFonts w:cstheme="minorHAnsi"/>
          <w:sz w:val="24"/>
          <w:szCs w:val="24"/>
          <w:lang w:val="el-GR"/>
        </w:rPr>
        <w:t>τον</w:t>
      </w:r>
      <w:r w:rsidR="00963FBE" w:rsidRPr="00963FBE">
        <w:rPr>
          <w:rFonts w:cstheme="minorHAnsi"/>
          <w:sz w:val="24"/>
          <w:szCs w:val="24"/>
          <w:lang w:val="el-GR"/>
        </w:rPr>
        <w:t xml:space="preserve"> </w:t>
      </w:r>
      <w:r w:rsidR="00963FBE">
        <w:rPr>
          <w:rFonts w:cstheme="minorHAnsi"/>
          <w:sz w:val="24"/>
          <w:szCs w:val="24"/>
          <w:lang w:val="el-GR"/>
        </w:rPr>
        <w:t>νόμο</w:t>
      </w:r>
      <w:r w:rsidR="00963FBE" w:rsidRPr="00963FBE">
        <w:rPr>
          <w:rFonts w:cstheme="minorHAnsi"/>
          <w:sz w:val="24"/>
          <w:szCs w:val="24"/>
          <w:lang w:val="el-GR"/>
        </w:rPr>
        <w:t xml:space="preserve"> </w:t>
      </w:r>
      <w:r w:rsidR="00963FBE">
        <w:rPr>
          <w:rFonts w:cstheme="minorHAnsi"/>
          <w:sz w:val="24"/>
          <w:szCs w:val="24"/>
          <w:lang w:val="el-GR"/>
        </w:rPr>
        <w:t>να</w:t>
      </w:r>
      <w:r w:rsidR="00963FBE" w:rsidRPr="00963FBE">
        <w:rPr>
          <w:rFonts w:cstheme="minorHAnsi"/>
          <w:sz w:val="24"/>
          <w:szCs w:val="24"/>
          <w:lang w:val="el-GR"/>
        </w:rPr>
        <w:t xml:space="preserve"> </w:t>
      </w:r>
      <w:r w:rsidR="00963FBE">
        <w:rPr>
          <w:rFonts w:cstheme="minorHAnsi"/>
          <w:sz w:val="24"/>
          <w:szCs w:val="24"/>
          <w:lang w:val="el-GR"/>
        </w:rPr>
        <w:t>παραμείνουν</w:t>
      </w:r>
      <w:r w:rsidR="00963FBE" w:rsidRPr="00963FBE">
        <w:rPr>
          <w:rFonts w:cstheme="minorHAnsi"/>
          <w:sz w:val="24"/>
          <w:szCs w:val="24"/>
          <w:lang w:val="el-GR"/>
        </w:rPr>
        <w:t xml:space="preserve"> </w:t>
      </w:r>
      <w:r w:rsidR="00963FBE">
        <w:rPr>
          <w:rFonts w:cstheme="minorHAnsi"/>
          <w:sz w:val="24"/>
          <w:szCs w:val="24"/>
          <w:lang w:val="el-GR"/>
        </w:rPr>
        <w:t>εμπιστευτικές</w:t>
      </w:r>
      <w:r w:rsidR="00220066" w:rsidRPr="00963FBE">
        <w:rPr>
          <w:rFonts w:cstheme="minorHAnsi"/>
          <w:sz w:val="24"/>
          <w:szCs w:val="24"/>
          <w:lang w:val="el-GR"/>
        </w:rPr>
        <w:t xml:space="preserve"> </w:t>
      </w:r>
      <w:r w:rsidR="00963FBE">
        <w:rPr>
          <w:rFonts w:cstheme="minorHAnsi"/>
          <w:sz w:val="24"/>
          <w:szCs w:val="24"/>
          <w:lang w:val="el-GR"/>
        </w:rPr>
        <w:t>και</w:t>
      </w:r>
      <w:r w:rsidR="00220066" w:rsidRPr="00963FBE">
        <w:rPr>
          <w:rFonts w:cstheme="minorHAnsi"/>
          <w:sz w:val="24"/>
          <w:szCs w:val="24"/>
          <w:lang w:val="el-GR"/>
        </w:rPr>
        <w:t>/</w:t>
      </w:r>
      <w:r w:rsidR="00963FBE">
        <w:rPr>
          <w:rFonts w:cstheme="minorHAnsi"/>
          <w:sz w:val="24"/>
          <w:szCs w:val="24"/>
          <w:lang w:val="el-GR"/>
        </w:rPr>
        <w:t>ή</w:t>
      </w:r>
      <w:r w:rsidR="00220066" w:rsidRPr="00963FBE">
        <w:rPr>
          <w:rFonts w:cstheme="minorHAnsi"/>
          <w:sz w:val="24"/>
          <w:szCs w:val="24"/>
          <w:lang w:val="el-GR"/>
        </w:rPr>
        <w:t xml:space="preserve"> </w:t>
      </w:r>
      <w:r w:rsidR="00963FBE">
        <w:rPr>
          <w:rFonts w:cstheme="minorHAnsi"/>
          <w:sz w:val="24"/>
          <w:szCs w:val="24"/>
          <w:lang w:val="el-GR"/>
        </w:rPr>
        <w:t>διαβαθμισμένες</w:t>
      </w:r>
      <w:r w:rsidR="00220066" w:rsidRPr="00963FBE">
        <w:rPr>
          <w:rFonts w:cstheme="minorHAnsi"/>
          <w:sz w:val="24"/>
          <w:szCs w:val="24"/>
          <w:lang w:val="el-GR"/>
        </w:rPr>
        <w:t xml:space="preserve">, </w:t>
      </w:r>
      <w:r w:rsidR="00963FBE">
        <w:rPr>
          <w:rFonts w:cstheme="minorHAnsi"/>
          <w:sz w:val="24"/>
          <w:szCs w:val="24"/>
          <w:lang w:val="el-GR"/>
        </w:rPr>
        <w:t>σύμφωνα με τις πρόνοιες για το απόρρητο που διατυπώνονται στον Νόμο περί της Επεξεργασίας Προσωπικών Δεδομένων</w:t>
      </w:r>
      <w:r w:rsidR="00220066" w:rsidRPr="00963FBE">
        <w:rPr>
          <w:rFonts w:cstheme="minorHAnsi"/>
          <w:sz w:val="24"/>
          <w:szCs w:val="24"/>
          <w:lang w:val="el-GR"/>
        </w:rPr>
        <w:t xml:space="preserve"> </w:t>
      </w:r>
      <w:r w:rsidR="00963FBE">
        <w:rPr>
          <w:rFonts w:cstheme="minorHAnsi"/>
          <w:sz w:val="24"/>
          <w:szCs w:val="24"/>
          <w:lang w:val="el-GR"/>
        </w:rPr>
        <w:t xml:space="preserve">του </w:t>
      </w:r>
      <w:r w:rsidR="00220066" w:rsidRPr="00963FBE">
        <w:rPr>
          <w:rFonts w:cstheme="minorHAnsi"/>
          <w:sz w:val="24"/>
          <w:szCs w:val="24"/>
          <w:lang w:val="el-GR"/>
        </w:rPr>
        <w:t>2001 (138(</w:t>
      </w:r>
      <w:r w:rsidR="00220066" w:rsidRPr="00E7093A">
        <w:rPr>
          <w:rFonts w:cstheme="minorHAnsi"/>
          <w:sz w:val="24"/>
          <w:szCs w:val="24"/>
        </w:rPr>
        <w:t>I</w:t>
      </w:r>
      <w:r w:rsidR="00220066" w:rsidRPr="00963FBE">
        <w:rPr>
          <w:rFonts w:cstheme="minorHAnsi"/>
          <w:sz w:val="24"/>
          <w:szCs w:val="24"/>
          <w:lang w:val="el-GR"/>
        </w:rPr>
        <w:t>)/2001).</w:t>
      </w:r>
    </w:p>
    <w:p w14:paraId="41738677" w14:textId="77777777" w:rsidR="00901561" w:rsidRPr="00963FBE" w:rsidRDefault="00901561" w:rsidP="00901561">
      <w:pPr>
        <w:pStyle w:val="ListParagraph"/>
        <w:rPr>
          <w:rFonts w:cstheme="minorHAnsi"/>
          <w:sz w:val="24"/>
          <w:szCs w:val="24"/>
          <w:lang w:val="el-GR"/>
        </w:rPr>
      </w:pPr>
    </w:p>
    <w:p w14:paraId="3CA28275" w14:textId="0887A6F1" w:rsidR="00901561" w:rsidRPr="00FB34FC" w:rsidRDefault="00FB34FC" w:rsidP="00220066">
      <w:pPr>
        <w:numPr>
          <w:ilvl w:val="0"/>
          <w:numId w:val="1"/>
        </w:numPr>
        <w:tabs>
          <w:tab w:val="left" w:pos="709"/>
        </w:tabs>
        <w:ind w:left="0" w:firstLine="0"/>
        <w:rPr>
          <w:rFonts w:cstheme="minorHAnsi"/>
          <w:sz w:val="24"/>
          <w:szCs w:val="24"/>
          <w:lang w:val="el-GR"/>
        </w:rPr>
      </w:pPr>
      <w:r>
        <w:rPr>
          <w:rFonts w:cstheme="minorHAnsi"/>
          <w:sz w:val="24"/>
          <w:szCs w:val="24"/>
          <w:lang w:val="el-GR"/>
        </w:rPr>
        <w:lastRenderedPageBreak/>
        <w:t>Η</w:t>
      </w:r>
      <w:r w:rsidR="00901561" w:rsidRPr="00FB34FC">
        <w:rPr>
          <w:rFonts w:cstheme="minorHAnsi"/>
          <w:sz w:val="24"/>
          <w:szCs w:val="24"/>
          <w:lang w:val="el-GR"/>
        </w:rPr>
        <w:t xml:space="preserve"> </w:t>
      </w:r>
      <w:r w:rsidR="00901561" w:rsidRPr="00E7093A">
        <w:rPr>
          <w:rFonts w:cstheme="minorHAnsi"/>
          <w:sz w:val="24"/>
          <w:szCs w:val="24"/>
        </w:rPr>
        <w:t>GET</w:t>
      </w:r>
      <w:r w:rsidR="00901561" w:rsidRPr="00FB34FC">
        <w:rPr>
          <w:rFonts w:cstheme="minorHAnsi"/>
          <w:sz w:val="24"/>
          <w:szCs w:val="24"/>
          <w:lang w:val="el-GR"/>
        </w:rPr>
        <w:t xml:space="preserve"> </w:t>
      </w:r>
      <w:r>
        <w:rPr>
          <w:rFonts w:cstheme="minorHAnsi"/>
          <w:sz w:val="24"/>
          <w:szCs w:val="24"/>
          <w:lang w:val="el-GR"/>
        </w:rPr>
        <w:t>αναφέρεται</w:t>
      </w:r>
      <w:r w:rsidRPr="00FB34FC">
        <w:rPr>
          <w:rFonts w:cstheme="minorHAnsi"/>
          <w:sz w:val="24"/>
          <w:szCs w:val="24"/>
          <w:lang w:val="el-GR"/>
        </w:rPr>
        <w:t xml:space="preserve"> </w:t>
      </w:r>
      <w:r>
        <w:rPr>
          <w:rFonts w:cstheme="minorHAnsi"/>
          <w:sz w:val="24"/>
          <w:szCs w:val="24"/>
          <w:lang w:val="el-GR"/>
        </w:rPr>
        <w:t>σε</w:t>
      </w:r>
      <w:r w:rsidRPr="00FB34FC">
        <w:rPr>
          <w:rFonts w:cstheme="minorHAnsi"/>
          <w:sz w:val="24"/>
          <w:szCs w:val="24"/>
          <w:lang w:val="el-GR"/>
        </w:rPr>
        <w:t xml:space="preserve"> </w:t>
      </w:r>
      <w:r>
        <w:rPr>
          <w:rFonts w:cstheme="minorHAnsi"/>
          <w:sz w:val="24"/>
          <w:szCs w:val="24"/>
          <w:lang w:val="el-GR"/>
        </w:rPr>
        <w:t>μια</w:t>
      </w:r>
      <w:r w:rsidRPr="00FB34FC">
        <w:rPr>
          <w:rFonts w:cstheme="minorHAnsi"/>
          <w:sz w:val="24"/>
          <w:szCs w:val="24"/>
          <w:lang w:val="el-GR"/>
        </w:rPr>
        <w:t xml:space="preserve"> </w:t>
      </w:r>
      <w:r>
        <w:rPr>
          <w:rFonts w:cstheme="minorHAnsi"/>
          <w:sz w:val="24"/>
          <w:szCs w:val="24"/>
          <w:lang w:val="el-GR"/>
        </w:rPr>
        <w:t>σύσταση</w:t>
      </w:r>
      <w:r w:rsidRPr="00FB34FC">
        <w:rPr>
          <w:rFonts w:cstheme="minorHAnsi"/>
          <w:sz w:val="24"/>
          <w:szCs w:val="24"/>
          <w:lang w:val="el-GR"/>
        </w:rPr>
        <w:t xml:space="preserve"> </w:t>
      </w:r>
      <w:r>
        <w:rPr>
          <w:rFonts w:cstheme="minorHAnsi"/>
          <w:sz w:val="24"/>
          <w:szCs w:val="24"/>
          <w:lang w:val="el-GR"/>
        </w:rPr>
        <w:t>που</w:t>
      </w:r>
      <w:r w:rsidRPr="00FB34FC">
        <w:rPr>
          <w:rFonts w:cstheme="minorHAnsi"/>
          <w:sz w:val="24"/>
          <w:szCs w:val="24"/>
          <w:lang w:val="el-GR"/>
        </w:rPr>
        <w:t xml:space="preserve"> </w:t>
      </w:r>
      <w:r>
        <w:rPr>
          <w:rFonts w:cstheme="minorHAnsi"/>
          <w:sz w:val="24"/>
          <w:szCs w:val="24"/>
          <w:lang w:val="el-GR"/>
        </w:rPr>
        <w:t>έχει</w:t>
      </w:r>
      <w:r w:rsidRPr="00FB34FC">
        <w:rPr>
          <w:rFonts w:cstheme="minorHAnsi"/>
          <w:sz w:val="24"/>
          <w:szCs w:val="24"/>
          <w:lang w:val="el-GR"/>
        </w:rPr>
        <w:t xml:space="preserve"> </w:t>
      </w:r>
      <w:r>
        <w:rPr>
          <w:rFonts w:cstheme="minorHAnsi"/>
          <w:sz w:val="24"/>
          <w:szCs w:val="24"/>
          <w:lang w:val="el-GR"/>
        </w:rPr>
        <w:t>γίνει</w:t>
      </w:r>
      <w:r w:rsidRPr="00FB34FC">
        <w:rPr>
          <w:rFonts w:cstheme="minorHAnsi"/>
          <w:sz w:val="24"/>
          <w:szCs w:val="24"/>
          <w:lang w:val="el-GR"/>
        </w:rPr>
        <w:t xml:space="preserve"> </w:t>
      </w:r>
      <w:r>
        <w:rPr>
          <w:rFonts w:cstheme="minorHAnsi"/>
          <w:sz w:val="24"/>
          <w:szCs w:val="24"/>
          <w:lang w:val="el-GR"/>
        </w:rPr>
        <w:t>προηγουμένως</w:t>
      </w:r>
      <w:r w:rsidRPr="00FB34FC">
        <w:rPr>
          <w:rFonts w:cstheme="minorHAnsi"/>
          <w:sz w:val="24"/>
          <w:szCs w:val="24"/>
          <w:lang w:val="el-GR"/>
        </w:rPr>
        <w:t xml:space="preserve"> </w:t>
      </w:r>
      <w:r>
        <w:rPr>
          <w:rFonts w:cstheme="minorHAnsi"/>
          <w:sz w:val="24"/>
          <w:szCs w:val="24"/>
          <w:lang w:val="el-GR"/>
        </w:rPr>
        <w:t>στην</w:t>
      </w:r>
      <w:r w:rsidRPr="00FB34FC">
        <w:rPr>
          <w:rFonts w:cstheme="minorHAnsi"/>
          <w:sz w:val="24"/>
          <w:szCs w:val="24"/>
          <w:lang w:val="el-GR"/>
        </w:rPr>
        <w:t xml:space="preserve"> </w:t>
      </w:r>
      <w:r>
        <w:rPr>
          <w:rFonts w:cstheme="minorHAnsi"/>
          <w:sz w:val="24"/>
          <w:szCs w:val="24"/>
          <w:lang w:val="el-GR"/>
        </w:rPr>
        <w:t>έκθεση</w:t>
      </w:r>
      <w:r w:rsidRPr="00FB34FC">
        <w:rPr>
          <w:rFonts w:cstheme="minorHAnsi"/>
          <w:sz w:val="24"/>
          <w:szCs w:val="24"/>
          <w:lang w:val="el-GR"/>
        </w:rPr>
        <w:t xml:space="preserve"> </w:t>
      </w:r>
      <w:r>
        <w:rPr>
          <w:rFonts w:cstheme="minorHAnsi"/>
          <w:sz w:val="24"/>
          <w:szCs w:val="24"/>
          <w:lang w:val="el-GR"/>
        </w:rPr>
        <w:t>αυτή</w:t>
      </w:r>
      <w:r w:rsidR="00901561" w:rsidRPr="00FB34FC">
        <w:rPr>
          <w:rFonts w:cstheme="minorHAnsi"/>
          <w:sz w:val="24"/>
          <w:szCs w:val="24"/>
          <w:lang w:val="el-GR"/>
        </w:rPr>
        <w:t xml:space="preserve"> (</w:t>
      </w:r>
      <w:r>
        <w:rPr>
          <w:rFonts w:cstheme="minorHAnsi"/>
          <w:sz w:val="24"/>
          <w:szCs w:val="24"/>
          <w:lang w:val="el-GR"/>
        </w:rPr>
        <w:t>παράγραφος</w:t>
      </w:r>
      <w:r w:rsidR="00901561" w:rsidRPr="00FB34FC">
        <w:rPr>
          <w:rFonts w:cstheme="minorHAnsi"/>
          <w:sz w:val="24"/>
          <w:szCs w:val="24"/>
          <w:lang w:val="el-GR"/>
        </w:rPr>
        <w:t xml:space="preserve"> </w:t>
      </w:r>
      <w:r w:rsidR="00BB61F5" w:rsidRPr="00FB34FC">
        <w:rPr>
          <w:rFonts w:cstheme="minorHAnsi"/>
          <w:sz w:val="24"/>
          <w:szCs w:val="24"/>
          <w:lang w:val="el-GR"/>
        </w:rPr>
        <w:t>24</w:t>
      </w:r>
      <w:r w:rsidR="00FB0AA3" w:rsidRPr="00FB34FC">
        <w:rPr>
          <w:rFonts w:cstheme="minorHAnsi"/>
          <w:sz w:val="24"/>
          <w:szCs w:val="24"/>
          <w:lang w:val="el-GR"/>
        </w:rPr>
        <w:t>4</w:t>
      </w:r>
      <w:r w:rsidR="00901561" w:rsidRPr="00FB34FC">
        <w:rPr>
          <w:rFonts w:cstheme="minorHAnsi"/>
          <w:sz w:val="24"/>
          <w:szCs w:val="24"/>
          <w:lang w:val="el-GR"/>
        </w:rPr>
        <w:t xml:space="preserve">) </w:t>
      </w:r>
      <w:r>
        <w:rPr>
          <w:rFonts w:cstheme="minorHAnsi"/>
          <w:sz w:val="24"/>
          <w:szCs w:val="24"/>
          <w:lang w:val="el-GR"/>
        </w:rPr>
        <w:t>για</w:t>
      </w:r>
      <w:r w:rsidRPr="00FB34FC">
        <w:rPr>
          <w:rFonts w:cstheme="minorHAnsi"/>
          <w:sz w:val="24"/>
          <w:szCs w:val="24"/>
          <w:lang w:val="el-GR"/>
        </w:rPr>
        <w:t xml:space="preserve"> </w:t>
      </w:r>
      <w:r>
        <w:rPr>
          <w:rFonts w:cstheme="minorHAnsi"/>
          <w:sz w:val="24"/>
          <w:szCs w:val="24"/>
          <w:lang w:val="el-GR"/>
        </w:rPr>
        <w:t>το</w:t>
      </w:r>
      <w:r w:rsidRPr="00FB34FC">
        <w:rPr>
          <w:rFonts w:cstheme="minorHAnsi"/>
          <w:sz w:val="24"/>
          <w:szCs w:val="24"/>
          <w:lang w:val="el-GR"/>
        </w:rPr>
        <w:t xml:space="preserve"> </w:t>
      </w:r>
      <w:r>
        <w:rPr>
          <w:rFonts w:cstheme="minorHAnsi"/>
          <w:sz w:val="24"/>
          <w:szCs w:val="24"/>
          <w:lang w:val="el-GR"/>
        </w:rPr>
        <w:t>πώς</w:t>
      </w:r>
      <w:r w:rsidRPr="00FB34FC">
        <w:rPr>
          <w:rFonts w:cstheme="minorHAnsi"/>
          <w:sz w:val="24"/>
          <w:szCs w:val="24"/>
          <w:lang w:val="el-GR"/>
        </w:rPr>
        <w:t xml:space="preserve"> </w:t>
      </w:r>
      <w:r>
        <w:rPr>
          <w:rFonts w:cstheme="minorHAnsi"/>
          <w:sz w:val="24"/>
          <w:szCs w:val="24"/>
          <w:lang w:val="el-GR"/>
        </w:rPr>
        <w:t>να</w:t>
      </w:r>
      <w:r w:rsidRPr="00FB34FC">
        <w:rPr>
          <w:rFonts w:cstheme="minorHAnsi"/>
          <w:sz w:val="24"/>
          <w:szCs w:val="24"/>
          <w:lang w:val="el-GR"/>
        </w:rPr>
        <w:t xml:space="preserve"> </w:t>
      </w:r>
      <w:r>
        <w:rPr>
          <w:rFonts w:cstheme="minorHAnsi"/>
          <w:sz w:val="24"/>
          <w:szCs w:val="24"/>
          <w:lang w:val="el-GR"/>
        </w:rPr>
        <w:t>βελτιωθεί</w:t>
      </w:r>
      <w:r w:rsidRPr="00FB34FC">
        <w:rPr>
          <w:rFonts w:cstheme="minorHAnsi"/>
          <w:sz w:val="24"/>
          <w:szCs w:val="24"/>
          <w:lang w:val="el-GR"/>
        </w:rPr>
        <w:t xml:space="preserve"> </w:t>
      </w:r>
      <w:r>
        <w:rPr>
          <w:rFonts w:cstheme="minorHAnsi"/>
          <w:sz w:val="24"/>
          <w:szCs w:val="24"/>
          <w:lang w:val="el-GR"/>
        </w:rPr>
        <w:t>το</w:t>
      </w:r>
      <w:r w:rsidRPr="00FB34FC">
        <w:rPr>
          <w:rFonts w:cstheme="minorHAnsi"/>
          <w:sz w:val="24"/>
          <w:szCs w:val="24"/>
          <w:lang w:val="el-GR"/>
        </w:rPr>
        <w:t xml:space="preserve"> </w:t>
      </w:r>
      <w:r>
        <w:rPr>
          <w:rFonts w:cstheme="minorHAnsi"/>
          <w:sz w:val="24"/>
          <w:szCs w:val="24"/>
          <w:lang w:val="el-GR"/>
        </w:rPr>
        <w:t>σύστημα</w:t>
      </w:r>
      <w:r w:rsidRPr="00FB34FC">
        <w:rPr>
          <w:rFonts w:cstheme="minorHAnsi"/>
          <w:sz w:val="24"/>
          <w:szCs w:val="24"/>
          <w:lang w:val="el-GR"/>
        </w:rPr>
        <w:t xml:space="preserve"> </w:t>
      </w:r>
      <w:r>
        <w:rPr>
          <w:rFonts w:cstheme="minorHAnsi"/>
          <w:sz w:val="24"/>
          <w:szCs w:val="24"/>
          <w:lang w:val="el-GR"/>
        </w:rPr>
        <w:t>λογοδοσίας</w:t>
      </w:r>
      <w:r w:rsidR="00901561" w:rsidRPr="00FB34FC">
        <w:rPr>
          <w:rFonts w:cstheme="minorHAnsi"/>
          <w:sz w:val="24"/>
          <w:szCs w:val="24"/>
          <w:lang w:val="el-GR"/>
        </w:rPr>
        <w:t xml:space="preserve"> </w:t>
      </w:r>
      <w:r>
        <w:rPr>
          <w:rFonts w:cstheme="minorHAnsi"/>
          <w:sz w:val="24"/>
          <w:szCs w:val="24"/>
          <w:lang w:val="el-GR"/>
        </w:rPr>
        <w:t xml:space="preserve">της </w:t>
      </w:r>
      <w:r w:rsidR="009C4E34">
        <w:rPr>
          <w:rFonts w:cstheme="minorHAnsi"/>
          <w:sz w:val="24"/>
          <w:szCs w:val="24"/>
          <w:lang w:val="el-GR"/>
        </w:rPr>
        <w:t>Αστυνομία</w:t>
      </w:r>
      <w:r>
        <w:rPr>
          <w:rFonts w:cstheme="minorHAnsi"/>
          <w:sz w:val="24"/>
          <w:szCs w:val="24"/>
          <w:lang w:val="el-GR"/>
        </w:rPr>
        <w:t>ς</w:t>
      </w:r>
      <w:r w:rsidR="00901561" w:rsidRPr="00FB34FC">
        <w:rPr>
          <w:rFonts w:cstheme="minorHAnsi"/>
          <w:sz w:val="24"/>
          <w:szCs w:val="24"/>
          <w:lang w:val="el-GR"/>
        </w:rPr>
        <w:t xml:space="preserve">, </w:t>
      </w:r>
      <w:r>
        <w:rPr>
          <w:rFonts w:cstheme="minorHAnsi"/>
          <w:sz w:val="24"/>
          <w:szCs w:val="24"/>
          <w:lang w:val="el-GR"/>
        </w:rPr>
        <w:t xml:space="preserve">συμπεριλαμβανομένης με </w:t>
      </w:r>
      <w:r w:rsidR="002E5EC0">
        <w:rPr>
          <w:rFonts w:cstheme="minorHAnsi"/>
          <w:sz w:val="24"/>
          <w:szCs w:val="24"/>
          <w:lang w:val="el-GR"/>
        </w:rPr>
        <w:t>καλύτερη</w:t>
      </w:r>
      <w:r>
        <w:rPr>
          <w:rFonts w:cstheme="minorHAnsi"/>
          <w:sz w:val="24"/>
          <w:szCs w:val="24"/>
          <w:lang w:val="el-GR"/>
        </w:rPr>
        <w:t xml:space="preserve"> παρακολούθηση και στατιστικές</w:t>
      </w:r>
      <w:r w:rsidR="00901561" w:rsidRPr="00FB34FC">
        <w:rPr>
          <w:rFonts w:cstheme="minorHAnsi"/>
          <w:sz w:val="24"/>
          <w:szCs w:val="24"/>
          <w:lang w:val="el-GR"/>
        </w:rPr>
        <w:t xml:space="preserve">. </w:t>
      </w:r>
    </w:p>
    <w:p w14:paraId="2DDCC229" w14:textId="77777777" w:rsidR="00220066" w:rsidRPr="00FB34FC" w:rsidRDefault="00220066" w:rsidP="00220066">
      <w:pPr>
        <w:rPr>
          <w:rFonts w:eastAsiaTheme="majorEastAsia" w:cstheme="minorHAnsi"/>
          <w:b/>
          <w:bCs/>
          <w:sz w:val="24"/>
          <w:szCs w:val="24"/>
          <w:lang w:val="el-GR"/>
        </w:rPr>
      </w:pPr>
      <w:r w:rsidRPr="00FB34FC">
        <w:rPr>
          <w:rFonts w:cstheme="minorHAnsi"/>
          <w:sz w:val="24"/>
          <w:szCs w:val="24"/>
          <w:lang w:val="el-GR"/>
        </w:rPr>
        <w:br w:type="page"/>
      </w:r>
    </w:p>
    <w:p w14:paraId="091173B8" w14:textId="7FF7E92A" w:rsidR="00220066" w:rsidRPr="004E251E" w:rsidRDefault="00220066" w:rsidP="00220066">
      <w:pPr>
        <w:pStyle w:val="Heading1"/>
        <w:rPr>
          <w:rFonts w:asciiTheme="minorHAnsi" w:hAnsiTheme="minorHAnsi" w:cstheme="minorHAnsi"/>
          <w:sz w:val="24"/>
          <w:szCs w:val="24"/>
        </w:rPr>
      </w:pPr>
      <w:bookmarkStart w:id="262" w:name="_Toc117445188"/>
      <w:bookmarkStart w:id="263" w:name="_Toc136879392"/>
      <w:r w:rsidRPr="004E251E">
        <w:rPr>
          <w:rFonts w:asciiTheme="minorHAnsi" w:hAnsiTheme="minorHAnsi" w:cstheme="minorHAnsi"/>
          <w:color w:val="auto"/>
          <w:sz w:val="24"/>
          <w:szCs w:val="24"/>
        </w:rPr>
        <w:lastRenderedPageBreak/>
        <w:t>VI.</w:t>
      </w:r>
      <w:r w:rsidRPr="004E251E">
        <w:rPr>
          <w:rFonts w:asciiTheme="minorHAnsi" w:hAnsiTheme="minorHAnsi" w:cstheme="minorHAnsi"/>
          <w:color w:val="auto"/>
          <w:sz w:val="24"/>
          <w:szCs w:val="24"/>
        </w:rPr>
        <w:tab/>
      </w:r>
      <w:r w:rsidR="00963FBE">
        <w:rPr>
          <w:rFonts w:asciiTheme="minorHAnsi" w:hAnsiTheme="minorHAnsi" w:cstheme="minorHAnsi"/>
          <w:color w:val="auto"/>
          <w:sz w:val="24"/>
          <w:szCs w:val="24"/>
          <w:u w:val="single"/>
          <w:lang w:val="el-GR"/>
        </w:rPr>
        <w:t>ΣΥΣΤΑΣΕΙ</w:t>
      </w:r>
      <w:r w:rsidR="00963FBE">
        <w:rPr>
          <w:rFonts w:asciiTheme="minorHAnsi" w:hAnsiTheme="minorHAnsi" w:cstheme="minorHAnsi"/>
          <w:color w:val="auto"/>
          <w:sz w:val="24"/>
          <w:szCs w:val="24"/>
          <w:u w:val="single"/>
          <w:lang w:val="en-US"/>
        </w:rPr>
        <w:t>Σ</w:t>
      </w:r>
      <w:r w:rsidR="00963FBE">
        <w:rPr>
          <w:rFonts w:asciiTheme="minorHAnsi" w:hAnsiTheme="minorHAnsi" w:cstheme="minorHAnsi"/>
          <w:color w:val="auto"/>
          <w:sz w:val="24"/>
          <w:szCs w:val="24"/>
          <w:u w:val="single"/>
          <w:lang w:val="el-GR"/>
        </w:rPr>
        <w:t xml:space="preserve"> ΚΑΙ ΠΑΡΑΚΟΛΟΥΘΗΣΗ</w:t>
      </w:r>
      <w:bookmarkEnd w:id="262"/>
      <w:bookmarkEnd w:id="263"/>
    </w:p>
    <w:p w14:paraId="7D90FEA1" w14:textId="77777777" w:rsidR="00220066" w:rsidRPr="004E251E" w:rsidRDefault="00220066" w:rsidP="00220066">
      <w:pPr>
        <w:tabs>
          <w:tab w:val="left" w:pos="709"/>
        </w:tabs>
        <w:rPr>
          <w:rFonts w:cstheme="minorHAnsi"/>
          <w:sz w:val="24"/>
          <w:szCs w:val="24"/>
        </w:rPr>
      </w:pPr>
    </w:p>
    <w:p w14:paraId="3E856DCF" w14:textId="5C181082" w:rsidR="00220066" w:rsidRPr="00963FBE" w:rsidRDefault="00963FBE" w:rsidP="00220066">
      <w:pPr>
        <w:numPr>
          <w:ilvl w:val="0"/>
          <w:numId w:val="1"/>
        </w:numPr>
        <w:tabs>
          <w:tab w:val="left" w:pos="709"/>
        </w:tabs>
        <w:ind w:left="0" w:firstLine="0"/>
        <w:rPr>
          <w:rFonts w:cstheme="minorHAnsi"/>
          <w:sz w:val="24"/>
          <w:szCs w:val="24"/>
          <w:lang w:val="el-GR"/>
        </w:rPr>
      </w:pPr>
      <w:r>
        <w:rPr>
          <w:sz w:val="24"/>
          <w:szCs w:val="24"/>
          <w:lang w:val="el-GR"/>
        </w:rPr>
        <w:t>Εν</w:t>
      </w:r>
      <w:r w:rsidRPr="00963FBE">
        <w:rPr>
          <w:sz w:val="24"/>
          <w:szCs w:val="24"/>
          <w:lang w:val="el-GR"/>
        </w:rPr>
        <w:t xml:space="preserve"> </w:t>
      </w:r>
      <w:r>
        <w:rPr>
          <w:sz w:val="24"/>
          <w:szCs w:val="24"/>
          <w:lang w:val="el-GR"/>
        </w:rPr>
        <w:t>όψ</w:t>
      </w:r>
      <w:r w:rsidR="00437DDD">
        <w:rPr>
          <w:sz w:val="24"/>
          <w:szCs w:val="24"/>
          <w:lang w:val="el-GR"/>
        </w:rPr>
        <w:t>ει</w:t>
      </w:r>
      <w:r w:rsidRPr="00963FBE">
        <w:rPr>
          <w:sz w:val="24"/>
          <w:szCs w:val="24"/>
          <w:lang w:val="el-GR"/>
        </w:rPr>
        <w:t xml:space="preserve"> </w:t>
      </w:r>
      <w:r>
        <w:rPr>
          <w:sz w:val="24"/>
          <w:szCs w:val="24"/>
          <w:lang w:val="el-GR"/>
        </w:rPr>
        <w:t>των</w:t>
      </w:r>
      <w:r w:rsidRPr="00963FBE">
        <w:rPr>
          <w:sz w:val="24"/>
          <w:szCs w:val="24"/>
          <w:lang w:val="el-GR"/>
        </w:rPr>
        <w:t xml:space="preserve"> </w:t>
      </w:r>
      <w:r>
        <w:rPr>
          <w:sz w:val="24"/>
          <w:szCs w:val="24"/>
          <w:lang w:val="el-GR"/>
        </w:rPr>
        <w:t>ευρημάτων</w:t>
      </w:r>
      <w:r w:rsidRPr="00963FBE">
        <w:rPr>
          <w:sz w:val="24"/>
          <w:szCs w:val="24"/>
          <w:lang w:val="el-GR"/>
        </w:rPr>
        <w:t xml:space="preserve"> </w:t>
      </w:r>
      <w:r>
        <w:rPr>
          <w:sz w:val="24"/>
          <w:szCs w:val="24"/>
          <w:lang w:val="el-GR"/>
        </w:rPr>
        <w:t>της</w:t>
      </w:r>
      <w:r w:rsidRPr="00963FBE">
        <w:rPr>
          <w:sz w:val="24"/>
          <w:szCs w:val="24"/>
          <w:lang w:val="el-GR"/>
        </w:rPr>
        <w:t xml:space="preserve"> </w:t>
      </w:r>
      <w:r>
        <w:rPr>
          <w:sz w:val="24"/>
          <w:szCs w:val="24"/>
          <w:lang w:val="el-GR"/>
        </w:rPr>
        <w:t>παρούσας</w:t>
      </w:r>
      <w:r w:rsidRPr="00963FBE">
        <w:rPr>
          <w:sz w:val="24"/>
          <w:szCs w:val="24"/>
          <w:lang w:val="el-GR"/>
        </w:rPr>
        <w:t xml:space="preserve"> </w:t>
      </w:r>
      <w:r>
        <w:rPr>
          <w:sz w:val="24"/>
          <w:szCs w:val="24"/>
          <w:lang w:val="el-GR"/>
        </w:rPr>
        <w:t>έκθεσης</w:t>
      </w:r>
      <w:r w:rsidR="00220066" w:rsidRPr="00963FBE">
        <w:rPr>
          <w:sz w:val="24"/>
          <w:szCs w:val="24"/>
          <w:lang w:val="el-GR"/>
        </w:rPr>
        <w:t xml:space="preserve">, </w:t>
      </w:r>
      <w:r>
        <w:rPr>
          <w:sz w:val="24"/>
          <w:szCs w:val="24"/>
          <w:lang w:val="el-GR"/>
        </w:rPr>
        <w:t>η</w:t>
      </w:r>
      <w:r w:rsidRPr="00963FBE">
        <w:rPr>
          <w:sz w:val="24"/>
          <w:szCs w:val="24"/>
          <w:lang w:val="el-GR"/>
        </w:rPr>
        <w:t xml:space="preserve"> </w:t>
      </w:r>
      <w:r w:rsidR="00220066" w:rsidRPr="004E251E">
        <w:rPr>
          <w:sz w:val="24"/>
          <w:szCs w:val="24"/>
        </w:rPr>
        <w:t>GRECO</w:t>
      </w:r>
      <w:r w:rsidR="00220066" w:rsidRPr="00963FBE">
        <w:rPr>
          <w:sz w:val="24"/>
          <w:szCs w:val="24"/>
          <w:lang w:val="el-GR"/>
        </w:rPr>
        <w:t xml:space="preserve"> </w:t>
      </w:r>
      <w:r>
        <w:rPr>
          <w:sz w:val="24"/>
          <w:szCs w:val="24"/>
          <w:lang w:val="el-GR"/>
        </w:rPr>
        <w:t>απευθύνει</w:t>
      </w:r>
      <w:r w:rsidRPr="00963FBE">
        <w:rPr>
          <w:sz w:val="24"/>
          <w:szCs w:val="24"/>
          <w:lang w:val="el-GR"/>
        </w:rPr>
        <w:t xml:space="preserve"> </w:t>
      </w:r>
      <w:r>
        <w:rPr>
          <w:sz w:val="24"/>
          <w:szCs w:val="24"/>
          <w:lang w:val="el-GR"/>
        </w:rPr>
        <w:t>τις</w:t>
      </w:r>
      <w:r w:rsidRPr="00963FBE">
        <w:rPr>
          <w:sz w:val="24"/>
          <w:szCs w:val="24"/>
          <w:lang w:val="el-GR"/>
        </w:rPr>
        <w:t xml:space="preserve"> </w:t>
      </w:r>
      <w:r>
        <w:rPr>
          <w:sz w:val="24"/>
          <w:szCs w:val="24"/>
          <w:lang w:val="el-GR"/>
        </w:rPr>
        <w:t>ακόλουθες συστάσεις στην Κύπρο</w:t>
      </w:r>
      <w:r w:rsidR="00220066" w:rsidRPr="00963FBE">
        <w:rPr>
          <w:sz w:val="24"/>
          <w:szCs w:val="24"/>
          <w:lang w:val="el-GR"/>
        </w:rPr>
        <w:t xml:space="preserve">: </w:t>
      </w:r>
    </w:p>
    <w:p w14:paraId="1FD279D7" w14:textId="77777777" w:rsidR="00220066" w:rsidRPr="00963FBE" w:rsidRDefault="00220066" w:rsidP="00220066">
      <w:pPr>
        <w:tabs>
          <w:tab w:val="left" w:pos="709"/>
        </w:tabs>
        <w:ind w:left="567" w:hanging="567"/>
        <w:rPr>
          <w:sz w:val="24"/>
          <w:szCs w:val="24"/>
          <w:lang w:val="el-GR"/>
        </w:rPr>
      </w:pPr>
    </w:p>
    <w:p w14:paraId="6898E633" w14:textId="53364C97" w:rsidR="00220066" w:rsidRPr="00963FBE" w:rsidRDefault="00220066" w:rsidP="00220066">
      <w:pPr>
        <w:ind w:left="426" w:hanging="426"/>
        <w:rPr>
          <w:i/>
          <w:sz w:val="24"/>
          <w:szCs w:val="24"/>
          <w:lang w:val="el-GR"/>
        </w:rPr>
      </w:pPr>
      <w:r w:rsidRPr="00963FBE">
        <w:rPr>
          <w:i/>
          <w:sz w:val="24"/>
          <w:szCs w:val="24"/>
          <w:lang w:val="el-GR"/>
        </w:rPr>
        <w:tab/>
      </w:r>
      <w:r w:rsidR="00963FBE">
        <w:rPr>
          <w:i/>
          <w:sz w:val="24"/>
          <w:szCs w:val="24"/>
          <w:lang w:val="el-GR"/>
        </w:rPr>
        <w:t>Αναφορικά</w:t>
      </w:r>
      <w:r w:rsidR="00963FBE" w:rsidRPr="00963FBE">
        <w:rPr>
          <w:i/>
          <w:sz w:val="24"/>
          <w:szCs w:val="24"/>
          <w:lang w:val="el-GR"/>
        </w:rPr>
        <w:t xml:space="preserve"> </w:t>
      </w:r>
      <w:r w:rsidR="00963FBE">
        <w:rPr>
          <w:i/>
          <w:sz w:val="24"/>
          <w:szCs w:val="24"/>
          <w:lang w:val="el-GR"/>
        </w:rPr>
        <w:t>με</w:t>
      </w:r>
      <w:r w:rsidR="00963FBE" w:rsidRPr="00963FBE">
        <w:rPr>
          <w:i/>
          <w:sz w:val="24"/>
          <w:szCs w:val="24"/>
          <w:lang w:val="el-GR"/>
        </w:rPr>
        <w:t xml:space="preserve"> </w:t>
      </w:r>
      <w:r w:rsidR="00963FBE">
        <w:rPr>
          <w:i/>
          <w:sz w:val="24"/>
          <w:szCs w:val="24"/>
          <w:lang w:val="el-GR"/>
        </w:rPr>
        <w:t>κεντρικές</w:t>
      </w:r>
      <w:r w:rsidR="00963FBE" w:rsidRPr="00963FBE">
        <w:rPr>
          <w:i/>
          <w:sz w:val="24"/>
          <w:szCs w:val="24"/>
          <w:lang w:val="el-GR"/>
        </w:rPr>
        <w:t xml:space="preserve"> </w:t>
      </w:r>
      <w:r w:rsidR="00963FBE">
        <w:rPr>
          <w:i/>
          <w:sz w:val="24"/>
          <w:szCs w:val="24"/>
          <w:lang w:val="el-GR"/>
        </w:rPr>
        <w:t>κυβερνήσεις</w:t>
      </w:r>
      <w:r w:rsidRPr="00963FBE">
        <w:rPr>
          <w:i/>
          <w:sz w:val="24"/>
          <w:szCs w:val="24"/>
          <w:lang w:val="el-GR"/>
        </w:rPr>
        <w:t xml:space="preserve"> (</w:t>
      </w:r>
      <w:r w:rsidR="00CF77F0">
        <w:rPr>
          <w:i/>
          <w:sz w:val="24"/>
          <w:szCs w:val="24"/>
          <w:lang w:val="el-GR"/>
        </w:rPr>
        <w:t xml:space="preserve">ανώτατες </w:t>
      </w:r>
      <w:r w:rsidR="00963FBE">
        <w:rPr>
          <w:i/>
          <w:sz w:val="24"/>
          <w:szCs w:val="24"/>
          <w:lang w:val="el-GR"/>
        </w:rPr>
        <w:t>εκτελεστικές</w:t>
      </w:r>
      <w:r w:rsidR="008D3B04">
        <w:rPr>
          <w:i/>
          <w:sz w:val="24"/>
          <w:szCs w:val="24"/>
          <w:lang w:val="el-GR"/>
        </w:rPr>
        <w:t xml:space="preserve"> αρμοδιότητες</w:t>
      </w:r>
      <w:r w:rsidRPr="00963FBE">
        <w:rPr>
          <w:i/>
          <w:sz w:val="24"/>
          <w:szCs w:val="24"/>
          <w:lang w:val="el-GR"/>
        </w:rPr>
        <w:t>)</w:t>
      </w:r>
    </w:p>
    <w:p w14:paraId="5EC885B7" w14:textId="77777777" w:rsidR="00220066" w:rsidRPr="008108C0" w:rsidRDefault="00220066" w:rsidP="00220066">
      <w:pPr>
        <w:pStyle w:val="ListParagraph"/>
        <w:rPr>
          <w:b/>
          <w:sz w:val="24"/>
          <w:szCs w:val="24"/>
          <w:lang w:val="el-GR"/>
        </w:rPr>
      </w:pPr>
    </w:p>
    <w:p w14:paraId="48454CAD" w14:textId="6D943911" w:rsidR="00437DDD" w:rsidRPr="00455CDB" w:rsidRDefault="009B51FD" w:rsidP="002B7C4B">
      <w:pPr>
        <w:pStyle w:val="ListParagraph"/>
        <w:numPr>
          <w:ilvl w:val="0"/>
          <w:numId w:val="2"/>
        </w:numPr>
        <w:ind w:left="851" w:hanging="567"/>
        <w:contextualSpacing w:val="0"/>
        <w:rPr>
          <w:i/>
          <w:sz w:val="24"/>
          <w:szCs w:val="24"/>
          <w:lang w:val="el-GR"/>
        </w:rPr>
      </w:pPr>
      <w:r>
        <w:rPr>
          <w:rFonts w:ascii="Calibri" w:hAnsi="Calibri" w:cs="Calibri"/>
          <w:b/>
          <w:bCs/>
          <w:sz w:val="24"/>
          <w:szCs w:val="24"/>
          <w:lang w:val="el-GR"/>
        </w:rPr>
        <w:t>Όπως</w:t>
      </w:r>
      <w:r w:rsidR="00437DDD" w:rsidRPr="00455CDB">
        <w:rPr>
          <w:rFonts w:ascii="Calibri" w:hAnsi="Calibri" w:cs="Calibri"/>
          <w:b/>
          <w:bCs/>
          <w:sz w:val="24"/>
          <w:szCs w:val="24"/>
          <w:lang w:val="el-GR"/>
        </w:rPr>
        <w:t xml:space="preserve"> (i) οι απαιτήσεις ακεραιότητας για τα άτομα που προσλαμβάνονται κατά τη διακριτική ευχέρεια της κεντρικής κυβέρνησης για να δίδουν συμβουλή σε πρόσωπα που τους έχουν ανατεθεί ανώτατα εκτελεστικά καθήκοντα ή για σκοπούς εκτέλεσης παρόμοιων καθηκόντων, να ρυθμίζονται διεξοδικά, περιλαμβανομένων </w:t>
      </w:r>
      <w:r w:rsidR="00EB12C2" w:rsidRPr="00455CDB">
        <w:rPr>
          <w:rFonts w:ascii="Calibri" w:hAnsi="Calibri" w:cs="Calibri"/>
          <w:b/>
          <w:bCs/>
          <w:sz w:val="24"/>
          <w:szCs w:val="24"/>
          <w:lang w:val="el-GR"/>
        </w:rPr>
        <w:t>όσο</w:t>
      </w:r>
      <w:r w:rsidR="00437DDD" w:rsidRPr="00455CDB">
        <w:rPr>
          <w:rFonts w:ascii="Calibri" w:hAnsi="Calibri" w:cs="Calibri"/>
          <w:b/>
          <w:bCs/>
          <w:sz w:val="24"/>
          <w:szCs w:val="24"/>
          <w:lang w:val="el-GR"/>
        </w:rPr>
        <w:t xml:space="preserve"> αφορά κανόνες συμπεριφοράς, συγκρούσεις συμφερόντων και υποχρεώσεις οικονομικής αποκάλυψης, και (</w:t>
      </w:r>
      <w:proofErr w:type="spellStart"/>
      <w:r w:rsidR="00437DDD" w:rsidRPr="00455CDB">
        <w:rPr>
          <w:rFonts w:ascii="Calibri" w:hAnsi="Calibri" w:cs="Calibri"/>
          <w:b/>
          <w:bCs/>
          <w:sz w:val="24"/>
          <w:szCs w:val="24"/>
          <w:lang w:val="el-GR"/>
        </w:rPr>
        <w:t>ii</w:t>
      </w:r>
      <w:proofErr w:type="spellEnd"/>
      <w:r w:rsidR="00437DDD" w:rsidRPr="00455CDB">
        <w:rPr>
          <w:rFonts w:ascii="Calibri" w:hAnsi="Calibri" w:cs="Calibri"/>
          <w:b/>
          <w:bCs/>
          <w:sz w:val="24"/>
          <w:szCs w:val="24"/>
          <w:lang w:val="el-GR"/>
        </w:rPr>
        <w:t xml:space="preserve">) ότι τα ονόματα, καθήκοντα και συμβατικά </w:t>
      </w:r>
      <w:r w:rsidR="00EB12C2" w:rsidRPr="00455CDB">
        <w:rPr>
          <w:rFonts w:ascii="Calibri" w:hAnsi="Calibri" w:cs="Calibri"/>
          <w:b/>
          <w:bCs/>
          <w:sz w:val="24"/>
          <w:szCs w:val="24"/>
          <w:lang w:val="el-GR"/>
        </w:rPr>
        <w:t>ωφελήματα</w:t>
      </w:r>
      <w:r w:rsidR="00437DDD" w:rsidRPr="00455CDB">
        <w:rPr>
          <w:rFonts w:ascii="Calibri" w:hAnsi="Calibri" w:cs="Calibri"/>
          <w:b/>
          <w:bCs/>
          <w:sz w:val="24"/>
          <w:szCs w:val="24"/>
          <w:lang w:val="el-GR"/>
        </w:rPr>
        <w:t xml:space="preserve"> (μισθοί κλπ.) αυτών που προσλαμβάνονται για τις θέσεις αυτές να είναι εύκολα </w:t>
      </w:r>
      <w:proofErr w:type="spellStart"/>
      <w:r w:rsidR="00437DDD" w:rsidRPr="00455CDB">
        <w:rPr>
          <w:rFonts w:ascii="Calibri" w:hAnsi="Calibri" w:cs="Calibri"/>
          <w:b/>
          <w:bCs/>
          <w:sz w:val="24"/>
          <w:szCs w:val="24"/>
          <w:lang w:val="el-GR"/>
        </w:rPr>
        <w:t>προσβάσιμα</w:t>
      </w:r>
      <w:proofErr w:type="spellEnd"/>
      <w:r w:rsidR="00437DDD" w:rsidRPr="00455CDB">
        <w:rPr>
          <w:rFonts w:ascii="Calibri" w:hAnsi="Calibri" w:cs="Calibri"/>
          <w:b/>
          <w:bCs/>
          <w:sz w:val="24"/>
          <w:szCs w:val="24"/>
          <w:lang w:val="el-GR"/>
        </w:rPr>
        <w:t xml:space="preserve"> διαδικτυακά και, όταν πρόκειται για μερική </w:t>
      </w:r>
      <w:proofErr w:type="spellStart"/>
      <w:r w:rsidR="00437DDD" w:rsidRPr="00455CDB">
        <w:rPr>
          <w:rFonts w:ascii="Calibri" w:hAnsi="Calibri" w:cs="Calibri"/>
          <w:b/>
          <w:bCs/>
          <w:sz w:val="24"/>
          <w:szCs w:val="24"/>
          <w:lang w:val="el-GR"/>
        </w:rPr>
        <w:t>εργοδότηση</w:t>
      </w:r>
      <w:proofErr w:type="spellEnd"/>
      <w:r w:rsidR="00437DDD" w:rsidRPr="00455CDB">
        <w:rPr>
          <w:rFonts w:ascii="Calibri" w:hAnsi="Calibri" w:cs="Calibri"/>
          <w:b/>
          <w:bCs/>
          <w:sz w:val="24"/>
          <w:szCs w:val="24"/>
          <w:lang w:val="el-GR"/>
        </w:rPr>
        <w:t xml:space="preserve">/ad hoc πρόσληψη, να περιλαμβάνονται πληροφορίες για την κύρια απασχόληση/δραστηριότητες </w:t>
      </w:r>
      <w:r w:rsidR="00437DDD">
        <w:rPr>
          <w:rFonts w:ascii="Calibri" w:hAnsi="Calibri" w:cs="Calibri"/>
          <w:b/>
          <w:bCs/>
          <w:sz w:val="24"/>
          <w:szCs w:val="24"/>
          <w:lang w:val="el-GR"/>
        </w:rPr>
        <w:t>τους</w:t>
      </w:r>
      <w:r w:rsidR="00437DDD" w:rsidRPr="00455CDB">
        <w:rPr>
          <w:rFonts w:ascii="Calibri" w:hAnsi="Calibri" w:cs="Calibri"/>
          <w:b/>
          <w:bCs/>
          <w:sz w:val="24"/>
          <w:szCs w:val="24"/>
          <w:lang w:val="el-GR"/>
        </w:rPr>
        <w:t xml:space="preserve">  </w:t>
      </w:r>
      <w:r w:rsidR="00437DDD" w:rsidRPr="00455CDB">
        <w:rPr>
          <w:rFonts w:ascii="Calibri" w:hAnsi="Calibri" w:cs="Calibri"/>
          <w:sz w:val="24"/>
          <w:szCs w:val="24"/>
          <w:lang w:val="el-GR"/>
        </w:rPr>
        <w:t>(παράγραφος 45)</w:t>
      </w:r>
      <w:r w:rsidR="00437DDD" w:rsidRPr="00455CDB">
        <w:rPr>
          <w:rFonts w:ascii="Calibri" w:hAnsi="Calibri" w:cs="Calibri"/>
          <w:sz w:val="24"/>
          <w:szCs w:val="24"/>
          <w:lang w:val="el-GR" w:eastAsia="fr-FR"/>
        </w:rPr>
        <w:t>,</w:t>
      </w:r>
    </w:p>
    <w:p w14:paraId="625CAB54" w14:textId="77777777" w:rsidR="00437DDD" w:rsidRPr="002B7C4B" w:rsidRDefault="00437DDD" w:rsidP="002B7C4B">
      <w:pPr>
        <w:pStyle w:val="ListParagraph"/>
        <w:ind w:left="851"/>
        <w:contextualSpacing w:val="0"/>
        <w:rPr>
          <w:b/>
          <w:sz w:val="24"/>
          <w:szCs w:val="24"/>
          <w:lang w:val="el-GR"/>
        </w:rPr>
      </w:pPr>
    </w:p>
    <w:p w14:paraId="55C85F47" w14:textId="1A36E827" w:rsidR="00437DDD" w:rsidRPr="002B7C4B" w:rsidRDefault="00404F9E" w:rsidP="00437DDD">
      <w:pPr>
        <w:pStyle w:val="ListParagraph"/>
        <w:numPr>
          <w:ilvl w:val="0"/>
          <w:numId w:val="2"/>
        </w:numPr>
        <w:ind w:left="851" w:hanging="567"/>
        <w:contextualSpacing w:val="0"/>
        <w:rPr>
          <w:b/>
          <w:sz w:val="24"/>
          <w:szCs w:val="24"/>
          <w:lang w:val="el-GR"/>
        </w:rPr>
      </w:pPr>
      <w:r>
        <w:rPr>
          <w:rFonts w:ascii="Calibri" w:hAnsi="Calibri" w:cs="Calibri"/>
          <w:b/>
          <w:bCs/>
          <w:sz w:val="24"/>
          <w:szCs w:val="24"/>
          <w:lang w:val="el-GR"/>
        </w:rPr>
        <w:t>Ό</w:t>
      </w:r>
      <w:r w:rsidR="00437DDD">
        <w:rPr>
          <w:rFonts w:ascii="Calibri" w:hAnsi="Calibri" w:cs="Calibri"/>
          <w:b/>
          <w:bCs/>
          <w:sz w:val="24"/>
          <w:szCs w:val="24"/>
          <w:lang w:val="el-GR"/>
        </w:rPr>
        <w:t>πως</w:t>
      </w:r>
      <w:r w:rsidRPr="00404F9E">
        <w:rPr>
          <w:rFonts w:ascii="Calibri" w:hAnsi="Calibri" w:cs="Calibri"/>
          <w:b/>
          <w:bCs/>
          <w:sz w:val="24"/>
          <w:szCs w:val="24"/>
          <w:lang w:val="el-GR"/>
        </w:rPr>
        <w:t xml:space="preserve"> </w:t>
      </w:r>
      <w:r>
        <w:rPr>
          <w:rFonts w:ascii="Calibri" w:hAnsi="Calibri" w:cs="Calibri"/>
          <w:b/>
          <w:bCs/>
          <w:sz w:val="24"/>
          <w:szCs w:val="24"/>
          <w:lang w:val="el-GR"/>
        </w:rPr>
        <w:t>άτομα</w:t>
      </w:r>
      <w:r w:rsidRPr="00404F9E">
        <w:rPr>
          <w:rFonts w:ascii="Calibri" w:hAnsi="Calibri" w:cs="Calibri"/>
          <w:b/>
          <w:bCs/>
          <w:sz w:val="24"/>
          <w:szCs w:val="24"/>
          <w:lang w:val="el-GR"/>
        </w:rPr>
        <w:t xml:space="preserve"> </w:t>
      </w:r>
      <w:r>
        <w:rPr>
          <w:rFonts w:ascii="Calibri" w:hAnsi="Calibri" w:cs="Calibri"/>
          <w:b/>
          <w:bCs/>
          <w:sz w:val="24"/>
          <w:szCs w:val="24"/>
          <w:lang w:val="el-GR"/>
        </w:rPr>
        <w:t>που</w:t>
      </w:r>
      <w:r w:rsidRPr="00404F9E">
        <w:rPr>
          <w:rFonts w:ascii="Calibri" w:hAnsi="Calibri" w:cs="Calibri"/>
          <w:b/>
          <w:bCs/>
          <w:sz w:val="24"/>
          <w:szCs w:val="24"/>
          <w:lang w:val="el-GR"/>
        </w:rPr>
        <w:t xml:space="preserve"> </w:t>
      </w:r>
      <w:r>
        <w:rPr>
          <w:rFonts w:ascii="Calibri" w:hAnsi="Calibri" w:cs="Calibri"/>
          <w:b/>
          <w:bCs/>
          <w:sz w:val="24"/>
          <w:szCs w:val="24"/>
          <w:lang w:val="el-GR"/>
        </w:rPr>
        <w:t>τους</w:t>
      </w:r>
      <w:r w:rsidRPr="00404F9E">
        <w:rPr>
          <w:rFonts w:ascii="Calibri" w:hAnsi="Calibri" w:cs="Calibri"/>
          <w:b/>
          <w:bCs/>
          <w:sz w:val="24"/>
          <w:szCs w:val="24"/>
          <w:lang w:val="el-GR"/>
        </w:rPr>
        <w:t xml:space="preserve"> </w:t>
      </w:r>
      <w:r>
        <w:rPr>
          <w:rFonts w:ascii="Calibri" w:hAnsi="Calibri" w:cs="Calibri"/>
          <w:b/>
          <w:bCs/>
          <w:sz w:val="24"/>
          <w:szCs w:val="24"/>
          <w:lang w:val="el-GR"/>
        </w:rPr>
        <w:t>έχουν</w:t>
      </w:r>
      <w:r w:rsidRPr="00404F9E">
        <w:rPr>
          <w:rFonts w:ascii="Calibri" w:hAnsi="Calibri" w:cs="Calibri"/>
          <w:b/>
          <w:bCs/>
          <w:sz w:val="24"/>
          <w:szCs w:val="24"/>
          <w:lang w:val="el-GR"/>
        </w:rPr>
        <w:t xml:space="preserve"> </w:t>
      </w:r>
      <w:r>
        <w:rPr>
          <w:rFonts w:ascii="Calibri" w:hAnsi="Calibri" w:cs="Calibri"/>
          <w:b/>
          <w:bCs/>
          <w:sz w:val="24"/>
          <w:szCs w:val="24"/>
          <w:lang w:val="el-GR"/>
        </w:rPr>
        <w:t>ανατεθεί</w:t>
      </w:r>
      <w:r w:rsidRPr="00404F9E">
        <w:rPr>
          <w:rFonts w:ascii="Calibri" w:hAnsi="Calibri" w:cs="Calibri"/>
          <w:b/>
          <w:bCs/>
          <w:sz w:val="24"/>
          <w:szCs w:val="24"/>
          <w:lang w:val="el-GR"/>
        </w:rPr>
        <w:t xml:space="preserve"> </w:t>
      </w:r>
      <w:r w:rsidR="00437DDD">
        <w:rPr>
          <w:rFonts w:ascii="Calibri" w:hAnsi="Calibri" w:cs="Calibri"/>
          <w:b/>
          <w:bCs/>
          <w:sz w:val="24"/>
          <w:szCs w:val="24"/>
          <w:lang w:val="el-GR"/>
        </w:rPr>
        <w:t xml:space="preserve">ανώτατα </w:t>
      </w:r>
      <w:r>
        <w:rPr>
          <w:rFonts w:ascii="Calibri" w:hAnsi="Calibri" w:cs="Calibri"/>
          <w:b/>
          <w:bCs/>
          <w:sz w:val="24"/>
          <w:szCs w:val="24"/>
          <w:lang w:val="el-GR"/>
        </w:rPr>
        <w:t>εκτελεστικ</w:t>
      </w:r>
      <w:r w:rsidR="00437DDD">
        <w:rPr>
          <w:rFonts w:ascii="Calibri" w:hAnsi="Calibri" w:cs="Calibri"/>
          <w:b/>
          <w:bCs/>
          <w:sz w:val="24"/>
          <w:szCs w:val="24"/>
          <w:lang w:val="el-GR"/>
        </w:rPr>
        <w:t>ά</w:t>
      </w:r>
      <w:r w:rsidRPr="00404F9E">
        <w:rPr>
          <w:rFonts w:ascii="Calibri" w:hAnsi="Calibri" w:cs="Calibri"/>
          <w:b/>
          <w:bCs/>
          <w:sz w:val="24"/>
          <w:szCs w:val="24"/>
          <w:lang w:val="el-GR"/>
        </w:rPr>
        <w:t xml:space="preserve"> </w:t>
      </w:r>
      <w:r w:rsidR="00437DDD">
        <w:rPr>
          <w:rFonts w:ascii="Calibri" w:hAnsi="Calibri" w:cs="Calibri"/>
          <w:b/>
          <w:bCs/>
          <w:sz w:val="24"/>
          <w:szCs w:val="24"/>
          <w:lang w:val="el-GR"/>
        </w:rPr>
        <w:t xml:space="preserve">καθήκοντα να </w:t>
      </w:r>
      <w:r>
        <w:rPr>
          <w:rFonts w:ascii="Calibri" w:hAnsi="Calibri" w:cs="Calibri"/>
          <w:b/>
          <w:bCs/>
          <w:sz w:val="24"/>
          <w:szCs w:val="24"/>
          <w:lang w:val="el-GR"/>
        </w:rPr>
        <w:t>υποβά</w:t>
      </w:r>
      <w:r w:rsidR="00437DDD">
        <w:rPr>
          <w:rFonts w:ascii="Calibri" w:hAnsi="Calibri" w:cs="Calibri"/>
          <w:b/>
          <w:bCs/>
          <w:sz w:val="24"/>
          <w:szCs w:val="24"/>
          <w:lang w:val="el-GR"/>
        </w:rPr>
        <w:t>λ</w:t>
      </w:r>
      <w:r>
        <w:rPr>
          <w:rFonts w:ascii="Calibri" w:hAnsi="Calibri" w:cs="Calibri"/>
          <w:b/>
          <w:bCs/>
          <w:sz w:val="24"/>
          <w:szCs w:val="24"/>
          <w:lang w:val="el-GR"/>
        </w:rPr>
        <w:t>λονται</w:t>
      </w:r>
      <w:r w:rsidRPr="00404F9E">
        <w:rPr>
          <w:rFonts w:ascii="Calibri" w:hAnsi="Calibri" w:cs="Calibri"/>
          <w:b/>
          <w:bCs/>
          <w:sz w:val="24"/>
          <w:szCs w:val="24"/>
          <w:lang w:val="el-GR"/>
        </w:rPr>
        <w:t xml:space="preserve"> </w:t>
      </w:r>
      <w:r>
        <w:rPr>
          <w:rFonts w:ascii="Calibri" w:hAnsi="Calibri" w:cs="Calibri"/>
          <w:b/>
          <w:bCs/>
          <w:sz w:val="24"/>
          <w:szCs w:val="24"/>
          <w:lang w:val="el-GR"/>
        </w:rPr>
        <w:t>σε</w:t>
      </w:r>
      <w:r w:rsidRPr="00404F9E">
        <w:rPr>
          <w:rFonts w:ascii="Calibri" w:hAnsi="Calibri" w:cs="Calibri"/>
          <w:b/>
          <w:bCs/>
          <w:sz w:val="24"/>
          <w:szCs w:val="24"/>
          <w:lang w:val="el-GR"/>
        </w:rPr>
        <w:t xml:space="preserve"> </w:t>
      </w:r>
      <w:r>
        <w:rPr>
          <w:rFonts w:ascii="Calibri" w:hAnsi="Calibri" w:cs="Calibri"/>
          <w:b/>
          <w:bCs/>
          <w:sz w:val="24"/>
          <w:szCs w:val="24"/>
          <w:lang w:val="el-GR"/>
        </w:rPr>
        <w:t>έλεγχο</w:t>
      </w:r>
      <w:r w:rsidRPr="00404F9E">
        <w:rPr>
          <w:rFonts w:ascii="Calibri" w:hAnsi="Calibri" w:cs="Calibri"/>
          <w:b/>
          <w:bCs/>
          <w:sz w:val="24"/>
          <w:szCs w:val="24"/>
          <w:lang w:val="el-GR"/>
        </w:rPr>
        <w:t xml:space="preserve"> </w:t>
      </w:r>
      <w:r>
        <w:rPr>
          <w:rFonts w:ascii="Calibri" w:hAnsi="Calibri" w:cs="Calibri"/>
          <w:b/>
          <w:bCs/>
          <w:sz w:val="24"/>
          <w:szCs w:val="24"/>
          <w:lang w:val="el-GR"/>
        </w:rPr>
        <w:t>ακεραιότητας</w:t>
      </w:r>
      <w:r w:rsidR="00A90F70" w:rsidRPr="00404F9E">
        <w:rPr>
          <w:b/>
          <w:bCs/>
          <w:sz w:val="24"/>
          <w:szCs w:val="24"/>
          <w:lang w:val="el-GR"/>
        </w:rPr>
        <w:t xml:space="preserve"> </w:t>
      </w:r>
      <w:r w:rsidR="00437DDD">
        <w:rPr>
          <w:b/>
          <w:bCs/>
          <w:sz w:val="24"/>
          <w:szCs w:val="24"/>
          <w:lang w:val="el-GR"/>
        </w:rPr>
        <w:t xml:space="preserve">προτού </w:t>
      </w:r>
      <w:r>
        <w:rPr>
          <w:b/>
          <w:bCs/>
          <w:sz w:val="24"/>
          <w:szCs w:val="24"/>
          <w:lang w:val="el-GR"/>
        </w:rPr>
        <w:t>ή αμέσως</w:t>
      </w:r>
      <w:r w:rsidR="00A236DC" w:rsidRPr="00A236DC">
        <w:rPr>
          <w:b/>
          <w:bCs/>
          <w:sz w:val="24"/>
          <w:szCs w:val="24"/>
          <w:lang w:val="el-GR"/>
        </w:rPr>
        <w:t xml:space="preserve"> </w:t>
      </w:r>
      <w:r w:rsidR="00A236DC">
        <w:rPr>
          <w:b/>
          <w:bCs/>
          <w:sz w:val="24"/>
          <w:szCs w:val="24"/>
          <w:lang w:val="el-GR"/>
        </w:rPr>
        <w:t>μετά τον διορισμό τους</w:t>
      </w:r>
      <w:r w:rsidR="00A90F70" w:rsidRPr="00404F9E">
        <w:rPr>
          <w:b/>
          <w:bCs/>
          <w:sz w:val="24"/>
          <w:szCs w:val="24"/>
          <w:lang w:val="el-GR"/>
        </w:rPr>
        <w:t xml:space="preserve"> </w:t>
      </w:r>
      <w:r w:rsidR="00437DDD">
        <w:rPr>
          <w:b/>
          <w:bCs/>
          <w:sz w:val="24"/>
          <w:szCs w:val="24"/>
          <w:lang w:val="el-GR"/>
        </w:rPr>
        <w:t xml:space="preserve">για σκοπούς </w:t>
      </w:r>
      <w:r w:rsidR="00A236DC">
        <w:rPr>
          <w:b/>
          <w:bCs/>
          <w:sz w:val="24"/>
          <w:szCs w:val="24"/>
          <w:lang w:val="el-GR"/>
        </w:rPr>
        <w:t>εντοπισμ</w:t>
      </w:r>
      <w:r w:rsidR="00437DDD">
        <w:rPr>
          <w:b/>
          <w:bCs/>
          <w:sz w:val="24"/>
          <w:szCs w:val="24"/>
          <w:lang w:val="el-GR"/>
        </w:rPr>
        <w:t>ού</w:t>
      </w:r>
      <w:r w:rsidR="00A236DC">
        <w:rPr>
          <w:b/>
          <w:bCs/>
          <w:sz w:val="24"/>
          <w:szCs w:val="24"/>
          <w:lang w:val="el-GR"/>
        </w:rPr>
        <w:t xml:space="preserve"> και διαχείρ</w:t>
      </w:r>
      <w:r w:rsidR="00437DDD">
        <w:rPr>
          <w:b/>
          <w:bCs/>
          <w:sz w:val="24"/>
          <w:szCs w:val="24"/>
          <w:lang w:val="el-GR"/>
        </w:rPr>
        <w:t>ι</w:t>
      </w:r>
      <w:r w:rsidR="00A236DC">
        <w:rPr>
          <w:b/>
          <w:bCs/>
          <w:sz w:val="24"/>
          <w:szCs w:val="24"/>
          <w:lang w:val="el-GR"/>
        </w:rPr>
        <w:t>ση</w:t>
      </w:r>
      <w:r w:rsidR="00437DDD">
        <w:rPr>
          <w:b/>
          <w:bCs/>
          <w:sz w:val="24"/>
          <w:szCs w:val="24"/>
          <w:lang w:val="el-GR"/>
        </w:rPr>
        <w:t>ς</w:t>
      </w:r>
      <w:r w:rsidR="00A236DC">
        <w:rPr>
          <w:b/>
          <w:bCs/>
          <w:sz w:val="24"/>
          <w:szCs w:val="24"/>
          <w:lang w:val="el-GR"/>
        </w:rPr>
        <w:t xml:space="preserve"> πιθανών συγκρούσεων συμφερόντων</w:t>
      </w:r>
      <w:r w:rsidR="00A90F70" w:rsidRPr="00404F9E">
        <w:rPr>
          <w:b/>
          <w:bCs/>
          <w:sz w:val="24"/>
          <w:szCs w:val="24"/>
          <w:lang w:val="el-GR"/>
        </w:rPr>
        <w:t xml:space="preserve"> </w:t>
      </w:r>
      <w:r w:rsidR="00A90F70" w:rsidRPr="00404F9E">
        <w:rPr>
          <w:sz w:val="24"/>
          <w:szCs w:val="24"/>
          <w:lang w:val="el-GR"/>
        </w:rPr>
        <w:t>(</w:t>
      </w:r>
      <w:r w:rsidR="00A236DC">
        <w:rPr>
          <w:sz w:val="24"/>
          <w:szCs w:val="24"/>
          <w:lang w:val="el-GR"/>
        </w:rPr>
        <w:t>παράγραφος</w:t>
      </w:r>
      <w:r w:rsidR="00A90F70" w:rsidRPr="00404F9E">
        <w:rPr>
          <w:sz w:val="24"/>
          <w:szCs w:val="24"/>
          <w:lang w:val="el-GR"/>
        </w:rPr>
        <w:t xml:space="preserve"> 46)</w:t>
      </w:r>
      <w:r w:rsidR="00CE5A97">
        <w:rPr>
          <w:sz w:val="24"/>
          <w:szCs w:val="24"/>
          <w:lang w:val="el-GR"/>
        </w:rPr>
        <w:t>,</w:t>
      </w:r>
    </w:p>
    <w:p w14:paraId="375BDB3D" w14:textId="77777777" w:rsidR="001248EC" w:rsidRPr="00404F9E" w:rsidRDefault="001248EC" w:rsidP="001248EC">
      <w:pPr>
        <w:pStyle w:val="ListParagraph"/>
        <w:rPr>
          <w:b/>
          <w:sz w:val="24"/>
          <w:szCs w:val="24"/>
          <w:lang w:val="el-GR"/>
        </w:rPr>
      </w:pPr>
    </w:p>
    <w:p w14:paraId="1A187561" w14:textId="7B999883" w:rsidR="001248EC" w:rsidRPr="002B7C4B" w:rsidRDefault="009B51FD" w:rsidP="00220066">
      <w:pPr>
        <w:pStyle w:val="ListParagraph"/>
        <w:numPr>
          <w:ilvl w:val="0"/>
          <w:numId w:val="2"/>
        </w:numPr>
        <w:ind w:left="851" w:hanging="567"/>
        <w:contextualSpacing w:val="0"/>
        <w:rPr>
          <w:b/>
          <w:sz w:val="24"/>
          <w:szCs w:val="24"/>
          <w:lang w:val="el-GR"/>
        </w:rPr>
      </w:pPr>
      <w:r>
        <w:rPr>
          <w:rFonts w:ascii="Calibri" w:eastAsia="Calibri" w:hAnsi="Calibri" w:cs="Calibri"/>
          <w:b/>
          <w:bCs/>
          <w:sz w:val="24"/>
          <w:szCs w:val="24"/>
          <w:lang w:val="el-GR"/>
        </w:rPr>
        <w:t>Την α</w:t>
      </w:r>
      <w:r w:rsidR="00ED30B9">
        <w:rPr>
          <w:rFonts w:ascii="Calibri" w:eastAsia="Calibri" w:hAnsi="Calibri" w:cs="Calibri"/>
          <w:b/>
          <w:bCs/>
          <w:sz w:val="24"/>
          <w:szCs w:val="24"/>
          <w:lang w:val="el-GR"/>
        </w:rPr>
        <w:t>νάπτυξη</w:t>
      </w:r>
      <w:r w:rsidR="00ED30B9" w:rsidRPr="00ED30B9">
        <w:rPr>
          <w:rFonts w:ascii="Calibri" w:eastAsia="Calibri" w:hAnsi="Calibri" w:cs="Calibri"/>
          <w:b/>
          <w:bCs/>
          <w:sz w:val="24"/>
          <w:szCs w:val="24"/>
          <w:lang w:val="el-GR"/>
        </w:rPr>
        <w:t xml:space="preserve"> </w:t>
      </w:r>
      <w:r w:rsidR="00437DDD">
        <w:rPr>
          <w:rFonts w:ascii="Calibri" w:eastAsia="Calibri" w:hAnsi="Calibri" w:cs="Calibri"/>
          <w:b/>
          <w:bCs/>
          <w:sz w:val="24"/>
          <w:szCs w:val="24"/>
          <w:lang w:val="el-GR"/>
        </w:rPr>
        <w:t xml:space="preserve">μιας </w:t>
      </w:r>
      <w:r w:rsidR="00ED30B9">
        <w:rPr>
          <w:rFonts w:ascii="Calibri" w:eastAsia="Calibri" w:hAnsi="Calibri" w:cs="Calibri"/>
          <w:b/>
          <w:bCs/>
          <w:sz w:val="24"/>
          <w:szCs w:val="24"/>
          <w:lang w:val="el-GR"/>
        </w:rPr>
        <w:t>συντονισμένης</w:t>
      </w:r>
      <w:r w:rsidR="00ED30B9" w:rsidRPr="00ED30B9">
        <w:rPr>
          <w:rFonts w:ascii="Calibri" w:eastAsia="Calibri" w:hAnsi="Calibri" w:cs="Calibri"/>
          <w:b/>
          <w:bCs/>
          <w:sz w:val="24"/>
          <w:szCs w:val="24"/>
          <w:lang w:val="el-GR"/>
        </w:rPr>
        <w:t xml:space="preserve"> </w:t>
      </w:r>
      <w:r w:rsidR="00ED30B9">
        <w:rPr>
          <w:rFonts w:ascii="Calibri" w:eastAsia="Calibri" w:hAnsi="Calibri" w:cs="Calibri"/>
          <w:b/>
          <w:bCs/>
          <w:sz w:val="24"/>
          <w:szCs w:val="24"/>
          <w:lang w:val="el-GR"/>
        </w:rPr>
        <w:t>στρατηγικής</w:t>
      </w:r>
      <w:r w:rsidR="00ED30B9" w:rsidRPr="00ED30B9">
        <w:rPr>
          <w:rFonts w:ascii="Calibri" w:eastAsia="Calibri" w:hAnsi="Calibri" w:cs="Calibri"/>
          <w:b/>
          <w:bCs/>
          <w:sz w:val="24"/>
          <w:szCs w:val="24"/>
          <w:lang w:val="el-GR"/>
        </w:rPr>
        <w:t xml:space="preserve"> </w:t>
      </w:r>
      <w:r w:rsidR="00ED30B9">
        <w:rPr>
          <w:rFonts w:ascii="Calibri" w:eastAsia="Calibri" w:hAnsi="Calibri" w:cs="Calibri"/>
          <w:b/>
          <w:bCs/>
          <w:sz w:val="24"/>
          <w:szCs w:val="24"/>
          <w:lang w:val="el-GR"/>
        </w:rPr>
        <w:t>για</w:t>
      </w:r>
      <w:r w:rsidR="00ED30B9" w:rsidRPr="00ED30B9">
        <w:rPr>
          <w:rFonts w:ascii="Calibri" w:eastAsia="Calibri" w:hAnsi="Calibri" w:cs="Calibri"/>
          <w:b/>
          <w:bCs/>
          <w:sz w:val="24"/>
          <w:szCs w:val="24"/>
          <w:lang w:val="el-GR"/>
        </w:rPr>
        <w:t xml:space="preserve"> </w:t>
      </w:r>
      <w:r w:rsidR="00ED30B9">
        <w:rPr>
          <w:rFonts w:ascii="Calibri" w:eastAsia="Calibri" w:hAnsi="Calibri" w:cs="Calibri"/>
          <w:b/>
          <w:bCs/>
          <w:sz w:val="24"/>
          <w:szCs w:val="24"/>
          <w:lang w:val="el-GR"/>
        </w:rPr>
        <w:t>την</w:t>
      </w:r>
      <w:r w:rsidR="00ED30B9" w:rsidRPr="00ED30B9">
        <w:rPr>
          <w:rFonts w:ascii="Calibri" w:eastAsia="Calibri" w:hAnsi="Calibri" w:cs="Calibri"/>
          <w:b/>
          <w:bCs/>
          <w:sz w:val="24"/>
          <w:szCs w:val="24"/>
          <w:lang w:val="el-GR"/>
        </w:rPr>
        <w:t xml:space="preserve"> </w:t>
      </w:r>
      <w:r w:rsidR="00ED30B9">
        <w:rPr>
          <w:rFonts w:ascii="Calibri" w:eastAsia="Calibri" w:hAnsi="Calibri" w:cs="Calibri"/>
          <w:b/>
          <w:bCs/>
          <w:sz w:val="24"/>
          <w:szCs w:val="24"/>
          <w:lang w:val="el-GR"/>
        </w:rPr>
        <w:t>ακεραιότητα</w:t>
      </w:r>
      <w:r w:rsidR="00437DDD">
        <w:rPr>
          <w:rFonts w:ascii="Calibri" w:eastAsia="Calibri" w:hAnsi="Calibri" w:cs="Calibri"/>
          <w:b/>
          <w:bCs/>
          <w:sz w:val="24"/>
          <w:szCs w:val="24"/>
          <w:lang w:val="el-GR"/>
        </w:rPr>
        <w:t xml:space="preserve"> των</w:t>
      </w:r>
      <w:r w:rsidR="00ED30B9" w:rsidRPr="00ED30B9">
        <w:rPr>
          <w:rFonts w:ascii="Calibri" w:eastAsia="Calibri" w:hAnsi="Calibri" w:cs="Calibri"/>
          <w:b/>
          <w:bCs/>
          <w:sz w:val="24"/>
          <w:szCs w:val="24"/>
          <w:lang w:val="el-GR"/>
        </w:rPr>
        <w:t xml:space="preserve"> </w:t>
      </w:r>
      <w:r w:rsidR="00ED30B9">
        <w:rPr>
          <w:rFonts w:ascii="Calibri" w:eastAsia="Calibri" w:hAnsi="Calibri" w:cs="Calibri"/>
          <w:b/>
          <w:bCs/>
          <w:sz w:val="24"/>
          <w:szCs w:val="24"/>
          <w:lang w:val="el-GR"/>
        </w:rPr>
        <w:t>ατόμων</w:t>
      </w:r>
      <w:r w:rsidR="00ED30B9" w:rsidRPr="00ED30B9">
        <w:rPr>
          <w:rFonts w:ascii="Calibri" w:eastAsia="Calibri" w:hAnsi="Calibri" w:cs="Calibri"/>
          <w:b/>
          <w:bCs/>
          <w:sz w:val="24"/>
          <w:szCs w:val="24"/>
          <w:lang w:val="el-GR"/>
        </w:rPr>
        <w:t xml:space="preserve"> </w:t>
      </w:r>
      <w:r w:rsidR="00ED30B9">
        <w:rPr>
          <w:rFonts w:ascii="Calibri" w:eastAsia="Calibri" w:hAnsi="Calibri" w:cs="Calibri"/>
          <w:b/>
          <w:bCs/>
          <w:sz w:val="24"/>
          <w:szCs w:val="24"/>
          <w:lang w:val="el-GR"/>
        </w:rPr>
        <w:t>που</w:t>
      </w:r>
      <w:r w:rsidR="00ED30B9" w:rsidRPr="00ED30B9">
        <w:rPr>
          <w:rFonts w:ascii="Calibri" w:eastAsia="Calibri" w:hAnsi="Calibri" w:cs="Calibri"/>
          <w:b/>
          <w:bCs/>
          <w:sz w:val="24"/>
          <w:szCs w:val="24"/>
          <w:lang w:val="el-GR"/>
        </w:rPr>
        <w:t xml:space="preserve"> </w:t>
      </w:r>
      <w:r w:rsidR="00ED30B9">
        <w:rPr>
          <w:rFonts w:ascii="Calibri" w:eastAsia="Calibri" w:hAnsi="Calibri" w:cs="Calibri"/>
          <w:b/>
          <w:bCs/>
          <w:sz w:val="24"/>
          <w:szCs w:val="24"/>
          <w:lang w:val="el-GR"/>
        </w:rPr>
        <w:t>τους</w:t>
      </w:r>
      <w:r w:rsidR="00ED30B9" w:rsidRPr="00ED30B9">
        <w:rPr>
          <w:rFonts w:ascii="Calibri" w:eastAsia="Calibri" w:hAnsi="Calibri" w:cs="Calibri"/>
          <w:b/>
          <w:bCs/>
          <w:sz w:val="24"/>
          <w:szCs w:val="24"/>
          <w:lang w:val="el-GR"/>
        </w:rPr>
        <w:t xml:space="preserve"> </w:t>
      </w:r>
      <w:r w:rsidR="00ED30B9">
        <w:rPr>
          <w:rFonts w:ascii="Calibri" w:eastAsia="Calibri" w:hAnsi="Calibri" w:cs="Calibri"/>
          <w:b/>
          <w:bCs/>
          <w:sz w:val="24"/>
          <w:szCs w:val="24"/>
          <w:lang w:val="el-GR"/>
        </w:rPr>
        <w:t>έχουν</w:t>
      </w:r>
      <w:r w:rsidR="00ED30B9" w:rsidRPr="00ED30B9">
        <w:rPr>
          <w:rFonts w:ascii="Calibri" w:eastAsia="Calibri" w:hAnsi="Calibri" w:cs="Calibri"/>
          <w:b/>
          <w:bCs/>
          <w:sz w:val="24"/>
          <w:szCs w:val="24"/>
          <w:lang w:val="el-GR"/>
        </w:rPr>
        <w:t xml:space="preserve"> </w:t>
      </w:r>
      <w:r w:rsidR="00ED30B9">
        <w:rPr>
          <w:rFonts w:ascii="Calibri" w:eastAsia="Calibri" w:hAnsi="Calibri" w:cs="Calibri"/>
          <w:b/>
          <w:bCs/>
          <w:sz w:val="24"/>
          <w:szCs w:val="24"/>
          <w:lang w:val="el-GR"/>
        </w:rPr>
        <w:t>ανατεθεί</w:t>
      </w:r>
      <w:r w:rsidR="00ED30B9" w:rsidRPr="00ED30B9">
        <w:rPr>
          <w:rFonts w:ascii="Calibri" w:eastAsia="Calibri" w:hAnsi="Calibri" w:cs="Calibri"/>
          <w:b/>
          <w:bCs/>
          <w:sz w:val="24"/>
          <w:szCs w:val="24"/>
          <w:lang w:val="el-GR"/>
        </w:rPr>
        <w:t xml:space="preserve"> </w:t>
      </w:r>
      <w:r w:rsidR="00437DDD">
        <w:rPr>
          <w:rFonts w:ascii="Calibri" w:eastAsia="Calibri" w:hAnsi="Calibri" w:cs="Calibri"/>
          <w:b/>
          <w:bCs/>
          <w:sz w:val="24"/>
          <w:szCs w:val="24"/>
          <w:lang w:val="el-GR"/>
        </w:rPr>
        <w:t xml:space="preserve">ανώτατα </w:t>
      </w:r>
      <w:r w:rsidR="00ED30B9">
        <w:rPr>
          <w:rFonts w:ascii="Calibri" w:eastAsia="Calibri" w:hAnsi="Calibri" w:cs="Calibri"/>
          <w:b/>
          <w:bCs/>
          <w:sz w:val="24"/>
          <w:szCs w:val="24"/>
          <w:lang w:val="el-GR"/>
        </w:rPr>
        <w:t>εκτελεστικ</w:t>
      </w:r>
      <w:r w:rsidR="00437DDD">
        <w:rPr>
          <w:rFonts w:ascii="Calibri" w:eastAsia="Calibri" w:hAnsi="Calibri" w:cs="Calibri"/>
          <w:b/>
          <w:bCs/>
          <w:sz w:val="24"/>
          <w:szCs w:val="24"/>
          <w:lang w:val="el-GR"/>
        </w:rPr>
        <w:t>ά καθήκοντα</w:t>
      </w:r>
      <w:r w:rsidR="004A3418" w:rsidRPr="00ED30B9">
        <w:rPr>
          <w:rFonts w:ascii="Calibri" w:eastAsia="Calibri" w:hAnsi="Calibri" w:cs="Calibri"/>
          <w:b/>
          <w:bCs/>
          <w:sz w:val="24"/>
          <w:szCs w:val="24"/>
          <w:lang w:val="el-GR"/>
        </w:rPr>
        <w:t xml:space="preserve">, </w:t>
      </w:r>
      <w:r w:rsidR="00437DDD">
        <w:rPr>
          <w:rFonts w:ascii="Calibri" w:eastAsia="Calibri" w:hAnsi="Calibri" w:cs="Calibri"/>
          <w:b/>
          <w:bCs/>
          <w:sz w:val="24"/>
          <w:szCs w:val="24"/>
          <w:lang w:val="el-GR"/>
        </w:rPr>
        <w:t xml:space="preserve">βάσει </w:t>
      </w:r>
      <w:r w:rsidR="00ED30B9">
        <w:rPr>
          <w:rFonts w:ascii="Calibri" w:eastAsia="Calibri" w:hAnsi="Calibri" w:cs="Calibri"/>
          <w:b/>
          <w:bCs/>
          <w:sz w:val="24"/>
          <w:szCs w:val="24"/>
          <w:lang w:val="el-GR"/>
        </w:rPr>
        <w:t>συστηματική</w:t>
      </w:r>
      <w:r w:rsidR="00437DDD">
        <w:rPr>
          <w:rFonts w:ascii="Calibri" w:eastAsia="Calibri" w:hAnsi="Calibri" w:cs="Calibri"/>
          <w:b/>
          <w:bCs/>
          <w:sz w:val="24"/>
          <w:szCs w:val="24"/>
          <w:lang w:val="el-GR"/>
        </w:rPr>
        <w:t>ς</w:t>
      </w:r>
      <w:r w:rsidR="00ED30B9">
        <w:rPr>
          <w:rFonts w:ascii="Calibri" w:eastAsia="Calibri" w:hAnsi="Calibri" w:cs="Calibri"/>
          <w:b/>
          <w:bCs/>
          <w:sz w:val="24"/>
          <w:szCs w:val="24"/>
          <w:lang w:val="el-GR"/>
        </w:rPr>
        <w:t xml:space="preserve"> και περιεκτική</w:t>
      </w:r>
      <w:r w:rsidR="00437DDD">
        <w:rPr>
          <w:rFonts w:ascii="Calibri" w:eastAsia="Calibri" w:hAnsi="Calibri" w:cs="Calibri"/>
          <w:b/>
          <w:bCs/>
          <w:sz w:val="24"/>
          <w:szCs w:val="24"/>
          <w:lang w:val="el-GR"/>
        </w:rPr>
        <w:t>ς</w:t>
      </w:r>
      <w:r w:rsidR="00ED30B9">
        <w:rPr>
          <w:rFonts w:ascii="Calibri" w:eastAsia="Calibri" w:hAnsi="Calibri" w:cs="Calibri"/>
          <w:b/>
          <w:bCs/>
          <w:sz w:val="24"/>
          <w:szCs w:val="24"/>
          <w:lang w:val="el-GR"/>
        </w:rPr>
        <w:t xml:space="preserve"> αξιολόγηση</w:t>
      </w:r>
      <w:r w:rsidR="00437DDD">
        <w:rPr>
          <w:rFonts w:ascii="Calibri" w:eastAsia="Calibri" w:hAnsi="Calibri" w:cs="Calibri"/>
          <w:b/>
          <w:bCs/>
          <w:sz w:val="24"/>
          <w:szCs w:val="24"/>
          <w:lang w:val="el-GR"/>
        </w:rPr>
        <w:t>ς</w:t>
      </w:r>
      <w:r w:rsidR="00ED30B9">
        <w:rPr>
          <w:rFonts w:ascii="Calibri" w:eastAsia="Calibri" w:hAnsi="Calibri" w:cs="Calibri"/>
          <w:b/>
          <w:bCs/>
          <w:sz w:val="24"/>
          <w:szCs w:val="24"/>
          <w:lang w:val="el-GR"/>
        </w:rPr>
        <w:t xml:space="preserve"> κινδύνου</w:t>
      </w:r>
      <w:r w:rsidR="004A3418" w:rsidRPr="00ED30B9">
        <w:rPr>
          <w:rFonts w:ascii="Calibri" w:eastAsia="Calibri" w:hAnsi="Calibri" w:cs="Calibri"/>
          <w:b/>
          <w:bCs/>
          <w:sz w:val="24"/>
          <w:szCs w:val="24"/>
          <w:lang w:val="el-GR"/>
        </w:rPr>
        <w:t xml:space="preserve">, </w:t>
      </w:r>
      <w:r w:rsidR="00ED30B9">
        <w:rPr>
          <w:rFonts w:ascii="Calibri" w:eastAsia="Calibri" w:hAnsi="Calibri" w:cs="Calibri"/>
          <w:b/>
          <w:bCs/>
          <w:sz w:val="24"/>
          <w:szCs w:val="24"/>
          <w:lang w:val="el-GR"/>
        </w:rPr>
        <w:t>με σκοπό την πρόληψη</w:t>
      </w:r>
      <w:r w:rsidR="004A3418" w:rsidRPr="00ED30B9">
        <w:rPr>
          <w:rFonts w:ascii="Calibri" w:eastAsia="Calibri" w:hAnsi="Calibri" w:cs="Calibri"/>
          <w:b/>
          <w:bCs/>
          <w:sz w:val="24"/>
          <w:szCs w:val="24"/>
          <w:lang w:val="el-GR"/>
        </w:rPr>
        <w:t xml:space="preserve"> </w:t>
      </w:r>
      <w:r w:rsidR="00ED30B9">
        <w:rPr>
          <w:rFonts w:ascii="Calibri" w:eastAsia="Calibri" w:hAnsi="Calibri" w:cs="Calibri"/>
          <w:b/>
          <w:bCs/>
          <w:sz w:val="24"/>
          <w:szCs w:val="24"/>
          <w:lang w:val="el-GR"/>
        </w:rPr>
        <w:t>και διαχείρ</w:t>
      </w:r>
      <w:r w:rsidR="00437DDD">
        <w:rPr>
          <w:rFonts w:ascii="Calibri" w:eastAsia="Calibri" w:hAnsi="Calibri" w:cs="Calibri"/>
          <w:b/>
          <w:bCs/>
          <w:sz w:val="24"/>
          <w:szCs w:val="24"/>
          <w:lang w:val="el-GR"/>
        </w:rPr>
        <w:t>ι</w:t>
      </w:r>
      <w:r w:rsidR="00ED30B9">
        <w:rPr>
          <w:rFonts w:ascii="Calibri" w:eastAsia="Calibri" w:hAnsi="Calibri" w:cs="Calibri"/>
          <w:b/>
          <w:bCs/>
          <w:sz w:val="24"/>
          <w:szCs w:val="24"/>
          <w:lang w:val="el-GR"/>
        </w:rPr>
        <w:t>ση συγκρούσεων συμφερόντων</w:t>
      </w:r>
      <w:r w:rsidR="004A3418" w:rsidRPr="00ED30B9">
        <w:rPr>
          <w:rFonts w:ascii="Calibri" w:eastAsia="Calibri" w:hAnsi="Calibri" w:cs="Calibri"/>
          <w:b/>
          <w:bCs/>
          <w:sz w:val="24"/>
          <w:szCs w:val="24"/>
          <w:lang w:val="el-GR"/>
        </w:rPr>
        <w:t xml:space="preserve">, </w:t>
      </w:r>
      <w:r w:rsidR="00437DDD">
        <w:rPr>
          <w:rFonts w:ascii="Calibri" w:eastAsia="Calibri" w:hAnsi="Calibri" w:cs="Calibri"/>
          <w:b/>
          <w:bCs/>
          <w:sz w:val="24"/>
          <w:szCs w:val="24"/>
          <w:lang w:val="el-GR"/>
        </w:rPr>
        <w:t xml:space="preserve">που να περιλαμβάνει κατάλληλα και αποτελεσματικά μέτρα </w:t>
      </w:r>
      <w:r w:rsidR="00ED30B9">
        <w:rPr>
          <w:rFonts w:ascii="Calibri" w:eastAsia="Calibri" w:hAnsi="Calibri" w:cs="Calibri"/>
          <w:b/>
          <w:bCs/>
          <w:sz w:val="24"/>
          <w:szCs w:val="24"/>
          <w:lang w:val="el-GR"/>
        </w:rPr>
        <w:t>συμβουλευτικής, παρακολούθησης και συμμόρφωσης</w:t>
      </w:r>
      <w:r w:rsidR="004A3418" w:rsidRPr="00ED30B9">
        <w:rPr>
          <w:rFonts w:ascii="Calibri" w:eastAsia="Calibri" w:hAnsi="Calibri" w:cs="Calibri"/>
          <w:b/>
          <w:bCs/>
          <w:sz w:val="24"/>
          <w:szCs w:val="24"/>
          <w:lang w:val="el-GR"/>
        </w:rPr>
        <w:t xml:space="preserve"> </w:t>
      </w:r>
      <w:r w:rsidR="004A3418" w:rsidRPr="00ED30B9">
        <w:rPr>
          <w:rFonts w:ascii="Calibri" w:eastAsia="Calibri" w:hAnsi="Calibri" w:cs="Calibri"/>
          <w:sz w:val="24"/>
          <w:szCs w:val="24"/>
          <w:lang w:val="el-GR"/>
        </w:rPr>
        <w:t>(</w:t>
      </w:r>
      <w:r w:rsidR="00ED30B9">
        <w:rPr>
          <w:rFonts w:ascii="Calibri" w:eastAsia="Calibri" w:hAnsi="Calibri" w:cs="Calibri"/>
          <w:sz w:val="24"/>
          <w:szCs w:val="24"/>
          <w:lang w:val="el-GR"/>
        </w:rPr>
        <w:t>παράγραφος</w:t>
      </w:r>
      <w:r w:rsidR="004A3418" w:rsidRPr="00ED30B9">
        <w:rPr>
          <w:rFonts w:ascii="Calibri" w:eastAsia="Calibri" w:hAnsi="Calibri" w:cs="Calibri"/>
          <w:sz w:val="24"/>
          <w:szCs w:val="24"/>
          <w:lang w:val="el-GR"/>
        </w:rPr>
        <w:t xml:space="preserve"> 57)</w:t>
      </w:r>
      <w:r w:rsidR="00CE5A97">
        <w:rPr>
          <w:rFonts w:ascii="Calibri" w:eastAsia="Calibri" w:hAnsi="Calibri" w:cs="Calibri"/>
          <w:b/>
          <w:bCs/>
          <w:sz w:val="24"/>
          <w:szCs w:val="24"/>
          <w:lang w:val="el-GR"/>
        </w:rPr>
        <w:t>,</w:t>
      </w:r>
    </w:p>
    <w:p w14:paraId="3768482E" w14:textId="77777777" w:rsidR="001248EC" w:rsidRPr="00ED30B9" w:rsidRDefault="001248EC" w:rsidP="001248EC">
      <w:pPr>
        <w:pStyle w:val="ListParagraph"/>
        <w:rPr>
          <w:b/>
          <w:sz w:val="24"/>
          <w:szCs w:val="24"/>
          <w:lang w:val="el-GR"/>
        </w:rPr>
      </w:pPr>
    </w:p>
    <w:p w14:paraId="29932719" w14:textId="0C92D420" w:rsidR="0046534C" w:rsidRPr="002B7C4B" w:rsidRDefault="0046534C" w:rsidP="0046534C">
      <w:pPr>
        <w:pStyle w:val="ListParagraph"/>
        <w:numPr>
          <w:ilvl w:val="0"/>
          <w:numId w:val="2"/>
        </w:numPr>
        <w:ind w:left="851" w:hanging="567"/>
        <w:contextualSpacing w:val="0"/>
        <w:rPr>
          <w:b/>
          <w:sz w:val="24"/>
          <w:szCs w:val="24"/>
          <w:lang w:val="el-GR"/>
        </w:rPr>
      </w:pPr>
      <w:r w:rsidRPr="00ED30B9" w:rsidDel="0046534C">
        <w:rPr>
          <w:rFonts w:cstheme="minorHAnsi"/>
          <w:b/>
          <w:bCs/>
          <w:sz w:val="24"/>
          <w:szCs w:val="24"/>
          <w:lang w:val="el-GR"/>
        </w:rPr>
        <w:t xml:space="preserve"> </w:t>
      </w:r>
      <w:r w:rsidR="009B51FD">
        <w:rPr>
          <w:rFonts w:ascii="Calibri" w:hAnsi="Calibri" w:cs="Calibri"/>
          <w:b/>
          <w:bCs/>
          <w:sz w:val="24"/>
          <w:szCs w:val="24"/>
          <w:lang w:val="el-GR"/>
        </w:rPr>
        <w:t>Όπως</w:t>
      </w:r>
      <w:r w:rsidR="009B51FD" w:rsidRPr="00ED30B9" w:rsidDel="0046534C">
        <w:rPr>
          <w:rFonts w:cstheme="minorHAnsi"/>
          <w:b/>
          <w:bCs/>
          <w:sz w:val="24"/>
          <w:szCs w:val="24"/>
          <w:lang w:val="el-GR"/>
        </w:rPr>
        <w:t xml:space="preserve"> </w:t>
      </w:r>
      <w:r w:rsidRPr="002B7C4B">
        <w:rPr>
          <w:rFonts w:cstheme="minorHAnsi"/>
          <w:b/>
          <w:bCs/>
          <w:sz w:val="24"/>
          <w:szCs w:val="24"/>
          <w:lang w:val="el-GR"/>
        </w:rPr>
        <w:t>(</w:t>
      </w:r>
      <w:proofErr w:type="spellStart"/>
      <w:r w:rsidRPr="002B7C4B">
        <w:rPr>
          <w:rFonts w:cstheme="minorHAnsi"/>
          <w:b/>
          <w:bCs/>
          <w:sz w:val="24"/>
          <w:szCs w:val="24"/>
        </w:rPr>
        <w:t>i</w:t>
      </w:r>
      <w:proofErr w:type="spellEnd"/>
      <w:r w:rsidRPr="002B7C4B">
        <w:rPr>
          <w:rFonts w:cstheme="minorHAnsi"/>
          <w:b/>
          <w:bCs/>
          <w:sz w:val="24"/>
          <w:szCs w:val="24"/>
          <w:lang w:val="el-GR"/>
        </w:rPr>
        <w:t xml:space="preserve">) </w:t>
      </w:r>
      <w:r w:rsidR="009B51FD" w:rsidRPr="009B51FD">
        <w:rPr>
          <w:rFonts w:cstheme="minorHAnsi"/>
          <w:b/>
          <w:bCs/>
          <w:sz w:val="24"/>
          <w:szCs w:val="24"/>
          <w:lang w:val="el-GR"/>
        </w:rPr>
        <w:t>υιοθετηθεί ένας κ</w:t>
      </w:r>
      <w:r w:rsidRPr="002B7C4B">
        <w:rPr>
          <w:rFonts w:cstheme="minorHAnsi"/>
          <w:b/>
          <w:bCs/>
          <w:sz w:val="24"/>
          <w:szCs w:val="24"/>
          <w:lang w:val="el-GR"/>
        </w:rPr>
        <w:t xml:space="preserve">ώδικας δεοντολογίας </w:t>
      </w:r>
      <w:r w:rsidRPr="002B7C4B">
        <w:rPr>
          <w:rFonts w:cstheme="minorHAnsi"/>
          <w:b/>
          <w:bCs/>
          <w:color w:val="000000"/>
          <w:sz w:val="24"/>
          <w:szCs w:val="24"/>
          <w:lang w:val="el-GR"/>
        </w:rPr>
        <w:t>για τα άτομα που τους έχουν ανατεθεί ανώτατα εκτελεστικά καθήκοντα, δημοσιευμένος και συμπληρωμένος με ειδική καθοδήγηση αναφορικά με τις συγκρούσεις συμφερόντων και άλλα σχετικά θέματα ακεραιότητας (όπως την πρόληψη της σύγκρουσης συμφερόντων</w:t>
      </w:r>
      <w:r w:rsidRPr="002B7C4B">
        <w:rPr>
          <w:rFonts w:cstheme="minorHAnsi"/>
          <w:b/>
          <w:bCs/>
          <w:sz w:val="24"/>
          <w:szCs w:val="24"/>
          <w:lang w:val="el-GR"/>
        </w:rPr>
        <w:t xml:space="preserve">, δώρα, φιλοξενία και άλλα πλεονεκτήματα, επαφές τρίτων μερών, πρόσθετες δραστηριότητες και καταστάσεις μετά την </w:t>
      </w:r>
      <w:proofErr w:type="spellStart"/>
      <w:r w:rsidRPr="002B7C4B">
        <w:rPr>
          <w:rFonts w:cstheme="minorHAnsi"/>
          <w:b/>
          <w:bCs/>
          <w:sz w:val="24"/>
          <w:szCs w:val="24"/>
          <w:lang w:val="el-GR"/>
        </w:rPr>
        <w:t>εργοδότηση</w:t>
      </w:r>
      <w:proofErr w:type="spellEnd"/>
      <w:r w:rsidRPr="002B7C4B">
        <w:rPr>
          <w:rFonts w:cstheme="minorHAnsi"/>
          <w:b/>
          <w:bCs/>
          <w:sz w:val="24"/>
          <w:szCs w:val="24"/>
          <w:lang w:val="el-GR"/>
        </w:rPr>
        <w:t>, υποχρεώσεις αποκάλυψης, την μεταχείριση εμπιστευτικών πληροφοριών</w:t>
      </w:r>
      <w:r w:rsidRPr="002B7C4B">
        <w:rPr>
          <w:rFonts w:cstheme="minorHAnsi"/>
          <w:b/>
          <w:bCs/>
          <w:color w:val="000000"/>
          <w:sz w:val="24"/>
          <w:szCs w:val="24"/>
          <w:lang w:val="el-GR"/>
        </w:rPr>
        <w:t>), και (</w:t>
      </w:r>
      <w:r w:rsidRPr="002B7C4B">
        <w:rPr>
          <w:rFonts w:cstheme="minorHAnsi"/>
          <w:b/>
          <w:bCs/>
          <w:color w:val="000000"/>
          <w:sz w:val="24"/>
          <w:szCs w:val="24"/>
        </w:rPr>
        <w:t>ii</w:t>
      </w:r>
      <w:r w:rsidRPr="002B7C4B">
        <w:rPr>
          <w:rFonts w:cstheme="minorHAnsi"/>
          <w:b/>
          <w:bCs/>
          <w:color w:val="000000"/>
          <w:sz w:val="24"/>
          <w:szCs w:val="24"/>
          <w:lang w:val="el-GR"/>
        </w:rPr>
        <w:t>) ότι πρέπει να συνδυασθεί με ένα αξιόπιστο και αποτελεσματικό μηχανισμό επίβλεψης και κυρώσεων</w:t>
      </w:r>
      <w:r>
        <w:rPr>
          <w:rFonts w:cstheme="minorHAnsi"/>
          <w:b/>
          <w:bCs/>
          <w:color w:val="000000"/>
          <w:sz w:val="24"/>
          <w:szCs w:val="24"/>
          <w:lang w:val="el-GR"/>
        </w:rPr>
        <w:t xml:space="preserve"> </w:t>
      </w:r>
      <w:r w:rsidRPr="00ED30B9">
        <w:rPr>
          <w:rFonts w:cstheme="minorHAnsi"/>
          <w:color w:val="000000"/>
          <w:sz w:val="24"/>
          <w:szCs w:val="24"/>
          <w:lang w:val="el-GR"/>
        </w:rPr>
        <w:t>(</w:t>
      </w:r>
      <w:r>
        <w:rPr>
          <w:rFonts w:cstheme="minorHAnsi"/>
          <w:color w:val="000000"/>
          <w:sz w:val="24"/>
          <w:szCs w:val="24"/>
          <w:lang w:val="el-GR"/>
        </w:rPr>
        <w:t>παράγραφος</w:t>
      </w:r>
      <w:r w:rsidRPr="00ED30B9">
        <w:rPr>
          <w:rFonts w:cstheme="minorHAnsi"/>
          <w:color w:val="000000"/>
          <w:sz w:val="24"/>
          <w:szCs w:val="24"/>
          <w:lang w:val="el-GR"/>
        </w:rPr>
        <w:t xml:space="preserve"> 61)</w:t>
      </w:r>
      <w:r>
        <w:rPr>
          <w:rFonts w:cstheme="minorHAnsi"/>
          <w:b/>
          <w:bCs/>
          <w:color w:val="000000"/>
          <w:sz w:val="24"/>
          <w:szCs w:val="24"/>
          <w:lang w:val="el-GR"/>
        </w:rPr>
        <w:t>,</w:t>
      </w:r>
    </w:p>
    <w:p w14:paraId="7483CC3E" w14:textId="4810B9DD" w:rsidR="0046534C" w:rsidRPr="002B7C4B" w:rsidRDefault="0046534C" w:rsidP="002B7C4B">
      <w:pPr>
        <w:pStyle w:val="ListParagraph"/>
        <w:rPr>
          <w:b/>
          <w:sz w:val="24"/>
          <w:szCs w:val="24"/>
          <w:lang w:val="el-GR"/>
        </w:rPr>
      </w:pPr>
    </w:p>
    <w:p w14:paraId="29A08B47" w14:textId="038609AA" w:rsidR="0046534C" w:rsidRPr="005A30C4" w:rsidRDefault="0046534C" w:rsidP="001248EC">
      <w:pPr>
        <w:pStyle w:val="ListParagraph"/>
        <w:numPr>
          <w:ilvl w:val="0"/>
          <w:numId w:val="2"/>
        </w:numPr>
        <w:ind w:left="851" w:hanging="567"/>
        <w:contextualSpacing w:val="0"/>
        <w:rPr>
          <w:b/>
          <w:sz w:val="24"/>
          <w:szCs w:val="24"/>
          <w:lang w:val="el-GR"/>
        </w:rPr>
      </w:pPr>
      <w:r w:rsidRPr="00CA1894">
        <w:rPr>
          <w:rFonts w:cstheme="minorHAnsi"/>
          <w:b/>
          <w:bCs/>
          <w:sz w:val="24"/>
          <w:szCs w:val="24"/>
          <w:lang w:val="el-GR"/>
        </w:rPr>
        <w:t>(</w:t>
      </w:r>
      <w:proofErr w:type="spellStart"/>
      <w:r w:rsidRPr="004E251E">
        <w:rPr>
          <w:rFonts w:cstheme="minorHAnsi"/>
          <w:b/>
          <w:bCs/>
          <w:sz w:val="24"/>
          <w:szCs w:val="24"/>
        </w:rPr>
        <w:t>i</w:t>
      </w:r>
      <w:proofErr w:type="spellEnd"/>
      <w:r w:rsidRPr="00CA1894">
        <w:rPr>
          <w:rFonts w:cstheme="minorHAnsi"/>
          <w:b/>
          <w:bCs/>
          <w:sz w:val="24"/>
          <w:szCs w:val="24"/>
          <w:lang w:val="el-GR"/>
        </w:rPr>
        <w:t xml:space="preserve">) </w:t>
      </w:r>
      <w:r w:rsidR="009B51FD">
        <w:rPr>
          <w:rFonts w:cstheme="minorHAnsi"/>
          <w:b/>
          <w:bCs/>
          <w:sz w:val="24"/>
          <w:szCs w:val="24"/>
          <w:lang w:val="el-GR"/>
        </w:rPr>
        <w:t>Α</w:t>
      </w:r>
      <w:r>
        <w:rPr>
          <w:rFonts w:cstheme="minorHAnsi"/>
          <w:b/>
          <w:bCs/>
          <w:sz w:val="24"/>
          <w:szCs w:val="24"/>
          <w:lang w:val="el-GR"/>
        </w:rPr>
        <w:t>νάπτυξη</w:t>
      </w:r>
      <w:r w:rsidRPr="00CA1894">
        <w:rPr>
          <w:rFonts w:cstheme="minorHAnsi"/>
          <w:b/>
          <w:bCs/>
          <w:sz w:val="24"/>
          <w:szCs w:val="24"/>
          <w:lang w:val="el-GR"/>
        </w:rPr>
        <w:t xml:space="preserve"> </w:t>
      </w:r>
      <w:r>
        <w:rPr>
          <w:rFonts w:cstheme="minorHAnsi"/>
          <w:b/>
          <w:bCs/>
          <w:sz w:val="24"/>
          <w:szCs w:val="24"/>
          <w:lang w:val="el-GR"/>
        </w:rPr>
        <w:t>μηχανισμών</w:t>
      </w:r>
      <w:r w:rsidRPr="00CA1894">
        <w:rPr>
          <w:rFonts w:cstheme="minorHAnsi"/>
          <w:b/>
          <w:bCs/>
          <w:sz w:val="24"/>
          <w:szCs w:val="24"/>
          <w:lang w:val="el-GR"/>
        </w:rPr>
        <w:t xml:space="preserve"> </w:t>
      </w:r>
      <w:r>
        <w:rPr>
          <w:rFonts w:cstheme="minorHAnsi"/>
          <w:b/>
          <w:bCs/>
          <w:sz w:val="24"/>
          <w:szCs w:val="24"/>
          <w:lang w:val="el-GR"/>
        </w:rPr>
        <w:t>για</w:t>
      </w:r>
      <w:r w:rsidRPr="00CA1894">
        <w:rPr>
          <w:rFonts w:cstheme="minorHAnsi"/>
          <w:b/>
          <w:bCs/>
          <w:sz w:val="24"/>
          <w:szCs w:val="24"/>
          <w:lang w:val="el-GR"/>
        </w:rPr>
        <w:t xml:space="preserve"> </w:t>
      </w:r>
      <w:r>
        <w:rPr>
          <w:rFonts w:cstheme="minorHAnsi"/>
          <w:b/>
          <w:bCs/>
          <w:sz w:val="24"/>
          <w:szCs w:val="24"/>
          <w:lang w:val="el-GR"/>
        </w:rPr>
        <w:t>την</w:t>
      </w:r>
      <w:r w:rsidRPr="00CA1894">
        <w:rPr>
          <w:rFonts w:cstheme="minorHAnsi"/>
          <w:b/>
          <w:bCs/>
          <w:sz w:val="24"/>
          <w:szCs w:val="24"/>
          <w:lang w:val="el-GR"/>
        </w:rPr>
        <w:t xml:space="preserve"> </w:t>
      </w:r>
      <w:r>
        <w:rPr>
          <w:rFonts w:cstheme="minorHAnsi"/>
          <w:b/>
          <w:bCs/>
          <w:sz w:val="24"/>
          <w:szCs w:val="24"/>
          <w:lang w:val="el-GR"/>
        </w:rPr>
        <w:t>προώθηση</w:t>
      </w:r>
      <w:r w:rsidRPr="00CA1894">
        <w:rPr>
          <w:rFonts w:cstheme="minorHAnsi"/>
          <w:b/>
          <w:bCs/>
          <w:sz w:val="24"/>
          <w:szCs w:val="24"/>
          <w:lang w:val="el-GR"/>
        </w:rPr>
        <w:t xml:space="preserve"> </w:t>
      </w:r>
      <w:r>
        <w:rPr>
          <w:rFonts w:cstheme="minorHAnsi"/>
          <w:b/>
          <w:bCs/>
          <w:sz w:val="24"/>
          <w:szCs w:val="24"/>
          <w:lang w:val="el-GR"/>
        </w:rPr>
        <w:t>και</w:t>
      </w:r>
      <w:r w:rsidRPr="00CA1894">
        <w:rPr>
          <w:rFonts w:cstheme="minorHAnsi"/>
          <w:b/>
          <w:bCs/>
          <w:sz w:val="24"/>
          <w:szCs w:val="24"/>
          <w:lang w:val="el-GR"/>
        </w:rPr>
        <w:t xml:space="preserve"> </w:t>
      </w:r>
      <w:r>
        <w:rPr>
          <w:rFonts w:cstheme="minorHAnsi"/>
          <w:b/>
          <w:bCs/>
          <w:sz w:val="24"/>
          <w:szCs w:val="24"/>
          <w:lang w:val="el-GR"/>
        </w:rPr>
        <w:t>την</w:t>
      </w:r>
      <w:r w:rsidRPr="00CA1894">
        <w:rPr>
          <w:rFonts w:cstheme="minorHAnsi"/>
          <w:b/>
          <w:bCs/>
          <w:sz w:val="24"/>
          <w:szCs w:val="24"/>
          <w:lang w:val="el-GR"/>
        </w:rPr>
        <w:t xml:space="preserve"> </w:t>
      </w:r>
      <w:r w:rsidR="001F3FD5">
        <w:rPr>
          <w:rFonts w:cstheme="minorHAnsi"/>
          <w:b/>
          <w:bCs/>
          <w:sz w:val="24"/>
          <w:szCs w:val="24"/>
          <w:lang w:val="el-GR"/>
        </w:rPr>
        <w:t xml:space="preserve">ανάδειξη </w:t>
      </w:r>
      <w:r>
        <w:rPr>
          <w:rFonts w:cstheme="minorHAnsi"/>
          <w:b/>
          <w:bCs/>
          <w:sz w:val="24"/>
          <w:szCs w:val="24"/>
          <w:lang w:val="el-GR"/>
        </w:rPr>
        <w:t>της</w:t>
      </w:r>
      <w:r w:rsidRPr="00CA1894">
        <w:rPr>
          <w:rFonts w:cstheme="minorHAnsi"/>
          <w:b/>
          <w:bCs/>
          <w:sz w:val="24"/>
          <w:szCs w:val="24"/>
          <w:lang w:val="el-GR"/>
        </w:rPr>
        <w:t xml:space="preserve"> </w:t>
      </w:r>
      <w:r>
        <w:rPr>
          <w:rFonts w:cstheme="minorHAnsi"/>
          <w:b/>
          <w:bCs/>
          <w:sz w:val="24"/>
          <w:szCs w:val="24"/>
          <w:lang w:val="el-GR"/>
        </w:rPr>
        <w:t>ευαισθητοποίησης</w:t>
      </w:r>
      <w:r w:rsidRPr="00CA1894">
        <w:rPr>
          <w:rFonts w:cstheme="minorHAnsi"/>
          <w:b/>
          <w:bCs/>
          <w:sz w:val="24"/>
          <w:szCs w:val="24"/>
          <w:lang w:val="el-GR"/>
        </w:rPr>
        <w:t xml:space="preserve"> </w:t>
      </w:r>
      <w:r>
        <w:rPr>
          <w:rFonts w:cstheme="minorHAnsi"/>
          <w:b/>
          <w:bCs/>
          <w:sz w:val="24"/>
          <w:szCs w:val="24"/>
          <w:lang w:val="el-GR"/>
        </w:rPr>
        <w:t>σε</w:t>
      </w:r>
      <w:r w:rsidRPr="00CA1894">
        <w:rPr>
          <w:rFonts w:cstheme="minorHAnsi"/>
          <w:b/>
          <w:bCs/>
          <w:sz w:val="24"/>
          <w:szCs w:val="24"/>
          <w:lang w:val="el-GR"/>
        </w:rPr>
        <w:t xml:space="preserve"> </w:t>
      </w:r>
      <w:r>
        <w:rPr>
          <w:rFonts w:cstheme="minorHAnsi"/>
          <w:b/>
          <w:bCs/>
          <w:sz w:val="24"/>
          <w:szCs w:val="24"/>
          <w:lang w:val="el-GR"/>
        </w:rPr>
        <w:t>θέματα</w:t>
      </w:r>
      <w:r w:rsidRPr="00CA1894">
        <w:rPr>
          <w:rFonts w:cstheme="minorHAnsi"/>
          <w:b/>
          <w:bCs/>
          <w:sz w:val="24"/>
          <w:szCs w:val="24"/>
          <w:lang w:val="el-GR"/>
        </w:rPr>
        <w:t xml:space="preserve"> </w:t>
      </w:r>
      <w:r>
        <w:rPr>
          <w:rFonts w:cstheme="minorHAnsi"/>
          <w:b/>
          <w:bCs/>
          <w:sz w:val="24"/>
          <w:szCs w:val="24"/>
          <w:lang w:val="el-GR"/>
        </w:rPr>
        <w:t>ακεραιότητας</w:t>
      </w:r>
      <w:r w:rsidRPr="00CA1894">
        <w:rPr>
          <w:rFonts w:cstheme="minorHAnsi"/>
          <w:b/>
          <w:bCs/>
          <w:sz w:val="24"/>
          <w:szCs w:val="24"/>
          <w:lang w:val="el-GR"/>
        </w:rPr>
        <w:t xml:space="preserve"> </w:t>
      </w:r>
      <w:r>
        <w:rPr>
          <w:rFonts w:cstheme="minorHAnsi"/>
          <w:b/>
          <w:bCs/>
          <w:sz w:val="24"/>
          <w:szCs w:val="24"/>
          <w:lang w:val="el-GR"/>
        </w:rPr>
        <w:t>ανάμεσα</w:t>
      </w:r>
      <w:r w:rsidRPr="00CA1894">
        <w:rPr>
          <w:rFonts w:cstheme="minorHAnsi"/>
          <w:b/>
          <w:bCs/>
          <w:sz w:val="24"/>
          <w:szCs w:val="24"/>
          <w:lang w:val="el-GR"/>
        </w:rPr>
        <w:t xml:space="preserve"> </w:t>
      </w:r>
      <w:r>
        <w:rPr>
          <w:rFonts w:cstheme="minorHAnsi"/>
          <w:b/>
          <w:bCs/>
          <w:sz w:val="24"/>
          <w:szCs w:val="24"/>
          <w:lang w:val="el-GR"/>
        </w:rPr>
        <w:t>σε</w:t>
      </w:r>
      <w:r w:rsidRPr="00CA1894">
        <w:rPr>
          <w:rFonts w:cstheme="minorHAnsi"/>
          <w:b/>
          <w:bCs/>
          <w:sz w:val="24"/>
          <w:szCs w:val="24"/>
          <w:lang w:val="el-GR"/>
        </w:rPr>
        <w:t xml:space="preserve"> </w:t>
      </w:r>
      <w:r>
        <w:rPr>
          <w:rFonts w:cstheme="minorHAnsi"/>
          <w:b/>
          <w:bCs/>
          <w:sz w:val="24"/>
          <w:szCs w:val="24"/>
          <w:lang w:val="el-GR"/>
        </w:rPr>
        <w:t>άτομα</w:t>
      </w:r>
      <w:r w:rsidRPr="00CA1894">
        <w:rPr>
          <w:rFonts w:cstheme="minorHAnsi"/>
          <w:b/>
          <w:bCs/>
          <w:sz w:val="24"/>
          <w:szCs w:val="24"/>
          <w:lang w:val="el-GR"/>
        </w:rPr>
        <w:t xml:space="preserve"> </w:t>
      </w:r>
      <w:r>
        <w:rPr>
          <w:rFonts w:cstheme="minorHAnsi"/>
          <w:b/>
          <w:bCs/>
          <w:sz w:val="24"/>
          <w:szCs w:val="24"/>
          <w:lang w:val="el-GR"/>
        </w:rPr>
        <w:t>που</w:t>
      </w:r>
      <w:r w:rsidRPr="00CA1894">
        <w:rPr>
          <w:rFonts w:cstheme="minorHAnsi"/>
          <w:b/>
          <w:bCs/>
          <w:sz w:val="24"/>
          <w:szCs w:val="24"/>
          <w:lang w:val="el-GR"/>
        </w:rPr>
        <w:t xml:space="preserve"> </w:t>
      </w:r>
      <w:r>
        <w:rPr>
          <w:rFonts w:cstheme="minorHAnsi"/>
          <w:b/>
          <w:bCs/>
          <w:sz w:val="24"/>
          <w:szCs w:val="24"/>
          <w:lang w:val="el-GR"/>
        </w:rPr>
        <w:t>ασκούν</w:t>
      </w:r>
      <w:r w:rsidRPr="00CA1894">
        <w:rPr>
          <w:rFonts w:cstheme="minorHAnsi"/>
          <w:b/>
          <w:bCs/>
          <w:sz w:val="24"/>
          <w:szCs w:val="24"/>
          <w:lang w:val="el-GR"/>
        </w:rPr>
        <w:t xml:space="preserve"> </w:t>
      </w:r>
      <w:r>
        <w:rPr>
          <w:rFonts w:cstheme="minorHAnsi"/>
          <w:b/>
          <w:bCs/>
          <w:sz w:val="24"/>
          <w:szCs w:val="24"/>
          <w:lang w:val="el-GR"/>
        </w:rPr>
        <w:t>ανώτατα εκτελεστικά καθήκοντα</w:t>
      </w:r>
      <w:r w:rsidRPr="00CA1894">
        <w:rPr>
          <w:rFonts w:cstheme="minorHAnsi"/>
          <w:b/>
          <w:bCs/>
          <w:sz w:val="24"/>
          <w:szCs w:val="24"/>
          <w:lang w:val="el-GR"/>
        </w:rPr>
        <w:t xml:space="preserve">, </w:t>
      </w:r>
      <w:r>
        <w:rPr>
          <w:rFonts w:cstheme="minorHAnsi"/>
          <w:b/>
          <w:bCs/>
          <w:sz w:val="24"/>
          <w:szCs w:val="24"/>
          <w:lang w:val="el-GR"/>
        </w:rPr>
        <w:t>συμπεριλαμβανομέν</w:t>
      </w:r>
      <w:r w:rsidR="001F3FD5">
        <w:rPr>
          <w:rFonts w:cstheme="minorHAnsi"/>
          <w:b/>
          <w:bCs/>
          <w:sz w:val="24"/>
          <w:szCs w:val="24"/>
          <w:lang w:val="el-GR"/>
        </w:rPr>
        <w:t>ης</w:t>
      </w:r>
      <w:r>
        <w:rPr>
          <w:rFonts w:cstheme="minorHAnsi"/>
          <w:b/>
          <w:bCs/>
          <w:sz w:val="24"/>
          <w:szCs w:val="24"/>
          <w:lang w:val="el-GR"/>
        </w:rPr>
        <w:t xml:space="preserve"> και μέσω επιμόρφωσης για την ακεραιότητα σε τακτά χρονικά διαστήματα,</w:t>
      </w:r>
      <w:r w:rsidRPr="00CA1894">
        <w:rPr>
          <w:rFonts w:cstheme="minorHAnsi"/>
          <w:b/>
          <w:bCs/>
          <w:sz w:val="24"/>
          <w:szCs w:val="24"/>
          <w:lang w:val="el-GR"/>
        </w:rPr>
        <w:t xml:space="preserve"> </w:t>
      </w:r>
      <w:r>
        <w:rPr>
          <w:rFonts w:cstheme="minorHAnsi"/>
          <w:b/>
          <w:bCs/>
          <w:sz w:val="24"/>
          <w:szCs w:val="24"/>
          <w:lang w:val="el-GR"/>
        </w:rPr>
        <w:t>και</w:t>
      </w:r>
      <w:r w:rsidRPr="00CA1894">
        <w:rPr>
          <w:rFonts w:cstheme="minorHAnsi"/>
          <w:b/>
          <w:bCs/>
          <w:sz w:val="24"/>
          <w:szCs w:val="24"/>
          <w:lang w:val="el-GR"/>
        </w:rPr>
        <w:t xml:space="preserve"> (</w:t>
      </w:r>
      <w:r w:rsidRPr="004E251E">
        <w:rPr>
          <w:rFonts w:cstheme="minorHAnsi"/>
          <w:b/>
          <w:bCs/>
          <w:sz w:val="24"/>
          <w:szCs w:val="24"/>
        </w:rPr>
        <w:t>ii</w:t>
      </w:r>
      <w:r w:rsidRPr="00CA1894">
        <w:rPr>
          <w:rFonts w:cstheme="minorHAnsi"/>
          <w:b/>
          <w:bCs/>
          <w:sz w:val="24"/>
          <w:szCs w:val="24"/>
          <w:lang w:val="el-GR"/>
        </w:rPr>
        <w:t xml:space="preserve">) </w:t>
      </w:r>
      <w:r w:rsidR="009B51FD">
        <w:rPr>
          <w:rFonts w:cstheme="minorHAnsi"/>
          <w:b/>
          <w:bCs/>
          <w:sz w:val="24"/>
          <w:szCs w:val="24"/>
          <w:lang w:val="el-GR"/>
        </w:rPr>
        <w:t xml:space="preserve">εγκαθίδρυση </w:t>
      </w:r>
      <w:r>
        <w:rPr>
          <w:rFonts w:cstheme="minorHAnsi"/>
          <w:b/>
          <w:bCs/>
          <w:sz w:val="24"/>
          <w:szCs w:val="24"/>
          <w:lang w:val="el-GR"/>
        </w:rPr>
        <w:t>ειδική</w:t>
      </w:r>
      <w:r w:rsidR="009B51FD">
        <w:rPr>
          <w:rFonts w:cstheme="minorHAnsi"/>
          <w:b/>
          <w:bCs/>
          <w:sz w:val="24"/>
          <w:szCs w:val="24"/>
          <w:lang w:val="el-GR"/>
        </w:rPr>
        <w:t>ς</w:t>
      </w:r>
      <w:r>
        <w:rPr>
          <w:rFonts w:cstheme="minorHAnsi"/>
          <w:b/>
          <w:bCs/>
          <w:sz w:val="24"/>
          <w:szCs w:val="24"/>
          <w:lang w:val="el-GR"/>
        </w:rPr>
        <w:t xml:space="preserve"> εμπιστευτική</w:t>
      </w:r>
      <w:r w:rsidR="009B51FD">
        <w:rPr>
          <w:rFonts w:cstheme="minorHAnsi"/>
          <w:b/>
          <w:bCs/>
          <w:sz w:val="24"/>
          <w:szCs w:val="24"/>
          <w:lang w:val="el-GR"/>
        </w:rPr>
        <w:t>ς</w:t>
      </w:r>
      <w:r>
        <w:rPr>
          <w:rFonts w:cstheme="minorHAnsi"/>
          <w:b/>
          <w:bCs/>
          <w:sz w:val="24"/>
          <w:szCs w:val="24"/>
          <w:lang w:val="el-GR"/>
        </w:rPr>
        <w:t xml:space="preserve"> συμβουλευτική</w:t>
      </w:r>
      <w:r w:rsidR="001F3FD5">
        <w:rPr>
          <w:rFonts w:cstheme="minorHAnsi"/>
          <w:b/>
          <w:bCs/>
          <w:sz w:val="24"/>
          <w:szCs w:val="24"/>
          <w:lang w:val="el-GR"/>
        </w:rPr>
        <w:t>ς</w:t>
      </w:r>
      <w:r>
        <w:rPr>
          <w:rFonts w:cstheme="minorHAnsi"/>
          <w:b/>
          <w:bCs/>
          <w:sz w:val="24"/>
          <w:szCs w:val="24"/>
          <w:lang w:val="el-GR"/>
        </w:rPr>
        <w:t xml:space="preserve"> για παροχή συμβουλής σε άτομα που</w:t>
      </w:r>
      <w:r w:rsidRPr="00CA1894">
        <w:rPr>
          <w:rFonts w:cstheme="minorHAnsi"/>
          <w:b/>
          <w:bCs/>
          <w:sz w:val="24"/>
          <w:szCs w:val="24"/>
          <w:lang w:val="el-GR"/>
        </w:rPr>
        <w:t xml:space="preserve"> </w:t>
      </w:r>
      <w:r>
        <w:rPr>
          <w:rFonts w:cstheme="minorHAnsi"/>
          <w:b/>
          <w:bCs/>
          <w:sz w:val="24"/>
          <w:szCs w:val="24"/>
          <w:lang w:val="el-GR"/>
        </w:rPr>
        <w:t>ασκούν</w:t>
      </w:r>
      <w:r w:rsidRPr="00CA1894">
        <w:rPr>
          <w:rFonts w:cstheme="minorHAnsi"/>
          <w:b/>
          <w:bCs/>
          <w:sz w:val="24"/>
          <w:szCs w:val="24"/>
          <w:lang w:val="el-GR"/>
        </w:rPr>
        <w:t xml:space="preserve"> </w:t>
      </w:r>
      <w:r>
        <w:rPr>
          <w:rFonts w:cstheme="minorHAnsi"/>
          <w:b/>
          <w:bCs/>
          <w:sz w:val="24"/>
          <w:szCs w:val="24"/>
          <w:lang w:val="el-GR"/>
        </w:rPr>
        <w:t xml:space="preserve">ανώτατα εκτελεστικά καθήκοντα </w:t>
      </w:r>
      <w:r>
        <w:rPr>
          <w:rFonts w:eastAsia="Arial Unicode MS" w:cstheme="minorHAnsi"/>
          <w:b/>
          <w:bCs/>
          <w:sz w:val="24"/>
          <w:szCs w:val="24"/>
          <w:lang w:val="el-GR" w:eastAsia="ar-SA"/>
        </w:rPr>
        <w:t xml:space="preserve">για την ακεραιότητα, τις συγκρούσεις συμφερόντων και την πρόληψη της διαφθοράς </w:t>
      </w:r>
      <w:r w:rsidRPr="005A30C4">
        <w:rPr>
          <w:rFonts w:eastAsia="Arial Unicode MS" w:cstheme="minorHAnsi"/>
          <w:sz w:val="24"/>
          <w:szCs w:val="24"/>
          <w:lang w:val="el-GR" w:eastAsia="ar-SA"/>
        </w:rPr>
        <w:t>(</w:t>
      </w:r>
      <w:r>
        <w:rPr>
          <w:rFonts w:eastAsia="Arial Unicode MS" w:cstheme="minorHAnsi"/>
          <w:sz w:val="24"/>
          <w:szCs w:val="24"/>
          <w:lang w:val="el-GR" w:eastAsia="ar-SA"/>
        </w:rPr>
        <w:t xml:space="preserve">παράγραφος </w:t>
      </w:r>
      <w:r w:rsidRPr="005A30C4">
        <w:rPr>
          <w:rFonts w:eastAsia="Arial Unicode MS" w:cstheme="minorHAnsi"/>
          <w:sz w:val="24"/>
          <w:szCs w:val="24"/>
          <w:lang w:val="el-GR" w:eastAsia="ar-SA"/>
        </w:rPr>
        <w:t>63)</w:t>
      </w:r>
      <w:r>
        <w:rPr>
          <w:rFonts w:eastAsia="Arial Unicode MS" w:cstheme="minorHAnsi"/>
          <w:b/>
          <w:bCs/>
          <w:sz w:val="24"/>
          <w:szCs w:val="24"/>
          <w:lang w:val="el-GR" w:eastAsia="ar-SA"/>
        </w:rPr>
        <w:t>,</w:t>
      </w:r>
    </w:p>
    <w:p w14:paraId="28E72219" w14:textId="77777777" w:rsidR="00EC7CD3" w:rsidRPr="005A30C4" w:rsidRDefault="00EC7CD3" w:rsidP="00EC7CD3">
      <w:pPr>
        <w:rPr>
          <w:b/>
          <w:sz w:val="24"/>
          <w:szCs w:val="24"/>
          <w:lang w:val="el-GR"/>
        </w:rPr>
      </w:pPr>
    </w:p>
    <w:p w14:paraId="71B5FD69" w14:textId="52C4E392" w:rsidR="0046534C" w:rsidRPr="002B7C4B" w:rsidRDefault="0046534C" w:rsidP="002B7C4B">
      <w:pPr>
        <w:pStyle w:val="ListParagraph"/>
        <w:rPr>
          <w:b/>
          <w:sz w:val="24"/>
          <w:szCs w:val="24"/>
          <w:lang w:val="el-GR"/>
        </w:rPr>
      </w:pPr>
    </w:p>
    <w:p w14:paraId="41786BDB" w14:textId="278BD006" w:rsidR="0046534C" w:rsidRPr="00134D25" w:rsidRDefault="0046534C" w:rsidP="0046534C">
      <w:pPr>
        <w:numPr>
          <w:ilvl w:val="0"/>
          <w:numId w:val="2"/>
        </w:numPr>
        <w:tabs>
          <w:tab w:val="left" w:pos="709"/>
        </w:tabs>
        <w:rPr>
          <w:rFonts w:cstheme="minorHAnsi"/>
          <w:sz w:val="24"/>
          <w:szCs w:val="24"/>
          <w:lang w:val="el-GR"/>
        </w:rPr>
      </w:pPr>
      <w:r w:rsidRPr="00134D25">
        <w:rPr>
          <w:rFonts w:cstheme="minorHAnsi"/>
          <w:b/>
          <w:bCs/>
          <w:sz w:val="24"/>
          <w:szCs w:val="24"/>
          <w:lang w:val="el-GR"/>
        </w:rPr>
        <w:lastRenderedPageBreak/>
        <w:t>(</w:t>
      </w:r>
      <w:proofErr w:type="spellStart"/>
      <w:r w:rsidRPr="00B95983">
        <w:rPr>
          <w:rFonts w:cstheme="minorHAnsi"/>
          <w:b/>
          <w:bCs/>
          <w:sz w:val="24"/>
          <w:szCs w:val="24"/>
        </w:rPr>
        <w:t>i</w:t>
      </w:r>
      <w:proofErr w:type="spellEnd"/>
      <w:r w:rsidRPr="00134D25">
        <w:rPr>
          <w:rFonts w:cstheme="minorHAnsi"/>
          <w:b/>
          <w:bCs/>
          <w:sz w:val="24"/>
          <w:szCs w:val="24"/>
          <w:lang w:val="el-GR"/>
        </w:rPr>
        <w:t>)</w:t>
      </w:r>
      <w:r w:rsidR="009B51FD">
        <w:rPr>
          <w:rFonts w:cstheme="minorHAnsi"/>
          <w:b/>
          <w:bCs/>
          <w:sz w:val="24"/>
          <w:szCs w:val="24"/>
          <w:lang w:val="el-GR"/>
        </w:rPr>
        <w:t xml:space="preserve"> </w:t>
      </w:r>
      <w:r w:rsidR="009B51FD">
        <w:rPr>
          <w:rFonts w:ascii="Calibri" w:hAnsi="Calibri" w:cs="Calibri"/>
          <w:b/>
          <w:bCs/>
          <w:sz w:val="24"/>
          <w:szCs w:val="24"/>
          <w:lang w:val="el-GR"/>
        </w:rPr>
        <w:t>Όπως</w:t>
      </w:r>
      <w:r w:rsidRPr="00134D25">
        <w:rPr>
          <w:rFonts w:cstheme="minorHAnsi"/>
          <w:b/>
          <w:bCs/>
          <w:sz w:val="24"/>
          <w:szCs w:val="24"/>
          <w:lang w:val="el-GR"/>
        </w:rPr>
        <w:t xml:space="preserve"> </w:t>
      </w:r>
      <w:r>
        <w:rPr>
          <w:rFonts w:cstheme="minorHAnsi"/>
          <w:b/>
          <w:bCs/>
          <w:sz w:val="24"/>
          <w:szCs w:val="24"/>
          <w:lang w:val="el-GR"/>
        </w:rPr>
        <w:t>η</w:t>
      </w:r>
      <w:r w:rsidRPr="00134D25">
        <w:rPr>
          <w:rFonts w:cstheme="minorHAnsi"/>
          <w:b/>
          <w:bCs/>
          <w:sz w:val="24"/>
          <w:szCs w:val="24"/>
          <w:lang w:val="el-GR"/>
        </w:rPr>
        <w:t xml:space="preserve"> </w:t>
      </w:r>
      <w:r>
        <w:rPr>
          <w:rFonts w:cstheme="minorHAnsi"/>
          <w:b/>
          <w:bCs/>
          <w:sz w:val="24"/>
          <w:szCs w:val="24"/>
          <w:lang w:val="el-GR"/>
        </w:rPr>
        <w:t>πρόσβαση</w:t>
      </w:r>
      <w:r w:rsidRPr="00134D25">
        <w:rPr>
          <w:rFonts w:cstheme="minorHAnsi"/>
          <w:b/>
          <w:bCs/>
          <w:sz w:val="24"/>
          <w:szCs w:val="24"/>
          <w:lang w:val="el-GR"/>
        </w:rPr>
        <w:t xml:space="preserve"> </w:t>
      </w:r>
      <w:r>
        <w:rPr>
          <w:rFonts w:cstheme="minorHAnsi"/>
          <w:b/>
          <w:bCs/>
          <w:sz w:val="24"/>
          <w:szCs w:val="24"/>
          <w:lang w:val="el-GR"/>
        </w:rPr>
        <w:t>σε</w:t>
      </w:r>
      <w:r w:rsidRPr="00134D25">
        <w:rPr>
          <w:rFonts w:cstheme="minorHAnsi"/>
          <w:b/>
          <w:bCs/>
          <w:sz w:val="24"/>
          <w:szCs w:val="24"/>
          <w:lang w:val="el-GR"/>
        </w:rPr>
        <w:t xml:space="preserve"> </w:t>
      </w:r>
      <w:r>
        <w:rPr>
          <w:rFonts w:cstheme="minorHAnsi"/>
          <w:b/>
          <w:bCs/>
          <w:sz w:val="24"/>
          <w:szCs w:val="24"/>
          <w:lang w:val="el-GR"/>
        </w:rPr>
        <w:t>πληροφορίες</w:t>
      </w:r>
      <w:r w:rsidRPr="00134D25">
        <w:rPr>
          <w:rFonts w:cstheme="minorHAnsi"/>
          <w:b/>
          <w:bCs/>
          <w:sz w:val="24"/>
          <w:szCs w:val="24"/>
          <w:lang w:val="el-GR"/>
        </w:rPr>
        <w:t xml:space="preserve"> </w:t>
      </w:r>
      <w:r>
        <w:rPr>
          <w:rFonts w:cstheme="minorHAnsi"/>
          <w:b/>
          <w:bCs/>
          <w:sz w:val="24"/>
          <w:szCs w:val="24"/>
          <w:lang w:val="el-GR"/>
        </w:rPr>
        <w:t>να</w:t>
      </w:r>
      <w:r w:rsidRPr="00134D25">
        <w:rPr>
          <w:rFonts w:cstheme="minorHAnsi"/>
          <w:b/>
          <w:bCs/>
          <w:sz w:val="24"/>
          <w:szCs w:val="24"/>
          <w:lang w:val="el-GR"/>
        </w:rPr>
        <w:t xml:space="preserve"> </w:t>
      </w:r>
      <w:r>
        <w:rPr>
          <w:rFonts w:cstheme="minorHAnsi"/>
          <w:b/>
          <w:bCs/>
          <w:sz w:val="24"/>
          <w:szCs w:val="24"/>
          <w:lang w:val="el-GR"/>
        </w:rPr>
        <w:t>είναι αντικείμενο μιας</w:t>
      </w:r>
      <w:r w:rsidRPr="00134D25">
        <w:rPr>
          <w:rFonts w:cstheme="minorHAnsi"/>
          <w:b/>
          <w:bCs/>
          <w:sz w:val="24"/>
          <w:szCs w:val="24"/>
          <w:lang w:val="el-GR"/>
        </w:rPr>
        <w:t xml:space="preserve"> </w:t>
      </w:r>
      <w:r>
        <w:rPr>
          <w:rFonts w:cstheme="minorHAnsi"/>
          <w:b/>
          <w:bCs/>
          <w:sz w:val="24"/>
          <w:szCs w:val="24"/>
          <w:lang w:val="el-GR"/>
        </w:rPr>
        <w:t>ανεξάρτητης</w:t>
      </w:r>
      <w:r w:rsidRPr="00134D25">
        <w:rPr>
          <w:rFonts w:cstheme="minorHAnsi"/>
          <w:b/>
          <w:bCs/>
          <w:sz w:val="24"/>
          <w:szCs w:val="24"/>
          <w:lang w:val="el-GR"/>
        </w:rPr>
        <w:t xml:space="preserve"> </w:t>
      </w:r>
      <w:r>
        <w:rPr>
          <w:rFonts w:cstheme="minorHAnsi"/>
          <w:b/>
          <w:bCs/>
          <w:sz w:val="24"/>
          <w:szCs w:val="24"/>
          <w:lang w:val="el-GR"/>
        </w:rPr>
        <w:t>και</w:t>
      </w:r>
      <w:r w:rsidRPr="00134D25">
        <w:rPr>
          <w:rFonts w:cstheme="minorHAnsi"/>
          <w:b/>
          <w:bCs/>
          <w:sz w:val="24"/>
          <w:szCs w:val="24"/>
          <w:lang w:val="el-GR"/>
        </w:rPr>
        <w:t xml:space="preserve"> </w:t>
      </w:r>
      <w:r>
        <w:rPr>
          <w:rFonts w:cstheme="minorHAnsi"/>
          <w:b/>
          <w:bCs/>
          <w:sz w:val="24"/>
          <w:szCs w:val="24"/>
          <w:lang w:val="el-GR"/>
        </w:rPr>
        <w:t>διεξοδικής</w:t>
      </w:r>
      <w:r w:rsidRPr="00134D25">
        <w:rPr>
          <w:rFonts w:cstheme="minorHAnsi"/>
          <w:b/>
          <w:bCs/>
          <w:sz w:val="24"/>
          <w:szCs w:val="24"/>
          <w:lang w:val="el-GR"/>
        </w:rPr>
        <w:t xml:space="preserve"> </w:t>
      </w:r>
      <w:r>
        <w:rPr>
          <w:rFonts w:cstheme="minorHAnsi"/>
          <w:b/>
          <w:bCs/>
          <w:sz w:val="24"/>
          <w:szCs w:val="24"/>
          <w:lang w:val="el-GR"/>
        </w:rPr>
        <w:t>ανάλυση</w:t>
      </w:r>
      <w:r w:rsidR="0077336D">
        <w:rPr>
          <w:rFonts w:cstheme="minorHAnsi"/>
          <w:b/>
          <w:bCs/>
          <w:sz w:val="24"/>
          <w:szCs w:val="24"/>
          <w:lang w:val="el-GR"/>
        </w:rPr>
        <w:t>ς</w:t>
      </w:r>
      <w:r w:rsidRPr="00134D25">
        <w:rPr>
          <w:rFonts w:cstheme="minorHAnsi"/>
          <w:b/>
          <w:bCs/>
          <w:sz w:val="24"/>
          <w:szCs w:val="24"/>
          <w:lang w:val="el-GR"/>
        </w:rPr>
        <w:t xml:space="preserve">, </w:t>
      </w:r>
      <w:r>
        <w:rPr>
          <w:rFonts w:cstheme="minorHAnsi"/>
          <w:b/>
          <w:bCs/>
          <w:sz w:val="24"/>
          <w:szCs w:val="24"/>
          <w:lang w:val="el-GR"/>
        </w:rPr>
        <w:t>με</w:t>
      </w:r>
      <w:r w:rsidRPr="00134D25">
        <w:rPr>
          <w:rFonts w:cstheme="minorHAnsi"/>
          <w:b/>
          <w:bCs/>
          <w:sz w:val="24"/>
          <w:szCs w:val="24"/>
          <w:lang w:val="el-GR"/>
        </w:rPr>
        <w:t xml:space="preserve"> </w:t>
      </w:r>
      <w:r>
        <w:rPr>
          <w:rFonts w:cstheme="minorHAnsi"/>
          <w:b/>
          <w:bCs/>
          <w:sz w:val="24"/>
          <w:szCs w:val="24"/>
          <w:lang w:val="el-GR"/>
        </w:rPr>
        <w:t>ιδιαίτερη</w:t>
      </w:r>
      <w:r w:rsidRPr="00134D25">
        <w:rPr>
          <w:rFonts w:cstheme="minorHAnsi"/>
          <w:b/>
          <w:bCs/>
          <w:sz w:val="24"/>
          <w:szCs w:val="24"/>
          <w:lang w:val="el-GR"/>
        </w:rPr>
        <w:t xml:space="preserve"> </w:t>
      </w:r>
      <w:r>
        <w:rPr>
          <w:rFonts w:cstheme="minorHAnsi"/>
          <w:b/>
          <w:bCs/>
          <w:sz w:val="24"/>
          <w:szCs w:val="24"/>
          <w:lang w:val="el-GR"/>
        </w:rPr>
        <w:t>εστίαση</w:t>
      </w:r>
      <w:r w:rsidRPr="00134D25">
        <w:rPr>
          <w:rFonts w:cstheme="minorHAnsi"/>
          <w:b/>
          <w:bCs/>
          <w:sz w:val="24"/>
          <w:szCs w:val="24"/>
          <w:lang w:val="el-GR"/>
        </w:rPr>
        <w:t xml:space="preserve"> </w:t>
      </w:r>
      <w:r>
        <w:rPr>
          <w:rFonts w:cstheme="minorHAnsi"/>
          <w:b/>
          <w:bCs/>
          <w:sz w:val="24"/>
          <w:szCs w:val="24"/>
          <w:lang w:val="el-GR"/>
        </w:rPr>
        <w:t>στον</w:t>
      </w:r>
      <w:r w:rsidRPr="00134D25">
        <w:rPr>
          <w:rFonts w:cstheme="minorHAnsi"/>
          <w:b/>
          <w:bCs/>
          <w:sz w:val="24"/>
          <w:szCs w:val="24"/>
          <w:lang w:val="el-GR"/>
        </w:rPr>
        <w:t xml:space="preserve"> </w:t>
      </w:r>
      <w:r>
        <w:rPr>
          <w:rFonts w:cstheme="minorHAnsi"/>
          <w:b/>
          <w:bCs/>
          <w:sz w:val="24"/>
          <w:szCs w:val="24"/>
          <w:lang w:val="el-GR"/>
        </w:rPr>
        <w:t>σκοπό</w:t>
      </w:r>
      <w:r w:rsidRPr="00134D25">
        <w:rPr>
          <w:rFonts w:cstheme="minorHAnsi"/>
          <w:b/>
          <w:bCs/>
          <w:sz w:val="24"/>
          <w:szCs w:val="24"/>
          <w:lang w:val="el-GR"/>
        </w:rPr>
        <w:t xml:space="preserve"> </w:t>
      </w:r>
      <w:r>
        <w:rPr>
          <w:rFonts w:cstheme="minorHAnsi"/>
          <w:b/>
          <w:bCs/>
          <w:sz w:val="24"/>
          <w:szCs w:val="24"/>
          <w:lang w:val="el-GR"/>
        </w:rPr>
        <w:t>του</w:t>
      </w:r>
      <w:r w:rsidRPr="00134D25">
        <w:rPr>
          <w:rFonts w:cstheme="minorHAnsi"/>
          <w:b/>
          <w:bCs/>
          <w:sz w:val="24"/>
          <w:szCs w:val="24"/>
          <w:lang w:val="el-GR"/>
        </w:rPr>
        <w:t xml:space="preserve"> </w:t>
      </w:r>
      <w:r>
        <w:rPr>
          <w:rFonts w:cstheme="minorHAnsi"/>
          <w:b/>
          <w:bCs/>
          <w:sz w:val="24"/>
          <w:szCs w:val="24"/>
          <w:lang w:val="el-GR"/>
        </w:rPr>
        <w:t>Νόμου</w:t>
      </w:r>
      <w:r w:rsidRPr="00134D25">
        <w:rPr>
          <w:rFonts w:cstheme="minorHAnsi"/>
          <w:b/>
          <w:bCs/>
          <w:sz w:val="24"/>
          <w:szCs w:val="24"/>
          <w:lang w:val="el-GR"/>
        </w:rPr>
        <w:t xml:space="preserve"> 184(</w:t>
      </w:r>
      <w:r>
        <w:rPr>
          <w:rFonts w:cstheme="minorHAnsi"/>
          <w:b/>
          <w:bCs/>
          <w:sz w:val="24"/>
          <w:szCs w:val="24"/>
        </w:rPr>
        <w:t>I</w:t>
      </w:r>
      <w:r w:rsidRPr="00134D25">
        <w:rPr>
          <w:rFonts w:cstheme="minorHAnsi"/>
          <w:b/>
          <w:bCs/>
          <w:sz w:val="24"/>
          <w:szCs w:val="24"/>
          <w:lang w:val="el-GR"/>
        </w:rPr>
        <w:t xml:space="preserve">)2017, </w:t>
      </w:r>
      <w:r>
        <w:rPr>
          <w:rFonts w:cstheme="minorHAnsi"/>
          <w:b/>
          <w:bCs/>
          <w:sz w:val="24"/>
          <w:szCs w:val="24"/>
          <w:lang w:val="el-GR"/>
        </w:rPr>
        <w:t>τις</w:t>
      </w:r>
      <w:r w:rsidRPr="00134D25">
        <w:rPr>
          <w:rFonts w:cstheme="minorHAnsi"/>
          <w:b/>
          <w:bCs/>
          <w:sz w:val="24"/>
          <w:szCs w:val="24"/>
          <w:lang w:val="el-GR"/>
        </w:rPr>
        <w:t xml:space="preserve"> </w:t>
      </w:r>
      <w:r>
        <w:rPr>
          <w:rFonts w:cstheme="minorHAnsi"/>
          <w:b/>
          <w:bCs/>
          <w:sz w:val="24"/>
          <w:szCs w:val="24"/>
          <w:lang w:val="el-GR"/>
        </w:rPr>
        <w:t>εξαιρέσεις</w:t>
      </w:r>
      <w:r w:rsidRPr="00134D25">
        <w:rPr>
          <w:rFonts w:cstheme="minorHAnsi"/>
          <w:b/>
          <w:bCs/>
          <w:sz w:val="24"/>
          <w:szCs w:val="24"/>
          <w:lang w:val="el-GR"/>
        </w:rPr>
        <w:t xml:space="preserve"> </w:t>
      </w:r>
      <w:r>
        <w:rPr>
          <w:rFonts w:cstheme="minorHAnsi"/>
          <w:b/>
          <w:bCs/>
          <w:sz w:val="24"/>
          <w:szCs w:val="24"/>
          <w:lang w:val="el-GR"/>
        </w:rPr>
        <w:t>στο</w:t>
      </w:r>
      <w:r w:rsidRPr="00134D25">
        <w:rPr>
          <w:rFonts w:cstheme="minorHAnsi"/>
          <w:b/>
          <w:bCs/>
          <w:sz w:val="24"/>
          <w:szCs w:val="24"/>
          <w:lang w:val="el-GR"/>
        </w:rPr>
        <w:t xml:space="preserve"> </w:t>
      </w:r>
      <w:r>
        <w:rPr>
          <w:rFonts w:cstheme="minorHAnsi"/>
          <w:b/>
          <w:bCs/>
          <w:sz w:val="24"/>
          <w:szCs w:val="24"/>
          <w:lang w:val="el-GR"/>
        </w:rPr>
        <w:t>δικαίωμα</w:t>
      </w:r>
      <w:r w:rsidRPr="00134D25">
        <w:rPr>
          <w:rFonts w:cstheme="minorHAnsi"/>
          <w:b/>
          <w:bCs/>
          <w:sz w:val="24"/>
          <w:szCs w:val="24"/>
          <w:lang w:val="el-GR"/>
        </w:rPr>
        <w:t xml:space="preserve"> </w:t>
      </w:r>
      <w:r>
        <w:rPr>
          <w:rFonts w:cstheme="minorHAnsi"/>
          <w:b/>
          <w:bCs/>
          <w:sz w:val="24"/>
          <w:szCs w:val="24"/>
          <w:lang w:val="el-GR"/>
        </w:rPr>
        <w:t>στην</w:t>
      </w:r>
      <w:r w:rsidRPr="00134D25">
        <w:rPr>
          <w:rFonts w:cstheme="minorHAnsi"/>
          <w:b/>
          <w:bCs/>
          <w:sz w:val="24"/>
          <w:szCs w:val="24"/>
          <w:lang w:val="el-GR"/>
        </w:rPr>
        <w:t xml:space="preserve"> </w:t>
      </w:r>
      <w:r>
        <w:rPr>
          <w:rFonts w:cstheme="minorHAnsi"/>
          <w:b/>
          <w:bCs/>
          <w:sz w:val="24"/>
          <w:szCs w:val="24"/>
          <w:lang w:val="el-GR"/>
        </w:rPr>
        <w:t>πρόσβαση</w:t>
      </w:r>
      <w:r w:rsidRPr="00134D25">
        <w:rPr>
          <w:rFonts w:cstheme="minorHAnsi"/>
          <w:b/>
          <w:bCs/>
          <w:sz w:val="24"/>
          <w:szCs w:val="24"/>
          <w:lang w:val="el-GR"/>
        </w:rPr>
        <w:t xml:space="preserve"> </w:t>
      </w:r>
      <w:r>
        <w:rPr>
          <w:rFonts w:cstheme="minorHAnsi"/>
          <w:b/>
          <w:bCs/>
          <w:sz w:val="24"/>
          <w:szCs w:val="24"/>
          <w:lang w:val="el-GR"/>
        </w:rPr>
        <w:t>σε</w:t>
      </w:r>
      <w:r w:rsidRPr="00134D25">
        <w:rPr>
          <w:rFonts w:cstheme="minorHAnsi"/>
          <w:b/>
          <w:bCs/>
          <w:sz w:val="24"/>
          <w:szCs w:val="24"/>
          <w:lang w:val="el-GR"/>
        </w:rPr>
        <w:t xml:space="preserve"> </w:t>
      </w:r>
      <w:r>
        <w:rPr>
          <w:rFonts w:cstheme="minorHAnsi"/>
          <w:b/>
          <w:bCs/>
          <w:sz w:val="24"/>
          <w:szCs w:val="24"/>
          <w:lang w:val="el-GR"/>
        </w:rPr>
        <w:t>πληροφορίες</w:t>
      </w:r>
      <w:r w:rsidRPr="00134D25">
        <w:rPr>
          <w:rFonts w:cstheme="minorHAnsi"/>
          <w:b/>
          <w:bCs/>
          <w:sz w:val="24"/>
          <w:szCs w:val="24"/>
          <w:lang w:val="el-GR"/>
        </w:rPr>
        <w:t xml:space="preserve"> </w:t>
      </w:r>
      <w:r>
        <w:rPr>
          <w:rFonts w:cstheme="minorHAnsi"/>
          <w:b/>
          <w:bCs/>
          <w:sz w:val="24"/>
          <w:szCs w:val="24"/>
          <w:lang w:val="el-GR"/>
        </w:rPr>
        <w:t>και</w:t>
      </w:r>
      <w:r w:rsidRPr="00134D25">
        <w:rPr>
          <w:rFonts w:cstheme="minorHAnsi"/>
          <w:b/>
          <w:bCs/>
          <w:sz w:val="24"/>
          <w:szCs w:val="24"/>
          <w:lang w:val="el-GR"/>
        </w:rPr>
        <w:t xml:space="preserve"> </w:t>
      </w:r>
      <w:r>
        <w:rPr>
          <w:rFonts w:cstheme="minorHAnsi"/>
          <w:b/>
          <w:bCs/>
          <w:sz w:val="24"/>
          <w:szCs w:val="24"/>
          <w:lang w:val="el-GR"/>
        </w:rPr>
        <w:t>την</w:t>
      </w:r>
      <w:r w:rsidRPr="00134D25">
        <w:rPr>
          <w:rFonts w:cstheme="minorHAnsi"/>
          <w:b/>
          <w:bCs/>
          <w:sz w:val="24"/>
          <w:szCs w:val="24"/>
          <w:lang w:val="el-GR"/>
        </w:rPr>
        <w:t xml:space="preserve"> </w:t>
      </w:r>
      <w:r>
        <w:rPr>
          <w:rFonts w:cstheme="minorHAnsi"/>
          <w:b/>
          <w:bCs/>
          <w:sz w:val="24"/>
          <w:szCs w:val="24"/>
          <w:lang w:val="el-GR"/>
        </w:rPr>
        <w:t>εφαρμογή</w:t>
      </w:r>
      <w:r w:rsidRPr="00134D25">
        <w:rPr>
          <w:rFonts w:cstheme="minorHAnsi"/>
          <w:b/>
          <w:bCs/>
          <w:sz w:val="24"/>
          <w:szCs w:val="24"/>
          <w:lang w:val="el-GR"/>
        </w:rPr>
        <w:t xml:space="preserve"> </w:t>
      </w:r>
      <w:r>
        <w:rPr>
          <w:rFonts w:cstheme="minorHAnsi"/>
          <w:b/>
          <w:bCs/>
          <w:sz w:val="24"/>
          <w:szCs w:val="24"/>
          <w:lang w:val="el-GR"/>
        </w:rPr>
        <w:t>αυτών</w:t>
      </w:r>
      <w:r w:rsidRPr="00134D25">
        <w:rPr>
          <w:rFonts w:cstheme="minorHAnsi"/>
          <w:b/>
          <w:bCs/>
          <w:sz w:val="24"/>
          <w:szCs w:val="24"/>
          <w:lang w:val="el-GR"/>
        </w:rPr>
        <w:t xml:space="preserve"> </w:t>
      </w:r>
      <w:r>
        <w:rPr>
          <w:rFonts w:cstheme="minorHAnsi"/>
          <w:b/>
          <w:bCs/>
          <w:sz w:val="24"/>
          <w:szCs w:val="24"/>
          <w:lang w:val="el-GR"/>
        </w:rPr>
        <w:t>των</w:t>
      </w:r>
      <w:r w:rsidRPr="00134D25">
        <w:rPr>
          <w:rFonts w:cstheme="minorHAnsi"/>
          <w:b/>
          <w:bCs/>
          <w:sz w:val="24"/>
          <w:szCs w:val="24"/>
          <w:lang w:val="el-GR"/>
        </w:rPr>
        <w:t xml:space="preserve"> </w:t>
      </w:r>
      <w:r>
        <w:rPr>
          <w:rFonts w:cstheme="minorHAnsi"/>
          <w:b/>
          <w:bCs/>
          <w:sz w:val="24"/>
          <w:szCs w:val="24"/>
          <w:lang w:val="el-GR"/>
        </w:rPr>
        <w:t>εξαιρέσεων</w:t>
      </w:r>
      <w:r w:rsidRPr="00134D25">
        <w:rPr>
          <w:rFonts w:cstheme="minorHAnsi"/>
          <w:b/>
          <w:bCs/>
          <w:sz w:val="24"/>
          <w:szCs w:val="24"/>
          <w:lang w:val="el-GR"/>
        </w:rPr>
        <w:t xml:space="preserve"> </w:t>
      </w:r>
      <w:r>
        <w:rPr>
          <w:rFonts w:cstheme="minorHAnsi"/>
          <w:b/>
          <w:bCs/>
          <w:sz w:val="24"/>
          <w:szCs w:val="24"/>
          <w:lang w:val="el-GR"/>
        </w:rPr>
        <w:t>στην</w:t>
      </w:r>
      <w:r w:rsidRPr="00134D25">
        <w:rPr>
          <w:rFonts w:cstheme="minorHAnsi"/>
          <w:b/>
          <w:bCs/>
          <w:sz w:val="24"/>
          <w:szCs w:val="24"/>
          <w:lang w:val="el-GR"/>
        </w:rPr>
        <w:t xml:space="preserve"> </w:t>
      </w:r>
      <w:r>
        <w:rPr>
          <w:rFonts w:cstheme="minorHAnsi"/>
          <w:b/>
          <w:bCs/>
          <w:sz w:val="24"/>
          <w:szCs w:val="24"/>
          <w:lang w:val="el-GR"/>
        </w:rPr>
        <w:t>πράξη</w:t>
      </w:r>
      <w:r w:rsidRPr="00134D25">
        <w:rPr>
          <w:rFonts w:cstheme="minorHAnsi"/>
          <w:b/>
          <w:bCs/>
          <w:sz w:val="24"/>
          <w:szCs w:val="24"/>
          <w:lang w:val="el-GR"/>
        </w:rPr>
        <w:t xml:space="preserve">, </w:t>
      </w:r>
      <w:r>
        <w:rPr>
          <w:rFonts w:cstheme="minorHAnsi"/>
          <w:b/>
          <w:bCs/>
          <w:sz w:val="24"/>
          <w:szCs w:val="24"/>
          <w:lang w:val="el-GR"/>
        </w:rPr>
        <w:t>τις εφαρμόσιμες προθεσμίες</w:t>
      </w:r>
      <w:r w:rsidRPr="00134D25">
        <w:rPr>
          <w:rFonts w:cstheme="minorHAnsi"/>
          <w:b/>
          <w:bCs/>
          <w:sz w:val="24"/>
          <w:szCs w:val="24"/>
          <w:lang w:val="el-GR"/>
        </w:rPr>
        <w:t xml:space="preserve">, </w:t>
      </w:r>
      <w:r>
        <w:rPr>
          <w:rFonts w:cstheme="minorHAnsi"/>
          <w:b/>
          <w:bCs/>
          <w:sz w:val="24"/>
          <w:szCs w:val="24"/>
          <w:lang w:val="el-GR"/>
        </w:rPr>
        <w:t>στο σύστημα των τελών και την εφαρμογή του νόμου,</w:t>
      </w:r>
      <w:r w:rsidRPr="00134D25">
        <w:rPr>
          <w:rFonts w:cstheme="minorHAnsi"/>
          <w:b/>
          <w:bCs/>
          <w:sz w:val="24"/>
          <w:szCs w:val="24"/>
          <w:lang w:val="el-GR"/>
        </w:rPr>
        <w:t xml:space="preserve"> </w:t>
      </w:r>
      <w:r>
        <w:rPr>
          <w:rFonts w:cstheme="minorHAnsi"/>
          <w:b/>
          <w:bCs/>
          <w:sz w:val="24"/>
          <w:szCs w:val="24"/>
          <w:lang w:val="el-GR"/>
        </w:rPr>
        <w:t>και</w:t>
      </w:r>
      <w:r w:rsidRPr="00134D25">
        <w:rPr>
          <w:rFonts w:cstheme="minorHAnsi"/>
          <w:b/>
          <w:bCs/>
          <w:sz w:val="24"/>
          <w:szCs w:val="24"/>
          <w:lang w:val="el-GR"/>
        </w:rPr>
        <w:t xml:space="preserve"> (</w:t>
      </w:r>
      <w:r w:rsidRPr="00B95983">
        <w:rPr>
          <w:rFonts w:cstheme="minorHAnsi"/>
          <w:b/>
          <w:bCs/>
          <w:sz w:val="24"/>
          <w:szCs w:val="24"/>
        </w:rPr>
        <w:t>ii</w:t>
      </w:r>
      <w:r w:rsidRPr="00134D25">
        <w:rPr>
          <w:rFonts w:cstheme="minorHAnsi"/>
          <w:b/>
          <w:bCs/>
          <w:sz w:val="24"/>
          <w:szCs w:val="24"/>
          <w:lang w:val="el-GR"/>
        </w:rPr>
        <w:t xml:space="preserve">) </w:t>
      </w:r>
      <w:r>
        <w:rPr>
          <w:rFonts w:cstheme="minorHAnsi"/>
          <w:b/>
          <w:bCs/>
          <w:sz w:val="24"/>
          <w:szCs w:val="24"/>
          <w:lang w:val="el-GR"/>
        </w:rPr>
        <w:t>υπό το φως των ευρημάτων της ανάλυσης αυτής</w:t>
      </w:r>
      <w:r w:rsidRPr="00134D25">
        <w:rPr>
          <w:rFonts w:cstheme="minorHAnsi"/>
          <w:b/>
          <w:bCs/>
          <w:sz w:val="24"/>
          <w:szCs w:val="24"/>
          <w:lang w:val="el-GR"/>
        </w:rPr>
        <w:t xml:space="preserve">, </w:t>
      </w:r>
      <w:r>
        <w:rPr>
          <w:rFonts w:cstheme="minorHAnsi"/>
          <w:b/>
          <w:bCs/>
          <w:sz w:val="24"/>
          <w:szCs w:val="24"/>
          <w:lang w:val="el-GR"/>
        </w:rPr>
        <w:t>να ληφθούν επιπρόσθετα μέτρα</w:t>
      </w:r>
      <w:r w:rsidRPr="00134D25">
        <w:rPr>
          <w:rFonts w:cstheme="minorHAnsi"/>
          <w:b/>
          <w:bCs/>
          <w:sz w:val="24"/>
          <w:szCs w:val="24"/>
          <w:lang w:val="el-GR"/>
        </w:rPr>
        <w:t xml:space="preserve"> </w:t>
      </w:r>
      <w:r>
        <w:rPr>
          <w:rFonts w:cstheme="minorHAnsi"/>
          <w:b/>
          <w:bCs/>
          <w:sz w:val="24"/>
          <w:szCs w:val="24"/>
          <w:lang w:val="el-GR"/>
        </w:rPr>
        <w:t>για τη βελτίωση της δημοσίας πρόσβασης σε πληροφορίες και μια κουλτούρα διαφάνειας ανάμεσα στις δημόσιες αρχές</w:t>
      </w:r>
      <w:r w:rsidRPr="00134D25">
        <w:rPr>
          <w:rFonts w:cstheme="minorHAnsi"/>
          <w:b/>
          <w:bCs/>
          <w:sz w:val="24"/>
          <w:szCs w:val="24"/>
          <w:lang w:val="el-GR"/>
        </w:rPr>
        <w:t xml:space="preserve">, </w:t>
      </w:r>
      <w:r>
        <w:rPr>
          <w:rFonts w:cstheme="minorHAnsi"/>
          <w:b/>
          <w:bCs/>
          <w:sz w:val="24"/>
          <w:szCs w:val="24"/>
          <w:lang w:val="el-GR"/>
        </w:rPr>
        <w:t xml:space="preserve">όπου είναι απαραίτητο </w:t>
      </w:r>
      <w:r w:rsidRPr="00A8283A">
        <w:rPr>
          <w:rFonts w:cstheme="minorHAnsi"/>
          <w:sz w:val="24"/>
          <w:szCs w:val="24"/>
          <w:lang w:val="el-GR"/>
        </w:rPr>
        <w:t>(</w:t>
      </w:r>
      <w:r>
        <w:rPr>
          <w:rFonts w:cstheme="minorHAnsi"/>
          <w:sz w:val="24"/>
          <w:szCs w:val="24"/>
          <w:lang w:val="el-GR"/>
        </w:rPr>
        <w:t>παράγραφος</w:t>
      </w:r>
      <w:r w:rsidRPr="00A8283A">
        <w:rPr>
          <w:rFonts w:cstheme="minorHAnsi"/>
          <w:sz w:val="24"/>
          <w:szCs w:val="24"/>
          <w:lang w:val="el-GR"/>
        </w:rPr>
        <w:t xml:space="preserve"> 73)</w:t>
      </w:r>
      <w:r w:rsidRPr="00A8283A">
        <w:rPr>
          <w:rFonts w:eastAsia="Arial Unicode MS" w:cstheme="minorHAnsi"/>
          <w:b/>
          <w:bCs/>
          <w:sz w:val="24"/>
          <w:szCs w:val="24"/>
          <w:lang w:val="el-GR" w:eastAsia="ar-SA"/>
        </w:rPr>
        <w:t>,</w:t>
      </w:r>
    </w:p>
    <w:p w14:paraId="5BC5B921" w14:textId="77777777" w:rsidR="001248EC" w:rsidRPr="00A8283A" w:rsidRDefault="001248EC" w:rsidP="001248EC">
      <w:pPr>
        <w:pStyle w:val="ListParagraph"/>
        <w:rPr>
          <w:b/>
          <w:sz w:val="24"/>
          <w:szCs w:val="24"/>
          <w:lang w:val="el-GR"/>
        </w:rPr>
      </w:pPr>
    </w:p>
    <w:p w14:paraId="242DBC2B" w14:textId="20D60D14" w:rsidR="0046534C" w:rsidRPr="002B4166" w:rsidRDefault="001E3D78" w:rsidP="00220066">
      <w:pPr>
        <w:pStyle w:val="ListParagraph"/>
        <w:numPr>
          <w:ilvl w:val="0"/>
          <w:numId w:val="2"/>
        </w:numPr>
        <w:ind w:left="851" w:hanging="567"/>
        <w:contextualSpacing w:val="0"/>
        <w:rPr>
          <w:b/>
          <w:sz w:val="24"/>
          <w:szCs w:val="24"/>
          <w:lang w:val="el-GR"/>
        </w:rPr>
      </w:pPr>
      <w:r>
        <w:rPr>
          <w:rFonts w:eastAsia="Calibri" w:cstheme="minorHAnsi"/>
          <w:b/>
          <w:bCs/>
          <w:sz w:val="24"/>
          <w:szCs w:val="24"/>
          <w:lang w:val="el-GR" w:bidi="he-IL"/>
        </w:rPr>
        <w:t>Τ</w:t>
      </w:r>
      <w:r w:rsidR="0046534C">
        <w:rPr>
          <w:rFonts w:eastAsia="Calibri" w:cstheme="minorHAnsi"/>
          <w:b/>
          <w:bCs/>
          <w:sz w:val="24"/>
          <w:szCs w:val="24"/>
          <w:lang w:val="el-GR" w:bidi="he-IL"/>
        </w:rPr>
        <w:t>ην</w:t>
      </w:r>
      <w:r w:rsidR="0046534C" w:rsidRPr="0088695A">
        <w:rPr>
          <w:rFonts w:eastAsia="Calibri" w:cstheme="minorHAnsi"/>
          <w:b/>
          <w:bCs/>
          <w:sz w:val="24"/>
          <w:szCs w:val="24"/>
          <w:lang w:val="el-GR" w:bidi="he-IL"/>
        </w:rPr>
        <w:t xml:space="preserve"> </w:t>
      </w:r>
      <w:r w:rsidR="0046534C">
        <w:rPr>
          <w:rFonts w:eastAsia="Calibri" w:cstheme="minorHAnsi"/>
          <w:b/>
          <w:bCs/>
          <w:sz w:val="24"/>
          <w:szCs w:val="24"/>
          <w:lang w:val="el-GR" w:bidi="he-IL"/>
        </w:rPr>
        <w:t>υιοθέτηση</w:t>
      </w:r>
      <w:r w:rsidR="0046534C" w:rsidRPr="0088695A">
        <w:rPr>
          <w:rFonts w:eastAsia="Calibri" w:cstheme="minorHAnsi"/>
          <w:b/>
          <w:bCs/>
          <w:sz w:val="24"/>
          <w:szCs w:val="24"/>
          <w:lang w:val="el-GR" w:bidi="he-IL"/>
        </w:rPr>
        <w:t xml:space="preserve"> </w:t>
      </w:r>
      <w:r w:rsidR="0046534C">
        <w:rPr>
          <w:rFonts w:eastAsia="Calibri" w:cstheme="minorHAnsi"/>
          <w:b/>
          <w:bCs/>
          <w:sz w:val="24"/>
          <w:szCs w:val="24"/>
          <w:lang w:val="el-GR" w:bidi="he-IL"/>
        </w:rPr>
        <w:t>ενός</w:t>
      </w:r>
      <w:r w:rsidR="0046534C" w:rsidRPr="0088695A">
        <w:rPr>
          <w:rFonts w:eastAsia="Calibri" w:cstheme="minorHAnsi"/>
          <w:b/>
          <w:bCs/>
          <w:sz w:val="24"/>
          <w:szCs w:val="24"/>
          <w:lang w:val="el-GR" w:bidi="he-IL"/>
        </w:rPr>
        <w:t xml:space="preserve"> </w:t>
      </w:r>
      <w:r w:rsidR="0046534C">
        <w:rPr>
          <w:rFonts w:eastAsia="Calibri" w:cstheme="minorHAnsi"/>
          <w:b/>
          <w:bCs/>
          <w:sz w:val="24"/>
          <w:szCs w:val="24"/>
          <w:lang w:val="el-GR" w:bidi="he-IL"/>
        </w:rPr>
        <w:t>θεσμικού</w:t>
      </w:r>
      <w:r w:rsidR="0046534C" w:rsidRPr="0088695A">
        <w:rPr>
          <w:rFonts w:eastAsia="Calibri" w:cstheme="minorHAnsi"/>
          <w:b/>
          <w:bCs/>
          <w:sz w:val="24"/>
          <w:szCs w:val="24"/>
          <w:lang w:val="el-GR" w:bidi="he-IL"/>
        </w:rPr>
        <w:t xml:space="preserve"> </w:t>
      </w:r>
      <w:r w:rsidR="0046534C">
        <w:rPr>
          <w:rFonts w:eastAsia="Calibri" w:cstheme="minorHAnsi"/>
          <w:b/>
          <w:bCs/>
          <w:sz w:val="24"/>
          <w:szCs w:val="24"/>
          <w:lang w:val="el-GR" w:bidi="he-IL"/>
        </w:rPr>
        <w:t>μηχανισμού</w:t>
      </w:r>
      <w:r w:rsidR="0046534C" w:rsidRPr="0088695A">
        <w:rPr>
          <w:rFonts w:eastAsia="Calibri" w:cstheme="minorHAnsi"/>
          <w:b/>
          <w:bCs/>
          <w:sz w:val="24"/>
          <w:szCs w:val="24"/>
          <w:lang w:val="el-GR" w:bidi="he-IL"/>
        </w:rPr>
        <w:t xml:space="preserve"> </w:t>
      </w:r>
      <w:r w:rsidR="0046534C">
        <w:rPr>
          <w:rFonts w:eastAsia="Calibri" w:cstheme="minorHAnsi"/>
          <w:b/>
          <w:bCs/>
          <w:sz w:val="24"/>
          <w:szCs w:val="24"/>
          <w:lang w:val="el-GR" w:bidi="he-IL"/>
        </w:rPr>
        <w:t>για</w:t>
      </w:r>
      <w:r w:rsidR="0046534C" w:rsidRPr="0088695A">
        <w:rPr>
          <w:rFonts w:eastAsia="Calibri" w:cstheme="minorHAnsi"/>
          <w:b/>
          <w:bCs/>
          <w:sz w:val="24"/>
          <w:szCs w:val="24"/>
          <w:lang w:val="el-GR" w:bidi="he-IL"/>
        </w:rPr>
        <w:t xml:space="preserve"> </w:t>
      </w:r>
      <w:r w:rsidR="0046534C">
        <w:rPr>
          <w:rFonts w:eastAsia="Calibri" w:cstheme="minorHAnsi"/>
          <w:b/>
          <w:bCs/>
          <w:sz w:val="24"/>
          <w:szCs w:val="24"/>
          <w:lang w:val="el-GR" w:bidi="he-IL"/>
        </w:rPr>
        <w:t>την</w:t>
      </w:r>
      <w:r w:rsidR="0046534C" w:rsidRPr="0088695A">
        <w:rPr>
          <w:rFonts w:eastAsia="Calibri" w:cstheme="minorHAnsi"/>
          <w:b/>
          <w:bCs/>
          <w:sz w:val="24"/>
          <w:szCs w:val="24"/>
          <w:lang w:val="el-GR" w:bidi="he-IL"/>
        </w:rPr>
        <w:t xml:space="preserve"> </w:t>
      </w:r>
      <w:r w:rsidR="0046534C">
        <w:rPr>
          <w:rFonts w:eastAsia="Calibri" w:cstheme="minorHAnsi"/>
          <w:b/>
          <w:bCs/>
          <w:sz w:val="24"/>
          <w:szCs w:val="24"/>
          <w:lang w:val="el-GR" w:bidi="he-IL"/>
        </w:rPr>
        <w:t>παρακολούθηση</w:t>
      </w:r>
      <w:r w:rsidR="0046534C" w:rsidRPr="0088695A">
        <w:rPr>
          <w:rFonts w:eastAsia="Calibri" w:cstheme="minorHAnsi"/>
          <w:b/>
          <w:bCs/>
          <w:sz w:val="24"/>
          <w:szCs w:val="24"/>
          <w:lang w:val="el-GR" w:bidi="he-IL"/>
        </w:rPr>
        <w:t xml:space="preserve"> </w:t>
      </w:r>
      <w:r w:rsidR="0046534C">
        <w:rPr>
          <w:rFonts w:eastAsia="Calibri" w:cstheme="minorHAnsi"/>
          <w:b/>
          <w:bCs/>
          <w:sz w:val="24"/>
          <w:szCs w:val="24"/>
          <w:lang w:val="el-GR" w:bidi="he-IL"/>
        </w:rPr>
        <w:t>της</w:t>
      </w:r>
      <w:r w:rsidR="0046534C" w:rsidRPr="0088695A">
        <w:rPr>
          <w:rFonts w:eastAsia="Calibri" w:cstheme="minorHAnsi"/>
          <w:b/>
          <w:bCs/>
          <w:sz w:val="24"/>
          <w:szCs w:val="24"/>
          <w:lang w:val="el-GR" w:bidi="he-IL"/>
        </w:rPr>
        <w:t xml:space="preserve"> </w:t>
      </w:r>
      <w:r w:rsidR="0046534C">
        <w:rPr>
          <w:rFonts w:eastAsia="Calibri" w:cstheme="minorHAnsi"/>
          <w:b/>
          <w:bCs/>
          <w:sz w:val="24"/>
          <w:szCs w:val="24"/>
          <w:lang w:val="el-GR" w:bidi="he-IL"/>
        </w:rPr>
        <w:t>ποιότητας</w:t>
      </w:r>
      <w:r w:rsidR="0046534C" w:rsidRPr="0088695A">
        <w:rPr>
          <w:rFonts w:eastAsia="Calibri" w:cstheme="minorHAnsi"/>
          <w:b/>
          <w:bCs/>
          <w:sz w:val="24"/>
          <w:szCs w:val="24"/>
          <w:lang w:val="el-GR" w:bidi="he-IL"/>
        </w:rPr>
        <w:t xml:space="preserve"> </w:t>
      </w:r>
      <w:r w:rsidR="0046534C">
        <w:rPr>
          <w:rFonts w:eastAsia="Calibri" w:cstheme="minorHAnsi"/>
          <w:b/>
          <w:bCs/>
          <w:sz w:val="24"/>
          <w:szCs w:val="24"/>
          <w:lang w:val="el-GR" w:bidi="he-IL"/>
        </w:rPr>
        <w:t>της</w:t>
      </w:r>
      <w:r w:rsidR="0046534C" w:rsidRPr="0088695A">
        <w:rPr>
          <w:rFonts w:eastAsia="Calibri" w:cstheme="minorHAnsi"/>
          <w:b/>
          <w:bCs/>
          <w:sz w:val="24"/>
          <w:szCs w:val="24"/>
          <w:lang w:val="el-GR" w:bidi="he-IL"/>
        </w:rPr>
        <w:t xml:space="preserve"> </w:t>
      </w:r>
      <w:r w:rsidR="0046534C">
        <w:rPr>
          <w:rFonts w:eastAsia="Calibri" w:cstheme="minorHAnsi"/>
          <w:b/>
          <w:bCs/>
          <w:sz w:val="24"/>
          <w:szCs w:val="24"/>
          <w:lang w:val="el-GR" w:bidi="he-IL"/>
        </w:rPr>
        <w:t>διαδικασίας</w:t>
      </w:r>
      <w:r w:rsidR="0046534C" w:rsidRPr="0088695A">
        <w:rPr>
          <w:rFonts w:eastAsia="Calibri" w:cstheme="minorHAnsi"/>
          <w:b/>
          <w:bCs/>
          <w:sz w:val="24"/>
          <w:szCs w:val="24"/>
          <w:lang w:val="el-GR" w:bidi="he-IL"/>
        </w:rPr>
        <w:t xml:space="preserve"> </w:t>
      </w:r>
      <w:r w:rsidR="0046534C">
        <w:rPr>
          <w:rFonts w:eastAsia="Calibri" w:cstheme="minorHAnsi"/>
          <w:b/>
          <w:bCs/>
          <w:sz w:val="24"/>
          <w:szCs w:val="24"/>
          <w:lang w:val="el-GR" w:bidi="he-IL"/>
        </w:rPr>
        <w:t>διαβούλευσης</w:t>
      </w:r>
      <w:r w:rsidR="0046534C" w:rsidRPr="0088695A">
        <w:rPr>
          <w:rFonts w:eastAsia="Calibri" w:cstheme="minorHAnsi"/>
          <w:b/>
          <w:bCs/>
          <w:sz w:val="24"/>
          <w:szCs w:val="24"/>
          <w:lang w:val="el-GR" w:bidi="he-IL"/>
        </w:rPr>
        <w:t xml:space="preserve"> </w:t>
      </w:r>
      <w:r w:rsidR="0046534C">
        <w:rPr>
          <w:rFonts w:eastAsia="Calibri" w:cstheme="minorHAnsi"/>
          <w:b/>
          <w:bCs/>
          <w:sz w:val="24"/>
          <w:szCs w:val="24"/>
          <w:lang w:val="el-GR" w:bidi="he-IL"/>
        </w:rPr>
        <w:t>ώστε να διασφαλιστεί η σχετική και έγκαιρη εμπλοκή των</w:t>
      </w:r>
      <w:r w:rsidR="0046534C" w:rsidRPr="0088695A">
        <w:rPr>
          <w:rFonts w:eastAsia="Calibri" w:cstheme="minorHAnsi"/>
          <w:b/>
          <w:bCs/>
          <w:sz w:val="24"/>
          <w:szCs w:val="24"/>
          <w:lang w:val="el-GR" w:bidi="he-IL"/>
        </w:rPr>
        <w:t xml:space="preserve"> </w:t>
      </w:r>
      <w:r w:rsidR="0046534C">
        <w:rPr>
          <w:rFonts w:eastAsia="Calibri" w:cstheme="minorHAnsi"/>
          <w:b/>
          <w:bCs/>
          <w:sz w:val="24"/>
          <w:szCs w:val="24"/>
          <w:lang w:val="el-GR" w:bidi="he-IL"/>
        </w:rPr>
        <w:t>ενδιαφερομένων</w:t>
      </w:r>
      <w:r w:rsidR="0046534C" w:rsidRPr="0088695A">
        <w:rPr>
          <w:rFonts w:eastAsia="Calibri" w:cstheme="minorHAnsi"/>
          <w:b/>
          <w:bCs/>
          <w:sz w:val="24"/>
          <w:szCs w:val="24"/>
          <w:lang w:val="el-GR" w:bidi="he-IL"/>
        </w:rPr>
        <w:t xml:space="preserve"> </w:t>
      </w:r>
      <w:r w:rsidR="0046534C">
        <w:rPr>
          <w:rFonts w:eastAsia="Calibri" w:cstheme="minorHAnsi"/>
          <w:b/>
          <w:bCs/>
          <w:sz w:val="24"/>
          <w:szCs w:val="24"/>
          <w:lang w:val="el-GR" w:bidi="he-IL"/>
        </w:rPr>
        <w:t xml:space="preserve">στην </w:t>
      </w:r>
      <w:r>
        <w:rPr>
          <w:rFonts w:eastAsia="Calibri" w:cstheme="minorHAnsi"/>
          <w:b/>
          <w:bCs/>
          <w:sz w:val="24"/>
          <w:szCs w:val="24"/>
          <w:lang w:val="el-GR" w:bidi="he-IL"/>
        </w:rPr>
        <w:t>πολιτική/ρυθμιστική ανάπτυξη</w:t>
      </w:r>
      <w:r w:rsidR="0046534C">
        <w:rPr>
          <w:rFonts w:eastAsia="Calibri" w:cstheme="minorHAnsi"/>
          <w:b/>
          <w:bCs/>
          <w:sz w:val="24"/>
          <w:szCs w:val="24"/>
          <w:lang w:val="el-GR" w:bidi="he-IL"/>
        </w:rPr>
        <w:t xml:space="preserve"> </w:t>
      </w:r>
      <w:r w:rsidR="0046534C" w:rsidRPr="002B4166">
        <w:rPr>
          <w:rFonts w:eastAsia="Calibri" w:cstheme="minorHAnsi"/>
          <w:sz w:val="24"/>
          <w:szCs w:val="24"/>
          <w:lang w:val="el-GR" w:bidi="he-IL"/>
        </w:rPr>
        <w:t>(</w:t>
      </w:r>
      <w:r w:rsidR="0046534C">
        <w:rPr>
          <w:rFonts w:eastAsia="Calibri" w:cstheme="minorHAnsi"/>
          <w:sz w:val="24"/>
          <w:szCs w:val="24"/>
          <w:lang w:val="el-GR" w:bidi="he-IL"/>
        </w:rPr>
        <w:t>παράγραφος</w:t>
      </w:r>
      <w:r w:rsidR="0046534C" w:rsidRPr="002B4166">
        <w:rPr>
          <w:rFonts w:eastAsia="Calibri" w:cstheme="minorHAnsi"/>
          <w:sz w:val="24"/>
          <w:szCs w:val="24"/>
          <w:lang w:val="el-GR" w:bidi="he-IL"/>
        </w:rPr>
        <w:t xml:space="preserve"> 76)</w:t>
      </w:r>
      <w:r w:rsidR="0046534C" w:rsidRPr="002B4166">
        <w:rPr>
          <w:rFonts w:cstheme="minorHAnsi"/>
          <w:b/>
          <w:bCs/>
          <w:sz w:val="24"/>
          <w:szCs w:val="24"/>
          <w:lang w:val="el-GR"/>
        </w:rPr>
        <w:t>,</w:t>
      </w:r>
      <w:r w:rsidR="0046534C">
        <w:rPr>
          <w:rFonts w:eastAsia="Calibri" w:cstheme="minorHAnsi"/>
          <w:b/>
          <w:bCs/>
          <w:sz w:val="24"/>
          <w:szCs w:val="24"/>
          <w:lang w:val="el-GR" w:bidi="he-IL"/>
        </w:rPr>
        <w:t xml:space="preserve"> </w:t>
      </w:r>
    </w:p>
    <w:p w14:paraId="2342B1FA" w14:textId="74232293" w:rsidR="0046534C" w:rsidRPr="002B7C4B" w:rsidRDefault="0046534C" w:rsidP="002B7C4B">
      <w:pPr>
        <w:pStyle w:val="ListParagraph"/>
        <w:rPr>
          <w:b/>
          <w:sz w:val="24"/>
          <w:szCs w:val="24"/>
          <w:lang w:val="el-GR"/>
        </w:rPr>
      </w:pPr>
    </w:p>
    <w:p w14:paraId="1C77F494" w14:textId="04EB752D" w:rsidR="0046534C" w:rsidRPr="00B5687A" w:rsidRDefault="0046534C" w:rsidP="00220066">
      <w:pPr>
        <w:pStyle w:val="ListParagraph"/>
        <w:numPr>
          <w:ilvl w:val="0"/>
          <w:numId w:val="2"/>
        </w:numPr>
        <w:ind w:left="851" w:hanging="567"/>
        <w:contextualSpacing w:val="0"/>
        <w:rPr>
          <w:b/>
          <w:sz w:val="24"/>
          <w:szCs w:val="24"/>
          <w:lang w:val="el-GR"/>
        </w:rPr>
      </w:pPr>
      <w:r>
        <w:rPr>
          <w:rFonts w:cstheme="minorHAnsi"/>
          <w:b/>
          <w:bCs/>
          <w:sz w:val="24"/>
          <w:szCs w:val="24"/>
          <w:lang w:val="el-GR"/>
        </w:rPr>
        <w:t xml:space="preserve"> </w:t>
      </w:r>
      <w:r w:rsidR="001E3D78">
        <w:rPr>
          <w:rFonts w:ascii="Calibri" w:hAnsi="Calibri" w:cs="Calibri"/>
          <w:b/>
          <w:bCs/>
          <w:sz w:val="24"/>
          <w:szCs w:val="24"/>
          <w:lang w:val="el-GR"/>
        </w:rPr>
        <w:t>Όπως</w:t>
      </w:r>
      <w:r w:rsidR="001E3D78" w:rsidRPr="00134D25">
        <w:rPr>
          <w:rFonts w:cstheme="minorHAnsi"/>
          <w:b/>
          <w:bCs/>
          <w:sz w:val="24"/>
          <w:szCs w:val="24"/>
          <w:lang w:val="el-GR"/>
        </w:rPr>
        <w:t xml:space="preserve"> </w:t>
      </w:r>
      <w:r w:rsidR="001E3D78">
        <w:rPr>
          <w:rFonts w:cstheme="minorHAnsi"/>
          <w:b/>
          <w:bCs/>
          <w:sz w:val="24"/>
          <w:szCs w:val="24"/>
          <w:lang w:val="el-GR"/>
        </w:rPr>
        <w:t xml:space="preserve">η </w:t>
      </w:r>
      <w:r>
        <w:rPr>
          <w:rFonts w:cstheme="minorHAnsi"/>
          <w:b/>
          <w:bCs/>
          <w:sz w:val="24"/>
          <w:szCs w:val="24"/>
          <w:lang w:val="el-GR"/>
        </w:rPr>
        <w:t>Αρχή</w:t>
      </w:r>
      <w:r w:rsidRPr="00534B54">
        <w:rPr>
          <w:rFonts w:cstheme="minorHAnsi"/>
          <w:b/>
          <w:bCs/>
          <w:sz w:val="24"/>
          <w:szCs w:val="24"/>
          <w:lang w:val="el-GR"/>
        </w:rPr>
        <w:t xml:space="preserve"> </w:t>
      </w:r>
      <w:r>
        <w:rPr>
          <w:rFonts w:cstheme="minorHAnsi"/>
          <w:b/>
          <w:bCs/>
          <w:sz w:val="24"/>
          <w:szCs w:val="24"/>
          <w:lang w:val="el-GR"/>
        </w:rPr>
        <w:t>κατά</w:t>
      </w:r>
      <w:r w:rsidRPr="00534B54">
        <w:rPr>
          <w:rFonts w:cstheme="minorHAnsi"/>
          <w:b/>
          <w:bCs/>
          <w:sz w:val="24"/>
          <w:szCs w:val="24"/>
          <w:lang w:val="el-GR"/>
        </w:rPr>
        <w:t xml:space="preserve"> </w:t>
      </w:r>
      <w:r>
        <w:rPr>
          <w:rFonts w:cstheme="minorHAnsi"/>
          <w:b/>
          <w:bCs/>
          <w:sz w:val="24"/>
          <w:szCs w:val="24"/>
          <w:lang w:val="el-GR"/>
        </w:rPr>
        <w:t>της</w:t>
      </w:r>
      <w:r w:rsidRPr="00534B54">
        <w:rPr>
          <w:rFonts w:cstheme="minorHAnsi"/>
          <w:b/>
          <w:bCs/>
          <w:sz w:val="24"/>
          <w:szCs w:val="24"/>
          <w:lang w:val="el-GR"/>
        </w:rPr>
        <w:t xml:space="preserve"> </w:t>
      </w:r>
      <w:r>
        <w:rPr>
          <w:rFonts w:cstheme="minorHAnsi"/>
          <w:b/>
          <w:bCs/>
          <w:sz w:val="24"/>
          <w:szCs w:val="24"/>
          <w:lang w:val="el-GR"/>
        </w:rPr>
        <w:t>Διαφθοράς</w:t>
      </w:r>
      <w:r w:rsidRPr="00534B54">
        <w:rPr>
          <w:rFonts w:cstheme="minorHAnsi"/>
          <w:b/>
          <w:bCs/>
          <w:sz w:val="24"/>
          <w:szCs w:val="24"/>
          <w:lang w:val="el-GR"/>
        </w:rPr>
        <w:t xml:space="preserve"> </w:t>
      </w:r>
      <w:r>
        <w:rPr>
          <w:rFonts w:cstheme="minorHAnsi"/>
          <w:b/>
          <w:bCs/>
          <w:sz w:val="24"/>
          <w:szCs w:val="24"/>
          <w:lang w:val="el-GR"/>
        </w:rPr>
        <w:t>αναπτύξει</w:t>
      </w:r>
      <w:r w:rsidRPr="00534B54">
        <w:rPr>
          <w:rFonts w:cstheme="minorHAnsi"/>
          <w:b/>
          <w:bCs/>
          <w:sz w:val="24"/>
          <w:szCs w:val="24"/>
          <w:lang w:val="el-GR"/>
        </w:rPr>
        <w:t xml:space="preserve"> </w:t>
      </w:r>
      <w:r>
        <w:rPr>
          <w:rFonts w:cstheme="minorHAnsi"/>
          <w:b/>
          <w:bCs/>
          <w:sz w:val="24"/>
          <w:szCs w:val="24"/>
          <w:lang w:val="el-GR"/>
        </w:rPr>
        <w:t>πρακτική</w:t>
      </w:r>
      <w:r w:rsidRPr="00534B54">
        <w:rPr>
          <w:rFonts w:cstheme="minorHAnsi"/>
          <w:b/>
          <w:bCs/>
          <w:sz w:val="24"/>
          <w:szCs w:val="24"/>
          <w:lang w:val="el-GR"/>
        </w:rPr>
        <w:t xml:space="preserve"> </w:t>
      </w:r>
      <w:r>
        <w:rPr>
          <w:rFonts w:cstheme="minorHAnsi"/>
          <w:b/>
          <w:bCs/>
          <w:sz w:val="24"/>
          <w:szCs w:val="24"/>
          <w:lang w:val="el-GR"/>
        </w:rPr>
        <w:t>καθοδήγηση</w:t>
      </w:r>
      <w:r w:rsidRPr="00534B54">
        <w:rPr>
          <w:rFonts w:cstheme="minorHAnsi"/>
          <w:b/>
          <w:bCs/>
          <w:sz w:val="24"/>
          <w:szCs w:val="24"/>
          <w:lang w:val="el-GR"/>
        </w:rPr>
        <w:t xml:space="preserve"> </w:t>
      </w:r>
      <w:r>
        <w:rPr>
          <w:rFonts w:cstheme="minorHAnsi"/>
          <w:b/>
          <w:bCs/>
          <w:sz w:val="24"/>
          <w:szCs w:val="24"/>
          <w:lang w:val="el-GR"/>
        </w:rPr>
        <w:t>για</w:t>
      </w:r>
      <w:r w:rsidRPr="00534B54">
        <w:rPr>
          <w:rFonts w:cstheme="minorHAnsi"/>
          <w:b/>
          <w:bCs/>
          <w:sz w:val="24"/>
          <w:szCs w:val="24"/>
          <w:lang w:val="el-GR"/>
        </w:rPr>
        <w:t xml:space="preserve"> </w:t>
      </w:r>
      <w:r>
        <w:rPr>
          <w:rFonts w:cstheme="minorHAnsi"/>
          <w:b/>
          <w:bCs/>
          <w:sz w:val="24"/>
          <w:szCs w:val="24"/>
          <w:lang w:val="el-GR"/>
        </w:rPr>
        <w:t>την</w:t>
      </w:r>
      <w:r w:rsidR="00B028CA">
        <w:rPr>
          <w:rFonts w:cstheme="minorHAnsi"/>
          <w:b/>
          <w:bCs/>
          <w:sz w:val="24"/>
          <w:szCs w:val="24"/>
          <w:lang w:val="el-GR"/>
        </w:rPr>
        <w:t xml:space="preserve"> εφαρμογή </w:t>
      </w:r>
      <w:r>
        <w:rPr>
          <w:rFonts w:cstheme="minorHAnsi"/>
          <w:b/>
          <w:bCs/>
          <w:sz w:val="24"/>
          <w:szCs w:val="24"/>
          <w:lang w:val="el-GR"/>
        </w:rPr>
        <w:t>των</w:t>
      </w:r>
      <w:r w:rsidRPr="00534B54">
        <w:rPr>
          <w:rFonts w:cstheme="minorHAnsi"/>
          <w:b/>
          <w:bCs/>
          <w:sz w:val="24"/>
          <w:szCs w:val="24"/>
          <w:lang w:val="el-GR"/>
        </w:rPr>
        <w:t xml:space="preserve"> </w:t>
      </w:r>
      <w:r>
        <w:rPr>
          <w:rFonts w:cstheme="minorHAnsi"/>
          <w:b/>
          <w:bCs/>
          <w:sz w:val="24"/>
          <w:szCs w:val="24"/>
          <w:lang w:val="el-GR"/>
        </w:rPr>
        <w:t>κανόνων</w:t>
      </w:r>
      <w:r w:rsidRPr="00534B54">
        <w:rPr>
          <w:rFonts w:cstheme="minorHAnsi"/>
          <w:b/>
          <w:bCs/>
          <w:sz w:val="24"/>
          <w:szCs w:val="24"/>
          <w:lang w:val="el-GR"/>
        </w:rPr>
        <w:t xml:space="preserve"> </w:t>
      </w:r>
      <w:r>
        <w:rPr>
          <w:rFonts w:cstheme="minorHAnsi"/>
          <w:b/>
          <w:bCs/>
          <w:sz w:val="24"/>
          <w:szCs w:val="24"/>
          <w:lang w:val="el-GR"/>
        </w:rPr>
        <w:t>για</w:t>
      </w:r>
      <w:r w:rsidRPr="00534B54">
        <w:rPr>
          <w:rFonts w:cstheme="minorHAnsi"/>
          <w:b/>
          <w:bCs/>
          <w:sz w:val="24"/>
          <w:szCs w:val="24"/>
          <w:lang w:val="el-GR"/>
        </w:rPr>
        <w:t xml:space="preserve"> </w:t>
      </w:r>
      <w:r>
        <w:rPr>
          <w:rFonts w:cstheme="minorHAnsi"/>
          <w:b/>
          <w:bCs/>
          <w:sz w:val="24"/>
          <w:szCs w:val="24"/>
          <w:lang w:val="el-GR"/>
        </w:rPr>
        <w:t>το</w:t>
      </w:r>
      <w:r w:rsidRPr="00534B54">
        <w:rPr>
          <w:rFonts w:cstheme="minorHAnsi"/>
          <w:b/>
          <w:bCs/>
          <w:sz w:val="24"/>
          <w:szCs w:val="24"/>
          <w:lang w:val="el-GR"/>
        </w:rPr>
        <w:t xml:space="preserve"> </w:t>
      </w:r>
      <w:r>
        <w:rPr>
          <w:rFonts w:cstheme="minorHAnsi"/>
          <w:b/>
          <w:bCs/>
          <w:sz w:val="24"/>
          <w:szCs w:val="24"/>
          <w:lang w:val="el-GR"/>
        </w:rPr>
        <w:t>πώς</w:t>
      </w:r>
      <w:r w:rsidRPr="00534B54">
        <w:rPr>
          <w:rFonts w:cstheme="minorHAnsi"/>
          <w:b/>
          <w:bCs/>
          <w:sz w:val="24"/>
          <w:szCs w:val="24"/>
          <w:lang w:val="el-GR"/>
        </w:rPr>
        <w:t xml:space="preserve"> </w:t>
      </w:r>
      <w:r>
        <w:rPr>
          <w:rFonts w:cstheme="minorHAnsi"/>
          <w:b/>
          <w:bCs/>
          <w:sz w:val="24"/>
          <w:szCs w:val="24"/>
          <w:lang w:val="el-GR"/>
        </w:rPr>
        <w:t>άτομα</w:t>
      </w:r>
      <w:r w:rsidRPr="00534B54">
        <w:rPr>
          <w:rFonts w:cstheme="minorHAnsi"/>
          <w:b/>
          <w:bCs/>
          <w:sz w:val="24"/>
          <w:szCs w:val="24"/>
          <w:lang w:val="el-GR"/>
        </w:rPr>
        <w:t xml:space="preserve"> </w:t>
      </w:r>
      <w:r>
        <w:rPr>
          <w:rFonts w:cstheme="minorHAnsi"/>
          <w:b/>
          <w:bCs/>
          <w:sz w:val="24"/>
          <w:szCs w:val="24"/>
          <w:lang w:val="el-GR"/>
        </w:rPr>
        <w:t>που</w:t>
      </w:r>
      <w:r w:rsidRPr="00534B54">
        <w:rPr>
          <w:rFonts w:cstheme="minorHAnsi"/>
          <w:b/>
          <w:bCs/>
          <w:sz w:val="24"/>
          <w:szCs w:val="24"/>
          <w:lang w:val="el-GR"/>
        </w:rPr>
        <w:t xml:space="preserve"> </w:t>
      </w:r>
      <w:r>
        <w:rPr>
          <w:rFonts w:cstheme="minorHAnsi"/>
          <w:b/>
          <w:bCs/>
          <w:sz w:val="24"/>
          <w:szCs w:val="24"/>
          <w:lang w:val="el-GR"/>
        </w:rPr>
        <w:t>τους</w:t>
      </w:r>
      <w:r w:rsidRPr="00534B54">
        <w:rPr>
          <w:rFonts w:cstheme="minorHAnsi"/>
          <w:b/>
          <w:bCs/>
          <w:sz w:val="24"/>
          <w:szCs w:val="24"/>
          <w:lang w:val="el-GR"/>
        </w:rPr>
        <w:t xml:space="preserve"> </w:t>
      </w:r>
      <w:r>
        <w:rPr>
          <w:rFonts w:cstheme="minorHAnsi"/>
          <w:b/>
          <w:bCs/>
          <w:sz w:val="24"/>
          <w:szCs w:val="24"/>
          <w:lang w:val="el-GR"/>
        </w:rPr>
        <w:t xml:space="preserve">έχουν </w:t>
      </w:r>
      <w:r w:rsidR="00B028CA">
        <w:rPr>
          <w:rFonts w:cstheme="minorHAnsi"/>
          <w:b/>
          <w:bCs/>
          <w:sz w:val="24"/>
          <w:szCs w:val="24"/>
          <w:lang w:val="el-GR"/>
        </w:rPr>
        <w:t xml:space="preserve">ανατεθεί </w:t>
      </w:r>
      <w:r>
        <w:rPr>
          <w:rFonts w:cstheme="minorHAnsi"/>
          <w:b/>
          <w:bCs/>
          <w:sz w:val="24"/>
          <w:szCs w:val="24"/>
          <w:lang w:val="el-GR"/>
        </w:rPr>
        <w:t xml:space="preserve">ανώτατα εκτελεστικά καθήκοντα εμπλέκονται σε επαφές με </w:t>
      </w:r>
      <w:proofErr w:type="spellStart"/>
      <w:r>
        <w:rPr>
          <w:rFonts w:cstheme="minorHAnsi"/>
          <w:b/>
          <w:bCs/>
          <w:sz w:val="24"/>
          <w:szCs w:val="24"/>
          <w:lang w:val="el-GR"/>
        </w:rPr>
        <w:t>λομπ</w:t>
      </w:r>
      <w:r w:rsidR="00B028CA">
        <w:rPr>
          <w:rFonts w:cstheme="minorHAnsi"/>
          <w:b/>
          <w:bCs/>
          <w:sz w:val="24"/>
          <w:szCs w:val="24"/>
          <w:lang w:val="el-GR"/>
        </w:rPr>
        <w:t>ί</w:t>
      </w:r>
      <w:r>
        <w:rPr>
          <w:rFonts w:cstheme="minorHAnsi"/>
          <w:b/>
          <w:bCs/>
          <w:sz w:val="24"/>
          <w:szCs w:val="24"/>
          <w:lang w:val="el-GR"/>
        </w:rPr>
        <w:t>στ</w:t>
      </w:r>
      <w:r w:rsidR="00B028CA">
        <w:rPr>
          <w:rFonts w:cstheme="minorHAnsi"/>
          <w:b/>
          <w:bCs/>
          <w:sz w:val="24"/>
          <w:szCs w:val="24"/>
          <w:lang w:val="el-GR"/>
        </w:rPr>
        <w:t>ε</w:t>
      </w:r>
      <w:r>
        <w:rPr>
          <w:rFonts w:cstheme="minorHAnsi"/>
          <w:b/>
          <w:bCs/>
          <w:sz w:val="24"/>
          <w:szCs w:val="24"/>
          <w:lang w:val="el-GR"/>
        </w:rPr>
        <w:t>ς</w:t>
      </w:r>
      <w:proofErr w:type="spellEnd"/>
      <w:r w:rsidRPr="00534B54">
        <w:rPr>
          <w:rFonts w:cstheme="minorHAnsi"/>
          <w:b/>
          <w:bCs/>
          <w:sz w:val="24"/>
          <w:szCs w:val="24"/>
          <w:lang w:val="el-GR"/>
        </w:rPr>
        <w:t xml:space="preserve"> </w:t>
      </w:r>
      <w:r>
        <w:rPr>
          <w:rFonts w:cstheme="minorHAnsi"/>
          <w:b/>
          <w:bCs/>
          <w:sz w:val="24"/>
          <w:szCs w:val="24"/>
          <w:lang w:val="el-GR"/>
        </w:rPr>
        <w:t>και άλλα τρίτα μέρη</w:t>
      </w:r>
      <w:r w:rsidRPr="00534B54">
        <w:rPr>
          <w:rFonts w:cstheme="minorHAnsi"/>
          <w:b/>
          <w:bCs/>
          <w:sz w:val="24"/>
          <w:szCs w:val="24"/>
          <w:lang w:val="el-GR"/>
        </w:rPr>
        <w:t xml:space="preserve"> </w:t>
      </w:r>
      <w:r>
        <w:rPr>
          <w:rFonts w:cstheme="minorHAnsi"/>
          <w:b/>
          <w:bCs/>
          <w:sz w:val="24"/>
          <w:szCs w:val="24"/>
          <w:lang w:val="el-GR"/>
        </w:rPr>
        <w:t xml:space="preserve">τα οποία αναζητούν να επηρεάσουν κυβερνητικές διαδικασίες και αποφάσεις </w:t>
      </w:r>
      <w:r w:rsidRPr="00B5687A">
        <w:rPr>
          <w:rFonts w:cstheme="minorHAnsi"/>
          <w:sz w:val="24"/>
          <w:szCs w:val="24"/>
          <w:lang w:val="el-GR"/>
        </w:rPr>
        <w:t>(</w:t>
      </w:r>
      <w:r>
        <w:rPr>
          <w:rFonts w:cstheme="minorHAnsi"/>
          <w:sz w:val="24"/>
          <w:szCs w:val="24"/>
          <w:lang w:val="el-GR"/>
        </w:rPr>
        <w:t>παράγραφος</w:t>
      </w:r>
      <w:r w:rsidRPr="00B5687A">
        <w:rPr>
          <w:rFonts w:cstheme="minorHAnsi"/>
          <w:sz w:val="24"/>
          <w:szCs w:val="24"/>
          <w:lang w:val="el-GR"/>
        </w:rPr>
        <w:t xml:space="preserve"> 81)</w:t>
      </w:r>
      <w:r w:rsidRPr="00B5687A">
        <w:rPr>
          <w:rFonts w:eastAsia="Calibri" w:cstheme="minorHAnsi"/>
          <w:b/>
          <w:bCs/>
          <w:sz w:val="24"/>
          <w:szCs w:val="24"/>
          <w:lang w:val="el-GR" w:bidi="he-IL"/>
        </w:rPr>
        <w:t>,</w:t>
      </w:r>
    </w:p>
    <w:p w14:paraId="5D5162FE" w14:textId="6EA53F0F" w:rsidR="0046534C" w:rsidRPr="002B7C4B" w:rsidRDefault="0046534C" w:rsidP="002B7C4B">
      <w:pPr>
        <w:pStyle w:val="ListParagraph"/>
        <w:rPr>
          <w:b/>
          <w:sz w:val="24"/>
          <w:szCs w:val="24"/>
          <w:lang w:val="el-GR"/>
        </w:rPr>
      </w:pPr>
    </w:p>
    <w:p w14:paraId="57B8127B" w14:textId="0A92E709" w:rsidR="0046534C" w:rsidRPr="002B7C4B" w:rsidRDefault="001E3D78" w:rsidP="002B7C4B">
      <w:pPr>
        <w:numPr>
          <w:ilvl w:val="0"/>
          <w:numId w:val="2"/>
        </w:numPr>
        <w:tabs>
          <w:tab w:val="left" w:pos="709"/>
        </w:tabs>
        <w:rPr>
          <w:rFonts w:cstheme="minorHAnsi"/>
          <w:sz w:val="24"/>
          <w:szCs w:val="24"/>
          <w:lang w:val="el-GR"/>
        </w:rPr>
      </w:pPr>
      <w:r>
        <w:rPr>
          <w:rFonts w:ascii="Calibri" w:hAnsi="Calibri" w:cs="Calibri"/>
          <w:b/>
          <w:bCs/>
          <w:sz w:val="24"/>
          <w:szCs w:val="24"/>
          <w:lang w:val="el-GR"/>
        </w:rPr>
        <w:t>Όπως</w:t>
      </w:r>
      <w:r w:rsidRPr="00134D25">
        <w:rPr>
          <w:rFonts w:cstheme="minorHAnsi"/>
          <w:b/>
          <w:bCs/>
          <w:sz w:val="24"/>
          <w:szCs w:val="24"/>
          <w:lang w:val="el-GR"/>
        </w:rPr>
        <w:t xml:space="preserve"> </w:t>
      </w:r>
      <w:r>
        <w:rPr>
          <w:rFonts w:cstheme="minorHAnsi"/>
          <w:b/>
          <w:bCs/>
          <w:sz w:val="24"/>
          <w:szCs w:val="24"/>
          <w:lang w:val="el-GR"/>
        </w:rPr>
        <w:t xml:space="preserve">αναθεωρηθεί </w:t>
      </w:r>
      <w:r w:rsidR="0046534C">
        <w:rPr>
          <w:rFonts w:cstheme="minorHAnsi"/>
          <w:b/>
          <w:bCs/>
          <w:sz w:val="24"/>
          <w:szCs w:val="24"/>
          <w:lang w:val="el-GR"/>
        </w:rPr>
        <w:t>το</w:t>
      </w:r>
      <w:r w:rsidR="0046534C" w:rsidRPr="003B2919">
        <w:rPr>
          <w:rFonts w:cstheme="minorHAnsi"/>
          <w:b/>
          <w:bCs/>
          <w:sz w:val="24"/>
          <w:szCs w:val="24"/>
          <w:lang w:val="el-GR"/>
        </w:rPr>
        <w:t xml:space="preserve"> </w:t>
      </w:r>
      <w:r w:rsidR="0046534C">
        <w:rPr>
          <w:rFonts w:cstheme="minorHAnsi"/>
          <w:b/>
          <w:bCs/>
          <w:sz w:val="24"/>
          <w:szCs w:val="24"/>
          <w:lang w:val="el-GR"/>
        </w:rPr>
        <w:t>καθεστώς</w:t>
      </w:r>
      <w:r w:rsidR="0046534C" w:rsidRPr="003B2919">
        <w:rPr>
          <w:rFonts w:cstheme="minorHAnsi"/>
          <w:b/>
          <w:bCs/>
          <w:sz w:val="24"/>
          <w:szCs w:val="24"/>
          <w:lang w:val="el-GR"/>
        </w:rPr>
        <w:t xml:space="preserve"> </w:t>
      </w:r>
      <w:r w:rsidR="0046534C">
        <w:rPr>
          <w:rFonts w:cstheme="minorHAnsi"/>
          <w:b/>
          <w:bCs/>
          <w:sz w:val="24"/>
          <w:szCs w:val="24"/>
          <w:lang w:val="el-GR"/>
        </w:rPr>
        <w:t>μετά</w:t>
      </w:r>
      <w:r w:rsidR="0046534C" w:rsidRPr="003B2919">
        <w:rPr>
          <w:rFonts w:cstheme="minorHAnsi"/>
          <w:b/>
          <w:bCs/>
          <w:sz w:val="24"/>
          <w:szCs w:val="24"/>
          <w:lang w:val="el-GR"/>
        </w:rPr>
        <w:t xml:space="preserve"> </w:t>
      </w:r>
      <w:r w:rsidR="0046534C">
        <w:rPr>
          <w:rFonts w:cstheme="minorHAnsi"/>
          <w:b/>
          <w:bCs/>
          <w:sz w:val="24"/>
          <w:szCs w:val="24"/>
          <w:lang w:val="el-GR"/>
        </w:rPr>
        <w:t>την</w:t>
      </w:r>
      <w:r w:rsidR="0046534C" w:rsidRPr="003B2919">
        <w:rPr>
          <w:rFonts w:cstheme="minorHAnsi"/>
          <w:b/>
          <w:bCs/>
          <w:sz w:val="24"/>
          <w:szCs w:val="24"/>
          <w:lang w:val="el-GR"/>
        </w:rPr>
        <w:t xml:space="preserve"> </w:t>
      </w:r>
      <w:proofErr w:type="spellStart"/>
      <w:r w:rsidR="0046534C">
        <w:rPr>
          <w:rFonts w:cstheme="minorHAnsi"/>
          <w:b/>
          <w:bCs/>
          <w:sz w:val="24"/>
          <w:szCs w:val="24"/>
          <w:lang w:val="el-GR"/>
        </w:rPr>
        <w:t>εργοδότηση</w:t>
      </w:r>
      <w:proofErr w:type="spellEnd"/>
      <w:r w:rsidR="0046534C" w:rsidRPr="003B2919">
        <w:rPr>
          <w:rFonts w:cstheme="minorHAnsi"/>
          <w:b/>
          <w:bCs/>
          <w:sz w:val="24"/>
          <w:szCs w:val="24"/>
          <w:lang w:val="el-GR"/>
        </w:rPr>
        <w:t xml:space="preserve"> </w:t>
      </w:r>
      <w:r w:rsidR="0046534C">
        <w:rPr>
          <w:rFonts w:cstheme="minorHAnsi"/>
          <w:b/>
          <w:bCs/>
          <w:sz w:val="24"/>
          <w:szCs w:val="24"/>
          <w:lang w:val="el-GR"/>
        </w:rPr>
        <w:t>ούτως</w:t>
      </w:r>
      <w:r w:rsidR="0046534C" w:rsidRPr="003B2919">
        <w:rPr>
          <w:rFonts w:cstheme="minorHAnsi"/>
          <w:b/>
          <w:bCs/>
          <w:sz w:val="24"/>
          <w:szCs w:val="24"/>
          <w:lang w:val="el-GR"/>
        </w:rPr>
        <w:t xml:space="preserve"> </w:t>
      </w:r>
      <w:r w:rsidR="0046534C">
        <w:rPr>
          <w:rFonts w:cstheme="minorHAnsi"/>
          <w:b/>
          <w:bCs/>
          <w:sz w:val="24"/>
          <w:szCs w:val="24"/>
          <w:lang w:val="el-GR"/>
        </w:rPr>
        <w:t>ώστε</w:t>
      </w:r>
      <w:r w:rsidR="0046534C" w:rsidRPr="003B2919">
        <w:rPr>
          <w:rFonts w:cstheme="minorHAnsi"/>
          <w:b/>
          <w:bCs/>
          <w:sz w:val="24"/>
          <w:szCs w:val="24"/>
          <w:lang w:val="el-GR"/>
        </w:rPr>
        <w:t xml:space="preserve"> </w:t>
      </w:r>
      <w:r w:rsidR="0046534C">
        <w:rPr>
          <w:rFonts w:cstheme="minorHAnsi"/>
          <w:b/>
          <w:bCs/>
          <w:sz w:val="24"/>
          <w:szCs w:val="24"/>
          <w:lang w:val="el-GR"/>
        </w:rPr>
        <w:t>να</w:t>
      </w:r>
      <w:r w:rsidR="0046534C" w:rsidRPr="003B2919">
        <w:rPr>
          <w:rFonts w:cstheme="minorHAnsi"/>
          <w:b/>
          <w:bCs/>
          <w:sz w:val="24"/>
          <w:szCs w:val="24"/>
          <w:lang w:val="el-GR"/>
        </w:rPr>
        <w:t xml:space="preserve"> </w:t>
      </w:r>
      <w:r w:rsidR="0046534C">
        <w:rPr>
          <w:rFonts w:cstheme="minorHAnsi"/>
          <w:b/>
          <w:bCs/>
          <w:sz w:val="24"/>
          <w:szCs w:val="24"/>
          <w:lang w:val="el-GR"/>
        </w:rPr>
        <w:t>βελτιωθεί</w:t>
      </w:r>
      <w:r w:rsidR="0046534C" w:rsidRPr="003B2919">
        <w:rPr>
          <w:rFonts w:cstheme="minorHAnsi"/>
          <w:b/>
          <w:bCs/>
          <w:sz w:val="24"/>
          <w:szCs w:val="24"/>
          <w:lang w:val="el-GR"/>
        </w:rPr>
        <w:t xml:space="preserve"> </w:t>
      </w:r>
      <w:r w:rsidR="0046534C">
        <w:rPr>
          <w:rFonts w:cstheme="minorHAnsi"/>
          <w:b/>
          <w:bCs/>
          <w:sz w:val="24"/>
          <w:szCs w:val="24"/>
          <w:lang w:val="el-GR"/>
        </w:rPr>
        <w:t>η</w:t>
      </w:r>
      <w:r w:rsidR="0046534C" w:rsidRPr="003B2919">
        <w:rPr>
          <w:rFonts w:cstheme="minorHAnsi"/>
          <w:b/>
          <w:bCs/>
          <w:sz w:val="24"/>
          <w:szCs w:val="24"/>
          <w:lang w:val="el-GR"/>
        </w:rPr>
        <w:t xml:space="preserve"> </w:t>
      </w:r>
      <w:r w:rsidR="0046534C">
        <w:rPr>
          <w:rFonts w:cstheme="minorHAnsi"/>
          <w:b/>
          <w:bCs/>
          <w:sz w:val="24"/>
          <w:szCs w:val="24"/>
          <w:lang w:val="el-GR"/>
        </w:rPr>
        <w:t>διαφάνεια και η αποτελεσματικότητα του</w:t>
      </w:r>
      <w:r w:rsidR="0046534C" w:rsidRPr="003B2919">
        <w:rPr>
          <w:rFonts w:cstheme="minorHAnsi"/>
          <w:b/>
          <w:bCs/>
          <w:sz w:val="24"/>
          <w:szCs w:val="24"/>
          <w:lang w:val="el-GR"/>
        </w:rPr>
        <w:t xml:space="preserve"> </w:t>
      </w:r>
      <w:r w:rsidR="0046534C">
        <w:rPr>
          <w:rFonts w:cstheme="minorHAnsi"/>
          <w:b/>
          <w:bCs/>
          <w:sz w:val="24"/>
          <w:szCs w:val="24"/>
          <w:lang w:val="el-GR"/>
        </w:rPr>
        <w:t>και να διευρυνθεί το πεδίο του</w:t>
      </w:r>
      <w:r w:rsidR="0046534C" w:rsidRPr="003B2919">
        <w:rPr>
          <w:rFonts w:cs="Calibri"/>
          <w:b/>
          <w:bCs/>
          <w:sz w:val="24"/>
          <w:szCs w:val="24"/>
          <w:lang w:val="el-GR"/>
        </w:rPr>
        <w:t xml:space="preserve"> </w:t>
      </w:r>
      <w:r w:rsidR="0046534C">
        <w:rPr>
          <w:rFonts w:cs="Calibri"/>
          <w:b/>
          <w:bCs/>
          <w:sz w:val="24"/>
          <w:szCs w:val="24"/>
          <w:lang w:val="el-GR"/>
        </w:rPr>
        <w:t>για να καλύψει όλα τα άτομα</w:t>
      </w:r>
      <w:r w:rsidR="0046534C" w:rsidRPr="003B2919">
        <w:rPr>
          <w:rFonts w:cs="Calibri"/>
          <w:b/>
          <w:bCs/>
          <w:sz w:val="24"/>
          <w:szCs w:val="24"/>
          <w:lang w:val="el-GR"/>
        </w:rPr>
        <w:t xml:space="preserve"> </w:t>
      </w:r>
      <w:r w:rsidR="0046534C">
        <w:rPr>
          <w:rFonts w:cs="Calibri"/>
          <w:b/>
          <w:bCs/>
          <w:sz w:val="24"/>
          <w:szCs w:val="24"/>
          <w:lang w:val="el-GR"/>
        </w:rPr>
        <w:t xml:space="preserve">με ανώτατα εκτελεστικά καθήκοντα </w:t>
      </w:r>
      <w:r w:rsidR="0046534C" w:rsidRPr="00B5687A">
        <w:rPr>
          <w:rFonts w:cs="Calibri"/>
          <w:sz w:val="24"/>
          <w:szCs w:val="24"/>
          <w:lang w:val="el-GR"/>
        </w:rPr>
        <w:t>(</w:t>
      </w:r>
      <w:r w:rsidR="0046534C">
        <w:rPr>
          <w:rFonts w:cs="Calibri"/>
          <w:sz w:val="24"/>
          <w:szCs w:val="24"/>
          <w:lang w:val="el-GR"/>
        </w:rPr>
        <w:t>παράγραφος</w:t>
      </w:r>
      <w:r w:rsidR="0046534C" w:rsidRPr="00B5687A">
        <w:rPr>
          <w:rFonts w:cs="Calibri"/>
          <w:sz w:val="24"/>
          <w:szCs w:val="24"/>
          <w:lang w:val="el-GR"/>
        </w:rPr>
        <w:t xml:space="preserve"> 124)</w:t>
      </w:r>
      <w:r w:rsidR="0046534C" w:rsidRPr="00B5687A">
        <w:rPr>
          <w:rFonts w:cstheme="minorHAnsi"/>
          <w:b/>
          <w:bCs/>
          <w:sz w:val="24"/>
          <w:szCs w:val="24"/>
          <w:lang w:val="el-GR"/>
        </w:rPr>
        <w:t>,</w:t>
      </w:r>
    </w:p>
    <w:p w14:paraId="41192A1E" w14:textId="440C2F52" w:rsidR="0046534C" w:rsidRPr="002B7C4B" w:rsidRDefault="0046534C" w:rsidP="002B7C4B">
      <w:pPr>
        <w:pStyle w:val="ListParagraph"/>
        <w:rPr>
          <w:b/>
          <w:sz w:val="24"/>
          <w:szCs w:val="24"/>
          <w:lang w:val="el-GR"/>
        </w:rPr>
      </w:pPr>
    </w:p>
    <w:p w14:paraId="1FD44F16" w14:textId="7BB519D1" w:rsidR="0046534C" w:rsidRPr="002B7C4B" w:rsidRDefault="0046534C" w:rsidP="002B7C4B">
      <w:pPr>
        <w:numPr>
          <w:ilvl w:val="0"/>
          <w:numId w:val="2"/>
        </w:numPr>
        <w:tabs>
          <w:tab w:val="left" w:pos="709"/>
        </w:tabs>
        <w:rPr>
          <w:rFonts w:cstheme="minorHAnsi"/>
          <w:iCs/>
          <w:sz w:val="24"/>
          <w:szCs w:val="24"/>
          <w:lang w:val="el-GR"/>
        </w:rPr>
      </w:pPr>
      <w:r w:rsidRPr="00C93751">
        <w:rPr>
          <w:rFonts w:cstheme="minorHAnsi"/>
          <w:b/>
          <w:bCs/>
          <w:sz w:val="24"/>
          <w:szCs w:val="24"/>
          <w:lang w:val="el-GR"/>
        </w:rPr>
        <w:t>(</w:t>
      </w:r>
      <w:proofErr w:type="spellStart"/>
      <w:r w:rsidRPr="000538B6">
        <w:rPr>
          <w:rFonts w:cstheme="minorHAnsi"/>
          <w:b/>
          <w:bCs/>
          <w:sz w:val="24"/>
          <w:szCs w:val="24"/>
        </w:rPr>
        <w:t>i</w:t>
      </w:r>
      <w:proofErr w:type="spellEnd"/>
      <w:r w:rsidRPr="00C93751">
        <w:rPr>
          <w:rFonts w:cstheme="minorHAnsi"/>
          <w:b/>
          <w:bCs/>
          <w:sz w:val="24"/>
          <w:szCs w:val="24"/>
          <w:lang w:val="el-GR"/>
        </w:rPr>
        <w:t>)</w:t>
      </w:r>
      <w:r w:rsidRPr="000538B6">
        <w:rPr>
          <w:rFonts w:cstheme="minorHAnsi"/>
          <w:b/>
          <w:bCs/>
          <w:sz w:val="24"/>
          <w:szCs w:val="24"/>
        </w:rPr>
        <w:t> </w:t>
      </w:r>
      <w:r w:rsidR="001E3D78">
        <w:rPr>
          <w:rFonts w:cstheme="minorHAnsi"/>
          <w:b/>
          <w:bCs/>
          <w:sz w:val="24"/>
          <w:szCs w:val="24"/>
          <w:lang w:val="el-GR"/>
        </w:rPr>
        <w:t>Τ</w:t>
      </w:r>
      <w:r>
        <w:rPr>
          <w:rFonts w:cstheme="minorHAnsi"/>
          <w:b/>
          <w:bCs/>
          <w:sz w:val="24"/>
          <w:szCs w:val="24"/>
          <w:lang w:val="el-GR"/>
        </w:rPr>
        <w:t>ην</w:t>
      </w:r>
      <w:r w:rsidRPr="00C93751">
        <w:rPr>
          <w:rFonts w:cstheme="minorHAnsi"/>
          <w:b/>
          <w:bCs/>
          <w:sz w:val="24"/>
          <w:szCs w:val="24"/>
          <w:lang w:val="el-GR"/>
        </w:rPr>
        <w:t xml:space="preserve"> </w:t>
      </w:r>
      <w:r>
        <w:rPr>
          <w:rFonts w:cstheme="minorHAnsi"/>
          <w:b/>
          <w:bCs/>
          <w:sz w:val="24"/>
          <w:szCs w:val="24"/>
          <w:lang w:val="el-GR"/>
        </w:rPr>
        <w:t>επέκταση</w:t>
      </w:r>
      <w:r w:rsidRPr="00C93751">
        <w:rPr>
          <w:rFonts w:cstheme="minorHAnsi"/>
          <w:b/>
          <w:bCs/>
          <w:sz w:val="24"/>
          <w:szCs w:val="24"/>
          <w:lang w:val="el-GR"/>
        </w:rPr>
        <w:t xml:space="preserve"> </w:t>
      </w:r>
      <w:r>
        <w:rPr>
          <w:rFonts w:cstheme="minorHAnsi"/>
          <w:b/>
          <w:bCs/>
          <w:sz w:val="24"/>
          <w:szCs w:val="24"/>
          <w:lang w:val="el-GR"/>
        </w:rPr>
        <w:t>σε</w:t>
      </w:r>
      <w:r w:rsidRPr="00C93751">
        <w:rPr>
          <w:rFonts w:cstheme="minorHAnsi"/>
          <w:b/>
          <w:bCs/>
          <w:sz w:val="24"/>
          <w:szCs w:val="24"/>
          <w:lang w:val="el-GR"/>
        </w:rPr>
        <w:t xml:space="preserve"> </w:t>
      </w:r>
      <w:r>
        <w:rPr>
          <w:rFonts w:cstheme="minorHAnsi"/>
          <w:b/>
          <w:bCs/>
          <w:sz w:val="24"/>
          <w:szCs w:val="24"/>
          <w:lang w:val="el-GR"/>
        </w:rPr>
        <w:t>όλα</w:t>
      </w:r>
      <w:r w:rsidRPr="00C93751">
        <w:rPr>
          <w:rFonts w:cstheme="minorHAnsi"/>
          <w:b/>
          <w:bCs/>
          <w:sz w:val="24"/>
          <w:szCs w:val="24"/>
          <w:lang w:val="el-GR"/>
        </w:rPr>
        <w:t xml:space="preserve"> </w:t>
      </w:r>
      <w:r>
        <w:rPr>
          <w:rFonts w:cstheme="minorHAnsi"/>
          <w:b/>
          <w:bCs/>
          <w:sz w:val="24"/>
          <w:szCs w:val="24"/>
          <w:lang w:val="el-GR"/>
        </w:rPr>
        <w:t>τα</w:t>
      </w:r>
      <w:r w:rsidRPr="00C93751">
        <w:rPr>
          <w:rFonts w:cstheme="minorHAnsi"/>
          <w:b/>
          <w:bCs/>
          <w:sz w:val="24"/>
          <w:szCs w:val="24"/>
          <w:lang w:val="el-GR"/>
        </w:rPr>
        <w:t xml:space="preserve"> </w:t>
      </w:r>
      <w:r>
        <w:rPr>
          <w:rFonts w:cstheme="minorHAnsi"/>
          <w:b/>
          <w:bCs/>
          <w:sz w:val="24"/>
          <w:szCs w:val="24"/>
          <w:lang w:val="el-GR"/>
        </w:rPr>
        <w:t>άτομα</w:t>
      </w:r>
      <w:r w:rsidRPr="00C93751">
        <w:rPr>
          <w:rFonts w:cstheme="minorHAnsi"/>
          <w:b/>
          <w:bCs/>
          <w:sz w:val="24"/>
          <w:szCs w:val="24"/>
          <w:lang w:val="el-GR"/>
        </w:rPr>
        <w:t xml:space="preserve"> </w:t>
      </w:r>
      <w:r>
        <w:rPr>
          <w:rFonts w:cstheme="minorHAnsi"/>
          <w:b/>
          <w:bCs/>
          <w:sz w:val="24"/>
          <w:szCs w:val="24"/>
          <w:lang w:val="el-GR"/>
        </w:rPr>
        <w:t>που</w:t>
      </w:r>
      <w:r w:rsidRPr="00C93751">
        <w:rPr>
          <w:rFonts w:cstheme="minorHAnsi"/>
          <w:b/>
          <w:bCs/>
          <w:sz w:val="24"/>
          <w:szCs w:val="24"/>
          <w:lang w:val="el-GR"/>
        </w:rPr>
        <w:t xml:space="preserve"> </w:t>
      </w:r>
      <w:r>
        <w:rPr>
          <w:rFonts w:cstheme="minorHAnsi"/>
          <w:b/>
          <w:bCs/>
          <w:sz w:val="24"/>
          <w:szCs w:val="24"/>
          <w:lang w:val="el-GR"/>
        </w:rPr>
        <w:t>τους</w:t>
      </w:r>
      <w:r w:rsidRPr="00C93751">
        <w:rPr>
          <w:rFonts w:cstheme="minorHAnsi"/>
          <w:b/>
          <w:bCs/>
          <w:sz w:val="24"/>
          <w:szCs w:val="24"/>
          <w:lang w:val="el-GR"/>
        </w:rPr>
        <w:t xml:space="preserve"> </w:t>
      </w:r>
      <w:r>
        <w:rPr>
          <w:rFonts w:cstheme="minorHAnsi"/>
          <w:b/>
          <w:bCs/>
          <w:sz w:val="24"/>
          <w:szCs w:val="24"/>
          <w:lang w:val="el-GR"/>
        </w:rPr>
        <w:t>έχουν</w:t>
      </w:r>
      <w:r w:rsidRPr="00C93751">
        <w:rPr>
          <w:rFonts w:cstheme="minorHAnsi"/>
          <w:b/>
          <w:bCs/>
          <w:sz w:val="24"/>
          <w:szCs w:val="24"/>
          <w:lang w:val="el-GR"/>
        </w:rPr>
        <w:t xml:space="preserve"> </w:t>
      </w:r>
      <w:r>
        <w:rPr>
          <w:rFonts w:cstheme="minorHAnsi"/>
          <w:b/>
          <w:bCs/>
          <w:sz w:val="24"/>
          <w:szCs w:val="24"/>
          <w:lang w:val="el-GR"/>
        </w:rPr>
        <w:t>ανατεθεί</w:t>
      </w:r>
      <w:r w:rsidRPr="00C93751">
        <w:rPr>
          <w:rFonts w:cstheme="minorHAnsi"/>
          <w:b/>
          <w:bCs/>
          <w:sz w:val="24"/>
          <w:szCs w:val="24"/>
          <w:lang w:val="el-GR"/>
        </w:rPr>
        <w:t xml:space="preserve"> </w:t>
      </w:r>
      <w:r>
        <w:rPr>
          <w:rFonts w:cstheme="minorHAnsi"/>
          <w:b/>
          <w:bCs/>
          <w:sz w:val="24"/>
          <w:szCs w:val="24"/>
          <w:lang w:val="el-GR"/>
        </w:rPr>
        <w:t>ανώτατα εκτελεστικά</w:t>
      </w:r>
      <w:r w:rsidRPr="00C93751">
        <w:rPr>
          <w:rFonts w:cstheme="minorHAnsi"/>
          <w:b/>
          <w:bCs/>
          <w:sz w:val="24"/>
          <w:szCs w:val="24"/>
          <w:lang w:val="el-GR"/>
        </w:rPr>
        <w:t xml:space="preserve"> </w:t>
      </w:r>
      <w:r>
        <w:rPr>
          <w:rFonts w:cstheme="minorHAnsi"/>
          <w:b/>
          <w:bCs/>
          <w:sz w:val="24"/>
          <w:szCs w:val="24"/>
          <w:lang w:val="el-GR"/>
        </w:rPr>
        <w:t xml:space="preserve">καθήκοντα </w:t>
      </w:r>
      <w:r w:rsidRPr="00C93751">
        <w:rPr>
          <w:rFonts w:cstheme="minorHAnsi"/>
          <w:b/>
          <w:bCs/>
          <w:sz w:val="24"/>
          <w:szCs w:val="24"/>
          <w:lang w:val="el-GR"/>
        </w:rPr>
        <w:t>(</w:t>
      </w:r>
      <w:r>
        <w:rPr>
          <w:rFonts w:cstheme="minorHAnsi"/>
          <w:b/>
          <w:bCs/>
          <w:sz w:val="24"/>
          <w:szCs w:val="24"/>
          <w:lang w:val="el-GR"/>
        </w:rPr>
        <w:t>συμπεριλαμβανομένων</w:t>
      </w:r>
      <w:r w:rsidRPr="00C93751">
        <w:rPr>
          <w:rFonts w:cstheme="minorHAnsi"/>
          <w:b/>
          <w:bCs/>
          <w:sz w:val="24"/>
          <w:szCs w:val="24"/>
          <w:lang w:val="el-GR"/>
        </w:rPr>
        <w:t xml:space="preserve"> </w:t>
      </w:r>
      <w:r>
        <w:rPr>
          <w:rFonts w:cstheme="minorHAnsi"/>
          <w:b/>
          <w:bCs/>
          <w:sz w:val="24"/>
          <w:szCs w:val="24"/>
          <w:lang w:val="el-GR"/>
        </w:rPr>
        <w:t>των</w:t>
      </w:r>
      <w:r w:rsidRPr="00C93751">
        <w:rPr>
          <w:rFonts w:cstheme="minorHAnsi"/>
          <w:b/>
          <w:bCs/>
          <w:sz w:val="24"/>
          <w:szCs w:val="24"/>
          <w:lang w:val="el-GR"/>
        </w:rPr>
        <w:t xml:space="preserve"> </w:t>
      </w:r>
      <w:r>
        <w:rPr>
          <w:rFonts w:cstheme="minorHAnsi"/>
          <w:b/>
          <w:bCs/>
          <w:sz w:val="24"/>
          <w:szCs w:val="24"/>
          <w:lang w:val="el-GR"/>
        </w:rPr>
        <w:t>αναπληρωτών εκπροσώπων</w:t>
      </w:r>
      <w:r w:rsidRPr="00C93751">
        <w:rPr>
          <w:rFonts w:cstheme="minorHAnsi"/>
          <w:b/>
          <w:bCs/>
          <w:sz w:val="24"/>
          <w:szCs w:val="24"/>
          <w:lang w:val="el-GR"/>
        </w:rPr>
        <w:t xml:space="preserve">, </w:t>
      </w:r>
      <w:r>
        <w:rPr>
          <w:rFonts w:cstheme="minorHAnsi"/>
          <w:b/>
          <w:bCs/>
          <w:sz w:val="24"/>
          <w:szCs w:val="24"/>
          <w:lang w:val="el-GR"/>
        </w:rPr>
        <w:t>του</w:t>
      </w:r>
      <w:r w:rsidRPr="00C93751">
        <w:rPr>
          <w:rFonts w:cstheme="minorHAnsi"/>
          <w:b/>
          <w:bCs/>
          <w:sz w:val="24"/>
          <w:szCs w:val="24"/>
          <w:lang w:val="el-GR"/>
        </w:rPr>
        <w:t xml:space="preserve"> </w:t>
      </w:r>
      <w:r>
        <w:rPr>
          <w:rFonts w:cstheme="minorHAnsi"/>
          <w:b/>
          <w:bCs/>
          <w:sz w:val="24"/>
          <w:szCs w:val="24"/>
          <w:lang w:val="el-GR"/>
        </w:rPr>
        <w:t>διευθυντή</w:t>
      </w:r>
      <w:r w:rsidRPr="00C93751">
        <w:rPr>
          <w:rFonts w:cstheme="minorHAnsi"/>
          <w:b/>
          <w:bCs/>
          <w:sz w:val="24"/>
          <w:szCs w:val="24"/>
          <w:lang w:val="el-GR"/>
        </w:rPr>
        <w:t xml:space="preserve"> </w:t>
      </w:r>
      <w:r>
        <w:rPr>
          <w:rFonts w:cstheme="minorHAnsi"/>
          <w:b/>
          <w:bCs/>
          <w:sz w:val="24"/>
          <w:szCs w:val="24"/>
          <w:lang w:val="el-GR"/>
        </w:rPr>
        <w:t>του</w:t>
      </w:r>
      <w:r w:rsidRPr="00C93751">
        <w:rPr>
          <w:rFonts w:cstheme="minorHAnsi"/>
          <w:b/>
          <w:bCs/>
          <w:sz w:val="24"/>
          <w:szCs w:val="24"/>
          <w:lang w:val="el-GR"/>
        </w:rPr>
        <w:t xml:space="preserve"> </w:t>
      </w:r>
      <w:r>
        <w:rPr>
          <w:rFonts w:cstheme="minorHAnsi"/>
          <w:b/>
          <w:bCs/>
          <w:sz w:val="24"/>
          <w:szCs w:val="24"/>
          <w:lang w:val="el-GR"/>
        </w:rPr>
        <w:t>Γραφείου</w:t>
      </w:r>
      <w:r w:rsidRPr="00C93751">
        <w:rPr>
          <w:rFonts w:cstheme="minorHAnsi"/>
          <w:b/>
          <w:bCs/>
          <w:sz w:val="24"/>
          <w:szCs w:val="24"/>
          <w:lang w:val="el-GR"/>
        </w:rPr>
        <w:t xml:space="preserve"> </w:t>
      </w:r>
      <w:r>
        <w:rPr>
          <w:rFonts w:cstheme="minorHAnsi"/>
          <w:b/>
          <w:bCs/>
          <w:sz w:val="24"/>
          <w:szCs w:val="24"/>
          <w:lang w:val="el-GR"/>
        </w:rPr>
        <w:t>Τύπου</w:t>
      </w:r>
      <w:r w:rsidRPr="00C93751">
        <w:rPr>
          <w:rFonts w:cstheme="minorHAnsi"/>
          <w:b/>
          <w:bCs/>
          <w:sz w:val="24"/>
          <w:szCs w:val="24"/>
          <w:lang w:val="el-GR"/>
        </w:rPr>
        <w:t xml:space="preserve"> </w:t>
      </w:r>
      <w:r>
        <w:rPr>
          <w:rFonts w:cstheme="minorHAnsi"/>
          <w:b/>
          <w:bCs/>
          <w:sz w:val="24"/>
          <w:szCs w:val="24"/>
          <w:lang w:val="el-GR"/>
        </w:rPr>
        <w:t>του</w:t>
      </w:r>
      <w:r w:rsidRPr="00C93751">
        <w:rPr>
          <w:rFonts w:cstheme="minorHAnsi"/>
          <w:b/>
          <w:bCs/>
          <w:sz w:val="24"/>
          <w:szCs w:val="24"/>
          <w:lang w:val="el-GR"/>
        </w:rPr>
        <w:t xml:space="preserve"> </w:t>
      </w:r>
      <w:r>
        <w:rPr>
          <w:rFonts w:cstheme="minorHAnsi"/>
          <w:b/>
          <w:bCs/>
          <w:sz w:val="24"/>
          <w:szCs w:val="24"/>
          <w:lang w:val="el-GR"/>
        </w:rPr>
        <w:t>Προέδρου</w:t>
      </w:r>
      <w:r w:rsidRPr="00C93751">
        <w:rPr>
          <w:rFonts w:cstheme="minorHAnsi"/>
          <w:b/>
          <w:bCs/>
          <w:sz w:val="24"/>
          <w:szCs w:val="24"/>
          <w:lang w:val="el-GR"/>
        </w:rPr>
        <w:t xml:space="preserve">, </w:t>
      </w:r>
      <w:r>
        <w:rPr>
          <w:rFonts w:cstheme="minorHAnsi"/>
          <w:b/>
          <w:bCs/>
          <w:sz w:val="24"/>
          <w:szCs w:val="24"/>
          <w:lang w:val="el-GR"/>
        </w:rPr>
        <w:t>των συμβούλων του</w:t>
      </w:r>
      <w:r w:rsidRPr="00C93751">
        <w:rPr>
          <w:rFonts w:cstheme="minorHAnsi"/>
          <w:b/>
          <w:bCs/>
          <w:sz w:val="24"/>
          <w:szCs w:val="24"/>
          <w:lang w:val="el-GR"/>
        </w:rPr>
        <w:t xml:space="preserve"> </w:t>
      </w:r>
      <w:r>
        <w:rPr>
          <w:rFonts w:cstheme="minorHAnsi"/>
          <w:b/>
          <w:bCs/>
          <w:sz w:val="24"/>
          <w:szCs w:val="24"/>
          <w:lang w:val="el-GR"/>
        </w:rPr>
        <w:t>Προέδρου</w:t>
      </w:r>
      <w:r w:rsidRPr="00C93751">
        <w:rPr>
          <w:rFonts w:cstheme="minorHAnsi"/>
          <w:b/>
          <w:bCs/>
          <w:sz w:val="24"/>
          <w:szCs w:val="24"/>
          <w:lang w:val="el-GR"/>
        </w:rPr>
        <w:t xml:space="preserve"> </w:t>
      </w:r>
      <w:r>
        <w:rPr>
          <w:rFonts w:cstheme="minorHAnsi"/>
          <w:b/>
          <w:bCs/>
          <w:sz w:val="24"/>
          <w:szCs w:val="24"/>
          <w:lang w:val="el-GR"/>
        </w:rPr>
        <w:t>και</w:t>
      </w:r>
      <w:r w:rsidRPr="00C93751">
        <w:rPr>
          <w:rFonts w:cstheme="minorHAnsi"/>
          <w:b/>
          <w:bCs/>
          <w:sz w:val="24"/>
          <w:szCs w:val="24"/>
          <w:lang w:val="el-GR"/>
        </w:rPr>
        <w:t xml:space="preserve"> </w:t>
      </w:r>
      <w:r>
        <w:rPr>
          <w:rFonts w:cstheme="minorHAnsi"/>
          <w:b/>
          <w:bCs/>
          <w:sz w:val="24"/>
          <w:szCs w:val="24"/>
          <w:lang w:val="el-GR"/>
        </w:rPr>
        <w:t xml:space="preserve">των </w:t>
      </w:r>
      <w:r w:rsidRPr="000538B6">
        <w:rPr>
          <w:rFonts w:cstheme="minorHAnsi"/>
          <w:b/>
          <w:bCs/>
          <w:sz w:val="24"/>
          <w:szCs w:val="24"/>
        </w:rPr>
        <w:t>CPTA</w:t>
      </w:r>
      <w:r>
        <w:rPr>
          <w:rFonts w:cstheme="minorHAnsi"/>
          <w:b/>
          <w:bCs/>
          <w:sz w:val="24"/>
          <w:szCs w:val="24"/>
          <w:lang w:val="en-US"/>
        </w:rPr>
        <w:t>s</w:t>
      </w:r>
      <w:r w:rsidRPr="00C93751">
        <w:rPr>
          <w:rFonts w:cstheme="minorHAnsi"/>
          <w:b/>
          <w:bCs/>
          <w:sz w:val="24"/>
          <w:szCs w:val="24"/>
          <w:lang w:val="el-GR"/>
        </w:rPr>
        <w:t xml:space="preserve"> </w:t>
      </w:r>
      <w:r>
        <w:rPr>
          <w:rFonts w:cstheme="minorHAnsi"/>
          <w:b/>
          <w:bCs/>
          <w:sz w:val="24"/>
          <w:szCs w:val="24"/>
          <w:lang w:val="el-GR"/>
        </w:rPr>
        <w:t>που</w:t>
      </w:r>
      <w:r w:rsidRPr="00C93751">
        <w:rPr>
          <w:rFonts w:cstheme="minorHAnsi"/>
          <w:b/>
          <w:bCs/>
          <w:sz w:val="24"/>
          <w:szCs w:val="24"/>
          <w:lang w:val="el-GR"/>
        </w:rPr>
        <w:t xml:space="preserve"> </w:t>
      </w:r>
      <w:r>
        <w:rPr>
          <w:rFonts w:cstheme="minorHAnsi"/>
          <w:b/>
          <w:bCs/>
          <w:sz w:val="24"/>
          <w:szCs w:val="24"/>
          <w:lang w:val="el-GR"/>
        </w:rPr>
        <w:t>έχουν</w:t>
      </w:r>
      <w:r w:rsidRPr="00C93751">
        <w:rPr>
          <w:rFonts w:cstheme="minorHAnsi"/>
          <w:b/>
          <w:bCs/>
          <w:sz w:val="24"/>
          <w:szCs w:val="24"/>
          <w:lang w:val="el-GR"/>
        </w:rPr>
        <w:t xml:space="preserve"> </w:t>
      </w:r>
      <w:r>
        <w:rPr>
          <w:rFonts w:cstheme="minorHAnsi"/>
          <w:b/>
          <w:bCs/>
          <w:sz w:val="24"/>
          <w:szCs w:val="24"/>
          <w:lang w:val="el-GR"/>
        </w:rPr>
        <w:t>προσληφθεί</w:t>
      </w:r>
      <w:r w:rsidRPr="00C93751">
        <w:rPr>
          <w:rFonts w:cstheme="minorHAnsi"/>
          <w:b/>
          <w:bCs/>
          <w:sz w:val="24"/>
          <w:szCs w:val="24"/>
          <w:lang w:val="el-GR"/>
        </w:rPr>
        <w:t xml:space="preserve"> </w:t>
      </w:r>
      <w:r>
        <w:rPr>
          <w:rFonts w:cstheme="minorHAnsi"/>
          <w:b/>
          <w:bCs/>
          <w:sz w:val="24"/>
          <w:szCs w:val="24"/>
          <w:lang w:val="el-GR"/>
        </w:rPr>
        <w:t>κατά</w:t>
      </w:r>
      <w:r w:rsidRPr="00C93751">
        <w:rPr>
          <w:rFonts w:cstheme="minorHAnsi"/>
          <w:b/>
          <w:bCs/>
          <w:sz w:val="24"/>
          <w:szCs w:val="24"/>
          <w:lang w:val="el-GR"/>
        </w:rPr>
        <w:t xml:space="preserve"> </w:t>
      </w:r>
      <w:r>
        <w:rPr>
          <w:rFonts w:cstheme="minorHAnsi"/>
          <w:b/>
          <w:bCs/>
          <w:sz w:val="24"/>
          <w:szCs w:val="24"/>
          <w:lang w:val="el-GR"/>
        </w:rPr>
        <w:t>τη διακριτική ευχέρεια της</w:t>
      </w:r>
      <w:r w:rsidRPr="00C93751">
        <w:rPr>
          <w:rFonts w:cstheme="minorHAnsi"/>
          <w:b/>
          <w:bCs/>
          <w:sz w:val="24"/>
          <w:szCs w:val="24"/>
          <w:lang w:val="el-GR"/>
        </w:rPr>
        <w:t xml:space="preserve"> </w:t>
      </w:r>
      <w:r>
        <w:rPr>
          <w:rFonts w:cstheme="minorHAnsi"/>
          <w:b/>
          <w:bCs/>
          <w:sz w:val="24"/>
          <w:szCs w:val="24"/>
          <w:lang w:val="el-GR"/>
        </w:rPr>
        <w:t>κεντρικής</w:t>
      </w:r>
      <w:r w:rsidRPr="00C93751">
        <w:rPr>
          <w:rFonts w:cstheme="minorHAnsi"/>
          <w:b/>
          <w:bCs/>
          <w:sz w:val="24"/>
          <w:szCs w:val="24"/>
          <w:lang w:val="el-GR"/>
        </w:rPr>
        <w:t xml:space="preserve"> </w:t>
      </w:r>
      <w:r>
        <w:rPr>
          <w:rFonts w:cstheme="minorHAnsi"/>
          <w:b/>
          <w:bCs/>
          <w:sz w:val="24"/>
          <w:szCs w:val="24"/>
          <w:lang w:val="el-GR"/>
        </w:rPr>
        <w:t>κυβέρνησης</w:t>
      </w:r>
      <w:r w:rsidRPr="00C93751">
        <w:rPr>
          <w:rFonts w:cstheme="minorHAnsi"/>
          <w:b/>
          <w:bCs/>
          <w:sz w:val="24"/>
          <w:szCs w:val="24"/>
          <w:lang w:val="el-GR"/>
        </w:rPr>
        <w:t xml:space="preserve"> </w:t>
      </w:r>
      <w:r>
        <w:rPr>
          <w:rFonts w:cstheme="minorHAnsi"/>
          <w:b/>
          <w:bCs/>
          <w:sz w:val="24"/>
          <w:szCs w:val="24"/>
          <w:lang w:val="el-GR"/>
        </w:rPr>
        <w:t>για</w:t>
      </w:r>
      <w:r w:rsidRPr="00C93751">
        <w:rPr>
          <w:rFonts w:cstheme="minorHAnsi"/>
          <w:b/>
          <w:bCs/>
          <w:sz w:val="24"/>
          <w:szCs w:val="24"/>
          <w:lang w:val="el-GR"/>
        </w:rPr>
        <w:t xml:space="preserve"> </w:t>
      </w:r>
      <w:r>
        <w:rPr>
          <w:rFonts w:cstheme="minorHAnsi"/>
          <w:b/>
          <w:bCs/>
          <w:sz w:val="24"/>
          <w:szCs w:val="24"/>
          <w:lang w:val="el-GR"/>
        </w:rPr>
        <w:t>να</w:t>
      </w:r>
      <w:r w:rsidRPr="00C93751">
        <w:rPr>
          <w:rFonts w:cstheme="minorHAnsi"/>
          <w:b/>
          <w:bCs/>
          <w:sz w:val="24"/>
          <w:szCs w:val="24"/>
          <w:lang w:val="el-GR"/>
        </w:rPr>
        <w:t xml:space="preserve"> </w:t>
      </w:r>
      <w:r>
        <w:rPr>
          <w:rFonts w:cstheme="minorHAnsi"/>
          <w:b/>
          <w:bCs/>
          <w:sz w:val="24"/>
          <w:szCs w:val="24"/>
          <w:lang w:val="el-GR"/>
        </w:rPr>
        <w:t>συμβουλεύουν</w:t>
      </w:r>
      <w:r w:rsidRPr="00C93751">
        <w:rPr>
          <w:rFonts w:cstheme="minorHAnsi"/>
          <w:b/>
          <w:bCs/>
          <w:sz w:val="24"/>
          <w:szCs w:val="24"/>
          <w:lang w:val="el-GR"/>
        </w:rPr>
        <w:t xml:space="preserve"> </w:t>
      </w:r>
      <w:r>
        <w:rPr>
          <w:rFonts w:cstheme="minorHAnsi"/>
          <w:b/>
          <w:bCs/>
          <w:sz w:val="24"/>
          <w:szCs w:val="24"/>
          <w:lang w:val="el-GR"/>
        </w:rPr>
        <w:t>τα</w:t>
      </w:r>
      <w:r w:rsidRPr="00C93751">
        <w:rPr>
          <w:rFonts w:cstheme="minorHAnsi"/>
          <w:b/>
          <w:bCs/>
          <w:sz w:val="24"/>
          <w:szCs w:val="24"/>
          <w:lang w:val="el-GR"/>
        </w:rPr>
        <w:t xml:space="preserve"> </w:t>
      </w:r>
      <w:r>
        <w:rPr>
          <w:rFonts w:cstheme="minorHAnsi"/>
          <w:b/>
          <w:bCs/>
          <w:sz w:val="24"/>
          <w:szCs w:val="24"/>
          <w:lang w:val="el-GR"/>
        </w:rPr>
        <w:t>άτομα</w:t>
      </w:r>
      <w:r w:rsidRPr="00C93751">
        <w:rPr>
          <w:rFonts w:cstheme="minorHAnsi"/>
          <w:b/>
          <w:bCs/>
          <w:sz w:val="24"/>
          <w:szCs w:val="24"/>
          <w:lang w:val="el-GR"/>
        </w:rPr>
        <w:t xml:space="preserve"> </w:t>
      </w:r>
      <w:r>
        <w:rPr>
          <w:rFonts w:cstheme="minorHAnsi"/>
          <w:b/>
          <w:bCs/>
          <w:sz w:val="24"/>
          <w:szCs w:val="24"/>
          <w:lang w:val="el-GR"/>
        </w:rPr>
        <w:t>που</w:t>
      </w:r>
      <w:r w:rsidRPr="00C93751">
        <w:rPr>
          <w:rFonts w:cstheme="minorHAnsi"/>
          <w:b/>
          <w:bCs/>
          <w:sz w:val="24"/>
          <w:szCs w:val="24"/>
          <w:lang w:val="el-GR"/>
        </w:rPr>
        <w:t xml:space="preserve"> </w:t>
      </w:r>
      <w:r>
        <w:rPr>
          <w:rFonts w:cstheme="minorHAnsi"/>
          <w:b/>
          <w:bCs/>
          <w:sz w:val="24"/>
          <w:szCs w:val="24"/>
          <w:lang w:val="el-GR"/>
        </w:rPr>
        <w:t>τους</w:t>
      </w:r>
      <w:r w:rsidRPr="00C93751">
        <w:rPr>
          <w:rFonts w:cstheme="minorHAnsi"/>
          <w:b/>
          <w:bCs/>
          <w:sz w:val="24"/>
          <w:szCs w:val="24"/>
          <w:lang w:val="el-GR"/>
        </w:rPr>
        <w:t xml:space="preserve"> </w:t>
      </w:r>
      <w:r>
        <w:rPr>
          <w:rFonts w:cstheme="minorHAnsi"/>
          <w:b/>
          <w:bCs/>
          <w:sz w:val="24"/>
          <w:szCs w:val="24"/>
          <w:lang w:val="el-GR"/>
        </w:rPr>
        <w:t>έχουν</w:t>
      </w:r>
      <w:r w:rsidRPr="00C93751">
        <w:rPr>
          <w:rFonts w:cstheme="minorHAnsi"/>
          <w:b/>
          <w:bCs/>
          <w:sz w:val="24"/>
          <w:szCs w:val="24"/>
          <w:lang w:val="el-GR"/>
        </w:rPr>
        <w:t xml:space="preserve"> </w:t>
      </w:r>
      <w:r>
        <w:rPr>
          <w:rFonts w:cstheme="minorHAnsi"/>
          <w:b/>
          <w:bCs/>
          <w:sz w:val="24"/>
          <w:szCs w:val="24"/>
          <w:lang w:val="el-GR"/>
        </w:rPr>
        <w:t>ανατεθεί ανώτατα εκτελεστικά καθήκοντα</w:t>
      </w:r>
      <w:r w:rsidRPr="00C93751">
        <w:rPr>
          <w:rFonts w:cstheme="minorHAnsi"/>
          <w:b/>
          <w:bCs/>
          <w:sz w:val="24"/>
          <w:szCs w:val="24"/>
          <w:lang w:val="el-GR"/>
        </w:rPr>
        <w:t xml:space="preserve">) </w:t>
      </w:r>
      <w:r>
        <w:rPr>
          <w:rFonts w:cstheme="minorHAnsi"/>
          <w:b/>
          <w:bCs/>
          <w:sz w:val="24"/>
          <w:szCs w:val="24"/>
          <w:lang w:val="el-GR"/>
        </w:rPr>
        <w:t>το</w:t>
      </w:r>
      <w:r w:rsidR="001401A3">
        <w:rPr>
          <w:rFonts w:cstheme="minorHAnsi"/>
          <w:b/>
          <w:bCs/>
          <w:sz w:val="24"/>
          <w:szCs w:val="24"/>
          <w:lang w:val="el-GR"/>
        </w:rPr>
        <w:t>υ</w:t>
      </w:r>
      <w:r w:rsidRPr="00C93751">
        <w:rPr>
          <w:rFonts w:cstheme="minorHAnsi"/>
          <w:b/>
          <w:bCs/>
          <w:sz w:val="24"/>
          <w:szCs w:val="24"/>
          <w:lang w:val="el-GR"/>
        </w:rPr>
        <w:t xml:space="preserve"> </w:t>
      </w:r>
      <w:r>
        <w:rPr>
          <w:rFonts w:cstheme="minorHAnsi"/>
          <w:b/>
          <w:bCs/>
          <w:sz w:val="24"/>
          <w:szCs w:val="24"/>
          <w:lang w:val="el-GR"/>
        </w:rPr>
        <w:t>καθήκον</w:t>
      </w:r>
      <w:r w:rsidR="001401A3">
        <w:rPr>
          <w:rFonts w:cstheme="minorHAnsi"/>
          <w:b/>
          <w:bCs/>
          <w:sz w:val="24"/>
          <w:szCs w:val="24"/>
          <w:lang w:val="el-GR"/>
        </w:rPr>
        <w:t>τος</w:t>
      </w:r>
      <w:r w:rsidRPr="00C93751">
        <w:rPr>
          <w:rFonts w:cstheme="minorHAnsi"/>
          <w:b/>
          <w:bCs/>
          <w:sz w:val="24"/>
          <w:szCs w:val="24"/>
          <w:lang w:val="el-GR"/>
        </w:rPr>
        <w:t xml:space="preserve"> </w:t>
      </w:r>
      <w:r>
        <w:rPr>
          <w:rFonts w:cstheme="minorHAnsi"/>
          <w:b/>
          <w:bCs/>
          <w:sz w:val="24"/>
          <w:szCs w:val="24"/>
          <w:lang w:val="el-GR"/>
        </w:rPr>
        <w:t>να</w:t>
      </w:r>
      <w:r w:rsidRPr="00C93751">
        <w:rPr>
          <w:rFonts w:cstheme="minorHAnsi"/>
          <w:b/>
          <w:bCs/>
          <w:sz w:val="24"/>
          <w:szCs w:val="24"/>
          <w:lang w:val="el-GR"/>
        </w:rPr>
        <w:t xml:space="preserve"> </w:t>
      </w:r>
      <w:r>
        <w:rPr>
          <w:rFonts w:cstheme="minorHAnsi"/>
          <w:b/>
          <w:bCs/>
          <w:sz w:val="24"/>
          <w:szCs w:val="24"/>
          <w:lang w:val="el-GR"/>
        </w:rPr>
        <w:t>δηλώνουν</w:t>
      </w:r>
      <w:r w:rsidRPr="00C93751">
        <w:rPr>
          <w:rFonts w:cstheme="minorHAnsi"/>
          <w:b/>
          <w:bCs/>
          <w:sz w:val="24"/>
          <w:szCs w:val="24"/>
          <w:lang w:val="el-GR"/>
        </w:rPr>
        <w:t xml:space="preserve"> </w:t>
      </w:r>
      <w:r>
        <w:rPr>
          <w:rFonts w:cstheme="minorHAnsi"/>
          <w:b/>
          <w:bCs/>
          <w:sz w:val="24"/>
          <w:szCs w:val="24"/>
          <w:lang w:val="el-GR"/>
        </w:rPr>
        <w:t>τα</w:t>
      </w:r>
      <w:r w:rsidRPr="00C93751">
        <w:rPr>
          <w:rFonts w:cstheme="minorHAnsi"/>
          <w:b/>
          <w:bCs/>
          <w:sz w:val="24"/>
          <w:szCs w:val="24"/>
          <w:lang w:val="el-GR"/>
        </w:rPr>
        <w:t xml:space="preserve"> </w:t>
      </w:r>
      <w:r>
        <w:rPr>
          <w:rFonts w:cstheme="minorHAnsi"/>
          <w:b/>
          <w:bCs/>
          <w:sz w:val="24"/>
          <w:szCs w:val="24"/>
          <w:lang w:val="el-GR"/>
        </w:rPr>
        <w:t>οικονομικά</w:t>
      </w:r>
      <w:r w:rsidRPr="00C93751">
        <w:rPr>
          <w:rFonts w:cstheme="minorHAnsi"/>
          <w:b/>
          <w:bCs/>
          <w:sz w:val="24"/>
          <w:szCs w:val="24"/>
          <w:lang w:val="el-GR"/>
        </w:rPr>
        <w:t xml:space="preserve"> </w:t>
      </w:r>
      <w:r>
        <w:rPr>
          <w:rFonts w:cstheme="minorHAnsi"/>
          <w:b/>
          <w:bCs/>
          <w:sz w:val="24"/>
          <w:szCs w:val="24"/>
          <w:lang w:val="el-GR"/>
        </w:rPr>
        <w:t>συμφέροντα</w:t>
      </w:r>
      <w:r w:rsidRPr="00C93751">
        <w:rPr>
          <w:rFonts w:cstheme="minorHAnsi"/>
          <w:b/>
          <w:bCs/>
          <w:sz w:val="24"/>
          <w:szCs w:val="24"/>
          <w:lang w:val="el-GR"/>
        </w:rPr>
        <w:t xml:space="preserve"> </w:t>
      </w:r>
      <w:r>
        <w:rPr>
          <w:rFonts w:cstheme="minorHAnsi"/>
          <w:b/>
          <w:bCs/>
          <w:sz w:val="24"/>
          <w:szCs w:val="24"/>
          <w:lang w:val="el-GR"/>
        </w:rPr>
        <w:t>τους</w:t>
      </w:r>
      <w:r w:rsidRPr="00C93751">
        <w:rPr>
          <w:rFonts w:cstheme="minorHAnsi"/>
          <w:b/>
          <w:bCs/>
          <w:sz w:val="24"/>
          <w:szCs w:val="24"/>
          <w:lang w:val="el-GR"/>
        </w:rPr>
        <w:t xml:space="preserve">, </w:t>
      </w:r>
      <w:r>
        <w:rPr>
          <w:rFonts w:cstheme="minorHAnsi"/>
          <w:b/>
          <w:bCs/>
          <w:sz w:val="24"/>
          <w:szCs w:val="24"/>
          <w:lang w:val="el-GR"/>
        </w:rPr>
        <w:t>και</w:t>
      </w:r>
      <w:r w:rsidRPr="00C93751">
        <w:rPr>
          <w:rFonts w:cstheme="minorHAnsi"/>
          <w:b/>
          <w:bCs/>
          <w:sz w:val="24"/>
          <w:szCs w:val="24"/>
          <w:lang w:val="el-GR"/>
        </w:rPr>
        <w:t xml:space="preserve"> </w:t>
      </w:r>
      <w:r>
        <w:rPr>
          <w:rFonts w:cstheme="minorHAnsi"/>
          <w:b/>
          <w:bCs/>
          <w:sz w:val="24"/>
          <w:szCs w:val="24"/>
          <w:lang w:val="el-GR"/>
        </w:rPr>
        <w:t>να</w:t>
      </w:r>
      <w:r w:rsidRPr="00C93751">
        <w:rPr>
          <w:rFonts w:cstheme="minorHAnsi"/>
          <w:b/>
          <w:bCs/>
          <w:sz w:val="24"/>
          <w:szCs w:val="24"/>
          <w:lang w:val="el-GR"/>
        </w:rPr>
        <w:t xml:space="preserve"> </w:t>
      </w:r>
      <w:r>
        <w:rPr>
          <w:rFonts w:cstheme="minorHAnsi"/>
          <w:b/>
          <w:bCs/>
          <w:sz w:val="24"/>
          <w:szCs w:val="24"/>
          <w:lang w:val="el-GR"/>
        </w:rPr>
        <w:t>αξιολογηθεί η συμπερίληψη των</w:t>
      </w:r>
      <w:r w:rsidRPr="00C93751">
        <w:rPr>
          <w:rFonts w:cstheme="minorHAnsi"/>
          <w:b/>
          <w:bCs/>
          <w:sz w:val="24"/>
          <w:szCs w:val="24"/>
          <w:lang w:val="el-GR"/>
        </w:rPr>
        <w:t xml:space="preserve"> </w:t>
      </w:r>
      <w:r>
        <w:rPr>
          <w:rFonts w:cstheme="minorHAnsi"/>
          <w:b/>
          <w:bCs/>
          <w:sz w:val="24"/>
          <w:szCs w:val="24"/>
          <w:lang w:val="el-GR"/>
        </w:rPr>
        <w:t>πληροφοριών</w:t>
      </w:r>
      <w:r w:rsidRPr="00C93751">
        <w:rPr>
          <w:rFonts w:cstheme="minorHAnsi"/>
          <w:b/>
          <w:bCs/>
          <w:sz w:val="24"/>
          <w:szCs w:val="24"/>
          <w:lang w:val="el-GR"/>
        </w:rPr>
        <w:t xml:space="preserve"> </w:t>
      </w:r>
      <w:r>
        <w:rPr>
          <w:rFonts w:cstheme="minorHAnsi"/>
          <w:b/>
          <w:bCs/>
          <w:sz w:val="24"/>
          <w:szCs w:val="24"/>
          <w:lang w:val="el-GR"/>
        </w:rPr>
        <w:t>για</w:t>
      </w:r>
      <w:r w:rsidRPr="00C93751">
        <w:rPr>
          <w:rFonts w:cstheme="minorHAnsi"/>
          <w:b/>
          <w:bCs/>
          <w:sz w:val="24"/>
          <w:szCs w:val="24"/>
          <w:lang w:val="el-GR"/>
        </w:rPr>
        <w:t xml:space="preserve"> </w:t>
      </w:r>
      <w:r>
        <w:rPr>
          <w:rFonts w:cstheme="minorHAnsi"/>
          <w:b/>
          <w:bCs/>
          <w:sz w:val="24"/>
          <w:szCs w:val="24"/>
          <w:lang w:val="el-GR"/>
        </w:rPr>
        <w:t>συζύγους,</w:t>
      </w:r>
      <w:r w:rsidRPr="00C93751">
        <w:rPr>
          <w:rFonts w:cstheme="minorHAnsi"/>
          <w:b/>
          <w:bCs/>
          <w:sz w:val="24"/>
          <w:szCs w:val="24"/>
          <w:lang w:val="el-GR"/>
        </w:rPr>
        <w:t xml:space="preserve"> </w:t>
      </w:r>
      <w:r>
        <w:rPr>
          <w:rFonts w:cstheme="minorHAnsi"/>
          <w:b/>
          <w:bCs/>
          <w:sz w:val="24"/>
          <w:szCs w:val="24"/>
          <w:lang w:val="el-GR"/>
        </w:rPr>
        <w:t xml:space="preserve">πολιτικούς </w:t>
      </w:r>
      <w:proofErr w:type="spellStart"/>
      <w:r>
        <w:rPr>
          <w:rFonts w:cstheme="minorHAnsi"/>
          <w:b/>
          <w:bCs/>
          <w:sz w:val="24"/>
          <w:szCs w:val="24"/>
          <w:lang w:val="el-GR"/>
        </w:rPr>
        <w:t>συμβίους</w:t>
      </w:r>
      <w:proofErr w:type="spellEnd"/>
      <w:r>
        <w:rPr>
          <w:rFonts w:cstheme="minorHAnsi"/>
          <w:b/>
          <w:bCs/>
          <w:sz w:val="24"/>
          <w:szCs w:val="24"/>
          <w:lang w:val="el-GR"/>
        </w:rPr>
        <w:t xml:space="preserve"> και</w:t>
      </w:r>
      <w:r w:rsidRPr="00C93751">
        <w:rPr>
          <w:rFonts w:cstheme="minorHAnsi"/>
          <w:b/>
          <w:bCs/>
          <w:sz w:val="24"/>
          <w:szCs w:val="24"/>
          <w:lang w:val="el-GR"/>
        </w:rPr>
        <w:t xml:space="preserve"> </w:t>
      </w:r>
      <w:r>
        <w:rPr>
          <w:rFonts w:cstheme="minorHAnsi"/>
          <w:b/>
          <w:bCs/>
          <w:sz w:val="24"/>
          <w:szCs w:val="24"/>
          <w:lang w:val="el-GR"/>
        </w:rPr>
        <w:t>εξαρτώμενα</w:t>
      </w:r>
      <w:r w:rsidRPr="00C93751">
        <w:rPr>
          <w:rFonts w:cstheme="minorHAnsi"/>
          <w:b/>
          <w:bCs/>
          <w:sz w:val="24"/>
          <w:szCs w:val="24"/>
          <w:lang w:val="el-GR"/>
        </w:rPr>
        <w:t xml:space="preserve"> </w:t>
      </w:r>
      <w:r>
        <w:rPr>
          <w:rFonts w:cstheme="minorHAnsi"/>
          <w:b/>
          <w:bCs/>
          <w:sz w:val="24"/>
          <w:szCs w:val="24"/>
          <w:lang w:val="el-GR"/>
        </w:rPr>
        <w:t>μέλη της οικογένειας</w:t>
      </w:r>
      <w:r w:rsidRPr="00C93751">
        <w:rPr>
          <w:rFonts w:cstheme="minorHAnsi"/>
          <w:b/>
          <w:bCs/>
          <w:sz w:val="24"/>
          <w:szCs w:val="24"/>
          <w:lang w:val="el-GR"/>
        </w:rPr>
        <w:t>, (</w:t>
      </w:r>
      <w:r>
        <w:rPr>
          <w:rFonts w:cstheme="minorHAnsi"/>
          <w:b/>
          <w:bCs/>
          <w:sz w:val="24"/>
          <w:szCs w:val="24"/>
          <w:lang w:val="el-GR"/>
        </w:rPr>
        <w:t xml:space="preserve">είναι </w:t>
      </w:r>
      <w:r w:rsidR="00095BDE">
        <w:rPr>
          <w:rFonts w:cstheme="minorHAnsi"/>
          <w:b/>
          <w:bCs/>
          <w:sz w:val="24"/>
          <w:szCs w:val="24"/>
          <w:lang w:val="el-GR"/>
        </w:rPr>
        <w:t>κατανοητό</w:t>
      </w:r>
      <w:r>
        <w:rPr>
          <w:rFonts w:cstheme="minorHAnsi"/>
          <w:b/>
          <w:bCs/>
          <w:sz w:val="24"/>
          <w:szCs w:val="24"/>
          <w:lang w:val="el-GR"/>
        </w:rPr>
        <w:t xml:space="preserve"> ότι οι τελευταίες πληροφορίες</w:t>
      </w:r>
      <w:r w:rsidRPr="00C93751">
        <w:rPr>
          <w:rFonts w:cstheme="minorHAnsi"/>
          <w:b/>
          <w:bCs/>
          <w:sz w:val="24"/>
          <w:szCs w:val="24"/>
          <w:lang w:val="el-GR"/>
        </w:rPr>
        <w:t xml:space="preserve"> </w:t>
      </w:r>
      <w:r>
        <w:rPr>
          <w:rFonts w:cstheme="minorHAnsi"/>
          <w:b/>
          <w:bCs/>
          <w:sz w:val="24"/>
          <w:szCs w:val="24"/>
          <w:lang w:val="el-GR"/>
        </w:rPr>
        <w:t>δεν είναι αναγκαίο να δημοσιεύονται</w:t>
      </w:r>
      <w:r w:rsidRPr="00C93751">
        <w:rPr>
          <w:rFonts w:cstheme="minorHAnsi"/>
          <w:b/>
          <w:bCs/>
          <w:sz w:val="24"/>
          <w:szCs w:val="24"/>
          <w:lang w:val="el-GR"/>
        </w:rPr>
        <w:t xml:space="preserve">); </w:t>
      </w:r>
      <w:r w:rsidRPr="00C93751">
        <w:rPr>
          <w:rFonts w:ascii="Calibri" w:hAnsi="Calibri" w:cs="Calibri"/>
          <w:b/>
          <w:bCs/>
          <w:color w:val="000000"/>
          <w:sz w:val="24"/>
          <w:szCs w:val="24"/>
          <w:lang w:val="el-GR"/>
        </w:rPr>
        <w:t>(</w:t>
      </w:r>
      <w:r w:rsidRPr="000538B6">
        <w:rPr>
          <w:rFonts w:ascii="Calibri" w:hAnsi="Calibri" w:cs="Calibri"/>
          <w:b/>
          <w:bCs/>
          <w:color w:val="000000"/>
          <w:sz w:val="24"/>
          <w:szCs w:val="24"/>
        </w:rPr>
        <w:t>ii</w:t>
      </w:r>
      <w:r w:rsidRPr="00C93751">
        <w:rPr>
          <w:rFonts w:ascii="Calibri" w:hAnsi="Calibri" w:cs="Calibri"/>
          <w:b/>
          <w:bCs/>
          <w:color w:val="000000"/>
          <w:sz w:val="24"/>
          <w:szCs w:val="24"/>
          <w:lang w:val="el-GR"/>
        </w:rPr>
        <w:t xml:space="preserve">) </w:t>
      </w:r>
      <w:r>
        <w:rPr>
          <w:rFonts w:ascii="Calibri" w:hAnsi="Calibri" w:cs="Calibri"/>
          <w:b/>
          <w:bCs/>
          <w:color w:val="000000"/>
          <w:sz w:val="24"/>
          <w:szCs w:val="24"/>
          <w:lang w:val="el-GR"/>
        </w:rPr>
        <w:t>τον επανασχεδιασμό των δηλώσεων περιουσιακών στοιχείων</w:t>
      </w:r>
      <w:r w:rsidRPr="00C93751">
        <w:rPr>
          <w:rFonts w:ascii="Calibri" w:hAnsi="Calibri" w:cs="Calibri"/>
          <w:b/>
          <w:bCs/>
          <w:color w:val="000000"/>
          <w:sz w:val="24"/>
          <w:szCs w:val="24"/>
          <w:lang w:val="el-GR"/>
        </w:rPr>
        <w:t xml:space="preserve"> </w:t>
      </w:r>
      <w:r>
        <w:rPr>
          <w:rFonts w:ascii="Calibri" w:hAnsi="Calibri" w:cs="Calibri"/>
          <w:b/>
          <w:bCs/>
          <w:color w:val="000000"/>
          <w:sz w:val="24"/>
          <w:szCs w:val="24"/>
          <w:lang w:val="el-GR"/>
        </w:rPr>
        <w:t xml:space="preserve">για παροχή αναλυτικότερης </w:t>
      </w:r>
      <w:r w:rsidR="00095BDE">
        <w:rPr>
          <w:rFonts w:ascii="Calibri" w:hAnsi="Calibri" w:cs="Calibri"/>
          <w:b/>
          <w:bCs/>
          <w:color w:val="000000"/>
          <w:sz w:val="24"/>
          <w:szCs w:val="24"/>
          <w:lang w:val="el-GR"/>
        </w:rPr>
        <w:t>πληροφόρησης</w:t>
      </w:r>
      <w:r>
        <w:rPr>
          <w:rFonts w:ascii="Calibri" w:hAnsi="Calibri" w:cs="Calibri"/>
          <w:b/>
          <w:bCs/>
          <w:color w:val="000000"/>
          <w:sz w:val="24"/>
          <w:szCs w:val="24"/>
          <w:lang w:val="el-GR"/>
        </w:rPr>
        <w:t xml:space="preserve"> και καλύτερης </w:t>
      </w:r>
      <w:proofErr w:type="spellStart"/>
      <w:r>
        <w:rPr>
          <w:rFonts w:ascii="Calibri" w:hAnsi="Calibri" w:cs="Calibri"/>
          <w:b/>
          <w:bCs/>
          <w:color w:val="000000"/>
          <w:sz w:val="24"/>
          <w:szCs w:val="24"/>
          <w:lang w:val="el-GR"/>
        </w:rPr>
        <w:t>συγκρισιμότητας</w:t>
      </w:r>
      <w:proofErr w:type="spellEnd"/>
      <w:r w:rsidRPr="00010A1B">
        <w:rPr>
          <w:rFonts w:ascii="Calibri" w:hAnsi="Calibri" w:cs="Calibri"/>
          <w:b/>
          <w:bCs/>
          <w:color w:val="000000"/>
          <w:sz w:val="24"/>
          <w:szCs w:val="24"/>
          <w:lang w:val="el-GR"/>
        </w:rPr>
        <w:t>,</w:t>
      </w:r>
      <w:r w:rsidRPr="00C93751">
        <w:rPr>
          <w:rFonts w:ascii="Calibri" w:hAnsi="Calibri" w:cs="Calibri"/>
          <w:b/>
          <w:bCs/>
          <w:color w:val="000000"/>
          <w:sz w:val="24"/>
          <w:szCs w:val="24"/>
          <w:lang w:val="el-GR"/>
        </w:rPr>
        <w:t xml:space="preserve"> (</w:t>
      </w:r>
      <w:r w:rsidRPr="000538B6">
        <w:rPr>
          <w:rFonts w:ascii="Calibri" w:hAnsi="Calibri" w:cs="Calibri"/>
          <w:b/>
          <w:bCs/>
          <w:color w:val="000000"/>
          <w:sz w:val="24"/>
          <w:szCs w:val="24"/>
        </w:rPr>
        <w:t>iii</w:t>
      </w:r>
      <w:r w:rsidRPr="00C93751">
        <w:rPr>
          <w:rFonts w:ascii="Calibri" w:hAnsi="Calibri" w:cs="Calibri"/>
          <w:b/>
          <w:bCs/>
          <w:color w:val="000000"/>
          <w:sz w:val="24"/>
          <w:szCs w:val="24"/>
          <w:lang w:val="el-GR"/>
        </w:rPr>
        <w:t>)</w:t>
      </w:r>
      <w:r w:rsidRPr="000538B6">
        <w:rPr>
          <w:rFonts w:ascii="Calibri" w:hAnsi="Calibri" w:cs="Calibri"/>
          <w:b/>
          <w:bCs/>
          <w:color w:val="000000"/>
          <w:sz w:val="24"/>
          <w:szCs w:val="24"/>
        </w:rPr>
        <w:t> </w:t>
      </w:r>
      <w:r>
        <w:rPr>
          <w:rFonts w:ascii="Calibri" w:hAnsi="Calibri" w:cs="Calibri"/>
          <w:b/>
          <w:bCs/>
          <w:color w:val="000000"/>
          <w:sz w:val="24"/>
          <w:szCs w:val="24"/>
          <w:lang w:val="el-GR"/>
        </w:rPr>
        <w:t>την υποβολή τους</w:t>
      </w:r>
      <w:r w:rsidRPr="00C93751">
        <w:rPr>
          <w:rFonts w:ascii="Calibri" w:hAnsi="Calibri" w:cs="Calibri"/>
          <w:b/>
          <w:bCs/>
          <w:color w:val="000000"/>
          <w:sz w:val="24"/>
          <w:szCs w:val="24"/>
          <w:lang w:val="el-GR"/>
        </w:rPr>
        <w:t xml:space="preserve"> </w:t>
      </w:r>
      <w:r>
        <w:rPr>
          <w:rFonts w:ascii="Calibri" w:hAnsi="Calibri" w:cs="Calibri"/>
          <w:b/>
          <w:bCs/>
          <w:color w:val="000000"/>
          <w:sz w:val="24"/>
          <w:szCs w:val="24"/>
          <w:lang w:val="el-GR"/>
        </w:rPr>
        <w:t>διαδικτυακά</w:t>
      </w:r>
      <w:r w:rsidRPr="00C93751">
        <w:rPr>
          <w:rFonts w:ascii="Calibri" w:hAnsi="Calibri" w:cs="Calibri"/>
          <w:b/>
          <w:bCs/>
          <w:color w:val="000000"/>
          <w:sz w:val="24"/>
          <w:szCs w:val="24"/>
          <w:lang w:val="el-GR"/>
        </w:rPr>
        <w:t xml:space="preserve"> </w:t>
      </w:r>
      <w:r>
        <w:rPr>
          <w:rFonts w:ascii="Calibri" w:hAnsi="Calibri" w:cs="Calibri"/>
          <w:b/>
          <w:bCs/>
          <w:color w:val="000000"/>
          <w:sz w:val="24"/>
          <w:szCs w:val="24"/>
          <w:lang w:val="el-GR"/>
        </w:rPr>
        <w:t>σε μορφή που να είναι αναγνώσιμη από μηχανή για να επιτραπεί η αυτοματοποιημένη επεξεργασία και επαλήθευση,</w:t>
      </w:r>
      <w:r w:rsidRPr="00C93751">
        <w:rPr>
          <w:rFonts w:ascii="Calibri" w:hAnsi="Calibri" w:cs="Calibri"/>
          <w:b/>
          <w:bCs/>
          <w:color w:val="000000"/>
          <w:sz w:val="24"/>
          <w:szCs w:val="24"/>
          <w:lang w:val="el-GR"/>
        </w:rPr>
        <w:t xml:space="preserve"> </w:t>
      </w:r>
      <w:r>
        <w:rPr>
          <w:rFonts w:ascii="Calibri" w:hAnsi="Calibri" w:cs="Calibri"/>
          <w:b/>
          <w:bCs/>
          <w:color w:val="000000"/>
          <w:sz w:val="24"/>
          <w:szCs w:val="24"/>
          <w:lang w:val="el-GR"/>
        </w:rPr>
        <w:t>και</w:t>
      </w:r>
      <w:r w:rsidRPr="00C93751">
        <w:rPr>
          <w:rFonts w:ascii="Calibri" w:hAnsi="Calibri" w:cs="Calibri"/>
          <w:b/>
          <w:bCs/>
          <w:color w:val="000000"/>
          <w:sz w:val="24"/>
          <w:szCs w:val="24"/>
          <w:lang w:val="el-GR"/>
        </w:rPr>
        <w:t xml:space="preserve"> (</w:t>
      </w:r>
      <w:r w:rsidRPr="000538B6">
        <w:rPr>
          <w:rFonts w:ascii="Calibri" w:hAnsi="Calibri" w:cs="Calibri"/>
          <w:b/>
          <w:bCs/>
          <w:color w:val="000000"/>
          <w:sz w:val="24"/>
          <w:szCs w:val="24"/>
        </w:rPr>
        <w:t>iv</w:t>
      </w:r>
      <w:r w:rsidRPr="00C93751">
        <w:rPr>
          <w:rFonts w:ascii="Calibri" w:hAnsi="Calibri" w:cs="Calibri"/>
          <w:b/>
          <w:bCs/>
          <w:color w:val="000000"/>
          <w:sz w:val="24"/>
          <w:szCs w:val="24"/>
          <w:lang w:val="el-GR"/>
        </w:rPr>
        <w:t xml:space="preserve">) </w:t>
      </w:r>
      <w:r>
        <w:rPr>
          <w:rFonts w:ascii="Calibri" w:hAnsi="Calibri" w:cs="Calibri"/>
          <w:b/>
          <w:bCs/>
          <w:color w:val="000000"/>
          <w:sz w:val="24"/>
          <w:szCs w:val="24"/>
          <w:lang w:val="el-GR"/>
        </w:rPr>
        <w:t>την αναθεώρηση της συχνότητας της υποχρέωσης αποκάλυψης</w:t>
      </w:r>
      <w:r w:rsidRPr="00C93751">
        <w:rPr>
          <w:rFonts w:ascii="Calibri" w:hAnsi="Calibri" w:cs="Calibri"/>
          <w:b/>
          <w:bCs/>
          <w:color w:val="000000"/>
          <w:sz w:val="24"/>
          <w:szCs w:val="24"/>
          <w:lang w:val="el-GR"/>
        </w:rPr>
        <w:t xml:space="preserve"> </w:t>
      </w:r>
      <w:r>
        <w:rPr>
          <w:rFonts w:ascii="Calibri" w:hAnsi="Calibri" w:cs="Calibri"/>
          <w:b/>
          <w:bCs/>
          <w:color w:val="000000"/>
          <w:sz w:val="24"/>
          <w:szCs w:val="24"/>
          <w:lang w:val="el-GR"/>
        </w:rPr>
        <w:t xml:space="preserve">με σκοπό την </w:t>
      </w:r>
      <w:r w:rsidR="00095BDE">
        <w:rPr>
          <w:rFonts w:ascii="Calibri" w:hAnsi="Calibri" w:cs="Calibri"/>
          <w:b/>
          <w:bCs/>
          <w:color w:val="000000"/>
          <w:sz w:val="24"/>
          <w:szCs w:val="24"/>
          <w:lang w:val="el-GR"/>
        </w:rPr>
        <w:t>ενίσχυση</w:t>
      </w:r>
      <w:r>
        <w:rPr>
          <w:rFonts w:ascii="Calibri" w:hAnsi="Calibri" w:cs="Calibri"/>
          <w:b/>
          <w:bCs/>
          <w:color w:val="000000"/>
          <w:sz w:val="24"/>
          <w:szCs w:val="24"/>
          <w:lang w:val="el-GR"/>
        </w:rPr>
        <w:t xml:space="preserve"> της χρησιμότητας των πληροφοριών που παραλαμβάνονται</w:t>
      </w:r>
      <w:r w:rsidRPr="00C93751">
        <w:rPr>
          <w:rFonts w:ascii="Calibri" w:hAnsi="Calibri" w:cs="Calibri"/>
          <w:b/>
          <w:bCs/>
          <w:color w:val="000000"/>
          <w:sz w:val="24"/>
          <w:szCs w:val="24"/>
          <w:lang w:val="el-GR"/>
        </w:rPr>
        <w:t xml:space="preserve"> </w:t>
      </w:r>
      <w:r>
        <w:rPr>
          <w:rFonts w:ascii="Calibri" w:hAnsi="Calibri" w:cs="Calibri"/>
          <w:b/>
          <w:bCs/>
          <w:color w:val="000000"/>
          <w:sz w:val="24"/>
          <w:szCs w:val="24"/>
          <w:lang w:val="el-GR"/>
        </w:rPr>
        <w:t xml:space="preserve">και τη συνολική αποτελεσματικότητα του συστήματος </w:t>
      </w:r>
      <w:r w:rsidRPr="00C94A0B">
        <w:rPr>
          <w:rFonts w:ascii="Calibri" w:hAnsi="Calibri" w:cs="Calibri"/>
          <w:color w:val="000000"/>
          <w:sz w:val="24"/>
          <w:szCs w:val="24"/>
          <w:lang w:val="el-GR"/>
        </w:rPr>
        <w:t>(</w:t>
      </w:r>
      <w:r>
        <w:rPr>
          <w:rFonts w:ascii="Calibri" w:hAnsi="Calibri" w:cs="Calibri"/>
          <w:color w:val="000000"/>
          <w:sz w:val="24"/>
          <w:szCs w:val="24"/>
          <w:lang w:val="el-GR"/>
        </w:rPr>
        <w:t>παράγραφος</w:t>
      </w:r>
      <w:r w:rsidRPr="00C94A0B">
        <w:rPr>
          <w:rFonts w:ascii="Calibri" w:hAnsi="Calibri" w:cs="Calibri"/>
          <w:color w:val="000000"/>
          <w:sz w:val="24"/>
          <w:szCs w:val="24"/>
          <w:lang w:val="el-GR"/>
        </w:rPr>
        <w:t xml:space="preserve"> 129)</w:t>
      </w:r>
      <w:r w:rsidRPr="00C94A0B">
        <w:rPr>
          <w:rFonts w:cs="Calibri"/>
          <w:b/>
          <w:bCs/>
          <w:sz w:val="24"/>
          <w:szCs w:val="24"/>
          <w:lang w:val="el-GR"/>
        </w:rPr>
        <w:t>,</w:t>
      </w:r>
    </w:p>
    <w:p w14:paraId="698468D8" w14:textId="244AA5C9" w:rsidR="0046534C" w:rsidRPr="002B7C4B" w:rsidRDefault="0046534C" w:rsidP="002B7C4B">
      <w:pPr>
        <w:pStyle w:val="ListParagraph"/>
        <w:rPr>
          <w:b/>
          <w:sz w:val="24"/>
          <w:szCs w:val="24"/>
          <w:lang w:val="el-GR"/>
        </w:rPr>
      </w:pPr>
    </w:p>
    <w:p w14:paraId="1B7F3CC4" w14:textId="08B85D6D" w:rsidR="0046534C" w:rsidRPr="002B7C4B" w:rsidRDefault="0046534C" w:rsidP="002B7C4B">
      <w:pPr>
        <w:numPr>
          <w:ilvl w:val="0"/>
          <w:numId w:val="2"/>
        </w:numPr>
        <w:tabs>
          <w:tab w:val="left" w:pos="709"/>
        </w:tabs>
        <w:rPr>
          <w:rFonts w:ascii="Calibri" w:hAnsi="Calibri" w:cs="Calibri"/>
          <w:b/>
          <w:bCs/>
          <w:color w:val="000000"/>
          <w:sz w:val="24"/>
          <w:szCs w:val="24"/>
          <w:lang w:val="el-GR"/>
        </w:rPr>
      </w:pPr>
      <w:r w:rsidRPr="001E1809">
        <w:rPr>
          <w:rFonts w:cstheme="minorHAnsi"/>
          <w:b/>
          <w:bCs/>
          <w:sz w:val="24"/>
          <w:szCs w:val="24"/>
          <w:lang w:val="el-GR"/>
        </w:rPr>
        <w:t>(</w:t>
      </w:r>
      <w:proofErr w:type="spellStart"/>
      <w:r w:rsidRPr="004E251E">
        <w:rPr>
          <w:rFonts w:cstheme="minorHAnsi"/>
          <w:b/>
          <w:bCs/>
          <w:sz w:val="24"/>
          <w:szCs w:val="24"/>
        </w:rPr>
        <w:t>i</w:t>
      </w:r>
      <w:proofErr w:type="spellEnd"/>
      <w:r w:rsidRPr="001E1809">
        <w:rPr>
          <w:rFonts w:cstheme="minorHAnsi"/>
          <w:b/>
          <w:bCs/>
          <w:sz w:val="24"/>
          <w:szCs w:val="24"/>
          <w:lang w:val="el-GR"/>
        </w:rPr>
        <w:t>)</w:t>
      </w:r>
      <w:r w:rsidRPr="004E251E">
        <w:rPr>
          <w:rFonts w:cstheme="minorHAnsi"/>
          <w:b/>
          <w:bCs/>
          <w:sz w:val="24"/>
          <w:szCs w:val="24"/>
        </w:rPr>
        <w:t> </w:t>
      </w:r>
      <w:r w:rsidR="001401A3">
        <w:rPr>
          <w:rFonts w:cstheme="minorHAnsi"/>
          <w:b/>
          <w:bCs/>
          <w:sz w:val="24"/>
          <w:szCs w:val="24"/>
          <w:lang w:val="el-GR"/>
        </w:rPr>
        <w:t>Τ</w:t>
      </w:r>
      <w:r>
        <w:rPr>
          <w:rFonts w:cstheme="minorHAnsi"/>
          <w:b/>
          <w:bCs/>
          <w:sz w:val="24"/>
          <w:szCs w:val="24"/>
          <w:lang w:val="el-GR"/>
        </w:rPr>
        <w:t>η</w:t>
      </w:r>
      <w:r w:rsidRPr="001E1809">
        <w:rPr>
          <w:rFonts w:cstheme="minorHAnsi"/>
          <w:b/>
          <w:bCs/>
          <w:sz w:val="24"/>
          <w:szCs w:val="24"/>
          <w:lang w:val="el-GR"/>
        </w:rPr>
        <w:t xml:space="preserve"> </w:t>
      </w:r>
      <w:r>
        <w:rPr>
          <w:rFonts w:cstheme="minorHAnsi"/>
          <w:b/>
          <w:bCs/>
          <w:sz w:val="24"/>
          <w:szCs w:val="24"/>
          <w:lang w:val="el-GR"/>
        </w:rPr>
        <w:t>διασφάλιση ουσιαστικών</w:t>
      </w:r>
      <w:r w:rsidRPr="001E1809">
        <w:rPr>
          <w:rFonts w:cstheme="minorHAnsi"/>
          <w:b/>
          <w:bCs/>
          <w:sz w:val="24"/>
          <w:szCs w:val="24"/>
          <w:lang w:val="el-GR"/>
        </w:rPr>
        <w:t xml:space="preserve"> </w:t>
      </w:r>
      <w:r>
        <w:rPr>
          <w:rFonts w:cstheme="minorHAnsi"/>
          <w:b/>
          <w:bCs/>
          <w:sz w:val="24"/>
          <w:szCs w:val="24"/>
          <w:lang w:val="el-GR"/>
        </w:rPr>
        <w:t>επαληθεύσεων</w:t>
      </w:r>
      <w:r w:rsidRPr="001E1809">
        <w:rPr>
          <w:rFonts w:cstheme="minorHAnsi"/>
          <w:b/>
          <w:bCs/>
          <w:sz w:val="24"/>
          <w:szCs w:val="24"/>
          <w:lang w:val="el-GR"/>
        </w:rPr>
        <w:t xml:space="preserve"> </w:t>
      </w:r>
      <w:r>
        <w:rPr>
          <w:rFonts w:cstheme="minorHAnsi"/>
          <w:b/>
          <w:bCs/>
          <w:sz w:val="24"/>
          <w:szCs w:val="24"/>
          <w:lang w:val="el-GR"/>
        </w:rPr>
        <w:t>οικονομικών</w:t>
      </w:r>
      <w:r w:rsidRPr="001E1809">
        <w:rPr>
          <w:rFonts w:cstheme="minorHAnsi"/>
          <w:b/>
          <w:bCs/>
          <w:sz w:val="24"/>
          <w:szCs w:val="24"/>
          <w:lang w:val="el-GR"/>
        </w:rPr>
        <w:t xml:space="preserve"> </w:t>
      </w:r>
      <w:r>
        <w:rPr>
          <w:rFonts w:cstheme="minorHAnsi"/>
          <w:b/>
          <w:bCs/>
          <w:sz w:val="24"/>
          <w:szCs w:val="24"/>
          <w:lang w:val="el-GR"/>
        </w:rPr>
        <w:t>δηλώσεων</w:t>
      </w:r>
      <w:r w:rsidRPr="001E1809">
        <w:rPr>
          <w:rFonts w:cstheme="minorHAnsi"/>
          <w:b/>
          <w:bCs/>
          <w:sz w:val="24"/>
          <w:szCs w:val="24"/>
          <w:lang w:val="el-GR"/>
        </w:rPr>
        <w:t xml:space="preserve"> </w:t>
      </w:r>
      <w:r>
        <w:rPr>
          <w:rFonts w:cstheme="minorHAnsi"/>
          <w:b/>
          <w:bCs/>
          <w:sz w:val="24"/>
          <w:szCs w:val="24"/>
          <w:lang w:val="el-GR"/>
        </w:rPr>
        <w:t>ατόμων</w:t>
      </w:r>
      <w:r w:rsidRPr="001E1809">
        <w:rPr>
          <w:rFonts w:cstheme="minorHAnsi"/>
          <w:b/>
          <w:bCs/>
          <w:sz w:val="24"/>
          <w:szCs w:val="24"/>
          <w:lang w:val="el-GR"/>
        </w:rPr>
        <w:t xml:space="preserve"> </w:t>
      </w:r>
      <w:r>
        <w:rPr>
          <w:rFonts w:cstheme="minorHAnsi"/>
          <w:b/>
          <w:bCs/>
          <w:sz w:val="24"/>
          <w:szCs w:val="24"/>
          <w:lang w:val="el-GR"/>
        </w:rPr>
        <w:t>που</w:t>
      </w:r>
      <w:r w:rsidRPr="001E1809">
        <w:rPr>
          <w:rFonts w:cstheme="minorHAnsi"/>
          <w:b/>
          <w:bCs/>
          <w:sz w:val="24"/>
          <w:szCs w:val="24"/>
          <w:lang w:val="el-GR"/>
        </w:rPr>
        <w:t xml:space="preserve"> </w:t>
      </w:r>
      <w:r>
        <w:rPr>
          <w:rFonts w:cstheme="minorHAnsi"/>
          <w:b/>
          <w:bCs/>
          <w:sz w:val="24"/>
          <w:szCs w:val="24"/>
          <w:lang w:val="el-GR"/>
        </w:rPr>
        <w:t>τους</w:t>
      </w:r>
      <w:r w:rsidRPr="001E1809">
        <w:rPr>
          <w:rFonts w:cstheme="minorHAnsi"/>
          <w:b/>
          <w:bCs/>
          <w:sz w:val="24"/>
          <w:szCs w:val="24"/>
          <w:lang w:val="el-GR"/>
        </w:rPr>
        <w:t xml:space="preserve"> </w:t>
      </w:r>
      <w:r>
        <w:rPr>
          <w:rFonts w:cstheme="minorHAnsi"/>
          <w:b/>
          <w:bCs/>
          <w:sz w:val="24"/>
          <w:szCs w:val="24"/>
          <w:lang w:val="el-GR"/>
        </w:rPr>
        <w:t>έχουν</w:t>
      </w:r>
      <w:r w:rsidRPr="001E1809">
        <w:rPr>
          <w:rFonts w:cstheme="minorHAnsi"/>
          <w:b/>
          <w:bCs/>
          <w:sz w:val="24"/>
          <w:szCs w:val="24"/>
          <w:lang w:val="el-GR"/>
        </w:rPr>
        <w:t xml:space="preserve"> </w:t>
      </w:r>
      <w:r>
        <w:rPr>
          <w:rFonts w:cstheme="minorHAnsi"/>
          <w:b/>
          <w:bCs/>
          <w:sz w:val="24"/>
          <w:szCs w:val="24"/>
          <w:lang w:val="el-GR"/>
        </w:rPr>
        <w:t>ανατεθεί</w:t>
      </w:r>
      <w:r w:rsidRPr="001E1809">
        <w:rPr>
          <w:rFonts w:cstheme="minorHAnsi"/>
          <w:b/>
          <w:bCs/>
          <w:sz w:val="24"/>
          <w:szCs w:val="24"/>
          <w:lang w:val="el-GR"/>
        </w:rPr>
        <w:t xml:space="preserve"> </w:t>
      </w:r>
      <w:r>
        <w:rPr>
          <w:rFonts w:cstheme="minorHAnsi"/>
          <w:b/>
          <w:bCs/>
          <w:sz w:val="24"/>
          <w:szCs w:val="24"/>
          <w:lang w:val="el-GR"/>
        </w:rPr>
        <w:t xml:space="preserve">ανώτατα εκτελεστικά </w:t>
      </w:r>
      <w:r w:rsidR="00E32E91">
        <w:rPr>
          <w:rFonts w:cstheme="minorHAnsi"/>
          <w:b/>
          <w:bCs/>
          <w:sz w:val="24"/>
          <w:szCs w:val="24"/>
          <w:lang w:val="el-GR"/>
        </w:rPr>
        <w:t>καθήκοντα</w:t>
      </w:r>
      <w:r w:rsidRPr="001E1809">
        <w:rPr>
          <w:rFonts w:cstheme="minorHAnsi"/>
          <w:b/>
          <w:bCs/>
          <w:sz w:val="24"/>
          <w:szCs w:val="24"/>
          <w:lang w:val="el-GR"/>
        </w:rPr>
        <w:t>, (</w:t>
      </w:r>
      <w:r w:rsidRPr="004E251E">
        <w:rPr>
          <w:rFonts w:cstheme="minorHAnsi"/>
          <w:b/>
          <w:bCs/>
          <w:sz w:val="24"/>
          <w:szCs w:val="24"/>
        </w:rPr>
        <w:t>ii</w:t>
      </w:r>
      <w:r w:rsidRPr="001E1809">
        <w:rPr>
          <w:rFonts w:cstheme="minorHAnsi"/>
          <w:b/>
          <w:bCs/>
          <w:sz w:val="24"/>
          <w:szCs w:val="24"/>
          <w:lang w:val="el-GR"/>
        </w:rPr>
        <w:t xml:space="preserve">) </w:t>
      </w:r>
      <w:r>
        <w:rPr>
          <w:rFonts w:cstheme="minorHAnsi"/>
          <w:b/>
          <w:bCs/>
          <w:sz w:val="24"/>
          <w:szCs w:val="24"/>
          <w:lang w:val="el-GR"/>
        </w:rPr>
        <w:t>να δοθεί για το σκοπό αυτό επαρκής</w:t>
      </w:r>
      <w:r w:rsidRPr="001E1809">
        <w:rPr>
          <w:rFonts w:cstheme="minorHAnsi"/>
          <w:b/>
          <w:bCs/>
          <w:sz w:val="24"/>
          <w:szCs w:val="24"/>
          <w:lang w:val="el-GR"/>
        </w:rPr>
        <w:t xml:space="preserve"> </w:t>
      </w:r>
      <w:r>
        <w:rPr>
          <w:rFonts w:cstheme="minorHAnsi"/>
          <w:b/>
          <w:bCs/>
          <w:sz w:val="24"/>
          <w:szCs w:val="24"/>
          <w:lang w:val="el-GR"/>
        </w:rPr>
        <w:t>εξουσία</w:t>
      </w:r>
      <w:r w:rsidRPr="001E1809">
        <w:rPr>
          <w:rFonts w:cstheme="minorHAnsi"/>
          <w:b/>
          <w:bCs/>
          <w:sz w:val="24"/>
          <w:szCs w:val="24"/>
          <w:lang w:val="el-GR"/>
        </w:rPr>
        <w:t xml:space="preserve">, </w:t>
      </w:r>
      <w:r>
        <w:rPr>
          <w:rFonts w:cstheme="minorHAnsi"/>
          <w:b/>
          <w:bCs/>
          <w:sz w:val="24"/>
          <w:szCs w:val="24"/>
          <w:lang w:val="el-GR"/>
        </w:rPr>
        <w:t>εξειδίκευση</w:t>
      </w:r>
      <w:r w:rsidRPr="001E1809">
        <w:rPr>
          <w:rFonts w:cstheme="minorHAnsi"/>
          <w:b/>
          <w:bCs/>
          <w:sz w:val="24"/>
          <w:szCs w:val="24"/>
          <w:lang w:val="el-GR"/>
        </w:rPr>
        <w:t xml:space="preserve">, </w:t>
      </w:r>
      <w:r>
        <w:rPr>
          <w:rFonts w:cstheme="minorHAnsi"/>
          <w:b/>
          <w:bCs/>
          <w:sz w:val="24"/>
          <w:szCs w:val="24"/>
          <w:lang w:val="el-GR"/>
        </w:rPr>
        <w:t>πόροι</w:t>
      </w:r>
      <w:r w:rsidRPr="001E1809">
        <w:rPr>
          <w:rFonts w:cstheme="minorHAnsi"/>
          <w:b/>
          <w:bCs/>
          <w:sz w:val="24"/>
          <w:szCs w:val="24"/>
          <w:lang w:val="el-GR"/>
        </w:rPr>
        <w:t xml:space="preserve">, </w:t>
      </w:r>
      <w:r>
        <w:rPr>
          <w:rFonts w:cstheme="minorHAnsi"/>
          <w:b/>
          <w:bCs/>
          <w:sz w:val="24"/>
          <w:szCs w:val="24"/>
          <w:lang w:val="el-GR"/>
        </w:rPr>
        <w:t>και</w:t>
      </w:r>
      <w:r w:rsidRPr="001E1809">
        <w:rPr>
          <w:rFonts w:cstheme="minorHAnsi"/>
          <w:b/>
          <w:bCs/>
          <w:sz w:val="24"/>
          <w:szCs w:val="24"/>
          <w:lang w:val="el-GR"/>
        </w:rPr>
        <w:t xml:space="preserve"> </w:t>
      </w:r>
      <w:r>
        <w:rPr>
          <w:rFonts w:cstheme="minorHAnsi"/>
          <w:b/>
          <w:bCs/>
          <w:sz w:val="24"/>
          <w:szCs w:val="24"/>
          <w:lang w:val="el-GR"/>
        </w:rPr>
        <w:t>ανεξαρτησία,</w:t>
      </w:r>
      <w:r w:rsidRPr="001E1809">
        <w:rPr>
          <w:rFonts w:cstheme="minorHAnsi"/>
          <w:b/>
          <w:bCs/>
          <w:sz w:val="24"/>
          <w:szCs w:val="24"/>
          <w:lang w:val="el-GR"/>
        </w:rPr>
        <w:t xml:space="preserve"> </w:t>
      </w:r>
      <w:r>
        <w:rPr>
          <w:rFonts w:cstheme="minorHAnsi"/>
          <w:b/>
          <w:bCs/>
          <w:sz w:val="24"/>
          <w:szCs w:val="24"/>
          <w:lang w:val="el-GR"/>
        </w:rPr>
        <w:t>και</w:t>
      </w:r>
      <w:r w:rsidRPr="001E1809">
        <w:rPr>
          <w:rFonts w:cstheme="minorHAnsi"/>
          <w:b/>
          <w:bCs/>
          <w:sz w:val="24"/>
          <w:szCs w:val="24"/>
          <w:lang w:val="el-GR"/>
        </w:rPr>
        <w:t xml:space="preserve"> (</w:t>
      </w:r>
      <w:r w:rsidRPr="004E251E">
        <w:rPr>
          <w:rFonts w:cstheme="minorHAnsi"/>
          <w:b/>
          <w:bCs/>
          <w:sz w:val="24"/>
          <w:szCs w:val="24"/>
        </w:rPr>
        <w:t>iii</w:t>
      </w:r>
      <w:r w:rsidRPr="001E1809">
        <w:rPr>
          <w:rFonts w:cstheme="minorHAnsi"/>
          <w:b/>
          <w:bCs/>
          <w:sz w:val="24"/>
          <w:szCs w:val="24"/>
          <w:lang w:val="el-GR"/>
        </w:rPr>
        <w:t xml:space="preserve">) </w:t>
      </w:r>
      <w:r>
        <w:rPr>
          <w:rFonts w:cstheme="minorHAnsi"/>
          <w:b/>
          <w:bCs/>
          <w:sz w:val="24"/>
          <w:szCs w:val="24"/>
          <w:lang w:val="el-GR"/>
        </w:rPr>
        <w:t>να τεθούν σε εφαρμογή ξεκάθαρες επιπτώσεις και αποτελεσματικές</w:t>
      </w:r>
      <w:r w:rsidRPr="001E1809">
        <w:rPr>
          <w:rFonts w:cstheme="minorHAnsi"/>
          <w:b/>
          <w:bCs/>
          <w:sz w:val="24"/>
          <w:szCs w:val="24"/>
          <w:lang w:val="el-GR"/>
        </w:rPr>
        <w:t xml:space="preserve">, </w:t>
      </w:r>
      <w:r>
        <w:rPr>
          <w:rFonts w:cstheme="minorHAnsi"/>
          <w:b/>
          <w:bCs/>
          <w:sz w:val="24"/>
          <w:szCs w:val="24"/>
          <w:lang w:val="el-GR"/>
        </w:rPr>
        <w:t>αναλογικές και αποτρεπτικές</w:t>
      </w:r>
      <w:r w:rsidRPr="001E1809">
        <w:rPr>
          <w:rFonts w:cstheme="minorHAnsi"/>
          <w:b/>
          <w:bCs/>
          <w:sz w:val="24"/>
          <w:szCs w:val="24"/>
          <w:lang w:val="el-GR"/>
        </w:rPr>
        <w:t xml:space="preserve"> </w:t>
      </w:r>
      <w:r>
        <w:rPr>
          <w:rFonts w:cstheme="minorHAnsi"/>
          <w:b/>
          <w:bCs/>
          <w:sz w:val="24"/>
          <w:szCs w:val="24"/>
          <w:lang w:val="el-GR"/>
        </w:rPr>
        <w:t>κυρώσεις</w:t>
      </w:r>
      <w:r w:rsidRPr="001E1809">
        <w:rPr>
          <w:rFonts w:cstheme="minorHAnsi"/>
          <w:b/>
          <w:bCs/>
          <w:sz w:val="24"/>
          <w:szCs w:val="24"/>
          <w:lang w:val="el-GR"/>
        </w:rPr>
        <w:t xml:space="preserve"> </w:t>
      </w:r>
      <w:r>
        <w:rPr>
          <w:rFonts w:cstheme="minorHAnsi"/>
          <w:b/>
          <w:bCs/>
          <w:sz w:val="24"/>
          <w:szCs w:val="24"/>
          <w:lang w:val="el-GR"/>
        </w:rPr>
        <w:t>για να διασφαλιστεί η αλήθεια των πληροφοριών που</w:t>
      </w:r>
      <w:r w:rsidRPr="001E1809">
        <w:rPr>
          <w:rFonts w:cstheme="minorHAnsi"/>
          <w:b/>
          <w:bCs/>
          <w:sz w:val="24"/>
          <w:szCs w:val="24"/>
          <w:lang w:val="el-GR"/>
        </w:rPr>
        <w:t xml:space="preserve"> </w:t>
      </w:r>
      <w:r>
        <w:rPr>
          <w:rFonts w:cstheme="minorHAnsi"/>
          <w:b/>
          <w:bCs/>
          <w:sz w:val="24"/>
          <w:szCs w:val="24"/>
          <w:lang w:val="el-GR"/>
        </w:rPr>
        <w:t>δηλώνονται</w:t>
      </w:r>
      <w:r w:rsidRPr="001E1809">
        <w:rPr>
          <w:rFonts w:cstheme="minorHAnsi"/>
          <w:b/>
          <w:bCs/>
          <w:sz w:val="24"/>
          <w:szCs w:val="24"/>
          <w:lang w:val="el-GR"/>
        </w:rPr>
        <w:t xml:space="preserve">, </w:t>
      </w:r>
      <w:r>
        <w:rPr>
          <w:rFonts w:cstheme="minorHAnsi"/>
          <w:b/>
          <w:bCs/>
          <w:sz w:val="24"/>
          <w:szCs w:val="24"/>
          <w:lang w:val="el-GR"/>
        </w:rPr>
        <w:t>καθώς επίσης κ</w:t>
      </w:r>
      <w:r w:rsidR="009B51FD">
        <w:rPr>
          <w:rFonts w:cstheme="minorHAnsi"/>
          <w:b/>
          <w:bCs/>
          <w:sz w:val="24"/>
          <w:szCs w:val="24"/>
          <w:lang w:val="el-GR"/>
        </w:rPr>
        <w:t xml:space="preserve">αι η </w:t>
      </w:r>
      <w:r w:rsidR="00E32E91">
        <w:rPr>
          <w:rFonts w:cstheme="minorHAnsi"/>
          <w:b/>
          <w:bCs/>
          <w:sz w:val="24"/>
          <w:szCs w:val="24"/>
          <w:lang w:val="el-GR"/>
        </w:rPr>
        <w:t xml:space="preserve">ουσιαστικά </w:t>
      </w:r>
      <w:r w:rsidR="009B51FD">
        <w:rPr>
          <w:rFonts w:cstheme="minorHAnsi"/>
          <w:b/>
          <w:bCs/>
          <w:sz w:val="24"/>
          <w:szCs w:val="24"/>
          <w:lang w:val="el-GR"/>
        </w:rPr>
        <w:t>έγκαιρη υποβολή</w:t>
      </w:r>
      <w:r>
        <w:rPr>
          <w:rFonts w:cstheme="minorHAnsi"/>
          <w:b/>
          <w:bCs/>
          <w:sz w:val="24"/>
          <w:szCs w:val="24"/>
          <w:lang w:val="el-GR"/>
        </w:rPr>
        <w:t xml:space="preserve"> δήλωσης </w:t>
      </w:r>
      <w:r w:rsidRPr="005E4AF2">
        <w:rPr>
          <w:rFonts w:cstheme="minorHAnsi"/>
          <w:sz w:val="24"/>
          <w:szCs w:val="24"/>
          <w:lang w:val="el-GR"/>
        </w:rPr>
        <w:t>(</w:t>
      </w:r>
      <w:r>
        <w:rPr>
          <w:rFonts w:cstheme="minorHAnsi"/>
          <w:sz w:val="24"/>
          <w:szCs w:val="24"/>
          <w:lang w:val="el-GR"/>
        </w:rPr>
        <w:t>παράγραφος</w:t>
      </w:r>
      <w:r w:rsidRPr="005E4AF2">
        <w:rPr>
          <w:rFonts w:cstheme="minorHAnsi"/>
          <w:sz w:val="24"/>
          <w:szCs w:val="24"/>
          <w:lang w:val="el-GR"/>
        </w:rPr>
        <w:t xml:space="preserve"> 130)</w:t>
      </w:r>
      <w:r w:rsidRPr="005E4AF2">
        <w:rPr>
          <w:rFonts w:ascii="Calibri" w:hAnsi="Calibri" w:cs="Calibri"/>
          <w:b/>
          <w:bCs/>
          <w:color w:val="000000"/>
          <w:sz w:val="24"/>
          <w:szCs w:val="24"/>
          <w:lang w:val="el-GR"/>
        </w:rPr>
        <w:t>,</w:t>
      </w:r>
    </w:p>
    <w:p w14:paraId="5F411720" w14:textId="77777777" w:rsidR="001248EC" w:rsidRPr="005E4AF2" w:rsidRDefault="001248EC" w:rsidP="001248EC">
      <w:pPr>
        <w:pStyle w:val="ListParagraph"/>
        <w:rPr>
          <w:b/>
          <w:sz w:val="24"/>
          <w:szCs w:val="24"/>
          <w:lang w:val="el-GR"/>
        </w:rPr>
      </w:pPr>
    </w:p>
    <w:p w14:paraId="2FC292CD" w14:textId="2E6DE549" w:rsidR="009B51FD" w:rsidRPr="002B7C4B" w:rsidRDefault="009B51FD" w:rsidP="002B7C4B">
      <w:pPr>
        <w:pStyle w:val="ListParagraph"/>
        <w:rPr>
          <w:b/>
          <w:sz w:val="24"/>
          <w:szCs w:val="24"/>
          <w:lang w:val="el-GR"/>
        </w:rPr>
      </w:pPr>
    </w:p>
    <w:p w14:paraId="3C642FE1" w14:textId="0312DF86" w:rsidR="009B51FD" w:rsidRPr="00BD5EBE" w:rsidRDefault="001401A3" w:rsidP="00220066">
      <w:pPr>
        <w:pStyle w:val="ListParagraph"/>
        <w:numPr>
          <w:ilvl w:val="0"/>
          <w:numId w:val="2"/>
        </w:numPr>
        <w:ind w:left="851" w:hanging="567"/>
        <w:contextualSpacing w:val="0"/>
        <w:rPr>
          <w:b/>
          <w:sz w:val="24"/>
          <w:szCs w:val="24"/>
          <w:lang w:val="el-GR"/>
        </w:rPr>
      </w:pPr>
      <w:r>
        <w:rPr>
          <w:rFonts w:ascii="Calibri" w:hAnsi="Calibri" w:cs="Calibri"/>
          <w:b/>
          <w:bCs/>
          <w:sz w:val="24"/>
          <w:szCs w:val="24"/>
          <w:lang w:val="el-GR"/>
        </w:rPr>
        <w:t>Όπως</w:t>
      </w:r>
      <w:r w:rsidRPr="00134D25">
        <w:rPr>
          <w:rFonts w:cstheme="minorHAnsi"/>
          <w:b/>
          <w:bCs/>
          <w:sz w:val="24"/>
          <w:szCs w:val="24"/>
          <w:lang w:val="el-GR"/>
        </w:rPr>
        <w:t xml:space="preserve"> </w:t>
      </w:r>
      <w:r>
        <w:rPr>
          <w:rFonts w:eastAsia="Calibri" w:cstheme="minorHAnsi"/>
          <w:b/>
          <w:bCs/>
          <w:sz w:val="24"/>
          <w:szCs w:val="24"/>
          <w:u w:color="000000"/>
          <w:bdr w:val="nil"/>
          <w:lang w:val="el-GR"/>
        </w:rPr>
        <w:t>η</w:t>
      </w:r>
      <w:r w:rsidR="009B51FD" w:rsidRPr="00EC45E5">
        <w:rPr>
          <w:rFonts w:eastAsia="Calibri" w:cstheme="minorHAnsi"/>
          <w:b/>
          <w:bCs/>
          <w:sz w:val="24"/>
          <w:szCs w:val="24"/>
          <w:u w:color="000000"/>
          <w:bdr w:val="nil"/>
          <w:lang w:val="el-GR"/>
        </w:rPr>
        <w:t xml:space="preserve"> </w:t>
      </w:r>
      <w:r w:rsidR="009B51FD">
        <w:rPr>
          <w:rFonts w:eastAsia="Calibri" w:cstheme="minorHAnsi"/>
          <w:b/>
          <w:bCs/>
          <w:sz w:val="24"/>
          <w:szCs w:val="24"/>
          <w:u w:color="000000"/>
          <w:bdr w:val="nil"/>
          <w:lang w:val="el-GR"/>
        </w:rPr>
        <w:t>Αρχή</w:t>
      </w:r>
      <w:r w:rsidR="009B51FD" w:rsidRPr="00EC45E5">
        <w:rPr>
          <w:rFonts w:eastAsia="Calibri" w:cstheme="minorHAnsi"/>
          <w:b/>
          <w:bCs/>
          <w:sz w:val="24"/>
          <w:szCs w:val="24"/>
          <w:u w:color="000000"/>
          <w:bdr w:val="nil"/>
          <w:lang w:val="el-GR"/>
        </w:rPr>
        <w:t xml:space="preserve"> </w:t>
      </w:r>
      <w:r w:rsidR="009B51FD">
        <w:rPr>
          <w:rFonts w:eastAsia="Calibri" w:cstheme="minorHAnsi"/>
          <w:b/>
          <w:bCs/>
          <w:sz w:val="24"/>
          <w:szCs w:val="24"/>
          <w:u w:color="000000"/>
          <w:bdr w:val="nil"/>
          <w:lang w:val="el-GR"/>
        </w:rPr>
        <w:t>Κατά</w:t>
      </w:r>
      <w:r w:rsidR="009B51FD" w:rsidRPr="00EC45E5">
        <w:rPr>
          <w:rFonts w:eastAsia="Calibri" w:cstheme="minorHAnsi"/>
          <w:b/>
          <w:bCs/>
          <w:sz w:val="24"/>
          <w:szCs w:val="24"/>
          <w:u w:color="000000"/>
          <w:bdr w:val="nil"/>
          <w:lang w:val="el-GR"/>
        </w:rPr>
        <w:t xml:space="preserve"> </w:t>
      </w:r>
      <w:r w:rsidR="009B51FD">
        <w:rPr>
          <w:rFonts w:eastAsia="Calibri" w:cstheme="minorHAnsi"/>
          <w:b/>
          <w:bCs/>
          <w:sz w:val="24"/>
          <w:szCs w:val="24"/>
          <w:u w:color="000000"/>
          <w:bdr w:val="nil"/>
          <w:lang w:val="el-GR"/>
        </w:rPr>
        <w:t>της</w:t>
      </w:r>
      <w:r w:rsidR="009B51FD" w:rsidRPr="00EC45E5">
        <w:rPr>
          <w:rFonts w:eastAsia="Calibri" w:cstheme="minorHAnsi"/>
          <w:b/>
          <w:bCs/>
          <w:sz w:val="24"/>
          <w:szCs w:val="24"/>
          <w:u w:color="000000"/>
          <w:bdr w:val="nil"/>
          <w:lang w:val="el-GR"/>
        </w:rPr>
        <w:t xml:space="preserve"> </w:t>
      </w:r>
      <w:r w:rsidR="009B51FD">
        <w:rPr>
          <w:rFonts w:eastAsia="Calibri" w:cstheme="minorHAnsi"/>
          <w:b/>
          <w:bCs/>
          <w:sz w:val="24"/>
          <w:szCs w:val="24"/>
          <w:u w:color="000000"/>
          <w:bdr w:val="nil"/>
          <w:lang w:val="el-GR"/>
        </w:rPr>
        <w:t>Διαφθοράς</w:t>
      </w:r>
      <w:r w:rsidR="009B51FD" w:rsidRPr="00EC45E5">
        <w:rPr>
          <w:rFonts w:eastAsia="Calibri" w:cstheme="minorHAnsi"/>
          <w:b/>
          <w:bCs/>
          <w:sz w:val="24"/>
          <w:szCs w:val="24"/>
          <w:u w:color="000000"/>
          <w:bdr w:val="nil"/>
          <w:lang w:val="el-GR"/>
        </w:rPr>
        <w:t xml:space="preserve"> </w:t>
      </w:r>
      <w:r w:rsidR="009B51FD">
        <w:rPr>
          <w:rFonts w:eastAsia="Calibri" w:cstheme="minorHAnsi"/>
          <w:b/>
          <w:bCs/>
          <w:sz w:val="24"/>
          <w:szCs w:val="24"/>
          <w:u w:color="000000"/>
          <w:bdr w:val="nil"/>
          <w:lang w:val="el-GR"/>
        </w:rPr>
        <w:t>να εφοδιαστεί με</w:t>
      </w:r>
      <w:r w:rsidR="009B51FD" w:rsidRPr="00EC45E5">
        <w:rPr>
          <w:rFonts w:eastAsia="Calibri" w:cstheme="minorHAnsi"/>
          <w:b/>
          <w:bCs/>
          <w:sz w:val="24"/>
          <w:szCs w:val="24"/>
          <w:u w:color="000000"/>
          <w:bdr w:val="nil"/>
          <w:lang w:val="el-GR"/>
        </w:rPr>
        <w:t xml:space="preserve"> </w:t>
      </w:r>
      <w:r w:rsidR="009B51FD">
        <w:rPr>
          <w:rFonts w:eastAsia="Calibri" w:cstheme="minorHAnsi"/>
          <w:b/>
          <w:bCs/>
          <w:sz w:val="24"/>
          <w:szCs w:val="24"/>
          <w:u w:color="000000"/>
          <w:bdr w:val="nil"/>
          <w:lang w:val="el-GR"/>
        </w:rPr>
        <w:t>επαρκείς</w:t>
      </w:r>
      <w:r w:rsidR="009B51FD" w:rsidRPr="00EC45E5">
        <w:rPr>
          <w:rFonts w:eastAsia="Calibri" w:cstheme="minorHAnsi"/>
          <w:b/>
          <w:bCs/>
          <w:sz w:val="24"/>
          <w:szCs w:val="24"/>
          <w:u w:color="000000"/>
          <w:bdr w:val="nil"/>
          <w:lang w:val="el-GR"/>
        </w:rPr>
        <w:t xml:space="preserve"> </w:t>
      </w:r>
      <w:r w:rsidR="009B51FD">
        <w:rPr>
          <w:rFonts w:eastAsia="Calibri" w:cstheme="minorHAnsi"/>
          <w:b/>
          <w:bCs/>
          <w:sz w:val="24"/>
          <w:szCs w:val="24"/>
          <w:u w:color="000000"/>
          <w:bdr w:val="nil"/>
          <w:lang w:val="el-GR"/>
        </w:rPr>
        <w:t>υλικούς</w:t>
      </w:r>
      <w:r w:rsidR="009B51FD" w:rsidRPr="00EC45E5">
        <w:rPr>
          <w:rFonts w:eastAsia="Calibri" w:cstheme="minorHAnsi"/>
          <w:b/>
          <w:bCs/>
          <w:sz w:val="24"/>
          <w:szCs w:val="24"/>
          <w:u w:color="000000"/>
          <w:bdr w:val="nil"/>
          <w:lang w:val="el-GR"/>
        </w:rPr>
        <w:t xml:space="preserve"> </w:t>
      </w:r>
      <w:r w:rsidR="009B51FD">
        <w:rPr>
          <w:rFonts w:eastAsia="Calibri" w:cstheme="minorHAnsi"/>
          <w:b/>
          <w:bCs/>
          <w:sz w:val="24"/>
          <w:szCs w:val="24"/>
          <w:u w:color="000000"/>
          <w:bdr w:val="nil"/>
          <w:lang w:val="el-GR"/>
        </w:rPr>
        <w:t>και</w:t>
      </w:r>
      <w:r w:rsidR="009B51FD" w:rsidRPr="00EC45E5">
        <w:rPr>
          <w:rFonts w:eastAsia="Calibri" w:cstheme="minorHAnsi"/>
          <w:b/>
          <w:bCs/>
          <w:sz w:val="24"/>
          <w:szCs w:val="24"/>
          <w:u w:color="000000"/>
          <w:bdr w:val="nil"/>
          <w:lang w:val="el-GR"/>
        </w:rPr>
        <w:t xml:space="preserve"> </w:t>
      </w:r>
      <w:r w:rsidR="009B51FD">
        <w:rPr>
          <w:rFonts w:eastAsia="Calibri" w:cstheme="minorHAnsi"/>
          <w:b/>
          <w:bCs/>
          <w:sz w:val="24"/>
          <w:szCs w:val="24"/>
          <w:u w:color="000000"/>
          <w:bdr w:val="nil"/>
          <w:lang w:val="el-GR"/>
        </w:rPr>
        <w:t>οικονομικούς</w:t>
      </w:r>
      <w:r w:rsidR="009B51FD" w:rsidRPr="00EC45E5">
        <w:rPr>
          <w:rFonts w:eastAsia="Calibri" w:cstheme="minorHAnsi"/>
          <w:b/>
          <w:bCs/>
          <w:sz w:val="24"/>
          <w:szCs w:val="24"/>
          <w:u w:color="000000"/>
          <w:bdr w:val="nil"/>
          <w:lang w:val="el-GR"/>
        </w:rPr>
        <w:t xml:space="preserve"> </w:t>
      </w:r>
      <w:r w:rsidR="009B51FD">
        <w:rPr>
          <w:rFonts w:eastAsia="Calibri" w:cstheme="minorHAnsi"/>
          <w:b/>
          <w:bCs/>
          <w:sz w:val="24"/>
          <w:szCs w:val="24"/>
          <w:u w:color="000000"/>
          <w:bdr w:val="nil"/>
          <w:lang w:val="el-GR"/>
        </w:rPr>
        <w:t>πόρους</w:t>
      </w:r>
      <w:r w:rsidR="009B51FD" w:rsidRPr="00EC45E5">
        <w:rPr>
          <w:rFonts w:eastAsia="Calibri" w:cstheme="minorHAnsi"/>
          <w:b/>
          <w:bCs/>
          <w:sz w:val="24"/>
          <w:szCs w:val="24"/>
          <w:u w:color="000000"/>
          <w:bdr w:val="nil"/>
          <w:lang w:val="el-GR"/>
        </w:rPr>
        <w:t xml:space="preserve"> </w:t>
      </w:r>
      <w:r w:rsidR="009B51FD">
        <w:rPr>
          <w:rFonts w:eastAsia="Calibri" w:cstheme="minorHAnsi"/>
          <w:b/>
          <w:bCs/>
          <w:sz w:val="24"/>
          <w:szCs w:val="24"/>
          <w:u w:color="000000"/>
          <w:bdr w:val="nil"/>
          <w:lang w:val="el-GR"/>
        </w:rPr>
        <w:t>καθώς</w:t>
      </w:r>
      <w:r w:rsidR="009B51FD" w:rsidRPr="00EC45E5">
        <w:rPr>
          <w:rFonts w:eastAsia="Calibri" w:cstheme="minorHAnsi"/>
          <w:b/>
          <w:bCs/>
          <w:sz w:val="24"/>
          <w:szCs w:val="24"/>
          <w:u w:color="000000"/>
          <w:bdr w:val="nil"/>
          <w:lang w:val="el-GR"/>
        </w:rPr>
        <w:t xml:space="preserve"> </w:t>
      </w:r>
      <w:r w:rsidR="009B51FD">
        <w:rPr>
          <w:rFonts w:eastAsia="Calibri" w:cstheme="minorHAnsi"/>
          <w:b/>
          <w:bCs/>
          <w:sz w:val="24"/>
          <w:szCs w:val="24"/>
          <w:u w:color="000000"/>
          <w:bdr w:val="nil"/>
          <w:lang w:val="el-GR"/>
        </w:rPr>
        <w:t>επίσης</w:t>
      </w:r>
      <w:r w:rsidR="009B51FD" w:rsidRPr="00EC45E5">
        <w:rPr>
          <w:rFonts w:eastAsia="Calibri" w:cstheme="minorHAnsi"/>
          <w:b/>
          <w:bCs/>
          <w:sz w:val="24"/>
          <w:szCs w:val="24"/>
          <w:u w:color="000000"/>
          <w:bdr w:val="nil"/>
          <w:lang w:val="el-GR"/>
        </w:rPr>
        <w:t xml:space="preserve"> </w:t>
      </w:r>
      <w:r w:rsidR="009B51FD">
        <w:rPr>
          <w:rFonts w:eastAsia="Calibri" w:cstheme="minorHAnsi"/>
          <w:b/>
          <w:bCs/>
          <w:sz w:val="24"/>
          <w:szCs w:val="24"/>
          <w:u w:color="000000"/>
          <w:bdr w:val="nil"/>
          <w:lang w:val="el-GR"/>
        </w:rPr>
        <w:t>και</w:t>
      </w:r>
      <w:r w:rsidR="009B51FD" w:rsidRPr="00EC45E5">
        <w:rPr>
          <w:rFonts w:eastAsia="Calibri" w:cstheme="minorHAnsi"/>
          <w:b/>
          <w:bCs/>
          <w:sz w:val="24"/>
          <w:szCs w:val="24"/>
          <w:u w:color="000000"/>
          <w:bdr w:val="nil"/>
          <w:lang w:val="el-GR"/>
        </w:rPr>
        <w:t xml:space="preserve"> </w:t>
      </w:r>
      <w:r w:rsidR="009B51FD">
        <w:rPr>
          <w:rFonts w:eastAsia="Calibri" w:cstheme="minorHAnsi"/>
          <w:b/>
          <w:bCs/>
          <w:sz w:val="24"/>
          <w:szCs w:val="24"/>
          <w:u w:color="000000"/>
          <w:bdr w:val="nil"/>
          <w:lang w:val="el-GR"/>
        </w:rPr>
        <w:t>με πόρους</w:t>
      </w:r>
      <w:r w:rsidR="009B51FD" w:rsidRPr="00EC45E5">
        <w:rPr>
          <w:rFonts w:eastAsia="Calibri" w:cstheme="minorHAnsi"/>
          <w:b/>
          <w:bCs/>
          <w:sz w:val="24"/>
          <w:szCs w:val="24"/>
          <w:u w:color="000000"/>
          <w:bdr w:val="nil"/>
          <w:lang w:val="el-GR"/>
        </w:rPr>
        <w:t xml:space="preserve"> </w:t>
      </w:r>
      <w:r w:rsidR="009B51FD">
        <w:rPr>
          <w:rFonts w:eastAsia="Calibri" w:cstheme="minorHAnsi"/>
          <w:b/>
          <w:bCs/>
          <w:sz w:val="24"/>
          <w:szCs w:val="24"/>
          <w:u w:color="000000"/>
          <w:bdr w:val="nil"/>
          <w:lang w:val="el-GR"/>
        </w:rPr>
        <w:t>προσωπικού</w:t>
      </w:r>
      <w:r w:rsidR="009B51FD" w:rsidRPr="00EC45E5">
        <w:rPr>
          <w:rFonts w:eastAsia="Calibri" w:cstheme="minorHAnsi"/>
          <w:b/>
          <w:bCs/>
          <w:sz w:val="24"/>
          <w:szCs w:val="24"/>
          <w:u w:color="000000"/>
          <w:bdr w:val="nil"/>
          <w:lang w:val="el-GR"/>
        </w:rPr>
        <w:t xml:space="preserve"> </w:t>
      </w:r>
      <w:r w:rsidR="009B51FD">
        <w:rPr>
          <w:rFonts w:eastAsia="Calibri" w:cstheme="minorHAnsi"/>
          <w:b/>
          <w:bCs/>
          <w:sz w:val="24"/>
          <w:szCs w:val="24"/>
          <w:u w:color="000000"/>
          <w:bdr w:val="nil"/>
          <w:lang w:val="el-GR"/>
        </w:rPr>
        <w:t>για να εκτελεί τα καθήκοντα της προληπτικά και αποτελεσματικά</w:t>
      </w:r>
      <w:r w:rsidR="009B51FD" w:rsidRPr="00EC45E5">
        <w:rPr>
          <w:rFonts w:eastAsia="Calibri" w:cstheme="minorHAnsi"/>
          <w:b/>
          <w:bCs/>
          <w:sz w:val="24"/>
          <w:szCs w:val="24"/>
          <w:u w:color="000000"/>
          <w:bdr w:val="nil"/>
          <w:lang w:val="el-GR"/>
        </w:rPr>
        <w:t xml:space="preserve"> </w:t>
      </w:r>
      <w:r w:rsidR="009B51FD">
        <w:rPr>
          <w:rFonts w:eastAsia="Calibri" w:cstheme="minorHAnsi"/>
          <w:b/>
          <w:bCs/>
          <w:sz w:val="24"/>
          <w:szCs w:val="24"/>
          <w:u w:color="000000"/>
          <w:bdr w:val="nil"/>
          <w:lang w:val="el-GR"/>
        </w:rPr>
        <w:t xml:space="preserve">σε σχέση με άτομα που τους έχουν ανατεθεί ανώτατα εκτελεστικά καθήκοντα </w:t>
      </w:r>
      <w:r w:rsidR="009B51FD" w:rsidRPr="00BD5EBE">
        <w:rPr>
          <w:rFonts w:eastAsia="Calibri" w:cstheme="minorHAnsi"/>
          <w:sz w:val="24"/>
          <w:szCs w:val="24"/>
          <w:u w:color="000000"/>
          <w:bdr w:val="nil"/>
          <w:lang w:val="el-GR"/>
        </w:rPr>
        <w:t>(</w:t>
      </w:r>
      <w:r w:rsidR="009B51FD">
        <w:rPr>
          <w:rFonts w:eastAsia="Calibri" w:cstheme="minorHAnsi"/>
          <w:sz w:val="24"/>
          <w:szCs w:val="24"/>
          <w:u w:color="000000"/>
          <w:bdr w:val="nil"/>
          <w:lang w:val="el-GR"/>
        </w:rPr>
        <w:t>παράγραφος</w:t>
      </w:r>
      <w:r w:rsidR="009B51FD" w:rsidRPr="00BD5EBE">
        <w:rPr>
          <w:rFonts w:eastAsia="Calibri" w:cstheme="minorHAnsi"/>
          <w:sz w:val="24"/>
          <w:szCs w:val="24"/>
          <w:u w:color="000000"/>
          <w:bdr w:val="nil"/>
          <w:lang w:val="el-GR"/>
        </w:rPr>
        <w:t xml:space="preserve"> 147)</w:t>
      </w:r>
      <w:r w:rsidR="009B51FD" w:rsidRPr="00BD5EBE">
        <w:rPr>
          <w:rFonts w:cstheme="minorHAnsi"/>
          <w:b/>
          <w:bCs/>
          <w:sz w:val="24"/>
          <w:szCs w:val="24"/>
          <w:lang w:val="el-GR"/>
        </w:rPr>
        <w:t>,</w:t>
      </w:r>
    </w:p>
    <w:p w14:paraId="0EC09410" w14:textId="490DFB2B" w:rsidR="009B51FD" w:rsidRPr="002B7C4B" w:rsidRDefault="009B51FD" w:rsidP="002B7C4B">
      <w:pPr>
        <w:pStyle w:val="ListParagraph"/>
        <w:rPr>
          <w:b/>
          <w:sz w:val="24"/>
          <w:szCs w:val="24"/>
          <w:lang w:val="el-GR"/>
        </w:rPr>
      </w:pPr>
    </w:p>
    <w:p w14:paraId="29FDC352" w14:textId="18DD7633" w:rsidR="009B51FD" w:rsidRPr="00455CDB" w:rsidRDefault="009B51FD" w:rsidP="009B51FD">
      <w:pPr>
        <w:pStyle w:val="ListParagraph"/>
        <w:numPr>
          <w:ilvl w:val="0"/>
          <w:numId w:val="2"/>
        </w:numPr>
        <w:contextualSpacing w:val="0"/>
        <w:rPr>
          <w:b/>
          <w:sz w:val="24"/>
          <w:szCs w:val="24"/>
          <w:lang w:val="el-GR"/>
        </w:rPr>
      </w:pPr>
      <w:r>
        <w:rPr>
          <w:rFonts w:eastAsia="Calibri" w:cstheme="minorHAnsi"/>
          <w:b/>
          <w:sz w:val="24"/>
          <w:szCs w:val="24"/>
          <w:u w:color="000000"/>
          <w:bdr w:val="nil"/>
          <w:lang w:val="el-GR"/>
        </w:rPr>
        <w:t>Α</w:t>
      </w:r>
      <w:r>
        <w:rPr>
          <w:rFonts w:eastAsia="Calibri" w:cstheme="minorHAnsi"/>
          <w:b/>
          <w:bCs/>
          <w:sz w:val="24"/>
          <w:szCs w:val="24"/>
          <w:u w:color="000000"/>
          <w:bdr w:val="nil"/>
          <w:lang w:val="el-GR"/>
        </w:rPr>
        <w:t>ναφορικά με τα</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εξειδικευμένα</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όργανα</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για θέματα</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που</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σχετίζονται</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με</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την</w:t>
      </w:r>
      <w:r w:rsidRPr="00B557F4">
        <w:rPr>
          <w:rFonts w:eastAsia="Calibri" w:cstheme="minorHAnsi"/>
          <w:b/>
          <w:bCs/>
          <w:sz w:val="24"/>
          <w:szCs w:val="24"/>
          <w:u w:color="000000"/>
          <w:bdr w:val="nil"/>
          <w:lang w:val="el-GR"/>
        </w:rPr>
        <w:t xml:space="preserve"> </w:t>
      </w:r>
      <w:r w:rsidR="005E4F9C">
        <w:rPr>
          <w:rFonts w:eastAsia="Calibri" w:cstheme="minorHAnsi"/>
          <w:b/>
          <w:bCs/>
          <w:sz w:val="24"/>
          <w:szCs w:val="24"/>
          <w:u w:color="000000"/>
          <w:bdr w:val="nil"/>
          <w:lang w:val="el-GR"/>
        </w:rPr>
        <w:t xml:space="preserve">πρόληψη </w:t>
      </w:r>
      <w:r>
        <w:rPr>
          <w:rFonts w:eastAsia="Calibri" w:cstheme="minorHAnsi"/>
          <w:b/>
          <w:bCs/>
          <w:sz w:val="24"/>
          <w:szCs w:val="24"/>
          <w:u w:color="000000"/>
          <w:bdr w:val="nil"/>
          <w:lang w:val="el-GR"/>
        </w:rPr>
        <w:t>της</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διαφθοράς</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προσώπων που</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τους</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έχουν</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ανατεθεί</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ανώτατα εκτελεστικά</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καθήκοντα</w:t>
      </w:r>
      <w:r w:rsidRPr="00F405B2">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συνιστά</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 xml:space="preserve">ότι </w:t>
      </w:r>
      <w:r w:rsidRPr="00B557F4">
        <w:rPr>
          <w:rFonts w:eastAsia="Calibri" w:cstheme="minorHAnsi"/>
          <w:b/>
          <w:bCs/>
          <w:sz w:val="24"/>
          <w:szCs w:val="24"/>
          <w:u w:color="000000"/>
          <w:bdr w:val="nil"/>
          <w:lang w:val="el-GR"/>
        </w:rPr>
        <w:t>(</w:t>
      </w:r>
      <w:proofErr w:type="spellStart"/>
      <w:r w:rsidRPr="004E251E">
        <w:rPr>
          <w:rFonts w:eastAsia="Calibri" w:cstheme="minorHAnsi"/>
          <w:b/>
          <w:bCs/>
          <w:sz w:val="24"/>
          <w:szCs w:val="24"/>
          <w:u w:color="000000"/>
          <w:bdr w:val="nil"/>
        </w:rPr>
        <w:t>i</w:t>
      </w:r>
      <w:proofErr w:type="spellEnd"/>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πρέπει να</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ληφθούν</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μέτρα</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για</w:t>
      </w:r>
      <w:r w:rsidRPr="00B557F4">
        <w:rPr>
          <w:rFonts w:eastAsia="Calibri" w:cstheme="minorHAnsi"/>
          <w:b/>
          <w:bCs/>
          <w:sz w:val="24"/>
          <w:szCs w:val="24"/>
          <w:u w:color="000000"/>
          <w:bdr w:val="nil"/>
          <w:lang w:val="el-GR"/>
        </w:rPr>
        <w:t xml:space="preserve"> </w:t>
      </w:r>
      <w:proofErr w:type="spellStart"/>
      <w:r>
        <w:rPr>
          <w:rFonts w:eastAsia="Calibri" w:cstheme="minorHAnsi"/>
          <w:b/>
          <w:bCs/>
          <w:sz w:val="24"/>
          <w:szCs w:val="24"/>
          <w:u w:color="000000"/>
          <w:bdr w:val="nil"/>
          <w:lang w:val="el-GR"/>
        </w:rPr>
        <w:t>εξορθολογισμό</w:t>
      </w:r>
      <w:proofErr w:type="spellEnd"/>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των</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εργασιών τους</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και</w:t>
      </w:r>
      <w:r w:rsidRPr="00F405B2">
        <w:rPr>
          <w:rFonts w:eastAsia="Calibri" w:cstheme="minorHAnsi"/>
          <w:b/>
          <w:bCs/>
          <w:sz w:val="24"/>
          <w:szCs w:val="24"/>
          <w:u w:color="000000"/>
          <w:bdr w:val="nil"/>
          <w:lang w:val="el-GR"/>
        </w:rPr>
        <w:t xml:space="preserve"> </w:t>
      </w:r>
      <w:r w:rsidR="001A7486">
        <w:rPr>
          <w:rFonts w:eastAsia="Calibri" w:cstheme="minorHAnsi"/>
          <w:b/>
          <w:bCs/>
          <w:sz w:val="24"/>
          <w:szCs w:val="24"/>
          <w:u w:color="000000"/>
          <w:bdr w:val="nil"/>
          <w:lang w:val="el-GR"/>
        </w:rPr>
        <w:t xml:space="preserve">για ανάπτυξη </w:t>
      </w:r>
      <w:r>
        <w:rPr>
          <w:rFonts w:eastAsia="Calibri" w:cstheme="minorHAnsi"/>
          <w:b/>
          <w:bCs/>
          <w:sz w:val="24"/>
          <w:szCs w:val="24"/>
          <w:u w:color="000000"/>
          <w:bdr w:val="nil"/>
          <w:lang w:val="el-GR"/>
        </w:rPr>
        <w:t>μεταξύ τους αποτελεσματική</w:t>
      </w:r>
      <w:r w:rsidR="001A7486">
        <w:rPr>
          <w:rFonts w:eastAsia="Calibri" w:cstheme="minorHAnsi"/>
          <w:b/>
          <w:bCs/>
          <w:sz w:val="24"/>
          <w:szCs w:val="24"/>
          <w:u w:color="000000"/>
          <w:bdr w:val="nil"/>
          <w:lang w:val="el-GR"/>
        </w:rPr>
        <w:t>ς</w:t>
      </w:r>
      <w:r>
        <w:rPr>
          <w:rFonts w:eastAsia="Calibri" w:cstheme="minorHAnsi"/>
          <w:b/>
          <w:bCs/>
          <w:sz w:val="24"/>
          <w:szCs w:val="24"/>
          <w:u w:color="000000"/>
          <w:bdr w:val="nil"/>
          <w:lang w:val="el-GR"/>
        </w:rPr>
        <w:t xml:space="preserve"> θεσμοθετημένη</w:t>
      </w:r>
      <w:r w:rsidR="001A7486">
        <w:rPr>
          <w:rFonts w:eastAsia="Calibri" w:cstheme="minorHAnsi"/>
          <w:b/>
          <w:bCs/>
          <w:sz w:val="24"/>
          <w:szCs w:val="24"/>
          <w:u w:color="000000"/>
          <w:bdr w:val="nil"/>
          <w:lang w:val="el-GR"/>
        </w:rPr>
        <w:t>ς</w:t>
      </w:r>
      <w:r>
        <w:rPr>
          <w:rFonts w:eastAsia="Calibri" w:cstheme="minorHAnsi"/>
          <w:b/>
          <w:bCs/>
          <w:sz w:val="24"/>
          <w:szCs w:val="24"/>
          <w:u w:color="000000"/>
          <w:bdr w:val="nil"/>
          <w:lang w:val="el-GR"/>
        </w:rPr>
        <w:t xml:space="preserve"> συνεργασία</w:t>
      </w:r>
      <w:r w:rsidR="001A7486">
        <w:rPr>
          <w:rFonts w:eastAsia="Calibri" w:cstheme="minorHAnsi"/>
          <w:b/>
          <w:bCs/>
          <w:sz w:val="24"/>
          <w:szCs w:val="24"/>
          <w:u w:color="000000"/>
          <w:bdr w:val="nil"/>
          <w:lang w:val="el-GR"/>
        </w:rPr>
        <w:t>ς</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ανταλλαγή</w:t>
      </w:r>
      <w:r w:rsidR="001A7486">
        <w:rPr>
          <w:rFonts w:eastAsia="Calibri" w:cstheme="minorHAnsi"/>
          <w:b/>
          <w:bCs/>
          <w:sz w:val="24"/>
          <w:szCs w:val="24"/>
          <w:u w:color="000000"/>
          <w:bdr w:val="nil"/>
          <w:lang w:val="el-GR"/>
        </w:rPr>
        <w:t>ς</w:t>
      </w:r>
      <w:r>
        <w:rPr>
          <w:rFonts w:eastAsia="Calibri" w:cstheme="minorHAnsi"/>
          <w:b/>
          <w:bCs/>
          <w:sz w:val="24"/>
          <w:szCs w:val="24"/>
          <w:u w:color="000000"/>
          <w:bdr w:val="nil"/>
          <w:lang w:val="el-GR"/>
        </w:rPr>
        <w:t xml:space="preserve"> πληροφοριών</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 xml:space="preserve">και </w:t>
      </w:r>
      <w:r w:rsidR="001A7486">
        <w:rPr>
          <w:rFonts w:eastAsia="Calibri" w:cstheme="minorHAnsi"/>
          <w:b/>
          <w:bCs/>
          <w:sz w:val="24"/>
          <w:szCs w:val="24"/>
          <w:u w:color="000000"/>
          <w:bdr w:val="nil"/>
          <w:lang w:val="el-GR"/>
        </w:rPr>
        <w:t>διαδικασιών</w:t>
      </w:r>
      <w:r>
        <w:rPr>
          <w:rFonts w:eastAsia="Calibri" w:cstheme="minorHAnsi"/>
          <w:b/>
          <w:bCs/>
          <w:sz w:val="24"/>
          <w:szCs w:val="24"/>
          <w:u w:color="000000"/>
          <w:bdr w:val="nil"/>
          <w:lang w:val="el-GR"/>
        </w:rPr>
        <w:t xml:space="preserve"> ανατροφοδότησης, και</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rPr>
        <w:t>ii</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ότι πρέπει να λειτουργούν με κατάλληλο επίπεδο διαφάνειας</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και να εκδίδουν τακτικές εκθέσεις</w:t>
      </w:r>
      <w:r w:rsidRPr="00B557F4">
        <w:rPr>
          <w:rFonts w:eastAsia="Calibri" w:cstheme="minorHAnsi"/>
          <w:b/>
          <w:bCs/>
          <w:sz w:val="24"/>
          <w:szCs w:val="24"/>
          <w:u w:color="000000"/>
          <w:bdr w:val="nil"/>
          <w:lang w:val="el-GR"/>
        </w:rPr>
        <w:t xml:space="preserve"> </w:t>
      </w:r>
      <w:r>
        <w:rPr>
          <w:rFonts w:eastAsia="Calibri" w:cstheme="minorHAnsi"/>
          <w:b/>
          <w:bCs/>
          <w:sz w:val="24"/>
          <w:szCs w:val="24"/>
          <w:u w:color="000000"/>
          <w:bdr w:val="nil"/>
          <w:lang w:val="el-GR"/>
        </w:rPr>
        <w:t xml:space="preserve">για τη δραστηριότητα τους, οι οποίες να κοινοποιούνται κατάλληλα στο κοινό </w:t>
      </w:r>
      <w:r w:rsidRPr="00C1635E">
        <w:rPr>
          <w:rFonts w:eastAsia="Calibri" w:cstheme="minorHAnsi"/>
          <w:sz w:val="24"/>
          <w:szCs w:val="24"/>
          <w:u w:color="000000"/>
          <w:bdr w:val="nil"/>
          <w:lang w:val="el-GR"/>
        </w:rPr>
        <w:t>(</w:t>
      </w:r>
      <w:r>
        <w:rPr>
          <w:rFonts w:eastAsia="Calibri" w:cstheme="minorHAnsi"/>
          <w:sz w:val="24"/>
          <w:szCs w:val="24"/>
          <w:u w:color="000000"/>
          <w:bdr w:val="nil"/>
          <w:lang w:val="el-GR"/>
        </w:rPr>
        <w:t>παράγραφος</w:t>
      </w:r>
      <w:r w:rsidRPr="00C1635E">
        <w:rPr>
          <w:rFonts w:eastAsia="Calibri" w:cstheme="minorHAnsi"/>
          <w:sz w:val="24"/>
          <w:szCs w:val="24"/>
          <w:u w:color="000000"/>
          <w:bdr w:val="nil"/>
          <w:lang w:val="el-GR"/>
        </w:rPr>
        <w:t xml:space="preserve"> 148)</w:t>
      </w:r>
      <w:r w:rsidR="001401A3">
        <w:rPr>
          <w:rFonts w:eastAsia="Calibri" w:cstheme="minorHAnsi"/>
          <w:b/>
          <w:bCs/>
          <w:sz w:val="24"/>
          <w:szCs w:val="24"/>
          <w:u w:color="000000"/>
          <w:bdr w:val="nil"/>
          <w:lang w:val="el-GR"/>
        </w:rPr>
        <w:t>.</w:t>
      </w:r>
    </w:p>
    <w:p w14:paraId="280CE4EE" w14:textId="77777777" w:rsidR="00220066" w:rsidRPr="00C1635E" w:rsidRDefault="00220066" w:rsidP="002B7C4B">
      <w:pPr>
        <w:rPr>
          <w:i/>
          <w:sz w:val="24"/>
          <w:szCs w:val="24"/>
          <w:lang w:val="el-GR"/>
        </w:rPr>
      </w:pPr>
    </w:p>
    <w:p w14:paraId="11B75262" w14:textId="71ED699B" w:rsidR="00220066" w:rsidRPr="002F63BB" w:rsidRDefault="00220066" w:rsidP="00220066">
      <w:pPr>
        <w:ind w:left="426" w:hanging="426"/>
        <w:rPr>
          <w:i/>
          <w:sz w:val="24"/>
          <w:szCs w:val="24"/>
          <w:lang w:val="el-GR"/>
        </w:rPr>
      </w:pPr>
      <w:r w:rsidRPr="00C1635E">
        <w:rPr>
          <w:i/>
          <w:sz w:val="24"/>
          <w:szCs w:val="24"/>
          <w:lang w:val="el-GR"/>
        </w:rPr>
        <w:tab/>
      </w:r>
      <w:r w:rsidR="0095038D">
        <w:rPr>
          <w:i/>
          <w:sz w:val="24"/>
          <w:szCs w:val="24"/>
          <w:lang w:val="el-GR"/>
        </w:rPr>
        <w:t>Όσον αφορά υπηρεσίες επιβολής του νόμου</w:t>
      </w:r>
    </w:p>
    <w:p w14:paraId="40E03DDD" w14:textId="77777777" w:rsidR="00220066" w:rsidRPr="0095038D" w:rsidRDefault="00220066" w:rsidP="00220066">
      <w:pPr>
        <w:ind w:left="567" w:hanging="567"/>
        <w:rPr>
          <w:i/>
          <w:sz w:val="24"/>
          <w:szCs w:val="24"/>
          <w:lang w:val="el-GR"/>
        </w:rPr>
      </w:pPr>
    </w:p>
    <w:p w14:paraId="75B20CF7" w14:textId="46A4AD23" w:rsidR="00220066" w:rsidRPr="0095038D" w:rsidRDefault="00481634" w:rsidP="00220066">
      <w:pPr>
        <w:pStyle w:val="ListParagraph"/>
        <w:numPr>
          <w:ilvl w:val="0"/>
          <w:numId w:val="2"/>
        </w:numPr>
        <w:ind w:left="851" w:hanging="567"/>
        <w:contextualSpacing w:val="0"/>
        <w:rPr>
          <w:b/>
          <w:sz w:val="24"/>
          <w:szCs w:val="24"/>
          <w:lang w:val="el-GR"/>
        </w:rPr>
      </w:pPr>
      <w:r w:rsidRPr="00481634">
        <w:rPr>
          <w:rFonts w:cstheme="minorHAnsi"/>
          <w:b/>
          <w:bCs/>
          <w:sz w:val="24"/>
          <w:szCs w:val="24"/>
          <w:lang w:val="el-GR"/>
        </w:rPr>
        <w:t xml:space="preserve">υιοθέτηση συντονισμένης πολιτικής </w:t>
      </w:r>
      <w:r>
        <w:rPr>
          <w:rFonts w:cstheme="minorHAnsi"/>
          <w:b/>
          <w:bCs/>
          <w:sz w:val="24"/>
          <w:szCs w:val="24"/>
          <w:lang w:val="el-GR"/>
        </w:rPr>
        <w:t xml:space="preserve">ακεραιότητας και </w:t>
      </w:r>
      <w:r w:rsidRPr="00481634">
        <w:rPr>
          <w:rFonts w:cstheme="minorHAnsi"/>
          <w:b/>
          <w:bCs/>
          <w:sz w:val="24"/>
          <w:szCs w:val="24"/>
          <w:lang w:val="el-GR"/>
        </w:rPr>
        <w:t xml:space="preserve">πρόληψης της διαφθοράς </w:t>
      </w:r>
      <w:r>
        <w:rPr>
          <w:rFonts w:cstheme="minorHAnsi"/>
          <w:b/>
          <w:bCs/>
          <w:sz w:val="24"/>
          <w:szCs w:val="24"/>
          <w:lang w:val="el-GR"/>
        </w:rPr>
        <w:t>σ</w:t>
      </w:r>
      <w:r w:rsidRPr="00481634">
        <w:rPr>
          <w:rFonts w:cstheme="minorHAnsi"/>
          <w:b/>
          <w:bCs/>
          <w:sz w:val="24"/>
          <w:szCs w:val="24"/>
          <w:lang w:val="el-GR"/>
        </w:rPr>
        <w:t xml:space="preserve">την </w:t>
      </w:r>
      <w:r>
        <w:rPr>
          <w:rFonts w:cstheme="minorHAnsi"/>
          <w:b/>
          <w:bCs/>
          <w:sz w:val="24"/>
          <w:szCs w:val="24"/>
          <w:lang w:val="el-GR"/>
        </w:rPr>
        <w:t>Α</w:t>
      </w:r>
      <w:r w:rsidRPr="00481634">
        <w:rPr>
          <w:rFonts w:cstheme="minorHAnsi"/>
          <w:b/>
          <w:bCs/>
          <w:sz w:val="24"/>
          <w:szCs w:val="24"/>
          <w:lang w:val="el-GR"/>
        </w:rPr>
        <w:t xml:space="preserve">στυνομία, με βάση τη συστηματική και συνολική επανεξέταση των επιρρεπών σε κίνδυνο </w:t>
      </w:r>
      <w:r>
        <w:rPr>
          <w:rFonts w:cstheme="minorHAnsi"/>
          <w:b/>
          <w:bCs/>
          <w:sz w:val="24"/>
          <w:szCs w:val="24"/>
          <w:lang w:val="el-GR"/>
        </w:rPr>
        <w:t>τομέων</w:t>
      </w:r>
      <w:r w:rsidRPr="00481634">
        <w:rPr>
          <w:rFonts w:cstheme="minorHAnsi"/>
          <w:b/>
          <w:bCs/>
          <w:sz w:val="24"/>
          <w:szCs w:val="24"/>
          <w:lang w:val="el-GR"/>
        </w:rPr>
        <w:t>, σε συνδυασμό με έναν μηχανισμό που προβλέπει τακτικές αξιολογήσεις</w:t>
      </w:r>
      <w:r w:rsidR="000538B6" w:rsidRPr="0095038D">
        <w:rPr>
          <w:rFonts w:cstheme="minorHAnsi"/>
          <w:b/>
          <w:bCs/>
          <w:sz w:val="24"/>
          <w:szCs w:val="24"/>
          <w:lang w:val="el-GR"/>
        </w:rPr>
        <w:t xml:space="preserve"> </w:t>
      </w:r>
      <w:r w:rsidR="000538B6" w:rsidRPr="0095038D">
        <w:rPr>
          <w:rFonts w:cstheme="minorHAnsi"/>
          <w:sz w:val="24"/>
          <w:szCs w:val="24"/>
          <w:lang w:val="el-GR"/>
        </w:rPr>
        <w:t>(</w:t>
      </w:r>
      <w:r w:rsidR="0095038D">
        <w:rPr>
          <w:rFonts w:cstheme="minorHAnsi"/>
          <w:sz w:val="24"/>
          <w:szCs w:val="24"/>
          <w:lang w:val="el-GR"/>
        </w:rPr>
        <w:t>παράγραφος</w:t>
      </w:r>
      <w:r w:rsidR="000538B6" w:rsidRPr="0095038D">
        <w:rPr>
          <w:rFonts w:cstheme="minorHAnsi"/>
          <w:sz w:val="24"/>
          <w:szCs w:val="24"/>
          <w:lang w:val="el-GR"/>
        </w:rPr>
        <w:t xml:space="preserve"> 174)</w:t>
      </w:r>
      <w:r w:rsidR="00CE5A97" w:rsidRPr="0095038D">
        <w:rPr>
          <w:rFonts w:cstheme="minorHAnsi"/>
          <w:b/>
          <w:bCs/>
          <w:sz w:val="24"/>
          <w:szCs w:val="24"/>
          <w:lang w:val="el-GR"/>
        </w:rPr>
        <w:t>,</w:t>
      </w:r>
    </w:p>
    <w:p w14:paraId="4AA85D16" w14:textId="77777777" w:rsidR="00220066" w:rsidRPr="0095038D" w:rsidRDefault="00220066" w:rsidP="00220066">
      <w:pPr>
        <w:pStyle w:val="ListParagraph"/>
        <w:rPr>
          <w:b/>
          <w:sz w:val="24"/>
          <w:szCs w:val="24"/>
          <w:lang w:val="el-GR"/>
        </w:rPr>
      </w:pPr>
    </w:p>
    <w:p w14:paraId="3807EA7C" w14:textId="31048374" w:rsidR="00220066" w:rsidRPr="006A4B70" w:rsidRDefault="000538B6" w:rsidP="00220066">
      <w:pPr>
        <w:pStyle w:val="ListParagraph"/>
        <w:numPr>
          <w:ilvl w:val="0"/>
          <w:numId w:val="2"/>
        </w:numPr>
        <w:ind w:left="851" w:hanging="567"/>
        <w:contextualSpacing w:val="0"/>
        <w:rPr>
          <w:b/>
          <w:sz w:val="24"/>
          <w:szCs w:val="24"/>
          <w:lang w:val="el-GR"/>
        </w:rPr>
      </w:pPr>
      <w:r w:rsidRPr="006A4B70">
        <w:rPr>
          <w:rFonts w:cstheme="minorHAnsi"/>
          <w:b/>
          <w:bCs/>
          <w:sz w:val="24"/>
          <w:szCs w:val="24"/>
          <w:lang w:val="el-GR"/>
        </w:rPr>
        <w:t>(</w:t>
      </w:r>
      <w:proofErr w:type="spellStart"/>
      <w:r w:rsidRPr="004E251E">
        <w:rPr>
          <w:rFonts w:cstheme="minorHAnsi"/>
          <w:b/>
          <w:bCs/>
          <w:sz w:val="24"/>
          <w:szCs w:val="24"/>
        </w:rPr>
        <w:t>i</w:t>
      </w:r>
      <w:proofErr w:type="spellEnd"/>
      <w:r w:rsidRPr="006A4B70">
        <w:rPr>
          <w:rFonts w:cstheme="minorHAnsi"/>
          <w:b/>
          <w:bCs/>
          <w:sz w:val="24"/>
          <w:szCs w:val="24"/>
          <w:lang w:val="el-GR"/>
        </w:rPr>
        <w:t xml:space="preserve">) </w:t>
      </w:r>
      <w:r w:rsidR="0095038D">
        <w:rPr>
          <w:rFonts w:cstheme="minorHAnsi"/>
          <w:b/>
          <w:bCs/>
          <w:sz w:val="24"/>
          <w:szCs w:val="24"/>
          <w:lang w:val="el-GR"/>
        </w:rPr>
        <w:t>θα</w:t>
      </w:r>
      <w:r w:rsidR="0095038D" w:rsidRPr="006A4B70">
        <w:rPr>
          <w:rFonts w:cstheme="minorHAnsi"/>
          <w:b/>
          <w:bCs/>
          <w:sz w:val="24"/>
          <w:szCs w:val="24"/>
          <w:lang w:val="el-GR"/>
        </w:rPr>
        <w:t xml:space="preserve"> </w:t>
      </w:r>
      <w:r w:rsidR="0095038D">
        <w:rPr>
          <w:rFonts w:cstheme="minorHAnsi"/>
          <w:b/>
          <w:bCs/>
          <w:sz w:val="24"/>
          <w:szCs w:val="24"/>
          <w:lang w:val="el-GR"/>
        </w:rPr>
        <w:t>πρέπει</w:t>
      </w:r>
      <w:r w:rsidR="0095038D" w:rsidRPr="006A4B70">
        <w:rPr>
          <w:rFonts w:cstheme="minorHAnsi"/>
          <w:b/>
          <w:bCs/>
          <w:sz w:val="24"/>
          <w:szCs w:val="24"/>
          <w:lang w:val="el-GR"/>
        </w:rPr>
        <w:t xml:space="preserve"> </w:t>
      </w:r>
      <w:r w:rsidR="0095038D">
        <w:rPr>
          <w:rFonts w:cstheme="minorHAnsi"/>
          <w:b/>
          <w:bCs/>
          <w:sz w:val="24"/>
          <w:szCs w:val="24"/>
          <w:lang w:val="el-GR"/>
        </w:rPr>
        <w:t>να</w:t>
      </w:r>
      <w:r w:rsidR="0095038D" w:rsidRPr="006A4B70">
        <w:rPr>
          <w:rFonts w:cstheme="minorHAnsi"/>
          <w:b/>
          <w:bCs/>
          <w:sz w:val="24"/>
          <w:szCs w:val="24"/>
          <w:lang w:val="el-GR"/>
        </w:rPr>
        <w:t xml:space="preserve"> </w:t>
      </w:r>
      <w:r w:rsidR="0095038D">
        <w:rPr>
          <w:rFonts w:cstheme="minorHAnsi"/>
          <w:b/>
          <w:bCs/>
          <w:sz w:val="24"/>
          <w:szCs w:val="24"/>
          <w:lang w:val="el-GR"/>
        </w:rPr>
        <w:t>αναπτυχθούν</w:t>
      </w:r>
      <w:r w:rsidR="0095038D" w:rsidRPr="006A4B70">
        <w:rPr>
          <w:rFonts w:cstheme="minorHAnsi"/>
          <w:b/>
          <w:bCs/>
          <w:sz w:val="24"/>
          <w:szCs w:val="24"/>
          <w:lang w:val="el-GR"/>
        </w:rPr>
        <w:t xml:space="preserve"> </w:t>
      </w:r>
      <w:r w:rsidR="0095038D">
        <w:rPr>
          <w:rFonts w:cstheme="minorHAnsi"/>
          <w:b/>
          <w:bCs/>
          <w:sz w:val="24"/>
          <w:szCs w:val="24"/>
          <w:lang w:val="el-GR"/>
        </w:rPr>
        <w:t>και</w:t>
      </w:r>
      <w:r w:rsidR="0095038D" w:rsidRPr="006A4B70">
        <w:rPr>
          <w:rFonts w:cstheme="minorHAnsi"/>
          <w:b/>
          <w:bCs/>
          <w:sz w:val="24"/>
          <w:szCs w:val="24"/>
          <w:lang w:val="el-GR"/>
        </w:rPr>
        <w:t xml:space="preserve"> </w:t>
      </w:r>
      <w:r w:rsidR="0095038D">
        <w:rPr>
          <w:rFonts w:cstheme="minorHAnsi"/>
          <w:b/>
          <w:bCs/>
          <w:sz w:val="24"/>
          <w:szCs w:val="24"/>
          <w:lang w:val="el-GR"/>
        </w:rPr>
        <w:t>να</w:t>
      </w:r>
      <w:r w:rsidR="0095038D" w:rsidRPr="006A4B70">
        <w:rPr>
          <w:rFonts w:cstheme="minorHAnsi"/>
          <w:b/>
          <w:bCs/>
          <w:sz w:val="24"/>
          <w:szCs w:val="24"/>
          <w:lang w:val="el-GR"/>
        </w:rPr>
        <w:t xml:space="preserve"> </w:t>
      </w:r>
      <w:r w:rsidR="0095038D">
        <w:rPr>
          <w:rFonts w:cstheme="minorHAnsi"/>
          <w:b/>
          <w:bCs/>
          <w:sz w:val="24"/>
          <w:szCs w:val="24"/>
          <w:lang w:val="el-GR"/>
        </w:rPr>
        <w:t>παρασχεθούν</w:t>
      </w:r>
      <w:r w:rsidR="0095038D" w:rsidRPr="006A4B70">
        <w:rPr>
          <w:rFonts w:cstheme="minorHAnsi"/>
          <w:b/>
          <w:bCs/>
          <w:sz w:val="24"/>
          <w:szCs w:val="24"/>
          <w:lang w:val="el-GR"/>
        </w:rPr>
        <w:t xml:space="preserve"> </w:t>
      </w:r>
      <w:r w:rsidR="0095038D">
        <w:rPr>
          <w:rFonts w:cstheme="minorHAnsi"/>
          <w:b/>
          <w:bCs/>
          <w:sz w:val="24"/>
          <w:szCs w:val="24"/>
          <w:lang w:val="el-GR"/>
        </w:rPr>
        <w:t>σε</w:t>
      </w:r>
      <w:r w:rsidR="0095038D" w:rsidRPr="006A4B70">
        <w:rPr>
          <w:rFonts w:cstheme="minorHAnsi"/>
          <w:b/>
          <w:bCs/>
          <w:sz w:val="24"/>
          <w:szCs w:val="24"/>
          <w:lang w:val="el-GR"/>
        </w:rPr>
        <w:t xml:space="preserve"> </w:t>
      </w:r>
      <w:r w:rsidR="0095038D">
        <w:rPr>
          <w:rFonts w:cstheme="minorHAnsi"/>
          <w:b/>
          <w:bCs/>
          <w:sz w:val="24"/>
          <w:szCs w:val="24"/>
          <w:lang w:val="el-GR"/>
        </w:rPr>
        <w:t>τακτά</w:t>
      </w:r>
      <w:r w:rsidR="0095038D" w:rsidRPr="006A4B70">
        <w:rPr>
          <w:rFonts w:cstheme="minorHAnsi"/>
          <w:b/>
          <w:bCs/>
          <w:sz w:val="24"/>
          <w:szCs w:val="24"/>
          <w:lang w:val="el-GR"/>
        </w:rPr>
        <w:t xml:space="preserve"> </w:t>
      </w:r>
      <w:r w:rsidR="0095038D">
        <w:rPr>
          <w:rFonts w:cstheme="minorHAnsi"/>
          <w:b/>
          <w:bCs/>
          <w:sz w:val="24"/>
          <w:szCs w:val="24"/>
          <w:lang w:val="el-GR"/>
        </w:rPr>
        <w:t>χρονικά</w:t>
      </w:r>
      <w:r w:rsidR="0095038D" w:rsidRPr="006A4B70">
        <w:rPr>
          <w:rFonts w:cstheme="minorHAnsi"/>
          <w:b/>
          <w:bCs/>
          <w:sz w:val="24"/>
          <w:szCs w:val="24"/>
          <w:lang w:val="el-GR"/>
        </w:rPr>
        <w:t xml:space="preserve"> </w:t>
      </w:r>
      <w:r w:rsidR="0095038D">
        <w:rPr>
          <w:rFonts w:cstheme="minorHAnsi"/>
          <w:b/>
          <w:bCs/>
          <w:sz w:val="24"/>
          <w:szCs w:val="24"/>
          <w:lang w:val="el-GR"/>
        </w:rPr>
        <w:t>διαστήματα</w:t>
      </w:r>
      <w:r w:rsidR="0095038D" w:rsidRPr="006A4B70">
        <w:rPr>
          <w:rFonts w:cstheme="minorHAnsi"/>
          <w:b/>
          <w:bCs/>
          <w:sz w:val="24"/>
          <w:szCs w:val="24"/>
          <w:lang w:val="el-GR"/>
        </w:rPr>
        <w:t xml:space="preserve"> </w:t>
      </w:r>
      <w:proofErr w:type="spellStart"/>
      <w:r w:rsidR="0095038D">
        <w:rPr>
          <w:rFonts w:cstheme="minorHAnsi"/>
          <w:b/>
          <w:bCs/>
          <w:sz w:val="24"/>
          <w:szCs w:val="24"/>
          <w:lang w:val="el-GR"/>
        </w:rPr>
        <w:t>ενδο</w:t>
      </w:r>
      <w:proofErr w:type="spellEnd"/>
      <w:r w:rsidR="0095038D" w:rsidRPr="006A4B70">
        <w:rPr>
          <w:rFonts w:cstheme="minorHAnsi"/>
          <w:b/>
          <w:bCs/>
          <w:sz w:val="24"/>
          <w:szCs w:val="24"/>
          <w:lang w:val="el-GR"/>
        </w:rPr>
        <w:t>-</w:t>
      </w:r>
      <w:r w:rsidR="0095038D">
        <w:rPr>
          <w:rFonts w:cstheme="minorHAnsi"/>
          <w:b/>
          <w:bCs/>
          <w:sz w:val="24"/>
          <w:szCs w:val="24"/>
          <w:lang w:val="el-GR"/>
        </w:rPr>
        <w:t>υπηρεσιακά</w:t>
      </w:r>
      <w:r w:rsidR="0095038D" w:rsidRPr="006A4B70">
        <w:rPr>
          <w:rFonts w:cstheme="minorHAnsi"/>
          <w:b/>
          <w:bCs/>
          <w:sz w:val="24"/>
          <w:szCs w:val="24"/>
          <w:lang w:val="el-GR"/>
        </w:rPr>
        <w:t xml:space="preserve"> </w:t>
      </w:r>
      <w:r w:rsidR="0095038D">
        <w:rPr>
          <w:rFonts w:cstheme="minorHAnsi"/>
          <w:b/>
          <w:bCs/>
          <w:sz w:val="24"/>
          <w:szCs w:val="24"/>
          <w:lang w:val="el-GR"/>
        </w:rPr>
        <w:t>εκπαιδευτικά</w:t>
      </w:r>
      <w:r w:rsidR="0095038D" w:rsidRPr="006A4B70">
        <w:rPr>
          <w:rFonts w:cstheme="minorHAnsi"/>
          <w:b/>
          <w:bCs/>
          <w:sz w:val="24"/>
          <w:szCs w:val="24"/>
          <w:lang w:val="el-GR"/>
        </w:rPr>
        <w:t xml:space="preserve"> </w:t>
      </w:r>
      <w:r w:rsidR="0095038D">
        <w:rPr>
          <w:rFonts w:cstheme="minorHAnsi"/>
          <w:b/>
          <w:bCs/>
          <w:sz w:val="24"/>
          <w:szCs w:val="24"/>
          <w:lang w:val="el-GR"/>
        </w:rPr>
        <w:t>προγράμματα</w:t>
      </w:r>
      <w:r w:rsidRPr="006A4B70">
        <w:rPr>
          <w:rFonts w:cstheme="minorHAnsi"/>
          <w:b/>
          <w:bCs/>
          <w:sz w:val="24"/>
          <w:szCs w:val="24"/>
          <w:lang w:val="el-GR"/>
        </w:rPr>
        <w:t xml:space="preserve"> </w:t>
      </w:r>
      <w:r w:rsidR="0095038D">
        <w:rPr>
          <w:rFonts w:cstheme="minorHAnsi"/>
          <w:b/>
          <w:bCs/>
          <w:sz w:val="24"/>
          <w:szCs w:val="24"/>
          <w:lang w:val="el-GR"/>
        </w:rPr>
        <w:t>και</w:t>
      </w:r>
      <w:r w:rsidR="0095038D" w:rsidRPr="006A4B70">
        <w:rPr>
          <w:rFonts w:cstheme="minorHAnsi"/>
          <w:b/>
          <w:bCs/>
          <w:sz w:val="24"/>
          <w:szCs w:val="24"/>
          <w:lang w:val="el-GR"/>
        </w:rPr>
        <w:t xml:space="preserve"> </w:t>
      </w:r>
      <w:r w:rsidR="0095038D">
        <w:rPr>
          <w:rFonts w:cstheme="minorHAnsi"/>
          <w:b/>
          <w:bCs/>
          <w:sz w:val="24"/>
          <w:szCs w:val="24"/>
          <w:lang w:val="el-GR"/>
        </w:rPr>
        <w:t>μέτρα</w:t>
      </w:r>
      <w:r w:rsidR="0095038D" w:rsidRPr="006A4B70">
        <w:rPr>
          <w:rFonts w:cstheme="minorHAnsi"/>
          <w:b/>
          <w:bCs/>
          <w:sz w:val="24"/>
          <w:szCs w:val="24"/>
          <w:lang w:val="el-GR"/>
        </w:rPr>
        <w:t xml:space="preserve"> </w:t>
      </w:r>
      <w:r w:rsidR="0095038D">
        <w:rPr>
          <w:rFonts w:cstheme="minorHAnsi"/>
          <w:b/>
          <w:bCs/>
          <w:sz w:val="24"/>
          <w:szCs w:val="24"/>
          <w:lang w:val="el-GR"/>
        </w:rPr>
        <w:t>ευαισθητοποίησης</w:t>
      </w:r>
      <w:r w:rsidR="0095038D" w:rsidRPr="006A4B70">
        <w:rPr>
          <w:rFonts w:cstheme="minorHAnsi"/>
          <w:b/>
          <w:bCs/>
          <w:sz w:val="24"/>
          <w:szCs w:val="24"/>
          <w:lang w:val="el-GR"/>
        </w:rPr>
        <w:t xml:space="preserve"> </w:t>
      </w:r>
      <w:r w:rsidR="00481634">
        <w:rPr>
          <w:rFonts w:cstheme="minorHAnsi"/>
          <w:b/>
          <w:bCs/>
          <w:sz w:val="24"/>
          <w:szCs w:val="24"/>
          <w:lang w:val="el-GR"/>
        </w:rPr>
        <w:t xml:space="preserve">τόσο </w:t>
      </w:r>
      <w:r w:rsidR="0095038D">
        <w:rPr>
          <w:rFonts w:cstheme="minorHAnsi"/>
          <w:b/>
          <w:bCs/>
          <w:sz w:val="24"/>
          <w:szCs w:val="24"/>
          <w:lang w:val="el-GR"/>
        </w:rPr>
        <w:t>κατά</w:t>
      </w:r>
      <w:r w:rsidR="0095038D" w:rsidRPr="006A4B70">
        <w:rPr>
          <w:rFonts w:cstheme="minorHAnsi"/>
          <w:b/>
          <w:bCs/>
          <w:sz w:val="24"/>
          <w:szCs w:val="24"/>
          <w:lang w:val="el-GR"/>
        </w:rPr>
        <w:t xml:space="preserve"> </w:t>
      </w:r>
      <w:r w:rsidR="0095038D">
        <w:rPr>
          <w:rFonts w:cstheme="minorHAnsi"/>
          <w:b/>
          <w:bCs/>
          <w:sz w:val="24"/>
          <w:szCs w:val="24"/>
          <w:lang w:val="el-GR"/>
        </w:rPr>
        <w:t>τη</w:t>
      </w:r>
      <w:r w:rsidR="00481634">
        <w:rPr>
          <w:rFonts w:cstheme="minorHAnsi"/>
          <w:b/>
          <w:bCs/>
          <w:sz w:val="24"/>
          <w:szCs w:val="24"/>
          <w:lang w:val="el-GR"/>
        </w:rPr>
        <w:t>ς</w:t>
      </w:r>
      <w:r w:rsidR="0095038D" w:rsidRPr="006A4B70">
        <w:rPr>
          <w:rFonts w:cstheme="minorHAnsi"/>
          <w:b/>
          <w:bCs/>
          <w:sz w:val="24"/>
          <w:szCs w:val="24"/>
          <w:lang w:val="el-GR"/>
        </w:rPr>
        <w:t xml:space="preserve"> </w:t>
      </w:r>
      <w:r w:rsidR="0095038D">
        <w:rPr>
          <w:rFonts w:cstheme="minorHAnsi"/>
          <w:b/>
          <w:bCs/>
          <w:sz w:val="24"/>
          <w:szCs w:val="24"/>
          <w:lang w:val="el-GR"/>
        </w:rPr>
        <w:t>διαφθορά</w:t>
      </w:r>
      <w:r w:rsidR="00481634">
        <w:rPr>
          <w:rFonts w:cstheme="minorHAnsi"/>
          <w:b/>
          <w:bCs/>
          <w:sz w:val="24"/>
          <w:szCs w:val="24"/>
          <w:lang w:val="el-GR"/>
        </w:rPr>
        <w:t>ς</w:t>
      </w:r>
      <w:r w:rsidRPr="006A4B70">
        <w:rPr>
          <w:rFonts w:cstheme="minorHAnsi"/>
          <w:b/>
          <w:bCs/>
          <w:sz w:val="24"/>
          <w:szCs w:val="24"/>
          <w:lang w:val="el-GR"/>
        </w:rPr>
        <w:t>,</w:t>
      </w:r>
      <w:r w:rsidR="00481634">
        <w:rPr>
          <w:rFonts w:cstheme="minorHAnsi"/>
          <w:b/>
          <w:bCs/>
          <w:sz w:val="24"/>
          <w:szCs w:val="24"/>
          <w:lang w:val="el-GR"/>
        </w:rPr>
        <w:t xml:space="preserve"> όσο</w:t>
      </w:r>
      <w:r w:rsidRPr="006A4B70">
        <w:rPr>
          <w:rFonts w:cstheme="minorHAnsi"/>
          <w:b/>
          <w:bCs/>
          <w:sz w:val="24"/>
          <w:szCs w:val="24"/>
          <w:lang w:val="el-GR"/>
        </w:rPr>
        <w:t xml:space="preserve"> </w:t>
      </w:r>
      <w:r w:rsidR="0095038D">
        <w:rPr>
          <w:rFonts w:cstheme="minorHAnsi"/>
          <w:b/>
          <w:bCs/>
          <w:sz w:val="24"/>
          <w:szCs w:val="24"/>
          <w:lang w:val="el-GR"/>
        </w:rPr>
        <w:t>και</w:t>
      </w:r>
      <w:r w:rsidR="0095038D" w:rsidRPr="006A4B70">
        <w:rPr>
          <w:rFonts w:cstheme="minorHAnsi"/>
          <w:b/>
          <w:bCs/>
          <w:sz w:val="24"/>
          <w:szCs w:val="24"/>
          <w:lang w:val="el-GR"/>
        </w:rPr>
        <w:t xml:space="preserve"> </w:t>
      </w:r>
      <w:r w:rsidR="0095038D">
        <w:rPr>
          <w:rFonts w:cstheme="minorHAnsi"/>
          <w:b/>
          <w:bCs/>
          <w:sz w:val="24"/>
          <w:szCs w:val="24"/>
          <w:lang w:val="el-GR"/>
        </w:rPr>
        <w:t>για</w:t>
      </w:r>
      <w:r w:rsidR="0095038D" w:rsidRPr="006A4B70">
        <w:rPr>
          <w:rFonts w:cstheme="minorHAnsi"/>
          <w:b/>
          <w:bCs/>
          <w:sz w:val="24"/>
          <w:szCs w:val="24"/>
          <w:lang w:val="el-GR"/>
        </w:rPr>
        <w:t xml:space="preserve"> </w:t>
      </w:r>
      <w:r w:rsidR="0095038D">
        <w:rPr>
          <w:rFonts w:cstheme="minorHAnsi"/>
          <w:b/>
          <w:bCs/>
          <w:sz w:val="24"/>
          <w:szCs w:val="24"/>
          <w:lang w:val="el-GR"/>
        </w:rPr>
        <w:t>την</w:t>
      </w:r>
      <w:r w:rsidR="0095038D" w:rsidRPr="006A4B70">
        <w:rPr>
          <w:rFonts w:cstheme="minorHAnsi"/>
          <w:b/>
          <w:bCs/>
          <w:sz w:val="24"/>
          <w:szCs w:val="24"/>
          <w:lang w:val="el-GR"/>
        </w:rPr>
        <w:t xml:space="preserve"> </w:t>
      </w:r>
      <w:r w:rsidR="0095038D">
        <w:rPr>
          <w:rFonts w:cstheme="minorHAnsi"/>
          <w:b/>
          <w:bCs/>
          <w:sz w:val="24"/>
          <w:szCs w:val="24"/>
          <w:lang w:val="el-GR"/>
        </w:rPr>
        <w:t>ακεραιότητα</w:t>
      </w:r>
      <w:r w:rsidR="0095038D" w:rsidRPr="006A4B70">
        <w:rPr>
          <w:rFonts w:cstheme="minorHAnsi"/>
          <w:b/>
          <w:bCs/>
          <w:sz w:val="24"/>
          <w:szCs w:val="24"/>
          <w:lang w:val="el-GR"/>
        </w:rPr>
        <w:t xml:space="preserve"> </w:t>
      </w:r>
      <w:r w:rsidR="0095038D">
        <w:rPr>
          <w:rFonts w:cstheme="minorHAnsi"/>
          <w:b/>
          <w:bCs/>
          <w:sz w:val="24"/>
          <w:szCs w:val="24"/>
          <w:lang w:val="el-GR"/>
        </w:rPr>
        <w:t>και</w:t>
      </w:r>
      <w:r w:rsidR="0095038D" w:rsidRPr="006A4B70">
        <w:rPr>
          <w:rFonts w:cstheme="minorHAnsi"/>
          <w:b/>
          <w:bCs/>
          <w:sz w:val="24"/>
          <w:szCs w:val="24"/>
          <w:lang w:val="el-GR"/>
        </w:rPr>
        <w:t xml:space="preserve"> </w:t>
      </w:r>
      <w:r w:rsidR="0095038D">
        <w:rPr>
          <w:rFonts w:cstheme="minorHAnsi"/>
          <w:b/>
          <w:bCs/>
          <w:sz w:val="24"/>
          <w:szCs w:val="24"/>
          <w:lang w:val="el-GR"/>
        </w:rPr>
        <w:t>επαγγελματική</w:t>
      </w:r>
      <w:r w:rsidR="0095038D" w:rsidRPr="006A4B70">
        <w:rPr>
          <w:rFonts w:cstheme="minorHAnsi"/>
          <w:b/>
          <w:bCs/>
          <w:sz w:val="24"/>
          <w:szCs w:val="24"/>
          <w:lang w:val="el-GR"/>
        </w:rPr>
        <w:t xml:space="preserve"> </w:t>
      </w:r>
      <w:r w:rsidR="0095038D">
        <w:rPr>
          <w:rFonts w:cstheme="minorHAnsi"/>
          <w:b/>
          <w:bCs/>
          <w:sz w:val="24"/>
          <w:szCs w:val="24"/>
          <w:lang w:val="el-GR"/>
        </w:rPr>
        <w:t>ηθική</w:t>
      </w:r>
      <w:r w:rsidRPr="006A4B70">
        <w:rPr>
          <w:rFonts w:cstheme="minorHAnsi"/>
          <w:b/>
          <w:bCs/>
          <w:sz w:val="24"/>
          <w:szCs w:val="24"/>
          <w:lang w:val="el-GR"/>
        </w:rPr>
        <w:t xml:space="preserve"> (</w:t>
      </w:r>
      <w:r w:rsidR="0095038D">
        <w:rPr>
          <w:rFonts w:cstheme="minorHAnsi"/>
          <w:b/>
          <w:bCs/>
          <w:sz w:val="24"/>
          <w:szCs w:val="24"/>
          <w:lang w:val="el-GR"/>
        </w:rPr>
        <w:t>καλύπτοντας</w:t>
      </w:r>
      <w:r w:rsidR="0095038D" w:rsidRPr="006A4B70">
        <w:rPr>
          <w:rFonts w:cstheme="minorHAnsi"/>
          <w:b/>
          <w:bCs/>
          <w:sz w:val="24"/>
          <w:szCs w:val="24"/>
          <w:lang w:val="el-GR"/>
        </w:rPr>
        <w:t xml:space="preserve"> </w:t>
      </w:r>
      <w:r w:rsidR="0095038D">
        <w:rPr>
          <w:rFonts w:cstheme="minorHAnsi"/>
          <w:b/>
          <w:bCs/>
          <w:sz w:val="24"/>
          <w:szCs w:val="24"/>
          <w:lang w:val="el-GR"/>
        </w:rPr>
        <w:t>τις</w:t>
      </w:r>
      <w:r w:rsidR="0095038D" w:rsidRPr="006A4B70">
        <w:rPr>
          <w:rFonts w:cstheme="minorHAnsi"/>
          <w:b/>
          <w:bCs/>
          <w:sz w:val="24"/>
          <w:szCs w:val="24"/>
          <w:lang w:val="el-GR"/>
        </w:rPr>
        <w:t xml:space="preserve"> </w:t>
      </w:r>
      <w:r w:rsidR="0095038D">
        <w:rPr>
          <w:rFonts w:cstheme="minorHAnsi"/>
          <w:b/>
          <w:bCs/>
          <w:sz w:val="24"/>
          <w:szCs w:val="24"/>
          <w:lang w:val="el-GR"/>
        </w:rPr>
        <w:t>συγκρούσεις</w:t>
      </w:r>
      <w:r w:rsidR="0095038D" w:rsidRPr="006A4B70">
        <w:rPr>
          <w:rFonts w:cstheme="minorHAnsi"/>
          <w:b/>
          <w:bCs/>
          <w:sz w:val="24"/>
          <w:szCs w:val="24"/>
          <w:lang w:val="el-GR"/>
        </w:rPr>
        <w:t xml:space="preserve"> </w:t>
      </w:r>
      <w:r w:rsidR="0095038D">
        <w:rPr>
          <w:rFonts w:cstheme="minorHAnsi"/>
          <w:b/>
          <w:bCs/>
          <w:sz w:val="24"/>
          <w:szCs w:val="24"/>
          <w:lang w:val="el-GR"/>
        </w:rPr>
        <w:t>συμφερόντων</w:t>
      </w:r>
      <w:r w:rsidRPr="006A4B70">
        <w:rPr>
          <w:rFonts w:cstheme="minorHAnsi"/>
          <w:b/>
          <w:bCs/>
          <w:sz w:val="24"/>
          <w:szCs w:val="24"/>
          <w:lang w:val="el-GR"/>
        </w:rPr>
        <w:t xml:space="preserve"> </w:t>
      </w:r>
      <w:r w:rsidR="0095038D">
        <w:rPr>
          <w:rFonts w:cstheme="minorHAnsi"/>
          <w:b/>
          <w:bCs/>
          <w:sz w:val="24"/>
          <w:szCs w:val="24"/>
          <w:lang w:val="el-GR"/>
        </w:rPr>
        <w:t>και</w:t>
      </w:r>
      <w:r w:rsidR="0095038D" w:rsidRPr="006A4B70">
        <w:rPr>
          <w:rFonts w:cstheme="minorHAnsi"/>
          <w:b/>
          <w:bCs/>
          <w:sz w:val="24"/>
          <w:szCs w:val="24"/>
          <w:lang w:val="el-GR"/>
        </w:rPr>
        <w:t xml:space="preserve"> </w:t>
      </w:r>
      <w:r w:rsidR="0095038D">
        <w:rPr>
          <w:rFonts w:cstheme="minorHAnsi"/>
          <w:b/>
          <w:bCs/>
          <w:sz w:val="24"/>
          <w:szCs w:val="24"/>
          <w:lang w:val="el-GR"/>
        </w:rPr>
        <w:t>άλλα</w:t>
      </w:r>
      <w:r w:rsidR="0095038D" w:rsidRPr="006A4B70">
        <w:rPr>
          <w:rFonts w:cstheme="minorHAnsi"/>
          <w:b/>
          <w:bCs/>
          <w:sz w:val="24"/>
          <w:szCs w:val="24"/>
          <w:lang w:val="el-GR"/>
        </w:rPr>
        <w:t xml:space="preserve"> </w:t>
      </w:r>
      <w:r w:rsidR="0095038D">
        <w:rPr>
          <w:rFonts w:cstheme="minorHAnsi"/>
          <w:b/>
          <w:bCs/>
          <w:sz w:val="24"/>
          <w:szCs w:val="24"/>
          <w:lang w:val="el-GR"/>
        </w:rPr>
        <w:t>θέματα</w:t>
      </w:r>
      <w:r w:rsidR="0095038D" w:rsidRPr="006A4B70">
        <w:rPr>
          <w:rFonts w:cstheme="minorHAnsi"/>
          <w:b/>
          <w:bCs/>
          <w:sz w:val="24"/>
          <w:szCs w:val="24"/>
          <w:lang w:val="el-GR"/>
        </w:rPr>
        <w:t xml:space="preserve"> </w:t>
      </w:r>
      <w:r w:rsidR="0095038D">
        <w:rPr>
          <w:rFonts w:cstheme="minorHAnsi"/>
          <w:b/>
          <w:bCs/>
          <w:sz w:val="24"/>
          <w:szCs w:val="24"/>
          <w:lang w:val="el-GR"/>
        </w:rPr>
        <w:t>που</w:t>
      </w:r>
      <w:r w:rsidR="0095038D" w:rsidRPr="006A4B70">
        <w:rPr>
          <w:rFonts w:cstheme="minorHAnsi"/>
          <w:b/>
          <w:bCs/>
          <w:sz w:val="24"/>
          <w:szCs w:val="24"/>
          <w:lang w:val="el-GR"/>
        </w:rPr>
        <w:t xml:space="preserve"> </w:t>
      </w:r>
      <w:r w:rsidR="0095038D">
        <w:rPr>
          <w:rFonts w:cstheme="minorHAnsi"/>
          <w:b/>
          <w:bCs/>
          <w:sz w:val="24"/>
          <w:szCs w:val="24"/>
          <w:lang w:val="el-GR"/>
        </w:rPr>
        <w:t>σχετίζονται</w:t>
      </w:r>
      <w:r w:rsidR="0095038D" w:rsidRPr="006A4B70">
        <w:rPr>
          <w:rFonts w:cstheme="minorHAnsi"/>
          <w:b/>
          <w:bCs/>
          <w:sz w:val="24"/>
          <w:szCs w:val="24"/>
          <w:lang w:val="el-GR"/>
        </w:rPr>
        <w:t xml:space="preserve"> </w:t>
      </w:r>
      <w:r w:rsidR="0095038D">
        <w:rPr>
          <w:rFonts w:cstheme="minorHAnsi"/>
          <w:b/>
          <w:bCs/>
          <w:sz w:val="24"/>
          <w:szCs w:val="24"/>
          <w:lang w:val="el-GR"/>
        </w:rPr>
        <w:t>με</w:t>
      </w:r>
      <w:r w:rsidR="0095038D" w:rsidRPr="006A4B70">
        <w:rPr>
          <w:rFonts w:cstheme="minorHAnsi"/>
          <w:b/>
          <w:bCs/>
          <w:sz w:val="24"/>
          <w:szCs w:val="24"/>
          <w:lang w:val="el-GR"/>
        </w:rPr>
        <w:t xml:space="preserve"> </w:t>
      </w:r>
      <w:r w:rsidR="0095038D">
        <w:rPr>
          <w:rFonts w:cstheme="minorHAnsi"/>
          <w:b/>
          <w:bCs/>
          <w:sz w:val="24"/>
          <w:szCs w:val="24"/>
          <w:lang w:val="el-GR"/>
        </w:rPr>
        <w:t>την</w:t>
      </w:r>
      <w:r w:rsidR="0095038D" w:rsidRPr="006A4B70">
        <w:rPr>
          <w:rFonts w:cstheme="minorHAnsi"/>
          <w:b/>
          <w:bCs/>
          <w:sz w:val="24"/>
          <w:szCs w:val="24"/>
          <w:lang w:val="el-GR"/>
        </w:rPr>
        <w:t xml:space="preserve"> </w:t>
      </w:r>
      <w:r w:rsidR="0095038D">
        <w:rPr>
          <w:rFonts w:cstheme="minorHAnsi"/>
          <w:b/>
          <w:bCs/>
          <w:sz w:val="24"/>
          <w:szCs w:val="24"/>
          <w:lang w:val="el-GR"/>
        </w:rPr>
        <w:t>πρόληψη</w:t>
      </w:r>
      <w:r w:rsidR="0095038D" w:rsidRPr="006A4B70">
        <w:rPr>
          <w:rFonts w:cstheme="minorHAnsi"/>
          <w:b/>
          <w:bCs/>
          <w:sz w:val="24"/>
          <w:szCs w:val="24"/>
          <w:lang w:val="el-GR"/>
        </w:rPr>
        <w:t xml:space="preserve"> </w:t>
      </w:r>
      <w:r w:rsidR="0095038D">
        <w:rPr>
          <w:rFonts w:cstheme="minorHAnsi"/>
          <w:b/>
          <w:bCs/>
          <w:sz w:val="24"/>
          <w:szCs w:val="24"/>
          <w:lang w:val="el-GR"/>
        </w:rPr>
        <w:t>της</w:t>
      </w:r>
      <w:r w:rsidR="0095038D" w:rsidRPr="006A4B70">
        <w:rPr>
          <w:rFonts w:cstheme="minorHAnsi"/>
          <w:b/>
          <w:bCs/>
          <w:sz w:val="24"/>
          <w:szCs w:val="24"/>
          <w:lang w:val="el-GR"/>
        </w:rPr>
        <w:t xml:space="preserve"> </w:t>
      </w:r>
      <w:r w:rsidR="0095038D">
        <w:rPr>
          <w:rFonts w:cstheme="minorHAnsi"/>
          <w:b/>
          <w:bCs/>
          <w:sz w:val="24"/>
          <w:szCs w:val="24"/>
          <w:lang w:val="el-GR"/>
        </w:rPr>
        <w:t>διαφθοράς</w:t>
      </w:r>
      <w:r w:rsidRPr="006A4B70">
        <w:rPr>
          <w:rFonts w:cstheme="minorHAnsi"/>
          <w:b/>
          <w:bCs/>
          <w:sz w:val="24"/>
          <w:szCs w:val="24"/>
          <w:lang w:val="el-GR"/>
        </w:rPr>
        <w:t xml:space="preserve">) </w:t>
      </w:r>
      <w:r w:rsidR="0095038D">
        <w:rPr>
          <w:rFonts w:cstheme="minorHAnsi"/>
          <w:b/>
          <w:bCs/>
          <w:sz w:val="24"/>
          <w:szCs w:val="24"/>
          <w:lang w:val="el-GR"/>
        </w:rPr>
        <w:t>για</w:t>
      </w:r>
      <w:r w:rsidR="0095038D" w:rsidRPr="006A4B70">
        <w:rPr>
          <w:rFonts w:cstheme="minorHAnsi"/>
          <w:b/>
          <w:bCs/>
          <w:sz w:val="24"/>
          <w:szCs w:val="24"/>
          <w:lang w:val="el-GR"/>
        </w:rPr>
        <w:t xml:space="preserve"> </w:t>
      </w:r>
      <w:r w:rsidR="0095038D">
        <w:rPr>
          <w:rFonts w:cstheme="minorHAnsi"/>
          <w:b/>
          <w:bCs/>
          <w:sz w:val="24"/>
          <w:szCs w:val="24"/>
          <w:lang w:val="el-GR"/>
        </w:rPr>
        <w:t>αστυνομικούς</w:t>
      </w:r>
      <w:r w:rsidRPr="006A4B70">
        <w:rPr>
          <w:rFonts w:cstheme="minorHAnsi"/>
          <w:b/>
          <w:bCs/>
          <w:sz w:val="24"/>
          <w:szCs w:val="24"/>
          <w:lang w:val="el-GR"/>
        </w:rPr>
        <w:t xml:space="preserve">, </w:t>
      </w:r>
      <w:r w:rsidR="006A4B70">
        <w:rPr>
          <w:rFonts w:cstheme="minorHAnsi"/>
          <w:b/>
          <w:bCs/>
          <w:sz w:val="24"/>
          <w:szCs w:val="24"/>
          <w:lang w:val="el-GR"/>
        </w:rPr>
        <w:t xml:space="preserve">λαμβάνοντας </w:t>
      </w:r>
      <w:r w:rsidR="00463ACC">
        <w:rPr>
          <w:rFonts w:cstheme="minorHAnsi"/>
          <w:b/>
          <w:bCs/>
          <w:sz w:val="24"/>
          <w:szCs w:val="24"/>
          <w:lang w:val="el-GR"/>
        </w:rPr>
        <w:t>υπόψη</w:t>
      </w:r>
      <w:r w:rsidR="006A4B70" w:rsidRPr="006A4B70">
        <w:rPr>
          <w:rFonts w:cstheme="minorHAnsi"/>
          <w:b/>
          <w:bCs/>
          <w:sz w:val="24"/>
          <w:szCs w:val="24"/>
          <w:lang w:val="el-GR"/>
        </w:rPr>
        <w:t xml:space="preserve"> </w:t>
      </w:r>
      <w:r w:rsidR="006A4B70">
        <w:rPr>
          <w:rFonts w:cstheme="minorHAnsi"/>
          <w:b/>
          <w:bCs/>
          <w:sz w:val="24"/>
          <w:szCs w:val="24"/>
          <w:lang w:val="el-GR"/>
        </w:rPr>
        <w:t>την ειδικότητα τους, την</w:t>
      </w:r>
      <w:r w:rsidRPr="006A4B70">
        <w:rPr>
          <w:rFonts w:cstheme="minorHAnsi"/>
          <w:b/>
          <w:bCs/>
          <w:sz w:val="24"/>
          <w:szCs w:val="24"/>
          <w:lang w:val="el-GR"/>
        </w:rPr>
        <w:t xml:space="preserve"> </w:t>
      </w:r>
      <w:r w:rsidR="006A4B70">
        <w:rPr>
          <w:rFonts w:cstheme="minorHAnsi"/>
          <w:b/>
          <w:bCs/>
          <w:sz w:val="24"/>
          <w:szCs w:val="24"/>
          <w:lang w:val="el-GR"/>
        </w:rPr>
        <w:t>ποικιλία των καθηκόντων</w:t>
      </w:r>
      <w:r w:rsidRPr="006A4B70">
        <w:rPr>
          <w:rFonts w:cstheme="minorHAnsi"/>
          <w:b/>
          <w:bCs/>
          <w:sz w:val="24"/>
          <w:szCs w:val="24"/>
          <w:lang w:val="el-GR"/>
        </w:rPr>
        <w:t xml:space="preserve"> </w:t>
      </w:r>
      <w:r w:rsidR="006A4B70">
        <w:rPr>
          <w:rFonts w:cstheme="minorHAnsi"/>
          <w:b/>
          <w:bCs/>
          <w:sz w:val="24"/>
          <w:szCs w:val="24"/>
          <w:lang w:val="el-GR"/>
        </w:rPr>
        <w:t>και τα τρωτά τους σημεία</w:t>
      </w:r>
      <w:r w:rsidRPr="006A4B70">
        <w:rPr>
          <w:rFonts w:cstheme="minorHAnsi"/>
          <w:b/>
          <w:bCs/>
          <w:sz w:val="24"/>
          <w:szCs w:val="24"/>
          <w:lang w:val="el-GR"/>
        </w:rPr>
        <w:t xml:space="preserve">, </w:t>
      </w:r>
      <w:r w:rsidR="006A4B70">
        <w:rPr>
          <w:rFonts w:cstheme="minorHAnsi"/>
          <w:b/>
          <w:bCs/>
          <w:sz w:val="24"/>
          <w:szCs w:val="24"/>
          <w:lang w:val="el-GR"/>
        </w:rPr>
        <w:t>συμπεριλαμβανομένου και το</w:t>
      </w:r>
      <w:r w:rsidR="00965252">
        <w:rPr>
          <w:rFonts w:cstheme="minorHAnsi"/>
          <w:b/>
          <w:bCs/>
          <w:sz w:val="24"/>
          <w:szCs w:val="24"/>
          <w:lang w:val="el-GR"/>
        </w:rPr>
        <w:t>υ</w:t>
      </w:r>
      <w:r w:rsidR="006A4B70">
        <w:rPr>
          <w:rFonts w:cstheme="minorHAnsi"/>
          <w:b/>
          <w:bCs/>
          <w:sz w:val="24"/>
          <w:szCs w:val="24"/>
          <w:lang w:val="el-GR"/>
        </w:rPr>
        <w:t xml:space="preserve"> να </w:t>
      </w:r>
      <w:r w:rsidR="00DB2D64">
        <w:rPr>
          <w:rFonts w:cstheme="minorHAnsi"/>
          <w:b/>
          <w:bCs/>
          <w:sz w:val="24"/>
          <w:szCs w:val="24"/>
          <w:lang w:val="el-GR"/>
        </w:rPr>
        <w:t>δοθεί</w:t>
      </w:r>
      <w:r w:rsidR="006A4B70">
        <w:rPr>
          <w:rFonts w:cstheme="minorHAnsi"/>
          <w:b/>
          <w:bCs/>
          <w:sz w:val="24"/>
          <w:szCs w:val="24"/>
          <w:lang w:val="el-GR"/>
        </w:rPr>
        <w:t xml:space="preserve"> ειδική προσοχή στην εκπαίδευση </w:t>
      </w:r>
      <w:r w:rsidR="00965252">
        <w:rPr>
          <w:rFonts w:cstheme="minorHAnsi"/>
          <w:b/>
          <w:bCs/>
          <w:sz w:val="24"/>
          <w:szCs w:val="24"/>
          <w:lang w:val="el-GR"/>
        </w:rPr>
        <w:t xml:space="preserve">στην </w:t>
      </w:r>
      <w:r w:rsidR="006A4B70">
        <w:rPr>
          <w:rFonts w:cstheme="minorHAnsi"/>
          <w:b/>
          <w:bCs/>
          <w:sz w:val="24"/>
          <w:szCs w:val="24"/>
          <w:lang w:val="el-GR"/>
        </w:rPr>
        <w:t>ηθική ηγεσία,</w:t>
      </w:r>
      <w:r w:rsidRPr="006A4B70">
        <w:rPr>
          <w:rFonts w:cstheme="minorHAnsi"/>
          <w:b/>
          <w:bCs/>
          <w:sz w:val="24"/>
          <w:szCs w:val="24"/>
          <w:lang w:val="el-GR"/>
        </w:rPr>
        <w:t xml:space="preserve"> </w:t>
      </w:r>
      <w:r w:rsidR="006A4B70">
        <w:rPr>
          <w:rFonts w:cstheme="minorHAnsi"/>
          <w:b/>
          <w:bCs/>
          <w:sz w:val="24"/>
          <w:szCs w:val="24"/>
          <w:lang w:val="el-GR"/>
        </w:rPr>
        <w:t>και</w:t>
      </w:r>
      <w:r w:rsidRPr="006A4B70">
        <w:rPr>
          <w:rFonts w:cstheme="minorHAnsi"/>
          <w:b/>
          <w:bCs/>
          <w:sz w:val="24"/>
          <w:szCs w:val="24"/>
          <w:lang w:val="el-GR"/>
        </w:rPr>
        <w:t xml:space="preserve"> (</w:t>
      </w:r>
      <w:r w:rsidRPr="004E251E">
        <w:rPr>
          <w:rFonts w:cstheme="minorHAnsi"/>
          <w:b/>
          <w:bCs/>
          <w:sz w:val="24"/>
          <w:szCs w:val="24"/>
        </w:rPr>
        <w:t>ii</w:t>
      </w:r>
      <w:r w:rsidRPr="006A4B70">
        <w:rPr>
          <w:rFonts w:cstheme="minorHAnsi"/>
          <w:b/>
          <w:bCs/>
          <w:sz w:val="24"/>
          <w:szCs w:val="24"/>
          <w:lang w:val="el-GR"/>
        </w:rPr>
        <w:t xml:space="preserve">) </w:t>
      </w:r>
      <w:r w:rsidR="006A4B70">
        <w:rPr>
          <w:rFonts w:cstheme="minorHAnsi"/>
          <w:b/>
          <w:bCs/>
          <w:sz w:val="24"/>
          <w:szCs w:val="24"/>
          <w:lang w:val="el-GR"/>
        </w:rPr>
        <w:t>να ενισχυθεί ο μηχανισμός για την παροχή εμπιστευτικών συμβουλών σε αστυνομικούς</w:t>
      </w:r>
      <w:r w:rsidRPr="006A4B70">
        <w:rPr>
          <w:rFonts w:cstheme="minorHAnsi"/>
          <w:b/>
          <w:bCs/>
          <w:sz w:val="24"/>
          <w:szCs w:val="24"/>
          <w:lang w:val="el-GR"/>
        </w:rPr>
        <w:t xml:space="preserve"> </w:t>
      </w:r>
      <w:r w:rsidR="006A4B70">
        <w:rPr>
          <w:rFonts w:cstheme="minorHAnsi"/>
          <w:b/>
          <w:bCs/>
          <w:sz w:val="24"/>
          <w:szCs w:val="24"/>
          <w:lang w:val="el-GR"/>
        </w:rPr>
        <w:t>πάνω σε θέματα ηθικής και ακεραιότητας</w:t>
      </w:r>
      <w:r w:rsidRPr="006A4B70">
        <w:rPr>
          <w:rFonts w:cstheme="minorHAnsi"/>
          <w:b/>
          <w:bCs/>
          <w:sz w:val="24"/>
          <w:szCs w:val="24"/>
          <w:lang w:val="el-GR"/>
        </w:rPr>
        <w:t xml:space="preserve">, </w:t>
      </w:r>
      <w:r w:rsidR="006A4B70">
        <w:rPr>
          <w:rFonts w:cstheme="minorHAnsi"/>
          <w:b/>
          <w:bCs/>
          <w:sz w:val="24"/>
          <w:szCs w:val="24"/>
          <w:lang w:val="el-GR"/>
        </w:rPr>
        <w:t>εξασφαλί</w:t>
      </w:r>
      <w:r w:rsidR="00965252">
        <w:rPr>
          <w:rFonts w:cstheme="minorHAnsi"/>
          <w:b/>
          <w:bCs/>
          <w:sz w:val="24"/>
          <w:szCs w:val="24"/>
          <w:lang w:val="el-GR"/>
        </w:rPr>
        <w:t>ζ</w:t>
      </w:r>
      <w:r w:rsidR="006A4B70">
        <w:rPr>
          <w:rFonts w:cstheme="minorHAnsi"/>
          <w:b/>
          <w:bCs/>
          <w:sz w:val="24"/>
          <w:szCs w:val="24"/>
          <w:lang w:val="el-GR"/>
        </w:rPr>
        <w:t xml:space="preserve">οντας την εμπιστευτική φύση τους και ενθαρρύνοντας την χρήση του </w:t>
      </w:r>
      <w:r w:rsidR="00481634">
        <w:rPr>
          <w:rFonts w:cstheme="minorHAnsi"/>
          <w:b/>
          <w:bCs/>
          <w:sz w:val="24"/>
          <w:szCs w:val="24"/>
          <w:lang w:val="el-GR"/>
        </w:rPr>
        <w:t xml:space="preserve">εν λόγω μέσω </w:t>
      </w:r>
      <w:r w:rsidRPr="006A4B70">
        <w:rPr>
          <w:rFonts w:cstheme="minorHAnsi"/>
          <w:sz w:val="24"/>
          <w:szCs w:val="24"/>
          <w:lang w:val="el-GR"/>
        </w:rPr>
        <w:t>(</w:t>
      </w:r>
      <w:r w:rsidR="006A4B70">
        <w:rPr>
          <w:rFonts w:cstheme="minorHAnsi"/>
          <w:sz w:val="24"/>
          <w:szCs w:val="24"/>
          <w:lang w:val="el-GR"/>
        </w:rPr>
        <w:t>παράγραφος</w:t>
      </w:r>
      <w:r w:rsidRPr="006A4B70">
        <w:rPr>
          <w:rFonts w:cstheme="minorHAnsi"/>
          <w:sz w:val="24"/>
          <w:szCs w:val="24"/>
          <w:lang w:val="el-GR"/>
        </w:rPr>
        <w:t xml:space="preserve"> 182)</w:t>
      </w:r>
      <w:r w:rsidR="00CE5A97" w:rsidRPr="006A4B70">
        <w:rPr>
          <w:rFonts w:cstheme="minorHAnsi"/>
          <w:b/>
          <w:bCs/>
          <w:sz w:val="24"/>
          <w:szCs w:val="24"/>
          <w:lang w:val="el-GR"/>
        </w:rPr>
        <w:t>,</w:t>
      </w:r>
    </w:p>
    <w:p w14:paraId="2D90402B" w14:textId="77777777" w:rsidR="00A70949" w:rsidRPr="006A4B70" w:rsidRDefault="00A70949" w:rsidP="00A70949">
      <w:pPr>
        <w:pStyle w:val="ListParagraph"/>
        <w:rPr>
          <w:b/>
          <w:sz w:val="24"/>
          <w:szCs w:val="24"/>
          <w:lang w:val="el-GR"/>
        </w:rPr>
      </w:pPr>
    </w:p>
    <w:p w14:paraId="435EF956" w14:textId="08EE0282" w:rsidR="00A70949" w:rsidRPr="006A4B70" w:rsidRDefault="00481634" w:rsidP="00220066">
      <w:pPr>
        <w:pStyle w:val="ListParagraph"/>
        <w:numPr>
          <w:ilvl w:val="0"/>
          <w:numId w:val="2"/>
        </w:numPr>
        <w:ind w:left="851" w:hanging="567"/>
        <w:contextualSpacing w:val="0"/>
        <w:rPr>
          <w:b/>
          <w:sz w:val="24"/>
          <w:szCs w:val="24"/>
          <w:lang w:val="el-GR"/>
        </w:rPr>
      </w:pPr>
      <w:r>
        <w:rPr>
          <w:rFonts w:cstheme="minorHAnsi"/>
          <w:b/>
          <w:bCs/>
          <w:sz w:val="24"/>
          <w:szCs w:val="24"/>
          <w:lang w:val="el-GR"/>
        </w:rPr>
        <w:t>θ</w:t>
      </w:r>
      <w:r w:rsidRPr="00481634">
        <w:rPr>
          <w:rFonts w:cstheme="minorHAnsi"/>
          <w:b/>
          <w:bCs/>
          <w:sz w:val="24"/>
          <w:szCs w:val="24"/>
          <w:lang w:val="el-GR"/>
        </w:rPr>
        <w:t xml:space="preserve">έσπιση πρόσθετων μέτρων, εντός των παραμέτρων του Συντάγματος, σχετικά με το διορισμό και την παύση του Αρχηγού και του Υπαρχηγού της Αστυνομίας που βασίζονται σε </w:t>
      </w:r>
      <w:r>
        <w:rPr>
          <w:rFonts w:cstheme="minorHAnsi"/>
          <w:b/>
          <w:bCs/>
          <w:sz w:val="24"/>
          <w:szCs w:val="24"/>
          <w:lang w:val="el-GR"/>
        </w:rPr>
        <w:t>επίσημα</w:t>
      </w:r>
      <w:r w:rsidRPr="00481634">
        <w:rPr>
          <w:rFonts w:cstheme="minorHAnsi"/>
          <w:b/>
          <w:bCs/>
          <w:sz w:val="24"/>
          <w:szCs w:val="24"/>
          <w:lang w:val="el-GR"/>
        </w:rPr>
        <w:t>, αντικειμενικά, ανταγωνιστικά και διαφανή κριτήρια και διαδικασίες (παράγραφος 192).</w:t>
      </w:r>
      <w:r w:rsidRPr="00481634" w:rsidDel="00481634">
        <w:rPr>
          <w:rFonts w:cstheme="minorHAnsi"/>
          <w:b/>
          <w:bCs/>
          <w:sz w:val="24"/>
          <w:szCs w:val="24"/>
          <w:lang w:val="el-GR"/>
        </w:rPr>
        <w:t xml:space="preserve"> </w:t>
      </w:r>
      <w:r w:rsidR="000538B6" w:rsidRPr="006A4B70">
        <w:rPr>
          <w:rFonts w:cstheme="minorHAnsi"/>
          <w:sz w:val="24"/>
          <w:szCs w:val="24"/>
          <w:lang w:val="el-GR"/>
        </w:rPr>
        <w:t>(</w:t>
      </w:r>
      <w:r w:rsidR="006A4B70">
        <w:rPr>
          <w:rFonts w:cstheme="minorHAnsi"/>
          <w:sz w:val="24"/>
          <w:szCs w:val="24"/>
          <w:lang w:val="el-GR"/>
        </w:rPr>
        <w:t>παράγραφος</w:t>
      </w:r>
      <w:r w:rsidR="000538B6" w:rsidRPr="006A4B70">
        <w:rPr>
          <w:rFonts w:cstheme="minorHAnsi"/>
          <w:sz w:val="24"/>
          <w:szCs w:val="24"/>
          <w:lang w:val="el-GR"/>
        </w:rPr>
        <w:t xml:space="preserve"> 192)</w:t>
      </w:r>
      <w:r w:rsidR="00CE5A97" w:rsidRPr="006A4B70">
        <w:rPr>
          <w:rFonts w:cstheme="minorHAnsi"/>
          <w:b/>
          <w:bCs/>
          <w:sz w:val="24"/>
          <w:szCs w:val="24"/>
          <w:lang w:val="el-GR"/>
        </w:rPr>
        <w:t>,</w:t>
      </w:r>
    </w:p>
    <w:p w14:paraId="17BCF787" w14:textId="77777777" w:rsidR="00A70949" w:rsidRPr="006A4B70" w:rsidRDefault="00A70949" w:rsidP="00A70949">
      <w:pPr>
        <w:pStyle w:val="ListParagraph"/>
        <w:rPr>
          <w:b/>
          <w:sz w:val="24"/>
          <w:szCs w:val="24"/>
          <w:lang w:val="el-GR"/>
        </w:rPr>
      </w:pPr>
    </w:p>
    <w:p w14:paraId="2D8D1074" w14:textId="37821E2A" w:rsidR="00A70949" w:rsidRPr="00965252" w:rsidRDefault="000538B6" w:rsidP="00220066">
      <w:pPr>
        <w:pStyle w:val="ListParagraph"/>
        <w:numPr>
          <w:ilvl w:val="0"/>
          <w:numId w:val="2"/>
        </w:numPr>
        <w:ind w:left="851" w:hanging="567"/>
        <w:contextualSpacing w:val="0"/>
        <w:rPr>
          <w:b/>
          <w:sz w:val="24"/>
          <w:szCs w:val="24"/>
          <w:lang w:val="el-GR"/>
        </w:rPr>
      </w:pPr>
      <w:r w:rsidRPr="00965252">
        <w:rPr>
          <w:rFonts w:cstheme="minorHAnsi"/>
          <w:b/>
          <w:bCs/>
          <w:sz w:val="24"/>
          <w:szCs w:val="24"/>
          <w:lang w:val="el-GR"/>
        </w:rPr>
        <w:t>(</w:t>
      </w:r>
      <w:proofErr w:type="spellStart"/>
      <w:r w:rsidRPr="004E251E">
        <w:rPr>
          <w:rFonts w:cstheme="minorHAnsi"/>
          <w:b/>
          <w:bCs/>
          <w:sz w:val="24"/>
          <w:szCs w:val="24"/>
        </w:rPr>
        <w:t>i</w:t>
      </w:r>
      <w:proofErr w:type="spellEnd"/>
      <w:r w:rsidRPr="00965252">
        <w:rPr>
          <w:rFonts w:cstheme="minorHAnsi"/>
          <w:b/>
          <w:bCs/>
          <w:sz w:val="24"/>
          <w:szCs w:val="24"/>
          <w:lang w:val="el-GR"/>
        </w:rPr>
        <w:t xml:space="preserve">) </w:t>
      </w:r>
      <w:r w:rsidR="00481634" w:rsidRPr="00481634">
        <w:rPr>
          <w:rFonts w:cstheme="minorHAnsi"/>
          <w:b/>
          <w:bCs/>
          <w:sz w:val="24"/>
          <w:szCs w:val="24"/>
          <w:lang w:val="el-GR"/>
        </w:rPr>
        <w:t xml:space="preserve">να εισαχθούν μέτρα για την ενίσχυση της αντικειμενικότητας (μέσω μετρήσιμων κριτηρίων) των αποφάσεων σχετικά με την επιλογή αξιωματικών </w:t>
      </w:r>
      <w:r w:rsidR="00481634">
        <w:rPr>
          <w:rFonts w:cstheme="minorHAnsi"/>
          <w:b/>
          <w:bCs/>
          <w:sz w:val="24"/>
          <w:szCs w:val="24"/>
          <w:lang w:val="el-GR"/>
        </w:rPr>
        <w:t>σε</w:t>
      </w:r>
      <w:r w:rsidR="00481634" w:rsidRPr="00481634">
        <w:rPr>
          <w:rFonts w:cstheme="minorHAnsi"/>
          <w:b/>
          <w:bCs/>
          <w:sz w:val="24"/>
          <w:szCs w:val="24"/>
          <w:lang w:val="el-GR"/>
        </w:rPr>
        <w:t xml:space="preserve"> υψηλότερους βαθμούς, τις προαγωγές και τις μεταθέσεις και για την παροχή μεγαλύτερης διαφάνειας σε τέτοιες διαδικασίες· και (</w:t>
      </w:r>
      <w:proofErr w:type="spellStart"/>
      <w:r w:rsidR="00481634" w:rsidRPr="00481634">
        <w:rPr>
          <w:rFonts w:cstheme="minorHAnsi"/>
          <w:b/>
          <w:bCs/>
          <w:sz w:val="24"/>
          <w:szCs w:val="24"/>
          <w:lang w:val="el-GR"/>
        </w:rPr>
        <w:t>ii</w:t>
      </w:r>
      <w:proofErr w:type="spellEnd"/>
      <w:r w:rsidR="00481634" w:rsidRPr="00481634">
        <w:rPr>
          <w:rFonts w:cstheme="minorHAnsi"/>
          <w:b/>
          <w:bCs/>
          <w:sz w:val="24"/>
          <w:szCs w:val="24"/>
          <w:lang w:val="el-GR"/>
        </w:rPr>
        <w:t xml:space="preserve">) να ληφθούν μέτρα για την ενίσχυση της εκπροσώπησης των γυναικών σε </w:t>
      </w:r>
      <w:r w:rsidR="00481634">
        <w:rPr>
          <w:rFonts w:cstheme="minorHAnsi"/>
          <w:b/>
          <w:bCs/>
          <w:sz w:val="24"/>
          <w:szCs w:val="24"/>
          <w:lang w:val="el-GR"/>
        </w:rPr>
        <w:t>όλες τις βαθμίδες</w:t>
      </w:r>
      <w:r w:rsidR="00481634" w:rsidRPr="00481634">
        <w:rPr>
          <w:rFonts w:cstheme="minorHAnsi"/>
          <w:b/>
          <w:bCs/>
          <w:sz w:val="24"/>
          <w:szCs w:val="24"/>
          <w:lang w:val="el-GR"/>
        </w:rPr>
        <w:t xml:space="preserve"> της </w:t>
      </w:r>
      <w:r w:rsidR="00481634">
        <w:rPr>
          <w:rFonts w:cstheme="minorHAnsi"/>
          <w:b/>
          <w:bCs/>
          <w:sz w:val="24"/>
          <w:szCs w:val="24"/>
          <w:lang w:val="el-GR"/>
        </w:rPr>
        <w:t>Α</w:t>
      </w:r>
      <w:r w:rsidR="00481634" w:rsidRPr="00481634">
        <w:rPr>
          <w:rFonts w:cstheme="minorHAnsi"/>
          <w:b/>
          <w:bCs/>
          <w:sz w:val="24"/>
          <w:szCs w:val="24"/>
          <w:lang w:val="el-GR"/>
        </w:rPr>
        <w:t>στυνομίας ως μέρος των πολιτικών στρατολόγησης και προαγωγής</w:t>
      </w:r>
      <w:r w:rsidRPr="00965252">
        <w:rPr>
          <w:rFonts w:cstheme="minorHAnsi"/>
          <w:b/>
          <w:bCs/>
          <w:sz w:val="24"/>
          <w:szCs w:val="24"/>
          <w:lang w:val="el-GR"/>
        </w:rPr>
        <w:t xml:space="preserve"> </w:t>
      </w:r>
      <w:r w:rsidRPr="00965252">
        <w:rPr>
          <w:rFonts w:cstheme="minorHAnsi"/>
          <w:sz w:val="24"/>
          <w:szCs w:val="24"/>
          <w:lang w:val="el-GR"/>
        </w:rPr>
        <w:t>(</w:t>
      </w:r>
      <w:r w:rsidR="00965252">
        <w:rPr>
          <w:rFonts w:cstheme="minorHAnsi"/>
          <w:sz w:val="24"/>
          <w:szCs w:val="24"/>
          <w:lang w:val="el-GR"/>
        </w:rPr>
        <w:t>παράγραφος</w:t>
      </w:r>
      <w:r w:rsidRPr="00965252">
        <w:rPr>
          <w:rFonts w:cstheme="minorHAnsi"/>
          <w:sz w:val="24"/>
          <w:szCs w:val="24"/>
          <w:lang w:val="el-GR"/>
        </w:rPr>
        <w:t xml:space="preserve"> 196)</w:t>
      </w:r>
      <w:r w:rsidR="00CE5A97" w:rsidRPr="00965252">
        <w:rPr>
          <w:rFonts w:cstheme="minorHAnsi"/>
          <w:b/>
          <w:bCs/>
          <w:sz w:val="24"/>
          <w:szCs w:val="24"/>
          <w:lang w:val="el-GR"/>
        </w:rPr>
        <w:t>,</w:t>
      </w:r>
    </w:p>
    <w:p w14:paraId="6E52ADE1" w14:textId="77777777" w:rsidR="00A70949" w:rsidRPr="00965252" w:rsidRDefault="00A70949" w:rsidP="00A70949">
      <w:pPr>
        <w:pStyle w:val="ListParagraph"/>
        <w:rPr>
          <w:b/>
          <w:sz w:val="24"/>
          <w:szCs w:val="24"/>
          <w:lang w:val="el-GR"/>
        </w:rPr>
      </w:pPr>
    </w:p>
    <w:p w14:paraId="6FC832D3" w14:textId="126CA82D" w:rsidR="00A70949" w:rsidRPr="00965252" w:rsidRDefault="007877A4" w:rsidP="00220066">
      <w:pPr>
        <w:pStyle w:val="ListParagraph"/>
        <w:numPr>
          <w:ilvl w:val="0"/>
          <w:numId w:val="2"/>
        </w:numPr>
        <w:ind w:left="851" w:hanging="567"/>
        <w:contextualSpacing w:val="0"/>
        <w:rPr>
          <w:b/>
          <w:sz w:val="24"/>
          <w:szCs w:val="24"/>
          <w:lang w:val="el-GR"/>
        </w:rPr>
      </w:pPr>
      <w:r w:rsidRPr="007877A4">
        <w:rPr>
          <w:rFonts w:cstheme="minorHAnsi"/>
          <w:b/>
          <w:bCs/>
          <w:sz w:val="24"/>
          <w:szCs w:val="24"/>
          <w:lang w:val="el-GR"/>
        </w:rPr>
        <w:t xml:space="preserve">ανάπτυξη μιας πολιτικής ελέγχου και τακτικής </w:t>
      </w:r>
      <w:r>
        <w:rPr>
          <w:rFonts w:cstheme="minorHAnsi"/>
          <w:b/>
          <w:bCs/>
          <w:sz w:val="24"/>
          <w:szCs w:val="24"/>
          <w:lang w:val="el-GR"/>
        </w:rPr>
        <w:t>επαναξιολόγησης,</w:t>
      </w:r>
      <w:r w:rsidRPr="007877A4">
        <w:rPr>
          <w:rFonts w:cstheme="minorHAnsi"/>
          <w:b/>
          <w:bCs/>
          <w:sz w:val="24"/>
          <w:szCs w:val="24"/>
          <w:lang w:val="el-GR"/>
        </w:rPr>
        <w:t xml:space="preserve"> σε επίπεδο οργανισμού εντός της </w:t>
      </w:r>
      <w:r>
        <w:rPr>
          <w:rFonts w:cstheme="minorHAnsi"/>
          <w:b/>
          <w:bCs/>
          <w:sz w:val="24"/>
          <w:szCs w:val="24"/>
          <w:lang w:val="el-GR"/>
        </w:rPr>
        <w:t>Α</w:t>
      </w:r>
      <w:r w:rsidRPr="007877A4">
        <w:rPr>
          <w:rFonts w:cstheme="minorHAnsi"/>
          <w:b/>
          <w:bCs/>
          <w:sz w:val="24"/>
          <w:szCs w:val="24"/>
          <w:lang w:val="el-GR"/>
        </w:rPr>
        <w:t>στυνομ</w:t>
      </w:r>
      <w:r>
        <w:rPr>
          <w:rFonts w:cstheme="minorHAnsi"/>
          <w:b/>
          <w:bCs/>
          <w:sz w:val="24"/>
          <w:szCs w:val="24"/>
          <w:lang w:val="el-GR"/>
        </w:rPr>
        <w:t>ίας</w:t>
      </w:r>
      <w:r w:rsidRPr="007877A4">
        <w:rPr>
          <w:rFonts w:cstheme="minorHAnsi"/>
          <w:b/>
          <w:bCs/>
          <w:sz w:val="24"/>
          <w:szCs w:val="24"/>
          <w:lang w:val="el-GR"/>
        </w:rPr>
        <w:t xml:space="preserve"> και διασφάλιση επαρκών διαδικασιών για τη </w:t>
      </w:r>
      <w:r w:rsidRPr="007877A4">
        <w:rPr>
          <w:rFonts w:cstheme="minorHAnsi"/>
          <w:b/>
          <w:bCs/>
          <w:sz w:val="24"/>
          <w:szCs w:val="24"/>
          <w:lang w:val="el-GR"/>
        </w:rPr>
        <w:lastRenderedPageBreak/>
        <w:t xml:space="preserve">συνεχή παρακολούθηση των </w:t>
      </w:r>
      <w:r>
        <w:rPr>
          <w:rFonts w:cstheme="minorHAnsi"/>
          <w:b/>
          <w:bCs/>
          <w:sz w:val="24"/>
          <w:szCs w:val="24"/>
          <w:lang w:val="el-GR"/>
        </w:rPr>
        <w:t xml:space="preserve">τρωτών σημείων των </w:t>
      </w:r>
      <w:r w:rsidRPr="007877A4">
        <w:rPr>
          <w:rFonts w:cstheme="minorHAnsi"/>
          <w:b/>
          <w:bCs/>
          <w:sz w:val="24"/>
          <w:szCs w:val="24"/>
          <w:lang w:val="el-GR"/>
        </w:rPr>
        <w:t>εργαζομένων</w:t>
      </w:r>
      <w:r w:rsidR="00664CCD" w:rsidRPr="00965252">
        <w:rPr>
          <w:rFonts w:cstheme="minorHAnsi"/>
          <w:b/>
          <w:bCs/>
          <w:sz w:val="24"/>
          <w:szCs w:val="24"/>
          <w:lang w:val="el-GR"/>
        </w:rPr>
        <w:t xml:space="preserve"> </w:t>
      </w:r>
      <w:r w:rsidR="00664CCD" w:rsidRPr="00965252">
        <w:rPr>
          <w:rFonts w:cstheme="minorHAnsi"/>
          <w:sz w:val="24"/>
          <w:szCs w:val="24"/>
          <w:lang w:val="el-GR"/>
        </w:rPr>
        <w:t>(</w:t>
      </w:r>
      <w:r w:rsidR="00965252">
        <w:rPr>
          <w:rFonts w:cstheme="minorHAnsi"/>
          <w:sz w:val="24"/>
          <w:szCs w:val="24"/>
          <w:lang w:val="el-GR"/>
        </w:rPr>
        <w:t>παράγραφος</w:t>
      </w:r>
      <w:r w:rsidR="00664CCD" w:rsidRPr="00965252">
        <w:rPr>
          <w:rFonts w:cstheme="minorHAnsi"/>
          <w:sz w:val="24"/>
          <w:szCs w:val="24"/>
          <w:lang w:val="el-GR"/>
        </w:rPr>
        <w:t xml:space="preserve"> 199)</w:t>
      </w:r>
      <w:r w:rsidR="00CE5A97" w:rsidRPr="00965252">
        <w:rPr>
          <w:rFonts w:cstheme="minorHAnsi"/>
          <w:b/>
          <w:bCs/>
          <w:sz w:val="24"/>
          <w:szCs w:val="24"/>
          <w:lang w:val="el-GR"/>
        </w:rPr>
        <w:t>,</w:t>
      </w:r>
    </w:p>
    <w:p w14:paraId="411A689A" w14:textId="77777777" w:rsidR="00A70949" w:rsidRPr="00965252" w:rsidRDefault="00A70949" w:rsidP="00A70949">
      <w:pPr>
        <w:pStyle w:val="ListParagraph"/>
        <w:rPr>
          <w:b/>
          <w:sz w:val="24"/>
          <w:szCs w:val="24"/>
          <w:lang w:val="el-GR"/>
        </w:rPr>
      </w:pPr>
    </w:p>
    <w:p w14:paraId="7369E8F1" w14:textId="2800A89F" w:rsidR="00A70949" w:rsidRPr="002F63BB" w:rsidRDefault="002A23F7" w:rsidP="00220066">
      <w:pPr>
        <w:pStyle w:val="ListParagraph"/>
        <w:numPr>
          <w:ilvl w:val="0"/>
          <w:numId w:val="2"/>
        </w:numPr>
        <w:ind w:left="851" w:hanging="567"/>
        <w:contextualSpacing w:val="0"/>
        <w:rPr>
          <w:b/>
          <w:sz w:val="24"/>
          <w:szCs w:val="24"/>
          <w:lang w:val="el-GR"/>
        </w:rPr>
      </w:pPr>
      <w:r>
        <w:rPr>
          <w:rFonts w:cstheme="minorHAnsi"/>
          <w:b/>
          <w:bCs/>
          <w:sz w:val="24"/>
          <w:szCs w:val="24"/>
          <w:lang w:val="el-GR"/>
        </w:rPr>
        <w:t xml:space="preserve">ενίσχυση </w:t>
      </w:r>
      <w:r w:rsidRPr="002A23F7">
        <w:rPr>
          <w:rFonts w:cstheme="minorHAnsi"/>
          <w:b/>
          <w:bCs/>
          <w:sz w:val="24"/>
          <w:szCs w:val="24"/>
          <w:lang w:val="el-GR"/>
        </w:rPr>
        <w:t xml:space="preserve">του </w:t>
      </w:r>
      <w:r>
        <w:rPr>
          <w:rFonts w:cstheme="minorHAnsi"/>
          <w:b/>
          <w:bCs/>
          <w:sz w:val="24"/>
          <w:szCs w:val="24"/>
          <w:lang w:val="el-GR"/>
        </w:rPr>
        <w:t>παρόντος</w:t>
      </w:r>
      <w:r w:rsidRPr="002A23F7">
        <w:rPr>
          <w:rFonts w:cstheme="minorHAnsi"/>
          <w:b/>
          <w:bCs/>
          <w:sz w:val="24"/>
          <w:szCs w:val="24"/>
          <w:lang w:val="el-GR"/>
        </w:rPr>
        <w:t xml:space="preserve"> καθεστώτος</w:t>
      </w:r>
      <w:r>
        <w:rPr>
          <w:rFonts w:cstheme="minorHAnsi"/>
          <w:b/>
          <w:bCs/>
          <w:sz w:val="24"/>
          <w:szCs w:val="24"/>
          <w:lang w:val="el-GR"/>
        </w:rPr>
        <w:t xml:space="preserve"> αναφορικά με τις δηλώσεις </w:t>
      </w:r>
      <w:r w:rsidRPr="002A23F7">
        <w:rPr>
          <w:rFonts w:cstheme="minorHAnsi"/>
          <w:b/>
          <w:bCs/>
          <w:sz w:val="24"/>
          <w:szCs w:val="24"/>
          <w:lang w:val="el-GR"/>
        </w:rPr>
        <w:t xml:space="preserve">οικονομικών συμφερόντων εντός της </w:t>
      </w:r>
      <w:r>
        <w:rPr>
          <w:rFonts w:cstheme="minorHAnsi"/>
          <w:b/>
          <w:bCs/>
          <w:sz w:val="24"/>
          <w:szCs w:val="24"/>
          <w:lang w:val="el-GR"/>
        </w:rPr>
        <w:t>Α</w:t>
      </w:r>
      <w:r w:rsidRPr="002A23F7">
        <w:rPr>
          <w:rFonts w:cstheme="minorHAnsi"/>
          <w:b/>
          <w:bCs/>
          <w:sz w:val="24"/>
          <w:szCs w:val="24"/>
          <w:lang w:val="el-GR"/>
        </w:rPr>
        <w:t xml:space="preserve">στυνομίας με την καθιέρωση υποχρέωσης </w:t>
      </w:r>
      <w:r>
        <w:rPr>
          <w:rFonts w:cstheme="minorHAnsi"/>
          <w:b/>
          <w:bCs/>
          <w:sz w:val="24"/>
          <w:szCs w:val="24"/>
          <w:lang w:val="el-GR"/>
        </w:rPr>
        <w:t>των</w:t>
      </w:r>
      <w:r w:rsidRPr="002A23F7">
        <w:rPr>
          <w:rFonts w:cstheme="minorHAnsi"/>
          <w:b/>
          <w:bCs/>
          <w:sz w:val="24"/>
          <w:szCs w:val="24"/>
          <w:lang w:val="el-GR"/>
        </w:rPr>
        <w:t xml:space="preserve"> υψηλόβαθμ</w:t>
      </w:r>
      <w:r>
        <w:rPr>
          <w:rFonts w:cstheme="minorHAnsi"/>
          <w:b/>
          <w:bCs/>
          <w:sz w:val="24"/>
          <w:szCs w:val="24"/>
          <w:lang w:val="el-GR"/>
        </w:rPr>
        <w:t>ων</w:t>
      </w:r>
      <w:r w:rsidRPr="002A23F7">
        <w:rPr>
          <w:rFonts w:cstheme="minorHAnsi"/>
          <w:b/>
          <w:bCs/>
          <w:sz w:val="24"/>
          <w:szCs w:val="24"/>
          <w:lang w:val="el-GR"/>
        </w:rPr>
        <w:t xml:space="preserve"> αξιωματικ</w:t>
      </w:r>
      <w:r>
        <w:rPr>
          <w:rFonts w:cstheme="minorHAnsi"/>
          <w:b/>
          <w:bCs/>
          <w:sz w:val="24"/>
          <w:szCs w:val="24"/>
          <w:lang w:val="el-GR"/>
        </w:rPr>
        <w:t>ών</w:t>
      </w:r>
      <w:r w:rsidRPr="002A23F7">
        <w:rPr>
          <w:rFonts w:cstheme="minorHAnsi"/>
          <w:b/>
          <w:bCs/>
          <w:sz w:val="24"/>
          <w:szCs w:val="24"/>
          <w:lang w:val="el-GR"/>
        </w:rPr>
        <w:t xml:space="preserve"> και </w:t>
      </w:r>
      <w:r>
        <w:rPr>
          <w:rFonts w:cstheme="minorHAnsi"/>
          <w:b/>
          <w:bCs/>
          <w:sz w:val="24"/>
          <w:szCs w:val="24"/>
          <w:lang w:val="el-GR"/>
        </w:rPr>
        <w:t>όσων υπηρετούν σε επι</w:t>
      </w:r>
      <w:r w:rsidRPr="002A23F7">
        <w:rPr>
          <w:rFonts w:cstheme="minorHAnsi"/>
          <w:b/>
          <w:bCs/>
          <w:sz w:val="24"/>
          <w:szCs w:val="24"/>
          <w:lang w:val="el-GR"/>
        </w:rPr>
        <w:t>κίνδυν</w:t>
      </w:r>
      <w:r>
        <w:rPr>
          <w:rFonts w:cstheme="minorHAnsi"/>
          <w:b/>
          <w:bCs/>
          <w:sz w:val="24"/>
          <w:szCs w:val="24"/>
          <w:lang w:val="el-GR"/>
        </w:rPr>
        <w:t>ες θέσεις</w:t>
      </w:r>
      <w:r w:rsidRPr="002A23F7">
        <w:rPr>
          <w:rFonts w:cstheme="minorHAnsi"/>
          <w:b/>
          <w:bCs/>
          <w:sz w:val="24"/>
          <w:szCs w:val="24"/>
          <w:lang w:val="el-GR"/>
        </w:rPr>
        <w:t xml:space="preserve">, να δηλώνουν τα οικονομικά </w:t>
      </w:r>
      <w:r>
        <w:rPr>
          <w:rFonts w:cstheme="minorHAnsi"/>
          <w:b/>
          <w:bCs/>
          <w:sz w:val="24"/>
          <w:szCs w:val="24"/>
          <w:lang w:val="el-GR"/>
        </w:rPr>
        <w:t xml:space="preserve">τους </w:t>
      </w:r>
      <w:r w:rsidRPr="002A23F7">
        <w:rPr>
          <w:rFonts w:cstheme="minorHAnsi"/>
          <w:b/>
          <w:bCs/>
          <w:sz w:val="24"/>
          <w:szCs w:val="24"/>
          <w:lang w:val="el-GR"/>
        </w:rPr>
        <w:t xml:space="preserve">συμφέροντα σύμφωνα με </w:t>
      </w:r>
      <w:r>
        <w:rPr>
          <w:rFonts w:cstheme="minorHAnsi"/>
          <w:b/>
          <w:bCs/>
          <w:sz w:val="24"/>
          <w:szCs w:val="24"/>
          <w:lang w:val="el-GR"/>
        </w:rPr>
        <w:t xml:space="preserve">μια </w:t>
      </w:r>
      <w:r w:rsidRPr="002A23F7">
        <w:rPr>
          <w:rFonts w:cstheme="minorHAnsi"/>
          <w:b/>
          <w:bCs/>
          <w:sz w:val="24"/>
          <w:szCs w:val="24"/>
          <w:lang w:val="el-GR"/>
        </w:rPr>
        <w:t xml:space="preserve">προκαθορισμένη μορφή, </w:t>
      </w:r>
      <w:r>
        <w:rPr>
          <w:rFonts w:cstheme="minorHAnsi"/>
          <w:b/>
          <w:bCs/>
          <w:sz w:val="24"/>
          <w:szCs w:val="24"/>
          <w:lang w:val="el-GR"/>
        </w:rPr>
        <w:t xml:space="preserve">τόσο </w:t>
      </w:r>
      <w:r w:rsidRPr="002A23F7">
        <w:rPr>
          <w:rFonts w:cstheme="minorHAnsi"/>
          <w:b/>
          <w:bCs/>
          <w:sz w:val="24"/>
          <w:szCs w:val="24"/>
          <w:lang w:val="el-GR"/>
        </w:rPr>
        <w:t xml:space="preserve">κατά την ανάληψη των καθηκόντων τους </w:t>
      </w:r>
      <w:r>
        <w:rPr>
          <w:rFonts w:cstheme="minorHAnsi"/>
          <w:b/>
          <w:bCs/>
          <w:sz w:val="24"/>
          <w:szCs w:val="24"/>
          <w:lang w:val="el-GR"/>
        </w:rPr>
        <w:t xml:space="preserve">όσο </w:t>
      </w:r>
      <w:r w:rsidRPr="002A23F7">
        <w:rPr>
          <w:rFonts w:cstheme="minorHAnsi"/>
          <w:b/>
          <w:bCs/>
          <w:sz w:val="24"/>
          <w:szCs w:val="24"/>
          <w:lang w:val="el-GR"/>
        </w:rPr>
        <w:t>και σε τακτά χρονικά διαστήματα καθ' όλη τη διάρκεια της υπηρεσία τους; και (</w:t>
      </w:r>
      <w:proofErr w:type="spellStart"/>
      <w:r w:rsidRPr="002A23F7">
        <w:rPr>
          <w:rFonts w:cstheme="minorHAnsi"/>
          <w:b/>
          <w:bCs/>
          <w:sz w:val="24"/>
          <w:szCs w:val="24"/>
          <w:lang w:val="el-GR"/>
        </w:rPr>
        <w:t>ii</w:t>
      </w:r>
      <w:proofErr w:type="spellEnd"/>
      <w:r w:rsidRPr="002A23F7">
        <w:rPr>
          <w:rFonts w:cstheme="minorHAnsi"/>
          <w:b/>
          <w:bCs/>
          <w:sz w:val="24"/>
          <w:szCs w:val="24"/>
          <w:lang w:val="el-GR"/>
        </w:rPr>
        <w:t>) να π</w:t>
      </w:r>
      <w:r>
        <w:rPr>
          <w:rFonts w:cstheme="minorHAnsi"/>
          <w:b/>
          <w:bCs/>
          <w:sz w:val="24"/>
          <w:szCs w:val="24"/>
          <w:lang w:val="el-GR"/>
        </w:rPr>
        <w:t xml:space="preserve">αρέχουν </w:t>
      </w:r>
      <w:r w:rsidRPr="002A23F7">
        <w:rPr>
          <w:rFonts w:cstheme="minorHAnsi"/>
          <w:b/>
          <w:bCs/>
          <w:sz w:val="24"/>
          <w:szCs w:val="24"/>
          <w:lang w:val="el-GR"/>
        </w:rPr>
        <w:t>την κατάλληλη εποπτεία που περιλαμβάνει την επαλήθευση</w:t>
      </w:r>
      <w:r>
        <w:rPr>
          <w:rFonts w:cstheme="minorHAnsi"/>
          <w:b/>
          <w:bCs/>
          <w:sz w:val="24"/>
          <w:szCs w:val="24"/>
          <w:lang w:val="el-GR"/>
        </w:rPr>
        <w:t xml:space="preserve"> της ακεραιότητας</w:t>
      </w:r>
      <w:r w:rsidRPr="002A23F7">
        <w:rPr>
          <w:rFonts w:cstheme="minorHAnsi"/>
          <w:b/>
          <w:bCs/>
          <w:sz w:val="24"/>
          <w:szCs w:val="24"/>
          <w:lang w:val="el-GR"/>
        </w:rPr>
        <w:t xml:space="preserve"> των δηλώσεων και την αξιολόγηση</w:t>
      </w:r>
      <w:r>
        <w:rPr>
          <w:rFonts w:cstheme="minorHAnsi"/>
          <w:b/>
          <w:bCs/>
          <w:sz w:val="24"/>
          <w:szCs w:val="24"/>
          <w:lang w:val="el-GR"/>
        </w:rPr>
        <w:t xml:space="preserve"> των κινδύνων </w:t>
      </w:r>
      <w:r w:rsidR="00664CCD" w:rsidRPr="002F63BB">
        <w:rPr>
          <w:rFonts w:cstheme="minorHAnsi"/>
          <w:sz w:val="24"/>
          <w:szCs w:val="24"/>
          <w:lang w:val="el-GR"/>
        </w:rPr>
        <w:t>(</w:t>
      </w:r>
      <w:r w:rsidR="003E329C">
        <w:rPr>
          <w:rFonts w:cstheme="minorHAnsi"/>
          <w:sz w:val="24"/>
          <w:szCs w:val="24"/>
          <w:lang w:val="el-GR"/>
        </w:rPr>
        <w:t>παράγραφος</w:t>
      </w:r>
      <w:r w:rsidR="00664CCD" w:rsidRPr="002F63BB">
        <w:rPr>
          <w:rFonts w:cstheme="minorHAnsi"/>
          <w:sz w:val="24"/>
          <w:szCs w:val="24"/>
          <w:lang w:val="el-GR"/>
        </w:rPr>
        <w:t xml:space="preserve"> 219)</w:t>
      </w:r>
      <w:r w:rsidR="00CE5A97" w:rsidRPr="002F63BB">
        <w:rPr>
          <w:rFonts w:cstheme="minorHAnsi"/>
          <w:b/>
          <w:bCs/>
          <w:sz w:val="24"/>
          <w:szCs w:val="24"/>
          <w:lang w:val="el-GR"/>
        </w:rPr>
        <w:t>,</w:t>
      </w:r>
    </w:p>
    <w:p w14:paraId="68C9C7CD" w14:textId="77777777" w:rsidR="00A70949" w:rsidRPr="002F63BB" w:rsidRDefault="00A70949" w:rsidP="00A70949">
      <w:pPr>
        <w:pStyle w:val="ListParagraph"/>
        <w:rPr>
          <w:b/>
          <w:sz w:val="24"/>
          <w:szCs w:val="24"/>
          <w:lang w:val="el-GR"/>
        </w:rPr>
      </w:pPr>
    </w:p>
    <w:p w14:paraId="15B8ACCC" w14:textId="2E2C881B" w:rsidR="00A70949" w:rsidRPr="003E329C" w:rsidRDefault="00DC26CE" w:rsidP="00220066">
      <w:pPr>
        <w:pStyle w:val="ListParagraph"/>
        <w:numPr>
          <w:ilvl w:val="0"/>
          <w:numId w:val="2"/>
        </w:numPr>
        <w:ind w:left="851" w:hanging="567"/>
        <w:contextualSpacing w:val="0"/>
        <w:rPr>
          <w:b/>
          <w:sz w:val="24"/>
          <w:szCs w:val="24"/>
          <w:lang w:val="el-GR"/>
        </w:rPr>
      </w:pPr>
      <w:r>
        <w:rPr>
          <w:rFonts w:eastAsia="Times New Roman" w:cstheme="minorHAnsi"/>
          <w:b/>
          <w:bCs/>
          <w:color w:val="000000" w:themeColor="text1"/>
          <w:sz w:val="24"/>
          <w:szCs w:val="24"/>
          <w:lang w:val="el-GR"/>
        </w:rPr>
        <w:t xml:space="preserve">τον </w:t>
      </w:r>
      <w:proofErr w:type="spellStart"/>
      <w:r w:rsidR="003E329C">
        <w:rPr>
          <w:rFonts w:eastAsia="Times New Roman" w:cstheme="minorHAnsi"/>
          <w:b/>
          <w:bCs/>
          <w:color w:val="000000" w:themeColor="text1"/>
          <w:sz w:val="24"/>
          <w:szCs w:val="24"/>
          <w:lang w:val="el-GR"/>
        </w:rPr>
        <w:t>εξορθολογισμό</w:t>
      </w:r>
      <w:proofErr w:type="spellEnd"/>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της</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εποπτείας</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και</w:t>
      </w:r>
      <w:r w:rsidR="003C651A">
        <w:rPr>
          <w:rFonts w:eastAsia="Times New Roman" w:cstheme="minorHAnsi"/>
          <w:b/>
          <w:bCs/>
          <w:color w:val="000000" w:themeColor="text1"/>
          <w:sz w:val="24"/>
          <w:szCs w:val="24"/>
          <w:lang w:val="el-GR"/>
        </w:rPr>
        <w:t xml:space="preserve"> της</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λογοδοσίας</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της</w:t>
      </w:r>
      <w:r w:rsidR="003E329C" w:rsidRPr="003E329C">
        <w:rPr>
          <w:rFonts w:eastAsia="Times New Roman" w:cstheme="minorHAnsi"/>
          <w:b/>
          <w:bCs/>
          <w:color w:val="000000" w:themeColor="text1"/>
          <w:sz w:val="24"/>
          <w:szCs w:val="24"/>
          <w:lang w:val="el-GR"/>
        </w:rPr>
        <w:t xml:space="preserve"> </w:t>
      </w:r>
      <w:r w:rsidR="009C4E34">
        <w:rPr>
          <w:rFonts w:eastAsia="Times New Roman" w:cstheme="minorHAnsi"/>
          <w:b/>
          <w:bCs/>
          <w:color w:val="000000" w:themeColor="text1"/>
          <w:sz w:val="24"/>
          <w:szCs w:val="24"/>
          <w:lang w:val="el-GR"/>
        </w:rPr>
        <w:t>Αστυνομία</w:t>
      </w:r>
      <w:r w:rsidR="003E329C">
        <w:rPr>
          <w:rFonts w:eastAsia="Times New Roman" w:cstheme="minorHAnsi"/>
          <w:b/>
          <w:bCs/>
          <w:color w:val="000000" w:themeColor="text1"/>
          <w:sz w:val="24"/>
          <w:szCs w:val="24"/>
          <w:lang w:val="el-GR"/>
        </w:rPr>
        <w:t>ς</w:t>
      </w:r>
      <w:r w:rsidR="00664CCD"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με</w:t>
      </w:r>
      <w:r w:rsidR="00664CCD" w:rsidRPr="003E329C">
        <w:rPr>
          <w:rFonts w:eastAsia="Times New Roman" w:cstheme="minorHAnsi"/>
          <w:b/>
          <w:bCs/>
          <w:color w:val="000000" w:themeColor="text1"/>
          <w:sz w:val="24"/>
          <w:szCs w:val="24"/>
          <w:lang w:val="el-GR"/>
        </w:rPr>
        <w:t xml:space="preserve"> (</w:t>
      </w:r>
      <w:proofErr w:type="spellStart"/>
      <w:r w:rsidR="00664CCD" w:rsidRPr="00B95983">
        <w:rPr>
          <w:rFonts w:eastAsia="Times New Roman" w:cstheme="minorHAnsi"/>
          <w:b/>
          <w:bCs/>
          <w:color w:val="000000" w:themeColor="text1"/>
          <w:sz w:val="24"/>
          <w:szCs w:val="24"/>
        </w:rPr>
        <w:t>i</w:t>
      </w:r>
      <w:proofErr w:type="spellEnd"/>
      <w:r w:rsidR="00664CCD" w:rsidRPr="003E329C">
        <w:rPr>
          <w:rFonts w:eastAsia="Times New Roman" w:cstheme="minorHAnsi"/>
          <w:b/>
          <w:bCs/>
          <w:color w:val="000000" w:themeColor="text1"/>
          <w:sz w:val="24"/>
          <w:szCs w:val="24"/>
          <w:lang w:val="el-GR"/>
        </w:rPr>
        <w:t>)</w:t>
      </w:r>
      <w:r w:rsidR="00664CCD" w:rsidRPr="00B95983">
        <w:rPr>
          <w:rFonts w:eastAsia="Times New Roman" w:cstheme="minorHAnsi"/>
          <w:b/>
          <w:bCs/>
          <w:color w:val="000000" w:themeColor="text1"/>
          <w:sz w:val="24"/>
          <w:szCs w:val="24"/>
        </w:rPr>
        <w:t> </w:t>
      </w:r>
      <w:r w:rsidR="003E329C">
        <w:rPr>
          <w:rFonts w:eastAsia="Times New Roman" w:cstheme="minorHAnsi"/>
          <w:b/>
          <w:bCs/>
          <w:color w:val="000000" w:themeColor="text1"/>
          <w:sz w:val="24"/>
          <w:szCs w:val="24"/>
          <w:lang w:val="el-GR"/>
        </w:rPr>
        <w:t>την</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εξέταση</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του</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ενδεχομένου</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συγκέντρωσης</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των</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καταθέσεων</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των</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παραπόνων</w:t>
      </w:r>
      <w:r w:rsidR="00664CCD"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μέσω</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ενός</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σημείου</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εισόδου</w:t>
      </w:r>
      <w:r w:rsidR="00664CCD"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με</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ξεκάθαρες</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κατευθυντήριες</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γραμμές</w:t>
      </w:r>
      <w:r w:rsidR="00664CCD"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για</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το</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πώς</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θα</w:t>
      </w:r>
      <w:r w:rsidR="003E329C" w:rsidRPr="003E329C">
        <w:rPr>
          <w:rFonts w:eastAsia="Times New Roman" w:cstheme="minorHAnsi"/>
          <w:b/>
          <w:bCs/>
          <w:color w:val="000000" w:themeColor="text1"/>
          <w:sz w:val="24"/>
          <w:szCs w:val="24"/>
          <w:lang w:val="el-GR"/>
        </w:rPr>
        <w:t xml:space="preserve"> </w:t>
      </w:r>
      <w:r w:rsidR="003C651A">
        <w:rPr>
          <w:rFonts w:eastAsia="Times New Roman" w:cstheme="minorHAnsi"/>
          <w:b/>
          <w:bCs/>
          <w:color w:val="000000" w:themeColor="text1"/>
          <w:sz w:val="24"/>
          <w:szCs w:val="24"/>
          <w:lang w:val="el-GR"/>
        </w:rPr>
        <w:t>εκτελούνται</w:t>
      </w:r>
      <w:r w:rsidR="003C651A"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οι</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παραπομπές</w:t>
      </w:r>
      <w:r w:rsidR="003E329C" w:rsidRPr="003E329C">
        <w:rPr>
          <w:rFonts w:eastAsia="Times New Roman" w:cstheme="minorHAnsi"/>
          <w:b/>
          <w:bCs/>
          <w:color w:val="000000" w:themeColor="text1"/>
          <w:sz w:val="24"/>
          <w:szCs w:val="24"/>
          <w:lang w:val="el-GR"/>
        </w:rPr>
        <w:t>,</w:t>
      </w:r>
      <w:r w:rsidR="00664CCD" w:rsidRPr="003E329C">
        <w:rPr>
          <w:rFonts w:eastAsia="Times New Roman" w:cstheme="minorHAnsi"/>
          <w:b/>
          <w:bCs/>
          <w:color w:val="000000" w:themeColor="text1"/>
          <w:sz w:val="24"/>
          <w:szCs w:val="24"/>
          <w:lang w:val="el-GR"/>
        </w:rPr>
        <w:t xml:space="preserve"> (</w:t>
      </w:r>
      <w:r w:rsidR="00664CCD" w:rsidRPr="00B95983">
        <w:rPr>
          <w:rFonts w:eastAsia="Times New Roman" w:cstheme="minorHAnsi"/>
          <w:b/>
          <w:bCs/>
          <w:color w:val="000000" w:themeColor="text1"/>
          <w:sz w:val="24"/>
          <w:szCs w:val="24"/>
        </w:rPr>
        <w:t>ii</w:t>
      </w:r>
      <w:r w:rsidR="00664CCD"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την</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καθιέρωση</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ενός</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αποτελεσματικού</w:t>
      </w:r>
      <w:r w:rsidR="003E329C"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συστήματος</w:t>
      </w:r>
      <w:r w:rsidR="00664CCD"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συντονισμού και συνεργασίας</w:t>
      </w:r>
      <w:r w:rsidR="00664CCD"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μέσω ξεκάθαρων πρωτοκόλλων</w:t>
      </w:r>
      <w:r w:rsidR="00664CCD" w:rsidRPr="003E329C">
        <w:rPr>
          <w:rFonts w:eastAsia="Times New Roman" w:cstheme="minorHAnsi"/>
          <w:b/>
          <w:bCs/>
          <w:color w:val="000000" w:themeColor="text1"/>
          <w:sz w:val="24"/>
          <w:szCs w:val="24"/>
          <w:lang w:val="el-GR"/>
        </w:rPr>
        <w:t xml:space="preserve">, </w:t>
      </w:r>
      <w:r w:rsidR="003C651A">
        <w:rPr>
          <w:rFonts w:eastAsia="Times New Roman" w:cstheme="minorHAnsi"/>
          <w:b/>
          <w:bCs/>
          <w:color w:val="000000" w:themeColor="text1"/>
          <w:sz w:val="24"/>
          <w:szCs w:val="24"/>
          <w:lang w:val="el-GR"/>
        </w:rPr>
        <w:t xml:space="preserve">τα οποία θα </w:t>
      </w:r>
      <w:r w:rsidR="003E329C">
        <w:rPr>
          <w:rFonts w:eastAsia="Times New Roman" w:cstheme="minorHAnsi"/>
          <w:b/>
          <w:bCs/>
          <w:color w:val="000000" w:themeColor="text1"/>
          <w:sz w:val="24"/>
          <w:szCs w:val="24"/>
          <w:lang w:val="el-GR"/>
        </w:rPr>
        <w:t xml:space="preserve"> γνωστοποιούνται στο κοινό,</w:t>
      </w:r>
      <w:r w:rsidR="00664CCD"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και ότι</w:t>
      </w:r>
      <w:r w:rsidR="00664CCD" w:rsidRPr="003E329C">
        <w:rPr>
          <w:rFonts w:eastAsia="Times New Roman" w:cstheme="minorHAnsi"/>
          <w:b/>
          <w:bCs/>
          <w:color w:val="000000" w:themeColor="text1"/>
          <w:sz w:val="24"/>
          <w:szCs w:val="24"/>
          <w:lang w:val="el-GR"/>
        </w:rPr>
        <w:t xml:space="preserve"> (</w:t>
      </w:r>
      <w:r w:rsidR="00664CCD" w:rsidRPr="00B95983">
        <w:rPr>
          <w:rFonts w:eastAsia="Times New Roman" w:cstheme="minorHAnsi"/>
          <w:b/>
          <w:bCs/>
          <w:color w:val="000000" w:themeColor="text1"/>
          <w:sz w:val="24"/>
          <w:szCs w:val="24"/>
        </w:rPr>
        <w:t>iii</w:t>
      </w:r>
      <w:r w:rsidR="00664CCD" w:rsidRPr="003E329C">
        <w:rPr>
          <w:rFonts w:eastAsia="Times New Roman" w:cstheme="minorHAnsi"/>
          <w:b/>
          <w:bCs/>
          <w:color w:val="000000" w:themeColor="text1"/>
          <w:sz w:val="24"/>
          <w:szCs w:val="24"/>
          <w:lang w:val="el-GR"/>
        </w:rPr>
        <w:t xml:space="preserve">) </w:t>
      </w:r>
      <w:r w:rsidR="003C651A">
        <w:rPr>
          <w:rFonts w:eastAsia="Times New Roman" w:cstheme="minorHAnsi"/>
          <w:b/>
          <w:bCs/>
          <w:color w:val="000000" w:themeColor="text1"/>
          <w:sz w:val="24"/>
          <w:szCs w:val="24"/>
          <w:lang w:val="el-GR"/>
        </w:rPr>
        <w:t xml:space="preserve">να </w:t>
      </w:r>
      <w:r w:rsidR="003E329C">
        <w:rPr>
          <w:rFonts w:eastAsia="Times New Roman" w:cstheme="minorHAnsi"/>
          <w:b/>
          <w:bCs/>
          <w:color w:val="000000" w:themeColor="text1"/>
          <w:sz w:val="24"/>
          <w:szCs w:val="24"/>
          <w:lang w:val="el-GR"/>
        </w:rPr>
        <w:t>δίνεται τροφοδότηση για την πορεία της υπόθεσης</w:t>
      </w:r>
      <w:r w:rsidR="00664CCD" w:rsidRPr="003E329C">
        <w:rPr>
          <w:rFonts w:eastAsia="Times New Roman" w:cstheme="minorHAnsi"/>
          <w:b/>
          <w:bCs/>
          <w:color w:val="000000" w:themeColor="text1"/>
          <w:sz w:val="24"/>
          <w:szCs w:val="24"/>
          <w:lang w:val="el-GR"/>
        </w:rPr>
        <w:t xml:space="preserve">, </w:t>
      </w:r>
      <w:r w:rsidR="003E329C">
        <w:rPr>
          <w:rFonts w:eastAsia="Times New Roman" w:cstheme="minorHAnsi"/>
          <w:b/>
          <w:bCs/>
          <w:color w:val="000000" w:themeColor="text1"/>
          <w:sz w:val="24"/>
          <w:szCs w:val="24"/>
          <w:lang w:val="el-GR"/>
        </w:rPr>
        <w:t>και</w:t>
      </w:r>
      <w:r w:rsidR="003C651A">
        <w:rPr>
          <w:rFonts w:eastAsia="Times New Roman" w:cstheme="minorHAnsi"/>
          <w:b/>
          <w:bCs/>
          <w:color w:val="000000" w:themeColor="text1"/>
          <w:sz w:val="24"/>
          <w:szCs w:val="24"/>
          <w:lang w:val="el-GR"/>
        </w:rPr>
        <w:t xml:space="preserve"> να</w:t>
      </w:r>
      <w:r w:rsidR="003E329C">
        <w:rPr>
          <w:rFonts w:eastAsia="Times New Roman" w:cstheme="minorHAnsi"/>
          <w:b/>
          <w:bCs/>
          <w:color w:val="000000" w:themeColor="text1"/>
          <w:sz w:val="24"/>
          <w:szCs w:val="24"/>
          <w:lang w:val="el-GR"/>
        </w:rPr>
        <w:t xml:space="preserve"> δημοσιεύονται στατιστικές</w:t>
      </w:r>
      <w:r w:rsidR="00664CCD" w:rsidRPr="003E329C">
        <w:rPr>
          <w:rFonts w:eastAsia="Times New Roman" w:cstheme="minorHAnsi"/>
          <w:b/>
          <w:bCs/>
          <w:color w:val="000000" w:themeColor="text1"/>
          <w:sz w:val="24"/>
          <w:szCs w:val="24"/>
          <w:lang w:val="el-GR"/>
        </w:rPr>
        <w:t xml:space="preserve">, </w:t>
      </w:r>
      <w:r>
        <w:rPr>
          <w:rFonts w:eastAsia="Times New Roman" w:cstheme="minorHAnsi"/>
          <w:b/>
          <w:bCs/>
          <w:color w:val="000000" w:themeColor="text1"/>
          <w:sz w:val="24"/>
          <w:szCs w:val="24"/>
          <w:lang w:val="el-GR"/>
        </w:rPr>
        <w:t>για να παρασχεθεί ένα κατάλληλο επίπεδο διαφάνειας</w:t>
      </w:r>
      <w:r w:rsidR="00664CCD" w:rsidRPr="003E329C">
        <w:rPr>
          <w:rFonts w:eastAsia="Times New Roman" w:cstheme="minorHAnsi"/>
          <w:b/>
          <w:bCs/>
          <w:color w:val="000000" w:themeColor="text1"/>
          <w:sz w:val="24"/>
          <w:szCs w:val="24"/>
          <w:lang w:val="el-GR"/>
        </w:rPr>
        <w:t xml:space="preserve"> </w:t>
      </w:r>
      <w:r>
        <w:rPr>
          <w:rFonts w:eastAsia="Times New Roman" w:cstheme="minorHAnsi"/>
          <w:b/>
          <w:bCs/>
          <w:color w:val="000000" w:themeColor="text1"/>
          <w:sz w:val="24"/>
          <w:szCs w:val="24"/>
          <w:lang w:val="el-GR"/>
        </w:rPr>
        <w:t>για το πώς αντιμετωπίζονται τα θέματα σε κάθε στάδιο της διαδικασίας</w:t>
      </w:r>
      <w:r w:rsidR="00664CCD" w:rsidRPr="003E329C">
        <w:rPr>
          <w:rFonts w:eastAsia="Times New Roman" w:cstheme="minorHAnsi"/>
          <w:b/>
          <w:bCs/>
          <w:color w:val="000000" w:themeColor="text1"/>
          <w:sz w:val="24"/>
          <w:szCs w:val="24"/>
          <w:lang w:val="el-GR"/>
        </w:rPr>
        <w:t xml:space="preserve"> </w:t>
      </w:r>
      <w:r w:rsidR="00664CCD" w:rsidRPr="003E329C">
        <w:rPr>
          <w:rFonts w:eastAsia="Times New Roman" w:cstheme="minorHAnsi"/>
          <w:color w:val="000000" w:themeColor="text1"/>
          <w:sz w:val="24"/>
          <w:szCs w:val="24"/>
          <w:lang w:val="el-GR"/>
        </w:rPr>
        <w:t>(</w:t>
      </w:r>
      <w:r>
        <w:rPr>
          <w:rFonts w:eastAsia="Times New Roman" w:cstheme="minorHAnsi"/>
          <w:color w:val="000000" w:themeColor="text1"/>
          <w:sz w:val="24"/>
          <w:szCs w:val="24"/>
          <w:lang w:val="el-GR"/>
        </w:rPr>
        <w:t>παράγραφος</w:t>
      </w:r>
      <w:r w:rsidR="00664CCD" w:rsidRPr="003E329C">
        <w:rPr>
          <w:rFonts w:eastAsia="Times New Roman" w:cstheme="minorHAnsi"/>
          <w:color w:val="000000" w:themeColor="text1"/>
          <w:sz w:val="24"/>
          <w:szCs w:val="24"/>
          <w:lang w:val="el-GR"/>
        </w:rPr>
        <w:t xml:space="preserve"> 244)</w:t>
      </w:r>
      <w:r w:rsidR="00CE5A97" w:rsidRPr="003E329C">
        <w:rPr>
          <w:rFonts w:eastAsia="Times New Roman" w:cstheme="minorHAnsi"/>
          <w:b/>
          <w:bCs/>
          <w:color w:val="000000" w:themeColor="text1"/>
          <w:sz w:val="24"/>
          <w:szCs w:val="24"/>
          <w:lang w:val="el-GR"/>
        </w:rPr>
        <w:t>,</w:t>
      </w:r>
    </w:p>
    <w:p w14:paraId="1306849A" w14:textId="77777777" w:rsidR="00A70949" w:rsidRPr="003E329C" w:rsidRDefault="00A70949" w:rsidP="00A70949">
      <w:pPr>
        <w:pStyle w:val="ListParagraph"/>
        <w:rPr>
          <w:b/>
          <w:sz w:val="24"/>
          <w:szCs w:val="24"/>
          <w:lang w:val="el-GR"/>
        </w:rPr>
      </w:pPr>
    </w:p>
    <w:p w14:paraId="4AA40FFF" w14:textId="0EA50A68" w:rsidR="00A70949" w:rsidRPr="00FC3D02" w:rsidRDefault="00DC26CE" w:rsidP="00FC3D02">
      <w:pPr>
        <w:pStyle w:val="ListParagraph"/>
        <w:numPr>
          <w:ilvl w:val="0"/>
          <w:numId w:val="2"/>
        </w:numPr>
        <w:ind w:left="851" w:hanging="567"/>
        <w:contextualSpacing w:val="0"/>
        <w:rPr>
          <w:b/>
          <w:sz w:val="24"/>
          <w:szCs w:val="24"/>
          <w:lang w:val="el-GR"/>
        </w:rPr>
      </w:pPr>
      <w:r w:rsidRPr="00FC3D02">
        <w:rPr>
          <w:rFonts w:cstheme="minorHAnsi"/>
          <w:b/>
          <w:bCs/>
          <w:sz w:val="24"/>
          <w:szCs w:val="24"/>
          <w:lang w:val="el-GR"/>
        </w:rPr>
        <w:t>την ενίσχυση της προστασίας πληροφοριοδοτών</w:t>
      </w:r>
      <w:r w:rsidR="00664CCD" w:rsidRPr="00FC3D02">
        <w:rPr>
          <w:rFonts w:cstheme="minorHAnsi"/>
          <w:b/>
          <w:bCs/>
          <w:sz w:val="24"/>
          <w:szCs w:val="24"/>
          <w:lang w:val="el-GR"/>
        </w:rPr>
        <w:t xml:space="preserve">, </w:t>
      </w:r>
      <w:r w:rsidRPr="00FC3D02">
        <w:rPr>
          <w:rFonts w:cstheme="minorHAnsi"/>
          <w:b/>
          <w:bCs/>
          <w:sz w:val="24"/>
          <w:szCs w:val="24"/>
          <w:lang w:val="el-GR"/>
        </w:rPr>
        <w:t>συμπεριλαμβανομέν</w:t>
      </w:r>
      <w:r w:rsidR="00FC3D02" w:rsidRPr="00FC3D02">
        <w:rPr>
          <w:rFonts w:cstheme="minorHAnsi"/>
          <w:b/>
          <w:bCs/>
          <w:sz w:val="24"/>
          <w:szCs w:val="24"/>
          <w:lang w:val="el-GR"/>
        </w:rPr>
        <w:t>ων</w:t>
      </w:r>
      <w:r w:rsidRPr="00FC3D02">
        <w:rPr>
          <w:rFonts w:cstheme="minorHAnsi"/>
          <w:b/>
          <w:bCs/>
          <w:sz w:val="24"/>
          <w:szCs w:val="24"/>
          <w:lang w:val="el-GR"/>
        </w:rPr>
        <w:t xml:space="preserve"> εξειδικευμέν</w:t>
      </w:r>
      <w:r w:rsidR="00FC3D02" w:rsidRPr="00FC3D02">
        <w:rPr>
          <w:rFonts w:cstheme="minorHAnsi"/>
          <w:b/>
          <w:bCs/>
          <w:sz w:val="24"/>
          <w:szCs w:val="24"/>
          <w:lang w:val="el-GR"/>
        </w:rPr>
        <w:t>ων</w:t>
      </w:r>
      <w:r w:rsidRPr="00FC3D02">
        <w:rPr>
          <w:rFonts w:cstheme="minorHAnsi"/>
          <w:b/>
          <w:bCs/>
          <w:sz w:val="24"/>
          <w:szCs w:val="24"/>
          <w:lang w:val="el-GR"/>
        </w:rPr>
        <w:t xml:space="preserve"> αναφορ</w:t>
      </w:r>
      <w:r w:rsidR="00FC3D02" w:rsidRPr="00FC3D02">
        <w:rPr>
          <w:rFonts w:cstheme="minorHAnsi"/>
          <w:b/>
          <w:bCs/>
          <w:sz w:val="24"/>
          <w:szCs w:val="24"/>
          <w:lang w:val="el-GR"/>
        </w:rPr>
        <w:t>ών</w:t>
      </w:r>
      <w:r w:rsidRPr="00FC3D02">
        <w:rPr>
          <w:rFonts w:cstheme="minorHAnsi"/>
          <w:b/>
          <w:bCs/>
          <w:sz w:val="24"/>
          <w:szCs w:val="24"/>
          <w:lang w:val="el-GR"/>
        </w:rPr>
        <w:t xml:space="preserve"> και συμβουλευτικών καναλ</w:t>
      </w:r>
      <w:r w:rsidR="00495342" w:rsidRPr="00FC3D02">
        <w:rPr>
          <w:rFonts w:cstheme="minorHAnsi"/>
          <w:b/>
          <w:bCs/>
          <w:sz w:val="24"/>
          <w:szCs w:val="24"/>
          <w:lang w:val="el-GR"/>
        </w:rPr>
        <w:t>ιώ</w:t>
      </w:r>
      <w:r w:rsidRPr="00FC3D02">
        <w:rPr>
          <w:rFonts w:cstheme="minorHAnsi"/>
          <w:b/>
          <w:bCs/>
          <w:sz w:val="24"/>
          <w:szCs w:val="24"/>
          <w:lang w:val="el-GR"/>
        </w:rPr>
        <w:t>ν</w:t>
      </w:r>
      <w:r w:rsidR="00664CCD" w:rsidRPr="00FC3D02">
        <w:rPr>
          <w:rFonts w:cstheme="minorHAnsi"/>
          <w:b/>
          <w:bCs/>
          <w:sz w:val="24"/>
          <w:szCs w:val="24"/>
          <w:lang w:val="el-GR"/>
        </w:rPr>
        <w:t xml:space="preserve">, </w:t>
      </w:r>
      <w:r w:rsidR="00FC3D02" w:rsidRPr="00FC3D02">
        <w:rPr>
          <w:rFonts w:cstheme="minorHAnsi"/>
          <w:b/>
          <w:bCs/>
          <w:sz w:val="24"/>
          <w:szCs w:val="24"/>
          <w:lang w:val="el-GR"/>
        </w:rPr>
        <w:t xml:space="preserve">καθώς και </w:t>
      </w:r>
      <w:r w:rsidRPr="00FC3D02">
        <w:rPr>
          <w:rFonts w:cstheme="minorHAnsi"/>
          <w:b/>
          <w:bCs/>
          <w:sz w:val="24"/>
          <w:szCs w:val="24"/>
          <w:lang w:val="el-GR"/>
        </w:rPr>
        <w:t xml:space="preserve"> </w:t>
      </w:r>
      <w:r w:rsidR="00FC3D02">
        <w:rPr>
          <w:rFonts w:cstheme="minorHAnsi"/>
          <w:b/>
          <w:bCs/>
          <w:sz w:val="24"/>
          <w:szCs w:val="24"/>
          <w:lang w:val="el-GR"/>
        </w:rPr>
        <w:t xml:space="preserve">παροχή </w:t>
      </w:r>
      <w:r w:rsidRPr="00FC3D02">
        <w:rPr>
          <w:rFonts w:cstheme="minorHAnsi"/>
          <w:b/>
          <w:bCs/>
          <w:sz w:val="24"/>
          <w:szCs w:val="24"/>
          <w:lang w:val="el-GR"/>
        </w:rPr>
        <w:t>εκπαίδευση</w:t>
      </w:r>
      <w:r w:rsidR="00FC3D02">
        <w:rPr>
          <w:rFonts w:cstheme="minorHAnsi"/>
          <w:b/>
          <w:bCs/>
          <w:sz w:val="24"/>
          <w:szCs w:val="24"/>
          <w:lang w:val="el-GR"/>
        </w:rPr>
        <w:t>ς</w:t>
      </w:r>
      <w:r w:rsidRPr="00FC3D02">
        <w:rPr>
          <w:rFonts w:cstheme="minorHAnsi"/>
          <w:b/>
          <w:bCs/>
          <w:sz w:val="24"/>
          <w:szCs w:val="24"/>
          <w:lang w:val="el-GR"/>
        </w:rPr>
        <w:t xml:space="preserve"> </w:t>
      </w:r>
      <w:r w:rsidR="00FC3D02">
        <w:rPr>
          <w:rFonts w:cstheme="minorHAnsi"/>
          <w:b/>
          <w:bCs/>
          <w:sz w:val="24"/>
          <w:szCs w:val="24"/>
          <w:lang w:val="el-GR"/>
        </w:rPr>
        <w:t xml:space="preserve">σε όλες  τις βαθμίδες </w:t>
      </w:r>
      <w:r w:rsidRPr="00FC3D02">
        <w:rPr>
          <w:rFonts w:cstheme="minorHAnsi"/>
          <w:b/>
          <w:bCs/>
          <w:sz w:val="24"/>
          <w:szCs w:val="24"/>
          <w:lang w:val="el-GR"/>
        </w:rPr>
        <w:t xml:space="preserve"> της </w:t>
      </w:r>
      <w:r w:rsidR="009C4E34" w:rsidRPr="00FC3D02">
        <w:rPr>
          <w:rFonts w:cstheme="minorHAnsi"/>
          <w:b/>
          <w:bCs/>
          <w:sz w:val="24"/>
          <w:szCs w:val="24"/>
          <w:lang w:val="el-GR"/>
        </w:rPr>
        <w:t>Αστυνομία</w:t>
      </w:r>
      <w:r w:rsidRPr="00FC3D02">
        <w:rPr>
          <w:rFonts w:cstheme="minorHAnsi"/>
          <w:b/>
          <w:bCs/>
          <w:sz w:val="24"/>
          <w:szCs w:val="24"/>
          <w:lang w:val="el-GR"/>
        </w:rPr>
        <w:t>ς</w:t>
      </w:r>
      <w:r w:rsidR="00664CCD" w:rsidRPr="00FC3D02">
        <w:rPr>
          <w:rFonts w:cstheme="minorHAnsi"/>
          <w:b/>
          <w:bCs/>
          <w:sz w:val="24"/>
          <w:szCs w:val="24"/>
          <w:lang w:val="el-GR"/>
        </w:rPr>
        <w:t xml:space="preserve"> </w:t>
      </w:r>
      <w:r w:rsidRPr="00FC3D02">
        <w:rPr>
          <w:rFonts w:cstheme="minorHAnsi"/>
          <w:b/>
          <w:bCs/>
          <w:sz w:val="24"/>
          <w:szCs w:val="24"/>
          <w:lang w:val="el-GR"/>
        </w:rPr>
        <w:t>και τακτική πληροφόρηση για διαθέσι</w:t>
      </w:r>
      <w:r w:rsidR="00FC3D02">
        <w:rPr>
          <w:rFonts w:cstheme="minorHAnsi"/>
          <w:b/>
          <w:bCs/>
          <w:sz w:val="24"/>
          <w:szCs w:val="24"/>
          <w:lang w:val="el-GR"/>
        </w:rPr>
        <w:t>μα</w:t>
      </w:r>
      <w:r w:rsidRPr="00FC3D02">
        <w:rPr>
          <w:rFonts w:cstheme="minorHAnsi"/>
          <w:b/>
          <w:bCs/>
          <w:sz w:val="24"/>
          <w:szCs w:val="24"/>
          <w:lang w:val="el-GR"/>
        </w:rPr>
        <w:t xml:space="preserve"> </w:t>
      </w:r>
      <w:r w:rsidR="00FC3D02">
        <w:rPr>
          <w:rFonts w:cstheme="minorHAnsi"/>
          <w:b/>
          <w:bCs/>
          <w:sz w:val="24"/>
          <w:szCs w:val="24"/>
          <w:lang w:val="el-GR"/>
        </w:rPr>
        <w:t xml:space="preserve">ένδικα μέσα </w:t>
      </w:r>
      <w:r w:rsidR="00664CCD" w:rsidRPr="00FC3D02">
        <w:rPr>
          <w:rFonts w:cstheme="minorHAnsi"/>
          <w:b/>
          <w:bCs/>
          <w:sz w:val="24"/>
          <w:szCs w:val="24"/>
          <w:lang w:val="el-GR"/>
        </w:rPr>
        <w:t xml:space="preserve"> </w:t>
      </w:r>
      <w:r w:rsidR="00664CCD" w:rsidRPr="00FC3D02">
        <w:rPr>
          <w:rFonts w:cstheme="minorHAnsi"/>
          <w:sz w:val="24"/>
          <w:szCs w:val="24"/>
          <w:lang w:val="el-GR"/>
        </w:rPr>
        <w:t>(</w:t>
      </w:r>
      <w:r w:rsidRPr="00FC3D02">
        <w:rPr>
          <w:rFonts w:cstheme="minorHAnsi"/>
          <w:sz w:val="24"/>
          <w:szCs w:val="24"/>
          <w:lang w:val="el-GR"/>
        </w:rPr>
        <w:t>παράγραφος</w:t>
      </w:r>
      <w:r w:rsidR="00664CCD" w:rsidRPr="00FC3D02">
        <w:rPr>
          <w:rFonts w:cstheme="minorHAnsi"/>
          <w:sz w:val="24"/>
          <w:szCs w:val="24"/>
          <w:lang w:val="el-GR"/>
        </w:rPr>
        <w:t xml:space="preserve"> 252)</w:t>
      </w:r>
      <w:r w:rsidR="00CE5A97" w:rsidRPr="00FC3D02">
        <w:rPr>
          <w:rFonts w:cstheme="minorHAnsi"/>
          <w:b/>
          <w:bCs/>
          <w:sz w:val="24"/>
          <w:szCs w:val="24"/>
          <w:lang w:val="el-GR"/>
        </w:rPr>
        <w:t>,</w:t>
      </w:r>
    </w:p>
    <w:p w14:paraId="267A8D84" w14:textId="77777777" w:rsidR="00944F0D" w:rsidRPr="00DC26CE" w:rsidRDefault="00944F0D" w:rsidP="00944F0D">
      <w:pPr>
        <w:pStyle w:val="ListParagraph"/>
        <w:rPr>
          <w:b/>
          <w:sz w:val="24"/>
          <w:szCs w:val="24"/>
          <w:lang w:val="el-GR"/>
        </w:rPr>
      </w:pPr>
    </w:p>
    <w:p w14:paraId="24E2A903" w14:textId="60777E96" w:rsidR="00944F0D" w:rsidRPr="002F1C88" w:rsidRDefault="002F1C88" w:rsidP="00220066">
      <w:pPr>
        <w:pStyle w:val="ListParagraph"/>
        <w:numPr>
          <w:ilvl w:val="0"/>
          <w:numId w:val="2"/>
        </w:numPr>
        <w:ind w:left="851" w:hanging="567"/>
        <w:contextualSpacing w:val="0"/>
        <w:rPr>
          <w:b/>
          <w:sz w:val="24"/>
          <w:szCs w:val="24"/>
          <w:lang w:val="el-GR"/>
        </w:rPr>
      </w:pPr>
      <w:r>
        <w:rPr>
          <w:rFonts w:ascii="Calibri" w:hAnsi="Calibri" w:cs="Calibri"/>
          <w:b/>
          <w:bCs/>
          <w:color w:val="000000"/>
          <w:sz w:val="24"/>
          <w:szCs w:val="24"/>
          <w:lang w:val="el-GR"/>
        </w:rPr>
        <w:t>την</w:t>
      </w:r>
      <w:r w:rsidRPr="002F1C88">
        <w:rPr>
          <w:rFonts w:ascii="Calibri" w:hAnsi="Calibri" w:cs="Calibri"/>
          <w:b/>
          <w:bCs/>
          <w:color w:val="000000"/>
          <w:sz w:val="24"/>
          <w:szCs w:val="24"/>
          <w:lang w:val="el-GR"/>
        </w:rPr>
        <w:t xml:space="preserve"> </w:t>
      </w:r>
      <w:r>
        <w:rPr>
          <w:rFonts w:ascii="Calibri" w:hAnsi="Calibri" w:cs="Calibri"/>
          <w:b/>
          <w:bCs/>
          <w:color w:val="000000"/>
          <w:sz w:val="24"/>
          <w:szCs w:val="24"/>
          <w:lang w:val="el-GR"/>
        </w:rPr>
        <w:t>καθιέρωση</w:t>
      </w:r>
      <w:r w:rsidRPr="002F1C88">
        <w:rPr>
          <w:rFonts w:ascii="Calibri" w:hAnsi="Calibri" w:cs="Calibri"/>
          <w:b/>
          <w:bCs/>
          <w:color w:val="000000"/>
          <w:sz w:val="24"/>
          <w:szCs w:val="24"/>
          <w:lang w:val="el-GR"/>
        </w:rPr>
        <w:t xml:space="preserve"> </w:t>
      </w:r>
      <w:r>
        <w:rPr>
          <w:rFonts w:ascii="Calibri" w:hAnsi="Calibri" w:cs="Calibri"/>
          <w:b/>
          <w:bCs/>
          <w:color w:val="000000"/>
          <w:sz w:val="24"/>
          <w:szCs w:val="24"/>
          <w:lang w:val="el-GR"/>
        </w:rPr>
        <w:t>μιας</w:t>
      </w:r>
      <w:r w:rsidRPr="002F1C88">
        <w:rPr>
          <w:rFonts w:ascii="Calibri" w:hAnsi="Calibri" w:cs="Calibri"/>
          <w:b/>
          <w:bCs/>
          <w:color w:val="000000"/>
          <w:sz w:val="24"/>
          <w:szCs w:val="24"/>
          <w:lang w:val="el-GR"/>
        </w:rPr>
        <w:t xml:space="preserve"> </w:t>
      </w:r>
      <w:r>
        <w:rPr>
          <w:rFonts w:ascii="Calibri" w:hAnsi="Calibri" w:cs="Calibri"/>
          <w:b/>
          <w:bCs/>
          <w:color w:val="000000"/>
          <w:sz w:val="24"/>
          <w:szCs w:val="24"/>
          <w:lang w:val="el-GR"/>
        </w:rPr>
        <w:t>διαδικασίας</w:t>
      </w:r>
      <w:r w:rsidRPr="002F1C88">
        <w:rPr>
          <w:rFonts w:ascii="Calibri" w:hAnsi="Calibri" w:cs="Calibri"/>
          <w:b/>
          <w:bCs/>
          <w:color w:val="000000"/>
          <w:sz w:val="24"/>
          <w:szCs w:val="24"/>
          <w:lang w:val="el-GR"/>
        </w:rPr>
        <w:t xml:space="preserve"> </w:t>
      </w:r>
      <w:r>
        <w:rPr>
          <w:rFonts w:ascii="Calibri" w:hAnsi="Calibri" w:cs="Calibri"/>
          <w:b/>
          <w:bCs/>
          <w:color w:val="000000"/>
          <w:sz w:val="24"/>
          <w:szCs w:val="24"/>
          <w:lang w:val="el-GR"/>
        </w:rPr>
        <w:t>που</w:t>
      </w:r>
      <w:r w:rsidRPr="002F1C88">
        <w:rPr>
          <w:rFonts w:ascii="Calibri" w:hAnsi="Calibri" w:cs="Calibri"/>
          <w:b/>
          <w:bCs/>
          <w:color w:val="000000"/>
          <w:sz w:val="24"/>
          <w:szCs w:val="24"/>
          <w:lang w:val="el-GR"/>
        </w:rPr>
        <w:t xml:space="preserve"> </w:t>
      </w:r>
      <w:r>
        <w:rPr>
          <w:rFonts w:ascii="Calibri" w:hAnsi="Calibri" w:cs="Calibri"/>
          <w:b/>
          <w:bCs/>
          <w:color w:val="000000"/>
          <w:sz w:val="24"/>
          <w:szCs w:val="24"/>
          <w:lang w:val="el-GR"/>
        </w:rPr>
        <w:t>διασφαλίζει</w:t>
      </w:r>
      <w:r w:rsidRPr="002F1C88">
        <w:rPr>
          <w:rFonts w:ascii="Calibri" w:hAnsi="Calibri" w:cs="Calibri"/>
          <w:b/>
          <w:bCs/>
          <w:color w:val="000000"/>
          <w:sz w:val="24"/>
          <w:szCs w:val="24"/>
          <w:lang w:val="el-GR"/>
        </w:rPr>
        <w:t xml:space="preserve"> </w:t>
      </w:r>
      <w:r>
        <w:rPr>
          <w:rFonts w:ascii="Calibri" w:hAnsi="Calibri" w:cs="Calibri"/>
          <w:b/>
          <w:bCs/>
          <w:color w:val="000000"/>
          <w:sz w:val="24"/>
          <w:szCs w:val="24"/>
          <w:lang w:val="el-GR"/>
        </w:rPr>
        <w:t>ότι</w:t>
      </w:r>
      <w:r w:rsidRPr="002F1C88">
        <w:rPr>
          <w:rFonts w:ascii="Calibri" w:hAnsi="Calibri" w:cs="Calibri"/>
          <w:b/>
          <w:bCs/>
          <w:color w:val="000000"/>
          <w:sz w:val="24"/>
          <w:szCs w:val="24"/>
          <w:lang w:val="el-GR"/>
        </w:rPr>
        <w:t xml:space="preserve"> </w:t>
      </w:r>
      <w:r>
        <w:rPr>
          <w:rFonts w:ascii="Calibri" w:hAnsi="Calibri" w:cs="Calibri"/>
          <w:b/>
          <w:bCs/>
          <w:color w:val="000000"/>
          <w:sz w:val="24"/>
          <w:szCs w:val="24"/>
          <w:lang w:val="el-GR"/>
        </w:rPr>
        <w:t>οι</w:t>
      </w:r>
      <w:r w:rsidRPr="002F1C88">
        <w:rPr>
          <w:rFonts w:ascii="Calibri" w:hAnsi="Calibri" w:cs="Calibri"/>
          <w:b/>
          <w:bCs/>
          <w:color w:val="000000"/>
          <w:sz w:val="24"/>
          <w:szCs w:val="24"/>
          <w:lang w:val="el-GR"/>
        </w:rPr>
        <w:t xml:space="preserve"> </w:t>
      </w:r>
      <w:r>
        <w:rPr>
          <w:rFonts w:ascii="Calibri" w:hAnsi="Calibri" w:cs="Calibri"/>
          <w:b/>
          <w:bCs/>
          <w:color w:val="000000"/>
          <w:sz w:val="24"/>
          <w:szCs w:val="24"/>
          <w:lang w:val="el-GR"/>
        </w:rPr>
        <w:t>υποθέσεις</w:t>
      </w:r>
      <w:r w:rsidRPr="002F1C88">
        <w:rPr>
          <w:rFonts w:ascii="Calibri" w:hAnsi="Calibri" w:cs="Calibri"/>
          <w:b/>
          <w:bCs/>
          <w:color w:val="000000"/>
          <w:sz w:val="24"/>
          <w:szCs w:val="24"/>
          <w:lang w:val="el-GR"/>
        </w:rPr>
        <w:t xml:space="preserve"> </w:t>
      </w:r>
      <w:r w:rsidR="00FC3D02">
        <w:rPr>
          <w:rFonts w:ascii="Calibri" w:hAnsi="Calibri" w:cs="Calibri"/>
          <w:b/>
          <w:bCs/>
          <w:color w:val="000000"/>
          <w:sz w:val="24"/>
          <w:szCs w:val="24"/>
          <w:lang w:val="el-GR"/>
        </w:rPr>
        <w:t xml:space="preserve">θα τυγχάνουν χειρισμού </w:t>
      </w:r>
      <w:r w:rsidR="002E5EC0">
        <w:rPr>
          <w:rFonts w:ascii="Calibri" w:hAnsi="Calibri" w:cs="Calibri"/>
          <w:b/>
          <w:bCs/>
          <w:color w:val="000000"/>
          <w:sz w:val="24"/>
          <w:szCs w:val="24"/>
          <w:lang w:val="el-GR"/>
        </w:rPr>
        <w:t>ενός</w:t>
      </w:r>
      <w:r w:rsidR="00FC3D02">
        <w:rPr>
          <w:rFonts w:ascii="Calibri" w:hAnsi="Calibri" w:cs="Calibri"/>
          <w:b/>
          <w:bCs/>
          <w:color w:val="000000"/>
          <w:sz w:val="24"/>
          <w:szCs w:val="24"/>
          <w:lang w:val="el-GR"/>
        </w:rPr>
        <w:t xml:space="preserve"> εύλογου χρονικού πλαισίου </w:t>
      </w:r>
      <w:r>
        <w:rPr>
          <w:rFonts w:ascii="Calibri" w:hAnsi="Calibri" w:cs="Calibri"/>
          <w:b/>
          <w:bCs/>
          <w:color w:val="000000"/>
          <w:sz w:val="24"/>
          <w:szCs w:val="24"/>
          <w:lang w:val="el-GR"/>
        </w:rPr>
        <w:t>και με συνεπή τρόπο</w:t>
      </w:r>
      <w:r w:rsidR="00664CCD" w:rsidRPr="002F1C88">
        <w:rPr>
          <w:rFonts w:ascii="Calibri" w:hAnsi="Calibri" w:cs="Calibri"/>
          <w:b/>
          <w:bCs/>
          <w:color w:val="000000"/>
          <w:sz w:val="24"/>
          <w:szCs w:val="24"/>
          <w:lang w:val="el-GR"/>
        </w:rPr>
        <w:t xml:space="preserve"> </w:t>
      </w:r>
      <w:r>
        <w:rPr>
          <w:rFonts w:ascii="Calibri" w:hAnsi="Calibri" w:cs="Calibri"/>
          <w:b/>
          <w:bCs/>
          <w:color w:val="000000"/>
          <w:sz w:val="24"/>
          <w:szCs w:val="24"/>
          <w:lang w:val="el-GR"/>
        </w:rPr>
        <w:t>και ότι</w:t>
      </w:r>
      <w:r w:rsidR="00664CCD" w:rsidRPr="002F1C88">
        <w:rPr>
          <w:rFonts w:ascii="Calibri" w:hAnsi="Calibri" w:cs="Calibri"/>
          <w:b/>
          <w:bCs/>
          <w:color w:val="000000"/>
          <w:sz w:val="24"/>
          <w:szCs w:val="24"/>
          <w:lang w:val="el-GR"/>
        </w:rPr>
        <w:t xml:space="preserve"> </w:t>
      </w:r>
      <w:r w:rsidR="00C365A4">
        <w:rPr>
          <w:rFonts w:ascii="Calibri" w:hAnsi="Calibri" w:cs="Calibri"/>
          <w:b/>
          <w:bCs/>
          <w:color w:val="000000"/>
          <w:sz w:val="24"/>
          <w:szCs w:val="24"/>
          <w:lang w:val="el-GR"/>
        </w:rPr>
        <w:t>η κακή συμπεριφορά τιμωρείται αποτελεσματικά</w:t>
      </w:r>
      <w:r w:rsidR="00E7093A" w:rsidRPr="002F1C88">
        <w:rPr>
          <w:rFonts w:ascii="Calibri" w:hAnsi="Calibri" w:cs="Calibri"/>
          <w:b/>
          <w:bCs/>
          <w:color w:val="000000"/>
          <w:sz w:val="24"/>
          <w:szCs w:val="24"/>
          <w:lang w:val="el-GR"/>
        </w:rPr>
        <w:t xml:space="preserve"> </w:t>
      </w:r>
      <w:r w:rsidR="00E7093A" w:rsidRPr="002F1C88">
        <w:rPr>
          <w:rFonts w:ascii="Calibri" w:hAnsi="Calibri" w:cs="Calibri"/>
          <w:color w:val="000000"/>
          <w:sz w:val="24"/>
          <w:szCs w:val="24"/>
          <w:lang w:val="el-GR"/>
        </w:rPr>
        <w:t>(</w:t>
      </w:r>
      <w:r w:rsidR="00C365A4">
        <w:rPr>
          <w:rFonts w:ascii="Calibri" w:hAnsi="Calibri" w:cs="Calibri"/>
          <w:color w:val="000000"/>
          <w:sz w:val="24"/>
          <w:szCs w:val="24"/>
          <w:lang w:val="el-GR"/>
        </w:rPr>
        <w:t>παράγραφος</w:t>
      </w:r>
      <w:r w:rsidR="00E7093A" w:rsidRPr="002F1C88">
        <w:rPr>
          <w:rFonts w:ascii="Calibri" w:hAnsi="Calibri" w:cs="Calibri"/>
          <w:color w:val="000000"/>
          <w:sz w:val="24"/>
          <w:szCs w:val="24"/>
          <w:lang w:val="el-GR"/>
        </w:rPr>
        <w:t xml:space="preserve"> 258)</w:t>
      </w:r>
      <w:r w:rsidR="00E7093A" w:rsidRPr="002F1C88">
        <w:rPr>
          <w:rFonts w:ascii="Calibri" w:hAnsi="Calibri" w:cs="Calibri"/>
          <w:b/>
          <w:bCs/>
          <w:color w:val="000000"/>
          <w:sz w:val="24"/>
          <w:szCs w:val="24"/>
          <w:lang w:val="el-GR"/>
        </w:rPr>
        <w:t>.</w:t>
      </w:r>
    </w:p>
    <w:p w14:paraId="22BB7A8E" w14:textId="77777777" w:rsidR="00220066" w:rsidRPr="002F1C88" w:rsidRDefault="00220066" w:rsidP="00220066">
      <w:pPr>
        <w:tabs>
          <w:tab w:val="left" w:pos="709"/>
        </w:tabs>
        <w:rPr>
          <w:rFonts w:cstheme="minorHAnsi"/>
          <w:sz w:val="24"/>
          <w:szCs w:val="24"/>
          <w:lang w:val="el-GR"/>
        </w:rPr>
      </w:pPr>
    </w:p>
    <w:p w14:paraId="0D595575" w14:textId="6382FD11" w:rsidR="00220066" w:rsidRPr="00C365A4" w:rsidRDefault="00C365A4" w:rsidP="00220066">
      <w:pPr>
        <w:numPr>
          <w:ilvl w:val="0"/>
          <w:numId w:val="1"/>
        </w:numPr>
        <w:tabs>
          <w:tab w:val="left" w:pos="709"/>
        </w:tabs>
        <w:ind w:left="0" w:firstLine="0"/>
        <w:rPr>
          <w:rFonts w:cstheme="minorHAnsi"/>
          <w:sz w:val="24"/>
          <w:szCs w:val="24"/>
          <w:lang w:val="el-GR"/>
        </w:rPr>
      </w:pPr>
      <w:r>
        <w:rPr>
          <w:sz w:val="24"/>
          <w:szCs w:val="24"/>
          <w:lang w:val="el-GR"/>
        </w:rPr>
        <w:t>Σύμφωνα</w:t>
      </w:r>
      <w:r w:rsidRPr="00C365A4">
        <w:rPr>
          <w:sz w:val="24"/>
          <w:szCs w:val="24"/>
          <w:lang w:val="el-GR"/>
        </w:rPr>
        <w:t xml:space="preserve"> </w:t>
      </w:r>
      <w:r>
        <w:rPr>
          <w:sz w:val="24"/>
          <w:szCs w:val="24"/>
          <w:lang w:val="el-GR"/>
        </w:rPr>
        <w:t>με</w:t>
      </w:r>
      <w:r w:rsidRPr="00C365A4">
        <w:rPr>
          <w:sz w:val="24"/>
          <w:szCs w:val="24"/>
          <w:lang w:val="el-GR"/>
        </w:rPr>
        <w:t xml:space="preserve"> </w:t>
      </w:r>
      <w:r>
        <w:rPr>
          <w:sz w:val="24"/>
          <w:szCs w:val="24"/>
          <w:lang w:val="el-GR"/>
        </w:rPr>
        <w:t>τον</w:t>
      </w:r>
      <w:r w:rsidRPr="00C365A4">
        <w:rPr>
          <w:sz w:val="24"/>
          <w:szCs w:val="24"/>
          <w:lang w:val="el-GR"/>
        </w:rPr>
        <w:t xml:space="preserve"> </w:t>
      </w:r>
      <w:r>
        <w:rPr>
          <w:sz w:val="24"/>
          <w:szCs w:val="24"/>
          <w:lang w:val="el-GR"/>
        </w:rPr>
        <w:t>Κανόνα</w:t>
      </w:r>
      <w:r w:rsidR="00220066" w:rsidRPr="00C365A4">
        <w:rPr>
          <w:sz w:val="24"/>
          <w:szCs w:val="24"/>
          <w:lang w:val="el-GR"/>
        </w:rPr>
        <w:t xml:space="preserve"> 30.2 </w:t>
      </w:r>
      <w:r>
        <w:rPr>
          <w:sz w:val="24"/>
          <w:szCs w:val="24"/>
          <w:lang w:val="el-GR"/>
        </w:rPr>
        <w:t>των</w:t>
      </w:r>
      <w:r w:rsidRPr="00C365A4">
        <w:rPr>
          <w:sz w:val="24"/>
          <w:szCs w:val="24"/>
          <w:lang w:val="el-GR"/>
        </w:rPr>
        <w:t xml:space="preserve"> </w:t>
      </w:r>
      <w:r>
        <w:rPr>
          <w:sz w:val="24"/>
          <w:szCs w:val="24"/>
          <w:lang w:val="el-GR"/>
        </w:rPr>
        <w:t>Κανόνων</w:t>
      </w:r>
      <w:r w:rsidRPr="00C365A4">
        <w:rPr>
          <w:sz w:val="24"/>
          <w:szCs w:val="24"/>
          <w:lang w:val="el-GR"/>
        </w:rPr>
        <w:t xml:space="preserve"> </w:t>
      </w:r>
      <w:r>
        <w:rPr>
          <w:sz w:val="24"/>
          <w:szCs w:val="24"/>
          <w:lang w:val="el-GR"/>
        </w:rPr>
        <w:t>Διαδικασίας</w:t>
      </w:r>
      <w:r w:rsidR="00220066" w:rsidRPr="00C365A4">
        <w:rPr>
          <w:sz w:val="24"/>
          <w:szCs w:val="24"/>
          <w:lang w:val="el-GR"/>
        </w:rPr>
        <w:t xml:space="preserve">, </w:t>
      </w:r>
      <w:r>
        <w:rPr>
          <w:sz w:val="24"/>
          <w:szCs w:val="24"/>
          <w:lang w:val="el-GR"/>
        </w:rPr>
        <w:t>η</w:t>
      </w:r>
      <w:r w:rsidRPr="00C365A4">
        <w:rPr>
          <w:sz w:val="24"/>
          <w:szCs w:val="24"/>
          <w:lang w:val="el-GR"/>
        </w:rPr>
        <w:t xml:space="preserve"> </w:t>
      </w:r>
      <w:r w:rsidR="00220066" w:rsidRPr="004E251E">
        <w:rPr>
          <w:sz w:val="24"/>
          <w:szCs w:val="24"/>
        </w:rPr>
        <w:t>GRECO</w:t>
      </w:r>
      <w:r w:rsidR="00220066" w:rsidRPr="00C365A4">
        <w:rPr>
          <w:sz w:val="24"/>
          <w:szCs w:val="24"/>
          <w:lang w:val="el-GR"/>
        </w:rPr>
        <w:t xml:space="preserve"> </w:t>
      </w:r>
      <w:r>
        <w:rPr>
          <w:sz w:val="24"/>
          <w:szCs w:val="24"/>
          <w:lang w:val="el-GR"/>
        </w:rPr>
        <w:t>καλεί</w:t>
      </w:r>
      <w:r w:rsidRPr="00C365A4">
        <w:rPr>
          <w:sz w:val="24"/>
          <w:szCs w:val="24"/>
          <w:lang w:val="el-GR"/>
        </w:rPr>
        <w:t xml:space="preserve"> </w:t>
      </w:r>
      <w:r>
        <w:rPr>
          <w:sz w:val="24"/>
          <w:szCs w:val="24"/>
          <w:lang w:val="el-GR"/>
        </w:rPr>
        <w:t>τις</w:t>
      </w:r>
      <w:r w:rsidRPr="00C365A4">
        <w:rPr>
          <w:sz w:val="24"/>
          <w:szCs w:val="24"/>
          <w:lang w:val="el-GR"/>
        </w:rPr>
        <w:t xml:space="preserve"> </w:t>
      </w:r>
      <w:r>
        <w:rPr>
          <w:sz w:val="24"/>
          <w:szCs w:val="24"/>
          <w:lang w:val="el-GR"/>
        </w:rPr>
        <w:t>αρχές</w:t>
      </w:r>
      <w:r w:rsidRPr="00C365A4">
        <w:rPr>
          <w:sz w:val="24"/>
          <w:szCs w:val="24"/>
          <w:lang w:val="el-GR"/>
        </w:rPr>
        <w:t xml:space="preserve"> </w:t>
      </w:r>
      <w:r>
        <w:rPr>
          <w:sz w:val="24"/>
          <w:szCs w:val="24"/>
          <w:lang w:val="el-GR"/>
        </w:rPr>
        <w:t>της</w:t>
      </w:r>
      <w:r w:rsidRPr="00C365A4">
        <w:rPr>
          <w:sz w:val="24"/>
          <w:szCs w:val="24"/>
          <w:lang w:val="el-GR"/>
        </w:rPr>
        <w:t xml:space="preserve"> </w:t>
      </w:r>
      <w:r>
        <w:rPr>
          <w:sz w:val="24"/>
          <w:szCs w:val="24"/>
          <w:lang w:val="el-GR"/>
        </w:rPr>
        <w:t>Κύπρου</w:t>
      </w:r>
      <w:r w:rsidR="00220066" w:rsidRPr="00C365A4">
        <w:rPr>
          <w:sz w:val="24"/>
          <w:szCs w:val="24"/>
          <w:lang w:val="el-GR"/>
        </w:rPr>
        <w:t xml:space="preserve"> </w:t>
      </w:r>
      <w:r>
        <w:rPr>
          <w:sz w:val="24"/>
          <w:szCs w:val="24"/>
          <w:lang w:val="el-GR"/>
        </w:rPr>
        <w:t>να</w:t>
      </w:r>
      <w:r w:rsidRPr="00C365A4">
        <w:rPr>
          <w:sz w:val="24"/>
          <w:szCs w:val="24"/>
          <w:lang w:val="el-GR"/>
        </w:rPr>
        <w:t xml:space="preserve"> </w:t>
      </w:r>
      <w:r>
        <w:rPr>
          <w:sz w:val="24"/>
          <w:szCs w:val="24"/>
          <w:lang w:val="el-GR"/>
        </w:rPr>
        <w:t>υποβάλουν</w:t>
      </w:r>
      <w:r w:rsidRPr="00C365A4">
        <w:rPr>
          <w:sz w:val="24"/>
          <w:szCs w:val="24"/>
          <w:lang w:val="el-GR"/>
        </w:rPr>
        <w:t xml:space="preserve"> </w:t>
      </w:r>
      <w:r>
        <w:rPr>
          <w:sz w:val="24"/>
          <w:szCs w:val="24"/>
          <w:lang w:val="el-GR"/>
        </w:rPr>
        <w:t>μια</w:t>
      </w:r>
      <w:r w:rsidRPr="00C365A4">
        <w:rPr>
          <w:sz w:val="24"/>
          <w:szCs w:val="24"/>
          <w:lang w:val="el-GR"/>
        </w:rPr>
        <w:t xml:space="preserve"> </w:t>
      </w:r>
      <w:r>
        <w:rPr>
          <w:sz w:val="24"/>
          <w:szCs w:val="24"/>
          <w:lang w:val="el-GR"/>
        </w:rPr>
        <w:t>έκθεση</w:t>
      </w:r>
      <w:r w:rsidR="00220066" w:rsidRPr="00C365A4">
        <w:rPr>
          <w:sz w:val="24"/>
          <w:szCs w:val="24"/>
          <w:lang w:val="el-GR"/>
        </w:rPr>
        <w:t xml:space="preserve"> </w:t>
      </w:r>
      <w:r>
        <w:rPr>
          <w:sz w:val="24"/>
          <w:szCs w:val="24"/>
          <w:lang w:val="el-GR"/>
        </w:rPr>
        <w:t>για τα μέτρα που έχουν ληφθεί</w:t>
      </w:r>
      <w:r w:rsidR="00220066" w:rsidRPr="00C365A4">
        <w:rPr>
          <w:sz w:val="24"/>
          <w:szCs w:val="24"/>
          <w:lang w:val="el-GR"/>
        </w:rPr>
        <w:t xml:space="preserve"> </w:t>
      </w:r>
      <w:r>
        <w:rPr>
          <w:sz w:val="24"/>
          <w:szCs w:val="24"/>
          <w:lang w:val="el-GR"/>
        </w:rPr>
        <w:t>για την υλοποίηση των προαναφερθέντων εισηγήσεων</w:t>
      </w:r>
      <w:r w:rsidR="00220066" w:rsidRPr="00C365A4">
        <w:rPr>
          <w:sz w:val="24"/>
          <w:szCs w:val="24"/>
          <w:lang w:val="el-GR"/>
        </w:rPr>
        <w:t xml:space="preserve"> </w:t>
      </w:r>
      <w:r>
        <w:rPr>
          <w:sz w:val="24"/>
          <w:szCs w:val="24"/>
          <w:lang w:val="el-GR"/>
        </w:rPr>
        <w:t>μέχρι τις</w:t>
      </w:r>
      <w:r w:rsidR="00220066" w:rsidRPr="00C365A4">
        <w:rPr>
          <w:sz w:val="24"/>
          <w:szCs w:val="24"/>
          <w:lang w:val="el-GR"/>
        </w:rPr>
        <w:t xml:space="preserve"> </w:t>
      </w:r>
      <w:r w:rsidR="00220066" w:rsidRPr="00C365A4">
        <w:rPr>
          <w:sz w:val="24"/>
          <w:szCs w:val="24"/>
          <w:u w:val="single"/>
          <w:lang w:val="el-GR"/>
        </w:rPr>
        <w:t xml:space="preserve">31 </w:t>
      </w:r>
      <w:r>
        <w:rPr>
          <w:sz w:val="24"/>
          <w:szCs w:val="24"/>
          <w:u w:val="single"/>
          <w:lang w:val="el-GR"/>
        </w:rPr>
        <w:t>Δεκεμβρίου</w:t>
      </w:r>
      <w:r w:rsidR="00220066" w:rsidRPr="00C365A4">
        <w:rPr>
          <w:sz w:val="24"/>
          <w:szCs w:val="24"/>
          <w:u w:val="single"/>
          <w:lang w:val="el-GR"/>
        </w:rPr>
        <w:t xml:space="preserve"> 2024.</w:t>
      </w:r>
      <w:r w:rsidR="00220066" w:rsidRPr="00C365A4">
        <w:rPr>
          <w:sz w:val="24"/>
          <w:szCs w:val="24"/>
          <w:lang w:val="el-GR"/>
        </w:rPr>
        <w:t xml:space="preserve"> </w:t>
      </w:r>
      <w:r w:rsidR="00220066" w:rsidRPr="004E251E">
        <w:rPr>
          <w:sz w:val="24"/>
          <w:szCs w:val="24"/>
        </w:rPr>
        <w:t>T</w:t>
      </w:r>
      <w:r>
        <w:rPr>
          <w:sz w:val="24"/>
          <w:szCs w:val="24"/>
          <w:lang w:val="el-GR"/>
        </w:rPr>
        <w:t>α</w:t>
      </w:r>
      <w:r w:rsidR="00220066" w:rsidRPr="00C365A4">
        <w:rPr>
          <w:sz w:val="24"/>
          <w:szCs w:val="24"/>
          <w:lang w:val="el-GR"/>
        </w:rPr>
        <w:t xml:space="preserve"> </w:t>
      </w:r>
      <w:r>
        <w:rPr>
          <w:sz w:val="24"/>
          <w:szCs w:val="24"/>
          <w:lang w:val="el-GR"/>
        </w:rPr>
        <w:t>μέτρα</w:t>
      </w:r>
      <w:r w:rsidRPr="00C365A4">
        <w:rPr>
          <w:sz w:val="24"/>
          <w:szCs w:val="24"/>
          <w:lang w:val="el-GR"/>
        </w:rPr>
        <w:t xml:space="preserve"> </w:t>
      </w:r>
      <w:r>
        <w:rPr>
          <w:sz w:val="24"/>
          <w:szCs w:val="24"/>
          <w:lang w:val="el-GR"/>
        </w:rPr>
        <w:t>θα</w:t>
      </w:r>
      <w:r w:rsidRPr="00C365A4">
        <w:rPr>
          <w:sz w:val="24"/>
          <w:szCs w:val="24"/>
          <w:lang w:val="el-GR"/>
        </w:rPr>
        <w:t xml:space="preserve"> </w:t>
      </w:r>
      <w:r>
        <w:rPr>
          <w:sz w:val="24"/>
          <w:szCs w:val="24"/>
          <w:lang w:val="el-GR"/>
        </w:rPr>
        <w:t>αξιολογηθούν</w:t>
      </w:r>
      <w:r w:rsidRPr="00C365A4">
        <w:rPr>
          <w:sz w:val="24"/>
          <w:szCs w:val="24"/>
          <w:lang w:val="el-GR"/>
        </w:rPr>
        <w:t xml:space="preserve"> </w:t>
      </w:r>
      <w:r>
        <w:rPr>
          <w:sz w:val="24"/>
          <w:szCs w:val="24"/>
          <w:lang w:val="el-GR"/>
        </w:rPr>
        <w:t>από</w:t>
      </w:r>
      <w:r w:rsidRPr="00C365A4">
        <w:rPr>
          <w:sz w:val="24"/>
          <w:szCs w:val="24"/>
          <w:lang w:val="el-GR"/>
        </w:rPr>
        <w:t xml:space="preserve"> </w:t>
      </w:r>
      <w:r>
        <w:rPr>
          <w:sz w:val="24"/>
          <w:szCs w:val="24"/>
          <w:lang w:val="el-GR"/>
        </w:rPr>
        <w:t>την</w:t>
      </w:r>
      <w:r w:rsidR="00220066" w:rsidRPr="00C365A4">
        <w:rPr>
          <w:sz w:val="24"/>
          <w:szCs w:val="24"/>
          <w:lang w:val="el-GR"/>
        </w:rPr>
        <w:t xml:space="preserve"> </w:t>
      </w:r>
      <w:r w:rsidR="00220066" w:rsidRPr="004E251E">
        <w:rPr>
          <w:sz w:val="24"/>
          <w:szCs w:val="24"/>
        </w:rPr>
        <w:t>GRECO</w:t>
      </w:r>
      <w:r w:rsidR="00220066" w:rsidRPr="00C365A4">
        <w:rPr>
          <w:sz w:val="24"/>
          <w:szCs w:val="24"/>
          <w:lang w:val="el-GR"/>
        </w:rPr>
        <w:t xml:space="preserve"> </w:t>
      </w:r>
      <w:r>
        <w:rPr>
          <w:sz w:val="24"/>
          <w:szCs w:val="24"/>
          <w:lang w:val="el-GR"/>
        </w:rPr>
        <w:t>μέσω της συγκεκριμένης διαδικασίας συμμόρφωσης της</w:t>
      </w:r>
      <w:r w:rsidR="00220066" w:rsidRPr="00C365A4">
        <w:rPr>
          <w:sz w:val="24"/>
          <w:szCs w:val="24"/>
          <w:lang w:val="el-GR"/>
        </w:rPr>
        <w:t xml:space="preserve">. </w:t>
      </w:r>
    </w:p>
    <w:p w14:paraId="37302200" w14:textId="77777777" w:rsidR="00220066" w:rsidRPr="00C365A4" w:rsidRDefault="00220066" w:rsidP="00220066">
      <w:pPr>
        <w:tabs>
          <w:tab w:val="left" w:pos="709"/>
        </w:tabs>
        <w:rPr>
          <w:rFonts w:cstheme="minorHAnsi"/>
          <w:sz w:val="24"/>
          <w:szCs w:val="24"/>
          <w:lang w:val="el-GR"/>
        </w:rPr>
      </w:pPr>
    </w:p>
    <w:p w14:paraId="49A3E4C7" w14:textId="78B3B7E8" w:rsidR="0010115C" w:rsidRPr="00747775" w:rsidRDefault="00C365A4" w:rsidP="0010115C">
      <w:pPr>
        <w:numPr>
          <w:ilvl w:val="0"/>
          <w:numId w:val="1"/>
        </w:numPr>
        <w:tabs>
          <w:tab w:val="left" w:pos="709"/>
        </w:tabs>
        <w:ind w:left="0" w:firstLine="0"/>
        <w:rPr>
          <w:rFonts w:cstheme="minorHAnsi"/>
          <w:sz w:val="24"/>
          <w:szCs w:val="24"/>
          <w:lang w:val="el-GR"/>
        </w:rPr>
      </w:pPr>
      <w:r>
        <w:rPr>
          <w:sz w:val="24"/>
          <w:szCs w:val="24"/>
          <w:lang w:val="el-GR"/>
        </w:rPr>
        <w:t>Η</w:t>
      </w:r>
      <w:r w:rsidRPr="00C365A4">
        <w:rPr>
          <w:sz w:val="24"/>
          <w:szCs w:val="24"/>
          <w:lang w:val="el-GR"/>
        </w:rPr>
        <w:t xml:space="preserve"> </w:t>
      </w:r>
      <w:r w:rsidR="00220066" w:rsidRPr="004E251E">
        <w:rPr>
          <w:sz w:val="24"/>
          <w:szCs w:val="24"/>
        </w:rPr>
        <w:t>GRECO</w:t>
      </w:r>
      <w:r w:rsidR="00220066" w:rsidRPr="00C365A4">
        <w:rPr>
          <w:sz w:val="24"/>
          <w:szCs w:val="24"/>
          <w:lang w:val="el-GR"/>
        </w:rPr>
        <w:t xml:space="preserve"> </w:t>
      </w:r>
      <w:r>
        <w:rPr>
          <w:sz w:val="24"/>
          <w:szCs w:val="24"/>
          <w:lang w:val="el-GR"/>
        </w:rPr>
        <w:t>καλεί</w:t>
      </w:r>
      <w:r w:rsidRPr="00C365A4">
        <w:rPr>
          <w:sz w:val="24"/>
          <w:szCs w:val="24"/>
          <w:lang w:val="el-GR"/>
        </w:rPr>
        <w:t xml:space="preserve"> </w:t>
      </w:r>
      <w:r>
        <w:rPr>
          <w:sz w:val="24"/>
          <w:szCs w:val="24"/>
          <w:lang w:val="el-GR"/>
        </w:rPr>
        <w:t>τις</w:t>
      </w:r>
      <w:r w:rsidRPr="00C365A4">
        <w:rPr>
          <w:sz w:val="24"/>
          <w:szCs w:val="24"/>
          <w:lang w:val="el-GR"/>
        </w:rPr>
        <w:t xml:space="preserve"> </w:t>
      </w:r>
      <w:r>
        <w:rPr>
          <w:sz w:val="24"/>
          <w:szCs w:val="24"/>
          <w:lang w:val="el-GR"/>
        </w:rPr>
        <w:t>αρχές</w:t>
      </w:r>
      <w:r w:rsidRPr="00C365A4">
        <w:rPr>
          <w:sz w:val="24"/>
          <w:szCs w:val="24"/>
          <w:lang w:val="el-GR"/>
        </w:rPr>
        <w:t xml:space="preserve"> </w:t>
      </w:r>
      <w:r>
        <w:rPr>
          <w:sz w:val="24"/>
          <w:szCs w:val="24"/>
          <w:lang w:val="el-GR"/>
        </w:rPr>
        <w:t>της</w:t>
      </w:r>
      <w:r w:rsidRPr="00C365A4">
        <w:rPr>
          <w:sz w:val="24"/>
          <w:szCs w:val="24"/>
          <w:lang w:val="el-GR"/>
        </w:rPr>
        <w:t xml:space="preserve"> </w:t>
      </w:r>
      <w:r>
        <w:rPr>
          <w:sz w:val="24"/>
          <w:szCs w:val="24"/>
          <w:lang w:val="el-GR"/>
        </w:rPr>
        <w:t>Κύπρου</w:t>
      </w:r>
      <w:r w:rsidR="00220066" w:rsidRPr="00C365A4">
        <w:rPr>
          <w:sz w:val="24"/>
          <w:szCs w:val="24"/>
          <w:lang w:val="el-GR"/>
        </w:rPr>
        <w:t xml:space="preserve"> </w:t>
      </w:r>
      <w:r>
        <w:rPr>
          <w:sz w:val="24"/>
          <w:szCs w:val="24"/>
          <w:lang w:val="el-GR"/>
        </w:rPr>
        <w:t>να</w:t>
      </w:r>
      <w:r w:rsidRPr="00C365A4">
        <w:rPr>
          <w:sz w:val="24"/>
          <w:szCs w:val="24"/>
          <w:lang w:val="el-GR"/>
        </w:rPr>
        <w:t xml:space="preserve"> </w:t>
      </w:r>
      <w:r>
        <w:rPr>
          <w:sz w:val="24"/>
          <w:szCs w:val="24"/>
          <w:lang w:val="el-GR"/>
        </w:rPr>
        <w:t>εξουσιοδοτήσουν</w:t>
      </w:r>
      <w:r w:rsidR="00220066" w:rsidRPr="00C365A4">
        <w:rPr>
          <w:sz w:val="24"/>
          <w:szCs w:val="24"/>
          <w:lang w:val="el-GR"/>
        </w:rPr>
        <w:t xml:space="preserve">, </w:t>
      </w:r>
      <w:r>
        <w:rPr>
          <w:sz w:val="24"/>
          <w:szCs w:val="24"/>
          <w:lang w:val="el-GR"/>
        </w:rPr>
        <w:t>όσο το δυνατόν συντομότερα</w:t>
      </w:r>
      <w:r w:rsidR="00220066" w:rsidRPr="00C365A4">
        <w:rPr>
          <w:sz w:val="24"/>
          <w:szCs w:val="24"/>
          <w:lang w:val="el-GR"/>
        </w:rPr>
        <w:t xml:space="preserve">, </w:t>
      </w:r>
      <w:r>
        <w:rPr>
          <w:sz w:val="24"/>
          <w:szCs w:val="24"/>
          <w:lang w:val="el-GR"/>
        </w:rPr>
        <w:t>την</w:t>
      </w:r>
      <w:r w:rsidRPr="00C365A4">
        <w:rPr>
          <w:sz w:val="24"/>
          <w:szCs w:val="24"/>
          <w:lang w:val="el-GR"/>
        </w:rPr>
        <w:t xml:space="preserve"> </w:t>
      </w:r>
      <w:r>
        <w:rPr>
          <w:sz w:val="24"/>
          <w:szCs w:val="24"/>
          <w:lang w:val="el-GR"/>
        </w:rPr>
        <w:t>δημοσίευση</w:t>
      </w:r>
      <w:r w:rsidRPr="00C365A4">
        <w:rPr>
          <w:sz w:val="24"/>
          <w:szCs w:val="24"/>
          <w:lang w:val="el-GR"/>
        </w:rPr>
        <w:t xml:space="preserve"> </w:t>
      </w:r>
      <w:r>
        <w:rPr>
          <w:sz w:val="24"/>
          <w:szCs w:val="24"/>
          <w:lang w:val="el-GR"/>
        </w:rPr>
        <w:t>της</w:t>
      </w:r>
      <w:r w:rsidRPr="00C365A4">
        <w:rPr>
          <w:sz w:val="24"/>
          <w:szCs w:val="24"/>
          <w:lang w:val="el-GR"/>
        </w:rPr>
        <w:t xml:space="preserve"> </w:t>
      </w:r>
      <w:r>
        <w:rPr>
          <w:sz w:val="24"/>
          <w:szCs w:val="24"/>
          <w:lang w:val="el-GR"/>
        </w:rPr>
        <w:t>έκθεσης</w:t>
      </w:r>
      <w:r w:rsidRPr="00C365A4">
        <w:rPr>
          <w:sz w:val="24"/>
          <w:szCs w:val="24"/>
          <w:lang w:val="el-GR"/>
        </w:rPr>
        <w:t xml:space="preserve"> </w:t>
      </w:r>
      <w:r>
        <w:rPr>
          <w:sz w:val="24"/>
          <w:szCs w:val="24"/>
          <w:lang w:val="el-GR"/>
        </w:rPr>
        <w:t>αυτής</w:t>
      </w:r>
      <w:r w:rsidR="00220066" w:rsidRPr="00C365A4">
        <w:rPr>
          <w:sz w:val="24"/>
          <w:szCs w:val="24"/>
          <w:lang w:val="el-GR"/>
        </w:rPr>
        <w:t xml:space="preserve">, </w:t>
      </w:r>
      <w:r>
        <w:rPr>
          <w:sz w:val="24"/>
          <w:szCs w:val="24"/>
          <w:lang w:val="el-GR"/>
        </w:rPr>
        <w:t>και</w:t>
      </w:r>
      <w:r w:rsidRPr="00C365A4">
        <w:rPr>
          <w:sz w:val="24"/>
          <w:szCs w:val="24"/>
          <w:lang w:val="el-GR"/>
        </w:rPr>
        <w:t xml:space="preserve"> </w:t>
      </w:r>
      <w:r>
        <w:rPr>
          <w:sz w:val="24"/>
          <w:szCs w:val="24"/>
          <w:lang w:val="el-GR"/>
        </w:rPr>
        <w:t>να</w:t>
      </w:r>
      <w:r w:rsidRPr="00C365A4">
        <w:rPr>
          <w:sz w:val="24"/>
          <w:szCs w:val="24"/>
          <w:lang w:val="el-GR"/>
        </w:rPr>
        <w:t xml:space="preserve"> </w:t>
      </w:r>
      <w:r>
        <w:rPr>
          <w:sz w:val="24"/>
          <w:szCs w:val="24"/>
          <w:lang w:val="el-GR"/>
        </w:rPr>
        <w:t>κάνουν</w:t>
      </w:r>
      <w:r w:rsidRPr="00C365A4">
        <w:rPr>
          <w:sz w:val="24"/>
          <w:szCs w:val="24"/>
          <w:lang w:val="el-GR"/>
        </w:rPr>
        <w:t xml:space="preserve"> </w:t>
      </w:r>
      <w:r>
        <w:rPr>
          <w:sz w:val="24"/>
          <w:szCs w:val="24"/>
          <w:lang w:val="el-GR"/>
        </w:rPr>
        <w:t>μια</w:t>
      </w:r>
      <w:r w:rsidRPr="00C365A4">
        <w:rPr>
          <w:sz w:val="24"/>
          <w:szCs w:val="24"/>
          <w:lang w:val="el-GR"/>
        </w:rPr>
        <w:t xml:space="preserve"> </w:t>
      </w:r>
      <w:r>
        <w:rPr>
          <w:sz w:val="24"/>
          <w:szCs w:val="24"/>
          <w:lang w:val="el-GR"/>
        </w:rPr>
        <w:t>μετάφραση της στην εθνική γλώσσα</w:t>
      </w:r>
      <w:r w:rsidR="00220066" w:rsidRPr="00C365A4">
        <w:rPr>
          <w:sz w:val="24"/>
          <w:szCs w:val="24"/>
          <w:lang w:val="el-GR"/>
        </w:rPr>
        <w:t xml:space="preserve"> </w:t>
      </w:r>
      <w:r>
        <w:rPr>
          <w:sz w:val="24"/>
          <w:szCs w:val="24"/>
          <w:lang w:val="el-GR"/>
        </w:rPr>
        <w:t>που να είναι διαθέσιμη στο κοινό</w:t>
      </w:r>
      <w:r w:rsidR="00220066" w:rsidRPr="00C365A4">
        <w:rPr>
          <w:sz w:val="24"/>
          <w:szCs w:val="24"/>
          <w:lang w:val="el-GR"/>
        </w:rPr>
        <w:t xml:space="preserve">. </w:t>
      </w:r>
    </w:p>
    <w:p w14:paraId="70C7C953" w14:textId="77777777" w:rsidR="00747775" w:rsidRDefault="00747775" w:rsidP="00747775">
      <w:pPr>
        <w:pStyle w:val="ListParagraph"/>
        <w:rPr>
          <w:rFonts w:cstheme="minorHAnsi"/>
          <w:sz w:val="24"/>
          <w:szCs w:val="24"/>
          <w:lang w:val="el-GR"/>
        </w:rPr>
      </w:pPr>
    </w:p>
    <w:tbl>
      <w:tblPr>
        <w:tblStyle w:val="TableGrid"/>
        <w:tblW w:w="9351" w:type="dxa"/>
        <w:tblLook w:val="04A0" w:firstRow="1" w:lastRow="0" w:firstColumn="1" w:lastColumn="0" w:noHBand="0" w:noVBand="1"/>
      </w:tblPr>
      <w:tblGrid>
        <w:gridCol w:w="9351"/>
      </w:tblGrid>
      <w:tr w:rsidR="00747775" w:rsidRPr="00522AD3" w14:paraId="571C6233" w14:textId="77777777" w:rsidTr="00432F14">
        <w:tc>
          <w:tcPr>
            <w:tcW w:w="9351" w:type="dxa"/>
          </w:tcPr>
          <w:p w14:paraId="48F262B0" w14:textId="77CE74B6" w:rsidR="00747775" w:rsidRPr="00747775" w:rsidRDefault="00747775" w:rsidP="00432F14">
            <w:pPr>
              <w:spacing w:line="280" w:lineRule="atLeast"/>
              <w:rPr>
                <w:rFonts w:ascii="Tahoma" w:eastAsia="SimSun" w:hAnsi="Tahoma" w:cs="Tahoma"/>
                <w:lang w:val="el-GR" w:eastAsia="zh-CN"/>
              </w:rPr>
            </w:pPr>
            <w:r>
              <w:rPr>
                <w:rFonts w:ascii="Tahoma" w:eastAsia="SimSun" w:hAnsi="Tahoma" w:cs="Tahoma"/>
                <w:lang w:val="el-GR" w:eastAsia="zh-CN"/>
              </w:rPr>
              <w:t>Αριθμός Απόδειξης: 0725</w:t>
            </w:r>
            <w:r w:rsidRPr="00747775">
              <w:rPr>
                <w:rFonts w:ascii="Tahoma" w:eastAsia="SimSun" w:hAnsi="Tahoma" w:cs="Tahoma"/>
                <w:lang w:val="el-GR" w:eastAsia="zh-CN"/>
              </w:rPr>
              <w:t xml:space="preserve">                                    </w:t>
            </w:r>
            <w:r w:rsidRPr="00747775">
              <w:rPr>
                <w:rFonts w:ascii="Tahoma" w:eastAsia="SimSun" w:hAnsi="Tahoma" w:cs="Tahoma"/>
                <w:lang w:val="el-GR" w:eastAsia="zh-CN"/>
              </w:rPr>
              <w:tab/>
            </w:r>
            <w:r w:rsidRPr="00747775">
              <w:rPr>
                <w:rFonts w:ascii="Tahoma" w:eastAsia="SimSun" w:hAnsi="Tahoma" w:cs="Tahoma"/>
                <w:lang w:val="el-GR" w:eastAsia="zh-CN"/>
              </w:rPr>
              <w:tab/>
            </w:r>
            <w:r w:rsidRPr="00747775">
              <w:rPr>
                <w:rFonts w:ascii="Tahoma" w:eastAsia="SimSun" w:hAnsi="Tahoma" w:cs="Tahoma"/>
                <w:lang w:val="el-GR" w:eastAsia="zh-CN"/>
              </w:rPr>
              <w:tab/>
              <w:t xml:space="preserve">Ημερομηνία: </w:t>
            </w:r>
            <w:r w:rsidRPr="00432F14">
              <w:rPr>
                <w:rFonts w:ascii="Tahoma" w:eastAsia="SimSun" w:hAnsi="Tahoma" w:cs="Tahoma"/>
                <w:lang w:val="el-GR" w:eastAsia="zh-CN"/>
              </w:rPr>
              <w:t>05</w:t>
            </w:r>
            <w:r w:rsidRPr="00747775">
              <w:rPr>
                <w:rFonts w:ascii="Tahoma" w:eastAsia="SimSun" w:hAnsi="Tahoma" w:cs="Tahoma"/>
                <w:lang w:val="el-GR" w:eastAsia="zh-CN"/>
              </w:rPr>
              <w:t>/</w:t>
            </w:r>
            <w:r w:rsidRPr="00432F14">
              <w:rPr>
                <w:rFonts w:ascii="Tahoma" w:eastAsia="SimSun" w:hAnsi="Tahoma" w:cs="Tahoma"/>
                <w:lang w:val="el-GR" w:eastAsia="zh-CN"/>
              </w:rPr>
              <w:t>09</w:t>
            </w:r>
            <w:r w:rsidRPr="00747775">
              <w:rPr>
                <w:rFonts w:ascii="Tahoma" w:eastAsia="SimSun" w:hAnsi="Tahoma" w:cs="Tahoma"/>
                <w:lang w:val="el-GR" w:eastAsia="zh-CN"/>
              </w:rPr>
              <w:t>/2023</w:t>
            </w:r>
          </w:p>
          <w:p w14:paraId="15C0CF18" w14:textId="77777777" w:rsidR="00747775" w:rsidRPr="00747775" w:rsidRDefault="00747775" w:rsidP="00432F14">
            <w:pPr>
              <w:spacing w:line="280" w:lineRule="atLeast"/>
              <w:rPr>
                <w:rFonts w:ascii="Tahoma" w:eastAsia="SimSun" w:hAnsi="Tahoma" w:cs="Tahoma"/>
                <w:lang w:val="el-GR" w:eastAsia="zh-CN"/>
              </w:rPr>
            </w:pPr>
            <w:r w:rsidRPr="00747775">
              <w:rPr>
                <w:rFonts w:ascii="Tahoma" w:eastAsia="SimSun" w:hAnsi="Tahoma" w:cs="Tahoma"/>
                <w:lang w:val="el-GR" w:eastAsia="zh-CN"/>
              </w:rPr>
              <w:t>Σύμφωνα με την εξουσία που μου παρέχει ο περί Εγγραφής και Ρύθμισης των Υπηρεσιών του Ορκωτού Μεταφραστή στην Κυπριακή Δημοκρατία Νόμος του 2019 (45(Ι)/2019), πιστοποιώ ότι το παρόν κείμενο στη ΕΛΛΗΝΙΚΗ, αποτελεί την ορθή και ακριβή μετάφραση του συνημμένου εγγράφου στην ΑΓΓΛΙΚΗ γλώσσα.</w:t>
            </w:r>
          </w:p>
          <w:p w14:paraId="20D58C16" w14:textId="77777777" w:rsidR="00747775" w:rsidRPr="00747775" w:rsidRDefault="00747775" w:rsidP="00432F14">
            <w:pPr>
              <w:spacing w:line="280" w:lineRule="atLeast"/>
              <w:rPr>
                <w:rFonts w:ascii="Tahoma" w:eastAsia="SimSun" w:hAnsi="Tahoma" w:cs="Tahoma"/>
                <w:lang w:val="el-GR" w:eastAsia="zh-CN"/>
              </w:rPr>
            </w:pPr>
            <w:r w:rsidRPr="00747775">
              <w:rPr>
                <w:rFonts w:ascii="Tahoma" w:eastAsia="SimSun" w:hAnsi="Tahoma" w:cs="Tahoma"/>
                <w:lang w:val="el-GR" w:eastAsia="zh-CN"/>
              </w:rPr>
              <w:t xml:space="preserve">Ονοματεπώνυμο Ορκωτού Μεταφραστή: ΒΑΧΑΝ ΑΙΝΕΤΖΙΑΝ         </w:t>
            </w:r>
            <w:r w:rsidRPr="00747775">
              <w:rPr>
                <w:rFonts w:ascii="Tahoma" w:eastAsia="SimSun" w:hAnsi="Tahoma" w:cs="Tahoma"/>
                <w:lang w:val="el-GR" w:eastAsia="zh-CN"/>
              </w:rPr>
              <w:tab/>
              <w:t>Αριθμός Μητρώου: 001</w:t>
            </w:r>
          </w:p>
          <w:p w14:paraId="3B6BDC98" w14:textId="77777777" w:rsidR="00747775" w:rsidRPr="00747775" w:rsidRDefault="00747775" w:rsidP="00432F14">
            <w:pPr>
              <w:spacing w:line="280" w:lineRule="atLeast"/>
              <w:rPr>
                <w:rFonts w:ascii="Tahoma" w:eastAsia="SimSun" w:hAnsi="Tahoma" w:cs="Tahoma"/>
                <w:lang w:val="el-GR" w:eastAsia="zh-CN"/>
              </w:rPr>
            </w:pPr>
            <w:r w:rsidRPr="00747775">
              <w:rPr>
                <w:rFonts w:ascii="Tahoma" w:eastAsia="SimSun" w:hAnsi="Tahoma" w:cs="Tahoma"/>
                <w:lang w:val="el-GR" w:eastAsia="zh-CN"/>
              </w:rPr>
              <w:t>Εγκεκριμένος γλωσσικός συνδυασμός: ΑΓΓΛΙΚΑ-ΕΛΛΗΝΙΚΑ</w:t>
            </w:r>
            <w:r w:rsidRPr="00747775">
              <w:rPr>
                <w:rFonts w:ascii="Tahoma" w:eastAsia="SimSun" w:hAnsi="Tahoma" w:cs="Tahoma"/>
                <w:lang w:val="el-GR" w:eastAsia="zh-CN"/>
              </w:rPr>
              <w:tab/>
              <w:t xml:space="preserve"> </w:t>
            </w:r>
            <w:r w:rsidRPr="00747775">
              <w:rPr>
                <w:rFonts w:ascii="Tahoma" w:eastAsia="SimSun" w:hAnsi="Tahoma" w:cs="Tahoma"/>
                <w:lang w:val="el-GR" w:eastAsia="zh-CN"/>
              </w:rPr>
              <w:tab/>
              <w:t>Χαρτόσημο: 2€</w:t>
            </w:r>
          </w:p>
          <w:p w14:paraId="33FA7A54" w14:textId="77777777" w:rsidR="00747775" w:rsidRPr="00747775" w:rsidRDefault="00747775" w:rsidP="00432F14">
            <w:pPr>
              <w:spacing w:line="280" w:lineRule="atLeast"/>
              <w:rPr>
                <w:rFonts w:ascii="Tahoma" w:eastAsia="SimSun" w:hAnsi="Tahoma" w:cs="Tahoma"/>
                <w:lang w:val="el-GR" w:eastAsia="zh-CN"/>
              </w:rPr>
            </w:pPr>
            <w:r w:rsidRPr="00747775">
              <w:rPr>
                <w:rFonts w:ascii="Tahoma" w:eastAsia="SimSun" w:hAnsi="Tahoma" w:cs="Tahoma"/>
                <w:lang w:val="el-GR" w:eastAsia="zh-CN"/>
              </w:rPr>
              <w:t>Στοιχεία Επικοινωνίας Ορκωτού Μεταφραστή: 22353860 99627867</w:t>
            </w:r>
            <w:r w:rsidRPr="00747775">
              <w:rPr>
                <w:rFonts w:ascii="Tahoma" w:eastAsia="SimSun" w:hAnsi="Tahoma" w:cs="Tahoma"/>
                <w:lang w:val="el-GR" w:eastAsia="zh-CN"/>
              </w:rPr>
              <w:tab/>
            </w:r>
          </w:p>
          <w:p w14:paraId="2B33AA74" w14:textId="77777777" w:rsidR="00747775" w:rsidRPr="00747775" w:rsidRDefault="00747775" w:rsidP="00432F14">
            <w:pPr>
              <w:spacing w:line="280" w:lineRule="atLeast"/>
              <w:rPr>
                <w:rFonts w:ascii="Tahoma" w:eastAsia="SimSun" w:hAnsi="Tahoma" w:cs="Tahoma"/>
                <w:lang w:val="el-GR" w:eastAsia="zh-CN"/>
              </w:rPr>
            </w:pPr>
            <w:r w:rsidRPr="00747775">
              <w:rPr>
                <w:rFonts w:ascii="Tahoma" w:eastAsia="SimSun" w:hAnsi="Tahoma" w:cs="Tahoma"/>
                <w:lang w:val="el-GR" w:eastAsia="zh-CN"/>
              </w:rPr>
              <w:t xml:space="preserve">Ηλεκτρ. Διεύθυνση: </w:t>
            </w:r>
            <w:proofErr w:type="spellStart"/>
            <w:r>
              <w:rPr>
                <w:rFonts w:ascii="Tahoma" w:eastAsia="SimSun" w:hAnsi="Tahoma" w:cs="Tahoma"/>
                <w:lang w:eastAsia="zh-CN"/>
              </w:rPr>
              <w:t>pappagallo</w:t>
            </w:r>
            <w:proofErr w:type="spellEnd"/>
            <w:r w:rsidRPr="00747775">
              <w:rPr>
                <w:rFonts w:ascii="Tahoma" w:eastAsia="SimSun" w:hAnsi="Tahoma" w:cs="Tahoma"/>
                <w:lang w:val="el-GR" w:eastAsia="zh-CN"/>
              </w:rPr>
              <w:t>@</w:t>
            </w:r>
            <w:proofErr w:type="spellStart"/>
            <w:r>
              <w:rPr>
                <w:rFonts w:ascii="Tahoma" w:eastAsia="SimSun" w:hAnsi="Tahoma" w:cs="Tahoma"/>
                <w:lang w:eastAsia="zh-CN"/>
              </w:rPr>
              <w:t>cytanet</w:t>
            </w:r>
            <w:proofErr w:type="spellEnd"/>
            <w:r w:rsidRPr="00747775">
              <w:rPr>
                <w:rFonts w:ascii="Tahoma" w:eastAsia="SimSun" w:hAnsi="Tahoma" w:cs="Tahoma"/>
                <w:lang w:val="el-GR" w:eastAsia="zh-CN"/>
              </w:rPr>
              <w:t>.</w:t>
            </w:r>
            <w:r>
              <w:rPr>
                <w:rFonts w:ascii="Tahoma" w:eastAsia="SimSun" w:hAnsi="Tahoma" w:cs="Tahoma"/>
                <w:lang w:eastAsia="zh-CN"/>
              </w:rPr>
              <w:t>com</w:t>
            </w:r>
            <w:r w:rsidRPr="00747775">
              <w:rPr>
                <w:rFonts w:ascii="Tahoma" w:eastAsia="SimSun" w:hAnsi="Tahoma" w:cs="Tahoma"/>
                <w:lang w:val="el-GR" w:eastAsia="zh-CN"/>
              </w:rPr>
              <w:t>.</w:t>
            </w:r>
            <w:r>
              <w:rPr>
                <w:rFonts w:ascii="Tahoma" w:eastAsia="SimSun" w:hAnsi="Tahoma" w:cs="Tahoma"/>
                <w:lang w:eastAsia="zh-CN"/>
              </w:rPr>
              <w:t>cy</w:t>
            </w:r>
            <w:r w:rsidRPr="00747775">
              <w:rPr>
                <w:rFonts w:ascii="Tahoma" w:eastAsia="SimSun" w:hAnsi="Tahoma" w:cs="Tahoma"/>
                <w:lang w:val="el-GR" w:eastAsia="zh-CN"/>
              </w:rPr>
              <w:t xml:space="preserve">                          Υπογραφή: …………………</w:t>
            </w:r>
          </w:p>
          <w:p w14:paraId="781EF7FB" w14:textId="77777777" w:rsidR="00747775" w:rsidRPr="00747775" w:rsidRDefault="00747775" w:rsidP="00432F14">
            <w:pPr>
              <w:spacing w:line="280" w:lineRule="atLeast"/>
              <w:rPr>
                <w:lang w:val="el-GR"/>
              </w:rPr>
            </w:pPr>
          </w:p>
        </w:tc>
      </w:tr>
      <w:bookmarkEnd w:id="5"/>
      <w:bookmarkEnd w:id="6"/>
    </w:tbl>
    <w:p w14:paraId="2F8C823B" w14:textId="77777777" w:rsidR="00F50D1C" w:rsidRPr="00C365A4" w:rsidRDefault="00F50D1C" w:rsidP="0010115C">
      <w:pPr>
        <w:numPr>
          <w:ilvl w:val="0"/>
          <w:numId w:val="1"/>
        </w:numPr>
        <w:tabs>
          <w:tab w:val="left" w:pos="709"/>
        </w:tabs>
        <w:ind w:left="0" w:firstLine="0"/>
        <w:rPr>
          <w:rFonts w:cstheme="minorHAnsi"/>
          <w:sz w:val="24"/>
          <w:szCs w:val="24"/>
          <w:lang w:val="el-GR"/>
        </w:rPr>
        <w:sectPr w:rsidR="00F50D1C" w:rsidRPr="00C365A4" w:rsidSect="0017592A">
          <w:type w:val="continuous"/>
          <w:pgSz w:w="11906" w:h="16838" w:code="9"/>
          <w:pgMar w:top="1134" w:right="1418" w:bottom="1134" w:left="1418" w:header="567" w:footer="567" w:gutter="0"/>
          <w:cols w:space="708"/>
          <w:docGrid w:linePitch="360"/>
        </w:sectPr>
      </w:pPr>
    </w:p>
    <w:p w14:paraId="3C6CE667" w14:textId="67BD7D25" w:rsidR="005F619A" w:rsidRPr="004E251E" w:rsidRDefault="000B39E8" w:rsidP="0010115C">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ind w:left="284" w:right="243"/>
        <w:jc w:val="center"/>
        <w:rPr>
          <w:rFonts w:asciiTheme="minorHAnsi" w:hAnsiTheme="minorHAnsi"/>
          <w:color w:val="auto"/>
          <w:sz w:val="22"/>
          <w:szCs w:val="22"/>
        </w:rPr>
      </w:pPr>
      <w:bookmarkStart w:id="264" w:name="_Toc484161417"/>
      <w:bookmarkStart w:id="265" w:name="_Toc484527893"/>
      <w:bookmarkStart w:id="266" w:name="_Toc484528847"/>
      <w:bookmarkStart w:id="267" w:name="_Toc489353280"/>
      <w:bookmarkStart w:id="268" w:name="_Toc492886045"/>
      <w:bookmarkStart w:id="269" w:name="_Toc492886150"/>
      <w:bookmarkStart w:id="270" w:name="_Toc520889749"/>
      <w:bookmarkStart w:id="271" w:name="_Toc530642538"/>
      <w:bookmarkStart w:id="272" w:name="_Toc530666029"/>
      <w:bookmarkStart w:id="273" w:name="_Toc2067979"/>
      <w:bookmarkStart w:id="274" w:name="_Toc39401724"/>
      <w:bookmarkStart w:id="275" w:name="_Toc55300318"/>
      <w:bookmarkStart w:id="276" w:name="_Toc62057728"/>
      <w:bookmarkStart w:id="277" w:name="_Toc62062849"/>
      <w:bookmarkStart w:id="278" w:name="_Toc63532683"/>
      <w:bookmarkStart w:id="279" w:name="_Toc67830025"/>
      <w:bookmarkStart w:id="280" w:name="_Toc94799638"/>
      <w:bookmarkStart w:id="281" w:name="_Toc99545201"/>
      <w:bookmarkStart w:id="282" w:name="_Toc99959555"/>
      <w:bookmarkStart w:id="283" w:name="_Toc99960136"/>
      <w:bookmarkStart w:id="284" w:name="_Toc99978760"/>
      <w:bookmarkStart w:id="285" w:name="_Toc101870262"/>
      <w:bookmarkStart w:id="286" w:name="_Toc107474314"/>
      <w:bookmarkStart w:id="287" w:name="_Toc107566659"/>
      <w:bookmarkStart w:id="288" w:name="_Toc110430350"/>
      <w:bookmarkStart w:id="289" w:name="_Toc115870555"/>
      <w:bookmarkStart w:id="290" w:name="_Toc136879393"/>
      <w:r w:rsidRPr="0054642D">
        <w:rPr>
          <w:noProof/>
          <w:lang w:val="en-US"/>
        </w:rPr>
        <w:lastRenderedPageBreak/>
        <mc:AlternateContent>
          <mc:Choice Requires="wps">
            <w:drawing>
              <wp:anchor distT="0" distB="0" distL="91440" distR="91440" simplePos="0" relativeHeight="251659776" behindDoc="1" locked="0" layoutInCell="1" allowOverlap="1" wp14:anchorId="6B76EA14" wp14:editId="4795869C">
                <wp:simplePos x="0" y="0"/>
                <wp:positionH relativeFrom="margin">
                  <wp:posOffset>-329663</wp:posOffset>
                </wp:positionH>
                <wp:positionV relativeFrom="margin">
                  <wp:posOffset>2484078</wp:posOffset>
                </wp:positionV>
                <wp:extent cx="6200775" cy="467042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0775" cy="4670425"/>
                        </a:xfrm>
                        <a:prstGeom prst="rect">
                          <a:avLst/>
                        </a:prstGeom>
                        <a:noFill/>
                        <a:ln w="6350">
                          <a:noFill/>
                        </a:ln>
                        <a:effectLst/>
                      </wps:spPr>
                      <wps:txbx>
                        <w:txbxContent>
                          <w:p w14:paraId="74199F0D" w14:textId="58568B32" w:rsidR="00071F64" w:rsidRPr="00231837" w:rsidRDefault="00071F64" w:rsidP="000B39E8">
                            <w:pPr>
                              <w:pStyle w:val="Quote"/>
                              <w:pBdr>
                                <w:top w:val="single" w:sz="48" w:space="8" w:color="4F81BD"/>
                                <w:bottom w:val="single" w:sz="48" w:space="8" w:color="4F81BD"/>
                              </w:pBdr>
                              <w:spacing w:before="160" w:after="160" w:line="300" w:lineRule="auto"/>
                              <w:ind w:left="720" w:right="720"/>
                              <w:jc w:val="center"/>
                              <w:rPr>
                                <w:rFonts w:cstheme="minorHAnsi"/>
                                <w:b/>
                                <w:i w:val="0"/>
                                <w:color w:val="4F81BD"/>
                                <w:lang w:val="el-GR"/>
                              </w:rPr>
                            </w:pPr>
                            <w:r w:rsidRPr="00231837">
                              <w:rPr>
                                <w:rFonts w:asciiTheme="minorHAnsi" w:hAnsiTheme="minorHAnsi" w:cstheme="minorHAnsi"/>
                                <w:b/>
                                <w:i w:val="0"/>
                                <w:color w:val="4F81BD"/>
                                <w:lang w:val="el-GR"/>
                              </w:rPr>
                              <w:br/>
                            </w:r>
                            <w:r>
                              <w:rPr>
                                <w:rFonts w:cstheme="minorHAnsi"/>
                                <w:b/>
                                <w:i w:val="0"/>
                                <w:color w:val="4F81BD"/>
                                <w:lang w:val="el-GR"/>
                              </w:rPr>
                              <w:t>Για την</w:t>
                            </w:r>
                            <w:r w:rsidRPr="00231837">
                              <w:rPr>
                                <w:rFonts w:cstheme="minorHAnsi"/>
                                <w:b/>
                                <w:i w:val="0"/>
                                <w:color w:val="4F81BD"/>
                                <w:lang w:val="el-GR"/>
                              </w:rPr>
                              <w:t xml:space="preserve"> </w:t>
                            </w:r>
                            <w:r w:rsidRPr="007E5A21">
                              <w:rPr>
                                <w:rFonts w:cstheme="minorHAnsi"/>
                                <w:b/>
                                <w:i w:val="0"/>
                                <w:color w:val="4F81BD"/>
                              </w:rPr>
                              <w:t>GRECO</w:t>
                            </w:r>
                          </w:p>
                          <w:p w14:paraId="15F7B6AD" w14:textId="7FE6FC37" w:rsidR="00071F64" w:rsidRPr="001C6A40" w:rsidRDefault="00071F64" w:rsidP="000B39E8">
                            <w:pPr>
                              <w:pStyle w:val="Quote"/>
                              <w:pBdr>
                                <w:top w:val="single" w:sz="48" w:space="8" w:color="4F81BD"/>
                                <w:bottom w:val="single" w:sz="48" w:space="8" w:color="4F81BD"/>
                              </w:pBdr>
                              <w:spacing w:before="160" w:after="160" w:line="300" w:lineRule="auto"/>
                              <w:ind w:left="720" w:right="720"/>
                              <w:rPr>
                                <w:rFonts w:cstheme="minorHAnsi"/>
                                <w:i w:val="0"/>
                                <w:color w:val="4F81BD"/>
                                <w:lang w:val="el-GR"/>
                              </w:rPr>
                            </w:pPr>
                            <w:r>
                              <w:rPr>
                                <w:rFonts w:cstheme="minorHAnsi"/>
                                <w:i w:val="0"/>
                                <w:color w:val="4F81BD"/>
                                <w:lang w:val="el-GR"/>
                              </w:rPr>
                              <w:t>Η</w:t>
                            </w:r>
                            <w:r w:rsidRPr="00C365A4">
                              <w:rPr>
                                <w:rFonts w:cstheme="minorHAnsi"/>
                                <w:i w:val="0"/>
                                <w:color w:val="4F81BD"/>
                                <w:lang w:val="el-GR"/>
                              </w:rPr>
                              <w:t xml:space="preserve"> </w:t>
                            </w:r>
                            <w:r>
                              <w:rPr>
                                <w:rFonts w:cstheme="minorHAnsi"/>
                                <w:i w:val="0"/>
                                <w:color w:val="4F81BD"/>
                                <w:lang w:val="el-GR"/>
                              </w:rPr>
                              <w:t>Ομάδα</w:t>
                            </w:r>
                            <w:r w:rsidRPr="00C365A4">
                              <w:rPr>
                                <w:rFonts w:cstheme="minorHAnsi"/>
                                <w:i w:val="0"/>
                                <w:color w:val="4F81BD"/>
                                <w:lang w:val="el-GR"/>
                              </w:rPr>
                              <w:t xml:space="preserve"> </w:t>
                            </w:r>
                            <w:r>
                              <w:rPr>
                                <w:rFonts w:cstheme="minorHAnsi"/>
                                <w:i w:val="0"/>
                                <w:color w:val="4F81BD"/>
                                <w:lang w:val="el-GR"/>
                              </w:rPr>
                              <w:t>Κρατών</w:t>
                            </w:r>
                            <w:r w:rsidRPr="00C365A4">
                              <w:rPr>
                                <w:rFonts w:cstheme="minorHAnsi"/>
                                <w:i w:val="0"/>
                                <w:color w:val="4F81BD"/>
                                <w:lang w:val="el-GR"/>
                              </w:rPr>
                              <w:t xml:space="preserve"> </w:t>
                            </w:r>
                            <w:r>
                              <w:rPr>
                                <w:rFonts w:cstheme="minorHAnsi"/>
                                <w:i w:val="0"/>
                                <w:color w:val="4F81BD"/>
                                <w:lang w:val="el-GR"/>
                              </w:rPr>
                              <w:t>κατά</w:t>
                            </w:r>
                            <w:r w:rsidRPr="00C365A4">
                              <w:rPr>
                                <w:rFonts w:cstheme="minorHAnsi"/>
                                <w:i w:val="0"/>
                                <w:color w:val="4F81BD"/>
                                <w:lang w:val="el-GR"/>
                              </w:rPr>
                              <w:t xml:space="preserve"> </w:t>
                            </w:r>
                            <w:r>
                              <w:rPr>
                                <w:rFonts w:cstheme="minorHAnsi"/>
                                <w:i w:val="0"/>
                                <w:color w:val="4F81BD"/>
                                <w:lang w:val="el-GR"/>
                              </w:rPr>
                              <w:t>της</w:t>
                            </w:r>
                            <w:r w:rsidRPr="00C365A4">
                              <w:rPr>
                                <w:rFonts w:cstheme="minorHAnsi"/>
                                <w:i w:val="0"/>
                                <w:color w:val="4F81BD"/>
                                <w:lang w:val="el-GR"/>
                              </w:rPr>
                              <w:t xml:space="preserve"> </w:t>
                            </w:r>
                            <w:r>
                              <w:rPr>
                                <w:rFonts w:cstheme="minorHAnsi"/>
                                <w:i w:val="0"/>
                                <w:color w:val="4F81BD"/>
                                <w:lang w:val="el-GR"/>
                              </w:rPr>
                              <w:t>Διαφθοράς</w:t>
                            </w:r>
                            <w:r w:rsidRPr="00C365A4">
                              <w:rPr>
                                <w:rFonts w:cstheme="minorHAnsi"/>
                                <w:i w:val="0"/>
                                <w:color w:val="4F81BD"/>
                                <w:lang w:val="el-GR"/>
                              </w:rPr>
                              <w:t xml:space="preserve"> (</w:t>
                            </w:r>
                            <w:r w:rsidRPr="007E5A21">
                              <w:rPr>
                                <w:rFonts w:cstheme="minorHAnsi"/>
                                <w:i w:val="0"/>
                                <w:color w:val="4F81BD"/>
                              </w:rPr>
                              <w:t>GRECO</w:t>
                            </w:r>
                            <w:r w:rsidRPr="00C365A4">
                              <w:rPr>
                                <w:rFonts w:cstheme="minorHAnsi"/>
                                <w:i w:val="0"/>
                                <w:color w:val="4F81BD"/>
                                <w:lang w:val="el-GR"/>
                              </w:rPr>
                              <w:t xml:space="preserve">) </w:t>
                            </w:r>
                            <w:r>
                              <w:rPr>
                                <w:rFonts w:cstheme="minorHAnsi"/>
                                <w:i w:val="0"/>
                                <w:color w:val="4F81BD"/>
                                <w:lang w:val="el-GR"/>
                              </w:rPr>
                              <w:t>παρακολουθεί την συμμόρφωση</w:t>
                            </w:r>
                            <w:r w:rsidRPr="00C365A4">
                              <w:rPr>
                                <w:rFonts w:cstheme="minorHAnsi"/>
                                <w:i w:val="0"/>
                                <w:color w:val="4F81BD"/>
                                <w:lang w:val="el-GR"/>
                              </w:rPr>
                              <w:t xml:space="preserve"> </w:t>
                            </w:r>
                            <w:r>
                              <w:rPr>
                                <w:rFonts w:cstheme="minorHAnsi"/>
                                <w:i w:val="0"/>
                                <w:color w:val="4F81BD"/>
                                <w:lang w:val="el-GR"/>
                              </w:rPr>
                              <w:t>των κρατών μελών της με τα εργαλεία κατά την διαφθορά του Συμβουλίου της Ευρώπης</w:t>
                            </w:r>
                            <w:r w:rsidRPr="00C365A4">
                              <w:rPr>
                                <w:rFonts w:cstheme="minorHAnsi"/>
                                <w:i w:val="0"/>
                                <w:color w:val="4F81BD"/>
                                <w:lang w:val="el-GR"/>
                              </w:rPr>
                              <w:t xml:space="preserve">. </w:t>
                            </w:r>
                            <w:r>
                              <w:rPr>
                                <w:rFonts w:cstheme="minorHAnsi"/>
                                <w:i w:val="0"/>
                                <w:color w:val="4F81BD"/>
                                <w:lang w:val="el-GR"/>
                              </w:rPr>
                              <w:t>Η</w:t>
                            </w:r>
                            <w:r w:rsidRPr="001C6A40">
                              <w:rPr>
                                <w:rFonts w:cstheme="minorHAnsi"/>
                                <w:i w:val="0"/>
                                <w:color w:val="4F81BD"/>
                                <w:lang w:val="el-GR"/>
                              </w:rPr>
                              <w:t xml:space="preserve"> </w:t>
                            </w:r>
                            <w:r>
                              <w:rPr>
                                <w:rFonts w:cstheme="minorHAnsi"/>
                                <w:i w:val="0"/>
                                <w:color w:val="4F81BD"/>
                                <w:lang w:val="el-GR"/>
                              </w:rPr>
                              <w:t>παρακολούθηση</w:t>
                            </w:r>
                            <w:r w:rsidRPr="001C6A40">
                              <w:rPr>
                                <w:rFonts w:cstheme="minorHAnsi"/>
                                <w:i w:val="0"/>
                                <w:color w:val="4F81BD"/>
                                <w:lang w:val="el-GR"/>
                              </w:rPr>
                              <w:t xml:space="preserve"> </w:t>
                            </w:r>
                            <w:r>
                              <w:rPr>
                                <w:rFonts w:cstheme="minorHAnsi"/>
                                <w:i w:val="0"/>
                                <w:color w:val="4F81BD"/>
                                <w:lang w:val="el-GR"/>
                              </w:rPr>
                              <w:t>της</w:t>
                            </w:r>
                            <w:r w:rsidRPr="001C6A40">
                              <w:rPr>
                                <w:rFonts w:cstheme="minorHAnsi"/>
                                <w:i w:val="0"/>
                                <w:color w:val="4F81BD"/>
                                <w:lang w:val="el-GR"/>
                              </w:rPr>
                              <w:t xml:space="preserve"> </w:t>
                            </w:r>
                            <w:r w:rsidRPr="007E5A21">
                              <w:rPr>
                                <w:rFonts w:cstheme="minorHAnsi"/>
                                <w:i w:val="0"/>
                                <w:color w:val="4F81BD"/>
                              </w:rPr>
                              <w:t>GRECO</w:t>
                            </w:r>
                            <w:r w:rsidRPr="001C6A40">
                              <w:rPr>
                                <w:rFonts w:cstheme="minorHAnsi"/>
                                <w:i w:val="0"/>
                                <w:color w:val="4F81BD"/>
                                <w:lang w:val="el-GR"/>
                              </w:rPr>
                              <w:t xml:space="preserve"> </w:t>
                            </w:r>
                            <w:r>
                              <w:rPr>
                                <w:rFonts w:cstheme="minorHAnsi"/>
                                <w:i w:val="0"/>
                                <w:color w:val="4F81BD"/>
                                <w:lang w:val="el-GR"/>
                              </w:rPr>
                              <w:t>αποτελείται</w:t>
                            </w:r>
                            <w:r w:rsidRPr="001C6A40">
                              <w:rPr>
                                <w:rFonts w:cstheme="minorHAnsi"/>
                                <w:i w:val="0"/>
                                <w:color w:val="4F81BD"/>
                                <w:lang w:val="el-GR"/>
                              </w:rPr>
                              <w:t xml:space="preserve"> </w:t>
                            </w:r>
                            <w:r>
                              <w:rPr>
                                <w:rFonts w:cstheme="minorHAnsi"/>
                                <w:i w:val="0"/>
                                <w:color w:val="4F81BD"/>
                                <w:lang w:val="el-GR"/>
                              </w:rPr>
                              <w:t>από</w:t>
                            </w:r>
                            <w:r w:rsidRPr="001C6A40">
                              <w:rPr>
                                <w:rFonts w:cstheme="minorHAnsi"/>
                                <w:i w:val="0"/>
                                <w:color w:val="4F81BD"/>
                                <w:lang w:val="el-GR"/>
                              </w:rPr>
                              <w:t xml:space="preserve"> </w:t>
                            </w:r>
                            <w:r>
                              <w:rPr>
                                <w:rFonts w:cstheme="minorHAnsi"/>
                                <w:i w:val="0"/>
                                <w:color w:val="4F81BD"/>
                                <w:lang w:val="el-GR"/>
                              </w:rPr>
                              <w:t>μια</w:t>
                            </w:r>
                            <w:r w:rsidRPr="001C6A40">
                              <w:rPr>
                                <w:rFonts w:cstheme="minorHAnsi"/>
                                <w:i w:val="0"/>
                                <w:color w:val="4F81BD"/>
                                <w:lang w:val="el-GR"/>
                              </w:rPr>
                              <w:t xml:space="preserve"> “</w:t>
                            </w:r>
                            <w:r>
                              <w:rPr>
                                <w:rFonts w:cstheme="minorHAnsi"/>
                                <w:i w:val="0"/>
                                <w:color w:val="4F81BD"/>
                                <w:lang w:val="el-GR"/>
                              </w:rPr>
                              <w:t>διαδικασία</w:t>
                            </w:r>
                            <w:r w:rsidRPr="001C6A40">
                              <w:rPr>
                                <w:rFonts w:cstheme="minorHAnsi"/>
                                <w:i w:val="0"/>
                                <w:color w:val="4F81BD"/>
                                <w:lang w:val="el-GR"/>
                              </w:rPr>
                              <w:t xml:space="preserve"> </w:t>
                            </w:r>
                            <w:r>
                              <w:rPr>
                                <w:rFonts w:cstheme="minorHAnsi"/>
                                <w:i w:val="0"/>
                                <w:color w:val="4F81BD"/>
                                <w:lang w:val="el-GR"/>
                              </w:rPr>
                              <w:t>αξιολόγησης</w:t>
                            </w:r>
                            <w:r w:rsidRPr="001C6A40">
                              <w:rPr>
                                <w:rFonts w:cstheme="minorHAnsi"/>
                                <w:i w:val="0"/>
                                <w:color w:val="4F81BD"/>
                                <w:lang w:val="el-GR"/>
                              </w:rPr>
                              <w:t xml:space="preserve">” </w:t>
                            </w:r>
                            <w:r>
                              <w:rPr>
                                <w:rFonts w:cstheme="minorHAnsi"/>
                                <w:i w:val="0"/>
                                <w:color w:val="4F81BD"/>
                                <w:lang w:val="el-GR"/>
                              </w:rPr>
                              <w:t>που</w:t>
                            </w:r>
                            <w:r w:rsidRPr="001C6A40">
                              <w:rPr>
                                <w:rFonts w:cstheme="minorHAnsi"/>
                                <w:i w:val="0"/>
                                <w:color w:val="4F81BD"/>
                                <w:lang w:val="el-GR"/>
                              </w:rPr>
                              <w:t xml:space="preserve"> </w:t>
                            </w:r>
                            <w:r>
                              <w:rPr>
                                <w:rFonts w:cstheme="minorHAnsi"/>
                                <w:i w:val="0"/>
                                <w:color w:val="4F81BD"/>
                                <w:lang w:val="el-GR"/>
                              </w:rPr>
                              <w:t>βασίζεται</w:t>
                            </w:r>
                            <w:r w:rsidRPr="001C6A40">
                              <w:rPr>
                                <w:rFonts w:cstheme="minorHAnsi"/>
                                <w:i w:val="0"/>
                                <w:color w:val="4F81BD"/>
                                <w:lang w:val="el-GR"/>
                              </w:rPr>
                              <w:t xml:space="preserve"> </w:t>
                            </w:r>
                            <w:r>
                              <w:rPr>
                                <w:rFonts w:cstheme="minorHAnsi"/>
                                <w:i w:val="0"/>
                                <w:color w:val="4F81BD"/>
                                <w:lang w:val="el-GR"/>
                              </w:rPr>
                              <w:t>στις</w:t>
                            </w:r>
                            <w:r w:rsidRPr="001C6A40">
                              <w:rPr>
                                <w:rFonts w:cstheme="minorHAnsi"/>
                                <w:i w:val="0"/>
                                <w:color w:val="4F81BD"/>
                                <w:lang w:val="el-GR"/>
                              </w:rPr>
                              <w:t xml:space="preserve"> </w:t>
                            </w:r>
                            <w:r>
                              <w:rPr>
                                <w:rFonts w:cstheme="minorHAnsi"/>
                                <w:i w:val="0"/>
                                <w:color w:val="4F81BD"/>
                                <w:lang w:val="el-GR"/>
                              </w:rPr>
                              <w:t>συγκεκριμένες</w:t>
                            </w:r>
                            <w:r w:rsidRPr="001C6A40">
                              <w:rPr>
                                <w:rFonts w:cstheme="minorHAnsi"/>
                                <w:i w:val="0"/>
                                <w:color w:val="4F81BD"/>
                                <w:lang w:val="el-GR"/>
                              </w:rPr>
                              <w:t xml:space="preserve"> </w:t>
                            </w:r>
                            <w:r>
                              <w:rPr>
                                <w:rFonts w:cstheme="minorHAnsi"/>
                                <w:i w:val="0"/>
                                <w:color w:val="4F81BD"/>
                                <w:lang w:val="el-GR"/>
                              </w:rPr>
                              <w:t>απαντήσεις</w:t>
                            </w:r>
                            <w:r w:rsidRPr="001C6A40">
                              <w:rPr>
                                <w:rFonts w:cstheme="minorHAnsi"/>
                                <w:i w:val="0"/>
                                <w:color w:val="4F81BD"/>
                                <w:lang w:val="el-GR"/>
                              </w:rPr>
                              <w:t xml:space="preserve"> </w:t>
                            </w:r>
                            <w:r>
                              <w:rPr>
                                <w:rFonts w:cstheme="minorHAnsi"/>
                                <w:i w:val="0"/>
                                <w:color w:val="4F81BD"/>
                                <w:lang w:val="el-GR"/>
                              </w:rPr>
                              <w:t>των</w:t>
                            </w:r>
                            <w:r w:rsidRPr="001C6A40">
                              <w:rPr>
                                <w:rFonts w:cstheme="minorHAnsi"/>
                                <w:i w:val="0"/>
                                <w:color w:val="4F81BD"/>
                                <w:lang w:val="el-GR"/>
                              </w:rPr>
                              <w:t xml:space="preserve"> </w:t>
                            </w:r>
                            <w:r>
                              <w:rPr>
                                <w:rFonts w:cstheme="minorHAnsi"/>
                                <w:i w:val="0"/>
                                <w:color w:val="4F81BD"/>
                                <w:lang w:val="el-GR"/>
                              </w:rPr>
                              <w:t>χωρών</w:t>
                            </w:r>
                            <w:r w:rsidRPr="001C6A40">
                              <w:rPr>
                                <w:rFonts w:cstheme="minorHAnsi"/>
                                <w:i w:val="0"/>
                                <w:color w:val="4F81BD"/>
                                <w:lang w:val="el-GR"/>
                              </w:rPr>
                              <w:t xml:space="preserve"> </w:t>
                            </w:r>
                            <w:r>
                              <w:rPr>
                                <w:rFonts w:cstheme="minorHAnsi"/>
                                <w:i w:val="0"/>
                                <w:color w:val="4F81BD"/>
                                <w:lang w:val="el-GR"/>
                              </w:rPr>
                              <w:t>σε</w:t>
                            </w:r>
                            <w:r w:rsidRPr="001C6A40">
                              <w:rPr>
                                <w:rFonts w:cstheme="minorHAnsi"/>
                                <w:i w:val="0"/>
                                <w:color w:val="4F81BD"/>
                                <w:lang w:val="el-GR"/>
                              </w:rPr>
                              <w:t xml:space="preserve"> </w:t>
                            </w:r>
                            <w:r>
                              <w:rPr>
                                <w:rFonts w:cstheme="minorHAnsi"/>
                                <w:i w:val="0"/>
                                <w:color w:val="4F81BD"/>
                                <w:lang w:val="el-GR"/>
                              </w:rPr>
                              <w:t>ένα</w:t>
                            </w:r>
                            <w:r w:rsidRPr="001C6A40">
                              <w:rPr>
                                <w:rFonts w:cstheme="minorHAnsi"/>
                                <w:i w:val="0"/>
                                <w:color w:val="4F81BD"/>
                                <w:lang w:val="el-GR"/>
                              </w:rPr>
                              <w:t xml:space="preserve"> </w:t>
                            </w:r>
                            <w:r>
                              <w:rPr>
                                <w:rFonts w:cstheme="minorHAnsi"/>
                                <w:i w:val="0"/>
                                <w:color w:val="4F81BD"/>
                                <w:lang w:val="el-GR"/>
                              </w:rPr>
                              <w:t>ερωτηματολόγιο</w:t>
                            </w:r>
                            <w:r w:rsidRPr="001C6A40">
                              <w:rPr>
                                <w:rFonts w:cstheme="minorHAnsi"/>
                                <w:i w:val="0"/>
                                <w:color w:val="4F81BD"/>
                                <w:lang w:val="el-GR"/>
                              </w:rPr>
                              <w:t xml:space="preserve"> </w:t>
                            </w:r>
                            <w:r>
                              <w:rPr>
                                <w:rFonts w:cstheme="minorHAnsi"/>
                                <w:i w:val="0"/>
                                <w:color w:val="4F81BD"/>
                                <w:lang w:val="el-GR"/>
                              </w:rPr>
                              <w:t>και</w:t>
                            </w:r>
                            <w:r w:rsidRPr="001C6A40">
                              <w:rPr>
                                <w:rFonts w:cstheme="minorHAnsi"/>
                                <w:i w:val="0"/>
                                <w:color w:val="4F81BD"/>
                                <w:lang w:val="el-GR"/>
                              </w:rPr>
                              <w:t xml:space="preserve"> </w:t>
                            </w:r>
                            <w:r>
                              <w:rPr>
                                <w:rFonts w:cstheme="minorHAnsi"/>
                                <w:i w:val="0"/>
                                <w:color w:val="4F81BD"/>
                                <w:lang w:val="el-GR"/>
                              </w:rPr>
                              <w:t>σε</w:t>
                            </w:r>
                            <w:r w:rsidRPr="001C6A40">
                              <w:rPr>
                                <w:rFonts w:cstheme="minorHAnsi"/>
                                <w:i w:val="0"/>
                                <w:color w:val="4F81BD"/>
                                <w:lang w:val="el-GR"/>
                              </w:rPr>
                              <w:t xml:space="preserve"> </w:t>
                            </w:r>
                            <w:r>
                              <w:rPr>
                                <w:rFonts w:cstheme="minorHAnsi"/>
                                <w:i w:val="0"/>
                                <w:color w:val="4F81BD"/>
                                <w:lang w:val="el-GR"/>
                              </w:rPr>
                              <w:t>επί τόπου επισκέψεις</w:t>
                            </w:r>
                            <w:r w:rsidRPr="001C6A40">
                              <w:rPr>
                                <w:rFonts w:cstheme="minorHAnsi"/>
                                <w:i w:val="0"/>
                                <w:color w:val="4F81BD"/>
                                <w:lang w:val="el-GR"/>
                              </w:rPr>
                              <w:t xml:space="preserve">, </w:t>
                            </w:r>
                            <w:r>
                              <w:rPr>
                                <w:rFonts w:cstheme="minorHAnsi"/>
                                <w:i w:val="0"/>
                                <w:color w:val="4F81BD"/>
                                <w:lang w:val="el-GR"/>
                              </w:rPr>
                              <w:t>που ακολουθείται από</w:t>
                            </w:r>
                            <w:r w:rsidRPr="001C6A40">
                              <w:rPr>
                                <w:rFonts w:cstheme="minorHAnsi"/>
                                <w:i w:val="0"/>
                                <w:color w:val="4F81BD"/>
                                <w:lang w:val="el-GR"/>
                              </w:rPr>
                              <w:t xml:space="preserve"> </w:t>
                            </w:r>
                            <w:r>
                              <w:rPr>
                                <w:rFonts w:cstheme="minorHAnsi"/>
                                <w:i w:val="0"/>
                                <w:color w:val="4F81BD"/>
                                <w:lang w:val="el-GR"/>
                              </w:rPr>
                              <w:t>μια εκτίμηση επιπτώσεων</w:t>
                            </w:r>
                            <w:r w:rsidRPr="001C6A40">
                              <w:rPr>
                                <w:rFonts w:cstheme="minorHAnsi"/>
                                <w:i w:val="0"/>
                                <w:color w:val="4F81BD"/>
                                <w:lang w:val="el-GR"/>
                              </w:rPr>
                              <w:t xml:space="preserve"> (“</w:t>
                            </w:r>
                            <w:r>
                              <w:rPr>
                                <w:rFonts w:cstheme="minorHAnsi"/>
                                <w:i w:val="0"/>
                                <w:color w:val="4F81BD"/>
                                <w:lang w:val="el-GR"/>
                              </w:rPr>
                              <w:t>διαδικασία συμμόρφωσης</w:t>
                            </w:r>
                            <w:r w:rsidRPr="001C6A40">
                              <w:rPr>
                                <w:rFonts w:cstheme="minorHAnsi"/>
                                <w:i w:val="0"/>
                                <w:color w:val="4F81BD"/>
                                <w:lang w:val="el-GR"/>
                              </w:rPr>
                              <w:t xml:space="preserve">”) </w:t>
                            </w:r>
                            <w:r>
                              <w:rPr>
                                <w:rFonts w:cstheme="minorHAnsi"/>
                                <w:i w:val="0"/>
                                <w:color w:val="4F81BD"/>
                                <w:lang w:val="el-GR"/>
                              </w:rPr>
                              <w:t>που εξετάζει</w:t>
                            </w:r>
                            <w:r w:rsidRPr="001C6A40">
                              <w:rPr>
                                <w:rFonts w:cstheme="minorHAnsi"/>
                                <w:i w:val="0"/>
                                <w:color w:val="4F81BD"/>
                                <w:lang w:val="el-GR"/>
                              </w:rPr>
                              <w:t xml:space="preserve"> </w:t>
                            </w:r>
                            <w:r>
                              <w:rPr>
                                <w:rFonts w:cstheme="minorHAnsi"/>
                                <w:i w:val="0"/>
                                <w:color w:val="4F81BD"/>
                                <w:lang w:val="el-GR"/>
                              </w:rPr>
                              <w:t>τα μέτρα που έχουν ληφθεί</w:t>
                            </w:r>
                            <w:r w:rsidRPr="001C6A40">
                              <w:rPr>
                                <w:rFonts w:cstheme="minorHAnsi"/>
                                <w:i w:val="0"/>
                                <w:color w:val="4F81BD"/>
                                <w:lang w:val="el-GR"/>
                              </w:rPr>
                              <w:t xml:space="preserve"> </w:t>
                            </w:r>
                            <w:r>
                              <w:rPr>
                                <w:rFonts w:cstheme="minorHAnsi"/>
                                <w:i w:val="0"/>
                                <w:color w:val="4F81BD"/>
                                <w:lang w:val="el-GR"/>
                              </w:rPr>
                              <w:t>για την υλοποίηση των εισηγήσεων</w:t>
                            </w:r>
                            <w:r w:rsidRPr="001C6A40">
                              <w:rPr>
                                <w:rFonts w:cstheme="minorHAnsi"/>
                                <w:i w:val="0"/>
                                <w:color w:val="4F81BD"/>
                                <w:lang w:val="el-GR"/>
                              </w:rPr>
                              <w:t xml:space="preserve"> </w:t>
                            </w:r>
                            <w:r>
                              <w:rPr>
                                <w:rFonts w:cstheme="minorHAnsi"/>
                                <w:i w:val="0"/>
                                <w:color w:val="4F81BD"/>
                                <w:lang w:val="el-GR"/>
                              </w:rPr>
                              <w:t>που προέρχονται από τις αξιολογήσεις των χωρών</w:t>
                            </w:r>
                            <w:r w:rsidRPr="001C6A40">
                              <w:rPr>
                                <w:rFonts w:cstheme="minorHAnsi"/>
                                <w:i w:val="0"/>
                                <w:color w:val="4F81BD"/>
                                <w:lang w:val="el-GR"/>
                              </w:rPr>
                              <w:t xml:space="preserve">. </w:t>
                            </w:r>
                            <w:r>
                              <w:rPr>
                                <w:rFonts w:cstheme="minorHAnsi"/>
                                <w:i w:val="0"/>
                                <w:color w:val="4F81BD"/>
                                <w:lang w:val="el-GR"/>
                              </w:rPr>
                              <w:t>Εξασκείται</w:t>
                            </w:r>
                            <w:r w:rsidRPr="001C6A40">
                              <w:rPr>
                                <w:rFonts w:cstheme="minorHAnsi"/>
                                <w:i w:val="0"/>
                                <w:color w:val="4F81BD"/>
                                <w:lang w:val="el-GR"/>
                              </w:rPr>
                              <w:t xml:space="preserve"> </w:t>
                            </w:r>
                            <w:r>
                              <w:rPr>
                                <w:rFonts w:cstheme="minorHAnsi"/>
                                <w:i w:val="0"/>
                                <w:color w:val="4F81BD"/>
                                <w:lang w:val="el-GR"/>
                              </w:rPr>
                              <w:t>μια</w:t>
                            </w:r>
                            <w:r w:rsidRPr="001C6A40">
                              <w:rPr>
                                <w:rFonts w:cstheme="minorHAnsi"/>
                                <w:i w:val="0"/>
                                <w:color w:val="4F81BD"/>
                                <w:lang w:val="el-GR"/>
                              </w:rPr>
                              <w:t xml:space="preserve"> </w:t>
                            </w:r>
                            <w:r>
                              <w:rPr>
                                <w:rFonts w:cstheme="minorHAnsi"/>
                                <w:i w:val="0"/>
                                <w:color w:val="4F81BD"/>
                                <w:lang w:val="el-GR"/>
                              </w:rPr>
                              <w:t>δυναμική</w:t>
                            </w:r>
                            <w:r w:rsidRPr="001C6A40">
                              <w:rPr>
                                <w:rFonts w:cstheme="minorHAnsi"/>
                                <w:i w:val="0"/>
                                <w:color w:val="4F81BD"/>
                                <w:lang w:val="el-GR"/>
                              </w:rPr>
                              <w:t xml:space="preserve"> </w:t>
                            </w:r>
                            <w:r>
                              <w:rPr>
                                <w:rFonts w:cstheme="minorHAnsi"/>
                                <w:i w:val="0"/>
                                <w:color w:val="4F81BD"/>
                                <w:lang w:val="el-GR"/>
                              </w:rPr>
                              <w:t>διαδικασία</w:t>
                            </w:r>
                            <w:r w:rsidRPr="001C6A40">
                              <w:rPr>
                                <w:rFonts w:cstheme="minorHAnsi"/>
                                <w:i w:val="0"/>
                                <w:color w:val="4F81BD"/>
                                <w:lang w:val="el-GR"/>
                              </w:rPr>
                              <w:t xml:space="preserve"> </w:t>
                            </w:r>
                            <w:r>
                              <w:rPr>
                                <w:rFonts w:cstheme="minorHAnsi"/>
                                <w:i w:val="0"/>
                                <w:color w:val="4F81BD"/>
                                <w:lang w:val="el-GR"/>
                              </w:rPr>
                              <w:t>αμοιβαίας</w:t>
                            </w:r>
                            <w:r w:rsidRPr="001C6A40">
                              <w:rPr>
                                <w:rFonts w:cstheme="minorHAnsi"/>
                                <w:i w:val="0"/>
                                <w:color w:val="4F81BD"/>
                                <w:lang w:val="el-GR"/>
                              </w:rPr>
                              <w:t xml:space="preserve"> </w:t>
                            </w:r>
                            <w:r>
                              <w:rPr>
                                <w:rFonts w:cstheme="minorHAnsi"/>
                                <w:i w:val="0"/>
                                <w:color w:val="4F81BD"/>
                                <w:lang w:val="el-GR"/>
                              </w:rPr>
                              <w:t>αξιολόγησης</w:t>
                            </w:r>
                            <w:r w:rsidRPr="001C6A40">
                              <w:rPr>
                                <w:rFonts w:cstheme="minorHAnsi"/>
                                <w:i w:val="0"/>
                                <w:color w:val="4F81BD"/>
                                <w:lang w:val="el-GR"/>
                              </w:rPr>
                              <w:t xml:space="preserve"> </w:t>
                            </w:r>
                            <w:r>
                              <w:rPr>
                                <w:rFonts w:cstheme="minorHAnsi"/>
                                <w:i w:val="0"/>
                                <w:color w:val="4F81BD"/>
                                <w:lang w:val="el-GR"/>
                              </w:rPr>
                              <w:t>και</w:t>
                            </w:r>
                            <w:r w:rsidRPr="001C6A40">
                              <w:rPr>
                                <w:rFonts w:cstheme="minorHAnsi"/>
                                <w:i w:val="0"/>
                                <w:color w:val="4F81BD"/>
                                <w:lang w:val="el-GR"/>
                              </w:rPr>
                              <w:t xml:space="preserve"> </w:t>
                            </w:r>
                            <w:r>
                              <w:rPr>
                                <w:rFonts w:cstheme="minorHAnsi"/>
                                <w:i w:val="0"/>
                                <w:color w:val="4F81BD"/>
                                <w:lang w:val="el-GR"/>
                              </w:rPr>
                              <w:t>πίεσης</w:t>
                            </w:r>
                            <w:r w:rsidRPr="001C6A40">
                              <w:rPr>
                                <w:rFonts w:cstheme="minorHAnsi"/>
                                <w:i w:val="0"/>
                                <w:color w:val="4F81BD"/>
                                <w:lang w:val="el-GR"/>
                              </w:rPr>
                              <w:t xml:space="preserve"> </w:t>
                            </w:r>
                            <w:r>
                              <w:rPr>
                                <w:rFonts w:cstheme="minorHAnsi"/>
                                <w:i w:val="0"/>
                                <w:color w:val="4F81BD"/>
                                <w:lang w:val="el-GR"/>
                              </w:rPr>
                              <w:t>από</w:t>
                            </w:r>
                            <w:r w:rsidRPr="001C6A40">
                              <w:rPr>
                                <w:rFonts w:cstheme="minorHAnsi"/>
                                <w:i w:val="0"/>
                                <w:color w:val="4F81BD"/>
                                <w:lang w:val="el-GR"/>
                              </w:rPr>
                              <w:t xml:space="preserve"> </w:t>
                            </w:r>
                            <w:r w:rsidR="00091C5F">
                              <w:rPr>
                                <w:rFonts w:cstheme="minorHAnsi"/>
                                <w:i w:val="0"/>
                                <w:color w:val="4F81BD"/>
                                <w:lang w:val="el-GR"/>
                              </w:rPr>
                              <w:t>ομότιμους</w:t>
                            </w:r>
                            <w:r w:rsidRPr="001C6A40">
                              <w:rPr>
                                <w:rFonts w:cstheme="minorHAnsi"/>
                                <w:i w:val="0"/>
                                <w:color w:val="4F81BD"/>
                                <w:lang w:val="el-GR"/>
                              </w:rPr>
                              <w:t xml:space="preserve">, </w:t>
                            </w:r>
                            <w:r>
                              <w:rPr>
                                <w:rFonts w:cstheme="minorHAnsi"/>
                                <w:i w:val="0"/>
                                <w:color w:val="4F81BD"/>
                                <w:lang w:val="el-GR"/>
                              </w:rPr>
                              <w:t>συνδυάζοντας</w:t>
                            </w:r>
                            <w:r w:rsidRPr="001C6A40">
                              <w:rPr>
                                <w:rFonts w:cstheme="minorHAnsi"/>
                                <w:i w:val="0"/>
                                <w:color w:val="4F81BD"/>
                                <w:lang w:val="el-GR"/>
                              </w:rPr>
                              <w:t xml:space="preserve"> </w:t>
                            </w:r>
                            <w:r>
                              <w:rPr>
                                <w:rFonts w:cstheme="minorHAnsi"/>
                                <w:i w:val="0"/>
                                <w:color w:val="4F81BD"/>
                                <w:lang w:val="el-GR"/>
                              </w:rPr>
                              <w:t>την τεχνογνωσία των επαγγελματιών, ενεργώντας ως εκτιμητές</w:t>
                            </w:r>
                            <w:r w:rsidRPr="001C6A40">
                              <w:rPr>
                                <w:rFonts w:cstheme="minorHAnsi"/>
                                <w:i w:val="0"/>
                                <w:color w:val="4F81BD"/>
                                <w:lang w:val="el-GR"/>
                              </w:rPr>
                              <w:t xml:space="preserve"> </w:t>
                            </w:r>
                            <w:r>
                              <w:rPr>
                                <w:rFonts w:cstheme="minorHAnsi"/>
                                <w:i w:val="0"/>
                                <w:color w:val="4F81BD"/>
                                <w:lang w:val="el-GR"/>
                              </w:rPr>
                              <w:t>και κρατικούς αντιπροσώπους</w:t>
                            </w:r>
                            <w:r w:rsidRPr="001C6A40">
                              <w:rPr>
                                <w:rFonts w:cstheme="minorHAnsi"/>
                                <w:i w:val="0"/>
                                <w:color w:val="4F81BD"/>
                                <w:lang w:val="el-GR"/>
                              </w:rPr>
                              <w:t xml:space="preserve"> </w:t>
                            </w:r>
                            <w:r>
                              <w:rPr>
                                <w:rFonts w:cstheme="minorHAnsi"/>
                                <w:i w:val="0"/>
                                <w:color w:val="4F81BD"/>
                                <w:lang w:val="el-GR"/>
                              </w:rPr>
                              <w:t>που κάθονται στην ολομέλεια</w:t>
                            </w:r>
                            <w:r w:rsidRPr="001C6A40">
                              <w:rPr>
                                <w:rFonts w:cstheme="minorHAnsi"/>
                                <w:i w:val="0"/>
                                <w:color w:val="4F81BD"/>
                                <w:lang w:val="el-GR"/>
                              </w:rPr>
                              <w:t>.</w:t>
                            </w:r>
                          </w:p>
                          <w:p w14:paraId="5B27D58D" w14:textId="60FB6571" w:rsidR="00071F64" w:rsidRPr="00495342" w:rsidRDefault="00071F64" w:rsidP="000B39E8">
                            <w:pPr>
                              <w:pStyle w:val="Quote"/>
                              <w:pBdr>
                                <w:top w:val="single" w:sz="48" w:space="8" w:color="4F81BD"/>
                                <w:bottom w:val="single" w:sz="48" w:space="8" w:color="4F81BD"/>
                              </w:pBdr>
                              <w:spacing w:before="160" w:after="160" w:line="300" w:lineRule="auto"/>
                              <w:ind w:left="720" w:right="720"/>
                              <w:rPr>
                                <w:rFonts w:cstheme="minorHAnsi"/>
                                <w:i w:val="0"/>
                                <w:color w:val="4F81BD"/>
                                <w:lang w:val="el-GR"/>
                              </w:rPr>
                            </w:pPr>
                            <w:r>
                              <w:rPr>
                                <w:rFonts w:cstheme="minorHAnsi"/>
                                <w:i w:val="0"/>
                                <w:color w:val="4F81BD"/>
                                <w:lang w:val="el-GR"/>
                              </w:rPr>
                              <w:t>Η</w:t>
                            </w:r>
                            <w:r w:rsidRPr="00495342">
                              <w:rPr>
                                <w:rFonts w:cstheme="minorHAnsi"/>
                                <w:i w:val="0"/>
                                <w:color w:val="4F81BD"/>
                                <w:lang w:val="el-GR"/>
                              </w:rPr>
                              <w:t xml:space="preserve"> </w:t>
                            </w:r>
                            <w:r>
                              <w:rPr>
                                <w:rFonts w:cstheme="minorHAnsi"/>
                                <w:i w:val="0"/>
                                <w:color w:val="4F81BD"/>
                                <w:lang w:val="el-GR"/>
                              </w:rPr>
                              <w:t>εργασία</w:t>
                            </w:r>
                            <w:r w:rsidRPr="00495342">
                              <w:rPr>
                                <w:rFonts w:cstheme="minorHAnsi"/>
                                <w:i w:val="0"/>
                                <w:color w:val="4F81BD"/>
                                <w:lang w:val="el-GR"/>
                              </w:rPr>
                              <w:t xml:space="preserve"> </w:t>
                            </w:r>
                            <w:r>
                              <w:rPr>
                                <w:rFonts w:cstheme="minorHAnsi"/>
                                <w:i w:val="0"/>
                                <w:color w:val="4F81BD"/>
                                <w:lang w:val="el-GR"/>
                              </w:rPr>
                              <w:t>που</w:t>
                            </w:r>
                            <w:r w:rsidRPr="00495342">
                              <w:rPr>
                                <w:rFonts w:cstheme="minorHAnsi"/>
                                <w:i w:val="0"/>
                                <w:color w:val="4F81BD"/>
                                <w:lang w:val="el-GR"/>
                              </w:rPr>
                              <w:t xml:space="preserve"> </w:t>
                            </w:r>
                            <w:r>
                              <w:rPr>
                                <w:rFonts w:cstheme="minorHAnsi"/>
                                <w:i w:val="0"/>
                                <w:color w:val="4F81BD"/>
                                <w:lang w:val="el-GR"/>
                              </w:rPr>
                              <w:t>διεξάγεται</w:t>
                            </w:r>
                            <w:r w:rsidRPr="00495342">
                              <w:rPr>
                                <w:rFonts w:cstheme="minorHAnsi"/>
                                <w:i w:val="0"/>
                                <w:color w:val="4F81BD"/>
                                <w:lang w:val="el-GR"/>
                              </w:rPr>
                              <w:t xml:space="preserve"> </w:t>
                            </w:r>
                            <w:r>
                              <w:rPr>
                                <w:rFonts w:cstheme="minorHAnsi"/>
                                <w:i w:val="0"/>
                                <w:color w:val="4F81BD"/>
                                <w:lang w:val="el-GR"/>
                              </w:rPr>
                              <w:t>από</w:t>
                            </w:r>
                            <w:r w:rsidRPr="00495342">
                              <w:rPr>
                                <w:rFonts w:cstheme="minorHAnsi"/>
                                <w:i w:val="0"/>
                                <w:color w:val="4F81BD"/>
                                <w:lang w:val="el-GR"/>
                              </w:rPr>
                              <w:t xml:space="preserve"> </w:t>
                            </w:r>
                            <w:r>
                              <w:rPr>
                                <w:rFonts w:cstheme="minorHAnsi"/>
                                <w:i w:val="0"/>
                                <w:color w:val="4F81BD"/>
                                <w:lang w:val="el-GR"/>
                              </w:rPr>
                              <w:t>την</w:t>
                            </w:r>
                            <w:r w:rsidRPr="00495342">
                              <w:rPr>
                                <w:rFonts w:cstheme="minorHAnsi"/>
                                <w:i w:val="0"/>
                                <w:color w:val="4F81BD"/>
                                <w:lang w:val="el-GR"/>
                              </w:rPr>
                              <w:t xml:space="preserve"> </w:t>
                            </w:r>
                            <w:r w:rsidRPr="007E5A21">
                              <w:rPr>
                                <w:rFonts w:cstheme="minorHAnsi"/>
                                <w:i w:val="0"/>
                                <w:color w:val="4F81BD"/>
                              </w:rPr>
                              <w:t>GRECO</w:t>
                            </w:r>
                            <w:r w:rsidRPr="00495342">
                              <w:rPr>
                                <w:rFonts w:cstheme="minorHAnsi"/>
                                <w:i w:val="0"/>
                                <w:color w:val="4F81BD"/>
                                <w:lang w:val="el-GR"/>
                              </w:rPr>
                              <w:t xml:space="preserve"> </w:t>
                            </w:r>
                            <w:r>
                              <w:rPr>
                                <w:rFonts w:cstheme="minorHAnsi"/>
                                <w:i w:val="0"/>
                                <w:color w:val="4F81BD"/>
                                <w:lang w:val="el-GR"/>
                              </w:rPr>
                              <w:t>έχει</w:t>
                            </w:r>
                            <w:r w:rsidRPr="00495342">
                              <w:rPr>
                                <w:rFonts w:cstheme="minorHAnsi"/>
                                <w:i w:val="0"/>
                                <w:color w:val="4F81BD"/>
                                <w:lang w:val="el-GR"/>
                              </w:rPr>
                              <w:t xml:space="preserve"> </w:t>
                            </w:r>
                            <w:r>
                              <w:rPr>
                                <w:rFonts w:cstheme="minorHAnsi"/>
                                <w:i w:val="0"/>
                                <w:color w:val="4F81BD"/>
                                <w:lang w:val="el-GR"/>
                              </w:rPr>
                              <w:t>οδηγήσει</w:t>
                            </w:r>
                            <w:r w:rsidRPr="00495342">
                              <w:rPr>
                                <w:rFonts w:cstheme="minorHAnsi"/>
                                <w:i w:val="0"/>
                                <w:color w:val="4F81BD"/>
                                <w:lang w:val="el-GR"/>
                              </w:rPr>
                              <w:t xml:space="preserve"> </w:t>
                            </w:r>
                            <w:r>
                              <w:rPr>
                                <w:rFonts w:cstheme="minorHAnsi"/>
                                <w:i w:val="0"/>
                                <w:color w:val="4F81BD"/>
                                <w:lang w:val="el-GR"/>
                              </w:rPr>
                              <w:t>στην</w:t>
                            </w:r>
                            <w:r w:rsidRPr="00495342">
                              <w:rPr>
                                <w:rFonts w:cstheme="minorHAnsi"/>
                                <w:i w:val="0"/>
                                <w:color w:val="4F81BD"/>
                                <w:lang w:val="el-GR"/>
                              </w:rPr>
                              <w:t xml:space="preserve"> </w:t>
                            </w:r>
                            <w:r>
                              <w:rPr>
                                <w:rFonts w:cstheme="minorHAnsi"/>
                                <w:i w:val="0"/>
                                <w:color w:val="4F81BD"/>
                                <w:lang w:val="el-GR"/>
                              </w:rPr>
                              <w:t>υιοθέτηση</w:t>
                            </w:r>
                            <w:r w:rsidRPr="00495342">
                              <w:rPr>
                                <w:rFonts w:cstheme="minorHAnsi"/>
                                <w:i w:val="0"/>
                                <w:color w:val="4F81BD"/>
                                <w:lang w:val="el-GR"/>
                              </w:rPr>
                              <w:t xml:space="preserve"> </w:t>
                            </w:r>
                            <w:r>
                              <w:rPr>
                                <w:rFonts w:cstheme="minorHAnsi"/>
                                <w:i w:val="0"/>
                                <w:color w:val="4F81BD"/>
                                <w:lang w:val="el-GR"/>
                              </w:rPr>
                              <w:t>ενός</w:t>
                            </w:r>
                            <w:r w:rsidRPr="00495342">
                              <w:rPr>
                                <w:rFonts w:cstheme="minorHAnsi"/>
                                <w:i w:val="0"/>
                                <w:color w:val="4F81BD"/>
                                <w:lang w:val="el-GR"/>
                              </w:rPr>
                              <w:t xml:space="preserve"> </w:t>
                            </w:r>
                            <w:r>
                              <w:rPr>
                                <w:rFonts w:cstheme="minorHAnsi"/>
                                <w:i w:val="0"/>
                                <w:color w:val="4F81BD"/>
                                <w:lang w:val="el-GR"/>
                              </w:rPr>
                              <w:t>σημαντικού</w:t>
                            </w:r>
                            <w:r w:rsidRPr="00495342">
                              <w:rPr>
                                <w:rFonts w:cstheme="minorHAnsi"/>
                                <w:i w:val="0"/>
                                <w:color w:val="4F81BD"/>
                                <w:lang w:val="el-GR"/>
                              </w:rPr>
                              <w:t xml:space="preserve"> </w:t>
                            </w:r>
                            <w:r>
                              <w:rPr>
                                <w:rFonts w:cstheme="minorHAnsi"/>
                                <w:i w:val="0"/>
                                <w:color w:val="4F81BD"/>
                                <w:lang w:val="el-GR"/>
                              </w:rPr>
                              <w:t>αριθμού εκθέσεων</w:t>
                            </w:r>
                            <w:r w:rsidRPr="00495342">
                              <w:rPr>
                                <w:rFonts w:cstheme="minorHAnsi"/>
                                <w:i w:val="0"/>
                                <w:color w:val="4F81BD"/>
                                <w:lang w:val="el-GR"/>
                              </w:rPr>
                              <w:t xml:space="preserve"> </w:t>
                            </w:r>
                            <w:r>
                              <w:rPr>
                                <w:rFonts w:cstheme="minorHAnsi"/>
                                <w:i w:val="0"/>
                                <w:color w:val="4F81BD"/>
                                <w:lang w:val="el-GR"/>
                              </w:rPr>
                              <w:t>που περιέχουν</w:t>
                            </w:r>
                            <w:r w:rsidRPr="00495342">
                              <w:rPr>
                                <w:rFonts w:cstheme="minorHAnsi"/>
                                <w:i w:val="0"/>
                                <w:color w:val="4F81BD"/>
                                <w:lang w:val="el-GR"/>
                              </w:rPr>
                              <w:t xml:space="preserve"> </w:t>
                            </w:r>
                            <w:r>
                              <w:rPr>
                                <w:rFonts w:cstheme="minorHAnsi"/>
                                <w:i w:val="0"/>
                                <w:color w:val="4F81BD"/>
                                <w:lang w:val="el-GR"/>
                              </w:rPr>
                              <w:t>μια πληθώρα πραγματικών πληροφοριών</w:t>
                            </w:r>
                            <w:r w:rsidRPr="00495342">
                              <w:rPr>
                                <w:rFonts w:cstheme="minorHAnsi"/>
                                <w:i w:val="0"/>
                                <w:color w:val="4F81BD"/>
                                <w:lang w:val="el-GR"/>
                              </w:rPr>
                              <w:t xml:space="preserve"> </w:t>
                            </w:r>
                            <w:r>
                              <w:rPr>
                                <w:rFonts w:cstheme="minorHAnsi"/>
                                <w:i w:val="0"/>
                                <w:color w:val="4F81BD"/>
                                <w:lang w:val="el-GR"/>
                              </w:rPr>
                              <w:t>για τις Ευρωπαϊκές πολιτικές και πρακτικές κατά την διαφθορά</w:t>
                            </w:r>
                            <w:r w:rsidRPr="00495342">
                              <w:rPr>
                                <w:rFonts w:cstheme="minorHAnsi"/>
                                <w:i w:val="0"/>
                                <w:color w:val="4F81BD"/>
                                <w:lang w:val="el-GR"/>
                              </w:rPr>
                              <w:t xml:space="preserve">. </w:t>
                            </w:r>
                            <w:r>
                              <w:rPr>
                                <w:rFonts w:cstheme="minorHAnsi"/>
                                <w:i w:val="0"/>
                                <w:color w:val="4F81BD"/>
                                <w:lang w:val="el-GR"/>
                              </w:rPr>
                              <w:t>Οι</w:t>
                            </w:r>
                            <w:r w:rsidRPr="00495342">
                              <w:rPr>
                                <w:rFonts w:cstheme="minorHAnsi"/>
                                <w:i w:val="0"/>
                                <w:color w:val="4F81BD"/>
                                <w:lang w:val="el-GR"/>
                              </w:rPr>
                              <w:t xml:space="preserve"> </w:t>
                            </w:r>
                            <w:r>
                              <w:rPr>
                                <w:rFonts w:cstheme="minorHAnsi"/>
                                <w:i w:val="0"/>
                                <w:color w:val="4F81BD"/>
                                <w:lang w:val="el-GR"/>
                              </w:rPr>
                              <w:t>εκθέσεις</w:t>
                            </w:r>
                            <w:r w:rsidRPr="00495342">
                              <w:rPr>
                                <w:rFonts w:cstheme="minorHAnsi"/>
                                <w:i w:val="0"/>
                                <w:color w:val="4F81BD"/>
                                <w:lang w:val="el-GR"/>
                              </w:rPr>
                              <w:t xml:space="preserve"> </w:t>
                            </w:r>
                            <w:r>
                              <w:rPr>
                                <w:rFonts w:cstheme="minorHAnsi"/>
                                <w:i w:val="0"/>
                                <w:color w:val="4F81BD"/>
                                <w:lang w:val="el-GR"/>
                              </w:rPr>
                              <w:t>εντοπίζουν</w:t>
                            </w:r>
                            <w:r w:rsidRPr="00495342">
                              <w:rPr>
                                <w:rFonts w:cstheme="minorHAnsi"/>
                                <w:i w:val="0"/>
                                <w:color w:val="4F81BD"/>
                                <w:lang w:val="el-GR"/>
                              </w:rPr>
                              <w:t xml:space="preserve"> </w:t>
                            </w:r>
                            <w:r>
                              <w:rPr>
                                <w:rFonts w:cstheme="minorHAnsi"/>
                                <w:i w:val="0"/>
                                <w:color w:val="4F81BD"/>
                                <w:lang w:val="el-GR"/>
                              </w:rPr>
                              <w:t>τα</w:t>
                            </w:r>
                            <w:r w:rsidRPr="00495342">
                              <w:rPr>
                                <w:rFonts w:cstheme="minorHAnsi"/>
                                <w:i w:val="0"/>
                                <w:color w:val="4F81BD"/>
                                <w:lang w:val="el-GR"/>
                              </w:rPr>
                              <w:t xml:space="preserve"> </w:t>
                            </w:r>
                            <w:r>
                              <w:rPr>
                                <w:rFonts w:cstheme="minorHAnsi"/>
                                <w:i w:val="0"/>
                                <w:color w:val="4F81BD"/>
                                <w:lang w:val="el-GR"/>
                              </w:rPr>
                              <w:t>επιτεύγματα</w:t>
                            </w:r>
                            <w:r w:rsidRPr="00495342">
                              <w:rPr>
                                <w:rFonts w:cstheme="minorHAnsi"/>
                                <w:i w:val="0"/>
                                <w:color w:val="4F81BD"/>
                                <w:lang w:val="el-GR"/>
                              </w:rPr>
                              <w:t xml:space="preserve"> </w:t>
                            </w:r>
                            <w:r>
                              <w:rPr>
                                <w:rFonts w:cstheme="minorHAnsi"/>
                                <w:i w:val="0"/>
                                <w:color w:val="4F81BD"/>
                                <w:lang w:val="el-GR"/>
                              </w:rPr>
                              <w:t>και</w:t>
                            </w:r>
                            <w:r w:rsidRPr="00495342">
                              <w:rPr>
                                <w:rFonts w:cstheme="minorHAnsi"/>
                                <w:i w:val="0"/>
                                <w:color w:val="4F81BD"/>
                                <w:lang w:val="el-GR"/>
                              </w:rPr>
                              <w:t xml:space="preserve"> </w:t>
                            </w:r>
                            <w:r>
                              <w:rPr>
                                <w:rFonts w:cstheme="minorHAnsi"/>
                                <w:i w:val="0"/>
                                <w:color w:val="4F81BD"/>
                                <w:lang w:val="el-GR"/>
                              </w:rPr>
                              <w:t>τις</w:t>
                            </w:r>
                            <w:r w:rsidRPr="00495342">
                              <w:rPr>
                                <w:rFonts w:cstheme="minorHAnsi"/>
                                <w:i w:val="0"/>
                                <w:color w:val="4F81BD"/>
                                <w:lang w:val="el-GR"/>
                              </w:rPr>
                              <w:t xml:space="preserve"> </w:t>
                            </w:r>
                            <w:r>
                              <w:rPr>
                                <w:rFonts w:cstheme="minorHAnsi"/>
                                <w:i w:val="0"/>
                                <w:color w:val="4F81BD"/>
                                <w:lang w:val="el-GR"/>
                              </w:rPr>
                              <w:t>αδυναμίες</w:t>
                            </w:r>
                            <w:r w:rsidRPr="00495342">
                              <w:rPr>
                                <w:rFonts w:cstheme="minorHAnsi"/>
                                <w:i w:val="0"/>
                                <w:color w:val="4F81BD"/>
                                <w:lang w:val="el-GR"/>
                              </w:rPr>
                              <w:t xml:space="preserve"> </w:t>
                            </w:r>
                            <w:r>
                              <w:rPr>
                                <w:rFonts w:cstheme="minorHAnsi"/>
                                <w:i w:val="0"/>
                                <w:color w:val="4F81BD"/>
                                <w:lang w:val="el-GR"/>
                              </w:rPr>
                              <w:t>της</w:t>
                            </w:r>
                            <w:r w:rsidRPr="00495342">
                              <w:rPr>
                                <w:rFonts w:cstheme="minorHAnsi"/>
                                <w:i w:val="0"/>
                                <w:color w:val="4F81BD"/>
                                <w:lang w:val="el-GR"/>
                              </w:rPr>
                              <w:t xml:space="preserve"> </w:t>
                            </w:r>
                            <w:r>
                              <w:rPr>
                                <w:rFonts w:cstheme="minorHAnsi"/>
                                <w:i w:val="0"/>
                                <w:color w:val="4F81BD"/>
                                <w:lang w:val="el-GR"/>
                              </w:rPr>
                              <w:t>εθνικής</w:t>
                            </w:r>
                            <w:r w:rsidRPr="00495342">
                              <w:rPr>
                                <w:rFonts w:cstheme="minorHAnsi"/>
                                <w:i w:val="0"/>
                                <w:color w:val="4F81BD"/>
                                <w:lang w:val="el-GR"/>
                              </w:rPr>
                              <w:t xml:space="preserve"> </w:t>
                            </w:r>
                            <w:r>
                              <w:rPr>
                                <w:rFonts w:cstheme="minorHAnsi"/>
                                <w:i w:val="0"/>
                                <w:color w:val="4F81BD"/>
                                <w:lang w:val="el-GR"/>
                              </w:rPr>
                              <w:t>νομοθεσίας</w:t>
                            </w:r>
                            <w:r w:rsidRPr="00495342">
                              <w:rPr>
                                <w:rFonts w:cstheme="minorHAnsi"/>
                                <w:i w:val="0"/>
                                <w:color w:val="4F81BD"/>
                                <w:lang w:val="el-GR"/>
                              </w:rPr>
                              <w:t xml:space="preserve">, </w:t>
                            </w:r>
                            <w:r>
                              <w:rPr>
                                <w:rFonts w:cstheme="minorHAnsi"/>
                                <w:i w:val="0"/>
                                <w:color w:val="4F81BD"/>
                                <w:lang w:val="el-GR"/>
                              </w:rPr>
                              <w:t>των</w:t>
                            </w:r>
                            <w:r w:rsidRPr="00495342">
                              <w:rPr>
                                <w:rFonts w:cstheme="minorHAnsi"/>
                                <w:i w:val="0"/>
                                <w:color w:val="4F81BD"/>
                                <w:lang w:val="el-GR"/>
                              </w:rPr>
                              <w:t xml:space="preserve"> </w:t>
                            </w:r>
                            <w:r>
                              <w:rPr>
                                <w:rFonts w:cstheme="minorHAnsi"/>
                                <w:i w:val="0"/>
                                <w:color w:val="4F81BD"/>
                                <w:lang w:val="el-GR"/>
                              </w:rPr>
                              <w:t>κανονισμών</w:t>
                            </w:r>
                            <w:r w:rsidRPr="00495342">
                              <w:rPr>
                                <w:rFonts w:cstheme="minorHAnsi"/>
                                <w:i w:val="0"/>
                                <w:color w:val="4F81BD"/>
                                <w:lang w:val="el-GR"/>
                              </w:rPr>
                              <w:t xml:space="preserve">, </w:t>
                            </w:r>
                            <w:r>
                              <w:rPr>
                                <w:rFonts w:cstheme="minorHAnsi"/>
                                <w:i w:val="0"/>
                                <w:color w:val="4F81BD"/>
                                <w:lang w:val="el-GR"/>
                              </w:rPr>
                              <w:t>των</w:t>
                            </w:r>
                            <w:r w:rsidRPr="00495342">
                              <w:rPr>
                                <w:rFonts w:cstheme="minorHAnsi"/>
                                <w:i w:val="0"/>
                                <w:color w:val="4F81BD"/>
                                <w:lang w:val="el-GR"/>
                              </w:rPr>
                              <w:t xml:space="preserve"> </w:t>
                            </w:r>
                            <w:r>
                              <w:rPr>
                                <w:rFonts w:cstheme="minorHAnsi"/>
                                <w:i w:val="0"/>
                                <w:color w:val="4F81BD"/>
                                <w:lang w:val="el-GR"/>
                              </w:rPr>
                              <w:t>πολιτικών</w:t>
                            </w:r>
                            <w:r w:rsidRPr="00495342">
                              <w:rPr>
                                <w:rFonts w:cstheme="minorHAnsi"/>
                                <w:i w:val="0"/>
                                <w:color w:val="4F81BD"/>
                                <w:lang w:val="el-GR"/>
                              </w:rPr>
                              <w:t xml:space="preserve"> </w:t>
                            </w:r>
                            <w:r>
                              <w:rPr>
                                <w:rFonts w:cstheme="minorHAnsi"/>
                                <w:i w:val="0"/>
                                <w:color w:val="4F81BD"/>
                                <w:lang w:val="el-GR"/>
                              </w:rPr>
                              <w:t>και των θεσμικών ρυθμίσεων</w:t>
                            </w:r>
                            <w:r w:rsidRPr="00495342">
                              <w:rPr>
                                <w:rFonts w:cstheme="minorHAnsi"/>
                                <w:i w:val="0"/>
                                <w:color w:val="4F81BD"/>
                                <w:lang w:val="el-GR"/>
                              </w:rPr>
                              <w:t xml:space="preserve">, </w:t>
                            </w:r>
                            <w:r>
                              <w:rPr>
                                <w:rFonts w:cstheme="minorHAnsi"/>
                                <w:i w:val="0"/>
                                <w:color w:val="4F81BD"/>
                                <w:lang w:val="el-GR"/>
                              </w:rPr>
                              <w:t>και συμπεριλαμβάνουν εισηγήσεις</w:t>
                            </w:r>
                            <w:r w:rsidRPr="00495342">
                              <w:rPr>
                                <w:rFonts w:cstheme="minorHAnsi"/>
                                <w:i w:val="0"/>
                                <w:color w:val="4F81BD"/>
                                <w:lang w:val="el-GR"/>
                              </w:rPr>
                              <w:t xml:space="preserve"> </w:t>
                            </w:r>
                            <w:r>
                              <w:rPr>
                                <w:rFonts w:cstheme="minorHAnsi"/>
                                <w:i w:val="0"/>
                                <w:color w:val="4F81BD"/>
                                <w:lang w:val="el-GR"/>
                              </w:rPr>
                              <w:t>που σκοπό έχουν την βελτίωση</w:t>
                            </w:r>
                            <w:r w:rsidRPr="00495342">
                              <w:rPr>
                                <w:rFonts w:cstheme="minorHAnsi"/>
                                <w:i w:val="0"/>
                                <w:color w:val="4F81BD"/>
                                <w:lang w:val="el-GR"/>
                              </w:rPr>
                              <w:t xml:space="preserve"> </w:t>
                            </w:r>
                            <w:r>
                              <w:rPr>
                                <w:rFonts w:cstheme="minorHAnsi"/>
                                <w:i w:val="0"/>
                                <w:color w:val="4F81BD"/>
                                <w:lang w:val="el-GR"/>
                              </w:rPr>
                              <w:t>της ικανότητας των κρατών</w:t>
                            </w:r>
                            <w:r w:rsidRPr="00495342">
                              <w:rPr>
                                <w:rFonts w:cstheme="minorHAnsi"/>
                                <w:i w:val="0"/>
                                <w:color w:val="4F81BD"/>
                                <w:lang w:val="el-GR"/>
                              </w:rPr>
                              <w:t xml:space="preserve"> </w:t>
                            </w:r>
                            <w:r>
                              <w:rPr>
                                <w:rFonts w:cstheme="minorHAnsi"/>
                                <w:i w:val="0"/>
                                <w:color w:val="4F81BD"/>
                                <w:lang w:val="el-GR"/>
                              </w:rPr>
                              <w:t>να</w:t>
                            </w:r>
                            <w:r w:rsidRPr="00495342">
                              <w:rPr>
                                <w:rFonts w:cstheme="minorHAnsi"/>
                                <w:i w:val="0"/>
                                <w:color w:val="4F81BD"/>
                                <w:lang w:val="el-GR"/>
                              </w:rPr>
                              <w:t xml:space="preserve"> </w:t>
                            </w:r>
                            <w:r>
                              <w:rPr>
                                <w:rFonts w:cstheme="minorHAnsi"/>
                                <w:i w:val="0"/>
                                <w:color w:val="4F81BD"/>
                                <w:lang w:val="el-GR"/>
                              </w:rPr>
                              <w:t>καταπολεμήσουν την διαφθορά</w:t>
                            </w:r>
                            <w:r w:rsidRPr="00495342">
                              <w:rPr>
                                <w:rFonts w:cstheme="minorHAnsi"/>
                                <w:i w:val="0"/>
                                <w:color w:val="4F81BD"/>
                                <w:lang w:val="el-GR"/>
                              </w:rPr>
                              <w:t xml:space="preserve"> </w:t>
                            </w:r>
                            <w:r>
                              <w:rPr>
                                <w:rFonts w:cstheme="minorHAnsi"/>
                                <w:i w:val="0"/>
                                <w:color w:val="4F81BD"/>
                                <w:lang w:val="el-GR"/>
                              </w:rPr>
                              <w:t>και να προωθήσουν την ακεραιότητα</w:t>
                            </w:r>
                            <w:r w:rsidRPr="00495342">
                              <w:rPr>
                                <w:rFonts w:cstheme="minorHAnsi"/>
                                <w:i w:val="0"/>
                                <w:color w:val="4F81BD"/>
                                <w:lang w:val="el-GR"/>
                              </w:rPr>
                              <w:t>.</w:t>
                            </w:r>
                          </w:p>
                          <w:p w14:paraId="22385FBC" w14:textId="378B6397" w:rsidR="00071F64" w:rsidRPr="00AD26CA" w:rsidRDefault="00071F64" w:rsidP="000B39E8">
                            <w:pPr>
                              <w:pStyle w:val="Quote"/>
                              <w:pBdr>
                                <w:top w:val="single" w:sz="48" w:space="8" w:color="4F81BD"/>
                                <w:bottom w:val="single" w:sz="48" w:space="8" w:color="4F81BD"/>
                              </w:pBdr>
                              <w:spacing w:before="160" w:after="160" w:line="300" w:lineRule="auto"/>
                              <w:ind w:left="720" w:right="720"/>
                              <w:rPr>
                                <w:rFonts w:cstheme="minorHAnsi"/>
                                <w:i w:val="0"/>
                                <w:color w:val="4F81BD"/>
                                <w:lang w:val="el-GR"/>
                              </w:rPr>
                            </w:pPr>
                            <w:r>
                              <w:rPr>
                                <w:rFonts w:cstheme="minorHAnsi"/>
                                <w:i w:val="0"/>
                                <w:color w:val="4F81BD"/>
                                <w:lang w:val="el-GR"/>
                              </w:rPr>
                              <w:t>Η ιδιότητα μέλους της</w:t>
                            </w:r>
                            <w:r w:rsidRPr="00AD26CA">
                              <w:rPr>
                                <w:rFonts w:cstheme="minorHAnsi"/>
                                <w:i w:val="0"/>
                                <w:color w:val="4F81BD"/>
                                <w:lang w:val="el-GR"/>
                              </w:rPr>
                              <w:t xml:space="preserve"> </w:t>
                            </w:r>
                            <w:r w:rsidRPr="007E5A21">
                              <w:rPr>
                                <w:rFonts w:cstheme="minorHAnsi"/>
                                <w:i w:val="0"/>
                                <w:color w:val="4F81BD"/>
                              </w:rPr>
                              <w:t>GRECO</w:t>
                            </w:r>
                            <w:r w:rsidRPr="00AD26CA">
                              <w:rPr>
                                <w:rFonts w:cstheme="minorHAnsi"/>
                                <w:i w:val="0"/>
                                <w:color w:val="4F81BD"/>
                                <w:lang w:val="el-GR"/>
                              </w:rPr>
                              <w:t xml:space="preserve"> </w:t>
                            </w:r>
                            <w:r>
                              <w:rPr>
                                <w:rFonts w:cstheme="minorHAnsi"/>
                                <w:i w:val="0"/>
                                <w:color w:val="4F81BD"/>
                                <w:lang w:val="el-GR"/>
                              </w:rPr>
                              <w:t>είναι ανοικτή</w:t>
                            </w:r>
                            <w:r w:rsidRPr="00AD26CA">
                              <w:rPr>
                                <w:rFonts w:cstheme="minorHAnsi"/>
                                <w:i w:val="0"/>
                                <w:color w:val="4F81BD"/>
                                <w:lang w:val="el-GR"/>
                              </w:rPr>
                              <w:t xml:space="preserve">, </w:t>
                            </w:r>
                            <w:r>
                              <w:rPr>
                                <w:rFonts w:cstheme="minorHAnsi"/>
                                <w:i w:val="0"/>
                                <w:color w:val="4F81BD"/>
                                <w:lang w:val="el-GR"/>
                              </w:rPr>
                              <w:t>σε ισότιμη βάση</w:t>
                            </w:r>
                            <w:r w:rsidRPr="00AD26CA">
                              <w:rPr>
                                <w:rFonts w:cstheme="minorHAnsi"/>
                                <w:i w:val="0"/>
                                <w:color w:val="4F81BD"/>
                                <w:lang w:val="el-GR"/>
                              </w:rPr>
                              <w:t xml:space="preserve">, </w:t>
                            </w:r>
                            <w:r>
                              <w:rPr>
                                <w:rFonts w:cstheme="minorHAnsi"/>
                                <w:i w:val="0"/>
                                <w:color w:val="4F81BD"/>
                                <w:lang w:val="el-GR"/>
                              </w:rPr>
                              <w:t>σε κράτη μέλη και μη-κράτη μέλη του Συμβουλίου της Ευρώπης</w:t>
                            </w:r>
                            <w:r w:rsidRPr="00AD26CA">
                              <w:rPr>
                                <w:rFonts w:cstheme="minorHAnsi"/>
                                <w:i w:val="0"/>
                                <w:color w:val="4F81BD"/>
                                <w:lang w:val="el-GR"/>
                              </w:rPr>
                              <w:t xml:space="preserve">. </w:t>
                            </w:r>
                            <w:r>
                              <w:rPr>
                                <w:rFonts w:cstheme="minorHAnsi"/>
                                <w:i w:val="0"/>
                                <w:color w:val="4F81BD"/>
                                <w:lang w:val="el-GR"/>
                              </w:rPr>
                              <w:t>Οι εκθέσεις αξιολόγησης</w:t>
                            </w:r>
                            <w:r w:rsidRPr="00AD26CA">
                              <w:rPr>
                                <w:rFonts w:cstheme="minorHAnsi"/>
                                <w:i w:val="0"/>
                                <w:color w:val="4F81BD"/>
                                <w:lang w:val="el-GR"/>
                              </w:rPr>
                              <w:t xml:space="preserve"> </w:t>
                            </w:r>
                            <w:r>
                              <w:rPr>
                                <w:rFonts w:cstheme="minorHAnsi"/>
                                <w:i w:val="0"/>
                                <w:color w:val="4F81BD"/>
                                <w:lang w:val="el-GR"/>
                              </w:rPr>
                              <w:t>και συμμόρφωσης</w:t>
                            </w:r>
                            <w:r w:rsidRPr="00AD26CA">
                              <w:rPr>
                                <w:rFonts w:cstheme="minorHAnsi"/>
                                <w:i w:val="0"/>
                                <w:color w:val="4F81BD"/>
                                <w:lang w:val="el-GR"/>
                              </w:rPr>
                              <w:t xml:space="preserve"> </w:t>
                            </w:r>
                            <w:r>
                              <w:rPr>
                                <w:rFonts w:cstheme="minorHAnsi"/>
                                <w:i w:val="0"/>
                                <w:color w:val="4F81BD"/>
                                <w:lang w:val="el-GR"/>
                              </w:rPr>
                              <w:t>που έχουν υιοθετηθεί από την</w:t>
                            </w:r>
                            <w:r w:rsidRPr="00AD26CA">
                              <w:rPr>
                                <w:rFonts w:cstheme="minorHAnsi"/>
                                <w:i w:val="0"/>
                                <w:color w:val="4F81BD"/>
                                <w:lang w:val="el-GR"/>
                              </w:rPr>
                              <w:t xml:space="preserve"> </w:t>
                            </w:r>
                            <w:r w:rsidRPr="007E5A21">
                              <w:rPr>
                                <w:rFonts w:cstheme="minorHAnsi"/>
                                <w:i w:val="0"/>
                                <w:color w:val="4F81BD"/>
                              </w:rPr>
                              <w:t>GRECO</w:t>
                            </w:r>
                            <w:r w:rsidRPr="00AD26CA">
                              <w:rPr>
                                <w:rFonts w:cstheme="minorHAnsi"/>
                                <w:i w:val="0"/>
                                <w:color w:val="4F81BD"/>
                                <w:lang w:val="el-GR"/>
                              </w:rPr>
                              <w:t xml:space="preserve">, </w:t>
                            </w:r>
                            <w:r>
                              <w:rPr>
                                <w:rFonts w:cstheme="minorHAnsi"/>
                                <w:i w:val="0"/>
                                <w:color w:val="4F81BD"/>
                                <w:lang w:val="el-GR"/>
                              </w:rPr>
                              <w:t xml:space="preserve">καθώς επίσης και άλλες πληροφορίες για την </w:t>
                            </w:r>
                            <w:r w:rsidRPr="007E5A21">
                              <w:rPr>
                                <w:rFonts w:cstheme="minorHAnsi"/>
                                <w:i w:val="0"/>
                                <w:color w:val="4F81BD"/>
                              </w:rPr>
                              <w:t>GRECO</w:t>
                            </w:r>
                            <w:r w:rsidRPr="00AD26CA">
                              <w:rPr>
                                <w:rFonts w:cstheme="minorHAnsi"/>
                                <w:i w:val="0"/>
                                <w:color w:val="4F81BD"/>
                                <w:lang w:val="el-GR"/>
                              </w:rPr>
                              <w:t xml:space="preserve">, </w:t>
                            </w:r>
                            <w:r>
                              <w:rPr>
                                <w:rFonts w:cstheme="minorHAnsi"/>
                                <w:i w:val="0"/>
                                <w:color w:val="4F81BD"/>
                                <w:lang w:val="el-GR"/>
                              </w:rPr>
                              <w:t>είναι διαθέσιμες στο</w:t>
                            </w:r>
                            <w:r w:rsidRPr="00AD26CA">
                              <w:rPr>
                                <w:rFonts w:cstheme="minorHAnsi"/>
                                <w:i w:val="0"/>
                                <w:color w:val="4F81BD"/>
                                <w:lang w:val="el-GR"/>
                              </w:rPr>
                              <w:t xml:space="preserve">: </w:t>
                            </w:r>
                            <w:hyperlink r:id="rId23" w:history="1">
                              <w:r w:rsidRPr="00AD26CA">
                                <w:rPr>
                                  <w:rStyle w:val="Hyperlink"/>
                                  <w:rFonts w:cstheme="minorHAnsi"/>
                                  <w:i w:val="0"/>
                                  <w:color w:val="4F81BD" w:themeColor="accent1"/>
                                </w:rPr>
                                <w:t>www</w:t>
                              </w:r>
                              <w:r w:rsidRPr="00AD26CA">
                                <w:rPr>
                                  <w:rStyle w:val="Hyperlink"/>
                                  <w:rFonts w:cstheme="minorHAnsi"/>
                                  <w:i w:val="0"/>
                                  <w:color w:val="4F81BD" w:themeColor="accent1"/>
                                  <w:lang w:val="el-GR"/>
                                </w:rPr>
                                <w:t>.</w:t>
                              </w:r>
                              <w:r w:rsidRPr="00AD26CA">
                                <w:rPr>
                                  <w:rStyle w:val="Hyperlink"/>
                                  <w:rFonts w:cstheme="minorHAnsi"/>
                                  <w:i w:val="0"/>
                                  <w:color w:val="4F81BD" w:themeColor="accent1"/>
                                </w:rPr>
                                <w:t>coe</w:t>
                              </w:r>
                              <w:r w:rsidRPr="00AD26CA">
                                <w:rPr>
                                  <w:rStyle w:val="Hyperlink"/>
                                  <w:rFonts w:cstheme="minorHAnsi"/>
                                  <w:i w:val="0"/>
                                  <w:color w:val="4F81BD" w:themeColor="accent1"/>
                                  <w:lang w:val="el-GR"/>
                                </w:rPr>
                                <w:t>.</w:t>
                              </w:r>
                              <w:r w:rsidRPr="00AD26CA">
                                <w:rPr>
                                  <w:rStyle w:val="Hyperlink"/>
                                  <w:rFonts w:cstheme="minorHAnsi"/>
                                  <w:i w:val="0"/>
                                  <w:color w:val="4F81BD" w:themeColor="accent1"/>
                                </w:rPr>
                                <w:t>int</w:t>
                              </w:r>
                              <w:r w:rsidRPr="00AD26CA">
                                <w:rPr>
                                  <w:rStyle w:val="Hyperlink"/>
                                  <w:rFonts w:cstheme="minorHAnsi"/>
                                  <w:i w:val="0"/>
                                  <w:color w:val="4F81BD" w:themeColor="accent1"/>
                                  <w:lang w:val="el-GR"/>
                                </w:rPr>
                                <w:t>/</w:t>
                              </w:r>
                              <w:r w:rsidRPr="00AD26CA">
                                <w:rPr>
                                  <w:rStyle w:val="Hyperlink"/>
                                  <w:rFonts w:cstheme="minorHAnsi"/>
                                  <w:i w:val="0"/>
                                  <w:color w:val="4F81BD" w:themeColor="accent1"/>
                                </w:rPr>
                                <w:t>greco</w:t>
                              </w:r>
                            </w:hyperlink>
                            <w:r w:rsidRPr="00AD26CA">
                              <w:rPr>
                                <w:rFonts w:cstheme="minorHAnsi"/>
                                <w:i w:val="0"/>
                                <w:color w:val="4F81BD" w:themeColor="accent1"/>
                                <w:lang w:val="el-GR"/>
                              </w:rPr>
                              <w:t>.</w:t>
                            </w:r>
                            <w:r w:rsidRPr="00AD26CA">
                              <w:rPr>
                                <w:rFonts w:cstheme="minorHAnsi"/>
                                <w:i w:val="0"/>
                                <w:color w:val="4F81BD"/>
                                <w:lang w:val="el-GR"/>
                              </w:rPr>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B76EA14" id="_x0000_t202" coordsize="21600,21600" o:spt="202" path="m,l,21600r21600,l21600,xe">
                <v:stroke joinstyle="miter"/>
                <v:path gradientshapeok="t" o:connecttype="rect"/>
              </v:shapetype>
              <v:shape id="Text Box 3" o:spid="_x0000_s1026" type="#_x0000_t202" style="position:absolute;left:0;text-align:left;margin-left:-25.95pt;margin-top:195.6pt;width:488.25pt;height:367.75pt;z-index:-25165670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" filled="f" stroked="f" strokeweight=".5pt">
                <v:textbox style="mso-fit-shape-to-text:t" inset="0,7.2pt,0,7.2pt">
                  <w:txbxContent>
                    <w:p w14:paraId="74199F0D" w14:textId="58568B32" w:rsidR="00071F64" w:rsidRPr="00231837" w:rsidRDefault="00071F64" w:rsidP="000B39E8">
                      <w:pPr>
                        <w:pStyle w:val="Quote"/>
                        <w:pBdr>
                          <w:top w:val="single" w:sz="48" w:space="8" w:color="4F81BD"/>
                          <w:bottom w:val="single" w:sz="48" w:space="8" w:color="4F81BD"/>
                        </w:pBdr>
                        <w:spacing w:before="160" w:after="160" w:line="300" w:lineRule="auto"/>
                        <w:ind w:left="720" w:right="720"/>
                        <w:jc w:val="center"/>
                        <w:rPr>
                          <w:rFonts w:cstheme="minorHAnsi"/>
                          <w:b/>
                          <w:i w:val="0"/>
                          <w:color w:val="4F81BD"/>
                          <w:lang w:val="el-GR"/>
                        </w:rPr>
                      </w:pPr>
                      <w:r w:rsidRPr="00231837">
                        <w:rPr>
                          <w:rFonts w:asciiTheme="minorHAnsi" w:hAnsiTheme="minorHAnsi" w:cstheme="minorHAnsi"/>
                          <w:b/>
                          <w:i w:val="0"/>
                          <w:color w:val="4F81BD"/>
                          <w:lang w:val="el-GR"/>
                        </w:rPr>
                        <w:br/>
                      </w:r>
                      <w:r>
                        <w:rPr>
                          <w:rFonts w:cstheme="minorHAnsi"/>
                          <w:b/>
                          <w:i w:val="0"/>
                          <w:color w:val="4F81BD"/>
                          <w:lang w:val="el-GR"/>
                        </w:rPr>
                        <w:t>Για την</w:t>
                      </w:r>
                      <w:r w:rsidRPr="00231837">
                        <w:rPr>
                          <w:rFonts w:cstheme="minorHAnsi"/>
                          <w:b/>
                          <w:i w:val="0"/>
                          <w:color w:val="4F81BD"/>
                          <w:lang w:val="el-GR"/>
                        </w:rPr>
                        <w:t xml:space="preserve"> </w:t>
                      </w:r>
                      <w:r w:rsidRPr="007E5A21">
                        <w:rPr>
                          <w:rFonts w:cstheme="minorHAnsi"/>
                          <w:b/>
                          <w:i w:val="0"/>
                          <w:color w:val="4F81BD"/>
                        </w:rPr>
                        <w:t>GRECO</w:t>
                      </w:r>
                    </w:p>
                    <w:p w14:paraId="15F7B6AD" w14:textId="7FE6FC37" w:rsidR="00071F64" w:rsidRPr="001C6A40" w:rsidRDefault="00071F64" w:rsidP="000B39E8">
                      <w:pPr>
                        <w:pStyle w:val="Quote"/>
                        <w:pBdr>
                          <w:top w:val="single" w:sz="48" w:space="8" w:color="4F81BD"/>
                          <w:bottom w:val="single" w:sz="48" w:space="8" w:color="4F81BD"/>
                        </w:pBdr>
                        <w:spacing w:before="160" w:after="160" w:line="300" w:lineRule="auto"/>
                        <w:ind w:left="720" w:right="720"/>
                        <w:rPr>
                          <w:rFonts w:cstheme="minorHAnsi"/>
                          <w:i w:val="0"/>
                          <w:color w:val="4F81BD"/>
                          <w:lang w:val="el-GR"/>
                        </w:rPr>
                      </w:pPr>
                      <w:r>
                        <w:rPr>
                          <w:rFonts w:cstheme="minorHAnsi"/>
                          <w:i w:val="0"/>
                          <w:color w:val="4F81BD"/>
                          <w:lang w:val="el-GR"/>
                        </w:rPr>
                        <w:t>Η</w:t>
                      </w:r>
                      <w:r w:rsidRPr="00C365A4">
                        <w:rPr>
                          <w:rFonts w:cstheme="minorHAnsi"/>
                          <w:i w:val="0"/>
                          <w:color w:val="4F81BD"/>
                          <w:lang w:val="el-GR"/>
                        </w:rPr>
                        <w:t xml:space="preserve"> </w:t>
                      </w:r>
                      <w:r>
                        <w:rPr>
                          <w:rFonts w:cstheme="minorHAnsi"/>
                          <w:i w:val="0"/>
                          <w:color w:val="4F81BD"/>
                          <w:lang w:val="el-GR"/>
                        </w:rPr>
                        <w:t>Ομάδα</w:t>
                      </w:r>
                      <w:r w:rsidRPr="00C365A4">
                        <w:rPr>
                          <w:rFonts w:cstheme="minorHAnsi"/>
                          <w:i w:val="0"/>
                          <w:color w:val="4F81BD"/>
                          <w:lang w:val="el-GR"/>
                        </w:rPr>
                        <w:t xml:space="preserve"> </w:t>
                      </w:r>
                      <w:r>
                        <w:rPr>
                          <w:rFonts w:cstheme="minorHAnsi"/>
                          <w:i w:val="0"/>
                          <w:color w:val="4F81BD"/>
                          <w:lang w:val="el-GR"/>
                        </w:rPr>
                        <w:t>Κρατών</w:t>
                      </w:r>
                      <w:r w:rsidRPr="00C365A4">
                        <w:rPr>
                          <w:rFonts w:cstheme="minorHAnsi"/>
                          <w:i w:val="0"/>
                          <w:color w:val="4F81BD"/>
                          <w:lang w:val="el-GR"/>
                        </w:rPr>
                        <w:t xml:space="preserve"> </w:t>
                      </w:r>
                      <w:r>
                        <w:rPr>
                          <w:rFonts w:cstheme="minorHAnsi"/>
                          <w:i w:val="0"/>
                          <w:color w:val="4F81BD"/>
                          <w:lang w:val="el-GR"/>
                        </w:rPr>
                        <w:t>κατά</w:t>
                      </w:r>
                      <w:r w:rsidRPr="00C365A4">
                        <w:rPr>
                          <w:rFonts w:cstheme="minorHAnsi"/>
                          <w:i w:val="0"/>
                          <w:color w:val="4F81BD"/>
                          <w:lang w:val="el-GR"/>
                        </w:rPr>
                        <w:t xml:space="preserve"> </w:t>
                      </w:r>
                      <w:r>
                        <w:rPr>
                          <w:rFonts w:cstheme="minorHAnsi"/>
                          <w:i w:val="0"/>
                          <w:color w:val="4F81BD"/>
                          <w:lang w:val="el-GR"/>
                        </w:rPr>
                        <w:t>της</w:t>
                      </w:r>
                      <w:r w:rsidRPr="00C365A4">
                        <w:rPr>
                          <w:rFonts w:cstheme="minorHAnsi"/>
                          <w:i w:val="0"/>
                          <w:color w:val="4F81BD"/>
                          <w:lang w:val="el-GR"/>
                        </w:rPr>
                        <w:t xml:space="preserve"> </w:t>
                      </w:r>
                      <w:r>
                        <w:rPr>
                          <w:rFonts w:cstheme="minorHAnsi"/>
                          <w:i w:val="0"/>
                          <w:color w:val="4F81BD"/>
                          <w:lang w:val="el-GR"/>
                        </w:rPr>
                        <w:t>Διαφθοράς</w:t>
                      </w:r>
                      <w:r w:rsidRPr="00C365A4">
                        <w:rPr>
                          <w:rFonts w:cstheme="minorHAnsi"/>
                          <w:i w:val="0"/>
                          <w:color w:val="4F81BD"/>
                          <w:lang w:val="el-GR"/>
                        </w:rPr>
                        <w:t xml:space="preserve"> (</w:t>
                      </w:r>
                      <w:r w:rsidRPr="007E5A21">
                        <w:rPr>
                          <w:rFonts w:cstheme="minorHAnsi"/>
                          <w:i w:val="0"/>
                          <w:color w:val="4F81BD"/>
                        </w:rPr>
                        <w:t>GRECO</w:t>
                      </w:r>
                      <w:r w:rsidRPr="00C365A4">
                        <w:rPr>
                          <w:rFonts w:cstheme="minorHAnsi"/>
                          <w:i w:val="0"/>
                          <w:color w:val="4F81BD"/>
                          <w:lang w:val="el-GR"/>
                        </w:rPr>
                        <w:t xml:space="preserve">) </w:t>
                      </w:r>
                      <w:r>
                        <w:rPr>
                          <w:rFonts w:cstheme="minorHAnsi"/>
                          <w:i w:val="0"/>
                          <w:color w:val="4F81BD"/>
                          <w:lang w:val="el-GR"/>
                        </w:rPr>
                        <w:t>παρακολουθεί την συμμόρφωση</w:t>
                      </w:r>
                      <w:r w:rsidRPr="00C365A4">
                        <w:rPr>
                          <w:rFonts w:cstheme="minorHAnsi"/>
                          <w:i w:val="0"/>
                          <w:color w:val="4F81BD"/>
                          <w:lang w:val="el-GR"/>
                        </w:rPr>
                        <w:t xml:space="preserve"> </w:t>
                      </w:r>
                      <w:r>
                        <w:rPr>
                          <w:rFonts w:cstheme="minorHAnsi"/>
                          <w:i w:val="0"/>
                          <w:color w:val="4F81BD"/>
                          <w:lang w:val="el-GR"/>
                        </w:rPr>
                        <w:t>των κρατών μελών της με τα εργαλεία κατά την διαφθορά του Συμβουλίου της Ευρώπης</w:t>
                      </w:r>
                      <w:r w:rsidRPr="00C365A4">
                        <w:rPr>
                          <w:rFonts w:cstheme="minorHAnsi"/>
                          <w:i w:val="0"/>
                          <w:color w:val="4F81BD"/>
                          <w:lang w:val="el-GR"/>
                        </w:rPr>
                        <w:t xml:space="preserve">. </w:t>
                      </w:r>
                      <w:r>
                        <w:rPr>
                          <w:rFonts w:cstheme="minorHAnsi"/>
                          <w:i w:val="0"/>
                          <w:color w:val="4F81BD"/>
                          <w:lang w:val="el-GR"/>
                        </w:rPr>
                        <w:t>Η</w:t>
                      </w:r>
                      <w:r w:rsidRPr="001C6A40">
                        <w:rPr>
                          <w:rFonts w:cstheme="minorHAnsi"/>
                          <w:i w:val="0"/>
                          <w:color w:val="4F81BD"/>
                          <w:lang w:val="el-GR"/>
                        </w:rPr>
                        <w:t xml:space="preserve"> </w:t>
                      </w:r>
                      <w:r>
                        <w:rPr>
                          <w:rFonts w:cstheme="minorHAnsi"/>
                          <w:i w:val="0"/>
                          <w:color w:val="4F81BD"/>
                          <w:lang w:val="el-GR"/>
                        </w:rPr>
                        <w:t>παρακολούθηση</w:t>
                      </w:r>
                      <w:r w:rsidRPr="001C6A40">
                        <w:rPr>
                          <w:rFonts w:cstheme="minorHAnsi"/>
                          <w:i w:val="0"/>
                          <w:color w:val="4F81BD"/>
                          <w:lang w:val="el-GR"/>
                        </w:rPr>
                        <w:t xml:space="preserve"> </w:t>
                      </w:r>
                      <w:r>
                        <w:rPr>
                          <w:rFonts w:cstheme="minorHAnsi"/>
                          <w:i w:val="0"/>
                          <w:color w:val="4F81BD"/>
                          <w:lang w:val="el-GR"/>
                        </w:rPr>
                        <w:t>της</w:t>
                      </w:r>
                      <w:r w:rsidRPr="001C6A40">
                        <w:rPr>
                          <w:rFonts w:cstheme="minorHAnsi"/>
                          <w:i w:val="0"/>
                          <w:color w:val="4F81BD"/>
                          <w:lang w:val="el-GR"/>
                        </w:rPr>
                        <w:t xml:space="preserve"> </w:t>
                      </w:r>
                      <w:r w:rsidRPr="007E5A21">
                        <w:rPr>
                          <w:rFonts w:cstheme="minorHAnsi"/>
                          <w:i w:val="0"/>
                          <w:color w:val="4F81BD"/>
                        </w:rPr>
                        <w:t>GRECO</w:t>
                      </w:r>
                      <w:r w:rsidRPr="001C6A40">
                        <w:rPr>
                          <w:rFonts w:cstheme="minorHAnsi"/>
                          <w:i w:val="0"/>
                          <w:color w:val="4F81BD"/>
                          <w:lang w:val="el-GR"/>
                        </w:rPr>
                        <w:t xml:space="preserve"> </w:t>
                      </w:r>
                      <w:r>
                        <w:rPr>
                          <w:rFonts w:cstheme="minorHAnsi"/>
                          <w:i w:val="0"/>
                          <w:color w:val="4F81BD"/>
                          <w:lang w:val="el-GR"/>
                        </w:rPr>
                        <w:t>αποτελείται</w:t>
                      </w:r>
                      <w:r w:rsidRPr="001C6A40">
                        <w:rPr>
                          <w:rFonts w:cstheme="minorHAnsi"/>
                          <w:i w:val="0"/>
                          <w:color w:val="4F81BD"/>
                          <w:lang w:val="el-GR"/>
                        </w:rPr>
                        <w:t xml:space="preserve"> </w:t>
                      </w:r>
                      <w:r>
                        <w:rPr>
                          <w:rFonts w:cstheme="minorHAnsi"/>
                          <w:i w:val="0"/>
                          <w:color w:val="4F81BD"/>
                          <w:lang w:val="el-GR"/>
                        </w:rPr>
                        <w:t>από</w:t>
                      </w:r>
                      <w:r w:rsidRPr="001C6A40">
                        <w:rPr>
                          <w:rFonts w:cstheme="minorHAnsi"/>
                          <w:i w:val="0"/>
                          <w:color w:val="4F81BD"/>
                          <w:lang w:val="el-GR"/>
                        </w:rPr>
                        <w:t xml:space="preserve"> </w:t>
                      </w:r>
                      <w:r>
                        <w:rPr>
                          <w:rFonts w:cstheme="minorHAnsi"/>
                          <w:i w:val="0"/>
                          <w:color w:val="4F81BD"/>
                          <w:lang w:val="el-GR"/>
                        </w:rPr>
                        <w:t>μια</w:t>
                      </w:r>
                      <w:r w:rsidRPr="001C6A40">
                        <w:rPr>
                          <w:rFonts w:cstheme="minorHAnsi"/>
                          <w:i w:val="0"/>
                          <w:color w:val="4F81BD"/>
                          <w:lang w:val="el-GR"/>
                        </w:rPr>
                        <w:t xml:space="preserve"> “</w:t>
                      </w:r>
                      <w:r>
                        <w:rPr>
                          <w:rFonts w:cstheme="minorHAnsi"/>
                          <w:i w:val="0"/>
                          <w:color w:val="4F81BD"/>
                          <w:lang w:val="el-GR"/>
                        </w:rPr>
                        <w:t>διαδικασία</w:t>
                      </w:r>
                      <w:r w:rsidRPr="001C6A40">
                        <w:rPr>
                          <w:rFonts w:cstheme="minorHAnsi"/>
                          <w:i w:val="0"/>
                          <w:color w:val="4F81BD"/>
                          <w:lang w:val="el-GR"/>
                        </w:rPr>
                        <w:t xml:space="preserve"> </w:t>
                      </w:r>
                      <w:r>
                        <w:rPr>
                          <w:rFonts w:cstheme="minorHAnsi"/>
                          <w:i w:val="0"/>
                          <w:color w:val="4F81BD"/>
                          <w:lang w:val="el-GR"/>
                        </w:rPr>
                        <w:t>αξιολόγησης</w:t>
                      </w:r>
                      <w:r w:rsidRPr="001C6A40">
                        <w:rPr>
                          <w:rFonts w:cstheme="minorHAnsi"/>
                          <w:i w:val="0"/>
                          <w:color w:val="4F81BD"/>
                          <w:lang w:val="el-GR"/>
                        </w:rPr>
                        <w:t xml:space="preserve">” </w:t>
                      </w:r>
                      <w:r>
                        <w:rPr>
                          <w:rFonts w:cstheme="minorHAnsi"/>
                          <w:i w:val="0"/>
                          <w:color w:val="4F81BD"/>
                          <w:lang w:val="el-GR"/>
                        </w:rPr>
                        <w:t>που</w:t>
                      </w:r>
                      <w:r w:rsidRPr="001C6A40">
                        <w:rPr>
                          <w:rFonts w:cstheme="minorHAnsi"/>
                          <w:i w:val="0"/>
                          <w:color w:val="4F81BD"/>
                          <w:lang w:val="el-GR"/>
                        </w:rPr>
                        <w:t xml:space="preserve"> </w:t>
                      </w:r>
                      <w:r>
                        <w:rPr>
                          <w:rFonts w:cstheme="minorHAnsi"/>
                          <w:i w:val="0"/>
                          <w:color w:val="4F81BD"/>
                          <w:lang w:val="el-GR"/>
                        </w:rPr>
                        <w:t>βασίζεται</w:t>
                      </w:r>
                      <w:r w:rsidRPr="001C6A40">
                        <w:rPr>
                          <w:rFonts w:cstheme="minorHAnsi"/>
                          <w:i w:val="0"/>
                          <w:color w:val="4F81BD"/>
                          <w:lang w:val="el-GR"/>
                        </w:rPr>
                        <w:t xml:space="preserve"> </w:t>
                      </w:r>
                      <w:r>
                        <w:rPr>
                          <w:rFonts w:cstheme="minorHAnsi"/>
                          <w:i w:val="0"/>
                          <w:color w:val="4F81BD"/>
                          <w:lang w:val="el-GR"/>
                        </w:rPr>
                        <w:t>στις</w:t>
                      </w:r>
                      <w:r w:rsidRPr="001C6A40">
                        <w:rPr>
                          <w:rFonts w:cstheme="minorHAnsi"/>
                          <w:i w:val="0"/>
                          <w:color w:val="4F81BD"/>
                          <w:lang w:val="el-GR"/>
                        </w:rPr>
                        <w:t xml:space="preserve"> </w:t>
                      </w:r>
                      <w:r>
                        <w:rPr>
                          <w:rFonts w:cstheme="minorHAnsi"/>
                          <w:i w:val="0"/>
                          <w:color w:val="4F81BD"/>
                          <w:lang w:val="el-GR"/>
                        </w:rPr>
                        <w:t>συγκεκριμένες</w:t>
                      </w:r>
                      <w:r w:rsidRPr="001C6A40">
                        <w:rPr>
                          <w:rFonts w:cstheme="minorHAnsi"/>
                          <w:i w:val="0"/>
                          <w:color w:val="4F81BD"/>
                          <w:lang w:val="el-GR"/>
                        </w:rPr>
                        <w:t xml:space="preserve"> </w:t>
                      </w:r>
                      <w:r>
                        <w:rPr>
                          <w:rFonts w:cstheme="minorHAnsi"/>
                          <w:i w:val="0"/>
                          <w:color w:val="4F81BD"/>
                          <w:lang w:val="el-GR"/>
                        </w:rPr>
                        <w:t>απαντήσεις</w:t>
                      </w:r>
                      <w:r w:rsidRPr="001C6A40">
                        <w:rPr>
                          <w:rFonts w:cstheme="minorHAnsi"/>
                          <w:i w:val="0"/>
                          <w:color w:val="4F81BD"/>
                          <w:lang w:val="el-GR"/>
                        </w:rPr>
                        <w:t xml:space="preserve"> </w:t>
                      </w:r>
                      <w:r>
                        <w:rPr>
                          <w:rFonts w:cstheme="minorHAnsi"/>
                          <w:i w:val="0"/>
                          <w:color w:val="4F81BD"/>
                          <w:lang w:val="el-GR"/>
                        </w:rPr>
                        <w:t>των</w:t>
                      </w:r>
                      <w:r w:rsidRPr="001C6A40">
                        <w:rPr>
                          <w:rFonts w:cstheme="minorHAnsi"/>
                          <w:i w:val="0"/>
                          <w:color w:val="4F81BD"/>
                          <w:lang w:val="el-GR"/>
                        </w:rPr>
                        <w:t xml:space="preserve"> </w:t>
                      </w:r>
                      <w:r>
                        <w:rPr>
                          <w:rFonts w:cstheme="minorHAnsi"/>
                          <w:i w:val="0"/>
                          <w:color w:val="4F81BD"/>
                          <w:lang w:val="el-GR"/>
                        </w:rPr>
                        <w:t>χωρών</w:t>
                      </w:r>
                      <w:r w:rsidRPr="001C6A40">
                        <w:rPr>
                          <w:rFonts w:cstheme="minorHAnsi"/>
                          <w:i w:val="0"/>
                          <w:color w:val="4F81BD"/>
                          <w:lang w:val="el-GR"/>
                        </w:rPr>
                        <w:t xml:space="preserve"> </w:t>
                      </w:r>
                      <w:r>
                        <w:rPr>
                          <w:rFonts w:cstheme="minorHAnsi"/>
                          <w:i w:val="0"/>
                          <w:color w:val="4F81BD"/>
                          <w:lang w:val="el-GR"/>
                        </w:rPr>
                        <w:t>σε</w:t>
                      </w:r>
                      <w:r w:rsidRPr="001C6A40">
                        <w:rPr>
                          <w:rFonts w:cstheme="minorHAnsi"/>
                          <w:i w:val="0"/>
                          <w:color w:val="4F81BD"/>
                          <w:lang w:val="el-GR"/>
                        </w:rPr>
                        <w:t xml:space="preserve"> </w:t>
                      </w:r>
                      <w:r>
                        <w:rPr>
                          <w:rFonts w:cstheme="minorHAnsi"/>
                          <w:i w:val="0"/>
                          <w:color w:val="4F81BD"/>
                          <w:lang w:val="el-GR"/>
                        </w:rPr>
                        <w:t>ένα</w:t>
                      </w:r>
                      <w:r w:rsidRPr="001C6A40">
                        <w:rPr>
                          <w:rFonts w:cstheme="minorHAnsi"/>
                          <w:i w:val="0"/>
                          <w:color w:val="4F81BD"/>
                          <w:lang w:val="el-GR"/>
                        </w:rPr>
                        <w:t xml:space="preserve"> </w:t>
                      </w:r>
                      <w:r>
                        <w:rPr>
                          <w:rFonts w:cstheme="minorHAnsi"/>
                          <w:i w:val="0"/>
                          <w:color w:val="4F81BD"/>
                          <w:lang w:val="el-GR"/>
                        </w:rPr>
                        <w:t>ερωτηματολόγιο</w:t>
                      </w:r>
                      <w:r w:rsidRPr="001C6A40">
                        <w:rPr>
                          <w:rFonts w:cstheme="minorHAnsi"/>
                          <w:i w:val="0"/>
                          <w:color w:val="4F81BD"/>
                          <w:lang w:val="el-GR"/>
                        </w:rPr>
                        <w:t xml:space="preserve"> </w:t>
                      </w:r>
                      <w:r>
                        <w:rPr>
                          <w:rFonts w:cstheme="minorHAnsi"/>
                          <w:i w:val="0"/>
                          <w:color w:val="4F81BD"/>
                          <w:lang w:val="el-GR"/>
                        </w:rPr>
                        <w:t>και</w:t>
                      </w:r>
                      <w:r w:rsidRPr="001C6A40">
                        <w:rPr>
                          <w:rFonts w:cstheme="minorHAnsi"/>
                          <w:i w:val="0"/>
                          <w:color w:val="4F81BD"/>
                          <w:lang w:val="el-GR"/>
                        </w:rPr>
                        <w:t xml:space="preserve"> </w:t>
                      </w:r>
                      <w:r>
                        <w:rPr>
                          <w:rFonts w:cstheme="minorHAnsi"/>
                          <w:i w:val="0"/>
                          <w:color w:val="4F81BD"/>
                          <w:lang w:val="el-GR"/>
                        </w:rPr>
                        <w:t>σε</w:t>
                      </w:r>
                      <w:r w:rsidRPr="001C6A40">
                        <w:rPr>
                          <w:rFonts w:cstheme="minorHAnsi"/>
                          <w:i w:val="0"/>
                          <w:color w:val="4F81BD"/>
                          <w:lang w:val="el-GR"/>
                        </w:rPr>
                        <w:t xml:space="preserve"> </w:t>
                      </w:r>
                      <w:r>
                        <w:rPr>
                          <w:rFonts w:cstheme="minorHAnsi"/>
                          <w:i w:val="0"/>
                          <w:color w:val="4F81BD"/>
                          <w:lang w:val="el-GR"/>
                        </w:rPr>
                        <w:t>επί τόπου επισκέψεις</w:t>
                      </w:r>
                      <w:r w:rsidRPr="001C6A40">
                        <w:rPr>
                          <w:rFonts w:cstheme="minorHAnsi"/>
                          <w:i w:val="0"/>
                          <w:color w:val="4F81BD"/>
                          <w:lang w:val="el-GR"/>
                        </w:rPr>
                        <w:t xml:space="preserve">, </w:t>
                      </w:r>
                      <w:r>
                        <w:rPr>
                          <w:rFonts w:cstheme="minorHAnsi"/>
                          <w:i w:val="0"/>
                          <w:color w:val="4F81BD"/>
                          <w:lang w:val="el-GR"/>
                        </w:rPr>
                        <w:t>που ακολουθείται από</w:t>
                      </w:r>
                      <w:r w:rsidRPr="001C6A40">
                        <w:rPr>
                          <w:rFonts w:cstheme="minorHAnsi"/>
                          <w:i w:val="0"/>
                          <w:color w:val="4F81BD"/>
                          <w:lang w:val="el-GR"/>
                        </w:rPr>
                        <w:t xml:space="preserve"> </w:t>
                      </w:r>
                      <w:r>
                        <w:rPr>
                          <w:rFonts w:cstheme="minorHAnsi"/>
                          <w:i w:val="0"/>
                          <w:color w:val="4F81BD"/>
                          <w:lang w:val="el-GR"/>
                        </w:rPr>
                        <w:t>μια εκτίμηση επιπτώσεων</w:t>
                      </w:r>
                      <w:r w:rsidRPr="001C6A40">
                        <w:rPr>
                          <w:rFonts w:cstheme="minorHAnsi"/>
                          <w:i w:val="0"/>
                          <w:color w:val="4F81BD"/>
                          <w:lang w:val="el-GR"/>
                        </w:rPr>
                        <w:t xml:space="preserve"> (“</w:t>
                      </w:r>
                      <w:r>
                        <w:rPr>
                          <w:rFonts w:cstheme="minorHAnsi"/>
                          <w:i w:val="0"/>
                          <w:color w:val="4F81BD"/>
                          <w:lang w:val="el-GR"/>
                        </w:rPr>
                        <w:t>διαδικασία συμμόρφωσης</w:t>
                      </w:r>
                      <w:r w:rsidRPr="001C6A40">
                        <w:rPr>
                          <w:rFonts w:cstheme="minorHAnsi"/>
                          <w:i w:val="0"/>
                          <w:color w:val="4F81BD"/>
                          <w:lang w:val="el-GR"/>
                        </w:rPr>
                        <w:t xml:space="preserve">”) </w:t>
                      </w:r>
                      <w:r>
                        <w:rPr>
                          <w:rFonts w:cstheme="minorHAnsi"/>
                          <w:i w:val="0"/>
                          <w:color w:val="4F81BD"/>
                          <w:lang w:val="el-GR"/>
                        </w:rPr>
                        <w:t>που εξετάζει</w:t>
                      </w:r>
                      <w:r w:rsidRPr="001C6A40">
                        <w:rPr>
                          <w:rFonts w:cstheme="minorHAnsi"/>
                          <w:i w:val="0"/>
                          <w:color w:val="4F81BD"/>
                          <w:lang w:val="el-GR"/>
                        </w:rPr>
                        <w:t xml:space="preserve"> </w:t>
                      </w:r>
                      <w:r>
                        <w:rPr>
                          <w:rFonts w:cstheme="minorHAnsi"/>
                          <w:i w:val="0"/>
                          <w:color w:val="4F81BD"/>
                          <w:lang w:val="el-GR"/>
                        </w:rPr>
                        <w:t>τα μέτρα που έχουν ληφθεί</w:t>
                      </w:r>
                      <w:r w:rsidRPr="001C6A40">
                        <w:rPr>
                          <w:rFonts w:cstheme="minorHAnsi"/>
                          <w:i w:val="0"/>
                          <w:color w:val="4F81BD"/>
                          <w:lang w:val="el-GR"/>
                        </w:rPr>
                        <w:t xml:space="preserve"> </w:t>
                      </w:r>
                      <w:r>
                        <w:rPr>
                          <w:rFonts w:cstheme="minorHAnsi"/>
                          <w:i w:val="0"/>
                          <w:color w:val="4F81BD"/>
                          <w:lang w:val="el-GR"/>
                        </w:rPr>
                        <w:t>για την υλοποίηση των εισηγήσεων</w:t>
                      </w:r>
                      <w:r w:rsidRPr="001C6A40">
                        <w:rPr>
                          <w:rFonts w:cstheme="minorHAnsi"/>
                          <w:i w:val="0"/>
                          <w:color w:val="4F81BD"/>
                          <w:lang w:val="el-GR"/>
                        </w:rPr>
                        <w:t xml:space="preserve"> </w:t>
                      </w:r>
                      <w:r>
                        <w:rPr>
                          <w:rFonts w:cstheme="minorHAnsi"/>
                          <w:i w:val="0"/>
                          <w:color w:val="4F81BD"/>
                          <w:lang w:val="el-GR"/>
                        </w:rPr>
                        <w:t>που προέρχονται από τις αξιολογήσεις των χωρών</w:t>
                      </w:r>
                      <w:r w:rsidRPr="001C6A40">
                        <w:rPr>
                          <w:rFonts w:cstheme="minorHAnsi"/>
                          <w:i w:val="0"/>
                          <w:color w:val="4F81BD"/>
                          <w:lang w:val="el-GR"/>
                        </w:rPr>
                        <w:t xml:space="preserve">. </w:t>
                      </w:r>
                      <w:r>
                        <w:rPr>
                          <w:rFonts w:cstheme="minorHAnsi"/>
                          <w:i w:val="0"/>
                          <w:color w:val="4F81BD"/>
                          <w:lang w:val="el-GR"/>
                        </w:rPr>
                        <w:t>Εξασκείται</w:t>
                      </w:r>
                      <w:r w:rsidRPr="001C6A40">
                        <w:rPr>
                          <w:rFonts w:cstheme="minorHAnsi"/>
                          <w:i w:val="0"/>
                          <w:color w:val="4F81BD"/>
                          <w:lang w:val="el-GR"/>
                        </w:rPr>
                        <w:t xml:space="preserve"> </w:t>
                      </w:r>
                      <w:r>
                        <w:rPr>
                          <w:rFonts w:cstheme="minorHAnsi"/>
                          <w:i w:val="0"/>
                          <w:color w:val="4F81BD"/>
                          <w:lang w:val="el-GR"/>
                        </w:rPr>
                        <w:t>μια</w:t>
                      </w:r>
                      <w:r w:rsidRPr="001C6A40">
                        <w:rPr>
                          <w:rFonts w:cstheme="minorHAnsi"/>
                          <w:i w:val="0"/>
                          <w:color w:val="4F81BD"/>
                          <w:lang w:val="el-GR"/>
                        </w:rPr>
                        <w:t xml:space="preserve"> </w:t>
                      </w:r>
                      <w:r>
                        <w:rPr>
                          <w:rFonts w:cstheme="minorHAnsi"/>
                          <w:i w:val="0"/>
                          <w:color w:val="4F81BD"/>
                          <w:lang w:val="el-GR"/>
                        </w:rPr>
                        <w:t>δυναμική</w:t>
                      </w:r>
                      <w:r w:rsidRPr="001C6A40">
                        <w:rPr>
                          <w:rFonts w:cstheme="minorHAnsi"/>
                          <w:i w:val="0"/>
                          <w:color w:val="4F81BD"/>
                          <w:lang w:val="el-GR"/>
                        </w:rPr>
                        <w:t xml:space="preserve"> </w:t>
                      </w:r>
                      <w:r>
                        <w:rPr>
                          <w:rFonts w:cstheme="minorHAnsi"/>
                          <w:i w:val="0"/>
                          <w:color w:val="4F81BD"/>
                          <w:lang w:val="el-GR"/>
                        </w:rPr>
                        <w:t>διαδικασία</w:t>
                      </w:r>
                      <w:r w:rsidRPr="001C6A40">
                        <w:rPr>
                          <w:rFonts w:cstheme="minorHAnsi"/>
                          <w:i w:val="0"/>
                          <w:color w:val="4F81BD"/>
                          <w:lang w:val="el-GR"/>
                        </w:rPr>
                        <w:t xml:space="preserve"> </w:t>
                      </w:r>
                      <w:r>
                        <w:rPr>
                          <w:rFonts w:cstheme="minorHAnsi"/>
                          <w:i w:val="0"/>
                          <w:color w:val="4F81BD"/>
                          <w:lang w:val="el-GR"/>
                        </w:rPr>
                        <w:t>αμοιβαίας</w:t>
                      </w:r>
                      <w:r w:rsidRPr="001C6A40">
                        <w:rPr>
                          <w:rFonts w:cstheme="minorHAnsi"/>
                          <w:i w:val="0"/>
                          <w:color w:val="4F81BD"/>
                          <w:lang w:val="el-GR"/>
                        </w:rPr>
                        <w:t xml:space="preserve"> </w:t>
                      </w:r>
                      <w:r>
                        <w:rPr>
                          <w:rFonts w:cstheme="minorHAnsi"/>
                          <w:i w:val="0"/>
                          <w:color w:val="4F81BD"/>
                          <w:lang w:val="el-GR"/>
                        </w:rPr>
                        <w:t>αξιολόγησης</w:t>
                      </w:r>
                      <w:r w:rsidRPr="001C6A40">
                        <w:rPr>
                          <w:rFonts w:cstheme="minorHAnsi"/>
                          <w:i w:val="0"/>
                          <w:color w:val="4F81BD"/>
                          <w:lang w:val="el-GR"/>
                        </w:rPr>
                        <w:t xml:space="preserve"> </w:t>
                      </w:r>
                      <w:r>
                        <w:rPr>
                          <w:rFonts w:cstheme="minorHAnsi"/>
                          <w:i w:val="0"/>
                          <w:color w:val="4F81BD"/>
                          <w:lang w:val="el-GR"/>
                        </w:rPr>
                        <w:t>και</w:t>
                      </w:r>
                      <w:r w:rsidRPr="001C6A40">
                        <w:rPr>
                          <w:rFonts w:cstheme="minorHAnsi"/>
                          <w:i w:val="0"/>
                          <w:color w:val="4F81BD"/>
                          <w:lang w:val="el-GR"/>
                        </w:rPr>
                        <w:t xml:space="preserve"> </w:t>
                      </w:r>
                      <w:r>
                        <w:rPr>
                          <w:rFonts w:cstheme="minorHAnsi"/>
                          <w:i w:val="0"/>
                          <w:color w:val="4F81BD"/>
                          <w:lang w:val="el-GR"/>
                        </w:rPr>
                        <w:t>πίεσης</w:t>
                      </w:r>
                      <w:r w:rsidRPr="001C6A40">
                        <w:rPr>
                          <w:rFonts w:cstheme="minorHAnsi"/>
                          <w:i w:val="0"/>
                          <w:color w:val="4F81BD"/>
                          <w:lang w:val="el-GR"/>
                        </w:rPr>
                        <w:t xml:space="preserve"> </w:t>
                      </w:r>
                      <w:r>
                        <w:rPr>
                          <w:rFonts w:cstheme="minorHAnsi"/>
                          <w:i w:val="0"/>
                          <w:color w:val="4F81BD"/>
                          <w:lang w:val="el-GR"/>
                        </w:rPr>
                        <w:t>από</w:t>
                      </w:r>
                      <w:r w:rsidRPr="001C6A40">
                        <w:rPr>
                          <w:rFonts w:cstheme="minorHAnsi"/>
                          <w:i w:val="0"/>
                          <w:color w:val="4F81BD"/>
                          <w:lang w:val="el-GR"/>
                        </w:rPr>
                        <w:t xml:space="preserve"> </w:t>
                      </w:r>
                      <w:r w:rsidR="00091C5F">
                        <w:rPr>
                          <w:rFonts w:cstheme="minorHAnsi"/>
                          <w:i w:val="0"/>
                          <w:color w:val="4F81BD"/>
                          <w:lang w:val="el-GR"/>
                        </w:rPr>
                        <w:t>ομότιμους</w:t>
                      </w:r>
                      <w:r w:rsidRPr="001C6A40">
                        <w:rPr>
                          <w:rFonts w:cstheme="minorHAnsi"/>
                          <w:i w:val="0"/>
                          <w:color w:val="4F81BD"/>
                          <w:lang w:val="el-GR"/>
                        </w:rPr>
                        <w:t xml:space="preserve">, </w:t>
                      </w:r>
                      <w:r>
                        <w:rPr>
                          <w:rFonts w:cstheme="minorHAnsi"/>
                          <w:i w:val="0"/>
                          <w:color w:val="4F81BD"/>
                          <w:lang w:val="el-GR"/>
                        </w:rPr>
                        <w:t>συνδυάζοντας</w:t>
                      </w:r>
                      <w:r w:rsidRPr="001C6A40">
                        <w:rPr>
                          <w:rFonts w:cstheme="minorHAnsi"/>
                          <w:i w:val="0"/>
                          <w:color w:val="4F81BD"/>
                          <w:lang w:val="el-GR"/>
                        </w:rPr>
                        <w:t xml:space="preserve"> </w:t>
                      </w:r>
                      <w:r>
                        <w:rPr>
                          <w:rFonts w:cstheme="minorHAnsi"/>
                          <w:i w:val="0"/>
                          <w:color w:val="4F81BD"/>
                          <w:lang w:val="el-GR"/>
                        </w:rPr>
                        <w:t>την τεχνογνωσία των επαγγελματιών, ενεργώντας ως εκτιμητές</w:t>
                      </w:r>
                      <w:r w:rsidRPr="001C6A40">
                        <w:rPr>
                          <w:rFonts w:cstheme="minorHAnsi"/>
                          <w:i w:val="0"/>
                          <w:color w:val="4F81BD"/>
                          <w:lang w:val="el-GR"/>
                        </w:rPr>
                        <w:t xml:space="preserve"> </w:t>
                      </w:r>
                      <w:r>
                        <w:rPr>
                          <w:rFonts w:cstheme="minorHAnsi"/>
                          <w:i w:val="0"/>
                          <w:color w:val="4F81BD"/>
                          <w:lang w:val="el-GR"/>
                        </w:rPr>
                        <w:t>και κρατικούς αντιπροσώπους</w:t>
                      </w:r>
                      <w:r w:rsidRPr="001C6A40">
                        <w:rPr>
                          <w:rFonts w:cstheme="minorHAnsi"/>
                          <w:i w:val="0"/>
                          <w:color w:val="4F81BD"/>
                          <w:lang w:val="el-GR"/>
                        </w:rPr>
                        <w:t xml:space="preserve"> </w:t>
                      </w:r>
                      <w:r>
                        <w:rPr>
                          <w:rFonts w:cstheme="minorHAnsi"/>
                          <w:i w:val="0"/>
                          <w:color w:val="4F81BD"/>
                          <w:lang w:val="el-GR"/>
                        </w:rPr>
                        <w:t>που κάθονται στην ολομέλεια</w:t>
                      </w:r>
                      <w:r w:rsidRPr="001C6A40">
                        <w:rPr>
                          <w:rFonts w:cstheme="minorHAnsi"/>
                          <w:i w:val="0"/>
                          <w:color w:val="4F81BD"/>
                          <w:lang w:val="el-GR"/>
                        </w:rPr>
                        <w:t>.</w:t>
                      </w:r>
                    </w:p>
                    <w:p w14:paraId="5B27D58D" w14:textId="60FB6571" w:rsidR="00071F64" w:rsidRPr="00495342" w:rsidRDefault="00071F64" w:rsidP="000B39E8">
                      <w:pPr>
                        <w:pStyle w:val="Quote"/>
                        <w:pBdr>
                          <w:top w:val="single" w:sz="48" w:space="8" w:color="4F81BD"/>
                          <w:bottom w:val="single" w:sz="48" w:space="8" w:color="4F81BD"/>
                        </w:pBdr>
                        <w:spacing w:before="160" w:after="160" w:line="300" w:lineRule="auto"/>
                        <w:ind w:left="720" w:right="720"/>
                        <w:rPr>
                          <w:rFonts w:cstheme="minorHAnsi"/>
                          <w:i w:val="0"/>
                          <w:color w:val="4F81BD"/>
                          <w:lang w:val="el-GR"/>
                        </w:rPr>
                      </w:pPr>
                      <w:r>
                        <w:rPr>
                          <w:rFonts w:cstheme="minorHAnsi"/>
                          <w:i w:val="0"/>
                          <w:color w:val="4F81BD"/>
                          <w:lang w:val="el-GR"/>
                        </w:rPr>
                        <w:t>Η</w:t>
                      </w:r>
                      <w:r w:rsidRPr="00495342">
                        <w:rPr>
                          <w:rFonts w:cstheme="minorHAnsi"/>
                          <w:i w:val="0"/>
                          <w:color w:val="4F81BD"/>
                          <w:lang w:val="el-GR"/>
                        </w:rPr>
                        <w:t xml:space="preserve"> </w:t>
                      </w:r>
                      <w:r>
                        <w:rPr>
                          <w:rFonts w:cstheme="minorHAnsi"/>
                          <w:i w:val="0"/>
                          <w:color w:val="4F81BD"/>
                          <w:lang w:val="el-GR"/>
                        </w:rPr>
                        <w:t>εργασία</w:t>
                      </w:r>
                      <w:r w:rsidRPr="00495342">
                        <w:rPr>
                          <w:rFonts w:cstheme="minorHAnsi"/>
                          <w:i w:val="0"/>
                          <w:color w:val="4F81BD"/>
                          <w:lang w:val="el-GR"/>
                        </w:rPr>
                        <w:t xml:space="preserve"> </w:t>
                      </w:r>
                      <w:r>
                        <w:rPr>
                          <w:rFonts w:cstheme="minorHAnsi"/>
                          <w:i w:val="0"/>
                          <w:color w:val="4F81BD"/>
                          <w:lang w:val="el-GR"/>
                        </w:rPr>
                        <w:t>που</w:t>
                      </w:r>
                      <w:r w:rsidRPr="00495342">
                        <w:rPr>
                          <w:rFonts w:cstheme="minorHAnsi"/>
                          <w:i w:val="0"/>
                          <w:color w:val="4F81BD"/>
                          <w:lang w:val="el-GR"/>
                        </w:rPr>
                        <w:t xml:space="preserve"> </w:t>
                      </w:r>
                      <w:r>
                        <w:rPr>
                          <w:rFonts w:cstheme="minorHAnsi"/>
                          <w:i w:val="0"/>
                          <w:color w:val="4F81BD"/>
                          <w:lang w:val="el-GR"/>
                        </w:rPr>
                        <w:t>διεξάγεται</w:t>
                      </w:r>
                      <w:r w:rsidRPr="00495342">
                        <w:rPr>
                          <w:rFonts w:cstheme="minorHAnsi"/>
                          <w:i w:val="0"/>
                          <w:color w:val="4F81BD"/>
                          <w:lang w:val="el-GR"/>
                        </w:rPr>
                        <w:t xml:space="preserve"> </w:t>
                      </w:r>
                      <w:r>
                        <w:rPr>
                          <w:rFonts w:cstheme="minorHAnsi"/>
                          <w:i w:val="0"/>
                          <w:color w:val="4F81BD"/>
                          <w:lang w:val="el-GR"/>
                        </w:rPr>
                        <w:t>από</w:t>
                      </w:r>
                      <w:r w:rsidRPr="00495342">
                        <w:rPr>
                          <w:rFonts w:cstheme="minorHAnsi"/>
                          <w:i w:val="0"/>
                          <w:color w:val="4F81BD"/>
                          <w:lang w:val="el-GR"/>
                        </w:rPr>
                        <w:t xml:space="preserve"> </w:t>
                      </w:r>
                      <w:r>
                        <w:rPr>
                          <w:rFonts w:cstheme="minorHAnsi"/>
                          <w:i w:val="0"/>
                          <w:color w:val="4F81BD"/>
                          <w:lang w:val="el-GR"/>
                        </w:rPr>
                        <w:t>την</w:t>
                      </w:r>
                      <w:r w:rsidRPr="00495342">
                        <w:rPr>
                          <w:rFonts w:cstheme="minorHAnsi"/>
                          <w:i w:val="0"/>
                          <w:color w:val="4F81BD"/>
                          <w:lang w:val="el-GR"/>
                        </w:rPr>
                        <w:t xml:space="preserve"> </w:t>
                      </w:r>
                      <w:r w:rsidRPr="007E5A21">
                        <w:rPr>
                          <w:rFonts w:cstheme="minorHAnsi"/>
                          <w:i w:val="0"/>
                          <w:color w:val="4F81BD"/>
                        </w:rPr>
                        <w:t>GRECO</w:t>
                      </w:r>
                      <w:r w:rsidRPr="00495342">
                        <w:rPr>
                          <w:rFonts w:cstheme="minorHAnsi"/>
                          <w:i w:val="0"/>
                          <w:color w:val="4F81BD"/>
                          <w:lang w:val="el-GR"/>
                        </w:rPr>
                        <w:t xml:space="preserve"> </w:t>
                      </w:r>
                      <w:r>
                        <w:rPr>
                          <w:rFonts w:cstheme="minorHAnsi"/>
                          <w:i w:val="0"/>
                          <w:color w:val="4F81BD"/>
                          <w:lang w:val="el-GR"/>
                        </w:rPr>
                        <w:t>έχει</w:t>
                      </w:r>
                      <w:r w:rsidRPr="00495342">
                        <w:rPr>
                          <w:rFonts w:cstheme="minorHAnsi"/>
                          <w:i w:val="0"/>
                          <w:color w:val="4F81BD"/>
                          <w:lang w:val="el-GR"/>
                        </w:rPr>
                        <w:t xml:space="preserve"> </w:t>
                      </w:r>
                      <w:r>
                        <w:rPr>
                          <w:rFonts w:cstheme="minorHAnsi"/>
                          <w:i w:val="0"/>
                          <w:color w:val="4F81BD"/>
                          <w:lang w:val="el-GR"/>
                        </w:rPr>
                        <w:t>οδηγήσει</w:t>
                      </w:r>
                      <w:r w:rsidRPr="00495342">
                        <w:rPr>
                          <w:rFonts w:cstheme="minorHAnsi"/>
                          <w:i w:val="0"/>
                          <w:color w:val="4F81BD"/>
                          <w:lang w:val="el-GR"/>
                        </w:rPr>
                        <w:t xml:space="preserve"> </w:t>
                      </w:r>
                      <w:r>
                        <w:rPr>
                          <w:rFonts w:cstheme="minorHAnsi"/>
                          <w:i w:val="0"/>
                          <w:color w:val="4F81BD"/>
                          <w:lang w:val="el-GR"/>
                        </w:rPr>
                        <w:t>στην</w:t>
                      </w:r>
                      <w:r w:rsidRPr="00495342">
                        <w:rPr>
                          <w:rFonts w:cstheme="minorHAnsi"/>
                          <w:i w:val="0"/>
                          <w:color w:val="4F81BD"/>
                          <w:lang w:val="el-GR"/>
                        </w:rPr>
                        <w:t xml:space="preserve"> </w:t>
                      </w:r>
                      <w:r>
                        <w:rPr>
                          <w:rFonts w:cstheme="minorHAnsi"/>
                          <w:i w:val="0"/>
                          <w:color w:val="4F81BD"/>
                          <w:lang w:val="el-GR"/>
                        </w:rPr>
                        <w:t>υιοθέτηση</w:t>
                      </w:r>
                      <w:r w:rsidRPr="00495342">
                        <w:rPr>
                          <w:rFonts w:cstheme="minorHAnsi"/>
                          <w:i w:val="0"/>
                          <w:color w:val="4F81BD"/>
                          <w:lang w:val="el-GR"/>
                        </w:rPr>
                        <w:t xml:space="preserve"> </w:t>
                      </w:r>
                      <w:r>
                        <w:rPr>
                          <w:rFonts w:cstheme="minorHAnsi"/>
                          <w:i w:val="0"/>
                          <w:color w:val="4F81BD"/>
                          <w:lang w:val="el-GR"/>
                        </w:rPr>
                        <w:t>ενός</w:t>
                      </w:r>
                      <w:r w:rsidRPr="00495342">
                        <w:rPr>
                          <w:rFonts w:cstheme="minorHAnsi"/>
                          <w:i w:val="0"/>
                          <w:color w:val="4F81BD"/>
                          <w:lang w:val="el-GR"/>
                        </w:rPr>
                        <w:t xml:space="preserve"> </w:t>
                      </w:r>
                      <w:r>
                        <w:rPr>
                          <w:rFonts w:cstheme="minorHAnsi"/>
                          <w:i w:val="0"/>
                          <w:color w:val="4F81BD"/>
                          <w:lang w:val="el-GR"/>
                        </w:rPr>
                        <w:t>σημαντικού</w:t>
                      </w:r>
                      <w:r w:rsidRPr="00495342">
                        <w:rPr>
                          <w:rFonts w:cstheme="minorHAnsi"/>
                          <w:i w:val="0"/>
                          <w:color w:val="4F81BD"/>
                          <w:lang w:val="el-GR"/>
                        </w:rPr>
                        <w:t xml:space="preserve"> </w:t>
                      </w:r>
                      <w:r>
                        <w:rPr>
                          <w:rFonts w:cstheme="minorHAnsi"/>
                          <w:i w:val="0"/>
                          <w:color w:val="4F81BD"/>
                          <w:lang w:val="el-GR"/>
                        </w:rPr>
                        <w:t>αριθμού εκθέσεων</w:t>
                      </w:r>
                      <w:r w:rsidRPr="00495342">
                        <w:rPr>
                          <w:rFonts w:cstheme="minorHAnsi"/>
                          <w:i w:val="0"/>
                          <w:color w:val="4F81BD"/>
                          <w:lang w:val="el-GR"/>
                        </w:rPr>
                        <w:t xml:space="preserve"> </w:t>
                      </w:r>
                      <w:r>
                        <w:rPr>
                          <w:rFonts w:cstheme="minorHAnsi"/>
                          <w:i w:val="0"/>
                          <w:color w:val="4F81BD"/>
                          <w:lang w:val="el-GR"/>
                        </w:rPr>
                        <w:t>που περιέχουν</w:t>
                      </w:r>
                      <w:r w:rsidRPr="00495342">
                        <w:rPr>
                          <w:rFonts w:cstheme="minorHAnsi"/>
                          <w:i w:val="0"/>
                          <w:color w:val="4F81BD"/>
                          <w:lang w:val="el-GR"/>
                        </w:rPr>
                        <w:t xml:space="preserve"> </w:t>
                      </w:r>
                      <w:r>
                        <w:rPr>
                          <w:rFonts w:cstheme="minorHAnsi"/>
                          <w:i w:val="0"/>
                          <w:color w:val="4F81BD"/>
                          <w:lang w:val="el-GR"/>
                        </w:rPr>
                        <w:t>μια πληθώρα πραγματικών πληροφοριών</w:t>
                      </w:r>
                      <w:r w:rsidRPr="00495342">
                        <w:rPr>
                          <w:rFonts w:cstheme="minorHAnsi"/>
                          <w:i w:val="0"/>
                          <w:color w:val="4F81BD"/>
                          <w:lang w:val="el-GR"/>
                        </w:rPr>
                        <w:t xml:space="preserve"> </w:t>
                      </w:r>
                      <w:r>
                        <w:rPr>
                          <w:rFonts w:cstheme="minorHAnsi"/>
                          <w:i w:val="0"/>
                          <w:color w:val="4F81BD"/>
                          <w:lang w:val="el-GR"/>
                        </w:rPr>
                        <w:t>για τις Ευρωπαϊκές πολιτικές και πρακτικές κατά την διαφθορά</w:t>
                      </w:r>
                      <w:r w:rsidRPr="00495342">
                        <w:rPr>
                          <w:rFonts w:cstheme="minorHAnsi"/>
                          <w:i w:val="0"/>
                          <w:color w:val="4F81BD"/>
                          <w:lang w:val="el-GR"/>
                        </w:rPr>
                        <w:t xml:space="preserve">. </w:t>
                      </w:r>
                      <w:r>
                        <w:rPr>
                          <w:rFonts w:cstheme="minorHAnsi"/>
                          <w:i w:val="0"/>
                          <w:color w:val="4F81BD"/>
                          <w:lang w:val="el-GR"/>
                        </w:rPr>
                        <w:t>Οι</w:t>
                      </w:r>
                      <w:r w:rsidRPr="00495342">
                        <w:rPr>
                          <w:rFonts w:cstheme="minorHAnsi"/>
                          <w:i w:val="0"/>
                          <w:color w:val="4F81BD"/>
                          <w:lang w:val="el-GR"/>
                        </w:rPr>
                        <w:t xml:space="preserve"> </w:t>
                      </w:r>
                      <w:r>
                        <w:rPr>
                          <w:rFonts w:cstheme="minorHAnsi"/>
                          <w:i w:val="0"/>
                          <w:color w:val="4F81BD"/>
                          <w:lang w:val="el-GR"/>
                        </w:rPr>
                        <w:t>εκθέσεις</w:t>
                      </w:r>
                      <w:r w:rsidRPr="00495342">
                        <w:rPr>
                          <w:rFonts w:cstheme="minorHAnsi"/>
                          <w:i w:val="0"/>
                          <w:color w:val="4F81BD"/>
                          <w:lang w:val="el-GR"/>
                        </w:rPr>
                        <w:t xml:space="preserve"> </w:t>
                      </w:r>
                      <w:r>
                        <w:rPr>
                          <w:rFonts w:cstheme="minorHAnsi"/>
                          <w:i w:val="0"/>
                          <w:color w:val="4F81BD"/>
                          <w:lang w:val="el-GR"/>
                        </w:rPr>
                        <w:t>εντοπίζουν</w:t>
                      </w:r>
                      <w:r w:rsidRPr="00495342">
                        <w:rPr>
                          <w:rFonts w:cstheme="minorHAnsi"/>
                          <w:i w:val="0"/>
                          <w:color w:val="4F81BD"/>
                          <w:lang w:val="el-GR"/>
                        </w:rPr>
                        <w:t xml:space="preserve"> </w:t>
                      </w:r>
                      <w:r>
                        <w:rPr>
                          <w:rFonts w:cstheme="minorHAnsi"/>
                          <w:i w:val="0"/>
                          <w:color w:val="4F81BD"/>
                          <w:lang w:val="el-GR"/>
                        </w:rPr>
                        <w:t>τα</w:t>
                      </w:r>
                      <w:r w:rsidRPr="00495342">
                        <w:rPr>
                          <w:rFonts w:cstheme="minorHAnsi"/>
                          <w:i w:val="0"/>
                          <w:color w:val="4F81BD"/>
                          <w:lang w:val="el-GR"/>
                        </w:rPr>
                        <w:t xml:space="preserve"> </w:t>
                      </w:r>
                      <w:r>
                        <w:rPr>
                          <w:rFonts w:cstheme="minorHAnsi"/>
                          <w:i w:val="0"/>
                          <w:color w:val="4F81BD"/>
                          <w:lang w:val="el-GR"/>
                        </w:rPr>
                        <w:t>επιτεύγματα</w:t>
                      </w:r>
                      <w:r w:rsidRPr="00495342">
                        <w:rPr>
                          <w:rFonts w:cstheme="minorHAnsi"/>
                          <w:i w:val="0"/>
                          <w:color w:val="4F81BD"/>
                          <w:lang w:val="el-GR"/>
                        </w:rPr>
                        <w:t xml:space="preserve"> </w:t>
                      </w:r>
                      <w:r>
                        <w:rPr>
                          <w:rFonts w:cstheme="minorHAnsi"/>
                          <w:i w:val="0"/>
                          <w:color w:val="4F81BD"/>
                          <w:lang w:val="el-GR"/>
                        </w:rPr>
                        <w:t>και</w:t>
                      </w:r>
                      <w:r w:rsidRPr="00495342">
                        <w:rPr>
                          <w:rFonts w:cstheme="minorHAnsi"/>
                          <w:i w:val="0"/>
                          <w:color w:val="4F81BD"/>
                          <w:lang w:val="el-GR"/>
                        </w:rPr>
                        <w:t xml:space="preserve"> </w:t>
                      </w:r>
                      <w:r>
                        <w:rPr>
                          <w:rFonts w:cstheme="minorHAnsi"/>
                          <w:i w:val="0"/>
                          <w:color w:val="4F81BD"/>
                          <w:lang w:val="el-GR"/>
                        </w:rPr>
                        <w:t>τις</w:t>
                      </w:r>
                      <w:r w:rsidRPr="00495342">
                        <w:rPr>
                          <w:rFonts w:cstheme="minorHAnsi"/>
                          <w:i w:val="0"/>
                          <w:color w:val="4F81BD"/>
                          <w:lang w:val="el-GR"/>
                        </w:rPr>
                        <w:t xml:space="preserve"> </w:t>
                      </w:r>
                      <w:r>
                        <w:rPr>
                          <w:rFonts w:cstheme="minorHAnsi"/>
                          <w:i w:val="0"/>
                          <w:color w:val="4F81BD"/>
                          <w:lang w:val="el-GR"/>
                        </w:rPr>
                        <w:t>αδυναμίες</w:t>
                      </w:r>
                      <w:r w:rsidRPr="00495342">
                        <w:rPr>
                          <w:rFonts w:cstheme="minorHAnsi"/>
                          <w:i w:val="0"/>
                          <w:color w:val="4F81BD"/>
                          <w:lang w:val="el-GR"/>
                        </w:rPr>
                        <w:t xml:space="preserve"> </w:t>
                      </w:r>
                      <w:r>
                        <w:rPr>
                          <w:rFonts w:cstheme="minorHAnsi"/>
                          <w:i w:val="0"/>
                          <w:color w:val="4F81BD"/>
                          <w:lang w:val="el-GR"/>
                        </w:rPr>
                        <w:t>της</w:t>
                      </w:r>
                      <w:r w:rsidRPr="00495342">
                        <w:rPr>
                          <w:rFonts w:cstheme="minorHAnsi"/>
                          <w:i w:val="0"/>
                          <w:color w:val="4F81BD"/>
                          <w:lang w:val="el-GR"/>
                        </w:rPr>
                        <w:t xml:space="preserve"> </w:t>
                      </w:r>
                      <w:r>
                        <w:rPr>
                          <w:rFonts w:cstheme="minorHAnsi"/>
                          <w:i w:val="0"/>
                          <w:color w:val="4F81BD"/>
                          <w:lang w:val="el-GR"/>
                        </w:rPr>
                        <w:t>εθνικής</w:t>
                      </w:r>
                      <w:r w:rsidRPr="00495342">
                        <w:rPr>
                          <w:rFonts w:cstheme="minorHAnsi"/>
                          <w:i w:val="0"/>
                          <w:color w:val="4F81BD"/>
                          <w:lang w:val="el-GR"/>
                        </w:rPr>
                        <w:t xml:space="preserve"> </w:t>
                      </w:r>
                      <w:r>
                        <w:rPr>
                          <w:rFonts w:cstheme="minorHAnsi"/>
                          <w:i w:val="0"/>
                          <w:color w:val="4F81BD"/>
                          <w:lang w:val="el-GR"/>
                        </w:rPr>
                        <w:t>νομοθεσίας</w:t>
                      </w:r>
                      <w:r w:rsidRPr="00495342">
                        <w:rPr>
                          <w:rFonts w:cstheme="minorHAnsi"/>
                          <w:i w:val="0"/>
                          <w:color w:val="4F81BD"/>
                          <w:lang w:val="el-GR"/>
                        </w:rPr>
                        <w:t xml:space="preserve">, </w:t>
                      </w:r>
                      <w:r>
                        <w:rPr>
                          <w:rFonts w:cstheme="minorHAnsi"/>
                          <w:i w:val="0"/>
                          <w:color w:val="4F81BD"/>
                          <w:lang w:val="el-GR"/>
                        </w:rPr>
                        <w:t>των</w:t>
                      </w:r>
                      <w:r w:rsidRPr="00495342">
                        <w:rPr>
                          <w:rFonts w:cstheme="minorHAnsi"/>
                          <w:i w:val="0"/>
                          <w:color w:val="4F81BD"/>
                          <w:lang w:val="el-GR"/>
                        </w:rPr>
                        <w:t xml:space="preserve"> </w:t>
                      </w:r>
                      <w:r>
                        <w:rPr>
                          <w:rFonts w:cstheme="minorHAnsi"/>
                          <w:i w:val="0"/>
                          <w:color w:val="4F81BD"/>
                          <w:lang w:val="el-GR"/>
                        </w:rPr>
                        <w:t>κανονισμών</w:t>
                      </w:r>
                      <w:r w:rsidRPr="00495342">
                        <w:rPr>
                          <w:rFonts w:cstheme="minorHAnsi"/>
                          <w:i w:val="0"/>
                          <w:color w:val="4F81BD"/>
                          <w:lang w:val="el-GR"/>
                        </w:rPr>
                        <w:t xml:space="preserve">, </w:t>
                      </w:r>
                      <w:r>
                        <w:rPr>
                          <w:rFonts w:cstheme="minorHAnsi"/>
                          <w:i w:val="0"/>
                          <w:color w:val="4F81BD"/>
                          <w:lang w:val="el-GR"/>
                        </w:rPr>
                        <w:t>των</w:t>
                      </w:r>
                      <w:r w:rsidRPr="00495342">
                        <w:rPr>
                          <w:rFonts w:cstheme="minorHAnsi"/>
                          <w:i w:val="0"/>
                          <w:color w:val="4F81BD"/>
                          <w:lang w:val="el-GR"/>
                        </w:rPr>
                        <w:t xml:space="preserve"> </w:t>
                      </w:r>
                      <w:r>
                        <w:rPr>
                          <w:rFonts w:cstheme="minorHAnsi"/>
                          <w:i w:val="0"/>
                          <w:color w:val="4F81BD"/>
                          <w:lang w:val="el-GR"/>
                        </w:rPr>
                        <w:t>πολιτικών</w:t>
                      </w:r>
                      <w:r w:rsidRPr="00495342">
                        <w:rPr>
                          <w:rFonts w:cstheme="minorHAnsi"/>
                          <w:i w:val="0"/>
                          <w:color w:val="4F81BD"/>
                          <w:lang w:val="el-GR"/>
                        </w:rPr>
                        <w:t xml:space="preserve"> </w:t>
                      </w:r>
                      <w:r>
                        <w:rPr>
                          <w:rFonts w:cstheme="minorHAnsi"/>
                          <w:i w:val="0"/>
                          <w:color w:val="4F81BD"/>
                          <w:lang w:val="el-GR"/>
                        </w:rPr>
                        <w:t>και των θεσμικών ρυθμίσεων</w:t>
                      </w:r>
                      <w:r w:rsidRPr="00495342">
                        <w:rPr>
                          <w:rFonts w:cstheme="minorHAnsi"/>
                          <w:i w:val="0"/>
                          <w:color w:val="4F81BD"/>
                          <w:lang w:val="el-GR"/>
                        </w:rPr>
                        <w:t xml:space="preserve">, </w:t>
                      </w:r>
                      <w:r>
                        <w:rPr>
                          <w:rFonts w:cstheme="minorHAnsi"/>
                          <w:i w:val="0"/>
                          <w:color w:val="4F81BD"/>
                          <w:lang w:val="el-GR"/>
                        </w:rPr>
                        <w:t>και συμπεριλαμβάνουν εισηγήσεις</w:t>
                      </w:r>
                      <w:r w:rsidRPr="00495342">
                        <w:rPr>
                          <w:rFonts w:cstheme="minorHAnsi"/>
                          <w:i w:val="0"/>
                          <w:color w:val="4F81BD"/>
                          <w:lang w:val="el-GR"/>
                        </w:rPr>
                        <w:t xml:space="preserve"> </w:t>
                      </w:r>
                      <w:r>
                        <w:rPr>
                          <w:rFonts w:cstheme="minorHAnsi"/>
                          <w:i w:val="0"/>
                          <w:color w:val="4F81BD"/>
                          <w:lang w:val="el-GR"/>
                        </w:rPr>
                        <w:t>που σκοπό έχουν την βελτίωση</w:t>
                      </w:r>
                      <w:r w:rsidRPr="00495342">
                        <w:rPr>
                          <w:rFonts w:cstheme="minorHAnsi"/>
                          <w:i w:val="0"/>
                          <w:color w:val="4F81BD"/>
                          <w:lang w:val="el-GR"/>
                        </w:rPr>
                        <w:t xml:space="preserve"> </w:t>
                      </w:r>
                      <w:r>
                        <w:rPr>
                          <w:rFonts w:cstheme="minorHAnsi"/>
                          <w:i w:val="0"/>
                          <w:color w:val="4F81BD"/>
                          <w:lang w:val="el-GR"/>
                        </w:rPr>
                        <w:t>της ικανότητας των κρατών</w:t>
                      </w:r>
                      <w:r w:rsidRPr="00495342">
                        <w:rPr>
                          <w:rFonts w:cstheme="minorHAnsi"/>
                          <w:i w:val="0"/>
                          <w:color w:val="4F81BD"/>
                          <w:lang w:val="el-GR"/>
                        </w:rPr>
                        <w:t xml:space="preserve"> </w:t>
                      </w:r>
                      <w:r>
                        <w:rPr>
                          <w:rFonts w:cstheme="minorHAnsi"/>
                          <w:i w:val="0"/>
                          <w:color w:val="4F81BD"/>
                          <w:lang w:val="el-GR"/>
                        </w:rPr>
                        <w:t>να</w:t>
                      </w:r>
                      <w:r w:rsidRPr="00495342">
                        <w:rPr>
                          <w:rFonts w:cstheme="minorHAnsi"/>
                          <w:i w:val="0"/>
                          <w:color w:val="4F81BD"/>
                          <w:lang w:val="el-GR"/>
                        </w:rPr>
                        <w:t xml:space="preserve"> </w:t>
                      </w:r>
                      <w:r>
                        <w:rPr>
                          <w:rFonts w:cstheme="minorHAnsi"/>
                          <w:i w:val="0"/>
                          <w:color w:val="4F81BD"/>
                          <w:lang w:val="el-GR"/>
                        </w:rPr>
                        <w:t>καταπολεμήσουν την διαφθορά</w:t>
                      </w:r>
                      <w:r w:rsidRPr="00495342">
                        <w:rPr>
                          <w:rFonts w:cstheme="minorHAnsi"/>
                          <w:i w:val="0"/>
                          <w:color w:val="4F81BD"/>
                          <w:lang w:val="el-GR"/>
                        </w:rPr>
                        <w:t xml:space="preserve"> </w:t>
                      </w:r>
                      <w:r>
                        <w:rPr>
                          <w:rFonts w:cstheme="minorHAnsi"/>
                          <w:i w:val="0"/>
                          <w:color w:val="4F81BD"/>
                          <w:lang w:val="el-GR"/>
                        </w:rPr>
                        <w:t>και να προωθήσουν την ακεραιότητα</w:t>
                      </w:r>
                      <w:r w:rsidRPr="00495342">
                        <w:rPr>
                          <w:rFonts w:cstheme="minorHAnsi"/>
                          <w:i w:val="0"/>
                          <w:color w:val="4F81BD"/>
                          <w:lang w:val="el-GR"/>
                        </w:rPr>
                        <w:t>.</w:t>
                      </w:r>
                    </w:p>
                    <w:p w14:paraId="22385FBC" w14:textId="378B6397" w:rsidR="00071F64" w:rsidRPr="00AD26CA" w:rsidRDefault="00071F64" w:rsidP="000B39E8">
                      <w:pPr>
                        <w:pStyle w:val="Quote"/>
                        <w:pBdr>
                          <w:top w:val="single" w:sz="48" w:space="8" w:color="4F81BD"/>
                          <w:bottom w:val="single" w:sz="48" w:space="8" w:color="4F81BD"/>
                        </w:pBdr>
                        <w:spacing w:before="160" w:after="160" w:line="300" w:lineRule="auto"/>
                        <w:ind w:left="720" w:right="720"/>
                        <w:rPr>
                          <w:rFonts w:cstheme="minorHAnsi"/>
                          <w:i w:val="0"/>
                          <w:color w:val="4F81BD"/>
                          <w:lang w:val="el-GR"/>
                        </w:rPr>
                      </w:pPr>
                      <w:r>
                        <w:rPr>
                          <w:rFonts w:cstheme="minorHAnsi"/>
                          <w:i w:val="0"/>
                          <w:color w:val="4F81BD"/>
                          <w:lang w:val="el-GR"/>
                        </w:rPr>
                        <w:t>Η ιδιότητα μέλους της</w:t>
                      </w:r>
                      <w:r w:rsidRPr="00AD26CA">
                        <w:rPr>
                          <w:rFonts w:cstheme="minorHAnsi"/>
                          <w:i w:val="0"/>
                          <w:color w:val="4F81BD"/>
                          <w:lang w:val="el-GR"/>
                        </w:rPr>
                        <w:t xml:space="preserve"> </w:t>
                      </w:r>
                      <w:r w:rsidRPr="007E5A21">
                        <w:rPr>
                          <w:rFonts w:cstheme="minorHAnsi"/>
                          <w:i w:val="0"/>
                          <w:color w:val="4F81BD"/>
                        </w:rPr>
                        <w:t>GRECO</w:t>
                      </w:r>
                      <w:r w:rsidRPr="00AD26CA">
                        <w:rPr>
                          <w:rFonts w:cstheme="minorHAnsi"/>
                          <w:i w:val="0"/>
                          <w:color w:val="4F81BD"/>
                          <w:lang w:val="el-GR"/>
                        </w:rPr>
                        <w:t xml:space="preserve"> </w:t>
                      </w:r>
                      <w:r>
                        <w:rPr>
                          <w:rFonts w:cstheme="minorHAnsi"/>
                          <w:i w:val="0"/>
                          <w:color w:val="4F81BD"/>
                          <w:lang w:val="el-GR"/>
                        </w:rPr>
                        <w:t>είναι ανοικτή</w:t>
                      </w:r>
                      <w:r w:rsidRPr="00AD26CA">
                        <w:rPr>
                          <w:rFonts w:cstheme="minorHAnsi"/>
                          <w:i w:val="0"/>
                          <w:color w:val="4F81BD"/>
                          <w:lang w:val="el-GR"/>
                        </w:rPr>
                        <w:t xml:space="preserve">, </w:t>
                      </w:r>
                      <w:r>
                        <w:rPr>
                          <w:rFonts w:cstheme="minorHAnsi"/>
                          <w:i w:val="0"/>
                          <w:color w:val="4F81BD"/>
                          <w:lang w:val="el-GR"/>
                        </w:rPr>
                        <w:t>σε ισότιμη βάση</w:t>
                      </w:r>
                      <w:r w:rsidRPr="00AD26CA">
                        <w:rPr>
                          <w:rFonts w:cstheme="minorHAnsi"/>
                          <w:i w:val="0"/>
                          <w:color w:val="4F81BD"/>
                          <w:lang w:val="el-GR"/>
                        </w:rPr>
                        <w:t xml:space="preserve">, </w:t>
                      </w:r>
                      <w:r>
                        <w:rPr>
                          <w:rFonts w:cstheme="minorHAnsi"/>
                          <w:i w:val="0"/>
                          <w:color w:val="4F81BD"/>
                          <w:lang w:val="el-GR"/>
                        </w:rPr>
                        <w:t>σε κράτη μέλη και μη-κράτη μέλη του Συμβουλίου της Ευρώπης</w:t>
                      </w:r>
                      <w:r w:rsidRPr="00AD26CA">
                        <w:rPr>
                          <w:rFonts w:cstheme="minorHAnsi"/>
                          <w:i w:val="0"/>
                          <w:color w:val="4F81BD"/>
                          <w:lang w:val="el-GR"/>
                        </w:rPr>
                        <w:t xml:space="preserve">. </w:t>
                      </w:r>
                      <w:r>
                        <w:rPr>
                          <w:rFonts w:cstheme="minorHAnsi"/>
                          <w:i w:val="0"/>
                          <w:color w:val="4F81BD"/>
                          <w:lang w:val="el-GR"/>
                        </w:rPr>
                        <w:t>Οι εκθέσεις αξιολόγησης</w:t>
                      </w:r>
                      <w:r w:rsidRPr="00AD26CA">
                        <w:rPr>
                          <w:rFonts w:cstheme="minorHAnsi"/>
                          <w:i w:val="0"/>
                          <w:color w:val="4F81BD"/>
                          <w:lang w:val="el-GR"/>
                        </w:rPr>
                        <w:t xml:space="preserve"> </w:t>
                      </w:r>
                      <w:r>
                        <w:rPr>
                          <w:rFonts w:cstheme="minorHAnsi"/>
                          <w:i w:val="0"/>
                          <w:color w:val="4F81BD"/>
                          <w:lang w:val="el-GR"/>
                        </w:rPr>
                        <w:t>και συμμόρφωσης</w:t>
                      </w:r>
                      <w:r w:rsidRPr="00AD26CA">
                        <w:rPr>
                          <w:rFonts w:cstheme="minorHAnsi"/>
                          <w:i w:val="0"/>
                          <w:color w:val="4F81BD"/>
                          <w:lang w:val="el-GR"/>
                        </w:rPr>
                        <w:t xml:space="preserve"> </w:t>
                      </w:r>
                      <w:r>
                        <w:rPr>
                          <w:rFonts w:cstheme="minorHAnsi"/>
                          <w:i w:val="0"/>
                          <w:color w:val="4F81BD"/>
                          <w:lang w:val="el-GR"/>
                        </w:rPr>
                        <w:t>που έχουν υιοθετηθεί από την</w:t>
                      </w:r>
                      <w:r w:rsidRPr="00AD26CA">
                        <w:rPr>
                          <w:rFonts w:cstheme="minorHAnsi"/>
                          <w:i w:val="0"/>
                          <w:color w:val="4F81BD"/>
                          <w:lang w:val="el-GR"/>
                        </w:rPr>
                        <w:t xml:space="preserve"> </w:t>
                      </w:r>
                      <w:r w:rsidRPr="007E5A21">
                        <w:rPr>
                          <w:rFonts w:cstheme="minorHAnsi"/>
                          <w:i w:val="0"/>
                          <w:color w:val="4F81BD"/>
                        </w:rPr>
                        <w:t>GRECO</w:t>
                      </w:r>
                      <w:r w:rsidRPr="00AD26CA">
                        <w:rPr>
                          <w:rFonts w:cstheme="minorHAnsi"/>
                          <w:i w:val="0"/>
                          <w:color w:val="4F81BD"/>
                          <w:lang w:val="el-GR"/>
                        </w:rPr>
                        <w:t xml:space="preserve">, </w:t>
                      </w:r>
                      <w:r>
                        <w:rPr>
                          <w:rFonts w:cstheme="minorHAnsi"/>
                          <w:i w:val="0"/>
                          <w:color w:val="4F81BD"/>
                          <w:lang w:val="el-GR"/>
                        </w:rPr>
                        <w:t xml:space="preserve">καθώς επίσης και άλλες πληροφορίες για την </w:t>
                      </w:r>
                      <w:r w:rsidRPr="007E5A21">
                        <w:rPr>
                          <w:rFonts w:cstheme="minorHAnsi"/>
                          <w:i w:val="0"/>
                          <w:color w:val="4F81BD"/>
                        </w:rPr>
                        <w:t>GRECO</w:t>
                      </w:r>
                      <w:r w:rsidRPr="00AD26CA">
                        <w:rPr>
                          <w:rFonts w:cstheme="minorHAnsi"/>
                          <w:i w:val="0"/>
                          <w:color w:val="4F81BD"/>
                          <w:lang w:val="el-GR"/>
                        </w:rPr>
                        <w:t xml:space="preserve">, </w:t>
                      </w:r>
                      <w:r>
                        <w:rPr>
                          <w:rFonts w:cstheme="minorHAnsi"/>
                          <w:i w:val="0"/>
                          <w:color w:val="4F81BD"/>
                          <w:lang w:val="el-GR"/>
                        </w:rPr>
                        <w:t>είναι διαθέσιμες στο</w:t>
                      </w:r>
                      <w:r w:rsidRPr="00AD26CA">
                        <w:rPr>
                          <w:rFonts w:cstheme="minorHAnsi"/>
                          <w:i w:val="0"/>
                          <w:color w:val="4F81BD"/>
                          <w:lang w:val="el-GR"/>
                        </w:rPr>
                        <w:t xml:space="preserve">: </w:t>
                      </w:r>
                      <w:hyperlink r:id="rId24" w:history="1">
                        <w:r w:rsidRPr="00AD26CA">
                          <w:rPr>
                            <w:rStyle w:val="Hyperlink"/>
                            <w:rFonts w:cstheme="minorHAnsi"/>
                            <w:i w:val="0"/>
                            <w:color w:val="4F81BD" w:themeColor="accent1"/>
                          </w:rPr>
                          <w:t>www</w:t>
                        </w:r>
                        <w:r w:rsidRPr="00AD26CA">
                          <w:rPr>
                            <w:rStyle w:val="Hyperlink"/>
                            <w:rFonts w:cstheme="minorHAnsi"/>
                            <w:i w:val="0"/>
                            <w:color w:val="4F81BD" w:themeColor="accent1"/>
                            <w:lang w:val="el-GR"/>
                          </w:rPr>
                          <w:t>.</w:t>
                        </w:r>
                        <w:r w:rsidRPr="00AD26CA">
                          <w:rPr>
                            <w:rStyle w:val="Hyperlink"/>
                            <w:rFonts w:cstheme="minorHAnsi"/>
                            <w:i w:val="0"/>
                            <w:color w:val="4F81BD" w:themeColor="accent1"/>
                          </w:rPr>
                          <w:t>coe</w:t>
                        </w:r>
                        <w:r w:rsidRPr="00AD26CA">
                          <w:rPr>
                            <w:rStyle w:val="Hyperlink"/>
                            <w:rFonts w:cstheme="minorHAnsi"/>
                            <w:i w:val="0"/>
                            <w:color w:val="4F81BD" w:themeColor="accent1"/>
                            <w:lang w:val="el-GR"/>
                          </w:rPr>
                          <w:t>.</w:t>
                        </w:r>
                        <w:r w:rsidRPr="00AD26CA">
                          <w:rPr>
                            <w:rStyle w:val="Hyperlink"/>
                            <w:rFonts w:cstheme="minorHAnsi"/>
                            <w:i w:val="0"/>
                            <w:color w:val="4F81BD" w:themeColor="accent1"/>
                          </w:rPr>
                          <w:t>int</w:t>
                        </w:r>
                        <w:r w:rsidRPr="00AD26CA">
                          <w:rPr>
                            <w:rStyle w:val="Hyperlink"/>
                            <w:rFonts w:cstheme="minorHAnsi"/>
                            <w:i w:val="0"/>
                            <w:color w:val="4F81BD" w:themeColor="accent1"/>
                            <w:lang w:val="el-GR"/>
                          </w:rPr>
                          <w:t>/</w:t>
                        </w:r>
                        <w:r w:rsidRPr="00AD26CA">
                          <w:rPr>
                            <w:rStyle w:val="Hyperlink"/>
                            <w:rFonts w:cstheme="minorHAnsi"/>
                            <w:i w:val="0"/>
                            <w:color w:val="4F81BD" w:themeColor="accent1"/>
                          </w:rPr>
                          <w:t>greco</w:t>
                        </w:r>
                      </w:hyperlink>
                      <w:r w:rsidRPr="00AD26CA">
                        <w:rPr>
                          <w:rFonts w:cstheme="minorHAnsi"/>
                          <w:i w:val="0"/>
                          <w:color w:val="4F81BD" w:themeColor="accent1"/>
                          <w:lang w:val="el-GR"/>
                        </w:rPr>
                        <w:t>.</w:t>
                      </w:r>
                      <w:r w:rsidRPr="00AD26CA">
                        <w:rPr>
                          <w:rFonts w:cstheme="minorHAnsi"/>
                          <w:i w:val="0"/>
                          <w:color w:val="4F81BD"/>
                          <w:lang w:val="el-GR"/>
                        </w:rPr>
                        <w:t xml:space="preserve"> </w:t>
                      </w:r>
                    </w:p>
                  </w:txbxContent>
                </v:textbox>
                <w10:wrap anchorx="margin" anchory="margin"/>
              </v:shape>
            </w:pict>
          </mc:Fallback>
        </mc:AlternateConten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sectPr w:rsidR="005F619A" w:rsidRPr="004E251E" w:rsidSect="000B4D20">
      <w:footerReference w:type="default" r:id="rId25"/>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8D54" w14:textId="77777777" w:rsidR="007C5EF0" w:rsidRDefault="007C5EF0" w:rsidP="00406E8E">
      <w:r>
        <w:separator/>
      </w:r>
    </w:p>
  </w:endnote>
  <w:endnote w:type="continuationSeparator" w:id="0">
    <w:p w14:paraId="7DDA6ADB" w14:textId="77777777" w:rsidR="007C5EF0" w:rsidRDefault="007C5EF0" w:rsidP="0040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421777"/>
      <w:docPartObj>
        <w:docPartGallery w:val="Page Numbers (Bottom of Page)"/>
        <w:docPartUnique/>
      </w:docPartObj>
    </w:sdtPr>
    <w:sdtEndPr>
      <w:rPr>
        <w:noProof/>
      </w:rPr>
    </w:sdtEndPr>
    <w:sdtContent>
      <w:p w14:paraId="02614161" w14:textId="517EACD8" w:rsidR="00071F64" w:rsidRDefault="00071F64">
        <w:pPr>
          <w:pStyle w:val="Footer"/>
          <w:jc w:val="center"/>
        </w:pPr>
        <w:r>
          <w:fldChar w:fldCharType="begin"/>
        </w:r>
        <w:r>
          <w:instrText xml:space="preserve"> PAGE   \* MERGEFORMAT </w:instrText>
        </w:r>
        <w:r>
          <w:fldChar w:fldCharType="separate"/>
        </w:r>
        <w:r w:rsidR="005E4F9C">
          <w:rPr>
            <w:noProof/>
          </w:rPr>
          <w:t>79</w:t>
        </w:r>
        <w:r>
          <w:rPr>
            <w:noProof/>
          </w:rPr>
          <w:fldChar w:fldCharType="end"/>
        </w:r>
      </w:p>
    </w:sdtContent>
  </w:sdt>
  <w:p w14:paraId="6815DFC8" w14:textId="77777777" w:rsidR="00071F64" w:rsidRDefault="00071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9" w:type="dxa"/>
      <w:tblBorders>
        <w:top w:val="single" w:sz="4" w:space="0" w:color="auto"/>
      </w:tblBorders>
      <w:tblLook w:val="04A0" w:firstRow="1" w:lastRow="0" w:firstColumn="1" w:lastColumn="0" w:noHBand="0" w:noVBand="1"/>
    </w:tblPr>
    <w:tblGrid>
      <w:gridCol w:w="3085"/>
      <w:gridCol w:w="3119"/>
      <w:gridCol w:w="3105"/>
    </w:tblGrid>
    <w:tr w:rsidR="00071F64" w:rsidRPr="00B82AE3" w14:paraId="1184C6AC" w14:textId="77777777">
      <w:tc>
        <w:tcPr>
          <w:tcW w:w="3085" w:type="dxa"/>
          <w:tcBorders>
            <w:top w:val="single" w:sz="4" w:space="0" w:color="auto"/>
            <w:left w:val="nil"/>
            <w:bottom w:val="nil"/>
            <w:right w:val="nil"/>
          </w:tcBorders>
          <w:vAlign w:val="center"/>
        </w:tcPr>
        <w:p w14:paraId="178930B5" w14:textId="77777777" w:rsidR="00071F64" w:rsidRDefault="00071F64" w:rsidP="0058453D">
          <w:pPr>
            <w:tabs>
              <w:tab w:val="center" w:pos="4320"/>
              <w:tab w:val="right" w:pos="8640"/>
            </w:tabs>
            <w:spacing w:before="120"/>
            <w:rPr>
              <w:rFonts w:cstheme="minorHAnsi"/>
              <w:sz w:val="18"/>
              <w:szCs w:val="14"/>
              <w:lang w:val="en-US"/>
            </w:rPr>
          </w:pPr>
          <w:r>
            <w:rPr>
              <w:rFonts w:cstheme="minorHAnsi"/>
              <w:sz w:val="18"/>
              <w:szCs w:val="14"/>
              <w:lang w:val="en-US"/>
            </w:rPr>
            <w:t>GRECO Secretariat</w:t>
          </w:r>
        </w:p>
        <w:p w14:paraId="051E4CE6" w14:textId="77777777" w:rsidR="00071F64" w:rsidRPr="0058453D" w:rsidRDefault="00071F64" w:rsidP="0058453D">
          <w:pPr>
            <w:tabs>
              <w:tab w:val="center" w:pos="4320"/>
              <w:tab w:val="right" w:pos="8640"/>
            </w:tabs>
            <w:rPr>
              <w:rFonts w:cstheme="minorHAnsi"/>
              <w:sz w:val="18"/>
              <w:szCs w:val="14"/>
            </w:rPr>
          </w:pPr>
          <w:r>
            <w:rPr>
              <w:rFonts w:cstheme="minorHAnsi"/>
              <w:sz w:val="18"/>
              <w:szCs w:val="14"/>
              <w:lang w:val="en-US"/>
            </w:rPr>
            <w:t>Council of Europe</w:t>
          </w:r>
          <w:r w:rsidRPr="0058453D">
            <w:rPr>
              <w:rFonts w:cstheme="minorHAnsi"/>
              <w:sz w:val="18"/>
              <w:szCs w:val="14"/>
            </w:rPr>
            <w:t xml:space="preserve"> </w:t>
          </w:r>
        </w:p>
        <w:p w14:paraId="7678CF6B" w14:textId="77777777" w:rsidR="00071F64" w:rsidRPr="0058453D" w:rsidRDefault="00071F64" w:rsidP="0058453D">
          <w:pPr>
            <w:tabs>
              <w:tab w:val="center" w:pos="4320"/>
              <w:tab w:val="right" w:pos="8640"/>
            </w:tabs>
            <w:rPr>
              <w:rFonts w:cstheme="minorHAnsi"/>
              <w:sz w:val="18"/>
              <w:szCs w:val="14"/>
            </w:rPr>
          </w:pPr>
          <w:r w:rsidRPr="0058453D">
            <w:rPr>
              <w:rFonts w:cstheme="minorHAnsi"/>
              <w:sz w:val="18"/>
              <w:szCs w:val="14"/>
            </w:rPr>
            <w:t>F-67075 Strasbourg Cedex</w:t>
          </w:r>
        </w:p>
        <w:p w14:paraId="13BA4119" w14:textId="77777777" w:rsidR="00071F64" w:rsidRPr="0058453D" w:rsidRDefault="00071F64" w:rsidP="00B709B0">
          <w:pPr>
            <w:tabs>
              <w:tab w:val="center" w:pos="4320"/>
              <w:tab w:val="right" w:pos="8640"/>
            </w:tabs>
            <w:rPr>
              <w:rFonts w:cstheme="minorHAnsi"/>
              <w:sz w:val="18"/>
              <w:szCs w:val="14"/>
            </w:rPr>
          </w:pPr>
          <w:proofErr w:type="spellStart"/>
          <w:r w:rsidRPr="0058453D">
            <w:rPr>
              <w:rFonts w:cstheme="minorHAnsi"/>
              <w:sz w:val="18"/>
              <w:szCs w:val="14"/>
            </w:rPr>
            <w:t>Tél</w:t>
          </w:r>
          <w:proofErr w:type="spellEnd"/>
          <w:r w:rsidRPr="0058453D">
            <w:rPr>
              <w:rFonts w:cstheme="minorHAnsi"/>
              <w:sz w:val="18"/>
              <w:szCs w:val="14"/>
            </w:rPr>
            <w:t>. +33 3 88 41 20 00</w:t>
          </w:r>
        </w:p>
      </w:tc>
      <w:tc>
        <w:tcPr>
          <w:tcW w:w="3119" w:type="dxa"/>
          <w:tcBorders>
            <w:top w:val="single" w:sz="4" w:space="0" w:color="auto"/>
            <w:left w:val="nil"/>
            <w:bottom w:val="nil"/>
            <w:right w:val="nil"/>
          </w:tcBorders>
          <w:vAlign w:val="center"/>
        </w:tcPr>
        <w:p w14:paraId="6B600E0F" w14:textId="77777777" w:rsidR="00071F64" w:rsidRPr="00B709B0" w:rsidRDefault="00000000" w:rsidP="00B709B0">
          <w:pPr>
            <w:tabs>
              <w:tab w:val="center" w:pos="4320"/>
              <w:tab w:val="right" w:pos="8640"/>
            </w:tabs>
            <w:ind w:firstLine="39"/>
            <w:jc w:val="center"/>
            <w:rPr>
              <w:rFonts w:cstheme="minorHAnsi"/>
              <w:color w:val="0000FF"/>
              <w:sz w:val="18"/>
              <w:szCs w:val="14"/>
            </w:rPr>
          </w:pPr>
          <w:hyperlink r:id="rId1" w:history="1">
            <w:r w:rsidR="00071F64" w:rsidRPr="00B709B0">
              <w:rPr>
                <w:rStyle w:val="Hyperlink"/>
                <w:rFonts w:cstheme="minorHAnsi"/>
                <w:szCs w:val="14"/>
              </w:rPr>
              <w:t>www.coe.int/greco</w:t>
            </w:r>
          </w:hyperlink>
          <w:r w:rsidR="00071F64" w:rsidRPr="00B709B0">
            <w:rPr>
              <w:rStyle w:val="Hyperlink"/>
              <w:rFonts w:cstheme="minorHAnsi"/>
              <w:szCs w:val="14"/>
            </w:rPr>
            <w:t>/fr</w:t>
          </w:r>
        </w:p>
      </w:tc>
      <w:tc>
        <w:tcPr>
          <w:tcW w:w="3105" w:type="dxa"/>
          <w:tcBorders>
            <w:top w:val="single" w:sz="4" w:space="0" w:color="auto"/>
            <w:left w:val="nil"/>
            <w:bottom w:val="nil"/>
            <w:right w:val="nil"/>
          </w:tcBorders>
          <w:vAlign w:val="center"/>
        </w:tcPr>
        <w:p w14:paraId="5F083535" w14:textId="77777777" w:rsidR="00071F64" w:rsidRDefault="00071F64" w:rsidP="0058453D">
          <w:pPr>
            <w:tabs>
              <w:tab w:val="center" w:pos="4320"/>
              <w:tab w:val="right" w:pos="8640"/>
            </w:tabs>
            <w:spacing w:before="120"/>
            <w:jc w:val="right"/>
            <w:rPr>
              <w:rFonts w:cstheme="minorHAnsi"/>
              <w:sz w:val="18"/>
              <w:szCs w:val="14"/>
              <w:lang w:val="en-US"/>
            </w:rPr>
          </w:pPr>
          <w:r>
            <w:rPr>
              <w:rFonts w:cstheme="minorHAnsi"/>
              <w:sz w:val="18"/>
              <w:szCs w:val="14"/>
              <w:lang w:val="en-US"/>
            </w:rPr>
            <w:t>Directorate General I</w:t>
          </w:r>
        </w:p>
        <w:p w14:paraId="58EE117D" w14:textId="77777777" w:rsidR="00071F64" w:rsidRDefault="00071F64" w:rsidP="0058453D">
          <w:pPr>
            <w:tabs>
              <w:tab w:val="center" w:pos="4320"/>
              <w:tab w:val="right" w:pos="8640"/>
            </w:tabs>
            <w:jc w:val="right"/>
            <w:rPr>
              <w:rFonts w:cstheme="minorHAnsi"/>
              <w:sz w:val="18"/>
              <w:szCs w:val="14"/>
              <w:lang w:val="en-US"/>
            </w:rPr>
          </w:pPr>
          <w:r>
            <w:rPr>
              <w:rFonts w:cstheme="minorHAnsi"/>
              <w:sz w:val="18"/>
              <w:szCs w:val="14"/>
              <w:lang w:val="en-US"/>
            </w:rPr>
            <w:t>Human Rights and Rule of Law</w:t>
          </w:r>
        </w:p>
        <w:p w14:paraId="4021BD14" w14:textId="77777777" w:rsidR="00071F64" w:rsidRDefault="00071F64" w:rsidP="0058453D">
          <w:pPr>
            <w:tabs>
              <w:tab w:val="center" w:pos="4320"/>
              <w:tab w:val="right" w:pos="8640"/>
            </w:tabs>
            <w:jc w:val="right"/>
            <w:rPr>
              <w:rFonts w:cstheme="minorHAnsi"/>
              <w:sz w:val="18"/>
              <w:szCs w:val="14"/>
              <w:lang w:val="en-US"/>
            </w:rPr>
          </w:pPr>
          <w:r>
            <w:rPr>
              <w:rFonts w:cstheme="minorHAnsi"/>
              <w:sz w:val="18"/>
              <w:szCs w:val="14"/>
              <w:lang w:val="en-US"/>
            </w:rPr>
            <w:t xml:space="preserve">Information Society and Action </w:t>
          </w:r>
        </w:p>
        <w:p w14:paraId="695F8BD8" w14:textId="77777777" w:rsidR="00071F64" w:rsidRPr="00B709B0" w:rsidRDefault="00071F64" w:rsidP="0058453D">
          <w:pPr>
            <w:tabs>
              <w:tab w:val="center" w:pos="4320"/>
              <w:tab w:val="right" w:pos="8640"/>
            </w:tabs>
            <w:jc w:val="right"/>
            <w:rPr>
              <w:rFonts w:cstheme="minorHAnsi"/>
              <w:sz w:val="18"/>
              <w:szCs w:val="14"/>
              <w:lang w:val="en-US"/>
            </w:rPr>
          </w:pPr>
          <w:r>
            <w:rPr>
              <w:rFonts w:cstheme="minorHAnsi"/>
              <w:sz w:val="18"/>
              <w:szCs w:val="14"/>
              <w:lang w:val="en-US"/>
            </w:rPr>
            <w:t>against Crime Directorate</w:t>
          </w:r>
        </w:p>
      </w:tc>
    </w:tr>
  </w:tbl>
  <w:p w14:paraId="2DC668DC" w14:textId="77777777" w:rsidR="00071F64" w:rsidRPr="00B709B0" w:rsidRDefault="00071F64" w:rsidP="000B4D20">
    <w:pPr>
      <w:pStyle w:val="Footer"/>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DF63" w14:textId="77777777" w:rsidR="007C5EF0" w:rsidRDefault="007C5EF0" w:rsidP="00406E8E">
      <w:r>
        <w:separator/>
      </w:r>
    </w:p>
  </w:footnote>
  <w:footnote w:type="continuationSeparator" w:id="0">
    <w:p w14:paraId="7A0E5987" w14:textId="77777777" w:rsidR="007C5EF0" w:rsidRDefault="007C5EF0" w:rsidP="00406E8E">
      <w:r>
        <w:continuationSeparator/>
      </w:r>
    </w:p>
  </w:footnote>
  <w:footnote w:id="1">
    <w:p w14:paraId="41D00F0E" w14:textId="23F26F68" w:rsidR="00071F64" w:rsidRPr="009A7774" w:rsidRDefault="00071F64">
      <w:pPr>
        <w:pStyle w:val="FootnoteText"/>
        <w:rPr>
          <w:rFonts w:asciiTheme="minorHAnsi" w:hAnsiTheme="minorHAnsi" w:cstheme="minorHAnsi"/>
          <w:lang w:val="el-GR"/>
        </w:rPr>
      </w:pPr>
      <w:r w:rsidRPr="00B95983">
        <w:rPr>
          <w:rStyle w:val="FootnoteReference"/>
          <w:rFonts w:asciiTheme="minorHAnsi" w:hAnsiTheme="minorHAnsi" w:cstheme="minorHAnsi"/>
        </w:rPr>
        <w:footnoteRef/>
      </w:r>
      <w:r w:rsidRPr="009A7774">
        <w:rPr>
          <w:rFonts w:asciiTheme="minorHAnsi" w:hAnsiTheme="minorHAnsi" w:cstheme="minorHAnsi"/>
          <w:lang w:val="el-GR"/>
        </w:rPr>
        <w:t xml:space="preserve"> </w:t>
      </w:r>
      <w:r w:rsidR="00000000">
        <w:fldChar w:fldCharType="begin"/>
      </w:r>
      <w:r w:rsidR="00000000">
        <w:instrText>HYPERLINK</w:instrText>
      </w:r>
      <w:r w:rsidR="00000000" w:rsidRPr="00522AD3">
        <w:rPr>
          <w:lang w:val="el-GR"/>
        </w:rPr>
        <w:instrText xml:space="preserve"> "</w:instrText>
      </w:r>
      <w:r w:rsidR="00000000">
        <w:instrText>https</w:instrText>
      </w:r>
      <w:r w:rsidR="00000000" w:rsidRPr="00522AD3">
        <w:rPr>
          <w:lang w:val="el-GR"/>
        </w:rPr>
        <w:instrText>://</w:instrText>
      </w:r>
      <w:r w:rsidR="00000000">
        <w:instrText>europa</w:instrText>
      </w:r>
      <w:r w:rsidR="00000000" w:rsidRPr="00522AD3">
        <w:rPr>
          <w:lang w:val="el-GR"/>
        </w:rPr>
        <w:instrText>.</w:instrText>
      </w:r>
      <w:r w:rsidR="00000000">
        <w:instrText>eu</w:instrText>
      </w:r>
      <w:r w:rsidR="00000000" w:rsidRPr="00522AD3">
        <w:rPr>
          <w:lang w:val="el-GR"/>
        </w:rPr>
        <w:instrText>/</w:instrText>
      </w:r>
      <w:r w:rsidR="00000000">
        <w:instrText>eurobarometer</w:instrText>
      </w:r>
      <w:r w:rsidR="00000000" w:rsidRPr="00522AD3">
        <w:rPr>
          <w:lang w:val="el-GR"/>
        </w:rPr>
        <w:instrText>/</w:instrText>
      </w:r>
      <w:r w:rsidR="00000000">
        <w:instrText>api</w:instrText>
      </w:r>
      <w:r w:rsidR="00000000" w:rsidRPr="00522AD3">
        <w:rPr>
          <w:lang w:val="el-GR"/>
        </w:rPr>
        <w:instrText>/</w:instrText>
      </w:r>
      <w:r w:rsidR="00000000">
        <w:instrText>deliverable</w:instrText>
      </w:r>
      <w:r w:rsidR="00000000" w:rsidRPr="00522AD3">
        <w:rPr>
          <w:lang w:val="el-GR"/>
        </w:rPr>
        <w:instrText>/</w:instrText>
      </w:r>
      <w:r w:rsidR="00000000">
        <w:instrText>download</w:instrText>
      </w:r>
      <w:r w:rsidR="00000000" w:rsidRPr="00522AD3">
        <w:rPr>
          <w:lang w:val="el-GR"/>
        </w:rPr>
        <w:instrText>/</w:instrText>
      </w:r>
      <w:r w:rsidR="00000000">
        <w:instrText>file</w:instrText>
      </w:r>
      <w:r w:rsidR="00000000" w:rsidRPr="00522AD3">
        <w:rPr>
          <w:lang w:val="el-GR"/>
        </w:rPr>
        <w:instrText>?</w:instrText>
      </w:r>
      <w:r w:rsidR="00000000">
        <w:instrText>deliverableId</w:instrText>
      </w:r>
      <w:r w:rsidR="00000000" w:rsidRPr="00522AD3">
        <w:rPr>
          <w:lang w:val="el-GR"/>
        </w:rPr>
        <w:instrText>=82847"</w:instrText>
      </w:r>
      <w:r w:rsidR="00000000">
        <w:fldChar w:fldCharType="separate"/>
      </w:r>
      <w:r w:rsidRPr="00740E08">
        <w:rPr>
          <w:rStyle w:val="Hyperlink"/>
          <w:rFonts w:asciiTheme="minorHAnsi" w:hAnsiTheme="minorHAnsi" w:cstheme="minorHAnsi"/>
          <w:color w:val="000000" w:themeColor="text1"/>
          <w:lang w:val="el-GR"/>
        </w:rPr>
        <w:t xml:space="preserve">2022 </w:t>
      </w:r>
      <w:r w:rsidRPr="00740E08">
        <w:rPr>
          <w:rStyle w:val="Hyperlink"/>
          <w:rFonts w:asciiTheme="minorHAnsi" w:hAnsiTheme="minorHAnsi" w:cstheme="minorHAnsi"/>
          <w:color w:val="000000" w:themeColor="text1"/>
        </w:rPr>
        <w:t>Special</w:t>
      </w:r>
      <w:r w:rsidRPr="00740E08">
        <w:rPr>
          <w:rStyle w:val="Hyperlink"/>
          <w:rFonts w:asciiTheme="minorHAnsi" w:hAnsiTheme="minorHAnsi" w:cstheme="minorHAnsi"/>
          <w:color w:val="000000" w:themeColor="text1"/>
          <w:lang w:val="el-GR"/>
        </w:rPr>
        <w:t xml:space="preserve"> </w:t>
      </w:r>
      <w:r w:rsidRPr="00740E08">
        <w:rPr>
          <w:rStyle w:val="Hyperlink"/>
          <w:rFonts w:asciiTheme="minorHAnsi" w:hAnsiTheme="minorHAnsi" w:cstheme="minorHAnsi"/>
          <w:color w:val="000000" w:themeColor="text1"/>
        </w:rPr>
        <w:t>Eurobarometer</w:t>
      </w:r>
      <w:r w:rsidRPr="00740E08">
        <w:rPr>
          <w:rStyle w:val="Hyperlink"/>
          <w:rFonts w:asciiTheme="minorHAnsi" w:hAnsiTheme="minorHAnsi" w:cstheme="minorHAnsi"/>
          <w:color w:val="000000" w:themeColor="text1"/>
          <w:lang w:val="el-GR"/>
        </w:rPr>
        <w:t xml:space="preserve"> </w:t>
      </w:r>
      <w:r w:rsidRPr="00740E08">
        <w:rPr>
          <w:rStyle w:val="Hyperlink"/>
          <w:rFonts w:asciiTheme="minorHAnsi" w:hAnsiTheme="minorHAnsi" w:cstheme="minorHAnsi"/>
          <w:color w:val="000000" w:themeColor="text1"/>
        </w:rPr>
        <w:t>on</w:t>
      </w:r>
      <w:r w:rsidRPr="00740E08">
        <w:rPr>
          <w:rStyle w:val="Hyperlink"/>
          <w:rFonts w:asciiTheme="minorHAnsi" w:hAnsiTheme="minorHAnsi" w:cstheme="minorHAnsi"/>
          <w:color w:val="000000" w:themeColor="text1"/>
          <w:lang w:val="el-GR"/>
        </w:rPr>
        <w:t xml:space="preserve"> </w:t>
      </w:r>
      <w:r w:rsidRPr="00740E08">
        <w:rPr>
          <w:rStyle w:val="Hyperlink"/>
          <w:rFonts w:asciiTheme="minorHAnsi" w:hAnsiTheme="minorHAnsi" w:cstheme="minorHAnsi"/>
          <w:color w:val="000000" w:themeColor="text1"/>
        </w:rPr>
        <w:t>Corruption</w:t>
      </w:r>
      <w:r w:rsidR="00000000">
        <w:rPr>
          <w:rStyle w:val="Hyperlink"/>
          <w:rFonts w:asciiTheme="minorHAnsi" w:hAnsiTheme="minorHAnsi" w:cstheme="minorHAnsi"/>
          <w:color w:val="000000" w:themeColor="text1"/>
        </w:rPr>
        <w:fldChar w:fldCharType="end"/>
      </w:r>
      <w:r w:rsidRPr="00740E08">
        <w:rPr>
          <w:rStyle w:val="Hyperlink"/>
          <w:rFonts w:asciiTheme="minorHAnsi" w:hAnsiTheme="minorHAnsi" w:cstheme="minorHAnsi"/>
          <w:color w:val="000000" w:themeColor="text1"/>
          <w:lang w:val="el-GR"/>
        </w:rPr>
        <w:t xml:space="preserve">. </w:t>
      </w:r>
    </w:p>
  </w:footnote>
  <w:footnote w:id="2">
    <w:p w14:paraId="027CA2B4" w14:textId="37873E9E" w:rsidR="00071F64" w:rsidRPr="00740E08" w:rsidRDefault="00071F64" w:rsidP="00A5147D">
      <w:pPr>
        <w:pStyle w:val="FootnoteText"/>
        <w:rPr>
          <w:rFonts w:asciiTheme="minorHAnsi" w:hAnsiTheme="minorHAnsi" w:cstheme="minorHAnsi"/>
          <w:color w:val="000000" w:themeColor="text1"/>
          <w:lang w:val="el-GR"/>
        </w:rPr>
      </w:pPr>
      <w:r w:rsidRPr="00B47EA7">
        <w:rPr>
          <w:rStyle w:val="FootnoteReference"/>
          <w:rFonts w:asciiTheme="minorHAnsi" w:hAnsiTheme="minorHAnsi" w:cstheme="minorHAnsi"/>
        </w:rPr>
        <w:footnoteRef/>
      </w:r>
      <w:r w:rsidRPr="00791805">
        <w:rPr>
          <w:rFonts w:asciiTheme="minorHAnsi" w:hAnsiTheme="minorHAnsi" w:cstheme="minorHAnsi"/>
          <w:lang w:val="el-GR"/>
        </w:rPr>
        <w:t xml:space="preserve"> </w:t>
      </w:r>
      <w:r>
        <w:rPr>
          <w:rFonts w:asciiTheme="minorHAnsi" w:hAnsiTheme="minorHAnsi" w:cstheme="minorHAnsi"/>
          <w:lang w:val="el-GR"/>
        </w:rPr>
        <w:t>Περισσότερες</w:t>
      </w:r>
      <w:r w:rsidRPr="00791805">
        <w:rPr>
          <w:rFonts w:asciiTheme="minorHAnsi" w:hAnsiTheme="minorHAnsi" w:cstheme="minorHAnsi"/>
          <w:lang w:val="el-GR"/>
        </w:rPr>
        <w:t xml:space="preserve"> </w:t>
      </w:r>
      <w:r>
        <w:rPr>
          <w:rFonts w:asciiTheme="minorHAnsi" w:hAnsiTheme="minorHAnsi" w:cstheme="minorHAnsi"/>
          <w:lang w:val="el-GR"/>
        </w:rPr>
        <w:t>πληροφορίες</w:t>
      </w:r>
      <w:r w:rsidRPr="00791805">
        <w:rPr>
          <w:rFonts w:asciiTheme="minorHAnsi" w:hAnsiTheme="minorHAnsi" w:cstheme="minorHAnsi"/>
          <w:lang w:val="el-GR"/>
        </w:rPr>
        <w:t xml:space="preserve"> </w:t>
      </w:r>
      <w:r>
        <w:rPr>
          <w:rFonts w:asciiTheme="minorHAnsi" w:hAnsiTheme="minorHAnsi" w:cstheme="minorHAnsi"/>
          <w:lang w:val="el-GR"/>
        </w:rPr>
        <w:t>για</w:t>
      </w:r>
      <w:r w:rsidRPr="00791805">
        <w:rPr>
          <w:rFonts w:asciiTheme="minorHAnsi" w:hAnsiTheme="minorHAnsi" w:cstheme="minorHAnsi"/>
          <w:lang w:val="el-GR"/>
        </w:rPr>
        <w:t xml:space="preserve"> </w:t>
      </w:r>
      <w:r>
        <w:rPr>
          <w:rFonts w:asciiTheme="minorHAnsi" w:hAnsiTheme="minorHAnsi" w:cstheme="minorHAnsi"/>
          <w:lang w:val="el-GR"/>
        </w:rPr>
        <w:t>την</w:t>
      </w:r>
      <w:r w:rsidRPr="00791805">
        <w:rPr>
          <w:rFonts w:asciiTheme="minorHAnsi" w:hAnsiTheme="minorHAnsi" w:cstheme="minorHAnsi"/>
          <w:lang w:val="el-GR"/>
        </w:rPr>
        <w:t xml:space="preserve"> </w:t>
      </w:r>
      <w:r>
        <w:rPr>
          <w:rFonts w:asciiTheme="minorHAnsi" w:hAnsiTheme="minorHAnsi" w:cstheme="minorHAnsi"/>
          <w:lang w:val="el-GR"/>
        </w:rPr>
        <w:t>μεθοδολογία</w:t>
      </w:r>
      <w:r w:rsidRPr="00791805">
        <w:rPr>
          <w:rFonts w:asciiTheme="minorHAnsi" w:hAnsiTheme="minorHAnsi" w:cstheme="minorHAnsi"/>
          <w:lang w:val="el-GR"/>
        </w:rPr>
        <w:t xml:space="preserve"> </w:t>
      </w:r>
      <w:r>
        <w:rPr>
          <w:rFonts w:asciiTheme="minorHAnsi" w:hAnsiTheme="minorHAnsi" w:cstheme="minorHAnsi"/>
          <w:lang w:val="el-GR"/>
        </w:rPr>
        <w:t>περιέχονται</w:t>
      </w:r>
      <w:r w:rsidRPr="00791805">
        <w:rPr>
          <w:rFonts w:asciiTheme="minorHAnsi" w:hAnsiTheme="minorHAnsi" w:cstheme="minorHAnsi"/>
          <w:lang w:val="el-GR"/>
        </w:rPr>
        <w:t xml:space="preserve"> </w:t>
      </w:r>
      <w:r>
        <w:rPr>
          <w:rFonts w:asciiTheme="minorHAnsi" w:hAnsiTheme="minorHAnsi" w:cstheme="minorHAnsi"/>
          <w:lang w:val="el-GR"/>
        </w:rPr>
        <w:t>στο</w:t>
      </w:r>
      <w:r w:rsidRPr="00791805">
        <w:rPr>
          <w:rFonts w:asciiTheme="minorHAnsi" w:hAnsiTheme="minorHAnsi" w:cstheme="minorHAnsi"/>
          <w:lang w:val="el-GR"/>
        </w:rPr>
        <w:t xml:space="preserve"> </w:t>
      </w:r>
      <w:r>
        <w:rPr>
          <w:rFonts w:asciiTheme="minorHAnsi" w:hAnsiTheme="minorHAnsi" w:cstheme="minorHAnsi"/>
          <w:lang w:val="el-GR"/>
        </w:rPr>
        <w:t>Ερωτηματολόγιο</w:t>
      </w:r>
      <w:r w:rsidRPr="00791805">
        <w:rPr>
          <w:rFonts w:asciiTheme="minorHAnsi" w:hAnsiTheme="minorHAnsi" w:cstheme="minorHAnsi"/>
          <w:lang w:val="el-GR"/>
        </w:rPr>
        <w:t xml:space="preserve"> </w:t>
      </w:r>
      <w:r>
        <w:rPr>
          <w:rFonts w:asciiTheme="minorHAnsi" w:hAnsiTheme="minorHAnsi" w:cstheme="minorHAnsi"/>
          <w:lang w:val="el-GR"/>
        </w:rPr>
        <w:t>Αξιολόγησης</w:t>
      </w:r>
      <w:r w:rsidRPr="00791805">
        <w:rPr>
          <w:rFonts w:asciiTheme="minorHAnsi" w:hAnsiTheme="minorHAnsi" w:cstheme="minorHAnsi"/>
          <w:lang w:val="el-GR"/>
        </w:rPr>
        <w:t xml:space="preserve">, </w:t>
      </w:r>
      <w:r>
        <w:rPr>
          <w:rFonts w:asciiTheme="minorHAnsi" w:hAnsiTheme="minorHAnsi" w:cstheme="minorHAnsi"/>
          <w:lang w:val="el-GR"/>
        </w:rPr>
        <w:t>που είναι διαθέσιμο στην ιστοσελίδα της</w:t>
      </w:r>
      <w:r w:rsidRPr="00791805">
        <w:rPr>
          <w:rFonts w:asciiTheme="minorHAnsi" w:hAnsiTheme="minorHAnsi" w:cstheme="minorHAnsi"/>
          <w:lang w:val="el-GR"/>
        </w:rPr>
        <w:t xml:space="preserve"> </w:t>
      </w:r>
      <w:r w:rsidRPr="00B95983">
        <w:rPr>
          <w:rFonts w:asciiTheme="minorHAnsi" w:hAnsiTheme="minorHAnsi" w:cstheme="minorHAnsi"/>
        </w:rPr>
        <w:t>GRECO</w:t>
      </w:r>
      <w:r w:rsidRPr="00740E08">
        <w:rPr>
          <w:rFonts w:asciiTheme="minorHAnsi" w:hAnsiTheme="minorHAnsi" w:cstheme="minorHAnsi"/>
          <w:color w:val="000000" w:themeColor="text1"/>
          <w:lang w:val="el-GR"/>
        </w:rPr>
        <w:t>.</w:t>
      </w:r>
    </w:p>
  </w:footnote>
  <w:footnote w:id="3">
    <w:p w14:paraId="1C6A3888" w14:textId="33FD46D5" w:rsidR="00071F64" w:rsidRPr="000213B0" w:rsidRDefault="00071F64">
      <w:pPr>
        <w:pStyle w:val="FootnoteText"/>
        <w:rPr>
          <w:rFonts w:asciiTheme="minorHAnsi" w:hAnsiTheme="minorHAnsi" w:cstheme="minorHAnsi"/>
          <w:lang w:val="el-GR"/>
        </w:rPr>
      </w:pPr>
      <w:r w:rsidRPr="00B95983">
        <w:rPr>
          <w:rStyle w:val="FootnoteReference"/>
          <w:rFonts w:asciiTheme="minorHAnsi" w:hAnsiTheme="minorHAnsi" w:cstheme="minorHAnsi"/>
        </w:rPr>
        <w:footnoteRef/>
      </w:r>
      <w:r w:rsidRPr="00791805">
        <w:rPr>
          <w:rFonts w:asciiTheme="minorHAnsi" w:hAnsiTheme="minorHAnsi" w:cstheme="minorHAnsi"/>
          <w:lang w:val="el-GR"/>
        </w:rPr>
        <w:t xml:space="preserve"> </w:t>
      </w:r>
      <w:r>
        <w:rPr>
          <w:rFonts w:asciiTheme="minorHAnsi" w:hAnsiTheme="minorHAnsi" w:cstheme="minorHAnsi"/>
          <w:lang w:val="el-GR"/>
        </w:rPr>
        <w:t>Πρέπει</w:t>
      </w:r>
      <w:r w:rsidRPr="00791805">
        <w:rPr>
          <w:rFonts w:asciiTheme="minorHAnsi" w:hAnsiTheme="minorHAnsi" w:cstheme="minorHAnsi"/>
          <w:lang w:val="el-GR"/>
        </w:rPr>
        <w:t xml:space="preserve"> </w:t>
      </w:r>
      <w:r>
        <w:rPr>
          <w:rFonts w:asciiTheme="minorHAnsi" w:hAnsiTheme="minorHAnsi" w:cstheme="minorHAnsi"/>
          <w:lang w:val="el-GR"/>
        </w:rPr>
        <w:t>να</w:t>
      </w:r>
      <w:r w:rsidRPr="00791805">
        <w:rPr>
          <w:rFonts w:asciiTheme="minorHAnsi" w:hAnsiTheme="minorHAnsi" w:cstheme="minorHAnsi"/>
          <w:lang w:val="el-GR"/>
        </w:rPr>
        <w:t xml:space="preserve"> </w:t>
      </w:r>
      <w:r>
        <w:rPr>
          <w:rFonts w:asciiTheme="minorHAnsi" w:hAnsiTheme="minorHAnsi" w:cstheme="minorHAnsi"/>
          <w:lang w:val="el-GR"/>
        </w:rPr>
        <w:t>τονισθεί</w:t>
      </w:r>
      <w:r w:rsidRPr="00791805">
        <w:rPr>
          <w:rFonts w:asciiTheme="minorHAnsi" w:hAnsiTheme="minorHAnsi" w:cstheme="minorHAnsi"/>
          <w:lang w:val="el-GR"/>
        </w:rPr>
        <w:t xml:space="preserve"> </w:t>
      </w:r>
      <w:r>
        <w:rPr>
          <w:rFonts w:asciiTheme="minorHAnsi" w:hAnsiTheme="minorHAnsi" w:cstheme="minorHAnsi"/>
          <w:lang w:val="el-GR"/>
        </w:rPr>
        <w:t>ότι</w:t>
      </w:r>
      <w:r w:rsidRPr="00791805">
        <w:rPr>
          <w:rFonts w:asciiTheme="minorHAnsi" w:hAnsiTheme="minorHAnsi" w:cstheme="minorHAnsi"/>
          <w:lang w:val="el-GR"/>
        </w:rPr>
        <w:t xml:space="preserve"> </w:t>
      </w:r>
      <w:r>
        <w:rPr>
          <w:rFonts w:asciiTheme="minorHAnsi" w:hAnsiTheme="minorHAnsi" w:cstheme="minorHAnsi"/>
          <w:lang w:val="el-GR"/>
        </w:rPr>
        <w:t>κατά</w:t>
      </w:r>
      <w:r w:rsidRPr="00791805">
        <w:rPr>
          <w:rFonts w:asciiTheme="minorHAnsi" w:hAnsiTheme="minorHAnsi" w:cstheme="minorHAnsi"/>
          <w:lang w:val="el-GR"/>
        </w:rPr>
        <w:t xml:space="preserve"> </w:t>
      </w:r>
      <w:r>
        <w:rPr>
          <w:rFonts w:asciiTheme="minorHAnsi" w:hAnsiTheme="minorHAnsi" w:cstheme="minorHAnsi"/>
          <w:lang w:val="el-GR"/>
        </w:rPr>
        <w:t>την</w:t>
      </w:r>
      <w:r w:rsidRPr="00791805">
        <w:rPr>
          <w:rFonts w:asciiTheme="minorHAnsi" w:hAnsiTheme="minorHAnsi" w:cstheme="minorHAnsi"/>
          <w:lang w:val="el-GR"/>
        </w:rPr>
        <w:t xml:space="preserve"> </w:t>
      </w:r>
      <w:r>
        <w:rPr>
          <w:rFonts w:asciiTheme="minorHAnsi" w:hAnsiTheme="minorHAnsi" w:cstheme="minorHAnsi"/>
          <w:lang w:val="el-GR"/>
        </w:rPr>
        <w:t>διάρκεια των</w:t>
      </w:r>
      <w:r w:rsidRPr="00791805">
        <w:rPr>
          <w:rFonts w:asciiTheme="minorHAnsi" w:hAnsiTheme="minorHAnsi" w:cstheme="minorHAnsi"/>
          <w:lang w:val="el-GR"/>
        </w:rPr>
        <w:t xml:space="preserve"> </w:t>
      </w:r>
      <w:r>
        <w:rPr>
          <w:rFonts w:asciiTheme="minorHAnsi" w:hAnsiTheme="minorHAnsi" w:cstheme="minorHAnsi"/>
          <w:lang w:val="el-GR"/>
        </w:rPr>
        <w:t>επί</w:t>
      </w:r>
      <w:r w:rsidRPr="00791805">
        <w:rPr>
          <w:rFonts w:asciiTheme="minorHAnsi" w:hAnsiTheme="minorHAnsi" w:cstheme="minorHAnsi"/>
          <w:lang w:val="el-GR"/>
        </w:rPr>
        <w:t>-</w:t>
      </w:r>
      <w:r>
        <w:rPr>
          <w:rFonts w:asciiTheme="minorHAnsi" w:hAnsiTheme="minorHAnsi" w:cstheme="minorHAnsi"/>
          <w:lang w:val="el-GR"/>
        </w:rPr>
        <w:t>τόπου</w:t>
      </w:r>
      <w:r w:rsidRPr="00791805">
        <w:rPr>
          <w:rFonts w:asciiTheme="minorHAnsi" w:hAnsiTheme="minorHAnsi" w:cstheme="minorHAnsi"/>
          <w:lang w:val="el-GR"/>
        </w:rPr>
        <w:t xml:space="preserve"> </w:t>
      </w:r>
      <w:r>
        <w:rPr>
          <w:rFonts w:asciiTheme="minorHAnsi" w:hAnsiTheme="minorHAnsi" w:cstheme="minorHAnsi"/>
          <w:lang w:val="el-GR"/>
        </w:rPr>
        <w:t>επισκέψεων,</w:t>
      </w:r>
      <w:r w:rsidRPr="00791805">
        <w:rPr>
          <w:rFonts w:asciiTheme="minorHAnsi" w:hAnsiTheme="minorHAnsi" w:cstheme="minorHAnsi"/>
          <w:lang w:val="el-GR"/>
        </w:rPr>
        <w:t xml:space="preserve"> </w:t>
      </w:r>
      <w:r>
        <w:rPr>
          <w:rFonts w:asciiTheme="minorHAnsi" w:hAnsiTheme="minorHAnsi" w:cstheme="minorHAnsi"/>
          <w:lang w:val="el-GR"/>
        </w:rPr>
        <w:t xml:space="preserve">λήφθηκαν συνεντεύξεις με </w:t>
      </w:r>
      <w:r>
        <w:rPr>
          <w:rFonts w:asciiTheme="minorHAnsi" w:hAnsiTheme="minorHAnsi" w:cstheme="minorHAnsi"/>
          <w:lang w:val="en-US"/>
        </w:rPr>
        <w:t>PTEFs</w:t>
      </w:r>
      <w:r w:rsidRPr="002B7C4B">
        <w:rPr>
          <w:rFonts w:asciiTheme="minorHAnsi" w:hAnsiTheme="minorHAnsi" w:cstheme="minorHAnsi"/>
          <w:lang w:val="el-GR"/>
        </w:rPr>
        <w:t xml:space="preserve"> </w:t>
      </w:r>
      <w:r>
        <w:rPr>
          <w:rFonts w:asciiTheme="minorHAnsi" w:hAnsiTheme="minorHAnsi" w:cstheme="minorHAnsi"/>
          <w:lang w:val="el-GR"/>
        </w:rPr>
        <w:t>της προηγούμενης Κυβέρνησης</w:t>
      </w:r>
      <w:r w:rsidRPr="00791805">
        <w:rPr>
          <w:rFonts w:asciiTheme="minorHAnsi" w:hAnsiTheme="minorHAnsi" w:cstheme="minorHAnsi"/>
          <w:lang w:val="el-GR"/>
        </w:rPr>
        <w:t xml:space="preserve">. </w:t>
      </w:r>
      <w:r>
        <w:rPr>
          <w:rFonts w:asciiTheme="minorHAnsi" w:hAnsiTheme="minorHAnsi" w:cstheme="minorHAnsi"/>
          <w:lang w:val="el-GR"/>
        </w:rPr>
        <w:t>Όλοι</w:t>
      </w:r>
      <w:r w:rsidRPr="000213B0">
        <w:rPr>
          <w:rFonts w:asciiTheme="minorHAnsi" w:hAnsiTheme="minorHAnsi" w:cstheme="minorHAnsi"/>
          <w:lang w:val="el-GR"/>
        </w:rPr>
        <w:t xml:space="preserve"> </w:t>
      </w:r>
      <w:r>
        <w:rPr>
          <w:rFonts w:asciiTheme="minorHAnsi" w:hAnsiTheme="minorHAnsi" w:cstheme="minorHAnsi"/>
          <w:lang w:val="el-GR"/>
        </w:rPr>
        <w:t>αυτοί</w:t>
      </w:r>
      <w:r w:rsidRPr="000213B0">
        <w:rPr>
          <w:rFonts w:asciiTheme="minorHAnsi" w:hAnsiTheme="minorHAnsi" w:cstheme="minorHAnsi"/>
          <w:lang w:val="el-GR"/>
        </w:rPr>
        <w:t xml:space="preserve"> </w:t>
      </w:r>
      <w:r>
        <w:rPr>
          <w:rFonts w:asciiTheme="minorHAnsi" w:hAnsiTheme="minorHAnsi" w:cstheme="minorHAnsi"/>
          <w:lang w:val="el-GR"/>
        </w:rPr>
        <w:t>οι</w:t>
      </w:r>
      <w:r w:rsidRPr="000213B0">
        <w:rPr>
          <w:rFonts w:asciiTheme="minorHAnsi" w:hAnsiTheme="minorHAnsi" w:cstheme="minorHAnsi"/>
          <w:lang w:val="el-GR"/>
        </w:rPr>
        <w:t xml:space="preserve"> </w:t>
      </w:r>
      <w:r>
        <w:rPr>
          <w:rFonts w:asciiTheme="minorHAnsi" w:hAnsiTheme="minorHAnsi" w:cstheme="minorHAnsi"/>
          <w:lang w:val="en-US"/>
        </w:rPr>
        <w:t>PTEFs</w:t>
      </w:r>
      <w:r w:rsidRPr="002B7C4B">
        <w:rPr>
          <w:rFonts w:asciiTheme="minorHAnsi" w:hAnsiTheme="minorHAnsi" w:cstheme="minorHAnsi"/>
          <w:lang w:val="el-GR"/>
        </w:rPr>
        <w:t xml:space="preserve"> </w:t>
      </w:r>
      <w:r>
        <w:rPr>
          <w:rFonts w:asciiTheme="minorHAnsi" w:hAnsiTheme="minorHAnsi" w:cstheme="minorHAnsi"/>
          <w:lang w:val="el-GR"/>
        </w:rPr>
        <w:t>έχουν</w:t>
      </w:r>
      <w:r w:rsidRPr="000213B0">
        <w:rPr>
          <w:rFonts w:asciiTheme="minorHAnsi" w:hAnsiTheme="minorHAnsi" w:cstheme="minorHAnsi"/>
          <w:lang w:val="el-GR"/>
        </w:rPr>
        <w:t xml:space="preserve"> </w:t>
      </w:r>
      <w:r>
        <w:rPr>
          <w:rFonts w:asciiTheme="minorHAnsi" w:hAnsiTheme="minorHAnsi" w:cstheme="minorHAnsi"/>
          <w:lang w:val="el-GR"/>
        </w:rPr>
        <w:t>αντικατασταθεί</w:t>
      </w:r>
      <w:r w:rsidRPr="000213B0">
        <w:rPr>
          <w:rFonts w:asciiTheme="minorHAnsi" w:hAnsiTheme="minorHAnsi" w:cstheme="minorHAnsi"/>
          <w:lang w:val="el-GR"/>
        </w:rPr>
        <w:t xml:space="preserve"> </w:t>
      </w:r>
      <w:r>
        <w:rPr>
          <w:rFonts w:asciiTheme="minorHAnsi" w:hAnsiTheme="minorHAnsi" w:cstheme="minorHAnsi"/>
          <w:lang w:val="el-GR"/>
        </w:rPr>
        <w:t>τώρα</w:t>
      </w:r>
      <w:r w:rsidRPr="000213B0">
        <w:rPr>
          <w:rFonts w:asciiTheme="minorHAnsi" w:hAnsiTheme="minorHAnsi" w:cstheme="minorHAnsi"/>
          <w:lang w:val="el-GR"/>
        </w:rPr>
        <w:t xml:space="preserve"> </w:t>
      </w:r>
      <w:r>
        <w:rPr>
          <w:rFonts w:asciiTheme="minorHAnsi" w:hAnsiTheme="minorHAnsi" w:cstheme="minorHAnsi"/>
          <w:lang w:val="el-GR"/>
        </w:rPr>
        <w:t>από</w:t>
      </w:r>
      <w:r w:rsidRPr="000213B0">
        <w:rPr>
          <w:rFonts w:asciiTheme="minorHAnsi" w:hAnsiTheme="minorHAnsi" w:cstheme="minorHAnsi"/>
          <w:lang w:val="el-GR"/>
        </w:rPr>
        <w:t xml:space="preserve"> </w:t>
      </w:r>
      <w:r>
        <w:rPr>
          <w:rFonts w:asciiTheme="minorHAnsi" w:hAnsiTheme="minorHAnsi" w:cstheme="minorHAnsi"/>
          <w:lang w:val="el-GR"/>
        </w:rPr>
        <w:t>την</w:t>
      </w:r>
      <w:r w:rsidRPr="000213B0">
        <w:rPr>
          <w:rFonts w:asciiTheme="minorHAnsi" w:hAnsiTheme="minorHAnsi" w:cstheme="minorHAnsi"/>
          <w:lang w:val="el-GR"/>
        </w:rPr>
        <w:t xml:space="preserve"> 1</w:t>
      </w:r>
      <w:r w:rsidRPr="00791805">
        <w:rPr>
          <w:rFonts w:asciiTheme="minorHAnsi" w:hAnsiTheme="minorHAnsi" w:cstheme="minorHAnsi"/>
          <w:vertAlign w:val="superscript"/>
          <w:lang w:val="el-GR"/>
        </w:rPr>
        <w:t>η</w:t>
      </w:r>
      <w:r w:rsidRPr="000213B0">
        <w:rPr>
          <w:rFonts w:asciiTheme="minorHAnsi" w:hAnsiTheme="minorHAnsi" w:cstheme="minorHAnsi"/>
          <w:lang w:val="el-GR"/>
        </w:rPr>
        <w:t xml:space="preserve"> </w:t>
      </w:r>
      <w:r>
        <w:rPr>
          <w:rFonts w:asciiTheme="minorHAnsi" w:hAnsiTheme="minorHAnsi" w:cstheme="minorHAnsi"/>
          <w:lang w:val="el-GR"/>
        </w:rPr>
        <w:t>Μαρτίου</w:t>
      </w:r>
      <w:r w:rsidRPr="000213B0">
        <w:rPr>
          <w:rFonts w:asciiTheme="minorHAnsi" w:hAnsiTheme="minorHAnsi" w:cstheme="minorHAnsi"/>
          <w:lang w:val="el-GR"/>
        </w:rPr>
        <w:t xml:space="preserve"> 2023 </w:t>
      </w:r>
      <w:r>
        <w:rPr>
          <w:rFonts w:asciiTheme="minorHAnsi" w:hAnsiTheme="minorHAnsi" w:cstheme="minorHAnsi"/>
          <w:lang w:val="el-GR"/>
        </w:rPr>
        <w:t>όταν έχει σχηματισθεί</w:t>
      </w:r>
      <w:r w:rsidRPr="008E7B10">
        <w:rPr>
          <w:rFonts w:asciiTheme="minorHAnsi" w:hAnsiTheme="minorHAnsi" w:cstheme="minorHAnsi"/>
          <w:lang w:val="el-GR"/>
        </w:rPr>
        <w:t xml:space="preserve"> </w:t>
      </w:r>
      <w:r>
        <w:rPr>
          <w:rFonts w:asciiTheme="minorHAnsi" w:hAnsiTheme="minorHAnsi" w:cstheme="minorHAnsi"/>
          <w:lang w:val="el-GR"/>
        </w:rPr>
        <w:t xml:space="preserve">νέα </w:t>
      </w:r>
      <w:r w:rsidR="00973266">
        <w:rPr>
          <w:rFonts w:asciiTheme="minorHAnsi" w:hAnsiTheme="minorHAnsi" w:cstheme="minorHAnsi"/>
          <w:lang w:val="el-GR"/>
        </w:rPr>
        <w:t>Κυβέρνηση</w:t>
      </w:r>
      <w:r w:rsidRPr="000213B0">
        <w:rPr>
          <w:rFonts w:asciiTheme="minorHAnsi" w:hAnsiTheme="minorHAnsi" w:cstheme="minorHAnsi"/>
          <w:lang w:val="el-GR"/>
        </w:rPr>
        <w:t>.</w:t>
      </w:r>
    </w:p>
  </w:footnote>
  <w:footnote w:id="4">
    <w:p w14:paraId="027A8BD1" w14:textId="76F74423" w:rsidR="00071F64" w:rsidRPr="00D138D0" w:rsidRDefault="00071F64" w:rsidP="00A5147D">
      <w:pPr>
        <w:pStyle w:val="FootnoteText"/>
        <w:rPr>
          <w:rFonts w:asciiTheme="minorHAnsi" w:hAnsiTheme="minorHAnsi" w:cstheme="minorHAnsi"/>
          <w:lang w:val="el-GR"/>
        </w:rPr>
      </w:pPr>
      <w:r w:rsidRPr="00B47EA7">
        <w:rPr>
          <w:rStyle w:val="FootnoteReference"/>
          <w:rFonts w:asciiTheme="minorHAnsi" w:hAnsiTheme="minorHAnsi" w:cstheme="minorHAnsi"/>
        </w:rPr>
        <w:footnoteRef/>
      </w:r>
      <w:r w:rsidRPr="00067A23">
        <w:rPr>
          <w:rFonts w:asciiTheme="minorHAnsi" w:hAnsiTheme="minorHAnsi" w:cstheme="minorHAnsi"/>
          <w:lang w:val="el-GR"/>
        </w:rPr>
        <w:t xml:space="preserve"> </w:t>
      </w:r>
      <w:r>
        <w:rPr>
          <w:rFonts w:asciiTheme="minorHAnsi" w:hAnsiTheme="minorHAnsi" w:cstheme="minorHAnsi"/>
          <w:lang w:val="el-GR"/>
        </w:rPr>
        <w:t>Γύρος</w:t>
      </w:r>
      <w:r w:rsidRPr="00067A23">
        <w:rPr>
          <w:rFonts w:asciiTheme="minorHAnsi" w:hAnsiTheme="minorHAnsi" w:cstheme="minorHAnsi"/>
          <w:lang w:val="el-GR"/>
        </w:rPr>
        <w:t xml:space="preserve"> </w:t>
      </w:r>
      <w:r>
        <w:rPr>
          <w:rFonts w:asciiTheme="minorHAnsi" w:hAnsiTheme="minorHAnsi" w:cstheme="minorHAnsi"/>
          <w:lang w:val="el-GR"/>
        </w:rPr>
        <w:t>Αξιολόγησης</w:t>
      </w:r>
      <w:r w:rsidRPr="00067A23">
        <w:rPr>
          <w:rFonts w:asciiTheme="minorHAnsi" w:hAnsiTheme="minorHAnsi" w:cstheme="minorHAnsi"/>
          <w:lang w:val="el-GR"/>
        </w:rPr>
        <w:t xml:space="preserve"> </w:t>
      </w:r>
      <w:r w:rsidRPr="00B47EA7">
        <w:rPr>
          <w:rFonts w:asciiTheme="minorHAnsi" w:hAnsiTheme="minorHAnsi" w:cstheme="minorHAnsi"/>
        </w:rPr>
        <w:t>I</w:t>
      </w:r>
      <w:r w:rsidRPr="00067A23">
        <w:rPr>
          <w:rFonts w:asciiTheme="minorHAnsi" w:hAnsiTheme="minorHAnsi" w:cstheme="minorHAnsi"/>
          <w:lang w:val="el-GR"/>
        </w:rPr>
        <w:t xml:space="preserve">: </w:t>
      </w:r>
      <w:r>
        <w:rPr>
          <w:rFonts w:asciiTheme="minorHAnsi" w:hAnsiTheme="minorHAnsi" w:cstheme="minorHAnsi"/>
          <w:lang w:val="el-GR"/>
        </w:rPr>
        <w:t>Ανεξαρτησία</w:t>
      </w:r>
      <w:r w:rsidRPr="00067A23">
        <w:rPr>
          <w:rFonts w:asciiTheme="minorHAnsi" w:hAnsiTheme="minorHAnsi" w:cstheme="minorHAnsi"/>
          <w:lang w:val="el-GR"/>
        </w:rPr>
        <w:t xml:space="preserve">, </w:t>
      </w:r>
      <w:r>
        <w:rPr>
          <w:rFonts w:asciiTheme="minorHAnsi" w:hAnsiTheme="minorHAnsi" w:cstheme="minorHAnsi"/>
          <w:lang w:val="el-GR"/>
        </w:rPr>
        <w:t>εξειδίκευση</w:t>
      </w:r>
      <w:r w:rsidRPr="00067A23">
        <w:rPr>
          <w:rFonts w:asciiTheme="minorHAnsi" w:hAnsiTheme="minorHAnsi" w:cstheme="minorHAnsi"/>
          <w:lang w:val="el-GR"/>
        </w:rPr>
        <w:t xml:space="preserve"> </w:t>
      </w:r>
      <w:r>
        <w:rPr>
          <w:rFonts w:asciiTheme="minorHAnsi" w:hAnsiTheme="minorHAnsi" w:cstheme="minorHAnsi"/>
          <w:lang w:val="el-GR"/>
        </w:rPr>
        <w:t>και</w:t>
      </w:r>
      <w:r w:rsidRPr="00067A23">
        <w:rPr>
          <w:rFonts w:asciiTheme="minorHAnsi" w:hAnsiTheme="minorHAnsi" w:cstheme="minorHAnsi"/>
          <w:lang w:val="el-GR"/>
        </w:rPr>
        <w:t xml:space="preserve"> </w:t>
      </w:r>
      <w:r>
        <w:rPr>
          <w:rFonts w:asciiTheme="minorHAnsi" w:hAnsiTheme="minorHAnsi" w:cstheme="minorHAnsi"/>
          <w:lang w:val="el-GR"/>
        </w:rPr>
        <w:t>τρόποι</w:t>
      </w:r>
      <w:r w:rsidRPr="00067A23">
        <w:rPr>
          <w:rFonts w:asciiTheme="minorHAnsi" w:hAnsiTheme="minorHAnsi" w:cstheme="minorHAnsi"/>
          <w:lang w:val="el-GR"/>
        </w:rPr>
        <w:t xml:space="preserve"> </w:t>
      </w:r>
      <w:r>
        <w:rPr>
          <w:rFonts w:asciiTheme="minorHAnsi" w:hAnsiTheme="minorHAnsi" w:cstheme="minorHAnsi"/>
          <w:lang w:val="el-GR"/>
        </w:rPr>
        <w:t>διαθέσιμοι</w:t>
      </w:r>
      <w:r w:rsidRPr="00067A23">
        <w:rPr>
          <w:rFonts w:asciiTheme="minorHAnsi" w:hAnsiTheme="minorHAnsi" w:cstheme="minorHAnsi"/>
          <w:lang w:val="el-GR"/>
        </w:rPr>
        <w:t xml:space="preserve"> </w:t>
      </w:r>
      <w:r>
        <w:rPr>
          <w:rFonts w:asciiTheme="minorHAnsi" w:hAnsiTheme="minorHAnsi" w:cstheme="minorHAnsi"/>
          <w:lang w:val="el-GR"/>
        </w:rPr>
        <w:t>σε</w:t>
      </w:r>
      <w:r w:rsidRPr="00067A23">
        <w:rPr>
          <w:rFonts w:asciiTheme="minorHAnsi" w:hAnsiTheme="minorHAnsi" w:cstheme="minorHAnsi"/>
          <w:lang w:val="el-GR"/>
        </w:rPr>
        <w:t xml:space="preserve"> </w:t>
      </w:r>
      <w:r>
        <w:rPr>
          <w:rFonts w:asciiTheme="minorHAnsi" w:hAnsiTheme="minorHAnsi" w:cstheme="minorHAnsi"/>
          <w:lang w:val="el-GR"/>
        </w:rPr>
        <w:t>εθνικά</w:t>
      </w:r>
      <w:r w:rsidRPr="00067A23">
        <w:rPr>
          <w:rFonts w:asciiTheme="minorHAnsi" w:hAnsiTheme="minorHAnsi" w:cstheme="minorHAnsi"/>
          <w:lang w:val="el-GR"/>
        </w:rPr>
        <w:t xml:space="preserve"> </w:t>
      </w:r>
      <w:r>
        <w:rPr>
          <w:rFonts w:asciiTheme="minorHAnsi" w:hAnsiTheme="minorHAnsi" w:cstheme="minorHAnsi"/>
          <w:lang w:val="el-GR"/>
        </w:rPr>
        <w:t>όργανα</w:t>
      </w:r>
      <w:r w:rsidRPr="00067A23">
        <w:rPr>
          <w:rFonts w:asciiTheme="minorHAnsi" w:hAnsiTheme="minorHAnsi" w:cstheme="minorHAnsi"/>
          <w:lang w:val="el-GR"/>
        </w:rPr>
        <w:t xml:space="preserve"> </w:t>
      </w:r>
      <w:r>
        <w:rPr>
          <w:rFonts w:asciiTheme="minorHAnsi" w:hAnsiTheme="minorHAnsi" w:cstheme="minorHAnsi"/>
          <w:lang w:val="el-GR"/>
        </w:rPr>
        <w:t>εμπλεκόμενα</w:t>
      </w:r>
      <w:r w:rsidRPr="00067A23">
        <w:rPr>
          <w:rFonts w:asciiTheme="minorHAnsi" w:hAnsiTheme="minorHAnsi" w:cstheme="minorHAnsi"/>
          <w:lang w:val="el-GR"/>
        </w:rPr>
        <w:t xml:space="preserve"> </w:t>
      </w:r>
      <w:r>
        <w:rPr>
          <w:rFonts w:asciiTheme="minorHAnsi" w:hAnsiTheme="minorHAnsi" w:cstheme="minorHAnsi"/>
          <w:lang w:val="el-GR"/>
        </w:rPr>
        <w:t>στην</w:t>
      </w:r>
      <w:r w:rsidRPr="00067A23">
        <w:rPr>
          <w:rFonts w:asciiTheme="minorHAnsi" w:hAnsiTheme="minorHAnsi" w:cstheme="minorHAnsi"/>
          <w:lang w:val="el-GR"/>
        </w:rPr>
        <w:t xml:space="preserve"> </w:t>
      </w:r>
      <w:r>
        <w:rPr>
          <w:rFonts w:asciiTheme="minorHAnsi" w:hAnsiTheme="minorHAnsi" w:cstheme="minorHAnsi"/>
          <w:lang w:val="el-GR"/>
        </w:rPr>
        <w:t>πρόληψη</w:t>
      </w:r>
      <w:r w:rsidRPr="00067A23">
        <w:rPr>
          <w:rFonts w:asciiTheme="minorHAnsi" w:hAnsiTheme="minorHAnsi" w:cstheme="minorHAnsi"/>
          <w:lang w:val="el-GR"/>
        </w:rPr>
        <w:t xml:space="preserve"> </w:t>
      </w:r>
      <w:r>
        <w:rPr>
          <w:rFonts w:asciiTheme="minorHAnsi" w:hAnsiTheme="minorHAnsi" w:cstheme="minorHAnsi"/>
          <w:lang w:val="el-GR"/>
        </w:rPr>
        <w:t>και</w:t>
      </w:r>
      <w:r w:rsidRPr="00067A23">
        <w:rPr>
          <w:rFonts w:asciiTheme="minorHAnsi" w:hAnsiTheme="minorHAnsi" w:cstheme="minorHAnsi"/>
          <w:lang w:val="el-GR"/>
        </w:rPr>
        <w:t xml:space="preserve"> </w:t>
      </w:r>
      <w:r>
        <w:rPr>
          <w:rFonts w:asciiTheme="minorHAnsi" w:hAnsiTheme="minorHAnsi" w:cstheme="minorHAnsi"/>
          <w:lang w:val="el-GR"/>
        </w:rPr>
        <w:t>καταπολέμηση</w:t>
      </w:r>
      <w:r w:rsidRPr="00067A23">
        <w:rPr>
          <w:rFonts w:asciiTheme="minorHAnsi" w:hAnsiTheme="minorHAnsi" w:cstheme="minorHAnsi"/>
          <w:lang w:val="el-GR"/>
        </w:rPr>
        <w:t xml:space="preserve"> </w:t>
      </w:r>
      <w:r>
        <w:rPr>
          <w:rFonts w:asciiTheme="minorHAnsi" w:hAnsiTheme="minorHAnsi" w:cstheme="minorHAnsi"/>
          <w:lang w:val="el-GR"/>
        </w:rPr>
        <w:t>της</w:t>
      </w:r>
      <w:r w:rsidRPr="00067A23">
        <w:rPr>
          <w:rFonts w:asciiTheme="minorHAnsi" w:hAnsiTheme="minorHAnsi" w:cstheme="minorHAnsi"/>
          <w:lang w:val="el-GR"/>
        </w:rPr>
        <w:t xml:space="preserve"> </w:t>
      </w:r>
      <w:r>
        <w:rPr>
          <w:rFonts w:asciiTheme="minorHAnsi" w:hAnsiTheme="minorHAnsi" w:cstheme="minorHAnsi"/>
          <w:lang w:val="el-GR"/>
        </w:rPr>
        <w:t>διαφθοράς</w:t>
      </w:r>
      <w:r w:rsidRPr="00067A23">
        <w:rPr>
          <w:rFonts w:asciiTheme="minorHAnsi" w:hAnsiTheme="minorHAnsi" w:cstheme="minorHAnsi"/>
          <w:lang w:val="el-GR"/>
        </w:rPr>
        <w:t xml:space="preserve"> / </w:t>
      </w:r>
      <w:r>
        <w:rPr>
          <w:rFonts w:asciiTheme="minorHAnsi" w:hAnsiTheme="minorHAnsi" w:cstheme="minorHAnsi"/>
          <w:lang w:val="el-GR"/>
        </w:rPr>
        <w:t>Έκταση</w:t>
      </w:r>
      <w:r w:rsidRPr="00067A23">
        <w:rPr>
          <w:rFonts w:asciiTheme="minorHAnsi" w:hAnsiTheme="minorHAnsi" w:cstheme="minorHAnsi"/>
          <w:lang w:val="el-GR"/>
        </w:rPr>
        <w:t xml:space="preserve"> </w:t>
      </w:r>
      <w:r>
        <w:rPr>
          <w:rFonts w:asciiTheme="minorHAnsi" w:hAnsiTheme="minorHAnsi" w:cstheme="minorHAnsi"/>
          <w:lang w:val="el-GR"/>
        </w:rPr>
        <w:t>και</w:t>
      </w:r>
      <w:r w:rsidRPr="00067A23">
        <w:rPr>
          <w:rFonts w:asciiTheme="minorHAnsi" w:hAnsiTheme="minorHAnsi" w:cstheme="minorHAnsi"/>
          <w:lang w:val="el-GR"/>
        </w:rPr>
        <w:t xml:space="preserve"> </w:t>
      </w:r>
      <w:r>
        <w:rPr>
          <w:rFonts w:asciiTheme="minorHAnsi" w:hAnsiTheme="minorHAnsi" w:cstheme="minorHAnsi"/>
          <w:lang w:val="el-GR"/>
        </w:rPr>
        <w:t>σκοπός</w:t>
      </w:r>
      <w:r w:rsidRPr="00067A23">
        <w:rPr>
          <w:rFonts w:asciiTheme="minorHAnsi" w:hAnsiTheme="minorHAnsi" w:cstheme="minorHAnsi"/>
          <w:lang w:val="el-GR"/>
        </w:rPr>
        <w:t xml:space="preserve"> </w:t>
      </w:r>
      <w:r>
        <w:rPr>
          <w:rFonts w:asciiTheme="minorHAnsi" w:hAnsiTheme="minorHAnsi" w:cstheme="minorHAnsi"/>
          <w:lang w:val="el-GR"/>
        </w:rPr>
        <w:t>των</w:t>
      </w:r>
      <w:r w:rsidRPr="00067A23">
        <w:rPr>
          <w:rFonts w:asciiTheme="minorHAnsi" w:hAnsiTheme="minorHAnsi" w:cstheme="minorHAnsi"/>
          <w:lang w:val="el-GR"/>
        </w:rPr>
        <w:t xml:space="preserve"> </w:t>
      </w:r>
      <w:r>
        <w:rPr>
          <w:rFonts w:asciiTheme="minorHAnsi" w:hAnsiTheme="minorHAnsi" w:cstheme="minorHAnsi"/>
          <w:lang w:val="el-GR"/>
        </w:rPr>
        <w:t>ασυλιών</w:t>
      </w:r>
      <w:r w:rsidRPr="00067A23">
        <w:rPr>
          <w:rFonts w:asciiTheme="minorHAnsi" w:hAnsiTheme="minorHAnsi" w:cstheme="minorHAnsi"/>
          <w:lang w:val="el-GR"/>
        </w:rPr>
        <w:t xml:space="preserve">. </w:t>
      </w:r>
      <w:r>
        <w:rPr>
          <w:rFonts w:asciiTheme="minorHAnsi" w:hAnsiTheme="minorHAnsi" w:cstheme="minorHAnsi"/>
          <w:lang w:val="el-GR"/>
        </w:rPr>
        <w:t>Γύρος</w:t>
      </w:r>
      <w:r w:rsidRPr="00D138D0">
        <w:rPr>
          <w:rFonts w:asciiTheme="minorHAnsi" w:hAnsiTheme="minorHAnsi" w:cstheme="minorHAnsi"/>
          <w:lang w:val="el-GR"/>
        </w:rPr>
        <w:t xml:space="preserve"> </w:t>
      </w:r>
      <w:r>
        <w:rPr>
          <w:rFonts w:asciiTheme="minorHAnsi" w:hAnsiTheme="minorHAnsi" w:cstheme="minorHAnsi"/>
          <w:lang w:val="el-GR"/>
        </w:rPr>
        <w:t>Αξιολόγησης</w:t>
      </w:r>
      <w:r w:rsidRPr="00D138D0">
        <w:rPr>
          <w:rFonts w:asciiTheme="minorHAnsi" w:hAnsiTheme="minorHAnsi" w:cstheme="minorHAnsi"/>
          <w:lang w:val="el-GR"/>
        </w:rPr>
        <w:t xml:space="preserve"> </w:t>
      </w:r>
      <w:r w:rsidRPr="00B47EA7">
        <w:rPr>
          <w:rFonts w:asciiTheme="minorHAnsi" w:hAnsiTheme="minorHAnsi" w:cstheme="minorHAnsi"/>
        </w:rPr>
        <w:t>II</w:t>
      </w:r>
      <w:r w:rsidRPr="00D138D0">
        <w:rPr>
          <w:rFonts w:asciiTheme="minorHAnsi" w:hAnsiTheme="minorHAnsi" w:cstheme="minorHAnsi"/>
          <w:lang w:val="el-GR"/>
        </w:rPr>
        <w:t xml:space="preserve">: </w:t>
      </w:r>
      <w:r>
        <w:rPr>
          <w:rFonts w:asciiTheme="minorHAnsi" w:hAnsiTheme="minorHAnsi" w:cstheme="minorHAnsi"/>
          <w:lang w:val="el-GR"/>
        </w:rPr>
        <w:t>Εντοπισμός</w:t>
      </w:r>
      <w:r w:rsidRPr="00D138D0">
        <w:rPr>
          <w:rFonts w:asciiTheme="minorHAnsi" w:hAnsiTheme="minorHAnsi" w:cstheme="minorHAnsi"/>
          <w:lang w:val="el-GR"/>
        </w:rPr>
        <w:t xml:space="preserve">, </w:t>
      </w:r>
      <w:r>
        <w:rPr>
          <w:rFonts w:asciiTheme="minorHAnsi" w:hAnsiTheme="minorHAnsi" w:cstheme="minorHAnsi"/>
          <w:lang w:val="el-GR"/>
        </w:rPr>
        <w:t>κατάληψη</w:t>
      </w:r>
      <w:r w:rsidRPr="00D138D0">
        <w:rPr>
          <w:rFonts w:asciiTheme="minorHAnsi" w:hAnsiTheme="minorHAnsi" w:cstheme="minorHAnsi"/>
          <w:lang w:val="el-GR"/>
        </w:rPr>
        <w:t xml:space="preserve"> </w:t>
      </w:r>
      <w:r>
        <w:rPr>
          <w:rFonts w:asciiTheme="minorHAnsi" w:hAnsiTheme="minorHAnsi" w:cstheme="minorHAnsi"/>
          <w:lang w:val="el-GR"/>
        </w:rPr>
        <w:t>και</w:t>
      </w:r>
      <w:r w:rsidRPr="00D138D0">
        <w:rPr>
          <w:rFonts w:asciiTheme="minorHAnsi" w:hAnsiTheme="minorHAnsi" w:cstheme="minorHAnsi"/>
          <w:lang w:val="el-GR"/>
        </w:rPr>
        <w:t xml:space="preserve"> </w:t>
      </w:r>
      <w:r>
        <w:rPr>
          <w:rFonts w:asciiTheme="minorHAnsi" w:hAnsiTheme="minorHAnsi" w:cstheme="minorHAnsi"/>
          <w:lang w:val="el-GR"/>
        </w:rPr>
        <w:t>κατάσχεση</w:t>
      </w:r>
      <w:r w:rsidRPr="00D138D0">
        <w:rPr>
          <w:rFonts w:asciiTheme="minorHAnsi" w:hAnsiTheme="minorHAnsi" w:cstheme="minorHAnsi"/>
          <w:lang w:val="el-GR"/>
        </w:rPr>
        <w:t xml:space="preserve"> </w:t>
      </w:r>
      <w:r>
        <w:rPr>
          <w:rFonts w:asciiTheme="minorHAnsi" w:hAnsiTheme="minorHAnsi" w:cstheme="minorHAnsi"/>
          <w:lang w:val="el-GR"/>
        </w:rPr>
        <w:t>των</w:t>
      </w:r>
      <w:r w:rsidRPr="00D138D0">
        <w:rPr>
          <w:rFonts w:asciiTheme="minorHAnsi" w:hAnsiTheme="minorHAnsi" w:cstheme="minorHAnsi"/>
          <w:lang w:val="el-GR"/>
        </w:rPr>
        <w:t xml:space="preserve"> </w:t>
      </w:r>
      <w:r>
        <w:rPr>
          <w:rFonts w:asciiTheme="minorHAnsi" w:hAnsiTheme="minorHAnsi" w:cstheme="minorHAnsi"/>
          <w:lang w:val="el-GR"/>
        </w:rPr>
        <w:t>εσόδων</w:t>
      </w:r>
      <w:r w:rsidRPr="00D138D0">
        <w:rPr>
          <w:rFonts w:asciiTheme="minorHAnsi" w:hAnsiTheme="minorHAnsi" w:cstheme="minorHAnsi"/>
          <w:lang w:val="el-GR"/>
        </w:rPr>
        <w:t xml:space="preserve"> </w:t>
      </w:r>
      <w:r>
        <w:rPr>
          <w:rFonts w:asciiTheme="minorHAnsi" w:hAnsiTheme="minorHAnsi" w:cstheme="minorHAnsi"/>
          <w:lang w:val="el-GR"/>
        </w:rPr>
        <w:t>διαφθοράς</w:t>
      </w:r>
      <w:r w:rsidRPr="00D138D0">
        <w:rPr>
          <w:rFonts w:asciiTheme="minorHAnsi" w:hAnsiTheme="minorHAnsi" w:cstheme="minorHAnsi"/>
          <w:lang w:val="el-GR"/>
        </w:rPr>
        <w:t xml:space="preserve"> / </w:t>
      </w:r>
      <w:r>
        <w:rPr>
          <w:rFonts w:asciiTheme="minorHAnsi" w:hAnsiTheme="minorHAnsi" w:cstheme="minorHAnsi"/>
          <w:lang w:val="el-GR"/>
        </w:rPr>
        <w:t>Δημόσια</w:t>
      </w:r>
      <w:r w:rsidRPr="00D138D0">
        <w:rPr>
          <w:rFonts w:asciiTheme="minorHAnsi" w:hAnsiTheme="minorHAnsi" w:cstheme="minorHAnsi"/>
          <w:lang w:val="el-GR"/>
        </w:rPr>
        <w:t xml:space="preserve"> </w:t>
      </w:r>
      <w:r>
        <w:rPr>
          <w:rFonts w:asciiTheme="minorHAnsi" w:hAnsiTheme="minorHAnsi" w:cstheme="minorHAnsi"/>
          <w:lang w:val="el-GR"/>
        </w:rPr>
        <w:t>διοίκηση</w:t>
      </w:r>
      <w:r w:rsidRPr="00D138D0">
        <w:rPr>
          <w:rFonts w:asciiTheme="minorHAnsi" w:hAnsiTheme="minorHAnsi" w:cstheme="minorHAnsi"/>
          <w:lang w:val="el-GR"/>
        </w:rPr>
        <w:t xml:space="preserve"> </w:t>
      </w:r>
      <w:r>
        <w:rPr>
          <w:rFonts w:asciiTheme="minorHAnsi" w:hAnsiTheme="minorHAnsi" w:cstheme="minorHAnsi"/>
          <w:lang w:val="el-GR"/>
        </w:rPr>
        <w:t>και</w:t>
      </w:r>
      <w:r w:rsidRPr="00D138D0">
        <w:rPr>
          <w:rFonts w:asciiTheme="minorHAnsi" w:hAnsiTheme="minorHAnsi" w:cstheme="minorHAnsi"/>
          <w:lang w:val="el-GR"/>
        </w:rPr>
        <w:t xml:space="preserve"> </w:t>
      </w:r>
      <w:r>
        <w:rPr>
          <w:rFonts w:asciiTheme="minorHAnsi" w:hAnsiTheme="minorHAnsi" w:cstheme="minorHAnsi"/>
          <w:lang w:val="el-GR"/>
        </w:rPr>
        <w:t>διαφθορά</w:t>
      </w:r>
      <w:r w:rsidRPr="00D138D0">
        <w:rPr>
          <w:rFonts w:asciiTheme="minorHAnsi" w:hAnsiTheme="minorHAnsi" w:cstheme="minorHAnsi"/>
          <w:lang w:val="el-GR"/>
        </w:rPr>
        <w:t xml:space="preserve"> / </w:t>
      </w:r>
      <w:r>
        <w:rPr>
          <w:rFonts w:asciiTheme="minorHAnsi" w:hAnsiTheme="minorHAnsi" w:cstheme="minorHAnsi"/>
          <w:lang w:val="el-GR"/>
        </w:rPr>
        <w:t>Πρόληψη</w:t>
      </w:r>
      <w:r w:rsidRPr="00D138D0">
        <w:rPr>
          <w:rFonts w:asciiTheme="minorHAnsi" w:hAnsiTheme="minorHAnsi" w:cstheme="minorHAnsi"/>
          <w:lang w:val="el-GR"/>
        </w:rPr>
        <w:t xml:space="preserve"> </w:t>
      </w:r>
      <w:r>
        <w:rPr>
          <w:rFonts w:asciiTheme="minorHAnsi" w:hAnsiTheme="minorHAnsi" w:cstheme="minorHAnsi"/>
          <w:lang w:val="el-GR"/>
        </w:rPr>
        <w:t>χρήσης</w:t>
      </w:r>
      <w:r w:rsidRPr="00D138D0">
        <w:rPr>
          <w:rFonts w:asciiTheme="minorHAnsi" w:hAnsiTheme="minorHAnsi" w:cstheme="minorHAnsi"/>
          <w:lang w:val="el-GR"/>
        </w:rPr>
        <w:t xml:space="preserve"> </w:t>
      </w:r>
      <w:r>
        <w:rPr>
          <w:rFonts w:asciiTheme="minorHAnsi" w:hAnsiTheme="minorHAnsi" w:cstheme="minorHAnsi"/>
          <w:lang w:val="el-GR"/>
        </w:rPr>
        <w:t>νομικών</w:t>
      </w:r>
      <w:r w:rsidRPr="00D138D0">
        <w:rPr>
          <w:rFonts w:asciiTheme="minorHAnsi" w:hAnsiTheme="minorHAnsi" w:cstheme="minorHAnsi"/>
          <w:lang w:val="el-GR"/>
        </w:rPr>
        <w:t xml:space="preserve"> </w:t>
      </w:r>
      <w:r>
        <w:rPr>
          <w:rFonts w:asciiTheme="minorHAnsi" w:hAnsiTheme="minorHAnsi" w:cstheme="minorHAnsi"/>
          <w:lang w:val="el-GR"/>
        </w:rPr>
        <w:t>προσώπων</w:t>
      </w:r>
      <w:r w:rsidRPr="00D138D0">
        <w:rPr>
          <w:rFonts w:asciiTheme="minorHAnsi" w:hAnsiTheme="minorHAnsi" w:cstheme="minorHAnsi"/>
          <w:lang w:val="el-GR"/>
        </w:rPr>
        <w:t xml:space="preserve"> </w:t>
      </w:r>
      <w:r>
        <w:rPr>
          <w:rFonts w:asciiTheme="minorHAnsi" w:hAnsiTheme="minorHAnsi" w:cstheme="minorHAnsi"/>
          <w:lang w:val="el-GR"/>
        </w:rPr>
        <w:t>ως</w:t>
      </w:r>
      <w:r w:rsidRPr="00D138D0">
        <w:rPr>
          <w:rFonts w:asciiTheme="minorHAnsi" w:hAnsiTheme="minorHAnsi" w:cstheme="minorHAnsi"/>
          <w:lang w:val="el-GR"/>
        </w:rPr>
        <w:t xml:space="preserve"> </w:t>
      </w:r>
      <w:r>
        <w:rPr>
          <w:rFonts w:asciiTheme="minorHAnsi" w:hAnsiTheme="minorHAnsi" w:cstheme="minorHAnsi"/>
          <w:lang w:val="el-GR"/>
        </w:rPr>
        <w:t>ασπίδες</w:t>
      </w:r>
      <w:r w:rsidRPr="00D138D0">
        <w:rPr>
          <w:rFonts w:asciiTheme="minorHAnsi" w:hAnsiTheme="minorHAnsi" w:cstheme="minorHAnsi"/>
          <w:lang w:val="el-GR"/>
        </w:rPr>
        <w:t xml:space="preserve"> </w:t>
      </w:r>
      <w:r>
        <w:rPr>
          <w:rFonts w:asciiTheme="minorHAnsi" w:hAnsiTheme="minorHAnsi" w:cstheme="minorHAnsi"/>
          <w:lang w:val="el-GR"/>
        </w:rPr>
        <w:t>για</w:t>
      </w:r>
      <w:r w:rsidRPr="00D138D0">
        <w:rPr>
          <w:rFonts w:asciiTheme="minorHAnsi" w:hAnsiTheme="minorHAnsi" w:cstheme="minorHAnsi"/>
          <w:lang w:val="el-GR"/>
        </w:rPr>
        <w:t xml:space="preserve"> </w:t>
      </w:r>
      <w:r>
        <w:rPr>
          <w:rFonts w:asciiTheme="minorHAnsi" w:hAnsiTheme="minorHAnsi" w:cstheme="minorHAnsi"/>
          <w:lang w:val="el-GR"/>
        </w:rPr>
        <w:t>διαφθορά</w:t>
      </w:r>
      <w:r w:rsidRPr="00D138D0">
        <w:rPr>
          <w:rFonts w:asciiTheme="minorHAnsi" w:hAnsiTheme="minorHAnsi" w:cstheme="minorHAnsi"/>
          <w:lang w:val="el-GR"/>
        </w:rPr>
        <w:t xml:space="preserve"> / </w:t>
      </w:r>
      <w:r>
        <w:rPr>
          <w:rFonts w:asciiTheme="minorHAnsi" w:hAnsiTheme="minorHAnsi" w:cstheme="minorHAnsi"/>
          <w:lang w:val="el-GR"/>
        </w:rPr>
        <w:t>Φορολογία</w:t>
      </w:r>
      <w:r w:rsidRPr="00D138D0">
        <w:rPr>
          <w:rFonts w:asciiTheme="minorHAnsi" w:hAnsiTheme="minorHAnsi" w:cstheme="minorHAnsi"/>
          <w:lang w:val="el-GR"/>
        </w:rPr>
        <w:t xml:space="preserve"> </w:t>
      </w:r>
      <w:r>
        <w:rPr>
          <w:rFonts w:asciiTheme="minorHAnsi" w:hAnsiTheme="minorHAnsi" w:cstheme="minorHAnsi"/>
          <w:lang w:val="el-GR"/>
        </w:rPr>
        <w:t>και</w:t>
      </w:r>
      <w:r w:rsidRPr="00D138D0">
        <w:rPr>
          <w:rFonts w:asciiTheme="minorHAnsi" w:hAnsiTheme="minorHAnsi" w:cstheme="minorHAnsi"/>
          <w:lang w:val="el-GR"/>
        </w:rPr>
        <w:t xml:space="preserve"> </w:t>
      </w:r>
      <w:r>
        <w:rPr>
          <w:rFonts w:asciiTheme="minorHAnsi" w:hAnsiTheme="minorHAnsi" w:cstheme="minorHAnsi"/>
          <w:lang w:val="el-GR"/>
        </w:rPr>
        <w:t>χρηματοπιστωτική</w:t>
      </w:r>
      <w:r w:rsidRPr="00D138D0">
        <w:rPr>
          <w:rFonts w:asciiTheme="minorHAnsi" w:hAnsiTheme="minorHAnsi" w:cstheme="minorHAnsi"/>
          <w:lang w:val="el-GR"/>
        </w:rPr>
        <w:t xml:space="preserve"> </w:t>
      </w:r>
      <w:r>
        <w:rPr>
          <w:rFonts w:asciiTheme="minorHAnsi" w:hAnsiTheme="minorHAnsi" w:cstheme="minorHAnsi"/>
          <w:lang w:val="el-GR"/>
        </w:rPr>
        <w:t>νομοθεσία</w:t>
      </w:r>
      <w:r w:rsidRPr="00D138D0">
        <w:rPr>
          <w:rFonts w:asciiTheme="minorHAnsi" w:hAnsiTheme="minorHAnsi" w:cstheme="minorHAnsi"/>
          <w:lang w:val="el-GR"/>
        </w:rPr>
        <w:t xml:space="preserve"> </w:t>
      </w:r>
      <w:r>
        <w:rPr>
          <w:rFonts w:asciiTheme="minorHAnsi" w:hAnsiTheme="minorHAnsi" w:cstheme="minorHAnsi"/>
          <w:lang w:val="el-GR"/>
        </w:rPr>
        <w:t>για</w:t>
      </w:r>
      <w:r w:rsidRPr="00D138D0">
        <w:rPr>
          <w:rFonts w:asciiTheme="minorHAnsi" w:hAnsiTheme="minorHAnsi" w:cstheme="minorHAnsi"/>
          <w:lang w:val="el-GR"/>
        </w:rPr>
        <w:t xml:space="preserve"> </w:t>
      </w:r>
      <w:r>
        <w:rPr>
          <w:rFonts w:asciiTheme="minorHAnsi" w:hAnsiTheme="minorHAnsi" w:cstheme="minorHAnsi"/>
          <w:lang w:val="el-GR"/>
        </w:rPr>
        <w:t>αντιμετώπιση της διαφθοράς</w:t>
      </w:r>
      <w:r w:rsidRPr="00D138D0">
        <w:rPr>
          <w:rFonts w:asciiTheme="minorHAnsi" w:hAnsiTheme="minorHAnsi" w:cstheme="minorHAnsi"/>
          <w:lang w:val="el-GR"/>
        </w:rPr>
        <w:t xml:space="preserve"> / </w:t>
      </w:r>
      <w:r>
        <w:rPr>
          <w:rFonts w:asciiTheme="minorHAnsi" w:hAnsiTheme="minorHAnsi" w:cstheme="minorHAnsi"/>
          <w:lang w:val="el-GR"/>
        </w:rPr>
        <w:t>Σχέσεις μεταξύ διαφθοράς</w:t>
      </w:r>
      <w:r w:rsidRPr="00D138D0">
        <w:rPr>
          <w:rFonts w:asciiTheme="minorHAnsi" w:hAnsiTheme="minorHAnsi" w:cstheme="minorHAnsi"/>
          <w:lang w:val="el-GR"/>
        </w:rPr>
        <w:t xml:space="preserve">, </w:t>
      </w:r>
      <w:r>
        <w:rPr>
          <w:rFonts w:asciiTheme="minorHAnsi" w:hAnsiTheme="minorHAnsi" w:cstheme="minorHAnsi"/>
          <w:lang w:val="el-GR"/>
        </w:rPr>
        <w:t>οργανωμένου εγκλήματος</w:t>
      </w:r>
      <w:r w:rsidRPr="00D138D0">
        <w:rPr>
          <w:rFonts w:asciiTheme="minorHAnsi" w:hAnsiTheme="minorHAnsi" w:cstheme="minorHAnsi"/>
          <w:lang w:val="el-GR"/>
        </w:rPr>
        <w:t xml:space="preserve"> </w:t>
      </w:r>
      <w:r>
        <w:rPr>
          <w:rFonts w:asciiTheme="minorHAnsi" w:hAnsiTheme="minorHAnsi" w:cstheme="minorHAnsi"/>
          <w:lang w:val="el-GR"/>
        </w:rPr>
        <w:t>και πλυσίματος βρώμικου χρήματος</w:t>
      </w:r>
      <w:r w:rsidRPr="00D138D0">
        <w:rPr>
          <w:rFonts w:asciiTheme="minorHAnsi" w:hAnsiTheme="minorHAnsi" w:cstheme="minorHAnsi"/>
          <w:lang w:val="el-GR"/>
        </w:rPr>
        <w:t xml:space="preserve">: </w:t>
      </w:r>
      <w:r>
        <w:rPr>
          <w:rFonts w:asciiTheme="minorHAnsi" w:hAnsiTheme="minorHAnsi" w:cstheme="minorHAnsi"/>
          <w:lang w:val="el-GR"/>
        </w:rPr>
        <w:t xml:space="preserve">Γύρος Αξιολόγησης </w:t>
      </w:r>
      <w:r w:rsidRPr="00B47EA7">
        <w:rPr>
          <w:rFonts w:asciiTheme="minorHAnsi" w:hAnsiTheme="minorHAnsi" w:cstheme="minorHAnsi"/>
        </w:rPr>
        <w:t>III</w:t>
      </w:r>
      <w:r w:rsidRPr="00D138D0">
        <w:rPr>
          <w:rFonts w:asciiTheme="minorHAnsi" w:hAnsiTheme="minorHAnsi" w:cstheme="minorHAnsi"/>
          <w:lang w:val="el-GR"/>
        </w:rPr>
        <w:t xml:space="preserve">: </w:t>
      </w:r>
      <w:r>
        <w:rPr>
          <w:rFonts w:asciiTheme="minorHAnsi" w:hAnsiTheme="minorHAnsi" w:cstheme="minorHAnsi"/>
          <w:lang w:val="el-GR"/>
        </w:rPr>
        <w:t>Ποινικοποίηση της διαφθοράς</w:t>
      </w:r>
      <w:r w:rsidRPr="00D138D0">
        <w:rPr>
          <w:rFonts w:asciiTheme="minorHAnsi" w:hAnsiTheme="minorHAnsi" w:cstheme="minorHAnsi"/>
          <w:lang w:val="el-GR"/>
        </w:rPr>
        <w:t xml:space="preserve"> / </w:t>
      </w:r>
      <w:r>
        <w:rPr>
          <w:rFonts w:asciiTheme="minorHAnsi" w:hAnsiTheme="minorHAnsi" w:cstheme="minorHAnsi"/>
          <w:lang w:val="el-GR"/>
        </w:rPr>
        <w:t>Διαφάνεια της χρηματοδότησης κομμάτων</w:t>
      </w:r>
      <w:r w:rsidRPr="00D138D0">
        <w:rPr>
          <w:rFonts w:asciiTheme="minorHAnsi" w:hAnsiTheme="minorHAnsi" w:cstheme="minorHAnsi"/>
          <w:lang w:val="el-GR"/>
        </w:rPr>
        <w:t xml:space="preserve">: </w:t>
      </w:r>
      <w:r>
        <w:rPr>
          <w:rFonts w:asciiTheme="minorHAnsi" w:hAnsiTheme="minorHAnsi" w:cstheme="minorHAnsi"/>
          <w:lang w:val="el-GR"/>
        </w:rPr>
        <w:t>Γύρος Αξιολόγησης</w:t>
      </w:r>
      <w:r w:rsidRPr="00D138D0">
        <w:rPr>
          <w:rFonts w:asciiTheme="minorHAnsi" w:hAnsiTheme="minorHAnsi" w:cstheme="minorHAnsi"/>
          <w:lang w:val="el-GR"/>
        </w:rPr>
        <w:t xml:space="preserve"> </w:t>
      </w:r>
      <w:r w:rsidRPr="00B47EA7">
        <w:rPr>
          <w:rFonts w:asciiTheme="minorHAnsi" w:hAnsiTheme="minorHAnsi" w:cstheme="minorHAnsi"/>
        </w:rPr>
        <w:t>IV</w:t>
      </w:r>
      <w:r w:rsidRPr="00D138D0">
        <w:rPr>
          <w:rFonts w:asciiTheme="minorHAnsi" w:hAnsiTheme="minorHAnsi" w:cstheme="minorHAnsi"/>
          <w:lang w:val="el-GR"/>
        </w:rPr>
        <w:t xml:space="preserve">: </w:t>
      </w:r>
      <w:r>
        <w:rPr>
          <w:rFonts w:asciiTheme="minorHAnsi" w:hAnsiTheme="minorHAnsi" w:cstheme="minorHAnsi"/>
          <w:lang w:val="el-GR"/>
        </w:rPr>
        <w:t>Πρόληψη διαφθοράς</w:t>
      </w:r>
      <w:r w:rsidRPr="00D138D0">
        <w:rPr>
          <w:rFonts w:asciiTheme="minorHAnsi" w:hAnsiTheme="minorHAnsi" w:cstheme="minorHAnsi"/>
          <w:lang w:val="el-GR"/>
        </w:rPr>
        <w:t xml:space="preserve"> </w:t>
      </w:r>
      <w:r>
        <w:rPr>
          <w:rFonts w:asciiTheme="minorHAnsi" w:hAnsiTheme="minorHAnsi" w:cstheme="minorHAnsi"/>
          <w:lang w:val="el-GR"/>
        </w:rPr>
        <w:t>σε σχέση με βουλευτές</w:t>
      </w:r>
      <w:r w:rsidRPr="00D138D0">
        <w:rPr>
          <w:rFonts w:asciiTheme="minorHAnsi" w:hAnsiTheme="minorHAnsi" w:cstheme="minorHAnsi"/>
          <w:lang w:val="el-GR"/>
        </w:rPr>
        <w:t xml:space="preserve">, </w:t>
      </w:r>
      <w:r>
        <w:rPr>
          <w:rFonts w:asciiTheme="minorHAnsi" w:hAnsiTheme="minorHAnsi" w:cstheme="minorHAnsi"/>
          <w:lang w:val="el-GR"/>
        </w:rPr>
        <w:t>δικαστές και εισαγγελείς</w:t>
      </w:r>
      <w:r w:rsidRPr="00D138D0">
        <w:rPr>
          <w:rFonts w:asciiTheme="minorHAnsi" w:hAnsiTheme="minorHAnsi" w:cstheme="minorHAnsi"/>
          <w:lang w:val="el-GR"/>
        </w:rPr>
        <w:t>.</w:t>
      </w:r>
    </w:p>
  </w:footnote>
  <w:footnote w:id="5">
    <w:p w14:paraId="32527BCA" w14:textId="3DE49BA1" w:rsidR="00071F64" w:rsidRPr="00792B8F" w:rsidRDefault="00071F64" w:rsidP="00A5147D">
      <w:pPr>
        <w:pStyle w:val="FootnoteText"/>
        <w:rPr>
          <w:rFonts w:asciiTheme="minorHAnsi" w:hAnsiTheme="minorHAnsi" w:cstheme="minorHAnsi"/>
          <w:color w:val="000000" w:themeColor="text1"/>
          <w:lang w:val="el-GR"/>
        </w:rPr>
      </w:pPr>
      <w:r w:rsidRPr="00B47EA7">
        <w:rPr>
          <w:rStyle w:val="FootnoteReference"/>
          <w:rFonts w:asciiTheme="minorHAnsi" w:hAnsiTheme="minorHAnsi" w:cstheme="minorHAnsi"/>
        </w:rPr>
        <w:footnoteRef/>
      </w:r>
      <w:r w:rsidRPr="00792B8F">
        <w:rPr>
          <w:rFonts w:asciiTheme="minorHAnsi" w:hAnsiTheme="minorHAnsi" w:cstheme="minorHAnsi"/>
          <w:lang w:val="el-GR"/>
        </w:rPr>
        <w:t xml:space="preserve"> </w:t>
      </w:r>
      <w:r>
        <w:rPr>
          <w:rFonts w:asciiTheme="minorHAnsi" w:hAnsiTheme="minorHAnsi" w:cstheme="minorHAnsi"/>
          <w:lang w:val="el-GR"/>
        </w:rPr>
        <w:t>Οι</w:t>
      </w:r>
      <w:r w:rsidRPr="00792B8F">
        <w:rPr>
          <w:rFonts w:asciiTheme="minorHAnsi" w:hAnsiTheme="minorHAnsi" w:cstheme="minorHAnsi"/>
          <w:lang w:val="el-GR"/>
        </w:rPr>
        <w:t xml:space="preserve"> </w:t>
      </w:r>
      <w:r>
        <w:rPr>
          <w:rFonts w:asciiTheme="minorHAnsi" w:hAnsiTheme="minorHAnsi" w:cstheme="minorHAnsi"/>
          <w:lang w:val="el-GR"/>
        </w:rPr>
        <w:t>αριθμοί</w:t>
      </w:r>
      <w:r w:rsidRPr="00792B8F">
        <w:rPr>
          <w:rFonts w:asciiTheme="minorHAnsi" w:hAnsiTheme="minorHAnsi" w:cstheme="minorHAnsi"/>
          <w:lang w:val="el-GR"/>
        </w:rPr>
        <w:t xml:space="preserve"> </w:t>
      </w:r>
      <w:r>
        <w:rPr>
          <w:rFonts w:asciiTheme="minorHAnsi" w:hAnsiTheme="minorHAnsi" w:cstheme="minorHAnsi"/>
          <w:lang w:val="el-GR"/>
        </w:rPr>
        <w:t>αυτοί</w:t>
      </w:r>
      <w:r w:rsidRPr="00792B8F">
        <w:rPr>
          <w:rFonts w:asciiTheme="minorHAnsi" w:hAnsiTheme="minorHAnsi" w:cstheme="minorHAnsi"/>
          <w:lang w:val="el-GR"/>
        </w:rPr>
        <w:t xml:space="preserve"> </w:t>
      </w:r>
      <w:r>
        <w:rPr>
          <w:rFonts w:asciiTheme="minorHAnsi" w:hAnsiTheme="minorHAnsi" w:cstheme="minorHAnsi"/>
          <w:lang w:val="el-GR"/>
        </w:rPr>
        <w:t>δίνουν</w:t>
      </w:r>
      <w:r w:rsidRPr="00792B8F">
        <w:rPr>
          <w:rFonts w:asciiTheme="minorHAnsi" w:hAnsiTheme="minorHAnsi" w:cstheme="minorHAnsi"/>
          <w:lang w:val="el-GR"/>
        </w:rPr>
        <w:t xml:space="preserve"> </w:t>
      </w:r>
      <w:r>
        <w:rPr>
          <w:rFonts w:asciiTheme="minorHAnsi" w:hAnsiTheme="minorHAnsi" w:cstheme="minorHAnsi"/>
          <w:lang w:val="el-GR"/>
        </w:rPr>
        <w:t>μια</w:t>
      </w:r>
      <w:r w:rsidRPr="00792B8F">
        <w:rPr>
          <w:rFonts w:asciiTheme="minorHAnsi" w:hAnsiTheme="minorHAnsi" w:cstheme="minorHAnsi"/>
          <w:lang w:val="el-GR"/>
        </w:rPr>
        <w:t xml:space="preserve"> </w:t>
      </w:r>
      <w:r>
        <w:rPr>
          <w:rFonts w:asciiTheme="minorHAnsi" w:hAnsiTheme="minorHAnsi" w:cstheme="minorHAnsi"/>
          <w:lang w:val="el-GR"/>
        </w:rPr>
        <w:t>στιγμιαία</w:t>
      </w:r>
      <w:r w:rsidRPr="00792B8F">
        <w:rPr>
          <w:rFonts w:asciiTheme="minorHAnsi" w:hAnsiTheme="minorHAnsi" w:cstheme="minorHAnsi"/>
          <w:lang w:val="el-GR"/>
        </w:rPr>
        <w:t xml:space="preserve"> </w:t>
      </w:r>
      <w:r>
        <w:rPr>
          <w:rFonts w:asciiTheme="minorHAnsi" w:hAnsiTheme="minorHAnsi" w:cstheme="minorHAnsi"/>
          <w:lang w:val="el-GR"/>
        </w:rPr>
        <w:t>εικόνα</w:t>
      </w:r>
      <w:r w:rsidRPr="00792B8F">
        <w:rPr>
          <w:rFonts w:asciiTheme="minorHAnsi" w:hAnsiTheme="minorHAnsi" w:cstheme="minorHAnsi"/>
          <w:lang w:val="el-GR"/>
        </w:rPr>
        <w:t xml:space="preserve"> </w:t>
      </w:r>
      <w:r>
        <w:rPr>
          <w:rFonts w:asciiTheme="minorHAnsi" w:hAnsiTheme="minorHAnsi" w:cstheme="minorHAnsi"/>
          <w:lang w:val="el-GR"/>
        </w:rPr>
        <w:t>της</w:t>
      </w:r>
      <w:r w:rsidRPr="00792B8F">
        <w:rPr>
          <w:rFonts w:asciiTheme="minorHAnsi" w:hAnsiTheme="minorHAnsi" w:cstheme="minorHAnsi"/>
          <w:lang w:val="el-GR"/>
        </w:rPr>
        <w:t xml:space="preserve"> </w:t>
      </w:r>
      <w:r>
        <w:rPr>
          <w:rFonts w:asciiTheme="minorHAnsi" w:hAnsiTheme="minorHAnsi" w:cstheme="minorHAnsi"/>
          <w:lang w:val="el-GR"/>
        </w:rPr>
        <w:t>κατάστασης</w:t>
      </w:r>
      <w:r w:rsidRPr="00792B8F">
        <w:rPr>
          <w:rFonts w:asciiTheme="minorHAnsi" w:hAnsiTheme="minorHAnsi" w:cstheme="minorHAnsi"/>
          <w:lang w:val="el-GR"/>
        </w:rPr>
        <w:t xml:space="preserve"> </w:t>
      </w:r>
      <w:r>
        <w:rPr>
          <w:rFonts w:asciiTheme="minorHAnsi" w:hAnsiTheme="minorHAnsi" w:cstheme="minorHAnsi"/>
          <w:lang w:val="el-GR"/>
        </w:rPr>
        <w:t>σχετικά</w:t>
      </w:r>
      <w:r w:rsidRPr="00792B8F">
        <w:rPr>
          <w:rFonts w:asciiTheme="minorHAnsi" w:hAnsiTheme="minorHAnsi" w:cstheme="minorHAnsi"/>
          <w:lang w:val="el-GR"/>
        </w:rPr>
        <w:t xml:space="preserve"> </w:t>
      </w:r>
      <w:r>
        <w:rPr>
          <w:rFonts w:asciiTheme="minorHAnsi" w:hAnsiTheme="minorHAnsi" w:cstheme="minorHAnsi"/>
          <w:lang w:val="el-GR"/>
        </w:rPr>
        <w:t>με</w:t>
      </w:r>
      <w:r w:rsidRPr="00792B8F">
        <w:rPr>
          <w:rFonts w:asciiTheme="minorHAnsi" w:hAnsiTheme="minorHAnsi" w:cstheme="minorHAnsi"/>
          <w:lang w:val="el-GR"/>
        </w:rPr>
        <w:t xml:space="preserve"> </w:t>
      </w:r>
      <w:r>
        <w:rPr>
          <w:rFonts w:asciiTheme="minorHAnsi" w:hAnsiTheme="minorHAnsi" w:cstheme="minorHAnsi"/>
          <w:lang w:val="el-GR"/>
        </w:rPr>
        <w:t>την</w:t>
      </w:r>
      <w:r w:rsidRPr="00792B8F">
        <w:rPr>
          <w:rFonts w:asciiTheme="minorHAnsi" w:hAnsiTheme="minorHAnsi" w:cstheme="minorHAnsi"/>
          <w:lang w:val="el-GR"/>
        </w:rPr>
        <w:t xml:space="preserve"> </w:t>
      </w:r>
      <w:r>
        <w:rPr>
          <w:rFonts w:asciiTheme="minorHAnsi" w:hAnsiTheme="minorHAnsi" w:cstheme="minorHAnsi"/>
          <w:lang w:val="el-GR"/>
        </w:rPr>
        <w:t>εφαρμογή</w:t>
      </w:r>
      <w:r w:rsidRPr="00792B8F">
        <w:rPr>
          <w:rFonts w:asciiTheme="minorHAnsi" w:hAnsiTheme="minorHAnsi" w:cstheme="minorHAnsi"/>
          <w:lang w:val="el-GR"/>
        </w:rPr>
        <w:t xml:space="preserve"> </w:t>
      </w:r>
      <w:r>
        <w:rPr>
          <w:rFonts w:asciiTheme="minorHAnsi" w:hAnsiTheme="minorHAnsi" w:cstheme="minorHAnsi"/>
          <w:lang w:val="el-GR"/>
        </w:rPr>
        <w:t xml:space="preserve">των συστάσεων της </w:t>
      </w:r>
      <w:r w:rsidRPr="00B47EA7">
        <w:rPr>
          <w:rFonts w:asciiTheme="minorHAnsi" w:hAnsiTheme="minorHAnsi" w:cstheme="minorHAnsi"/>
        </w:rPr>
        <w:t>GRECO</w:t>
      </w:r>
      <w:r w:rsidRPr="00792B8F">
        <w:rPr>
          <w:rFonts w:asciiTheme="minorHAnsi" w:hAnsiTheme="minorHAnsi" w:cstheme="minorHAnsi"/>
          <w:lang w:val="el-GR"/>
        </w:rPr>
        <w:t xml:space="preserve"> </w:t>
      </w:r>
      <w:r>
        <w:rPr>
          <w:rFonts w:asciiTheme="minorHAnsi" w:hAnsiTheme="minorHAnsi" w:cstheme="minorHAnsi"/>
          <w:lang w:val="el-GR"/>
        </w:rPr>
        <w:t>κατά τον χρόνο του επίσημου κλεισίματος των διαδικασιών συμμόρφωσης</w:t>
      </w:r>
      <w:r w:rsidRPr="00792B8F">
        <w:rPr>
          <w:rFonts w:asciiTheme="minorHAnsi" w:hAnsiTheme="minorHAnsi" w:cstheme="minorHAnsi"/>
          <w:lang w:val="el-GR"/>
        </w:rPr>
        <w:t xml:space="preserve">. </w:t>
      </w:r>
      <w:r>
        <w:rPr>
          <w:rFonts w:asciiTheme="minorHAnsi" w:hAnsiTheme="minorHAnsi" w:cstheme="minorHAnsi"/>
          <w:lang w:val="el-GR"/>
        </w:rPr>
        <w:t>Επομένως</w:t>
      </w:r>
      <w:r w:rsidRPr="00792B8F">
        <w:rPr>
          <w:rFonts w:asciiTheme="minorHAnsi" w:hAnsiTheme="minorHAnsi" w:cstheme="minorHAnsi"/>
          <w:lang w:val="el-GR"/>
        </w:rPr>
        <w:t xml:space="preserve">, </w:t>
      </w:r>
      <w:r>
        <w:rPr>
          <w:rFonts w:asciiTheme="minorHAnsi" w:hAnsiTheme="minorHAnsi" w:cstheme="minorHAnsi"/>
          <w:lang w:val="el-GR"/>
        </w:rPr>
        <w:t>η</w:t>
      </w:r>
      <w:r w:rsidRPr="00792B8F">
        <w:rPr>
          <w:rFonts w:asciiTheme="minorHAnsi" w:hAnsiTheme="minorHAnsi" w:cstheme="minorHAnsi"/>
          <w:lang w:val="el-GR"/>
        </w:rPr>
        <w:t xml:space="preserve"> </w:t>
      </w:r>
      <w:r>
        <w:rPr>
          <w:rFonts w:asciiTheme="minorHAnsi" w:hAnsiTheme="minorHAnsi" w:cstheme="minorHAnsi"/>
          <w:lang w:val="el-GR"/>
        </w:rPr>
        <w:t>χώρα</w:t>
      </w:r>
      <w:r w:rsidRPr="00792B8F">
        <w:rPr>
          <w:rFonts w:asciiTheme="minorHAnsi" w:hAnsiTheme="minorHAnsi" w:cstheme="minorHAnsi"/>
          <w:lang w:val="el-GR"/>
        </w:rPr>
        <w:t xml:space="preserve"> </w:t>
      </w:r>
      <w:r>
        <w:rPr>
          <w:rFonts w:asciiTheme="minorHAnsi" w:hAnsiTheme="minorHAnsi" w:cstheme="minorHAnsi"/>
          <w:lang w:val="el-GR"/>
        </w:rPr>
        <w:t>μπορεί</w:t>
      </w:r>
      <w:r w:rsidRPr="00792B8F">
        <w:rPr>
          <w:rFonts w:asciiTheme="minorHAnsi" w:hAnsiTheme="minorHAnsi" w:cstheme="minorHAnsi"/>
          <w:lang w:val="el-GR"/>
        </w:rPr>
        <w:t xml:space="preserve"> </w:t>
      </w:r>
      <w:r>
        <w:rPr>
          <w:rFonts w:asciiTheme="minorHAnsi" w:hAnsiTheme="minorHAnsi" w:cstheme="minorHAnsi"/>
          <w:lang w:val="el-GR"/>
        </w:rPr>
        <w:t>να</w:t>
      </w:r>
      <w:r w:rsidRPr="00792B8F">
        <w:rPr>
          <w:rFonts w:asciiTheme="minorHAnsi" w:hAnsiTheme="minorHAnsi" w:cstheme="minorHAnsi"/>
          <w:lang w:val="el-GR"/>
        </w:rPr>
        <w:t xml:space="preserve"> </w:t>
      </w:r>
      <w:r>
        <w:rPr>
          <w:rFonts w:asciiTheme="minorHAnsi" w:hAnsiTheme="minorHAnsi" w:cstheme="minorHAnsi"/>
          <w:lang w:val="el-GR"/>
        </w:rPr>
        <w:t>έχει</w:t>
      </w:r>
      <w:r w:rsidRPr="00792B8F">
        <w:rPr>
          <w:rFonts w:asciiTheme="minorHAnsi" w:hAnsiTheme="minorHAnsi" w:cstheme="minorHAnsi"/>
          <w:lang w:val="el-GR"/>
        </w:rPr>
        <w:t xml:space="preserve"> </w:t>
      </w:r>
      <w:r>
        <w:rPr>
          <w:rFonts w:asciiTheme="minorHAnsi" w:hAnsiTheme="minorHAnsi" w:cstheme="minorHAnsi"/>
          <w:lang w:val="el-GR"/>
        </w:rPr>
        <w:t>εφαρμόσει</w:t>
      </w:r>
      <w:r w:rsidRPr="00792B8F">
        <w:rPr>
          <w:rFonts w:asciiTheme="minorHAnsi" w:hAnsiTheme="minorHAnsi" w:cstheme="minorHAnsi"/>
          <w:lang w:val="el-GR"/>
        </w:rPr>
        <w:t xml:space="preserve"> </w:t>
      </w:r>
      <w:r>
        <w:rPr>
          <w:rFonts w:asciiTheme="minorHAnsi" w:hAnsiTheme="minorHAnsi" w:cstheme="minorHAnsi"/>
          <w:lang w:val="el-GR"/>
        </w:rPr>
        <w:t>τις</w:t>
      </w:r>
      <w:r w:rsidRPr="00792B8F">
        <w:rPr>
          <w:rFonts w:asciiTheme="minorHAnsi" w:hAnsiTheme="minorHAnsi" w:cstheme="minorHAnsi"/>
          <w:lang w:val="el-GR"/>
        </w:rPr>
        <w:t xml:space="preserve"> </w:t>
      </w:r>
      <w:r>
        <w:rPr>
          <w:rFonts w:asciiTheme="minorHAnsi" w:hAnsiTheme="minorHAnsi" w:cstheme="minorHAnsi"/>
          <w:lang w:val="el-GR"/>
        </w:rPr>
        <w:t>υπόλοιπες συστάσεις</w:t>
      </w:r>
      <w:r w:rsidRPr="00792B8F">
        <w:rPr>
          <w:rFonts w:asciiTheme="minorHAnsi" w:hAnsiTheme="minorHAnsi" w:cstheme="minorHAnsi"/>
          <w:lang w:val="el-GR"/>
        </w:rPr>
        <w:t xml:space="preserve"> </w:t>
      </w:r>
      <w:r>
        <w:rPr>
          <w:rFonts w:asciiTheme="minorHAnsi" w:hAnsiTheme="minorHAnsi" w:cstheme="minorHAnsi"/>
          <w:lang w:val="el-GR"/>
        </w:rPr>
        <w:t>μετά το επίσημο κλείσιμο της διαδικασίας συμμόρφωσης</w:t>
      </w:r>
      <w:r w:rsidRPr="00792B8F">
        <w:rPr>
          <w:rFonts w:asciiTheme="minorHAnsi" w:hAnsiTheme="minorHAnsi" w:cstheme="minorHAnsi"/>
          <w:lang w:val="el-GR"/>
        </w:rPr>
        <w:t xml:space="preserve">. </w:t>
      </w:r>
      <w:r>
        <w:rPr>
          <w:rFonts w:asciiTheme="minorHAnsi" w:hAnsiTheme="minorHAnsi" w:cstheme="minorHAnsi"/>
          <w:lang w:val="el-GR"/>
        </w:rPr>
        <w:t>Για</w:t>
      </w:r>
      <w:r w:rsidRPr="00792B8F">
        <w:rPr>
          <w:rFonts w:asciiTheme="minorHAnsi" w:hAnsiTheme="minorHAnsi" w:cstheme="minorHAnsi"/>
          <w:lang w:val="el-GR"/>
        </w:rPr>
        <w:t xml:space="preserve"> </w:t>
      </w:r>
      <w:proofErr w:type="spellStart"/>
      <w:r>
        <w:rPr>
          <w:rFonts w:asciiTheme="minorHAnsi" w:hAnsiTheme="minorHAnsi" w:cstheme="minorHAnsi"/>
          <w:lang w:val="el-GR"/>
        </w:rPr>
        <w:t>επικαιροποίηση</w:t>
      </w:r>
      <w:proofErr w:type="spellEnd"/>
      <w:r w:rsidRPr="00792B8F">
        <w:rPr>
          <w:rFonts w:asciiTheme="minorHAnsi" w:hAnsiTheme="minorHAnsi" w:cstheme="minorHAnsi"/>
          <w:lang w:val="el-GR"/>
        </w:rPr>
        <w:t xml:space="preserve">, </w:t>
      </w:r>
      <w:r>
        <w:rPr>
          <w:rFonts w:asciiTheme="minorHAnsi" w:hAnsiTheme="minorHAnsi" w:cstheme="minorHAnsi"/>
          <w:lang w:val="el-GR"/>
        </w:rPr>
        <w:t>παρακαλώ ελέγξετε την ιστοσελίδα της</w:t>
      </w:r>
      <w:r w:rsidRPr="00792B8F">
        <w:rPr>
          <w:rFonts w:asciiTheme="minorHAnsi" w:hAnsiTheme="minorHAnsi" w:cstheme="minorHAnsi"/>
          <w:lang w:val="el-GR"/>
        </w:rPr>
        <w:t xml:space="preserve"> </w:t>
      </w:r>
      <w:r w:rsidRPr="00B47EA7">
        <w:rPr>
          <w:rFonts w:asciiTheme="minorHAnsi" w:hAnsiTheme="minorHAnsi" w:cstheme="minorHAnsi"/>
        </w:rPr>
        <w:t>GRECO</w:t>
      </w:r>
      <w:r w:rsidRPr="00792B8F">
        <w:rPr>
          <w:rFonts w:asciiTheme="minorHAnsi" w:hAnsiTheme="minorHAnsi" w:cstheme="minorHAnsi"/>
          <w:lang w:val="el-GR"/>
        </w:rPr>
        <w:t xml:space="preserve">: </w:t>
      </w:r>
      <w:r w:rsidR="00000000">
        <w:fldChar w:fldCharType="begin"/>
      </w:r>
      <w:r w:rsidR="00000000">
        <w:instrText>HYPERLINK</w:instrText>
      </w:r>
      <w:r w:rsidR="00000000" w:rsidRPr="00522AD3">
        <w:rPr>
          <w:lang w:val="el-GR"/>
        </w:rPr>
        <w:instrText xml:space="preserve"> "</w:instrText>
      </w:r>
      <w:r w:rsidR="00000000">
        <w:instrText>https</w:instrText>
      </w:r>
      <w:r w:rsidR="00000000" w:rsidRPr="00522AD3">
        <w:rPr>
          <w:lang w:val="el-GR"/>
        </w:rPr>
        <w:instrText>://</w:instrText>
      </w:r>
      <w:r w:rsidR="00000000">
        <w:instrText>www</w:instrText>
      </w:r>
      <w:r w:rsidR="00000000" w:rsidRPr="00522AD3">
        <w:rPr>
          <w:lang w:val="el-GR"/>
        </w:rPr>
        <w:instrText>.</w:instrText>
      </w:r>
      <w:r w:rsidR="00000000">
        <w:instrText>coe</w:instrText>
      </w:r>
      <w:r w:rsidR="00000000" w:rsidRPr="00522AD3">
        <w:rPr>
          <w:lang w:val="el-GR"/>
        </w:rPr>
        <w:instrText>.</w:instrText>
      </w:r>
      <w:r w:rsidR="00000000">
        <w:instrText>int</w:instrText>
      </w:r>
      <w:r w:rsidR="00000000" w:rsidRPr="00522AD3">
        <w:rPr>
          <w:lang w:val="el-GR"/>
        </w:rPr>
        <w:instrText>/</w:instrText>
      </w:r>
      <w:r w:rsidR="00000000">
        <w:instrText>en</w:instrText>
      </w:r>
      <w:r w:rsidR="00000000" w:rsidRPr="00522AD3">
        <w:rPr>
          <w:lang w:val="el-GR"/>
        </w:rPr>
        <w:instrText>/</w:instrText>
      </w:r>
      <w:r w:rsidR="00000000">
        <w:instrText>web</w:instrText>
      </w:r>
      <w:r w:rsidR="00000000" w:rsidRPr="00522AD3">
        <w:rPr>
          <w:lang w:val="el-GR"/>
        </w:rPr>
        <w:instrText>/</w:instrText>
      </w:r>
      <w:r w:rsidR="00000000">
        <w:instrText>greco</w:instrText>
      </w:r>
      <w:r w:rsidR="00000000" w:rsidRPr="00522AD3">
        <w:rPr>
          <w:lang w:val="el-GR"/>
        </w:rPr>
        <w:instrText>/</w:instrText>
      </w:r>
      <w:r w:rsidR="00000000">
        <w:instrText>evaluations</w:instrText>
      </w:r>
      <w:r w:rsidR="00000000" w:rsidRPr="00522AD3">
        <w:rPr>
          <w:lang w:val="el-GR"/>
        </w:rPr>
        <w:instrText>/</w:instrText>
      </w:r>
      <w:r w:rsidR="00000000">
        <w:instrText>cyprus</w:instrText>
      </w:r>
      <w:r w:rsidR="00000000" w:rsidRPr="00522AD3">
        <w:rPr>
          <w:lang w:val="el-GR"/>
        </w:rPr>
        <w:instrText>"</w:instrText>
      </w:r>
      <w:r w:rsidR="00000000">
        <w:fldChar w:fldCharType="separate"/>
      </w:r>
      <w:r w:rsidRPr="00792B8F">
        <w:rPr>
          <w:rStyle w:val="Hyperlink"/>
          <w:rFonts w:asciiTheme="minorHAnsi" w:hAnsiTheme="minorHAnsi" w:cstheme="minorHAnsi"/>
          <w:color w:val="000000" w:themeColor="text1"/>
        </w:rPr>
        <w:t>https</w:t>
      </w:r>
      <w:r w:rsidRPr="00792B8F">
        <w:rPr>
          <w:rStyle w:val="Hyperlink"/>
          <w:rFonts w:asciiTheme="minorHAnsi" w:hAnsiTheme="minorHAnsi" w:cstheme="minorHAnsi"/>
          <w:color w:val="000000" w:themeColor="text1"/>
          <w:lang w:val="el-GR"/>
        </w:rPr>
        <w:t>://</w:t>
      </w:r>
      <w:r w:rsidRPr="00792B8F">
        <w:rPr>
          <w:rStyle w:val="Hyperlink"/>
          <w:rFonts w:asciiTheme="minorHAnsi" w:hAnsiTheme="minorHAnsi" w:cstheme="minorHAnsi"/>
          <w:color w:val="000000" w:themeColor="text1"/>
        </w:rPr>
        <w:t>www</w:t>
      </w:r>
      <w:r w:rsidRPr="00792B8F">
        <w:rPr>
          <w:rStyle w:val="Hyperlink"/>
          <w:rFonts w:asciiTheme="minorHAnsi" w:hAnsiTheme="minorHAnsi" w:cstheme="minorHAnsi"/>
          <w:color w:val="000000" w:themeColor="text1"/>
          <w:lang w:val="el-GR"/>
        </w:rPr>
        <w:t>.</w:t>
      </w:r>
      <w:proofErr w:type="spellStart"/>
      <w:r w:rsidRPr="00792B8F">
        <w:rPr>
          <w:rStyle w:val="Hyperlink"/>
          <w:rFonts w:asciiTheme="minorHAnsi" w:hAnsiTheme="minorHAnsi" w:cstheme="minorHAnsi"/>
          <w:color w:val="000000" w:themeColor="text1"/>
        </w:rPr>
        <w:t>coe</w:t>
      </w:r>
      <w:proofErr w:type="spellEnd"/>
      <w:r w:rsidRPr="00792B8F">
        <w:rPr>
          <w:rStyle w:val="Hyperlink"/>
          <w:rFonts w:asciiTheme="minorHAnsi" w:hAnsiTheme="minorHAnsi" w:cstheme="minorHAnsi"/>
          <w:color w:val="000000" w:themeColor="text1"/>
          <w:lang w:val="el-GR"/>
        </w:rPr>
        <w:t>.</w:t>
      </w:r>
      <w:r w:rsidRPr="00792B8F">
        <w:rPr>
          <w:rStyle w:val="Hyperlink"/>
          <w:rFonts w:asciiTheme="minorHAnsi" w:hAnsiTheme="minorHAnsi" w:cstheme="minorHAnsi"/>
          <w:color w:val="000000" w:themeColor="text1"/>
        </w:rPr>
        <w:t>int</w:t>
      </w:r>
      <w:r w:rsidRPr="00792B8F">
        <w:rPr>
          <w:rStyle w:val="Hyperlink"/>
          <w:rFonts w:asciiTheme="minorHAnsi" w:hAnsiTheme="minorHAnsi" w:cstheme="minorHAnsi"/>
          <w:color w:val="000000" w:themeColor="text1"/>
          <w:lang w:val="el-GR"/>
        </w:rPr>
        <w:t>/</w:t>
      </w:r>
      <w:proofErr w:type="spellStart"/>
      <w:r w:rsidRPr="00792B8F">
        <w:rPr>
          <w:rStyle w:val="Hyperlink"/>
          <w:rFonts w:asciiTheme="minorHAnsi" w:hAnsiTheme="minorHAnsi" w:cstheme="minorHAnsi"/>
          <w:color w:val="000000" w:themeColor="text1"/>
        </w:rPr>
        <w:t>en</w:t>
      </w:r>
      <w:proofErr w:type="spellEnd"/>
      <w:r w:rsidRPr="00792B8F">
        <w:rPr>
          <w:rStyle w:val="Hyperlink"/>
          <w:rFonts w:asciiTheme="minorHAnsi" w:hAnsiTheme="minorHAnsi" w:cstheme="minorHAnsi"/>
          <w:color w:val="000000" w:themeColor="text1"/>
          <w:lang w:val="el-GR"/>
        </w:rPr>
        <w:t>/</w:t>
      </w:r>
      <w:r w:rsidRPr="00792B8F">
        <w:rPr>
          <w:rStyle w:val="Hyperlink"/>
          <w:rFonts w:asciiTheme="minorHAnsi" w:hAnsiTheme="minorHAnsi" w:cstheme="minorHAnsi"/>
          <w:color w:val="000000" w:themeColor="text1"/>
        </w:rPr>
        <w:t>web</w:t>
      </w:r>
      <w:r w:rsidRPr="00792B8F">
        <w:rPr>
          <w:rStyle w:val="Hyperlink"/>
          <w:rFonts w:asciiTheme="minorHAnsi" w:hAnsiTheme="minorHAnsi" w:cstheme="minorHAnsi"/>
          <w:color w:val="000000" w:themeColor="text1"/>
          <w:lang w:val="el-GR"/>
        </w:rPr>
        <w:t>/</w:t>
      </w:r>
      <w:proofErr w:type="spellStart"/>
      <w:r w:rsidRPr="00792B8F">
        <w:rPr>
          <w:rStyle w:val="Hyperlink"/>
          <w:rFonts w:asciiTheme="minorHAnsi" w:hAnsiTheme="minorHAnsi" w:cstheme="minorHAnsi"/>
          <w:color w:val="000000" w:themeColor="text1"/>
        </w:rPr>
        <w:t>greco</w:t>
      </w:r>
      <w:proofErr w:type="spellEnd"/>
      <w:r w:rsidRPr="00792B8F">
        <w:rPr>
          <w:rStyle w:val="Hyperlink"/>
          <w:rFonts w:asciiTheme="minorHAnsi" w:hAnsiTheme="minorHAnsi" w:cstheme="minorHAnsi"/>
          <w:color w:val="000000" w:themeColor="text1"/>
          <w:lang w:val="el-GR"/>
        </w:rPr>
        <w:t>/</w:t>
      </w:r>
      <w:r w:rsidRPr="00792B8F">
        <w:rPr>
          <w:rStyle w:val="Hyperlink"/>
          <w:rFonts w:asciiTheme="minorHAnsi" w:hAnsiTheme="minorHAnsi" w:cstheme="minorHAnsi"/>
          <w:color w:val="000000" w:themeColor="text1"/>
        </w:rPr>
        <w:t>evaluations</w:t>
      </w:r>
      <w:r w:rsidRPr="00792B8F">
        <w:rPr>
          <w:rStyle w:val="Hyperlink"/>
          <w:rFonts w:asciiTheme="minorHAnsi" w:hAnsiTheme="minorHAnsi" w:cstheme="minorHAnsi"/>
          <w:color w:val="000000" w:themeColor="text1"/>
          <w:lang w:val="el-GR"/>
        </w:rPr>
        <w:t>/</w:t>
      </w:r>
      <w:proofErr w:type="spellStart"/>
      <w:r w:rsidRPr="00792B8F">
        <w:rPr>
          <w:rStyle w:val="Hyperlink"/>
          <w:rFonts w:asciiTheme="minorHAnsi" w:hAnsiTheme="minorHAnsi" w:cstheme="minorHAnsi"/>
          <w:color w:val="000000" w:themeColor="text1"/>
        </w:rPr>
        <w:t>cyprus</w:t>
      </w:r>
      <w:proofErr w:type="spellEnd"/>
      <w:r w:rsidR="00000000">
        <w:rPr>
          <w:rStyle w:val="Hyperlink"/>
          <w:rFonts w:asciiTheme="minorHAnsi" w:hAnsiTheme="minorHAnsi" w:cstheme="minorHAnsi"/>
          <w:color w:val="000000" w:themeColor="text1"/>
        </w:rPr>
        <w:fldChar w:fldCharType="end"/>
      </w:r>
      <w:r w:rsidRPr="00792B8F">
        <w:rPr>
          <w:rFonts w:asciiTheme="minorHAnsi" w:hAnsiTheme="minorHAnsi" w:cstheme="minorHAnsi"/>
          <w:color w:val="000000" w:themeColor="text1"/>
          <w:lang w:val="el-GR"/>
        </w:rPr>
        <w:t>.</w:t>
      </w:r>
    </w:p>
  </w:footnote>
  <w:footnote w:id="6">
    <w:p w14:paraId="3174C75B" w14:textId="239864EF" w:rsidR="00071F64" w:rsidRPr="00792B8F" w:rsidRDefault="00071F64">
      <w:pPr>
        <w:pStyle w:val="FootnoteText"/>
        <w:rPr>
          <w:rFonts w:ascii="Calibri" w:hAnsi="Calibri" w:cs="Calibri"/>
          <w:lang w:val="el-GR"/>
        </w:rPr>
      </w:pPr>
      <w:r w:rsidRPr="0037799E">
        <w:rPr>
          <w:rStyle w:val="FootnoteReference"/>
          <w:rFonts w:ascii="Calibri" w:hAnsi="Calibri" w:cs="Calibri"/>
        </w:rPr>
        <w:footnoteRef/>
      </w:r>
      <w:r w:rsidRPr="00792B8F">
        <w:rPr>
          <w:rFonts w:ascii="Calibri" w:hAnsi="Calibri" w:cs="Calibri"/>
          <w:lang w:val="el-GR"/>
        </w:rPr>
        <w:t xml:space="preserve"> </w:t>
      </w:r>
      <w:r>
        <w:rPr>
          <w:rFonts w:ascii="Calibri" w:hAnsi="Calibri" w:cs="Calibri"/>
          <w:lang w:val="el-GR"/>
        </w:rPr>
        <w:t>Ο βαθμός</w:t>
      </w:r>
      <w:r w:rsidRPr="00792B8F">
        <w:rPr>
          <w:rFonts w:ascii="Calibri" w:hAnsi="Calibri" w:cs="Calibri"/>
          <w:lang w:val="el-GR"/>
        </w:rPr>
        <w:t xml:space="preserve"> </w:t>
      </w:r>
      <w:r>
        <w:rPr>
          <w:rFonts w:ascii="Calibri" w:hAnsi="Calibri" w:cs="Calibri"/>
          <w:lang w:val="el-GR"/>
        </w:rPr>
        <w:t>της</w:t>
      </w:r>
      <w:r w:rsidRPr="00792B8F">
        <w:rPr>
          <w:rFonts w:ascii="Calibri" w:hAnsi="Calibri" w:cs="Calibri"/>
          <w:lang w:val="el-GR"/>
        </w:rPr>
        <w:t xml:space="preserve"> </w:t>
      </w:r>
      <w:r>
        <w:rPr>
          <w:rFonts w:ascii="Calibri" w:hAnsi="Calibri" w:cs="Calibri"/>
          <w:lang w:val="el-GR"/>
        </w:rPr>
        <w:t>Κύπρου</w:t>
      </w:r>
      <w:r w:rsidRPr="00792B8F">
        <w:rPr>
          <w:rFonts w:ascii="Calibri" w:hAnsi="Calibri" w:cs="Calibri"/>
          <w:lang w:val="el-GR"/>
        </w:rPr>
        <w:t xml:space="preserve"> </w:t>
      </w:r>
      <w:r>
        <w:rPr>
          <w:rFonts w:ascii="Calibri" w:hAnsi="Calibri" w:cs="Calibri"/>
          <w:lang w:val="el-GR"/>
        </w:rPr>
        <w:t>ήταν</w:t>
      </w:r>
      <w:r w:rsidRPr="00792B8F">
        <w:rPr>
          <w:rFonts w:ascii="Calibri" w:hAnsi="Calibri" w:cs="Calibri"/>
          <w:lang w:val="el-GR"/>
        </w:rPr>
        <w:t xml:space="preserve"> 53, </w:t>
      </w:r>
      <w:r>
        <w:rPr>
          <w:rFonts w:ascii="Calibri" w:hAnsi="Calibri" w:cs="Calibri"/>
          <w:lang w:val="el-GR"/>
        </w:rPr>
        <w:t xml:space="preserve">πέφτοντας από το </w:t>
      </w:r>
      <w:r w:rsidRPr="00792B8F">
        <w:rPr>
          <w:rFonts w:ascii="Calibri" w:hAnsi="Calibri" w:cs="Calibri"/>
          <w:lang w:val="el-GR"/>
        </w:rPr>
        <w:t xml:space="preserve">57 </w:t>
      </w:r>
      <w:r>
        <w:rPr>
          <w:rFonts w:ascii="Calibri" w:hAnsi="Calibri" w:cs="Calibri"/>
          <w:lang w:val="el-GR"/>
        </w:rPr>
        <w:t>το</w:t>
      </w:r>
      <w:r w:rsidRPr="00792B8F">
        <w:rPr>
          <w:rFonts w:ascii="Calibri" w:hAnsi="Calibri" w:cs="Calibri"/>
          <w:lang w:val="el-GR"/>
        </w:rPr>
        <w:t xml:space="preserve"> 2020. </w:t>
      </w:r>
      <w:r>
        <w:rPr>
          <w:rFonts w:ascii="Calibri" w:hAnsi="Calibri" w:cs="Calibri"/>
          <w:lang w:val="el-GR"/>
        </w:rPr>
        <w:t>Το</w:t>
      </w:r>
      <w:r w:rsidRPr="00792B8F">
        <w:rPr>
          <w:rFonts w:ascii="Calibri" w:hAnsi="Calibri" w:cs="Calibri"/>
          <w:lang w:val="el-GR"/>
        </w:rPr>
        <w:t xml:space="preserve"> 2019, </w:t>
      </w:r>
      <w:r>
        <w:rPr>
          <w:rFonts w:ascii="Calibri" w:hAnsi="Calibri" w:cs="Calibri"/>
          <w:lang w:val="el-GR"/>
        </w:rPr>
        <w:t>η Κύπρος κατατάχθηκε</w:t>
      </w:r>
      <w:r w:rsidRPr="00792B8F">
        <w:rPr>
          <w:rFonts w:ascii="Calibri" w:hAnsi="Calibri" w:cs="Calibri"/>
          <w:lang w:val="el-GR"/>
        </w:rPr>
        <w:t xml:space="preserve"> 41</w:t>
      </w:r>
      <w:r w:rsidRPr="00792B8F">
        <w:rPr>
          <w:rFonts w:ascii="Calibri" w:hAnsi="Calibri" w:cs="Calibri"/>
          <w:vertAlign w:val="superscript"/>
          <w:lang w:val="el-GR"/>
        </w:rPr>
        <w:t>η</w:t>
      </w:r>
      <w:r w:rsidRPr="00792B8F">
        <w:rPr>
          <w:rFonts w:ascii="Calibri" w:hAnsi="Calibri" w:cs="Calibri"/>
          <w:lang w:val="el-GR"/>
        </w:rPr>
        <w:t xml:space="preserve">, </w:t>
      </w:r>
      <w:r>
        <w:rPr>
          <w:rFonts w:ascii="Calibri" w:hAnsi="Calibri" w:cs="Calibri"/>
          <w:lang w:val="el-GR"/>
        </w:rPr>
        <w:t>με βαθμό</w:t>
      </w:r>
      <w:r w:rsidRPr="00792B8F">
        <w:rPr>
          <w:rFonts w:ascii="Calibri" w:hAnsi="Calibri" w:cs="Calibri"/>
          <w:lang w:val="el-GR"/>
        </w:rPr>
        <w:t xml:space="preserve"> 58. </w:t>
      </w:r>
    </w:p>
  </w:footnote>
  <w:footnote w:id="7">
    <w:p w14:paraId="2163BAF6" w14:textId="1E13AD07" w:rsidR="00071F64" w:rsidRPr="00792B8F" w:rsidRDefault="00071F64" w:rsidP="00A5147D">
      <w:pPr>
        <w:pStyle w:val="FootnoteText"/>
        <w:rPr>
          <w:rFonts w:asciiTheme="minorHAnsi" w:hAnsiTheme="minorHAnsi" w:cstheme="minorHAnsi"/>
          <w:lang w:val="el-GR"/>
        </w:rPr>
      </w:pPr>
      <w:r w:rsidRPr="00B47EA7">
        <w:rPr>
          <w:rStyle w:val="FootnoteReference"/>
          <w:rFonts w:asciiTheme="minorHAnsi" w:hAnsiTheme="minorHAnsi" w:cstheme="minorHAnsi"/>
        </w:rPr>
        <w:footnoteRef/>
      </w:r>
      <w:r w:rsidRPr="00792B8F">
        <w:rPr>
          <w:rFonts w:asciiTheme="minorHAnsi" w:hAnsiTheme="minorHAnsi" w:cstheme="minorHAnsi"/>
          <w:lang w:val="el-GR"/>
        </w:rPr>
        <w:t xml:space="preserve"> </w:t>
      </w:r>
      <w:r>
        <w:rPr>
          <w:rFonts w:asciiTheme="minorHAnsi" w:hAnsiTheme="minorHAnsi" w:cstheme="minorHAnsi"/>
          <w:lang w:val="el-GR"/>
        </w:rPr>
        <w:t>Τα</w:t>
      </w:r>
      <w:r w:rsidRPr="00792B8F">
        <w:rPr>
          <w:rFonts w:asciiTheme="minorHAnsi" w:hAnsiTheme="minorHAnsi" w:cstheme="minorHAnsi"/>
          <w:lang w:val="el-GR"/>
        </w:rPr>
        <w:t xml:space="preserve"> </w:t>
      </w:r>
      <w:r>
        <w:rPr>
          <w:rFonts w:asciiTheme="minorHAnsi" w:hAnsiTheme="minorHAnsi" w:cstheme="minorHAnsi"/>
          <w:lang w:val="el-GR"/>
        </w:rPr>
        <w:t>σχέδια</w:t>
      </w:r>
      <w:r w:rsidRPr="00792B8F">
        <w:rPr>
          <w:rFonts w:asciiTheme="minorHAnsi" w:hAnsiTheme="minorHAnsi" w:cstheme="minorHAnsi"/>
          <w:lang w:val="el-GR"/>
        </w:rPr>
        <w:t xml:space="preserve"> </w:t>
      </w:r>
      <w:r>
        <w:rPr>
          <w:rFonts w:asciiTheme="minorHAnsi" w:hAnsiTheme="minorHAnsi" w:cstheme="minorHAnsi"/>
          <w:lang w:val="el-GR"/>
        </w:rPr>
        <w:t>υπηκοότητας</w:t>
      </w:r>
      <w:r w:rsidRPr="00792B8F">
        <w:rPr>
          <w:rFonts w:asciiTheme="minorHAnsi" w:hAnsiTheme="minorHAnsi" w:cstheme="minorHAnsi"/>
          <w:lang w:val="el-GR"/>
        </w:rPr>
        <w:t xml:space="preserve"> </w:t>
      </w:r>
      <w:r>
        <w:rPr>
          <w:rFonts w:asciiTheme="minorHAnsi" w:hAnsiTheme="minorHAnsi" w:cstheme="minorHAnsi"/>
          <w:lang w:val="el-GR"/>
        </w:rPr>
        <w:t>επενδυτών</w:t>
      </w:r>
      <w:r w:rsidRPr="00792B8F">
        <w:rPr>
          <w:rFonts w:asciiTheme="minorHAnsi" w:hAnsiTheme="minorHAnsi" w:cstheme="minorHAnsi"/>
          <w:lang w:val="el-GR"/>
        </w:rPr>
        <w:t xml:space="preserve">, </w:t>
      </w:r>
      <w:r>
        <w:rPr>
          <w:rFonts w:asciiTheme="minorHAnsi" w:hAnsiTheme="minorHAnsi" w:cstheme="minorHAnsi"/>
          <w:lang w:val="el-GR"/>
        </w:rPr>
        <w:t>ή</w:t>
      </w:r>
      <w:r w:rsidRPr="00792B8F">
        <w:rPr>
          <w:rFonts w:asciiTheme="minorHAnsi" w:hAnsiTheme="minorHAnsi" w:cstheme="minorHAnsi"/>
          <w:lang w:val="el-GR"/>
        </w:rPr>
        <w:t xml:space="preserve"> </w:t>
      </w:r>
      <w:r>
        <w:rPr>
          <w:rFonts w:asciiTheme="minorHAnsi" w:hAnsiTheme="minorHAnsi" w:cstheme="minorHAnsi"/>
          <w:lang w:val="el-GR"/>
        </w:rPr>
        <w:t>σχέδια</w:t>
      </w:r>
      <w:r w:rsidRPr="00792B8F">
        <w:rPr>
          <w:rFonts w:asciiTheme="minorHAnsi" w:hAnsiTheme="minorHAnsi" w:cstheme="minorHAnsi"/>
          <w:lang w:val="el-GR"/>
        </w:rPr>
        <w:t xml:space="preserve"> “</w:t>
      </w:r>
      <w:r>
        <w:rPr>
          <w:rFonts w:asciiTheme="minorHAnsi" w:hAnsiTheme="minorHAnsi" w:cstheme="minorHAnsi"/>
          <w:lang w:val="el-GR"/>
        </w:rPr>
        <w:t>χρυσών</w:t>
      </w:r>
      <w:r w:rsidRPr="00792B8F">
        <w:rPr>
          <w:rFonts w:asciiTheme="minorHAnsi" w:hAnsiTheme="minorHAnsi" w:cstheme="minorHAnsi"/>
          <w:lang w:val="el-GR"/>
        </w:rPr>
        <w:t xml:space="preserve"> </w:t>
      </w:r>
      <w:r>
        <w:rPr>
          <w:rFonts w:asciiTheme="minorHAnsi" w:hAnsiTheme="minorHAnsi" w:cstheme="minorHAnsi"/>
          <w:lang w:val="el-GR"/>
        </w:rPr>
        <w:t>διαβατηρίων</w:t>
      </w:r>
      <w:r w:rsidRPr="00792B8F">
        <w:rPr>
          <w:rFonts w:asciiTheme="minorHAnsi" w:hAnsiTheme="minorHAnsi" w:cstheme="minorHAnsi"/>
          <w:lang w:val="el-GR"/>
        </w:rPr>
        <w:t xml:space="preserve">”, </w:t>
      </w:r>
      <w:r>
        <w:rPr>
          <w:rFonts w:asciiTheme="minorHAnsi" w:hAnsiTheme="minorHAnsi" w:cstheme="minorHAnsi"/>
          <w:lang w:val="el-GR"/>
        </w:rPr>
        <w:t>επιτρέπουν</w:t>
      </w:r>
      <w:r w:rsidRPr="00792B8F">
        <w:rPr>
          <w:rFonts w:asciiTheme="minorHAnsi" w:hAnsiTheme="minorHAnsi" w:cstheme="minorHAnsi"/>
          <w:lang w:val="el-GR"/>
        </w:rPr>
        <w:t xml:space="preserve"> </w:t>
      </w:r>
      <w:r>
        <w:rPr>
          <w:rFonts w:asciiTheme="minorHAnsi" w:hAnsiTheme="minorHAnsi" w:cstheme="minorHAnsi"/>
          <w:lang w:val="el-GR"/>
        </w:rPr>
        <w:t>ένα</w:t>
      </w:r>
      <w:r w:rsidRPr="00792B8F">
        <w:rPr>
          <w:rFonts w:asciiTheme="minorHAnsi" w:hAnsiTheme="minorHAnsi" w:cstheme="minorHAnsi"/>
          <w:lang w:val="el-GR"/>
        </w:rPr>
        <w:t xml:space="preserve"> </w:t>
      </w:r>
      <w:r>
        <w:rPr>
          <w:rFonts w:asciiTheme="minorHAnsi" w:hAnsiTheme="minorHAnsi" w:cstheme="minorHAnsi"/>
          <w:lang w:val="el-GR"/>
        </w:rPr>
        <w:t>άτομο</w:t>
      </w:r>
      <w:r w:rsidRPr="00792B8F">
        <w:rPr>
          <w:rFonts w:asciiTheme="minorHAnsi" w:hAnsiTheme="minorHAnsi" w:cstheme="minorHAnsi"/>
          <w:lang w:val="el-GR"/>
        </w:rPr>
        <w:t xml:space="preserve"> </w:t>
      </w:r>
      <w:r>
        <w:rPr>
          <w:rFonts w:asciiTheme="minorHAnsi" w:hAnsiTheme="minorHAnsi" w:cstheme="minorHAnsi"/>
          <w:lang w:val="el-GR"/>
        </w:rPr>
        <w:t>να</w:t>
      </w:r>
      <w:r w:rsidRPr="00792B8F">
        <w:rPr>
          <w:rFonts w:asciiTheme="minorHAnsi" w:hAnsiTheme="minorHAnsi" w:cstheme="minorHAnsi"/>
          <w:lang w:val="el-GR"/>
        </w:rPr>
        <w:t xml:space="preserve"> </w:t>
      </w:r>
      <w:r>
        <w:rPr>
          <w:rFonts w:asciiTheme="minorHAnsi" w:hAnsiTheme="minorHAnsi" w:cstheme="minorHAnsi"/>
          <w:lang w:val="el-GR"/>
        </w:rPr>
        <w:t>αποκτήσει</w:t>
      </w:r>
      <w:r w:rsidRPr="00792B8F">
        <w:rPr>
          <w:rFonts w:asciiTheme="minorHAnsi" w:hAnsiTheme="minorHAnsi" w:cstheme="minorHAnsi"/>
          <w:lang w:val="el-GR"/>
        </w:rPr>
        <w:t xml:space="preserve"> </w:t>
      </w:r>
      <w:r>
        <w:rPr>
          <w:rFonts w:asciiTheme="minorHAnsi" w:hAnsiTheme="minorHAnsi" w:cstheme="minorHAnsi"/>
          <w:lang w:val="el-GR"/>
        </w:rPr>
        <w:t>μια</w:t>
      </w:r>
      <w:r w:rsidRPr="00792B8F">
        <w:rPr>
          <w:rFonts w:asciiTheme="minorHAnsi" w:hAnsiTheme="minorHAnsi" w:cstheme="minorHAnsi"/>
          <w:lang w:val="el-GR"/>
        </w:rPr>
        <w:t xml:space="preserve"> </w:t>
      </w:r>
      <w:r>
        <w:rPr>
          <w:rFonts w:asciiTheme="minorHAnsi" w:hAnsiTheme="minorHAnsi" w:cstheme="minorHAnsi"/>
          <w:lang w:val="el-GR"/>
        </w:rPr>
        <w:t>νέα</w:t>
      </w:r>
      <w:r w:rsidRPr="00792B8F">
        <w:rPr>
          <w:rFonts w:asciiTheme="minorHAnsi" w:hAnsiTheme="minorHAnsi" w:cstheme="minorHAnsi"/>
          <w:lang w:val="el-GR"/>
        </w:rPr>
        <w:t xml:space="preserve"> </w:t>
      </w:r>
      <w:r>
        <w:rPr>
          <w:rFonts w:asciiTheme="minorHAnsi" w:hAnsiTheme="minorHAnsi" w:cstheme="minorHAnsi"/>
          <w:lang w:val="el-GR"/>
        </w:rPr>
        <w:t>υπηκοότητα</w:t>
      </w:r>
      <w:r w:rsidRPr="00792B8F">
        <w:rPr>
          <w:rFonts w:asciiTheme="minorHAnsi" w:hAnsiTheme="minorHAnsi" w:cstheme="minorHAnsi"/>
          <w:lang w:val="el-GR"/>
        </w:rPr>
        <w:t xml:space="preserve"> </w:t>
      </w:r>
      <w:r>
        <w:rPr>
          <w:rFonts w:asciiTheme="minorHAnsi" w:hAnsiTheme="minorHAnsi" w:cstheme="minorHAnsi"/>
          <w:lang w:val="el-GR"/>
        </w:rPr>
        <w:t>βάσει μιας πληρωμής ή επένδυσης</w:t>
      </w:r>
      <w:r w:rsidRPr="00792B8F">
        <w:rPr>
          <w:rFonts w:asciiTheme="minorHAnsi" w:hAnsiTheme="minorHAnsi" w:cstheme="minorHAnsi"/>
          <w:lang w:val="el-GR"/>
        </w:rPr>
        <w:t xml:space="preserve"> </w:t>
      </w:r>
      <w:r>
        <w:rPr>
          <w:rFonts w:asciiTheme="minorHAnsi" w:hAnsiTheme="minorHAnsi" w:cstheme="minorHAnsi"/>
          <w:lang w:val="el-GR"/>
        </w:rPr>
        <w:t>και στην απουσία μιας γνήσιας σχέσης με την χώρα</w:t>
      </w:r>
      <w:r w:rsidRPr="00792B8F">
        <w:rPr>
          <w:rFonts w:asciiTheme="minorHAnsi" w:hAnsiTheme="minorHAnsi" w:cstheme="minorHAnsi"/>
          <w:lang w:val="el-GR"/>
        </w:rPr>
        <w:t xml:space="preserve"> </w:t>
      </w:r>
      <w:r>
        <w:rPr>
          <w:rFonts w:asciiTheme="minorHAnsi" w:hAnsiTheme="minorHAnsi" w:cstheme="minorHAnsi"/>
          <w:lang w:val="el-GR"/>
        </w:rPr>
        <w:t>που πολιτογραφεί</w:t>
      </w:r>
      <w:r w:rsidRPr="00792B8F">
        <w:rPr>
          <w:rFonts w:asciiTheme="minorHAnsi" w:hAnsiTheme="minorHAnsi" w:cstheme="minorHAnsi"/>
          <w:lang w:val="el-GR"/>
        </w:rPr>
        <w:t>.</w:t>
      </w:r>
    </w:p>
  </w:footnote>
  <w:footnote w:id="8">
    <w:p w14:paraId="60AC5946" w14:textId="0DF7214A" w:rsidR="00071F64" w:rsidRPr="00A34524" w:rsidRDefault="00071F64" w:rsidP="00EF0546">
      <w:pPr>
        <w:pStyle w:val="FootnoteText"/>
        <w:rPr>
          <w:rFonts w:ascii="Calibri" w:hAnsi="Calibri" w:cs="Calibri"/>
          <w:lang w:val="el-GR"/>
        </w:rPr>
      </w:pPr>
      <w:r w:rsidRPr="00B95983">
        <w:rPr>
          <w:rStyle w:val="FootnoteReference"/>
          <w:rFonts w:ascii="Calibri" w:hAnsi="Calibri" w:cs="Calibri"/>
        </w:rPr>
        <w:footnoteRef/>
      </w:r>
      <w:r w:rsidRPr="00305DC2">
        <w:rPr>
          <w:rFonts w:ascii="Calibri" w:hAnsi="Calibri" w:cs="Calibri"/>
          <w:lang w:val="el-GR"/>
        </w:rPr>
        <w:t xml:space="preserve"> </w:t>
      </w:r>
      <w:r>
        <w:rPr>
          <w:rFonts w:ascii="Calibri" w:hAnsi="Calibri" w:cs="Calibri"/>
          <w:lang w:val="el-GR"/>
        </w:rPr>
        <w:t>Οι</w:t>
      </w:r>
      <w:r w:rsidRPr="00305DC2">
        <w:rPr>
          <w:rFonts w:ascii="Calibri" w:hAnsi="Calibri" w:cs="Calibri"/>
          <w:lang w:val="el-GR"/>
        </w:rPr>
        <w:t xml:space="preserve"> </w:t>
      </w:r>
      <w:r>
        <w:rPr>
          <w:rFonts w:ascii="Calibri" w:hAnsi="Calibri" w:cs="Calibri"/>
          <w:lang w:val="el-GR"/>
        </w:rPr>
        <w:t>αρχές</w:t>
      </w:r>
      <w:r w:rsidRPr="00305DC2">
        <w:rPr>
          <w:rFonts w:ascii="Calibri" w:hAnsi="Calibri" w:cs="Calibri"/>
          <w:lang w:val="el-GR"/>
        </w:rPr>
        <w:t xml:space="preserve"> </w:t>
      </w:r>
      <w:r>
        <w:rPr>
          <w:rFonts w:ascii="Calibri" w:hAnsi="Calibri" w:cs="Calibri"/>
          <w:lang w:val="el-GR"/>
        </w:rPr>
        <w:t>υπογραμμίζουν</w:t>
      </w:r>
      <w:r w:rsidRPr="00305DC2">
        <w:rPr>
          <w:rFonts w:ascii="Calibri" w:hAnsi="Calibri" w:cs="Calibri"/>
          <w:lang w:val="el-GR"/>
        </w:rPr>
        <w:t xml:space="preserve"> </w:t>
      </w:r>
      <w:r>
        <w:rPr>
          <w:rFonts w:ascii="Calibri" w:hAnsi="Calibri" w:cs="Calibri"/>
          <w:lang w:val="el-GR"/>
        </w:rPr>
        <w:t>ότι</w:t>
      </w:r>
      <w:r w:rsidRPr="00305DC2">
        <w:rPr>
          <w:rFonts w:ascii="Calibri" w:hAnsi="Calibri" w:cs="Calibri"/>
          <w:lang w:val="el-GR"/>
        </w:rPr>
        <w:t xml:space="preserve">, </w:t>
      </w:r>
      <w:r>
        <w:rPr>
          <w:rFonts w:ascii="Calibri" w:hAnsi="Calibri" w:cs="Calibri"/>
          <w:lang w:val="el-GR"/>
        </w:rPr>
        <w:t>στην</w:t>
      </w:r>
      <w:r w:rsidRPr="00305DC2">
        <w:rPr>
          <w:rFonts w:ascii="Calibri" w:hAnsi="Calibri" w:cs="Calibri"/>
          <w:lang w:val="el-GR"/>
        </w:rPr>
        <w:t xml:space="preserve"> </w:t>
      </w:r>
      <w:r>
        <w:rPr>
          <w:rFonts w:ascii="Calibri" w:hAnsi="Calibri" w:cs="Calibri"/>
          <w:lang w:val="el-GR"/>
        </w:rPr>
        <w:t>απάντηση</w:t>
      </w:r>
      <w:r w:rsidRPr="00305DC2">
        <w:rPr>
          <w:rFonts w:ascii="Calibri" w:hAnsi="Calibri" w:cs="Calibri"/>
          <w:lang w:val="el-GR"/>
        </w:rPr>
        <w:t xml:space="preserve"> </w:t>
      </w:r>
      <w:r w:rsidR="006B2283">
        <w:rPr>
          <w:rFonts w:ascii="Calibri" w:hAnsi="Calibri" w:cs="Calibri"/>
          <w:lang w:val="el-GR"/>
        </w:rPr>
        <w:t xml:space="preserve">τους </w:t>
      </w:r>
      <w:r w:rsidRPr="00305DC2">
        <w:rPr>
          <w:rFonts w:ascii="Calibri" w:hAnsi="Calibri" w:cs="Calibri"/>
          <w:lang w:val="el-GR"/>
        </w:rPr>
        <w:t xml:space="preserve"> </w:t>
      </w:r>
      <w:r>
        <w:rPr>
          <w:rFonts w:ascii="Calibri" w:hAnsi="Calibri" w:cs="Calibri"/>
          <w:lang w:val="el-GR"/>
        </w:rPr>
        <w:t>στην</w:t>
      </w:r>
      <w:r w:rsidRPr="00305DC2">
        <w:rPr>
          <w:rFonts w:ascii="Calibri" w:hAnsi="Calibri" w:cs="Calibri"/>
          <w:lang w:val="el-GR"/>
        </w:rPr>
        <w:t xml:space="preserve"> </w:t>
      </w:r>
      <w:r>
        <w:rPr>
          <w:rFonts w:ascii="Calibri" w:hAnsi="Calibri" w:cs="Calibri"/>
          <w:lang w:val="el-GR"/>
        </w:rPr>
        <w:t>αιτιολογημένη</w:t>
      </w:r>
      <w:r w:rsidRPr="00305DC2">
        <w:rPr>
          <w:rFonts w:ascii="Calibri" w:hAnsi="Calibri" w:cs="Calibri"/>
          <w:lang w:val="el-GR"/>
        </w:rPr>
        <w:t xml:space="preserve"> </w:t>
      </w:r>
      <w:r w:rsidR="006B2283">
        <w:rPr>
          <w:rFonts w:ascii="Calibri" w:hAnsi="Calibri" w:cs="Calibri"/>
          <w:lang w:val="el-GR"/>
        </w:rPr>
        <w:t xml:space="preserve">γνώμη </w:t>
      </w:r>
      <w:r>
        <w:rPr>
          <w:rFonts w:ascii="Calibri" w:hAnsi="Calibri" w:cs="Calibri"/>
          <w:lang w:val="el-GR"/>
        </w:rPr>
        <w:t>που</w:t>
      </w:r>
      <w:r w:rsidRPr="00305DC2">
        <w:rPr>
          <w:rFonts w:ascii="Calibri" w:hAnsi="Calibri" w:cs="Calibri"/>
          <w:lang w:val="el-GR"/>
        </w:rPr>
        <w:t xml:space="preserve"> </w:t>
      </w:r>
      <w:r>
        <w:rPr>
          <w:rFonts w:ascii="Calibri" w:hAnsi="Calibri" w:cs="Calibri"/>
          <w:lang w:val="el-GR"/>
        </w:rPr>
        <w:t>έχει</w:t>
      </w:r>
      <w:r w:rsidRPr="00305DC2">
        <w:rPr>
          <w:rFonts w:ascii="Calibri" w:hAnsi="Calibri" w:cs="Calibri"/>
          <w:lang w:val="el-GR"/>
        </w:rPr>
        <w:t xml:space="preserve"> </w:t>
      </w:r>
      <w:r w:rsidR="006B2283">
        <w:rPr>
          <w:rFonts w:ascii="Calibri" w:hAnsi="Calibri" w:cs="Calibri"/>
          <w:lang w:val="el-GR"/>
        </w:rPr>
        <w:t>δοθεί</w:t>
      </w:r>
      <w:r w:rsidRPr="00305DC2">
        <w:rPr>
          <w:rFonts w:ascii="Calibri" w:hAnsi="Calibri" w:cs="Calibri"/>
          <w:lang w:val="el-GR"/>
        </w:rPr>
        <w:t xml:space="preserve"> </w:t>
      </w:r>
      <w:r>
        <w:rPr>
          <w:rFonts w:ascii="Calibri" w:hAnsi="Calibri" w:cs="Calibri"/>
          <w:lang w:val="el-GR"/>
        </w:rPr>
        <w:t>στην</w:t>
      </w:r>
      <w:r w:rsidRPr="00305DC2">
        <w:rPr>
          <w:rFonts w:ascii="Calibri" w:hAnsi="Calibri" w:cs="Calibri"/>
          <w:lang w:val="el-GR"/>
        </w:rPr>
        <w:t xml:space="preserve"> </w:t>
      </w:r>
      <w:r>
        <w:rPr>
          <w:rFonts w:ascii="Calibri" w:hAnsi="Calibri" w:cs="Calibri"/>
          <w:lang w:val="el-GR"/>
        </w:rPr>
        <w:t>Ευρωπαϊκή</w:t>
      </w:r>
      <w:r w:rsidRPr="00305DC2">
        <w:rPr>
          <w:rFonts w:ascii="Calibri" w:hAnsi="Calibri" w:cs="Calibri"/>
          <w:lang w:val="el-GR"/>
        </w:rPr>
        <w:t xml:space="preserve"> </w:t>
      </w:r>
      <w:r>
        <w:rPr>
          <w:rFonts w:ascii="Calibri" w:hAnsi="Calibri" w:cs="Calibri"/>
          <w:lang w:val="el-GR"/>
        </w:rPr>
        <w:t>Επιτροπή</w:t>
      </w:r>
      <w:r w:rsidRPr="00305DC2">
        <w:rPr>
          <w:rFonts w:ascii="Calibri" w:hAnsi="Calibri" w:cs="Calibri"/>
          <w:lang w:val="el-GR"/>
        </w:rPr>
        <w:t xml:space="preserve">, </w:t>
      </w:r>
      <w:r>
        <w:rPr>
          <w:rFonts w:ascii="Calibri" w:hAnsi="Calibri" w:cs="Calibri"/>
          <w:lang w:val="el-GR"/>
        </w:rPr>
        <w:t>η</w:t>
      </w:r>
      <w:r w:rsidRPr="00305DC2">
        <w:rPr>
          <w:rFonts w:ascii="Calibri" w:hAnsi="Calibri" w:cs="Calibri"/>
          <w:lang w:val="el-GR"/>
        </w:rPr>
        <w:t xml:space="preserve"> </w:t>
      </w:r>
      <w:r>
        <w:rPr>
          <w:rFonts w:ascii="Calibri" w:hAnsi="Calibri" w:cs="Calibri"/>
          <w:lang w:val="el-GR"/>
        </w:rPr>
        <w:t>Κύπρος</w:t>
      </w:r>
      <w:r w:rsidRPr="00305DC2">
        <w:rPr>
          <w:rFonts w:ascii="Calibri" w:hAnsi="Calibri" w:cs="Calibri"/>
          <w:lang w:val="el-GR"/>
        </w:rPr>
        <w:t xml:space="preserve"> </w:t>
      </w:r>
      <w:r>
        <w:rPr>
          <w:rFonts w:ascii="Calibri" w:hAnsi="Calibri" w:cs="Calibri"/>
          <w:lang w:val="el-GR"/>
        </w:rPr>
        <w:t>θεώρησε</w:t>
      </w:r>
      <w:r w:rsidRPr="00305DC2">
        <w:rPr>
          <w:rFonts w:ascii="Calibri" w:hAnsi="Calibri" w:cs="Calibri"/>
          <w:lang w:val="el-GR"/>
        </w:rPr>
        <w:t xml:space="preserve"> </w:t>
      </w:r>
      <w:r>
        <w:rPr>
          <w:rFonts w:ascii="Calibri" w:hAnsi="Calibri" w:cs="Calibri"/>
          <w:lang w:val="el-GR"/>
        </w:rPr>
        <w:t>ότι</w:t>
      </w:r>
      <w:r w:rsidRPr="00305DC2">
        <w:rPr>
          <w:rFonts w:ascii="Calibri" w:hAnsi="Calibri" w:cs="Calibri"/>
          <w:lang w:val="el-GR"/>
        </w:rPr>
        <w:t xml:space="preserve"> </w:t>
      </w:r>
      <w:r>
        <w:rPr>
          <w:rFonts w:ascii="Calibri" w:hAnsi="Calibri" w:cs="Calibri"/>
          <w:lang w:val="el-GR"/>
        </w:rPr>
        <w:t>η</w:t>
      </w:r>
      <w:r w:rsidRPr="00305DC2">
        <w:rPr>
          <w:rFonts w:ascii="Calibri" w:hAnsi="Calibri" w:cs="Calibri"/>
          <w:lang w:val="el-GR"/>
        </w:rPr>
        <w:t xml:space="preserve"> </w:t>
      </w:r>
      <w:r>
        <w:rPr>
          <w:rFonts w:ascii="Calibri" w:hAnsi="Calibri" w:cs="Calibri"/>
          <w:lang w:val="el-GR"/>
        </w:rPr>
        <w:t>Επιτροπή</w:t>
      </w:r>
      <w:r w:rsidRPr="00305DC2">
        <w:rPr>
          <w:rFonts w:ascii="Calibri" w:hAnsi="Calibri" w:cs="Calibri"/>
          <w:lang w:val="el-GR"/>
        </w:rPr>
        <w:t xml:space="preserve"> </w:t>
      </w:r>
      <w:r>
        <w:rPr>
          <w:rFonts w:ascii="Calibri" w:hAnsi="Calibri" w:cs="Calibri"/>
          <w:lang w:val="el-GR"/>
        </w:rPr>
        <w:t>πρέπει</w:t>
      </w:r>
      <w:r w:rsidRPr="00305DC2">
        <w:rPr>
          <w:rFonts w:ascii="Calibri" w:hAnsi="Calibri" w:cs="Calibri"/>
          <w:lang w:val="el-GR"/>
        </w:rPr>
        <w:t xml:space="preserve"> </w:t>
      </w:r>
      <w:r>
        <w:rPr>
          <w:rFonts w:ascii="Calibri" w:hAnsi="Calibri" w:cs="Calibri"/>
          <w:lang w:val="el-GR"/>
        </w:rPr>
        <w:t>να</w:t>
      </w:r>
      <w:r w:rsidRPr="00305DC2">
        <w:rPr>
          <w:rFonts w:ascii="Calibri" w:hAnsi="Calibri" w:cs="Calibri"/>
          <w:lang w:val="el-GR"/>
        </w:rPr>
        <w:t xml:space="preserve"> </w:t>
      </w:r>
      <w:r>
        <w:rPr>
          <w:rFonts w:ascii="Calibri" w:hAnsi="Calibri" w:cs="Calibri"/>
          <w:lang w:val="el-GR"/>
        </w:rPr>
        <w:t>ασκήσει</w:t>
      </w:r>
      <w:r w:rsidRPr="00305DC2">
        <w:rPr>
          <w:rFonts w:ascii="Calibri" w:hAnsi="Calibri" w:cs="Calibri"/>
          <w:lang w:val="el-GR"/>
        </w:rPr>
        <w:t xml:space="preserve"> </w:t>
      </w:r>
      <w:r>
        <w:rPr>
          <w:rFonts w:ascii="Calibri" w:hAnsi="Calibri" w:cs="Calibri"/>
          <w:lang w:val="el-GR"/>
        </w:rPr>
        <w:t>τη</w:t>
      </w:r>
      <w:r w:rsidRPr="00305DC2">
        <w:rPr>
          <w:rFonts w:ascii="Calibri" w:hAnsi="Calibri" w:cs="Calibri"/>
          <w:lang w:val="el-GR"/>
        </w:rPr>
        <w:t xml:space="preserve"> </w:t>
      </w:r>
      <w:r>
        <w:rPr>
          <w:rFonts w:ascii="Calibri" w:hAnsi="Calibri" w:cs="Calibri"/>
          <w:lang w:val="el-GR"/>
        </w:rPr>
        <w:t>διακριτική</w:t>
      </w:r>
      <w:r w:rsidRPr="00305DC2">
        <w:rPr>
          <w:rFonts w:ascii="Calibri" w:hAnsi="Calibri" w:cs="Calibri"/>
          <w:lang w:val="el-GR"/>
        </w:rPr>
        <w:t xml:space="preserve"> </w:t>
      </w:r>
      <w:r>
        <w:rPr>
          <w:rFonts w:ascii="Calibri" w:hAnsi="Calibri" w:cs="Calibri"/>
          <w:lang w:val="el-GR"/>
        </w:rPr>
        <w:t>της</w:t>
      </w:r>
      <w:r w:rsidRPr="00305DC2">
        <w:rPr>
          <w:rFonts w:ascii="Calibri" w:hAnsi="Calibri" w:cs="Calibri"/>
          <w:lang w:val="el-GR"/>
        </w:rPr>
        <w:t xml:space="preserve"> </w:t>
      </w:r>
      <w:r>
        <w:rPr>
          <w:rFonts w:ascii="Calibri" w:hAnsi="Calibri" w:cs="Calibri"/>
          <w:lang w:val="el-GR"/>
        </w:rPr>
        <w:t>ευχέρεια</w:t>
      </w:r>
      <w:r w:rsidRPr="00305DC2">
        <w:rPr>
          <w:rFonts w:ascii="Calibri" w:hAnsi="Calibri" w:cs="Calibri"/>
          <w:lang w:val="el-GR"/>
        </w:rPr>
        <w:t xml:space="preserve"> </w:t>
      </w:r>
      <w:r>
        <w:rPr>
          <w:rFonts w:ascii="Calibri" w:hAnsi="Calibri" w:cs="Calibri"/>
          <w:lang w:val="el-GR"/>
        </w:rPr>
        <w:t>και</w:t>
      </w:r>
      <w:r w:rsidRPr="00305DC2">
        <w:rPr>
          <w:rFonts w:ascii="Calibri" w:hAnsi="Calibri" w:cs="Calibri"/>
          <w:lang w:val="el-GR"/>
        </w:rPr>
        <w:t xml:space="preserve"> </w:t>
      </w:r>
      <w:r>
        <w:rPr>
          <w:rFonts w:ascii="Calibri" w:hAnsi="Calibri" w:cs="Calibri"/>
          <w:lang w:val="el-GR"/>
        </w:rPr>
        <w:t>να</w:t>
      </w:r>
      <w:r w:rsidRPr="00305DC2">
        <w:rPr>
          <w:rFonts w:ascii="Calibri" w:hAnsi="Calibri" w:cs="Calibri"/>
          <w:lang w:val="el-GR"/>
        </w:rPr>
        <w:t xml:space="preserve"> </w:t>
      </w:r>
      <w:r>
        <w:rPr>
          <w:rFonts w:ascii="Calibri" w:hAnsi="Calibri" w:cs="Calibri"/>
          <w:lang w:val="el-GR"/>
        </w:rPr>
        <w:t>τερματίσει</w:t>
      </w:r>
      <w:r w:rsidRPr="00305DC2">
        <w:rPr>
          <w:rFonts w:ascii="Calibri" w:hAnsi="Calibri" w:cs="Calibri"/>
          <w:lang w:val="el-GR"/>
        </w:rPr>
        <w:t xml:space="preserve"> </w:t>
      </w:r>
      <w:r>
        <w:rPr>
          <w:rFonts w:ascii="Calibri" w:hAnsi="Calibri" w:cs="Calibri"/>
          <w:lang w:val="el-GR"/>
        </w:rPr>
        <w:t>τη</w:t>
      </w:r>
      <w:r w:rsidRPr="00305DC2">
        <w:rPr>
          <w:rFonts w:ascii="Calibri" w:hAnsi="Calibri" w:cs="Calibri"/>
          <w:lang w:val="el-GR"/>
        </w:rPr>
        <w:t xml:space="preserve"> </w:t>
      </w:r>
      <w:r>
        <w:rPr>
          <w:rFonts w:ascii="Calibri" w:hAnsi="Calibri" w:cs="Calibri"/>
          <w:lang w:val="el-GR"/>
        </w:rPr>
        <w:t>διαδικασία</w:t>
      </w:r>
      <w:r w:rsidRPr="00305DC2">
        <w:rPr>
          <w:rFonts w:ascii="Calibri" w:hAnsi="Calibri" w:cs="Calibri"/>
          <w:lang w:val="el-GR"/>
        </w:rPr>
        <w:t xml:space="preserve"> </w:t>
      </w:r>
      <w:r>
        <w:rPr>
          <w:rFonts w:ascii="Calibri" w:hAnsi="Calibri" w:cs="Calibri"/>
          <w:lang w:val="el-GR"/>
        </w:rPr>
        <w:t>επί</w:t>
      </w:r>
      <w:r w:rsidRPr="00305DC2">
        <w:rPr>
          <w:rFonts w:ascii="Calibri" w:hAnsi="Calibri" w:cs="Calibri"/>
          <w:lang w:val="el-GR"/>
        </w:rPr>
        <w:t xml:space="preserve"> </w:t>
      </w:r>
      <w:proofErr w:type="spellStart"/>
      <w:r>
        <w:rPr>
          <w:rFonts w:ascii="Calibri" w:hAnsi="Calibri" w:cs="Calibri"/>
          <w:lang w:val="el-GR"/>
        </w:rPr>
        <w:t>παραβάσει</w:t>
      </w:r>
      <w:proofErr w:type="spellEnd"/>
      <w:r w:rsidRPr="00305DC2">
        <w:rPr>
          <w:rFonts w:ascii="Calibri" w:hAnsi="Calibri" w:cs="Calibri"/>
          <w:lang w:val="el-GR"/>
        </w:rPr>
        <w:t xml:space="preserve"> </w:t>
      </w:r>
      <w:r>
        <w:rPr>
          <w:rFonts w:ascii="Calibri" w:hAnsi="Calibri" w:cs="Calibri"/>
          <w:lang w:val="el-GR"/>
        </w:rPr>
        <w:t>εναντίον</w:t>
      </w:r>
      <w:r w:rsidRPr="00305DC2">
        <w:rPr>
          <w:rFonts w:ascii="Calibri" w:hAnsi="Calibri" w:cs="Calibri"/>
          <w:lang w:val="el-GR"/>
        </w:rPr>
        <w:t xml:space="preserve"> </w:t>
      </w:r>
      <w:r>
        <w:rPr>
          <w:rFonts w:ascii="Calibri" w:hAnsi="Calibri" w:cs="Calibri"/>
          <w:lang w:val="el-GR"/>
        </w:rPr>
        <w:t>της</w:t>
      </w:r>
      <w:r w:rsidRPr="00305DC2">
        <w:rPr>
          <w:rFonts w:ascii="Calibri" w:hAnsi="Calibri" w:cs="Calibri"/>
          <w:lang w:val="el-GR"/>
        </w:rPr>
        <w:t xml:space="preserve"> </w:t>
      </w:r>
      <w:r>
        <w:rPr>
          <w:rFonts w:ascii="Calibri" w:hAnsi="Calibri" w:cs="Calibri"/>
          <w:lang w:val="el-GR"/>
        </w:rPr>
        <w:t>Κύπρου</w:t>
      </w:r>
      <w:r w:rsidRPr="00305DC2">
        <w:rPr>
          <w:rFonts w:ascii="Calibri" w:hAnsi="Calibri" w:cs="Calibri"/>
          <w:lang w:val="el-GR"/>
        </w:rPr>
        <w:t xml:space="preserve">, </w:t>
      </w:r>
      <w:r>
        <w:rPr>
          <w:rFonts w:ascii="Calibri" w:hAnsi="Calibri" w:cs="Calibri"/>
          <w:lang w:val="el-GR"/>
        </w:rPr>
        <w:t>επειδή</w:t>
      </w:r>
      <w:r w:rsidRPr="00305DC2">
        <w:rPr>
          <w:rFonts w:ascii="Calibri" w:hAnsi="Calibri" w:cs="Calibri"/>
          <w:lang w:val="el-GR"/>
        </w:rPr>
        <w:t xml:space="preserve"> </w:t>
      </w:r>
      <w:r>
        <w:rPr>
          <w:rFonts w:ascii="Calibri" w:hAnsi="Calibri" w:cs="Calibri"/>
          <w:lang w:val="el-GR"/>
        </w:rPr>
        <w:t>είναι</w:t>
      </w:r>
      <w:r w:rsidRPr="00305DC2">
        <w:rPr>
          <w:rFonts w:ascii="Calibri" w:hAnsi="Calibri" w:cs="Calibri"/>
          <w:lang w:val="el-GR"/>
        </w:rPr>
        <w:t xml:space="preserve"> </w:t>
      </w:r>
      <w:r>
        <w:rPr>
          <w:rFonts w:ascii="Calibri" w:hAnsi="Calibri" w:cs="Calibri"/>
          <w:lang w:val="el-GR"/>
        </w:rPr>
        <w:t>ξεκάθαρα</w:t>
      </w:r>
      <w:r w:rsidRPr="00305DC2">
        <w:rPr>
          <w:rFonts w:ascii="Calibri" w:hAnsi="Calibri" w:cs="Calibri"/>
          <w:lang w:val="el-GR"/>
        </w:rPr>
        <w:t xml:space="preserve"> </w:t>
      </w:r>
      <w:r>
        <w:rPr>
          <w:rFonts w:ascii="Calibri" w:hAnsi="Calibri" w:cs="Calibri"/>
          <w:lang w:val="el-GR"/>
        </w:rPr>
        <w:t>χωρίς</w:t>
      </w:r>
      <w:r w:rsidRPr="00305DC2">
        <w:rPr>
          <w:rFonts w:ascii="Calibri" w:hAnsi="Calibri" w:cs="Calibri"/>
          <w:lang w:val="el-GR"/>
        </w:rPr>
        <w:t xml:space="preserve"> </w:t>
      </w:r>
      <w:r>
        <w:rPr>
          <w:rFonts w:ascii="Calibri" w:hAnsi="Calibri" w:cs="Calibri"/>
          <w:lang w:val="el-GR"/>
        </w:rPr>
        <w:t>αντικείμενο</w:t>
      </w:r>
      <w:r w:rsidRPr="00305DC2">
        <w:rPr>
          <w:rFonts w:ascii="Calibri" w:hAnsi="Calibri" w:cs="Calibri"/>
          <w:lang w:val="el-GR"/>
        </w:rPr>
        <w:t xml:space="preserve">, </w:t>
      </w:r>
      <w:r>
        <w:rPr>
          <w:rFonts w:ascii="Calibri" w:hAnsi="Calibri" w:cs="Calibri"/>
          <w:lang w:val="el-GR"/>
        </w:rPr>
        <w:t xml:space="preserve">όχι μόνο επειδή  η Κύπρος κατάργησε το Επενδυτικό Πρόγραμμα Κύπρου </w:t>
      </w:r>
      <w:r w:rsidRPr="00305DC2">
        <w:rPr>
          <w:rFonts w:ascii="Calibri" w:hAnsi="Calibri" w:cs="Calibri"/>
          <w:lang w:val="el-GR"/>
        </w:rPr>
        <w:t>(</w:t>
      </w:r>
      <w:r w:rsidRPr="00B95983">
        <w:rPr>
          <w:rFonts w:ascii="Calibri" w:hAnsi="Calibri" w:cs="Calibri"/>
        </w:rPr>
        <w:t>CIP</w:t>
      </w:r>
      <w:r w:rsidRPr="00305DC2">
        <w:rPr>
          <w:rFonts w:ascii="Calibri" w:hAnsi="Calibri" w:cs="Calibri"/>
          <w:lang w:val="el-GR"/>
        </w:rPr>
        <w:t xml:space="preserve">), </w:t>
      </w:r>
      <w:r>
        <w:rPr>
          <w:rFonts w:ascii="Calibri" w:hAnsi="Calibri" w:cs="Calibri"/>
          <w:lang w:val="el-GR"/>
        </w:rPr>
        <w:t>και</w:t>
      </w:r>
      <w:r w:rsidR="006B2283">
        <w:rPr>
          <w:rFonts w:ascii="Calibri" w:hAnsi="Calibri" w:cs="Calibri"/>
          <w:lang w:val="el-GR"/>
        </w:rPr>
        <w:t xml:space="preserve"> (επειδή)</w:t>
      </w:r>
      <w:r>
        <w:rPr>
          <w:rFonts w:ascii="Calibri" w:hAnsi="Calibri" w:cs="Calibri"/>
          <w:lang w:val="el-GR"/>
        </w:rPr>
        <w:t xml:space="preserve"> δεν υπήρχαν εκκρεμείς</w:t>
      </w:r>
      <w:r w:rsidRPr="00305DC2">
        <w:rPr>
          <w:rFonts w:ascii="Calibri" w:hAnsi="Calibri" w:cs="Calibri"/>
          <w:lang w:val="el-GR"/>
        </w:rPr>
        <w:t xml:space="preserve"> </w:t>
      </w:r>
      <w:r>
        <w:rPr>
          <w:rFonts w:ascii="Calibri" w:hAnsi="Calibri" w:cs="Calibri"/>
          <w:lang w:val="el-GR"/>
        </w:rPr>
        <w:t>αιτήσεις</w:t>
      </w:r>
      <w:r w:rsidRPr="00305DC2">
        <w:rPr>
          <w:rFonts w:ascii="Calibri" w:hAnsi="Calibri" w:cs="Calibri"/>
          <w:lang w:val="el-GR"/>
        </w:rPr>
        <w:t xml:space="preserve"> </w:t>
      </w:r>
      <w:r>
        <w:rPr>
          <w:rFonts w:ascii="Calibri" w:hAnsi="Calibri" w:cs="Calibri"/>
          <w:lang w:val="el-GR"/>
        </w:rPr>
        <w:t>στη λήξη</w:t>
      </w:r>
      <w:r w:rsidRPr="00305DC2">
        <w:rPr>
          <w:rFonts w:ascii="Calibri" w:hAnsi="Calibri" w:cs="Calibri"/>
          <w:lang w:val="el-GR"/>
        </w:rPr>
        <w:t xml:space="preserve"> </w:t>
      </w:r>
      <w:r>
        <w:rPr>
          <w:rFonts w:ascii="Calibri" w:hAnsi="Calibri" w:cs="Calibri"/>
          <w:lang w:val="el-GR"/>
        </w:rPr>
        <w:t xml:space="preserve">της </w:t>
      </w:r>
      <w:r w:rsidR="006B2283">
        <w:rPr>
          <w:rFonts w:ascii="Calibri" w:hAnsi="Calibri" w:cs="Calibri"/>
          <w:lang w:val="el-GR"/>
        </w:rPr>
        <w:t xml:space="preserve">προθεσμίας </w:t>
      </w:r>
      <w:r>
        <w:rPr>
          <w:rFonts w:ascii="Calibri" w:hAnsi="Calibri" w:cs="Calibri"/>
          <w:lang w:val="el-GR"/>
        </w:rPr>
        <w:t>ειδοποίησης δύο μηνών που δίνεται στην αιτιολογημένη</w:t>
      </w:r>
      <w:r w:rsidR="006B2283">
        <w:rPr>
          <w:rFonts w:ascii="Calibri" w:hAnsi="Calibri" w:cs="Calibri"/>
          <w:lang w:val="el-GR"/>
        </w:rPr>
        <w:t xml:space="preserve"> γνώμη</w:t>
      </w:r>
      <w:r w:rsidRPr="00305DC2">
        <w:rPr>
          <w:rFonts w:ascii="Calibri" w:hAnsi="Calibri" w:cs="Calibri"/>
          <w:lang w:val="el-GR"/>
        </w:rPr>
        <w:t xml:space="preserve">, </w:t>
      </w:r>
      <w:r>
        <w:rPr>
          <w:rFonts w:ascii="Calibri" w:hAnsi="Calibri" w:cs="Calibri"/>
          <w:lang w:val="el-GR"/>
        </w:rPr>
        <w:t>αλλά επίσης επειδή είναι χωρίς νομική βάση,</w:t>
      </w:r>
      <w:r w:rsidRPr="00305DC2">
        <w:rPr>
          <w:rFonts w:ascii="Calibri" w:hAnsi="Calibri" w:cs="Calibri"/>
          <w:lang w:val="el-GR"/>
        </w:rPr>
        <w:t xml:space="preserve"> </w:t>
      </w:r>
      <w:r w:rsidR="006B2283">
        <w:rPr>
          <w:rFonts w:ascii="Calibri" w:hAnsi="Calibri" w:cs="Calibri"/>
          <w:lang w:val="el-GR"/>
        </w:rPr>
        <w:t>καθότι τα κράτη</w:t>
      </w:r>
      <w:r>
        <w:rPr>
          <w:rFonts w:ascii="Calibri" w:hAnsi="Calibri" w:cs="Calibri"/>
          <w:lang w:val="el-GR"/>
        </w:rPr>
        <w:t>/</w:t>
      </w:r>
      <w:r w:rsidR="006B2283">
        <w:rPr>
          <w:rFonts w:ascii="Calibri" w:hAnsi="Calibri" w:cs="Calibri"/>
          <w:lang w:val="el-GR"/>
        </w:rPr>
        <w:t>μέλη</w:t>
      </w:r>
      <w:r w:rsidRPr="00DA742A">
        <w:rPr>
          <w:rFonts w:ascii="Calibri" w:hAnsi="Calibri" w:cs="Calibri"/>
          <w:lang w:val="el-GR"/>
        </w:rPr>
        <w:t xml:space="preserve"> </w:t>
      </w:r>
      <w:r>
        <w:rPr>
          <w:rFonts w:ascii="Calibri" w:hAnsi="Calibri" w:cs="Calibri"/>
          <w:lang w:val="el-GR"/>
        </w:rPr>
        <w:t>είναι αποκλειστικά αρμόδιοι</w:t>
      </w:r>
      <w:r w:rsidRPr="00305DC2">
        <w:rPr>
          <w:rFonts w:ascii="Calibri" w:hAnsi="Calibri" w:cs="Calibri"/>
          <w:lang w:val="el-GR"/>
        </w:rPr>
        <w:t xml:space="preserve"> </w:t>
      </w:r>
      <w:r>
        <w:rPr>
          <w:rFonts w:ascii="Calibri" w:hAnsi="Calibri" w:cs="Calibri"/>
          <w:lang w:val="el-GR"/>
        </w:rPr>
        <w:t>για να θέσουν όρους</w:t>
      </w:r>
      <w:r w:rsidRPr="00305DC2">
        <w:rPr>
          <w:rFonts w:ascii="Calibri" w:hAnsi="Calibri" w:cs="Calibri"/>
          <w:lang w:val="el-GR"/>
        </w:rPr>
        <w:t xml:space="preserve"> </w:t>
      </w:r>
      <w:r>
        <w:rPr>
          <w:rFonts w:ascii="Calibri" w:hAnsi="Calibri" w:cs="Calibri"/>
          <w:lang w:val="el-GR"/>
        </w:rPr>
        <w:t>για την απόκτηση εθνικής υπηκοότητας</w:t>
      </w:r>
      <w:r w:rsidRPr="00305DC2">
        <w:rPr>
          <w:rFonts w:ascii="Calibri" w:hAnsi="Calibri" w:cs="Calibri"/>
          <w:lang w:val="el-GR"/>
        </w:rPr>
        <w:t xml:space="preserve">. </w:t>
      </w:r>
      <w:r>
        <w:rPr>
          <w:rFonts w:ascii="Calibri" w:hAnsi="Calibri" w:cs="Calibri"/>
          <w:lang w:val="el-GR"/>
        </w:rPr>
        <w:t>Οι</w:t>
      </w:r>
      <w:r w:rsidRPr="00DA742A">
        <w:rPr>
          <w:rFonts w:ascii="Calibri" w:hAnsi="Calibri" w:cs="Calibri"/>
          <w:lang w:val="el-GR"/>
        </w:rPr>
        <w:t xml:space="preserve"> </w:t>
      </w:r>
      <w:r>
        <w:rPr>
          <w:rFonts w:ascii="Calibri" w:hAnsi="Calibri" w:cs="Calibri"/>
          <w:lang w:val="el-GR"/>
        </w:rPr>
        <w:t>αρχές</w:t>
      </w:r>
      <w:r w:rsidRPr="00DA742A">
        <w:rPr>
          <w:rFonts w:ascii="Calibri" w:hAnsi="Calibri" w:cs="Calibri"/>
          <w:lang w:val="el-GR"/>
        </w:rPr>
        <w:t xml:space="preserve"> </w:t>
      </w:r>
      <w:r>
        <w:rPr>
          <w:rFonts w:ascii="Calibri" w:hAnsi="Calibri" w:cs="Calibri"/>
          <w:lang w:val="el-GR"/>
        </w:rPr>
        <w:t>θεωρούν</w:t>
      </w:r>
      <w:r w:rsidRPr="00DA742A">
        <w:rPr>
          <w:rFonts w:ascii="Calibri" w:hAnsi="Calibri" w:cs="Calibri"/>
          <w:lang w:val="el-GR"/>
        </w:rPr>
        <w:t xml:space="preserve"> </w:t>
      </w:r>
      <w:r>
        <w:rPr>
          <w:rFonts w:ascii="Calibri" w:hAnsi="Calibri" w:cs="Calibri"/>
          <w:lang w:val="el-GR"/>
        </w:rPr>
        <w:t>ότι</w:t>
      </w:r>
      <w:r w:rsidRPr="00DA742A">
        <w:rPr>
          <w:rFonts w:ascii="Calibri" w:hAnsi="Calibri" w:cs="Calibri"/>
          <w:lang w:val="el-GR"/>
        </w:rPr>
        <w:t xml:space="preserve">, </w:t>
      </w:r>
      <w:r>
        <w:rPr>
          <w:rFonts w:ascii="Calibri" w:hAnsi="Calibri" w:cs="Calibri"/>
          <w:lang w:val="el-GR"/>
        </w:rPr>
        <w:t>σε</w:t>
      </w:r>
      <w:r w:rsidRPr="00DA742A">
        <w:rPr>
          <w:rFonts w:ascii="Calibri" w:hAnsi="Calibri" w:cs="Calibri"/>
          <w:lang w:val="el-GR"/>
        </w:rPr>
        <w:t xml:space="preserve"> </w:t>
      </w:r>
      <w:r>
        <w:rPr>
          <w:rFonts w:ascii="Calibri" w:hAnsi="Calibri" w:cs="Calibri"/>
          <w:lang w:val="el-GR"/>
        </w:rPr>
        <w:t>κάθε</w:t>
      </w:r>
      <w:r w:rsidRPr="00DA742A">
        <w:rPr>
          <w:rFonts w:ascii="Calibri" w:hAnsi="Calibri" w:cs="Calibri"/>
          <w:lang w:val="el-GR"/>
        </w:rPr>
        <w:t xml:space="preserve"> </w:t>
      </w:r>
      <w:r>
        <w:rPr>
          <w:rFonts w:ascii="Calibri" w:hAnsi="Calibri" w:cs="Calibri"/>
          <w:lang w:val="el-GR"/>
        </w:rPr>
        <w:t>περίπτωση</w:t>
      </w:r>
      <w:r w:rsidRPr="00DA742A">
        <w:rPr>
          <w:rFonts w:ascii="Calibri" w:hAnsi="Calibri" w:cs="Calibri"/>
          <w:lang w:val="el-GR"/>
        </w:rPr>
        <w:t xml:space="preserve">, </w:t>
      </w:r>
      <w:r>
        <w:rPr>
          <w:rFonts w:ascii="Calibri" w:hAnsi="Calibri" w:cs="Calibri"/>
          <w:lang w:val="el-GR"/>
        </w:rPr>
        <w:t>η</w:t>
      </w:r>
      <w:r w:rsidRPr="00DA742A">
        <w:rPr>
          <w:rFonts w:ascii="Calibri" w:hAnsi="Calibri" w:cs="Calibri"/>
          <w:lang w:val="el-GR"/>
        </w:rPr>
        <w:t xml:space="preserve"> </w:t>
      </w:r>
      <w:r>
        <w:rPr>
          <w:rFonts w:ascii="Calibri" w:hAnsi="Calibri" w:cs="Calibri"/>
          <w:lang w:val="el-GR"/>
        </w:rPr>
        <w:t>διαδικασία</w:t>
      </w:r>
      <w:r w:rsidRPr="00DA742A">
        <w:rPr>
          <w:rFonts w:ascii="Calibri" w:hAnsi="Calibri" w:cs="Calibri"/>
          <w:lang w:val="el-GR"/>
        </w:rPr>
        <w:t xml:space="preserve"> </w:t>
      </w:r>
      <w:r>
        <w:rPr>
          <w:rFonts w:ascii="Calibri" w:hAnsi="Calibri" w:cs="Calibri"/>
          <w:lang w:val="el-GR"/>
        </w:rPr>
        <w:t>επί</w:t>
      </w:r>
      <w:r w:rsidRPr="00DA742A">
        <w:rPr>
          <w:rFonts w:ascii="Calibri" w:hAnsi="Calibri" w:cs="Calibri"/>
          <w:lang w:val="el-GR"/>
        </w:rPr>
        <w:t xml:space="preserve"> </w:t>
      </w:r>
      <w:proofErr w:type="spellStart"/>
      <w:r>
        <w:rPr>
          <w:rFonts w:ascii="Calibri" w:hAnsi="Calibri" w:cs="Calibri"/>
          <w:lang w:val="el-GR"/>
        </w:rPr>
        <w:t>παραβάσει</w:t>
      </w:r>
      <w:proofErr w:type="spellEnd"/>
      <w:r w:rsidRPr="00DA742A">
        <w:rPr>
          <w:rFonts w:ascii="Calibri" w:hAnsi="Calibri" w:cs="Calibri"/>
          <w:lang w:val="el-GR"/>
        </w:rPr>
        <w:t xml:space="preserve"> </w:t>
      </w:r>
      <w:r>
        <w:rPr>
          <w:rFonts w:ascii="Calibri" w:hAnsi="Calibri" w:cs="Calibri"/>
          <w:lang w:val="el-GR"/>
        </w:rPr>
        <w:t>είναι</w:t>
      </w:r>
      <w:r w:rsidRPr="00DA742A">
        <w:rPr>
          <w:rFonts w:ascii="Calibri" w:hAnsi="Calibri" w:cs="Calibri"/>
          <w:lang w:val="el-GR"/>
        </w:rPr>
        <w:t xml:space="preserve"> </w:t>
      </w:r>
      <w:r>
        <w:rPr>
          <w:rFonts w:ascii="Calibri" w:hAnsi="Calibri" w:cs="Calibri"/>
          <w:lang w:val="el-GR"/>
        </w:rPr>
        <w:t>χωρίς</w:t>
      </w:r>
      <w:r w:rsidRPr="00DA742A">
        <w:rPr>
          <w:rFonts w:ascii="Calibri" w:hAnsi="Calibri" w:cs="Calibri"/>
          <w:lang w:val="el-GR"/>
        </w:rPr>
        <w:t xml:space="preserve"> </w:t>
      </w:r>
      <w:r w:rsidR="006B2283">
        <w:rPr>
          <w:rFonts w:ascii="Calibri" w:hAnsi="Calibri" w:cs="Calibri"/>
          <w:lang w:val="el-GR"/>
        </w:rPr>
        <w:t xml:space="preserve">κανένα αντικείμενο </w:t>
      </w:r>
      <w:r>
        <w:rPr>
          <w:rFonts w:ascii="Calibri" w:hAnsi="Calibri" w:cs="Calibri"/>
          <w:lang w:val="el-GR"/>
        </w:rPr>
        <w:t>επειδή</w:t>
      </w:r>
      <w:r w:rsidRPr="00DA742A">
        <w:rPr>
          <w:rFonts w:ascii="Calibri" w:hAnsi="Calibri" w:cs="Calibri"/>
          <w:lang w:val="el-GR"/>
        </w:rPr>
        <w:t xml:space="preserve">, </w:t>
      </w:r>
      <w:r>
        <w:rPr>
          <w:rFonts w:ascii="Calibri" w:hAnsi="Calibri" w:cs="Calibri"/>
          <w:lang w:val="el-GR"/>
        </w:rPr>
        <w:t>κατά</w:t>
      </w:r>
      <w:r w:rsidRPr="00DA742A">
        <w:rPr>
          <w:rFonts w:ascii="Calibri" w:hAnsi="Calibri" w:cs="Calibri"/>
          <w:lang w:val="el-GR"/>
        </w:rPr>
        <w:t xml:space="preserve"> </w:t>
      </w:r>
      <w:r>
        <w:rPr>
          <w:rFonts w:ascii="Calibri" w:hAnsi="Calibri" w:cs="Calibri"/>
          <w:lang w:val="el-GR"/>
        </w:rPr>
        <w:t>την</w:t>
      </w:r>
      <w:r w:rsidRPr="00DA742A">
        <w:rPr>
          <w:rFonts w:ascii="Calibri" w:hAnsi="Calibri" w:cs="Calibri"/>
          <w:lang w:val="el-GR"/>
        </w:rPr>
        <w:t xml:space="preserve"> </w:t>
      </w:r>
      <w:r>
        <w:rPr>
          <w:rFonts w:ascii="Calibri" w:hAnsi="Calibri" w:cs="Calibri"/>
          <w:lang w:val="el-GR"/>
        </w:rPr>
        <w:t>άποψη τους</w:t>
      </w:r>
      <w:r w:rsidRPr="00DA742A">
        <w:rPr>
          <w:rFonts w:ascii="Calibri" w:hAnsi="Calibri" w:cs="Calibri"/>
          <w:lang w:val="el-GR"/>
        </w:rPr>
        <w:t xml:space="preserve">, </w:t>
      </w:r>
      <w:r>
        <w:rPr>
          <w:rFonts w:ascii="Calibri" w:hAnsi="Calibri" w:cs="Calibri"/>
          <w:lang w:val="el-GR"/>
        </w:rPr>
        <w:t xml:space="preserve">το </w:t>
      </w:r>
      <w:r w:rsidRPr="00B95983">
        <w:rPr>
          <w:rFonts w:ascii="Calibri" w:hAnsi="Calibri" w:cs="Calibri"/>
        </w:rPr>
        <w:t>CIP</w:t>
      </w:r>
      <w:r w:rsidRPr="00DA742A">
        <w:rPr>
          <w:rFonts w:ascii="Calibri" w:hAnsi="Calibri" w:cs="Calibri"/>
          <w:lang w:val="el-GR"/>
        </w:rPr>
        <w:t xml:space="preserve"> </w:t>
      </w:r>
      <w:r>
        <w:rPr>
          <w:rFonts w:ascii="Calibri" w:hAnsi="Calibri" w:cs="Calibri"/>
          <w:lang w:val="el-GR"/>
        </w:rPr>
        <w:t>συμμορφώνεται με το Άρθρο</w:t>
      </w:r>
      <w:r w:rsidRPr="00DA742A">
        <w:rPr>
          <w:rFonts w:ascii="Calibri" w:hAnsi="Calibri" w:cs="Calibri"/>
          <w:lang w:val="el-GR"/>
        </w:rPr>
        <w:t xml:space="preserve"> 4, </w:t>
      </w:r>
      <w:r>
        <w:rPr>
          <w:rFonts w:ascii="Calibri" w:hAnsi="Calibri" w:cs="Calibri"/>
          <w:lang w:val="el-GR"/>
        </w:rPr>
        <w:t>παράγραφος</w:t>
      </w:r>
      <w:r w:rsidRPr="00DA742A">
        <w:rPr>
          <w:rFonts w:ascii="Calibri" w:hAnsi="Calibri" w:cs="Calibri"/>
          <w:lang w:val="el-GR"/>
        </w:rPr>
        <w:t xml:space="preserve"> (3) </w:t>
      </w:r>
      <w:r>
        <w:rPr>
          <w:rFonts w:ascii="Calibri" w:hAnsi="Calibri" w:cs="Calibri"/>
          <w:lang w:val="el-GR"/>
        </w:rPr>
        <w:t>της Συνθήκης της Ευρωπαϊκής Ένωσης</w:t>
      </w:r>
      <w:r w:rsidRPr="00DA742A">
        <w:rPr>
          <w:rFonts w:asciiTheme="minorHAnsi" w:hAnsiTheme="minorHAnsi" w:cstheme="minorHAnsi"/>
          <w:lang w:val="el-GR"/>
        </w:rPr>
        <w:t xml:space="preserve"> (</w:t>
      </w:r>
      <w:r w:rsidRPr="00B95983">
        <w:rPr>
          <w:rFonts w:asciiTheme="minorHAnsi" w:hAnsiTheme="minorHAnsi" w:cstheme="minorHAnsi"/>
        </w:rPr>
        <w:t>TEU</w:t>
      </w:r>
      <w:r w:rsidRPr="00DA742A">
        <w:rPr>
          <w:rFonts w:asciiTheme="minorHAnsi" w:hAnsiTheme="minorHAnsi" w:cstheme="minorHAnsi"/>
          <w:lang w:val="el-GR"/>
        </w:rPr>
        <w:t xml:space="preserve">) </w:t>
      </w:r>
      <w:r>
        <w:rPr>
          <w:rFonts w:asciiTheme="minorHAnsi" w:hAnsiTheme="minorHAnsi" w:cstheme="minorHAnsi"/>
          <w:lang w:val="el-GR"/>
        </w:rPr>
        <w:t>και το Άρθρο</w:t>
      </w:r>
      <w:r w:rsidRPr="00DA742A">
        <w:rPr>
          <w:rFonts w:asciiTheme="minorHAnsi" w:hAnsiTheme="minorHAnsi" w:cstheme="minorHAnsi"/>
          <w:lang w:val="el-GR"/>
        </w:rPr>
        <w:t xml:space="preserve"> 20 </w:t>
      </w:r>
      <w:r>
        <w:rPr>
          <w:rFonts w:asciiTheme="minorHAnsi" w:hAnsiTheme="minorHAnsi" w:cstheme="minorHAnsi"/>
          <w:lang w:val="el-GR"/>
        </w:rPr>
        <w:t>της Συνθήκης για την Λειτουργία της Ευρωπαϊκής Ένωσης</w:t>
      </w:r>
      <w:r w:rsidRPr="00DA742A">
        <w:rPr>
          <w:rFonts w:asciiTheme="minorHAnsi" w:hAnsiTheme="minorHAnsi" w:cstheme="minorHAnsi"/>
          <w:lang w:val="el-GR"/>
        </w:rPr>
        <w:t xml:space="preserve"> (</w:t>
      </w:r>
      <w:r w:rsidRPr="00B95983">
        <w:rPr>
          <w:rFonts w:asciiTheme="minorHAnsi" w:hAnsiTheme="minorHAnsi" w:cstheme="minorHAnsi"/>
        </w:rPr>
        <w:t>TFEU</w:t>
      </w:r>
      <w:r w:rsidRPr="00DA742A">
        <w:rPr>
          <w:rFonts w:asciiTheme="minorHAnsi" w:hAnsiTheme="minorHAnsi" w:cstheme="minorHAnsi"/>
          <w:lang w:val="el-GR"/>
        </w:rPr>
        <w:t xml:space="preserve">).  </w:t>
      </w:r>
      <w:r>
        <w:rPr>
          <w:rFonts w:asciiTheme="minorHAnsi" w:hAnsiTheme="minorHAnsi" w:cstheme="minorHAnsi"/>
          <w:lang w:val="el-GR"/>
        </w:rPr>
        <w:t>Οι</w:t>
      </w:r>
      <w:r w:rsidRPr="00A34524">
        <w:rPr>
          <w:rFonts w:asciiTheme="minorHAnsi" w:hAnsiTheme="minorHAnsi" w:cstheme="minorHAnsi"/>
          <w:lang w:val="el-GR"/>
        </w:rPr>
        <w:t xml:space="preserve"> </w:t>
      </w:r>
      <w:r>
        <w:rPr>
          <w:rFonts w:asciiTheme="minorHAnsi" w:hAnsiTheme="minorHAnsi" w:cstheme="minorHAnsi"/>
          <w:lang w:val="el-GR"/>
        </w:rPr>
        <w:t>αρχές</w:t>
      </w:r>
      <w:r w:rsidRPr="00A34524">
        <w:rPr>
          <w:rFonts w:asciiTheme="minorHAnsi" w:hAnsiTheme="minorHAnsi" w:cstheme="minorHAnsi"/>
          <w:lang w:val="el-GR"/>
        </w:rPr>
        <w:t xml:space="preserve"> </w:t>
      </w:r>
      <w:r>
        <w:rPr>
          <w:rFonts w:asciiTheme="minorHAnsi" w:hAnsiTheme="minorHAnsi" w:cstheme="minorHAnsi"/>
          <w:lang w:val="el-GR"/>
        </w:rPr>
        <w:t>τονίζουν</w:t>
      </w:r>
      <w:r w:rsidRPr="00A34524">
        <w:rPr>
          <w:rFonts w:asciiTheme="minorHAnsi" w:hAnsiTheme="minorHAnsi" w:cstheme="minorHAnsi"/>
          <w:lang w:val="el-GR"/>
        </w:rPr>
        <w:t xml:space="preserve"> </w:t>
      </w:r>
      <w:r>
        <w:rPr>
          <w:rFonts w:asciiTheme="minorHAnsi" w:hAnsiTheme="minorHAnsi" w:cstheme="minorHAnsi"/>
          <w:lang w:val="el-GR"/>
        </w:rPr>
        <w:t>περαιτέρω</w:t>
      </w:r>
      <w:r w:rsidRPr="00A34524">
        <w:rPr>
          <w:rFonts w:asciiTheme="minorHAnsi" w:hAnsiTheme="minorHAnsi" w:cstheme="minorHAnsi"/>
          <w:lang w:val="el-GR"/>
        </w:rPr>
        <w:t xml:space="preserve">, </w:t>
      </w:r>
      <w:r>
        <w:rPr>
          <w:rFonts w:asciiTheme="minorHAnsi" w:hAnsiTheme="minorHAnsi" w:cstheme="minorHAnsi"/>
          <w:lang w:val="el-GR"/>
        </w:rPr>
        <w:t>ότι</w:t>
      </w:r>
      <w:r w:rsidRPr="00A34524">
        <w:rPr>
          <w:rFonts w:asciiTheme="minorHAnsi" w:hAnsiTheme="minorHAnsi" w:cstheme="minorHAnsi"/>
          <w:lang w:val="el-GR"/>
        </w:rPr>
        <w:t xml:space="preserve">, </w:t>
      </w:r>
      <w:r>
        <w:rPr>
          <w:rFonts w:asciiTheme="minorHAnsi" w:hAnsiTheme="minorHAnsi" w:cstheme="minorHAnsi"/>
          <w:lang w:val="el-GR"/>
        </w:rPr>
        <w:t>στις</w:t>
      </w:r>
      <w:r w:rsidRPr="00A34524">
        <w:rPr>
          <w:rFonts w:asciiTheme="minorHAnsi" w:hAnsiTheme="minorHAnsi" w:cstheme="minorHAnsi"/>
          <w:lang w:val="el-GR"/>
        </w:rPr>
        <w:t xml:space="preserve"> 13 </w:t>
      </w:r>
      <w:r>
        <w:rPr>
          <w:rFonts w:asciiTheme="minorHAnsi" w:hAnsiTheme="minorHAnsi" w:cstheme="minorHAnsi"/>
          <w:lang w:val="el-GR"/>
        </w:rPr>
        <w:t>Οκτωβρίου</w:t>
      </w:r>
      <w:r w:rsidRPr="00A34524">
        <w:rPr>
          <w:rFonts w:asciiTheme="minorHAnsi" w:hAnsiTheme="minorHAnsi" w:cstheme="minorHAnsi"/>
          <w:lang w:val="el-GR"/>
        </w:rPr>
        <w:t xml:space="preserve"> 2020, </w:t>
      </w:r>
      <w:r>
        <w:rPr>
          <w:rFonts w:asciiTheme="minorHAnsi" w:hAnsiTheme="minorHAnsi" w:cstheme="minorHAnsi"/>
          <w:lang w:val="el-GR"/>
        </w:rPr>
        <w:t>το</w:t>
      </w:r>
      <w:r w:rsidRPr="00A34524">
        <w:rPr>
          <w:rFonts w:asciiTheme="minorHAnsi" w:hAnsiTheme="minorHAnsi" w:cstheme="minorHAnsi"/>
          <w:lang w:val="el-GR"/>
        </w:rPr>
        <w:t xml:space="preserve"> </w:t>
      </w:r>
      <w:r>
        <w:rPr>
          <w:rFonts w:asciiTheme="minorHAnsi" w:hAnsiTheme="minorHAnsi" w:cstheme="minorHAnsi"/>
          <w:lang w:val="el-GR"/>
        </w:rPr>
        <w:t>Υπουργικό</w:t>
      </w:r>
      <w:r w:rsidRPr="00A34524">
        <w:rPr>
          <w:rFonts w:asciiTheme="minorHAnsi" w:hAnsiTheme="minorHAnsi" w:cstheme="minorHAnsi"/>
          <w:lang w:val="el-GR"/>
        </w:rPr>
        <w:t xml:space="preserve"> </w:t>
      </w:r>
      <w:r>
        <w:rPr>
          <w:rFonts w:asciiTheme="minorHAnsi" w:hAnsiTheme="minorHAnsi" w:cstheme="minorHAnsi"/>
          <w:lang w:val="el-GR"/>
        </w:rPr>
        <w:t>Συμβούλιο</w:t>
      </w:r>
      <w:r w:rsidRPr="00A34524">
        <w:rPr>
          <w:rFonts w:asciiTheme="minorHAnsi" w:hAnsiTheme="minorHAnsi" w:cstheme="minorHAnsi"/>
          <w:lang w:val="el-GR"/>
        </w:rPr>
        <w:t xml:space="preserve"> </w:t>
      </w:r>
      <w:r>
        <w:rPr>
          <w:rFonts w:asciiTheme="minorHAnsi" w:hAnsiTheme="minorHAnsi" w:cstheme="minorHAnsi"/>
          <w:lang w:val="el-GR"/>
        </w:rPr>
        <w:t>τη</w:t>
      </w:r>
      <w:r w:rsidRPr="00A34524">
        <w:rPr>
          <w:rFonts w:asciiTheme="minorHAnsi" w:hAnsiTheme="minorHAnsi" w:cstheme="minorHAnsi"/>
          <w:lang w:val="el-GR"/>
        </w:rPr>
        <w:t xml:space="preserve">ς </w:t>
      </w:r>
      <w:r>
        <w:rPr>
          <w:rFonts w:asciiTheme="minorHAnsi" w:hAnsiTheme="minorHAnsi" w:cstheme="minorHAnsi"/>
          <w:lang w:val="el-GR"/>
        </w:rPr>
        <w:t>Κύπρου</w:t>
      </w:r>
      <w:r w:rsidRPr="00A34524">
        <w:rPr>
          <w:rFonts w:asciiTheme="minorHAnsi" w:hAnsiTheme="minorHAnsi" w:cstheme="minorHAnsi"/>
          <w:lang w:val="el-GR"/>
        </w:rPr>
        <w:t xml:space="preserve"> </w:t>
      </w:r>
      <w:r>
        <w:rPr>
          <w:rFonts w:asciiTheme="minorHAnsi" w:hAnsiTheme="minorHAnsi" w:cstheme="minorHAnsi"/>
          <w:lang w:val="el-GR"/>
        </w:rPr>
        <w:t>μονομερώς</w:t>
      </w:r>
      <w:r w:rsidRPr="00A34524">
        <w:rPr>
          <w:rFonts w:asciiTheme="minorHAnsi" w:hAnsiTheme="minorHAnsi" w:cstheme="minorHAnsi"/>
          <w:lang w:val="el-GR"/>
        </w:rPr>
        <w:t xml:space="preserve"> </w:t>
      </w:r>
      <w:r>
        <w:rPr>
          <w:rFonts w:asciiTheme="minorHAnsi" w:hAnsiTheme="minorHAnsi" w:cstheme="minorHAnsi"/>
          <w:lang w:val="el-GR"/>
        </w:rPr>
        <w:t>και</w:t>
      </w:r>
      <w:r w:rsidRPr="00A34524">
        <w:rPr>
          <w:rFonts w:asciiTheme="minorHAnsi" w:hAnsiTheme="minorHAnsi" w:cstheme="minorHAnsi"/>
          <w:lang w:val="el-GR"/>
        </w:rPr>
        <w:t xml:space="preserve"> </w:t>
      </w:r>
      <w:r>
        <w:rPr>
          <w:rFonts w:asciiTheme="minorHAnsi" w:hAnsiTheme="minorHAnsi" w:cstheme="minorHAnsi"/>
          <w:lang w:val="el-GR"/>
        </w:rPr>
        <w:t>με</w:t>
      </w:r>
      <w:r w:rsidRPr="00A34524">
        <w:rPr>
          <w:rFonts w:asciiTheme="minorHAnsi" w:hAnsiTheme="minorHAnsi" w:cstheme="minorHAnsi"/>
          <w:lang w:val="el-GR"/>
        </w:rPr>
        <w:t xml:space="preserve"> </w:t>
      </w:r>
      <w:r>
        <w:rPr>
          <w:rFonts w:asciiTheme="minorHAnsi" w:hAnsiTheme="minorHAnsi" w:cstheme="minorHAnsi"/>
          <w:lang w:val="el-GR"/>
        </w:rPr>
        <w:t>την</w:t>
      </w:r>
      <w:r w:rsidRPr="00A34524">
        <w:rPr>
          <w:rFonts w:asciiTheme="minorHAnsi" w:hAnsiTheme="minorHAnsi" w:cstheme="minorHAnsi"/>
          <w:lang w:val="el-GR"/>
        </w:rPr>
        <w:t xml:space="preserve"> </w:t>
      </w:r>
      <w:r>
        <w:rPr>
          <w:rFonts w:asciiTheme="minorHAnsi" w:hAnsiTheme="minorHAnsi" w:cstheme="minorHAnsi"/>
          <w:lang w:val="el-GR"/>
        </w:rPr>
        <w:t>δική</w:t>
      </w:r>
      <w:r w:rsidRPr="00A34524">
        <w:rPr>
          <w:rFonts w:asciiTheme="minorHAnsi" w:hAnsiTheme="minorHAnsi" w:cstheme="minorHAnsi"/>
          <w:lang w:val="el-GR"/>
        </w:rPr>
        <w:t xml:space="preserve"> </w:t>
      </w:r>
      <w:r>
        <w:rPr>
          <w:rFonts w:asciiTheme="minorHAnsi" w:hAnsiTheme="minorHAnsi" w:cstheme="minorHAnsi"/>
          <w:lang w:val="el-GR"/>
        </w:rPr>
        <w:t>του</w:t>
      </w:r>
      <w:r w:rsidRPr="00A34524">
        <w:rPr>
          <w:rFonts w:asciiTheme="minorHAnsi" w:hAnsiTheme="minorHAnsi" w:cstheme="minorHAnsi"/>
          <w:lang w:val="el-GR"/>
        </w:rPr>
        <w:t xml:space="preserve"> </w:t>
      </w:r>
      <w:r w:rsidR="006B2283">
        <w:rPr>
          <w:rFonts w:asciiTheme="minorHAnsi" w:hAnsiTheme="minorHAnsi" w:cstheme="minorHAnsi"/>
          <w:lang w:val="el-GR"/>
        </w:rPr>
        <w:t xml:space="preserve">απόφαση </w:t>
      </w:r>
      <w:r>
        <w:rPr>
          <w:rFonts w:asciiTheme="minorHAnsi" w:hAnsiTheme="minorHAnsi" w:cstheme="minorHAnsi"/>
          <w:lang w:val="el-GR"/>
        </w:rPr>
        <w:t>αποφάσισε</w:t>
      </w:r>
      <w:r w:rsidRPr="00A34524">
        <w:rPr>
          <w:rFonts w:asciiTheme="minorHAnsi" w:hAnsiTheme="minorHAnsi" w:cstheme="minorHAnsi"/>
          <w:lang w:val="el-GR"/>
        </w:rPr>
        <w:t xml:space="preserve"> </w:t>
      </w:r>
      <w:r>
        <w:rPr>
          <w:rFonts w:asciiTheme="minorHAnsi" w:hAnsiTheme="minorHAnsi" w:cstheme="minorHAnsi"/>
          <w:lang w:val="el-GR"/>
        </w:rPr>
        <w:t>τη σταδιακή κατάργηση του</w:t>
      </w:r>
      <w:r w:rsidRPr="00A34524">
        <w:rPr>
          <w:rFonts w:asciiTheme="minorHAnsi" w:hAnsiTheme="minorHAnsi" w:cstheme="minorHAnsi"/>
          <w:lang w:val="el-GR"/>
        </w:rPr>
        <w:t xml:space="preserve"> </w:t>
      </w:r>
      <w:r w:rsidRPr="00B95983">
        <w:rPr>
          <w:rFonts w:asciiTheme="minorHAnsi" w:hAnsiTheme="minorHAnsi" w:cstheme="minorHAnsi"/>
        </w:rPr>
        <w:t>CIP</w:t>
      </w:r>
      <w:r w:rsidRPr="00A34524">
        <w:rPr>
          <w:rFonts w:asciiTheme="minorHAnsi" w:hAnsiTheme="minorHAnsi" w:cstheme="minorHAnsi"/>
          <w:lang w:val="el-GR"/>
        </w:rPr>
        <w:t xml:space="preserve"> </w:t>
      </w:r>
      <w:r>
        <w:rPr>
          <w:rFonts w:asciiTheme="minorHAnsi" w:hAnsiTheme="minorHAnsi" w:cstheme="minorHAnsi"/>
          <w:lang w:val="el-GR"/>
        </w:rPr>
        <w:t xml:space="preserve">από την </w:t>
      </w:r>
      <w:r w:rsidRPr="00A34524">
        <w:rPr>
          <w:rFonts w:asciiTheme="minorHAnsi" w:hAnsiTheme="minorHAnsi" w:cstheme="minorHAnsi"/>
          <w:lang w:val="el-GR"/>
        </w:rPr>
        <w:t>1</w:t>
      </w:r>
      <w:r w:rsidRPr="00A34524">
        <w:rPr>
          <w:rFonts w:asciiTheme="minorHAnsi" w:hAnsiTheme="minorHAnsi" w:cstheme="minorHAnsi"/>
          <w:vertAlign w:val="superscript"/>
          <w:lang w:val="el-GR"/>
        </w:rPr>
        <w:t>η</w:t>
      </w:r>
      <w:r>
        <w:rPr>
          <w:rFonts w:asciiTheme="minorHAnsi" w:hAnsiTheme="minorHAnsi" w:cstheme="minorHAnsi"/>
          <w:lang w:val="el-GR"/>
        </w:rPr>
        <w:t xml:space="preserve"> </w:t>
      </w:r>
      <w:r w:rsidRPr="00B95983">
        <w:rPr>
          <w:rFonts w:asciiTheme="minorHAnsi" w:hAnsiTheme="minorHAnsi" w:cstheme="minorHAnsi"/>
        </w:rPr>
        <w:t>N</w:t>
      </w:r>
      <w:proofErr w:type="spellStart"/>
      <w:r>
        <w:rPr>
          <w:rFonts w:asciiTheme="minorHAnsi" w:hAnsiTheme="minorHAnsi" w:cstheme="minorHAnsi"/>
          <w:lang w:val="el-GR"/>
        </w:rPr>
        <w:t>οεμβρίου</w:t>
      </w:r>
      <w:proofErr w:type="spellEnd"/>
      <w:r w:rsidRPr="00A34524">
        <w:rPr>
          <w:rFonts w:asciiTheme="minorHAnsi" w:hAnsiTheme="minorHAnsi" w:cstheme="minorHAnsi"/>
          <w:lang w:val="el-GR"/>
        </w:rPr>
        <w:t xml:space="preserve"> 2020, </w:t>
      </w:r>
      <w:r>
        <w:rPr>
          <w:rFonts w:asciiTheme="minorHAnsi" w:hAnsiTheme="minorHAnsi" w:cstheme="minorHAnsi"/>
          <w:lang w:val="el-GR"/>
        </w:rPr>
        <w:t>και σε κάθε περίπτωση</w:t>
      </w:r>
      <w:r w:rsidRPr="00A34524">
        <w:rPr>
          <w:rFonts w:asciiTheme="minorHAnsi" w:hAnsiTheme="minorHAnsi" w:cstheme="minorHAnsi"/>
          <w:lang w:val="el-GR"/>
        </w:rPr>
        <w:t xml:space="preserve">, </w:t>
      </w:r>
      <w:r>
        <w:rPr>
          <w:rFonts w:asciiTheme="minorHAnsi" w:hAnsiTheme="minorHAnsi" w:cstheme="minorHAnsi"/>
          <w:lang w:val="el-GR"/>
        </w:rPr>
        <w:t>οι υπόλοιπες εκκρεμείς αιτήσεις</w:t>
      </w:r>
      <w:r w:rsidRPr="00A34524">
        <w:rPr>
          <w:rFonts w:asciiTheme="minorHAnsi" w:hAnsiTheme="minorHAnsi" w:cstheme="minorHAnsi"/>
          <w:lang w:val="el-GR"/>
        </w:rPr>
        <w:t xml:space="preserve"> </w:t>
      </w:r>
      <w:r>
        <w:rPr>
          <w:rFonts w:asciiTheme="minorHAnsi" w:hAnsiTheme="minorHAnsi" w:cstheme="minorHAnsi"/>
          <w:lang w:val="el-GR"/>
        </w:rPr>
        <w:t>είχαν διεκπεραιωθεί πλήρως</w:t>
      </w:r>
      <w:r w:rsidRPr="00A34524">
        <w:rPr>
          <w:rFonts w:asciiTheme="minorHAnsi" w:hAnsiTheme="minorHAnsi" w:cstheme="minorHAnsi"/>
          <w:lang w:val="el-GR"/>
        </w:rPr>
        <w:t xml:space="preserve"> </w:t>
      </w:r>
      <w:r>
        <w:rPr>
          <w:rFonts w:asciiTheme="minorHAnsi" w:hAnsiTheme="minorHAnsi" w:cstheme="minorHAnsi"/>
          <w:lang w:val="el-GR"/>
        </w:rPr>
        <w:t>μέχρι</w:t>
      </w:r>
      <w:r w:rsidRPr="00A34524">
        <w:rPr>
          <w:rFonts w:asciiTheme="minorHAnsi" w:hAnsiTheme="minorHAnsi" w:cstheme="minorHAnsi"/>
          <w:lang w:val="el-GR"/>
        </w:rPr>
        <w:t xml:space="preserve"> </w:t>
      </w:r>
      <w:r>
        <w:rPr>
          <w:rFonts w:asciiTheme="minorHAnsi" w:hAnsiTheme="minorHAnsi" w:cstheme="minorHAnsi"/>
          <w:lang w:val="el-GR"/>
        </w:rPr>
        <w:t xml:space="preserve">τις </w:t>
      </w:r>
      <w:r w:rsidRPr="00A34524">
        <w:rPr>
          <w:rFonts w:asciiTheme="minorHAnsi" w:hAnsiTheme="minorHAnsi" w:cstheme="minorHAnsi"/>
          <w:lang w:val="el-GR"/>
        </w:rPr>
        <w:t xml:space="preserve">30 </w:t>
      </w:r>
      <w:r>
        <w:rPr>
          <w:rFonts w:asciiTheme="minorHAnsi" w:hAnsiTheme="minorHAnsi" w:cstheme="minorHAnsi"/>
          <w:lang w:val="el-GR"/>
        </w:rPr>
        <w:t>Ιουλίου</w:t>
      </w:r>
      <w:r w:rsidRPr="00A34524">
        <w:rPr>
          <w:rFonts w:asciiTheme="minorHAnsi" w:hAnsiTheme="minorHAnsi" w:cstheme="minorHAnsi"/>
          <w:lang w:val="el-GR"/>
        </w:rPr>
        <w:t xml:space="preserve"> 2021.</w:t>
      </w:r>
      <w:r w:rsidRPr="00A34524">
        <w:rPr>
          <w:lang w:val="el-GR"/>
        </w:rPr>
        <w:t xml:space="preserve">   </w:t>
      </w:r>
    </w:p>
  </w:footnote>
  <w:footnote w:id="9">
    <w:p w14:paraId="7A634E21" w14:textId="64BC85A5" w:rsidR="00071F64" w:rsidRPr="00865C18" w:rsidRDefault="00071F64" w:rsidP="00A5147D">
      <w:pPr>
        <w:pStyle w:val="FootnoteText"/>
        <w:rPr>
          <w:rFonts w:asciiTheme="minorHAnsi" w:hAnsiTheme="minorHAnsi" w:cstheme="minorHAnsi"/>
          <w:lang w:val="fr-FR"/>
        </w:rPr>
      </w:pPr>
      <w:r w:rsidRPr="00B47EA7">
        <w:rPr>
          <w:rStyle w:val="FootnoteReference"/>
          <w:rFonts w:asciiTheme="minorHAnsi" w:hAnsiTheme="minorHAnsi" w:cstheme="minorHAnsi"/>
        </w:rPr>
        <w:footnoteRef/>
      </w:r>
      <w:r>
        <w:rPr>
          <w:rFonts w:asciiTheme="minorHAnsi" w:hAnsiTheme="minorHAnsi" w:cstheme="minorHAnsi"/>
          <w:lang w:val="fr-FR"/>
        </w:rPr>
        <w:t xml:space="preserve"> </w:t>
      </w:r>
      <w:r>
        <w:rPr>
          <w:rFonts w:asciiTheme="minorHAnsi" w:hAnsiTheme="minorHAnsi" w:cstheme="minorHAnsi"/>
          <w:lang w:val="el-GR"/>
        </w:rPr>
        <w:t>Άρθρα</w:t>
      </w:r>
      <w:r w:rsidRPr="00865C18">
        <w:rPr>
          <w:rFonts w:asciiTheme="minorHAnsi" w:hAnsiTheme="minorHAnsi" w:cstheme="minorHAnsi"/>
          <w:lang w:val="fr-FR"/>
        </w:rPr>
        <w:t xml:space="preserve"> 46-49 </w:t>
      </w:r>
      <w:r>
        <w:rPr>
          <w:rFonts w:asciiTheme="minorHAnsi" w:hAnsiTheme="minorHAnsi" w:cstheme="minorHAnsi"/>
          <w:lang w:val="el-GR"/>
        </w:rPr>
        <w:t>και</w:t>
      </w:r>
      <w:r w:rsidRPr="00865C18">
        <w:rPr>
          <w:rFonts w:asciiTheme="minorHAnsi" w:hAnsiTheme="minorHAnsi" w:cstheme="minorHAnsi"/>
          <w:lang w:val="fr-FR"/>
        </w:rPr>
        <w:t xml:space="preserve"> 55, </w:t>
      </w:r>
      <w:r>
        <w:rPr>
          <w:rFonts w:asciiTheme="minorHAnsi" w:hAnsiTheme="minorHAnsi" w:cstheme="minorHAnsi"/>
          <w:lang w:val="el-GR"/>
        </w:rPr>
        <w:t>Σύνταγμα</w:t>
      </w:r>
      <w:r w:rsidRPr="00865C18">
        <w:rPr>
          <w:rFonts w:asciiTheme="minorHAnsi" w:hAnsiTheme="minorHAnsi" w:cstheme="minorHAnsi"/>
          <w:lang w:val="fr-FR"/>
        </w:rPr>
        <w:t>.</w:t>
      </w:r>
    </w:p>
  </w:footnote>
  <w:footnote w:id="10">
    <w:p w14:paraId="4EB94DBC" w14:textId="711D9F67" w:rsidR="00071F64" w:rsidRPr="00220066" w:rsidRDefault="00071F64" w:rsidP="00A5147D">
      <w:pPr>
        <w:pStyle w:val="FootnoteText"/>
        <w:rPr>
          <w:rFonts w:asciiTheme="minorHAnsi" w:hAnsiTheme="minorHAnsi" w:cstheme="minorHAnsi"/>
          <w:lang w:val="fr-FR"/>
        </w:rPr>
      </w:pPr>
      <w:r w:rsidRPr="00B47EA7">
        <w:rPr>
          <w:rStyle w:val="FootnoteReference"/>
          <w:rFonts w:asciiTheme="minorHAnsi" w:hAnsiTheme="minorHAnsi" w:cstheme="minorHAnsi"/>
        </w:rPr>
        <w:footnoteRef/>
      </w:r>
      <w:r w:rsidRPr="00220066">
        <w:rPr>
          <w:rFonts w:asciiTheme="minorHAnsi" w:hAnsiTheme="minorHAnsi" w:cstheme="minorHAnsi"/>
          <w:lang w:val="fr-FR"/>
        </w:rPr>
        <w:t xml:space="preserve"> </w:t>
      </w:r>
      <w:bookmarkStart w:id="25" w:name="_Hlk124841289"/>
      <w:r>
        <w:rPr>
          <w:rFonts w:asciiTheme="minorHAnsi" w:hAnsiTheme="minorHAnsi" w:cstheme="minorHAnsi"/>
          <w:lang w:val="el-GR"/>
        </w:rPr>
        <w:t>Άρθρο</w:t>
      </w:r>
      <w:r w:rsidRPr="00220066">
        <w:rPr>
          <w:rFonts w:asciiTheme="minorHAnsi" w:hAnsiTheme="minorHAnsi" w:cstheme="minorHAnsi"/>
          <w:lang w:val="fr-FR"/>
        </w:rPr>
        <w:t xml:space="preserve"> 61, </w:t>
      </w:r>
      <w:r>
        <w:rPr>
          <w:rFonts w:asciiTheme="minorHAnsi" w:hAnsiTheme="minorHAnsi" w:cstheme="minorHAnsi"/>
          <w:lang w:val="el-GR"/>
        </w:rPr>
        <w:t>Σύνταγμα</w:t>
      </w:r>
      <w:bookmarkEnd w:id="25"/>
      <w:r w:rsidRPr="00220066">
        <w:rPr>
          <w:rFonts w:asciiTheme="minorHAnsi" w:hAnsiTheme="minorHAnsi" w:cstheme="minorHAnsi"/>
          <w:lang w:val="fr-FR"/>
        </w:rPr>
        <w:t>.</w:t>
      </w:r>
    </w:p>
  </w:footnote>
  <w:footnote w:id="11">
    <w:p w14:paraId="2186E421" w14:textId="236BB94E" w:rsidR="00071F64" w:rsidRPr="00856187" w:rsidRDefault="00071F64" w:rsidP="00A5147D">
      <w:pPr>
        <w:pStyle w:val="Heading2"/>
        <w:shd w:val="clear" w:color="auto" w:fill="FFFFFF"/>
        <w:spacing w:before="0"/>
        <w:rPr>
          <w:rFonts w:asciiTheme="minorHAnsi" w:hAnsiTheme="minorHAnsi" w:cstheme="minorHAnsi"/>
          <w:b w:val="0"/>
          <w:bCs w:val="0"/>
          <w:color w:val="auto"/>
          <w:sz w:val="20"/>
          <w:szCs w:val="20"/>
          <w:lang w:val="fr-FR"/>
        </w:rPr>
      </w:pPr>
      <w:r w:rsidRPr="00B47EA7">
        <w:rPr>
          <w:rStyle w:val="FootnoteReference"/>
          <w:rFonts w:asciiTheme="minorHAnsi" w:hAnsiTheme="minorHAnsi" w:cstheme="minorHAnsi"/>
          <w:b w:val="0"/>
          <w:bCs w:val="0"/>
          <w:color w:val="auto"/>
          <w:sz w:val="20"/>
          <w:szCs w:val="20"/>
        </w:rPr>
        <w:footnoteRef/>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Βλέπε</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πώς</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αυτό</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επηρεάζει</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την</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δικαστική</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εξουσία</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ειδικότερα</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το</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Ανώτατο</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Δικαστήριο</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κατά</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την</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Άποψη</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της</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Κομισιόν</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της</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Βενετίας</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πάνω σε Τρία Νομοσχέδια</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που μεταρρυθμίζουν την Δικαστική Εξουσία</w:t>
      </w:r>
      <w:r w:rsidRPr="00856187">
        <w:rPr>
          <w:rFonts w:asciiTheme="minorHAnsi" w:hAnsiTheme="minorHAnsi" w:cstheme="minorHAnsi"/>
          <w:b w:val="0"/>
          <w:bCs w:val="0"/>
          <w:color w:val="auto"/>
          <w:sz w:val="20"/>
          <w:szCs w:val="20"/>
          <w:lang w:val="fr-FR"/>
        </w:rPr>
        <w:t xml:space="preserve"> (CDL-AD(2021)043), </w:t>
      </w:r>
      <w:r w:rsidRPr="00973266">
        <w:rPr>
          <w:rFonts w:asciiTheme="minorHAnsi" w:hAnsiTheme="minorHAnsi" w:cstheme="minorHAnsi"/>
          <w:b w:val="0"/>
          <w:bCs w:val="0"/>
          <w:color w:val="auto"/>
          <w:sz w:val="20"/>
          <w:szCs w:val="20"/>
          <w:lang w:val="el-GR"/>
        </w:rPr>
        <w:t xml:space="preserve">ανάμεσα </w:t>
      </w:r>
      <w:proofErr w:type="spellStart"/>
      <w:r w:rsidRPr="00973266">
        <w:rPr>
          <w:rFonts w:asciiTheme="minorHAnsi" w:hAnsiTheme="minorHAnsi" w:cstheme="minorHAnsi"/>
          <w:b w:val="0"/>
          <w:bCs w:val="0"/>
          <w:color w:val="auto"/>
          <w:sz w:val="20"/>
          <w:szCs w:val="20"/>
          <w:lang w:val="el-GR"/>
        </w:rPr>
        <w:t>σ’άλλα</w:t>
      </w:r>
      <w:proofErr w:type="spellEnd"/>
      <w:r w:rsidRPr="00973266">
        <w:rPr>
          <w:rFonts w:asciiTheme="minorHAnsi" w:hAnsiTheme="minorHAnsi" w:cstheme="minorHAnsi"/>
          <w:b w:val="0"/>
          <w:bCs w:val="0"/>
          <w:color w:val="auto"/>
          <w:sz w:val="20"/>
          <w:szCs w:val="20"/>
          <w:lang w:val="fr-FR"/>
        </w:rPr>
        <w:t>,</w:t>
      </w:r>
      <w:r w:rsidRPr="00856187">
        <w:rPr>
          <w:rFonts w:asciiTheme="minorHAnsi" w:hAnsiTheme="minorHAnsi" w:cstheme="minorHAnsi"/>
          <w:b w:val="0"/>
          <w:bCs w:val="0"/>
          <w:color w:val="auto"/>
          <w:sz w:val="20"/>
          <w:szCs w:val="20"/>
          <w:lang w:val="fr-FR"/>
        </w:rPr>
        <w:t xml:space="preserve"> </w:t>
      </w:r>
      <w:r>
        <w:rPr>
          <w:rFonts w:asciiTheme="minorHAnsi" w:hAnsiTheme="minorHAnsi" w:cstheme="minorHAnsi"/>
          <w:b w:val="0"/>
          <w:bCs w:val="0"/>
          <w:color w:val="auto"/>
          <w:sz w:val="20"/>
          <w:szCs w:val="20"/>
          <w:lang w:val="el-GR"/>
        </w:rPr>
        <w:t>παράγραφοι</w:t>
      </w:r>
      <w:r w:rsidRPr="00856187">
        <w:rPr>
          <w:rFonts w:asciiTheme="minorHAnsi" w:hAnsiTheme="minorHAnsi" w:cstheme="minorHAnsi"/>
          <w:b w:val="0"/>
          <w:bCs w:val="0"/>
          <w:color w:val="auto"/>
          <w:sz w:val="20"/>
          <w:szCs w:val="20"/>
          <w:lang w:val="fr-FR"/>
        </w:rPr>
        <w:t xml:space="preserve"> 21-25.</w:t>
      </w:r>
    </w:p>
  </w:footnote>
  <w:footnote w:id="12">
    <w:p w14:paraId="4EEA8574" w14:textId="5870B025" w:rsidR="00071F64" w:rsidRPr="00740E08" w:rsidRDefault="00071F64" w:rsidP="00A5147D">
      <w:pPr>
        <w:pStyle w:val="FootnoteText"/>
        <w:rPr>
          <w:rFonts w:asciiTheme="minorHAnsi" w:hAnsiTheme="minorHAnsi" w:cstheme="minorHAnsi"/>
          <w:lang w:val="el-GR"/>
        </w:rPr>
      </w:pPr>
      <w:r w:rsidRPr="00B47EA7">
        <w:rPr>
          <w:rStyle w:val="FootnoteReference"/>
          <w:rFonts w:asciiTheme="minorHAnsi" w:hAnsiTheme="minorHAnsi" w:cstheme="minorHAnsi"/>
        </w:rPr>
        <w:footnoteRef/>
      </w:r>
      <w:r w:rsidRPr="00740E08">
        <w:rPr>
          <w:rFonts w:asciiTheme="minorHAnsi" w:hAnsiTheme="minorHAnsi" w:cstheme="minorHAnsi"/>
          <w:lang w:val="el-GR"/>
        </w:rPr>
        <w:t xml:space="preserve"> </w:t>
      </w:r>
      <w:r>
        <w:rPr>
          <w:rFonts w:asciiTheme="minorHAnsi" w:hAnsiTheme="minorHAnsi" w:cstheme="minorHAnsi"/>
          <w:lang w:val="el-GR"/>
        </w:rPr>
        <w:t>Άρθρο</w:t>
      </w:r>
      <w:r w:rsidRPr="00740E08">
        <w:rPr>
          <w:rFonts w:asciiTheme="minorHAnsi" w:hAnsiTheme="minorHAnsi" w:cstheme="minorHAnsi"/>
          <w:color w:val="000000"/>
          <w:lang w:val="el-GR" w:eastAsia="fr-FR"/>
        </w:rPr>
        <w:t xml:space="preserve"> 1, </w:t>
      </w:r>
      <w:r>
        <w:rPr>
          <w:rFonts w:asciiTheme="minorHAnsi" w:hAnsiTheme="minorHAnsi" w:cstheme="minorHAnsi"/>
          <w:color w:val="000000"/>
          <w:lang w:val="el-GR" w:eastAsia="fr-FR"/>
        </w:rPr>
        <w:t>Σύνταγμα</w:t>
      </w:r>
      <w:r w:rsidRPr="00740E08">
        <w:rPr>
          <w:rFonts w:asciiTheme="minorHAnsi" w:hAnsiTheme="minorHAnsi" w:cstheme="minorHAnsi"/>
          <w:color w:val="000000"/>
          <w:lang w:val="el-GR" w:eastAsia="fr-FR"/>
        </w:rPr>
        <w:t>.</w:t>
      </w:r>
    </w:p>
  </w:footnote>
  <w:footnote w:id="13">
    <w:p w14:paraId="160E8737" w14:textId="09102800" w:rsidR="00071F64" w:rsidRPr="00856187" w:rsidRDefault="00071F64" w:rsidP="00A5147D">
      <w:pPr>
        <w:pStyle w:val="FootnoteText"/>
        <w:rPr>
          <w:rFonts w:asciiTheme="minorHAnsi" w:hAnsiTheme="minorHAnsi" w:cstheme="minorHAnsi"/>
          <w:lang w:val="el-GR"/>
        </w:rPr>
      </w:pPr>
      <w:r w:rsidRPr="00B47EA7">
        <w:rPr>
          <w:rStyle w:val="FootnoteReference"/>
          <w:rFonts w:asciiTheme="minorHAnsi" w:hAnsiTheme="minorHAnsi" w:cstheme="minorHAnsi"/>
        </w:rPr>
        <w:footnoteRef/>
      </w:r>
      <w:r w:rsidRPr="00856187">
        <w:rPr>
          <w:rFonts w:asciiTheme="minorHAnsi" w:hAnsiTheme="minorHAnsi" w:cstheme="minorHAnsi"/>
          <w:lang w:val="el-GR"/>
        </w:rPr>
        <w:t xml:space="preserve"> </w:t>
      </w:r>
      <w:r>
        <w:rPr>
          <w:rFonts w:asciiTheme="minorHAnsi" w:hAnsiTheme="minorHAnsi" w:cstheme="minorHAnsi"/>
          <w:lang w:val="el-GR"/>
        </w:rPr>
        <w:t>Απόφαση</w:t>
      </w:r>
      <w:r w:rsidRPr="00856187">
        <w:rPr>
          <w:rFonts w:asciiTheme="minorHAnsi" w:hAnsiTheme="minorHAnsi" w:cstheme="minorHAnsi"/>
          <w:lang w:val="el-GR"/>
        </w:rPr>
        <w:t xml:space="preserve"> </w:t>
      </w:r>
      <w:proofErr w:type="spellStart"/>
      <w:r>
        <w:rPr>
          <w:rFonts w:asciiTheme="minorHAnsi" w:hAnsiTheme="minorHAnsi" w:cstheme="minorHAnsi"/>
          <w:lang w:val="el-GR"/>
        </w:rPr>
        <w:t>Ανωτάτου</w:t>
      </w:r>
      <w:proofErr w:type="spellEnd"/>
      <w:r w:rsidRPr="00856187">
        <w:rPr>
          <w:rFonts w:asciiTheme="minorHAnsi" w:hAnsiTheme="minorHAnsi" w:cstheme="minorHAnsi"/>
          <w:lang w:val="el-GR"/>
        </w:rPr>
        <w:t xml:space="preserve"> </w:t>
      </w:r>
      <w:r>
        <w:rPr>
          <w:rFonts w:asciiTheme="minorHAnsi" w:hAnsiTheme="minorHAnsi" w:cstheme="minorHAnsi"/>
          <w:lang w:val="el-GR"/>
        </w:rPr>
        <w:t>Συνταγματικού</w:t>
      </w:r>
      <w:r w:rsidRPr="00856187">
        <w:rPr>
          <w:rFonts w:asciiTheme="minorHAnsi" w:hAnsiTheme="minorHAnsi" w:cstheme="minorHAnsi"/>
          <w:lang w:val="el-GR"/>
        </w:rPr>
        <w:t xml:space="preserve"> </w:t>
      </w:r>
      <w:r>
        <w:rPr>
          <w:rFonts w:asciiTheme="minorHAnsi" w:hAnsiTheme="minorHAnsi" w:cstheme="minorHAnsi"/>
          <w:lang w:val="el-GR"/>
        </w:rPr>
        <w:t>Δικαστηρίου</w:t>
      </w:r>
      <w:r w:rsidRPr="00856187">
        <w:rPr>
          <w:rFonts w:asciiTheme="minorHAnsi" w:hAnsiTheme="minorHAnsi" w:cstheme="minorHAnsi"/>
          <w:lang w:val="el-GR"/>
        </w:rPr>
        <w:t xml:space="preserve">: </w:t>
      </w:r>
      <w:r>
        <w:rPr>
          <w:rFonts w:asciiTheme="minorHAnsi" w:hAnsiTheme="minorHAnsi" w:cstheme="minorHAnsi"/>
          <w:i/>
          <w:iCs/>
          <w:lang w:val="el-GR"/>
        </w:rPr>
        <w:t>Γενικός</w:t>
      </w:r>
      <w:r w:rsidRPr="00856187">
        <w:rPr>
          <w:rFonts w:asciiTheme="minorHAnsi" w:hAnsiTheme="minorHAnsi" w:cstheme="minorHAnsi"/>
          <w:i/>
          <w:iCs/>
          <w:lang w:val="el-GR"/>
        </w:rPr>
        <w:t xml:space="preserve"> </w:t>
      </w:r>
      <w:r>
        <w:rPr>
          <w:rFonts w:asciiTheme="minorHAnsi" w:hAnsiTheme="minorHAnsi" w:cstheme="minorHAnsi"/>
          <w:i/>
          <w:iCs/>
          <w:lang w:val="el-GR"/>
        </w:rPr>
        <w:t>Εισαγγελέας</w:t>
      </w:r>
      <w:r w:rsidRPr="00856187">
        <w:rPr>
          <w:rFonts w:asciiTheme="minorHAnsi" w:hAnsiTheme="minorHAnsi" w:cstheme="minorHAnsi"/>
          <w:i/>
          <w:iCs/>
          <w:lang w:val="el-GR"/>
        </w:rPr>
        <w:t xml:space="preserve"> </w:t>
      </w:r>
      <w:r>
        <w:rPr>
          <w:rFonts w:asciiTheme="minorHAnsi" w:hAnsiTheme="minorHAnsi" w:cstheme="minorHAnsi"/>
          <w:i/>
          <w:iCs/>
          <w:lang w:val="el-GR"/>
        </w:rPr>
        <w:t>της</w:t>
      </w:r>
      <w:r w:rsidRPr="00856187">
        <w:rPr>
          <w:rFonts w:asciiTheme="minorHAnsi" w:hAnsiTheme="minorHAnsi" w:cstheme="minorHAnsi"/>
          <w:i/>
          <w:iCs/>
          <w:lang w:val="el-GR"/>
        </w:rPr>
        <w:t xml:space="preserve"> </w:t>
      </w:r>
      <w:r>
        <w:rPr>
          <w:rFonts w:asciiTheme="minorHAnsi" w:hAnsiTheme="minorHAnsi" w:cstheme="minorHAnsi"/>
          <w:i/>
          <w:iCs/>
          <w:lang w:val="el-GR"/>
        </w:rPr>
        <w:t>Δημοκρατίας</w:t>
      </w:r>
      <w:r w:rsidRPr="00856187">
        <w:rPr>
          <w:rFonts w:asciiTheme="minorHAnsi" w:hAnsiTheme="minorHAnsi" w:cstheme="minorHAnsi"/>
          <w:i/>
          <w:iCs/>
          <w:lang w:val="el-GR"/>
        </w:rPr>
        <w:t xml:space="preserve"> </w:t>
      </w:r>
      <w:r w:rsidRPr="00B47EA7">
        <w:rPr>
          <w:rFonts w:asciiTheme="minorHAnsi" w:hAnsiTheme="minorHAnsi" w:cstheme="minorHAnsi"/>
          <w:i/>
          <w:iCs/>
        </w:rPr>
        <w:t>v</w:t>
      </w:r>
      <w:r w:rsidRPr="00856187">
        <w:rPr>
          <w:rFonts w:asciiTheme="minorHAnsi" w:hAnsiTheme="minorHAnsi" w:cstheme="minorHAnsi"/>
          <w:i/>
          <w:iCs/>
          <w:lang w:val="el-GR"/>
        </w:rPr>
        <w:t xml:space="preserve">. </w:t>
      </w:r>
      <w:r w:rsidRPr="00B47EA7">
        <w:rPr>
          <w:rFonts w:asciiTheme="minorHAnsi" w:hAnsiTheme="minorHAnsi" w:cstheme="minorHAnsi"/>
          <w:i/>
          <w:iCs/>
        </w:rPr>
        <w:t>Mustafa</w:t>
      </w:r>
      <w:r w:rsidRPr="00856187">
        <w:rPr>
          <w:rFonts w:asciiTheme="minorHAnsi" w:hAnsiTheme="minorHAnsi" w:cstheme="minorHAnsi"/>
          <w:i/>
          <w:iCs/>
          <w:lang w:val="el-GR"/>
        </w:rPr>
        <w:t xml:space="preserve"> </w:t>
      </w:r>
      <w:r w:rsidRPr="00B47EA7">
        <w:rPr>
          <w:rFonts w:asciiTheme="minorHAnsi" w:hAnsiTheme="minorHAnsi" w:cstheme="minorHAnsi"/>
          <w:i/>
          <w:iCs/>
        </w:rPr>
        <w:t>Ibrahim</w:t>
      </w:r>
      <w:r w:rsidRPr="00856187">
        <w:rPr>
          <w:rFonts w:asciiTheme="minorHAnsi" w:hAnsiTheme="minorHAnsi" w:cstheme="minorHAnsi"/>
          <w:i/>
          <w:iCs/>
          <w:lang w:val="el-GR"/>
        </w:rPr>
        <w:t xml:space="preserve"> [1964] </w:t>
      </w:r>
      <w:r w:rsidRPr="00B47EA7">
        <w:rPr>
          <w:rFonts w:asciiTheme="minorHAnsi" w:hAnsiTheme="minorHAnsi" w:cstheme="minorHAnsi"/>
          <w:i/>
          <w:iCs/>
        </w:rPr>
        <w:t>CLR</w:t>
      </w:r>
      <w:r w:rsidRPr="00856187">
        <w:rPr>
          <w:rFonts w:asciiTheme="minorHAnsi" w:hAnsiTheme="minorHAnsi" w:cstheme="minorHAnsi"/>
          <w:i/>
          <w:iCs/>
          <w:lang w:val="el-GR"/>
        </w:rPr>
        <w:t xml:space="preserve"> 195.</w:t>
      </w:r>
    </w:p>
  </w:footnote>
  <w:footnote w:id="14">
    <w:p w14:paraId="4665F4D0" w14:textId="4D501931" w:rsidR="00071F64" w:rsidRPr="00EB2D7E" w:rsidRDefault="00071F64" w:rsidP="00A5147D">
      <w:pPr>
        <w:pStyle w:val="FootnoteText"/>
        <w:rPr>
          <w:rFonts w:asciiTheme="minorHAnsi" w:hAnsiTheme="minorHAnsi" w:cstheme="minorHAnsi"/>
          <w:lang w:val="el-GR"/>
        </w:rPr>
      </w:pPr>
      <w:r w:rsidRPr="00B47EA7">
        <w:rPr>
          <w:rStyle w:val="FootnoteReference"/>
          <w:rFonts w:asciiTheme="minorHAnsi" w:hAnsiTheme="minorHAnsi" w:cstheme="minorHAnsi"/>
        </w:rPr>
        <w:footnoteRef/>
      </w:r>
      <w:r w:rsidRPr="00EB2D7E">
        <w:rPr>
          <w:rFonts w:asciiTheme="minorHAnsi" w:hAnsiTheme="minorHAnsi" w:cstheme="minorHAnsi"/>
          <w:lang w:val="el-GR"/>
        </w:rPr>
        <w:t xml:space="preserve"> </w:t>
      </w:r>
      <w:r>
        <w:rPr>
          <w:rFonts w:asciiTheme="minorHAnsi" w:hAnsiTheme="minorHAnsi" w:cstheme="minorHAnsi"/>
          <w:lang w:val="el-GR"/>
        </w:rPr>
        <w:t>Βλέπε Άρθρα</w:t>
      </w:r>
      <w:r w:rsidRPr="00EB2D7E">
        <w:rPr>
          <w:rFonts w:asciiTheme="minorHAnsi" w:hAnsiTheme="minorHAnsi" w:cstheme="minorHAnsi"/>
          <w:lang w:val="el-GR"/>
        </w:rPr>
        <w:t xml:space="preserve"> 86 </w:t>
      </w:r>
      <w:r>
        <w:rPr>
          <w:rFonts w:asciiTheme="minorHAnsi" w:hAnsiTheme="minorHAnsi" w:cstheme="minorHAnsi"/>
          <w:lang w:val="el-GR"/>
        </w:rPr>
        <w:t>και</w:t>
      </w:r>
      <w:r w:rsidRPr="00EB2D7E">
        <w:rPr>
          <w:rFonts w:asciiTheme="minorHAnsi" w:hAnsiTheme="minorHAnsi" w:cstheme="minorHAnsi"/>
          <w:lang w:val="el-GR"/>
        </w:rPr>
        <w:t xml:space="preserve"> 87 </w:t>
      </w:r>
      <w:r>
        <w:rPr>
          <w:rFonts w:asciiTheme="minorHAnsi" w:hAnsiTheme="minorHAnsi" w:cstheme="minorHAnsi"/>
          <w:lang w:val="el-GR"/>
        </w:rPr>
        <w:t>του Συντάγματος</w:t>
      </w:r>
      <w:r w:rsidRPr="00EB2D7E">
        <w:rPr>
          <w:rFonts w:asciiTheme="minorHAnsi" w:hAnsiTheme="minorHAnsi" w:cstheme="minorHAnsi"/>
          <w:lang w:val="el-GR"/>
        </w:rPr>
        <w:t>.</w:t>
      </w:r>
    </w:p>
  </w:footnote>
  <w:footnote w:id="15">
    <w:p w14:paraId="506DB35E" w14:textId="783081B9" w:rsidR="00071F64" w:rsidRPr="008A10F0" w:rsidRDefault="00071F64" w:rsidP="00A5147D">
      <w:pPr>
        <w:pStyle w:val="FootnoteText"/>
        <w:rPr>
          <w:rFonts w:asciiTheme="minorHAnsi" w:hAnsiTheme="minorHAnsi" w:cstheme="minorHAnsi"/>
          <w:lang w:val="el-GR"/>
        </w:rPr>
      </w:pPr>
      <w:r w:rsidRPr="00B47EA7">
        <w:rPr>
          <w:rStyle w:val="FootnoteReference"/>
          <w:rFonts w:asciiTheme="minorHAnsi" w:hAnsiTheme="minorHAnsi" w:cstheme="minorHAnsi"/>
        </w:rPr>
        <w:footnoteRef/>
      </w:r>
      <w:r w:rsidRPr="008A10F0">
        <w:rPr>
          <w:rFonts w:asciiTheme="minorHAnsi" w:hAnsiTheme="minorHAnsi" w:cstheme="minorHAnsi"/>
          <w:lang w:val="el-GR"/>
        </w:rPr>
        <w:t xml:space="preserve"> </w:t>
      </w:r>
      <w:r>
        <w:rPr>
          <w:rFonts w:asciiTheme="minorHAnsi" w:hAnsiTheme="minorHAnsi" w:cstheme="minorHAnsi"/>
          <w:lang w:val="el-GR"/>
        </w:rPr>
        <w:t>Άρθρο</w:t>
      </w:r>
      <w:r w:rsidRPr="008A10F0">
        <w:rPr>
          <w:rFonts w:asciiTheme="minorHAnsi" w:hAnsiTheme="minorHAnsi" w:cstheme="minorHAnsi"/>
          <w:lang w:val="el-GR"/>
        </w:rPr>
        <w:t xml:space="preserve"> 61, </w:t>
      </w:r>
      <w:r>
        <w:rPr>
          <w:rFonts w:asciiTheme="minorHAnsi" w:hAnsiTheme="minorHAnsi" w:cstheme="minorHAnsi"/>
          <w:lang w:val="el-GR"/>
        </w:rPr>
        <w:t>το</w:t>
      </w:r>
      <w:r w:rsidRPr="008A10F0">
        <w:rPr>
          <w:rFonts w:asciiTheme="minorHAnsi" w:hAnsiTheme="minorHAnsi" w:cstheme="minorHAnsi"/>
          <w:lang w:val="el-GR"/>
        </w:rPr>
        <w:t xml:space="preserve"> </w:t>
      </w:r>
      <w:r>
        <w:rPr>
          <w:rFonts w:asciiTheme="minorHAnsi" w:hAnsiTheme="minorHAnsi" w:cstheme="minorHAnsi"/>
          <w:lang w:val="el-GR"/>
        </w:rPr>
        <w:t>Σύνταγμα</w:t>
      </w:r>
      <w:r w:rsidRPr="008A10F0">
        <w:rPr>
          <w:rFonts w:asciiTheme="minorHAnsi" w:hAnsiTheme="minorHAnsi" w:cstheme="minorHAnsi"/>
          <w:lang w:val="el-GR"/>
        </w:rPr>
        <w:t xml:space="preserve"> </w:t>
      </w:r>
      <w:r>
        <w:rPr>
          <w:rFonts w:asciiTheme="minorHAnsi" w:hAnsiTheme="minorHAnsi" w:cstheme="minorHAnsi"/>
          <w:lang w:val="el-GR"/>
        </w:rPr>
        <w:t>ορίζει</w:t>
      </w:r>
      <w:r w:rsidRPr="008A10F0">
        <w:rPr>
          <w:rFonts w:asciiTheme="minorHAnsi" w:hAnsiTheme="minorHAnsi" w:cstheme="minorHAnsi"/>
          <w:lang w:val="el-GR"/>
        </w:rPr>
        <w:t xml:space="preserve"> </w:t>
      </w:r>
      <w:r>
        <w:rPr>
          <w:rFonts w:asciiTheme="minorHAnsi" w:hAnsiTheme="minorHAnsi" w:cstheme="minorHAnsi"/>
          <w:lang w:val="el-GR"/>
        </w:rPr>
        <w:t>ότι</w:t>
      </w:r>
      <w:r w:rsidRPr="008A10F0">
        <w:rPr>
          <w:rFonts w:asciiTheme="minorHAnsi" w:hAnsiTheme="minorHAnsi" w:cstheme="minorHAnsi"/>
          <w:lang w:val="el-GR"/>
        </w:rPr>
        <w:t>: “</w:t>
      </w:r>
      <w:r>
        <w:rPr>
          <w:rFonts w:asciiTheme="minorHAnsi" w:hAnsiTheme="minorHAnsi" w:cstheme="minorHAnsi"/>
          <w:lang w:val="el-GR"/>
        </w:rPr>
        <w:t>Η</w:t>
      </w:r>
      <w:r w:rsidRPr="008A10F0">
        <w:rPr>
          <w:rFonts w:asciiTheme="minorHAnsi" w:hAnsiTheme="minorHAnsi" w:cstheme="minorHAnsi"/>
          <w:lang w:val="el-GR"/>
        </w:rPr>
        <w:t xml:space="preserve"> </w:t>
      </w:r>
      <w:r>
        <w:rPr>
          <w:rFonts w:asciiTheme="minorHAnsi" w:hAnsiTheme="minorHAnsi" w:cstheme="minorHAnsi"/>
          <w:lang w:val="el-GR"/>
        </w:rPr>
        <w:t>νομοθετική</w:t>
      </w:r>
      <w:r w:rsidRPr="008A10F0">
        <w:rPr>
          <w:rFonts w:asciiTheme="minorHAnsi" w:hAnsiTheme="minorHAnsi" w:cstheme="minorHAnsi"/>
          <w:lang w:val="el-GR"/>
        </w:rPr>
        <w:t xml:space="preserve"> </w:t>
      </w:r>
      <w:r>
        <w:rPr>
          <w:rFonts w:asciiTheme="minorHAnsi" w:hAnsiTheme="minorHAnsi" w:cstheme="minorHAnsi"/>
          <w:lang w:val="el-GR"/>
        </w:rPr>
        <w:t>εξουσία</w:t>
      </w:r>
      <w:r w:rsidRPr="008A10F0">
        <w:rPr>
          <w:rFonts w:asciiTheme="minorHAnsi" w:hAnsiTheme="minorHAnsi" w:cstheme="minorHAnsi"/>
          <w:lang w:val="el-GR"/>
        </w:rPr>
        <w:t xml:space="preserve"> </w:t>
      </w:r>
      <w:r>
        <w:rPr>
          <w:rFonts w:asciiTheme="minorHAnsi" w:hAnsiTheme="minorHAnsi" w:cstheme="minorHAnsi"/>
          <w:lang w:val="el-GR"/>
        </w:rPr>
        <w:t>της</w:t>
      </w:r>
      <w:r w:rsidRPr="008A10F0">
        <w:rPr>
          <w:rFonts w:asciiTheme="minorHAnsi" w:hAnsiTheme="minorHAnsi" w:cstheme="minorHAnsi"/>
          <w:lang w:val="el-GR"/>
        </w:rPr>
        <w:t xml:space="preserve"> </w:t>
      </w:r>
      <w:r>
        <w:rPr>
          <w:rFonts w:asciiTheme="minorHAnsi" w:hAnsiTheme="minorHAnsi" w:cstheme="minorHAnsi"/>
          <w:lang w:val="el-GR"/>
        </w:rPr>
        <w:t>Δημοκρατίας</w:t>
      </w:r>
      <w:r w:rsidRPr="008A10F0">
        <w:rPr>
          <w:rFonts w:asciiTheme="minorHAnsi" w:hAnsiTheme="minorHAnsi" w:cstheme="minorHAnsi"/>
          <w:color w:val="000000"/>
          <w:lang w:val="el-GR"/>
        </w:rPr>
        <w:t xml:space="preserve"> </w:t>
      </w:r>
      <w:r>
        <w:rPr>
          <w:rFonts w:asciiTheme="minorHAnsi" w:hAnsiTheme="minorHAnsi" w:cstheme="minorHAnsi"/>
          <w:color w:val="000000"/>
          <w:lang w:val="el-GR"/>
        </w:rPr>
        <w:t>θα</w:t>
      </w:r>
      <w:r w:rsidRPr="008A10F0">
        <w:rPr>
          <w:rFonts w:asciiTheme="minorHAnsi" w:hAnsiTheme="minorHAnsi" w:cstheme="minorHAnsi"/>
          <w:color w:val="000000"/>
          <w:lang w:val="el-GR"/>
        </w:rPr>
        <w:t xml:space="preserve"> </w:t>
      </w:r>
      <w:r>
        <w:rPr>
          <w:rFonts w:asciiTheme="minorHAnsi" w:hAnsiTheme="minorHAnsi" w:cstheme="minorHAnsi"/>
          <w:color w:val="000000"/>
          <w:lang w:val="el-GR"/>
        </w:rPr>
        <w:t>εξασκηθεί</w:t>
      </w:r>
      <w:r w:rsidRPr="008A10F0">
        <w:rPr>
          <w:rFonts w:asciiTheme="minorHAnsi" w:hAnsiTheme="minorHAnsi" w:cstheme="minorHAnsi"/>
          <w:color w:val="000000"/>
          <w:lang w:val="el-GR"/>
        </w:rPr>
        <w:t xml:space="preserve"> </w:t>
      </w:r>
      <w:r>
        <w:rPr>
          <w:rFonts w:asciiTheme="minorHAnsi" w:hAnsiTheme="minorHAnsi" w:cstheme="minorHAnsi"/>
          <w:color w:val="000000"/>
          <w:lang w:val="el-GR"/>
        </w:rPr>
        <w:t>από</w:t>
      </w:r>
      <w:r w:rsidRPr="008A10F0">
        <w:rPr>
          <w:rFonts w:asciiTheme="minorHAnsi" w:hAnsiTheme="minorHAnsi" w:cstheme="minorHAnsi"/>
          <w:color w:val="000000"/>
          <w:lang w:val="el-GR"/>
        </w:rPr>
        <w:t xml:space="preserve"> </w:t>
      </w:r>
      <w:r>
        <w:rPr>
          <w:rFonts w:asciiTheme="minorHAnsi" w:hAnsiTheme="minorHAnsi" w:cstheme="minorHAnsi"/>
          <w:color w:val="000000"/>
          <w:lang w:val="el-GR"/>
        </w:rPr>
        <w:t>την</w:t>
      </w:r>
      <w:r w:rsidRPr="008A10F0">
        <w:rPr>
          <w:rFonts w:asciiTheme="minorHAnsi" w:hAnsiTheme="minorHAnsi" w:cstheme="minorHAnsi"/>
          <w:color w:val="000000"/>
          <w:lang w:val="el-GR"/>
        </w:rPr>
        <w:t xml:space="preserve"> </w:t>
      </w:r>
      <w:r>
        <w:rPr>
          <w:rFonts w:asciiTheme="minorHAnsi" w:hAnsiTheme="minorHAnsi" w:cstheme="minorHAnsi"/>
          <w:color w:val="000000"/>
          <w:lang w:val="el-GR"/>
        </w:rPr>
        <w:t>Βουλή</w:t>
      </w:r>
      <w:r w:rsidRPr="008A10F0">
        <w:rPr>
          <w:rFonts w:asciiTheme="minorHAnsi" w:hAnsiTheme="minorHAnsi" w:cstheme="minorHAnsi"/>
          <w:color w:val="000000"/>
          <w:lang w:val="el-GR"/>
        </w:rPr>
        <w:t xml:space="preserve"> </w:t>
      </w:r>
      <w:r>
        <w:rPr>
          <w:rFonts w:asciiTheme="minorHAnsi" w:hAnsiTheme="minorHAnsi" w:cstheme="minorHAnsi"/>
          <w:color w:val="000000"/>
          <w:lang w:val="el-GR"/>
        </w:rPr>
        <w:t>των</w:t>
      </w:r>
      <w:r w:rsidRPr="008A10F0">
        <w:rPr>
          <w:rFonts w:asciiTheme="minorHAnsi" w:hAnsiTheme="minorHAnsi" w:cstheme="minorHAnsi"/>
          <w:color w:val="000000"/>
          <w:lang w:val="el-GR"/>
        </w:rPr>
        <w:t xml:space="preserve"> </w:t>
      </w:r>
      <w:r>
        <w:rPr>
          <w:rFonts w:asciiTheme="minorHAnsi" w:hAnsiTheme="minorHAnsi" w:cstheme="minorHAnsi"/>
          <w:color w:val="000000"/>
          <w:lang w:val="el-GR"/>
        </w:rPr>
        <w:t>Αντιπροσώπων</w:t>
      </w:r>
      <w:r w:rsidRPr="008A10F0">
        <w:rPr>
          <w:rFonts w:asciiTheme="minorHAnsi" w:hAnsiTheme="minorHAnsi" w:cstheme="minorHAnsi"/>
          <w:color w:val="000000"/>
          <w:lang w:val="el-GR"/>
        </w:rPr>
        <w:t xml:space="preserve"> </w:t>
      </w:r>
      <w:r>
        <w:rPr>
          <w:rFonts w:asciiTheme="minorHAnsi" w:hAnsiTheme="minorHAnsi" w:cstheme="minorHAnsi"/>
          <w:color w:val="000000"/>
          <w:lang w:val="el-GR"/>
        </w:rPr>
        <w:t>σε όλα τα θέματα</w:t>
      </w:r>
      <w:r w:rsidRPr="008A10F0">
        <w:rPr>
          <w:rFonts w:asciiTheme="minorHAnsi" w:hAnsiTheme="minorHAnsi" w:cstheme="minorHAnsi"/>
          <w:color w:val="000000"/>
          <w:lang w:val="el-GR"/>
        </w:rPr>
        <w:t xml:space="preserve"> </w:t>
      </w:r>
      <w:r>
        <w:rPr>
          <w:rFonts w:asciiTheme="minorHAnsi" w:hAnsiTheme="minorHAnsi" w:cstheme="minorHAnsi"/>
          <w:color w:val="000000"/>
          <w:lang w:val="el-GR"/>
        </w:rPr>
        <w:t>εκτός από αυτά που είναι ρητά επιφυλαγμένα στις Κοινοτικές Συνελεύσεις σύμφωνα με το Σύνταγμα αυτό</w:t>
      </w:r>
      <w:r w:rsidRPr="008A10F0">
        <w:rPr>
          <w:rFonts w:asciiTheme="minorHAnsi" w:hAnsiTheme="minorHAnsi" w:cstheme="minorHAnsi"/>
          <w:color w:val="000000"/>
          <w:lang w:val="el-GR"/>
        </w:rPr>
        <w:t>.”</w:t>
      </w:r>
    </w:p>
  </w:footnote>
  <w:footnote w:id="16">
    <w:p w14:paraId="1B86F4E4" w14:textId="2BD79769" w:rsidR="00071F64" w:rsidRPr="008A10F0" w:rsidRDefault="00071F64" w:rsidP="00A5147D">
      <w:pPr>
        <w:rPr>
          <w:rFonts w:cstheme="minorHAnsi"/>
          <w:sz w:val="20"/>
          <w:szCs w:val="20"/>
          <w:lang w:val="el-GR"/>
        </w:rPr>
      </w:pPr>
      <w:r w:rsidRPr="00B47EA7">
        <w:rPr>
          <w:rStyle w:val="FootnoteReference"/>
          <w:rFonts w:cstheme="minorHAnsi"/>
          <w:sz w:val="20"/>
          <w:szCs w:val="20"/>
        </w:rPr>
        <w:footnoteRef/>
      </w:r>
      <w:r w:rsidRPr="008A10F0">
        <w:rPr>
          <w:rFonts w:cstheme="minorHAnsi"/>
          <w:sz w:val="20"/>
          <w:szCs w:val="20"/>
          <w:lang w:val="el-GR"/>
        </w:rPr>
        <w:t xml:space="preserve"> </w:t>
      </w:r>
      <w:r>
        <w:rPr>
          <w:rFonts w:cstheme="minorHAnsi"/>
          <w:sz w:val="20"/>
          <w:szCs w:val="20"/>
          <w:lang w:val="el-GR"/>
        </w:rPr>
        <w:t>Αχιλλέας</w:t>
      </w:r>
      <w:r w:rsidRPr="008A10F0">
        <w:rPr>
          <w:rFonts w:cstheme="minorHAnsi"/>
          <w:sz w:val="20"/>
          <w:szCs w:val="20"/>
          <w:lang w:val="el-GR"/>
        </w:rPr>
        <w:t xml:space="preserve"> </w:t>
      </w:r>
      <w:r>
        <w:rPr>
          <w:rFonts w:cstheme="minorHAnsi"/>
          <w:sz w:val="20"/>
          <w:szCs w:val="20"/>
          <w:lang w:val="el-GR"/>
        </w:rPr>
        <w:t>Κ</w:t>
      </w:r>
      <w:r w:rsidRPr="008A10F0">
        <w:rPr>
          <w:rFonts w:cstheme="minorHAnsi"/>
          <w:sz w:val="20"/>
          <w:szCs w:val="20"/>
          <w:lang w:val="el-GR"/>
        </w:rPr>
        <w:t xml:space="preserve">. </w:t>
      </w:r>
      <w:proofErr w:type="spellStart"/>
      <w:r>
        <w:rPr>
          <w:rFonts w:cstheme="minorHAnsi"/>
          <w:sz w:val="20"/>
          <w:szCs w:val="20"/>
          <w:lang w:val="el-GR"/>
        </w:rPr>
        <w:t>Αιμιλιανίδης</w:t>
      </w:r>
      <w:proofErr w:type="spellEnd"/>
      <w:r w:rsidRPr="008A10F0">
        <w:rPr>
          <w:rFonts w:cstheme="minorHAnsi"/>
          <w:color w:val="000000"/>
          <w:sz w:val="20"/>
          <w:szCs w:val="20"/>
          <w:bdr w:val="none" w:sz="0" w:space="0" w:color="auto" w:frame="1"/>
          <w:shd w:val="clear" w:color="auto" w:fill="FFFFFF"/>
          <w:lang w:val="el-GR"/>
        </w:rPr>
        <w:t>, “</w:t>
      </w:r>
      <w:r>
        <w:rPr>
          <w:rFonts w:cstheme="minorHAnsi"/>
          <w:color w:val="000000"/>
          <w:sz w:val="20"/>
          <w:szCs w:val="20"/>
          <w:bdr w:val="none" w:sz="0" w:space="0" w:color="auto" w:frame="1"/>
          <w:shd w:val="clear" w:color="auto" w:fill="FFFFFF"/>
          <w:lang w:val="el-GR"/>
        </w:rPr>
        <w:t>Η</w:t>
      </w:r>
      <w:r w:rsidRPr="008A10F0">
        <w:rPr>
          <w:rFonts w:cstheme="minorHAnsi"/>
          <w:color w:val="000000"/>
          <w:sz w:val="20"/>
          <w:szCs w:val="20"/>
          <w:bdr w:val="none" w:sz="0" w:space="0" w:color="auto" w:frame="1"/>
          <w:shd w:val="clear" w:color="auto" w:fill="FFFFFF"/>
          <w:lang w:val="el-GR"/>
        </w:rPr>
        <w:t xml:space="preserve"> </w:t>
      </w:r>
      <w:r>
        <w:rPr>
          <w:rFonts w:cstheme="minorHAnsi"/>
          <w:color w:val="000000"/>
          <w:sz w:val="20"/>
          <w:szCs w:val="20"/>
          <w:bdr w:val="none" w:sz="0" w:space="0" w:color="auto" w:frame="1"/>
          <w:shd w:val="clear" w:color="auto" w:fill="FFFFFF"/>
          <w:lang w:val="el-GR"/>
        </w:rPr>
        <w:t>Υπόθεση</w:t>
      </w:r>
      <w:r w:rsidRPr="008A10F0">
        <w:rPr>
          <w:rFonts w:cstheme="minorHAnsi"/>
          <w:color w:val="000000"/>
          <w:sz w:val="20"/>
          <w:szCs w:val="20"/>
          <w:bdr w:val="none" w:sz="0" w:space="0" w:color="auto" w:frame="1"/>
          <w:shd w:val="clear" w:color="auto" w:fill="FFFFFF"/>
          <w:lang w:val="el-GR"/>
        </w:rPr>
        <w:t xml:space="preserve"> </w:t>
      </w:r>
      <w:r>
        <w:rPr>
          <w:rFonts w:cstheme="minorHAnsi"/>
          <w:color w:val="000000"/>
          <w:sz w:val="20"/>
          <w:szCs w:val="20"/>
          <w:bdr w:val="none" w:sz="0" w:space="0" w:color="auto" w:frame="1"/>
          <w:shd w:val="clear" w:color="auto" w:fill="FFFFFF"/>
          <w:lang w:val="el-GR"/>
        </w:rPr>
        <w:t>για</w:t>
      </w:r>
      <w:r w:rsidRPr="008A10F0">
        <w:rPr>
          <w:rFonts w:cstheme="minorHAnsi"/>
          <w:color w:val="000000"/>
          <w:sz w:val="20"/>
          <w:szCs w:val="20"/>
          <w:bdr w:val="none" w:sz="0" w:space="0" w:color="auto" w:frame="1"/>
          <w:shd w:val="clear" w:color="auto" w:fill="FFFFFF"/>
          <w:lang w:val="el-GR"/>
        </w:rPr>
        <w:t xml:space="preserve"> </w:t>
      </w:r>
      <w:r>
        <w:rPr>
          <w:rFonts w:cstheme="minorHAnsi"/>
          <w:color w:val="000000"/>
          <w:sz w:val="20"/>
          <w:szCs w:val="20"/>
          <w:bdr w:val="none" w:sz="0" w:space="0" w:color="auto" w:frame="1"/>
          <w:shd w:val="clear" w:color="auto" w:fill="FFFFFF"/>
          <w:lang w:val="el-GR"/>
        </w:rPr>
        <w:t>την</w:t>
      </w:r>
      <w:r w:rsidRPr="008A10F0">
        <w:rPr>
          <w:rFonts w:cstheme="minorHAnsi"/>
          <w:color w:val="000000"/>
          <w:sz w:val="20"/>
          <w:szCs w:val="20"/>
          <w:bdr w:val="none" w:sz="0" w:space="0" w:color="auto" w:frame="1"/>
          <w:shd w:val="clear" w:color="auto" w:fill="FFFFFF"/>
          <w:lang w:val="el-GR"/>
        </w:rPr>
        <w:t xml:space="preserve"> </w:t>
      </w:r>
      <w:r>
        <w:rPr>
          <w:rFonts w:cstheme="minorHAnsi"/>
          <w:color w:val="000000"/>
          <w:sz w:val="20"/>
          <w:szCs w:val="20"/>
          <w:bdr w:val="none" w:sz="0" w:space="0" w:color="auto" w:frame="1"/>
          <w:shd w:val="clear" w:color="auto" w:fill="FFFFFF"/>
          <w:lang w:val="el-GR"/>
        </w:rPr>
        <w:t>Τροποποίηση του Παρόντος Νομικού Πλαισίου</w:t>
      </w:r>
      <w:r w:rsidRPr="008A10F0">
        <w:rPr>
          <w:rFonts w:cstheme="minorHAnsi"/>
          <w:color w:val="000000"/>
          <w:sz w:val="20"/>
          <w:szCs w:val="20"/>
          <w:bdr w:val="none" w:sz="0" w:space="0" w:color="auto" w:frame="1"/>
          <w:shd w:val="clear" w:color="auto" w:fill="FFFFFF"/>
          <w:lang w:val="el-GR"/>
        </w:rPr>
        <w:t xml:space="preserve">” (2010) </w:t>
      </w:r>
      <w:r w:rsidRPr="00B47EA7">
        <w:rPr>
          <w:rFonts w:cstheme="minorHAnsi"/>
          <w:color w:val="000000"/>
          <w:sz w:val="20"/>
          <w:szCs w:val="20"/>
          <w:bdr w:val="none" w:sz="0" w:space="0" w:color="auto" w:frame="1"/>
          <w:shd w:val="clear" w:color="auto" w:fill="FFFFFF"/>
        </w:rPr>
        <w:t>EKED</w:t>
      </w:r>
      <w:r w:rsidRPr="008A10F0">
        <w:rPr>
          <w:rFonts w:cstheme="minorHAnsi"/>
          <w:color w:val="000000"/>
          <w:sz w:val="20"/>
          <w:szCs w:val="20"/>
          <w:bdr w:val="none" w:sz="0" w:space="0" w:color="auto" w:frame="1"/>
          <w:shd w:val="clear" w:color="auto" w:fill="FFFFFF"/>
          <w:lang w:val="el-GR"/>
        </w:rPr>
        <w:t xml:space="preserve">. </w:t>
      </w:r>
    </w:p>
  </w:footnote>
  <w:footnote w:id="17">
    <w:p w14:paraId="236D9D35" w14:textId="0E50E632" w:rsidR="00071F64" w:rsidRPr="00740E08" w:rsidRDefault="00071F64" w:rsidP="00A5147D">
      <w:pPr>
        <w:pStyle w:val="FootnoteText"/>
        <w:rPr>
          <w:rFonts w:asciiTheme="minorHAnsi" w:hAnsiTheme="minorHAnsi" w:cstheme="minorHAnsi"/>
          <w:color w:val="000000" w:themeColor="text1"/>
          <w:lang w:val="el-GR"/>
        </w:rPr>
      </w:pPr>
      <w:r w:rsidRPr="00B47EA7">
        <w:rPr>
          <w:rStyle w:val="FootnoteReference"/>
          <w:rFonts w:asciiTheme="minorHAnsi" w:hAnsiTheme="minorHAnsi" w:cstheme="minorHAnsi"/>
        </w:rPr>
        <w:footnoteRef/>
      </w:r>
      <w:r w:rsidRPr="008A10F0">
        <w:rPr>
          <w:rFonts w:asciiTheme="minorHAnsi" w:hAnsiTheme="minorHAnsi" w:cstheme="minorHAnsi"/>
          <w:lang w:val="el-GR"/>
        </w:rPr>
        <w:t xml:space="preserve"> </w:t>
      </w:r>
      <w:r>
        <w:rPr>
          <w:rFonts w:asciiTheme="minorHAnsi" w:hAnsiTheme="minorHAnsi" w:cstheme="minorHAnsi"/>
          <w:lang w:val="el-GR"/>
        </w:rPr>
        <w:t>Για</w:t>
      </w:r>
      <w:r w:rsidRPr="008A10F0">
        <w:rPr>
          <w:rFonts w:asciiTheme="minorHAnsi" w:hAnsiTheme="minorHAnsi" w:cstheme="minorHAnsi"/>
          <w:lang w:val="el-GR"/>
        </w:rPr>
        <w:t xml:space="preserve"> </w:t>
      </w:r>
      <w:r>
        <w:rPr>
          <w:rFonts w:asciiTheme="minorHAnsi" w:hAnsiTheme="minorHAnsi" w:cstheme="minorHAnsi"/>
          <w:lang w:val="el-GR"/>
        </w:rPr>
        <w:t>περισσότερες</w:t>
      </w:r>
      <w:r w:rsidRPr="008A10F0">
        <w:rPr>
          <w:rFonts w:asciiTheme="minorHAnsi" w:hAnsiTheme="minorHAnsi" w:cstheme="minorHAnsi"/>
          <w:lang w:val="el-GR"/>
        </w:rPr>
        <w:t xml:space="preserve"> </w:t>
      </w:r>
      <w:r>
        <w:rPr>
          <w:rFonts w:asciiTheme="minorHAnsi" w:hAnsiTheme="minorHAnsi" w:cstheme="minorHAnsi"/>
          <w:lang w:val="el-GR"/>
        </w:rPr>
        <w:t>πληροφορίες</w:t>
      </w:r>
      <w:r w:rsidRPr="008A10F0">
        <w:rPr>
          <w:rFonts w:asciiTheme="minorHAnsi" w:hAnsiTheme="minorHAnsi" w:cstheme="minorHAnsi"/>
          <w:lang w:val="el-GR"/>
        </w:rPr>
        <w:t xml:space="preserve"> </w:t>
      </w:r>
      <w:r>
        <w:rPr>
          <w:rFonts w:asciiTheme="minorHAnsi" w:hAnsiTheme="minorHAnsi" w:cstheme="minorHAnsi"/>
          <w:lang w:val="el-GR"/>
        </w:rPr>
        <w:t>σχετικά</w:t>
      </w:r>
      <w:r w:rsidRPr="008A10F0">
        <w:rPr>
          <w:rFonts w:asciiTheme="minorHAnsi" w:hAnsiTheme="minorHAnsi" w:cstheme="minorHAnsi"/>
          <w:lang w:val="el-GR"/>
        </w:rPr>
        <w:t xml:space="preserve"> </w:t>
      </w:r>
      <w:proofErr w:type="spellStart"/>
      <w:r>
        <w:rPr>
          <w:rFonts w:asciiTheme="minorHAnsi" w:hAnsiTheme="minorHAnsi" w:cstheme="minorHAnsi"/>
          <w:lang w:val="el-GR"/>
        </w:rPr>
        <w:t>μ</w:t>
      </w:r>
      <w:r w:rsidRPr="008A10F0">
        <w:rPr>
          <w:rFonts w:asciiTheme="minorHAnsi" w:hAnsiTheme="minorHAnsi" w:cstheme="minorHAnsi"/>
          <w:lang w:val="el-GR"/>
        </w:rPr>
        <w:t>’</w:t>
      </w:r>
      <w:r>
        <w:rPr>
          <w:rFonts w:asciiTheme="minorHAnsi" w:hAnsiTheme="minorHAnsi" w:cstheme="minorHAnsi"/>
          <w:lang w:val="el-GR"/>
        </w:rPr>
        <w:t>αυτό</w:t>
      </w:r>
      <w:proofErr w:type="spellEnd"/>
      <w:r w:rsidRPr="008A10F0">
        <w:rPr>
          <w:rFonts w:asciiTheme="minorHAnsi" w:hAnsiTheme="minorHAnsi" w:cstheme="minorHAnsi"/>
          <w:lang w:val="el-GR"/>
        </w:rPr>
        <w:t xml:space="preserve">, </w:t>
      </w:r>
      <w:r>
        <w:rPr>
          <w:rFonts w:asciiTheme="minorHAnsi" w:hAnsiTheme="minorHAnsi" w:cstheme="minorHAnsi"/>
          <w:lang w:val="el-GR"/>
        </w:rPr>
        <w:t>βλέπε</w:t>
      </w:r>
      <w:r w:rsidRPr="008A10F0">
        <w:rPr>
          <w:rFonts w:asciiTheme="minorHAnsi" w:hAnsiTheme="minorHAnsi" w:cstheme="minorHAnsi"/>
          <w:lang w:val="el-GR"/>
        </w:rPr>
        <w:t xml:space="preserve"> </w:t>
      </w:r>
      <w:r w:rsidR="00000000">
        <w:fldChar w:fldCharType="begin"/>
      </w:r>
      <w:r w:rsidR="00000000">
        <w:instrText>HYPERLINK</w:instrText>
      </w:r>
      <w:r w:rsidR="00000000" w:rsidRPr="00522AD3">
        <w:rPr>
          <w:lang w:val="el-GR"/>
        </w:rPr>
        <w:instrText xml:space="preserve"> "</w:instrText>
      </w:r>
      <w:r w:rsidR="00000000">
        <w:instrText>http</w:instrText>
      </w:r>
      <w:r w:rsidR="00000000" w:rsidRPr="00522AD3">
        <w:rPr>
          <w:lang w:val="el-GR"/>
        </w:rPr>
        <w:instrText>://</w:instrText>
      </w:r>
      <w:r w:rsidR="00000000">
        <w:instrText>rm</w:instrText>
      </w:r>
      <w:r w:rsidR="00000000" w:rsidRPr="00522AD3">
        <w:rPr>
          <w:lang w:val="el-GR"/>
        </w:rPr>
        <w:instrText>.</w:instrText>
      </w:r>
      <w:r w:rsidR="00000000">
        <w:instrText>coe</w:instrText>
      </w:r>
      <w:r w:rsidR="00000000" w:rsidRPr="00522AD3">
        <w:rPr>
          <w:lang w:val="el-GR"/>
        </w:rPr>
        <w:instrText>.</w:instrText>
      </w:r>
      <w:r w:rsidR="00000000">
        <w:instrText>int</w:instrText>
      </w:r>
      <w:r w:rsidR="00000000" w:rsidRPr="00522AD3">
        <w:rPr>
          <w:lang w:val="el-GR"/>
        </w:rPr>
        <w:instrText>/</w:instrText>
      </w:r>
      <w:r w:rsidR="00000000">
        <w:instrText>CoERMPublicCommonSearchServices</w:instrText>
      </w:r>
      <w:r w:rsidR="00000000" w:rsidRPr="00522AD3">
        <w:rPr>
          <w:lang w:val="el-GR"/>
        </w:rPr>
        <w:instrText>/</w:instrText>
      </w:r>
      <w:r w:rsidR="00000000">
        <w:instrText>DisplayDCTMContent</w:instrText>
      </w:r>
      <w:r w:rsidR="00000000" w:rsidRPr="00522AD3">
        <w:rPr>
          <w:lang w:val="el-GR"/>
        </w:rPr>
        <w:instrText>?</w:instrText>
      </w:r>
      <w:r w:rsidR="00000000">
        <w:instrText>documentId</w:instrText>
      </w:r>
      <w:r w:rsidR="00000000" w:rsidRPr="00522AD3">
        <w:rPr>
          <w:lang w:val="el-GR"/>
        </w:rPr>
        <w:instrText>=09000016806</w:instrText>
      </w:r>
      <w:r w:rsidR="00000000">
        <w:instrText>c</w:instrText>
      </w:r>
      <w:r w:rsidR="00000000" w:rsidRPr="00522AD3">
        <w:rPr>
          <w:lang w:val="el-GR"/>
        </w:rPr>
        <w:instrText>2</w:instrText>
      </w:r>
      <w:r w:rsidR="00000000">
        <w:instrText>fb</w:instrText>
      </w:r>
      <w:r w:rsidR="00000000" w:rsidRPr="00522AD3">
        <w:rPr>
          <w:lang w:val="el-GR"/>
        </w:rPr>
        <w:instrText>1"</w:instrText>
      </w:r>
      <w:r w:rsidR="00000000">
        <w:fldChar w:fldCharType="separate"/>
      </w:r>
      <w:r w:rsidRPr="00740E08">
        <w:rPr>
          <w:rStyle w:val="Hyperlink"/>
          <w:rFonts w:asciiTheme="minorHAnsi" w:hAnsiTheme="minorHAnsi" w:cstheme="minorHAnsi"/>
          <w:color w:val="000000" w:themeColor="text1"/>
        </w:rPr>
        <w:t>GRECO</w:t>
      </w:r>
      <w:r w:rsidRPr="00740E08">
        <w:rPr>
          <w:rStyle w:val="Hyperlink"/>
          <w:rFonts w:asciiTheme="minorHAnsi" w:hAnsiTheme="minorHAnsi" w:cstheme="minorHAnsi"/>
          <w:color w:val="000000" w:themeColor="text1"/>
          <w:lang w:val="el-GR"/>
        </w:rPr>
        <w:t>’</w:t>
      </w:r>
      <w:r w:rsidRPr="00740E08">
        <w:rPr>
          <w:rStyle w:val="Hyperlink"/>
          <w:rFonts w:asciiTheme="minorHAnsi" w:hAnsiTheme="minorHAnsi" w:cstheme="minorHAnsi"/>
          <w:color w:val="000000" w:themeColor="text1"/>
        </w:rPr>
        <w:t>s</w:t>
      </w:r>
      <w:r w:rsidRPr="00740E08">
        <w:rPr>
          <w:rStyle w:val="Hyperlink"/>
          <w:rFonts w:asciiTheme="minorHAnsi" w:hAnsiTheme="minorHAnsi" w:cstheme="minorHAnsi"/>
          <w:color w:val="000000" w:themeColor="text1"/>
          <w:lang w:val="el-GR"/>
        </w:rPr>
        <w:t xml:space="preserve"> </w:t>
      </w:r>
      <w:r w:rsidRPr="00740E08">
        <w:rPr>
          <w:rStyle w:val="Hyperlink"/>
          <w:rFonts w:asciiTheme="minorHAnsi" w:hAnsiTheme="minorHAnsi" w:cstheme="minorHAnsi"/>
          <w:color w:val="000000" w:themeColor="text1"/>
        </w:rPr>
        <w:t>Evaluation</w:t>
      </w:r>
      <w:r w:rsidRPr="00740E08">
        <w:rPr>
          <w:rStyle w:val="Hyperlink"/>
          <w:rFonts w:asciiTheme="minorHAnsi" w:hAnsiTheme="minorHAnsi" w:cstheme="minorHAnsi"/>
          <w:color w:val="000000" w:themeColor="text1"/>
          <w:lang w:val="el-GR"/>
        </w:rPr>
        <w:t xml:space="preserve"> </w:t>
      </w:r>
      <w:r w:rsidRPr="00740E08">
        <w:rPr>
          <w:rStyle w:val="Hyperlink"/>
          <w:rFonts w:asciiTheme="minorHAnsi" w:hAnsiTheme="minorHAnsi" w:cstheme="minorHAnsi"/>
          <w:color w:val="000000" w:themeColor="text1"/>
        </w:rPr>
        <w:t>Report</w:t>
      </w:r>
      <w:r w:rsidRPr="00740E08">
        <w:rPr>
          <w:rStyle w:val="Hyperlink"/>
          <w:rFonts w:asciiTheme="minorHAnsi" w:hAnsiTheme="minorHAnsi" w:cstheme="minorHAnsi"/>
          <w:color w:val="000000" w:themeColor="text1"/>
          <w:lang w:val="el-GR"/>
        </w:rPr>
        <w:t xml:space="preserve"> (</w:t>
      </w:r>
      <w:r w:rsidRPr="00740E08">
        <w:rPr>
          <w:rStyle w:val="Hyperlink"/>
          <w:rFonts w:asciiTheme="minorHAnsi" w:hAnsiTheme="minorHAnsi" w:cstheme="minorHAnsi"/>
          <w:color w:val="000000" w:themeColor="text1"/>
        </w:rPr>
        <w:t>Fourth</w:t>
      </w:r>
      <w:r w:rsidRPr="00740E08">
        <w:rPr>
          <w:rStyle w:val="Hyperlink"/>
          <w:rFonts w:asciiTheme="minorHAnsi" w:hAnsiTheme="minorHAnsi" w:cstheme="minorHAnsi"/>
          <w:color w:val="000000" w:themeColor="text1"/>
          <w:lang w:val="el-GR"/>
        </w:rPr>
        <w:t xml:space="preserve"> </w:t>
      </w:r>
      <w:r w:rsidRPr="00740E08">
        <w:rPr>
          <w:rStyle w:val="Hyperlink"/>
          <w:rFonts w:asciiTheme="minorHAnsi" w:hAnsiTheme="minorHAnsi" w:cstheme="minorHAnsi"/>
          <w:color w:val="000000" w:themeColor="text1"/>
        </w:rPr>
        <w:t>Round</w:t>
      </w:r>
      <w:r w:rsidRPr="00740E08">
        <w:rPr>
          <w:rStyle w:val="Hyperlink"/>
          <w:rFonts w:asciiTheme="minorHAnsi" w:hAnsiTheme="minorHAnsi" w:cstheme="minorHAnsi"/>
          <w:color w:val="000000" w:themeColor="text1"/>
          <w:lang w:val="el-GR"/>
        </w:rPr>
        <w:t>)</w:t>
      </w:r>
      <w:r w:rsidR="00000000">
        <w:rPr>
          <w:rStyle w:val="Hyperlink"/>
          <w:rFonts w:asciiTheme="minorHAnsi" w:hAnsiTheme="minorHAnsi" w:cstheme="minorHAnsi"/>
          <w:color w:val="000000" w:themeColor="text1"/>
          <w:lang w:val="el-GR"/>
        </w:rPr>
        <w:fldChar w:fldCharType="end"/>
      </w:r>
      <w:r w:rsidRPr="00740E08">
        <w:rPr>
          <w:rFonts w:asciiTheme="minorHAnsi" w:hAnsiTheme="minorHAnsi" w:cstheme="minorHAnsi"/>
          <w:color w:val="000000" w:themeColor="text1"/>
          <w:lang w:val="el-GR"/>
        </w:rPr>
        <w:t>.</w:t>
      </w:r>
    </w:p>
  </w:footnote>
  <w:footnote w:id="18">
    <w:p w14:paraId="3F34AD95" w14:textId="0431EF0F" w:rsidR="00071F64" w:rsidRPr="00740E08" w:rsidRDefault="00071F64" w:rsidP="00A5147D">
      <w:pPr>
        <w:pStyle w:val="FootnoteText"/>
        <w:rPr>
          <w:color w:val="000000" w:themeColor="text1"/>
          <w:lang w:val="el-GR"/>
        </w:rPr>
      </w:pPr>
      <w:r w:rsidRPr="00740E08">
        <w:rPr>
          <w:rStyle w:val="FootnoteReference"/>
          <w:color w:val="000000" w:themeColor="text1"/>
        </w:rPr>
        <w:footnoteRef/>
      </w:r>
      <w:r w:rsidRPr="00740E08">
        <w:rPr>
          <w:color w:val="000000" w:themeColor="text1"/>
          <w:lang w:val="el-GR"/>
        </w:rPr>
        <w:t xml:space="preserve"> </w:t>
      </w:r>
      <w:r w:rsidRPr="00740E08">
        <w:rPr>
          <w:rFonts w:asciiTheme="minorHAnsi" w:hAnsiTheme="minorHAnsi" w:cstheme="minorHAnsi"/>
          <w:color w:val="000000" w:themeColor="text1"/>
          <w:lang w:val="el-GR"/>
        </w:rPr>
        <w:t xml:space="preserve">Για περισσότερες πληροφορίες σχετικά </w:t>
      </w:r>
      <w:proofErr w:type="spellStart"/>
      <w:r w:rsidRPr="00740E08">
        <w:rPr>
          <w:rFonts w:asciiTheme="minorHAnsi" w:hAnsiTheme="minorHAnsi" w:cstheme="minorHAnsi"/>
          <w:color w:val="000000" w:themeColor="text1"/>
          <w:lang w:val="el-GR"/>
        </w:rPr>
        <w:t>μ’αυτό</w:t>
      </w:r>
      <w:proofErr w:type="spellEnd"/>
      <w:r w:rsidRPr="00740E08">
        <w:rPr>
          <w:rFonts w:asciiTheme="minorHAnsi" w:hAnsiTheme="minorHAnsi" w:cstheme="minorHAnsi"/>
          <w:color w:val="000000" w:themeColor="text1"/>
          <w:lang w:val="el-GR"/>
        </w:rPr>
        <w:t xml:space="preserve">, βλέπε </w:t>
      </w:r>
      <w:r w:rsidR="00000000">
        <w:fldChar w:fldCharType="begin"/>
      </w:r>
      <w:r w:rsidR="00000000">
        <w:instrText>HYPERLINK</w:instrText>
      </w:r>
      <w:r w:rsidR="00000000" w:rsidRPr="00522AD3">
        <w:rPr>
          <w:lang w:val="el-GR"/>
        </w:rPr>
        <w:instrText xml:space="preserve"> "</w:instrText>
      </w:r>
      <w:r w:rsidR="00000000">
        <w:instrText>http</w:instrText>
      </w:r>
      <w:r w:rsidR="00000000" w:rsidRPr="00522AD3">
        <w:rPr>
          <w:lang w:val="el-GR"/>
        </w:rPr>
        <w:instrText>://</w:instrText>
      </w:r>
      <w:r w:rsidR="00000000">
        <w:instrText>rm</w:instrText>
      </w:r>
      <w:r w:rsidR="00000000" w:rsidRPr="00522AD3">
        <w:rPr>
          <w:lang w:val="el-GR"/>
        </w:rPr>
        <w:instrText>.</w:instrText>
      </w:r>
      <w:r w:rsidR="00000000">
        <w:instrText>coe</w:instrText>
      </w:r>
      <w:r w:rsidR="00000000" w:rsidRPr="00522AD3">
        <w:rPr>
          <w:lang w:val="el-GR"/>
        </w:rPr>
        <w:instrText>.</w:instrText>
      </w:r>
      <w:r w:rsidR="00000000">
        <w:instrText>int</w:instrText>
      </w:r>
      <w:r w:rsidR="00000000" w:rsidRPr="00522AD3">
        <w:rPr>
          <w:lang w:val="el-GR"/>
        </w:rPr>
        <w:instrText>/</w:instrText>
      </w:r>
      <w:r w:rsidR="00000000">
        <w:instrText>CoERMPublicCommonSearchServices</w:instrText>
      </w:r>
      <w:r w:rsidR="00000000" w:rsidRPr="00522AD3">
        <w:rPr>
          <w:lang w:val="el-GR"/>
        </w:rPr>
        <w:instrText>/</w:instrText>
      </w:r>
      <w:r w:rsidR="00000000">
        <w:instrText>DisplayDCTMContent</w:instrText>
      </w:r>
      <w:r w:rsidR="00000000" w:rsidRPr="00522AD3">
        <w:rPr>
          <w:lang w:val="el-GR"/>
        </w:rPr>
        <w:instrText>?</w:instrText>
      </w:r>
      <w:r w:rsidR="00000000">
        <w:instrText>documentId</w:instrText>
      </w:r>
      <w:r w:rsidR="00000000" w:rsidRPr="00522AD3">
        <w:rPr>
          <w:lang w:val="el-GR"/>
        </w:rPr>
        <w:instrText>=09000016806</w:instrText>
      </w:r>
      <w:r w:rsidR="00000000">
        <w:instrText>c</w:instrText>
      </w:r>
      <w:r w:rsidR="00000000" w:rsidRPr="00522AD3">
        <w:rPr>
          <w:lang w:val="el-GR"/>
        </w:rPr>
        <w:instrText>2</w:instrText>
      </w:r>
      <w:r w:rsidR="00000000">
        <w:instrText>fb</w:instrText>
      </w:r>
      <w:r w:rsidR="00000000" w:rsidRPr="00522AD3">
        <w:rPr>
          <w:lang w:val="el-GR"/>
        </w:rPr>
        <w:instrText>1"</w:instrText>
      </w:r>
      <w:r w:rsidR="00000000">
        <w:fldChar w:fldCharType="separate"/>
      </w:r>
      <w:r w:rsidRPr="00740E08">
        <w:rPr>
          <w:rStyle w:val="Hyperlink"/>
          <w:rFonts w:asciiTheme="minorHAnsi" w:hAnsiTheme="minorHAnsi" w:cstheme="minorHAnsi"/>
          <w:color w:val="000000" w:themeColor="text1"/>
        </w:rPr>
        <w:t>GRECO</w:t>
      </w:r>
      <w:r w:rsidRPr="00740E08">
        <w:rPr>
          <w:rStyle w:val="Hyperlink"/>
          <w:rFonts w:asciiTheme="minorHAnsi" w:hAnsiTheme="minorHAnsi" w:cstheme="minorHAnsi"/>
          <w:color w:val="000000" w:themeColor="text1"/>
          <w:lang w:val="el-GR"/>
        </w:rPr>
        <w:t>’</w:t>
      </w:r>
      <w:r w:rsidRPr="00740E08">
        <w:rPr>
          <w:rStyle w:val="Hyperlink"/>
          <w:rFonts w:asciiTheme="minorHAnsi" w:hAnsiTheme="minorHAnsi" w:cstheme="minorHAnsi"/>
          <w:color w:val="000000" w:themeColor="text1"/>
        </w:rPr>
        <w:t>s</w:t>
      </w:r>
      <w:r w:rsidRPr="00740E08">
        <w:rPr>
          <w:rStyle w:val="Hyperlink"/>
          <w:rFonts w:asciiTheme="minorHAnsi" w:hAnsiTheme="minorHAnsi" w:cstheme="minorHAnsi"/>
          <w:color w:val="000000" w:themeColor="text1"/>
          <w:lang w:val="el-GR"/>
        </w:rPr>
        <w:t xml:space="preserve"> </w:t>
      </w:r>
      <w:r w:rsidRPr="00740E08">
        <w:rPr>
          <w:rStyle w:val="Hyperlink"/>
          <w:rFonts w:asciiTheme="minorHAnsi" w:hAnsiTheme="minorHAnsi" w:cstheme="minorHAnsi"/>
          <w:color w:val="000000" w:themeColor="text1"/>
        </w:rPr>
        <w:t>Evaluation</w:t>
      </w:r>
      <w:r w:rsidRPr="00740E08">
        <w:rPr>
          <w:rStyle w:val="Hyperlink"/>
          <w:rFonts w:asciiTheme="minorHAnsi" w:hAnsiTheme="minorHAnsi" w:cstheme="minorHAnsi"/>
          <w:color w:val="000000" w:themeColor="text1"/>
          <w:lang w:val="el-GR"/>
        </w:rPr>
        <w:t xml:space="preserve"> </w:t>
      </w:r>
      <w:r w:rsidRPr="00740E08">
        <w:rPr>
          <w:rStyle w:val="Hyperlink"/>
          <w:rFonts w:asciiTheme="minorHAnsi" w:hAnsiTheme="minorHAnsi" w:cstheme="minorHAnsi"/>
          <w:color w:val="000000" w:themeColor="text1"/>
        </w:rPr>
        <w:t>Report</w:t>
      </w:r>
      <w:r w:rsidRPr="00740E08">
        <w:rPr>
          <w:rStyle w:val="Hyperlink"/>
          <w:rFonts w:asciiTheme="minorHAnsi" w:hAnsiTheme="minorHAnsi" w:cstheme="minorHAnsi"/>
          <w:color w:val="000000" w:themeColor="text1"/>
          <w:lang w:val="el-GR"/>
        </w:rPr>
        <w:t xml:space="preserve"> (</w:t>
      </w:r>
      <w:r w:rsidRPr="00740E08">
        <w:rPr>
          <w:rStyle w:val="Hyperlink"/>
          <w:rFonts w:asciiTheme="minorHAnsi" w:hAnsiTheme="minorHAnsi" w:cstheme="minorHAnsi"/>
          <w:color w:val="000000" w:themeColor="text1"/>
        </w:rPr>
        <w:t>Fourth</w:t>
      </w:r>
      <w:r w:rsidRPr="00740E08">
        <w:rPr>
          <w:rStyle w:val="Hyperlink"/>
          <w:rFonts w:asciiTheme="minorHAnsi" w:hAnsiTheme="minorHAnsi" w:cstheme="minorHAnsi"/>
          <w:color w:val="000000" w:themeColor="text1"/>
          <w:lang w:val="el-GR"/>
        </w:rPr>
        <w:t xml:space="preserve"> </w:t>
      </w:r>
      <w:r w:rsidRPr="00740E08">
        <w:rPr>
          <w:rStyle w:val="Hyperlink"/>
          <w:rFonts w:asciiTheme="minorHAnsi" w:hAnsiTheme="minorHAnsi" w:cstheme="minorHAnsi"/>
          <w:color w:val="000000" w:themeColor="text1"/>
        </w:rPr>
        <w:t>Round</w:t>
      </w:r>
      <w:r w:rsidRPr="00740E08">
        <w:rPr>
          <w:rStyle w:val="Hyperlink"/>
          <w:rFonts w:asciiTheme="minorHAnsi" w:hAnsiTheme="minorHAnsi" w:cstheme="minorHAnsi"/>
          <w:color w:val="000000" w:themeColor="text1"/>
          <w:lang w:val="el-GR"/>
        </w:rPr>
        <w:t>)</w:t>
      </w:r>
      <w:r w:rsidR="00000000">
        <w:rPr>
          <w:rStyle w:val="Hyperlink"/>
          <w:rFonts w:asciiTheme="minorHAnsi" w:hAnsiTheme="minorHAnsi" w:cstheme="minorHAnsi"/>
          <w:color w:val="000000" w:themeColor="text1"/>
          <w:lang w:val="el-GR"/>
        </w:rPr>
        <w:fldChar w:fldCharType="end"/>
      </w:r>
      <w:r w:rsidRPr="00740E08">
        <w:rPr>
          <w:rFonts w:asciiTheme="minorHAnsi" w:hAnsiTheme="minorHAnsi" w:cstheme="minorHAnsi"/>
          <w:color w:val="000000" w:themeColor="text1"/>
          <w:lang w:val="el-GR"/>
        </w:rPr>
        <w:t>.</w:t>
      </w:r>
    </w:p>
  </w:footnote>
  <w:footnote w:id="19">
    <w:p w14:paraId="62F3F0DD" w14:textId="3CBDB72E" w:rsidR="00071F64" w:rsidRPr="00220066" w:rsidRDefault="00071F64" w:rsidP="00A5147D">
      <w:pPr>
        <w:pStyle w:val="FootnoteText"/>
        <w:rPr>
          <w:rFonts w:asciiTheme="minorHAnsi" w:hAnsiTheme="minorHAnsi" w:cstheme="minorHAnsi"/>
          <w:lang w:val="fr-FR"/>
        </w:rPr>
      </w:pPr>
      <w:r w:rsidRPr="00B47EA7">
        <w:rPr>
          <w:rStyle w:val="FootnoteReference"/>
          <w:rFonts w:asciiTheme="minorHAnsi" w:hAnsiTheme="minorHAnsi" w:cstheme="minorHAnsi"/>
        </w:rPr>
        <w:footnoteRef/>
      </w:r>
      <w:r w:rsidRPr="00220066">
        <w:rPr>
          <w:rFonts w:asciiTheme="minorHAnsi" w:hAnsiTheme="minorHAnsi" w:cstheme="minorHAnsi"/>
          <w:lang w:val="fr-FR"/>
        </w:rPr>
        <w:t xml:space="preserve"> </w:t>
      </w:r>
      <w:r>
        <w:rPr>
          <w:rFonts w:asciiTheme="minorHAnsi" w:hAnsiTheme="minorHAnsi" w:cstheme="minorHAnsi"/>
          <w:lang w:val="el-GR"/>
        </w:rPr>
        <w:t>Άρθρα</w:t>
      </w:r>
      <w:r w:rsidRPr="00220066">
        <w:rPr>
          <w:rFonts w:asciiTheme="minorHAnsi" w:hAnsiTheme="minorHAnsi" w:cstheme="minorHAnsi"/>
          <w:lang w:val="fr-FR"/>
        </w:rPr>
        <w:t xml:space="preserve"> 36-37, </w:t>
      </w:r>
      <w:r>
        <w:rPr>
          <w:rFonts w:asciiTheme="minorHAnsi" w:hAnsiTheme="minorHAnsi" w:cstheme="minorHAnsi"/>
          <w:lang w:val="el-GR"/>
        </w:rPr>
        <w:t>Σύνταγμα</w:t>
      </w:r>
      <w:r w:rsidRPr="00220066">
        <w:rPr>
          <w:rFonts w:asciiTheme="minorHAnsi" w:hAnsiTheme="minorHAnsi" w:cstheme="minorHAnsi"/>
          <w:lang w:val="fr-FR"/>
        </w:rPr>
        <w:t>.</w:t>
      </w:r>
    </w:p>
  </w:footnote>
  <w:footnote w:id="20">
    <w:p w14:paraId="436C2FEB" w14:textId="031EAF7B" w:rsidR="00071F64" w:rsidRPr="00220066" w:rsidRDefault="00071F64" w:rsidP="00A5147D">
      <w:pPr>
        <w:pStyle w:val="FootnoteText"/>
        <w:rPr>
          <w:rFonts w:asciiTheme="minorHAnsi" w:hAnsiTheme="minorHAnsi" w:cstheme="minorHAnsi"/>
          <w:lang w:val="fr-FR"/>
        </w:rPr>
      </w:pPr>
      <w:r w:rsidRPr="00B47EA7">
        <w:rPr>
          <w:rStyle w:val="FootnoteReference"/>
          <w:rFonts w:asciiTheme="minorHAnsi" w:hAnsiTheme="minorHAnsi" w:cstheme="minorHAnsi"/>
        </w:rPr>
        <w:footnoteRef/>
      </w:r>
      <w:r w:rsidRPr="00220066">
        <w:rPr>
          <w:rFonts w:asciiTheme="minorHAnsi" w:hAnsiTheme="minorHAnsi" w:cstheme="minorHAnsi"/>
          <w:lang w:val="fr-FR"/>
        </w:rPr>
        <w:t xml:space="preserve"> </w:t>
      </w:r>
      <w:r>
        <w:rPr>
          <w:rFonts w:asciiTheme="minorHAnsi" w:hAnsiTheme="minorHAnsi" w:cstheme="minorHAnsi"/>
          <w:lang w:val="el-GR"/>
        </w:rPr>
        <w:t xml:space="preserve">Άρθρα </w:t>
      </w:r>
      <w:r w:rsidRPr="00220066">
        <w:rPr>
          <w:rFonts w:asciiTheme="minorHAnsi" w:hAnsiTheme="minorHAnsi" w:cstheme="minorHAnsi"/>
          <w:lang w:val="fr-FR"/>
        </w:rPr>
        <w:t xml:space="preserve">39 </w:t>
      </w:r>
      <w:r>
        <w:rPr>
          <w:rFonts w:asciiTheme="minorHAnsi" w:hAnsiTheme="minorHAnsi" w:cstheme="minorHAnsi"/>
          <w:lang w:val="el-GR"/>
        </w:rPr>
        <w:t>και</w:t>
      </w:r>
      <w:r w:rsidRPr="00220066">
        <w:rPr>
          <w:rFonts w:asciiTheme="minorHAnsi" w:hAnsiTheme="minorHAnsi" w:cstheme="minorHAnsi"/>
          <w:lang w:val="fr-FR"/>
        </w:rPr>
        <w:t xml:space="preserve"> 43, </w:t>
      </w:r>
      <w:r>
        <w:rPr>
          <w:rFonts w:asciiTheme="minorHAnsi" w:hAnsiTheme="minorHAnsi" w:cstheme="minorHAnsi"/>
          <w:lang w:val="el-GR"/>
        </w:rPr>
        <w:t>Σύνταγμα</w:t>
      </w:r>
      <w:r w:rsidRPr="00220066">
        <w:rPr>
          <w:rFonts w:asciiTheme="minorHAnsi" w:hAnsiTheme="minorHAnsi" w:cstheme="minorHAnsi"/>
          <w:lang w:val="fr-FR"/>
        </w:rPr>
        <w:t>.</w:t>
      </w:r>
    </w:p>
  </w:footnote>
  <w:footnote w:id="21">
    <w:p w14:paraId="287717D9" w14:textId="693FBCD4" w:rsidR="00071F64" w:rsidRPr="00220066" w:rsidRDefault="00071F64" w:rsidP="00A5147D">
      <w:pPr>
        <w:pStyle w:val="FootnoteText"/>
        <w:rPr>
          <w:rFonts w:asciiTheme="minorHAnsi" w:hAnsiTheme="minorHAnsi" w:cstheme="minorHAnsi"/>
          <w:lang w:val="fr-FR"/>
        </w:rPr>
      </w:pPr>
      <w:r w:rsidRPr="00B47EA7">
        <w:rPr>
          <w:rStyle w:val="FootnoteReference"/>
          <w:rFonts w:asciiTheme="minorHAnsi" w:hAnsiTheme="minorHAnsi" w:cstheme="minorHAnsi"/>
        </w:rPr>
        <w:footnoteRef/>
      </w:r>
      <w:r w:rsidRPr="00220066">
        <w:rPr>
          <w:rFonts w:asciiTheme="minorHAnsi" w:hAnsiTheme="minorHAnsi" w:cstheme="minorHAnsi"/>
          <w:lang w:val="fr-FR"/>
        </w:rPr>
        <w:t xml:space="preserve"> </w:t>
      </w:r>
      <w:r>
        <w:rPr>
          <w:rFonts w:asciiTheme="minorHAnsi" w:hAnsiTheme="minorHAnsi" w:cstheme="minorHAnsi"/>
          <w:lang w:val="el-GR"/>
        </w:rPr>
        <w:t>Άρθρο</w:t>
      </w:r>
      <w:r w:rsidRPr="00220066">
        <w:rPr>
          <w:rFonts w:asciiTheme="minorHAnsi" w:hAnsiTheme="minorHAnsi" w:cstheme="minorHAnsi"/>
          <w:lang w:val="fr-FR"/>
        </w:rPr>
        <w:t xml:space="preserve"> 48, </w:t>
      </w:r>
      <w:r>
        <w:rPr>
          <w:rFonts w:asciiTheme="minorHAnsi" w:hAnsiTheme="minorHAnsi" w:cstheme="minorHAnsi"/>
          <w:lang w:val="el-GR"/>
        </w:rPr>
        <w:t>Σύνταγμα</w:t>
      </w:r>
      <w:r w:rsidRPr="00220066">
        <w:rPr>
          <w:rFonts w:asciiTheme="minorHAnsi" w:hAnsiTheme="minorHAnsi" w:cstheme="minorHAnsi"/>
          <w:lang w:val="fr-FR"/>
        </w:rPr>
        <w:t>.</w:t>
      </w:r>
    </w:p>
  </w:footnote>
  <w:footnote w:id="22">
    <w:p w14:paraId="7BDAB2A0" w14:textId="2C5BE246" w:rsidR="00071F64" w:rsidRPr="00B95983" w:rsidRDefault="00071F64" w:rsidP="00A5147D">
      <w:pPr>
        <w:autoSpaceDE w:val="0"/>
        <w:autoSpaceDN w:val="0"/>
        <w:adjustRightInd w:val="0"/>
        <w:rPr>
          <w:rFonts w:cstheme="minorHAnsi"/>
          <w:sz w:val="20"/>
          <w:szCs w:val="20"/>
          <w:lang w:val="fr-FR"/>
        </w:rPr>
      </w:pPr>
      <w:r w:rsidRPr="00B47EA7">
        <w:rPr>
          <w:rStyle w:val="FootnoteReference"/>
          <w:rFonts w:cstheme="minorHAnsi"/>
          <w:sz w:val="20"/>
          <w:szCs w:val="20"/>
        </w:rPr>
        <w:footnoteRef/>
      </w:r>
      <w:r w:rsidRPr="00220066">
        <w:rPr>
          <w:rFonts w:cstheme="minorHAnsi"/>
          <w:sz w:val="20"/>
          <w:szCs w:val="20"/>
          <w:lang w:val="fr-FR"/>
        </w:rPr>
        <w:t xml:space="preserve"> </w:t>
      </w:r>
      <w:r>
        <w:rPr>
          <w:rFonts w:cstheme="minorHAnsi"/>
          <w:sz w:val="20"/>
          <w:szCs w:val="20"/>
          <w:lang w:val="el-GR"/>
        </w:rPr>
        <w:t>Άρθρο</w:t>
      </w:r>
      <w:r w:rsidRPr="00B95983">
        <w:rPr>
          <w:rFonts w:eastAsia="Times New Roman" w:cstheme="minorHAnsi"/>
          <w:sz w:val="20"/>
          <w:szCs w:val="20"/>
          <w:lang w:val="fr-FR" w:eastAsia="fr-FR"/>
        </w:rPr>
        <w:t xml:space="preserve"> 51, </w:t>
      </w:r>
      <w:r>
        <w:rPr>
          <w:rFonts w:eastAsia="Times New Roman" w:cstheme="minorHAnsi"/>
          <w:sz w:val="20"/>
          <w:szCs w:val="20"/>
          <w:lang w:val="el-GR" w:eastAsia="fr-FR"/>
        </w:rPr>
        <w:t>Σύνταγμα</w:t>
      </w:r>
      <w:r w:rsidRPr="00B95983">
        <w:rPr>
          <w:rFonts w:eastAsia="Times New Roman" w:cstheme="minorHAnsi"/>
          <w:sz w:val="20"/>
          <w:szCs w:val="20"/>
          <w:lang w:val="fr-FR" w:eastAsia="fr-FR"/>
        </w:rPr>
        <w:t xml:space="preserve">.  </w:t>
      </w:r>
    </w:p>
  </w:footnote>
  <w:footnote w:id="23">
    <w:p w14:paraId="10039951" w14:textId="09AAAAB0" w:rsidR="00071F64" w:rsidRPr="00B95983" w:rsidRDefault="00071F64" w:rsidP="00A5147D">
      <w:pPr>
        <w:pStyle w:val="FootnoteText"/>
        <w:rPr>
          <w:rFonts w:asciiTheme="minorHAnsi" w:hAnsiTheme="minorHAnsi" w:cstheme="minorHAnsi"/>
          <w:lang w:val="fr-FR"/>
        </w:rPr>
      </w:pPr>
      <w:r w:rsidRPr="00B95983">
        <w:rPr>
          <w:rStyle w:val="FootnoteReference"/>
          <w:rFonts w:asciiTheme="minorHAnsi" w:hAnsiTheme="minorHAnsi" w:cstheme="minorHAnsi"/>
        </w:rPr>
        <w:footnoteRef/>
      </w:r>
      <w:r w:rsidRPr="00B95983">
        <w:rPr>
          <w:rFonts w:asciiTheme="minorHAnsi" w:hAnsiTheme="minorHAnsi" w:cstheme="minorHAnsi"/>
          <w:lang w:val="fr-FR"/>
        </w:rPr>
        <w:t xml:space="preserve"> </w:t>
      </w:r>
      <w:r>
        <w:rPr>
          <w:rFonts w:asciiTheme="minorHAnsi" w:hAnsiTheme="minorHAnsi" w:cstheme="minorHAnsi"/>
          <w:lang w:val="el-GR"/>
        </w:rPr>
        <w:t>Άρθρο</w:t>
      </w:r>
      <w:r w:rsidRPr="00B95983">
        <w:rPr>
          <w:rFonts w:asciiTheme="minorHAnsi" w:hAnsiTheme="minorHAnsi" w:cstheme="minorHAnsi"/>
          <w:lang w:val="fr-FR"/>
        </w:rPr>
        <w:t xml:space="preserve"> 140, </w:t>
      </w:r>
      <w:r>
        <w:rPr>
          <w:rFonts w:asciiTheme="minorHAnsi" w:hAnsiTheme="minorHAnsi" w:cstheme="minorHAnsi"/>
          <w:lang w:val="el-GR"/>
        </w:rPr>
        <w:t>Σύνταγμα</w:t>
      </w:r>
      <w:r w:rsidRPr="00B95983">
        <w:rPr>
          <w:rFonts w:asciiTheme="minorHAnsi" w:hAnsiTheme="minorHAnsi" w:cstheme="minorHAnsi"/>
          <w:lang w:val="fr-FR"/>
        </w:rPr>
        <w:t>.</w:t>
      </w:r>
    </w:p>
  </w:footnote>
  <w:footnote w:id="24">
    <w:p w14:paraId="751D6F32" w14:textId="58616EBC" w:rsidR="00071F64" w:rsidRPr="00B95983" w:rsidRDefault="00071F64" w:rsidP="00A5147D">
      <w:pPr>
        <w:pStyle w:val="FootnoteText"/>
        <w:rPr>
          <w:rFonts w:asciiTheme="minorHAnsi" w:hAnsiTheme="minorHAnsi" w:cstheme="minorHAnsi"/>
          <w:lang w:val="fr-FR"/>
        </w:rPr>
      </w:pPr>
      <w:r w:rsidRPr="00B95983">
        <w:rPr>
          <w:rStyle w:val="FootnoteReference"/>
          <w:rFonts w:asciiTheme="minorHAnsi" w:hAnsiTheme="minorHAnsi" w:cstheme="minorHAnsi"/>
        </w:rPr>
        <w:footnoteRef/>
      </w:r>
      <w:r w:rsidRPr="00B95983">
        <w:rPr>
          <w:rFonts w:asciiTheme="minorHAnsi" w:hAnsiTheme="minorHAnsi" w:cstheme="minorHAnsi"/>
          <w:lang w:val="fr-FR"/>
        </w:rPr>
        <w:t xml:space="preserve"> </w:t>
      </w:r>
      <w:r>
        <w:rPr>
          <w:rFonts w:asciiTheme="minorHAnsi" w:hAnsiTheme="minorHAnsi" w:cstheme="minorHAnsi"/>
          <w:lang w:val="el-GR"/>
        </w:rPr>
        <w:t>Άρθρο</w:t>
      </w:r>
      <w:r w:rsidRPr="00B95983">
        <w:rPr>
          <w:rFonts w:asciiTheme="minorHAnsi" w:hAnsiTheme="minorHAnsi" w:cstheme="minorHAnsi"/>
          <w:lang w:val="fr-FR"/>
        </w:rPr>
        <w:t xml:space="preserve"> 138, </w:t>
      </w:r>
      <w:r>
        <w:rPr>
          <w:rFonts w:asciiTheme="minorHAnsi" w:hAnsiTheme="minorHAnsi" w:cstheme="minorHAnsi"/>
          <w:lang w:val="el-GR"/>
        </w:rPr>
        <w:t>Σύνταγμα</w:t>
      </w:r>
      <w:r w:rsidRPr="00B95983">
        <w:rPr>
          <w:rFonts w:asciiTheme="minorHAnsi" w:hAnsiTheme="minorHAnsi" w:cstheme="minorHAnsi"/>
          <w:lang w:val="fr-FR"/>
        </w:rPr>
        <w:t>.</w:t>
      </w:r>
    </w:p>
  </w:footnote>
  <w:footnote w:id="25">
    <w:p w14:paraId="053FC8E7" w14:textId="7B1CDD3B" w:rsidR="00071F64" w:rsidRPr="00220066" w:rsidRDefault="00071F64" w:rsidP="00A5147D">
      <w:pPr>
        <w:pStyle w:val="FootnoteText"/>
        <w:rPr>
          <w:rFonts w:asciiTheme="minorHAnsi" w:hAnsiTheme="minorHAnsi" w:cstheme="minorHAnsi"/>
          <w:lang w:val="fr-FR"/>
        </w:rPr>
      </w:pPr>
      <w:r w:rsidRPr="00B95983">
        <w:rPr>
          <w:rStyle w:val="FootnoteReference"/>
          <w:rFonts w:asciiTheme="minorHAnsi" w:hAnsiTheme="minorHAnsi" w:cstheme="minorHAnsi"/>
        </w:rPr>
        <w:footnoteRef/>
      </w:r>
      <w:r w:rsidRPr="00B95983">
        <w:rPr>
          <w:rFonts w:asciiTheme="minorHAnsi" w:hAnsiTheme="minorHAnsi" w:cstheme="minorHAnsi"/>
          <w:lang w:val="fr-FR"/>
        </w:rPr>
        <w:t xml:space="preserve"> </w:t>
      </w:r>
      <w:r>
        <w:rPr>
          <w:rFonts w:asciiTheme="minorHAnsi" w:hAnsiTheme="minorHAnsi" w:cstheme="minorHAnsi"/>
          <w:lang w:val="el-GR"/>
        </w:rPr>
        <w:t>Άρθρο</w:t>
      </w:r>
      <w:r w:rsidRPr="00B95983">
        <w:rPr>
          <w:rFonts w:asciiTheme="minorHAnsi" w:hAnsiTheme="minorHAnsi" w:cstheme="minorHAnsi"/>
          <w:lang w:val="fr-FR"/>
        </w:rPr>
        <w:t xml:space="preserve"> 141, </w:t>
      </w:r>
      <w:r>
        <w:rPr>
          <w:rFonts w:asciiTheme="minorHAnsi" w:hAnsiTheme="minorHAnsi" w:cstheme="minorHAnsi"/>
          <w:lang w:val="el-GR"/>
        </w:rPr>
        <w:t>Σύνταγμα</w:t>
      </w:r>
      <w:r w:rsidRPr="00B95983">
        <w:rPr>
          <w:rFonts w:asciiTheme="minorHAnsi" w:hAnsiTheme="minorHAnsi" w:cstheme="minorHAnsi"/>
          <w:lang w:val="fr-FR"/>
        </w:rPr>
        <w:t>.</w:t>
      </w:r>
    </w:p>
  </w:footnote>
  <w:footnote w:id="26">
    <w:p w14:paraId="7B0B0395" w14:textId="77777777" w:rsidR="00071F64" w:rsidRPr="00220066" w:rsidRDefault="00071F64" w:rsidP="00A5147D">
      <w:pPr>
        <w:pStyle w:val="FootnoteText"/>
        <w:rPr>
          <w:rFonts w:asciiTheme="minorHAnsi" w:hAnsiTheme="minorHAnsi" w:cstheme="minorHAnsi"/>
          <w:lang w:val="fr-FR"/>
        </w:rPr>
      </w:pPr>
      <w:r w:rsidRPr="00B47EA7">
        <w:rPr>
          <w:rStyle w:val="FootnoteReference"/>
          <w:rFonts w:asciiTheme="minorHAnsi" w:hAnsiTheme="minorHAnsi" w:cstheme="minorHAnsi"/>
        </w:rPr>
        <w:footnoteRef/>
      </w:r>
      <w:r w:rsidRPr="00220066">
        <w:rPr>
          <w:rFonts w:asciiTheme="minorHAnsi" w:hAnsiTheme="minorHAnsi" w:cstheme="minorHAnsi"/>
          <w:lang w:val="fr-FR"/>
        </w:rPr>
        <w:t xml:space="preserve"> </w:t>
      </w:r>
      <w:r w:rsidR="00000000">
        <w:fldChar w:fldCharType="begin"/>
      </w:r>
      <w:r w:rsidR="00000000">
        <w:instrText>HYPERLINK</w:instrText>
      </w:r>
      <w:r w:rsidR="00000000" w:rsidRPr="00522AD3">
        <w:rPr>
          <w:lang w:val="el-GR"/>
        </w:rPr>
        <w:instrText xml:space="preserve"> "</w:instrText>
      </w:r>
      <w:r w:rsidR="00000000">
        <w:instrText>https</w:instrText>
      </w:r>
      <w:r w:rsidR="00000000" w:rsidRPr="00522AD3">
        <w:rPr>
          <w:lang w:val="el-GR"/>
        </w:rPr>
        <w:instrText>://</w:instrText>
      </w:r>
      <w:r w:rsidR="00000000">
        <w:instrText>e</w:instrText>
      </w:r>
      <w:r w:rsidR="00000000" w:rsidRPr="00522AD3">
        <w:rPr>
          <w:lang w:val="el-GR"/>
        </w:rPr>
        <w:instrText>-</w:instrText>
      </w:r>
      <w:r w:rsidR="00000000">
        <w:instrText>justice</w:instrText>
      </w:r>
      <w:r w:rsidR="00000000" w:rsidRPr="00522AD3">
        <w:rPr>
          <w:lang w:val="el-GR"/>
        </w:rPr>
        <w:instrText>.</w:instrText>
      </w:r>
      <w:r w:rsidR="00000000">
        <w:instrText>europa</w:instrText>
      </w:r>
      <w:r w:rsidR="00000000" w:rsidRPr="00522AD3">
        <w:rPr>
          <w:lang w:val="el-GR"/>
        </w:rPr>
        <w:instrText>.</w:instrText>
      </w:r>
      <w:r w:rsidR="00000000">
        <w:instrText>eu</w:instrText>
      </w:r>
      <w:r w:rsidR="00000000" w:rsidRPr="00522AD3">
        <w:rPr>
          <w:lang w:val="el-GR"/>
        </w:rPr>
        <w:instrText>/</w:instrText>
      </w:r>
      <w:r w:rsidR="00000000">
        <w:instrText>content</w:instrText>
      </w:r>
      <w:r w:rsidR="00000000" w:rsidRPr="00522AD3">
        <w:rPr>
          <w:lang w:val="el-GR"/>
        </w:rPr>
        <w:instrText>_</w:instrText>
      </w:r>
      <w:r w:rsidR="00000000">
        <w:instrText>member</w:instrText>
      </w:r>
      <w:r w:rsidR="00000000" w:rsidRPr="00522AD3">
        <w:rPr>
          <w:lang w:val="el-GR"/>
        </w:rPr>
        <w:instrText>_</w:instrText>
      </w:r>
      <w:r w:rsidR="00000000">
        <w:instrText>state</w:instrText>
      </w:r>
      <w:r w:rsidR="00000000" w:rsidRPr="00522AD3">
        <w:rPr>
          <w:lang w:val="el-GR"/>
        </w:rPr>
        <w:instrText>_</w:instrText>
      </w:r>
      <w:r w:rsidR="00000000">
        <w:instrText>law</w:instrText>
      </w:r>
      <w:r w:rsidR="00000000" w:rsidRPr="00522AD3">
        <w:rPr>
          <w:lang w:val="el-GR"/>
        </w:rPr>
        <w:instrText>-6-</w:instrText>
      </w:r>
      <w:r w:rsidR="00000000">
        <w:instrText>cy</w:instrText>
      </w:r>
      <w:r w:rsidR="00000000" w:rsidRPr="00522AD3">
        <w:rPr>
          <w:lang w:val="el-GR"/>
        </w:rPr>
        <w:instrText>-</w:instrText>
      </w:r>
      <w:r w:rsidR="00000000">
        <w:instrText>maximizeMS</w:instrText>
      </w:r>
      <w:r w:rsidR="00000000" w:rsidRPr="00522AD3">
        <w:rPr>
          <w:lang w:val="el-GR"/>
        </w:rPr>
        <w:instrText>-</w:instrText>
      </w:r>
      <w:r w:rsidR="00000000">
        <w:instrText>en</w:instrText>
      </w:r>
      <w:r w:rsidR="00000000" w:rsidRPr="00522AD3">
        <w:rPr>
          <w:lang w:val="el-GR"/>
        </w:rPr>
        <w:instrText>.</w:instrText>
      </w:r>
      <w:r w:rsidR="00000000">
        <w:instrText>do</w:instrText>
      </w:r>
      <w:r w:rsidR="00000000" w:rsidRPr="00522AD3">
        <w:rPr>
          <w:lang w:val="el-GR"/>
        </w:rPr>
        <w:instrText>?</w:instrText>
      </w:r>
      <w:r w:rsidR="00000000">
        <w:instrText>member</w:instrText>
      </w:r>
      <w:r w:rsidR="00000000" w:rsidRPr="00522AD3">
        <w:rPr>
          <w:lang w:val="el-GR"/>
        </w:rPr>
        <w:instrText>=1"</w:instrText>
      </w:r>
      <w:r w:rsidR="00000000">
        <w:fldChar w:fldCharType="separate"/>
      </w:r>
      <w:r w:rsidRPr="00740E08">
        <w:rPr>
          <w:rStyle w:val="Hyperlink"/>
          <w:rFonts w:asciiTheme="minorHAnsi" w:hAnsiTheme="minorHAnsi" w:cstheme="minorHAnsi"/>
          <w:color w:val="000000" w:themeColor="text1"/>
          <w:lang w:val="fr-FR"/>
        </w:rPr>
        <w:t>https://e-justice.europa.eu/content_member_state_law-6-cy-maximizeMS-en.do?member=1</w:t>
      </w:r>
      <w:r w:rsidR="00000000">
        <w:rPr>
          <w:rStyle w:val="Hyperlink"/>
          <w:rFonts w:asciiTheme="minorHAnsi" w:hAnsiTheme="minorHAnsi" w:cstheme="minorHAnsi"/>
          <w:color w:val="000000" w:themeColor="text1"/>
          <w:lang w:val="fr-FR"/>
        </w:rPr>
        <w:fldChar w:fldCharType="end"/>
      </w:r>
      <w:r w:rsidRPr="00220066">
        <w:rPr>
          <w:rFonts w:asciiTheme="minorHAnsi" w:hAnsiTheme="minorHAnsi" w:cstheme="minorHAnsi"/>
          <w:lang w:val="fr-FR"/>
        </w:rPr>
        <w:t xml:space="preserve"> </w:t>
      </w:r>
    </w:p>
  </w:footnote>
  <w:footnote w:id="27">
    <w:p w14:paraId="709557C6" w14:textId="0BB18355" w:rsidR="00071F64" w:rsidRPr="00220066" w:rsidRDefault="00071F64" w:rsidP="00A5147D">
      <w:pPr>
        <w:pStyle w:val="FootnoteText"/>
        <w:rPr>
          <w:rFonts w:asciiTheme="minorHAnsi" w:hAnsiTheme="minorHAnsi" w:cstheme="minorHAnsi"/>
          <w:lang w:val="fr-FR"/>
        </w:rPr>
      </w:pPr>
      <w:r w:rsidRPr="00B47EA7">
        <w:rPr>
          <w:rStyle w:val="FootnoteReference"/>
          <w:rFonts w:asciiTheme="minorHAnsi" w:hAnsiTheme="minorHAnsi" w:cstheme="minorHAnsi"/>
        </w:rPr>
        <w:footnoteRef/>
      </w:r>
      <w:r w:rsidRPr="00220066">
        <w:rPr>
          <w:rFonts w:asciiTheme="minorHAnsi" w:hAnsiTheme="minorHAnsi" w:cstheme="minorHAnsi"/>
          <w:lang w:val="fr-FR"/>
        </w:rPr>
        <w:t xml:space="preserve"> </w:t>
      </w:r>
      <w:r>
        <w:rPr>
          <w:rFonts w:asciiTheme="minorHAnsi" w:hAnsiTheme="minorHAnsi" w:cstheme="minorHAnsi"/>
          <w:lang w:val="el-GR"/>
        </w:rPr>
        <w:t>Άρθρο</w:t>
      </w:r>
      <w:r w:rsidRPr="00220066">
        <w:rPr>
          <w:rFonts w:asciiTheme="minorHAnsi" w:hAnsiTheme="minorHAnsi" w:cstheme="minorHAnsi"/>
          <w:lang w:val="fr-FR" w:eastAsia="fr-FR"/>
        </w:rPr>
        <w:t xml:space="preserve"> 53, </w:t>
      </w:r>
      <w:r>
        <w:rPr>
          <w:rFonts w:asciiTheme="minorHAnsi" w:hAnsiTheme="minorHAnsi" w:cstheme="minorHAnsi"/>
          <w:lang w:val="el-GR" w:eastAsia="fr-FR"/>
        </w:rPr>
        <w:t>Σύνταγμα</w:t>
      </w:r>
      <w:r w:rsidRPr="00220066">
        <w:rPr>
          <w:rFonts w:asciiTheme="minorHAnsi" w:hAnsiTheme="minorHAnsi" w:cstheme="minorHAnsi"/>
          <w:lang w:val="fr-FR" w:eastAsia="fr-FR"/>
        </w:rPr>
        <w:t>.</w:t>
      </w:r>
    </w:p>
  </w:footnote>
  <w:footnote w:id="28">
    <w:p w14:paraId="2C552F75" w14:textId="5A76711E" w:rsidR="00071F64" w:rsidRPr="00220066" w:rsidRDefault="00071F64" w:rsidP="00A5147D">
      <w:pPr>
        <w:pStyle w:val="FootnoteText"/>
        <w:rPr>
          <w:rFonts w:asciiTheme="minorHAnsi" w:hAnsiTheme="minorHAnsi" w:cstheme="minorHAnsi"/>
          <w:lang w:val="fr-FR"/>
        </w:rPr>
      </w:pPr>
      <w:r w:rsidRPr="00B47EA7">
        <w:rPr>
          <w:rStyle w:val="FootnoteReference"/>
          <w:rFonts w:asciiTheme="minorHAnsi" w:hAnsiTheme="minorHAnsi" w:cstheme="minorHAnsi"/>
        </w:rPr>
        <w:footnoteRef/>
      </w:r>
      <w:r w:rsidRPr="00220066">
        <w:rPr>
          <w:rFonts w:asciiTheme="minorHAnsi" w:hAnsiTheme="minorHAnsi" w:cstheme="minorHAnsi"/>
          <w:lang w:val="fr-FR"/>
        </w:rPr>
        <w:t xml:space="preserve"> </w:t>
      </w:r>
      <w:r>
        <w:rPr>
          <w:rFonts w:asciiTheme="minorHAnsi" w:hAnsiTheme="minorHAnsi" w:cstheme="minorHAnsi"/>
          <w:lang w:val="el-GR"/>
        </w:rPr>
        <w:t>Άρθρα</w:t>
      </w:r>
      <w:r w:rsidRPr="00220066">
        <w:rPr>
          <w:rFonts w:asciiTheme="minorHAnsi" w:hAnsiTheme="minorHAnsi" w:cstheme="minorHAnsi"/>
          <w:lang w:val="fr-FR"/>
        </w:rPr>
        <w:t xml:space="preserve"> 47-49 </w:t>
      </w:r>
      <w:r>
        <w:rPr>
          <w:rFonts w:asciiTheme="minorHAnsi" w:hAnsiTheme="minorHAnsi" w:cstheme="minorHAnsi"/>
          <w:lang w:val="el-GR"/>
        </w:rPr>
        <w:t>και</w:t>
      </w:r>
      <w:r w:rsidRPr="00220066">
        <w:rPr>
          <w:rFonts w:asciiTheme="minorHAnsi" w:hAnsiTheme="minorHAnsi" w:cstheme="minorHAnsi"/>
          <w:lang w:val="fr-FR"/>
        </w:rPr>
        <w:t xml:space="preserve"> 54, </w:t>
      </w:r>
      <w:r>
        <w:rPr>
          <w:rFonts w:asciiTheme="minorHAnsi" w:hAnsiTheme="minorHAnsi" w:cstheme="minorHAnsi"/>
          <w:lang w:val="el-GR"/>
        </w:rPr>
        <w:t>Σύνταγμα</w:t>
      </w:r>
      <w:r w:rsidRPr="00220066">
        <w:rPr>
          <w:rFonts w:asciiTheme="minorHAnsi" w:hAnsiTheme="minorHAnsi" w:cstheme="minorHAnsi"/>
          <w:lang w:val="fr-FR"/>
        </w:rPr>
        <w:t>.</w:t>
      </w:r>
    </w:p>
  </w:footnote>
  <w:footnote w:id="29">
    <w:p w14:paraId="5B0A5DF7" w14:textId="51A29E73" w:rsidR="00071F64" w:rsidRPr="004557A2" w:rsidRDefault="00071F64" w:rsidP="00A5147D">
      <w:pPr>
        <w:pStyle w:val="FootnoteText"/>
        <w:rPr>
          <w:rFonts w:asciiTheme="minorHAnsi" w:hAnsiTheme="minorHAnsi" w:cstheme="minorHAnsi"/>
          <w:lang w:val="el-GR"/>
        </w:rPr>
      </w:pPr>
      <w:r w:rsidRPr="00B47EA7">
        <w:rPr>
          <w:rStyle w:val="FootnoteReference"/>
          <w:rFonts w:asciiTheme="minorHAnsi" w:hAnsiTheme="minorHAnsi" w:cstheme="minorHAnsi"/>
        </w:rPr>
        <w:footnoteRef/>
      </w:r>
      <w:r w:rsidRPr="004557A2">
        <w:rPr>
          <w:rFonts w:asciiTheme="minorHAnsi" w:hAnsiTheme="minorHAnsi" w:cstheme="minorHAnsi"/>
          <w:lang w:val="el-GR"/>
        </w:rPr>
        <w:t xml:space="preserve"> </w:t>
      </w:r>
      <w:r>
        <w:rPr>
          <w:rFonts w:asciiTheme="minorHAnsi" w:hAnsiTheme="minorHAnsi" w:cstheme="minorHAnsi"/>
          <w:lang w:val="el-GR"/>
        </w:rPr>
        <w:t>Άρθρο</w:t>
      </w:r>
      <w:r w:rsidRPr="004557A2">
        <w:rPr>
          <w:rFonts w:asciiTheme="minorHAnsi" w:hAnsiTheme="minorHAnsi" w:cstheme="minorHAnsi"/>
          <w:lang w:val="el-GR" w:eastAsia="fr-FR"/>
        </w:rPr>
        <w:t xml:space="preserve"> 57, </w:t>
      </w:r>
      <w:r>
        <w:rPr>
          <w:rFonts w:asciiTheme="minorHAnsi" w:hAnsiTheme="minorHAnsi" w:cstheme="minorHAnsi"/>
          <w:lang w:val="el-GR" w:eastAsia="fr-FR"/>
        </w:rPr>
        <w:t>Σύνταγμα</w:t>
      </w:r>
      <w:r w:rsidRPr="004557A2">
        <w:rPr>
          <w:rFonts w:asciiTheme="minorHAnsi" w:hAnsiTheme="minorHAnsi" w:cstheme="minorHAnsi"/>
          <w:lang w:val="el-GR" w:eastAsia="fr-FR"/>
        </w:rPr>
        <w:t>.</w:t>
      </w:r>
    </w:p>
  </w:footnote>
  <w:footnote w:id="30">
    <w:p w14:paraId="37C3AAFE" w14:textId="027203BE" w:rsidR="00071F64" w:rsidRPr="004557A2" w:rsidRDefault="00071F64" w:rsidP="00A5147D">
      <w:pPr>
        <w:pStyle w:val="FootnoteText"/>
        <w:rPr>
          <w:rFonts w:asciiTheme="minorHAnsi" w:hAnsiTheme="minorHAnsi" w:cstheme="minorHAnsi"/>
          <w:lang w:val="el-GR"/>
        </w:rPr>
      </w:pPr>
      <w:r w:rsidRPr="00B47EA7">
        <w:rPr>
          <w:rStyle w:val="FootnoteReference"/>
          <w:rFonts w:asciiTheme="minorHAnsi" w:hAnsiTheme="minorHAnsi" w:cstheme="minorHAnsi"/>
        </w:rPr>
        <w:footnoteRef/>
      </w:r>
      <w:r w:rsidRPr="004557A2">
        <w:rPr>
          <w:rFonts w:asciiTheme="minorHAnsi" w:hAnsiTheme="minorHAnsi" w:cstheme="minorHAnsi"/>
          <w:lang w:val="el-GR"/>
        </w:rPr>
        <w:t xml:space="preserve"> </w:t>
      </w:r>
      <w:r>
        <w:rPr>
          <w:rFonts w:asciiTheme="minorHAnsi" w:hAnsiTheme="minorHAnsi" w:cstheme="minorHAnsi"/>
          <w:lang w:val="el-GR"/>
        </w:rPr>
        <w:t>Άρθρο</w:t>
      </w:r>
      <w:r w:rsidRPr="004557A2">
        <w:rPr>
          <w:rFonts w:asciiTheme="minorHAnsi" w:hAnsiTheme="minorHAnsi" w:cstheme="minorHAnsi"/>
          <w:lang w:val="el-GR"/>
        </w:rPr>
        <w:t xml:space="preserve"> 58, </w:t>
      </w:r>
      <w:r>
        <w:rPr>
          <w:rFonts w:asciiTheme="minorHAnsi" w:hAnsiTheme="minorHAnsi" w:cstheme="minorHAnsi"/>
          <w:lang w:val="el-GR"/>
        </w:rPr>
        <w:t>Σύνταγμα</w:t>
      </w:r>
      <w:r w:rsidRPr="004557A2">
        <w:rPr>
          <w:rFonts w:asciiTheme="minorHAnsi" w:hAnsiTheme="minorHAnsi" w:cstheme="minorHAnsi"/>
          <w:lang w:val="el-GR"/>
        </w:rPr>
        <w:t>.</w:t>
      </w:r>
    </w:p>
  </w:footnote>
  <w:footnote w:id="31">
    <w:p w14:paraId="68839914" w14:textId="2166E153" w:rsidR="00071F64" w:rsidRPr="0009334D" w:rsidRDefault="00071F64" w:rsidP="00A5147D">
      <w:pPr>
        <w:widowControl w:val="0"/>
        <w:tabs>
          <w:tab w:val="left" w:pos="709"/>
        </w:tabs>
        <w:rPr>
          <w:rFonts w:cstheme="minorHAnsi"/>
          <w:sz w:val="20"/>
          <w:szCs w:val="20"/>
          <w:lang w:val="el-GR"/>
        </w:rPr>
      </w:pPr>
      <w:r w:rsidRPr="00F031E3">
        <w:rPr>
          <w:rStyle w:val="FootnoteReference"/>
          <w:rFonts w:cstheme="minorHAnsi"/>
          <w:sz w:val="20"/>
          <w:szCs w:val="20"/>
        </w:rPr>
        <w:footnoteRef/>
      </w:r>
      <w:r w:rsidRPr="0009334D">
        <w:rPr>
          <w:rFonts w:cstheme="minorHAnsi"/>
          <w:sz w:val="20"/>
          <w:szCs w:val="20"/>
          <w:lang w:val="el-GR"/>
        </w:rPr>
        <w:t xml:space="preserve"> </w:t>
      </w:r>
      <w:r>
        <w:rPr>
          <w:rFonts w:cstheme="minorHAnsi"/>
          <w:sz w:val="20"/>
          <w:szCs w:val="20"/>
          <w:lang w:val="el-GR"/>
        </w:rPr>
        <w:t>Ο περί του</w:t>
      </w:r>
      <w:r w:rsidRPr="0009334D">
        <w:rPr>
          <w:rFonts w:cstheme="minorHAnsi"/>
          <w:sz w:val="20"/>
          <w:szCs w:val="20"/>
          <w:lang w:val="el-GR"/>
        </w:rPr>
        <w:t xml:space="preserve"> </w:t>
      </w:r>
      <w:r>
        <w:rPr>
          <w:rFonts w:cstheme="minorHAnsi"/>
          <w:sz w:val="20"/>
          <w:szCs w:val="20"/>
          <w:lang w:val="el-GR"/>
        </w:rPr>
        <w:t>Πρόεδρου</w:t>
      </w:r>
      <w:r w:rsidRPr="0009334D">
        <w:rPr>
          <w:rFonts w:cstheme="minorHAnsi"/>
          <w:sz w:val="20"/>
          <w:szCs w:val="20"/>
          <w:lang w:val="el-GR"/>
        </w:rPr>
        <w:t xml:space="preserve"> </w:t>
      </w:r>
      <w:r>
        <w:rPr>
          <w:rFonts w:cstheme="minorHAnsi"/>
          <w:sz w:val="20"/>
          <w:szCs w:val="20"/>
          <w:lang w:val="el-GR"/>
        </w:rPr>
        <w:t>και</w:t>
      </w:r>
      <w:r w:rsidRPr="0009334D">
        <w:rPr>
          <w:rFonts w:cstheme="minorHAnsi"/>
          <w:sz w:val="20"/>
          <w:szCs w:val="20"/>
          <w:lang w:val="el-GR"/>
        </w:rPr>
        <w:t xml:space="preserve"> </w:t>
      </w:r>
      <w:r>
        <w:rPr>
          <w:rFonts w:cstheme="minorHAnsi"/>
          <w:sz w:val="20"/>
          <w:szCs w:val="20"/>
          <w:lang w:val="el-GR"/>
        </w:rPr>
        <w:t>ο</w:t>
      </w:r>
      <w:r w:rsidRPr="0009334D">
        <w:rPr>
          <w:rFonts w:cstheme="minorHAnsi"/>
          <w:sz w:val="20"/>
          <w:szCs w:val="20"/>
          <w:lang w:val="el-GR"/>
        </w:rPr>
        <w:t xml:space="preserve"> </w:t>
      </w:r>
      <w:r>
        <w:rPr>
          <w:rFonts w:cstheme="minorHAnsi"/>
          <w:sz w:val="20"/>
          <w:szCs w:val="20"/>
          <w:lang w:val="el-GR"/>
        </w:rPr>
        <w:t>Αντιπροέδρου</w:t>
      </w:r>
      <w:r w:rsidRPr="0009334D">
        <w:rPr>
          <w:rFonts w:cstheme="minorHAnsi"/>
          <w:sz w:val="20"/>
          <w:szCs w:val="20"/>
          <w:lang w:val="el-GR"/>
        </w:rPr>
        <w:t xml:space="preserve"> </w:t>
      </w:r>
      <w:r>
        <w:rPr>
          <w:rFonts w:cstheme="minorHAnsi"/>
          <w:sz w:val="20"/>
          <w:szCs w:val="20"/>
          <w:lang w:val="el-GR"/>
        </w:rPr>
        <w:t>της</w:t>
      </w:r>
      <w:r w:rsidRPr="0009334D">
        <w:rPr>
          <w:rFonts w:cstheme="minorHAnsi"/>
          <w:sz w:val="20"/>
          <w:szCs w:val="20"/>
          <w:lang w:val="el-GR"/>
        </w:rPr>
        <w:t xml:space="preserve"> </w:t>
      </w:r>
      <w:r>
        <w:rPr>
          <w:rFonts w:cstheme="minorHAnsi"/>
          <w:sz w:val="20"/>
          <w:szCs w:val="20"/>
          <w:lang w:val="el-GR"/>
        </w:rPr>
        <w:t>Δημοκρατίας</w:t>
      </w:r>
      <w:r w:rsidRPr="0009334D">
        <w:rPr>
          <w:rFonts w:cstheme="minorHAnsi"/>
          <w:sz w:val="20"/>
          <w:szCs w:val="20"/>
          <w:lang w:val="el-GR"/>
        </w:rPr>
        <w:t xml:space="preserve"> (</w:t>
      </w:r>
      <w:proofErr w:type="spellStart"/>
      <w:r>
        <w:rPr>
          <w:rFonts w:cstheme="minorHAnsi"/>
          <w:sz w:val="20"/>
          <w:szCs w:val="20"/>
          <w:lang w:val="el-GR"/>
        </w:rPr>
        <w:t>Χορηγίαι</w:t>
      </w:r>
      <w:proofErr w:type="spellEnd"/>
      <w:r>
        <w:rPr>
          <w:rFonts w:cstheme="minorHAnsi"/>
          <w:sz w:val="20"/>
          <w:szCs w:val="20"/>
          <w:lang w:val="el-GR"/>
        </w:rPr>
        <w:t xml:space="preserve"> και Γραφεία</w:t>
      </w:r>
      <w:r w:rsidRPr="0009334D">
        <w:rPr>
          <w:rFonts w:cstheme="minorHAnsi"/>
          <w:sz w:val="20"/>
          <w:szCs w:val="20"/>
          <w:lang w:val="el-GR"/>
        </w:rPr>
        <w:t>) [</w:t>
      </w:r>
      <w:r>
        <w:rPr>
          <w:rFonts w:cstheme="minorHAnsi"/>
          <w:sz w:val="20"/>
          <w:szCs w:val="20"/>
          <w:lang w:val="el-GR"/>
        </w:rPr>
        <w:t>Ν</w:t>
      </w:r>
      <w:r w:rsidRPr="0009334D">
        <w:rPr>
          <w:rFonts w:cstheme="minorHAnsi"/>
          <w:sz w:val="20"/>
          <w:szCs w:val="20"/>
          <w:lang w:val="el-GR"/>
        </w:rPr>
        <w:t xml:space="preserve">. 12/1960]. </w:t>
      </w:r>
    </w:p>
  </w:footnote>
  <w:footnote w:id="32">
    <w:p w14:paraId="1B94870F" w14:textId="5318D4E8" w:rsidR="00071F64" w:rsidRPr="00312B73" w:rsidRDefault="00071F64" w:rsidP="00A5147D">
      <w:pPr>
        <w:pStyle w:val="FootnoteText"/>
        <w:rPr>
          <w:rFonts w:asciiTheme="minorHAnsi" w:hAnsiTheme="minorHAnsi" w:cstheme="minorHAnsi"/>
          <w:lang w:val="el-GR"/>
        </w:rPr>
      </w:pPr>
      <w:r w:rsidRPr="00F031E3">
        <w:rPr>
          <w:rStyle w:val="FootnoteReference"/>
          <w:rFonts w:asciiTheme="minorHAnsi" w:hAnsiTheme="minorHAnsi" w:cstheme="minorHAnsi"/>
        </w:rPr>
        <w:footnoteRef/>
      </w:r>
      <w:r w:rsidRPr="00312B73">
        <w:rPr>
          <w:rFonts w:asciiTheme="minorHAnsi" w:hAnsiTheme="minorHAnsi" w:cstheme="minorHAnsi"/>
          <w:lang w:val="el-GR"/>
        </w:rPr>
        <w:t xml:space="preserve"> </w:t>
      </w:r>
      <w:r>
        <w:rPr>
          <w:rFonts w:asciiTheme="minorHAnsi" w:hAnsiTheme="minorHAnsi" w:cstheme="minorHAnsi"/>
          <w:lang w:val="el-GR"/>
        </w:rPr>
        <w:t>Τα</w:t>
      </w:r>
      <w:r w:rsidRPr="00312B73">
        <w:rPr>
          <w:rFonts w:asciiTheme="minorHAnsi" w:hAnsiTheme="minorHAnsi" w:cstheme="minorHAnsi"/>
          <w:lang w:val="el-GR"/>
        </w:rPr>
        <w:t xml:space="preserve"> </w:t>
      </w:r>
      <w:r>
        <w:rPr>
          <w:rFonts w:asciiTheme="minorHAnsi" w:hAnsiTheme="minorHAnsi" w:cstheme="minorHAnsi"/>
          <w:lang w:val="el-GR"/>
        </w:rPr>
        <w:t>Υφυπουργεία</w:t>
      </w:r>
      <w:r w:rsidRPr="00312B73">
        <w:rPr>
          <w:rFonts w:asciiTheme="minorHAnsi" w:hAnsiTheme="minorHAnsi" w:cstheme="minorHAnsi"/>
          <w:lang w:val="el-GR"/>
        </w:rPr>
        <w:t xml:space="preserve"> </w:t>
      </w:r>
      <w:r>
        <w:rPr>
          <w:rFonts w:asciiTheme="minorHAnsi" w:hAnsiTheme="minorHAnsi" w:cstheme="minorHAnsi"/>
          <w:lang w:val="el-GR"/>
        </w:rPr>
        <w:t>ιδρύονται</w:t>
      </w:r>
      <w:r w:rsidRPr="00312B73">
        <w:rPr>
          <w:rFonts w:asciiTheme="minorHAnsi" w:hAnsiTheme="minorHAnsi" w:cstheme="minorHAnsi"/>
          <w:lang w:val="el-GR"/>
        </w:rPr>
        <w:t xml:space="preserve"> </w:t>
      </w:r>
      <w:r>
        <w:rPr>
          <w:rFonts w:asciiTheme="minorHAnsi" w:hAnsiTheme="minorHAnsi" w:cstheme="minorHAnsi"/>
          <w:lang w:val="el-GR"/>
        </w:rPr>
        <w:t>με</w:t>
      </w:r>
      <w:r w:rsidRPr="00312B73">
        <w:rPr>
          <w:rFonts w:asciiTheme="minorHAnsi" w:hAnsiTheme="minorHAnsi" w:cstheme="minorHAnsi"/>
          <w:lang w:val="el-GR"/>
        </w:rPr>
        <w:t xml:space="preserve"> </w:t>
      </w:r>
      <w:r>
        <w:rPr>
          <w:rFonts w:asciiTheme="minorHAnsi" w:hAnsiTheme="minorHAnsi" w:cstheme="minorHAnsi"/>
          <w:lang w:val="el-GR"/>
        </w:rPr>
        <w:t>πρωτογενή νομοθεσία και</w:t>
      </w:r>
      <w:r w:rsidRPr="00312B73">
        <w:rPr>
          <w:rFonts w:asciiTheme="minorHAnsi" w:hAnsiTheme="minorHAnsi" w:cstheme="minorHAnsi"/>
          <w:lang w:val="el-GR"/>
        </w:rPr>
        <w:t xml:space="preserve"> </w:t>
      </w:r>
      <w:r>
        <w:rPr>
          <w:rFonts w:asciiTheme="minorHAnsi" w:hAnsiTheme="minorHAnsi" w:cstheme="minorHAnsi"/>
          <w:lang w:val="el-GR"/>
        </w:rPr>
        <w:t>είναι</w:t>
      </w:r>
      <w:r w:rsidRPr="00312B73">
        <w:rPr>
          <w:rFonts w:asciiTheme="minorHAnsi" w:hAnsiTheme="minorHAnsi" w:cstheme="minorHAnsi"/>
          <w:lang w:val="el-GR"/>
        </w:rPr>
        <w:t xml:space="preserve"> </w:t>
      </w:r>
      <w:r>
        <w:rPr>
          <w:rFonts w:asciiTheme="minorHAnsi" w:hAnsiTheme="minorHAnsi" w:cstheme="minorHAnsi"/>
          <w:lang w:val="el-GR"/>
        </w:rPr>
        <w:t>ένας τρόπος για</w:t>
      </w:r>
      <w:r w:rsidRPr="00312B73">
        <w:rPr>
          <w:rFonts w:asciiTheme="minorHAnsi" w:hAnsiTheme="minorHAnsi" w:cstheme="minorHAnsi"/>
          <w:lang w:val="el-GR"/>
        </w:rPr>
        <w:t xml:space="preserve"> </w:t>
      </w:r>
      <w:r>
        <w:rPr>
          <w:rFonts w:asciiTheme="minorHAnsi" w:hAnsiTheme="minorHAnsi" w:cstheme="minorHAnsi"/>
          <w:lang w:val="el-GR"/>
        </w:rPr>
        <w:t>να</w:t>
      </w:r>
      <w:r w:rsidRPr="00312B73">
        <w:rPr>
          <w:rFonts w:asciiTheme="minorHAnsi" w:hAnsiTheme="minorHAnsi" w:cstheme="minorHAnsi"/>
          <w:lang w:val="el-GR"/>
        </w:rPr>
        <w:t xml:space="preserve"> </w:t>
      </w:r>
      <w:r>
        <w:rPr>
          <w:rFonts w:asciiTheme="minorHAnsi" w:hAnsiTheme="minorHAnsi" w:cstheme="minorHAnsi"/>
          <w:lang w:val="el-GR"/>
        </w:rPr>
        <w:t>ξεπεραστούν οι περιορισμοί στη δημιουργία περαιτέρω υπουργείων</w:t>
      </w:r>
      <w:r w:rsidRPr="00312B73">
        <w:rPr>
          <w:rFonts w:asciiTheme="minorHAnsi" w:hAnsiTheme="minorHAnsi" w:cstheme="minorHAnsi"/>
          <w:lang w:val="el-GR"/>
        </w:rPr>
        <w:t xml:space="preserve"> </w:t>
      </w:r>
      <w:r>
        <w:rPr>
          <w:rFonts w:asciiTheme="minorHAnsi" w:hAnsiTheme="minorHAnsi" w:cstheme="minorHAnsi"/>
          <w:lang w:val="el-GR"/>
        </w:rPr>
        <w:t>που προκύπτουν από το Σύνταγμα του</w:t>
      </w:r>
      <w:r w:rsidRPr="00312B73">
        <w:rPr>
          <w:rFonts w:asciiTheme="minorHAnsi" w:hAnsiTheme="minorHAnsi" w:cstheme="minorHAnsi"/>
          <w:lang w:val="el-GR"/>
        </w:rPr>
        <w:t xml:space="preserve"> 1960.</w:t>
      </w:r>
      <w:r w:rsidRPr="002B7C4B">
        <w:rPr>
          <w:rFonts w:asciiTheme="minorHAnsi" w:hAnsiTheme="minorHAnsi" w:cstheme="minorHAnsi"/>
          <w:lang w:val="el-GR"/>
        </w:rPr>
        <w:t xml:space="preserve"> </w:t>
      </w:r>
      <w:r>
        <w:rPr>
          <w:rFonts w:asciiTheme="minorHAnsi" w:hAnsiTheme="minorHAnsi" w:cstheme="minorHAnsi"/>
          <w:lang w:val="en-US"/>
        </w:rPr>
        <w:t>E</w:t>
      </w:r>
      <w:proofErr w:type="spellStart"/>
      <w:r>
        <w:rPr>
          <w:rFonts w:asciiTheme="minorHAnsi" w:hAnsiTheme="minorHAnsi" w:cstheme="minorHAnsi"/>
          <w:lang w:val="el-GR"/>
        </w:rPr>
        <w:t>ιδικότερα</w:t>
      </w:r>
      <w:proofErr w:type="spellEnd"/>
      <w:r w:rsidRPr="00312B73">
        <w:rPr>
          <w:rFonts w:asciiTheme="minorHAnsi" w:hAnsiTheme="minorHAnsi" w:cstheme="minorHAnsi"/>
          <w:lang w:val="el-GR"/>
        </w:rPr>
        <w:t xml:space="preserve">, </w:t>
      </w:r>
      <w:r>
        <w:rPr>
          <w:rFonts w:asciiTheme="minorHAnsi" w:hAnsiTheme="minorHAnsi" w:cstheme="minorHAnsi"/>
          <w:lang w:val="el-GR"/>
        </w:rPr>
        <w:t>το</w:t>
      </w:r>
      <w:r w:rsidRPr="00312B73">
        <w:rPr>
          <w:rFonts w:asciiTheme="minorHAnsi" w:hAnsiTheme="minorHAnsi" w:cstheme="minorHAnsi"/>
          <w:lang w:val="el-GR"/>
        </w:rPr>
        <w:t xml:space="preserve"> </w:t>
      </w:r>
      <w:r>
        <w:rPr>
          <w:rFonts w:asciiTheme="minorHAnsi" w:hAnsiTheme="minorHAnsi" w:cstheme="minorHAnsi"/>
          <w:lang w:val="el-GR"/>
        </w:rPr>
        <w:t>Άρθρο</w:t>
      </w:r>
      <w:r w:rsidRPr="00312B73">
        <w:rPr>
          <w:rFonts w:asciiTheme="minorHAnsi" w:hAnsiTheme="minorHAnsi" w:cstheme="minorHAnsi"/>
          <w:lang w:val="el-GR"/>
        </w:rPr>
        <w:t xml:space="preserve"> 182 </w:t>
      </w:r>
      <w:r>
        <w:rPr>
          <w:rFonts w:asciiTheme="minorHAnsi" w:hAnsiTheme="minorHAnsi" w:cstheme="minorHAnsi"/>
          <w:lang w:val="el-GR"/>
        </w:rPr>
        <w:t>του</w:t>
      </w:r>
      <w:r w:rsidRPr="00312B73">
        <w:rPr>
          <w:rFonts w:asciiTheme="minorHAnsi" w:hAnsiTheme="minorHAnsi" w:cstheme="minorHAnsi"/>
          <w:lang w:val="el-GR"/>
        </w:rPr>
        <w:t xml:space="preserve"> </w:t>
      </w:r>
      <w:r>
        <w:rPr>
          <w:rFonts w:asciiTheme="minorHAnsi" w:hAnsiTheme="minorHAnsi" w:cstheme="minorHAnsi"/>
          <w:lang w:val="el-GR"/>
        </w:rPr>
        <w:t>Συντάγματος οποίο</w:t>
      </w:r>
      <w:r w:rsidRPr="00312B73">
        <w:rPr>
          <w:rFonts w:asciiTheme="minorHAnsi" w:hAnsiTheme="minorHAnsi" w:cstheme="minorHAnsi"/>
          <w:lang w:val="el-GR"/>
        </w:rPr>
        <w:t xml:space="preserve"> </w:t>
      </w:r>
      <w:r>
        <w:rPr>
          <w:rFonts w:asciiTheme="minorHAnsi" w:hAnsiTheme="minorHAnsi" w:cstheme="minorHAnsi"/>
          <w:lang w:val="el-GR"/>
        </w:rPr>
        <w:t>αναφέρεται</w:t>
      </w:r>
      <w:r w:rsidRPr="00312B73">
        <w:rPr>
          <w:rFonts w:asciiTheme="minorHAnsi" w:hAnsiTheme="minorHAnsi" w:cstheme="minorHAnsi"/>
          <w:lang w:val="el-GR"/>
        </w:rPr>
        <w:t xml:space="preserve"> </w:t>
      </w:r>
      <w:r>
        <w:rPr>
          <w:rFonts w:asciiTheme="minorHAnsi" w:hAnsiTheme="minorHAnsi" w:cstheme="minorHAnsi"/>
          <w:lang w:val="el-GR"/>
        </w:rPr>
        <w:t>στο</w:t>
      </w:r>
      <w:r w:rsidRPr="00312B73">
        <w:rPr>
          <w:rFonts w:asciiTheme="minorHAnsi" w:hAnsiTheme="minorHAnsi" w:cstheme="minorHAnsi"/>
          <w:lang w:val="el-GR"/>
        </w:rPr>
        <w:t xml:space="preserve"> </w:t>
      </w:r>
      <w:r>
        <w:rPr>
          <w:rFonts w:asciiTheme="minorHAnsi" w:hAnsiTheme="minorHAnsi" w:cstheme="minorHAnsi"/>
          <w:lang w:val="el-GR"/>
        </w:rPr>
        <w:t>Παράρτημα</w:t>
      </w:r>
      <w:r w:rsidRPr="00312B73">
        <w:rPr>
          <w:rFonts w:asciiTheme="minorHAnsi" w:hAnsiTheme="minorHAnsi" w:cstheme="minorHAnsi"/>
          <w:lang w:val="el-GR"/>
        </w:rPr>
        <w:t xml:space="preserve"> </w:t>
      </w:r>
      <w:r w:rsidRPr="00F031E3">
        <w:rPr>
          <w:rFonts w:asciiTheme="minorHAnsi" w:hAnsiTheme="minorHAnsi" w:cstheme="minorHAnsi"/>
        </w:rPr>
        <w:t>III</w:t>
      </w:r>
      <w:r w:rsidRPr="00312B73">
        <w:rPr>
          <w:rFonts w:asciiTheme="minorHAnsi" w:hAnsiTheme="minorHAnsi" w:cstheme="minorHAnsi"/>
          <w:lang w:val="el-GR"/>
        </w:rPr>
        <w:t xml:space="preserve"> </w:t>
      </w:r>
      <w:r>
        <w:rPr>
          <w:rFonts w:asciiTheme="minorHAnsi" w:hAnsiTheme="minorHAnsi" w:cstheme="minorHAnsi"/>
          <w:lang w:val="el-GR"/>
        </w:rPr>
        <w:t>του</w:t>
      </w:r>
      <w:r w:rsidRPr="00312B73">
        <w:rPr>
          <w:rFonts w:asciiTheme="minorHAnsi" w:hAnsiTheme="minorHAnsi" w:cstheme="minorHAnsi"/>
          <w:lang w:val="el-GR"/>
        </w:rPr>
        <w:t xml:space="preserve"> </w:t>
      </w:r>
      <w:r>
        <w:rPr>
          <w:rFonts w:asciiTheme="minorHAnsi" w:hAnsiTheme="minorHAnsi" w:cstheme="minorHAnsi"/>
          <w:lang w:val="el-GR"/>
        </w:rPr>
        <w:t>Συντάγματος</w:t>
      </w:r>
      <w:r w:rsidRPr="00312B73">
        <w:rPr>
          <w:rFonts w:asciiTheme="minorHAnsi" w:hAnsiTheme="minorHAnsi" w:cstheme="minorHAnsi"/>
          <w:lang w:val="el-GR"/>
        </w:rPr>
        <w:t xml:space="preserve">, </w:t>
      </w:r>
      <w:r>
        <w:rPr>
          <w:rFonts w:asciiTheme="minorHAnsi" w:hAnsiTheme="minorHAnsi" w:cstheme="minorHAnsi"/>
          <w:lang w:val="el-GR"/>
        </w:rPr>
        <w:t>το οποίο διατυπώνει</w:t>
      </w:r>
      <w:r w:rsidRPr="00312B73">
        <w:rPr>
          <w:rFonts w:asciiTheme="minorHAnsi" w:hAnsiTheme="minorHAnsi" w:cstheme="minorHAnsi"/>
          <w:lang w:val="el-GR"/>
        </w:rPr>
        <w:t xml:space="preserve"> </w:t>
      </w:r>
      <w:r>
        <w:rPr>
          <w:rFonts w:asciiTheme="minorHAnsi" w:hAnsiTheme="minorHAnsi" w:cstheme="minorHAnsi"/>
          <w:lang w:val="el-GR"/>
        </w:rPr>
        <w:t>μια λίστα προνοιών που δεν δύνανται να τροποποιηθούν</w:t>
      </w:r>
      <w:r w:rsidRPr="00312B73">
        <w:rPr>
          <w:rFonts w:asciiTheme="minorHAnsi" w:hAnsiTheme="minorHAnsi" w:cstheme="minorHAnsi"/>
          <w:lang w:val="el-GR"/>
        </w:rPr>
        <w:t xml:space="preserve">, </w:t>
      </w:r>
      <w:r>
        <w:rPr>
          <w:rFonts w:asciiTheme="minorHAnsi" w:hAnsiTheme="minorHAnsi" w:cstheme="minorHAnsi"/>
          <w:lang w:val="el-GR"/>
        </w:rPr>
        <w:t>που συμπεριλαμβάνει τα υπουργεία</w:t>
      </w:r>
    </w:p>
  </w:footnote>
  <w:footnote w:id="33">
    <w:p w14:paraId="2C0E086B" w14:textId="4AC1CC17" w:rsidR="00071F64" w:rsidRPr="00254FDB" w:rsidRDefault="00071F64" w:rsidP="00A5147D">
      <w:pPr>
        <w:pStyle w:val="FootnoteText"/>
        <w:rPr>
          <w:rFonts w:asciiTheme="minorHAnsi" w:hAnsiTheme="minorHAnsi" w:cstheme="minorHAnsi"/>
          <w:lang w:val="el-GR"/>
        </w:rPr>
      </w:pPr>
      <w:r w:rsidRPr="00B47EA7">
        <w:rPr>
          <w:rStyle w:val="FootnoteReference"/>
          <w:rFonts w:asciiTheme="minorHAnsi" w:hAnsiTheme="minorHAnsi" w:cstheme="minorHAnsi"/>
        </w:rPr>
        <w:footnoteRef/>
      </w:r>
      <w:r w:rsidRPr="00254FDB">
        <w:rPr>
          <w:rFonts w:asciiTheme="minorHAnsi" w:hAnsiTheme="minorHAnsi" w:cstheme="minorHAnsi"/>
          <w:lang w:val="el-GR"/>
        </w:rPr>
        <w:t xml:space="preserve"> </w:t>
      </w:r>
      <w:r>
        <w:rPr>
          <w:rFonts w:asciiTheme="minorHAnsi" w:hAnsiTheme="minorHAnsi" w:cstheme="minorHAnsi"/>
          <w:lang w:val="el-GR"/>
        </w:rPr>
        <w:t>Υπουργείο</w:t>
      </w:r>
      <w:r w:rsidRPr="00254FDB">
        <w:rPr>
          <w:rFonts w:asciiTheme="minorHAnsi" w:hAnsiTheme="minorHAnsi" w:cstheme="minorHAnsi"/>
          <w:lang w:val="el-GR"/>
        </w:rPr>
        <w:t xml:space="preserve"> </w:t>
      </w:r>
      <w:r>
        <w:rPr>
          <w:rFonts w:asciiTheme="minorHAnsi" w:hAnsiTheme="minorHAnsi" w:cstheme="minorHAnsi"/>
          <w:lang w:val="el-GR"/>
        </w:rPr>
        <w:t>Άμυνας</w:t>
      </w:r>
      <w:r w:rsidRPr="00254FDB">
        <w:rPr>
          <w:rFonts w:asciiTheme="minorHAnsi" w:hAnsiTheme="minorHAnsi" w:cstheme="minorHAnsi"/>
          <w:lang w:val="el-GR"/>
        </w:rPr>
        <w:t xml:space="preserve">, </w:t>
      </w:r>
      <w:r>
        <w:rPr>
          <w:rFonts w:asciiTheme="minorHAnsi" w:hAnsiTheme="minorHAnsi" w:cstheme="minorHAnsi"/>
          <w:lang w:val="el-GR"/>
        </w:rPr>
        <w:t>Υπουργείο</w:t>
      </w:r>
      <w:r w:rsidRPr="00254FDB">
        <w:rPr>
          <w:rFonts w:asciiTheme="minorHAnsi" w:hAnsiTheme="minorHAnsi" w:cstheme="minorHAnsi"/>
          <w:lang w:val="el-GR"/>
        </w:rPr>
        <w:t xml:space="preserve"> </w:t>
      </w:r>
      <w:r>
        <w:rPr>
          <w:rFonts w:asciiTheme="minorHAnsi" w:hAnsiTheme="minorHAnsi" w:cstheme="minorHAnsi"/>
          <w:lang w:val="el-GR"/>
        </w:rPr>
        <w:t>Παιδείας</w:t>
      </w:r>
      <w:r w:rsidRPr="00254FDB">
        <w:rPr>
          <w:rFonts w:asciiTheme="minorHAnsi" w:hAnsiTheme="minorHAnsi" w:cstheme="minorHAnsi"/>
          <w:lang w:val="el-GR"/>
        </w:rPr>
        <w:t xml:space="preserve"> </w:t>
      </w:r>
      <w:r>
        <w:rPr>
          <w:rFonts w:asciiTheme="minorHAnsi" w:hAnsiTheme="minorHAnsi" w:cstheme="minorHAnsi"/>
          <w:lang w:val="el-GR"/>
        </w:rPr>
        <w:t>και</w:t>
      </w:r>
      <w:r w:rsidRPr="00254FDB">
        <w:rPr>
          <w:rFonts w:asciiTheme="minorHAnsi" w:hAnsiTheme="minorHAnsi" w:cstheme="minorHAnsi"/>
          <w:lang w:val="el-GR"/>
        </w:rPr>
        <w:t xml:space="preserve"> </w:t>
      </w:r>
      <w:r>
        <w:rPr>
          <w:rFonts w:asciiTheme="minorHAnsi" w:hAnsiTheme="minorHAnsi" w:cstheme="minorHAnsi"/>
          <w:lang w:val="el-GR"/>
        </w:rPr>
        <w:t>Πολιτισμού</w:t>
      </w:r>
      <w:r w:rsidRPr="00254FDB">
        <w:rPr>
          <w:rFonts w:asciiTheme="minorHAnsi" w:hAnsiTheme="minorHAnsi" w:cstheme="minorHAnsi"/>
          <w:lang w:val="el-GR"/>
        </w:rPr>
        <w:t xml:space="preserve">, </w:t>
      </w:r>
      <w:r>
        <w:rPr>
          <w:rFonts w:asciiTheme="minorHAnsi" w:hAnsiTheme="minorHAnsi" w:cstheme="minorHAnsi"/>
          <w:lang w:val="el-GR"/>
        </w:rPr>
        <w:t>Υπουργείο</w:t>
      </w:r>
      <w:r w:rsidRPr="00254FDB">
        <w:rPr>
          <w:rFonts w:asciiTheme="minorHAnsi" w:hAnsiTheme="minorHAnsi" w:cstheme="minorHAnsi"/>
          <w:lang w:val="el-GR"/>
        </w:rPr>
        <w:t xml:space="preserve"> </w:t>
      </w:r>
      <w:r>
        <w:rPr>
          <w:rFonts w:asciiTheme="minorHAnsi" w:hAnsiTheme="minorHAnsi" w:cstheme="minorHAnsi"/>
          <w:lang w:val="el-GR"/>
        </w:rPr>
        <w:t>Ενέργειας</w:t>
      </w:r>
      <w:r w:rsidRPr="00254FDB">
        <w:rPr>
          <w:rFonts w:asciiTheme="minorHAnsi" w:hAnsiTheme="minorHAnsi" w:cstheme="minorHAnsi"/>
          <w:lang w:val="el-GR"/>
        </w:rPr>
        <w:t xml:space="preserve">, </w:t>
      </w:r>
      <w:r>
        <w:rPr>
          <w:rFonts w:asciiTheme="minorHAnsi" w:hAnsiTheme="minorHAnsi" w:cstheme="minorHAnsi"/>
          <w:lang w:val="el-GR"/>
        </w:rPr>
        <w:t>Εμπορίου</w:t>
      </w:r>
      <w:r w:rsidRPr="00254FDB">
        <w:rPr>
          <w:rFonts w:asciiTheme="minorHAnsi" w:hAnsiTheme="minorHAnsi" w:cstheme="minorHAnsi"/>
          <w:lang w:val="el-GR"/>
        </w:rPr>
        <w:t xml:space="preserve"> </w:t>
      </w:r>
      <w:r>
        <w:rPr>
          <w:rFonts w:asciiTheme="minorHAnsi" w:hAnsiTheme="minorHAnsi" w:cstheme="minorHAnsi"/>
          <w:lang w:val="el-GR"/>
        </w:rPr>
        <w:t>και</w:t>
      </w:r>
      <w:r w:rsidRPr="00254FDB">
        <w:rPr>
          <w:rFonts w:asciiTheme="minorHAnsi" w:hAnsiTheme="minorHAnsi" w:cstheme="minorHAnsi"/>
          <w:lang w:val="el-GR"/>
        </w:rPr>
        <w:t xml:space="preserve"> </w:t>
      </w:r>
      <w:r>
        <w:rPr>
          <w:rFonts w:asciiTheme="minorHAnsi" w:hAnsiTheme="minorHAnsi" w:cstheme="minorHAnsi"/>
          <w:lang w:val="el-GR"/>
        </w:rPr>
        <w:t>Βιομηχανίας</w:t>
      </w:r>
      <w:r w:rsidRPr="00254FDB">
        <w:rPr>
          <w:rFonts w:asciiTheme="minorHAnsi" w:hAnsiTheme="minorHAnsi" w:cstheme="minorHAnsi"/>
          <w:lang w:val="el-GR"/>
        </w:rPr>
        <w:t xml:space="preserve">, </w:t>
      </w:r>
      <w:r>
        <w:rPr>
          <w:rFonts w:asciiTheme="minorHAnsi" w:hAnsiTheme="minorHAnsi" w:cstheme="minorHAnsi"/>
          <w:lang w:val="el-GR"/>
        </w:rPr>
        <w:t>Υπουργείο</w:t>
      </w:r>
      <w:r w:rsidRPr="00254FDB">
        <w:rPr>
          <w:rFonts w:asciiTheme="minorHAnsi" w:hAnsiTheme="minorHAnsi" w:cstheme="minorHAnsi"/>
          <w:lang w:val="el-GR"/>
        </w:rPr>
        <w:t xml:space="preserve"> </w:t>
      </w:r>
      <w:r>
        <w:rPr>
          <w:rFonts w:asciiTheme="minorHAnsi" w:hAnsiTheme="minorHAnsi" w:cstheme="minorHAnsi"/>
          <w:lang w:val="el-GR"/>
        </w:rPr>
        <w:t>Οικονομικών</w:t>
      </w:r>
      <w:r w:rsidRPr="00254FDB">
        <w:rPr>
          <w:rFonts w:asciiTheme="minorHAnsi" w:hAnsiTheme="minorHAnsi" w:cstheme="minorHAnsi"/>
          <w:lang w:val="el-GR"/>
        </w:rPr>
        <w:t xml:space="preserve">, </w:t>
      </w:r>
      <w:r>
        <w:rPr>
          <w:rFonts w:asciiTheme="minorHAnsi" w:hAnsiTheme="minorHAnsi" w:cstheme="minorHAnsi"/>
          <w:lang w:val="el-GR"/>
        </w:rPr>
        <w:t>Υπουργείο</w:t>
      </w:r>
      <w:r w:rsidRPr="00254FDB">
        <w:rPr>
          <w:rFonts w:asciiTheme="minorHAnsi" w:hAnsiTheme="minorHAnsi" w:cstheme="minorHAnsi"/>
          <w:lang w:val="el-GR"/>
        </w:rPr>
        <w:t xml:space="preserve"> </w:t>
      </w:r>
      <w:r>
        <w:rPr>
          <w:rFonts w:asciiTheme="minorHAnsi" w:hAnsiTheme="minorHAnsi" w:cstheme="minorHAnsi"/>
          <w:lang w:val="el-GR"/>
        </w:rPr>
        <w:t>Εξωτερικών</w:t>
      </w:r>
      <w:r w:rsidRPr="00254FDB">
        <w:rPr>
          <w:rFonts w:asciiTheme="minorHAnsi" w:hAnsiTheme="minorHAnsi" w:cstheme="minorHAnsi"/>
          <w:lang w:val="el-GR"/>
        </w:rPr>
        <w:t xml:space="preserve">, </w:t>
      </w:r>
      <w:r>
        <w:rPr>
          <w:rFonts w:asciiTheme="minorHAnsi" w:hAnsiTheme="minorHAnsi" w:cstheme="minorHAnsi"/>
          <w:lang w:val="el-GR"/>
        </w:rPr>
        <w:t>Υπουργείο</w:t>
      </w:r>
      <w:r w:rsidRPr="00254FDB">
        <w:rPr>
          <w:rFonts w:asciiTheme="minorHAnsi" w:hAnsiTheme="minorHAnsi" w:cstheme="minorHAnsi"/>
          <w:lang w:val="el-GR"/>
        </w:rPr>
        <w:t xml:space="preserve"> </w:t>
      </w:r>
      <w:r>
        <w:rPr>
          <w:rFonts w:asciiTheme="minorHAnsi" w:hAnsiTheme="minorHAnsi" w:cstheme="minorHAnsi"/>
          <w:lang w:val="el-GR"/>
        </w:rPr>
        <w:t>Υγείας</w:t>
      </w:r>
      <w:r w:rsidRPr="00254FDB">
        <w:rPr>
          <w:rFonts w:asciiTheme="minorHAnsi" w:hAnsiTheme="minorHAnsi" w:cstheme="minorHAnsi"/>
          <w:lang w:val="el-GR"/>
        </w:rPr>
        <w:t xml:space="preserve">, </w:t>
      </w:r>
      <w:r>
        <w:rPr>
          <w:rFonts w:asciiTheme="minorHAnsi" w:hAnsiTheme="minorHAnsi" w:cstheme="minorHAnsi"/>
          <w:lang w:val="el-GR"/>
        </w:rPr>
        <w:t>Υπουργείο</w:t>
      </w:r>
      <w:r w:rsidRPr="00254FDB">
        <w:rPr>
          <w:rFonts w:asciiTheme="minorHAnsi" w:hAnsiTheme="minorHAnsi" w:cstheme="minorHAnsi"/>
          <w:lang w:val="el-GR"/>
        </w:rPr>
        <w:t xml:space="preserve"> </w:t>
      </w:r>
      <w:r>
        <w:rPr>
          <w:rFonts w:asciiTheme="minorHAnsi" w:hAnsiTheme="minorHAnsi" w:cstheme="minorHAnsi"/>
          <w:lang w:val="el-GR"/>
        </w:rPr>
        <w:t>Γεωργίας</w:t>
      </w:r>
      <w:r w:rsidRPr="00254FDB">
        <w:rPr>
          <w:rFonts w:asciiTheme="minorHAnsi" w:hAnsiTheme="minorHAnsi" w:cstheme="minorHAnsi"/>
          <w:lang w:val="el-GR"/>
        </w:rPr>
        <w:t xml:space="preserve">, </w:t>
      </w:r>
      <w:r>
        <w:rPr>
          <w:rFonts w:asciiTheme="minorHAnsi" w:hAnsiTheme="minorHAnsi" w:cstheme="minorHAnsi"/>
          <w:lang w:val="el-GR"/>
        </w:rPr>
        <w:t>Αγροτικής Ανάπτυξης και Περιβάλλοντος, Υπουργείο Εσωτερικών, Υπουργείο Δικαιοσύνης και Δημοσίας Τάξης,</w:t>
      </w:r>
      <w:r w:rsidRPr="00254FDB">
        <w:rPr>
          <w:rFonts w:asciiTheme="minorHAnsi" w:hAnsiTheme="minorHAnsi" w:cstheme="minorHAnsi"/>
          <w:lang w:val="el-GR"/>
        </w:rPr>
        <w:t xml:space="preserve"> </w:t>
      </w:r>
      <w:r>
        <w:rPr>
          <w:rFonts w:asciiTheme="minorHAnsi" w:hAnsiTheme="minorHAnsi" w:cstheme="minorHAnsi"/>
          <w:lang w:val="el-GR"/>
        </w:rPr>
        <w:t>Υπουργείο Εργασίας και Κοινωνικών Ασφαλίσεων</w:t>
      </w:r>
      <w:r w:rsidRPr="00254FDB">
        <w:rPr>
          <w:rFonts w:asciiTheme="minorHAnsi" w:hAnsiTheme="minorHAnsi" w:cstheme="minorHAnsi"/>
          <w:lang w:val="el-GR"/>
        </w:rPr>
        <w:t xml:space="preserve"> </w:t>
      </w:r>
      <w:r>
        <w:rPr>
          <w:rFonts w:asciiTheme="minorHAnsi" w:hAnsiTheme="minorHAnsi" w:cstheme="minorHAnsi"/>
          <w:lang w:val="el-GR"/>
        </w:rPr>
        <w:t>και</w:t>
      </w:r>
      <w:r w:rsidRPr="00254FDB">
        <w:rPr>
          <w:rFonts w:asciiTheme="minorHAnsi" w:hAnsiTheme="minorHAnsi" w:cstheme="minorHAnsi"/>
          <w:lang w:val="el-GR"/>
        </w:rPr>
        <w:t xml:space="preserve"> </w:t>
      </w:r>
      <w:r>
        <w:rPr>
          <w:rFonts w:asciiTheme="minorHAnsi" w:hAnsiTheme="minorHAnsi" w:cstheme="minorHAnsi"/>
          <w:lang w:val="el-GR"/>
        </w:rPr>
        <w:t>Υπουργείο Μεταφορών</w:t>
      </w:r>
      <w:r w:rsidRPr="00254FDB">
        <w:rPr>
          <w:rFonts w:asciiTheme="minorHAnsi" w:hAnsiTheme="minorHAnsi" w:cstheme="minorHAnsi"/>
          <w:lang w:val="el-GR"/>
        </w:rPr>
        <w:t xml:space="preserve">, </w:t>
      </w:r>
      <w:r>
        <w:rPr>
          <w:rFonts w:asciiTheme="minorHAnsi" w:hAnsiTheme="minorHAnsi" w:cstheme="minorHAnsi"/>
          <w:lang w:val="el-GR"/>
        </w:rPr>
        <w:t>Επικοινωνιών και Έργων</w:t>
      </w:r>
      <w:r w:rsidRPr="00254FDB">
        <w:rPr>
          <w:rFonts w:asciiTheme="minorHAnsi" w:hAnsiTheme="minorHAnsi" w:cstheme="minorHAnsi"/>
          <w:lang w:val="el-GR"/>
        </w:rPr>
        <w:t>.</w:t>
      </w:r>
    </w:p>
  </w:footnote>
  <w:footnote w:id="34">
    <w:p w14:paraId="3165ACAA" w14:textId="0482A1B3" w:rsidR="00071F64" w:rsidRPr="00254FDB" w:rsidRDefault="00071F64" w:rsidP="00A5147D">
      <w:pPr>
        <w:tabs>
          <w:tab w:val="left" w:pos="709"/>
        </w:tabs>
        <w:rPr>
          <w:rFonts w:cstheme="minorHAnsi"/>
          <w:sz w:val="20"/>
          <w:szCs w:val="20"/>
          <w:lang w:val="el-GR"/>
        </w:rPr>
      </w:pPr>
      <w:r w:rsidRPr="00B47EA7">
        <w:rPr>
          <w:rStyle w:val="FootnoteReference"/>
          <w:rFonts w:cstheme="minorHAnsi"/>
          <w:sz w:val="20"/>
          <w:szCs w:val="20"/>
        </w:rPr>
        <w:footnoteRef/>
      </w:r>
      <w:r w:rsidRPr="00254FDB">
        <w:rPr>
          <w:rFonts w:cstheme="minorHAnsi"/>
          <w:sz w:val="20"/>
          <w:szCs w:val="20"/>
          <w:lang w:val="el-GR"/>
        </w:rPr>
        <w:t xml:space="preserve"> </w:t>
      </w:r>
      <w:r w:rsidR="0020754C">
        <w:rPr>
          <w:rFonts w:cstheme="minorHAnsi"/>
          <w:sz w:val="20"/>
          <w:szCs w:val="20"/>
          <w:lang w:val="el-GR"/>
        </w:rPr>
        <w:t xml:space="preserve">Τα Υφυπουργεία </w:t>
      </w:r>
      <w:r>
        <w:rPr>
          <w:rFonts w:cstheme="minorHAnsi"/>
          <w:sz w:val="20"/>
          <w:szCs w:val="20"/>
          <w:lang w:val="el-GR"/>
        </w:rPr>
        <w:t>είναι</w:t>
      </w:r>
      <w:r w:rsidRPr="00254FDB">
        <w:rPr>
          <w:rFonts w:eastAsia="Times New Roman" w:cstheme="minorHAnsi"/>
          <w:sz w:val="20"/>
          <w:szCs w:val="20"/>
          <w:lang w:val="el-GR" w:eastAsia="fr-FR"/>
        </w:rPr>
        <w:t xml:space="preserve">: </w:t>
      </w:r>
      <w:r>
        <w:rPr>
          <w:rFonts w:eastAsia="Times New Roman" w:cstheme="minorHAnsi"/>
          <w:sz w:val="20"/>
          <w:szCs w:val="20"/>
          <w:lang w:val="el-GR" w:eastAsia="fr-FR"/>
        </w:rPr>
        <w:t>Ναυτιλίας,</w:t>
      </w:r>
      <w:r w:rsidRPr="00254FDB">
        <w:rPr>
          <w:rFonts w:eastAsia="Times New Roman" w:cstheme="minorHAnsi"/>
          <w:sz w:val="20"/>
          <w:szCs w:val="20"/>
          <w:lang w:val="el-GR" w:eastAsia="fr-FR"/>
        </w:rPr>
        <w:t xml:space="preserve"> </w:t>
      </w:r>
      <w:r>
        <w:rPr>
          <w:rFonts w:eastAsia="Times New Roman" w:cstheme="minorHAnsi"/>
          <w:sz w:val="20"/>
          <w:szCs w:val="20"/>
          <w:lang w:val="el-GR" w:eastAsia="fr-FR"/>
        </w:rPr>
        <w:t>Τουρισμού,</w:t>
      </w:r>
      <w:r w:rsidRPr="00254FDB">
        <w:rPr>
          <w:rFonts w:eastAsia="Times New Roman" w:cstheme="minorHAnsi"/>
          <w:sz w:val="20"/>
          <w:szCs w:val="20"/>
          <w:lang w:val="el-GR" w:eastAsia="fr-FR"/>
        </w:rPr>
        <w:t xml:space="preserve"> </w:t>
      </w:r>
      <w:r>
        <w:rPr>
          <w:rFonts w:eastAsia="Times New Roman" w:cstheme="minorHAnsi"/>
          <w:sz w:val="20"/>
          <w:szCs w:val="20"/>
          <w:lang w:val="el-GR" w:eastAsia="fr-FR"/>
        </w:rPr>
        <w:t>Έρευνας</w:t>
      </w:r>
      <w:r w:rsidRPr="00254FDB">
        <w:rPr>
          <w:rFonts w:eastAsia="Times New Roman" w:cstheme="minorHAnsi"/>
          <w:sz w:val="20"/>
          <w:szCs w:val="20"/>
          <w:lang w:val="el-GR" w:eastAsia="fr-FR"/>
        </w:rPr>
        <w:t xml:space="preserve">, </w:t>
      </w:r>
      <w:r>
        <w:rPr>
          <w:rFonts w:eastAsia="Times New Roman" w:cstheme="minorHAnsi"/>
          <w:sz w:val="20"/>
          <w:szCs w:val="20"/>
          <w:lang w:val="el-GR" w:eastAsia="fr-FR"/>
        </w:rPr>
        <w:t>Καινοτομίας</w:t>
      </w:r>
      <w:r w:rsidRPr="00254FDB">
        <w:rPr>
          <w:rFonts w:eastAsia="Times New Roman" w:cstheme="minorHAnsi"/>
          <w:sz w:val="20"/>
          <w:szCs w:val="20"/>
          <w:lang w:val="el-GR" w:eastAsia="fr-FR"/>
        </w:rPr>
        <w:t xml:space="preserve"> </w:t>
      </w:r>
      <w:r>
        <w:rPr>
          <w:rFonts w:eastAsia="Times New Roman" w:cstheme="minorHAnsi"/>
          <w:sz w:val="20"/>
          <w:szCs w:val="20"/>
          <w:lang w:val="el-GR" w:eastAsia="fr-FR"/>
        </w:rPr>
        <w:t>και Ψηφιακής Πολιτικής,  Κοινωνικής Πρόνοιας και Πολιτισμού</w:t>
      </w:r>
      <w:r w:rsidRPr="00254FDB">
        <w:rPr>
          <w:rFonts w:eastAsia="Times New Roman" w:cstheme="minorHAnsi"/>
          <w:sz w:val="20"/>
          <w:szCs w:val="20"/>
          <w:lang w:val="el-GR" w:eastAsia="fr-FR"/>
        </w:rPr>
        <w:t>.</w:t>
      </w:r>
    </w:p>
  </w:footnote>
  <w:footnote w:id="35">
    <w:p w14:paraId="3609FB49" w14:textId="72BBA74A" w:rsidR="00071F64" w:rsidRPr="00BA46E9" w:rsidRDefault="00071F64">
      <w:pPr>
        <w:pStyle w:val="FootnoteText"/>
        <w:rPr>
          <w:rFonts w:asciiTheme="minorHAnsi" w:hAnsiTheme="minorHAnsi" w:cstheme="minorHAnsi"/>
          <w:lang w:val="el-GR"/>
        </w:rPr>
      </w:pPr>
      <w:r w:rsidRPr="00A90F70">
        <w:rPr>
          <w:rStyle w:val="FootnoteReference"/>
          <w:rFonts w:asciiTheme="minorHAnsi" w:hAnsiTheme="minorHAnsi" w:cstheme="minorHAnsi"/>
        </w:rPr>
        <w:footnoteRef/>
      </w:r>
      <w:r w:rsidRPr="00BA46E9">
        <w:rPr>
          <w:rFonts w:asciiTheme="minorHAnsi" w:hAnsiTheme="minorHAnsi" w:cstheme="minorHAnsi"/>
          <w:lang w:val="el-GR"/>
        </w:rPr>
        <w:t xml:space="preserve"> </w:t>
      </w:r>
      <w:r>
        <w:rPr>
          <w:rFonts w:asciiTheme="minorHAnsi" w:hAnsiTheme="minorHAnsi" w:cstheme="minorHAnsi"/>
          <w:lang w:val="el-GR"/>
        </w:rPr>
        <w:t>Μετά</w:t>
      </w:r>
      <w:r w:rsidRPr="00BA46E9">
        <w:rPr>
          <w:rFonts w:asciiTheme="minorHAnsi" w:hAnsiTheme="minorHAnsi" w:cstheme="minorHAnsi"/>
          <w:lang w:val="el-GR"/>
        </w:rPr>
        <w:t xml:space="preserve"> </w:t>
      </w:r>
      <w:r>
        <w:rPr>
          <w:rFonts w:asciiTheme="minorHAnsi" w:hAnsiTheme="minorHAnsi" w:cstheme="minorHAnsi"/>
          <w:lang w:val="el-GR"/>
        </w:rPr>
        <w:t>από</w:t>
      </w:r>
      <w:r w:rsidRPr="00BA46E9">
        <w:rPr>
          <w:rFonts w:asciiTheme="minorHAnsi" w:hAnsiTheme="minorHAnsi" w:cstheme="minorHAnsi"/>
          <w:lang w:val="el-GR"/>
        </w:rPr>
        <w:t xml:space="preserve"> </w:t>
      </w:r>
      <w:r>
        <w:rPr>
          <w:rFonts w:asciiTheme="minorHAnsi" w:hAnsiTheme="minorHAnsi" w:cstheme="minorHAnsi"/>
          <w:lang w:val="el-GR"/>
        </w:rPr>
        <w:t>την</w:t>
      </w:r>
      <w:r w:rsidRPr="00BA46E9">
        <w:rPr>
          <w:rFonts w:asciiTheme="minorHAnsi" w:hAnsiTheme="minorHAnsi" w:cstheme="minorHAnsi"/>
          <w:lang w:val="el-GR"/>
        </w:rPr>
        <w:t xml:space="preserve"> </w:t>
      </w:r>
      <w:r>
        <w:rPr>
          <w:rFonts w:asciiTheme="minorHAnsi" w:hAnsiTheme="minorHAnsi" w:cstheme="minorHAnsi"/>
          <w:lang w:val="el-GR"/>
        </w:rPr>
        <w:t>επί</w:t>
      </w:r>
      <w:r w:rsidRPr="00BA46E9">
        <w:rPr>
          <w:rFonts w:asciiTheme="minorHAnsi" w:hAnsiTheme="minorHAnsi" w:cstheme="minorHAnsi"/>
          <w:lang w:val="el-GR"/>
        </w:rPr>
        <w:t xml:space="preserve"> </w:t>
      </w:r>
      <w:r>
        <w:rPr>
          <w:rFonts w:asciiTheme="minorHAnsi" w:hAnsiTheme="minorHAnsi" w:cstheme="minorHAnsi"/>
          <w:lang w:val="el-GR"/>
        </w:rPr>
        <w:t>τόπου</w:t>
      </w:r>
      <w:r w:rsidRPr="00BA46E9">
        <w:rPr>
          <w:rFonts w:asciiTheme="minorHAnsi" w:hAnsiTheme="minorHAnsi" w:cstheme="minorHAnsi"/>
          <w:lang w:val="el-GR"/>
        </w:rPr>
        <w:t xml:space="preserve"> </w:t>
      </w:r>
      <w:r>
        <w:rPr>
          <w:rFonts w:asciiTheme="minorHAnsi" w:hAnsiTheme="minorHAnsi" w:cstheme="minorHAnsi"/>
          <w:lang w:val="el-GR"/>
        </w:rPr>
        <w:t>επίσκεψη</w:t>
      </w:r>
      <w:r w:rsidRPr="00BA46E9">
        <w:rPr>
          <w:rFonts w:asciiTheme="minorHAnsi" w:hAnsiTheme="minorHAnsi" w:cstheme="minorHAnsi"/>
          <w:lang w:val="el-GR"/>
        </w:rPr>
        <w:t xml:space="preserve">, </w:t>
      </w:r>
      <w:r>
        <w:rPr>
          <w:rFonts w:asciiTheme="minorHAnsi" w:hAnsiTheme="minorHAnsi" w:cstheme="minorHAnsi"/>
          <w:lang w:val="el-GR"/>
        </w:rPr>
        <w:t>οι</w:t>
      </w:r>
      <w:r w:rsidRPr="00BA46E9">
        <w:rPr>
          <w:rFonts w:asciiTheme="minorHAnsi" w:hAnsiTheme="minorHAnsi" w:cstheme="minorHAnsi"/>
          <w:lang w:val="el-GR"/>
        </w:rPr>
        <w:t xml:space="preserve"> </w:t>
      </w:r>
      <w:r>
        <w:rPr>
          <w:rFonts w:asciiTheme="minorHAnsi" w:hAnsiTheme="minorHAnsi" w:cstheme="minorHAnsi"/>
          <w:lang w:val="el-GR"/>
        </w:rPr>
        <w:t>αρχές</w:t>
      </w:r>
      <w:r w:rsidRPr="00BA46E9">
        <w:rPr>
          <w:rFonts w:asciiTheme="minorHAnsi" w:hAnsiTheme="minorHAnsi" w:cstheme="minorHAnsi"/>
          <w:lang w:val="el-GR"/>
        </w:rPr>
        <w:t xml:space="preserve"> </w:t>
      </w:r>
      <w:r>
        <w:rPr>
          <w:rFonts w:asciiTheme="minorHAnsi" w:hAnsiTheme="minorHAnsi" w:cstheme="minorHAnsi"/>
          <w:lang w:val="el-GR"/>
        </w:rPr>
        <w:t>υπέδειξαν</w:t>
      </w:r>
      <w:r w:rsidRPr="00BA46E9">
        <w:rPr>
          <w:rFonts w:asciiTheme="minorHAnsi" w:hAnsiTheme="minorHAnsi" w:cstheme="minorHAnsi"/>
          <w:lang w:val="el-GR"/>
        </w:rPr>
        <w:t xml:space="preserve"> </w:t>
      </w:r>
      <w:r>
        <w:rPr>
          <w:rFonts w:asciiTheme="minorHAnsi" w:hAnsiTheme="minorHAnsi" w:cstheme="minorHAnsi"/>
          <w:lang w:val="el-GR"/>
        </w:rPr>
        <w:t>ότι</w:t>
      </w:r>
      <w:r w:rsidRPr="00BA46E9">
        <w:rPr>
          <w:rFonts w:asciiTheme="minorHAnsi" w:hAnsiTheme="minorHAnsi" w:cstheme="minorHAnsi"/>
          <w:lang w:val="el-GR"/>
        </w:rPr>
        <w:t xml:space="preserve"> </w:t>
      </w:r>
      <w:r>
        <w:rPr>
          <w:rFonts w:asciiTheme="minorHAnsi" w:hAnsiTheme="minorHAnsi" w:cstheme="minorHAnsi"/>
          <w:lang w:val="el-GR"/>
        </w:rPr>
        <w:t>στο</w:t>
      </w:r>
      <w:r w:rsidRPr="00BA46E9">
        <w:rPr>
          <w:rFonts w:asciiTheme="minorHAnsi" w:hAnsiTheme="minorHAnsi" w:cstheme="minorHAnsi"/>
          <w:lang w:val="el-GR"/>
        </w:rPr>
        <w:t xml:space="preserve"> </w:t>
      </w:r>
      <w:r>
        <w:rPr>
          <w:rFonts w:asciiTheme="minorHAnsi" w:hAnsiTheme="minorHAnsi" w:cstheme="minorHAnsi"/>
          <w:lang w:val="el-GR"/>
        </w:rPr>
        <w:t>παρόν</w:t>
      </w:r>
      <w:r w:rsidRPr="00BA46E9">
        <w:rPr>
          <w:rFonts w:asciiTheme="minorHAnsi" w:hAnsiTheme="minorHAnsi" w:cstheme="minorHAnsi"/>
          <w:lang w:val="el-GR"/>
        </w:rPr>
        <w:t xml:space="preserve"> </w:t>
      </w:r>
      <w:r>
        <w:rPr>
          <w:rFonts w:asciiTheme="minorHAnsi" w:hAnsiTheme="minorHAnsi" w:cstheme="minorHAnsi"/>
          <w:lang w:val="el-GR"/>
        </w:rPr>
        <w:t>στάδιο</w:t>
      </w:r>
      <w:r w:rsidRPr="00BA46E9">
        <w:rPr>
          <w:rFonts w:asciiTheme="minorHAnsi" w:hAnsiTheme="minorHAnsi" w:cstheme="minorHAnsi"/>
          <w:lang w:val="el-GR"/>
        </w:rPr>
        <w:t xml:space="preserve"> </w:t>
      </w:r>
      <w:r>
        <w:rPr>
          <w:rFonts w:asciiTheme="minorHAnsi" w:hAnsiTheme="minorHAnsi" w:cstheme="minorHAnsi"/>
          <w:lang w:val="el-GR"/>
        </w:rPr>
        <w:t>εργάζονται</w:t>
      </w:r>
      <w:r w:rsidRPr="00BA46E9">
        <w:rPr>
          <w:rFonts w:asciiTheme="minorHAnsi" w:hAnsiTheme="minorHAnsi" w:cstheme="minorHAnsi"/>
          <w:lang w:val="el-GR"/>
        </w:rPr>
        <w:t xml:space="preserve"> </w:t>
      </w:r>
      <w:r>
        <w:rPr>
          <w:rFonts w:asciiTheme="minorHAnsi" w:hAnsiTheme="minorHAnsi" w:cstheme="minorHAnsi"/>
          <w:lang w:val="el-GR"/>
        </w:rPr>
        <w:t>πάνω</w:t>
      </w:r>
      <w:r w:rsidRPr="00BA46E9">
        <w:rPr>
          <w:rFonts w:asciiTheme="minorHAnsi" w:hAnsiTheme="minorHAnsi" w:cstheme="minorHAnsi"/>
          <w:lang w:val="el-GR"/>
        </w:rPr>
        <w:t xml:space="preserve"> </w:t>
      </w:r>
      <w:r>
        <w:rPr>
          <w:rFonts w:asciiTheme="minorHAnsi" w:hAnsiTheme="minorHAnsi" w:cstheme="minorHAnsi"/>
          <w:lang w:val="el-GR"/>
        </w:rPr>
        <w:t>σε</w:t>
      </w:r>
      <w:r w:rsidRPr="00BA46E9">
        <w:rPr>
          <w:rFonts w:asciiTheme="minorHAnsi" w:hAnsiTheme="minorHAnsi" w:cstheme="minorHAnsi"/>
          <w:lang w:val="el-GR"/>
        </w:rPr>
        <w:t xml:space="preserve"> </w:t>
      </w:r>
      <w:r>
        <w:rPr>
          <w:rFonts w:asciiTheme="minorHAnsi" w:hAnsiTheme="minorHAnsi" w:cstheme="minorHAnsi"/>
          <w:lang w:val="el-GR"/>
        </w:rPr>
        <w:t>νομοθεσία</w:t>
      </w:r>
      <w:r w:rsidRPr="00BA46E9">
        <w:rPr>
          <w:rFonts w:asciiTheme="minorHAnsi" w:hAnsiTheme="minorHAnsi" w:cstheme="minorHAnsi"/>
          <w:lang w:val="el-GR"/>
        </w:rPr>
        <w:t xml:space="preserve"> </w:t>
      </w:r>
      <w:r>
        <w:rPr>
          <w:rFonts w:asciiTheme="minorHAnsi" w:hAnsiTheme="minorHAnsi" w:cstheme="minorHAnsi"/>
          <w:lang w:val="el-GR"/>
        </w:rPr>
        <w:t>για</w:t>
      </w:r>
      <w:r w:rsidRPr="00BA46E9">
        <w:rPr>
          <w:rFonts w:asciiTheme="minorHAnsi" w:hAnsiTheme="minorHAnsi" w:cstheme="minorHAnsi"/>
          <w:lang w:val="el-GR"/>
        </w:rPr>
        <w:t xml:space="preserve"> </w:t>
      </w:r>
      <w:r>
        <w:rPr>
          <w:rFonts w:asciiTheme="minorHAnsi" w:hAnsiTheme="minorHAnsi" w:cstheme="minorHAnsi"/>
          <w:lang w:val="el-GR"/>
        </w:rPr>
        <w:t>να</w:t>
      </w:r>
      <w:r w:rsidRPr="00BA46E9">
        <w:rPr>
          <w:rFonts w:asciiTheme="minorHAnsi" w:hAnsiTheme="minorHAnsi" w:cstheme="minorHAnsi"/>
          <w:lang w:val="el-GR"/>
        </w:rPr>
        <w:t xml:space="preserve"> </w:t>
      </w:r>
      <w:r>
        <w:rPr>
          <w:rFonts w:asciiTheme="minorHAnsi" w:hAnsiTheme="minorHAnsi" w:cstheme="minorHAnsi"/>
          <w:lang w:val="el-GR"/>
        </w:rPr>
        <w:t>ρυθμίσουν την κατάσταση των</w:t>
      </w:r>
      <w:r w:rsidRPr="00BA46E9">
        <w:rPr>
          <w:rFonts w:asciiTheme="minorHAnsi" w:hAnsiTheme="minorHAnsi" w:cstheme="minorHAnsi"/>
          <w:lang w:val="el-GR"/>
        </w:rPr>
        <w:t xml:space="preserve"> </w:t>
      </w:r>
      <w:r>
        <w:rPr>
          <w:rFonts w:asciiTheme="minorHAnsi" w:hAnsiTheme="minorHAnsi" w:cstheme="minorHAnsi"/>
        </w:rPr>
        <w:t>CPTA</w:t>
      </w:r>
      <w:r>
        <w:rPr>
          <w:rFonts w:asciiTheme="minorHAnsi" w:hAnsiTheme="minorHAnsi" w:cstheme="minorHAnsi"/>
          <w:lang w:val="en-US"/>
        </w:rPr>
        <w:t>s</w:t>
      </w:r>
      <w:r w:rsidRPr="002B7C4B">
        <w:rPr>
          <w:rFonts w:asciiTheme="minorHAnsi" w:hAnsiTheme="minorHAnsi" w:cstheme="minorHAnsi"/>
          <w:lang w:val="el-GR"/>
        </w:rPr>
        <w:t xml:space="preserve"> </w:t>
      </w:r>
      <w:r>
        <w:rPr>
          <w:rFonts w:asciiTheme="minorHAnsi" w:hAnsiTheme="minorHAnsi" w:cstheme="minorHAnsi"/>
          <w:lang w:val="el-GR"/>
        </w:rPr>
        <w:t>πιο κατάλληλα, καθώς μέσω Παραρτήματος το οποίο</w:t>
      </w:r>
      <w:r w:rsidRPr="00D83CDC">
        <w:rPr>
          <w:rFonts w:asciiTheme="minorHAnsi" w:hAnsiTheme="minorHAnsi" w:cstheme="minorHAnsi"/>
          <w:lang w:val="el-GR"/>
        </w:rPr>
        <w:t xml:space="preserve"> </w:t>
      </w:r>
      <w:r>
        <w:rPr>
          <w:rFonts w:asciiTheme="minorHAnsi" w:hAnsiTheme="minorHAnsi" w:cstheme="minorHAnsi"/>
          <w:lang w:val="el-GR"/>
        </w:rPr>
        <w:t>θα επισυνάπτεται στις συμβάσεις εργασίας</w:t>
      </w:r>
      <w:r w:rsidRPr="00BA46E9">
        <w:rPr>
          <w:rFonts w:asciiTheme="minorHAnsi" w:hAnsiTheme="minorHAnsi" w:cstheme="minorHAnsi"/>
          <w:lang w:val="el-GR"/>
        </w:rPr>
        <w:t xml:space="preserve"> </w:t>
      </w:r>
      <w:r>
        <w:rPr>
          <w:rFonts w:asciiTheme="minorHAnsi" w:hAnsiTheme="minorHAnsi" w:cstheme="minorHAnsi"/>
          <w:lang w:val="el-GR"/>
        </w:rPr>
        <w:t xml:space="preserve">τους </w:t>
      </w:r>
      <w:r w:rsidR="00310A6F">
        <w:rPr>
          <w:rFonts w:asciiTheme="minorHAnsi" w:hAnsiTheme="minorHAnsi" w:cstheme="minorHAnsi"/>
          <w:lang w:val="el-GR"/>
        </w:rPr>
        <w:t>με τ</w:t>
      </w:r>
      <w:r>
        <w:rPr>
          <w:rFonts w:asciiTheme="minorHAnsi" w:hAnsiTheme="minorHAnsi" w:cstheme="minorHAnsi"/>
          <w:lang w:val="el-GR"/>
        </w:rPr>
        <w:t>η</w:t>
      </w:r>
      <w:r w:rsidR="00310A6F">
        <w:rPr>
          <w:rFonts w:asciiTheme="minorHAnsi" w:hAnsiTheme="minorHAnsi" w:cstheme="minorHAnsi"/>
          <w:lang w:val="el-GR"/>
        </w:rPr>
        <w:t>ν</w:t>
      </w:r>
      <w:r>
        <w:rPr>
          <w:rFonts w:asciiTheme="minorHAnsi" w:hAnsiTheme="minorHAnsi" w:cstheme="minorHAnsi"/>
          <w:lang w:val="el-GR"/>
        </w:rPr>
        <w:t xml:space="preserve"> </w:t>
      </w:r>
      <w:r w:rsidR="00310A6F">
        <w:rPr>
          <w:rFonts w:asciiTheme="minorHAnsi" w:hAnsiTheme="minorHAnsi" w:cstheme="minorHAnsi"/>
          <w:lang w:val="el-GR"/>
        </w:rPr>
        <w:t>περιγραφή</w:t>
      </w:r>
      <w:r>
        <w:rPr>
          <w:rFonts w:asciiTheme="minorHAnsi" w:hAnsiTheme="minorHAnsi" w:cstheme="minorHAnsi"/>
          <w:lang w:val="el-GR"/>
        </w:rPr>
        <w:t xml:space="preserve"> των καθηκόντων τους </w:t>
      </w:r>
      <w:r w:rsidRPr="00BA46E9">
        <w:rPr>
          <w:rFonts w:asciiTheme="minorHAnsi" w:hAnsiTheme="minorHAnsi" w:cstheme="minorHAnsi"/>
          <w:lang w:val="el-GR"/>
        </w:rPr>
        <w:t xml:space="preserve">. </w:t>
      </w:r>
    </w:p>
  </w:footnote>
  <w:footnote w:id="36">
    <w:p w14:paraId="4500BFD8" w14:textId="77777777" w:rsidR="00071F64" w:rsidRPr="00AF0C8C" w:rsidRDefault="00071F64" w:rsidP="00A5147D">
      <w:pPr>
        <w:pStyle w:val="FootnoteText"/>
        <w:rPr>
          <w:rFonts w:asciiTheme="minorHAnsi" w:hAnsiTheme="minorHAnsi" w:cstheme="minorHAnsi"/>
          <w:color w:val="000000" w:themeColor="text1"/>
          <w:lang w:val="el-GR"/>
        </w:rPr>
      </w:pPr>
      <w:r w:rsidRPr="00B47EA7">
        <w:rPr>
          <w:rStyle w:val="FootnoteReference"/>
          <w:rFonts w:asciiTheme="minorHAnsi" w:hAnsiTheme="minorHAnsi" w:cstheme="minorHAnsi"/>
        </w:rPr>
        <w:footnoteRef/>
      </w:r>
      <w:r w:rsidRPr="004557A2">
        <w:rPr>
          <w:rFonts w:asciiTheme="minorHAnsi" w:hAnsiTheme="minorHAnsi" w:cstheme="minorHAnsi"/>
          <w:color w:val="0000FF"/>
          <w:lang w:val="el-GR"/>
        </w:rPr>
        <w:t xml:space="preserve"> </w:t>
      </w:r>
      <w:r w:rsidR="00000000">
        <w:fldChar w:fldCharType="begin"/>
      </w:r>
      <w:r w:rsidR="00000000">
        <w:instrText>HYPERLINK</w:instrText>
      </w:r>
      <w:r w:rsidR="00000000" w:rsidRPr="00522AD3">
        <w:rPr>
          <w:lang w:val="el-GR"/>
        </w:rPr>
        <w:instrText xml:space="preserve"> "</w:instrText>
      </w:r>
      <w:r w:rsidR="00000000">
        <w:instrText>http</w:instrText>
      </w:r>
      <w:r w:rsidR="00000000" w:rsidRPr="00522AD3">
        <w:rPr>
          <w:lang w:val="el-GR"/>
        </w:rPr>
        <w:instrText>://</w:instrText>
      </w:r>
      <w:r w:rsidR="00000000">
        <w:instrText>www</w:instrText>
      </w:r>
      <w:r w:rsidR="00000000" w:rsidRPr="00522AD3">
        <w:rPr>
          <w:lang w:val="el-GR"/>
        </w:rPr>
        <w:instrText>.</w:instrText>
      </w:r>
      <w:r w:rsidR="00000000">
        <w:instrText>mjpo</w:instrText>
      </w:r>
      <w:r w:rsidR="00000000" w:rsidRPr="00522AD3">
        <w:rPr>
          <w:lang w:val="el-GR"/>
        </w:rPr>
        <w:instrText>.</w:instrText>
      </w:r>
      <w:r w:rsidR="00000000">
        <w:instrText>gov</w:instrText>
      </w:r>
      <w:r w:rsidR="00000000" w:rsidRPr="00522AD3">
        <w:rPr>
          <w:lang w:val="el-GR"/>
        </w:rPr>
        <w:instrText>.</w:instrText>
      </w:r>
      <w:r w:rsidR="00000000">
        <w:instrText>cy</w:instrText>
      </w:r>
      <w:r w:rsidR="00000000" w:rsidRPr="00522AD3">
        <w:rPr>
          <w:lang w:val="el-GR"/>
        </w:rPr>
        <w:instrText>/</w:instrText>
      </w:r>
      <w:r w:rsidR="00000000">
        <w:instrText>mjpo</w:instrText>
      </w:r>
      <w:r w:rsidR="00000000" w:rsidRPr="00522AD3">
        <w:rPr>
          <w:lang w:val="el-GR"/>
        </w:rPr>
        <w:instrText>/</w:instrText>
      </w:r>
      <w:r w:rsidR="00000000">
        <w:instrText>mjpo</w:instrText>
      </w:r>
      <w:r w:rsidR="00000000" w:rsidRPr="00522AD3">
        <w:rPr>
          <w:lang w:val="el-GR"/>
        </w:rPr>
        <w:instrText>.</w:instrText>
      </w:r>
      <w:r w:rsidR="00000000">
        <w:instrText>nsf</w:instrText>
      </w:r>
      <w:r w:rsidR="00000000" w:rsidRPr="00522AD3">
        <w:rPr>
          <w:lang w:val="el-GR"/>
        </w:rPr>
        <w:instrText>"</w:instrText>
      </w:r>
      <w:r w:rsidR="00000000">
        <w:fldChar w:fldCharType="separate"/>
      </w:r>
      <w:r w:rsidRPr="00AF0C8C">
        <w:rPr>
          <w:rStyle w:val="Hyperlink"/>
          <w:rFonts w:asciiTheme="minorHAnsi" w:hAnsiTheme="minorHAnsi" w:cstheme="minorHAnsi"/>
          <w:color w:val="000000" w:themeColor="text1"/>
        </w:rPr>
        <w:t>http</w:t>
      </w:r>
      <w:r w:rsidRPr="00AF0C8C">
        <w:rPr>
          <w:rStyle w:val="Hyperlink"/>
          <w:rFonts w:asciiTheme="minorHAnsi" w:hAnsiTheme="minorHAnsi" w:cstheme="minorHAnsi"/>
          <w:color w:val="000000" w:themeColor="text1"/>
          <w:lang w:val="el-GR"/>
        </w:rPr>
        <w:t>://</w:t>
      </w:r>
      <w:r w:rsidRPr="00AF0C8C">
        <w:rPr>
          <w:rStyle w:val="Hyperlink"/>
          <w:rFonts w:asciiTheme="minorHAnsi" w:hAnsiTheme="minorHAnsi" w:cstheme="minorHAnsi"/>
          <w:color w:val="000000" w:themeColor="text1"/>
        </w:rPr>
        <w:t>www</w:t>
      </w:r>
      <w:r w:rsidRPr="00AF0C8C">
        <w:rPr>
          <w:rStyle w:val="Hyperlink"/>
          <w:rFonts w:asciiTheme="minorHAnsi" w:hAnsiTheme="minorHAnsi" w:cstheme="minorHAnsi"/>
          <w:color w:val="000000" w:themeColor="text1"/>
          <w:lang w:val="el-GR"/>
        </w:rPr>
        <w:t>.</w:t>
      </w:r>
      <w:proofErr w:type="spellStart"/>
      <w:r w:rsidRPr="00AF0C8C">
        <w:rPr>
          <w:rStyle w:val="Hyperlink"/>
          <w:rFonts w:asciiTheme="minorHAnsi" w:hAnsiTheme="minorHAnsi" w:cstheme="minorHAnsi"/>
          <w:color w:val="000000" w:themeColor="text1"/>
        </w:rPr>
        <w:t>mjpo</w:t>
      </w:r>
      <w:proofErr w:type="spellEnd"/>
      <w:r w:rsidRPr="00AF0C8C">
        <w:rPr>
          <w:rStyle w:val="Hyperlink"/>
          <w:rFonts w:asciiTheme="minorHAnsi" w:hAnsiTheme="minorHAnsi" w:cstheme="minorHAnsi"/>
          <w:color w:val="000000" w:themeColor="text1"/>
          <w:lang w:val="el-GR"/>
        </w:rPr>
        <w:t>.</w:t>
      </w:r>
      <w:r w:rsidRPr="00AF0C8C">
        <w:rPr>
          <w:rStyle w:val="Hyperlink"/>
          <w:rFonts w:asciiTheme="minorHAnsi" w:hAnsiTheme="minorHAnsi" w:cstheme="minorHAnsi"/>
          <w:color w:val="000000" w:themeColor="text1"/>
        </w:rPr>
        <w:t>gov</w:t>
      </w:r>
      <w:r w:rsidRPr="00AF0C8C">
        <w:rPr>
          <w:rStyle w:val="Hyperlink"/>
          <w:rFonts w:asciiTheme="minorHAnsi" w:hAnsiTheme="minorHAnsi" w:cstheme="minorHAnsi"/>
          <w:color w:val="000000" w:themeColor="text1"/>
          <w:lang w:val="el-GR"/>
        </w:rPr>
        <w:t>.</w:t>
      </w:r>
      <w:r w:rsidRPr="00AF0C8C">
        <w:rPr>
          <w:rStyle w:val="Hyperlink"/>
          <w:rFonts w:asciiTheme="minorHAnsi" w:hAnsiTheme="minorHAnsi" w:cstheme="minorHAnsi"/>
          <w:color w:val="000000" w:themeColor="text1"/>
        </w:rPr>
        <w:t>cy</w:t>
      </w:r>
      <w:r w:rsidRPr="00AF0C8C">
        <w:rPr>
          <w:rStyle w:val="Hyperlink"/>
          <w:rFonts w:asciiTheme="minorHAnsi" w:hAnsiTheme="minorHAnsi" w:cstheme="minorHAnsi"/>
          <w:color w:val="000000" w:themeColor="text1"/>
          <w:lang w:val="el-GR"/>
        </w:rPr>
        <w:t>/</w:t>
      </w:r>
      <w:proofErr w:type="spellStart"/>
      <w:r w:rsidRPr="00AF0C8C">
        <w:rPr>
          <w:rStyle w:val="Hyperlink"/>
          <w:rFonts w:asciiTheme="minorHAnsi" w:hAnsiTheme="minorHAnsi" w:cstheme="minorHAnsi"/>
          <w:color w:val="000000" w:themeColor="text1"/>
        </w:rPr>
        <w:t>mjpo</w:t>
      </w:r>
      <w:proofErr w:type="spellEnd"/>
      <w:r w:rsidRPr="00AF0C8C">
        <w:rPr>
          <w:rStyle w:val="Hyperlink"/>
          <w:rFonts w:asciiTheme="minorHAnsi" w:hAnsiTheme="minorHAnsi" w:cstheme="minorHAnsi"/>
          <w:color w:val="000000" w:themeColor="text1"/>
          <w:lang w:val="el-GR"/>
        </w:rPr>
        <w:t>/</w:t>
      </w:r>
      <w:proofErr w:type="spellStart"/>
      <w:r w:rsidRPr="00AF0C8C">
        <w:rPr>
          <w:rStyle w:val="Hyperlink"/>
          <w:rFonts w:asciiTheme="minorHAnsi" w:hAnsiTheme="minorHAnsi" w:cstheme="minorHAnsi"/>
          <w:color w:val="000000" w:themeColor="text1"/>
        </w:rPr>
        <w:t>mjpo</w:t>
      </w:r>
      <w:proofErr w:type="spellEnd"/>
      <w:r w:rsidRPr="00AF0C8C">
        <w:rPr>
          <w:rStyle w:val="Hyperlink"/>
          <w:rFonts w:asciiTheme="minorHAnsi" w:hAnsiTheme="minorHAnsi" w:cstheme="minorHAnsi"/>
          <w:color w:val="000000" w:themeColor="text1"/>
          <w:lang w:val="el-GR"/>
        </w:rPr>
        <w:t>.</w:t>
      </w:r>
      <w:proofErr w:type="spellStart"/>
      <w:r w:rsidRPr="00AF0C8C">
        <w:rPr>
          <w:rStyle w:val="Hyperlink"/>
          <w:rFonts w:asciiTheme="minorHAnsi" w:hAnsiTheme="minorHAnsi" w:cstheme="minorHAnsi"/>
          <w:color w:val="000000" w:themeColor="text1"/>
        </w:rPr>
        <w:t>nsf</w:t>
      </w:r>
      <w:proofErr w:type="spellEnd"/>
      <w:r w:rsidR="00000000">
        <w:rPr>
          <w:rStyle w:val="Hyperlink"/>
          <w:rFonts w:asciiTheme="minorHAnsi" w:hAnsiTheme="minorHAnsi" w:cstheme="minorHAnsi"/>
          <w:color w:val="000000" w:themeColor="text1"/>
        </w:rPr>
        <w:fldChar w:fldCharType="end"/>
      </w:r>
      <w:r w:rsidRPr="00AF0C8C">
        <w:rPr>
          <w:rStyle w:val="Hyperlink"/>
          <w:rFonts w:asciiTheme="minorHAnsi" w:hAnsiTheme="minorHAnsi" w:cstheme="minorHAnsi"/>
          <w:color w:val="000000" w:themeColor="text1"/>
          <w:lang w:val="el-GR"/>
        </w:rPr>
        <w:t xml:space="preserve"> </w:t>
      </w:r>
    </w:p>
  </w:footnote>
  <w:footnote w:id="37">
    <w:p w14:paraId="48CCAC51" w14:textId="613DBF41" w:rsidR="00071F64" w:rsidRPr="0021662B" w:rsidRDefault="00071F64" w:rsidP="00A5147D">
      <w:pPr>
        <w:pStyle w:val="FootnoteText"/>
        <w:rPr>
          <w:rFonts w:ascii="Calibri" w:hAnsi="Calibri" w:cs="Calibri"/>
          <w:lang w:val="el-GR"/>
        </w:rPr>
      </w:pPr>
      <w:r w:rsidRPr="00B47EA7">
        <w:rPr>
          <w:rStyle w:val="FootnoteReference"/>
          <w:rFonts w:asciiTheme="minorHAnsi" w:hAnsiTheme="minorHAnsi" w:cstheme="minorHAnsi"/>
        </w:rPr>
        <w:footnoteRef/>
      </w:r>
      <w:r w:rsidRPr="0021662B">
        <w:rPr>
          <w:rFonts w:asciiTheme="minorHAnsi" w:hAnsiTheme="minorHAnsi" w:cstheme="minorHAnsi"/>
          <w:lang w:val="el-GR"/>
        </w:rPr>
        <w:t xml:space="preserve"> </w:t>
      </w:r>
      <w:r>
        <w:rPr>
          <w:rFonts w:asciiTheme="minorHAnsi" w:hAnsiTheme="minorHAnsi" w:cstheme="minorHAnsi"/>
          <w:lang w:val="el-GR"/>
        </w:rPr>
        <w:t>Υπουργοί</w:t>
      </w:r>
      <w:r w:rsidRPr="0021662B">
        <w:rPr>
          <w:rFonts w:asciiTheme="minorHAnsi" w:hAnsiTheme="minorHAnsi" w:cstheme="minorHAnsi"/>
          <w:lang w:val="el-GR"/>
        </w:rPr>
        <w:t xml:space="preserve">, </w:t>
      </w:r>
      <w:r>
        <w:rPr>
          <w:rFonts w:asciiTheme="minorHAnsi" w:hAnsiTheme="minorHAnsi" w:cstheme="minorHAnsi"/>
          <w:lang w:val="el-GR"/>
        </w:rPr>
        <w:t>Υφυπουργοί</w:t>
      </w:r>
      <w:r w:rsidRPr="0021662B">
        <w:rPr>
          <w:rFonts w:asciiTheme="minorHAnsi" w:hAnsiTheme="minorHAnsi" w:cstheme="minorHAnsi"/>
          <w:lang w:val="el-GR"/>
        </w:rPr>
        <w:t xml:space="preserve">, </w:t>
      </w:r>
      <w:r>
        <w:rPr>
          <w:rFonts w:asciiTheme="minorHAnsi" w:hAnsiTheme="minorHAnsi" w:cstheme="minorHAnsi"/>
          <w:lang w:val="el-GR"/>
        </w:rPr>
        <w:t>Κυβερνητικός</w:t>
      </w:r>
      <w:r w:rsidRPr="0021662B">
        <w:rPr>
          <w:rFonts w:asciiTheme="minorHAnsi" w:hAnsiTheme="minorHAnsi" w:cstheme="minorHAnsi"/>
          <w:lang w:val="el-GR"/>
        </w:rPr>
        <w:t xml:space="preserve"> </w:t>
      </w:r>
      <w:r>
        <w:rPr>
          <w:rFonts w:asciiTheme="minorHAnsi" w:hAnsiTheme="minorHAnsi" w:cstheme="minorHAnsi"/>
          <w:lang w:val="el-GR"/>
        </w:rPr>
        <w:t>Εκπρόσωπος</w:t>
      </w:r>
      <w:r w:rsidRPr="0021662B">
        <w:rPr>
          <w:rFonts w:asciiTheme="minorHAnsi" w:hAnsiTheme="minorHAnsi" w:cstheme="minorHAnsi"/>
          <w:lang w:val="el-GR"/>
        </w:rPr>
        <w:t xml:space="preserve">, </w:t>
      </w:r>
      <w:r>
        <w:rPr>
          <w:rFonts w:asciiTheme="minorHAnsi" w:hAnsiTheme="minorHAnsi" w:cstheme="minorHAnsi"/>
          <w:lang w:val="el-GR"/>
        </w:rPr>
        <w:t>Βοηθός</w:t>
      </w:r>
      <w:r w:rsidRPr="0021662B">
        <w:rPr>
          <w:rFonts w:asciiTheme="minorHAnsi" w:hAnsiTheme="minorHAnsi" w:cstheme="minorHAnsi"/>
          <w:lang w:val="el-GR"/>
        </w:rPr>
        <w:t xml:space="preserve"> </w:t>
      </w:r>
      <w:r>
        <w:rPr>
          <w:rFonts w:asciiTheme="minorHAnsi" w:hAnsiTheme="minorHAnsi" w:cstheme="minorHAnsi"/>
          <w:lang w:val="el-GR"/>
        </w:rPr>
        <w:t>Κυβερνητικός</w:t>
      </w:r>
      <w:r w:rsidRPr="0021662B">
        <w:rPr>
          <w:rFonts w:asciiTheme="minorHAnsi" w:hAnsiTheme="minorHAnsi" w:cstheme="minorHAnsi"/>
          <w:lang w:val="el-GR"/>
        </w:rPr>
        <w:t xml:space="preserve"> </w:t>
      </w:r>
      <w:r>
        <w:rPr>
          <w:rFonts w:asciiTheme="minorHAnsi" w:hAnsiTheme="minorHAnsi" w:cstheme="minorHAnsi"/>
          <w:lang w:val="el-GR"/>
        </w:rPr>
        <w:t>Εκπρόσωπος</w:t>
      </w:r>
      <w:r w:rsidRPr="0021662B">
        <w:rPr>
          <w:rFonts w:asciiTheme="minorHAnsi" w:hAnsiTheme="minorHAnsi" w:cstheme="minorHAnsi"/>
          <w:lang w:val="el-GR"/>
        </w:rPr>
        <w:t xml:space="preserve">, </w:t>
      </w:r>
      <w:r>
        <w:rPr>
          <w:rFonts w:asciiTheme="minorHAnsi" w:hAnsiTheme="minorHAnsi" w:cstheme="minorHAnsi"/>
          <w:lang w:val="el-GR"/>
        </w:rPr>
        <w:t>Διευθυντής</w:t>
      </w:r>
      <w:r w:rsidRPr="0021662B">
        <w:rPr>
          <w:rFonts w:asciiTheme="minorHAnsi" w:hAnsiTheme="minorHAnsi" w:cstheme="minorHAnsi"/>
          <w:lang w:val="el-GR"/>
        </w:rPr>
        <w:t xml:space="preserve"> </w:t>
      </w:r>
      <w:r>
        <w:rPr>
          <w:rFonts w:asciiTheme="minorHAnsi" w:hAnsiTheme="minorHAnsi" w:cstheme="minorHAnsi"/>
          <w:lang w:val="el-GR"/>
        </w:rPr>
        <w:t>του</w:t>
      </w:r>
      <w:r w:rsidRPr="0021662B">
        <w:rPr>
          <w:rFonts w:asciiTheme="minorHAnsi" w:hAnsiTheme="minorHAnsi" w:cstheme="minorHAnsi"/>
          <w:lang w:val="el-GR"/>
        </w:rPr>
        <w:t xml:space="preserve"> </w:t>
      </w:r>
      <w:r>
        <w:rPr>
          <w:rFonts w:asciiTheme="minorHAnsi" w:hAnsiTheme="minorHAnsi" w:cstheme="minorHAnsi"/>
          <w:lang w:val="el-GR"/>
        </w:rPr>
        <w:t>Γραφείου</w:t>
      </w:r>
      <w:r w:rsidRPr="0021662B">
        <w:rPr>
          <w:rFonts w:asciiTheme="minorHAnsi" w:hAnsiTheme="minorHAnsi" w:cstheme="minorHAnsi"/>
          <w:lang w:val="el-GR"/>
        </w:rPr>
        <w:t xml:space="preserve"> </w:t>
      </w:r>
      <w:r>
        <w:rPr>
          <w:rFonts w:asciiTheme="minorHAnsi" w:hAnsiTheme="minorHAnsi" w:cstheme="minorHAnsi"/>
          <w:lang w:val="el-GR"/>
        </w:rPr>
        <w:t>του</w:t>
      </w:r>
      <w:r w:rsidRPr="0021662B">
        <w:rPr>
          <w:rFonts w:asciiTheme="minorHAnsi" w:hAnsiTheme="minorHAnsi" w:cstheme="minorHAnsi"/>
          <w:lang w:val="el-GR"/>
        </w:rPr>
        <w:t xml:space="preserve"> </w:t>
      </w:r>
      <w:r>
        <w:rPr>
          <w:rFonts w:asciiTheme="minorHAnsi" w:hAnsiTheme="minorHAnsi" w:cstheme="minorHAnsi"/>
          <w:lang w:val="el-GR"/>
        </w:rPr>
        <w:t>Προέδρου</w:t>
      </w:r>
      <w:r w:rsidRPr="0021662B">
        <w:rPr>
          <w:rFonts w:asciiTheme="minorHAnsi" w:hAnsiTheme="minorHAnsi" w:cstheme="minorHAnsi"/>
          <w:lang w:val="el-GR"/>
        </w:rPr>
        <w:t xml:space="preserve">, </w:t>
      </w:r>
      <w:r>
        <w:rPr>
          <w:rFonts w:asciiTheme="minorHAnsi" w:hAnsiTheme="minorHAnsi" w:cstheme="minorHAnsi"/>
          <w:lang w:val="el-GR"/>
        </w:rPr>
        <w:t>Διευθυντής του Γραφείου Τύπου του Προέδρου</w:t>
      </w:r>
      <w:r w:rsidRPr="0021662B">
        <w:rPr>
          <w:rFonts w:asciiTheme="minorHAnsi" w:hAnsiTheme="minorHAnsi" w:cstheme="minorHAnsi"/>
          <w:lang w:val="el-GR"/>
        </w:rPr>
        <w:t xml:space="preserve">, </w:t>
      </w:r>
      <w:r>
        <w:rPr>
          <w:rFonts w:asciiTheme="minorHAnsi" w:hAnsiTheme="minorHAnsi" w:cstheme="minorHAnsi"/>
          <w:lang w:val="el-GR"/>
        </w:rPr>
        <w:t>και Επίτροποι</w:t>
      </w:r>
      <w:r w:rsidRPr="0021662B">
        <w:rPr>
          <w:rFonts w:asciiTheme="minorHAnsi" w:hAnsiTheme="minorHAnsi" w:cstheme="minorHAnsi"/>
          <w:lang w:val="el-GR"/>
        </w:rPr>
        <w:t xml:space="preserve">. </w:t>
      </w:r>
    </w:p>
  </w:footnote>
  <w:footnote w:id="38">
    <w:p w14:paraId="6EFB7A03" w14:textId="072E60A8" w:rsidR="00071F64" w:rsidRPr="00B42370" w:rsidRDefault="00071F64" w:rsidP="00A5147D">
      <w:pPr>
        <w:pStyle w:val="NoSpacing"/>
        <w:spacing w:before="0" w:beforeAutospacing="0" w:after="0" w:afterAutospacing="0"/>
        <w:jc w:val="both"/>
        <w:rPr>
          <w:rFonts w:asciiTheme="minorHAnsi" w:hAnsiTheme="minorHAnsi" w:cstheme="minorHAnsi"/>
          <w:color w:val="000000" w:themeColor="text1"/>
          <w:sz w:val="20"/>
          <w:szCs w:val="20"/>
          <w:lang w:val="el-GR"/>
        </w:rPr>
      </w:pPr>
      <w:r w:rsidRPr="00B47EA7">
        <w:rPr>
          <w:rStyle w:val="FootnoteReference"/>
          <w:rFonts w:asciiTheme="minorHAnsi" w:hAnsiTheme="minorHAnsi" w:cstheme="minorHAnsi"/>
          <w:sz w:val="20"/>
          <w:szCs w:val="20"/>
        </w:rPr>
        <w:footnoteRef/>
      </w:r>
      <w:r w:rsidRPr="00B42370">
        <w:rPr>
          <w:rFonts w:asciiTheme="minorHAnsi" w:hAnsiTheme="minorHAnsi" w:cstheme="minorHAnsi"/>
          <w:sz w:val="20"/>
          <w:szCs w:val="20"/>
          <w:lang w:val="el-GR"/>
        </w:rPr>
        <w:t xml:space="preserve"> </w:t>
      </w:r>
      <w:r>
        <w:rPr>
          <w:rFonts w:asciiTheme="minorHAnsi" w:hAnsiTheme="minorHAnsi" w:cstheme="minorHAnsi"/>
          <w:sz w:val="20"/>
          <w:szCs w:val="20"/>
          <w:lang w:val="el-GR"/>
        </w:rPr>
        <w:t>Οι</w:t>
      </w:r>
      <w:r w:rsidRPr="00B42370">
        <w:rPr>
          <w:rFonts w:asciiTheme="minorHAnsi" w:hAnsiTheme="minorHAnsi" w:cstheme="minorHAnsi"/>
          <w:sz w:val="20"/>
          <w:szCs w:val="20"/>
          <w:lang w:val="el-GR"/>
        </w:rPr>
        <w:t xml:space="preserve"> </w:t>
      </w:r>
      <w:r>
        <w:rPr>
          <w:rFonts w:asciiTheme="minorHAnsi" w:hAnsiTheme="minorHAnsi" w:cstheme="minorHAnsi"/>
          <w:sz w:val="20"/>
          <w:szCs w:val="20"/>
          <w:lang w:val="el-GR"/>
        </w:rPr>
        <w:t>Νόμοι</w:t>
      </w:r>
      <w:r w:rsidRPr="00B42370">
        <w:rPr>
          <w:rFonts w:asciiTheme="minorHAnsi" w:hAnsiTheme="minorHAnsi" w:cstheme="minorHAnsi"/>
          <w:sz w:val="20"/>
          <w:szCs w:val="20"/>
          <w:lang w:val="el-GR"/>
        </w:rPr>
        <w:t xml:space="preserve"> </w:t>
      </w:r>
      <w:r>
        <w:rPr>
          <w:rFonts w:asciiTheme="minorHAnsi" w:hAnsiTheme="minorHAnsi" w:cstheme="minorHAnsi"/>
          <w:sz w:val="20"/>
          <w:szCs w:val="20"/>
          <w:lang w:val="el-GR"/>
        </w:rPr>
        <w:t>και</w:t>
      </w:r>
      <w:r w:rsidRPr="00B42370">
        <w:rPr>
          <w:rFonts w:asciiTheme="minorHAnsi" w:hAnsiTheme="minorHAnsi" w:cstheme="minorHAnsi"/>
          <w:sz w:val="20"/>
          <w:szCs w:val="20"/>
          <w:lang w:val="el-GR"/>
        </w:rPr>
        <w:t xml:space="preserve"> </w:t>
      </w:r>
      <w:r>
        <w:rPr>
          <w:rFonts w:asciiTheme="minorHAnsi" w:hAnsiTheme="minorHAnsi" w:cstheme="minorHAnsi"/>
          <w:sz w:val="20"/>
          <w:szCs w:val="20"/>
          <w:lang w:val="el-GR"/>
        </w:rPr>
        <w:t>Κανονισμοί</w:t>
      </w:r>
      <w:r w:rsidRPr="00B42370">
        <w:rPr>
          <w:rFonts w:asciiTheme="minorHAnsi" w:hAnsiTheme="minorHAnsi" w:cstheme="minorHAnsi"/>
          <w:sz w:val="20"/>
          <w:szCs w:val="20"/>
          <w:lang w:val="el-GR"/>
        </w:rPr>
        <w:t xml:space="preserve"> </w:t>
      </w:r>
      <w:r>
        <w:rPr>
          <w:rFonts w:asciiTheme="minorHAnsi" w:hAnsiTheme="minorHAnsi" w:cstheme="minorHAnsi"/>
          <w:sz w:val="20"/>
          <w:szCs w:val="20"/>
          <w:lang w:val="el-GR"/>
        </w:rPr>
        <w:t>που</w:t>
      </w:r>
      <w:r w:rsidRPr="00B42370">
        <w:rPr>
          <w:rFonts w:asciiTheme="minorHAnsi" w:hAnsiTheme="minorHAnsi" w:cstheme="minorHAnsi"/>
          <w:sz w:val="20"/>
          <w:szCs w:val="20"/>
          <w:lang w:val="el-GR"/>
        </w:rPr>
        <w:t xml:space="preserve"> </w:t>
      </w:r>
      <w:r>
        <w:rPr>
          <w:rFonts w:asciiTheme="minorHAnsi" w:hAnsiTheme="minorHAnsi" w:cstheme="minorHAnsi"/>
          <w:sz w:val="20"/>
          <w:szCs w:val="20"/>
          <w:lang w:val="el-GR"/>
        </w:rPr>
        <w:t>υπάγονται</w:t>
      </w:r>
      <w:r w:rsidRPr="00B42370">
        <w:rPr>
          <w:rFonts w:asciiTheme="minorHAnsi" w:hAnsiTheme="minorHAnsi" w:cstheme="minorHAnsi"/>
          <w:sz w:val="20"/>
          <w:szCs w:val="20"/>
          <w:lang w:val="el-GR"/>
        </w:rPr>
        <w:t xml:space="preserve"> </w:t>
      </w:r>
      <w:r>
        <w:rPr>
          <w:rFonts w:asciiTheme="minorHAnsi" w:hAnsiTheme="minorHAnsi" w:cstheme="minorHAnsi"/>
          <w:sz w:val="20"/>
          <w:szCs w:val="20"/>
          <w:lang w:val="el-GR"/>
        </w:rPr>
        <w:t>στις</w:t>
      </w:r>
      <w:r w:rsidRPr="00B42370">
        <w:rPr>
          <w:rFonts w:asciiTheme="minorHAnsi" w:hAnsiTheme="minorHAnsi" w:cstheme="minorHAnsi"/>
          <w:sz w:val="20"/>
          <w:szCs w:val="20"/>
          <w:lang w:val="el-GR"/>
        </w:rPr>
        <w:t xml:space="preserve"> </w:t>
      </w:r>
      <w:r>
        <w:rPr>
          <w:rFonts w:asciiTheme="minorHAnsi" w:hAnsiTheme="minorHAnsi" w:cstheme="minorHAnsi"/>
          <w:sz w:val="20"/>
          <w:szCs w:val="20"/>
          <w:lang w:val="el-GR"/>
        </w:rPr>
        <w:t>αρμοδιότητες</w:t>
      </w:r>
      <w:r w:rsidRPr="00B42370">
        <w:rPr>
          <w:rFonts w:asciiTheme="minorHAnsi" w:hAnsiTheme="minorHAnsi" w:cstheme="minorHAnsi"/>
          <w:sz w:val="20"/>
          <w:szCs w:val="20"/>
          <w:lang w:val="el-GR"/>
        </w:rPr>
        <w:t xml:space="preserve"> </w:t>
      </w:r>
      <w:r>
        <w:rPr>
          <w:rFonts w:asciiTheme="minorHAnsi" w:hAnsiTheme="minorHAnsi" w:cstheme="minorHAnsi"/>
          <w:sz w:val="20"/>
          <w:szCs w:val="20"/>
          <w:lang w:val="el-GR"/>
        </w:rPr>
        <w:t>του</w:t>
      </w:r>
      <w:r w:rsidRPr="00B42370">
        <w:rPr>
          <w:rFonts w:asciiTheme="minorHAnsi" w:hAnsiTheme="minorHAnsi" w:cstheme="minorHAnsi"/>
          <w:sz w:val="20"/>
          <w:szCs w:val="20"/>
          <w:lang w:val="el-GR"/>
        </w:rPr>
        <w:t xml:space="preserve"> </w:t>
      </w:r>
      <w:r>
        <w:rPr>
          <w:rFonts w:asciiTheme="minorHAnsi" w:hAnsiTheme="minorHAnsi" w:cstheme="minorHAnsi"/>
          <w:sz w:val="20"/>
          <w:szCs w:val="20"/>
          <w:lang w:val="el-GR"/>
        </w:rPr>
        <w:t>Γενικού</w:t>
      </w:r>
      <w:r w:rsidRPr="00B42370">
        <w:rPr>
          <w:rFonts w:asciiTheme="minorHAnsi" w:hAnsiTheme="minorHAnsi" w:cstheme="minorHAnsi"/>
          <w:sz w:val="20"/>
          <w:szCs w:val="20"/>
          <w:lang w:val="el-GR"/>
        </w:rPr>
        <w:t xml:space="preserve"> </w:t>
      </w:r>
      <w:r>
        <w:rPr>
          <w:rFonts w:asciiTheme="minorHAnsi" w:hAnsiTheme="minorHAnsi" w:cstheme="minorHAnsi"/>
          <w:sz w:val="20"/>
          <w:szCs w:val="20"/>
          <w:lang w:val="el-GR"/>
        </w:rPr>
        <w:t>Λογιστηρίου</w:t>
      </w:r>
      <w:r w:rsidRPr="00B42370">
        <w:rPr>
          <w:rFonts w:asciiTheme="minorHAnsi" w:hAnsiTheme="minorHAnsi" w:cstheme="minorHAnsi"/>
          <w:sz w:val="20"/>
          <w:szCs w:val="20"/>
          <w:lang w:val="el-GR"/>
        </w:rPr>
        <w:t xml:space="preserve"> </w:t>
      </w:r>
      <w:r>
        <w:rPr>
          <w:rFonts w:asciiTheme="minorHAnsi" w:hAnsiTheme="minorHAnsi" w:cstheme="minorHAnsi"/>
          <w:sz w:val="20"/>
          <w:szCs w:val="20"/>
          <w:lang w:val="el-GR"/>
        </w:rPr>
        <w:t>της</w:t>
      </w:r>
      <w:r w:rsidRPr="00B42370">
        <w:rPr>
          <w:rFonts w:asciiTheme="minorHAnsi" w:hAnsiTheme="minorHAnsi" w:cstheme="minorHAnsi"/>
          <w:sz w:val="20"/>
          <w:szCs w:val="20"/>
          <w:lang w:val="el-GR"/>
        </w:rPr>
        <w:t xml:space="preserve"> </w:t>
      </w:r>
      <w:r>
        <w:rPr>
          <w:rFonts w:asciiTheme="minorHAnsi" w:hAnsiTheme="minorHAnsi" w:cstheme="minorHAnsi"/>
          <w:sz w:val="20"/>
          <w:szCs w:val="20"/>
          <w:lang w:val="el-GR"/>
        </w:rPr>
        <w:t>Δημοκρατίας</w:t>
      </w:r>
      <w:r w:rsidRPr="00B4237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προβλέπουν</w:t>
      </w:r>
      <w:r w:rsidRPr="00B4237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ότι</w:t>
      </w:r>
      <w:r w:rsidRPr="00B4237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οι</w:t>
      </w:r>
      <w:r w:rsidRPr="00B4237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αρχές</w:t>
      </w:r>
      <w:r w:rsidRPr="00B4237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πρέπει</w:t>
      </w:r>
      <w:r w:rsidRPr="00B4237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να</w:t>
      </w:r>
      <w:r w:rsidRPr="00B4237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αναζητήσουν</w:t>
      </w:r>
      <w:r w:rsidRPr="00B4237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την</w:t>
      </w:r>
      <w:r w:rsidRPr="00B4237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καθοδήγηση</w:t>
      </w:r>
      <w:r w:rsidRPr="00B4237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και</w:t>
      </w:r>
      <w:r w:rsidRPr="00B4237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να</w:t>
      </w:r>
      <w:r w:rsidRPr="00B4237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συμβουλευθούν την Τεχνική Επιτροπή για τον Καθορισμό και την Αναθεώρηση Τελών και Δικαιωμάτων του Γενικού Λογιστηρίου</w:t>
      </w:r>
      <w:r w:rsidRPr="00B4237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για την καθιέρωση μιας διαδικασίας για τον υπολογισμό διοικητικών τελών</w:t>
      </w:r>
      <w:r w:rsidRPr="00B42370">
        <w:rPr>
          <w:rFonts w:asciiTheme="minorHAnsi" w:hAnsiTheme="minorHAnsi" w:cstheme="minorHAnsi"/>
          <w:color w:val="000000" w:themeColor="text1"/>
          <w:sz w:val="20"/>
          <w:szCs w:val="20"/>
          <w:lang w:val="el-GR"/>
        </w:rPr>
        <w:t>.</w:t>
      </w:r>
    </w:p>
  </w:footnote>
  <w:footnote w:id="39">
    <w:p w14:paraId="4084B615" w14:textId="5783139A" w:rsidR="00071F64" w:rsidRPr="008E2510" w:rsidRDefault="00071F64" w:rsidP="00A5147D">
      <w:pPr>
        <w:pStyle w:val="FootnoteText"/>
        <w:rPr>
          <w:rFonts w:asciiTheme="minorHAnsi" w:hAnsiTheme="minorHAnsi" w:cstheme="minorHAnsi"/>
          <w:lang w:val="el-GR"/>
        </w:rPr>
      </w:pPr>
      <w:r w:rsidRPr="00B47EA7">
        <w:rPr>
          <w:rStyle w:val="FootnoteReference"/>
          <w:rFonts w:asciiTheme="minorHAnsi" w:hAnsiTheme="minorHAnsi" w:cstheme="minorHAnsi"/>
        </w:rPr>
        <w:footnoteRef/>
      </w:r>
      <w:r w:rsidRPr="008E2510">
        <w:rPr>
          <w:rFonts w:asciiTheme="minorHAnsi" w:hAnsiTheme="minorHAnsi" w:cstheme="minorHAnsi"/>
          <w:lang w:val="el-GR"/>
        </w:rPr>
        <w:t xml:space="preserve"> </w:t>
      </w:r>
      <w:r>
        <w:rPr>
          <w:rFonts w:asciiTheme="minorHAnsi" w:hAnsiTheme="minorHAnsi" w:cstheme="minorHAnsi"/>
          <w:lang w:val="el-GR"/>
        </w:rPr>
        <w:t>Άρθρο</w:t>
      </w:r>
      <w:r w:rsidRPr="008E2510">
        <w:rPr>
          <w:rFonts w:asciiTheme="minorHAnsi" w:eastAsia="Calibri" w:hAnsiTheme="minorHAnsi" w:cstheme="minorHAnsi"/>
          <w:lang w:val="el-GR"/>
        </w:rPr>
        <w:t xml:space="preserve"> 52, </w:t>
      </w:r>
      <w:r>
        <w:rPr>
          <w:rFonts w:asciiTheme="minorHAnsi" w:eastAsia="Calibri" w:hAnsiTheme="minorHAnsi" w:cstheme="minorHAnsi"/>
          <w:lang w:val="el-GR"/>
        </w:rPr>
        <w:t>Σύνταγμα</w:t>
      </w:r>
      <w:r w:rsidRPr="008E2510">
        <w:rPr>
          <w:rFonts w:asciiTheme="minorHAnsi" w:eastAsia="Calibri" w:hAnsiTheme="minorHAnsi" w:cstheme="minorHAnsi"/>
          <w:lang w:val="el-GR"/>
        </w:rPr>
        <w:t>.</w:t>
      </w:r>
    </w:p>
  </w:footnote>
  <w:footnote w:id="40">
    <w:p w14:paraId="3E4A1A2C" w14:textId="3432A289" w:rsidR="00071F64" w:rsidRPr="008E2510" w:rsidRDefault="00071F64" w:rsidP="00A5147D">
      <w:pPr>
        <w:pStyle w:val="FootnoteText"/>
        <w:rPr>
          <w:rFonts w:asciiTheme="minorHAnsi" w:hAnsiTheme="minorHAnsi" w:cstheme="minorHAnsi"/>
          <w:lang w:val="el-GR"/>
        </w:rPr>
      </w:pPr>
      <w:r w:rsidRPr="00B47EA7">
        <w:rPr>
          <w:rStyle w:val="FootnoteReference"/>
          <w:rFonts w:asciiTheme="minorHAnsi" w:hAnsiTheme="minorHAnsi" w:cstheme="minorHAnsi"/>
        </w:rPr>
        <w:footnoteRef/>
      </w:r>
      <w:r w:rsidRPr="008E2510">
        <w:rPr>
          <w:rFonts w:asciiTheme="minorHAnsi" w:hAnsiTheme="minorHAnsi" w:cstheme="minorHAnsi"/>
          <w:lang w:val="el-GR"/>
        </w:rPr>
        <w:t xml:space="preserve"> </w:t>
      </w:r>
      <w:proofErr w:type="spellStart"/>
      <w:r>
        <w:rPr>
          <w:rFonts w:asciiTheme="minorHAnsi" w:hAnsiTheme="minorHAnsi" w:cstheme="minorHAnsi"/>
          <w:lang w:val="el-GR"/>
        </w:rPr>
        <w:t>Αρ</w:t>
      </w:r>
      <w:proofErr w:type="spellEnd"/>
      <w:r>
        <w:rPr>
          <w:rFonts w:asciiTheme="minorHAnsi" w:hAnsiTheme="minorHAnsi" w:cstheme="minorHAnsi"/>
          <w:lang w:val="el-GR"/>
        </w:rPr>
        <w:t>. Απόφασης</w:t>
      </w:r>
      <w:r w:rsidRPr="008E2510">
        <w:rPr>
          <w:rFonts w:asciiTheme="minorHAnsi" w:hAnsiTheme="minorHAnsi" w:cstheme="minorHAnsi"/>
          <w:lang w:val="el-GR"/>
        </w:rPr>
        <w:t xml:space="preserve"> 76,347, 23 </w:t>
      </w:r>
      <w:r>
        <w:rPr>
          <w:rFonts w:asciiTheme="minorHAnsi" w:hAnsiTheme="minorHAnsi" w:cstheme="minorHAnsi"/>
          <w:lang w:val="el-GR"/>
        </w:rPr>
        <w:t>Ιανουαρίου</w:t>
      </w:r>
      <w:r w:rsidRPr="008E2510">
        <w:rPr>
          <w:rFonts w:asciiTheme="minorHAnsi" w:hAnsiTheme="minorHAnsi" w:cstheme="minorHAnsi"/>
          <w:lang w:val="el-GR"/>
        </w:rPr>
        <w:t xml:space="preserve"> 2014. </w:t>
      </w:r>
    </w:p>
  </w:footnote>
  <w:footnote w:id="41">
    <w:p w14:paraId="31DC1AB1" w14:textId="3F6648EB" w:rsidR="00071F64" w:rsidRPr="00F91F9F" w:rsidRDefault="00071F64">
      <w:pPr>
        <w:pStyle w:val="FootnoteText"/>
        <w:rPr>
          <w:rFonts w:ascii="Calibri" w:hAnsi="Calibri" w:cs="Calibri"/>
          <w:lang w:val="el-GR"/>
        </w:rPr>
      </w:pPr>
      <w:r w:rsidRPr="00A90F70">
        <w:rPr>
          <w:rStyle w:val="FootnoteReference"/>
          <w:rFonts w:ascii="Calibri" w:hAnsi="Calibri" w:cs="Calibri"/>
        </w:rPr>
        <w:footnoteRef/>
      </w:r>
      <w:r w:rsidRPr="00F91F9F">
        <w:rPr>
          <w:rFonts w:ascii="Calibri" w:hAnsi="Calibri" w:cs="Calibri"/>
          <w:lang w:val="el-GR"/>
        </w:rPr>
        <w:t xml:space="preserve"> </w:t>
      </w:r>
      <w:r>
        <w:rPr>
          <w:rFonts w:ascii="Calibri" w:hAnsi="Calibri" w:cs="Calibri"/>
          <w:lang w:val="el-GR"/>
        </w:rPr>
        <w:t>Οι</w:t>
      </w:r>
      <w:r w:rsidRPr="00F91F9F">
        <w:rPr>
          <w:rFonts w:ascii="Calibri" w:hAnsi="Calibri" w:cs="Calibri"/>
          <w:lang w:val="el-GR"/>
        </w:rPr>
        <w:t xml:space="preserve"> </w:t>
      </w:r>
      <w:r>
        <w:rPr>
          <w:rFonts w:ascii="Calibri" w:hAnsi="Calibri" w:cs="Calibri"/>
          <w:lang w:val="el-GR"/>
        </w:rPr>
        <w:t>αρχές</w:t>
      </w:r>
      <w:r w:rsidRPr="00F91F9F">
        <w:rPr>
          <w:rFonts w:ascii="Calibri" w:hAnsi="Calibri" w:cs="Calibri"/>
          <w:lang w:val="el-GR"/>
        </w:rPr>
        <w:t xml:space="preserve"> </w:t>
      </w:r>
      <w:r>
        <w:rPr>
          <w:rFonts w:ascii="Calibri" w:hAnsi="Calibri" w:cs="Calibri"/>
          <w:lang w:val="el-GR"/>
        </w:rPr>
        <w:t>υπέδειξαν</w:t>
      </w:r>
      <w:r w:rsidRPr="00F91F9F">
        <w:rPr>
          <w:rFonts w:ascii="Calibri" w:hAnsi="Calibri" w:cs="Calibri"/>
          <w:lang w:val="el-GR"/>
        </w:rPr>
        <w:t xml:space="preserve"> </w:t>
      </w:r>
      <w:r>
        <w:rPr>
          <w:rFonts w:ascii="Calibri" w:hAnsi="Calibri" w:cs="Calibri"/>
          <w:lang w:val="el-GR"/>
        </w:rPr>
        <w:t>ότι</w:t>
      </w:r>
      <w:r w:rsidRPr="00F91F9F">
        <w:rPr>
          <w:rFonts w:ascii="Calibri" w:hAnsi="Calibri" w:cs="Calibri"/>
          <w:lang w:val="el-GR"/>
        </w:rPr>
        <w:t xml:space="preserve"> </w:t>
      </w:r>
      <w:r>
        <w:rPr>
          <w:rFonts w:ascii="Calibri" w:hAnsi="Calibri" w:cs="Calibri"/>
          <w:lang w:val="el-GR"/>
        </w:rPr>
        <w:t>η</w:t>
      </w:r>
      <w:r w:rsidRPr="00F91F9F">
        <w:rPr>
          <w:rFonts w:ascii="Calibri" w:hAnsi="Calibri" w:cs="Calibri"/>
          <w:lang w:val="el-GR"/>
        </w:rPr>
        <w:t xml:space="preserve"> </w:t>
      </w:r>
      <w:r>
        <w:rPr>
          <w:rFonts w:ascii="Calibri" w:hAnsi="Calibri" w:cs="Calibri"/>
          <w:lang w:val="el-GR"/>
        </w:rPr>
        <w:t>καθοδήγηση</w:t>
      </w:r>
      <w:r w:rsidRPr="00F91F9F">
        <w:rPr>
          <w:rFonts w:ascii="Calibri" w:hAnsi="Calibri" w:cs="Calibri"/>
          <w:lang w:val="el-GR"/>
        </w:rPr>
        <w:t xml:space="preserve"> </w:t>
      </w:r>
      <w:r>
        <w:rPr>
          <w:rFonts w:ascii="Calibri" w:hAnsi="Calibri" w:cs="Calibri"/>
          <w:lang w:val="el-GR"/>
        </w:rPr>
        <w:t>ήδη ετοιμάζεται</w:t>
      </w:r>
      <w:r w:rsidRPr="00F91F9F">
        <w:rPr>
          <w:rFonts w:ascii="Calibri" w:hAnsi="Calibri" w:cs="Calibri"/>
          <w:lang w:val="el-GR"/>
        </w:rPr>
        <w:t xml:space="preserve">. </w:t>
      </w:r>
      <w:r>
        <w:rPr>
          <w:rFonts w:ascii="Calibri" w:hAnsi="Calibri" w:cs="Calibri"/>
          <w:lang w:val="el-GR"/>
        </w:rPr>
        <w:t>Η</w:t>
      </w:r>
      <w:r w:rsidRPr="00F91F9F">
        <w:rPr>
          <w:rFonts w:ascii="Calibri" w:hAnsi="Calibri" w:cs="Calibri"/>
          <w:lang w:val="el-GR"/>
        </w:rPr>
        <w:t xml:space="preserve"> </w:t>
      </w:r>
      <w:r w:rsidRPr="00A90F70">
        <w:rPr>
          <w:rFonts w:ascii="Calibri" w:hAnsi="Calibri" w:cs="Calibri"/>
        </w:rPr>
        <w:t>GRECO</w:t>
      </w:r>
      <w:r w:rsidRPr="00F91F9F">
        <w:rPr>
          <w:rFonts w:ascii="Calibri" w:hAnsi="Calibri" w:cs="Calibri"/>
          <w:lang w:val="el-GR"/>
        </w:rPr>
        <w:t xml:space="preserve"> </w:t>
      </w:r>
      <w:r>
        <w:rPr>
          <w:rFonts w:ascii="Calibri" w:hAnsi="Calibri" w:cs="Calibri"/>
          <w:lang w:val="el-GR"/>
        </w:rPr>
        <w:t>θα</w:t>
      </w:r>
      <w:r w:rsidRPr="00F91F9F">
        <w:rPr>
          <w:rFonts w:ascii="Calibri" w:hAnsi="Calibri" w:cs="Calibri"/>
          <w:lang w:val="el-GR"/>
        </w:rPr>
        <w:t xml:space="preserve"> </w:t>
      </w:r>
      <w:r>
        <w:rPr>
          <w:rFonts w:ascii="Calibri" w:hAnsi="Calibri" w:cs="Calibri"/>
          <w:lang w:val="el-GR"/>
        </w:rPr>
        <w:t>αξιολογήσει</w:t>
      </w:r>
      <w:r w:rsidRPr="00F91F9F">
        <w:rPr>
          <w:rFonts w:ascii="Calibri" w:hAnsi="Calibri" w:cs="Calibri"/>
          <w:lang w:val="el-GR"/>
        </w:rPr>
        <w:t xml:space="preserve"> </w:t>
      </w:r>
      <w:r>
        <w:rPr>
          <w:rFonts w:ascii="Calibri" w:hAnsi="Calibri" w:cs="Calibri"/>
          <w:lang w:val="el-GR"/>
        </w:rPr>
        <w:t>το</w:t>
      </w:r>
      <w:r w:rsidRPr="00F91F9F">
        <w:rPr>
          <w:rFonts w:ascii="Calibri" w:hAnsi="Calibri" w:cs="Calibri"/>
          <w:lang w:val="el-GR"/>
        </w:rPr>
        <w:t xml:space="preserve"> </w:t>
      </w:r>
      <w:r>
        <w:rPr>
          <w:rFonts w:ascii="Calibri" w:hAnsi="Calibri" w:cs="Calibri"/>
          <w:lang w:val="el-GR"/>
        </w:rPr>
        <w:t>τελικό</w:t>
      </w:r>
      <w:r w:rsidRPr="00F91F9F">
        <w:rPr>
          <w:rFonts w:ascii="Calibri" w:hAnsi="Calibri" w:cs="Calibri"/>
          <w:lang w:val="el-GR"/>
        </w:rPr>
        <w:t xml:space="preserve"> </w:t>
      </w:r>
      <w:r>
        <w:rPr>
          <w:rFonts w:ascii="Calibri" w:hAnsi="Calibri" w:cs="Calibri"/>
          <w:lang w:val="el-GR"/>
        </w:rPr>
        <w:t>αποτέλεσμα</w:t>
      </w:r>
      <w:r w:rsidRPr="00F91F9F">
        <w:rPr>
          <w:rFonts w:ascii="Calibri" w:hAnsi="Calibri" w:cs="Calibri"/>
          <w:lang w:val="el-GR"/>
        </w:rPr>
        <w:t xml:space="preserve"> </w:t>
      </w:r>
      <w:r>
        <w:rPr>
          <w:rFonts w:ascii="Calibri" w:hAnsi="Calibri" w:cs="Calibri"/>
          <w:lang w:val="el-GR"/>
        </w:rPr>
        <w:t>στην πορεία της διαδικασίας της για συμμόρφωση</w:t>
      </w:r>
      <w:r w:rsidRPr="00F91F9F">
        <w:rPr>
          <w:rFonts w:ascii="Calibri" w:hAnsi="Calibri" w:cs="Calibri"/>
          <w:lang w:val="el-GR"/>
        </w:rPr>
        <w:t xml:space="preserve">. </w:t>
      </w:r>
    </w:p>
  </w:footnote>
  <w:footnote w:id="42">
    <w:p w14:paraId="379E2613" w14:textId="63C4134F" w:rsidR="00071F64" w:rsidRPr="00F91F9F" w:rsidRDefault="00071F64">
      <w:pPr>
        <w:pStyle w:val="FootnoteText"/>
        <w:rPr>
          <w:rFonts w:ascii="Calibri" w:hAnsi="Calibri" w:cs="Calibri"/>
          <w:lang w:val="el-GR"/>
        </w:rPr>
      </w:pPr>
      <w:r w:rsidRPr="00A90F70">
        <w:rPr>
          <w:rStyle w:val="FootnoteReference"/>
          <w:rFonts w:ascii="Calibri" w:hAnsi="Calibri" w:cs="Calibri"/>
        </w:rPr>
        <w:footnoteRef/>
      </w:r>
      <w:r w:rsidRPr="00F91F9F">
        <w:rPr>
          <w:rFonts w:ascii="Calibri" w:hAnsi="Calibri" w:cs="Calibri"/>
          <w:lang w:val="el-GR"/>
        </w:rPr>
        <w:t xml:space="preserve"> </w:t>
      </w:r>
      <w:r>
        <w:rPr>
          <w:rFonts w:ascii="Calibri" w:hAnsi="Calibri" w:cs="Calibri"/>
          <w:lang w:val="el-GR"/>
        </w:rPr>
        <w:t>Βλέπε</w:t>
      </w:r>
      <w:r w:rsidRPr="00F91F9F">
        <w:rPr>
          <w:rFonts w:ascii="Calibri" w:hAnsi="Calibri" w:cs="Calibri"/>
          <w:lang w:val="el-GR"/>
        </w:rPr>
        <w:t xml:space="preserve"> </w:t>
      </w:r>
      <w:r>
        <w:rPr>
          <w:rFonts w:ascii="Calibri" w:hAnsi="Calibri" w:cs="Calibri"/>
          <w:lang w:val="el-GR"/>
        </w:rPr>
        <w:t>παράγραφο</w:t>
      </w:r>
      <w:r w:rsidRPr="00F91F9F">
        <w:rPr>
          <w:rFonts w:ascii="Calibri" w:hAnsi="Calibri" w:cs="Calibri"/>
          <w:lang w:val="el-GR"/>
        </w:rPr>
        <w:t xml:space="preserve"> 21 </w:t>
      </w:r>
      <w:r>
        <w:rPr>
          <w:rFonts w:ascii="Calibri" w:hAnsi="Calibri" w:cs="Calibri"/>
          <w:lang w:val="el-GR"/>
        </w:rPr>
        <w:t>για</w:t>
      </w:r>
      <w:r w:rsidRPr="00F91F9F">
        <w:rPr>
          <w:rFonts w:ascii="Calibri" w:hAnsi="Calibri" w:cs="Calibri"/>
          <w:lang w:val="el-GR"/>
        </w:rPr>
        <w:t xml:space="preserve"> </w:t>
      </w:r>
      <w:r>
        <w:rPr>
          <w:rFonts w:ascii="Calibri" w:hAnsi="Calibri" w:cs="Calibri"/>
          <w:lang w:val="el-GR"/>
        </w:rPr>
        <w:t>την</w:t>
      </w:r>
      <w:r w:rsidRPr="00F91F9F">
        <w:rPr>
          <w:rFonts w:ascii="Calibri" w:hAnsi="Calibri" w:cs="Calibri"/>
          <w:lang w:val="el-GR"/>
        </w:rPr>
        <w:t xml:space="preserve"> </w:t>
      </w:r>
      <w:r>
        <w:rPr>
          <w:rFonts w:ascii="Calibri" w:hAnsi="Calibri" w:cs="Calibri"/>
          <w:lang w:val="el-GR"/>
        </w:rPr>
        <w:t>πρόσφατη</w:t>
      </w:r>
      <w:r w:rsidRPr="00F91F9F">
        <w:rPr>
          <w:rFonts w:ascii="Calibri" w:hAnsi="Calibri" w:cs="Calibri"/>
          <w:lang w:val="el-GR"/>
        </w:rPr>
        <w:t xml:space="preserve"> </w:t>
      </w:r>
      <w:r>
        <w:rPr>
          <w:rFonts w:ascii="Calibri" w:hAnsi="Calibri" w:cs="Calibri"/>
          <w:lang w:val="el-GR"/>
        </w:rPr>
        <w:t>μεταρρύθμιση της δικαστικής εξουσίας</w:t>
      </w:r>
      <w:r w:rsidRPr="00F91F9F">
        <w:rPr>
          <w:rFonts w:ascii="Calibri" w:hAnsi="Calibri" w:cs="Calibri"/>
          <w:lang w:val="el-GR"/>
        </w:rPr>
        <w:t>.</w:t>
      </w:r>
    </w:p>
  </w:footnote>
  <w:footnote w:id="43">
    <w:p w14:paraId="540CA16E" w14:textId="51B6132F" w:rsidR="00071F64" w:rsidRPr="00F04244" w:rsidRDefault="00071F64" w:rsidP="00A5147D">
      <w:pPr>
        <w:pStyle w:val="FootnoteText"/>
        <w:rPr>
          <w:rFonts w:asciiTheme="minorHAnsi" w:hAnsiTheme="minorHAnsi" w:cstheme="minorHAnsi"/>
          <w:lang w:val="el-GR"/>
        </w:rPr>
      </w:pPr>
      <w:r w:rsidRPr="00B47EA7">
        <w:rPr>
          <w:rStyle w:val="FootnoteReference"/>
          <w:rFonts w:asciiTheme="minorHAnsi" w:hAnsiTheme="minorHAnsi" w:cstheme="minorHAnsi"/>
        </w:rPr>
        <w:footnoteRef/>
      </w:r>
      <w:r w:rsidRPr="00F04244">
        <w:rPr>
          <w:rFonts w:asciiTheme="minorHAnsi" w:hAnsiTheme="minorHAnsi" w:cstheme="minorHAnsi"/>
          <w:lang w:val="el-GR"/>
        </w:rPr>
        <w:t xml:space="preserve"> </w:t>
      </w:r>
      <w:r>
        <w:rPr>
          <w:rFonts w:asciiTheme="minorHAnsi" w:hAnsiTheme="minorHAnsi" w:cstheme="minorHAnsi"/>
          <w:lang w:val="el-GR"/>
        </w:rPr>
        <w:t>Άρθρο</w:t>
      </w:r>
      <w:r w:rsidRPr="00F04244">
        <w:rPr>
          <w:rFonts w:asciiTheme="minorHAnsi" w:hAnsiTheme="minorHAnsi" w:cstheme="minorHAnsi"/>
          <w:lang w:val="el-GR" w:eastAsia="fr-FR"/>
        </w:rPr>
        <w:t xml:space="preserve"> 81, </w:t>
      </w:r>
      <w:r>
        <w:rPr>
          <w:rFonts w:asciiTheme="minorHAnsi" w:hAnsiTheme="minorHAnsi" w:cstheme="minorHAnsi"/>
          <w:lang w:val="el-GR" w:eastAsia="fr-FR"/>
        </w:rPr>
        <w:t>Σύνταγμα</w:t>
      </w:r>
      <w:r w:rsidRPr="00F04244">
        <w:rPr>
          <w:rFonts w:asciiTheme="minorHAnsi" w:hAnsiTheme="minorHAnsi" w:cstheme="minorHAnsi"/>
          <w:lang w:val="el-GR" w:eastAsia="fr-FR"/>
        </w:rPr>
        <w:t>.</w:t>
      </w:r>
    </w:p>
  </w:footnote>
  <w:footnote w:id="44">
    <w:p w14:paraId="0399DD38" w14:textId="38270084" w:rsidR="00071F64" w:rsidRPr="00F04244" w:rsidRDefault="00071F64" w:rsidP="00A5147D">
      <w:pPr>
        <w:pStyle w:val="FootnoteText"/>
        <w:rPr>
          <w:rFonts w:ascii="Calibri" w:hAnsi="Calibri" w:cs="Calibri"/>
          <w:lang w:val="el-GR"/>
        </w:rPr>
      </w:pPr>
      <w:r w:rsidRPr="00B47EA7">
        <w:rPr>
          <w:rStyle w:val="FootnoteReference"/>
          <w:rFonts w:asciiTheme="minorHAnsi" w:hAnsiTheme="minorHAnsi" w:cstheme="minorHAnsi"/>
        </w:rPr>
        <w:footnoteRef/>
      </w:r>
      <w:r w:rsidRPr="00F04244">
        <w:rPr>
          <w:rFonts w:asciiTheme="minorHAnsi" w:hAnsiTheme="minorHAnsi" w:cstheme="minorHAnsi"/>
          <w:lang w:val="el-GR"/>
        </w:rPr>
        <w:t xml:space="preserve"> </w:t>
      </w:r>
      <w:r>
        <w:rPr>
          <w:rFonts w:asciiTheme="minorHAnsi" w:hAnsiTheme="minorHAnsi" w:cstheme="minorHAnsi"/>
          <w:lang w:val="el-GR"/>
        </w:rPr>
        <w:t>Κεφάλαιο</w:t>
      </w:r>
      <w:r w:rsidRPr="00F04244">
        <w:rPr>
          <w:rFonts w:asciiTheme="minorHAnsi" w:hAnsiTheme="minorHAnsi" w:cstheme="minorHAnsi"/>
          <w:lang w:val="el-GR"/>
        </w:rPr>
        <w:t xml:space="preserve"> </w:t>
      </w:r>
      <w:r w:rsidRPr="00B47EA7">
        <w:rPr>
          <w:rFonts w:asciiTheme="minorHAnsi" w:hAnsiTheme="minorHAnsi" w:cstheme="minorHAnsi"/>
        </w:rPr>
        <w:t>II</w:t>
      </w:r>
      <w:r w:rsidRPr="00F04244">
        <w:rPr>
          <w:rFonts w:asciiTheme="minorHAnsi" w:hAnsiTheme="minorHAnsi" w:cstheme="minorHAnsi"/>
          <w:lang w:val="el-GR"/>
        </w:rPr>
        <w:t xml:space="preserve"> </w:t>
      </w:r>
      <w:r>
        <w:rPr>
          <w:rFonts w:asciiTheme="minorHAnsi" w:hAnsiTheme="minorHAnsi" w:cstheme="minorHAnsi"/>
          <w:lang w:val="el-GR"/>
        </w:rPr>
        <w:t>του Συντάγματος</w:t>
      </w:r>
      <w:r w:rsidRPr="00F04244">
        <w:rPr>
          <w:rFonts w:asciiTheme="minorHAnsi" w:hAnsiTheme="minorHAnsi" w:cstheme="minorHAnsi"/>
          <w:lang w:val="el-GR"/>
        </w:rPr>
        <w:t xml:space="preserve">: </w:t>
      </w:r>
      <w:r>
        <w:rPr>
          <w:rFonts w:asciiTheme="minorHAnsi" w:hAnsiTheme="minorHAnsi" w:cstheme="minorHAnsi"/>
          <w:lang w:val="el-GR"/>
        </w:rPr>
        <w:t>Άρθρα</w:t>
      </w:r>
      <w:r w:rsidRPr="00F04244">
        <w:rPr>
          <w:rFonts w:asciiTheme="minorHAnsi" w:hAnsiTheme="minorHAnsi" w:cstheme="minorHAnsi"/>
          <w:lang w:val="el-GR"/>
        </w:rPr>
        <w:t xml:space="preserve"> 126-128.</w:t>
      </w:r>
    </w:p>
  </w:footnote>
  <w:footnote w:id="45">
    <w:p w14:paraId="40C8622B" w14:textId="38C5B94E" w:rsidR="00071F64" w:rsidRPr="00F42ED2" w:rsidRDefault="00071F64" w:rsidP="00A5147D">
      <w:pPr>
        <w:pStyle w:val="FootnoteText"/>
        <w:rPr>
          <w:rFonts w:ascii="Calibri" w:hAnsi="Calibri" w:cs="Calibri"/>
          <w:color w:val="000000" w:themeColor="text1"/>
          <w:lang w:val="el-GR"/>
        </w:rPr>
      </w:pPr>
      <w:r w:rsidRPr="001473A5">
        <w:rPr>
          <w:rStyle w:val="FootnoteReference"/>
          <w:rFonts w:ascii="Calibri" w:hAnsi="Calibri" w:cs="Calibri"/>
        </w:rPr>
        <w:footnoteRef/>
      </w:r>
      <w:r w:rsidRPr="001473A5">
        <w:rPr>
          <w:rFonts w:ascii="Calibri" w:hAnsi="Calibri" w:cs="Calibri"/>
        </w:rPr>
        <w:t xml:space="preserve"> </w:t>
      </w:r>
      <w:hyperlink r:id="rId1" w:history="1">
        <w:r w:rsidRPr="000A6E04">
          <w:rPr>
            <w:rStyle w:val="Hyperlink"/>
            <w:rFonts w:ascii="Calibri" w:hAnsi="Calibri" w:cs="Calibri"/>
            <w:color w:val="000000" w:themeColor="text1"/>
          </w:rPr>
          <w:t>Special Report of the Audit Office on the Procedure for the Naturalisation by Exception of Foreign Investors (January 2020)</w:t>
        </w:r>
      </w:hyperlink>
      <w:r w:rsidRPr="000A6E04">
        <w:rPr>
          <w:rFonts w:ascii="Calibri" w:hAnsi="Calibri" w:cs="Calibri"/>
          <w:color w:val="000000" w:themeColor="text1"/>
        </w:rPr>
        <w:t xml:space="preserve">. </w:t>
      </w:r>
      <w:r w:rsidRPr="000A6E04">
        <w:rPr>
          <w:rFonts w:ascii="Calibri" w:hAnsi="Calibri" w:cs="Calibri"/>
          <w:color w:val="000000" w:themeColor="text1"/>
          <w:lang w:val="el-GR"/>
        </w:rPr>
        <w:t>Ειδική Έκθεση της Ελεγκτικής Υπηρεσίας</w:t>
      </w:r>
      <w:r>
        <w:rPr>
          <w:rFonts w:ascii="Calibri" w:hAnsi="Calibri" w:cs="Calibri"/>
          <w:color w:val="000000" w:themeColor="text1"/>
          <w:lang w:val="el-GR"/>
        </w:rPr>
        <w:t xml:space="preserve"> για τη Διαδικασία της </w:t>
      </w:r>
      <w:proofErr w:type="spellStart"/>
      <w:r>
        <w:rPr>
          <w:rFonts w:ascii="Calibri" w:hAnsi="Calibri" w:cs="Calibri"/>
          <w:color w:val="000000" w:themeColor="text1"/>
          <w:lang w:val="el-GR"/>
        </w:rPr>
        <w:t>Κατ’εξαίρεσην</w:t>
      </w:r>
      <w:proofErr w:type="spellEnd"/>
      <w:r>
        <w:rPr>
          <w:rFonts w:ascii="Calibri" w:hAnsi="Calibri" w:cs="Calibri"/>
          <w:color w:val="000000" w:themeColor="text1"/>
          <w:lang w:val="el-GR"/>
        </w:rPr>
        <w:t xml:space="preserve"> Πολιτογράφησης  Ξένων Επενδυτών (Ιανουάριος 2020).</w:t>
      </w:r>
    </w:p>
    <w:p w14:paraId="626AE7A2" w14:textId="5D9866A9" w:rsidR="00071F64" w:rsidRPr="00F42ED2" w:rsidRDefault="00000000" w:rsidP="00A5147D">
      <w:pPr>
        <w:pStyle w:val="FootnoteText"/>
        <w:rPr>
          <w:rFonts w:ascii="Calibri" w:hAnsi="Calibri" w:cs="Calibri"/>
          <w:color w:val="000000" w:themeColor="text1"/>
          <w:lang w:val="el-GR"/>
        </w:rPr>
      </w:pPr>
      <w:hyperlink r:id="rId2" w:history="1">
        <w:r w:rsidR="00071F64" w:rsidRPr="000A6E04">
          <w:rPr>
            <w:rStyle w:val="Hyperlink"/>
            <w:rFonts w:ascii="Calibri" w:hAnsi="Calibri" w:cs="Calibri"/>
            <w:color w:val="000000" w:themeColor="text1"/>
          </w:rPr>
          <w:t>Special Report of the Audit Office on the Granting of the Cypriot Citizenship within the Framework of the Cyprus Investment Programme (September 2020).</w:t>
        </w:r>
      </w:hyperlink>
      <w:r w:rsidR="00071F64" w:rsidRPr="00F42ED2">
        <w:rPr>
          <w:rStyle w:val="Hyperlink"/>
          <w:rFonts w:ascii="Calibri" w:hAnsi="Calibri" w:cs="Calibri"/>
          <w:color w:val="000000" w:themeColor="text1"/>
          <w:u w:val="none"/>
          <w:lang w:val="en-US"/>
        </w:rPr>
        <w:t xml:space="preserve"> </w:t>
      </w:r>
      <w:r w:rsidR="00071F64">
        <w:rPr>
          <w:rStyle w:val="Hyperlink"/>
          <w:rFonts w:ascii="Calibri" w:hAnsi="Calibri" w:cs="Calibri"/>
          <w:color w:val="000000" w:themeColor="text1"/>
          <w:u w:val="none"/>
          <w:lang w:val="el-GR"/>
        </w:rPr>
        <w:t>Ειδική Έκθεση της Ελεγκτικής Υπηρεσίας για την Παροχή Κυπριακής Υπηκοότητας στα Πλαίσια του Κυπριακού Επενδυτικού Προγράμματος (Σεπτέμβριος 2020).</w:t>
      </w:r>
    </w:p>
    <w:p w14:paraId="3A450DCA" w14:textId="2959D47F" w:rsidR="00071F64" w:rsidRPr="00E534AB" w:rsidRDefault="00000000" w:rsidP="00A5147D">
      <w:pPr>
        <w:pStyle w:val="FootnoteText"/>
        <w:rPr>
          <w:color w:val="000000" w:themeColor="text1"/>
          <w:lang w:val="el-GR"/>
        </w:rPr>
      </w:pPr>
      <w:hyperlink r:id="rId3" w:history="1">
        <w:r w:rsidR="00071F64" w:rsidRPr="000A6E04">
          <w:rPr>
            <w:rStyle w:val="Hyperlink"/>
            <w:rFonts w:ascii="Calibri" w:hAnsi="Calibri" w:cs="Calibri"/>
            <w:color w:val="000000" w:themeColor="text1"/>
          </w:rPr>
          <w:t>Special Report of the Audit Office on the Granting of the Cypriot Citizenship to Company Executives within the Framework of the Cyprus Investment Programme (November 2020).</w:t>
        </w:r>
      </w:hyperlink>
      <w:r w:rsidR="00071F64" w:rsidRPr="00F42ED2">
        <w:rPr>
          <w:rStyle w:val="Hyperlink"/>
          <w:rFonts w:ascii="Calibri" w:hAnsi="Calibri" w:cs="Calibri"/>
          <w:color w:val="000000" w:themeColor="text1"/>
          <w:u w:val="none"/>
          <w:lang w:val="en-US"/>
        </w:rPr>
        <w:t xml:space="preserve"> </w:t>
      </w:r>
      <w:r w:rsidR="00071F64">
        <w:rPr>
          <w:rStyle w:val="Hyperlink"/>
          <w:rFonts w:ascii="Calibri" w:hAnsi="Calibri" w:cs="Calibri"/>
          <w:color w:val="000000" w:themeColor="text1"/>
          <w:u w:val="none"/>
          <w:lang w:val="el-GR"/>
        </w:rPr>
        <w:t>Ειδική Έκθεση της Ελεγκτικής Υπηρεσίας για την Παροχή Κυπριακής Υπηκοότητας σε Διευθυντές Εταιρειών εντός του Πλαισίου του Κυπριακού Επενδυτικού Προγράμματος (Νοέμβριο 2020).</w:t>
      </w:r>
    </w:p>
  </w:footnote>
  <w:footnote w:id="46">
    <w:p w14:paraId="062ED35B" w14:textId="7D2D3C12" w:rsidR="00071F64" w:rsidRPr="00E534AB" w:rsidRDefault="00071F64" w:rsidP="00A5147D">
      <w:pPr>
        <w:pStyle w:val="FootnoteText"/>
        <w:rPr>
          <w:color w:val="000000" w:themeColor="text1"/>
          <w:lang w:val="el-GR"/>
        </w:rPr>
      </w:pPr>
      <w:r w:rsidRPr="000A6E04">
        <w:rPr>
          <w:rStyle w:val="FootnoteReference"/>
          <w:rFonts w:asciiTheme="minorHAnsi" w:hAnsiTheme="minorHAnsi" w:cstheme="minorHAnsi"/>
          <w:color w:val="000000" w:themeColor="text1"/>
        </w:rPr>
        <w:footnoteRef/>
      </w:r>
      <w:r w:rsidRPr="000A6E04">
        <w:rPr>
          <w:rFonts w:asciiTheme="minorHAnsi" w:hAnsiTheme="minorHAnsi" w:cstheme="minorHAnsi"/>
          <w:color w:val="000000" w:themeColor="text1"/>
        </w:rPr>
        <w:t xml:space="preserve"> </w:t>
      </w:r>
      <w:hyperlink r:id="rId4" w:history="1">
        <w:r w:rsidRPr="000A6E04">
          <w:rPr>
            <w:rStyle w:val="Hyperlink"/>
            <w:rFonts w:asciiTheme="minorHAnsi" w:hAnsiTheme="minorHAnsi" w:cstheme="minorHAnsi"/>
            <w:color w:val="000000" w:themeColor="text1"/>
          </w:rPr>
          <w:t>Special Report of the Audit Office of the Republic on Air Travel of the President of the Republic (2020).</w:t>
        </w:r>
      </w:hyperlink>
      <w:r w:rsidRPr="00E534AB">
        <w:rPr>
          <w:rStyle w:val="Hyperlink"/>
          <w:rFonts w:asciiTheme="minorHAnsi" w:hAnsiTheme="minorHAnsi" w:cstheme="minorHAnsi"/>
          <w:color w:val="000000" w:themeColor="text1"/>
          <w:lang w:val="en-US"/>
        </w:rPr>
        <w:t xml:space="preserve"> </w:t>
      </w:r>
      <w:r>
        <w:rPr>
          <w:rStyle w:val="Hyperlink"/>
          <w:rFonts w:asciiTheme="minorHAnsi" w:hAnsiTheme="minorHAnsi" w:cstheme="minorHAnsi"/>
          <w:color w:val="000000" w:themeColor="text1"/>
          <w:u w:val="none"/>
          <w:lang w:val="el-GR"/>
        </w:rPr>
        <w:t>Ειδική Έκθεση της Ελεγκτικής Υπηρεσίας της Δημοκρατίας για τα Αεροπορικά Ταξίδια του Προέδρου της Δημοκρατίας (2020).</w:t>
      </w:r>
    </w:p>
  </w:footnote>
  <w:footnote w:id="47">
    <w:p w14:paraId="4D6EFCC9" w14:textId="2BF96B43" w:rsidR="00071F64" w:rsidRPr="001E182C" w:rsidRDefault="00071F64" w:rsidP="00A5147D">
      <w:pPr>
        <w:pStyle w:val="FootnoteText"/>
        <w:rPr>
          <w:rFonts w:ascii="Calibri" w:hAnsi="Calibri" w:cs="Calibri"/>
          <w:lang w:val="el-GR"/>
        </w:rPr>
      </w:pPr>
      <w:r w:rsidRPr="000A6E04">
        <w:rPr>
          <w:rStyle w:val="FootnoteReference"/>
          <w:rFonts w:ascii="Calibri" w:hAnsi="Calibri" w:cs="Calibri"/>
          <w:color w:val="000000" w:themeColor="text1"/>
        </w:rPr>
        <w:footnoteRef/>
      </w:r>
      <w:r w:rsidRPr="00AA0F33">
        <w:rPr>
          <w:rFonts w:ascii="Calibri" w:hAnsi="Calibri" w:cs="Calibri"/>
          <w:color w:val="000000" w:themeColor="text1"/>
          <w:lang w:val="el-GR"/>
        </w:rPr>
        <w:t xml:space="preserve"> </w:t>
      </w:r>
      <w:r>
        <w:rPr>
          <w:rFonts w:ascii="Calibri" w:hAnsi="Calibri" w:cs="Calibri"/>
          <w:color w:val="000000" w:themeColor="text1"/>
          <w:lang w:val="el-GR"/>
        </w:rPr>
        <w:t>Ο</w:t>
      </w:r>
      <w:r w:rsidRPr="00AA0F33">
        <w:rPr>
          <w:rFonts w:ascii="Calibri" w:hAnsi="Calibri" w:cs="Calibri"/>
          <w:color w:val="000000" w:themeColor="text1"/>
          <w:lang w:val="el-GR"/>
        </w:rPr>
        <w:t xml:space="preserve"> </w:t>
      </w:r>
      <w:r>
        <w:rPr>
          <w:rFonts w:ascii="Calibri" w:hAnsi="Calibri" w:cs="Calibri"/>
          <w:color w:val="000000" w:themeColor="text1"/>
          <w:lang w:val="el-GR"/>
        </w:rPr>
        <w:t>Επίτροπος</w:t>
      </w:r>
      <w:r w:rsidRPr="00AA0F33">
        <w:rPr>
          <w:rFonts w:ascii="Calibri" w:hAnsi="Calibri" w:cs="Calibri"/>
          <w:color w:val="000000" w:themeColor="text1"/>
          <w:lang w:val="el-GR"/>
        </w:rPr>
        <w:t xml:space="preserve"> </w:t>
      </w:r>
      <w:r>
        <w:rPr>
          <w:rFonts w:ascii="Calibri" w:hAnsi="Calibri" w:cs="Calibri"/>
          <w:color w:val="000000" w:themeColor="text1"/>
          <w:lang w:val="el-GR"/>
        </w:rPr>
        <w:t>Διοικήσεως</w:t>
      </w:r>
      <w:r w:rsidRPr="00AA0F33">
        <w:rPr>
          <w:rFonts w:ascii="Calibri" w:hAnsi="Calibri" w:cs="Calibri"/>
          <w:color w:val="000000" w:themeColor="text1"/>
          <w:lang w:val="el-GR"/>
        </w:rPr>
        <w:t xml:space="preserve"> </w:t>
      </w:r>
      <w:r>
        <w:rPr>
          <w:rFonts w:ascii="Calibri" w:hAnsi="Calibri" w:cs="Calibri"/>
          <w:color w:val="000000" w:themeColor="text1"/>
          <w:lang w:val="el-GR"/>
        </w:rPr>
        <w:t>διορίζεται</w:t>
      </w:r>
      <w:r w:rsidRPr="00AA0F33">
        <w:rPr>
          <w:rFonts w:ascii="Calibri" w:hAnsi="Calibri" w:cs="Calibri"/>
          <w:color w:val="000000" w:themeColor="text1"/>
          <w:lang w:val="el-GR"/>
        </w:rPr>
        <w:t xml:space="preserve"> </w:t>
      </w:r>
      <w:r>
        <w:rPr>
          <w:rFonts w:ascii="Calibri" w:hAnsi="Calibri" w:cs="Calibri"/>
          <w:color w:val="000000" w:themeColor="text1"/>
          <w:lang w:val="el-GR"/>
        </w:rPr>
        <w:t>από</w:t>
      </w:r>
      <w:r w:rsidRPr="00AA0F33">
        <w:rPr>
          <w:rFonts w:ascii="Calibri" w:hAnsi="Calibri" w:cs="Calibri"/>
          <w:color w:val="000000" w:themeColor="text1"/>
          <w:lang w:val="el-GR"/>
        </w:rPr>
        <w:t xml:space="preserve"> </w:t>
      </w:r>
      <w:r>
        <w:rPr>
          <w:rFonts w:ascii="Calibri" w:hAnsi="Calibri" w:cs="Calibri"/>
          <w:color w:val="000000" w:themeColor="text1"/>
          <w:lang w:val="el-GR"/>
        </w:rPr>
        <w:t>τον</w:t>
      </w:r>
      <w:r w:rsidRPr="00AA0F33">
        <w:rPr>
          <w:rFonts w:ascii="Calibri" w:hAnsi="Calibri" w:cs="Calibri"/>
          <w:color w:val="000000" w:themeColor="text1"/>
          <w:lang w:val="el-GR"/>
        </w:rPr>
        <w:t xml:space="preserve"> </w:t>
      </w:r>
      <w:r>
        <w:rPr>
          <w:rFonts w:ascii="Calibri" w:hAnsi="Calibri" w:cs="Calibri"/>
          <w:color w:val="000000" w:themeColor="text1"/>
          <w:lang w:val="el-GR"/>
        </w:rPr>
        <w:t>Πρόεδρο</w:t>
      </w:r>
      <w:r w:rsidRPr="00AA0F33">
        <w:rPr>
          <w:rFonts w:ascii="Calibri" w:hAnsi="Calibri" w:cs="Calibri"/>
          <w:lang w:val="el-GR"/>
        </w:rPr>
        <w:t xml:space="preserve">, </w:t>
      </w:r>
      <w:r>
        <w:rPr>
          <w:rFonts w:ascii="Calibri" w:hAnsi="Calibri" w:cs="Calibri"/>
          <w:lang w:val="el-GR"/>
        </w:rPr>
        <w:t>βάσει</w:t>
      </w:r>
      <w:r w:rsidRPr="00AA0F33">
        <w:rPr>
          <w:rFonts w:ascii="Calibri" w:hAnsi="Calibri" w:cs="Calibri"/>
          <w:lang w:val="el-GR"/>
        </w:rPr>
        <w:t xml:space="preserve"> </w:t>
      </w:r>
      <w:r>
        <w:rPr>
          <w:rFonts w:ascii="Calibri" w:hAnsi="Calibri" w:cs="Calibri"/>
          <w:lang w:val="el-GR"/>
        </w:rPr>
        <w:t>της</w:t>
      </w:r>
      <w:r w:rsidRPr="00AA0F33">
        <w:rPr>
          <w:rFonts w:ascii="Calibri" w:hAnsi="Calibri" w:cs="Calibri"/>
          <w:lang w:val="el-GR"/>
        </w:rPr>
        <w:t xml:space="preserve"> </w:t>
      </w:r>
      <w:r>
        <w:rPr>
          <w:rFonts w:ascii="Calibri" w:hAnsi="Calibri" w:cs="Calibri"/>
          <w:lang w:val="el-GR"/>
        </w:rPr>
        <w:t>σύστασης</w:t>
      </w:r>
      <w:r w:rsidRPr="00AA0F33">
        <w:rPr>
          <w:rFonts w:ascii="Calibri" w:hAnsi="Calibri" w:cs="Calibri"/>
          <w:lang w:val="el-GR"/>
        </w:rPr>
        <w:t xml:space="preserve"> </w:t>
      </w:r>
      <w:r>
        <w:rPr>
          <w:rFonts w:ascii="Calibri" w:hAnsi="Calibri" w:cs="Calibri"/>
          <w:lang w:val="el-GR"/>
        </w:rPr>
        <w:t>του</w:t>
      </w:r>
      <w:r w:rsidRPr="00AA0F33">
        <w:rPr>
          <w:rFonts w:ascii="Calibri" w:hAnsi="Calibri" w:cs="Calibri"/>
          <w:lang w:val="el-GR"/>
        </w:rPr>
        <w:t xml:space="preserve"> </w:t>
      </w:r>
      <w:r>
        <w:rPr>
          <w:rFonts w:ascii="Calibri" w:hAnsi="Calibri" w:cs="Calibri"/>
          <w:lang w:val="el-GR"/>
        </w:rPr>
        <w:t>Υπουργικού</w:t>
      </w:r>
      <w:r w:rsidRPr="00AA0F33">
        <w:rPr>
          <w:rFonts w:ascii="Calibri" w:hAnsi="Calibri" w:cs="Calibri"/>
          <w:lang w:val="el-GR"/>
        </w:rPr>
        <w:t xml:space="preserve"> </w:t>
      </w:r>
      <w:r>
        <w:rPr>
          <w:rFonts w:ascii="Calibri" w:hAnsi="Calibri" w:cs="Calibri"/>
          <w:lang w:val="el-GR"/>
        </w:rPr>
        <w:t>Συμβουλίου</w:t>
      </w:r>
      <w:r w:rsidRPr="00AA0F33">
        <w:rPr>
          <w:rFonts w:ascii="Calibri" w:hAnsi="Calibri" w:cs="Calibri"/>
          <w:lang w:val="el-GR"/>
        </w:rPr>
        <w:t xml:space="preserve"> </w:t>
      </w:r>
      <w:r>
        <w:rPr>
          <w:rFonts w:ascii="Calibri" w:hAnsi="Calibri" w:cs="Calibri"/>
          <w:lang w:val="el-GR"/>
        </w:rPr>
        <w:t>και με την προηγούμενη συγκατάθεση της πλειοψηφίας της Βουλής των Αντιπροσώπων</w:t>
      </w:r>
      <w:r w:rsidRPr="00AA0F33">
        <w:rPr>
          <w:rFonts w:ascii="Calibri" w:hAnsi="Calibri" w:cs="Calibri"/>
          <w:lang w:val="el-GR"/>
        </w:rPr>
        <w:t xml:space="preserve">. </w:t>
      </w:r>
      <w:r>
        <w:rPr>
          <w:rFonts w:ascii="Calibri" w:hAnsi="Calibri" w:cs="Calibri"/>
          <w:lang w:val="el-GR"/>
        </w:rPr>
        <w:t>Πρόσφατα</w:t>
      </w:r>
      <w:r w:rsidRPr="00AA0F33">
        <w:rPr>
          <w:rFonts w:ascii="Calibri" w:hAnsi="Calibri" w:cs="Calibri"/>
          <w:lang w:val="el-GR"/>
        </w:rPr>
        <w:t xml:space="preserve">, </w:t>
      </w:r>
      <w:r>
        <w:rPr>
          <w:rFonts w:ascii="Calibri" w:hAnsi="Calibri" w:cs="Calibri"/>
          <w:lang w:val="el-GR"/>
        </w:rPr>
        <w:t>με</w:t>
      </w:r>
      <w:r w:rsidRPr="00AA0F33">
        <w:rPr>
          <w:rFonts w:ascii="Calibri" w:hAnsi="Calibri" w:cs="Calibri"/>
          <w:lang w:val="el-GR"/>
        </w:rPr>
        <w:t xml:space="preserve"> </w:t>
      </w:r>
      <w:r>
        <w:rPr>
          <w:rFonts w:ascii="Calibri" w:hAnsi="Calibri" w:cs="Calibri"/>
          <w:lang w:val="el-GR"/>
        </w:rPr>
        <w:t>μια</w:t>
      </w:r>
      <w:r w:rsidRPr="00AA0F33">
        <w:rPr>
          <w:rFonts w:ascii="Calibri" w:hAnsi="Calibri" w:cs="Calibri"/>
          <w:lang w:val="el-GR"/>
        </w:rPr>
        <w:t xml:space="preserve"> </w:t>
      </w:r>
      <w:r>
        <w:rPr>
          <w:rFonts w:ascii="Calibri" w:hAnsi="Calibri" w:cs="Calibri"/>
          <w:lang w:val="el-GR"/>
        </w:rPr>
        <w:t>Απόφαση</w:t>
      </w:r>
      <w:r w:rsidRPr="00AA0F33">
        <w:rPr>
          <w:rFonts w:ascii="Calibri" w:hAnsi="Calibri" w:cs="Calibri"/>
          <w:lang w:val="el-GR"/>
        </w:rPr>
        <w:t xml:space="preserve"> </w:t>
      </w:r>
      <w:r>
        <w:rPr>
          <w:rFonts w:ascii="Calibri" w:hAnsi="Calibri" w:cs="Calibri"/>
          <w:lang w:val="el-GR"/>
        </w:rPr>
        <w:t>του</w:t>
      </w:r>
      <w:r w:rsidRPr="00AA0F33">
        <w:rPr>
          <w:rFonts w:ascii="Calibri" w:hAnsi="Calibri" w:cs="Calibri"/>
          <w:lang w:val="el-GR"/>
        </w:rPr>
        <w:t xml:space="preserve"> </w:t>
      </w:r>
      <w:r>
        <w:rPr>
          <w:rFonts w:ascii="Calibri" w:hAnsi="Calibri" w:cs="Calibri"/>
          <w:lang w:val="el-GR"/>
        </w:rPr>
        <w:t>Υπουργικού</w:t>
      </w:r>
      <w:r w:rsidRPr="00AA0F33">
        <w:rPr>
          <w:rFonts w:ascii="Calibri" w:hAnsi="Calibri" w:cs="Calibri"/>
          <w:lang w:val="el-GR"/>
        </w:rPr>
        <w:t xml:space="preserve"> </w:t>
      </w:r>
      <w:r>
        <w:rPr>
          <w:rFonts w:ascii="Calibri" w:hAnsi="Calibri" w:cs="Calibri"/>
          <w:lang w:val="el-GR"/>
        </w:rPr>
        <w:t>Συμβουλίου</w:t>
      </w:r>
      <w:r w:rsidRPr="00AA0F33">
        <w:rPr>
          <w:rFonts w:ascii="Calibri" w:hAnsi="Calibri" w:cs="Calibri"/>
          <w:lang w:val="el-GR"/>
        </w:rPr>
        <w:t xml:space="preserve"> </w:t>
      </w:r>
      <w:r>
        <w:rPr>
          <w:rFonts w:ascii="Calibri" w:hAnsi="Calibri" w:cs="Calibri"/>
          <w:lang w:val="el-GR"/>
        </w:rPr>
        <w:t>τον</w:t>
      </w:r>
      <w:r w:rsidRPr="00AA0F33">
        <w:rPr>
          <w:rFonts w:ascii="Calibri" w:hAnsi="Calibri" w:cs="Calibri"/>
          <w:lang w:val="el-GR"/>
        </w:rPr>
        <w:t xml:space="preserve"> </w:t>
      </w:r>
      <w:r>
        <w:rPr>
          <w:rFonts w:ascii="Calibri" w:hAnsi="Calibri" w:cs="Calibri"/>
          <w:lang w:val="el-GR"/>
        </w:rPr>
        <w:t>Ιούνιο</w:t>
      </w:r>
      <w:r w:rsidRPr="00AA0F33">
        <w:rPr>
          <w:rFonts w:ascii="Calibri" w:hAnsi="Calibri" w:cs="Calibri"/>
          <w:lang w:val="el-GR"/>
        </w:rPr>
        <w:t xml:space="preserve"> </w:t>
      </w:r>
      <w:r>
        <w:rPr>
          <w:rFonts w:ascii="Calibri" w:hAnsi="Calibri" w:cs="Calibri"/>
          <w:lang w:val="el-GR"/>
        </w:rPr>
        <w:t>του</w:t>
      </w:r>
      <w:r w:rsidRPr="00AA0F33">
        <w:rPr>
          <w:rFonts w:ascii="Calibri" w:hAnsi="Calibri" w:cs="Calibri"/>
          <w:lang w:val="el-GR"/>
        </w:rPr>
        <w:t xml:space="preserve"> 2022 (</w:t>
      </w:r>
      <w:r>
        <w:rPr>
          <w:rFonts w:ascii="Calibri" w:hAnsi="Calibri" w:cs="Calibri"/>
          <w:lang w:val="el-GR"/>
        </w:rPr>
        <w:t>Απόφαση</w:t>
      </w:r>
      <w:r w:rsidRPr="00AA0F33">
        <w:rPr>
          <w:rFonts w:ascii="Calibri" w:hAnsi="Calibri" w:cs="Calibri"/>
          <w:lang w:val="el-GR"/>
        </w:rPr>
        <w:t xml:space="preserve"> </w:t>
      </w:r>
      <w:proofErr w:type="spellStart"/>
      <w:r>
        <w:rPr>
          <w:rFonts w:ascii="Calibri" w:hAnsi="Calibri" w:cs="Calibri"/>
          <w:lang w:val="el-GR"/>
        </w:rPr>
        <w:t>Αρ</w:t>
      </w:r>
      <w:proofErr w:type="spellEnd"/>
      <w:r w:rsidRPr="00AA0F33">
        <w:rPr>
          <w:rFonts w:ascii="Calibri" w:hAnsi="Calibri" w:cs="Calibri"/>
          <w:lang w:val="el-GR"/>
        </w:rPr>
        <w:t xml:space="preserve"> 93.298), </w:t>
      </w:r>
      <w:r>
        <w:rPr>
          <w:rFonts w:ascii="Calibri" w:hAnsi="Calibri" w:cs="Calibri"/>
          <w:lang w:val="el-GR"/>
        </w:rPr>
        <w:t>η διαδικασία της επιλογής και του διορισμού του Επιτρόπου τροποποιήθηκε</w:t>
      </w:r>
      <w:r w:rsidRPr="00AA0F33">
        <w:rPr>
          <w:rFonts w:ascii="Calibri" w:hAnsi="Calibri" w:cs="Calibri"/>
          <w:lang w:val="el-GR"/>
        </w:rPr>
        <w:t xml:space="preserve">. </w:t>
      </w:r>
      <w:r>
        <w:rPr>
          <w:rFonts w:ascii="Calibri" w:hAnsi="Calibri" w:cs="Calibri"/>
          <w:lang w:val="el-GR"/>
        </w:rPr>
        <w:t>Η</w:t>
      </w:r>
      <w:r w:rsidRPr="00AA0F33">
        <w:rPr>
          <w:rFonts w:ascii="Calibri" w:hAnsi="Calibri" w:cs="Calibri"/>
          <w:lang w:val="el-GR"/>
        </w:rPr>
        <w:t xml:space="preserve"> </w:t>
      </w:r>
      <w:r>
        <w:rPr>
          <w:rFonts w:ascii="Calibri" w:hAnsi="Calibri" w:cs="Calibri"/>
          <w:lang w:val="el-GR"/>
        </w:rPr>
        <w:t>νέα</w:t>
      </w:r>
      <w:r w:rsidRPr="00AA0F33">
        <w:rPr>
          <w:rFonts w:ascii="Calibri" w:hAnsi="Calibri" w:cs="Calibri"/>
          <w:lang w:val="el-GR"/>
        </w:rPr>
        <w:t xml:space="preserve"> </w:t>
      </w:r>
      <w:r>
        <w:rPr>
          <w:rFonts w:ascii="Calibri" w:hAnsi="Calibri" w:cs="Calibri"/>
          <w:lang w:val="el-GR"/>
        </w:rPr>
        <w:t>διαδικασία</w:t>
      </w:r>
      <w:r w:rsidRPr="00AA0F33">
        <w:rPr>
          <w:rFonts w:ascii="Calibri" w:hAnsi="Calibri" w:cs="Calibri"/>
          <w:lang w:val="el-GR"/>
        </w:rPr>
        <w:t xml:space="preserve"> </w:t>
      </w:r>
      <w:r>
        <w:rPr>
          <w:rFonts w:ascii="Calibri" w:hAnsi="Calibri" w:cs="Calibri"/>
          <w:lang w:val="el-GR"/>
        </w:rPr>
        <w:t>προβλέπει</w:t>
      </w:r>
      <w:r w:rsidRPr="00AA0F33">
        <w:rPr>
          <w:rFonts w:ascii="Calibri" w:hAnsi="Calibri" w:cs="Calibri"/>
          <w:lang w:val="el-GR"/>
        </w:rPr>
        <w:t xml:space="preserve"> </w:t>
      </w:r>
      <w:r>
        <w:rPr>
          <w:rFonts w:ascii="Calibri" w:hAnsi="Calibri" w:cs="Calibri"/>
          <w:lang w:val="el-GR"/>
        </w:rPr>
        <w:t>ότι</w:t>
      </w:r>
      <w:r w:rsidRPr="00AA0F33">
        <w:rPr>
          <w:rFonts w:ascii="Calibri" w:hAnsi="Calibri" w:cs="Calibri"/>
          <w:lang w:val="el-GR"/>
        </w:rPr>
        <w:t xml:space="preserve">, </w:t>
      </w:r>
      <w:r>
        <w:rPr>
          <w:rFonts w:ascii="Calibri" w:hAnsi="Calibri" w:cs="Calibri"/>
          <w:lang w:val="el-GR"/>
        </w:rPr>
        <w:t>πριν</w:t>
      </w:r>
      <w:r w:rsidRPr="00AA0F33">
        <w:rPr>
          <w:rFonts w:ascii="Calibri" w:hAnsi="Calibri" w:cs="Calibri"/>
          <w:lang w:val="el-GR"/>
        </w:rPr>
        <w:t xml:space="preserve"> </w:t>
      </w:r>
      <w:r>
        <w:rPr>
          <w:rFonts w:ascii="Calibri" w:hAnsi="Calibri" w:cs="Calibri"/>
          <w:lang w:val="el-GR"/>
        </w:rPr>
        <w:t>την</w:t>
      </w:r>
      <w:r w:rsidRPr="00AA0F33">
        <w:rPr>
          <w:rFonts w:ascii="Calibri" w:hAnsi="Calibri" w:cs="Calibri"/>
          <w:lang w:val="el-GR"/>
        </w:rPr>
        <w:t xml:space="preserve"> </w:t>
      </w:r>
      <w:r>
        <w:rPr>
          <w:rFonts w:ascii="Calibri" w:hAnsi="Calibri" w:cs="Calibri"/>
          <w:lang w:val="el-GR"/>
        </w:rPr>
        <w:t>λήξη</w:t>
      </w:r>
      <w:r w:rsidRPr="00AA0F33">
        <w:rPr>
          <w:rFonts w:ascii="Calibri" w:hAnsi="Calibri" w:cs="Calibri"/>
          <w:lang w:val="el-GR"/>
        </w:rPr>
        <w:t xml:space="preserve"> </w:t>
      </w:r>
      <w:r>
        <w:rPr>
          <w:rFonts w:ascii="Calibri" w:hAnsi="Calibri" w:cs="Calibri"/>
          <w:lang w:val="el-GR"/>
        </w:rPr>
        <w:t>της</w:t>
      </w:r>
      <w:r w:rsidRPr="00AA0F33">
        <w:rPr>
          <w:rFonts w:ascii="Calibri" w:hAnsi="Calibri" w:cs="Calibri"/>
          <w:lang w:val="el-GR"/>
        </w:rPr>
        <w:t xml:space="preserve"> </w:t>
      </w:r>
      <w:r>
        <w:rPr>
          <w:rFonts w:ascii="Calibri" w:hAnsi="Calibri" w:cs="Calibri"/>
          <w:lang w:val="el-GR"/>
        </w:rPr>
        <w:t>θητείας</w:t>
      </w:r>
      <w:r w:rsidRPr="00AA0F33">
        <w:rPr>
          <w:rFonts w:ascii="Calibri" w:hAnsi="Calibri" w:cs="Calibri"/>
          <w:lang w:val="el-GR"/>
        </w:rPr>
        <w:t xml:space="preserve"> </w:t>
      </w:r>
      <w:r>
        <w:rPr>
          <w:rFonts w:ascii="Calibri" w:hAnsi="Calibri" w:cs="Calibri"/>
          <w:lang w:val="el-GR"/>
        </w:rPr>
        <w:t>του</w:t>
      </w:r>
      <w:r w:rsidRPr="00AA0F33">
        <w:rPr>
          <w:rFonts w:ascii="Calibri" w:hAnsi="Calibri" w:cs="Calibri"/>
          <w:lang w:val="el-GR"/>
        </w:rPr>
        <w:t xml:space="preserve"> </w:t>
      </w:r>
      <w:r>
        <w:rPr>
          <w:rFonts w:ascii="Calibri" w:hAnsi="Calibri" w:cs="Calibri"/>
          <w:lang w:val="el-GR"/>
        </w:rPr>
        <w:t>Επιτρόπου</w:t>
      </w:r>
      <w:r w:rsidRPr="00AA0F33">
        <w:rPr>
          <w:rFonts w:ascii="Calibri" w:hAnsi="Calibri" w:cs="Calibri"/>
          <w:lang w:val="el-GR"/>
        </w:rPr>
        <w:t xml:space="preserve">, </w:t>
      </w:r>
      <w:r>
        <w:rPr>
          <w:rFonts w:ascii="Calibri" w:hAnsi="Calibri" w:cs="Calibri"/>
          <w:lang w:val="el-GR"/>
        </w:rPr>
        <w:t>το</w:t>
      </w:r>
      <w:r w:rsidRPr="00AA0F33">
        <w:rPr>
          <w:rFonts w:ascii="Calibri" w:hAnsi="Calibri" w:cs="Calibri"/>
          <w:lang w:val="el-GR"/>
        </w:rPr>
        <w:t xml:space="preserve"> </w:t>
      </w:r>
      <w:r>
        <w:rPr>
          <w:rFonts w:ascii="Calibri" w:hAnsi="Calibri" w:cs="Calibri"/>
          <w:lang w:val="el-GR"/>
        </w:rPr>
        <w:t>Υπουργικό</w:t>
      </w:r>
      <w:r w:rsidRPr="00AA0F33">
        <w:rPr>
          <w:rFonts w:ascii="Calibri" w:hAnsi="Calibri" w:cs="Calibri"/>
          <w:lang w:val="el-GR"/>
        </w:rPr>
        <w:t xml:space="preserve"> </w:t>
      </w:r>
      <w:r>
        <w:rPr>
          <w:rFonts w:ascii="Calibri" w:hAnsi="Calibri" w:cs="Calibri"/>
          <w:lang w:val="el-GR"/>
        </w:rPr>
        <w:t>Συμβούλιο</w:t>
      </w:r>
      <w:r w:rsidRPr="00AA0F33">
        <w:rPr>
          <w:rFonts w:ascii="Calibri" w:hAnsi="Calibri" w:cs="Calibri"/>
          <w:lang w:val="el-GR"/>
        </w:rPr>
        <w:t xml:space="preserve"> </w:t>
      </w:r>
      <w:r>
        <w:rPr>
          <w:rFonts w:ascii="Calibri" w:hAnsi="Calibri" w:cs="Calibri"/>
          <w:lang w:val="el-GR"/>
        </w:rPr>
        <w:t>ξεκινά</w:t>
      </w:r>
      <w:r w:rsidRPr="00AA0F33">
        <w:rPr>
          <w:rFonts w:ascii="Calibri" w:hAnsi="Calibri" w:cs="Calibri"/>
          <w:lang w:val="el-GR"/>
        </w:rPr>
        <w:t xml:space="preserve"> </w:t>
      </w:r>
      <w:r>
        <w:rPr>
          <w:rFonts w:ascii="Calibri" w:hAnsi="Calibri" w:cs="Calibri"/>
          <w:lang w:val="el-GR"/>
        </w:rPr>
        <w:t>μια</w:t>
      </w:r>
      <w:r w:rsidRPr="00AA0F33">
        <w:rPr>
          <w:rFonts w:ascii="Calibri" w:hAnsi="Calibri" w:cs="Calibri"/>
          <w:lang w:val="el-GR"/>
        </w:rPr>
        <w:t xml:space="preserve"> </w:t>
      </w:r>
      <w:r>
        <w:rPr>
          <w:rFonts w:ascii="Calibri" w:hAnsi="Calibri" w:cs="Calibri"/>
          <w:lang w:val="el-GR"/>
        </w:rPr>
        <w:t>δημόσια</w:t>
      </w:r>
      <w:r w:rsidRPr="00AA0F33">
        <w:rPr>
          <w:rFonts w:ascii="Calibri" w:hAnsi="Calibri" w:cs="Calibri"/>
          <w:lang w:val="el-GR"/>
        </w:rPr>
        <w:t xml:space="preserve"> </w:t>
      </w:r>
      <w:r>
        <w:rPr>
          <w:rFonts w:ascii="Calibri" w:hAnsi="Calibri" w:cs="Calibri"/>
          <w:lang w:val="el-GR"/>
        </w:rPr>
        <w:t>κλήση</w:t>
      </w:r>
      <w:r w:rsidRPr="00AA0F33">
        <w:rPr>
          <w:rFonts w:ascii="Calibri" w:hAnsi="Calibri" w:cs="Calibri"/>
          <w:lang w:val="el-GR"/>
        </w:rPr>
        <w:t xml:space="preserve"> </w:t>
      </w:r>
      <w:r>
        <w:rPr>
          <w:rFonts w:ascii="Calibri" w:hAnsi="Calibri" w:cs="Calibri"/>
          <w:lang w:val="el-GR"/>
        </w:rPr>
        <w:t>για</w:t>
      </w:r>
      <w:r w:rsidRPr="00AA0F33">
        <w:rPr>
          <w:rFonts w:ascii="Calibri" w:hAnsi="Calibri" w:cs="Calibri"/>
          <w:lang w:val="el-GR"/>
        </w:rPr>
        <w:t xml:space="preserve"> </w:t>
      </w:r>
      <w:r>
        <w:rPr>
          <w:rFonts w:ascii="Calibri" w:hAnsi="Calibri" w:cs="Calibri"/>
          <w:lang w:val="el-GR"/>
        </w:rPr>
        <w:t>την</w:t>
      </w:r>
      <w:r w:rsidRPr="00AA0F33">
        <w:rPr>
          <w:rFonts w:ascii="Calibri" w:hAnsi="Calibri" w:cs="Calibri"/>
          <w:lang w:val="el-GR"/>
        </w:rPr>
        <w:t xml:space="preserve"> </w:t>
      </w:r>
      <w:r>
        <w:rPr>
          <w:rFonts w:ascii="Calibri" w:hAnsi="Calibri" w:cs="Calibri"/>
          <w:lang w:val="el-GR"/>
        </w:rPr>
        <w:t>έκφραση</w:t>
      </w:r>
      <w:r w:rsidRPr="00AA0F33">
        <w:rPr>
          <w:rFonts w:ascii="Calibri" w:hAnsi="Calibri" w:cs="Calibri"/>
          <w:lang w:val="el-GR"/>
        </w:rPr>
        <w:t xml:space="preserve"> </w:t>
      </w:r>
      <w:r>
        <w:rPr>
          <w:rFonts w:ascii="Calibri" w:hAnsi="Calibri" w:cs="Calibri"/>
          <w:lang w:val="el-GR"/>
        </w:rPr>
        <w:t>ενδιαφέροντος</w:t>
      </w:r>
      <w:r w:rsidRPr="00AA0F33">
        <w:rPr>
          <w:rFonts w:ascii="Calibri" w:hAnsi="Calibri" w:cs="Calibri"/>
          <w:lang w:val="el-GR"/>
        </w:rPr>
        <w:t xml:space="preserve"> </w:t>
      </w:r>
      <w:r>
        <w:rPr>
          <w:rFonts w:ascii="Calibri" w:hAnsi="Calibri" w:cs="Calibri"/>
          <w:lang w:val="el-GR"/>
        </w:rPr>
        <w:t>για</w:t>
      </w:r>
      <w:r w:rsidRPr="00AA0F33">
        <w:rPr>
          <w:rFonts w:ascii="Calibri" w:hAnsi="Calibri" w:cs="Calibri"/>
          <w:lang w:val="el-GR"/>
        </w:rPr>
        <w:t xml:space="preserve"> </w:t>
      </w:r>
      <w:r>
        <w:rPr>
          <w:rFonts w:ascii="Calibri" w:hAnsi="Calibri" w:cs="Calibri"/>
          <w:lang w:val="el-GR"/>
        </w:rPr>
        <w:t>την</w:t>
      </w:r>
      <w:r w:rsidRPr="00AA0F33">
        <w:rPr>
          <w:rFonts w:ascii="Calibri" w:hAnsi="Calibri" w:cs="Calibri"/>
          <w:lang w:val="el-GR"/>
        </w:rPr>
        <w:t xml:space="preserve"> </w:t>
      </w:r>
      <w:r>
        <w:rPr>
          <w:rFonts w:ascii="Calibri" w:hAnsi="Calibri" w:cs="Calibri"/>
          <w:lang w:val="el-GR"/>
        </w:rPr>
        <w:t>θέση του Επιτρόπου και ακολούθως</w:t>
      </w:r>
      <w:r w:rsidRPr="00AA0F33">
        <w:rPr>
          <w:rFonts w:ascii="Calibri" w:hAnsi="Calibri" w:cs="Calibri"/>
          <w:lang w:val="el-GR"/>
        </w:rPr>
        <w:t xml:space="preserve">, </w:t>
      </w:r>
      <w:r>
        <w:rPr>
          <w:rFonts w:ascii="Calibri" w:hAnsi="Calibri" w:cs="Calibri"/>
          <w:lang w:val="el-GR"/>
        </w:rPr>
        <w:t>μετά την αξιολόγηση όλων των υποψηφίων</w:t>
      </w:r>
      <w:r w:rsidRPr="00AA0F33">
        <w:rPr>
          <w:rFonts w:ascii="Calibri" w:hAnsi="Calibri" w:cs="Calibri"/>
          <w:lang w:val="el-GR"/>
        </w:rPr>
        <w:t xml:space="preserve">, </w:t>
      </w:r>
      <w:r>
        <w:rPr>
          <w:rFonts w:ascii="Calibri" w:hAnsi="Calibri" w:cs="Calibri"/>
          <w:lang w:val="el-GR"/>
        </w:rPr>
        <w:t xml:space="preserve">το Συμβούλιο </w:t>
      </w:r>
      <w:r w:rsidRPr="002B7C4B">
        <w:rPr>
          <w:rFonts w:ascii="Calibri" w:hAnsi="Calibri" w:cs="Calibri"/>
          <w:lang w:val="el-GR"/>
        </w:rPr>
        <w:t>συστ</w:t>
      </w:r>
      <w:r>
        <w:rPr>
          <w:rFonts w:ascii="Calibri" w:hAnsi="Calibri" w:cs="Calibri"/>
          <w:lang w:val="el-GR"/>
        </w:rPr>
        <w:t>ήνει τον πιο κατάλληλο στον Πρόεδρο της Δημοκρατίας</w:t>
      </w:r>
      <w:r w:rsidRPr="00AA0F33">
        <w:rPr>
          <w:rFonts w:ascii="Calibri" w:hAnsi="Calibri" w:cs="Calibri"/>
          <w:lang w:val="el-GR"/>
        </w:rPr>
        <w:t xml:space="preserve">. </w:t>
      </w:r>
      <w:r>
        <w:rPr>
          <w:rFonts w:ascii="Calibri" w:hAnsi="Calibri" w:cs="Calibri"/>
          <w:lang w:val="el-GR"/>
        </w:rPr>
        <w:t>Ακολούθως</w:t>
      </w:r>
      <w:r w:rsidRPr="001E182C">
        <w:rPr>
          <w:rFonts w:ascii="Calibri" w:hAnsi="Calibri" w:cs="Calibri"/>
          <w:lang w:val="el-GR"/>
        </w:rPr>
        <w:t xml:space="preserve">, </w:t>
      </w:r>
      <w:r>
        <w:rPr>
          <w:rFonts w:ascii="Calibri" w:hAnsi="Calibri" w:cs="Calibri"/>
          <w:lang w:val="el-GR"/>
        </w:rPr>
        <w:t>το</w:t>
      </w:r>
      <w:r w:rsidRPr="001E182C">
        <w:rPr>
          <w:rFonts w:ascii="Calibri" w:hAnsi="Calibri" w:cs="Calibri"/>
          <w:lang w:val="el-GR"/>
        </w:rPr>
        <w:t xml:space="preserve"> </w:t>
      </w:r>
      <w:r>
        <w:rPr>
          <w:rFonts w:ascii="Calibri" w:hAnsi="Calibri" w:cs="Calibri"/>
          <w:lang w:val="el-GR"/>
        </w:rPr>
        <w:t>προτεινόμενο</w:t>
      </w:r>
      <w:r w:rsidRPr="001E182C">
        <w:rPr>
          <w:rFonts w:ascii="Calibri" w:hAnsi="Calibri" w:cs="Calibri"/>
          <w:lang w:val="el-GR"/>
        </w:rPr>
        <w:t xml:space="preserve"> </w:t>
      </w:r>
      <w:r>
        <w:rPr>
          <w:rFonts w:ascii="Calibri" w:hAnsi="Calibri" w:cs="Calibri"/>
          <w:lang w:val="el-GR"/>
        </w:rPr>
        <w:t>άτομο</w:t>
      </w:r>
      <w:r w:rsidRPr="001E182C">
        <w:rPr>
          <w:rFonts w:ascii="Calibri" w:hAnsi="Calibri" w:cs="Calibri"/>
          <w:lang w:val="el-GR"/>
        </w:rPr>
        <w:t xml:space="preserve"> </w:t>
      </w:r>
      <w:r>
        <w:rPr>
          <w:rFonts w:ascii="Calibri" w:hAnsi="Calibri" w:cs="Calibri"/>
          <w:lang w:val="el-GR"/>
        </w:rPr>
        <w:t>πρέπει</w:t>
      </w:r>
      <w:r w:rsidRPr="001E182C">
        <w:rPr>
          <w:rFonts w:ascii="Calibri" w:hAnsi="Calibri" w:cs="Calibri"/>
          <w:lang w:val="el-GR"/>
        </w:rPr>
        <w:t xml:space="preserve"> </w:t>
      </w:r>
      <w:r>
        <w:rPr>
          <w:rFonts w:ascii="Calibri" w:hAnsi="Calibri" w:cs="Calibri"/>
          <w:lang w:val="el-GR"/>
        </w:rPr>
        <w:t>να</w:t>
      </w:r>
      <w:r w:rsidRPr="001E182C">
        <w:rPr>
          <w:rFonts w:ascii="Calibri" w:hAnsi="Calibri" w:cs="Calibri"/>
          <w:lang w:val="el-GR"/>
        </w:rPr>
        <w:t xml:space="preserve"> </w:t>
      </w:r>
      <w:r>
        <w:rPr>
          <w:rFonts w:ascii="Calibri" w:hAnsi="Calibri" w:cs="Calibri"/>
          <w:lang w:val="el-GR"/>
        </w:rPr>
        <w:t>εγκριθεί</w:t>
      </w:r>
      <w:r w:rsidRPr="001E182C">
        <w:rPr>
          <w:rFonts w:ascii="Calibri" w:hAnsi="Calibri" w:cs="Calibri"/>
          <w:lang w:val="el-GR"/>
        </w:rPr>
        <w:t xml:space="preserve"> </w:t>
      </w:r>
      <w:r>
        <w:rPr>
          <w:rFonts w:ascii="Calibri" w:hAnsi="Calibri" w:cs="Calibri"/>
          <w:lang w:val="el-GR"/>
        </w:rPr>
        <w:t>από</w:t>
      </w:r>
      <w:r w:rsidRPr="001E182C">
        <w:rPr>
          <w:rFonts w:ascii="Calibri" w:hAnsi="Calibri" w:cs="Calibri"/>
          <w:lang w:val="el-GR"/>
        </w:rPr>
        <w:t xml:space="preserve"> </w:t>
      </w:r>
      <w:r>
        <w:rPr>
          <w:rFonts w:ascii="Calibri" w:hAnsi="Calibri" w:cs="Calibri"/>
          <w:lang w:val="el-GR"/>
        </w:rPr>
        <w:t>την</w:t>
      </w:r>
      <w:r w:rsidRPr="001E182C">
        <w:rPr>
          <w:rFonts w:ascii="Calibri" w:hAnsi="Calibri" w:cs="Calibri"/>
          <w:lang w:val="el-GR"/>
        </w:rPr>
        <w:t xml:space="preserve"> </w:t>
      </w:r>
      <w:r>
        <w:rPr>
          <w:rFonts w:ascii="Calibri" w:hAnsi="Calibri" w:cs="Calibri"/>
          <w:lang w:val="el-GR"/>
        </w:rPr>
        <w:t>πλειοψηφία</w:t>
      </w:r>
      <w:r w:rsidRPr="001E182C">
        <w:rPr>
          <w:rFonts w:ascii="Calibri" w:hAnsi="Calibri" w:cs="Calibri"/>
          <w:lang w:val="el-GR"/>
        </w:rPr>
        <w:t xml:space="preserve"> </w:t>
      </w:r>
      <w:r>
        <w:rPr>
          <w:rFonts w:ascii="Calibri" w:hAnsi="Calibri" w:cs="Calibri"/>
          <w:lang w:val="el-GR"/>
        </w:rPr>
        <w:t>της</w:t>
      </w:r>
      <w:r w:rsidRPr="001E182C">
        <w:rPr>
          <w:rFonts w:ascii="Calibri" w:hAnsi="Calibri" w:cs="Calibri"/>
          <w:lang w:val="el-GR"/>
        </w:rPr>
        <w:t xml:space="preserve"> </w:t>
      </w:r>
      <w:r>
        <w:rPr>
          <w:rFonts w:ascii="Calibri" w:hAnsi="Calibri" w:cs="Calibri"/>
          <w:lang w:val="el-GR"/>
        </w:rPr>
        <w:t>Βουλής</w:t>
      </w:r>
      <w:r w:rsidRPr="001E182C">
        <w:rPr>
          <w:rFonts w:ascii="Calibri" w:hAnsi="Calibri" w:cs="Calibri"/>
          <w:lang w:val="el-GR"/>
        </w:rPr>
        <w:t xml:space="preserve"> </w:t>
      </w:r>
      <w:r>
        <w:rPr>
          <w:rFonts w:ascii="Calibri" w:hAnsi="Calibri" w:cs="Calibri"/>
          <w:lang w:val="el-GR"/>
        </w:rPr>
        <w:t>των</w:t>
      </w:r>
      <w:r w:rsidRPr="001E182C">
        <w:rPr>
          <w:rFonts w:ascii="Calibri" w:hAnsi="Calibri" w:cs="Calibri"/>
          <w:lang w:val="el-GR"/>
        </w:rPr>
        <w:t xml:space="preserve"> </w:t>
      </w:r>
      <w:r>
        <w:rPr>
          <w:rFonts w:ascii="Calibri" w:hAnsi="Calibri" w:cs="Calibri"/>
          <w:lang w:val="el-GR"/>
        </w:rPr>
        <w:t>Αντιπροσώπων</w:t>
      </w:r>
      <w:r w:rsidRPr="001E182C">
        <w:rPr>
          <w:rFonts w:ascii="Calibri" w:hAnsi="Calibri" w:cs="Calibri"/>
          <w:lang w:val="el-GR"/>
        </w:rPr>
        <w:t xml:space="preserve">, </w:t>
      </w:r>
      <w:r>
        <w:rPr>
          <w:rFonts w:ascii="Calibri" w:hAnsi="Calibri" w:cs="Calibri"/>
          <w:lang w:val="el-GR"/>
        </w:rPr>
        <w:t>και ακολούθως</w:t>
      </w:r>
      <w:r w:rsidRPr="001E182C">
        <w:rPr>
          <w:rFonts w:ascii="Calibri" w:hAnsi="Calibri" w:cs="Calibri"/>
          <w:lang w:val="el-GR"/>
        </w:rPr>
        <w:t xml:space="preserve">, </w:t>
      </w:r>
      <w:r>
        <w:rPr>
          <w:rFonts w:ascii="Calibri" w:hAnsi="Calibri" w:cs="Calibri"/>
          <w:lang w:val="el-GR"/>
        </w:rPr>
        <w:t>διορίζεται ως Επίτροπος από τον Πρόεδρο της Δημοκρατίας</w:t>
      </w:r>
      <w:r w:rsidRPr="001E182C">
        <w:rPr>
          <w:rFonts w:ascii="Calibri" w:hAnsi="Calibri" w:cs="Calibri"/>
          <w:lang w:val="el-GR"/>
        </w:rPr>
        <w:t>.</w:t>
      </w:r>
    </w:p>
  </w:footnote>
  <w:footnote w:id="48">
    <w:p w14:paraId="35E483BC" w14:textId="4DEEDAF7" w:rsidR="00071F64" w:rsidRPr="001E182C" w:rsidRDefault="00071F64" w:rsidP="00A5147D">
      <w:pPr>
        <w:pStyle w:val="FootnoteText"/>
        <w:rPr>
          <w:lang w:val="el-GR"/>
        </w:rPr>
      </w:pPr>
      <w:r w:rsidRPr="00322103">
        <w:rPr>
          <w:rStyle w:val="FootnoteReference"/>
          <w:rFonts w:ascii="Calibri" w:hAnsi="Calibri" w:cs="Calibri"/>
        </w:rPr>
        <w:footnoteRef/>
      </w:r>
      <w:r w:rsidRPr="001E182C">
        <w:rPr>
          <w:rFonts w:ascii="Calibri" w:hAnsi="Calibri" w:cs="Calibri"/>
          <w:lang w:val="el-GR"/>
        </w:rPr>
        <w:t xml:space="preserve"> </w:t>
      </w:r>
      <w:r>
        <w:rPr>
          <w:rFonts w:ascii="Calibri" w:hAnsi="Calibri" w:cs="Calibri"/>
          <w:lang w:val="el-GR"/>
        </w:rPr>
        <w:t>Η</w:t>
      </w:r>
      <w:r w:rsidRPr="001E182C">
        <w:rPr>
          <w:rFonts w:ascii="Calibri" w:hAnsi="Calibri" w:cs="Calibri"/>
          <w:lang w:val="el-GR"/>
        </w:rPr>
        <w:t xml:space="preserve"> </w:t>
      </w:r>
      <w:r>
        <w:rPr>
          <w:rFonts w:ascii="Calibri" w:hAnsi="Calibri" w:cs="Calibri"/>
          <w:lang w:val="el-GR"/>
        </w:rPr>
        <w:t>πρόταση</w:t>
      </w:r>
      <w:r w:rsidRPr="001E182C">
        <w:rPr>
          <w:rFonts w:ascii="Calibri" w:hAnsi="Calibri" w:cs="Calibri"/>
          <w:lang w:val="el-GR"/>
        </w:rPr>
        <w:t xml:space="preserve"> </w:t>
      </w:r>
      <w:r>
        <w:rPr>
          <w:rFonts w:ascii="Calibri" w:hAnsi="Calibri" w:cs="Calibri"/>
          <w:lang w:val="el-GR"/>
        </w:rPr>
        <w:t>των</w:t>
      </w:r>
      <w:r w:rsidRPr="001E182C">
        <w:rPr>
          <w:rFonts w:ascii="Calibri" w:hAnsi="Calibri" w:cs="Calibri"/>
          <w:lang w:val="el-GR"/>
        </w:rPr>
        <w:t xml:space="preserve"> </w:t>
      </w:r>
      <w:r>
        <w:rPr>
          <w:rFonts w:ascii="Calibri" w:hAnsi="Calibri" w:cs="Calibri"/>
          <w:lang w:val="el-GR"/>
        </w:rPr>
        <w:t>υποψηφίων</w:t>
      </w:r>
      <w:r w:rsidRPr="001E182C">
        <w:rPr>
          <w:rFonts w:ascii="Calibri" w:hAnsi="Calibri" w:cs="Calibri"/>
          <w:lang w:val="el-GR"/>
        </w:rPr>
        <w:t xml:space="preserve"> </w:t>
      </w:r>
      <w:r>
        <w:rPr>
          <w:rFonts w:ascii="Calibri" w:hAnsi="Calibri" w:cs="Calibri"/>
          <w:lang w:val="el-GR"/>
        </w:rPr>
        <w:t>για</w:t>
      </w:r>
      <w:r w:rsidRPr="001E182C">
        <w:rPr>
          <w:rFonts w:ascii="Calibri" w:hAnsi="Calibri" w:cs="Calibri"/>
          <w:lang w:val="el-GR"/>
        </w:rPr>
        <w:t xml:space="preserve"> </w:t>
      </w:r>
      <w:r>
        <w:rPr>
          <w:rFonts w:ascii="Calibri" w:hAnsi="Calibri" w:cs="Calibri"/>
          <w:lang w:val="el-GR"/>
        </w:rPr>
        <w:t>διορισμό</w:t>
      </w:r>
      <w:r w:rsidRPr="001E182C">
        <w:rPr>
          <w:rFonts w:ascii="Calibri" w:hAnsi="Calibri" w:cs="Calibri"/>
          <w:lang w:val="el-GR"/>
        </w:rPr>
        <w:t xml:space="preserve"> </w:t>
      </w:r>
      <w:r>
        <w:rPr>
          <w:rFonts w:ascii="Calibri" w:hAnsi="Calibri" w:cs="Calibri"/>
          <w:lang w:val="el-GR"/>
        </w:rPr>
        <w:t>των</w:t>
      </w:r>
      <w:r w:rsidRPr="001E182C">
        <w:rPr>
          <w:rFonts w:ascii="Calibri" w:hAnsi="Calibri" w:cs="Calibri"/>
          <w:lang w:val="el-GR"/>
        </w:rPr>
        <w:t xml:space="preserve"> </w:t>
      </w:r>
      <w:r>
        <w:rPr>
          <w:rFonts w:ascii="Calibri" w:hAnsi="Calibri" w:cs="Calibri"/>
          <w:lang w:val="el-GR"/>
        </w:rPr>
        <w:t>μελών</w:t>
      </w:r>
      <w:r w:rsidRPr="001E182C">
        <w:rPr>
          <w:rFonts w:ascii="Calibri" w:hAnsi="Calibri" w:cs="Calibri"/>
          <w:lang w:val="el-GR"/>
        </w:rPr>
        <w:t xml:space="preserve"> </w:t>
      </w:r>
      <w:r>
        <w:rPr>
          <w:rFonts w:ascii="Calibri" w:hAnsi="Calibri" w:cs="Calibri"/>
          <w:lang w:val="el-GR"/>
        </w:rPr>
        <w:t>της</w:t>
      </w:r>
      <w:r w:rsidRPr="001E182C">
        <w:rPr>
          <w:rFonts w:ascii="Calibri" w:hAnsi="Calibri" w:cs="Calibri"/>
          <w:lang w:val="el-GR"/>
        </w:rPr>
        <w:t xml:space="preserve"> </w:t>
      </w:r>
      <w:r>
        <w:rPr>
          <w:rFonts w:ascii="Calibri" w:hAnsi="Calibri" w:cs="Calibri"/>
          <w:lang w:val="el-GR"/>
        </w:rPr>
        <w:t>Αρχής</w:t>
      </w:r>
      <w:r w:rsidRPr="001E182C">
        <w:rPr>
          <w:rFonts w:ascii="Calibri" w:hAnsi="Calibri" w:cs="Calibri"/>
          <w:lang w:val="el-GR"/>
        </w:rPr>
        <w:t xml:space="preserve"> </w:t>
      </w:r>
      <w:r>
        <w:rPr>
          <w:rFonts w:ascii="Calibri" w:hAnsi="Calibri" w:cs="Calibri"/>
          <w:lang w:val="el-GR"/>
        </w:rPr>
        <w:t>Κατά</w:t>
      </w:r>
      <w:r w:rsidRPr="001E182C">
        <w:rPr>
          <w:rFonts w:ascii="Calibri" w:hAnsi="Calibri" w:cs="Calibri"/>
          <w:lang w:val="el-GR"/>
        </w:rPr>
        <w:t xml:space="preserve"> </w:t>
      </w:r>
      <w:r>
        <w:rPr>
          <w:rFonts w:ascii="Calibri" w:hAnsi="Calibri" w:cs="Calibri"/>
          <w:lang w:val="el-GR"/>
        </w:rPr>
        <w:t>της</w:t>
      </w:r>
      <w:r w:rsidRPr="001E182C">
        <w:rPr>
          <w:rFonts w:ascii="Calibri" w:hAnsi="Calibri" w:cs="Calibri"/>
          <w:lang w:val="el-GR"/>
        </w:rPr>
        <w:t xml:space="preserve"> </w:t>
      </w:r>
      <w:r>
        <w:rPr>
          <w:rFonts w:ascii="Calibri" w:hAnsi="Calibri" w:cs="Calibri"/>
          <w:lang w:val="el-GR"/>
        </w:rPr>
        <w:t>Διαφθοράς</w:t>
      </w:r>
      <w:r w:rsidRPr="001E182C">
        <w:rPr>
          <w:rFonts w:ascii="Calibri" w:hAnsi="Calibri" w:cs="Calibri"/>
          <w:lang w:val="el-GR"/>
        </w:rPr>
        <w:t xml:space="preserve"> </w:t>
      </w:r>
      <w:r>
        <w:rPr>
          <w:rFonts w:ascii="Calibri" w:hAnsi="Calibri" w:cs="Calibri"/>
          <w:lang w:val="el-GR"/>
        </w:rPr>
        <w:t>γίνεται</w:t>
      </w:r>
      <w:r w:rsidRPr="001E182C">
        <w:rPr>
          <w:rFonts w:ascii="Calibri" w:hAnsi="Calibri" w:cs="Calibri"/>
          <w:lang w:val="el-GR"/>
        </w:rPr>
        <w:t xml:space="preserve"> </w:t>
      </w:r>
      <w:r>
        <w:rPr>
          <w:rFonts w:ascii="Calibri" w:hAnsi="Calibri" w:cs="Calibri"/>
          <w:lang w:val="el-GR"/>
        </w:rPr>
        <w:t>από</w:t>
      </w:r>
      <w:r w:rsidRPr="001E182C">
        <w:rPr>
          <w:rFonts w:ascii="Calibri" w:hAnsi="Calibri" w:cs="Calibri"/>
          <w:lang w:val="el-GR"/>
        </w:rPr>
        <w:t xml:space="preserve"> </w:t>
      </w:r>
      <w:r>
        <w:rPr>
          <w:rFonts w:ascii="Calibri" w:hAnsi="Calibri" w:cs="Calibri"/>
          <w:lang w:val="el-GR"/>
        </w:rPr>
        <w:t>ένα</w:t>
      </w:r>
      <w:r w:rsidRPr="001E182C">
        <w:rPr>
          <w:rFonts w:ascii="Calibri" w:hAnsi="Calibri" w:cs="Calibri"/>
          <w:lang w:val="el-GR"/>
        </w:rPr>
        <w:t xml:space="preserve"> </w:t>
      </w:r>
      <w:r>
        <w:rPr>
          <w:rFonts w:ascii="Calibri" w:hAnsi="Calibri" w:cs="Calibri"/>
          <w:lang w:val="el-GR"/>
        </w:rPr>
        <w:t>Συμβουλευτικό</w:t>
      </w:r>
      <w:r w:rsidRPr="001E182C">
        <w:rPr>
          <w:rFonts w:ascii="Calibri" w:hAnsi="Calibri" w:cs="Calibri"/>
          <w:lang w:val="el-GR"/>
        </w:rPr>
        <w:t xml:space="preserve"> </w:t>
      </w:r>
      <w:r>
        <w:rPr>
          <w:rFonts w:ascii="Calibri" w:hAnsi="Calibri" w:cs="Calibri"/>
          <w:lang w:val="el-GR"/>
        </w:rPr>
        <w:t>Συμβούλιο</w:t>
      </w:r>
      <w:r w:rsidRPr="001E182C">
        <w:rPr>
          <w:rFonts w:ascii="Calibri" w:hAnsi="Calibri" w:cs="Calibri"/>
          <w:lang w:val="el-GR"/>
        </w:rPr>
        <w:t xml:space="preserve">, </w:t>
      </w:r>
      <w:r>
        <w:rPr>
          <w:rFonts w:ascii="Calibri" w:hAnsi="Calibri" w:cs="Calibri"/>
          <w:lang w:val="el-GR"/>
        </w:rPr>
        <w:t>που</w:t>
      </w:r>
      <w:r w:rsidRPr="001E182C">
        <w:rPr>
          <w:rFonts w:ascii="Calibri" w:hAnsi="Calibri" w:cs="Calibri"/>
          <w:lang w:val="el-GR"/>
        </w:rPr>
        <w:t xml:space="preserve"> </w:t>
      </w:r>
      <w:r>
        <w:rPr>
          <w:rFonts w:ascii="Calibri" w:hAnsi="Calibri" w:cs="Calibri"/>
          <w:lang w:val="el-GR"/>
        </w:rPr>
        <w:t>ετοιμάζει</w:t>
      </w:r>
      <w:r w:rsidRPr="001E182C">
        <w:rPr>
          <w:rFonts w:ascii="Calibri" w:hAnsi="Calibri" w:cs="Calibri"/>
          <w:lang w:val="el-GR"/>
        </w:rPr>
        <w:t xml:space="preserve"> </w:t>
      </w:r>
      <w:r>
        <w:rPr>
          <w:rFonts w:ascii="Calibri" w:hAnsi="Calibri" w:cs="Calibri"/>
          <w:lang w:val="el-GR"/>
        </w:rPr>
        <w:t>μια</w:t>
      </w:r>
      <w:r w:rsidRPr="001E182C">
        <w:rPr>
          <w:rFonts w:ascii="Calibri" w:hAnsi="Calibri" w:cs="Calibri"/>
          <w:lang w:val="el-GR"/>
        </w:rPr>
        <w:t xml:space="preserve"> </w:t>
      </w:r>
      <w:r>
        <w:rPr>
          <w:rFonts w:ascii="Calibri" w:hAnsi="Calibri" w:cs="Calibri"/>
          <w:lang w:val="el-GR"/>
        </w:rPr>
        <w:t>λίστα</w:t>
      </w:r>
      <w:r w:rsidRPr="001E182C">
        <w:rPr>
          <w:rFonts w:ascii="Calibri" w:hAnsi="Calibri" w:cs="Calibri"/>
          <w:lang w:val="el-GR"/>
        </w:rPr>
        <w:t xml:space="preserve"> </w:t>
      </w:r>
      <w:r>
        <w:rPr>
          <w:rFonts w:ascii="Calibri" w:hAnsi="Calibri" w:cs="Calibri"/>
          <w:lang w:val="el-GR"/>
        </w:rPr>
        <w:t>τριών</w:t>
      </w:r>
      <w:r w:rsidRPr="001E182C">
        <w:rPr>
          <w:rFonts w:ascii="Calibri" w:hAnsi="Calibri" w:cs="Calibri"/>
          <w:lang w:val="el-GR"/>
        </w:rPr>
        <w:t xml:space="preserve"> </w:t>
      </w:r>
      <w:r>
        <w:rPr>
          <w:rFonts w:ascii="Calibri" w:hAnsi="Calibri" w:cs="Calibri"/>
          <w:lang w:val="el-GR"/>
        </w:rPr>
        <w:t>υποψηφίων για κάθε θέση</w:t>
      </w:r>
      <w:r w:rsidRPr="001E182C">
        <w:rPr>
          <w:rFonts w:ascii="Calibri" w:hAnsi="Calibri" w:cs="Calibri"/>
          <w:lang w:val="el-GR"/>
        </w:rPr>
        <w:t xml:space="preserve">, </w:t>
      </w:r>
      <w:r>
        <w:rPr>
          <w:rFonts w:ascii="Calibri" w:hAnsi="Calibri" w:cs="Calibri"/>
          <w:lang w:val="el-GR"/>
        </w:rPr>
        <w:t>υποβάλει την λίστα στην κοινοβουλευτική επιτροπή νομικών υποθέσεων</w:t>
      </w:r>
      <w:r w:rsidRPr="001E182C">
        <w:rPr>
          <w:rFonts w:ascii="Calibri" w:hAnsi="Calibri" w:cs="Calibri"/>
          <w:lang w:val="el-GR"/>
        </w:rPr>
        <w:t xml:space="preserve"> </w:t>
      </w:r>
      <w:r>
        <w:rPr>
          <w:rFonts w:ascii="Calibri" w:hAnsi="Calibri" w:cs="Calibri"/>
          <w:lang w:val="el-GR"/>
        </w:rPr>
        <w:t>και ακολούθως στον Πρόεδρο που επιλέγει ένα υποψήφιο από την λίστα για κάθε θέση</w:t>
      </w:r>
      <w:r w:rsidRPr="001E182C">
        <w:rPr>
          <w:lang w:val="el-GR"/>
        </w:rPr>
        <w:t xml:space="preserve">. </w:t>
      </w:r>
    </w:p>
  </w:footnote>
  <w:footnote w:id="49">
    <w:p w14:paraId="1A9E9F89" w14:textId="6F37402E" w:rsidR="00071F64" w:rsidRPr="00F76A56" w:rsidRDefault="00071F64" w:rsidP="00A5147D">
      <w:pPr>
        <w:pStyle w:val="FootnoteText"/>
        <w:rPr>
          <w:rFonts w:asciiTheme="minorHAnsi" w:hAnsiTheme="minorHAnsi" w:cstheme="minorHAnsi"/>
          <w:lang w:val="el-GR"/>
        </w:rPr>
      </w:pPr>
      <w:r w:rsidRPr="00333B95">
        <w:rPr>
          <w:rStyle w:val="FootnoteReference"/>
          <w:rFonts w:asciiTheme="minorHAnsi" w:hAnsiTheme="minorHAnsi" w:cstheme="minorHAnsi"/>
        </w:rPr>
        <w:footnoteRef/>
      </w:r>
      <w:r w:rsidRPr="001E182C">
        <w:rPr>
          <w:rFonts w:asciiTheme="minorHAnsi" w:hAnsiTheme="minorHAnsi" w:cstheme="minorHAnsi"/>
          <w:lang w:val="el-GR"/>
        </w:rPr>
        <w:t xml:space="preserve"> </w:t>
      </w:r>
      <w:r>
        <w:rPr>
          <w:rFonts w:asciiTheme="minorHAnsi" w:hAnsiTheme="minorHAnsi" w:cstheme="minorHAnsi"/>
          <w:lang w:val="el-GR"/>
        </w:rPr>
        <w:t>Οι</w:t>
      </w:r>
      <w:r w:rsidRPr="001E182C">
        <w:rPr>
          <w:rFonts w:asciiTheme="minorHAnsi" w:hAnsiTheme="minorHAnsi" w:cstheme="minorHAnsi"/>
          <w:lang w:val="el-GR"/>
        </w:rPr>
        <w:t xml:space="preserve"> </w:t>
      </w:r>
      <w:r>
        <w:rPr>
          <w:rFonts w:asciiTheme="minorHAnsi" w:hAnsiTheme="minorHAnsi" w:cstheme="minorHAnsi"/>
          <w:lang w:val="el-GR"/>
        </w:rPr>
        <w:t>ακόλουθοι</w:t>
      </w:r>
      <w:r w:rsidRPr="001E182C">
        <w:rPr>
          <w:rFonts w:asciiTheme="minorHAnsi" w:hAnsiTheme="minorHAnsi" w:cstheme="minorHAnsi"/>
          <w:lang w:val="el-GR"/>
        </w:rPr>
        <w:t xml:space="preserve"> </w:t>
      </w:r>
      <w:r>
        <w:rPr>
          <w:rFonts w:asciiTheme="minorHAnsi" w:hAnsiTheme="minorHAnsi" w:cstheme="minorHAnsi"/>
          <w:lang w:val="el-GR"/>
        </w:rPr>
        <w:t>αξιωματούχοι</w:t>
      </w:r>
      <w:r w:rsidRPr="001E182C">
        <w:rPr>
          <w:rFonts w:asciiTheme="minorHAnsi" w:hAnsiTheme="minorHAnsi" w:cstheme="minorHAnsi"/>
          <w:lang w:val="el-GR"/>
        </w:rPr>
        <w:t xml:space="preserve"> </w:t>
      </w:r>
      <w:r>
        <w:rPr>
          <w:rFonts w:asciiTheme="minorHAnsi" w:hAnsiTheme="minorHAnsi" w:cstheme="minorHAnsi"/>
          <w:lang w:val="el-GR"/>
        </w:rPr>
        <w:t>εμπίπτουν</w:t>
      </w:r>
      <w:r w:rsidRPr="001E182C">
        <w:rPr>
          <w:rFonts w:asciiTheme="minorHAnsi" w:hAnsiTheme="minorHAnsi" w:cstheme="minorHAnsi"/>
          <w:lang w:val="el-GR"/>
        </w:rPr>
        <w:t xml:space="preserve"> </w:t>
      </w:r>
      <w:r>
        <w:rPr>
          <w:rFonts w:asciiTheme="minorHAnsi" w:hAnsiTheme="minorHAnsi" w:cstheme="minorHAnsi"/>
          <w:lang w:val="el-GR"/>
        </w:rPr>
        <w:t>στο</w:t>
      </w:r>
      <w:r w:rsidRPr="001E182C">
        <w:rPr>
          <w:rFonts w:asciiTheme="minorHAnsi" w:hAnsiTheme="minorHAnsi" w:cstheme="minorHAnsi"/>
          <w:lang w:val="el-GR"/>
        </w:rPr>
        <w:t xml:space="preserve"> </w:t>
      </w:r>
      <w:r>
        <w:rPr>
          <w:rFonts w:asciiTheme="minorHAnsi" w:hAnsiTheme="minorHAnsi" w:cstheme="minorHAnsi"/>
          <w:lang w:val="el-GR"/>
        </w:rPr>
        <w:t>πεδίο</w:t>
      </w:r>
      <w:r w:rsidRPr="001E182C">
        <w:rPr>
          <w:rFonts w:asciiTheme="minorHAnsi" w:hAnsiTheme="minorHAnsi" w:cstheme="minorHAnsi"/>
          <w:lang w:val="el-GR"/>
        </w:rPr>
        <w:t xml:space="preserve"> </w:t>
      </w:r>
      <w:r>
        <w:rPr>
          <w:rFonts w:asciiTheme="minorHAnsi" w:hAnsiTheme="minorHAnsi" w:cstheme="minorHAnsi"/>
          <w:lang w:val="el-GR"/>
        </w:rPr>
        <w:t>εφαρμογής</w:t>
      </w:r>
      <w:r w:rsidRPr="001E182C">
        <w:rPr>
          <w:rFonts w:asciiTheme="minorHAnsi" w:hAnsiTheme="minorHAnsi" w:cstheme="minorHAnsi"/>
          <w:lang w:val="el-GR"/>
        </w:rPr>
        <w:t xml:space="preserve"> </w:t>
      </w:r>
      <w:r>
        <w:rPr>
          <w:rFonts w:asciiTheme="minorHAnsi" w:hAnsiTheme="minorHAnsi" w:cstheme="minorHAnsi"/>
          <w:lang w:val="el-GR"/>
        </w:rPr>
        <w:t>του</w:t>
      </w:r>
      <w:r w:rsidRPr="001E182C">
        <w:rPr>
          <w:rFonts w:asciiTheme="minorHAnsi" w:hAnsiTheme="minorHAnsi" w:cstheme="minorHAnsi"/>
          <w:lang w:val="el-GR"/>
        </w:rPr>
        <w:t xml:space="preserve"> </w:t>
      </w:r>
      <w:r>
        <w:rPr>
          <w:rFonts w:asciiTheme="minorHAnsi" w:hAnsiTheme="minorHAnsi" w:cstheme="minorHAnsi"/>
          <w:lang w:val="el-GR"/>
        </w:rPr>
        <w:t>Νόμου</w:t>
      </w:r>
      <w:r w:rsidRPr="001E182C">
        <w:rPr>
          <w:rFonts w:asciiTheme="minorHAnsi" w:hAnsiTheme="minorHAnsi" w:cstheme="minorHAnsi"/>
          <w:lang w:val="el-GR"/>
        </w:rPr>
        <w:t xml:space="preserve"> </w:t>
      </w:r>
      <w:r w:rsidRPr="00333B95">
        <w:rPr>
          <w:rFonts w:asciiTheme="minorHAnsi" w:hAnsiTheme="minorHAnsi" w:cstheme="minorHAnsi"/>
        </w:rPr>
        <w:t>Law</w:t>
      </w:r>
      <w:r w:rsidRPr="001E182C">
        <w:rPr>
          <w:rFonts w:asciiTheme="minorHAnsi" w:hAnsiTheme="minorHAnsi" w:cstheme="minorHAnsi"/>
          <w:lang w:val="el-GR"/>
        </w:rPr>
        <w:t xml:space="preserve"> 7(</w:t>
      </w:r>
      <w:r w:rsidRPr="00333B95">
        <w:rPr>
          <w:rFonts w:asciiTheme="minorHAnsi" w:hAnsiTheme="minorHAnsi" w:cstheme="minorHAnsi"/>
        </w:rPr>
        <w:t>I</w:t>
      </w:r>
      <w:r w:rsidRPr="001E182C">
        <w:rPr>
          <w:rFonts w:asciiTheme="minorHAnsi" w:hAnsiTheme="minorHAnsi" w:cstheme="minorHAnsi"/>
          <w:lang w:val="el-GR"/>
        </w:rPr>
        <w:t xml:space="preserve">)/2008, </w:t>
      </w:r>
      <w:r>
        <w:rPr>
          <w:rFonts w:asciiTheme="minorHAnsi" w:hAnsiTheme="minorHAnsi" w:cstheme="minorHAnsi"/>
          <w:lang w:val="el-GR"/>
        </w:rPr>
        <w:t>Παράρτημα</w:t>
      </w:r>
      <w:r w:rsidRPr="001E182C">
        <w:rPr>
          <w:rFonts w:asciiTheme="minorHAnsi" w:hAnsiTheme="minorHAnsi" w:cstheme="minorHAnsi"/>
          <w:lang w:val="el-GR"/>
        </w:rPr>
        <w:t xml:space="preserve"> (</w:t>
      </w:r>
      <w:r>
        <w:rPr>
          <w:rFonts w:asciiTheme="minorHAnsi" w:hAnsiTheme="minorHAnsi" w:cstheme="minorHAnsi"/>
          <w:lang w:val="el-GR"/>
        </w:rPr>
        <w:t>Άρθρο</w:t>
      </w:r>
      <w:r w:rsidRPr="001E182C">
        <w:rPr>
          <w:rFonts w:asciiTheme="minorHAnsi" w:hAnsiTheme="minorHAnsi" w:cstheme="minorHAnsi"/>
          <w:lang w:val="el-GR"/>
        </w:rPr>
        <w:t xml:space="preserve"> 2): </w:t>
      </w:r>
      <w:r>
        <w:rPr>
          <w:rFonts w:asciiTheme="minorHAnsi" w:hAnsiTheme="minorHAnsi" w:cstheme="minorHAnsi"/>
          <w:lang w:val="el-GR"/>
        </w:rPr>
        <w:t>ο</w:t>
      </w:r>
      <w:r w:rsidRPr="001E182C">
        <w:rPr>
          <w:rFonts w:asciiTheme="minorHAnsi" w:hAnsiTheme="minorHAnsi" w:cstheme="minorHAnsi"/>
          <w:lang w:val="el-GR"/>
        </w:rPr>
        <w:t xml:space="preserve"> </w:t>
      </w:r>
      <w:r>
        <w:rPr>
          <w:rFonts w:asciiTheme="minorHAnsi" w:hAnsiTheme="minorHAnsi" w:cstheme="minorHAnsi"/>
          <w:lang w:val="el-GR"/>
        </w:rPr>
        <w:t>Πρόεδρος</w:t>
      </w:r>
      <w:r w:rsidRPr="001E182C">
        <w:rPr>
          <w:rFonts w:asciiTheme="minorHAnsi" w:hAnsiTheme="minorHAnsi" w:cstheme="minorHAnsi"/>
          <w:lang w:val="el-GR"/>
        </w:rPr>
        <w:t xml:space="preserve"> </w:t>
      </w:r>
      <w:r>
        <w:rPr>
          <w:rFonts w:asciiTheme="minorHAnsi" w:hAnsiTheme="minorHAnsi" w:cstheme="minorHAnsi"/>
          <w:lang w:val="el-GR"/>
        </w:rPr>
        <w:t>της</w:t>
      </w:r>
      <w:r w:rsidRPr="001E182C">
        <w:rPr>
          <w:rFonts w:asciiTheme="minorHAnsi" w:hAnsiTheme="minorHAnsi" w:cstheme="minorHAnsi"/>
          <w:lang w:val="el-GR"/>
        </w:rPr>
        <w:t xml:space="preserve"> </w:t>
      </w:r>
      <w:r>
        <w:rPr>
          <w:rFonts w:asciiTheme="minorHAnsi" w:hAnsiTheme="minorHAnsi" w:cstheme="minorHAnsi"/>
          <w:lang w:val="el-GR"/>
        </w:rPr>
        <w:t>Δημοκρατίας</w:t>
      </w:r>
      <w:r w:rsidRPr="001E182C">
        <w:rPr>
          <w:rFonts w:asciiTheme="minorHAnsi" w:hAnsiTheme="minorHAnsi" w:cstheme="minorHAnsi"/>
          <w:lang w:val="el-GR"/>
        </w:rPr>
        <w:t xml:space="preserve">, </w:t>
      </w:r>
      <w:r>
        <w:rPr>
          <w:rFonts w:asciiTheme="minorHAnsi" w:hAnsiTheme="minorHAnsi" w:cstheme="minorHAnsi"/>
          <w:lang w:val="el-GR"/>
        </w:rPr>
        <w:t>Υπουργοί</w:t>
      </w:r>
      <w:r w:rsidRPr="001E182C">
        <w:rPr>
          <w:rFonts w:asciiTheme="minorHAnsi" w:hAnsiTheme="minorHAnsi" w:cstheme="minorHAnsi"/>
          <w:lang w:val="el-GR"/>
        </w:rPr>
        <w:t xml:space="preserve"> </w:t>
      </w:r>
      <w:r>
        <w:rPr>
          <w:rFonts w:asciiTheme="minorHAnsi" w:hAnsiTheme="minorHAnsi" w:cstheme="minorHAnsi"/>
          <w:lang w:val="el-GR"/>
        </w:rPr>
        <w:t>και</w:t>
      </w:r>
      <w:r w:rsidRPr="001E182C">
        <w:rPr>
          <w:rFonts w:asciiTheme="minorHAnsi" w:hAnsiTheme="minorHAnsi" w:cstheme="minorHAnsi"/>
          <w:lang w:val="el-GR"/>
        </w:rPr>
        <w:t xml:space="preserve"> </w:t>
      </w:r>
      <w:r>
        <w:rPr>
          <w:rFonts w:asciiTheme="minorHAnsi" w:hAnsiTheme="minorHAnsi" w:cstheme="minorHAnsi"/>
          <w:lang w:val="el-GR"/>
        </w:rPr>
        <w:t>Υφυπουργός</w:t>
      </w:r>
      <w:r w:rsidRPr="001E182C">
        <w:rPr>
          <w:rFonts w:asciiTheme="minorHAnsi" w:hAnsiTheme="minorHAnsi" w:cstheme="minorHAnsi"/>
          <w:lang w:val="el-GR"/>
        </w:rPr>
        <w:t xml:space="preserve"> </w:t>
      </w:r>
      <w:r>
        <w:rPr>
          <w:rFonts w:asciiTheme="minorHAnsi" w:hAnsiTheme="minorHAnsi" w:cstheme="minorHAnsi"/>
          <w:lang w:val="el-GR"/>
        </w:rPr>
        <w:t>Παρά</w:t>
      </w:r>
      <w:r w:rsidRPr="001E182C">
        <w:rPr>
          <w:rFonts w:asciiTheme="minorHAnsi" w:hAnsiTheme="minorHAnsi" w:cstheme="minorHAnsi"/>
          <w:lang w:val="el-GR"/>
        </w:rPr>
        <w:t xml:space="preserve"> </w:t>
      </w:r>
      <w:r>
        <w:rPr>
          <w:rFonts w:asciiTheme="minorHAnsi" w:hAnsiTheme="minorHAnsi" w:cstheme="minorHAnsi"/>
          <w:lang w:val="el-GR"/>
        </w:rPr>
        <w:t>τω</w:t>
      </w:r>
      <w:r w:rsidRPr="001E182C">
        <w:rPr>
          <w:rFonts w:asciiTheme="minorHAnsi" w:hAnsiTheme="minorHAnsi" w:cstheme="minorHAnsi"/>
          <w:lang w:val="el-GR"/>
        </w:rPr>
        <w:t xml:space="preserve"> </w:t>
      </w:r>
      <w:proofErr w:type="spellStart"/>
      <w:r>
        <w:rPr>
          <w:rFonts w:asciiTheme="minorHAnsi" w:hAnsiTheme="minorHAnsi" w:cstheme="minorHAnsi"/>
          <w:lang w:val="el-GR"/>
        </w:rPr>
        <w:t>Προέδρω</w:t>
      </w:r>
      <w:proofErr w:type="spellEnd"/>
      <w:r w:rsidRPr="001E182C">
        <w:rPr>
          <w:rFonts w:asciiTheme="minorHAnsi" w:hAnsiTheme="minorHAnsi" w:cstheme="minorHAnsi"/>
          <w:lang w:val="el-GR"/>
        </w:rPr>
        <w:t xml:space="preserve">, </w:t>
      </w:r>
      <w:r>
        <w:rPr>
          <w:rFonts w:asciiTheme="minorHAnsi" w:hAnsiTheme="minorHAnsi" w:cstheme="minorHAnsi"/>
          <w:lang w:val="el-GR"/>
        </w:rPr>
        <w:t>Μέλη</w:t>
      </w:r>
      <w:r w:rsidRPr="001E182C">
        <w:rPr>
          <w:rFonts w:asciiTheme="minorHAnsi" w:hAnsiTheme="minorHAnsi" w:cstheme="minorHAnsi"/>
          <w:lang w:val="el-GR"/>
        </w:rPr>
        <w:t xml:space="preserve"> </w:t>
      </w:r>
      <w:r>
        <w:rPr>
          <w:rFonts w:asciiTheme="minorHAnsi" w:hAnsiTheme="minorHAnsi" w:cstheme="minorHAnsi"/>
          <w:lang w:val="el-GR"/>
        </w:rPr>
        <w:t>της</w:t>
      </w:r>
      <w:r w:rsidRPr="001E182C">
        <w:rPr>
          <w:rFonts w:asciiTheme="minorHAnsi" w:hAnsiTheme="minorHAnsi" w:cstheme="minorHAnsi"/>
          <w:lang w:val="el-GR"/>
        </w:rPr>
        <w:t xml:space="preserve"> </w:t>
      </w:r>
      <w:r>
        <w:rPr>
          <w:rFonts w:asciiTheme="minorHAnsi" w:hAnsiTheme="minorHAnsi" w:cstheme="minorHAnsi"/>
          <w:lang w:val="el-GR"/>
        </w:rPr>
        <w:t>Βουλής</w:t>
      </w:r>
      <w:r w:rsidRPr="001E182C">
        <w:rPr>
          <w:rFonts w:asciiTheme="minorHAnsi" w:hAnsiTheme="minorHAnsi" w:cstheme="minorHAnsi"/>
          <w:lang w:val="el-GR"/>
        </w:rPr>
        <w:t xml:space="preserve"> </w:t>
      </w:r>
      <w:r>
        <w:rPr>
          <w:rFonts w:asciiTheme="minorHAnsi" w:hAnsiTheme="minorHAnsi" w:cstheme="minorHAnsi"/>
          <w:lang w:val="el-GR"/>
        </w:rPr>
        <w:t>των</w:t>
      </w:r>
      <w:r w:rsidRPr="001E182C">
        <w:rPr>
          <w:rFonts w:asciiTheme="minorHAnsi" w:hAnsiTheme="minorHAnsi" w:cstheme="minorHAnsi"/>
          <w:lang w:val="el-GR"/>
        </w:rPr>
        <w:t xml:space="preserve"> </w:t>
      </w:r>
      <w:r>
        <w:rPr>
          <w:rFonts w:asciiTheme="minorHAnsi" w:hAnsiTheme="minorHAnsi" w:cstheme="minorHAnsi"/>
          <w:lang w:val="el-GR"/>
        </w:rPr>
        <w:t>Αντιπροσώπων</w:t>
      </w:r>
      <w:r w:rsidRPr="001E182C">
        <w:rPr>
          <w:rFonts w:asciiTheme="minorHAnsi" w:hAnsiTheme="minorHAnsi" w:cstheme="minorHAnsi"/>
          <w:lang w:val="el-GR"/>
        </w:rPr>
        <w:t xml:space="preserve">, </w:t>
      </w:r>
      <w:r>
        <w:rPr>
          <w:rFonts w:asciiTheme="minorHAnsi" w:hAnsiTheme="minorHAnsi" w:cstheme="minorHAnsi"/>
          <w:lang w:val="el-GR"/>
        </w:rPr>
        <w:t>Κυβερνητικός</w:t>
      </w:r>
      <w:r w:rsidRPr="001E182C">
        <w:rPr>
          <w:rFonts w:asciiTheme="minorHAnsi" w:hAnsiTheme="minorHAnsi" w:cstheme="minorHAnsi"/>
          <w:lang w:val="el-GR"/>
        </w:rPr>
        <w:t xml:space="preserve"> </w:t>
      </w:r>
      <w:r>
        <w:rPr>
          <w:rFonts w:asciiTheme="minorHAnsi" w:hAnsiTheme="minorHAnsi" w:cstheme="minorHAnsi"/>
          <w:lang w:val="el-GR"/>
        </w:rPr>
        <w:t>Εκπρόσωπος</w:t>
      </w:r>
      <w:r w:rsidRPr="001E182C">
        <w:rPr>
          <w:rFonts w:asciiTheme="minorHAnsi" w:hAnsiTheme="minorHAnsi" w:cstheme="minorHAnsi"/>
          <w:lang w:val="el-GR"/>
        </w:rPr>
        <w:t xml:space="preserve">, </w:t>
      </w:r>
      <w:r>
        <w:rPr>
          <w:rFonts w:asciiTheme="minorHAnsi" w:hAnsiTheme="minorHAnsi" w:cstheme="minorHAnsi"/>
          <w:lang w:val="el-GR"/>
        </w:rPr>
        <w:t>Διοικητής της</w:t>
      </w:r>
      <w:r w:rsidRPr="001E182C">
        <w:rPr>
          <w:rFonts w:asciiTheme="minorHAnsi" w:hAnsiTheme="minorHAnsi" w:cstheme="minorHAnsi"/>
          <w:lang w:val="el-GR"/>
        </w:rPr>
        <w:t xml:space="preserve"> </w:t>
      </w:r>
      <w:r>
        <w:rPr>
          <w:rFonts w:asciiTheme="minorHAnsi" w:hAnsiTheme="minorHAnsi" w:cstheme="minorHAnsi"/>
          <w:lang w:val="el-GR"/>
        </w:rPr>
        <w:t>Κεντρικής</w:t>
      </w:r>
      <w:r w:rsidRPr="001E182C">
        <w:rPr>
          <w:rFonts w:asciiTheme="minorHAnsi" w:hAnsiTheme="minorHAnsi" w:cstheme="minorHAnsi"/>
          <w:lang w:val="el-GR"/>
        </w:rPr>
        <w:t xml:space="preserve"> </w:t>
      </w:r>
      <w:r>
        <w:rPr>
          <w:rFonts w:asciiTheme="minorHAnsi" w:hAnsiTheme="minorHAnsi" w:cstheme="minorHAnsi"/>
          <w:lang w:val="el-GR"/>
        </w:rPr>
        <w:t>Τράπεζας</w:t>
      </w:r>
      <w:r w:rsidRPr="001E182C">
        <w:rPr>
          <w:rFonts w:asciiTheme="minorHAnsi" w:hAnsiTheme="minorHAnsi" w:cstheme="minorHAnsi"/>
          <w:lang w:val="el-GR"/>
        </w:rPr>
        <w:t xml:space="preserve">, </w:t>
      </w:r>
      <w:r>
        <w:rPr>
          <w:rFonts w:asciiTheme="minorHAnsi" w:hAnsiTheme="minorHAnsi" w:cstheme="minorHAnsi"/>
          <w:lang w:val="el-GR"/>
        </w:rPr>
        <w:t>Γενικός</w:t>
      </w:r>
      <w:r w:rsidRPr="001E182C">
        <w:rPr>
          <w:rFonts w:asciiTheme="minorHAnsi" w:hAnsiTheme="minorHAnsi" w:cstheme="minorHAnsi"/>
          <w:lang w:val="el-GR"/>
        </w:rPr>
        <w:t xml:space="preserve"> </w:t>
      </w:r>
      <w:r>
        <w:rPr>
          <w:rFonts w:asciiTheme="minorHAnsi" w:hAnsiTheme="minorHAnsi" w:cstheme="minorHAnsi"/>
          <w:lang w:val="el-GR"/>
        </w:rPr>
        <w:t>Ελεγκτής</w:t>
      </w:r>
      <w:r w:rsidRPr="001E182C">
        <w:rPr>
          <w:rFonts w:asciiTheme="minorHAnsi" w:hAnsiTheme="minorHAnsi" w:cstheme="minorHAnsi"/>
          <w:lang w:val="el-GR"/>
        </w:rPr>
        <w:t xml:space="preserve"> </w:t>
      </w:r>
      <w:r>
        <w:rPr>
          <w:rFonts w:asciiTheme="minorHAnsi" w:hAnsiTheme="minorHAnsi" w:cstheme="minorHAnsi"/>
          <w:lang w:val="el-GR"/>
        </w:rPr>
        <w:t>της</w:t>
      </w:r>
      <w:r w:rsidRPr="001E182C">
        <w:rPr>
          <w:rFonts w:asciiTheme="minorHAnsi" w:hAnsiTheme="minorHAnsi" w:cstheme="minorHAnsi"/>
          <w:lang w:val="el-GR"/>
        </w:rPr>
        <w:t xml:space="preserve"> </w:t>
      </w:r>
      <w:r>
        <w:rPr>
          <w:rFonts w:asciiTheme="minorHAnsi" w:hAnsiTheme="minorHAnsi" w:cstheme="minorHAnsi"/>
          <w:lang w:val="el-GR"/>
        </w:rPr>
        <w:t>Δημοκρατίας</w:t>
      </w:r>
      <w:r w:rsidRPr="001E182C">
        <w:rPr>
          <w:rFonts w:asciiTheme="minorHAnsi" w:hAnsiTheme="minorHAnsi" w:cstheme="minorHAnsi"/>
          <w:lang w:val="el-GR"/>
        </w:rPr>
        <w:t xml:space="preserve">, </w:t>
      </w:r>
      <w:r>
        <w:rPr>
          <w:rFonts w:asciiTheme="minorHAnsi" w:hAnsiTheme="minorHAnsi" w:cstheme="minorHAnsi"/>
          <w:lang w:val="el-GR"/>
        </w:rPr>
        <w:t>οι</w:t>
      </w:r>
      <w:r w:rsidRPr="001E182C">
        <w:rPr>
          <w:rFonts w:asciiTheme="minorHAnsi" w:hAnsiTheme="minorHAnsi" w:cstheme="minorHAnsi"/>
          <w:lang w:val="el-GR"/>
        </w:rPr>
        <w:t xml:space="preserve"> </w:t>
      </w:r>
      <w:proofErr w:type="spellStart"/>
      <w:r>
        <w:rPr>
          <w:rFonts w:asciiTheme="minorHAnsi" w:hAnsiTheme="minorHAnsi" w:cstheme="minorHAnsi"/>
          <w:lang w:val="el-GR"/>
        </w:rPr>
        <w:t>προέδροι</w:t>
      </w:r>
      <w:proofErr w:type="spellEnd"/>
      <w:r w:rsidRPr="001E182C">
        <w:rPr>
          <w:rFonts w:asciiTheme="minorHAnsi" w:hAnsiTheme="minorHAnsi" w:cstheme="minorHAnsi"/>
          <w:lang w:val="el-GR"/>
        </w:rPr>
        <w:t xml:space="preserve"> </w:t>
      </w:r>
      <w:r>
        <w:rPr>
          <w:rFonts w:asciiTheme="minorHAnsi" w:hAnsiTheme="minorHAnsi" w:cstheme="minorHAnsi"/>
          <w:lang w:val="el-GR"/>
        </w:rPr>
        <w:t>και</w:t>
      </w:r>
      <w:r w:rsidRPr="001E182C">
        <w:rPr>
          <w:rFonts w:asciiTheme="minorHAnsi" w:hAnsiTheme="minorHAnsi" w:cstheme="minorHAnsi"/>
          <w:lang w:val="el-GR"/>
        </w:rPr>
        <w:t xml:space="preserve"> </w:t>
      </w:r>
      <w:r>
        <w:rPr>
          <w:rFonts w:asciiTheme="minorHAnsi" w:hAnsiTheme="minorHAnsi" w:cstheme="minorHAnsi"/>
          <w:lang w:val="el-GR"/>
        </w:rPr>
        <w:t>μέλη</w:t>
      </w:r>
      <w:r w:rsidRPr="001E182C">
        <w:rPr>
          <w:rFonts w:asciiTheme="minorHAnsi" w:hAnsiTheme="minorHAnsi" w:cstheme="minorHAnsi"/>
          <w:lang w:val="el-GR"/>
        </w:rPr>
        <w:t xml:space="preserve"> </w:t>
      </w:r>
      <w:r>
        <w:rPr>
          <w:rFonts w:asciiTheme="minorHAnsi" w:hAnsiTheme="minorHAnsi" w:cstheme="minorHAnsi"/>
          <w:lang w:val="el-GR"/>
        </w:rPr>
        <w:t>των</w:t>
      </w:r>
      <w:r w:rsidRPr="001E182C">
        <w:rPr>
          <w:rFonts w:asciiTheme="minorHAnsi" w:hAnsiTheme="minorHAnsi" w:cstheme="minorHAnsi"/>
          <w:lang w:val="el-GR"/>
        </w:rPr>
        <w:t xml:space="preserve"> </w:t>
      </w:r>
      <w:r>
        <w:rPr>
          <w:rFonts w:asciiTheme="minorHAnsi" w:hAnsiTheme="minorHAnsi" w:cstheme="minorHAnsi"/>
          <w:lang w:val="el-GR"/>
        </w:rPr>
        <w:t>διοικητικών</w:t>
      </w:r>
      <w:r w:rsidRPr="001E182C">
        <w:rPr>
          <w:rFonts w:asciiTheme="minorHAnsi" w:hAnsiTheme="minorHAnsi" w:cstheme="minorHAnsi"/>
          <w:lang w:val="el-GR"/>
        </w:rPr>
        <w:t xml:space="preserve"> </w:t>
      </w:r>
      <w:r>
        <w:rPr>
          <w:rFonts w:asciiTheme="minorHAnsi" w:hAnsiTheme="minorHAnsi" w:cstheme="minorHAnsi"/>
          <w:lang w:val="el-GR"/>
        </w:rPr>
        <w:t>συμβουλίων</w:t>
      </w:r>
      <w:r w:rsidRPr="001E182C">
        <w:rPr>
          <w:rFonts w:asciiTheme="minorHAnsi" w:hAnsiTheme="minorHAnsi" w:cstheme="minorHAnsi"/>
          <w:lang w:val="el-GR"/>
        </w:rPr>
        <w:t xml:space="preserve"> </w:t>
      </w:r>
      <w:r>
        <w:rPr>
          <w:rFonts w:asciiTheme="minorHAnsi" w:hAnsiTheme="minorHAnsi" w:cstheme="minorHAnsi"/>
          <w:lang w:val="el-GR"/>
        </w:rPr>
        <w:t>των</w:t>
      </w:r>
      <w:r w:rsidRPr="001E182C">
        <w:rPr>
          <w:rFonts w:asciiTheme="minorHAnsi" w:hAnsiTheme="minorHAnsi" w:cstheme="minorHAnsi"/>
          <w:lang w:val="el-GR"/>
        </w:rPr>
        <w:t xml:space="preserve"> </w:t>
      </w:r>
      <w:r>
        <w:rPr>
          <w:rFonts w:asciiTheme="minorHAnsi" w:hAnsiTheme="minorHAnsi" w:cstheme="minorHAnsi"/>
          <w:lang w:val="el-GR"/>
        </w:rPr>
        <w:t>νομικών</w:t>
      </w:r>
      <w:r w:rsidRPr="001E182C">
        <w:rPr>
          <w:rFonts w:asciiTheme="minorHAnsi" w:hAnsiTheme="minorHAnsi" w:cstheme="minorHAnsi"/>
          <w:lang w:val="el-GR"/>
        </w:rPr>
        <w:t xml:space="preserve"> </w:t>
      </w:r>
      <w:r>
        <w:rPr>
          <w:rFonts w:asciiTheme="minorHAnsi" w:hAnsiTheme="minorHAnsi" w:cstheme="minorHAnsi"/>
          <w:lang w:val="el-GR"/>
        </w:rPr>
        <w:t>προσώπων δημοσίου δικαίου</w:t>
      </w:r>
      <w:r w:rsidRPr="001E182C">
        <w:rPr>
          <w:rFonts w:asciiTheme="minorHAnsi" w:hAnsiTheme="minorHAnsi" w:cstheme="minorHAnsi"/>
          <w:lang w:val="el-GR"/>
        </w:rPr>
        <w:t xml:space="preserve">, </w:t>
      </w:r>
      <w:r>
        <w:rPr>
          <w:rFonts w:asciiTheme="minorHAnsi" w:hAnsiTheme="minorHAnsi" w:cstheme="minorHAnsi"/>
          <w:lang w:val="el-GR"/>
        </w:rPr>
        <w:t xml:space="preserve">οι </w:t>
      </w:r>
      <w:proofErr w:type="spellStart"/>
      <w:r>
        <w:rPr>
          <w:rFonts w:asciiTheme="minorHAnsi" w:hAnsiTheme="minorHAnsi" w:cstheme="minorHAnsi"/>
          <w:lang w:val="el-GR"/>
        </w:rPr>
        <w:t>προέδροι</w:t>
      </w:r>
      <w:proofErr w:type="spellEnd"/>
      <w:r>
        <w:rPr>
          <w:rFonts w:asciiTheme="minorHAnsi" w:hAnsiTheme="minorHAnsi" w:cstheme="minorHAnsi"/>
          <w:lang w:val="el-GR"/>
        </w:rPr>
        <w:t xml:space="preserve"> και μέλη</w:t>
      </w:r>
      <w:r w:rsidRPr="001E182C">
        <w:rPr>
          <w:rFonts w:asciiTheme="minorHAnsi" w:hAnsiTheme="minorHAnsi" w:cstheme="minorHAnsi"/>
          <w:lang w:val="el-GR"/>
        </w:rPr>
        <w:t xml:space="preserve"> </w:t>
      </w:r>
      <w:r>
        <w:rPr>
          <w:rFonts w:asciiTheme="minorHAnsi" w:hAnsiTheme="minorHAnsi" w:cstheme="minorHAnsi"/>
          <w:lang w:val="el-GR"/>
        </w:rPr>
        <w:t>της Επιτροπής Προστασίας Ανταγωνισμού</w:t>
      </w:r>
      <w:r w:rsidRPr="001E182C">
        <w:rPr>
          <w:rFonts w:asciiTheme="minorHAnsi" w:hAnsiTheme="minorHAnsi" w:cstheme="minorHAnsi"/>
          <w:lang w:val="el-GR"/>
        </w:rPr>
        <w:t xml:space="preserve">, </w:t>
      </w:r>
      <w:r>
        <w:rPr>
          <w:rFonts w:asciiTheme="minorHAnsi" w:hAnsiTheme="minorHAnsi" w:cstheme="minorHAnsi"/>
          <w:lang w:val="el-GR"/>
        </w:rPr>
        <w:t xml:space="preserve">Επίτροπος Ρυθμίσεων Ηλεκτρονικών </w:t>
      </w:r>
      <w:proofErr w:type="spellStart"/>
      <w:r>
        <w:rPr>
          <w:rFonts w:asciiTheme="minorHAnsi" w:hAnsiTheme="minorHAnsi" w:cstheme="minorHAnsi"/>
          <w:lang w:val="el-GR"/>
        </w:rPr>
        <w:t>Επικοινωνίων</w:t>
      </w:r>
      <w:proofErr w:type="spellEnd"/>
      <w:r w:rsidRPr="001E182C">
        <w:rPr>
          <w:rFonts w:asciiTheme="minorHAnsi" w:hAnsiTheme="minorHAnsi" w:cstheme="minorHAnsi"/>
          <w:lang w:val="el-GR"/>
        </w:rPr>
        <w:t xml:space="preserve"> </w:t>
      </w:r>
      <w:r>
        <w:rPr>
          <w:rFonts w:asciiTheme="minorHAnsi" w:hAnsiTheme="minorHAnsi" w:cstheme="minorHAnsi"/>
          <w:lang w:val="el-GR"/>
        </w:rPr>
        <w:t>και Ταχυδρομείων</w:t>
      </w:r>
      <w:r w:rsidRPr="001E182C">
        <w:rPr>
          <w:rFonts w:asciiTheme="minorHAnsi" w:hAnsiTheme="minorHAnsi" w:cstheme="minorHAnsi"/>
          <w:lang w:val="el-GR"/>
        </w:rPr>
        <w:t xml:space="preserve">, </w:t>
      </w:r>
      <w:r>
        <w:rPr>
          <w:rFonts w:asciiTheme="minorHAnsi" w:hAnsiTheme="minorHAnsi" w:cstheme="minorHAnsi"/>
          <w:lang w:val="el-GR"/>
        </w:rPr>
        <w:t>ο πρόεδρος και μέλη της Ρυθμιστικής Αρχής Ενέργειας Κύπρου</w:t>
      </w:r>
      <w:r w:rsidRPr="001E182C">
        <w:rPr>
          <w:rFonts w:asciiTheme="minorHAnsi" w:hAnsiTheme="minorHAnsi" w:cstheme="minorHAnsi"/>
          <w:lang w:val="el-GR"/>
        </w:rPr>
        <w:t xml:space="preserve">, </w:t>
      </w:r>
      <w:r>
        <w:rPr>
          <w:rFonts w:asciiTheme="minorHAnsi" w:hAnsiTheme="minorHAnsi" w:cstheme="minorHAnsi"/>
          <w:lang w:val="el-GR"/>
        </w:rPr>
        <w:t>Επίτροπος Προστασίας Προσωπικών Δεδομένων</w:t>
      </w:r>
      <w:r w:rsidRPr="001E182C">
        <w:rPr>
          <w:rFonts w:asciiTheme="minorHAnsi" w:hAnsiTheme="minorHAnsi" w:cstheme="minorHAnsi"/>
          <w:lang w:val="el-GR"/>
        </w:rPr>
        <w:t xml:space="preserve">, </w:t>
      </w:r>
      <w:r>
        <w:rPr>
          <w:rFonts w:asciiTheme="minorHAnsi" w:hAnsiTheme="minorHAnsi" w:cstheme="minorHAnsi"/>
          <w:lang w:val="el-GR"/>
        </w:rPr>
        <w:t>Επίτροπος Αγροτικών Πληρωμών</w:t>
      </w:r>
      <w:r w:rsidRPr="001E182C">
        <w:rPr>
          <w:rFonts w:asciiTheme="minorHAnsi" w:hAnsiTheme="minorHAnsi" w:cstheme="minorHAnsi"/>
          <w:lang w:val="el-GR"/>
        </w:rPr>
        <w:t xml:space="preserve">, </w:t>
      </w:r>
      <w:r>
        <w:rPr>
          <w:rFonts w:asciiTheme="minorHAnsi" w:hAnsiTheme="minorHAnsi" w:cstheme="minorHAnsi"/>
          <w:lang w:val="el-GR"/>
        </w:rPr>
        <w:t>ο πρόεδρος και μέλη της Αναθεωρητικής Αρχής Προσφορών</w:t>
      </w:r>
      <w:r w:rsidRPr="001E182C">
        <w:rPr>
          <w:rFonts w:asciiTheme="minorHAnsi" w:hAnsiTheme="minorHAnsi" w:cstheme="minorHAnsi"/>
          <w:lang w:val="el-GR"/>
        </w:rPr>
        <w:t xml:space="preserve">, </w:t>
      </w:r>
      <w:r>
        <w:rPr>
          <w:rFonts w:asciiTheme="minorHAnsi" w:hAnsiTheme="minorHAnsi" w:cstheme="minorHAnsi"/>
          <w:lang w:val="el-GR"/>
        </w:rPr>
        <w:t>Επίτροπος Δικαιωμάτων του Παιδιού</w:t>
      </w:r>
      <w:r w:rsidRPr="001E182C">
        <w:rPr>
          <w:rFonts w:asciiTheme="minorHAnsi" w:hAnsiTheme="minorHAnsi" w:cstheme="minorHAnsi"/>
          <w:lang w:val="el-GR"/>
        </w:rPr>
        <w:t xml:space="preserve">. </w:t>
      </w:r>
      <w:r>
        <w:rPr>
          <w:rFonts w:asciiTheme="minorHAnsi" w:hAnsiTheme="minorHAnsi" w:cstheme="minorHAnsi"/>
          <w:lang w:val="el-GR"/>
        </w:rPr>
        <w:t>Οποιοσδήποτε</w:t>
      </w:r>
      <w:r w:rsidRPr="00F76A56">
        <w:rPr>
          <w:rFonts w:asciiTheme="minorHAnsi" w:hAnsiTheme="minorHAnsi" w:cstheme="minorHAnsi"/>
          <w:lang w:val="el-GR"/>
        </w:rPr>
        <w:t xml:space="preserve"> </w:t>
      </w:r>
      <w:r>
        <w:rPr>
          <w:rFonts w:asciiTheme="minorHAnsi" w:hAnsiTheme="minorHAnsi" w:cstheme="minorHAnsi"/>
          <w:lang w:val="el-GR"/>
        </w:rPr>
        <w:t>άλλος</w:t>
      </w:r>
      <w:r w:rsidRPr="00F76A56">
        <w:rPr>
          <w:rFonts w:asciiTheme="minorHAnsi" w:hAnsiTheme="minorHAnsi" w:cstheme="minorHAnsi"/>
          <w:lang w:val="el-GR"/>
        </w:rPr>
        <w:t xml:space="preserve"> </w:t>
      </w:r>
      <w:r>
        <w:rPr>
          <w:rFonts w:asciiTheme="minorHAnsi" w:hAnsiTheme="minorHAnsi" w:cstheme="minorHAnsi"/>
          <w:lang w:val="el-GR"/>
        </w:rPr>
        <w:t>Επίτροπος</w:t>
      </w:r>
      <w:r w:rsidRPr="00F76A56">
        <w:rPr>
          <w:rFonts w:asciiTheme="minorHAnsi" w:hAnsiTheme="minorHAnsi" w:cstheme="minorHAnsi"/>
          <w:lang w:val="el-GR"/>
        </w:rPr>
        <w:t xml:space="preserve"> </w:t>
      </w:r>
      <w:r>
        <w:rPr>
          <w:rFonts w:asciiTheme="minorHAnsi" w:hAnsiTheme="minorHAnsi" w:cstheme="minorHAnsi"/>
          <w:lang w:val="el-GR"/>
        </w:rPr>
        <w:t>ή</w:t>
      </w:r>
      <w:r w:rsidRPr="00F76A56">
        <w:rPr>
          <w:rFonts w:asciiTheme="minorHAnsi" w:hAnsiTheme="minorHAnsi" w:cstheme="minorHAnsi"/>
          <w:lang w:val="el-GR"/>
        </w:rPr>
        <w:t xml:space="preserve"> </w:t>
      </w:r>
      <w:r>
        <w:rPr>
          <w:rFonts w:asciiTheme="minorHAnsi" w:hAnsiTheme="minorHAnsi" w:cstheme="minorHAnsi"/>
          <w:lang w:val="el-GR"/>
        </w:rPr>
        <w:t>ρυθμιστής</w:t>
      </w:r>
      <w:r w:rsidRPr="00F76A56">
        <w:rPr>
          <w:rFonts w:asciiTheme="minorHAnsi" w:hAnsiTheme="minorHAnsi" w:cstheme="minorHAnsi"/>
          <w:lang w:val="el-GR"/>
        </w:rPr>
        <w:t xml:space="preserve"> </w:t>
      </w:r>
      <w:r>
        <w:rPr>
          <w:rFonts w:asciiTheme="minorHAnsi" w:hAnsiTheme="minorHAnsi" w:cstheme="minorHAnsi"/>
          <w:lang w:val="el-GR"/>
        </w:rPr>
        <w:t>ή</w:t>
      </w:r>
      <w:r w:rsidRPr="00F76A56">
        <w:rPr>
          <w:rFonts w:asciiTheme="minorHAnsi" w:hAnsiTheme="minorHAnsi" w:cstheme="minorHAnsi"/>
          <w:lang w:val="el-GR"/>
        </w:rPr>
        <w:t xml:space="preserve"> </w:t>
      </w:r>
      <w:r>
        <w:rPr>
          <w:rFonts w:asciiTheme="minorHAnsi" w:hAnsiTheme="minorHAnsi" w:cstheme="minorHAnsi"/>
          <w:lang w:val="el-GR"/>
        </w:rPr>
        <w:t>έφορος</w:t>
      </w:r>
      <w:r w:rsidRPr="00F76A56">
        <w:rPr>
          <w:rFonts w:asciiTheme="minorHAnsi" w:hAnsiTheme="minorHAnsi" w:cstheme="minorHAnsi"/>
          <w:lang w:val="el-GR"/>
        </w:rPr>
        <w:t xml:space="preserve"> </w:t>
      </w:r>
      <w:r>
        <w:rPr>
          <w:rFonts w:asciiTheme="minorHAnsi" w:hAnsiTheme="minorHAnsi" w:cstheme="minorHAnsi"/>
          <w:lang w:val="el-GR"/>
        </w:rPr>
        <w:t>που</w:t>
      </w:r>
      <w:r w:rsidRPr="00F76A56">
        <w:rPr>
          <w:rFonts w:asciiTheme="minorHAnsi" w:hAnsiTheme="minorHAnsi" w:cstheme="minorHAnsi"/>
          <w:lang w:val="el-GR"/>
        </w:rPr>
        <w:t xml:space="preserve"> </w:t>
      </w:r>
      <w:r>
        <w:rPr>
          <w:rFonts w:asciiTheme="minorHAnsi" w:hAnsiTheme="minorHAnsi" w:cstheme="minorHAnsi"/>
          <w:lang w:val="el-GR"/>
        </w:rPr>
        <w:t>δεν</w:t>
      </w:r>
      <w:r w:rsidRPr="00F76A56">
        <w:rPr>
          <w:rFonts w:asciiTheme="minorHAnsi" w:hAnsiTheme="minorHAnsi" w:cstheme="minorHAnsi"/>
          <w:lang w:val="el-GR"/>
        </w:rPr>
        <w:t xml:space="preserve"> </w:t>
      </w:r>
      <w:r>
        <w:rPr>
          <w:rFonts w:asciiTheme="minorHAnsi" w:hAnsiTheme="minorHAnsi" w:cstheme="minorHAnsi"/>
          <w:lang w:val="el-GR"/>
        </w:rPr>
        <w:t>είναι</w:t>
      </w:r>
      <w:r w:rsidRPr="00F76A56">
        <w:rPr>
          <w:rFonts w:asciiTheme="minorHAnsi" w:hAnsiTheme="minorHAnsi" w:cstheme="minorHAnsi"/>
          <w:lang w:val="el-GR"/>
        </w:rPr>
        <w:t xml:space="preserve"> </w:t>
      </w:r>
      <w:r>
        <w:rPr>
          <w:rFonts w:asciiTheme="minorHAnsi" w:hAnsiTheme="minorHAnsi" w:cstheme="minorHAnsi"/>
          <w:lang w:val="el-GR"/>
        </w:rPr>
        <w:t>δημόσιος</w:t>
      </w:r>
      <w:r w:rsidRPr="00F76A56">
        <w:rPr>
          <w:rFonts w:asciiTheme="minorHAnsi" w:hAnsiTheme="minorHAnsi" w:cstheme="minorHAnsi"/>
          <w:lang w:val="el-GR"/>
        </w:rPr>
        <w:t xml:space="preserve"> </w:t>
      </w:r>
      <w:r>
        <w:rPr>
          <w:rFonts w:asciiTheme="minorHAnsi" w:hAnsiTheme="minorHAnsi" w:cstheme="minorHAnsi"/>
          <w:lang w:val="el-GR"/>
        </w:rPr>
        <w:t>υπάλληλος</w:t>
      </w:r>
      <w:r w:rsidRPr="00F76A56">
        <w:rPr>
          <w:rFonts w:asciiTheme="minorHAnsi" w:hAnsiTheme="minorHAnsi" w:cstheme="minorHAnsi"/>
          <w:lang w:val="el-GR"/>
        </w:rPr>
        <w:t xml:space="preserve">, </w:t>
      </w:r>
      <w:r>
        <w:rPr>
          <w:rFonts w:asciiTheme="minorHAnsi" w:hAnsiTheme="minorHAnsi" w:cstheme="minorHAnsi"/>
          <w:lang w:val="el-GR"/>
        </w:rPr>
        <w:t>διορισμένος σύμφωνα με οποιοδήποτε γενικό ή ειδικό νόμο</w:t>
      </w:r>
      <w:r w:rsidRPr="00F76A56">
        <w:rPr>
          <w:rFonts w:asciiTheme="minorHAnsi" w:hAnsiTheme="minorHAnsi" w:cstheme="minorHAnsi"/>
          <w:lang w:val="el-GR"/>
        </w:rPr>
        <w:t>.</w:t>
      </w:r>
    </w:p>
  </w:footnote>
  <w:footnote w:id="50">
    <w:p w14:paraId="525B153F" w14:textId="3BE3C99B" w:rsidR="00071F64" w:rsidRPr="001D7414" w:rsidRDefault="00071F64" w:rsidP="00A5147D">
      <w:pPr>
        <w:tabs>
          <w:tab w:val="left" w:pos="709"/>
        </w:tabs>
        <w:rPr>
          <w:rFonts w:cstheme="minorHAnsi"/>
          <w:sz w:val="20"/>
          <w:szCs w:val="20"/>
          <w:lang w:val="el-GR"/>
        </w:rPr>
      </w:pPr>
      <w:r w:rsidRPr="00787E2C">
        <w:rPr>
          <w:rStyle w:val="FootnoteReference"/>
          <w:sz w:val="20"/>
          <w:szCs w:val="20"/>
        </w:rPr>
        <w:footnoteRef/>
      </w:r>
      <w:r w:rsidRPr="001D7414">
        <w:rPr>
          <w:sz w:val="20"/>
          <w:szCs w:val="20"/>
          <w:lang w:val="el-GR"/>
        </w:rPr>
        <w:t xml:space="preserve"> </w:t>
      </w:r>
      <w:r>
        <w:rPr>
          <w:sz w:val="20"/>
          <w:szCs w:val="20"/>
          <w:lang w:val="el-GR"/>
        </w:rPr>
        <w:t>Για</w:t>
      </w:r>
      <w:r w:rsidRPr="001D7414">
        <w:rPr>
          <w:sz w:val="20"/>
          <w:szCs w:val="20"/>
          <w:lang w:val="el-GR"/>
        </w:rPr>
        <w:t xml:space="preserve"> </w:t>
      </w:r>
      <w:r>
        <w:rPr>
          <w:sz w:val="20"/>
          <w:szCs w:val="20"/>
          <w:lang w:val="el-GR"/>
        </w:rPr>
        <w:t>τον</w:t>
      </w:r>
      <w:r w:rsidRPr="001D7414">
        <w:rPr>
          <w:sz w:val="20"/>
          <w:szCs w:val="20"/>
          <w:lang w:val="el-GR"/>
        </w:rPr>
        <w:t xml:space="preserve"> </w:t>
      </w:r>
      <w:r>
        <w:rPr>
          <w:sz w:val="20"/>
          <w:szCs w:val="20"/>
          <w:lang w:val="el-GR"/>
        </w:rPr>
        <w:t>σκοπό</w:t>
      </w:r>
      <w:r w:rsidRPr="001D7414">
        <w:rPr>
          <w:sz w:val="20"/>
          <w:szCs w:val="20"/>
          <w:lang w:val="el-GR"/>
        </w:rPr>
        <w:t xml:space="preserve"> </w:t>
      </w:r>
      <w:r>
        <w:rPr>
          <w:sz w:val="20"/>
          <w:szCs w:val="20"/>
          <w:lang w:val="el-GR"/>
        </w:rPr>
        <w:t>του</w:t>
      </w:r>
      <w:r w:rsidRPr="001D7414">
        <w:rPr>
          <w:sz w:val="20"/>
          <w:szCs w:val="20"/>
          <w:lang w:val="el-GR"/>
        </w:rPr>
        <w:t xml:space="preserve"> </w:t>
      </w:r>
      <w:r>
        <w:rPr>
          <w:sz w:val="20"/>
          <w:szCs w:val="20"/>
          <w:lang w:val="el-GR"/>
        </w:rPr>
        <w:t>Νόμου</w:t>
      </w:r>
      <w:r w:rsidRPr="001D7414">
        <w:rPr>
          <w:rFonts w:ascii="Calibri" w:eastAsia="Calibri" w:hAnsi="Calibri" w:cs="Calibri"/>
          <w:sz w:val="20"/>
          <w:szCs w:val="20"/>
          <w:lang w:val="el-GR"/>
        </w:rPr>
        <w:t>, "</w:t>
      </w:r>
      <w:r>
        <w:rPr>
          <w:rFonts w:ascii="Calibri" w:eastAsia="Calibri" w:hAnsi="Calibri" w:cs="Calibri"/>
          <w:sz w:val="20"/>
          <w:szCs w:val="20"/>
          <w:lang w:val="el-GR"/>
        </w:rPr>
        <w:t>αξιωματούχος</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σημαίνει</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οποιοδήποτε</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άτομο</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που</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αναλαμβάνει</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οποιοδήποτε</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αξίωμα</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ή</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θέση</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που</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προβλέπεται</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από</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ή</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καθιδρύεται δυνάμει του</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Συντάγματος</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ή</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οποιοδήποτε</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άλλου</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νόμος της Δημοκρατίας ο οποίος</w:t>
      </w:r>
      <w:r w:rsidRPr="001D7414">
        <w:rPr>
          <w:rFonts w:ascii="Calibri" w:eastAsia="Calibri" w:hAnsi="Calibri" w:cs="Calibri"/>
          <w:sz w:val="20"/>
          <w:szCs w:val="20"/>
          <w:lang w:val="el-GR"/>
        </w:rPr>
        <w:t>,</w:t>
      </w:r>
      <w:r>
        <w:rPr>
          <w:rFonts w:ascii="Calibri" w:eastAsia="Calibri" w:hAnsi="Calibri" w:cs="Calibri"/>
          <w:sz w:val="20"/>
          <w:szCs w:val="20"/>
          <w:lang w:val="el-GR"/>
        </w:rPr>
        <w:t xml:space="preserve"> ως εκ της θέσεως του,</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έχει την αρμοδιότητα</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να ξεκινήσει και/ή να διαμορφώνει το περιεχόμενο</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και</w:t>
      </w:r>
      <w:r w:rsidRPr="001D7414">
        <w:rPr>
          <w:rFonts w:ascii="Calibri" w:eastAsia="Calibri" w:hAnsi="Calibri" w:cs="Calibri"/>
          <w:sz w:val="20"/>
          <w:szCs w:val="20"/>
          <w:lang w:val="el-GR"/>
        </w:rPr>
        <w:t>/</w:t>
      </w:r>
      <w:r>
        <w:rPr>
          <w:rFonts w:ascii="Calibri" w:eastAsia="Calibri" w:hAnsi="Calibri" w:cs="Calibri"/>
          <w:sz w:val="20"/>
          <w:szCs w:val="20"/>
          <w:lang w:val="el-GR"/>
        </w:rPr>
        <w:t>ή</w:t>
      </w:r>
      <w:r w:rsidRPr="001D7414">
        <w:rPr>
          <w:rFonts w:ascii="Calibri" w:eastAsia="Calibri" w:hAnsi="Calibri" w:cs="Calibri"/>
          <w:sz w:val="20"/>
          <w:szCs w:val="20"/>
          <w:lang w:val="el-GR"/>
        </w:rPr>
        <w:t xml:space="preserve"> </w:t>
      </w:r>
      <w:r>
        <w:rPr>
          <w:rFonts w:ascii="Calibri" w:eastAsia="Calibri" w:hAnsi="Calibri" w:cs="Calibri"/>
          <w:sz w:val="20"/>
          <w:szCs w:val="20"/>
          <w:lang w:val="el-GR"/>
        </w:rPr>
        <w:t>να καθορίζει την τελική έκβαση της διαδικασίας λήψης δημοσίων αποφάσεων</w:t>
      </w:r>
      <w:r w:rsidRPr="001D7414">
        <w:rPr>
          <w:rFonts w:ascii="Calibri" w:eastAsia="Calibri" w:hAnsi="Calibri" w:cs="Calibri"/>
          <w:sz w:val="20"/>
          <w:szCs w:val="20"/>
          <w:lang w:val="el-GR"/>
        </w:rPr>
        <w:t xml:space="preserve">. </w:t>
      </w:r>
    </w:p>
    <w:p w14:paraId="0B4B00DC" w14:textId="77777777" w:rsidR="00071F64" w:rsidRPr="001D7414" w:rsidRDefault="00071F64" w:rsidP="00A5147D">
      <w:pPr>
        <w:pStyle w:val="FootnoteText"/>
        <w:rPr>
          <w:lang w:val="el-GR"/>
        </w:rPr>
      </w:pPr>
    </w:p>
  </w:footnote>
  <w:footnote w:id="51">
    <w:p w14:paraId="2250AD18" w14:textId="3FB8C6B3" w:rsidR="00071F64" w:rsidRPr="00164174" w:rsidRDefault="00071F64" w:rsidP="00F25F93">
      <w:pPr>
        <w:pStyle w:val="FootnoteText"/>
        <w:rPr>
          <w:rFonts w:asciiTheme="minorHAnsi" w:hAnsiTheme="minorHAnsi" w:cstheme="minorHAnsi"/>
          <w:lang w:val="el-GR"/>
        </w:rPr>
      </w:pPr>
      <w:r w:rsidRPr="00A90F70">
        <w:rPr>
          <w:rStyle w:val="FootnoteReference"/>
          <w:rFonts w:asciiTheme="minorHAnsi" w:hAnsiTheme="minorHAnsi" w:cstheme="minorHAnsi"/>
        </w:rPr>
        <w:footnoteRef/>
      </w:r>
      <w:r w:rsidRPr="00164174">
        <w:rPr>
          <w:rFonts w:asciiTheme="minorHAnsi" w:hAnsiTheme="minorHAnsi" w:cstheme="minorHAnsi"/>
          <w:lang w:val="el-GR"/>
        </w:rPr>
        <w:t xml:space="preserve"> </w:t>
      </w:r>
      <w:r>
        <w:rPr>
          <w:rFonts w:asciiTheme="minorHAnsi" w:hAnsiTheme="minorHAnsi" w:cstheme="minorHAnsi"/>
          <w:lang w:val="el-GR"/>
        </w:rPr>
        <w:t>Κώδικας</w:t>
      </w:r>
      <w:r w:rsidRPr="00164174">
        <w:rPr>
          <w:rFonts w:asciiTheme="minorHAnsi" w:hAnsiTheme="minorHAnsi" w:cstheme="minorHAnsi"/>
          <w:lang w:val="el-GR"/>
        </w:rPr>
        <w:t xml:space="preserve"> </w:t>
      </w:r>
      <w:r>
        <w:rPr>
          <w:rFonts w:asciiTheme="minorHAnsi" w:hAnsiTheme="minorHAnsi" w:cstheme="minorHAnsi"/>
          <w:lang w:val="el-GR"/>
        </w:rPr>
        <w:t>Συμπεριφοράς</w:t>
      </w:r>
      <w:r w:rsidRPr="00164174">
        <w:rPr>
          <w:rFonts w:asciiTheme="minorHAnsi" w:hAnsiTheme="minorHAnsi" w:cstheme="minorHAnsi"/>
          <w:lang w:val="el-GR"/>
        </w:rPr>
        <w:t xml:space="preserve"> </w:t>
      </w:r>
      <w:r>
        <w:rPr>
          <w:rFonts w:asciiTheme="minorHAnsi" w:hAnsiTheme="minorHAnsi" w:cstheme="minorHAnsi"/>
          <w:lang w:val="el-GR"/>
        </w:rPr>
        <w:t>για</w:t>
      </w:r>
      <w:r w:rsidRPr="00164174">
        <w:rPr>
          <w:rFonts w:asciiTheme="minorHAnsi" w:hAnsiTheme="minorHAnsi" w:cstheme="minorHAnsi"/>
          <w:lang w:val="el-GR"/>
        </w:rPr>
        <w:t xml:space="preserve"> </w:t>
      </w:r>
      <w:r>
        <w:rPr>
          <w:rFonts w:asciiTheme="minorHAnsi" w:hAnsiTheme="minorHAnsi" w:cstheme="minorHAnsi"/>
          <w:lang w:val="el-GR"/>
        </w:rPr>
        <w:t>τα</w:t>
      </w:r>
      <w:r w:rsidRPr="00164174">
        <w:rPr>
          <w:rFonts w:asciiTheme="minorHAnsi" w:hAnsiTheme="minorHAnsi" w:cstheme="minorHAnsi"/>
          <w:lang w:val="el-GR"/>
        </w:rPr>
        <w:t xml:space="preserve"> </w:t>
      </w:r>
      <w:r>
        <w:rPr>
          <w:rFonts w:asciiTheme="minorHAnsi" w:hAnsiTheme="minorHAnsi" w:cstheme="minorHAnsi"/>
          <w:lang w:val="el-GR"/>
        </w:rPr>
        <w:t>Μέλη</w:t>
      </w:r>
      <w:r w:rsidRPr="00164174">
        <w:rPr>
          <w:rFonts w:asciiTheme="minorHAnsi" w:hAnsiTheme="minorHAnsi" w:cstheme="minorHAnsi"/>
          <w:lang w:val="el-GR"/>
        </w:rPr>
        <w:t xml:space="preserve"> </w:t>
      </w:r>
      <w:r>
        <w:rPr>
          <w:rFonts w:asciiTheme="minorHAnsi" w:hAnsiTheme="minorHAnsi" w:cstheme="minorHAnsi"/>
          <w:lang w:val="el-GR"/>
        </w:rPr>
        <w:t>του</w:t>
      </w:r>
      <w:r w:rsidRPr="00164174">
        <w:rPr>
          <w:rFonts w:asciiTheme="minorHAnsi" w:hAnsiTheme="minorHAnsi" w:cstheme="minorHAnsi"/>
          <w:lang w:val="el-GR"/>
        </w:rPr>
        <w:t xml:space="preserve"> </w:t>
      </w:r>
      <w:r>
        <w:rPr>
          <w:rFonts w:asciiTheme="minorHAnsi" w:hAnsiTheme="minorHAnsi" w:cstheme="minorHAnsi"/>
          <w:lang w:val="el-GR"/>
        </w:rPr>
        <w:t>Ευρωπαϊκού</w:t>
      </w:r>
      <w:r w:rsidRPr="00164174">
        <w:rPr>
          <w:rFonts w:asciiTheme="minorHAnsi" w:hAnsiTheme="minorHAnsi" w:cstheme="minorHAnsi"/>
          <w:lang w:val="el-GR"/>
        </w:rPr>
        <w:t xml:space="preserve"> </w:t>
      </w:r>
      <w:r>
        <w:rPr>
          <w:rFonts w:asciiTheme="minorHAnsi" w:hAnsiTheme="minorHAnsi" w:cstheme="minorHAnsi"/>
          <w:lang w:val="el-GR"/>
        </w:rPr>
        <w:t>Κοινοβουλίου</w:t>
      </w:r>
      <w:r w:rsidRPr="00164174">
        <w:rPr>
          <w:rFonts w:asciiTheme="minorHAnsi" w:hAnsiTheme="minorHAnsi" w:cstheme="minorHAnsi"/>
          <w:lang w:val="el-GR"/>
        </w:rPr>
        <w:t xml:space="preserve"> </w:t>
      </w:r>
      <w:r>
        <w:rPr>
          <w:rFonts w:asciiTheme="minorHAnsi" w:hAnsiTheme="minorHAnsi" w:cstheme="minorHAnsi"/>
          <w:lang w:val="el-GR"/>
        </w:rPr>
        <w:t>σε</w:t>
      </w:r>
      <w:r w:rsidRPr="00164174">
        <w:rPr>
          <w:rFonts w:asciiTheme="minorHAnsi" w:hAnsiTheme="minorHAnsi" w:cstheme="minorHAnsi"/>
          <w:lang w:val="el-GR"/>
        </w:rPr>
        <w:t xml:space="preserve"> </w:t>
      </w:r>
      <w:r>
        <w:rPr>
          <w:rFonts w:asciiTheme="minorHAnsi" w:hAnsiTheme="minorHAnsi" w:cstheme="minorHAnsi"/>
          <w:lang w:val="el-GR"/>
        </w:rPr>
        <w:t>σχέση</w:t>
      </w:r>
      <w:r w:rsidRPr="00164174">
        <w:rPr>
          <w:rFonts w:asciiTheme="minorHAnsi" w:hAnsiTheme="minorHAnsi" w:cstheme="minorHAnsi"/>
          <w:lang w:val="el-GR"/>
        </w:rPr>
        <w:t xml:space="preserve"> </w:t>
      </w:r>
      <w:r>
        <w:rPr>
          <w:rFonts w:asciiTheme="minorHAnsi" w:hAnsiTheme="minorHAnsi" w:cstheme="minorHAnsi"/>
          <w:lang w:val="el-GR"/>
        </w:rPr>
        <w:t>με</w:t>
      </w:r>
      <w:r w:rsidRPr="00164174">
        <w:rPr>
          <w:rFonts w:asciiTheme="minorHAnsi" w:hAnsiTheme="minorHAnsi" w:cstheme="minorHAnsi"/>
          <w:lang w:val="el-GR"/>
        </w:rPr>
        <w:t xml:space="preserve"> </w:t>
      </w:r>
      <w:r>
        <w:rPr>
          <w:rFonts w:asciiTheme="minorHAnsi" w:hAnsiTheme="minorHAnsi" w:cstheme="minorHAnsi"/>
          <w:lang w:val="el-GR"/>
        </w:rPr>
        <w:t>οικονομικά</w:t>
      </w:r>
      <w:r w:rsidRPr="00164174">
        <w:rPr>
          <w:rFonts w:asciiTheme="minorHAnsi" w:hAnsiTheme="minorHAnsi" w:cstheme="minorHAnsi"/>
          <w:lang w:val="el-GR"/>
        </w:rPr>
        <w:t xml:space="preserve"> </w:t>
      </w:r>
      <w:r>
        <w:rPr>
          <w:rFonts w:asciiTheme="minorHAnsi" w:hAnsiTheme="minorHAnsi" w:cstheme="minorHAnsi"/>
          <w:lang w:val="el-GR"/>
        </w:rPr>
        <w:t>συμφέροντα</w:t>
      </w:r>
      <w:r w:rsidRPr="00164174">
        <w:rPr>
          <w:rFonts w:asciiTheme="minorHAnsi" w:hAnsiTheme="minorHAnsi" w:cstheme="minorHAnsi"/>
          <w:lang w:val="el-GR"/>
        </w:rPr>
        <w:t xml:space="preserve"> </w:t>
      </w:r>
      <w:r>
        <w:rPr>
          <w:rFonts w:asciiTheme="minorHAnsi" w:hAnsiTheme="minorHAnsi" w:cstheme="minorHAnsi"/>
          <w:lang w:val="el-GR"/>
        </w:rPr>
        <w:t>και</w:t>
      </w:r>
      <w:r w:rsidRPr="00164174">
        <w:rPr>
          <w:rFonts w:asciiTheme="minorHAnsi" w:hAnsiTheme="minorHAnsi" w:cstheme="minorHAnsi"/>
          <w:lang w:val="el-GR"/>
        </w:rPr>
        <w:t xml:space="preserve"> </w:t>
      </w:r>
      <w:r>
        <w:rPr>
          <w:rFonts w:asciiTheme="minorHAnsi" w:hAnsiTheme="minorHAnsi" w:cstheme="minorHAnsi"/>
          <w:lang w:val="el-GR"/>
        </w:rPr>
        <w:t>συγκρούσεις συμφερόντων</w:t>
      </w:r>
      <w:r w:rsidRPr="00164174">
        <w:rPr>
          <w:rFonts w:asciiTheme="minorHAnsi" w:hAnsiTheme="minorHAnsi" w:cstheme="minorHAnsi"/>
          <w:lang w:val="el-GR"/>
        </w:rPr>
        <w:t xml:space="preserve">, </w:t>
      </w:r>
      <w:r>
        <w:rPr>
          <w:rFonts w:asciiTheme="minorHAnsi" w:hAnsiTheme="minorHAnsi" w:cstheme="minorHAnsi"/>
          <w:lang w:val="el-GR"/>
        </w:rPr>
        <w:t>Άρθρο</w:t>
      </w:r>
      <w:r w:rsidRPr="00164174">
        <w:rPr>
          <w:rFonts w:asciiTheme="minorHAnsi" w:hAnsiTheme="minorHAnsi" w:cstheme="minorHAnsi"/>
          <w:lang w:val="el-GR"/>
        </w:rPr>
        <w:t xml:space="preserve"> 5 </w:t>
      </w:r>
      <w:r>
        <w:rPr>
          <w:rFonts w:asciiTheme="minorHAnsi" w:hAnsiTheme="minorHAnsi" w:cstheme="minorHAnsi"/>
          <w:lang w:val="el-GR"/>
        </w:rPr>
        <w:t xml:space="preserve">για δώρα ή παρόμοια </w:t>
      </w:r>
      <w:r>
        <w:rPr>
          <w:rFonts w:asciiTheme="minorHAnsi" w:hAnsiTheme="minorHAnsi" w:cstheme="minorHAnsi"/>
          <w:lang w:val="en-US"/>
        </w:rPr>
        <w:t>o</w:t>
      </w:r>
      <w:proofErr w:type="spellStart"/>
      <w:r>
        <w:rPr>
          <w:rFonts w:asciiTheme="minorHAnsi" w:hAnsiTheme="minorHAnsi" w:cstheme="minorHAnsi"/>
          <w:lang w:val="el-GR"/>
        </w:rPr>
        <w:t>φέλη</w:t>
      </w:r>
      <w:proofErr w:type="spellEnd"/>
      <w:r w:rsidRPr="00164174">
        <w:rPr>
          <w:rFonts w:asciiTheme="minorHAnsi" w:hAnsiTheme="minorHAnsi" w:cstheme="minorHAnsi"/>
          <w:lang w:val="el-GR"/>
        </w:rPr>
        <w:t xml:space="preserve">. </w:t>
      </w:r>
    </w:p>
  </w:footnote>
  <w:footnote w:id="52">
    <w:p w14:paraId="576CABC5" w14:textId="20DA30B4" w:rsidR="00071F64" w:rsidRPr="005541DE" w:rsidRDefault="00071F64" w:rsidP="00A5147D">
      <w:pPr>
        <w:pStyle w:val="FootnoteText"/>
        <w:rPr>
          <w:rFonts w:ascii="Calibri" w:hAnsi="Calibri" w:cs="Calibri"/>
          <w:color w:val="000000" w:themeColor="text1"/>
          <w:lang w:val="en-US"/>
        </w:rPr>
      </w:pPr>
      <w:r w:rsidRPr="004161BF">
        <w:rPr>
          <w:rStyle w:val="FootnoteReference"/>
          <w:rFonts w:ascii="Calibri" w:hAnsi="Calibri" w:cs="Calibri"/>
        </w:rPr>
        <w:footnoteRef/>
      </w:r>
      <w:r w:rsidRPr="005541DE">
        <w:rPr>
          <w:rFonts w:ascii="Calibri" w:hAnsi="Calibri" w:cs="Calibri"/>
          <w:lang w:val="el-GR"/>
        </w:rPr>
        <w:t xml:space="preserve"> </w:t>
      </w:r>
      <w:r>
        <w:rPr>
          <w:rFonts w:ascii="Calibri" w:hAnsi="Calibri" w:cs="Calibri"/>
          <w:lang w:val="el-GR"/>
        </w:rPr>
        <w:t>Ένας</w:t>
      </w:r>
      <w:r w:rsidRPr="005541DE">
        <w:rPr>
          <w:rFonts w:ascii="Calibri" w:hAnsi="Calibri" w:cs="Calibri"/>
          <w:lang w:val="el-GR"/>
        </w:rPr>
        <w:t xml:space="preserve"> </w:t>
      </w:r>
      <w:r>
        <w:rPr>
          <w:rFonts w:ascii="Calibri" w:hAnsi="Calibri" w:cs="Calibri"/>
          <w:lang w:val="el-GR"/>
        </w:rPr>
        <w:t>αριθμός</w:t>
      </w:r>
      <w:r w:rsidRPr="005541DE">
        <w:rPr>
          <w:rFonts w:ascii="Calibri" w:hAnsi="Calibri" w:cs="Calibri"/>
          <w:lang w:val="el-GR"/>
        </w:rPr>
        <w:t xml:space="preserve"> </w:t>
      </w:r>
      <w:r>
        <w:rPr>
          <w:rFonts w:ascii="Calibri" w:hAnsi="Calibri" w:cs="Calibri"/>
          <w:lang w:val="el-GR"/>
        </w:rPr>
        <w:t>αντιπαραθέσεων</w:t>
      </w:r>
      <w:r w:rsidRPr="005541DE">
        <w:rPr>
          <w:rFonts w:ascii="Calibri" w:hAnsi="Calibri" w:cs="Calibri"/>
          <w:lang w:val="el-GR"/>
        </w:rPr>
        <w:t xml:space="preserve"> </w:t>
      </w:r>
      <w:r>
        <w:rPr>
          <w:rFonts w:ascii="Calibri" w:hAnsi="Calibri" w:cs="Calibri"/>
          <w:lang w:val="el-GR"/>
        </w:rPr>
        <w:t>έχουν</w:t>
      </w:r>
      <w:r w:rsidRPr="005541DE">
        <w:rPr>
          <w:rFonts w:ascii="Calibri" w:hAnsi="Calibri" w:cs="Calibri"/>
          <w:lang w:val="el-GR"/>
        </w:rPr>
        <w:t xml:space="preserve"> </w:t>
      </w:r>
      <w:r>
        <w:rPr>
          <w:rFonts w:ascii="Calibri" w:hAnsi="Calibri" w:cs="Calibri"/>
          <w:lang w:val="el-GR"/>
        </w:rPr>
        <w:t>προκύψει</w:t>
      </w:r>
      <w:r w:rsidRPr="005541DE">
        <w:rPr>
          <w:rFonts w:ascii="Calibri" w:hAnsi="Calibri" w:cs="Calibri"/>
          <w:lang w:val="el-GR"/>
        </w:rPr>
        <w:t xml:space="preserve"> </w:t>
      </w:r>
      <w:r>
        <w:rPr>
          <w:rFonts w:ascii="Calibri" w:hAnsi="Calibri" w:cs="Calibri"/>
          <w:lang w:val="el-GR"/>
        </w:rPr>
        <w:t>σε</w:t>
      </w:r>
      <w:r w:rsidRPr="005541DE">
        <w:rPr>
          <w:rFonts w:ascii="Calibri" w:hAnsi="Calibri" w:cs="Calibri"/>
          <w:lang w:val="el-GR"/>
        </w:rPr>
        <w:t xml:space="preserve"> </w:t>
      </w:r>
      <w:r>
        <w:rPr>
          <w:rFonts w:ascii="Calibri" w:hAnsi="Calibri" w:cs="Calibri"/>
          <w:lang w:val="el-GR"/>
        </w:rPr>
        <w:t>σχέση</w:t>
      </w:r>
      <w:r w:rsidRPr="005541DE">
        <w:rPr>
          <w:rFonts w:ascii="Calibri" w:hAnsi="Calibri" w:cs="Calibri"/>
          <w:lang w:val="el-GR"/>
        </w:rPr>
        <w:t xml:space="preserve"> </w:t>
      </w:r>
      <w:r>
        <w:rPr>
          <w:rFonts w:ascii="Calibri" w:hAnsi="Calibri" w:cs="Calibri"/>
          <w:lang w:val="el-GR"/>
        </w:rPr>
        <w:t>με</w:t>
      </w:r>
      <w:r w:rsidRPr="005541DE">
        <w:rPr>
          <w:rFonts w:ascii="Calibri" w:hAnsi="Calibri" w:cs="Calibri"/>
          <w:lang w:val="el-GR"/>
        </w:rPr>
        <w:t xml:space="preserve"> </w:t>
      </w:r>
      <w:r>
        <w:rPr>
          <w:rFonts w:ascii="Calibri" w:hAnsi="Calibri" w:cs="Calibri"/>
          <w:lang w:val="el-GR"/>
        </w:rPr>
        <w:t>ορισμένα</w:t>
      </w:r>
      <w:r w:rsidRPr="005541DE">
        <w:rPr>
          <w:rFonts w:ascii="Calibri" w:hAnsi="Calibri" w:cs="Calibri"/>
          <w:lang w:val="el-GR"/>
        </w:rPr>
        <w:t xml:space="preserve"> </w:t>
      </w:r>
      <w:r>
        <w:rPr>
          <w:rFonts w:ascii="Calibri" w:hAnsi="Calibri" w:cs="Calibri"/>
          <w:lang w:val="el-GR"/>
        </w:rPr>
        <w:t>δώρα</w:t>
      </w:r>
      <w:r w:rsidRPr="005541DE">
        <w:rPr>
          <w:rFonts w:ascii="Calibri" w:hAnsi="Calibri" w:cs="Calibri"/>
          <w:lang w:val="el-GR"/>
        </w:rPr>
        <w:t xml:space="preserve"> </w:t>
      </w:r>
      <w:r>
        <w:rPr>
          <w:rFonts w:ascii="Calibri" w:hAnsi="Calibri" w:cs="Calibri"/>
          <w:lang w:val="el-GR"/>
        </w:rPr>
        <w:t>αποδεχόμενα</w:t>
      </w:r>
      <w:r w:rsidRPr="005541DE">
        <w:rPr>
          <w:rFonts w:ascii="Calibri" w:hAnsi="Calibri" w:cs="Calibri"/>
          <w:lang w:val="el-GR"/>
        </w:rPr>
        <w:t xml:space="preserve"> </w:t>
      </w:r>
      <w:r>
        <w:rPr>
          <w:rFonts w:ascii="Calibri" w:hAnsi="Calibri" w:cs="Calibri"/>
          <w:lang w:val="el-GR"/>
        </w:rPr>
        <w:t>από</w:t>
      </w:r>
      <w:r w:rsidRPr="005541DE">
        <w:rPr>
          <w:rFonts w:ascii="Calibri" w:hAnsi="Calibri" w:cs="Calibri"/>
          <w:lang w:val="el-GR"/>
        </w:rPr>
        <w:t xml:space="preserve"> </w:t>
      </w:r>
      <w:r>
        <w:rPr>
          <w:rFonts w:ascii="Calibri" w:hAnsi="Calibri" w:cs="Calibri"/>
          <w:lang w:val="el-GR"/>
        </w:rPr>
        <w:t>τον</w:t>
      </w:r>
      <w:r w:rsidRPr="005541DE">
        <w:rPr>
          <w:rFonts w:ascii="Calibri" w:hAnsi="Calibri" w:cs="Calibri"/>
          <w:lang w:val="el-GR"/>
        </w:rPr>
        <w:t xml:space="preserve"> </w:t>
      </w:r>
      <w:r>
        <w:rPr>
          <w:rFonts w:ascii="Calibri" w:hAnsi="Calibri" w:cs="Calibri"/>
          <w:lang w:val="el-GR"/>
        </w:rPr>
        <w:t>πρώην</w:t>
      </w:r>
      <w:r w:rsidRPr="005541DE">
        <w:rPr>
          <w:rFonts w:ascii="Calibri" w:hAnsi="Calibri" w:cs="Calibri"/>
          <w:lang w:val="el-GR"/>
        </w:rPr>
        <w:t xml:space="preserve"> </w:t>
      </w:r>
      <w:r>
        <w:rPr>
          <w:rFonts w:ascii="Calibri" w:hAnsi="Calibri" w:cs="Calibri"/>
          <w:lang w:val="el-GR"/>
        </w:rPr>
        <w:t>Προέδρο</w:t>
      </w:r>
      <w:r w:rsidRPr="005541DE">
        <w:rPr>
          <w:rFonts w:ascii="Calibri" w:hAnsi="Calibri" w:cs="Calibri"/>
          <w:lang w:val="el-GR"/>
        </w:rPr>
        <w:t xml:space="preserve">, </w:t>
      </w:r>
      <w:r>
        <w:rPr>
          <w:rFonts w:ascii="Calibri" w:hAnsi="Calibri" w:cs="Calibri"/>
          <w:lang w:val="el-GR"/>
        </w:rPr>
        <w:t>π</w:t>
      </w:r>
      <w:r w:rsidRPr="005541DE">
        <w:rPr>
          <w:rFonts w:ascii="Calibri" w:hAnsi="Calibri" w:cs="Calibri"/>
          <w:lang w:val="el-GR"/>
        </w:rPr>
        <w:t>.</w:t>
      </w:r>
      <w:r>
        <w:rPr>
          <w:rFonts w:ascii="Calibri" w:hAnsi="Calibri" w:cs="Calibri"/>
          <w:lang w:val="el-GR"/>
        </w:rPr>
        <w:t>χ</w:t>
      </w:r>
      <w:r w:rsidRPr="005541DE">
        <w:rPr>
          <w:rFonts w:ascii="Calibri" w:hAnsi="Calibri" w:cs="Calibri"/>
          <w:lang w:val="el-GR"/>
        </w:rPr>
        <w:t xml:space="preserve">. </w:t>
      </w:r>
      <w:r>
        <w:rPr>
          <w:rFonts w:ascii="Calibri" w:hAnsi="Calibri" w:cs="Calibri"/>
          <w:lang w:val="el-GR"/>
        </w:rPr>
        <w:t>αεροπορικά</w:t>
      </w:r>
      <w:r w:rsidRPr="005541DE">
        <w:rPr>
          <w:rFonts w:ascii="Calibri" w:hAnsi="Calibri" w:cs="Calibri"/>
          <w:lang w:val="el-GR"/>
        </w:rPr>
        <w:t xml:space="preserve"> </w:t>
      </w:r>
      <w:r>
        <w:rPr>
          <w:rFonts w:ascii="Calibri" w:hAnsi="Calibri" w:cs="Calibri"/>
          <w:lang w:val="el-GR"/>
        </w:rPr>
        <w:t>ταξίδια</w:t>
      </w:r>
      <w:r w:rsidRPr="005541DE">
        <w:rPr>
          <w:rFonts w:ascii="Calibri" w:hAnsi="Calibri" w:cs="Calibri"/>
          <w:lang w:val="el-GR"/>
        </w:rPr>
        <w:t xml:space="preserve"> </w:t>
      </w:r>
      <w:r>
        <w:rPr>
          <w:rFonts w:ascii="Calibri" w:hAnsi="Calibri" w:cs="Calibri"/>
          <w:lang w:val="el-GR"/>
        </w:rPr>
        <w:t>που</w:t>
      </w:r>
      <w:r w:rsidRPr="005541DE">
        <w:rPr>
          <w:rFonts w:ascii="Calibri" w:hAnsi="Calibri" w:cs="Calibri"/>
          <w:lang w:val="el-GR"/>
        </w:rPr>
        <w:t xml:space="preserve"> </w:t>
      </w:r>
      <w:r>
        <w:rPr>
          <w:rFonts w:ascii="Calibri" w:hAnsi="Calibri" w:cs="Calibri"/>
          <w:lang w:val="el-GR"/>
        </w:rPr>
        <w:t>ανέλαβε</w:t>
      </w:r>
      <w:r w:rsidRPr="005541DE">
        <w:rPr>
          <w:rFonts w:ascii="Calibri" w:hAnsi="Calibri" w:cs="Calibri"/>
          <w:lang w:val="el-GR"/>
        </w:rPr>
        <w:t xml:space="preserve"> </w:t>
      </w:r>
      <w:r>
        <w:rPr>
          <w:rFonts w:ascii="Calibri" w:hAnsi="Calibri" w:cs="Calibri"/>
          <w:lang w:val="el-GR"/>
        </w:rPr>
        <w:t>ο</w:t>
      </w:r>
      <w:r w:rsidRPr="005541DE">
        <w:rPr>
          <w:rFonts w:ascii="Calibri" w:hAnsi="Calibri" w:cs="Calibri"/>
          <w:lang w:val="el-GR"/>
        </w:rPr>
        <w:t xml:space="preserve"> </w:t>
      </w:r>
      <w:r>
        <w:rPr>
          <w:rFonts w:ascii="Calibri" w:hAnsi="Calibri" w:cs="Calibri"/>
          <w:lang w:val="el-GR"/>
        </w:rPr>
        <w:t>πρώην</w:t>
      </w:r>
      <w:r w:rsidRPr="005541DE">
        <w:rPr>
          <w:rFonts w:ascii="Calibri" w:hAnsi="Calibri" w:cs="Calibri"/>
          <w:lang w:val="el-GR"/>
        </w:rPr>
        <w:t xml:space="preserve"> </w:t>
      </w:r>
      <w:r>
        <w:rPr>
          <w:rFonts w:ascii="Calibri" w:hAnsi="Calibri" w:cs="Calibri"/>
          <w:lang w:val="el-GR"/>
        </w:rPr>
        <w:t>Πρόεδρος</w:t>
      </w:r>
      <w:r w:rsidRPr="005541DE">
        <w:rPr>
          <w:rFonts w:ascii="Calibri" w:hAnsi="Calibri" w:cs="Calibri"/>
          <w:lang w:val="el-GR"/>
        </w:rPr>
        <w:t xml:space="preserve">, </w:t>
      </w:r>
      <w:r>
        <w:rPr>
          <w:rFonts w:ascii="Calibri" w:hAnsi="Calibri" w:cs="Calibri"/>
          <w:lang w:val="el-GR"/>
        </w:rPr>
        <w:t>που αφορούσαν</w:t>
      </w:r>
      <w:r w:rsidRPr="005541DE">
        <w:rPr>
          <w:rFonts w:ascii="Calibri" w:hAnsi="Calibri" w:cs="Calibri"/>
          <w:lang w:val="el-GR"/>
        </w:rPr>
        <w:t xml:space="preserve"> </w:t>
      </w:r>
      <w:r>
        <w:rPr>
          <w:rFonts w:ascii="Calibri" w:hAnsi="Calibri" w:cs="Calibri"/>
          <w:lang w:val="el-GR"/>
        </w:rPr>
        <w:t>αρκετές ναυλωμένες πτήσεις</w:t>
      </w:r>
      <w:r w:rsidRPr="005541DE">
        <w:rPr>
          <w:rFonts w:ascii="Calibri" w:hAnsi="Calibri" w:cs="Calibri"/>
          <w:lang w:val="el-GR"/>
        </w:rPr>
        <w:t xml:space="preserve"> </w:t>
      </w:r>
      <w:r>
        <w:rPr>
          <w:rFonts w:ascii="Calibri" w:hAnsi="Calibri" w:cs="Calibri"/>
          <w:lang w:val="el-GR"/>
        </w:rPr>
        <w:t>οργανωμένες από ένα Κύπριο</w:t>
      </w:r>
      <w:r w:rsidRPr="005541DE">
        <w:rPr>
          <w:rFonts w:ascii="Calibri" w:hAnsi="Calibri" w:cs="Calibri"/>
          <w:lang w:val="el-GR"/>
        </w:rPr>
        <w:t xml:space="preserve"> </w:t>
      </w:r>
      <w:r>
        <w:rPr>
          <w:rFonts w:ascii="Calibri" w:hAnsi="Calibri" w:cs="Calibri"/>
          <w:lang w:val="el-GR"/>
        </w:rPr>
        <w:t>πολίτη</w:t>
      </w:r>
      <w:r w:rsidRPr="005541DE">
        <w:rPr>
          <w:rFonts w:ascii="Calibri" w:hAnsi="Calibri" w:cs="Calibri"/>
          <w:lang w:val="el-GR"/>
        </w:rPr>
        <w:t xml:space="preserve"> </w:t>
      </w:r>
      <w:r>
        <w:rPr>
          <w:rFonts w:ascii="Calibri" w:hAnsi="Calibri" w:cs="Calibri"/>
          <w:lang w:val="el-GR"/>
        </w:rPr>
        <w:t>που ζει στο εξωτερικό</w:t>
      </w:r>
      <w:r w:rsidRPr="005541DE">
        <w:rPr>
          <w:rFonts w:ascii="Calibri" w:hAnsi="Calibri" w:cs="Calibri"/>
          <w:lang w:val="el-GR"/>
        </w:rPr>
        <w:t xml:space="preserve"> </w:t>
      </w:r>
      <w:r>
        <w:rPr>
          <w:rFonts w:ascii="Calibri" w:hAnsi="Calibri" w:cs="Calibri"/>
          <w:lang w:val="el-GR"/>
        </w:rPr>
        <w:t>που συνεχίστηκαν από τους διαδόχους του μετά τον θάνατο του</w:t>
      </w:r>
      <w:r w:rsidRPr="005541DE">
        <w:rPr>
          <w:rFonts w:ascii="Calibri" w:hAnsi="Calibri" w:cs="Calibri"/>
          <w:lang w:val="el-GR"/>
        </w:rPr>
        <w:t xml:space="preserve">. </w:t>
      </w:r>
      <w:r>
        <w:rPr>
          <w:rFonts w:ascii="Calibri" w:hAnsi="Calibri" w:cs="Calibri"/>
          <w:lang w:val="el-GR"/>
        </w:rPr>
        <w:t>Μια</w:t>
      </w:r>
      <w:r w:rsidRPr="005541DE">
        <w:rPr>
          <w:rFonts w:ascii="Calibri" w:hAnsi="Calibri" w:cs="Calibri"/>
          <w:lang w:val="el-GR"/>
        </w:rPr>
        <w:t xml:space="preserve"> </w:t>
      </w:r>
      <w:r>
        <w:rPr>
          <w:rFonts w:ascii="Calibri" w:hAnsi="Calibri" w:cs="Calibri"/>
          <w:lang w:val="el-GR"/>
        </w:rPr>
        <w:t>άλλη</w:t>
      </w:r>
      <w:r w:rsidRPr="005541DE">
        <w:rPr>
          <w:rFonts w:ascii="Calibri" w:hAnsi="Calibri" w:cs="Calibri"/>
          <w:lang w:val="el-GR"/>
        </w:rPr>
        <w:t xml:space="preserve"> </w:t>
      </w:r>
      <w:r>
        <w:rPr>
          <w:rFonts w:ascii="Calibri" w:hAnsi="Calibri" w:cs="Calibri"/>
          <w:lang w:val="el-GR"/>
        </w:rPr>
        <w:t>σχετιζόταν</w:t>
      </w:r>
      <w:r w:rsidRPr="005541DE">
        <w:rPr>
          <w:rFonts w:ascii="Calibri" w:hAnsi="Calibri" w:cs="Calibri"/>
          <w:lang w:val="el-GR"/>
        </w:rPr>
        <w:t xml:space="preserve"> </w:t>
      </w:r>
      <w:r>
        <w:rPr>
          <w:rFonts w:ascii="Calibri" w:hAnsi="Calibri" w:cs="Calibri"/>
          <w:lang w:val="el-GR"/>
        </w:rPr>
        <w:t>με</w:t>
      </w:r>
      <w:r w:rsidRPr="005541DE">
        <w:rPr>
          <w:rFonts w:ascii="Calibri" w:hAnsi="Calibri" w:cs="Calibri"/>
          <w:lang w:val="el-GR"/>
        </w:rPr>
        <w:t xml:space="preserve"> </w:t>
      </w:r>
      <w:r>
        <w:rPr>
          <w:rFonts w:ascii="Calibri" w:hAnsi="Calibri" w:cs="Calibri"/>
          <w:lang w:val="el-GR"/>
        </w:rPr>
        <w:t>το</w:t>
      </w:r>
      <w:r w:rsidRPr="005541DE">
        <w:rPr>
          <w:rFonts w:ascii="Calibri" w:hAnsi="Calibri" w:cs="Calibri"/>
          <w:lang w:val="el-GR"/>
        </w:rPr>
        <w:t xml:space="preserve"> </w:t>
      </w:r>
      <w:r>
        <w:rPr>
          <w:rFonts w:ascii="Calibri" w:hAnsi="Calibri" w:cs="Calibri"/>
          <w:lang w:val="el-GR"/>
        </w:rPr>
        <w:t>ιδιωτικό</w:t>
      </w:r>
      <w:r w:rsidRPr="005541DE">
        <w:rPr>
          <w:rFonts w:ascii="Calibri" w:hAnsi="Calibri" w:cs="Calibri"/>
          <w:lang w:val="el-GR"/>
        </w:rPr>
        <w:t xml:space="preserve"> </w:t>
      </w:r>
      <w:r>
        <w:rPr>
          <w:rFonts w:ascii="Calibri" w:hAnsi="Calibri" w:cs="Calibri"/>
          <w:lang w:val="el-GR"/>
        </w:rPr>
        <w:t>αεροπορικό</w:t>
      </w:r>
      <w:r w:rsidRPr="005541DE">
        <w:rPr>
          <w:rFonts w:ascii="Calibri" w:hAnsi="Calibri" w:cs="Calibri"/>
          <w:lang w:val="el-GR"/>
        </w:rPr>
        <w:t xml:space="preserve"> </w:t>
      </w:r>
      <w:r>
        <w:rPr>
          <w:rFonts w:ascii="Calibri" w:hAnsi="Calibri" w:cs="Calibri"/>
          <w:lang w:val="el-GR"/>
        </w:rPr>
        <w:t>ταξίδι</w:t>
      </w:r>
      <w:r w:rsidRPr="005541DE">
        <w:rPr>
          <w:rFonts w:ascii="Calibri" w:hAnsi="Calibri" w:cs="Calibri"/>
          <w:lang w:val="el-GR"/>
        </w:rPr>
        <w:t xml:space="preserve"> </w:t>
      </w:r>
      <w:r>
        <w:rPr>
          <w:rFonts w:ascii="Calibri" w:hAnsi="Calibri" w:cs="Calibri"/>
          <w:lang w:val="el-GR"/>
        </w:rPr>
        <w:t>του</w:t>
      </w:r>
      <w:r w:rsidRPr="005541DE">
        <w:rPr>
          <w:rFonts w:ascii="Calibri" w:hAnsi="Calibri" w:cs="Calibri"/>
          <w:lang w:val="el-GR"/>
        </w:rPr>
        <w:t xml:space="preserve"> </w:t>
      </w:r>
      <w:r>
        <w:rPr>
          <w:rFonts w:ascii="Calibri" w:hAnsi="Calibri" w:cs="Calibri"/>
          <w:lang w:val="el-GR"/>
        </w:rPr>
        <w:t>πρώην</w:t>
      </w:r>
      <w:r w:rsidRPr="005541DE">
        <w:rPr>
          <w:rFonts w:ascii="Calibri" w:hAnsi="Calibri" w:cs="Calibri"/>
          <w:lang w:val="el-GR"/>
        </w:rPr>
        <w:t xml:space="preserve"> </w:t>
      </w:r>
      <w:r>
        <w:rPr>
          <w:rFonts w:ascii="Calibri" w:hAnsi="Calibri" w:cs="Calibri"/>
          <w:lang w:val="el-GR"/>
        </w:rPr>
        <w:t>Προέδρου</w:t>
      </w:r>
      <w:r w:rsidRPr="005541DE">
        <w:rPr>
          <w:rFonts w:ascii="Calibri" w:hAnsi="Calibri" w:cs="Calibri"/>
          <w:lang w:val="el-GR"/>
        </w:rPr>
        <w:t xml:space="preserve"> </w:t>
      </w:r>
      <w:r>
        <w:rPr>
          <w:rFonts w:ascii="Calibri" w:hAnsi="Calibri" w:cs="Calibri"/>
          <w:lang w:val="el-GR"/>
        </w:rPr>
        <w:t>το</w:t>
      </w:r>
      <w:r w:rsidRPr="005541DE">
        <w:rPr>
          <w:rFonts w:ascii="Calibri" w:hAnsi="Calibri" w:cs="Calibri"/>
          <w:lang w:val="el-GR"/>
        </w:rPr>
        <w:t xml:space="preserve"> 2018 </w:t>
      </w:r>
      <w:r>
        <w:rPr>
          <w:rFonts w:ascii="Calibri" w:hAnsi="Calibri" w:cs="Calibri"/>
          <w:lang w:val="el-GR"/>
        </w:rPr>
        <w:t>στις Σεϋχέλλες</w:t>
      </w:r>
      <w:r w:rsidRPr="005541DE">
        <w:rPr>
          <w:rFonts w:ascii="Calibri" w:hAnsi="Calibri" w:cs="Calibri"/>
          <w:lang w:val="el-GR"/>
        </w:rPr>
        <w:t xml:space="preserve"> </w:t>
      </w:r>
      <w:r>
        <w:rPr>
          <w:rFonts w:ascii="Calibri" w:hAnsi="Calibri" w:cs="Calibri"/>
          <w:lang w:val="el-GR"/>
        </w:rPr>
        <w:t>για τις οικογενειακές διακοπές του</w:t>
      </w:r>
      <w:r w:rsidRPr="005541DE">
        <w:rPr>
          <w:rFonts w:ascii="Calibri" w:hAnsi="Calibri" w:cs="Calibri"/>
          <w:lang w:val="el-GR"/>
        </w:rPr>
        <w:t xml:space="preserve">. </w:t>
      </w:r>
      <w:r>
        <w:rPr>
          <w:rFonts w:ascii="Calibri" w:hAnsi="Calibri" w:cs="Calibri"/>
          <w:lang w:val="el-GR"/>
        </w:rPr>
        <w:t>Βλέπε</w:t>
      </w:r>
      <w:r w:rsidRPr="005541DE">
        <w:rPr>
          <w:rFonts w:ascii="Calibri" w:hAnsi="Calibri" w:cs="Calibri"/>
          <w:lang w:val="el-GR"/>
        </w:rPr>
        <w:t xml:space="preserve"> </w:t>
      </w:r>
      <w:r>
        <w:rPr>
          <w:rFonts w:ascii="Calibri" w:hAnsi="Calibri" w:cs="Calibri"/>
          <w:lang w:val="el-GR"/>
        </w:rPr>
        <w:t>επίσης</w:t>
      </w:r>
      <w:r w:rsidRPr="005541DE">
        <w:rPr>
          <w:rFonts w:ascii="Calibri" w:hAnsi="Calibri" w:cs="Calibri"/>
          <w:lang w:val="el-GR"/>
        </w:rPr>
        <w:t xml:space="preserve"> </w:t>
      </w:r>
      <w:r>
        <w:rPr>
          <w:rFonts w:ascii="Calibri" w:hAnsi="Calibri" w:cs="Calibri"/>
          <w:color w:val="000000" w:themeColor="text1"/>
          <w:lang w:val="el-GR"/>
        </w:rPr>
        <w:t xml:space="preserve">την Ειδική Έκθεση της Ελεγκτικής Υπηρεσίας της Δημοκρατίας για τα Αεροπορικά Ταξίδια του Προέδρου της Δημοκρατίας (2020). </w:t>
      </w:r>
      <w:r w:rsidR="00000000">
        <w:fldChar w:fldCharType="begin"/>
      </w:r>
      <w:r w:rsidR="00000000">
        <w:instrText>HYPERLINK</w:instrText>
      </w:r>
      <w:r w:rsidR="00000000" w:rsidRPr="00522AD3">
        <w:rPr>
          <w:lang w:val="el-GR"/>
        </w:rPr>
        <w:instrText xml:space="preserve"> "</w:instrText>
      </w:r>
      <w:r w:rsidR="00000000">
        <w:instrText>http</w:instrText>
      </w:r>
      <w:r w:rsidR="00000000" w:rsidRPr="00522AD3">
        <w:rPr>
          <w:lang w:val="el-GR"/>
        </w:rPr>
        <w:instrText>://</w:instrText>
      </w:r>
      <w:r w:rsidR="00000000">
        <w:instrText>www</w:instrText>
      </w:r>
      <w:r w:rsidR="00000000" w:rsidRPr="00522AD3">
        <w:rPr>
          <w:lang w:val="el-GR"/>
        </w:rPr>
        <w:instrText>.</w:instrText>
      </w:r>
      <w:r w:rsidR="00000000">
        <w:instrText>audit</w:instrText>
      </w:r>
      <w:r w:rsidR="00000000" w:rsidRPr="00522AD3">
        <w:rPr>
          <w:lang w:val="el-GR"/>
        </w:rPr>
        <w:instrText>.</w:instrText>
      </w:r>
      <w:r w:rsidR="00000000">
        <w:instrText>gov</w:instrText>
      </w:r>
      <w:r w:rsidR="00000000" w:rsidRPr="00522AD3">
        <w:rPr>
          <w:lang w:val="el-GR"/>
        </w:rPr>
        <w:instrText>.</w:instrText>
      </w:r>
      <w:r w:rsidR="00000000">
        <w:instrText>cy</w:instrText>
      </w:r>
      <w:r w:rsidR="00000000" w:rsidRPr="00522AD3">
        <w:rPr>
          <w:lang w:val="el-GR"/>
        </w:rPr>
        <w:instrText>/</w:instrText>
      </w:r>
      <w:r w:rsidR="00000000">
        <w:instrText>audit</w:instrText>
      </w:r>
      <w:r w:rsidR="00000000" w:rsidRPr="00522AD3">
        <w:rPr>
          <w:lang w:val="el-GR"/>
        </w:rPr>
        <w:instrText>/</w:instrText>
      </w:r>
      <w:r w:rsidR="00000000">
        <w:instrText>audit</w:instrText>
      </w:r>
      <w:r w:rsidR="00000000" w:rsidRPr="00522AD3">
        <w:rPr>
          <w:lang w:val="el-GR"/>
        </w:rPr>
        <w:instrText>.</w:instrText>
      </w:r>
      <w:r w:rsidR="00000000">
        <w:instrText>nsf</w:instrText>
      </w:r>
      <w:r w:rsidR="00000000" w:rsidRPr="00522AD3">
        <w:rPr>
          <w:lang w:val="el-GR"/>
        </w:rPr>
        <w:instrText>/</w:instrText>
      </w:r>
      <w:r w:rsidR="00000000">
        <w:instrText>F</w:instrText>
      </w:r>
      <w:r w:rsidR="00000000" w:rsidRPr="00522AD3">
        <w:rPr>
          <w:lang w:val="el-GR"/>
        </w:rPr>
        <w:instrText>864</w:instrText>
      </w:r>
      <w:r w:rsidR="00000000">
        <w:instrText>CE</w:instrText>
      </w:r>
      <w:r w:rsidR="00000000" w:rsidRPr="00522AD3">
        <w:rPr>
          <w:lang w:val="el-GR"/>
        </w:rPr>
        <w:instrText>9</w:instrText>
      </w:r>
      <w:r w:rsidR="00000000">
        <w:instrText>FF</w:instrText>
      </w:r>
      <w:r w:rsidR="00000000" w:rsidRPr="00522AD3">
        <w:rPr>
          <w:lang w:val="el-GR"/>
        </w:rPr>
        <w:instrText>5301553</w:instrText>
      </w:r>
      <w:r w:rsidR="00000000">
        <w:instrText>C</w:instrText>
      </w:r>
      <w:r w:rsidR="00000000" w:rsidRPr="00522AD3">
        <w:rPr>
          <w:lang w:val="el-GR"/>
        </w:rPr>
        <w:instrText>225871</w:instrText>
      </w:r>
      <w:r w:rsidR="00000000">
        <w:instrText>E</w:instrText>
      </w:r>
      <w:r w:rsidR="00000000" w:rsidRPr="00522AD3">
        <w:rPr>
          <w:lang w:val="el-GR"/>
        </w:rPr>
        <w:instrText>0028939</w:instrText>
      </w:r>
      <w:r w:rsidR="00000000">
        <w:instrText>C</w:instrText>
      </w:r>
      <w:r w:rsidR="00000000" w:rsidRPr="00522AD3">
        <w:rPr>
          <w:lang w:val="el-GR"/>
        </w:rPr>
        <w:instrText>/$</w:instrText>
      </w:r>
      <w:r w:rsidR="00000000">
        <w:instrText>file</w:instrText>
      </w:r>
      <w:r w:rsidR="00000000" w:rsidRPr="00522AD3">
        <w:rPr>
          <w:lang w:val="el-GR"/>
        </w:rPr>
        <w:instrText>/2020%2001%2031%20-%20</w:instrText>
      </w:r>
      <w:r w:rsidR="00000000">
        <w:instrText>Air</w:instrText>
      </w:r>
      <w:r w:rsidR="00000000" w:rsidRPr="00522AD3">
        <w:rPr>
          <w:lang w:val="el-GR"/>
        </w:rPr>
        <w:instrText>%20</w:instrText>
      </w:r>
      <w:r w:rsidR="00000000">
        <w:instrText>Travel</w:instrText>
      </w:r>
      <w:r w:rsidR="00000000" w:rsidRPr="00522AD3">
        <w:rPr>
          <w:lang w:val="el-GR"/>
        </w:rPr>
        <w:instrText>%20</w:instrText>
      </w:r>
      <w:r w:rsidR="00000000">
        <w:instrText>of</w:instrText>
      </w:r>
      <w:r w:rsidR="00000000" w:rsidRPr="00522AD3">
        <w:rPr>
          <w:lang w:val="el-GR"/>
        </w:rPr>
        <w:instrText>%20</w:instrText>
      </w:r>
      <w:r w:rsidR="00000000">
        <w:instrText>the</w:instrText>
      </w:r>
      <w:r w:rsidR="00000000" w:rsidRPr="00522AD3">
        <w:rPr>
          <w:lang w:val="el-GR"/>
        </w:rPr>
        <w:instrText>%20</w:instrText>
      </w:r>
      <w:r w:rsidR="00000000">
        <w:instrText>President</w:instrText>
      </w:r>
      <w:r w:rsidR="00000000" w:rsidRPr="00522AD3">
        <w:rPr>
          <w:lang w:val="el-GR"/>
        </w:rPr>
        <w:instrText>%20</w:instrText>
      </w:r>
      <w:r w:rsidR="00000000">
        <w:instrText>of</w:instrText>
      </w:r>
      <w:r w:rsidR="00000000" w:rsidRPr="00522AD3">
        <w:rPr>
          <w:lang w:val="el-GR"/>
        </w:rPr>
        <w:instrText>%20%20</w:instrText>
      </w:r>
      <w:r w:rsidR="00000000">
        <w:instrText>FINAL</w:instrText>
      </w:r>
      <w:r w:rsidR="00000000" w:rsidRPr="00522AD3">
        <w:rPr>
          <w:lang w:val="el-GR"/>
        </w:rPr>
        <w:instrText>.</w:instrText>
      </w:r>
      <w:r w:rsidR="00000000">
        <w:instrText>pdf</w:instrText>
      </w:r>
      <w:r w:rsidR="00000000" w:rsidRPr="00522AD3">
        <w:rPr>
          <w:lang w:val="el-GR"/>
        </w:rPr>
        <w:instrText>"</w:instrText>
      </w:r>
      <w:r w:rsidR="00000000">
        <w:fldChar w:fldCharType="separate"/>
      </w:r>
      <w:r w:rsidRPr="005541DE">
        <w:rPr>
          <w:rStyle w:val="Hyperlink"/>
          <w:rFonts w:ascii="Calibri" w:hAnsi="Calibri" w:cs="Calibri"/>
          <w:color w:val="000000" w:themeColor="text1"/>
        </w:rPr>
        <w:t>Special Report of the Audit Office of the Republic on Air Travel of the President of the Republic (2020).</w:t>
      </w:r>
      <w:r w:rsidR="00000000">
        <w:rPr>
          <w:rStyle w:val="Hyperlink"/>
          <w:rFonts w:ascii="Calibri" w:hAnsi="Calibri" w:cs="Calibri"/>
          <w:color w:val="000000" w:themeColor="text1"/>
        </w:rPr>
        <w:fldChar w:fldCharType="end"/>
      </w:r>
      <w:r w:rsidRPr="005541DE">
        <w:rPr>
          <w:rFonts w:ascii="Calibri" w:hAnsi="Calibri" w:cs="Calibri"/>
          <w:color w:val="000000" w:themeColor="text1"/>
        </w:rPr>
        <w:t xml:space="preserve"> </w:t>
      </w:r>
    </w:p>
  </w:footnote>
  <w:footnote w:id="53">
    <w:p w14:paraId="7F069914" w14:textId="1DA95B1D" w:rsidR="00071F64" w:rsidRPr="005A23AE" w:rsidRDefault="00071F64" w:rsidP="00A5147D">
      <w:pPr>
        <w:tabs>
          <w:tab w:val="left" w:pos="709"/>
        </w:tabs>
        <w:rPr>
          <w:rFonts w:cstheme="minorHAnsi"/>
          <w:sz w:val="20"/>
          <w:szCs w:val="20"/>
          <w:lang w:val="el-GR"/>
        </w:rPr>
      </w:pPr>
      <w:r w:rsidRPr="004161BF">
        <w:rPr>
          <w:rStyle w:val="FootnoteReference"/>
          <w:rFonts w:cstheme="minorHAnsi"/>
          <w:sz w:val="20"/>
          <w:szCs w:val="20"/>
        </w:rPr>
        <w:footnoteRef/>
      </w:r>
      <w:r w:rsidRPr="005A23AE">
        <w:rPr>
          <w:rFonts w:cstheme="minorHAnsi"/>
          <w:sz w:val="20"/>
          <w:szCs w:val="20"/>
          <w:lang w:val="el-GR"/>
        </w:rPr>
        <w:t xml:space="preserve"> </w:t>
      </w:r>
      <w:r>
        <w:rPr>
          <w:rFonts w:cstheme="minorHAnsi"/>
          <w:sz w:val="20"/>
          <w:szCs w:val="20"/>
          <w:lang w:val="el-GR"/>
        </w:rPr>
        <w:t>Άρθρο</w:t>
      </w:r>
      <w:r w:rsidRPr="005A23AE">
        <w:rPr>
          <w:rFonts w:eastAsia="Calibri" w:cstheme="minorHAnsi"/>
          <w:sz w:val="20"/>
          <w:szCs w:val="20"/>
          <w:lang w:val="el-GR"/>
        </w:rPr>
        <w:t xml:space="preserve"> 4: “</w:t>
      </w:r>
      <w:r>
        <w:rPr>
          <w:rFonts w:eastAsia="Calibri" w:cstheme="minorHAnsi"/>
          <w:sz w:val="20"/>
          <w:szCs w:val="20"/>
          <w:lang w:val="el-GR"/>
        </w:rPr>
        <w:t>Τα</w:t>
      </w:r>
      <w:r w:rsidRPr="005A23AE">
        <w:rPr>
          <w:rFonts w:eastAsia="Calibri" w:cstheme="minorHAnsi"/>
          <w:sz w:val="20"/>
          <w:szCs w:val="20"/>
          <w:lang w:val="el-GR"/>
        </w:rPr>
        <w:t xml:space="preserve"> </w:t>
      </w:r>
      <w:r>
        <w:rPr>
          <w:rFonts w:eastAsia="Calibri" w:cstheme="minorHAnsi"/>
          <w:sz w:val="20"/>
          <w:szCs w:val="20"/>
          <w:lang w:val="el-GR"/>
        </w:rPr>
        <w:t>άτομα</w:t>
      </w:r>
      <w:r w:rsidRPr="005A23AE">
        <w:rPr>
          <w:rFonts w:eastAsia="Calibri" w:cstheme="minorHAnsi"/>
          <w:sz w:val="20"/>
          <w:szCs w:val="20"/>
          <w:lang w:val="el-GR"/>
        </w:rPr>
        <w:t xml:space="preserve"> </w:t>
      </w:r>
      <w:r>
        <w:rPr>
          <w:rFonts w:eastAsia="Calibri" w:cstheme="minorHAnsi"/>
          <w:sz w:val="20"/>
          <w:szCs w:val="20"/>
          <w:lang w:val="el-GR"/>
        </w:rPr>
        <w:t>που</w:t>
      </w:r>
      <w:r w:rsidRPr="005A23AE">
        <w:rPr>
          <w:rFonts w:eastAsia="Calibri" w:cstheme="minorHAnsi"/>
          <w:sz w:val="20"/>
          <w:szCs w:val="20"/>
          <w:lang w:val="el-GR"/>
        </w:rPr>
        <w:t xml:space="preserve"> </w:t>
      </w:r>
      <w:r>
        <w:rPr>
          <w:rFonts w:eastAsia="Calibri" w:cstheme="minorHAnsi"/>
          <w:sz w:val="20"/>
          <w:szCs w:val="20"/>
          <w:lang w:val="el-GR"/>
        </w:rPr>
        <w:t>χειρίζονται</w:t>
      </w:r>
      <w:r w:rsidRPr="005A23AE">
        <w:rPr>
          <w:rFonts w:eastAsia="Calibri" w:cstheme="minorHAnsi"/>
          <w:sz w:val="20"/>
          <w:szCs w:val="20"/>
          <w:lang w:val="el-GR"/>
        </w:rPr>
        <w:t xml:space="preserve"> </w:t>
      </w:r>
      <w:r w:rsidR="00973266">
        <w:rPr>
          <w:rFonts w:eastAsia="Calibri" w:cstheme="minorHAnsi"/>
          <w:sz w:val="20"/>
          <w:szCs w:val="20"/>
          <w:lang w:val="el-GR"/>
        </w:rPr>
        <w:t>διαβαθμισμένες</w:t>
      </w:r>
      <w:r w:rsidRPr="005A23AE">
        <w:rPr>
          <w:rFonts w:eastAsia="Calibri" w:cstheme="minorHAnsi"/>
          <w:sz w:val="20"/>
          <w:szCs w:val="20"/>
          <w:lang w:val="el-GR"/>
        </w:rPr>
        <w:t xml:space="preserve"> </w:t>
      </w:r>
      <w:r>
        <w:rPr>
          <w:rFonts w:eastAsia="Calibri" w:cstheme="minorHAnsi"/>
          <w:sz w:val="20"/>
          <w:szCs w:val="20"/>
          <w:lang w:val="el-GR"/>
        </w:rPr>
        <w:t>πληροφορίες</w:t>
      </w:r>
      <w:r w:rsidRPr="005A23AE">
        <w:rPr>
          <w:rFonts w:eastAsia="Calibri" w:cstheme="minorHAnsi"/>
          <w:sz w:val="20"/>
          <w:szCs w:val="20"/>
          <w:lang w:val="el-GR"/>
        </w:rPr>
        <w:t xml:space="preserve"> </w:t>
      </w:r>
      <w:r>
        <w:rPr>
          <w:rFonts w:eastAsia="Calibri" w:cstheme="minorHAnsi"/>
          <w:sz w:val="20"/>
          <w:szCs w:val="20"/>
          <w:lang w:val="el-GR"/>
        </w:rPr>
        <w:t>της</w:t>
      </w:r>
      <w:r w:rsidRPr="005A23AE">
        <w:rPr>
          <w:rFonts w:eastAsia="Calibri" w:cstheme="minorHAnsi"/>
          <w:sz w:val="20"/>
          <w:szCs w:val="20"/>
          <w:lang w:val="el-GR"/>
        </w:rPr>
        <w:t xml:space="preserve"> </w:t>
      </w:r>
      <w:r>
        <w:rPr>
          <w:rFonts w:eastAsia="Calibri" w:cstheme="minorHAnsi"/>
          <w:sz w:val="20"/>
          <w:szCs w:val="20"/>
          <w:lang w:val="el-GR"/>
        </w:rPr>
        <w:t>Δημοκρατίας</w:t>
      </w:r>
      <w:r w:rsidRPr="005A23AE">
        <w:rPr>
          <w:rFonts w:eastAsia="Calibri" w:cstheme="minorHAnsi"/>
          <w:sz w:val="20"/>
          <w:szCs w:val="20"/>
          <w:lang w:val="el-GR"/>
        </w:rPr>
        <w:t xml:space="preserve"> </w:t>
      </w:r>
      <w:r>
        <w:rPr>
          <w:rFonts w:eastAsia="Calibri" w:cstheme="minorHAnsi"/>
          <w:sz w:val="20"/>
          <w:szCs w:val="20"/>
          <w:lang w:val="el-GR"/>
        </w:rPr>
        <w:t>και</w:t>
      </w:r>
      <w:r w:rsidRPr="005A23AE">
        <w:rPr>
          <w:rFonts w:eastAsia="Calibri" w:cstheme="minorHAnsi"/>
          <w:sz w:val="20"/>
          <w:szCs w:val="20"/>
          <w:lang w:val="el-GR"/>
        </w:rPr>
        <w:t>/</w:t>
      </w:r>
      <w:r>
        <w:rPr>
          <w:rFonts w:eastAsia="Calibri" w:cstheme="minorHAnsi"/>
          <w:sz w:val="20"/>
          <w:szCs w:val="20"/>
          <w:lang w:val="el-GR"/>
        </w:rPr>
        <w:t>ή</w:t>
      </w:r>
      <w:r w:rsidRPr="005A23AE">
        <w:rPr>
          <w:rFonts w:eastAsia="Calibri" w:cstheme="minorHAnsi"/>
          <w:sz w:val="20"/>
          <w:szCs w:val="20"/>
          <w:lang w:val="el-GR"/>
        </w:rPr>
        <w:t xml:space="preserve"> </w:t>
      </w:r>
      <w:r>
        <w:rPr>
          <w:rFonts w:eastAsia="Calibri" w:cstheme="minorHAnsi"/>
          <w:sz w:val="20"/>
          <w:szCs w:val="20"/>
          <w:lang w:val="el-GR"/>
        </w:rPr>
        <w:t>διαβαθμισμένες</w:t>
      </w:r>
      <w:r w:rsidRPr="005A23AE">
        <w:rPr>
          <w:rFonts w:eastAsia="Calibri" w:cstheme="minorHAnsi"/>
          <w:sz w:val="20"/>
          <w:szCs w:val="20"/>
          <w:lang w:val="el-GR"/>
        </w:rPr>
        <w:t xml:space="preserve"> </w:t>
      </w:r>
      <w:r>
        <w:rPr>
          <w:rFonts w:eastAsia="Calibri" w:cstheme="minorHAnsi"/>
          <w:sz w:val="20"/>
          <w:szCs w:val="20"/>
          <w:lang w:val="el-GR"/>
        </w:rPr>
        <w:t>πληροφορίες</w:t>
      </w:r>
      <w:r w:rsidRPr="005A23AE">
        <w:rPr>
          <w:rFonts w:eastAsia="Calibri" w:cstheme="minorHAnsi"/>
          <w:sz w:val="20"/>
          <w:szCs w:val="20"/>
          <w:lang w:val="el-GR"/>
        </w:rPr>
        <w:t xml:space="preserve"> </w:t>
      </w:r>
      <w:r>
        <w:rPr>
          <w:rFonts w:eastAsia="Calibri" w:cstheme="minorHAnsi"/>
          <w:sz w:val="20"/>
          <w:szCs w:val="20"/>
          <w:lang w:val="el-GR"/>
        </w:rPr>
        <w:t>της</w:t>
      </w:r>
      <w:r w:rsidRPr="005A23AE">
        <w:rPr>
          <w:rFonts w:eastAsia="Calibri" w:cstheme="minorHAnsi"/>
          <w:sz w:val="20"/>
          <w:szCs w:val="20"/>
          <w:lang w:val="el-GR"/>
        </w:rPr>
        <w:t xml:space="preserve"> </w:t>
      </w:r>
      <w:r>
        <w:rPr>
          <w:rFonts w:eastAsia="Calibri" w:cstheme="minorHAnsi"/>
          <w:sz w:val="20"/>
          <w:szCs w:val="20"/>
          <w:lang w:val="el-GR"/>
        </w:rPr>
        <w:t>ΕΕ</w:t>
      </w:r>
      <w:r w:rsidRPr="005A23AE">
        <w:rPr>
          <w:rFonts w:eastAsia="Calibri" w:cstheme="minorHAnsi"/>
          <w:sz w:val="20"/>
          <w:szCs w:val="20"/>
          <w:lang w:val="el-GR"/>
        </w:rPr>
        <w:t xml:space="preserve"> </w:t>
      </w:r>
      <w:r>
        <w:rPr>
          <w:rFonts w:eastAsia="Calibri" w:cstheme="minorHAnsi"/>
          <w:sz w:val="20"/>
          <w:szCs w:val="20"/>
          <w:lang w:val="el-GR"/>
        </w:rPr>
        <w:t>ή</w:t>
      </w:r>
      <w:r w:rsidRPr="005A23AE">
        <w:rPr>
          <w:rFonts w:eastAsia="Calibri" w:cstheme="minorHAnsi"/>
          <w:sz w:val="20"/>
          <w:szCs w:val="20"/>
          <w:lang w:val="el-GR"/>
        </w:rPr>
        <w:t xml:space="preserve"> </w:t>
      </w:r>
      <w:r>
        <w:rPr>
          <w:rFonts w:eastAsia="Calibri" w:cstheme="minorHAnsi"/>
          <w:sz w:val="20"/>
          <w:szCs w:val="20"/>
          <w:lang w:val="el-GR"/>
        </w:rPr>
        <w:t>τα</w:t>
      </w:r>
      <w:r w:rsidRPr="005A23AE">
        <w:rPr>
          <w:rFonts w:eastAsia="Calibri" w:cstheme="minorHAnsi"/>
          <w:sz w:val="20"/>
          <w:szCs w:val="20"/>
          <w:lang w:val="el-GR"/>
        </w:rPr>
        <w:t xml:space="preserve"> </w:t>
      </w:r>
      <w:r>
        <w:rPr>
          <w:rFonts w:eastAsia="Calibri" w:cstheme="minorHAnsi"/>
          <w:sz w:val="20"/>
          <w:szCs w:val="20"/>
          <w:lang w:val="el-GR"/>
        </w:rPr>
        <w:t>μέσα επεξεργασίας τέτοιων πληροφοριών</w:t>
      </w:r>
      <w:r w:rsidRPr="005A23AE">
        <w:rPr>
          <w:rFonts w:eastAsia="Calibri" w:cstheme="minorHAnsi"/>
          <w:sz w:val="20"/>
          <w:szCs w:val="20"/>
          <w:lang w:val="el-GR"/>
        </w:rPr>
        <w:t xml:space="preserve">, </w:t>
      </w:r>
      <w:r>
        <w:rPr>
          <w:rFonts w:eastAsia="Calibri" w:cstheme="minorHAnsi"/>
          <w:sz w:val="20"/>
          <w:szCs w:val="20"/>
          <w:lang w:val="el-GR"/>
        </w:rPr>
        <w:t>εγγράφων ή υλικού</w:t>
      </w:r>
      <w:r w:rsidRPr="005A23AE">
        <w:rPr>
          <w:rFonts w:eastAsia="Calibri" w:cstheme="minorHAnsi"/>
          <w:sz w:val="20"/>
          <w:szCs w:val="20"/>
          <w:lang w:val="el-GR"/>
        </w:rPr>
        <w:t xml:space="preserve"> </w:t>
      </w:r>
      <w:r>
        <w:rPr>
          <w:rFonts w:eastAsia="Calibri" w:cstheme="minorHAnsi"/>
          <w:sz w:val="20"/>
          <w:szCs w:val="20"/>
          <w:lang w:val="el-GR"/>
        </w:rPr>
        <w:t>και ειδικότερα</w:t>
      </w:r>
      <w:r w:rsidRPr="005A23AE">
        <w:rPr>
          <w:rFonts w:eastAsia="Calibri" w:cstheme="minorHAnsi"/>
          <w:sz w:val="20"/>
          <w:szCs w:val="20"/>
          <w:lang w:val="el-GR"/>
        </w:rPr>
        <w:t>:</w:t>
      </w:r>
    </w:p>
    <w:p w14:paraId="3B2B7F6A" w14:textId="415BD379" w:rsidR="00071F64" w:rsidRPr="005A23AE" w:rsidRDefault="00071F64" w:rsidP="00A5147D">
      <w:pPr>
        <w:rPr>
          <w:rFonts w:eastAsia="Calibri" w:cstheme="minorHAnsi"/>
          <w:sz w:val="20"/>
          <w:szCs w:val="20"/>
          <w:lang w:val="el-GR"/>
        </w:rPr>
      </w:pPr>
      <w:r w:rsidRPr="005A23AE">
        <w:rPr>
          <w:rFonts w:eastAsia="Calibri" w:cstheme="minorHAnsi"/>
          <w:sz w:val="20"/>
          <w:szCs w:val="20"/>
          <w:lang w:val="el-GR"/>
        </w:rPr>
        <w:t>(</w:t>
      </w:r>
      <w:r>
        <w:rPr>
          <w:rFonts w:eastAsia="Calibri" w:cstheme="minorHAnsi"/>
          <w:sz w:val="20"/>
          <w:szCs w:val="20"/>
          <w:lang w:val="el-GR"/>
        </w:rPr>
        <w:t>α</w:t>
      </w:r>
      <w:r w:rsidRPr="005A23AE">
        <w:rPr>
          <w:rFonts w:eastAsia="Calibri" w:cstheme="minorHAnsi"/>
          <w:sz w:val="20"/>
          <w:szCs w:val="20"/>
          <w:lang w:val="el-GR"/>
        </w:rPr>
        <w:t xml:space="preserve">) </w:t>
      </w:r>
      <w:r>
        <w:rPr>
          <w:rFonts w:eastAsia="Calibri" w:cstheme="minorHAnsi"/>
          <w:sz w:val="20"/>
          <w:szCs w:val="20"/>
          <w:lang w:val="el-GR"/>
        </w:rPr>
        <w:t>μέλη</w:t>
      </w:r>
      <w:r w:rsidRPr="005A23AE">
        <w:rPr>
          <w:rFonts w:eastAsia="Calibri" w:cstheme="minorHAnsi"/>
          <w:sz w:val="20"/>
          <w:szCs w:val="20"/>
          <w:lang w:val="el-GR"/>
        </w:rPr>
        <w:t xml:space="preserve"> </w:t>
      </w:r>
      <w:r>
        <w:rPr>
          <w:rFonts w:eastAsia="Calibri" w:cstheme="minorHAnsi"/>
          <w:sz w:val="20"/>
          <w:szCs w:val="20"/>
          <w:lang w:val="el-GR"/>
        </w:rPr>
        <w:t>της</w:t>
      </w:r>
      <w:r w:rsidRPr="005A23AE">
        <w:rPr>
          <w:rFonts w:eastAsia="Calibri" w:cstheme="minorHAnsi"/>
          <w:sz w:val="20"/>
          <w:szCs w:val="20"/>
          <w:lang w:val="el-GR"/>
        </w:rPr>
        <w:t xml:space="preserve"> </w:t>
      </w:r>
      <w:r>
        <w:rPr>
          <w:rFonts w:eastAsia="Calibri" w:cstheme="minorHAnsi"/>
          <w:sz w:val="20"/>
          <w:szCs w:val="20"/>
          <w:lang w:val="el-GR"/>
        </w:rPr>
        <w:t>Μόνιμης</w:t>
      </w:r>
      <w:r w:rsidRPr="005A23AE">
        <w:rPr>
          <w:rFonts w:eastAsia="Calibri" w:cstheme="minorHAnsi"/>
          <w:sz w:val="20"/>
          <w:szCs w:val="20"/>
          <w:lang w:val="el-GR"/>
        </w:rPr>
        <w:t xml:space="preserve"> </w:t>
      </w:r>
      <w:r>
        <w:rPr>
          <w:rFonts w:eastAsia="Calibri" w:cstheme="minorHAnsi"/>
          <w:sz w:val="20"/>
          <w:szCs w:val="20"/>
          <w:lang w:val="el-GR"/>
        </w:rPr>
        <w:t>Αντιπροσωπείας</w:t>
      </w:r>
      <w:r w:rsidRPr="005A23AE">
        <w:rPr>
          <w:rFonts w:eastAsia="Calibri" w:cstheme="minorHAnsi"/>
          <w:sz w:val="20"/>
          <w:szCs w:val="20"/>
          <w:lang w:val="el-GR"/>
        </w:rPr>
        <w:t xml:space="preserve"> </w:t>
      </w:r>
      <w:r>
        <w:rPr>
          <w:rFonts w:eastAsia="Calibri" w:cstheme="minorHAnsi"/>
          <w:sz w:val="20"/>
          <w:szCs w:val="20"/>
          <w:lang w:val="el-GR"/>
        </w:rPr>
        <w:t>της</w:t>
      </w:r>
      <w:r w:rsidRPr="005A23AE">
        <w:rPr>
          <w:rFonts w:eastAsia="Calibri" w:cstheme="minorHAnsi"/>
          <w:sz w:val="20"/>
          <w:szCs w:val="20"/>
          <w:lang w:val="el-GR"/>
        </w:rPr>
        <w:t xml:space="preserve"> </w:t>
      </w:r>
      <w:r>
        <w:rPr>
          <w:rFonts w:eastAsia="Calibri" w:cstheme="minorHAnsi"/>
          <w:sz w:val="20"/>
          <w:szCs w:val="20"/>
          <w:lang w:val="el-GR"/>
        </w:rPr>
        <w:t>Δημοκρατίας</w:t>
      </w:r>
      <w:r w:rsidRPr="005A23AE">
        <w:rPr>
          <w:rFonts w:eastAsia="Calibri" w:cstheme="minorHAnsi"/>
          <w:sz w:val="20"/>
          <w:szCs w:val="20"/>
          <w:lang w:val="el-GR"/>
        </w:rPr>
        <w:t xml:space="preserve"> </w:t>
      </w:r>
      <w:r>
        <w:rPr>
          <w:rFonts w:eastAsia="Calibri" w:cstheme="minorHAnsi"/>
          <w:sz w:val="20"/>
          <w:szCs w:val="20"/>
          <w:lang w:val="el-GR"/>
        </w:rPr>
        <w:t>στην</w:t>
      </w:r>
      <w:r w:rsidRPr="005A23AE">
        <w:rPr>
          <w:rFonts w:eastAsia="Calibri" w:cstheme="minorHAnsi"/>
          <w:sz w:val="20"/>
          <w:szCs w:val="20"/>
          <w:lang w:val="el-GR"/>
        </w:rPr>
        <w:t xml:space="preserve"> </w:t>
      </w:r>
      <w:r>
        <w:rPr>
          <w:rFonts w:eastAsia="Calibri" w:cstheme="minorHAnsi"/>
          <w:sz w:val="20"/>
          <w:szCs w:val="20"/>
          <w:lang w:val="el-GR"/>
        </w:rPr>
        <w:t>ΕΕ</w:t>
      </w:r>
      <w:r w:rsidRPr="005A23AE">
        <w:rPr>
          <w:rFonts w:eastAsia="Calibri" w:cstheme="minorHAnsi"/>
          <w:sz w:val="20"/>
          <w:szCs w:val="20"/>
          <w:lang w:val="el-GR"/>
        </w:rPr>
        <w:t xml:space="preserve">, </w:t>
      </w:r>
      <w:r>
        <w:rPr>
          <w:rFonts w:eastAsia="Calibri" w:cstheme="minorHAnsi"/>
          <w:sz w:val="20"/>
          <w:szCs w:val="20"/>
          <w:lang w:val="el-GR"/>
        </w:rPr>
        <w:t>καθώς</w:t>
      </w:r>
      <w:r w:rsidRPr="005A23AE">
        <w:rPr>
          <w:rFonts w:eastAsia="Calibri" w:cstheme="minorHAnsi"/>
          <w:sz w:val="20"/>
          <w:szCs w:val="20"/>
          <w:lang w:val="el-GR"/>
        </w:rPr>
        <w:t xml:space="preserve"> </w:t>
      </w:r>
      <w:r>
        <w:rPr>
          <w:rFonts w:eastAsia="Calibri" w:cstheme="minorHAnsi"/>
          <w:sz w:val="20"/>
          <w:szCs w:val="20"/>
          <w:lang w:val="el-GR"/>
        </w:rPr>
        <w:t>και</w:t>
      </w:r>
      <w:r w:rsidRPr="005A23AE">
        <w:rPr>
          <w:rFonts w:eastAsia="Calibri" w:cstheme="minorHAnsi"/>
          <w:sz w:val="20"/>
          <w:szCs w:val="20"/>
          <w:lang w:val="el-GR"/>
        </w:rPr>
        <w:t xml:space="preserve"> </w:t>
      </w:r>
      <w:r>
        <w:rPr>
          <w:rFonts w:eastAsia="Calibri" w:cstheme="minorHAnsi"/>
          <w:sz w:val="20"/>
          <w:szCs w:val="20"/>
          <w:lang w:val="el-GR"/>
        </w:rPr>
        <w:t>τα</w:t>
      </w:r>
      <w:r w:rsidRPr="005A23AE">
        <w:rPr>
          <w:rFonts w:eastAsia="Calibri" w:cstheme="minorHAnsi"/>
          <w:sz w:val="20"/>
          <w:szCs w:val="20"/>
          <w:lang w:val="el-GR"/>
        </w:rPr>
        <w:t xml:space="preserve"> </w:t>
      </w:r>
      <w:r>
        <w:rPr>
          <w:rFonts w:eastAsia="Calibri" w:cstheme="minorHAnsi"/>
          <w:sz w:val="20"/>
          <w:szCs w:val="20"/>
          <w:lang w:val="el-GR"/>
        </w:rPr>
        <w:t>μέλη</w:t>
      </w:r>
      <w:r w:rsidRPr="005A23AE">
        <w:rPr>
          <w:rFonts w:eastAsia="Calibri" w:cstheme="minorHAnsi"/>
          <w:sz w:val="20"/>
          <w:szCs w:val="20"/>
          <w:lang w:val="el-GR"/>
        </w:rPr>
        <w:t xml:space="preserve"> </w:t>
      </w:r>
      <w:r>
        <w:rPr>
          <w:rFonts w:eastAsia="Calibri" w:cstheme="minorHAnsi"/>
          <w:sz w:val="20"/>
          <w:szCs w:val="20"/>
          <w:lang w:val="el-GR"/>
        </w:rPr>
        <w:t>των</w:t>
      </w:r>
      <w:r w:rsidRPr="005A23AE">
        <w:rPr>
          <w:rFonts w:eastAsia="Calibri" w:cstheme="minorHAnsi"/>
          <w:sz w:val="20"/>
          <w:szCs w:val="20"/>
          <w:lang w:val="el-GR"/>
        </w:rPr>
        <w:t xml:space="preserve"> </w:t>
      </w:r>
      <w:r>
        <w:rPr>
          <w:rFonts w:eastAsia="Calibri" w:cstheme="minorHAnsi"/>
          <w:sz w:val="20"/>
          <w:szCs w:val="20"/>
          <w:lang w:val="el-GR"/>
        </w:rPr>
        <w:t>αντιπροσωπιών</w:t>
      </w:r>
      <w:r w:rsidRPr="005A23AE">
        <w:rPr>
          <w:rFonts w:eastAsia="Calibri" w:cstheme="minorHAnsi"/>
          <w:sz w:val="20"/>
          <w:szCs w:val="20"/>
          <w:lang w:val="el-GR"/>
        </w:rPr>
        <w:t xml:space="preserve"> </w:t>
      </w:r>
      <w:r>
        <w:rPr>
          <w:rFonts w:eastAsia="Calibri" w:cstheme="minorHAnsi"/>
          <w:sz w:val="20"/>
          <w:szCs w:val="20"/>
          <w:lang w:val="el-GR"/>
        </w:rPr>
        <w:t>της</w:t>
      </w:r>
      <w:r w:rsidRPr="005A23AE">
        <w:rPr>
          <w:rFonts w:eastAsia="Calibri" w:cstheme="minorHAnsi"/>
          <w:sz w:val="20"/>
          <w:szCs w:val="20"/>
          <w:lang w:val="el-GR"/>
        </w:rPr>
        <w:t xml:space="preserve"> </w:t>
      </w:r>
      <w:r>
        <w:rPr>
          <w:rFonts w:eastAsia="Calibri" w:cstheme="minorHAnsi"/>
          <w:sz w:val="20"/>
          <w:szCs w:val="20"/>
          <w:lang w:val="el-GR"/>
        </w:rPr>
        <w:t>Δημοκρατίας</w:t>
      </w:r>
      <w:r w:rsidRPr="005A23AE">
        <w:rPr>
          <w:rFonts w:eastAsia="Calibri" w:cstheme="minorHAnsi"/>
          <w:sz w:val="20"/>
          <w:szCs w:val="20"/>
          <w:lang w:val="el-GR"/>
        </w:rPr>
        <w:t xml:space="preserve">, </w:t>
      </w:r>
      <w:r>
        <w:rPr>
          <w:rFonts w:eastAsia="Calibri" w:cstheme="minorHAnsi"/>
          <w:sz w:val="20"/>
          <w:szCs w:val="20"/>
          <w:lang w:val="el-GR"/>
        </w:rPr>
        <w:t xml:space="preserve">που </w:t>
      </w:r>
      <w:proofErr w:type="spellStart"/>
      <w:r>
        <w:rPr>
          <w:rFonts w:eastAsia="Calibri" w:cstheme="minorHAnsi"/>
          <w:sz w:val="20"/>
          <w:szCs w:val="20"/>
          <w:lang w:val="el-GR"/>
        </w:rPr>
        <w:t>παρευρέθονται</w:t>
      </w:r>
      <w:proofErr w:type="spellEnd"/>
      <w:r>
        <w:rPr>
          <w:rFonts w:eastAsia="Calibri" w:cstheme="minorHAnsi"/>
          <w:sz w:val="20"/>
          <w:szCs w:val="20"/>
          <w:lang w:val="el-GR"/>
        </w:rPr>
        <w:t xml:space="preserve"> σε συνόδους του Συμβουλίου ή συνεδριάσεις των επιτροπών και ομάδων του</w:t>
      </w:r>
      <w:r w:rsidRPr="005A23AE">
        <w:rPr>
          <w:rFonts w:eastAsia="Calibri" w:cstheme="minorHAnsi"/>
          <w:sz w:val="20"/>
          <w:szCs w:val="20"/>
          <w:lang w:val="el-GR"/>
        </w:rPr>
        <w:t xml:space="preserve"> </w:t>
      </w:r>
      <w:r>
        <w:rPr>
          <w:rFonts w:eastAsia="Calibri" w:cstheme="minorHAnsi"/>
          <w:sz w:val="20"/>
          <w:szCs w:val="20"/>
          <w:lang w:val="el-GR"/>
        </w:rPr>
        <w:t>ή λαμβάνουν μέρος σε άλλες δραστηριότητες του Συμβουλίου,</w:t>
      </w:r>
    </w:p>
    <w:p w14:paraId="0EC3D5C2" w14:textId="27E15523" w:rsidR="00071F64" w:rsidRPr="00766FAF" w:rsidRDefault="00071F64" w:rsidP="00A5147D">
      <w:pPr>
        <w:rPr>
          <w:rFonts w:eastAsia="Calibri" w:cstheme="minorHAnsi"/>
          <w:sz w:val="20"/>
          <w:szCs w:val="20"/>
          <w:lang w:val="el-GR"/>
        </w:rPr>
      </w:pPr>
      <w:r w:rsidRPr="00766FAF">
        <w:rPr>
          <w:rFonts w:eastAsia="Calibri" w:cstheme="minorHAnsi"/>
          <w:sz w:val="20"/>
          <w:szCs w:val="20"/>
          <w:lang w:val="el-GR"/>
        </w:rPr>
        <w:t>(</w:t>
      </w:r>
      <w:r>
        <w:rPr>
          <w:rFonts w:eastAsia="Calibri" w:cstheme="minorHAnsi"/>
          <w:sz w:val="20"/>
          <w:szCs w:val="20"/>
          <w:lang w:val="el-GR"/>
        </w:rPr>
        <w:t>β</w:t>
      </w:r>
      <w:r w:rsidRPr="00766FAF">
        <w:rPr>
          <w:rFonts w:eastAsia="Calibri" w:cstheme="minorHAnsi"/>
          <w:sz w:val="20"/>
          <w:szCs w:val="20"/>
          <w:lang w:val="el-GR"/>
        </w:rPr>
        <w:t xml:space="preserve">) </w:t>
      </w:r>
      <w:r>
        <w:rPr>
          <w:rFonts w:eastAsia="Calibri" w:cstheme="minorHAnsi"/>
          <w:sz w:val="20"/>
          <w:szCs w:val="20"/>
          <w:lang w:val="el-GR"/>
        </w:rPr>
        <w:t>άλλα</w:t>
      </w:r>
      <w:r w:rsidRPr="00766FAF">
        <w:rPr>
          <w:rFonts w:eastAsia="Calibri" w:cstheme="minorHAnsi"/>
          <w:sz w:val="20"/>
          <w:szCs w:val="20"/>
          <w:lang w:val="el-GR"/>
        </w:rPr>
        <w:t xml:space="preserve"> </w:t>
      </w:r>
      <w:r>
        <w:rPr>
          <w:rFonts w:eastAsia="Calibri" w:cstheme="minorHAnsi"/>
          <w:sz w:val="20"/>
          <w:szCs w:val="20"/>
          <w:lang w:val="el-GR"/>
        </w:rPr>
        <w:t>μέλη</w:t>
      </w:r>
      <w:r w:rsidRPr="00766FAF">
        <w:rPr>
          <w:rFonts w:eastAsia="Calibri" w:cstheme="minorHAnsi"/>
          <w:sz w:val="20"/>
          <w:szCs w:val="20"/>
          <w:lang w:val="el-GR"/>
        </w:rPr>
        <w:t xml:space="preserve"> </w:t>
      </w:r>
      <w:r>
        <w:rPr>
          <w:rFonts w:eastAsia="Calibri" w:cstheme="minorHAnsi"/>
          <w:sz w:val="20"/>
          <w:szCs w:val="20"/>
          <w:lang w:val="el-GR"/>
        </w:rPr>
        <w:t>της</w:t>
      </w:r>
      <w:r w:rsidRPr="00766FAF">
        <w:rPr>
          <w:rFonts w:eastAsia="Calibri" w:cstheme="minorHAnsi"/>
          <w:sz w:val="20"/>
          <w:szCs w:val="20"/>
          <w:lang w:val="el-GR"/>
        </w:rPr>
        <w:t xml:space="preserve"> </w:t>
      </w:r>
      <w:r>
        <w:rPr>
          <w:rFonts w:eastAsia="Calibri" w:cstheme="minorHAnsi"/>
          <w:sz w:val="20"/>
          <w:szCs w:val="20"/>
          <w:lang w:val="el-GR"/>
        </w:rPr>
        <w:t>δημόσιας</w:t>
      </w:r>
      <w:r w:rsidRPr="00766FAF">
        <w:rPr>
          <w:rFonts w:eastAsia="Calibri" w:cstheme="minorHAnsi"/>
          <w:sz w:val="20"/>
          <w:szCs w:val="20"/>
          <w:lang w:val="el-GR"/>
        </w:rPr>
        <w:t xml:space="preserve"> </w:t>
      </w:r>
      <w:r>
        <w:rPr>
          <w:rFonts w:eastAsia="Calibri" w:cstheme="minorHAnsi"/>
          <w:sz w:val="20"/>
          <w:szCs w:val="20"/>
          <w:lang w:val="el-GR"/>
        </w:rPr>
        <w:t>υπηρεσίας</w:t>
      </w:r>
      <w:r w:rsidRPr="00766FAF">
        <w:rPr>
          <w:rFonts w:eastAsia="Calibri" w:cstheme="minorHAnsi"/>
          <w:sz w:val="20"/>
          <w:szCs w:val="20"/>
          <w:lang w:val="el-GR"/>
        </w:rPr>
        <w:t xml:space="preserve"> </w:t>
      </w:r>
      <w:r>
        <w:rPr>
          <w:rFonts w:eastAsia="Calibri" w:cstheme="minorHAnsi"/>
          <w:sz w:val="20"/>
          <w:szCs w:val="20"/>
          <w:lang w:val="el-GR"/>
        </w:rPr>
        <w:t>της</w:t>
      </w:r>
      <w:r w:rsidRPr="00766FAF">
        <w:rPr>
          <w:rFonts w:eastAsia="Calibri" w:cstheme="minorHAnsi"/>
          <w:sz w:val="20"/>
          <w:szCs w:val="20"/>
          <w:lang w:val="el-GR"/>
        </w:rPr>
        <w:t xml:space="preserve"> </w:t>
      </w:r>
      <w:r>
        <w:rPr>
          <w:rFonts w:eastAsia="Calibri" w:cstheme="minorHAnsi"/>
          <w:sz w:val="20"/>
          <w:szCs w:val="20"/>
          <w:lang w:val="el-GR"/>
        </w:rPr>
        <w:t>Δημοκρατίας</w:t>
      </w:r>
      <w:r w:rsidRPr="00766FAF">
        <w:rPr>
          <w:rFonts w:eastAsia="Calibri" w:cstheme="minorHAnsi"/>
          <w:sz w:val="20"/>
          <w:szCs w:val="20"/>
          <w:lang w:val="el-GR"/>
        </w:rPr>
        <w:t xml:space="preserve"> </w:t>
      </w:r>
      <w:r>
        <w:rPr>
          <w:rFonts w:eastAsia="Calibri" w:cstheme="minorHAnsi"/>
          <w:sz w:val="20"/>
          <w:szCs w:val="20"/>
          <w:lang w:val="el-GR"/>
        </w:rPr>
        <w:t>τα οποία χειρίζονται</w:t>
      </w:r>
      <w:r w:rsidRPr="00766FAF">
        <w:rPr>
          <w:rFonts w:eastAsia="Calibri" w:cstheme="minorHAnsi"/>
          <w:sz w:val="20"/>
          <w:szCs w:val="20"/>
          <w:lang w:val="el-GR"/>
        </w:rPr>
        <w:t xml:space="preserve"> </w:t>
      </w:r>
      <w:r>
        <w:rPr>
          <w:rFonts w:eastAsia="Calibri" w:cstheme="minorHAnsi"/>
          <w:sz w:val="20"/>
          <w:szCs w:val="20"/>
          <w:lang w:val="el-GR"/>
        </w:rPr>
        <w:t>διαβαθμισμένες</w:t>
      </w:r>
      <w:r w:rsidRPr="00766FAF">
        <w:rPr>
          <w:rFonts w:eastAsia="Calibri" w:cstheme="minorHAnsi"/>
          <w:sz w:val="20"/>
          <w:szCs w:val="20"/>
          <w:lang w:val="el-GR"/>
        </w:rPr>
        <w:t xml:space="preserve"> </w:t>
      </w:r>
      <w:r>
        <w:rPr>
          <w:rFonts w:eastAsia="Calibri" w:cstheme="minorHAnsi"/>
          <w:sz w:val="20"/>
          <w:szCs w:val="20"/>
          <w:lang w:val="el-GR"/>
        </w:rPr>
        <w:t>πληροφορίες</w:t>
      </w:r>
      <w:r w:rsidRPr="00766FAF">
        <w:rPr>
          <w:rFonts w:eastAsia="Calibri" w:cstheme="minorHAnsi"/>
          <w:sz w:val="20"/>
          <w:szCs w:val="20"/>
          <w:lang w:val="el-GR"/>
        </w:rPr>
        <w:t xml:space="preserve"> </w:t>
      </w:r>
      <w:r>
        <w:rPr>
          <w:rFonts w:eastAsia="Calibri" w:cstheme="minorHAnsi"/>
          <w:sz w:val="20"/>
          <w:szCs w:val="20"/>
          <w:lang w:val="el-GR"/>
        </w:rPr>
        <w:t>και</w:t>
      </w:r>
      <w:r w:rsidRPr="00766FAF">
        <w:rPr>
          <w:rFonts w:eastAsia="Calibri" w:cstheme="minorHAnsi"/>
          <w:sz w:val="20"/>
          <w:szCs w:val="20"/>
          <w:lang w:val="el-GR"/>
        </w:rPr>
        <w:t>/</w:t>
      </w:r>
      <w:r>
        <w:rPr>
          <w:rFonts w:eastAsia="Calibri" w:cstheme="minorHAnsi"/>
          <w:sz w:val="20"/>
          <w:szCs w:val="20"/>
          <w:lang w:val="el-GR"/>
        </w:rPr>
        <w:t>ή</w:t>
      </w:r>
      <w:r w:rsidRPr="00766FAF">
        <w:rPr>
          <w:rFonts w:eastAsia="Calibri" w:cstheme="minorHAnsi"/>
          <w:sz w:val="20"/>
          <w:szCs w:val="20"/>
          <w:lang w:val="el-GR"/>
        </w:rPr>
        <w:t xml:space="preserve"> </w:t>
      </w:r>
      <w:r>
        <w:rPr>
          <w:rFonts w:eastAsia="Calibri" w:cstheme="minorHAnsi"/>
          <w:sz w:val="20"/>
          <w:szCs w:val="20"/>
          <w:lang w:val="el-GR"/>
        </w:rPr>
        <w:t>διαβαθμισμένες</w:t>
      </w:r>
      <w:r w:rsidRPr="00766FAF">
        <w:rPr>
          <w:rFonts w:eastAsia="Calibri" w:cstheme="minorHAnsi"/>
          <w:sz w:val="20"/>
          <w:szCs w:val="20"/>
          <w:lang w:val="el-GR"/>
        </w:rPr>
        <w:t xml:space="preserve"> </w:t>
      </w:r>
      <w:r>
        <w:rPr>
          <w:rFonts w:eastAsia="Calibri" w:cstheme="minorHAnsi"/>
          <w:sz w:val="20"/>
          <w:szCs w:val="20"/>
          <w:lang w:val="el-GR"/>
        </w:rPr>
        <w:t>πληροφορίες της ΕΕ</w:t>
      </w:r>
      <w:r w:rsidRPr="00766FAF">
        <w:rPr>
          <w:rFonts w:eastAsia="Calibri" w:cstheme="minorHAnsi"/>
          <w:sz w:val="20"/>
          <w:szCs w:val="20"/>
          <w:lang w:val="el-GR"/>
        </w:rPr>
        <w:t xml:space="preserve">, </w:t>
      </w:r>
      <w:r>
        <w:rPr>
          <w:rFonts w:eastAsia="Calibri" w:cstheme="minorHAnsi"/>
          <w:sz w:val="20"/>
          <w:szCs w:val="20"/>
          <w:lang w:val="el-GR"/>
        </w:rPr>
        <w:t>ανεξαρτήτως εάν υπηρετούν στο έδαφος της Δημοκρατίας ή στο έδαφος κρατών μελών ή σε τρίτα κράτη,</w:t>
      </w:r>
    </w:p>
    <w:p w14:paraId="09EC3B90" w14:textId="05556D1D" w:rsidR="00071F64" w:rsidRPr="00766FAF" w:rsidRDefault="00071F64" w:rsidP="00A5147D">
      <w:pPr>
        <w:rPr>
          <w:rFonts w:eastAsia="Calibri" w:cstheme="minorHAnsi"/>
          <w:sz w:val="20"/>
          <w:szCs w:val="20"/>
          <w:lang w:val="el-GR"/>
        </w:rPr>
      </w:pPr>
      <w:r w:rsidRPr="00766FAF">
        <w:rPr>
          <w:rFonts w:eastAsia="Calibri" w:cstheme="minorHAnsi"/>
          <w:sz w:val="20"/>
          <w:szCs w:val="20"/>
          <w:lang w:val="el-GR"/>
        </w:rPr>
        <w:t>(</w:t>
      </w:r>
      <w:r>
        <w:rPr>
          <w:rFonts w:eastAsia="Calibri" w:cstheme="minorHAnsi"/>
          <w:sz w:val="20"/>
          <w:szCs w:val="20"/>
          <w:lang w:val="el-GR"/>
        </w:rPr>
        <w:t>γ</w:t>
      </w:r>
      <w:r w:rsidRPr="00766FAF">
        <w:rPr>
          <w:rFonts w:eastAsia="Calibri" w:cstheme="minorHAnsi"/>
          <w:sz w:val="20"/>
          <w:szCs w:val="20"/>
          <w:lang w:val="el-GR"/>
        </w:rPr>
        <w:t xml:space="preserve">) </w:t>
      </w:r>
      <w:r>
        <w:rPr>
          <w:rFonts w:eastAsia="Calibri" w:cstheme="minorHAnsi"/>
          <w:sz w:val="20"/>
          <w:szCs w:val="20"/>
          <w:lang w:val="el-GR"/>
        </w:rPr>
        <w:t>οι</w:t>
      </w:r>
      <w:r w:rsidRPr="00766FAF">
        <w:rPr>
          <w:rFonts w:eastAsia="Calibri" w:cstheme="minorHAnsi"/>
          <w:sz w:val="20"/>
          <w:szCs w:val="20"/>
          <w:lang w:val="el-GR"/>
        </w:rPr>
        <w:t xml:space="preserve"> </w:t>
      </w:r>
      <w:r>
        <w:rPr>
          <w:rFonts w:eastAsia="Calibri" w:cstheme="minorHAnsi"/>
          <w:sz w:val="20"/>
          <w:szCs w:val="20"/>
          <w:lang w:val="el-GR"/>
        </w:rPr>
        <w:t>εξωτερικοί</w:t>
      </w:r>
      <w:r w:rsidRPr="00766FAF">
        <w:rPr>
          <w:rFonts w:eastAsia="Calibri" w:cstheme="minorHAnsi"/>
          <w:sz w:val="20"/>
          <w:szCs w:val="20"/>
          <w:lang w:val="el-GR"/>
        </w:rPr>
        <w:t xml:space="preserve"> </w:t>
      </w:r>
      <w:r w:rsidR="00973266">
        <w:rPr>
          <w:rFonts w:eastAsia="Calibri" w:cstheme="minorHAnsi"/>
          <w:sz w:val="20"/>
          <w:szCs w:val="20"/>
          <w:lang w:val="el-GR"/>
        </w:rPr>
        <w:t>συμβασιούχοι</w:t>
      </w:r>
      <w:r>
        <w:rPr>
          <w:rFonts w:eastAsia="Calibri" w:cstheme="minorHAnsi"/>
          <w:sz w:val="20"/>
          <w:szCs w:val="20"/>
          <w:lang w:val="el-GR"/>
        </w:rPr>
        <w:t xml:space="preserve"> της</w:t>
      </w:r>
      <w:r w:rsidRPr="00766FAF">
        <w:rPr>
          <w:rFonts w:eastAsia="Calibri" w:cstheme="minorHAnsi"/>
          <w:sz w:val="20"/>
          <w:szCs w:val="20"/>
          <w:lang w:val="el-GR"/>
        </w:rPr>
        <w:t xml:space="preserve"> </w:t>
      </w:r>
      <w:r>
        <w:rPr>
          <w:rFonts w:eastAsia="Calibri" w:cstheme="minorHAnsi"/>
          <w:sz w:val="20"/>
          <w:szCs w:val="20"/>
          <w:lang w:val="el-GR"/>
        </w:rPr>
        <w:t>Δημοκρατίας</w:t>
      </w:r>
      <w:r w:rsidRPr="00766FAF">
        <w:rPr>
          <w:rFonts w:eastAsia="Calibri" w:cstheme="minorHAnsi"/>
          <w:sz w:val="20"/>
          <w:szCs w:val="20"/>
          <w:lang w:val="el-GR"/>
        </w:rPr>
        <w:t xml:space="preserve"> </w:t>
      </w:r>
      <w:r>
        <w:rPr>
          <w:rFonts w:eastAsia="Calibri" w:cstheme="minorHAnsi"/>
          <w:sz w:val="20"/>
          <w:szCs w:val="20"/>
          <w:lang w:val="el-GR"/>
        </w:rPr>
        <w:t>και το αποσπασμένο</w:t>
      </w:r>
      <w:r w:rsidRPr="00766FAF">
        <w:rPr>
          <w:rFonts w:eastAsia="Calibri" w:cstheme="minorHAnsi"/>
          <w:sz w:val="20"/>
          <w:szCs w:val="20"/>
          <w:lang w:val="el-GR"/>
        </w:rPr>
        <w:t xml:space="preserve"> </w:t>
      </w:r>
      <w:r>
        <w:rPr>
          <w:rFonts w:eastAsia="Calibri" w:cstheme="minorHAnsi"/>
          <w:sz w:val="20"/>
          <w:szCs w:val="20"/>
          <w:lang w:val="el-GR"/>
        </w:rPr>
        <w:t>προσωπικό που χειρίζεται διαβαθμισμένες πληροφορίες της Δημοκρατίας και της ΕΕ,</w:t>
      </w:r>
      <w:r w:rsidRPr="00766FAF">
        <w:rPr>
          <w:rFonts w:eastAsia="Calibri" w:cstheme="minorHAnsi"/>
          <w:sz w:val="20"/>
          <w:szCs w:val="20"/>
          <w:lang w:val="el-GR"/>
        </w:rPr>
        <w:t xml:space="preserve"> </w:t>
      </w:r>
      <w:r>
        <w:rPr>
          <w:rFonts w:eastAsia="Calibri" w:cstheme="minorHAnsi"/>
          <w:sz w:val="20"/>
          <w:szCs w:val="20"/>
          <w:lang w:val="el-GR"/>
        </w:rPr>
        <w:t>και</w:t>
      </w:r>
    </w:p>
    <w:p w14:paraId="46B5ACBF" w14:textId="57878DC1" w:rsidR="00071F64" w:rsidRPr="00766FAF" w:rsidRDefault="00071F64" w:rsidP="00A5147D">
      <w:pPr>
        <w:rPr>
          <w:rFonts w:eastAsia="Calibri" w:cstheme="minorHAnsi"/>
          <w:sz w:val="20"/>
          <w:szCs w:val="20"/>
          <w:lang w:val="el-GR"/>
        </w:rPr>
      </w:pPr>
      <w:r w:rsidRPr="00766FAF">
        <w:rPr>
          <w:rFonts w:eastAsia="Calibri" w:cstheme="minorHAnsi"/>
          <w:sz w:val="20"/>
          <w:szCs w:val="20"/>
          <w:lang w:val="el-GR"/>
        </w:rPr>
        <w:t xml:space="preserve">(δ) </w:t>
      </w:r>
      <w:r>
        <w:rPr>
          <w:rFonts w:eastAsia="Calibri" w:cstheme="minorHAnsi"/>
          <w:sz w:val="20"/>
          <w:szCs w:val="20"/>
          <w:lang w:val="el-GR"/>
        </w:rPr>
        <w:t>οποιαδήποτε</w:t>
      </w:r>
      <w:r w:rsidRPr="00766FAF">
        <w:rPr>
          <w:rFonts w:eastAsia="Calibri" w:cstheme="minorHAnsi"/>
          <w:sz w:val="20"/>
          <w:szCs w:val="20"/>
          <w:lang w:val="el-GR"/>
        </w:rPr>
        <w:t xml:space="preserve"> </w:t>
      </w:r>
      <w:r>
        <w:rPr>
          <w:rFonts w:eastAsia="Calibri" w:cstheme="minorHAnsi"/>
          <w:sz w:val="20"/>
          <w:szCs w:val="20"/>
          <w:lang w:val="el-GR"/>
        </w:rPr>
        <w:t>άλλα</w:t>
      </w:r>
      <w:r w:rsidRPr="00766FAF">
        <w:rPr>
          <w:rFonts w:eastAsia="Calibri" w:cstheme="minorHAnsi"/>
          <w:sz w:val="20"/>
          <w:szCs w:val="20"/>
          <w:lang w:val="el-GR"/>
        </w:rPr>
        <w:t xml:space="preserve"> </w:t>
      </w:r>
      <w:r>
        <w:rPr>
          <w:rFonts w:eastAsia="Calibri" w:cstheme="minorHAnsi"/>
          <w:sz w:val="20"/>
          <w:szCs w:val="20"/>
          <w:lang w:val="el-GR"/>
        </w:rPr>
        <w:t>πρόσωπα που</w:t>
      </w:r>
      <w:r w:rsidRPr="00766FAF">
        <w:rPr>
          <w:rFonts w:eastAsia="Calibri" w:cstheme="minorHAnsi"/>
          <w:sz w:val="20"/>
          <w:szCs w:val="20"/>
          <w:lang w:val="el-GR"/>
        </w:rPr>
        <w:t xml:space="preserve">, </w:t>
      </w:r>
      <w:r>
        <w:rPr>
          <w:rFonts w:eastAsia="Calibri" w:cstheme="minorHAnsi"/>
          <w:sz w:val="20"/>
          <w:szCs w:val="20"/>
          <w:lang w:val="el-GR"/>
        </w:rPr>
        <w:t>λόγω</w:t>
      </w:r>
      <w:r w:rsidRPr="00766FAF">
        <w:rPr>
          <w:rFonts w:eastAsia="Calibri" w:cstheme="minorHAnsi"/>
          <w:sz w:val="20"/>
          <w:szCs w:val="20"/>
          <w:lang w:val="el-GR"/>
        </w:rPr>
        <w:t xml:space="preserve"> </w:t>
      </w:r>
      <w:r>
        <w:rPr>
          <w:rFonts w:eastAsia="Calibri" w:cstheme="minorHAnsi"/>
          <w:sz w:val="20"/>
          <w:szCs w:val="20"/>
          <w:lang w:val="el-GR"/>
        </w:rPr>
        <w:t>της</w:t>
      </w:r>
      <w:r w:rsidRPr="00766FAF">
        <w:rPr>
          <w:rFonts w:eastAsia="Calibri" w:cstheme="minorHAnsi"/>
          <w:sz w:val="20"/>
          <w:szCs w:val="20"/>
          <w:lang w:val="el-GR"/>
        </w:rPr>
        <w:t xml:space="preserve"> </w:t>
      </w:r>
      <w:r>
        <w:rPr>
          <w:rFonts w:eastAsia="Calibri" w:cstheme="minorHAnsi"/>
          <w:sz w:val="20"/>
          <w:szCs w:val="20"/>
          <w:lang w:val="el-GR"/>
        </w:rPr>
        <w:t>φύσης</w:t>
      </w:r>
      <w:r w:rsidRPr="00766FAF">
        <w:rPr>
          <w:rFonts w:eastAsia="Calibri" w:cstheme="minorHAnsi"/>
          <w:sz w:val="20"/>
          <w:szCs w:val="20"/>
          <w:lang w:val="el-GR"/>
        </w:rPr>
        <w:t xml:space="preserve"> </w:t>
      </w:r>
      <w:r>
        <w:rPr>
          <w:rFonts w:eastAsia="Calibri" w:cstheme="minorHAnsi"/>
          <w:sz w:val="20"/>
          <w:szCs w:val="20"/>
          <w:lang w:val="el-GR"/>
        </w:rPr>
        <w:t>της</w:t>
      </w:r>
      <w:r w:rsidRPr="00766FAF">
        <w:rPr>
          <w:rFonts w:eastAsia="Calibri" w:cstheme="minorHAnsi"/>
          <w:sz w:val="20"/>
          <w:szCs w:val="20"/>
          <w:lang w:val="el-GR"/>
        </w:rPr>
        <w:t xml:space="preserve"> </w:t>
      </w:r>
      <w:r>
        <w:rPr>
          <w:rFonts w:eastAsia="Calibri" w:cstheme="minorHAnsi"/>
          <w:sz w:val="20"/>
          <w:szCs w:val="20"/>
          <w:lang w:val="el-GR"/>
        </w:rPr>
        <w:t>εργασίας</w:t>
      </w:r>
      <w:r w:rsidRPr="00766FAF">
        <w:rPr>
          <w:rFonts w:eastAsia="Calibri" w:cstheme="minorHAnsi"/>
          <w:sz w:val="20"/>
          <w:szCs w:val="20"/>
          <w:lang w:val="el-GR"/>
        </w:rPr>
        <w:t xml:space="preserve"> </w:t>
      </w:r>
      <w:r>
        <w:rPr>
          <w:rFonts w:eastAsia="Calibri" w:cstheme="minorHAnsi"/>
          <w:sz w:val="20"/>
          <w:szCs w:val="20"/>
          <w:lang w:val="el-GR"/>
        </w:rPr>
        <w:t>τους</w:t>
      </w:r>
      <w:r w:rsidRPr="00766FAF">
        <w:rPr>
          <w:rFonts w:eastAsia="Calibri" w:cstheme="minorHAnsi"/>
          <w:sz w:val="20"/>
          <w:szCs w:val="20"/>
          <w:lang w:val="el-GR"/>
        </w:rPr>
        <w:t xml:space="preserve">, </w:t>
      </w:r>
      <w:r>
        <w:rPr>
          <w:rFonts w:eastAsia="Calibri" w:cstheme="minorHAnsi"/>
          <w:sz w:val="20"/>
          <w:szCs w:val="20"/>
          <w:lang w:val="el-GR"/>
        </w:rPr>
        <w:t>χειρίζονται</w:t>
      </w:r>
      <w:r w:rsidRPr="00766FAF">
        <w:rPr>
          <w:rFonts w:eastAsia="Calibri" w:cstheme="minorHAnsi"/>
          <w:sz w:val="20"/>
          <w:szCs w:val="20"/>
          <w:lang w:val="el-GR"/>
        </w:rPr>
        <w:t xml:space="preserve"> </w:t>
      </w:r>
      <w:r>
        <w:rPr>
          <w:rFonts w:eastAsia="Calibri" w:cstheme="minorHAnsi"/>
          <w:sz w:val="20"/>
          <w:szCs w:val="20"/>
          <w:lang w:val="el-GR"/>
        </w:rPr>
        <w:t>περιστασιακά ή</w:t>
      </w:r>
      <w:r w:rsidRPr="00766FAF">
        <w:rPr>
          <w:rFonts w:eastAsia="Calibri" w:cstheme="minorHAnsi"/>
          <w:sz w:val="20"/>
          <w:szCs w:val="20"/>
          <w:lang w:val="el-GR"/>
        </w:rPr>
        <w:t xml:space="preserve"> </w:t>
      </w:r>
      <w:r>
        <w:rPr>
          <w:rFonts w:eastAsia="Calibri" w:cstheme="minorHAnsi"/>
          <w:sz w:val="20"/>
          <w:szCs w:val="20"/>
          <w:lang w:val="el-GR"/>
        </w:rPr>
        <w:t>σε</w:t>
      </w:r>
      <w:r w:rsidRPr="00766FAF">
        <w:rPr>
          <w:rFonts w:eastAsia="Calibri" w:cstheme="minorHAnsi"/>
          <w:sz w:val="20"/>
          <w:szCs w:val="20"/>
          <w:lang w:val="el-GR"/>
        </w:rPr>
        <w:t xml:space="preserve"> </w:t>
      </w:r>
      <w:r>
        <w:rPr>
          <w:rFonts w:eastAsia="Calibri" w:cstheme="minorHAnsi"/>
          <w:sz w:val="20"/>
          <w:szCs w:val="20"/>
          <w:lang w:val="el-GR"/>
        </w:rPr>
        <w:t>τακτική</w:t>
      </w:r>
      <w:r w:rsidRPr="00766FAF">
        <w:rPr>
          <w:rFonts w:eastAsia="Calibri" w:cstheme="minorHAnsi"/>
          <w:sz w:val="20"/>
          <w:szCs w:val="20"/>
          <w:lang w:val="el-GR"/>
        </w:rPr>
        <w:t xml:space="preserve"> </w:t>
      </w:r>
      <w:r>
        <w:rPr>
          <w:rFonts w:eastAsia="Calibri" w:cstheme="minorHAnsi"/>
          <w:sz w:val="20"/>
          <w:szCs w:val="20"/>
          <w:lang w:val="el-GR"/>
        </w:rPr>
        <w:t>βάση</w:t>
      </w:r>
      <w:r w:rsidRPr="00766FAF">
        <w:rPr>
          <w:rFonts w:eastAsia="Calibri" w:cstheme="minorHAnsi"/>
          <w:sz w:val="20"/>
          <w:szCs w:val="20"/>
          <w:lang w:val="el-GR"/>
        </w:rPr>
        <w:t xml:space="preserve"> </w:t>
      </w:r>
      <w:r>
        <w:rPr>
          <w:rFonts w:eastAsia="Calibri" w:cstheme="minorHAnsi"/>
          <w:sz w:val="20"/>
          <w:szCs w:val="20"/>
          <w:lang w:val="el-GR"/>
        </w:rPr>
        <w:t>διαβαθμισμένες</w:t>
      </w:r>
      <w:r w:rsidRPr="00766FAF">
        <w:rPr>
          <w:rFonts w:eastAsia="Calibri" w:cstheme="minorHAnsi"/>
          <w:sz w:val="20"/>
          <w:szCs w:val="20"/>
          <w:lang w:val="el-GR"/>
        </w:rPr>
        <w:t xml:space="preserve"> </w:t>
      </w:r>
      <w:r>
        <w:rPr>
          <w:rFonts w:eastAsia="Calibri" w:cstheme="minorHAnsi"/>
          <w:sz w:val="20"/>
          <w:szCs w:val="20"/>
          <w:lang w:val="el-GR"/>
        </w:rPr>
        <w:t>πληροφορίες</w:t>
      </w:r>
      <w:r w:rsidRPr="00766FAF">
        <w:rPr>
          <w:rFonts w:eastAsia="Calibri" w:cstheme="minorHAnsi"/>
          <w:sz w:val="20"/>
          <w:szCs w:val="20"/>
          <w:lang w:val="el-GR"/>
        </w:rPr>
        <w:t xml:space="preserve"> </w:t>
      </w:r>
      <w:r>
        <w:rPr>
          <w:rFonts w:eastAsia="Calibri" w:cstheme="minorHAnsi"/>
          <w:sz w:val="20"/>
          <w:szCs w:val="20"/>
          <w:lang w:val="el-GR"/>
        </w:rPr>
        <w:t>της Δημοκρατίας και της ΕΕ</w:t>
      </w:r>
      <w:r w:rsidRPr="00766FAF">
        <w:rPr>
          <w:rFonts w:eastAsia="Calibri" w:cstheme="minorHAnsi"/>
          <w:sz w:val="20"/>
          <w:szCs w:val="20"/>
          <w:lang w:val="el-GR"/>
        </w:rPr>
        <w:t xml:space="preserve">, </w:t>
      </w:r>
      <w:r>
        <w:rPr>
          <w:rFonts w:eastAsia="Calibri" w:cstheme="minorHAnsi"/>
          <w:sz w:val="20"/>
          <w:szCs w:val="20"/>
          <w:lang w:val="el-GR"/>
        </w:rPr>
        <w:t xml:space="preserve">περιλαμβανομένων προσώπων που </w:t>
      </w:r>
      <w:proofErr w:type="spellStart"/>
      <w:r>
        <w:rPr>
          <w:rFonts w:eastAsia="Calibri" w:cstheme="minorHAnsi"/>
          <w:sz w:val="20"/>
          <w:szCs w:val="20"/>
          <w:lang w:val="el-GR"/>
        </w:rPr>
        <w:t>εργοδοτούνται</w:t>
      </w:r>
      <w:proofErr w:type="spellEnd"/>
      <w:r>
        <w:rPr>
          <w:rFonts w:eastAsia="Calibri" w:cstheme="minorHAnsi"/>
          <w:sz w:val="20"/>
          <w:szCs w:val="20"/>
          <w:lang w:val="el-GR"/>
        </w:rPr>
        <w:t xml:space="preserve"> από νομικά πρόσωπα</w:t>
      </w:r>
      <w:r w:rsidRPr="00766FAF">
        <w:rPr>
          <w:rFonts w:eastAsia="Calibri" w:cstheme="minorHAnsi"/>
          <w:sz w:val="20"/>
          <w:szCs w:val="20"/>
          <w:lang w:val="el-GR"/>
        </w:rPr>
        <w:t xml:space="preserve"> </w:t>
      </w:r>
      <w:r>
        <w:rPr>
          <w:rFonts w:eastAsia="Calibri" w:cstheme="minorHAnsi"/>
          <w:sz w:val="20"/>
          <w:szCs w:val="20"/>
          <w:lang w:val="el-GR"/>
        </w:rPr>
        <w:t>δημοσίου ή ιδιωτικού δικαίου</w:t>
      </w:r>
      <w:r w:rsidRPr="00766FAF">
        <w:rPr>
          <w:rFonts w:eastAsia="Calibri" w:cstheme="minorHAnsi"/>
          <w:sz w:val="20"/>
          <w:szCs w:val="20"/>
          <w:lang w:val="el-GR"/>
        </w:rPr>
        <w:t xml:space="preserve"> </w:t>
      </w:r>
      <w:r>
        <w:rPr>
          <w:rFonts w:eastAsia="Calibri" w:cstheme="minorHAnsi"/>
          <w:sz w:val="20"/>
          <w:szCs w:val="20"/>
          <w:lang w:val="el-GR"/>
        </w:rPr>
        <w:t>ή από δημοτικές αρχές,</w:t>
      </w:r>
    </w:p>
    <w:p w14:paraId="49A4D6C3" w14:textId="3B4A8923" w:rsidR="00071F64" w:rsidRPr="00766FAF" w:rsidRDefault="00071F64" w:rsidP="00A5147D">
      <w:pPr>
        <w:rPr>
          <w:rFonts w:eastAsia="Calibri" w:cstheme="minorHAnsi"/>
          <w:sz w:val="20"/>
          <w:szCs w:val="20"/>
          <w:lang w:val="el-GR"/>
        </w:rPr>
      </w:pPr>
      <w:r>
        <w:rPr>
          <w:rFonts w:eastAsia="Calibri" w:cstheme="minorHAnsi"/>
          <w:sz w:val="20"/>
          <w:szCs w:val="20"/>
          <w:lang w:val="el-GR"/>
        </w:rPr>
        <w:t>Οφείλουν να</w:t>
      </w:r>
      <w:r w:rsidRPr="00766FAF">
        <w:rPr>
          <w:rFonts w:eastAsia="Calibri" w:cstheme="minorHAnsi"/>
          <w:sz w:val="20"/>
          <w:szCs w:val="20"/>
          <w:lang w:val="el-GR"/>
        </w:rPr>
        <w:t xml:space="preserve"> </w:t>
      </w:r>
      <w:r>
        <w:rPr>
          <w:rFonts w:eastAsia="Calibri" w:cstheme="minorHAnsi"/>
          <w:sz w:val="20"/>
          <w:szCs w:val="20"/>
          <w:lang w:val="el-GR"/>
        </w:rPr>
        <w:t>συμμορφωθούν</w:t>
      </w:r>
      <w:r w:rsidRPr="00766FAF">
        <w:rPr>
          <w:rFonts w:eastAsia="Calibri" w:cstheme="minorHAnsi"/>
          <w:sz w:val="20"/>
          <w:szCs w:val="20"/>
          <w:lang w:val="el-GR"/>
        </w:rPr>
        <w:t xml:space="preserve"> </w:t>
      </w:r>
      <w:r>
        <w:rPr>
          <w:rFonts w:eastAsia="Calibri" w:cstheme="minorHAnsi"/>
          <w:sz w:val="20"/>
          <w:szCs w:val="20"/>
          <w:lang w:val="el-GR"/>
        </w:rPr>
        <w:t>με</w:t>
      </w:r>
      <w:r w:rsidRPr="00766FAF">
        <w:rPr>
          <w:rFonts w:eastAsia="Calibri" w:cstheme="minorHAnsi"/>
          <w:sz w:val="20"/>
          <w:szCs w:val="20"/>
          <w:lang w:val="el-GR"/>
        </w:rPr>
        <w:t xml:space="preserve"> </w:t>
      </w:r>
      <w:r>
        <w:rPr>
          <w:rFonts w:eastAsia="Calibri" w:cstheme="minorHAnsi"/>
          <w:sz w:val="20"/>
          <w:szCs w:val="20"/>
          <w:lang w:val="el-GR"/>
        </w:rPr>
        <w:t>τις</w:t>
      </w:r>
      <w:r w:rsidRPr="00766FAF">
        <w:rPr>
          <w:rFonts w:eastAsia="Calibri" w:cstheme="minorHAnsi"/>
          <w:sz w:val="20"/>
          <w:szCs w:val="20"/>
          <w:lang w:val="el-GR"/>
        </w:rPr>
        <w:t xml:space="preserve"> </w:t>
      </w:r>
      <w:r>
        <w:rPr>
          <w:rFonts w:eastAsia="Calibri" w:cstheme="minorHAnsi"/>
          <w:sz w:val="20"/>
          <w:szCs w:val="20"/>
          <w:lang w:val="el-GR"/>
        </w:rPr>
        <w:t>διατάξεις του</w:t>
      </w:r>
      <w:r w:rsidRPr="00766FAF">
        <w:rPr>
          <w:rFonts w:eastAsia="Calibri" w:cstheme="minorHAnsi"/>
          <w:sz w:val="20"/>
          <w:szCs w:val="20"/>
          <w:lang w:val="el-GR"/>
        </w:rPr>
        <w:t xml:space="preserve"> </w:t>
      </w:r>
      <w:r>
        <w:rPr>
          <w:rFonts w:eastAsia="Calibri" w:cstheme="minorHAnsi"/>
          <w:sz w:val="20"/>
          <w:szCs w:val="20"/>
          <w:lang w:val="el-GR"/>
        </w:rPr>
        <w:t>Νόμου</w:t>
      </w:r>
      <w:r w:rsidRPr="00766FAF">
        <w:rPr>
          <w:rFonts w:eastAsia="Calibri" w:cstheme="minorHAnsi"/>
          <w:sz w:val="20"/>
          <w:szCs w:val="20"/>
          <w:lang w:val="el-GR"/>
        </w:rPr>
        <w:t xml:space="preserve"> </w:t>
      </w:r>
      <w:r>
        <w:rPr>
          <w:rFonts w:eastAsia="Calibri" w:cstheme="minorHAnsi"/>
          <w:sz w:val="20"/>
          <w:szCs w:val="20"/>
          <w:lang w:val="el-GR"/>
        </w:rPr>
        <w:t>αυτού</w:t>
      </w:r>
      <w:r w:rsidRPr="00766FAF">
        <w:rPr>
          <w:rFonts w:eastAsia="Calibri" w:cstheme="minorHAnsi"/>
          <w:sz w:val="20"/>
          <w:szCs w:val="20"/>
          <w:lang w:val="el-GR"/>
        </w:rPr>
        <w:t xml:space="preserve"> </w:t>
      </w:r>
      <w:r>
        <w:rPr>
          <w:rFonts w:eastAsia="Calibri" w:cstheme="minorHAnsi"/>
          <w:sz w:val="20"/>
          <w:szCs w:val="20"/>
          <w:lang w:val="el-GR"/>
        </w:rPr>
        <w:t>και</w:t>
      </w:r>
      <w:r w:rsidRPr="00766FAF">
        <w:rPr>
          <w:rFonts w:eastAsia="Calibri" w:cstheme="minorHAnsi"/>
          <w:sz w:val="20"/>
          <w:szCs w:val="20"/>
          <w:lang w:val="el-GR"/>
        </w:rPr>
        <w:t xml:space="preserve"> </w:t>
      </w:r>
      <w:r>
        <w:rPr>
          <w:rFonts w:eastAsia="Calibri" w:cstheme="minorHAnsi"/>
          <w:sz w:val="20"/>
          <w:szCs w:val="20"/>
          <w:lang w:val="el-GR"/>
        </w:rPr>
        <w:t>τις</w:t>
      </w:r>
      <w:r w:rsidRPr="00766FAF">
        <w:rPr>
          <w:rFonts w:eastAsia="Calibri" w:cstheme="minorHAnsi"/>
          <w:sz w:val="20"/>
          <w:szCs w:val="20"/>
          <w:lang w:val="el-GR"/>
        </w:rPr>
        <w:t xml:space="preserve"> </w:t>
      </w:r>
      <w:r>
        <w:rPr>
          <w:rFonts w:eastAsia="Calibri" w:cstheme="minorHAnsi"/>
          <w:sz w:val="20"/>
          <w:szCs w:val="20"/>
          <w:lang w:val="el-GR"/>
        </w:rPr>
        <w:t>πρόνοιες</w:t>
      </w:r>
      <w:r w:rsidRPr="00766FAF">
        <w:rPr>
          <w:rFonts w:eastAsia="Calibri" w:cstheme="minorHAnsi"/>
          <w:sz w:val="20"/>
          <w:szCs w:val="20"/>
          <w:lang w:val="el-GR"/>
        </w:rPr>
        <w:t xml:space="preserve"> </w:t>
      </w:r>
      <w:r>
        <w:rPr>
          <w:rFonts w:eastAsia="Calibri" w:cstheme="minorHAnsi"/>
          <w:sz w:val="20"/>
          <w:szCs w:val="20"/>
          <w:lang w:val="el-GR"/>
        </w:rPr>
        <w:t>των</w:t>
      </w:r>
      <w:r w:rsidRPr="00766FAF">
        <w:rPr>
          <w:rFonts w:eastAsia="Calibri" w:cstheme="minorHAnsi"/>
          <w:sz w:val="20"/>
          <w:szCs w:val="20"/>
          <w:lang w:val="el-GR"/>
        </w:rPr>
        <w:t xml:space="preserve"> </w:t>
      </w:r>
      <w:r>
        <w:rPr>
          <w:rFonts w:eastAsia="Calibri" w:cstheme="minorHAnsi"/>
          <w:sz w:val="20"/>
          <w:szCs w:val="20"/>
          <w:lang w:val="el-GR"/>
        </w:rPr>
        <w:t>Κανονισμών και</w:t>
      </w:r>
      <w:r w:rsidRPr="00766FAF">
        <w:rPr>
          <w:rFonts w:eastAsia="Calibri" w:cstheme="minorHAnsi"/>
          <w:sz w:val="20"/>
          <w:szCs w:val="20"/>
          <w:lang w:val="el-GR"/>
        </w:rPr>
        <w:t xml:space="preserve"> </w:t>
      </w:r>
      <w:r>
        <w:rPr>
          <w:rFonts w:eastAsia="Calibri" w:cstheme="minorHAnsi"/>
          <w:sz w:val="20"/>
          <w:szCs w:val="20"/>
          <w:lang w:val="el-GR"/>
        </w:rPr>
        <w:t>Διαταγμάτων</w:t>
      </w:r>
      <w:r w:rsidRPr="00766FAF">
        <w:rPr>
          <w:rFonts w:eastAsia="Calibri" w:cstheme="minorHAnsi"/>
          <w:sz w:val="20"/>
          <w:szCs w:val="20"/>
          <w:lang w:val="el-GR"/>
        </w:rPr>
        <w:t xml:space="preserve"> </w:t>
      </w:r>
      <w:r>
        <w:rPr>
          <w:rFonts w:eastAsia="Calibri" w:cstheme="minorHAnsi"/>
          <w:sz w:val="20"/>
          <w:szCs w:val="20"/>
          <w:lang w:val="el-GR"/>
        </w:rPr>
        <w:t>που εκδίδονται δυνάμει αυτού</w:t>
      </w:r>
      <w:r w:rsidRPr="00766FAF">
        <w:rPr>
          <w:rFonts w:eastAsia="Calibri" w:cstheme="minorHAnsi"/>
          <w:sz w:val="20"/>
          <w:szCs w:val="20"/>
          <w:lang w:val="el-GR"/>
        </w:rPr>
        <w:t xml:space="preserve"> </w:t>
      </w:r>
      <w:r>
        <w:rPr>
          <w:rFonts w:eastAsia="Calibri" w:cstheme="minorHAnsi"/>
          <w:sz w:val="20"/>
          <w:szCs w:val="20"/>
          <w:lang w:val="el-GR"/>
        </w:rPr>
        <w:t>και στην περίπτωση των διαβαθμισμένων πληροφοριών της ΕΕ,</w:t>
      </w:r>
      <w:r w:rsidRPr="00766FAF">
        <w:rPr>
          <w:rFonts w:eastAsia="Calibri" w:cstheme="minorHAnsi"/>
          <w:sz w:val="20"/>
          <w:szCs w:val="20"/>
          <w:lang w:val="el-GR"/>
        </w:rPr>
        <w:t xml:space="preserve"> </w:t>
      </w:r>
      <w:r>
        <w:rPr>
          <w:rFonts w:eastAsia="Calibri" w:cstheme="minorHAnsi"/>
          <w:sz w:val="20"/>
          <w:szCs w:val="20"/>
          <w:lang w:val="el-GR"/>
        </w:rPr>
        <w:t>τις διατάξεις της Απόφασης</w:t>
      </w:r>
      <w:r w:rsidRPr="00766FAF">
        <w:rPr>
          <w:rFonts w:eastAsia="Calibri" w:cstheme="minorHAnsi"/>
          <w:sz w:val="20"/>
          <w:szCs w:val="20"/>
          <w:lang w:val="el-GR"/>
        </w:rPr>
        <w:t xml:space="preserve"> 2013/488 / </w:t>
      </w:r>
      <w:r w:rsidRPr="004161BF">
        <w:rPr>
          <w:rFonts w:eastAsia="Calibri" w:cstheme="minorHAnsi"/>
          <w:sz w:val="20"/>
          <w:szCs w:val="20"/>
        </w:rPr>
        <w:t>E</w:t>
      </w:r>
      <w:r>
        <w:rPr>
          <w:rFonts w:eastAsia="Calibri" w:cstheme="minorHAnsi"/>
          <w:sz w:val="20"/>
          <w:szCs w:val="20"/>
          <w:lang w:val="el-GR"/>
        </w:rPr>
        <w:t>Ε</w:t>
      </w:r>
      <w:r w:rsidRPr="00766FAF">
        <w:rPr>
          <w:rFonts w:eastAsia="Calibri" w:cstheme="minorHAnsi"/>
          <w:sz w:val="20"/>
          <w:szCs w:val="20"/>
          <w:lang w:val="el-GR"/>
        </w:rPr>
        <w:t>.</w:t>
      </w:r>
    </w:p>
  </w:footnote>
  <w:footnote w:id="54">
    <w:p w14:paraId="1C4EC621" w14:textId="54BDD742" w:rsidR="00071F64" w:rsidRPr="004A79E0" w:rsidRDefault="00071F64" w:rsidP="00A5147D">
      <w:pPr>
        <w:rPr>
          <w:rFonts w:eastAsia="Calibri" w:cstheme="minorHAnsi"/>
          <w:sz w:val="20"/>
          <w:szCs w:val="20"/>
          <w:lang w:val="el-GR"/>
        </w:rPr>
      </w:pPr>
      <w:r w:rsidRPr="004161BF">
        <w:rPr>
          <w:rStyle w:val="FootnoteReference"/>
          <w:rFonts w:cstheme="minorHAnsi"/>
          <w:sz w:val="20"/>
          <w:szCs w:val="20"/>
        </w:rPr>
        <w:footnoteRef/>
      </w:r>
      <w:r w:rsidRPr="004A79E0">
        <w:rPr>
          <w:rFonts w:cstheme="minorHAnsi"/>
          <w:sz w:val="20"/>
          <w:szCs w:val="20"/>
          <w:lang w:val="el-GR"/>
        </w:rPr>
        <w:t xml:space="preserve"> </w:t>
      </w:r>
      <w:r>
        <w:rPr>
          <w:rFonts w:cstheme="minorHAnsi"/>
          <w:sz w:val="20"/>
          <w:szCs w:val="20"/>
          <w:lang w:val="el-GR"/>
        </w:rPr>
        <w:t>Οι παράγραφοι</w:t>
      </w:r>
      <w:r w:rsidRPr="004A79E0">
        <w:rPr>
          <w:rFonts w:eastAsia="Calibri" w:cstheme="minorHAnsi"/>
          <w:sz w:val="20"/>
          <w:szCs w:val="20"/>
          <w:lang w:val="el-GR"/>
        </w:rPr>
        <w:t xml:space="preserve"> 2 </w:t>
      </w:r>
      <w:r>
        <w:rPr>
          <w:rFonts w:eastAsia="Calibri" w:cstheme="minorHAnsi"/>
          <w:sz w:val="20"/>
          <w:szCs w:val="20"/>
          <w:lang w:val="el-GR"/>
        </w:rPr>
        <w:t>μέχρι</w:t>
      </w:r>
      <w:r w:rsidRPr="004A79E0">
        <w:rPr>
          <w:rFonts w:eastAsia="Calibri" w:cstheme="minorHAnsi"/>
          <w:sz w:val="20"/>
          <w:szCs w:val="20"/>
          <w:lang w:val="el-GR"/>
        </w:rPr>
        <w:t xml:space="preserve"> 6 </w:t>
      </w:r>
      <w:r>
        <w:rPr>
          <w:rFonts w:eastAsia="Calibri" w:cstheme="minorHAnsi"/>
          <w:sz w:val="20"/>
          <w:szCs w:val="20"/>
          <w:lang w:val="el-GR"/>
        </w:rPr>
        <w:t>του Άρθρου</w:t>
      </w:r>
      <w:r w:rsidRPr="004A79E0">
        <w:rPr>
          <w:rFonts w:eastAsia="Calibri" w:cstheme="minorHAnsi"/>
          <w:sz w:val="20"/>
          <w:szCs w:val="20"/>
          <w:lang w:val="el-GR"/>
        </w:rPr>
        <w:t xml:space="preserve"> 15 </w:t>
      </w:r>
      <w:r>
        <w:rPr>
          <w:rFonts w:eastAsia="Calibri" w:cstheme="minorHAnsi"/>
          <w:sz w:val="20"/>
          <w:szCs w:val="20"/>
          <w:lang w:val="el-GR"/>
        </w:rPr>
        <w:t>δηλώνουν ότι</w:t>
      </w:r>
      <w:r w:rsidRPr="004A79E0">
        <w:rPr>
          <w:rFonts w:eastAsia="Calibri" w:cstheme="minorHAnsi"/>
          <w:sz w:val="20"/>
          <w:szCs w:val="20"/>
          <w:lang w:val="el-GR"/>
        </w:rPr>
        <w:t>:</w:t>
      </w:r>
    </w:p>
    <w:p w14:paraId="1513A261" w14:textId="21687D4A" w:rsidR="00071F64" w:rsidRPr="004A79E0" w:rsidRDefault="00071F64" w:rsidP="00A5147D">
      <w:pPr>
        <w:rPr>
          <w:rFonts w:eastAsia="Calibri" w:cstheme="minorHAnsi"/>
          <w:sz w:val="20"/>
          <w:szCs w:val="20"/>
          <w:lang w:val="el-GR"/>
        </w:rPr>
      </w:pPr>
      <w:r w:rsidRPr="004A79E0">
        <w:rPr>
          <w:rFonts w:eastAsia="Calibri" w:cstheme="minorHAnsi"/>
          <w:sz w:val="20"/>
          <w:szCs w:val="20"/>
          <w:lang w:val="el-GR"/>
        </w:rPr>
        <w:t xml:space="preserve">(2) </w:t>
      </w:r>
      <w:r>
        <w:rPr>
          <w:rFonts w:eastAsia="Calibri" w:cstheme="minorHAnsi"/>
          <w:sz w:val="20"/>
          <w:szCs w:val="20"/>
          <w:lang w:val="el-GR"/>
        </w:rPr>
        <w:t>Όλα</w:t>
      </w:r>
      <w:r w:rsidRPr="004A79E0">
        <w:rPr>
          <w:rFonts w:eastAsia="Calibri" w:cstheme="minorHAnsi"/>
          <w:sz w:val="20"/>
          <w:szCs w:val="20"/>
          <w:lang w:val="el-GR"/>
        </w:rPr>
        <w:t xml:space="preserve"> </w:t>
      </w:r>
      <w:r>
        <w:rPr>
          <w:rFonts w:eastAsia="Calibri" w:cstheme="minorHAnsi"/>
          <w:sz w:val="20"/>
          <w:szCs w:val="20"/>
          <w:lang w:val="el-GR"/>
        </w:rPr>
        <w:t>τα</w:t>
      </w:r>
      <w:r w:rsidRPr="004A79E0">
        <w:rPr>
          <w:rFonts w:eastAsia="Calibri" w:cstheme="minorHAnsi"/>
          <w:sz w:val="20"/>
          <w:szCs w:val="20"/>
          <w:lang w:val="el-GR"/>
        </w:rPr>
        <w:t xml:space="preserve"> </w:t>
      </w:r>
      <w:r>
        <w:rPr>
          <w:rFonts w:eastAsia="Calibri" w:cstheme="minorHAnsi"/>
          <w:sz w:val="20"/>
          <w:szCs w:val="20"/>
          <w:lang w:val="el-GR"/>
        </w:rPr>
        <w:t>πρόσωπα που</w:t>
      </w:r>
      <w:r w:rsidRPr="004A79E0">
        <w:rPr>
          <w:rFonts w:eastAsia="Calibri" w:cstheme="minorHAnsi"/>
          <w:sz w:val="20"/>
          <w:szCs w:val="20"/>
          <w:lang w:val="el-GR"/>
        </w:rPr>
        <w:t xml:space="preserve"> </w:t>
      </w:r>
      <w:r>
        <w:rPr>
          <w:rFonts w:eastAsia="Calibri" w:cstheme="minorHAnsi"/>
          <w:sz w:val="20"/>
          <w:szCs w:val="20"/>
          <w:lang w:val="el-GR"/>
        </w:rPr>
        <w:t>απαιτείται να</w:t>
      </w:r>
      <w:r w:rsidRPr="004A79E0">
        <w:rPr>
          <w:rFonts w:eastAsia="Calibri" w:cstheme="minorHAnsi"/>
          <w:sz w:val="20"/>
          <w:szCs w:val="20"/>
          <w:lang w:val="el-GR"/>
        </w:rPr>
        <w:t xml:space="preserve"> </w:t>
      </w:r>
      <w:r>
        <w:rPr>
          <w:rFonts w:eastAsia="Calibri" w:cstheme="minorHAnsi"/>
          <w:sz w:val="20"/>
          <w:szCs w:val="20"/>
          <w:lang w:val="el-GR"/>
        </w:rPr>
        <w:t>έχουν</w:t>
      </w:r>
      <w:r w:rsidRPr="004A79E0">
        <w:rPr>
          <w:rFonts w:eastAsia="Calibri" w:cstheme="minorHAnsi"/>
          <w:sz w:val="20"/>
          <w:szCs w:val="20"/>
          <w:lang w:val="el-GR"/>
        </w:rPr>
        <w:t xml:space="preserve"> </w:t>
      </w:r>
      <w:r>
        <w:rPr>
          <w:rFonts w:eastAsia="Calibri" w:cstheme="minorHAnsi"/>
          <w:sz w:val="20"/>
          <w:szCs w:val="20"/>
          <w:lang w:val="el-GR"/>
        </w:rPr>
        <w:t>πρόσβαση</w:t>
      </w:r>
      <w:r w:rsidRPr="004A79E0">
        <w:rPr>
          <w:rFonts w:eastAsia="Calibri" w:cstheme="minorHAnsi"/>
          <w:sz w:val="20"/>
          <w:szCs w:val="20"/>
          <w:lang w:val="el-GR"/>
        </w:rPr>
        <w:t xml:space="preserve"> </w:t>
      </w:r>
      <w:r>
        <w:rPr>
          <w:rFonts w:eastAsia="Calibri" w:cstheme="minorHAnsi"/>
          <w:sz w:val="20"/>
          <w:szCs w:val="20"/>
          <w:lang w:val="el-GR"/>
        </w:rPr>
        <w:t>σε</w:t>
      </w:r>
      <w:r w:rsidRPr="004A79E0">
        <w:rPr>
          <w:rFonts w:eastAsia="Calibri" w:cstheme="minorHAnsi"/>
          <w:sz w:val="20"/>
          <w:szCs w:val="20"/>
          <w:lang w:val="el-GR"/>
        </w:rPr>
        <w:t xml:space="preserve"> </w:t>
      </w:r>
      <w:r>
        <w:rPr>
          <w:rFonts w:eastAsia="Calibri" w:cstheme="minorHAnsi"/>
          <w:sz w:val="20"/>
          <w:szCs w:val="20"/>
          <w:lang w:val="el-GR"/>
        </w:rPr>
        <w:t>διαβαθμισμένες</w:t>
      </w:r>
      <w:r w:rsidRPr="004A79E0">
        <w:rPr>
          <w:rFonts w:eastAsia="Calibri" w:cstheme="minorHAnsi"/>
          <w:sz w:val="20"/>
          <w:szCs w:val="20"/>
          <w:lang w:val="el-GR"/>
        </w:rPr>
        <w:t xml:space="preserve"> </w:t>
      </w:r>
      <w:r>
        <w:rPr>
          <w:rFonts w:eastAsia="Calibri" w:cstheme="minorHAnsi"/>
          <w:sz w:val="20"/>
          <w:szCs w:val="20"/>
          <w:lang w:val="el-GR"/>
        </w:rPr>
        <w:t>πληροφορίες</w:t>
      </w:r>
      <w:r w:rsidRPr="004A79E0">
        <w:rPr>
          <w:rFonts w:eastAsia="Calibri" w:cstheme="minorHAnsi"/>
          <w:sz w:val="20"/>
          <w:szCs w:val="20"/>
          <w:lang w:val="el-GR"/>
        </w:rPr>
        <w:t xml:space="preserve"> </w:t>
      </w:r>
      <w:r>
        <w:rPr>
          <w:rFonts w:eastAsia="Calibri" w:cstheme="minorHAnsi"/>
          <w:sz w:val="20"/>
          <w:szCs w:val="20"/>
          <w:lang w:val="el-GR"/>
        </w:rPr>
        <w:t>και</w:t>
      </w:r>
      <w:r w:rsidRPr="004A79E0">
        <w:rPr>
          <w:rFonts w:eastAsia="Calibri" w:cstheme="minorHAnsi"/>
          <w:sz w:val="20"/>
          <w:szCs w:val="20"/>
          <w:lang w:val="el-GR"/>
        </w:rPr>
        <w:t>/</w:t>
      </w:r>
      <w:r>
        <w:rPr>
          <w:rFonts w:eastAsia="Calibri" w:cstheme="minorHAnsi"/>
          <w:sz w:val="20"/>
          <w:szCs w:val="20"/>
          <w:lang w:val="el-GR"/>
        </w:rPr>
        <w:t>ή</w:t>
      </w:r>
      <w:r w:rsidRPr="004A79E0">
        <w:rPr>
          <w:rFonts w:eastAsia="Calibri" w:cstheme="minorHAnsi"/>
          <w:sz w:val="20"/>
          <w:szCs w:val="20"/>
          <w:lang w:val="el-GR"/>
        </w:rPr>
        <w:t xml:space="preserve"> </w:t>
      </w:r>
      <w:r>
        <w:rPr>
          <w:rFonts w:eastAsia="Calibri" w:cstheme="minorHAnsi"/>
          <w:sz w:val="20"/>
          <w:szCs w:val="20"/>
          <w:lang w:val="el-GR"/>
        </w:rPr>
        <w:t>διαβαθμισμένες</w:t>
      </w:r>
      <w:r w:rsidRPr="004A79E0">
        <w:rPr>
          <w:rFonts w:eastAsia="Calibri" w:cstheme="minorHAnsi"/>
          <w:sz w:val="20"/>
          <w:szCs w:val="20"/>
          <w:lang w:val="el-GR"/>
        </w:rPr>
        <w:t xml:space="preserve"> </w:t>
      </w:r>
      <w:r>
        <w:rPr>
          <w:rFonts w:eastAsia="Calibri" w:cstheme="minorHAnsi"/>
          <w:sz w:val="20"/>
          <w:szCs w:val="20"/>
          <w:lang w:val="el-GR"/>
        </w:rPr>
        <w:t>πληροφορίες</w:t>
      </w:r>
      <w:r w:rsidRPr="004A79E0">
        <w:rPr>
          <w:rFonts w:eastAsia="Calibri" w:cstheme="minorHAnsi"/>
          <w:sz w:val="20"/>
          <w:szCs w:val="20"/>
          <w:lang w:val="el-GR"/>
        </w:rPr>
        <w:t xml:space="preserve"> </w:t>
      </w:r>
      <w:r>
        <w:rPr>
          <w:rFonts w:eastAsia="Calibri" w:cstheme="minorHAnsi"/>
          <w:sz w:val="20"/>
          <w:szCs w:val="20"/>
          <w:lang w:val="el-GR"/>
        </w:rPr>
        <w:t>της</w:t>
      </w:r>
      <w:r w:rsidRPr="004A79E0">
        <w:rPr>
          <w:rFonts w:eastAsia="Calibri" w:cstheme="minorHAnsi"/>
          <w:sz w:val="20"/>
          <w:szCs w:val="20"/>
          <w:lang w:val="el-GR"/>
        </w:rPr>
        <w:t xml:space="preserve"> </w:t>
      </w:r>
      <w:r>
        <w:rPr>
          <w:rFonts w:eastAsia="Calibri" w:cstheme="minorHAnsi"/>
          <w:sz w:val="20"/>
          <w:szCs w:val="20"/>
          <w:lang w:val="el-GR"/>
        </w:rPr>
        <w:t>ΕΕ</w:t>
      </w:r>
      <w:r w:rsidRPr="004A79E0">
        <w:rPr>
          <w:rFonts w:eastAsia="Calibri" w:cstheme="minorHAnsi"/>
          <w:sz w:val="20"/>
          <w:szCs w:val="20"/>
          <w:lang w:val="el-GR"/>
        </w:rPr>
        <w:t xml:space="preserve"> </w:t>
      </w:r>
      <w:r>
        <w:rPr>
          <w:rFonts w:eastAsia="Calibri" w:cstheme="minorHAnsi"/>
          <w:sz w:val="20"/>
          <w:szCs w:val="20"/>
          <w:lang w:val="el-GR"/>
        </w:rPr>
        <w:t>θα</w:t>
      </w:r>
      <w:r w:rsidRPr="004A79E0">
        <w:rPr>
          <w:rFonts w:eastAsia="Calibri" w:cstheme="minorHAnsi"/>
          <w:sz w:val="20"/>
          <w:szCs w:val="20"/>
          <w:lang w:val="el-GR"/>
        </w:rPr>
        <w:t xml:space="preserve"> </w:t>
      </w:r>
      <w:r>
        <w:rPr>
          <w:rFonts w:eastAsia="Calibri" w:cstheme="minorHAnsi"/>
          <w:sz w:val="20"/>
          <w:szCs w:val="20"/>
          <w:lang w:val="el-GR"/>
        </w:rPr>
        <w:t>υπόκεινται</w:t>
      </w:r>
      <w:r w:rsidRPr="004A79E0">
        <w:rPr>
          <w:rFonts w:eastAsia="Calibri" w:cstheme="minorHAnsi"/>
          <w:sz w:val="20"/>
          <w:szCs w:val="20"/>
          <w:lang w:val="el-GR"/>
        </w:rPr>
        <w:t xml:space="preserve"> </w:t>
      </w:r>
      <w:r>
        <w:rPr>
          <w:rFonts w:eastAsia="Calibri" w:cstheme="minorHAnsi"/>
          <w:sz w:val="20"/>
          <w:szCs w:val="20"/>
          <w:lang w:val="el-GR"/>
        </w:rPr>
        <w:t>σε</w:t>
      </w:r>
      <w:r w:rsidRPr="004A79E0">
        <w:rPr>
          <w:rFonts w:eastAsia="Calibri" w:cstheme="minorHAnsi"/>
          <w:sz w:val="20"/>
          <w:szCs w:val="20"/>
          <w:lang w:val="el-GR"/>
        </w:rPr>
        <w:t xml:space="preserve"> </w:t>
      </w:r>
      <w:r>
        <w:rPr>
          <w:rFonts w:eastAsia="Calibri" w:cstheme="minorHAnsi"/>
          <w:sz w:val="20"/>
          <w:szCs w:val="20"/>
          <w:lang w:val="el-GR"/>
        </w:rPr>
        <w:t>έλεγχο ώστε να εξακριβώνεται κατά πόσο αυτά είναι έμπιστα</w:t>
      </w:r>
      <w:r w:rsidRPr="004A79E0">
        <w:rPr>
          <w:rFonts w:eastAsia="Calibri" w:cstheme="minorHAnsi"/>
          <w:sz w:val="20"/>
          <w:szCs w:val="20"/>
          <w:lang w:val="el-GR"/>
        </w:rPr>
        <w:t xml:space="preserve">, </w:t>
      </w:r>
      <w:r>
        <w:rPr>
          <w:rFonts w:eastAsia="Calibri" w:cstheme="minorHAnsi"/>
          <w:sz w:val="20"/>
          <w:szCs w:val="20"/>
          <w:lang w:val="el-GR"/>
        </w:rPr>
        <w:t>διαθέτουν χαρακτήρα</w:t>
      </w:r>
      <w:r w:rsidRPr="004A79E0">
        <w:rPr>
          <w:rFonts w:eastAsia="Calibri" w:cstheme="minorHAnsi"/>
          <w:sz w:val="20"/>
          <w:szCs w:val="20"/>
          <w:lang w:val="el-GR"/>
        </w:rPr>
        <w:t xml:space="preserve"> </w:t>
      </w:r>
      <w:r>
        <w:rPr>
          <w:rFonts w:eastAsia="Calibri" w:cstheme="minorHAnsi"/>
          <w:sz w:val="20"/>
          <w:szCs w:val="20"/>
          <w:lang w:val="el-GR"/>
        </w:rPr>
        <w:t>και</w:t>
      </w:r>
      <w:r w:rsidRPr="004A79E0">
        <w:rPr>
          <w:rFonts w:eastAsia="Calibri" w:cstheme="minorHAnsi"/>
          <w:sz w:val="20"/>
          <w:szCs w:val="20"/>
          <w:lang w:val="el-GR"/>
        </w:rPr>
        <w:t xml:space="preserve"> </w:t>
      </w:r>
      <w:r>
        <w:rPr>
          <w:rFonts w:eastAsia="Calibri" w:cstheme="minorHAnsi"/>
          <w:sz w:val="20"/>
          <w:szCs w:val="20"/>
          <w:lang w:val="el-GR"/>
        </w:rPr>
        <w:t>σύνεση</w:t>
      </w:r>
      <w:r w:rsidRPr="004A79E0">
        <w:rPr>
          <w:rFonts w:eastAsia="Calibri" w:cstheme="minorHAnsi"/>
          <w:sz w:val="20"/>
          <w:szCs w:val="20"/>
          <w:lang w:val="el-GR"/>
        </w:rPr>
        <w:t xml:space="preserve">, </w:t>
      </w:r>
      <w:r>
        <w:rPr>
          <w:rFonts w:eastAsia="Calibri" w:cstheme="minorHAnsi"/>
          <w:sz w:val="20"/>
          <w:szCs w:val="20"/>
          <w:lang w:val="el-GR"/>
        </w:rPr>
        <w:t>ώστε</w:t>
      </w:r>
      <w:r w:rsidRPr="004A79E0">
        <w:rPr>
          <w:rFonts w:eastAsia="Calibri" w:cstheme="minorHAnsi"/>
          <w:sz w:val="20"/>
          <w:szCs w:val="20"/>
          <w:lang w:val="el-GR"/>
        </w:rPr>
        <w:t xml:space="preserve"> </w:t>
      </w:r>
      <w:r>
        <w:rPr>
          <w:rFonts w:eastAsia="Calibri" w:cstheme="minorHAnsi"/>
          <w:sz w:val="20"/>
          <w:szCs w:val="20"/>
          <w:lang w:val="el-GR"/>
        </w:rPr>
        <w:t>να</w:t>
      </w:r>
      <w:r w:rsidRPr="004A79E0">
        <w:rPr>
          <w:rFonts w:eastAsia="Calibri" w:cstheme="minorHAnsi"/>
          <w:sz w:val="20"/>
          <w:szCs w:val="20"/>
          <w:lang w:val="el-GR"/>
        </w:rPr>
        <w:t xml:space="preserve"> </w:t>
      </w:r>
      <w:r>
        <w:rPr>
          <w:rFonts w:eastAsia="Calibri" w:cstheme="minorHAnsi"/>
          <w:sz w:val="20"/>
          <w:szCs w:val="20"/>
          <w:lang w:val="el-GR"/>
        </w:rPr>
        <w:t>μη</w:t>
      </w:r>
      <w:r w:rsidRPr="004A79E0">
        <w:rPr>
          <w:rFonts w:eastAsia="Calibri" w:cstheme="minorHAnsi"/>
          <w:sz w:val="20"/>
          <w:szCs w:val="20"/>
          <w:lang w:val="el-GR"/>
        </w:rPr>
        <w:t xml:space="preserve"> </w:t>
      </w:r>
      <w:r>
        <w:rPr>
          <w:rFonts w:eastAsia="Calibri" w:cstheme="minorHAnsi"/>
          <w:sz w:val="20"/>
          <w:szCs w:val="20"/>
          <w:lang w:val="el-GR"/>
        </w:rPr>
        <w:t>δημιουργούν αμφιβολίες για την</w:t>
      </w:r>
      <w:r w:rsidRPr="004A79E0">
        <w:rPr>
          <w:rFonts w:eastAsia="Calibri" w:cstheme="minorHAnsi"/>
          <w:sz w:val="20"/>
          <w:szCs w:val="20"/>
          <w:lang w:val="el-GR"/>
        </w:rPr>
        <w:t xml:space="preserve"> </w:t>
      </w:r>
      <w:r>
        <w:rPr>
          <w:rFonts w:eastAsia="Calibri" w:cstheme="minorHAnsi"/>
          <w:sz w:val="20"/>
          <w:szCs w:val="20"/>
          <w:lang w:val="el-GR"/>
        </w:rPr>
        <w:t>αξιοπιστία</w:t>
      </w:r>
      <w:r w:rsidRPr="004A79E0">
        <w:rPr>
          <w:rFonts w:eastAsia="Calibri" w:cstheme="minorHAnsi"/>
          <w:sz w:val="20"/>
          <w:szCs w:val="20"/>
          <w:lang w:val="el-GR"/>
        </w:rPr>
        <w:t xml:space="preserve"> </w:t>
      </w:r>
      <w:r>
        <w:rPr>
          <w:rFonts w:eastAsia="Calibri" w:cstheme="minorHAnsi"/>
          <w:sz w:val="20"/>
          <w:szCs w:val="20"/>
          <w:lang w:val="el-GR"/>
        </w:rPr>
        <w:t>τους</w:t>
      </w:r>
      <w:r w:rsidRPr="004A79E0">
        <w:rPr>
          <w:rFonts w:eastAsia="Calibri" w:cstheme="minorHAnsi"/>
          <w:sz w:val="20"/>
          <w:szCs w:val="20"/>
          <w:lang w:val="el-GR"/>
        </w:rPr>
        <w:t xml:space="preserve">, </w:t>
      </w:r>
      <w:r>
        <w:rPr>
          <w:rFonts w:eastAsia="Calibri" w:cstheme="minorHAnsi"/>
          <w:sz w:val="20"/>
          <w:szCs w:val="20"/>
          <w:lang w:val="el-GR"/>
        </w:rPr>
        <w:t>και</w:t>
      </w:r>
      <w:r w:rsidRPr="004A79E0">
        <w:rPr>
          <w:rFonts w:eastAsia="Calibri" w:cstheme="minorHAnsi"/>
          <w:sz w:val="20"/>
          <w:szCs w:val="20"/>
          <w:lang w:val="el-GR"/>
        </w:rPr>
        <w:t xml:space="preserve"> </w:t>
      </w:r>
      <w:r>
        <w:rPr>
          <w:rFonts w:eastAsia="Calibri" w:cstheme="minorHAnsi"/>
          <w:sz w:val="20"/>
          <w:szCs w:val="20"/>
          <w:lang w:val="el-GR"/>
        </w:rPr>
        <w:t xml:space="preserve">δεν είναι ευάλωτα σε </w:t>
      </w:r>
      <w:r w:rsidR="00973266">
        <w:rPr>
          <w:rFonts w:eastAsia="Calibri" w:cstheme="minorHAnsi"/>
          <w:sz w:val="20"/>
          <w:szCs w:val="20"/>
          <w:lang w:val="el-GR"/>
        </w:rPr>
        <w:t>πιέσεις</w:t>
      </w:r>
      <w:r>
        <w:rPr>
          <w:rFonts w:eastAsia="Calibri" w:cstheme="minorHAnsi"/>
          <w:sz w:val="20"/>
          <w:szCs w:val="20"/>
          <w:lang w:val="el-GR"/>
        </w:rPr>
        <w:t xml:space="preserve"> από εξωτερικούς παράγοντες</w:t>
      </w:r>
      <w:r w:rsidRPr="004A79E0">
        <w:rPr>
          <w:rFonts w:eastAsia="Calibri" w:cstheme="minorHAnsi"/>
          <w:sz w:val="20"/>
          <w:szCs w:val="20"/>
          <w:lang w:val="el-GR"/>
        </w:rPr>
        <w:t xml:space="preserve"> </w:t>
      </w:r>
      <w:r>
        <w:rPr>
          <w:rFonts w:eastAsia="Calibri" w:cstheme="minorHAnsi"/>
          <w:sz w:val="20"/>
          <w:szCs w:val="20"/>
          <w:lang w:val="el-GR"/>
        </w:rPr>
        <w:t>ή άλλες πηγές που θα μπορούσε να συνιστούν απειλή για την ασφάλεια</w:t>
      </w:r>
      <w:r w:rsidRPr="004A79E0">
        <w:rPr>
          <w:rFonts w:eastAsia="Calibri" w:cstheme="minorHAnsi"/>
          <w:sz w:val="20"/>
          <w:szCs w:val="20"/>
          <w:lang w:val="el-GR"/>
        </w:rPr>
        <w:t xml:space="preserve">, </w:t>
      </w:r>
      <w:r>
        <w:rPr>
          <w:rFonts w:eastAsia="Calibri" w:cstheme="minorHAnsi"/>
          <w:sz w:val="20"/>
          <w:szCs w:val="20"/>
          <w:lang w:val="el-GR"/>
        </w:rPr>
        <w:t xml:space="preserve">τηρουμένων των διατάξεων του εδαφίου </w:t>
      </w:r>
      <w:r w:rsidRPr="004A79E0">
        <w:rPr>
          <w:rFonts w:eastAsia="Calibri" w:cstheme="minorHAnsi"/>
          <w:sz w:val="20"/>
          <w:szCs w:val="20"/>
          <w:lang w:val="el-GR"/>
        </w:rPr>
        <w:t xml:space="preserve">(1) </w:t>
      </w:r>
      <w:r>
        <w:rPr>
          <w:rFonts w:eastAsia="Calibri" w:cstheme="minorHAnsi"/>
          <w:sz w:val="20"/>
          <w:szCs w:val="20"/>
          <w:lang w:val="el-GR"/>
        </w:rPr>
        <w:t>και του περί της Προστασίας των Φυσικών Προσώπων</w:t>
      </w:r>
      <w:r w:rsidRPr="004A79E0">
        <w:rPr>
          <w:rFonts w:eastAsia="Calibri" w:cstheme="minorHAnsi"/>
          <w:sz w:val="20"/>
          <w:szCs w:val="20"/>
          <w:lang w:val="el-GR"/>
        </w:rPr>
        <w:t xml:space="preserve"> </w:t>
      </w:r>
      <w:r w:rsidR="00973266">
        <w:rPr>
          <w:rFonts w:eastAsia="Calibri" w:cstheme="minorHAnsi"/>
          <w:sz w:val="20"/>
          <w:szCs w:val="20"/>
          <w:lang w:val="el-GR"/>
        </w:rPr>
        <w:t>Έναντί</w:t>
      </w:r>
      <w:r>
        <w:rPr>
          <w:rFonts w:eastAsia="Calibri" w:cstheme="minorHAnsi"/>
          <w:sz w:val="20"/>
          <w:szCs w:val="20"/>
          <w:lang w:val="el-GR"/>
        </w:rPr>
        <w:t xml:space="preserve"> της Επεξεργασίας των Δεδομένων Προσωπικού Χαρακτήρα και της Ελεύθερης Κυκλοφορίας των Δεδομένων αυτών του Νόμου</w:t>
      </w:r>
      <w:r w:rsidRPr="004A79E0">
        <w:rPr>
          <w:rFonts w:eastAsia="Calibri" w:cstheme="minorHAnsi"/>
          <w:sz w:val="20"/>
          <w:szCs w:val="20"/>
          <w:lang w:val="el-GR"/>
        </w:rPr>
        <w:t xml:space="preserve">. </w:t>
      </w:r>
    </w:p>
    <w:p w14:paraId="2D49142B" w14:textId="5C94D4CB" w:rsidR="00071F64" w:rsidRPr="00D32815" w:rsidRDefault="00071F64" w:rsidP="00A5147D">
      <w:pPr>
        <w:rPr>
          <w:rFonts w:eastAsia="Calibri" w:cstheme="minorHAnsi"/>
          <w:sz w:val="20"/>
          <w:szCs w:val="20"/>
          <w:lang w:val="el-GR"/>
        </w:rPr>
      </w:pPr>
      <w:r w:rsidRPr="00D32815">
        <w:rPr>
          <w:rFonts w:eastAsia="Calibri" w:cstheme="minorHAnsi"/>
          <w:sz w:val="20"/>
          <w:szCs w:val="20"/>
          <w:lang w:val="el-GR"/>
        </w:rPr>
        <w:t xml:space="preserve">(3) </w:t>
      </w:r>
      <w:r w:rsidRPr="002B7C4B">
        <w:rPr>
          <w:rFonts w:eastAsia="Calibri" w:cstheme="minorHAnsi"/>
          <w:sz w:val="20"/>
          <w:szCs w:val="20"/>
          <w:lang w:val="el-GR"/>
        </w:rPr>
        <w:t>Ο αναφερόμενος στο εδάφιο (2) έλεγχος διενεργείται με μεγαλύτερη προσοχή ανάλογα με το επίπεδο διαβάθμισης, τον όγκο και την ειδική πρόσβαση σε διαβαθμισμένες πληροφορίες ή/και διαβαθμισμένες πληροφορίες της ΕΕ.</w:t>
      </w:r>
    </w:p>
    <w:p w14:paraId="6797808C" w14:textId="3A0F9D4A" w:rsidR="00071F64" w:rsidRPr="00206B1A" w:rsidRDefault="00071F64" w:rsidP="00A5147D">
      <w:pPr>
        <w:rPr>
          <w:rFonts w:eastAsia="Calibri" w:cstheme="minorHAnsi"/>
          <w:sz w:val="20"/>
          <w:szCs w:val="20"/>
          <w:lang w:val="el-GR"/>
        </w:rPr>
      </w:pPr>
      <w:r w:rsidRPr="00206B1A">
        <w:rPr>
          <w:rFonts w:eastAsia="Calibri" w:cstheme="minorHAnsi"/>
          <w:sz w:val="20"/>
          <w:szCs w:val="20"/>
          <w:lang w:val="el-GR"/>
        </w:rPr>
        <w:t xml:space="preserve">(4) </w:t>
      </w:r>
      <w:r w:rsidRPr="002B7C4B">
        <w:rPr>
          <w:rFonts w:eastAsia="Calibri" w:cstheme="minorHAnsi"/>
          <w:sz w:val="20"/>
          <w:szCs w:val="20"/>
          <w:lang w:val="el-GR"/>
        </w:rPr>
        <w:t>Για τους ελέγχους ασφάλειας που έχουν πραγματοποιηθεί για το προσωπικό τηρούνται σχετικά αρχεία.</w:t>
      </w:r>
    </w:p>
    <w:p w14:paraId="3A2B6D47" w14:textId="6FC22EC7" w:rsidR="00071F64" w:rsidRPr="00206B1A" w:rsidRDefault="00071F64" w:rsidP="00A5147D">
      <w:pPr>
        <w:rPr>
          <w:rFonts w:eastAsia="Calibri" w:cstheme="minorHAnsi"/>
          <w:sz w:val="20"/>
          <w:szCs w:val="20"/>
          <w:lang w:val="el-GR"/>
        </w:rPr>
      </w:pPr>
      <w:r w:rsidRPr="00206B1A">
        <w:rPr>
          <w:rFonts w:eastAsia="Calibri" w:cstheme="minorHAnsi"/>
          <w:sz w:val="20"/>
          <w:szCs w:val="20"/>
          <w:lang w:val="el-GR"/>
        </w:rPr>
        <w:t xml:space="preserve">(5) </w:t>
      </w:r>
      <w:r w:rsidRPr="002B7C4B">
        <w:rPr>
          <w:rFonts w:eastAsia="Calibri" w:cstheme="minorHAnsi"/>
          <w:sz w:val="20"/>
          <w:szCs w:val="20"/>
          <w:lang w:val="el-GR"/>
        </w:rPr>
        <w:t>Το προσωπικό ενημερώνεται για τους κανόνες ασφαλείας που ισχύουν κατά την εργασία του και εκπαιδεύεται ανάλογα.</w:t>
      </w:r>
    </w:p>
    <w:p w14:paraId="311E44D9" w14:textId="34B47476" w:rsidR="00071F64" w:rsidRPr="002B7C4B" w:rsidRDefault="00071F64" w:rsidP="00A5147D">
      <w:pPr>
        <w:rPr>
          <w:rFonts w:eastAsia="Calibri" w:cstheme="minorHAnsi"/>
          <w:sz w:val="20"/>
          <w:szCs w:val="20"/>
          <w:lang w:val="el-GR"/>
        </w:rPr>
      </w:pPr>
      <w:r w:rsidRPr="00206B1A">
        <w:rPr>
          <w:rFonts w:eastAsia="Calibri" w:cstheme="minorHAnsi"/>
          <w:i/>
          <w:iCs/>
          <w:sz w:val="20"/>
          <w:szCs w:val="20"/>
          <w:lang w:val="el-GR"/>
        </w:rPr>
        <w:t xml:space="preserve">(6) </w:t>
      </w:r>
      <w:r w:rsidRPr="002B7C4B">
        <w:rPr>
          <w:rFonts w:eastAsia="Calibri" w:cstheme="minorHAnsi"/>
          <w:sz w:val="20"/>
          <w:szCs w:val="20"/>
          <w:lang w:val="el-GR"/>
        </w:rPr>
        <w:t>Τα διευθυντικά στελέχη των υπηρεσιών και φορέων της Δημοκρατίας οφείλουν να έχουν πλήρη εικόνα για τα μέλη του προσωπικού τους που χειρίζονται διαβαθμισμένες πληροφορίες ή και διαβαθμισμένες πληροφορίες της ΕΕ, σύμφωνα και με τις σχετικές διατάξεις του παρόντος Νόμου και των Κανονισμών ή/και Διαταγμάτων που εκδίδονται δυνάμει αυτού.</w:t>
      </w:r>
    </w:p>
  </w:footnote>
  <w:footnote w:id="55">
    <w:p w14:paraId="7A26E08D" w14:textId="0CE92DF4" w:rsidR="00071F64" w:rsidRPr="00080B9B" w:rsidRDefault="00071F64" w:rsidP="00A5147D">
      <w:pPr>
        <w:pStyle w:val="FootnoteText"/>
        <w:rPr>
          <w:rFonts w:asciiTheme="minorHAnsi" w:hAnsiTheme="minorHAnsi" w:cstheme="minorHAnsi"/>
          <w:color w:val="000000" w:themeColor="text1"/>
          <w:lang w:val="el-GR"/>
        </w:rPr>
      </w:pPr>
      <w:r w:rsidRPr="00385A72">
        <w:rPr>
          <w:rStyle w:val="FootnoteReference"/>
          <w:rFonts w:asciiTheme="minorHAnsi" w:hAnsiTheme="minorHAnsi" w:cstheme="minorHAnsi"/>
        </w:rPr>
        <w:footnoteRef/>
      </w:r>
      <w:r w:rsidRPr="00080B9B">
        <w:rPr>
          <w:rFonts w:asciiTheme="minorHAnsi" w:hAnsiTheme="minorHAnsi" w:cstheme="minorHAnsi"/>
          <w:lang w:val="el-GR"/>
        </w:rPr>
        <w:t xml:space="preserve"> </w:t>
      </w:r>
      <w:r w:rsidR="00000000">
        <w:fldChar w:fldCharType="begin"/>
      </w:r>
      <w:r w:rsidR="00000000">
        <w:instrText>HYPERLINK</w:instrText>
      </w:r>
      <w:r w:rsidR="00000000" w:rsidRPr="00522AD3">
        <w:rPr>
          <w:lang w:val="el-GR"/>
        </w:rPr>
        <w:instrText xml:space="preserve"> "</w:instrText>
      </w:r>
      <w:r w:rsidR="00000000">
        <w:instrText>https</w:instrText>
      </w:r>
      <w:r w:rsidR="00000000" w:rsidRPr="00522AD3">
        <w:rPr>
          <w:lang w:val="el-GR"/>
        </w:rPr>
        <w:instrText>://</w:instrText>
      </w:r>
      <w:r w:rsidR="00000000">
        <w:instrText>mod</w:instrText>
      </w:r>
      <w:r w:rsidR="00000000" w:rsidRPr="00522AD3">
        <w:rPr>
          <w:lang w:val="el-GR"/>
        </w:rPr>
        <w:instrText>.</w:instrText>
      </w:r>
      <w:r w:rsidR="00000000">
        <w:instrText>gov</w:instrText>
      </w:r>
      <w:r w:rsidR="00000000" w:rsidRPr="00522AD3">
        <w:rPr>
          <w:lang w:val="el-GR"/>
        </w:rPr>
        <w:instrText>.</w:instrText>
      </w:r>
      <w:r w:rsidR="00000000">
        <w:instrText>cy</w:instrText>
      </w:r>
      <w:r w:rsidR="00000000" w:rsidRPr="00522AD3">
        <w:rPr>
          <w:lang w:val="el-GR"/>
        </w:rPr>
        <w:instrText>/</w:instrText>
      </w:r>
      <w:r w:rsidR="00000000">
        <w:instrText>en</w:instrText>
      </w:r>
      <w:r w:rsidR="00000000" w:rsidRPr="00522AD3">
        <w:rPr>
          <w:lang w:val="el-GR"/>
        </w:rPr>
        <w:instrText>/</w:instrText>
      </w:r>
      <w:r w:rsidR="00000000">
        <w:instrText>eaa</w:instrText>
      </w:r>
      <w:r w:rsidR="00000000" w:rsidRPr="00522AD3">
        <w:rPr>
          <w:lang w:val="el-GR"/>
        </w:rPr>
        <w:instrText>.</w:instrText>
      </w:r>
      <w:r w:rsidR="00000000">
        <w:instrText>html</w:instrText>
      </w:r>
      <w:r w:rsidR="00000000" w:rsidRPr="00522AD3">
        <w:rPr>
          <w:lang w:val="el-GR"/>
        </w:rPr>
        <w:instrText>"</w:instrText>
      </w:r>
      <w:r w:rsidR="00000000">
        <w:fldChar w:fldCharType="separate"/>
      </w:r>
      <w:r w:rsidRPr="00206B1A">
        <w:rPr>
          <w:rStyle w:val="Hyperlink"/>
          <w:rFonts w:asciiTheme="minorHAnsi" w:hAnsiTheme="minorHAnsi" w:cstheme="minorHAnsi"/>
          <w:color w:val="000000" w:themeColor="text1"/>
        </w:rPr>
        <w:t>https</w:t>
      </w:r>
      <w:r w:rsidRPr="00080B9B">
        <w:rPr>
          <w:rStyle w:val="Hyperlink"/>
          <w:rFonts w:asciiTheme="minorHAnsi" w:hAnsiTheme="minorHAnsi" w:cstheme="minorHAnsi"/>
          <w:color w:val="000000" w:themeColor="text1"/>
          <w:lang w:val="el-GR"/>
        </w:rPr>
        <w:t>://</w:t>
      </w:r>
      <w:r w:rsidRPr="00206B1A">
        <w:rPr>
          <w:rStyle w:val="Hyperlink"/>
          <w:rFonts w:asciiTheme="minorHAnsi" w:hAnsiTheme="minorHAnsi" w:cstheme="minorHAnsi"/>
          <w:color w:val="000000" w:themeColor="text1"/>
        </w:rPr>
        <w:t>mod</w:t>
      </w:r>
      <w:r w:rsidRPr="00080B9B">
        <w:rPr>
          <w:rStyle w:val="Hyperlink"/>
          <w:rFonts w:asciiTheme="minorHAnsi" w:hAnsiTheme="minorHAnsi" w:cstheme="minorHAnsi"/>
          <w:color w:val="000000" w:themeColor="text1"/>
          <w:lang w:val="el-GR"/>
        </w:rPr>
        <w:t>.</w:t>
      </w:r>
      <w:r w:rsidRPr="00206B1A">
        <w:rPr>
          <w:rStyle w:val="Hyperlink"/>
          <w:rFonts w:asciiTheme="minorHAnsi" w:hAnsiTheme="minorHAnsi" w:cstheme="minorHAnsi"/>
          <w:color w:val="000000" w:themeColor="text1"/>
        </w:rPr>
        <w:t>gov</w:t>
      </w:r>
      <w:r w:rsidRPr="00080B9B">
        <w:rPr>
          <w:rStyle w:val="Hyperlink"/>
          <w:rFonts w:asciiTheme="minorHAnsi" w:hAnsiTheme="minorHAnsi" w:cstheme="minorHAnsi"/>
          <w:color w:val="000000" w:themeColor="text1"/>
          <w:lang w:val="el-GR"/>
        </w:rPr>
        <w:t>.</w:t>
      </w:r>
      <w:r w:rsidRPr="00206B1A">
        <w:rPr>
          <w:rStyle w:val="Hyperlink"/>
          <w:rFonts w:asciiTheme="minorHAnsi" w:hAnsiTheme="minorHAnsi" w:cstheme="minorHAnsi"/>
          <w:color w:val="000000" w:themeColor="text1"/>
        </w:rPr>
        <w:t>cy</w:t>
      </w:r>
      <w:r w:rsidRPr="00080B9B">
        <w:rPr>
          <w:rStyle w:val="Hyperlink"/>
          <w:rFonts w:asciiTheme="minorHAnsi" w:hAnsiTheme="minorHAnsi" w:cstheme="minorHAnsi"/>
          <w:color w:val="000000" w:themeColor="text1"/>
          <w:lang w:val="el-GR"/>
        </w:rPr>
        <w:t>/</w:t>
      </w:r>
      <w:r w:rsidRPr="00206B1A">
        <w:rPr>
          <w:rStyle w:val="Hyperlink"/>
          <w:rFonts w:asciiTheme="minorHAnsi" w:hAnsiTheme="minorHAnsi" w:cstheme="minorHAnsi"/>
          <w:color w:val="000000" w:themeColor="text1"/>
        </w:rPr>
        <w:t>en</w:t>
      </w:r>
      <w:r w:rsidRPr="00080B9B">
        <w:rPr>
          <w:rStyle w:val="Hyperlink"/>
          <w:rFonts w:asciiTheme="minorHAnsi" w:hAnsiTheme="minorHAnsi" w:cstheme="minorHAnsi"/>
          <w:color w:val="000000" w:themeColor="text1"/>
          <w:lang w:val="el-GR"/>
        </w:rPr>
        <w:t>/</w:t>
      </w:r>
      <w:r w:rsidRPr="00206B1A">
        <w:rPr>
          <w:rStyle w:val="Hyperlink"/>
          <w:rFonts w:asciiTheme="minorHAnsi" w:hAnsiTheme="minorHAnsi" w:cstheme="minorHAnsi"/>
          <w:color w:val="000000" w:themeColor="text1"/>
        </w:rPr>
        <w:t>eaa</w:t>
      </w:r>
      <w:r w:rsidRPr="00080B9B">
        <w:rPr>
          <w:rStyle w:val="Hyperlink"/>
          <w:rFonts w:asciiTheme="minorHAnsi" w:hAnsiTheme="minorHAnsi" w:cstheme="minorHAnsi"/>
          <w:color w:val="000000" w:themeColor="text1"/>
          <w:lang w:val="el-GR"/>
        </w:rPr>
        <w:t>.</w:t>
      </w:r>
      <w:r w:rsidRPr="00206B1A">
        <w:rPr>
          <w:rStyle w:val="Hyperlink"/>
          <w:rFonts w:asciiTheme="minorHAnsi" w:hAnsiTheme="minorHAnsi" w:cstheme="minorHAnsi"/>
          <w:color w:val="000000" w:themeColor="text1"/>
        </w:rPr>
        <w:t>html</w:t>
      </w:r>
      <w:r w:rsidR="00000000">
        <w:rPr>
          <w:rStyle w:val="Hyperlink"/>
          <w:rFonts w:asciiTheme="minorHAnsi" w:hAnsiTheme="minorHAnsi" w:cstheme="minorHAnsi"/>
          <w:color w:val="000000" w:themeColor="text1"/>
        </w:rPr>
        <w:fldChar w:fldCharType="end"/>
      </w:r>
      <w:r w:rsidRPr="00080B9B">
        <w:rPr>
          <w:rFonts w:asciiTheme="minorHAnsi" w:hAnsiTheme="minorHAnsi" w:cstheme="minorHAnsi"/>
          <w:color w:val="000000" w:themeColor="text1"/>
          <w:lang w:val="el-GR"/>
        </w:rPr>
        <w:t xml:space="preserve">; </w:t>
      </w:r>
      <w:r w:rsidR="00000000">
        <w:fldChar w:fldCharType="begin"/>
      </w:r>
      <w:r w:rsidR="00000000">
        <w:instrText>HYPERLINK</w:instrText>
      </w:r>
      <w:r w:rsidR="00000000" w:rsidRPr="00522AD3">
        <w:rPr>
          <w:lang w:val="el-GR"/>
        </w:rPr>
        <w:instrText xml:space="preserve"> "</w:instrText>
      </w:r>
      <w:r w:rsidR="00000000">
        <w:instrText>http</w:instrText>
      </w:r>
      <w:r w:rsidR="00000000" w:rsidRPr="00522AD3">
        <w:rPr>
          <w:lang w:val="el-GR"/>
        </w:rPr>
        <w:instrText>://</w:instrText>
      </w:r>
      <w:r w:rsidR="00000000">
        <w:instrText>www</w:instrText>
      </w:r>
      <w:r w:rsidR="00000000" w:rsidRPr="00522AD3">
        <w:rPr>
          <w:lang w:val="el-GR"/>
        </w:rPr>
        <w:instrText>.</w:instrText>
      </w:r>
      <w:r w:rsidR="00000000">
        <w:instrText>nsa</w:instrText>
      </w:r>
      <w:r w:rsidR="00000000" w:rsidRPr="00522AD3">
        <w:rPr>
          <w:lang w:val="el-GR"/>
        </w:rPr>
        <w:instrText>.</w:instrText>
      </w:r>
      <w:r w:rsidR="00000000">
        <w:instrText>gov</w:instrText>
      </w:r>
      <w:r w:rsidR="00000000" w:rsidRPr="00522AD3">
        <w:rPr>
          <w:lang w:val="el-GR"/>
        </w:rPr>
        <w:instrText>.</w:instrText>
      </w:r>
      <w:r w:rsidR="00000000">
        <w:instrText>cy</w:instrText>
      </w:r>
      <w:r w:rsidR="00000000" w:rsidRPr="00522AD3">
        <w:rPr>
          <w:lang w:val="el-GR"/>
        </w:rPr>
        <w:instrText>/"</w:instrText>
      </w:r>
      <w:r w:rsidR="00000000">
        <w:fldChar w:fldCharType="separate"/>
      </w:r>
      <w:r w:rsidRPr="00206B1A">
        <w:rPr>
          <w:rStyle w:val="Hyperlink"/>
          <w:rFonts w:asciiTheme="minorHAnsi" w:hAnsiTheme="minorHAnsi" w:cstheme="minorHAnsi"/>
          <w:color w:val="000000" w:themeColor="text1"/>
          <w:shd w:val="clear" w:color="auto" w:fill="FFFFFF"/>
        </w:rPr>
        <w:t>http</w:t>
      </w:r>
      <w:r w:rsidRPr="00080B9B">
        <w:rPr>
          <w:rStyle w:val="Hyperlink"/>
          <w:rFonts w:asciiTheme="minorHAnsi" w:hAnsiTheme="minorHAnsi" w:cstheme="minorHAnsi"/>
          <w:color w:val="000000" w:themeColor="text1"/>
          <w:shd w:val="clear" w:color="auto" w:fill="FFFFFF"/>
          <w:lang w:val="el-GR"/>
        </w:rPr>
        <w:t>://</w:t>
      </w:r>
      <w:r w:rsidRPr="00206B1A">
        <w:rPr>
          <w:rStyle w:val="Hyperlink"/>
          <w:rFonts w:asciiTheme="minorHAnsi" w:hAnsiTheme="minorHAnsi" w:cstheme="minorHAnsi"/>
          <w:color w:val="000000" w:themeColor="text1"/>
          <w:shd w:val="clear" w:color="auto" w:fill="FFFFFF"/>
        </w:rPr>
        <w:t>www</w:t>
      </w:r>
      <w:r w:rsidRPr="00080B9B">
        <w:rPr>
          <w:rStyle w:val="Hyperlink"/>
          <w:rFonts w:asciiTheme="minorHAnsi" w:hAnsiTheme="minorHAnsi" w:cstheme="minorHAnsi"/>
          <w:color w:val="000000" w:themeColor="text1"/>
          <w:shd w:val="clear" w:color="auto" w:fill="FFFFFF"/>
          <w:lang w:val="el-GR"/>
        </w:rPr>
        <w:t>.</w:t>
      </w:r>
      <w:r w:rsidRPr="00206B1A">
        <w:rPr>
          <w:rStyle w:val="Hyperlink"/>
          <w:rFonts w:asciiTheme="minorHAnsi" w:hAnsiTheme="minorHAnsi" w:cstheme="minorHAnsi"/>
          <w:color w:val="000000" w:themeColor="text1"/>
          <w:shd w:val="clear" w:color="auto" w:fill="FFFFFF"/>
        </w:rPr>
        <w:t>nsa</w:t>
      </w:r>
      <w:r w:rsidRPr="00080B9B">
        <w:rPr>
          <w:rStyle w:val="Hyperlink"/>
          <w:rFonts w:asciiTheme="minorHAnsi" w:hAnsiTheme="minorHAnsi" w:cstheme="minorHAnsi"/>
          <w:color w:val="000000" w:themeColor="text1"/>
          <w:shd w:val="clear" w:color="auto" w:fill="FFFFFF"/>
          <w:lang w:val="el-GR"/>
        </w:rPr>
        <w:t>.</w:t>
      </w:r>
      <w:r w:rsidRPr="00206B1A">
        <w:rPr>
          <w:rStyle w:val="Hyperlink"/>
          <w:rFonts w:asciiTheme="minorHAnsi" w:hAnsiTheme="minorHAnsi" w:cstheme="minorHAnsi"/>
          <w:color w:val="000000" w:themeColor="text1"/>
          <w:shd w:val="clear" w:color="auto" w:fill="FFFFFF"/>
        </w:rPr>
        <w:t>gov</w:t>
      </w:r>
      <w:r w:rsidRPr="00080B9B">
        <w:rPr>
          <w:rStyle w:val="Hyperlink"/>
          <w:rFonts w:asciiTheme="minorHAnsi" w:hAnsiTheme="minorHAnsi" w:cstheme="minorHAnsi"/>
          <w:color w:val="000000" w:themeColor="text1"/>
          <w:shd w:val="clear" w:color="auto" w:fill="FFFFFF"/>
          <w:lang w:val="el-GR"/>
        </w:rPr>
        <w:t>.</w:t>
      </w:r>
      <w:r w:rsidRPr="00206B1A">
        <w:rPr>
          <w:rStyle w:val="Hyperlink"/>
          <w:rFonts w:asciiTheme="minorHAnsi" w:hAnsiTheme="minorHAnsi" w:cstheme="minorHAnsi"/>
          <w:color w:val="000000" w:themeColor="text1"/>
          <w:shd w:val="clear" w:color="auto" w:fill="FFFFFF"/>
        </w:rPr>
        <w:t>cy</w:t>
      </w:r>
      <w:r w:rsidR="00000000">
        <w:rPr>
          <w:rStyle w:val="Hyperlink"/>
          <w:rFonts w:asciiTheme="minorHAnsi" w:hAnsiTheme="minorHAnsi" w:cstheme="minorHAnsi"/>
          <w:color w:val="000000" w:themeColor="text1"/>
          <w:shd w:val="clear" w:color="auto" w:fill="FFFFFF"/>
        </w:rPr>
        <w:fldChar w:fldCharType="end"/>
      </w:r>
      <w:r w:rsidRPr="00080B9B">
        <w:rPr>
          <w:rStyle w:val="Hyperlink"/>
          <w:rFonts w:asciiTheme="minorHAnsi" w:hAnsiTheme="minorHAnsi" w:cstheme="minorHAnsi"/>
          <w:color w:val="000000" w:themeColor="text1"/>
          <w:shd w:val="clear" w:color="auto" w:fill="FFFFFF"/>
          <w:lang w:val="el-GR"/>
        </w:rPr>
        <w:t xml:space="preserve"> </w:t>
      </w:r>
    </w:p>
  </w:footnote>
  <w:footnote w:id="56">
    <w:p w14:paraId="40817D9B" w14:textId="0AD63636" w:rsidR="00071F64" w:rsidRPr="00BD2FA6" w:rsidRDefault="00071F64" w:rsidP="00A5147D">
      <w:pPr>
        <w:rPr>
          <w:rFonts w:eastAsia="Calibri" w:cstheme="minorHAnsi"/>
          <w:sz w:val="20"/>
          <w:szCs w:val="20"/>
          <w:lang w:val="el-GR"/>
        </w:rPr>
      </w:pPr>
      <w:r w:rsidRPr="00B47EA7">
        <w:rPr>
          <w:rStyle w:val="FootnoteReference"/>
          <w:rFonts w:cstheme="minorHAnsi"/>
          <w:sz w:val="20"/>
          <w:szCs w:val="20"/>
        </w:rPr>
        <w:footnoteRef/>
      </w:r>
      <w:r w:rsidRPr="00BD2FA6">
        <w:rPr>
          <w:rFonts w:cstheme="minorHAnsi"/>
          <w:sz w:val="20"/>
          <w:szCs w:val="20"/>
          <w:lang w:val="el-GR"/>
        </w:rPr>
        <w:t xml:space="preserve"> </w:t>
      </w:r>
      <w:r>
        <w:rPr>
          <w:rFonts w:cstheme="minorHAnsi"/>
          <w:sz w:val="20"/>
          <w:szCs w:val="20"/>
          <w:lang w:val="el-GR"/>
        </w:rPr>
        <w:t>Άρθρο</w:t>
      </w:r>
      <w:r w:rsidRPr="00BD2FA6">
        <w:rPr>
          <w:rFonts w:eastAsia="Calibri" w:cstheme="minorHAnsi"/>
          <w:sz w:val="20"/>
          <w:szCs w:val="20"/>
          <w:lang w:val="el-GR"/>
        </w:rPr>
        <w:t xml:space="preserve"> 19 </w:t>
      </w:r>
      <w:r>
        <w:rPr>
          <w:rFonts w:eastAsia="Calibri" w:cstheme="minorHAnsi"/>
          <w:sz w:val="20"/>
          <w:szCs w:val="20"/>
          <w:lang w:val="el-GR"/>
        </w:rPr>
        <w:t>του</w:t>
      </w:r>
      <w:r w:rsidRPr="00BD2FA6">
        <w:rPr>
          <w:rFonts w:eastAsia="Calibri" w:cstheme="minorHAnsi"/>
          <w:sz w:val="20"/>
          <w:szCs w:val="20"/>
          <w:lang w:val="el-GR"/>
        </w:rPr>
        <w:t xml:space="preserve"> </w:t>
      </w:r>
      <w:r>
        <w:rPr>
          <w:rFonts w:eastAsia="Calibri" w:cstheme="minorHAnsi"/>
          <w:sz w:val="20"/>
          <w:szCs w:val="20"/>
          <w:lang w:val="el-GR"/>
        </w:rPr>
        <w:t>Νόμου</w:t>
      </w:r>
      <w:r w:rsidRPr="00BD2FA6">
        <w:rPr>
          <w:rFonts w:eastAsia="Calibri" w:cstheme="minorHAnsi"/>
          <w:sz w:val="20"/>
          <w:szCs w:val="20"/>
          <w:lang w:val="el-GR"/>
        </w:rPr>
        <w:t xml:space="preserve"> 84(Ι)/2021. </w:t>
      </w:r>
    </w:p>
  </w:footnote>
  <w:footnote w:id="57">
    <w:p w14:paraId="42BC6ADE" w14:textId="30DC2E20" w:rsidR="00071F64" w:rsidRPr="007D71D3" w:rsidRDefault="00071F64" w:rsidP="00A5147D">
      <w:pPr>
        <w:pStyle w:val="FootnoteText"/>
        <w:rPr>
          <w:rFonts w:asciiTheme="minorHAnsi" w:hAnsiTheme="minorHAnsi" w:cstheme="minorHAnsi"/>
          <w:lang w:val="el-GR"/>
        </w:rPr>
      </w:pPr>
      <w:r w:rsidRPr="00B95983">
        <w:rPr>
          <w:rStyle w:val="FootnoteReference"/>
          <w:rFonts w:asciiTheme="minorHAnsi" w:hAnsiTheme="minorHAnsi" w:cstheme="minorHAnsi"/>
        </w:rPr>
        <w:footnoteRef/>
      </w:r>
      <w:r w:rsidRPr="007D71D3">
        <w:rPr>
          <w:rFonts w:asciiTheme="minorHAnsi" w:hAnsiTheme="minorHAnsi" w:cstheme="minorHAnsi"/>
          <w:lang w:val="el-GR"/>
        </w:rPr>
        <w:t xml:space="preserve"> </w:t>
      </w:r>
      <w:r>
        <w:rPr>
          <w:rFonts w:asciiTheme="minorHAnsi" w:hAnsiTheme="minorHAnsi" w:cstheme="minorHAnsi"/>
          <w:lang w:val="el-GR"/>
        </w:rPr>
        <w:t>Άρθρο</w:t>
      </w:r>
      <w:r w:rsidRPr="007D71D3">
        <w:rPr>
          <w:rFonts w:asciiTheme="minorHAnsi" w:hAnsiTheme="minorHAnsi" w:cstheme="minorHAnsi"/>
          <w:lang w:val="el-GR"/>
        </w:rPr>
        <w:t xml:space="preserve"> 4 </w:t>
      </w:r>
      <w:r>
        <w:rPr>
          <w:rFonts w:asciiTheme="minorHAnsi" w:hAnsiTheme="minorHAnsi" w:cstheme="minorHAnsi"/>
          <w:lang w:val="el-GR"/>
        </w:rPr>
        <w:t>του</w:t>
      </w:r>
      <w:r w:rsidRPr="007D71D3">
        <w:rPr>
          <w:rFonts w:asciiTheme="minorHAnsi" w:hAnsiTheme="minorHAnsi" w:cstheme="minorHAnsi"/>
          <w:lang w:val="el-GR"/>
        </w:rPr>
        <w:t xml:space="preserve"> </w:t>
      </w:r>
      <w:r>
        <w:rPr>
          <w:rFonts w:asciiTheme="minorHAnsi" w:hAnsiTheme="minorHAnsi" w:cstheme="minorHAnsi"/>
          <w:lang w:val="el-GR"/>
        </w:rPr>
        <w:t>Νόμου</w:t>
      </w:r>
      <w:r w:rsidRPr="007D71D3">
        <w:rPr>
          <w:rFonts w:asciiTheme="minorHAnsi" w:hAnsiTheme="minorHAnsi" w:cstheme="minorHAnsi"/>
          <w:lang w:val="el-GR"/>
        </w:rPr>
        <w:t xml:space="preserve">: </w:t>
      </w:r>
      <w:r w:rsidRPr="007D71D3">
        <w:rPr>
          <w:rFonts w:ascii="Calibri" w:hAnsi="Calibri" w:cs="Calibri"/>
          <w:lang w:val="el-GR"/>
        </w:rPr>
        <w:t>“</w:t>
      </w:r>
      <w:r>
        <w:rPr>
          <w:rFonts w:ascii="Calibri" w:hAnsi="Calibri" w:cs="Calibri"/>
          <w:lang w:val="el-GR"/>
        </w:rPr>
        <w:t>κρατικός</w:t>
      </w:r>
      <w:r w:rsidRPr="007D71D3">
        <w:rPr>
          <w:rFonts w:ascii="Calibri" w:hAnsi="Calibri" w:cs="Calibri"/>
          <w:lang w:val="el-GR"/>
        </w:rPr>
        <w:t xml:space="preserve"> </w:t>
      </w:r>
      <w:r>
        <w:rPr>
          <w:rFonts w:ascii="Calibri" w:hAnsi="Calibri" w:cs="Calibri"/>
          <w:lang w:val="el-GR"/>
        </w:rPr>
        <w:t>αξιωματούχος</w:t>
      </w:r>
      <w:r w:rsidRPr="007D71D3">
        <w:rPr>
          <w:rFonts w:ascii="Calibri" w:hAnsi="Calibri" w:cs="Calibri"/>
          <w:lang w:val="el-GR"/>
        </w:rPr>
        <w:t xml:space="preserve">” </w:t>
      </w:r>
      <w:r>
        <w:rPr>
          <w:rFonts w:ascii="Calibri" w:hAnsi="Calibri" w:cs="Calibri"/>
          <w:lang w:val="el-GR"/>
        </w:rPr>
        <w:t>σημαίνει</w:t>
      </w:r>
      <w:r w:rsidRPr="007D71D3">
        <w:rPr>
          <w:rFonts w:ascii="Calibri" w:hAnsi="Calibri" w:cs="Calibri"/>
          <w:lang w:val="el-GR"/>
        </w:rPr>
        <w:t xml:space="preserve"> </w:t>
      </w:r>
      <w:r>
        <w:rPr>
          <w:rFonts w:ascii="Calibri" w:hAnsi="Calibri" w:cs="Calibri"/>
          <w:lang w:val="el-GR"/>
        </w:rPr>
        <w:t>ένας</w:t>
      </w:r>
      <w:r w:rsidRPr="007D71D3">
        <w:rPr>
          <w:rFonts w:ascii="Calibri" w:hAnsi="Calibri" w:cs="Calibri"/>
          <w:lang w:val="el-GR"/>
        </w:rPr>
        <w:t xml:space="preserve"> </w:t>
      </w:r>
      <w:r>
        <w:rPr>
          <w:rFonts w:ascii="Calibri" w:hAnsi="Calibri" w:cs="Calibri"/>
          <w:lang w:val="el-GR"/>
        </w:rPr>
        <w:t>υπουργός</w:t>
      </w:r>
      <w:r w:rsidRPr="007D71D3">
        <w:rPr>
          <w:rFonts w:ascii="Calibri" w:hAnsi="Calibri" w:cs="Calibri"/>
          <w:lang w:val="el-GR"/>
        </w:rPr>
        <w:t xml:space="preserve">, </w:t>
      </w:r>
      <w:r>
        <w:rPr>
          <w:rFonts w:ascii="Calibri" w:hAnsi="Calibri" w:cs="Calibri"/>
          <w:lang w:val="el-GR"/>
        </w:rPr>
        <w:t>κυβερνητικός</w:t>
      </w:r>
      <w:r w:rsidRPr="007D71D3">
        <w:rPr>
          <w:rFonts w:ascii="Calibri" w:hAnsi="Calibri" w:cs="Calibri"/>
          <w:lang w:val="el-GR"/>
        </w:rPr>
        <w:t xml:space="preserve"> </w:t>
      </w:r>
      <w:r>
        <w:rPr>
          <w:rFonts w:ascii="Calibri" w:hAnsi="Calibri" w:cs="Calibri"/>
          <w:lang w:val="el-GR"/>
        </w:rPr>
        <w:t>εκπρόσωπος</w:t>
      </w:r>
      <w:r w:rsidRPr="007D71D3">
        <w:rPr>
          <w:rFonts w:ascii="Calibri" w:hAnsi="Calibri" w:cs="Calibri"/>
          <w:lang w:val="el-GR"/>
        </w:rPr>
        <w:t xml:space="preserve">, </w:t>
      </w:r>
      <w:r>
        <w:rPr>
          <w:rFonts w:ascii="Calibri" w:hAnsi="Calibri" w:cs="Calibri"/>
          <w:lang w:val="el-GR"/>
        </w:rPr>
        <w:t>Γενικός</w:t>
      </w:r>
      <w:r w:rsidRPr="007D71D3">
        <w:rPr>
          <w:rFonts w:ascii="Calibri" w:hAnsi="Calibri" w:cs="Calibri"/>
          <w:lang w:val="el-GR"/>
        </w:rPr>
        <w:t xml:space="preserve"> </w:t>
      </w:r>
      <w:r>
        <w:rPr>
          <w:rFonts w:ascii="Calibri" w:hAnsi="Calibri" w:cs="Calibri"/>
          <w:lang w:val="el-GR"/>
        </w:rPr>
        <w:t>Ελεγκτής</w:t>
      </w:r>
      <w:r w:rsidRPr="007D71D3">
        <w:rPr>
          <w:rFonts w:ascii="Calibri" w:hAnsi="Calibri" w:cs="Calibri"/>
          <w:lang w:val="el-GR"/>
        </w:rPr>
        <w:t xml:space="preserve"> </w:t>
      </w:r>
      <w:r>
        <w:rPr>
          <w:rFonts w:ascii="Calibri" w:hAnsi="Calibri" w:cs="Calibri"/>
          <w:lang w:val="el-GR"/>
        </w:rPr>
        <w:t>της</w:t>
      </w:r>
      <w:r w:rsidRPr="007D71D3">
        <w:rPr>
          <w:rFonts w:ascii="Calibri" w:hAnsi="Calibri" w:cs="Calibri"/>
          <w:lang w:val="el-GR"/>
        </w:rPr>
        <w:t xml:space="preserve"> </w:t>
      </w:r>
      <w:r>
        <w:rPr>
          <w:rFonts w:ascii="Calibri" w:hAnsi="Calibri" w:cs="Calibri"/>
          <w:lang w:val="el-GR"/>
        </w:rPr>
        <w:t>Δημοκρατίας</w:t>
      </w:r>
      <w:r w:rsidRPr="007D71D3">
        <w:rPr>
          <w:rFonts w:ascii="Calibri" w:hAnsi="Calibri" w:cs="Calibri"/>
          <w:lang w:val="el-GR"/>
        </w:rPr>
        <w:t xml:space="preserve">, </w:t>
      </w:r>
      <w:r>
        <w:rPr>
          <w:rFonts w:ascii="Calibri" w:hAnsi="Calibri" w:cs="Calibri"/>
          <w:lang w:val="el-GR"/>
        </w:rPr>
        <w:t>Βοηθός</w:t>
      </w:r>
      <w:r w:rsidRPr="007D71D3">
        <w:rPr>
          <w:rFonts w:ascii="Calibri" w:hAnsi="Calibri" w:cs="Calibri"/>
          <w:lang w:val="el-GR"/>
        </w:rPr>
        <w:t xml:space="preserve"> </w:t>
      </w:r>
      <w:r>
        <w:rPr>
          <w:rFonts w:ascii="Calibri" w:hAnsi="Calibri" w:cs="Calibri"/>
          <w:lang w:val="el-GR"/>
        </w:rPr>
        <w:t>Γενικός</w:t>
      </w:r>
      <w:r w:rsidRPr="007D71D3">
        <w:rPr>
          <w:rFonts w:ascii="Calibri" w:hAnsi="Calibri" w:cs="Calibri"/>
          <w:lang w:val="el-GR"/>
        </w:rPr>
        <w:t xml:space="preserve"> </w:t>
      </w:r>
      <w:r>
        <w:rPr>
          <w:rFonts w:ascii="Calibri" w:hAnsi="Calibri" w:cs="Calibri"/>
          <w:lang w:val="el-GR"/>
        </w:rPr>
        <w:t>Ελεγκτής</w:t>
      </w:r>
      <w:r w:rsidRPr="007D71D3">
        <w:rPr>
          <w:rFonts w:ascii="Calibri" w:hAnsi="Calibri" w:cs="Calibri"/>
          <w:lang w:val="el-GR"/>
        </w:rPr>
        <w:t xml:space="preserve"> </w:t>
      </w:r>
      <w:r>
        <w:rPr>
          <w:rFonts w:ascii="Calibri" w:hAnsi="Calibri" w:cs="Calibri"/>
          <w:lang w:val="el-GR"/>
        </w:rPr>
        <w:t>της</w:t>
      </w:r>
      <w:r w:rsidRPr="007D71D3">
        <w:rPr>
          <w:rFonts w:ascii="Calibri" w:hAnsi="Calibri" w:cs="Calibri"/>
          <w:lang w:val="el-GR"/>
        </w:rPr>
        <w:t xml:space="preserve"> </w:t>
      </w:r>
      <w:r>
        <w:rPr>
          <w:rFonts w:ascii="Calibri" w:hAnsi="Calibri" w:cs="Calibri"/>
          <w:lang w:val="el-GR"/>
        </w:rPr>
        <w:t>Δημοκρατίας</w:t>
      </w:r>
      <w:r w:rsidRPr="007D71D3">
        <w:rPr>
          <w:rFonts w:ascii="Calibri" w:hAnsi="Calibri" w:cs="Calibri"/>
          <w:lang w:val="el-GR"/>
        </w:rPr>
        <w:t xml:space="preserve">, </w:t>
      </w:r>
      <w:r>
        <w:rPr>
          <w:rFonts w:ascii="Calibri" w:hAnsi="Calibri" w:cs="Calibri"/>
          <w:lang w:val="el-GR"/>
        </w:rPr>
        <w:t>Αρχηγός</w:t>
      </w:r>
      <w:r w:rsidRPr="007D71D3">
        <w:rPr>
          <w:rFonts w:ascii="Calibri" w:hAnsi="Calibri" w:cs="Calibri"/>
          <w:lang w:val="el-GR"/>
        </w:rPr>
        <w:t xml:space="preserve"> </w:t>
      </w:r>
      <w:r>
        <w:rPr>
          <w:rFonts w:ascii="Calibri" w:hAnsi="Calibri" w:cs="Calibri"/>
          <w:lang w:val="el-GR"/>
        </w:rPr>
        <w:t>της</w:t>
      </w:r>
      <w:r w:rsidRPr="007D71D3">
        <w:rPr>
          <w:rFonts w:ascii="Calibri" w:hAnsi="Calibri" w:cs="Calibri"/>
          <w:lang w:val="el-GR"/>
        </w:rPr>
        <w:t xml:space="preserve"> </w:t>
      </w:r>
      <w:r>
        <w:rPr>
          <w:rFonts w:ascii="Calibri" w:hAnsi="Calibri" w:cs="Calibri"/>
          <w:lang w:val="el-GR"/>
        </w:rPr>
        <w:t>Αστυνομίας</w:t>
      </w:r>
      <w:r w:rsidRPr="007D71D3">
        <w:rPr>
          <w:rFonts w:ascii="Calibri" w:hAnsi="Calibri" w:cs="Calibri"/>
          <w:lang w:val="el-GR"/>
        </w:rPr>
        <w:t xml:space="preserve">, </w:t>
      </w:r>
      <w:r>
        <w:rPr>
          <w:rFonts w:ascii="Calibri" w:hAnsi="Calibri" w:cs="Calibri"/>
          <w:lang w:val="el-GR"/>
        </w:rPr>
        <w:t>Βοηθός</w:t>
      </w:r>
      <w:r w:rsidRPr="007D71D3">
        <w:rPr>
          <w:rFonts w:ascii="Calibri" w:hAnsi="Calibri" w:cs="Calibri"/>
          <w:lang w:val="el-GR"/>
        </w:rPr>
        <w:t xml:space="preserve"> </w:t>
      </w:r>
      <w:r>
        <w:rPr>
          <w:rFonts w:ascii="Calibri" w:hAnsi="Calibri" w:cs="Calibri"/>
          <w:lang w:val="el-GR"/>
        </w:rPr>
        <w:t>Αρχηγός</w:t>
      </w:r>
      <w:r w:rsidRPr="007D71D3">
        <w:rPr>
          <w:rFonts w:ascii="Calibri" w:hAnsi="Calibri" w:cs="Calibri"/>
          <w:lang w:val="el-GR"/>
        </w:rPr>
        <w:t xml:space="preserve"> </w:t>
      </w:r>
      <w:r>
        <w:rPr>
          <w:rFonts w:ascii="Calibri" w:hAnsi="Calibri" w:cs="Calibri"/>
          <w:lang w:val="el-GR"/>
        </w:rPr>
        <w:t>της</w:t>
      </w:r>
      <w:r w:rsidRPr="007D71D3">
        <w:rPr>
          <w:rFonts w:ascii="Calibri" w:hAnsi="Calibri" w:cs="Calibri"/>
          <w:lang w:val="el-GR"/>
        </w:rPr>
        <w:t xml:space="preserve"> </w:t>
      </w:r>
      <w:r>
        <w:rPr>
          <w:rFonts w:ascii="Calibri" w:hAnsi="Calibri" w:cs="Calibri"/>
          <w:lang w:val="el-GR"/>
        </w:rPr>
        <w:t>Αστυνομίας</w:t>
      </w:r>
      <w:r w:rsidRPr="007D71D3">
        <w:rPr>
          <w:rFonts w:ascii="Calibri" w:hAnsi="Calibri" w:cs="Calibri"/>
          <w:lang w:val="el-GR"/>
        </w:rPr>
        <w:t xml:space="preserve">, </w:t>
      </w:r>
      <w:r>
        <w:rPr>
          <w:rFonts w:ascii="Calibri" w:hAnsi="Calibri" w:cs="Calibri"/>
          <w:lang w:val="el-GR"/>
        </w:rPr>
        <w:t>Διευθυντής</w:t>
      </w:r>
      <w:r w:rsidRPr="007D71D3">
        <w:rPr>
          <w:rFonts w:ascii="Calibri" w:hAnsi="Calibri" w:cs="Calibri"/>
          <w:lang w:val="el-GR"/>
        </w:rPr>
        <w:t xml:space="preserve"> </w:t>
      </w:r>
      <w:r>
        <w:rPr>
          <w:rFonts w:ascii="Calibri" w:hAnsi="Calibri" w:cs="Calibri"/>
          <w:lang w:val="el-GR"/>
        </w:rPr>
        <w:t>του</w:t>
      </w:r>
      <w:r w:rsidRPr="007D71D3">
        <w:rPr>
          <w:rFonts w:ascii="Calibri" w:hAnsi="Calibri" w:cs="Calibri"/>
          <w:lang w:val="el-GR"/>
        </w:rPr>
        <w:t xml:space="preserve"> </w:t>
      </w:r>
      <w:r>
        <w:rPr>
          <w:rFonts w:ascii="Calibri" w:hAnsi="Calibri" w:cs="Calibri"/>
          <w:lang w:val="el-GR"/>
        </w:rPr>
        <w:t>Γραφείου</w:t>
      </w:r>
      <w:r w:rsidRPr="007D71D3">
        <w:rPr>
          <w:rFonts w:ascii="Calibri" w:hAnsi="Calibri" w:cs="Calibri"/>
          <w:lang w:val="el-GR"/>
        </w:rPr>
        <w:t xml:space="preserve"> </w:t>
      </w:r>
      <w:r>
        <w:rPr>
          <w:rFonts w:ascii="Calibri" w:hAnsi="Calibri" w:cs="Calibri"/>
          <w:lang w:val="el-GR"/>
        </w:rPr>
        <w:t>του</w:t>
      </w:r>
      <w:r w:rsidRPr="007D71D3">
        <w:rPr>
          <w:rFonts w:ascii="Calibri" w:hAnsi="Calibri" w:cs="Calibri"/>
          <w:lang w:val="el-GR"/>
        </w:rPr>
        <w:t xml:space="preserve"> </w:t>
      </w:r>
      <w:r>
        <w:rPr>
          <w:rFonts w:ascii="Calibri" w:hAnsi="Calibri" w:cs="Calibri"/>
          <w:lang w:val="el-GR"/>
        </w:rPr>
        <w:t>Προέδρου</w:t>
      </w:r>
      <w:r w:rsidRPr="007D71D3">
        <w:rPr>
          <w:rFonts w:ascii="Calibri" w:hAnsi="Calibri" w:cs="Calibri"/>
          <w:lang w:val="el-GR"/>
        </w:rPr>
        <w:t xml:space="preserve"> </w:t>
      </w:r>
      <w:r>
        <w:rPr>
          <w:rFonts w:ascii="Calibri" w:hAnsi="Calibri" w:cs="Calibri"/>
          <w:lang w:val="el-GR"/>
        </w:rPr>
        <w:t>της</w:t>
      </w:r>
      <w:r w:rsidRPr="007D71D3">
        <w:rPr>
          <w:rFonts w:ascii="Calibri" w:hAnsi="Calibri" w:cs="Calibri"/>
          <w:lang w:val="el-GR"/>
        </w:rPr>
        <w:t xml:space="preserve"> </w:t>
      </w:r>
      <w:r>
        <w:rPr>
          <w:rFonts w:ascii="Calibri" w:hAnsi="Calibri" w:cs="Calibri"/>
          <w:lang w:val="el-GR"/>
        </w:rPr>
        <w:t>Δημοκρατίας</w:t>
      </w:r>
      <w:r w:rsidRPr="007D71D3">
        <w:rPr>
          <w:rFonts w:ascii="Calibri" w:hAnsi="Calibri" w:cs="Calibri"/>
          <w:lang w:val="el-GR"/>
        </w:rPr>
        <w:t xml:space="preserve">, </w:t>
      </w:r>
      <w:r>
        <w:rPr>
          <w:rFonts w:ascii="Calibri" w:hAnsi="Calibri" w:cs="Calibri"/>
          <w:lang w:val="el-GR"/>
        </w:rPr>
        <w:t>Γραμματέας του Υπουργικού Συμβουλίου</w:t>
      </w:r>
      <w:r w:rsidRPr="007D71D3">
        <w:rPr>
          <w:rFonts w:ascii="Calibri" w:hAnsi="Calibri" w:cs="Calibri"/>
          <w:lang w:val="el-GR"/>
        </w:rPr>
        <w:t xml:space="preserve">, </w:t>
      </w:r>
      <w:r>
        <w:rPr>
          <w:rFonts w:ascii="Calibri" w:hAnsi="Calibri" w:cs="Calibri"/>
          <w:lang w:val="el-GR"/>
        </w:rPr>
        <w:t>επίτροπος</w:t>
      </w:r>
      <w:r w:rsidRPr="007D71D3">
        <w:rPr>
          <w:rFonts w:ascii="Calibri" w:hAnsi="Calibri" w:cs="Calibri"/>
          <w:lang w:val="el-GR"/>
        </w:rPr>
        <w:t xml:space="preserve">, </w:t>
      </w:r>
      <w:r>
        <w:rPr>
          <w:rFonts w:ascii="Calibri" w:hAnsi="Calibri" w:cs="Calibri"/>
          <w:lang w:val="el-GR"/>
        </w:rPr>
        <w:t>έφορος ή ρυθμιστής</w:t>
      </w:r>
      <w:r w:rsidRPr="007D71D3">
        <w:rPr>
          <w:rFonts w:ascii="Calibri" w:hAnsi="Calibri" w:cs="Calibri"/>
          <w:lang w:val="el-GR"/>
        </w:rPr>
        <w:t xml:space="preserve">, </w:t>
      </w:r>
      <w:r>
        <w:rPr>
          <w:rFonts w:ascii="Calibri" w:hAnsi="Calibri" w:cs="Calibri"/>
          <w:lang w:val="el-GR"/>
        </w:rPr>
        <w:t>διορισμένος σύμφωνα με τον νόμο ή απόφαση του Υπουργικού Συμβουλίου</w:t>
      </w:r>
      <w:r w:rsidRPr="007D71D3">
        <w:rPr>
          <w:rFonts w:ascii="Calibri" w:hAnsi="Calibri" w:cs="Calibri"/>
          <w:lang w:val="el-GR"/>
        </w:rPr>
        <w:t xml:space="preserve">. </w:t>
      </w:r>
    </w:p>
  </w:footnote>
  <w:footnote w:id="58">
    <w:p w14:paraId="4B1D8D9C" w14:textId="396834B2" w:rsidR="00071F64" w:rsidRPr="007B52BC" w:rsidRDefault="00071F64">
      <w:pPr>
        <w:pStyle w:val="FootnoteText"/>
        <w:rPr>
          <w:rFonts w:ascii="Calibri" w:hAnsi="Calibri" w:cs="Calibri"/>
          <w:lang w:val="el-GR"/>
        </w:rPr>
      </w:pPr>
      <w:r w:rsidRPr="00B95983">
        <w:rPr>
          <w:rStyle w:val="FootnoteReference"/>
          <w:rFonts w:ascii="Calibri" w:hAnsi="Calibri" w:cs="Calibri"/>
        </w:rPr>
        <w:footnoteRef/>
      </w:r>
      <w:r w:rsidRPr="007D71D3">
        <w:rPr>
          <w:rFonts w:ascii="Calibri" w:hAnsi="Calibri" w:cs="Calibri"/>
          <w:lang w:val="el-GR"/>
        </w:rPr>
        <w:t xml:space="preserve"> </w:t>
      </w:r>
      <w:r>
        <w:rPr>
          <w:rFonts w:ascii="Calibri" w:hAnsi="Calibri" w:cs="Calibri"/>
          <w:lang w:val="el-GR"/>
        </w:rPr>
        <w:t>Κατόπιν</w:t>
      </w:r>
      <w:r w:rsidRPr="007D71D3">
        <w:rPr>
          <w:rFonts w:ascii="Calibri" w:hAnsi="Calibri" w:cs="Calibri"/>
          <w:lang w:val="el-GR"/>
        </w:rPr>
        <w:t xml:space="preserve"> </w:t>
      </w:r>
      <w:r>
        <w:rPr>
          <w:rFonts w:ascii="Calibri" w:hAnsi="Calibri" w:cs="Calibri"/>
          <w:lang w:val="el-GR"/>
        </w:rPr>
        <w:t>απόφασης</w:t>
      </w:r>
      <w:r w:rsidRPr="007D71D3">
        <w:rPr>
          <w:rFonts w:ascii="Calibri" w:hAnsi="Calibri" w:cs="Calibri"/>
          <w:lang w:val="el-GR"/>
        </w:rPr>
        <w:t xml:space="preserve"> </w:t>
      </w:r>
      <w:r>
        <w:rPr>
          <w:rFonts w:ascii="Calibri" w:hAnsi="Calibri" w:cs="Calibri"/>
          <w:lang w:val="el-GR"/>
        </w:rPr>
        <w:t>του</w:t>
      </w:r>
      <w:r w:rsidRPr="007D71D3">
        <w:rPr>
          <w:rFonts w:ascii="Calibri" w:hAnsi="Calibri" w:cs="Calibri"/>
          <w:lang w:val="el-GR"/>
        </w:rPr>
        <w:t xml:space="preserve"> </w:t>
      </w:r>
      <w:proofErr w:type="spellStart"/>
      <w:r>
        <w:rPr>
          <w:rFonts w:ascii="Calibri" w:hAnsi="Calibri" w:cs="Calibri"/>
          <w:lang w:val="el-GR"/>
        </w:rPr>
        <w:t>Ανωτάτου</w:t>
      </w:r>
      <w:proofErr w:type="spellEnd"/>
      <w:r w:rsidRPr="007D71D3">
        <w:rPr>
          <w:rFonts w:ascii="Calibri" w:hAnsi="Calibri" w:cs="Calibri"/>
          <w:lang w:val="el-GR"/>
        </w:rPr>
        <w:t xml:space="preserve"> </w:t>
      </w:r>
      <w:r>
        <w:rPr>
          <w:rFonts w:ascii="Calibri" w:hAnsi="Calibri" w:cs="Calibri"/>
          <w:lang w:val="el-GR"/>
        </w:rPr>
        <w:t>Συνταγματικού</w:t>
      </w:r>
      <w:r w:rsidRPr="007D71D3">
        <w:rPr>
          <w:rFonts w:ascii="Calibri" w:hAnsi="Calibri" w:cs="Calibri"/>
          <w:lang w:val="el-GR"/>
        </w:rPr>
        <w:t xml:space="preserve"> </w:t>
      </w:r>
      <w:r>
        <w:rPr>
          <w:rFonts w:ascii="Calibri" w:hAnsi="Calibri" w:cs="Calibri"/>
          <w:lang w:val="el-GR"/>
        </w:rPr>
        <w:t>Δικαστηρίου</w:t>
      </w:r>
      <w:r w:rsidRPr="007D71D3">
        <w:rPr>
          <w:rFonts w:ascii="Calibri" w:hAnsi="Calibri" w:cs="Calibri"/>
          <w:lang w:val="el-GR"/>
        </w:rPr>
        <w:t xml:space="preserve">, </w:t>
      </w:r>
      <w:r>
        <w:rPr>
          <w:rFonts w:ascii="Calibri" w:hAnsi="Calibri" w:cs="Calibri"/>
          <w:lang w:val="el-GR"/>
        </w:rPr>
        <w:t>καθορίστηκε</w:t>
      </w:r>
      <w:r w:rsidRPr="007D71D3">
        <w:rPr>
          <w:rFonts w:ascii="Calibri" w:hAnsi="Calibri" w:cs="Calibri"/>
          <w:lang w:val="el-GR"/>
        </w:rPr>
        <w:t xml:space="preserve"> </w:t>
      </w:r>
      <w:r>
        <w:rPr>
          <w:rFonts w:ascii="Calibri" w:hAnsi="Calibri" w:cs="Calibri"/>
          <w:lang w:val="el-GR"/>
        </w:rPr>
        <w:t>ότι</w:t>
      </w:r>
      <w:r w:rsidRPr="007D71D3">
        <w:rPr>
          <w:rFonts w:ascii="Calibri" w:hAnsi="Calibri" w:cs="Calibri"/>
          <w:lang w:val="el-GR"/>
        </w:rPr>
        <w:t xml:space="preserve"> </w:t>
      </w:r>
      <w:r>
        <w:rPr>
          <w:rFonts w:ascii="Calibri" w:hAnsi="Calibri" w:cs="Calibri"/>
          <w:lang w:val="el-GR"/>
        </w:rPr>
        <w:t>οι</w:t>
      </w:r>
      <w:r w:rsidRPr="007D71D3">
        <w:rPr>
          <w:rFonts w:ascii="Calibri" w:hAnsi="Calibri" w:cs="Calibri"/>
          <w:lang w:val="el-GR"/>
        </w:rPr>
        <w:t xml:space="preserve"> </w:t>
      </w:r>
      <w:r>
        <w:rPr>
          <w:rFonts w:ascii="Calibri" w:hAnsi="Calibri" w:cs="Calibri"/>
          <w:lang w:val="el-GR"/>
        </w:rPr>
        <w:t>πληροφορίες που σχετίζονται με συζύγους και τέκνα</w:t>
      </w:r>
      <w:r w:rsidRPr="007D71D3">
        <w:rPr>
          <w:rFonts w:ascii="Calibri" w:hAnsi="Calibri" w:cs="Calibri"/>
          <w:lang w:val="el-GR"/>
        </w:rPr>
        <w:t xml:space="preserve"> </w:t>
      </w:r>
      <w:r>
        <w:rPr>
          <w:rFonts w:ascii="Calibri" w:hAnsi="Calibri" w:cs="Calibri"/>
          <w:lang w:val="el-GR"/>
        </w:rPr>
        <w:t>δεν θα δημοσιεύονταν</w:t>
      </w:r>
      <w:r w:rsidRPr="007D71D3">
        <w:rPr>
          <w:rFonts w:ascii="Calibri" w:hAnsi="Calibri" w:cs="Calibri"/>
          <w:lang w:val="el-GR"/>
        </w:rPr>
        <w:t xml:space="preserve">. </w:t>
      </w:r>
      <w:r>
        <w:rPr>
          <w:rFonts w:ascii="Calibri" w:hAnsi="Calibri" w:cs="Calibri"/>
          <w:lang w:val="el-GR"/>
        </w:rPr>
        <w:t>Για</w:t>
      </w:r>
      <w:r w:rsidRPr="00911313">
        <w:rPr>
          <w:rFonts w:ascii="Calibri" w:hAnsi="Calibri" w:cs="Calibri"/>
          <w:lang w:val="el-GR"/>
        </w:rPr>
        <w:t xml:space="preserve"> </w:t>
      </w:r>
      <w:r>
        <w:rPr>
          <w:rFonts w:ascii="Calibri" w:hAnsi="Calibri" w:cs="Calibri"/>
          <w:lang w:val="el-GR"/>
        </w:rPr>
        <w:t>το</w:t>
      </w:r>
      <w:r w:rsidRPr="00911313">
        <w:rPr>
          <w:rFonts w:ascii="Calibri" w:hAnsi="Calibri" w:cs="Calibri"/>
          <w:lang w:val="el-GR"/>
        </w:rPr>
        <w:t xml:space="preserve"> </w:t>
      </w:r>
      <w:r>
        <w:rPr>
          <w:rFonts w:ascii="Calibri" w:hAnsi="Calibri" w:cs="Calibri"/>
          <w:lang w:val="el-GR"/>
        </w:rPr>
        <w:t>θέμα</w:t>
      </w:r>
      <w:r w:rsidRPr="00911313">
        <w:rPr>
          <w:rFonts w:ascii="Calibri" w:hAnsi="Calibri" w:cs="Calibri"/>
          <w:lang w:val="el-GR"/>
        </w:rPr>
        <w:t xml:space="preserve"> </w:t>
      </w:r>
      <w:r>
        <w:rPr>
          <w:rFonts w:ascii="Calibri" w:hAnsi="Calibri" w:cs="Calibri"/>
          <w:lang w:val="el-GR"/>
        </w:rPr>
        <w:t>αν</w:t>
      </w:r>
      <w:r w:rsidRPr="00911313">
        <w:rPr>
          <w:rFonts w:ascii="Calibri" w:hAnsi="Calibri" w:cs="Calibri"/>
          <w:lang w:val="el-GR"/>
        </w:rPr>
        <w:t xml:space="preserve"> </w:t>
      </w:r>
      <w:r>
        <w:rPr>
          <w:rFonts w:ascii="Calibri" w:hAnsi="Calibri" w:cs="Calibri"/>
          <w:lang w:val="el-GR"/>
        </w:rPr>
        <w:t>θα</w:t>
      </w:r>
      <w:r w:rsidRPr="00911313">
        <w:rPr>
          <w:rFonts w:ascii="Calibri" w:hAnsi="Calibri" w:cs="Calibri"/>
          <w:lang w:val="el-GR"/>
        </w:rPr>
        <w:t xml:space="preserve"> </w:t>
      </w:r>
      <w:r>
        <w:rPr>
          <w:rFonts w:ascii="Calibri" w:hAnsi="Calibri" w:cs="Calibri"/>
          <w:lang w:val="el-GR"/>
        </w:rPr>
        <w:t>συμπεριληφθούν</w:t>
      </w:r>
      <w:r w:rsidRPr="00911313">
        <w:rPr>
          <w:rFonts w:ascii="Calibri" w:hAnsi="Calibri" w:cs="Calibri"/>
          <w:lang w:val="el-GR"/>
        </w:rPr>
        <w:t xml:space="preserve"> </w:t>
      </w:r>
      <w:r>
        <w:rPr>
          <w:rFonts w:ascii="Calibri" w:hAnsi="Calibri" w:cs="Calibri"/>
          <w:lang w:val="el-GR"/>
        </w:rPr>
        <w:t>στις</w:t>
      </w:r>
      <w:r w:rsidRPr="00911313">
        <w:rPr>
          <w:rFonts w:ascii="Calibri" w:hAnsi="Calibri" w:cs="Calibri"/>
          <w:lang w:val="el-GR"/>
        </w:rPr>
        <w:t xml:space="preserve"> </w:t>
      </w:r>
      <w:r>
        <w:rPr>
          <w:rFonts w:ascii="Calibri" w:hAnsi="Calibri" w:cs="Calibri"/>
          <w:lang w:val="el-GR"/>
        </w:rPr>
        <w:t>αποκαλύψεις</w:t>
      </w:r>
      <w:r w:rsidRPr="00911313">
        <w:rPr>
          <w:rFonts w:ascii="Calibri" w:hAnsi="Calibri" w:cs="Calibri"/>
          <w:lang w:val="el-GR"/>
        </w:rPr>
        <w:t xml:space="preserve"> </w:t>
      </w:r>
      <w:r>
        <w:rPr>
          <w:rFonts w:ascii="Calibri" w:hAnsi="Calibri" w:cs="Calibri"/>
          <w:lang w:val="el-GR"/>
        </w:rPr>
        <w:t>οικονομικές</w:t>
      </w:r>
      <w:r w:rsidRPr="00911313">
        <w:rPr>
          <w:rFonts w:ascii="Calibri" w:hAnsi="Calibri" w:cs="Calibri"/>
          <w:lang w:val="el-GR"/>
        </w:rPr>
        <w:t xml:space="preserve"> </w:t>
      </w:r>
      <w:r>
        <w:rPr>
          <w:rFonts w:ascii="Calibri" w:hAnsi="Calibri" w:cs="Calibri"/>
          <w:lang w:val="el-GR"/>
        </w:rPr>
        <w:t>πληροφορίες</w:t>
      </w:r>
      <w:r w:rsidRPr="00911313">
        <w:rPr>
          <w:rFonts w:ascii="Calibri" w:hAnsi="Calibri" w:cs="Calibri"/>
          <w:lang w:val="el-GR"/>
        </w:rPr>
        <w:t xml:space="preserve"> </w:t>
      </w:r>
      <w:r>
        <w:rPr>
          <w:rFonts w:ascii="Calibri" w:hAnsi="Calibri" w:cs="Calibri"/>
          <w:lang w:val="el-GR"/>
        </w:rPr>
        <w:t>για</w:t>
      </w:r>
      <w:r w:rsidRPr="00911313">
        <w:rPr>
          <w:rFonts w:ascii="Calibri" w:hAnsi="Calibri" w:cs="Calibri"/>
          <w:lang w:val="el-GR"/>
        </w:rPr>
        <w:t xml:space="preserve"> </w:t>
      </w:r>
      <w:r>
        <w:rPr>
          <w:rFonts w:ascii="Calibri" w:hAnsi="Calibri" w:cs="Calibri"/>
          <w:lang w:val="el-GR"/>
        </w:rPr>
        <w:t>ενήλικα</w:t>
      </w:r>
      <w:r w:rsidRPr="00911313">
        <w:rPr>
          <w:rFonts w:ascii="Calibri" w:hAnsi="Calibri" w:cs="Calibri"/>
          <w:lang w:val="el-GR"/>
        </w:rPr>
        <w:t xml:space="preserve"> </w:t>
      </w:r>
      <w:r>
        <w:rPr>
          <w:rFonts w:ascii="Calibri" w:hAnsi="Calibri" w:cs="Calibri"/>
          <w:lang w:val="el-GR"/>
        </w:rPr>
        <w:t>εξαρτώμενα</w:t>
      </w:r>
      <w:r w:rsidRPr="00911313">
        <w:rPr>
          <w:rFonts w:ascii="Calibri" w:hAnsi="Calibri" w:cs="Calibri"/>
          <w:lang w:val="el-GR"/>
        </w:rPr>
        <w:t xml:space="preserve"> </w:t>
      </w:r>
      <w:r>
        <w:rPr>
          <w:rFonts w:ascii="Calibri" w:hAnsi="Calibri" w:cs="Calibri"/>
          <w:lang w:val="el-GR"/>
        </w:rPr>
        <w:t>μέλη</w:t>
      </w:r>
      <w:r w:rsidRPr="00911313">
        <w:rPr>
          <w:rFonts w:ascii="Calibri" w:hAnsi="Calibri" w:cs="Calibri"/>
          <w:lang w:val="el-GR"/>
        </w:rPr>
        <w:t xml:space="preserve"> </w:t>
      </w:r>
      <w:r>
        <w:rPr>
          <w:rFonts w:ascii="Calibri" w:hAnsi="Calibri" w:cs="Calibri"/>
          <w:lang w:val="el-GR"/>
        </w:rPr>
        <w:t>της</w:t>
      </w:r>
      <w:r w:rsidRPr="00911313">
        <w:rPr>
          <w:rFonts w:ascii="Calibri" w:hAnsi="Calibri" w:cs="Calibri"/>
          <w:lang w:val="el-GR"/>
        </w:rPr>
        <w:t xml:space="preserve"> </w:t>
      </w:r>
      <w:r>
        <w:rPr>
          <w:rFonts w:ascii="Calibri" w:hAnsi="Calibri" w:cs="Calibri"/>
          <w:lang w:val="el-GR"/>
        </w:rPr>
        <w:t>οικογένειας</w:t>
      </w:r>
      <w:r w:rsidRPr="00911313">
        <w:rPr>
          <w:rFonts w:ascii="Calibri" w:hAnsi="Calibri" w:cs="Calibri"/>
          <w:lang w:val="el-GR"/>
        </w:rPr>
        <w:t xml:space="preserve">, </w:t>
      </w:r>
      <w:r>
        <w:rPr>
          <w:rFonts w:ascii="Calibri" w:hAnsi="Calibri" w:cs="Calibri"/>
          <w:lang w:val="el-GR"/>
        </w:rPr>
        <w:t>ένα</w:t>
      </w:r>
      <w:r w:rsidRPr="00911313">
        <w:rPr>
          <w:rFonts w:ascii="Calibri" w:hAnsi="Calibri" w:cs="Calibri"/>
          <w:lang w:val="el-GR"/>
        </w:rPr>
        <w:t xml:space="preserve"> </w:t>
      </w:r>
      <w:r>
        <w:rPr>
          <w:rFonts w:ascii="Calibri" w:hAnsi="Calibri" w:cs="Calibri"/>
          <w:lang w:val="el-GR"/>
        </w:rPr>
        <w:t>τέτοιο</w:t>
      </w:r>
      <w:r w:rsidRPr="00911313">
        <w:rPr>
          <w:rFonts w:ascii="Calibri" w:hAnsi="Calibri" w:cs="Calibri"/>
          <w:lang w:val="el-GR"/>
        </w:rPr>
        <w:t xml:space="preserve"> </w:t>
      </w:r>
      <w:r>
        <w:rPr>
          <w:rFonts w:ascii="Calibri" w:hAnsi="Calibri" w:cs="Calibri"/>
          <w:lang w:val="el-GR"/>
        </w:rPr>
        <w:t>ενδεχόμενο</w:t>
      </w:r>
      <w:r w:rsidRPr="00911313">
        <w:rPr>
          <w:rFonts w:ascii="Calibri" w:hAnsi="Calibri" w:cs="Calibri"/>
          <w:lang w:val="el-GR"/>
        </w:rPr>
        <w:t xml:space="preserve"> </w:t>
      </w:r>
      <w:r>
        <w:rPr>
          <w:rFonts w:ascii="Calibri" w:hAnsi="Calibri" w:cs="Calibri"/>
          <w:lang w:val="el-GR"/>
        </w:rPr>
        <w:t>έχει</w:t>
      </w:r>
      <w:r w:rsidRPr="00911313">
        <w:rPr>
          <w:rFonts w:ascii="Calibri" w:hAnsi="Calibri" w:cs="Calibri"/>
          <w:lang w:val="el-GR"/>
        </w:rPr>
        <w:t xml:space="preserve"> </w:t>
      </w:r>
      <w:r>
        <w:rPr>
          <w:rFonts w:ascii="Calibri" w:hAnsi="Calibri" w:cs="Calibri"/>
          <w:lang w:val="el-GR"/>
        </w:rPr>
        <w:t>θεωρηθεί</w:t>
      </w:r>
      <w:r w:rsidRPr="00911313">
        <w:rPr>
          <w:rFonts w:ascii="Calibri" w:hAnsi="Calibri" w:cs="Calibri"/>
          <w:lang w:val="el-GR"/>
        </w:rPr>
        <w:t xml:space="preserve"> </w:t>
      </w:r>
      <w:r>
        <w:rPr>
          <w:rFonts w:ascii="Calibri" w:hAnsi="Calibri" w:cs="Calibri"/>
          <w:lang w:val="el-GR"/>
        </w:rPr>
        <w:t>από</w:t>
      </w:r>
      <w:r w:rsidRPr="00911313">
        <w:rPr>
          <w:rFonts w:ascii="Calibri" w:hAnsi="Calibri" w:cs="Calibri"/>
          <w:lang w:val="el-GR"/>
        </w:rPr>
        <w:t xml:space="preserve"> </w:t>
      </w:r>
      <w:r>
        <w:rPr>
          <w:rFonts w:ascii="Calibri" w:hAnsi="Calibri" w:cs="Calibri"/>
          <w:lang w:val="el-GR"/>
        </w:rPr>
        <w:t>την</w:t>
      </w:r>
      <w:r w:rsidRPr="00911313">
        <w:rPr>
          <w:rFonts w:ascii="Calibri" w:hAnsi="Calibri" w:cs="Calibri"/>
          <w:lang w:val="el-GR"/>
        </w:rPr>
        <w:t xml:space="preserve"> </w:t>
      </w:r>
      <w:r>
        <w:rPr>
          <w:rFonts w:ascii="Calibri" w:hAnsi="Calibri" w:cs="Calibri"/>
          <w:lang w:val="el-GR"/>
        </w:rPr>
        <w:t>Κοινοβουλευτική</w:t>
      </w:r>
      <w:r w:rsidRPr="00911313">
        <w:rPr>
          <w:rFonts w:ascii="Calibri" w:hAnsi="Calibri" w:cs="Calibri"/>
          <w:lang w:val="el-GR"/>
        </w:rPr>
        <w:t xml:space="preserve"> </w:t>
      </w:r>
      <w:r>
        <w:rPr>
          <w:rFonts w:ascii="Calibri" w:hAnsi="Calibri" w:cs="Calibri"/>
          <w:lang w:val="el-GR"/>
        </w:rPr>
        <w:t>Επιτροπή</w:t>
      </w:r>
      <w:r w:rsidRPr="00911313">
        <w:rPr>
          <w:rFonts w:ascii="Calibri" w:hAnsi="Calibri" w:cs="Calibri"/>
          <w:lang w:val="el-GR"/>
        </w:rPr>
        <w:t xml:space="preserve"> </w:t>
      </w:r>
      <w:r>
        <w:rPr>
          <w:rFonts w:ascii="Calibri" w:hAnsi="Calibri" w:cs="Calibri"/>
          <w:lang w:val="el-GR"/>
        </w:rPr>
        <w:t>Νομικών</w:t>
      </w:r>
      <w:r w:rsidRPr="00911313">
        <w:rPr>
          <w:rFonts w:ascii="Calibri" w:hAnsi="Calibri" w:cs="Calibri"/>
          <w:lang w:val="el-GR"/>
        </w:rPr>
        <w:t xml:space="preserve"> </w:t>
      </w:r>
      <w:r>
        <w:rPr>
          <w:rFonts w:ascii="Calibri" w:hAnsi="Calibri" w:cs="Calibri"/>
          <w:lang w:val="el-GR"/>
        </w:rPr>
        <w:t>Υποθέσεων</w:t>
      </w:r>
      <w:r w:rsidRPr="00911313">
        <w:rPr>
          <w:rFonts w:ascii="Calibri" w:hAnsi="Calibri" w:cs="Calibri"/>
          <w:lang w:val="el-GR"/>
        </w:rPr>
        <w:t xml:space="preserve"> </w:t>
      </w:r>
      <w:r>
        <w:rPr>
          <w:rFonts w:ascii="Calibri" w:hAnsi="Calibri" w:cs="Calibri"/>
          <w:lang w:val="el-GR"/>
        </w:rPr>
        <w:t>κατά τον λεπτομερή έλεγχο</w:t>
      </w:r>
      <w:r w:rsidRPr="00911313">
        <w:rPr>
          <w:rFonts w:ascii="Calibri" w:hAnsi="Calibri" w:cs="Calibri"/>
          <w:lang w:val="el-GR"/>
        </w:rPr>
        <w:t xml:space="preserve"> </w:t>
      </w:r>
      <w:r>
        <w:rPr>
          <w:rFonts w:ascii="Calibri" w:hAnsi="Calibri" w:cs="Calibri"/>
          <w:lang w:val="el-GR"/>
        </w:rPr>
        <w:t>του Νομοσχεδίου</w:t>
      </w:r>
      <w:r w:rsidRPr="00911313">
        <w:rPr>
          <w:rFonts w:ascii="Calibri" w:hAnsi="Calibri" w:cs="Calibri"/>
          <w:lang w:val="el-GR"/>
        </w:rPr>
        <w:t xml:space="preserve"> </w:t>
      </w:r>
      <w:r>
        <w:rPr>
          <w:rFonts w:ascii="Calibri" w:hAnsi="Calibri" w:cs="Calibri"/>
          <w:lang w:val="el-GR"/>
        </w:rPr>
        <w:t>που σχετίζεται με την τροποποίηση του Νόμου περί Δήλωσης Περιουσιακών Στοιχείων</w:t>
      </w:r>
      <w:r w:rsidRPr="00911313">
        <w:rPr>
          <w:rFonts w:ascii="Calibri" w:hAnsi="Calibri" w:cs="Calibri"/>
          <w:lang w:val="el-GR"/>
        </w:rPr>
        <w:t xml:space="preserve"> </w:t>
      </w:r>
      <w:r>
        <w:rPr>
          <w:rFonts w:ascii="Calibri" w:hAnsi="Calibri" w:cs="Calibri"/>
          <w:lang w:val="el-GR"/>
        </w:rPr>
        <w:t>και Ελέγχων Περιουσίας</w:t>
      </w:r>
      <w:r w:rsidRPr="00911313">
        <w:rPr>
          <w:rFonts w:ascii="Calibri" w:hAnsi="Calibri" w:cs="Calibri"/>
          <w:lang w:val="el-GR"/>
        </w:rPr>
        <w:t xml:space="preserve"> </w:t>
      </w:r>
      <w:r>
        <w:rPr>
          <w:rFonts w:ascii="Calibri" w:hAnsi="Calibri" w:cs="Calibri"/>
          <w:lang w:val="el-GR"/>
        </w:rPr>
        <w:t>του Προέδρου των Υπουργών και των Μελών της Βουλής</w:t>
      </w:r>
      <w:r w:rsidRPr="00911313">
        <w:rPr>
          <w:rFonts w:ascii="Calibri" w:hAnsi="Calibri" w:cs="Calibri"/>
          <w:lang w:val="el-GR"/>
        </w:rPr>
        <w:t xml:space="preserve"> [</w:t>
      </w:r>
      <w:r>
        <w:rPr>
          <w:rFonts w:ascii="Calibri" w:hAnsi="Calibri" w:cs="Calibri"/>
          <w:lang w:val="el-GR"/>
        </w:rPr>
        <w:t>Νόμος</w:t>
      </w:r>
      <w:r w:rsidRPr="00911313">
        <w:rPr>
          <w:rFonts w:ascii="Calibri" w:hAnsi="Calibri" w:cs="Calibri"/>
          <w:lang w:val="el-GR"/>
        </w:rPr>
        <w:t xml:space="preserve"> 49(</w:t>
      </w:r>
      <w:r w:rsidRPr="00B95983">
        <w:rPr>
          <w:rFonts w:ascii="Calibri" w:hAnsi="Calibri" w:cs="Calibri"/>
        </w:rPr>
        <w:t>I</w:t>
      </w:r>
      <w:r w:rsidRPr="00911313">
        <w:rPr>
          <w:rFonts w:ascii="Calibri" w:hAnsi="Calibri" w:cs="Calibri"/>
          <w:lang w:val="el-GR"/>
        </w:rPr>
        <w:t xml:space="preserve">)/2004], </w:t>
      </w:r>
      <w:r>
        <w:rPr>
          <w:rFonts w:ascii="Calibri" w:hAnsi="Calibri" w:cs="Calibri"/>
          <w:lang w:val="el-GR"/>
        </w:rPr>
        <w:t>που τέθηκε σε ισχύ</w:t>
      </w:r>
      <w:r w:rsidRPr="00911313">
        <w:rPr>
          <w:rFonts w:ascii="Calibri" w:hAnsi="Calibri" w:cs="Calibri"/>
          <w:lang w:val="el-GR"/>
        </w:rPr>
        <w:t xml:space="preserve"> </w:t>
      </w:r>
      <w:r>
        <w:rPr>
          <w:rFonts w:ascii="Calibri" w:hAnsi="Calibri" w:cs="Calibri"/>
          <w:lang w:val="el-GR"/>
        </w:rPr>
        <w:t>ως</w:t>
      </w:r>
      <w:r w:rsidRPr="00911313">
        <w:rPr>
          <w:rFonts w:ascii="Calibri" w:hAnsi="Calibri" w:cs="Calibri"/>
          <w:lang w:val="el-GR"/>
        </w:rPr>
        <w:t xml:space="preserve"> </w:t>
      </w:r>
      <w:r>
        <w:rPr>
          <w:rFonts w:ascii="Calibri" w:hAnsi="Calibri" w:cs="Calibri"/>
          <w:lang w:val="el-GR"/>
        </w:rPr>
        <w:t>Νόμος</w:t>
      </w:r>
      <w:r w:rsidRPr="00911313">
        <w:rPr>
          <w:rFonts w:ascii="Calibri" w:hAnsi="Calibri" w:cs="Calibri"/>
          <w:lang w:val="el-GR"/>
        </w:rPr>
        <w:t xml:space="preserve"> 68(</w:t>
      </w:r>
      <w:r w:rsidRPr="00B95983">
        <w:rPr>
          <w:rFonts w:ascii="Calibri" w:hAnsi="Calibri" w:cs="Calibri"/>
        </w:rPr>
        <w:t>I</w:t>
      </w:r>
      <w:r w:rsidRPr="00911313">
        <w:rPr>
          <w:rFonts w:ascii="Calibri" w:hAnsi="Calibri" w:cs="Calibri"/>
          <w:lang w:val="el-GR"/>
        </w:rPr>
        <w:t xml:space="preserve">)/2017. </w:t>
      </w:r>
      <w:r>
        <w:rPr>
          <w:rFonts w:ascii="Calibri" w:hAnsi="Calibri" w:cs="Calibri"/>
          <w:lang w:val="el-GR"/>
        </w:rPr>
        <w:t>Όπως</w:t>
      </w:r>
      <w:r w:rsidRPr="00911313">
        <w:rPr>
          <w:rFonts w:ascii="Calibri" w:hAnsi="Calibri" w:cs="Calibri"/>
          <w:lang w:val="el-GR"/>
        </w:rPr>
        <w:t xml:space="preserve"> </w:t>
      </w:r>
      <w:r>
        <w:rPr>
          <w:rFonts w:ascii="Calibri" w:hAnsi="Calibri" w:cs="Calibri"/>
          <w:lang w:val="el-GR"/>
        </w:rPr>
        <w:t>αναφέρθηκε</w:t>
      </w:r>
      <w:r w:rsidRPr="00911313">
        <w:rPr>
          <w:rFonts w:ascii="Calibri" w:hAnsi="Calibri" w:cs="Calibri"/>
          <w:lang w:val="el-GR"/>
        </w:rPr>
        <w:t xml:space="preserve"> </w:t>
      </w:r>
      <w:r>
        <w:rPr>
          <w:rFonts w:ascii="Calibri" w:hAnsi="Calibri" w:cs="Calibri"/>
          <w:lang w:val="el-GR"/>
        </w:rPr>
        <w:t>στην</w:t>
      </w:r>
      <w:r w:rsidRPr="00911313">
        <w:rPr>
          <w:rFonts w:ascii="Calibri" w:hAnsi="Calibri" w:cs="Calibri"/>
          <w:lang w:val="el-GR"/>
        </w:rPr>
        <w:t xml:space="preserve"> </w:t>
      </w:r>
      <w:r>
        <w:rPr>
          <w:rFonts w:ascii="Calibri" w:hAnsi="Calibri" w:cs="Calibri"/>
          <w:lang w:val="el-GR"/>
        </w:rPr>
        <w:t>έκθεση</w:t>
      </w:r>
      <w:r w:rsidRPr="00911313">
        <w:rPr>
          <w:rFonts w:ascii="Calibri" w:hAnsi="Calibri" w:cs="Calibri"/>
          <w:lang w:val="el-GR"/>
        </w:rPr>
        <w:t xml:space="preserve"> </w:t>
      </w:r>
      <w:r>
        <w:rPr>
          <w:rFonts w:ascii="Calibri" w:hAnsi="Calibri" w:cs="Calibri"/>
          <w:lang w:val="el-GR"/>
        </w:rPr>
        <w:t>της</w:t>
      </w:r>
      <w:r w:rsidRPr="00911313">
        <w:rPr>
          <w:rFonts w:ascii="Calibri" w:hAnsi="Calibri" w:cs="Calibri"/>
          <w:lang w:val="el-GR"/>
        </w:rPr>
        <w:t xml:space="preserve"> </w:t>
      </w:r>
      <w:r>
        <w:rPr>
          <w:rFonts w:ascii="Calibri" w:hAnsi="Calibri" w:cs="Calibri"/>
          <w:lang w:val="el-GR"/>
        </w:rPr>
        <w:t>επιτροπής</w:t>
      </w:r>
      <w:r w:rsidRPr="00911313">
        <w:rPr>
          <w:rFonts w:ascii="Calibri" w:hAnsi="Calibri" w:cs="Calibri"/>
          <w:lang w:val="el-GR"/>
        </w:rPr>
        <w:t xml:space="preserve"> </w:t>
      </w:r>
      <w:r>
        <w:rPr>
          <w:rFonts w:ascii="Calibri" w:hAnsi="Calibri" w:cs="Calibri"/>
          <w:lang w:val="el-GR"/>
        </w:rPr>
        <w:t>στην</w:t>
      </w:r>
      <w:r w:rsidRPr="00911313">
        <w:rPr>
          <w:rFonts w:ascii="Calibri" w:hAnsi="Calibri" w:cs="Calibri"/>
          <w:lang w:val="el-GR"/>
        </w:rPr>
        <w:t xml:space="preserve"> </w:t>
      </w:r>
      <w:r>
        <w:rPr>
          <w:rFonts w:ascii="Calibri" w:hAnsi="Calibri" w:cs="Calibri"/>
          <w:lang w:val="el-GR"/>
        </w:rPr>
        <w:t>ολομέλεια</w:t>
      </w:r>
      <w:r w:rsidRPr="00911313">
        <w:rPr>
          <w:rFonts w:ascii="Calibri" w:hAnsi="Calibri" w:cs="Calibri"/>
          <w:lang w:val="el-GR"/>
        </w:rPr>
        <w:t xml:space="preserve">, </w:t>
      </w:r>
      <w:r>
        <w:rPr>
          <w:rFonts w:ascii="Calibri" w:hAnsi="Calibri" w:cs="Calibri"/>
          <w:lang w:val="el-GR"/>
        </w:rPr>
        <w:t>η</w:t>
      </w:r>
      <w:r w:rsidRPr="00911313">
        <w:rPr>
          <w:rFonts w:ascii="Calibri" w:hAnsi="Calibri" w:cs="Calibri"/>
          <w:lang w:val="el-GR"/>
        </w:rPr>
        <w:t xml:space="preserve"> </w:t>
      </w:r>
      <w:r>
        <w:rPr>
          <w:rFonts w:ascii="Calibri" w:hAnsi="Calibri" w:cs="Calibri"/>
          <w:lang w:val="el-GR"/>
        </w:rPr>
        <w:t>επιτροπή</w:t>
      </w:r>
      <w:r w:rsidRPr="00911313">
        <w:rPr>
          <w:rFonts w:ascii="Calibri" w:hAnsi="Calibri" w:cs="Calibri"/>
          <w:lang w:val="el-GR"/>
        </w:rPr>
        <w:t xml:space="preserve"> </w:t>
      </w:r>
      <w:r>
        <w:rPr>
          <w:rFonts w:ascii="Calibri" w:hAnsi="Calibri" w:cs="Calibri"/>
          <w:lang w:val="el-GR"/>
        </w:rPr>
        <w:t>ζήτησε</w:t>
      </w:r>
      <w:r w:rsidRPr="00911313">
        <w:rPr>
          <w:rFonts w:ascii="Calibri" w:hAnsi="Calibri" w:cs="Calibri"/>
          <w:lang w:val="el-GR"/>
        </w:rPr>
        <w:t xml:space="preserve"> </w:t>
      </w:r>
      <w:r>
        <w:rPr>
          <w:rFonts w:ascii="Calibri" w:hAnsi="Calibri" w:cs="Calibri"/>
          <w:lang w:val="el-GR"/>
        </w:rPr>
        <w:t>πληροφορίες</w:t>
      </w:r>
      <w:r w:rsidRPr="00911313">
        <w:rPr>
          <w:rFonts w:ascii="Calibri" w:hAnsi="Calibri" w:cs="Calibri"/>
          <w:lang w:val="el-GR"/>
        </w:rPr>
        <w:t xml:space="preserve"> </w:t>
      </w:r>
      <w:r>
        <w:rPr>
          <w:rFonts w:ascii="Calibri" w:hAnsi="Calibri" w:cs="Calibri"/>
          <w:lang w:val="el-GR"/>
        </w:rPr>
        <w:t>για</w:t>
      </w:r>
      <w:r w:rsidRPr="00911313">
        <w:rPr>
          <w:rFonts w:ascii="Calibri" w:hAnsi="Calibri" w:cs="Calibri"/>
          <w:lang w:val="el-GR"/>
        </w:rPr>
        <w:t xml:space="preserve"> </w:t>
      </w:r>
      <w:r>
        <w:rPr>
          <w:rFonts w:ascii="Calibri" w:hAnsi="Calibri" w:cs="Calibri"/>
          <w:lang w:val="el-GR"/>
        </w:rPr>
        <w:t>τα</w:t>
      </w:r>
      <w:r w:rsidRPr="00911313">
        <w:rPr>
          <w:rFonts w:ascii="Calibri" w:hAnsi="Calibri" w:cs="Calibri"/>
          <w:lang w:val="el-GR"/>
        </w:rPr>
        <w:t xml:space="preserve"> </w:t>
      </w:r>
      <w:r>
        <w:rPr>
          <w:rFonts w:ascii="Calibri" w:hAnsi="Calibri" w:cs="Calibri"/>
          <w:lang w:val="el-GR"/>
        </w:rPr>
        <w:t>συστήματα</w:t>
      </w:r>
      <w:r w:rsidRPr="00911313">
        <w:rPr>
          <w:rFonts w:ascii="Calibri" w:hAnsi="Calibri" w:cs="Calibri"/>
          <w:lang w:val="el-GR"/>
        </w:rPr>
        <w:t xml:space="preserve"> </w:t>
      </w:r>
      <w:r>
        <w:rPr>
          <w:rFonts w:ascii="Calibri" w:hAnsi="Calibri" w:cs="Calibri"/>
          <w:lang w:val="el-GR"/>
        </w:rPr>
        <w:t>δηλώσεων</w:t>
      </w:r>
      <w:r w:rsidRPr="00911313">
        <w:rPr>
          <w:rFonts w:ascii="Calibri" w:hAnsi="Calibri" w:cs="Calibri"/>
          <w:lang w:val="el-GR"/>
        </w:rPr>
        <w:t xml:space="preserve"> </w:t>
      </w:r>
      <w:r>
        <w:rPr>
          <w:rFonts w:ascii="Calibri" w:hAnsi="Calibri" w:cs="Calibri"/>
          <w:lang w:val="el-GR"/>
        </w:rPr>
        <w:t>περιουσιακών</w:t>
      </w:r>
      <w:r w:rsidRPr="00911313">
        <w:rPr>
          <w:rFonts w:ascii="Calibri" w:hAnsi="Calibri" w:cs="Calibri"/>
          <w:lang w:val="el-GR"/>
        </w:rPr>
        <w:t xml:space="preserve"> </w:t>
      </w:r>
      <w:r>
        <w:rPr>
          <w:rFonts w:ascii="Calibri" w:hAnsi="Calibri" w:cs="Calibri"/>
          <w:lang w:val="el-GR"/>
        </w:rPr>
        <w:t>στοιχείων</w:t>
      </w:r>
      <w:r w:rsidRPr="00911313">
        <w:rPr>
          <w:rFonts w:ascii="Calibri" w:hAnsi="Calibri" w:cs="Calibri"/>
          <w:lang w:val="el-GR"/>
        </w:rPr>
        <w:t xml:space="preserve"> </w:t>
      </w:r>
      <w:r>
        <w:rPr>
          <w:rFonts w:ascii="Calibri" w:hAnsi="Calibri" w:cs="Calibri"/>
          <w:lang w:val="el-GR"/>
        </w:rPr>
        <w:t>διάφορων κρατών</w:t>
      </w:r>
      <w:r w:rsidRPr="00911313">
        <w:rPr>
          <w:rFonts w:ascii="Calibri" w:hAnsi="Calibri" w:cs="Calibri"/>
          <w:lang w:val="el-GR"/>
        </w:rPr>
        <w:t xml:space="preserve"> </w:t>
      </w:r>
      <w:r>
        <w:rPr>
          <w:rFonts w:ascii="Calibri" w:hAnsi="Calibri" w:cs="Calibri"/>
          <w:lang w:val="el-GR"/>
        </w:rPr>
        <w:t>μέσω του Ευρωπαϊκού Κέντρου</w:t>
      </w:r>
      <w:r w:rsidRPr="00911313">
        <w:rPr>
          <w:rFonts w:ascii="Calibri" w:hAnsi="Calibri" w:cs="Calibri"/>
          <w:lang w:val="el-GR"/>
        </w:rPr>
        <w:t xml:space="preserve"> </w:t>
      </w:r>
      <w:r>
        <w:rPr>
          <w:rFonts w:ascii="Calibri" w:hAnsi="Calibri" w:cs="Calibri"/>
          <w:lang w:val="el-GR"/>
        </w:rPr>
        <w:t>Κοινοβουλευτικής Έρευνας και Τεκμηρίωσης</w:t>
      </w:r>
      <w:r w:rsidRPr="00911313">
        <w:rPr>
          <w:rFonts w:ascii="Calibri" w:hAnsi="Calibri" w:cs="Calibri"/>
          <w:lang w:val="el-GR"/>
        </w:rPr>
        <w:t xml:space="preserve">, </w:t>
      </w:r>
      <w:r>
        <w:rPr>
          <w:rFonts w:ascii="Calibri" w:hAnsi="Calibri" w:cs="Calibri"/>
          <w:lang w:val="el-GR"/>
        </w:rPr>
        <w:t>συμπεριλαμβανομένων πληροφοριών</w:t>
      </w:r>
      <w:r w:rsidRPr="00911313">
        <w:rPr>
          <w:rFonts w:ascii="Calibri" w:hAnsi="Calibri" w:cs="Calibri"/>
          <w:lang w:val="el-GR"/>
        </w:rPr>
        <w:t xml:space="preserve"> </w:t>
      </w:r>
      <w:r>
        <w:rPr>
          <w:rFonts w:ascii="Calibri" w:hAnsi="Calibri" w:cs="Calibri"/>
          <w:lang w:val="el-GR"/>
        </w:rPr>
        <w:t>για την υποβολή πληροφοριών από εξαρτώμενα μέλη της οικογένειας</w:t>
      </w:r>
      <w:r w:rsidRPr="00911313">
        <w:rPr>
          <w:rFonts w:ascii="Calibri" w:hAnsi="Calibri" w:cs="Calibri"/>
          <w:lang w:val="el-GR"/>
        </w:rPr>
        <w:t xml:space="preserve">. </w:t>
      </w:r>
      <w:r>
        <w:rPr>
          <w:rFonts w:ascii="Calibri" w:hAnsi="Calibri" w:cs="Calibri"/>
          <w:lang w:val="el-GR"/>
        </w:rPr>
        <w:t>Τελικά</w:t>
      </w:r>
      <w:r w:rsidRPr="007B52BC">
        <w:rPr>
          <w:rFonts w:ascii="Calibri" w:hAnsi="Calibri" w:cs="Calibri"/>
          <w:lang w:val="el-GR"/>
        </w:rPr>
        <w:t xml:space="preserve"> </w:t>
      </w:r>
      <w:r>
        <w:rPr>
          <w:rFonts w:ascii="Calibri" w:hAnsi="Calibri" w:cs="Calibri"/>
          <w:lang w:val="el-GR"/>
        </w:rPr>
        <w:t>αποφασίσθηκε</w:t>
      </w:r>
      <w:r w:rsidRPr="007B52BC">
        <w:rPr>
          <w:rFonts w:ascii="Calibri" w:hAnsi="Calibri" w:cs="Calibri"/>
          <w:lang w:val="el-GR"/>
        </w:rPr>
        <w:t xml:space="preserve"> </w:t>
      </w:r>
      <w:r>
        <w:rPr>
          <w:rFonts w:ascii="Calibri" w:hAnsi="Calibri" w:cs="Calibri"/>
          <w:lang w:val="el-GR"/>
        </w:rPr>
        <w:t>από</w:t>
      </w:r>
      <w:r w:rsidRPr="007B52BC">
        <w:rPr>
          <w:rFonts w:ascii="Calibri" w:hAnsi="Calibri" w:cs="Calibri"/>
          <w:lang w:val="el-GR"/>
        </w:rPr>
        <w:t xml:space="preserve"> </w:t>
      </w:r>
      <w:r>
        <w:rPr>
          <w:rFonts w:ascii="Calibri" w:hAnsi="Calibri" w:cs="Calibri"/>
          <w:lang w:val="el-GR"/>
        </w:rPr>
        <w:t>την</w:t>
      </w:r>
      <w:r w:rsidRPr="007B52BC">
        <w:rPr>
          <w:rFonts w:ascii="Calibri" w:hAnsi="Calibri" w:cs="Calibri"/>
          <w:lang w:val="el-GR"/>
        </w:rPr>
        <w:t xml:space="preserve"> </w:t>
      </w:r>
      <w:r>
        <w:rPr>
          <w:rFonts w:ascii="Calibri" w:hAnsi="Calibri" w:cs="Calibri"/>
          <w:lang w:val="el-GR"/>
        </w:rPr>
        <w:t>επιτροπή</w:t>
      </w:r>
      <w:r w:rsidRPr="007B52BC">
        <w:rPr>
          <w:rFonts w:ascii="Calibri" w:hAnsi="Calibri" w:cs="Calibri"/>
          <w:lang w:val="el-GR"/>
        </w:rPr>
        <w:t xml:space="preserve"> </w:t>
      </w:r>
      <w:r>
        <w:rPr>
          <w:rFonts w:ascii="Calibri" w:hAnsi="Calibri" w:cs="Calibri"/>
          <w:lang w:val="el-GR"/>
        </w:rPr>
        <w:t>να περιορισθεί το πεδίο εφαρμογής του νόμου σε ανήλικα τέκνα</w:t>
      </w:r>
      <w:r w:rsidRPr="007B52BC">
        <w:rPr>
          <w:rFonts w:ascii="Calibri" w:hAnsi="Calibri" w:cs="Calibri"/>
          <w:lang w:val="el-GR"/>
        </w:rPr>
        <w:t>.</w:t>
      </w:r>
    </w:p>
  </w:footnote>
  <w:footnote w:id="59">
    <w:p w14:paraId="6674F063" w14:textId="49C140E7" w:rsidR="00071F64" w:rsidRPr="00FA32CD" w:rsidRDefault="00071F64" w:rsidP="00A5147D">
      <w:pPr>
        <w:pStyle w:val="FootnoteText"/>
        <w:rPr>
          <w:rFonts w:ascii="Calibri" w:hAnsi="Calibri" w:cs="Calibri"/>
          <w:lang w:val="el-GR"/>
        </w:rPr>
      </w:pPr>
      <w:r w:rsidRPr="008866F2">
        <w:rPr>
          <w:rStyle w:val="FootnoteReference"/>
          <w:rFonts w:ascii="Calibri" w:hAnsi="Calibri" w:cs="Calibri"/>
        </w:rPr>
        <w:footnoteRef/>
      </w:r>
      <w:r w:rsidRPr="00FA32CD">
        <w:rPr>
          <w:rFonts w:ascii="Calibri" w:hAnsi="Calibri" w:cs="Calibri"/>
          <w:lang w:val="el-GR"/>
        </w:rPr>
        <w:t xml:space="preserve"> </w:t>
      </w:r>
      <w:r>
        <w:rPr>
          <w:rFonts w:ascii="Calibri" w:hAnsi="Calibri" w:cs="Calibri"/>
          <w:lang w:val="el-GR"/>
        </w:rPr>
        <w:t>Οι</w:t>
      </w:r>
      <w:r w:rsidRPr="00FA32CD">
        <w:rPr>
          <w:rFonts w:ascii="Calibri" w:hAnsi="Calibri" w:cs="Calibri"/>
          <w:lang w:val="el-GR"/>
        </w:rPr>
        <w:t xml:space="preserve"> </w:t>
      </w:r>
      <w:r>
        <w:rPr>
          <w:rFonts w:ascii="Calibri" w:hAnsi="Calibri" w:cs="Calibri"/>
          <w:lang w:val="el-GR"/>
        </w:rPr>
        <w:t>κανονισμοί</w:t>
      </w:r>
      <w:r w:rsidRPr="00FA32CD">
        <w:rPr>
          <w:rFonts w:ascii="Calibri" w:hAnsi="Calibri" w:cs="Calibri"/>
          <w:lang w:val="el-GR"/>
        </w:rPr>
        <w:t xml:space="preserve"> </w:t>
      </w:r>
      <w:r>
        <w:rPr>
          <w:rFonts w:ascii="Calibri" w:hAnsi="Calibri" w:cs="Calibri"/>
          <w:lang w:val="el-GR"/>
        </w:rPr>
        <w:t>για</w:t>
      </w:r>
      <w:r w:rsidRPr="00FA32CD">
        <w:rPr>
          <w:rFonts w:ascii="Calibri" w:hAnsi="Calibri" w:cs="Calibri"/>
          <w:lang w:val="el-GR"/>
        </w:rPr>
        <w:t xml:space="preserve"> </w:t>
      </w:r>
      <w:r>
        <w:rPr>
          <w:rFonts w:ascii="Calibri" w:hAnsi="Calibri" w:cs="Calibri"/>
          <w:lang w:val="el-GR"/>
        </w:rPr>
        <w:t>την</w:t>
      </w:r>
      <w:r w:rsidRPr="00FA32CD">
        <w:rPr>
          <w:rFonts w:ascii="Calibri" w:hAnsi="Calibri" w:cs="Calibri"/>
          <w:lang w:val="el-GR"/>
        </w:rPr>
        <w:t xml:space="preserve"> </w:t>
      </w:r>
      <w:r>
        <w:rPr>
          <w:rFonts w:ascii="Calibri" w:hAnsi="Calibri" w:cs="Calibri"/>
          <w:lang w:val="el-GR"/>
        </w:rPr>
        <w:t>λειτουργία</w:t>
      </w:r>
      <w:r w:rsidRPr="00FA32CD">
        <w:rPr>
          <w:rFonts w:ascii="Calibri" w:hAnsi="Calibri" w:cs="Calibri"/>
          <w:lang w:val="el-GR"/>
        </w:rPr>
        <w:t xml:space="preserve"> </w:t>
      </w:r>
      <w:r>
        <w:rPr>
          <w:rFonts w:ascii="Calibri" w:hAnsi="Calibri" w:cs="Calibri"/>
          <w:lang w:val="el-GR"/>
        </w:rPr>
        <w:t>της</w:t>
      </w:r>
      <w:r w:rsidRPr="00FA32CD">
        <w:rPr>
          <w:rFonts w:ascii="Calibri" w:hAnsi="Calibri" w:cs="Calibri"/>
          <w:lang w:val="el-GR"/>
        </w:rPr>
        <w:t xml:space="preserve"> </w:t>
      </w:r>
      <w:r>
        <w:rPr>
          <w:rFonts w:ascii="Calibri" w:hAnsi="Calibri" w:cs="Calibri"/>
          <w:lang w:val="el-GR"/>
        </w:rPr>
        <w:t>Αρχής</w:t>
      </w:r>
      <w:r w:rsidRPr="00FA32CD">
        <w:rPr>
          <w:rFonts w:ascii="Calibri" w:hAnsi="Calibri" w:cs="Calibri"/>
          <w:lang w:val="el-GR"/>
        </w:rPr>
        <w:t xml:space="preserve"> </w:t>
      </w:r>
      <w:r>
        <w:rPr>
          <w:rFonts w:ascii="Calibri" w:hAnsi="Calibri" w:cs="Calibri"/>
          <w:lang w:val="el-GR"/>
        </w:rPr>
        <w:t>Κατά</w:t>
      </w:r>
      <w:r w:rsidRPr="00FA32CD">
        <w:rPr>
          <w:rFonts w:ascii="Calibri" w:hAnsi="Calibri" w:cs="Calibri"/>
          <w:lang w:val="el-GR"/>
        </w:rPr>
        <w:t xml:space="preserve"> </w:t>
      </w:r>
      <w:r>
        <w:rPr>
          <w:rFonts w:ascii="Calibri" w:hAnsi="Calibri" w:cs="Calibri"/>
          <w:lang w:val="el-GR"/>
        </w:rPr>
        <w:t>της</w:t>
      </w:r>
      <w:r w:rsidRPr="00FA32CD">
        <w:rPr>
          <w:rFonts w:ascii="Calibri" w:hAnsi="Calibri" w:cs="Calibri"/>
          <w:lang w:val="el-GR"/>
        </w:rPr>
        <w:t xml:space="preserve"> </w:t>
      </w:r>
      <w:r w:rsidR="00973266">
        <w:rPr>
          <w:rFonts w:ascii="Calibri" w:hAnsi="Calibri" w:cs="Calibri"/>
          <w:lang w:val="el-GR"/>
        </w:rPr>
        <w:t>Διαφθοράς</w:t>
      </w:r>
      <w:r w:rsidRPr="00FA32CD">
        <w:rPr>
          <w:rFonts w:ascii="Calibri" w:hAnsi="Calibri" w:cs="Calibri"/>
          <w:lang w:val="el-GR"/>
        </w:rPr>
        <w:t xml:space="preserve"> </w:t>
      </w:r>
      <w:r>
        <w:rPr>
          <w:rFonts w:ascii="Calibri" w:hAnsi="Calibri" w:cs="Calibri"/>
          <w:lang w:val="el-GR"/>
        </w:rPr>
        <w:t>υιοθετήθηκαν στις</w:t>
      </w:r>
      <w:r w:rsidRPr="00FA32CD">
        <w:rPr>
          <w:rFonts w:ascii="Calibri" w:hAnsi="Calibri" w:cs="Calibri"/>
          <w:lang w:val="el-GR"/>
        </w:rPr>
        <w:t xml:space="preserve"> 16 </w:t>
      </w:r>
      <w:r>
        <w:rPr>
          <w:rFonts w:ascii="Calibri" w:hAnsi="Calibri" w:cs="Calibri"/>
          <w:lang w:val="el-GR"/>
        </w:rPr>
        <w:t>Δεκεμβρίου</w:t>
      </w:r>
      <w:r w:rsidRPr="00FA32CD">
        <w:rPr>
          <w:rFonts w:ascii="Calibri" w:hAnsi="Calibri" w:cs="Calibri"/>
          <w:lang w:val="el-GR"/>
        </w:rPr>
        <w:t xml:space="preserve"> 2022. </w:t>
      </w:r>
    </w:p>
  </w:footnote>
  <w:footnote w:id="60">
    <w:p w14:paraId="2F36EBDE" w14:textId="3E17731E" w:rsidR="00071F64" w:rsidRPr="006E7A50" w:rsidRDefault="00071F64" w:rsidP="00A5147D">
      <w:pPr>
        <w:pStyle w:val="FootnoteText"/>
        <w:rPr>
          <w:rFonts w:asciiTheme="minorHAnsi" w:hAnsiTheme="minorHAnsi" w:cstheme="minorHAnsi"/>
          <w:lang w:val="el-GR"/>
        </w:rPr>
      </w:pPr>
      <w:r w:rsidRPr="009D2493">
        <w:rPr>
          <w:rStyle w:val="FootnoteReference"/>
          <w:rFonts w:asciiTheme="minorHAnsi" w:hAnsiTheme="minorHAnsi" w:cstheme="minorHAnsi"/>
        </w:rPr>
        <w:footnoteRef/>
      </w:r>
      <w:r w:rsidRPr="006E7A50">
        <w:rPr>
          <w:rFonts w:asciiTheme="minorHAnsi" w:hAnsiTheme="minorHAnsi" w:cstheme="minorHAnsi"/>
          <w:lang w:val="el-GR"/>
        </w:rPr>
        <w:t xml:space="preserve"> </w:t>
      </w:r>
      <w:r>
        <w:rPr>
          <w:rFonts w:asciiTheme="minorHAnsi" w:hAnsiTheme="minorHAnsi" w:cstheme="minorHAnsi"/>
          <w:lang w:val="el-GR"/>
        </w:rPr>
        <w:t>Η</w:t>
      </w:r>
      <w:r w:rsidRPr="006E7A50">
        <w:rPr>
          <w:rFonts w:asciiTheme="minorHAnsi" w:hAnsiTheme="minorHAnsi" w:cstheme="minorHAnsi"/>
          <w:lang w:val="el-GR"/>
        </w:rPr>
        <w:t xml:space="preserve"> </w:t>
      </w:r>
      <w:r>
        <w:rPr>
          <w:rFonts w:asciiTheme="minorHAnsi" w:hAnsiTheme="minorHAnsi" w:cstheme="minorHAnsi"/>
          <w:lang w:val="el-GR"/>
        </w:rPr>
        <w:t>υπόθεση</w:t>
      </w:r>
      <w:r w:rsidRPr="006E7A50">
        <w:rPr>
          <w:rFonts w:asciiTheme="minorHAnsi" w:hAnsiTheme="minorHAnsi" w:cstheme="minorHAnsi"/>
          <w:lang w:val="el-GR"/>
        </w:rPr>
        <w:t xml:space="preserve"> </w:t>
      </w:r>
      <w:r>
        <w:rPr>
          <w:rFonts w:asciiTheme="minorHAnsi" w:hAnsiTheme="minorHAnsi" w:cstheme="minorHAnsi"/>
          <w:lang w:val="el-GR"/>
        </w:rPr>
        <w:t>του</w:t>
      </w:r>
      <w:r w:rsidRPr="006E7A50">
        <w:rPr>
          <w:rFonts w:asciiTheme="minorHAnsi" w:hAnsiTheme="minorHAnsi" w:cstheme="minorHAnsi"/>
          <w:lang w:val="el-GR"/>
        </w:rPr>
        <w:t xml:space="preserve"> </w:t>
      </w:r>
      <w:r>
        <w:rPr>
          <w:rFonts w:asciiTheme="minorHAnsi" w:hAnsiTheme="minorHAnsi" w:cstheme="minorHAnsi"/>
          <w:lang w:val="el-GR"/>
        </w:rPr>
        <w:t>προγράμματος</w:t>
      </w:r>
      <w:r w:rsidRPr="006E7A50">
        <w:rPr>
          <w:rFonts w:asciiTheme="minorHAnsi" w:hAnsiTheme="minorHAnsi" w:cstheme="minorHAnsi"/>
          <w:lang w:val="el-GR"/>
        </w:rPr>
        <w:t xml:space="preserve"> </w:t>
      </w:r>
      <w:r>
        <w:rPr>
          <w:rFonts w:asciiTheme="minorHAnsi" w:hAnsiTheme="minorHAnsi" w:cstheme="minorHAnsi"/>
          <w:lang w:val="el-GR"/>
        </w:rPr>
        <w:t>διαβατηρίων</w:t>
      </w:r>
      <w:r w:rsidRPr="006E7A50">
        <w:rPr>
          <w:rFonts w:asciiTheme="minorHAnsi" w:hAnsiTheme="minorHAnsi" w:cstheme="minorHAnsi"/>
          <w:lang w:val="el-GR"/>
        </w:rPr>
        <w:t xml:space="preserve"> </w:t>
      </w:r>
      <w:r>
        <w:rPr>
          <w:rFonts w:asciiTheme="minorHAnsi" w:hAnsiTheme="minorHAnsi" w:cstheme="minorHAnsi"/>
          <w:lang w:val="el-GR"/>
        </w:rPr>
        <w:t>και</w:t>
      </w:r>
      <w:r w:rsidRPr="006E7A50">
        <w:rPr>
          <w:rFonts w:asciiTheme="minorHAnsi" w:hAnsiTheme="minorHAnsi" w:cstheme="minorHAnsi"/>
          <w:lang w:val="el-GR"/>
        </w:rPr>
        <w:t xml:space="preserve"> </w:t>
      </w:r>
      <w:r>
        <w:rPr>
          <w:rFonts w:asciiTheme="minorHAnsi" w:hAnsiTheme="minorHAnsi" w:cstheme="minorHAnsi"/>
          <w:lang w:val="el-GR"/>
        </w:rPr>
        <w:t>επένδυσης</w:t>
      </w:r>
      <w:r w:rsidRPr="006E7A50">
        <w:rPr>
          <w:rFonts w:asciiTheme="minorHAnsi" w:hAnsiTheme="minorHAnsi" w:cstheme="minorHAnsi"/>
          <w:lang w:val="el-GR"/>
        </w:rPr>
        <w:t xml:space="preserve"> </w:t>
      </w:r>
      <w:r>
        <w:rPr>
          <w:rFonts w:asciiTheme="minorHAnsi" w:hAnsiTheme="minorHAnsi" w:cstheme="minorHAnsi"/>
          <w:lang w:val="el-GR"/>
        </w:rPr>
        <w:t>έχει</w:t>
      </w:r>
      <w:r w:rsidRPr="006E7A50">
        <w:rPr>
          <w:rFonts w:asciiTheme="minorHAnsi" w:hAnsiTheme="minorHAnsi" w:cstheme="minorHAnsi"/>
          <w:lang w:val="el-GR"/>
        </w:rPr>
        <w:t xml:space="preserve"> </w:t>
      </w:r>
      <w:r>
        <w:rPr>
          <w:rFonts w:asciiTheme="minorHAnsi" w:hAnsiTheme="minorHAnsi" w:cstheme="minorHAnsi"/>
          <w:lang w:val="el-GR"/>
        </w:rPr>
        <w:t>παραδοθεί</w:t>
      </w:r>
      <w:r w:rsidRPr="006E7A50">
        <w:rPr>
          <w:rFonts w:asciiTheme="minorHAnsi" w:hAnsiTheme="minorHAnsi" w:cstheme="minorHAnsi"/>
          <w:lang w:val="el-GR"/>
        </w:rPr>
        <w:t xml:space="preserve"> </w:t>
      </w:r>
      <w:r>
        <w:rPr>
          <w:rFonts w:asciiTheme="minorHAnsi" w:hAnsiTheme="minorHAnsi" w:cstheme="minorHAnsi"/>
          <w:lang w:val="el-GR"/>
        </w:rPr>
        <w:t>στην</w:t>
      </w:r>
      <w:r w:rsidRPr="006E7A50">
        <w:rPr>
          <w:rFonts w:asciiTheme="minorHAnsi" w:hAnsiTheme="minorHAnsi" w:cstheme="minorHAnsi"/>
          <w:lang w:val="el-GR"/>
        </w:rPr>
        <w:t xml:space="preserve"> </w:t>
      </w:r>
      <w:r>
        <w:rPr>
          <w:rFonts w:asciiTheme="minorHAnsi" w:hAnsiTheme="minorHAnsi" w:cstheme="minorHAnsi"/>
          <w:lang w:val="el-GR"/>
        </w:rPr>
        <w:t>Αρχή</w:t>
      </w:r>
      <w:r w:rsidRPr="006E7A50">
        <w:rPr>
          <w:rFonts w:asciiTheme="minorHAnsi" w:hAnsiTheme="minorHAnsi" w:cstheme="minorHAnsi"/>
          <w:lang w:val="el-GR"/>
        </w:rPr>
        <w:t xml:space="preserve"> </w:t>
      </w:r>
      <w:r>
        <w:rPr>
          <w:rFonts w:asciiTheme="minorHAnsi" w:hAnsiTheme="minorHAnsi" w:cstheme="minorHAnsi"/>
          <w:lang w:val="el-GR"/>
        </w:rPr>
        <w:t>Κατά</w:t>
      </w:r>
      <w:r w:rsidRPr="006E7A50">
        <w:rPr>
          <w:rFonts w:asciiTheme="minorHAnsi" w:hAnsiTheme="minorHAnsi" w:cstheme="minorHAnsi"/>
          <w:lang w:val="el-GR"/>
        </w:rPr>
        <w:t xml:space="preserve"> </w:t>
      </w:r>
      <w:r>
        <w:rPr>
          <w:rFonts w:asciiTheme="minorHAnsi" w:hAnsiTheme="minorHAnsi" w:cstheme="minorHAnsi"/>
          <w:lang w:val="el-GR"/>
        </w:rPr>
        <w:t>της</w:t>
      </w:r>
      <w:r w:rsidRPr="006E7A50">
        <w:rPr>
          <w:rFonts w:asciiTheme="minorHAnsi" w:hAnsiTheme="minorHAnsi" w:cstheme="minorHAnsi"/>
          <w:lang w:val="el-GR"/>
        </w:rPr>
        <w:t xml:space="preserve"> </w:t>
      </w:r>
      <w:r>
        <w:rPr>
          <w:rFonts w:asciiTheme="minorHAnsi" w:hAnsiTheme="minorHAnsi" w:cstheme="minorHAnsi"/>
          <w:lang w:val="el-GR"/>
        </w:rPr>
        <w:t>Διαφθοράς</w:t>
      </w:r>
      <w:r w:rsidRPr="006E7A50">
        <w:rPr>
          <w:rFonts w:asciiTheme="minorHAnsi" w:hAnsiTheme="minorHAnsi" w:cstheme="minorHAnsi"/>
          <w:lang w:val="el-GR"/>
        </w:rPr>
        <w:t xml:space="preserve"> </w:t>
      </w:r>
      <w:r>
        <w:rPr>
          <w:rFonts w:asciiTheme="minorHAnsi" w:hAnsiTheme="minorHAnsi" w:cstheme="minorHAnsi"/>
          <w:lang w:val="el-GR"/>
        </w:rPr>
        <w:t>από</w:t>
      </w:r>
      <w:r w:rsidRPr="006E7A50">
        <w:rPr>
          <w:rFonts w:asciiTheme="minorHAnsi" w:hAnsiTheme="minorHAnsi" w:cstheme="minorHAnsi"/>
          <w:lang w:val="el-GR"/>
        </w:rPr>
        <w:t xml:space="preserve"> </w:t>
      </w:r>
      <w:r>
        <w:rPr>
          <w:rFonts w:asciiTheme="minorHAnsi" w:hAnsiTheme="minorHAnsi" w:cstheme="minorHAnsi"/>
          <w:lang w:val="el-GR"/>
        </w:rPr>
        <w:t>τον</w:t>
      </w:r>
      <w:r w:rsidRPr="006E7A50">
        <w:rPr>
          <w:rFonts w:asciiTheme="minorHAnsi" w:hAnsiTheme="minorHAnsi" w:cstheme="minorHAnsi"/>
          <w:lang w:val="el-GR"/>
        </w:rPr>
        <w:t xml:space="preserve"> </w:t>
      </w:r>
      <w:r>
        <w:rPr>
          <w:rFonts w:asciiTheme="minorHAnsi" w:hAnsiTheme="minorHAnsi" w:cstheme="minorHAnsi"/>
          <w:lang w:val="el-GR"/>
        </w:rPr>
        <w:t>Γενικό</w:t>
      </w:r>
      <w:r w:rsidRPr="006E7A50">
        <w:rPr>
          <w:rFonts w:asciiTheme="minorHAnsi" w:hAnsiTheme="minorHAnsi" w:cstheme="minorHAnsi"/>
          <w:lang w:val="el-GR"/>
        </w:rPr>
        <w:t xml:space="preserve"> </w:t>
      </w:r>
      <w:r>
        <w:rPr>
          <w:rFonts w:asciiTheme="minorHAnsi" w:hAnsiTheme="minorHAnsi" w:cstheme="minorHAnsi"/>
          <w:lang w:val="el-GR"/>
        </w:rPr>
        <w:t>Ελεγκτή και</w:t>
      </w:r>
      <w:r w:rsidRPr="006E7A50">
        <w:rPr>
          <w:rFonts w:asciiTheme="minorHAnsi" w:hAnsiTheme="minorHAnsi" w:cstheme="minorHAnsi"/>
          <w:lang w:val="el-GR"/>
        </w:rPr>
        <w:t xml:space="preserve"> </w:t>
      </w:r>
      <w:r>
        <w:rPr>
          <w:rFonts w:asciiTheme="minorHAnsi" w:hAnsiTheme="minorHAnsi" w:cstheme="minorHAnsi"/>
          <w:lang w:val="el-GR"/>
        </w:rPr>
        <w:t>η</w:t>
      </w:r>
      <w:r w:rsidRPr="006E7A50">
        <w:rPr>
          <w:rFonts w:asciiTheme="minorHAnsi" w:hAnsiTheme="minorHAnsi" w:cstheme="minorHAnsi"/>
          <w:lang w:val="el-GR"/>
        </w:rPr>
        <w:t xml:space="preserve"> </w:t>
      </w:r>
      <w:r>
        <w:rPr>
          <w:rFonts w:asciiTheme="minorHAnsi" w:hAnsiTheme="minorHAnsi" w:cstheme="minorHAnsi"/>
          <w:lang w:val="el-GR"/>
        </w:rPr>
        <w:t>υπόθεση</w:t>
      </w:r>
      <w:r w:rsidRPr="006E7A50">
        <w:rPr>
          <w:rFonts w:asciiTheme="minorHAnsi" w:hAnsiTheme="minorHAnsi" w:cstheme="minorHAnsi"/>
          <w:lang w:val="el-GR"/>
        </w:rPr>
        <w:t xml:space="preserve"> </w:t>
      </w:r>
      <w:r>
        <w:rPr>
          <w:rFonts w:asciiTheme="minorHAnsi" w:hAnsiTheme="minorHAnsi" w:cstheme="minorHAnsi"/>
          <w:lang w:val="el-GR"/>
        </w:rPr>
        <w:t>για</w:t>
      </w:r>
      <w:r w:rsidRPr="006E7A50">
        <w:rPr>
          <w:rFonts w:asciiTheme="minorHAnsi" w:hAnsiTheme="minorHAnsi" w:cstheme="minorHAnsi"/>
          <w:lang w:val="el-GR"/>
        </w:rPr>
        <w:t xml:space="preserve"> </w:t>
      </w:r>
      <w:r>
        <w:rPr>
          <w:rFonts w:asciiTheme="minorHAnsi" w:hAnsiTheme="minorHAnsi" w:cstheme="minorHAnsi"/>
          <w:lang w:val="el-GR"/>
        </w:rPr>
        <w:t>τη</w:t>
      </w:r>
      <w:r w:rsidRPr="006E7A50">
        <w:rPr>
          <w:rFonts w:asciiTheme="minorHAnsi" w:hAnsiTheme="minorHAnsi" w:cstheme="minorHAnsi"/>
          <w:lang w:val="el-GR"/>
        </w:rPr>
        <w:t xml:space="preserve"> </w:t>
      </w:r>
      <w:r>
        <w:rPr>
          <w:rFonts w:asciiTheme="minorHAnsi" w:hAnsiTheme="minorHAnsi" w:cstheme="minorHAnsi"/>
          <w:lang w:val="el-GR"/>
        </w:rPr>
        <w:t>διαφθορά</w:t>
      </w:r>
      <w:r w:rsidRPr="006E7A50">
        <w:rPr>
          <w:rFonts w:asciiTheme="minorHAnsi" w:hAnsiTheme="minorHAnsi" w:cstheme="minorHAnsi"/>
          <w:lang w:val="el-GR"/>
        </w:rPr>
        <w:t xml:space="preserve"> </w:t>
      </w:r>
      <w:r>
        <w:rPr>
          <w:rFonts w:asciiTheme="minorHAnsi" w:hAnsiTheme="minorHAnsi" w:cstheme="minorHAnsi"/>
          <w:lang w:val="el-GR"/>
        </w:rPr>
        <w:t>και</w:t>
      </w:r>
      <w:r w:rsidRPr="006E7A50">
        <w:rPr>
          <w:rFonts w:asciiTheme="minorHAnsi" w:hAnsiTheme="minorHAnsi" w:cstheme="minorHAnsi"/>
          <w:lang w:val="el-GR"/>
        </w:rPr>
        <w:t xml:space="preserve"> </w:t>
      </w:r>
      <w:r>
        <w:rPr>
          <w:rFonts w:asciiTheme="minorHAnsi" w:hAnsiTheme="minorHAnsi" w:cstheme="minorHAnsi"/>
          <w:lang w:val="el-GR"/>
        </w:rPr>
        <w:t>την</w:t>
      </w:r>
      <w:r w:rsidRPr="006E7A50">
        <w:rPr>
          <w:rFonts w:asciiTheme="minorHAnsi" w:hAnsiTheme="minorHAnsi" w:cstheme="minorHAnsi"/>
          <w:lang w:val="el-GR"/>
        </w:rPr>
        <w:t xml:space="preserve"> </w:t>
      </w:r>
      <w:r>
        <w:rPr>
          <w:rFonts w:asciiTheme="minorHAnsi" w:hAnsiTheme="minorHAnsi" w:cstheme="minorHAnsi"/>
          <w:lang w:val="el-GR"/>
        </w:rPr>
        <w:t>συμπαιγνία στα πλαίσια έρευνας στις φυλακές</w:t>
      </w:r>
      <w:r w:rsidRPr="006E7A50">
        <w:rPr>
          <w:rFonts w:asciiTheme="minorHAnsi" w:hAnsiTheme="minorHAnsi" w:cstheme="minorHAnsi"/>
          <w:lang w:val="el-GR"/>
        </w:rPr>
        <w:t xml:space="preserve"> </w:t>
      </w:r>
      <w:r>
        <w:rPr>
          <w:rFonts w:asciiTheme="minorHAnsi" w:hAnsiTheme="minorHAnsi" w:cstheme="minorHAnsi"/>
          <w:lang w:val="el-GR"/>
        </w:rPr>
        <w:t>τέθηκε από την Διευθύντρια του Τμήματος Φυλακών</w:t>
      </w:r>
      <w:r w:rsidRPr="006E7A50">
        <w:rPr>
          <w:rFonts w:asciiTheme="minorHAnsi" w:hAnsiTheme="minorHAnsi" w:cstheme="minorHAnsi"/>
          <w:lang w:val="el-GR"/>
        </w:rPr>
        <w:t xml:space="preserve">. </w:t>
      </w:r>
    </w:p>
  </w:footnote>
  <w:footnote w:id="61">
    <w:p w14:paraId="2461A2DB" w14:textId="62C38451" w:rsidR="00071F64" w:rsidRPr="00EB413C" w:rsidRDefault="00071F64">
      <w:pPr>
        <w:pStyle w:val="FootnoteText"/>
        <w:rPr>
          <w:rFonts w:ascii="Calibri" w:hAnsi="Calibri" w:cs="Calibri"/>
          <w:lang w:val="el-GR"/>
        </w:rPr>
      </w:pPr>
      <w:r w:rsidRPr="00B95983">
        <w:rPr>
          <w:rStyle w:val="FootnoteReference"/>
          <w:rFonts w:ascii="Calibri" w:hAnsi="Calibri" w:cs="Calibri"/>
        </w:rPr>
        <w:footnoteRef/>
      </w:r>
      <w:r w:rsidRPr="00225BFB">
        <w:rPr>
          <w:rFonts w:ascii="Calibri" w:hAnsi="Calibri" w:cs="Calibri"/>
          <w:lang w:val="el-GR"/>
        </w:rPr>
        <w:t xml:space="preserve"> </w:t>
      </w:r>
      <w:bookmarkStart w:id="176" w:name="_Hlk132890046"/>
      <w:r>
        <w:rPr>
          <w:rFonts w:ascii="Calibri" w:hAnsi="Calibri" w:cs="Calibri"/>
          <w:lang w:val="el-GR"/>
        </w:rPr>
        <w:t>Σύμφωνα</w:t>
      </w:r>
      <w:r w:rsidRPr="00225BFB">
        <w:rPr>
          <w:rFonts w:ascii="Calibri" w:hAnsi="Calibri" w:cs="Calibri"/>
          <w:lang w:val="el-GR"/>
        </w:rPr>
        <w:t xml:space="preserve"> </w:t>
      </w:r>
      <w:r>
        <w:rPr>
          <w:rFonts w:ascii="Calibri" w:hAnsi="Calibri" w:cs="Calibri"/>
          <w:lang w:val="el-GR"/>
        </w:rPr>
        <w:t>με</w:t>
      </w:r>
      <w:r w:rsidRPr="00225BFB">
        <w:rPr>
          <w:rFonts w:ascii="Calibri" w:hAnsi="Calibri" w:cs="Calibri"/>
          <w:lang w:val="el-GR"/>
        </w:rPr>
        <w:t xml:space="preserve"> </w:t>
      </w:r>
      <w:r>
        <w:rPr>
          <w:rFonts w:ascii="Calibri" w:hAnsi="Calibri" w:cs="Calibri"/>
          <w:lang w:val="el-GR"/>
        </w:rPr>
        <w:t>τις</w:t>
      </w:r>
      <w:r w:rsidRPr="00225BFB">
        <w:rPr>
          <w:rFonts w:ascii="Calibri" w:hAnsi="Calibri" w:cs="Calibri"/>
          <w:lang w:val="el-GR"/>
        </w:rPr>
        <w:t xml:space="preserve"> </w:t>
      </w:r>
      <w:r>
        <w:rPr>
          <w:rFonts w:ascii="Calibri" w:hAnsi="Calibri" w:cs="Calibri"/>
          <w:lang w:val="el-GR"/>
        </w:rPr>
        <w:t>πληροφορίες</w:t>
      </w:r>
      <w:r w:rsidRPr="00225BFB">
        <w:rPr>
          <w:rFonts w:ascii="Calibri" w:hAnsi="Calibri" w:cs="Calibri"/>
          <w:lang w:val="el-GR"/>
        </w:rPr>
        <w:t xml:space="preserve"> </w:t>
      </w:r>
      <w:r>
        <w:rPr>
          <w:rFonts w:ascii="Calibri" w:hAnsi="Calibri" w:cs="Calibri"/>
          <w:lang w:val="el-GR"/>
        </w:rPr>
        <w:t>που</w:t>
      </w:r>
      <w:r w:rsidRPr="00225BFB">
        <w:rPr>
          <w:rFonts w:ascii="Calibri" w:hAnsi="Calibri" w:cs="Calibri"/>
          <w:lang w:val="el-GR"/>
        </w:rPr>
        <w:t xml:space="preserve"> </w:t>
      </w:r>
      <w:r>
        <w:rPr>
          <w:rFonts w:ascii="Calibri" w:hAnsi="Calibri" w:cs="Calibri"/>
          <w:lang w:val="el-GR"/>
        </w:rPr>
        <w:t>παρέχονται</w:t>
      </w:r>
      <w:r w:rsidRPr="00225BFB">
        <w:rPr>
          <w:rFonts w:ascii="Calibri" w:hAnsi="Calibri" w:cs="Calibri"/>
          <w:lang w:val="el-GR"/>
        </w:rPr>
        <w:t xml:space="preserve"> </w:t>
      </w:r>
      <w:r>
        <w:rPr>
          <w:rFonts w:ascii="Calibri" w:hAnsi="Calibri" w:cs="Calibri"/>
          <w:lang w:val="el-GR"/>
        </w:rPr>
        <w:t>από</w:t>
      </w:r>
      <w:r w:rsidRPr="00225BFB">
        <w:rPr>
          <w:rFonts w:ascii="Calibri" w:hAnsi="Calibri" w:cs="Calibri"/>
          <w:lang w:val="el-GR"/>
        </w:rPr>
        <w:t xml:space="preserve"> </w:t>
      </w:r>
      <w:r>
        <w:rPr>
          <w:rFonts w:ascii="Calibri" w:hAnsi="Calibri" w:cs="Calibri"/>
          <w:lang w:val="el-GR"/>
        </w:rPr>
        <w:t>τις</w:t>
      </w:r>
      <w:r w:rsidRPr="00225BFB">
        <w:rPr>
          <w:rFonts w:ascii="Calibri" w:hAnsi="Calibri" w:cs="Calibri"/>
          <w:lang w:val="el-GR"/>
        </w:rPr>
        <w:t xml:space="preserve"> </w:t>
      </w:r>
      <w:r>
        <w:rPr>
          <w:rFonts w:ascii="Calibri" w:hAnsi="Calibri" w:cs="Calibri"/>
          <w:lang w:val="el-GR"/>
        </w:rPr>
        <w:t>αρχές</w:t>
      </w:r>
      <w:r w:rsidRPr="00225BFB">
        <w:rPr>
          <w:rFonts w:ascii="Calibri" w:hAnsi="Calibri" w:cs="Calibri"/>
          <w:lang w:val="el-GR"/>
        </w:rPr>
        <w:t xml:space="preserve"> </w:t>
      </w:r>
      <w:r>
        <w:rPr>
          <w:rFonts w:ascii="Calibri" w:hAnsi="Calibri" w:cs="Calibri"/>
          <w:lang w:val="el-GR"/>
        </w:rPr>
        <w:t>της</w:t>
      </w:r>
      <w:r w:rsidRPr="00225BFB">
        <w:rPr>
          <w:rFonts w:ascii="Calibri" w:hAnsi="Calibri" w:cs="Calibri"/>
          <w:lang w:val="el-GR"/>
        </w:rPr>
        <w:t xml:space="preserve"> </w:t>
      </w:r>
      <w:r>
        <w:rPr>
          <w:rFonts w:ascii="Calibri" w:hAnsi="Calibri" w:cs="Calibri"/>
          <w:lang w:val="el-GR"/>
        </w:rPr>
        <w:t>Κύπρου</w:t>
      </w:r>
      <w:r w:rsidRPr="00225BFB">
        <w:rPr>
          <w:rFonts w:ascii="Calibri" w:hAnsi="Calibri" w:cs="Calibri"/>
          <w:lang w:val="el-GR"/>
        </w:rPr>
        <w:t xml:space="preserve"> </w:t>
      </w:r>
      <w:r>
        <w:rPr>
          <w:rFonts w:ascii="Calibri" w:hAnsi="Calibri" w:cs="Calibri"/>
          <w:lang w:val="el-GR"/>
        </w:rPr>
        <w:t>κατόπιν της επί τόπου επίσκεψης</w:t>
      </w:r>
      <w:r w:rsidRPr="00225BFB">
        <w:rPr>
          <w:rFonts w:ascii="Calibri" w:hAnsi="Calibri" w:cs="Calibri"/>
          <w:lang w:val="el-GR"/>
        </w:rPr>
        <w:t xml:space="preserve">, </w:t>
      </w:r>
      <w:r>
        <w:rPr>
          <w:rFonts w:ascii="Calibri" w:hAnsi="Calibri" w:cs="Calibri"/>
          <w:lang w:val="el-GR"/>
        </w:rPr>
        <w:t>το Οργανόγραμμα της Αστυνομίας Κύπρου</w:t>
      </w:r>
      <w:r w:rsidRPr="00225BFB">
        <w:rPr>
          <w:rFonts w:ascii="Calibri" w:hAnsi="Calibri" w:cs="Calibri"/>
          <w:lang w:val="el-GR"/>
        </w:rPr>
        <w:t xml:space="preserve"> </w:t>
      </w:r>
      <w:r>
        <w:rPr>
          <w:rFonts w:ascii="Calibri" w:hAnsi="Calibri" w:cs="Calibri"/>
          <w:lang w:val="el-GR"/>
        </w:rPr>
        <w:t>τροποποιήθηκε στις</w:t>
      </w:r>
      <w:r w:rsidRPr="00225BFB">
        <w:rPr>
          <w:rFonts w:ascii="Calibri" w:hAnsi="Calibri" w:cs="Calibri"/>
          <w:lang w:val="el-GR"/>
        </w:rPr>
        <w:t xml:space="preserve"> 29 </w:t>
      </w:r>
      <w:r>
        <w:rPr>
          <w:rFonts w:ascii="Calibri" w:hAnsi="Calibri" w:cs="Calibri"/>
          <w:lang w:val="el-GR"/>
        </w:rPr>
        <w:t>Δεκεμβρίου</w:t>
      </w:r>
      <w:r w:rsidRPr="00225BFB">
        <w:rPr>
          <w:rFonts w:ascii="Calibri" w:hAnsi="Calibri" w:cs="Calibri"/>
          <w:lang w:val="el-GR"/>
        </w:rPr>
        <w:t xml:space="preserve"> 2022. </w:t>
      </w:r>
      <w:r>
        <w:rPr>
          <w:rFonts w:ascii="Calibri" w:hAnsi="Calibri" w:cs="Calibri"/>
          <w:lang w:val="el-GR"/>
        </w:rPr>
        <w:t>Ανάμεσα</w:t>
      </w:r>
      <w:r w:rsidRPr="00EB413C">
        <w:rPr>
          <w:rFonts w:ascii="Calibri" w:hAnsi="Calibri" w:cs="Calibri"/>
          <w:lang w:val="el-GR"/>
        </w:rPr>
        <w:t xml:space="preserve"> </w:t>
      </w:r>
      <w:proofErr w:type="spellStart"/>
      <w:r>
        <w:rPr>
          <w:rFonts w:ascii="Calibri" w:hAnsi="Calibri" w:cs="Calibri"/>
          <w:lang w:val="el-GR"/>
        </w:rPr>
        <w:t>σ</w:t>
      </w:r>
      <w:r w:rsidRPr="00EB413C">
        <w:rPr>
          <w:rFonts w:ascii="Calibri" w:hAnsi="Calibri" w:cs="Calibri"/>
          <w:lang w:val="el-GR"/>
        </w:rPr>
        <w:t>’</w:t>
      </w:r>
      <w:r>
        <w:rPr>
          <w:rFonts w:ascii="Calibri" w:hAnsi="Calibri" w:cs="Calibri"/>
          <w:lang w:val="el-GR"/>
        </w:rPr>
        <w:t>άλλα</w:t>
      </w:r>
      <w:proofErr w:type="spellEnd"/>
      <w:r w:rsidRPr="00EB413C">
        <w:rPr>
          <w:rFonts w:ascii="Calibri" w:hAnsi="Calibri" w:cs="Calibri"/>
          <w:lang w:val="el-GR"/>
        </w:rPr>
        <w:t xml:space="preserve">, </w:t>
      </w:r>
      <w:r>
        <w:rPr>
          <w:rFonts w:ascii="Calibri" w:hAnsi="Calibri" w:cs="Calibri"/>
          <w:lang w:val="el-GR"/>
        </w:rPr>
        <w:t>οι</w:t>
      </w:r>
      <w:r w:rsidRPr="00EB413C">
        <w:rPr>
          <w:rFonts w:ascii="Calibri" w:hAnsi="Calibri" w:cs="Calibri"/>
          <w:lang w:val="el-GR"/>
        </w:rPr>
        <w:t xml:space="preserve"> </w:t>
      </w:r>
      <w:r>
        <w:rPr>
          <w:rFonts w:ascii="Calibri" w:hAnsi="Calibri" w:cs="Calibri"/>
          <w:lang w:val="el-GR"/>
        </w:rPr>
        <w:t>αρμοδιότητες</w:t>
      </w:r>
      <w:r w:rsidRPr="00EB413C">
        <w:rPr>
          <w:rFonts w:ascii="Calibri" w:hAnsi="Calibri" w:cs="Calibri"/>
          <w:lang w:val="el-GR"/>
        </w:rPr>
        <w:t xml:space="preserve"> </w:t>
      </w:r>
      <w:r>
        <w:rPr>
          <w:rFonts w:ascii="Calibri" w:hAnsi="Calibri" w:cs="Calibri"/>
          <w:lang w:val="el-GR"/>
        </w:rPr>
        <w:t>των</w:t>
      </w:r>
      <w:r w:rsidRPr="00EB413C">
        <w:rPr>
          <w:rFonts w:ascii="Calibri" w:hAnsi="Calibri" w:cs="Calibri"/>
          <w:lang w:val="el-GR"/>
        </w:rPr>
        <w:t xml:space="preserve"> </w:t>
      </w:r>
      <w:r>
        <w:rPr>
          <w:rFonts w:ascii="Calibri" w:hAnsi="Calibri" w:cs="Calibri"/>
          <w:lang w:val="el-GR"/>
        </w:rPr>
        <w:t>Βοηθών</w:t>
      </w:r>
      <w:r w:rsidRPr="00EB413C">
        <w:rPr>
          <w:rFonts w:ascii="Calibri" w:hAnsi="Calibri" w:cs="Calibri"/>
          <w:lang w:val="el-GR"/>
        </w:rPr>
        <w:t xml:space="preserve"> </w:t>
      </w:r>
      <w:r>
        <w:rPr>
          <w:rFonts w:ascii="Calibri" w:hAnsi="Calibri" w:cs="Calibri"/>
          <w:lang w:val="el-GR"/>
        </w:rPr>
        <w:t>Αρχηγών</w:t>
      </w:r>
      <w:r w:rsidRPr="00EB413C">
        <w:rPr>
          <w:rFonts w:ascii="Calibri" w:hAnsi="Calibri" w:cs="Calibri"/>
          <w:lang w:val="el-GR"/>
        </w:rPr>
        <w:t xml:space="preserve"> </w:t>
      </w:r>
      <w:r>
        <w:rPr>
          <w:rFonts w:ascii="Calibri" w:hAnsi="Calibri" w:cs="Calibri"/>
          <w:lang w:val="el-GR"/>
        </w:rPr>
        <w:t>της</w:t>
      </w:r>
      <w:r w:rsidRPr="00EB413C">
        <w:rPr>
          <w:rFonts w:ascii="Calibri" w:hAnsi="Calibri" w:cs="Calibri"/>
          <w:lang w:val="el-GR"/>
        </w:rPr>
        <w:t xml:space="preserve"> </w:t>
      </w:r>
      <w:r>
        <w:rPr>
          <w:rFonts w:ascii="Calibri" w:hAnsi="Calibri" w:cs="Calibri"/>
          <w:lang w:val="el-GR"/>
        </w:rPr>
        <w:t>Αστυνομίας</w:t>
      </w:r>
      <w:r w:rsidRPr="00EB413C">
        <w:rPr>
          <w:rFonts w:ascii="Calibri" w:hAnsi="Calibri" w:cs="Calibri"/>
          <w:lang w:val="el-GR"/>
        </w:rPr>
        <w:t xml:space="preserve"> </w:t>
      </w:r>
      <w:r>
        <w:rPr>
          <w:rFonts w:ascii="Calibri" w:hAnsi="Calibri" w:cs="Calibri"/>
          <w:lang w:val="el-GR"/>
        </w:rPr>
        <w:t>έχουν</w:t>
      </w:r>
      <w:r w:rsidRPr="00EB413C">
        <w:rPr>
          <w:rFonts w:ascii="Calibri" w:hAnsi="Calibri" w:cs="Calibri"/>
          <w:lang w:val="el-GR"/>
        </w:rPr>
        <w:t xml:space="preserve"> </w:t>
      </w:r>
      <w:r>
        <w:rPr>
          <w:rFonts w:ascii="Calibri" w:hAnsi="Calibri" w:cs="Calibri"/>
          <w:lang w:val="el-GR"/>
        </w:rPr>
        <w:t>τώρα</w:t>
      </w:r>
      <w:r w:rsidRPr="00EB413C">
        <w:rPr>
          <w:rFonts w:ascii="Calibri" w:hAnsi="Calibri" w:cs="Calibri"/>
          <w:lang w:val="el-GR"/>
        </w:rPr>
        <w:t xml:space="preserve"> </w:t>
      </w:r>
      <w:r>
        <w:rPr>
          <w:rFonts w:ascii="Calibri" w:hAnsi="Calibri" w:cs="Calibri"/>
          <w:lang w:val="el-GR"/>
        </w:rPr>
        <w:t>ως</w:t>
      </w:r>
      <w:r w:rsidRPr="00EB413C">
        <w:rPr>
          <w:rFonts w:ascii="Calibri" w:hAnsi="Calibri" w:cs="Calibri"/>
          <w:lang w:val="el-GR"/>
        </w:rPr>
        <w:t xml:space="preserve"> </w:t>
      </w:r>
      <w:r>
        <w:rPr>
          <w:rFonts w:ascii="Calibri" w:hAnsi="Calibri" w:cs="Calibri"/>
          <w:lang w:val="el-GR"/>
        </w:rPr>
        <w:t>ακολούθως</w:t>
      </w:r>
      <w:r w:rsidRPr="00EB413C">
        <w:rPr>
          <w:rFonts w:ascii="Calibri" w:hAnsi="Calibri" w:cs="Calibri"/>
          <w:lang w:val="el-GR"/>
        </w:rPr>
        <w:t xml:space="preserve">: </w:t>
      </w:r>
      <w:r>
        <w:rPr>
          <w:rFonts w:ascii="Calibri" w:hAnsi="Calibri" w:cs="Calibri"/>
          <w:lang w:val="el-GR"/>
        </w:rPr>
        <w:t>Βοηθός</w:t>
      </w:r>
      <w:r w:rsidRPr="00EB413C">
        <w:rPr>
          <w:rFonts w:ascii="Calibri" w:hAnsi="Calibri" w:cs="Calibri"/>
          <w:lang w:val="el-GR"/>
        </w:rPr>
        <w:t xml:space="preserve"> </w:t>
      </w:r>
      <w:r>
        <w:rPr>
          <w:rFonts w:ascii="Calibri" w:hAnsi="Calibri" w:cs="Calibri"/>
          <w:lang w:val="el-GR"/>
        </w:rPr>
        <w:t>Αρχηγός</w:t>
      </w:r>
      <w:r w:rsidRPr="00EB413C">
        <w:rPr>
          <w:rFonts w:ascii="Calibri" w:hAnsi="Calibri" w:cs="Calibri"/>
          <w:lang w:val="el-GR"/>
        </w:rPr>
        <w:t xml:space="preserve"> </w:t>
      </w:r>
      <w:r>
        <w:rPr>
          <w:rFonts w:ascii="Calibri" w:hAnsi="Calibri" w:cs="Calibri"/>
          <w:lang w:val="el-GR"/>
        </w:rPr>
        <w:t>Αστυνομίας</w:t>
      </w:r>
      <w:r w:rsidRPr="00EB413C">
        <w:rPr>
          <w:rFonts w:ascii="Calibri" w:hAnsi="Calibri" w:cs="Calibri"/>
          <w:lang w:val="el-GR"/>
        </w:rPr>
        <w:t xml:space="preserve"> (</w:t>
      </w:r>
      <w:r>
        <w:rPr>
          <w:rFonts w:ascii="Calibri" w:hAnsi="Calibri" w:cs="Calibri"/>
          <w:lang w:val="el-GR"/>
        </w:rPr>
        <w:t>Διοίκησης</w:t>
      </w:r>
      <w:r w:rsidRPr="00EB413C">
        <w:rPr>
          <w:rFonts w:ascii="Calibri" w:hAnsi="Calibri" w:cs="Calibri"/>
          <w:lang w:val="el-GR"/>
        </w:rPr>
        <w:t xml:space="preserve"> </w:t>
      </w:r>
      <w:r>
        <w:rPr>
          <w:rFonts w:ascii="Calibri" w:hAnsi="Calibri" w:cs="Calibri"/>
          <w:lang w:val="el-GR"/>
        </w:rPr>
        <w:t>και</w:t>
      </w:r>
      <w:r w:rsidRPr="00EB413C">
        <w:rPr>
          <w:rFonts w:ascii="Calibri" w:hAnsi="Calibri" w:cs="Calibri"/>
          <w:lang w:val="el-GR"/>
        </w:rPr>
        <w:t xml:space="preserve"> </w:t>
      </w:r>
      <w:r>
        <w:rPr>
          <w:rFonts w:ascii="Calibri" w:hAnsi="Calibri" w:cs="Calibri"/>
          <w:lang w:val="el-GR"/>
        </w:rPr>
        <w:t>Εκπαίδευσης</w:t>
      </w:r>
      <w:r w:rsidRPr="00EB413C">
        <w:rPr>
          <w:rFonts w:ascii="Calibri" w:hAnsi="Calibri" w:cs="Calibri"/>
          <w:lang w:val="el-GR"/>
        </w:rPr>
        <w:t xml:space="preserve">), </w:t>
      </w:r>
      <w:r>
        <w:rPr>
          <w:rFonts w:ascii="Calibri" w:hAnsi="Calibri" w:cs="Calibri"/>
          <w:lang w:val="el-GR"/>
        </w:rPr>
        <w:t>Βοηθός</w:t>
      </w:r>
      <w:r w:rsidRPr="00EB413C">
        <w:rPr>
          <w:rFonts w:ascii="Calibri" w:hAnsi="Calibri" w:cs="Calibri"/>
          <w:lang w:val="el-GR"/>
        </w:rPr>
        <w:t xml:space="preserve"> </w:t>
      </w:r>
      <w:r>
        <w:rPr>
          <w:rFonts w:ascii="Calibri" w:hAnsi="Calibri" w:cs="Calibri"/>
          <w:lang w:val="el-GR"/>
        </w:rPr>
        <w:t>Αρχηγός</w:t>
      </w:r>
      <w:r w:rsidRPr="00EB413C">
        <w:rPr>
          <w:rFonts w:ascii="Calibri" w:hAnsi="Calibri" w:cs="Calibri"/>
          <w:lang w:val="el-GR"/>
        </w:rPr>
        <w:t xml:space="preserve"> </w:t>
      </w:r>
      <w:r>
        <w:rPr>
          <w:rFonts w:ascii="Calibri" w:hAnsi="Calibri" w:cs="Calibri"/>
          <w:lang w:val="el-GR"/>
        </w:rPr>
        <w:t>Αστυνομίας</w:t>
      </w:r>
      <w:r w:rsidRPr="00EB413C">
        <w:rPr>
          <w:rFonts w:ascii="Calibri" w:hAnsi="Calibri" w:cs="Calibri"/>
          <w:lang w:val="el-GR"/>
        </w:rPr>
        <w:t xml:space="preserve"> (</w:t>
      </w:r>
      <w:r>
        <w:rPr>
          <w:rFonts w:ascii="Calibri" w:hAnsi="Calibri" w:cs="Calibri"/>
          <w:lang w:val="el-GR"/>
        </w:rPr>
        <w:t>Προστασίας Συνόρων</w:t>
      </w:r>
      <w:r w:rsidRPr="00EB413C">
        <w:rPr>
          <w:rFonts w:ascii="Calibri" w:hAnsi="Calibri" w:cs="Calibri"/>
          <w:lang w:val="el-GR"/>
        </w:rPr>
        <w:t xml:space="preserve">), </w:t>
      </w:r>
      <w:r>
        <w:rPr>
          <w:rFonts w:ascii="Calibri" w:hAnsi="Calibri" w:cs="Calibri"/>
          <w:lang w:val="el-GR"/>
        </w:rPr>
        <w:t>Βοηθός Αρχηγός Αστυνομίας</w:t>
      </w:r>
      <w:r w:rsidRPr="00EB413C">
        <w:rPr>
          <w:rFonts w:ascii="Calibri" w:hAnsi="Calibri" w:cs="Calibri"/>
          <w:lang w:val="el-GR"/>
        </w:rPr>
        <w:t xml:space="preserve"> (</w:t>
      </w:r>
      <w:r>
        <w:rPr>
          <w:rFonts w:ascii="Calibri" w:hAnsi="Calibri" w:cs="Calibri"/>
          <w:lang w:val="el-GR"/>
        </w:rPr>
        <w:t>Πρόληψης και Καταπολέμησης Εγκλήματος</w:t>
      </w:r>
      <w:r w:rsidRPr="00EB413C">
        <w:rPr>
          <w:rFonts w:ascii="Calibri" w:hAnsi="Calibri" w:cs="Calibri"/>
          <w:lang w:val="el-GR"/>
        </w:rPr>
        <w:t xml:space="preserve">) </w:t>
      </w:r>
      <w:r>
        <w:rPr>
          <w:rFonts w:ascii="Calibri" w:hAnsi="Calibri" w:cs="Calibri"/>
          <w:lang w:val="el-GR"/>
        </w:rPr>
        <w:t>και Βοηθός Αρχηγός Αστυνομίας</w:t>
      </w:r>
      <w:r w:rsidRPr="00EB413C">
        <w:rPr>
          <w:rFonts w:ascii="Calibri" w:hAnsi="Calibri" w:cs="Calibri"/>
          <w:lang w:val="el-GR"/>
        </w:rPr>
        <w:t xml:space="preserve"> (</w:t>
      </w:r>
      <w:r>
        <w:rPr>
          <w:rFonts w:ascii="Calibri" w:hAnsi="Calibri" w:cs="Calibri"/>
          <w:lang w:val="el-GR"/>
        </w:rPr>
        <w:t>Τοπικής Αστυνόμευσης και Επιχειρησιακής Υποστήριξης</w:t>
      </w:r>
      <w:r w:rsidRPr="00EB413C">
        <w:rPr>
          <w:rFonts w:ascii="Calibri" w:hAnsi="Calibri" w:cs="Calibri"/>
          <w:lang w:val="el-GR"/>
        </w:rPr>
        <w:t xml:space="preserve">). </w:t>
      </w:r>
      <w:r>
        <w:rPr>
          <w:rFonts w:ascii="Calibri" w:hAnsi="Calibri" w:cs="Calibri"/>
          <w:lang w:val="el-GR"/>
        </w:rPr>
        <w:t>Επιπρόσθετα</w:t>
      </w:r>
      <w:r w:rsidRPr="00EB413C">
        <w:rPr>
          <w:rFonts w:ascii="Calibri" w:hAnsi="Calibri" w:cs="Calibri"/>
          <w:lang w:val="el-GR"/>
        </w:rPr>
        <w:t xml:space="preserve">, </w:t>
      </w:r>
      <w:r>
        <w:rPr>
          <w:rFonts w:ascii="Calibri" w:hAnsi="Calibri" w:cs="Calibri"/>
          <w:lang w:val="el-GR"/>
        </w:rPr>
        <w:t>ο</w:t>
      </w:r>
      <w:r w:rsidRPr="00EB413C">
        <w:rPr>
          <w:rFonts w:ascii="Calibri" w:hAnsi="Calibri" w:cs="Calibri"/>
          <w:lang w:val="el-GR"/>
        </w:rPr>
        <w:t xml:space="preserve"> </w:t>
      </w:r>
      <w:r>
        <w:rPr>
          <w:rFonts w:ascii="Calibri" w:hAnsi="Calibri" w:cs="Calibri"/>
          <w:lang w:val="el-GR"/>
        </w:rPr>
        <w:t>Διευθυντής</w:t>
      </w:r>
      <w:r w:rsidRPr="00EB413C">
        <w:rPr>
          <w:rFonts w:ascii="Calibri" w:hAnsi="Calibri" w:cs="Calibri"/>
          <w:lang w:val="el-GR"/>
        </w:rPr>
        <w:t xml:space="preserve"> </w:t>
      </w:r>
      <w:r>
        <w:rPr>
          <w:rFonts w:ascii="Calibri" w:hAnsi="Calibri" w:cs="Calibri"/>
          <w:lang w:val="el-GR"/>
        </w:rPr>
        <w:t xml:space="preserve">της Διεύθυνσης </w:t>
      </w:r>
      <w:r>
        <w:rPr>
          <w:rFonts w:ascii="Calibri" w:hAnsi="Calibri" w:cs="Calibri"/>
          <w:lang w:val="en-US"/>
        </w:rPr>
        <w:t>E</w:t>
      </w:r>
      <w:proofErr w:type="spellStart"/>
      <w:r>
        <w:rPr>
          <w:rFonts w:ascii="Calibri" w:hAnsi="Calibri" w:cs="Calibri"/>
          <w:lang w:val="el-GR"/>
        </w:rPr>
        <w:t>παγγελματικών</w:t>
      </w:r>
      <w:proofErr w:type="spellEnd"/>
      <w:r>
        <w:rPr>
          <w:rFonts w:ascii="Calibri" w:hAnsi="Calibri" w:cs="Calibri"/>
          <w:lang w:val="el-GR"/>
        </w:rPr>
        <w:t xml:space="preserve"> Προτύπων και Επιθεωρήσεων</w:t>
      </w:r>
      <w:r w:rsidRPr="00EB413C">
        <w:rPr>
          <w:rFonts w:ascii="Calibri" w:hAnsi="Calibri" w:cs="Calibri"/>
          <w:lang w:val="el-GR"/>
        </w:rPr>
        <w:t xml:space="preserve"> </w:t>
      </w:r>
      <w:r>
        <w:rPr>
          <w:rFonts w:ascii="Calibri" w:hAnsi="Calibri" w:cs="Calibri"/>
          <w:lang w:val="el-GR"/>
        </w:rPr>
        <w:t>υπάγεται</w:t>
      </w:r>
      <w:r w:rsidRPr="00EB413C">
        <w:rPr>
          <w:rFonts w:ascii="Calibri" w:hAnsi="Calibri" w:cs="Calibri"/>
          <w:lang w:val="el-GR"/>
        </w:rPr>
        <w:t xml:space="preserve"> </w:t>
      </w:r>
      <w:r>
        <w:rPr>
          <w:rFonts w:ascii="Calibri" w:hAnsi="Calibri" w:cs="Calibri"/>
          <w:lang w:val="el-GR"/>
        </w:rPr>
        <w:t>διοικητικά</w:t>
      </w:r>
      <w:r w:rsidRPr="00EB413C">
        <w:rPr>
          <w:rFonts w:ascii="Calibri" w:hAnsi="Calibri" w:cs="Calibri"/>
          <w:lang w:val="el-GR"/>
        </w:rPr>
        <w:t xml:space="preserve"> </w:t>
      </w:r>
      <w:r>
        <w:rPr>
          <w:rFonts w:ascii="Calibri" w:hAnsi="Calibri" w:cs="Calibri"/>
          <w:lang w:val="el-GR"/>
        </w:rPr>
        <w:t>και</w:t>
      </w:r>
      <w:r w:rsidRPr="00EB413C">
        <w:rPr>
          <w:rFonts w:ascii="Calibri" w:hAnsi="Calibri" w:cs="Calibri"/>
          <w:lang w:val="el-GR"/>
        </w:rPr>
        <w:t xml:space="preserve"> </w:t>
      </w:r>
      <w:r>
        <w:rPr>
          <w:rFonts w:ascii="Calibri" w:hAnsi="Calibri" w:cs="Calibri"/>
          <w:lang w:val="el-GR"/>
        </w:rPr>
        <w:t>επιχειρησιακά</w:t>
      </w:r>
      <w:r w:rsidRPr="00EB413C">
        <w:rPr>
          <w:rFonts w:ascii="Calibri" w:hAnsi="Calibri" w:cs="Calibri"/>
          <w:lang w:val="el-GR"/>
        </w:rPr>
        <w:t xml:space="preserve"> </w:t>
      </w:r>
      <w:r>
        <w:rPr>
          <w:rFonts w:ascii="Calibri" w:hAnsi="Calibri" w:cs="Calibri"/>
          <w:lang w:val="el-GR"/>
        </w:rPr>
        <w:t>στον Υπαρχηγό της Αστυνομίας</w:t>
      </w:r>
      <w:r w:rsidRPr="00EB413C">
        <w:rPr>
          <w:rFonts w:ascii="Calibri" w:hAnsi="Calibri" w:cs="Calibri"/>
          <w:lang w:val="el-GR"/>
        </w:rPr>
        <w:t>.</w:t>
      </w:r>
      <w:bookmarkEnd w:id="176"/>
    </w:p>
  </w:footnote>
  <w:footnote w:id="62">
    <w:p w14:paraId="6B3D5256" w14:textId="3E1E5DC6" w:rsidR="00071F64" w:rsidRPr="00B23CAC" w:rsidRDefault="00071F64" w:rsidP="00220066">
      <w:pPr>
        <w:pStyle w:val="FootnoteText"/>
        <w:rPr>
          <w:rFonts w:asciiTheme="minorHAnsi" w:hAnsiTheme="minorHAnsi" w:cstheme="minorHAnsi"/>
          <w:lang w:val="el-GR"/>
        </w:rPr>
      </w:pPr>
      <w:r w:rsidRPr="00354C69">
        <w:rPr>
          <w:rStyle w:val="FootnoteReference"/>
          <w:rFonts w:asciiTheme="minorHAnsi" w:hAnsiTheme="minorHAnsi" w:cstheme="minorHAnsi"/>
        </w:rPr>
        <w:footnoteRef/>
      </w:r>
      <w:r w:rsidRPr="000D5789">
        <w:rPr>
          <w:rFonts w:asciiTheme="minorHAnsi" w:hAnsiTheme="minorHAnsi" w:cstheme="minorHAnsi"/>
          <w:lang w:val="el-GR"/>
        </w:rPr>
        <w:t xml:space="preserve"> </w:t>
      </w:r>
      <w:r>
        <w:rPr>
          <w:rFonts w:asciiTheme="minorHAnsi" w:hAnsiTheme="minorHAnsi" w:cstheme="minorHAnsi"/>
        </w:rPr>
        <w:t>B</w:t>
      </w:r>
      <w:proofErr w:type="spellStart"/>
      <w:r>
        <w:rPr>
          <w:rFonts w:asciiTheme="minorHAnsi" w:hAnsiTheme="minorHAnsi" w:cstheme="minorHAnsi"/>
          <w:lang w:val="el-GR"/>
        </w:rPr>
        <w:t>λέπε</w:t>
      </w:r>
      <w:proofErr w:type="spellEnd"/>
      <w:r>
        <w:rPr>
          <w:rFonts w:asciiTheme="minorHAnsi" w:hAnsiTheme="minorHAnsi" w:cstheme="minorHAnsi"/>
          <w:lang w:val="el-GR"/>
        </w:rPr>
        <w:t xml:space="preserve"> αποφάσεις διοικητικού δικαστηρίου</w:t>
      </w:r>
      <w:r w:rsidRPr="000D5789">
        <w:rPr>
          <w:rFonts w:asciiTheme="minorHAnsi" w:hAnsiTheme="minorHAnsi" w:cstheme="minorHAnsi"/>
          <w:lang w:val="el-GR"/>
        </w:rPr>
        <w:t xml:space="preserve">: </w:t>
      </w:r>
      <w:r w:rsidR="00000000">
        <w:fldChar w:fldCharType="begin"/>
      </w:r>
      <w:r w:rsidR="00000000">
        <w:instrText>HYPERLINK</w:instrText>
      </w:r>
      <w:r w:rsidR="00000000" w:rsidRPr="00522AD3">
        <w:rPr>
          <w:lang w:val="el-GR"/>
        </w:rPr>
        <w:instrText xml:space="preserve"> "</w:instrText>
      </w:r>
      <w:r w:rsidR="00000000">
        <w:instrText>http</w:instrText>
      </w:r>
      <w:r w:rsidR="00000000" w:rsidRPr="00522AD3">
        <w:rPr>
          <w:lang w:val="el-GR"/>
        </w:rPr>
        <w:instrText>://</w:instrText>
      </w:r>
      <w:r w:rsidR="00000000">
        <w:instrText>www</w:instrText>
      </w:r>
      <w:r w:rsidR="00000000" w:rsidRPr="00522AD3">
        <w:rPr>
          <w:lang w:val="el-GR"/>
        </w:rPr>
        <w:instrText>.</w:instrText>
      </w:r>
      <w:r w:rsidR="00000000">
        <w:instrText>cylaw</w:instrText>
      </w:r>
      <w:r w:rsidR="00000000" w:rsidRPr="00522AD3">
        <w:rPr>
          <w:lang w:val="el-GR"/>
        </w:rPr>
        <w:instrText>.</w:instrText>
      </w:r>
      <w:r w:rsidR="00000000">
        <w:instrText>org</w:instrText>
      </w:r>
      <w:r w:rsidR="00000000" w:rsidRPr="00522AD3">
        <w:rPr>
          <w:lang w:val="el-GR"/>
        </w:rPr>
        <w:instrText>/</w:instrText>
      </w:r>
      <w:r w:rsidR="00000000">
        <w:instrText>cgi</w:instrText>
      </w:r>
      <w:r w:rsidR="00000000" w:rsidRPr="00522AD3">
        <w:rPr>
          <w:lang w:val="el-GR"/>
        </w:rPr>
        <w:instrText>-</w:instrText>
      </w:r>
      <w:r w:rsidR="00000000">
        <w:instrText>bin</w:instrText>
      </w:r>
      <w:r w:rsidR="00000000" w:rsidRPr="00522AD3">
        <w:rPr>
          <w:lang w:val="el-GR"/>
        </w:rPr>
        <w:instrText>/</w:instrText>
      </w:r>
      <w:r w:rsidR="00000000">
        <w:instrText>open</w:instrText>
      </w:r>
      <w:r w:rsidR="00000000" w:rsidRPr="00522AD3">
        <w:rPr>
          <w:lang w:val="el-GR"/>
        </w:rPr>
        <w:instrText>.</w:instrText>
      </w:r>
      <w:r w:rsidR="00000000">
        <w:instrText>pl</w:instrText>
      </w:r>
      <w:r w:rsidR="00000000" w:rsidRPr="00522AD3">
        <w:rPr>
          <w:lang w:val="el-GR"/>
        </w:rPr>
        <w:instrText>?</w:instrText>
      </w:r>
      <w:r w:rsidR="00000000">
        <w:instrText>file</w:instrText>
      </w:r>
      <w:r w:rsidR="00000000" w:rsidRPr="00522AD3">
        <w:rPr>
          <w:lang w:val="el-GR"/>
        </w:rPr>
        <w:instrText>=/</w:instrText>
      </w:r>
      <w:r w:rsidR="00000000">
        <w:instrText>administrative</w:instrText>
      </w:r>
      <w:r w:rsidR="00000000" w:rsidRPr="00522AD3">
        <w:rPr>
          <w:lang w:val="el-GR"/>
        </w:rPr>
        <w:instrText>/2022/202201-1507-17</w:instrText>
      </w:r>
      <w:r w:rsidR="00000000">
        <w:instrText>etcAnony</w:instrText>
      </w:r>
      <w:r w:rsidR="00000000" w:rsidRPr="00522AD3">
        <w:rPr>
          <w:lang w:val="el-GR"/>
        </w:rPr>
        <w:instrText>.</w:instrText>
      </w:r>
      <w:r w:rsidR="00000000">
        <w:instrText>html</w:instrText>
      </w:r>
      <w:r w:rsidR="00000000" w:rsidRPr="00522AD3">
        <w:rPr>
          <w:lang w:val="el-GR"/>
        </w:rPr>
        <w:instrText>"</w:instrText>
      </w:r>
      <w:r w:rsidR="00000000">
        <w:fldChar w:fldCharType="separate"/>
      </w:r>
      <w:r w:rsidRPr="000D5789">
        <w:rPr>
          <w:rStyle w:val="Hyperlink"/>
          <w:rFonts w:asciiTheme="minorHAnsi" w:hAnsiTheme="minorHAnsi" w:cstheme="minorHAnsi"/>
          <w:color w:val="000000" w:themeColor="text1"/>
        </w:rPr>
        <w:t>http</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www</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cylaw</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org</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cgi</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bin</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open</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pl</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file</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administrative</w:t>
      </w:r>
      <w:r w:rsidRPr="000D5789">
        <w:rPr>
          <w:rStyle w:val="Hyperlink"/>
          <w:rFonts w:asciiTheme="minorHAnsi" w:hAnsiTheme="minorHAnsi" w:cstheme="minorHAnsi"/>
          <w:color w:val="000000" w:themeColor="text1"/>
          <w:lang w:val="el-GR"/>
        </w:rPr>
        <w:t>/2022/202201-1507-17</w:t>
      </w:r>
      <w:r w:rsidRPr="000D5789">
        <w:rPr>
          <w:rStyle w:val="Hyperlink"/>
          <w:rFonts w:asciiTheme="minorHAnsi" w:hAnsiTheme="minorHAnsi" w:cstheme="minorHAnsi"/>
          <w:color w:val="000000" w:themeColor="text1"/>
        </w:rPr>
        <w:t>etcAnony</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html</w:t>
      </w:r>
      <w:r w:rsidR="00000000">
        <w:rPr>
          <w:rStyle w:val="Hyperlink"/>
          <w:rFonts w:asciiTheme="minorHAnsi" w:hAnsiTheme="minorHAnsi" w:cstheme="minorHAnsi"/>
          <w:color w:val="000000" w:themeColor="text1"/>
        </w:rPr>
        <w:fldChar w:fldCharType="end"/>
      </w:r>
      <w:r w:rsidRPr="000D5789">
        <w:rPr>
          <w:rFonts w:asciiTheme="minorHAnsi" w:hAnsiTheme="minorHAnsi" w:cstheme="minorHAnsi"/>
          <w:lang w:val="el-GR"/>
        </w:rPr>
        <w:t xml:space="preserve"> </w:t>
      </w:r>
      <w:r>
        <w:rPr>
          <w:rFonts w:asciiTheme="minorHAnsi" w:hAnsiTheme="minorHAnsi" w:cstheme="minorHAnsi"/>
          <w:lang w:val="el-GR"/>
        </w:rPr>
        <w:t>και</w:t>
      </w:r>
      <w:r w:rsidRPr="000D5789">
        <w:rPr>
          <w:rFonts w:asciiTheme="minorHAnsi" w:hAnsiTheme="minorHAnsi" w:cstheme="minorHAnsi"/>
          <w:lang w:val="el-GR"/>
        </w:rPr>
        <w:t xml:space="preserve"> </w:t>
      </w:r>
      <w:r w:rsidR="00000000">
        <w:fldChar w:fldCharType="begin"/>
      </w:r>
      <w:r w:rsidR="00000000">
        <w:instrText>HYPERLINK</w:instrText>
      </w:r>
      <w:r w:rsidR="00000000" w:rsidRPr="00522AD3">
        <w:rPr>
          <w:lang w:val="el-GR"/>
        </w:rPr>
        <w:instrText xml:space="preserve"> "</w:instrText>
      </w:r>
      <w:r w:rsidR="00000000">
        <w:instrText>http</w:instrText>
      </w:r>
      <w:r w:rsidR="00000000" w:rsidRPr="00522AD3">
        <w:rPr>
          <w:lang w:val="el-GR"/>
        </w:rPr>
        <w:instrText>://</w:instrText>
      </w:r>
      <w:r w:rsidR="00000000">
        <w:instrText>www</w:instrText>
      </w:r>
      <w:r w:rsidR="00000000" w:rsidRPr="00522AD3">
        <w:rPr>
          <w:lang w:val="el-GR"/>
        </w:rPr>
        <w:instrText>.</w:instrText>
      </w:r>
      <w:r w:rsidR="00000000">
        <w:instrText>cylaw</w:instrText>
      </w:r>
      <w:r w:rsidR="00000000" w:rsidRPr="00522AD3">
        <w:rPr>
          <w:lang w:val="el-GR"/>
        </w:rPr>
        <w:instrText>.</w:instrText>
      </w:r>
      <w:r w:rsidR="00000000">
        <w:instrText>org</w:instrText>
      </w:r>
      <w:r w:rsidR="00000000" w:rsidRPr="00522AD3">
        <w:rPr>
          <w:lang w:val="el-GR"/>
        </w:rPr>
        <w:instrText>/</w:instrText>
      </w:r>
      <w:r w:rsidR="00000000">
        <w:instrText>cgi</w:instrText>
      </w:r>
      <w:r w:rsidR="00000000" w:rsidRPr="00522AD3">
        <w:rPr>
          <w:lang w:val="el-GR"/>
        </w:rPr>
        <w:instrText>-</w:instrText>
      </w:r>
      <w:r w:rsidR="00000000">
        <w:instrText>bin</w:instrText>
      </w:r>
      <w:r w:rsidR="00000000" w:rsidRPr="00522AD3">
        <w:rPr>
          <w:lang w:val="el-GR"/>
        </w:rPr>
        <w:instrText>/</w:instrText>
      </w:r>
      <w:r w:rsidR="00000000">
        <w:instrText>open</w:instrText>
      </w:r>
      <w:r w:rsidR="00000000" w:rsidRPr="00522AD3">
        <w:rPr>
          <w:lang w:val="el-GR"/>
        </w:rPr>
        <w:instrText>.</w:instrText>
      </w:r>
      <w:r w:rsidR="00000000">
        <w:instrText>pl</w:instrText>
      </w:r>
      <w:r w:rsidR="00000000" w:rsidRPr="00522AD3">
        <w:rPr>
          <w:lang w:val="el-GR"/>
        </w:rPr>
        <w:instrText>?</w:instrText>
      </w:r>
      <w:r w:rsidR="00000000">
        <w:instrText>file</w:instrText>
      </w:r>
      <w:r w:rsidR="00000000" w:rsidRPr="00522AD3">
        <w:rPr>
          <w:lang w:val="el-GR"/>
        </w:rPr>
        <w:instrText>=/</w:instrText>
      </w:r>
      <w:r w:rsidR="00000000">
        <w:instrText>administrative</w:instrText>
      </w:r>
      <w:r w:rsidR="00000000" w:rsidRPr="00522AD3">
        <w:rPr>
          <w:lang w:val="el-GR"/>
        </w:rPr>
        <w:instrText>/2022/202210-76-18</w:instrText>
      </w:r>
      <w:r w:rsidR="00000000">
        <w:instrText>etc</w:instrText>
      </w:r>
      <w:r w:rsidR="00000000" w:rsidRPr="00522AD3">
        <w:rPr>
          <w:lang w:val="el-GR"/>
        </w:rPr>
        <w:instrText>.</w:instrText>
      </w:r>
      <w:r w:rsidR="00000000">
        <w:instrText>html</w:instrText>
      </w:r>
      <w:r w:rsidR="00000000" w:rsidRPr="00522AD3">
        <w:rPr>
          <w:lang w:val="el-GR"/>
        </w:rPr>
        <w:instrText>"</w:instrText>
      </w:r>
      <w:r w:rsidR="00000000">
        <w:fldChar w:fldCharType="separate"/>
      </w:r>
      <w:r w:rsidRPr="000D5789">
        <w:rPr>
          <w:rStyle w:val="Hyperlink"/>
          <w:rFonts w:asciiTheme="minorHAnsi" w:hAnsiTheme="minorHAnsi" w:cstheme="minorHAnsi"/>
          <w:color w:val="000000" w:themeColor="text1"/>
        </w:rPr>
        <w:t>http</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www</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cylaw</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org</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cgi</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bin</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open</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pl</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file</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administrative</w:t>
      </w:r>
      <w:r w:rsidRPr="000D5789">
        <w:rPr>
          <w:rStyle w:val="Hyperlink"/>
          <w:rFonts w:asciiTheme="minorHAnsi" w:hAnsiTheme="minorHAnsi" w:cstheme="minorHAnsi"/>
          <w:color w:val="000000" w:themeColor="text1"/>
          <w:lang w:val="el-GR"/>
        </w:rPr>
        <w:t>/2022/202210-76-18</w:t>
      </w:r>
      <w:r w:rsidRPr="000D5789">
        <w:rPr>
          <w:rStyle w:val="Hyperlink"/>
          <w:rFonts w:asciiTheme="minorHAnsi" w:hAnsiTheme="minorHAnsi" w:cstheme="minorHAnsi"/>
          <w:color w:val="000000" w:themeColor="text1"/>
        </w:rPr>
        <w:t>etc</w:t>
      </w:r>
      <w:r w:rsidRPr="000D5789">
        <w:rPr>
          <w:rStyle w:val="Hyperlink"/>
          <w:rFonts w:asciiTheme="minorHAnsi" w:hAnsiTheme="minorHAnsi" w:cstheme="minorHAnsi"/>
          <w:color w:val="000000" w:themeColor="text1"/>
          <w:lang w:val="el-GR"/>
        </w:rPr>
        <w:t>.</w:t>
      </w:r>
      <w:r w:rsidRPr="000D5789">
        <w:rPr>
          <w:rStyle w:val="Hyperlink"/>
          <w:rFonts w:asciiTheme="minorHAnsi" w:hAnsiTheme="minorHAnsi" w:cstheme="minorHAnsi"/>
          <w:color w:val="000000" w:themeColor="text1"/>
        </w:rPr>
        <w:t>html</w:t>
      </w:r>
      <w:r w:rsidR="00000000">
        <w:rPr>
          <w:rStyle w:val="Hyperlink"/>
          <w:rFonts w:asciiTheme="minorHAnsi" w:hAnsiTheme="minorHAnsi" w:cstheme="minorHAnsi"/>
          <w:color w:val="000000" w:themeColor="text1"/>
        </w:rPr>
        <w:fldChar w:fldCharType="end"/>
      </w:r>
      <w:r w:rsidRPr="000D5789">
        <w:rPr>
          <w:rFonts w:asciiTheme="minorHAnsi" w:hAnsiTheme="minorHAnsi" w:cstheme="minorHAnsi"/>
          <w:lang w:val="el-GR"/>
        </w:rPr>
        <w:t xml:space="preserve">. </w:t>
      </w:r>
      <w:r>
        <w:rPr>
          <w:rFonts w:asciiTheme="minorHAnsi" w:hAnsiTheme="minorHAnsi" w:cstheme="minorHAnsi"/>
          <w:lang w:val="el-GR"/>
        </w:rPr>
        <w:t>Βλέπε</w:t>
      </w:r>
      <w:r w:rsidRPr="000D5789">
        <w:rPr>
          <w:rFonts w:asciiTheme="minorHAnsi" w:hAnsiTheme="minorHAnsi" w:cstheme="minorHAnsi"/>
          <w:lang w:val="el-GR"/>
        </w:rPr>
        <w:t xml:space="preserve"> </w:t>
      </w:r>
      <w:r>
        <w:rPr>
          <w:rFonts w:asciiTheme="minorHAnsi" w:hAnsiTheme="minorHAnsi" w:cstheme="minorHAnsi"/>
          <w:lang w:val="el-GR"/>
        </w:rPr>
        <w:t>επίσης</w:t>
      </w:r>
      <w:r w:rsidRPr="000D5789">
        <w:rPr>
          <w:rFonts w:asciiTheme="minorHAnsi" w:hAnsiTheme="minorHAnsi" w:cstheme="minorHAnsi"/>
          <w:lang w:val="el-GR"/>
        </w:rPr>
        <w:t xml:space="preserve"> </w:t>
      </w:r>
      <w:r>
        <w:rPr>
          <w:rFonts w:asciiTheme="minorHAnsi" w:hAnsiTheme="minorHAnsi" w:cstheme="minorHAnsi"/>
          <w:lang w:val="el-GR"/>
        </w:rPr>
        <w:t>πρόσφατη</w:t>
      </w:r>
      <w:r w:rsidRPr="000D5789">
        <w:rPr>
          <w:rFonts w:asciiTheme="minorHAnsi" w:hAnsiTheme="minorHAnsi" w:cstheme="minorHAnsi"/>
          <w:lang w:val="el-GR"/>
        </w:rPr>
        <w:t xml:space="preserve"> </w:t>
      </w:r>
      <w:r>
        <w:rPr>
          <w:rFonts w:asciiTheme="minorHAnsi" w:hAnsiTheme="minorHAnsi" w:cstheme="minorHAnsi"/>
          <w:lang w:val="el-GR"/>
        </w:rPr>
        <w:t>απόφαση</w:t>
      </w:r>
      <w:r w:rsidRPr="000D5789">
        <w:rPr>
          <w:rFonts w:asciiTheme="minorHAnsi" w:hAnsiTheme="minorHAnsi" w:cstheme="minorHAnsi"/>
          <w:lang w:val="el-GR"/>
        </w:rPr>
        <w:t xml:space="preserve"> </w:t>
      </w:r>
      <w:r>
        <w:rPr>
          <w:rFonts w:asciiTheme="minorHAnsi" w:hAnsiTheme="minorHAnsi" w:cstheme="minorHAnsi"/>
          <w:lang w:val="el-GR"/>
        </w:rPr>
        <w:t>διοικητικού</w:t>
      </w:r>
      <w:r w:rsidRPr="000D5789">
        <w:rPr>
          <w:rFonts w:asciiTheme="minorHAnsi" w:hAnsiTheme="minorHAnsi" w:cstheme="minorHAnsi"/>
          <w:lang w:val="el-GR"/>
        </w:rPr>
        <w:t xml:space="preserve"> </w:t>
      </w:r>
      <w:r>
        <w:rPr>
          <w:rFonts w:asciiTheme="minorHAnsi" w:hAnsiTheme="minorHAnsi" w:cstheme="minorHAnsi"/>
          <w:lang w:val="el-GR"/>
        </w:rPr>
        <w:t>δικαστηρίου</w:t>
      </w:r>
      <w:r w:rsidRPr="000D5789">
        <w:rPr>
          <w:rFonts w:asciiTheme="minorHAnsi" w:hAnsiTheme="minorHAnsi" w:cstheme="minorHAnsi"/>
          <w:lang w:val="el-GR"/>
        </w:rPr>
        <w:t xml:space="preserve"> </w:t>
      </w:r>
      <w:r>
        <w:rPr>
          <w:rFonts w:asciiTheme="minorHAnsi" w:hAnsiTheme="minorHAnsi" w:cstheme="minorHAnsi"/>
          <w:lang w:val="el-GR"/>
        </w:rPr>
        <w:t>στις</w:t>
      </w:r>
      <w:r w:rsidRPr="000D5789">
        <w:rPr>
          <w:rFonts w:asciiTheme="minorHAnsi" w:hAnsiTheme="minorHAnsi" w:cstheme="minorHAnsi"/>
          <w:lang w:val="el-GR"/>
        </w:rPr>
        <w:t xml:space="preserve"> 13 </w:t>
      </w:r>
      <w:r>
        <w:rPr>
          <w:rFonts w:asciiTheme="minorHAnsi" w:hAnsiTheme="minorHAnsi" w:cstheme="minorHAnsi"/>
          <w:lang w:val="el-GR"/>
        </w:rPr>
        <w:t>Δεκεμβρίου</w:t>
      </w:r>
      <w:r w:rsidRPr="000D5789">
        <w:rPr>
          <w:rFonts w:asciiTheme="minorHAnsi" w:hAnsiTheme="minorHAnsi" w:cstheme="minorHAnsi"/>
          <w:lang w:val="el-GR"/>
        </w:rPr>
        <w:t xml:space="preserve"> 2022 </w:t>
      </w:r>
      <w:r>
        <w:rPr>
          <w:rFonts w:asciiTheme="minorHAnsi" w:hAnsiTheme="minorHAnsi" w:cstheme="minorHAnsi"/>
          <w:lang w:val="el-GR"/>
        </w:rPr>
        <w:t xml:space="preserve">κηρύσσοντας την προαγωγή </w:t>
      </w:r>
      <w:r w:rsidRPr="000D5789">
        <w:rPr>
          <w:rFonts w:asciiTheme="minorHAnsi" w:hAnsiTheme="minorHAnsi" w:cstheme="minorHAnsi"/>
          <w:lang w:val="el-GR"/>
        </w:rPr>
        <w:t xml:space="preserve">16 </w:t>
      </w:r>
      <w:r>
        <w:rPr>
          <w:rFonts w:asciiTheme="minorHAnsi" w:hAnsiTheme="minorHAnsi" w:cstheme="minorHAnsi"/>
          <w:lang w:val="el-GR"/>
        </w:rPr>
        <w:t xml:space="preserve">ανωτέρων αξιωματούχων της Αστυνομίας </w:t>
      </w:r>
      <w:proofErr w:type="spellStart"/>
      <w:r>
        <w:rPr>
          <w:rFonts w:asciiTheme="minorHAnsi" w:hAnsiTheme="minorHAnsi" w:cstheme="minorHAnsi"/>
          <w:lang w:val="el-GR"/>
        </w:rPr>
        <w:t>ώς</w:t>
      </w:r>
      <w:proofErr w:type="spellEnd"/>
      <w:r>
        <w:rPr>
          <w:rFonts w:asciiTheme="minorHAnsi" w:hAnsiTheme="minorHAnsi" w:cstheme="minorHAnsi"/>
          <w:lang w:val="el-GR"/>
        </w:rPr>
        <w:t xml:space="preserve"> άκυρη</w:t>
      </w:r>
      <w:r w:rsidRPr="000D5789">
        <w:rPr>
          <w:rFonts w:asciiTheme="minorHAnsi" w:hAnsiTheme="minorHAnsi" w:cstheme="minorHAnsi"/>
          <w:lang w:val="el-GR"/>
        </w:rPr>
        <w:t xml:space="preserve"> (</w:t>
      </w:r>
      <w:r>
        <w:rPr>
          <w:rFonts w:asciiTheme="minorHAnsi" w:hAnsiTheme="minorHAnsi" w:cstheme="minorHAnsi"/>
          <w:lang w:val="el-GR"/>
        </w:rPr>
        <w:t xml:space="preserve">Υποθέσεις από κοινού με </w:t>
      </w:r>
      <w:proofErr w:type="spellStart"/>
      <w:r>
        <w:rPr>
          <w:rFonts w:asciiTheme="minorHAnsi" w:hAnsiTheme="minorHAnsi" w:cstheme="minorHAnsi"/>
          <w:lang w:val="el-GR"/>
        </w:rPr>
        <w:t>Αρ</w:t>
      </w:r>
      <w:proofErr w:type="spellEnd"/>
      <w:r w:rsidRPr="00B23CAC">
        <w:rPr>
          <w:rFonts w:asciiTheme="minorHAnsi" w:hAnsiTheme="minorHAnsi" w:cstheme="minorHAnsi"/>
          <w:lang w:val="el-GR"/>
        </w:rPr>
        <w:t>. 1426/2017, 1443/2017, 1444/17, 1450/17, 1465/17, 1472/17, 1474/17, 1486/17, 1487/17, 1569/17, 1570/17, 1588/17, 1598/17, 1599/17, 1601/17, 1614/17, 1629/17, 1632/17</w:t>
      </w:r>
      <w:r>
        <w:rPr>
          <w:rFonts w:asciiTheme="minorHAnsi" w:hAnsiTheme="minorHAnsi" w:cstheme="minorHAnsi"/>
          <w:lang w:val="el-GR"/>
        </w:rPr>
        <w:t xml:space="preserve"> και</w:t>
      </w:r>
      <w:r w:rsidRPr="00B23CAC">
        <w:rPr>
          <w:rFonts w:asciiTheme="minorHAnsi" w:hAnsiTheme="minorHAnsi" w:cstheme="minorHAnsi"/>
          <w:lang w:val="el-GR"/>
        </w:rPr>
        <w:t xml:space="preserve"> 1637/17). </w:t>
      </w:r>
    </w:p>
  </w:footnote>
  <w:footnote w:id="63">
    <w:p w14:paraId="069AEBA5" w14:textId="2E00495E" w:rsidR="00071F64" w:rsidRPr="00DE62C2" w:rsidRDefault="00071F64">
      <w:pPr>
        <w:pStyle w:val="FootnoteText"/>
        <w:rPr>
          <w:rFonts w:ascii="Calibri" w:hAnsi="Calibri" w:cs="Calibri"/>
          <w:lang w:val="el-GR"/>
        </w:rPr>
      </w:pPr>
      <w:r w:rsidRPr="00A90F70">
        <w:rPr>
          <w:rStyle w:val="FootnoteReference"/>
          <w:rFonts w:ascii="Calibri" w:hAnsi="Calibri" w:cs="Calibri"/>
        </w:rPr>
        <w:footnoteRef/>
      </w:r>
      <w:r w:rsidRPr="00B23CAC">
        <w:rPr>
          <w:rFonts w:ascii="Calibri" w:hAnsi="Calibri" w:cs="Calibri"/>
          <w:lang w:val="el-GR"/>
        </w:rPr>
        <w:t xml:space="preserve"> </w:t>
      </w:r>
      <w:bookmarkStart w:id="209" w:name="_Hlk136879749"/>
      <w:r>
        <w:rPr>
          <w:rFonts w:ascii="Calibri" w:hAnsi="Calibri" w:cs="Calibri"/>
          <w:lang w:val="el-GR"/>
        </w:rPr>
        <w:t>Οι</w:t>
      </w:r>
      <w:r w:rsidRPr="00B23CAC">
        <w:rPr>
          <w:rFonts w:ascii="Calibri" w:hAnsi="Calibri" w:cs="Calibri"/>
          <w:lang w:val="el-GR"/>
        </w:rPr>
        <w:t xml:space="preserve"> </w:t>
      </w:r>
      <w:r>
        <w:rPr>
          <w:rFonts w:ascii="Calibri" w:hAnsi="Calibri" w:cs="Calibri"/>
          <w:lang w:val="el-GR"/>
        </w:rPr>
        <w:t>αρχές</w:t>
      </w:r>
      <w:r w:rsidRPr="00B23CAC">
        <w:rPr>
          <w:rFonts w:ascii="Calibri" w:hAnsi="Calibri" w:cs="Calibri"/>
          <w:lang w:val="el-GR"/>
        </w:rPr>
        <w:t xml:space="preserve"> </w:t>
      </w:r>
      <w:r>
        <w:rPr>
          <w:rFonts w:ascii="Calibri" w:hAnsi="Calibri" w:cs="Calibri"/>
          <w:lang w:val="el-GR"/>
        </w:rPr>
        <w:t>υπογραμμίζουν</w:t>
      </w:r>
      <w:r w:rsidRPr="00B23CAC">
        <w:rPr>
          <w:rFonts w:ascii="Calibri" w:hAnsi="Calibri" w:cs="Calibri"/>
          <w:lang w:val="el-GR"/>
        </w:rPr>
        <w:t xml:space="preserve"> </w:t>
      </w:r>
      <w:r>
        <w:rPr>
          <w:rFonts w:ascii="Calibri" w:hAnsi="Calibri" w:cs="Calibri"/>
          <w:lang w:val="el-GR"/>
        </w:rPr>
        <w:t>ότι</w:t>
      </w:r>
      <w:r w:rsidRPr="00B23CAC">
        <w:rPr>
          <w:rFonts w:ascii="Calibri" w:hAnsi="Calibri" w:cs="Calibri"/>
          <w:lang w:val="el-GR"/>
        </w:rPr>
        <w:t xml:space="preserve"> </w:t>
      </w:r>
      <w:r>
        <w:rPr>
          <w:rFonts w:ascii="Calibri" w:hAnsi="Calibri" w:cs="Calibri"/>
          <w:lang w:val="el-GR"/>
        </w:rPr>
        <w:t>διορισμοί</w:t>
      </w:r>
      <w:r w:rsidRPr="00B23CAC">
        <w:rPr>
          <w:rFonts w:ascii="Calibri" w:hAnsi="Calibri" w:cs="Calibri"/>
          <w:lang w:val="el-GR"/>
        </w:rPr>
        <w:t xml:space="preserve"> </w:t>
      </w:r>
      <w:r>
        <w:rPr>
          <w:rFonts w:ascii="Calibri" w:hAnsi="Calibri" w:cs="Calibri"/>
          <w:lang w:val="el-GR"/>
        </w:rPr>
        <w:t>εκ</w:t>
      </w:r>
      <w:r w:rsidRPr="00B23CAC">
        <w:rPr>
          <w:rFonts w:ascii="Calibri" w:hAnsi="Calibri" w:cs="Calibri"/>
          <w:lang w:val="el-GR"/>
        </w:rPr>
        <w:t xml:space="preserve"> </w:t>
      </w:r>
      <w:r>
        <w:rPr>
          <w:rFonts w:ascii="Calibri" w:hAnsi="Calibri" w:cs="Calibri"/>
          <w:lang w:val="el-GR"/>
        </w:rPr>
        <w:t>νέου</w:t>
      </w:r>
      <w:r w:rsidRPr="00B23CAC">
        <w:rPr>
          <w:rFonts w:ascii="Calibri" w:hAnsi="Calibri" w:cs="Calibri"/>
          <w:lang w:val="el-GR"/>
        </w:rPr>
        <w:t xml:space="preserve"> </w:t>
      </w:r>
      <w:r>
        <w:rPr>
          <w:rFonts w:ascii="Calibri" w:hAnsi="Calibri" w:cs="Calibri"/>
          <w:lang w:val="el-GR"/>
        </w:rPr>
        <w:t>συμβαίνουν</w:t>
      </w:r>
      <w:r w:rsidRPr="00B23CAC">
        <w:rPr>
          <w:rFonts w:ascii="Calibri" w:hAnsi="Calibri" w:cs="Calibri"/>
          <w:lang w:val="el-GR"/>
        </w:rPr>
        <w:t xml:space="preserve"> </w:t>
      </w:r>
      <w:r>
        <w:rPr>
          <w:rFonts w:ascii="Calibri" w:hAnsi="Calibri" w:cs="Calibri"/>
          <w:lang w:val="el-GR"/>
        </w:rPr>
        <w:t>μόνο</w:t>
      </w:r>
      <w:r w:rsidRPr="00B23CAC">
        <w:rPr>
          <w:rFonts w:ascii="Calibri" w:hAnsi="Calibri" w:cs="Calibri"/>
          <w:lang w:val="el-GR"/>
        </w:rPr>
        <w:t xml:space="preserve"> </w:t>
      </w:r>
      <w:r>
        <w:rPr>
          <w:rFonts w:ascii="Calibri" w:hAnsi="Calibri" w:cs="Calibri"/>
          <w:lang w:val="el-GR"/>
        </w:rPr>
        <w:t>σε</w:t>
      </w:r>
      <w:r w:rsidRPr="00B23CAC">
        <w:rPr>
          <w:rFonts w:ascii="Calibri" w:hAnsi="Calibri" w:cs="Calibri"/>
          <w:lang w:val="el-GR"/>
        </w:rPr>
        <w:t xml:space="preserve"> </w:t>
      </w:r>
      <w:r>
        <w:rPr>
          <w:rFonts w:ascii="Calibri" w:hAnsi="Calibri" w:cs="Calibri"/>
          <w:lang w:val="el-GR"/>
        </w:rPr>
        <w:t>περιπτώσεις</w:t>
      </w:r>
      <w:r w:rsidRPr="00B23CAC">
        <w:rPr>
          <w:rFonts w:ascii="Calibri" w:hAnsi="Calibri" w:cs="Calibri"/>
          <w:lang w:val="el-GR"/>
        </w:rPr>
        <w:t xml:space="preserve"> </w:t>
      </w:r>
      <w:r>
        <w:rPr>
          <w:rFonts w:ascii="Calibri" w:hAnsi="Calibri" w:cs="Calibri"/>
          <w:lang w:val="el-GR"/>
        </w:rPr>
        <w:t>όπου</w:t>
      </w:r>
      <w:r w:rsidRPr="00B23CAC">
        <w:rPr>
          <w:rFonts w:ascii="Calibri" w:hAnsi="Calibri" w:cs="Calibri"/>
          <w:lang w:val="el-GR"/>
        </w:rPr>
        <w:t xml:space="preserve"> </w:t>
      </w:r>
      <w:r>
        <w:rPr>
          <w:rFonts w:ascii="Calibri" w:hAnsi="Calibri" w:cs="Calibri"/>
          <w:lang w:val="el-GR"/>
        </w:rPr>
        <w:t>η</w:t>
      </w:r>
      <w:r w:rsidRPr="00B23CAC">
        <w:rPr>
          <w:rFonts w:ascii="Calibri" w:hAnsi="Calibri" w:cs="Calibri"/>
          <w:lang w:val="el-GR"/>
        </w:rPr>
        <w:t xml:space="preserve"> </w:t>
      </w:r>
      <w:r>
        <w:rPr>
          <w:rFonts w:ascii="Calibri" w:hAnsi="Calibri" w:cs="Calibri"/>
          <w:lang w:val="el-GR"/>
        </w:rPr>
        <w:t>διοικητική</w:t>
      </w:r>
      <w:r w:rsidRPr="00B23CAC">
        <w:rPr>
          <w:rFonts w:ascii="Calibri" w:hAnsi="Calibri" w:cs="Calibri"/>
          <w:lang w:val="el-GR"/>
        </w:rPr>
        <w:t xml:space="preserve"> </w:t>
      </w:r>
      <w:r>
        <w:rPr>
          <w:rFonts w:ascii="Calibri" w:hAnsi="Calibri" w:cs="Calibri"/>
          <w:lang w:val="el-GR"/>
        </w:rPr>
        <w:t>διαδικασία</w:t>
      </w:r>
      <w:r w:rsidRPr="00B23CAC">
        <w:rPr>
          <w:rFonts w:ascii="Calibri" w:hAnsi="Calibri" w:cs="Calibri"/>
          <w:lang w:val="el-GR"/>
        </w:rPr>
        <w:t xml:space="preserve"> </w:t>
      </w:r>
      <w:r>
        <w:rPr>
          <w:rFonts w:ascii="Calibri" w:hAnsi="Calibri" w:cs="Calibri"/>
          <w:lang w:val="el-GR"/>
        </w:rPr>
        <w:t>αποτύχει</w:t>
      </w:r>
      <w:r w:rsidRPr="00B23CAC">
        <w:rPr>
          <w:rFonts w:ascii="Calibri" w:hAnsi="Calibri" w:cs="Calibri"/>
          <w:lang w:val="el-GR"/>
        </w:rPr>
        <w:t xml:space="preserve"> </w:t>
      </w:r>
      <w:r>
        <w:rPr>
          <w:rFonts w:ascii="Calibri" w:hAnsi="Calibri" w:cs="Calibri"/>
          <w:lang w:val="el-GR"/>
        </w:rPr>
        <w:t>εξαιτίας</w:t>
      </w:r>
      <w:r w:rsidRPr="00B23CAC">
        <w:rPr>
          <w:rFonts w:ascii="Calibri" w:hAnsi="Calibri" w:cs="Calibri"/>
          <w:lang w:val="el-GR"/>
        </w:rPr>
        <w:t xml:space="preserve"> </w:t>
      </w:r>
      <w:r>
        <w:rPr>
          <w:rFonts w:ascii="Calibri" w:hAnsi="Calibri" w:cs="Calibri"/>
          <w:lang w:val="el-GR"/>
        </w:rPr>
        <w:t>τυπικών</w:t>
      </w:r>
      <w:r w:rsidRPr="00B23CAC">
        <w:rPr>
          <w:rFonts w:ascii="Calibri" w:hAnsi="Calibri" w:cs="Calibri"/>
          <w:lang w:val="el-GR"/>
        </w:rPr>
        <w:t xml:space="preserve"> </w:t>
      </w:r>
      <w:r>
        <w:rPr>
          <w:rFonts w:ascii="Calibri" w:hAnsi="Calibri" w:cs="Calibri"/>
          <w:lang w:val="el-GR"/>
        </w:rPr>
        <w:t>λόγων</w:t>
      </w:r>
      <w:r w:rsidRPr="00B23CAC">
        <w:rPr>
          <w:rFonts w:ascii="Calibri" w:hAnsi="Calibri" w:cs="Calibri"/>
          <w:lang w:val="el-GR"/>
        </w:rPr>
        <w:t xml:space="preserve"> (</w:t>
      </w:r>
      <w:r>
        <w:rPr>
          <w:rFonts w:ascii="Calibri" w:hAnsi="Calibri" w:cs="Calibri"/>
          <w:lang w:val="el-GR"/>
        </w:rPr>
        <w:t>π</w:t>
      </w:r>
      <w:r w:rsidRPr="00B23CAC">
        <w:rPr>
          <w:rFonts w:ascii="Calibri" w:hAnsi="Calibri" w:cs="Calibri"/>
          <w:lang w:val="el-GR"/>
        </w:rPr>
        <w:t>.</w:t>
      </w:r>
      <w:r>
        <w:rPr>
          <w:rFonts w:ascii="Calibri" w:hAnsi="Calibri" w:cs="Calibri"/>
          <w:lang w:val="el-GR"/>
        </w:rPr>
        <w:t>χ</w:t>
      </w:r>
      <w:r w:rsidRPr="00B23CAC">
        <w:rPr>
          <w:rFonts w:ascii="Calibri" w:hAnsi="Calibri" w:cs="Calibri"/>
          <w:lang w:val="el-GR"/>
        </w:rPr>
        <w:t xml:space="preserve">. </w:t>
      </w:r>
      <w:r>
        <w:rPr>
          <w:rFonts w:ascii="Calibri" w:hAnsi="Calibri" w:cs="Calibri"/>
          <w:lang w:val="el-GR"/>
        </w:rPr>
        <w:t>η</w:t>
      </w:r>
      <w:r w:rsidRPr="00B23CAC">
        <w:rPr>
          <w:rFonts w:ascii="Calibri" w:hAnsi="Calibri" w:cs="Calibri"/>
          <w:lang w:val="el-GR"/>
        </w:rPr>
        <w:t xml:space="preserve"> </w:t>
      </w:r>
      <w:r>
        <w:rPr>
          <w:rFonts w:ascii="Calibri" w:hAnsi="Calibri" w:cs="Calibri"/>
          <w:lang w:val="el-GR"/>
        </w:rPr>
        <w:t>νομιμότητα</w:t>
      </w:r>
      <w:r w:rsidRPr="00B23CAC">
        <w:rPr>
          <w:rFonts w:ascii="Calibri" w:hAnsi="Calibri" w:cs="Calibri"/>
          <w:lang w:val="el-GR"/>
        </w:rPr>
        <w:t xml:space="preserve"> </w:t>
      </w:r>
      <w:r>
        <w:rPr>
          <w:rFonts w:ascii="Calibri" w:hAnsi="Calibri" w:cs="Calibri"/>
          <w:lang w:val="el-GR"/>
        </w:rPr>
        <w:t>της</w:t>
      </w:r>
      <w:r w:rsidRPr="00B23CAC">
        <w:rPr>
          <w:rFonts w:ascii="Calibri" w:hAnsi="Calibri" w:cs="Calibri"/>
          <w:lang w:val="el-GR"/>
        </w:rPr>
        <w:t xml:space="preserve"> </w:t>
      </w:r>
      <w:r>
        <w:rPr>
          <w:rFonts w:ascii="Calibri" w:hAnsi="Calibri" w:cs="Calibri"/>
          <w:lang w:val="el-GR"/>
        </w:rPr>
        <w:t>σύνθεσης</w:t>
      </w:r>
      <w:r w:rsidRPr="00B23CAC">
        <w:rPr>
          <w:rFonts w:ascii="Calibri" w:hAnsi="Calibri" w:cs="Calibri"/>
          <w:lang w:val="el-GR"/>
        </w:rPr>
        <w:t xml:space="preserve"> </w:t>
      </w:r>
      <w:r>
        <w:rPr>
          <w:rFonts w:ascii="Calibri" w:hAnsi="Calibri" w:cs="Calibri"/>
          <w:lang w:val="el-GR"/>
        </w:rPr>
        <w:t>της</w:t>
      </w:r>
      <w:r w:rsidRPr="00B23CAC">
        <w:rPr>
          <w:rFonts w:ascii="Calibri" w:hAnsi="Calibri" w:cs="Calibri"/>
          <w:lang w:val="el-GR"/>
        </w:rPr>
        <w:t xml:space="preserve"> </w:t>
      </w:r>
      <w:r>
        <w:rPr>
          <w:rFonts w:ascii="Calibri" w:hAnsi="Calibri" w:cs="Calibri"/>
          <w:lang w:val="el-GR"/>
        </w:rPr>
        <w:t>επιτροπής</w:t>
      </w:r>
      <w:r w:rsidRPr="00B23CAC">
        <w:rPr>
          <w:rFonts w:ascii="Calibri" w:hAnsi="Calibri" w:cs="Calibri"/>
          <w:lang w:val="el-GR"/>
        </w:rPr>
        <w:t xml:space="preserve"> </w:t>
      </w:r>
      <w:r>
        <w:rPr>
          <w:rFonts w:ascii="Calibri" w:hAnsi="Calibri" w:cs="Calibri"/>
          <w:lang w:val="el-GR"/>
        </w:rPr>
        <w:t>επιλογής</w:t>
      </w:r>
      <w:r w:rsidRPr="00B23CAC">
        <w:rPr>
          <w:rFonts w:ascii="Calibri" w:hAnsi="Calibri" w:cs="Calibri"/>
          <w:lang w:val="el-GR"/>
        </w:rPr>
        <w:t xml:space="preserve">, </w:t>
      </w:r>
      <w:r>
        <w:rPr>
          <w:rFonts w:ascii="Calibri" w:hAnsi="Calibri" w:cs="Calibri"/>
          <w:lang w:val="el-GR"/>
        </w:rPr>
        <w:t>η</w:t>
      </w:r>
      <w:r w:rsidRPr="00B23CAC">
        <w:rPr>
          <w:rFonts w:ascii="Calibri" w:hAnsi="Calibri" w:cs="Calibri"/>
          <w:lang w:val="el-GR"/>
        </w:rPr>
        <w:t xml:space="preserve"> </w:t>
      </w:r>
      <w:r>
        <w:rPr>
          <w:rFonts w:ascii="Calibri" w:hAnsi="Calibri" w:cs="Calibri"/>
          <w:lang w:val="el-GR"/>
        </w:rPr>
        <w:t>απουσία</w:t>
      </w:r>
      <w:r w:rsidRPr="00B23CAC">
        <w:rPr>
          <w:rFonts w:ascii="Calibri" w:hAnsi="Calibri" w:cs="Calibri"/>
          <w:lang w:val="el-GR"/>
        </w:rPr>
        <w:t xml:space="preserve"> </w:t>
      </w:r>
      <w:r>
        <w:rPr>
          <w:rFonts w:ascii="Calibri" w:hAnsi="Calibri" w:cs="Calibri"/>
          <w:lang w:val="el-GR"/>
        </w:rPr>
        <w:t>ενός</w:t>
      </w:r>
      <w:r w:rsidRPr="00B23CAC">
        <w:rPr>
          <w:rFonts w:ascii="Calibri" w:hAnsi="Calibri" w:cs="Calibri"/>
          <w:lang w:val="el-GR"/>
        </w:rPr>
        <w:t xml:space="preserve"> </w:t>
      </w:r>
      <w:r>
        <w:rPr>
          <w:rFonts w:ascii="Calibri" w:hAnsi="Calibri" w:cs="Calibri"/>
          <w:lang w:val="el-GR"/>
        </w:rPr>
        <w:t>μέλους</w:t>
      </w:r>
      <w:r w:rsidRPr="00B23CAC">
        <w:rPr>
          <w:rFonts w:ascii="Calibri" w:hAnsi="Calibri" w:cs="Calibri"/>
          <w:lang w:val="el-GR"/>
        </w:rPr>
        <w:t xml:space="preserve"> </w:t>
      </w:r>
      <w:r>
        <w:rPr>
          <w:rFonts w:ascii="Calibri" w:hAnsi="Calibri" w:cs="Calibri"/>
          <w:lang w:val="el-GR"/>
        </w:rPr>
        <w:t>της επιτροπής επιλογής</w:t>
      </w:r>
      <w:r w:rsidRPr="00B23CAC">
        <w:rPr>
          <w:rFonts w:ascii="Calibri" w:hAnsi="Calibri" w:cs="Calibri"/>
          <w:lang w:val="el-GR"/>
        </w:rPr>
        <w:t xml:space="preserve"> </w:t>
      </w:r>
      <w:r>
        <w:rPr>
          <w:rFonts w:ascii="Calibri" w:hAnsi="Calibri" w:cs="Calibri"/>
          <w:lang w:val="el-GR"/>
        </w:rPr>
        <w:t>όταν αυτή παίρνει την απόφαση της</w:t>
      </w:r>
      <w:r w:rsidRPr="00B23CAC">
        <w:rPr>
          <w:rFonts w:ascii="Calibri" w:hAnsi="Calibri" w:cs="Calibri"/>
          <w:lang w:val="el-GR"/>
        </w:rPr>
        <w:t xml:space="preserve"> </w:t>
      </w:r>
      <w:r>
        <w:rPr>
          <w:rFonts w:ascii="Calibri" w:hAnsi="Calibri" w:cs="Calibri"/>
          <w:lang w:val="el-GR"/>
        </w:rPr>
        <w:t>κλπ</w:t>
      </w:r>
      <w:r w:rsidRPr="00B23CAC">
        <w:rPr>
          <w:rFonts w:ascii="Calibri" w:hAnsi="Calibri" w:cs="Calibri"/>
          <w:lang w:val="el-GR"/>
        </w:rPr>
        <w:t xml:space="preserve">.), </w:t>
      </w:r>
      <w:r>
        <w:rPr>
          <w:rFonts w:ascii="Calibri" w:hAnsi="Calibri" w:cs="Calibri"/>
          <w:lang w:val="el-GR"/>
        </w:rPr>
        <w:t>και το Διοικητικό Δικαστήριο</w:t>
      </w:r>
      <w:r w:rsidRPr="00B23CAC">
        <w:rPr>
          <w:rFonts w:ascii="Calibri" w:hAnsi="Calibri" w:cs="Calibri"/>
          <w:lang w:val="el-GR"/>
        </w:rPr>
        <w:t xml:space="preserve"> </w:t>
      </w:r>
      <w:r>
        <w:rPr>
          <w:rFonts w:ascii="Calibri" w:hAnsi="Calibri" w:cs="Calibri"/>
          <w:lang w:val="el-GR"/>
        </w:rPr>
        <w:t>δεν καταλήγει στο συμπέρασμα του</w:t>
      </w:r>
      <w:r w:rsidRPr="00B23CAC">
        <w:rPr>
          <w:rFonts w:ascii="Calibri" w:hAnsi="Calibri" w:cs="Calibri"/>
          <w:lang w:val="el-GR"/>
        </w:rPr>
        <w:t xml:space="preserve"> </w:t>
      </w:r>
      <w:r>
        <w:rPr>
          <w:rFonts w:ascii="Calibri" w:hAnsi="Calibri" w:cs="Calibri"/>
          <w:lang w:val="el-GR"/>
        </w:rPr>
        <w:t>στην βάση ότι</w:t>
      </w:r>
      <w:r w:rsidRPr="00B23CAC">
        <w:rPr>
          <w:rFonts w:ascii="Calibri" w:hAnsi="Calibri" w:cs="Calibri"/>
          <w:lang w:val="el-GR"/>
        </w:rPr>
        <w:t xml:space="preserve"> </w:t>
      </w:r>
      <w:r>
        <w:rPr>
          <w:rFonts w:ascii="Calibri" w:hAnsi="Calibri" w:cs="Calibri"/>
          <w:lang w:val="el-GR"/>
        </w:rPr>
        <w:t>οι προαχθέντες</w:t>
      </w:r>
      <w:r w:rsidRPr="00B23CAC">
        <w:rPr>
          <w:rFonts w:ascii="Calibri" w:hAnsi="Calibri" w:cs="Calibri"/>
          <w:lang w:val="el-GR"/>
        </w:rPr>
        <w:t xml:space="preserve"> </w:t>
      </w:r>
      <w:r>
        <w:rPr>
          <w:rFonts w:ascii="Calibri" w:hAnsi="Calibri" w:cs="Calibri"/>
          <w:lang w:val="el-GR"/>
        </w:rPr>
        <w:t>υποψήφιοι</w:t>
      </w:r>
      <w:r w:rsidRPr="00B23CAC">
        <w:rPr>
          <w:rFonts w:ascii="Calibri" w:hAnsi="Calibri" w:cs="Calibri"/>
          <w:lang w:val="el-GR"/>
        </w:rPr>
        <w:t xml:space="preserve"> </w:t>
      </w:r>
      <w:r w:rsidRPr="00B23CAC">
        <w:rPr>
          <w:rFonts w:ascii="Calibri" w:hAnsi="Calibri" w:cs="Calibri"/>
          <w:i/>
          <w:lang w:val="el-GR"/>
        </w:rPr>
        <w:t>καθ’ εαυτ</w:t>
      </w:r>
      <w:r>
        <w:rPr>
          <w:rFonts w:ascii="Calibri" w:hAnsi="Calibri" w:cs="Calibri"/>
          <w:i/>
          <w:lang w:val="el-GR"/>
        </w:rPr>
        <w:t xml:space="preserve">οί </w:t>
      </w:r>
      <w:r>
        <w:rPr>
          <w:rFonts w:ascii="Calibri" w:hAnsi="Calibri" w:cs="Calibri"/>
          <w:lang w:val="el-GR"/>
        </w:rPr>
        <w:t>δεν έχουν τα προσόντα για να κατέχουν το αξίωμα</w:t>
      </w:r>
      <w:r w:rsidRPr="00B23CAC">
        <w:rPr>
          <w:rFonts w:ascii="Calibri" w:hAnsi="Calibri" w:cs="Calibri"/>
          <w:lang w:val="el-GR"/>
        </w:rPr>
        <w:t xml:space="preserve">. </w:t>
      </w:r>
      <w:r>
        <w:rPr>
          <w:rFonts w:ascii="Calibri" w:hAnsi="Calibri" w:cs="Calibri"/>
          <w:lang w:val="el-GR"/>
        </w:rPr>
        <w:t>Κανένα</w:t>
      </w:r>
      <w:r w:rsidRPr="00DE62C2">
        <w:rPr>
          <w:rFonts w:ascii="Calibri" w:hAnsi="Calibri" w:cs="Calibri"/>
          <w:lang w:val="el-GR"/>
        </w:rPr>
        <w:t xml:space="preserve"> </w:t>
      </w:r>
      <w:r>
        <w:rPr>
          <w:rFonts w:ascii="Calibri" w:hAnsi="Calibri" w:cs="Calibri"/>
          <w:lang w:val="el-GR"/>
        </w:rPr>
        <w:t>άτομο</w:t>
      </w:r>
      <w:r w:rsidRPr="00DE62C2">
        <w:rPr>
          <w:rFonts w:ascii="Calibri" w:hAnsi="Calibri" w:cs="Calibri"/>
          <w:lang w:val="el-GR"/>
        </w:rPr>
        <w:t xml:space="preserve"> </w:t>
      </w:r>
      <w:r>
        <w:rPr>
          <w:rFonts w:ascii="Calibri" w:hAnsi="Calibri" w:cs="Calibri"/>
          <w:lang w:val="el-GR"/>
        </w:rPr>
        <w:t>δεν</w:t>
      </w:r>
      <w:r w:rsidRPr="00DE62C2">
        <w:rPr>
          <w:rFonts w:ascii="Calibri" w:hAnsi="Calibri" w:cs="Calibri"/>
          <w:lang w:val="el-GR"/>
        </w:rPr>
        <w:t xml:space="preserve"> </w:t>
      </w:r>
      <w:r>
        <w:rPr>
          <w:rFonts w:ascii="Calibri" w:hAnsi="Calibri" w:cs="Calibri"/>
          <w:lang w:val="el-GR"/>
        </w:rPr>
        <w:t>μπορεί</w:t>
      </w:r>
      <w:r w:rsidRPr="00DE62C2">
        <w:rPr>
          <w:rFonts w:ascii="Calibri" w:hAnsi="Calibri" w:cs="Calibri"/>
          <w:lang w:val="el-GR"/>
        </w:rPr>
        <w:t xml:space="preserve"> </w:t>
      </w:r>
      <w:r>
        <w:rPr>
          <w:rFonts w:ascii="Calibri" w:hAnsi="Calibri" w:cs="Calibri"/>
          <w:lang w:val="el-GR"/>
        </w:rPr>
        <w:t>να</w:t>
      </w:r>
      <w:r w:rsidRPr="00DE62C2">
        <w:rPr>
          <w:rFonts w:ascii="Calibri" w:hAnsi="Calibri" w:cs="Calibri"/>
          <w:lang w:val="el-GR"/>
        </w:rPr>
        <w:t xml:space="preserve"> </w:t>
      </w:r>
      <w:proofErr w:type="spellStart"/>
      <w:r>
        <w:rPr>
          <w:rFonts w:ascii="Calibri" w:hAnsi="Calibri" w:cs="Calibri"/>
          <w:lang w:val="el-GR"/>
        </w:rPr>
        <w:t>επαναδιορισθεί</w:t>
      </w:r>
      <w:proofErr w:type="spellEnd"/>
      <w:r w:rsidRPr="00DE62C2">
        <w:rPr>
          <w:rFonts w:ascii="Calibri" w:hAnsi="Calibri" w:cs="Calibri"/>
          <w:lang w:val="el-GR"/>
        </w:rPr>
        <w:t xml:space="preserve"> </w:t>
      </w:r>
      <w:r>
        <w:rPr>
          <w:rFonts w:ascii="Calibri" w:hAnsi="Calibri" w:cs="Calibri"/>
          <w:lang w:val="el-GR"/>
        </w:rPr>
        <w:t>αν</w:t>
      </w:r>
      <w:r w:rsidRPr="00DE62C2">
        <w:rPr>
          <w:rFonts w:ascii="Calibri" w:hAnsi="Calibri" w:cs="Calibri"/>
          <w:lang w:val="el-GR"/>
        </w:rPr>
        <w:t xml:space="preserve"> </w:t>
      </w:r>
      <w:r>
        <w:rPr>
          <w:rFonts w:ascii="Calibri" w:hAnsi="Calibri" w:cs="Calibri"/>
          <w:lang w:val="el-GR"/>
        </w:rPr>
        <w:t>η</w:t>
      </w:r>
      <w:r w:rsidRPr="00DE62C2">
        <w:rPr>
          <w:rFonts w:ascii="Calibri" w:hAnsi="Calibri" w:cs="Calibri"/>
          <w:lang w:val="el-GR"/>
        </w:rPr>
        <w:t xml:space="preserve"> </w:t>
      </w:r>
      <w:r>
        <w:rPr>
          <w:rFonts w:ascii="Calibri" w:hAnsi="Calibri" w:cs="Calibri"/>
          <w:lang w:val="el-GR"/>
        </w:rPr>
        <w:t>απόφαση</w:t>
      </w:r>
      <w:r w:rsidRPr="00DE62C2">
        <w:rPr>
          <w:rFonts w:ascii="Calibri" w:hAnsi="Calibri" w:cs="Calibri"/>
          <w:lang w:val="el-GR"/>
        </w:rPr>
        <w:t xml:space="preserve"> </w:t>
      </w:r>
      <w:r>
        <w:rPr>
          <w:rFonts w:ascii="Calibri" w:hAnsi="Calibri" w:cs="Calibri"/>
          <w:lang w:val="el-GR"/>
        </w:rPr>
        <w:t>του</w:t>
      </w:r>
      <w:r w:rsidRPr="00DE62C2">
        <w:rPr>
          <w:rFonts w:ascii="Calibri" w:hAnsi="Calibri" w:cs="Calibri"/>
          <w:lang w:val="el-GR"/>
        </w:rPr>
        <w:t xml:space="preserve"> </w:t>
      </w:r>
      <w:r>
        <w:rPr>
          <w:rFonts w:ascii="Calibri" w:hAnsi="Calibri" w:cs="Calibri"/>
          <w:lang w:val="el-GR"/>
        </w:rPr>
        <w:t>Δικαστηρίου</w:t>
      </w:r>
      <w:r w:rsidRPr="00DE62C2">
        <w:rPr>
          <w:rFonts w:ascii="Calibri" w:hAnsi="Calibri" w:cs="Calibri"/>
          <w:lang w:val="el-GR"/>
        </w:rPr>
        <w:t xml:space="preserve"> </w:t>
      </w:r>
      <w:r>
        <w:rPr>
          <w:rFonts w:ascii="Calibri" w:hAnsi="Calibri" w:cs="Calibri"/>
          <w:lang w:val="el-GR"/>
        </w:rPr>
        <w:t>διαπιστώνει</w:t>
      </w:r>
      <w:r w:rsidRPr="00DE62C2">
        <w:rPr>
          <w:rFonts w:ascii="Calibri" w:hAnsi="Calibri" w:cs="Calibri"/>
          <w:lang w:val="el-GR"/>
        </w:rPr>
        <w:t xml:space="preserve"> </w:t>
      </w:r>
      <w:r>
        <w:rPr>
          <w:rFonts w:ascii="Calibri" w:hAnsi="Calibri" w:cs="Calibri"/>
          <w:lang w:val="el-GR"/>
        </w:rPr>
        <w:t>ότι το ενδιαφερόμενο άτομο</w:t>
      </w:r>
      <w:r w:rsidRPr="00DE62C2">
        <w:rPr>
          <w:rFonts w:ascii="Calibri" w:hAnsi="Calibri" w:cs="Calibri"/>
          <w:lang w:val="el-GR"/>
        </w:rPr>
        <w:t xml:space="preserve"> </w:t>
      </w:r>
      <w:r>
        <w:rPr>
          <w:rFonts w:ascii="Calibri" w:hAnsi="Calibri" w:cs="Calibri"/>
          <w:lang w:val="el-GR"/>
        </w:rPr>
        <w:t>δεν είχε τα απαιτούμενα προσόντα</w:t>
      </w:r>
      <w:r w:rsidRPr="00DE62C2">
        <w:rPr>
          <w:rFonts w:ascii="Calibri" w:hAnsi="Calibri" w:cs="Calibri"/>
          <w:lang w:val="el-GR"/>
        </w:rPr>
        <w:t xml:space="preserve"> </w:t>
      </w:r>
      <w:r>
        <w:rPr>
          <w:rFonts w:ascii="Calibri" w:hAnsi="Calibri" w:cs="Calibri"/>
          <w:lang w:val="el-GR"/>
        </w:rPr>
        <w:t xml:space="preserve">για να </w:t>
      </w:r>
      <w:r w:rsidR="002E5EC0">
        <w:rPr>
          <w:rFonts w:ascii="Calibri" w:hAnsi="Calibri" w:cs="Calibri"/>
          <w:lang w:val="el-GR"/>
        </w:rPr>
        <w:t>πληροί</w:t>
      </w:r>
      <w:r>
        <w:rPr>
          <w:rFonts w:ascii="Calibri" w:hAnsi="Calibri" w:cs="Calibri"/>
          <w:lang w:val="el-GR"/>
        </w:rPr>
        <w:t xml:space="preserve"> το αξίωμα</w:t>
      </w:r>
      <w:r w:rsidRPr="00DE62C2">
        <w:rPr>
          <w:rFonts w:ascii="Calibri" w:hAnsi="Calibri" w:cs="Calibri"/>
          <w:lang w:val="el-GR"/>
        </w:rPr>
        <w:t xml:space="preserve">. </w:t>
      </w:r>
      <w:bookmarkEnd w:id="209"/>
    </w:p>
  </w:footnote>
  <w:footnote w:id="64">
    <w:p w14:paraId="3AE0D968" w14:textId="01FFCC9C" w:rsidR="00071F64" w:rsidRPr="007B61F8" w:rsidRDefault="00071F64">
      <w:pPr>
        <w:pStyle w:val="FootnoteText"/>
        <w:rPr>
          <w:rFonts w:asciiTheme="minorHAnsi" w:hAnsiTheme="minorHAnsi" w:cstheme="minorHAnsi"/>
          <w:lang w:val="el-GR"/>
        </w:rPr>
      </w:pPr>
      <w:r w:rsidRPr="008C2B01">
        <w:rPr>
          <w:rStyle w:val="FootnoteReference"/>
          <w:rFonts w:asciiTheme="minorHAnsi" w:hAnsiTheme="minorHAnsi" w:cstheme="minorHAnsi"/>
        </w:rPr>
        <w:footnoteRef/>
      </w:r>
      <w:r w:rsidRPr="004902CE">
        <w:rPr>
          <w:rFonts w:asciiTheme="minorHAnsi" w:hAnsiTheme="minorHAnsi" w:cstheme="minorHAnsi"/>
          <w:lang w:val="el-GR"/>
        </w:rPr>
        <w:t xml:space="preserve"> </w:t>
      </w:r>
      <w:r>
        <w:rPr>
          <w:rFonts w:asciiTheme="minorHAnsi" w:hAnsiTheme="minorHAnsi" w:cstheme="minorHAnsi"/>
          <w:lang w:val="el-GR"/>
        </w:rPr>
        <w:t>Πρέπει</w:t>
      </w:r>
      <w:r w:rsidRPr="004902CE">
        <w:rPr>
          <w:rFonts w:asciiTheme="minorHAnsi" w:hAnsiTheme="minorHAnsi" w:cstheme="minorHAnsi"/>
          <w:lang w:val="el-GR"/>
        </w:rPr>
        <w:t xml:space="preserve"> </w:t>
      </w:r>
      <w:r>
        <w:rPr>
          <w:rFonts w:asciiTheme="minorHAnsi" w:hAnsiTheme="minorHAnsi" w:cstheme="minorHAnsi"/>
          <w:lang w:val="el-GR"/>
        </w:rPr>
        <w:t>να</w:t>
      </w:r>
      <w:r w:rsidRPr="004902CE">
        <w:rPr>
          <w:rFonts w:asciiTheme="minorHAnsi" w:hAnsiTheme="minorHAnsi" w:cstheme="minorHAnsi"/>
          <w:lang w:val="el-GR"/>
        </w:rPr>
        <w:t xml:space="preserve"> </w:t>
      </w:r>
      <w:r>
        <w:rPr>
          <w:rFonts w:asciiTheme="minorHAnsi" w:hAnsiTheme="minorHAnsi" w:cstheme="minorHAnsi"/>
          <w:lang w:val="el-GR"/>
        </w:rPr>
        <w:t>σημειωθεί</w:t>
      </w:r>
      <w:r w:rsidRPr="004902CE">
        <w:rPr>
          <w:rFonts w:asciiTheme="minorHAnsi" w:hAnsiTheme="minorHAnsi" w:cstheme="minorHAnsi"/>
          <w:lang w:val="el-GR"/>
        </w:rPr>
        <w:t xml:space="preserve"> </w:t>
      </w:r>
      <w:r>
        <w:rPr>
          <w:rFonts w:asciiTheme="minorHAnsi" w:hAnsiTheme="minorHAnsi" w:cstheme="minorHAnsi"/>
          <w:lang w:val="el-GR"/>
        </w:rPr>
        <w:t>ότι</w:t>
      </w:r>
      <w:r w:rsidRPr="004902CE">
        <w:rPr>
          <w:rFonts w:asciiTheme="minorHAnsi" w:hAnsiTheme="minorHAnsi" w:cstheme="minorHAnsi"/>
          <w:lang w:val="el-GR"/>
        </w:rPr>
        <w:t xml:space="preserve"> </w:t>
      </w:r>
      <w:r>
        <w:rPr>
          <w:rFonts w:asciiTheme="minorHAnsi" w:hAnsiTheme="minorHAnsi" w:cstheme="minorHAnsi"/>
          <w:lang w:val="el-GR"/>
        </w:rPr>
        <w:t>μια</w:t>
      </w:r>
      <w:r w:rsidRPr="004902CE">
        <w:rPr>
          <w:rFonts w:asciiTheme="minorHAnsi" w:hAnsiTheme="minorHAnsi" w:cstheme="minorHAnsi"/>
          <w:lang w:val="el-GR"/>
        </w:rPr>
        <w:t xml:space="preserve"> </w:t>
      </w:r>
      <w:r>
        <w:rPr>
          <w:rFonts w:asciiTheme="minorHAnsi" w:hAnsiTheme="minorHAnsi" w:cstheme="minorHAnsi"/>
          <w:lang w:val="el-GR"/>
        </w:rPr>
        <w:t>αναφερόμενη</w:t>
      </w:r>
      <w:r w:rsidRPr="004902CE">
        <w:rPr>
          <w:rFonts w:asciiTheme="minorHAnsi" w:hAnsiTheme="minorHAnsi" w:cstheme="minorHAnsi"/>
          <w:lang w:val="el-GR"/>
        </w:rPr>
        <w:t xml:space="preserve"> </w:t>
      </w:r>
      <w:r>
        <w:rPr>
          <w:rFonts w:asciiTheme="minorHAnsi" w:hAnsiTheme="minorHAnsi" w:cstheme="minorHAnsi"/>
          <w:lang w:val="el-GR"/>
        </w:rPr>
        <w:t>βελτίωση</w:t>
      </w:r>
      <w:r w:rsidRPr="004902CE">
        <w:rPr>
          <w:rFonts w:asciiTheme="minorHAnsi" w:hAnsiTheme="minorHAnsi" w:cstheme="minorHAnsi"/>
          <w:lang w:val="el-GR"/>
        </w:rPr>
        <w:t xml:space="preserve"> </w:t>
      </w:r>
      <w:r>
        <w:rPr>
          <w:rFonts w:asciiTheme="minorHAnsi" w:hAnsiTheme="minorHAnsi" w:cstheme="minorHAnsi"/>
          <w:lang w:val="el-GR"/>
        </w:rPr>
        <w:t>του</w:t>
      </w:r>
      <w:r w:rsidRPr="004902CE">
        <w:rPr>
          <w:rFonts w:asciiTheme="minorHAnsi" w:hAnsiTheme="minorHAnsi" w:cstheme="minorHAnsi"/>
          <w:lang w:val="el-GR"/>
        </w:rPr>
        <w:t xml:space="preserve"> </w:t>
      </w:r>
      <w:r>
        <w:rPr>
          <w:rFonts w:asciiTheme="minorHAnsi" w:hAnsiTheme="minorHAnsi" w:cstheme="minorHAnsi"/>
          <w:lang w:val="el-GR"/>
        </w:rPr>
        <w:t>συστήματος</w:t>
      </w:r>
      <w:r w:rsidRPr="004902CE">
        <w:rPr>
          <w:rFonts w:asciiTheme="minorHAnsi" w:hAnsiTheme="minorHAnsi" w:cstheme="minorHAnsi"/>
          <w:lang w:val="el-GR"/>
        </w:rPr>
        <w:t xml:space="preserve"> </w:t>
      </w:r>
      <w:r>
        <w:rPr>
          <w:rFonts w:asciiTheme="minorHAnsi" w:hAnsiTheme="minorHAnsi" w:cstheme="minorHAnsi"/>
          <w:lang w:val="el-GR"/>
        </w:rPr>
        <w:t>είναι</w:t>
      </w:r>
      <w:r w:rsidRPr="004902CE">
        <w:rPr>
          <w:rFonts w:asciiTheme="minorHAnsi" w:hAnsiTheme="minorHAnsi" w:cstheme="minorHAnsi"/>
          <w:lang w:val="el-GR"/>
        </w:rPr>
        <w:t xml:space="preserve"> </w:t>
      </w:r>
      <w:r>
        <w:rPr>
          <w:rFonts w:asciiTheme="minorHAnsi" w:hAnsiTheme="minorHAnsi" w:cstheme="minorHAnsi"/>
          <w:lang w:val="el-GR"/>
        </w:rPr>
        <w:t>ότι</w:t>
      </w:r>
      <w:r w:rsidRPr="004902CE">
        <w:rPr>
          <w:rFonts w:asciiTheme="minorHAnsi" w:hAnsiTheme="minorHAnsi" w:cstheme="minorHAnsi"/>
          <w:lang w:val="el-GR"/>
        </w:rPr>
        <w:t xml:space="preserve"> </w:t>
      </w:r>
      <w:r>
        <w:rPr>
          <w:rFonts w:asciiTheme="minorHAnsi" w:hAnsiTheme="minorHAnsi" w:cstheme="minorHAnsi"/>
          <w:lang w:val="el-GR"/>
        </w:rPr>
        <w:t>τώρα,</w:t>
      </w:r>
      <w:r w:rsidRPr="004902CE">
        <w:rPr>
          <w:rFonts w:asciiTheme="minorHAnsi" w:hAnsiTheme="minorHAnsi" w:cstheme="minorHAnsi"/>
          <w:lang w:val="el-GR"/>
        </w:rPr>
        <w:t xml:space="preserve"> </w:t>
      </w:r>
      <w:r>
        <w:rPr>
          <w:rFonts w:asciiTheme="minorHAnsi" w:hAnsiTheme="minorHAnsi" w:cstheme="minorHAnsi"/>
          <w:lang w:val="el-GR"/>
        </w:rPr>
        <w:t>πρακτικά,</w:t>
      </w:r>
      <w:r w:rsidRPr="004902CE">
        <w:rPr>
          <w:rFonts w:asciiTheme="minorHAnsi" w:hAnsiTheme="minorHAnsi" w:cstheme="minorHAnsi"/>
          <w:lang w:val="el-GR"/>
        </w:rPr>
        <w:t xml:space="preserve"> </w:t>
      </w:r>
      <w:r>
        <w:rPr>
          <w:rFonts w:asciiTheme="minorHAnsi" w:hAnsiTheme="minorHAnsi" w:cstheme="minorHAnsi"/>
          <w:lang w:val="el-GR"/>
        </w:rPr>
        <w:t>όλοι</w:t>
      </w:r>
      <w:r w:rsidRPr="004902CE">
        <w:rPr>
          <w:rFonts w:asciiTheme="minorHAnsi" w:hAnsiTheme="minorHAnsi" w:cstheme="minorHAnsi"/>
          <w:lang w:val="el-GR"/>
        </w:rPr>
        <w:t xml:space="preserve"> </w:t>
      </w:r>
      <w:r>
        <w:rPr>
          <w:rFonts w:asciiTheme="minorHAnsi" w:hAnsiTheme="minorHAnsi" w:cstheme="minorHAnsi"/>
          <w:lang w:val="el-GR"/>
        </w:rPr>
        <w:t>οι</w:t>
      </w:r>
      <w:r w:rsidRPr="004902CE">
        <w:rPr>
          <w:rFonts w:asciiTheme="minorHAnsi" w:hAnsiTheme="minorHAnsi" w:cstheme="minorHAnsi"/>
          <w:lang w:val="el-GR"/>
        </w:rPr>
        <w:t xml:space="preserve"> </w:t>
      </w:r>
      <w:r>
        <w:rPr>
          <w:rFonts w:asciiTheme="minorHAnsi" w:hAnsiTheme="minorHAnsi" w:cstheme="minorHAnsi"/>
          <w:lang w:val="el-GR"/>
        </w:rPr>
        <w:t>ανακριτές</w:t>
      </w:r>
      <w:r w:rsidRPr="004902CE">
        <w:rPr>
          <w:rFonts w:asciiTheme="minorHAnsi" w:hAnsiTheme="minorHAnsi" w:cstheme="minorHAnsi"/>
          <w:lang w:val="el-GR"/>
        </w:rPr>
        <w:t xml:space="preserve"> </w:t>
      </w:r>
      <w:r>
        <w:rPr>
          <w:rFonts w:asciiTheme="minorHAnsi" w:hAnsiTheme="minorHAnsi" w:cstheme="minorHAnsi"/>
          <w:lang w:val="el-GR"/>
        </w:rPr>
        <w:t>είναι δικηγόροι</w:t>
      </w:r>
      <w:r w:rsidRPr="004902CE">
        <w:rPr>
          <w:rFonts w:asciiTheme="minorHAnsi" w:hAnsiTheme="minorHAnsi" w:cstheme="minorHAnsi"/>
          <w:lang w:val="el-GR"/>
        </w:rPr>
        <w:t xml:space="preserve">, </w:t>
      </w:r>
      <w:r>
        <w:rPr>
          <w:rFonts w:asciiTheme="minorHAnsi" w:hAnsiTheme="minorHAnsi" w:cstheme="minorHAnsi"/>
          <w:lang w:val="el-GR"/>
        </w:rPr>
        <w:t>αντί αστυνομικοί</w:t>
      </w:r>
      <w:r w:rsidRPr="004902CE">
        <w:rPr>
          <w:rFonts w:asciiTheme="minorHAnsi" w:hAnsiTheme="minorHAnsi" w:cstheme="minorHAnsi"/>
          <w:lang w:val="el-GR"/>
        </w:rPr>
        <w:t xml:space="preserve">, </w:t>
      </w:r>
      <w:r>
        <w:rPr>
          <w:rFonts w:asciiTheme="minorHAnsi" w:hAnsiTheme="minorHAnsi" w:cstheme="minorHAnsi"/>
          <w:lang w:val="el-GR"/>
        </w:rPr>
        <w:t>που για ένα μεγάλο διάστημα ήταν μια εξαιρετική ανησυχία των</w:t>
      </w:r>
      <w:r w:rsidRPr="004902CE">
        <w:rPr>
          <w:rFonts w:asciiTheme="minorHAnsi" w:hAnsiTheme="minorHAnsi" w:cstheme="minorHAnsi"/>
          <w:lang w:val="el-GR"/>
        </w:rPr>
        <w:t xml:space="preserve"> (</w:t>
      </w:r>
      <w:r w:rsidRPr="008C2B01">
        <w:rPr>
          <w:rFonts w:asciiTheme="minorHAnsi" w:hAnsiTheme="minorHAnsi" w:cstheme="minorHAnsi"/>
        </w:rPr>
        <w:t>CPT</w:t>
      </w:r>
      <w:r w:rsidRPr="004902CE">
        <w:rPr>
          <w:rFonts w:asciiTheme="minorHAnsi" w:hAnsiTheme="minorHAnsi" w:cstheme="minorHAnsi"/>
          <w:lang w:val="el-GR"/>
        </w:rPr>
        <w:t xml:space="preserve">). </w:t>
      </w:r>
      <w:r>
        <w:rPr>
          <w:rFonts w:asciiTheme="minorHAnsi" w:hAnsiTheme="minorHAnsi" w:cstheme="minorHAnsi"/>
          <w:lang w:val="el-GR"/>
        </w:rPr>
        <w:t>Το</w:t>
      </w:r>
      <w:r w:rsidRPr="007B61F8">
        <w:rPr>
          <w:rFonts w:asciiTheme="minorHAnsi" w:hAnsiTheme="minorHAnsi" w:cstheme="minorHAnsi"/>
          <w:lang w:val="el-GR"/>
        </w:rPr>
        <w:t xml:space="preserve"> </w:t>
      </w:r>
      <w:r>
        <w:rPr>
          <w:rFonts w:asciiTheme="minorHAnsi" w:hAnsiTheme="minorHAnsi" w:cstheme="minorHAnsi"/>
          <w:lang w:val="el-GR"/>
        </w:rPr>
        <w:t>προηγούμενο</w:t>
      </w:r>
      <w:r w:rsidRPr="007B61F8">
        <w:rPr>
          <w:rFonts w:asciiTheme="minorHAnsi" w:hAnsiTheme="minorHAnsi" w:cstheme="minorHAnsi"/>
          <w:lang w:val="el-GR"/>
        </w:rPr>
        <w:t xml:space="preserve"> </w:t>
      </w:r>
      <w:r>
        <w:rPr>
          <w:rFonts w:asciiTheme="minorHAnsi" w:hAnsiTheme="minorHAnsi" w:cstheme="minorHAnsi"/>
          <w:lang w:val="el-GR"/>
        </w:rPr>
        <w:t>σύστημα</w:t>
      </w:r>
      <w:r w:rsidRPr="007B61F8">
        <w:rPr>
          <w:rFonts w:asciiTheme="minorHAnsi" w:hAnsiTheme="minorHAnsi" w:cstheme="minorHAnsi"/>
          <w:lang w:val="el-GR"/>
        </w:rPr>
        <w:t xml:space="preserve"> </w:t>
      </w:r>
      <w:r>
        <w:rPr>
          <w:rFonts w:asciiTheme="minorHAnsi" w:hAnsiTheme="minorHAnsi" w:cstheme="minorHAnsi"/>
          <w:lang w:val="el-GR"/>
        </w:rPr>
        <w:t>όπου</w:t>
      </w:r>
      <w:r w:rsidRPr="007B61F8">
        <w:rPr>
          <w:rFonts w:asciiTheme="minorHAnsi" w:hAnsiTheme="minorHAnsi" w:cstheme="minorHAnsi"/>
          <w:lang w:val="el-GR"/>
        </w:rPr>
        <w:t xml:space="preserve"> </w:t>
      </w:r>
      <w:r>
        <w:rPr>
          <w:rFonts w:asciiTheme="minorHAnsi" w:hAnsiTheme="minorHAnsi" w:cstheme="minorHAnsi"/>
          <w:lang w:val="el-GR"/>
        </w:rPr>
        <w:t>οι</w:t>
      </w:r>
      <w:r w:rsidRPr="007B61F8">
        <w:rPr>
          <w:rFonts w:asciiTheme="minorHAnsi" w:hAnsiTheme="minorHAnsi" w:cstheme="minorHAnsi"/>
          <w:lang w:val="el-GR"/>
        </w:rPr>
        <w:t xml:space="preserve"> </w:t>
      </w:r>
      <w:r>
        <w:rPr>
          <w:rFonts w:asciiTheme="minorHAnsi" w:hAnsiTheme="minorHAnsi" w:cstheme="minorHAnsi"/>
          <w:lang w:val="el-GR"/>
        </w:rPr>
        <w:t>ανακριτές</w:t>
      </w:r>
      <w:r w:rsidRPr="007B61F8">
        <w:rPr>
          <w:rFonts w:asciiTheme="minorHAnsi" w:hAnsiTheme="minorHAnsi" w:cstheme="minorHAnsi"/>
          <w:lang w:val="el-GR"/>
        </w:rPr>
        <w:t xml:space="preserve"> </w:t>
      </w:r>
      <w:r>
        <w:rPr>
          <w:rFonts w:asciiTheme="minorHAnsi" w:hAnsiTheme="minorHAnsi" w:cstheme="minorHAnsi"/>
          <w:lang w:val="el-GR"/>
        </w:rPr>
        <w:t>ήταν πρώην</w:t>
      </w:r>
      <w:r w:rsidRPr="007B61F8">
        <w:rPr>
          <w:rFonts w:asciiTheme="minorHAnsi" w:hAnsiTheme="minorHAnsi" w:cstheme="minorHAnsi"/>
          <w:lang w:val="el-GR"/>
        </w:rPr>
        <w:t xml:space="preserve"> </w:t>
      </w:r>
      <w:r>
        <w:rPr>
          <w:rFonts w:asciiTheme="minorHAnsi" w:hAnsiTheme="minorHAnsi" w:cstheme="minorHAnsi"/>
          <w:lang w:val="el-GR"/>
        </w:rPr>
        <w:t>αστυνομικοί</w:t>
      </w:r>
      <w:r w:rsidRPr="007B61F8">
        <w:rPr>
          <w:rFonts w:asciiTheme="minorHAnsi" w:hAnsiTheme="minorHAnsi" w:cstheme="minorHAnsi"/>
          <w:lang w:val="el-GR"/>
        </w:rPr>
        <w:t xml:space="preserve"> </w:t>
      </w:r>
      <w:r>
        <w:rPr>
          <w:rFonts w:asciiTheme="minorHAnsi" w:hAnsiTheme="minorHAnsi" w:cstheme="minorHAnsi"/>
          <w:lang w:val="el-GR"/>
        </w:rPr>
        <w:t>δέχθηκε</w:t>
      </w:r>
      <w:r w:rsidRPr="007B61F8">
        <w:rPr>
          <w:rFonts w:asciiTheme="minorHAnsi" w:hAnsiTheme="minorHAnsi" w:cstheme="minorHAnsi"/>
          <w:lang w:val="el-GR"/>
        </w:rPr>
        <w:t xml:space="preserve"> </w:t>
      </w:r>
      <w:r>
        <w:rPr>
          <w:rFonts w:asciiTheme="minorHAnsi" w:hAnsiTheme="minorHAnsi" w:cstheme="minorHAnsi"/>
          <w:lang w:val="el-GR"/>
        </w:rPr>
        <w:t>κριτική</w:t>
      </w:r>
      <w:r w:rsidRPr="007B61F8">
        <w:rPr>
          <w:rFonts w:asciiTheme="minorHAnsi" w:hAnsiTheme="minorHAnsi" w:cstheme="minorHAnsi"/>
          <w:lang w:val="el-GR"/>
        </w:rPr>
        <w:t xml:space="preserve"> </w:t>
      </w:r>
      <w:r>
        <w:rPr>
          <w:rFonts w:asciiTheme="minorHAnsi" w:hAnsiTheme="minorHAnsi" w:cstheme="minorHAnsi"/>
          <w:lang w:val="el-GR"/>
        </w:rPr>
        <w:t>επειδή</w:t>
      </w:r>
      <w:r w:rsidRPr="007B61F8">
        <w:rPr>
          <w:rFonts w:asciiTheme="minorHAnsi" w:hAnsiTheme="minorHAnsi" w:cstheme="minorHAnsi"/>
          <w:lang w:val="el-GR"/>
        </w:rPr>
        <w:t xml:space="preserve"> </w:t>
      </w:r>
      <w:r>
        <w:rPr>
          <w:rFonts w:asciiTheme="minorHAnsi" w:hAnsiTheme="minorHAnsi" w:cstheme="minorHAnsi"/>
          <w:lang w:val="el-GR"/>
        </w:rPr>
        <w:t>η</w:t>
      </w:r>
      <w:r w:rsidRPr="007B61F8">
        <w:rPr>
          <w:rFonts w:asciiTheme="minorHAnsi" w:hAnsiTheme="minorHAnsi" w:cstheme="minorHAnsi"/>
          <w:lang w:val="el-GR"/>
        </w:rPr>
        <w:t xml:space="preserve"> </w:t>
      </w:r>
      <w:r>
        <w:rPr>
          <w:rFonts w:asciiTheme="minorHAnsi" w:hAnsiTheme="minorHAnsi" w:cstheme="minorHAnsi"/>
          <w:lang w:val="el-GR"/>
        </w:rPr>
        <w:t>φυσιολογική</w:t>
      </w:r>
      <w:r w:rsidRPr="007B61F8">
        <w:rPr>
          <w:rFonts w:asciiTheme="minorHAnsi" w:hAnsiTheme="minorHAnsi" w:cstheme="minorHAnsi"/>
          <w:lang w:val="el-GR"/>
        </w:rPr>
        <w:t xml:space="preserve"> </w:t>
      </w:r>
      <w:r>
        <w:rPr>
          <w:rFonts w:asciiTheme="minorHAnsi" w:hAnsiTheme="minorHAnsi" w:cstheme="minorHAnsi"/>
          <w:lang w:val="el-GR"/>
        </w:rPr>
        <w:t>συναδελφική</w:t>
      </w:r>
      <w:r w:rsidRPr="007B61F8">
        <w:rPr>
          <w:rFonts w:asciiTheme="minorHAnsi" w:hAnsiTheme="minorHAnsi" w:cstheme="minorHAnsi"/>
          <w:lang w:val="el-GR"/>
        </w:rPr>
        <w:t xml:space="preserve"> </w:t>
      </w:r>
      <w:r>
        <w:rPr>
          <w:rFonts w:asciiTheme="minorHAnsi" w:hAnsiTheme="minorHAnsi" w:cstheme="minorHAnsi"/>
          <w:lang w:val="el-GR"/>
        </w:rPr>
        <w:t>αλληλεγγύη</w:t>
      </w:r>
      <w:r w:rsidRPr="007B61F8">
        <w:rPr>
          <w:rFonts w:asciiTheme="minorHAnsi" w:hAnsiTheme="minorHAnsi" w:cstheme="minorHAnsi"/>
          <w:lang w:val="el-GR"/>
        </w:rPr>
        <w:t xml:space="preserve"> </w:t>
      </w:r>
      <w:r>
        <w:rPr>
          <w:rFonts w:asciiTheme="minorHAnsi" w:hAnsiTheme="minorHAnsi" w:cstheme="minorHAnsi"/>
          <w:lang w:val="el-GR"/>
        </w:rPr>
        <w:t>μεταξύ</w:t>
      </w:r>
      <w:r w:rsidRPr="007B61F8">
        <w:rPr>
          <w:rFonts w:asciiTheme="minorHAnsi" w:hAnsiTheme="minorHAnsi" w:cstheme="minorHAnsi"/>
          <w:lang w:val="el-GR"/>
        </w:rPr>
        <w:t xml:space="preserve"> </w:t>
      </w:r>
      <w:r>
        <w:rPr>
          <w:rFonts w:asciiTheme="minorHAnsi" w:hAnsiTheme="minorHAnsi" w:cstheme="minorHAnsi"/>
          <w:lang w:val="el-GR"/>
        </w:rPr>
        <w:t>πρώην και εν υπηρεσία αστυνομικών</w:t>
      </w:r>
      <w:r w:rsidRPr="007B61F8">
        <w:rPr>
          <w:rFonts w:asciiTheme="minorHAnsi" w:hAnsiTheme="minorHAnsi" w:cstheme="minorHAnsi"/>
          <w:lang w:val="el-GR"/>
        </w:rPr>
        <w:t xml:space="preserve"> </w:t>
      </w:r>
      <w:r>
        <w:rPr>
          <w:rFonts w:asciiTheme="minorHAnsi" w:hAnsiTheme="minorHAnsi" w:cstheme="minorHAnsi"/>
          <w:lang w:val="el-GR"/>
        </w:rPr>
        <w:t>λέχθηκε ότι είχε μια επίδραση πάνω στην ποιότητα και την αμεροληψία</w:t>
      </w:r>
      <w:r w:rsidRPr="007B61F8">
        <w:rPr>
          <w:rFonts w:asciiTheme="minorHAnsi" w:hAnsiTheme="minorHAnsi" w:cstheme="minorHAnsi"/>
          <w:lang w:val="el-GR"/>
        </w:rPr>
        <w:t xml:space="preserve"> </w:t>
      </w:r>
      <w:r>
        <w:rPr>
          <w:rFonts w:asciiTheme="minorHAnsi" w:hAnsiTheme="minorHAnsi" w:cstheme="minorHAnsi"/>
          <w:lang w:val="el-GR"/>
        </w:rPr>
        <w:t>των ερευνών της ΑΑΔΙΠΑ</w:t>
      </w:r>
      <w:r w:rsidRPr="007B61F8">
        <w:rPr>
          <w:rFonts w:asciiTheme="minorHAnsi" w:hAnsiTheme="minorHAnsi" w:cstheme="minorHAnsi"/>
          <w:lang w:val="el-GR"/>
        </w:rPr>
        <w:t xml:space="preserve">. </w:t>
      </w:r>
      <w:r>
        <w:rPr>
          <w:rFonts w:asciiTheme="minorHAnsi" w:hAnsiTheme="minorHAnsi" w:cstheme="minorHAnsi"/>
          <w:lang w:val="el-GR"/>
        </w:rPr>
        <w:t>Κατά</w:t>
      </w:r>
      <w:r w:rsidRPr="007B61F8">
        <w:rPr>
          <w:rFonts w:asciiTheme="minorHAnsi" w:hAnsiTheme="minorHAnsi" w:cstheme="minorHAnsi"/>
          <w:lang w:val="el-GR"/>
        </w:rPr>
        <w:t xml:space="preserve"> </w:t>
      </w:r>
      <w:r>
        <w:rPr>
          <w:rFonts w:asciiTheme="minorHAnsi" w:hAnsiTheme="minorHAnsi" w:cstheme="minorHAnsi"/>
          <w:lang w:val="el-GR"/>
        </w:rPr>
        <w:t>την</w:t>
      </w:r>
      <w:r w:rsidRPr="007B61F8">
        <w:rPr>
          <w:rFonts w:asciiTheme="minorHAnsi" w:hAnsiTheme="minorHAnsi" w:cstheme="minorHAnsi"/>
          <w:lang w:val="el-GR"/>
        </w:rPr>
        <w:t xml:space="preserve"> </w:t>
      </w:r>
      <w:r>
        <w:rPr>
          <w:rFonts w:asciiTheme="minorHAnsi" w:hAnsiTheme="minorHAnsi" w:cstheme="minorHAnsi"/>
          <w:lang w:val="el-GR"/>
        </w:rPr>
        <w:t>διάρκεια</w:t>
      </w:r>
      <w:r w:rsidRPr="007B61F8">
        <w:rPr>
          <w:rFonts w:asciiTheme="minorHAnsi" w:hAnsiTheme="minorHAnsi" w:cstheme="minorHAnsi"/>
          <w:lang w:val="el-GR"/>
        </w:rPr>
        <w:t xml:space="preserve"> </w:t>
      </w:r>
      <w:r>
        <w:rPr>
          <w:rFonts w:asciiTheme="minorHAnsi" w:hAnsiTheme="minorHAnsi" w:cstheme="minorHAnsi"/>
          <w:lang w:val="el-GR"/>
        </w:rPr>
        <w:t>της</w:t>
      </w:r>
      <w:r w:rsidRPr="007B61F8">
        <w:rPr>
          <w:rFonts w:asciiTheme="minorHAnsi" w:hAnsiTheme="minorHAnsi" w:cstheme="minorHAnsi"/>
          <w:lang w:val="el-GR"/>
        </w:rPr>
        <w:t xml:space="preserve"> </w:t>
      </w:r>
      <w:r>
        <w:rPr>
          <w:rFonts w:asciiTheme="minorHAnsi" w:hAnsiTheme="minorHAnsi" w:cstheme="minorHAnsi"/>
          <w:lang w:val="el-GR"/>
        </w:rPr>
        <w:t>επί</w:t>
      </w:r>
      <w:r w:rsidRPr="007B61F8">
        <w:rPr>
          <w:rFonts w:asciiTheme="minorHAnsi" w:hAnsiTheme="minorHAnsi" w:cstheme="minorHAnsi"/>
          <w:lang w:val="el-GR"/>
        </w:rPr>
        <w:t xml:space="preserve"> </w:t>
      </w:r>
      <w:r>
        <w:rPr>
          <w:rFonts w:asciiTheme="minorHAnsi" w:hAnsiTheme="minorHAnsi" w:cstheme="minorHAnsi"/>
          <w:lang w:val="el-GR"/>
        </w:rPr>
        <w:t>τόπου</w:t>
      </w:r>
      <w:r w:rsidRPr="007B61F8">
        <w:rPr>
          <w:rFonts w:asciiTheme="minorHAnsi" w:hAnsiTheme="minorHAnsi" w:cstheme="minorHAnsi"/>
          <w:lang w:val="el-GR"/>
        </w:rPr>
        <w:t xml:space="preserve"> </w:t>
      </w:r>
      <w:r>
        <w:rPr>
          <w:rFonts w:asciiTheme="minorHAnsi" w:hAnsiTheme="minorHAnsi" w:cstheme="minorHAnsi"/>
          <w:lang w:val="el-GR"/>
        </w:rPr>
        <w:t>επίσκεψης</w:t>
      </w:r>
      <w:r w:rsidRPr="007B61F8">
        <w:rPr>
          <w:rFonts w:asciiTheme="minorHAnsi" w:hAnsiTheme="minorHAnsi" w:cstheme="minorHAnsi"/>
          <w:lang w:val="el-GR"/>
        </w:rPr>
        <w:t xml:space="preserve">, </w:t>
      </w:r>
      <w:r>
        <w:rPr>
          <w:rFonts w:asciiTheme="minorHAnsi" w:hAnsiTheme="minorHAnsi" w:cstheme="minorHAnsi"/>
          <w:lang w:val="el-GR"/>
        </w:rPr>
        <w:t>η</w:t>
      </w:r>
      <w:r w:rsidRPr="007B61F8">
        <w:rPr>
          <w:rFonts w:asciiTheme="minorHAnsi" w:hAnsiTheme="minorHAnsi" w:cstheme="minorHAnsi"/>
          <w:lang w:val="el-GR"/>
        </w:rPr>
        <w:t xml:space="preserve"> </w:t>
      </w:r>
      <w:r>
        <w:rPr>
          <w:rFonts w:asciiTheme="minorHAnsi" w:hAnsiTheme="minorHAnsi" w:cstheme="minorHAnsi"/>
          <w:lang w:val="el-GR"/>
        </w:rPr>
        <w:t>ΑΑΔΙΠΑ</w:t>
      </w:r>
      <w:r w:rsidRPr="007B61F8">
        <w:rPr>
          <w:rFonts w:asciiTheme="minorHAnsi" w:hAnsiTheme="minorHAnsi" w:cstheme="minorHAnsi"/>
          <w:lang w:val="el-GR"/>
        </w:rPr>
        <w:t xml:space="preserve"> </w:t>
      </w:r>
      <w:r>
        <w:rPr>
          <w:rFonts w:asciiTheme="minorHAnsi" w:hAnsiTheme="minorHAnsi" w:cstheme="minorHAnsi"/>
          <w:lang w:val="el-GR"/>
        </w:rPr>
        <w:t>υπόδειξε</w:t>
      </w:r>
      <w:r w:rsidRPr="007B61F8">
        <w:rPr>
          <w:rFonts w:asciiTheme="minorHAnsi" w:hAnsiTheme="minorHAnsi" w:cstheme="minorHAnsi"/>
          <w:lang w:val="el-GR"/>
        </w:rPr>
        <w:t xml:space="preserve"> </w:t>
      </w:r>
      <w:r>
        <w:rPr>
          <w:rFonts w:asciiTheme="minorHAnsi" w:hAnsiTheme="minorHAnsi" w:cstheme="minorHAnsi"/>
          <w:lang w:val="el-GR"/>
        </w:rPr>
        <w:t>ότι</w:t>
      </w:r>
      <w:r w:rsidRPr="007B61F8">
        <w:rPr>
          <w:rFonts w:asciiTheme="minorHAnsi" w:hAnsiTheme="minorHAnsi" w:cstheme="minorHAnsi"/>
          <w:lang w:val="el-GR"/>
        </w:rPr>
        <w:t xml:space="preserve"> </w:t>
      </w:r>
      <w:r>
        <w:rPr>
          <w:rFonts w:asciiTheme="minorHAnsi" w:hAnsiTheme="minorHAnsi" w:cstheme="minorHAnsi"/>
          <w:lang w:val="el-GR"/>
        </w:rPr>
        <w:t>διατηρούνται</w:t>
      </w:r>
      <w:r w:rsidRPr="007B61F8">
        <w:rPr>
          <w:rFonts w:asciiTheme="minorHAnsi" w:hAnsiTheme="minorHAnsi" w:cstheme="minorHAnsi"/>
          <w:lang w:val="el-GR"/>
        </w:rPr>
        <w:t xml:space="preserve"> </w:t>
      </w:r>
      <w:r>
        <w:rPr>
          <w:rFonts w:asciiTheme="minorHAnsi" w:hAnsiTheme="minorHAnsi" w:cstheme="minorHAnsi"/>
          <w:lang w:val="el-GR"/>
        </w:rPr>
        <w:t>τέσσερεις</w:t>
      </w:r>
      <w:r w:rsidRPr="007B61F8">
        <w:rPr>
          <w:rFonts w:asciiTheme="minorHAnsi" w:hAnsiTheme="minorHAnsi" w:cstheme="minorHAnsi"/>
          <w:lang w:val="el-GR"/>
        </w:rPr>
        <w:t xml:space="preserve"> </w:t>
      </w:r>
      <w:r>
        <w:rPr>
          <w:rFonts w:asciiTheme="minorHAnsi" w:hAnsiTheme="minorHAnsi" w:cstheme="minorHAnsi"/>
          <w:lang w:val="el-GR"/>
        </w:rPr>
        <w:t>πρώην</w:t>
      </w:r>
      <w:r w:rsidRPr="007B61F8">
        <w:rPr>
          <w:rFonts w:asciiTheme="minorHAnsi" w:hAnsiTheme="minorHAnsi" w:cstheme="minorHAnsi"/>
          <w:lang w:val="el-GR"/>
        </w:rPr>
        <w:t xml:space="preserve"> </w:t>
      </w:r>
      <w:r>
        <w:rPr>
          <w:rFonts w:asciiTheme="minorHAnsi" w:hAnsiTheme="minorHAnsi" w:cstheme="minorHAnsi"/>
          <w:lang w:val="el-GR"/>
        </w:rPr>
        <w:t>αστυνομικοί</w:t>
      </w:r>
      <w:r w:rsidRPr="007B61F8">
        <w:rPr>
          <w:rFonts w:asciiTheme="minorHAnsi" w:hAnsiTheme="minorHAnsi" w:cstheme="minorHAnsi"/>
          <w:lang w:val="el-GR"/>
        </w:rPr>
        <w:t xml:space="preserve"> </w:t>
      </w:r>
      <w:r>
        <w:rPr>
          <w:rFonts w:asciiTheme="minorHAnsi" w:hAnsiTheme="minorHAnsi" w:cstheme="minorHAnsi"/>
          <w:lang w:val="el-GR"/>
        </w:rPr>
        <w:t>ως ανακριτές</w:t>
      </w:r>
      <w:r w:rsidRPr="007B61F8">
        <w:rPr>
          <w:rFonts w:asciiTheme="minorHAnsi" w:hAnsiTheme="minorHAnsi" w:cstheme="minorHAnsi"/>
          <w:lang w:val="el-GR"/>
        </w:rPr>
        <w:t xml:space="preserve"> </w:t>
      </w:r>
      <w:r>
        <w:rPr>
          <w:rFonts w:asciiTheme="minorHAnsi" w:hAnsiTheme="minorHAnsi" w:cstheme="minorHAnsi"/>
          <w:lang w:val="el-GR"/>
        </w:rPr>
        <w:t>για να παρέχουν συμβουλή και βοήθεια στους δικηγόρους</w:t>
      </w:r>
      <w:r w:rsidRPr="007B61F8">
        <w:rPr>
          <w:rFonts w:asciiTheme="minorHAnsi" w:hAnsiTheme="minorHAnsi" w:cstheme="minorHAnsi"/>
          <w:lang w:val="el-GR"/>
        </w:rPr>
        <w:t xml:space="preserve"> </w:t>
      </w:r>
      <w:r>
        <w:rPr>
          <w:rFonts w:asciiTheme="minorHAnsi" w:hAnsiTheme="minorHAnsi" w:cstheme="minorHAnsi"/>
          <w:lang w:val="el-GR"/>
        </w:rPr>
        <w:t>να πλοηγήσουν ανάμεσα στα πρακτικά και καθημερινά θέματα εντός της Αστυνομίας</w:t>
      </w:r>
      <w:r w:rsidRPr="007B61F8">
        <w:rPr>
          <w:rFonts w:asciiTheme="minorHAnsi" w:hAnsiTheme="minorHAnsi" w:cstheme="minorHAnsi"/>
          <w:lang w:val="el-GR"/>
        </w:rPr>
        <w:t xml:space="preserve">. </w:t>
      </w:r>
      <w:r>
        <w:rPr>
          <w:rFonts w:asciiTheme="minorHAnsi" w:hAnsiTheme="minorHAnsi" w:cstheme="minorHAnsi"/>
          <w:lang w:val="el-GR"/>
        </w:rPr>
        <w:t>Ήταν</w:t>
      </w:r>
      <w:r w:rsidRPr="007B61F8">
        <w:rPr>
          <w:rFonts w:asciiTheme="minorHAnsi" w:hAnsiTheme="minorHAnsi" w:cstheme="minorHAnsi"/>
          <w:lang w:val="el-GR"/>
        </w:rPr>
        <w:t xml:space="preserve"> </w:t>
      </w:r>
      <w:r>
        <w:rPr>
          <w:rFonts w:asciiTheme="minorHAnsi" w:hAnsiTheme="minorHAnsi" w:cstheme="minorHAnsi"/>
          <w:lang w:val="el-GR"/>
        </w:rPr>
        <w:t>επίσης</w:t>
      </w:r>
      <w:r w:rsidRPr="007B61F8">
        <w:rPr>
          <w:rFonts w:asciiTheme="minorHAnsi" w:hAnsiTheme="minorHAnsi" w:cstheme="minorHAnsi"/>
          <w:lang w:val="el-GR"/>
        </w:rPr>
        <w:t xml:space="preserve"> </w:t>
      </w:r>
      <w:r>
        <w:rPr>
          <w:rFonts w:asciiTheme="minorHAnsi" w:hAnsiTheme="minorHAnsi" w:cstheme="minorHAnsi"/>
          <w:lang w:val="el-GR"/>
        </w:rPr>
        <w:t>σε</w:t>
      </w:r>
      <w:r w:rsidRPr="007B61F8">
        <w:rPr>
          <w:rFonts w:asciiTheme="minorHAnsi" w:hAnsiTheme="minorHAnsi" w:cstheme="minorHAnsi"/>
          <w:lang w:val="el-GR"/>
        </w:rPr>
        <w:t xml:space="preserve"> </w:t>
      </w:r>
      <w:r>
        <w:rPr>
          <w:rFonts w:asciiTheme="minorHAnsi" w:hAnsiTheme="minorHAnsi" w:cstheme="minorHAnsi"/>
          <w:lang w:val="el-GR"/>
        </w:rPr>
        <w:t>εξέλιξη</w:t>
      </w:r>
      <w:r w:rsidRPr="007B61F8">
        <w:rPr>
          <w:rFonts w:asciiTheme="minorHAnsi" w:hAnsiTheme="minorHAnsi" w:cstheme="minorHAnsi"/>
          <w:lang w:val="el-GR"/>
        </w:rPr>
        <w:t xml:space="preserve"> </w:t>
      </w:r>
      <w:r>
        <w:rPr>
          <w:rFonts w:asciiTheme="minorHAnsi" w:hAnsiTheme="minorHAnsi" w:cstheme="minorHAnsi"/>
          <w:lang w:val="el-GR"/>
        </w:rPr>
        <w:t>μια</w:t>
      </w:r>
      <w:r w:rsidRPr="007B61F8">
        <w:rPr>
          <w:rFonts w:asciiTheme="minorHAnsi" w:hAnsiTheme="minorHAnsi" w:cstheme="minorHAnsi"/>
          <w:lang w:val="el-GR"/>
        </w:rPr>
        <w:t xml:space="preserve"> </w:t>
      </w:r>
      <w:r>
        <w:rPr>
          <w:rFonts w:asciiTheme="minorHAnsi" w:hAnsiTheme="minorHAnsi" w:cstheme="minorHAnsi"/>
          <w:lang w:val="el-GR"/>
        </w:rPr>
        <w:t>συζήτηση</w:t>
      </w:r>
      <w:r w:rsidRPr="007B61F8">
        <w:rPr>
          <w:rFonts w:asciiTheme="minorHAnsi" w:hAnsiTheme="minorHAnsi" w:cstheme="minorHAnsi"/>
          <w:lang w:val="el-GR"/>
        </w:rPr>
        <w:t xml:space="preserve"> </w:t>
      </w:r>
      <w:r>
        <w:rPr>
          <w:rFonts w:asciiTheme="minorHAnsi" w:hAnsiTheme="minorHAnsi" w:cstheme="minorHAnsi"/>
          <w:lang w:val="el-GR"/>
        </w:rPr>
        <w:t>ως</w:t>
      </w:r>
      <w:r w:rsidRPr="007B61F8">
        <w:rPr>
          <w:rFonts w:asciiTheme="minorHAnsi" w:hAnsiTheme="minorHAnsi" w:cstheme="minorHAnsi"/>
          <w:lang w:val="el-GR"/>
        </w:rPr>
        <w:t xml:space="preserve"> </w:t>
      </w:r>
      <w:r>
        <w:rPr>
          <w:rFonts w:asciiTheme="minorHAnsi" w:hAnsiTheme="minorHAnsi" w:cstheme="minorHAnsi"/>
          <w:lang w:val="el-GR"/>
        </w:rPr>
        <w:t>προς</w:t>
      </w:r>
      <w:r w:rsidRPr="007B61F8">
        <w:rPr>
          <w:rFonts w:asciiTheme="minorHAnsi" w:hAnsiTheme="minorHAnsi" w:cstheme="minorHAnsi"/>
          <w:lang w:val="el-GR"/>
        </w:rPr>
        <w:t xml:space="preserve"> </w:t>
      </w:r>
      <w:r>
        <w:rPr>
          <w:rFonts w:asciiTheme="minorHAnsi" w:hAnsiTheme="minorHAnsi" w:cstheme="minorHAnsi"/>
          <w:lang w:val="el-GR"/>
        </w:rPr>
        <w:t>την</w:t>
      </w:r>
      <w:r w:rsidRPr="007B61F8">
        <w:rPr>
          <w:rFonts w:asciiTheme="minorHAnsi" w:hAnsiTheme="minorHAnsi" w:cstheme="minorHAnsi"/>
          <w:lang w:val="el-GR"/>
        </w:rPr>
        <w:t xml:space="preserve"> </w:t>
      </w:r>
      <w:r>
        <w:rPr>
          <w:rFonts w:asciiTheme="minorHAnsi" w:hAnsiTheme="minorHAnsi" w:cstheme="minorHAnsi"/>
          <w:lang w:val="el-GR"/>
        </w:rPr>
        <w:t>ανάγκη</w:t>
      </w:r>
      <w:r w:rsidRPr="007B61F8">
        <w:rPr>
          <w:rFonts w:asciiTheme="minorHAnsi" w:hAnsiTheme="minorHAnsi" w:cstheme="minorHAnsi"/>
          <w:lang w:val="el-GR"/>
        </w:rPr>
        <w:t xml:space="preserve"> </w:t>
      </w:r>
      <w:r>
        <w:rPr>
          <w:rFonts w:asciiTheme="minorHAnsi" w:hAnsiTheme="minorHAnsi" w:cstheme="minorHAnsi"/>
          <w:lang w:val="el-GR"/>
        </w:rPr>
        <w:t>να</w:t>
      </w:r>
      <w:r w:rsidRPr="007B61F8">
        <w:rPr>
          <w:rFonts w:asciiTheme="minorHAnsi" w:hAnsiTheme="minorHAnsi" w:cstheme="minorHAnsi"/>
          <w:lang w:val="el-GR"/>
        </w:rPr>
        <w:t xml:space="preserve"> </w:t>
      </w:r>
      <w:r>
        <w:rPr>
          <w:rFonts w:asciiTheme="minorHAnsi" w:hAnsiTheme="minorHAnsi" w:cstheme="minorHAnsi"/>
          <w:lang w:val="el-GR"/>
        </w:rPr>
        <w:t>βασίζονται</w:t>
      </w:r>
      <w:r w:rsidRPr="007B61F8">
        <w:rPr>
          <w:rFonts w:asciiTheme="minorHAnsi" w:hAnsiTheme="minorHAnsi" w:cstheme="minorHAnsi"/>
          <w:lang w:val="el-GR"/>
        </w:rPr>
        <w:t xml:space="preserve"> </w:t>
      </w:r>
      <w:r>
        <w:rPr>
          <w:rFonts w:asciiTheme="minorHAnsi" w:hAnsiTheme="minorHAnsi" w:cstheme="minorHAnsi"/>
          <w:lang w:val="el-GR"/>
        </w:rPr>
        <w:t>πάνω</w:t>
      </w:r>
      <w:r w:rsidRPr="007B61F8">
        <w:rPr>
          <w:rFonts w:asciiTheme="minorHAnsi" w:hAnsiTheme="minorHAnsi" w:cstheme="minorHAnsi"/>
          <w:lang w:val="el-GR"/>
        </w:rPr>
        <w:t xml:space="preserve"> </w:t>
      </w:r>
      <w:r>
        <w:rPr>
          <w:rFonts w:asciiTheme="minorHAnsi" w:hAnsiTheme="minorHAnsi" w:cstheme="minorHAnsi"/>
          <w:lang w:val="el-GR"/>
        </w:rPr>
        <w:t>σε</w:t>
      </w:r>
      <w:r w:rsidRPr="007B61F8">
        <w:rPr>
          <w:rFonts w:asciiTheme="minorHAnsi" w:hAnsiTheme="minorHAnsi" w:cstheme="minorHAnsi"/>
          <w:lang w:val="el-GR"/>
        </w:rPr>
        <w:t xml:space="preserve"> </w:t>
      </w:r>
      <w:r>
        <w:rPr>
          <w:rFonts w:asciiTheme="minorHAnsi" w:hAnsiTheme="minorHAnsi" w:cstheme="minorHAnsi"/>
          <w:lang w:val="el-GR"/>
        </w:rPr>
        <w:t>μόνιμους</w:t>
      </w:r>
      <w:r w:rsidRPr="007B61F8">
        <w:rPr>
          <w:rFonts w:asciiTheme="minorHAnsi" w:hAnsiTheme="minorHAnsi" w:cstheme="minorHAnsi"/>
          <w:lang w:val="el-GR"/>
        </w:rPr>
        <w:t xml:space="preserve"> </w:t>
      </w:r>
      <w:r>
        <w:rPr>
          <w:rFonts w:asciiTheme="minorHAnsi" w:hAnsiTheme="minorHAnsi" w:cstheme="minorHAnsi"/>
          <w:lang w:val="el-GR"/>
        </w:rPr>
        <w:t>ανακριτές</w:t>
      </w:r>
      <w:r w:rsidRPr="007B61F8">
        <w:rPr>
          <w:rFonts w:asciiTheme="minorHAnsi" w:hAnsiTheme="minorHAnsi" w:cstheme="minorHAnsi"/>
          <w:lang w:val="el-GR"/>
        </w:rPr>
        <w:t xml:space="preserve"> </w:t>
      </w:r>
      <w:r>
        <w:rPr>
          <w:rFonts w:asciiTheme="minorHAnsi" w:hAnsiTheme="minorHAnsi" w:cstheme="minorHAnsi"/>
          <w:lang w:val="el-GR"/>
        </w:rPr>
        <w:t xml:space="preserve">παρά σε μια ομάδα ανακριτών που προσκαλούνται σε βάση </w:t>
      </w:r>
      <w:r w:rsidRPr="008C2B01">
        <w:rPr>
          <w:rFonts w:asciiTheme="minorHAnsi" w:hAnsiTheme="minorHAnsi" w:cstheme="minorHAnsi"/>
          <w:i/>
          <w:iCs/>
        </w:rPr>
        <w:t>ad</w:t>
      </w:r>
      <w:r w:rsidRPr="007B61F8">
        <w:rPr>
          <w:rFonts w:asciiTheme="minorHAnsi" w:hAnsiTheme="minorHAnsi" w:cstheme="minorHAnsi"/>
          <w:i/>
          <w:iCs/>
          <w:lang w:val="el-GR"/>
        </w:rPr>
        <w:t>-</w:t>
      </w:r>
      <w:r w:rsidRPr="008C2B01">
        <w:rPr>
          <w:rFonts w:asciiTheme="minorHAnsi" w:hAnsiTheme="minorHAnsi" w:cstheme="minorHAnsi"/>
          <w:i/>
          <w:iCs/>
        </w:rPr>
        <w:t>hoc</w:t>
      </w:r>
      <w:r w:rsidRPr="007B61F8">
        <w:rPr>
          <w:rFonts w:asciiTheme="minorHAnsi" w:hAnsiTheme="minorHAnsi" w:cstheme="minorHAnsi"/>
          <w:lang w:val="el-GR"/>
        </w:rPr>
        <w:t xml:space="preserve">. </w:t>
      </w:r>
    </w:p>
  </w:footnote>
  <w:footnote w:id="65">
    <w:p w14:paraId="2A8CA01C" w14:textId="716535CE" w:rsidR="00071F64" w:rsidRPr="00FB34FC" w:rsidRDefault="00071F64" w:rsidP="00220066">
      <w:pPr>
        <w:pStyle w:val="FootnoteText"/>
        <w:rPr>
          <w:rFonts w:asciiTheme="minorHAnsi" w:hAnsiTheme="minorHAnsi" w:cstheme="minorHAnsi"/>
          <w:lang w:val="el-GR"/>
        </w:rPr>
      </w:pPr>
      <w:r w:rsidRPr="003F3CF9">
        <w:rPr>
          <w:rStyle w:val="FootnoteReference"/>
          <w:rFonts w:asciiTheme="minorHAnsi" w:hAnsiTheme="minorHAnsi" w:cstheme="minorHAnsi"/>
        </w:rPr>
        <w:footnoteRef/>
      </w:r>
      <w:r w:rsidRPr="00FB34FC">
        <w:rPr>
          <w:rFonts w:asciiTheme="minorHAnsi" w:hAnsiTheme="minorHAnsi" w:cstheme="minorHAnsi"/>
          <w:lang w:val="el-GR"/>
        </w:rPr>
        <w:t xml:space="preserve"> </w:t>
      </w:r>
      <w:r>
        <w:rPr>
          <w:rFonts w:asciiTheme="minorHAnsi" w:hAnsiTheme="minorHAnsi" w:cstheme="minorHAnsi"/>
          <w:lang w:val="el-GR"/>
        </w:rPr>
        <w:t xml:space="preserve">Τα </w:t>
      </w:r>
      <w:r w:rsidRPr="00FB34FC">
        <w:rPr>
          <w:rFonts w:asciiTheme="minorHAnsi" w:hAnsiTheme="minorHAnsi" w:cstheme="minorHAnsi"/>
          <w:lang w:val="el-GR"/>
        </w:rPr>
        <w:t>“</w:t>
      </w:r>
      <w:r>
        <w:rPr>
          <w:rFonts w:asciiTheme="minorHAnsi" w:hAnsiTheme="minorHAnsi" w:cstheme="minorHAnsi"/>
          <w:lang w:val="el-GR"/>
        </w:rPr>
        <w:t>Εβδομαδιαία</w:t>
      </w:r>
      <w:r w:rsidRPr="00FB34FC">
        <w:rPr>
          <w:rFonts w:asciiTheme="minorHAnsi" w:hAnsiTheme="minorHAnsi" w:cstheme="minorHAnsi"/>
          <w:lang w:val="el-GR"/>
        </w:rPr>
        <w:t xml:space="preserve"> </w:t>
      </w:r>
      <w:r>
        <w:rPr>
          <w:rFonts w:asciiTheme="minorHAnsi" w:hAnsiTheme="minorHAnsi" w:cstheme="minorHAnsi"/>
          <w:lang w:val="el-GR"/>
        </w:rPr>
        <w:t>Διατάγματα</w:t>
      </w:r>
      <w:r w:rsidRPr="00FB34FC">
        <w:rPr>
          <w:rFonts w:asciiTheme="minorHAnsi" w:hAnsiTheme="minorHAnsi" w:cstheme="minorHAnsi"/>
          <w:lang w:val="el-GR"/>
        </w:rPr>
        <w:t xml:space="preserve">” </w:t>
      </w:r>
      <w:r>
        <w:rPr>
          <w:rFonts w:asciiTheme="minorHAnsi" w:hAnsiTheme="minorHAnsi" w:cstheme="minorHAnsi"/>
          <w:lang w:val="el-GR"/>
        </w:rPr>
        <w:t>είναι</w:t>
      </w:r>
      <w:r w:rsidRPr="00FB34FC">
        <w:rPr>
          <w:rFonts w:asciiTheme="minorHAnsi" w:hAnsiTheme="minorHAnsi" w:cstheme="minorHAnsi"/>
          <w:lang w:val="el-GR"/>
        </w:rPr>
        <w:t xml:space="preserve"> </w:t>
      </w:r>
      <w:r>
        <w:rPr>
          <w:rFonts w:asciiTheme="minorHAnsi" w:hAnsiTheme="minorHAnsi" w:cstheme="minorHAnsi"/>
          <w:lang w:val="el-GR"/>
        </w:rPr>
        <w:t>ένα</w:t>
      </w:r>
      <w:r w:rsidRPr="00FB34FC">
        <w:rPr>
          <w:rFonts w:asciiTheme="minorHAnsi" w:hAnsiTheme="minorHAnsi" w:cstheme="minorHAnsi"/>
          <w:lang w:val="el-GR"/>
        </w:rPr>
        <w:t xml:space="preserve"> </w:t>
      </w:r>
      <w:r>
        <w:rPr>
          <w:rFonts w:asciiTheme="minorHAnsi" w:hAnsiTheme="minorHAnsi" w:cstheme="minorHAnsi"/>
          <w:lang w:val="el-GR"/>
        </w:rPr>
        <w:t>εσωτερικό</w:t>
      </w:r>
      <w:r w:rsidRPr="00FB34FC">
        <w:rPr>
          <w:rFonts w:asciiTheme="minorHAnsi" w:hAnsiTheme="minorHAnsi" w:cstheme="minorHAnsi"/>
          <w:lang w:val="el-GR"/>
        </w:rPr>
        <w:t xml:space="preserve"> </w:t>
      </w:r>
      <w:r>
        <w:rPr>
          <w:rFonts w:asciiTheme="minorHAnsi" w:hAnsiTheme="minorHAnsi" w:cstheme="minorHAnsi"/>
          <w:lang w:val="el-GR"/>
        </w:rPr>
        <w:t>έγγραφο</w:t>
      </w:r>
      <w:r w:rsidRPr="00FB34FC">
        <w:rPr>
          <w:rFonts w:asciiTheme="minorHAnsi" w:hAnsiTheme="minorHAnsi" w:cstheme="minorHAnsi"/>
          <w:lang w:val="el-GR"/>
        </w:rPr>
        <w:t xml:space="preserve">, </w:t>
      </w:r>
      <w:r>
        <w:rPr>
          <w:rFonts w:asciiTheme="minorHAnsi" w:hAnsiTheme="minorHAnsi" w:cstheme="minorHAnsi"/>
          <w:lang w:val="el-GR"/>
        </w:rPr>
        <w:t>που</w:t>
      </w:r>
      <w:r w:rsidRPr="00FB34FC">
        <w:rPr>
          <w:rFonts w:asciiTheme="minorHAnsi" w:hAnsiTheme="minorHAnsi" w:cstheme="minorHAnsi"/>
          <w:lang w:val="el-GR"/>
        </w:rPr>
        <w:t xml:space="preserve"> </w:t>
      </w:r>
      <w:r>
        <w:rPr>
          <w:rFonts w:asciiTheme="minorHAnsi" w:hAnsiTheme="minorHAnsi" w:cstheme="minorHAnsi"/>
          <w:lang w:val="el-GR"/>
        </w:rPr>
        <w:t>εκδίδεται</w:t>
      </w:r>
      <w:r w:rsidRPr="00FB34FC">
        <w:rPr>
          <w:rFonts w:asciiTheme="minorHAnsi" w:hAnsiTheme="minorHAnsi" w:cstheme="minorHAnsi"/>
          <w:lang w:val="el-GR"/>
        </w:rPr>
        <w:t xml:space="preserve"> </w:t>
      </w:r>
      <w:r>
        <w:rPr>
          <w:rFonts w:asciiTheme="minorHAnsi" w:hAnsiTheme="minorHAnsi" w:cstheme="minorHAnsi"/>
          <w:lang w:val="el-GR"/>
        </w:rPr>
        <w:t>από</w:t>
      </w:r>
      <w:r w:rsidRPr="00FB34FC">
        <w:rPr>
          <w:rFonts w:asciiTheme="minorHAnsi" w:hAnsiTheme="minorHAnsi" w:cstheme="minorHAnsi"/>
          <w:lang w:val="el-GR"/>
        </w:rPr>
        <w:t xml:space="preserve"> </w:t>
      </w:r>
      <w:r>
        <w:rPr>
          <w:rFonts w:asciiTheme="minorHAnsi" w:hAnsiTheme="minorHAnsi" w:cstheme="minorHAnsi"/>
          <w:lang w:val="el-GR"/>
        </w:rPr>
        <w:t>τον</w:t>
      </w:r>
      <w:r w:rsidRPr="00FB34FC">
        <w:rPr>
          <w:rFonts w:asciiTheme="minorHAnsi" w:hAnsiTheme="minorHAnsi" w:cstheme="minorHAnsi"/>
          <w:lang w:val="el-GR"/>
        </w:rPr>
        <w:t xml:space="preserve"> </w:t>
      </w:r>
      <w:r>
        <w:rPr>
          <w:rFonts w:asciiTheme="minorHAnsi" w:hAnsiTheme="minorHAnsi" w:cstheme="minorHAnsi"/>
          <w:lang w:val="el-GR"/>
        </w:rPr>
        <w:t>Αρχηγό της Αστυνομίας για κυκλοφορία μόνο εντός της Αστυνομίας</w:t>
      </w:r>
      <w:r w:rsidRPr="00FB34FC">
        <w:rPr>
          <w:rFonts w:asciiTheme="minorHAnsi" w:hAnsiTheme="minorHAnsi" w:cstheme="minorHAnsi"/>
          <w:lang w:val="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2DB7"/>
    <w:multiLevelType w:val="hybridMultilevel"/>
    <w:tmpl w:val="CB0AF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E445A8"/>
    <w:multiLevelType w:val="hybridMultilevel"/>
    <w:tmpl w:val="E30E0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842D73"/>
    <w:multiLevelType w:val="hybridMultilevel"/>
    <w:tmpl w:val="1F124E66"/>
    <w:lvl w:ilvl="0" w:tplc="10DC1FE6">
      <w:start w:val="1"/>
      <w:numFmt w:val="bullet"/>
      <w:lvlText w:val=""/>
      <w:lvlJc w:val="left"/>
      <w:pPr>
        <w:ind w:left="720" w:hanging="360"/>
      </w:pPr>
      <w:rPr>
        <w:rFonts w:ascii="Symbol" w:hAnsi="Symbol" w:hint="default"/>
        <w:lang w:val="el-G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792A02"/>
    <w:multiLevelType w:val="hybridMultilevel"/>
    <w:tmpl w:val="D9C0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95C92"/>
    <w:multiLevelType w:val="hybridMultilevel"/>
    <w:tmpl w:val="39E43C56"/>
    <w:styleLink w:val="1"/>
    <w:lvl w:ilvl="0" w:tplc="066EE9B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00E4B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B2F38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28503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89C6C">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26EF68">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EAACA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26212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D44F4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2A06ED8"/>
    <w:multiLevelType w:val="hybridMultilevel"/>
    <w:tmpl w:val="2CD2EE24"/>
    <w:lvl w:ilvl="0" w:tplc="120844FE">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6" w15:restartNumberingAfterBreak="0">
    <w:nsid w:val="418F39C5"/>
    <w:multiLevelType w:val="hybridMultilevel"/>
    <w:tmpl w:val="0C52F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B44317"/>
    <w:multiLevelType w:val="hybridMultilevel"/>
    <w:tmpl w:val="0E74F6C4"/>
    <w:lvl w:ilvl="0" w:tplc="3BBC086A">
      <w:start w:val="1"/>
      <w:numFmt w:val="lowerRoman"/>
      <w:lvlText w:val="%1."/>
      <w:lvlJc w:val="left"/>
      <w:pPr>
        <w:ind w:left="720" w:hanging="360"/>
      </w:pPr>
      <w:rPr>
        <w:rFonts w:hint="default"/>
        <w:b/>
        <w:i w:val="0"/>
      </w:rPr>
    </w:lvl>
    <w:lvl w:ilvl="1" w:tplc="6EBA4B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06B67"/>
    <w:multiLevelType w:val="hybridMultilevel"/>
    <w:tmpl w:val="0F58F1FC"/>
    <w:lvl w:ilvl="0" w:tplc="6AC2129A">
      <w:start w:val="1"/>
      <w:numFmt w:val="decimal"/>
      <w:lvlText w:val="%1."/>
      <w:lvlJc w:val="left"/>
      <w:pPr>
        <w:tabs>
          <w:tab w:val="num" w:pos="6095"/>
        </w:tabs>
        <w:ind w:left="6095" w:hanging="567"/>
      </w:pPr>
      <w:rPr>
        <w:rFonts w:asciiTheme="minorHAnsi" w:hAnsiTheme="minorHAnsi" w:cs="Times New Roman" w:hint="default"/>
        <w:b w:val="0"/>
        <w:i w:val="0"/>
        <w:color w:val="auto"/>
        <w:sz w:val="22"/>
        <w:szCs w:val="28"/>
        <w:lang w:val="el-GR"/>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7B63410"/>
    <w:multiLevelType w:val="hybridMultilevel"/>
    <w:tmpl w:val="31C6C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750355"/>
    <w:multiLevelType w:val="hybridMultilevel"/>
    <w:tmpl w:val="18DC1EEC"/>
    <w:lvl w:ilvl="0" w:tplc="97483A40">
      <w:start w:val="1"/>
      <w:numFmt w:val="lowerRoman"/>
      <w:lvlText w:val="%1."/>
      <w:lvlJc w:val="left"/>
      <w:pPr>
        <w:ind w:left="720" w:hanging="360"/>
      </w:pPr>
      <w:rPr>
        <w:rFonts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5299E"/>
    <w:multiLevelType w:val="hybridMultilevel"/>
    <w:tmpl w:val="724E97C6"/>
    <w:lvl w:ilvl="0" w:tplc="E440F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0002314">
    <w:abstractNumId w:val="8"/>
  </w:num>
  <w:num w:numId="2" w16cid:durableId="106507589">
    <w:abstractNumId w:val="7"/>
  </w:num>
  <w:num w:numId="3" w16cid:durableId="1754231696">
    <w:abstractNumId w:val="2"/>
  </w:num>
  <w:num w:numId="4" w16cid:durableId="386539100">
    <w:abstractNumId w:val="6"/>
  </w:num>
  <w:num w:numId="5" w16cid:durableId="1872524738">
    <w:abstractNumId w:val="4"/>
  </w:num>
  <w:num w:numId="6" w16cid:durableId="78257410">
    <w:abstractNumId w:val="0"/>
  </w:num>
  <w:num w:numId="7" w16cid:durableId="1507329351">
    <w:abstractNumId w:val="11"/>
  </w:num>
  <w:num w:numId="8" w16cid:durableId="802650843">
    <w:abstractNumId w:val="9"/>
  </w:num>
  <w:num w:numId="9" w16cid:durableId="1672222097">
    <w:abstractNumId w:val="1"/>
  </w:num>
  <w:num w:numId="10" w16cid:durableId="2017414307">
    <w:abstractNumId w:val="3"/>
  </w:num>
  <w:num w:numId="11" w16cid:durableId="137308083">
    <w:abstractNumId w:val="5"/>
  </w:num>
  <w:num w:numId="12" w16cid:durableId="210214040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3F"/>
    <w:rsid w:val="00002870"/>
    <w:rsid w:val="00002BDF"/>
    <w:rsid w:val="000030BD"/>
    <w:rsid w:val="00004A01"/>
    <w:rsid w:val="00006695"/>
    <w:rsid w:val="00006B6C"/>
    <w:rsid w:val="00007035"/>
    <w:rsid w:val="000075C0"/>
    <w:rsid w:val="000077E7"/>
    <w:rsid w:val="00007AC2"/>
    <w:rsid w:val="000104D9"/>
    <w:rsid w:val="000108E3"/>
    <w:rsid w:val="00010A1B"/>
    <w:rsid w:val="00011542"/>
    <w:rsid w:val="000119D3"/>
    <w:rsid w:val="00012098"/>
    <w:rsid w:val="000126A8"/>
    <w:rsid w:val="00012B62"/>
    <w:rsid w:val="00012D57"/>
    <w:rsid w:val="00012EF0"/>
    <w:rsid w:val="00013FA3"/>
    <w:rsid w:val="00015FB0"/>
    <w:rsid w:val="00016779"/>
    <w:rsid w:val="0001680D"/>
    <w:rsid w:val="00017217"/>
    <w:rsid w:val="000178CC"/>
    <w:rsid w:val="00017F31"/>
    <w:rsid w:val="0002056B"/>
    <w:rsid w:val="00020B44"/>
    <w:rsid w:val="000213B0"/>
    <w:rsid w:val="000219ED"/>
    <w:rsid w:val="00021FCD"/>
    <w:rsid w:val="000221CB"/>
    <w:rsid w:val="00022D65"/>
    <w:rsid w:val="00024C3A"/>
    <w:rsid w:val="00025AB6"/>
    <w:rsid w:val="00025B87"/>
    <w:rsid w:val="00026320"/>
    <w:rsid w:val="00026805"/>
    <w:rsid w:val="0002774E"/>
    <w:rsid w:val="00027935"/>
    <w:rsid w:val="0003149B"/>
    <w:rsid w:val="00031747"/>
    <w:rsid w:val="000324C1"/>
    <w:rsid w:val="0003275E"/>
    <w:rsid w:val="000343D3"/>
    <w:rsid w:val="000356A7"/>
    <w:rsid w:val="00035B4B"/>
    <w:rsid w:val="00035C8D"/>
    <w:rsid w:val="000362A1"/>
    <w:rsid w:val="000364EE"/>
    <w:rsid w:val="000369C8"/>
    <w:rsid w:val="00036C60"/>
    <w:rsid w:val="00037796"/>
    <w:rsid w:val="00037F12"/>
    <w:rsid w:val="00040147"/>
    <w:rsid w:val="0004029C"/>
    <w:rsid w:val="00040C02"/>
    <w:rsid w:val="00040FDD"/>
    <w:rsid w:val="00042313"/>
    <w:rsid w:val="000425F2"/>
    <w:rsid w:val="00042CB8"/>
    <w:rsid w:val="0004387A"/>
    <w:rsid w:val="00045BD9"/>
    <w:rsid w:val="00045F7E"/>
    <w:rsid w:val="00046344"/>
    <w:rsid w:val="000469EF"/>
    <w:rsid w:val="00046C69"/>
    <w:rsid w:val="00046DFC"/>
    <w:rsid w:val="000477D8"/>
    <w:rsid w:val="000477EF"/>
    <w:rsid w:val="0005001C"/>
    <w:rsid w:val="000505ED"/>
    <w:rsid w:val="00050F65"/>
    <w:rsid w:val="00051291"/>
    <w:rsid w:val="000527A2"/>
    <w:rsid w:val="000529A6"/>
    <w:rsid w:val="00053373"/>
    <w:rsid w:val="000538B6"/>
    <w:rsid w:val="00053B16"/>
    <w:rsid w:val="00053E50"/>
    <w:rsid w:val="00054436"/>
    <w:rsid w:val="00054E14"/>
    <w:rsid w:val="00054EED"/>
    <w:rsid w:val="0005503C"/>
    <w:rsid w:val="0005576A"/>
    <w:rsid w:val="00055DBF"/>
    <w:rsid w:val="0005620E"/>
    <w:rsid w:val="000564BB"/>
    <w:rsid w:val="00056532"/>
    <w:rsid w:val="0005669E"/>
    <w:rsid w:val="00057CC6"/>
    <w:rsid w:val="00060125"/>
    <w:rsid w:val="000606D6"/>
    <w:rsid w:val="00060A6F"/>
    <w:rsid w:val="000618DB"/>
    <w:rsid w:val="00061FA4"/>
    <w:rsid w:val="00062F8F"/>
    <w:rsid w:val="00063B65"/>
    <w:rsid w:val="00063F76"/>
    <w:rsid w:val="00064F31"/>
    <w:rsid w:val="00065316"/>
    <w:rsid w:val="00065D3C"/>
    <w:rsid w:val="00066003"/>
    <w:rsid w:val="00066B15"/>
    <w:rsid w:val="00067A23"/>
    <w:rsid w:val="0007009F"/>
    <w:rsid w:val="00070462"/>
    <w:rsid w:val="000704B9"/>
    <w:rsid w:val="000708AB"/>
    <w:rsid w:val="00070B18"/>
    <w:rsid w:val="00070C0F"/>
    <w:rsid w:val="00071EFA"/>
    <w:rsid w:val="00071F64"/>
    <w:rsid w:val="0007310B"/>
    <w:rsid w:val="0007366D"/>
    <w:rsid w:val="00073BA8"/>
    <w:rsid w:val="00073D14"/>
    <w:rsid w:val="000748DC"/>
    <w:rsid w:val="00074A84"/>
    <w:rsid w:val="00075367"/>
    <w:rsid w:val="00076012"/>
    <w:rsid w:val="000767BD"/>
    <w:rsid w:val="000771FB"/>
    <w:rsid w:val="00077C57"/>
    <w:rsid w:val="0008019C"/>
    <w:rsid w:val="00080B9B"/>
    <w:rsid w:val="00080DCF"/>
    <w:rsid w:val="00081114"/>
    <w:rsid w:val="0008125F"/>
    <w:rsid w:val="000820F1"/>
    <w:rsid w:val="00082AE5"/>
    <w:rsid w:val="00082E59"/>
    <w:rsid w:val="000831F9"/>
    <w:rsid w:val="000837AF"/>
    <w:rsid w:val="000837C4"/>
    <w:rsid w:val="000838D3"/>
    <w:rsid w:val="00083979"/>
    <w:rsid w:val="00083BC4"/>
    <w:rsid w:val="00083E0D"/>
    <w:rsid w:val="00083F4C"/>
    <w:rsid w:val="000842AC"/>
    <w:rsid w:val="00084465"/>
    <w:rsid w:val="00090AFE"/>
    <w:rsid w:val="00090DB5"/>
    <w:rsid w:val="00091704"/>
    <w:rsid w:val="00091C5F"/>
    <w:rsid w:val="00091E61"/>
    <w:rsid w:val="00093122"/>
    <w:rsid w:val="0009334D"/>
    <w:rsid w:val="00094EC6"/>
    <w:rsid w:val="00095BDE"/>
    <w:rsid w:val="00096011"/>
    <w:rsid w:val="00096242"/>
    <w:rsid w:val="000965AD"/>
    <w:rsid w:val="000965EF"/>
    <w:rsid w:val="00096F7E"/>
    <w:rsid w:val="00097159"/>
    <w:rsid w:val="0009739C"/>
    <w:rsid w:val="00097FB1"/>
    <w:rsid w:val="000A036B"/>
    <w:rsid w:val="000A08B7"/>
    <w:rsid w:val="000A0F38"/>
    <w:rsid w:val="000A147A"/>
    <w:rsid w:val="000A1E9C"/>
    <w:rsid w:val="000A2517"/>
    <w:rsid w:val="000A2E59"/>
    <w:rsid w:val="000A3150"/>
    <w:rsid w:val="000A3418"/>
    <w:rsid w:val="000A36AB"/>
    <w:rsid w:val="000A3DA3"/>
    <w:rsid w:val="000A40D5"/>
    <w:rsid w:val="000A4146"/>
    <w:rsid w:val="000A4459"/>
    <w:rsid w:val="000A503C"/>
    <w:rsid w:val="000A6C41"/>
    <w:rsid w:val="000A6E04"/>
    <w:rsid w:val="000A7357"/>
    <w:rsid w:val="000A73AF"/>
    <w:rsid w:val="000A7799"/>
    <w:rsid w:val="000A7B5C"/>
    <w:rsid w:val="000B0EB0"/>
    <w:rsid w:val="000B139E"/>
    <w:rsid w:val="000B1F52"/>
    <w:rsid w:val="000B2566"/>
    <w:rsid w:val="000B2651"/>
    <w:rsid w:val="000B3004"/>
    <w:rsid w:val="000B30C4"/>
    <w:rsid w:val="000B34DF"/>
    <w:rsid w:val="000B39E8"/>
    <w:rsid w:val="000B3D38"/>
    <w:rsid w:val="000B477A"/>
    <w:rsid w:val="000B4A1B"/>
    <w:rsid w:val="000B4D20"/>
    <w:rsid w:val="000B4D69"/>
    <w:rsid w:val="000B5570"/>
    <w:rsid w:val="000B582A"/>
    <w:rsid w:val="000B5B69"/>
    <w:rsid w:val="000B7F46"/>
    <w:rsid w:val="000C014D"/>
    <w:rsid w:val="000C0DDA"/>
    <w:rsid w:val="000C1374"/>
    <w:rsid w:val="000C14C9"/>
    <w:rsid w:val="000C1D9D"/>
    <w:rsid w:val="000C2660"/>
    <w:rsid w:val="000C2720"/>
    <w:rsid w:val="000C27B6"/>
    <w:rsid w:val="000C30F7"/>
    <w:rsid w:val="000C37C7"/>
    <w:rsid w:val="000C38B4"/>
    <w:rsid w:val="000C3B11"/>
    <w:rsid w:val="000C3B94"/>
    <w:rsid w:val="000C3FEA"/>
    <w:rsid w:val="000C47F0"/>
    <w:rsid w:val="000C4AB3"/>
    <w:rsid w:val="000C5F46"/>
    <w:rsid w:val="000C65D6"/>
    <w:rsid w:val="000C6EE7"/>
    <w:rsid w:val="000C74D5"/>
    <w:rsid w:val="000C76CB"/>
    <w:rsid w:val="000D0E17"/>
    <w:rsid w:val="000D1979"/>
    <w:rsid w:val="000D1F28"/>
    <w:rsid w:val="000D23AC"/>
    <w:rsid w:val="000D37D9"/>
    <w:rsid w:val="000D3D17"/>
    <w:rsid w:val="000D4938"/>
    <w:rsid w:val="000D54E4"/>
    <w:rsid w:val="000D562D"/>
    <w:rsid w:val="000D5789"/>
    <w:rsid w:val="000D6249"/>
    <w:rsid w:val="000D69D9"/>
    <w:rsid w:val="000D69E8"/>
    <w:rsid w:val="000E02FE"/>
    <w:rsid w:val="000E066E"/>
    <w:rsid w:val="000E0685"/>
    <w:rsid w:val="000E0964"/>
    <w:rsid w:val="000E1500"/>
    <w:rsid w:val="000E16E3"/>
    <w:rsid w:val="000E1D41"/>
    <w:rsid w:val="000E4235"/>
    <w:rsid w:val="000E4E5C"/>
    <w:rsid w:val="000E55A0"/>
    <w:rsid w:val="000E5809"/>
    <w:rsid w:val="000E61E2"/>
    <w:rsid w:val="000E625E"/>
    <w:rsid w:val="000E69F3"/>
    <w:rsid w:val="000E71F4"/>
    <w:rsid w:val="000E794C"/>
    <w:rsid w:val="000E7B48"/>
    <w:rsid w:val="000F0BD6"/>
    <w:rsid w:val="000F0D2A"/>
    <w:rsid w:val="000F37C6"/>
    <w:rsid w:val="000F3CFD"/>
    <w:rsid w:val="000F42D5"/>
    <w:rsid w:val="000F438E"/>
    <w:rsid w:val="000F4504"/>
    <w:rsid w:val="000F45EA"/>
    <w:rsid w:val="000F47B0"/>
    <w:rsid w:val="000F5683"/>
    <w:rsid w:val="000F6AF2"/>
    <w:rsid w:val="000F7577"/>
    <w:rsid w:val="00100D86"/>
    <w:rsid w:val="0010115C"/>
    <w:rsid w:val="00101CD2"/>
    <w:rsid w:val="00104078"/>
    <w:rsid w:val="001046A2"/>
    <w:rsid w:val="001046C6"/>
    <w:rsid w:val="0010510A"/>
    <w:rsid w:val="00105F76"/>
    <w:rsid w:val="001062A3"/>
    <w:rsid w:val="00106D6C"/>
    <w:rsid w:val="00106F27"/>
    <w:rsid w:val="0010722B"/>
    <w:rsid w:val="0010757B"/>
    <w:rsid w:val="00107A7A"/>
    <w:rsid w:val="00110700"/>
    <w:rsid w:val="00110734"/>
    <w:rsid w:val="00110788"/>
    <w:rsid w:val="00111252"/>
    <w:rsid w:val="0011143D"/>
    <w:rsid w:val="00111A02"/>
    <w:rsid w:val="00111BEF"/>
    <w:rsid w:val="00112513"/>
    <w:rsid w:val="00112E5C"/>
    <w:rsid w:val="001137CA"/>
    <w:rsid w:val="00114F47"/>
    <w:rsid w:val="00115209"/>
    <w:rsid w:val="001155F3"/>
    <w:rsid w:val="001156AC"/>
    <w:rsid w:val="00116969"/>
    <w:rsid w:val="00116DE4"/>
    <w:rsid w:val="0011717A"/>
    <w:rsid w:val="001220FD"/>
    <w:rsid w:val="0012282A"/>
    <w:rsid w:val="00123127"/>
    <w:rsid w:val="00123180"/>
    <w:rsid w:val="001233E3"/>
    <w:rsid w:val="00123D10"/>
    <w:rsid w:val="00123F29"/>
    <w:rsid w:val="00124209"/>
    <w:rsid w:val="00124260"/>
    <w:rsid w:val="00124494"/>
    <w:rsid w:val="00124745"/>
    <w:rsid w:val="001248EC"/>
    <w:rsid w:val="00124B2F"/>
    <w:rsid w:val="00124C87"/>
    <w:rsid w:val="00124D72"/>
    <w:rsid w:val="00124F15"/>
    <w:rsid w:val="00125A55"/>
    <w:rsid w:val="00126605"/>
    <w:rsid w:val="00127B27"/>
    <w:rsid w:val="00130DE9"/>
    <w:rsid w:val="00130F39"/>
    <w:rsid w:val="001310BC"/>
    <w:rsid w:val="001316E8"/>
    <w:rsid w:val="00131F66"/>
    <w:rsid w:val="00131F6A"/>
    <w:rsid w:val="001325E7"/>
    <w:rsid w:val="001333B0"/>
    <w:rsid w:val="00133FFB"/>
    <w:rsid w:val="001340AB"/>
    <w:rsid w:val="00134312"/>
    <w:rsid w:val="001349A4"/>
    <w:rsid w:val="00134D25"/>
    <w:rsid w:val="00134D42"/>
    <w:rsid w:val="00135AD5"/>
    <w:rsid w:val="00135BF7"/>
    <w:rsid w:val="00136118"/>
    <w:rsid w:val="00136190"/>
    <w:rsid w:val="00136651"/>
    <w:rsid w:val="001367D6"/>
    <w:rsid w:val="00136E3E"/>
    <w:rsid w:val="0013721F"/>
    <w:rsid w:val="0013752B"/>
    <w:rsid w:val="00137C04"/>
    <w:rsid w:val="001401A3"/>
    <w:rsid w:val="0014030C"/>
    <w:rsid w:val="00140500"/>
    <w:rsid w:val="00140B64"/>
    <w:rsid w:val="00140F87"/>
    <w:rsid w:val="0014121B"/>
    <w:rsid w:val="00141766"/>
    <w:rsid w:val="00142A47"/>
    <w:rsid w:val="00142B27"/>
    <w:rsid w:val="00142CAB"/>
    <w:rsid w:val="00143D40"/>
    <w:rsid w:val="00143E20"/>
    <w:rsid w:val="00144AFF"/>
    <w:rsid w:val="00144BE8"/>
    <w:rsid w:val="00144C20"/>
    <w:rsid w:val="00144E4D"/>
    <w:rsid w:val="0014514B"/>
    <w:rsid w:val="0014603C"/>
    <w:rsid w:val="001464B2"/>
    <w:rsid w:val="00146B80"/>
    <w:rsid w:val="00146C87"/>
    <w:rsid w:val="00147299"/>
    <w:rsid w:val="001473A5"/>
    <w:rsid w:val="00147B9E"/>
    <w:rsid w:val="00147EB0"/>
    <w:rsid w:val="001504A7"/>
    <w:rsid w:val="00150891"/>
    <w:rsid w:val="001515CE"/>
    <w:rsid w:val="00151DC3"/>
    <w:rsid w:val="001520F9"/>
    <w:rsid w:val="00154AF1"/>
    <w:rsid w:val="00154E72"/>
    <w:rsid w:val="0015521E"/>
    <w:rsid w:val="001556E5"/>
    <w:rsid w:val="001557AD"/>
    <w:rsid w:val="001558D1"/>
    <w:rsid w:val="00155EC6"/>
    <w:rsid w:val="0015659F"/>
    <w:rsid w:val="001566C4"/>
    <w:rsid w:val="00156D8D"/>
    <w:rsid w:val="00156E66"/>
    <w:rsid w:val="0015743D"/>
    <w:rsid w:val="00157A25"/>
    <w:rsid w:val="0016020C"/>
    <w:rsid w:val="00160716"/>
    <w:rsid w:val="0016084B"/>
    <w:rsid w:val="00161606"/>
    <w:rsid w:val="00161999"/>
    <w:rsid w:val="001628C9"/>
    <w:rsid w:val="0016296D"/>
    <w:rsid w:val="00162B10"/>
    <w:rsid w:val="00162B6D"/>
    <w:rsid w:val="00162C83"/>
    <w:rsid w:val="0016369B"/>
    <w:rsid w:val="001636C9"/>
    <w:rsid w:val="00163773"/>
    <w:rsid w:val="001639D4"/>
    <w:rsid w:val="00164174"/>
    <w:rsid w:val="00164577"/>
    <w:rsid w:val="00166173"/>
    <w:rsid w:val="00166773"/>
    <w:rsid w:val="00166B96"/>
    <w:rsid w:val="00166D25"/>
    <w:rsid w:val="001677A7"/>
    <w:rsid w:val="00167CDD"/>
    <w:rsid w:val="00167F06"/>
    <w:rsid w:val="001703D9"/>
    <w:rsid w:val="00170437"/>
    <w:rsid w:val="001710E8"/>
    <w:rsid w:val="0017235F"/>
    <w:rsid w:val="00172633"/>
    <w:rsid w:val="00173912"/>
    <w:rsid w:val="00174189"/>
    <w:rsid w:val="001743AE"/>
    <w:rsid w:val="00174AB0"/>
    <w:rsid w:val="001750EF"/>
    <w:rsid w:val="001753EF"/>
    <w:rsid w:val="0017592A"/>
    <w:rsid w:val="00176B54"/>
    <w:rsid w:val="00176D00"/>
    <w:rsid w:val="00176FB2"/>
    <w:rsid w:val="001775A7"/>
    <w:rsid w:val="00180B11"/>
    <w:rsid w:val="0018113A"/>
    <w:rsid w:val="001819C2"/>
    <w:rsid w:val="00181CFE"/>
    <w:rsid w:val="0018236B"/>
    <w:rsid w:val="00182E46"/>
    <w:rsid w:val="001833A7"/>
    <w:rsid w:val="001834F8"/>
    <w:rsid w:val="00184784"/>
    <w:rsid w:val="00184EC7"/>
    <w:rsid w:val="001857B2"/>
    <w:rsid w:val="00185ED2"/>
    <w:rsid w:val="0018619E"/>
    <w:rsid w:val="001863FB"/>
    <w:rsid w:val="001864E0"/>
    <w:rsid w:val="00186688"/>
    <w:rsid w:val="001869D9"/>
    <w:rsid w:val="00187156"/>
    <w:rsid w:val="0018745A"/>
    <w:rsid w:val="00187629"/>
    <w:rsid w:val="00187E24"/>
    <w:rsid w:val="0019061B"/>
    <w:rsid w:val="001906E3"/>
    <w:rsid w:val="00191CE9"/>
    <w:rsid w:val="00191E99"/>
    <w:rsid w:val="00192119"/>
    <w:rsid w:val="001921EE"/>
    <w:rsid w:val="00192244"/>
    <w:rsid w:val="00192477"/>
    <w:rsid w:val="00192743"/>
    <w:rsid w:val="0019338F"/>
    <w:rsid w:val="0019394E"/>
    <w:rsid w:val="00193F38"/>
    <w:rsid w:val="00194321"/>
    <w:rsid w:val="00194C3C"/>
    <w:rsid w:val="00194D37"/>
    <w:rsid w:val="00194FDC"/>
    <w:rsid w:val="00195679"/>
    <w:rsid w:val="001957FB"/>
    <w:rsid w:val="00195DE8"/>
    <w:rsid w:val="001965E7"/>
    <w:rsid w:val="00196B8C"/>
    <w:rsid w:val="001970FB"/>
    <w:rsid w:val="001977B8"/>
    <w:rsid w:val="00197F43"/>
    <w:rsid w:val="001A016B"/>
    <w:rsid w:val="001A019F"/>
    <w:rsid w:val="001A0274"/>
    <w:rsid w:val="001A0360"/>
    <w:rsid w:val="001A0487"/>
    <w:rsid w:val="001A0C4C"/>
    <w:rsid w:val="001A0E37"/>
    <w:rsid w:val="001A0E6A"/>
    <w:rsid w:val="001A11FD"/>
    <w:rsid w:val="001A1355"/>
    <w:rsid w:val="001A2367"/>
    <w:rsid w:val="001A28F1"/>
    <w:rsid w:val="001A2E3A"/>
    <w:rsid w:val="001A5182"/>
    <w:rsid w:val="001A6074"/>
    <w:rsid w:val="001A65E8"/>
    <w:rsid w:val="001A689F"/>
    <w:rsid w:val="001A6B10"/>
    <w:rsid w:val="001A71B2"/>
    <w:rsid w:val="001A7475"/>
    <w:rsid w:val="001A7486"/>
    <w:rsid w:val="001A79DE"/>
    <w:rsid w:val="001A7ECB"/>
    <w:rsid w:val="001B06C6"/>
    <w:rsid w:val="001B06C7"/>
    <w:rsid w:val="001B09F4"/>
    <w:rsid w:val="001B0D67"/>
    <w:rsid w:val="001B22B7"/>
    <w:rsid w:val="001B2492"/>
    <w:rsid w:val="001B28E6"/>
    <w:rsid w:val="001B2B09"/>
    <w:rsid w:val="001B3098"/>
    <w:rsid w:val="001B33E3"/>
    <w:rsid w:val="001B3848"/>
    <w:rsid w:val="001B3A1F"/>
    <w:rsid w:val="001B4518"/>
    <w:rsid w:val="001B5E63"/>
    <w:rsid w:val="001B6325"/>
    <w:rsid w:val="001B648B"/>
    <w:rsid w:val="001B667E"/>
    <w:rsid w:val="001B69E2"/>
    <w:rsid w:val="001B757A"/>
    <w:rsid w:val="001B7B81"/>
    <w:rsid w:val="001C0013"/>
    <w:rsid w:val="001C0452"/>
    <w:rsid w:val="001C0CB7"/>
    <w:rsid w:val="001C0EB6"/>
    <w:rsid w:val="001C2087"/>
    <w:rsid w:val="001C20A1"/>
    <w:rsid w:val="001C2110"/>
    <w:rsid w:val="001C22E7"/>
    <w:rsid w:val="001C2759"/>
    <w:rsid w:val="001C288E"/>
    <w:rsid w:val="001C32AD"/>
    <w:rsid w:val="001C374F"/>
    <w:rsid w:val="001C38F6"/>
    <w:rsid w:val="001C3E2E"/>
    <w:rsid w:val="001C41D4"/>
    <w:rsid w:val="001C6A40"/>
    <w:rsid w:val="001C7512"/>
    <w:rsid w:val="001C7DB8"/>
    <w:rsid w:val="001C7E54"/>
    <w:rsid w:val="001D0E33"/>
    <w:rsid w:val="001D193D"/>
    <w:rsid w:val="001D1B22"/>
    <w:rsid w:val="001D3D0B"/>
    <w:rsid w:val="001D43BE"/>
    <w:rsid w:val="001D4977"/>
    <w:rsid w:val="001D4A77"/>
    <w:rsid w:val="001D56A3"/>
    <w:rsid w:val="001D5833"/>
    <w:rsid w:val="001D5A70"/>
    <w:rsid w:val="001D5F32"/>
    <w:rsid w:val="001D61A6"/>
    <w:rsid w:val="001D62EB"/>
    <w:rsid w:val="001D65FE"/>
    <w:rsid w:val="001D68AD"/>
    <w:rsid w:val="001D7414"/>
    <w:rsid w:val="001D7661"/>
    <w:rsid w:val="001D7A30"/>
    <w:rsid w:val="001E03BA"/>
    <w:rsid w:val="001E0519"/>
    <w:rsid w:val="001E0F0A"/>
    <w:rsid w:val="001E0F28"/>
    <w:rsid w:val="001E14E3"/>
    <w:rsid w:val="001E1809"/>
    <w:rsid w:val="001E182C"/>
    <w:rsid w:val="001E21A3"/>
    <w:rsid w:val="001E2F76"/>
    <w:rsid w:val="001E3D78"/>
    <w:rsid w:val="001E3EE8"/>
    <w:rsid w:val="001E40C4"/>
    <w:rsid w:val="001E7C21"/>
    <w:rsid w:val="001F00F6"/>
    <w:rsid w:val="001F19C8"/>
    <w:rsid w:val="001F1F47"/>
    <w:rsid w:val="001F357F"/>
    <w:rsid w:val="001F3A41"/>
    <w:rsid w:val="001F3FD5"/>
    <w:rsid w:val="001F42BB"/>
    <w:rsid w:val="001F4A79"/>
    <w:rsid w:val="001F5846"/>
    <w:rsid w:val="001F722C"/>
    <w:rsid w:val="001F74CA"/>
    <w:rsid w:val="001F785A"/>
    <w:rsid w:val="001F7E85"/>
    <w:rsid w:val="00200ECE"/>
    <w:rsid w:val="002018B6"/>
    <w:rsid w:val="00202EE9"/>
    <w:rsid w:val="00203445"/>
    <w:rsid w:val="0020379F"/>
    <w:rsid w:val="00204A14"/>
    <w:rsid w:val="00205302"/>
    <w:rsid w:val="00206B1A"/>
    <w:rsid w:val="0020754C"/>
    <w:rsid w:val="00207969"/>
    <w:rsid w:val="002079A8"/>
    <w:rsid w:val="00210749"/>
    <w:rsid w:val="00210814"/>
    <w:rsid w:val="00210CEC"/>
    <w:rsid w:val="002121B6"/>
    <w:rsid w:val="00213230"/>
    <w:rsid w:val="002150CB"/>
    <w:rsid w:val="00216287"/>
    <w:rsid w:val="0021662B"/>
    <w:rsid w:val="0021730B"/>
    <w:rsid w:val="00220066"/>
    <w:rsid w:val="00221266"/>
    <w:rsid w:val="002229B9"/>
    <w:rsid w:val="00222DF0"/>
    <w:rsid w:val="00223A12"/>
    <w:rsid w:val="00223D09"/>
    <w:rsid w:val="00224139"/>
    <w:rsid w:val="00224297"/>
    <w:rsid w:val="00224347"/>
    <w:rsid w:val="002243BD"/>
    <w:rsid w:val="00224DDC"/>
    <w:rsid w:val="00224EC7"/>
    <w:rsid w:val="00224F59"/>
    <w:rsid w:val="0022566A"/>
    <w:rsid w:val="00225BFB"/>
    <w:rsid w:val="00225E2E"/>
    <w:rsid w:val="00226176"/>
    <w:rsid w:val="002262F7"/>
    <w:rsid w:val="00226799"/>
    <w:rsid w:val="00226CC8"/>
    <w:rsid w:val="00227562"/>
    <w:rsid w:val="00227C86"/>
    <w:rsid w:val="00230078"/>
    <w:rsid w:val="00230185"/>
    <w:rsid w:val="00230AF3"/>
    <w:rsid w:val="00231837"/>
    <w:rsid w:val="00231B00"/>
    <w:rsid w:val="002323D2"/>
    <w:rsid w:val="00232E9E"/>
    <w:rsid w:val="00233540"/>
    <w:rsid w:val="00234353"/>
    <w:rsid w:val="00235510"/>
    <w:rsid w:val="002363D2"/>
    <w:rsid w:val="002366EA"/>
    <w:rsid w:val="00240D47"/>
    <w:rsid w:val="00241527"/>
    <w:rsid w:val="00241D15"/>
    <w:rsid w:val="00241DFC"/>
    <w:rsid w:val="00241EDC"/>
    <w:rsid w:val="0024242E"/>
    <w:rsid w:val="00242679"/>
    <w:rsid w:val="00242BEA"/>
    <w:rsid w:val="00242D38"/>
    <w:rsid w:val="002431A2"/>
    <w:rsid w:val="00244077"/>
    <w:rsid w:val="002443BE"/>
    <w:rsid w:val="0024460B"/>
    <w:rsid w:val="00244CD7"/>
    <w:rsid w:val="00245001"/>
    <w:rsid w:val="00246B9F"/>
    <w:rsid w:val="0024700B"/>
    <w:rsid w:val="00247CBF"/>
    <w:rsid w:val="00250298"/>
    <w:rsid w:val="00250CDD"/>
    <w:rsid w:val="00250CEB"/>
    <w:rsid w:val="00250EBA"/>
    <w:rsid w:val="0025108C"/>
    <w:rsid w:val="0025188A"/>
    <w:rsid w:val="002518CD"/>
    <w:rsid w:val="00251932"/>
    <w:rsid w:val="002531E6"/>
    <w:rsid w:val="002532CC"/>
    <w:rsid w:val="002535BE"/>
    <w:rsid w:val="00253FB1"/>
    <w:rsid w:val="0025400A"/>
    <w:rsid w:val="002540ED"/>
    <w:rsid w:val="0025427E"/>
    <w:rsid w:val="00254392"/>
    <w:rsid w:val="0025463F"/>
    <w:rsid w:val="002547E0"/>
    <w:rsid w:val="00254FDB"/>
    <w:rsid w:val="00255567"/>
    <w:rsid w:val="00255755"/>
    <w:rsid w:val="00255B8A"/>
    <w:rsid w:val="00256D72"/>
    <w:rsid w:val="00256ECA"/>
    <w:rsid w:val="00257343"/>
    <w:rsid w:val="00257395"/>
    <w:rsid w:val="00257789"/>
    <w:rsid w:val="002602E7"/>
    <w:rsid w:val="00261A14"/>
    <w:rsid w:val="00261A78"/>
    <w:rsid w:val="00262F08"/>
    <w:rsid w:val="00263208"/>
    <w:rsid w:val="002637FC"/>
    <w:rsid w:val="0026430C"/>
    <w:rsid w:val="002643C0"/>
    <w:rsid w:val="002643CE"/>
    <w:rsid w:val="00264EAB"/>
    <w:rsid w:val="00265629"/>
    <w:rsid w:val="00265A2F"/>
    <w:rsid w:val="00265D77"/>
    <w:rsid w:val="00267B4A"/>
    <w:rsid w:val="00270066"/>
    <w:rsid w:val="002700F3"/>
    <w:rsid w:val="002701D6"/>
    <w:rsid w:val="002702A7"/>
    <w:rsid w:val="00270DB4"/>
    <w:rsid w:val="0027158A"/>
    <w:rsid w:val="00271AA2"/>
    <w:rsid w:val="00272DA1"/>
    <w:rsid w:val="00273659"/>
    <w:rsid w:val="002742AC"/>
    <w:rsid w:val="0027553E"/>
    <w:rsid w:val="00275AD8"/>
    <w:rsid w:val="00275DBF"/>
    <w:rsid w:val="002764E5"/>
    <w:rsid w:val="00276852"/>
    <w:rsid w:val="00277225"/>
    <w:rsid w:val="002773A5"/>
    <w:rsid w:val="00277E26"/>
    <w:rsid w:val="002807D8"/>
    <w:rsid w:val="00280901"/>
    <w:rsid w:val="00280937"/>
    <w:rsid w:val="002811C7"/>
    <w:rsid w:val="00281BD4"/>
    <w:rsid w:val="002824E5"/>
    <w:rsid w:val="00283321"/>
    <w:rsid w:val="00283924"/>
    <w:rsid w:val="00283C5A"/>
    <w:rsid w:val="00283E89"/>
    <w:rsid w:val="00283E8D"/>
    <w:rsid w:val="00285B6E"/>
    <w:rsid w:val="002860A8"/>
    <w:rsid w:val="00287501"/>
    <w:rsid w:val="0029101B"/>
    <w:rsid w:val="00291DB3"/>
    <w:rsid w:val="00293196"/>
    <w:rsid w:val="00293666"/>
    <w:rsid w:val="00293BEA"/>
    <w:rsid w:val="002943A3"/>
    <w:rsid w:val="002A03EA"/>
    <w:rsid w:val="002A115A"/>
    <w:rsid w:val="002A1C74"/>
    <w:rsid w:val="002A1F70"/>
    <w:rsid w:val="002A205F"/>
    <w:rsid w:val="002A20EA"/>
    <w:rsid w:val="002A2353"/>
    <w:rsid w:val="002A23F7"/>
    <w:rsid w:val="002A2B81"/>
    <w:rsid w:val="002A342E"/>
    <w:rsid w:val="002A353D"/>
    <w:rsid w:val="002A36B9"/>
    <w:rsid w:val="002A39CA"/>
    <w:rsid w:val="002A4231"/>
    <w:rsid w:val="002A426D"/>
    <w:rsid w:val="002A4572"/>
    <w:rsid w:val="002A4749"/>
    <w:rsid w:val="002A5308"/>
    <w:rsid w:val="002A5B37"/>
    <w:rsid w:val="002A5D68"/>
    <w:rsid w:val="002A5DFB"/>
    <w:rsid w:val="002A601A"/>
    <w:rsid w:val="002A631E"/>
    <w:rsid w:val="002A6789"/>
    <w:rsid w:val="002A6AF2"/>
    <w:rsid w:val="002A75A6"/>
    <w:rsid w:val="002A7A7C"/>
    <w:rsid w:val="002B061F"/>
    <w:rsid w:val="002B0734"/>
    <w:rsid w:val="002B2B18"/>
    <w:rsid w:val="002B3173"/>
    <w:rsid w:val="002B3176"/>
    <w:rsid w:val="002B4166"/>
    <w:rsid w:val="002B4B8A"/>
    <w:rsid w:val="002B4EEF"/>
    <w:rsid w:val="002B53EC"/>
    <w:rsid w:val="002B5891"/>
    <w:rsid w:val="002B5A91"/>
    <w:rsid w:val="002B5D2C"/>
    <w:rsid w:val="002B60C9"/>
    <w:rsid w:val="002B680B"/>
    <w:rsid w:val="002B7C4B"/>
    <w:rsid w:val="002C0330"/>
    <w:rsid w:val="002C12C3"/>
    <w:rsid w:val="002C1C99"/>
    <w:rsid w:val="002C29F4"/>
    <w:rsid w:val="002C2D1B"/>
    <w:rsid w:val="002C352E"/>
    <w:rsid w:val="002C3F43"/>
    <w:rsid w:val="002C48A3"/>
    <w:rsid w:val="002C48E7"/>
    <w:rsid w:val="002C4B5A"/>
    <w:rsid w:val="002C4C40"/>
    <w:rsid w:val="002C542B"/>
    <w:rsid w:val="002C554C"/>
    <w:rsid w:val="002C5E9E"/>
    <w:rsid w:val="002C62B0"/>
    <w:rsid w:val="002C62D8"/>
    <w:rsid w:val="002C65EC"/>
    <w:rsid w:val="002C6BD6"/>
    <w:rsid w:val="002C6CE7"/>
    <w:rsid w:val="002C6D01"/>
    <w:rsid w:val="002C6D99"/>
    <w:rsid w:val="002C731C"/>
    <w:rsid w:val="002C74E2"/>
    <w:rsid w:val="002D04E6"/>
    <w:rsid w:val="002D1123"/>
    <w:rsid w:val="002D11D0"/>
    <w:rsid w:val="002D1E2C"/>
    <w:rsid w:val="002D22F9"/>
    <w:rsid w:val="002D28A5"/>
    <w:rsid w:val="002D2B87"/>
    <w:rsid w:val="002D326F"/>
    <w:rsid w:val="002D37C1"/>
    <w:rsid w:val="002D38FD"/>
    <w:rsid w:val="002D3DBF"/>
    <w:rsid w:val="002D44CC"/>
    <w:rsid w:val="002D53B5"/>
    <w:rsid w:val="002D5F8F"/>
    <w:rsid w:val="002E0424"/>
    <w:rsid w:val="002E1F36"/>
    <w:rsid w:val="002E2112"/>
    <w:rsid w:val="002E2713"/>
    <w:rsid w:val="002E2E6D"/>
    <w:rsid w:val="002E33E1"/>
    <w:rsid w:val="002E38B5"/>
    <w:rsid w:val="002E394C"/>
    <w:rsid w:val="002E45AB"/>
    <w:rsid w:val="002E4E79"/>
    <w:rsid w:val="002E54B7"/>
    <w:rsid w:val="002E5EC0"/>
    <w:rsid w:val="002E65E0"/>
    <w:rsid w:val="002F01EE"/>
    <w:rsid w:val="002F0B78"/>
    <w:rsid w:val="002F16FC"/>
    <w:rsid w:val="002F1702"/>
    <w:rsid w:val="002F1714"/>
    <w:rsid w:val="002F1C88"/>
    <w:rsid w:val="002F28EB"/>
    <w:rsid w:val="002F2FF2"/>
    <w:rsid w:val="002F30EE"/>
    <w:rsid w:val="002F3287"/>
    <w:rsid w:val="002F34E2"/>
    <w:rsid w:val="002F3C70"/>
    <w:rsid w:val="002F43EE"/>
    <w:rsid w:val="002F48E2"/>
    <w:rsid w:val="002F5C6E"/>
    <w:rsid w:val="002F5FFE"/>
    <w:rsid w:val="002F606F"/>
    <w:rsid w:val="002F60AC"/>
    <w:rsid w:val="002F63BB"/>
    <w:rsid w:val="002F6E31"/>
    <w:rsid w:val="002F70BD"/>
    <w:rsid w:val="0030138A"/>
    <w:rsid w:val="00301A27"/>
    <w:rsid w:val="00301FCD"/>
    <w:rsid w:val="00302190"/>
    <w:rsid w:val="003027ED"/>
    <w:rsid w:val="00304F89"/>
    <w:rsid w:val="003059F1"/>
    <w:rsid w:val="00305DC2"/>
    <w:rsid w:val="003061CD"/>
    <w:rsid w:val="00307622"/>
    <w:rsid w:val="00310A6F"/>
    <w:rsid w:val="00310F4E"/>
    <w:rsid w:val="0031101D"/>
    <w:rsid w:val="003128F8"/>
    <w:rsid w:val="00312B73"/>
    <w:rsid w:val="00312C09"/>
    <w:rsid w:val="003130DD"/>
    <w:rsid w:val="00313397"/>
    <w:rsid w:val="003138F0"/>
    <w:rsid w:val="00313930"/>
    <w:rsid w:val="00313BCF"/>
    <w:rsid w:val="00314A8D"/>
    <w:rsid w:val="003166FF"/>
    <w:rsid w:val="00316A72"/>
    <w:rsid w:val="003172BE"/>
    <w:rsid w:val="00317A5A"/>
    <w:rsid w:val="00321877"/>
    <w:rsid w:val="00321B43"/>
    <w:rsid w:val="00321DD8"/>
    <w:rsid w:val="00322103"/>
    <w:rsid w:val="00322497"/>
    <w:rsid w:val="00322AAF"/>
    <w:rsid w:val="0032313D"/>
    <w:rsid w:val="003243B5"/>
    <w:rsid w:val="003244A4"/>
    <w:rsid w:val="0032627C"/>
    <w:rsid w:val="00326861"/>
    <w:rsid w:val="00326910"/>
    <w:rsid w:val="00327877"/>
    <w:rsid w:val="003279C9"/>
    <w:rsid w:val="00327F00"/>
    <w:rsid w:val="00327FAF"/>
    <w:rsid w:val="00330916"/>
    <w:rsid w:val="00330B3E"/>
    <w:rsid w:val="00331B0E"/>
    <w:rsid w:val="00332450"/>
    <w:rsid w:val="003325F5"/>
    <w:rsid w:val="003332CD"/>
    <w:rsid w:val="003334F7"/>
    <w:rsid w:val="00333B95"/>
    <w:rsid w:val="003341D7"/>
    <w:rsid w:val="00334C15"/>
    <w:rsid w:val="0033541D"/>
    <w:rsid w:val="00335A58"/>
    <w:rsid w:val="00335D22"/>
    <w:rsid w:val="003363E9"/>
    <w:rsid w:val="00336896"/>
    <w:rsid w:val="00336B15"/>
    <w:rsid w:val="00336DED"/>
    <w:rsid w:val="00337469"/>
    <w:rsid w:val="003378C8"/>
    <w:rsid w:val="003400C5"/>
    <w:rsid w:val="00340107"/>
    <w:rsid w:val="0034179D"/>
    <w:rsid w:val="0034226D"/>
    <w:rsid w:val="003423D7"/>
    <w:rsid w:val="00342FD0"/>
    <w:rsid w:val="00344902"/>
    <w:rsid w:val="00345BD0"/>
    <w:rsid w:val="003464AB"/>
    <w:rsid w:val="0034696E"/>
    <w:rsid w:val="00346ACA"/>
    <w:rsid w:val="003473D5"/>
    <w:rsid w:val="00347652"/>
    <w:rsid w:val="00350FCD"/>
    <w:rsid w:val="003513AF"/>
    <w:rsid w:val="0035288B"/>
    <w:rsid w:val="0035294B"/>
    <w:rsid w:val="00353EC5"/>
    <w:rsid w:val="00354B05"/>
    <w:rsid w:val="00354C69"/>
    <w:rsid w:val="00354D39"/>
    <w:rsid w:val="00355C37"/>
    <w:rsid w:val="00355C86"/>
    <w:rsid w:val="00355E62"/>
    <w:rsid w:val="00356329"/>
    <w:rsid w:val="0035669F"/>
    <w:rsid w:val="00356A48"/>
    <w:rsid w:val="00356B27"/>
    <w:rsid w:val="00356D3E"/>
    <w:rsid w:val="00357DE4"/>
    <w:rsid w:val="003609DF"/>
    <w:rsid w:val="00361375"/>
    <w:rsid w:val="003615DE"/>
    <w:rsid w:val="00361974"/>
    <w:rsid w:val="00362B3F"/>
    <w:rsid w:val="00362B81"/>
    <w:rsid w:val="0036328A"/>
    <w:rsid w:val="00363CFF"/>
    <w:rsid w:val="00363F5B"/>
    <w:rsid w:val="0036422A"/>
    <w:rsid w:val="00365749"/>
    <w:rsid w:val="00365AB9"/>
    <w:rsid w:val="0036752A"/>
    <w:rsid w:val="003676A5"/>
    <w:rsid w:val="00367D5C"/>
    <w:rsid w:val="00367EEC"/>
    <w:rsid w:val="00371744"/>
    <w:rsid w:val="003722C7"/>
    <w:rsid w:val="0037322D"/>
    <w:rsid w:val="003741A0"/>
    <w:rsid w:val="003747B4"/>
    <w:rsid w:val="00374F03"/>
    <w:rsid w:val="00375B93"/>
    <w:rsid w:val="0037708C"/>
    <w:rsid w:val="0037799E"/>
    <w:rsid w:val="00382253"/>
    <w:rsid w:val="00382CE6"/>
    <w:rsid w:val="003852DC"/>
    <w:rsid w:val="00385418"/>
    <w:rsid w:val="00385A72"/>
    <w:rsid w:val="00386410"/>
    <w:rsid w:val="003869FC"/>
    <w:rsid w:val="00386AF4"/>
    <w:rsid w:val="00386D32"/>
    <w:rsid w:val="0038719B"/>
    <w:rsid w:val="0038761C"/>
    <w:rsid w:val="0038776D"/>
    <w:rsid w:val="003907BF"/>
    <w:rsid w:val="00390DFD"/>
    <w:rsid w:val="00391A81"/>
    <w:rsid w:val="00391FED"/>
    <w:rsid w:val="00392288"/>
    <w:rsid w:val="0039256C"/>
    <w:rsid w:val="0039320E"/>
    <w:rsid w:val="003933DC"/>
    <w:rsid w:val="003938CD"/>
    <w:rsid w:val="00393BF5"/>
    <w:rsid w:val="0039420F"/>
    <w:rsid w:val="0039446D"/>
    <w:rsid w:val="00394EB6"/>
    <w:rsid w:val="003966BA"/>
    <w:rsid w:val="00397592"/>
    <w:rsid w:val="003A0CB8"/>
    <w:rsid w:val="003A0F46"/>
    <w:rsid w:val="003A1411"/>
    <w:rsid w:val="003A1DEA"/>
    <w:rsid w:val="003A1EAB"/>
    <w:rsid w:val="003A20CA"/>
    <w:rsid w:val="003A3378"/>
    <w:rsid w:val="003A381B"/>
    <w:rsid w:val="003A3FFC"/>
    <w:rsid w:val="003A41A7"/>
    <w:rsid w:val="003A49A1"/>
    <w:rsid w:val="003A4A34"/>
    <w:rsid w:val="003A4B40"/>
    <w:rsid w:val="003A5CBB"/>
    <w:rsid w:val="003A6E13"/>
    <w:rsid w:val="003A7468"/>
    <w:rsid w:val="003B063B"/>
    <w:rsid w:val="003B07EA"/>
    <w:rsid w:val="003B0DF5"/>
    <w:rsid w:val="003B18A4"/>
    <w:rsid w:val="003B1989"/>
    <w:rsid w:val="003B1AD8"/>
    <w:rsid w:val="003B21CB"/>
    <w:rsid w:val="003B2506"/>
    <w:rsid w:val="003B2919"/>
    <w:rsid w:val="003B3090"/>
    <w:rsid w:val="003B3216"/>
    <w:rsid w:val="003B3318"/>
    <w:rsid w:val="003B3FBE"/>
    <w:rsid w:val="003B41ED"/>
    <w:rsid w:val="003B4CA6"/>
    <w:rsid w:val="003B5D03"/>
    <w:rsid w:val="003B5EFB"/>
    <w:rsid w:val="003B631B"/>
    <w:rsid w:val="003B6B11"/>
    <w:rsid w:val="003B6B24"/>
    <w:rsid w:val="003B6BFC"/>
    <w:rsid w:val="003B7405"/>
    <w:rsid w:val="003B79C0"/>
    <w:rsid w:val="003C0B40"/>
    <w:rsid w:val="003C1751"/>
    <w:rsid w:val="003C3237"/>
    <w:rsid w:val="003C37F8"/>
    <w:rsid w:val="003C3A75"/>
    <w:rsid w:val="003C3CDF"/>
    <w:rsid w:val="003C425E"/>
    <w:rsid w:val="003C4268"/>
    <w:rsid w:val="003C48AF"/>
    <w:rsid w:val="003C498E"/>
    <w:rsid w:val="003C4D38"/>
    <w:rsid w:val="003C4EDE"/>
    <w:rsid w:val="003C5493"/>
    <w:rsid w:val="003C56FD"/>
    <w:rsid w:val="003C5BCD"/>
    <w:rsid w:val="003C6383"/>
    <w:rsid w:val="003C651A"/>
    <w:rsid w:val="003C65FD"/>
    <w:rsid w:val="003C67BE"/>
    <w:rsid w:val="003C6AF0"/>
    <w:rsid w:val="003C736D"/>
    <w:rsid w:val="003C76CD"/>
    <w:rsid w:val="003C7C62"/>
    <w:rsid w:val="003D06E6"/>
    <w:rsid w:val="003D0B74"/>
    <w:rsid w:val="003D123D"/>
    <w:rsid w:val="003D1DB5"/>
    <w:rsid w:val="003D2298"/>
    <w:rsid w:val="003D2811"/>
    <w:rsid w:val="003D4A51"/>
    <w:rsid w:val="003D5094"/>
    <w:rsid w:val="003D613D"/>
    <w:rsid w:val="003D697C"/>
    <w:rsid w:val="003D6EA1"/>
    <w:rsid w:val="003D7102"/>
    <w:rsid w:val="003D748C"/>
    <w:rsid w:val="003E032D"/>
    <w:rsid w:val="003E2867"/>
    <w:rsid w:val="003E2D68"/>
    <w:rsid w:val="003E2F84"/>
    <w:rsid w:val="003E329C"/>
    <w:rsid w:val="003E476C"/>
    <w:rsid w:val="003E5B99"/>
    <w:rsid w:val="003E6AD1"/>
    <w:rsid w:val="003E6F29"/>
    <w:rsid w:val="003E720E"/>
    <w:rsid w:val="003E77A2"/>
    <w:rsid w:val="003E7E71"/>
    <w:rsid w:val="003F0264"/>
    <w:rsid w:val="003F030A"/>
    <w:rsid w:val="003F0790"/>
    <w:rsid w:val="003F09AB"/>
    <w:rsid w:val="003F0EF8"/>
    <w:rsid w:val="003F1225"/>
    <w:rsid w:val="003F1A84"/>
    <w:rsid w:val="003F248C"/>
    <w:rsid w:val="003F3573"/>
    <w:rsid w:val="003F3982"/>
    <w:rsid w:val="003F3B2D"/>
    <w:rsid w:val="003F3CF9"/>
    <w:rsid w:val="003F42CF"/>
    <w:rsid w:val="003F46C0"/>
    <w:rsid w:val="003F4BD7"/>
    <w:rsid w:val="003F4DEA"/>
    <w:rsid w:val="003F6979"/>
    <w:rsid w:val="003F6F6C"/>
    <w:rsid w:val="0040017C"/>
    <w:rsid w:val="00400809"/>
    <w:rsid w:val="00400D03"/>
    <w:rsid w:val="00401434"/>
    <w:rsid w:val="0040151C"/>
    <w:rsid w:val="00401D65"/>
    <w:rsid w:val="004020E8"/>
    <w:rsid w:val="004022AA"/>
    <w:rsid w:val="004023C0"/>
    <w:rsid w:val="00402408"/>
    <w:rsid w:val="00403302"/>
    <w:rsid w:val="00403978"/>
    <w:rsid w:val="00403F7B"/>
    <w:rsid w:val="004047FF"/>
    <w:rsid w:val="00404A10"/>
    <w:rsid w:val="00404F9E"/>
    <w:rsid w:val="0040529C"/>
    <w:rsid w:val="00405A61"/>
    <w:rsid w:val="00406E8E"/>
    <w:rsid w:val="0040707A"/>
    <w:rsid w:val="00410087"/>
    <w:rsid w:val="00410A7C"/>
    <w:rsid w:val="00411B52"/>
    <w:rsid w:val="004120D6"/>
    <w:rsid w:val="004123A6"/>
    <w:rsid w:val="0041270C"/>
    <w:rsid w:val="00415267"/>
    <w:rsid w:val="00415AFF"/>
    <w:rsid w:val="00415D90"/>
    <w:rsid w:val="004161BF"/>
    <w:rsid w:val="00416448"/>
    <w:rsid w:val="00416EC6"/>
    <w:rsid w:val="004174FE"/>
    <w:rsid w:val="00417CE6"/>
    <w:rsid w:val="00420AC0"/>
    <w:rsid w:val="00421B0E"/>
    <w:rsid w:val="0042226C"/>
    <w:rsid w:val="00422723"/>
    <w:rsid w:val="004231A5"/>
    <w:rsid w:val="0042382C"/>
    <w:rsid w:val="0042387F"/>
    <w:rsid w:val="004238DA"/>
    <w:rsid w:val="00424A6A"/>
    <w:rsid w:val="004253BB"/>
    <w:rsid w:val="004256C9"/>
    <w:rsid w:val="00425942"/>
    <w:rsid w:val="00425FA5"/>
    <w:rsid w:val="00426947"/>
    <w:rsid w:val="00426AEF"/>
    <w:rsid w:val="0042780E"/>
    <w:rsid w:val="0043208D"/>
    <w:rsid w:val="004322BB"/>
    <w:rsid w:val="00432515"/>
    <w:rsid w:val="004328B3"/>
    <w:rsid w:val="00432F14"/>
    <w:rsid w:val="004333E6"/>
    <w:rsid w:val="00433CC6"/>
    <w:rsid w:val="00434219"/>
    <w:rsid w:val="00434A00"/>
    <w:rsid w:val="00434A13"/>
    <w:rsid w:val="00434B18"/>
    <w:rsid w:val="00434B4E"/>
    <w:rsid w:val="00435DF9"/>
    <w:rsid w:val="00436021"/>
    <w:rsid w:val="004365E1"/>
    <w:rsid w:val="00436EE4"/>
    <w:rsid w:val="004373EB"/>
    <w:rsid w:val="00437591"/>
    <w:rsid w:val="00437AC4"/>
    <w:rsid w:val="00437BE2"/>
    <w:rsid w:val="00437DDD"/>
    <w:rsid w:val="00440A79"/>
    <w:rsid w:val="00441951"/>
    <w:rsid w:val="00442072"/>
    <w:rsid w:val="00442B6A"/>
    <w:rsid w:val="00442B9D"/>
    <w:rsid w:val="00442BBC"/>
    <w:rsid w:val="00443B9D"/>
    <w:rsid w:val="00443EEE"/>
    <w:rsid w:val="00444168"/>
    <w:rsid w:val="0044503A"/>
    <w:rsid w:val="004451C0"/>
    <w:rsid w:val="004464C6"/>
    <w:rsid w:val="004466FA"/>
    <w:rsid w:val="004467F6"/>
    <w:rsid w:val="00447B9C"/>
    <w:rsid w:val="00447F9B"/>
    <w:rsid w:val="00450E75"/>
    <w:rsid w:val="0045128B"/>
    <w:rsid w:val="004515B2"/>
    <w:rsid w:val="00451B41"/>
    <w:rsid w:val="00451D52"/>
    <w:rsid w:val="004532E7"/>
    <w:rsid w:val="0045357A"/>
    <w:rsid w:val="004557A2"/>
    <w:rsid w:val="00455923"/>
    <w:rsid w:val="00456A00"/>
    <w:rsid w:val="00456A0B"/>
    <w:rsid w:val="0045743B"/>
    <w:rsid w:val="00457A41"/>
    <w:rsid w:val="00457F4E"/>
    <w:rsid w:val="004610D8"/>
    <w:rsid w:val="0046112A"/>
    <w:rsid w:val="00461333"/>
    <w:rsid w:val="00462434"/>
    <w:rsid w:val="00462485"/>
    <w:rsid w:val="004625AB"/>
    <w:rsid w:val="004627C5"/>
    <w:rsid w:val="00462B37"/>
    <w:rsid w:val="00463099"/>
    <w:rsid w:val="00463ACC"/>
    <w:rsid w:val="00463E2E"/>
    <w:rsid w:val="0046534C"/>
    <w:rsid w:val="00467D98"/>
    <w:rsid w:val="00470157"/>
    <w:rsid w:val="004706BB"/>
    <w:rsid w:val="00471753"/>
    <w:rsid w:val="00471C53"/>
    <w:rsid w:val="00472AF3"/>
    <w:rsid w:val="00473567"/>
    <w:rsid w:val="0047398B"/>
    <w:rsid w:val="00473E8D"/>
    <w:rsid w:val="0047404A"/>
    <w:rsid w:val="00474311"/>
    <w:rsid w:val="00475763"/>
    <w:rsid w:val="004769E8"/>
    <w:rsid w:val="00476E5C"/>
    <w:rsid w:val="00477177"/>
    <w:rsid w:val="0047727D"/>
    <w:rsid w:val="00477BF9"/>
    <w:rsid w:val="004803D3"/>
    <w:rsid w:val="00481634"/>
    <w:rsid w:val="00483430"/>
    <w:rsid w:val="00483ED0"/>
    <w:rsid w:val="0048436C"/>
    <w:rsid w:val="00484DB2"/>
    <w:rsid w:val="00485A05"/>
    <w:rsid w:val="00485CE6"/>
    <w:rsid w:val="004866C3"/>
    <w:rsid w:val="00486976"/>
    <w:rsid w:val="00486EF5"/>
    <w:rsid w:val="0048744D"/>
    <w:rsid w:val="0048761B"/>
    <w:rsid w:val="004876F9"/>
    <w:rsid w:val="004879F2"/>
    <w:rsid w:val="00487FC1"/>
    <w:rsid w:val="004902CE"/>
    <w:rsid w:val="004905CF"/>
    <w:rsid w:val="00490EAC"/>
    <w:rsid w:val="00491C4A"/>
    <w:rsid w:val="00492380"/>
    <w:rsid w:val="00492C56"/>
    <w:rsid w:val="00492E37"/>
    <w:rsid w:val="00493210"/>
    <w:rsid w:val="004941B4"/>
    <w:rsid w:val="004943A1"/>
    <w:rsid w:val="00494437"/>
    <w:rsid w:val="00495257"/>
    <w:rsid w:val="00495342"/>
    <w:rsid w:val="004954ED"/>
    <w:rsid w:val="00495C78"/>
    <w:rsid w:val="00497351"/>
    <w:rsid w:val="004976E9"/>
    <w:rsid w:val="004A1B97"/>
    <w:rsid w:val="004A1DC0"/>
    <w:rsid w:val="004A1ED5"/>
    <w:rsid w:val="004A308E"/>
    <w:rsid w:val="004A3418"/>
    <w:rsid w:val="004A3D3C"/>
    <w:rsid w:val="004A4023"/>
    <w:rsid w:val="004A43EE"/>
    <w:rsid w:val="004A445B"/>
    <w:rsid w:val="004A4679"/>
    <w:rsid w:val="004A4D0D"/>
    <w:rsid w:val="004A5648"/>
    <w:rsid w:val="004A5EBD"/>
    <w:rsid w:val="004A5ED4"/>
    <w:rsid w:val="004A662E"/>
    <w:rsid w:val="004A680B"/>
    <w:rsid w:val="004A79E0"/>
    <w:rsid w:val="004B1219"/>
    <w:rsid w:val="004B165C"/>
    <w:rsid w:val="004B16F0"/>
    <w:rsid w:val="004B1B2B"/>
    <w:rsid w:val="004B2074"/>
    <w:rsid w:val="004B2893"/>
    <w:rsid w:val="004B2B27"/>
    <w:rsid w:val="004B2E25"/>
    <w:rsid w:val="004B33FA"/>
    <w:rsid w:val="004B36B6"/>
    <w:rsid w:val="004B423C"/>
    <w:rsid w:val="004B5925"/>
    <w:rsid w:val="004B5EB1"/>
    <w:rsid w:val="004B60C1"/>
    <w:rsid w:val="004B7B0D"/>
    <w:rsid w:val="004B7B74"/>
    <w:rsid w:val="004B7E9A"/>
    <w:rsid w:val="004C057A"/>
    <w:rsid w:val="004C0CBB"/>
    <w:rsid w:val="004C1149"/>
    <w:rsid w:val="004C1F87"/>
    <w:rsid w:val="004C253D"/>
    <w:rsid w:val="004C2886"/>
    <w:rsid w:val="004C381F"/>
    <w:rsid w:val="004C4404"/>
    <w:rsid w:val="004C4410"/>
    <w:rsid w:val="004C54C2"/>
    <w:rsid w:val="004C55A9"/>
    <w:rsid w:val="004C58FC"/>
    <w:rsid w:val="004C69E5"/>
    <w:rsid w:val="004C6FFC"/>
    <w:rsid w:val="004C761D"/>
    <w:rsid w:val="004C7B98"/>
    <w:rsid w:val="004C7DB1"/>
    <w:rsid w:val="004C7EC2"/>
    <w:rsid w:val="004D0E12"/>
    <w:rsid w:val="004D2521"/>
    <w:rsid w:val="004D255D"/>
    <w:rsid w:val="004D4398"/>
    <w:rsid w:val="004D45F3"/>
    <w:rsid w:val="004D5145"/>
    <w:rsid w:val="004D562D"/>
    <w:rsid w:val="004D72BF"/>
    <w:rsid w:val="004D7956"/>
    <w:rsid w:val="004E006B"/>
    <w:rsid w:val="004E014E"/>
    <w:rsid w:val="004E0245"/>
    <w:rsid w:val="004E05E1"/>
    <w:rsid w:val="004E0646"/>
    <w:rsid w:val="004E07B8"/>
    <w:rsid w:val="004E1080"/>
    <w:rsid w:val="004E1648"/>
    <w:rsid w:val="004E1BBE"/>
    <w:rsid w:val="004E251E"/>
    <w:rsid w:val="004E258C"/>
    <w:rsid w:val="004E2C9C"/>
    <w:rsid w:val="004E2D42"/>
    <w:rsid w:val="004E38A1"/>
    <w:rsid w:val="004E3B9C"/>
    <w:rsid w:val="004E3CF9"/>
    <w:rsid w:val="004E456F"/>
    <w:rsid w:val="004E49E2"/>
    <w:rsid w:val="004E4AF1"/>
    <w:rsid w:val="004E6085"/>
    <w:rsid w:val="004E6361"/>
    <w:rsid w:val="004E6C0E"/>
    <w:rsid w:val="004E6F41"/>
    <w:rsid w:val="004E7B86"/>
    <w:rsid w:val="004E7DC7"/>
    <w:rsid w:val="004F01FA"/>
    <w:rsid w:val="004F05EA"/>
    <w:rsid w:val="004F1919"/>
    <w:rsid w:val="004F219D"/>
    <w:rsid w:val="004F2CEE"/>
    <w:rsid w:val="004F46C9"/>
    <w:rsid w:val="004F46D2"/>
    <w:rsid w:val="004F5F75"/>
    <w:rsid w:val="004F62E0"/>
    <w:rsid w:val="004F64AD"/>
    <w:rsid w:val="004F69BE"/>
    <w:rsid w:val="004F70D1"/>
    <w:rsid w:val="004F7105"/>
    <w:rsid w:val="004F79C1"/>
    <w:rsid w:val="00500272"/>
    <w:rsid w:val="00500629"/>
    <w:rsid w:val="00500D23"/>
    <w:rsid w:val="0050179B"/>
    <w:rsid w:val="00502D51"/>
    <w:rsid w:val="00502F1D"/>
    <w:rsid w:val="00503B17"/>
    <w:rsid w:val="0050412F"/>
    <w:rsid w:val="00504220"/>
    <w:rsid w:val="00505072"/>
    <w:rsid w:val="00507A28"/>
    <w:rsid w:val="005100CD"/>
    <w:rsid w:val="0051012B"/>
    <w:rsid w:val="00510402"/>
    <w:rsid w:val="00510809"/>
    <w:rsid w:val="00510CD4"/>
    <w:rsid w:val="00511591"/>
    <w:rsid w:val="00511CC1"/>
    <w:rsid w:val="00512459"/>
    <w:rsid w:val="00512474"/>
    <w:rsid w:val="00513280"/>
    <w:rsid w:val="00513608"/>
    <w:rsid w:val="00513814"/>
    <w:rsid w:val="0051457A"/>
    <w:rsid w:val="00514C7C"/>
    <w:rsid w:val="00514F18"/>
    <w:rsid w:val="0051518D"/>
    <w:rsid w:val="00515D73"/>
    <w:rsid w:val="0051653B"/>
    <w:rsid w:val="00516F13"/>
    <w:rsid w:val="0051721B"/>
    <w:rsid w:val="005174D6"/>
    <w:rsid w:val="005176B2"/>
    <w:rsid w:val="00520232"/>
    <w:rsid w:val="0052159C"/>
    <w:rsid w:val="0052195E"/>
    <w:rsid w:val="0052199E"/>
    <w:rsid w:val="00522AD3"/>
    <w:rsid w:val="0052331C"/>
    <w:rsid w:val="00523E78"/>
    <w:rsid w:val="00524519"/>
    <w:rsid w:val="00525376"/>
    <w:rsid w:val="0052567E"/>
    <w:rsid w:val="0052657C"/>
    <w:rsid w:val="00527CBE"/>
    <w:rsid w:val="00527D07"/>
    <w:rsid w:val="00530A58"/>
    <w:rsid w:val="00531B13"/>
    <w:rsid w:val="0053261D"/>
    <w:rsid w:val="00533F5B"/>
    <w:rsid w:val="0053441C"/>
    <w:rsid w:val="005344B0"/>
    <w:rsid w:val="00534B4E"/>
    <w:rsid w:val="00534B54"/>
    <w:rsid w:val="005358C2"/>
    <w:rsid w:val="00535C24"/>
    <w:rsid w:val="00536A69"/>
    <w:rsid w:val="00536B9F"/>
    <w:rsid w:val="00536C0F"/>
    <w:rsid w:val="00537186"/>
    <w:rsid w:val="00537525"/>
    <w:rsid w:val="0053796B"/>
    <w:rsid w:val="0054127A"/>
    <w:rsid w:val="00542502"/>
    <w:rsid w:val="00542DB8"/>
    <w:rsid w:val="00544646"/>
    <w:rsid w:val="00544E39"/>
    <w:rsid w:val="005457F2"/>
    <w:rsid w:val="00545B4E"/>
    <w:rsid w:val="00545E2F"/>
    <w:rsid w:val="0054642D"/>
    <w:rsid w:val="00547541"/>
    <w:rsid w:val="005502B3"/>
    <w:rsid w:val="0055044B"/>
    <w:rsid w:val="005514F5"/>
    <w:rsid w:val="00551569"/>
    <w:rsid w:val="00552046"/>
    <w:rsid w:val="005520CE"/>
    <w:rsid w:val="005520FB"/>
    <w:rsid w:val="005521CB"/>
    <w:rsid w:val="005522BB"/>
    <w:rsid w:val="00552734"/>
    <w:rsid w:val="00552A93"/>
    <w:rsid w:val="005531B0"/>
    <w:rsid w:val="005536EB"/>
    <w:rsid w:val="00553967"/>
    <w:rsid w:val="00553DC4"/>
    <w:rsid w:val="005541DE"/>
    <w:rsid w:val="00554B12"/>
    <w:rsid w:val="005557A6"/>
    <w:rsid w:val="00555D8A"/>
    <w:rsid w:val="00555FA4"/>
    <w:rsid w:val="0055688E"/>
    <w:rsid w:val="00556D44"/>
    <w:rsid w:val="00556E44"/>
    <w:rsid w:val="00557563"/>
    <w:rsid w:val="005579E1"/>
    <w:rsid w:val="00560590"/>
    <w:rsid w:val="00560653"/>
    <w:rsid w:val="00560FD7"/>
    <w:rsid w:val="00561329"/>
    <w:rsid w:val="00562116"/>
    <w:rsid w:val="00562D89"/>
    <w:rsid w:val="005634B5"/>
    <w:rsid w:val="005639A1"/>
    <w:rsid w:val="00564F05"/>
    <w:rsid w:val="005653C9"/>
    <w:rsid w:val="00565429"/>
    <w:rsid w:val="005654B3"/>
    <w:rsid w:val="005659D0"/>
    <w:rsid w:val="00565D2F"/>
    <w:rsid w:val="00565F83"/>
    <w:rsid w:val="005668F9"/>
    <w:rsid w:val="0056794F"/>
    <w:rsid w:val="005700D6"/>
    <w:rsid w:val="00570622"/>
    <w:rsid w:val="005707DF"/>
    <w:rsid w:val="005712EC"/>
    <w:rsid w:val="005715D3"/>
    <w:rsid w:val="005715FB"/>
    <w:rsid w:val="0057200B"/>
    <w:rsid w:val="00572288"/>
    <w:rsid w:val="00572457"/>
    <w:rsid w:val="00572530"/>
    <w:rsid w:val="00573E0D"/>
    <w:rsid w:val="005750E9"/>
    <w:rsid w:val="005753DC"/>
    <w:rsid w:val="00575D91"/>
    <w:rsid w:val="00576017"/>
    <w:rsid w:val="0057642E"/>
    <w:rsid w:val="005768A5"/>
    <w:rsid w:val="0057744D"/>
    <w:rsid w:val="00577659"/>
    <w:rsid w:val="005777D6"/>
    <w:rsid w:val="005779E0"/>
    <w:rsid w:val="00580352"/>
    <w:rsid w:val="00580382"/>
    <w:rsid w:val="00581A64"/>
    <w:rsid w:val="00582297"/>
    <w:rsid w:val="005832C5"/>
    <w:rsid w:val="0058453D"/>
    <w:rsid w:val="005852CB"/>
    <w:rsid w:val="00585FB3"/>
    <w:rsid w:val="00587975"/>
    <w:rsid w:val="00587B55"/>
    <w:rsid w:val="00587C8E"/>
    <w:rsid w:val="00590027"/>
    <w:rsid w:val="00590A82"/>
    <w:rsid w:val="00590D24"/>
    <w:rsid w:val="00591991"/>
    <w:rsid w:val="00591E7C"/>
    <w:rsid w:val="00591E7D"/>
    <w:rsid w:val="00592504"/>
    <w:rsid w:val="0059290C"/>
    <w:rsid w:val="005933A2"/>
    <w:rsid w:val="00594052"/>
    <w:rsid w:val="00595051"/>
    <w:rsid w:val="00595F3F"/>
    <w:rsid w:val="0059636F"/>
    <w:rsid w:val="00596750"/>
    <w:rsid w:val="00597BF1"/>
    <w:rsid w:val="005A0257"/>
    <w:rsid w:val="005A0348"/>
    <w:rsid w:val="005A03D1"/>
    <w:rsid w:val="005A08FE"/>
    <w:rsid w:val="005A1AC1"/>
    <w:rsid w:val="005A23AE"/>
    <w:rsid w:val="005A26E9"/>
    <w:rsid w:val="005A30C4"/>
    <w:rsid w:val="005A3519"/>
    <w:rsid w:val="005A4BBF"/>
    <w:rsid w:val="005A54B1"/>
    <w:rsid w:val="005A54CC"/>
    <w:rsid w:val="005A5F23"/>
    <w:rsid w:val="005A68A2"/>
    <w:rsid w:val="005A6989"/>
    <w:rsid w:val="005A6CBF"/>
    <w:rsid w:val="005A7272"/>
    <w:rsid w:val="005A7D40"/>
    <w:rsid w:val="005B1279"/>
    <w:rsid w:val="005B1D86"/>
    <w:rsid w:val="005B26D1"/>
    <w:rsid w:val="005B29C0"/>
    <w:rsid w:val="005B2A4D"/>
    <w:rsid w:val="005B3C5E"/>
    <w:rsid w:val="005B446D"/>
    <w:rsid w:val="005B4EFE"/>
    <w:rsid w:val="005B4F20"/>
    <w:rsid w:val="005B52E4"/>
    <w:rsid w:val="005B5688"/>
    <w:rsid w:val="005B586E"/>
    <w:rsid w:val="005B5B26"/>
    <w:rsid w:val="005B5EB6"/>
    <w:rsid w:val="005B5FEF"/>
    <w:rsid w:val="005B797A"/>
    <w:rsid w:val="005C100B"/>
    <w:rsid w:val="005C1E7E"/>
    <w:rsid w:val="005C240C"/>
    <w:rsid w:val="005C30F1"/>
    <w:rsid w:val="005C457A"/>
    <w:rsid w:val="005C48C9"/>
    <w:rsid w:val="005C60AB"/>
    <w:rsid w:val="005C61AD"/>
    <w:rsid w:val="005C7BCF"/>
    <w:rsid w:val="005C7F41"/>
    <w:rsid w:val="005D0531"/>
    <w:rsid w:val="005D07BF"/>
    <w:rsid w:val="005D0B41"/>
    <w:rsid w:val="005D0CB6"/>
    <w:rsid w:val="005D0CC5"/>
    <w:rsid w:val="005D1174"/>
    <w:rsid w:val="005D244F"/>
    <w:rsid w:val="005D367D"/>
    <w:rsid w:val="005D3C77"/>
    <w:rsid w:val="005D3CAD"/>
    <w:rsid w:val="005D4135"/>
    <w:rsid w:val="005D441A"/>
    <w:rsid w:val="005D542C"/>
    <w:rsid w:val="005D5AEF"/>
    <w:rsid w:val="005D61B1"/>
    <w:rsid w:val="005D66EF"/>
    <w:rsid w:val="005D6AFA"/>
    <w:rsid w:val="005D6DBC"/>
    <w:rsid w:val="005D6EE5"/>
    <w:rsid w:val="005D7102"/>
    <w:rsid w:val="005E02F6"/>
    <w:rsid w:val="005E1E5A"/>
    <w:rsid w:val="005E35DE"/>
    <w:rsid w:val="005E454A"/>
    <w:rsid w:val="005E4AF2"/>
    <w:rsid w:val="005E4E37"/>
    <w:rsid w:val="005E4F9C"/>
    <w:rsid w:val="005E5577"/>
    <w:rsid w:val="005E58E9"/>
    <w:rsid w:val="005E5C4E"/>
    <w:rsid w:val="005E5EF5"/>
    <w:rsid w:val="005E6559"/>
    <w:rsid w:val="005E73C2"/>
    <w:rsid w:val="005E7AC8"/>
    <w:rsid w:val="005F0305"/>
    <w:rsid w:val="005F13E4"/>
    <w:rsid w:val="005F1A38"/>
    <w:rsid w:val="005F280F"/>
    <w:rsid w:val="005F2B00"/>
    <w:rsid w:val="005F43DF"/>
    <w:rsid w:val="005F4608"/>
    <w:rsid w:val="005F4792"/>
    <w:rsid w:val="005F4DC2"/>
    <w:rsid w:val="005F5640"/>
    <w:rsid w:val="005F57D4"/>
    <w:rsid w:val="005F58AE"/>
    <w:rsid w:val="005F619A"/>
    <w:rsid w:val="005F61AD"/>
    <w:rsid w:val="005F724A"/>
    <w:rsid w:val="005F77CC"/>
    <w:rsid w:val="005F787A"/>
    <w:rsid w:val="005F7ACF"/>
    <w:rsid w:val="005F7EC5"/>
    <w:rsid w:val="0060005D"/>
    <w:rsid w:val="0060274F"/>
    <w:rsid w:val="00602B83"/>
    <w:rsid w:val="0060347E"/>
    <w:rsid w:val="0060375D"/>
    <w:rsid w:val="00603A29"/>
    <w:rsid w:val="00604755"/>
    <w:rsid w:val="00605258"/>
    <w:rsid w:val="00605494"/>
    <w:rsid w:val="006055AA"/>
    <w:rsid w:val="0060572A"/>
    <w:rsid w:val="00606DF3"/>
    <w:rsid w:val="00606DF6"/>
    <w:rsid w:val="006073AF"/>
    <w:rsid w:val="00607486"/>
    <w:rsid w:val="00607857"/>
    <w:rsid w:val="00607E8B"/>
    <w:rsid w:val="006103F1"/>
    <w:rsid w:val="0061049F"/>
    <w:rsid w:val="00610F55"/>
    <w:rsid w:val="006117AE"/>
    <w:rsid w:val="00611B23"/>
    <w:rsid w:val="00611CEB"/>
    <w:rsid w:val="00611D29"/>
    <w:rsid w:val="00612C37"/>
    <w:rsid w:val="00612EB3"/>
    <w:rsid w:val="006135C5"/>
    <w:rsid w:val="006139A6"/>
    <w:rsid w:val="00613BFE"/>
    <w:rsid w:val="00613CA3"/>
    <w:rsid w:val="00614537"/>
    <w:rsid w:val="006148AF"/>
    <w:rsid w:val="00614E05"/>
    <w:rsid w:val="00615C32"/>
    <w:rsid w:val="00615DEA"/>
    <w:rsid w:val="00616EEC"/>
    <w:rsid w:val="00617B6B"/>
    <w:rsid w:val="0062022D"/>
    <w:rsid w:val="0062047E"/>
    <w:rsid w:val="0062187B"/>
    <w:rsid w:val="00622374"/>
    <w:rsid w:val="006229C4"/>
    <w:rsid w:val="00622A46"/>
    <w:rsid w:val="0062313A"/>
    <w:rsid w:val="00623F47"/>
    <w:rsid w:val="00624B9C"/>
    <w:rsid w:val="00627A84"/>
    <w:rsid w:val="00630576"/>
    <w:rsid w:val="00630D06"/>
    <w:rsid w:val="0063104C"/>
    <w:rsid w:val="0063207D"/>
    <w:rsid w:val="006328E9"/>
    <w:rsid w:val="0063358B"/>
    <w:rsid w:val="00633D33"/>
    <w:rsid w:val="006342E8"/>
    <w:rsid w:val="006358CA"/>
    <w:rsid w:val="0063630C"/>
    <w:rsid w:val="00636659"/>
    <w:rsid w:val="00636793"/>
    <w:rsid w:val="00636944"/>
    <w:rsid w:val="00636CF7"/>
    <w:rsid w:val="00637127"/>
    <w:rsid w:val="00640123"/>
    <w:rsid w:val="0064029F"/>
    <w:rsid w:val="006407BC"/>
    <w:rsid w:val="00641888"/>
    <w:rsid w:val="0064188C"/>
    <w:rsid w:val="00642761"/>
    <w:rsid w:val="00642A3E"/>
    <w:rsid w:val="00643665"/>
    <w:rsid w:val="00643D45"/>
    <w:rsid w:val="0064482E"/>
    <w:rsid w:val="00644EBB"/>
    <w:rsid w:val="00645A1B"/>
    <w:rsid w:val="00645CF6"/>
    <w:rsid w:val="00646B3D"/>
    <w:rsid w:val="00650CEB"/>
    <w:rsid w:val="00651370"/>
    <w:rsid w:val="0065150F"/>
    <w:rsid w:val="00651D65"/>
    <w:rsid w:val="00652BF3"/>
    <w:rsid w:val="00653FDB"/>
    <w:rsid w:val="0065415A"/>
    <w:rsid w:val="00656CA0"/>
    <w:rsid w:val="00656F54"/>
    <w:rsid w:val="00657804"/>
    <w:rsid w:val="00660E22"/>
    <w:rsid w:val="006617B3"/>
    <w:rsid w:val="006622EC"/>
    <w:rsid w:val="00662C0C"/>
    <w:rsid w:val="00662EDE"/>
    <w:rsid w:val="006644C5"/>
    <w:rsid w:val="00664CCD"/>
    <w:rsid w:val="006660AC"/>
    <w:rsid w:val="0066620C"/>
    <w:rsid w:val="006669AA"/>
    <w:rsid w:val="00666BF0"/>
    <w:rsid w:val="00667B43"/>
    <w:rsid w:val="006705BE"/>
    <w:rsid w:val="006712AE"/>
    <w:rsid w:val="006712D7"/>
    <w:rsid w:val="006713C1"/>
    <w:rsid w:val="00671760"/>
    <w:rsid w:val="0067177B"/>
    <w:rsid w:val="00671DD1"/>
    <w:rsid w:val="006725E6"/>
    <w:rsid w:val="00672AB3"/>
    <w:rsid w:val="00672D4E"/>
    <w:rsid w:val="00673169"/>
    <w:rsid w:val="006733F1"/>
    <w:rsid w:val="006737E9"/>
    <w:rsid w:val="00673AC6"/>
    <w:rsid w:val="00673B5B"/>
    <w:rsid w:val="006749F2"/>
    <w:rsid w:val="00674A72"/>
    <w:rsid w:val="00675629"/>
    <w:rsid w:val="00675657"/>
    <w:rsid w:val="006756E8"/>
    <w:rsid w:val="00675BDD"/>
    <w:rsid w:val="006767F4"/>
    <w:rsid w:val="00676FCA"/>
    <w:rsid w:val="00677092"/>
    <w:rsid w:val="0067766E"/>
    <w:rsid w:val="00677AF8"/>
    <w:rsid w:val="0068060A"/>
    <w:rsid w:val="00680742"/>
    <w:rsid w:val="00680C1A"/>
    <w:rsid w:val="00680CEF"/>
    <w:rsid w:val="0068145F"/>
    <w:rsid w:val="00681CBB"/>
    <w:rsid w:val="00682D27"/>
    <w:rsid w:val="00683683"/>
    <w:rsid w:val="00684984"/>
    <w:rsid w:val="00684C72"/>
    <w:rsid w:val="00684F02"/>
    <w:rsid w:val="00685428"/>
    <w:rsid w:val="00685D09"/>
    <w:rsid w:val="0068629C"/>
    <w:rsid w:val="006864E6"/>
    <w:rsid w:val="0068657C"/>
    <w:rsid w:val="00686B8C"/>
    <w:rsid w:val="00686DF1"/>
    <w:rsid w:val="00687244"/>
    <w:rsid w:val="006879F8"/>
    <w:rsid w:val="0069007E"/>
    <w:rsid w:val="00690440"/>
    <w:rsid w:val="00690F22"/>
    <w:rsid w:val="00690FA9"/>
    <w:rsid w:val="006910E5"/>
    <w:rsid w:val="0069164C"/>
    <w:rsid w:val="00691BA1"/>
    <w:rsid w:val="006927CB"/>
    <w:rsid w:val="00692D6A"/>
    <w:rsid w:val="0069322F"/>
    <w:rsid w:val="00693D4D"/>
    <w:rsid w:val="006944FC"/>
    <w:rsid w:val="00694766"/>
    <w:rsid w:val="00697907"/>
    <w:rsid w:val="00697933"/>
    <w:rsid w:val="00697B65"/>
    <w:rsid w:val="00697DFA"/>
    <w:rsid w:val="006A0AEB"/>
    <w:rsid w:val="006A224A"/>
    <w:rsid w:val="006A2262"/>
    <w:rsid w:val="006A345B"/>
    <w:rsid w:val="006A39BC"/>
    <w:rsid w:val="006A4B70"/>
    <w:rsid w:val="006A4BB1"/>
    <w:rsid w:val="006A5548"/>
    <w:rsid w:val="006A558E"/>
    <w:rsid w:val="006A5938"/>
    <w:rsid w:val="006A634B"/>
    <w:rsid w:val="006A797A"/>
    <w:rsid w:val="006B031A"/>
    <w:rsid w:val="006B2283"/>
    <w:rsid w:val="006B270E"/>
    <w:rsid w:val="006B2EFB"/>
    <w:rsid w:val="006B34FA"/>
    <w:rsid w:val="006B4152"/>
    <w:rsid w:val="006B4313"/>
    <w:rsid w:val="006B466E"/>
    <w:rsid w:val="006B4E41"/>
    <w:rsid w:val="006B5B9C"/>
    <w:rsid w:val="006B6298"/>
    <w:rsid w:val="006B74E6"/>
    <w:rsid w:val="006B7810"/>
    <w:rsid w:val="006B7DFB"/>
    <w:rsid w:val="006B7E70"/>
    <w:rsid w:val="006C09EA"/>
    <w:rsid w:val="006C1256"/>
    <w:rsid w:val="006C3A7D"/>
    <w:rsid w:val="006C3ED8"/>
    <w:rsid w:val="006C4368"/>
    <w:rsid w:val="006C50A3"/>
    <w:rsid w:val="006C57F8"/>
    <w:rsid w:val="006C59D8"/>
    <w:rsid w:val="006C5A57"/>
    <w:rsid w:val="006C6C80"/>
    <w:rsid w:val="006C6C86"/>
    <w:rsid w:val="006C6EED"/>
    <w:rsid w:val="006C7D70"/>
    <w:rsid w:val="006D011A"/>
    <w:rsid w:val="006D0254"/>
    <w:rsid w:val="006D1864"/>
    <w:rsid w:val="006D1E0B"/>
    <w:rsid w:val="006D24DD"/>
    <w:rsid w:val="006D31E6"/>
    <w:rsid w:val="006D3F60"/>
    <w:rsid w:val="006D452A"/>
    <w:rsid w:val="006D45D2"/>
    <w:rsid w:val="006D4E38"/>
    <w:rsid w:val="006D5909"/>
    <w:rsid w:val="006D633E"/>
    <w:rsid w:val="006D63AE"/>
    <w:rsid w:val="006D6988"/>
    <w:rsid w:val="006D7269"/>
    <w:rsid w:val="006D7681"/>
    <w:rsid w:val="006D7CBF"/>
    <w:rsid w:val="006D7DB4"/>
    <w:rsid w:val="006E00F0"/>
    <w:rsid w:val="006E0573"/>
    <w:rsid w:val="006E0C99"/>
    <w:rsid w:val="006E1A61"/>
    <w:rsid w:val="006E1FED"/>
    <w:rsid w:val="006E22CE"/>
    <w:rsid w:val="006E3A01"/>
    <w:rsid w:val="006E4406"/>
    <w:rsid w:val="006E4A4F"/>
    <w:rsid w:val="006E4DE5"/>
    <w:rsid w:val="006E6BE4"/>
    <w:rsid w:val="006E716A"/>
    <w:rsid w:val="006E7A50"/>
    <w:rsid w:val="006E7EA2"/>
    <w:rsid w:val="006F1233"/>
    <w:rsid w:val="006F27F6"/>
    <w:rsid w:val="006F39CA"/>
    <w:rsid w:val="006F40BD"/>
    <w:rsid w:val="006F61D3"/>
    <w:rsid w:val="006F6276"/>
    <w:rsid w:val="006F6BAB"/>
    <w:rsid w:val="006F7314"/>
    <w:rsid w:val="007026F5"/>
    <w:rsid w:val="007028C3"/>
    <w:rsid w:val="00702B30"/>
    <w:rsid w:val="00702DE3"/>
    <w:rsid w:val="00703FDD"/>
    <w:rsid w:val="00704354"/>
    <w:rsid w:val="00704556"/>
    <w:rsid w:val="007049F6"/>
    <w:rsid w:val="00704F3D"/>
    <w:rsid w:val="00705D95"/>
    <w:rsid w:val="00705F6B"/>
    <w:rsid w:val="007063B4"/>
    <w:rsid w:val="00707A64"/>
    <w:rsid w:val="00710201"/>
    <w:rsid w:val="007110AF"/>
    <w:rsid w:val="00712A10"/>
    <w:rsid w:val="00712D0C"/>
    <w:rsid w:val="00713C07"/>
    <w:rsid w:val="00714949"/>
    <w:rsid w:val="00714EEB"/>
    <w:rsid w:val="00715393"/>
    <w:rsid w:val="007156E3"/>
    <w:rsid w:val="0071667F"/>
    <w:rsid w:val="00716BCB"/>
    <w:rsid w:val="00716CAE"/>
    <w:rsid w:val="00717348"/>
    <w:rsid w:val="007173F7"/>
    <w:rsid w:val="007178B7"/>
    <w:rsid w:val="00717939"/>
    <w:rsid w:val="00717B9D"/>
    <w:rsid w:val="00717F2E"/>
    <w:rsid w:val="00720050"/>
    <w:rsid w:val="007205C6"/>
    <w:rsid w:val="00720E46"/>
    <w:rsid w:val="00721929"/>
    <w:rsid w:val="00721B0B"/>
    <w:rsid w:val="007222FE"/>
    <w:rsid w:val="007223F7"/>
    <w:rsid w:val="0072245F"/>
    <w:rsid w:val="00722749"/>
    <w:rsid w:val="00722ABA"/>
    <w:rsid w:val="00723245"/>
    <w:rsid w:val="00723434"/>
    <w:rsid w:val="00723CF1"/>
    <w:rsid w:val="007240AB"/>
    <w:rsid w:val="00725ACD"/>
    <w:rsid w:val="00725C27"/>
    <w:rsid w:val="00726D99"/>
    <w:rsid w:val="0072702C"/>
    <w:rsid w:val="00727948"/>
    <w:rsid w:val="00730027"/>
    <w:rsid w:val="007305E5"/>
    <w:rsid w:val="00730C21"/>
    <w:rsid w:val="0073131E"/>
    <w:rsid w:val="0073214B"/>
    <w:rsid w:val="007328C7"/>
    <w:rsid w:val="00732933"/>
    <w:rsid w:val="00732D29"/>
    <w:rsid w:val="0073319C"/>
    <w:rsid w:val="0073385A"/>
    <w:rsid w:val="0073495A"/>
    <w:rsid w:val="00736860"/>
    <w:rsid w:val="00736EA3"/>
    <w:rsid w:val="007372B0"/>
    <w:rsid w:val="007372E9"/>
    <w:rsid w:val="007376A9"/>
    <w:rsid w:val="00740C3E"/>
    <w:rsid w:val="00740CE0"/>
    <w:rsid w:val="00740E08"/>
    <w:rsid w:val="00741A2F"/>
    <w:rsid w:val="007428F7"/>
    <w:rsid w:val="00742EBA"/>
    <w:rsid w:val="00743063"/>
    <w:rsid w:val="0074372A"/>
    <w:rsid w:val="00743777"/>
    <w:rsid w:val="00743B53"/>
    <w:rsid w:val="0074404D"/>
    <w:rsid w:val="00744EEE"/>
    <w:rsid w:val="00746200"/>
    <w:rsid w:val="00746343"/>
    <w:rsid w:val="00746736"/>
    <w:rsid w:val="00747775"/>
    <w:rsid w:val="00747F57"/>
    <w:rsid w:val="0075075D"/>
    <w:rsid w:val="00751ADA"/>
    <w:rsid w:val="00752565"/>
    <w:rsid w:val="00752577"/>
    <w:rsid w:val="00752B74"/>
    <w:rsid w:val="00752F66"/>
    <w:rsid w:val="007535DB"/>
    <w:rsid w:val="007536D8"/>
    <w:rsid w:val="00753E2B"/>
    <w:rsid w:val="007540FE"/>
    <w:rsid w:val="00754837"/>
    <w:rsid w:val="00754ACA"/>
    <w:rsid w:val="00754E06"/>
    <w:rsid w:val="0075549A"/>
    <w:rsid w:val="00755CF0"/>
    <w:rsid w:val="00755D1B"/>
    <w:rsid w:val="0075643B"/>
    <w:rsid w:val="0075691C"/>
    <w:rsid w:val="0075704D"/>
    <w:rsid w:val="00757D72"/>
    <w:rsid w:val="00760171"/>
    <w:rsid w:val="0076040D"/>
    <w:rsid w:val="007604C4"/>
    <w:rsid w:val="00760BDD"/>
    <w:rsid w:val="00761C1B"/>
    <w:rsid w:val="00761D17"/>
    <w:rsid w:val="00762893"/>
    <w:rsid w:val="00762B67"/>
    <w:rsid w:val="00762B8A"/>
    <w:rsid w:val="007634A1"/>
    <w:rsid w:val="00763742"/>
    <w:rsid w:val="00764931"/>
    <w:rsid w:val="00764AB6"/>
    <w:rsid w:val="0076504A"/>
    <w:rsid w:val="00765709"/>
    <w:rsid w:val="0076688A"/>
    <w:rsid w:val="00766BB8"/>
    <w:rsid w:val="00766FAF"/>
    <w:rsid w:val="007672A6"/>
    <w:rsid w:val="0077068C"/>
    <w:rsid w:val="007710A8"/>
    <w:rsid w:val="00771224"/>
    <w:rsid w:val="00771963"/>
    <w:rsid w:val="00771B03"/>
    <w:rsid w:val="0077221D"/>
    <w:rsid w:val="0077224E"/>
    <w:rsid w:val="0077293F"/>
    <w:rsid w:val="0077327F"/>
    <w:rsid w:val="0077336D"/>
    <w:rsid w:val="00773695"/>
    <w:rsid w:val="00775AD3"/>
    <w:rsid w:val="00776757"/>
    <w:rsid w:val="00777413"/>
    <w:rsid w:val="007778CF"/>
    <w:rsid w:val="00777DD0"/>
    <w:rsid w:val="007803AC"/>
    <w:rsid w:val="00780CD5"/>
    <w:rsid w:val="00781022"/>
    <w:rsid w:val="00783278"/>
    <w:rsid w:val="00783752"/>
    <w:rsid w:val="00783C75"/>
    <w:rsid w:val="00785208"/>
    <w:rsid w:val="00785455"/>
    <w:rsid w:val="0078610C"/>
    <w:rsid w:val="00786A4D"/>
    <w:rsid w:val="00786D28"/>
    <w:rsid w:val="007870A7"/>
    <w:rsid w:val="00787159"/>
    <w:rsid w:val="0078768E"/>
    <w:rsid w:val="007877A4"/>
    <w:rsid w:val="00787E2C"/>
    <w:rsid w:val="00790FC8"/>
    <w:rsid w:val="0079140A"/>
    <w:rsid w:val="00791805"/>
    <w:rsid w:val="00792B8F"/>
    <w:rsid w:val="00792BA2"/>
    <w:rsid w:val="00793C1C"/>
    <w:rsid w:val="00793FF1"/>
    <w:rsid w:val="0079423C"/>
    <w:rsid w:val="00794345"/>
    <w:rsid w:val="00794377"/>
    <w:rsid w:val="007944AE"/>
    <w:rsid w:val="00794599"/>
    <w:rsid w:val="007946A4"/>
    <w:rsid w:val="00794CBB"/>
    <w:rsid w:val="00796789"/>
    <w:rsid w:val="0079681F"/>
    <w:rsid w:val="007969A5"/>
    <w:rsid w:val="007A0377"/>
    <w:rsid w:val="007A1059"/>
    <w:rsid w:val="007A127E"/>
    <w:rsid w:val="007A157F"/>
    <w:rsid w:val="007A1682"/>
    <w:rsid w:val="007A1A83"/>
    <w:rsid w:val="007A2FB9"/>
    <w:rsid w:val="007A47C3"/>
    <w:rsid w:val="007A54DE"/>
    <w:rsid w:val="007A56BD"/>
    <w:rsid w:val="007A5761"/>
    <w:rsid w:val="007A5EB5"/>
    <w:rsid w:val="007A64F9"/>
    <w:rsid w:val="007A6E4A"/>
    <w:rsid w:val="007A7110"/>
    <w:rsid w:val="007A7296"/>
    <w:rsid w:val="007A76A6"/>
    <w:rsid w:val="007A7756"/>
    <w:rsid w:val="007A7EB7"/>
    <w:rsid w:val="007B073E"/>
    <w:rsid w:val="007B0D1B"/>
    <w:rsid w:val="007B20FB"/>
    <w:rsid w:val="007B2913"/>
    <w:rsid w:val="007B2CE1"/>
    <w:rsid w:val="007B3289"/>
    <w:rsid w:val="007B4890"/>
    <w:rsid w:val="007B4C31"/>
    <w:rsid w:val="007B5166"/>
    <w:rsid w:val="007B52BC"/>
    <w:rsid w:val="007B53E7"/>
    <w:rsid w:val="007B5781"/>
    <w:rsid w:val="007B5B25"/>
    <w:rsid w:val="007B6080"/>
    <w:rsid w:val="007B61F8"/>
    <w:rsid w:val="007B6AF5"/>
    <w:rsid w:val="007C00AC"/>
    <w:rsid w:val="007C0E3A"/>
    <w:rsid w:val="007C3017"/>
    <w:rsid w:val="007C393E"/>
    <w:rsid w:val="007C3D47"/>
    <w:rsid w:val="007C5A62"/>
    <w:rsid w:val="007C5DC9"/>
    <w:rsid w:val="007C5EF0"/>
    <w:rsid w:val="007C643F"/>
    <w:rsid w:val="007C6CAA"/>
    <w:rsid w:val="007C7A9A"/>
    <w:rsid w:val="007D08BD"/>
    <w:rsid w:val="007D2058"/>
    <w:rsid w:val="007D243C"/>
    <w:rsid w:val="007D2AE6"/>
    <w:rsid w:val="007D2BA6"/>
    <w:rsid w:val="007D3D4B"/>
    <w:rsid w:val="007D40C8"/>
    <w:rsid w:val="007D4445"/>
    <w:rsid w:val="007D49E9"/>
    <w:rsid w:val="007D5D6D"/>
    <w:rsid w:val="007D6AAC"/>
    <w:rsid w:val="007D6D0C"/>
    <w:rsid w:val="007D6DB1"/>
    <w:rsid w:val="007D6ED8"/>
    <w:rsid w:val="007D71D3"/>
    <w:rsid w:val="007E0023"/>
    <w:rsid w:val="007E3013"/>
    <w:rsid w:val="007E3ADF"/>
    <w:rsid w:val="007E3B17"/>
    <w:rsid w:val="007E3EE3"/>
    <w:rsid w:val="007E3F8B"/>
    <w:rsid w:val="007E4E8E"/>
    <w:rsid w:val="007E527B"/>
    <w:rsid w:val="007E549A"/>
    <w:rsid w:val="007E5D13"/>
    <w:rsid w:val="007E6A91"/>
    <w:rsid w:val="007E784F"/>
    <w:rsid w:val="007E7DEB"/>
    <w:rsid w:val="007F0CE6"/>
    <w:rsid w:val="007F2847"/>
    <w:rsid w:val="007F29CF"/>
    <w:rsid w:val="007F2BB2"/>
    <w:rsid w:val="007F2C38"/>
    <w:rsid w:val="007F320E"/>
    <w:rsid w:val="007F3465"/>
    <w:rsid w:val="007F45E1"/>
    <w:rsid w:val="007F4EDE"/>
    <w:rsid w:val="007F5100"/>
    <w:rsid w:val="007F572D"/>
    <w:rsid w:val="007F5E91"/>
    <w:rsid w:val="007F5FAE"/>
    <w:rsid w:val="007F6F8E"/>
    <w:rsid w:val="007F74B4"/>
    <w:rsid w:val="007F7DF0"/>
    <w:rsid w:val="008011EA"/>
    <w:rsid w:val="0080357C"/>
    <w:rsid w:val="008037B2"/>
    <w:rsid w:val="00803B99"/>
    <w:rsid w:val="00803D03"/>
    <w:rsid w:val="0080422A"/>
    <w:rsid w:val="0080433C"/>
    <w:rsid w:val="00805115"/>
    <w:rsid w:val="00805DDC"/>
    <w:rsid w:val="00807C1F"/>
    <w:rsid w:val="00807CEB"/>
    <w:rsid w:val="00807D1A"/>
    <w:rsid w:val="00810125"/>
    <w:rsid w:val="008108C0"/>
    <w:rsid w:val="00810FB8"/>
    <w:rsid w:val="0081108D"/>
    <w:rsid w:val="00811B1E"/>
    <w:rsid w:val="0081353C"/>
    <w:rsid w:val="00813692"/>
    <w:rsid w:val="00813723"/>
    <w:rsid w:val="00813A4E"/>
    <w:rsid w:val="00813DE4"/>
    <w:rsid w:val="00813F45"/>
    <w:rsid w:val="00814583"/>
    <w:rsid w:val="00815715"/>
    <w:rsid w:val="00816C4B"/>
    <w:rsid w:val="008170BF"/>
    <w:rsid w:val="00817ED3"/>
    <w:rsid w:val="008202D8"/>
    <w:rsid w:val="0082040D"/>
    <w:rsid w:val="008208A7"/>
    <w:rsid w:val="00821D4E"/>
    <w:rsid w:val="008220E4"/>
    <w:rsid w:val="008224A9"/>
    <w:rsid w:val="00822848"/>
    <w:rsid w:val="00823003"/>
    <w:rsid w:val="00823267"/>
    <w:rsid w:val="008235DB"/>
    <w:rsid w:val="00823BED"/>
    <w:rsid w:val="00823E25"/>
    <w:rsid w:val="0082497A"/>
    <w:rsid w:val="00824F0B"/>
    <w:rsid w:val="00826271"/>
    <w:rsid w:val="00826E24"/>
    <w:rsid w:val="00827A07"/>
    <w:rsid w:val="00827C66"/>
    <w:rsid w:val="0083031D"/>
    <w:rsid w:val="00830454"/>
    <w:rsid w:val="00830CA2"/>
    <w:rsid w:val="00830E98"/>
    <w:rsid w:val="00832451"/>
    <w:rsid w:val="0083455D"/>
    <w:rsid w:val="00834C34"/>
    <w:rsid w:val="00834D7E"/>
    <w:rsid w:val="0083553C"/>
    <w:rsid w:val="0083634A"/>
    <w:rsid w:val="0084051C"/>
    <w:rsid w:val="008409FE"/>
    <w:rsid w:val="00840C91"/>
    <w:rsid w:val="0084132A"/>
    <w:rsid w:val="0084140E"/>
    <w:rsid w:val="00841D00"/>
    <w:rsid w:val="00841E70"/>
    <w:rsid w:val="00842892"/>
    <w:rsid w:val="00842FBA"/>
    <w:rsid w:val="00843380"/>
    <w:rsid w:val="008434AB"/>
    <w:rsid w:val="00843ACB"/>
    <w:rsid w:val="008450F9"/>
    <w:rsid w:val="008455E0"/>
    <w:rsid w:val="00845C4D"/>
    <w:rsid w:val="0084633A"/>
    <w:rsid w:val="008473E5"/>
    <w:rsid w:val="008478D5"/>
    <w:rsid w:val="00847B07"/>
    <w:rsid w:val="00850168"/>
    <w:rsid w:val="0085062C"/>
    <w:rsid w:val="00850BF3"/>
    <w:rsid w:val="00850E52"/>
    <w:rsid w:val="00851182"/>
    <w:rsid w:val="00851320"/>
    <w:rsid w:val="00851B8E"/>
    <w:rsid w:val="0085245B"/>
    <w:rsid w:val="008535A1"/>
    <w:rsid w:val="008535FF"/>
    <w:rsid w:val="00853A77"/>
    <w:rsid w:val="00853C68"/>
    <w:rsid w:val="00853D5A"/>
    <w:rsid w:val="00853EF4"/>
    <w:rsid w:val="00853FB5"/>
    <w:rsid w:val="00854595"/>
    <w:rsid w:val="00854C28"/>
    <w:rsid w:val="00854F5E"/>
    <w:rsid w:val="00856187"/>
    <w:rsid w:val="00856924"/>
    <w:rsid w:val="00856A16"/>
    <w:rsid w:val="00860B59"/>
    <w:rsid w:val="00861B86"/>
    <w:rsid w:val="008622B2"/>
    <w:rsid w:val="0086369B"/>
    <w:rsid w:val="00863B7E"/>
    <w:rsid w:val="008644C3"/>
    <w:rsid w:val="008646E1"/>
    <w:rsid w:val="00864D92"/>
    <w:rsid w:val="0086507F"/>
    <w:rsid w:val="00865C18"/>
    <w:rsid w:val="00865FCC"/>
    <w:rsid w:val="00866E93"/>
    <w:rsid w:val="00867177"/>
    <w:rsid w:val="00867653"/>
    <w:rsid w:val="00867AAE"/>
    <w:rsid w:val="00870858"/>
    <w:rsid w:val="008711F0"/>
    <w:rsid w:val="008712BB"/>
    <w:rsid w:val="00871376"/>
    <w:rsid w:val="00871911"/>
    <w:rsid w:val="00871B69"/>
    <w:rsid w:val="00871CDD"/>
    <w:rsid w:val="0087222C"/>
    <w:rsid w:val="0087326E"/>
    <w:rsid w:val="0087334D"/>
    <w:rsid w:val="00873D17"/>
    <w:rsid w:val="00873F1F"/>
    <w:rsid w:val="00874728"/>
    <w:rsid w:val="00874C3E"/>
    <w:rsid w:val="00874E0B"/>
    <w:rsid w:val="00874F62"/>
    <w:rsid w:val="008751D9"/>
    <w:rsid w:val="008753F3"/>
    <w:rsid w:val="008759CC"/>
    <w:rsid w:val="00876793"/>
    <w:rsid w:val="00876841"/>
    <w:rsid w:val="00876934"/>
    <w:rsid w:val="00880281"/>
    <w:rsid w:val="00880974"/>
    <w:rsid w:val="00880F4B"/>
    <w:rsid w:val="008810B0"/>
    <w:rsid w:val="008812DB"/>
    <w:rsid w:val="0088149C"/>
    <w:rsid w:val="008814D9"/>
    <w:rsid w:val="008818DC"/>
    <w:rsid w:val="00881ABB"/>
    <w:rsid w:val="00881FBE"/>
    <w:rsid w:val="008827E8"/>
    <w:rsid w:val="00883952"/>
    <w:rsid w:val="00883F7E"/>
    <w:rsid w:val="0088464E"/>
    <w:rsid w:val="008848F6"/>
    <w:rsid w:val="008857F6"/>
    <w:rsid w:val="00885C79"/>
    <w:rsid w:val="00885D81"/>
    <w:rsid w:val="0088658C"/>
    <w:rsid w:val="008865C5"/>
    <w:rsid w:val="008865F3"/>
    <w:rsid w:val="008866F2"/>
    <w:rsid w:val="00886795"/>
    <w:rsid w:val="0088695A"/>
    <w:rsid w:val="00886A0C"/>
    <w:rsid w:val="00890988"/>
    <w:rsid w:val="008910BB"/>
    <w:rsid w:val="008924E4"/>
    <w:rsid w:val="00894D59"/>
    <w:rsid w:val="0089535A"/>
    <w:rsid w:val="008953BC"/>
    <w:rsid w:val="00895610"/>
    <w:rsid w:val="00895A02"/>
    <w:rsid w:val="0089609B"/>
    <w:rsid w:val="00897DBB"/>
    <w:rsid w:val="008A0081"/>
    <w:rsid w:val="008A036F"/>
    <w:rsid w:val="008A0D61"/>
    <w:rsid w:val="008A10F0"/>
    <w:rsid w:val="008A1973"/>
    <w:rsid w:val="008A1F01"/>
    <w:rsid w:val="008A20A2"/>
    <w:rsid w:val="008A46E1"/>
    <w:rsid w:val="008A78A4"/>
    <w:rsid w:val="008A7EBB"/>
    <w:rsid w:val="008B08ED"/>
    <w:rsid w:val="008B2815"/>
    <w:rsid w:val="008B29FB"/>
    <w:rsid w:val="008B580A"/>
    <w:rsid w:val="008B6655"/>
    <w:rsid w:val="008B670F"/>
    <w:rsid w:val="008B7756"/>
    <w:rsid w:val="008B7CE2"/>
    <w:rsid w:val="008B7EBE"/>
    <w:rsid w:val="008C01C3"/>
    <w:rsid w:val="008C04F8"/>
    <w:rsid w:val="008C0580"/>
    <w:rsid w:val="008C080A"/>
    <w:rsid w:val="008C16BC"/>
    <w:rsid w:val="008C1B1E"/>
    <w:rsid w:val="008C1C8E"/>
    <w:rsid w:val="008C1DFF"/>
    <w:rsid w:val="008C2B01"/>
    <w:rsid w:val="008C2C49"/>
    <w:rsid w:val="008C2E3B"/>
    <w:rsid w:val="008C3553"/>
    <w:rsid w:val="008C3843"/>
    <w:rsid w:val="008C3976"/>
    <w:rsid w:val="008C3AD7"/>
    <w:rsid w:val="008C3FED"/>
    <w:rsid w:val="008C4160"/>
    <w:rsid w:val="008C4486"/>
    <w:rsid w:val="008C4F55"/>
    <w:rsid w:val="008C52E5"/>
    <w:rsid w:val="008C633D"/>
    <w:rsid w:val="008C64BB"/>
    <w:rsid w:val="008C6500"/>
    <w:rsid w:val="008D0BE1"/>
    <w:rsid w:val="008D0C55"/>
    <w:rsid w:val="008D1129"/>
    <w:rsid w:val="008D2B02"/>
    <w:rsid w:val="008D310E"/>
    <w:rsid w:val="008D35D6"/>
    <w:rsid w:val="008D38E6"/>
    <w:rsid w:val="008D3ACA"/>
    <w:rsid w:val="008D3B04"/>
    <w:rsid w:val="008D4057"/>
    <w:rsid w:val="008D41AA"/>
    <w:rsid w:val="008D42F5"/>
    <w:rsid w:val="008D5658"/>
    <w:rsid w:val="008D57F2"/>
    <w:rsid w:val="008D5A2C"/>
    <w:rsid w:val="008D5EA9"/>
    <w:rsid w:val="008D660C"/>
    <w:rsid w:val="008D6D20"/>
    <w:rsid w:val="008E03E7"/>
    <w:rsid w:val="008E08D7"/>
    <w:rsid w:val="008E18E0"/>
    <w:rsid w:val="008E2510"/>
    <w:rsid w:val="008E2993"/>
    <w:rsid w:val="008E29E8"/>
    <w:rsid w:val="008E2D0D"/>
    <w:rsid w:val="008E406E"/>
    <w:rsid w:val="008E4D07"/>
    <w:rsid w:val="008E5BA8"/>
    <w:rsid w:val="008E5E7B"/>
    <w:rsid w:val="008E6248"/>
    <w:rsid w:val="008E6E2E"/>
    <w:rsid w:val="008E795E"/>
    <w:rsid w:val="008E7B10"/>
    <w:rsid w:val="008E7F11"/>
    <w:rsid w:val="008F0A69"/>
    <w:rsid w:val="008F0B54"/>
    <w:rsid w:val="008F0D36"/>
    <w:rsid w:val="008F0F07"/>
    <w:rsid w:val="008F12E5"/>
    <w:rsid w:val="008F1B9C"/>
    <w:rsid w:val="008F3862"/>
    <w:rsid w:val="008F3C58"/>
    <w:rsid w:val="008F41AD"/>
    <w:rsid w:val="008F43EF"/>
    <w:rsid w:val="008F4BA7"/>
    <w:rsid w:val="008F5D98"/>
    <w:rsid w:val="008F62AC"/>
    <w:rsid w:val="008F638D"/>
    <w:rsid w:val="008F6525"/>
    <w:rsid w:val="008F7129"/>
    <w:rsid w:val="008F7CF7"/>
    <w:rsid w:val="00900589"/>
    <w:rsid w:val="0090141A"/>
    <w:rsid w:val="00901561"/>
    <w:rsid w:val="009018FD"/>
    <w:rsid w:val="0090199F"/>
    <w:rsid w:val="0090237E"/>
    <w:rsid w:val="00902768"/>
    <w:rsid w:val="00902886"/>
    <w:rsid w:val="00903F22"/>
    <w:rsid w:val="00904460"/>
    <w:rsid w:val="00904BAF"/>
    <w:rsid w:val="00904CCA"/>
    <w:rsid w:val="00905D8D"/>
    <w:rsid w:val="00906CDD"/>
    <w:rsid w:val="00906DA4"/>
    <w:rsid w:val="0090764C"/>
    <w:rsid w:val="009079D6"/>
    <w:rsid w:val="00907DCA"/>
    <w:rsid w:val="00907F30"/>
    <w:rsid w:val="009100F0"/>
    <w:rsid w:val="00910156"/>
    <w:rsid w:val="00910CB0"/>
    <w:rsid w:val="00911313"/>
    <w:rsid w:val="00911626"/>
    <w:rsid w:val="00911956"/>
    <w:rsid w:val="00911A9C"/>
    <w:rsid w:val="009123F6"/>
    <w:rsid w:val="00913122"/>
    <w:rsid w:val="00913211"/>
    <w:rsid w:val="0091418F"/>
    <w:rsid w:val="00914432"/>
    <w:rsid w:val="0091456C"/>
    <w:rsid w:val="009148F5"/>
    <w:rsid w:val="00914FBA"/>
    <w:rsid w:val="00914FF7"/>
    <w:rsid w:val="00915BEE"/>
    <w:rsid w:val="0091766B"/>
    <w:rsid w:val="0092032F"/>
    <w:rsid w:val="00920768"/>
    <w:rsid w:val="0092170D"/>
    <w:rsid w:val="0092232D"/>
    <w:rsid w:val="0092240F"/>
    <w:rsid w:val="009233B7"/>
    <w:rsid w:val="00923F12"/>
    <w:rsid w:val="0092408E"/>
    <w:rsid w:val="00924450"/>
    <w:rsid w:val="0092446A"/>
    <w:rsid w:val="00925635"/>
    <w:rsid w:val="009256BB"/>
    <w:rsid w:val="00925A12"/>
    <w:rsid w:val="009260C1"/>
    <w:rsid w:val="00926409"/>
    <w:rsid w:val="00930320"/>
    <w:rsid w:val="00930CC8"/>
    <w:rsid w:val="00930E5E"/>
    <w:rsid w:val="0093119E"/>
    <w:rsid w:val="00931844"/>
    <w:rsid w:val="00932181"/>
    <w:rsid w:val="00932631"/>
    <w:rsid w:val="009329C5"/>
    <w:rsid w:val="00933C18"/>
    <w:rsid w:val="0093438A"/>
    <w:rsid w:val="0093461E"/>
    <w:rsid w:val="00934DDB"/>
    <w:rsid w:val="00935280"/>
    <w:rsid w:val="009360F2"/>
    <w:rsid w:val="0093641C"/>
    <w:rsid w:val="00937174"/>
    <w:rsid w:val="0093746D"/>
    <w:rsid w:val="00937A79"/>
    <w:rsid w:val="00940E85"/>
    <w:rsid w:val="0094129A"/>
    <w:rsid w:val="0094177F"/>
    <w:rsid w:val="00941CE0"/>
    <w:rsid w:val="00942C67"/>
    <w:rsid w:val="00942C8B"/>
    <w:rsid w:val="00944C10"/>
    <w:rsid w:val="00944F0D"/>
    <w:rsid w:val="00946921"/>
    <w:rsid w:val="00946D96"/>
    <w:rsid w:val="0095038D"/>
    <w:rsid w:val="009512EB"/>
    <w:rsid w:val="00951842"/>
    <w:rsid w:val="009527D8"/>
    <w:rsid w:val="00952A72"/>
    <w:rsid w:val="00952B08"/>
    <w:rsid w:val="00952D4A"/>
    <w:rsid w:val="00953278"/>
    <w:rsid w:val="009542B0"/>
    <w:rsid w:val="0095480D"/>
    <w:rsid w:val="00955103"/>
    <w:rsid w:val="00955374"/>
    <w:rsid w:val="00955FCA"/>
    <w:rsid w:val="00956F61"/>
    <w:rsid w:val="009570FC"/>
    <w:rsid w:val="00957984"/>
    <w:rsid w:val="00957B8C"/>
    <w:rsid w:val="009601CF"/>
    <w:rsid w:val="0096029B"/>
    <w:rsid w:val="00960F26"/>
    <w:rsid w:val="00960F66"/>
    <w:rsid w:val="0096110F"/>
    <w:rsid w:val="0096111D"/>
    <w:rsid w:val="00961D2D"/>
    <w:rsid w:val="009623DA"/>
    <w:rsid w:val="00962F08"/>
    <w:rsid w:val="00963708"/>
    <w:rsid w:val="00963F58"/>
    <w:rsid w:val="00963FBE"/>
    <w:rsid w:val="00964AB3"/>
    <w:rsid w:val="00964D02"/>
    <w:rsid w:val="00965252"/>
    <w:rsid w:val="00965AD7"/>
    <w:rsid w:val="00965FCB"/>
    <w:rsid w:val="00967204"/>
    <w:rsid w:val="0096794B"/>
    <w:rsid w:val="00967953"/>
    <w:rsid w:val="009679A3"/>
    <w:rsid w:val="00970503"/>
    <w:rsid w:val="0097053F"/>
    <w:rsid w:val="009722B7"/>
    <w:rsid w:val="0097278B"/>
    <w:rsid w:val="00973162"/>
    <w:rsid w:val="00973266"/>
    <w:rsid w:val="00974366"/>
    <w:rsid w:val="00975083"/>
    <w:rsid w:val="00975B65"/>
    <w:rsid w:val="00976126"/>
    <w:rsid w:val="00976D88"/>
    <w:rsid w:val="00977289"/>
    <w:rsid w:val="00977AB6"/>
    <w:rsid w:val="00981082"/>
    <w:rsid w:val="00981988"/>
    <w:rsid w:val="00981A2D"/>
    <w:rsid w:val="00981A94"/>
    <w:rsid w:val="00981EB7"/>
    <w:rsid w:val="009820FF"/>
    <w:rsid w:val="0098230E"/>
    <w:rsid w:val="009826BA"/>
    <w:rsid w:val="00982A9F"/>
    <w:rsid w:val="009838DB"/>
    <w:rsid w:val="009846BD"/>
    <w:rsid w:val="00984F86"/>
    <w:rsid w:val="00985633"/>
    <w:rsid w:val="009867C0"/>
    <w:rsid w:val="00986C0F"/>
    <w:rsid w:val="00990263"/>
    <w:rsid w:val="0099069F"/>
    <w:rsid w:val="00990CCB"/>
    <w:rsid w:val="00991107"/>
    <w:rsid w:val="00991B42"/>
    <w:rsid w:val="00991B47"/>
    <w:rsid w:val="00991C07"/>
    <w:rsid w:val="0099217B"/>
    <w:rsid w:val="00992474"/>
    <w:rsid w:val="009924E4"/>
    <w:rsid w:val="00992806"/>
    <w:rsid w:val="00992CFF"/>
    <w:rsid w:val="00993C6B"/>
    <w:rsid w:val="00994096"/>
    <w:rsid w:val="009951A1"/>
    <w:rsid w:val="00995D32"/>
    <w:rsid w:val="009963E6"/>
    <w:rsid w:val="00996803"/>
    <w:rsid w:val="00996B8E"/>
    <w:rsid w:val="00996E46"/>
    <w:rsid w:val="009978A4"/>
    <w:rsid w:val="009A0825"/>
    <w:rsid w:val="009A1E89"/>
    <w:rsid w:val="009A2515"/>
    <w:rsid w:val="009A36E7"/>
    <w:rsid w:val="009A3A90"/>
    <w:rsid w:val="009A3DDC"/>
    <w:rsid w:val="009A4320"/>
    <w:rsid w:val="009A4332"/>
    <w:rsid w:val="009A4588"/>
    <w:rsid w:val="009A4FC9"/>
    <w:rsid w:val="009A57C1"/>
    <w:rsid w:val="009A5801"/>
    <w:rsid w:val="009A69A4"/>
    <w:rsid w:val="009A6EE5"/>
    <w:rsid w:val="009A7774"/>
    <w:rsid w:val="009A7F7E"/>
    <w:rsid w:val="009B034A"/>
    <w:rsid w:val="009B0632"/>
    <w:rsid w:val="009B0803"/>
    <w:rsid w:val="009B1F11"/>
    <w:rsid w:val="009B1FE6"/>
    <w:rsid w:val="009B2AF9"/>
    <w:rsid w:val="009B32F3"/>
    <w:rsid w:val="009B334B"/>
    <w:rsid w:val="009B4449"/>
    <w:rsid w:val="009B5190"/>
    <w:rsid w:val="009B51FD"/>
    <w:rsid w:val="009B5227"/>
    <w:rsid w:val="009B6AA9"/>
    <w:rsid w:val="009B6FDC"/>
    <w:rsid w:val="009B78E2"/>
    <w:rsid w:val="009C2665"/>
    <w:rsid w:val="009C2AAC"/>
    <w:rsid w:val="009C3867"/>
    <w:rsid w:val="009C3A02"/>
    <w:rsid w:val="009C426B"/>
    <w:rsid w:val="009C4E34"/>
    <w:rsid w:val="009C58CE"/>
    <w:rsid w:val="009C61A1"/>
    <w:rsid w:val="009C6899"/>
    <w:rsid w:val="009C7498"/>
    <w:rsid w:val="009C7790"/>
    <w:rsid w:val="009D0010"/>
    <w:rsid w:val="009D06F9"/>
    <w:rsid w:val="009D1852"/>
    <w:rsid w:val="009D2493"/>
    <w:rsid w:val="009D3128"/>
    <w:rsid w:val="009D353B"/>
    <w:rsid w:val="009D3D2D"/>
    <w:rsid w:val="009D3FBB"/>
    <w:rsid w:val="009D532F"/>
    <w:rsid w:val="009D5408"/>
    <w:rsid w:val="009D5BF7"/>
    <w:rsid w:val="009D5C0F"/>
    <w:rsid w:val="009D6215"/>
    <w:rsid w:val="009D6DC4"/>
    <w:rsid w:val="009D72CD"/>
    <w:rsid w:val="009D7429"/>
    <w:rsid w:val="009D746E"/>
    <w:rsid w:val="009D7677"/>
    <w:rsid w:val="009E03C2"/>
    <w:rsid w:val="009E0688"/>
    <w:rsid w:val="009E0C2E"/>
    <w:rsid w:val="009E1C92"/>
    <w:rsid w:val="009E1EB8"/>
    <w:rsid w:val="009E1F1E"/>
    <w:rsid w:val="009E255B"/>
    <w:rsid w:val="009E3342"/>
    <w:rsid w:val="009E3C1F"/>
    <w:rsid w:val="009E4AC7"/>
    <w:rsid w:val="009E4E7A"/>
    <w:rsid w:val="009E5AE9"/>
    <w:rsid w:val="009E5B9B"/>
    <w:rsid w:val="009E637F"/>
    <w:rsid w:val="009E6590"/>
    <w:rsid w:val="009E6D59"/>
    <w:rsid w:val="009F245D"/>
    <w:rsid w:val="009F24E3"/>
    <w:rsid w:val="009F2800"/>
    <w:rsid w:val="009F2D94"/>
    <w:rsid w:val="009F2E2B"/>
    <w:rsid w:val="009F3025"/>
    <w:rsid w:val="009F3FFC"/>
    <w:rsid w:val="009F4102"/>
    <w:rsid w:val="009F417F"/>
    <w:rsid w:val="009F4DC3"/>
    <w:rsid w:val="009F5294"/>
    <w:rsid w:val="009F5CEE"/>
    <w:rsid w:val="009F64EF"/>
    <w:rsid w:val="009F6DB6"/>
    <w:rsid w:val="009F7770"/>
    <w:rsid w:val="009F7FEF"/>
    <w:rsid w:val="00A008D7"/>
    <w:rsid w:val="00A01BD6"/>
    <w:rsid w:val="00A01DC5"/>
    <w:rsid w:val="00A023DA"/>
    <w:rsid w:val="00A024D2"/>
    <w:rsid w:val="00A02A1F"/>
    <w:rsid w:val="00A02AFE"/>
    <w:rsid w:val="00A02F78"/>
    <w:rsid w:val="00A030F3"/>
    <w:rsid w:val="00A038CF"/>
    <w:rsid w:val="00A03B83"/>
    <w:rsid w:val="00A04A95"/>
    <w:rsid w:val="00A069CE"/>
    <w:rsid w:val="00A06BC9"/>
    <w:rsid w:val="00A10882"/>
    <w:rsid w:val="00A114E0"/>
    <w:rsid w:val="00A12F4C"/>
    <w:rsid w:val="00A14BFA"/>
    <w:rsid w:val="00A14D61"/>
    <w:rsid w:val="00A15429"/>
    <w:rsid w:val="00A1587B"/>
    <w:rsid w:val="00A15DF7"/>
    <w:rsid w:val="00A16D46"/>
    <w:rsid w:val="00A170C3"/>
    <w:rsid w:val="00A17C5F"/>
    <w:rsid w:val="00A20DDF"/>
    <w:rsid w:val="00A2134A"/>
    <w:rsid w:val="00A21A28"/>
    <w:rsid w:val="00A21BFD"/>
    <w:rsid w:val="00A21D9D"/>
    <w:rsid w:val="00A21EFB"/>
    <w:rsid w:val="00A233E2"/>
    <w:rsid w:val="00A2367B"/>
    <w:rsid w:val="00A236DC"/>
    <w:rsid w:val="00A23C78"/>
    <w:rsid w:val="00A24123"/>
    <w:rsid w:val="00A242BF"/>
    <w:rsid w:val="00A24944"/>
    <w:rsid w:val="00A24CF7"/>
    <w:rsid w:val="00A25F3B"/>
    <w:rsid w:val="00A26422"/>
    <w:rsid w:val="00A26B7E"/>
    <w:rsid w:val="00A26E69"/>
    <w:rsid w:val="00A275EF"/>
    <w:rsid w:val="00A275F7"/>
    <w:rsid w:val="00A303FB"/>
    <w:rsid w:val="00A30946"/>
    <w:rsid w:val="00A32647"/>
    <w:rsid w:val="00A33ED7"/>
    <w:rsid w:val="00A34524"/>
    <w:rsid w:val="00A347F0"/>
    <w:rsid w:val="00A349AC"/>
    <w:rsid w:val="00A34D46"/>
    <w:rsid w:val="00A3571B"/>
    <w:rsid w:val="00A35B31"/>
    <w:rsid w:val="00A35FA2"/>
    <w:rsid w:val="00A36331"/>
    <w:rsid w:val="00A366CA"/>
    <w:rsid w:val="00A3718E"/>
    <w:rsid w:val="00A40DCA"/>
    <w:rsid w:val="00A414D4"/>
    <w:rsid w:val="00A41542"/>
    <w:rsid w:val="00A41557"/>
    <w:rsid w:val="00A41B2E"/>
    <w:rsid w:val="00A420B5"/>
    <w:rsid w:val="00A423CC"/>
    <w:rsid w:val="00A42CCD"/>
    <w:rsid w:val="00A42D4E"/>
    <w:rsid w:val="00A42EB8"/>
    <w:rsid w:val="00A4338F"/>
    <w:rsid w:val="00A43582"/>
    <w:rsid w:val="00A4376A"/>
    <w:rsid w:val="00A4381F"/>
    <w:rsid w:val="00A445E1"/>
    <w:rsid w:val="00A44F92"/>
    <w:rsid w:val="00A45CFF"/>
    <w:rsid w:val="00A45F47"/>
    <w:rsid w:val="00A46280"/>
    <w:rsid w:val="00A46454"/>
    <w:rsid w:val="00A4672B"/>
    <w:rsid w:val="00A473FC"/>
    <w:rsid w:val="00A4763C"/>
    <w:rsid w:val="00A47F3B"/>
    <w:rsid w:val="00A47F4E"/>
    <w:rsid w:val="00A509A8"/>
    <w:rsid w:val="00A50D4C"/>
    <w:rsid w:val="00A50D9A"/>
    <w:rsid w:val="00A5139B"/>
    <w:rsid w:val="00A513A8"/>
    <w:rsid w:val="00A5147D"/>
    <w:rsid w:val="00A51D8C"/>
    <w:rsid w:val="00A52DD1"/>
    <w:rsid w:val="00A52F39"/>
    <w:rsid w:val="00A549E7"/>
    <w:rsid w:val="00A56838"/>
    <w:rsid w:val="00A5719D"/>
    <w:rsid w:val="00A576FB"/>
    <w:rsid w:val="00A60538"/>
    <w:rsid w:val="00A6094E"/>
    <w:rsid w:val="00A61452"/>
    <w:rsid w:val="00A61B59"/>
    <w:rsid w:val="00A62CC5"/>
    <w:rsid w:val="00A62EF5"/>
    <w:rsid w:val="00A639EC"/>
    <w:rsid w:val="00A643C1"/>
    <w:rsid w:val="00A64726"/>
    <w:rsid w:val="00A658D0"/>
    <w:rsid w:val="00A65A41"/>
    <w:rsid w:val="00A67080"/>
    <w:rsid w:val="00A67259"/>
    <w:rsid w:val="00A67831"/>
    <w:rsid w:val="00A70220"/>
    <w:rsid w:val="00A70949"/>
    <w:rsid w:val="00A717CD"/>
    <w:rsid w:val="00A71AC5"/>
    <w:rsid w:val="00A7246D"/>
    <w:rsid w:val="00A737A4"/>
    <w:rsid w:val="00A73C8F"/>
    <w:rsid w:val="00A73ED3"/>
    <w:rsid w:val="00A73FAD"/>
    <w:rsid w:val="00A74326"/>
    <w:rsid w:val="00A7481D"/>
    <w:rsid w:val="00A74C9A"/>
    <w:rsid w:val="00A74F8A"/>
    <w:rsid w:val="00A75502"/>
    <w:rsid w:val="00A75B7C"/>
    <w:rsid w:val="00A75FF4"/>
    <w:rsid w:val="00A76731"/>
    <w:rsid w:val="00A77A0C"/>
    <w:rsid w:val="00A77F42"/>
    <w:rsid w:val="00A805A0"/>
    <w:rsid w:val="00A8104D"/>
    <w:rsid w:val="00A8154D"/>
    <w:rsid w:val="00A81783"/>
    <w:rsid w:val="00A81B74"/>
    <w:rsid w:val="00A8283A"/>
    <w:rsid w:val="00A83A56"/>
    <w:rsid w:val="00A84062"/>
    <w:rsid w:val="00A859DE"/>
    <w:rsid w:val="00A85EC9"/>
    <w:rsid w:val="00A8607D"/>
    <w:rsid w:val="00A86856"/>
    <w:rsid w:val="00A86E2A"/>
    <w:rsid w:val="00A876BC"/>
    <w:rsid w:val="00A877A1"/>
    <w:rsid w:val="00A87A7A"/>
    <w:rsid w:val="00A87D77"/>
    <w:rsid w:val="00A87E69"/>
    <w:rsid w:val="00A90F31"/>
    <w:rsid w:val="00A90F70"/>
    <w:rsid w:val="00A91228"/>
    <w:rsid w:val="00A91BAB"/>
    <w:rsid w:val="00A930CF"/>
    <w:rsid w:val="00A94028"/>
    <w:rsid w:val="00A9404C"/>
    <w:rsid w:val="00A94AAA"/>
    <w:rsid w:val="00A950EC"/>
    <w:rsid w:val="00A955A0"/>
    <w:rsid w:val="00A9592D"/>
    <w:rsid w:val="00A96A6D"/>
    <w:rsid w:val="00A97503"/>
    <w:rsid w:val="00A97725"/>
    <w:rsid w:val="00AA0225"/>
    <w:rsid w:val="00AA02AA"/>
    <w:rsid w:val="00AA085F"/>
    <w:rsid w:val="00AA0F33"/>
    <w:rsid w:val="00AA14E7"/>
    <w:rsid w:val="00AA1D4F"/>
    <w:rsid w:val="00AA30A7"/>
    <w:rsid w:val="00AA3352"/>
    <w:rsid w:val="00AA3C16"/>
    <w:rsid w:val="00AA67EC"/>
    <w:rsid w:val="00AA6AB4"/>
    <w:rsid w:val="00AA6C09"/>
    <w:rsid w:val="00AA6FF9"/>
    <w:rsid w:val="00AA7FD9"/>
    <w:rsid w:val="00AB04C4"/>
    <w:rsid w:val="00AB0D35"/>
    <w:rsid w:val="00AB0E9F"/>
    <w:rsid w:val="00AB11D9"/>
    <w:rsid w:val="00AB14E9"/>
    <w:rsid w:val="00AB1FD3"/>
    <w:rsid w:val="00AB20D2"/>
    <w:rsid w:val="00AB2820"/>
    <w:rsid w:val="00AB423B"/>
    <w:rsid w:val="00AB4A5E"/>
    <w:rsid w:val="00AB4AD9"/>
    <w:rsid w:val="00AB4C9B"/>
    <w:rsid w:val="00AB568E"/>
    <w:rsid w:val="00AB5CEC"/>
    <w:rsid w:val="00AC0847"/>
    <w:rsid w:val="00AC0E28"/>
    <w:rsid w:val="00AC166F"/>
    <w:rsid w:val="00AC1871"/>
    <w:rsid w:val="00AC2D14"/>
    <w:rsid w:val="00AC3096"/>
    <w:rsid w:val="00AC3748"/>
    <w:rsid w:val="00AC39F7"/>
    <w:rsid w:val="00AC3A0C"/>
    <w:rsid w:val="00AC4A97"/>
    <w:rsid w:val="00AC586C"/>
    <w:rsid w:val="00AC5A4E"/>
    <w:rsid w:val="00AC5BF2"/>
    <w:rsid w:val="00AC6AD5"/>
    <w:rsid w:val="00AC6FFC"/>
    <w:rsid w:val="00AC73D0"/>
    <w:rsid w:val="00AC7B07"/>
    <w:rsid w:val="00AC7B2A"/>
    <w:rsid w:val="00AC7E54"/>
    <w:rsid w:val="00AD0EA7"/>
    <w:rsid w:val="00AD117F"/>
    <w:rsid w:val="00AD1736"/>
    <w:rsid w:val="00AD178A"/>
    <w:rsid w:val="00AD1F40"/>
    <w:rsid w:val="00AD1F6B"/>
    <w:rsid w:val="00AD26CA"/>
    <w:rsid w:val="00AD2AD8"/>
    <w:rsid w:val="00AD2AFE"/>
    <w:rsid w:val="00AD2C4D"/>
    <w:rsid w:val="00AD2D46"/>
    <w:rsid w:val="00AD34DE"/>
    <w:rsid w:val="00AD358F"/>
    <w:rsid w:val="00AD3AA6"/>
    <w:rsid w:val="00AD4107"/>
    <w:rsid w:val="00AD5969"/>
    <w:rsid w:val="00AD62EF"/>
    <w:rsid w:val="00AD6EEA"/>
    <w:rsid w:val="00AD7783"/>
    <w:rsid w:val="00AE0D81"/>
    <w:rsid w:val="00AE10BC"/>
    <w:rsid w:val="00AE1BC6"/>
    <w:rsid w:val="00AE1CB6"/>
    <w:rsid w:val="00AE20B0"/>
    <w:rsid w:val="00AE2B83"/>
    <w:rsid w:val="00AE2C8B"/>
    <w:rsid w:val="00AE305B"/>
    <w:rsid w:val="00AE3CB0"/>
    <w:rsid w:val="00AE4C3B"/>
    <w:rsid w:val="00AE5D62"/>
    <w:rsid w:val="00AE6554"/>
    <w:rsid w:val="00AE66AA"/>
    <w:rsid w:val="00AE77E5"/>
    <w:rsid w:val="00AE795F"/>
    <w:rsid w:val="00AE79CD"/>
    <w:rsid w:val="00AE7BB8"/>
    <w:rsid w:val="00AF0C8C"/>
    <w:rsid w:val="00AF0D70"/>
    <w:rsid w:val="00AF128D"/>
    <w:rsid w:val="00AF270E"/>
    <w:rsid w:val="00AF290F"/>
    <w:rsid w:val="00AF30C8"/>
    <w:rsid w:val="00AF37D4"/>
    <w:rsid w:val="00AF3ABC"/>
    <w:rsid w:val="00AF476E"/>
    <w:rsid w:val="00AF63B8"/>
    <w:rsid w:val="00AF64EB"/>
    <w:rsid w:val="00AF74BA"/>
    <w:rsid w:val="00AF758A"/>
    <w:rsid w:val="00AF7821"/>
    <w:rsid w:val="00B00064"/>
    <w:rsid w:val="00B0023B"/>
    <w:rsid w:val="00B028CA"/>
    <w:rsid w:val="00B02B0E"/>
    <w:rsid w:val="00B02C03"/>
    <w:rsid w:val="00B031EF"/>
    <w:rsid w:val="00B03F4A"/>
    <w:rsid w:val="00B04593"/>
    <w:rsid w:val="00B0490E"/>
    <w:rsid w:val="00B04A9E"/>
    <w:rsid w:val="00B07673"/>
    <w:rsid w:val="00B10587"/>
    <w:rsid w:val="00B1117D"/>
    <w:rsid w:val="00B11957"/>
    <w:rsid w:val="00B12B10"/>
    <w:rsid w:val="00B13A7A"/>
    <w:rsid w:val="00B1416B"/>
    <w:rsid w:val="00B14C20"/>
    <w:rsid w:val="00B15B0B"/>
    <w:rsid w:val="00B15E24"/>
    <w:rsid w:val="00B16219"/>
    <w:rsid w:val="00B1641D"/>
    <w:rsid w:val="00B1663B"/>
    <w:rsid w:val="00B170A1"/>
    <w:rsid w:val="00B17262"/>
    <w:rsid w:val="00B1778E"/>
    <w:rsid w:val="00B20489"/>
    <w:rsid w:val="00B20903"/>
    <w:rsid w:val="00B21621"/>
    <w:rsid w:val="00B21A0F"/>
    <w:rsid w:val="00B21E84"/>
    <w:rsid w:val="00B226DB"/>
    <w:rsid w:val="00B2274B"/>
    <w:rsid w:val="00B231D7"/>
    <w:rsid w:val="00B23B78"/>
    <w:rsid w:val="00B23CAC"/>
    <w:rsid w:val="00B248D2"/>
    <w:rsid w:val="00B25B27"/>
    <w:rsid w:val="00B26125"/>
    <w:rsid w:val="00B2677B"/>
    <w:rsid w:val="00B26CB2"/>
    <w:rsid w:val="00B26F0D"/>
    <w:rsid w:val="00B270B3"/>
    <w:rsid w:val="00B3006A"/>
    <w:rsid w:val="00B304E3"/>
    <w:rsid w:val="00B306D1"/>
    <w:rsid w:val="00B30CAC"/>
    <w:rsid w:val="00B30FC6"/>
    <w:rsid w:val="00B329D1"/>
    <w:rsid w:val="00B33076"/>
    <w:rsid w:val="00B3351E"/>
    <w:rsid w:val="00B339E7"/>
    <w:rsid w:val="00B34077"/>
    <w:rsid w:val="00B34493"/>
    <w:rsid w:val="00B35948"/>
    <w:rsid w:val="00B35A2C"/>
    <w:rsid w:val="00B361E8"/>
    <w:rsid w:val="00B36A1B"/>
    <w:rsid w:val="00B36CC0"/>
    <w:rsid w:val="00B3731F"/>
    <w:rsid w:val="00B37408"/>
    <w:rsid w:val="00B37476"/>
    <w:rsid w:val="00B37C33"/>
    <w:rsid w:val="00B37FC3"/>
    <w:rsid w:val="00B40D30"/>
    <w:rsid w:val="00B41837"/>
    <w:rsid w:val="00B42370"/>
    <w:rsid w:val="00B42B10"/>
    <w:rsid w:val="00B432D6"/>
    <w:rsid w:val="00B436EA"/>
    <w:rsid w:val="00B43D88"/>
    <w:rsid w:val="00B445BD"/>
    <w:rsid w:val="00B45018"/>
    <w:rsid w:val="00B4545E"/>
    <w:rsid w:val="00B45641"/>
    <w:rsid w:val="00B4667D"/>
    <w:rsid w:val="00B46B98"/>
    <w:rsid w:val="00B470EE"/>
    <w:rsid w:val="00B475E3"/>
    <w:rsid w:val="00B47789"/>
    <w:rsid w:val="00B47EA7"/>
    <w:rsid w:val="00B504BA"/>
    <w:rsid w:val="00B505F9"/>
    <w:rsid w:val="00B50E51"/>
    <w:rsid w:val="00B51B1E"/>
    <w:rsid w:val="00B52169"/>
    <w:rsid w:val="00B52F95"/>
    <w:rsid w:val="00B52F9F"/>
    <w:rsid w:val="00B53443"/>
    <w:rsid w:val="00B54849"/>
    <w:rsid w:val="00B54BEA"/>
    <w:rsid w:val="00B557F4"/>
    <w:rsid w:val="00B55ABB"/>
    <w:rsid w:val="00B55AF7"/>
    <w:rsid w:val="00B564F3"/>
    <w:rsid w:val="00B5687A"/>
    <w:rsid w:val="00B56B2B"/>
    <w:rsid w:val="00B56C91"/>
    <w:rsid w:val="00B56FD7"/>
    <w:rsid w:val="00B574BD"/>
    <w:rsid w:val="00B5776F"/>
    <w:rsid w:val="00B57808"/>
    <w:rsid w:val="00B60243"/>
    <w:rsid w:val="00B60253"/>
    <w:rsid w:val="00B60988"/>
    <w:rsid w:val="00B61AE9"/>
    <w:rsid w:val="00B61D6E"/>
    <w:rsid w:val="00B64949"/>
    <w:rsid w:val="00B650A4"/>
    <w:rsid w:val="00B66264"/>
    <w:rsid w:val="00B66632"/>
    <w:rsid w:val="00B70879"/>
    <w:rsid w:val="00B709B0"/>
    <w:rsid w:val="00B70A40"/>
    <w:rsid w:val="00B70B47"/>
    <w:rsid w:val="00B70C21"/>
    <w:rsid w:val="00B727D5"/>
    <w:rsid w:val="00B72BCD"/>
    <w:rsid w:val="00B72CD1"/>
    <w:rsid w:val="00B72FB6"/>
    <w:rsid w:val="00B73753"/>
    <w:rsid w:val="00B74053"/>
    <w:rsid w:val="00B75628"/>
    <w:rsid w:val="00B76330"/>
    <w:rsid w:val="00B77A92"/>
    <w:rsid w:val="00B80675"/>
    <w:rsid w:val="00B813CD"/>
    <w:rsid w:val="00B8191D"/>
    <w:rsid w:val="00B81A1C"/>
    <w:rsid w:val="00B81B6D"/>
    <w:rsid w:val="00B826D3"/>
    <w:rsid w:val="00B82AE3"/>
    <w:rsid w:val="00B834AE"/>
    <w:rsid w:val="00B856AB"/>
    <w:rsid w:val="00B85AA3"/>
    <w:rsid w:val="00B85D0A"/>
    <w:rsid w:val="00B861B6"/>
    <w:rsid w:val="00B8627B"/>
    <w:rsid w:val="00B86582"/>
    <w:rsid w:val="00B867AC"/>
    <w:rsid w:val="00B869CE"/>
    <w:rsid w:val="00B86A2E"/>
    <w:rsid w:val="00B87306"/>
    <w:rsid w:val="00B87867"/>
    <w:rsid w:val="00B9009D"/>
    <w:rsid w:val="00B9016C"/>
    <w:rsid w:val="00B90242"/>
    <w:rsid w:val="00B9071D"/>
    <w:rsid w:val="00B909C6"/>
    <w:rsid w:val="00B91851"/>
    <w:rsid w:val="00B91E81"/>
    <w:rsid w:val="00B9258E"/>
    <w:rsid w:val="00B92AD1"/>
    <w:rsid w:val="00B92DFE"/>
    <w:rsid w:val="00B92E5C"/>
    <w:rsid w:val="00B93299"/>
    <w:rsid w:val="00B938D5"/>
    <w:rsid w:val="00B93A8F"/>
    <w:rsid w:val="00B93BDB"/>
    <w:rsid w:val="00B93EE0"/>
    <w:rsid w:val="00B942DB"/>
    <w:rsid w:val="00B94CDD"/>
    <w:rsid w:val="00B95983"/>
    <w:rsid w:val="00B95AF2"/>
    <w:rsid w:val="00B95E9C"/>
    <w:rsid w:val="00B96296"/>
    <w:rsid w:val="00B9680F"/>
    <w:rsid w:val="00BA045F"/>
    <w:rsid w:val="00BA1BDD"/>
    <w:rsid w:val="00BA1FF9"/>
    <w:rsid w:val="00BA2544"/>
    <w:rsid w:val="00BA36FD"/>
    <w:rsid w:val="00BA3770"/>
    <w:rsid w:val="00BA4606"/>
    <w:rsid w:val="00BA46E9"/>
    <w:rsid w:val="00BA4920"/>
    <w:rsid w:val="00BA55CC"/>
    <w:rsid w:val="00BA56C0"/>
    <w:rsid w:val="00BA636A"/>
    <w:rsid w:val="00BA79BB"/>
    <w:rsid w:val="00BB02EC"/>
    <w:rsid w:val="00BB06D0"/>
    <w:rsid w:val="00BB07F4"/>
    <w:rsid w:val="00BB0A4D"/>
    <w:rsid w:val="00BB1348"/>
    <w:rsid w:val="00BB1740"/>
    <w:rsid w:val="00BB203E"/>
    <w:rsid w:val="00BB3283"/>
    <w:rsid w:val="00BB3BB6"/>
    <w:rsid w:val="00BB42BD"/>
    <w:rsid w:val="00BB51B2"/>
    <w:rsid w:val="00BB5C38"/>
    <w:rsid w:val="00BB61F5"/>
    <w:rsid w:val="00BB7C5E"/>
    <w:rsid w:val="00BB7F7B"/>
    <w:rsid w:val="00BC05D2"/>
    <w:rsid w:val="00BC0649"/>
    <w:rsid w:val="00BC1783"/>
    <w:rsid w:val="00BC189A"/>
    <w:rsid w:val="00BC1AA1"/>
    <w:rsid w:val="00BC1E4B"/>
    <w:rsid w:val="00BC211D"/>
    <w:rsid w:val="00BC271D"/>
    <w:rsid w:val="00BC2B30"/>
    <w:rsid w:val="00BC302A"/>
    <w:rsid w:val="00BC31D9"/>
    <w:rsid w:val="00BC3A1E"/>
    <w:rsid w:val="00BC453F"/>
    <w:rsid w:val="00BC5127"/>
    <w:rsid w:val="00BC5353"/>
    <w:rsid w:val="00BC54DE"/>
    <w:rsid w:val="00BC5D3C"/>
    <w:rsid w:val="00BC5FE6"/>
    <w:rsid w:val="00BC6BAC"/>
    <w:rsid w:val="00BC6C4A"/>
    <w:rsid w:val="00BC778B"/>
    <w:rsid w:val="00BC7A67"/>
    <w:rsid w:val="00BC7B33"/>
    <w:rsid w:val="00BC7B3C"/>
    <w:rsid w:val="00BC7C8D"/>
    <w:rsid w:val="00BC7FB3"/>
    <w:rsid w:val="00BD0057"/>
    <w:rsid w:val="00BD0385"/>
    <w:rsid w:val="00BD0EBF"/>
    <w:rsid w:val="00BD127C"/>
    <w:rsid w:val="00BD152D"/>
    <w:rsid w:val="00BD1736"/>
    <w:rsid w:val="00BD20FD"/>
    <w:rsid w:val="00BD26F0"/>
    <w:rsid w:val="00BD2FA6"/>
    <w:rsid w:val="00BD319A"/>
    <w:rsid w:val="00BD42EF"/>
    <w:rsid w:val="00BD4D98"/>
    <w:rsid w:val="00BD4DD7"/>
    <w:rsid w:val="00BD4E84"/>
    <w:rsid w:val="00BD5EB5"/>
    <w:rsid w:val="00BD5EBE"/>
    <w:rsid w:val="00BD5F3E"/>
    <w:rsid w:val="00BD6822"/>
    <w:rsid w:val="00BD7404"/>
    <w:rsid w:val="00BD7579"/>
    <w:rsid w:val="00BD7B2D"/>
    <w:rsid w:val="00BE005D"/>
    <w:rsid w:val="00BE0E83"/>
    <w:rsid w:val="00BE3370"/>
    <w:rsid w:val="00BE3419"/>
    <w:rsid w:val="00BE3E94"/>
    <w:rsid w:val="00BE416A"/>
    <w:rsid w:val="00BE4722"/>
    <w:rsid w:val="00BE47E2"/>
    <w:rsid w:val="00BE4E5D"/>
    <w:rsid w:val="00BE4F79"/>
    <w:rsid w:val="00BE5B13"/>
    <w:rsid w:val="00BE5B4C"/>
    <w:rsid w:val="00BE636C"/>
    <w:rsid w:val="00BE643A"/>
    <w:rsid w:val="00BE6701"/>
    <w:rsid w:val="00BE6E8E"/>
    <w:rsid w:val="00BE7833"/>
    <w:rsid w:val="00BE7881"/>
    <w:rsid w:val="00BF0A31"/>
    <w:rsid w:val="00BF1097"/>
    <w:rsid w:val="00BF1250"/>
    <w:rsid w:val="00BF1836"/>
    <w:rsid w:val="00BF1E08"/>
    <w:rsid w:val="00BF225B"/>
    <w:rsid w:val="00BF2D02"/>
    <w:rsid w:val="00BF2DD5"/>
    <w:rsid w:val="00BF3439"/>
    <w:rsid w:val="00BF3E68"/>
    <w:rsid w:val="00BF406A"/>
    <w:rsid w:val="00BF4603"/>
    <w:rsid w:val="00BF4691"/>
    <w:rsid w:val="00BF4CFD"/>
    <w:rsid w:val="00BF4EF9"/>
    <w:rsid w:val="00BF530A"/>
    <w:rsid w:val="00BF5937"/>
    <w:rsid w:val="00BF69B8"/>
    <w:rsid w:val="00C002A4"/>
    <w:rsid w:val="00C0030F"/>
    <w:rsid w:val="00C008D8"/>
    <w:rsid w:val="00C019D1"/>
    <w:rsid w:val="00C01EEA"/>
    <w:rsid w:val="00C04C81"/>
    <w:rsid w:val="00C05720"/>
    <w:rsid w:val="00C070FA"/>
    <w:rsid w:val="00C072CF"/>
    <w:rsid w:val="00C0757E"/>
    <w:rsid w:val="00C1077E"/>
    <w:rsid w:val="00C109F0"/>
    <w:rsid w:val="00C1128E"/>
    <w:rsid w:val="00C11BD5"/>
    <w:rsid w:val="00C11CD0"/>
    <w:rsid w:val="00C126F6"/>
    <w:rsid w:val="00C1284A"/>
    <w:rsid w:val="00C135E0"/>
    <w:rsid w:val="00C13F35"/>
    <w:rsid w:val="00C14A97"/>
    <w:rsid w:val="00C1608A"/>
    <w:rsid w:val="00C16113"/>
    <w:rsid w:val="00C161F8"/>
    <w:rsid w:val="00C16344"/>
    <w:rsid w:val="00C1635E"/>
    <w:rsid w:val="00C16882"/>
    <w:rsid w:val="00C170F0"/>
    <w:rsid w:val="00C17175"/>
    <w:rsid w:val="00C20120"/>
    <w:rsid w:val="00C20604"/>
    <w:rsid w:val="00C206D0"/>
    <w:rsid w:val="00C208B2"/>
    <w:rsid w:val="00C22DC5"/>
    <w:rsid w:val="00C2324D"/>
    <w:rsid w:val="00C236DA"/>
    <w:rsid w:val="00C248C8"/>
    <w:rsid w:val="00C24A28"/>
    <w:rsid w:val="00C24C39"/>
    <w:rsid w:val="00C24EEA"/>
    <w:rsid w:val="00C26391"/>
    <w:rsid w:val="00C2649F"/>
    <w:rsid w:val="00C26FF7"/>
    <w:rsid w:val="00C271E1"/>
    <w:rsid w:val="00C27680"/>
    <w:rsid w:val="00C27BC4"/>
    <w:rsid w:val="00C3041D"/>
    <w:rsid w:val="00C316FD"/>
    <w:rsid w:val="00C31B6F"/>
    <w:rsid w:val="00C328E9"/>
    <w:rsid w:val="00C33717"/>
    <w:rsid w:val="00C339D2"/>
    <w:rsid w:val="00C33D8D"/>
    <w:rsid w:val="00C34B0C"/>
    <w:rsid w:val="00C34D50"/>
    <w:rsid w:val="00C35814"/>
    <w:rsid w:val="00C3595E"/>
    <w:rsid w:val="00C359A0"/>
    <w:rsid w:val="00C360BF"/>
    <w:rsid w:val="00C365A4"/>
    <w:rsid w:val="00C3679A"/>
    <w:rsid w:val="00C3688F"/>
    <w:rsid w:val="00C369C6"/>
    <w:rsid w:val="00C36CC9"/>
    <w:rsid w:val="00C36DEF"/>
    <w:rsid w:val="00C4128E"/>
    <w:rsid w:val="00C412D6"/>
    <w:rsid w:val="00C42176"/>
    <w:rsid w:val="00C4258E"/>
    <w:rsid w:val="00C425B5"/>
    <w:rsid w:val="00C4263E"/>
    <w:rsid w:val="00C4368D"/>
    <w:rsid w:val="00C43E71"/>
    <w:rsid w:val="00C44A81"/>
    <w:rsid w:val="00C44A92"/>
    <w:rsid w:val="00C45A86"/>
    <w:rsid w:val="00C46082"/>
    <w:rsid w:val="00C46707"/>
    <w:rsid w:val="00C467D9"/>
    <w:rsid w:val="00C46EB3"/>
    <w:rsid w:val="00C47235"/>
    <w:rsid w:val="00C4761D"/>
    <w:rsid w:val="00C5014B"/>
    <w:rsid w:val="00C5014C"/>
    <w:rsid w:val="00C5035A"/>
    <w:rsid w:val="00C50729"/>
    <w:rsid w:val="00C50B4F"/>
    <w:rsid w:val="00C50DEB"/>
    <w:rsid w:val="00C51EFE"/>
    <w:rsid w:val="00C53528"/>
    <w:rsid w:val="00C53646"/>
    <w:rsid w:val="00C554E4"/>
    <w:rsid w:val="00C55AE6"/>
    <w:rsid w:val="00C55C8D"/>
    <w:rsid w:val="00C561B9"/>
    <w:rsid w:val="00C60BF8"/>
    <w:rsid w:val="00C60DDF"/>
    <w:rsid w:val="00C616CE"/>
    <w:rsid w:val="00C6181D"/>
    <w:rsid w:val="00C62093"/>
    <w:rsid w:val="00C62F8F"/>
    <w:rsid w:val="00C634BB"/>
    <w:rsid w:val="00C63EBC"/>
    <w:rsid w:val="00C63FDE"/>
    <w:rsid w:val="00C64034"/>
    <w:rsid w:val="00C64055"/>
    <w:rsid w:val="00C64F19"/>
    <w:rsid w:val="00C6500C"/>
    <w:rsid w:val="00C650A0"/>
    <w:rsid w:val="00C65287"/>
    <w:rsid w:val="00C65CD9"/>
    <w:rsid w:val="00C668C0"/>
    <w:rsid w:val="00C676AD"/>
    <w:rsid w:val="00C708EE"/>
    <w:rsid w:val="00C71837"/>
    <w:rsid w:val="00C71925"/>
    <w:rsid w:val="00C71BBA"/>
    <w:rsid w:val="00C71DAB"/>
    <w:rsid w:val="00C720F3"/>
    <w:rsid w:val="00C72CFA"/>
    <w:rsid w:val="00C73566"/>
    <w:rsid w:val="00C736FD"/>
    <w:rsid w:val="00C74AA1"/>
    <w:rsid w:val="00C7504A"/>
    <w:rsid w:val="00C751C5"/>
    <w:rsid w:val="00C76924"/>
    <w:rsid w:val="00C77560"/>
    <w:rsid w:val="00C803DD"/>
    <w:rsid w:val="00C805D3"/>
    <w:rsid w:val="00C809F7"/>
    <w:rsid w:val="00C80B01"/>
    <w:rsid w:val="00C81213"/>
    <w:rsid w:val="00C813BB"/>
    <w:rsid w:val="00C816A1"/>
    <w:rsid w:val="00C820C7"/>
    <w:rsid w:val="00C82209"/>
    <w:rsid w:val="00C82809"/>
    <w:rsid w:val="00C82870"/>
    <w:rsid w:val="00C82C6E"/>
    <w:rsid w:val="00C8329B"/>
    <w:rsid w:val="00C835C1"/>
    <w:rsid w:val="00C836F3"/>
    <w:rsid w:val="00C850BE"/>
    <w:rsid w:val="00C85141"/>
    <w:rsid w:val="00C86354"/>
    <w:rsid w:val="00C8702C"/>
    <w:rsid w:val="00C87039"/>
    <w:rsid w:val="00C87AB5"/>
    <w:rsid w:val="00C87E46"/>
    <w:rsid w:val="00C904C5"/>
    <w:rsid w:val="00C907E7"/>
    <w:rsid w:val="00C914A3"/>
    <w:rsid w:val="00C917E3"/>
    <w:rsid w:val="00C91C44"/>
    <w:rsid w:val="00C92124"/>
    <w:rsid w:val="00C9244D"/>
    <w:rsid w:val="00C92784"/>
    <w:rsid w:val="00C93751"/>
    <w:rsid w:val="00C93C75"/>
    <w:rsid w:val="00C93DC5"/>
    <w:rsid w:val="00C94264"/>
    <w:rsid w:val="00C944CE"/>
    <w:rsid w:val="00C94808"/>
    <w:rsid w:val="00C94A0B"/>
    <w:rsid w:val="00C94DC5"/>
    <w:rsid w:val="00C94F2C"/>
    <w:rsid w:val="00C951B4"/>
    <w:rsid w:val="00C953F8"/>
    <w:rsid w:val="00C95973"/>
    <w:rsid w:val="00C96551"/>
    <w:rsid w:val="00C978CC"/>
    <w:rsid w:val="00CA0CD2"/>
    <w:rsid w:val="00CA1190"/>
    <w:rsid w:val="00CA1894"/>
    <w:rsid w:val="00CA1B66"/>
    <w:rsid w:val="00CA1C6B"/>
    <w:rsid w:val="00CA1D98"/>
    <w:rsid w:val="00CA2B7C"/>
    <w:rsid w:val="00CA2C5E"/>
    <w:rsid w:val="00CA2E6E"/>
    <w:rsid w:val="00CA31B8"/>
    <w:rsid w:val="00CA3496"/>
    <w:rsid w:val="00CA379E"/>
    <w:rsid w:val="00CA3A46"/>
    <w:rsid w:val="00CA46F0"/>
    <w:rsid w:val="00CA4783"/>
    <w:rsid w:val="00CA61E1"/>
    <w:rsid w:val="00CA6D13"/>
    <w:rsid w:val="00CA7332"/>
    <w:rsid w:val="00CA7804"/>
    <w:rsid w:val="00CA7C7E"/>
    <w:rsid w:val="00CA7E96"/>
    <w:rsid w:val="00CB04CD"/>
    <w:rsid w:val="00CB0742"/>
    <w:rsid w:val="00CB0DED"/>
    <w:rsid w:val="00CB1348"/>
    <w:rsid w:val="00CB188A"/>
    <w:rsid w:val="00CB2974"/>
    <w:rsid w:val="00CB31F4"/>
    <w:rsid w:val="00CB386E"/>
    <w:rsid w:val="00CB56C5"/>
    <w:rsid w:val="00CB62D3"/>
    <w:rsid w:val="00CB6AE7"/>
    <w:rsid w:val="00CB71DB"/>
    <w:rsid w:val="00CB7FF3"/>
    <w:rsid w:val="00CC10B6"/>
    <w:rsid w:val="00CC1128"/>
    <w:rsid w:val="00CC2887"/>
    <w:rsid w:val="00CC2F30"/>
    <w:rsid w:val="00CC34CF"/>
    <w:rsid w:val="00CC3D7A"/>
    <w:rsid w:val="00CC3E2E"/>
    <w:rsid w:val="00CC4625"/>
    <w:rsid w:val="00CC4632"/>
    <w:rsid w:val="00CC4E33"/>
    <w:rsid w:val="00CC4F9F"/>
    <w:rsid w:val="00CC778B"/>
    <w:rsid w:val="00CD0072"/>
    <w:rsid w:val="00CD0137"/>
    <w:rsid w:val="00CD03BB"/>
    <w:rsid w:val="00CD04D9"/>
    <w:rsid w:val="00CD054C"/>
    <w:rsid w:val="00CD0B8A"/>
    <w:rsid w:val="00CD0BE8"/>
    <w:rsid w:val="00CD108A"/>
    <w:rsid w:val="00CD1EC0"/>
    <w:rsid w:val="00CD2DF3"/>
    <w:rsid w:val="00CD302A"/>
    <w:rsid w:val="00CD33DA"/>
    <w:rsid w:val="00CD356B"/>
    <w:rsid w:val="00CD3FB3"/>
    <w:rsid w:val="00CD48AD"/>
    <w:rsid w:val="00CD4F7A"/>
    <w:rsid w:val="00CD5A3A"/>
    <w:rsid w:val="00CD5A70"/>
    <w:rsid w:val="00CD63B1"/>
    <w:rsid w:val="00CD67B8"/>
    <w:rsid w:val="00CD7782"/>
    <w:rsid w:val="00CE13BB"/>
    <w:rsid w:val="00CE1676"/>
    <w:rsid w:val="00CE2391"/>
    <w:rsid w:val="00CE35F9"/>
    <w:rsid w:val="00CE4E3D"/>
    <w:rsid w:val="00CE5423"/>
    <w:rsid w:val="00CE5A97"/>
    <w:rsid w:val="00CE5DD4"/>
    <w:rsid w:val="00CE5ED3"/>
    <w:rsid w:val="00CE659B"/>
    <w:rsid w:val="00CE6BF6"/>
    <w:rsid w:val="00CE6D5B"/>
    <w:rsid w:val="00CE77EF"/>
    <w:rsid w:val="00CE7B5F"/>
    <w:rsid w:val="00CE7E15"/>
    <w:rsid w:val="00CE7EA4"/>
    <w:rsid w:val="00CF0AC7"/>
    <w:rsid w:val="00CF0D20"/>
    <w:rsid w:val="00CF136A"/>
    <w:rsid w:val="00CF1944"/>
    <w:rsid w:val="00CF1F41"/>
    <w:rsid w:val="00CF226E"/>
    <w:rsid w:val="00CF2E8A"/>
    <w:rsid w:val="00CF45BE"/>
    <w:rsid w:val="00CF55A4"/>
    <w:rsid w:val="00CF5665"/>
    <w:rsid w:val="00CF5A74"/>
    <w:rsid w:val="00CF5A98"/>
    <w:rsid w:val="00CF5FAF"/>
    <w:rsid w:val="00CF617D"/>
    <w:rsid w:val="00CF6A0A"/>
    <w:rsid w:val="00CF7099"/>
    <w:rsid w:val="00CF7504"/>
    <w:rsid w:val="00CF7585"/>
    <w:rsid w:val="00CF77F0"/>
    <w:rsid w:val="00D001F1"/>
    <w:rsid w:val="00D005D7"/>
    <w:rsid w:val="00D007C0"/>
    <w:rsid w:val="00D00AEF"/>
    <w:rsid w:val="00D00E60"/>
    <w:rsid w:val="00D00F65"/>
    <w:rsid w:val="00D02002"/>
    <w:rsid w:val="00D029B3"/>
    <w:rsid w:val="00D03719"/>
    <w:rsid w:val="00D0409C"/>
    <w:rsid w:val="00D045AB"/>
    <w:rsid w:val="00D04949"/>
    <w:rsid w:val="00D050EB"/>
    <w:rsid w:val="00D054F4"/>
    <w:rsid w:val="00D0586B"/>
    <w:rsid w:val="00D05F89"/>
    <w:rsid w:val="00D07566"/>
    <w:rsid w:val="00D100F4"/>
    <w:rsid w:val="00D109C1"/>
    <w:rsid w:val="00D11CDD"/>
    <w:rsid w:val="00D11D68"/>
    <w:rsid w:val="00D129E3"/>
    <w:rsid w:val="00D12C90"/>
    <w:rsid w:val="00D130A2"/>
    <w:rsid w:val="00D13550"/>
    <w:rsid w:val="00D138D0"/>
    <w:rsid w:val="00D13E00"/>
    <w:rsid w:val="00D14342"/>
    <w:rsid w:val="00D14E67"/>
    <w:rsid w:val="00D1524F"/>
    <w:rsid w:val="00D152CD"/>
    <w:rsid w:val="00D155B2"/>
    <w:rsid w:val="00D159D5"/>
    <w:rsid w:val="00D15BDB"/>
    <w:rsid w:val="00D15F22"/>
    <w:rsid w:val="00D166E1"/>
    <w:rsid w:val="00D16C32"/>
    <w:rsid w:val="00D177DE"/>
    <w:rsid w:val="00D17EA2"/>
    <w:rsid w:val="00D208AA"/>
    <w:rsid w:val="00D210F3"/>
    <w:rsid w:val="00D23BD5"/>
    <w:rsid w:val="00D23F03"/>
    <w:rsid w:val="00D24155"/>
    <w:rsid w:val="00D249CC"/>
    <w:rsid w:val="00D25579"/>
    <w:rsid w:val="00D25C96"/>
    <w:rsid w:val="00D260CE"/>
    <w:rsid w:val="00D2658F"/>
    <w:rsid w:val="00D27C6C"/>
    <w:rsid w:val="00D27CA6"/>
    <w:rsid w:val="00D30351"/>
    <w:rsid w:val="00D30BBD"/>
    <w:rsid w:val="00D318CA"/>
    <w:rsid w:val="00D31917"/>
    <w:rsid w:val="00D31CD9"/>
    <w:rsid w:val="00D32815"/>
    <w:rsid w:val="00D33143"/>
    <w:rsid w:val="00D3450E"/>
    <w:rsid w:val="00D346B9"/>
    <w:rsid w:val="00D34810"/>
    <w:rsid w:val="00D352A6"/>
    <w:rsid w:val="00D353C3"/>
    <w:rsid w:val="00D365C4"/>
    <w:rsid w:val="00D36C7F"/>
    <w:rsid w:val="00D37933"/>
    <w:rsid w:val="00D37B7E"/>
    <w:rsid w:val="00D411B5"/>
    <w:rsid w:val="00D4164A"/>
    <w:rsid w:val="00D41D2E"/>
    <w:rsid w:val="00D42287"/>
    <w:rsid w:val="00D42B8F"/>
    <w:rsid w:val="00D442E8"/>
    <w:rsid w:val="00D4556C"/>
    <w:rsid w:val="00D463E3"/>
    <w:rsid w:val="00D46BE0"/>
    <w:rsid w:val="00D46CF9"/>
    <w:rsid w:val="00D46E81"/>
    <w:rsid w:val="00D4734A"/>
    <w:rsid w:val="00D5084F"/>
    <w:rsid w:val="00D50E18"/>
    <w:rsid w:val="00D518D7"/>
    <w:rsid w:val="00D51EC4"/>
    <w:rsid w:val="00D52401"/>
    <w:rsid w:val="00D5248E"/>
    <w:rsid w:val="00D52B36"/>
    <w:rsid w:val="00D53403"/>
    <w:rsid w:val="00D53A43"/>
    <w:rsid w:val="00D54330"/>
    <w:rsid w:val="00D548A1"/>
    <w:rsid w:val="00D54E75"/>
    <w:rsid w:val="00D554B6"/>
    <w:rsid w:val="00D55631"/>
    <w:rsid w:val="00D55DDF"/>
    <w:rsid w:val="00D57532"/>
    <w:rsid w:val="00D5784C"/>
    <w:rsid w:val="00D607EC"/>
    <w:rsid w:val="00D615F5"/>
    <w:rsid w:val="00D62611"/>
    <w:rsid w:val="00D63588"/>
    <w:rsid w:val="00D63650"/>
    <w:rsid w:val="00D6410C"/>
    <w:rsid w:val="00D648A7"/>
    <w:rsid w:val="00D65F75"/>
    <w:rsid w:val="00D66076"/>
    <w:rsid w:val="00D66950"/>
    <w:rsid w:val="00D67164"/>
    <w:rsid w:val="00D705BC"/>
    <w:rsid w:val="00D70F7E"/>
    <w:rsid w:val="00D71761"/>
    <w:rsid w:val="00D71F46"/>
    <w:rsid w:val="00D71FEF"/>
    <w:rsid w:val="00D72659"/>
    <w:rsid w:val="00D73087"/>
    <w:rsid w:val="00D73CB0"/>
    <w:rsid w:val="00D7466F"/>
    <w:rsid w:val="00D74B52"/>
    <w:rsid w:val="00D74EEA"/>
    <w:rsid w:val="00D75E57"/>
    <w:rsid w:val="00D75F31"/>
    <w:rsid w:val="00D75FB8"/>
    <w:rsid w:val="00D7616E"/>
    <w:rsid w:val="00D762CA"/>
    <w:rsid w:val="00D76C18"/>
    <w:rsid w:val="00D77060"/>
    <w:rsid w:val="00D7717B"/>
    <w:rsid w:val="00D772A5"/>
    <w:rsid w:val="00D774F6"/>
    <w:rsid w:val="00D775EE"/>
    <w:rsid w:val="00D77872"/>
    <w:rsid w:val="00D77893"/>
    <w:rsid w:val="00D805F1"/>
    <w:rsid w:val="00D8077F"/>
    <w:rsid w:val="00D810DA"/>
    <w:rsid w:val="00D816B7"/>
    <w:rsid w:val="00D837A1"/>
    <w:rsid w:val="00D83CDC"/>
    <w:rsid w:val="00D83D5F"/>
    <w:rsid w:val="00D84009"/>
    <w:rsid w:val="00D85273"/>
    <w:rsid w:val="00D861F5"/>
    <w:rsid w:val="00D862E5"/>
    <w:rsid w:val="00D8648A"/>
    <w:rsid w:val="00D864A5"/>
    <w:rsid w:val="00D865D4"/>
    <w:rsid w:val="00D871D2"/>
    <w:rsid w:val="00D87542"/>
    <w:rsid w:val="00D90B9F"/>
    <w:rsid w:val="00D91041"/>
    <w:rsid w:val="00D911A8"/>
    <w:rsid w:val="00D912FC"/>
    <w:rsid w:val="00D91826"/>
    <w:rsid w:val="00D92D7F"/>
    <w:rsid w:val="00D92E00"/>
    <w:rsid w:val="00D92F29"/>
    <w:rsid w:val="00D93D95"/>
    <w:rsid w:val="00D94B95"/>
    <w:rsid w:val="00D94DF1"/>
    <w:rsid w:val="00D9513B"/>
    <w:rsid w:val="00D95B91"/>
    <w:rsid w:val="00D96585"/>
    <w:rsid w:val="00D9675D"/>
    <w:rsid w:val="00D969BB"/>
    <w:rsid w:val="00D96FD8"/>
    <w:rsid w:val="00DA0CF4"/>
    <w:rsid w:val="00DA232D"/>
    <w:rsid w:val="00DA28B8"/>
    <w:rsid w:val="00DA46A6"/>
    <w:rsid w:val="00DA4CDA"/>
    <w:rsid w:val="00DA4D20"/>
    <w:rsid w:val="00DA5442"/>
    <w:rsid w:val="00DA56A7"/>
    <w:rsid w:val="00DA5C64"/>
    <w:rsid w:val="00DA6430"/>
    <w:rsid w:val="00DA643D"/>
    <w:rsid w:val="00DA6765"/>
    <w:rsid w:val="00DA6E69"/>
    <w:rsid w:val="00DA7038"/>
    <w:rsid w:val="00DA7090"/>
    <w:rsid w:val="00DA742A"/>
    <w:rsid w:val="00DA747F"/>
    <w:rsid w:val="00DA7D4A"/>
    <w:rsid w:val="00DB0202"/>
    <w:rsid w:val="00DB020C"/>
    <w:rsid w:val="00DB0331"/>
    <w:rsid w:val="00DB0C19"/>
    <w:rsid w:val="00DB0D19"/>
    <w:rsid w:val="00DB17FB"/>
    <w:rsid w:val="00DB1C06"/>
    <w:rsid w:val="00DB1D36"/>
    <w:rsid w:val="00DB2C7A"/>
    <w:rsid w:val="00DB2D64"/>
    <w:rsid w:val="00DB30B5"/>
    <w:rsid w:val="00DB3611"/>
    <w:rsid w:val="00DB36CF"/>
    <w:rsid w:val="00DB3ADB"/>
    <w:rsid w:val="00DB3E92"/>
    <w:rsid w:val="00DB4138"/>
    <w:rsid w:val="00DB4B9A"/>
    <w:rsid w:val="00DB4BA2"/>
    <w:rsid w:val="00DB5943"/>
    <w:rsid w:val="00DB5CDB"/>
    <w:rsid w:val="00DB5E0D"/>
    <w:rsid w:val="00DB6031"/>
    <w:rsid w:val="00DB716E"/>
    <w:rsid w:val="00DB7AB0"/>
    <w:rsid w:val="00DC0659"/>
    <w:rsid w:val="00DC0770"/>
    <w:rsid w:val="00DC0EED"/>
    <w:rsid w:val="00DC174B"/>
    <w:rsid w:val="00DC1D6F"/>
    <w:rsid w:val="00DC2330"/>
    <w:rsid w:val="00DC26CE"/>
    <w:rsid w:val="00DC2969"/>
    <w:rsid w:val="00DC2B50"/>
    <w:rsid w:val="00DC2D99"/>
    <w:rsid w:val="00DC3E7F"/>
    <w:rsid w:val="00DC3FEB"/>
    <w:rsid w:val="00DC467F"/>
    <w:rsid w:val="00DC4811"/>
    <w:rsid w:val="00DC5569"/>
    <w:rsid w:val="00DC564B"/>
    <w:rsid w:val="00DC629A"/>
    <w:rsid w:val="00DC64C6"/>
    <w:rsid w:val="00DC68F1"/>
    <w:rsid w:val="00DC6AD3"/>
    <w:rsid w:val="00DC72F6"/>
    <w:rsid w:val="00DC7D84"/>
    <w:rsid w:val="00DC7F6A"/>
    <w:rsid w:val="00DD02D4"/>
    <w:rsid w:val="00DD18DB"/>
    <w:rsid w:val="00DD2494"/>
    <w:rsid w:val="00DD29A2"/>
    <w:rsid w:val="00DD3564"/>
    <w:rsid w:val="00DD37F3"/>
    <w:rsid w:val="00DD3F00"/>
    <w:rsid w:val="00DD4D28"/>
    <w:rsid w:val="00DD4EC8"/>
    <w:rsid w:val="00DD5E80"/>
    <w:rsid w:val="00DD5F0C"/>
    <w:rsid w:val="00DD60B4"/>
    <w:rsid w:val="00DD6396"/>
    <w:rsid w:val="00DD63D1"/>
    <w:rsid w:val="00DD6725"/>
    <w:rsid w:val="00DD6EDC"/>
    <w:rsid w:val="00DD7966"/>
    <w:rsid w:val="00DD7E61"/>
    <w:rsid w:val="00DE0C75"/>
    <w:rsid w:val="00DE0D27"/>
    <w:rsid w:val="00DE16AA"/>
    <w:rsid w:val="00DE1787"/>
    <w:rsid w:val="00DE1A7E"/>
    <w:rsid w:val="00DE3A04"/>
    <w:rsid w:val="00DE4523"/>
    <w:rsid w:val="00DE484F"/>
    <w:rsid w:val="00DE4A7E"/>
    <w:rsid w:val="00DE4D07"/>
    <w:rsid w:val="00DE4D61"/>
    <w:rsid w:val="00DE55C2"/>
    <w:rsid w:val="00DE58A5"/>
    <w:rsid w:val="00DE5BEB"/>
    <w:rsid w:val="00DE5C0A"/>
    <w:rsid w:val="00DE62C2"/>
    <w:rsid w:val="00DE755F"/>
    <w:rsid w:val="00DF024B"/>
    <w:rsid w:val="00DF0A04"/>
    <w:rsid w:val="00DF0BC1"/>
    <w:rsid w:val="00DF1959"/>
    <w:rsid w:val="00DF25DD"/>
    <w:rsid w:val="00DF4A2F"/>
    <w:rsid w:val="00DF65EA"/>
    <w:rsid w:val="00DF66A0"/>
    <w:rsid w:val="00DF6BDC"/>
    <w:rsid w:val="00DF70CD"/>
    <w:rsid w:val="00DF7245"/>
    <w:rsid w:val="00E00B82"/>
    <w:rsid w:val="00E00C9E"/>
    <w:rsid w:val="00E01052"/>
    <w:rsid w:val="00E017C0"/>
    <w:rsid w:val="00E01D96"/>
    <w:rsid w:val="00E02061"/>
    <w:rsid w:val="00E02E15"/>
    <w:rsid w:val="00E035A9"/>
    <w:rsid w:val="00E03866"/>
    <w:rsid w:val="00E04AFE"/>
    <w:rsid w:val="00E0534F"/>
    <w:rsid w:val="00E05D3D"/>
    <w:rsid w:val="00E07089"/>
    <w:rsid w:val="00E07AED"/>
    <w:rsid w:val="00E07F74"/>
    <w:rsid w:val="00E10220"/>
    <w:rsid w:val="00E10920"/>
    <w:rsid w:val="00E109B3"/>
    <w:rsid w:val="00E10DC8"/>
    <w:rsid w:val="00E11FFB"/>
    <w:rsid w:val="00E122AA"/>
    <w:rsid w:val="00E124DC"/>
    <w:rsid w:val="00E13C04"/>
    <w:rsid w:val="00E14931"/>
    <w:rsid w:val="00E14987"/>
    <w:rsid w:val="00E1655C"/>
    <w:rsid w:val="00E167FB"/>
    <w:rsid w:val="00E16F0A"/>
    <w:rsid w:val="00E17E36"/>
    <w:rsid w:val="00E20706"/>
    <w:rsid w:val="00E20861"/>
    <w:rsid w:val="00E214E6"/>
    <w:rsid w:val="00E22DE2"/>
    <w:rsid w:val="00E23289"/>
    <w:rsid w:val="00E23BF3"/>
    <w:rsid w:val="00E23EFC"/>
    <w:rsid w:val="00E24EA3"/>
    <w:rsid w:val="00E251F3"/>
    <w:rsid w:val="00E25CFB"/>
    <w:rsid w:val="00E309A0"/>
    <w:rsid w:val="00E31281"/>
    <w:rsid w:val="00E31E08"/>
    <w:rsid w:val="00E3221C"/>
    <w:rsid w:val="00E3254E"/>
    <w:rsid w:val="00E32602"/>
    <w:rsid w:val="00E32821"/>
    <w:rsid w:val="00E329D7"/>
    <w:rsid w:val="00E32E91"/>
    <w:rsid w:val="00E33483"/>
    <w:rsid w:val="00E345D0"/>
    <w:rsid w:val="00E34628"/>
    <w:rsid w:val="00E3509A"/>
    <w:rsid w:val="00E35528"/>
    <w:rsid w:val="00E35D4C"/>
    <w:rsid w:val="00E36091"/>
    <w:rsid w:val="00E36378"/>
    <w:rsid w:val="00E366A0"/>
    <w:rsid w:val="00E369AA"/>
    <w:rsid w:val="00E37063"/>
    <w:rsid w:val="00E37D3A"/>
    <w:rsid w:val="00E40142"/>
    <w:rsid w:val="00E403BA"/>
    <w:rsid w:val="00E41158"/>
    <w:rsid w:val="00E4185A"/>
    <w:rsid w:val="00E42D5A"/>
    <w:rsid w:val="00E42D95"/>
    <w:rsid w:val="00E42F2E"/>
    <w:rsid w:val="00E43381"/>
    <w:rsid w:val="00E43FCC"/>
    <w:rsid w:val="00E4454C"/>
    <w:rsid w:val="00E44AE9"/>
    <w:rsid w:val="00E45AFD"/>
    <w:rsid w:val="00E46333"/>
    <w:rsid w:val="00E466F4"/>
    <w:rsid w:val="00E46FC2"/>
    <w:rsid w:val="00E4717F"/>
    <w:rsid w:val="00E47192"/>
    <w:rsid w:val="00E477F7"/>
    <w:rsid w:val="00E506DB"/>
    <w:rsid w:val="00E50A14"/>
    <w:rsid w:val="00E50E5B"/>
    <w:rsid w:val="00E51182"/>
    <w:rsid w:val="00E51580"/>
    <w:rsid w:val="00E52B18"/>
    <w:rsid w:val="00E52B95"/>
    <w:rsid w:val="00E52F37"/>
    <w:rsid w:val="00E534AB"/>
    <w:rsid w:val="00E536C2"/>
    <w:rsid w:val="00E53BEE"/>
    <w:rsid w:val="00E53C3D"/>
    <w:rsid w:val="00E5432F"/>
    <w:rsid w:val="00E544ED"/>
    <w:rsid w:val="00E54FD8"/>
    <w:rsid w:val="00E563A9"/>
    <w:rsid w:val="00E565CA"/>
    <w:rsid w:val="00E568FD"/>
    <w:rsid w:val="00E57193"/>
    <w:rsid w:val="00E60571"/>
    <w:rsid w:val="00E606DC"/>
    <w:rsid w:val="00E60769"/>
    <w:rsid w:val="00E6144D"/>
    <w:rsid w:val="00E61CFC"/>
    <w:rsid w:val="00E620CD"/>
    <w:rsid w:val="00E621DB"/>
    <w:rsid w:val="00E634DC"/>
    <w:rsid w:val="00E6517B"/>
    <w:rsid w:val="00E6548D"/>
    <w:rsid w:val="00E65BB8"/>
    <w:rsid w:val="00E66387"/>
    <w:rsid w:val="00E663F8"/>
    <w:rsid w:val="00E67EAD"/>
    <w:rsid w:val="00E703B6"/>
    <w:rsid w:val="00E7093A"/>
    <w:rsid w:val="00E70A9B"/>
    <w:rsid w:val="00E721C2"/>
    <w:rsid w:val="00E7234B"/>
    <w:rsid w:val="00E724D9"/>
    <w:rsid w:val="00E72B63"/>
    <w:rsid w:val="00E72F89"/>
    <w:rsid w:val="00E73C54"/>
    <w:rsid w:val="00E73DB4"/>
    <w:rsid w:val="00E74074"/>
    <w:rsid w:val="00E7439F"/>
    <w:rsid w:val="00E7548F"/>
    <w:rsid w:val="00E75BDD"/>
    <w:rsid w:val="00E75EDE"/>
    <w:rsid w:val="00E768F2"/>
    <w:rsid w:val="00E76A38"/>
    <w:rsid w:val="00E77485"/>
    <w:rsid w:val="00E77ED2"/>
    <w:rsid w:val="00E77F80"/>
    <w:rsid w:val="00E80052"/>
    <w:rsid w:val="00E818BE"/>
    <w:rsid w:val="00E81B8B"/>
    <w:rsid w:val="00E82136"/>
    <w:rsid w:val="00E843CF"/>
    <w:rsid w:val="00E84906"/>
    <w:rsid w:val="00E84B34"/>
    <w:rsid w:val="00E84CE3"/>
    <w:rsid w:val="00E85AFE"/>
    <w:rsid w:val="00E85BD0"/>
    <w:rsid w:val="00E87D65"/>
    <w:rsid w:val="00E90CC8"/>
    <w:rsid w:val="00E923B7"/>
    <w:rsid w:val="00E9246B"/>
    <w:rsid w:val="00E92A12"/>
    <w:rsid w:val="00E92A54"/>
    <w:rsid w:val="00E92AE9"/>
    <w:rsid w:val="00E93250"/>
    <w:rsid w:val="00E93430"/>
    <w:rsid w:val="00E935C5"/>
    <w:rsid w:val="00E94B19"/>
    <w:rsid w:val="00E95FF4"/>
    <w:rsid w:val="00E9693A"/>
    <w:rsid w:val="00E9727F"/>
    <w:rsid w:val="00E97BFF"/>
    <w:rsid w:val="00EA009B"/>
    <w:rsid w:val="00EA03EF"/>
    <w:rsid w:val="00EA0458"/>
    <w:rsid w:val="00EA04EA"/>
    <w:rsid w:val="00EA061A"/>
    <w:rsid w:val="00EA0BFC"/>
    <w:rsid w:val="00EA113D"/>
    <w:rsid w:val="00EA2339"/>
    <w:rsid w:val="00EA2682"/>
    <w:rsid w:val="00EA3669"/>
    <w:rsid w:val="00EA39BA"/>
    <w:rsid w:val="00EA4397"/>
    <w:rsid w:val="00EA4431"/>
    <w:rsid w:val="00EA44F3"/>
    <w:rsid w:val="00EA4AAD"/>
    <w:rsid w:val="00EA4B73"/>
    <w:rsid w:val="00EA56C6"/>
    <w:rsid w:val="00EA5753"/>
    <w:rsid w:val="00EA5E76"/>
    <w:rsid w:val="00EA64B2"/>
    <w:rsid w:val="00EA6934"/>
    <w:rsid w:val="00EB12C2"/>
    <w:rsid w:val="00EB1CB4"/>
    <w:rsid w:val="00EB26B4"/>
    <w:rsid w:val="00EB27B6"/>
    <w:rsid w:val="00EB2C74"/>
    <w:rsid w:val="00EB2D7E"/>
    <w:rsid w:val="00EB2E62"/>
    <w:rsid w:val="00EB37E6"/>
    <w:rsid w:val="00EB381E"/>
    <w:rsid w:val="00EB3E17"/>
    <w:rsid w:val="00EB413C"/>
    <w:rsid w:val="00EB42F5"/>
    <w:rsid w:val="00EB4455"/>
    <w:rsid w:val="00EB44A7"/>
    <w:rsid w:val="00EB5484"/>
    <w:rsid w:val="00EB54D0"/>
    <w:rsid w:val="00EB5B3D"/>
    <w:rsid w:val="00EB5CBA"/>
    <w:rsid w:val="00EB6938"/>
    <w:rsid w:val="00EB7A37"/>
    <w:rsid w:val="00EB7B72"/>
    <w:rsid w:val="00EC02B6"/>
    <w:rsid w:val="00EC0424"/>
    <w:rsid w:val="00EC0896"/>
    <w:rsid w:val="00EC0FA2"/>
    <w:rsid w:val="00EC11BF"/>
    <w:rsid w:val="00EC2A24"/>
    <w:rsid w:val="00EC2D52"/>
    <w:rsid w:val="00EC30CF"/>
    <w:rsid w:val="00EC45E5"/>
    <w:rsid w:val="00EC4D7F"/>
    <w:rsid w:val="00EC5F24"/>
    <w:rsid w:val="00EC7842"/>
    <w:rsid w:val="00EC7A4C"/>
    <w:rsid w:val="00EC7CD3"/>
    <w:rsid w:val="00ED0E29"/>
    <w:rsid w:val="00ED1259"/>
    <w:rsid w:val="00ED1278"/>
    <w:rsid w:val="00ED14DD"/>
    <w:rsid w:val="00ED1794"/>
    <w:rsid w:val="00ED1884"/>
    <w:rsid w:val="00ED1AFB"/>
    <w:rsid w:val="00ED1E86"/>
    <w:rsid w:val="00ED1EE6"/>
    <w:rsid w:val="00ED275A"/>
    <w:rsid w:val="00ED30B9"/>
    <w:rsid w:val="00ED3AFF"/>
    <w:rsid w:val="00ED3E5B"/>
    <w:rsid w:val="00ED542E"/>
    <w:rsid w:val="00ED588C"/>
    <w:rsid w:val="00ED6611"/>
    <w:rsid w:val="00ED666B"/>
    <w:rsid w:val="00ED6749"/>
    <w:rsid w:val="00ED7686"/>
    <w:rsid w:val="00ED7F0B"/>
    <w:rsid w:val="00EE04BC"/>
    <w:rsid w:val="00EE07C0"/>
    <w:rsid w:val="00EE2B09"/>
    <w:rsid w:val="00EE2C1C"/>
    <w:rsid w:val="00EE2F45"/>
    <w:rsid w:val="00EE3698"/>
    <w:rsid w:val="00EE4F54"/>
    <w:rsid w:val="00EE53F8"/>
    <w:rsid w:val="00EE5684"/>
    <w:rsid w:val="00EE616D"/>
    <w:rsid w:val="00EE7173"/>
    <w:rsid w:val="00EE7483"/>
    <w:rsid w:val="00EE767F"/>
    <w:rsid w:val="00EE7690"/>
    <w:rsid w:val="00EE7F07"/>
    <w:rsid w:val="00EF0546"/>
    <w:rsid w:val="00EF0AEF"/>
    <w:rsid w:val="00EF1346"/>
    <w:rsid w:val="00EF13F5"/>
    <w:rsid w:val="00EF2E64"/>
    <w:rsid w:val="00EF5109"/>
    <w:rsid w:val="00EF5D15"/>
    <w:rsid w:val="00EF7D50"/>
    <w:rsid w:val="00EF7E26"/>
    <w:rsid w:val="00F00A90"/>
    <w:rsid w:val="00F01282"/>
    <w:rsid w:val="00F02123"/>
    <w:rsid w:val="00F0236C"/>
    <w:rsid w:val="00F02AD6"/>
    <w:rsid w:val="00F031E3"/>
    <w:rsid w:val="00F03440"/>
    <w:rsid w:val="00F039A2"/>
    <w:rsid w:val="00F04149"/>
    <w:rsid w:val="00F04244"/>
    <w:rsid w:val="00F04D7A"/>
    <w:rsid w:val="00F04FD6"/>
    <w:rsid w:val="00F05380"/>
    <w:rsid w:val="00F05FBF"/>
    <w:rsid w:val="00F0627A"/>
    <w:rsid w:val="00F068C6"/>
    <w:rsid w:val="00F06DCC"/>
    <w:rsid w:val="00F071AD"/>
    <w:rsid w:val="00F07AA1"/>
    <w:rsid w:val="00F122FE"/>
    <w:rsid w:val="00F12D23"/>
    <w:rsid w:val="00F12E1A"/>
    <w:rsid w:val="00F13132"/>
    <w:rsid w:val="00F138DA"/>
    <w:rsid w:val="00F13E25"/>
    <w:rsid w:val="00F14421"/>
    <w:rsid w:val="00F16C1D"/>
    <w:rsid w:val="00F16C2A"/>
    <w:rsid w:val="00F16D2C"/>
    <w:rsid w:val="00F170FC"/>
    <w:rsid w:val="00F171C4"/>
    <w:rsid w:val="00F176D7"/>
    <w:rsid w:val="00F17D1A"/>
    <w:rsid w:val="00F207C5"/>
    <w:rsid w:val="00F20BEC"/>
    <w:rsid w:val="00F20F52"/>
    <w:rsid w:val="00F216B8"/>
    <w:rsid w:val="00F21AFC"/>
    <w:rsid w:val="00F21DF7"/>
    <w:rsid w:val="00F22F4D"/>
    <w:rsid w:val="00F2364B"/>
    <w:rsid w:val="00F23782"/>
    <w:rsid w:val="00F24164"/>
    <w:rsid w:val="00F24205"/>
    <w:rsid w:val="00F24AA7"/>
    <w:rsid w:val="00F24F2A"/>
    <w:rsid w:val="00F24FBD"/>
    <w:rsid w:val="00F25F93"/>
    <w:rsid w:val="00F2668E"/>
    <w:rsid w:val="00F273C9"/>
    <w:rsid w:val="00F278D2"/>
    <w:rsid w:val="00F27D5C"/>
    <w:rsid w:val="00F27FF2"/>
    <w:rsid w:val="00F3034E"/>
    <w:rsid w:val="00F310EF"/>
    <w:rsid w:val="00F31337"/>
    <w:rsid w:val="00F3178B"/>
    <w:rsid w:val="00F324FA"/>
    <w:rsid w:val="00F32F80"/>
    <w:rsid w:val="00F32F88"/>
    <w:rsid w:val="00F33510"/>
    <w:rsid w:val="00F337F6"/>
    <w:rsid w:val="00F34557"/>
    <w:rsid w:val="00F355C7"/>
    <w:rsid w:val="00F35717"/>
    <w:rsid w:val="00F35EF5"/>
    <w:rsid w:val="00F363FC"/>
    <w:rsid w:val="00F368D7"/>
    <w:rsid w:val="00F36E2E"/>
    <w:rsid w:val="00F37B7D"/>
    <w:rsid w:val="00F405B2"/>
    <w:rsid w:val="00F41976"/>
    <w:rsid w:val="00F42B37"/>
    <w:rsid w:val="00F42ED2"/>
    <w:rsid w:val="00F448DC"/>
    <w:rsid w:val="00F46B7E"/>
    <w:rsid w:val="00F46DD0"/>
    <w:rsid w:val="00F46E93"/>
    <w:rsid w:val="00F47589"/>
    <w:rsid w:val="00F4767F"/>
    <w:rsid w:val="00F5015C"/>
    <w:rsid w:val="00F50447"/>
    <w:rsid w:val="00F50C44"/>
    <w:rsid w:val="00F50D1C"/>
    <w:rsid w:val="00F5334E"/>
    <w:rsid w:val="00F5390A"/>
    <w:rsid w:val="00F53A27"/>
    <w:rsid w:val="00F53B13"/>
    <w:rsid w:val="00F541FB"/>
    <w:rsid w:val="00F5569A"/>
    <w:rsid w:val="00F55968"/>
    <w:rsid w:val="00F55AAC"/>
    <w:rsid w:val="00F55B7B"/>
    <w:rsid w:val="00F560E7"/>
    <w:rsid w:val="00F564CE"/>
    <w:rsid w:val="00F574C7"/>
    <w:rsid w:val="00F57777"/>
    <w:rsid w:val="00F57DD2"/>
    <w:rsid w:val="00F57F58"/>
    <w:rsid w:val="00F608F3"/>
    <w:rsid w:val="00F618C5"/>
    <w:rsid w:val="00F61C0E"/>
    <w:rsid w:val="00F61F3C"/>
    <w:rsid w:val="00F6291E"/>
    <w:rsid w:val="00F62A2D"/>
    <w:rsid w:val="00F62EA3"/>
    <w:rsid w:val="00F63308"/>
    <w:rsid w:val="00F6393C"/>
    <w:rsid w:val="00F64290"/>
    <w:rsid w:val="00F6529E"/>
    <w:rsid w:val="00F66B78"/>
    <w:rsid w:val="00F66C77"/>
    <w:rsid w:val="00F6776E"/>
    <w:rsid w:val="00F7062A"/>
    <w:rsid w:val="00F71711"/>
    <w:rsid w:val="00F71F5B"/>
    <w:rsid w:val="00F72823"/>
    <w:rsid w:val="00F72B20"/>
    <w:rsid w:val="00F72C5E"/>
    <w:rsid w:val="00F7361E"/>
    <w:rsid w:val="00F73AE3"/>
    <w:rsid w:val="00F73C79"/>
    <w:rsid w:val="00F742CE"/>
    <w:rsid w:val="00F7467B"/>
    <w:rsid w:val="00F74C38"/>
    <w:rsid w:val="00F74D68"/>
    <w:rsid w:val="00F751A6"/>
    <w:rsid w:val="00F751C4"/>
    <w:rsid w:val="00F75C55"/>
    <w:rsid w:val="00F7642F"/>
    <w:rsid w:val="00F76A56"/>
    <w:rsid w:val="00F77364"/>
    <w:rsid w:val="00F77901"/>
    <w:rsid w:val="00F77D21"/>
    <w:rsid w:val="00F77FF5"/>
    <w:rsid w:val="00F80374"/>
    <w:rsid w:val="00F808B8"/>
    <w:rsid w:val="00F80A31"/>
    <w:rsid w:val="00F80A3B"/>
    <w:rsid w:val="00F8142A"/>
    <w:rsid w:val="00F815F7"/>
    <w:rsid w:val="00F817FA"/>
    <w:rsid w:val="00F81908"/>
    <w:rsid w:val="00F81C92"/>
    <w:rsid w:val="00F8211A"/>
    <w:rsid w:val="00F82932"/>
    <w:rsid w:val="00F82D83"/>
    <w:rsid w:val="00F83481"/>
    <w:rsid w:val="00F8364C"/>
    <w:rsid w:val="00F84520"/>
    <w:rsid w:val="00F84685"/>
    <w:rsid w:val="00F84CFA"/>
    <w:rsid w:val="00F852A7"/>
    <w:rsid w:val="00F852E7"/>
    <w:rsid w:val="00F85DD0"/>
    <w:rsid w:val="00F8627E"/>
    <w:rsid w:val="00F86C55"/>
    <w:rsid w:val="00F879C3"/>
    <w:rsid w:val="00F87FE5"/>
    <w:rsid w:val="00F90309"/>
    <w:rsid w:val="00F907DB"/>
    <w:rsid w:val="00F9177C"/>
    <w:rsid w:val="00F91F9F"/>
    <w:rsid w:val="00F9226F"/>
    <w:rsid w:val="00F922C5"/>
    <w:rsid w:val="00F927DC"/>
    <w:rsid w:val="00F92C01"/>
    <w:rsid w:val="00F92F1A"/>
    <w:rsid w:val="00F938F9"/>
    <w:rsid w:val="00F93B71"/>
    <w:rsid w:val="00F94185"/>
    <w:rsid w:val="00F94235"/>
    <w:rsid w:val="00F95DFE"/>
    <w:rsid w:val="00F96675"/>
    <w:rsid w:val="00F9688B"/>
    <w:rsid w:val="00FA0368"/>
    <w:rsid w:val="00FA0DDE"/>
    <w:rsid w:val="00FA13DD"/>
    <w:rsid w:val="00FA2213"/>
    <w:rsid w:val="00FA26E7"/>
    <w:rsid w:val="00FA2BC5"/>
    <w:rsid w:val="00FA2C5A"/>
    <w:rsid w:val="00FA2FDF"/>
    <w:rsid w:val="00FA32CD"/>
    <w:rsid w:val="00FA3A5F"/>
    <w:rsid w:val="00FA3EA5"/>
    <w:rsid w:val="00FA4931"/>
    <w:rsid w:val="00FA4C6B"/>
    <w:rsid w:val="00FA4F34"/>
    <w:rsid w:val="00FA6233"/>
    <w:rsid w:val="00FA6ADA"/>
    <w:rsid w:val="00FA6F55"/>
    <w:rsid w:val="00FA78BF"/>
    <w:rsid w:val="00FB0833"/>
    <w:rsid w:val="00FB0AA3"/>
    <w:rsid w:val="00FB0E18"/>
    <w:rsid w:val="00FB135E"/>
    <w:rsid w:val="00FB3418"/>
    <w:rsid w:val="00FB34FC"/>
    <w:rsid w:val="00FB38AB"/>
    <w:rsid w:val="00FB3CAE"/>
    <w:rsid w:val="00FB3F3F"/>
    <w:rsid w:val="00FB6506"/>
    <w:rsid w:val="00FB6F57"/>
    <w:rsid w:val="00FB7225"/>
    <w:rsid w:val="00FB772B"/>
    <w:rsid w:val="00FB7C2E"/>
    <w:rsid w:val="00FB7D53"/>
    <w:rsid w:val="00FC02F2"/>
    <w:rsid w:val="00FC0A91"/>
    <w:rsid w:val="00FC1B6C"/>
    <w:rsid w:val="00FC2717"/>
    <w:rsid w:val="00FC27E7"/>
    <w:rsid w:val="00FC2C0A"/>
    <w:rsid w:val="00FC3670"/>
    <w:rsid w:val="00FC3D02"/>
    <w:rsid w:val="00FC47E8"/>
    <w:rsid w:val="00FC633E"/>
    <w:rsid w:val="00FC6426"/>
    <w:rsid w:val="00FC6AB6"/>
    <w:rsid w:val="00FC6EBE"/>
    <w:rsid w:val="00FC7573"/>
    <w:rsid w:val="00FC7953"/>
    <w:rsid w:val="00FD07B8"/>
    <w:rsid w:val="00FD0A17"/>
    <w:rsid w:val="00FD26E2"/>
    <w:rsid w:val="00FD32DE"/>
    <w:rsid w:val="00FD36FB"/>
    <w:rsid w:val="00FD3F68"/>
    <w:rsid w:val="00FD402F"/>
    <w:rsid w:val="00FD4B8E"/>
    <w:rsid w:val="00FD4D36"/>
    <w:rsid w:val="00FD5FA8"/>
    <w:rsid w:val="00FD61D6"/>
    <w:rsid w:val="00FD6524"/>
    <w:rsid w:val="00FD6DCC"/>
    <w:rsid w:val="00FD79BC"/>
    <w:rsid w:val="00FE0036"/>
    <w:rsid w:val="00FE027A"/>
    <w:rsid w:val="00FE0A30"/>
    <w:rsid w:val="00FE1201"/>
    <w:rsid w:val="00FE20C6"/>
    <w:rsid w:val="00FE2913"/>
    <w:rsid w:val="00FE2A37"/>
    <w:rsid w:val="00FE367B"/>
    <w:rsid w:val="00FE3B71"/>
    <w:rsid w:val="00FE402F"/>
    <w:rsid w:val="00FE439C"/>
    <w:rsid w:val="00FE4634"/>
    <w:rsid w:val="00FE483E"/>
    <w:rsid w:val="00FE4F82"/>
    <w:rsid w:val="00FE520F"/>
    <w:rsid w:val="00FE5F4D"/>
    <w:rsid w:val="00FF06AF"/>
    <w:rsid w:val="00FF14D7"/>
    <w:rsid w:val="00FF1AD4"/>
    <w:rsid w:val="00FF29CD"/>
    <w:rsid w:val="00FF2EB9"/>
    <w:rsid w:val="00FF3104"/>
    <w:rsid w:val="00FF3190"/>
    <w:rsid w:val="00FF3E2A"/>
    <w:rsid w:val="00FF40BA"/>
    <w:rsid w:val="00FF4ADE"/>
    <w:rsid w:val="00FF4C05"/>
    <w:rsid w:val="00FF5A16"/>
    <w:rsid w:val="00FF5D56"/>
    <w:rsid w:val="00FF611E"/>
    <w:rsid w:val="00FF649B"/>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9E108"/>
  <w15:docId w15:val="{99865FC4-B065-45A7-977E-C400BC69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096"/>
  </w:style>
  <w:style w:type="paragraph" w:styleId="Heading1">
    <w:name w:val="heading 1"/>
    <w:basedOn w:val="Normal"/>
    <w:next w:val="Normal"/>
    <w:link w:val="Heading1Char"/>
    <w:uiPriority w:val="9"/>
    <w:qFormat/>
    <w:rsid w:val="00FE4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38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38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E13C04"/>
    <w:pPr>
      <w:keepNext/>
      <w:keepLines/>
      <w:spacing w:before="40" w:line="276" w:lineRule="auto"/>
      <w:jc w:val="left"/>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P-List Paragraph,List Paragraph11,Bullet EY,List Paragraph1"/>
    <w:basedOn w:val="Normal"/>
    <w:link w:val="ListParagraphChar"/>
    <w:uiPriority w:val="34"/>
    <w:qFormat/>
    <w:rsid w:val="00123127"/>
    <w:pPr>
      <w:contextualSpacing/>
    </w:pPr>
  </w:style>
  <w:style w:type="character" w:styleId="Hyperlink">
    <w:name w:val="Hyperlink"/>
    <w:basedOn w:val="DefaultParagraphFont"/>
    <w:uiPriority w:val="99"/>
    <w:unhideWhenUsed/>
    <w:rsid w:val="00C11BD5"/>
    <w:rPr>
      <w:color w:val="0000FF" w:themeColor="hyperlink"/>
      <w:u w:val="single"/>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stile 1,f"/>
    <w:basedOn w:val="Normal"/>
    <w:link w:val="FootnoteTextChar"/>
    <w:uiPriority w:val="99"/>
    <w:rsid w:val="00406E8E"/>
    <w:rPr>
      <w:rFonts w:ascii="Cambria" w:eastAsia="Times New Roman" w:hAnsi="Cambria" w:cs="Times New Roman"/>
      <w:sz w:val="20"/>
      <w:szCs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stile 1 Char"/>
    <w:basedOn w:val="DefaultParagraphFont"/>
    <w:link w:val="FootnoteText"/>
    <w:uiPriority w:val="99"/>
    <w:rsid w:val="00406E8E"/>
    <w:rPr>
      <w:rFonts w:ascii="Cambria" w:eastAsia="Times New Roman" w:hAnsi="Cambria" w:cs="Times New Roman"/>
      <w:sz w:val="20"/>
      <w:szCs w:val="20"/>
    </w:rPr>
  </w:style>
  <w:style w:type="character" w:styleId="FootnoteReference">
    <w:name w:val="footnote reference"/>
    <w:aliases w:val="fr,Default Paragraph Font Char Char Char1,Default Paragraph Font Para Char Char Char Char Char1,Default Paragraph Font Char Char11 Char1,Default Paragraph Font Char Char1 Char1,Default Paragraph Font Para Char Char Char Char1 Char1"/>
    <w:link w:val="ftrefCharCharCharCharCharCharCharCharChar"/>
    <w:uiPriority w:val="99"/>
    <w:qFormat/>
    <w:rsid w:val="00406E8E"/>
    <w:rPr>
      <w:vertAlign w:val="superscript"/>
    </w:rPr>
  </w:style>
  <w:style w:type="paragraph" w:styleId="Header">
    <w:name w:val="header"/>
    <w:basedOn w:val="Normal"/>
    <w:link w:val="HeaderChar"/>
    <w:uiPriority w:val="99"/>
    <w:unhideWhenUsed/>
    <w:rsid w:val="00F07AA1"/>
    <w:pPr>
      <w:tabs>
        <w:tab w:val="center" w:pos="4513"/>
        <w:tab w:val="right" w:pos="9026"/>
      </w:tabs>
    </w:pPr>
  </w:style>
  <w:style w:type="character" w:customStyle="1" w:styleId="HeaderChar">
    <w:name w:val="Header Char"/>
    <w:basedOn w:val="DefaultParagraphFont"/>
    <w:link w:val="Header"/>
    <w:uiPriority w:val="99"/>
    <w:rsid w:val="00F07AA1"/>
    <w:rPr>
      <w:lang w:val="fr-FR"/>
    </w:rPr>
  </w:style>
  <w:style w:type="paragraph" w:styleId="Footer">
    <w:name w:val="footer"/>
    <w:basedOn w:val="Normal"/>
    <w:link w:val="FooterChar"/>
    <w:uiPriority w:val="99"/>
    <w:unhideWhenUsed/>
    <w:rsid w:val="00F07AA1"/>
    <w:pPr>
      <w:tabs>
        <w:tab w:val="center" w:pos="4513"/>
        <w:tab w:val="right" w:pos="9026"/>
      </w:tabs>
    </w:pPr>
  </w:style>
  <w:style w:type="character" w:customStyle="1" w:styleId="FooterChar">
    <w:name w:val="Footer Char"/>
    <w:basedOn w:val="DefaultParagraphFont"/>
    <w:link w:val="Footer"/>
    <w:uiPriority w:val="99"/>
    <w:rsid w:val="00F07AA1"/>
    <w:rPr>
      <w:lang w:val="fr-FR"/>
    </w:rPr>
  </w:style>
  <w:style w:type="paragraph" w:styleId="BalloonText">
    <w:name w:val="Balloon Text"/>
    <w:basedOn w:val="Normal"/>
    <w:link w:val="BalloonTextChar"/>
    <w:uiPriority w:val="99"/>
    <w:semiHidden/>
    <w:unhideWhenUsed/>
    <w:rsid w:val="005C1E7E"/>
    <w:rPr>
      <w:rFonts w:ascii="Tahoma" w:hAnsi="Tahoma" w:cs="Tahoma"/>
      <w:sz w:val="16"/>
      <w:szCs w:val="16"/>
    </w:rPr>
  </w:style>
  <w:style w:type="character" w:customStyle="1" w:styleId="BalloonTextChar">
    <w:name w:val="Balloon Text Char"/>
    <w:basedOn w:val="DefaultParagraphFont"/>
    <w:link w:val="BalloonText"/>
    <w:uiPriority w:val="99"/>
    <w:semiHidden/>
    <w:rsid w:val="005C1E7E"/>
    <w:rPr>
      <w:rFonts w:ascii="Tahoma" w:hAnsi="Tahoma" w:cs="Tahoma"/>
      <w:sz w:val="16"/>
      <w:szCs w:val="16"/>
      <w:lang w:val="fr-FR"/>
    </w:rPr>
  </w:style>
  <w:style w:type="character" w:customStyle="1" w:styleId="Heading1Char">
    <w:name w:val="Heading 1 Char"/>
    <w:basedOn w:val="DefaultParagraphFont"/>
    <w:link w:val="Heading1"/>
    <w:uiPriority w:val="9"/>
    <w:rsid w:val="00FE483E"/>
    <w:rPr>
      <w:rFonts w:asciiTheme="majorHAnsi" w:eastAsiaTheme="majorEastAsia" w:hAnsiTheme="majorHAnsi" w:cstheme="majorBidi"/>
      <w:b/>
      <w:bCs/>
      <w:color w:val="365F91" w:themeColor="accent1" w:themeShade="BF"/>
      <w:sz w:val="28"/>
      <w:szCs w:val="28"/>
      <w:lang w:val="fr-FR"/>
    </w:rPr>
  </w:style>
  <w:style w:type="character" w:styleId="PageNumber">
    <w:name w:val="page number"/>
    <w:basedOn w:val="DefaultParagraphFont"/>
    <w:uiPriority w:val="99"/>
    <w:unhideWhenUsed/>
    <w:rsid w:val="00FE483E"/>
  </w:style>
  <w:style w:type="character" w:customStyle="1" w:styleId="hps">
    <w:name w:val="hps"/>
    <w:basedOn w:val="DefaultParagraphFont"/>
    <w:rsid w:val="003B5EFB"/>
  </w:style>
  <w:style w:type="character" w:customStyle="1" w:styleId="atn">
    <w:name w:val="atn"/>
    <w:basedOn w:val="DefaultParagraphFont"/>
    <w:rsid w:val="000C37C7"/>
  </w:style>
  <w:style w:type="table" w:styleId="TableGrid">
    <w:name w:val="Table Grid"/>
    <w:basedOn w:val="TableNormal"/>
    <w:uiPriority w:val="39"/>
    <w:rsid w:val="00D4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5D3D"/>
    <w:pPr>
      <w:widowControl w:val="0"/>
      <w:tabs>
        <w:tab w:val="left" w:pos="567"/>
      </w:tabs>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9"/>
    <w:qFormat/>
    <w:rsid w:val="00164577"/>
    <w:rPr>
      <w:rFonts w:ascii="Calibri" w:eastAsia="Times New Roman" w:hAnsi="Calibri" w:cs="Times New Roman"/>
      <w:i/>
      <w:iCs/>
      <w:color w:val="000000"/>
      <w:lang w:val="en-US" w:eastAsia="ja-JP"/>
    </w:rPr>
  </w:style>
  <w:style w:type="character" w:customStyle="1" w:styleId="QuoteChar">
    <w:name w:val="Quote Char"/>
    <w:basedOn w:val="DefaultParagraphFont"/>
    <w:link w:val="Quote"/>
    <w:uiPriority w:val="99"/>
    <w:rsid w:val="00164577"/>
    <w:rPr>
      <w:rFonts w:ascii="Calibri" w:eastAsia="Times New Roman" w:hAnsi="Calibri" w:cs="Times New Roman"/>
      <w:i/>
      <w:iCs/>
      <w:color w:val="000000"/>
      <w:lang w:val="en-US" w:eastAsia="ja-JP"/>
    </w:rPr>
  </w:style>
  <w:style w:type="character" w:customStyle="1" w:styleId="Heading2Char">
    <w:name w:val="Heading 2 Char"/>
    <w:basedOn w:val="DefaultParagraphFont"/>
    <w:link w:val="Heading2"/>
    <w:uiPriority w:val="9"/>
    <w:rsid w:val="00FB38AB"/>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rsid w:val="00FB38AB"/>
    <w:rPr>
      <w:rFonts w:asciiTheme="majorHAnsi" w:eastAsiaTheme="majorEastAsia" w:hAnsiTheme="majorHAnsi" w:cstheme="majorBidi"/>
      <w:b/>
      <w:bCs/>
      <w:color w:val="4F81BD" w:themeColor="accent1"/>
      <w:lang w:val="fr-FR"/>
    </w:rPr>
  </w:style>
  <w:style w:type="character" w:styleId="CommentReference">
    <w:name w:val="annotation reference"/>
    <w:basedOn w:val="DefaultParagraphFont"/>
    <w:uiPriority w:val="99"/>
    <w:semiHidden/>
    <w:rsid w:val="00FB38AB"/>
    <w:rPr>
      <w:rFonts w:cs="Times New Roman"/>
      <w:sz w:val="16"/>
    </w:rPr>
  </w:style>
  <w:style w:type="paragraph" w:styleId="CommentText">
    <w:name w:val="annotation text"/>
    <w:basedOn w:val="Normal"/>
    <w:link w:val="CommentTextChar"/>
    <w:uiPriority w:val="99"/>
    <w:rsid w:val="00FB38AB"/>
    <w:rPr>
      <w:rFonts w:ascii="Verdana" w:eastAsia="Times New Roman" w:hAnsi="Verdana" w:cs="Times New Roman"/>
      <w:sz w:val="20"/>
      <w:szCs w:val="20"/>
      <w:lang w:eastAsia="sl-SI"/>
    </w:rPr>
  </w:style>
  <w:style w:type="character" w:customStyle="1" w:styleId="CommentTextChar">
    <w:name w:val="Comment Text Char"/>
    <w:basedOn w:val="DefaultParagraphFont"/>
    <w:link w:val="CommentText"/>
    <w:uiPriority w:val="99"/>
    <w:rsid w:val="00FB38AB"/>
    <w:rPr>
      <w:rFonts w:ascii="Verdana" w:eastAsia="Times New Roman" w:hAnsi="Verdana" w:cs="Times New Roman"/>
      <w:sz w:val="20"/>
      <w:szCs w:val="20"/>
      <w:lang w:eastAsia="sl-SI"/>
    </w:rPr>
  </w:style>
  <w:style w:type="paragraph" w:styleId="TOC1">
    <w:name w:val="toc 1"/>
    <w:basedOn w:val="Normal"/>
    <w:next w:val="Normal"/>
    <w:autoRedefine/>
    <w:uiPriority w:val="39"/>
    <w:rsid w:val="00FB38AB"/>
    <w:pPr>
      <w:tabs>
        <w:tab w:val="left" w:pos="426"/>
        <w:tab w:val="left" w:pos="709"/>
        <w:tab w:val="right" w:leader="dot" w:pos="9034"/>
      </w:tabs>
      <w:spacing w:before="120" w:after="120"/>
    </w:pPr>
    <w:rPr>
      <w:rFonts w:ascii="Calibri" w:eastAsia="Times New Roman" w:hAnsi="Calibri" w:cs="Calibri"/>
      <w:b/>
      <w:bCs/>
      <w:caps/>
      <w:sz w:val="20"/>
      <w:szCs w:val="20"/>
      <w:lang w:eastAsia="fr-FR"/>
    </w:rPr>
  </w:style>
  <w:style w:type="paragraph" w:styleId="TOC2">
    <w:name w:val="toc 2"/>
    <w:basedOn w:val="Normal"/>
    <w:next w:val="Normal"/>
    <w:autoRedefine/>
    <w:uiPriority w:val="39"/>
    <w:rsid w:val="00FB38AB"/>
    <w:pPr>
      <w:tabs>
        <w:tab w:val="left" w:pos="709"/>
        <w:tab w:val="right" w:leader="dot" w:pos="9060"/>
      </w:tabs>
      <w:ind w:left="240"/>
    </w:pPr>
    <w:rPr>
      <w:rFonts w:ascii="Calibri" w:eastAsia="Times New Roman" w:hAnsi="Calibri" w:cs="Calibri"/>
      <w:smallCaps/>
      <w:sz w:val="20"/>
      <w:szCs w:val="20"/>
      <w:lang w:eastAsia="fr-FR"/>
    </w:rPr>
  </w:style>
  <w:style w:type="paragraph" w:styleId="TOC3">
    <w:name w:val="toc 3"/>
    <w:basedOn w:val="Normal"/>
    <w:next w:val="Normal"/>
    <w:autoRedefine/>
    <w:uiPriority w:val="39"/>
    <w:rsid w:val="00C561B9"/>
    <w:pPr>
      <w:tabs>
        <w:tab w:val="right" w:leader="dot" w:pos="9060"/>
      </w:tabs>
      <w:ind w:left="480"/>
    </w:pPr>
    <w:rPr>
      <w:rFonts w:ascii="Calibri" w:eastAsia="Times New Roman" w:hAnsi="Calibri" w:cstheme="minorHAnsi"/>
      <w:i/>
      <w:iCs/>
      <w:noProof/>
      <w:sz w:val="20"/>
      <w:szCs w:val="20"/>
      <w:lang w:eastAsia="fr-FR"/>
    </w:rPr>
  </w:style>
  <w:style w:type="paragraph" w:customStyle="1" w:styleId="Corpsde">
    <w:name w:val="Corps de"/>
    <w:basedOn w:val="Normal"/>
    <w:uiPriority w:val="99"/>
    <w:rsid w:val="00316A72"/>
    <w:pPr>
      <w:jc w:val="center"/>
    </w:pPr>
    <w:rPr>
      <w:rFonts w:ascii="Verdana" w:eastAsia="Times New Roman" w:hAnsi="Verdana" w:cs="Times New Roman"/>
      <w:b/>
      <w:sz w:val="18"/>
      <w:szCs w:val="24"/>
      <w:u w:val="single"/>
      <w:lang w:val="en-US" w:eastAsia="fr-FR"/>
    </w:rPr>
  </w:style>
  <w:style w:type="paragraph" w:customStyle="1" w:styleId="Default">
    <w:name w:val="Default"/>
    <w:rsid w:val="00B85D0A"/>
    <w:pPr>
      <w:autoSpaceDE w:val="0"/>
      <w:autoSpaceDN w:val="0"/>
      <w:adjustRightInd w:val="0"/>
    </w:pPr>
    <w:rPr>
      <w:rFonts w:ascii="Times New Roman" w:hAnsi="Times New Roman" w:cs="Times New Roman"/>
      <w:color w:val="000000"/>
      <w:sz w:val="24"/>
      <w:szCs w:val="24"/>
      <w:lang w:val="en-US"/>
    </w:rPr>
  </w:style>
  <w:style w:type="paragraph" w:styleId="BodyTextIndent">
    <w:name w:val="Body Text Indent"/>
    <w:basedOn w:val="Normal"/>
    <w:link w:val="BodyTextIndentChar"/>
    <w:rsid w:val="00607857"/>
    <w:pPr>
      <w:tabs>
        <w:tab w:val="left" w:pos="399"/>
      </w:tabs>
      <w:ind w:left="399" w:hanging="399"/>
    </w:pPr>
    <w:rPr>
      <w:rFonts w:ascii="Arial Narrow" w:eastAsia="Times New Roman" w:hAnsi="Arial Narrow" w:cs="Times New Roman"/>
      <w:sz w:val="24"/>
      <w:szCs w:val="24"/>
      <w:lang w:eastAsia="fr-FR"/>
    </w:rPr>
  </w:style>
  <w:style w:type="character" w:customStyle="1" w:styleId="BodyTextIndentChar">
    <w:name w:val="Body Text Indent Char"/>
    <w:basedOn w:val="DefaultParagraphFont"/>
    <w:link w:val="BodyTextIndent"/>
    <w:rsid w:val="00607857"/>
    <w:rPr>
      <w:rFonts w:ascii="Arial Narrow" w:eastAsia="Times New Roman" w:hAnsi="Arial Narrow" w:cs="Times New Roman"/>
      <w:sz w:val="24"/>
      <w:szCs w:val="24"/>
      <w:lang w:eastAsia="fr-FR"/>
    </w:rPr>
  </w:style>
  <w:style w:type="paragraph" w:styleId="BodyText">
    <w:name w:val="Body Text"/>
    <w:basedOn w:val="Normal"/>
    <w:link w:val="BodyTextChar"/>
    <w:uiPriority w:val="99"/>
    <w:semiHidden/>
    <w:unhideWhenUsed/>
    <w:rsid w:val="00BF2DD5"/>
    <w:pPr>
      <w:spacing w:after="120"/>
    </w:pPr>
  </w:style>
  <w:style w:type="character" w:customStyle="1" w:styleId="BodyTextChar">
    <w:name w:val="Body Text Char"/>
    <w:basedOn w:val="DefaultParagraphFont"/>
    <w:link w:val="BodyText"/>
    <w:uiPriority w:val="99"/>
    <w:semiHidden/>
    <w:rsid w:val="00BF2DD5"/>
    <w:rPr>
      <w:lang w:val="fr-FR"/>
    </w:rPr>
  </w:style>
  <w:style w:type="character" w:styleId="Strong">
    <w:name w:val="Strong"/>
    <w:basedOn w:val="DefaultParagraphFont"/>
    <w:uiPriority w:val="22"/>
    <w:qFormat/>
    <w:rsid w:val="00097159"/>
    <w:rPr>
      <w:b/>
      <w:bCs/>
    </w:rPr>
  </w:style>
  <w:style w:type="paragraph" w:styleId="NormalWeb">
    <w:name w:val="Normal (Web)"/>
    <w:basedOn w:val="Normal"/>
    <w:uiPriority w:val="99"/>
    <w:unhideWhenUsed/>
    <w:rsid w:val="00525376"/>
    <w:pPr>
      <w:spacing w:before="100" w:beforeAutospacing="1" w:after="100" w:afterAutospacing="1"/>
      <w:jc w:val="left"/>
    </w:pPr>
    <w:rPr>
      <w:rFonts w:ascii="Times New Roman" w:hAnsi="Times New Roman" w:cs="Times New Roman"/>
      <w:sz w:val="24"/>
      <w:szCs w:val="24"/>
      <w:lang w:eastAsia="en-GB"/>
    </w:rPr>
  </w:style>
  <w:style w:type="paragraph" w:customStyle="1" w:styleId="xdef">
    <w:name w:val="xdef"/>
    <w:basedOn w:val="Normal"/>
    <w:rsid w:val="00BF4CFD"/>
    <w:pPr>
      <w:spacing w:before="100" w:beforeAutospacing="1" w:after="100" w:afterAutospacing="1"/>
      <w:jc w:val="left"/>
    </w:pPr>
    <w:rPr>
      <w:rFonts w:ascii="Times New Roman" w:hAnsi="Times New Roman" w:cs="Times New Roman"/>
      <w:sz w:val="24"/>
      <w:szCs w:val="24"/>
      <w:lang w:eastAsia="en-GB"/>
    </w:rPr>
  </w:style>
  <w:style w:type="paragraph" w:customStyle="1" w:styleId="Pa1">
    <w:name w:val="Pa1"/>
    <w:basedOn w:val="Default"/>
    <w:next w:val="Default"/>
    <w:uiPriority w:val="99"/>
    <w:rsid w:val="00F16C1D"/>
    <w:pPr>
      <w:spacing w:line="131" w:lineRule="atLeast"/>
      <w:jc w:val="left"/>
    </w:pPr>
    <w:rPr>
      <w:rFonts w:ascii="HelveticaNeueLT Std Lt" w:hAnsi="HelveticaNeueLT Std Lt" w:cstheme="minorBidi"/>
      <w:color w:val="auto"/>
      <w:lang w:val="en-GB"/>
    </w:rPr>
  </w:style>
  <w:style w:type="character" w:customStyle="1" w:styleId="A13">
    <w:name w:val="A13"/>
    <w:uiPriority w:val="99"/>
    <w:rsid w:val="00F16C1D"/>
    <w:rPr>
      <w:rFonts w:ascii="Minion Pro" w:hAnsi="Minion Pro" w:cs="Minion Pro"/>
      <w:color w:val="000000"/>
      <w:sz w:val="22"/>
      <w:szCs w:val="22"/>
    </w:rPr>
  </w:style>
  <w:style w:type="character" w:customStyle="1" w:styleId="UnresolvedMention1">
    <w:name w:val="Unresolved Mention1"/>
    <w:basedOn w:val="DefaultParagraphFont"/>
    <w:uiPriority w:val="99"/>
    <w:semiHidden/>
    <w:unhideWhenUsed/>
    <w:rsid w:val="004625AB"/>
    <w:rPr>
      <w:color w:val="605E5C"/>
      <w:shd w:val="clear" w:color="auto" w:fill="E1DFDD"/>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2A426D"/>
    <w:pPr>
      <w:spacing w:after="160" w:line="240" w:lineRule="exact"/>
    </w:pPr>
    <w:rPr>
      <w:vertAlign w:val="superscript"/>
    </w:rPr>
  </w:style>
  <w:style w:type="paragraph" w:customStyle="1" w:styleId="gmail-m883921115173291009msoplaintext">
    <w:name w:val="gmail-m_883921115173291009msoplaintext"/>
    <w:basedOn w:val="Normal"/>
    <w:rsid w:val="008D660C"/>
    <w:pPr>
      <w:spacing w:before="100" w:beforeAutospacing="1" w:after="100" w:afterAutospacing="1"/>
      <w:jc w:val="left"/>
    </w:pPr>
    <w:rPr>
      <w:rFonts w:ascii="Calibri" w:hAnsi="Calibri" w:cs="Calibri"/>
      <w:lang w:eastAsia="fr-FR"/>
    </w:rPr>
  </w:style>
  <w:style w:type="paragraph" w:styleId="CommentSubject">
    <w:name w:val="annotation subject"/>
    <w:basedOn w:val="CommentText"/>
    <w:next w:val="CommentText"/>
    <w:link w:val="CommentSubjectChar"/>
    <w:semiHidden/>
    <w:unhideWhenUsed/>
    <w:rsid w:val="000A6C41"/>
    <w:rPr>
      <w:rFonts w:asciiTheme="minorHAnsi" w:eastAsiaTheme="minorHAnsi" w:hAnsiTheme="minorHAnsi" w:cstheme="minorBidi"/>
      <w:b/>
      <w:bCs/>
      <w:lang w:val="fr-FR" w:eastAsia="en-US"/>
    </w:rPr>
  </w:style>
  <w:style w:type="character" w:customStyle="1" w:styleId="CommentSubjectChar">
    <w:name w:val="Comment Subject Char"/>
    <w:basedOn w:val="CommentTextChar"/>
    <w:link w:val="CommentSubject"/>
    <w:semiHidden/>
    <w:rsid w:val="000A6C41"/>
    <w:rPr>
      <w:rFonts w:ascii="Verdana" w:eastAsia="Times New Roman" w:hAnsi="Verdana" w:cs="Times New Roman"/>
      <w:b/>
      <w:bCs/>
      <w:sz w:val="20"/>
      <w:szCs w:val="20"/>
      <w:lang w:val="fr-FR" w:eastAsia="sl-SI"/>
    </w:rPr>
  </w:style>
  <w:style w:type="paragraph" w:styleId="Revision">
    <w:name w:val="Revision"/>
    <w:hidden/>
    <w:semiHidden/>
    <w:rsid w:val="000A6C41"/>
    <w:pPr>
      <w:jc w:val="left"/>
    </w:pPr>
    <w:rPr>
      <w:lang w:val="fr-FR"/>
    </w:rPr>
  </w:style>
  <w:style w:type="character" w:customStyle="1" w:styleId="ListParagraphChar">
    <w:name w:val="List Paragraph Char"/>
    <w:aliases w:val="ERP-List Paragraph Char,List Paragraph11 Char,Bullet EY Char,List Paragraph1 Char"/>
    <w:link w:val="ListParagraph"/>
    <w:uiPriority w:val="34"/>
    <w:locked/>
    <w:rsid w:val="00FC6426"/>
    <w:rPr>
      <w:lang w:val="fr-FR"/>
    </w:rPr>
  </w:style>
  <w:style w:type="paragraph" w:styleId="PlainText">
    <w:name w:val="Plain Text"/>
    <w:basedOn w:val="Normal"/>
    <w:link w:val="PlainTextChar"/>
    <w:uiPriority w:val="99"/>
    <w:unhideWhenUsed/>
    <w:rsid w:val="004E0245"/>
    <w:pPr>
      <w:jc w:val="left"/>
    </w:pPr>
    <w:rPr>
      <w:rFonts w:ascii="Calibri" w:hAnsi="Calibri"/>
      <w:szCs w:val="21"/>
    </w:rPr>
  </w:style>
  <w:style w:type="character" w:customStyle="1" w:styleId="PlainTextChar">
    <w:name w:val="Plain Text Char"/>
    <w:basedOn w:val="DefaultParagraphFont"/>
    <w:link w:val="PlainText"/>
    <w:uiPriority w:val="99"/>
    <w:rsid w:val="004E0245"/>
    <w:rPr>
      <w:rFonts w:ascii="Calibri" w:hAnsi="Calibri"/>
      <w:szCs w:val="21"/>
      <w:lang w:val="fr-FR"/>
    </w:rPr>
  </w:style>
  <w:style w:type="table" w:customStyle="1" w:styleId="Tabellenraster3">
    <w:name w:val="Tabellenraster3"/>
    <w:basedOn w:val="TableNormal"/>
    <w:next w:val="TableGrid"/>
    <w:uiPriority w:val="39"/>
    <w:rsid w:val="001A019F"/>
    <w:pPr>
      <w:jc w:val="left"/>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071AD"/>
    <w:rPr>
      <w:color w:val="800080" w:themeColor="followedHyperlink"/>
      <w:u w:val="single"/>
    </w:rPr>
  </w:style>
  <w:style w:type="character" w:customStyle="1" w:styleId="Heading4Char">
    <w:name w:val="Heading 4 Char"/>
    <w:basedOn w:val="DefaultParagraphFont"/>
    <w:link w:val="Heading4"/>
    <w:rsid w:val="00E13C04"/>
    <w:rPr>
      <w:rFonts w:asciiTheme="majorHAnsi" w:eastAsiaTheme="majorEastAsia" w:hAnsiTheme="majorHAnsi" w:cstheme="majorBidi"/>
      <w:i/>
      <w:iCs/>
      <w:color w:val="365F91" w:themeColor="accent1" w:themeShade="BF"/>
    </w:rPr>
  </w:style>
  <w:style w:type="character" w:customStyle="1" w:styleId="A1">
    <w:name w:val="A1"/>
    <w:uiPriority w:val="99"/>
    <w:rsid w:val="00E13C04"/>
    <w:rPr>
      <w:rFonts w:cs="Times"/>
      <w:color w:val="000000"/>
      <w:sz w:val="22"/>
      <w:szCs w:val="22"/>
    </w:rPr>
  </w:style>
  <w:style w:type="paragraph" w:customStyle="1" w:styleId="Heading10">
    <w:name w:val="Heading1"/>
    <w:basedOn w:val="Normal"/>
    <w:link w:val="Heading1Char0"/>
    <w:qFormat/>
    <w:rsid w:val="00E13C04"/>
    <w:pPr>
      <w:tabs>
        <w:tab w:val="left" w:pos="567"/>
        <w:tab w:val="left" w:pos="709"/>
      </w:tabs>
      <w:suppressAutoHyphens/>
      <w:spacing w:line="276" w:lineRule="auto"/>
      <w:jc w:val="left"/>
    </w:pPr>
    <w:rPr>
      <w:rFonts w:eastAsiaTheme="majorEastAsia" w:cstheme="majorBidi"/>
      <w:b/>
      <w:bCs/>
      <w:sz w:val="24"/>
      <w:szCs w:val="24"/>
      <w:u w:val="single"/>
    </w:rPr>
  </w:style>
  <w:style w:type="character" w:customStyle="1" w:styleId="Heading1Char0">
    <w:name w:val="Heading1 Char"/>
    <w:basedOn w:val="DefaultParagraphFont"/>
    <w:link w:val="Heading10"/>
    <w:rsid w:val="00E13C04"/>
    <w:rPr>
      <w:rFonts w:eastAsiaTheme="majorEastAsia" w:cstheme="majorBidi"/>
      <w:b/>
      <w:bCs/>
      <w:sz w:val="24"/>
      <w:szCs w:val="24"/>
      <w:u w:val="single"/>
    </w:rPr>
  </w:style>
  <w:style w:type="character" w:customStyle="1" w:styleId="const-thes">
    <w:name w:val="const-thes"/>
    <w:basedOn w:val="DefaultParagraphFont"/>
    <w:rsid w:val="00E13C04"/>
  </w:style>
  <w:style w:type="character" w:customStyle="1" w:styleId="ts-alignment-element">
    <w:name w:val="ts-alignment-element"/>
    <w:basedOn w:val="DefaultParagraphFont"/>
    <w:rsid w:val="00E13C04"/>
  </w:style>
  <w:style w:type="character" w:customStyle="1" w:styleId="ts-alignment-element-highlighted">
    <w:name w:val="ts-alignment-element-highlighted"/>
    <w:basedOn w:val="DefaultParagraphFont"/>
    <w:rsid w:val="00E13C04"/>
  </w:style>
  <w:style w:type="paragraph" w:styleId="HTMLPreformatted">
    <w:name w:val="HTML Preformatted"/>
    <w:basedOn w:val="Normal"/>
    <w:link w:val="HTMLPreformattedChar"/>
    <w:uiPriority w:val="99"/>
    <w:semiHidden/>
    <w:unhideWhenUsed/>
    <w:rsid w:val="00E13C04"/>
    <w:pPr>
      <w:jc w:val="left"/>
    </w:pPr>
    <w:rPr>
      <w:rFonts w:ascii="Consolas" w:eastAsia="Calibri" w:hAnsi="Consolas" w:cs="Arial"/>
      <w:sz w:val="20"/>
      <w:szCs w:val="20"/>
      <w:lang w:val="en-US"/>
    </w:rPr>
  </w:style>
  <w:style w:type="character" w:customStyle="1" w:styleId="HTMLPreformattedChar">
    <w:name w:val="HTML Preformatted Char"/>
    <w:basedOn w:val="DefaultParagraphFont"/>
    <w:link w:val="HTMLPreformatted"/>
    <w:uiPriority w:val="99"/>
    <w:semiHidden/>
    <w:rsid w:val="00E13C04"/>
    <w:rPr>
      <w:rFonts w:ascii="Consolas" w:eastAsia="Calibri" w:hAnsi="Consolas" w:cs="Arial"/>
      <w:sz w:val="20"/>
      <w:szCs w:val="20"/>
      <w:lang w:val="en-US"/>
    </w:rPr>
  </w:style>
  <w:style w:type="numbering" w:customStyle="1" w:styleId="1">
    <w:name w:val="Εισήχθηκε το στιλ 1"/>
    <w:rsid w:val="00E13C04"/>
    <w:pPr>
      <w:numPr>
        <w:numId w:val="5"/>
      </w:numPr>
    </w:pPr>
  </w:style>
  <w:style w:type="paragraph" w:styleId="NoSpacing">
    <w:name w:val="No Spacing"/>
    <w:basedOn w:val="Normal"/>
    <w:uiPriority w:val="1"/>
    <w:qFormat/>
    <w:rsid w:val="00F5390A"/>
    <w:pPr>
      <w:spacing w:before="100" w:beforeAutospacing="1" w:after="100" w:afterAutospacing="1"/>
      <w:jc w:val="left"/>
    </w:pPr>
    <w:rPr>
      <w:rFonts w:ascii="Times New Roman" w:hAnsi="Times New Roman" w:cs="Times New Roman"/>
      <w:sz w:val="24"/>
      <w:szCs w:val="24"/>
      <w:lang w:eastAsia="en-GB"/>
    </w:rPr>
  </w:style>
  <w:style w:type="paragraph" w:customStyle="1" w:styleId="indent1">
    <w:name w:val="indent1"/>
    <w:basedOn w:val="Normal"/>
    <w:rsid w:val="008F6525"/>
    <w:pPr>
      <w:spacing w:before="100" w:beforeAutospacing="1" w:after="100" w:afterAutospacing="1"/>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946">
      <w:bodyDiv w:val="1"/>
      <w:marLeft w:val="0"/>
      <w:marRight w:val="0"/>
      <w:marTop w:val="0"/>
      <w:marBottom w:val="0"/>
      <w:divBdr>
        <w:top w:val="none" w:sz="0" w:space="0" w:color="auto"/>
        <w:left w:val="none" w:sz="0" w:space="0" w:color="auto"/>
        <w:bottom w:val="none" w:sz="0" w:space="0" w:color="auto"/>
        <w:right w:val="none" w:sz="0" w:space="0" w:color="auto"/>
      </w:divBdr>
    </w:div>
    <w:div w:id="41445964">
      <w:bodyDiv w:val="1"/>
      <w:marLeft w:val="0"/>
      <w:marRight w:val="0"/>
      <w:marTop w:val="0"/>
      <w:marBottom w:val="0"/>
      <w:divBdr>
        <w:top w:val="none" w:sz="0" w:space="0" w:color="auto"/>
        <w:left w:val="none" w:sz="0" w:space="0" w:color="auto"/>
        <w:bottom w:val="none" w:sz="0" w:space="0" w:color="auto"/>
        <w:right w:val="none" w:sz="0" w:space="0" w:color="auto"/>
      </w:divBdr>
    </w:div>
    <w:div w:id="45032110">
      <w:bodyDiv w:val="1"/>
      <w:marLeft w:val="0"/>
      <w:marRight w:val="0"/>
      <w:marTop w:val="0"/>
      <w:marBottom w:val="0"/>
      <w:divBdr>
        <w:top w:val="none" w:sz="0" w:space="0" w:color="auto"/>
        <w:left w:val="none" w:sz="0" w:space="0" w:color="auto"/>
        <w:bottom w:val="none" w:sz="0" w:space="0" w:color="auto"/>
        <w:right w:val="none" w:sz="0" w:space="0" w:color="auto"/>
      </w:divBdr>
    </w:div>
    <w:div w:id="50620009">
      <w:bodyDiv w:val="1"/>
      <w:marLeft w:val="0"/>
      <w:marRight w:val="0"/>
      <w:marTop w:val="0"/>
      <w:marBottom w:val="0"/>
      <w:divBdr>
        <w:top w:val="none" w:sz="0" w:space="0" w:color="auto"/>
        <w:left w:val="none" w:sz="0" w:space="0" w:color="auto"/>
        <w:bottom w:val="none" w:sz="0" w:space="0" w:color="auto"/>
        <w:right w:val="none" w:sz="0" w:space="0" w:color="auto"/>
      </w:divBdr>
    </w:div>
    <w:div w:id="52849583">
      <w:bodyDiv w:val="1"/>
      <w:marLeft w:val="0"/>
      <w:marRight w:val="0"/>
      <w:marTop w:val="0"/>
      <w:marBottom w:val="0"/>
      <w:divBdr>
        <w:top w:val="none" w:sz="0" w:space="0" w:color="auto"/>
        <w:left w:val="none" w:sz="0" w:space="0" w:color="auto"/>
        <w:bottom w:val="none" w:sz="0" w:space="0" w:color="auto"/>
        <w:right w:val="none" w:sz="0" w:space="0" w:color="auto"/>
      </w:divBdr>
    </w:div>
    <w:div w:id="79257309">
      <w:bodyDiv w:val="1"/>
      <w:marLeft w:val="0"/>
      <w:marRight w:val="0"/>
      <w:marTop w:val="0"/>
      <w:marBottom w:val="0"/>
      <w:divBdr>
        <w:top w:val="none" w:sz="0" w:space="0" w:color="auto"/>
        <w:left w:val="none" w:sz="0" w:space="0" w:color="auto"/>
        <w:bottom w:val="none" w:sz="0" w:space="0" w:color="auto"/>
        <w:right w:val="none" w:sz="0" w:space="0" w:color="auto"/>
      </w:divBdr>
    </w:div>
    <w:div w:id="81685658">
      <w:bodyDiv w:val="1"/>
      <w:marLeft w:val="0"/>
      <w:marRight w:val="0"/>
      <w:marTop w:val="0"/>
      <w:marBottom w:val="0"/>
      <w:divBdr>
        <w:top w:val="none" w:sz="0" w:space="0" w:color="auto"/>
        <w:left w:val="none" w:sz="0" w:space="0" w:color="auto"/>
        <w:bottom w:val="none" w:sz="0" w:space="0" w:color="auto"/>
        <w:right w:val="none" w:sz="0" w:space="0" w:color="auto"/>
      </w:divBdr>
    </w:div>
    <w:div w:id="101532588">
      <w:bodyDiv w:val="1"/>
      <w:marLeft w:val="0"/>
      <w:marRight w:val="0"/>
      <w:marTop w:val="0"/>
      <w:marBottom w:val="0"/>
      <w:divBdr>
        <w:top w:val="none" w:sz="0" w:space="0" w:color="auto"/>
        <w:left w:val="none" w:sz="0" w:space="0" w:color="auto"/>
        <w:bottom w:val="none" w:sz="0" w:space="0" w:color="auto"/>
        <w:right w:val="none" w:sz="0" w:space="0" w:color="auto"/>
      </w:divBdr>
    </w:div>
    <w:div w:id="108817380">
      <w:bodyDiv w:val="1"/>
      <w:marLeft w:val="0"/>
      <w:marRight w:val="0"/>
      <w:marTop w:val="0"/>
      <w:marBottom w:val="0"/>
      <w:divBdr>
        <w:top w:val="none" w:sz="0" w:space="0" w:color="auto"/>
        <w:left w:val="none" w:sz="0" w:space="0" w:color="auto"/>
        <w:bottom w:val="none" w:sz="0" w:space="0" w:color="auto"/>
        <w:right w:val="none" w:sz="0" w:space="0" w:color="auto"/>
      </w:divBdr>
    </w:div>
    <w:div w:id="117381477">
      <w:bodyDiv w:val="1"/>
      <w:marLeft w:val="0"/>
      <w:marRight w:val="0"/>
      <w:marTop w:val="0"/>
      <w:marBottom w:val="0"/>
      <w:divBdr>
        <w:top w:val="none" w:sz="0" w:space="0" w:color="auto"/>
        <w:left w:val="none" w:sz="0" w:space="0" w:color="auto"/>
        <w:bottom w:val="none" w:sz="0" w:space="0" w:color="auto"/>
        <w:right w:val="none" w:sz="0" w:space="0" w:color="auto"/>
      </w:divBdr>
    </w:div>
    <w:div w:id="124471180">
      <w:bodyDiv w:val="1"/>
      <w:marLeft w:val="0"/>
      <w:marRight w:val="0"/>
      <w:marTop w:val="0"/>
      <w:marBottom w:val="0"/>
      <w:divBdr>
        <w:top w:val="none" w:sz="0" w:space="0" w:color="auto"/>
        <w:left w:val="none" w:sz="0" w:space="0" w:color="auto"/>
        <w:bottom w:val="none" w:sz="0" w:space="0" w:color="auto"/>
        <w:right w:val="none" w:sz="0" w:space="0" w:color="auto"/>
      </w:divBdr>
    </w:div>
    <w:div w:id="135952719">
      <w:bodyDiv w:val="1"/>
      <w:marLeft w:val="0"/>
      <w:marRight w:val="0"/>
      <w:marTop w:val="0"/>
      <w:marBottom w:val="0"/>
      <w:divBdr>
        <w:top w:val="none" w:sz="0" w:space="0" w:color="auto"/>
        <w:left w:val="none" w:sz="0" w:space="0" w:color="auto"/>
        <w:bottom w:val="none" w:sz="0" w:space="0" w:color="auto"/>
        <w:right w:val="none" w:sz="0" w:space="0" w:color="auto"/>
      </w:divBdr>
    </w:div>
    <w:div w:id="148912496">
      <w:bodyDiv w:val="1"/>
      <w:marLeft w:val="0"/>
      <w:marRight w:val="0"/>
      <w:marTop w:val="0"/>
      <w:marBottom w:val="0"/>
      <w:divBdr>
        <w:top w:val="none" w:sz="0" w:space="0" w:color="auto"/>
        <w:left w:val="none" w:sz="0" w:space="0" w:color="auto"/>
        <w:bottom w:val="none" w:sz="0" w:space="0" w:color="auto"/>
        <w:right w:val="none" w:sz="0" w:space="0" w:color="auto"/>
      </w:divBdr>
    </w:div>
    <w:div w:id="155923648">
      <w:bodyDiv w:val="1"/>
      <w:marLeft w:val="0"/>
      <w:marRight w:val="0"/>
      <w:marTop w:val="0"/>
      <w:marBottom w:val="0"/>
      <w:divBdr>
        <w:top w:val="none" w:sz="0" w:space="0" w:color="auto"/>
        <w:left w:val="none" w:sz="0" w:space="0" w:color="auto"/>
        <w:bottom w:val="none" w:sz="0" w:space="0" w:color="auto"/>
        <w:right w:val="none" w:sz="0" w:space="0" w:color="auto"/>
      </w:divBdr>
    </w:div>
    <w:div w:id="172112701">
      <w:bodyDiv w:val="1"/>
      <w:marLeft w:val="0"/>
      <w:marRight w:val="0"/>
      <w:marTop w:val="0"/>
      <w:marBottom w:val="0"/>
      <w:divBdr>
        <w:top w:val="none" w:sz="0" w:space="0" w:color="auto"/>
        <w:left w:val="none" w:sz="0" w:space="0" w:color="auto"/>
        <w:bottom w:val="none" w:sz="0" w:space="0" w:color="auto"/>
        <w:right w:val="none" w:sz="0" w:space="0" w:color="auto"/>
      </w:divBdr>
    </w:div>
    <w:div w:id="186217368">
      <w:bodyDiv w:val="1"/>
      <w:marLeft w:val="0"/>
      <w:marRight w:val="0"/>
      <w:marTop w:val="0"/>
      <w:marBottom w:val="0"/>
      <w:divBdr>
        <w:top w:val="none" w:sz="0" w:space="0" w:color="auto"/>
        <w:left w:val="none" w:sz="0" w:space="0" w:color="auto"/>
        <w:bottom w:val="none" w:sz="0" w:space="0" w:color="auto"/>
        <w:right w:val="none" w:sz="0" w:space="0" w:color="auto"/>
      </w:divBdr>
    </w:div>
    <w:div w:id="214005267">
      <w:bodyDiv w:val="1"/>
      <w:marLeft w:val="0"/>
      <w:marRight w:val="0"/>
      <w:marTop w:val="0"/>
      <w:marBottom w:val="0"/>
      <w:divBdr>
        <w:top w:val="none" w:sz="0" w:space="0" w:color="auto"/>
        <w:left w:val="none" w:sz="0" w:space="0" w:color="auto"/>
        <w:bottom w:val="none" w:sz="0" w:space="0" w:color="auto"/>
        <w:right w:val="none" w:sz="0" w:space="0" w:color="auto"/>
      </w:divBdr>
    </w:div>
    <w:div w:id="237205195">
      <w:bodyDiv w:val="1"/>
      <w:marLeft w:val="0"/>
      <w:marRight w:val="0"/>
      <w:marTop w:val="0"/>
      <w:marBottom w:val="0"/>
      <w:divBdr>
        <w:top w:val="none" w:sz="0" w:space="0" w:color="auto"/>
        <w:left w:val="none" w:sz="0" w:space="0" w:color="auto"/>
        <w:bottom w:val="none" w:sz="0" w:space="0" w:color="auto"/>
        <w:right w:val="none" w:sz="0" w:space="0" w:color="auto"/>
      </w:divBdr>
    </w:div>
    <w:div w:id="260384553">
      <w:bodyDiv w:val="1"/>
      <w:marLeft w:val="0"/>
      <w:marRight w:val="0"/>
      <w:marTop w:val="0"/>
      <w:marBottom w:val="0"/>
      <w:divBdr>
        <w:top w:val="none" w:sz="0" w:space="0" w:color="auto"/>
        <w:left w:val="none" w:sz="0" w:space="0" w:color="auto"/>
        <w:bottom w:val="none" w:sz="0" w:space="0" w:color="auto"/>
        <w:right w:val="none" w:sz="0" w:space="0" w:color="auto"/>
      </w:divBdr>
    </w:div>
    <w:div w:id="304968350">
      <w:bodyDiv w:val="1"/>
      <w:marLeft w:val="0"/>
      <w:marRight w:val="0"/>
      <w:marTop w:val="0"/>
      <w:marBottom w:val="0"/>
      <w:divBdr>
        <w:top w:val="none" w:sz="0" w:space="0" w:color="auto"/>
        <w:left w:val="none" w:sz="0" w:space="0" w:color="auto"/>
        <w:bottom w:val="none" w:sz="0" w:space="0" w:color="auto"/>
        <w:right w:val="none" w:sz="0" w:space="0" w:color="auto"/>
      </w:divBdr>
    </w:div>
    <w:div w:id="308361815">
      <w:bodyDiv w:val="1"/>
      <w:marLeft w:val="0"/>
      <w:marRight w:val="0"/>
      <w:marTop w:val="0"/>
      <w:marBottom w:val="0"/>
      <w:divBdr>
        <w:top w:val="none" w:sz="0" w:space="0" w:color="auto"/>
        <w:left w:val="none" w:sz="0" w:space="0" w:color="auto"/>
        <w:bottom w:val="none" w:sz="0" w:space="0" w:color="auto"/>
        <w:right w:val="none" w:sz="0" w:space="0" w:color="auto"/>
      </w:divBdr>
    </w:div>
    <w:div w:id="361824941">
      <w:bodyDiv w:val="1"/>
      <w:marLeft w:val="0"/>
      <w:marRight w:val="0"/>
      <w:marTop w:val="0"/>
      <w:marBottom w:val="0"/>
      <w:divBdr>
        <w:top w:val="none" w:sz="0" w:space="0" w:color="auto"/>
        <w:left w:val="none" w:sz="0" w:space="0" w:color="auto"/>
        <w:bottom w:val="none" w:sz="0" w:space="0" w:color="auto"/>
        <w:right w:val="none" w:sz="0" w:space="0" w:color="auto"/>
      </w:divBdr>
    </w:div>
    <w:div w:id="382023296">
      <w:bodyDiv w:val="1"/>
      <w:marLeft w:val="0"/>
      <w:marRight w:val="0"/>
      <w:marTop w:val="0"/>
      <w:marBottom w:val="0"/>
      <w:divBdr>
        <w:top w:val="none" w:sz="0" w:space="0" w:color="auto"/>
        <w:left w:val="none" w:sz="0" w:space="0" w:color="auto"/>
        <w:bottom w:val="none" w:sz="0" w:space="0" w:color="auto"/>
        <w:right w:val="none" w:sz="0" w:space="0" w:color="auto"/>
      </w:divBdr>
    </w:div>
    <w:div w:id="440221765">
      <w:bodyDiv w:val="1"/>
      <w:marLeft w:val="0"/>
      <w:marRight w:val="0"/>
      <w:marTop w:val="0"/>
      <w:marBottom w:val="0"/>
      <w:divBdr>
        <w:top w:val="none" w:sz="0" w:space="0" w:color="auto"/>
        <w:left w:val="none" w:sz="0" w:space="0" w:color="auto"/>
        <w:bottom w:val="none" w:sz="0" w:space="0" w:color="auto"/>
        <w:right w:val="none" w:sz="0" w:space="0" w:color="auto"/>
      </w:divBdr>
    </w:div>
    <w:div w:id="466510876">
      <w:bodyDiv w:val="1"/>
      <w:marLeft w:val="0"/>
      <w:marRight w:val="0"/>
      <w:marTop w:val="0"/>
      <w:marBottom w:val="0"/>
      <w:divBdr>
        <w:top w:val="none" w:sz="0" w:space="0" w:color="auto"/>
        <w:left w:val="none" w:sz="0" w:space="0" w:color="auto"/>
        <w:bottom w:val="none" w:sz="0" w:space="0" w:color="auto"/>
        <w:right w:val="none" w:sz="0" w:space="0" w:color="auto"/>
      </w:divBdr>
      <w:divsChild>
        <w:div w:id="1091778259">
          <w:marLeft w:val="0"/>
          <w:marRight w:val="0"/>
          <w:marTop w:val="0"/>
          <w:marBottom w:val="0"/>
          <w:divBdr>
            <w:top w:val="none" w:sz="0" w:space="0" w:color="auto"/>
            <w:left w:val="none" w:sz="0" w:space="0" w:color="auto"/>
            <w:bottom w:val="none" w:sz="0" w:space="0" w:color="auto"/>
            <w:right w:val="none" w:sz="0" w:space="0" w:color="auto"/>
          </w:divBdr>
        </w:div>
        <w:div w:id="1265916291">
          <w:marLeft w:val="0"/>
          <w:marRight w:val="0"/>
          <w:marTop w:val="0"/>
          <w:marBottom w:val="0"/>
          <w:divBdr>
            <w:top w:val="none" w:sz="0" w:space="0" w:color="auto"/>
            <w:left w:val="none" w:sz="0" w:space="0" w:color="auto"/>
            <w:bottom w:val="none" w:sz="0" w:space="0" w:color="auto"/>
            <w:right w:val="none" w:sz="0" w:space="0" w:color="auto"/>
          </w:divBdr>
        </w:div>
      </w:divsChild>
    </w:div>
    <w:div w:id="468672682">
      <w:bodyDiv w:val="1"/>
      <w:marLeft w:val="0"/>
      <w:marRight w:val="0"/>
      <w:marTop w:val="0"/>
      <w:marBottom w:val="0"/>
      <w:divBdr>
        <w:top w:val="none" w:sz="0" w:space="0" w:color="auto"/>
        <w:left w:val="none" w:sz="0" w:space="0" w:color="auto"/>
        <w:bottom w:val="none" w:sz="0" w:space="0" w:color="auto"/>
        <w:right w:val="none" w:sz="0" w:space="0" w:color="auto"/>
      </w:divBdr>
    </w:div>
    <w:div w:id="569078714">
      <w:bodyDiv w:val="1"/>
      <w:marLeft w:val="0"/>
      <w:marRight w:val="0"/>
      <w:marTop w:val="0"/>
      <w:marBottom w:val="0"/>
      <w:divBdr>
        <w:top w:val="none" w:sz="0" w:space="0" w:color="auto"/>
        <w:left w:val="none" w:sz="0" w:space="0" w:color="auto"/>
        <w:bottom w:val="none" w:sz="0" w:space="0" w:color="auto"/>
        <w:right w:val="none" w:sz="0" w:space="0" w:color="auto"/>
      </w:divBdr>
    </w:div>
    <w:div w:id="605775499">
      <w:bodyDiv w:val="1"/>
      <w:marLeft w:val="0"/>
      <w:marRight w:val="0"/>
      <w:marTop w:val="0"/>
      <w:marBottom w:val="0"/>
      <w:divBdr>
        <w:top w:val="none" w:sz="0" w:space="0" w:color="auto"/>
        <w:left w:val="none" w:sz="0" w:space="0" w:color="auto"/>
        <w:bottom w:val="none" w:sz="0" w:space="0" w:color="auto"/>
        <w:right w:val="none" w:sz="0" w:space="0" w:color="auto"/>
      </w:divBdr>
    </w:div>
    <w:div w:id="662314424">
      <w:bodyDiv w:val="1"/>
      <w:marLeft w:val="0"/>
      <w:marRight w:val="0"/>
      <w:marTop w:val="0"/>
      <w:marBottom w:val="0"/>
      <w:divBdr>
        <w:top w:val="none" w:sz="0" w:space="0" w:color="auto"/>
        <w:left w:val="none" w:sz="0" w:space="0" w:color="auto"/>
        <w:bottom w:val="none" w:sz="0" w:space="0" w:color="auto"/>
        <w:right w:val="none" w:sz="0" w:space="0" w:color="auto"/>
      </w:divBdr>
    </w:div>
    <w:div w:id="691077474">
      <w:bodyDiv w:val="1"/>
      <w:marLeft w:val="0"/>
      <w:marRight w:val="0"/>
      <w:marTop w:val="0"/>
      <w:marBottom w:val="0"/>
      <w:divBdr>
        <w:top w:val="none" w:sz="0" w:space="0" w:color="auto"/>
        <w:left w:val="none" w:sz="0" w:space="0" w:color="auto"/>
        <w:bottom w:val="none" w:sz="0" w:space="0" w:color="auto"/>
        <w:right w:val="none" w:sz="0" w:space="0" w:color="auto"/>
      </w:divBdr>
    </w:div>
    <w:div w:id="714737517">
      <w:bodyDiv w:val="1"/>
      <w:marLeft w:val="0"/>
      <w:marRight w:val="0"/>
      <w:marTop w:val="0"/>
      <w:marBottom w:val="0"/>
      <w:divBdr>
        <w:top w:val="none" w:sz="0" w:space="0" w:color="auto"/>
        <w:left w:val="none" w:sz="0" w:space="0" w:color="auto"/>
        <w:bottom w:val="none" w:sz="0" w:space="0" w:color="auto"/>
        <w:right w:val="none" w:sz="0" w:space="0" w:color="auto"/>
      </w:divBdr>
    </w:div>
    <w:div w:id="751050572">
      <w:bodyDiv w:val="1"/>
      <w:marLeft w:val="0"/>
      <w:marRight w:val="0"/>
      <w:marTop w:val="0"/>
      <w:marBottom w:val="0"/>
      <w:divBdr>
        <w:top w:val="none" w:sz="0" w:space="0" w:color="auto"/>
        <w:left w:val="none" w:sz="0" w:space="0" w:color="auto"/>
        <w:bottom w:val="none" w:sz="0" w:space="0" w:color="auto"/>
        <w:right w:val="none" w:sz="0" w:space="0" w:color="auto"/>
      </w:divBdr>
    </w:div>
    <w:div w:id="796147268">
      <w:bodyDiv w:val="1"/>
      <w:marLeft w:val="0"/>
      <w:marRight w:val="0"/>
      <w:marTop w:val="0"/>
      <w:marBottom w:val="0"/>
      <w:divBdr>
        <w:top w:val="none" w:sz="0" w:space="0" w:color="auto"/>
        <w:left w:val="none" w:sz="0" w:space="0" w:color="auto"/>
        <w:bottom w:val="none" w:sz="0" w:space="0" w:color="auto"/>
        <w:right w:val="none" w:sz="0" w:space="0" w:color="auto"/>
      </w:divBdr>
    </w:div>
    <w:div w:id="802383151">
      <w:bodyDiv w:val="1"/>
      <w:marLeft w:val="0"/>
      <w:marRight w:val="0"/>
      <w:marTop w:val="0"/>
      <w:marBottom w:val="0"/>
      <w:divBdr>
        <w:top w:val="none" w:sz="0" w:space="0" w:color="auto"/>
        <w:left w:val="none" w:sz="0" w:space="0" w:color="auto"/>
        <w:bottom w:val="none" w:sz="0" w:space="0" w:color="auto"/>
        <w:right w:val="none" w:sz="0" w:space="0" w:color="auto"/>
      </w:divBdr>
    </w:div>
    <w:div w:id="811867825">
      <w:bodyDiv w:val="1"/>
      <w:marLeft w:val="0"/>
      <w:marRight w:val="0"/>
      <w:marTop w:val="0"/>
      <w:marBottom w:val="0"/>
      <w:divBdr>
        <w:top w:val="none" w:sz="0" w:space="0" w:color="auto"/>
        <w:left w:val="none" w:sz="0" w:space="0" w:color="auto"/>
        <w:bottom w:val="none" w:sz="0" w:space="0" w:color="auto"/>
        <w:right w:val="none" w:sz="0" w:space="0" w:color="auto"/>
      </w:divBdr>
    </w:div>
    <w:div w:id="826366454">
      <w:bodyDiv w:val="1"/>
      <w:marLeft w:val="0"/>
      <w:marRight w:val="0"/>
      <w:marTop w:val="0"/>
      <w:marBottom w:val="0"/>
      <w:divBdr>
        <w:top w:val="none" w:sz="0" w:space="0" w:color="auto"/>
        <w:left w:val="none" w:sz="0" w:space="0" w:color="auto"/>
        <w:bottom w:val="none" w:sz="0" w:space="0" w:color="auto"/>
        <w:right w:val="none" w:sz="0" w:space="0" w:color="auto"/>
      </w:divBdr>
    </w:div>
    <w:div w:id="827940237">
      <w:bodyDiv w:val="1"/>
      <w:marLeft w:val="0"/>
      <w:marRight w:val="0"/>
      <w:marTop w:val="0"/>
      <w:marBottom w:val="0"/>
      <w:divBdr>
        <w:top w:val="none" w:sz="0" w:space="0" w:color="auto"/>
        <w:left w:val="none" w:sz="0" w:space="0" w:color="auto"/>
        <w:bottom w:val="none" w:sz="0" w:space="0" w:color="auto"/>
        <w:right w:val="none" w:sz="0" w:space="0" w:color="auto"/>
      </w:divBdr>
    </w:div>
    <w:div w:id="858399120">
      <w:bodyDiv w:val="1"/>
      <w:marLeft w:val="0"/>
      <w:marRight w:val="0"/>
      <w:marTop w:val="0"/>
      <w:marBottom w:val="0"/>
      <w:divBdr>
        <w:top w:val="none" w:sz="0" w:space="0" w:color="auto"/>
        <w:left w:val="none" w:sz="0" w:space="0" w:color="auto"/>
        <w:bottom w:val="none" w:sz="0" w:space="0" w:color="auto"/>
        <w:right w:val="none" w:sz="0" w:space="0" w:color="auto"/>
      </w:divBdr>
    </w:div>
    <w:div w:id="862128010">
      <w:bodyDiv w:val="1"/>
      <w:marLeft w:val="0"/>
      <w:marRight w:val="0"/>
      <w:marTop w:val="0"/>
      <w:marBottom w:val="0"/>
      <w:divBdr>
        <w:top w:val="none" w:sz="0" w:space="0" w:color="auto"/>
        <w:left w:val="none" w:sz="0" w:space="0" w:color="auto"/>
        <w:bottom w:val="none" w:sz="0" w:space="0" w:color="auto"/>
        <w:right w:val="none" w:sz="0" w:space="0" w:color="auto"/>
      </w:divBdr>
    </w:div>
    <w:div w:id="958875940">
      <w:bodyDiv w:val="1"/>
      <w:marLeft w:val="0"/>
      <w:marRight w:val="0"/>
      <w:marTop w:val="0"/>
      <w:marBottom w:val="0"/>
      <w:divBdr>
        <w:top w:val="none" w:sz="0" w:space="0" w:color="auto"/>
        <w:left w:val="none" w:sz="0" w:space="0" w:color="auto"/>
        <w:bottom w:val="none" w:sz="0" w:space="0" w:color="auto"/>
        <w:right w:val="none" w:sz="0" w:space="0" w:color="auto"/>
      </w:divBdr>
      <w:divsChild>
        <w:div w:id="1220674635">
          <w:marLeft w:val="0"/>
          <w:marRight w:val="0"/>
          <w:marTop w:val="0"/>
          <w:marBottom w:val="0"/>
          <w:divBdr>
            <w:top w:val="none" w:sz="0" w:space="0" w:color="auto"/>
            <w:left w:val="none" w:sz="0" w:space="0" w:color="auto"/>
            <w:bottom w:val="none" w:sz="0" w:space="0" w:color="auto"/>
            <w:right w:val="none" w:sz="0" w:space="0" w:color="auto"/>
          </w:divBdr>
        </w:div>
      </w:divsChild>
    </w:div>
    <w:div w:id="962151284">
      <w:bodyDiv w:val="1"/>
      <w:marLeft w:val="0"/>
      <w:marRight w:val="0"/>
      <w:marTop w:val="0"/>
      <w:marBottom w:val="0"/>
      <w:divBdr>
        <w:top w:val="none" w:sz="0" w:space="0" w:color="auto"/>
        <w:left w:val="none" w:sz="0" w:space="0" w:color="auto"/>
        <w:bottom w:val="none" w:sz="0" w:space="0" w:color="auto"/>
        <w:right w:val="none" w:sz="0" w:space="0" w:color="auto"/>
      </w:divBdr>
      <w:divsChild>
        <w:div w:id="647520081">
          <w:marLeft w:val="0"/>
          <w:marRight w:val="0"/>
          <w:marTop w:val="0"/>
          <w:marBottom w:val="450"/>
          <w:divBdr>
            <w:top w:val="none" w:sz="0" w:space="0" w:color="auto"/>
            <w:left w:val="none" w:sz="0" w:space="0" w:color="auto"/>
            <w:bottom w:val="none" w:sz="0" w:space="0" w:color="auto"/>
            <w:right w:val="none" w:sz="0" w:space="0" w:color="auto"/>
          </w:divBdr>
          <w:divsChild>
            <w:div w:id="609052070">
              <w:marLeft w:val="900"/>
              <w:marRight w:val="0"/>
              <w:marTop w:val="0"/>
              <w:marBottom w:val="0"/>
              <w:divBdr>
                <w:top w:val="none" w:sz="0" w:space="0" w:color="auto"/>
                <w:left w:val="single" w:sz="18" w:space="11" w:color="263759"/>
                <w:bottom w:val="none" w:sz="0" w:space="0" w:color="auto"/>
                <w:right w:val="none" w:sz="0" w:space="0" w:color="auto"/>
              </w:divBdr>
              <w:divsChild>
                <w:div w:id="4177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54">
          <w:marLeft w:val="0"/>
          <w:marRight w:val="0"/>
          <w:marTop w:val="0"/>
          <w:marBottom w:val="450"/>
          <w:divBdr>
            <w:top w:val="none" w:sz="0" w:space="0" w:color="auto"/>
            <w:left w:val="none" w:sz="0" w:space="0" w:color="auto"/>
            <w:bottom w:val="none" w:sz="0" w:space="0" w:color="auto"/>
            <w:right w:val="none" w:sz="0" w:space="0" w:color="auto"/>
          </w:divBdr>
          <w:divsChild>
            <w:div w:id="1335494902">
              <w:marLeft w:val="900"/>
              <w:marRight w:val="0"/>
              <w:marTop w:val="0"/>
              <w:marBottom w:val="0"/>
              <w:divBdr>
                <w:top w:val="none" w:sz="0" w:space="0" w:color="auto"/>
                <w:left w:val="single" w:sz="18" w:space="11" w:color="263759"/>
                <w:bottom w:val="none" w:sz="0" w:space="0" w:color="auto"/>
                <w:right w:val="none" w:sz="0" w:space="0" w:color="auto"/>
              </w:divBdr>
              <w:divsChild>
                <w:div w:id="14776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5249">
      <w:bodyDiv w:val="1"/>
      <w:marLeft w:val="0"/>
      <w:marRight w:val="0"/>
      <w:marTop w:val="0"/>
      <w:marBottom w:val="0"/>
      <w:divBdr>
        <w:top w:val="none" w:sz="0" w:space="0" w:color="auto"/>
        <w:left w:val="none" w:sz="0" w:space="0" w:color="auto"/>
        <w:bottom w:val="none" w:sz="0" w:space="0" w:color="auto"/>
        <w:right w:val="none" w:sz="0" w:space="0" w:color="auto"/>
      </w:divBdr>
    </w:div>
    <w:div w:id="1051996781">
      <w:bodyDiv w:val="1"/>
      <w:marLeft w:val="0"/>
      <w:marRight w:val="0"/>
      <w:marTop w:val="0"/>
      <w:marBottom w:val="0"/>
      <w:divBdr>
        <w:top w:val="none" w:sz="0" w:space="0" w:color="auto"/>
        <w:left w:val="none" w:sz="0" w:space="0" w:color="auto"/>
        <w:bottom w:val="none" w:sz="0" w:space="0" w:color="auto"/>
        <w:right w:val="none" w:sz="0" w:space="0" w:color="auto"/>
      </w:divBdr>
    </w:div>
    <w:div w:id="1059522012">
      <w:bodyDiv w:val="1"/>
      <w:marLeft w:val="0"/>
      <w:marRight w:val="0"/>
      <w:marTop w:val="0"/>
      <w:marBottom w:val="0"/>
      <w:divBdr>
        <w:top w:val="none" w:sz="0" w:space="0" w:color="auto"/>
        <w:left w:val="none" w:sz="0" w:space="0" w:color="auto"/>
        <w:bottom w:val="none" w:sz="0" w:space="0" w:color="auto"/>
        <w:right w:val="none" w:sz="0" w:space="0" w:color="auto"/>
      </w:divBdr>
    </w:div>
    <w:div w:id="1064791853">
      <w:bodyDiv w:val="1"/>
      <w:marLeft w:val="0"/>
      <w:marRight w:val="0"/>
      <w:marTop w:val="0"/>
      <w:marBottom w:val="0"/>
      <w:divBdr>
        <w:top w:val="none" w:sz="0" w:space="0" w:color="auto"/>
        <w:left w:val="none" w:sz="0" w:space="0" w:color="auto"/>
        <w:bottom w:val="none" w:sz="0" w:space="0" w:color="auto"/>
        <w:right w:val="none" w:sz="0" w:space="0" w:color="auto"/>
      </w:divBdr>
    </w:div>
    <w:div w:id="1093939616">
      <w:bodyDiv w:val="1"/>
      <w:marLeft w:val="0"/>
      <w:marRight w:val="0"/>
      <w:marTop w:val="0"/>
      <w:marBottom w:val="0"/>
      <w:divBdr>
        <w:top w:val="none" w:sz="0" w:space="0" w:color="auto"/>
        <w:left w:val="none" w:sz="0" w:space="0" w:color="auto"/>
        <w:bottom w:val="none" w:sz="0" w:space="0" w:color="auto"/>
        <w:right w:val="none" w:sz="0" w:space="0" w:color="auto"/>
      </w:divBdr>
    </w:div>
    <w:div w:id="1102145991">
      <w:bodyDiv w:val="1"/>
      <w:marLeft w:val="0"/>
      <w:marRight w:val="0"/>
      <w:marTop w:val="0"/>
      <w:marBottom w:val="0"/>
      <w:divBdr>
        <w:top w:val="none" w:sz="0" w:space="0" w:color="auto"/>
        <w:left w:val="none" w:sz="0" w:space="0" w:color="auto"/>
        <w:bottom w:val="none" w:sz="0" w:space="0" w:color="auto"/>
        <w:right w:val="none" w:sz="0" w:space="0" w:color="auto"/>
      </w:divBdr>
    </w:div>
    <w:div w:id="1108087514">
      <w:bodyDiv w:val="1"/>
      <w:marLeft w:val="0"/>
      <w:marRight w:val="0"/>
      <w:marTop w:val="0"/>
      <w:marBottom w:val="0"/>
      <w:divBdr>
        <w:top w:val="none" w:sz="0" w:space="0" w:color="auto"/>
        <w:left w:val="none" w:sz="0" w:space="0" w:color="auto"/>
        <w:bottom w:val="none" w:sz="0" w:space="0" w:color="auto"/>
        <w:right w:val="none" w:sz="0" w:space="0" w:color="auto"/>
      </w:divBdr>
    </w:div>
    <w:div w:id="1142574043">
      <w:bodyDiv w:val="1"/>
      <w:marLeft w:val="0"/>
      <w:marRight w:val="0"/>
      <w:marTop w:val="0"/>
      <w:marBottom w:val="0"/>
      <w:divBdr>
        <w:top w:val="none" w:sz="0" w:space="0" w:color="auto"/>
        <w:left w:val="none" w:sz="0" w:space="0" w:color="auto"/>
        <w:bottom w:val="none" w:sz="0" w:space="0" w:color="auto"/>
        <w:right w:val="none" w:sz="0" w:space="0" w:color="auto"/>
      </w:divBdr>
    </w:div>
    <w:div w:id="1148940570">
      <w:bodyDiv w:val="1"/>
      <w:marLeft w:val="0"/>
      <w:marRight w:val="0"/>
      <w:marTop w:val="0"/>
      <w:marBottom w:val="0"/>
      <w:divBdr>
        <w:top w:val="none" w:sz="0" w:space="0" w:color="auto"/>
        <w:left w:val="none" w:sz="0" w:space="0" w:color="auto"/>
        <w:bottom w:val="none" w:sz="0" w:space="0" w:color="auto"/>
        <w:right w:val="none" w:sz="0" w:space="0" w:color="auto"/>
      </w:divBdr>
    </w:div>
    <w:div w:id="1156341838">
      <w:bodyDiv w:val="1"/>
      <w:marLeft w:val="0"/>
      <w:marRight w:val="0"/>
      <w:marTop w:val="0"/>
      <w:marBottom w:val="0"/>
      <w:divBdr>
        <w:top w:val="none" w:sz="0" w:space="0" w:color="auto"/>
        <w:left w:val="none" w:sz="0" w:space="0" w:color="auto"/>
        <w:bottom w:val="none" w:sz="0" w:space="0" w:color="auto"/>
        <w:right w:val="none" w:sz="0" w:space="0" w:color="auto"/>
      </w:divBdr>
      <w:divsChild>
        <w:div w:id="417404398">
          <w:marLeft w:val="0"/>
          <w:marRight w:val="0"/>
          <w:marTop w:val="0"/>
          <w:marBottom w:val="0"/>
          <w:divBdr>
            <w:top w:val="none" w:sz="0" w:space="0" w:color="auto"/>
            <w:left w:val="none" w:sz="0" w:space="0" w:color="auto"/>
            <w:bottom w:val="none" w:sz="0" w:space="0" w:color="auto"/>
            <w:right w:val="none" w:sz="0" w:space="0" w:color="auto"/>
          </w:divBdr>
        </w:div>
        <w:div w:id="1216703684">
          <w:marLeft w:val="0"/>
          <w:marRight w:val="0"/>
          <w:marTop w:val="0"/>
          <w:marBottom w:val="0"/>
          <w:divBdr>
            <w:top w:val="none" w:sz="0" w:space="0" w:color="auto"/>
            <w:left w:val="none" w:sz="0" w:space="0" w:color="auto"/>
            <w:bottom w:val="none" w:sz="0" w:space="0" w:color="auto"/>
            <w:right w:val="none" w:sz="0" w:space="0" w:color="auto"/>
          </w:divBdr>
        </w:div>
        <w:div w:id="2087989839">
          <w:marLeft w:val="0"/>
          <w:marRight w:val="0"/>
          <w:marTop w:val="0"/>
          <w:marBottom w:val="0"/>
          <w:divBdr>
            <w:top w:val="none" w:sz="0" w:space="0" w:color="auto"/>
            <w:left w:val="none" w:sz="0" w:space="0" w:color="auto"/>
            <w:bottom w:val="none" w:sz="0" w:space="0" w:color="auto"/>
            <w:right w:val="none" w:sz="0" w:space="0" w:color="auto"/>
          </w:divBdr>
        </w:div>
      </w:divsChild>
    </w:div>
    <w:div w:id="1187132365">
      <w:bodyDiv w:val="1"/>
      <w:marLeft w:val="0"/>
      <w:marRight w:val="0"/>
      <w:marTop w:val="0"/>
      <w:marBottom w:val="0"/>
      <w:divBdr>
        <w:top w:val="none" w:sz="0" w:space="0" w:color="auto"/>
        <w:left w:val="none" w:sz="0" w:space="0" w:color="auto"/>
        <w:bottom w:val="none" w:sz="0" w:space="0" w:color="auto"/>
        <w:right w:val="none" w:sz="0" w:space="0" w:color="auto"/>
      </w:divBdr>
    </w:div>
    <w:div w:id="1192458285">
      <w:bodyDiv w:val="1"/>
      <w:marLeft w:val="0"/>
      <w:marRight w:val="0"/>
      <w:marTop w:val="0"/>
      <w:marBottom w:val="0"/>
      <w:divBdr>
        <w:top w:val="none" w:sz="0" w:space="0" w:color="auto"/>
        <w:left w:val="none" w:sz="0" w:space="0" w:color="auto"/>
        <w:bottom w:val="none" w:sz="0" w:space="0" w:color="auto"/>
        <w:right w:val="none" w:sz="0" w:space="0" w:color="auto"/>
      </w:divBdr>
    </w:div>
    <w:div w:id="1195268222">
      <w:bodyDiv w:val="1"/>
      <w:marLeft w:val="0"/>
      <w:marRight w:val="0"/>
      <w:marTop w:val="0"/>
      <w:marBottom w:val="0"/>
      <w:divBdr>
        <w:top w:val="none" w:sz="0" w:space="0" w:color="auto"/>
        <w:left w:val="none" w:sz="0" w:space="0" w:color="auto"/>
        <w:bottom w:val="none" w:sz="0" w:space="0" w:color="auto"/>
        <w:right w:val="none" w:sz="0" w:space="0" w:color="auto"/>
      </w:divBdr>
    </w:div>
    <w:div w:id="1203899977">
      <w:bodyDiv w:val="1"/>
      <w:marLeft w:val="0"/>
      <w:marRight w:val="0"/>
      <w:marTop w:val="0"/>
      <w:marBottom w:val="0"/>
      <w:divBdr>
        <w:top w:val="none" w:sz="0" w:space="0" w:color="auto"/>
        <w:left w:val="none" w:sz="0" w:space="0" w:color="auto"/>
        <w:bottom w:val="none" w:sz="0" w:space="0" w:color="auto"/>
        <w:right w:val="none" w:sz="0" w:space="0" w:color="auto"/>
      </w:divBdr>
    </w:div>
    <w:div w:id="1237981665">
      <w:bodyDiv w:val="1"/>
      <w:marLeft w:val="0"/>
      <w:marRight w:val="0"/>
      <w:marTop w:val="0"/>
      <w:marBottom w:val="0"/>
      <w:divBdr>
        <w:top w:val="none" w:sz="0" w:space="0" w:color="auto"/>
        <w:left w:val="none" w:sz="0" w:space="0" w:color="auto"/>
        <w:bottom w:val="none" w:sz="0" w:space="0" w:color="auto"/>
        <w:right w:val="none" w:sz="0" w:space="0" w:color="auto"/>
      </w:divBdr>
      <w:divsChild>
        <w:div w:id="487210547">
          <w:marLeft w:val="0"/>
          <w:marRight w:val="0"/>
          <w:marTop w:val="0"/>
          <w:marBottom w:val="0"/>
          <w:divBdr>
            <w:top w:val="none" w:sz="0" w:space="0" w:color="auto"/>
            <w:left w:val="none" w:sz="0" w:space="0" w:color="auto"/>
            <w:bottom w:val="none" w:sz="0" w:space="0" w:color="auto"/>
            <w:right w:val="none" w:sz="0" w:space="0" w:color="auto"/>
          </w:divBdr>
        </w:div>
        <w:div w:id="1218130605">
          <w:marLeft w:val="0"/>
          <w:marRight w:val="0"/>
          <w:marTop w:val="0"/>
          <w:marBottom w:val="0"/>
          <w:divBdr>
            <w:top w:val="none" w:sz="0" w:space="0" w:color="auto"/>
            <w:left w:val="none" w:sz="0" w:space="0" w:color="auto"/>
            <w:bottom w:val="none" w:sz="0" w:space="0" w:color="auto"/>
            <w:right w:val="none" w:sz="0" w:space="0" w:color="auto"/>
          </w:divBdr>
        </w:div>
      </w:divsChild>
    </w:div>
    <w:div w:id="1259406031">
      <w:bodyDiv w:val="1"/>
      <w:marLeft w:val="0"/>
      <w:marRight w:val="0"/>
      <w:marTop w:val="0"/>
      <w:marBottom w:val="0"/>
      <w:divBdr>
        <w:top w:val="none" w:sz="0" w:space="0" w:color="auto"/>
        <w:left w:val="none" w:sz="0" w:space="0" w:color="auto"/>
        <w:bottom w:val="none" w:sz="0" w:space="0" w:color="auto"/>
        <w:right w:val="none" w:sz="0" w:space="0" w:color="auto"/>
      </w:divBdr>
    </w:div>
    <w:div w:id="1267620617">
      <w:bodyDiv w:val="1"/>
      <w:marLeft w:val="0"/>
      <w:marRight w:val="0"/>
      <w:marTop w:val="0"/>
      <w:marBottom w:val="0"/>
      <w:divBdr>
        <w:top w:val="none" w:sz="0" w:space="0" w:color="auto"/>
        <w:left w:val="none" w:sz="0" w:space="0" w:color="auto"/>
        <w:bottom w:val="none" w:sz="0" w:space="0" w:color="auto"/>
        <w:right w:val="none" w:sz="0" w:space="0" w:color="auto"/>
      </w:divBdr>
    </w:div>
    <w:div w:id="1289631885">
      <w:bodyDiv w:val="1"/>
      <w:marLeft w:val="0"/>
      <w:marRight w:val="0"/>
      <w:marTop w:val="0"/>
      <w:marBottom w:val="0"/>
      <w:divBdr>
        <w:top w:val="none" w:sz="0" w:space="0" w:color="auto"/>
        <w:left w:val="none" w:sz="0" w:space="0" w:color="auto"/>
        <w:bottom w:val="none" w:sz="0" w:space="0" w:color="auto"/>
        <w:right w:val="none" w:sz="0" w:space="0" w:color="auto"/>
      </w:divBdr>
    </w:div>
    <w:div w:id="1293826111">
      <w:bodyDiv w:val="1"/>
      <w:marLeft w:val="0"/>
      <w:marRight w:val="0"/>
      <w:marTop w:val="0"/>
      <w:marBottom w:val="0"/>
      <w:divBdr>
        <w:top w:val="none" w:sz="0" w:space="0" w:color="auto"/>
        <w:left w:val="none" w:sz="0" w:space="0" w:color="auto"/>
        <w:bottom w:val="none" w:sz="0" w:space="0" w:color="auto"/>
        <w:right w:val="none" w:sz="0" w:space="0" w:color="auto"/>
      </w:divBdr>
    </w:div>
    <w:div w:id="1304655666">
      <w:bodyDiv w:val="1"/>
      <w:marLeft w:val="0"/>
      <w:marRight w:val="0"/>
      <w:marTop w:val="0"/>
      <w:marBottom w:val="0"/>
      <w:divBdr>
        <w:top w:val="none" w:sz="0" w:space="0" w:color="auto"/>
        <w:left w:val="none" w:sz="0" w:space="0" w:color="auto"/>
        <w:bottom w:val="none" w:sz="0" w:space="0" w:color="auto"/>
        <w:right w:val="none" w:sz="0" w:space="0" w:color="auto"/>
      </w:divBdr>
    </w:div>
    <w:div w:id="1311712700">
      <w:bodyDiv w:val="1"/>
      <w:marLeft w:val="0"/>
      <w:marRight w:val="0"/>
      <w:marTop w:val="0"/>
      <w:marBottom w:val="0"/>
      <w:divBdr>
        <w:top w:val="none" w:sz="0" w:space="0" w:color="auto"/>
        <w:left w:val="none" w:sz="0" w:space="0" w:color="auto"/>
        <w:bottom w:val="none" w:sz="0" w:space="0" w:color="auto"/>
        <w:right w:val="none" w:sz="0" w:space="0" w:color="auto"/>
      </w:divBdr>
    </w:div>
    <w:div w:id="1316714784">
      <w:bodyDiv w:val="1"/>
      <w:marLeft w:val="0"/>
      <w:marRight w:val="0"/>
      <w:marTop w:val="0"/>
      <w:marBottom w:val="0"/>
      <w:divBdr>
        <w:top w:val="none" w:sz="0" w:space="0" w:color="auto"/>
        <w:left w:val="none" w:sz="0" w:space="0" w:color="auto"/>
        <w:bottom w:val="none" w:sz="0" w:space="0" w:color="auto"/>
        <w:right w:val="none" w:sz="0" w:space="0" w:color="auto"/>
      </w:divBdr>
    </w:div>
    <w:div w:id="1327633531">
      <w:bodyDiv w:val="1"/>
      <w:marLeft w:val="0"/>
      <w:marRight w:val="0"/>
      <w:marTop w:val="0"/>
      <w:marBottom w:val="0"/>
      <w:divBdr>
        <w:top w:val="none" w:sz="0" w:space="0" w:color="auto"/>
        <w:left w:val="none" w:sz="0" w:space="0" w:color="auto"/>
        <w:bottom w:val="none" w:sz="0" w:space="0" w:color="auto"/>
        <w:right w:val="none" w:sz="0" w:space="0" w:color="auto"/>
      </w:divBdr>
    </w:div>
    <w:div w:id="1395277877">
      <w:bodyDiv w:val="1"/>
      <w:marLeft w:val="0"/>
      <w:marRight w:val="0"/>
      <w:marTop w:val="0"/>
      <w:marBottom w:val="0"/>
      <w:divBdr>
        <w:top w:val="none" w:sz="0" w:space="0" w:color="auto"/>
        <w:left w:val="none" w:sz="0" w:space="0" w:color="auto"/>
        <w:bottom w:val="none" w:sz="0" w:space="0" w:color="auto"/>
        <w:right w:val="none" w:sz="0" w:space="0" w:color="auto"/>
      </w:divBdr>
    </w:div>
    <w:div w:id="1400131037">
      <w:bodyDiv w:val="1"/>
      <w:marLeft w:val="0"/>
      <w:marRight w:val="0"/>
      <w:marTop w:val="0"/>
      <w:marBottom w:val="0"/>
      <w:divBdr>
        <w:top w:val="none" w:sz="0" w:space="0" w:color="auto"/>
        <w:left w:val="none" w:sz="0" w:space="0" w:color="auto"/>
        <w:bottom w:val="none" w:sz="0" w:space="0" w:color="auto"/>
        <w:right w:val="none" w:sz="0" w:space="0" w:color="auto"/>
      </w:divBdr>
    </w:div>
    <w:div w:id="1419206740">
      <w:bodyDiv w:val="1"/>
      <w:marLeft w:val="0"/>
      <w:marRight w:val="0"/>
      <w:marTop w:val="0"/>
      <w:marBottom w:val="0"/>
      <w:divBdr>
        <w:top w:val="none" w:sz="0" w:space="0" w:color="auto"/>
        <w:left w:val="none" w:sz="0" w:space="0" w:color="auto"/>
        <w:bottom w:val="none" w:sz="0" w:space="0" w:color="auto"/>
        <w:right w:val="none" w:sz="0" w:space="0" w:color="auto"/>
      </w:divBdr>
    </w:div>
    <w:div w:id="1428693847">
      <w:bodyDiv w:val="1"/>
      <w:marLeft w:val="0"/>
      <w:marRight w:val="0"/>
      <w:marTop w:val="0"/>
      <w:marBottom w:val="0"/>
      <w:divBdr>
        <w:top w:val="none" w:sz="0" w:space="0" w:color="auto"/>
        <w:left w:val="none" w:sz="0" w:space="0" w:color="auto"/>
        <w:bottom w:val="none" w:sz="0" w:space="0" w:color="auto"/>
        <w:right w:val="none" w:sz="0" w:space="0" w:color="auto"/>
      </w:divBdr>
    </w:div>
    <w:div w:id="1506674858">
      <w:bodyDiv w:val="1"/>
      <w:marLeft w:val="0"/>
      <w:marRight w:val="0"/>
      <w:marTop w:val="0"/>
      <w:marBottom w:val="0"/>
      <w:divBdr>
        <w:top w:val="none" w:sz="0" w:space="0" w:color="auto"/>
        <w:left w:val="none" w:sz="0" w:space="0" w:color="auto"/>
        <w:bottom w:val="none" w:sz="0" w:space="0" w:color="auto"/>
        <w:right w:val="none" w:sz="0" w:space="0" w:color="auto"/>
      </w:divBdr>
    </w:div>
    <w:div w:id="1533036955">
      <w:bodyDiv w:val="1"/>
      <w:marLeft w:val="0"/>
      <w:marRight w:val="0"/>
      <w:marTop w:val="0"/>
      <w:marBottom w:val="0"/>
      <w:divBdr>
        <w:top w:val="none" w:sz="0" w:space="0" w:color="auto"/>
        <w:left w:val="none" w:sz="0" w:space="0" w:color="auto"/>
        <w:bottom w:val="none" w:sz="0" w:space="0" w:color="auto"/>
        <w:right w:val="none" w:sz="0" w:space="0" w:color="auto"/>
      </w:divBdr>
    </w:div>
    <w:div w:id="1639797662">
      <w:bodyDiv w:val="1"/>
      <w:marLeft w:val="0"/>
      <w:marRight w:val="0"/>
      <w:marTop w:val="0"/>
      <w:marBottom w:val="0"/>
      <w:divBdr>
        <w:top w:val="none" w:sz="0" w:space="0" w:color="auto"/>
        <w:left w:val="none" w:sz="0" w:space="0" w:color="auto"/>
        <w:bottom w:val="none" w:sz="0" w:space="0" w:color="auto"/>
        <w:right w:val="none" w:sz="0" w:space="0" w:color="auto"/>
      </w:divBdr>
    </w:div>
    <w:div w:id="1698001715">
      <w:bodyDiv w:val="1"/>
      <w:marLeft w:val="0"/>
      <w:marRight w:val="0"/>
      <w:marTop w:val="0"/>
      <w:marBottom w:val="0"/>
      <w:divBdr>
        <w:top w:val="none" w:sz="0" w:space="0" w:color="auto"/>
        <w:left w:val="none" w:sz="0" w:space="0" w:color="auto"/>
        <w:bottom w:val="none" w:sz="0" w:space="0" w:color="auto"/>
        <w:right w:val="none" w:sz="0" w:space="0" w:color="auto"/>
      </w:divBdr>
    </w:div>
    <w:div w:id="1707097423">
      <w:bodyDiv w:val="1"/>
      <w:marLeft w:val="0"/>
      <w:marRight w:val="0"/>
      <w:marTop w:val="0"/>
      <w:marBottom w:val="0"/>
      <w:divBdr>
        <w:top w:val="none" w:sz="0" w:space="0" w:color="auto"/>
        <w:left w:val="none" w:sz="0" w:space="0" w:color="auto"/>
        <w:bottom w:val="none" w:sz="0" w:space="0" w:color="auto"/>
        <w:right w:val="none" w:sz="0" w:space="0" w:color="auto"/>
      </w:divBdr>
    </w:div>
    <w:div w:id="1718511339">
      <w:bodyDiv w:val="1"/>
      <w:marLeft w:val="0"/>
      <w:marRight w:val="0"/>
      <w:marTop w:val="0"/>
      <w:marBottom w:val="0"/>
      <w:divBdr>
        <w:top w:val="none" w:sz="0" w:space="0" w:color="auto"/>
        <w:left w:val="none" w:sz="0" w:space="0" w:color="auto"/>
        <w:bottom w:val="none" w:sz="0" w:space="0" w:color="auto"/>
        <w:right w:val="none" w:sz="0" w:space="0" w:color="auto"/>
      </w:divBdr>
    </w:div>
    <w:div w:id="1727603180">
      <w:bodyDiv w:val="1"/>
      <w:marLeft w:val="0"/>
      <w:marRight w:val="0"/>
      <w:marTop w:val="0"/>
      <w:marBottom w:val="0"/>
      <w:divBdr>
        <w:top w:val="none" w:sz="0" w:space="0" w:color="auto"/>
        <w:left w:val="none" w:sz="0" w:space="0" w:color="auto"/>
        <w:bottom w:val="none" w:sz="0" w:space="0" w:color="auto"/>
        <w:right w:val="none" w:sz="0" w:space="0" w:color="auto"/>
      </w:divBdr>
    </w:div>
    <w:div w:id="1794012032">
      <w:bodyDiv w:val="1"/>
      <w:marLeft w:val="0"/>
      <w:marRight w:val="0"/>
      <w:marTop w:val="0"/>
      <w:marBottom w:val="0"/>
      <w:divBdr>
        <w:top w:val="none" w:sz="0" w:space="0" w:color="auto"/>
        <w:left w:val="none" w:sz="0" w:space="0" w:color="auto"/>
        <w:bottom w:val="none" w:sz="0" w:space="0" w:color="auto"/>
        <w:right w:val="none" w:sz="0" w:space="0" w:color="auto"/>
      </w:divBdr>
    </w:div>
    <w:div w:id="1837645377">
      <w:bodyDiv w:val="1"/>
      <w:marLeft w:val="0"/>
      <w:marRight w:val="0"/>
      <w:marTop w:val="0"/>
      <w:marBottom w:val="0"/>
      <w:divBdr>
        <w:top w:val="none" w:sz="0" w:space="0" w:color="auto"/>
        <w:left w:val="none" w:sz="0" w:space="0" w:color="auto"/>
        <w:bottom w:val="none" w:sz="0" w:space="0" w:color="auto"/>
        <w:right w:val="none" w:sz="0" w:space="0" w:color="auto"/>
      </w:divBdr>
    </w:div>
    <w:div w:id="1858539944">
      <w:bodyDiv w:val="1"/>
      <w:marLeft w:val="0"/>
      <w:marRight w:val="0"/>
      <w:marTop w:val="0"/>
      <w:marBottom w:val="0"/>
      <w:divBdr>
        <w:top w:val="none" w:sz="0" w:space="0" w:color="auto"/>
        <w:left w:val="none" w:sz="0" w:space="0" w:color="auto"/>
        <w:bottom w:val="none" w:sz="0" w:space="0" w:color="auto"/>
        <w:right w:val="none" w:sz="0" w:space="0" w:color="auto"/>
      </w:divBdr>
    </w:div>
    <w:div w:id="1891262163">
      <w:bodyDiv w:val="1"/>
      <w:marLeft w:val="0"/>
      <w:marRight w:val="0"/>
      <w:marTop w:val="0"/>
      <w:marBottom w:val="0"/>
      <w:divBdr>
        <w:top w:val="none" w:sz="0" w:space="0" w:color="auto"/>
        <w:left w:val="none" w:sz="0" w:space="0" w:color="auto"/>
        <w:bottom w:val="none" w:sz="0" w:space="0" w:color="auto"/>
        <w:right w:val="none" w:sz="0" w:space="0" w:color="auto"/>
      </w:divBdr>
    </w:div>
    <w:div w:id="1912697605">
      <w:bodyDiv w:val="1"/>
      <w:marLeft w:val="0"/>
      <w:marRight w:val="0"/>
      <w:marTop w:val="0"/>
      <w:marBottom w:val="0"/>
      <w:divBdr>
        <w:top w:val="none" w:sz="0" w:space="0" w:color="auto"/>
        <w:left w:val="none" w:sz="0" w:space="0" w:color="auto"/>
        <w:bottom w:val="none" w:sz="0" w:space="0" w:color="auto"/>
        <w:right w:val="none" w:sz="0" w:space="0" w:color="auto"/>
      </w:divBdr>
    </w:div>
    <w:div w:id="1931043305">
      <w:bodyDiv w:val="1"/>
      <w:marLeft w:val="0"/>
      <w:marRight w:val="0"/>
      <w:marTop w:val="0"/>
      <w:marBottom w:val="0"/>
      <w:divBdr>
        <w:top w:val="none" w:sz="0" w:space="0" w:color="auto"/>
        <w:left w:val="none" w:sz="0" w:space="0" w:color="auto"/>
        <w:bottom w:val="none" w:sz="0" w:space="0" w:color="auto"/>
        <w:right w:val="none" w:sz="0" w:space="0" w:color="auto"/>
      </w:divBdr>
    </w:div>
    <w:div w:id="1939871505">
      <w:bodyDiv w:val="1"/>
      <w:marLeft w:val="0"/>
      <w:marRight w:val="0"/>
      <w:marTop w:val="0"/>
      <w:marBottom w:val="0"/>
      <w:divBdr>
        <w:top w:val="none" w:sz="0" w:space="0" w:color="auto"/>
        <w:left w:val="none" w:sz="0" w:space="0" w:color="auto"/>
        <w:bottom w:val="none" w:sz="0" w:space="0" w:color="auto"/>
        <w:right w:val="none" w:sz="0" w:space="0" w:color="auto"/>
      </w:divBdr>
    </w:div>
    <w:div w:id="1943105140">
      <w:bodyDiv w:val="1"/>
      <w:marLeft w:val="0"/>
      <w:marRight w:val="0"/>
      <w:marTop w:val="0"/>
      <w:marBottom w:val="0"/>
      <w:divBdr>
        <w:top w:val="none" w:sz="0" w:space="0" w:color="auto"/>
        <w:left w:val="none" w:sz="0" w:space="0" w:color="auto"/>
        <w:bottom w:val="none" w:sz="0" w:space="0" w:color="auto"/>
        <w:right w:val="none" w:sz="0" w:space="0" w:color="auto"/>
      </w:divBdr>
    </w:div>
    <w:div w:id="1951354007">
      <w:bodyDiv w:val="1"/>
      <w:marLeft w:val="0"/>
      <w:marRight w:val="0"/>
      <w:marTop w:val="0"/>
      <w:marBottom w:val="0"/>
      <w:divBdr>
        <w:top w:val="none" w:sz="0" w:space="0" w:color="auto"/>
        <w:left w:val="none" w:sz="0" w:space="0" w:color="auto"/>
        <w:bottom w:val="none" w:sz="0" w:space="0" w:color="auto"/>
        <w:right w:val="none" w:sz="0" w:space="0" w:color="auto"/>
      </w:divBdr>
    </w:div>
    <w:div w:id="1992522507">
      <w:bodyDiv w:val="1"/>
      <w:marLeft w:val="0"/>
      <w:marRight w:val="0"/>
      <w:marTop w:val="0"/>
      <w:marBottom w:val="0"/>
      <w:divBdr>
        <w:top w:val="none" w:sz="0" w:space="0" w:color="auto"/>
        <w:left w:val="none" w:sz="0" w:space="0" w:color="auto"/>
        <w:bottom w:val="none" w:sz="0" w:space="0" w:color="auto"/>
        <w:right w:val="none" w:sz="0" w:space="0" w:color="auto"/>
      </w:divBdr>
    </w:div>
    <w:div w:id="1995916989">
      <w:bodyDiv w:val="1"/>
      <w:marLeft w:val="0"/>
      <w:marRight w:val="0"/>
      <w:marTop w:val="0"/>
      <w:marBottom w:val="0"/>
      <w:divBdr>
        <w:top w:val="none" w:sz="0" w:space="0" w:color="auto"/>
        <w:left w:val="none" w:sz="0" w:space="0" w:color="auto"/>
        <w:bottom w:val="none" w:sz="0" w:space="0" w:color="auto"/>
        <w:right w:val="none" w:sz="0" w:space="0" w:color="auto"/>
      </w:divBdr>
    </w:div>
    <w:div w:id="2076776537">
      <w:bodyDiv w:val="1"/>
      <w:marLeft w:val="0"/>
      <w:marRight w:val="0"/>
      <w:marTop w:val="0"/>
      <w:marBottom w:val="0"/>
      <w:divBdr>
        <w:top w:val="none" w:sz="0" w:space="0" w:color="auto"/>
        <w:left w:val="none" w:sz="0" w:space="0" w:color="auto"/>
        <w:bottom w:val="none" w:sz="0" w:space="0" w:color="auto"/>
        <w:right w:val="none" w:sz="0" w:space="0" w:color="auto"/>
      </w:divBdr>
    </w:div>
    <w:div w:id="2131510082">
      <w:bodyDiv w:val="1"/>
      <w:marLeft w:val="0"/>
      <w:marRight w:val="0"/>
      <w:marTop w:val="0"/>
      <w:marBottom w:val="0"/>
      <w:divBdr>
        <w:top w:val="none" w:sz="0" w:space="0" w:color="auto"/>
        <w:left w:val="none" w:sz="0" w:space="0" w:color="auto"/>
        <w:bottom w:val="none" w:sz="0" w:space="0" w:color="auto"/>
        <w:right w:val="none" w:sz="0" w:space="0" w:color="auto"/>
      </w:divBdr>
    </w:div>
    <w:div w:id="2137487013">
      <w:bodyDiv w:val="1"/>
      <w:marLeft w:val="0"/>
      <w:marRight w:val="0"/>
      <w:marTop w:val="0"/>
      <w:marBottom w:val="0"/>
      <w:divBdr>
        <w:top w:val="none" w:sz="0" w:space="0" w:color="auto"/>
        <w:left w:val="none" w:sz="0" w:space="0" w:color="auto"/>
        <w:bottom w:val="none" w:sz="0" w:space="0" w:color="auto"/>
        <w:right w:val="none" w:sz="0" w:space="0" w:color="auto"/>
      </w:divBdr>
      <w:divsChild>
        <w:div w:id="514423877">
          <w:marLeft w:val="0"/>
          <w:marRight w:val="0"/>
          <w:marTop w:val="0"/>
          <w:marBottom w:val="0"/>
          <w:divBdr>
            <w:top w:val="none" w:sz="0" w:space="0" w:color="auto"/>
            <w:left w:val="none" w:sz="0" w:space="0" w:color="auto"/>
            <w:bottom w:val="none" w:sz="0" w:space="0" w:color="auto"/>
            <w:right w:val="none" w:sz="0" w:space="0" w:color="auto"/>
          </w:divBdr>
          <w:divsChild>
            <w:div w:id="2129615165">
              <w:marLeft w:val="0"/>
              <w:marRight w:val="0"/>
              <w:marTop w:val="0"/>
              <w:marBottom w:val="0"/>
              <w:divBdr>
                <w:top w:val="none" w:sz="0" w:space="0" w:color="auto"/>
                <w:left w:val="none" w:sz="0" w:space="0" w:color="auto"/>
                <w:bottom w:val="none" w:sz="0" w:space="0" w:color="auto"/>
                <w:right w:val="none" w:sz="0" w:space="0" w:color="auto"/>
              </w:divBdr>
              <w:divsChild>
                <w:div w:id="1019114794">
                  <w:marLeft w:val="0"/>
                  <w:marRight w:val="0"/>
                  <w:marTop w:val="225"/>
                  <w:marBottom w:val="0"/>
                  <w:divBdr>
                    <w:top w:val="none" w:sz="0" w:space="0" w:color="auto"/>
                    <w:left w:val="none" w:sz="0" w:space="0" w:color="auto"/>
                    <w:bottom w:val="none" w:sz="0" w:space="0" w:color="auto"/>
                    <w:right w:val="none" w:sz="0" w:space="0" w:color="auto"/>
                  </w:divBdr>
                  <w:divsChild>
                    <w:div w:id="19341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42378">
      <w:bodyDiv w:val="1"/>
      <w:marLeft w:val="0"/>
      <w:marRight w:val="0"/>
      <w:marTop w:val="0"/>
      <w:marBottom w:val="0"/>
      <w:divBdr>
        <w:top w:val="none" w:sz="0" w:space="0" w:color="auto"/>
        <w:left w:val="none" w:sz="0" w:space="0" w:color="auto"/>
        <w:bottom w:val="none" w:sz="0" w:space="0" w:color="auto"/>
        <w:right w:val="none" w:sz="0" w:space="0" w:color="auto"/>
      </w:divBdr>
    </w:div>
    <w:div w:id="21412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arch.coe.int/cm/Pages/result_details.aspx?ObjectId=09000016805e0848" TargetMode="External"/><Relationship Id="rId18" Type="http://schemas.openxmlformats.org/officeDocument/2006/relationships/hyperlink" Target="https://e-consultation.gov.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uropa.eu/eurobarometer/api/deliverable/download/file?deliverableId=82847" TargetMode="External"/><Relationship Id="rId7" Type="http://schemas.openxmlformats.org/officeDocument/2006/relationships/endnotes" Target="endnotes.xml"/><Relationship Id="rId12" Type="http://schemas.openxmlformats.org/officeDocument/2006/relationships/hyperlink" Target="https://europa.eu/eurobarometer/api/deliverable/download/file?deliverableId=82847" TargetMode="External"/><Relationship Id="rId17" Type="http://schemas.openxmlformats.org/officeDocument/2006/relationships/hyperlink" Target="https://www.access-info.org/wp-content/uploads/Open_Cyprus_Report_and_Recommendations.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xandas.presidency.gov.cy/" TargetMode="External"/><Relationship Id="rId20" Type="http://schemas.openxmlformats.org/officeDocument/2006/relationships/hyperlink" Target="http://www.police.gov.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greco" TargetMode="External"/><Relationship Id="rId24" Type="http://schemas.openxmlformats.org/officeDocument/2006/relationships/hyperlink" Target="http://www.coe.int/greco" TargetMode="External"/><Relationship Id="rId5" Type="http://schemas.openxmlformats.org/officeDocument/2006/relationships/webSettings" Target="webSettings.xml"/><Relationship Id="rId15" Type="http://schemas.openxmlformats.org/officeDocument/2006/relationships/hyperlink" Target="http://www.data.gov.cy" TargetMode="External"/><Relationship Id="rId23" Type="http://schemas.openxmlformats.org/officeDocument/2006/relationships/hyperlink" Target="http://www.coe.int/greco"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e.int/en/web/conventions/full-list?module=treaty-detail&amp;treatynum=205" TargetMode="External"/><Relationship Id="rId22" Type="http://schemas.openxmlformats.org/officeDocument/2006/relationships/hyperlink" Target="https://europa.eu/eurobarometer/surveys/detail/2693"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udit.gov.cy/audit/audit.nsf/All/50BD263698CCAE35C225867600217FBF/$file/2020%2011%2027%20-%20EN%20-Audit%20of%20Granting%20of%20the%20Cypriot%20Citizenship.pdf?OpenElement" TargetMode="External"/><Relationship Id="rId2" Type="http://schemas.openxmlformats.org/officeDocument/2006/relationships/hyperlink" Target="http://www.audit.gov.cy/audit/audit.nsf/28701B451330DAE8C22585F8003DFC56/$file/Audit_MOI_FIN_01_2020.pdf" TargetMode="External"/><Relationship Id="rId1" Type="http://schemas.openxmlformats.org/officeDocument/2006/relationships/hyperlink" Target="http://www.audit.gov.cy/audit/audit.nsf/All/6EA72BD051E153D8C225871000242574/$file/2020%2001%2031%20-%20EN%20-Audit%20of%20Granting%20of%20the%20Cypriot%20Citizenship.pdf?OpenElement" TargetMode="External"/><Relationship Id="rId4" Type="http://schemas.openxmlformats.org/officeDocument/2006/relationships/hyperlink" Target="http://www.audit.gov.cy/audit/audit.nsf/F864CE9FF5301553C225871E0028939C/$file/2020%2001%2031%20-%20Air%20Travel%20of%20the%20President%20of%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F2A3-39A4-4157-8E44-F95B44D0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81</Pages>
  <Words>33873</Words>
  <Characters>193078</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SAMOKHINA Lioubov</dc:creator>
  <cp:lastModifiedBy>Kalispera  Alexia</cp:lastModifiedBy>
  <cp:revision>3</cp:revision>
  <cp:lastPrinted>2023-09-29T07:43:00Z</cp:lastPrinted>
  <dcterms:created xsi:type="dcterms:W3CDTF">2023-09-29T07:33:00Z</dcterms:created>
  <dcterms:modified xsi:type="dcterms:W3CDTF">2023-09-29T07:57:00Z</dcterms:modified>
</cp:coreProperties>
</file>